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D4F53" w14:textId="5469DD5A" w:rsidR="000D2E38" w:rsidRPr="000D2E38" w:rsidRDefault="00C7605D" w:rsidP="00AA1EC9">
      <w:pPr>
        <w:pStyle w:val="Heading1"/>
        <w:rPr>
          <w:rFonts w:ascii="Segoe UI" w:eastAsia="Times New Roman" w:hAnsi="Segoe UI" w:cs="Segoe UI"/>
          <w:b/>
          <w:bCs/>
          <w:color w:val="313131"/>
          <w:kern w:val="36"/>
          <w:sz w:val="36"/>
          <w:szCs w:val="36"/>
          <w:lang w:eastAsia="en-AU"/>
        </w:rPr>
      </w:pPr>
      <w:bookmarkStart w:id="0" w:name="_Toc54184844"/>
      <w:r w:rsidRPr="0023486B">
        <w:rPr>
          <w:rFonts w:ascii="Segoe UI" w:eastAsia="Times New Roman" w:hAnsi="Segoe UI" w:cs="Segoe UI"/>
          <w:b/>
          <w:bCs/>
          <w:color w:val="313131"/>
          <w:kern w:val="36"/>
          <w:sz w:val="36"/>
          <w:szCs w:val="36"/>
          <w:lang w:eastAsia="en-AU"/>
        </w:rPr>
        <w:t>Respons</w:t>
      </w:r>
      <w:r w:rsidR="001A2258">
        <w:rPr>
          <w:rFonts w:ascii="Segoe UI" w:eastAsia="Times New Roman" w:hAnsi="Segoe UI" w:cs="Segoe UI"/>
          <w:b/>
          <w:bCs/>
          <w:color w:val="313131"/>
          <w:kern w:val="36"/>
          <w:sz w:val="36"/>
          <w:szCs w:val="36"/>
          <w:lang w:eastAsia="en-AU"/>
        </w:rPr>
        <w:t>e</w:t>
      </w:r>
      <w:r w:rsidR="00D1522B">
        <w:rPr>
          <w:rFonts w:ascii="Segoe UI" w:eastAsia="Times New Roman" w:hAnsi="Segoe UI" w:cs="Segoe UI"/>
          <w:b/>
          <w:bCs/>
          <w:color w:val="313131"/>
          <w:kern w:val="36"/>
          <w:sz w:val="36"/>
          <w:szCs w:val="36"/>
          <w:lang w:eastAsia="en-AU"/>
        </w:rPr>
        <w:t>s</w:t>
      </w:r>
      <w:r w:rsidRPr="0023486B">
        <w:rPr>
          <w:rFonts w:ascii="Segoe UI" w:eastAsia="Times New Roman" w:hAnsi="Segoe UI" w:cs="Segoe UI"/>
          <w:b/>
          <w:bCs/>
          <w:color w:val="313131"/>
          <w:kern w:val="36"/>
          <w:sz w:val="36"/>
          <w:szCs w:val="36"/>
          <w:lang w:eastAsia="en-AU"/>
        </w:rPr>
        <w:t xml:space="preserve"> to </w:t>
      </w:r>
      <w:bookmarkEnd w:id="0"/>
      <w:r w:rsidRPr="0023486B">
        <w:rPr>
          <w:rFonts w:ascii="Segoe UI" w:eastAsia="Times New Roman" w:hAnsi="Segoe UI" w:cs="Segoe UI"/>
          <w:b/>
          <w:bCs/>
          <w:color w:val="313131"/>
          <w:kern w:val="36"/>
          <w:sz w:val="36"/>
          <w:szCs w:val="36"/>
          <w:lang w:eastAsia="en-AU"/>
        </w:rPr>
        <w:t xml:space="preserve">Medical Research Future Fund </w:t>
      </w:r>
      <w:r w:rsidR="00480A0A">
        <w:rPr>
          <w:rFonts w:ascii="Segoe UI" w:eastAsia="Times New Roman" w:hAnsi="Segoe UI" w:cs="Segoe UI"/>
          <w:b/>
          <w:bCs/>
          <w:color w:val="313131"/>
          <w:kern w:val="36"/>
          <w:sz w:val="36"/>
          <w:szCs w:val="36"/>
          <w:lang w:eastAsia="en-AU"/>
        </w:rPr>
        <w:t xml:space="preserve">(MRFF) </w:t>
      </w:r>
      <w:r w:rsidR="00987A5D">
        <w:rPr>
          <w:rFonts w:ascii="Segoe UI" w:eastAsia="Times New Roman" w:hAnsi="Segoe UI" w:cs="Segoe UI"/>
          <w:b/>
          <w:bCs/>
          <w:color w:val="313131"/>
          <w:kern w:val="36"/>
          <w:sz w:val="36"/>
          <w:szCs w:val="36"/>
          <w:lang w:eastAsia="en-AU"/>
        </w:rPr>
        <w:t xml:space="preserve">RAO </w:t>
      </w:r>
      <w:r w:rsidR="004B7B42">
        <w:rPr>
          <w:rFonts w:ascii="Segoe UI" w:eastAsia="Times New Roman" w:hAnsi="Segoe UI" w:cs="Segoe UI"/>
          <w:b/>
          <w:bCs/>
          <w:color w:val="313131"/>
          <w:kern w:val="36"/>
          <w:sz w:val="36"/>
          <w:szCs w:val="36"/>
          <w:lang w:eastAsia="en-AU"/>
        </w:rPr>
        <w:t>w</w:t>
      </w:r>
      <w:r w:rsidR="00987A5D">
        <w:rPr>
          <w:rFonts w:ascii="Segoe UI" w:eastAsia="Times New Roman" w:hAnsi="Segoe UI" w:cs="Segoe UI"/>
          <w:b/>
          <w:bCs/>
          <w:color w:val="313131"/>
          <w:kern w:val="36"/>
          <w:sz w:val="36"/>
          <w:szCs w:val="36"/>
          <w:lang w:eastAsia="en-AU"/>
        </w:rPr>
        <w:t>ebinar</w:t>
      </w:r>
      <w:r w:rsidR="004B7B42">
        <w:rPr>
          <w:rFonts w:ascii="Segoe UI" w:eastAsia="Times New Roman" w:hAnsi="Segoe UI" w:cs="Segoe UI"/>
          <w:b/>
          <w:bCs/>
          <w:color w:val="313131"/>
          <w:kern w:val="36"/>
          <w:sz w:val="36"/>
          <w:szCs w:val="36"/>
          <w:lang w:eastAsia="en-AU"/>
        </w:rPr>
        <w:t xml:space="preserve"> </w:t>
      </w:r>
      <w:r w:rsidR="002E2A06">
        <w:rPr>
          <w:rFonts w:ascii="Segoe UI" w:eastAsia="Times New Roman" w:hAnsi="Segoe UI" w:cs="Segoe UI"/>
          <w:b/>
          <w:bCs/>
          <w:color w:val="313131"/>
          <w:kern w:val="36"/>
          <w:sz w:val="36"/>
          <w:szCs w:val="36"/>
          <w:lang w:eastAsia="en-AU"/>
        </w:rPr>
        <w:t>(4 August 2022)</w:t>
      </w:r>
      <w:r w:rsidR="00746043">
        <w:rPr>
          <w:rFonts w:ascii="Segoe UI" w:eastAsia="Times New Roman" w:hAnsi="Segoe UI" w:cs="Segoe UI"/>
          <w:b/>
          <w:bCs/>
          <w:color w:val="313131"/>
          <w:kern w:val="36"/>
          <w:sz w:val="36"/>
          <w:szCs w:val="36"/>
          <w:lang w:eastAsia="en-AU"/>
        </w:rPr>
        <w:t xml:space="preserve"> </w:t>
      </w:r>
      <w:r w:rsidR="004B7B42">
        <w:rPr>
          <w:rFonts w:ascii="Segoe UI" w:eastAsia="Times New Roman" w:hAnsi="Segoe UI" w:cs="Segoe UI"/>
          <w:b/>
          <w:bCs/>
          <w:color w:val="313131"/>
          <w:kern w:val="36"/>
          <w:sz w:val="36"/>
          <w:szCs w:val="36"/>
          <w:lang w:eastAsia="en-AU"/>
        </w:rPr>
        <w:t>q</w:t>
      </w:r>
      <w:r w:rsidRPr="0023486B">
        <w:rPr>
          <w:rFonts w:ascii="Segoe UI" w:eastAsia="Times New Roman" w:hAnsi="Segoe UI" w:cs="Segoe UI"/>
          <w:b/>
          <w:bCs/>
          <w:color w:val="313131"/>
          <w:kern w:val="36"/>
          <w:sz w:val="36"/>
          <w:szCs w:val="36"/>
          <w:lang w:eastAsia="en-AU"/>
        </w:rPr>
        <w:t>uestions</w:t>
      </w:r>
    </w:p>
    <w:p w14:paraId="31BA12DD" w14:textId="0A782008" w:rsidR="000D2E38" w:rsidRPr="000D2E38" w:rsidRDefault="000D2E38" w:rsidP="00AA1EC9">
      <w:r w:rsidRPr="00BC171E">
        <w:rPr>
          <w:noProof/>
        </w:rPr>
        <w:drawing>
          <wp:anchor distT="0" distB="0" distL="114300" distR="114300" simplePos="0" relativeHeight="251662336" behindDoc="1" locked="0" layoutInCell="0" allowOverlap="1" wp14:anchorId="23BDB0E8" wp14:editId="3F3871A6">
            <wp:simplePos x="0" y="0"/>
            <wp:positionH relativeFrom="margin">
              <wp:posOffset>4295775</wp:posOffset>
            </wp:positionH>
            <wp:positionV relativeFrom="margin">
              <wp:posOffset>7371715</wp:posOffset>
            </wp:positionV>
            <wp:extent cx="2088000" cy="2054726"/>
            <wp:effectExtent l="0" t="0" r="762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r>
        <w:t xml:space="preserve">The below </w:t>
      </w:r>
      <w:r w:rsidR="000C0198">
        <w:t xml:space="preserve">commonly asked </w:t>
      </w:r>
      <w:r>
        <w:t xml:space="preserve">questions have been collated </w:t>
      </w:r>
      <w:r w:rsidR="000C0198">
        <w:t>by the Department of Health and Aged Care (the Department)</w:t>
      </w:r>
      <w:r w:rsidR="00B22A0D">
        <w:t xml:space="preserve">. The questions were collated through </w:t>
      </w:r>
      <w:r>
        <w:t>the pre-MRFF RAO webinar survey, the MRFF RAO webinar</w:t>
      </w:r>
      <w:r w:rsidR="00480A0A">
        <w:t xml:space="preserve"> held on 4 August 2022</w:t>
      </w:r>
      <w:r>
        <w:t xml:space="preserve">, and stakeholder </w:t>
      </w:r>
      <w:r w:rsidR="000C0198">
        <w:t xml:space="preserve">engagement </w:t>
      </w:r>
      <w:r>
        <w:t>throughout 2022.</w:t>
      </w:r>
    </w:p>
    <w:tbl>
      <w:tblPr>
        <w:tblStyle w:val="TableGrid"/>
        <w:tblW w:w="5000" w:type="pct"/>
        <w:tblLook w:val="04A0" w:firstRow="1" w:lastRow="0" w:firstColumn="1" w:lastColumn="0" w:noHBand="0" w:noVBand="1"/>
        <w:tblDescription w:val="This table list the responses to Medical Research Future Fund Webinar questions (21 July 2021). The table contains 2 heading columns: 1. Themes and Responses"/>
      </w:tblPr>
      <w:tblGrid>
        <w:gridCol w:w="7498"/>
        <w:gridCol w:w="7062"/>
      </w:tblGrid>
      <w:tr w:rsidR="00C7605D" w14:paraId="582819D5" w14:textId="77777777" w:rsidTr="000718C9">
        <w:trPr>
          <w:cantSplit/>
          <w:tblHeader/>
        </w:trPr>
        <w:tc>
          <w:tcPr>
            <w:tcW w:w="2575" w:type="pct"/>
            <w:shd w:val="clear" w:color="auto" w:fill="323E4F" w:themeFill="text2" w:themeFillShade="BF"/>
            <w:vAlign w:val="center"/>
          </w:tcPr>
          <w:p w14:paraId="1C50AE81" w14:textId="48D27D0A" w:rsidR="00C7605D" w:rsidRPr="00C03FF9" w:rsidRDefault="00B22A0D" w:rsidP="0063239C">
            <w:pPr>
              <w:pStyle w:val="TableofAuthorities"/>
            </w:pPr>
            <w:r w:rsidRPr="00C03FF9">
              <w:t>Theme</w:t>
            </w:r>
            <w:r>
              <w:t>/Question</w:t>
            </w:r>
          </w:p>
        </w:tc>
        <w:tc>
          <w:tcPr>
            <w:tcW w:w="2425" w:type="pct"/>
            <w:shd w:val="clear" w:color="auto" w:fill="323E4F" w:themeFill="text2" w:themeFillShade="BF"/>
            <w:vAlign w:val="center"/>
          </w:tcPr>
          <w:p w14:paraId="5E435531" w14:textId="4E13BC67" w:rsidR="00C7605D" w:rsidRPr="00C03FF9" w:rsidRDefault="00C7605D" w:rsidP="0063239C">
            <w:pPr>
              <w:pStyle w:val="TableofAuthorities"/>
            </w:pPr>
            <w:r>
              <w:t>Response</w:t>
            </w:r>
          </w:p>
        </w:tc>
      </w:tr>
      <w:tr w:rsidR="00D0135C" w14:paraId="37404CEE" w14:textId="77777777" w:rsidTr="00D0135C">
        <w:trPr>
          <w:trHeight w:val="353"/>
        </w:trPr>
        <w:tc>
          <w:tcPr>
            <w:tcW w:w="5000" w:type="pct"/>
            <w:gridSpan w:val="2"/>
            <w:shd w:val="clear" w:color="auto" w:fill="8496B0" w:themeFill="text2" w:themeFillTint="99"/>
          </w:tcPr>
          <w:p w14:paraId="569BEF83" w14:textId="54F472AD" w:rsidR="00D0135C" w:rsidRPr="00D0135C" w:rsidRDefault="00D0135C" w:rsidP="00AA1EC9">
            <w:r w:rsidRPr="003D70C4">
              <w:t>Dat</w:t>
            </w:r>
            <w:r>
              <w:t>a</w:t>
            </w:r>
          </w:p>
        </w:tc>
      </w:tr>
      <w:tr w:rsidR="004C27C4" w14:paraId="7B1A82F8" w14:textId="77777777" w:rsidTr="00BB6FA6">
        <w:tc>
          <w:tcPr>
            <w:tcW w:w="2575" w:type="pct"/>
          </w:tcPr>
          <w:p w14:paraId="36DD470A" w14:textId="49E2E050" w:rsidR="004C27C4" w:rsidRPr="003D70C4" w:rsidRDefault="004C27C4" w:rsidP="00AA1EC9">
            <w:pPr>
              <w:rPr>
                <w:b/>
                <w:bCs/>
              </w:rPr>
            </w:pPr>
            <w:r w:rsidRPr="00D0135C">
              <w:t>Will the Department provide information on the number of applications for each grant opportunity in the future? Will success metrics (number applied vs number funded) be available for grant opportunities?</w:t>
            </w:r>
          </w:p>
        </w:tc>
        <w:tc>
          <w:tcPr>
            <w:tcW w:w="2425" w:type="pct"/>
          </w:tcPr>
          <w:p w14:paraId="61FB272B" w14:textId="04508A4D" w:rsidR="004C27C4" w:rsidRPr="00AA1EC9" w:rsidRDefault="00D0135C" w:rsidP="00AA1EC9">
            <w:r w:rsidRPr="00D0135C">
              <w:t xml:space="preserve">The Department will continue exploring options for analysis of MRFF data, including statistics such as </w:t>
            </w:r>
            <w:r w:rsidR="00931081">
              <w:t>funded</w:t>
            </w:r>
            <w:r w:rsidR="00931081" w:rsidRPr="00D0135C">
              <w:t xml:space="preserve"> </w:t>
            </w:r>
            <w:r w:rsidRPr="00D0135C">
              <w:t>rates.</w:t>
            </w:r>
          </w:p>
        </w:tc>
      </w:tr>
      <w:tr w:rsidR="004C27C4" w14:paraId="0D87AECA" w14:textId="77777777" w:rsidTr="00BB6FA6">
        <w:tc>
          <w:tcPr>
            <w:tcW w:w="2575" w:type="pct"/>
          </w:tcPr>
          <w:p w14:paraId="725DC0F2" w14:textId="5A1A4C09" w:rsidR="004C27C4" w:rsidRPr="00AA1EC9" w:rsidRDefault="004C27C4" w:rsidP="00AA1EC9">
            <w:r w:rsidRPr="00D0135C">
              <w:t>Can the MRFF grant recipient page be updated more frequently?</w:t>
            </w:r>
          </w:p>
        </w:tc>
        <w:tc>
          <w:tcPr>
            <w:tcW w:w="2425" w:type="pct"/>
          </w:tcPr>
          <w:p w14:paraId="11BFFE33" w14:textId="1FC43422" w:rsidR="004C27C4" w:rsidRDefault="00D0135C" w:rsidP="00AA1EC9">
            <w:pPr>
              <w:rPr>
                <w:rFonts w:ascii="Calibri" w:hAnsi="Calibri" w:cs="Calibri"/>
                <w:szCs w:val="20"/>
              </w:rPr>
            </w:pPr>
            <w:r w:rsidRPr="00D0135C">
              <w:rPr>
                <w:rFonts w:ascii="Calibri" w:hAnsi="Calibri" w:cs="Calibri"/>
                <w:szCs w:val="20"/>
              </w:rPr>
              <w:t xml:space="preserve">The MRFF Grant Recipients list is now reviewed monthly. You can view the list on the </w:t>
            </w:r>
            <w:hyperlink r:id="rId8" w:history="1">
              <w:r w:rsidRPr="00D0135C">
                <w:rPr>
                  <w:rStyle w:val="Hyperlink"/>
                  <w:rFonts w:ascii="Calibri" w:hAnsi="Calibri" w:cs="Calibri"/>
                  <w:szCs w:val="20"/>
                </w:rPr>
                <w:t>Department website</w:t>
              </w:r>
            </w:hyperlink>
            <w:r w:rsidRPr="00D0135C">
              <w:rPr>
                <w:rFonts w:ascii="Calibri" w:hAnsi="Calibri" w:cs="Calibri"/>
                <w:szCs w:val="20"/>
              </w:rPr>
              <w:t>.</w:t>
            </w:r>
          </w:p>
        </w:tc>
      </w:tr>
      <w:tr w:rsidR="004C27C4" w14:paraId="2EEFECAB" w14:textId="77777777" w:rsidTr="00BB6FA6">
        <w:tc>
          <w:tcPr>
            <w:tcW w:w="2575" w:type="pct"/>
          </w:tcPr>
          <w:p w14:paraId="23CF9BC0" w14:textId="5515C80C" w:rsidR="004C27C4" w:rsidRPr="003D70C4" w:rsidRDefault="00D0135C" w:rsidP="00AA1EC9">
            <w:pPr>
              <w:rPr>
                <w:b/>
                <w:bCs/>
              </w:rPr>
            </w:pPr>
            <w:r w:rsidRPr="003D70C4">
              <w:t xml:space="preserve">Would the </w:t>
            </w:r>
            <w:r>
              <w:t>Department</w:t>
            </w:r>
            <w:r w:rsidRPr="003D70C4">
              <w:t xml:space="preserve"> consider releasing all MRFF outcomes in a file format (</w:t>
            </w:r>
            <w:r>
              <w:t>E</w:t>
            </w:r>
            <w:r w:rsidRPr="003D70C4">
              <w:t>xcel spreadsheet)?</w:t>
            </w:r>
          </w:p>
        </w:tc>
        <w:tc>
          <w:tcPr>
            <w:tcW w:w="2425" w:type="pct"/>
          </w:tcPr>
          <w:p w14:paraId="6E96EC30" w14:textId="244F7E47" w:rsidR="004C27C4" w:rsidRPr="00D0135C" w:rsidRDefault="00D0135C" w:rsidP="00AA1EC9">
            <w:pPr>
              <w:rPr>
                <w:rFonts w:ascii="Calibri" w:hAnsi="Calibri" w:cs="Calibri"/>
                <w:szCs w:val="20"/>
              </w:rPr>
            </w:pPr>
            <w:r w:rsidRPr="00D0135C">
              <w:rPr>
                <w:rFonts w:ascii="Calibri" w:hAnsi="Calibri" w:cs="Calibri"/>
                <w:szCs w:val="20"/>
              </w:rPr>
              <w:t xml:space="preserve">Details of MRFF grant recipients are available in both Excel and PDF formats on the </w:t>
            </w:r>
            <w:hyperlink r:id="rId9" w:history="1">
              <w:r w:rsidRPr="00D0135C">
                <w:rPr>
                  <w:rStyle w:val="Hyperlink"/>
                  <w:rFonts w:ascii="Calibri" w:hAnsi="Calibri" w:cs="Calibri"/>
                  <w:szCs w:val="20"/>
                </w:rPr>
                <w:t>Department website</w:t>
              </w:r>
            </w:hyperlink>
            <w:r w:rsidRPr="00D0135C">
              <w:rPr>
                <w:rFonts w:ascii="Calibri" w:hAnsi="Calibri" w:cs="Calibri"/>
                <w:szCs w:val="20"/>
              </w:rPr>
              <w:t>.</w:t>
            </w:r>
          </w:p>
        </w:tc>
      </w:tr>
      <w:tr w:rsidR="00D0135C" w14:paraId="3514720C" w14:textId="77777777" w:rsidTr="00D0135C">
        <w:tc>
          <w:tcPr>
            <w:tcW w:w="5000" w:type="pct"/>
            <w:gridSpan w:val="2"/>
            <w:shd w:val="clear" w:color="auto" w:fill="8496B0" w:themeFill="text2" w:themeFillTint="99"/>
          </w:tcPr>
          <w:p w14:paraId="1080B7B6" w14:textId="0DB57D10" w:rsidR="00D0135C" w:rsidRPr="00D0135C" w:rsidRDefault="00D0135C" w:rsidP="00AA1EC9">
            <w:r>
              <w:t>Grant Opportunity Guidelines and Applications</w:t>
            </w:r>
          </w:p>
        </w:tc>
      </w:tr>
      <w:tr w:rsidR="004C27C4" w14:paraId="2A28A85E" w14:textId="77777777" w:rsidTr="00D0135C">
        <w:trPr>
          <w:trHeight w:val="498"/>
        </w:trPr>
        <w:tc>
          <w:tcPr>
            <w:tcW w:w="2575" w:type="pct"/>
          </w:tcPr>
          <w:p w14:paraId="77D7F36E" w14:textId="108F3E73" w:rsidR="004C27C4" w:rsidRPr="00046B7F" w:rsidRDefault="00D0135C" w:rsidP="00AA1EC9">
            <w:pPr>
              <w:rPr>
                <w:b/>
                <w:bCs/>
                <w:highlight w:val="yellow"/>
              </w:rPr>
            </w:pPr>
            <w:r w:rsidRPr="00D12C11">
              <w:t>What are the criteria for deciding whether an addendum is issued? Who makes the decision and how is consistency in approach achieved across grant opportunities and administering grant hub</w:t>
            </w:r>
            <w:r w:rsidR="00B22A0D" w:rsidRPr="00D12C11">
              <w:t>s</w:t>
            </w:r>
            <w:r w:rsidRPr="00D12C11">
              <w:t xml:space="preserve"> (Business Grants Hub (BGH) or National Health and Medical Research Council (NHMRC))?</w:t>
            </w:r>
          </w:p>
        </w:tc>
        <w:tc>
          <w:tcPr>
            <w:tcW w:w="2425" w:type="pct"/>
          </w:tcPr>
          <w:p w14:paraId="32A2C9E8" w14:textId="3F24B83B" w:rsidR="004C27C4" w:rsidRPr="00AA1EC9" w:rsidRDefault="00D0135C" w:rsidP="00AA1EC9">
            <w:r w:rsidRPr="003C6374">
              <w:t xml:space="preserve">Addenda are issued when </w:t>
            </w:r>
            <w:r w:rsidR="007A2A81">
              <w:t xml:space="preserve">key date changes or </w:t>
            </w:r>
            <w:r w:rsidRPr="003C6374">
              <w:t xml:space="preserve">clarification of intent </w:t>
            </w:r>
            <w:r w:rsidR="007A2A81">
              <w:t>must</w:t>
            </w:r>
            <w:r w:rsidRPr="003C6374">
              <w:t xml:space="preserve"> be provided to all applicants.</w:t>
            </w:r>
            <w:r w:rsidR="007A2A81" w:rsidRPr="003C6374">
              <w:t xml:space="preserve"> </w:t>
            </w:r>
            <w:r w:rsidR="00CB6AC3">
              <w:t>An</w:t>
            </w:r>
            <w:r w:rsidR="007A2A81" w:rsidRPr="003C6374">
              <w:t xml:space="preserve"> addendum </w:t>
            </w:r>
            <w:r w:rsidR="007A2A81">
              <w:t xml:space="preserve">is </w:t>
            </w:r>
            <w:r w:rsidR="00CB6AC3">
              <w:t xml:space="preserve">issued </w:t>
            </w:r>
            <w:r w:rsidR="007A2A81">
              <w:t>by</w:t>
            </w:r>
            <w:r w:rsidR="007A2A81" w:rsidRPr="003C6374">
              <w:t xml:space="preserve"> the grant administration hub (BGH, NHMRC), in consultation with the Department.</w:t>
            </w:r>
          </w:p>
        </w:tc>
      </w:tr>
      <w:tr w:rsidR="004C27C4" w14:paraId="2420FF6D" w14:textId="77777777" w:rsidTr="00BB6FA6">
        <w:tc>
          <w:tcPr>
            <w:tcW w:w="2575" w:type="pct"/>
          </w:tcPr>
          <w:p w14:paraId="6147EE64" w14:textId="7EBC78B6" w:rsidR="004C27C4" w:rsidRPr="00AA1EC9" w:rsidRDefault="00D0135C" w:rsidP="00AA1EC9">
            <w:r w:rsidRPr="004D78F8">
              <w:t>Will FAQs for each grant opportunity be published?</w:t>
            </w:r>
          </w:p>
        </w:tc>
        <w:tc>
          <w:tcPr>
            <w:tcW w:w="2425" w:type="pct"/>
          </w:tcPr>
          <w:p w14:paraId="1F914C18" w14:textId="33990E2B" w:rsidR="004C27C4" w:rsidRPr="003C6374" w:rsidRDefault="00D0135C" w:rsidP="00AA1EC9">
            <w:r w:rsidRPr="003C6374">
              <w:t xml:space="preserve">Currently, FAQs or addenda are issued where clarification of intent following the release of grant opportunity guidelines is required. However, the Department will </w:t>
            </w:r>
            <w:r w:rsidRPr="003C6374">
              <w:lastRenderedPageBreak/>
              <w:t>consider this feedback</w:t>
            </w:r>
            <w:r w:rsidR="00931081" w:rsidRPr="003C6374">
              <w:t xml:space="preserve"> (in consultation with NHMRC and BGH)</w:t>
            </w:r>
            <w:r w:rsidRPr="003C6374">
              <w:t xml:space="preserve"> as part of future improvements.</w:t>
            </w:r>
          </w:p>
        </w:tc>
      </w:tr>
      <w:tr w:rsidR="004C27C4" w14:paraId="4F7FD923" w14:textId="77777777" w:rsidTr="00BB6FA6">
        <w:tc>
          <w:tcPr>
            <w:tcW w:w="2575" w:type="pct"/>
          </w:tcPr>
          <w:p w14:paraId="584BC26E" w14:textId="3FE1C771" w:rsidR="004C27C4" w:rsidRPr="003D70C4" w:rsidRDefault="00D0135C" w:rsidP="00AA1EC9">
            <w:pPr>
              <w:rPr>
                <w:b/>
                <w:bCs/>
              </w:rPr>
            </w:pPr>
            <w:r w:rsidRPr="00D0135C">
              <w:lastRenderedPageBreak/>
              <w:t>Can more definitions be included in the grant opportunity guidelines (</w:t>
            </w:r>
            <w:r w:rsidR="007F20C7" w:rsidRPr="00D0135C">
              <w:t>e.g.,</w:t>
            </w:r>
            <w:r w:rsidRPr="00D0135C">
              <w:t xml:space="preserve"> partner vs participating institution)?</w:t>
            </w:r>
          </w:p>
        </w:tc>
        <w:tc>
          <w:tcPr>
            <w:tcW w:w="2425" w:type="pct"/>
          </w:tcPr>
          <w:p w14:paraId="6D6ED21F" w14:textId="48CA612E" w:rsidR="004C27C4" w:rsidRDefault="00D0135C" w:rsidP="00AA1EC9">
            <w:r w:rsidRPr="00D0135C">
              <w:t xml:space="preserve">The Department reviews standard content in grant opportunity guidelines regularly. </w:t>
            </w:r>
            <w:r w:rsidR="00931081">
              <w:t>The Department is working to provide m</w:t>
            </w:r>
            <w:r w:rsidRPr="00D0135C">
              <w:t xml:space="preserve">ore information on </w:t>
            </w:r>
            <w:r w:rsidR="00B22A0D">
              <w:t>partner organisations</w:t>
            </w:r>
            <w:r w:rsidR="00B22A0D" w:rsidRPr="00D0135C">
              <w:t xml:space="preserve"> </w:t>
            </w:r>
            <w:r w:rsidR="00931081">
              <w:t xml:space="preserve">as part of upcoming grant opportunity guidelines. </w:t>
            </w:r>
          </w:p>
        </w:tc>
      </w:tr>
      <w:tr w:rsidR="004C27C4" w14:paraId="1FD2DBFC" w14:textId="77777777" w:rsidTr="00BB6FA6">
        <w:tc>
          <w:tcPr>
            <w:tcW w:w="2575" w:type="pct"/>
          </w:tcPr>
          <w:p w14:paraId="3B32CB3C" w14:textId="1F6FD0AF" w:rsidR="004C27C4" w:rsidRPr="00AA1EC9" w:rsidRDefault="00D0135C" w:rsidP="00AA1EC9">
            <w:r w:rsidRPr="00D12C11">
              <w:t>Can grant opportunities be grouped so more popular grant opportunities do not have competing deadlines?</w:t>
            </w:r>
          </w:p>
        </w:tc>
        <w:tc>
          <w:tcPr>
            <w:tcW w:w="2425" w:type="pct"/>
          </w:tcPr>
          <w:p w14:paraId="26AB972A" w14:textId="11C164E9" w:rsidR="004C27C4" w:rsidRPr="003C6374" w:rsidRDefault="00D0135C" w:rsidP="00AA1EC9">
            <w:pPr>
              <w:rPr>
                <w:rFonts w:ascii="Calibri" w:hAnsi="Calibri" w:cs="Calibri"/>
                <w:szCs w:val="20"/>
              </w:rPr>
            </w:pPr>
            <w:r w:rsidRPr="003C6374">
              <w:rPr>
                <w:rFonts w:ascii="Calibri" w:hAnsi="Calibri" w:cs="Calibri"/>
                <w:szCs w:val="20"/>
              </w:rPr>
              <w:t>The Department continues to actively work with NHMRC on scheduling MRFF grant opportunities, taking into consideration ARC and NHMRC schedules, as well as holiday periods and school holidays, among others.</w:t>
            </w:r>
          </w:p>
        </w:tc>
      </w:tr>
      <w:tr w:rsidR="00D0135C" w14:paraId="5B44D61B" w14:textId="77777777" w:rsidTr="00BB6FA6">
        <w:tc>
          <w:tcPr>
            <w:tcW w:w="2575" w:type="pct"/>
          </w:tcPr>
          <w:p w14:paraId="6B4C2914" w14:textId="1B35F934" w:rsidR="00D0135C" w:rsidRPr="003D70C4" w:rsidRDefault="00D0135C" w:rsidP="00AA1EC9">
            <w:pPr>
              <w:rPr>
                <w:b/>
                <w:bCs/>
              </w:rPr>
            </w:pPr>
            <w:r w:rsidRPr="00D0135C">
              <w:t>Would the Department consider giving the actual dates for "the last 5-years" instead of a definition that has proven difficult to interpret?</w:t>
            </w:r>
          </w:p>
        </w:tc>
        <w:tc>
          <w:tcPr>
            <w:tcW w:w="2425" w:type="pct"/>
          </w:tcPr>
          <w:p w14:paraId="63D0C5E5" w14:textId="500D95FF" w:rsidR="00D0135C" w:rsidRPr="003C6374" w:rsidRDefault="00D0135C" w:rsidP="00AA1EC9">
            <w:pPr>
              <w:rPr>
                <w:rFonts w:ascii="Calibri" w:hAnsi="Calibri" w:cs="Calibri"/>
                <w:szCs w:val="20"/>
              </w:rPr>
            </w:pPr>
            <w:r w:rsidRPr="003C6374">
              <w:rPr>
                <w:rFonts w:ascii="Calibri" w:hAnsi="Calibri" w:cs="Calibri"/>
                <w:szCs w:val="20"/>
              </w:rPr>
              <w:t xml:space="preserve">The Department has updated definitions and information </w:t>
            </w:r>
            <w:r w:rsidR="00B22A0D" w:rsidRPr="003C6374">
              <w:rPr>
                <w:rFonts w:ascii="Calibri" w:hAnsi="Calibri" w:cs="Calibri"/>
                <w:szCs w:val="20"/>
              </w:rPr>
              <w:t xml:space="preserve">relating to ‘the last 5 years’ </w:t>
            </w:r>
            <w:r w:rsidRPr="003C6374">
              <w:rPr>
                <w:rFonts w:ascii="Calibri" w:hAnsi="Calibri" w:cs="Calibri"/>
                <w:szCs w:val="20"/>
              </w:rPr>
              <w:t>in guidelines for upcoming grant opportunities.</w:t>
            </w:r>
            <w:r w:rsidR="00931081" w:rsidRPr="003C6374">
              <w:rPr>
                <w:rFonts w:ascii="Calibri" w:hAnsi="Calibri" w:cs="Calibri"/>
                <w:szCs w:val="20"/>
              </w:rPr>
              <w:t xml:space="preserve"> We will monitor the impact of these changes and consider further revisions if required.</w:t>
            </w:r>
          </w:p>
        </w:tc>
      </w:tr>
      <w:tr w:rsidR="00D0135C" w14:paraId="5F2D14EE" w14:textId="77777777" w:rsidTr="00BB6FA6">
        <w:tc>
          <w:tcPr>
            <w:tcW w:w="2575" w:type="pct"/>
          </w:tcPr>
          <w:p w14:paraId="6D3F5C25" w14:textId="1FA59913" w:rsidR="00D0135C" w:rsidRPr="00AA1EC9" w:rsidRDefault="00D0135C" w:rsidP="00AA1EC9">
            <w:r w:rsidRPr="00D0135C">
              <w:t>Is the PhD awarded date the graduation ceremony date or the acceptance letter date?</w:t>
            </w:r>
          </w:p>
        </w:tc>
        <w:tc>
          <w:tcPr>
            <w:tcW w:w="2425" w:type="pct"/>
          </w:tcPr>
          <w:p w14:paraId="32BEDCE5" w14:textId="1E8BF490" w:rsidR="00D0135C" w:rsidRDefault="00D0135C" w:rsidP="00AA1EC9">
            <w:pPr>
              <w:rPr>
                <w:rFonts w:ascii="Calibri" w:hAnsi="Calibri" w:cs="Calibri"/>
                <w:szCs w:val="20"/>
              </w:rPr>
            </w:pPr>
            <w:r>
              <w:rPr>
                <w:rFonts w:ascii="Calibri" w:hAnsi="Calibri" w:cs="Calibri"/>
                <w:szCs w:val="20"/>
              </w:rPr>
              <w:t xml:space="preserve">The Department has updated information </w:t>
            </w:r>
            <w:r w:rsidR="00B22A0D">
              <w:rPr>
                <w:rFonts w:ascii="Calibri" w:hAnsi="Calibri" w:cs="Calibri"/>
                <w:szCs w:val="20"/>
              </w:rPr>
              <w:t xml:space="preserve">relating </w:t>
            </w:r>
            <w:r>
              <w:rPr>
                <w:rFonts w:ascii="Calibri" w:hAnsi="Calibri" w:cs="Calibri"/>
                <w:szCs w:val="20"/>
              </w:rPr>
              <w:t>to PhD award date in guidelines for upcoming grant opportunities.</w:t>
            </w:r>
            <w:r w:rsidR="00D60535">
              <w:rPr>
                <w:rFonts w:ascii="Calibri" w:hAnsi="Calibri" w:cs="Calibri"/>
                <w:szCs w:val="20"/>
              </w:rPr>
              <w:t xml:space="preserve"> The </w:t>
            </w:r>
            <w:r w:rsidR="00D60535" w:rsidRPr="00D60535">
              <w:rPr>
                <w:rFonts w:ascii="Calibri" w:hAnsi="Calibri" w:cs="Calibri"/>
                <w:szCs w:val="20"/>
              </w:rPr>
              <w:t>PhD award date</w:t>
            </w:r>
            <w:r w:rsidR="00D60535">
              <w:rPr>
                <w:rFonts w:ascii="Calibri" w:hAnsi="Calibri" w:cs="Calibri"/>
                <w:szCs w:val="20"/>
              </w:rPr>
              <w:t xml:space="preserve"> is t</w:t>
            </w:r>
            <w:r w:rsidR="00D60535" w:rsidRPr="00D60535">
              <w:rPr>
                <w:rFonts w:ascii="Calibri" w:hAnsi="Calibri" w:cs="Calibri"/>
                <w:szCs w:val="20"/>
              </w:rPr>
              <w:t>he date an individual’s Doctor of Philosophy (</w:t>
            </w:r>
            <w:r w:rsidR="00151F4E" w:rsidRPr="00D60535">
              <w:rPr>
                <w:rFonts w:ascii="Calibri" w:hAnsi="Calibri" w:cs="Calibri"/>
                <w:szCs w:val="20"/>
              </w:rPr>
              <w:t>Ph</w:t>
            </w:r>
            <w:r w:rsidR="00151F4E">
              <w:rPr>
                <w:rFonts w:ascii="Calibri" w:hAnsi="Calibri" w:cs="Calibri"/>
                <w:szCs w:val="20"/>
              </w:rPr>
              <w:t>D</w:t>
            </w:r>
            <w:r w:rsidR="00D60535" w:rsidRPr="00D60535">
              <w:rPr>
                <w:rFonts w:ascii="Calibri" w:hAnsi="Calibri" w:cs="Calibri"/>
                <w:szCs w:val="20"/>
              </w:rPr>
              <w:t>) thesis is passed (not the date of conferral).</w:t>
            </w:r>
          </w:p>
        </w:tc>
      </w:tr>
      <w:tr w:rsidR="00D0135C" w14:paraId="47361B25" w14:textId="77777777" w:rsidTr="00BB6FA6">
        <w:tc>
          <w:tcPr>
            <w:tcW w:w="2575" w:type="pct"/>
          </w:tcPr>
          <w:p w14:paraId="309A6BC6" w14:textId="2EEE3D07" w:rsidR="00D0135C" w:rsidRPr="00AA1EC9" w:rsidRDefault="00D0135C" w:rsidP="00AA1EC9">
            <w:r w:rsidRPr="00D0135C">
              <w:t>For clinician researchers, could MD be sufficient rather than PhD for eligibility purposes?</w:t>
            </w:r>
          </w:p>
        </w:tc>
        <w:tc>
          <w:tcPr>
            <w:tcW w:w="2425" w:type="pct"/>
          </w:tcPr>
          <w:p w14:paraId="2F255B8E" w14:textId="7AEED4E1" w:rsidR="00D0135C" w:rsidRDefault="00D0135C" w:rsidP="00AA1EC9">
            <w:pPr>
              <w:rPr>
                <w:rFonts w:ascii="Calibri" w:hAnsi="Calibri" w:cs="Calibri"/>
                <w:szCs w:val="20"/>
              </w:rPr>
            </w:pPr>
            <w:r>
              <w:rPr>
                <w:rFonts w:ascii="Calibri" w:hAnsi="Calibri" w:cs="Calibri"/>
                <w:szCs w:val="20"/>
              </w:rPr>
              <w:t xml:space="preserve">It is important to check the eligibility requirements of the grant opportunity being applied for. Only some MRFF grant opportunities require PhD for eligibility purposes; in those </w:t>
            </w:r>
            <w:proofErr w:type="gramStart"/>
            <w:r>
              <w:rPr>
                <w:rFonts w:ascii="Calibri" w:hAnsi="Calibri" w:cs="Calibri"/>
                <w:szCs w:val="20"/>
              </w:rPr>
              <w:t>instances</w:t>
            </w:r>
            <w:proofErr w:type="gramEnd"/>
            <w:r>
              <w:rPr>
                <w:rFonts w:ascii="Calibri" w:hAnsi="Calibri" w:cs="Calibri"/>
                <w:szCs w:val="20"/>
              </w:rPr>
              <w:t xml:space="preserve"> the clinician researchers applying would be expected to hold a PhD.</w:t>
            </w:r>
          </w:p>
        </w:tc>
      </w:tr>
      <w:tr w:rsidR="00D0135C" w14:paraId="145AF2EC" w14:textId="77777777" w:rsidTr="00BB6FA6">
        <w:tc>
          <w:tcPr>
            <w:tcW w:w="2575" w:type="pct"/>
          </w:tcPr>
          <w:p w14:paraId="6C1A4226" w14:textId="77777777" w:rsidR="00D0135C" w:rsidRPr="00AA1EC9" w:rsidRDefault="00D0135C" w:rsidP="00AA1EC9">
            <w:r w:rsidRPr="00D12C11">
              <w:t>Letters of support:</w:t>
            </w:r>
          </w:p>
          <w:p w14:paraId="4668AB2F" w14:textId="36D1EF33" w:rsidR="00D0135C" w:rsidRPr="00CB6AC3" w:rsidRDefault="00D0135C" w:rsidP="00AA1EC9">
            <w:pPr>
              <w:pStyle w:val="ListContinue"/>
            </w:pPr>
            <w:r w:rsidRPr="00D12C11">
              <w:t>When are letters of support required?</w:t>
            </w:r>
            <w:r w:rsidR="00CB6AC3" w:rsidRPr="00D12C11">
              <w:t xml:space="preserve"> For grants submitted through BGH, are letters of support required from all organisations including those that have Chief Investigators (CIs)?</w:t>
            </w:r>
          </w:p>
          <w:p w14:paraId="158B5703" w14:textId="491A3F71" w:rsidR="00D0135C" w:rsidRPr="00AA1EC9" w:rsidRDefault="00D0135C" w:rsidP="00AA1EC9">
            <w:pPr>
              <w:pStyle w:val="ListContinue"/>
            </w:pPr>
            <w:r w:rsidRPr="00D12C11">
              <w:t>How are letters of support used?</w:t>
            </w:r>
          </w:p>
        </w:tc>
        <w:tc>
          <w:tcPr>
            <w:tcW w:w="2425" w:type="pct"/>
          </w:tcPr>
          <w:p w14:paraId="3E5C40B4" w14:textId="5092241C" w:rsidR="00D0135C" w:rsidRPr="00AA1EC9" w:rsidRDefault="00D0135C" w:rsidP="00AA1EC9">
            <w:pPr>
              <w:pStyle w:val="ListContinue"/>
              <w:numPr>
                <w:ilvl w:val="0"/>
                <w:numId w:val="42"/>
              </w:numPr>
            </w:pPr>
            <w:r w:rsidRPr="00AA1EC9">
              <w:t xml:space="preserve">Letters of support requirements are stipulated in the relevant grant opportunity guidelines. In general, letters of support are not expected from organisations that have </w:t>
            </w:r>
            <w:r w:rsidR="00A87B47" w:rsidRPr="00AA1EC9">
              <w:t>CIs</w:t>
            </w:r>
            <w:r w:rsidRPr="00AA1EC9">
              <w:t xml:space="preserve"> listed on the grant, unless it is a requirement within the guidelines (</w:t>
            </w:r>
            <w:r w:rsidR="007F20C7" w:rsidRPr="00AA1EC9">
              <w:t>e.g.,</w:t>
            </w:r>
            <w:r w:rsidRPr="00AA1EC9">
              <w:t xml:space="preserve"> where mandatory cash co-contributions </w:t>
            </w:r>
            <w:r w:rsidR="00B22A0D" w:rsidRPr="00AA1EC9">
              <w:t>are</w:t>
            </w:r>
            <w:r w:rsidRPr="00AA1EC9">
              <w:t xml:space="preserve"> needed). </w:t>
            </w:r>
            <w:r w:rsidR="00CB6AC3" w:rsidRPr="00AA1EC9">
              <w:t>Specific questions in relation to a particular grant opportunity and its requirements should be emailed to the respective hub (BGH or NHMRC).</w:t>
            </w:r>
          </w:p>
          <w:p w14:paraId="1D95BC06" w14:textId="63501D05" w:rsidR="00D0135C" w:rsidRPr="00AA1EC9" w:rsidRDefault="00D0135C" w:rsidP="00AA1EC9">
            <w:pPr>
              <w:pStyle w:val="ListContinue"/>
            </w:pPr>
            <w:r w:rsidRPr="00AA1EC9">
              <w:t xml:space="preserve">Letters of support are reviewed by the grant assessment committee as part of their deliberations. </w:t>
            </w:r>
          </w:p>
        </w:tc>
      </w:tr>
      <w:tr w:rsidR="00D0135C" w14:paraId="6E76553B" w14:textId="77777777" w:rsidTr="00BB6FA6">
        <w:tc>
          <w:tcPr>
            <w:tcW w:w="2575" w:type="pct"/>
          </w:tcPr>
          <w:p w14:paraId="1AE32E5C" w14:textId="77777777" w:rsidR="00D0135C" w:rsidRPr="00AA1EC9" w:rsidRDefault="00D0135C" w:rsidP="00AA1EC9">
            <w:r w:rsidRPr="00D0135C">
              <w:t>Consumers:</w:t>
            </w:r>
          </w:p>
          <w:p w14:paraId="187642C9" w14:textId="77777777" w:rsidR="00D0135C" w:rsidRPr="00C975DA" w:rsidRDefault="00D0135C" w:rsidP="00AA1EC9">
            <w:pPr>
              <w:pStyle w:val="ListContinue"/>
              <w:numPr>
                <w:ilvl w:val="0"/>
                <w:numId w:val="41"/>
              </w:numPr>
            </w:pPr>
            <w:r w:rsidRPr="00C975DA">
              <w:t>Can consumer costs be paid under Other Direct Research Costs?</w:t>
            </w:r>
          </w:p>
          <w:p w14:paraId="20C78037" w14:textId="77777777" w:rsidR="00D0135C" w:rsidRDefault="00D0135C" w:rsidP="00AA1EC9">
            <w:pPr>
              <w:pStyle w:val="ListContinue"/>
            </w:pPr>
            <w:r w:rsidRPr="00C975DA">
              <w:t xml:space="preserve">Is consumer </w:t>
            </w:r>
            <w:r>
              <w:t>involvement</w:t>
            </w:r>
            <w:r w:rsidRPr="00C975DA">
              <w:t xml:space="preserve"> a necessary component of a successful application?</w:t>
            </w:r>
          </w:p>
          <w:p w14:paraId="4A2F84D5" w14:textId="7C3F3B01" w:rsidR="00D0135C" w:rsidRPr="00D0135C" w:rsidRDefault="00D0135C" w:rsidP="00AA1EC9">
            <w:pPr>
              <w:pStyle w:val="ListContinue"/>
            </w:pPr>
            <w:r w:rsidRPr="00D0135C">
              <w:t>Do all grant opportunities allow for consumers as CIs, or do some require a PhD?</w:t>
            </w:r>
          </w:p>
        </w:tc>
        <w:tc>
          <w:tcPr>
            <w:tcW w:w="2425" w:type="pct"/>
          </w:tcPr>
          <w:p w14:paraId="0806C25E" w14:textId="33E066DE" w:rsidR="00D0135C" w:rsidRPr="003C6374" w:rsidRDefault="00D0135C" w:rsidP="00AA1EC9">
            <w:pPr>
              <w:pStyle w:val="ListContinue"/>
              <w:numPr>
                <w:ilvl w:val="0"/>
                <w:numId w:val="40"/>
              </w:numPr>
            </w:pPr>
            <w:r w:rsidRPr="003C6374">
              <w:t>Remuneration of consumers is considered eligible expenditure where that activity is integral to achieving the approved research objectives of a grant (</w:t>
            </w:r>
            <w:r w:rsidR="00A66EFE" w:rsidRPr="003C6374">
              <w:t>i.e.,</w:t>
            </w:r>
            <w:r w:rsidRPr="003C6374">
              <w:t xml:space="preserve"> there are direct, demonstrated and monitored links to project objectives and outcomes). The relevant classification of the expenditure (for example, 'Other Direct Research Costs’) is defined in the grant opportunity guidelines.</w:t>
            </w:r>
          </w:p>
          <w:p w14:paraId="0DEE58EF" w14:textId="419D77E6" w:rsidR="00D0135C" w:rsidRPr="003C6374" w:rsidRDefault="00D0135C" w:rsidP="00AA1EC9">
            <w:pPr>
              <w:pStyle w:val="ListContinue"/>
            </w:pPr>
            <w:r w:rsidRPr="003C6374">
              <w:t xml:space="preserve">Requirements regarding consumer involvement are specified in grant opportunity guidelines. The descriptors for the four MRFF criteria that are used to assess applications to MRFF grant opportunities have recently been </w:t>
            </w:r>
            <w:r w:rsidR="00931081" w:rsidRPr="003C6374">
              <w:t xml:space="preserve">updated </w:t>
            </w:r>
            <w:r w:rsidR="00931081" w:rsidRPr="003C6374">
              <w:lastRenderedPageBreak/>
              <w:t>to in</w:t>
            </w:r>
            <w:r w:rsidRPr="003C6374">
              <w:t xml:space="preserve">clude expectations for consumer involvement. More information regarding the refresh can be found </w:t>
            </w:r>
            <w:hyperlink r:id="rId10" w:history="1">
              <w:r w:rsidR="005C02E3" w:rsidRPr="003C6374">
                <w:t>on</w:t>
              </w:r>
            </w:hyperlink>
            <w:r w:rsidR="005C02E3" w:rsidRPr="003C6374">
              <w:t xml:space="preserve"> the </w:t>
            </w:r>
            <w:hyperlink r:id="rId11" w:history="1">
              <w:r w:rsidR="005C02E3" w:rsidRPr="003C6374">
                <w:rPr>
                  <w:rStyle w:val="Hyperlink"/>
                </w:rPr>
                <w:t>Department website</w:t>
              </w:r>
            </w:hyperlink>
            <w:r w:rsidRPr="003C6374">
              <w:t>.</w:t>
            </w:r>
          </w:p>
          <w:p w14:paraId="1C07B34D" w14:textId="112B4B3D" w:rsidR="00D0135C" w:rsidRPr="003C6374" w:rsidRDefault="00D0135C" w:rsidP="00AA1EC9">
            <w:pPr>
              <w:pStyle w:val="ListContinue"/>
            </w:pPr>
            <w:r w:rsidRPr="003C6374">
              <w:t xml:space="preserve">The skills and experience of all </w:t>
            </w:r>
            <w:r w:rsidR="00A87B47" w:rsidRPr="003C6374">
              <w:t>CIs</w:t>
            </w:r>
            <w:r w:rsidRPr="003C6374">
              <w:t xml:space="preserve"> are used to assess applications to MRFF grant opportunities. In </w:t>
            </w:r>
            <w:proofErr w:type="gramStart"/>
            <w:r w:rsidRPr="003C6374">
              <w:t>the majority of</w:t>
            </w:r>
            <w:proofErr w:type="gramEnd"/>
            <w:r w:rsidRPr="003C6374">
              <w:t xml:space="preserve"> grant opportunities, educational requirements for </w:t>
            </w:r>
            <w:r w:rsidR="005C02E3" w:rsidRPr="003C6374">
              <w:t>CIs</w:t>
            </w:r>
            <w:r w:rsidRPr="003C6374">
              <w:t xml:space="preserve"> are not specified, and the applicant determines the set of skills and experience needed to best deliver the project, including as appropriate, consumer project team members/CIs.</w:t>
            </w:r>
          </w:p>
        </w:tc>
      </w:tr>
      <w:tr w:rsidR="00AA6AFE" w14:paraId="2D2768DB" w14:textId="77777777" w:rsidTr="007C1383">
        <w:trPr>
          <w:trHeight w:val="489"/>
        </w:trPr>
        <w:tc>
          <w:tcPr>
            <w:tcW w:w="5000" w:type="pct"/>
            <w:gridSpan w:val="2"/>
            <w:shd w:val="clear" w:color="auto" w:fill="8496B0" w:themeFill="text2" w:themeFillTint="99"/>
          </w:tcPr>
          <w:p w14:paraId="71ED06B6" w14:textId="70E7FF57" w:rsidR="00AA6AFE" w:rsidRPr="00AA6AFE" w:rsidRDefault="00AA6AFE" w:rsidP="00AA1EC9">
            <w:r w:rsidRPr="00C975DA">
              <w:lastRenderedPageBreak/>
              <w:t>Grant Assessment and Outcomes</w:t>
            </w:r>
          </w:p>
        </w:tc>
      </w:tr>
      <w:tr w:rsidR="002A3EA6" w14:paraId="4A72494F" w14:textId="77777777" w:rsidTr="0003206F">
        <w:tc>
          <w:tcPr>
            <w:tcW w:w="2575" w:type="pct"/>
          </w:tcPr>
          <w:p w14:paraId="6C9846E0" w14:textId="320ABFFC" w:rsidR="002A3EA6" w:rsidRPr="00046B7F" w:rsidRDefault="002A3EA6" w:rsidP="00AA1EC9">
            <w:pPr>
              <w:rPr>
                <w:highlight w:val="yellow"/>
              </w:rPr>
            </w:pPr>
            <w:r w:rsidRPr="00D12C11">
              <w:t>Could research administration officers (RAOs) observe the MRFF grant assessment committee deliberations?</w:t>
            </w:r>
          </w:p>
        </w:tc>
        <w:tc>
          <w:tcPr>
            <w:tcW w:w="2425" w:type="pct"/>
          </w:tcPr>
          <w:p w14:paraId="28E3E91A" w14:textId="77C14484" w:rsidR="002A3EA6" w:rsidRPr="003C6374" w:rsidRDefault="002A3EA6" w:rsidP="00AA1EC9">
            <w:r w:rsidRPr="003C6374">
              <w:t xml:space="preserve">The Department is currently </w:t>
            </w:r>
            <w:r w:rsidR="007C1383">
              <w:t xml:space="preserve">considering </w:t>
            </w:r>
            <w:r w:rsidR="007C1383" w:rsidRPr="003C6374">
              <w:t>options</w:t>
            </w:r>
            <w:r w:rsidRPr="003C6374">
              <w:t xml:space="preserve"> </w:t>
            </w:r>
            <w:r w:rsidR="00931081" w:rsidRPr="003C6374">
              <w:t>for addressing this request.</w:t>
            </w:r>
          </w:p>
        </w:tc>
      </w:tr>
      <w:tr w:rsidR="002A3EA6" w14:paraId="41F45594" w14:textId="77777777" w:rsidTr="0003206F">
        <w:tc>
          <w:tcPr>
            <w:tcW w:w="2575" w:type="pct"/>
          </w:tcPr>
          <w:p w14:paraId="180C9DA0" w14:textId="3537FB5A" w:rsidR="002A3EA6" w:rsidRPr="00AA1EC9" w:rsidRDefault="002A3EA6" w:rsidP="00AA1EC9">
            <w:r w:rsidRPr="002A3EA6">
              <w:t xml:space="preserve">Can more clarity around </w:t>
            </w:r>
            <w:r>
              <w:t xml:space="preserve">the MRFF grant </w:t>
            </w:r>
            <w:r w:rsidRPr="002A3EA6">
              <w:t xml:space="preserve">assessment processes be provided? Who </w:t>
            </w:r>
            <w:r>
              <w:t>(</w:t>
            </w:r>
            <w:r w:rsidRPr="002A3EA6">
              <w:t>consumers, industry representatives, p</w:t>
            </w:r>
            <w:r>
              <w:t xml:space="preserve">eers) </w:t>
            </w:r>
            <w:r w:rsidRPr="002A3EA6">
              <w:t xml:space="preserve">scores </w:t>
            </w:r>
            <w:r>
              <w:t>during a grant assessment committee meeting</w:t>
            </w:r>
            <w:r w:rsidRPr="002A3EA6">
              <w:t>? What information do they receive to score?</w:t>
            </w:r>
          </w:p>
        </w:tc>
        <w:tc>
          <w:tcPr>
            <w:tcW w:w="2425" w:type="pct"/>
          </w:tcPr>
          <w:p w14:paraId="3707D147" w14:textId="493BBFE6" w:rsidR="002A3EA6" w:rsidRPr="003C6374" w:rsidRDefault="002A3EA6" w:rsidP="00AA1EC9">
            <w:r w:rsidRPr="003C6374">
              <w:t xml:space="preserve">Applications for MRFF funding undergo rigorous assessment processes by independent grant assessment committees. To learn more about the role and who is involved please see the MRFF Grant Assessment Committees </w:t>
            </w:r>
            <w:hyperlink r:id="rId12" w:history="1">
              <w:r w:rsidRPr="003C6374">
                <w:rPr>
                  <w:rStyle w:val="Hyperlink"/>
                  <w:rFonts w:cstheme="minorHAnsi"/>
                  <w:szCs w:val="20"/>
                </w:rPr>
                <w:t>factsheet</w:t>
              </w:r>
            </w:hyperlink>
            <w:r w:rsidRPr="003C6374">
              <w:t xml:space="preserve">. The 4 August 2022 MRFF RAO webinar also covered the grant assessment process and can be accessed on the </w:t>
            </w:r>
            <w:hyperlink r:id="rId13" w:history="1">
              <w:r w:rsidRPr="003C6374">
                <w:rPr>
                  <w:rStyle w:val="Hyperlink"/>
                  <w:rFonts w:cstheme="minorHAnsi"/>
                  <w:szCs w:val="20"/>
                </w:rPr>
                <w:t>Department website</w:t>
              </w:r>
            </w:hyperlink>
            <w:r w:rsidRPr="003C6374">
              <w:t>.</w:t>
            </w:r>
          </w:p>
        </w:tc>
      </w:tr>
      <w:tr w:rsidR="002A3EA6" w14:paraId="1038331B" w14:textId="77777777" w:rsidTr="0003206F">
        <w:tc>
          <w:tcPr>
            <w:tcW w:w="2575" w:type="pct"/>
          </w:tcPr>
          <w:p w14:paraId="71E454CA" w14:textId="6FF0145A" w:rsidR="002A3EA6" w:rsidRPr="00AA1EC9" w:rsidRDefault="002A3EA6" w:rsidP="00AA1EC9">
            <w:r w:rsidRPr="002A3EA6">
              <w:t xml:space="preserve">What is the role of consumers in the </w:t>
            </w:r>
            <w:r w:rsidR="00140587">
              <w:t>MRFF grant assessment committee meetings</w:t>
            </w:r>
            <w:r w:rsidRPr="002A3EA6">
              <w:t>?</w:t>
            </w:r>
          </w:p>
        </w:tc>
        <w:tc>
          <w:tcPr>
            <w:tcW w:w="2425" w:type="pct"/>
          </w:tcPr>
          <w:p w14:paraId="6CFD67D8" w14:textId="7A04F7A0" w:rsidR="00A93D89" w:rsidRDefault="002A3EA6" w:rsidP="00AA1EC9">
            <w:r w:rsidRPr="002A3EA6">
              <w:t xml:space="preserve">Consumer involvement in grant assessment committees is tailored to the experiences and confidence of the individual. </w:t>
            </w:r>
            <w:proofErr w:type="gramStart"/>
            <w:r w:rsidR="0018062A" w:rsidRPr="0018062A">
              <w:t>The majority of</w:t>
            </w:r>
            <w:proofErr w:type="gramEnd"/>
            <w:r w:rsidR="0018062A" w:rsidRPr="0018062A">
              <w:t xml:space="preserve"> the time, consumers provide comment on all applications that is taken into consideration by scoring assessors, but do not score applications themselves.</w:t>
            </w:r>
          </w:p>
          <w:p w14:paraId="5F95C876" w14:textId="53AF3985" w:rsidR="002A3EA6" w:rsidRDefault="00A93D89" w:rsidP="00AA1EC9">
            <w:r>
              <w:t xml:space="preserve">The Department is working with the </w:t>
            </w:r>
            <w:hyperlink r:id="rId14" w:history="1">
              <w:r w:rsidRPr="00A93D89">
                <w:rPr>
                  <w:rStyle w:val="Hyperlink"/>
                  <w:rFonts w:ascii="Calibri" w:hAnsi="Calibri" w:cs="Calibri"/>
                  <w:szCs w:val="20"/>
                </w:rPr>
                <w:t>MRFF Consumer Reference Panel</w:t>
              </w:r>
            </w:hyperlink>
            <w:r>
              <w:t xml:space="preserve"> to review consumer involvement in MRFF implementation. The Panel is keen to further strengthen consumer involvement in the assessment of MRFF applications. A pilot of </w:t>
            </w:r>
            <w:r w:rsidR="00037036">
              <w:t>greater</w:t>
            </w:r>
            <w:r>
              <w:t xml:space="preserve"> consumer involvement in assessment is current being undertaken through the </w:t>
            </w:r>
            <w:hyperlink r:id="rId15" w:history="1">
              <w:r w:rsidRPr="00A93D89">
                <w:rPr>
                  <w:rStyle w:val="Hyperlink"/>
                  <w:rFonts w:ascii="Calibri" w:hAnsi="Calibri" w:cs="Calibri"/>
                  <w:szCs w:val="20"/>
                </w:rPr>
                <w:t>2023 Consumer-Led Research grant opportunity</w:t>
              </w:r>
            </w:hyperlink>
            <w:r>
              <w:t>.</w:t>
            </w:r>
          </w:p>
        </w:tc>
      </w:tr>
      <w:tr w:rsidR="002A3EA6" w14:paraId="63E25BC5" w14:textId="77777777" w:rsidTr="0003206F">
        <w:tc>
          <w:tcPr>
            <w:tcW w:w="2575" w:type="pct"/>
          </w:tcPr>
          <w:p w14:paraId="013B89AF" w14:textId="2F37D755" w:rsidR="002A3EA6" w:rsidRPr="00AA1EC9" w:rsidRDefault="00140587" w:rsidP="00AA1EC9">
            <w:r w:rsidRPr="00140587">
              <w:t>How is value</w:t>
            </w:r>
            <w:r>
              <w:t xml:space="preserve"> and</w:t>
            </w:r>
            <w:r w:rsidRPr="00140587">
              <w:t xml:space="preserve"> application alignment with</w:t>
            </w:r>
            <w:r>
              <w:t xml:space="preserve"> the MRFF</w:t>
            </w:r>
            <w:r w:rsidRPr="00140587">
              <w:t xml:space="preserve"> strategic priorities assessed?</w:t>
            </w:r>
          </w:p>
        </w:tc>
        <w:tc>
          <w:tcPr>
            <w:tcW w:w="2425" w:type="pct"/>
          </w:tcPr>
          <w:p w14:paraId="641DBCD6" w14:textId="60F178A7" w:rsidR="002A3EA6" w:rsidRDefault="00140587" w:rsidP="00AA1EC9">
            <w:pPr>
              <w:rPr>
                <w:rFonts w:ascii="Calibri" w:hAnsi="Calibri" w:cs="Calibri"/>
              </w:rPr>
            </w:pPr>
            <w:r w:rsidRPr="00140587">
              <w:t>Application alignment with strategic priorities, and value, are assessed by two of the four MRFF assessment criteria – ‘1. Impact,’ and ‘4. Overall Value and Risk of the Project.’ More information regarding the criteria, including the rating scale, is available in grant opportunity guidelines and related published documents.</w:t>
            </w:r>
          </w:p>
        </w:tc>
      </w:tr>
      <w:tr w:rsidR="00140587" w14:paraId="4A852B74" w14:textId="77777777" w:rsidTr="0003206F">
        <w:tc>
          <w:tcPr>
            <w:tcW w:w="2575" w:type="pct"/>
          </w:tcPr>
          <w:p w14:paraId="6D5F3DA6" w14:textId="0D269861" w:rsidR="00140587" w:rsidRPr="00AA1EC9" w:rsidRDefault="00140587" w:rsidP="00AA1EC9">
            <w:r w:rsidRPr="00140587">
              <w:t xml:space="preserve">Do academic reviewers </w:t>
            </w:r>
            <w:r>
              <w:t>review team</w:t>
            </w:r>
            <w:r w:rsidRPr="00140587">
              <w:t xml:space="preserve"> capacity, </w:t>
            </w:r>
            <w:proofErr w:type="gramStart"/>
            <w:r w:rsidRPr="00140587">
              <w:t>capability</w:t>
            </w:r>
            <w:proofErr w:type="gramEnd"/>
            <w:r w:rsidRPr="00140587">
              <w:t xml:space="preserve"> and resources to do the project as opposed to just reviewing track record?</w:t>
            </w:r>
          </w:p>
        </w:tc>
        <w:tc>
          <w:tcPr>
            <w:tcW w:w="2425" w:type="pct"/>
          </w:tcPr>
          <w:p w14:paraId="79CD0D53" w14:textId="0BBF5CDF" w:rsidR="00140587" w:rsidRDefault="00F37157" w:rsidP="00AA1EC9">
            <w:r w:rsidRPr="00F37157">
              <w:t xml:space="preserve">The </w:t>
            </w:r>
            <w:r w:rsidR="000B17D2">
              <w:t>a</w:t>
            </w:r>
            <w:r w:rsidR="000978B3" w:rsidRPr="00F37157">
              <w:t xml:space="preserve">ssessment </w:t>
            </w:r>
            <w:r w:rsidR="000B17D2">
              <w:t>of</w:t>
            </w:r>
            <w:r w:rsidR="000978B3">
              <w:t xml:space="preserve"> </w:t>
            </w:r>
            <w:r w:rsidR="00600FB1">
              <w:t>c</w:t>
            </w:r>
            <w:r w:rsidRPr="00F37157">
              <w:t xml:space="preserve">apacity, </w:t>
            </w:r>
            <w:r w:rsidR="00A66EFE" w:rsidRPr="00F37157">
              <w:t>capability,</w:t>
            </w:r>
            <w:r w:rsidRPr="00F37157">
              <w:t xml:space="preserve"> and resources</w:t>
            </w:r>
            <w:r w:rsidR="000978B3">
              <w:t xml:space="preserve"> to deliver the project</w:t>
            </w:r>
            <w:r w:rsidRPr="00F37157">
              <w:t xml:space="preserve"> </w:t>
            </w:r>
            <w:r>
              <w:t>for MRFF grant opportunities</w:t>
            </w:r>
            <w:r w:rsidR="00151269" w:rsidRPr="00F37157">
              <w:t xml:space="preserve"> </w:t>
            </w:r>
            <w:r w:rsidR="005B0D8E" w:rsidRPr="00F37157">
              <w:t>take</w:t>
            </w:r>
            <w:r w:rsidRPr="00F37157">
              <w:t>s</w:t>
            </w:r>
            <w:r w:rsidR="005B0D8E" w:rsidRPr="00F37157">
              <w:t xml:space="preserve"> a</w:t>
            </w:r>
            <w:r w:rsidRPr="00F37157">
              <w:t xml:space="preserve"> much</w:t>
            </w:r>
            <w:r w:rsidR="005B0D8E" w:rsidRPr="00F37157">
              <w:t xml:space="preserve"> broader approach </w:t>
            </w:r>
            <w:r w:rsidR="00151269" w:rsidRPr="00F37157">
              <w:t>than</w:t>
            </w:r>
            <w:r w:rsidR="00EC3A5D" w:rsidRPr="00F37157">
              <w:t xml:space="preserve"> </w:t>
            </w:r>
            <w:r w:rsidR="000B17D2">
              <w:t xml:space="preserve">a review of </w:t>
            </w:r>
            <w:r w:rsidR="00151269" w:rsidRPr="00F37157">
              <w:t>track records</w:t>
            </w:r>
            <w:r w:rsidR="00092A8A">
              <w:t xml:space="preserve"> – this is outlined in section 5 of MRFF grant opportunity guidelines</w:t>
            </w:r>
            <w:r w:rsidR="00151269" w:rsidRPr="00F37157">
              <w:t>.</w:t>
            </w:r>
            <w:r w:rsidR="00151269">
              <w:t xml:space="preserve"> </w:t>
            </w:r>
            <w:r w:rsidR="00140587" w:rsidRPr="00140587">
              <w:t xml:space="preserve">All grant assessment committee members are provided detailed guidance and advice </w:t>
            </w:r>
            <w:r w:rsidR="00140587" w:rsidRPr="00140587">
              <w:lastRenderedPageBreak/>
              <w:t xml:space="preserve">regarding </w:t>
            </w:r>
            <w:r>
              <w:t>assessment</w:t>
            </w:r>
            <w:r w:rsidRPr="00140587">
              <w:t xml:space="preserve"> </w:t>
            </w:r>
            <w:r w:rsidR="00140587" w:rsidRPr="00140587">
              <w:t xml:space="preserve">of capacity, </w:t>
            </w:r>
            <w:r w:rsidR="00A66EFE" w:rsidRPr="00140587">
              <w:t>capability,</w:t>
            </w:r>
            <w:r w:rsidR="00140587" w:rsidRPr="00140587">
              <w:t xml:space="preserve"> and resources</w:t>
            </w:r>
            <w:r>
              <w:t xml:space="preserve">; </w:t>
            </w:r>
            <w:r w:rsidR="00177B96">
              <w:t>this is not a standard</w:t>
            </w:r>
            <w:r>
              <w:t xml:space="preserve"> assess</w:t>
            </w:r>
            <w:r w:rsidR="00177B96">
              <w:t>ment of</w:t>
            </w:r>
            <w:r>
              <w:t xml:space="preserve"> track records</w:t>
            </w:r>
            <w:r w:rsidR="00140587" w:rsidRPr="00140587">
              <w:t xml:space="preserve">. The MRFF assessment criteria </w:t>
            </w:r>
            <w:r w:rsidR="00A87B47">
              <w:t xml:space="preserve">descriptors </w:t>
            </w:r>
            <w:r w:rsidR="00140587" w:rsidRPr="00140587">
              <w:t xml:space="preserve">have recently been refreshed to allow more clarity and ease of use for both applicants in applying for grants and reviewers in assessing applications against the criteria. More information regarding the refresh can be found on the </w:t>
            </w:r>
            <w:hyperlink r:id="rId16" w:history="1">
              <w:r w:rsidR="00140587" w:rsidRPr="00140587">
                <w:rPr>
                  <w:rStyle w:val="Hyperlink"/>
                  <w:rFonts w:cstheme="minorHAnsi"/>
                  <w:szCs w:val="20"/>
                </w:rPr>
                <w:t>Department website</w:t>
              </w:r>
            </w:hyperlink>
            <w:r w:rsidR="00140587" w:rsidRPr="00140587">
              <w:t>.</w:t>
            </w:r>
          </w:p>
        </w:tc>
      </w:tr>
      <w:tr w:rsidR="00140587" w14:paraId="1F3B4BC7" w14:textId="77777777" w:rsidTr="0003206F">
        <w:tc>
          <w:tcPr>
            <w:tcW w:w="2575" w:type="pct"/>
          </w:tcPr>
          <w:p w14:paraId="002EC03E" w14:textId="0FA61CE4" w:rsidR="00140587" w:rsidRPr="00AA1EC9" w:rsidRDefault="00140587" w:rsidP="00AA1EC9">
            <w:r w:rsidRPr="00D12C11">
              <w:lastRenderedPageBreak/>
              <w:t>Will MRFF grant scores be released to applicants to give them feedback on their applications?</w:t>
            </w:r>
          </w:p>
        </w:tc>
        <w:tc>
          <w:tcPr>
            <w:tcW w:w="2425" w:type="pct"/>
          </w:tcPr>
          <w:p w14:paraId="1C91C4E5" w14:textId="26F7F1A9" w:rsidR="00140587" w:rsidRPr="00046B7F" w:rsidRDefault="00140587" w:rsidP="00AA1EC9">
            <w:pPr>
              <w:rPr>
                <w:highlight w:val="yellow"/>
              </w:rPr>
            </w:pPr>
            <w:r w:rsidRPr="003C6374">
              <w:t>As part of our commitment to continuous improvement, the Department is currently</w:t>
            </w:r>
            <w:r w:rsidR="00964D6D" w:rsidRPr="003C6374">
              <w:t xml:space="preserve"> working with </w:t>
            </w:r>
            <w:r w:rsidR="0018062A">
              <w:t>the grant hub</w:t>
            </w:r>
            <w:r w:rsidR="00A01CE4">
              <w:t>s</w:t>
            </w:r>
            <w:r w:rsidR="0018062A">
              <w:t xml:space="preserve"> </w:t>
            </w:r>
            <w:r w:rsidR="00964D6D" w:rsidRPr="003C6374">
              <w:t>to</w:t>
            </w:r>
            <w:r w:rsidRPr="003C6374">
              <w:t xml:space="preserve"> trial</w:t>
            </w:r>
            <w:r w:rsidR="00964D6D" w:rsidRPr="003C6374">
              <w:t xml:space="preserve"> the </w:t>
            </w:r>
            <w:r w:rsidRPr="003C6374">
              <w:t xml:space="preserve">release of </w:t>
            </w:r>
            <w:r w:rsidR="00A87B47" w:rsidRPr="003C6374">
              <w:t>scores and written</w:t>
            </w:r>
            <w:r w:rsidRPr="003C6374">
              <w:t xml:space="preserve"> feedback to applicants for grant opportunities</w:t>
            </w:r>
            <w:r w:rsidR="0018062A">
              <w:t>.</w:t>
            </w:r>
            <w:r w:rsidRPr="003C6374">
              <w:t xml:space="preserve"> </w:t>
            </w:r>
            <w:r w:rsidR="00964D6D" w:rsidRPr="003C6374">
              <w:t>Note that s</w:t>
            </w:r>
            <w:r w:rsidRPr="003C6374">
              <w:t xml:space="preserve">cores are already provided </w:t>
            </w:r>
            <w:r w:rsidR="0018062A" w:rsidRPr="0018062A">
              <w:t>by NHMRC to applicants whose applications proceed to discussion at the Grant Assessment Committee following the meeting</w:t>
            </w:r>
            <w:r w:rsidR="0018062A">
              <w:t>.</w:t>
            </w:r>
          </w:p>
        </w:tc>
      </w:tr>
      <w:tr w:rsidR="00140587" w14:paraId="4A9AFA27" w14:textId="77777777" w:rsidTr="0003206F">
        <w:tc>
          <w:tcPr>
            <w:tcW w:w="2575" w:type="pct"/>
          </w:tcPr>
          <w:p w14:paraId="206777AB" w14:textId="7CE1560B" w:rsidR="00140587" w:rsidRPr="00C975DA" w:rsidRDefault="00140587" w:rsidP="00AA1EC9">
            <w:r w:rsidRPr="00140587">
              <w:t xml:space="preserve">Would it be possible for the successful and unsuccessful applicants to receive outcomes </w:t>
            </w:r>
            <w:r>
              <w:t xml:space="preserve">regarding their MRFF applications </w:t>
            </w:r>
            <w:r w:rsidRPr="00140587">
              <w:t>on the same day?</w:t>
            </w:r>
          </w:p>
        </w:tc>
        <w:tc>
          <w:tcPr>
            <w:tcW w:w="2425" w:type="pct"/>
          </w:tcPr>
          <w:p w14:paraId="3C66B0D7" w14:textId="15ECEEAA" w:rsidR="00140587" w:rsidRDefault="00140587" w:rsidP="00AA1EC9">
            <w:r w:rsidRPr="00140587">
              <w:t xml:space="preserve">The Department </w:t>
            </w:r>
            <w:r w:rsidR="00A87B47">
              <w:t xml:space="preserve">has recently moved to </w:t>
            </w:r>
            <w:r w:rsidR="00A87B47" w:rsidRPr="00140587">
              <w:t>releas</w:t>
            </w:r>
            <w:r w:rsidR="00A87B47">
              <w:t>ing</w:t>
            </w:r>
            <w:r w:rsidR="00A87B47" w:rsidRPr="00140587">
              <w:t xml:space="preserve"> </w:t>
            </w:r>
            <w:r w:rsidR="00A87B47">
              <w:t xml:space="preserve">outcomes to </w:t>
            </w:r>
            <w:r w:rsidRPr="00140587">
              <w:t xml:space="preserve">both successful and unsuccessful applicants </w:t>
            </w:r>
            <w:r w:rsidR="00A87B47">
              <w:t>on the same day</w:t>
            </w:r>
            <w:r w:rsidRPr="00140587">
              <w:t>.</w:t>
            </w:r>
          </w:p>
        </w:tc>
      </w:tr>
      <w:tr w:rsidR="00140587" w14:paraId="4FA7333C" w14:textId="77777777" w:rsidTr="0003206F">
        <w:tc>
          <w:tcPr>
            <w:tcW w:w="2575" w:type="pct"/>
          </w:tcPr>
          <w:p w14:paraId="5B53254F" w14:textId="50579326" w:rsidR="00140587" w:rsidRPr="003C6374" w:rsidRDefault="00140587" w:rsidP="00AA1EC9">
            <w:r w:rsidRPr="003C6374">
              <w:t xml:space="preserve">Could </w:t>
            </w:r>
            <w:r w:rsidR="001077FF" w:rsidRPr="003C6374">
              <w:t xml:space="preserve">MRFF grant application outcomes be provided to </w:t>
            </w:r>
            <w:r w:rsidRPr="003C6374">
              <w:t>RAOs? Sometimes</w:t>
            </w:r>
            <w:r w:rsidR="001077FF" w:rsidRPr="003C6374">
              <w:t xml:space="preserve"> the outcomes are only provided to</w:t>
            </w:r>
            <w:r w:rsidRPr="003C6374">
              <w:t xml:space="preserve"> </w:t>
            </w:r>
            <w:r w:rsidR="001077FF" w:rsidRPr="003C6374">
              <w:t>the</w:t>
            </w:r>
            <w:r w:rsidRPr="003C6374">
              <w:t xml:space="preserve"> </w:t>
            </w:r>
            <w:r w:rsidR="001077FF" w:rsidRPr="003C6374">
              <w:t>lead chief investigator.</w:t>
            </w:r>
          </w:p>
        </w:tc>
        <w:tc>
          <w:tcPr>
            <w:tcW w:w="2425" w:type="pct"/>
          </w:tcPr>
          <w:p w14:paraId="5353294F" w14:textId="59511F81" w:rsidR="00140587" w:rsidRPr="003C6374" w:rsidRDefault="00140587" w:rsidP="00AA1EC9">
            <w:r w:rsidRPr="003C6374">
              <w:t xml:space="preserve">For </w:t>
            </w:r>
            <w:r w:rsidR="00574203" w:rsidRPr="003C6374">
              <w:t xml:space="preserve">MRFF </w:t>
            </w:r>
            <w:r w:rsidRPr="003C6374">
              <w:t>grant applications administered through BGH, the outcomes are provided to the primary contact listed within the application</w:t>
            </w:r>
            <w:r w:rsidR="00574203" w:rsidRPr="003C6374">
              <w:t xml:space="preserve"> by the applicant</w:t>
            </w:r>
            <w:r w:rsidRPr="003C6374">
              <w:t>. RAOs should ensure the appropriate contacts are listed within the application at submission. This information can also be updated for active grants by contacting the relevant team at BGH.</w:t>
            </w:r>
            <w:r w:rsidR="0018062A">
              <w:t xml:space="preserve"> In addition, for BGH-administered grants, RAOs </w:t>
            </w:r>
            <w:proofErr w:type="gramStart"/>
            <w:r w:rsidR="0018062A">
              <w:t>are able to</w:t>
            </w:r>
            <w:proofErr w:type="gramEnd"/>
            <w:r w:rsidR="0018062A">
              <w:t xml:space="preserve"> view the status of a grant, including the outcome</w:t>
            </w:r>
            <w:r w:rsidR="00195210">
              <w:t xml:space="preserve"> in the system</w:t>
            </w:r>
            <w:r w:rsidR="0018062A">
              <w:t>, if added to the relevant application within the portal.</w:t>
            </w:r>
          </w:p>
          <w:p w14:paraId="1FCB2716" w14:textId="72AF0D39" w:rsidR="007D2F8F" w:rsidRPr="003C6374" w:rsidRDefault="007E2F50" w:rsidP="00AA1EC9">
            <w:r w:rsidRPr="003C6374">
              <w:t>For MRFF grant applications administered through NHMRC, the outcomes are provided to</w:t>
            </w:r>
            <w:r w:rsidR="00092A8A" w:rsidRPr="003C6374">
              <w:t xml:space="preserve"> the</w:t>
            </w:r>
            <w:r w:rsidRPr="003C6374">
              <w:t xml:space="preserve"> CIA</w:t>
            </w:r>
            <w:r w:rsidR="006C731B" w:rsidRPr="003C6374">
              <w:t xml:space="preserve"> </w:t>
            </w:r>
            <w:r w:rsidR="009418A0" w:rsidRPr="003C6374">
              <w:t xml:space="preserve">listed in the application </w:t>
            </w:r>
            <w:r w:rsidR="006C731B" w:rsidRPr="003C6374">
              <w:t xml:space="preserve">via an email from Sapphire </w:t>
            </w:r>
            <w:r w:rsidRPr="003C6374">
              <w:t xml:space="preserve">and </w:t>
            </w:r>
            <w:r w:rsidR="009418A0" w:rsidRPr="003C6374">
              <w:t xml:space="preserve">the </w:t>
            </w:r>
            <w:r w:rsidRPr="003C6374">
              <w:t>RAO</w:t>
            </w:r>
            <w:r w:rsidR="006C731B" w:rsidRPr="003C6374">
              <w:t xml:space="preserve">s </w:t>
            </w:r>
            <w:r w:rsidR="009418A0" w:rsidRPr="003C6374">
              <w:t xml:space="preserve">of the CIA’s </w:t>
            </w:r>
            <w:r w:rsidR="00E6158B" w:rsidRPr="003C6374">
              <w:t>Eligible Organisation</w:t>
            </w:r>
            <w:r w:rsidR="006C731B" w:rsidRPr="003C6374">
              <w:t xml:space="preserve"> have access to this information through the Sapphire dashboard.</w:t>
            </w:r>
          </w:p>
        </w:tc>
      </w:tr>
      <w:tr w:rsidR="002B63AC" w14:paraId="6AF561A5" w14:textId="77777777" w:rsidTr="002B63AC">
        <w:tc>
          <w:tcPr>
            <w:tcW w:w="5000" w:type="pct"/>
            <w:gridSpan w:val="2"/>
            <w:shd w:val="clear" w:color="auto" w:fill="8496B0" w:themeFill="text2" w:themeFillTint="99"/>
          </w:tcPr>
          <w:p w14:paraId="52859D6E" w14:textId="51EFE411" w:rsidR="002B63AC" w:rsidRPr="002B63AC" w:rsidRDefault="002B63AC" w:rsidP="00AA1EC9">
            <w:r>
              <w:t>Grant Management</w:t>
            </w:r>
          </w:p>
        </w:tc>
      </w:tr>
      <w:tr w:rsidR="00140587" w14:paraId="607B2EA7" w14:textId="77777777" w:rsidTr="0003206F">
        <w:tc>
          <w:tcPr>
            <w:tcW w:w="2575" w:type="pct"/>
          </w:tcPr>
          <w:p w14:paraId="369A805E" w14:textId="609D6720" w:rsidR="00140587" w:rsidRPr="00AA1EC9" w:rsidRDefault="002B63AC" w:rsidP="00AA1EC9">
            <w:r w:rsidRPr="002B63AC">
              <w:t xml:space="preserve">Can </w:t>
            </w:r>
            <w:r w:rsidR="001077FF">
              <w:t xml:space="preserve">MRFF </w:t>
            </w:r>
            <w:r w:rsidRPr="002B63AC">
              <w:t xml:space="preserve">project reporting be streamlined? Can </w:t>
            </w:r>
            <w:r w:rsidR="001077FF">
              <w:t>the Department</w:t>
            </w:r>
            <w:r w:rsidRPr="002B63AC">
              <w:t xml:space="preserve"> provide more guidance about what to include and how much detail to provide</w:t>
            </w:r>
            <w:r>
              <w:t xml:space="preserve"> in project reports</w:t>
            </w:r>
            <w:r w:rsidRPr="002B63AC">
              <w:t>?</w:t>
            </w:r>
          </w:p>
        </w:tc>
        <w:tc>
          <w:tcPr>
            <w:tcW w:w="2425" w:type="pct"/>
          </w:tcPr>
          <w:p w14:paraId="0ED96AEC" w14:textId="637716B9" w:rsidR="00140587" w:rsidRDefault="002B63AC" w:rsidP="00AA1EC9">
            <w:r w:rsidRPr="002B63AC">
              <w:t>As part of continu</w:t>
            </w:r>
            <w:r w:rsidR="00964D6D">
              <w:t>ous</w:t>
            </w:r>
            <w:r w:rsidRPr="002B63AC">
              <w:t xml:space="preserve"> improvement, </w:t>
            </w:r>
            <w:r>
              <w:t>the Department is</w:t>
            </w:r>
            <w:r w:rsidRPr="002B63AC">
              <w:t xml:space="preserve"> looking to improve grant management processes, including updating grant reporting requirements. More guidance regarding progress reporting and variation processes will be released to the sector this year.</w:t>
            </w:r>
          </w:p>
          <w:p w14:paraId="0D7F7E09" w14:textId="72A956D0" w:rsidR="0028241F" w:rsidRDefault="009141CB" w:rsidP="00AA1EC9">
            <w:r>
              <w:t>MRFF project report</w:t>
            </w:r>
            <w:r w:rsidR="00092A8A">
              <w:t>ing</w:t>
            </w:r>
            <w:r>
              <w:t xml:space="preserve"> </w:t>
            </w:r>
            <w:r w:rsidR="005F0CC6">
              <w:t>support</w:t>
            </w:r>
            <w:r w:rsidR="00092A8A">
              <w:t>s</w:t>
            </w:r>
            <w:r w:rsidR="005F0CC6">
              <w:t xml:space="preserve"> ongoing monitoring, </w:t>
            </w:r>
            <w:r w:rsidR="00A66EFE">
              <w:t>evaluation,</w:t>
            </w:r>
            <w:r w:rsidR="005F0CC6">
              <w:t xml:space="preserve"> and continuous improvement of the performance of the MRFF. </w:t>
            </w:r>
            <w:r w:rsidR="0028241F">
              <w:t xml:space="preserve">Routine monitoring provides assurance that MRFF-funded projects are meeting their intended objectives during and after the grant ends, allows oversight of issues and risks as they arise, and </w:t>
            </w:r>
            <w:r w:rsidR="0028241F">
              <w:lastRenderedPageBreak/>
              <w:t>provides information to support improvements in grant design (</w:t>
            </w:r>
            <w:r w:rsidR="00A66EFE">
              <w:t>e.g.,</w:t>
            </w:r>
            <w:r w:rsidR="0028241F">
              <w:t xml:space="preserve"> understanding key features of successful projects). </w:t>
            </w:r>
          </w:p>
          <w:p w14:paraId="603B5D67" w14:textId="52C94240" w:rsidR="009141CB" w:rsidRDefault="005F0CC6" w:rsidP="00AA1EC9">
            <w:pPr>
              <w:rPr>
                <w:rFonts w:ascii="Calibri" w:hAnsi="Calibri" w:cs="Calibri"/>
                <w:szCs w:val="20"/>
              </w:rPr>
            </w:pPr>
            <w:r w:rsidRPr="005F0CC6">
              <w:rPr>
                <w:rFonts w:ascii="Calibri" w:hAnsi="Calibri" w:cs="Calibri"/>
                <w:szCs w:val="20"/>
              </w:rPr>
              <w:t xml:space="preserve">Further information about project reporting can be found on the </w:t>
            </w:r>
            <w:r w:rsidR="0028241F">
              <w:rPr>
                <w:rFonts w:ascii="Calibri" w:hAnsi="Calibri" w:cs="Calibri"/>
                <w:szCs w:val="20"/>
              </w:rPr>
              <w:t>Department</w:t>
            </w:r>
            <w:r w:rsidRPr="005F0CC6">
              <w:rPr>
                <w:rFonts w:ascii="Calibri" w:hAnsi="Calibri" w:cs="Calibri"/>
                <w:szCs w:val="20"/>
              </w:rPr>
              <w:t xml:space="preserve"> </w:t>
            </w:r>
            <w:hyperlink r:id="rId17" w:history="1">
              <w:r w:rsidRPr="0028241F">
                <w:rPr>
                  <w:rStyle w:val="Hyperlink"/>
                  <w:rFonts w:ascii="Calibri" w:hAnsi="Calibri" w:cs="Calibri"/>
                  <w:szCs w:val="20"/>
                </w:rPr>
                <w:t>website</w:t>
              </w:r>
            </w:hyperlink>
            <w:r w:rsidR="009141CB">
              <w:rPr>
                <w:rFonts w:ascii="Calibri" w:hAnsi="Calibri" w:cs="Calibri"/>
                <w:szCs w:val="20"/>
              </w:rPr>
              <w:t>.</w:t>
            </w:r>
          </w:p>
        </w:tc>
      </w:tr>
      <w:tr w:rsidR="002A3EA6" w14:paraId="42227BA1" w14:textId="77777777" w:rsidTr="0003206F">
        <w:tc>
          <w:tcPr>
            <w:tcW w:w="2575" w:type="pct"/>
          </w:tcPr>
          <w:p w14:paraId="436D4BD7" w14:textId="335C9658" w:rsidR="002A3EA6" w:rsidRPr="002B63AC" w:rsidRDefault="002B63AC" w:rsidP="00AA1EC9">
            <w:r w:rsidRPr="002B63AC">
              <w:lastRenderedPageBreak/>
              <w:t xml:space="preserve">Can </w:t>
            </w:r>
            <w:r w:rsidR="001077FF">
              <w:t>the Department</w:t>
            </w:r>
            <w:r w:rsidRPr="002B63AC">
              <w:t xml:space="preserve"> address </w:t>
            </w:r>
            <w:proofErr w:type="gramStart"/>
            <w:r w:rsidRPr="002B63AC">
              <w:t>delays</w:t>
            </w:r>
            <w:proofErr w:type="gramEnd"/>
            <w:r w:rsidRPr="002B63AC">
              <w:t xml:space="preserve"> with </w:t>
            </w:r>
            <w:r>
              <w:t xml:space="preserve">MRFF </w:t>
            </w:r>
            <w:r w:rsidRPr="002B63AC">
              <w:t>variation outcomes?</w:t>
            </w:r>
          </w:p>
        </w:tc>
        <w:tc>
          <w:tcPr>
            <w:tcW w:w="2425" w:type="pct"/>
          </w:tcPr>
          <w:p w14:paraId="530356B7" w14:textId="5AD90A59" w:rsidR="002A3EA6" w:rsidRPr="002B63AC" w:rsidRDefault="002B63AC" w:rsidP="00AA1EC9">
            <w:r w:rsidRPr="002B63AC">
              <w:t xml:space="preserve">The Department is continuously working to improve post-award management of grants. As a first step, the </w:t>
            </w:r>
            <w:hyperlink r:id="rId18" w:history="1">
              <w:r w:rsidRPr="00C87F96">
                <w:rPr>
                  <w:rStyle w:val="Hyperlink"/>
                  <w:rFonts w:ascii="Calibri" w:hAnsi="Calibri" w:cs="Calibri"/>
                  <w:szCs w:val="20"/>
                </w:rPr>
                <w:t>MRFF Grant Variation Policy</w:t>
              </w:r>
            </w:hyperlink>
            <w:r w:rsidRPr="002B63AC">
              <w:t xml:space="preserve"> was released in 2022. To assist with reducing processing timeframes,</w:t>
            </w:r>
            <w:r w:rsidR="0028241F">
              <w:t xml:space="preserve"> </w:t>
            </w:r>
            <w:r w:rsidR="00335F2F">
              <w:t xml:space="preserve">in collaboration with the grant hubs </w:t>
            </w:r>
            <w:r w:rsidR="0028241F">
              <w:t xml:space="preserve">the Department is </w:t>
            </w:r>
            <w:r w:rsidR="00C53F8A">
              <w:t>reviewing</w:t>
            </w:r>
            <w:r w:rsidR="0028241F">
              <w:t xml:space="preserve"> </w:t>
            </w:r>
            <w:r w:rsidR="00C53F8A">
              <w:t>the entire</w:t>
            </w:r>
            <w:r w:rsidR="0028241F">
              <w:t xml:space="preserve"> variation</w:t>
            </w:r>
            <w:r w:rsidR="00C53F8A">
              <w:t xml:space="preserve">s process workflow </w:t>
            </w:r>
            <w:r w:rsidR="0028241F">
              <w:t xml:space="preserve">to identify </w:t>
            </w:r>
            <w:r w:rsidR="00C53F8A">
              <w:t>issues</w:t>
            </w:r>
            <w:r w:rsidR="0028241F">
              <w:t xml:space="preserve"> caus</w:t>
            </w:r>
            <w:r w:rsidR="00C53F8A">
              <w:t>ing</w:t>
            </w:r>
            <w:r w:rsidR="0028241F">
              <w:t xml:space="preserve"> delays and </w:t>
            </w:r>
            <w:r w:rsidR="00C53F8A">
              <w:t>ways</w:t>
            </w:r>
            <w:r w:rsidR="0028241F">
              <w:t xml:space="preserve"> to address them. F</w:t>
            </w:r>
            <w:r w:rsidRPr="002B63AC">
              <w:t>urther guidance</w:t>
            </w:r>
            <w:r w:rsidR="0028241F">
              <w:t xml:space="preserve"> following from </w:t>
            </w:r>
            <w:r w:rsidR="00C53F8A">
              <w:t>this review</w:t>
            </w:r>
            <w:r w:rsidR="0028241F">
              <w:t xml:space="preserve"> is anticipated later</w:t>
            </w:r>
            <w:r w:rsidRPr="002B63AC">
              <w:t xml:space="preserve"> this year. </w:t>
            </w:r>
            <w:r w:rsidR="00C53F8A">
              <w:t>A variation request form is also being developed for BGH-administered MRFF</w:t>
            </w:r>
            <w:r w:rsidR="00C53F8A" w:rsidRPr="002B63AC">
              <w:t xml:space="preserve"> </w:t>
            </w:r>
            <w:r w:rsidR="00C53F8A">
              <w:t xml:space="preserve">grants that </w:t>
            </w:r>
            <w:r w:rsidRPr="002B63AC">
              <w:t xml:space="preserve">will enable grantees to submit critical and complete information upfront and assist the Department with reviewing requests </w:t>
            </w:r>
            <w:r w:rsidR="009141CB">
              <w:t>more quickly</w:t>
            </w:r>
            <w:r w:rsidRPr="002B63AC">
              <w:t>.</w:t>
            </w:r>
          </w:p>
        </w:tc>
      </w:tr>
      <w:tr w:rsidR="002B63AC" w14:paraId="7B31C76D" w14:textId="77777777" w:rsidTr="002B63AC">
        <w:tc>
          <w:tcPr>
            <w:tcW w:w="5000" w:type="pct"/>
            <w:gridSpan w:val="2"/>
            <w:shd w:val="clear" w:color="auto" w:fill="8496B0" w:themeFill="text2" w:themeFillTint="99"/>
          </w:tcPr>
          <w:p w14:paraId="3236CBB6" w14:textId="7662E7BD" w:rsidR="002B63AC" w:rsidRPr="002B63AC" w:rsidRDefault="002B63AC" w:rsidP="00AA1EC9">
            <w:r>
              <w:t>Budgets</w:t>
            </w:r>
          </w:p>
        </w:tc>
      </w:tr>
      <w:tr w:rsidR="00CC0ABE" w14:paraId="7C32BCF9" w14:textId="77777777" w:rsidTr="00BB6FA6">
        <w:tc>
          <w:tcPr>
            <w:tcW w:w="2575" w:type="pct"/>
          </w:tcPr>
          <w:p w14:paraId="6D823E90" w14:textId="35EFDDB8" w:rsidR="00CC0ABE" w:rsidRPr="00AA1EC9" w:rsidRDefault="002B63AC" w:rsidP="00AA1EC9">
            <w:r w:rsidRPr="002B63AC">
              <w:t>Will MRFF grants support institutional overheads in the future?</w:t>
            </w:r>
          </w:p>
        </w:tc>
        <w:tc>
          <w:tcPr>
            <w:tcW w:w="2425" w:type="pct"/>
          </w:tcPr>
          <w:p w14:paraId="38A7108D" w14:textId="02FAC35F" w:rsidR="0027160E" w:rsidRDefault="00EC0099" w:rsidP="00AA1EC9">
            <w:r>
              <w:t xml:space="preserve">At this time, </w:t>
            </w:r>
            <w:r w:rsidR="002B63AC" w:rsidRPr="002B63AC">
              <w:t>MRFF funding is provided to support the direct cost</w:t>
            </w:r>
            <w:r w:rsidR="009141CB">
              <w:t>s</w:t>
            </w:r>
            <w:r w:rsidR="002B63AC" w:rsidRPr="002B63AC">
              <w:t xml:space="preserve"> of research activity undertaken as part of </w:t>
            </w:r>
            <w:r w:rsidR="009141CB">
              <w:t>an approved</w:t>
            </w:r>
            <w:r w:rsidR="009141CB" w:rsidRPr="002B63AC">
              <w:t xml:space="preserve"> </w:t>
            </w:r>
            <w:r w:rsidR="002B63AC" w:rsidRPr="002B63AC">
              <w:t>project</w:t>
            </w:r>
            <w:r w:rsidR="00964D6D">
              <w:t xml:space="preserve">. Information on allowable costs </w:t>
            </w:r>
            <w:r w:rsidR="00A66EFE">
              <w:t>is</w:t>
            </w:r>
            <w:r w:rsidR="00964D6D">
              <w:t xml:space="preserve"> provided in </w:t>
            </w:r>
            <w:r w:rsidR="00746043">
              <w:t xml:space="preserve">the </w:t>
            </w:r>
            <w:r w:rsidR="00746043" w:rsidRPr="002B63AC">
              <w:t>grant</w:t>
            </w:r>
            <w:r w:rsidR="002B63AC" w:rsidRPr="002B63AC">
              <w:t xml:space="preserve"> opportunity guidelines.</w:t>
            </w:r>
            <w:r w:rsidR="00195210">
              <w:t xml:space="preserve"> </w:t>
            </w:r>
          </w:p>
        </w:tc>
      </w:tr>
      <w:tr w:rsidR="002B63AC" w14:paraId="2CD9A03E" w14:textId="77777777" w:rsidTr="00BB6FA6">
        <w:tc>
          <w:tcPr>
            <w:tcW w:w="2575" w:type="pct"/>
          </w:tcPr>
          <w:p w14:paraId="3AB03AAD" w14:textId="5AC81AE6" w:rsidR="002B63AC" w:rsidRPr="003C6374" w:rsidRDefault="002B63AC" w:rsidP="00AA1EC9">
            <w:pPr>
              <w:rPr>
                <w:b/>
                <w:bCs/>
              </w:rPr>
            </w:pPr>
            <w:r w:rsidRPr="003C6374">
              <w:t xml:space="preserve">For grant opportunities through BGH, researchers can put in their full salary costs. For grant opportunities through NHMRC, researchers must use </w:t>
            </w:r>
            <w:r w:rsidR="001077FF" w:rsidRPr="003C6374">
              <w:t>personnel support packages (</w:t>
            </w:r>
            <w:r w:rsidRPr="003C6374">
              <w:t>PSPs</w:t>
            </w:r>
            <w:r w:rsidR="001077FF" w:rsidRPr="003C6374">
              <w:t>)</w:t>
            </w:r>
            <w:r w:rsidRPr="003C6374">
              <w:t>, which leads to salary gaps. Will this be addressed</w:t>
            </w:r>
            <w:r w:rsidR="001077FF" w:rsidRPr="003C6374">
              <w:t xml:space="preserve"> by NHMRC and the Department</w:t>
            </w:r>
            <w:r w:rsidRPr="003C6374">
              <w:t>?</w:t>
            </w:r>
          </w:p>
        </w:tc>
        <w:tc>
          <w:tcPr>
            <w:tcW w:w="2425" w:type="pct"/>
          </w:tcPr>
          <w:p w14:paraId="15C7CB94" w14:textId="6001CE17" w:rsidR="002B63AC" w:rsidRPr="003C6374" w:rsidRDefault="002B63AC" w:rsidP="00AA1EC9">
            <w:r w:rsidRPr="003C6374">
              <w:t xml:space="preserve">The Department and </w:t>
            </w:r>
            <w:r w:rsidR="00C53F8A" w:rsidRPr="003C6374">
              <w:t xml:space="preserve">the hubs - </w:t>
            </w:r>
            <w:r w:rsidRPr="003C6374">
              <w:t>NHMRC</w:t>
            </w:r>
            <w:r w:rsidR="00C53F8A" w:rsidRPr="003C6374">
              <w:t xml:space="preserve"> and BGH </w:t>
            </w:r>
            <w:r w:rsidRPr="003C6374">
              <w:t xml:space="preserve">are aware of this matter. </w:t>
            </w:r>
            <w:r w:rsidR="00195210">
              <w:t xml:space="preserve">At this stage no change is anticipated </w:t>
            </w:r>
            <w:r w:rsidR="00195210" w:rsidRPr="007C1383">
              <w:t>but th</w:t>
            </w:r>
            <w:r w:rsidR="008B5FA9">
              <w:t>e</w:t>
            </w:r>
            <w:r w:rsidR="00195210" w:rsidRPr="00A66EFE">
              <w:t xml:space="preserve"> </w:t>
            </w:r>
            <w:r w:rsidR="0050540C">
              <w:t>issue</w:t>
            </w:r>
            <w:r w:rsidR="00195210" w:rsidRPr="007C1383">
              <w:t xml:space="preserve"> will continue to be monitored into the future</w:t>
            </w:r>
            <w:r w:rsidR="00195210">
              <w:t xml:space="preserve">. </w:t>
            </w:r>
            <w:r w:rsidR="0028241F" w:rsidRPr="003C6374">
              <w:t>BGH and NHMRC</w:t>
            </w:r>
            <w:r w:rsidR="00335F2F" w:rsidRPr="003C6374">
              <w:t xml:space="preserve"> have different </w:t>
            </w:r>
            <w:r w:rsidR="00750760" w:rsidRPr="003C6374">
              <w:t xml:space="preserve">policies for considering direct costs for staffing; each grant hub applies its own policy to </w:t>
            </w:r>
            <w:r w:rsidR="00195210">
              <w:t>all</w:t>
            </w:r>
            <w:r w:rsidR="00195210" w:rsidRPr="003C6374">
              <w:t xml:space="preserve"> </w:t>
            </w:r>
            <w:r w:rsidR="00750760" w:rsidRPr="003C6374">
              <w:t>grant opportunities it manages.</w:t>
            </w:r>
            <w:r w:rsidR="0028241F" w:rsidRPr="003C6374">
              <w:t xml:space="preserve"> </w:t>
            </w:r>
            <w:r w:rsidRPr="003C6374">
              <w:t>The NHMRC PSPs are not meant to cover full salary costs of researchers but are provided as a support package in recognition of the role a researcher plays as part of the grant.</w:t>
            </w:r>
            <w:r w:rsidR="00C53F8A" w:rsidRPr="003C6374">
              <w:t xml:space="preserve"> This applies to MRFF grants administered through NHMRC, as well as NHMRC’s own grant program.</w:t>
            </w:r>
          </w:p>
        </w:tc>
      </w:tr>
      <w:tr w:rsidR="002B63AC" w14:paraId="65D6768A" w14:textId="77777777" w:rsidTr="002B63AC">
        <w:tc>
          <w:tcPr>
            <w:tcW w:w="5000" w:type="pct"/>
            <w:gridSpan w:val="2"/>
            <w:shd w:val="clear" w:color="auto" w:fill="8496B0" w:themeFill="text2" w:themeFillTint="99"/>
          </w:tcPr>
          <w:p w14:paraId="35B46D6B" w14:textId="11554376" w:rsidR="002B63AC" w:rsidRPr="002B63AC" w:rsidRDefault="002B63AC" w:rsidP="00AA1EC9">
            <w:r>
              <w:t>Systems</w:t>
            </w:r>
          </w:p>
        </w:tc>
      </w:tr>
      <w:tr w:rsidR="00566912" w14:paraId="41B349FB" w14:textId="77777777" w:rsidTr="00BB6FA6">
        <w:tc>
          <w:tcPr>
            <w:tcW w:w="2575" w:type="pct"/>
          </w:tcPr>
          <w:p w14:paraId="58CC6208" w14:textId="74698E91" w:rsidR="00566912" w:rsidRPr="003C6374" w:rsidRDefault="00566912" w:rsidP="00AA1EC9">
            <w:pPr>
              <w:rPr>
                <w:b/>
                <w:bCs/>
              </w:rPr>
            </w:pPr>
            <w:r w:rsidRPr="003C6374">
              <w:t xml:space="preserve">Could </w:t>
            </w:r>
            <w:r w:rsidR="0043725E" w:rsidRPr="003C6374">
              <w:t xml:space="preserve">the </w:t>
            </w:r>
            <w:r w:rsidRPr="003C6374">
              <w:t xml:space="preserve">BGH grant application portal </w:t>
            </w:r>
            <w:r w:rsidR="004669ED" w:rsidRPr="003C6374">
              <w:t>enable</w:t>
            </w:r>
            <w:r w:rsidRPr="003C6374">
              <w:t xml:space="preserve"> RAOs to see progress of </w:t>
            </w:r>
            <w:r w:rsidR="001077FF" w:rsidRPr="003C6374">
              <w:t xml:space="preserve">MRFF </w:t>
            </w:r>
            <w:r w:rsidRPr="003C6374">
              <w:t>applications? Could applicants be allowed to print their applications and share with their team?</w:t>
            </w:r>
          </w:p>
        </w:tc>
        <w:tc>
          <w:tcPr>
            <w:tcW w:w="2425" w:type="pct"/>
          </w:tcPr>
          <w:p w14:paraId="33D9B2F6" w14:textId="5C2F1AF7" w:rsidR="00566912" w:rsidRPr="003C6374" w:rsidRDefault="00D83873" w:rsidP="00AA1EC9">
            <w:r>
              <w:t xml:space="preserve">RAOs can be added in the portal to a relevant application which </w:t>
            </w:r>
            <w:r w:rsidR="008B3832">
              <w:t xml:space="preserve">now </w:t>
            </w:r>
            <w:r>
              <w:t>allows them to view the application and print it.</w:t>
            </w:r>
          </w:p>
        </w:tc>
      </w:tr>
      <w:tr w:rsidR="00566912" w14:paraId="664B1480" w14:textId="77777777" w:rsidTr="00BB6FA6">
        <w:tc>
          <w:tcPr>
            <w:tcW w:w="2575" w:type="pct"/>
          </w:tcPr>
          <w:p w14:paraId="4821FBE2" w14:textId="64205D62" w:rsidR="00566912" w:rsidRPr="003C6374" w:rsidRDefault="00566912" w:rsidP="00AA1EC9">
            <w:pPr>
              <w:rPr>
                <w:b/>
                <w:bCs/>
              </w:rPr>
            </w:pPr>
            <w:r w:rsidRPr="003C6374">
              <w:t xml:space="preserve">The </w:t>
            </w:r>
            <w:r w:rsidR="009B6E31" w:rsidRPr="003C6374">
              <w:t xml:space="preserve">BGH </w:t>
            </w:r>
            <w:r w:rsidRPr="003C6374">
              <w:t xml:space="preserve">portal regularly </w:t>
            </w:r>
            <w:r w:rsidR="0043725E" w:rsidRPr="003C6374">
              <w:t>requires</w:t>
            </w:r>
            <w:r w:rsidRPr="003C6374">
              <w:t xml:space="preserve"> organisations </w:t>
            </w:r>
            <w:r w:rsidR="0043725E" w:rsidRPr="003C6374">
              <w:t>to</w:t>
            </w:r>
            <w:r w:rsidRPr="003C6374">
              <w:t xml:space="preserve"> submit a paper/email copy</w:t>
            </w:r>
            <w:r w:rsidR="0043725E" w:rsidRPr="003C6374">
              <w:t xml:space="preserve"> of a report</w:t>
            </w:r>
            <w:r w:rsidRPr="003C6374">
              <w:t xml:space="preserve">, and then re-enter the same report later in the portal. Is </w:t>
            </w:r>
            <w:r w:rsidR="009141CB" w:rsidRPr="003C6374">
              <w:t xml:space="preserve">BGH </w:t>
            </w:r>
            <w:r w:rsidRPr="003C6374">
              <w:t>working on a solution for this?</w:t>
            </w:r>
          </w:p>
        </w:tc>
        <w:tc>
          <w:tcPr>
            <w:tcW w:w="2425" w:type="pct"/>
          </w:tcPr>
          <w:p w14:paraId="5AC8D974" w14:textId="29E5DA74" w:rsidR="00566912" w:rsidRPr="007C1383" w:rsidRDefault="00D83873" w:rsidP="00AA1EC9">
            <w:r>
              <w:t xml:space="preserve">BGH and the Department are aware of the matter and are discussing options to address it. In addition, </w:t>
            </w:r>
            <w:r w:rsidRPr="007C1383">
              <w:rPr>
                <w:rFonts w:eastAsiaTheme="minorHAnsi"/>
              </w:rPr>
              <w:t xml:space="preserve">BGH is in the process of updating their systems and is exploring streamlining processes including application forms and reports. </w:t>
            </w:r>
          </w:p>
        </w:tc>
      </w:tr>
      <w:tr w:rsidR="002B63AC" w14:paraId="45EE20BB" w14:textId="77777777" w:rsidTr="00BB6FA6">
        <w:tc>
          <w:tcPr>
            <w:tcW w:w="2575" w:type="pct"/>
          </w:tcPr>
          <w:p w14:paraId="78CDB8DA" w14:textId="53267AFF" w:rsidR="002B63AC" w:rsidRPr="00AA1EC9" w:rsidRDefault="00566912" w:rsidP="00AA1EC9">
            <w:r w:rsidRPr="003C6374">
              <w:lastRenderedPageBreak/>
              <w:t xml:space="preserve">Will </w:t>
            </w:r>
            <w:r w:rsidR="009141CB" w:rsidRPr="003C6374">
              <w:t xml:space="preserve">NHMRC’s </w:t>
            </w:r>
            <w:r w:rsidRPr="003C6374">
              <w:t>Sapphire have the capability in future to do career disruption and eligibility calculations to remove some of the burden from RAOs?</w:t>
            </w:r>
          </w:p>
        </w:tc>
        <w:tc>
          <w:tcPr>
            <w:tcW w:w="2425" w:type="pct"/>
          </w:tcPr>
          <w:p w14:paraId="07398D4B" w14:textId="6925D4EC" w:rsidR="002B63AC" w:rsidRPr="00AA1EC9" w:rsidRDefault="009141CB" w:rsidP="00AA1EC9">
            <w:r w:rsidRPr="00AA1EC9">
              <w:t>T</w:t>
            </w:r>
            <w:r w:rsidR="00566912" w:rsidRPr="00AA1EC9">
              <w:t>his feedback will be considered by NHMRC for future system improvements.</w:t>
            </w:r>
            <w:r w:rsidR="00904067" w:rsidRPr="00AA1EC9">
              <w:t xml:space="preserve"> Note that NHMRC is currently working on </w:t>
            </w:r>
            <w:proofErr w:type="gramStart"/>
            <w:r w:rsidR="00904067" w:rsidRPr="00AA1EC9">
              <w:t>a number of</w:t>
            </w:r>
            <w:proofErr w:type="gramEnd"/>
            <w:r w:rsidR="00904067" w:rsidRPr="00AA1EC9">
              <w:t xml:space="preserve"> other priority enhancements to Sapphire functionality.  </w:t>
            </w:r>
          </w:p>
        </w:tc>
      </w:tr>
    </w:tbl>
    <w:p w14:paraId="19FBD95D" w14:textId="06497C8E" w:rsidR="00280050" w:rsidRPr="00AA1EC9" w:rsidRDefault="00C7605D" w:rsidP="00AA1EC9">
      <w:r w:rsidRPr="00BC171E">
        <w:rPr>
          <w:noProof/>
        </w:rPr>
        <w:drawing>
          <wp:anchor distT="0" distB="0" distL="114300" distR="114300" simplePos="0" relativeHeight="251660288" behindDoc="1" locked="0" layoutInCell="0" allowOverlap="1" wp14:anchorId="4283025D" wp14:editId="36FE934A">
            <wp:simplePos x="0" y="0"/>
            <wp:positionH relativeFrom="margin">
              <wp:posOffset>4295775</wp:posOffset>
            </wp:positionH>
            <wp:positionV relativeFrom="margin">
              <wp:posOffset>7371715</wp:posOffset>
            </wp:positionV>
            <wp:extent cx="2088000" cy="2054726"/>
            <wp:effectExtent l="0" t="0" r="7620"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000" cy="2054726"/>
                    </a:xfrm>
                    <a:prstGeom prst="rect">
                      <a:avLst/>
                    </a:prstGeom>
                    <a:noFill/>
                  </pic:spPr>
                </pic:pic>
              </a:graphicData>
            </a:graphic>
            <wp14:sizeRelH relativeFrom="page">
              <wp14:pctWidth>0</wp14:pctWidth>
            </wp14:sizeRelH>
            <wp14:sizeRelV relativeFrom="page">
              <wp14:pctHeight>0</wp14:pctHeight>
            </wp14:sizeRelV>
          </wp:anchor>
        </w:drawing>
      </w:r>
    </w:p>
    <w:sectPr w:rsidR="00280050" w:rsidRPr="00AA1EC9" w:rsidSect="00AA1EC9">
      <w:headerReference w:type="first" r:id="rId19"/>
      <w:footerReference w:type="first" r:id="rId20"/>
      <w:pgSz w:w="16838" w:h="11906" w:orient="landscape"/>
      <w:pgMar w:top="1134" w:right="1134" w:bottom="1134" w:left="1134" w:header="1202"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608C7" w14:textId="77777777" w:rsidR="001063CB" w:rsidRDefault="001063CB" w:rsidP="00C7605D">
      <w:pPr>
        <w:spacing w:line="240" w:lineRule="auto"/>
      </w:pPr>
      <w:r>
        <w:separator/>
      </w:r>
    </w:p>
  </w:endnote>
  <w:endnote w:type="continuationSeparator" w:id="0">
    <w:p w14:paraId="17ABCE28" w14:textId="77777777" w:rsidR="001063CB" w:rsidRDefault="001063CB" w:rsidP="00C76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498895"/>
      <w:docPartObj>
        <w:docPartGallery w:val="Page Numbers (Bottom of Page)"/>
        <w:docPartUnique/>
      </w:docPartObj>
    </w:sdtPr>
    <w:sdtEndPr>
      <w:rPr>
        <w:noProof/>
      </w:rPr>
    </w:sdtEndPr>
    <w:sdtContent>
      <w:p w14:paraId="53DA1F67" w14:textId="29721977" w:rsidR="00740803" w:rsidRDefault="007408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F7723" w14:textId="77777777" w:rsidR="00740803" w:rsidRDefault="00740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E2302" w14:textId="77777777" w:rsidR="001063CB" w:rsidRDefault="001063CB" w:rsidP="00C7605D">
      <w:pPr>
        <w:spacing w:line="240" w:lineRule="auto"/>
      </w:pPr>
      <w:r>
        <w:separator/>
      </w:r>
    </w:p>
  </w:footnote>
  <w:footnote w:type="continuationSeparator" w:id="0">
    <w:p w14:paraId="26E59D50" w14:textId="77777777" w:rsidR="001063CB" w:rsidRDefault="001063CB" w:rsidP="00C760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3EC5" w14:textId="11A1C92E" w:rsidR="005F4A2D" w:rsidRDefault="00F053E1" w:rsidP="000718C9">
    <w:pPr>
      <w:pStyle w:val="Header"/>
      <w:tabs>
        <w:tab w:val="clear" w:pos="4513"/>
        <w:tab w:val="clear" w:pos="9026"/>
        <w:tab w:val="left" w:pos="5339"/>
      </w:tabs>
    </w:pPr>
    <w:r>
      <w:rPr>
        <w:noProof/>
      </w:rPr>
      <w:drawing>
        <wp:anchor distT="0" distB="0" distL="114300" distR="114300" simplePos="0" relativeHeight="251659264" behindDoc="0" locked="0" layoutInCell="1" allowOverlap="1" wp14:anchorId="2C99448A" wp14:editId="09C969D3">
          <wp:simplePos x="0" y="0"/>
          <wp:positionH relativeFrom="page">
            <wp:posOffset>674430</wp:posOffset>
          </wp:positionH>
          <wp:positionV relativeFrom="paragraph">
            <wp:posOffset>-429787</wp:posOffset>
          </wp:positionV>
          <wp:extent cx="7452000" cy="1950933"/>
          <wp:effectExtent l="0" t="0" r="0" b="0"/>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5859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8690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1653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09E5F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6AF0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C28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D266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BCFF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4618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E8E8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A4D2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E2004D9"/>
    <w:multiLevelType w:val="hybridMultilevel"/>
    <w:tmpl w:val="33968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17E4ACB"/>
    <w:multiLevelType w:val="hybridMultilevel"/>
    <w:tmpl w:val="32EAAA16"/>
    <w:lvl w:ilvl="0" w:tplc="925A3334">
      <w:start w:val="2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DF15A2D"/>
    <w:multiLevelType w:val="multilevel"/>
    <w:tmpl w:val="6F1038B8"/>
    <w:lvl w:ilvl="0">
      <w:start w:val="1"/>
      <w:numFmt w:val="lowerLetter"/>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73976CF"/>
    <w:multiLevelType w:val="hybridMultilevel"/>
    <w:tmpl w:val="791A4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97406B7"/>
    <w:multiLevelType w:val="hybridMultilevel"/>
    <w:tmpl w:val="3DFC3CA6"/>
    <w:lvl w:ilvl="0" w:tplc="00D64966">
      <w:start w:val="1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537EA5"/>
    <w:multiLevelType w:val="multilevel"/>
    <w:tmpl w:val="D2464A18"/>
    <w:lvl w:ilvl="0">
      <w:start w:val="1"/>
      <w:numFmt w:val="lowerLetter"/>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EBF2259"/>
    <w:multiLevelType w:val="hybridMultilevel"/>
    <w:tmpl w:val="C5D87EE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0F606D6"/>
    <w:multiLevelType w:val="multilevel"/>
    <w:tmpl w:val="A1002BB6"/>
    <w:lvl w:ilvl="0">
      <w:start w:val="1"/>
      <w:numFmt w:val="lowerLetter"/>
      <w:pStyle w:val="ListContinue"/>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FC65EB7"/>
    <w:multiLevelType w:val="hybridMultilevel"/>
    <w:tmpl w:val="9BEE968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003659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436884"/>
    <w:multiLevelType w:val="hybridMultilevel"/>
    <w:tmpl w:val="9B8E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A35B2A"/>
    <w:multiLevelType w:val="hybridMultilevel"/>
    <w:tmpl w:val="8EA4A29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59951D7"/>
    <w:multiLevelType w:val="hybridMultilevel"/>
    <w:tmpl w:val="F3CEB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F97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2A66650"/>
    <w:multiLevelType w:val="hybridMultilevel"/>
    <w:tmpl w:val="6C7C5528"/>
    <w:lvl w:ilvl="0" w:tplc="F002FFF8">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1750A5"/>
    <w:multiLevelType w:val="hybridMultilevel"/>
    <w:tmpl w:val="39666DF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332396D"/>
    <w:multiLevelType w:val="hybridMultilevel"/>
    <w:tmpl w:val="71F08676"/>
    <w:lvl w:ilvl="0" w:tplc="9A4CED1A">
      <w:start w:val="2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2C0C1D"/>
    <w:multiLevelType w:val="hybridMultilevel"/>
    <w:tmpl w:val="C6AA11E4"/>
    <w:lvl w:ilvl="0" w:tplc="9EE8ACFA">
      <w:start w:val="1"/>
      <w:numFmt w:val="bullet"/>
      <w:lvlText w:val="o"/>
      <w:lvlJc w:val="left"/>
      <w:pPr>
        <w:tabs>
          <w:tab w:val="num" w:pos="720"/>
        </w:tabs>
        <w:ind w:left="720" w:hanging="360"/>
      </w:pPr>
      <w:rPr>
        <w:rFonts w:ascii="Courier New" w:hAnsi="Courier New" w:hint="default"/>
      </w:rPr>
    </w:lvl>
    <w:lvl w:ilvl="1" w:tplc="83362B94">
      <w:start w:val="1"/>
      <w:numFmt w:val="bullet"/>
      <w:lvlText w:val="o"/>
      <w:lvlJc w:val="left"/>
      <w:pPr>
        <w:tabs>
          <w:tab w:val="num" w:pos="1440"/>
        </w:tabs>
        <w:ind w:left="1440" w:hanging="360"/>
      </w:pPr>
      <w:rPr>
        <w:rFonts w:ascii="Courier New" w:hAnsi="Courier New" w:hint="default"/>
      </w:rPr>
    </w:lvl>
    <w:lvl w:ilvl="2" w:tplc="1B1A3A56" w:tentative="1">
      <w:start w:val="1"/>
      <w:numFmt w:val="bullet"/>
      <w:lvlText w:val="o"/>
      <w:lvlJc w:val="left"/>
      <w:pPr>
        <w:tabs>
          <w:tab w:val="num" w:pos="2160"/>
        </w:tabs>
        <w:ind w:left="2160" w:hanging="360"/>
      </w:pPr>
      <w:rPr>
        <w:rFonts w:ascii="Courier New" w:hAnsi="Courier New" w:hint="default"/>
      </w:rPr>
    </w:lvl>
    <w:lvl w:ilvl="3" w:tplc="83FCB932" w:tentative="1">
      <w:start w:val="1"/>
      <w:numFmt w:val="bullet"/>
      <w:lvlText w:val="o"/>
      <w:lvlJc w:val="left"/>
      <w:pPr>
        <w:tabs>
          <w:tab w:val="num" w:pos="2880"/>
        </w:tabs>
        <w:ind w:left="2880" w:hanging="360"/>
      </w:pPr>
      <w:rPr>
        <w:rFonts w:ascii="Courier New" w:hAnsi="Courier New" w:hint="default"/>
      </w:rPr>
    </w:lvl>
    <w:lvl w:ilvl="4" w:tplc="6A5CD18A" w:tentative="1">
      <w:start w:val="1"/>
      <w:numFmt w:val="bullet"/>
      <w:lvlText w:val="o"/>
      <w:lvlJc w:val="left"/>
      <w:pPr>
        <w:tabs>
          <w:tab w:val="num" w:pos="3600"/>
        </w:tabs>
        <w:ind w:left="3600" w:hanging="360"/>
      </w:pPr>
      <w:rPr>
        <w:rFonts w:ascii="Courier New" w:hAnsi="Courier New" w:hint="default"/>
      </w:rPr>
    </w:lvl>
    <w:lvl w:ilvl="5" w:tplc="38208BEA" w:tentative="1">
      <w:start w:val="1"/>
      <w:numFmt w:val="bullet"/>
      <w:lvlText w:val="o"/>
      <w:lvlJc w:val="left"/>
      <w:pPr>
        <w:tabs>
          <w:tab w:val="num" w:pos="4320"/>
        </w:tabs>
        <w:ind w:left="4320" w:hanging="360"/>
      </w:pPr>
      <w:rPr>
        <w:rFonts w:ascii="Courier New" w:hAnsi="Courier New" w:hint="default"/>
      </w:rPr>
    </w:lvl>
    <w:lvl w:ilvl="6" w:tplc="FFAE4E08" w:tentative="1">
      <w:start w:val="1"/>
      <w:numFmt w:val="bullet"/>
      <w:lvlText w:val="o"/>
      <w:lvlJc w:val="left"/>
      <w:pPr>
        <w:tabs>
          <w:tab w:val="num" w:pos="5040"/>
        </w:tabs>
        <w:ind w:left="5040" w:hanging="360"/>
      </w:pPr>
      <w:rPr>
        <w:rFonts w:ascii="Courier New" w:hAnsi="Courier New" w:hint="default"/>
      </w:rPr>
    </w:lvl>
    <w:lvl w:ilvl="7" w:tplc="065C67B8" w:tentative="1">
      <w:start w:val="1"/>
      <w:numFmt w:val="bullet"/>
      <w:lvlText w:val="o"/>
      <w:lvlJc w:val="left"/>
      <w:pPr>
        <w:tabs>
          <w:tab w:val="num" w:pos="5760"/>
        </w:tabs>
        <w:ind w:left="5760" w:hanging="360"/>
      </w:pPr>
      <w:rPr>
        <w:rFonts w:ascii="Courier New" w:hAnsi="Courier New" w:hint="default"/>
      </w:rPr>
    </w:lvl>
    <w:lvl w:ilvl="8" w:tplc="706EAA06"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6A895890"/>
    <w:multiLevelType w:val="hybridMultilevel"/>
    <w:tmpl w:val="7BC843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B6393F"/>
    <w:multiLevelType w:val="hybridMultilevel"/>
    <w:tmpl w:val="2A4041E4"/>
    <w:lvl w:ilvl="0" w:tplc="4664ED24">
      <w:start w:val="2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DE11F78"/>
    <w:multiLevelType w:val="multilevel"/>
    <w:tmpl w:val="D2464A18"/>
    <w:lvl w:ilvl="0">
      <w:start w:val="1"/>
      <w:numFmt w:val="lowerLetter"/>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E9E78E2"/>
    <w:multiLevelType w:val="hybridMultilevel"/>
    <w:tmpl w:val="F3F484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1DD7D15"/>
    <w:multiLevelType w:val="multilevel"/>
    <w:tmpl w:val="8648F1CC"/>
    <w:lvl w:ilvl="0">
      <w:start w:val="23"/>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23C2C64"/>
    <w:multiLevelType w:val="multilevel"/>
    <w:tmpl w:val="5CBACF8A"/>
    <w:lvl w:ilvl="0">
      <w:start w:val="4"/>
      <w:numFmt w:val="decimal"/>
      <w:lvlText w:val="%1)"/>
      <w:lvlJc w:val="left"/>
      <w:pPr>
        <w:ind w:left="360" w:hanging="360"/>
      </w:pPr>
      <w:rPr>
        <w:rFonts w:asciiTheme="minorHAnsi" w:hAnsiTheme="minorHAnsi" w:cstheme="minorHAnsi"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2F44A3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5934846"/>
    <w:multiLevelType w:val="multilevel"/>
    <w:tmpl w:val="AE1E2FA2"/>
    <w:lvl w:ilvl="0">
      <w:start w:val="1"/>
      <w:numFmt w:val="lowerLetter"/>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BB0510B"/>
    <w:multiLevelType w:val="multilevel"/>
    <w:tmpl w:val="98B4C9A2"/>
    <w:lvl w:ilvl="0">
      <w:start w:val="24"/>
      <w:numFmt w:val="decimal"/>
      <w:lvlText w:val="%1)"/>
      <w:lvlJc w:val="left"/>
      <w:pPr>
        <w:ind w:left="360" w:hanging="360"/>
      </w:pPr>
      <w:rPr>
        <w:rFonts w:hint="default"/>
        <w:b w:val="0"/>
        <w:bCs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EBC3E5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2"/>
  </w:num>
  <w:num w:numId="2">
    <w:abstractNumId w:val="29"/>
  </w:num>
  <w:num w:numId="3">
    <w:abstractNumId w:val="21"/>
  </w:num>
  <w:num w:numId="4">
    <w:abstractNumId w:val="28"/>
  </w:num>
  <w:num w:numId="5">
    <w:abstractNumId w:val="14"/>
  </w:num>
  <w:num w:numId="6">
    <w:abstractNumId w:val="23"/>
  </w:num>
  <w:num w:numId="7">
    <w:abstractNumId w:val="11"/>
  </w:num>
  <w:num w:numId="8">
    <w:abstractNumId w:val="35"/>
  </w:num>
  <w:num w:numId="9">
    <w:abstractNumId w:val="36"/>
  </w:num>
  <w:num w:numId="10">
    <w:abstractNumId w:val="19"/>
  </w:num>
  <w:num w:numId="11">
    <w:abstractNumId w:val="10"/>
  </w:num>
  <w:num w:numId="12">
    <w:abstractNumId w:val="26"/>
  </w:num>
  <w:num w:numId="13">
    <w:abstractNumId w:val="20"/>
  </w:num>
  <w:num w:numId="14">
    <w:abstractNumId w:val="38"/>
  </w:num>
  <w:num w:numId="15">
    <w:abstractNumId w:val="24"/>
  </w:num>
  <w:num w:numId="16">
    <w:abstractNumId w:val="25"/>
  </w:num>
  <w:num w:numId="17">
    <w:abstractNumId w:val="30"/>
  </w:num>
  <w:num w:numId="18">
    <w:abstractNumId w:val="27"/>
  </w:num>
  <w:num w:numId="19">
    <w:abstractNumId w:val="37"/>
  </w:num>
  <w:num w:numId="20">
    <w:abstractNumId w:val="33"/>
  </w:num>
  <w:num w:numId="21">
    <w:abstractNumId w:val="12"/>
  </w:num>
  <w:num w:numId="22">
    <w:abstractNumId w:val="15"/>
  </w:num>
  <w:num w:numId="23">
    <w:abstractNumId w:val="34"/>
  </w:num>
  <w:num w:numId="24">
    <w:abstractNumId w:val="31"/>
  </w:num>
  <w:num w:numId="25">
    <w:abstractNumId w:val="18"/>
  </w:num>
  <w:num w:numId="26">
    <w:abstractNumId w:val="13"/>
  </w:num>
  <w:num w:numId="27">
    <w:abstractNumId w:val="16"/>
  </w:num>
  <w:num w:numId="28">
    <w:abstractNumId w:val="22"/>
  </w:num>
  <w:num w:numId="29">
    <w:abstractNumId w:val="17"/>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423"/>
    <w:rsid w:val="00003F5E"/>
    <w:rsid w:val="000314DF"/>
    <w:rsid w:val="0003206F"/>
    <w:rsid w:val="00037036"/>
    <w:rsid w:val="00046B7F"/>
    <w:rsid w:val="00050A87"/>
    <w:rsid w:val="000718C9"/>
    <w:rsid w:val="00074A99"/>
    <w:rsid w:val="00082DC8"/>
    <w:rsid w:val="0008784E"/>
    <w:rsid w:val="00092A8A"/>
    <w:rsid w:val="000978B3"/>
    <w:rsid w:val="000A165E"/>
    <w:rsid w:val="000B17D2"/>
    <w:rsid w:val="000B799E"/>
    <w:rsid w:val="000C0198"/>
    <w:rsid w:val="000C1233"/>
    <w:rsid w:val="000D2E38"/>
    <w:rsid w:val="000D35D4"/>
    <w:rsid w:val="000E1FED"/>
    <w:rsid w:val="001063CB"/>
    <w:rsid w:val="001077FF"/>
    <w:rsid w:val="001223D0"/>
    <w:rsid w:val="001315D3"/>
    <w:rsid w:val="00140587"/>
    <w:rsid w:val="00142051"/>
    <w:rsid w:val="00151269"/>
    <w:rsid w:val="00151F4E"/>
    <w:rsid w:val="001569E7"/>
    <w:rsid w:val="0016181C"/>
    <w:rsid w:val="00171AB8"/>
    <w:rsid w:val="00177B96"/>
    <w:rsid w:val="0018062A"/>
    <w:rsid w:val="00195210"/>
    <w:rsid w:val="001A2258"/>
    <w:rsid w:val="001A76B2"/>
    <w:rsid w:val="001C1019"/>
    <w:rsid w:val="001D786C"/>
    <w:rsid w:val="001F3820"/>
    <w:rsid w:val="00200928"/>
    <w:rsid w:val="00220659"/>
    <w:rsid w:val="0023486B"/>
    <w:rsid w:val="00235284"/>
    <w:rsid w:val="0023700B"/>
    <w:rsid w:val="00240900"/>
    <w:rsid w:val="00243DE1"/>
    <w:rsid w:val="002562EB"/>
    <w:rsid w:val="00262013"/>
    <w:rsid w:val="0027160E"/>
    <w:rsid w:val="00280050"/>
    <w:rsid w:val="00281D04"/>
    <w:rsid w:val="0028241F"/>
    <w:rsid w:val="002A3EA6"/>
    <w:rsid w:val="002B63AC"/>
    <w:rsid w:val="002D1B96"/>
    <w:rsid w:val="002E292F"/>
    <w:rsid w:val="002E2A06"/>
    <w:rsid w:val="002E3A41"/>
    <w:rsid w:val="002F6EE4"/>
    <w:rsid w:val="002F7EDD"/>
    <w:rsid w:val="00305664"/>
    <w:rsid w:val="00307CB5"/>
    <w:rsid w:val="00315EB2"/>
    <w:rsid w:val="003169D9"/>
    <w:rsid w:val="0032391C"/>
    <w:rsid w:val="00334225"/>
    <w:rsid w:val="00334C37"/>
    <w:rsid w:val="00335F2F"/>
    <w:rsid w:val="00351B33"/>
    <w:rsid w:val="00373DAC"/>
    <w:rsid w:val="003924ED"/>
    <w:rsid w:val="00392C2A"/>
    <w:rsid w:val="003A7B5E"/>
    <w:rsid w:val="003B6B48"/>
    <w:rsid w:val="003C1D99"/>
    <w:rsid w:val="003C6374"/>
    <w:rsid w:val="003D70C4"/>
    <w:rsid w:val="0041192E"/>
    <w:rsid w:val="004134C1"/>
    <w:rsid w:val="0043725E"/>
    <w:rsid w:val="004455D1"/>
    <w:rsid w:val="00447AAE"/>
    <w:rsid w:val="0045278F"/>
    <w:rsid w:val="004669ED"/>
    <w:rsid w:val="00474C78"/>
    <w:rsid w:val="00480A0A"/>
    <w:rsid w:val="0049597B"/>
    <w:rsid w:val="004B4FDF"/>
    <w:rsid w:val="004B7B42"/>
    <w:rsid w:val="004C0488"/>
    <w:rsid w:val="004C27C4"/>
    <w:rsid w:val="004D6B9F"/>
    <w:rsid w:val="004D78F8"/>
    <w:rsid w:val="004E4F68"/>
    <w:rsid w:val="0050540C"/>
    <w:rsid w:val="0051305D"/>
    <w:rsid w:val="00546838"/>
    <w:rsid w:val="00566912"/>
    <w:rsid w:val="0057172D"/>
    <w:rsid w:val="005738E9"/>
    <w:rsid w:val="00574203"/>
    <w:rsid w:val="005879DC"/>
    <w:rsid w:val="00591545"/>
    <w:rsid w:val="005B0D8E"/>
    <w:rsid w:val="005C02E3"/>
    <w:rsid w:val="005D6DE4"/>
    <w:rsid w:val="005F0CC6"/>
    <w:rsid w:val="005F7689"/>
    <w:rsid w:val="00600FB1"/>
    <w:rsid w:val="00631D9E"/>
    <w:rsid w:val="0063239C"/>
    <w:rsid w:val="00640520"/>
    <w:rsid w:val="006517EE"/>
    <w:rsid w:val="00692CCF"/>
    <w:rsid w:val="006C2861"/>
    <w:rsid w:val="006C731B"/>
    <w:rsid w:val="006C746C"/>
    <w:rsid w:val="00703EB5"/>
    <w:rsid w:val="007041E9"/>
    <w:rsid w:val="007211F1"/>
    <w:rsid w:val="00727337"/>
    <w:rsid w:val="00736AF9"/>
    <w:rsid w:val="00740803"/>
    <w:rsid w:val="00746043"/>
    <w:rsid w:val="00750760"/>
    <w:rsid w:val="0075274E"/>
    <w:rsid w:val="00773716"/>
    <w:rsid w:val="007A2A81"/>
    <w:rsid w:val="007A4CC1"/>
    <w:rsid w:val="007C1383"/>
    <w:rsid w:val="007C19DD"/>
    <w:rsid w:val="007D2F8F"/>
    <w:rsid w:val="007E2F50"/>
    <w:rsid w:val="007F1267"/>
    <w:rsid w:val="007F20C7"/>
    <w:rsid w:val="00816423"/>
    <w:rsid w:val="00843534"/>
    <w:rsid w:val="00847500"/>
    <w:rsid w:val="0086401C"/>
    <w:rsid w:val="00872DD5"/>
    <w:rsid w:val="00891293"/>
    <w:rsid w:val="008B3832"/>
    <w:rsid w:val="008B5FA9"/>
    <w:rsid w:val="008C5C5E"/>
    <w:rsid w:val="008C67C2"/>
    <w:rsid w:val="008D5507"/>
    <w:rsid w:val="00902913"/>
    <w:rsid w:val="00904067"/>
    <w:rsid w:val="009141CB"/>
    <w:rsid w:val="00915C36"/>
    <w:rsid w:val="00920B76"/>
    <w:rsid w:val="00925D7F"/>
    <w:rsid w:val="00931081"/>
    <w:rsid w:val="00935545"/>
    <w:rsid w:val="009418A0"/>
    <w:rsid w:val="009450A9"/>
    <w:rsid w:val="0095196D"/>
    <w:rsid w:val="00954807"/>
    <w:rsid w:val="00964D6D"/>
    <w:rsid w:val="00966249"/>
    <w:rsid w:val="00974DFA"/>
    <w:rsid w:val="00984CFE"/>
    <w:rsid w:val="00987A5D"/>
    <w:rsid w:val="009B6E31"/>
    <w:rsid w:val="009E3116"/>
    <w:rsid w:val="009F21CE"/>
    <w:rsid w:val="00A0110F"/>
    <w:rsid w:val="00A01CE4"/>
    <w:rsid w:val="00A0350F"/>
    <w:rsid w:val="00A450A6"/>
    <w:rsid w:val="00A5374D"/>
    <w:rsid w:val="00A57188"/>
    <w:rsid w:val="00A66EFE"/>
    <w:rsid w:val="00A84014"/>
    <w:rsid w:val="00A8441C"/>
    <w:rsid w:val="00A858B0"/>
    <w:rsid w:val="00A87B47"/>
    <w:rsid w:val="00A93D89"/>
    <w:rsid w:val="00AA1EC9"/>
    <w:rsid w:val="00AA6AFE"/>
    <w:rsid w:val="00AB5DC4"/>
    <w:rsid w:val="00AF6FE0"/>
    <w:rsid w:val="00B15238"/>
    <w:rsid w:val="00B22A0D"/>
    <w:rsid w:val="00B37A5A"/>
    <w:rsid w:val="00B403A9"/>
    <w:rsid w:val="00B51250"/>
    <w:rsid w:val="00B647B8"/>
    <w:rsid w:val="00BB397D"/>
    <w:rsid w:val="00C002BA"/>
    <w:rsid w:val="00C53F8A"/>
    <w:rsid w:val="00C56097"/>
    <w:rsid w:val="00C57CAE"/>
    <w:rsid w:val="00C7605D"/>
    <w:rsid w:val="00C87F96"/>
    <w:rsid w:val="00C90630"/>
    <w:rsid w:val="00C94B3C"/>
    <w:rsid w:val="00C95A01"/>
    <w:rsid w:val="00C975DA"/>
    <w:rsid w:val="00CB54B4"/>
    <w:rsid w:val="00CB6AC3"/>
    <w:rsid w:val="00CC0ABE"/>
    <w:rsid w:val="00CD3E09"/>
    <w:rsid w:val="00CE63A6"/>
    <w:rsid w:val="00D0135C"/>
    <w:rsid w:val="00D12C11"/>
    <w:rsid w:val="00D1522B"/>
    <w:rsid w:val="00D3597C"/>
    <w:rsid w:val="00D4329B"/>
    <w:rsid w:val="00D60535"/>
    <w:rsid w:val="00D83873"/>
    <w:rsid w:val="00DB0272"/>
    <w:rsid w:val="00DB386A"/>
    <w:rsid w:val="00DB6F10"/>
    <w:rsid w:val="00DD2453"/>
    <w:rsid w:val="00DF6F13"/>
    <w:rsid w:val="00E326F3"/>
    <w:rsid w:val="00E6158B"/>
    <w:rsid w:val="00E77FF5"/>
    <w:rsid w:val="00E87A88"/>
    <w:rsid w:val="00E94DA1"/>
    <w:rsid w:val="00EC0099"/>
    <w:rsid w:val="00EC3A5D"/>
    <w:rsid w:val="00ED2810"/>
    <w:rsid w:val="00EE42A4"/>
    <w:rsid w:val="00EF2BE3"/>
    <w:rsid w:val="00F053E1"/>
    <w:rsid w:val="00F14D6C"/>
    <w:rsid w:val="00F201EB"/>
    <w:rsid w:val="00F37157"/>
    <w:rsid w:val="00F50790"/>
    <w:rsid w:val="00F85FC1"/>
    <w:rsid w:val="00FB57BE"/>
    <w:rsid w:val="00FE38BE"/>
    <w:rsid w:val="00FE5B09"/>
    <w:rsid w:val="00FF26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35627B"/>
  <w15:chartTrackingRefBased/>
  <w15:docId w15:val="{E06C8EBA-1F1B-4E5B-9C60-120122B2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EC9"/>
    <w:pPr>
      <w:spacing w:after="0" w:line="276" w:lineRule="auto"/>
    </w:pPr>
    <w:rPr>
      <w:rFonts w:asciiTheme="minorHAnsi" w:hAnsiTheme="minorHAnsi" w:cstheme="minorBidi"/>
      <w:sz w:val="20"/>
      <w:szCs w:val="22"/>
    </w:rPr>
  </w:style>
  <w:style w:type="paragraph" w:styleId="Heading1">
    <w:name w:val="heading 1"/>
    <w:basedOn w:val="Normal"/>
    <w:next w:val="Normal"/>
    <w:link w:val="Heading1Char"/>
    <w:uiPriority w:val="9"/>
    <w:qFormat/>
    <w:rsid w:val="00AA1EC9"/>
    <w:pPr>
      <w:keepNext/>
      <w:keepLines/>
      <w:spacing w:line="240" w:lineRule="auto"/>
      <w:outlineLvl w:val="0"/>
    </w:pPr>
    <w:rPr>
      <w:rFonts w:ascii="Calibri" w:eastAsiaTheme="majorEastAsia" w:hAnsi="Calibr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60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605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EC9"/>
    <w:rPr>
      <w:rFonts w:ascii="Calibri" w:eastAsiaTheme="majorEastAsia" w:hAnsi="Calibri" w:cstheme="majorBidi"/>
      <w:color w:val="2F5496" w:themeColor="accent1" w:themeShade="BF"/>
      <w:sz w:val="32"/>
      <w:szCs w:val="32"/>
    </w:rPr>
  </w:style>
  <w:style w:type="table" w:styleId="TableGrid">
    <w:name w:val="Table Grid"/>
    <w:basedOn w:val="TableNormal"/>
    <w:uiPriority w:val="39"/>
    <w:rsid w:val="00816423"/>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next w:val="Normal"/>
    <w:uiPriority w:val="99"/>
    <w:unhideWhenUsed/>
    <w:rsid w:val="0063239C"/>
    <w:pPr>
      <w:ind w:left="200" w:hanging="200"/>
    </w:pPr>
    <w:rPr>
      <w:rFonts w:asciiTheme="minorHAnsi" w:hAnsiTheme="minorHAnsi" w:cstheme="minorBidi"/>
      <w:b/>
      <w:color w:val="FFFFFF" w:themeColor="background1"/>
      <w:sz w:val="20"/>
      <w:szCs w:val="22"/>
    </w:rPr>
  </w:style>
  <w:style w:type="character" w:styleId="Hyperlink">
    <w:name w:val="Hyperlink"/>
    <w:basedOn w:val="DefaultParagraphFont"/>
    <w:uiPriority w:val="99"/>
    <w:unhideWhenUsed/>
    <w:rsid w:val="00816423"/>
    <w:rPr>
      <w:color w:val="0563C1" w:themeColor="hyperlink"/>
      <w:u w:val="single"/>
    </w:rPr>
  </w:style>
  <w:style w:type="character" w:customStyle="1" w:styleId="UnresolvedMention1">
    <w:name w:val="Unresolved Mention1"/>
    <w:basedOn w:val="DefaultParagraphFont"/>
    <w:uiPriority w:val="99"/>
    <w:semiHidden/>
    <w:unhideWhenUsed/>
    <w:rsid w:val="00816423"/>
    <w:rPr>
      <w:color w:val="605E5C"/>
      <w:shd w:val="clear" w:color="auto" w:fill="E1DFDD"/>
    </w:rPr>
  </w:style>
  <w:style w:type="paragraph" w:styleId="BalloonText">
    <w:name w:val="Balloon Text"/>
    <w:basedOn w:val="Normal"/>
    <w:link w:val="BalloonTextChar"/>
    <w:uiPriority w:val="99"/>
    <w:semiHidden/>
    <w:unhideWhenUsed/>
    <w:rsid w:val="0041192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92E"/>
    <w:rPr>
      <w:rFonts w:ascii="Segoe UI" w:hAnsi="Segoe UI" w:cs="Segoe UI"/>
      <w:sz w:val="18"/>
      <w:szCs w:val="18"/>
    </w:rPr>
  </w:style>
  <w:style w:type="character" w:styleId="CommentReference">
    <w:name w:val="annotation reference"/>
    <w:basedOn w:val="DefaultParagraphFont"/>
    <w:uiPriority w:val="99"/>
    <w:semiHidden/>
    <w:unhideWhenUsed/>
    <w:rsid w:val="0041192E"/>
    <w:rPr>
      <w:sz w:val="16"/>
      <w:szCs w:val="16"/>
    </w:rPr>
  </w:style>
  <w:style w:type="paragraph" w:styleId="CommentText">
    <w:name w:val="annotation text"/>
    <w:basedOn w:val="Normal"/>
    <w:link w:val="CommentTextChar"/>
    <w:uiPriority w:val="99"/>
    <w:unhideWhenUsed/>
    <w:rsid w:val="0041192E"/>
    <w:pPr>
      <w:spacing w:line="240" w:lineRule="auto"/>
    </w:pPr>
    <w:rPr>
      <w:szCs w:val="20"/>
    </w:rPr>
  </w:style>
  <w:style w:type="character" w:customStyle="1" w:styleId="CommentTextChar">
    <w:name w:val="Comment Text Char"/>
    <w:basedOn w:val="DefaultParagraphFont"/>
    <w:link w:val="CommentText"/>
    <w:uiPriority w:val="99"/>
    <w:rsid w:val="0041192E"/>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1192E"/>
    <w:rPr>
      <w:b/>
      <w:bCs/>
    </w:rPr>
  </w:style>
  <w:style w:type="character" w:customStyle="1" w:styleId="CommentSubjectChar">
    <w:name w:val="Comment Subject Char"/>
    <w:basedOn w:val="CommentTextChar"/>
    <w:link w:val="CommentSubject"/>
    <w:uiPriority w:val="99"/>
    <w:semiHidden/>
    <w:rsid w:val="0041192E"/>
    <w:rPr>
      <w:rFonts w:asciiTheme="minorHAnsi" w:hAnsiTheme="minorHAnsi" w:cstheme="minorBidi"/>
      <w:b/>
      <w:bCs/>
      <w:sz w:val="20"/>
      <w:szCs w:val="20"/>
    </w:rPr>
  </w:style>
  <w:style w:type="character" w:customStyle="1" w:styleId="Heading2Char">
    <w:name w:val="Heading 2 Char"/>
    <w:basedOn w:val="DefaultParagraphFont"/>
    <w:link w:val="Heading2"/>
    <w:uiPriority w:val="9"/>
    <w:rsid w:val="00C760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605D"/>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C7605D"/>
    <w:pPr>
      <w:tabs>
        <w:tab w:val="center" w:pos="4513"/>
        <w:tab w:val="right" w:pos="9026"/>
      </w:tabs>
      <w:spacing w:beforeAutospacing="1" w:afterAutospacing="1" w:line="240" w:lineRule="auto"/>
    </w:pPr>
    <w:rPr>
      <w:rFonts w:ascii="Segoe UI" w:eastAsia="Times New Roman" w:hAnsi="Segoe UI" w:cs="Segoe UI"/>
      <w:color w:val="313131"/>
      <w:sz w:val="24"/>
      <w:szCs w:val="24"/>
      <w:lang w:eastAsia="en-AU"/>
    </w:rPr>
  </w:style>
  <w:style w:type="character" w:customStyle="1" w:styleId="HeaderChar">
    <w:name w:val="Header Char"/>
    <w:basedOn w:val="DefaultParagraphFont"/>
    <w:link w:val="Header"/>
    <w:uiPriority w:val="99"/>
    <w:rsid w:val="00C7605D"/>
    <w:rPr>
      <w:rFonts w:ascii="Segoe UI" w:eastAsia="Times New Roman" w:hAnsi="Segoe UI" w:cs="Segoe UI"/>
      <w:color w:val="313131"/>
      <w:lang w:eastAsia="en-AU"/>
    </w:rPr>
  </w:style>
  <w:style w:type="paragraph" w:styleId="Footer">
    <w:name w:val="footer"/>
    <w:basedOn w:val="Normal"/>
    <w:link w:val="FooterChar"/>
    <w:uiPriority w:val="99"/>
    <w:unhideWhenUsed/>
    <w:rsid w:val="00C7605D"/>
    <w:pPr>
      <w:tabs>
        <w:tab w:val="center" w:pos="4513"/>
        <w:tab w:val="right" w:pos="9026"/>
      </w:tabs>
      <w:spacing w:line="240" w:lineRule="auto"/>
    </w:pPr>
  </w:style>
  <w:style w:type="character" w:customStyle="1" w:styleId="FooterChar">
    <w:name w:val="Footer Char"/>
    <w:basedOn w:val="DefaultParagraphFont"/>
    <w:link w:val="Footer"/>
    <w:uiPriority w:val="99"/>
    <w:rsid w:val="00C7605D"/>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0D2E38"/>
    <w:rPr>
      <w:color w:val="605E5C"/>
      <w:shd w:val="clear" w:color="auto" w:fill="E1DFDD"/>
    </w:rPr>
  </w:style>
  <w:style w:type="paragraph" w:styleId="PlainText">
    <w:name w:val="Plain Text"/>
    <w:basedOn w:val="Normal"/>
    <w:link w:val="PlainTextChar"/>
    <w:uiPriority w:val="99"/>
    <w:unhideWhenUsed/>
    <w:rsid w:val="001315D3"/>
    <w:pPr>
      <w:spacing w:line="240" w:lineRule="auto"/>
    </w:pPr>
    <w:rPr>
      <w:rFonts w:ascii="Calibri" w:hAnsi="Calibri"/>
      <w:szCs w:val="21"/>
    </w:rPr>
  </w:style>
  <w:style w:type="character" w:customStyle="1" w:styleId="PlainTextChar">
    <w:name w:val="Plain Text Char"/>
    <w:basedOn w:val="DefaultParagraphFont"/>
    <w:link w:val="PlainText"/>
    <w:uiPriority w:val="99"/>
    <w:rsid w:val="001315D3"/>
    <w:rPr>
      <w:rFonts w:ascii="Calibri" w:hAnsi="Calibri" w:cstheme="minorBidi"/>
      <w:sz w:val="22"/>
      <w:szCs w:val="21"/>
    </w:rPr>
  </w:style>
  <w:style w:type="character" w:styleId="FollowedHyperlink">
    <w:name w:val="FollowedHyperlink"/>
    <w:basedOn w:val="DefaultParagraphFont"/>
    <w:uiPriority w:val="99"/>
    <w:semiHidden/>
    <w:unhideWhenUsed/>
    <w:rsid w:val="00151269"/>
    <w:rPr>
      <w:color w:val="954F72" w:themeColor="followedHyperlink"/>
      <w:u w:val="single"/>
    </w:rPr>
  </w:style>
  <w:style w:type="paragraph" w:styleId="Revision">
    <w:name w:val="Revision"/>
    <w:hidden/>
    <w:uiPriority w:val="99"/>
    <w:semiHidden/>
    <w:rsid w:val="00CB6AC3"/>
    <w:pPr>
      <w:spacing w:after="0" w:line="240" w:lineRule="auto"/>
    </w:pPr>
    <w:rPr>
      <w:rFonts w:asciiTheme="minorHAnsi" w:hAnsiTheme="minorHAnsi" w:cstheme="minorBidi"/>
      <w:sz w:val="22"/>
      <w:szCs w:val="22"/>
    </w:rPr>
  </w:style>
  <w:style w:type="paragraph" w:styleId="ListContinue">
    <w:name w:val="List Continue"/>
    <w:basedOn w:val="Normal"/>
    <w:uiPriority w:val="99"/>
    <w:unhideWhenUsed/>
    <w:rsid w:val="00AA1EC9"/>
    <w:pPr>
      <w:numPr>
        <w:numId w:val="25"/>
      </w:numPr>
      <w:spacing w:after="60" w:line="240" w:lineRule="auto"/>
    </w:pPr>
    <w:rPr>
      <w:rFonts w:ascii="Calibri" w:eastAsia="Times New Roman" w:hAnsi="Calibri" w:cs="Calibri"/>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3876">
      <w:bodyDiv w:val="1"/>
      <w:marLeft w:val="0"/>
      <w:marRight w:val="0"/>
      <w:marTop w:val="0"/>
      <w:marBottom w:val="0"/>
      <w:divBdr>
        <w:top w:val="none" w:sz="0" w:space="0" w:color="auto"/>
        <w:left w:val="none" w:sz="0" w:space="0" w:color="auto"/>
        <w:bottom w:val="none" w:sz="0" w:space="0" w:color="auto"/>
        <w:right w:val="none" w:sz="0" w:space="0" w:color="auto"/>
      </w:divBdr>
    </w:div>
    <w:div w:id="88938649">
      <w:bodyDiv w:val="1"/>
      <w:marLeft w:val="0"/>
      <w:marRight w:val="0"/>
      <w:marTop w:val="0"/>
      <w:marBottom w:val="0"/>
      <w:divBdr>
        <w:top w:val="none" w:sz="0" w:space="0" w:color="auto"/>
        <w:left w:val="none" w:sz="0" w:space="0" w:color="auto"/>
        <w:bottom w:val="none" w:sz="0" w:space="0" w:color="auto"/>
        <w:right w:val="none" w:sz="0" w:space="0" w:color="auto"/>
      </w:divBdr>
    </w:div>
    <w:div w:id="107118554">
      <w:bodyDiv w:val="1"/>
      <w:marLeft w:val="0"/>
      <w:marRight w:val="0"/>
      <w:marTop w:val="0"/>
      <w:marBottom w:val="0"/>
      <w:divBdr>
        <w:top w:val="none" w:sz="0" w:space="0" w:color="auto"/>
        <w:left w:val="none" w:sz="0" w:space="0" w:color="auto"/>
        <w:bottom w:val="none" w:sz="0" w:space="0" w:color="auto"/>
        <w:right w:val="none" w:sz="0" w:space="0" w:color="auto"/>
      </w:divBdr>
    </w:div>
    <w:div w:id="119304800">
      <w:bodyDiv w:val="1"/>
      <w:marLeft w:val="0"/>
      <w:marRight w:val="0"/>
      <w:marTop w:val="0"/>
      <w:marBottom w:val="0"/>
      <w:divBdr>
        <w:top w:val="none" w:sz="0" w:space="0" w:color="auto"/>
        <w:left w:val="none" w:sz="0" w:space="0" w:color="auto"/>
        <w:bottom w:val="none" w:sz="0" w:space="0" w:color="auto"/>
        <w:right w:val="none" w:sz="0" w:space="0" w:color="auto"/>
      </w:divBdr>
    </w:div>
    <w:div w:id="426658371">
      <w:bodyDiv w:val="1"/>
      <w:marLeft w:val="0"/>
      <w:marRight w:val="0"/>
      <w:marTop w:val="0"/>
      <w:marBottom w:val="0"/>
      <w:divBdr>
        <w:top w:val="none" w:sz="0" w:space="0" w:color="auto"/>
        <w:left w:val="none" w:sz="0" w:space="0" w:color="auto"/>
        <w:bottom w:val="none" w:sz="0" w:space="0" w:color="auto"/>
        <w:right w:val="none" w:sz="0" w:space="0" w:color="auto"/>
      </w:divBdr>
    </w:div>
    <w:div w:id="433479776">
      <w:bodyDiv w:val="1"/>
      <w:marLeft w:val="0"/>
      <w:marRight w:val="0"/>
      <w:marTop w:val="0"/>
      <w:marBottom w:val="0"/>
      <w:divBdr>
        <w:top w:val="none" w:sz="0" w:space="0" w:color="auto"/>
        <w:left w:val="none" w:sz="0" w:space="0" w:color="auto"/>
        <w:bottom w:val="none" w:sz="0" w:space="0" w:color="auto"/>
        <w:right w:val="none" w:sz="0" w:space="0" w:color="auto"/>
      </w:divBdr>
    </w:div>
    <w:div w:id="598760778">
      <w:bodyDiv w:val="1"/>
      <w:marLeft w:val="0"/>
      <w:marRight w:val="0"/>
      <w:marTop w:val="0"/>
      <w:marBottom w:val="0"/>
      <w:divBdr>
        <w:top w:val="none" w:sz="0" w:space="0" w:color="auto"/>
        <w:left w:val="none" w:sz="0" w:space="0" w:color="auto"/>
        <w:bottom w:val="none" w:sz="0" w:space="0" w:color="auto"/>
        <w:right w:val="none" w:sz="0" w:space="0" w:color="auto"/>
      </w:divBdr>
    </w:div>
    <w:div w:id="629168615">
      <w:bodyDiv w:val="1"/>
      <w:marLeft w:val="0"/>
      <w:marRight w:val="0"/>
      <w:marTop w:val="0"/>
      <w:marBottom w:val="0"/>
      <w:divBdr>
        <w:top w:val="none" w:sz="0" w:space="0" w:color="auto"/>
        <w:left w:val="none" w:sz="0" w:space="0" w:color="auto"/>
        <w:bottom w:val="none" w:sz="0" w:space="0" w:color="auto"/>
        <w:right w:val="none" w:sz="0" w:space="0" w:color="auto"/>
      </w:divBdr>
    </w:div>
    <w:div w:id="787116389">
      <w:bodyDiv w:val="1"/>
      <w:marLeft w:val="0"/>
      <w:marRight w:val="0"/>
      <w:marTop w:val="0"/>
      <w:marBottom w:val="0"/>
      <w:divBdr>
        <w:top w:val="none" w:sz="0" w:space="0" w:color="auto"/>
        <w:left w:val="none" w:sz="0" w:space="0" w:color="auto"/>
        <w:bottom w:val="none" w:sz="0" w:space="0" w:color="auto"/>
        <w:right w:val="none" w:sz="0" w:space="0" w:color="auto"/>
      </w:divBdr>
    </w:div>
    <w:div w:id="923608968">
      <w:bodyDiv w:val="1"/>
      <w:marLeft w:val="0"/>
      <w:marRight w:val="0"/>
      <w:marTop w:val="0"/>
      <w:marBottom w:val="0"/>
      <w:divBdr>
        <w:top w:val="none" w:sz="0" w:space="0" w:color="auto"/>
        <w:left w:val="none" w:sz="0" w:space="0" w:color="auto"/>
        <w:bottom w:val="none" w:sz="0" w:space="0" w:color="auto"/>
        <w:right w:val="none" w:sz="0" w:space="0" w:color="auto"/>
      </w:divBdr>
    </w:div>
    <w:div w:id="952638627">
      <w:bodyDiv w:val="1"/>
      <w:marLeft w:val="0"/>
      <w:marRight w:val="0"/>
      <w:marTop w:val="0"/>
      <w:marBottom w:val="0"/>
      <w:divBdr>
        <w:top w:val="none" w:sz="0" w:space="0" w:color="auto"/>
        <w:left w:val="none" w:sz="0" w:space="0" w:color="auto"/>
        <w:bottom w:val="none" w:sz="0" w:space="0" w:color="auto"/>
        <w:right w:val="none" w:sz="0" w:space="0" w:color="auto"/>
      </w:divBdr>
      <w:divsChild>
        <w:div w:id="412436049">
          <w:marLeft w:val="1166"/>
          <w:marRight w:val="0"/>
          <w:marTop w:val="0"/>
          <w:marBottom w:val="120"/>
          <w:divBdr>
            <w:top w:val="none" w:sz="0" w:space="0" w:color="auto"/>
            <w:left w:val="none" w:sz="0" w:space="0" w:color="auto"/>
            <w:bottom w:val="none" w:sz="0" w:space="0" w:color="auto"/>
            <w:right w:val="none" w:sz="0" w:space="0" w:color="auto"/>
          </w:divBdr>
        </w:div>
      </w:divsChild>
    </w:div>
    <w:div w:id="1189173945">
      <w:bodyDiv w:val="1"/>
      <w:marLeft w:val="0"/>
      <w:marRight w:val="0"/>
      <w:marTop w:val="0"/>
      <w:marBottom w:val="0"/>
      <w:divBdr>
        <w:top w:val="none" w:sz="0" w:space="0" w:color="auto"/>
        <w:left w:val="none" w:sz="0" w:space="0" w:color="auto"/>
        <w:bottom w:val="none" w:sz="0" w:space="0" w:color="auto"/>
        <w:right w:val="none" w:sz="0" w:space="0" w:color="auto"/>
      </w:divBdr>
    </w:div>
    <w:div w:id="1192381926">
      <w:bodyDiv w:val="1"/>
      <w:marLeft w:val="0"/>
      <w:marRight w:val="0"/>
      <w:marTop w:val="0"/>
      <w:marBottom w:val="0"/>
      <w:divBdr>
        <w:top w:val="none" w:sz="0" w:space="0" w:color="auto"/>
        <w:left w:val="none" w:sz="0" w:space="0" w:color="auto"/>
        <w:bottom w:val="none" w:sz="0" w:space="0" w:color="auto"/>
        <w:right w:val="none" w:sz="0" w:space="0" w:color="auto"/>
      </w:divBdr>
    </w:div>
    <w:div w:id="1374229213">
      <w:bodyDiv w:val="1"/>
      <w:marLeft w:val="0"/>
      <w:marRight w:val="0"/>
      <w:marTop w:val="0"/>
      <w:marBottom w:val="0"/>
      <w:divBdr>
        <w:top w:val="none" w:sz="0" w:space="0" w:color="auto"/>
        <w:left w:val="none" w:sz="0" w:space="0" w:color="auto"/>
        <w:bottom w:val="none" w:sz="0" w:space="0" w:color="auto"/>
        <w:right w:val="none" w:sz="0" w:space="0" w:color="auto"/>
      </w:divBdr>
    </w:div>
    <w:div w:id="1433823477">
      <w:bodyDiv w:val="1"/>
      <w:marLeft w:val="0"/>
      <w:marRight w:val="0"/>
      <w:marTop w:val="0"/>
      <w:marBottom w:val="0"/>
      <w:divBdr>
        <w:top w:val="none" w:sz="0" w:space="0" w:color="auto"/>
        <w:left w:val="none" w:sz="0" w:space="0" w:color="auto"/>
        <w:bottom w:val="none" w:sz="0" w:space="0" w:color="auto"/>
        <w:right w:val="none" w:sz="0" w:space="0" w:color="auto"/>
      </w:divBdr>
    </w:div>
    <w:div w:id="1516655195">
      <w:bodyDiv w:val="1"/>
      <w:marLeft w:val="0"/>
      <w:marRight w:val="0"/>
      <w:marTop w:val="0"/>
      <w:marBottom w:val="0"/>
      <w:divBdr>
        <w:top w:val="none" w:sz="0" w:space="0" w:color="auto"/>
        <w:left w:val="none" w:sz="0" w:space="0" w:color="auto"/>
        <w:bottom w:val="none" w:sz="0" w:space="0" w:color="auto"/>
        <w:right w:val="none" w:sz="0" w:space="0" w:color="auto"/>
      </w:divBdr>
    </w:div>
    <w:div w:id="1560364794">
      <w:bodyDiv w:val="1"/>
      <w:marLeft w:val="0"/>
      <w:marRight w:val="0"/>
      <w:marTop w:val="0"/>
      <w:marBottom w:val="0"/>
      <w:divBdr>
        <w:top w:val="none" w:sz="0" w:space="0" w:color="auto"/>
        <w:left w:val="none" w:sz="0" w:space="0" w:color="auto"/>
        <w:bottom w:val="none" w:sz="0" w:space="0" w:color="auto"/>
        <w:right w:val="none" w:sz="0" w:space="0" w:color="auto"/>
      </w:divBdr>
    </w:div>
    <w:div w:id="1579441300">
      <w:bodyDiv w:val="1"/>
      <w:marLeft w:val="0"/>
      <w:marRight w:val="0"/>
      <w:marTop w:val="0"/>
      <w:marBottom w:val="0"/>
      <w:divBdr>
        <w:top w:val="none" w:sz="0" w:space="0" w:color="auto"/>
        <w:left w:val="none" w:sz="0" w:space="0" w:color="auto"/>
        <w:bottom w:val="none" w:sz="0" w:space="0" w:color="auto"/>
        <w:right w:val="none" w:sz="0" w:space="0" w:color="auto"/>
      </w:divBdr>
    </w:div>
    <w:div w:id="1817332680">
      <w:bodyDiv w:val="1"/>
      <w:marLeft w:val="0"/>
      <w:marRight w:val="0"/>
      <w:marTop w:val="0"/>
      <w:marBottom w:val="0"/>
      <w:divBdr>
        <w:top w:val="none" w:sz="0" w:space="0" w:color="auto"/>
        <w:left w:val="none" w:sz="0" w:space="0" w:color="auto"/>
        <w:bottom w:val="none" w:sz="0" w:space="0" w:color="auto"/>
        <w:right w:val="none" w:sz="0" w:space="0" w:color="auto"/>
      </w:divBdr>
    </w:div>
    <w:div w:id="1909224958">
      <w:bodyDiv w:val="1"/>
      <w:marLeft w:val="0"/>
      <w:marRight w:val="0"/>
      <w:marTop w:val="0"/>
      <w:marBottom w:val="0"/>
      <w:divBdr>
        <w:top w:val="none" w:sz="0" w:space="0" w:color="auto"/>
        <w:left w:val="none" w:sz="0" w:space="0" w:color="auto"/>
        <w:bottom w:val="none" w:sz="0" w:space="0" w:color="auto"/>
        <w:right w:val="none" w:sz="0" w:space="0" w:color="auto"/>
      </w:divBdr>
    </w:div>
    <w:div w:id="1917740763">
      <w:bodyDiv w:val="1"/>
      <w:marLeft w:val="0"/>
      <w:marRight w:val="0"/>
      <w:marTop w:val="0"/>
      <w:marBottom w:val="0"/>
      <w:divBdr>
        <w:top w:val="none" w:sz="0" w:space="0" w:color="auto"/>
        <w:left w:val="none" w:sz="0" w:space="0" w:color="auto"/>
        <w:bottom w:val="none" w:sz="0" w:space="0" w:color="auto"/>
        <w:right w:val="none" w:sz="0" w:space="0" w:color="auto"/>
      </w:divBdr>
    </w:div>
    <w:div w:id="1920750299">
      <w:bodyDiv w:val="1"/>
      <w:marLeft w:val="0"/>
      <w:marRight w:val="0"/>
      <w:marTop w:val="0"/>
      <w:marBottom w:val="0"/>
      <w:divBdr>
        <w:top w:val="none" w:sz="0" w:space="0" w:color="auto"/>
        <w:left w:val="none" w:sz="0" w:space="0" w:color="auto"/>
        <w:bottom w:val="none" w:sz="0" w:space="0" w:color="auto"/>
        <w:right w:val="none" w:sz="0" w:space="0" w:color="auto"/>
      </w:divBdr>
    </w:div>
    <w:div w:id="2045906425">
      <w:bodyDiv w:val="1"/>
      <w:marLeft w:val="0"/>
      <w:marRight w:val="0"/>
      <w:marTop w:val="0"/>
      <w:marBottom w:val="0"/>
      <w:divBdr>
        <w:top w:val="none" w:sz="0" w:space="0" w:color="auto"/>
        <w:left w:val="none" w:sz="0" w:space="0" w:color="auto"/>
        <w:bottom w:val="none" w:sz="0" w:space="0" w:color="auto"/>
        <w:right w:val="none" w:sz="0" w:space="0" w:color="auto"/>
      </w:divBdr>
    </w:div>
    <w:div w:id="207396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resources/publications/medical-research-future-fund-mrff-grant-recipients" TargetMode="External"/><Relationship Id="rId13" Type="http://schemas.openxmlformats.org/officeDocument/2006/relationships/hyperlink" Target="https://www.health.gov.au/resources/videos/medical-research-future-fund-research-administration-officer-webinar-4-august-2022" TargetMode="External"/><Relationship Id="rId18" Type="http://schemas.openxmlformats.org/officeDocument/2006/relationships/hyperlink" Target="https://www.health.gov.au/resources/publications/medical-research-future-fund-grant-variation-polic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health.gov.au/resources/publications/mrff-grant-assessment-committees" TargetMode="External"/><Relationship Id="rId17" Type="http://schemas.openxmlformats.org/officeDocument/2006/relationships/hyperlink" Target="https://www.health.gov.au/resources/publications/medical-research-future-fund-grant-reporting-requirements" TargetMode="External"/><Relationship Id="rId2" Type="http://schemas.openxmlformats.org/officeDocument/2006/relationships/styles" Target="styles.xml"/><Relationship Id="rId16" Type="http://schemas.openxmlformats.org/officeDocument/2006/relationships/hyperlink" Target="https://www.health.gov.au/resources/publications/refresh-of-the-medical-research-future-fund-assessment-criteria-october-2022?language=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gov.au/resources/publications/refresh-of-the-medical-research-future-fund-assessment-criteria-october-2022?language=en" TargetMode="External"/><Relationship Id="rId5" Type="http://schemas.openxmlformats.org/officeDocument/2006/relationships/footnotes" Target="footnotes.xml"/><Relationship Id="rId15" Type="http://schemas.openxmlformats.org/officeDocument/2006/relationships/hyperlink" Target="https://www.grants.gov.au/Go/Show?GoUuid=3a99e5dd-9146-4dc4-9f80-233014b6a480" TargetMode="External"/><Relationship Id="rId10" Type="http://schemas.openxmlformats.org/officeDocument/2006/relationships/hyperlink" Target="https://www.health.gov.au/resources/publications/refresh-of-the-medical-research-future-fund-assessment-criteria-october-2022?language=e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ealth.gov.au/resources/publications/medical-research-future-fund-mrff-grant-recipients" TargetMode="External"/><Relationship Id="rId14" Type="http://schemas.openxmlformats.org/officeDocument/2006/relationships/hyperlink" Target="https://www.health.gov.au/committees-and-groups/medical-research-future-fund-consumer-reference-pane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2134</Words>
  <Characters>13213</Characters>
  <Application>Microsoft Office Word</Application>
  <DocSecurity>0</DocSecurity>
  <Lines>240</Lines>
  <Paragraphs>134</Paragraphs>
  <ScaleCrop>false</ScaleCrop>
  <HeadingPairs>
    <vt:vector size="2" baseType="variant">
      <vt:variant>
        <vt:lpstr>Title</vt:lpstr>
      </vt:variant>
      <vt:variant>
        <vt:i4>1</vt:i4>
      </vt:variant>
    </vt:vector>
  </HeadingPairs>
  <TitlesOfParts>
    <vt:vector size="1" baseType="lpstr">
      <vt:lpstr>Responses to Medical Research Future Fund RAO webinar 4 August 2022 questions</vt:lpstr>
    </vt:vector>
  </TitlesOfParts>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Responses to Medical Research Future Fund (MRFF) RAO webinar (4 August 2022) questions</dc:title>
  <dc:subject>Medical Research</dc:subject>
  <dc:creator>Australian Government Department of Health and Aged Care</dc:creator>
  <cp:keywords>Medical Research Future Fund; MRFF; RAO</cp:keywords>
  <dc:description/>
  <cp:lastModifiedBy>Department of Health and Aged Care</cp:lastModifiedBy>
  <cp:revision>3</cp:revision>
  <cp:lastPrinted>2021-08-11T04:57:00Z</cp:lastPrinted>
  <dcterms:created xsi:type="dcterms:W3CDTF">2023-03-24T06:02:00Z</dcterms:created>
  <dcterms:modified xsi:type="dcterms:W3CDTF">2023-03-24T06:08:00Z</dcterms:modified>
</cp:coreProperties>
</file>