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66FB" w14:textId="2B3F3C89" w:rsidR="00D33167" w:rsidRPr="00AF5E0D" w:rsidRDefault="00B90ABB" w:rsidP="00AF5E0D">
      <w:pPr>
        <w:spacing w:after="0"/>
        <w:rPr>
          <w:rFonts w:asciiTheme="minorHAnsi" w:hAnsiTheme="minorHAnsi" w:cstheme="minorHAnsi"/>
          <w:szCs w:val="22"/>
          <w:lang w:val="en-GB" w:eastAsia="en-GB"/>
        </w:rPr>
      </w:pPr>
      <w:r>
        <w:rPr>
          <w:noProof/>
        </w:rPr>
        <w:drawing>
          <wp:inline distT="0" distB="0" distL="0" distR="0" wp14:anchorId="5984AFC5" wp14:editId="665110BE">
            <wp:extent cx="5728335" cy="637442"/>
            <wp:effectExtent l="0" t="0" r="0" b="0"/>
            <wp:docPr id="1"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 Government Department of Health and Aged Care banner"/>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05" b="33622"/>
                    <a:stretch/>
                  </pic:blipFill>
                  <pic:spPr bwMode="auto">
                    <a:xfrm>
                      <a:off x="0" y="0"/>
                      <a:ext cx="5728335" cy="637442"/>
                    </a:xfrm>
                    <a:prstGeom prst="rect">
                      <a:avLst/>
                    </a:prstGeom>
                    <a:noFill/>
                    <a:ln>
                      <a:noFill/>
                    </a:ln>
                    <a:extLst>
                      <a:ext uri="{53640926-AAD7-44D8-BBD7-CCE9431645EC}">
                        <a14:shadowObscured xmlns:a14="http://schemas.microsoft.com/office/drawing/2010/main"/>
                      </a:ext>
                    </a:extLst>
                  </pic:spPr>
                </pic:pic>
              </a:graphicData>
            </a:graphic>
          </wp:inline>
        </w:drawing>
      </w:r>
    </w:p>
    <w:p w14:paraId="5E1400B4" w14:textId="4BED7445" w:rsidR="00E550BD" w:rsidRPr="00E550BD" w:rsidRDefault="00866480" w:rsidP="00E550BD">
      <w:pPr>
        <w:pStyle w:val="Title"/>
      </w:pPr>
      <w:r w:rsidRPr="00E550BD">
        <w:t>More Doctors for Rural Australia Program (MDRAP)</w:t>
      </w:r>
      <w:r w:rsidR="0089351F" w:rsidRPr="00E550BD">
        <w:t xml:space="preserve"> </w:t>
      </w:r>
      <w:r w:rsidR="003F09B7" w:rsidRPr="00E550BD">
        <w:t>guidelines</w:t>
      </w:r>
    </w:p>
    <w:p w14:paraId="403B0F0F" w14:textId="692225E0" w:rsidR="000A6774" w:rsidRDefault="005166BE" w:rsidP="00E550BD">
      <w:pPr>
        <w:pStyle w:val="Subtitle"/>
      </w:pPr>
      <w:r>
        <w:t xml:space="preserve">February </w:t>
      </w:r>
      <w:r w:rsidR="00B90ABB">
        <w:t>2023</w:t>
      </w:r>
    </w:p>
    <w:p w14:paraId="34BD91D5" w14:textId="77777777" w:rsidR="00D96F94" w:rsidRPr="00D96F94" w:rsidRDefault="00D96F94" w:rsidP="002861F1">
      <w:pPr>
        <w:ind w:left="-1134"/>
        <w:rPr>
          <w:lang w:eastAsia="en-US"/>
        </w:rPr>
      </w:pPr>
      <w:r>
        <w:rPr>
          <w:rFonts w:asciiTheme="minorHAnsi" w:hAnsiTheme="minorHAnsi" w:cstheme="minorHAnsi"/>
          <w:noProof/>
          <w:szCs w:val="22"/>
        </w:rPr>
        <w:drawing>
          <wp:inline distT="0" distB="0" distL="0" distR="0" wp14:anchorId="367F2AB8" wp14:editId="47969D73">
            <wp:extent cx="6914515" cy="6653098"/>
            <wp:effectExtent l="0" t="0" r="635" b="0"/>
            <wp:docPr id="11" name="Picture 11" descr="Corporate branding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4515" cy="6653098"/>
                    </a:xfrm>
                    <a:prstGeom prst="rect">
                      <a:avLst/>
                    </a:prstGeom>
                    <a:noFill/>
                    <a:ln>
                      <a:noFill/>
                    </a:ln>
                  </pic:spPr>
                </pic:pic>
              </a:graphicData>
            </a:graphic>
          </wp:inline>
        </w:drawing>
      </w:r>
    </w:p>
    <w:p w14:paraId="67907AFC" w14:textId="77777777" w:rsidR="000A6774" w:rsidRPr="000A6774" w:rsidRDefault="000A6774" w:rsidP="00DD5401">
      <w:pPr>
        <w:tabs>
          <w:tab w:val="left" w:pos="2206"/>
        </w:tabs>
        <w:spacing w:before="1000"/>
        <w:ind w:left="-1418"/>
        <w:rPr>
          <w:rFonts w:asciiTheme="minorHAnsi" w:hAnsiTheme="minorHAnsi" w:cstheme="minorHAnsi"/>
          <w:szCs w:val="22"/>
        </w:rPr>
        <w:sectPr w:rsidR="000A6774" w:rsidRPr="000A6774" w:rsidSect="00721ACB">
          <w:footerReference w:type="default" r:id="rId13"/>
          <w:pgSz w:w="11906" w:h="16838"/>
          <w:pgMar w:top="1276" w:right="424" w:bottom="709" w:left="1701" w:header="0" w:footer="39" w:gutter="0"/>
          <w:pgNumType w:start="0"/>
          <w:cols w:space="708"/>
          <w:docGrid w:linePitch="360"/>
        </w:sectPr>
      </w:pPr>
    </w:p>
    <w:sdt>
      <w:sdtPr>
        <w:rPr>
          <w:bCs w:val="0"/>
          <w:caps w:val="0"/>
          <w:color w:val="auto"/>
          <w:sz w:val="22"/>
          <w:lang w:bidi="ar-SA"/>
        </w:rPr>
        <w:id w:val="246463730"/>
        <w:docPartObj>
          <w:docPartGallery w:val="Table of Contents"/>
          <w:docPartUnique/>
        </w:docPartObj>
      </w:sdtPr>
      <w:sdtEndPr>
        <w:rPr>
          <w:b/>
          <w:noProof/>
        </w:rPr>
      </w:sdtEndPr>
      <w:sdtContent>
        <w:p w14:paraId="26DFF2E8" w14:textId="406BDCAC" w:rsidR="0067651C" w:rsidRPr="00E550BD" w:rsidRDefault="00FD1608" w:rsidP="00E550BD">
          <w:pPr>
            <w:pStyle w:val="TOCHeading"/>
            <w:rPr>
              <w:noProof/>
            </w:rPr>
          </w:pPr>
          <w:r>
            <w:t>Contents</w:t>
          </w:r>
          <w:r>
            <w:rPr>
              <w:bCs w:val="0"/>
              <w:sz w:val="24"/>
            </w:rPr>
            <w:fldChar w:fldCharType="begin"/>
          </w:r>
          <w:r>
            <w:instrText xml:space="preserve"> TOC \o "1-3" \h \z \u </w:instrText>
          </w:r>
          <w:r>
            <w:rPr>
              <w:bCs w:val="0"/>
              <w:sz w:val="24"/>
            </w:rPr>
            <w:fldChar w:fldCharType="separate"/>
          </w:r>
        </w:p>
        <w:p w14:paraId="787682A6" w14:textId="7EB7B524"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55" w:history="1">
            <w:r w:rsidR="0067651C" w:rsidRPr="00582B13">
              <w:rPr>
                <w:rStyle w:val="Hyperlink"/>
                <w:noProof/>
              </w:rPr>
              <w:t>1.</w:t>
            </w:r>
            <w:r w:rsidR="0067651C">
              <w:rPr>
                <w:rFonts w:asciiTheme="minorHAnsi" w:eastAsiaTheme="minorEastAsia" w:hAnsiTheme="minorHAnsi" w:cstheme="minorBidi"/>
                <w:noProof/>
                <w:szCs w:val="22"/>
              </w:rPr>
              <w:tab/>
            </w:r>
            <w:r w:rsidR="0067651C" w:rsidRPr="00582B13">
              <w:rPr>
                <w:rStyle w:val="Hyperlink"/>
                <w:noProof/>
              </w:rPr>
              <w:t>Defined Terms</w:t>
            </w:r>
            <w:r w:rsidR="0067651C">
              <w:rPr>
                <w:noProof/>
                <w:webHidden/>
              </w:rPr>
              <w:tab/>
            </w:r>
            <w:r w:rsidR="0067651C">
              <w:rPr>
                <w:noProof/>
                <w:webHidden/>
              </w:rPr>
              <w:fldChar w:fldCharType="begin"/>
            </w:r>
            <w:r w:rsidR="0067651C">
              <w:rPr>
                <w:noProof/>
                <w:webHidden/>
              </w:rPr>
              <w:instrText xml:space="preserve"> PAGEREF _Toc118975655 \h </w:instrText>
            </w:r>
            <w:r w:rsidR="0067651C">
              <w:rPr>
                <w:noProof/>
                <w:webHidden/>
              </w:rPr>
            </w:r>
            <w:r w:rsidR="0067651C">
              <w:rPr>
                <w:noProof/>
                <w:webHidden/>
              </w:rPr>
              <w:fldChar w:fldCharType="separate"/>
            </w:r>
            <w:r>
              <w:rPr>
                <w:noProof/>
                <w:webHidden/>
              </w:rPr>
              <w:t>2</w:t>
            </w:r>
            <w:r w:rsidR="0067651C">
              <w:rPr>
                <w:noProof/>
                <w:webHidden/>
              </w:rPr>
              <w:fldChar w:fldCharType="end"/>
            </w:r>
          </w:hyperlink>
        </w:p>
        <w:p w14:paraId="757F085F" w14:textId="3D5D6225"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56" w:history="1">
            <w:r w:rsidR="0067651C" w:rsidRPr="00582B13">
              <w:rPr>
                <w:rStyle w:val="Hyperlink"/>
                <w:noProof/>
              </w:rPr>
              <w:t>2.</w:t>
            </w:r>
            <w:r w:rsidR="0067651C">
              <w:rPr>
                <w:rFonts w:asciiTheme="minorHAnsi" w:eastAsiaTheme="minorEastAsia" w:hAnsiTheme="minorHAnsi" w:cstheme="minorBidi"/>
                <w:noProof/>
                <w:szCs w:val="22"/>
              </w:rPr>
              <w:tab/>
            </w:r>
            <w:r w:rsidR="0067651C" w:rsidRPr="00582B13">
              <w:rPr>
                <w:rStyle w:val="Hyperlink"/>
                <w:noProof/>
              </w:rPr>
              <w:t>Introduction</w:t>
            </w:r>
            <w:r w:rsidR="0067651C">
              <w:rPr>
                <w:noProof/>
                <w:webHidden/>
              </w:rPr>
              <w:tab/>
            </w:r>
            <w:r w:rsidR="0067651C">
              <w:rPr>
                <w:noProof/>
                <w:webHidden/>
              </w:rPr>
              <w:fldChar w:fldCharType="begin"/>
            </w:r>
            <w:r w:rsidR="0067651C">
              <w:rPr>
                <w:noProof/>
                <w:webHidden/>
              </w:rPr>
              <w:instrText xml:space="preserve"> PAGEREF _Toc118975656 \h </w:instrText>
            </w:r>
            <w:r w:rsidR="0067651C">
              <w:rPr>
                <w:noProof/>
                <w:webHidden/>
              </w:rPr>
            </w:r>
            <w:r w:rsidR="0067651C">
              <w:rPr>
                <w:noProof/>
                <w:webHidden/>
              </w:rPr>
              <w:fldChar w:fldCharType="separate"/>
            </w:r>
            <w:r>
              <w:rPr>
                <w:noProof/>
                <w:webHidden/>
              </w:rPr>
              <w:t>3</w:t>
            </w:r>
            <w:r w:rsidR="0067651C">
              <w:rPr>
                <w:noProof/>
                <w:webHidden/>
              </w:rPr>
              <w:fldChar w:fldCharType="end"/>
            </w:r>
          </w:hyperlink>
        </w:p>
        <w:p w14:paraId="25711E46" w14:textId="4B0291C1"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57" w:history="1">
            <w:r w:rsidR="0067651C" w:rsidRPr="00582B13">
              <w:rPr>
                <w:rStyle w:val="Hyperlink"/>
                <w:noProof/>
              </w:rPr>
              <w:t>3.</w:t>
            </w:r>
            <w:r w:rsidR="0067651C">
              <w:rPr>
                <w:rFonts w:asciiTheme="minorHAnsi" w:eastAsiaTheme="minorEastAsia" w:hAnsiTheme="minorHAnsi" w:cstheme="minorBidi"/>
                <w:noProof/>
                <w:szCs w:val="22"/>
              </w:rPr>
              <w:tab/>
            </w:r>
            <w:r w:rsidR="0067651C" w:rsidRPr="00582B13">
              <w:rPr>
                <w:rStyle w:val="Hyperlink"/>
                <w:noProof/>
              </w:rPr>
              <w:t>Eligibility</w:t>
            </w:r>
            <w:r w:rsidR="0067651C">
              <w:rPr>
                <w:noProof/>
                <w:webHidden/>
              </w:rPr>
              <w:tab/>
            </w:r>
            <w:r w:rsidR="0067651C">
              <w:rPr>
                <w:noProof/>
                <w:webHidden/>
              </w:rPr>
              <w:fldChar w:fldCharType="begin"/>
            </w:r>
            <w:r w:rsidR="0067651C">
              <w:rPr>
                <w:noProof/>
                <w:webHidden/>
              </w:rPr>
              <w:instrText xml:space="preserve"> PAGEREF _Toc118975657 \h </w:instrText>
            </w:r>
            <w:r w:rsidR="0067651C">
              <w:rPr>
                <w:noProof/>
                <w:webHidden/>
              </w:rPr>
            </w:r>
            <w:r w:rsidR="0067651C">
              <w:rPr>
                <w:noProof/>
                <w:webHidden/>
              </w:rPr>
              <w:fldChar w:fldCharType="separate"/>
            </w:r>
            <w:r>
              <w:rPr>
                <w:noProof/>
                <w:webHidden/>
              </w:rPr>
              <w:t>4</w:t>
            </w:r>
            <w:r w:rsidR="0067651C">
              <w:rPr>
                <w:noProof/>
                <w:webHidden/>
              </w:rPr>
              <w:fldChar w:fldCharType="end"/>
            </w:r>
          </w:hyperlink>
        </w:p>
        <w:p w14:paraId="7FA31D58" w14:textId="2A409A04"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58" w:history="1">
            <w:r w:rsidR="0067651C" w:rsidRPr="00582B13">
              <w:rPr>
                <w:rStyle w:val="Hyperlink"/>
                <w:noProof/>
              </w:rPr>
              <w:t>3.1.</w:t>
            </w:r>
            <w:r w:rsidR="0067651C">
              <w:rPr>
                <w:rFonts w:asciiTheme="minorHAnsi" w:eastAsiaTheme="minorEastAsia" w:hAnsiTheme="minorHAnsi" w:cstheme="minorBidi"/>
                <w:noProof/>
                <w:szCs w:val="22"/>
              </w:rPr>
              <w:tab/>
            </w:r>
            <w:r w:rsidR="0067651C" w:rsidRPr="00582B13">
              <w:rPr>
                <w:rStyle w:val="Hyperlink"/>
                <w:noProof/>
              </w:rPr>
              <w:t>Eligibility criteria</w:t>
            </w:r>
            <w:r w:rsidR="0067651C">
              <w:rPr>
                <w:noProof/>
                <w:webHidden/>
              </w:rPr>
              <w:tab/>
            </w:r>
            <w:r w:rsidR="0067651C">
              <w:rPr>
                <w:noProof/>
                <w:webHidden/>
              </w:rPr>
              <w:fldChar w:fldCharType="begin"/>
            </w:r>
            <w:r w:rsidR="0067651C">
              <w:rPr>
                <w:noProof/>
                <w:webHidden/>
              </w:rPr>
              <w:instrText xml:space="preserve"> PAGEREF _Toc118975658 \h </w:instrText>
            </w:r>
            <w:r w:rsidR="0067651C">
              <w:rPr>
                <w:noProof/>
                <w:webHidden/>
              </w:rPr>
            </w:r>
            <w:r w:rsidR="0067651C">
              <w:rPr>
                <w:noProof/>
                <w:webHidden/>
              </w:rPr>
              <w:fldChar w:fldCharType="separate"/>
            </w:r>
            <w:r>
              <w:rPr>
                <w:noProof/>
                <w:webHidden/>
              </w:rPr>
              <w:t>4</w:t>
            </w:r>
            <w:r w:rsidR="0067651C">
              <w:rPr>
                <w:noProof/>
                <w:webHidden/>
              </w:rPr>
              <w:fldChar w:fldCharType="end"/>
            </w:r>
          </w:hyperlink>
        </w:p>
        <w:p w14:paraId="2FA9C8D5" w14:textId="0FE89C86"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59" w:history="1">
            <w:r w:rsidR="0067651C" w:rsidRPr="00582B13">
              <w:rPr>
                <w:rStyle w:val="Hyperlink"/>
                <w:noProof/>
              </w:rPr>
              <w:t>3.2.</w:t>
            </w:r>
            <w:r w:rsidR="0067651C">
              <w:rPr>
                <w:rFonts w:asciiTheme="minorHAnsi" w:eastAsiaTheme="minorEastAsia" w:hAnsiTheme="minorHAnsi" w:cstheme="minorBidi"/>
                <w:noProof/>
                <w:szCs w:val="22"/>
              </w:rPr>
              <w:tab/>
            </w:r>
            <w:r w:rsidR="0067651C" w:rsidRPr="00582B13">
              <w:rPr>
                <w:rStyle w:val="Hyperlink"/>
                <w:noProof/>
              </w:rPr>
              <w:t>MDRAP Support Package requirements</w:t>
            </w:r>
            <w:r w:rsidR="0067651C">
              <w:rPr>
                <w:noProof/>
                <w:webHidden/>
              </w:rPr>
              <w:tab/>
            </w:r>
            <w:r w:rsidR="0067651C">
              <w:rPr>
                <w:noProof/>
                <w:webHidden/>
              </w:rPr>
              <w:fldChar w:fldCharType="begin"/>
            </w:r>
            <w:r w:rsidR="0067651C">
              <w:rPr>
                <w:noProof/>
                <w:webHidden/>
              </w:rPr>
              <w:instrText xml:space="preserve"> PAGEREF _Toc118975659 \h </w:instrText>
            </w:r>
            <w:r w:rsidR="0067651C">
              <w:rPr>
                <w:noProof/>
                <w:webHidden/>
              </w:rPr>
            </w:r>
            <w:r w:rsidR="0067651C">
              <w:rPr>
                <w:noProof/>
                <w:webHidden/>
              </w:rPr>
              <w:fldChar w:fldCharType="separate"/>
            </w:r>
            <w:r>
              <w:rPr>
                <w:noProof/>
                <w:webHidden/>
              </w:rPr>
              <w:t>4</w:t>
            </w:r>
            <w:r w:rsidR="0067651C">
              <w:rPr>
                <w:noProof/>
                <w:webHidden/>
              </w:rPr>
              <w:fldChar w:fldCharType="end"/>
            </w:r>
          </w:hyperlink>
        </w:p>
        <w:p w14:paraId="1F8A63A1" w14:textId="22F68712"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60" w:history="1">
            <w:r w:rsidR="0067651C" w:rsidRPr="00582B13">
              <w:rPr>
                <w:rStyle w:val="Hyperlink"/>
                <w:noProof/>
              </w:rPr>
              <w:t>4.</w:t>
            </w:r>
            <w:r w:rsidR="0067651C">
              <w:rPr>
                <w:rFonts w:asciiTheme="minorHAnsi" w:eastAsiaTheme="minorEastAsia" w:hAnsiTheme="minorHAnsi" w:cstheme="minorBidi"/>
                <w:noProof/>
                <w:szCs w:val="22"/>
              </w:rPr>
              <w:tab/>
            </w:r>
            <w:r w:rsidR="0067651C" w:rsidRPr="00582B13">
              <w:rPr>
                <w:rStyle w:val="Hyperlink"/>
                <w:noProof/>
              </w:rPr>
              <w:t>Supervision</w:t>
            </w:r>
            <w:r w:rsidR="0067651C">
              <w:rPr>
                <w:noProof/>
                <w:webHidden/>
              </w:rPr>
              <w:tab/>
            </w:r>
            <w:r w:rsidR="0067651C">
              <w:rPr>
                <w:noProof/>
                <w:webHidden/>
              </w:rPr>
              <w:fldChar w:fldCharType="begin"/>
            </w:r>
            <w:r w:rsidR="0067651C">
              <w:rPr>
                <w:noProof/>
                <w:webHidden/>
              </w:rPr>
              <w:instrText xml:space="preserve"> PAGEREF _Toc118975660 \h </w:instrText>
            </w:r>
            <w:r w:rsidR="0067651C">
              <w:rPr>
                <w:noProof/>
                <w:webHidden/>
              </w:rPr>
            </w:r>
            <w:r w:rsidR="0067651C">
              <w:rPr>
                <w:noProof/>
                <w:webHidden/>
              </w:rPr>
              <w:fldChar w:fldCharType="separate"/>
            </w:r>
            <w:r>
              <w:rPr>
                <w:noProof/>
                <w:webHidden/>
              </w:rPr>
              <w:t>5</w:t>
            </w:r>
            <w:r w:rsidR="0067651C">
              <w:rPr>
                <w:noProof/>
                <w:webHidden/>
              </w:rPr>
              <w:fldChar w:fldCharType="end"/>
            </w:r>
          </w:hyperlink>
        </w:p>
        <w:p w14:paraId="1B1CDF92" w14:textId="251EFBC7"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1" w:history="1">
            <w:r w:rsidR="0067651C" w:rsidRPr="00582B13">
              <w:rPr>
                <w:rStyle w:val="Hyperlink"/>
                <w:noProof/>
              </w:rPr>
              <w:t>4.1.</w:t>
            </w:r>
            <w:r w:rsidR="0067651C">
              <w:rPr>
                <w:rFonts w:asciiTheme="minorHAnsi" w:eastAsiaTheme="minorEastAsia" w:hAnsiTheme="minorHAnsi" w:cstheme="minorBidi"/>
                <w:noProof/>
                <w:szCs w:val="22"/>
              </w:rPr>
              <w:tab/>
            </w:r>
            <w:r w:rsidR="0067651C" w:rsidRPr="00582B13">
              <w:rPr>
                <w:rStyle w:val="Hyperlink"/>
                <w:noProof/>
              </w:rPr>
              <w:t>MDRAP Supervision requirements</w:t>
            </w:r>
            <w:r w:rsidR="0067651C">
              <w:rPr>
                <w:noProof/>
                <w:webHidden/>
              </w:rPr>
              <w:tab/>
            </w:r>
            <w:r w:rsidR="0067651C">
              <w:rPr>
                <w:noProof/>
                <w:webHidden/>
              </w:rPr>
              <w:fldChar w:fldCharType="begin"/>
            </w:r>
            <w:r w:rsidR="0067651C">
              <w:rPr>
                <w:noProof/>
                <w:webHidden/>
              </w:rPr>
              <w:instrText xml:space="preserve"> PAGEREF _Toc118975661 \h </w:instrText>
            </w:r>
            <w:r w:rsidR="0067651C">
              <w:rPr>
                <w:noProof/>
                <w:webHidden/>
              </w:rPr>
            </w:r>
            <w:r w:rsidR="0067651C">
              <w:rPr>
                <w:noProof/>
                <w:webHidden/>
              </w:rPr>
              <w:fldChar w:fldCharType="separate"/>
            </w:r>
            <w:r>
              <w:rPr>
                <w:noProof/>
                <w:webHidden/>
              </w:rPr>
              <w:t>5</w:t>
            </w:r>
            <w:r w:rsidR="0067651C">
              <w:rPr>
                <w:noProof/>
                <w:webHidden/>
              </w:rPr>
              <w:fldChar w:fldCharType="end"/>
            </w:r>
          </w:hyperlink>
        </w:p>
        <w:p w14:paraId="3DB9B3D7" w14:textId="6872F943"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2" w:history="1">
            <w:r w:rsidR="0067651C" w:rsidRPr="00582B13">
              <w:rPr>
                <w:rStyle w:val="Hyperlink"/>
                <w:noProof/>
              </w:rPr>
              <w:t>4.2.</w:t>
            </w:r>
            <w:r w:rsidR="0067651C">
              <w:rPr>
                <w:rFonts w:asciiTheme="minorHAnsi" w:eastAsiaTheme="minorEastAsia" w:hAnsiTheme="minorHAnsi" w:cstheme="minorBidi"/>
                <w:noProof/>
                <w:szCs w:val="22"/>
              </w:rPr>
              <w:tab/>
            </w:r>
            <w:r w:rsidR="0067651C" w:rsidRPr="00582B13">
              <w:rPr>
                <w:rStyle w:val="Hyperlink"/>
                <w:noProof/>
              </w:rPr>
              <w:t>Reporting responsibilities within supervision</w:t>
            </w:r>
            <w:r w:rsidR="0067651C">
              <w:rPr>
                <w:noProof/>
                <w:webHidden/>
              </w:rPr>
              <w:tab/>
            </w:r>
            <w:r w:rsidR="0067651C">
              <w:rPr>
                <w:noProof/>
                <w:webHidden/>
              </w:rPr>
              <w:fldChar w:fldCharType="begin"/>
            </w:r>
            <w:r w:rsidR="0067651C">
              <w:rPr>
                <w:noProof/>
                <w:webHidden/>
              </w:rPr>
              <w:instrText xml:space="preserve"> PAGEREF _Toc118975662 \h </w:instrText>
            </w:r>
            <w:r w:rsidR="0067651C">
              <w:rPr>
                <w:noProof/>
                <w:webHidden/>
              </w:rPr>
            </w:r>
            <w:r w:rsidR="0067651C">
              <w:rPr>
                <w:noProof/>
                <w:webHidden/>
              </w:rPr>
              <w:fldChar w:fldCharType="separate"/>
            </w:r>
            <w:r>
              <w:rPr>
                <w:noProof/>
                <w:webHidden/>
              </w:rPr>
              <w:t>6</w:t>
            </w:r>
            <w:r w:rsidR="0067651C">
              <w:rPr>
                <w:noProof/>
                <w:webHidden/>
              </w:rPr>
              <w:fldChar w:fldCharType="end"/>
            </w:r>
          </w:hyperlink>
        </w:p>
        <w:p w14:paraId="183503BE" w14:textId="520A1A7B"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3" w:history="1">
            <w:r w:rsidR="0067651C" w:rsidRPr="00582B13">
              <w:rPr>
                <w:rStyle w:val="Hyperlink"/>
                <w:noProof/>
              </w:rPr>
              <w:t>4.3.</w:t>
            </w:r>
            <w:r w:rsidR="0067651C">
              <w:rPr>
                <w:rFonts w:asciiTheme="minorHAnsi" w:eastAsiaTheme="minorEastAsia" w:hAnsiTheme="minorHAnsi" w:cstheme="minorBidi"/>
                <w:noProof/>
                <w:szCs w:val="22"/>
              </w:rPr>
              <w:tab/>
            </w:r>
            <w:r w:rsidR="0067651C" w:rsidRPr="00582B13">
              <w:rPr>
                <w:rStyle w:val="Hyperlink"/>
                <w:noProof/>
              </w:rPr>
              <w:t>Eligibility for supervision payments</w:t>
            </w:r>
            <w:r w:rsidR="0067651C">
              <w:rPr>
                <w:noProof/>
                <w:webHidden/>
              </w:rPr>
              <w:tab/>
            </w:r>
            <w:r w:rsidR="0067651C">
              <w:rPr>
                <w:noProof/>
                <w:webHidden/>
              </w:rPr>
              <w:fldChar w:fldCharType="begin"/>
            </w:r>
            <w:r w:rsidR="0067651C">
              <w:rPr>
                <w:noProof/>
                <w:webHidden/>
              </w:rPr>
              <w:instrText xml:space="preserve"> PAGEREF _Toc118975663 \h </w:instrText>
            </w:r>
            <w:r w:rsidR="0067651C">
              <w:rPr>
                <w:noProof/>
                <w:webHidden/>
              </w:rPr>
            </w:r>
            <w:r w:rsidR="0067651C">
              <w:rPr>
                <w:noProof/>
                <w:webHidden/>
              </w:rPr>
              <w:fldChar w:fldCharType="separate"/>
            </w:r>
            <w:r>
              <w:rPr>
                <w:noProof/>
                <w:webHidden/>
              </w:rPr>
              <w:t>6</w:t>
            </w:r>
            <w:r w:rsidR="0067651C">
              <w:rPr>
                <w:noProof/>
                <w:webHidden/>
              </w:rPr>
              <w:fldChar w:fldCharType="end"/>
            </w:r>
          </w:hyperlink>
        </w:p>
        <w:p w14:paraId="44DD522F" w14:textId="430AC561"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64" w:history="1">
            <w:r w:rsidR="0067651C" w:rsidRPr="00582B13">
              <w:rPr>
                <w:rStyle w:val="Hyperlink"/>
                <w:noProof/>
              </w:rPr>
              <w:t>5.</w:t>
            </w:r>
            <w:r w:rsidR="0067651C">
              <w:rPr>
                <w:rFonts w:asciiTheme="minorHAnsi" w:eastAsiaTheme="minorEastAsia" w:hAnsiTheme="minorHAnsi" w:cstheme="minorBidi"/>
                <w:noProof/>
                <w:szCs w:val="22"/>
              </w:rPr>
              <w:tab/>
            </w:r>
            <w:r w:rsidR="0067651C" w:rsidRPr="00582B13">
              <w:rPr>
                <w:rStyle w:val="Hyperlink"/>
                <w:noProof/>
              </w:rPr>
              <w:t>Eligible Locations</w:t>
            </w:r>
            <w:r w:rsidR="0067651C">
              <w:rPr>
                <w:noProof/>
                <w:webHidden/>
              </w:rPr>
              <w:tab/>
            </w:r>
            <w:r w:rsidR="0067651C">
              <w:rPr>
                <w:noProof/>
                <w:webHidden/>
              </w:rPr>
              <w:fldChar w:fldCharType="begin"/>
            </w:r>
            <w:r w:rsidR="0067651C">
              <w:rPr>
                <w:noProof/>
                <w:webHidden/>
              </w:rPr>
              <w:instrText xml:space="preserve"> PAGEREF _Toc118975664 \h </w:instrText>
            </w:r>
            <w:r w:rsidR="0067651C">
              <w:rPr>
                <w:noProof/>
                <w:webHidden/>
              </w:rPr>
            </w:r>
            <w:r w:rsidR="0067651C">
              <w:rPr>
                <w:noProof/>
                <w:webHidden/>
              </w:rPr>
              <w:fldChar w:fldCharType="separate"/>
            </w:r>
            <w:r>
              <w:rPr>
                <w:noProof/>
                <w:webHidden/>
              </w:rPr>
              <w:t>6</w:t>
            </w:r>
            <w:r w:rsidR="0067651C">
              <w:rPr>
                <w:noProof/>
                <w:webHidden/>
              </w:rPr>
              <w:fldChar w:fldCharType="end"/>
            </w:r>
          </w:hyperlink>
        </w:p>
        <w:p w14:paraId="79A6BDD2" w14:textId="73D0D402"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5" w:history="1">
            <w:r w:rsidR="0067651C" w:rsidRPr="00582B13">
              <w:rPr>
                <w:rStyle w:val="Hyperlink"/>
                <w:noProof/>
              </w:rPr>
              <w:t>5.1.</w:t>
            </w:r>
            <w:r w:rsidR="0067651C">
              <w:rPr>
                <w:rFonts w:asciiTheme="minorHAnsi" w:eastAsiaTheme="minorEastAsia" w:hAnsiTheme="minorHAnsi" w:cstheme="minorBidi"/>
                <w:noProof/>
                <w:szCs w:val="22"/>
              </w:rPr>
              <w:tab/>
            </w:r>
            <w:r w:rsidR="0067651C" w:rsidRPr="00582B13">
              <w:rPr>
                <w:rStyle w:val="Hyperlink"/>
                <w:noProof/>
              </w:rPr>
              <w:t>Overseas Trained Doctors and 19AB</w:t>
            </w:r>
            <w:r w:rsidR="0067651C">
              <w:rPr>
                <w:noProof/>
                <w:webHidden/>
              </w:rPr>
              <w:tab/>
            </w:r>
            <w:r w:rsidR="0067651C">
              <w:rPr>
                <w:noProof/>
                <w:webHidden/>
              </w:rPr>
              <w:fldChar w:fldCharType="begin"/>
            </w:r>
            <w:r w:rsidR="0067651C">
              <w:rPr>
                <w:noProof/>
                <w:webHidden/>
              </w:rPr>
              <w:instrText xml:space="preserve"> PAGEREF _Toc118975665 \h </w:instrText>
            </w:r>
            <w:r w:rsidR="0067651C">
              <w:rPr>
                <w:noProof/>
                <w:webHidden/>
              </w:rPr>
            </w:r>
            <w:r w:rsidR="0067651C">
              <w:rPr>
                <w:noProof/>
                <w:webHidden/>
              </w:rPr>
              <w:fldChar w:fldCharType="separate"/>
            </w:r>
            <w:r>
              <w:rPr>
                <w:noProof/>
                <w:webHidden/>
              </w:rPr>
              <w:t>6</w:t>
            </w:r>
            <w:r w:rsidR="0067651C">
              <w:rPr>
                <w:noProof/>
                <w:webHidden/>
              </w:rPr>
              <w:fldChar w:fldCharType="end"/>
            </w:r>
          </w:hyperlink>
        </w:p>
        <w:p w14:paraId="0CCD1EF2" w14:textId="6804D5E1"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66" w:history="1">
            <w:r w:rsidR="0067651C" w:rsidRPr="00582B13">
              <w:rPr>
                <w:rStyle w:val="Hyperlink"/>
                <w:noProof/>
              </w:rPr>
              <w:t>6.</w:t>
            </w:r>
            <w:r w:rsidR="0067651C">
              <w:rPr>
                <w:rFonts w:asciiTheme="minorHAnsi" w:eastAsiaTheme="minorEastAsia" w:hAnsiTheme="minorHAnsi" w:cstheme="minorBidi"/>
                <w:noProof/>
                <w:szCs w:val="22"/>
              </w:rPr>
              <w:tab/>
            </w:r>
            <w:r w:rsidR="0067651C" w:rsidRPr="00582B13">
              <w:rPr>
                <w:rStyle w:val="Hyperlink"/>
                <w:noProof/>
              </w:rPr>
              <w:t>Learning and Development</w:t>
            </w:r>
            <w:r w:rsidR="0067651C">
              <w:rPr>
                <w:noProof/>
                <w:webHidden/>
              </w:rPr>
              <w:tab/>
            </w:r>
            <w:r w:rsidR="0067651C">
              <w:rPr>
                <w:noProof/>
                <w:webHidden/>
              </w:rPr>
              <w:fldChar w:fldCharType="begin"/>
            </w:r>
            <w:r w:rsidR="0067651C">
              <w:rPr>
                <w:noProof/>
                <w:webHidden/>
              </w:rPr>
              <w:instrText xml:space="preserve"> PAGEREF _Toc118975666 \h </w:instrText>
            </w:r>
            <w:r w:rsidR="0067651C">
              <w:rPr>
                <w:noProof/>
                <w:webHidden/>
              </w:rPr>
            </w:r>
            <w:r w:rsidR="0067651C">
              <w:rPr>
                <w:noProof/>
                <w:webHidden/>
              </w:rPr>
              <w:fldChar w:fldCharType="separate"/>
            </w:r>
            <w:r>
              <w:rPr>
                <w:noProof/>
                <w:webHidden/>
              </w:rPr>
              <w:t>7</w:t>
            </w:r>
            <w:r w:rsidR="0067651C">
              <w:rPr>
                <w:noProof/>
                <w:webHidden/>
              </w:rPr>
              <w:fldChar w:fldCharType="end"/>
            </w:r>
          </w:hyperlink>
        </w:p>
        <w:p w14:paraId="3428F4EB" w14:textId="535E1AC0"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7" w:history="1">
            <w:r w:rsidR="0067651C" w:rsidRPr="00582B13">
              <w:rPr>
                <w:rStyle w:val="Hyperlink"/>
                <w:noProof/>
              </w:rPr>
              <w:t>6.1.</w:t>
            </w:r>
            <w:r w:rsidR="0067651C">
              <w:rPr>
                <w:rFonts w:asciiTheme="minorHAnsi" w:eastAsiaTheme="minorEastAsia" w:hAnsiTheme="minorHAnsi" w:cstheme="minorBidi"/>
                <w:noProof/>
                <w:szCs w:val="22"/>
              </w:rPr>
              <w:tab/>
            </w:r>
            <w:r w:rsidR="0067651C" w:rsidRPr="00582B13">
              <w:rPr>
                <w:rStyle w:val="Hyperlink"/>
                <w:noProof/>
              </w:rPr>
              <w:t>Eligibility for learning and development payments</w:t>
            </w:r>
            <w:r w:rsidR="0067651C">
              <w:rPr>
                <w:noProof/>
                <w:webHidden/>
              </w:rPr>
              <w:tab/>
            </w:r>
            <w:r w:rsidR="0067651C">
              <w:rPr>
                <w:noProof/>
                <w:webHidden/>
              </w:rPr>
              <w:fldChar w:fldCharType="begin"/>
            </w:r>
            <w:r w:rsidR="0067651C">
              <w:rPr>
                <w:noProof/>
                <w:webHidden/>
              </w:rPr>
              <w:instrText xml:space="preserve"> PAGEREF _Toc118975667 \h </w:instrText>
            </w:r>
            <w:r w:rsidR="0067651C">
              <w:rPr>
                <w:noProof/>
                <w:webHidden/>
              </w:rPr>
            </w:r>
            <w:r w:rsidR="0067651C">
              <w:rPr>
                <w:noProof/>
                <w:webHidden/>
              </w:rPr>
              <w:fldChar w:fldCharType="separate"/>
            </w:r>
            <w:r>
              <w:rPr>
                <w:noProof/>
                <w:webHidden/>
              </w:rPr>
              <w:t>7</w:t>
            </w:r>
            <w:r w:rsidR="0067651C">
              <w:rPr>
                <w:noProof/>
                <w:webHidden/>
              </w:rPr>
              <w:fldChar w:fldCharType="end"/>
            </w:r>
          </w:hyperlink>
        </w:p>
        <w:p w14:paraId="2248AE65" w14:textId="0011BCAC"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68" w:history="1">
            <w:r w:rsidR="0067651C" w:rsidRPr="00582B13">
              <w:rPr>
                <w:rStyle w:val="Hyperlink"/>
                <w:noProof/>
              </w:rPr>
              <w:t>6.2.</w:t>
            </w:r>
            <w:r w:rsidR="0067651C">
              <w:rPr>
                <w:rFonts w:asciiTheme="minorHAnsi" w:eastAsiaTheme="minorEastAsia" w:hAnsiTheme="minorHAnsi" w:cstheme="minorBidi"/>
                <w:noProof/>
                <w:szCs w:val="22"/>
              </w:rPr>
              <w:tab/>
            </w:r>
            <w:r w:rsidR="0067651C" w:rsidRPr="00582B13">
              <w:rPr>
                <w:rStyle w:val="Hyperlink"/>
                <w:noProof/>
              </w:rPr>
              <w:t>Professional development</w:t>
            </w:r>
            <w:r w:rsidR="0067651C">
              <w:rPr>
                <w:noProof/>
                <w:webHidden/>
              </w:rPr>
              <w:tab/>
            </w:r>
            <w:r w:rsidR="0067651C">
              <w:rPr>
                <w:noProof/>
                <w:webHidden/>
              </w:rPr>
              <w:fldChar w:fldCharType="begin"/>
            </w:r>
            <w:r w:rsidR="0067651C">
              <w:rPr>
                <w:noProof/>
                <w:webHidden/>
              </w:rPr>
              <w:instrText xml:space="preserve"> PAGEREF _Toc118975668 \h </w:instrText>
            </w:r>
            <w:r w:rsidR="0067651C">
              <w:rPr>
                <w:noProof/>
                <w:webHidden/>
              </w:rPr>
            </w:r>
            <w:r w:rsidR="0067651C">
              <w:rPr>
                <w:noProof/>
                <w:webHidden/>
              </w:rPr>
              <w:fldChar w:fldCharType="separate"/>
            </w:r>
            <w:r>
              <w:rPr>
                <w:noProof/>
                <w:webHidden/>
              </w:rPr>
              <w:t>7</w:t>
            </w:r>
            <w:r w:rsidR="0067651C">
              <w:rPr>
                <w:noProof/>
                <w:webHidden/>
              </w:rPr>
              <w:fldChar w:fldCharType="end"/>
            </w:r>
          </w:hyperlink>
        </w:p>
        <w:p w14:paraId="5957160E" w14:textId="79D603C7"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69" w:history="1">
            <w:r w:rsidR="0067651C" w:rsidRPr="00582B13">
              <w:rPr>
                <w:rStyle w:val="Hyperlink"/>
                <w:noProof/>
              </w:rPr>
              <w:t>7.</w:t>
            </w:r>
            <w:r w:rsidR="0067651C">
              <w:rPr>
                <w:rFonts w:asciiTheme="minorHAnsi" w:eastAsiaTheme="minorEastAsia" w:hAnsiTheme="minorHAnsi" w:cstheme="minorBidi"/>
                <w:noProof/>
                <w:szCs w:val="22"/>
              </w:rPr>
              <w:tab/>
            </w:r>
            <w:r w:rsidR="0067651C" w:rsidRPr="00582B13">
              <w:rPr>
                <w:rStyle w:val="Hyperlink"/>
                <w:noProof/>
              </w:rPr>
              <w:t>Length of Placement</w:t>
            </w:r>
            <w:r w:rsidR="0067651C">
              <w:rPr>
                <w:noProof/>
                <w:webHidden/>
              </w:rPr>
              <w:tab/>
            </w:r>
            <w:r w:rsidR="0067651C">
              <w:rPr>
                <w:noProof/>
                <w:webHidden/>
              </w:rPr>
              <w:fldChar w:fldCharType="begin"/>
            </w:r>
            <w:r w:rsidR="0067651C">
              <w:rPr>
                <w:noProof/>
                <w:webHidden/>
              </w:rPr>
              <w:instrText xml:space="preserve"> PAGEREF _Toc118975669 \h </w:instrText>
            </w:r>
            <w:r w:rsidR="0067651C">
              <w:rPr>
                <w:noProof/>
                <w:webHidden/>
              </w:rPr>
            </w:r>
            <w:r w:rsidR="0067651C">
              <w:rPr>
                <w:noProof/>
                <w:webHidden/>
              </w:rPr>
              <w:fldChar w:fldCharType="separate"/>
            </w:r>
            <w:r>
              <w:rPr>
                <w:noProof/>
                <w:webHidden/>
              </w:rPr>
              <w:t>7</w:t>
            </w:r>
            <w:r w:rsidR="0067651C">
              <w:rPr>
                <w:noProof/>
                <w:webHidden/>
              </w:rPr>
              <w:fldChar w:fldCharType="end"/>
            </w:r>
          </w:hyperlink>
        </w:p>
        <w:p w14:paraId="7CF60E38" w14:textId="1B92499F"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70" w:history="1">
            <w:r w:rsidR="0067651C" w:rsidRPr="00582B13">
              <w:rPr>
                <w:rStyle w:val="Hyperlink"/>
                <w:noProof/>
              </w:rPr>
              <w:t>7.1.</w:t>
            </w:r>
            <w:r w:rsidR="0067651C">
              <w:rPr>
                <w:rFonts w:asciiTheme="minorHAnsi" w:eastAsiaTheme="minorEastAsia" w:hAnsiTheme="minorHAnsi" w:cstheme="minorBidi"/>
                <w:noProof/>
                <w:szCs w:val="22"/>
              </w:rPr>
              <w:tab/>
            </w:r>
            <w:r w:rsidR="0067651C" w:rsidRPr="00582B13">
              <w:rPr>
                <w:rStyle w:val="Hyperlink"/>
                <w:noProof/>
              </w:rPr>
              <w:t>Junior Doctors and Doctors working towards a fellowship pathway</w:t>
            </w:r>
            <w:r w:rsidR="0067651C">
              <w:rPr>
                <w:noProof/>
                <w:webHidden/>
              </w:rPr>
              <w:tab/>
            </w:r>
            <w:r w:rsidR="0067651C">
              <w:rPr>
                <w:noProof/>
                <w:webHidden/>
              </w:rPr>
              <w:fldChar w:fldCharType="begin"/>
            </w:r>
            <w:r w:rsidR="0067651C">
              <w:rPr>
                <w:noProof/>
                <w:webHidden/>
              </w:rPr>
              <w:instrText xml:space="preserve"> PAGEREF _Toc118975670 \h </w:instrText>
            </w:r>
            <w:r w:rsidR="0067651C">
              <w:rPr>
                <w:noProof/>
                <w:webHidden/>
              </w:rPr>
            </w:r>
            <w:r w:rsidR="0067651C">
              <w:rPr>
                <w:noProof/>
                <w:webHidden/>
              </w:rPr>
              <w:fldChar w:fldCharType="separate"/>
            </w:r>
            <w:r>
              <w:rPr>
                <w:noProof/>
                <w:webHidden/>
              </w:rPr>
              <w:t>7</w:t>
            </w:r>
            <w:r w:rsidR="0067651C">
              <w:rPr>
                <w:noProof/>
                <w:webHidden/>
              </w:rPr>
              <w:fldChar w:fldCharType="end"/>
            </w:r>
          </w:hyperlink>
        </w:p>
        <w:p w14:paraId="068C7335" w14:textId="6F6A673E" w:rsidR="0067651C" w:rsidRDefault="00E550BD">
          <w:pPr>
            <w:pStyle w:val="TOC3"/>
            <w:tabs>
              <w:tab w:val="left" w:pos="1100"/>
              <w:tab w:val="right" w:leader="dot" w:pos="9911"/>
            </w:tabs>
            <w:rPr>
              <w:rFonts w:asciiTheme="minorHAnsi" w:eastAsiaTheme="minorEastAsia" w:hAnsiTheme="minorHAnsi" w:cstheme="minorBidi"/>
              <w:noProof/>
              <w:szCs w:val="22"/>
            </w:rPr>
          </w:pPr>
          <w:hyperlink w:anchor="_Toc118975671" w:history="1">
            <w:r w:rsidR="0067651C" w:rsidRPr="00582B13">
              <w:rPr>
                <w:rStyle w:val="Hyperlink"/>
                <w:noProof/>
              </w:rPr>
              <w:t>7.2.</w:t>
            </w:r>
            <w:r w:rsidR="0067651C">
              <w:rPr>
                <w:rFonts w:asciiTheme="minorHAnsi" w:eastAsiaTheme="minorEastAsia" w:hAnsiTheme="minorHAnsi" w:cstheme="minorBidi"/>
                <w:noProof/>
                <w:szCs w:val="22"/>
              </w:rPr>
              <w:tab/>
            </w:r>
            <w:r w:rsidR="0067651C" w:rsidRPr="00582B13">
              <w:rPr>
                <w:rStyle w:val="Hyperlink"/>
                <w:noProof/>
              </w:rPr>
              <w:t>Locums</w:t>
            </w:r>
            <w:r w:rsidR="0067651C">
              <w:rPr>
                <w:noProof/>
                <w:webHidden/>
              </w:rPr>
              <w:tab/>
            </w:r>
            <w:r w:rsidR="0067651C">
              <w:rPr>
                <w:noProof/>
                <w:webHidden/>
              </w:rPr>
              <w:fldChar w:fldCharType="begin"/>
            </w:r>
            <w:r w:rsidR="0067651C">
              <w:rPr>
                <w:noProof/>
                <w:webHidden/>
              </w:rPr>
              <w:instrText xml:space="preserve"> PAGEREF _Toc118975671 \h </w:instrText>
            </w:r>
            <w:r w:rsidR="0067651C">
              <w:rPr>
                <w:noProof/>
                <w:webHidden/>
              </w:rPr>
            </w:r>
            <w:r w:rsidR="0067651C">
              <w:rPr>
                <w:noProof/>
                <w:webHidden/>
              </w:rPr>
              <w:fldChar w:fldCharType="separate"/>
            </w:r>
            <w:r>
              <w:rPr>
                <w:noProof/>
                <w:webHidden/>
              </w:rPr>
              <w:t>8</w:t>
            </w:r>
            <w:r w:rsidR="0067651C">
              <w:rPr>
                <w:noProof/>
                <w:webHidden/>
              </w:rPr>
              <w:fldChar w:fldCharType="end"/>
            </w:r>
          </w:hyperlink>
        </w:p>
        <w:p w14:paraId="552C6B47" w14:textId="794C445E"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72" w:history="1">
            <w:r w:rsidR="0067651C" w:rsidRPr="00582B13">
              <w:rPr>
                <w:rStyle w:val="Hyperlink"/>
                <w:noProof/>
              </w:rPr>
              <w:t>8.</w:t>
            </w:r>
            <w:r w:rsidR="0067651C">
              <w:rPr>
                <w:rFonts w:asciiTheme="minorHAnsi" w:eastAsiaTheme="minorEastAsia" w:hAnsiTheme="minorHAnsi" w:cstheme="minorBidi"/>
                <w:noProof/>
                <w:szCs w:val="22"/>
              </w:rPr>
              <w:tab/>
            </w:r>
            <w:r w:rsidR="0067651C" w:rsidRPr="00582B13">
              <w:rPr>
                <w:rStyle w:val="Hyperlink"/>
                <w:noProof/>
              </w:rPr>
              <w:t>Extenuating Circumstances</w:t>
            </w:r>
            <w:r w:rsidR="0067651C">
              <w:rPr>
                <w:noProof/>
                <w:webHidden/>
              </w:rPr>
              <w:tab/>
            </w:r>
            <w:r w:rsidR="0067651C">
              <w:rPr>
                <w:noProof/>
                <w:webHidden/>
              </w:rPr>
              <w:fldChar w:fldCharType="begin"/>
            </w:r>
            <w:r w:rsidR="0067651C">
              <w:rPr>
                <w:noProof/>
                <w:webHidden/>
              </w:rPr>
              <w:instrText xml:space="preserve"> PAGEREF _Toc118975672 \h </w:instrText>
            </w:r>
            <w:r w:rsidR="0067651C">
              <w:rPr>
                <w:noProof/>
                <w:webHidden/>
              </w:rPr>
            </w:r>
            <w:r w:rsidR="0067651C">
              <w:rPr>
                <w:noProof/>
                <w:webHidden/>
              </w:rPr>
              <w:fldChar w:fldCharType="separate"/>
            </w:r>
            <w:r>
              <w:rPr>
                <w:noProof/>
                <w:webHidden/>
              </w:rPr>
              <w:t>8</w:t>
            </w:r>
            <w:r w:rsidR="0067651C">
              <w:rPr>
                <w:noProof/>
                <w:webHidden/>
              </w:rPr>
              <w:fldChar w:fldCharType="end"/>
            </w:r>
          </w:hyperlink>
        </w:p>
        <w:p w14:paraId="241C7762" w14:textId="0260D6BE" w:rsidR="0067651C" w:rsidRDefault="00E550BD">
          <w:pPr>
            <w:pStyle w:val="TOC2"/>
            <w:tabs>
              <w:tab w:val="left" w:pos="660"/>
              <w:tab w:val="right" w:leader="dot" w:pos="9911"/>
            </w:tabs>
            <w:rPr>
              <w:rFonts w:asciiTheme="minorHAnsi" w:eastAsiaTheme="minorEastAsia" w:hAnsiTheme="minorHAnsi" w:cstheme="minorBidi"/>
              <w:noProof/>
              <w:szCs w:val="22"/>
            </w:rPr>
          </w:pPr>
          <w:hyperlink w:anchor="_Toc118975673" w:history="1">
            <w:r w:rsidR="0067651C" w:rsidRPr="00582B13">
              <w:rPr>
                <w:rStyle w:val="Hyperlink"/>
                <w:noProof/>
              </w:rPr>
              <w:t>9.</w:t>
            </w:r>
            <w:r w:rsidR="0067651C">
              <w:rPr>
                <w:rFonts w:asciiTheme="minorHAnsi" w:eastAsiaTheme="minorEastAsia" w:hAnsiTheme="minorHAnsi" w:cstheme="minorBidi"/>
                <w:noProof/>
                <w:szCs w:val="22"/>
              </w:rPr>
              <w:tab/>
            </w:r>
            <w:r w:rsidR="0067651C" w:rsidRPr="00582B13">
              <w:rPr>
                <w:rStyle w:val="Hyperlink"/>
                <w:noProof/>
              </w:rPr>
              <w:t>Removal</w:t>
            </w:r>
            <w:r w:rsidR="0067651C">
              <w:rPr>
                <w:noProof/>
                <w:webHidden/>
              </w:rPr>
              <w:tab/>
            </w:r>
            <w:r w:rsidR="0067651C">
              <w:rPr>
                <w:noProof/>
                <w:webHidden/>
              </w:rPr>
              <w:fldChar w:fldCharType="begin"/>
            </w:r>
            <w:r w:rsidR="0067651C">
              <w:rPr>
                <w:noProof/>
                <w:webHidden/>
              </w:rPr>
              <w:instrText xml:space="preserve"> PAGEREF _Toc118975673 \h </w:instrText>
            </w:r>
            <w:r w:rsidR="0067651C">
              <w:rPr>
                <w:noProof/>
                <w:webHidden/>
              </w:rPr>
            </w:r>
            <w:r w:rsidR="0067651C">
              <w:rPr>
                <w:noProof/>
                <w:webHidden/>
              </w:rPr>
              <w:fldChar w:fldCharType="separate"/>
            </w:r>
            <w:r>
              <w:rPr>
                <w:noProof/>
                <w:webHidden/>
              </w:rPr>
              <w:t>9</w:t>
            </w:r>
            <w:r w:rsidR="0067651C">
              <w:rPr>
                <w:noProof/>
                <w:webHidden/>
              </w:rPr>
              <w:fldChar w:fldCharType="end"/>
            </w:r>
          </w:hyperlink>
        </w:p>
        <w:p w14:paraId="731CB65A" w14:textId="329A896B" w:rsidR="0067651C" w:rsidRDefault="00E550BD">
          <w:pPr>
            <w:pStyle w:val="TOC2"/>
            <w:tabs>
              <w:tab w:val="left" w:pos="880"/>
              <w:tab w:val="right" w:leader="dot" w:pos="9911"/>
            </w:tabs>
            <w:rPr>
              <w:rFonts w:asciiTheme="minorHAnsi" w:eastAsiaTheme="minorEastAsia" w:hAnsiTheme="minorHAnsi" w:cstheme="minorBidi"/>
              <w:noProof/>
              <w:szCs w:val="22"/>
            </w:rPr>
          </w:pPr>
          <w:hyperlink w:anchor="_Toc118975674" w:history="1">
            <w:r w:rsidR="0067651C" w:rsidRPr="00582B13">
              <w:rPr>
                <w:rStyle w:val="Hyperlink"/>
                <w:noProof/>
              </w:rPr>
              <w:t>10.</w:t>
            </w:r>
            <w:r w:rsidR="0067651C">
              <w:rPr>
                <w:rFonts w:asciiTheme="minorHAnsi" w:eastAsiaTheme="minorEastAsia" w:hAnsiTheme="minorHAnsi" w:cstheme="minorBidi"/>
                <w:noProof/>
                <w:szCs w:val="22"/>
              </w:rPr>
              <w:tab/>
            </w:r>
            <w:r w:rsidR="0067651C" w:rsidRPr="00582B13">
              <w:rPr>
                <w:rStyle w:val="Hyperlink"/>
                <w:noProof/>
              </w:rPr>
              <w:t>Review of Decisions</w:t>
            </w:r>
            <w:r w:rsidR="0067651C">
              <w:rPr>
                <w:noProof/>
                <w:webHidden/>
              </w:rPr>
              <w:tab/>
            </w:r>
            <w:r w:rsidR="0067651C">
              <w:rPr>
                <w:noProof/>
                <w:webHidden/>
              </w:rPr>
              <w:fldChar w:fldCharType="begin"/>
            </w:r>
            <w:r w:rsidR="0067651C">
              <w:rPr>
                <w:noProof/>
                <w:webHidden/>
              </w:rPr>
              <w:instrText xml:space="preserve"> PAGEREF _Toc118975674 \h </w:instrText>
            </w:r>
            <w:r w:rsidR="0067651C">
              <w:rPr>
                <w:noProof/>
                <w:webHidden/>
              </w:rPr>
            </w:r>
            <w:r w:rsidR="0067651C">
              <w:rPr>
                <w:noProof/>
                <w:webHidden/>
              </w:rPr>
              <w:fldChar w:fldCharType="separate"/>
            </w:r>
            <w:r>
              <w:rPr>
                <w:noProof/>
                <w:webHidden/>
              </w:rPr>
              <w:t>9</w:t>
            </w:r>
            <w:r w:rsidR="0067651C">
              <w:rPr>
                <w:noProof/>
                <w:webHidden/>
              </w:rPr>
              <w:fldChar w:fldCharType="end"/>
            </w:r>
          </w:hyperlink>
        </w:p>
        <w:p w14:paraId="2F8C8D0A" w14:textId="46876241" w:rsidR="0067651C" w:rsidRDefault="00E550BD">
          <w:pPr>
            <w:pStyle w:val="TOC2"/>
            <w:tabs>
              <w:tab w:val="left" w:pos="880"/>
              <w:tab w:val="right" w:leader="dot" w:pos="9911"/>
            </w:tabs>
            <w:rPr>
              <w:rFonts w:asciiTheme="minorHAnsi" w:eastAsiaTheme="minorEastAsia" w:hAnsiTheme="minorHAnsi" w:cstheme="minorBidi"/>
              <w:noProof/>
              <w:szCs w:val="22"/>
            </w:rPr>
          </w:pPr>
          <w:hyperlink w:anchor="_Toc118975675" w:history="1">
            <w:r w:rsidR="0067651C" w:rsidRPr="00582B13">
              <w:rPr>
                <w:rStyle w:val="Hyperlink"/>
                <w:noProof/>
              </w:rPr>
              <w:t>11.</w:t>
            </w:r>
            <w:r w:rsidR="0067651C">
              <w:rPr>
                <w:rFonts w:asciiTheme="minorHAnsi" w:eastAsiaTheme="minorEastAsia" w:hAnsiTheme="minorHAnsi" w:cstheme="minorBidi"/>
                <w:noProof/>
                <w:szCs w:val="22"/>
              </w:rPr>
              <w:tab/>
            </w:r>
            <w:r w:rsidR="0067651C" w:rsidRPr="00582B13">
              <w:rPr>
                <w:rStyle w:val="Hyperlink"/>
                <w:noProof/>
              </w:rPr>
              <w:t>Responsibilities</w:t>
            </w:r>
            <w:r w:rsidR="0067651C">
              <w:rPr>
                <w:noProof/>
                <w:webHidden/>
              </w:rPr>
              <w:tab/>
            </w:r>
            <w:r w:rsidR="0067651C">
              <w:rPr>
                <w:noProof/>
                <w:webHidden/>
              </w:rPr>
              <w:fldChar w:fldCharType="begin"/>
            </w:r>
            <w:r w:rsidR="0067651C">
              <w:rPr>
                <w:noProof/>
                <w:webHidden/>
              </w:rPr>
              <w:instrText xml:space="preserve"> PAGEREF _Toc118975675 \h </w:instrText>
            </w:r>
            <w:r w:rsidR="0067651C">
              <w:rPr>
                <w:noProof/>
                <w:webHidden/>
              </w:rPr>
            </w:r>
            <w:r w:rsidR="0067651C">
              <w:rPr>
                <w:noProof/>
                <w:webHidden/>
              </w:rPr>
              <w:fldChar w:fldCharType="separate"/>
            </w:r>
            <w:r>
              <w:rPr>
                <w:noProof/>
                <w:webHidden/>
              </w:rPr>
              <w:t>9</w:t>
            </w:r>
            <w:r w:rsidR="0067651C">
              <w:rPr>
                <w:noProof/>
                <w:webHidden/>
              </w:rPr>
              <w:fldChar w:fldCharType="end"/>
            </w:r>
          </w:hyperlink>
        </w:p>
        <w:p w14:paraId="3E0B734D" w14:textId="65696ED7" w:rsidR="0067651C" w:rsidRDefault="00E550BD">
          <w:pPr>
            <w:pStyle w:val="TOC3"/>
            <w:tabs>
              <w:tab w:val="left" w:pos="1320"/>
              <w:tab w:val="right" w:leader="dot" w:pos="9911"/>
            </w:tabs>
            <w:rPr>
              <w:rFonts w:asciiTheme="minorHAnsi" w:eastAsiaTheme="minorEastAsia" w:hAnsiTheme="minorHAnsi" w:cstheme="minorBidi"/>
              <w:noProof/>
              <w:szCs w:val="22"/>
            </w:rPr>
          </w:pPr>
          <w:hyperlink w:anchor="_Toc118975676" w:history="1">
            <w:r w:rsidR="0067651C" w:rsidRPr="00582B13">
              <w:rPr>
                <w:rStyle w:val="Hyperlink"/>
                <w:noProof/>
              </w:rPr>
              <w:t>11.1.</w:t>
            </w:r>
            <w:r w:rsidR="0067651C">
              <w:rPr>
                <w:rFonts w:asciiTheme="minorHAnsi" w:eastAsiaTheme="minorEastAsia" w:hAnsiTheme="minorHAnsi" w:cstheme="minorBidi"/>
                <w:noProof/>
                <w:szCs w:val="22"/>
              </w:rPr>
              <w:tab/>
            </w:r>
            <w:r w:rsidR="0067651C" w:rsidRPr="00582B13">
              <w:rPr>
                <w:rStyle w:val="Hyperlink"/>
                <w:noProof/>
              </w:rPr>
              <w:t>Participant</w:t>
            </w:r>
            <w:r w:rsidR="0067651C">
              <w:rPr>
                <w:noProof/>
                <w:webHidden/>
              </w:rPr>
              <w:tab/>
            </w:r>
            <w:r w:rsidR="0067651C">
              <w:rPr>
                <w:noProof/>
                <w:webHidden/>
              </w:rPr>
              <w:fldChar w:fldCharType="begin"/>
            </w:r>
            <w:r w:rsidR="0067651C">
              <w:rPr>
                <w:noProof/>
                <w:webHidden/>
              </w:rPr>
              <w:instrText xml:space="preserve"> PAGEREF _Toc118975676 \h </w:instrText>
            </w:r>
            <w:r w:rsidR="0067651C">
              <w:rPr>
                <w:noProof/>
                <w:webHidden/>
              </w:rPr>
            </w:r>
            <w:r w:rsidR="0067651C">
              <w:rPr>
                <w:noProof/>
                <w:webHidden/>
              </w:rPr>
              <w:fldChar w:fldCharType="separate"/>
            </w:r>
            <w:r>
              <w:rPr>
                <w:noProof/>
                <w:webHidden/>
              </w:rPr>
              <w:t>9</w:t>
            </w:r>
            <w:r w:rsidR="0067651C">
              <w:rPr>
                <w:noProof/>
                <w:webHidden/>
              </w:rPr>
              <w:fldChar w:fldCharType="end"/>
            </w:r>
          </w:hyperlink>
        </w:p>
        <w:p w14:paraId="5853336D" w14:textId="0296304E" w:rsidR="0067651C" w:rsidRDefault="00E550BD">
          <w:pPr>
            <w:pStyle w:val="TOC3"/>
            <w:tabs>
              <w:tab w:val="left" w:pos="1320"/>
              <w:tab w:val="right" w:leader="dot" w:pos="9911"/>
            </w:tabs>
            <w:rPr>
              <w:rFonts w:asciiTheme="minorHAnsi" w:eastAsiaTheme="minorEastAsia" w:hAnsiTheme="minorHAnsi" w:cstheme="minorBidi"/>
              <w:noProof/>
              <w:szCs w:val="22"/>
            </w:rPr>
          </w:pPr>
          <w:hyperlink w:anchor="_Toc118975677" w:history="1">
            <w:r w:rsidR="0067651C" w:rsidRPr="00582B13">
              <w:rPr>
                <w:rStyle w:val="Hyperlink"/>
                <w:noProof/>
              </w:rPr>
              <w:t>11.2.</w:t>
            </w:r>
            <w:r w:rsidR="0067651C">
              <w:rPr>
                <w:rFonts w:asciiTheme="minorHAnsi" w:eastAsiaTheme="minorEastAsia" w:hAnsiTheme="minorHAnsi" w:cstheme="minorBidi"/>
                <w:noProof/>
                <w:szCs w:val="22"/>
              </w:rPr>
              <w:tab/>
            </w:r>
            <w:r w:rsidR="0067651C" w:rsidRPr="00582B13">
              <w:rPr>
                <w:rStyle w:val="Hyperlink"/>
                <w:noProof/>
              </w:rPr>
              <w:t>Practice</w:t>
            </w:r>
            <w:r w:rsidR="0067651C">
              <w:rPr>
                <w:noProof/>
                <w:webHidden/>
              </w:rPr>
              <w:tab/>
            </w:r>
            <w:r w:rsidR="0067651C">
              <w:rPr>
                <w:noProof/>
                <w:webHidden/>
              </w:rPr>
              <w:fldChar w:fldCharType="begin"/>
            </w:r>
            <w:r w:rsidR="0067651C">
              <w:rPr>
                <w:noProof/>
                <w:webHidden/>
              </w:rPr>
              <w:instrText xml:space="preserve"> PAGEREF _Toc118975677 \h </w:instrText>
            </w:r>
            <w:r w:rsidR="0067651C">
              <w:rPr>
                <w:noProof/>
                <w:webHidden/>
              </w:rPr>
            </w:r>
            <w:r w:rsidR="0067651C">
              <w:rPr>
                <w:noProof/>
                <w:webHidden/>
              </w:rPr>
              <w:fldChar w:fldCharType="separate"/>
            </w:r>
            <w:r>
              <w:rPr>
                <w:noProof/>
                <w:webHidden/>
              </w:rPr>
              <w:t>10</w:t>
            </w:r>
            <w:r w:rsidR="0067651C">
              <w:rPr>
                <w:noProof/>
                <w:webHidden/>
              </w:rPr>
              <w:fldChar w:fldCharType="end"/>
            </w:r>
          </w:hyperlink>
        </w:p>
        <w:p w14:paraId="0AE8D05E" w14:textId="5B05BB2D" w:rsidR="0067651C" w:rsidRDefault="00E550BD">
          <w:pPr>
            <w:pStyle w:val="TOC3"/>
            <w:tabs>
              <w:tab w:val="left" w:pos="1320"/>
              <w:tab w:val="right" w:leader="dot" w:pos="9911"/>
            </w:tabs>
            <w:rPr>
              <w:rFonts w:asciiTheme="minorHAnsi" w:eastAsiaTheme="minorEastAsia" w:hAnsiTheme="minorHAnsi" w:cstheme="minorBidi"/>
              <w:noProof/>
              <w:szCs w:val="22"/>
            </w:rPr>
          </w:pPr>
          <w:hyperlink w:anchor="_Toc118975678" w:history="1">
            <w:r w:rsidR="0067651C" w:rsidRPr="00582B13">
              <w:rPr>
                <w:rStyle w:val="Hyperlink"/>
                <w:noProof/>
              </w:rPr>
              <w:t>11.3.</w:t>
            </w:r>
            <w:r w:rsidR="0067651C">
              <w:rPr>
                <w:rFonts w:asciiTheme="minorHAnsi" w:eastAsiaTheme="minorEastAsia" w:hAnsiTheme="minorHAnsi" w:cstheme="minorBidi"/>
                <w:noProof/>
                <w:szCs w:val="22"/>
              </w:rPr>
              <w:tab/>
            </w:r>
            <w:r w:rsidR="0067651C" w:rsidRPr="00582B13">
              <w:rPr>
                <w:rStyle w:val="Hyperlink"/>
                <w:noProof/>
              </w:rPr>
              <w:t>Rural Workforce Agency</w:t>
            </w:r>
            <w:r w:rsidR="0067651C">
              <w:rPr>
                <w:noProof/>
                <w:webHidden/>
              </w:rPr>
              <w:tab/>
            </w:r>
            <w:r w:rsidR="0067651C">
              <w:rPr>
                <w:noProof/>
                <w:webHidden/>
              </w:rPr>
              <w:fldChar w:fldCharType="begin"/>
            </w:r>
            <w:r w:rsidR="0067651C">
              <w:rPr>
                <w:noProof/>
                <w:webHidden/>
              </w:rPr>
              <w:instrText xml:space="preserve"> PAGEREF _Toc118975678 \h </w:instrText>
            </w:r>
            <w:r w:rsidR="0067651C">
              <w:rPr>
                <w:noProof/>
                <w:webHidden/>
              </w:rPr>
            </w:r>
            <w:r w:rsidR="0067651C">
              <w:rPr>
                <w:noProof/>
                <w:webHidden/>
              </w:rPr>
              <w:fldChar w:fldCharType="separate"/>
            </w:r>
            <w:r>
              <w:rPr>
                <w:noProof/>
                <w:webHidden/>
              </w:rPr>
              <w:t>10</w:t>
            </w:r>
            <w:r w:rsidR="0067651C">
              <w:rPr>
                <w:noProof/>
                <w:webHidden/>
              </w:rPr>
              <w:fldChar w:fldCharType="end"/>
            </w:r>
          </w:hyperlink>
        </w:p>
        <w:p w14:paraId="208E4B9D" w14:textId="575514AF" w:rsidR="0067651C" w:rsidRDefault="00E550BD">
          <w:pPr>
            <w:pStyle w:val="TOC3"/>
            <w:tabs>
              <w:tab w:val="left" w:pos="1320"/>
              <w:tab w:val="right" w:leader="dot" w:pos="9911"/>
            </w:tabs>
            <w:rPr>
              <w:rFonts w:asciiTheme="minorHAnsi" w:eastAsiaTheme="minorEastAsia" w:hAnsiTheme="minorHAnsi" w:cstheme="minorBidi"/>
              <w:noProof/>
              <w:szCs w:val="22"/>
            </w:rPr>
          </w:pPr>
          <w:hyperlink w:anchor="_Toc118975679" w:history="1">
            <w:r w:rsidR="0067651C" w:rsidRPr="00582B13">
              <w:rPr>
                <w:rStyle w:val="Hyperlink"/>
                <w:noProof/>
              </w:rPr>
              <w:t>11.4.</w:t>
            </w:r>
            <w:r w:rsidR="0067651C">
              <w:rPr>
                <w:rFonts w:asciiTheme="minorHAnsi" w:eastAsiaTheme="minorEastAsia" w:hAnsiTheme="minorHAnsi" w:cstheme="minorBidi"/>
                <w:noProof/>
                <w:szCs w:val="22"/>
              </w:rPr>
              <w:tab/>
            </w:r>
            <w:r w:rsidR="0067651C" w:rsidRPr="00582B13">
              <w:rPr>
                <w:rStyle w:val="Hyperlink"/>
                <w:noProof/>
              </w:rPr>
              <w:t>Department of Health and Aged Care</w:t>
            </w:r>
            <w:r w:rsidR="0067651C">
              <w:rPr>
                <w:noProof/>
                <w:webHidden/>
              </w:rPr>
              <w:tab/>
            </w:r>
            <w:r w:rsidR="0067651C">
              <w:rPr>
                <w:noProof/>
                <w:webHidden/>
              </w:rPr>
              <w:fldChar w:fldCharType="begin"/>
            </w:r>
            <w:r w:rsidR="0067651C">
              <w:rPr>
                <w:noProof/>
                <w:webHidden/>
              </w:rPr>
              <w:instrText xml:space="preserve"> PAGEREF _Toc118975679 \h </w:instrText>
            </w:r>
            <w:r w:rsidR="0067651C">
              <w:rPr>
                <w:noProof/>
                <w:webHidden/>
              </w:rPr>
            </w:r>
            <w:r w:rsidR="0067651C">
              <w:rPr>
                <w:noProof/>
                <w:webHidden/>
              </w:rPr>
              <w:fldChar w:fldCharType="separate"/>
            </w:r>
            <w:r>
              <w:rPr>
                <w:noProof/>
                <w:webHidden/>
              </w:rPr>
              <w:t>10</w:t>
            </w:r>
            <w:r w:rsidR="0067651C">
              <w:rPr>
                <w:noProof/>
                <w:webHidden/>
              </w:rPr>
              <w:fldChar w:fldCharType="end"/>
            </w:r>
          </w:hyperlink>
        </w:p>
        <w:p w14:paraId="0DF798FC" w14:textId="5CCFBBBF" w:rsidR="0067651C" w:rsidRDefault="00E550BD">
          <w:pPr>
            <w:pStyle w:val="TOC3"/>
            <w:tabs>
              <w:tab w:val="left" w:pos="1320"/>
              <w:tab w:val="right" w:leader="dot" w:pos="9911"/>
            </w:tabs>
            <w:rPr>
              <w:rFonts w:asciiTheme="minorHAnsi" w:eastAsiaTheme="minorEastAsia" w:hAnsiTheme="minorHAnsi" w:cstheme="minorBidi"/>
              <w:noProof/>
              <w:szCs w:val="22"/>
            </w:rPr>
          </w:pPr>
          <w:hyperlink w:anchor="_Toc118975680" w:history="1">
            <w:r w:rsidR="0067651C" w:rsidRPr="00582B13">
              <w:rPr>
                <w:rStyle w:val="Hyperlink"/>
                <w:noProof/>
              </w:rPr>
              <w:t>11.5.</w:t>
            </w:r>
            <w:r w:rsidR="0067651C">
              <w:rPr>
                <w:rFonts w:asciiTheme="minorHAnsi" w:eastAsiaTheme="minorEastAsia" w:hAnsiTheme="minorHAnsi" w:cstheme="minorBidi"/>
                <w:noProof/>
                <w:szCs w:val="22"/>
              </w:rPr>
              <w:tab/>
            </w:r>
            <w:r w:rsidR="0067651C" w:rsidRPr="00582B13">
              <w:rPr>
                <w:rStyle w:val="Hyperlink"/>
                <w:noProof/>
              </w:rPr>
              <w:t>Services Australia</w:t>
            </w:r>
            <w:r w:rsidR="0067651C">
              <w:rPr>
                <w:noProof/>
                <w:webHidden/>
              </w:rPr>
              <w:tab/>
            </w:r>
            <w:r w:rsidR="0067651C">
              <w:rPr>
                <w:noProof/>
                <w:webHidden/>
              </w:rPr>
              <w:fldChar w:fldCharType="begin"/>
            </w:r>
            <w:r w:rsidR="0067651C">
              <w:rPr>
                <w:noProof/>
                <w:webHidden/>
              </w:rPr>
              <w:instrText xml:space="preserve"> PAGEREF _Toc118975680 \h </w:instrText>
            </w:r>
            <w:r w:rsidR="0067651C">
              <w:rPr>
                <w:noProof/>
                <w:webHidden/>
              </w:rPr>
            </w:r>
            <w:r w:rsidR="0067651C">
              <w:rPr>
                <w:noProof/>
                <w:webHidden/>
              </w:rPr>
              <w:fldChar w:fldCharType="separate"/>
            </w:r>
            <w:r>
              <w:rPr>
                <w:noProof/>
                <w:webHidden/>
              </w:rPr>
              <w:t>11</w:t>
            </w:r>
            <w:r w:rsidR="0067651C">
              <w:rPr>
                <w:noProof/>
                <w:webHidden/>
              </w:rPr>
              <w:fldChar w:fldCharType="end"/>
            </w:r>
          </w:hyperlink>
        </w:p>
        <w:p w14:paraId="6EB4B1F1" w14:textId="3AA54386" w:rsidR="0067651C" w:rsidRDefault="00E550BD">
          <w:pPr>
            <w:pStyle w:val="TOC2"/>
            <w:tabs>
              <w:tab w:val="left" w:pos="880"/>
              <w:tab w:val="right" w:leader="dot" w:pos="9911"/>
            </w:tabs>
            <w:rPr>
              <w:rFonts w:asciiTheme="minorHAnsi" w:eastAsiaTheme="minorEastAsia" w:hAnsiTheme="minorHAnsi" w:cstheme="minorBidi"/>
              <w:noProof/>
              <w:szCs w:val="22"/>
            </w:rPr>
          </w:pPr>
          <w:hyperlink w:anchor="_Toc118975681" w:history="1">
            <w:r w:rsidR="0067651C" w:rsidRPr="00582B13">
              <w:rPr>
                <w:rStyle w:val="Hyperlink"/>
                <w:noProof/>
              </w:rPr>
              <w:t>12.</w:t>
            </w:r>
            <w:r w:rsidR="0067651C">
              <w:rPr>
                <w:rFonts w:asciiTheme="minorHAnsi" w:eastAsiaTheme="minorEastAsia" w:hAnsiTheme="minorHAnsi" w:cstheme="minorBidi"/>
                <w:noProof/>
                <w:szCs w:val="22"/>
              </w:rPr>
              <w:tab/>
            </w:r>
            <w:r w:rsidR="0067651C" w:rsidRPr="00582B13">
              <w:rPr>
                <w:rStyle w:val="Hyperlink"/>
                <w:noProof/>
              </w:rPr>
              <w:t>Privacy</w:t>
            </w:r>
            <w:r w:rsidR="0067651C">
              <w:rPr>
                <w:noProof/>
                <w:webHidden/>
              </w:rPr>
              <w:tab/>
            </w:r>
            <w:r w:rsidR="0067651C">
              <w:rPr>
                <w:noProof/>
                <w:webHidden/>
              </w:rPr>
              <w:fldChar w:fldCharType="begin"/>
            </w:r>
            <w:r w:rsidR="0067651C">
              <w:rPr>
                <w:noProof/>
                <w:webHidden/>
              </w:rPr>
              <w:instrText xml:space="preserve"> PAGEREF _Toc118975681 \h </w:instrText>
            </w:r>
            <w:r w:rsidR="0067651C">
              <w:rPr>
                <w:noProof/>
                <w:webHidden/>
              </w:rPr>
            </w:r>
            <w:r w:rsidR="0067651C">
              <w:rPr>
                <w:noProof/>
                <w:webHidden/>
              </w:rPr>
              <w:fldChar w:fldCharType="separate"/>
            </w:r>
            <w:r>
              <w:rPr>
                <w:noProof/>
                <w:webHidden/>
              </w:rPr>
              <w:t>11</w:t>
            </w:r>
            <w:r w:rsidR="0067651C">
              <w:rPr>
                <w:noProof/>
                <w:webHidden/>
              </w:rPr>
              <w:fldChar w:fldCharType="end"/>
            </w:r>
          </w:hyperlink>
        </w:p>
        <w:p w14:paraId="251B65CF" w14:textId="679781F4" w:rsidR="0067651C" w:rsidRDefault="00E550BD">
          <w:pPr>
            <w:pStyle w:val="TOC2"/>
            <w:tabs>
              <w:tab w:val="right" w:leader="dot" w:pos="9911"/>
            </w:tabs>
            <w:rPr>
              <w:rFonts w:asciiTheme="minorHAnsi" w:eastAsiaTheme="minorEastAsia" w:hAnsiTheme="minorHAnsi" w:cstheme="minorBidi"/>
              <w:noProof/>
              <w:szCs w:val="22"/>
            </w:rPr>
          </w:pPr>
          <w:hyperlink w:anchor="_Toc118975682" w:history="1">
            <w:r w:rsidR="0067651C" w:rsidRPr="00582B13">
              <w:rPr>
                <w:rStyle w:val="Hyperlink"/>
                <w:noProof/>
              </w:rPr>
              <w:t>Contact Details</w:t>
            </w:r>
            <w:r w:rsidR="0067651C">
              <w:rPr>
                <w:noProof/>
                <w:webHidden/>
              </w:rPr>
              <w:tab/>
            </w:r>
            <w:r w:rsidR="0067651C">
              <w:rPr>
                <w:noProof/>
                <w:webHidden/>
              </w:rPr>
              <w:fldChar w:fldCharType="begin"/>
            </w:r>
            <w:r w:rsidR="0067651C">
              <w:rPr>
                <w:noProof/>
                <w:webHidden/>
              </w:rPr>
              <w:instrText xml:space="preserve"> PAGEREF _Toc118975682 \h </w:instrText>
            </w:r>
            <w:r w:rsidR="0067651C">
              <w:rPr>
                <w:noProof/>
                <w:webHidden/>
              </w:rPr>
            </w:r>
            <w:r w:rsidR="0067651C">
              <w:rPr>
                <w:noProof/>
                <w:webHidden/>
              </w:rPr>
              <w:fldChar w:fldCharType="separate"/>
            </w:r>
            <w:r>
              <w:rPr>
                <w:noProof/>
                <w:webHidden/>
              </w:rPr>
              <w:t>12</w:t>
            </w:r>
            <w:r w:rsidR="0067651C">
              <w:rPr>
                <w:noProof/>
                <w:webHidden/>
              </w:rPr>
              <w:fldChar w:fldCharType="end"/>
            </w:r>
          </w:hyperlink>
        </w:p>
        <w:p w14:paraId="271D8866" w14:textId="237E6E92" w:rsidR="0067651C" w:rsidRDefault="00E550BD">
          <w:pPr>
            <w:pStyle w:val="TOC3"/>
            <w:tabs>
              <w:tab w:val="right" w:leader="dot" w:pos="9911"/>
            </w:tabs>
            <w:rPr>
              <w:rFonts w:asciiTheme="minorHAnsi" w:eastAsiaTheme="minorEastAsia" w:hAnsiTheme="minorHAnsi" w:cstheme="minorBidi"/>
              <w:noProof/>
              <w:szCs w:val="22"/>
            </w:rPr>
          </w:pPr>
          <w:hyperlink w:anchor="_Toc118975683" w:history="1">
            <w:r w:rsidR="0067651C" w:rsidRPr="00582B13">
              <w:rPr>
                <w:rStyle w:val="Hyperlink"/>
                <w:noProof/>
              </w:rPr>
              <w:t>Rural Workforce Agencies</w:t>
            </w:r>
            <w:r w:rsidR="0067651C">
              <w:rPr>
                <w:noProof/>
                <w:webHidden/>
              </w:rPr>
              <w:tab/>
            </w:r>
            <w:r w:rsidR="0067651C">
              <w:rPr>
                <w:noProof/>
                <w:webHidden/>
              </w:rPr>
              <w:fldChar w:fldCharType="begin"/>
            </w:r>
            <w:r w:rsidR="0067651C">
              <w:rPr>
                <w:noProof/>
                <w:webHidden/>
              </w:rPr>
              <w:instrText xml:space="preserve"> PAGEREF _Toc118975683 \h </w:instrText>
            </w:r>
            <w:r w:rsidR="0067651C">
              <w:rPr>
                <w:noProof/>
                <w:webHidden/>
              </w:rPr>
            </w:r>
            <w:r w:rsidR="0067651C">
              <w:rPr>
                <w:noProof/>
                <w:webHidden/>
              </w:rPr>
              <w:fldChar w:fldCharType="separate"/>
            </w:r>
            <w:r>
              <w:rPr>
                <w:noProof/>
                <w:webHidden/>
              </w:rPr>
              <w:t>12</w:t>
            </w:r>
            <w:r w:rsidR="0067651C">
              <w:rPr>
                <w:noProof/>
                <w:webHidden/>
              </w:rPr>
              <w:fldChar w:fldCharType="end"/>
            </w:r>
          </w:hyperlink>
        </w:p>
        <w:p w14:paraId="33066E7F" w14:textId="61F0D507" w:rsidR="0067651C" w:rsidRDefault="00E550BD">
          <w:pPr>
            <w:pStyle w:val="TOC3"/>
            <w:tabs>
              <w:tab w:val="right" w:leader="dot" w:pos="9911"/>
            </w:tabs>
            <w:rPr>
              <w:rFonts w:asciiTheme="minorHAnsi" w:eastAsiaTheme="minorEastAsia" w:hAnsiTheme="minorHAnsi" w:cstheme="minorBidi"/>
              <w:noProof/>
              <w:szCs w:val="22"/>
            </w:rPr>
          </w:pPr>
          <w:hyperlink w:anchor="_Toc118975684" w:history="1">
            <w:r w:rsidR="0067651C" w:rsidRPr="00582B13">
              <w:rPr>
                <w:rStyle w:val="Hyperlink"/>
                <w:noProof/>
              </w:rPr>
              <w:t>Department of Health and Aged Care</w:t>
            </w:r>
            <w:r w:rsidR="0067651C">
              <w:rPr>
                <w:noProof/>
                <w:webHidden/>
              </w:rPr>
              <w:tab/>
            </w:r>
            <w:r w:rsidR="0067651C">
              <w:rPr>
                <w:noProof/>
                <w:webHidden/>
              </w:rPr>
              <w:fldChar w:fldCharType="begin"/>
            </w:r>
            <w:r w:rsidR="0067651C">
              <w:rPr>
                <w:noProof/>
                <w:webHidden/>
              </w:rPr>
              <w:instrText xml:space="preserve"> PAGEREF _Toc118975684 \h </w:instrText>
            </w:r>
            <w:r w:rsidR="0067651C">
              <w:rPr>
                <w:noProof/>
                <w:webHidden/>
              </w:rPr>
            </w:r>
            <w:r w:rsidR="0067651C">
              <w:rPr>
                <w:noProof/>
                <w:webHidden/>
              </w:rPr>
              <w:fldChar w:fldCharType="separate"/>
            </w:r>
            <w:r>
              <w:rPr>
                <w:noProof/>
                <w:webHidden/>
              </w:rPr>
              <w:t>12</w:t>
            </w:r>
            <w:r w:rsidR="0067651C">
              <w:rPr>
                <w:noProof/>
                <w:webHidden/>
              </w:rPr>
              <w:fldChar w:fldCharType="end"/>
            </w:r>
          </w:hyperlink>
        </w:p>
        <w:p w14:paraId="18C9D5E1" w14:textId="540DDA5C" w:rsidR="0067651C" w:rsidRDefault="00E550BD">
          <w:pPr>
            <w:pStyle w:val="TOC3"/>
            <w:tabs>
              <w:tab w:val="right" w:leader="dot" w:pos="9911"/>
            </w:tabs>
            <w:rPr>
              <w:rFonts w:asciiTheme="minorHAnsi" w:eastAsiaTheme="minorEastAsia" w:hAnsiTheme="minorHAnsi" w:cstheme="minorBidi"/>
              <w:noProof/>
              <w:szCs w:val="22"/>
            </w:rPr>
          </w:pPr>
          <w:hyperlink w:anchor="_Toc118975685" w:history="1">
            <w:r w:rsidR="0067651C" w:rsidRPr="00582B13">
              <w:rPr>
                <w:rStyle w:val="Hyperlink"/>
                <w:noProof/>
              </w:rPr>
              <w:t>Services Australia</w:t>
            </w:r>
            <w:r w:rsidR="0067651C">
              <w:rPr>
                <w:noProof/>
                <w:webHidden/>
              </w:rPr>
              <w:tab/>
            </w:r>
            <w:r w:rsidR="0067651C">
              <w:rPr>
                <w:noProof/>
                <w:webHidden/>
              </w:rPr>
              <w:fldChar w:fldCharType="begin"/>
            </w:r>
            <w:r w:rsidR="0067651C">
              <w:rPr>
                <w:noProof/>
                <w:webHidden/>
              </w:rPr>
              <w:instrText xml:space="preserve"> PAGEREF _Toc118975685 \h </w:instrText>
            </w:r>
            <w:r w:rsidR="0067651C">
              <w:rPr>
                <w:noProof/>
                <w:webHidden/>
              </w:rPr>
            </w:r>
            <w:r w:rsidR="0067651C">
              <w:rPr>
                <w:noProof/>
                <w:webHidden/>
              </w:rPr>
              <w:fldChar w:fldCharType="separate"/>
            </w:r>
            <w:r>
              <w:rPr>
                <w:noProof/>
                <w:webHidden/>
              </w:rPr>
              <w:t>12</w:t>
            </w:r>
            <w:r w:rsidR="0067651C">
              <w:rPr>
                <w:noProof/>
                <w:webHidden/>
              </w:rPr>
              <w:fldChar w:fldCharType="end"/>
            </w:r>
          </w:hyperlink>
        </w:p>
        <w:p w14:paraId="121EE71E" w14:textId="044AFD8B" w:rsidR="0067651C" w:rsidRDefault="00E550BD">
          <w:pPr>
            <w:pStyle w:val="TOC3"/>
            <w:tabs>
              <w:tab w:val="right" w:leader="dot" w:pos="9911"/>
            </w:tabs>
            <w:rPr>
              <w:rFonts w:asciiTheme="minorHAnsi" w:eastAsiaTheme="minorEastAsia" w:hAnsiTheme="minorHAnsi" w:cstheme="minorBidi"/>
              <w:noProof/>
              <w:szCs w:val="22"/>
            </w:rPr>
          </w:pPr>
          <w:hyperlink w:anchor="_Toc118975686" w:history="1">
            <w:r w:rsidR="0067651C" w:rsidRPr="00582B13">
              <w:rPr>
                <w:rStyle w:val="Hyperlink"/>
                <w:noProof/>
              </w:rPr>
              <w:t>General practice colleges</w:t>
            </w:r>
            <w:r w:rsidR="0067651C">
              <w:rPr>
                <w:noProof/>
                <w:webHidden/>
              </w:rPr>
              <w:tab/>
            </w:r>
            <w:r w:rsidR="0067651C">
              <w:rPr>
                <w:noProof/>
                <w:webHidden/>
              </w:rPr>
              <w:fldChar w:fldCharType="begin"/>
            </w:r>
            <w:r w:rsidR="0067651C">
              <w:rPr>
                <w:noProof/>
                <w:webHidden/>
              </w:rPr>
              <w:instrText xml:space="preserve"> PAGEREF _Toc118975686 \h </w:instrText>
            </w:r>
            <w:r w:rsidR="0067651C">
              <w:rPr>
                <w:noProof/>
                <w:webHidden/>
              </w:rPr>
            </w:r>
            <w:r w:rsidR="0067651C">
              <w:rPr>
                <w:noProof/>
                <w:webHidden/>
              </w:rPr>
              <w:fldChar w:fldCharType="separate"/>
            </w:r>
            <w:r>
              <w:rPr>
                <w:noProof/>
                <w:webHidden/>
              </w:rPr>
              <w:t>13</w:t>
            </w:r>
            <w:r w:rsidR="0067651C">
              <w:rPr>
                <w:noProof/>
                <w:webHidden/>
              </w:rPr>
              <w:fldChar w:fldCharType="end"/>
            </w:r>
          </w:hyperlink>
        </w:p>
        <w:p w14:paraId="3B84A358" w14:textId="79CF5596" w:rsidR="00CC1DC0" w:rsidRDefault="00FD1608">
          <w:r>
            <w:rPr>
              <w:b/>
              <w:bCs/>
              <w:noProof/>
            </w:rPr>
            <w:fldChar w:fldCharType="end"/>
          </w:r>
        </w:p>
      </w:sdtContent>
    </w:sdt>
    <w:p w14:paraId="6A7B4860" w14:textId="77777777" w:rsidR="003D45AF" w:rsidRPr="00AF5E0D" w:rsidRDefault="003D45AF" w:rsidP="00FD1608">
      <w:pPr>
        <w:pStyle w:val="Heading1Black"/>
      </w:pPr>
      <w:bookmarkStart w:id="0" w:name="_Toc14857639"/>
      <w:bookmarkStart w:id="1" w:name="_Toc14860685"/>
      <w:bookmarkStart w:id="2" w:name="_Toc57286278"/>
      <w:bookmarkStart w:id="3" w:name="_Toc118975654"/>
      <w:r w:rsidRPr="00AF5E0D">
        <w:lastRenderedPageBreak/>
        <w:t>More Doctors for Rural Australia Program</w:t>
      </w:r>
      <w:bookmarkEnd w:id="0"/>
      <w:bookmarkEnd w:id="1"/>
      <w:bookmarkEnd w:id="2"/>
      <w:bookmarkEnd w:id="3"/>
    </w:p>
    <w:p w14:paraId="169469D0" w14:textId="77777777" w:rsidR="00BC7891" w:rsidRPr="001D11D1" w:rsidRDefault="00BC7891" w:rsidP="009B65AA">
      <w:pPr>
        <w:pStyle w:val="Heading2Numbered"/>
        <w:numPr>
          <w:ilvl w:val="0"/>
          <w:numId w:val="4"/>
        </w:numPr>
      </w:pPr>
      <w:bookmarkStart w:id="4" w:name="_Toc505335899"/>
      <w:bookmarkStart w:id="5" w:name="_Toc118975655"/>
      <w:r w:rsidRPr="001D11D1">
        <w:t>Defined Terms</w:t>
      </w:r>
      <w:bookmarkEnd w:id="5"/>
    </w:p>
    <w:p w14:paraId="56AC095B" w14:textId="77777777" w:rsidR="00BC7891" w:rsidRPr="006571DA" w:rsidRDefault="00BC7891" w:rsidP="00BB4ABA">
      <w:r w:rsidRPr="006571DA">
        <w:t>The following terms are defined and have the meaning given below whenever the</w:t>
      </w:r>
      <w:r w:rsidR="00BB4ABA">
        <w:t>y are used in these Guidelines.</w:t>
      </w:r>
    </w:p>
    <w:tbl>
      <w:tblPr>
        <w:tblStyle w:val="TableGrid"/>
        <w:tblW w:w="9640" w:type="dxa"/>
        <w:tblLook w:val="04A0" w:firstRow="1" w:lastRow="0" w:firstColumn="1" w:lastColumn="0" w:noHBand="0" w:noVBand="1"/>
        <w:tblDescription w:val="This table is a list of terms used within the More doctors for rural Australia program guidelines&#10; "/>
      </w:tblPr>
      <w:tblGrid>
        <w:gridCol w:w="2263"/>
        <w:gridCol w:w="7377"/>
      </w:tblGrid>
      <w:tr w:rsidR="00A8135C" w:rsidRPr="006571DA" w14:paraId="21195E32" w14:textId="77777777" w:rsidTr="00E550BD">
        <w:trPr>
          <w:cnfStyle w:val="100000000000" w:firstRow="1" w:lastRow="0" w:firstColumn="0" w:lastColumn="0" w:oddVBand="0" w:evenVBand="0" w:oddHBand="0" w:evenHBand="0" w:firstRowFirstColumn="0" w:firstRowLastColumn="0" w:lastRowFirstColumn="0" w:lastRowLastColumn="0"/>
          <w:trHeight w:val="525"/>
        </w:trPr>
        <w:tc>
          <w:tcPr>
            <w:tcW w:w="2263" w:type="dxa"/>
          </w:tcPr>
          <w:p w14:paraId="20EFDC20" w14:textId="77777777" w:rsidR="00BC7891" w:rsidRPr="00E550BD" w:rsidRDefault="00BC7891" w:rsidP="00E550BD">
            <w:r w:rsidRPr="00E550BD">
              <w:t>Term</w:t>
            </w:r>
          </w:p>
        </w:tc>
        <w:tc>
          <w:tcPr>
            <w:tcW w:w="7377" w:type="dxa"/>
          </w:tcPr>
          <w:p w14:paraId="2CDC78F7" w14:textId="77777777" w:rsidR="00BC7891" w:rsidRPr="00E550BD" w:rsidRDefault="00BC7891" w:rsidP="00E550BD">
            <w:r w:rsidRPr="00E550BD">
              <w:t>Description</w:t>
            </w:r>
          </w:p>
        </w:tc>
      </w:tr>
      <w:tr w:rsidR="00691C3A" w:rsidRPr="006571DA" w14:paraId="19DAD831" w14:textId="77777777" w:rsidTr="00E550BD">
        <w:trPr>
          <w:trHeight w:val="340"/>
        </w:trPr>
        <w:tc>
          <w:tcPr>
            <w:tcW w:w="2263" w:type="dxa"/>
          </w:tcPr>
          <w:p w14:paraId="653F5C0F" w14:textId="02D22874" w:rsidR="00691C3A" w:rsidRPr="006571DA" w:rsidRDefault="00691C3A" w:rsidP="00691C3A">
            <w:pPr>
              <w:pStyle w:val="tabletext"/>
            </w:pPr>
            <w:r>
              <w:rPr>
                <w:szCs w:val="22"/>
              </w:rPr>
              <w:t>19AA</w:t>
            </w:r>
          </w:p>
        </w:tc>
        <w:tc>
          <w:tcPr>
            <w:tcW w:w="7377" w:type="dxa"/>
          </w:tcPr>
          <w:p w14:paraId="7DA11B3B" w14:textId="77777777" w:rsidR="00691C3A" w:rsidRDefault="00691C3A" w:rsidP="00691C3A">
            <w:pPr>
              <w:autoSpaceDE w:val="0"/>
              <w:autoSpaceDN w:val="0"/>
              <w:adjustRightInd w:val="0"/>
              <w:spacing w:before="0" w:after="0"/>
              <w:ind w:firstLine="11"/>
              <w:rPr>
                <w:color w:val="000000"/>
                <w:szCs w:val="22"/>
              </w:rPr>
            </w:pPr>
            <w:r>
              <w:rPr>
                <w:color w:val="000000"/>
                <w:szCs w:val="22"/>
              </w:rPr>
              <w:t xml:space="preserve">Section 19AA of the Act restricts doctors from claiming a Medicare benefit for professional services unless they are: </w:t>
            </w:r>
          </w:p>
          <w:p w14:paraId="3E28BA0B" w14:textId="4533977E" w:rsidR="006A076C" w:rsidRPr="00A65C17" w:rsidRDefault="00691C3A" w:rsidP="00E550BD">
            <w:pPr>
              <w:pStyle w:val="ListBullet"/>
            </w:pPr>
            <w:r w:rsidRPr="00A65C17">
              <w:t xml:space="preserve">recognised as a specialist by a specialist medical college; or </w:t>
            </w:r>
          </w:p>
          <w:p w14:paraId="6A17FEC3" w14:textId="6747A1ED" w:rsidR="00691C3A" w:rsidRPr="00A65C17" w:rsidRDefault="00691C3A" w:rsidP="00E550BD">
            <w:pPr>
              <w:pStyle w:val="ListBullet"/>
            </w:pPr>
            <w:r w:rsidRPr="00A65C17">
              <w:t xml:space="preserve">participating in an approved training or workforce program (3GA placement); or </w:t>
            </w:r>
          </w:p>
          <w:p w14:paraId="4ABB989F" w14:textId="42E72CA2" w:rsidR="00691C3A" w:rsidRPr="00A65C17" w:rsidRDefault="00691C3A" w:rsidP="00E550BD">
            <w:pPr>
              <w:pStyle w:val="ListBullet"/>
              <w:rPr>
                <w:i/>
                <w:sz w:val="23"/>
                <w:szCs w:val="23"/>
              </w:rPr>
            </w:pPr>
            <w:r w:rsidRPr="00A65C17">
              <w:t>a temporary resident with a section 19AB exemption.</w:t>
            </w:r>
          </w:p>
        </w:tc>
      </w:tr>
      <w:tr w:rsidR="00691C3A" w:rsidRPr="006571DA" w14:paraId="0265F377" w14:textId="77777777" w:rsidTr="00E550BD">
        <w:trPr>
          <w:trHeight w:val="1134"/>
        </w:trPr>
        <w:tc>
          <w:tcPr>
            <w:tcW w:w="2263" w:type="dxa"/>
          </w:tcPr>
          <w:p w14:paraId="7BA48DC3" w14:textId="3F167D05" w:rsidR="00691C3A" w:rsidRPr="00E73596" w:rsidRDefault="00691C3A" w:rsidP="00691C3A">
            <w:pPr>
              <w:pStyle w:val="tabletext"/>
              <w:rPr>
                <w:sz w:val="23"/>
              </w:rPr>
            </w:pPr>
            <w:r>
              <w:rPr>
                <w:szCs w:val="22"/>
              </w:rPr>
              <w:t>19AB</w:t>
            </w:r>
          </w:p>
        </w:tc>
        <w:tc>
          <w:tcPr>
            <w:tcW w:w="7377" w:type="dxa"/>
          </w:tcPr>
          <w:p w14:paraId="72DF7A5B" w14:textId="4514680D" w:rsidR="00691C3A" w:rsidRPr="006571DA" w:rsidRDefault="00691C3A" w:rsidP="00691C3A">
            <w:pPr>
              <w:pStyle w:val="tabletext"/>
            </w:pPr>
            <w:r>
              <w:rPr>
                <w:szCs w:val="22"/>
              </w:rPr>
              <w:t>Section 19AB of the Act restricts Overseas Trained Doctors (OTD) and Foreign Graduates of an Accredited Medical School (FGAMS) from claiming a Medicare benefit for professional services unless they work in a district of workforce shortage for a minimum period of 10 years.</w:t>
            </w:r>
          </w:p>
        </w:tc>
      </w:tr>
      <w:tr w:rsidR="00691C3A" w:rsidRPr="006571DA" w14:paraId="731F59EF" w14:textId="77777777" w:rsidTr="00E550BD">
        <w:trPr>
          <w:trHeight w:val="1134"/>
        </w:trPr>
        <w:tc>
          <w:tcPr>
            <w:tcW w:w="2263" w:type="dxa"/>
          </w:tcPr>
          <w:p w14:paraId="1C39E031" w14:textId="6805626E" w:rsidR="00691C3A" w:rsidRPr="006571DA" w:rsidRDefault="00691C3A" w:rsidP="00691C3A">
            <w:pPr>
              <w:pStyle w:val="tabletext"/>
            </w:pPr>
            <w:r>
              <w:rPr>
                <w:sz w:val="23"/>
              </w:rPr>
              <w:t>3GA Program</w:t>
            </w:r>
          </w:p>
        </w:tc>
        <w:tc>
          <w:tcPr>
            <w:tcW w:w="7377" w:type="dxa"/>
          </w:tcPr>
          <w:p w14:paraId="735A87F9" w14:textId="76168852" w:rsidR="00691C3A" w:rsidRPr="006571DA" w:rsidRDefault="00691C3A" w:rsidP="00691C3A">
            <w:pPr>
              <w:pStyle w:val="tabletext"/>
            </w:pPr>
            <w:r>
              <w:rPr>
                <w:szCs w:val="22"/>
              </w:rPr>
              <w:t>Section 3GA of the Act allows medical practitioners participating in approved workforce or training programs to provide professional services that attract Medicare benefits for a defined period. A 3GA program is one of the approved workforce or training programs.</w:t>
            </w:r>
          </w:p>
        </w:tc>
      </w:tr>
      <w:tr w:rsidR="0072632B" w:rsidRPr="006571DA" w14:paraId="4E9E1475" w14:textId="77777777" w:rsidTr="00E550BD">
        <w:tc>
          <w:tcPr>
            <w:tcW w:w="2263" w:type="dxa"/>
          </w:tcPr>
          <w:p w14:paraId="205F28F3" w14:textId="005686BE" w:rsidR="0072632B" w:rsidRDefault="0072632B" w:rsidP="00691C3A">
            <w:pPr>
              <w:pStyle w:val="tabletext"/>
              <w:rPr>
                <w:szCs w:val="22"/>
              </w:rPr>
            </w:pPr>
            <w:r>
              <w:rPr>
                <w:szCs w:val="22"/>
              </w:rPr>
              <w:t>Aboriginal Medical Service</w:t>
            </w:r>
          </w:p>
        </w:tc>
        <w:tc>
          <w:tcPr>
            <w:tcW w:w="7377" w:type="dxa"/>
          </w:tcPr>
          <w:p w14:paraId="7DB2C78B" w14:textId="4C63A8BA" w:rsidR="0072632B" w:rsidRDefault="00B90ABB" w:rsidP="00691C3A">
            <w:pPr>
              <w:pStyle w:val="tabletext"/>
              <w:rPr>
                <w:szCs w:val="22"/>
              </w:rPr>
            </w:pPr>
            <w:r>
              <w:rPr>
                <w:szCs w:val="22"/>
              </w:rPr>
              <w:t xml:space="preserve">An AMS is </w:t>
            </w:r>
            <w:r w:rsidR="00FE3D41">
              <w:rPr>
                <w:szCs w:val="22"/>
              </w:rPr>
              <w:t>a health service funded principally to provide services to Aboriginal and Torres Strait Islanders people</w:t>
            </w:r>
            <w:r w:rsidR="001A4FC4">
              <w:rPr>
                <w:szCs w:val="22"/>
              </w:rPr>
              <w:t>.</w:t>
            </w:r>
          </w:p>
        </w:tc>
      </w:tr>
      <w:tr w:rsidR="0072632B" w:rsidRPr="006571DA" w14:paraId="7DB71541" w14:textId="77777777" w:rsidTr="00E550BD">
        <w:tc>
          <w:tcPr>
            <w:tcW w:w="2263" w:type="dxa"/>
          </w:tcPr>
          <w:p w14:paraId="5532F847" w14:textId="50A386BC" w:rsidR="0072632B" w:rsidRDefault="0072632B" w:rsidP="00691C3A">
            <w:pPr>
              <w:pStyle w:val="tabletext"/>
              <w:rPr>
                <w:szCs w:val="22"/>
              </w:rPr>
            </w:pPr>
            <w:r>
              <w:rPr>
                <w:szCs w:val="22"/>
              </w:rPr>
              <w:t>Aboriginal Controlled Community Health Service</w:t>
            </w:r>
          </w:p>
        </w:tc>
        <w:tc>
          <w:tcPr>
            <w:tcW w:w="7377" w:type="dxa"/>
          </w:tcPr>
          <w:p w14:paraId="1F6B981B" w14:textId="4147D590" w:rsidR="0072632B" w:rsidRDefault="00B90ABB" w:rsidP="00691C3A">
            <w:pPr>
              <w:pStyle w:val="tabletext"/>
              <w:rPr>
                <w:szCs w:val="22"/>
              </w:rPr>
            </w:pPr>
            <w:r>
              <w:rPr>
                <w:szCs w:val="22"/>
              </w:rPr>
              <w:t xml:space="preserve">An ACCHS is a medical service controlled by the local Aboriginal community via elected boards of management. </w:t>
            </w:r>
          </w:p>
        </w:tc>
      </w:tr>
      <w:tr w:rsidR="00691C3A" w:rsidRPr="006571DA" w14:paraId="684992F1" w14:textId="77777777" w:rsidTr="00E550BD">
        <w:tc>
          <w:tcPr>
            <w:tcW w:w="2263" w:type="dxa"/>
          </w:tcPr>
          <w:p w14:paraId="14CA170B" w14:textId="6DF303F5" w:rsidR="00691C3A" w:rsidRPr="006571DA" w:rsidRDefault="00691C3A" w:rsidP="00691C3A">
            <w:pPr>
              <w:pStyle w:val="tabletext"/>
            </w:pPr>
            <w:r>
              <w:rPr>
                <w:szCs w:val="22"/>
              </w:rPr>
              <w:t>ACRRM</w:t>
            </w:r>
          </w:p>
        </w:tc>
        <w:tc>
          <w:tcPr>
            <w:tcW w:w="7377" w:type="dxa"/>
          </w:tcPr>
          <w:p w14:paraId="26ECDF91" w14:textId="4D532CBA" w:rsidR="00691C3A" w:rsidRPr="006571DA" w:rsidRDefault="00691C3A" w:rsidP="00691C3A">
            <w:pPr>
              <w:pStyle w:val="tabletext"/>
            </w:pPr>
            <w:r>
              <w:rPr>
                <w:szCs w:val="22"/>
              </w:rPr>
              <w:t>Australian College of Rural and Remote Medicine.</w:t>
            </w:r>
          </w:p>
        </w:tc>
      </w:tr>
      <w:tr w:rsidR="00691C3A" w:rsidRPr="006571DA" w14:paraId="39C04AB7" w14:textId="77777777" w:rsidTr="00E550BD">
        <w:tc>
          <w:tcPr>
            <w:tcW w:w="2263" w:type="dxa"/>
          </w:tcPr>
          <w:p w14:paraId="69971C83" w14:textId="0AE7C838" w:rsidR="00691C3A" w:rsidRPr="006571DA" w:rsidRDefault="00691C3A" w:rsidP="00691C3A">
            <w:pPr>
              <w:pStyle w:val="tabletext"/>
            </w:pPr>
            <w:r>
              <w:rPr>
                <w:szCs w:val="22"/>
              </w:rPr>
              <w:t>AHPRA</w:t>
            </w:r>
          </w:p>
        </w:tc>
        <w:tc>
          <w:tcPr>
            <w:tcW w:w="7377" w:type="dxa"/>
          </w:tcPr>
          <w:p w14:paraId="341C38EA" w14:textId="7F9D4887" w:rsidR="00691C3A" w:rsidRPr="00A5317E" w:rsidRDefault="00691C3A" w:rsidP="00691C3A">
            <w:pPr>
              <w:spacing w:before="0" w:after="0"/>
            </w:pPr>
            <w:r w:rsidRPr="00691C3A">
              <w:rPr>
                <w:color w:val="000000"/>
              </w:rPr>
              <w:t>Australian Health Practitioner Regulation Agency.</w:t>
            </w:r>
          </w:p>
        </w:tc>
      </w:tr>
      <w:tr w:rsidR="00691C3A" w:rsidRPr="006571DA" w14:paraId="4A4FF721" w14:textId="77777777" w:rsidTr="00E550BD">
        <w:trPr>
          <w:trHeight w:val="1134"/>
        </w:trPr>
        <w:tc>
          <w:tcPr>
            <w:tcW w:w="2263" w:type="dxa"/>
          </w:tcPr>
          <w:p w14:paraId="20FF22ED" w14:textId="4FF4590E" w:rsidR="00691C3A" w:rsidRPr="006571DA" w:rsidRDefault="00691C3A" w:rsidP="00691C3A">
            <w:pPr>
              <w:pStyle w:val="tabletext"/>
            </w:pPr>
            <w:r>
              <w:rPr>
                <w:szCs w:val="22"/>
              </w:rPr>
              <w:t>Distribution Priority Area (DPA)</w:t>
            </w:r>
          </w:p>
        </w:tc>
        <w:tc>
          <w:tcPr>
            <w:tcW w:w="7377" w:type="dxa"/>
          </w:tcPr>
          <w:p w14:paraId="76EBACC5" w14:textId="3B979B14" w:rsidR="00691C3A" w:rsidRPr="006571DA" w:rsidRDefault="00691C3A" w:rsidP="00691C3A">
            <w:pPr>
              <w:pStyle w:val="tabletext"/>
            </w:pPr>
            <w:r>
              <w:rPr>
                <w:szCs w:val="22"/>
              </w:rPr>
              <w:t xml:space="preserve">The Distribution Priority Area (DPA) classification identifies locations with a shortage of medical practitioners based on the needs of the community. The DPA system </w:t>
            </w:r>
            <w:proofErr w:type="gramStart"/>
            <w:r>
              <w:rPr>
                <w:szCs w:val="22"/>
              </w:rPr>
              <w:t>takes into account</w:t>
            </w:r>
            <w:proofErr w:type="gramEnd"/>
            <w:r>
              <w:rPr>
                <w:szCs w:val="22"/>
              </w:rPr>
              <w:t xml:space="preserve"> gender and age demographics and the socio-economic status of patients living in an area. The DPA is used for determining where GPs and bonded </w:t>
            </w:r>
            <w:proofErr w:type="gramStart"/>
            <w:r>
              <w:rPr>
                <w:szCs w:val="22"/>
              </w:rPr>
              <w:t>doctors</w:t>
            </w:r>
            <w:proofErr w:type="gramEnd"/>
            <w:r>
              <w:rPr>
                <w:szCs w:val="22"/>
              </w:rPr>
              <w:t xml:space="preserve"> work.</w:t>
            </w:r>
          </w:p>
        </w:tc>
      </w:tr>
      <w:tr w:rsidR="00691C3A" w:rsidRPr="006571DA" w14:paraId="1670198C" w14:textId="77777777" w:rsidTr="00E550BD">
        <w:trPr>
          <w:trHeight w:val="454"/>
        </w:trPr>
        <w:tc>
          <w:tcPr>
            <w:tcW w:w="2263" w:type="dxa"/>
          </w:tcPr>
          <w:p w14:paraId="78C886AD" w14:textId="3C2A3A34" w:rsidR="00691C3A" w:rsidRPr="006571DA" w:rsidRDefault="00691C3A" w:rsidP="00691C3A">
            <w:pPr>
              <w:pStyle w:val="tabletext"/>
            </w:pPr>
            <w:r>
              <w:rPr>
                <w:szCs w:val="22"/>
              </w:rPr>
              <w:t>Fellowship</w:t>
            </w:r>
          </w:p>
        </w:tc>
        <w:tc>
          <w:tcPr>
            <w:tcW w:w="7377" w:type="dxa"/>
          </w:tcPr>
          <w:p w14:paraId="3FE384F2" w14:textId="321F53ED" w:rsidR="00691C3A" w:rsidRPr="006571DA" w:rsidRDefault="00691C3A" w:rsidP="00691C3A">
            <w:pPr>
              <w:pStyle w:val="tabletext"/>
            </w:pPr>
            <w:r>
              <w:rPr>
                <w:szCs w:val="22"/>
              </w:rPr>
              <w:t>A qualification obtained from an accredited specialist medical college leading to a specialist practice. Doctors who attain fellowship can satisfy the requirements of section 19AA of the Act.</w:t>
            </w:r>
          </w:p>
        </w:tc>
      </w:tr>
      <w:tr w:rsidR="00691C3A" w:rsidRPr="006571DA" w14:paraId="594FF175" w14:textId="77777777" w:rsidTr="00E550BD">
        <w:trPr>
          <w:trHeight w:val="454"/>
        </w:trPr>
        <w:tc>
          <w:tcPr>
            <w:tcW w:w="2263" w:type="dxa"/>
          </w:tcPr>
          <w:p w14:paraId="6590DD55" w14:textId="76E37546" w:rsidR="00691C3A" w:rsidRPr="006571DA" w:rsidRDefault="00691C3A" w:rsidP="00691C3A">
            <w:pPr>
              <w:pStyle w:val="tabletext"/>
            </w:pPr>
            <w:r>
              <w:rPr>
                <w:szCs w:val="22"/>
              </w:rPr>
              <w:t>Foreign Graduate of an Accredited Medical School (FGAMS)</w:t>
            </w:r>
          </w:p>
        </w:tc>
        <w:tc>
          <w:tcPr>
            <w:tcW w:w="7377" w:type="dxa"/>
          </w:tcPr>
          <w:p w14:paraId="653DCD10" w14:textId="39A82349" w:rsidR="006A076C" w:rsidRDefault="00691C3A" w:rsidP="00A65C17">
            <w:pPr>
              <w:pStyle w:val="tabletext"/>
              <w:rPr>
                <w:sz w:val="23"/>
              </w:rPr>
            </w:pPr>
            <w:r>
              <w:rPr>
                <w:sz w:val="23"/>
              </w:rPr>
              <w:t>A doctor who was not:</w:t>
            </w:r>
          </w:p>
          <w:p w14:paraId="555FCF31" w14:textId="7D452739" w:rsidR="006A076C" w:rsidRDefault="00691C3A" w:rsidP="00E550BD">
            <w:pPr>
              <w:pStyle w:val="ListBullet"/>
            </w:pPr>
            <w:r>
              <w:t xml:space="preserve">a permanent Australian; or </w:t>
            </w:r>
          </w:p>
          <w:p w14:paraId="2A2CD959" w14:textId="240911C1" w:rsidR="006A076C" w:rsidRDefault="00691C3A" w:rsidP="00E550BD">
            <w:pPr>
              <w:pStyle w:val="ListBullet"/>
            </w:pPr>
            <w:r>
              <w:t xml:space="preserve">a New Zealand citizen; or </w:t>
            </w:r>
          </w:p>
          <w:p w14:paraId="36EFE590" w14:textId="545C1972" w:rsidR="006A076C" w:rsidRDefault="00691C3A" w:rsidP="00E550BD">
            <w:pPr>
              <w:pStyle w:val="ListBullet"/>
            </w:pPr>
            <w:r>
              <w:t xml:space="preserve">a permanent resident of New </w:t>
            </w:r>
            <w:proofErr w:type="gramStart"/>
            <w:r>
              <w:t>Zealand;</w:t>
            </w:r>
            <w:proofErr w:type="gramEnd"/>
            <w:r>
              <w:t xml:space="preserve"> </w:t>
            </w:r>
          </w:p>
          <w:p w14:paraId="0187FF0B" w14:textId="7B45919B" w:rsidR="00691C3A" w:rsidRPr="006571DA" w:rsidRDefault="00691C3A" w:rsidP="00A65C17">
            <w:pPr>
              <w:pStyle w:val="tabletext"/>
            </w:pPr>
            <w:r>
              <w:rPr>
                <w:sz w:val="23"/>
              </w:rPr>
              <w:t>when they enrolled at an accredited medical school in Australia or New Zealand.</w:t>
            </w:r>
          </w:p>
        </w:tc>
      </w:tr>
      <w:tr w:rsidR="00691C3A" w:rsidRPr="006571DA" w14:paraId="6E4C3802" w14:textId="77777777" w:rsidTr="00E550BD">
        <w:tc>
          <w:tcPr>
            <w:tcW w:w="2263" w:type="dxa"/>
          </w:tcPr>
          <w:p w14:paraId="0962D2A1" w14:textId="08FFB9C9" w:rsidR="00691C3A" w:rsidRPr="006571DA" w:rsidRDefault="00691C3A" w:rsidP="00691C3A">
            <w:pPr>
              <w:pStyle w:val="tabletext"/>
            </w:pPr>
            <w:r>
              <w:rPr>
                <w:szCs w:val="22"/>
              </w:rPr>
              <w:t>Full-time equivalent</w:t>
            </w:r>
          </w:p>
        </w:tc>
        <w:tc>
          <w:tcPr>
            <w:tcW w:w="7377" w:type="dxa"/>
          </w:tcPr>
          <w:p w14:paraId="2F370F21" w14:textId="368DF7F3" w:rsidR="00691C3A" w:rsidRPr="006571DA" w:rsidRDefault="00691C3A" w:rsidP="00691C3A">
            <w:pPr>
              <w:pStyle w:val="tabletext"/>
            </w:pPr>
            <w:r>
              <w:rPr>
                <w:szCs w:val="22"/>
              </w:rPr>
              <w:t>38 hours per week.</w:t>
            </w:r>
          </w:p>
        </w:tc>
      </w:tr>
      <w:tr w:rsidR="00691C3A" w:rsidRPr="006571DA" w14:paraId="729C7071" w14:textId="77777777" w:rsidTr="00E550BD">
        <w:trPr>
          <w:trHeight w:val="454"/>
        </w:trPr>
        <w:tc>
          <w:tcPr>
            <w:tcW w:w="2263" w:type="dxa"/>
          </w:tcPr>
          <w:p w14:paraId="6AEEF2A3" w14:textId="7F6DFAC4" w:rsidR="00691C3A" w:rsidRPr="006571DA" w:rsidRDefault="00691C3A" w:rsidP="00691C3A">
            <w:pPr>
              <w:pStyle w:val="tabletext"/>
            </w:pPr>
            <w:r>
              <w:rPr>
                <w:szCs w:val="22"/>
              </w:rPr>
              <w:t>Guidelines</w:t>
            </w:r>
          </w:p>
        </w:tc>
        <w:tc>
          <w:tcPr>
            <w:tcW w:w="7377" w:type="dxa"/>
          </w:tcPr>
          <w:p w14:paraId="6BDF5A69" w14:textId="7C3880CF" w:rsidR="00691C3A" w:rsidRPr="006571DA" w:rsidRDefault="00691C3A" w:rsidP="00691C3A">
            <w:pPr>
              <w:pStyle w:val="tabletext"/>
            </w:pPr>
            <w:r>
              <w:rPr>
                <w:szCs w:val="22"/>
              </w:rPr>
              <w:t>The Department of Health</w:t>
            </w:r>
            <w:r w:rsidR="0067651C">
              <w:rPr>
                <w:szCs w:val="22"/>
              </w:rPr>
              <w:t xml:space="preserve"> and Aged Care</w:t>
            </w:r>
            <w:r>
              <w:rPr>
                <w:szCs w:val="22"/>
              </w:rPr>
              <w:t xml:space="preserve"> More Doctors for Rural Australia Program Guidelines.</w:t>
            </w:r>
          </w:p>
        </w:tc>
      </w:tr>
      <w:tr w:rsidR="00691C3A" w:rsidRPr="006571DA" w14:paraId="336DFADA" w14:textId="77777777" w:rsidTr="00E550BD">
        <w:trPr>
          <w:trHeight w:val="261"/>
        </w:trPr>
        <w:tc>
          <w:tcPr>
            <w:tcW w:w="2263" w:type="dxa"/>
          </w:tcPr>
          <w:p w14:paraId="76929A74" w14:textId="09F903C6" w:rsidR="00691C3A" w:rsidRPr="006571DA" w:rsidRDefault="00691C3A" w:rsidP="00691C3A">
            <w:pPr>
              <w:pStyle w:val="tabletext"/>
            </w:pPr>
            <w:r>
              <w:rPr>
                <w:szCs w:val="22"/>
              </w:rPr>
              <w:t>Health</w:t>
            </w:r>
          </w:p>
        </w:tc>
        <w:tc>
          <w:tcPr>
            <w:tcW w:w="7377" w:type="dxa"/>
          </w:tcPr>
          <w:p w14:paraId="713C5AA2" w14:textId="02985402" w:rsidR="00691C3A" w:rsidRPr="006571DA" w:rsidRDefault="00691C3A" w:rsidP="00691C3A">
            <w:pPr>
              <w:pStyle w:val="tabletext"/>
            </w:pPr>
            <w:r>
              <w:rPr>
                <w:szCs w:val="22"/>
              </w:rPr>
              <w:t>The Australian Government Department of Health</w:t>
            </w:r>
            <w:r w:rsidR="0067651C">
              <w:rPr>
                <w:szCs w:val="22"/>
              </w:rPr>
              <w:t xml:space="preserve"> and Aged Care</w:t>
            </w:r>
            <w:r>
              <w:rPr>
                <w:szCs w:val="22"/>
              </w:rPr>
              <w:t>.</w:t>
            </w:r>
          </w:p>
        </w:tc>
      </w:tr>
      <w:tr w:rsidR="00691C3A" w:rsidRPr="006571DA" w14:paraId="262E5BF7" w14:textId="77777777" w:rsidTr="00E550BD">
        <w:trPr>
          <w:trHeight w:val="279"/>
        </w:trPr>
        <w:tc>
          <w:tcPr>
            <w:tcW w:w="2263" w:type="dxa"/>
          </w:tcPr>
          <w:p w14:paraId="41B1D170" w14:textId="2FDB7605" w:rsidR="00691C3A" w:rsidRPr="006571DA" w:rsidRDefault="00691C3A" w:rsidP="00691C3A">
            <w:pPr>
              <w:pStyle w:val="tabletext"/>
            </w:pPr>
            <w:r>
              <w:rPr>
                <w:szCs w:val="22"/>
              </w:rPr>
              <w:t>Junior Doctor</w:t>
            </w:r>
          </w:p>
        </w:tc>
        <w:tc>
          <w:tcPr>
            <w:tcW w:w="7377" w:type="dxa"/>
          </w:tcPr>
          <w:p w14:paraId="5DBC91B3" w14:textId="114B62C1" w:rsidR="00691C3A" w:rsidRPr="006571DA" w:rsidRDefault="00691C3A" w:rsidP="00691C3A">
            <w:pPr>
              <w:pStyle w:val="tabletext"/>
            </w:pPr>
            <w:r>
              <w:rPr>
                <w:szCs w:val="22"/>
              </w:rPr>
              <w:t>Australian trained PGY3 to PGY5 doctor not on a fellowship pathway.</w:t>
            </w:r>
          </w:p>
        </w:tc>
      </w:tr>
      <w:tr w:rsidR="00691C3A" w:rsidRPr="006571DA" w14:paraId="6DDDF7A1" w14:textId="77777777" w:rsidTr="00E550BD">
        <w:trPr>
          <w:trHeight w:val="283"/>
        </w:trPr>
        <w:tc>
          <w:tcPr>
            <w:tcW w:w="2263" w:type="dxa"/>
          </w:tcPr>
          <w:p w14:paraId="1D3D5CBB" w14:textId="14183DCA" w:rsidR="00691C3A" w:rsidRPr="006571DA" w:rsidRDefault="00691C3A" w:rsidP="00691C3A">
            <w:pPr>
              <w:pStyle w:val="tabletext"/>
            </w:pPr>
            <w:r>
              <w:rPr>
                <w:szCs w:val="22"/>
              </w:rPr>
              <w:t>Medicare</w:t>
            </w:r>
          </w:p>
        </w:tc>
        <w:tc>
          <w:tcPr>
            <w:tcW w:w="7377" w:type="dxa"/>
          </w:tcPr>
          <w:p w14:paraId="561B3C1D" w14:textId="096E6950" w:rsidR="00691C3A" w:rsidRPr="006571DA" w:rsidRDefault="00691C3A" w:rsidP="00691C3A">
            <w:pPr>
              <w:pStyle w:val="tabletext"/>
            </w:pPr>
            <w:r>
              <w:rPr>
                <w:szCs w:val="22"/>
              </w:rPr>
              <w:t>Services Australia – Medicare</w:t>
            </w:r>
          </w:p>
        </w:tc>
      </w:tr>
      <w:tr w:rsidR="00691C3A" w:rsidRPr="006571DA" w14:paraId="6A8A014C" w14:textId="77777777" w:rsidTr="00E550BD">
        <w:trPr>
          <w:trHeight w:val="454"/>
        </w:trPr>
        <w:tc>
          <w:tcPr>
            <w:tcW w:w="2263" w:type="dxa"/>
          </w:tcPr>
          <w:p w14:paraId="7771C62F" w14:textId="6BCADEE7" w:rsidR="00691C3A" w:rsidRPr="006571DA" w:rsidRDefault="00691C3A" w:rsidP="00691C3A">
            <w:pPr>
              <w:pStyle w:val="tabletext"/>
            </w:pPr>
            <w:r>
              <w:rPr>
                <w:szCs w:val="22"/>
              </w:rPr>
              <w:t>Medicare provider number</w:t>
            </w:r>
          </w:p>
        </w:tc>
        <w:tc>
          <w:tcPr>
            <w:tcW w:w="7377" w:type="dxa"/>
          </w:tcPr>
          <w:p w14:paraId="62CCEC16" w14:textId="15CE08D2" w:rsidR="00691C3A" w:rsidRPr="006571DA" w:rsidRDefault="00691C3A" w:rsidP="00691C3A">
            <w:pPr>
              <w:pStyle w:val="tabletext"/>
            </w:pPr>
            <w:r>
              <w:rPr>
                <w:szCs w:val="22"/>
              </w:rPr>
              <w:t>A Medicare provider number uniquely identifies a medical practitioner and the practice location from which they perform professional services. Medicare provider numbers are issued by Services Australia</w:t>
            </w:r>
          </w:p>
        </w:tc>
      </w:tr>
      <w:tr w:rsidR="00691C3A" w:rsidRPr="006571DA" w14:paraId="2B0FA1EC" w14:textId="77777777" w:rsidTr="00E550BD">
        <w:tc>
          <w:tcPr>
            <w:tcW w:w="2263" w:type="dxa"/>
          </w:tcPr>
          <w:p w14:paraId="4B60C3BC" w14:textId="1C352EAB" w:rsidR="00691C3A" w:rsidRPr="00325B39" w:rsidRDefault="00691C3A" w:rsidP="00691C3A">
            <w:pPr>
              <w:pStyle w:val="tabletext"/>
            </w:pPr>
            <w:r>
              <w:rPr>
                <w:szCs w:val="22"/>
              </w:rPr>
              <w:lastRenderedPageBreak/>
              <w:t>Modified Monash Model (MMM)</w:t>
            </w:r>
          </w:p>
        </w:tc>
        <w:tc>
          <w:tcPr>
            <w:tcW w:w="7377" w:type="dxa"/>
          </w:tcPr>
          <w:p w14:paraId="5A41D830" w14:textId="2FA30505" w:rsidR="00691C3A" w:rsidRPr="00325B39" w:rsidRDefault="00691C3A" w:rsidP="00691C3A">
            <w:pPr>
              <w:pStyle w:val="tabletext"/>
            </w:pPr>
            <w:r>
              <w:rPr>
                <w:szCs w:val="22"/>
              </w:rPr>
              <w:t xml:space="preserve">The Modified Monash Model is a classification system that better categorises metropolitan, regional, </w:t>
            </w:r>
            <w:proofErr w:type="gramStart"/>
            <w:r>
              <w:rPr>
                <w:szCs w:val="22"/>
              </w:rPr>
              <w:t>rural</w:t>
            </w:r>
            <w:proofErr w:type="gramEnd"/>
            <w:r>
              <w:rPr>
                <w:szCs w:val="22"/>
              </w:rPr>
              <w:t xml:space="preserve"> and remote areas according to both geographical remoteness and town size. </w:t>
            </w:r>
            <w:r>
              <w:rPr>
                <w:szCs w:val="22"/>
              </w:rPr>
              <w:br/>
              <w:t>More information on the MMM system is available at www.health.gov.au/health-workforce/health-workforce-classifications/modified-monash-model</w:t>
            </w:r>
          </w:p>
        </w:tc>
      </w:tr>
      <w:tr w:rsidR="00691C3A" w:rsidRPr="006571DA" w14:paraId="187B66EC" w14:textId="77777777" w:rsidTr="00E550BD">
        <w:tc>
          <w:tcPr>
            <w:tcW w:w="2263" w:type="dxa"/>
          </w:tcPr>
          <w:p w14:paraId="11C3B793" w14:textId="1C046D95" w:rsidR="00691C3A" w:rsidRPr="006571DA" w:rsidRDefault="00691C3A" w:rsidP="00691C3A">
            <w:pPr>
              <w:pStyle w:val="tabletext"/>
            </w:pPr>
            <w:r>
              <w:rPr>
                <w:sz w:val="23"/>
              </w:rPr>
              <w:t>Overseas</w:t>
            </w:r>
            <w:r>
              <w:rPr>
                <w:szCs w:val="22"/>
              </w:rPr>
              <w:t xml:space="preserve"> Trained Doctor (OTD)</w:t>
            </w:r>
          </w:p>
        </w:tc>
        <w:tc>
          <w:tcPr>
            <w:tcW w:w="7377" w:type="dxa"/>
          </w:tcPr>
          <w:p w14:paraId="1C6637E7" w14:textId="085B38AE" w:rsidR="00691C3A" w:rsidRPr="006571DA" w:rsidRDefault="00691C3A" w:rsidP="00691C3A">
            <w:pPr>
              <w:pStyle w:val="tabletext"/>
            </w:pPr>
            <w:r>
              <w:rPr>
                <w:szCs w:val="22"/>
              </w:rPr>
              <w:t>An Overseas Trained Doctor is a doctor who did not obtain their primary medical degree from an accredited medical school in Australia or New Zealand.</w:t>
            </w:r>
          </w:p>
        </w:tc>
      </w:tr>
      <w:tr w:rsidR="00691C3A" w:rsidRPr="006571DA" w14:paraId="1A4420C8" w14:textId="77777777" w:rsidTr="00E550BD">
        <w:tc>
          <w:tcPr>
            <w:tcW w:w="2263" w:type="dxa"/>
          </w:tcPr>
          <w:p w14:paraId="51282295" w14:textId="2E9A1D31" w:rsidR="00691C3A" w:rsidRPr="006571DA" w:rsidRDefault="00691C3A" w:rsidP="00691C3A">
            <w:pPr>
              <w:pStyle w:val="tabletext"/>
            </w:pPr>
            <w:r>
              <w:rPr>
                <w:sz w:val="23"/>
              </w:rPr>
              <w:t>Permanent Resident or Australian Citizen</w:t>
            </w:r>
          </w:p>
        </w:tc>
        <w:tc>
          <w:tcPr>
            <w:tcW w:w="7377" w:type="dxa"/>
          </w:tcPr>
          <w:p w14:paraId="670A895A" w14:textId="0E4E2A81" w:rsidR="00691C3A" w:rsidRPr="006571DA" w:rsidRDefault="00691C3A" w:rsidP="00691C3A">
            <w:pPr>
              <w:pStyle w:val="tabletext"/>
              <w:rPr>
                <w:sz w:val="23"/>
              </w:rPr>
            </w:pPr>
            <w:r>
              <w:rPr>
                <w:sz w:val="23"/>
              </w:rPr>
              <w:t xml:space="preserve">As defined in the </w:t>
            </w:r>
            <w:r>
              <w:rPr>
                <w:i/>
                <w:iCs/>
                <w:szCs w:val="22"/>
              </w:rPr>
              <w:t>Migration Act 1958</w:t>
            </w:r>
            <w:r>
              <w:rPr>
                <w:sz w:val="23"/>
              </w:rPr>
              <w:t>.</w:t>
            </w:r>
          </w:p>
        </w:tc>
      </w:tr>
      <w:tr w:rsidR="00691C3A" w14:paraId="73E26302" w14:textId="77777777" w:rsidTr="00E550BD">
        <w:trPr>
          <w:trHeight w:val="433"/>
        </w:trPr>
        <w:tc>
          <w:tcPr>
            <w:tcW w:w="2263" w:type="dxa"/>
          </w:tcPr>
          <w:p w14:paraId="22AAA7C0" w14:textId="67C15C3F" w:rsidR="00691C3A" w:rsidRPr="006571DA" w:rsidRDefault="00691C3A" w:rsidP="00691C3A">
            <w:pPr>
              <w:autoSpaceDE w:val="0"/>
              <w:autoSpaceDN w:val="0"/>
              <w:adjustRightInd w:val="0"/>
              <w:spacing w:before="0" w:after="0"/>
              <w:ind w:firstLine="11"/>
              <w:rPr>
                <w:color w:val="000000"/>
                <w:sz w:val="23"/>
                <w:szCs w:val="23"/>
              </w:rPr>
            </w:pPr>
            <w:r>
              <w:rPr>
                <w:color w:val="000000"/>
                <w:szCs w:val="22"/>
              </w:rPr>
              <w:t>RACGP</w:t>
            </w:r>
          </w:p>
        </w:tc>
        <w:tc>
          <w:tcPr>
            <w:tcW w:w="7377" w:type="dxa"/>
          </w:tcPr>
          <w:p w14:paraId="07F24233" w14:textId="4CFB87C3" w:rsidR="00691C3A" w:rsidRPr="00BC7891" w:rsidRDefault="00691C3A" w:rsidP="00691C3A">
            <w:pPr>
              <w:autoSpaceDE w:val="0"/>
              <w:autoSpaceDN w:val="0"/>
              <w:adjustRightInd w:val="0"/>
              <w:spacing w:before="0" w:after="0"/>
              <w:ind w:firstLine="11"/>
              <w:rPr>
                <w:color w:val="000000"/>
                <w:sz w:val="23"/>
                <w:szCs w:val="23"/>
              </w:rPr>
            </w:pPr>
            <w:r>
              <w:rPr>
                <w:color w:val="000000"/>
                <w:szCs w:val="22"/>
              </w:rPr>
              <w:t>The Royal Australian College of General Practitioners</w:t>
            </w:r>
          </w:p>
        </w:tc>
      </w:tr>
      <w:tr w:rsidR="00691C3A" w:rsidRPr="006571DA" w14:paraId="02BF4A2B" w14:textId="77777777" w:rsidTr="00E550BD">
        <w:tc>
          <w:tcPr>
            <w:tcW w:w="2263" w:type="dxa"/>
          </w:tcPr>
          <w:p w14:paraId="2493EBC5" w14:textId="689411EA" w:rsidR="00691C3A" w:rsidRPr="006571DA" w:rsidRDefault="00691C3A" w:rsidP="00691C3A">
            <w:pPr>
              <w:pStyle w:val="tabletext"/>
            </w:pPr>
            <w:r>
              <w:rPr>
                <w:szCs w:val="22"/>
              </w:rPr>
              <w:t>Register</w:t>
            </w:r>
          </w:p>
        </w:tc>
        <w:tc>
          <w:tcPr>
            <w:tcW w:w="7377" w:type="dxa"/>
          </w:tcPr>
          <w:p w14:paraId="59C8ADC5" w14:textId="35AC5FA8" w:rsidR="00691C3A" w:rsidRPr="006571DA" w:rsidRDefault="00691C3A" w:rsidP="00691C3A">
            <w:pPr>
              <w:pStyle w:val="tabletext"/>
            </w:pPr>
            <w:r>
              <w:rPr>
                <w:szCs w:val="22"/>
              </w:rPr>
              <w:t>Register of Approved Placements maintained by Services Australia under section 3GA of the Act. Doctors placed on the Register satisfy the requirements of Section 19AA of the Act.</w:t>
            </w:r>
          </w:p>
        </w:tc>
      </w:tr>
      <w:tr w:rsidR="00691C3A" w:rsidRPr="006571DA" w14:paraId="3358ECC4" w14:textId="77777777" w:rsidTr="00E550BD">
        <w:tc>
          <w:tcPr>
            <w:tcW w:w="2263" w:type="dxa"/>
          </w:tcPr>
          <w:p w14:paraId="7F8D00CD" w14:textId="30DE902A" w:rsidR="00691C3A" w:rsidRPr="006571DA" w:rsidRDefault="00691C3A" w:rsidP="00691C3A">
            <w:pPr>
              <w:pStyle w:val="tabletext"/>
            </w:pPr>
            <w:r>
              <w:rPr>
                <w:szCs w:val="22"/>
              </w:rPr>
              <w:t>RWAs</w:t>
            </w:r>
          </w:p>
        </w:tc>
        <w:tc>
          <w:tcPr>
            <w:tcW w:w="7377" w:type="dxa"/>
          </w:tcPr>
          <w:p w14:paraId="5F64A69E" w14:textId="4709B8D1" w:rsidR="00691C3A" w:rsidRPr="006571DA" w:rsidRDefault="00691C3A" w:rsidP="00691C3A">
            <w:pPr>
              <w:pStyle w:val="tabletext"/>
            </w:pPr>
            <w:r>
              <w:rPr>
                <w:szCs w:val="22"/>
              </w:rPr>
              <w:t>Rural Workforce Agencies (RWAs) are government funded agencies that attract, recruit and support health professionals needed in rural and remote communities.  The RWAs are the specified bodies responsible for administering the More Doctors for Rural Australia Program.</w:t>
            </w:r>
          </w:p>
        </w:tc>
      </w:tr>
      <w:tr w:rsidR="00691C3A" w:rsidRPr="006571DA" w14:paraId="66626D88" w14:textId="77777777" w:rsidTr="00E550BD">
        <w:trPr>
          <w:trHeight w:val="323"/>
        </w:trPr>
        <w:tc>
          <w:tcPr>
            <w:tcW w:w="2263" w:type="dxa"/>
          </w:tcPr>
          <w:p w14:paraId="757FEE39" w14:textId="5B040C4E" w:rsidR="00691C3A" w:rsidRPr="006571DA" w:rsidRDefault="00691C3A" w:rsidP="00691C3A">
            <w:pPr>
              <w:pStyle w:val="tabletext"/>
              <w:rPr>
                <w:sz w:val="23"/>
              </w:rPr>
            </w:pPr>
            <w:r>
              <w:rPr>
                <w:szCs w:val="22"/>
              </w:rPr>
              <w:t xml:space="preserve">the </w:t>
            </w:r>
            <w:r>
              <w:rPr>
                <w:sz w:val="23"/>
              </w:rPr>
              <w:t>Act</w:t>
            </w:r>
          </w:p>
        </w:tc>
        <w:tc>
          <w:tcPr>
            <w:tcW w:w="7377" w:type="dxa"/>
          </w:tcPr>
          <w:p w14:paraId="47E2E470" w14:textId="48115D2D" w:rsidR="00691C3A" w:rsidRPr="006571DA" w:rsidRDefault="00691C3A" w:rsidP="00691C3A">
            <w:pPr>
              <w:pStyle w:val="tabletext"/>
            </w:pPr>
            <w:r>
              <w:rPr>
                <w:i/>
                <w:iCs/>
                <w:szCs w:val="22"/>
              </w:rPr>
              <w:t>Health Insurance Act 1973</w:t>
            </w:r>
            <w:r>
              <w:rPr>
                <w:i/>
                <w:iCs/>
                <w:sz w:val="23"/>
              </w:rPr>
              <w:t>.</w:t>
            </w:r>
          </w:p>
        </w:tc>
      </w:tr>
      <w:tr w:rsidR="00691C3A" w:rsidRPr="006571DA" w14:paraId="34B29370" w14:textId="77777777" w:rsidTr="00E550BD">
        <w:tc>
          <w:tcPr>
            <w:tcW w:w="2263" w:type="dxa"/>
          </w:tcPr>
          <w:p w14:paraId="569DCC60" w14:textId="7A90D34E" w:rsidR="00691C3A" w:rsidRPr="006571DA" w:rsidRDefault="00691C3A" w:rsidP="00691C3A">
            <w:pPr>
              <w:pStyle w:val="tabletext"/>
            </w:pPr>
            <w:r>
              <w:rPr>
                <w:szCs w:val="22"/>
              </w:rPr>
              <w:t>Vocationally registered (VR)</w:t>
            </w:r>
          </w:p>
        </w:tc>
        <w:tc>
          <w:tcPr>
            <w:tcW w:w="7377" w:type="dxa"/>
          </w:tcPr>
          <w:p w14:paraId="046B4BD9" w14:textId="6C49169C" w:rsidR="006A076C" w:rsidRDefault="00691C3A" w:rsidP="00A65C17">
            <w:pPr>
              <w:pStyle w:val="tabletext"/>
              <w:rPr>
                <w:sz w:val="23"/>
              </w:rPr>
            </w:pPr>
            <w:r>
              <w:rPr>
                <w:sz w:val="23"/>
              </w:rPr>
              <w:t xml:space="preserve">A Vocationally Recognised doctor is a doctor who has obtained Fellowship of a specialist general practice medical college and has been placed on the vocational register or </w:t>
            </w:r>
            <w:proofErr w:type="gramStart"/>
            <w:r>
              <w:rPr>
                <w:sz w:val="23"/>
              </w:rPr>
              <w:t>Fellows</w:t>
            </w:r>
            <w:proofErr w:type="gramEnd"/>
            <w:r>
              <w:rPr>
                <w:sz w:val="23"/>
              </w:rPr>
              <w:t xml:space="preserve"> list held by Medicare:</w:t>
            </w:r>
          </w:p>
          <w:p w14:paraId="68A2BE77" w14:textId="383BBB7D" w:rsidR="006A076C" w:rsidRDefault="00691C3A" w:rsidP="00E550BD">
            <w:pPr>
              <w:pStyle w:val="ListBullet"/>
            </w:pPr>
            <w:r>
              <w:t>as a Fellow of the RACGP; or</w:t>
            </w:r>
          </w:p>
          <w:p w14:paraId="69F6363A" w14:textId="6098F05C" w:rsidR="006A076C" w:rsidRDefault="00691C3A" w:rsidP="00E550BD">
            <w:pPr>
              <w:pStyle w:val="ListBullet"/>
            </w:pPr>
            <w:r>
              <w:t>as a Fellow of ACRRM; or</w:t>
            </w:r>
          </w:p>
          <w:p w14:paraId="5CC92298" w14:textId="0F9F6B71" w:rsidR="006A076C" w:rsidRDefault="00691C3A" w:rsidP="00E550BD">
            <w:pPr>
              <w:pStyle w:val="ListBullet"/>
            </w:pPr>
            <w:r>
              <w:t>based on historical eligibility requirements for the Vocational Register with Medicare.</w:t>
            </w:r>
          </w:p>
          <w:p w14:paraId="7EB65A49" w14:textId="3B9BA301" w:rsidR="00691C3A" w:rsidRPr="006571DA" w:rsidRDefault="00691C3A" w:rsidP="00A65C17">
            <w:pPr>
              <w:pStyle w:val="tabletext"/>
            </w:pPr>
            <w:r>
              <w:rPr>
                <w:sz w:val="23"/>
              </w:rPr>
              <w:t>Vocationally Registered doctors have access to general practice items in the Medicare Benefits Schedule.</w:t>
            </w:r>
          </w:p>
        </w:tc>
      </w:tr>
    </w:tbl>
    <w:p w14:paraId="2B9B32AB" w14:textId="19BCF985" w:rsidR="003D45AF" w:rsidRPr="001D11D1" w:rsidRDefault="003D45AF" w:rsidP="009B65AA">
      <w:pPr>
        <w:pStyle w:val="Heading2Numbered"/>
        <w:numPr>
          <w:ilvl w:val="0"/>
          <w:numId w:val="4"/>
        </w:numPr>
      </w:pPr>
      <w:bookmarkStart w:id="6" w:name="_Toc118975656"/>
      <w:r w:rsidRPr="001D11D1">
        <w:t>Introduction</w:t>
      </w:r>
      <w:bookmarkEnd w:id="4"/>
      <w:bookmarkEnd w:id="6"/>
    </w:p>
    <w:p w14:paraId="7BF3A00F" w14:textId="77777777" w:rsidR="00181A23" w:rsidRDefault="000055EF" w:rsidP="00BB4ABA">
      <w:r w:rsidRPr="00AF5E0D">
        <w:t xml:space="preserve">The More Doctors for Rural Australia Program (MDRAP) </w:t>
      </w:r>
      <w:r w:rsidR="00376DA5" w:rsidRPr="00AF5E0D">
        <w:t>support</w:t>
      </w:r>
      <w:r w:rsidR="005B526E" w:rsidRPr="00AF5E0D">
        <w:t>s</w:t>
      </w:r>
      <w:r w:rsidR="00376DA5" w:rsidRPr="00AF5E0D">
        <w:t xml:space="preserve"> non-vocationally recognised (non-VR) doctors to</w:t>
      </w:r>
      <w:r w:rsidR="001C39CD">
        <w:t xml:space="preserve"> </w:t>
      </w:r>
      <w:r w:rsidR="001C39CD" w:rsidRPr="00AF5E0D">
        <w:t>gain valuable general practice experience in rural and remote communities</w:t>
      </w:r>
      <w:r w:rsidR="001C39CD">
        <w:t xml:space="preserve"> prior to </w:t>
      </w:r>
      <w:r w:rsidR="00376DA5" w:rsidRPr="00AF5E0D">
        <w:t>join</w:t>
      </w:r>
      <w:r w:rsidR="001C39CD">
        <w:t>ing</w:t>
      </w:r>
      <w:r w:rsidR="00376DA5" w:rsidRPr="00AF5E0D">
        <w:t xml:space="preserve"> a college fellowship</w:t>
      </w:r>
      <w:r w:rsidR="00B46F60" w:rsidRPr="00AF5E0D">
        <w:t xml:space="preserve"> pathway</w:t>
      </w:r>
      <w:r w:rsidR="005B526E" w:rsidRPr="00AF5E0D">
        <w:t>.</w:t>
      </w:r>
      <w:r w:rsidR="00BB4ABA">
        <w:t xml:space="preserve"> </w:t>
      </w:r>
      <w:r w:rsidR="000E3070">
        <w:t xml:space="preserve">The MDRAP also supports junior doctors and locums </w:t>
      </w:r>
      <w:r w:rsidR="00DF6B55">
        <w:t>providing services in</w:t>
      </w:r>
      <w:r w:rsidR="000E3070">
        <w:t xml:space="preserve"> rural and remote communities.</w:t>
      </w:r>
    </w:p>
    <w:p w14:paraId="4C506CC3" w14:textId="77777777" w:rsidR="00545A99" w:rsidRDefault="00545A99" w:rsidP="00545A99">
      <w:pPr>
        <w:rPr>
          <w:rFonts w:ascii="Calibri" w:hAnsi="Calibri" w:cs="Calibri"/>
        </w:rPr>
      </w:pPr>
      <w:r>
        <w:t>The MDRAP Support Package will enhance the implementation of the MDRAP by providing funding to support supervision and education for MDRAP doctors. MDRAP doctors will be provided with tailored learning and supervision to meet their needs and that of their region. This will ensure the safe delivery and quality of care is of the highest standard.</w:t>
      </w:r>
    </w:p>
    <w:p w14:paraId="446964DC" w14:textId="77777777" w:rsidR="00545A99" w:rsidRPr="00A74185" w:rsidRDefault="00545A99" w:rsidP="00545A99">
      <w:pPr>
        <w:pStyle w:val="Default"/>
        <w:rPr>
          <w:sz w:val="22"/>
          <w:szCs w:val="22"/>
        </w:rPr>
      </w:pPr>
      <w:r w:rsidRPr="00A74185">
        <w:rPr>
          <w:sz w:val="22"/>
          <w:szCs w:val="22"/>
        </w:rPr>
        <w:t xml:space="preserve">The intended outcomes of the MDRAP Support Package are to: </w:t>
      </w:r>
    </w:p>
    <w:p w14:paraId="1A4F149B" w14:textId="77777777" w:rsidR="00545A99" w:rsidRPr="00A74185" w:rsidRDefault="00545A99" w:rsidP="00E550BD">
      <w:pPr>
        <w:pStyle w:val="ListBullet"/>
      </w:pPr>
      <w:r w:rsidRPr="00A74185">
        <w:t xml:space="preserve">provide a safe practice environment for doctors participating on the </w:t>
      </w:r>
      <w:proofErr w:type="gramStart"/>
      <w:r w:rsidRPr="00A74185">
        <w:t>program;</w:t>
      </w:r>
      <w:proofErr w:type="gramEnd"/>
      <w:r w:rsidRPr="00A74185">
        <w:t xml:space="preserve"> </w:t>
      </w:r>
    </w:p>
    <w:p w14:paraId="66D63920" w14:textId="77777777" w:rsidR="00545A99" w:rsidRPr="00A74185" w:rsidRDefault="00545A99" w:rsidP="00E550BD">
      <w:pPr>
        <w:pStyle w:val="ListBullet"/>
      </w:pPr>
      <w:r w:rsidRPr="00C30625">
        <w:t xml:space="preserve">foster interest in general practice fellowship </w:t>
      </w:r>
      <w:proofErr w:type="gramStart"/>
      <w:r w:rsidRPr="00C30625">
        <w:t>pathways;</w:t>
      </w:r>
      <w:proofErr w:type="gramEnd"/>
      <w:r w:rsidRPr="00A74185">
        <w:t xml:space="preserve"> </w:t>
      </w:r>
    </w:p>
    <w:p w14:paraId="435A7104" w14:textId="77777777" w:rsidR="00545A99" w:rsidRPr="00A74185" w:rsidRDefault="00545A99" w:rsidP="00E550BD">
      <w:pPr>
        <w:pStyle w:val="ListBullet"/>
      </w:pPr>
      <w:r w:rsidRPr="00A74185">
        <w:t xml:space="preserve">increase participation of doctors and practices in the MDRAP program; and </w:t>
      </w:r>
    </w:p>
    <w:p w14:paraId="7FAE91F9" w14:textId="77777777" w:rsidR="00545A99" w:rsidRPr="00A464FE" w:rsidRDefault="00545A99" w:rsidP="00E550BD">
      <w:pPr>
        <w:pStyle w:val="ListBullet"/>
      </w:pPr>
      <w:r w:rsidRPr="00A74185">
        <w:t>ensure practices support doctors with supervision requirements and provide access to appropriate training modules.</w:t>
      </w:r>
      <w:r w:rsidRPr="00A464FE">
        <w:t xml:space="preserve"> </w:t>
      </w:r>
    </w:p>
    <w:p w14:paraId="7DB685E0" w14:textId="77777777" w:rsidR="00D353E8" w:rsidRDefault="00D353E8">
      <w:pPr>
        <w:spacing w:before="0" w:after="200" w:line="276" w:lineRule="auto"/>
      </w:pPr>
      <w:bookmarkStart w:id="7" w:name="_Toc494290488"/>
      <w:bookmarkEnd w:id="7"/>
      <w:r>
        <w:br w:type="page"/>
      </w:r>
    </w:p>
    <w:p w14:paraId="6722F065" w14:textId="52CF81E1" w:rsidR="000E3070" w:rsidRPr="00A464FE" w:rsidRDefault="000E3070" w:rsidP="000E3070">
      <w:r w:rsidRPr="00A464FE">
        <w:lastRenderedPageBreak/>
        <w:t xml:space="preserve">The Royal Australian College of General Practitioners (RACGP) and the Australian College of Rural and Remote Medicine (ACRRM) offer pathways to general practice fellowship. For some doctors, the MDRAP will be the first step to joining a college fellowship pathway, providing general practice experience while </w:t>
      </w:r>
      <w:r w:rsidR="00DF6B55" w:rsidRPr="00A464FE">
        <w:t xml:space="preserve">participating </w:t>
      </w:r>
      <w:r w:rsidRPr="00A464FE">
        <w:t>in selection processes.</w:t>
      </w:r>
    </w:p>
    <w:p w14:paraId="426D451B" w14:textId="2791EF66" w:rsidR="000E3070" w:rsidRPr="00A464FE" w:rsidRDefault="000E3070" w:rsidP="004E5081">
      <w:r w:rsidRPr="00A464FE">
        <w:t xml:space="preserve">Section 3GA of the </w:t>
      </w:r>
      <w:r w:rsidRPr="00A464FE">
        <w:rPr>
          <w:bCs/>
          <w:i/>
          <w:iCs/>
        </w:rPr>
        <w:t>Health Insurance Act 1973</w:t>
      </w:r>
      <w:r w:rsidRPr="00A464FE">
        <w:t xml:space="preserve"> (the Act) grants Medicare access to doctors who participate in an approved workforce or training program.  </w:t>
      </w:r>
      <w:r w:rsidR="0095490E" w:rsidRPr="00A464FE">
        <w:t xml:space="preserve">The MDRAP is </w:t>
      </w:r>
      <w:r w:rsidRPr="00A464FE">
        <w:t>listed in</w:t>
      </w:r>
      <w:r w:rsidR="0095490E" w:rsidRPr="00A464FE">
        <w:t xml:space="preserve"> the </w:t>
      </w:r>
      <w:r w:rsidR="0095490E" w:rsidRPr="00A464FE">
        <w:rPr>
          <w:bCs/>
          <w:i/>
          <w:iCs/>
        </w:rPr>
        <w:t>Health Insurance Regulations 2018</w:t>
      </w:r>
      <w:r w:rsidRPr="00A464FE">
        <w:t xml:space="preserve"> (the Regulations)</w:t>
      </w:r>
      <w:r w:rsidR="0095490E" w:rsidRPr="00A464FE">
        <w:t xml:space="preserve"> as an approved program under 3GA of the Act</w:t>
      </w:r>
      <w:r w:rsidR="003836A6" w:rsidRPr="00A464FE">
        <w:t xml:space="preserve">.  Rural Workforce Agencies </w:t>
      </w:r>
      <w:r w:rsidR="00E073DC" w:rsidRPr="00A464FE">
        <w:t xml:space="preserve">(RWAs) </w:t>
      </w:r>
      <w:r w:rsidR="003836A6" w:rsidRPr="00A464FE">
        <w:t>have</w:t>
      </w:r>
      <w:r w:rsidR="0095490E" w:rsidRPr="00A464FE">
        <w:t xml:space="preserve"> delegated authority as the Specified Body</w:t>
      </w:r>
      <w:r w:rsidRPr="00A464FE">
        <w:t xml:space="preserve"> to administer the MDRAP</w:t>
      </w:r>
      <w:r w:rsidR="003836A6" w:rsidRPr="00A464FE">
        <w:t xml:space="preserve"> on behalf of the Department of Health</w:t>
      </w:r>
      <w:r w:rsidR="0067651C">
        <w:t xml:space="preserve"> and Aged Care</w:t>
      </w:r>
      <w:r w:rsidR="004D0828">
        <w:t xml:space="preserve"> (the Department)</w:t>
      </w:r>
      <w:r w:rsidR="00ED5EA6" w:rsidRPr="00A464FE">
        <w:t>.</w:t>
      </w:r>
    </w:p>
    <w:p w14:paraId="750104A8" w14:textId="77777777" w:rsidR="006F46AB" w:rsidRPr="00A464FE" w:rsidRDefault="0095490E" w:rsidP="004E5081">
      <w:r w:rsidRPr="00A464FE">
        <w:t xml:space="preserve">MDRAP participants will </w:t>
      </w:r>
      <w:r w:rsidR="00847EC0" w:rsidRPr="00A464FE">
        <w:t xml:space="preserve">be </w:t>
      </w:r>
      <w:r w:rsidRPr="00A464FE">
        <w:t>able to access items in the Medicare Benefits Schedule (MBS) for medical practitioners (</w:t>
      </w:r>
      <w:proofErr w:type="gramStart"/>
      <w:r w:rsidRPr="00A464FE">
        <w:t>e.g.</w:t>
      </w:r>
      <w:proofErr w:type="gramEnd"/>
      <w:r w:rsidRPr="00A464FE">
        <w:t xml:space="preserve"> Group A7</w:t>
      </w:r>
      <w:r w:rsidR="00DF6B55" w:rsidRPr="00A464FE">
        <w:t>, A2 and some A11</w:t>
      </w:r>
      <w:r w:rsidR="00B26B52" w:rsidRPr="00A464FE">
        <w:t xml:space="preserve">). </w:t>
      </w:r>
      <w:r w:rsidR="006F46AB" w:rsidRPr="00A464FE">
        <w:t xml:space="preserve">Section 3GA of the </w:t>
      </w:r>
      <w:r w:rsidR="006F46AB" w:rsidRPr="00A464FE">
        <w:rPr>
          <w:bCs/>
          <w:i/>
          <w:iCs/>
        </w:rPr>
        <w:t>Health Insurance Act 1973</w:t>
      </w:r>
      <w:r w:rsidR="006F46AB" w:rsidRPr="00A464FE">
        <w:t xml:space="preserve"> (the Act)</w:t>
      </w:r>
      <w:r w:rsidR="000E3070" w:rsidRPr="00A464FE">
        <w:t xml:space="preserve"> also</w:t>
      </w:r>
      <w:r w:rsidR="006F46AB" w:rsidRPr="00A464FE">
        <w:t xml:space="preserve"> provides the legislative framework for the </w:t>
      </w:r>
      <w:r w:rsidR="001150C9" w:rsidRPr="00A464FE">
        <w:t>Services Australia</w:t>
      </w:r>
      <w:r w:rsidR="006F46AB" w:rsidRPr="00A464FE">
        <w:t xml:space="preserve"> to place doctors on the Register of Appro</w:t>
      </w:r>
      <w:r w:rsidR="00BB4ABA" w:rsidRPr="00A464FE">
        <w:t>ved Placements (the Register).</w:t>
      </w:r>
    </w:p>
    <w:p w14:paraId="431C97CB" w14:textId="77777777" w:rsidR="00C04445" w:rsidRPr="001D11D1" w:rsidRDefault="003D45AF" w:rsidP="009B65AA">
      <w:pPr>
        <w:pStyle w:val="Heading2Numbered"/>
        <w:numPr>
          <w:ilvl w:val="0"/>
          <w:numId w:val="4"/>
        </w:numPr>
      </w:pPr>
      <w:bookmarkStart w:id="8" w:name="_Toc118975657"/>
      <w:r w:rsidRPr="001D11D1">
        <w:t>Eligibility</w:t>
      </w:r>
      <w:bookmarkEnd w:id="8"/>
    </w:p>
    <w:p w14:paraId="3AF81CD7" w14:textId="77777777" w:rsidR="002940E5" w:rsidRPr="00AF5E0D" w:rsidRDefault="002940E5" w:rsidP="00AF5E0D">
      <w:pPr>
        <w:rPr>
          <w:rFonts w:asciiTheme="minorHAnsi" w:hAnsiTheme="minorHAnsi" w:cstheme="minorHAnsi"/>
          <w:szCs w:val="22"/>
        </w:rPr>
      </w:pPr>
      <w:r w:rsidRPr="00AF5E0D">
        <w:rPr>
          <w:rFonts w:asciiTheme="minorHAnsi" w:hAnsiTheme="minorHAnsi" w:cstheme="minorHAnsi"/>
          <w:szCs w:val="22"/>
        </w:rPr>
        <w:t>MDRAP placements are location specific</w:t>
      </w:r>
      <w:r w:rsidR="00480F12">
        <w:rPr>
          <w:rFonts w:asciiTheme="minorHAnsi" w:hAnsiTheme="minorHAnsi" w:cstheme="minorHAnsi"/>
          <w:szCs w:val="22"/>
        </w:rPr>
        <w:t>.</w:t>
      </w:r>
      <w:r w:rsidRPr="00AF5E0D">
        <w:rPr>
          <w:rFonts w:asciiTheme="minorHAnsi" w:hAnsiTheme="minorHAnsi" w:cstheme="minorHAnsi"/>
          <w:szCs w:val="22"/>
        </w:rPr>
        <w:t xml:space="preserve"> </w:t>
      </w:r>
      <w:r w:rsidR="00480F12">
        <w:rPr>
          <w:rFonts w:asciiTheme="minorHAnsi" w:hAnsiTheme="minorHAnsi" w:cstheme="minorHAnsi"/>
          <w:szCs w:val="22"/>
        </w:rPr>
        <w:t>A</w:t>
      </w:r>
      <w:r w:rsidRPr="00AF5E0D">
        <w:rPr>
          <w:rFonts w:asciiTheme="minorHAnsi" w:hAnsiTheme="minorHAnsi" w:cstheme="minorHAnsi"/>
          <w:szCs w:val="22"/>
        </w:rPr>
        <w:t xml:space="preserve">pplicants and locations must meet the eligibility criteria set out in these guidelines to be </w:t>
      </w:r>
      <w:r w:rsidR="00ED5EA6">
        <w:rPr>
          <w:rFonts w:asciiTheme="minorHAnsi" w:hAnsiTheme="minorHAnsi" w:cstheme="minorHAnsi"/>
          <w:szCs w:val="22"/>
        </w:rPr>
        <w:t>granted an approved placement.</w:t>
      </w:r>
    </w:p>
    <w:p w14:paraId="5B7732A1" w14:textId="77777777" w:rsidR="00DA2F7E" w:rsidRPr="00AF5E0D" w:rsidRDefault="00C8439A" w:rsidP="00AF5E0D">
      <w:pPr>
        <w:rPr>
          <w:rFonts w:asciiTheme="minorHAnsi" w:hAnsiTheme="minorHAnsi" w:cstheme="minorHAnsi"/>
          <w:szCs w:val="22"/>
        </w:rPr>
      </w:pPr>
      <w:r w:rsidRPr="00AF5E0D">
        <w:rPr>
          <w:rFonts w:asciiTheme="minorHAnsi" w:hAnsiTheme="minorHAnsi" w:cstheme="minorHAnsi"/>
          <w:szCs w:val="22"/>
        </w:rPr>
        <w:t xml:space="preserve">The MDRAP is open to </w:t>
      </w:r>
      <w:r>
        <w:rPr>
          <w:rFonts w:asciiTheme="minorHAnsi" w:hAnsiTheme="minorHAnsi" w:cstheme="minorHAnsi"/>
          <w:szCs w:val="22"/>
        </w:rPr>
        <w:t xml:space="preserve">doctors who are </w:t>
      </w:r>
      <w:r w:rsidRPr="00AF5E0D">
        <w:rPr>
          <w:rFonts w:asciiTheme="minorHAnsi" w:hAnsiTheme="minorHAnsi" w:cstheme="minorHAnsi"/>
          <w:szCs w:val="22"/>
        </w:rPr>
        <w:t xml:space="preserve">Australian citizens, permanent </w:t>
      </w:r>
      <w:proofErr w:type="gramStart"/>
      <w:r w:rsidRPr="00AF5E0D">
        <w:rPr>
          <w:rFonts w:asciiTheme="minorHAnsi" w:hAnsiTheme="minorHAnsi" w:cstheme="minorHAnsi"/>
          <w:szCs w:val="22"/>
        </w:rPr>
        <w:t>re</w:t>
      </w:r>
      <w:r>
        <w:rPr>
          <w:rFonts w:asciiTheme="minorHAnsi" w:hAnsiTheme="minorHAnsi" w:cstheme="minorHAnsi"/>
          <w:szCs w:val="22"/>
        </w:rPr>
        <w:t>sidents</w:t>
      </w:r>
      <w:proofErr w:type="gramEnd"/>
      <w:r>
        <w:rPr>
          <w:rFonts w:asciiTheme="minorHAnsi" w:hAnsiTheme="minorHAnsi" w:cstheme="minorHAnsi"/>
          <w:szCs w:val="22"/>
        </w:rPr>
        <w:t xml:space="preserve"> and temporary residents.  </w:t>
      </w:r>
      <w:r w:rsidR="00650D1F">
        <w:rPr>
          <w:rFonts w:asciiTheme="minorHAnsi" w:hAnsiTheme="minorHAnsi" w:cstheme="minorHAnsi"/>
          <w:szCs w:val="22"/>
        </w:rPr>
        <w:t>Eligible applicants</w:t>
      </w:r>
      <w:r w:rsidR="00861425" w:rsidRPr="00AF5E0D">
        <w:rPr>
          <w:rFonts w:asciiTheme="minorHAnsi" w:hAnsiTheme="minorHAnsi" w:cstheme="minorHAnsi"/>
          <w:szCs w:val="22"/>
        </w:rPr>
        <w:t xml:space="preserve"> for the MDRAP fall into the following categories:</w:t>
      </w:r>
    </w:p>
    <w:p w14:paraId="06DE321E" w14:textId="77777777" w:rsidR="00861425" w:rsidRPr="00B26B52" w:rsidRDefault="001651A0" w:rsidP="00E550BD">
      <w:pPr>
        <w:pStyle w:val="ListNumber"/>
      </w:pPr>
      <w:r w:rsidRPr="00B26B52">
        <w:t xml:space="preserve">doctors </w:t>
      </w:r>
      <w:r w:rsidR="00323E9D" w:rsidRPr="00B26B52">
        <w:t xml:space="preserve">with prior general practice </w:t>
      </w:r>
      <w:proofErr w:type="gramStart"/>
      <w:r w:rsidR="00323E9D" w:rsidRPr="00B26B52">
        <w:t>experience</w:t>
      </w:r>
      <w:r w:rsidR="00650D1F" w:rsidRPr="00B26B52">
        <w:t>;</w:t>
      </w:r>
      <w:proofErr w:type="gramEnd"/>
    </w:p>
    <w:p w14:paraId="15356465" w14:textId="77777777" w:rsidR="00861425" w:rsidRPr="00B26B52" w:rsidRDefault="001651A0" w:rsidP="00E550BD">
      <w:pPr>
        <w:pStyle w:val="ListNumber"/>
      </w:pPr>
      <w:r w:rsidRPr="00B26B52">
        <w:t xml:space="preserve">doctors </w:t>
      </w:r>
      <w:r w:rsidR="00323E9D" w:rsidRPr="00B26B52">
        <w:t xml:space="preserve">without prior general practice </w:t>
      </w:r>
      <w:proofErr w:type="gramStart"/>
      <w:r w:rsidR="00323E9D" w:rsidRPr="00B26B52">
        <w:t>experience</w:t>
      </w:r>
      <w:r w:rsidR="00650D1F" w:rsidRPr="00B26B52">
        <w:t>;</w:t>
      </w:r>
      <w:proofErr w:type="gramEnd"/>
    </w:p>
    <w:p w14:paraId="3C5932B6" w14:textId="77777777" w:rsidR="00323E9D" w:rsidRPr="00B26B52" w:rsidRDefault="001651A0" w:rsidP="00E550BD">
      <w:pPr>
        <w:pStyle w:val="ListNumber"/>
      </w:pPr>
      <w:r w:rsidRPr="00B26B52">
        <w:t>d</w:t>
      </w:r>
      <w:r w:rsidR="00D7312F" w:rsidRPr="00B26B52">
        <w:t>octors</w:t>
      </w:r>
      <w:r w:rsidR="00323E9D" w:rsidRPr="00B26B52">
        <w:t xml:space="preserve"> providing locum services</w:t>
      </w:r>
      <w:r w:rsidR="005B7B77" w:rsidRPr="00B26B52">
        <w:t xml:space="preserve"> (some requirements will be based on prior general practice experience)</w:t>
      </w:r>
      <w:r w:rsidR="00650D1F" w:rsidRPr="00B26B52">
        <w:t>; or</w:t>
      </w:r>
    </w:p>
    <w:p w14:paraId="44FB368D" w14:textId="77777777" w:rsidR="005B7B77" w:rsidRPr="00B26B52" w:rsidRDefault="001651A0" w:rsidP="00E550BD">
      <w:pPr>
        <w:pStyle w:val="ListNumber"/>
      </w:pPr>
      <w:r w:rsidRPr="00B26B52">
        <w:t>j</w:t>
      </w:r>
      <w:r w:rsidR="00323E9D" w:rsidRPr="00B26B52">
        <w:t xml:space="preserve">unior </w:t>
      </w:r>
      <w:r w:rsidR="00650D1F" w:rsidRPr="00B26B52">
        <w:t xml:space="preserve">doctors </w:t>
      </w:r>
      <w:r w:rsidR="00323E9D" w:rsidRPr="00B26B52">
        <w:t>gaining exposure to general practice</w:t>
      </w:r>
      <w:r w:rsidR="00650D1F" w:rsidRPr="00B26B52">
        <w:t>.</w:t>
      </w:r>
    </w:p>
    <w:p w14:paraId="74688F2B" w14:textId="77777777" w:rsidR="002940E5" w:rsidRDefault="005B7B77" w:rsidP="00AF5E0D">
      <w:pPr>
        <w:rPr>
          <w:rFonts w:asciiTheme="minorHAnsi" w:hAnsiTheme="minorHAnsi" w:cstheme="minorHAnsi"/>
          <w:szCs w:val="22"/>
        </w:rPr>
      </w:pPr>
      <w:r>
        <w:rPr>
          <w:rFonts w:asciiTheme="minorHAnsi" w:hAnsiTheme="minorHAnsi" w:cstheme="minorHAnsi"/>
          <w:szCs w:val="22"/>
        </w:rPr>
        <w:t>All doctors are subject to the same basic eligibility criteria however the length of placement, education and fellowship application requireme</w:t>
      </w:r>
      <w:r w:rsidR="00ED5EA6">
        <w:rPr>
          <w:rFonts w:asciiTheme="minorHAnsi" w:hAnsiTheme="minorHAnsi" w:cstheme="minorHAnsi"/>
          <w:szCs w:val="22"/>
        </w:rPr>
        <w:t>nts vary depending on category.</w:t>
      </w:r>
    </w:p>
    <w:p w14:paraId="6A495D8E" w14:textId="77777777" w:rsidR="0098485C" w:rsidRPr="00ED5EA6" w:rsidRDefault="00861425" w:rsidP="00FD1608">
      <w:pPr>
        <w:pStyle w:val="Heading3Numbered"/>
      </w:pPr>
      <w:bookmarkStart w:id="9" w:name="_Toc14857640"/>
      <w:bookmarkStart w:id="10" w:name="_Toc118975658"/>
      <w:r w:rsidRPr="001B213E">
        <w:t>Eligibility</w:t>
      </w:r>
      <w:r w:rsidRPr="00ED5EA6">
        <w:t xml:space="preserve"> criteria</w:t>
      </w:r>
      <w:bookmarkEnd w:id="9"/>
      <w:bookmarkEnd w:id="10"/>
    </w:p>
    <w:p w14:paraId="1B96F105" w14:textId="77777777" w:rsidR="00861425" w:rsidRPr="00AF5E0D" w:rsidRDefault="00323E9D" w:rsidP="00ED5EA6">
      <w:r w:rsidRPr="00AF5E0D">
        <w:t>To be eligible for a</w:t>
      </w:r>
      <w:r w:rsidR="001049D7">
        <w:t>n</w:t>
      </w:r>
      <w:r w:rsidRPr="00AF5E0D">
        <w:t xml:space="preserve"> MDRAP placement </w:t>
      </w:r>
      <w:r w:rsidRPr="004D3093">
        <w:rPr>
          <w:b/>
        </w:rPr>
        <w:t>all</w:t>
      </w:r>
      <w:r w:rsidRPr="00AF5E0D">
        <w:t xml:space="preserve"> doctors must meet the following criteria:</w:t>
      </w:r>
    </w:p>
    <w:p w14:paraId="08A91DE4" w14:textId="77777777" w:rsidR="00323E9D" w:rsidRPr="001B213E" w:rsidRDefault="00650D1F" w:rsidP="00E550BD">
      <w:pPr>
        <w:pStyle w:val="ListBullet"/>
      </w:pPr>
      <w:r>
        <w:t>h</w:t>
      </w:r>
      <w:r w:rsidR="005A31F6" w:rsidRPr="00AF5E0D">
        <w:t xml:space="preserve">old </w:t>
      </w:r>
      <w:r w:rsidR="005A31F6" w:rsidRPr="001B213E">
        <w:t xml:space="preserve">current registration with the Medical Board of </w:t>
      </w:r>
      <w:proofErr w:type="gramStart"/>
      <w:r w:rsidR="005A31F6" w:rsidRPr="001B213E">
        <w:t>Australia</w:t>
      </w:r>
      <w:r w:rsidRPr="001B213E">
        <w:t>;</w:t>
      </w:r>
      <w:proofErr w:type="gramEnd"/>
    </w:p>
    <w:p w14:paraId="5AEC7BD5" w14:textId="77777777" w:rsidR="005A31F6" w:rsidRPr="001B213E" w:rsidRDefault="00650D1F" w:rsidP="00E550BD">
      <w:pPr>
        <w:pStyle w:val="ListBullet"/>
      </w:pPr>
      <w:r w:rsidRPr="001B213E">
        <w:t>h</w:t>
      </w:r>
      <w:r w:rsidR="005A31F6" w:rsidRPr="001B213E">
        <w:t xml:space="preserve">ave an offer of employment and have the necessary skills and experience to perform the </w:t>
      </w:r>
      <w:proofErr w:type="gramStart"/>
      <w:r w:rsidR="005A31F6" w:rsidRPr="001B213E">
        <w:t>role</w:t>
      </w:r>
      <w:r w:rsidRPr="001B213E">
        <w:t>;</w:t>
      </w:r>
      <w:proofErr w:type="gramEnd"/>
    </w:p>
    <w:p w14:paraId="3D578993" w14:textId="77777777" w:rsidR="00135536" w:rsidRPr="001B213E" w:rsidRDefault="00650D1F" w:rsidP="00E550BD">
      <w:pPr>
        <w:pStyle w:val="ListBullet"/>
      </w:pPr>
      <w:r w:rsidRPr="001B213E">
        <w:t>p</w:t>
      </w:r>
      <w:r w:rsidR="00135536" w:rsidRPr="001B213E">
        <w:t xml:space="preserve">rovide evidence </w:t>
      </w:r>
      <w:r w:rsidR="009E48FF" w:rsidRPr="001B213E">
        <w:t>of</w:t>
      </w:r>
      <w:r w:rsidR="00135536" w:rsidRPr="001B213E">
        <w:t xml:space="preserve"> appro</w:t>
      </w:r>
      <w:r w:rsidR="009E48FF" w:rsidRPr="001B213E">
        <w:t xml:space="preserve">priate support in place to </w:t>
      </w:r>
      <w:r w:rsidR="00135536" w:rsidRPr="001B213E">
        <w:t xml:space="preserve">meet supervision requirements if </w:t>
      </w:r>
      <w:proofErr w:type="gramStart"/>
      <w:r w:rsidR="00135536" w:rsidRPr="001B213E">
        <w:t>applicable</w:t>
      </w:r>
      <w:r w:rsidRPr="001B213E">
        <w:t>;</w:t>
      </w:r>
      <w:proofErr w:type="gramEnd"/>
    </w:p>
    <w:p w14:paraId="62459528" w14:textId="77777777" w:rsidR="005A31F6" w:rsidRPr="001B213E" w:rsidRDefault="00650D1F" w:rsidP="00E550BD">
      <w:pPr>
        <w:pStyle w:val="ListBullet"/>
      </w:pPr>
      <w:r w:rsidRPr="001B213E">
        <w:t>t</w:t>
      </w:r>
      <w:r w:rsidR="005A31F6" w:rsidRPr="001B213E">
        <w:t>ake active st</w:t>
      </w:r>
      <w:r w:rsidR="00D952AF" w:rsidRPr="001B213E">
        <w:t xml:space="preserve">eps to join a college </w:t>
      </w:r>
      <w:r w:rsidR="005A31F6" w:rsidRPr="001B213E">
        <w:t>pathway within the defined period</w:t>
      </w:r>
      <w:r w:rsidRPr="001B213E">
        <w:t>; and</w:t>
      </w:r>
    </w:p>
    <w:p w14:paraId="227807AF" w14:textId="77777777" w:rsidR="005A31F6" w:rsidRDefault="00650D1F" w:rsidP="00E550BD">
      <w:pPr>
        <w:pStyle w:val="ListBullet"/>
      </w:pPr>
      <w:r w:rsidRPr="001B213E">
        <w:t>u</w:t>
      </w:r>
      <w:r w:rsidR="005A31F6" w:rsidRPr="001B213E">
        <w:t>ndertake</w:t>
      </w:r>
      <w:r w:rsidR="00135536" w:rsidRPr="001B213E">
        <w:t xml:space="preserve"> general practice</w:t>
      </w:r>
      <w:r w:rsidR="005A31F6" w:rsidRPr="00AF5E0D">
        <w:t xml:space="preserve"> </w:t>
      </w:r>
      <w:r w:rsidR="00135536" w:rsidRPr="00AF5E0D">
        <w:t>prof</w:t>
      </w:r>
      <w:r>
        <w:t>essional development activities.</w:t>
      </w:r>
    </w:p>
    <w:p w14:paraId="71CB8A7B" w14:textId="77777777" w:rsidR="00ED5EA6" w:rsidRDefault="00C23B2F" w:rsidP="00ED5EA6">
      <w:r w:rsidRPr="004E5081">
        <w:t>Doctors who have</w:t>
      </w:r>
      <w:r w:rsidR="004F4F3C">
        <w:t xml:space="preserve"> participated in </w:t>
      </w:r>
      <w:r w:rsidRPr="004E5081">
        <w:t xml:space="preserve">a </w:t>
      </w:r>
      <w:proofErr w:type="gramStart"/>
      <w:r w:rsidRPr="004E5081">
        <w:t>College</w:t>
      </w:r>
      <w:proofErr w:type="gramEnd"/>
      <w:r w:rsidRPr="004E5081">
        <w:t xml:space="preserve"> led general practice training program (</w:t>
      </w:r>
      <w:r w:rsidR="00F74563" w:rsidRPr="004E5081">
        <w:t>i.e.</w:t>
      </w:r>
      <w:r w:rsidRPr="004E5081">
        <w:t xml:space="preserve"> the Australian General Practice Training Program, the Independent Pathway offered by ACRRM, the Remote Vocational Training Scheme or the RACGP’s Practice Experience Program) </w:t>
      </w:r>
      <w:r w:rsidR="00582032">
        <w:t xml:space="preserve">and have not attained fellowship </w:t>
      </w:r>
      <w:r w:rsidR="0082290E">
        <w:t xml:space="preserve">may not </w:t>
      </w:r>
      <w:r w:rsidR="00F74563">
        <w:t xml:space="preserve">be </w:t>
      </w:r>
      <w:r w:rsidR="00F74563" w:rsidRPr="004E5081">
        <w:t>eligible</w:t>
      </w:r>
      <w:r w:rsidRPr="004E5081">
        <w:t xml:space="preserve"> for MDRAP.</w:t>
      </w:r>
      <w:r w:rsidR="0082290E">
        <w:t xml:space="preserve">  </w:t>
      </w:r>
      <w:r w:rsidR="00582032">
        <w:t>Approval to participate in the MDRAP under this circumstance will be</w:t>
      </w:r>
      <w:r w:rsidR="0082290E">
        <w:t xml:space="preserve"> considered by the RWA on a case-by-case basis.</w:t>
      </w:r>
    </w:p>
    <w:p w14:paraId="288C7C95" w14:textId="77777777" w:rsidR="00582032" w:rsidRDefault="0098700B" w:rsidP="00ED5EA6">
      <w:r w:rsidRPr="004E5081">
        <w:t xml:space="preserve">The length of a doctor’s history of participation in other section 3GA </w:t>
      </w:r>
      <w:r w:rsidR="00C23B2F" w:rsidRPr="004E5081">
        <w:t xml:space="preserve">workforce </w:t>
      </w:r>
      <w:r w:rsidRPr="004E5081">
        <w:t xml:space="preserve">programs will be considered when assessing MDRAP applications.  Doctors who have previously been removed from a 3GA </w:t>
      </w:r>
      <w:r w:rsidR="00C23B2F" w:rsidRPr="004E5081">
        <w:t xml:space="preserve">workforce </w:t>
      </w:r>
      <w:r w:rsidRPr="004E5081">
        <w:t>program may not be eligible for the MDRAP.</w:t>
      </w:r>
      <w:r w:rsidR="00846D92" w:rsidRPr="004E5081">
        <w:t xml:space="preserve">  </w:t>
      </w:r>
    </w:p>
    <w:p w14:paraId="3094292F" w14:textId="77777777" w:rsidR="00C23B2F" w:rsidRDefault="00846D92" w:rsidP="00ED5EA6">
      <w:r w:rsidRPr="004E5081">
        <w:t xml:space="preserve">Doctors previously removed from a 3GA </w:t>
      </w:r>
      <w:r w:rsidR="00C23B2F" w:rsidRPr="004E5081">
        <w:t xml:space="preserve">workforce </w:t>
      </w:r>
      <w:r w:rsidRPr="004E5081">
        <w:t>program will need to supply additional documentation showing progress towards general practice fellowship.</w:t>
      </w:r>
    </w:p>
    <w:p w14:paraId="3EFCCDBC" w14:textId="77777777" w:rsidR="004D1097" w:rsidRPr="00ED5EA6" w:rsidRDefault="004D1097" w:rsidP="00373B0E">
      <w:pPr>
        <w:pStyle w:val="Heading3Numbered"/>
      </w:pPr>
      <w:bookmarkStart w:id="11" w:name="_Toc118975659"/>
      <w:r>
        <w:t>MDRAP Support Package requirements</w:t>
      </w:r>
      <w:bookmarkEnd w:id="11"/>
    </w:p>
    <w:p w14:paraId="036D8117" w14:textId="77777777" w:rsidR="00881B37" w:rsidRDefault="004D1097" w:rsidP="00881B37">
      <w:r>
        <w:t>MDRAP</w:t>
      </w:r>
      <w:r w:rsidR="001F79DE">
        <w:t xml:space="preserve"> practice supervisors</w:t>
      </w:r>
      <w:r>
        <w:t xml:space="preserve"> </w:t>
      </w:r>
      <w:r w:rsidR="001F79DE">
        <w:t xml:space="preserve">and </w:t>
      </w:r>
      <w:r>
        <w:t xml:space="preserve">participants may be eligible for payments to offset the cost of supervision and education. </w:t>
      </w:r>
      <w:r w:rsidR="00881B37">
        <w:t xml:space="preserve">To be considered for a payment you must: </w:t>
      </w:r>
    </w:p>
    <w:p w14:paraId="1AFDF007" w14:textId="77777777" w:rsidR="004031A6" w:rsidRPr="008F2D5D" w:rsidRDefault="004031A6" w:rsidP="00ED5EA6">
      <w:pPr>
        <w:rPr>
          <w:rFonts w:asciiTheme="minorHAnsi" w:hAnsiTheme="minorHAnsi" w:cstheme="minorHAnsi"/>
          <w:b/>
          <w:bCs/>
          <w:color w:val="244061" w:themeColor="accent1" w:themeShade="80"/>
          <w:szCs w:val="22"/>
          <w:lang w:val="en"/>
        </w:rPr>
      </w:pPr>
      <w:r w:rsidRPr="008F2D5D">
        <w:rPr>
          <w:rFonts w:asciiTheme="minorHAnsi" w:hAnsiTheme="minorHAnsi" w:cstheme="minorHAnsi"/>
          <w:b/>
          <w:bCs/>
          <w:color w:val="244061" w:themeColor="accent1" w:themeShade="80"/>
          <w:szCs w:val="22"/>
          <w:lang w:val="en"/>
        </w:rPr>
        <w:t>Participants</w:t>
      </w:r>
    </w:p>
    <w:p w14:paraId="1AEDF784" w14:textId="1900AC92" w:rsidR="00F87786" w:rsidRDefault="007C4D3F" w:rsidP="00E550BD">
      <w:pPr>
        <w:pStyle w:val="ListBullet"/>
      </w:pPr>
      <w:r>
        <w:t>Engage with the RWA to c</w:t>
      </w:r>
      <w:r w:rsidR="008F2D5D">
        <w:t>omplete</w:t>
      </w:r>
      <w:r w:rsidR="007A65CF">
        <w:t xml:space="preserve"> </w:t>
      </w:r>
      <w:r>
        <w:t xml:space="preserve">your </w:t>
      </w:r>
      <w:r w:rsidR="001F79DE">
        <w:t xml:space="preserve">assessment plan </w:t>
      </w:r>
      <w:r w:rsidR="007A65CF">
        <w:t>detailing supervision, training and support required</w:t>
      </w:r>
      <w:r w:rsidR="000F4FCF">
        <w:t>.</w:t>
      </w:r>
    </w:p>
    <w:p w14:paraId="363D348E" w14:textId="7289E0A5" w:rsidR="00F87786" w:rsidRPr="00EC0044" w:rsidRDefault="000F4FCF" w:rsidP="00E550BD">
      <w:pPr>
        <w:pStyle w:val="ListBullet"/>
        <w:rPr>
          <w:rFonts w:asciiTheme="minorHAnsi" w:hAnsiTheme="minorHAnsi" w:cstheme="minorHAnsi"/>
          <w:b/>
          <w:color w:val="244061" w:themeColor="accent1" w:themeShade="80"/>
          <w:lang w:val="en"/>
        </w:rPr>
      </w:pPr>
      <w:r>
        <w:lastRenderedPageBreak/>
        <w:t xml:space="preserve">Adhere to the requirements of MDRAP. </w:t>
      </w:r>
    </w:p>
    <w:p w14:paraId="2E7C12E1" w14:textId="694E9F03" w:rsidR="003E2D98" w:rsidRPr="00F87786" w:rsidRDefault="003E2D98" w:rsidP="00E550BD">
      <w:pPr>
        <w:pStyle w:val="ListBullet"/>
        <w:rPr>
          <w:rFonts w:asciiTheme="minorHAnsi" w:hAnsiTheme="minorHAnsi" w:cstheme="minorHAnsi"/>
          <w:b/>
          <w:bCs/>
          <w:color w:val="244061" w:themeColor="accent1" w:themeShade="80"/>
          <w:lang w:val="en"/>
        </w:rPr>
      </w:pPr>
      <w:r>
        <w:t>Support the preparation of an individual learning plan.</w:t>
      </w:r>
    </w:p>
    <w:p w14:paraId="65160EDD" w14:textId="77777777" w:rsidR="007528F8" w:rsidRDefault="008F2D5D" w:rsidP="008F7BF0">
      <w:pPr>
        <w:rPr>
          <w:rFonts w:asciiTheme="minorHAnsi" w:hAnsiTheme="minorHAnsi" w:cstheme="minorHAnsi"/>
          <w:b/>
          <w:bCs/>
          <w:color w:val="244061" w:themeColor="accent1" w:themeShade="80"/>
          <w:lang w:val="en"/>
        </w:rPr>
      </w:pPr>
      <w:r w:rsidRPr="00F87786">
        <w:rPr>
          <w:rFonts w:asciiTheme="minorHAnsi" w:hAnsiTheme="minorHAnsi" w:cstheme="minorHAnsi"/>
          <w:b/>
          <w:bCs/>
          <w:color w:val="244061" w:themeColor="accent1" w:themeShade="80"/>
          <w:lang w:val="en"/>
        </w:rPr>
        <w:t>RWA</w:t>
      </w:r>
    </w:p>
    <w:p w14:paraId="1A4527FA" w14:textId="77777777" w:rsidR="008F7BF0" w:rsidRDefault="008F7BF0" w:rsidP="008F7BF0">
      <w:r w:rsidRPr="001F06E4">
        <w:t>RWAs complet</w:t>
      </w:r>
      <w:r>
        <w:t xml:space="preserve">e a </w:t>
      </w:r>
      <w:r w:rsidRPr="00297616">
        <w:t>pre-placement review</w:t>
      </w:r>
      <w:r>
        <w:t xml:space="preserve"> and develop an MDRAP assessment plan that outlines the</w:t>
      </w:r>
      <w:r w:rsidR="00286DF6">
        <w:t>:</w:t>
      </w:r>
      <w:r>
        <w:t xml:space="preserve"> </w:t>
      </w:r>
    </w:p>
    <w:p w14:paraId="6A1B66AD" w14:textId="77777777" w:rsidR="008F7BF0" w:rsidRDefault="008F7BF0" w:rsidP="00E550BD">
      <w:pPr>
        <w:pStyle w:val="ListBullet"/>
      </w:pPr>
      <w:r>
        <w:t>supervision and support required</w:t>
      </w:r>
      <w:r w:rsidR="00286DF6">
        <w:t xml:space="preserve">; and </w:t>
      </w:r>
    </w:p>
    <w:p w14:paraId="383EF847" w14:textId="77777777" w:rsidR="008F7BF0" w:rsidRPr="008F7BF0" w:rsidRDefault="008F7BF0" w:rsidP="00E550BD">
      <w:pPr>
        <w:pStyle w:val="ListBullet"/>
      </w:pPr>
      <w:r>
        <w:t>training required</w:t>
      </w:r>
      <w:r w:rsidRPr="008F7BF0">
        <w:t xml:space="preserve"> </w:t>
      </w:r>
    </w:p>
    <w:p w14:paraId="62C7982E" w14:textId="7D056B9E" w:rsidR="008F7BF0" w:rsidRPr="00F74BA6" w:rsidRDefault="005843A9" w:rsidP="00F74BA6">
      <w:r>
        <w:rPr>
          <w:color w:val="000000"/>
          <w:szCs w:val="22"/>
        </w:rPr>
        <w:t>Support the preparation of</w:t>
      </w:r>
      <w:r w:rsidRPr="005A563E">
        <w:rPr>
          <w:color w:val="000000"/>
          <w:szCs w:val="22"/>
        </w:rPr>
        <w:t xml:space="preserve"> </w:t>
      </w:r>
      <w:r w:rsidR="00873CA1" w:rsidRPr="00F74BA6">
        <w:t>an individual learning plan that</w:t>
      </w:r>
      <w:r w:rsidR="00286DF6">
        <w:t>:</w:t>
      </w:r>
    </w:p>
    <w:p w14:paraId="1E25F521" w14:textId="77777777" w:rsidR="00873CA1" w:rsidRPr="00F74BA6" w:rsidRDefault="00873CA1" w:rsidP="00E550BD">
      <w:pPr>
        <w:pStyle w:val="ListBullet"/>
      </w:pPr>
      <w:r w:rsidRPr="00F74BA6">
        <w:t>identifies a doctor’s learning and skill development requirements, taking into consideration length of time of the MDRAP placement</w:t>
      </w:r>
      <w:r w:rsidR="00286DF6">
        <w:t>; and</w:t>
      </w:r>
    </w:p>
    <w:p w14:paraId="3139B35A" w14:textId="53FE7752" w:rsidR="00873CA1" w:rsidRPr="008F7BF0" w:rsidRDefault="00873CA1" w:rsidP="00E550BD">
      <w:pPr>
        <w:pStyle w:val="ListBullet"/>
      </w:pPr>
      <w:r w:rsidRPr="00F74BA6">
        <w:t>consider</w:t>
      </w:r>
      <w:r w:rsidR="005843A9">
        <w:t>s</w:t>
      </w:r>
      <w:r w:rsidRPr="00F74BA6">
        <w:t xml:space="preserve"> the needs of the community in which the MDRAP participant</w:t>
      </w:r>
      <w:r w:rsidRPr="008F7BF0">
        <w:t xml:space="preserve"> is situated.</w:t>
      </w:r>
    </w:p>
    <w:p w14:paraId="0DA25EA9" w14:textId="52215D71" w:rsidR="00B35237" w:rsidRPr="008F2D5D" w:rsidRDefault="00D353E8" w:rsidP="00ED5EA6">
      <w:pPr>
        <w:rPr>
          <w:rFonts w:asciiTheme="minorHAnsi" w:hAnsiTheme="minorHAnsi" w:cstheme="minorHAnsi"/>
          <w:b/>
          <w:bCs/>
          <w:color w:val="244061" w:themeColor="accent1" w:themeShade="80"/>
          <w:szCs w:val="22"/>
          <w:lang w:val="en"/>
        </w:rPr>
      </w:pPr>
      <w:r>
        <w:rPr>
          <w:rFonts w:asciiTheme="minorHAnsi" w:hAnsiTheme="minorHAnsi" w:cstheme="minorHAnsi"/>
          <w:b/>
          <w:bCs/>
          <w:color w:val="244061" w:themeColor="accent1" w:themeShade="80"/>
          <w:szCs w:val="22"/>
          <w:lang w:val="en"/>
        </w:rPr>
        <w:t xml:space="preserve">Medical </w:t>
      </w:r>
      <w:r w:rsidR="00B35237" w:rsidRPr="008F2D5D">
        <w:rPr>
          <w:rFonts w:asciiTheme="minorHAnsi" w:hAnsiTheme="minorHAnsi" w:cstheme="minorHAnsi"/>
          <w:b/>
          <w:bCs/>
          <w:color w:val="244061" w:themeColor="accent1" w:themeShade="80"/>
          <w:szCs w:val="22"/>
          <w:lang w:val="en"/>
        </w:rPr>
        <w:t>Practice</w:t>
      </w:r>
      <w:r w:rsidR="00F74BA6">
        <w:rPr>
          <w:rFonts w:asciiTheme="minorHAnsi" w:hAnsiTheme="minorHAnsi" w:cstheme="minorHAnsi"/>
          <w:b/>
          <w:bCs/>
          <w:color w:val="244061" w:themeColor="accent1" w:themeShade="80"/>
          <w:szCs w:val="22"/>
          <w:lang w:val="en"/>
        </w:rPr>
        <w:t xml:space="preserve"> and supervising doctors</w:t>
      </w:r>
    </w:p>
    <w:p w14:paraId="45B611EE" w14:textId="77777777" w:rsidR="003A13FD" w:rsidRPr="004E5081" w:rsidRDefault="003A13FD" w:rsidP="003A13FD">
      <w:r>
        <w:t>To be eligible for a supervision payment supervisors must enter an agreement with the RWA and meet the supervision and reporting requirements set out in the agreement.</w:t>
      </w:r>
    </w:p>
    <w:p w14:paraId="29164081" w14:textId="77777777" w:rsidR="001F79DE" w:rsidRDefault="009F309D" w:rsidP="00ED5EA6">
      <w:r>
        <w:rPr>
          <w:szCs w:val="22"/>
        </w:rPr>
        <w:t xml:space="preserve">A doctor with no general practice experience would be better supported in an accredited practice. The </w:t>
      </w:r>
      <w:r w:rsidR="008F2D5D">
        <w:rPr>
          <w:szCs w:val="22"/>
        </w:rPr>
        <w:t>RWA</w:t>
      </w:r>
      <w:r>
        <w:rPr>
          <w:szCs w:val="22"/>
        </w:rPr>
        <w:t xml:space="preserve"> must ensure that if a practice is receiving funding from the MDRAP Support Package the practice should provide evidence of general practice accreditation or make a commitment to work towards general practice accreditation.</w:t>
      </w:r>
    </w:p>
    <w:p w14:paraId="28CFCA52" w14:textId="77777777" w:rsidR="009950CD" w:rsidRDefault="009950CD" w:rsidP="009B65AA">
      <w:pPr>
        <w:pStyle w:val="Heading2Numbered"/>
        <w:numPr>
          <w:ilvl w:val="0"/>
          <w:numId w:val="4"/>
        </w:numPr>
      </w:pPr>
      <w:bookmarkStart w:id="12" w:name="_Toc14857641"/>
      <w:bookmarkStart w:id="13" w:name="_Toc118975660"/>
      <w:r>
        <w:t>Supervision</w:t>
      </w:r>
      <w:bookmarkEnd w:id="12"/>
      <w:bookmarkEnd w:id="13"/>
    </w:p>
    <w:p w14:paraId="46916915" w14:textId="14A1D778" w:rsidR="005455C7" w:rsidRDefault="00A40F08" w:rsidP="00776F9E">
      <w:r>
        <w:t xml:space="preserve">MDRAP is for </w:t>
      </w:r>
      <w:proofErr w:type="gramStart"/>
      <w:r>
        <w:t>non VR</w:t>
      </w:r>
      <w:proofErr w:type="gramEnd"/>
      <w:r>
        <w:t xml:space="preserve"> doctors that have varying general practice experience</w:t>
      </w:r>
      <w:r w:rsidR="004C1894">
        <w:t xml:space="preserve">. Depending on a </w:t>
      </w:r>
      <w:proofErr w:type="gramStart"/>
      <w:r w:rsidR="004C1894">
        <w:t>doctors</w:t>
      </w:r>
      <w:proofErr w:type="gramEnd"/>
      <w:r w:rsidR="004C1894">
        <w:t xml:space="preserve"> prior general practice experience, MDRAP participants will have supervision requirements</w:t>
      </w:r>
      <w:r w:rsidR="009C4206">
        <w:t>.</w:t>
      </w:r>
    </w:p>
    <w:p w14:paraId="575EEA1E" w14:textId="77777777" w:rsidR="004C1894" w:rsidRDefault="004C1894" w:rsidP="007069F9">
      <w:pPr>
        <w:pStyle w:val="Heading3Numbered"/>
      </w:pPr>
      <w:bookmarkStart w:id="14" w:name="_Toc118975661"/>
      <w:r>
        <w:t>MDRAP Supervision requirements</w:t>
      </w:r>
      <w:bookmarkEnd w:id="14"/>
    </w:p>
    <w:p w14:paraId="6F4876E8" w14:textId="0F438091" w:rsidR="004C1894" w:rsidRDefault="004C1894" w:rsidP="004C1894">
      <w:r>
        <w:t>A doctor’s supervision requirement is defined in t</w:t>
      </w:r>
      <w:r w:rsidRPr="001B213E">
        <w:t>he Australian Health Practitioner Regulation Agency (AHPRA)</w:t>
      </w:r>
      <w:r w:rsidRPr="005455C7">
        <w:t xml:space="preserve"> </w:t>
      </w:r>
      <w:r>
        <w:t xml:space="preserve">in their </w:t>
      </w:r>
      <w:r w:rsidRPr="001B213E">
        <w:t>supervision standards for international medical graduates</w:t>
      </w:r>
      <w:r>
        <w:t xml:space="preserve">. As such the level of supervision in the MDRAP depends on the </w:t>
      </w:r>
      <w:r w:rsidR="006A45AA">
        <w:t>category</w:t>
      </w:r>
      <w:r>
        <w:t>, and the general practice experience that the participant holds.</w:t>
      </w:r>
    </w:p>
    <w:p w14:paraId="7C0FDB4E" w14:textId="77777777" w:rsidR="00A74185" w:rsidRDefault="00A74185" w:rsidP="00E550BD">
      <w:pPr>
        <w:pStyle w:val="Heading4"/>
      </w:pPr>
      <w:r w:rsidRPr="00AC5FCC">
        <w:t>Doctors without prior general practice experience</w:t>
      </w:r>
    </w:p>
    <w:p w14:paraId="075D3547" w14:textId="77777777" w:rsidR="00A74185" w:rsidRPr="00AF5E0D" w:rsidRDefault="00A74185" w:rsidP="00E550BD">
      <w:r w:rsidRPr="00AF5E0D">
        <w:t>Doctors without prior general practice experience or with less than six months general practice experience must:</w:t>
      </w:r>
    </w:p>
    <w:p w14:paraId="1DD194AD" w14:textId="55A2B129" w:rsidR="00A74185" w:rsidRPr="001B213E" w:rsidRDefault="00A74185" w:rsidP="00E550BD">
      <w:pPr>
        <w:pStyle w:val="ListBullet"/>
      </w:pPr>
      <w:r w:rsidRPr="004E5081">
        <w:t xml:space="preserve">work under </w:t>
      </w:r>
      <w:r w:rsidRPr="001B213E">
        <w:t xml:space="preserve">level one supervision, as defined by </w:t>
      </w:r>
      <w:r w:rsidR="004707DA">
        <w:t>AHPRA</w:t>
      </w:r>
      <w:r w:rsidRPr="001B213E">
        <w:t xml:space="preserve">, for </w:t>
      </w:r>
      <w:r>
        <w:t xml:space="preserve">a minimum of </w:t>
      </w:r>
      <w:proofErr w:type="gramStart"/>
      <w:r w:rsidRPr="007C4D3F">
        <w:t>one month</w:t>
      </w:r>
      <w:proofErr w:type="gramEnd"/>
      <w:r w:rsidRPr="007C4D3F">
        <w:t xml:space="preserve"> full time </w:t>
      </w:r>
      <w:r w:rsidR="002D37ED" w:rsidRPr="007C4D3F">
        <w:t>equivalent</w:t>
      </w:r>
      <w:r w:rsidR="002D37ED">
        <w:t xml:space="preserve"> as</w:t>
      </w:r>
      <w:r>
        <w:t xml:space="preserve"> determined by the RWA’s MDRAP Delegate</w:t>
      </w:r>
      <w:r w:rsidRPr="001B213E">
        <w:t>; and</w:t>
      </w:r>
    </w:p>
    <w:p w14:paraId="0C4166F3" w14:textId="77777777" w:rsidR="00A74185" w:rsidRPr="004E5081" w:rsidRDefault="00A74185" w:rsidP="00E550BD">
      <w:pPr>
        <w:pStyle w:val="ListBullet"/>
      </w:pPr>
      <w:r>
        <w:t xml:space="preserve">if applicable </w:t>
      </w:r>
      <w:r w:rsidRPr="001B213E">
        <w:t>complete and lodge a “Plan for professional development and re-entry to practice” with AHPRA (as required by the AHPRA recency of practice registration standard</w:t>
      </w:r>
      <w:r w:rsidRPr="004E5081">
        <w:t>).</w:t>
      </w:r>
    </w:p>
    <w:p w14:paraId="4417314C" w14:textId="16D471D6" w:rsidR="008E47C3" w:rsidRPr="008E47C3" w:rsidRDefault="008E47C3" w:rsidP="00E550BD">
      <w:pPr>
        <w:rPr>
          <w:rFonts w:asciiTheme="minorHAnsi" w:hAnsiTheme="minorHAnsi" w:cstheme="minorHAnsi"/>
          <w:szCs w:val="22"/>
        </w:rPr>
      </w:pPr>
      <w:r w:rsidRPr="008E47C3">
        <w:rPr>
          <w:rFonts w:asciiTheme="minorHAnsi" w:hAnsiTheme="minorHAnsi" w:cstheme="minorHAnsi"/>
          <w:szCs w:val="22"/>
        </w:rPr>
        <w:t xml:space="preserve">After the first month the supervisor </w:t>
      </w:r>
      <w:r w:rsidR="0056009B">
        <w:rPr>
          <w:rFonts w:asciiTheme="minorHAnsi" w:hAnsiTheme="minorHAnsi" w:cstheme="minorHAnsi"/>
          <w:szCs w:val="22"/>
        </w:rPr>
        <w:t xml:space="preserve">and RWA </w:t>
      </w:r>
      <w:r w:rsidRPr="008E47C3">
        <w:rPr>
          <w:rFonts w:asciiTheme="minorHAnsi" w:hAnsiTheme="minorHAnsi" w:cstheme="minorHAnsi"/>
          <w:szCs w:val="22"/>
        </w:rPr>
        <w:t xml:space="preserve">will determine the appropriate </w:t>
      </w:r>
      <w:r w:rsidR="0056009B">
        <w:t>supervision levels and progression based on AHPRA requirements and / or participant's competency</w:t>
      </w:r>
      <w:r>
        <w:rPr>
          <w:rFonts w:asciiTheme="minorHAnsi" w:hAnsiTheme="minorHAnsi" w:cstheme="minorHAnsi"/>
          <w:szCs w:val="22"/>
        </w:rPr>
        <w:t>.</w:t>
      </w:r>
    </w:p>
    <w:p w14:paraId="31AD0052" w14:textId="77777777" w:rsidR="005455C7" w:rsidRPr="004E5081" w:rsidRDefault="005455C7" w:rsidP="00E550BD">
      <w:pPr>
        <w:pStyle w:val="Heading4"/>
      </w:pPr>
      <w:r w:rsidRPr="004E5081">
        <w:t>Junior Doctors</w:t>
      </w:r>
    </w:p>
    <w:p w14:paraId="54F20D60" w14:textId="77777777" w:rsidR="005455C7" w:rsidRPr="004E5081" w:rsidRDefault="005455C7" w:rsidP="00E550BD">
      <w:r w:rsidRPr="004E5081">
        <w:t>Doctors in Postgraduate Year (PGY) 3-5 must:</w:t>
      </w:r>
    </w:p>
    <w:p w14:paraId="64F7EF91" w14:textId="2AAE8915" w:rsidR="005455C7" w:rsidRPr="001B213E" w:rsidRDefault="005455C7" w:rsidP="00E550BD">
      <w:pPr>
        <w:pStyle w:val="ListBullet"/>
      </w:pPr>
      <w:r w:rsidRPr="004E5081">
        <w:t xml:space="preserve">work </w:t>
      </w:r>
      <w:r w:rsidRPr="001B213E">
        <w:t xml:space="preserve">under level one supervision, as defined by AHPRA, for a </w:t>
      </w:r>
      <w:r>
        <w:t xml:space="preserve">minimum </w:t>
      </w:r>
      <w:r w:rsidRPr="001B213E">
        <w:t xml:space="preserve">period equivalent to </w:t>
      </w:r>
      <w:proofErr w:type="gramStart"/>
      <w:r w:rsidRPr="007C4D3F">
        <w:t>one month</w:t>
      </w:r>
      <w:proofErr w:type="gramEnd"/>
      <w:r w:rsidRPr="007C4D3F">
        <w:t xml:space="preserve"> full time equivalent</w:t>
      </w:r>
      <w:r w:rsidRPr="001B213E">
        <w:t>; and</w:t>
      </w:r>
    </w:p>
    <w:p w14:paraId="16AE89C3" w14:textId="77777777" w:rsidR="005455C7" w:rsidRDefault="005455C7" w:rsidP="00E550BD">
      <w:pPr>
        <w:pStyle w:val="ListBullet"/>
      </w:pPr>
      <w:r>
        <w:t>T</w:t>
      </w:r>
      <w:r w:rsidRPr="00BF0BD5">
        <w:t>he supervisor determines the doctor can demonstrate the required competency, work under level two supervision as defined by AHPRA, for a minimum period of five months.</w:t>
      </w:r>
    </w:p>
    <w:p w14:paraId="2488B733" w14:textId="77777777" w:rsidR="007069F9" w:rsidRDefault="007069F9" w:rsidP="00E550BD">
      <w:r w:rsidRPr="00D15E24">
        <w:t>After the six months the supervisor will determine the appropriate level of supervision for the next twelve months based on the participant’s competency.</w:t>
      </w:r>
    </w:p>
    <w:p w14:paraId="6D7B8DD7" w14:textId="77777777" w:rsidR="00D15E24" w:rsidRPr="00F87786" w:rsidRDefault="00D15E24" w:rsidP="00E550BD">
      <w:pPr>
        <w:pStyle w:val="Heading4"/>
      </w:pPr>
      <w:r w:rsidRPr="00F87786">
        <w:lastRenderedPageBreak/>
        <w:t>Doctors with prior general practice experience</w:t>
      </w:r>
    </w:p>
    <w:p w14:paraId="37FD6518" w14:textId="623243FA" w:rsidR="004C1894" w:rsidRDefault="003C33C1" w:rsidP="00E550BD">
      <w:r>
        <w:t xml:space="preserve">A doctor’s previous experience will be considered when assessing suitability to work at a specific location. </w:t>
      </w:r>
      <w:r w:rsidR="00D15E24">
        <w:t xml:space="preserve">Doctors with more than six months prior general practice experience </w:t>
      </w:r>
      <w:r w:rsidR="009A0049">
        <w:t>may</w:t>
      </w:r>
      <w:r w:rsidR="00D15E24">
        <w:t xml:space="preserve"> not have to meet specific supervision requirements for the MDRAP. </w:t>
      </w:r>
    </w:p>
    <w:p w14:paraId="766F0B27" w14:textId="6A2B60C3" w:rsidR="00A805B4" w:rsidRPr="004E5081" w:rsidRDefault="004D07A6" w:rsidP="00E550BD">
      <w:r>
        <w:t>In addition to the MDRAP supervision requirements, d</w:t>
      </w:r>
      <w:r w:rsidR="00A805B4" w:rsidRPr="004E5081">
        <w:t xml:space="preserve">octors </w:t>
      </w:r>
      <w:r>
        <w:t xml:space="preserve">must continue </w:t>
      </w:r>
      <w:r w:rsidRPr="004E5081">
        <w:t>to</w:t>
      </w:r>
      <w:r w:rsidR="00A805B4" w:rsidRPr="004E5081">
        <w:t xml:space="preserve"> maintain their medical registration </w:t>
      </w:r>
      <w:r>
        <w:t>and</w:t>
      </w:r>
      <w:r w:rsidR="00A805B4" w:rsidRPr="004E5081">
        <w:t xml:space="preserve"> work within the conditions set by AHPRA.</w:t>
      </w:r>
    </w:p>
    <w:p w14:paraId="0F1C2A74" w14:textId="4EDEEEDF" w:rsidR="004C1894" w:rsidRPr="007069F9" w:rsidRDefault="007069F9" w:rsidP="007069F9">
      <w:pPr>
        <w:pStyle w:val="Heading3Numbered"/>
        <w:rPr>
          <w:bCs w:val="0"/>
          <w:szCs w:val="22"/>
        </w:rPr>
      </w:pPr>
      <w:bookmarkStart w:id="15" w:name="_Toc118975662"/>
      <w:r>
        <w:rPr>
          <w:bCs w:val="0"/>
          <w:szCs w:val="22"/>
        </w:rPr>
        <w:t>Reporting</w:t>
      </w:r>
      <w:r w:rsidR="004C1894" w:rsidRPr="007069F9">
        <w:rPr>
          <w:bCs w:val="0"/>
          <w:szCs w:val="22"/>
        </w:rPr>
        <w:t xml:space="preserve"> responsibilities within supervision</w:t>
      </w:r>
      <w:bookmarkEnd w:id="15"/>
    </w:p>
    <w:p w14:paraId="46956AB9" w14:textId="01B839E5" w:rsidR="004C1894" w:rsidRDefault="004C1894" w:rsidP="004C1894">
      <w:r>
        <w:t xml:space="preserve">A supervisor must provide a supervision report to the doctor that determines the competency a doctor can demonstrate and notify of the appropriate level of supervision required, within </w:t>
      </w:r>
      <w:r w:rsidR="008F7578">
        <w:t xml:space="preserve">4 weeks of the </w:t>
      </w:r>
      <w:r w:rsidR="00437533">
        <w:t xml:space="preserve">completion of </w:t>
      </w:r>
      <w:r w:rsidR="008F7578">
        <w:t>the</w:t>
      </w:r>
      <w:r>
        <w:t xml:space="preserve"> supervision period. </w:t>
      </w:r>
    </w:p>
    <w:p w14:paraId="6D2C1917" w14:textId="77777777" w:rsidR="004C1894" w:rsidRDefault="004C1894" w:rsidP="004C1894">
      <w:r>
        <w:t xml:space="preserve">Doctors </w:t>
      </w:r>
      <w:r w:rsidRPr="007B7541">
        <w:t>must provide a copy of their supervision report to the RWA</w:t>
      </w:r>
      <w:r>
        <w:t xml:space="preserve"> at the completion of the supervision period, within 4 weeks of completing the supervision period. </w:t>
      </w:r>
    </w:p>
    <w:p w14:paraId="4FCB780C" w14:textId="66FCE80A" w:rsidR="004C1894" w:rsidRDefault="004C1894" w:rsidP="004C1894">
      <w:r>
        <w:t xml:space="preserve">RWA as administrator of the MDRAP and support package will review the report and determine </w:t>
      </w:r>
      <w:r w:rsidR="00A805B4">
        <w:t xml:space="preserve">if </w:t>
      </w:r>
      <w:r>
        <w:t xml:space="preserve">the level and timeframe </w:t>
      </w:r>
      <w:r w:rsidR="00A805B4">
        <w:t xml:space="preserve">of supervision recommended is </w:t>
      </w:r>
      <w:r>
        <w:t xml:space="preserve">appropriate for a supervision payment. </w:t>
      </w:r>
    </w:p>
    <w:p w14:paraId="4802B1F9" w14:textId="77777777" w:rsidR="00567C42" w:rsidRDefault="005A563E" w:rsidP="00F74BA6">
      <w:pPr>
        <w:pStyle w:val="Heading3Numbered"/>
      </w:pPr>
      <w:bookmarkStart w:id="16" w:name="_Toc118975663"/>
      <w:r>
        <w:t>Eligibility for supervision payments</w:t>
      </w:r>
      <w:bookmarkEnd w:id="16"/>
    </w:p>
    <w:p w14:paraId="2A728948" w14:textId="65C0651A" w:rsidR="002F02AE" w:rsidRPr="00196689" w:rsidRDefault="002F02AE" w:rsidP="002F02AE">
      <w:pPr>
        <w:rPr>
          <w:szCs w:val="22"/>
        </w:rPr>
      </w:pPr>
      <w:r w:rsidRPr="00196689">
        <w:rPr>
          <w:szCs w:val="22"/>
        </w:rPr>
        <w:t>The Assessment Plan details the supervision required to support the MDRAP participant. The Supervision payments will be based on the level of supervision required and the length of time set out in the Assessment plan.</w:t>
      </w:r>
      <w:r w:rsidR="005A563E" w:rsidRPr="00196689">
        <w:rPr>
          <w:szCs w:val="22"/>
        </w:rPr>
        <w:t xml:space="preserve"> </w:t>
      </w:r>
      <w:r w:rsidR="004D07A6">
        <w:rPr>
          <w:szCs w:val="22"/>
        </w:rPr>
        <w:t>To receive a payment s</w:t>
      </w:r>
      <w:r w:rsidR="005A563E" w:rsidRPr="00196689">
        <w:rPr>
          <w:szCs w:val="22"/>
        </w:rPr>
        <w:t>upervisors must</w:t>
      </w:r>
      <w:r w:rsidR="00196689" w:rsidRPr="00196689">
        <w:rPr>
          <w:szCs w:val="22"/>
        </w:rPr>
        <w:t xml:space="preserve"> meet the</w:t>
      </w:r>
      <w:r w:rsidR="004D07A6">
        <w:rPr>
          <w:szCs w:val="22"/>
        </w:rPr>
        <w:t xml:space="preserve"> all the</w:t>
      </w:r>
      <w:r w:rsidR="00196689" w:rsidRPr="00196689">
        <w:rPr>
          <w:szCs w:val="22"/>
        </w:rPr>
        <w:t xml:space="preserve"> obligation</w:t>
      </w:r>
      <w:r w:rsidR="004D07A6">
        <w:rPr>
          <w:szCs w:val="22"/>
        </w:rPr>
        <w:t xml:space="preserve">s set out in </w:t>
      </w:r>
      <w:r w:rsidR="00BF4779">
        <w:rPr>
          <w:szCs w:val="22"/>
        </w:rPr>
        <w:t xml:space="preserve">their </w:t>
      </w:r>
      <w:r w:rsidR="00BF4779" w:rsidRPr="00196689">
        <w:rPr>
          <w:szCs w:val="22"/>
        </w:rPr>
        <w:t>agreement</w:t>
      </w:r>
      <w:r w:rsidR="004D07A6">
        <w:rPr>
          <w:szCs w:val="22"/>
        </w:rPr>
        <w:t xml:space="preserve"> with the RWA</w:t>
      </w:r>
      <w:r w:rsidR="00371CC1">
        <w:rPr>
          <w:szCs w:val="22"/>
        </w:rPr>
        <w:t xml:space="preserve"> </w:t>
      </w:r>
    </w:p>
    <w:p w14:paraId="0709513F" w14:textId="4FF0CF79" w:rsidR="00196689" w:rsidRDefault="002F02AE" w:rsidP="008F2D5D">
      <w:r w:rsidRPr="00196689">
        <w:rPr>
          <w:bCs/>
        </w:rPr>
        <w:t xml:space="preserve">Supervision payments are made every quarter and total payments will not exceed $30,000 per FTE per annum for each MDRAP </w:t>
      </w:r>
      <w:r w:rsidR="00F87786" w:rsidRPr="00196689">
        <w:rPr>
          <w:bCs/>
        </w:rPr>
        <w:t>participant.</w:t>
      </w:r>
      <w:r w:rsidR="00F87786" w:rsidRPr="00B35237">
        <w:t xml:space="preserve"> To</w:t>
      </w:r>
      <w:r w:rsidRPr="00B35237">
        <w:t xml:space="preserve"> be eligible for a supervision payment supervisors </w:t>
      </w:r>
      <w:r w:rsidR="009F309D" w:rsidRPr="00B35237">
        <w:t>must provide</w:t>
      </w:r>
      <w:r w:rsidRPr="00B35237">
        <w:t xml:space="preserve"> evidence they have met the requirements and responsibilities set out in their Supervision agreement.</w:t>
      </w:r>
      <w:bookmarkStart w:id="17" w:name="_Toc505335901"/>
      <w:bookmarkStart w:id="18" w:name="_Toc14857642"/>
    </w:p>
    <w:p w14:paraId="7A76EFE8" w14:textId="6CB2DF1D" w:rsidR="00923638" w:rsidRPr="00ED5EA6" w:rsidRDefault="00066427" w:rsidP="009B65AA">
      <w:pPr>
        <w:pStyle w:val="Heading2Numbered"/>
        <w:numPr>
          <w:ilvl w:val="0"/>
          <w:numId w:val="4"/>
        </w:numPr>
      </w:pPr>
      <w:bookmarkStart w:id="19" w:name="_Toc118975664"/>
      <w:r w:rsidRPr="00ED5EA6">
        <w:t xml:space="preserve">Eligible </w:t>
      </w:r>
      <w:r w:rsidR="00923638" w:rsidRPr="00ED5EA6">
        <w:t>Location</w:t>
      </w:r>
      <w:bookmarkEnd w:id="17"/>
      <w:r w:rsidRPr="00ED5EA6">
        <w:t>s</w:t>
      </w:r>
      <w:bookmarkEnd w:id="18"/>
      <w:bookmarkEnd w:id="19"/>
    </w:p>
    <w:p w14:paraId="3FDE93BD" w14:textId="77777777" w:rsidR="00923638" w:rsidRPr="00AF5E0D" w:rsidRDefault="00923638" w:rsidP="00AF5E0D">
      <w:pPr>
        <w:rPr>
          <w:rFonts w:asciiTheme="minorHAnsi" w:hAnsiTheme="minorHAnsi" w:cstheme="minorHAnsi"/>
          <w:b/>
          <w:szCs w:val="22"/>
        </w:rPr>
      </w:pPr>
      <w:r w:rsidRPr="00AF5E0D">
        <w:rPr>
          <w:rFonts w:asciiTheme="minorHAnsi" w:hAnsiTheme="minorHAnsi" w:cstheme="minorHAnsi"/>
          <w:szCs w:val="22"/>
        </w:rPr>
        <w:t>To be eligib</w:t>
      </w:r>
      <w:r w:rsidR="00066427" w:rsidRPr="00AF5E0D">
        <w:rPr>
          <w:rFonts w:asciiTheme="minorHAnsi" w:hAnsiTheme="minorHAnsi" w:cstheme="minorHAnsi"/>
          <w:szCs w:val="22"/>
        </w:rPr>
        <w:t>le for a</w:t>
      </w:r>
      <w:r w:rsidR="001049D7">
        <w:rPr>
          <w:rFonts w:asciiTheme="minorHAnsi" w:hAnsiTheme="minorHAnsi" w:cstheme="minorHAnsi"/>
          <w:szCs w:val="22"/>
        </w:rPr>
        <w:t>n</w:t>
      </w:r>
      <w:r w:rsidR="00066427" w:rsidRPr="00AF5E0D">
        <w:rPr>
          <w:rFonts w:asciiTheme="minorHAnsi" w:hAnsiTheme="minorHAnsi" w:cstheme="minorHAnsi"/>
          <w:szCs w:val="22"/>
        </w:rPr>
        <w:t xml:space="preserve"> MDRAP placement the practice location</w:t>
      </w:r>
      <w:r w:rsidRPr="00AF5E0D">
        <w:rPr>
          <w:rFonts w:asciiTheme="minorHAnsi" w:hAnsiTheme="minorHAnsi" w:cstheme="minorHAnsi"/>
          <w:szCs w:val="22"/>
        </w:rPr>
        <w:t xml:space="preserve"> must be:</w:t>
      </w:r>
    </w:p>
    <w:p w14:paraId="58D68842" w14:textId="77777777" w:rsidR="00AF5E0D" w:rsidRPr="001B213E" w:rsidRDefault="00923638" w:rsidP="00E550BD">
      <w:pPr>
        <w:pStyle w:val="ListBullet"/>
      </w:pPr>
      <w:r w:rsidRPr="00AF5E0D">
        <w:t xml:space="preserve">in </w:t>
      </w:r>
      <w:r w:rsidR="000B2CA7">
        <w:t xml:space="preserve">a </w:t>
      </w:r>
      <w:r w:rsidR="00205278">
        <w:t>Distribution Priority Area (DPA)</w:t>
      </w:r>
      <w:r w:rsidR="00EE3AFA">
        <w:t>;</w:t>
      </w:r>
      <w:r w:rsidR="00066427" w:rsidRPr="00FD1608">
        <w:t xml:space="preserve"> </w:t>
      </w:r>
      <w:r w:rsidR="00066427" w:rsidRPr="00FD1608">
        <w:rPr>
          <w:rStyle w:val="Strong"/>
        </w:rPr>
        <w:t>and</w:t>
      </w:r>
    </w:p>
    <w:p w14:paraId="39363A92" w14:textId="77777777" w:rsidR="001715C7" w:rsidRDefault="00066427" w:rsidP="00E550BD">
      <w:pPr>
        <w:pStyle w:val="ListBullet"/>
      </w:pPr>
      <w:r w:rsidRPr="001B213E">
        <w:t>in an area classified as</w:t>
      </w:r>
      <w:r w:rsidRPr="00AF5E0D">
        <w:t xml:space="preserve"> Modified Monash Model (MMM) 2–7</w:t>
      </w:r>
      <w:r w:rsidR="001715C7">
        <w:t xml:space="preserve">; </w:t>
      </w:r>
      <w:r w:rsidR="001715C7" w:rsidRPr="00FD1608">
        <w:rPr>
          <w:rStyle w:val="Strong"/>
        </w:rPr>
        <w:t>or</w:t>
      </w:r>
    </w:p>
    <w:p w14:paraId="7071D0C6" w14:textId="216D8538" w:rsidR="000E1CC3" w:rsidRDefault="001715C7" w:rsidP="00E550BD">
      <w:pPr>
        <w:pStyle w:val="ListBullet"/>
      </w:pPr>
      <w:r w:rsidRPr="00AF5E0D">
        <w:t xml:space="preserve">classified as an Aboriginal Medical </w:t>
      </w:r>
      <w:proofErr w:type="gramStart"/>
      <w:r w:rsidRPr="00AF5E0D">
        <w:t>Service</w:t>
      </w:r>
      <w:r w:rsidR="0072632B">
        <w:t>,</w:t>
      </w:r>
      <w:r w:rsidRPr="00AF5E0D">
        <w:t xml:space="preserve"> or</w:t>
      </w:r>
      <w:proofErr w:type="gramEnd"/>
      <w:r w:rsidRPr="00AF5E0D">
        <w:t xml:space="preserve"> </w:t>
      </w:r>
      <w:r w:rsidR="00E71501">
        <w:t>be</w:t>
      </w:r>
      <w:r>
        <w:t xml:space="preserve"> the subject of a Ministerial direction </w:t>
      </w:r>
      <w:r w:rsidRPr="00AF5E0D">
        <w:t xml:space="preserve">under s19 (2) or s19 (5) of the </w:t>
      </w:r>
      <w:r w:rsidR="00E550BD">
        <w:t>Act.</w:t>
      </w:r>
    </w:p>
    <w:p w14:paraId="59631EAF" w14:textId="532C02D7" w:rsidR="00582032" w:rsidRPr="00ED5EA6" w:rsidRDefault="00D00823" w:rsidP="00E550BD">
      <w:pPr>
        <w:pStyle w:val="ListBullet"/>
      </w:pPr>
      <w:r>
        <w:t xml:space="preserve">classified as an </w:t>
      </w:r>
      <w:r w:rsidR="00582032">
        <w:t xml:space="preserve">Aboriginal Controlled Community Health </w:t>
      </w:r>
      <w:r w:rsidR="00E550BD">
        <w:t>Service or</w:t>
      </w:r>
      <w:r>
        <w:t xml:space="preserve"> be the subject of Ministerial direction under s19(2) or s19(5) of the Act</w:t>
      </w:r>
      <w:r w:rsidR="00EE3AFA">
        <w:t>.</w:t>
      </w:r>
    </w:p>
    <w:p w14:paraId="4A9D08FF" w14:textId="77777777" w:rsidR="00066427" w:rsidRPr="00AF5E0D" w:rsidRDefault="00B92C0B" w:rsidP="00AF5E0D">
      <w:pPr>
        <w:contextualSpacing/>
        <w:rPr>
          <w:rFonts w:asciiTheme="minorHAnsi" w:hAnsiTheme="minorHAnsi" w:cstheme="minorHAnsi"/>
          <w:i/>
          <w:szCs w:val="22"/>
        </w:rPr>
      </w:pPr>
      <w:r w:rsidRPr="00AF5E0D">
        <w:rPr>
          <w:rFonts w:asciiTheme="minorHAnsi" w:hAnsiTheme="minorHAnsi" w:cstheme="minorHAnsi"/>
          <w:szCs w:val="22"/>
        </w:rPr>
        <w:t>Practices participating in the MDRAP must:</w:t>
      </w:r>
    </w:p>
    <w:p w14:paraId="056F0E49" w14:textId="77777777" w:rsidR="00374B76" w:rsidRDefault="00923638" w:rsidP="00E550BD">
      <w:pPr>
        <w:pStyle w:val="ListBullet"/>
      </w:pPr>
      <w:r w:rsidRPr="001B213E">
        <w:t xml:space="preserve">provide the support required </w:t>
      </w:r>
      <w:r w:rsidR="00B92C0B" w:rsidRPr="001B213E">
        <w:t xml:space="preserve">to meet supervision </w:t>
      </w:r>
      <w:r w:rsidR="00374B76">
        <w:t>obligations</w:t>
      </w:r>
      <w:r w:rsidR="00EE3AFA">
        <w:t>; and</w:t>
      </w:r>
    </w:p>
    <w:p w14:paraId="1083AC5D" w14:textId="77777777" w:rsidR="00374B76" w:rsidRDefault="00374B76" w:rsidP="00E550BD">
      <w:pPr>
        <w:pStyle w:val="ListBullet"/>
      </w:pPr>
      <w:r>
        <w:t>confirm</w:t>
      </w:r>
      <w:r w:rsidR="00FB378D">
        <w:t xml:space="preserve"> they understand that </w:t>
      </w:r>
      <w:r w:rsidR="00FB378D" w:rsidRPr="001B213E">
        <w:t>the doctor must progress to a college fellowship</w:t>
      </w:r>
      <w:r w:rsidR="00FB378D" w:rsidRPr="00F410F1">
        <w:t xml:space="preserve"> pathway within the specified </w:t>
      </w:r>
      <w:r>
        <w:t>timeframe.</w:t>
      </w:r>
    </w:p>
    <w:p w14:paraId="267814D9" w14:textId="77777777" w:rsidR="00457CCC" w:rsidRDefault="00374B76" w:rsidP="00E550BD">
      <w:pPr>
        <w:pStyle w:val="ListBullet"/>
      </w:pPr>
      <w:r w:rsidRPr="00457CCC">
        <w:rPr>
          <w:rFonts w:asciiTheme="minorHAnsi" w:hAnsiTheme="minorHAnsi" w:cstheme="minorHAnsi"/>
        </w:rPr>
        <w:t>Doctors</w:t>
      </w:r>
      <w:r w:rsidR="00457CCC" w:rsidRPr="00457CCC">
        <w:rPr>
          <w:rFonts w:asciiTheme="minorHAnsi" w:hAnsiTheme="minorHAnsi" w:cstheme="minorHAnsi"/>
        </w:rPr>
        <w:t xml:space="preserve"> at locations that are not in a DPA and in a MMM 2- 7 will not be eligible for the MDRAP, including requests for after-hours placements.</w:t>
      </w:r>
    </w:p>
    <w:p w14:paraId="67C490FC" w14:textId="77777777" w:rsidR="00923638" w:rsidRDefault="0067066E" w:rsidP="00FD1608">
      <w:pPr>
        <w:pStyle w:val="Heading3Numbered"/>
      </w:pPr>
      <w:bookmarkStart w:id="20" w:name="_Toc14857643"/>
      <w:bookmarkStart w:id="21" w:name="_Toc118975665"/>
      <w:r w:rsidRPr="00AF5E0D">
        <w:t>Overseas Trained Doctors and 19AB</w:t>
      </w:r>
      <w:bookmarkEnd w:id="20"/>
      <w:bookmarkEnd w:id="21"/>
    </w:p>
    <w:p w14:paraId="7AFB10AD" w14:textId="77777777" w:rsidR="00181A23" w:rsidRDefault="00181A23" w:rsidP="00ED5EA6">
      <w:r>
        <w:t>Overseas trained doctors are subject to location restrictions under the Act.  To be able to access a Medicare benefit doctors subject to Section 19AB of the Act need a Section 19AB exemption.</w:t>
      </w:r>
    </w:p>
    <w:p w14:paraId="0CBBA3BA" w14:textId="77777777" w:rsidR="003A3537" w:rsidRPr="00AF5E0D" w:rsidRDefault="00F4358C" w:rsidP="00AF5E0D">
      <w:pPr>
        <w:contextualSpacing/>
        <w:rPr>
          <w:rFonts w:asciiTheme="minorHAnsi" w:hAnsiTheme="minorHAnsi" w:cstheme="minorHAnsi"/>
          <w:szCs w:val="22"/>
        </w:rPr>
      </w:pPr>
      <w:r>
        <w:rPr>
          <w:rFonts w:asciiTheme="minorHAnsi" w:hAnsiTheme="minorHAnsi" w:cstheme="minorHAnsi"/>
          <w:szCs w:val="22"/>
        </w:rPr>
        <w:t xml:space="preserve">Overseas trained doctors </w:t>
      </w:r>
      <w:r w:rsidR="0067066E" w:rsidRPr="00AF5E0D">
        <w:rPr>
          <w:rFonts w:asciiTheme="minorHAnsi" w:hAnsiTheme="minorHAnsi" w:cstheme="minorHAnsi"/>
          <w:szCs w:val="22"/>
        </w:rPr>
        <w:t>with an approved MDRAP placement</w:t>
      </w:r>
      <w:r w:rsidR="00181A23">
        <w:rPr>
          <w:rFonts w:asciiTheme="minorHAnsi" w:hAnsiTheme="minorHAnsi" w:cstheme="minorHAnsi"/>
          <w:szCs w:val="22"/>
        </w:rPr>
        <w:t xml:space="preserve"> working</w:t>
      </w:r>
      <w:r w:rsidR="0067066E" w:rsidRPr="00AF5E0D">
        <w:rPr>
          <w:rFonts w:asciiTheme="minorHAnsi" w:hAnsiTheme="minorHAnsi" w:cstheme="minorHAnsi"/>
          <w:szCs w:val="22"/>
        </w:rPr>
        <w:t xml:space="preserve"> </w:t>
      </w:r>
      <w:r>
        <w:rPr>
          <w:rFonts w:asciiTheme="minorHAnsi" w:hAnsiTheme="minorHAnsi" w:cstheme="minorHAnsi"/>
          <w:szCs w:val="22"/>
        </w:rPr>
        <w:t>in a</w:t>
      </w:r>
      <w:r w:rsidR="00205278">
        <w:rPr>
          <w:rFonts w:asciiTheme="minorHAnsi" w:hAnsiTheme="minorHAnsi" w:cstheme="minorHAnsi"/>
          <w:szCs w:val="22"/>
        </w:rPr>
        <w:t xml:space="preserve"> DPA</w:t>
      </w:r>
      <w:r w:rsidR="003B52A6">
        <w:rPr>
          <w:rFonts w:asciiTheme="minorHAnsi" w:hAnsiTheme="minorHAnsi" w:cstheme="minorHAnsi"/>
          <w:szCs w:val="22"/>
        </w:rPr>
        <w:t xml:space="preserve"> </w:t>
      </w:r>
      <w:r w:rsidR="004D1DE6" w:rsidRPr="00AF5E0D">
        <w:rPr>
          <w:rFonts w:asciiTheme="minorHAnsi" w:hAnsiTheme="minorHAnsi" w:cstheme="minorHAnsi"/>
          <w:szCs w:val="22"/>
        </w:rPr>
        <w:t>will meet</w:t>
      </w:r>
      <w:r>
        <w:rPr>
          <w:rFonts w:asciiTheme="minorHAnsi" w:hAnsiTheme="minorHAnsi" w:cstheme="minorHAnsi"/>
          <w:szCs w:val="22"/>
        </w:rPr>
        <w:t xml:space="preserve"> section</w:t>
      </w:r>
      <w:r w:rsidR="000764F9">
        <w:rPr>
          <w:rFonts w:asciiTheme="minorHAnsi" w:hAnsiTheme="minorHAnsi" w:cstheme="minorHAnsi"/>
          <w:szCs w:val="22"/>
        </w:rPr>
        <w:t xml:space="preserve"> </w:t>
      </w:r>
      <w:r w:rsidR="003D3D2F" w:rsidRPr="00AF5E0D">
        <w:rPr>
          <w:rFonts w:asciiTheme="minorHAnsi" w:hAnsiTheme="minorHAnsi" w:cstheme="minorHAnsi"/>
          <w:szCs w:val="22"/>
        </w:rPr>
        <w:t>19AB</w:t>
      </w:r>
      <w:r w:rsidR="0067066E" w:rsidRPr="00AF5E0D">
        <w:rPr>
          <w:rFonts w:asciiTheme="minorHAnsi" w:hAnsiTheme="minorHAnsi" w:cstheme="minorHAnsi"/>
          <w:szCs w:val="22"/>
        </w:rPr>
        <w:t xml:space="preserve"> </w:t>
      </w:r>
      <w:r w:rsidR="001C39CD">
        <w:rPr>
          <w:rFonts w:asciiTheme="minorHAnsi" w:hAnsiTheme="minorHAnsi" w:cstheme="minorHAnsi"/>
          <w:szCs w:val="22"/>
        </w:rPr>
        <w:t xml:space="preserve">requirements </w:t>
      </w:r>
      <w:r w:rsidR="0067066E" w:rsidRPr="00AF5E0D">
        <w:rPr>
          <w:rFonts w:asciiTheme="minorHAnsi" w:hAnsiTheme="minorHAnsi" w:cstheme="minorHAnsi"/>
          <w:szCs w:val="22"/>
        </w:rPr>
        <w:t xml:space="preserve">through </w:t>
      </w:r>
      <w:r>
        <w:rPr>
          <w:rFonts w:asciiTheme="minorHAnsi" w:hAnsiTheme="minorHAnsi" w:cstheme="minorHAnsi"/>
          <w:szCs w:val="22"/>
        </w:rPr>
        <w:t xml:space="preserve">a </w:t>
      </w:r>
      <w:r w:rsidR="00205278">
        <w:rPr>
          <w:rFonts w:asciiTheme="minorHAnsi" w:hAnsiTheme="minorHAnsi" w:cstheme="minorHAnsi"/>
          <w:szCs w:val="22"/>
        </w:rPr>
        <w:t>DPA</w:t>
      </w:r>
      <w:r w:rsidR="003D3D2F" w:rsidRPr="00AF5E0D">
        <w:rPr>
          <w:rFonts w:asciiTheme="minorHAnsi" w:hAnsiTheme="minorHAnsi" w:cstheme="minorHAnsi"/>
          <w:szCs w:val="22"/>
        </w:rPr>
        <w:t xml:space="preserve"> class exemption.</w:t>
      </w:r>
      <w:r w:rsidR="001651A0">
        <w:rPr>
          <w:rFonts w:asciiTheme="minorHAnsi" w:hAnsiTheme="minorHAnsi" w:cstheme="minorHAnsi"/>
          <w:szCs w:val="22"/>
        </w:rPr>
        <w:t xml:space="preserve">  A class exemption c</w:t>
      </w:r>
      <w:r w:rsidR="00A63FBD">
        <w:rPr>
          <w:rFonts w:asciiTheme="minorHAnsi" w:hAnsiTheme="minorHAnsi" w:cstheme="minorHAnsi"/>
          <w:szCs w:val="22"/>
        </w:rPr>
        <w:t xml:space="preserve">overs a group or class of doctors who meet the conditions specified in the exemption, in this case, by working in a location classified as a </w:t>
      </w:r>
      <w:r w:rsidR="00205278">
        <w:rPr>
          <w:rFonts w:asciiTheme="minorHAnsi" w:hAnsiTheme="minorHAnsi" w:cstheme="minorHAnsi"/>
          <w:szCs w:val="22"/>
        </w:rPr>
        <w:t>DPA</w:t>
      </w:r>
      <w:r w:rsidR="00A63FBD">
        <w:rPr>
          <w:rFonts w:asciiTheme="minorHAnsi" w:hAnsiTheme="minorHAnsi" w:cstheme="minorHAnsi"/>
          <w:szCs w:val="22"/>
        </w:rPr>
        <w:t>.</w:t>
      </w:r>
    </w:p>
    <w:p w14:paraId="1584D92F" w14:textId="77777777" w:rsidR="00AF5E0D" w:rsidRPr="001D11D1" w:rsidRDefault="005A61C6" w:rsidP="009B65AA">
      <w:pPr>
        <w:pStyle w:val="Heading2Numbered"/>
        <w:numPr>
          <w:ilvl w:val="0"/>
          <w:numId w:val="4"/>
        </w:numPr>
      </w:pPr>
      <w:bookmarkStart w:id="22" w:name="_Toc494986683"/>
      <w:bookmarkStart w:id="23" w:name="_Toc505335905"/>
      <w:bookmarkStart w:id="24" w:name="_Toc118975666"/>
      <w:bookmarkEnd w:id="22"/>
      <w:bookmarkEnd w:id="23"/>
      <w:r>
        <w:lastRenderedPageBreak/>
        <w:t>Learning and Development</w:t>
      </w:r>
      <w:bookmarkEnd w:id="24"/>
    </w:p>
    <w:p w14:paraId="248CA5E9" w14:textId="77777777" w:rsidR="00742F0A" w:rsidRPr="00742F0A" w:rsidRDefault="00A22FA9" w:rsidP="00403181">
      <w:pPr>
        <w:rPr>
          <w:rFonts w:asciiTheme="minorHAnsi" w:hAnsiTheme="minorHAnsi" w:cstheme="minorHAnsi"/>
        </w:rPr>
      </w:pPr>
      <w:r w:rsidRPr="007A1D22">
        <w:rPr>
          <w:rFonts w:asciiTheme="minorHAnsi" w:hAnsiTheme="minorHAnsi" w:cstheme="minorHAnsi"/>
        </w:rPr>
        <w:t xml:space="preserve">General practice education contributes to improved patient </w:t>
      </w:r>
      <w:proofErr w:type="gramStart"/>
      <w:r w:rsidRPr="007A1D22">
        <w:rPr>
          <w:rFonts w:asciiTheme="minorHAnsi" w:hAnsiTheme="minorHAnsi" w:cstheme="minorHAnsi"/>
        </w:rPr>
        <w:t>safety</w:t>
      </w:r>
      <w:r w:rsidR="003A655B">
        <w:rPr>
          <w:rFonts w:asciiTheme="minorHAnsi" w:hAnsiTheme="minorHAnsi" w:cstheme="minorHAnsi"/>
        </w:rPr>
        <w:t>,</w:t>
      </w:r>
      <w:r w:rsidRPr="007A1D22">
        <w:rPr>
          <w:rFonts w:asciiTheme="minorHAnsi" w:hAnsiTheme="minorHAnsi" w:cstheme="minorHAnsi"/>
        </w:rPr>
        <w:t xml:space="preserve"> and</w:t>
      </w:r>
      <w:proofErr w:type="gramEnd"/>
      <w:r w:rsidRPr="007A1D22">
        <w:rPr>
          <w:rFonts w:asciiTheme="minorHAnsi" w:hAnsiTheme="minorHAnsi" w:cstheme="minorHAnsi"/>
        </w:rPr>
        <w:t xml:space="preserve"> will support doctors to be competitive in selection for a college pathway</w:t>
      </w:r>
      <w:r w:rsidR="009E4727">
        <w:rPr>
          <w:rFonts w:asciiTheme="minorHAnsi" w:hAnsiTheme="minorHAnsi" w:cstheme="minorHAnsi"/>
        </w:rPr>
        <w:t>.</w:t>
      </w:r>
      <w:r w:rsidR="009726D7">
        <w:rPr>
          <w:rFonts w:asciiTheme="minorHAnsi" w:hAnsiTheme="minorHAnsi" w:cstheme="minorHAnsi"/>
        </w:rPr>
        <w:t xml:space="preserve"> MDRAP participants must contribute to the development of an assessment plan, </w:t>
      </w:r>
      <w:r w:rsidR="009726D7">
        <w:rPr>
          <w:rFonts w:asciiTheme="minorHAnsi" w:hAnsiTheme="minorHAnsi" w:cstheme="minorHAnsi"/>
          <w:szCs w:val="22"/>
        </w:rPr>
        <w:t>t</w:t>
      </w:r>
      <w:r w:rsidR="009726D7" w:rsidRPr="009726D7">
        <w:rPr>
          <w:rFonts w:asciiTheme="minorHAnsi" w:hAnsiTheme="minorHAnsi" w:cstheme="minorHAnsi"/>
          <w:szCs w:val="22"/>
        </w:rPr>
        <w:t>he</w:t>
      </w:r>
      <w:r w:rsidR="00B812EF" w:rsidRPr="009726D7">
        <w:rPr>
          <w:rFonts w:asciiTheme="minorHAnsi" w:hAnsiTheme="minorHAnsi" w:cstheme="minorHAnsi"/>
          <w:szCs w:val="22"/>
        </w:rPr>
        <w:t xml:space="preserve"> plan will </w:t>
      </w:r>
      <w:r w:rsidR="009E796A" w:rsidRPr="009726D7">
        <w:rPr>
          <w:rFonts w:asciiTheme="minorHAnsi" w:hAnsiTheme="minorHAnsi" w:cstheme="minorHAnsi"/>
          <w:szCs w:val="22"/>
        </w:rPr>
        <w:t>identify</w:t>
      </w:r>
      <w:r w:rsidR="00742F0A" w:rsidRPr="009726D7">
        <w:rPr>
          <w:rFonts w:asciiTheme="minorHAnsi" w:hAnsiTheme="minorHAnsi" w:cstheme="minorHAnsi"/>
          <w:szCs w:val="22"/>
        </w:rPr>
        <w:t xml:space="preserve"> a doctor’s individual learning </w:t>
      </w:r>
      <w:r w:rsidR="006C7272" w:rsidRPr="009726D7">
        <w:rPr>
          <w:rFonts w:asciiTheme="minorHAnsi" w:hAnsiTheme="minorHAnsi" w:cstheme="minorHAnsi"/>
          <w:szCs w:val="22"/>
        </w:rPr>
        <w:t>priorities</w:t>
      </w:r>
      <w:r w:rsidR="009726D7" w:rsidRPr="009726D7">
        <w:rPr>
          <w:rFonts w:asciiTheme="minorHAnsi" w:hAnsiTheme="minorHAnsi" w:cstheme="minorHAnsi"/>
          <w:szCs w:val="22"/>
        </w:rPr>
        <w:t xml:space="preserve">, community needs </w:t>
      </w:r>
      <w:r w:rsidR="00742F0A" w:rsidRPr="009726D7">
        <w:rPr>
          <w:rFonts w:asciiTheme="minorHAnsi" w:hAnsiTheme="minorHAnsi" w:cstheme="minorHAnsi"/>
          <w:szCs w:val="22"/>
        </w:rPr>
        <w:t>and</w:t>
      </w:r>
      <w:r w:rsidR="009726D7" w:rsidRPr="009726D7">
        <w:rPr>
          <w:rFonts w:asciiTheme="minorHAnsi" w:hAnsiTheme="minorHAnsi" w:cstheme="minorHAnsi"/>
          <w:szCs w:val="22"/>
        </w:rPr>
        <w:t xml:space="preserve"> support</w:t>
      </w:r>
      <w:r w:rsidR="00742F0A" w:rsidRPr="009726D7">
        <w:rPr>
          <w:rFonts w:asciiTheme="minorHAnsi" w:hAnsiTheme="minorHAnsi" w:cstheme="minorHAnsi"/>
          <w:szCs w:val="22"/>
        </w:rPr>
        <w:t xml:space="preserve"> skill development</w:t>
      </w:r>
      <w:r w:rsidR="006C7272" w:rsidRPr="009726D7">
        <w:rPr>
          <w:rFonts w:asciiTheme="minorHAnsi" w:hAnsiTheme="minorHAnsi" w:cstheme="minorHAnsi"/>
          <w:szCs w:val="22"/>
        </w:rPr>
        <w:t>.</w:t>
      </w:r>
    </w:p>
    <w:p w14:paraId="42C59A36" w14:textId="68CEFAA3" w:rsidR="000E1CC3" w:rsidRDefault="00995748" w:rsidP="000E1CC3">
      <w:pPr>
        <w:rPr>
          <w:rFonts w:asciiTheme="minorHAnsi" w:hAnsiTheme="minorHAnsi" w:cstheme="minorHAnsi"/>
          <w:szCs w:val="22"/>
        </w:rPr>
      </w:pPr>
      <w:r w:rsidRPr="00403181">
        <w:rPr>
          <w:rFonts w:asciiTheme="minorHAnsi" w:hAnsiTheme="minorHAnsi" w:cstheme="minorHAnsi"/>
          <w:szCs w:val="22"/>
        </w:rPr>
        <w:t>D</w:t>
      </w:r>
      <w:r w:rsidR="000764F9" w:rsidRPr="00403181">
        <w:rPr>
          <w:rFonts w:asciiTheme="minorHAnsi" w:hAnsiTheme="minorHAnsi" w:cstheme="minorHAnsi"/>
          <w:szCs w:val="22"/>
        </w:rPr>
        <w:t>octors who participate</w:t>
      </w:r>
      <w:r w:rsidR="007F2A03" w:rsidRPr="00403181">
        <w:rPr>
          <w:rFonts w:asciiTheme="minorHAnsi" w:hAnsiTheme="minorHAnsi" w:cstheme="minorHAnsi"/>
          <w:szCs w:val="22"/>
        </w:rPr>
        <w:t xml:space="preserve"> </w:t>
      </w:r>
      <w:r w:rsidR="003A655B" w:rsidRPr="00403181">
        <w:rPr>
          <w:rFonts w:asciiTheme="minorHAnsi" w:hAnsiTheme="minorHAnsi" w:cstheme="minorHAnsi"/>
          <w:szCs w:val="22"/>
        </w:rPr>
        <w:t xml:space="preserve">on </w:t>
      </w:r>
      <w:r w:rsidR="007F2A03" w:rsidRPr="00403181">
        <w:rPr>
          <w:rFonts w:asciiTheme="minorHAnsi" w:hAnsiTheme="minorHAnsi" w:cstheme="minorHAnsi"/>
          <w:szCs w:val="22"/>
        </w:rPr>
        <w:t>the MDRAP</w:t>
      </w:r>
      <w:r w:rsidR="00756860" w:rsidRPr="00403181">
        <w:rPr>
          <w:rFonts w:asciiTheme="minorHAnsi" w:hAnsiTheme="minorHAnsi" w:cstheme="minorHAnsi"/>
          <w:szCs w:val="22"/>
        </w:rPr>
        <w:t xml:space="preserve"> </w:t>
      </w:r>
      <w:r w:rsidR="007F2A03" w:rsidRPr="00403181">
        <w:rPr>
          <w:rFonts w:asciiTheme="minorHAnsi" w:hAnsiTheme="minorHAnsi" w:cstheme="minorHAnsi"/>
          <w:szCs w:val="22"/>
        </w:rPr>
        <w:t>must complete foundation general practice training modules provided by either the Royal Australian College of General Practitioners or the Australian College of Rural and Remote Medicine within 6 months of commencing on the MDRAP</w:t>
      </w:r>
      <w:r w:rsidR="00602EDD">
        <w:rPr>
          <w:rFonts w:asciiTheme="minorHAnsi" w:hAnsiTheme="minorHAnsi" w:cstheme="minorHAnsi"/>
          <w:szCs w:val="22"/>
        </w:rPr>
        <w:t>.</w:t>
      </w:r>
      <w:r w:rsidR="00A706BF">
        <w:rPr>
          <w:rFonts w:asciiTheme="minorHAnsi" w:hAnsiTheme="minorHAnsi" w:cstheme="minorHAnsi"/>
          <w:szCs w:val="22"/>
        </w:rPr>
        <w:t xml:space="preserve"> </w:t>
      </w:r>
      <w:r w:rsidR="00954A8D" w:rsidRPr="00403181">
        <w:rPr>
          <w:rFonts w:asciiTheme="minorHAnsi" w:hAnsiTheme="minorHAnsi" w:cstheme="minorHAnsi"/>
          <w:szCs w:val="22"/>
        </w:rPr>
        <w:t xml:space="preserve">The foundation modules are available online and provide an understanding of the Australian health care system and the context of general </w:t>
      </w:r>
      <w:r w:rsidR="00BF4779" w:rsidRPr="00403181">
        <w:rPr>
          <w:rFonts w:asciiTheme="minorHAnsi" w:hAnsiTheme="minorHAnsi" w:cstheme="minorHAnsi"/>
          <w:szCs w:val="22"/>
        </w:rPr>
        <w:t>practice.</w:t>
      </w:r>
      <w:r w:rsidR="00BF4779">
        <w:rPr>
          <w:rFonts w:asciiTheme="minorHAnsi" w:hAnsiTheme="minorHAnsi" w:cstheme="minorHAnsi"/>
          <w:szCs w:val="22"/>
        </w:rPr>
        <w:t xml:space="preserve"> The</w:t>
      </w:r>
      <w:r w:rsidR="00A706BF">
        <w:rPr>
          <w:rFonts w:asciiTheme="minorHAnsi" w:hAnsiTheme="minorHAnsi" w:cstheme="minorHAnsi"/>
          <w:szCs w:val="22"/>
        </w:rPr>
        <w:t xml:space="preserve"> RWA can waive the requirement to complete </w:t>
      </w:r>
      <w:r w:rsidR="00954A8D">
        <w:rPr>
          <w:rFonts w:asciiTheme="minorHAnsi" w:hAnsiTheme="minorHAnsi" w:cstheme="minorHAnsi"/>
          <w:szCs w:val="22"/>
        </w:rPr>
        <w:t xml:space="preserve">some or </w:t>
      </w:r>
      <w:proofErr w:type="gramStart"/>
      <w:r w:rsidR="00954A8D">
        <w:rPr>
          <w:rFonts w:asciiTheme="minorHAnsi" w:hAnsiTheme="minorHAnsi" w:cstheme="minorHAnsi"/>
          <w:szCs w:val="22"/>
        </w:rPr>
        <w:t>all of</w:t>
      </w:r>
      <w:proofErr w:type="gramEnd"/>
      <w:r w:rsidR="00954A8D">
        <w:rPr>
          <w:rFonts w:asciiTheme="minorHAnsi" w:hAnsiTheme="minorHAnsi" w:cstheme="minorHAnsi"/>
          <w:szCs w:val="22"/>
        </w:rPr>
        <w:t xml:space="preserve"> </w:t>
      </w:r>
      <w:r w:rsidR="00A706BF">
        <w:rPr>
          <w:rFonts w:asciiTheme="minorHAnsi" w:hAnsiTheme="minorHAnsi" w:cstheme="minorHAnsi"/>
          <w:szCs w:val="22"/>
        </w:rPr>
        <w:t xml:space="preserve">the foundation modules if the doctor has </w:t>
      </w:r>
      <w:r w:rsidR="00954A8D">
        <w:rPr>
          <w:rFonts w:asciiTheme="minorHAnsi" w:hAnsiTheme="minorHAnsi" w:cstheme="minorHAnsi"/>
          <w:szCs w:val="22"/>
        </w:rPr>
        <w:t xml:space="preserve">a current </w:t>
      </w:r>
      <w:r w:rsidR="00A706BF">
        <w:rPr>
          <w:rFonts w:asciiTheme="minorHAnsi" w:hAnsiTheme="minorHAnsi" w:cstheme="minorHAnsi"/>
          <w:szCs w:val="22"/>
        </w:rPr>
        <w:t>pass</w:t>
      </w:r>
      <w:r w:rsidR="00954A8D">
        <w:rPr>
          <w:rFonts w:asciiTheme="minorHAnsi" w:hAnsiTheme="minorHAnsi" w:cstheme="minorHAnsi"/>
          <w:szCs w:val="22"/>
        </w:rPr>
        <w:t xml:space="preserve"> for </w:t>
      </w:r>
      <w:r w:rsidR="00A706BF">
        <w:rPr>
          <w:rFonts w:asciiTheme="minorHAnsi" w:hAnsiTheme="minorHAnsi" w:cstheme="minorHAnsi"/>
          <w:szCs w:val="22"/>
        </w:rPr>
        <w:t>one of the College exams</w:t>
      </w:r>
      <w:r w:rsidR="007C4D3F">
        <w:rPr>
          <w:rFonts w:asciiTheme="minorHAnsi" w:hAnsiTheme="minorHAnsi" w:cstheme="minorHAnsi"/>
          <w:szCs w:val="22"/>
        </w:rPr>
        <w:t>, with the exception of the cultural awareness module, which is mandatory for all MDRAP participants</w:t>
      </w:r>
      <w:r w:rsidR="00A706BF">
        <w:rPr>
          <w:rFonts w:asciiTheme="minorHAnsi" w:hAnsiTheme="minorHAnsi" w:cstheme="minorHAnsi"/>
          <w:szCs w:val="22"/>
        </w:rPr>
        <w:t>.</w:t>
      </w:r>
    </w:p>
    <w:p w14:paraId="4E849D37" w14:textId="235293C2" w:rsidR="00DF3BCA" w:rsidRPr="00881B37" w:rsidRDefault="00DF3BCA" w:rsidP="00956849">
      <w:pPr>
        <w:pStyle w:val="Heading3Numbered"/>
        <w:ind w:left="716"/>
      </w:pPr>
      <w:bookmarkStart w:id="25" w:name="_Toc118975667"/>
      <w:r w:rsidRPr="00881B37">
        <w:t>Eligibility for</w:t>
      </w:r>
      <w:r w:rsidR="005A61C6" w:rsidRPr="00881B37">
        <w:t xml:space="preserve"> learning and development</w:t>
      </w:r>
      <w:r w:rsidRPr="00881B37">
        <w:t xml:space="preserve"> payments</w:t>
      </w:r>
      <w:bookmarkEnd w:id="25"/>
    </w:p>
    <w:p w14:paraId="5090229E" w14:textId="77777777" w:rsidR="00947469" w:rsidRPr="00881B37" w:rsidRDefault="00947469" w:rsidP="00947469">
      <w:pPr>
        <w:spacing w:before="40" w:after="80" w:line="259" w:lineRule="auto"/>
      </w:pPr>
      <w:r w:rsidRPr="00881B37">
        <w:t xml:space="preserve">Based on the assessment plan, RWAs may fund appropriate learning and development opportunities for MDRAP participants. MDRAP participants can access </w:t>
      </w:r>
      <w:proofErr w:type="gramStart"/>
      <w:r w:rsidRPr="00881B37">
        <w:t>fully</w:t>
      </w:r>
      <w:proofErr w:type="gramEnd"/>
      <w:r w:rsidRPr="00881B37">
        <w:t xml:space="preserve"> or partially subsidised clinical learning and development opportunities as identified in the assessment plan or based on emerging community needs.</w:t>
      </w:r>
    </w:p>
    <w:p w14:paraId="448CE6DB" w14:textId="77777777" w:rsidR="005A563E" w:rsidRPr="00881B37" w:rsidRDefault="00DF3BCA" w:rsidP="000E1CC3">
      <w:pPr>
        <w:rPr>
          <w:rFonts w:asciiTheme="minorHAnsi" w:hAnsiTheme="minorHAnsi" w:cstheme="minorHAnsi"/>
          <w:szCs w:val="22"/>
        </w:rPr>
      </w:pPr>
      <w:r w:rsidRPr="00881B37">
        <w:rPr>
          <w:rFonts w:asciiTheme="minorHAnsi" w:hAnsiTheme="minorHAnsi" w:cstheme="minorHAnsi"/>
          <w:szCs w:val="22"/>
        </w:rPr>
        <w:t xml:space="preserve">To be eligible for reimbursement for the foundation general practice training modules, </w:t>
      </w:r>
      <w:r w:rsidR="005A563E" w:rsidRPr="00881B37">
        <w:rPr>
          <w:rFonts w:asciiTheme="minorHAnsi" w:hAnsiTheme="minorHAnsi" w:cstheme="minorHAnsi"/>
          <w:szCs w:val="22"/>
        </w:rPr>
        <w:t xml:space="preserve">MDRAP participants must provide the RWA with evidence </w:t>
      </w:r>
      <w:r w:rsidR="005A61C6" w:rsidRPr="00881B37">
        <w:rPr>
          <w:rFonts w:asciiTheme="minorHAnsi" w:hAnsiTheme="minorHAnsi" w:cstheme="minorHAnsi"/>
          <w:szCs w:val="22"/>
        </w:rPr>
        <w:t>of</w:t>
      </w:r>
      <w:r w:rsidR="005A563E" w:rsidRPr="00881B37">
        <w:rPr>
          <w:rFonts w:asciiTheme="minorHAnsi" w:hAnsiTheme="minorHAnsi" w:cstheme="minorHAnsi"/>
          <w:szCs w:val="22"/>
        </w:rPr>
        <w:t xml:space="preserve"> completion. The participant will be eligible for a payment of up to $500 total.</w:t>
      </w:r>
    </w:p>
    <w:p w14:paraId="6C814921" w14:textId="77777777" w:rsidR="00B747CC" w:rsidRDefault="00B747CC" w:rsidP="00B747CC">
      <w:pPr>
        <w:rPr>
          <w:rFonts w:asciiTheme="minorHAnsi" w:hAnsiTheme="minorHAnsi" w:cstheme="minorHAnsi"/>
          <w:szCs w:val="22"/>
        </w:rPr>
      </w:pPr>
      <w:r w:rsidRPr="00881B37">
        <w:rPr>
          <w:rFonts w:asciiTheme="minorHAnsi" w:hAnsiTheme="minorHAnsi" w:cstheme="minorHAnsi"/>
          <w:szCs w:val="22"/>
        </w:rPr>
        <w:t>Funding for learning and development determined by the assessment plan and the period of participation in the MDRAP. The maximum funding available is up to $13,600 per MDRAP participant.</w:t>
      </w:r>
      <w:r>
        <w:rPr>
          <w:rFonts w:asciiTheme="minorHAnsi" w:hAnsiTheme="minorHAnsi" w:cstheme="minorHAnsi"/>
          <w:szCs w:val="22"/>
        </w:rPr>
        <w:t xml:space="preserve"> </w:t>
      </w:r>
    </w:p>
    <w:p w14:paraId="36DF7492" w14:textId="77777777" w:rsidR="00881B37" w:rsidRDefault="001715C7" w:rsidP="00C01B63">
      <w:pPr>
        <w:pStyle w:val="Heading3Numbered"/>
        <w:ind w:left="716"/>
      </w:pPr>
      <w:bookmarkStart w:id="26" w:name="_Toc14857644"/>
      <w:bookmarkStart w:id="27" w:name="_Toc118975668"/>
      <w:r w:rsidRPr="004D3093">
        <w:t>Professional development</w:t>
      </w:r>
      <w:bookmarkEnd w:id="26"/>
      <w:bookmarkEnd w:id="27"/>
    </w:p>
    <w:p w14:paraId="3587C900" w14:textId="77777777" w:rsidR="00881B37" w:rsidRPr="00881B37" w:rsidRDefault="007F2A03" w:rsidP="00C01B63">
      <w:r w:rsidRPr="00881B37">
        <w:t>The AHPRA registration standard includes 50 hours of prof</w:t>
      </w:r>
      <w:r w:rsidR="00CC459A" w:rsidRPr="00881B37">
        <w:t xml:space="preserve">essional development annually. </w:t>
      </w:r>
      <w:r w:rsidR="00E30A39" w:rsidRPr="00881B37">
        <w:t>Doctors who participate</w:t>
      </w:r>
      <w:r w:rsidRPr="00881B37">
        <w:t xml:space="preserve"> in the MDRAP for a period greater than 12 months must ensure at least half of their annual professional development </w:t>
      </w:r>
      <w:r w:rsidR="00D952AF" w:rsidRPr="00881B37">
        <w:t>is</w:t>
      </w:r>
      <w:r w:rsidRPr="00881B37">
        <w:t xml:space="preserve"> relevant to general practice</w:t>
      </w:r>
      <w:r w:rsidR="00B604B1" w:rsidRPr="00881B37">
        <w:t xml:space="preserve"> by completing education modules accredited or endorsed by a general practice college</w:t>
      </w:r>
      <w:r w:rsidRPr="00881B37">
        <w:t>.</w:t>
      </w:r>
      <w:r w:rsidR="00574F9E" w:rsidRPr="00881B37">
        <w:t xml:space="preserve"> </w:t>
      </w:r>
      <w:r w:rsidR="00B604B1" w:rsidRPr="00881B37">
        <w:t xml:space="preserve">Further information is available from </w:t>
      </w:r>
      <w:r w:rsidR="00574F9E" w:rsidRPr="00881B37">
        <w:t>the general practice colleges.</w:t>
      </w:r>
      <w:bookmarkStart w:id="28" w:name="_Toc14857645"/>
    </w:p>
    <w:p w14:paraId="3536D52D" w14:textId="54F9EE13" w:rsidR="003D45AF" w:rsidRPr="00881B37" w:rsidRDefault="00FA5B70" w:rsidP="009B65AA">
      <w:pPr>
        <w:pStyle w:val="Heading2Numbered"/>
        <w:numPr>
          <w:ilvl w:val="0"/>
          <w:numId w:val="4"/>
        </w:numPr>
        <w:rPr>
          <w:szCs w:val="22"/>
        </w:rPr>
      </w:pPr>
      <w:bookmarkStart w:id="29" w:name="_Toc118975669"/>
      <w:r w:rsidRPr="00881B37">
        <w:t>Length</w:t>
      </w:r>
      <w:r w:rsidRPr="00881B37">
        <w:rPr>
          <w:szCs w:val="22"/>
        </w:rPr>
        <w:t xml:space="preserve"> of Placement</w:t>
      </w:r>
      <w:bookmarkEnd w:id="28"/>
      <w:bookmarkEnd w:id="29"/>
    </w:p>
    <w:p w14:paraId="139CE077" w14:textId="77777777" w:rsidR="004E5081" w:rsidRDefault="005F5F57" w:rsidP="00AF5E0D">
      <w:pPr>
        <w:rPr>
          <w:rFonts w:asciiTheme="minorHAnsi" w:hAnsiTheme="minorHAnsi" w:cstheme="minorHAnsi"/>
          <w:szCs w:val="22"/>
        </w:rPr>
      </w:pPr>
      <w:r w:rsidRPr="00AF5E0D">
        <w:rPr>
          <w:rFonts w:asciiTheme="minorHAnsi" w:hAnsiTheme="minorHAnsi" w:cstheme="minorHAnsi"/>
          <w:szCs w:val="22"/>
        </w:rPr>
        <w:t>The length of a MDRAP placement wi</w:t>
      </w:r>
      <w:r w:rsidR="00BF0B8F" w:rsidRPr="00AF5E0D">
        <w:rPr>
          <w:rFonts w:asciiTheme="minorHAnsi" w:hAnsiTheme="minorHAnsi" w:cstheme="minorHAnsi"/>
          <w:szCs w:val="22"/>
        </w:rPr>
        <w:t>ll depend on the eligibility category of the participant</w:t>
      </w:r>
      <w:r w:rsidRPr="00AF5E0D">
        <w:rPr>
          <w:rFonts w:asciiTheme="minorHAnsi" w:hAnsiTheme="minorHAnsi" w:cstheme="minorHAnsi"/>
          <w:szCs w:val="22"/>
        </w:rPr>
        <w:t>.</w:t>
      </w:r>
    </w:p>
    <w:p w14:paraId="045BE2CA" w14:textId="77777777" w:rsidR="00394AA8" w:rsidRPr="00325B39" w:rsidRDefault="00394AA8" w:rsidP="004C21A2">
      <w:pPr>
        <w:pStyle w:val="Heading3Numbered"/>
        <w:ind w:left="716"/>
      </w:pPr>
      <w:bookmarkStart w:id="30" w:name="_Toc14857646"/>
      <w:bookmarkStart w:id="31" w:name="_Toc118975670"/>
      <w:r w:rsidRPr="00325B39">
        <w:t>Junior Doctors and Doctors working towards a fellowship pathway</w:t>
      </w:r>
      <w:bookmarkEnd w:id="30"/>
      <w:bookmarkEnd w:id="31"/>
    </w:p>
    <w:p w14:paraId="541823A4" w14:textId="77777777" w:rsidR="00696E6D" w:rsidRPr="00325B39" w:rsidRDefault="00394AA8" w:rsidP="00AF5E0D">
      <w:pPr>
        <w:rPr>
          <w:rFonts w:asciiTheme="minorHAnsi" w:hAnsiTheme="minorHAnsi" w:cstheme="minorHAnsi"/>
          <w:szCs w:val="22"/>
        </w:rPr>
      </w:pPr>
      <w:r w:rsidRPr="00325B39">
        <w:rPr>
          <w:rFonts w:asciiTheme="minorHAnsi" w:hAnsiTheme="minorHAnsi" w:cstheme="minorHAnsi"/>
          <w:szCs w:val="22"/>
        </w:rPr>
        <w:t>Junior</w:t>
      </w:r>
      <w:r w:rsidR="00C20A85">
        <w:rPr>
          <w:rFonts w:asciiTheme="minorHAnsi" w:hAnsiTheme="minorHAnsi" w:cstheme="minorHAnsi"/>
          <w:szCs w:val="22"/>
        </w:rPr>
        <w:t xml:space="preserve"> Doctors have up to two years (f</w:t>
      </w:r>
      <w:r w:rsidRPr="00325B39">
        <w:rPr>
          <w:rFonts w:asciiTheme="minorHAnsi" w:hAnsiTheme="minorHAnsi" w:cstheme="minorHAnsi"/>
          <w:szCs w:val="22"/>
        </w:rPr>
        <w:t xml:space="preserve">ulltime) to experience general practice in a MMM 2-7 location.  After this </w:t>
      </w:r>
      <w:proofErr w:type="gramStart"/>
      <w:r w:rsidRPr="00325B39">
        <w:rPr>
          <w:rFonts w:asciiTheme="minorHAnsi" w:hAnsiTheme="minorHAnsi" w:cstheme="minorHAnsi"/>
          <w:szCs w:val="22"/>
        </w:rPr>
        <w:t>period</w:t>
      </w:r>
      <w:proofErr w:type="gramEnd"/>
      <w:r w:rsidRPr="00325B39">
        <w:rPr>
          <w:rFonts w:asciiTheme="minorHAnsi" w:hAnsiTheme="minorHAnsi" w:cstheme="minorHAnsi"/>
          <w:szCs w:val="22"/>
        </w:rPr>
        <w:t xml:space="preserve"> they </w:t>
      </w:r>
      <w:r w:rsidR="00C20A85">
        <w:rPr>
          <w:rFonts w:asciiTheme="minorHAnsi" w:hAnsiTheme="minorHAnsi" w:cstheme="minorHAnsi"/>
          <w:szCs w:val="22"/>
        </w:rPr>
        <w:t>may</w:t>
      </w:r>
      <w:r w:rsidRPr="00325B39">
        <w:rPr>
          <w:rFonts w:asciiTheme="minorHAnsi" w:hAnsiTheme="minorHAnsi" w:cstheme="minorHAnsi"/>
          <w:szCs w:val="22"/>
        </w:rPr>
        <w:t xml:space="preserve"> seek an extension to their MDRAP placement, subject to the requirements outlined below.</w:t>
      </w:r>
    </w:p>
    <w:p w14:paraId="3969DD31" w14:textId="77777777" w:rsidR="00230EE4" w:rsidRDefault="00197953" w:rsidP="001A280F">
      <w:pPr>
        <w:rPr>
          <w:rFonts w:asciiTheme="minorHAnsi" w:hAnsiTheme="minorHAnsi" w:cstheme="minorHAnsi"/>
          <w:szCs w:val="22"/>
        </w:rPr>
      </w:pPr>
      <w:r w:rsidRPr="00325B39">
        <w:rPr>
          <w:rFonts w:asciiTheme="minorHAnsi" w:hAnsiTheme="minorHAnsi" w:cstheme="minorHAnsi"/>
          <w:szCs w:val="22"/>
        </w:rPr>
        <w:t>Doctors</w:t>
      </w:r>
      <w:r w:rsidR="005F5F57" w:rsidRPr="00325B39">
        <w:rPr>
          <w:rFonts w:asciiTheme="minorHAnsi" w:hAnsiTheme="minorHAnsi" w:cstheme="minorHAnsi"/>
          <w:szCs w:val="22"/>
        </w:rPr>
        <w:t xml:space="preserve"> working towards entry to a fellowship pathway will be granted an initial</w:t>
      </w:r>
      <w:r w:rsidR="00574F9E">
        <w:rPr>
          <w:rFonts w:asciiTheme="minorHAnsi" w:hAnsiTheme="minorHAnsi" w:cstheme="minorHAnsi"/>
          <w:szCs w:val="22"/>
        </w:rPr>
        <w:t xml:space="preserve"> placement for 2 years. </w:t>
      </w:r>
      <w:r w:rsidR="003C0FFB" w:rsidRPr="00325B39">
        <w:rPr>
          <w:rFonts w:asciiTheme="minorHAnsi" w:hAnsiTheme="minorHAnsi" w:cstheme="minorHAnsi"/>
          <w:szCs w:val="22"/>
        </w:rPr>
        <w:t>There will be</w:t>
      </w:r>
      <w:r w:rsidR="008D5DE8" w:rsidRPr="00325B39">
        <w:rPr>
          <w:rFonts w:asciiTheme="minorHAnsi" w:hAnsiTheme="minorHAnsi" w:cstheme="minorHAnsi"/>
          <w:szCs w:val="22"/>
        </w:rPr>
        <w:t xml:space="preserve"> an option to seek an extension</w:t>
      </w:r>
      <w:r w:rsidR="001715C7" w:rsidRPr="00325B39">
        <w:rPr>
          <w:rFonts w:asciiTheme="minorHAnsi" w:hAnsiTheme="minorHAnsi" w:cstheme="minorHAnsi"/>
          <w:szCs w:val="22"/>
        </w:rPr>
        <w:t xml:space="preserve"> beyond this</w:t>
      </w:r>
      <w:r w:rsidR="00D952AF" w:rsidRPr="00325B39">
        <w:rPr>
          <w:rFonts w:asciiTheme="minorHAnsi" w:hAnsiTheme="minorHAnsi" w:cstheme="minorHAnsi"/>
          <w:szCs w:val="22"/>
        </w:rPr>
        <w:t xml:space="preserve">.  </w:t>
      </w:r>
    </w:p>
    <w:p w14:paraId="3D1C36A0" w14:textId="2D576968" w:rsidR="00AF5E0D" w:rsidRPr="00325B39" w:rsidRDefault="00FB2B99" w:rsidP="001A280F">
      <w:pPr>
        <w:rPr>
          <w:rFonts w:asciiTheme="minorHAnsi" w:hAnsiTheme="minorHAnsi" w:cstheme="minorHAnsi"/>
          <w:szCs w:val="22"/>
        </w:rPr>
      </w:pPr>
      <w:r w:rsidRPr="00325B39">
        <w:rPr>
          <w:rFonts w:asciiTheme="minorHAnsi" w:hAnsiTheme="minorHAnsi" w:cstheme="minorHAnsi"/>
          <w:szCs w:val="22"/>
        </w:rPr>
        <w:t>Participants seeking</w:t>
      </w:r>
      <w:r w:rsidR="003C0FFB" w:rsidRPr="00325B39">
        <w:rPr>
          <w:rFonts w:asciiTheme="minorHAnsi" w:hAnsiTheme="minorHAnsi" w:cstheme="minorHAnsi"/>
          <w:szCs w:val="22"/>
        </w:rPr>
        <w:t xml:space="preserve"> an extension </w:t>
      </w:r>
      <w:r w:rsidR="009A6AAB" w:rsidRPr="00325B39">
        <w:rPr>
          <w:rFonts w:asciiTheme="minorHAnsi" w:hAnsiTheme="minorHAnsi" w:cstheme="minorHAnsi"/>
          <w:szCs w:val="22"/>
        </w:rPr>
        <w:t>must</w:t>
      </w:r>
      <w:r w:rsidR="00D952AF" w:rsidRPr="00325B39">
        <w:rPr>
          <w:rFonts w:asciiTheme="minorHAnsi" w:hAnsiTheme="minorHAnsi" w:cstheme="minorHAnsi"/>
          <w:szCs w:val="22"/>
        </w:rPr>
        <w:t>:</w:t>
      </w:r>
    </w:p>
    <w:p w14:paraId="7E686F1D" w14:textId="77777777" w:rsidR="00D952AF" w:rsidRPr="00CC459A" w:rsidRDefault="009A6AAB" w:rsidP="00E550BD">
      <w:pPr>
        <w:pStyle w:val="ListBullet"/>
      </w:pPr>
      <w:r w:rsidRPr="00CC459A">
        <w:t>provide</w:t>
      </w:r>
      <w:r w:rsidR="003C0FFB" w:rsidRPr="00CC459A">
        <w:t xml:space="preserve"> evidence of at least </w:t>
      </w:r>
      <w:r w:rsidR="00403181">
        <w:t>one (</w:t>
      </w:r>
      <w:r w:rsidR="00B604B1" w:rsidRPr="00CC459A">
        <w:t>1</w:t>
      </w:r>
      <w:r w:rsidR="00403181">
        <w:t>)</w:t>
      </w:r>
      <w:r w:rsidR="00B604B1" w:rsidRPr="00CC459A">
        <w:t xml:space="preserve"> </w:t>
      </w:r>
      <w:r w:rsidR="003C0FFB" w:rsidRPr="00CC459A">
        <w:t>applicatio</w:t>
      </w:r>
      <w:r w:rsidR="00D952AF" w:rsidRPr="00CC459A">
        <w:t xml:space="preserve">n to a college </w:t>
      </w:r>
      <w:r w:rsidR="008D5DE8" w:rsidRPr="00CC459A">
        <w:t>path</w:t>
      </w:r>
      <w:r w:rsidR="00D952AF" w:rsidRPr="00CC459A">
        <w:t xml:space="preserve">way; </w:t>
      </w:r>
      <w:r w:rsidR="003C0FFB" w:rsidRPr="00CC459A">
        <w:t xml:space="preserve">and </w:t>
      </w:r>
    </w:p>
    <w:p w14:paraId="077BA752" w14:textId="77777777" w:rsidR="001715C7" w:rsidRPr="00CC459A" w:rsidRDefault="003C0FFB" w:rsidP="00E550BD">
      <w:pPr>
        <w:pStyle w:val="ListBullet"/>
      </w:pPr>
      <w:r w:rsidRPr="00CC459A">
        <w:t>undertake specific education activities</w:t>
      </w:r>
      <w:r w:rsidR="00D952AF" w:rsidRPr="00CC459A">
        <w:t xml:space="preserve"> as directed by the </w:t>
      </w:r>
      <w:r w:rsidR="004D0828">
        <w:t>RWA</w:t>
      </w:r>
      <w:r w:rsidRPr="00CC459A">
        <w:t>.</w:t>
      </w:r>
    </w:p>
    <w:p w14:paraId="2DCEAAF7" w14:textId="77777777" w:rsidR="001A280F" w:rsidRDefault="004D0828" w:rsidP="00696E6D">
      <w:pPr>
        <w:rPr>
          <w:rFonts w:asciiTheme="minorHAnsi" w:hAnsiTheme="minorHAnsi" w:cstheme="minorHAnsi"/>
          <w:szCs w:val="22"/>
        </w:rPr>
      </w:pPr>
      <w:r>
        <w:rPr>
          <w:rFonts w:asciiTheme="minorHAnsi" w:hAnsiTheme="minorHAnsi" w:cstheme="minorHAnsi"/>
          <w:szCs w:val="22"/>
        </w:rPr>
        <w:t>RWA</w:t>
      </w:r>
      <w:r w:rsidR="008D5DE8" w:rsidRPr="00AF5E0D">
        <w:rPr>
          <w:rFonts w:asciiTheme="minorHAnsi" w:hAnsiTheme="minorHAnsi" w:cstheme="minorHAnsi"/>
          <w:szCs w:val="22"/>
        </w:rPr>
        <w:t xml:space="preserve"> </w:t>
      </w:r>
      <w:r w:rsidR="00923638" w:rsidRPr="00AF5E0D">
        <w:rPr>
          <w:rFonts w:asciiTheme="minorHAnsi" w:hAnsiTheme="minorHAnsi" w:cstheme="minorHAnsi"/>
          <w:szCs w:val="22"/>
        </w:rPr>
        <w:t>can approve leave for periods greater than 3 months (</w:t>
      </w:r>
      <w:proofErr w:type="gramStart"/>
      <w:r w:rsidR="00923638" w:rsidRPr="00AF5E0D">
        <w:rPr>
          <w:rFonts w:asciiTheme="minorHAnsi" w:hAnsiTheme="minorHAnsi" w:cstheme="minorHAnsi"/>
          <w:szCs w:val="22"/>
        </w:rPr>
        <w:t>e.g.</w:t>
      </w:r>
      <w:proofErr w:type="gramEnd"/>
      <w:r w:rsidR="00923638" w:rsidRPr="00AF5E0D">
        <w:rPr>
          <w:rFonts w:asciiTheme="minorHAnsi" w:hAnsiTheme="minorHAnsi" w:cstheme="minorHAnsi"/>
          <w:szCs w:val="22"/>
        </w:rPr>
        <w:t xml:space="preserve"> maternity leave).  A period of approved leave is not counted towards </w:t>
      </w:r>
      <w:r w:rsidR="00BF0B8F" w:rsidRPr="00AF5E0D">
        <w:rPr>
          <w:rFonts w:asciiTheme="minorHAnsi" w:hAnsiTheme="minorHAnsi" w:cstheme="minorHAnsi"/>
          <w:szCs w:val="22"/>
        </w:rPr>
        <w:t xml:space="preserve">MDRAP </w:t>
      </w:r>
      <w:r w:rsidR="00923638" w:rsidRPr="00AF5E0D">
        <w:rPr>
          <w:rFonts w:asciiTheme="minorHAnsi" w:hAnsiTheme="minorHAnsi" w:cstheme="minorHAnsi"/>
          <w:szCs w:val="22"/>
        </w:rPr>
        <w:t>participation</w:t>
      </w:r>
      <w:r w:rsidR="00BF0B8F" w:rsidRPr="00AF5E0D">
        <w:rPr>
          <w:rFonts w:asciiTheme="minorHAnsi" w:hAnsiTheme="minorHAnsi" w:cstheme="minorHAnsi"/>
          <w:szCs w:val="22"/>
        </w:rPr>
        <w:t xml:space="preserve"> </w:t>
      </w:r>
      <w:r w:rsidR="000764F9">
        <w:rPr>
          <w:rFonts w:asciiTheme="minorHAnsi" w:hAnsiTheme="minorHAnsi" w:cstheme="minorHAnsi"/>
          <w:szCs w:val="22"/>
        </w:rPr>
        <w:t>time limits</w:t>
      </w:r>
      <w:r w:rsidR="00BF0B8F" w:rsidRPr="00AF5E0D">
        <w:rPr>
          <w:rFonts w:asciiTheme="minorHAnsi" w:hAnsiTheme="minorHAnsi" w:cstheme="minorHAnsi"/>
          <w:szCs w:val="22"/>
        </w:rPr>
        <w:t>.</w:t>
      </w:r>
      <w:r w:rsidR="001A280F">
        <w:rPr>
          <w:rFonts w:asciiTheme="minorHAnsi" w:hAnsiTheme="minorHAnsi" w:cstheme="minorHAnsi"/>
          <w:szCs w:val="22"/>
        </w:rPr>
        <w:t xml:space="preserve"> </w:t>
      </w:r>
      <w:r w:rsidR="007210CC">
        <w:rPr>
          <w:rFonts w:asciiTheme="minorHAnsi" w:hAnsiTheme="minorHAnsi" w:cstheme="minorHAnsi"/>
          <w:szCs w:val="22"/>
        </w:rPr>
        <w:t xml:space="preserve">Up to two extensions may be granted </w:t>
      </w:r>
      <w:r w:rsidR="00CC459A">
        <w:rPr>
          <w:rFonts w:asciiTheme="minorHAnsi" w:hAnsiTheme="minorHAnsi" w:cstheme="minorHAnsi"/>
          <w:szCs w:val="22"/>
        </w:rPr>
        <w:t>for a period of one year each.</w:t>
      </w:r>
    </w:p>
    <w:p w14:paraId="6C8185B8" w14:textId="77777777" w:rsidR="002F500C" w:rsidRPr="007B7541" w:rsidRDefault="007210CC" w:rsidP="00696E6D">
      <w:pPr>
        <w:rPr>
          <w:rFonts w:asciiTheme="minorHAnsi" w:hAnsiTheme="minorHAnsi" w:cstheme="minorHAnsi"/>
          <w:szCs w:val="22"/>
        </w:rPr>
      </w:pPr>
      <w:r>
        <w:rPr>
          <w:rFonts w:asciiTheme="minorHAnsi" w:hAnsiTheme="minorHAnsi" w:cstheme="minorHAnsi"/>
          <w:szCs w:val="22"/>
        </w:rPr>
        <w:t xml:space="preserve">Total time on the program </w:t>
      </w:r>
      <w:r w:rsidR="001E5549">
        <w:rPr>
          <w:rFonts w:asciiTheme="minorHAnsi" w:hAnsiTheme="minorHAnsi" w:cstheme="minorHAnsi"/>
          <w:szCs w:val="22"/>
        </w:rPr>
        <w:t>cannot</w:t>
      </w:r>
      <w:r>
        <w:rPr>
          <w:rFonts w:asciiTheme="minorHAnsi" w:hAnsiTheme="minorHAnsi" w:cstheme="minorHAnsi"/>
          <w:szCs w:val="22"/>
        </w:rPr>
        <w:t xml:space="preserve"> exceed four years.</w:t>
      </w:r>
      <w:r w:rsidR="00394AA8">
        <w:rPr>
          <w:rFonts w:asciiTheme="minorHAnsi" w:hAnsiTheme="minorHAnsi" w:cstheme="minorHAnsi"/>
          <w:szCs w:val="22"/>
        </w:rPr>
        <w:t xml:space="preserve"> </w:t>
      </w:r>
      <w:r w:rsidR="002F500C" w:rsidRPr="007B7541">
        <w:rPr>
          <w:rFonts w:asciiTheme="minorHAnsi" w:hAnsiTheme="minorHAnsi" w:cstheme="minorHAnsi"/>
          <w:szCs w:val="22"/>
        </w:rPr>
        <w:t>Doctors who are accepted into a college pathway must commence on their scheduled date.</w:t>
      </w:r>
    </w:p>
    <w:p w14:paraId="3FF3C254" w14:textId="77777777" w:rsidR="00696E6D" w:rsidRPr="007B7541" w:rsidRDefault="00696E6D" w:rsidP="004C21A2">
      <w:pPr>
        <w:pStyle w:val="Heading3Numbered"/>
        <w:ind w:left="716"/>
      </w:pPr>
      <w:bookmarkStart w:id="32" w:name="_Toc14857647"/>
      <w:bookmarkStart w:id="33" w:name="_Toc118975671"/>
      <w:r w:rsidRPr="007B7541">
        <w:lastRenderedPageBreak/>
        <w:t>Locums</w:t>
      </w:r>
      <w:bookmarkEnd w:id="32"/>
      <w:bookmarkEnd w:id="33"/>
    </w:p>
    <w:p w14:paraId="0572EC4F" w14:textId="53DB2D18" w:rsidR="002F500C" w:rsidRDefault="00696E6D" w:rsidP="00696E6D">
      <w:pPr>
        <w:rPr>
          <w:rFonts w:asciiTheme="minorHAnsi" w:hAnsiTheme="minorHAnsi" w:cstheme="minorHAnsi"/>
          <w:szCs w:val="22"/>
        </w:rPr>
      </w:pPr>
      <w:r w:rsidRPr="007B7541">
        <w:rPr>
          <w:rFonts w:asciiTheme="minorHAnsi" w:hAnsiTheme="minorHAnsi" w:cstheme="minorHAnsi"/>
          <w:szCs w:val="22"/>
        </w:rPr>
        <w:t xml:space="preserve">Participants providing locum services or gaining exposure to general practice will be granted a placement for a period of </w:t>
      </w:r>
      <w:r w:rsidRPr="007C4D3F">
        <w:rPr>
          <w:rFonts w:asciiTheme="minorHAnsi" w:hAnsiTheme="minorHAnsi" w:cstheme="minorHAnsi"/>
          <w:szCs w:val="22"/>
        </w:rPr>
        <w:t>up to 1 year of full time e</w:t>
      </w:r>
      <w:r w:rsidR="002A2CD1" w:rsidRPr="007C4D3F">
        <w:rPr>
          <w:rFonts w:asciiTheme="minorHAnsi" w:hAnsiTheme="minorHAnsi" w:cstheme="minorHAnsi"/>
          <w:szCs w:val="22"/>
        </w:rPr>
        <w:t>quivalent</w:t>
      </w:r>
      <w:r w:rsidR="00574F9E" w:rsidRPr="007C4D3F">
        <w:rPr>
          <w:rFonts w:asciiTheme="minorHAnsi" w:hAnsiTheme="minorHAnsi" w:cstheme="minorHAnsi"/>
          <w:szCs w:val="22"/>
        </w:rPr>
        <w:t>.</w:t>
      </w:r>
      <w:r w:rsidR="00574F9E">
        <w:rPr>
          <w:rFonts w:asciiTheme="minorHAnsi" w:hAnsiTheme="minorHAnsi" w:cstheme="minorHAnsi"/>
          <w:szCs w:val="22"/>
        </w:rPr>
        <w:t xml:space="preserve"> </w:t>
      </w:r>
      <w:r w:rsidR="002F500C" w:rsidRPr="007B7541">
        <w:rPr>
          <w:rFonts w:asciiTheme="minorHAnsi" w:hAnsiTheme="minorHAnsi" w:cstheme="minorHAnsi"/>
          <w:szCs w:val="22"/>
        </w:rPr>
        <w:t>The length of the approved placement will be</w:t>
      </w:r>
      <w:r w:rsidR="002A2CD1" w:rsidRPr="007B7541">
        <w:rPr>
          <w:rFonts w:asciiTheme="minorHAnsi" w:hAnsiTheme="minorHAnsi" w:cstheme="minorHAnsi"/>
          <w:szCs w:val="22"/>
        </w:rPr>
        <w:t xml:space="preserve"> based on the </w:t>
      </w:r>
      <w:r w:rsidR="002F500C" w:rsidRPr="007B7541">
        <w:rPr>
          <w:rFonts w:asciiTheme="minorHAnsi" w:hAnsiTheme="minorHAnsi" w:cstheme="minorHAnsi"/>
          <w:szCs w:val="22"/>
        </w:rPr>
        <w:t xml:space="preserve">practice and </w:t>
      </w:r>
      <w:r w:rsidR="002A2CD1" w:rsidRPr="007B7541">
        <w:rPr>
          <w:rFonts w:asciiTheme="minorHAnsi" w:hAnsiTheme="minorHAnsi" w:cstheme="minorHAnsi"/>
          <w:szCs w:val="22"/>
        </w:rPr>
        <w:t>community needs</w:t>
      </w:r>
      <w:r w:rsidRPr="007B7541">
        <w:rPr>
          <w:rFonts w:asciiTheme="minorHAnsi" w:hAnsiTheme="minorHAnsi" w:cstheme="minorHAnsi"/>
          <w:szCs w:val="22"/>
        </w:rPr>
        <w:t>.</w:t>
      </w:r>
    </w:p>
    <w:p w14:paraId="24E0335F" w14:textId="77777777" w:rsidR="00696E6D" w:rsidRDefault="00696E6D" w:rsidP="00696E6D">
      <w:pPr>
        <w:rPr>
          <w:rFonts w:asciiTheme="minorHAnsi" w:hAnsiTheme="minorHAnsi" w:cstheme="minorHAnsi"/>
          <w:szCs w:val="22"/>
        </w:rPr>
      </w:pPr>
      <w:r w:rsidRPr="00AF5E0D">
        <w:rPr>
          <w:rFonts w:asciiTheme="minorHAnsi" w:hAnsiTheme="minorHAnsi" w:cstheme="minorHAnsi"/>
          <w:szCs w:val="22"/>
        </w:rPr>
        <w:t xml:space="preserve">The maximum period to reach a year of </w:t>
      </w:r>
      <w:proofErr w:type="gramStart"/>
      <w:r w:rsidRPr="00AF5E0D">
        <w:rPr>
          <w:rFonts w:asciiTheme="minorHAnsi" w:hAnsiTheme="minorHAnsi" w:cstheme="minorHAnsi"/>
          <w:szCs w:val="22"/>
        </w:rPr>
        <w:t>full time</w:t>
      </w:r>
      <w:proofErr w:type="gramEnd"/>
      <w:r w:rsidRPr="00AF5E0D">
        <w:rPr>
          <w:rFonts w:asciiTheme="minorHAnsi" w:hAnsiTheme="minorHAnsi" w:cstheme="minorHAnsi"/>
          <w:szCs w:val="22"/>
        </w:rPr>
        <w:t xml:space="preserve"> </w:t>
      </w:r>
      <w:r w:rsidR="002A2CD1">
        <w:rPr>
          <w:rFonts w:asciiTheme="minorHAnsi" w:hAnsiTheme="minorHAnsi" w:cstheme="minorHAnsi"/>
          <w:szCs w:val="22"/>
        </w:rPr>
        <w:t>equivalent</w:t>
      </w:r>
      <w:r w:rsidRPr="00AF5E0D">
        <w:rPr>
          <w:rFonts w:asciiTheme="minorHAnsi" w:hAnsiTheme="minorHAnsi" w:cstheme="minorHAnsi"/>
          <w:szCs w:val="22"/>
        </w:rPr>
        <w:t xml:space="preserve"> is 2 years.</w:t>
      </w:r>
    </w:p>
    <w:p w14:paraId="481F7E7B" w14:textId="77777777" w:rsidR="00923638" w:rsidRDefault="003D45AF" w:rsidP="009B65AA">
      <w:pPr>
        <w:pStyle w:val="Heading2Numbered"/>
        <w:numPr>
          <w:ilvl w:val="0"/>
          <w:numId w:val="4"/>
        </w:numPr>
      </w:pPr>
      <w:bookmarkStart w:id="34" w:name="_Toc494986686"/>
      <w:bookmarkStart w:id="35" w:name="_Toc494986687"/>
      <w:bookmarkStart w:id="36" w:name="_Toc494975766"/>
      <w:bookmarkStart w:id="37" w:name="_Toc494986688"/>
      <w:bookmarkStart w:id="38" w:name="_Toc494975767"/>
      <w:bookmarkStart w:id="39" w:name="_Toc494986689"/>
      <w:bookmarkStart w:id="40" w:name="_Toc494975768"/>
      <w:bookmarkStart w:id="41" w:name="_Toc494986690"/>
      <w:bookmarkStart w:id="42" w:name="_Toc14857648"/>
      <w:bookmarkStart w:id="43" w:name="_Toc118975672"/>
      <w:bookmarkStart w:id="44" w:name="_Toc505335906"/>
      <w:bookmarkEnd w:id="34"/>
      <w:bookmarkEnd w:id="35"/>
      <w:bookmarkEnd w:id="36"/>
      <w:bookmarkEnd w:id="37"/>
      <w:bookmarkEnd w:id="38"/>
      <w:bookmarkEnd w:id="39"/>
      <w:bookmarkEnd w:id="40"/>
      <w:bookmarkEnd w:id="41"/>
      <w:r w:rsidRPr="00AF5E0D">
        <w:t>Extenuating Circumstances</w:t>
      </w:r>
      <w:bookmarkEnd w:id="42"/>
      <w:bookmarkEnd w:id="43"/>
    </w:p>
    <w:p w14:paraId="7B440CA5" w14:textId="77777777" w:rsidR="00B604B1" w:rsidRDefault="00074DEC" w:rsidP="000E1CC3">
      <w:pPr>
        <w:rPr>
          <w:rFonts w:asciiTheme="minorHAnsi" w:hAnsiTheme="minorHAnsi" w:cstheme="minorHAnsi"/>
          <w:szCs w:val="22"/>
        </w:rPr>
      </w:pPr>
      <w:r>
        <w:rPr>
          <w:rFonts w:asciiTheme="minorHAnsi" w:hAnsiTheme="minorHAnsi" w:cstheme="minorHAnsi"/>
          <w:szCs w:val="22"/>
        </w:rPr>
        <w:t>RWAs</w:t>
      </w:r>
      <w:r w:rsidR="000E1CC3" w:rsidRPr="00AF5E0D">
        <w:rPr>
          <w:rFonts w:asciiTheme="minorHAnsi" w:hAnsiTheme="minorHAnsi" w:cstheme="minorHAnsi"/>
          <w:szCs w:val="22"/>
        </w:rPr>
        <w:t xml:space="preserve"> may consider the impact of personal circumstances on a participant’s ability to join a fellowship pathway whilst participating in the MDRAP. </w:t>
      </w:r>
      <w:r w:rsidR="000E1CC3">
        <w:rPr>
          <w:rFonts w:asciiTheme="minorHAnsi" w:hAnsiTheme="minorHAnsi" w:cstheme="minorHAnsi"/>
          <w:szCs w:val="22"/>
        </w:rPr>
        <w:t xml:space="preserve"> </w:t>
      </w:r>
    </w:p>
    <w:p w14:paraId="7CA61F95" w14:textId="77777777" w:rsidR="00B604B1" w:rsidRPr="00AF5E0D" w:rsidRDefault="00074DEC" w:rsidP="00B604B1">
      <w:pPr>
        <w:rPr>
          <w:rFonts w:asciiTheme="minorHAnsi" w:hAnsiTheme="minorHAnsi" w:cstheme="minorHAnsi"/>
          <w:szCs w:val="22"/>
        </w:rPr>
      </w:pPr>
      <w:r>
        <w:rPr>
          <w:rFonts w:asciiTheme="minorHAnsi" w:hAnsiTheme="minorHAnsi" w:cstheme="minorHAnsi"/>
          <w:szCs w:val="22"/>
        </w:rPr>
        <w:t>RWAs</w:t>
      </w:r>
      <w:r w:rsidR="00B604B1">
        <w:rPr>
          <w:rFonts w:asciiTheme="minorHAnsi" w:hAnsiTheme="minorHAnsi" w:cstheme="minorHAnsi"/>
          <w:szCs w:val="22"/>
        </w:rPr>
        <w:t xml:space="preserve"> have</w:t>
      </w:r>
      <w:r w:rsidR="00B604B1" w:rsidRPr="00AF5E0D">
        <w:rPr>
          <w:rFonts w:asciiTheme="minorHAnsi" w:hAnsiTheme="minorHAnsi" w:cstheme="minorHAnsi"/>
          <w:szCs w:val="22"/>
        </w:rPr>
        <w:t xml:space="preserve"> discretion to:</w:t>
      </w:r>
    </w:p>
    <w:p w14:paraId="0C168AE6" w14:textId="77777777" w:rsidR="00B604B1" w:rsidRPr="00CC459A" w:rsidRDefault="00B604B1" w:rsidP="00E550BD">
      <w:pPr>
        <w:pStyle w:val="ListBullet"/>
      </w:pPr>
      <w:r w:rsidRPr="00574F9E">
        <w:t xml:space="preserve">extend a MDRAP </w:t>
      </w:r>
      <w:proofErr w:type="gramStart"/>
      <w:r w:rsidRPr="00CC459A">
        <w:t>placement;</w:t>
      </w:r>
      <w:proofErr w:type="gramEnd"/>
    </w:p>
    <w:p w14:paraId="57DB3F18" w14:textId="77777777" w:rsidR="00B604B1" w:rsidRPr="00CC459A" w:rsidRDefault="00B604B1" w:rsidP="00E550BD">
      <w:pPr>
        <w:pStyle w:val="ListBullet"/>
      </w:pPr>
      <w:r w:rsidRPr="00CC459A">
        <w:t>extend timeframes to complete education; or</w:t>
      </w:r>
    </w:p>
    <w:p w14:paraId="111055A3" w14:textId="77777777" w:rsidR="00B604B1" w:rsidRPr="00574F9E" w:rsidRDefault="00B604B1" w:rsidP="00E550BD">
      <w:pPr>
        <w:pStyle w:val="ListBullet"/>
      </w:pPr>
      <w:r w:rsidRPr="00CC459A">
        <w:t>extend timeframes for applications</w:t>
      </w:r>
      <w:r w:rsidRPr="00574F9E">
        <w:t xml:space="preserve"> to college pathways.</w:t>
      </w:r>
    </w:p>
    <w:p w14:paraId="3AB2007E" w14:textId="77777777" w:rsidR="000E1CC3" w:rsidRPr="00ED5EA6" w:rsidRDefault="00846D92" w:rsidP="000E1CC3">
      <w:r w:rsidRPr="0009091C">
        <w:rPr>
          <w:rFonts w:asciiTheme="minorHAnsi" w:hAnsiTheme="minorHAnsi" w:cstheme="minorHAnsi"/>
          <w:szCs w:val="22"/>
        </w:rPr>
        <w:t>A doctor</w:t>
      </w:r>
      <w:r>
        <w:rPr>
          <w:rFonts w:asciiTheme="minorHAnsi" w:hAnsiTheme="minorHAnsi" w:cstheme="minorHAnsi"/>
          <w:szCs w:val="22"/>
        </w:rPr>
        <w:t>’s placement can be extended for up to two years due to extenuating circumstances.</w:t>
      </w:r>
      <w:r w:rsidR="00574F9E">
        <w:rPr>
          <w:rFonts w:asciiTheme="minorHAnsi" w:hAnsiTheme="minorHAnsi" w:cstheme="minorHAnsi"/>
          <w:szCs w:val="22"/>
        </w:rPr>
        <w:t xml:space="preserve"> </w:t>
      </w:r>
      <w:r w:rsidRPr="0009091C">
        <w:rPr>
          <w:rFonts w:asciiTheme="minorHAnsi" w:hAnsiTheme="minorHAnsi" w:cstheme="minorHAnsi"/>
          <w:szCs w:val="22"/>
        </w:rPr>
        <w:t>The duration of an approved placement will depend on the individual circumstances.</w:t>
      </w:r>
    </w:p>
    <w:p w14:paraId="59C9B70A" w14:textId="77777777" w:rsidR="000E1CC3" w:rsidRPr="00AF5E0D" w:rsidRDefault="000E1CC3" w:rsidP="000E1CC3">
      <w:pPr>
        <w:rPr>
          <w:rFonts w:asciiTheme="minorHAnsi" w:hAnsiTheme="minorHAnsi" w:cstheme="minorHAnsi"/>
          <w:szCs w:val="22"/>
        </w:rPr>
      </w:pPr>
      <w:r w:rsidRPr="00AF5E0D">
        <w:rPr>
          <w:rFonts w:asciiTheme="minorHAnsi" w:hAnsiTheme="minorHAnsi" w:cstheme="minorHAnsi"/>
          <w:szCs w:val="22"/>
        </w:rPr>
        <w:t>Extenuating circumstances can include, but are not limited to:</w:t>
      </w:r>
    </w:p>
    <w:p w14:paraId="2A7FEF99" w14:textId="77777777" w:rsidR="000E1CC3" w:rsidRPr="00CC459A" w:rsidRDefault="000E1CC3" w:rsidP="00E550BD">
      <w:pPr>
        <w:pStyle w:val="ListBullet"/>
      </w:pPr>
      <w:r w:rsidRPr="00574F9E">
        <w:t xml:space="preserve">serious </w:t>
      </w:r>
      <w:r w:rsidRPr="00CC459A">
        <w:t>illness of the participant, or a member of their immediate family; or</w:t>
      </w:r>
    </w:p>
    <w:p w14:paraId="091788D1" w14:textId="77777777" w:rsidR="00BC0DB6" w:rsidRPr="00CC459A" w:rsidRDefault="000E1CC3" w:rsidP="00E550BD">
      <w:pPr>
        <w:pStyle w:val="ListBullet"/>
      </w:pPr>
      <w:r w:rsidRPr="00CC459A">
        <w:t>a significant unforeseen life event that affects the participant’s ability to meet MDRAP requirements within the expected timeframes</w:t>
      </w:r>
      <w:r w:rsidR="0009091C" w:rsidRPr="00CC459A">
        <w:t xml:space="preserve"> (</w:t>
      </w:r>
      <w:proofErr w:type="gramStart"/>
      <w:r w:rsidR="0009091C" w:rsidRPr="00CC459A">
        <w:t>e.g.</w:t>
      </w:r>
      <w:proofErr w:type="gramEnd"/>
      <w:r w:rsidR="0009091C" w:rsidRPr="00CC459A">
        <w:t xml:space="preserve"> death in the immediate family)</w:t>
      </w:r>
      <w:r w:rsidR="00BC0DB6" w:rsidRPr="00CC459A">
        <w:t>; or</w:t>
      </w:r>
    </w:p>
    <w:p w14:paraId="66E8714C" w14:textId="77777777" w:rsidR="000E1CC3" w:rsidRPr="00CC459A" w:rsidRDefault="00BC0DB6" w:rsidP="00E550BD">
      <w:pPr>
        <w:pStyle w:val="ListBullet"/>
      </w:pPr>
      <w:r w:rsidRPr="00CC459A">
        <w:t xml:space="preserve">the general practice </w:t>
      </w:r>
      <w:r w:rsidR="00846D92" w:rsidRPr="00CC459A">
        <w:t>colleges’</w:t>
      </w:r>
      <w:r w:rsidRPr="00CC459A">
        <w:t xml:space="preserve"> capacity to </w:t>
      </w:r>
      <w:r w:rsidR="00C93A55" w:rsidRPr="00CC459A">
        <w:t>enrol an eligible doctor on a general practice fellowship pathway.</w:t>
      </w:r>
    </w:p>
    <w:p w14:paraId="7E4F535D" w14:textId="77777777" w:rsidR="000E1CC3" w:rsidRPr="00C577ED" w:rsidRDefault="000E1CC3" w:rsidP="000E1CC3">
      <w:pPr>
        <w:spacing w:after="0"/>
        <w:contextualSpacing/>
        <w:rPr>
          <w:rFonts w:asciiTheme="minorHAnsi" w:hAnsiTheme="minorHAnsi" w:cstheme="minorHAnsi"/>
          <w:szCs w:val="22"/>
        </w:rPr>
      </w:pPr>
      <w:r w:rsidRPr="00C577ED">
        <w:rPr>
          <w:rFonts w:asciiTheme="minorHAnsi" w:hAnsiTheme="minorHAnsi" w:cstheme="minorHAnsi"/>
          <w:szCs w:val="22"/>
        </w:rPr>
        <w:t>Supporting evidence requirements for extenuating circumstances</w:t>
      </w:r>
      <w:r w:rsidR="00C577ED">
        <w:rPr>
          <w:rFonts w:asciiTheme="minorHAnsi" w:hAnsiTheme="minorHAnsi" w:cstheme="minorHAnsi"/>
          <w:szCs w:val="22"/>
        </w:rPr>
        <w:t xml:space="preserve"> are:</w:t>
      </w:r>
    </w:p>
    <w:p w14:paraId="443E000F" w14:textId="77777777" w:rsidR="000E1CC3" w:rsidRPr="00574F9E" w:rsidRDefault="000E1CC3" w:rsidP="00E550BD">
      <w:pPr>
        <w:pStyle w:val="ListBullet"/>
      </w:pPr>
      <w:r w:rsidRPr="00C577ED">
        <w:t xml:space="preserve">a formal </w:t>
      </w:r>
      <w:r w:rsidRPr="00574F9E">
        <w:t>sig</w:t>
      </w:r>
      <w:r w:rsidR="00373E89" w:rsidRPr="00574F9E">
        <w:t>n</w:t>
      </w:r>
      <w:r w:rsidRPr="00574F9E">
        <w:t>ed letter of support from the treating health professional;</w:t>
      </w:r>
      <w:r w:rsidR="00BC0DB6" w:rsidRPr="00574F9E">
        <w:t xml:space="preserve"> </w:t>
      </w:r>
      <w:r w:rsidR="00374CFD">
        <w:t>and</w:t>
      </w:r>
    </w:p>
    <w:p w14:paraId="1995213C" w14:textId="77777777" w:rsidR="00BC0DB6" w:rsidRPr="00ED5EA6" w:rsidRDefault="000E1CC3" w:rsidP="00E550BD">
      <w:pPr>
        <w:pStyle w:val="ListBullet"/>
      </w:pPr>
      <w:r w:rsidRPr="00574F9E">
        <w:t>confirm</w:t>
      </w:r>
      <w:r w:rsidR="00C577ED" w:rsidRPr="00574F9E">
        <w:t>ation of</w:t>
      </w:r>
      <w:r w:rsidRPr="00574F9E">
        <w:t xml:space="preserve"> the</w:t>
      </w:r>
      <w:r w:rsidRPr="00C577ED">
        <w:t xml:space="preserve"> condition and the</w:t>
      </w:r>
      <w:r w:rsidR="00BC0DB6">
        <w:t xml:space="preserve"> related treatment </w:t>
      </w:r>
      <w:proofErr w:type="gramStart"/>
      <w:r w:rsidR="00BC0DB6">
        <w:t>requirements</w:t>
      </w:r>
      <w:r w:rsidR="00E32900">
        <w:t>;</w:t>
      </w:r>
      <w:proofErr w:type="gramEnd"/>
    </w:p>
    <w:p w14:paraId="0928AFDA" w14:textId="77777777" w:rsidR="00BC0DB6" w:rsidRDefault="00BC0DB6" w:rsidP="00E550BD">
      <w:pPr>
        <w:pStyle w:val="ListBullet"/>
        <w:rPr>
          <w:rFonts w:asciiTheme="minorHAnsi" w:hAnsiTheme="minorHAnsi" w:cstheme="minorHAnsi"/>
        </w:rPr>
      </w:pPr>
      <w:r>
        <w:rPr>
          <w:rFonts w:asciiTheme="minorHAnsi" w:hAnsiTheme="minorHAnsi" w:cstheme="minorHAnsi"/>
        </w:rPr>
        <w:t>or</w:t>
      </w:r>
    </w:p>
    <w:p w14:paraId="78EEE262" w14:textId="77777777" w:rsidR="00BC0DB6" w:rsidRPr="00BC0DB6" w:rsidRDefault="00BC0DB6" w:rsidP="00E550BD">
      <w:pPr>
        <w:pStyle w:val="ListBullet"/>
      </w:pPr>
      <w:r>
        <w:t>a letter from a general practice college confirming the doctor is eligible to be placed on a college program at a future date.</w:t>
      </w:r>
    </w:p>
    <w:p w14:paraId="7F6FBF89" w14:textId="77777777" w:rsidR="0000293C" w:rsidRDefault="00C577ED" w:rsidP="00ED5EA6">
      <w:pPr>
        <w:spacing w:after="0"/>
        <w:contextualSpacing/>
        <w:rPr>
          <w:rFonts w:asciiTheme="minorHAnsi" w:hAnsiTheme="minorHAnsi" w:cstheme="minorHAnsi"/>
          <w:szCs w:val="22"/>
        </w:rPr>
      </w:pPr>
      <w:r w:rsidRPr="004E5081">
        <w:rPr>
          <w:rFonts w:asciiTheme="minorHAnsi" w:hAnsiTheme="minorHAnsi" w:cstheme="minorHAnsi"/>
          <w:szCs w:val="22"/>
        </w:rPr>
        <w:t xml:space="preserve">The </w:t>
      </w:r>
      <w:r w:rsidR="000E1CC3" w:rsidRPr="004E5081">
        <w:rPr>
          <w:rFonts w:asciiTheme="minorHAnsi" w:hAnsiTheme="minorHAnsi" w:cstheme="minorHAnsi"/>
          <w:szCs w:val="22"/>
        </w:rPr>
        <w:t xml:space="preserve">evidence </w:t>
      </w:r>
      <w:r w:rsidRPr="004E5081">
        <w:rPr>
          <w:rFonts w:asciiTheme="minorHAnsi" w:hAnsiTheme="minorHAnsi" w:cstheme="minorHAnsi"/>
          <w:szCs w:val="22"/>
        </w:rPr>
        <w:t>supplied must be current and cannot be date</w:t>
      </w:r>
      <w:r w:rsidR="00373E89" w:rsidRPr="004E5081">
        <w:rPr>
          <w:rFonts w:asciiTheme="minorHAnsi" w:hAnsiTheme="minorHAnsi" w:cstheme="minorHAnsi"/>
          <w:szCs w:val="22"/>
        </w:rPr>
        <w:t>d</w:t>
      </w:r>
      <w:r w:rsidRPr="004E5081">
        <w:rPr>
          <w:rFonts w:asciiTheme="minorHAnsi" w:hAnsiTheme="minorHAnsi" w:cstheme="minorHAnsi"/>
          <w:szCs w:val="22"/>
        </w:rPr>
        <w:t xml:space="preserve"> more than one month from the application for extenuating circumstances</w:t>
      </w:r>
      <w:r w:rsidR="000E1CC3" w:rsidRPr="004E5081">
        <w:rPr>
          <w:rFonts w:asciiTheme="minorHAnsi" w:hAnsiTheme="minorHAnsi" w:cstheme="minorHAnsi"/>
          <w:szCs w:val="22"/>
        </w:rPr>
        <w:t>.</w:t>
      </w:r>
    </w:p>
    <w:p w14:paraId="7D13E75F" w14:textId="77777777" w:rsidR="000E1CC3" w:rsidRPr="0000293C" w:rsidRDefault="000E1CC3" w:rsidP="0000293C">
      <w:r w:rsidRPr="004E5081">
        <w:t>Supporting documents will not be accepted if they are from employees of a medical practice that is seeking to employ t</w:t>
      </w:r>
      <w:r w:rsidR="00CC459A">
        <w:t xml:space="preserve">he doctor under the MDRAP. </w:t>
      </w:r>
      <w:r w:rsidRPr="004E5081">
        <w:t>The supporting documents must present an independent opinion of the relevant medical condition, treatment requirements and available treatment options</w:t>
      </w:r>
      <w:r w:rsidRPr="00ED5EA6">
        <w:t>.</w:t>
      </w:r>
    </w:p>
    <w:p w14:paraId="7FA02A68" w14:textId="77777777" w:rsidR="000E1CC3" w:rsidRPr="004E5081" w:rsidRDefault="000E1CC3" w:rsidP="00ED5EA6">
      <w:r w:rsidRPr="004E5081">
        <w:t>The</w:t>
      </w:r>
      <w:r w:rsidR="00CB13D2" w:rsidRPr="004E5081">
        <w:t xml:space="preserve"> </w:t>
      </w:r>
      <w:r w:rsidR="007D2221">
        <w:t>RWA</w:t>
      </w:r>
      <w:r w:rsidRPr="004E5081">
        <w:t xml:space="preserve"> medical advisor will offer an opinion on whether the supporting medical information is complete and demonstrates </w:t>
      </w:r>
      <w:r w:rsidR="00696E6D" w:rsidRPr="004E5081">
        <w:t xml:space="preserve">that the condition would either </w:t>
      </w:r>
      <w:r w:rsidRPr="004E5081">
        <w:t xml:space="preserve">prevent or substantially impede the doctor’s ability to </w:t>
      </w:r>
      <w:r w:rsidR="00696E6D" w:rsidRPr="004E5081">
        <w:t>meet the MDRAP program requirements</w:t>
      </w:r>
      <w:r w:rsidR="00ED5EA6">
        <w:t xml:space="preserve">. </w:t>
      </w:r>
      <w:r w:rsidRPr="004E5081">
        <w:t xml:space="preserve">The medical </w:t>
      </w:r>
      <w:r w:rsidR="00696E6D" w:rsidRPr="004E5081">
        <w:t>advisor’s opinion</w:t>
      </w:r>
      <w:r w:rsidRPr="004E5081">
        <w:t xml:space="preserve"> informs the recommendation made to the decision-maker and the final advice provided to the doctor.</w:t>
      </w:r>
    </w:p>
    <w:p w14:paraId="3E87E492" w14:textId="77777777" w:rsidR="005B7B77" w:rsidRPr="004E5081" w:rsidRDefault="005B7B77" w:rsidP="00ED5EA6">
      <w:r w:rsidRPr="004E5081">
        <w:t xml:space="preserve">If a doctor has extenuating </w:t>
      </w:r>
      <w:proofErr w:type="gramStart"/>
      <w:r w:rsidRPr="004E5081">
        <w:t>circumstance</w:t>
      </w:r>
      <w:proofErr w:type="gramEnd"/>
      <w:r w:rsidRPr="004E5081">
        <w:t xml:space="preserve"> there are provisions for the doc</w:t>
      </w:r>
      <w:r w:rsidR="00ED5EA6">
        <w:t xml:space="preserve">tor to apply for an extension. </w:t>
      </w:r>
      <w:r w:rsidRPr="004E5081">
        <w:t xml:space="preserve">Up to two years </w:t>
      </w:r>
      <w:r w:rsidR="00373E89" w:rsidRPr="004E5081">
        <w:t xml:space="preserve">may be </w:t>
      </w:r>
      <w:r w:rsidRPr="004E5081">
        <w:t>provided for extenuating circumstances.  No further extensions will be granted to a doctor when they reach a total of four years on the Program.</w:t>
      </w:r>
    </w:p>
    <w:p w14:paraId="7E589A90" w14:textId="77777777" w:rsidR="00CB13D2" w:rsidRPr="004E5081" w:rsidRDefault="00CB13D2" w:rsidP="00696E6D">
      <w:pPr>
        <w:spacing w:after="0"/>
        <w:contextualSpacing/>
        <w:rPr>
          <w:rFonts w:asciiTheme="minorHAnsi" w:hAnsiTheme="minorHAnsi" w:cstheme="minorHAnsi"/>
          <w:szCs w:val="22"/>
        </w:rPr>
      </w:pPr>
      <w:r w:rsidRPr="004E5081">
        <w:rPr>
          <w:rFonts w:asciiTheme="minorHAnsi" w:hAnsiTheme="minorHAnsi" w:cstheme="minorHAnsi"/>
          <w:szCs w:val="22"/>
        </w:rPr>
        <w:t xml:space="preserve">Applications for ineligible locations will only be considered after an application for extenuating circumstances </w:t>
      </w:r>
      <w:r w:rsidR="00F15DE9" w:rsidRPr="004E5081">
        <w:rPr>
          <w:rFonts w:asciiTheme="minorHAnsi" w:hAnsiTheme="minorHAnsi" w:cstheme="minorHAnsi"/>
          <w:szCs w:val="22"/>
        </w:rPr>
        <w:t>has been</w:t>
      </w:r>
      <w:r w:rsidRPr="004E5081">
        <w:rPr>
          <w:rFonts w:asciiTheme="minorHAnsi" w:hAnsiTheme="minorHAnsi" w:cstheme="minorHAnsi"/>
          <w:szCs w:val="22"/>
        </w:rPr>
        <w:t xml:space="preserve"> approved and with additional supporting documents </w:t>
      </w:r>
      <w:r w:rsidR="00F15DE9" w:rsidRPr="004E5081">
        <w:rPr>
          <w:rFonts w:asciiTheme="minorHAnsi" w:hAnsiTheme="minorHAnsi" w:cstheme="minorHAnsi"/>
          <w:szCs w:val="22"/>
        </w:rPr>
        <w:t xml:space="preserve">confirming </w:t>
      </w:r>
      <w:r w:rsidR="00963F03" w:rsidRPr="004E5081">
        <w:rPr>
          <w:rFonts w:asciiTheme="minorHAnsi" w:hAnsiTheme="minorHAnsi" w:cstheme="minorHAnsi"/>
          <w:szCs w:val="22"/>
        </w:rPr>
        <w:t>specific medical requirements cannot be met in eligible areas.</w:t>
      </w:r>
    </w:p>
    <w:p w14:paraId="3A755A1C" w14:textId="7DF7F93D" w:rsidR="007E1C4D" w:rsidRDefault="00C93A55" w:rsidP="0000293C">
      <w:r w:rsidRPr="007B7541">
        <w:t>MDRAP exceptional circumstances applications are only</w:t>
      </w:r>
      <w:r w:rsidR="00BB7E23">
        <w:t xml:space="preserve"> </w:t>
      </w:r>
      <w:r w:rsidRPr="007B7541">
        <w:t xml:space="preserve">available for doctors </w:t>
      </w:r>
      <w:r w:rsidR="00CC5274">
        <w:t>who are already participating on the MDRAP.</w:t>
      </w:r>
      <w:r w:rsidR="0023525C">
        <w:t xml:space="preserve"> </w:t>
      </w:r>
    </w:p>
    <w:p w14:paraId="411CDD1E" w14:textId="77777777" w:rsidR="00C04445" w:rsidRDefault="004F151C" w:rsidP="009B65AA">
      <w:pPr>
        <w:pStyle w:val="Heading2Numbered"/>
        <w:numPr>
          <w:ilvl w:val="0"/>
          <w:numId w:val="4"/>
        </w:numPr>
      </w:pPr>
      <w:bookmarkStart w:id="45" w:name="_Toc14857649"/>
      <w:bookmarkStart w:id="46" w:name="_Toc118975673"/>
      <w:r>
        <w:lastRenderedPageBreak/>
        <w:t>Removal</w:t>
      </w:r>
      <w:bookmarkEnd w:id="45"/>
      <w:bookmarkEnd w:id="46"/>
    </w:p>
    <w:p w14:paraId="0B5B930E" w14:textId="64A0CCE3" w:rsidR="009A6AAB" w:rsidRPr="00AF5E0D" w:rsidRDefault="00074DEC" w:rsidP="00AF5E0D">
      <w:pPr>
        <w:rPr>
          <w:rFonts w:asciiTheme="minorHAnsi" w:hAnsiTheme="minorHAnsi" w:cstheme="minorHAnsi"/>
          <w:szCs w:val="22"/>
        </w:rPr>
      </w:pPr>
      <w:r>
        <w:rPr>
          <w:rFonts w:asciiTheme="minorHAnsi" w:hAnsiTheme="minorHAnsi" w:cstheme="minorHAnsi"/>
          <w:szCs w:val="22"/>
        </w:rPr>
        <w:t>RWAs</w:t>
      </w:r>
      <w:r w:rsidR="00CC47DD" w:rsidRPr="00AF5E0D">
        <w:rPr>
          <w:rFonts w:asciiTheme="minorHAnsi" w:hAnsiTheme="minorHAnsi" w:cstheme="minorHAnsi"/>
          <w:szCs w:val="22"/>
        </w:rPr>
        <w:t xml:space="preserve"> may </w:t>
      </w:r>
      <w:r w:rsidR="004F151C">
        <w:rPr>
          <w:rFonts w:asciiTheme="minorHAnsi" w:hAnsiTheme="minorHAnsi" w:cstheme="minorHAnsi"/>
          <w:szCs w:val="22"/>
        </w:rPr>
        <w:t>end</w:t>
      </w:r>
      <w:r w:rsidR="004F151C" w:rsidRPr="00AF5E0D">
        <w:rPr>
          <w:rFonts w:asciiTheme="minorHAnsi" w:hAnsiTheme="minorHAnsi" w:cstheme="minorHAnsi"/>
          <w:szCs w:val="22"/>
        </w:rPr>
        <w:t xml:space="preserve"> </w:t>
      </w:r>
      <w:r w:rsidR="00E30A39">
        <w:rPr>
          <w:rFonts w:asciiTheme="minorHAnsi" w:hAnsiTheme="minorHAnsi" w:cstheme="minorHAnsi"/>
          <w:szCs w:val="22"/>
        </w:rPr>
        <w:t>a placement</w:t>
      </w:r>
      <w:r w:rsidR="00BF0B8F" w:rsidRPr="00AF5E0D">
        <w:rPr>
          <w:rFonts w:asciiTheme="minorHAnsi" w:hAnsiTheme="minorHAnsi" w:cstheme="minorHAnsi"/>
          <w:szCs w:val="22"/>
        </w:rPr>
        <w:t xml:space="preserve"> </w:t>
      </w:r>
      <w:r w:rsidR="00CC47DD" w:rsidRPr="00AF5E0D">
        <w:rPr>
          <w:rFonts w:asciiTheme="minorHAnsi" w:hAnsiTheme="minorHAnsi" w:cstheme="minorHAnsi"/>
          <w:szCs w:val="22"/>
        </w:rPr>
        <w:t xml:space="preserve">if </w:t>
      </w:r>
      <w:r w:rsidR="00E30A39">
        <w:rPr>
          <w:rFonts w:asciiTheme="minorHAnsi" w:hAnsiTheme="minorHAnsi" w:cstheme="minorHAnsi"/>
          <w:szCs w:val="22"/>
        </w:rPr>
        <w:t>a doctor does</w:t>
      </w:r>
      <w:r w:rsidR="00D7312F" w:rsidRPr="00AF5E0D">
        <w:rPr>
          <w:rFonts w:asciiTheme="minorHAnsi" w:hAnsiTheme="minorHAnsi" w:cstheme="minorHAnsi"/>
          <w:szCs w:val="22"/>
        </w:rPr>
        <w:t xml:space="preserve"> not continue to </w:t>
      </w:r>
      <w:r w:rsidR="009A6AAB" w:rsidRPr="00AF5E0D">
        <w:rPr>
          <w:rFonts w:asciiTheme="minorHAnsi" w:hAnsiTheme="minorHAnsi" w:cstheme="minorHAnsi"/>
          <w:szCs w:val="22"/>
        </w:rPr>
        <w:t>meet the</w:t>
      </w:r>
      <w:r w:rsidR="00D7312F" w:rsidRPr="00AF5E0D">
        <w:rPr>
          <w:rFonts w:asciiTheme="minorHAnsi" w:hAnsiTheme="minorHAnsi" w:cstheme="minorHAnsi"/>
          <w:szCs w:val="22"/>
        </w:rPr>
        <w:t xml:space="preserve"> requirement</w:t>
      </w:r>
      <w:r w:rsidR="009A6AAB" w:rsidRPr="00AF5E0D">
        <w:rPr>
          <w:rFonts w:asciiTheme="minorHAnsi" w:hAnsiTheme="minorHAnsi" w:cstheme="minorHAnsi"/>
          <w:szCs w:val="22"/>
        </w:rPr>
        <w:t>s</w:t>
      </w:r>
      <w:r w:rsidR="00D7312F" w:rsidRPr="00AF5E0D">
        <w:rPr>
          <w:rFonts w:asciiTheme="minorHAnsi" w:hAnsiTheme="minorHAnsi" w:cstheme="minorHAnsi"/>
          <w:szCs w:val="22"/>
        </w:rPr>
        <w:t xml:space="preserve"> of the MDRAP</w:t>
      </w:r>
      <w:r w:rsidR="009A6AAB" w:rsidRPr="00AF5E0D">
        <w:rPr>
          <w:rFonts w:asciiTheme="minorHAnsi" w:hAnsiTheme="minorHAnsi" w:cstheme="minorHAnsi"/>
          <w:szCs w:val="22"/>
        </w:rPr>
        <w:t xml:space="preserve">.  Reasons </w:t>
      </w:r>
      <w:r w:rsidR="004F151C">
        <w:rPr>
          <w:rFonts w:asciiTheme="minorHAnsi" w:hAnsiTheme="minorHAnsi" w:cstheme="minorHAnsi"/>
          <w:szCs w:val="22"/>
        </w:rPr>
        <w:t xml:space="preserve">a </w:t>
      </w:r>
      <w:r w:rsidR="001F234A">
        <w:rPr>
          <w:rFonts w:asciiTheme="minorHAnsi" w:hAnsiTheme="minorHAnsi" w:cstheme="minorHAnsi"/>
          <w:szCs w:val="22"/>
        </w:rPr>
        <w:t>participant</w:t>
      </w:r>
      <w:r w:rsidR="004F151C">
        <w:rPr>
          <w:rFonts w:asciiTheme="minorHAnsi" w:hAnsiTheme="minorHAnsi" w:cstheme="minorHAnsi"/>
          <w:szCs w:val="22"/>
        </w:rPr>
        <w:t xml:space="preserve"> can be removed from the MDRAP include</w:t>
      </w:r>
      <w:r w:rsidR="0072632B">
        <w:rPr>
          <w:rFonts w:asciiTheme="minorHAnsi" w:hAnsiTheme="minorHAnsi" w:cstheme="minorHAnsi"/>
          <w:szCs w:val="22"/>
        </w:rPr>
        <w:t xml:space="preserve"> failure to</w:t>
      </w:r>
      <w:r w:rsidR="009A6AAB" w:rsidRPr="00AF5E0D">
        <w:rPr>
          <w:rFonts w:asciiTheme="minorHAnsi" w:hAnsiTheme="minorHAnsi" w:cstheme="minorHAnsi"/>
          <w:szCs w:val="22"/>
        </w:rPr>
        <w:t>:</w:t>
      </w:r>
    </w:p>
    <w:p w14:paraId="53253AAE" w14:textId="3B860343" w:rsidR="009A6AAB" w:rsidRPr="0000293C" w:rsidRDefault="009A6AAB" w:rsidP="00E550BD">
      <w:pPr>
        <w:pStyle w:val="ListBullet"/>
      </w:pPr>
      <w:r w:rsidRPr="0000293C">
        <w:t xml:space="preserve">comply with supervision </w:t>
      </w:r>
      <w:proofErr w:type="gramStart"/>
      <w:r w:rsidRPr="0000293C">
        <w:t>requirements</w:t>
      </w:r>
      <w:r w:rsidR="00030FA9" w:rsidRPr="0000293C">
        <w:t>;</w:t>
      </w:r>
      <w:proofErr w:type="gramEnd"/>
    </w:p>
    <w:p w14:paraId="564900B3" w14:textId="4192068C" w:rsidR="009A6AAB" w:rsidRPr="0000293C" w:rsidRDefault="009A6AAB" w:rsidP="00E550BD">
      <w:pPr>
        <w:pStyle w:val="ListBullet"/>
      </w:pPr>
      <w:r w:rsidRPr="0000293C">
        <w:t>lodge a “Plan for professional develo</w:t>
      </w:r>
      <w:r w:rsidR="00C93A55" w:rsidRPr="0000293C">
        <w:t xml:space="preserve">pment and re-entry to practice” within the required timeframe </w:t>
      </w:r>
      <w:r w:rsidR="00A66FDD" w:rsidRPr="0000293C">
        <w:t>(participants with less than 6 months general practice experience</w:t>
      </w:r>
      <w:proofErr w:type="gramStart"/>
      <w:r w:rsidR="00A66FDD" w:rsidRPr="0000293C">
        <w:t>)</w:t>
      </w:r>
      <w:r w:rsidR="00030FA9" w:rsidRPr="0000293C">
        <w:t>;</w:t>
      </w:r>
      <w:proofErr w:type="gramEnd"/>
    </w:p>
    <w:p w14:paraId="49ACA48D" w14:textId="1A1200FA" w:rsidR="00CF759E" w:rsidRPr="0000293C" w:rsidRDefault="00CF759E" w:rsidP="00E550BD">
      <w:pPr>
        <w:pStyle w:val="ListBullet"/>
      </w:pPr>
      <w:r w:rsidRPr="0000293C">
        <w:t>complete foundation modules within the required timeframe; or</w:t>
      </w:r>
    </w:p>
    <w:p w14:paraId="7F3180AC" w14:textId="3FBC41AD" w:rsidR="00CF759E" w:rsidRPr="005B7B77" w:rsidRDefault="00CF759E" w:rsidP="00E550BD">
      <w:pPr>
        <w:pStyle w:val="ListBullet"/>
      </w:pPr>
      <w:r w:rsidRPr="0000293C">
        <w:t>meet</w:t>
      </w:r>
      <w:r w:rsidRPr="005B7B77">
        <w:t xml:space="preserve"> the professional development hours relevant to general practice; or</w:t>
      </w:r>
    </w:p>
    <w:p w14:paraId="29224351" w14:textId="3C50EC6F" w:rsidR="009A6AAB" w:rsidRPr="0000293C" w:rsidRDefault="009A6AAB" w:rsidP="00E550BD">
      <w:pPr>
        <w:pStyle w:val="ListBullet"/>
      </w:pPr>
      <w:r w:rsidRPr="0000293C">
        <w:t>provide evidence of college pathway applications</w:t>
      </w:r>
      <w:r w:rsidR="00030FA9" w:rsidRPr="0000293C">
        <w:t>; or</w:t>
      </w:r>
    </w:p>
    <w:p w14:paraId="227D4595" w14:textId="017DE5E0" w:rsidR="009A6AAB" w:rsidRPr="0000293C" w:rsidRDefault="009A6AAB" w:rsidP="00E550BD">
      <w:pPr>
        <w:pStyle w:val="ListBullet"/>
      </w:pPr>
      <w:r w:rsidRPr="0000293C">
        <w:t>provide documents on request</w:t>
      </w:r>
      <w:r w:rsidR="00A66FDD" w:rsidRPr="0000293C">
        <w:t>; or</w:t>
      </w:r>
    </w:p>
    <w:p w14:paraId="3AE31FB9" w14:textId="525719DC" w:rsidR="00A66FDD" w:rsidRPr="00AF5E0D" w:rsidRDefault="00A66FDD" w:rsidP="00E550BD">
      <w:pPr>
        <w:pStyle w:val="ListBullet"/>
      </w:pPr>
      <w:r>
        <w:t>start an approved college placement on the nominated start date.</w:t>
      </w:r>
    </w:p>
    <w:p w14:paraId="0A139931" w14:textId="0738FD14" w:rsidR="00392F04" w:rsidRDefault="00392F04" w:rsidP="00AF5E0D">
      <w:pPr>
        <w:rPr>
          <w:rFonts w:asciiTheme="minorHAnsi" w:hAnsiTheme="minorHAnsi" w:cstheme="minorHAnsi"/>
          <w:szCs w:val="22"/>
        </w:rPr>
      </w:pPr>
      <w:r>
        <w:t xml:space="preserve">The Department </w:t>
      </w:r>
      <w:r w:rsidR="00075793">
        <w:t>can</w:t>
      </w:r>
      <w:r>
        <w:t xml:space="preserve"> remove a doctor,</w:t>
      </w:r>
      <w:r w:rsidRPr="00AF5E0D">
        <w:rPr>
          <w:rFonts w:asciiTheme="minorHAnsi" w:hAnsiTheme="minorHAnsi" w:cstheme="minorHAnsi"/>
          <w:szCs w:val="22"/>
        </w:rPr>
        <w:t xml:space="preserve"> </w:t>
      </w:r>
      <w:r>
        <w:rPr>
          <w:rFonts w:asciiTheme="minorHAnsi" w:hAnsiTheme="minorHAnsi" w:cstheme="minorHAnsi"/>
          <w:szCs w:val="22"/>
        </w:rPr>
        <w:t xml:space="preserve">in consultation with the RWAs, </w:t>
      </w:r>
      <w:r w:rsidR="00075793">
        <w:rPr>
          <w:rFonts w:asciiTheme="minorHAnsi" w:hAnsiTheme="minorHAnsi" w:cstheme="minorHAnsi"/>
          <w:szCs w:val="22"/>
        </w:rPr>
        <w:t>if</w:t>
      </w:r>
      <w:r>
        <w:rPr>
          <w:rFonts w:asciiTheme="minorHAnsi" w:hAnsiTheme="minorHAnsi" w:cstheme="minorHAnsi"/>
          <w:szCs w:val="22"/>
        </w:rPr>
        <w:t xml:space="preserve"> the MDRAP guidelines</w:t>
      </w:r>
      <w:r w:rsidR="00075793">
        <w:rPr>
          <w:rFonts w:asciiTheme="minorHAnsi" w:hAnsiTheme="minorHAnsi" w:cstheme="minorHAnsi"/>
          <w:szCs w:val="22"/>
        </w:rPr>
        <w:t xml:space="preserve"> are breached or the MDRAP</w:t>
      </w:r>
      <w:r>
        <w:rPr>
          <w:rFonts w:asciiTheme="minorHAnsi" w:hAnsiTheme="minorHAnsi" w:cstheme="minorHAnsi"/>
          <w:szCs w:val="22"/>
        </w:rPr>
        <w:t xml:space="preserve"> participant move</w:t>
      </w:r>
      <w:r w:rsidR="00075793">
        <w:rPr>
          <w:rFonts w:asciiTheme="minorHAnsi" w:hAnsiTheme="minorHAnsi" w:cstheme="minorHAnsi"/>
          <w:szCs w:val="22"/>
        </w:rPr>
        <w:t>s</w:t>
      </w:r>
      <w:r>
        <w:rPr>
          <w:rFonts w:asciiTheme="minorHAnsi" w:hAnsiTheme="minorHAnsi" w:cstheme="minorHAnsi"/>
          <w:szCs w:val="22"/>
        </w:rPr>
        <w:t xml:space="preserve"> to an approved </w:t>
      </w:r>
      <w:r w:rsidR="00075793">
        <w:rPr>
          <w:rFonts w:asciiTheme="minorHAnsi" w:hAnsiTheme="minorHAnsi" w:cstheme="minorHAnsi"/>
          <w:szCs w:val="22"/>
        </w:rPr>
        <w:t xml:space="preserve">3GA </w:t>
      </w:r>
      <w:r>
        <w:rPr>
          <w:rFonts w:asciiTheme="minorHAnsi" w:hAnsiTheme="minorHAnsi" w:cstheme="minorHAnsi"/>
          <w:szCs w:val="22"/>
        </w:rPr>
        <w:t>program</w:t>
      </w:r>
      <w:r w:rsidR="00CC5274">
        <w:rPr>
          <w:rFonts w:asciiTheme="minorHAnsi" w:hAnsiTheme="minorHAnsi" w:cstheme="minorHAnsi"/>
          <w:szCs w:val="22"/>
        </w:rPr>
        <w:t xml:space="preserve"> </w:t>
      </w:r>
      <w:r w:rsidR="00075793">
        <w:rPr>
          <w:rFonts w:asciiTheme="minorHAnsi" w:hAnsiTheme="minorHAnsi" w:cstheme="minorHAnsi"/>
          <w:szCs w:val="22"/>
        </w:rPr>
        <w:t>(</w:t>
      </w:r>
      <w:proofErr w:type="gramStart"/>
      <w:r w:rsidR="00075793">
        <w:rPr>
          <w:rFonts w:asciiTheme="minorHAnsi" w:hAnsiTheme="minorHAnsi" w:cstheme="minorHAnsi"/>
          <w:szCs w:val="22"/>
        </w:rPr>
        <w:t>e.g.</w:t>
      </w:r>
      <w:proofErr w:type="gramEnd"/>
      <w:r w:rsidR="00075793">
        <w:rPr>
          <w:rFonts w:asciiTheme="minorHAnsi" w:hAnsiTheme="minorHAnsi" w:cstheme="minorHAnsi"/>
          <w:szCs w:val="22"/>
        </w:rPr>
        <w:t xml:space="preserve"> </w:t>
      </w:r>
      <w:r w:rsidR="00CC5274">
        <w:rPr>
          <w:rFonts w:asciiTheme="minorHAnsi" w:hAnsiTheme="minorHAnsi" w:cstheme="minorHAnsi"/>
          <w:szCs w:val="22"/>
        </w:rPr>
        <w:t xml:space="preserve">RACGP Practice Experience Program </w:t>
      </w:r>
      <w:r w:rsidR="00075793">
        <w:rPr>
          <w:rFonts w:asciiTheme="minorHAnsi" w:hAnsiTheme="minorHAnsi" w:cstheme="minorHAnsi"/>
          <w:szCs w:val="22"/>
        </w:rPr>
        <w:t>or ACRRM</w:t>
      </w:r>
      <w:r w:rsidR="00CC5274">
        <w:rPr>
          <w:rFonts w:asciiTheme="minorHAnsi" w:hAnsiTheme="minorHAnsi" w:cstheme="minorHAnsi"/>
          <w:szCs w:val="22"/>
        </w:rPr>
        <w:t xml:space="preserve"> Independent Pathway)</w:t>
      </w:r>
      <w:r>
        <w:rPr>
          <w:rFonts w:asciiTheme="minorHAnsi" w:hAnsiTheme="minorHAnsi" w:cstheme="minorHAnsi"/>
          <w:szCs w:val="22"/>
        </w:rPr>
        <w:t xml:space="preserve">. </w:t>
      </w:r>
      <w:r w:rsidR="0072632B">
        <w:rPr>
          <w:rFonts w:asciiTheme="minorHAnsi" w:hAnsiTheme="minorHAnsi" w:cstheme="minorHAnsi"/>
          <w:szCs w:val="22"/>
        </w:rPr>
        <w:t xml:space="preserve">Participants can also be removed where they reach the maximum four-year period, upon gaining Fellowship, or cease to practise. </w:t>
      </w:r>
    </w:p>
    <w:p w14:paraId="2CE891E4" w14:textId="77777777" w:rsidR="00CC47DD" w:rsidRDefault="009A6AAB" w:rsidP="00AF5E0D">
      <w:pPr>
        <w:rPr>
          <w:rFonts w:asciiTheme="minorHAnsi" w:hAnsiTheme="minorHAnsi" w:cstheme="minorHAnsi"/>
          <w:szCs w:val="22"/>
        </w:rPr>
      </w:pPr>
      <w:r w:rsidRPr="00AF5E0D">
        <w:rPr>
          <w:rFonts w:asciiTheme="minorHAnsi" w:hAnsiTheme="minorHAnsi" w:cstheme="minorHAnsi"/>
          <w:szCs w:val="22"/>
        </w:rPr>
        <w:t>Participants will be notified</w:t>
      </w:r>
      <w:r w:rsidR="00CC47DD" w:rsidRPr="00AF5E0D">
        <w:rPr>
          <w:rFonts w:asciiTheme="minorHAnsi" w:hAnsiTheme="minorHAnsi" w:cstheme="minorHAnsi"/>
          <w:szCs w:val="22"/>
        </w:rPr>
        <w:t xml:space="preserve"> </w:t>
      </w:r>
      <w:r w:rsidR="003733C9" w:rsidRPr="00AF5E0D">
        <w:rPr>
          <w:rFonts w:asciiTheme="minorHAnsi" w:hAnsiTheme="minorHAnsi" w:cstheme="minorHAnsi"/>
          <w:szCs w:val="22"/>
        </w:rPr>
        <w:t>of termination</w:t>
      </w:r>
      <w:r w:rsidR="00CC47DD" w:rsidRPr="00AF5E0D">
        <w:rPr>
          <w:rFonts w:asciiTheme="minorHAnsi" w:hAnsiTheme="minorHAnsi" w:cstheme="minorHAnsi"/>
          <w:szCs w:val="22"/>
        </w:rPr>
        <w:t xml:space="preserve"> at least 14 days prio</w:t>
      </w:r>
      <w:r w:rsidR="0000293C">
        <w:rPr>
          <w:rFonts w:asciiTheme="minorHAnsi" w:hAnsiTheme="minorHAnsi" w:cstheme="minorHAnsi"/>
          <w:szCs w:val="22"/>
        </w:rPr>
        <w:t xml:space="preserve">r to a decision taking effect. </w:t>
      </w:r>
      <w:r w:rsidR="003733C9" w:rsidRPr="00AF5E0D">
        <w:rPr>
          <w:rFonts w:asciiTheme="minorHAnsi" w:hAnsiTheme="minorHAnsi" w:cstheme="minorHAnsi"/>
          <w:szCs w:val="22"/>
        </w:rPr>
        <w:t>Participants</w:t>
      </w:r>
      <w:r w:rsidR="00CC47DD" w:rsidRPr="00AF5E0D">
        <w:rPr>
          <w:rFonts w:asciiTheme="minorHAnsi" w:hAnsiTheme="minorHAnsi" w:cstheme="minorHAnsi"/>
          <w:szCs w:val="22"/>
        </w:rPr>
        <w:t xml:space="preserve"> may </w:t>
      </w:r>
      <w:r w:rsidR="00CE6F99">
        <w:rPr>
          <w:rFonts w:asciiTheme="minorHAnsi" w:hAnsiTheme="minorHAnsi" w:cstheme="minorHAnsi"/>
          <w:szCs w:val="22"/>
        </w:rPr>
        <w:t xml:space="preserve">request a review of the decision to terminate their placement. </w:t>
      </w:r>
    </w:p>
    <w:p w14:paraId="7131AE4B" w14:textId="77777777" w:rsidR="00940601" w:rsidRPr="00AF5E0D" w:rsidRDefault="00F4358C" w:rsidP="009B65AA">
      <w:pPr>
        <w:pStyle w:val="Heading2Numbered"/>
        <w:numPr>
          <w:ilvl w:val="0"/>
          <w:numId w:val="4"/>
        </w:numPr>
      </w:pPr>
      <w:bookmarkStart w:id="47" w:name="_Toc14857650"/>
      <w:bookmarkStart w:id="48" w:name="_Toc118975674"/>
      <w:r>
        <w:t>Review of Decisions</w:t>
      </w:r>
      <w:bookmarkEnd w:id="47"/>
      <w:bookmarkEnd w:id="48"/>
      <w:r>
        <w:t xml:space="preserve"> </w:t>
      </w:r>
    </w:p>
    <w:p w14:paraId="19F8649E" w14:textId="77777777" w:rsidR="00940601" w:rsidRPr="00AF5E0D" w:rsidRDefault="00940601" w:rsidP="00AF5E0D">
      <w:pPr>
        <w:rPr>
          <w:rFonts w:asciiTheme="minorHAnsi" w:hAnsiTheme="minorHAnsi" w:cstheme="minorHAnsi"/>
          <w:szCs w:val="22"/>
        </w:rPr>
      </w:pPr>
      <w:r w:rsidRPr="00AF5E0D">
        <w:rPr>
          <w:rFonts w:asciiTheme="minorHAnsi" w:hAnsiTheme="minorHAnsi" w:cstheme="minorHAnsi"/>
          <w:szCs w:val="22"/>
        </w:rPr>
        <w:t xml:space="preserve">The </w:t>
      </w:r>
      <w:r w:rsidR="004D63A7">
        <w:rPr>
          <w:rFonts w:asciiTheme="minorHAnsi" w:hAnsiTheme="minorHAnsi" w:cstheme="minorHAnsi"/>
          <w:szCs w:val="22"/>
        </w:rPr>
        <w:t>RWAs</w:t>
      </w:r>
      <w:r w:rsidR="00EF2B16" w:rsidRPr="00AF5E0D">
        <w:rPr>
          <w:rFonts w:asciiTheme="minorHAnsi" w:hAnsiTheme="minorHAnsi" w:cstheme="minorHAnsi"/>
          <w:szCs w:val="22"/>
        </w:rPr>
        <w:t xml:space="preserve"> </w:t>
      </w:r>
      <w:r w:rsidRPr="00AF5E0D">
        <w:rPr>
          <w:rFonts w:asciiTheme="minorHAnsi" w:hAnsiTheme="minorHAnsi" w:cstheme="minorHAnsi"/>
          <w:szCs w:val="22"/>
        </w:rPr>
        <w:t xml:space="preserve">will have an internal mechanism to review decisions and support </w:t>
      </w:r>
      <w:r w:rsidR="00EF2B16" w:rsidRPr="00AF5E0D">
        <w:rPr>
          <w:rFonts w:asciiTheme="minorHAnsi" w:hAnsiTheme="minorHAnsi" w:cstheme="minorHAnsi"/>
          <w:szCs w:val="22"/>
        </w:rPr>
        <w:t>procedural fairness</w:t>
      </w:r>
      <w:r w:rsidR="00CC459A">
        <w:rPr>
          <w:rFonts w:asciiTheme="minorHAnsi" w:hAnsiTheme="minorHAnsi" w:cstheme="minorHAnsi"/>
          <w:szCs w:val="22"/>
        </w:rPr>
        <w:t>.</w:t>
      </w:r>
      <w:r w:rsidRPr="00AF5E0D">
        <w:rPr>
          <w:rFonts w:asciiTheme="minorHAnsi" w:hAnsiTheme="minorHAnsi" w:cstheme="minorHAnsi"/>
          <w:szCs w:val="22"/>
        </w:rPr>
        <w:t xml:space="preserve"> </w:t>
      </w:r>
      <w:r w:rsidR="00770F7D">
        <w:rPr>
          <w:rFonts w:asciiTheme="minorHAnsi" w:hAnsiTheme="minorHAnsi" w:cstheme="minorHAnsi"/>
          <w:szCs w:val="22"/>
        </w:rPr>
        <w:t xml:space="preserve">Decisions will be reviewed by </w:t>
      </w:r>
      <w:r w:rsidR="006649CE">
        <w:rPr>
          <w:rFonts w:asciiTheme="minorHAnsi" w:hAnsiTheme="minorHAnsi" w:cstheme="minorHAnsi"/>
          <w:szCs w:val="22"/>
        </w:rPr>
        <w:t>a</w:t>
      </w:r>
      <w:r w:rsidR="001C39CD">
        <w:rPr>
          <w:rFonts w:asciiTheme="minorHAnsi" w:hAnsiTheme="minorHAnsi" w:cstheme="minorHAnsi"/>
          <w:szCs w:val="22"/>
        </w:rPr>
        <w:t>n alternative decision maker</w:t>
      </w:r>
      <w:r w:rsidR="00BC0DB6">
        <w:rPr>
          <w:rFonts w:asciiTheme="minorHAnsi" w:hAnsiTheme="minorHAnsi" w:cstheme="minorHAnsi"/>
          <w:szCs w:val="22"/>
        </w:rPr>
        <w:t xml:space="preserve"> within the </w:t>
      </w:r>
      <w:r w:rsidR="004D63A7">
        <w:rPr>
          <w:rFonts w:asciiTheme="minorHAnsi" w:hAnsiTheme="minorHAnsi" w:cstheme="minorHAnsi"/>
          <w:szCs w:val="22"/>
        </w:rPr>
        <w:t>RWA</w:t>
      </w:r>
      <w:r w:rsidR="00042BEA">
        <w:rPr>
          <w:rFonts w:asciiTheme="minorHAnsi" w:hAnsiTheme="minorHAnsi" w:cstheme="minorHAnsi"/>
          <w:szCs w:val="22"/>
        </w:rPr>
        <w:t>.</w:t>
      </w:r>
    </w:p>
    <w:p w14:paraId="6938AE21" w14:textId="77777777" w:rsidR="00FA468A" w:rsidRPr="00AF5E0D" w:rsidRDefault="00FA468A" w:rsidP="00AF5E0D">
      <w:pPr>
        <w:rPr>
          <w:rFonts w:asciiTheme="minorHAnsi" w:hAnsiTheme="minorHAnsi" w:cstheme="minorHAnsi"/>
          <w:szCs w:val="22"/>
        </w:rPr>
      </w:pPr>
      <w:r w:rsidRPr="00AF5E0D">
        <w:rPr>
          <w:rFonts w:asciiTheme="minorHAnsi" w:hAnsiTheme="minorHAnsi" w:cstheme="minorHAnsi"/>
          <w:szCs w:val="22"/>
        </w:rPr>
        <w:t>Participants</w:t>
      </w:r>
      <w:r w:rsidR="00940601" w:rsidRPr="00AF5E0D">
        <w:rPr>
          <w:rFonts w:asciiTheme="minorHAnsi" w:hAnsiTheme="minorHAnsi" w:cstheme="minorHAnsi"/>
          <w:szCs w:val="22"/>
        </w:rPr>
        <w:t xml:space="preserve"> </w:t>
      </w:r>
      <w:r w:rsidR="00EF2B16" w:rsidRPr="00AF5E0D">
        <w:rPr>
          <w:rFonts w:asciiTheme="minorHAnsi" w:hAnsiTheme="minorHAnsi" w:cstheme="minorHAnsi"/>
          <w:szCs w:val="22"/>
        </w:rPr>
        <w:t xml:space="preserve">can </w:t>
      </w:r>
      <w:r w:rsidR="00F4358C">
        <w:rPr>
          <w:rFonts w:asciiTheme="minorHAnsi" w:hAnsiTheme="minorHAnsi" w:cstheme="minorHAnsi"/>
          <w:szCs w:val="22"/>
        </w:rPr>
        <w:t xml:space="preserve">request a review of a </w:t>
      </w:r>
      <w:r w:rsidR="00EF2B16" w:rsidRPr="00AF5E0D">
        <w:rPr>
          <w:rFonts w:asciiTheme="minorHAnsi" w:hAnsiTheme="minorHAnsi" w:cstheme="minorHAnsi"/>
          <w:szCs w:val="22"/>
        </w:rPr>
        <w:t xml:space="preserve">decision if they believe the </w:t>
      </w:r>
      <w:r w:rsidR="002E2702">
        <w:rPr>
          <w:rFonts w:asciiTheme="minorHAnsi" w:hAnsiTheme="minorHAnsi" w:cstheme="minorHAnsi"/>
          <w:szCs w:val="22"/>
        </w:rPr>
        <w:t>G</w:t>
      </w:r>
      <w:r w:rsidR="00EF2B16" w:rsidRPr="00AF5E0D">
        <w:rPr>
          <w:rFonts w:asciiTheme="minorHAnsi" w:hAnsiTheme="minorHAnsi" w:cstheme="minorHAnsi"/>
          <w:szCs w:val="22"/>
        </w:rPr>
        <w:t xml:space="preserve">uidelines have not been applied correctly.  </w:t>
      </w:r>
      <w:r w:rsidR="00CE6F99">
        <w:rPr>
          <w:rFonts w:asciiTheme="minorHAnsi" w:hAnsiTheme="minorHAnsi" w:cstheme="minorHAnsi"/>
          <w:szCs w:val="22"/>
        </w:rPr>
        <w:t>Requests for a review of a decision</w:t>
      </w:r>
      <w:r w:rsidRPr="00AF5E0D">
        <w:rPr>
          <w:rFonts w:asciiTheme="minorHAnsi" w:hAnsiTheme="minorHAnsi" w:cstheme="minorHAnsi"/>
          <w:szCs w:val="22"/>
        </w:rPr>
        <w:t xml:space="preserve"> must include:</w:t>
      </w:r>
    </w:p>
    <w:p w14:paraId="3E7D12B0" w14:textId="77777777" w:rsidR="00FA468A" w:rsidRPr="00CC459A" w:rsidRDefault="00EF2B16" w:rsidP="00E550BD">
      <w:pPr>
        <w:pStyle w:val="ListBullet"/>
      </w:pPr>
      <w:r w:rsidRPr="00AF5E0D">
        <w:t xml:space="preserve">a copy of </w:t>
      </w:r>
      <w:r w:rsidRPr="0000293C">
        <w:t>the original app</w:t>
      </w:r>
      <w:r w:rsidRPr="00CC459A">
        <w:t>lication and</w:t>
      </w:r>
      <w:r w:rsidR="00FA468A" w:rsidRPr="00CC459A">
        <w:t xml:space="preserve"> decision; and</w:t>
      </w:r>
    </w:p>
    <w:p w14:paraId="5F42B696" w14:textId="77777777" w:rsidR="00FA468A" w:rsidRPr="00AF5E0D" w:rsidRDefault="00EF2B16" w:rsidP="00E550BD">
      <w:pPr>
        <w:pStyle w:val="ListBullet"/>
      </w:pPr>
      <w:r w:rsidRPr="00CC459A">
        <w:t>a supporting letter detailing</w:t>
      </w:r>
      <w:r w:rsidRPr="00AF5E0D">
        <w:t xml:space="preserve"> how </w:t>
      </w:r>
      <w:r w:rsidR="002E2702">
        <w:t>the</w:t>
      </w:r>
      <w:r w:rsidRPr="00AF5E0D">
        <w:t xml:space="preserve"> guidelines were not applied correctly</w:t>
      </w:r>
      <w:r w:rsidR="00940601" w:rsidRPr="00AF5E0D">
        <w:t xml:space="preserve">.  </w:t>
      </w:r>
    </w:p>
    <w:p w14:paraId="1D6391BB" w14:textId="77777777" w:rsidR="00940601" w:rsidRPr="00AF5E0D" w:rsidRDefault="00683473" w:rsidP="00AF5E0D">
      <w:pPr>
        <w:rPr>
          <w:rFonts w:asciiTheme="minorHAnsi" w:hAnsiTheme="minorHAnsi" w:cstheme="minorHAnsi"/>
          <w:szCs w:val="22"/>
        </w:rPr>
      </w:pPr>
      <w:r>
        <w:rPr>
          <w:rFonts w:asciiTheme="minorHAnsi" w:hAnsiTheme="minorHAnsi" w:cstheme="minorHAnsi"/>
          <w:szCs w:val="22"/>
        </w:rPr>
        <w:t xml:space="preserve">Request for a review of the decision </w:t>
      </w:r>
      <w:r w:rsidR="002E2702">
        <w:rPr>
          <w:rFonts w:asciiTheme="minorHAnsi" w:hAnsiTheme="minorHAnsi" w:cstheme="minorHAnsi"/>
          <w:szCs w:val="22"/>
        </w:rPr>
        <w:t xml:space="preserve">must </w:t>
      </w:r>
      <w:r w:rsidR="00940601" w:rsidRPr="00AF5E0D">
        <w:rPr>
          <w:rFonts w:asciiTheme="minorHAnsi" w:hAnsiTheme="minorHAnsi" w:cstheme="minorHAnsi"/>
          <w:szCs w:val="22"/>
        </w:rPr>
        <w:t xml:space="preserve">be lodged </w:t>
      </w:r>
      <w:r>
        <w:rPr>
          <w:rFonts w:asciiTheme="minorHAnsi" w:hAnsiTheme="minorHAnsi" w:cstheme="minorHAnsi"/>
          <w:szCs w:val="22"/>
        </w:rPr>
        <w:t xml:space="preserve">by the applicant </w:t>
      </w:r>
      <w:r w:rsidR="00940601" w:rsidRPr="00AF5E0D">
        <w:rPr>
          <w:rFonts w:asciiTheme="minorHAnsi" w:hAnsiTheme="minorHAnsi" w:cstheme="minorHAnsi"/>
          <w:szCs w:val="22"/>
        </w:rPr>
        <w:t xml:space="preserve">within 28 </w:t>
      </w:r>
      <w:r w:rsidR="00FA468A" w:rsidRPr="00AF5E0D">
        <w:rPr>
          <w:rFonts w:asciiTheme="minorHAnsi" w:hAnsiTheme="minorHAnsi" w:cstheme="minorHAnsi"/>
          <w:szCs w:val="22"/>
        </w:rPr>
        <w:t xml:space="preserve">days of </w:t>
      </w:r>
      <w:r w:rsidR="004D1DE6">
        <w:rPr>
          <w:rFonts w:asciiTheme="minorHAnsi" w:hAnsiTheme="minorHAnsi" w:cstheme="minorHAnsi"/>
          <w:szCs w:val="22"/>
        </w:rPr>
        <w:t>the letter</w:t>
      </w:r>
      <w:r w:rsidR="001C39CD">
        <w:rPr>
          <w:rFonts w:asciiTheme="minorHAnsi" w:hAnsiTheme="minorHAnsi" w:cstheme="minorHAnsi"/>
          <w:szCs w:val="22"/>
        </w:rPr>
        <w:t xml:space="preserve"> </w:t>
      </w:r>
      <w:r w:rsidR="004D1DE6">
        <w:rPr>
          <w:rFonts w:asciiTheme="minorHAnsi" w:hAnsiTheme="minorHAnsi" w:cstheme="minorHAnsi"/>
          <w:szCs w:val="22"/>
        </w:rPr>
        <w:t xml:space="preserve">confirming the </w:t>
      </w:r>
      <w:r w:rsidR="001C39CD">
        <w:rPr>
          <w:rFonts w:asciiTheme="minorHAnsi" w:hAnsiTheme="minorHAnsi" w:cstheme="minorHAnsi"/>
          <w:szCs w:val="22"/>
        </w:rPr>
        <w:t>decision</w:t>
      </w:r>
      <w:r w:rsidR="00042BEA">
        <w:rPr>
          <w:rFonts w:asciiTheme="minorHAnsi" w:hAnsiTheme="minorHAnsi" w:cstheme="minorHAnsi"/>
          <w:szCs w:val="22"/>
        </w:rPr>
        <w:t>.</w:t>
      </w:r>
    </w:p>
    <w:p w14:paraId="0FDA625E" w14:textId="77777777" w:rsidR="00042BEA" w:rsidRDefault="00075793" w:rsidP="00AF5E0D">
      <w:pPr>
        <w:rPr>
          <w:rFonts w:asciiTheme="minorHAnsi" w:hAnsiTheme="minorHAnsi" w:cstheme="minorHAnsi"/>
          <w:szCs w:val="22"/>
        </w:rPr>
      </w:pPr>
      <w:r>
        <w:rPr>
          <w:rFonts w:asciiTheme="minorHAnsi" w:hAnsiTheme="minorHAnsi" w:cstheme="minorHAnsi"/>
          <w:szCs w:val="22"/>
        </w:rPr>
        <w:t>After a RWA review has been completed, t</w:t>
      </w:r>
      <w:r w:rsidR="00940601" w:rsidRPr="00AF5E0D">
        <w:rPr>
          <w:rFonts w:asciiTheme="minorHAnsi" w:hAnsiTheme="minorHAnsi" w:cstheme="minorHAnsi"/>
          <w:szCs w:val="22"/>
        </w:rPr>
        <w:t xml:space="preserve">he </w:t>
      </w:r>
      <w:r w:rsidR="004D63A7">
        <w:rPr>
          <w:rFonts w:asciiTheme="minorHAnsi" w:hAnsiTheme="minorHAnsi" w:cstheme="minorHAnsi"/>
          <w:szCs w:val="22"/>
        </w:rPr>
        <w:t>RWAs</w:t>
      </w:r>
      <w:r w:rsidR="00EF2B16" w:rsidRPr="00AF5E0D">
        <w:rPr>
          <w:rFonts w:asciiTheme="minorHAnsi" w:hAnsiTheme="minorHAnsi" w:cstheme="minorHAnsi"/>
          <w:szCs w:val="22"/>
        </w:rPr>
        <w:t xml:space="preserve"> </w:t>
      </w:r>
      <w:r w:rsidR="00940601" w:rsidRPr="00AF5E0D">
        <w:rPr>
          <w:rFonts w:asciiTheme="minorHAnsi" w:hAnsiTheme="minorHAnsi" w:cstheme="minorHAnsi"/>
          <w:szCs w:val="22"/>
        </w:rPr>
        <w:t xml:space="preserve">can refer </w:t>
      </w:r>
      <w:r w:rsidR="00F4358C">
        <w:rPr>
          <w:rFonts w:asciiTheme="minorHAnsi" w:hAnsiTheme="minorHAnsi" w:cstheme="minorHAnsi"/>
          <w:szCs w:val="22"/>
        </w:rPr>
        <w:t>a</w:t>
      </w:r>
      <w:r w:rsidR="00A609A1">
        <w:rPr>
          <w:rFonts w:asciiTheme="minorHAnsi" w:hAnsiTheme="minorHAnsi" w:cstheme="minorHAnsi"/>
          <w:szCs w:val="22"/>
        </w:rPr>
        <w:t xml:space="preserve"> </w:t>
      </w:r>
      <w:r w:rsidR="00F4358C">
        <w:rPr>
          <w:rFonts w:asciiTheme="minorHAnsi" w:hAnsiTheme="minorHAnsi" w:cstheme="minorHAnsi"/>
          <w:szCs w:val="22"/>
        </w:rPr>
        <w:t xml:space="preserve">request for </w:t>
      </w:r>
      <w:r>
        <w:rPr>
          <w:rFonts w:asciiTheme="minorHAnsi" w:hAnsiTheme="minorHAnsi" w:cstheme="minorHAnsi"/>
          <w:szCs w:val="22"/>
        </w:rPr>
        <w:t xml:space="preserve">further </w:t>
      </w:r>
      <w:r w:rsidR="00F4358C">
        <w:rPr>
          <w:rFonts w:asciiTheme="minorHAnsi" w:hAnsiTheme="minorHAnsi" w:cstheme="minorHAnsi"/>
          <w:szCs w:val="22"/>
        </w:rPr>
        <w:t xml:space="preserve">review </w:t>
      </w:r>
      <w:r w:rsidR="00940601" w:rsidRPr="00AF5E0D">
        <w:rPr>
          <w:rFonts w:asciiTheme="minorHAnsi" w:hAnsiTheme="minorHAnsi" w:cstheme="minorHAnsi"/>
          <w:szCs w:val="22"/>
        </w:rPr>
        <w:t xml:space="preserve">to the </w:t>
      </w:r>
      <w:r w:rsidR="004D0828" w:rsidRPr="00AF5E0D">
        <w:rPr>
          <w:rFonts w:asciiTheme="minorHAnsi" w:hAnsiTheme="minorHAnsi" w:cstheme="minorHAnsi"/>
          <w:szCs w:val="22"/>
        </w:rPr>
        <w:t xml:space="preserve">Department </w:t>
      </w:r>
      <w:r w:rsidR="004D0828">
        <w:rPr>
          <w:rFonts w:asciiTheme="minorHAnsi" w:hAnsiTheme="minorHAnsi" w:cstheme="minorHAnsi"/>
          <w:szCs w:val="22"/>
        </w:rPr>
        <w:t>for</w:t>
      </w:r>
      <w:r w:rsidR="00BC7891" w:rsidRPr="005B7B77">
        <w:rPr>
          <w:rFonts w:asciiTheme="minorHAnsi" w:hAnsiTheme="minorHAnsi" w:cstheme="minorHAnsi"/>
          <w:szCs w:val="22"/>
        </w:rPr>
        <w:t xml:space="preserve"> a final decision</w:t>
      </w:r>
      <w:r w:rsidR="00042BEA">
        <w:rPr>
          <w:rFonts w:asciiTheme="minorHAnsi" w:hAnsiTheme="minorHAnsi" w:cstheme="minorHAnsi"/>
          <w:szCs w:val="22"/>
        </w:rPr>
        <w:t xml:space="preserve">, as the MDRAP policy </w:t>
      </w:r>
      <w:r w:rsidR="004F151C">
        <w:rPr>
          <w:rFonts w:asciiTheme="minorHAnsi" w:hAnsiTheme="minorHAnsi" w:cstheme="minorHAnsi"/>
          <w:szCs w:val="22"/>
        </w:rPr>
        <w:t>owner</w:t>
      </w:r>
      <w:r w:rsidR="004D0828">
        <w:rPr>
          <w:rFonts w:asciiTheme="minorHAnsi" w:hAnsiTheme="minorHAnsi" w:cstheme="minorHAnsi"/>
          <w:szCs w:val="22"/>
        </w:rPr>
        <w:t>. The Department</w:t>
      </w:r>
      <w:r>
        <w:rPr>
          <w:rFonts w:asciiTheme="minorHAnsi" w:hAnsiTheme="minorHAnsi" w:cstheme="minorHAnsi"/>
          <w:szCs w:val="22"/>
        </w:rPr>
        <w:t xml:space="preserve"> only</w:t>
      </w:r>
      <w:r w:rsidR="00BC0DB6">
        <w:rPr>
          <w:rFonts w:asciiTheme="minorHAnsi" w:hAnsiTheme="minorHAnsi" w:cstheme="minorHAnsi"/>
          <w:szCs w:val="22"/>
        </w:rPr>
        <w:t xml:space="preserve"> review</w:t>
      </w:r>
      <w:r>
        <w:rPr>
          <w:rFonts w:asciiTheme="minorHAnsi" w:hAnsiTheme="minorHAnsi" w:cstheme="minorHAnsi"/>
          <w:szCs w:val="22"/>
        </w:rPr>
        <w:t>s</w:t>
      </w:r>
      <w:r w:rsidR="00BC0DB6">
        <w:rPr>
          <w:rFonts w:asciiTheme="minorHAnsi" w:hAnsiTheme="minorHAnsi" w:cstheme="minorHAnsi"/>
          <w:szCs w:val="22"/>
        </w:rPr>
        <w:t xml:space="preserve"> </w:t>
      </w:r>
      <w:proofErr w:type="gramStart"/>
      <w:r>
        <w:rPr>
          <w:rFonts w:asciiTheme="minorHAnsi" w:hAnsiTheme="minorHAnsi" w:cstheme="minorHAnsi"/>
          <w:szCs w:val="22"/>
        </w:rPr>
        <w:t>matters</w:t>
      </w:r>
      <w:proofErr w:type="gramEnd"/>
      <w:r>
        <w:rPr>
          <w:rFonts w:asciiTheme="minorHAnsi" w:hAnsiTheme="minorHAnsi" w:cstheme="minorHAnsi"/>
          <w:szCs w:val="22"/>
        </w:rPr>
        <w:t xml:space="preserve"> relating to </w:t>
      </w:r>
      <w:r w:rsidR="004D0828">
        <w:rPr>
          <w:rFonts w:asciiTheme="minorHAnsi" w:hAnsiTheme="minorHAnsi" w:cstheme="minorHAnsi"/>
          <w:szCs w:val="22"/>
        </w:rPr>
        <w:t>the application</w:t>
      </w:r>
      <w:r w:rsidR="00BC0DB6">
        <w:rPr>
          <w:rFonts w:asciiTheme="minorHAnsi" w:hAnsiTheme="minorHAnsi" w:cstheme="minorHAnsi"/>
          <w:szCs w:val="22"/>
        </w:rPr>
        <w:t xml:space="preserve"> of the Guidelines or consider a specific circumstance not covered in the</w:t>
      </w:r>
      <w:r w:rsidR="00FA468A" w:rsidRPr="00AF5E0D">
        <w:rPr>
          <w:rFonts w:asciiTheme="minorHAnsi" w:hAnsiTheme="minorHAnsi" w:cstheme="minorHAnsi"/>
          <w:szCs w:val="22"/>
        </w:rPr>
        <w:t xml:space="preserve"> </w:t>
      </w:r>
      <w:r w:rsidR="00042BEA">
        <w:rPr>
          <w:rFonts w:asciiTheme="minorHAnsi" w:hAnsiTheme="minorHAnsi" w:cstheme="minorHAnsi"/>
          <w:szCs w:val="22"/>
        </w:rPr>
        <w:t>MDRAP</w:t>
      </w:r>
      <w:r w:rsidR="00FA468A" w:rsidRPr="00AF5E0D">
        <w:rPr>
          <w:rFonts w:asciiTheme="minorHAnsi" w:hAnsiTheme="minorHAnsi" w:cstheme="minorHAnsi"/>
          <w:szCs w:val="22"/>
        </w:rPr>
        <w:t xml:space="preserve"> guidelines</w:t>
      </w:r>
      <w:r w:rsidR="0000293C">
        <w:rPr>
          <w:rFonts w:asciiTheme="minorHAnsi" w:hAnsiTheme="minorHAnsi" w:cstheme="minorHAnsi"/>
          <w:szCs w:val="22"/>
        </w:rPr>
        <w:t>.</w:t>
      </w:r>
    </w:p>
    <w:p w14:paraId="47FC62CD" w14:textId="77777777" w:rsidR="00042BEA" w:rsidRDefault="00940601" w:rsidP="00AF5E0D">
      <w:pPr>
        <w:rPr>
          <w:rFonts w:asciiTheme="minorHAnsi" w:hAnsiTheme="minorHAnsi" w:cstheme="minorHAnsi"/>
          <w:szCs w:val="22"/>
        </w:rPr>
      </w:pPr>
      <w:r w:rsidRPr="00AF5E0D">
        <w:rPr>
          <w:rFonts w:asciiTheme="minorHAnsi" w:hAnsiTheme="minorHAnsi" w:cstheme="minorHAnsi"/>
          <w:szCs w:val="22"/>
        </w:rPr>
        <w:t>The Department</w:t>
      </w:r>
      <w:r w:rsidR="00FA468A" w:rsidRPr="00AF5E0D">
        <w:rPr>
          <w:rFonts w:asciiTheme="minorHAnsi" w:hAnsiTheme="minorHAnsi" w:cstheme="minorHAnsi"/>
          <w:szCs w:val="22"/>
        </w:rPr>
        <w:t xml:space="preserve"> will</w:t>
      </w:r>
      <w:r w:rsidRPr="00AF5E0D">
        <w:rPr>
          <w:rFonts w:asciiTheme="minorHAnsi" w:hAnsiTheme="minorHAnsi" w:cstheme="minorHAnsi"/>
          <w:szCs w:val="22"/>
        </w:rPr>
        <w:t xml:space="preserve"> </w:t>
      </w:r>
      <w:r w:rsidR="00042BEA">
        <w:rPr>
          <w:rFonts w:asciiTheme="minorHAnsi" w:hAnsiTheme="minorHAnsi" w:cstheme="minorHAnsi"/>
          <w:szCs w:val="22"/>
        </w:rPr>
        <w:t>consider:</w:t>
      </w:r>
    </w:p>
    <w:p w14:paraId="38672438" w14:textId="77777777" w:rsidR="00042BEA" w:rsidRPr="00CC459A" w:rsidRDefault="00940601" w:rsidP="00E550BD">
      <w:pPr>
        <w:pStyle w:val="ListBullet"/>
      </w:pPr>
      <w:r w:rsidRPr="004D1DE6">
        <w:t xml:space="preserve">the </w:t>
      </w:r>
      <w:r w:rsidRPr="00CC459A">
        <w:t xml:space="preserve">original </w:t>
      </w:r>
      <w:proofErr w:type="gramStart"/>
      <w:r w:rsidRPr="00CC459A">
        <w:t>decision</w:t>
      </w:r>
      <w:r w:rsidR="00042BEA" w:rsidRPr="00CC459A">
        <w:t>;</w:t>
      </w:r>
      <w:proofErr w:type="gramEnd"/>
    </w:p>
    <w:p w14:paraId="67E558B3" w14:textId="77777777" w:rsidR="00042BEA" w:rsidRPr="00CC459A" w:rsidRDefault="00A609A1" w:rsidP="00E550BD">
      <w:pPr>
        <w:pStyle w:val="ListBullet"/>
      </w:pPr>
      <w:r w:rsidRPr="00CC459A">
        <w:t xml:space="preserve">the </w:t>
      </w:r>
      <w:r w:rsidR="00042BEA" w:rsidRPr="00CC459A">
        <w:t>review of the original decision; and</w:t>
      </w:r>
    </w:p>
    <w:p w14:paraId="6488BB7E" w14:textId="77777777" w:rsidR="00AF5E0D" w:rsidRDefault="00940601" w:rsidP="00E550BD">
      <w:pPr>
        <w:pStyle w:val="ListBullet"/>
      </w:pPr>
      <w:r w:rsidRPr="00CC459A">
        <w:t xml:space="preserve">the </w:t>
      </w:r>
      <w:r w:rsidR="00042BEA" w:rsidRPr="00CC459A">
        <w:t>intent of the</w:t>
      </w:r>
      <w:r w:rsidR="00042BEA" w:rsidRPr="0000293C">
        <w:t xml:space="preserve"> MDRAP</w:t>
      </w:r>
      <w:r w:rsidR="00042BEA">
        <w:t xml:space="preserve"> and the operation of the </w:t>
      </w:r>
      <w:r w:rsidR="00591773" w:rsidRPr="004D1DE6">
        <w:t>G</w:t>
      </w:r>
      <w:r w:rsidRPr="004D1DE6">
        <w:t>uidelines.</w:t>
      </w:r>
      <w:r w:rsidR="00042BEA" w:rsidRPr="004D1DE6">
        <w:t xml:space="preserve">  </w:t>
      </w:r>
    </w:p>
    <w:p w14:paraId="6C8DC343" w14:textId="77777777" w:rsidR="007B7541" w:rsidRDefault="00042BEA">
      <w:pPr>
        <w:rPr>
          <w:rFonts w:asciiTheme="minorHAnsi" w:hAnsiTheme="minorHAnsi" w:cstheme="minorHAnsi"/>
        </w:rPr>
      </w:pPr>
      <w:r>
        <w:rPr>
          <w:rFonts w:asciiTheme="minorHAnsi" w:hAnsiTheme="minorHAnsi" w:cstheme="minorHAnsi"/>
        </w:rPr>
        <w:t xml:space="preserve">The Department </w:t>
      </w:r>
      <w:r w:rsidR="00EC2FF1">
        <w:rPr>
          <w:rFonts w:asciiTheme="minorHAnsi" w:hAnsiTheme="minorHAnsi" w:cstheme="minorHAnsi"/>
        </w:rPr>
        <w:t>will</w:t>
      </w:r>
      <w:r>
        <w:rPr>
          <w:rFonts w:asciiTheme="minorHAnsi" w:hAnsiTheme="minorHAnsi" w:cstheme="minorHAnsi"/>
        </w:rPr>
        <w:t xml:space="preserve"> not accept applications for a review of decision from individua</w:t>
      </w:r>
      <w:r w:rsidR="00A609A1">
        <w:rPr>
          <w:rFonts w:asciiTheme="minorHAnsi" w:hAnsiTheme="minorHAnsi" w:cstheme="minorHAnsi"/>
        </w:rPr>
        <w:t xml:space="preserve">l participants.  The Department will review decisions referred by the </w:t>
      </w:r>
      <w:r w:rsidR="004F2F99">
        <w:rPr>
          <w:rFonts w:asciiTheme="minorHAnsi" w:hAnsiTheme="minorHAnsi" w:cstheme="minorHAnsi"/>
        </w:rPr>
        <w:t>RWAs</w:t>
      </w:r>
      <w:r w:rsidR="00A609A1">
        <w:rPr>
          <w:rFonts w:asciiTheme="minorHAnsi" w:hAnsiTheme="minorHAnsi" w:cstheme="minorHAnsi"/>
        </w:rPr>
        <w:t xml:space="preserve"> to ensure the decision is consistent with the policy aims of the MDRAP</w:t>
      </w:r>
      <w:r w:rsidR="00BC7891" w:rsidRPr="005B7B77">
        <w:rPr>
          <w:rFonts w:asciiTheme="minorHAnsi" w:hAnsiTheme="minorHAnsi" w:cstheme="minorHAnsi"/>
        </w:rPr>
        <w:t xml:space="preserve">. The final decision of the review will be made by </w:t>
      </w:r>
      <w:r w:rsidR="00373E89">
        <w:rPr>
          <w:rFonts w:asciiTheme="minorHAnsi" w:hAnsiTheme="minorHAnsi" w:cstheme="minorHAnsi"/>
        </w:rPr>
        <w:t>t</w:t>
      </w:r>
      <w:r w:rsidR="00373E89" w:rsidRPr="005B7B77">
        <w:rPr>
          <w:rFonts w:asciiTheme="minorHAnsi" w:hAnsiTheme="minorHAnsi" w:cstheme="minorHAnsi"/>
        </w:rPr>
        <w:t xml:space="preserve">he </w:t>
      </w:r>
      <w:r w:rsidR="00BC7891" w:rsidRPr="005B7B77">
        <w:rPr>
          <w:rFonts w:asciiTheme="minorHAnsi" w:hAnsiTheme="minorHAnsi" w:cstheme="minorHAnsi"/>
        </w:rPr>
        <w:t xml:space="preserve">Department. The Department will respond directly to </w:t>
      </w:r>
      <w:r w:rsidR="005B7B77">
        <w:rPr>
          <w:rFonts w:asciiTheme="minorHAnsi" w:hAnsiTheme="minorHAnsi" w:cstheme="minorHAnsi"/>
          <w:szCs w:val="22"/>
        </w:rPr>
        <w:t>t</w:t>
      </w:r>
      <w:r w:rsidR="00BC7891" w:rsidRPr="005B7B77">
        <w:rPr>
          <w:rFonts w:asciiTheme="minorHAnsi" w:hAnsiTheme="minorHAnsi" w:cstheme="minorHAnsi"/>
          <w:szCs w:val="22"/>
        </w:rPr>
        <w:t xml:space="preserve">he </w:t>
      </w:r>
      <w:r w:rsidR="004F2F99">
        <w:rPr>
          <w:rFonts w:asciiTheme="minorHAnsi" w:hAnsiTheme="minorHAnsi" w:cstheme="minorHAnsi"/>
          <w:szCs w:val="22"/>
        </w:rPr>
        <w:t>RWAs</w:t>
      </w:r>
      <w:r w:rsidR="00BC7891" w:rsidRPr="005B7B77">
        <w:rPr>
          <w:rFonts w:asciiTheme="minorHAnsi" w:hAnsiTheme="minorHAnsi" w:cstheme="minorHAnsi"/>
        </w:rPr>
        <w:t xml:space="preserve"> on the outcome.</w:t>
      </w:r>
      <w:r w:rsidR="00BC7891">
        <w:rPr>
          <w:rFonts w:asciiTheme="minorHAnsi" w:hAnsiTheme="minorHAnsi" w:cstheme="minorHAnsi"/>
        </w:rPr>
        <w:t xml:space="preserve"> </w:t>
      </w:r>
    </w:p>
    <w:p w14:paraId="1588D029" w14:textId="77777777" w:rsidR="00C04445" w:rsidRPr="00AF5E0D" w:rsidRDefault="003D45AF" w:rsidP="009B65AA">
      <w:pPr>
        <w:pStyle w:val="Heading2Numbered"/>
        <w:numPr>
          <w:ilvl w:val="0"/>
          <w:numId w:val="4"/>
        </w:numPr>
      </w:pPr>
      <w:bookmarkStart w:id="49" w:name="_Toc14857651"/>
      <w:bookmarkStart w:id="50" w:name="_Toc118975675"/>
      <w:r w:rsidRPr="00AF5E0D">
        <w:t>Responsibilities</w:t>
      </w:r>
      <w:bookmarkEnd w:id="49"/>
      <w:bookmarkEnd w:id="50"/>
    </w:p>
    <w:p w14:paraId="3CA6813F" w14:textId="77777777" w:rsidR="00506ABF" w:rsidRPr="00AF5E0D" w:rsidRDefault="002E2702" w:rsidP="00FD1608">
      <w:pPr>
        <w:pStyle w:val="Heading3Numbered"/>
      </w:pPr>
      <w:bookmarkStart w:id="51" w:name="_Toc118975676"/>
      <w:r>
        <w:t>Participant</w:t>
      </w:r>
      <w:bookmarkEnd w:id="51"/>
    </w:p>
    <w:p w14:paraId="5AB92B3F" w14:textId="77777777" w:rsidR="00506ABF" w:rsidRPr="00AF5E0D" w:rsidRDefault="005C23D8" w:rsidP="00AF5E0D">
      <w:pPr>
        <w:rPr>
          <w:rFonts w:asciiTheme="minorHAnsi" w:hAnsiTheme="minorHAnsi" w:cstheme="minorHAnsi"/>
          <w:szCs w:val="22"/>
        </w:rPr>
      </w:pPr>
      <w:r>
        <w:rPr>
          <w:rFonts w:asciiTheme="minorHAnsi" w:hAnsiTheme="minorHAnsi" w:cstheme="minorHAnsi"/>
          <w:szCs w:val="22"/>
        </w:rPr>
        <w:t>The p</w:t>
      </w:r>
      <w:r w:rsidRPr="00AF5E0D">
        <w:rPr>
          <w:rFonts w:asciiTheme="minorHAnsi" w:hAnsiTheme="minorHAnsi" w:cstheme="minorHAnsi"/>
          <w:szCs w:val="22"/>
        </w:rPr>
        <w:t>articipant</w:t>
      </w:r>
      <w:r>
        <w:rPr>
          <w:rFonts w:asciiTheme="minorHAnsi" w:hAnsiTheme="minorHAnsi" w:cstheme="minorHAnsi"/>
          <w:szCs w:val="22"/>
        </w:rPr>
        <w:t>’s</w:t>
      </w:r>
      <w:r w:rsidR="001D383E" w:rsidRPr="00AF5E0D">
        <w:rPr>
          <w:rFonts w:asciiTheme="minorHAnsi" w:hAnsiTheme="minorHAnsi" w:cstheme="minorHAnsi"/>
          <w:szCs w:val="22"/>
        </w:rPr>
        <w:t xml:space="preserve"> responsibilities include:</w:t>
      </w:r>
    </w:p>
    <w:p w14:paraId="0CBCF62B" w14:textId="77777777" w:rsidR="000E1CC3" w:rsidRPr="0000293C" w:rsidRDefault="003C597F" w:rsidP="00E550BD">
      <w:pPr>
        <w:pStyle w:val="ListBullet"/>
      </w:pPr>
      <w:r>
        <w:t>s</w:t>
      </w:r>
      <w:r w:rsidR="000E1CC3" w:rsidRPr="00BC0DB6">
        <w:t xml:space="preserve">ubmitting all </w:t>
      </w:r>
      <w:r w:rsidR="000E1CC3" w:rsidRPr="0000293C">
        <w:t xml:space="preserve">necessary paperwork at least six weeks prior to the proposed commencement on the </w:t>
      </w:r>
      <w:proofErr w:type="gramStart"/>
      <w:r w:rsidR="000E1CC3" w:rsidRPr="0000293C">
        <w:t>MDRAP</w:t>
      </w:r>
      <w:r>
        <w:t>;</w:t>
      </w:r>
      <w:proofErr w:type="gramEnd"/>
    </w:p>
    <w:p w14:paraId="483C80C6" w14:textId="77777777" w:rsidR="000E1CC3" w:rsidRPr="0000293C" w:rsidRDefault="003C597F" w:rsidP="00E550BD">
      <w:pPr>
        <w:pStyle w:val="ListBullet"/>
      </w:pPr>
      <w:r>
        <w:t>o</w:t>
      </w:r>
      <w:r w:rsidR="000E1CC3" w:rsidRPr="0000293C">
        <w:t xml:space="preserve">btaining formal general practice experience assessments from one of the Fellowship </w:t>
      </w:r>
      <w:proofErr w:type="gramStart"/>
      <w:r w:rsidR="000E1CC3" w:rsidRPr="0000293C">
        <w:t>colleges</w:t>
      </w:r>
      <w:r>
        <w:t>;</w:t>
      </w:r>
      <w:proofErr w:type="gramEnd"/>
    </w:p>
    <w:p w14:paraId="54250BC3" w14:textId="77777777" w:rsidR="00506ABF" w:rsidRPr="0000293C" w:rsidRDefault="00030FA9" w:rsidP="00E550BD">
      <w:pPr>
        <w:pStyle w:val="ListBullet"/>
      </w:pPr>
      <w:r w:rsidRPr="0000293C">
        <w:t>p</w:t>
      </w:r>
      <w:r w:rsidR="00750972" w:rsidRPr="0000293C">
        <w:t xml:space="preserve">roviding </w:t>
      </w:r>
      <w:r w:rsidR="00BD3B6F" w:rsidRPr="0000293C">
        <w:t xml:space="preserve">evidence of application </w:t>
      </w:r>
      <w:r w:rsidR="00750972" w:rsidRPr="0000293C">
        <w:t xml:space="preserve">to </w:t>
      </w:r>
      <w:r w:rsidR="00EF2B16" w:rsidRPr="0000293C">
        <w:t xml:space="preserve">a college fellowship </w:t>
      </w:r>
      <w:proofErr w:type="gramStart"/>
      <w:r w:rsidR="00EF2B16" w:rsidRPr="0000293C">
        <w:t>pathway</w:t>
      </w:r>
      <w:r w:rsidRPr="0000293C">
        <w:t>;</w:t>
      </w:r>
      <w:proofErr w:type="gramEnd"/>
    </w:p>
    <w:p w14:paraId="2C411DE5" w14:textId="77777777" w:rsidR="00C93A55" w:rsidRPr="0000293C" w:rsidRDefault="00C93A55" w:rsidP="00E550BD">
      <w:pPr>
        <w:pStyle w:val="ListBullet"/>
      </w:pPr>
      <w:r w:rsidRPr="0000293C">
        <w:t>commence</w:t>
      </w:r>
      <w:r w:rsidR="002F500C" w:rsidRPr="0000293C">
        <w:t xml:space="preserve"> working in the </w:t>
      </w:r>
      <w:r w:rsidRPr="0000293C">
        <w:t xml:space="preserve">practice within 3 months of approved </w:t>
      </w:r>
      <w:proofErr w:type="gramStart"/>
      <w:r w:rsidRPr="0000293C">
        <w:t>placement;</w:t>
      </w:r>
      <w:proofErr w:type="gramEnd"/>
    </w:p>
    <w:p w14:paraId="59249CCD" w14:textId="77777777" w:rsidR="00506ABF" w:rsidRPr="0000293C" w:rsidRDefault="00F4358C" w:rsidP="00E550BD">
      <w:pPr>
        <w:pStyle w:val="ListBullet"/>
      </w:pPr>
      <w:r w:rsidRPr="0000293C">
        <w:t xml:space="preserve">continuously </w:t>
      </w:r>
      <w:r w:rsidR="00030FA9" w:rsidRPr="0000293C">
        <w:t>m</w:t>
      </w:r>
      <w:r w:rsidR="00EF2B16" w:rsidRPr="0000293C">
        <w:t>eeting</w:t>
      </w:r>
      <w:r w:rsidR="00750972" w:rsidRPr="0000293C">
        <w:t xml:space="preserve"> their obligations under the </w:t>
      </w:r>
      <w:proofErr w:type="gramStart"/>
      <w:r w:rsidR="00750972" w:rsidRPr="0000293C">
        <w:t>MDRAP</w:t>
      </w:r>
      <w:r w:rsidR="00030FA9" w:rsidRPr="0000293C">
        <w:t>;</w:t>
      </w:r>
      <w:proofErr w:type="gramEnd"/>
    </w:p>
    <w:p w14:paraId="6CA050AB" w14:textId="77777777" w:rsidR="00EF2B16" w:rsidRPr="0000293C" w:rsidRDefault="00030FA9" w:rsidP="00E550BD">
      <w:pPr>
        <w:pStyle w:val="ListBullet"/>
      </w:pPr>
      <w:r w:rsidRPr="0000293C">
        <w:lastRenderedPageBreak/>
        <w:t>p</w:t>
      </w:r>
      <w:r w:rsidR="00EF2B16" w:rsidRPr="0000293C">
        <w:t xml:space="preserve">roviding documentation </w:t>
      </w:r>
      <w:r w:rsidR="00FA468A" w:rsidRPr="0000293C">
        <w:t xml:space="preserve">or evidence </w:t>
      </w:r>
      <w:r w:rsidR="00EF2B16" w:rsidRPr="0000293C">
        <w:t>upon request</w:t>
      </w:r>
      <w:r w:rsidR="00591773" w:rsidRPr="0000293C">
        <w:t xml:space="preserve"> by RWA or the </w:t>
      </w:r>
      <w:proofErr w:type="gramStart"/>
      <w:r w:rsidR="00591773" w:rsidRPr="0000293C">
        <w:t>Department</w:t>
      </w:r>
      <w:r w:rsidRPr="0000293C">
        <w:t>;</w:t>
      </w:r>
      <w:proofErr w:type="gramEnd"/>
    </w:p>
    <w:p w14:paraId="5D43950C" w14:textId="77777777" w:rsidR="00506ABF" w:rsidRDefault="00030FA9" w:rsidP="00E550BD">
      <w:pPr>
        <w:pStyle w:val="ListBullet"/>
      </w:pPr>
      <w:r w:rsidRPr="0000293C">
        <w:t>e</w:t>
      </w:r>
      <w:r w:rsidR="00750972" w:rsidRPr="0000293C">
        <w:t>nsuring personal details are</w:t>
      </w:r>
      <w:r w:rsidR="00750972" w:rsidRPr="00AF5E0D">
        <w:t xml:space="preserve"> correct and </w:t>
      </w:r>
      <w:proofErr w:type="gramStart"/>
      <w:r w:rsidR="00750972" w:rsidRPr="00AF5E0D">
        <w:t>up-to-date</w:t>
      </w:r>
      <w:proofErr w:type="gramEnd"/>
      <w:r>
        <w:t>; and</w:t>
      </w:r>
    </w:p>
    <w:p w14:paraId="04B9E0FA" w14:textId="77777777" w:rsidR="00C924BE" w:rsidRPr="00AF5E0D" w:rsidRDefault="00030FA9" w:rsidP="00E550BD">
      <w:pPr>
        <w:pStyle w:val="ListBullet"/>
      </w:pPr>
      <w:r>
        <w:t>c</w:t>
      </w:r>
      <w:r w:rsidR="00C924BE">
        <w:t>onfirming the commencement date of the MDRAP placement</w:t>
      </w:r>
      <w:r w:rsidR="00A9694B">
        <w:t xml:space="preserve"> </w:t>
      </w:r>
      <w:r w:rsidR="00EC2FF1">
        <w:t xml:space="preserve">and their Medicare </w:t>
      </w:r>
      <w:r w:rsidR="00EC2FF1" w:rsidRPr="0000293C">
        <w:t>provider</w:t>
      </w:r>
      <w:r w:rsidR="00EC2FF1">
        <w:t xml:space="preserve"> number </w:t>
      </w:r>
      <w:r w:rsidR="00A9694B">
        <w:t>before claiming a Medicare benefit</w:t>
      </w:r>
      <w:r>
        <w:t>.</w:t>
      </w:r>
    </w:p>
    <w:p w14:paraId="69F894B5" w14:textId="77777777" w:rsidR="00445C33" w:rsidRDefault="000264B1" w:rsidP="00FD1608">
      <w:pPr>
        <w:pStyle w:val="Heading3Numbered"/>
      </w:pPr>
      <w:bookmarkStart w:id="52" w:name="_Toc118975677"/>
      <w:r>
        <w:t>Practice</w:t>
      </w:r>
      <w:bookmarkEnd w:id="52"/>
    </w:p>
    <w:p w14:paraId="006DE54F" w14:textId="77777777" w:rsidR="00445C33" w:rsidRPr="00445C33" w:rsidRDefault="00445C33" w:rsidP="00445C33">
      <w:pPr>
        <w:contextualSpacing/>
        <w:rPr>
          <w:rFonts w:asciiTheme="minorHAnsi" w:hAnsiTheme="minorHAnsi" w:cstheme="minorHAnsi"/>
        </w:rPr>
      </w:pPr>
      <w:r w:rsidRPr="00445C33">
        <w:rPr>
          <w:rFonts w:asciiTheme="minorHAnsi" w:hAnsiTheme="minorHAnsi" w:cstheme="minorHAnsi"/>
        </w:rPr>
        <w:t>The p</w:t>
      </w:r>
      <w:r>
        <w:rPr>
          <w:rFonts w:asciiTheme="minorHAnsi" w:hAnsiTheme="minorHAnsi" w:cstheme="minorHAnsi"/>
        </w:rPr>
        <w:t>ractice</w:t>
      </w:r>
      <w:r w:rsidRPr="00445C33">
        <w:rPr>
          <w:rFonts w:asciiTheme="minorHAnsi" w:hAnsiTheme="minorHAnsi" w:cstheme="minorHAnsi"/>
        </w:rPr>
        <w:t>’s responsibilities include:</w:t>
      </w:r>
    </w:p>
    <w:p w14:paraId="38A3F6AE" w14:textId="4D0EB6AA" w:rsidR="0090478B" w:rsidRDefault="0090478B" w:rsidP="00E550BD">
      <w:pPr>
        <w:pStyle w:val="ListBullet"/>
      </w:pPr>
      <w:r>
        <w:t>providing orientation to the community / practice</w:t>
      </w:r>
    </w:p>
    <w:p w14:paraId="1302BD5A" w14:textId="54ED8F6C" w:rsidR="00DD236B" w:rsidRPr="0000293C" w:rsidRDefault="002F56DC" w:rsidP="00E550BD">
      <w:pPr>
        <w:pStyle w:val="ListBullet"/>
      </w:pPr>
      <w:r w:rsidRPr="0000293C">
        <w:t xml:space="preserve">providing the support required to meet the participants supervision </w:t>
      </w:r>
      <w:proofErr w:type="gramStart"/>
      <w:r w:rsidRPr="0000293C">
        <w:t>obligations</w:t>
      </w:r>
      <w:r w:rsidR="00DD236B" w:rsidRPr="0000293C">
        <w:t>;</w:t>
      </w:r>
      <w:proofErr w:type="gramEnd"/>
    </w:p>
    <w:p w14:paraId="6B26DB45" w14:textId="77777777" w:rsidR="00445C33" w:rsidRPr="0000293C" w:rsidRDefault="00445C33" w:rsidP="00E550BD">
      <w:pPr>
        <w:pStyle w:val="ListBullet"/>
      </w:pPr>
      <w:r w:rsidRPr="0000293C">
        <w:t xml:space="preserve">providing </w:t>
      </w:r>
      <w:r w:rsidR="002F56DC" w:rsidRPr="0000293C">
        <w:t xml:space="preserve">the </w:t>
      </w:r>
      <w:r w:rsidRPr="0000293C">
        <w:t xml:space="preserve">support </w:t>
      </w:r>
      <w:r w:rsidR="002F56DC" w:rsidRPr="0000293C">
        <w:t>required to ensure the participant meets</w:t>
      </w:r>
      <w:r w:rsidRPr="0000293C">
        <w:t xml:space="preserve"> the obligations of MDRAP;</w:t>
      </w:r>
      <w:r w:rsidR="00DD236B" w:rsidRPr="0000293C">
        <w:t xml:space="preserve"> and</w:t>
      </w:r>
    </w:p>
    <w:p w14:paraId="4CB6C689" w14:textId="77777777" w:rsidR="00445C33" w:rsidRPr="0000293C" w:rsidRDefault="00895D75" w:rsidP="00E550BD">
      <w:pPr>
        <w:pStyle w:val="ListBullet"/>
      </w:pPr>
      <w:r w:rsidRPr="0000293C">
        <w:t>understand</w:t>
      </w:r>
      <w:r w:rsidR="002F56DC" w:rsidRPr="0000293C">
        <w:t xml:space="preserve">ing </w:t>
      </w:r>
      <w:r w:rsidRPr="0000293C">
        <w:t xml:space="preserve">the participant </w:t>
      </w:r>
      <w:r w:rsidR="002F56DC" w:rsidRPr="0000293C">
        <w:t>must progress</w:t>
      </w:r>
      <w:r w:rsidRPr="0000293C">
        <w:t xml:space="preserve"> to a college pathway </w:t>
      </w:r>
      <w:r w:rsidR="00EC2FF1" w:rsidRPr="0000293C">
        <w:t>within a specified timeframe.</w:t>
      </w:r>
    </w:p>
    <w:p w14:paraId="1AEB5D8C" w14:textId="77777777" w:rsidR="00506ABF" w:rsidRPr="00AF5E0D" w:rsidRDefault="00940601" w:rsidP="00FD1608">
      <w:pPr>
        <w:pStyle w:val="Heading3Numbered"/>
      </w:pPr>
      <w:bookmarkStart w:id="53" w:name="_Toc118975678"/>
      <w:r w:rsidRPr="00AF5E0D">
        <w:t>Rural Workforce Agency</w:t>
      </w:r>
      <w:bookmarkEnd w:id="53"/>
    </w:p>
    <w:p w14:paraId="52708D4A" w14:textId="77777777" w:rsidR="00506ABF" w:rsidRPr="00AF5E0D" w:rsidRDefault="00EF2B16" w:rsidP="00AF5E0D">
      <w:pPr>
        <w:rPr>
          <w:rFonts w:asciiTheme="minorHAnsi" w:hAnsiTheme="minorHAnsi" w:cstheme="minorHAnsi"/>
          <w:szCs w:val="22"/>
        </w:rPr>
      </w:pPr>
      <w:r w:rsidRPr="00AF5E0D">
        <w:rPr>
          <w:rFonts w:asciiTheme="minorHAnsi" w:hAnsiTheme="minorHAnsi" w:cstheme="minorHAnsi"/>
          <w:szCs w:val="22"/>
        </w:rPr>
        <w:t xml:space="preserve">The </w:t>
      </w:r>
      <w:r w:rsidR="005C23D8">
        <w:rPr>
          <w:rFonts w:asciiTheme="minorHAnsi" w:hAnsiTheme="minorHAnsi" w:cstheme="minorHAnsi"/>
          <w:szCs w:val="22"/>
        </w:rPr>
        <w:t>Rural Workforce Agencies</w:t>
      </w:r>
      <w:r w:rsidR="00506ABF" w:rsidRPr="00AF5E0D">
        <w:rPr>
          <w:rFonts w:asciiTheme="minorHAnsi" w:hAnsiTheme="minorHAnsi" w:cstheme="minorHAnsi"/>
          <w:szCs w:val="22"/>
        </w:rPr>
        <w:t xml:space="preserve"> </w:t>
      </w:r>
      <w:r w:rsidR="002250B6" w:rsidRPr="00AF5E0D">
        <w:rPr>
          <w:rFonts w:asciiTheme="minorHAnsi" w:hAnsiTheme="minorHAnsi" w:cstheme="minorHAnsi"/>
          <w:szCs w:val="22"/>
        </w:rPr>
        <w:t>responsibilities include</w:t>
      </w:r>
      <w:r w:rsidR="00656567" w:rsidRPr="00AF5E0D">
        <w:rPr>
          <w:rFonts w:asciiTheme="minorHAnsi" w:hAnsiTheme="minorHAnsi" w:cstheme="minorHAnsi"/>
          <w:szCs w:val="22"/>
        </w:rPr>
        <w:t xml:space="preserve">, but </w:t>
      </w:r>
      <w:r w:rsidR="002250B6" w:rsidRPr="00AF5E0D">
        <w:rPr>
          <w:rFonts w:asciiTheme="minorHAnsi" w:hAnsiTheme="minorHAnsi" w:cstheme="minorHAnsi"/>
          <w:szCs w:val="22"/>
        </w:rPr>
        <w:t xml:space="preserve">are </w:t>
      </w:r>
      <w:r w:rsidR="00656567" w:rsidRPr="00AF5E0D">
        <w:rPr>
          <w:rFonts w:asciiTheme="minorHAnsi" w:hAnsiTheme="minorHAnsi" w:cstheme="minorHAnsi"/>
          <w:szCs w:val="22"/>
        </w:rPr>
        <w:t>not limited</w:t>
      </w:r>
      <w:r w:rsidR="00506ABF" w:rsidRPr="00AF5E0D">
        <w:rPr>
          <w:rFonts w:asciiTheme="minorHAnsi" w:hAnsiTheme="minorHAnsi" w:cstheme="minorHAnsi"/>
          <w:szCs w:val="22"/>
        </w:rPr>
        <w:t xml:space="preserve"> to:</w:t>
      </w:r>
    </w:p>
    <w:p w14:paraId="42E92A06" w14:textId="77777777" w:rsidR="002250B6" w:rsidRPr="0000293C" w:rsidRDefault="00030FA9" w:rsidP="00E550BD">
      <w:pPr>
        <w:pStyle w:val="ListBullet"/>
      </w:pPr>
      <w:r w:rsidRPr="0000293C">
        <w:t>u</w:t>
      </w:r>
      <w:r w:rsidR="002250B6" w:rsidRPr="0000293C">
        <w:t xml:space="preserve">ndertaking verification of </w:t>
      </w:r>
      <w:proofErr w:type="gramStart"/>
      <w:r w:rsidR="002250B6" w:rsidRPr="0000293C">
        <w:t>doctors</w:t>
      </w:r>
      <w:proofErr w:type="gramEnd"/>
      <w:r w:rsidR="002250B6" w:rsidRPr="0000293C">
        <w:t xml:space="preserve"> skills and experience and assessing suitability for a placement</w:t>
      </w:r>
      <w:r w:rsidR="00927B28" w:rsidRPr="0000293C">
        <w:t xml:space="preserve"> based on recruitment processes and the advice of a </w:t>
      </w:r>
      <w:r w:rsidR="00520F3B">
        <w:t>medical</w:t>
      </w:r>
      <w:r w:rsidR="00520F3B" w:rsidRPr="0000293C">
        <w:t xml:space="preserve"> </w:t>
      </w:r>
      <w:r w:rsidR="00927B28" w:rsidRPr="0000293C">
        <w:t>advisor if applicable</w:t>
      </w:r>
      <w:r w:rsidRPr="0000293C">
        <w:t>;</w:t>
      </w:r>
    </w:p>
    <w:p w14:paraId="05FDEF5E" w14:textId="77777777" w:rsidR="00506ABF" w:rsidRPr="0000293C" w:rsidRDefault="00030FA9" w:rsidP="00E550BD">
      <w:pPr>
        <w:pStyle w:val="ListBullet"/>
      </w:pPr>
      <w:r w:rsidRPr="0000293C">
        <w:t>d</w:t>
      </w:r>
      <w:r w:rsidR="00750972" w:rsidRPr="0000293C">
        <w:t>etermining</w:t>
      </w:r>
      <w:r w:rsidR="002250B6" w:rsidRPr="0000293C">
        <w:t xml:space="preserve"> if a </w:t>
      </w:r>
      <w:r w:rsidR="00506ABF" w:rsidRPr="0000293C">
        <w:t xml:space="preserve">doctor </w:t>
      </w:r>
      <w:r w:rsidR="002250B6" w:rsidRPr="0000293C">
        <w:t>is eligible</w:t>
      </w:r>
      <w:r w:rsidR="00506ABF" w:rsidRPr="0000293C">
        <w:t xml:space="preserve"> </w:t>
      </w:r>
      <w:r w:rsidR="00FA468A" w:rsidRPr="0000293C">
        <w:t>for a</w:t>
      </w:r>
      <w:r w:rsidR="00927B28" w:rsidRPr="0000293C">
        <w:t>n</w:t>
      </w:r>
      <w:r w:rsidR="00FA468A" w:rsidRPr="0000293C">
        <w:t xml:space="preserve"> MDRAP </w:t>
      </w:r>
      <w:proofErr w:type="gramStart"/>
      <w:r w:rsidR="00FA468A" w:rsidRPr="0000293C">
        <w:t>placement</w:t>
      </w:r>
      <w:r w:rsidRPr="0000293C">
        <w:t>;</w:t>
      </w:r>
      <w:proofErr w:type="gramEnd"/>
    </w:p>
    <w:p w14:paraId="79D48BB0" w14:textId="77777777" w:rsidR="003B3F0C" w:rsidRPr="0000293C" w:rsidRDefault="003B3F0C" w:rsidP="00E550BD">
      <w:pPr>
        <w:pStyle w:val="ListBullet"/>
      </w:pPr>
      <w:r w:rsidRPr="0000293C">
        <w:t xml:space="preserve">confirming a practice is in an eligible location for </w:t>
      </w:r>
      <w:proofErr w:type="gramStart"/>
      <w:r w:rsidRPr="0000293C">
        <w:t>MDRAP;</w:t>
      </w:r>
      <w:proofErr w:type="gramEnd"/>
    </w:p>
    <w:p w14:paraId="69FFD506" w14:textId="77777777" w:rsidR="007515EA" w:rsidRPr="0000293C" w:rsidRDefault="003B3F0C" w:rsidP="00E550BD">
      <w:pPr>
        <w:pStyle w:val="ListBullet"/>
      </w:pPr>
      <w:r w:rsidRPr="0000293C">
        <w:t>confirming</w:t>
      </w:r>
      <w:r w:rsidR="007515EA" w:rsidRPr="0000293C">
        <w:t xml:space="preserve"> </w:t>
      </w:r>
      <w:r w:rsidR="00EC2FF1" w:rsidRPr="0000293C">
        <w:t xml:space="preserve">a </w:t>
      </w:r>
      <w:r w:rsidR="007515EA" w:rsidRPr="0000293C">
        <w:t xml:space="preserve">doctor’s previous </w:t>
      </w:r>
      <w:r w:rsidR="00591773" w:rsidRPr="0000293C">
        <w:t xml:space="preserve">section </w:t>
      </w:r>
      <w:r w:rsidR="007515EA" w:rsidRPr="0000293C">
        <w:t>3GA placements</w:t>
      </w:r>
      <w:r w:rsidRPr="0000293C">
        <w:t xml:space="preserve"> to assist with </w:t>
      </w:r>
      <w:proofErr w:type="gramStart"/>
      <w:r w:rsidRPr="0000293C">
        <w:t>eligibility</w:t>
      </w:r>
      <w:r w:rsidR="00030FA9" w:rsidRPr="0000293C">
        <w:t>;</w:t>
      </w:r>
      <w:proofErr w:type="gramEnd"/>
    </w:p>
    <w:p w14:paraId="169C2B36" w14:textId="77777777" w:rsidR="00506ABF" w:rsidRPr="0000293C" w:rsidRDefault="00030FA9" w:rsidP="00E550BD">
      <w:pPr>
        <w:pStyle w:val="ListBullet"/>
      </w:pPr>
      <w:r w:rsidRPr="0000293C">
        <w:t>n</w:t>
      </w:r>
      <w:r w:rsidR="00750972" w:rsidRPr="0000293C">
        <w:t>oti</w:t>
      </w:r>
      <w:r w:rsidR="001C3D48" w:rsidRPr="0000293C">
        <w:t>fying</w:t>
      </w:r>
      <w:r w:rsidR="00506ABF" w:rsidRPr="0000293C">
        <w:t xml:space="preserve"> </w:t>
      </w:r>
      <w:r w:rsidR="002250B6" w:rsidRPr="0000293C">
        <w:t>doctors</w:t>
      </w:r>
      <w:r w:rsidR="00656567" w:rsidRPr="0000293C">
        <w:t xml:space="preserve"> </w:t>
      </w:r>
      <w:r w:rsidR="002E2702" w:rsidRPr="0000293C">
        <w:t>of</w:t>
      </w:r>
      <w:r w:rsidR="00506ABF" w:rsidRPr="0000293C">
        <w:t xml:space="preserve"> the outcome of their </w:t>
      </w:r>
      <w:r w:rsidR="00A9694B" w:rsidRPr="0000293C">
        <w:t xml:space="preserve">MDRAP </w:t>
      </w:r>
      <w:r w:rsidR="00506ABF" w:rsidRPr="0000293C">
        <w:t>applica</w:t>
      </w:r>
      <w:r w:rsidRPr="0000293C">
        <w:t xml:space="preserve">tions within 28 days of </w:t>
      </w:r>
      <w:proofErr w:type="gramStart"/>
      <w:r w:rsidRPr="0000293C">
        <w:t>receipt;</w:t>
      </w:r>
      <w:proofErr w:type="gramEnd"/>
    </w:p>
    <w:p w14:paraId="00327CE7" w14:textId="77777777" w:rsidR="00506ABF" w:rsidRPr="003E04DB" w:rsidRDefault="00030FA9" w:rsidP="00E550BD">
      <w:pPr>
        <w:pStyle w:val="ListBullet"/>
      </w:pPr>
      <w:r w:rsidRPr="0000293C">
        <w:t>d</w:t>
      </w:r>
      <w:r w:rsidR="001C3D48" w:rsidRPr="0000293C">
        <w:t>etermining</w:t>
      </w:r>
      <w:r w:rsidR="00506ABF" w:rsidRPr="0000293C">
        <w:t xml:space="preserve"> </w:t>
      </w:r>
      <w:r w:rsidR="00656567" w:rsidRPr="0000293C">
        <w:t xml:space="preserve">if a </w:t>
      </w:r>
      <w:r w:rsidR="00656567" w:rsidRPr="003E04DB">
        <w:t>participant</w:t>
      </w:r>
      <w:r w:rsidR="002250B6" w:rsidRPr="003E04DB">
        <w:t xml:space="preserve"> meets ongoing </w:t>
      </w:r>
      <w:r w:rsidR="00FA468A" w:rsidRPr="003E04DB">
        <w:t xml:space="preserve">MDRAP </w:t>
      </w:r>
      <w:r w:rsidR="002250B6" w:rsidRPr="003E04DB">
        <w:t>requirements</w:t>
      </w:r>
      <w:r w:rsidR="00927B28" w:rsidRPr="003E04DB">
        <w:t xml:space="preserve"> by obtaining evidence of supervision, participation in education and applications to college pathways if </w:t>
      </w:r>
      <w:proofErr w:type="gramStart"/>
      <w:r w:rsidR="00927B28" w:rsidRPr="003E04DB">
        <w:t>required</w:t>
      </w:r>
      <w:r w:rsidRPr="003E04DB">
        <w:t>;</w:t>
      </w:r>
      <w:proofErr w:type="gramEnd"/>
    </w:p>
    <w:p w14:paraId="2BEE6BEE" w14:textId="77777777" w:rsidR="00FA468A" w:rsidRPr="003E04DB" w:rsidRDefault="00927B28" w:rsidP="00E550BD">
      <w:pPr>
        <w:pStyle w:val="ListBullet"/>
      </w:pPr>
      <w:r w:rsidRPr="003E04DB">
        <w:t xml:space="preserve">providing notices to participants confirming their </w:t>
      </w:r>
      <w:r w:rsidR="002F56DC" w:rsidRPr="003E04DB">
        <w:t xml:space="preserve">removal </w:t>
      </w:r>
      <w:r w:rsidRPr="003E04DB">
        <w:t>from the MDRAP if they</w:t>
      </w:r>
      <w:r w:rsidR="002F56DC" w:rsidRPr="003E04DB">
        <w:t xml:space="preserve"> do not meet MDRAP </w:t>
      </w:r>
      <w:proofErr w:type="gramStart"/>
      <w:r w:rsidR="002F56DC" w:rsidRPr="003E04DB">
        <w:t>requirements;</w:t>
      </w:r>
      <w:proofErr w:type="gramEnd"/>
    </w:p>
    <w:p w14:paraId="74AF6446" w14:textId="77777777" w:rsidR="00506ABF" w:rsidRPr="003E04DB" w:rsidRDefault="00030FA9" w:rsidP="00E550BD">
      <w:pPr>
        <w:pStyle w:val="ListBullet"/>
      </w:pPr>
      <w:r w:rsidRPr="003E04DB">
        <w:t>c</w:t>
      </w:r>
      <w:r w:rsidR="00506ABF" w:rsidRPr="003E04DB">
        <w:t>onsider</w:t>
      </w:r>
      <w:r w:rsidR="001C3D48" w:rsidRPr="003E04DB">
        <w:t>ing</w:t>
      </w:r>
      <w:r w:rsidR="002250B6" w:rsidRPr="003E04DB">
        <w:t xml:space="preserve"> applications for </w:t>
      </w:r>
      <w:r w:rsidR="0078762C" w:rsidRPr="003E04DB">
        <w:t>extenuating</w:t>
      </w:r>
      <w:r w:rsidR="002250B6" w:rsidRPr="003E04DB">
        <w:t xml:space="preserve"> </w:t>
      </w:r>
      <w:r w:rsidR="00506ABF" w:rsidRPr="003E04DB">
        <w:t xml:space="preserve">circumstances </w:t>
      </w:r>
      <w:r w:rsidR="00FA468A" w:rsidRPr="003E04DB">
        <w:t xml:space="preserve">and appeals of </w:t>
      </w:r>
      <w:proofErr w:type="gramStart"/>
      <w:r w:rsidR="00FA468A" w:rsidRPr="003E04DB">
        <w:t>decision</w:t>
      </w:r>
      <w:r w:rsidRPr="003E04DB">
        <w:t>;</w:t>
      </w:r>
      <w:proofErr w:type="gramEnd"/>
    </w:p>
    <w:p w14:paraId="07A6BF5A" w14:textId="3150DF3C" w:rsidR="00506ABF" w:rsidRPr="003E04DB" w:rsidRDefault="00030FA9" w:rsidP="00E550BD">
      <w:pPr>
        <w:pStyle w:val="ListBullet"/>
      </w:pPr>
      <w:r w:rsidRPr="003E04DB">
        <w:t>c</w:t>
      </w:r>
      <w:r w:rsidR="00506ABF" w:rsidRPr="003E04DB">
        <w:t>ollect</w:t>
      </w:r>
      <w:r w:rsidR="001C3D48" w:rsidRPr="003E04DB">
        <w:t>ing</w:t>
      </w:r>
      <w:r w:rsidR="00506ABF" w:rsidRPr="003E04DB">
        <w:t xml:space="preserve"> informat</w:t>
      </w:r>
      <w:r w:rsidRPr="003E04DB">
        <w:t xml:space="preserve">ion/data for reporting </w:t>
      </w:r>
      <w:proofErr w:type="gramStart"/>
      <w:r w:rsidRPr="003E04DB">
        <w:t>purposes</w:t>
      </w:r>
      <w:r w:rsidR="003C597F">
        <w:t>;</w:t>
      </w:r>
      <w:proofErr w:type="gramEnd"/>
      <w:r w:rsidR="0082175C">
        <w:t xml:space="preserve"> </w:t>
      </w:r>
    </w:p>
    <w:p w14:paraId="2307A528" w14:textId="3C3E1028" w:rsidR="000E1CC3" w:rsidRPr="003E04DB" w:rsidRDefault="000E1CC3" w:rsidP="00E550BD">
      <w:pPr>
        <w:pStyle w:val="ListBullet"/>
      </w:pPr>
      <w:r w:rsidRPr="003E04DB">
        <w:t xml:space="preserve">providing administrative support to participants during their </w:t>
      </w:r>
      <w:proofErr w:type="gramStart"/>
      <w:r w:rsidRPr="003E04DB">
        <w:t>placement;</w:t>
      </w:r>
      <w:proofErr w:type="gramEnd"/>
      <w:r w:rsidR="003C597F">
        <w:t xml:space="preserve"> </w:t>
      </w:r>
    </w:p>
    <w:p w14:paraId="1EBE0B32" w14:textId="77777777" w:rsidR="00FA5EE8" w:rsidRDefault="000E1CC3" w:rsidP="00E550BD">
      <w:pPr>
        <w:pStyle w:val="ListBullet"/>
      </w:pPr>
      <w:r w:rsidRPr="003E04DB">
        <w:t xml:space="preserve">recommending the practice, employer or other designated person to provide the doctor with orientation to the community/practice, list of contact number of other local doctors/specialists and contact details of organisation and agencies able to provide assistant and </w:t>
      </w:r>
      <w:proofErr w:type="gramStart"/>
      <w:r w:rsidRPr="003E04DB">
        <w:t>support</w:t>
      </w:r>
      <w:r w:rsidR="000D0D11">
        <w:t>;</w:t>
      </w:r>
      <w:proofErr w:type="gramEnd"/>
      <w:r w:rsidR="007C4D3F">
        <w:t xml:space="preserve"> </w:t>
      </w:r>
    </w:p>
    <w:p w14:paraId="7757B19D" w14:textId="30BE5FC1" w:rsidR="00FA468A" w:rsidRDefault="00FA5EE8" w:rsidP="00E550BD">
      <w:pPr>
        <w:pStyle w:val="ListBullet"/>
      </w:pPr>
      <w:r>
        <w:t xml:space="preserve">engaging with key stakeholders to ensure efficient </w:t>
      </w:r>
      <w:r w:rsidR="00E05364">
        <w:t xml:space="preserve">and consistent </w:t>
      </w:r>
      <w:r>
        <w:t xml:space="preserve">program operation and reporting; </w:t>
      </w:r>
      <w:r w:rsidR="007C4D3F">
        <w:t>and</w:t>
      </w:r>
    </w:p>
    <w:p w14:paraId="651CAC32" w14:textId="475134C7" w:rsidR="00C53616" w:rsidRPr="00ED5EA6" w:rsidRDefault="000D0D11" w:rsidP="00E550BD">
      <w:pPr>
        <w:pStyle w:val="ListBullet"/>
      </w:pPr>
      <w:r>
        <w:t xml:space="preserve">providing </w:t>
      </w:r>
      <w:r w:rsidR="00F74BA6">
        <w:t>MDRAP doctors with information and assistance to apply for general practice college-led fellowship programs.</w:t>
      </w:r>
    </w:p>
    <w:p w14:paraId="1806F221" w14:textId="56656DE0" w:rsidR="00FA468A" w:rsidRPr="00AF5E0D" w:rsidRDefault="00B90ABB" w:rsidP="00ED5EA6">
      <w:r>
        <w:t xml:space="preserve">A </w:t>
      </w:r>
      <w:r w:rsidR="000764F9" w:rsidRPr="004D0828">
        <w:t>Rural Workforce Agenc</w:t>
      </w:r>
      <w:r w:rsidR="00373E89" w:rsidRPr="004D0828">
        <w:t>y’s</w:t>
      </w:r>
      <w:r w:rsidR="002707CA" w:rsidRPr="004D0828">
        <w:t xml:space="preserve"> </w:t>
      </w:r>
      <w:r w:rsidR="00AB3F1E" w:rsidRPr="004D0828">
        <w:t xml:space="preserve">medical </w:t>
      </w:r>
      <w:r w:rsidR="002707CA" w:rsidRPr="004D0828">
        <w:t xml:space="preserve">advisor </w:t>
      </w:r>
      <w:r w:rsidR="00506ABF" w:rsidRPr="004D0828">
        <w:t xml:space="preserve">will </w:t>
      </w:r>
      <w:r w:rsidR="003B3F0C" w:rsidRPr="004D0828">
        <w:t xml:space="preserve">have a clinical function to provide advice to the </w:t>
      </w:r>
      <w:r w:rsidR="004D0828" w:rsidRPr="004D0828">
        <w:t>RWA</w:t>
      </w:r>
      <w:r w:rsidR="003B3F0C">
        <w:t xml:space="preserve"> as the Specified Body administering the MDRAP</w:t>
      </w:r>
      <w:r w:rsidR="00506ABF" w:rsidRPr="00AF5E0D">
        <w:t xml:space="preserve">.  </w:t>
      </w:r>
    </w:p>
    <w:p w14:paraId="5D83880B" w14:textId="77777777" w:rsidR="00506ABF" w:rsidRPr="00AF5E0D" w:rsidRDefault="00506ABF" w:rsidP="00AF5E0D">
      <w:pPr>
        <w:rPr>
          <w:rFonts w:asciiTheme="minorHAnsi" w:hAnsiTheme="minorHAnsi" w:cstheme="minorHAnsi"/>
          <w:szCs w:val="22"/>
        </w:rPr>
      </w:pPr>
      <w:r w:rsidRPr="00AF5E0D">
        <w:rPr>
          <w:rFonts w:asciiTheme="minorHAnsi" w:hAnsiTheme="minorHAnsi" w:cstheme="minorHAnsi"/>
          <w:szCs w:val="22"/>
        </w:rPr>
        <w:t xml:space="preserve">The </w:t>
      </w:r>
      <w:r w:rsidR="00035279">
        <w:rPr>
          <w:rFonts w:asciiTheme="minorHAnsi" w:hAnsiTheme="minorHAnsi" w:cstheme="minorHAnsi"/>
          <w:szCs w:val="22"/>
        </w:rPr>
        <w:t>medical</w:t>
      </w:r>
      <w:r w:rsidR="00035279" w:rsidRPr="00AF5E0D">
        <w:rPr>
          <w:rFonts w:asciiTheme="minorHAnsi" w:hAnsiTheme="minorHAnsi" w:cstheme="minorHAnsi"/>
          <w:szCs w:val="22"/>
        </w:rPr>
        <w:t xml:space="preserve"> </w:t>
      </w:r>
      <w:r w:rsidRPr="00AF5E0D">
        <w:rPr>
          <w:rFonts w:asciiTheme="minorHAnsi" w:hAnsiTheme="minorHAnsi" w:cstheme="minorHAnsi"/>
          <w:szCs w:val="22"/>
        </w:rPr>
        <w:t xml:space="preserve">advisor may be required to </w:t>
      </w:r>
      <w:r w:rsidR="00373E89">
        <w:rPr>
          <w:rFonts w:asciiTheme="minorHAnsi" w:hAnsiTheme="minorHAnsi" w:cstheme="minorHAnsi"/>
          <w:szCs w:val="22"/>
        </w:rPr>
        <w:t>provide advice on</w:t>
      </w:r>
      <w:r w:rsidRPr="00AF5E0D">
        <w:rPr>
          <w:rFonts w:asciiTheme="minorHAnsi" w:hAnsiTheme="minorHAnsi" w:cstheme="minorHAnsi"/>
          <w:szCs w:val="22"/>
        </w:rPr>
        <w:t xml:space="preserve"> individual MDRAP applications, </w:t>
      </w:r>
      <w:r w:rsidR="001C3D48" w:rsidRPr="00AF5E0D">
        <w:rPr>
          <w:rFonts w:asciiTheme="minorHAnsi" w:hAnsiTheme="minorHAnsi" w:cstheme="minorHAnsi"/>
          <w:szCs w:val="22"/>
        </w:rPr>
        <w:t xml:space="preserve">and may consider the following: </w:t>
      </w:r>
    </w:p>
    <w:p w14:paraId="1A0706B5" w14:textId="77777777" w:rsidR="001D383E" w:rsidRPr="003E04DB" w:rsidRDefault="003B3F0C" w:rsidP="00E550BD">
      <w:pPr>
        <w:pStyle w:val="ListBullet"/>
      </w:pPr>
      <w:r w:rsidRPr="0000293C">
        <w:t xml:space="preserve">assessing </w:t>
      </w:r>
      <w:r w:rsidRPr="003E04DB">
        <w:t xml:space="preserve">a doctor’s </w:t>
      </w:r>
      <w:r w:rsidR="00030FA9" w:rsidRPr="003E04DB">
        <w:t>s</w:t>
      </w:r>
      <w:r w:rsidR="001D383E" w:rsidRPr="003E04DB">
        <w:t xml:space="preserve">uitability for a placement in a rural or remote </w:t>
      </w:r>
      <w:proofErr w:type="gramStart"/>
      <w:r w:rsidR="001D383E" w:rsidRPr="003E04DB">
        <w:t>community</w:t>
      </w:r>
      <w:r w:rsidR="00030FA9" w:rsidRPr="003E04DB">
        <w:t>;</w:t>
      </w:r>
      <w:proofErr w:type="gramEnd"/>
    </w:p>
    <w:p w14:paraId="1A991922" w14:textId="77777777" w:rsidR="00506ABF" w:rsidRPr="003E04DB" w:rsidRDefault="00030FA9" w:rsidP="00E550BD">
      <w:pPr>
        <w:pStyle w:val="ListBullet"/>
      </w:pPr>
      <w:r w:rsidRPr="003E04DB">
        <w:t>a</w:t>
      </w:r>
      <w:r w:rsidR="00E60C8D" w:rsidRPr="003E04DB">
        <w:t>pplicant’s s</w:t>
      </w:r>
      <w:r w:rsidR="00506ABF" w:rsidRPr="003E04DB">
        <w:t xml:space="preserve">upervision </w:t>
      </w:r>
      <w:proofErr w:type="gramStart"/>
      <w:r w:rsidR="00506ABF" w:rsidRPr="003E04DB">
        <w:t>reports</w:t>
      </w:r>
      <w:r w:rsidRPr="003E04DB">
        <w:t>;</w:t>
      </w:r>
      <w:proofErr w:type="gramEnd"/>
    </w:p>
    <w:p w14:paraId="7E65FCD9" w14:textId="77777777" w:rsidR="001D383E" w:rsidRPr="003E04DB" w:rsidRDefault="00030FA9" w:rsidP="00E550BD">
      <w:pPr>
        <w:pStyle w:val="ListBullet"/>
      </w:pPr>
      <w:r w:rsidRPr="003E04DB">
        <w:t>e</w:t>
      </w:r>
      <w:r w:rsidR="001D383E" w:rsidRPr="003E04DB">
        <w:t>xam results and progress to a college pathway</w:t>
      </w:r>
      <w:r w:rsidRPr="003E04DB">
        <w:t>;</w:t>
      </w:r>
      <w:r w:rsidR="004F151C" w:rsidRPr="003E04DB">
        <w:t xml:space="preserve"> and</w:t>
      </w:r>
    </w:p>
    <w:p w14:paraId="29A20652" w14:textId="77777777" w:rsidR="00CC47DD" w:rsidRPr="00AF5E0D" w:rsidRDefault="0078762C" w:rsidP="00E550BD">
      <w:pPr>
        <w:pStyle w:val="ListBullet"/>
      </w:pPr>
      <w:r w:rsidRPr="003E04DB">
        <w:t>extenuating</w:t>
      </w:r>
      <w:r w:rsidRPr="00AF5E0D">
        <w:t xml:space="preserve"> </w:t>
      </w:r>
      <w:r w:rsidR="00506ABF" w:rsidRPr="00AF5E0D">
        <w:t xml:space="preserve">circumstances </w:t>
      </w:r>
      <w:r w:rsidR="001845B9">
        <w:t xml:space="preserve">(evidence </w:t>
      </w:r>
      <w:r w:rsidR="00506ABF" w:rsidRPr="00AF5E0D">
        <w:t>including medical certificates or reports</w:t>
      </w:r>
      <w:r w:rsidR="001845B9">
        <w:t>)</w:t>
      </w:r>
      <w:r w:rsidR="00030FA9">
        <w:t>.</w:t>
      </w:r>
    </w:p>
    <w:p w14:paraId="47D94A6F" w14:textId="061090E2" w:rsidR="00506ABF" w:rsidRPr="00AF5E0D" w:rsidRDefault="001D383E" w:rsidP="00FD1608">
      <w:pPr>
        <w:pStyle w:val="Heading3Numbered"/>
      </w:pPr>
      <w:bookmarkStart w:id="54" w:name="_Toc118975679"/>
      <w:r w:rsidRPr="00AF5E0D">
        <w:t>Department of Health</w:t>
      </w:r>
      <w:r w:rsidR="0067651C">
        <w:t xml:space="preserve"> and Aged Care</w:t>
      </w:r>
      <w:bookmarkEnd w:id="54"/>
    </w:p>
    <w:p w14:paraId="76096B93" w14:textId="77777777" w:rsidR="00506ABF" w:rsidRPr="00AF5E0D" w:rsidRDefault="002707CA" w:rsidP="00AF5E0D">
      <w:pPr>
        <w:rPr>
          <w:rFonts w:asciiTheme="minorHAnsi" w:hAnsiTheme="minorHAnsi" w:cstheme="minorHAnsi"/>
          <w:szCs w:val="22"/>
        </w:rPr>
      </w:pPr>
      <w:r>
        <w:rPr>
          <w:rFonts w:asciiTheme="minorHAnsi" w:hAnsiTheme="minorHAnsi" w:cstheme="minorHAnsi"/>
          <w:szCs w:val="22"/>
        </w:rPr>
        <w:t>The Department</w:t>
      </w:r>
      <w:r w:rsidR="00A609A1">
        <w:rPr>
          <w:rFonts w:asciiTheme="minorHAnsi" w:hAnsiTheme="minorHAnsi" w:cstheme="minorHAnsi"/>
          <w:szCs w:val="22"/>
        </w:rPr>
        <w:t>’s</w:t>
      </w:r>
      <w:r>
        <w:rPr>
          <w:rFonts w:asciiTheme="minorHAnsi" w:hAnsiTheme="minorHAnsi" w:cstheme="minorHAnsi"/>
          <w:szCs w:val="22"/>
        </w:rPr>
        <w:t xml:space="preserve"> r</w:t>
      </w:r>
      <w:r w:rsidR="001D383E" w:rsidRPr="00AF5E0D">
        <w:rPr>
          <w:rFonts w:asciiTheme="minorHAnsi" w:hAnsiTheme="minorHAnsi" w:cstheme="minorHAnsi"/>
          <w:szCs w:val="22"/>
        </w:rPr>
        <w:t>esponsibilities include:</w:t>
      </w:r>
    </w:p>
    <w:p w14:paraId="6270CBC7" w14:textId="77777777" w:rsidR="00506ABF" w:rsidRPr="003E04DB" w:rsidRDefault="00030FA9" w:rsidP="00E550BD">
      <w:pPr>
        <w:pStyle w:val="ListBullet"/>
      </w:pPr>
      <w:r>
        <w:t>t</w:t>
      </w:r>
      <w:r w:rsidR="001D383E" w:rsidRPr="00AF5E0D">
        <w:t xml:space="preserve">he policy, </w:t>
      </w:r>
      <w:r w:rsidR="001D383E" w:rsidRPr="003E04DB">
        <w:t xml:space="preserve">guidelines and maintenance of the </w:t>
      </w:r>
      <w:proofErr w:type="gramStart"/>
      <w:r w:rsidR="001D383E" w:rsidRPr="003E04DB">
        <w:t>MDRAP</w:t>
      </w:r>
      <w:r w:rsidRPr="003E04DB">
        <w:t>;</w:t>
      </w:r>
      <w:proofErr w:type="gramEnd"/>
    </w:p>
    <w:p w14:paraId="1C46885B" w14:textId="77777777" w:rsidR="001D383E" w:rsidRPr="003E04DB" w:rsidRDefault="00030FA9" w:rsidP="00E550BD">
      <w:pPr>
        <w:pStyle w:val="ListBullet"/>
      </w:pPr>
      <w:r w:rsidRPr="003E04DB">
        <w:t>t</w:t>
      </w:r>
      <w:r w:rsidR="001D383E" w:rsidRPr="003E04DB">
        <w:t xml:space="preserve">he application of section 19AB </w:t>
      </w:r>
      <w:r w:rsidR="00EB3976" w:rsidRPr="003E04DB">
        <w:t xml:space="preserve">of the Act </w:t>
      </w:r>
      <w:r w:rsidR="001D383E" w:rsidRPr="003E04DB">
        <w:t xml:space="preserve">for MDRAP </w:t>
      </w:r>
      <w:proofErr w:type="gramStart"/>
      <w:r w:rsidR="001D383E" w:rsidRPr="003E04DB">
        <w:t>participants</w:t>
      </w:r>
      <w:r w:rsidRPr="003E04DB">
        <w:t>;</w:t>
      </w:r>
      <w:proofErr w:type="gramEnd"/>
    </w:p>
    <w:p w14:paraId="58E9D696" w14:textId="77777777" w:rsidR="001C3D48" w:rsidRPr="003E04DB" w:rsidRDefault="00030FA9" w:rsidP="00E550BD">
      <w:pPr>
        <w:pStyle w:val="ListBullet"/>
      </w:pPr>
      <w:r w:rsidRPr="003E04DB">
        <w:t>t</w:t>
      </w:r>
      <w:r w:rsidR="001D383E" w:rsidRPr="003E04DB">
        <w:t xml:space="preserve">he administration and maintenance of </w:t>
      </w:r>
      <w:r w:rsidRPr="003E04DB">
        <w:t>the Modified Monash Model (MMM)</w:t>
      </w:r>
      <w:r w:rsidR="00205278">
        <w:t xml:space="preserve"> and the Distribution Priority Area (DPA)</w:t>
      </w:r>
      <w:r w:rsidR="00C1368C">
        <w:t xml:space="preserve"> classification </w:t>
      </w:r>
      <w:proofErr w:type="gramStart"/>
      <w:r w:rsidR="00C1368C">
        <w:t>systems</w:t>
      </w:r>
      <w:r w:rsidRPr="003E04DB">
        <w:t>;</w:t>
      </w:r>
      <w:proofErr w:type="gramEnd"/>
    </w:p>
    <w:p w14:paraId="1DDA15EE" w14:textId="77777777" w:rsidR="001C3D48" w:rsidRPr="003E04DB" w:rsidRDefault="00030FA9" w:rsidP="00E550BD">
      <w:pPr>
        <w:pStyle w:val="ListBullet"/>
      </w:pPr>
      <w:r w:rsidRPr="003E04DB">
        <w:t>a</w:t>
      </w:r>
      <w:r w:rsidR="001C3D48" w:rsidRPr="003E04DB">
        <w:t xml:space="preserve">ssessing </w:t>
      </w:r>
      <w:r w:rsidR="003B3F0C" w:rsidRPr="003E04DB">
        <w:t>review of decisions</w:t>
      </w:r>
      <w:r w:rsidR="001D383E" w:rsidRPr="003E04DB">
        <w:t xml:space="preserve"> referred by the </w:t>
      </w:r>
      <w:r w:rsidR="004D0828">
        <w:t>RWAs</w:t>
      </w:r>
      <w:r w:rsidRPr="003E04DB">
        <w:t>; and</w:t>
      </w:r>
    </w:p>
    <w:p w14:paraId="52881258" w14:textId="11CBA706" w:rsidR="00506ABF" w:rsidRPr="00AF5E0D" w:rsidRDefault="00030FA9" w:rsidP="00E550BD">
      <w:pPr>
        <w:pStyle w:val="ListBullet"/>
      </w:pPr>
      <w:r w:rsidRPr="003E04DB">
        <w:t>r</w:t>
      </w:r>
      <w:r w:rsidR="001D383E" w:rsidRPr="003E04DB">
        <w:t>eview</w:t>
      </w:r>
      <w:r w:rsidR="004E43CA" w:rsidRPr="003E04DB">
        <w:t xml:space="preserve">ing the </w:t>
      </w:r>
      <w:r w:rsidR="00BF4779" w:rsidRPr="003E04DB">
        <w:t>performance</w:t>
      </w:r>
      <w:r w:rsidR="00BF4779">
        <w:t xml:space="preserve">, </w:t>
      </w:r>
      <w:proofErr w:type="gramStart"/>
      <w:r w:rsidR="00BF4779">
        <w:t>operation</w:t>
      </w:r>
      <w:proofErr w:type="gramEnd"/>
      <w:r w:rsidR="00D353E8">
        <w:t xml:space="preserve"> and effectiveness</w:t>
      </w:r>
      <w:r w:rsidR="004E43CA">
        <w:t xml:space="preserve"> of the MDRAP.</w:t>
      </w:r>
    </w:p>
    <w:p w14:paraId="49348D5D" w14:textId="77777777" w:rsidR="00940601" w:rsidRPr="00AF5E0D" w:rsidRDefault="001150C9" w:rsidP="00FD1608">
      <w:pPr>
        <w:pStyle w:val="Heading3Numbered"/>
      </w:pPr>
      <w:bookmarkStart w:id="55" w:name="_Toc118975680"/>
      <w:r>
        <w:lastRenderedPageBreak/>
        <w:t>Services Australia</w:t>
      </w:r>
      <w:bookmarkEnd w:id="55"/>
    </w:p>
    <w:p w14:paraId="002008FF" w14:textId="77777777" w:rsidR="00BD5788" w:rsidRPr="004E5081" w:rsidRDefault="001150C9" w:rsidP="00ED5EA6">
      <w:r>
        <w:t>Services Australia</w:t>
      </w:r>
      <w:r w:rsidR="00BD5788" w:rsidRPr="004E5081">
        <w:t xml:space="preserve"> is responsible for issuing Medicare provider numbers to participants allowing them to claim Medicare benefits for eligible services whilst participating on the MDRAP.  Applications for a Medicare provider number at a practice location will generally be processed within 4 weeks from the date of receipt with possible processing delays </w:t>
      </w:r>
      <w:r w:rsidR="004B1874" w:rsidRPr="004E5081">
        <w:t xml:space="preserve">(up to 8 weeks) </w:t>
      </w:r>
      <w:r w:rsidR="00BD5788" w:rsidRPr="004E5081">
        <w:t>during peak period from December to March.</w:t>
      </w:r>
    </w:p>
    <w:p w14:paraId="6805DACD" w14:textId="77777777" w:rsidR="00BD5788" w:rsidRPr="004E5081" w:rsidRDefault="001150C9" w:rsidP="00BD5788">
      <w:pPr>
        <w:rPr>
          <w:rFonts w:asciiTheme="minorHAnsi" w:hAnsiTheme="minorHAnsi" w:cstheme="minorHAnsi"/>
          <w:szCs w:val="22"/>
        </w:rPr>
      </w:pPr>
      <w:r>
        <w:rPr>
          <w:rFonts w:asciiTheme="minorHAnsi" w:hAnsiTheme="minorHAnsi" w:cstheme="minorHAnsi"/>
          <w:szCs w:val="22"/>
        </w:rPr>
        <w:t>Services Australia</w:t>
      </w:r>
      <w:r w:rsidR="00BD5788" w:rsidRPr="004E5081">
        <w:rPr>
          <w:rFonts w:asciiTheme="minorHAnsi" w:hAnsiTheme="minorHAnsi" w:cstheme="minorHAnsi"/>
          <w:szCs w:val="22"/>
        </w:rPr>
        <w:t xml:space="preserve"> will notify the participant of the MDRAP commencement d</w:t>
      </w:r>
      <w:r w:rsidR="0000293C">
        <w:rPr>
          <w:rFonts w:asciiTheme="minorHAnsi" w:hAnsiTheme="minorHAnsi" w:cstheme="minorHAnsi"/>
          <w:szCs w:val="22"/>
        </w:rPr>
        <w:t xml:space="preserve">ate and their provider number. </w:t>
      </w:r>
      <w:r w:rsidR="00BC7891" w:rsidRPr="004E5081">
        <w:rPr>
          <w:rFonts w:asciiTheme="minorHAnsi" w:hAnsiTheme="minorHAnsi" w:cstheme="minorHAnsi"/>
          <w:szCs w:val="22"/>
        </w:rPr>
        <w:t xml:space="preserve">Approved placements granted under section 3GA may not commence earlier than the applicant’s date of entry on the Register. As a </w:t>
      </w:r>
      <w:proofErr w:type="gramStart"/>
      <w:r w:rsidR="00BC7891" w:rsidRPr="004E5081">
        <w:rPr>
          <w:rFonts w:asciiTheme="minorHAnsi" w:hAnsiTheme="minorHAnsi" w:cstheme="minorHAnsi"/>
          <w:szCs w:val="22"/>
        </w:rPr>
        <w:t>consequence</w:t>
      </w:r>
      <w:proofErr w:type="gramEnd"/>
      <w:r w:rsidR="00BC7891" w:rsidRPr="004E5081">
        <w:rPr>
          <w:rFonts w:asciiTheme="minorHAnsi" w:hAnsiTheme="minorHAnsi" w:cstheme="minorHAnsi"/>
          <w:szCs w:val="22"/>
        </w:rPr>
        <w:t xml:space="preserve"> there are no circumstances under which the Department will be able to grant a “</w:t>
      </w:r>
      <w:r w:rsidR="0000293C">
        <w:rPr>
          <w:rFonts w:asciiTheme="minorHAnsi" w:hAnsiTheme="minorHAnsi" w:cstheme="minorHAnsi"/>
          <w:szCs w:val="22"/>
        </w:rPr>
        <w:t>backdated” placement approval.</w:t>
      </w:r>
    </w:p>
    <w:p w14:paraId="43A7E535" w14:textId="77777777" w:rsidR="004A46CE" w:rsidRPr="004E5081" w:rsidRDefault="00BD5788" w:rsidP="00AF5E0D">
      <w:pPr>
        <w:spacing w:after="0"/>
        <w:rPr>
          <w:rFonts w:asciiTheme="minorHAnsi" w:hAnsiTheme="minorHAnsi" w:cstheme="minorHAnsi"/>
          <w:szCs w:val="22"/>
        </w:rPr>
      </w:pPr>
      <w:r w:rsidRPr="004E5081">
        <w:rPr>
          <w:rFonts w:asciiTheme="minorHAnsi" w:hAnsiTheme="minorHAnsi" w:cstheme="minorHAnsi"/>
          <w:szCs w:val="22"/>
        </w:rPr>
        <w:t>The medical practitioner is only eligible to access a Medicare benefit from the time the practitioner’s name is entered in the Register</w:t>
      </w:r>
      <w:r w:rsidR="004B1874" w:rsidRPr="004E5081">
        <w:rPr>
          <w:rFonts w:asciiTheme="minorHAnsi" w:hAnsiTheme="minorHAnsi" w:cstheme="minorHAnsi"/>
          <w:szCs w:val="22"/>
        </w:rPr>
        <w:t xml:space="preserve"> and a provider number has been issued</w:t>
      </w:r>
      <w:r w:rsidRPr="004E5081">
        <w:rPr>
          <w:rFonts w:asciiTheme="minorHAnsi" w:hAnsiTheme="minorHAnsi" w:cstheme="minorHAnsi"/>
          <w:szCs w:val="22"/>
        </w:rPr>
        <w:t xml:space="preserve">. </w:t>
      </w:r>
    </w:p>
    <w:p w14:paraId="1B10F859" w14:textId="77777777" w:rsidR="003D45AF" w:rsidRPr="00AF5E0D" w:rsidRDefault="003D45AF" w:rsidP="009B65AA">
      <w:pPr>
        <w:pStyle w:val="Heading2Numbered"/>
        <w:numPr>
          <w:ilvl w:val="0"/>
          <w:numId w:val="4"/>
        </w:numPr>
      </w:pPr>
      <w:bookmarkStart w:id="56" w:name="_Toc14857652"/>
      <w:bookmarkStart w:id="57" w:name="_Toc118975681"/>
      <w:r w:rsidRPr="00AF5E0D">
        <w:t>Privacy</w:t>
      </w:r>
      <w:bookmarkEnd w:id="56"/>
      <w:bookmarkEnd w:id="57"/>
    </w:p>
    <w:p w14:paraId="75143CDB" w14:textId="77777777" w:rsidR="004A46CE" w:rsidRPr="00AF5E0D" w:rsidRDefault="002707CA" w:rsidP="00AF5E0D">
      <w:pPr>
        <w:spacing w:line="276" w:lineRule="auto"/>
        <w:rPr>
          <w:rFonts w:asciiTheme="minorHAnsi" w:hAnsiTheme="minorHAnsi" w:cstheme="minorHAnsi"/>
          <w:szCs w:val="22"/>
        </w:rPr>
      </w:pPr>
      <w:r>
        <w:rPr>
          <w:rFonts w:asciiTheme="minorHAnsi" w:hAnsiTheme="minorHAnsi" w:cstheme="minorHAnsi"/>
          <w:szCs w:val="22"/>
        </w:rPr>
        <w:t>Participant</w:t>
      </w:r>
      <w:r w:rsidR="004A46CE" w:rsidRPr="00AF5E0D">
        <w:rPr>
          <w:rFonts w:asciiTheme="minorHAnsi" w:hAnsiTheme="minorHAnsi" w:cstheme="minorHAnsi"/>
          <w:szCs w:val="22"/>
        </w:rPr>
        <w:t xml:space="preserve"> information will be collected by the Rural Workforce Agencies for the purpose of determining eligibility and administering the MDRAP.</w:t>
      </w:r>
    </w:p>
    <w:p w14:paraId="246F8530" w14:textId="4ED64C21" w:rsidR="003D45AF" w:rsidRPr="00AF5E0D" w:rsidRDefault="004A46CE" w:rsidP="00574F9E">
      <w:pPr>
        <w:spacing w:line="276" w:lineRule="auto"/>
        <w:rPr>
          <w:rFonts w:asciiTheme="minorHAnsi" w:hAnsiTheme="minorHAnsi" w:cstheme="minorHAnsi"/>
          <w:szCs w:val="22"/>
        </w:rPr>
      </w:pPr>
      <w:r w:rsidRPr="00AF5E0D">
        <w:rPr>
          <w:rFonts w:asciiTheme="minorHAnsi" w:hAnsiTheme="minorHAnsi" w:cstheme="minorHAnsi"/>
          <w:szCs w:val="22"/>
        </w:rPr>
        <w:t>Personal information will be shared with other bodies responsible for the MDRAP including the Department of Health</w:t>
      </w:r>
      <w:r w:rsidR="0067651C">
        <w:rPr>
          <w:rFonts w:asciiTheme="minorHAnsi" w:hAnsiTheme="minorHAnsi" w:cstheme="minorHAnsi"/>
          <w:szCs w:val="22"/>
        </w:rPr>
        <w:t xml:space="preserve"> and Aged Care</w:t>
      </w:r>
      <w:r w:rsidRPr="00AF5E0D">
        <w:rPr>
          <w:rFonts w:asciiTheme="minorHAnsi" w:hAnsiTheme="minorHAnsi" w:cstheme="minorHAnsi"/>
          <w:szCs w:val="22"/>
        </w:rPr>
        <w:t xml:space="preserve">, </w:t>
      </w:r>
      <w:r w:rsidR="001A4550">
        <w:rPr>
          <w:rFonts w:asciiTheme="minorHAnsi" w:hAnsiTheme="minorHAnsi" w:cstheme="minorHAnsi"/>
          <w:szCs w:val="22"/>
        </w:rPr>
        <w:t xml:space="preserve">Services </w:t>
      </w:r>
      <w:proofErr w:type="gramStart"/>
      <w:r w:rsidR="001A4550">
        <w:rPr>
          <w:rFonts w:asciiTheme="minorHAnsi" w:hAnsiTheme="minorHAnsi" w:cstheme="minorHAnsi"/>
          <w:szCs w:val="22"/>
        </w:rPr>
        <w:t>Australia</w:t>
      </w:r>
      <w:proofErr w:type="gramEnd"/>
      <w:r w:rsidRPr="00AF5E0D">
        <w:rPr>
          <w:rFonts w:asciiTheme="minorHAnsi" w:hAnsiTheme="minorHAnsi" w:cstheme="minorHAnsi"/>
          <w:szCs w:val="22"/>
        </w:rPr>
        <w:t xml:space="preserve"> and all Rural Workforce Agencies. This information may also be used for monitoring and the evaluation of the MDRAP. </w:t>
      </w:r>
      <w:r w:rsidR="00FB2B99">
        <w:rPr>
          <w:rFonts w:asciiTheme="minorHAnsi" w:hAnsiTheme="minorHAnsi" w:cstheme="minorHAnsi"/>
          <w:szCs w:val="22"/>
        </w:rPr>
        <w:t>All personal information is</w:t>
      </w:r>
      <w:r w:rsidRPr="00AF5E0D">
        <w:rPr>
          <w:rFonts w:asciiTheme="minorHAnsi" w:hAnsiTheme="minorHAnsi" w:cstheme="minorHAnsi"/>
          <w:szCs w:val="22"/>
        </w:rPr>
        <w:t xml:space="preserve"> protected by law under the </w:t>
      </w:r>
      <w:r w:rsidRPr="00DD5401">
        <w:rPr>
          <w:rStyle w:val="Emphasis"/>
        </w:rPr>
        <w:t>Privacy</w:t>
      </w:r>
      <w:r w:rsidRPr="001D11D1">
        <w:rPr>
          <w:rStyle w:val="Emphasis"/>
        </w:rPr>
        <w:t xml:space="preserve"> Act 1988</w:t>
      </w:r>
      <w:r w:rsidRPr="00FB2B99">
        <w:rPr>
          <w:rFonts w:asciiTheme="minorHAnsi" w:hAnsiTheme="minorHAnsi" w:cstheme="minorHAnsi"/>
          <w:i/>
          <w:szCs w:val="22"/>
        </w:rPr>
        <w:t>.</w:t>
      </w:r>
    </w:p>
    <w:p w14:paraId="65553E01" w14:textId="4D93CFB6" w:rsidR="003D45AF" w:rsidRPr="001D11D1" w:rsidRDefault="003D45AF" w:rsidP="00FD1608">
      <w:pPr>
        <w:pStyle w:val="Heading2"/>
      </w:pPr>
      <w:bookmarkStart w:id="58" w:name="_Toc523835472"/>
      <w:bookmarkStart w:id="59" w:name="_Toc14857653"/>
      <w:bookmarkStart w:id="60" w:name="_Toc118975682"/>
      <w:bookmarkEnd w:id="44"/>
      <w:r w:rsidRPr="001D11D1">
        <w:lastRenderedPageBreak/>
        <w:t>Contact Details</w:t>
      </w:r>
      <w:bookmarkEnd w:id="58"/>
      <w:bookmarkEnd w:id="59"/>
      <w:bookmarkEnd w:id="60"/>
    </w:p>
    <w:p w14:paraId="123895B7" w14:textId="77777777" w:rsidR="003D45AF" w:rsidRPr="00AF5E0D" w:rsidRDefault="003D45AF" w:rsidP="00FD1608">
      <w:pPr>
        <w:pStyle w:val="Heading3"/>
      </w:pPr>
      <w:bookmarkStart w:id="61" w:name="_Toc14860709"/>
      <w:bookmarkStart w:id="62" w:name="_Toc118975683"/>
      <w:r w:rsidRPr="00AF5E0D">
        <w:t>Rural Workforce Agencies</w:t>
      </w:r>
      <w:bookmarkEnd w:id="61"/>
      <w:bookmarkEnd w:id="62"/>
    </w:p>
    <w:p w14:paraId="1FD44FCB" w14:textId="77777777" w:rsidR="003D45AF" w:rsidRPr="00AF5E0D" w:rsidRDefault="003D45AF" w:rsidP="00FD1608">
      <w:pPr>
        <w:pStyle w:val="Heading4"/>
      </w:pPr>
      <w:r w:rsidRPr="00AF5E0D">
        <w:t>NSW Rural Doctors Network</w:t>
      </w:r>
    </w:p>
    <w:p w14:paraId="2F05EF12" w14:textId="77777777" w:rsidR="003D45AF" w:rsidRPr="00E550BD" w:rsidRDefault="003D45AF" w:rsidP="00E550BD">
      <w:pPr>
        <w:pStyle w:val="NoSpacing"/>
      </w:pPr>
      <w:r w:rsidRPr="00E550BD">
        <w:t>Ph: (02) 4924 8000</w:t>
      </w:r>
    </w:p>
    <w:p w14:paraId="11B15497" w14:textId="77777777" w:rsidR="003D45AF" w:rsidRPr="00E550BD" w:rsidRDefault="003D45AF" w:rsidP="00E550BD">
      <w:pPr>
        <w:pStyle w:val="NoSpacing"/>
      </w:pPr>
      <w:r w:rsidRPr="00E550BD">
        <w:t>Fax: (02) 4924 8010</w:t>
      </w:r>
    </w:p>
    <w:p w14:paraId="5B06F088" w14:textId="77777777" w:rsidR="000A6774" w:rsidRPr="00E550BD" w:rsidRDefault="00E550BD" w:rsidP="00E550BD">
      <w:pPr>
        <w:pStyle w:val="NoSpacing"/>
      </w:pPr>
      <w:hyperlink w:history="1">
        <w:r w:rsidR="000A6774" w:rsidRPr="00E550BD">
          <w:rPr>
            <w:rStyle w:val="Hyperlink"/>
            <w:color w:val="auto"/>
            <w:u w:val="none"/>
          </w:rPr>
          <w:t>NSW Rural Doctors Network</w:t>
        </w:r>
      </w:hyperlink>
      <w:r w:rsidR="000A6774" w:rsidRPr="00E550BD">
        <w:t xml:space="preserve"> (www.nswrdn.com.au)</w:t>
      </w:r>
    </w:p>
    <w:p w14:paraId="34467CC8" w14:textId="77777777" w:rsidR="003D45AF" w:rsidRPr="00AF5E0D" w:rsidRDefault="003D45AF" w:rsidP="00FD1608">
      <w:pPr>
        <w:pStyle w:val="Heading4"/>
      </w:pPr>
      <w:r w:rsidRPr="00AF5E0D">
        <w:t xml:space="preserve">Northern Territory </w:t>
      </w:r>
      <w:r w:rsidR="000A6774">
        <w:t>Primary Health Network</w:t>
      </w:r>
    </w:p>
    <w:p w14:paraId="0F2DC34D" w14:textId="7E3DBEF3" w:rsidR="003D45AF" w:rsidRPr="00E550BD" w:rsidRDefault="003D45AF" w:rsidP="00E550BD">
      <w:pPr>
        <w:pStyle w:val="NoSpacing"/>
      </w:pPr>
      <w:r w:rsidRPr="00E550BD">
        <w:t>Ph: (</w:t>
      </w:r>
      <w:r w:rsidR="004F7C68" w:rsidRPr="00E550BD">
        <w:t>08</w:t>
      </w:r>
      <w:r w:rsidRPr="00E550BD">
        <w:t>) 8982 1000</w:t>
      </w:r>
    </w:p>
    <w:p w14:paraId="69AA0EC0" w14:textId="77777777" w:rsidR="003D45AF" w:rsidRPr="00E550BD" w:rsidRDefault="003D45AF" w:rsidP="00E550BD">
      <w:pPr>
        <w:pStyle w:val="NoSpacing"/>
      </w:pPr>
      <w:r w:rsidRPr="00E550BD">
        <w:t>Fax: (08) 8981 5899</w:t>
      </w:r>
    </w:p>
    <w:p w14:paraId="3C04DB47" w14:textId="77777777" w:rsidR="003D45AF" w:rsidRDefault="00E550BD" w:rsidP="00AF5E0D">
      <w:pPr>
        <w:spacing w:after="0"/>
        <w:rPr>
          <w:rStyle w:val="Hyperlink"/>
          <w:rFonts w:asciiTheme="minorHAnsi" w:hAnsiTheme="minorHAnsi" w:cstheme="minorHAnsi"/>
          <w:szCs w:val="22"/>
        </w:rPr>
      </w:pPr>
      <w:hyperlink r:id="rId14" w:history="1">
        <w:r w:rsidR="000A6774" w:rsidRPr="000A6774">
          <w:rPr>
            <w:rStyle w:val="Hyperlink"/>
            <w:rFonts w:asciiTheme="minorHAnsi" w:hAnsiTheme="minorHAnsi" w:cstheme="minorHAnsi"/>
            <w:szCs w:val="22"/>
          </w:rPr>
          <w:t>Northern Territory Primary Health Network</w:t>
        </w:r>
      </w:hyperlink>
      <w:r w:rsidR="000A6774" w:rsidRPr="000A6774">
        <w:t xml:space="preserve"> (www.ntphn.org.au)</w:t>
      </w:r>
    </w:p>
    <w:p w14:paraId="215D127B" w14:textId="77777777" w:rsidR="003D45AF" w:rsidRPr="00AF5E0D" w:rsidRDefault="003D45AF" w:rsidP="00FD1608">
      <w:pPr>
        <w:pStyle w:val="Heading4"/>
      </w:pPr>
      <w:r w:rsidRPr="00AF5E0D">
        <w:t>Health Workforce Queensland</w:t>
      </w:r>
    </w:p>
    <w:p w14:paraId="0A9AAA71" w14:textId="77777777" w:rsidR="003D45AF" w:rsidRPr="00E550BD" w:rsidRDefault="003D45AF" w:rsidP="00E550BD">
      <w:pPr>
        <w:pStyle w:val="NoSpacing"/>
      </w:pPr>
      <w:r w:rsidRPr="00E550BD">
        <w:t>Ph: (07) 3105 7800</w:t>
      </w:r>
    </w:p>
    <w:p w14:paraId="6A89558A" w14:textId="77777777" w:rsidR="003D45AF" w:rsidRPr="00E550BD" w:rsidRDefault="003D45AF" w:rsidP="00E550BD">
      <w:pPr>
        <w:pStyle w:val="NoSpacing"/>
      </w:pPr>
      <w:r w:rsidRPr="00E550BD">
        <w:t>Fax: (07)</w:t>
      </w:r>
      <w:r w:rsidR="000A6774" w:rsidRPr="00E550BD">
        <w:t xml:space="preserve"> </w:t>
      </w:r>
      <w:r w:rsidRPr="00E550BD">
        <w:t>3105 7801</w:t>
      </w:r>
    </w:p>
    <w:p w14:paraId="31A37A95" w14:textId="77777777" w:rsidR="000A6774" w:rsidRPr="00E550BD" w:rsidRDefault="00E550BD" w:rsidP="00E550BD">
      <w:pPr>
        <w:pStyle w:val="NoSpacing"/>
      </w:pPr>
      <w:hyperlink r:id="rId15" w:history="1">
        <w:r w:rsidR="000A6774" w:rsidRPr="00E550BD">
          <w:rPr>
            <w:rStyle w:val="Hyperlink"/>
            <w:color w:val="auto"/>
            <w:u w:val="none"/>
          </w:rPr>
          <w:t>Health Workforce Queensland</w:t>
        </w:r>
      </w:hyperlink>
      <w:r w:rsidR="000A6774" w:rsidRPr="00E550BD">
        <w:rPr>
          <w:rStyle w:val="Hyperlink"/>
          <w:color w:val="auto"/>
          <w:u w:val="none"/>
        </w:rPr>
        <w:t xml:space="preserve"> </w:t>
      </w:r>
      <w:r w:rsidR="000A6774" w:rsidRPr="00E550BD">
        <w:t>(www.healthworkforce.com.au)</w:t>
      </w:r>
    </w:p>
    <w:p w14:paraId="67A26BBC" w14:textId="77777777" w:rsidR="003D45AF" w:rsidRPr="00AF5E0D" w:rsidRDefault="003D45AF" w:rsidP="00FD1608">
      <w:pPr>
        <w:pStyle w:val="Heading4"/>
      </w:pPr>
      <w:r w:rsidRPr="00AF5E0D">
        <w:t>Rural Doctors Workfor</w:t>
      </w:r>
      <w:r w:rsidR="001D11D1">
        <w:t>ce Agency (South Australia)</w:t>
      </w:r>
    </w:p>
    <w:p w14:paraId="5D0C01AF" w14:textId="77777777" w:rsidR="003D45AF" w:rsidRPr="00E550BD" w:rsidRDefault="003D45AF" w:rsidP="00E550BD">
      <w:pPr>
        <w:pStyle w:val="NoSpacing"/>
      </w:pPr>
      <w:r w:rsidRPr="00E550BD">
        <w:t>Ph: (08) 8234 8277</w:t>
      </w:r>
    </w:p>
    <w:p w14:paraId="30A9701D" w14:textId="77777777" w:rsidR="003D45AF" w:rsidRPr="00E550BD" w:rsidRDefault="003D45AF" w:rsidP="00E550BD">
      <w:pPr>
        <w:pStyle w:val="NoSpacing"/>
      </w:pPr>
      <w:r w:rsidRPr="00E550BD">
        <w:t>Fax: (08) 8234 0002</w:t>
      </w:r>
      <w:r w:rsidR="000A6774" w:rsidRPr="00E550BD">
        <w:t xml:space="preserve"> </w:t>
      </w:r>
    </w:p>
    <w:p w14:paraId="6F3EE4B2" w14:textId="77777777" w:rsidR="003D45AF" w:rsidRPr="00AF5E0D" w:rsidRDefault="00E550BD" w:rsidP="00AF5E0D">
      <w:pPr>
        <w:spacing w:after="0" w:line="276" w:lineRule="auto"/>
        <w:rPr>
          <w:rFonts w:asciiTheme="minorHAnsi" w:hAnsiTheme="minorHAnsi" w:cstheme="minorHAnsi"/>
          <w:szCs w:val="22"/>
        </w:rPr>
      </w:pPr>
      <w:hyperlink w:history="1">
        <w:r w:rsidR="000A6774" w:rsidRPr="00320B80">
          <w:rPr>
            <w:rStyle w:val="Hyperlink"/>
            <w:rFonts w:asciiTheme="minorHAnsi" w:hAnsiTheme="minorHAnsi" w:cstheme="minorHAnsi"/>
            <w:szCs w:val="22"/>
          </w:rPr>
          <w:t>Rural Doctors Workforce Agency (South Australia)</w:t>
        </w:r>
      </w:hyperlink>
      <w:r w:rsidR="000A6774" w:rsidRPr="000A6774">
        <w:t xml:space="preserve"> </w:t>
      </w:r>
      <w:r w:rsidR="000A6774">
        <w:t>(www.ruraldoc.com.au)</w:t>
      </w:r>
    </w:p>
    <w:p w14:paraId="5AD86A89" w14:textId="77777777" w:rsidR="003D45AF" w:rsidRPr="00AF5E0D" w:rsidRDefault="00CD6E7B" w:rsidP="00FD1608">
      <w:pPr>
        <w:pStyle w:val="Heading4"/>
      </w:pPr>
      <w:r>
        <w:t xml:space="preserve">HR+ </w:t>
      </w:r>
      <w:r w:rsidR="001D11D1">
        <w:t>(Tasmania)</w:t>
      </w:r>
    </w:p>
    <w:p w14:paraId="3B7BFCEF" w14:textId="77777777" w:rsidR="003D45AF" w:rsidRPr="00E550BD" w:rsidRDefault="003D45AF" w:rsidP="00E550BD">
      <w:pPr>
        <w:pStyle w:val="NoSpacing"/>
      </w:pPr>
      <w:r w:rsidRPr="00E550BD">
        <w:t>Ph: (03) 633</w:t>
      </w:r>
      <w:r w:rsidR="00CD6E7B" w:rsidRPr="00E550BD">
        <w:t>2 8600</w:t>
      </w:r>
    </w:p>
    <w:p w14:paraId="1EA33DA2" w14:textId="77777777" w:rsidR="003D45AF" w:rsidRPr="00E550BD" w:rsidRDefault="003D45AF" w:rsidP="00E550BD">
      <w:pPr>
        <w:pStyle w:val="NoSpacing"/>
      </w:pPr>
      <w:r w:rsidRPr="00E550BD">
        <w:t>Fax: (03) 6334 3851</w:t>
      </w:r>
    </w:p>
    <w:p w14:paraId="77803D66" w14:textId="77777777" w:rsidR="003D45AF" w:rsidRPr="00DD5401" w:rsidRDefault="00E550BD" w:rsidP="00AF5E0D">
      <w:pPr>
        <w:spacing w:after="0" w:line="276" w:lineRule="auto"/>
      </w:pPr>
      <w:hyperlink r:id="rId16" w:history="1">
        <w:r w:rsidR="000A6774" w:rsidRPr="000A6774">
          <w:rPr>
            <w:rStyle w:val="Hyperlink"/>
          </w:rPr>
          <w:t>HR Plus Tasmania</w:t>
        </w:r>
      </w:hyperlink>
      <w:r w:rsidR="000A6774">
        <w:t xml:space="preserve"> (</w:t>
      </w:r>
      <w:r w:rsidR="000A6774" w:rsidRPr="000A6774">
        <w:rPr>
          <w:rFonts w:asciiTheme="minorHAnsi" w:hAnsiTheme="minorHAnsi" w:cstheme="minorHAnsi"/>
          <w:szCs w:val="22"/>
        </w:rPr>
        <w:t>www.hrplustas.com.au</w:t>
      </w:r>
      <w:r w:rsidR="00DD5401">
        <w:t>)</w:t>
      </w:r>
    </w:p>
    <w:p w14:paraId="0DC0722F" w14:textId="77777777" w:rsidR="003D45AF" w:rsidRPr="00AF5E0D" w:rsidRDefault="003D45AF" w:rsidP="00FD1608">
      <w:pPr>
        <w:pStyle w:val="Heading4"/>
      </w:pPr>
      <w:r w:rsidRPr="00AF5E0D">
        <w:t>Rural Workforce Agency Victoria</w:t>
      </w:r>
    </w:p>
    <w:p w14:paraId="2AE93FEE" w14:textId="77777777" w:rsidR="003D45AF" w:rsidRPr="00E550BD" w:rsidRDefault="003D45AF" w:rsidP="00E550BD">
      <w:pPr>
        <w:pStyle w:val="NoSpacing"/>
      </w:pPr>
      <w:r w:rsidRPr="00E550BD">
        <w:t>Ph: (03) 9349 7800</w:t>
      </w:r>
    </w:p>
    <w:p w14:paraId="5146528B" w14:textId="77777777" w:rsidR="003D45AF" w:rsidRPr="00E550BD" w:rsidRDefault="003D45AF" w:rsidP="00E550BD">
      <w:pPr>
        <w:pStyle w:val="NoSpacing"/>
      </w:pPr>
      <w:r w:rsidRPr="00E550BD">
        <w:t>Fa</w:t>
      </w:r>
      <w:r w:rsidR="00E05C2F" w:rsidRPr="00E550BD">
        <w:t>x</w:t>
      </w:r>
      <w:r w:rsidRPr="00E550BD">
        <w:t xml:space="preserve"> (03) 9820 0401</w:t>
      </w:r>
    </w:p>
    <w:p w14:paraId="11D98A79" w14:textId="77777777" w:rsidR="003D45AF" w:rsidRPr="00AF5E0D" w:rsidRDefault="00E550BD" w:rsidP="00AF5E0D">
      <w:pPr>
        <w:spacing w:after="0" w:line="276" w:lineRule="auto"/>
        <w:rPr>
          <w:rFonts w:asciiTheme="minorHAnsi" w:hAnsiTheme="minorHAnsi" w:cstheme="minorHAnsi"/>
          <w:szCs w:val="22"/>
        </w:rPr>
      </w:pPr>
      <w:hyperlink r:id="rId17" w:history="1">
        <w:r w:rsidR="000A6774">
          <w:rPr>
            <w:rStyle w:val="Hyperlink"/>
            <w:rFonts w:asciiTheme="minorHAnsi" w:hAnsiTheme="minorHAnsi" w:cstheme="minorHAnsi"/>
            <w:szCs w:val="22"/>
          </w:rPr>
          <w:t>Rural</w:t>
        </w:r>
      </w:hyperlink>
      <w:r w:rsidR="000A6774">
        <w:rPr>
          <w:rStyle w:val="Hyperlink"/>
          <w:rFonts w:asciiTheme="minorHAnsi" w:hAnsiTheme="minorHAnsi" w:cstheme="minorHAnsi"/>
          <w:szCs w:val="22"/>
        </w:rPr>
        <w:t xml:space="preserve"> Workforce Agency Victoria</w:t>
      </w:r>
      <w:r w:rsidR="000A6774" w:rsidRPr="000A6774">
        <w:t xml:space="preserve"> (www.rwav.com.au)</w:t>
      </w:r>
    </w:p>
    <w:p w14:paraId="61A1ED9E" w14:textId="77777777" w:rsidR="003D45AF" w:rsidRPr="00AF5E0D" w:rsidRDefault="003D45AF" w:rsidP="00FD1608">
      <w:pPr>
        <w:pStyle w:val="Heading4"/>
      </w:pPr>
      <w:r w:rsidRPr="00AF5E0D">
        <w:t>Rural Health West – Western Australia</w:t>
      </w:r>
    </w:p>
    <w:p w14:paraId="1C259FF1" w14:textId="77777777" w:rsidR="003D45AF" w:rsidRPr="00E550BD" w:rsidRDefault="003D45AF" w:rsidP="00E550BD">
      <w:pPr>
        <w:pStyle w:val="NoSpacing"/>
      </w:pPr>
      <w:r w:rsidRPr="00E550BD">
        <w:t>Ph: (08) 6389 4500</w:t>
      </w:r>
    </w:p>
    <w:p w14:paraId="6A759659" w14:textId="77777777" w:rsidR="003D45AF" w:rsidRPr="00E550BD" w:rsidRDefault="003D45AF" w:rsidP="00E550BD">
      <w:pPr>
        <w:pStyle w:val="NoSpacing"/>
      </w:pPr>
      <w:r w:rsidRPr="00E550BD">
        <w:t>Fax: (08) 6389 4501</w:t>
      </w:r>
    </w:p>
    <w:p w14:paraId="3C15BE35" w14:textId="77777777" w:rsidR="003D45AF" w:rsidRPr="00AF5E0D" w:rsidRDefault="00E550BD" w:rsidP="00AF5E0D">
      <w:pPr>
        <w:spacing w:after="0" w:line="276" w:lineRule="auto"/>
        <w:rPr>
          <w:rFonts w:asciiTheme="minorHAnsi" w:hAnsiTheme="minorHAnsi" w:cstheme="minorHAnsi"/>
          <w:szCs w:val="22"/>
        </w:rPr>
      </w:pPr>
      <w:hyperlink r:id="rId18" w:history="1">
        <w:r w:rsidR="000A6774">
          <w:rPr>
            <w:rStyle w:val="Hyperlink"/>
            <w:rFonts w:asciiTheme="minorHAnsi" w:hAnsiTheme="minorHAnsi" w:cstheme="minorHAnsi"/>
            <w:szCs w:val="22"/>
          </w:rPr>
          <w:t>Rural Health West</w:t>
        </w:r>
      </w:hyperlink>
      <w:r w:rsidR="000A6774" w:rsidRPr="000A6774">
        <w:t xml:space="preserve"> (www.ruralhealthwest.com.au)</w:t>
      </w:r>
    </w:p>
    <w:p w14:paraId="292EC3FB" w14:textId="2EB4B893" w:rsidR="00F403DF" w:rsidRPr="00F403DF" w:rsidRDefault="00F403DF" w:rsidP="00FD1608">
      <w:pPr>
        <w:pStyle w:val="Heading3"/>
      </w:pPr>
      <w:bookmarkStart w:id="63" w:name="_Toc14860710"/>
      <w:bookmarkStart w:id="64" w:name="_Toc118975684"/>
      <w:r w:rsidRPr="00F403DF">
        <w:t>Department of Health</w:t>
      </w:r>
      <w:bookmarkEnd w:id="63"/>
      <w:r w:rsidR="0067651C">
        <w:t xml:space="preserve"> and Aged Care</w:t>
      </w:r>
      <w:bookmarkEnd w:id="64"/>
    </w:p>
    <w:p w14:paraId="02214E07" w14:textId="10BE416E" w:rsidR="00F403DF" w:rsidRDefault="00F403DF" w:rsidP="00E05C2F">
      <w:pPr>
        <w:autoSpaceDE w:val="0"/>
        <w:autoSpaceDN w:val="0"/>
        <w:adjustRightInd w:val="0"/>
        <w:spacing w:after="0"/>
        <w:rPr>
          <w:rFonts w:asciiTheme="minorHAnsi" w:hAnsiTheme="minorHAnsi" w:cstheme="minorHAnsi"/>
          <w:szCs w:val="22"/>
        </w:rPr>
      </w:pPr>
      <w:r>
        <w:rPr>
          <w:rFonts w:asciiTheme="minorHAnsi" w:hAnsiTheme="minorHAnsi" w:cstheme="minorHAnsi"/>
          <w:color w:val="000000"/>
          <w:szCs w:val="22"/>
        </w:rPr>
        <w:t>For</w:t>
      </w:r>
      <w:r w:rsidRPr="00AF5E0D">
        <w:rPr>
          <w:rFonts w:asciiTheme="minorHAnsi" w:hAnsiTheme="minorHAnsi" w:cstheme="minorHAnsi"/>
          <w:color w:val="000000"/>
          <w:szCs w:val="22"/>
        </w:rPr>
        <w:t xml:space="preserve"> further information regarding the MDRAP</w:t>
      </w:r>
      <w:r w:rsidR="00954A8D">
        <w:rPr>
          <w:rFonts w:asciiTheme="minorHAnsi" w:hAnsiTheme="minorHAnsi" w:cstheme="minorHAnsi"/>
          <w:color w:val="000000"/>
          <w:szCs w:val="22"/>
        </w:rPr>
        <w:t xml:space="preserve"> policy,</w:t>
      </w:r>
      <w:r>
        <w:rPr>
          <w:rFonts w:asciiTheme="minorHAnsi" w:hAnsiTheme="minorHAnsi" w:cstheme="minorHAnsi"/>
          <w:color w:val="000000"/>
          <w:szCs w:val="22"/>
        </w:rPr>
        <w:t xml:space="preserve"> email</w:t>
      </w:r>
      <w:r w:rsidR="00DD5401">
        <w:rPr>
          <w:rFonts w:asciiTheme="minorHAnsi" w:hAnsiTheme="minorHAnsi" w:cstheme="minorHAnsi"/>
          <w:color w:val="000000"/>
          <w:szCs w:val="22"/>
        </w:rPr>
        <w:t>:</w:t>
      </w:r>
    </w:p>
    <w:p w14:paraId="52BB0DDA" w14:textId="57D6DA5E" w:rsidR="00F403DF" w:rsidRDefault="00E550BD" w:rsidP="0000293C">
      <w:pPr>
        <w:autoSpaceDE w:val="0"/>
        <w:autoSpaceDN w:val="0"/>
        <w:adjustRightInd w:val="0"/>
        <w:spacing w:before="60" w:after="0"/>
        <w:rPr>
          <w:rFonts w:asciiTheme="minorHAnsi" w:hAnsiTheme="minorHAnsi" w:cstheme="minorHAnsi"/>
          <w:szCs w:val="22"/>
        </w:rPr>
      </w:pPr>
      <w:hyperlink r:id="rId19" w:history="1">
        <w:r w:rsidR="00954A8D" w:rsidRPr="00954A8D">
          <w:rPr>
            <w:rStyle w:val="Hyperlink"/>
            <w:rFonts w:asciiTheme="minorHAnsi" w:hAnsiTheme="minorHAnsi" w:cstheme="minorHAnsi"/>
            <w:szCs w:val="22"/>
          </w:rPr>
          <w:t>mdrap@health.gov.au</w:t>
        </w:r>
      </w:hyperlink>
    </w:p>
    <w:p w14:paraId="6D0F3D96" w14:textId="77777777" w:rsidR="00F403DF" w:rsidRPr="00F403DF" w:rsidRDefault="001A4550" w:rsidP="00FD1608">
      <w:pPr>
        <w:pStyle w:val="Heading3"/>
      </w:pPr>
      <w:bookmarkStart w:id="65" w:name="_Toc14860711"/>
      <w:bookmarkStart w:id="66" w:name="_Toc118975685"/>
      <w:r>
        <w:t>S</w:t>
      </w:r>
      <w:r w:rsidR="00F403DF">
        <w:t>ervices</w:t>
      </w:r>
      <w:bookmarkEnd w:id="65"/>
      <w:r>
        <w:t xml:space="preserve"> Australia</w:t>
      </w:r>
      <w:bookmarkEnd w:id="66"/>
    </w:p>
    <w:p w14:paraId="7CBA88B8" w14:textId="2C5E5394" w:rsidR="00F403DF" w:rsidRDefault="00F403DF" w:rsidP="00E05C2F">
      <w:pPr>
        <w:autoSpaceDE w:val="0"/>
        <w:autoSpaceDN w:val="0"/>
        <w:adjustRightInd w:val="0"/>
        <w:spacing w:after="0"/>
        <w:rPr>
          <w:rFonts w:asciiTheme="minorHAnsi" w:hAnsiTheme="minorHAnsi" w:cstheme="minorHAnsi"/>
          <w:color w:val="000000"/>
          <w:szCs w:val="22"/>
        </w:rPr>
      </w:pPr>
      <w:r>
        <w:rPr>
          <w:rFonts w:asciiTheme="minorHAnsi" w:hAnsiTheme="minorHAnsi" w:cstheme="minorHAnsi"/>
          <w:color w:val="000000"/>
          <w:szCs w:val="22"/>
        </w:rPr>
        <w:t>For</w:t>
      </w:r>
      <w:r w:rsidRPr="00AF5E0D">
        <w:rPr>
          <w:rFonts w:asciiTheme="minorHAnsi" w:hAnsiTheme="minorHAnsi" w:cstheme="minorHAnsi"/>
          <w:color w:val="000000"/>
          <w:szCs w:val="22"/>
        </w:rPr>
        <w:t xml:space="preserve"> information </w:t>
      </w:r>
      <w:r>
        <w:rPr>
          <w:rFonts w:asciiTheme="minorHAnsi" w:hAnsiTheme="minorHAnsi" w:cstheme="minorHAnsi"/>
          <w:color w:val="000000"/>
          <w:szCs w:val="22"/>
        </w:rPr>
        <w:t xml:space="preserve">about Medicare provider numbers </w:t>
      </w:r>
      <w:r w:rsidRPr="00AF5E0D">
        <w:rPr>
          <w:rFonts w:asciiTheme="minorHAnsi" w:hAnsiTheme="minorHAnsi" w:cstheme="minorHAnsi"/>
          <w:color w:val="000000"/>
          <w:szCs w:val="22"/>
        </w:rPr>
        <w:t xml:space="preserve">and </w:t>
      </w:r>
      <w:r>
        <w:rPr>
          <w:rFonts w:asciiTheme="minorHAnsi" w:hAnsiTheme="minorHAnsi" w:cstheme="minorHAnsi"/>
          <w:color w:val="000000"/>
          <w:szCs w:val="22"/>
        </w:rPr>
        <w:t>Medicare benefits</w:t>
      </w:r>
      <w:r w:rsidR="00954A8D">
        <w:rPr>
          <w:rFonts w:asciiTheme="minorHAnsi" w:hAnsiTheme="minorHAnsi" w:cstheme="minorHAnsi"/>
          <w:color w:val="000000"/>
          <w:szCs w:val="22"/>
        </w:rPr>
        <w:t>,</w:t>
      </w:r>
      <w:r>
        <w:rPr>
          <w:rFonts w:asciiTheme="minorHAnsi" w:hAnsiTheme="minorHAnsi" w:cstheme="minorHAnsi"/>
          <w:color w:val="000000"/>
          <w:szCs w:val="22"/>
        </w:rPr>
        <w:t xml:space="preserve"> email</w:t>
      </w:r>
      <w:r w:rsidRPr="00AF5E0D">
        <w:rPr>
          <w:rFonts w:asciiTheme="minorHAnsi" w:hAnsiTheme="minorHAnsi" w:cstheme="minorHAnsi"/>
          <w:color w:val="000000"/>
          <w:szCs w:val="22"/>
        </w:rPr>
        <w:t xml:space="preserve">:  </w:t>
      </w:r>
    </w:p>
    <w:p w14:paraId="1B1BE3F9" w14:textId="77777777" w:rsidR="00F403DF" w:rsidRDefault="00E550BD" w:rsidP="0000293C">
      <w:pPr>
        <w:autoSpaceDE w:val="0"/>
        <w:autoSpaceDN w:val="0"/>
        <w:adjustRightInd w:val="0"/>
        <w:spacing w:before="60" w:after="0"/>
        <w:rPr>
          <w:rFonts w:asciiTheme="minorHAnsi" w:hAnsiTheme="minorHAnsi" w:cstheme="minorHAnsi"/>
          <w:color w:val="000000"/>
          <w:szCs w:val="22"/>
        </w:rPr>
      </w:pPr>
      <w:hyperlink r:id="rId20" w:history="1">
        <w:r w:rsidR="001A4550" w:rsidRPr="001A4550">
          <w:rPr>
            <w:rStyle w:val="Hyperlink"/>
            <w:rFonts w:asciiTheme="minorHAnsi" w:hAnsiTheme="minorHAnsi" w:cstheme="minorHAnsi"/>
            <w:szCs w:val="22"/>
          </w:rPr>
          <w:t>Medicare.prov@servicesaustralia.gov.au</w:t>
        </w:r>
      </w:hyperlink>
    </w:p>
    <w:p w14:paraId="180574F1" w14:textId="77777777" w:rsidR="00F403DF" w:rsidRPr="00F403DF" w:rsidRDefault="00F403DF" w:rsidP="00FD1608">
      <w:pPr>
        <w:pStyle w:val="Heading3"/>
      </w:pPr>
      <w:bookmarkStart w:id="67" w:name="_Toc14860712"/>
      <w:bookmarkStart w:id="68" w:name="_Toc118975686"/>
      <w:r>
        <w:lastRenderedPageBreak/>
        <w:t>General practice colleges</w:t>
      </w:r>
      <w:bookmarkEnd w:id="67"/>
      <w:bookmarkEnd w:id="68"/>
    </w:p>
    <w:p w14:paraId="2463FED8" w14:textId="77777777" w:rsidR="00F403DF" w:rsidRDefault="00F403DF" w:rsidP="00FD1608">
      <w:pPr>
        <w:pStyle w:val="Heading4"/>
      </w:pPr>
      <w:r w:rsidRPr="00AF5E0D">
        <w:t>The Royal Australian College of General Practitioners</w:t>
      </w:r>
    </w:p>
    <w:p w14:paraId="2B346E46" w14:textId="77777777" w:rsidR="00F403DF" w:rsidRPr="00F403DF" w:rsidRDefault="00F403DF" w:rsidP="0000293C">
      <w:r w:rsidRPr="00F403DF">
        <w:t>For further information regarding college pathways and professional development contact:</w:t>
      </w:r>
    </w:p>
    <w:p w14:paraId="15774A0D" w14:textId="77777777" w:rsidR="001D11D1" w:rsidRPr="00E550BD" w:rsidRDefault="00F403DF" w:rsidP="00E550BD">
      <w:pPr>
        <w:pStyle w:val="NoSpacing"/>
      </w:pPr>
      <w:r w:rsidRPr="00E550BD">
        <w:t>RACGP National Office</w:t>
      </w:r>
    </w:p>
    <w:p w14:paraId="1C60874D" w14:textId="77777777" w:rsidR="001D11D1" w:rsidRPr="00E550BD" w:rsidRDefault="00F403DF" w:rsidP="00E550BD">
      <w:pPr>
        <w:pStyle w:val="NoSpacing"/>
      </w:pPr>
      <w:r w:rsidRPr="00E550BD">
        <w:t>100 Wellington Parade</w:t>
      </w:r>
    </w:p>
    <w:p w14:paraId="3E335FC0" w14:textId="77777777" w:rsidR="001D11D1" w:rsidRPr="00E550BD" w:rsidRDefault="00F403DF" w:rsidP="00E550BD">
      <w:pPr>
        <w:pStyle w:val="NoSpacing"/>
      </w:pPr>
      <w:r w:rsidRPr="00E550BD">
        <w:t>East Melbourne, VIC, 3002</w:t>
      </w:r>
    </w:p>
    <w:p w14:paraId="53ED2D3A" w14:textId="77777777" w:rsidR="00F403DF" w:rsidRPr="00E550BD" w:rsidRDefault="00F403DF" w:rsidP="00E550BD">
      <w:pPr>
        <w:pStyle w:val="NoSpacing"/>
      </w:pPr>
      <w:r w:rsidRPr="00E550BD">
        <w:t>Ph: 1800 472 247</w:t>
      </w:r>
    </w:p>
    <w:p w14:paraId="4CECFA2A" w14:textId="77777777" w:rsidR="00F403DF" w:rsidRDefault="00E550BD" w:rsidP="00F403DF">
      <w:pPr>
        <w:autoSpaceDE w:val="0"/>
        <w:autoSpaceDN w:val="0"/>
        <w:adjustRightInd w:val="0"/>
        <w:rPr>
          <w:rFonts w:asciiTheme="minorHAnsi" w:hAnsiTheme="minorHAnsi" w:cstheme="minorHAnsi"/>
          <w:color w:val="000000"/>
          <w:szCs w:val="22"/>
        </w:rPr>
      </w:pPr>
      <w:hyperlink r:id="rId21" w:history="1">
        <w:r w:rsidR="00F403DF" w:rsidRPr="00AF5E0D">
          <w:rPr>
            <w:rStyle w:val="Hyperlink"/>
            <w:rFonts w:asciiTheme="minorHAnsi" w:hAnsiTheme="minorHAnsi" w:cstheme="minorHAnsi"/>
            <w:szCs w:val="22"/>
          </w:rPr>
          <w:t>The Royal Australian College of General Practitioners</w:t>
        </w:r>
      </w:hyperlink>
      <w:r w:rsidR="00F403DF" w:rsidRPr="00AF5E0D">
        <w:rPr>
          <w:rFonts w:asciiTheme="minorHAnsi" w:hAnsiTheme="minorHAnsi" w:cstheme="minorHAnsi"/>
          <w:color w:val="000000"/>
          <w:szCs w:val="22"/>
        </w:rPr>
        <w:t xml:space="preserve"> (</w:t>
      </w:r>
      <w:r w:rsidR="00F403DF" w:rsidRPr="000A6774">
        <w:rPr>
          <w:rFonts w:asciiTheme="minorHAnsi" w:hAnsiTheme="minorHAnsi" w:cstheme="minorHAnsi"/>
          <w:szCs w:val="22"/>
        </w:rPr>
        <w:t>www.racgp.org.au</w:t>
      </w:r>
      <w:r w:rsidR="00F403DF" w:rsidRPr="00AF5E0D">
        <w:rPr>
          <w:rFonts w:asciiTheme="minorHAnsi" w:hAnsiTheme="minorHAnsi" w:cstheme="minorHAnsi"/>
          <w:color w:val="000000"/>
          <w:szCs w:val="22"/>
        </w:rPr>
        <w:t>)</w:t>
      </w:r>
    </w:p>
    <w:p w14:paraId="3A45ECE8" w14:textId="11628B57" w:rsidR="00F403DF" w:rsidRDefault="00F403DF" w:rsidP="00FD1608">
      <w:pPr>
        <w:pStyle w:val="Heading4"/>
      </w:pPr>
      <w:r w:rsidRPr="00AF5E0D">
        <w:t>The Australian Colle</w:t>
      </w:r>
      <w:r w:rsidR="001D11D1">
        <w:t>ge of Rural and Remote Medicine</w:t>
      </w:r>
    </w:p>
    <w:p w14:paraId="279E5D58" w14:textId="77777777" w:rsidR="00F403DF" w:rsidRPr="00F403DF" w:rsidRDefault="00F403DF" w:rsidP="0000293C">
      <w:r w:rsidRPr="00F403DF">
        <w:t>For further information regarding college pathways and professional development contact:</w:t>
      </w:r>
    </w:p>
    <w:p w14:paraId="016FC360" w14:textId="77777777" w:rsidR="001D11D1" w:rsidRPr="00E550BD" w:rsidRDefault="00F403DF" w:rsidP="00E550BD">
      <w:pPr>
        <w:pStyle w:val="NoSpacing"/>
      </w:pPr>
      <w:r w:rsidRPr="00E550BD">
        <w:t>ACRRM</w:t>
      </w:r>
    </w:p>
    <w:p w14:paraId="37A6FB83" w14:textId="77777777" w:rsidR="001D11D1" w:rsidRPr="00E550BD" w:rsidRDefault="00F403DF" w:rsidP="00E550BD">
      <w:pPr>
        <w:pStyle w:val="NoSpacing"/>
      </w:pPr>
      <w:r w:rsidRPr="00E550BD">
        <w:t>GPO Box 2507</w:t>
      </w:r>
    </w:p>
    <w:p w14:paraId="1C0BAEEE" w14:textId="77777777" w:rsidR="001D11D1" w:rsidRPr="00E550BD" w:rsidRDefault="00F403DF" w:rsidP="00E550BD">
      <w:pPr>
        <w:pStyle w:val="NoSpacing"/>
      </w:pPr>
      <w:r w:rsidRPr="00E550BD">
        <w:t>Brisbane, QLD, 4000</w:t>
      </w:r>
    </w:p>
    <w:p w14:paraId="07429357" w14:textId="77777777" w:rsidR="00F403DF" w:rsidRPr="00E550BD" w:rsidRDefault="00F403DF" w:rsidP="00E550BD">
      <w:pPr>
        <w:pStyle w:val="NoSpacing"/>
      </w:pPr>
      <w:r w:rsidRPr="00E550BD">
        <w:t>Ph: 1800 223 226</w:t>
      </w:r>
    </w:p>
    <w:p w14:paraId="323C0DE1" w14:textId="2A54B738" w:rsidR="00AB5FA4" w:rsidRPr="00AF5E0D" w:rsidRDefault="00E550BD" w:rsidP="00F403DF">
      <w:pPr>
        <w:autoSpaceDE w:val="0"/>
        <w:autoSpaceDN w:val="0"/>
        <w:adjustRightInd w:val="0"/>
        <w:rPr>
          <w:rFonts w:asciiTheme="minorHAnsi" w:hAnsiTheme="minorHAnsi" w:cstheme="minorHAnsi"/>
          <w:color w:val="000000"/>
          <w:w w:val="101"/>
          <w:szCs w:val="22"/>
        </w:rPr>
      </w:pPr>
      <w:hyperlink r:id="rId22" w:history="1">
        <w:r w:rsidR="00F403DF" w:rsidRPr="00AF5E0D">
          <w:rPr>
            <w:rStyle w:val="Hyperlink"/>
            <w:rFonts w:asciiTheme="minorHAnsi" w:hAnsiTheme="minorHAnsi" w:cstheme="minorHAnsi"/>
            <w:w w:val="101"/>
            <w:szCs w:val="22"/>
          </w:rPr>
          <w:t>Australian College of Rural and Remote Medicine</w:t>
        </w:r>
      </w:hyperlink>
      <w:r w:rsidR="00F403DF" w:rsidRPr="00AF5E0D">
        <w:rPr>
          <w:rFonts w:asciiTheme="minorHAnsi" w:hAnsiTheme="minorHAnsi" w:cstheme="minorHAnsi"/>
          <w:color w:val="000000"/>
          <w:w w:val="101"/>
          <w:szCs w:val="22"/>
        </w:rPr>
        <w:t xml:space="preserve"> (</w:t>
      </w:r>
      <w:r w:rsidR="00AA0607" w:rsidRPr="00AA0607">
        <w:rPr>
          <w:rFonts w:asciiTheme="minorHAnsi" w:hAnsiTheme="minorHAnsi" w:cstheme="minorHAnsi"/>
          <w:w w:val="101"/>
          <w:szCs w:val="22"/>
        </w:rPr>
        <w:t>www.acrrm.org.au</w:t>
      </w:r>
      <w:r w:rsidR="00F403DF" w:rsidRPr="00AF5E0D">
        <w:rPr>
          <w:rFonts w:asciiTheme="minorHAnsi" w:hAnsiTheme="minorHAnsi" w:cstheme="minorHAnsi"/>
          <w:color w:val="000000"/>
          <w:w w:val="101"/>
          <w:szCs w:val="22"/>
        </w:rPr>
        <w:t>)</w:t>
      </w:r>
    </w:p>
    <w:sectPr w:rsidR="00AB5FA4" w:rsidRPr="00AF5E0D" w:rsidSect="004E3A00">
      <w:headerReference w:type="default" r:id="rId23"/>
      <w:footerReference w:type="default" r:id="rId24"/>
      <w:pgSz w:w="11906" w:h="16838"/>
      <w:pgMar w:top="851" w:right="851" w:bottom="141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8ADA" w14:textId="77777777" w:rsidR="00657BAD" w:rsidRDefault="00657BAD" w:rsidP="005F4768">
      <w:r>
        <w:separator/>
      </w:r>
    </w:p>
  </w:endnote>
  <w:endnote w:type="continuationSeparator" w:id="0">
    <w:p w14:paraId="0FF2BDFB" w14:textId="77777777" w:rsidR="00657BAD" w:rsidRDefault="00657BAD" w:rsidP="005F4768">
      <w:r>
        <w:continuationSeparator/>
      </w:r>
    </w:p>
  </w:endnote>
  <w:endnote w:type="continuationNotice" w:id="1">
    <w:p w14:paraId="316705D6" w14:textId="77777777" w:rsidR="00657BAD" w:rsidRDefault="00657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D387" w14:textId="77777777" w:rsidR="002D389B" w:rsidRPr="00DD5401" w:rsidRDefault="002D389B" w:rsidP="00DD5401">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52233"/>
      <w:docPartObj>
        <w:docPartGallery w:val="Page Numbers (Bottom of Page)"/>
        <w:docPartUnique/>
      </w:docPartObj>
    </w:sdtPr>
    <w:sdtEndPr>
      <w:rPr>
        <w:noProof/>
      </w:rPr>
    </w:sdtEndPr>
    <w:sdtContent>
      <w:p w14:paraId="09DA43F0" w14:textId="59AE4BEA" w:rsidR="002D389B" w:rsidRDefault="002D389B">
        <w:pPr>
          <w:pStyle w:val="Footer"/>
          <w:jc w:val="right"/>
        </w:pPr>
        <w:r>
          <w:fldChar w:fldCharType="begin"/>
        </w:r>
        <w:r>
          <w:instrText xml:space="preserve"> PAGE   \* MERGEFORMAT </w:instrText>
        </w:r>
        <w:r>
          <w:fldChar w:fldCharType="separate"/>
        </w:r>
        <w:r w:rsidR="00843D87">
          <w:rPr>
            <w:noProof/>
          </w:rPr>
          <w:t>13</w:t>
        </w:r>
        <w:r>
          <w:rPr>
            <w:noProof/>
          </w:rPr>
          <w:fldChar w:fldCharType="end"/>
        </w:r>
      </w:p>
    </w:sdtContent>
  </w:sdt>
  <w:p w14:paraId="156D1572" w14:textId="77777777" w:rsidR="002D389B" w:rsidRDefault="002D389B" w:rsidP="005F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4CD8" w14:textId="77777777" w:rsidR="00657BAD" w:rsidRDefault="00657BAD" w:rsidP="005F4768">
      <w:r>
        <w:separator/>
      </w:r>
    </w:p>
  </w:footnote>
  <w:footnote w:type="continuationSeparator" w:id="0">
    <w:p w14:paraId="5BC87179" w14:textId="77777777" w:rsidR="00657BAD" w:rsidRDefault="00657BAD" w:rsidP="005F4768">
      <w:r>
        <w:continuationSeparator/>
      </w:r>
    </w:p>
  </w:footnote>
  <w:footnote w:type="continuationNotice" w:id="1">
    <w:p w14:paraId="6A8D5F7E" w14:textId="77777777" w:rsidR="00657BAD" w:rsidRDefault="00657B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525" w14:textId="77777777" w:rsidR="002D389B" w:rsidRPr="00BB4ABA" w:rsidRDefault="002D389B" w:rsidP="00BB4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9CC3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0F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728F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47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4DA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3C7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6A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A0CF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06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0C4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1108B"/>
    <w:multiLevelType w:val="hybridMultilevel"/>
    <w:tmpl w:val="66C4EAAE"/>
    <w:lvl w:ilvl="0" w:tplc="D22C8C8C">
      <w:numFmt w:val="bullet"/>
      <w:lvlText w:val="·"/>
      <w:lvlJc w:val="left"/>
      <w:pPr>
        <w:ind w:left="948" w:hanging="588"/>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344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8980CC4"/>
    <w:multiLevelType w:val="hybridMultilevel"/>
    <w:tmpl w:val="D5BC4AE2"/>
    <w:lvl w:ilvl="0" w:tplc="45B80472">
      <w:start w:val="1"/>
      <w:numFmt w:val="bullet"/>
      <w:pStyle w:val="ListParagraph"/>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4" w15:restartNumberingAfterBreak="0">
    <w:nsid w:val="389E5706"/>
    <w:multiLevelType w:val="hybridMultilevel"/>
    <w:tmpl w:val="73B425A2"/>
    <w:lvl w:ilvl="0" w:tplc="19F6547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C2A42"/>
    <w:multiLevelType w:val="hybridMultilevel"/>
    <w:tmpl w:val="B7CE0940"/>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6" w15:restartNumberingAfterBreak="0">
    <w:nsid w:val="4EEA3D3F"/>
    <w:multiLevelType w:val="hybridMultilevel"/>
    <w:tmpl w:val="90EC4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5D0C73"/>
    <w:multiLevelType w:val="multilevel"/>
    <w:tmpl w:val="71D42D38"/>
    <w:lvl w:ilvl="0">
      <w:start w:val="1"/>
      <w:numFmt w:val="decimal"/>
      <w:lvlText w:val="%1."/>
      <w:lvlJc w:val="left"/>
      <w:pPr>
        <w:ind w:left="360" w:hanging="360"/>
      </w:pPr>
      <w:rPr>
        <w:rFonts w:hint="default"/>
      </w:rPr>
    </w:lvl>
    <w:lvl w:ilvl="1">
      <w:start w:val="1"/>
      <w:numFmt w:val="decimal"/>
      <w:pStyle w:val="Heading3Numbered"/>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387F63"/>
    <w:multiLevelType w:val="hybridMultilevel"/>
    <w:tmpl w:val="7736EBA8"/>
    <w:lvl w:ilvl="0" w:tplc="19F6547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E12BA0"/>
    <w:multiLevelType w:val="hybridMultilevel"/>
    <w:tmpl w:val="4A66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17"/>
  </w:num>
  <w:num w:numId="5">
    <w:abstractNumId w:val="13"/>
  </w:num>
  <w:num w:numId="6">
    <w:abstractNumId w:val="16"/>
  </w:num>
  <w:num w:numId="7">
    <w:abstractNumId w:val="19"/>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8"/>
  </w:num>
  <w:num w:numId="16">
    <w:abstractNumId w:val="14"/>
  </w:num>
  <w:num w:numId="17">
    <w:abstractNumId w:val="10"/>
  </w:num>
  <w:num w:numId="18">
    <w:abstractNumId w:val="13"/>
  </w:num>
  <w:num w:numId="19">
    <w:abstractNumId w:val="13"/>
  </w:num>
  <w:num w:numId="20">
    <w:abstractNumId w:val="13"/>
  </w:num>
  <w:num w:numId="21">
    <w:abstractNumId w:val="13"/>
  </w:num>
  <w:num w:numId="22">
    <w:abstractNumId w:val="13"/>
  </w:num>
  <w:num w:numId="23">
    <w:abstractNumId w:val="8"/>
  </w:num>
  <w:num w:numId="24">
    <w:abstractNumId w:val="9"/>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67"/>
    <w:rsid w:val="00001D02"/>
    <w:rsid w:val="0000293C"/>
    <w:rsid w:val="00003743"/>
    <w:rsid w:val="000055EF"/>
    <w:rsid w:val="00023EEC"/>
    <w:rsid w:val="000246D3"/>
    <w:rsid w:val="00024E16"/>
    <w:rsid w:val="000253CE"/>
    <w:rsid w:val="000264B1"/>
    <w:rsid w:val="00030FA9"/>
    <w:rsid w:val="000335A2"/>
    <w:rsid w:val="00034083"/>
    <w:rsid w:val="00035279"/>
    <w:rsid w:val="00042BEA"/>
    <w:rsid w:val="00043B71"/>
    <w:rsid w:val="000504F8"/>
    <w:rsid w:val="00061D41"/>
    <w:rsid w:val="00066427"/>
    <w:rsid w:val="000671A1"/>
    <w:rsid w:val="00067456"/>
    <w:rsid w:val="00073F7D"/>
    <w:rsid w:val="00074DEC"/>
    <w:rsid w:val="00075793"/>
    <w:rsid w:val="0007614C"/>
    <w:rsid w:val="000764F9"/>
    <w:rsid w:val="00082FD9"/>
    <w:rsid w:val="0009091C"/>
    <w:rsid w:val="00096BC6"/>
    <w:rsid w:val="000A2D5A"/>
    <w:rsid w:val="000A641F"/>
    <w:rsid w:val="000A6774"/>
    <w:rsid w:val="000B0A80"/>
    <w:rsid w:val="000B2CA7"/>
    <w:rsid w:val="000B73AC"/>
    <w:rsid w:val="000C3F4E"/>
    <w:rsid w:val="000D0D11"/>
    <w:rsid w:val="000D7111"/>
    <w:rsid w:val="000E1CC3"/>
    <w:rsid w:val="000E3070"/>
    <w:rsid w:val="000E4FC8"/>
    <w:rsid w:val="000E51A0"/>
    <w:rsid w:val="000F34CE"/>
    <w:rsid w:val="000F4C77"/>
    <w:rsid w:val="000F4FCF"/>
    <w:rsid w:val="001049D7"/>
    <w:rsid w:val="00104B2B"/>
    <w:rsid w:val="00107024"/>
    <w:rsid w:val="0011362C"/>
    <w:rsid w:val="001150C9"/>
    <w:rsid w:val="0012509A"/>
    <w:rsid w:val="00127184"/>
    <w:rsid w:val="001271C6"/>
    <w:rsid w:val="00135536"/>
    <w:rsid w:val="00140142"/>
    <w:rsid w:val="00145F91"/>
    <w:rsid w:val="00147AE4"/>
    <w:rsid w:val="001528D3"/>
    <w:rsid w:val="001651A0"/>
    <w:rsid w:val="001715C7"/>
    <w:rsid w:val="00174791"/>
    <w:rsid w:val="00180106"/>
    <w:rsid w:val="00181A23"/>
    <w:rsid w:val="001845B9"/>
    <w:rsid w:val="00185BF8"/>
    <w:rsid w:val="001953C2"/>
    <w:rsid w:val="00196689"/>
    <w:rsid w:val="00197953"/>
    <w:rsid w:val="001A0FA1"/>
    <w:rsid w:val="001A280F"/>
    <w:rsid w:val="001A4550"/>
    <w:rsid w:val="001A4FC4"/>
    <w:rsid w:val="001A7131"/>
    <w:rsid w:val="001B213E"/>
    <w:rsid w:val="001B3443"/>
    <w:rsid w:val="001B5919"/>
    <w:rsid w:val="001B67D1"/>
    <w:rsid w:val="001C2888"/>
    <w:rsid w:val="001C39CD"/>
    <w:rsid w:val="001C3D48"/>
    <w:rsid w:val="001C40B4"/>
    <w:rsid w:val="001C4DBB"/>
    <w:rsid w:val="001D11D1"/>
    <w:rsid w:val="001D25D8"/>
    <w:rsid w:val="001D2616"/>
    <w:rsid w:val="001D2D8C"/>
    <w:rsid w:val="001D383E"/>
    <w:rsid w:val="001E4BC6"/>
    <w:rsid w:val="001E5549"/>
    <w:rsid w:val="001F06E4"/>
    <w:rsid w:val="001F234A"/>
    <w:rsid w:val="001F2D13"/>
    <w:rsid w:val="001F79DE"/>
    <w:rsid w:val="001F7E97"/>
    <w:rsid w:val="00202C39"/>
    <w:rsid w:val="00204706"/>
    <w:rsid w:val="00205278"/>
    <w:rsid w:val="00205C5A"/>
    <w:rsid w:val="00205FCD"/>
    <w:rsid w:val="00210782"/>
    <w:rsid w:val="00212215"/>
    <w:rsid w:val="00215A6F"/>
    <w:rsid w:val="002219D5"/>
    <w:rsid w:val="002250B6"/>
    <w:rsid w:val="002259C5"/>
    <w:rsid w:val="00225C1E"/>
    <w:rsid w:val="00226D0F"/>
    <w:rsid w:val="00230EE4"/>
    <w:rsid w:val="00233B24"/>
    <w:rsid w:val="0023435D"/>
    <w:rsid w:val="0023525C"/>
    <w:rsid w:val="002374FC"/>
    <w:rsid w:val="00240C0B"/>
    <w:rsid w:val="00243BA7"/>
    <w:rsid w:val="00244B89"/>
    <w:rsid w:val="002532DC"/>
    <w:rsid w:val="002576F9"/>
    <w:rsid w:val="00261EA3"/>
    <w:rsid w:val="002649CF"/>
    <w:rsid w:val="002707CA"/>
    <w:rsid w:val="00273AF5"/>
    <w:rsid w:val="00274DF0"/>
    <w:rsid w:val="00285D95"/>
    <w:rsid w:val="00285FAC"/>
    <w:rsid w:val="002861F1"/>
    <w:rsid w:val="00286DF6"/>
    <w:rsid w:val="00290DFB"/>
    <w:rsid w:val="002940E5"/>
    <w:rsid w:val="002979B9"/>
    <w:rsid w:val="002A2CD1"/>
    <w:rsid w:val="002A4069"/>
    <w:rsid w:val="002C0424"/>
    <w:rsid w:val="002C076E"/>
    <w:rsid w:val="002C4E16"/>
    <w:rsid w:val="002C5CE6"/>
    <w:rsid w:val="002D37ED"/>
    <w:rsid w:val="002D389B"/>
    <w:rsid w:val="002E2702"/>
    <w:rsid w:val="002E476B"/>
    <w:rsid w:val="002F02AE"/>
    <w:rsid w:val="002F3AE3"/>
    <w:rsid w:val="002F500C"/>
    <w:rsid w:val="002F56DC"/>
    <w:rsid w:val="002F7749"/>
    <w:rsid w:val="00300FB4"/>
    <w:rsid w:val="0030286A"/>
    <w:rsid w:val="00304DAF"/>
    <w:rsid w:val="00304F36"/>
    <w:rsid w:val="0030786C"/>
    <w:rsid w:val="0031005E"/>
    <w:rsid w:val="0031607F"/>
    <w:rsid w:val="00317FDD"/>
    <w:rsid w:val="00323E9D"/>
    <w:rsid w:val="00325B39"/>
    <w:rsid w:val="00330166"/>
    <w:rsid w:val="00351BD7"/>
    <w:rsid w:val="00354E75"/>
    <w:rsid w:val="003574A0"/>
    <w:rsid w:val="0036058E"/>
    <w:rsid w:val="003615DD"/>
    <w:rsid w:val="0036181E"/>
    <w:rsid w:val="003678C5"/>
    <w:rsid w:val="00370FC0"/>
    <w:rsid w:val="00371CC1"/>
    <w:rsid w:val="003733C9"/>
    <w:rsid w:val="00373B0E"/>
    <w:rsid w:val="00373E89"/>
    <w:rsid w:val="00374A34"/>
    <w:rsid w:val="00374B76"/>
    <w:rsid w:val="00374CFD"/>
    <w:rsid w:val="00376DA5"/>
    <w:rsid w:val="003836A6"/>
    <w:rsid w:val="00386F41"/>
    <w:rsid w:val="003929DD"/>
    <w:rsid w:val="00392F04"/>
    <w:rsid w:val="00394AA8"/>
    <w:rsid w:val="0039570C"/>
    <w:rsid w:val="00396FFB"/>
    <w:rsid w:val="003A13FD"/>
    <w:rsid w:val="003A30C4"/>
    <w:rsid w:val="003A3537"/>
    <w:rsid w:val="003A655B"/>
    <w:rsid w:val="003B3F0C"/>
    <w:rsid w:val="003B52A6"/>
    <w:rsid w:val="003C0FFB"/>
    <w:rsid w:val="003C33C1"/>
    <w:rsid w:val="003C597F"/>
    <w:rsid w:val="003D0EFF"/>
    <w:rsid w:val="003D17F9"/>
    <w:rsid w:val="003D2554"/>
    <w:rsid w:val="003D3D2F"/>
    <w:rsid w:val="003D45AF"/>
    <w:rsid w:val="003E04DB"/>
    <w:rsid w:val="003E2D98"/>
    <w:rsid w:val="003E443A"/>
    <w:rsid w:val="003F09B7"/>
    <w:rsid w:val="003F7270"/>
    <w:rsid w:val="004029FA"/>
    <w:rsid w:val="00403181"/>
    <w:rsid w:val="004031A6"/>
    <w:rsid w:val="004052A1"/>
    <w:rsid w:val="004134F5"/>
    <w:rsid w:val="00420973"/>
    <w:rsid w:val="004328E8"/>
    <w:rsid w:val="00437533"/>
    <w:rsid w:val="0044175A"/>
    <w:rsid w:val="004434A1"/>
    <w:rsid w:val="00444C18"/>
    <w:rsid w:val="00445C33"/>
    <w:rsid w:val="00457CCC"/>
    <w:rsid w:val="004707DA"/>
    <w:rsid w:val="00471DF2"/>
    <w:rsid w:val="00477435"/>
    <w:rsid w:val="00480F12"/>
    <w:rsid w:val="00481A73"/>
    <w:rsid w:val="00482349"/>
    <w:rsid w:val="0048352C"/>
    <w:rsid w:val="0048562F"/>
    <w:rsid w:val="0048621F"/>
    <w:rsid w:val="004867E2"/>
    <w:rsid w:val="00493BE5"/>
    <w:rsid w:val="004A32C3"/>
    <w:rsid w:val="004A46CE"/>
    <w:rsid w:val="004B1874"/>
    <w:rsid w:val="004B26E0"/>
    <w:rsid w:val="004C0F1C"/>
    <w:rsid w:val="004C1894"/>
    <w:rsid w:val="004C21A2"/>
    <w:rsid w:val="004D07A6"/>
    <w:rsid w:val="004D0828"/>
    <w:rsid w:val="004D1097"/>
    <w:rsid w:val="004D1DE6"/>
    <w:rsid w:val="004D3093"/>
    <w:rsid w:val="004D4B57"/>
    <w:rsid w:val="004D63A7"/>
    <w:rsid w:val="004E0F33"/>
    <w:rsid w:val="004E3A00"/>
    <w:rsid w:val="004E43CA"/>
    <w:rsid w:val="004E5081"/>
    <w:rsid w:val="004E5974"/>
    <w:rsid w:val="004F151C"/>
    <w:rsid w:val="004F2F99"/>
    <w:rsid w:val="004F47FD"/>
    <w:rsid w:val="004F4F3C"/>
    <w:rsid w:val="004F61CA"/>
    <w:rsid w:val="004F6646"/>
    <w:rsid w:val="004F7C68"/>
    <w:rsid w:val="0050007B"/>
    <w:rsid w:val="005011EB"/>
    <w:rsid w:val="00502E6C"/>
    <w:rsid w:val="0050474E"/>
    <w:rsid w:val="00506485"/>
    <w:rsid w:val="0050667D"/>
    <w:rsid w:val="00506ABF"/>
    <w:rsid w:val="00506FE9"/>
    <w:rsid w:val="005074FB"/>
    <w:rsid w:val="00510625"/>
    <w:rsid w:val="00515B61"/>
    <w:rsid w:val="005166BE"/>
    <w:rsid w:val="00520F3B"/>
    <w:rsid w:val="00522A2C"/>
    <w:rsid w:val="005264CD"/>
    <w:rsid w:val="00526564"/>
    <w:rsid w:val="00526B88"/>
    <w:rsid w:val="00527462"/>
    <w:rsid w:val="005316D5"/>
    <w:rsid w:val="00536D50"/>
    <w:rsid w:val="00537E46"/>
    <w:rsid w:val="00545209"/>
    <w:rsid w:val="005455C7"/>
    <w:rsid w:val="00545A99"/>
    <w:rsid w:val="005553DC"/>
    <w:rsid w:val="0056009B"/>
    <w:rsid w:val="00561352"/>
    <w:rsid w:val="00563464"/>
    <w:rsid w:val="00567C42"/>
    <w:rsid w:val="00574F9E"/>
    <w:rsid w:val="0057558D"/>
    <w:rsid w:val="00582032"/>
    <w:rsid w:val="005843A9"/>
    <w:rsid w:val="00587F39"/>
    <w:rsid w:val="00591773"/>
    <w:rsid w:val="00594F5C"/>
    <w:rsid w:val="00595022"/>
    <w:rsid w:val="005A033C"/>
    <w:rsid w:val="005A31F6"/>
    <w:rsid w:val="005A563E"/>
    <w:rsid w:val="005A61C6"/>
    <w:rsid w:val="005A7676"/>
    <w:rsid w:val="005B229A"/>
    <w:rsid w:val="005B31AE"/>
    <w:rsid w:val="005B526E"/>
    <w:rsid w:val="005B7728"/>
    <w:rsid w:val="005B7B77"/>
    <w:rsid w:val="005C0B5B"/>
    <w:rsid w:val="005C23D8"/>
    <w:rsid w:val="005C4734"/>
    <w:rsid w:val="005D2E42"/>
    <w:rsid w:val="005E165A"/>
    <w:rsid w:val="005E7B78"/>
    <w:rsid w:val="005F0681"/>
    <w:rsid w:val="005F223C"/>
    <w:rsid w:val="005F4768"/>
    <w:rsid w:val="005F5F57"/>
    <w:rsid w:val="00600F8F"/>
    <w:rsid w:val="0060214A"/>
    <w:rsid w:val="00602EDD"/>
    <w:rsid w:val="00605E4E"/>
    <w:rsid w:val="006164C2"/>
    <w:rsid w:val="00631B26"/>
    <w:rsid w:val="006329F3"/>
    <w:rsid w:val="0063730B"/>
    <w:rsid w:val="00644EED"/>
    <w:rsid w:val="006455E8"/>
    <w:rsid w:val="00650D1F"/>
    <w:rsid w:val="00652616"/>
    <w:rsid w:val="00654897"/>
    <w:rsid w:val="00656567"/>
    <w:rsid w:val="006571DA"/>
    <w:rsid w:val="00657BAD"/>
    <w:rsid w:val="006603E3"/>
    <w:rsid w:val="0066197D"/>
    <w:rsid w:val="006649CE"/>
    <w:rsid w:val="0067066E"/>
    <w:rsid w:val="00672899"/>
    <w:rsid w:val="0067651C"/>
    <w:rsid w:val="0068225A"/>
    <w:rsid w:val="00683473"/>
    <w:rsid w:val="00683B2C"/>
    <w:rsid w:val="00683D43"/>
    <w:rsid w:val="0069183E"/>
    <w:rsid w:val="00691C3A"/>
    <w:rsid w:val="00695DCC"/>
    <w:rsid w:val="00696E6D"/>
    <w:rsid w:val="006A076C"/>
    <w:rsid w:val="006A13A0"/>
    <w:rsid w:val="006A1D9E"/>
    <w:rsid w:val="006A3767"/>
    <w:rsid w:val="006A45AA"/>
    <w:rsid w:val="006A4F06"/>
    <w:rsid w:val="006A5776"/>
    <w:rsid w:val="006B1E21"/>
    <w:rsid w:val="006B2262"/>
    <w:rsid w:val="006B491A"/>
    <w:rsid w:val="006B5A20"/>
    <w:rsid w:val="006B78F1"/>
    <w:rsid w:val="006C3DE8"/>
    <w:rsid w:val="006C686B"/>
    <w:rsid w:val="006C6F73"/>
    <w:rsid w:val="006C7272"/>
    <w:rsid w:val="006D430F"/>
    <w:rsid w:val="006E147B"/>
    <w:rsid w:val="006E17BA"/>
    <w:rsid w:val="006E3302"/>
    <w:rsid w:val="006F2A35"/>
    <w:rsid w:val="006F2F41"/>
    <w:rsid w:val="006F46AB"/>
    <w:rsid w:val="006F54B9"/>
    <w:rsid w:val="0070565D"/>
    <w:rsid w:val="00705C2C"/>
    <w:rsid w:val="007069F9"/>
    <w:rsid w:val="00712BAF"/>
    <w:rsid w:val="00720E9E"/>
    <w:rsid w:val="007210CC"/>
    <w:rsid w:val="00721ACB"/>
    <w:rsid w:val="0072632B"/>
    <w:rsid w:val="007313FA"/>
    <w:rsid w:val="0073388D"/>
    <w:rsid w:val="007376BF"/>
    <w:rsid w:val="00737A24"/>
    <w:rsid w:val="007410E6"/>
    <w:rsid w:val="007429E9"/>
    <w:rsid w:val="00742F0A"/>
    <w:rsid w:val="00747246"/>
    <w:rsid w:val="00750972"/>
    <w:rsid w:val="007513B4"/>
    <w:rsid w:val="007515EA"/>
    <w:rsid w:val="00752264"/>
    <w:rsid w:val="007528F8"/>
    <w:rsid w:val="00754302"/>
    <w:rsid w:val="00756860"/>
    <w:rsid w:val="0076005E"/>
    <w:rsid w:val="00762AC0"/>
    <w:rsid w:val="007637D1"/>
    <w:rsid w:val="00770F7D"/>
    <w:rsid w:val="0077309C"/>
    <w:rsid w:val="00776D57"/>
    <w:rsid w:val="00776F9E"/>
    <w:rsid w:val="00777AAC"/>
    <w:rsid w:val="00785506"/>
    <w:rsid w:val="0078762C"/>
    <w:rsid w:val="0079296E"/>
    <w:rsid w:val="007973E3"/>
    <w:rsid w:val="007A1D22"/>
    <w:rsid w:val="007A65CF"/>
    <w:rsid w:val="007B7541"/>
    <w:rsid w:val="007C07B5"/>
    <w:rsid w:val="007C1844"/>
    <w:rsid w:val="007C280F"/>
    <w:rsid w:val="007C2E65"/>
    <w:rsid w:val="007C4D3F"/>
    <w:rsid w:val="007C7EDD"/>
    <w:rsid w:val="007D2221"/>
    <w:rsid w:val="007D2F4E"/>
    <w:rsid w:val="007D672C"/>
    <w:rsid w:val="007E1C4D"/>
    <w:rsid w:val="007E728B"/>
    <w:rsid w:val="007E7AC1"/>
    <w:rsid w:val="007F2A03"/>
    <w:rsid w:val="007F54B9"/>
    <w:rsid w:val="007F73ED"/>
    <w:rsid w:val="00802BBD"/>
    <w:rsid w:val="00812BD4"/>
    <w:rsid w:val="0082175C"/>
    <w:rsid w:val="0082290E"/>
    <w:rsid w:val="008264EB"/>
    <w:rsid w:val="00843D87"/>
    <w:rsid w:val="0084549B"/>
    <w:rsid w:val="00846D92"/>
    <w:rsid w:val="00847EC0"/>
    <w:rsid w:val="00856C51"/>
    <w:rsid w:val="00861425"/>
    <w:rsid w:val="00866480"/>
    <w:rsid w:val="0086798B"/>
    <w:rsid w:val="00873CA1"/>
    <w:rsid w:val="008757D3"/>
    <w:rsid w:val="00875EB2"/>
    <w:rsid w:val="00881B37"/>
    <w:rsid w:val="00883FC8"/>
    <w:rsid w:val="00884522"/>
    <w:rsid w:val="008871F7"/>
    <w:rsid w:val="00890EA5"/>
    <w:rsid w:val="0089351F"/>
    <w:rsid w:val="00893A7A"/>
    <w:rsid w:val="008943A0"/>
    <w:rsid w:val="00895D75"/>
    <w:rsid w:val="008A4491"/>
    <w:rsid w:val="008B7B05"/>
    <w:rsid w:val="008C0B68"/>
    <w:rsid w:val="008C0C5D"/>
    <w:rsid w:val="008C1CA6"/>
    <w:rsid w:val="008D27C0"/>
    <w:rsid w:val="008D5DE8"/>
    <w:rsid w:val="008E009C"/>
    <w:rsid w:val="008E0A3B"/>
    <w:rsid w:val="008E47C3"/>
    <w:rsid w:val="008E52B8"/>
    <w:rsid w:val="008E714F"/>
    <w:rsid w:val="008E726B"/>
    <w:rsid w:val="008F2D5D"/>
    <w:rsid w:val="008F382F"/>
    <w:rsid w:val="008F423E"/>
    <w:rsid w:val="008F68AC"/>
    <w:rsid w:val="008F7578"/>
    <w:rsid w:val="008F7BF0"/>
    <w:rsid w:val="00903580"/>
    <w:rsid w:val="0090478B"/>
    <w:rsid w:val="00905414"/>
    <w:rsid w:val="00907646"/>
    <w:rsid w:val="00910DFB"/>
    <w:rsid w:val="009160AF"/>
    <w:rsid w:val="00917072"/>
    <w:rsid w:val="00917E71"/>
    <w:rsid w:val="009203DF"/>
    <w:rsid w:val="00923638"/>
    <w:rsid w:val="00927B28"/>
    <w:rsid w:val="00937169"/>
    <w:rsid w:val="009400EB"/>
    <w:rsid w:val="00940601"/>
    <w:rsid w:val="00940C3C"/>
    <w:rsid w:val="0094606A"/>
    <w:rsid w:val="00947469"/>
    <w:rsid w:val="00950848"/>
    <w:rsid w:val="00954510"/>
    <w:rsid w:val="0095490E"/>
    <w:rsid w:val="00954A8D"/>
    <w:rsid w:val="00954CDC"/>
    <w:rsid w:val="00956849"/>
    <w:rsid w:val="009638DF"/>
    <w:rsid w:val="00963F03"/>
    <w:rsid w:val="00966966"/>
    <w:rsid w:val="00970393"/>
    <w:rsid w:val="0097065D"/>
    <w:rsid w:val="009726D7"/>
    <w:rsid w:val="00977567"/>
    <w:rsid w:val="009800B6"/>
    <w:rsid w:val="00983C2E"/>
    <w:rsid w:val="0098485C"/>
    <w:rsid w:val="00985219"/>
    <w:rsid w:val="00986549"/>
    <w:rsid w:val="0098700B"/>
    <w:rsid w:val="0099145B"/>
    <w:rsid w:val="009950CD"/>
    <w:rsid w:val="00995748"/>
    <w:rsid w:val="00996CFE"/>
    <w:rsid w:val="009A0049"/>
    <w:rsid w:val="009A6343"/>
    <w:rsid w:val="009A6AAB"/>
    <w:rsid w:val="009B65AA"/>
    <w:rsid w:val="009C4206"/>
    <w:rsid w:val="009C4693"/>
    <w:rsid w:val="009D01AD"/>
    <w:rsid w:val="009D4D36"/>
    <w:rsid w:val="009D5742"/>
    <w:rsid w:val="009E3805"/>
    <w:rsid w:val="009E4727"/>
    <w:rsid w:val="009E48FF"/>
    <w:rsid w:val="009E5413"/>
    <w:rsid w:val="009E61E9"/>
    <w:rsid w:val="009E75FC"/>
    <w:rsid w:val="009E796A"/>
    <w:rsid w:val="009F309D"/>
    <w:rsid w:val="009F3D0E"/>
    <w:rsid w:val="00A018AE"/>
    <w:rsid w:val="00A049E0"/>
    <w:rsid w:val="00A205A7"/>
    <w:rsid w:val="00A2225C"/>
    <w:rsid w:val="00A22FA9"/>
    <w:rsid w:val="00A30A78"/>
    <w:rsid w:val="00A40F08"/>
    <w:rsid w:val="00A416A9"/>
    <w:rsid w:val="00A4512D"/>
    <w:rsid w:val="00A464FE"/>
    <w:rsid w:val="00A5317E"/>
    <w:rsid w:val="00A54696"/>
    <w:rsid w:val="00A609A1"/>
    <w:rsid w:val="00A63FBD"/>
    <w:rsid w:val="00A64D63"/>
    <w:rsid w:val="00A65C17"/>
    <w:rsid w:val="00A66C82"/>
    <w:rsid w:val="00A66FDD"/>
    <w:rsid w:val="00A705AF"/>
    <w:rsid w:val="00A706BF"/>
    <w:rsid w:val="00A73593"/>
    <w:rsid w:val="00A74185"/>
    <w:rsid w:val="00A77946"/>
    <w:rsid w:val="00A804EF"/>
    <w:rsid w:val="00A805B4"/>
    <w:rsid w:val="00A8135C"/>
    <w:rsid w:val="00A85327"/>
    <w:rsid w:val="00A900C8"/>
    <w:rsid w:val="00A9694B"/>
    <w:rsid w:val="00AA0607"/>
    <w:rsid w:val="00AA2126"/>
    <w:rsid w:val="00AB1A36"/>
    <w:rsid w:val="00AB3F1E"/>
    <w:rsid w:val="00AB5FA4"/>
    <w:rsid w:val="00AB6E9C"/>
    <w:rsid w:val="00AC1802"/>
    <w:rsid w:val="00AC5FCC"/>
    <w:rsid w:val="00AD1869"/>
    <w:rsid w:val="00AD305E"/>
    <w:rsid w:val="00AE10A5"/>
    <w:rsid w:val="00AE131F"/>
    <w:rsid w:val="00AF5E0D"/>
    <w:rsid w:val="00AF61FF"/>
    <w:rsid w:val="00AF7E3E"/>
    <w:rsid w:val="00AF7F79"/>
    <w:rsid w:val="00B06875"/>
    <w:rsid w:val="00B07479"/>
    <w:rsid w:val="00B10A3D"/>
    <w:rsid w:val="00B145FC"/>
    <w:rsid w:val="00B2094C"/>
    <w:rsid w:val="00B26302"/>
    <w:rsid w:val="00B26B52"/>
    <w:rsid w:val="00B35237"/>
    <w:rsid w:val="00B42851"/>
    <w:rsid w:val="00B46F60"/>
    <w:rsid w:val="00B50598"/>
    <w:rsid w:val="00B52D31"/>
    <w:rsid w:val="00B5604A"/>
    <w:rsid w:val="00B570F5"/>
    <w:rsid w:val="00B604B1"/>
    <w:rsid w:val="00B61E53"/>
    <w:rsid w:val="00B67F2E"/>
    <w:rsid w:val="00B71653"/>
    <w:rsid w:val="00B73A26"/>
    <w:rsid w:val="00B747CC"/>
    <w:rsid w:val="00B808A1"/>
    <w:rsid w:val="00B812EF"/>
    <w:rsid w:val="00B871D4"/>
    <w:rsid w:val="00B90ABB"/>
    <w:rsid w:val="00B92B10"/>
    <w:rsid w:val="00B92C0B"/>
    <w:rsid w:val="00B97617"/>
    <w:rsid w:val="00B97BB8"/>
    <w:rsid w:val="00BA562E"/>
    <w:rsid w:val="00BB4ABA"/>
    <w:rsid w:val="00BB7E23"/>
    <w:rsid w:val="00BC0DB6"/>
    <w:rsid w:val="00BC6B1E"/>
    <w:rsid w:val="00BC7891"/>
    <w:rsid w:val="00BD0D1F"/>
    <w:rsid w:val="00BD3B6F"/>
    <w:rsid w:val="00BD5788"/>
    <w:rsid w:val="00BD6618"/>
    <w:rsid w:val="00BE1751"/>
    <w:rsid w:val="00BF0B8F"/>
    <w:rsid w:val="00BF0BD5"/>
    <w:rsid w:val="00BF1360"/>
    <w:rsid w:val="00BF2D10"/>
    <w:rsid w:val="00BF2D8E"/>
    <w:rsid w:val="00BF4779"/>
    <w:rsid w:val="00C01B63"/>
    <w:rsid w:val="00C03169"/>
    <w:rsid w:val="00C04445"/>
    <w:rsid w:val="00C114D7"/>
    <w:rsid w:val="00C1368C"/>
    <w:rsid w:val="00C13825"/>
    <w:rsid w:val="00C205E5"/>
    <w:rsid w:val="00C20A85"/>
    <w:rsid w:val="00C23B2F"/>
    <w:rsid w:val="00C24805"/>
    <w:rsid w:val="00C30625"/>
    <w:rsid w:val="00C53616"/>
    <w:rsid w:val="00C53B7D"/>
    <w:rsid w:val="00C57537"/>
    <w:rsid w:val="00C577ED"/>
    <w:rsid w:val="00C64D88"/>
    <w:rsid w:val="00C6523B"/>
    <w:rsid w:val="00C7479E"/>
    <w:rsid w:val="00C76EDF"/>
    <w:rsid w:val="00C80D8C"/>
    <w:rsid w:val="00C8439A"/>
    <w:rsid w:val="00C924BE"/>
    <w:rsid w:val="00C93A55"/>
    <w:rsid w:val="00CA5315"/>
    <w:rsid w:val="00CA6E28"/>
    <w:rsid w:val="00CB087C"/>
    <w:rsid w:val="00CB13D2"/>
    <w:rsid w:val="00CB4C13"/>
    <w:rsid w:val="00CB5B1A"/>
    <w:rsid w:val="00CB70B0"/>
    <w:rsid w:val="00CC1DC0"/>
    <w:rsid w:val="00CC459A"/>
    <w:rsid w:val="00CC47DD"/>
    <w:rsid w:val="00CC5274"/>
    <w:rsid w:val="00CD0C70"/>
    <w:rsid w:val="00CD6E7B"/>
    <w:rsid w:val="00CE6F99"/>
    <w:rsid w:val="00CE7BF7"/>
    <w:rsid w:val="00CF759E"/>
    <w:rsid w:val="00D00823"/>
    <w:rsid w:val="00D04189"/>
    <w:rsid w:val="00D125AE"/>
    <w:rsid w:val="00D1541F"/>
    <w:rsid w:val="00D15E24"/>
    <w:rsid w:val="00D2171D"/>
    <w:rsid w:val="00D22D32"/>
    <w:rsid w:val="00D3024A"/>
    <w:rsid w:val="00D3236F"/>
    <w:rsid w:val="00D33167"/>
    <w:rsid w:val="00D342AA"/>
    <w:rsid w:val="00D353E8"/>
    <w:rsid w:val="00D51C6B"/>
    <w:rsid w:val="00D55240"/>
    <w:rsid w:val="00D708AC"/>
    <w:rsid w:val="00D7312F"/>
    <w:rsid w:val="00D736BA"/>
    <w:rsid w:val="00D751E3"/>
    <w:rsid w:val="00D81717"/>
    <w:rsid w:val="00D81F8F"/>
    <w:rsid w:val="00D82E96"/>
    <w:rsid w:val="00D83D4B"/>
    <w:rsid w:val="00D84373"/>
    <w:rsid w:val="00D84DB3"/>
    <w:rsid w:val="00D952AF"/>
    <w:rsid w:val="00D96F94"/>
    <w:rsid w:val="00D9768A"/>
    <w:rsid w:val="00DA1A37"/>
    <w:rsid w:val="00DA2F7E"/>
    <w:rsid w:val="00DA4C05"/>
    <w:rsid w:val="00DD236B"/>
    <w:rsid w:val="00DD5401"/>
    <w:rsid w:val="00DD6391"/>
    <w:rsid w:val="00DE28BE"/>
    <w:rsid w:val="00DE3130"/>
    <w:rsid w:val="00DE5C00"/>
    <w:rsid w:val="00DF1ABD"/>
    <w:rsid w:val="00DF3BCA"/>
    <w:rsid w:val="00DF5FB3"/>
    <w:rsid w:val="00DF5FFB"/>
    <w:rsid w:val="00DF6B55"/>
    <w:rsid w:val="00E01303"/>
    <w:rsid w:val="00E01DCD"/>
    <w:rsid w:val="00E05364"/>
    <w:rsid w:val="00E05A92"/>
    <w:rsid w:val="00E05C2F"/>
    <w:rsid w:val="00E073DC"/>
    <w:rsid w:val="00E17D84"/>
    <w:rsid w:val="00E20765"/>
    <w:rsid w:val="00E2078E"/>
    <w:rsid w:val="00E239B7"/>
    <w:rsid w:val="00E241EA"/>
    <w:rsid w:val="00E246B2"/>
    <w:rsid w:val="00E30A39"/>
    <w:rsid w:val="00E32900"/>
    <w:rsid w:val="00E550BD"/>
    <w:rsid w:val="00E5514E"/>
    <w:rsid w:val="00E60C8D"/>
    <w:rsid w:val="00E61CDA"/>
    <w:rsid w:val="00E62690"/>
    <w:rsid w:val="00E64BAC"/>
    <w:rsid w:val="00E6608D"/>
    <w:rsid w:val="00E71501"/>
    <w:rsid w:val="00E726E7"/>
    <w:rsid w:val="00E73596"/>
    <w:rsid w:val="00E82581"/>
    <w:rsid w:val="00E93202"/>
    <w:rsid w:val="00E935F8"/>
    <w:rsid w:val="00E93EA3"/>
    <w:rsid w:val="00E94823"/>
    <w:rsid w:val="00E962E4"/>
    <w:rsid w:val="00EA0153"/>
    <w:rsid w:val="00EA16DB"/>
    <w:rsid w:val="00EA6B6A"/>
    <w:rsid w:val="00EB0960"/>
    <w:rsid w:val="00EB3976"/>
    <w:rsid w:val="00EC0044"/>
    <w:rsid w:val="00EC080B"/>
    <w:rsid w:val="00EC2FF1"/>
    <w:rsid w:val="00EC65ED"/>
    <w:rsid w:val="00ED5945"/>
    <w:rsid w:val="00ED5EA6"/>
    <w:rsid w:val="00EE1122"/>
    <w:rsid w:val="00EE3AFA"/>
    <w:rsid w:val="00EF238F"/>
    <w:rsid w:val="00EF2B16"/>
    <w:rsid w:val="00EF4C1E"/>
    <w:rsid w:val="00F02EF7"/>
    <w:rsid w:val="00F03676"/>
    <w:rsid w:val="00F1120A"/>
    <w:rsid w:val="00F11497"/>
    <w:rsid w:val="00F15390"/>
    <w:rsid w:val="00F15644"/>
    <w:rsid w:val="00F15DE9"/>
    <w:rsid w:val="00F17381"/>
    <w:rsid w:val="00F216C5"/>
    <w:rsid w:val="00F21C6C"/>
    <w:rsid w:val="00F274A2"/>
    <w:rsid w:val="00F31CBE"/>
    <w:rsid w:val="00F356C5"/>
    <w:rsid w:val="00F37428"/>
    <w:rsid w:val="00F403DF"/>
    <w:rsid w:val="00F410F1"/>
    <w:rsid w:val="00F4177B"/>
    <w:rsid w:val="00F4358C"/>
    <w:rsid w:val="00F50902"/>
    <w:rsid w:val="00F52FCC"/>
    <w:rsid w:val="00F60DF4"/>
    <w:rsid w:val="00F63FBA"/>
    <w:rsid w:val="00F74563"/>
    <w:rsid w:val="00F74BA6"/>
    <w:rsid w:val="00F866B4"/>
    <w:rsid w:val="00F87786"/>
    <w:rsid w:val="00F9049D"/>
    <w:rsid w:val="00F9358E"/>
    <w:rsid w:val="00FA165C"/>
    <w:rsid w:val="00FA468A"/>
    <w:rsid w:val="00FA5B70"/>
    <w:rsid w:val="00FA5EE8"/>
    <w:rsid w:val="00FB2B99"/>
    <w:rsid w:val="00FB378D"/>
    <w:rsid w:val="00FB3C63"/>
    <w:rsid w:val="00FC1199"/>
    <w:rsid w:val="00FC56B3"/>
    <w:rsid w:val="00FD10D1"/>
    <w:rsid w:val="00FD1608"/>
    <w:rsid w:val="00FE172F"/>
    <w:rsid w:val="00FE3D41"/>
    <w:rsid w:val="00FE55D8"/>
    <w:rsid w:val="00FF0052"/>
    <w:rsid w:val="00FF3EB0"/>
    <w:rsid w:val="00FF4B97"/>
    <w:rsid w:val="00FF4FA1"/>
    <w:rsid w:val="00FF68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E7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0BD"/>
    <w:pPr>
      <w:spacing w:before="120" w:after="120" w:line="240" w:lineRule="auto"/>
    </w:pPr>
    <w:rPr>
      <w:rFonts w:ascii="Arial" w:hAnsi="Arial" w:cs="Arial"/>
      <w:szCs w:val="20"/>
    </w:rPr>
  </w:style>
  <w:style w:type="paragraph" w:styleId="Heading1">
    <w:name w:val="heading 1"/>
    <w:basedOn w:val="Normal"/>
    <w:next w:val="Normal"/>
    <w:link w:val="Heading1Char"/>
    <w:uiPriority w:val="9"/>
    <w:rsid w:val="00CC1DC0"/>
    <w:pPr>
      <w:pBdr>
        <w:left w:val="single" w:sz="48" w:space="8" w:color="001A63"/>
      </w:pBdr>
      <w:ind w:left="284"/>
      <w:outlineLvl w:val="0"/>
    </w:pPr>
    <w:rPr>
      <w:bCs/>
      <w:caps/>
      <w:color w:val="000000" w:themeColor="text1"/>
      <w:sz w:val="32"/>
    </w:rPr>
  </w:style>
  <w:style w:type="paragraph" w:styleId="Heading2">
    <w:name w:val="heading 2"/>
    <w:basedOn w:val="Heading1Black"/>
    <w:next w:val="Normal"/>
    <w:link w:val="Heading2Char"/>
    <w:unhideWhenUsed/>
    <w:qFormat/>
    <w:rsid w:val="001D11D1"/>
    <w:pPr>
      <w:keepNext/>
      <w:pBdr>
        <w:left w:val="none" w:sz="0" w:space="0" w:color="auto"/>
      </w:pBdr>
      <w:ind w:left="0"/>
      <w:outlineLvl w:val="1"/>
    </w:pPr>
    <w:rPr>
      <w:rFonts w:asciiTheme="minorHAnsi" w:hAnsiTheme="minorHAnsi" w:cstheme="minorHAnsi"/>
      <w:b/>
      <w:bCs/>
      <w:sz w:val="28"/>
      <w:szCs w:val="28"/>
    </w:rPr>
  </w:style>
  <w:style w:type="paragraph" w:styleId="Heading3">
    <w:name w:val="heading 3"/>
    <w:basedOn w:val="Heading2"/>
    <w:next w:val="Normal"/>
    <w:link w:val="Heading3Char"/>
    <w:uiPriority w:val="9"/>
    <w:unhideWhenUsed/>
    <w:qFormat/>
    <w:rsid w:val="00737A24"/>
    <w:pPr>
      <w:pageBreakBefore w:val="0"/>
      <w:spacing w:before="360" w:after="100"/>
      <w:outlineLvl w:val="2"/>
    </w:pPr>
    <w:rPr>
      <w:color w:val="auto"/>
      <w:sz w:val="22"/>
      <w:szCs w:val="24"/>
    </w:rPr>
  </w:style>
  <w:style w:type="paragraph" w:styleId="Heading4">
    <w:name w:val="heading 4"/>
    <w:basedOn w:val="Heading3"/>
    <w:next w:val="Normal"/>
    <w:link w:val="Heading4Char"/>
    <w:uiPriority w:val="9"/>
    <w:unhideWhenUsed/>
    <w:qFormat/>
    <w:rsid w:val="00737A24"/>
    <w:pPr>
      <w:spacing w:before="160" w:after="0"/>
      <w:outlineLvl w:val="3"/>
    </w:pPr>
    <w:rPr>
      <w:color w:val="244061" w:themeColor="accent1" w:themeShade="80"/>
      <w:szCs w:val="22"/>
      <w:lang w:val="en"/>
    </w:rPr>
  </w:style>
  <w:style w:type="paragraph" w:styleId="Heading5">
    <w:name w:val="heading 5"/>
    <w:basedOn w:val="Heading4"/>
    <w:next w:val="Normal"/>
    <w:link w:val="Heading5Char"/>
    <w:uiPriority w:val="9"/>
    <w:unhideWhenUsed/>
    <w:qFormat/>
    <w:rsid w:val="001D11D1"/>
    <w:pPr>
      <w:spacing w:before="60" w:after="60"/>
      <w:outlineLvl w:val="4"/>
    </w:pPr>
    <w:rPr>
      <w:b w:val="0"/>
      <w:iCs/>
      <w:color w:val="1F497D" w:themeColor="text2"/>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26B52"/>
    <w:rPr>
      <w:rFonts w:asciiTheme="minorHAnsi" w:hAnsiTheme="minorHAnsi"/>
      <w:b w:val="0"/>
      <w:bCs/>
      <w:i/>
      <w:iCs/>
      <w:spacing w:val="0"/>
      <w:w w:val="100"/>
      <w:sz w:val="22"/>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0D1"/>
    <w:pPr>
      <w:keepNext/>
      <w:keepLines/>
      <w:spacing w:before="360" w:after="360"/>
      <w:contextualSpacing/>
    </w:pPr>
    <w:rPr>
      <w:caps/>
      <w:kern w:val="20"/>
      <w:sz w:val="40"/>
      <w:szCs w:val="48"/>
      <w:lang w:eastAsia="en-US"/>
    </w:rPr>
  </w:style>
  <w:style w:type="character" w:customStyle="1" w:styleId="TitleChar">
    <w:name w:val="Title Char"/>
    <w:basedOn w:val="DefaultParagraphFont"/>
    <w:link w:val="Title"/>
    <w:uiPriority w:val="10"/>
    <w:rsid w:val="00FD10D1"/>
    <w:rPr>
      <w:rFonts w:ascii="Arial" w:hAnsi="Arial" w:cs="Arial"/>
      <w:caps/>
      <w:kern w:val="20"/>
      <w:sz w:val="40"/>
      <w:szCs w:val="48"/>
      <w:lang w:eastAsia="en-US"/>
    </w:rPr>
  </w:style>
  <w:style w:type="paragraph" w:styleId="NoSpacing">
    <w:name w:val="No Spacing"/>
    <w:basedOn w:val="Normal"/>
    <w:link w:val="NoSpacingChar"/>
    <w:uiPriority w:val="1"/>
    <w:qFormat/>
    <w:rsid w:val="0000293C"/>
    <w:pPr>
      <w:spacing w:before="60" w:after="40"/>
    </w:pPr>
  </w:style>
  <w:style w:type="paragraph" w:styleId="Subtitle">
    <w:name w:val="Subtitle"/>
    <w:basedOn w:val="Title"/>
    <w:next w:val="Normal"/>
    <w:link w:val="SubtitleChar"/>
    <w:uiPriority w:val="11"/>
    <w:qFormat/>
    <w:rsid w:val="00300FB4"/>
    <w:pPr>
      <w:spacing w:before="240" w:after="120"/>
      <w:contextualSpacing w:val="0"/>
    </w:pPr>
    <w:rPr>
      <w:rFonts w:asciiTheme="minorHAnsi" w:hAnsiTheme="minorHAnsi" w:cstheme="minorHAnsi"/>
      <w:sz w:val="28"/>
      <w:szCs w:val="36"/>
    </w:rPr>
  </w:style>
  <w:style w:type="character" w:styleId="IntenseEmphasis">
    <w:name w:val="Intense Emphasis"/>
    <w:uiPriority w:val="21"/>
    <w:qFormat/>
    <w:rsid w:val="00672899"/>
    <w:rPr>
      <w:b/>
      <w:bCs/>
      <w:i/>
      <w:iCs/>
    </w:rPr>
  </w:style>
  <w:style w:type="character" w:customStyle="1" w:styleId="SubtitleChar">
    <w:name w:val="Subtitle Char"/>
    <w:basedOn w:val="DefaultParagraphFont"/>
    <w:link w:val="Subtitle"/>
    <w:uiPriority w:val="11"/>
    <w:rsid w:val="00300FB4"/>
    <w:rPr>
      <w:rFonts w:asciiTheme="minorHAnsi" w:hAnsiTheme="minorHAnsi" w:cstheme="minorHAnsi"/>
      <w:caps/>
      <w:kern w:val="20"/>
      <w:sz w:val="28"/>
      <w:szCs w:val="36"/>
      <w:lang w:eastAsia="en-US"/>
    </w:rPr>
  </w:style>
  <w:style w:type="paragraph" w:customStyle="1" w:styleId="tabletext">
    <w:name w:val="table text"/>
    <w:basedOn w:val="Normal"/>
    <w:link w:val="tabletextChar"/>
    <w:qFormat/>
    <w:rsid w:val="003E04DB"/>
    <w:pPr>
      <w:autoSpaceDE w:val="0"/>
      <w:autoSpaceDN w:val="0"/>
      <w:adjustRightInd w:val="0"/>
      <w:spacing w:before="0" w:after="0"/>
    </w:pPr>
    <w:rPr>
      <w:color w:val="000000"/>
      <w:szCs w:val="23"/>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CommentReference">
    <w:name w:val="annotation reference"/>
    <w:basedOn w:val="DefaultParagraphFont"/>
    <w:semiHidden/>
    <w:unhideWhenUsed/>
    <w:rsid w:val="00E05A92"/>
    <w:rPr>
      <w:sz w:val="16"/>
      <w:szCs w:val="16"/>
    </w:rPr>
  </w:style>
  <w:style w:type="character" w:styleId="IntenseReference">
    <w:name w:val="Intense Reference"/>
    <w:uiPriority w:val="32"/>
    <w:qFormat/>
    <w:rsid w:val="00672899"/>
    <w:rPr>
      <w:b/>
      <w:bCs/>
      <w:smallCaps/>
    </w:rPr>
  </w:style>
  <w:style w:type="character" w:customStyle="1" w:styleId="tabletextChar">
    <w:name w:val="table text Char"/>
    <w:basedOn w:val="DefaultParagraphFont"/>
    <w:link w:val="tabletext"/>
    <w:rsid w:val="003E04DB"/>
    <w:rPr>
      <w:rFonts w:ascii="Arial" w:hAnsi="Arial" w:cs="Arial"/>
      <w:color w:val="000000"/>
      <w:szCs w:val="23"/>
    </w:rPr>
  </w:style>
  <w:style w:type="paragraph" w:styleId="CommentText">
    <w:name w:val="annotation text"/>
    <w:basedOn w:val="Normal"/>
    <w:link w:val="CommentTextChar"/>
    <w:semiHidden/>
    <w:unhideWhenUsed/>
    <w:rsid w:val="00E05A92"/>
    <w:rPr>
      <w:sz w:val="20"/>
    </w:rPr>
  </w:style>
  <w:style w:type="character" w:customStyle="1" w:styleId="CommentTextChar">
    <w:name w:val="Comment Text Char"/>
    <w:basedOn w:val="DefaultParagraphFont"/>
    <w:link w:val="CommentText"/>
    <w:semiHidden/>
    <w:rsid w:val="00E05A92"/>
    <w:rPr>
      <w:rFonts w:ascii="Arial" w:hAnsi="Arial" w:cs="Arial"/>
      <w:sz w:val="20"/>
      <w:szCs w:val="20"/>
    </w:rPr>
  </w:style>
  <w:style w:type="paragraph" w:styleId="CommentSubject">
    <w:name w:val="annotation subject"/>
    <w:basedOn w:val="CommentText"/>
    <w:next w:val="CommentText"/>
    <w:link w:val="CommentSubjectChar"/>
    <w:semiHidden/>
    <w:unhideWhenUsed/>
    <w:rsid w:val="00E05A92"/>
    <w:rPr>
      <w:b/>
      <w:bCs/>
    </w:rPr>
  </w:style>
  <w:style w:type="character" w:customStyle="1" w:styleId="CommentSubjectChar">
    <w:name w:val="Comment Subject Char"/>
    <w:basedOn w:val="CommentTextChar"/>
    <w:link w:val="CommentSubject"/>
    <w:semiHidden/>
    <w:rsid w:val="00E05A92"/>
    <w:rPr>
      <w:rFonts w:ascii="Arial" w:hAnsi="Arial" w:cs="Arial"/>
      <w:b/>
      <w:bCs/>
      <w:sz w:val="20"/>
      <w:szCs w:val="20"/>
    </w:rPr>
  </w:style>
  <w:style w:type="paragraph" w:styleId="BalloonText">
    <w:name w:val="Balloon Text"/>
    <w:basedOn w:val="Normal"/>
    <w:link w:val="BalloonTextChar"/>
    <w:semiHidden/>
    <w:unhideWhenUsed/>
    <w:rsid w:val="00E05A92"/>
    <w:pPr>
      <w:spacing w:before="0" w:after="0"/>
    </w:pPr>
    <w:rPr>
      <w:rFonts w:ascii="Segoe UI" w:hAnsi="Segoe UI" w:cs="Segoe UI"/>
      <w:sz w:val="18"/>
      <w:szCs w:val="18"/>
    </w:rPr>
  </w:style>
  <w:style w:type="paragraph" w:styleId="Header">
    <w:name w:val="header"/>
    <w:basedOn w:val="Normal"/>
    <w:link w:val="HeaderChar"/>
    <w:rsid w:val="00A66C82"/>
    <w:pPr>
      <w:tabs>
        <w:tab w:val="center" w:pos="4513"/>
        <w:tab w:val="right" w:pos="9026"/>
      </w:tabs>
      <w:spacing w:after="0"/>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character" w:customStyle="1" w:styleId="BalloonTextChar">
    <w:name w:val="Balloon Text Char"/>
    <w:basedOn w:val="DefaultParagraphFont"/>
    <w:link w:val="BalloonText"/>
    <w:semiHidden/>
    <w:rsid w:val="00E05A92"/>
    <w:rPr>
      <w:rFonts w:ascii="Segoe UI" w:hAnsi="Segoe UI" w:cs="Segoe UI"/>
      <w:sz w:val="18"/>
      <w:szCs w:val="18"/>
    </w:rPr>
  </w:style>
  <w:style w:type="paragraph" w:customStyle="1" w:styleId="Heading1Black">
    <w:name w:val="Heading 1 Black"/>
    <w:basedOn w:val="Heading1"/>
    <w:next w:val="Normal"/>
    <w:autoRedefine/>
    <w:qFormat/>
    <w:rsid w:val="00FD1608"/>
    <w:pPr>
      <w:pageBreakBefore/>
    </w:pPr>
    <w:rPr>
      <w:bCs w:val="0"/>
      <w:caps w:val="0"/>
    </w:rPr>
  </w:style>
  <w:style w:type="paragraph" w:styleId="Caption">
    <w:name w:val="caption"/>
    <w:basedOn w:val="Normal"/>
    <w:next w:val="Normal"/>
    <w:uiPriority w:val="35"/>
    <w:unhideWhenUsed/>
    <w:qFormat/>
    <w:rsid w:val="004A32C3"/>
    <w:rPr>
      <w:bCs/>
      <w:color w:val="000000" w:themeColor="text1"/>
      <w:sz w:val="16"/>
      <w:szCs w:val="16"/>
    </w:rPr>
  </w:style>
  <w:style w:type="character" w:customStyle="1" w:styleId="Heading1Char">
    <w:name w:val="Heading 1 Char"/>
    <w:basedOn w:val="DefaultParagraphFont"/>
    <w:link w:val="Heading1"/>
    <w:uiPriority w:val="9"/>
    <w:rsid w:val="00CC1DC0"/>
    <w:rPr>
      <w:rFonts w:ascii="Arial" w:hAnsi="Arial" w:cs="Arial"/>
      <w:bCs/>
      <w:caps/>
      <w:color w:val="000000" w:themeColor="text1"/>
      <w:sz w:val="32"/>
      <w:szCs w:val="20"/>
    </w:rPr>
  </w:style>
  <w:style w:type="character" w:customStyle="1" w:styleId="Heading2Char">
    <w:name w:val="Heading 2 Char"/>
    <w:basedOn w:val="DefaultParagraphFont"/>
    <w:link w:val="Heading2"/>
    <w:rsid w:val="001D11D1"/>
    <w:rPr>
      <w:rFonts w:asciiTheme="minorHAnsi" w:hAnsiTheme="minorHAnsi" w:cstheme="minorHAnsi"/>
      <w:b/>
      <w:caps/>
      <w:color w:val="000000" w:themeColor="text1"/>
      <w:sz w:val="28"/>
      <w:szCs w:val="28"/>
    </w:rPr>
  </w:style>
  <w:style w:type="character" w:customStyle="1" w:styleId="Heading3Char">
    <w:name w:val="Heading 3 Char"/>
    <w:basedOn w:val="DefaultParagraphFont"/>
    <w:link w:val="Heading3"/>
    <w:uiPriority w:val="9"/>
    <w:rsid w:val="00737A24"/>
    <w:rPr>
      <w:rFonts w:asciiTheme="minorHAnsi" w:hAnsiTheme="minorHAnsi" w:cstheme="minorHAnsi"/>
      <w:b/>
      <w:bCs/>
      <w:szCs w:val="24"/>
    </w:rPr>
  </w:style>
  <w:style w:type="character" w:customStyle="1" w:styleId="Heading4Char">
    <w:name w:val="Heading 4 Char"/>
    <w:basedOn w:val="DefaultParagraphFont"/>
    <w:link w:val="Heading4"/>
    <w:uiPriority w:val="9"/>
    <w:rsid w:val="00737A24"/>
    <w:rPr>
      <w:rFonts w:asciiTheme="minorHAnsi" w:hAnsiTheme="minorHAnsi" w:cstheme="minorHAnsi"/>
      <w:b/>
      <w:bCs/>
      <w:color w:val="244061" w:themeColor="accent1" w:themeShade="80"/>
      <w:lang w:val="en"/>
    </w:rPr>
  </w:style>
  <w:style w:type="character" w:customStyle="1" w:styleId="Heading5Char">
    <w:name w:val="Heading 5 Char"/>
    <w:basedOn w:val="DefaultParagraphFont"/>
    <w:link w:val="Heading5"/>
    <w:uiPriority w:val="9"/>
    <w:rsid w:val="001D11D1"/>
    <w:rPr>
      <w:rFonts w:ascii="Arial" w:hAnsi="Arial" w:cs="Arial"/>
      <w:iCs/>
      <w:color w:val="1F497D" w:themeColor="text2"/>
      <w:spacing w:val="5"/>
      <w:szCs w:val="24"/>
      <w:lang w:val="en"/>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00293C"/>
    <w:rPr>
      <w:rFonts w:ascii="Arial" w:hAnsi="Arial" w:cs="Arial"/>
      <w:szCs w:val="20"/>
    </w:rPr>
  </w:style>
  <w:style w:type="paragraph" w:styleId="TOCHeading">
    <w:name w:val="TOC Heading"/>
    <w:basedOn w:val="Heading1"/>
    <w:next w:val="Normal"/>
    <w:uiPriority w:val="39"/>
    <w:unhideWhenUsed/>
    <w:qFormat/>
    <w:rsid w:val="00672899"/>
    <w:pPr>
      <w:outlineLvl w:val="9"/>
    </w:pPr>
    <w:rPr>
      <w:lang w:bidi="en-US"/>
    </w:rPr>
  </w:style>
  <w:style w:type="paragraph" w:customStyle="1" w:styleId="NumberedList">
    <w:name w:val="Numbered List"/>
    <w:basedOn w:val="Normal"/>
    <w:qFormat/>
    <w:rsid w:val="004A32C3"/>
    <w:pPr>
      <w:numPr>
        <w:numId w:val="1"/>
      </w:numPr>
      <w:spacing w:after="100"/>
      <w:ind w:left="714" w:hanging="357"/>
    </w:pPr>
    <w:rPr>
      <w:lang w:val="en"/>
    </w:rPr>
  </w:style>
  <w:style w:type="paragraph" w:customStyle="1" w:styleId="Heading2Numbered">
    <w:name w:val="Heading 2 Numbered"/>
    <w:basedOn w:val="Heading2"/>
    <w:next w:val="Normal"/>
    <w:qFormat/>
    <w:rsid w:val="00FD1608"/>
    <w:pPr>
      <w:pageBreakBefore w:val="0"/>
      <w:spacing w:before="240"/>
    </w:pPr>
    <w:rPr>
      <w:sz w:val="24"/>
      <w:lang w:val="en"/>
    </w:rPr>
  </w:style>
  <w:style w:type="paragraph" w:customStyle="1" w:styleId="Heading3Numbered">
    <w:name w:val="Heading 3 Numbered"/>
    <w:basedOn w:val="Heading2Numbered"/>
    <w:next w:val="Normal"/>
    <w:qFormat/>
    <w:rsid w:val="00E550BD"/>
    <w:pPr>
      <w:numPr>
        <w:ilvl w:val="1"/>
        <w:numId w:val="4"/>
      </w:numPr>
      <w:spacing w:before="120" w:line="276" w:lineRule="auto"/>
      <w:ind w:left="431" w:hanging="431"/>
      <w:outlineLvl w:val="2"/>
    </w:pPr>
    <w:rPr>
      <w:color w:val="auto"/>
      <w:sz w:val="22"/>
    </w:rPr>
  </w:style>
  <w:style w:type="paragraph" w:styleId="TOC1">
    <w:name w:val="toc 1"/>
    <w:basedOn w:val="Normal"/>
    <w:next w:val="Normal"/>
    <w:autoRedefine/>
    <w:uiPriority w:val="39"/>
    <w:rsid w:val="00FD1608"/>
    <w:pPr>
      <w:tabs>
        <w:tab w:val="right" w:leader="dot" w:pos="8494"/>
      </w:tabs>
      <w:spacing w:after="100"/>
    </w:pPr>
    <w:rPr>
      <w:sz w:val="24"/>
    </w:rPr>
  </w:style>
  <w:style w:type="paragraph" w:styleId="TOC2">
    <w:name w:val="toc 2"/>
    <w:basedOn w:val="Normal"/>
    <w:next w:val="Normal"/>
    <w:autoRedefine/>
    <w:uiPriority w:val="39"/>
    <w:rsid w:val="00561352"/>
    <w:pPr>
      <w:spacing w:after="100"/>
      <w:ind w:left="210"/>
    </w:p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numbering" w:styleId="111111">
    <w:name w:val="Outline List 2"/>
    <w:basedOn w:val="NoList"/>
    <w:rsid w:val="003F09B7"/>
    <w:pPr>
      <w:numPr>
        <w:numId w:val="2"/>
      </w:numPr>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574F9E"/>
    <w:pPr>
      <w:numPr>
        <w:numId w:val="5"/>
      </w:numPr>
      <w:spacing w:before="60" w:after="60"/>
    </w:pPr>
    <w:rPr>
      <w:rFonts w:eastAsia="Times New Roman" w:cs="Times New Roman"/>
      <w:szCs w:val="22"/>
      <w:lang w:eastAsia="en-US"/>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574F9E"/>
    <w:rPr>
      <w:rFonts w:ascii="Arial" w:eastAsia="Times New Roman" w:hAnsi="Arial" w:cs="Times New Roman"/>
      <w:lang w:eastAsia="en-US"/>
    </w:rPr>
  </w:style>
  <w:style w:type="table" w:customStyle="1" w:styleId="TableGrid8">
    <w:name w:val="Table Grid8"/>
    <w:basedOn w:val="TableNormal"/>
    <w:next w:val="TableGrid"/>
    <w:rsid w:val="00A54696"/>
    <w:pPr>
      <w:spacing w:after="0" w:line="240" w:lineRule="auto"/>
      <w:ind w:left="2160"/>
    </w:pPr>
    <w:rPr>
      <w:rFonts w:ascii="Cambria" w:eastAsiaTheme="minorHAnsi" w:hAnsi="Cambri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E5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shd w:val="clear" w:color="auto" w:fill="DDD9C3" w:themeFill="background2" w:themeFillShade="E6"/>
      </w:tcPr>
    </w:tblStylePr>
  </w:style>
  <w:style w:type="character" w:styleId="FollowedHyperlink">
    <w:name w:val="FollowedHyperlink"/>
    <w:basedOn w:val="DefaultParagraphFont"/>
    <w:semiHidden/>
    <w:unhideWhenUsed/>
    <w:rsid w:val="00C8439A"/>
    <w:rPr>
      <w:color w:val="800080" w:themeColor="followedHyperlink"/>
      <w:u w:val="single"/>
    </w:rPr>
  </w:style>
  <w:style w:type="paragraph" w:styleId="Revision">
    <w:name w:val="Revision"/>
    <w:hidden/>
    <w:uiPriority w:val="99"/>
    <w:semiHidden/>
    <w:rsid w:val="006F54B9"/>
    <w:pPr>
      <w:spacing w:after="0" w:line="240" w:lineRule="auto"/>
    </w:pPr>
    <w:rPr>
      <w:rFonts w:ascii="Arial" w:hAnsi="Arial" w:cs="Arial"/>
      <w:sz w:val="21"/>
      <w:szCs w:val="20"/>
    </w:rPr>
  </w:style>
  <w:style w:type="character" w:customStyle="1" w:styleId="UnresolvedMention1">
    <w:name w:val="Unresolved Mention1"/>
    <w:basedOn w:val="DefaultParagraphFont"/>
    <w:uiPriority w:val="99"/>
    <w:semiHidden/>
    <w:unhideWhenUsed/>
    <w:rsid w:val="001A4550"/>
    <w:rPr>
      <w:color w:val="605E5C"/>
      <w:shd w:val="clear" w:color="auto" w:fill="E1DFDD"/>
    </w:rPr>
  </w:style>
  <w:style w:type="paragraph" w:customStyle="1" w:styleId="Default">
    <w:name w:val="Default"/>
    <w:basedOn w:val="Normal"/>
    <w:rsid w:val="00545A99"/>
    <w:pPr>
      <w:autoSpaceDE w:val="0"/>
      <w:autoSpaceDN w:val="0"/>
      <w:spacing w:before="0" w:after="0"/>
    </w:pPr>
    <w:rPr>
      <w:rFonts w:eastAsiaTheme="minorHAnsi"/>
      <w:color w:val="000000"/>
      <w:sz w:val="24"/>
      <w:szCs w:val="24"/>
      <w:lang w:eastAsia="en-US"/>
    </w:rPr>
  </w:style>
  <w:style w:type="paragraph" w:styleId="ListBullet">
    <w:name w:val="List Bullet"/>
    <w:basedOn w:val="Normal"/>
    <w:unhideWhenUsed/>
    <w:rsid w:val="00E550BD"/>
    <w:pPr>
      <w:numPr>
        <w:numId w:val="24"/>
      </w:numPr>
      <w:contextualSpacing/>
    </w:pPr>
  </w:style>
  <w:style w:type="paragraph" w:styleId="ListNumber">
    <w:name w:val="List Number"/>
    <w:basedOn w:val="Normal"/>
    <w:rsid w:val="00E550BD"/>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315841515">
      <w:bodyDiv w:val="1"/>
      <w:marLeft w:val="0"/>
      <w:marRight w:val="0"/>
      <w:marTop w:val="0"/>
      <w:marBottom w:val="0"/>
      <w:divBdr>
        <w:top w:val="none" w:sz="0" w:space="0" w:color="auto"/>
        <w:left w:val="none" w:sz="0" w:space="0" w:color="auto"/>
        <w:bottom w:val="none" w:sz="0" w:space="0" w:color="auto"/>
        <w:right w:val="none" w:sz="0" w:space="0" w:color="auto"/>
      </w:divBdr>
      <w:divsChild>
        <w:div w:id="594942544">
          <w:marLeft w:val="720"/>
          <w:marRight w:val="0"/>
          <w:marTop w:val="86"/>
          <w:marBottom w:val="0"/>
          <w:divBdr>
            <w:top w:val="none" w:sz="0" w:space="0" w:color="auto"/>
            <w:left w:val="none" w:sz="0" w:space="0" w:color="auto"/>
            <w:bottom w:val="none" w:sz="0" w:space="0" w:color="auto"/>
            <w:right w:val="none" w:sz="0" w:space="0" w:color="auto"/>
          </w:divBdr>
        </w:div>
        <w:div w:id="843595991">
          <w:marLeft w:val="720"/>
          <w:marRight w:val="0"/>
          <w:marTop w:val="86"/>
          <w:marBottom w:val="0"/>
          <w:divBdr>
            <w:top w:val="none" w:sz="0" w:space="0" w:color="auto"/>
            <w:left w:val="none" w:sz="0" w:space="0" w:color="auto"/>
            <w:bottom w:val="none" w:sz="0" w:space="0" w:color="auto"/>
            <w:right w:val="none" w:sz="0" w:space="0" w:color="auto"/>
          </w:divBdr>
        </w:div>
        <w:div w:id="1817334234">
          <w:marLeft w:val="720"/>
          <w:marRight w:val="0"/>
          <w:marTop w:val="86"/>
          <w:marBottom w:val="0"/>
          <w:divBdr>
            <w:top w:val="none" w:sz="0" w:space="0" w:color="auto"/>
            <w:left w:val="none" w:sz="0" w:space="0" w:color="auto"/>
            <w:bottom w:val="none" w:sz="0" w:space="0" w:color="auto"/>
            <w:right w:val="none" w:sz="0" w:space="0" w:color="auto"/>
          </w:divBdr>
        </w:div>
      </w:divsChild>
    </w:div>
    <w:div w:id="628633332">
      <w:bodyDiv w:val="1"/>
      <w:marLeft w:val="0"/>
      <w:marRight w:val="0"/>
      <w:marTop w:val="0"/>
      <w:marBottom w:val="0"/>
      <w:divBdr>
        <w:top w:val="none" w:sz="0" w:space="0" w:color="auto"/>
        <w:left w:val="none" w:sz="0" w:space="0" w:color="auto"/>
        <w:bottom w:val="none" w:sz="0" w:space="0" w:color="auto"/>
        <w:right w:val="none" w:sz="0" w:space="0" w:color="auto"/>
      </w:divBdr>
    </w:div>
    <w:div w:id="772477040">
      <w:bodyDiv w:val="1"/>
      <w:marLeft w:val="0"/>
      <w:marRight w:val="0"/>
      <w:marTop w:val="0"/>
      <w:marBottom w:val="0"/>
      <w:divBdr>
        <w:top w:val="none" w:sz="0" w:space="0" w:color="auto"/>
        <w:left w:val="none" w:sz="0" w:space="0" w:color="auto"/>
        <w:bottom w:val="none" w:sz="0" w:space="0" w:color="auto"/>
        <w:right w:val="none" w:sz="0" w:space="0" w:color="auto"/>
      </w:divBdr>
    </w:div>
    <w:div w:id="840245234">
      <w:bodyDiv w:val="1"/>
      <w:marLeft w:val="0"/>
      <w:marRight w:val="0"/>
      <w:marTop w:val="0"/>
      <w:marBottom w:val="0"/>
      <w:divBdr>
        <w:top w:val="none" w:sz="0" w:space="0" w:color="auto"/>
        <w:left w:val="none" w:sz="0" w:space="0" w:color="auto"/>
        <w:bottom w:val="none" w:sz="0" w:space="0" w:color="auto"/>
        <w:right w:val="none" w:sz="0" w:space="0" w:color="auto"/>
      </w:divBdr>
    </w:div>
    <w:div w:id="892735129">
      <w:bodyDiv w:val="1"/>
      <w:marLeft w:val="0"/>
      <w:marRight w:val="0"/>
      <w:marTop w:val="0"/>
      <w:marBottom w:val="0"/>
      <w:divBdr>
        <w:top w:val="none" w:sz="0" w:space="0" w:color="auto"/>
        <w:left w:val="none" w:sz="0" w:space="0" w:color="auto"/>
        <w:bottom w:val="none" w:sz="0" w:space="0" w:color="auto"/>
        <w:right w:val="none" w:sz="0" w:space="0" w:color="auto"/>
      </w:divBdr>
    </w:div>
    <w:div w:id="1341081606">
      <w:bodyDiv w:val="1"/>
      <w:marLeft w:val="0"/>
      <w:marRight w:val="0"/>
      <w:marTop w:val="0"/>
      <w:marBottom w:val="0"/>
      <w:divBdr>
        <w:top w:val="none" w:sz="0" w:space="0" w:color="auto"/>
        <w:left w:val="none" w:sz="0" w:space="0" w:color="auto"/>
        <w:bottom w:val="none" w:sz="0" w:space="0" w:color="auto"/>
        <w:right w:val="none" w:sz="0" w:space="0" w:color="auto"/>
      </w:divBdr>
    </w:div>
    <w:div w:id="1365785829">
      <w:bodyDiv w:val="1"/>
      <w:marLeft w:val="0"/>
      <w:marRight w:val="0"/>
      <w:marTop w:val="0"/>
      <w:marBottom w:val="0"/>
      <w:divBdr>
        <w:top w:val="none" w:sz="0" w:space="0" w:color="auto"/>
        <w:left w:val="none" w:sz="0" w:space="0" w:color="auto"/>
        <w:bottom w:val="none" w:sz="0" w:space="0" w:color="auto"/>
        <w:right w:val="none" w:sz="0" w:space="0" w:color="auto"/>
      </w:divBdr>
    </w:div>
    <w:div w:id="1378164105">
      <w:bodyDiv w:val="1"/>
      <w:marLeft w:val="0"/>
      <w:marRight w:val="0"/>
      <w:marTop w:val="0"/>
      <w:marBottom w:val="0"/>
      <w:divBdr>
        <w:top w:val="none" w:sz="0" w:space="0" w:color="auto"/>
        <w:left w:val="none" w:sz="0" w:space="0" w:color="auto"/>
        <w:bottom w:val="none" w:sz="0" w:space="0" w:color="auto"/>
        <w:right w:val="none" w:sz="0" w:space="0" w:color="auto"/>
      </w:divBdr>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uralhealthwest.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acgp.org.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wav.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plustas.com.au" TargetMode="External"/><Relationship Id="rId20" Type="http://schemas.openxmlformats.org/officeDocument/2006/relationships/hyperlink" Target="mailto:Medicare.prov@services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healthworkforce.com.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drap@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phn.org.au" TargetMode="External"/><Relationship Id="rId22" Type="http://schemas.openxmlformats.org/officeDocument/2006/relationships/hyperlink" Target="https://www.acrr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162204D1A39419392EBEBB166C86E" ma:contentTypeVersion="13" ma:contentTypeDescription="Create a new document." ma:contentTypeScope="" ma:versionID="9e826d456fac4a1ada1c7735a64b2c65">
  <xsd:schema xmlns:xsd="http://www.w3.org/2001/XMLSchema" xmlns:xs="http://www.w3.org/2001/XMLSchema" xmlns:p="http://schemas.microsoft.com/office/2006/metadata/properties" xmlns:ns2="b365c6b9-8a9b-48dd-97c8-13a97ebfc9b3" xmlns:ns3="be3e35ac-572c-4195-ae76-1be8596249cb" targetNamespace="http://schemas.microsoft.com/office/2006/metadata/properties" ma:root="true" ma:fieldsID="46ffb71f170a416622239cd770443310" ns2:_="" ns3:_="">
    <xsd:import namespace="b365c6b9-8a9b-48dd-97c8-13a97ebfc9b3"/>
    <xsd:import namespace="be3e35ac-572c-4195-ae76-1be8596249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c6b9-8a9b-48dd-97c8-13a97ebfc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3e35ac-572c-4195-ae76-1be8596249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E29B-B1EA-4E3D-89E6-91ECDBEE8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c6b9-8a9b-48dd-97c8-13a97ebfc9b3"/>
    <ds:schemaRef ds:uri="be3e35ac-572c-4195-ae76-1be859624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98C29-46B3-45C3-A15E-9E3DEC19350A}">
  <ds:schemaRefs>
    <ds:schemaRef ds:uri="http://schemas.microsoft.com/sharepoint/v3/contenttype/forms"/>
  </ds:schemaRefs>
</ds:datastoreItem>
</file>

<file path=customXml/itemProps3.xml><?xml version="1.0" encoding="utf-8"?>
<ds:datastoreItem xmlns:ds="http://schemas.openxmlformats.org/officeDocument/2006/customXml" ds:itemID="{C4632A77-40C2-4E9F-A088-8241B645566B}">
  <ds:schemaRefs>
    <ds:schemaRef ds:uri="http://schemas.openxmlformats.org/officeDocument/2006/bibliography"/>
  </ds:schemaRefs>
</ds:datastoreItem>
</file>

<file path=customXml/itemProps4.xml><?xml version="1.0" encoding="utf-8"?>
<ds:datastoreItem xmlns:ds="http://schemas.openxmlformats.org/officeDocument/2006/customXml" ds:itemID="{5F9C9DFA-051C-482F-9E56-C40E158518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4768</Words>
  <Characters>29761</Characters>
  <Application>Microsoft Office Word</Application>
  <DocSecurity>4</DocSecurity>
  <Lines>248</Lines>
  <Paragraphs>68</Paragraphs>
  <ScaleCrop>false</ScaleCrop>
  <HeadingPairs>
    <vt:vector size="2" baseType="variant">
      <vt:variant>
        <vt:lpstr>Title</vt:lpstr>
      </vt:variant>
      <vt:variant>
        <vt:i4>1</vt:i4>
      </vt:variant>
    </vt:vector>
  </HeadingPairs>
  <TitlesOfParts>
    <vt:vector size="1" baseType="lpstr">
      <vt:lpstr>MORE DOCTORS FOR RURAL AUSTRALIA PROGRAM (MDRAP) GUIDELINES</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Doctors for Rural Australia Program guidelines</dc:title>
  <dc:subject>Rural health</dc:subject>
  <dc:creator/>
  <cp:keywords>Rural health; DoctorConnect</cp:keywords>
  <dc:description/>
  <cp:lastModifiedBy/>
  <cp:revision>1</cp:revision>
  <dcterms:created xsi:type="dcterms:W3CDTF">2023-03-16T21:03:00Z</dcterms:created>
  <dcterms:modified xsi:type="dcterms:W3CDTF">2023-03-16T21:03:00Z</dcterms:modified>
</cp:coreProperties>
</file>