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925F" w14:textId="77777777" w:rsidR="00666D49" w:rsidRPr="005D2393" w:rsidRDefault="00666D49" w:rsidP="00AB2402">
      <w:pPr>
        <w:jc w:val="both"/>
        <w:sectPr w:rsidR="00666D49" w:rsidRPr="005D2393" w:rsidSect="0011271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r w:rsidRPr="005D2393">
        <w:rPr>
          <w:noProof/>
        </w:rPr>
        <mc:AlternateContent>
          <mc:Choice Requires="wpg">
            <w:drawing>
              <wp:anchor distT="0" distB="0" distL="114300" distR="114300" simplePos="0" relativeHeight="251658240" behindDoc="0" locked="0" layoutInCell="1" allowOverlap="1" wp14:anchorId="17892E8B" wp14:editId="6A6405E0">
                <wp:simplePos x="0" y="0"/>
                <wp:positionH relativeFrom="page">
                  <wp:posOffset>9525</wp:posOffset>
                </wp:positionH>
                <wp:positionV relativeFrom="paragraph">
                  <wp:posOffset>1326515</wp:posOffset>
                </wp:positionV>
                <wp:extent cx="7553325" cy="3157870"/>
                <wp:effectExtent l="0" t="0" r="9525" b="4445"/>
                <wp:wrapNone/>
                <wp:docPr id="2" name="Group 1">
                  <a:extLst xmlns:a="http://schemas.openxmlformats.org/drawingml/2006/main">
                    <a:ext uri="{FF2B5EF4-FFF2-40B4-BE49-F238E27FC236}">
                      <a16:creationId xmlns:a16="http://schemas.microsoft.com/office/drawing/2014/main" id="{103E6CF6-8D3D-4BB2-B402-FC657119DB9F}"/>
                    </a:ext>
                  </a:extLst>
                </wp:docPr>
                <wp:cNvGraphicFramePr/>
                <a:graphic xmlns:a="http://schemas.openxmlformats.org/drawingml/2006/main">
                  <a:graphicData uri="http://schemas.microsoft.com/office/word/2010/wordprocessingGroup">
                    <wpg:wgp>
                      <wpg:cNvGrpSpPr/>
                      <wpg:grpSpPr>
                        <a:xfrm>
                          <a:off x="0" y="0"/>
                          <a:ext cx="7553325" cy="3157870"/>
                          <a:chOff x="0" y="0"/>
                          <a:chExt cx="7116841" cy="3157870"/>
                        </a:xfrm>
                      </wpg:grpSpPr>
                      <wps:wsp>
                        <wps:cNvPr id="3" name="Rectangle 3">
                          <a:extLst>
                            <a:ext uri="{FF2B5EF4-FFF2-40B4-BE49-F238E27FC236}">
                              <a16:creationId xmlns:a16="http://schemas.microsoft.com/office/drawing/2014/main" id="{569C0709-3642-4198-B63D-E466642DD1DE}"/>
                            </a:ext>
                          </a:extLst>
                        </wps:cNvPr>
                        <wps:cNvSpPr/>
                        <wps:spPr>
                          <a:xfrm>
                            <a:off x="0" y="88926"/>
                            <a:ext cx="6858000" cy="3068944"/>
                          </a:xfrm>
                          <a:prstGeom prst="rect">
                            <a:avLst/>
                          </a:prstGeom>
                          <a:gradFill>
                            <a:gsLst>
                              <a:gs pos="20000">
                                <a:srgbClr val="D6DBE2"/>
                              </a:gs>
                              <a:gs pos="6000">
                                <a:srgbClr val="BAC4D1"/>
                              </a:gs>
                              <a:gs pos="0">
                                <a:schemeClr val="tx2">
                                  <a:lumMod val="40000"/>
                                  <a:lumOff val="60000"/>
                                </a:schemeClr>
                              </a:gs>
                              <a:gs pos="100000">
                                <a:srgbClr val="F1F2F2">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 name="Group 4">
                          <a:extLst>
                            <a:ext uri="{FF2B5EF4-FFF2-40B4-BE49-F238E27FC236}">
                              <a16:creationId xmlns:a16="http://schemas.microsoft.com/office/drawing/2014/main" id="{C25B9496-17B0-4FB2-8168-CF6E3D937B73}"/>
                            </a:ext>
                          </a:extLst>
                        </wpg:cNvPr>
                        <wpg:cNvGrpSpPr/>
                        <wpg:grpSpPr>
                          <a:xfrm>
                            <a:off x="3510" y="2958657"/>
                            <a:ext cx="7095382" cy="193482"/>
                            <a:chOff x="3510" y="2958657"/>
                            <a:chExt cx="7095382" cy="193482"/>
                          </a:xfrm>
                        </wpg:grpSpPr>
                        <wps:wsp>
                          <wps:cNvPr id="9" name="Rectangle 9">
                            <a:extLst>
                              <a:ext uri="{FF2B5EF4-FFF2-40B4-BE49-F238E27FC236}">
                                <a16:creationId xmlns:a16="http://schemas.microsoft.com/office/drawing/2014/main" id="{BE49EDDD-5743-41CC-AD68-23F7A44AC9CE}"/>
                              </a:ext>
                            </a:extLst>
                          </wps:cNvPr>
                          <wps:cNvSpPr/>
                          <wps:spPr>
                            <a:xfrm>
                              <a:off x="3510" y="2958657"/>
                              <a:ext cx="7095382" cy="193482"/>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 name="Picture 10">
                              <a:extLst>
                                <a:ext uri="{FF2B5EF4-FFF2-40B4-BE49-F238E27FC236}">
                                  <a16:creationId xmlns:a16="http://schemas.microsoft.com/office/drawing/2014/main" id="{7967C53B-EAD4-4F2C-83BB-EA890ADD93AC}"/>
                                </a:ext>
                              </a:extLst>
                            </pic:cNvPr>
                            <pic:cNvPicPr>
                              <a:picLocks noChangeAspect="1"/>
                            </pic:cNvPicPr>
                          </pic:nvPicPr>
                          <pic:blipFill rotWithShape="1">
                            <a:blip r:embed="rId14"/>
                            <a:srcRect l="60" t="6303" r="315" b="5131"/>
                            <a:stretch/>
                          </pic:blipFill>
                          <pic:spPr>
                            <a:xfrm>
                              <a:off x="567770" y="2959042"/>
                              <a:ext cx="4646022" cy="180000"/>
                            </a:xfrm>
                            <a:prstGeom prst="rect">
                              <a:avLst/>
                            </a:prstGeom>
                          </pic:spPr>
                        </pic:pic>
                      </wpg:grpSp>
                      <wps:wsp>
                        <wps:cNvPr id="5" name="TextBox 10">
                          <a:extLst>
                            <a:ext uri="{FF2B5EF4-FFF2-40B4-BE49-F238E27FC236}">
                              <a16:creationId xmlns:a16="http://schemas.microsoft.com/office/drawing/2014/main" id="{842C6A49-BE50-4FE6-8EB7-5AF0E2C3BD9A}"/>
                            </a:ext>
                          </a:extLst>
                        </wps:cNvPr>
                        <wps:cNvSpPr txBox="1"/>
                        <wps:spPr>
                          <a:xfrm>
                            <a:off x="1680983" y="0"/>
                            <a:ext cx="0" cy="0"/>
                          </a:xfrm>
                          <a:prstGeom prst="rect">
                            <a:avLst/>
                          </a:prstGeom>
                        </wps:spPr>
                        <wps:bodyPr wrap="none" lIns="22860" tIns="22860" rIns="22860" bIns="22860" rtlCol="0" anchor="ctr">
                          <a:noAutofit/>
                        </wps:bodyPr>
                      </wps:wsp>
                      <wps:wsp>
                        <wps:cNvPr id="6" name="TextBox 11">
                          <a:extLst>
                            <a:ext uri="{FF2B5EF4-FFF2-40B4-BE49-F238E27FC236}">
                              <a16:creationId xmlns:a16="http://schemas.microsoft.com/office/drawing/2014/main" id="{C460DCC7-B000-47C3-B7F9-04C09416EC33}"/>
                            </a:ext>
                          </a:extLst>
                        </wps:cNvPr>
                        <wps:cNvSpPr txBox="1"/>
                        <wps:spPr>
                          <a:xfrm>
                            <a:off x="495872" y="1435109"/>
                            <a:ext cx="0" cy="0"/>
                          </a:xfrm>
                          <a:prstGeom prst="rect">
                            <a:avLst/>
                          </a:prstGeom>
                        </wps:spPr>
                        <wps:bodyPr wrap="none" lIns="22860" tIns="22860" rIns="22860" bIns="22860" rtlCol="0" anchor="ctr">
                          <a:noAutofit/>
                        </wps:bodyPr>
                      </wps:wsp>
                      <wps:wsp>
                        <wps:cNvPr id="7" name="TextBox 12">
                          <a:extLst>
                            <a:ext uri="{FF2B5EF4-FFF2-40B4-BE49-F238E27FC236}">
                              <a16:creationId xmlns:a16="http://schemas.microsoft.com/office/drawing/2014/main" id="{B32BCA09-BF62-4930-96D7-4B3E9755EB1C}"/>
                            </a:ext>
                          </a:extLst>
                        </wps:cNvPr>
                        <wps:cNvSpPr txBox="1"/>
                        <wps:spPr>
                          <a:xfrm>
                            <a:off x="259476" y="219313"/>
                            <a:ext cx="6857365" cy="1263650"/>
                          </a:xfrm>
                          <a:prstGeom prst="rect">
                            <a:avLst/>
                          </a:prstGeom>
                          <a:noFill/>
                        </wps:spPr>
                        <wps:txbx>
                          <w:txbxContent>
                            <w:p w14:paraId="3FA360D7" w14:textId="77777777" w:rsidR="00666D49" w:rsidRDefault="00666D49" w:rsidP="00AB2402">
                              <w:pPr>
                                <w:jc w:val="both"/>
                                <w:rPr>
                                  <w:rFonts w:hAnsi="Calibri" w:cstheme="minorBidi"/>
                                  <w:color w:val="000000" w:themeColor="text1"/>
                                  <w:kern w:val="24"/>
                                  <w:sz w:val="64"/>
                                  <w:szCs w:val="64"/>
                                  <w:lang w:val="en-US"/>
                                </w:rPr>
                              </w:pPr>
                              <w:r>
                                <w:rPr>
                                  <w:rFonts w:hAnsi="Calibri" w:cstheme="minorBidi"/>
                                  <w:color w:val="000000" w:themeColor="text1"/>
                                  <w:kern w:val="24"/>
                                  <w:sz w:val="64"/>
                                  <w:szCs w:val="64"/>
                                  <w:lang w:val="en-US"/>
                                </w:rPr>
                                <w:t>Health Technology Assessment Policy and Methods Review</w:t>
                              </w:r>
                            </w:p>
                          </w:txbxContent>
                        </wps:txbx>
                        <wps:bodyPr wrap="square" lIns="0" rtlCol="0">
                          <a:noAutofit/>
                        </wps:bodyPr>
                      </wps:wsp>
                      <wps:wsp>
                        <wps:cNvPr id="8" name="TextBox 13">
                          <a:extLst>
                            <a:ext uri="{FF2B5EF4-FFF2-40B4-BE49-F238E27FC236}">
                              <a16:creationId xmlns:a16="http://schemas.microsoft.com/office/drawing/2014/main" id="{B2DD2FE7-8DA5-4A57-9E20-EF7A79616B73}"/>
                            </a:ext>
                          </a:extLst>
                        </wps:cNvPr>
                        <wps:cNvSpPr txBox="1"/>
                        <wps:spPr>
                          <a:xfrm>
                            <a:off x="198191" y="1317960"/>
                            <a:ext cx="6609935" cy="1627266"/>
                          </a:xfrm>
                          <a:prstGeom prst="rect">
                            <a:avLst/>
                          </a:prstGeom>
                          <a:noFill/>
                        </wps:spPr>
                        <wps:txbx>
                          <w:txbxContent>
                            <w:p w14:paraId="256F59DF" w14:textId="65342E9B" w:rsidR="003714B5" w:rsidRDefault="0080450F" w:rsidP="003714B5">
                              <w:pPr>
                                <w:jc w:val="both"/>
                                <w:rPr>
                                  <w:rFonts w:hAnsi="Calibri" w:cstheme="minorBidi"/>
                                  <w:color w:val="008A96"/>
                                  <w:kern w:val="24"/>
                                  <w:sz w:val="40"/>
                                  <w:szCs w:val="40"/>
                                  <w:lang w:val="en-US"/>
                                </w:rPr>
                              </w:pPr>
                              <w:r>
                                <w:rPr>
                                  <w:rFonts w:hAnsi="Calibri" w:cstheme="minorBidi"/>
                                  <w:color w:val="008A96"/>
                                  <w:kern w:val="24"/>
                                  <w:sz w:val="40"/>
                                  <w:szCs w:val="40"/>
                                  <w:lang w:val="en-US"/>
                                </w:rPr>
                                <w:t>T</w:t>
                              </w:r>
                              <w:r w:rsidR="003714B5" w:rsidRPr="004E3AD0">
                                <w:rPr>
                                  <w:rFonts w:hAnsi="Calibri" w:cstheme="minorBidi"/>
                                  <w:color w:val="008A96"/>
                                  <w:kern w:val="24"/>
                                  <w:sz w:val="40"/>
                                  <w:szCs w:val="40"/>
                                  <w:lang w:val="en-US"/>
                                </w:rPr>
                                <w:t xml:space="preserve">erms of </w:t>
                              </w:r>
                              <w:r>
                                <w:rPr>
                                  <w:rFonts w:hAnsi="Calibri" w:cstheme="minorBidi"/>
                                  <w:color w:val="008A96"/>
                                  <w:kern w:val="24"/>
                                  <w:sz w:val="40"/>
                                  <w:szCs w:val="40"/>
                                  <w:lang w:val="en-US"/>
                                </w:rPr>
                                <w:t>R</w:t>
                              </w:r>
                              <w:r w:rsidR="003714B5" w:rsidRPr="004E3AD0">
                                <w:rPr>
                                  <w:rFonts w:hAnsi="Calibri" w:cstheme="minorBidi"/>
                                  <w:color w:val="008A96"/>
                                  <w:kern w:val="24"/>
                                  <w:sz w:val="40"/>
                                  <w:szCs w:val="40"/>
                                  <w:lang w:val="en-US"/>
                                </w:rPr>
                                <w:t xml:space="preserve">eference </w:t>
                              </w:r>
                            </w:p>
                            <w:p w14:paraId="5E53F892" w14:textId="1AB824FA" w:rsidR="00666D49" w:rsidRDefault="00666D49" w:rsidP="003714B5">
                              <w:pPr>
                                <w:jc w:val="both"/>
                                <w:rPr>
                                  <w:rFonts w:hAnsi="Calibri" w:cstheme="minorBidi"/>
                                  <w:color w:val="008A96"/>
                                  <w:kern w:val="24"/>
                                  <w:sz w:val="40"/>
                                  <w:szCs w:val="40"/>
                                  <w:lang w:val="en-US"/>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7892E8B" id="Group 1" o:spid="_x0000_s1026" style="position:absolute;left:0;text-align:left;margin-left:.75pt;margin-top:104.45pt;width:594.75pt;height:248.65pt;z-index:251658240;mso-position-horizontal-relative:page;mso-width-relative:margin;mso-height-relative:margin" coordsize="71168,31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">
                <v:rect id="Rectangle 3" o:spid="_x0000_s1027" style="position:absolute;top:889;width:68580;height:30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" fillcolor="#9fc0d5 [1311]" stroked="f" strokeweight="1pt">
                  <v:fill opacity="0" color2="#f1f2f2" angle="90" colors="0 #a0c1d5;3932f #bac4d1;13107f #d6dbe2;1 #f1f2f2" focus="100%" type="gradient">
                    <o:fill v:ext="view" type="gradientUnscaled"/>
                  </v:fill>
                </v:rect>
                <v:group id="Group 4" o:spid="_x0000_s1028" style="position:absolute;left:35;top:29586;width:70953;height:1935" coordorigin="35,29586" coordsize="70953,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9" o:spid="_x0000_s1029" style="position:absolute;left:35;top:29586;width:70953;height:1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" fillcolor="#008a96"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5677;top:29590;width:4646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">
                    <v:imagedata r:id="rId15" o:title="" croptop="4131f" cropbottom="3363f" cropleft="39f" cropright="206f"/>
                  </v:shape>
                </v:group>
                <v:shapetype id="_x0000_t202" coordsize="21600,21600" o:spt="202" path="m,l,21600r21600,l21600,xe">
                  <v:stroke joinstyle="miter"/>
                  <v:path gradientshapeok="t" o:connecttype="rect"/>
                </v:shapetype>
                <v:shape id="TextBox 10" o:spid="_x0000_s1031" type="#_x0000_t202" style="position:absolute;left:16809;width:0;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" filled="f" stroked="f">
                  <v:textbox inset="1.8pt,1.8pt,1.8pt,1.8pt"/>
                </v:shape>
                <v:shape id="TextBox 11" o:spid="_x0000_s1032" type="#_x0000_t202" style="position:absolute;left:4958;top:14351;width:0;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" filled="f" stroked="f">
                  <v:textbox inset="1.8pt,1.8pt,1.8pt,1.8pt"/>
                </v:shape>
                <v:shape id="TextBox 12" o:spid="_x0000_s1033" type="#_x0000_t202" style="position:absolute;left:2594;top:2193;width:68574;height:1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" filled="f" stroked="f">
                  <v:textbox inset="0">
                    <w:txbxContent>
                      <w:p w14:paraId="3FA360D7" w14:textId="77777777" w:rsidR="00666D49" w:rsidRDefault="00666D49" w:rsidP="00AB2402">
                        <w:pPr>
                          <w:jc w:val="both"/>
                          <w:rPr>
                            <w:rFonts w:hAnsi="Calibri" w:cstheme="minorBidi"/>
                            <w:color w:val="000000" w:themeColor="text1"/>
                            <w:kern w:val="24"/>
                            <w:sz w:val="64"/>
                            <w:szCs w:val="64"/>
                            <w:lang w:val="en-US"/>
                          </w:rPr>
                        </w:pPr>
                        <w:r>
                          <w:rPr>
                            <w:rFonts w:hAnsi="Calibri" w:cstheme="minorBidi"/>
                            <w:color w:val="000000" w:themeColor="text1"/>
                            <w:kern w:val="24"/>
                            <w:sz w:val="64"/>
                            <w:szCs w:val="64"/>
                            <w:lang w:val="en-US"/>
                          </w:rPr>
                          <w:t>Health Technology Assessment Policy and Methods Review</w:t>
                        </w:r>
                      </w:p>
                    </w:txbxContent>
                  </v:textbox>
                </v:shape>
                <v:shape id="TextBox 13" o:spid="_x0000_s1034" type="#_x0000_t202" style="position:absolute;left:1981;top:13179;width:66100;height:1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56F59DF" w14:textId="65342E9B" w:rsidR="003714B5" w:rsidRDefault="0080450F" w:rsidP="003714B5">
                        <w:pPr>
                          <w:jc w:val="both"/>
                          <w:rPr>
                            <w:rFonts w:hAnsi="Calibri" w:cstheme="minorBidi"/>
                            <w:color w:val="008A96"/>
                            <w:kern w:val="24"/>
                            <w:sz w:val="40"/>
                            <w:szCs w:val="40"/>
                            <w:lang w:val="en-US"/>
                          </w:rPr>
                        </w:pPr>
                        <w:r>
                          <w:rPr>
                            <w:rFonts w:hAnsi="Calibri" w:cstheme="minorBidi"/>
                            <w:color w:val="008A96"/>
                            <w:kern w:val="24"/>
                            <w:sz w:val="40"/>
                            <w:szCs w:val="40"/>
                            <w:lang w:val="en-US"/>
                          </w:rPr>
                          <w:t>T</w:t>
                        </w:r>
                        <w:r w:rsidR="003714B5" w:rsidRPr="004E3AD0">
                          <w:rPr>
                            <w:rFonts w:hAnsi="Calibri" w:cstheme="minorBidi"/>
                            <w:color w:val="008A96"/>
                            <w:kern w:val="24"/>
                            <w:sz w:val="40"/>
                            <w:szCs w:val="40"/>
                            <w:lang w:val="en-US"/>
                          </w:rPr>
                          <w:t xml:space="preserve">erms of </w:t>
                        </w:r>
                        <w:r>
                          <w:rPr>
                            <w:rFonts w:hAnsi="Calibri" w:cstheme="minorBidi"/>
                            <w:color w:val="008A96"/>
                            <w:kern w:val="24"/>
                            <w:sz w:val="40"/>
                            <w:szCs w:val="40"/>
                            <w:lang w:val="en-US"/>
                          </w:rPr>
                          <w:t>R</w:t>
                        </w:r>
                        <w:r w:rsidR="003714B5" w:rsidRPr="004E3AD0">
                          <w:rPr>
                            <w:rFonts w:hAnsi="Calibri" w:cstheme="minorBidi"/>
                            <w:color w:val="008A96"/>
                            <w:kern w:val="24"/>
                            <w:sz w:val="40"/>
                            <w:szCs w:val="40"/>
                            <w:lang w:val="en-US"/>
                          </w:rPr>
                          <w:t xml:space="preserve">eference </w:t>
                        </w:r>
                      </w:p>
                      <w:p w14:paraId="5E53F892" w14:textId="1AB824FA" w:rsidR="00666D49" w:rsidRDefault="00666D49" w:rsidP="003714B5">
                        <w:pPr>
                          <w:jc w:val="both"/>
                          <w:rPr>
                            <w:rFonts w:hAnsi="Calibri" w:cstheme="minorBidi"/>
                            <w:color w:val="008A96"/>
                            <w:kern w:val="24"/>
                            <w:sz w:val="40"/>
                            <w:szCs w:val="40"/>
                            <w:lang w:val="en-US"/>
                          </w:rPr>
                        </w:pPr>
                      </w:p>
                    </w:txbxContent>
                  </v:textbox>
                </v:shape>
                <w10:wrap anchorx="page"/>
              </v:group>
            </w:pict>
          </mc:Fallback>
        </mc:AlternateContent>
      </w:r>
    </w:p>
    <w:p w14:paraId="3F6ABA6D" w14:textId="1A3847B3" w:rsidR="00897D0A" w:rsidRDefault="00897D0A" w:rsidP="00AB2402">
      <w:pPr>
        <w:pStyle w:val="TOC1"/>
        <w:jc w:val="both"/>
        <w:rPr>
          <w:rFonts w:eastAsiaTheme="minorEastAsia" w:cstheme="minorBidi"/>
          <w:b w:val="0"/>
          <w:bCs w:val="0"/>
          <w:sz w:val="22"/>
          <w:lang w:eastAsia="ja-JP"/>
        </w:rPr>
      </w:pPr>
      <w:r w:rsidRPr="00DF5FA6">
        <w:lastRenderedPageBreak/>
        <w:t>1.</w:t>
      </w:r>
      <w:r>
        <w:rPr>
          <w:rFonts w:eastAsiaTheme="minorEastAsia" w:cstheme="minorBidi"/>
          <w:b w:val="0"/>
          <w:bCs w:val="0"/>
          <w:sz w:val="22"/>
          <w:lang w:eastAsia="ja-JP"/>
        </w:rPr>
        <w:tab/>
      </w:r>
      <w:r w:rsidRPr="00DF5FA6">
        <w:t>Health Technology Assessment (HTA) Policy and Methods Review</w:t>
      </w:r>
      <w:r>
        <w:rPr>
          <w:webHidden/>
        </w:rPr>
        <w:tab/>
        <w:t>3</w:t>
      </w:r>
    </w:p>
    <w:p w14:paraId="7C7EB0B9" w14:textId="33E4F4C8"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1.1</w:t>
      </w:r>
      <w:r>
        <w:rPr>
          <w:rFonts w:eastAsiaTheme="minorEastAsia" w:cstheme="minorBidi"/>
          <w:noProof/>
          <w:sz w:val="22"/>
          <w:lang w:eastAsia="ja-JP"/>
        </w:rPr>
        <w:tab/>
      </w:r>
      <w:r w:rsidRPr="00DF5FA6">
        <w:rPr>
          <w:noProof/>
        </w:rPr>
        <w:t>A commitment under the Strategic Agreement</w:t>
      </w:r>
      <w:r>
        <w:rPr>
          <w:noProof/>
          <w:webHidden/>
        </w:rPr>
        <w:tab/>
        <w:t>3</w:t>
      </w:r>
    </w:p>
    <w:p w14:paraId="234EB433" w14:textId="2EF3D624"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1.2</w:t>
      </w:r>
      <w:r>
        <w:rPr>
          <w:rFonts w:eastAsiaTheme="minorEastAsia" w:cstheme="minorBidi"/>
          <w:noProof/>
          <w:sz w:val="22"/>
          <w:lang w:eastAsia="ja-JP"/>
        </w:rPr>
        <w:tab/>
      </w:r>
      <w:r w:rsidRPr="00DF5FA6">
        <w:rPr>
          <w:noProof/>
        </w:rPr>
        <w:t>HTA Review process</w:t>
      </w:r>
      <w:r>
        <w:rPr>
          <w:noProof/>
          <w:webHidden/>
        </w:rPr>
        <w:tab/>
        <w:t>3</w:t>
      </w:r>
    </w:p>
    <w:p w14:paraId="1D63E045" w14:textId="200CA3F8" w:rsidR="00897D0A" w:rsidRDefault="00897D0A" w:rsidP="00AB2402">
      <w:pPr>
        <w:pStyle w:val="TOC1"/>
        <w:jc w:val="both"/>
        <w:rPr>
          <w:rFonts w:eastAsiaTheme="minorEastAsia" w:cstheme="minorBidi"/>
          <w:b w:val="0"/>
          <w:bCs w:val="0"/>
          <w:sz w:val="22"/>
          <w:lang w:eastAsia="ja-JP"/>
        </w:rPr>
      </w:pPr>
      <w:r w:rsidRPr="00DF5FA6">
        <w:t>2.</w:t>
      </w:r>
      <w:r>
        <w:rPr>
          <w:rFonts w:eastAsiaTheme="minorEastAsia" w:cstheme="minorBidi"/>
          <w:b w:val="0"/>
          <w:bCs w:val="0"/>
          <w:sz w:val="22"/>
          <w:lang w:eastAsia="ja-JP"/>
        </w:rPr>
        <w:tab/>
      </w:r>
      <w:r w:rsidRPr="00DF5FA6">
        <w:t>Context</w:t>
      </w:r>
      <w:r>
        <w:rPr>
          <w:webHidden/>
        </w:rPr>
        <w:tab/>
        <w:t>4</w:t>
      </w:r>
    </w:p>
    <w:p w14:paraId="1B9F8572" w14:textId="3144A972"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2.1</w:t>
      </w:r>
      <w:r>
        <w:rPr>
          <w:rFonts w:eastAsiaTheme="minorEastAsia" w:cstheme="minorBidi"/>
          <w:noProof/>
          <w:sz w:val="22"/>
          <w:lang w:eastAsia="ja-JP"/>
        </w:rPr>
        <w:tab/>
      </w:r>
      <w:r w:rsidRPr="00DF5FA6">
        <w:rPr>
          <w:noProof/>
        </w:rPr>
        <w:t>Australia’s National Medicines Policy</w:t>
      </w:r>
      <w:r>
        <w:rPr>
          <w:noProof/>
          <w:webHidden/>
        </w:rPr>
        <w:tab/>
        <w:t>4</w:t>
      </w:r>
    </w:p>
    <w:p w14:paraId="51CF19BD" w14:textId="72F5D0DF"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2.2</w:t>
      </w:r>
      <w:r>
        <w:rPr>
          <w:rFonts w:eastAsiaTheme="minorEastAsia" w:cstheme="minorBidi"/>
          <w:noProof/>
          <w:sz w:val="22"/>
          <w:lang w:eastAsia="ja-JP"/>
        </w:rPr>
        <w:tab/>
      </w:r>
      <w:r w:rsidRPr="00DF5FA6">
        <w:rPr>
          <w:noProof/>
        </w:rPr>
        <w:t>HTA in Australia</w:t>
      </w:r>
      <w:r>
        <w:rPr>
          <w:noProof/>
          <w:webHidden/>
        </w:rPr>
        <w:tab/>
        <w:t>4</w:t>
      </w:r>
    </w:p>
    <w:p w14:paraId="111B51C3" w14:textId="34BF38BC"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rFonts w:cs="Arial"/>
          <w:noProof/>
        </w:rPr>
        <w:t>2.3</w:t>
      </w:r>
      <w:r>
        <w:rPr>
          <w:rFonts w:eastAsiaTheme="minorEastAsia" w:cstheme="minorBidi"/>
          <w:noProof/>
          <w:sz w:val="22"/>
          <w:lang w:eastAsia="ja-JP"/>
        </w:rPr>
        <w:tab/>
      </w:r>
      <w:r w:rsidRPr="00DF5FA6">
        <w:rPr>
          <w:noProof/>
        </w:rPr>
        <w:t>How the HTA Review fits with recent medicine reform processes</w:t>
      </w:r>
      <w:r>
        <w:rPr>
          <w:noProof/>
          <w:webHidden/>
        </w:rPr>
        <w:tab/>
        <w:t>5</w:t>
      </w:r>
    </w:p>
    <w:p w14:paraId="601C611B" w14:textId="2CAF8086" w:rsidR="00897D0A" w:rsidRDefault="00897D0A" w:rsidP="00AB2402">
      <w:pPr>
        <w:pStyle w:val="TOC1"/>
        <w:jc w:val="both"/>
        <w:rPr>
          <w:rFonts w:eastAsiaTheme="minorEastAsia" w:cstheme="minorBidi"/>
          <w:b w:val="0"/>
          <w:bCs w:val="0"/>
          <w:sz w:val="22"/>
          <w:lang w:eastAsia="ja-JP"/>
        </w:rPr>
      </w:pPr>
      <w:r w:rsidRPr="00DF5FA6">
        <w:t>3.</w:t>
      </w:r>
      <w:r>
        <w:rPr>
          <w:rFonts w:eastAsiaTheme="minorEastAsia" w:cstheme="minorBidi"/>
          <w:b w:val="0"/>
          <w:bCs w:val="0"/>
          <w:sz w:val="22"/>
          <w:lang w:eastAsia="ja-JP"/>
        </w:rPr>
        <w:tab/>
      </w:r>
      <w:r w:rsidRPr="00DF5FA6">
        <w:t>HTA Review objectives</w:t>
      </w:r>
      <w:r>
        <w:rPr>
          <w:webHidden/>
        </w:rPr>
        <w:tab/>
        <w:t>6</w:t>
      </w:r>
    </w:p>
    <w:p w14:paraId="3BC63CA6" w14:textId="525AC66D" w:rsidR="00897D0A" w:rsidRDefault="00897D0A" w:rsidP="00AB2402">
      <w:pPr>
        <w:pStyle w:val="TOC1"/>
        <w:jc w:val="both"/>
        <w:rPr>
          <w:rFonts w:eastAsiaTheme="minorEastAsia" w:cstheme="minorBidi"/>
          <w:b w:val="0"/>
          <w:bCs w:val="0"/>
          <w:sz w:val="22"/>
          <w:lang w:eastAsia="ja-JP"/>
        </w:rPr>
      </w:pPr>
      <w:r w:rsidRPr="00DF5FA6">
        <w:t>4.</w:t>
      </w:r>
      <w:r>
        <w:rPr>
          <w:rFonts w:eastAsiaTheme="minorEastAsia" w:cstheme="minorBidi"/>
          <w:b w:val="0"/>
          <w:bCs w:val="0"/>
          <w:sz w:val="22"/>
          <w:lang w:eastAsia="ja-JP"/>
        </w:rPr>
        <w:tab/>
      </w:r>
      <w:r w:rsidRPr="00DF5FA6">
        <w:t>HTA Review Terms of Reference</w:t>
      </w:r>
      <w:r>
        <w:rPr>
          <w:webHidden/>
        </w:rPr>
        <w:tab/>
        <w:t>7</w:t>
      </w:r>
    </w:p>
    <w:p w14:paraId="3F117F1A" w14:textId="7522CAA6"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4.1</w:t>
      </w:r>
      <w:r>
        <w:rPr>
          <w:rFonts w:eastAsiaTheme="minorEastAsia" w:cstheme="minorBidi"/>
          <w:noProof/>
          <w:sz w:val="22"/>
          <w:lang w:eastAsia="ja-JP"/>
        </w:rPr>
        <w:tab/>
      </w:r>
      <w:r w:rsidRPr="00DF5FA6">
        <w:rPr>
          <w:noProof/>
        </w:rPr>
        <w:t>Health Technologies</w:t>
      </w:r>
      <w:r>
        <w:rPr>
          <w:noProof/>
          <w:webHidden/>
        </w:rPr>
        <w:tab/>
        <w:t>7</w:t>
      </w:r>
    </w:p>
    <w:p w14:paraId="1D45D746" w14:textId="76791A9F"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4.2</w:t>
      </w:r>
      <w:r>
        <w:rPr>
          <w:rFonts w:eastAsiaTheme="minorEastAsia" w:cstheme="minorBidi"/>
          <w:noProof/>
          <w:sz w:val="22"/>
          <w:lang w:eastAsia="ja-JP"/>
        </w:rPr>
        <w:tab/>
      </w:r>
      <w:r w:rsidRPr="00DF5FA6">
        <w:rPr>
          <w:noProof/>
        </w:rPr>
        <w:t>Policies and methods</w:t>
      </w:r>
      <w:r>
        <w:rPr>
          <w:noProof/>
          <w:webHidden/>
        </w:rPr>
        <w:tab/>
        <w:t>7</w:t>
      </w:r>
    </w:p>
    <w:p w14:paraId="1B604F34" w14:textId="37331442"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4.3</w:t>
      </w:r>
      <w:r>
        <w:rPr>
          <w:rFonts w:eastAsiaTheme="minorEastAsia" w:cstheme="minorBidi"/>
          <w:noProof/>
          <w:sz w:val="22"/>
          <w:lang w:eastAsia="ja-JP"/>
        </w:rPr>
        <w:tab/>
      </w:r>
      <w:r w:rsidRPr="00DF5FA6">
        <w:rPr>
          <w:noProof/>
        </w:rPr>
        <w:t>Funding and approval pathways</w:t>
      </w:r>
      <w:r>
        <w:rPr>
          <w:noProof/>
          <w:webHidden/>
        </w:rPr>
        <w:tab/>
      </w:r>
      <w:r w:rsidR="008830BA">
        <w:rPr>
          <w:noProof/>
          <w:webHidden/>
        </w:rPr>
        <w:t>8</w:t>
      </w:r>
    </w:p>
    <w:p w14:paraId="58CB4F43" w14:textId="0CD63AD3" w:rsidR="00897D0A" w:rsidRDefault="00897D0A" w:rsidP="00AB2402">
      <w:pPr>
        <w:pStyle w:val="TOC1"/>
        <w:jc w:val="both"/>
        <w:rPr>
          <w:rFonts w:eastAsiaTheme="minorEastAsia" w:cstheme="minorBidi"/>
          <w:b w:val="0"/>
          <w:bCs w:val="0"/>
          <w:sz w:val="22"/>
          <w:lang w:eastAsia="ja-JP"/>
        </w:rPr>
      </w:pPr>
      <w:r w:rsidRPr="00DF5FA6">
        <w:t>5.</w:t>
      </w:r>
      <w:r>
        <w:rPr>
          <w:rFonts w:eastAsiaTheme="minorEastAsia" w:cstheme="minorBidi"/>
          <w:b w:val="0"/>
          <w:bCs w:val="0"/>
          <w:sz w:val="22"/>
          <w:lang w:eastAsia="ja-JP"/>
        </w:rPr>
        <w:tab/>
      </w:r>
      <w:r w:rsidRPr="00DF5FA6">
        <w:t>Concurrent HTA reform processes</w:t>
      </w:r>
      <w:r>
        <w:rPr>
          <w:webHidden/>
        </w:rPr>
        <w:tab/>
      </w:r>
      <w:r w:rsidR="008830BA">
        <w:rPr>
          <w:webHidden/>
        </w:rPr>
        <w:t>9</w:t>
      </w:r>
    </w:p>
    <w:p w14:paraId="0AACA139" w14:textId="0C27ABDD"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5.1</w:t>
      </w:r>
      <w:r>
        <w:rPr>
          <w:rFonts w:eastAsiaTheme="minorEastAsia" w:cstheme="minorBidi"/>
          <w:noProof/>
          <w:sz w:val="22"/>
          <w:lang w:eastAsia="ja-JP"/>
        </w:rPr>
        <w:tab/>
      </w:r>
      <w:r w:rsidRPr="00DF5FA6">
        <w:rPr>
          <w:noProof/>
        </w:rPr>
        <w:t>Processes for patient and consumer engagement</w:t>
      </w:r>
      <w:r>
        <w:rPr>
          <w:noProof/>
          <w:webHidden/>
        </w:rPr>
        <w:tab/>
      </w:r>
      <w:r w:rsidR="008830BA">
        <w:rPr>
          <w:noProof/>
          <w:webHidden/>
        </w:rPr>
        <w:t>9</w:t>
      </w:r>
    </w:p>
    <w:p w14:paraId="1BB1C00E" w14:textId="5796EC55"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5.2</w:t>
      </w:r>
      <w:r>
        <w:rPr>
          <w:rFonts w:eastAsiaTheme="minorEastAsia" w:cstheme="minorBidi"/>
          <w:noProof/>
          <w:sz w:val="22"/>
          <w:lang w:eastAsia="ja-JP"/>
        </w:rPr>
        <w:tab/>
      </w:r>
      <w:r w:rsidRPr="00DF5FA6">
        <w:rPr>
          <w:noProof/>
        </w:rPr>
        <w:t>Expertise, role, and remit of advisory committees</w:t>
      </w:r>
      <w:r>
        <w:rPr>
          <w:noProof/>
          <w:webHidden/>
        </w:rPr>
        <w:tab/>
      </w:r>
      <w:r w:rsidR="008830BA">
        <w:rPr>
          <w:noProof/>
          <w:webHidden/>
        </w:rPr>
        <w:t>9</w:t>
      </w:r>
    </w:p>
    <w:p w14:paraId="0D21A358" w14:textId="1CD48706"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lang w:eastAsia="en-AU"/>
        </w:rPr>
        <w:t>5.3</w:t>
      </w:r>
      <w:r>
        <w:rPr>
          <w:rFonts w:eastAsiaTheme="minorEastAsia" w:cstheme="minorBidi"/>
          <w:noProof/>
          <w:sz w:val="22"/>
          <w:lang w:eastAsia="ja-JP"/>
        </w:rPr>
        <w:tab/>
      </w:r>
      <w:r w:rsidRPr="00DF5FA6">
        <w:rPr>
          <w:noProof/>
          <w:lang w:eastAsia="en-AU"/>
        </w:rPr>
        <w:t>International Collaboration Arrangement between the Department of Health and Aged Care and other Health Technology Assessment bodies</w:t>
      </w:r>
      <w:r>
        <w:rPr>
          <w:noProof/>
          <w:webHidden/>
        </w:rPr>
        <w:tab/>
      </w:r>
      <w:r w:rsidR="008830BA">
        <w:rPr>
          <w:noProof/>
          <w:webHidden/>
        </w:rPr>
        <w:t>9</w:t>
      </w:r>
    </w:p>
    <w:p w14:paraId="5E841AAB" w14:textId="3826F54E"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lang w:eastAsia="en-AU"/>
        </w:rPr>
        <w:t>5.4</w:t>
      </w:r>
      <w:r>
        <w:rPr>
          <w:rFonts w:eastAsiaTheme="minorEastAsia" w:cstheme="minorBidi"/>
          <w:noProof/>
          <w:sz w:val="22"/>
          <w:lang w:eastAsia="ja-JP"/>
        </w:rPr>
        <w:tab/>
      </w:r>
      <w:r w:rsidRPr="00DF5FA6">
        <w:rPr>
          <w:noProof/>
          <w:lang w:eastAsia="en-AU"/>
        </w:rPr>
        <w:t>Other HTA reform commitments under the Strategic Agreement</w:t>
      </w:r>
      <w:r>
        <w:rPr>
          <w:noProof/>
          <w:webHidden/>
        </w:rPr>
        <w:tab/>
      </w:r>
      <w:r w:rsidR="008830BA">
        <w:rPr>
          <w:noProof/>
          <w:webHidden/>
        </w:rPr>
        <w:t>10</w:t>
      </w:r>
    </w:p>
    <w:p w14:paraId="0CFFF8B4" w14:textId="5562CD07" w:rsidR="00897D0A" w:rsidRDefault="00897D0A" w:rsidP="00AB2402">
      <w:pPr>
        <w:pStyle w:val="TOC1"/>
        <w:jc w:val="both"/>
        <w:rPr>
          <w:rFonts w:eastAsiaTheme="minorEastAsia" w:cstheme="minorBidi"/>
          <w:b w:val="0"/>
          <w:bCs w:val="0"/>
          <w:sz w:val="22"/>
          <w:lang w:eastAsia="ja-JP"/>
        </w:rPr>
      </w:pPr>
      <w:r w:rsidRPr="00DF5FA6">
        <w:t>6.</w:t>
      </w:r>
      <w:r>
        <w:rPr>
          <w:rFonts w:eastAsiaTheme="minorEastAsia" w:cstheme="minorBidi"/>
          <w:b w:val="0"/>
          <w:bCs w:val="0"/>
          <w:sz w:val="22"/>
          <w:lang w:eastAsia="ja-JP"/>
        </w:rPr>
        <w:tab/>
      </w:r>
      <w:r w:rsidRPr="00DF5FA6">
        <w:t>Areas that are out of scope for the HTA Review</w:t>
      </w:r>
      <w:r>
        <w:rPr>
          <w:webHidden/>
        </w:rPr>
        <w:tab/>
        <w:t>1</w:t>
      </w:r>
      <w:r w:rsidR="008830BA">
        <w:rPr>
          <w:webHidden/>
        </w:rPr>
        <w:t>0</w:t>
      </w:r>
    </w:p>
    <w:p w14:paraId="52F4B80E" w14:textId="582A47E2" w:rsidR="00897D0A" w:rsidRDefault="00897D0A" w:rsidP="00AB2402">
      <w:pPr>
        <w:pStyle w:val="TOC2"/>
        <w:tabs>
          <w:tab w:val="left" w:pos="880"/>
          <w:tab w:val="right" w:leader="dot" w:pos="9736"/>
        </w:tabs>
        <w:jc w:val="both"/>
        <w:rPr>
          <w:rFonts w:eastAsiaTheme="minorEastAsia" w:cstheme="minorBidi"/>
          <w:noProof/>
          <w:sz w:val="22"/>
          <w:lang w:eastAsia="ja-JP"/>
        </w:rPr>
      </w:pPr>
      <w:r w:rsidRPr="00DF5FA6">
        <w:rPr>
          <w:noProof/>
        </w:rPr>
        <w:t>6.1</w:t>
      </w:r>
      <w:r>
        <w:rPr>
          <w:rFonts w:eastAsiaTheme="minorEastAsia" w:cstheme="minorBidi"/>
          <w:noProof/>
          <w:sz w:val="22"/>
          <w:lang w:eastAsia="ja-JP"/>
        </w:rPr>
        <w:tab/>
      </w:r>
      <w:r w:rsidRPr="00DF5FA6">
        <w:rPr>
          <w:noProof/>
          <w:lang w:eastAsia="en-AU"/>
        </w:rPr>
        <w:t>Government health and economic decision making</w:t>
      </w:r>
      <w:r>
        <w:rPr>
          <w:noProof/>
          <w:webHidden/>
        </w:rPr>
        <w:tab/>
      </w:r>
      <w:r w:rsidR="008830BA">
        <w:rPr>
          <w:noProof/>
          <w:webHidden/>
        </w:rPr>
        <w:t>10</w:t>
      </w:r>
    </w:p>
    <w:p w14:paraId="60252BBE" w14:textId="77777777" w:rsidR="008830BA" w:rsidRDefault="008830BA" w:rsidP="00AB2402">
      <w:pPr>
        <w:pStyle w:val="TOC1"/>
        <w:jc w:val="both"/>
      </w:pPr>
    </w:p>
    <w:p w14:paraId="1145C070" w14:textId="3DA78EFC" w:rsidR="00897D0A" w:rsidRDefault="00897D0A" w:rsidP="00AB2402">
      <w:pPr>
        <w:pStyle w:val="TOC1"/>
        <w:jc w:val="both"/>
        <w:rPr>
          <w:rFonts w:eastAsiaTheme="minorEastAsia" w:cstheme="minorBidi"/>
          <w:b w:val="0"/>
          <w:bCs w:val="0"/>
          <w:sz w:val="22"/>
          <w:lang w:eastAsia="ja-JP"/>
        </w:rPr>
      </w:pPr>
      <w:r w:rsidRPr="00DF5FA6">
        <w:t xml:space="preserve">Attachment A </w:t>
      </w:r>
      <w:r w:rsidR="008830BA">
        <w:t xml:space="preserve">(separate) </w:t>
      </w:r>
      <w:r w:rsidRPr="00DF5FA6">
        <w:t>– Strategic Agreement</w:t>
      </w:r>
    </w:p>
    <w:p w14:paraId="7612928E" w14:textId="3565B75D" w:rsidR="003714B5" w:rsidRPr="005D2393" w:rsidRDefault="003714B5" w:rsidP="00AB2402">
      <w:pPr>
        <w:jc w:val="both"/>
        <w:rPr>
          <w:rFonts w:eastAsiaTheme="majorEastAsia" w:cstheme="majorBidi"/>
          <w:sz w:val="52"/>
          <w:szCs w:val="32"/>
        </w:rPr>
      </w:pPr>
      <w:r w:rsidRPr="005D2393">
        <w:br w:type="page"/>
      </w:r>
    </w:p>
    <w:p w14:paraId="551CB895" w14:textId="2D4AC17B" w:rsidR="00286B86" w:rsidRPr="005D2393" w:rsidRDefault="00BC0813" w:rsidP="00286B86">
      <w:pPr>
        <w:pStyle w:val="Heading1"/>
        <w:jc w:val="both"/>
      </w:pPr>
      <w:bookmarkStart w:id="0" w:name="_Toc127368757"/>
      <w:r w:rsidRPr="005D2393">
        <w:lastRenderedPageBreak/>
        <w:t xml:space="preserve">Health Technology Assessment </w:t>
      </w:r>
      <w:r w:rsidR="00894064" w:rsidRPr="005D2393">
        <w:t>(HTA) Policy and Methods Review</w:t>
      </w:r>
      <w:bookmarkEnd w:id="0"/>
    </w:p>
    <w:p w14:paraId="0FD1AF0A" w14:textId="799C1851" w:rsidR="00BF28AF" w:rsidRPr="005D2393" w:rsidRDefault="00D64686" w:rsidP="00AB2402">
      <w:pPr>
        <w:pStyle w:val="Heading2"/>
        <w:jc w:val="both"/>
      </w:pPr>
      <w:bookmarkStart w:id="1" w:name="_Toc127368758"/>
      <w:r w:rsidRPr="005D2393">
        <w:t>A c</w:t>
      </w:r>
      <w:r w:rsidR="00BF28AF" w:rsidRPr="005D2393">
        <w:t>ommitment under the Strategic Agreement</w:t>
      </w:r>
      <w:bookmarkEnd w:id="1"/>
    </w:p>
    <w:p w14:paraId="06D6936A" w14:textId="2F7D27A4" w:rsidR="00BD76BC" w:rsidRPr="005D2393" w:rsidRDefault="00B37B14" w:rsidP="00286B86">
      <w:pPr>
        <w:spacing w:line="240" w:lineRule="auto"/>
        <w:jc w:val="both"/>
        <w:rPr>
          <w:rFonts w:cs="Arial"/>
          <w:szCs w:val="20"/>
        </w:rPr>
      </w:pPr>
      <w:r w:rsidRPr="005D2393">
        <w:rPr>
          <w:rFonts w:cs="Arial"/>
          <w:szCs w:val="20"/>
        </w:rPr>
        <w:t>The HTA Review is a commitment in the</w:t>
      </w:r>
      <w:r w:rsidR="00B84BB3" w:rsidRPr="005D2393">
        <w:rPr>
          <w:rFonts w:cs="Arial"/>
          <w:szCs w:val="20"/>
        </w:rPr>
        <w:t xml:space="preserve"> </w:t>
      </w:r>
      <w:r w:rsidR="00EF22B6" w:rsidRPr="005D2393">
        <w:rPr>
          <w:rFonts w:cs="Arial"/>
          <w:szCs w:val="20"/>
        </w:rPr>
        <w:t>2022-2027</w:t>
      </w:r>
      <w:r w:rsidR="00B84BB3" w:rsidRPr="005D2393">
        <w:rPr>
          <w:rFonts w:cs="Arial"/>
          <w:szCs w:val="20"/>
        </w:rPr>
        <w:t xml:space="preserve"> Strategic Agreement </w:t>
      </w:r>
      <w:r w:rsidR="00A00FD9" w:rsidRPr="005D2393">
        <w:rPr>
          <w:rFonts w:cs="Arial"/>
          <w:szCs w:val="20"/>
        </w:rPr>
        <w:t xml:space="preserve">between the Commonwealth and </w:t>
      </w:r>
      <w:r w:rsidR="00B84BB3" w:rsidRPr="005D2393">
        <w:rPr>
          <w:rFonts w:cs="Arial"/>
          <w:szCs w:val="20"/>
        </w:rPr>
        <w:t>Medicines Australia (Strategic Agreement) (</w:t>
      </w:r>
      <w:r w:rsidR="00B84BB3" w:rsidRPr="005D2393">
        <w:rPr>
          <w:rFonts w:cs="Arial"/>
          <w:b/>
          <w:bCs/>
          <w:szCs w:val="20"/>
        </w:rPr>
        <w:t>Attachment A</w:t>
      </w:r>
      <w:r w:rsidR="00B84BB3" w:rsidRPr="005D2393">
        <w:rPr>
          <w:rFonts w:cs="Arial"/>
          <w:szCs w:val="20"/>
        </w:rPr>
        <w:t>)</w:t>
      </w:r>
      <w:r w:rsidRPr="005D2393">
        <w:rPr>
          <w:rFonts w:cs="Arial"/>
          <w:szCs w:val="20"/>
        </w:rPr>
        <w:t>. Under clause 5.3 of the Strategic Agreement</w:t>
      </w:r>
      <w:r w:rsidR="00B84BB3" w:rsidRPr="005D2393">
        <w:rPr>
          <w:rFonts w:cs="Arial"/>
          <w:szCs w:val="20"/>
        </w:rPr>
        <w:t xml:space="preserve"> the Commonwealth agreed </w:t>
      </w:r>
      <w:r w:rsidR="00F74DF3" w:rsidRPr="005D2393">
        <w:rPr>
          <w:rFonts w:cs="Arial"/>
          <w:szCs w:val="20"/>
        </w:rPr>
        <w:t xml:space="preserve">to support and resource a </w:t>
      </w:r>
      <w:r w:rsidR="000F6B3F" w:rsidRPr="005D2393">
        <w:rPr>
          <w:rFonts w:cs="Arial"/>
        </w:rPr>
        <w:t xml:space="preserve">HTA </w:t>
      </w:r>
      <w:r w:rsidR="003B7313" w:rsidRPr="005D2393">
        <w:rPr>
          <w:rFonts w:cs="Arial"/>
          <w:szCs w:val="20"/>
        </w:rPr>
        <w:t>Policy and Methods</w:t>
      </w:r>
      <w:r w:rsidR="00B84BB3" w:rsidRPr="005D2393">
        <w:rPr>
          <w:rFonts w:cs="Arial"/>
          <w:szCs w:val="20"/>
        </w:rPr>
        <w:t xml:space="preserve"> Review</w:t>
      </w:r>
      <w:r w:rsidR="003B7313" w:rsidRPr="005D2393">
        <w:rPr>
          <w:rFonts w:cs="Arial"/>
          <w:szCs w:val="20"/>
        </w:rPr>
        <w:t xml:space="preserve"> (the Review)</w:t>
      </w:r>
      <w:r w:rsidR="004043CA" w:rsidRPr="005D2393">
        <w:rPr>
          <w:rFonts w:cs="Arial"/>
          <w:szCs w:val="20"/>
        </w:rPr>
        <w:t xml:space="preserve">. </w:t>
      </w:r>
      <w:r w:rsidR="008F0929" w:rsidRPr="005D2393">
        <w:rPr>
          <w:rFonts w:cs="Arial"/>
          <w:szCs w:val="20"/>
        </w:rPr>
        <w:t xml:space="preserve">This </w:t>
      </w:r>
      <w:r w:rsidR="007124F8" w:rsidRPr="005D2393">
        <w:rPr>
          <w:rFonts w:cs="Arial"/>
          <w:szCs w:val="20"/>
        </w:rPr>
        <w:t xml:space="preserve">commitment </w:t>
      </w:r>
      <w:r w:rsidR="003C7EC6" w:rsidRPr="005D2393">
        <w:rPr>
          <w:rFonts w:cs="Arial"/>
          <w:szCs w:val="20"/>
        </w:rPr>
        <w:t xml:space="preserve">is in recognition of the shared goals </w:t>
      </w:r>
      <w:r w:rsidR="00DA7D90" w:rsidRPr="005D2393">
        <w:rPr>
          <w:rFonts w:cs="Arial"/>
          <w:szCs w:val="20"/>
        </w:rPr>
        <w:t xml:space="preserve">set out at clause 5.1 of the Strategic Agreement </w:t>
      </w:r>
      <w:r w:rsidR="00BD76BC" w:rsidRPr="005D2393">
        <w:rPr>
          <w:rFonts w:cs="Arial"/>
          <w:szCs w:val="20"/>
        </w:rPr>
        <w:t>of:</w:t>
      </w:r>
      <w:r w:rsidR="00B84BB3" w:rsidRPr="005D2393">
        <w:rPr>
          <w:rFonts w:cs="Arial"/>
          <w:szCs w:val="20"/>
        </w:rPr>
        <w:t xml:space="preserve"> </w:t>
      </w:r>
    </w:p>
    <w:p w14:paraId="2D4BBC35" w14:textId="41C6D65B" w:rsidR="00BD76BC" w:rsidRPr="005D2393" w:rsidRDefault="00BD76BC" w:rsidP="00EE64E2">
      <w:pPr>
        <w:pStyle w:val="ListParagraph"/>
        <w:numPr>
          <w:ilvl w:val="0"/>
          <w:numId w:val="46"/>
        </w:numPr>
        <w:spacing w:line="240" w:lineRule="auto"/>
        <w:jc w:val="both"/>
        <w:rPr>
          <w:rFonts w:cs="Arial"/>
          <w:szCs w:val="20"/>
        </w:rPr>
      </w:pPr>
      <w:r w:rsidRPr="005D2393">
        <w:rPr>
          <w:rFonts w:cs="Arial"/>
          <w:szCs w:val="20"/>
        </w:rPr>
        <w:t>reducing time to access for Australian</w:t>
      </w:r>
      <w:r w:rsidR="00857F2E">
        <w:rPr>
          <w:rFonts w:cs="Arial"/>
          <w:szCs w:val="20"/>
        </w:rPr>
        <w:t>s</w:t>
      </w:r>
      <w:r w:rsidRPr="005D2393">
        <w:rPr>
          <w:rFonts w:cs="Arial"/>
          <w:szCs w:val="20"/>
        </w:rPr>
        <w:t xml:space="preserve"> so that they can access new health technologies as early as possible</w:t>
      </w:r>
    </w:p>
    <w:p w14:paraId="4D800389" w14:textId="7DAE5716" w:rsidR="00BD76BC" w:rsidRPr="005D2393" w:rsidRDefault="00BD76BC" w:rsidP="00EE64E2">
      <w:pPr>
        <w:pStyle w:val="ListParagraph"/>
        <w:numPr>
          <w:ilvl w:val="0"/>
          <w:numId w:val="46"/>
        </w:numPr>
        <w:spacing w:line="240" w:lineRule="auto"/>
        <w:jc w:val="both"/>
        <w:rPr>
          <w:rFonts w:cs="Arial"/>
          <w:szCs w:val="20"/>
        </w:rPr>
      </w:pPr>
      <w:r w:rsidRPr="005D2393">
        <w:rPr>
          <w:rFonts w:cs="Arial"/>
          <w:szCs w:val="20"/>
        </w:rPr>
        <w:t>maintaining the attractiveness of Australia as a first-launch country to build on Australia’s status as a world leader in providing access to affordable healthcare,</w:t>
      </w:r>
    </w:p>
    <w:p w14:paraId="45A26AC3" w14:textId="1C497C7B" w:rsidR="00B84BB3" w:rsidRPr="005D2393" w:rsidRDefault="00BD76BC" w:rsidP="00BD76BC">
      <w:pPr>
        <w:spacing w:line="240" w:lineRule="auto"/>
        <w:jc w:val="both"/>
        <w:rPr>
          <w:rFonts w:cs="Arial"/>
          <w:szCs w:val="20"/>
        </w:rPr>
      </w:pPr>
      <w:r w:rsidRPr="005D2393">
        <w:rPr>
          <w:rFonts w:cs="Arial"/>
          <w:szCs w:val="20"/>
        </w:rPr>
        <w:t xml:space="preserve">by ensuring that our assessment processes keep pace with rapid advances in health technology and barriers to access are minimised. </w:t>
      </w:r>
    </w:p>
    <w:p w14:paraId="3000B3B2" w14:textId="423EF980" w:rsidR="00F52448" w:rsidRPr="005D2393" w:rsidRDefault="00F52448" w:rsidP="00AB2402">
      <w:pPr>
        <w:pStyle w:val="Heading2"/>
        <w:jc w:val="both"/>
      </w:pPr>
      <w:bookmarkStart w:id="2" w:name="_Toc127368759"/>
      <w:r w:rsidRPr="005D2393">
        <w:t>HTA Review process</w:t>
      </w:r>
      <w:bookmarkEnd w:id="2"/>
    </w:p>
    <w:p w14:paraId="4BDEF0AF" w14:textId="3408E607" w:rsidR="005A2A60" w:rsidRPr="005D2393" w:rsidRDefault="00286B86" w:rsidP="005A2A60">
      <w:pPr>
        <w:jc w:val="both"/>
        <w:rPr>
          <w:rFonts w:cs="Arial"/>
          <w:szCs w:val="20"/>
        </w:rPr>
      </w:pPr>
      <w:r w:rsidRPr="005D2393">
        <w:rPr>
          <w:rFonts w:cs="Arial"/>
          <w:szCs w:val="20"/>
        </w:rPr>
        <w:t>Under Clause 5.3.1 of the Strategic Agreement, it was agreed that a Reference Committee would be established and w</w:t>
      </w:r>
      <w:r w:rsidR="00CB6172" w:rsidRPr="005D2393">
        <w:rPr>
          <w:rFonts w:cs="Arial"/>
          <w:szCs w:val="20"/>
        </w:rPr>
        <w:t>ould</w:t>
      </w:r>
      <w:r w:rsidRPr="005D2393">
        <w:rPr>
          <w:rFonts w:cs="Arial"/>
          <w:szCs w:val="20"/>
        </w:rPr>
        <w:t xml:space="preserve"> include an Independent Chair, the Chair of the </w:t>
      </w:r>
      <w:r w:rsidR="00D433AC" w:rsidRPr="005D2393">
        <w:rPr>
          <w:rFonts w:cs="Arial"/>
        </w:rPr>
        <w:t>Pharmaceutical Benefits Advisory Committee (PBAC)</w:t>
      </w:r>
      <w:r w:rsidRPr="005D2393">
        <w:rPr>
          <w:rFonts w:cs="Arial"/>
          <w:szCs w:val="20"/>
        </w:rPr>
        <w:t xml:space="preserve">, a Government nominee, a member nominated by Medicines Australia and a patient representative. </w:t>
      </w:r>
      <w:r w:rsidR="00BE26AD" w:rsidRPr="005D2393">
        <w:rPr>
          <w:rFonts w:cs="Arial"/>
          <w:szCs w:val="20"/>
        </w:rPr>
        <w:t>It was subsequently agreed that the Reference Committee would be expanded to include two patient representatives and a clinical / scientific representative.</w:t>
      </w:r>
      <w:r w:rsidR="005A2A60" w:rsidRPr="005D2393">
        <w:rPr>
          <w:rFonts w:cs="Arial"/>
          <w:szCs w:val="20"/>
        </w:rPr>
        <w:t xml:space="preserve"> The Minister </w:t>
      </w:r>
      <w:r w:rsidR="00A00FD9" w:rsidRPr="005D2393">
        <w:rPr>
          <w:rFonts w:cs="Arial"/>
          <w:szCs w:val="20"/>
        </w:rPr>
        <w:t xml:space="preserve">for Health and Aged Care </w:t>
      </w:r>
      <w:r w:rsidR="005A2A60" w:rsidRPr="005D2393">
        <w:rPr>
          <w:rFonts w:cs="Arial"/>
          <w:szCs w:val="20"/>
        </w:rPr>
        <w:t>also agreed to extend the deadline for the HTA Review to 31</w:t>
      </w:r>
      <w:r w:rsidR="00A00FD9" w:rsidRPr="005D2393">
        <w:rPr>
          <w:rFonts w:cs="Arial"/>
          <w:szCs w:val="20"/>
        </w:rPr>
        <w:t> </w:t>
      </w:r>
      <w:r w:rsidR="005A2A60" w:rsidRPr="005D2393">
        <w:rPr>
          <w:rFonts w:cs="Arial"/>
          <w:szCs w:val="20"/>
        </w:rPr>
        <w:t xml:space="preserve">December 2023. </w:t>
      </w:r>
    </w:p>
    <w:p w14:paraId="01956F8B" w14:textId="2E707F86" w:rsidR="00286B86" w:rsidRPr="005D2393" w:rsidRDefault="0080450F" w:rsidP="00286B86">
      <w:pPr>
        <w:spacing w:after="0" w:line="240" w:lineRule="auto"/>
        <w:jc w:val="both"/>
        <w:rPr>
          <w:rFonts w:cs="Arial"/>
          <w:szCs w:val="20"/>
        </w:rPr>
      </w:pPr>
      <w:r w:rsidRPr="005D2393">
        <w:rPr>
          <w:rFonts w:cs="Arial"/>
          <w:szCs w:val="20"/>
        </w:rPr>
        <w:t>Under</w:t>
      </w:r>
      <w:r w:rsidR="00CF2539" w:rsidRPr="005D2393">
        <w:rPr>
          <w:rFonts w:cs="Arial"/>
          <w:szCs w:val="20"/>
        </w:rPr>
        <w:t xml:space="preserve"> </w:t>
      </w:r>
      <w:r w:rsidRPr="005D2393">
        <w:rPr>
          <w:rFonts w:cs="Arial"/>
          <w:szCs w:val="20"/>
        </w:rPr>
        <w:t>clause 5.3 of the</w:t>
      </w:r>
      <w:r w:rsidR="00CF2539" w:rsidRPr="005D2393">
        <w:rPr>
          <w:rFonts w:cs="Arial"/>
          <w:szCs w:val="20"/>
        </w:rPr>
        <w:t xml:space="preserve"> Strategic Agreement</w:t>
      </w:r>
      <w:r w:rsidRPr="005D2393">
        <w:rPr>
          <w:rFonts w:cs="Arial"/>
          <w:szCs w:val="20"/>
        </w:rPr>
        <w:t>, it was agreed</w:t>
      </w:r>
      <w:r w:rsidR="00CF2539" w:rsidRPr="005D2393">
        <w:rPr>
          <w:rFonts w:cs="Arial"/>
          <w:szCs w:val="20"/>
        </w:rPr>
        <w:t xml:space="preserve"> that the Reference Committee would:</w:t>
      </w:r>
    </w:p>
    <w:p w14:paraId="5CE4CFE2" w14:textId="1F22E5C0" w:rsidR="00286B86" w:rsidRPr="005D2393" w:rsidRDefault="00286B86" w:rsidP="00286B86">
      <w:pPr>
        <w:pStyle w:val="ListParagraph"/>
        <w:numPr>
          <w:ilvl w:val="0"/>
          <w:numId w:val="5"/>
        </w:numPr>
        <w:jc w:val="both"/>
        <w:rPr>
          <w:rFonts w:cs="Arial"/>
          <w:szCs w:val="20"/>
        </w:rPr>
      </w:pPr>
      <w:r w:rsidRPr="005D2393">
        <w:rPr>
          <w:rFonts w:cs="Arial"/>
          <w:szCs w:val="20"/>
        </w:rPr>
        <w:t xml:space="preserve">develop the </w:t>
      </w:r>
      <w:r w:rsidR="0080450F" w:rsidRPr="005D2393">
        <w:rPr>
          <w:rFonts w:cs="Arial"/>
          <w:szCs w:val="20"/>
        </w:rPr>
        <w:t>T</w:t>
      </w:r>
      <w:r w:rsidRPr="005D2393">
        <w:rPr>
          <w:rFonts w:cs="Arial"/>
          <w:szCs w:val="20"/>
        </w:rPr>
        <w:t xml:space="preserve">erms of </w:t>
      </w:r>
      <w:r w:rsidR="0080450F" w:rsidRPr="005D2393">
        <w:rPr>
          <w:rFonts w:cs="Arial"/>
          <w:szCs w:val="20"/>
        </w:rPr>
        <w:t>R</w:t>
      </w:r>
      <w:r w:rsidRPr="005D2393">
        <w:rPr>
          <w:rFonts w:cs="Arial"/>
          <w:szCs w:val="20"/>
        </w:rPr>
        <w:t>eference for the HTA Review, in consultation with</w:t>
      </w:r>
      <w:r w:rsidR="001B181C" w:rsidRPr="005D2393">
        <w:rPr>
          <w:rFonts w:cs="Arial"/>
          <w:szCs w:val="20"/>
        </w:rPr>
        <w:t xml:space="preserve"> the PBAC and other</w:t>
      </w:r>
      <w:r w:rsidRPr="005D2393">
        <w:rPr>
          <w:rFonts w:cs="Arial"/>
          <w:szCs w:val="20"/>
        </w:rPr>
        <w:t xml:space="preserve"> stakeholders</w:t>
      </w:r>
      <w:r w:rsidR="001B181C" w:rsidRPr="005D2393">
        <w:rPr>
          <w:rFonts w:cs="Arial"/>
          <w:szCs w:val="20"/>
        </w:rPr>
        <w:t xml:space="preserve"> including Medicines Australia</w:t>
      </w:r>
    </w:p>
    <w:p w14:paraId="5107E745" w14:textId="4EF37BE5" w:rsidR="00286B86" w:rsidRPr="005D2393" w:rsidRDefault="00286B86" w:rsidP="00286B86">
      <w:pPr>
        <w:pStyle w:val="ListParagraph"/>
        <w:numPr>
          <w:ilvl w:val="0"/>
          <w:numId w:val="5"/>
        </w:numPr>
        <w:jc w:val="both"/>
        <w:rPr>
          <w:rFonts w:cs="Arial"/>
          <w:szCs w:val="20"/>
        </w:rPr>
      </w:pPr>
      <w:r w:rsidRPr="005D2393">
        <w:rPr>
          <w:rFonts w:cs="Arial"/>
          <w:szCs w:val="20"/>
        </w:rPr>
        <w:t xml:space="preserve">agree to </w:t>
      </w:r>
      <w:r w:rsidR="00CB6172" w:rsidRPr="005D2393">
        <w:rPr>
          <w:rFonts w:cs="Arial"/>
          <w:szCs w:val="20"/>
        </w:rPr>
        <w:t>an</w:t>
      </w:r>
      <w:r w:rsidRPr="005D2393">
        <w:rPr>
          <w:rFonts w:cs="Arial"/>
          <w:szCs w:val="20"/>
        </w:rPr>
        <w:t xml:space="preserve"> expert</w:t>
      </w:r>
      <w:r w:rsidR="00CB6172" w:rsidRPr="005D2393">
        <w:rPr>
          <w:rFonts w:cs="Arial"/>
          <w:szCs w:val="20"/>
        </w:rPr>
        <w:t xml:space="preserve"> in HTA</w:t>
      </w:r>
      <w:r w:rsidRPr="005D2393">
        <w:rPr>
          <w:rFonts w:cs="Arial"/>
          <w:szCs w:val="20"/>
        </w:rPr>
        <w:t xml:space="preserve"> to </w:t>
      </w:r>
      <w:r w:rsidR="00CB6172" w:rsidRPr="005D2393">
        <w:rPr>
          <w:rFonts w:cs="Arial"/>
          <w:szCs w:val="20"/>
        </w:rPr>
        <w:t xml:space="preserve">undertake an analysis of current methods used by the PBAC, contemporary research and relevant methodologies and purchasing practices used by comparable jurisdictions guided by the </w:t>
      </w:r>
      <w:r w:rsidR="0080450F" w:rsidRPr="005D2393">
        <w:rPr>
          <w:rFonts w:cs="Arial"/>
          <w:szCs w:val="20"/>
        </w:rPr>
        <w:t>T</w:t>
      </w:r>
      <w:r w:rsidR="00CB6172" w:rsidRPr="005D2393">
        <w:rPr>
          <w:rFonts w:cs="Arial"/>
          <w:szCs w:val="20"/>
        </w:rPr>
        <w:t xml:space="preserve">erms of </w:t>
      </w:r>
      <w:r w:rsidR="0080450F" w:rsidRPr="005D2393">
        <w:rPr>
          <w:rFonts w:cs="Arial"/>
          <w:szCs w:val="20"/>
        </w:rPr>
        <w:t>R</w:t>
      </w:r>
      <w:r w:rsidR="00CB6172" w:rsidRPr="005D2393">
        <w:rPr>
          <w:rFonts w:cs="Arial"/>
          <w:szCs w:val="20"/>
        </w:rPr>
        <w:t>eference</w:t>
      </w:r>
    </w:p>
    <w:p w14:paraId="37402306" w14:textId="77777777" w:rsidR="00286B86" w:rsidRPr="005D2393" w:rsidRDefault="00286B86" w:rsidP="00286B86">
      <w:pPr>
        <w:pStyle w:val="ListParagraph"/>
        <w:numPr>
          <w:ilvl w:val="0"/>
          <w:numId w:val="5"/>
        </w:numPr>
        <w:jc w:val="both"/>
        <w:rPr>
          <w:rFonts w:cs="Arial"/>
          <w:szCs w:val="20"/>
        </w:rPr>
      </w:pPr>
      <w:r w:rsidRPr="005D2393">
        <w:rPr>
          <w:rFonts w:cs="Arial"/>
          <w:szCs w:val="20"/>
        </w:rPr>
        <w:t>oversee public consultations and consider submissions to the HTA Review</w:t>
      </w:r>
    </w:p>
    <w:p w14:paraId="328C78AB" w14:textId="77777777" w:rsidR="00286B86" w:rsidRPr="005D2393" w:rsidRDefault="00286B86" w:rsidP="00286B86">
      <w:pPr>
        <w:pStyle w:val="ListParagraph"/>
        <w:numPr>
          <w:ilvl w:val="0"/>
          <w:numId w:val="5"/>
        </w:numPr>
        <w:jc w:val="both"/>
        <w:rPr>
          <w:rFonts w:cs="Arial"/>
          <w:szCs w:val="20"/>
        </w:rPr>
      </w:pPr>
      <w:r w:rsidRPr="005D2393">
        <w:rPr>
          <w:rFonts w:cs="Arial"/>
          <w:szCs w:val="20"/>
        </w:rPr>
        <w:t>oversee the analysis undertaken by the expert in HTA and</w:t>
      </w:r>
    </w:p>
    <w:p w14:paraId="51FE09A4" w14:textId="56ACF576" w:rsidR="00286B86" w:rsidRPr="005D2393" w:rsidRDefault="00286B86" w:rsidP="00286B86">
      <w:pPr>
        <w:pStyle w:val="ListParagraph"/>
        <w:numPr>
          <w:ilvl w:val="0"/>
          <w:numId w:val="5"/>
        </w:numPr>
        <w:jc w:val="both"/>
        <w:rPr>
          <w:rFonts w:cs="Arial"/>
          <w:szCs w:val="20"/>
        </w:rPr>
      </w:pPr>
      <w:r w:rsidRPr="005D2393">
        <w:rPr>
          <w:rFonts w:cs="Arial"/>
          <w:szCs w:val="20"/>
        </w:rPr>
        <w:t xml:space="preserve">prepare and agree the final report and recommendations </w:t>
      </w:r>
      <w:r w:rsidR="00F11BBA" w:rsidRPr="005D2393">
        <w:rPr>
          <w:rFonts w:cs="Arial"/>
          <w:szCs w:val="20"/>
        </w:rPr>
        <w:t>to the PBAC and the Commonwealth</w:t>
      </w:r>
      <w:r w:rsidRPr="005D2393">
        <w:rPr>
          <w:rFonts w:cs="Arial"/>
          <w:szCs w:val="20"/>
        </w:rPr>
        <w:t>.</w:t>
      </w:r>
    </w:p>
    <w:p w14:paraId="5F9B2954" w14:textId="244FD5F7" w:rsidR="0063682C" w:rsidRPr="005D2393" w:rsidRDefault="002E41A6" w:rsidP="00286B86">
      <w:pPr>
        <w:jc w:val="both"/>
        <w:rPr>
          <w:rFonts w:cs="Arial"/>
          <w:szCs w:val="20"/>
        </w:rPr>
      </w:pPr>
      <w:r w:rsidRPr="005D2393">
        <w:rPr>
          <w:rFonts w:cs="Arial"/>
          <w:szCs w:val="20"/>
        </w:rPr>
        <w:t>Under clause 5.4 of the Strategic Agreement, it was agreed that t</w:t>
      </w:r>
      <w:r w:rsidR="0063682C" w:rsidRPr="005D2393">
        <w:rPr>
          <w:rFonts w:cs="Arial"/>
          <w:szCs w:val="20"/>
        </w:rPr>
        <w:t>he final report of the Reference Committee</w:t>
      </w:r>
      <w:r w:rsidR="00AB555D" w:rsidRPr="005D2393">
        <w:rPr>
          <w:rFonts w:cs="Arial"/>
          <w:szCs w:val="20"/>
        </w:rPr>
        <w:t>, including recommendations,</w:t>
      </w:r>
      <w:r w:rsidR="0063682C" w:rsidRPr="005D2393">
        <w:rPr>
          <w:rFonts w:cs="Arial"/>
          <w:szCs w:val="20"/>
        </w:rPr>
        <w:t xml:space="preserve"> will be provided to the PBAC (and its </w:t>
      </w:r>
      <w:r w:rsidR="00FD6572" w:rsidRPr="005D2393">
        <w:rPr>
          <w:rFonts w:cs="Arial"/>
          <w:szCs w:val="20"/>
        </w:rPr>
        <w:t>t</w:t>
      </w:r>
      <w:r w:rsidR="0063682C" w:rsidRPr="005D2393">
        <w:rPr>
          <w:rFonts w:cs="Arial"/>
          <w:szCs w:val="20"/>
        </w:rPr>
        <w:t xml:space="preserve">echnical </w:t>
      </w:r>
      <w:r w:rsidR="00FD6572" w:rsidRPr="005D2393">
        <w:rPr>
          <w:rFonts w:cs="Arial"/>
          <w:szCs w:val="20"/>
        </w:rPr>
        <w:t>s</w:t>
      </w:r>
      <w:r w:rsidR="0063682C" w:rsidRPr="005D2393">
        <w:rPr>
          <w:rFonts w:cs="Arial"/>
          <w:szCs w:val="20"/>
        </w:rPr>
        <w:t>ubcommittee</w:t>
      </w:r>
      <w:r w:rsidR="00C25000" w:rsidRPr="005D2393">
        <w:rPr>
          <w:rFonts w:cs="Arial"/>
          <w:szCs w:val="20"/>
        </w:rPr>
        <w:t>s</w:t>
      </w:r>
      <w:r w:rsidR="0063682C" w:rsidRPr="005D2393">
        <w:rPr>
          <w:rFonts w:cs="Arial"/>
          <w:szCs w:val="20"/>
        </w:rPr>
        <w:t>) and the Commonwealth</w:t>
      </w:r>
      <w:r w:rsidR="00AB555D" w:rsidRPr="005D2393">
        <w:rPr>
          <w:rFonts w:cs="Arial"/>
          <w:szCs w:val="20"/>
        </w:rPr>
        <w:t xml:space="preserve"> for consideration by the Australian Government.</w:t>
      </w:r>
      <w:r w:rsidR="0063682C" w:rsidRPr="005D2393">
        <w:rPr>
          <w:rFonts w:cs="Arial"/>
          <w:szCs w:val="20"/>
        </w:rPr>
        <w:t xml:space="preserve"> </w:t>
      </w:r>
      <w:r w:rsidR="001B181C" w:rsidRPr="005D2393">
        <w:rPr>
          <w:rFonts w:cs="Arial"/>
          <w:szCs w:val="20"/>
        </w:rPr>
        <w:t xml:space="preserve"> </w:t>
      </w:r>
    </w:p>
    <w:p w14:paraId="137A30F3" w14:textId="369B774E" w:rsidR="003714B5" w:rsidRPr="005D2393" w:rsidRDefault="003714B5" w:rsidP="00AB2402">
      <w:pPr>
        <w:pStyle w:val="Heading1"/>
        <w:jc w:val="both"/>
      </w:pPr>
      <w:bookmarkStart w:id="3" w:name="_Toc127368760"/>
      <w:r w:rsidRPr="005D2393">
        <w:lastRenderedPageBreak/>
        <w:t>Context</w:t>
      </w:r>
      <w:bookmarkEnd w:id="3"/>
    </w:p>
    <w:p w14:paraId="1E47F011" w14:textId="36BF1024" w:rsidR="00970E8A" w:rsidRPr="005D2393" w:rsidRDefault="00F371EA" w:rsidP="00AB2402">
      <w:pPr>
        <w:pStyle w:val="Heading2"/>
        <w:jc w:val="both"/>
      </w:pPr>
      <w:bookmarkStart w:id="4" w:name="_Toc127368761"/>
      <w:r w:rsidRPr="005D2393">
        <w:t>Australia’s National Medicines Policy</w:t>
      </w:r>
      <w:bookmarkEnd w:id="4"/>
    </w:p>
    <w:p w14:paraId="21B17547" w14:textId="1F49CBD3" w:rsidR="00F371EA" w:rsidRPr="005D2393" w:rsidRDefault="002E4636" w:rsidP="001C1DD5">
      <w:pPr>
        <w:jc w:val="both"/>
        <w:rPr>
          <w:rFonts w:cs="Arial"/>
          <w:szCs w:val="20"/>
        </w:rPr>
      </w:pPr>
      <w:r w:rsidRPr="005D2393">
        <w:rPr>
          <w:rFonts w:cs="Arial"/>
          <w:szCs w:val="20"/>
        </w:rPr>
        <w:t xml:space="preserve">The vision of the National Medicines Policy </w:t>
      </w:r>
      <w:r w:rsidR="00F45388" w:rsidRPr="005D2393">
        <w:rPr>
          <w:rFonts w:cs="Arial"/>
          <w:szCs w:val="20"/>
        </w:rPr>
        <w:t xml:space="preserve">(NMP) </w:t>
      </w:r>
      <w:r w:rsidRPr="005D2393">
        <w:rPr>
          <w:rFonts w:cs="Arial"/>
          <w:szCs w:val="20"/>
        </w:rPr>
        <w:t>is</w:t>
      </w:r>
      <w:r w:rsidR="00F371EA" w:rsidRPr="005D2393">
        <w:rPr>
          <w:rFonts w:cs="Arial"/>
          <w:szCs w:val="20"/>
        </w:rPr>
        <w:t xml:space="preserve"> to achieve the world’s best health, social and economic outcomes for all Australians through a highly supportive medicines policy environment.</w:t>
      </w:r>
    </w:p>
    <w:p w14:paraId="1F98262B" w14:textId="77777777" w:rsidR="00F371EA" w:rsidRPr="005D2393" w:rsidRDefault="00F371EA" w:rsidP="001C1DD5">
      <w:pPr>
        <w:pStyle w:val="paragraph"/>
        <w:spacing w:before="0" w:beforeAutospacing="0" w:after="0" w:afterAutospacing="0"/>
        <w:jc w:val="both"/>
        <w:textAlignment w:val="baseline"/>
        <w:rPr>
          <w:rStyle w:val="eop"/>
          <w:rFonts w:asciiTheme="minorHAnsi" w:eastAsiaTheme="minorHAnsi" w:hAnsiTheme="minorHAnsi" w:cstheme="minorHAnsi"/>
          <w:szCs w:val="22"/>
          <w:lang w:eastAsia="en-US"/>
        </w:rPr>
      </w:pPr>
      <w:r w:rsidRPr="005D2393">
        <w:rPr>
          <w:rStyle w:val="normaltextrun"/>
          <w:rFonts w:asciiTheme="minorHAnsi" w:eastAsiaTheme="majorEastAsia" w:hAnsiTheme="minorHAnsi" w:cstheme="minorHAnsi"/>
          <w:color w:val="000000" w:themeColor="text1"/>
        </w:rPr>
        <w:t>The aim of the NMP is t</w:t>
      </w:r>
      <w:r w:rsidRPr="005D2393">
        <w:rPr>
          <w:rStyle w:val="normaltextrun"/>
          <w:rFonts w:asciiTheme="minorHAnsi" w:eastAsiaTheme="majorEastAsia" w:hAnsiTheme="minorHAnsi" w:cstheme="minorHAnsi"/>
        </w:rPr>
        <w:t>o ensure:</w:t>
      </w:r>
    </w:p>
    <w:p w14:paraId="2AFD0289" w14:textId="77777777" w:rsidR="00F371EA" w:rsidRPr="005D2393" w:rsidRDefault="00F371EA" w:rsidP="001C1DD5">
      <w:pPr>
        <w:pStyle w:val="ListBullet"/>
        <w:jc w:val="both"/>
        <w:rPr>
          <w:rStyle w:val="normaltextrun"/>
          <w:rFonts w:asciiTheme="minorHAnsi" w:hAnsiTheme="minorHAnsi" w:cstheme="minorHAnsi"/>
          <w:color w:val="auto"/>
          <w:sz w:val="24"/>
          <w:lang w:eastAsia="en-AU"/>
        </w:rPr>
      </w:pPr>
      <w:r w:rsidRPr="005D2393">
        <w:rPr>
          <w:rFonts w:asciiTheme="minorHAnsi" w:hAnsiTheme="minorHAnsi" w:cstheme="minorHAnsi"/>
          <w:sz w:val="24"/>
        </w:rPr>
        <w:t>Equitable, timely, safe and affordable access to a high-quality and reliable supply of medicines</w:t>
      </w:r>
      <w:r w:rsidRPr="005D2393">
        <w:rPr>
          <w:rStyle w:val="normaltextrun"/>
          <w:rFonts w:asciiTheme="minorHAnsi" w:eastAsiaTheme="majorEastAsia" w:hAnsiTheme="minorHAnsi" w:cstheme="minorHAnsi"/>
          <w:sz w:val="24"/>
        </w:rPr>
        <w:t xml:space="preserve"> and medicines-related services </w:t>
      </w:r>
      <w:r w:rsidRPr="005D2393">
        <w:rPr>
          <w:rFonts w:asciiTheme="minorHAnsi" w:hAnsiTheme="minorHAnsi" w:cstheme="minorHAnsi"/>
          <w:sz w:val="24"/>
        </w:rPr>
        <w:t>for all Australians</w:t>
      </w:r>
      <w:r w:rsidRPr="005D2393">
        <w:rPr>
          <w:rStyle w:val="normaltextrun"/>
          <w:rFonts w:asciiTheme="minorHAnsi" w:eastAsiaTheme="majorEastAsia" w:hAnsiTheme="minorHAnsi" w:cstheme="minorHAnsi"/>
          <w:sz w:val="24"/>
        </w:rPr>
        <w:t>.</w:t>
      </w:r>
    </w:p>
    <w:p w14:paraId="4756FD1D" w14:textId="77777777" w:rsidR="00F371EA" w:rsidRPr="005D2393" w:rsidRDefault="00F371EA" w:rsidP="001C1DD5">
      <w:pPr>
        <w:pStyle w:val="ListBullet"/>
        <w:jc w:val="both"/>
        <w:rPr>
          <w:rStyle w:val="normaltextrun"/>
          <w:rFonts w:asciiTheme="minorHAnsi" w:hAnsiTheme="minorHAnsi" w:cstheme="minorHAnsi"/>
          <w:sz w:val="24"/>
        </w:rPr>
      </w:pPr>
      <w:r w:rsidRPr="005D2393">
        <w:rPr>
          <w:rStyle w:val="normaltextrun"/>
          <w:rFonts w:asciiTheme="minorHAnsi" w:eastAsiaTheme="majorEastAsia" w:hAnsiTheme="minorHAnsi" w:cstheme="minorHAnsi"/>
          <w:sz w:val="24"/>
        </w:rPr>
        <w:t>Medicines are used safely, optimally and judiciously, with a focus on informed choice and well-coordinated person-centred care.</w:t>
      </w:r>
    </w:p>
    <w:p w14:paraId="6F3915FA" w14:textId="77777777" w:rsidR="00F371EA" w:rsidRPr="005D2393" w:rsidRDefault="00F371EA" w:rsidP="001C1DD5">
      <w:pPr>
        <w:pStyle w:val="ListBullet"/>
        <w:jc w:val="both"/>
        <w:rPr>
          <w:rFonts w:asciiTheme="minorHAnsi" w:hAnsiTheme="minorHAnsi" w:cstheme="minorHAnsi"/>
          <w:sz w:val="24"/>
        </w:rPr>
      </w:pPr>
      <w:r w:rsidRPr="005D2393">
        <w:rPr>
          <w:rFonts w:asciiTheme="minorHAnsi" w:hAnsiTheme="minorHAnsi" w:cstheme="minorHAnsi"/>
          <w:sz w:val="24"/>
        </w:rPr>
        <w:t>Support for a positive and sustainable policy environment to drive world-class innovation and research, including translational research, and the successful development of medicines and medicines-related services in Australia.</w:t>
      </w:r>
    </w:p>
    <w:p w14:paraId="2DB13A97" w14:textId="43E0B336" w:rsidR="00F92AA0" w:rsidRPr="005D2393" w:rsidRDefault="00F92AA0" w:rsidP="00AB2402">
      <w:pPr>
        <w:pStyle w:val="Heading2"/>
        <w:jc w:val="both"/>
      </w:pPr>
      <w:bookmarkStart w:id="5" w:name="_Toc127368762"/>
      <w:r w:rsidRPr="005D2393">
        <w:t>HTA in Australia</w:t>
      </w:r>
      <w:bookmarkEnd w:id="5"/>
    </w:p>
    <w:p w14:paraId="2C0686AB" w14:textId="09476969" w:rsidR="008E3EDB" w:rsidRPr="005D2393" w:rsidRDefault="0080450F" w:rsidP="00AF47B6">
      <w:pPr>
        <w:spacing w:line="240" w:lineRule="auto"/>
        <w:jc w:val="both"/>
        <w:rPr>
          <w:rFonts w:cs="Arial"/>
        </w:rPr>
      </w:pPr>
      <w:r w:rsidRPr="005D2393">
        <w:rPr>
          <w:rFonts w:cs="Arial"/>
          <w:szCs w:val="20"/>
        </w:rPr>
        <w:t xml:space="preserve">The </w:t>
      </w:r>
      <w:r w:rsidR="00F45388" w:rsidRPr="005D2393">
        <w:rPr>
          <w:rFonts w:cs="Arial"/>
          <w:szCs w:val="20"/>
        </w:rPr>
        <w:t>NMP</w:t>
      </w:r>
      <w:r w:rsidRPr="005D2393">
        <w:rPr>
          <w:rFonts w:cs="Arial"/>
          <w:szCs w:val="20"/>
        </w:rPr>
        <w:t xml:space="preserve"> vision and aims are supported by </w:t>
      </w:r>
      <w:r w:rsidR="003714B5" w:rsidRPr="005D2393">
        <w:rPr>
          <w:rFonts w:cs="Arial"/>
          <w:szCs w:val="20"/>
        </w:rPr>
        <w:t xml:space="preserve">subsidy schemes and funding programs like the Pharmaceutical Benefits Scheme (PBS), the Medicare Benefits Schedule, the National Immunisation Program and the Life Saving Drugs Program (LSDP) and through the </w:t>
      </w:r>
      <w:r w:rsidR="00152098" w:rsidRPr="005D2393">
        <w:rPr>
          <w:rFonts w:cs="Arial"/>
          <w:szCs w:val="20"/>
        </w:rPr>
        <w:t>National Health Reform Agreement</w:t>
      </w:r>
      <w:r w:rsidR="003714B5" w:rsidRPr="005D2393">
        <w:rPr>
          <w:rFonts w:cs="Arial"/>
          <w:szCs w:val="20"/>
        </w:rPr>
        <w:t xml:space="preserve"> </w:t>
      </w:r>
      <w:r w:rsidR="00897D0A">
        <w:rPr>
          <w:rFonts w:cs="Arial"/>
          <w:szCs w:val="20"/>
        </w:rPr>
        <w:t>between the Australian Government and all</w:t>
      </w:r>
      <w:r w:rsidR="003714B5" w:rsidRPr="005D2393">
        <w:rPr>
          <w:rFonts w:cs="Arial"/>
          <w:szCs w:val="20"/>
        </w:rPr>
        <w:t xml:space="preserve"> state and territor</w:t>
      </w:r>
      <w:r w:rsidR="00897D0A">
        <w:rPr>
          <w:rFonts w:cs="Arial"/>
          <w:szCs w:val="20"/>
        </w:rPr>
        <w:t>y governments</w:t>
      </w:r>
      <w:r w:rsidR="003714B5" w:rsidRPr="005D2393">
        <w:rPr>
          <w:rFonts w:cs="Arial"/>
          <w:szCs w:val="20"/>
        </w:rPr>
        <w:t>.</w:t>
      </w:r>
      <w:r w:rsidR="00B37B14" w:rsidRPr="005D2393">
        <w:rPr>
          <w:rFonts w:cs="Arial"/>
          <w:szCs w:val="20"/>
        </w:rPr>
        <w:t xml:space="preserve"> These programs have</w:t>
      </w:r>
      <w:r w:rsidR="00C62AC7" w:rsidRPr="005D2393">
        <w:rPr>
          <w:rFonts w:cs="Arial"/>
          <w:szCs w:val="20"/>
        </w:rPr>
        <w:t>,</w:t>
      </w:r>
      <w:r w:rsidR="00B37B14" w:rsidRPr="005D2393">
        <w:rPr>
          <w:rFonts w:cs="Arial"/>
          <w:szCs w:val="20"/>
        </w:rPr>
        <w:t xml:space="preserve"> over many years</w:t>
      </w:r>
      <w:r w:rsidR="00C62AC7" w:rsidRPr="005D2393">
        <w:rPr>
          <w:rFonts w:cs="Arial"/>
          <w:szCs w:val="20"/>
        </w:rPr>
        <w:t>,</w:t>
      </w:r>
      <w:r w:rsidR="00B37B14" w:rsidRPr="005D2393">
        <w:rPr>
          <w:rFonts w:cs="Arial"/>
          <w:szCs w:val="20"/>
        </w:rPr>
        <w:t xml:space="preserve"> enabled</w:t>
      </w:r>
      <w:r w:rsidR="003714B5" w:rsidRPr="005D2393">
        <w:rPr>
          <w:rFonts w:cs="Arial"/>
        </w:rPr>
        <w:t xml:space="preserve"> </w:t>
      </w:r>
      <w:r w:rsidR="004F1866" w:rsidRPr="005D2393">
        <w:rPr>
          <w:rFonts w:cs="Arial"/>
          <w:szCs w:val="20"/>
        </w:rPr>
        <w:t>Australians</w:t>
      </w:r>
      <w:r w:rsidRPr="005D2393">
        <w:rPr>
          <w:rFonts w:cs="Arial"/>
          <w:szCs w:val="20"/>
        </w:rPr>
        <w:t xml:space="preserve"> </w:t>
      </w:r>
      <w:r w:rsidR="00B37B14" w:rsidRPr="005D2393">
        <w:rPr>
          <w:rFonts w:cs="Arial"/>
          <w:szCs w:val="20"/>
        </w:rPr>
        <w:t>to gain</w:t>
      </w:r>
      <w:r w:rsidRPr="005D2393">
        <w:rPr>
          <w:rFonts w:cs="Arial"/>
          <w:szCs w:val="20"/>
        </w:rPr>
        <w:t xml:space="preserve"> subsidised access to the most effective health technologies for the prevention, management, and treatment of medical conditions. </w:t>
      </w:r>
      <w:r w:rsidR="002F5E98" w:rsidRPr="005D2393">
        <w:rPr>
          <w:rFonts w:cs="Arial"/>
        </w:rPr>
        <w:t xml:space="preserve">The </w:t>
      </w:r>
      <w:r w:rsidR="00DF29C8" w:rsidRPr="005D2393">
        <w:rPr>
          <w:rFonts w:cs="Arial"/>
        </w:rPr>
        <w:t>purpose</w:t>
      </w:r>
      <w:r w:rsidR="002F5E98" w:rsidRPr="005D2393">
        <w:rPr>
          <w:rFonts w:cs="Arial"/>
        </w:rPr>
        <w:t xml:space="preserve"> of these programs is </w:t>
      </w:r>
      <w:r w:rsidR="00A717A3" w:rsidRPr="005D2393">
        <w:rPr>
          <w:rFonts w:cs="Arial"/>
        </w:rPr>
        <w:t xml:space="preserve">ensuring </w:t>
      </w:r>
      <w:r w:rsidR="00857F2E">
        <w:rPr>
          <w:rFonts w:cs="Arial"/>
        </w:rPr>
        <w:t>Australians</w:t>
      </w:r>
      <w:r w:rsidR="00857F2E" w:rsidRPr="005D2393">
        <w:rPr>
          <w:rFonts w:cs="Arial"/>
        </w:rPr>
        <w:t xml:space="preserve"> </w:t>
      </w:r>
      <w:r w:rsidR="00A717A3" w:rsidRPr="005D2393">
        <w:rPr>
          <w:rFonts w:cs="Arial"/>
        </w:rPr>
        <w:t xml:space="preserve">have </w:t>
      </w:r>
      <w:r w:rsidR="002F5E98" w:rsidRPr="005D2393">
        <w:rPr>
          <w:rFonts w:cs="Arial"/>
        </w:rPr>
        <w:t>access to</w:t>
      </w:r>
      <w:r w:rsidR="00A717A3" w:rsidRPr="005D2393">
        <w:rPr>
          <w:rFonts w:cs="Arial"/>
        </w:rPr>
        <w:t xml:space="preserve"> the</w:t>
      </w:r>
      <w:r w:rsidR="002F5E98" w:rsidRPr="005D2393">
        <w:rPr>
          <w:rFonts w:cs="Arial"/>
        </w:rPr>
        <w:t xml:space="preserve"> treatments that they need. </w:t>
      </w:r>
      <w:r w:rsidR="004B1512">
        <w:rPr>
          <w:rFonts w:cs="Arial"/>
        </w:rPr>
        <w:t>The</w:t>
      </w:r>
      <w:r w:rsidR="002F5E98" w:rsidRPr="005D2393">
        <w:rPr>
          <w:rFonts w:cs="Arial"/>
        </w:rPr>
        <w:t xml:space="preserve"> processes of acquiring these medicines by necessity involves commercial negotiations and arrangements between the suppliers and the </w:t>
      </w:r>
      <w:r w:rsidR="004D13DA" w:rsidRPr="005D2393">
        <w:rPr>
          <w:rFonts w:cs="Arial"/>
        </w:rPr>
        <w:t xml:space="preserve">Australian </w:t>
      </w:r>
      <w:r w:rsidR="002F5E98" w:rsidRPr="005D2393">
        <w:rPr>
          <w:rFonts w:cs="Arial"/>
        </w:rPr>
        <w:t>Government.</w:t>
      </w:r>
    </w:p>
    <w:p w14:paraId="55401FC0" w14:textId="5FC7FE71" w:rsidR="00111CBD" w:rsidRPr="005D2393" w:rsidRDefault="00111CBD" w:rsidP="00111CBD">
      <w:pPr>
        <w:spacing w:line="240" w:lineRule="auto"/>
        <w:jc w:val="both"/>
        <w:rPr>
          <w:rFonts w:cs="Arial"/>
        </w:rPr>
      </w:pPr>
      <w:r w:rsidRPr="005D2393">
        <w:rPr>
          <w:rFonts w:cs="Arial"/>
        </w:rPr>
        <w:t xml:space="preserve">To ensure value for the expenditure of public funds, an </w:t>
      </w:r>
      <w:r w:rsidR="003714B5" w:rsidRPr="005D2393">
        <w:rPr>
          <w:rFonts w:cs="Arial"/>
        </w:rPr>
        <w:t>essential step in</w:t>
      </w:r>
      <w:r w:rsidR="00394C19" w:rsidRPr="005D2393">
        <w:rPr>
          <w:rFonts w:cs="Arial"/>
        </w:rPr>
        <w:t xml:space="preserve"> </w:t>
      </w:r>
      <w:r w:rsidR="008E3EDB" w:rsidRPr="005D2393">
        <w:rPr>
          <w:rFonts w:cs="Arial"/>
        </w:rPr>
        <w:t xml:space="preserve">Government </w:t>
      </w:r>
      <w:r w:rsidR="003714B5" w:rsidRPr="005D2393">
        <w:rPr>
          <w:rFonts w:cs="Arial"/>
        </w:rPr>
        <w:t>decisions to subsidise health technologies involves advice from independent expert committees comprising doctors, health professionals, health economists and consumer representatives. These members are appointed to be the preeminent source of advice to Government on decisions to subsidise health technologies (including for whom and at what cost). When deciding their advice, the expert advisory committees consider a</w:t>
      </w:r>
      <w:r w:rsidR="002F5E98" w:rsidRPr="005D2393">
        <w:rPr>
          <w:rFonts w:cs="Arial"/>
        </w:rPr>
        <w:t>n</w:t>
      </w:r>
      <w:r w:rsidR="003714B5" w:rsidRPr="005D2393">
        <w:rPr>
          <w:rFonts w:cs="Arial"/>
        </w:rPr>
        <w:t xml:space="preserve"> </w:t>
      </w:r>
      <w:r w:rsidR="00473FE0" w:rsidRPr="005D2393">
        <w:rPr>
          <w:rFonts w:cs="Arial"/>
        </w:rPr>
        <w:t>evaluation</w:t>
      </w:r>
      <w:r w:rsidR="003714B5" w:rsidRPr="005D2393">
        <w:rPr>
          <w:rFonts w:cs="Arial"/>
        </w:rPr>
        <w:t xml:space="preserve"> which summarises relevant information including clinical safety, effectiveness and cost of health technologies compared to alternatives and a range of other factors. </w:t>
      </w:r>
      <w:bookmarkStart w:id="6" w:name="_Hlk122612171"/>
      <w:r w:rsidRPr="005D2393">
        <w:rPr>
          <w:rFonts w:cs="Arial"/>
        </w:rPr>
        <w:t>HTA enables recommendations to Government that synthesise these elements, enabling decisions on subsidy to be based on the most robust estimates of the health gains produced if a given health technology is purchased at the price offered by the sponsor.</w:t>
      </w:r>
    </w:p>
    <w:p w14:paraId="180ED9D3" w14:textId="4DB60FD6" w:rsidR="002E41A6" w:rsidRPr="005D2393" w:rsidRDefault="00111CBD" w:rsidP="00111CBD">
      <w:pPr>
        <w:spacing w:line="240" w:lineRule="auto"/>
        <w:jc w:val="both"/>
        <w:rPr>
          <w:rFonts w:cs="Arial"/>
        </w:rPr>
      </w:pPr>
      <w:r w:rsidRPr="005D2393">
        <w:rPr>
          <w:rFonts w:cs="Arial"/>
        </w:rPr>
        <w:t>Introduction of new health technologies typically require</w:t>
      </w:r>
      <w:r w:rsidR="005353C2" w:rsidRPr="005D2393">
        <w:rPr>
          <w:rFonts w:cs="Arial"/>
        </w:rPr>
        <w:t>s</w:t>
      </w:r>
      <w:r w:rsidRPr="005D2393">
        <w:rPr>
          <w:rFonts w:cs="Arial"/>
        </w:rPr>
        <w:t xml:space="preserve"> new government expenditure in order to purchase proprietary products from commercial suppliers (sponsors). Ultimately there will always be tension on cost of a product between a commercial supplier seeking reward for their innovation in bringing the product to market and a sensible buyer, seeking value for their money. In this instance, the buyer is the Government acting on behalf of all Australians.</w:t>
      </w:r>
    </w:p>
    <w:p w14:paraId="5C8A6F70" w14:textId="77777777" w:rsidR="002E41A6" w:rsidRPr="005D2393" w:rsidRDefault="002E41A6" w:rsidP="00AB2402">
      <w:pPr>
        <w:jc w:val="both"/>
        <w:rPr>
          <w:rFonts w:cs="Arial"/>
        </w:rPr>
      </w:pPr>
      <w:r w:rsidRPr="005D2393">
        <w:rPr>
          <w:rFonts w:cs="Arial"/>
        </w:rPr>
        <w:br w:type="page"/>
      </w:r>
    </w:p>
    <w:bookmarkEnd w:id="6"/>
    <w:p w14:paraId="00974F71" w14:textId="2D53D383" w:rsidR="003714B5" w:rsidRPr="005D2393" w:rsidRDefault="003714B5" w:rsidP="00AF47B6">
      <w:pPr>
        <w:spacing w:line="240" w:lineRule="auto"/>
        <w:jc w:val="both"/>
        <w:rPr>
          <w:rFonts w:cs="Arial"/>
        </w:rPr>
      </w:pPr>
      <w:r w:rsidRPr="005D2393">
        <w:rPr>
          <w:rFonts w:cs="Arial"/>
        </w:rPr>
        <w:lastRenderedPageBreak/>
        <w:t xml:space="preserve">The </w:t>
      </w:r>
      <w:r w:rsidR="00F031B5" w:rsidRPr="005D2393">
        <w:rPr>
          <w:rFonts w:cs="Arial"/>
        </w:rPr>
        <w:t>PBAC</w:t>
      </w:r>
      <w:r w:rsidRPr="005D2393">
        <w:rPr>
          <w:rFonts w:cs="Arial"/>
        </w:rPr>
        <w:t xml:space="preserve"> decision making, for example, is influenced by five quantitative factors: </w:t>
      </w:r>
    </w:p>
    <w:p w14:paraId="47CF5F0B" w14:textId="77777777" w:rsidR="003714B5" w:rsidRPr="005D2393" w:rsidRDefault="003714B5" w:rsidP="00AF47B6">
      <w:pPr>
        <w:pStyle w:val="ListParagraph"/>
        <w:numPr>
          <w:ilvl w:val="0"/>
          <w:numId w:val="8"/>
        </w:numPr>
        <w:spacing w:line="240" w:lineRule="auto"/>
        <w:jc w:val="both"/>
        <w:rPr>
          <w:rFonts w:cs="Arial"/>
        </w:rPr>
      </w:pPr>
      <w:r w:rsidRPr="005D2393">
        <w:rPr>
          <w:rFonts w:cs="Arial"/>
        </w:rPr>
        <w:t>comparative health gain assessed in terms of both the magnitude of effect and clinical importance of effect</w:t>
      </w:r>
    </w:p>
    <w:p w14:paraId="797DFD4A" w14:textId="77777777" w:rsidR="003714B5" w:rsidRPr="005D2393" w:rsidRDefault="003714B5" w:rsidP="00AF47B6">
      <w:pPr>
        <w:pStyle w:val="ListParagraph"/>
        <w:numPr>
          <w:ilvl w:val="0"/>
          <w:numId w:val="8"/>
        </w:numPr>
        <w:spacing w:line="240" w:lineRule="auto"/>
        <w:jc w:val="both"/>
        <w:rPr>
          <w:rFonts w:cs="Arial"/>
        </w:rPr>
      </w:pPr>
      <w:r w:rsidRPr="005D2393">
        <w:rPr>
          <w:rFonts w:cs="Arial"/>
        </w:rPr>
        <w:t>comparative cost-effectiveness presented as incremental cost-effectiveness ratios (including incremental cost-utility ratios) or a cost-minimisation approach</w:t>
      </w:r>
    </w:p>
    <w:p w14:paraId="716AF272" w14:textId="34A04398" w:rsidR="003714B5" w:rsidRPr="005D2393" w:rsidRDefault="003714B5" w:rsidP="00AF47B6">
      <w:pPr>
        <w:pStyle w:val="ListParagraph"/>
        <w:numPr>
          <w:ilvl w:val="0"/>
          <w:numId w:val="8"/>
        </w:numPr>
        <w:spacing w:line="240" w:lineRule="auto"/>
        <w:jc w:val="both"/>
        <w:rPr>
          <w:rFonts w:cs="Arial"/>
        </w:rPr>
      </w:pPr>
      <w:r w:rsidRPr="005D2393">
        <w:rPr>
          <w:rFonts w:cs="Arial"/>
        </w:rPr>
        <w:t>affordability in the absence of PBS subsidy</w:t>
      </w:r>
    </w:p>
    <w:p w14:paraId="2EE3F547" w14:textId="77777777" w:rsidR="003714B5" w:rsidRPr="005D2393" w:rsidRDefault="003714B5" w:rsidP="00AF47B6">
      <w:pPr>
        <w:pStyle w:val="ListParagraph"/>
        <w:numPr>
          <w:ilvl w:val="0"/>
          <w:numId w:val="8"/>
        </w:numPr>
        <w:spacing w:line="240" w:lineRule="auto"/>
        <w:jc w:val="both"/>
        <w:rPr>
          <w:rFonts w:cs="Arial"/>
        </w:rPr>
      </w:pPr>
      <w:r w:rsidRPr="005D2393">
        <w:rPr>
          <w:rFonts w:cs="Arial"/>
        </w:rPr>
        <w:t>predicted use in practice and financial implications for the PBS</w:t>
      </w:r>
    </w:p>
    <w:p w14:paraId="7A4573FD" w14:textId="77777777" w:rsidR="003714B5" w:rsidRPr="005D2393" w:rsidRDefault="003714B5" w:rsidP="00AF47B6">
      <w:pPr>
        <w:pStyle w:val="ListParagraph"/>
        <w:numPr>
          <w:ilvl w:val="0"/>
          <w:numId w:val="8"/>
        </w:numPr>
        <w:spacing w:line="240" w:lineRule="auto"/>
        <w:jc w:val="both"/>
        <w:rPr>
          <w:rFonts w:cs="Arial"/>
        </w:rPr>
      </w:pPr>
      <w:r w:rsidRPr="005D2393">
        <w:rPr>
          <w:rFonts w:cs="Arial"/>
        </w:rPr>
        <w:t xml:space="preserve">predicted use in practice and financial implications for the Government’s health budget. </w:t>
      </w:r>
    </w:p>
    <w:p w14:paraId="557FB0E3" w14:textId="77777777" w:rsidR="003714B5" w:rsidRPr="005D2393" w:rsidRDefault="003714B5" w:rsidP="00AF47B6">
      <w:pPr>
        <w:spacing w:line="240" w:lineRule="auto"/>
        <w:jc w:val="both"/>
        <w:rPr>
          <w:rFonts w:cs="Arial"/>
        </w:rPr>
      </w:pPr>
      <w:r w:rsidRPr="005D2393">
        <w:rPr>
          <w:rFonts w:cs="Arial"/>
        </w:rPr>
        <w:t xml:space="preserve">Other less-readily quantifiable factors that also influence PBAC decision making include: </w:t>
      </w:r>
    </w:p>
    <w:p w14:paraId="1EB1D799" w14:textId="77777777" w:rsidR="003714B5" w:rsidRPr="005D2393" w:rsidRDefault="003714B5" w:rsidP="00AF47B6">
      <w:pPr>
        <w:pStyle w:val="ListParagraph"/>
        <w:numPr>
          <w:ilvl w:val="0"/>
          <w:numId w:val="9"/>
        </w:numPr>
        <w:spacing w:line="240" w:lineRule="auto"/>
        <w:jc w:val="both"/>
        <w:rPr>
          <w:rFonts w:cs="Arial"/>
        </w:rPr>
      </w:pPr>
      <w:r w:rsidRPr="005D2393">
        <w:rPr>
          <w:rFonts w:cs="Arial"/>
        </w:rPr>
        <w:t xml:space="preserve">overall confidence in the evidence and assumptions relied on in submissions </w:t>
      </w:r>
    </w:p>
    <w:p w14:paraId="27A8C7F9" w14:textId="535BBD56" w:rsidR="003714B5" w:rsidRPr="005D2393" w:rsidRDefault="003714B5" w:rsidP="00AF47B6">
      <w:pPr>
        <w:pStyle w:val="ListParagraph"/>
        <w:numPr>
          <w:ilvl w:val="0"/>
          <w:numId w:val="9"/>
        </w:numPr>
        <w:spacing w:line="240" w:lineRule="auto"/>
        <w:jc w:val="both"/>
        <w:rPr>
          <w:rFonts w:cs="Arial"/>
        </w:rPr>
      </w:pPr>
      <w:r w:rsidRPr="005D2393">
        <w:rPr>
          <w:rFonts w:cs="Arial"/>
        </w:rPr>
        <w:t xml:space="preserve">equity </w:t>
      </w:r>
      <w:r w:rsidR="00397D9E" w:rsidRPr="005D2393">
        <w:rPr>
          <w:rFonts w:cs="Arial"/>
        </w:rPr>
        <w:t xml:space="preserve">of </w:t>
      </w:r>
      <w:r w:rsidRPr="005D2393">
        <w:rPr>
          <w:rFonts w:cs="Arial"/>
        </w:rPr>
        <w:t xml:space="preserve">access issues such as age, or socioeconomic and geographical status </w:t>
      </w:r>
    </w:p>
    <w:p w14:paraId="110C6890" w14:textId="77777777" w:rsidR="003714B5" w:rsidRPr="005D2393" w:rsidRDefault="003714B5" w:rsidP="00AF47B6">
      <w:pPr>
        <w:pStyle w:val="ListParagraph"/>
        <w:numPr>
          <w:ilvl w:val="0"/>
          <w:numId w:val="9"/>
        </w:numPr>
        <w:spacing w:line="240" w:lineRule="auto"/>
        <w:jc w:val="both"/>
        <w:rPr>
          <w:rFonts w:cs="Arial"/>
        </w:rPr>
      </w:pPr>
      <w:r w:rsidRPr="005D2393">
        <w:rPr>
          <w:rFonts w:cs="Arial"/>
        </w:rPr>
        <w:t>presence of effective therapeutic alternatives where it influences the need for the medicine on the PBS</w:t>
      </w:r>
    </w:p>
    <w:p w14:paraId="24140C45" w14:textId="12596D0B" w:rsidR="003714B5" w:rsidRPr="005D2393" w:rsidRDefault="003714B5" w:rsidP="00AF47B6">
      <w:pPr>
        <w:pStyle w:val="ListParagraph"/>
        <w:numPr>
          <w:ilvl w:val="0"/>
          <w:numId w:val="9"/>
        </w:numPr>
        <w:spacing w:line="240" w:lineRule="auto"/>
        <w:jc w:val="both"/>
        <w:rPr>
          <w:rFonts w:cs="Arial"/>
        </w:rPr>
      </w:pPr>
      <w:r w:rsidRPr="005D2393">
        <w:rPr>
          <w:rFonts w:cs="Arial"/>
        </w:rPr>
        <w:t>severity of the medical condition treated</w:t>
      </w:r>
      <w:r w:rsidR="00397D9E" w:rsidRPr="005D2393">
        <w:rPr>
          <w:rFonts w:cs="Arial"/>
        </w:rPr>
        <w:t xml:space="preserve">, </w:t>
      </w:r>
      <w:r w:rsidRPr="005D2393">
        <w:rPr>
          <w:rFonts w:cs="Arial"/>
        </w:rPr>
        <w:t>emphasising the nature and extent of disease as it is currently managed</w:t>
      </w:r>
    </w:p>
    <w:p w14:paraId="30277022" w14:textId="77777777" w:rsidR="003714B5" w:rsidRPr="005D2393" w:rsidRDefault="003714B5" w:rsidP="00AF47B6">
      <w:pPr>
        <w:pStyle w:val="ListParagraph"/>
        <w:numPr>
          <w:ilvl w:val="0"/>
          <w:numId w:val="9"/>
        </w:numPr>
        <w:spacing w:line="240" w:lineRule="auto"/>
        <w:jc w:val="both"/>
        <w:rPr>
          <w:rFonts w:cs="Arial"/>
        </w:rPr>
      </w:pPr>
      <w:r w:rsidRPr="005D2393">
        <w:rPr>
          <w:rFonts w:cs="Arial"/>
        </w:rPr>
        <w:t>ability to target therapy with the proposed medicine precisely and effectively to patients likely to benefit most</w:t>
      </w:r>
    </w:p>
    <w:p w14:paraId="7405A39D" w14:textId="784D2A12" w:rsidR="003714B5" w:rsidRPr="005D2393" w:rsidRDefault="003714B5" w:rsidP="00AF47B6">
      <w:pPr>
        <w:pStyle w:val="ListParagraph"/>
        <w:numPr>
          <w:ilvl w:val="0"/>
          <w:numId w:val="9"/>
        </w:numPr>
        <w:spacing w:line="240" w:lineRule="auto"/>
        <w:jc w:val="both"/>
        <w:rPr>
          <w:rFonts w:cs="Arial"/>
        </w:rPr>
      </w:pPr>
      <w:r w:rsidRPr="005D2393">
        <w:rPr>
          <w:rFonts w:cs="Arial"/>
        </w:rPr>
        <w:t>public health issues such as development of antimicrobial resistan</w:t>
      </w:r>
      <w:r w:rsidR="0056076D" w:rsidRPr="005D2393">
        <w:rPr>
          <w:rFonts w:cs="Arial"/>
        </w:rPr>
        <w:t>ce</w:t>
      </w:r>
    </w:p>
    <w:p w14:paraId="2B64AE97" w14:textId="03E60C41" w:rsidR="00DA34FD" w:rsidRPr="005D2393" w:rsidRDefault="00187531" w:rsidP="004B1512">
      <w:pPr>
        <w:pStyle w:val="ListParagraph"/>
        <w:numPr>
          <w:ilvl w:val="0"/>
          <w:numId w:val="9"/>
        </w:numPr>
        <w:spacing w:line="240" w:lineRule="auto"/>
        <w:jc w:val="both"/>
        <w:rPr>
          <w:rFonts w:cs="Arial"/>
        </w:rPr>
      </w:pPr>
      <w:r w:rsidRPr="005D2393">
        <w:rPr>
          <w:rFonts w:cs="Arial"/>
        </w:rPr>
        <w:t xml:space="preserve">any </w:t>
      </w:r>
      <w:r w:rsidR="003714B5" w:rsidRPr="005D2393">
        <w:rPr>
          <w:rFonts w:cs="Arial"/>
        </w:rPr>
        <w:t>other relevant factor</w:t>
      </w:r>
      <w:r w:rsidR="00C65A36" w:rsidRPr="005D2393">
        <w:rPr>
          <w:rFonts w:cs="Arial"/>
        </w:rPr>
        <w:t>s</w:t>
      </w:r>
      <w:r w:rsidR="003714B5" w:rsidRPr="005D2393">
        <w:rPr>
          <w:rFonts w:cs="Arial"/>
        </w:rPr>
        <w:t xml:space="preserve"> that may affect the suitability of the medicine for listing on the PBS </w:t>
      </w:r>
      <w:r w:rsidR="00C65A36" w:rsidRPr="005D2393">
        <w:rPr>
          <w:rFonts w:cs="Arial"/>
        </w:rPr>
        <w:t>instead of</w:t>
      </w:r>
      <w:r w:rsidR="003714B5" w:rsidRPr="005D2393">
        <w:rPr>
          <w:rFonts w:cs="Arial"/>
        </w:rPr>
        <w:t xml:space="preserve"> other Government programs that support health care access </w:t>
      </w:r>
    </w:p>
    <w:p w14:paraId="6E88C703" w14:textId="23B18163" w:rsidR="00DA34FD" w:rsidRPr="005D2393" w:rsidRDefault="00DA34FD" w:rsidP="006944EF">
      <w:pPr>
        <w:pStyle w:val="ListParagraph"/>
        <w:numPr>
          <w:ilvl w:val="0"/>
          <w:numId w:val="9"/>
        </w:numPr>
        <w:spacing w:line="240" w:lineRule="auto"/>
        <w:jc w:val="both"/>
        <w:rPr>
          <w:szCs w:val="24"/>
        </w:rPr>
      </w:pPr>
      <w:r w:rsidRPr="005D2393">
        <w:rPr>
          <w:szCs w:val="24"/>
        </w:rPr>
        <w:t>consumer comments, which help the PBAC understand what consumers consider to be the main benefits and harms of the proposed medicine.</w:t>
      </w:r>
    </w:p>
    <w:p w14:paraId="7357A9BA" w14:textId="1DCA047A" w:rsidR="004B62AF" w:rsidRPr="005D2393" w:rsidRDefault="004920A6" w:rsidP="00AF47B6">
      <w:pPr>
        <w:spacing w:line="240" w:lineRule="auto"/>
        <w:jc w:val="both"/>
        <w:rPr>
          <w:rFonts w:cs="Arial"/>
        </w:rPr>
      </w:pPr>
      <w:r w:rsidRPr="005D2393">
        <w:rPr>
          <w:rFonts w:cs="Arial"/>
        </w:rPr>
        <w:t>In</w:t>
      </w:r>
      <w:r w:rsidR="004B62AF" w:rsidRPr="005D2393">
        <w:rPr>
          <w:rFonts w:cs="Arial"/>
        </w:rPr>
        <w:t xml:space="preserve"> special circumstances of high unmet clinical need, </w:t>
      </w:r>
      <w:r w:rsidRPr="005D2393">
        <w:rPr>
          <w:rFonts w:cs="Arial"/>
        </w:rPr>
        <w:t xml:space="preserve">there are </w:t>
      </w:r>
      <w:r w:rsidR="00996598" w:rsidRPr="005D2393">
        <w:rPr>
          <w:rFonts w:cs="Arial"/>
        </w:rPr>
        <w:t xml:space="preserve">also </w:t>
      </w:r>
      <w:r w:rsidRPr="005D2393">
        <w:rPr>
          <w:rFonts w:cs="Arial"/>
        </w:rPr>
        <w:t xml:space="preserve">managed access arrangements that enable subsidy of some new health technologies </w:t>
      </w:r>
      <w:r w:rsidR="004B62AF" w:rsidRPr="005D2393">
        <w:rPr>
          <w:rFonts w:cs="Arial"/>
        </w:rPr>
        <w:t>on terms that allow for the resolution of otherwise unacceptable clinical or economic uncertainty</w:t>
      </w:r>
      <w:r w:rsidRPr="005D2393">
        <w:rPr>
          <w:rFonts w:cs="Arial"/>
        </w:rPr>
        <w:t>.</w:t>
      </w:r>
      <w:r w:rsidR="001B181C" w:rsidRPr="005D2393">
        <w:rPr>
          <w:rFonts w:cs="Arial"/>
        </w:rPr>
        <w:t xml:space="preserve"> </w:t>
      </w:r>
    </w:p>
    <w:p w14:paraId="5F23AE85" w14:textId="6CFF1BBA" w:rsidR="00F92AA0" w:rsidRPr="005D2393" w:rsidRDefault="003714B5" w:rsidP="00AF47B6">
      <w:pPr>
        <w:spacing w:line="240" w:lineRule="auto"/>
        <w:jc w:val="both"/>
        <w:rPr>
          <w:rFonts w:cs="Arial"/>
          <w:szCs w:val="20"/>
        </w:rPr>
      </w:pPr>
      <w:r w:rsidRPr="005D2393">
        <w:rPr>
          <w:rFonts w:cs="Arial"/>
        </w:rPr>
        <w:t xml:space="preserve">Formal HTA is an approach to ensure these factors are considered in a consistent way. </w:t>
      </w:r>
      <w:r w:rsidR="00122390" w:rsidRPr="005D2393">
        <w:rPr>
          <w:rFonts w:cs="Arial"/>
        </w:rPr>
        <w:t>HTA</w:t>
      </w:r>
      <w:r w:rsidRPr="005D2393">
        <w:rPr>
          <w:rFonts w:cs="Arial"/>
          <w:szCs w:val="20"/>
        </w:rPr>
        <w:t xml:space="preserve"> methods continuously evolve</w:t>
      </w:r>
      <w:r w:rsidR="00BA680B" w:rsidRPr="005D2393">
        <w:rPr>
          <w:rFonts w:cs="Arial"/>
          <w:szCs w:val="20"/>
        </w:rPr>
        <w:t>,</w:t>
      </w:r>
      <w:r w:rsidRPr="005D2393">
        <w:rPr>
          <w:rFonts w:cs="Arial"/>
          <w:szCs w:val="20"/>
        </w:rPr>
        <w:t xml:space="preserve"> necessit</w:t>
      </w:r>
      <w:r w:rsidR="00BA680B" w:rsidRPr="005D2393">
        <w:rPr>
          <w:rFonts w:cs="Arial"/>
          <w:szCs w:val="20"/>
        </w:rPr>
        <w:t>ating</w:t>
      </w:r>
      <w:r w:rsidRPr="005D2393">
        <w:rPr>
          <w:rFonts w:cs="Arial"/>
          <w:szCs w:val="20"/>
        </w:rPr>
        <w:t xml:space="preserve"> periodic review and update of HTA policy and methods. Since the requirement for the PBAC to consider cost-effectiveness in its decisions in 1987, the </w:t>
      </w:r>
      <w:r w:rsidR="00F92AA0" w:rsidRPr="005D2393">
        <w:rPr>
          <w:rFonts w:cs="Arial"/>
          <w:szCs w:val="20"/>
        </w:rPr>
        <w:t>PBAC</w:t>
      </w:r>
      <w:r w:rsidRPr="005D2393">
        <w:rPr>
          <w:rFonts w:cs="Arial"/>
          <w:szCs w:val="20"/>
        </w:rPr>
        <w:t xml:space="preserve"> guidelines on submissions have been reviewed at regular intervals – most recently in 2016. </w:t>
      </w:r>
      <w:r w:rsidR="00F031B5" w:rsidRPr="005D2393">
        <w:rPr>
          <w:rFonts w:cs="Arial"/>
          <w:szCs w:val="20"/>
        </w:rPr>
        <w:t xml:space="preserve">The </w:t>
      </w:r>
      <w:r w:rsidR="0038153C" w:rsidRPr="005D2393">
        <w:rPr>
          <w:rFonts w:cs="Arial"/>
          <w:szCs w:val="20"/>
        </w:rPr>
        <w:t>Medical Services Advisory Committee (</w:t>
      </w:r>
      <w:r w:rsidR="00F031B5" w:rsidRPr="005D2393">
        <w:rPr>
          <w:rFonts w:cs="Arial"/>
          <w:szCs w:val="20"/>
        </w:rPr>
        <w:t>MSAC</w:t>
      </w:r>
      <w:r w:rsidR="0038153C" w:rsidRPr="005D2393">
        <w:rPr>
          <w:rFonts w:cs="Arial"/>
          <w:szCs w:val="20"/>
        </w:rPr>
        <w:t>)</w:t>
      </w:r>
      <w:r w:rsidR="00F031B5" w:rsidRPr="005D2393">
        <w:rPr>
          <w:rFonts w:cs="Arial"/>
          <w:szCs w:val="20"/>
        </w:rPr>
        <w:t xml:space="preserve"> guidelines have also been reviewed periodically since 1998.</w:t>
      </w:r>
    </w:p>
    <w:p w14:paraId="18D2CFC2" w14:textId="11D7A748" w:rsidR="00F92AA0" w:rsidRPr="005D2393" w:rsidRDefault="00F92AA0" w:rsidP="00AB2402">
      <w:pPr>
        <w:pStyle w:val="Heading2"/>
        <w:jc w:val="both"/>
        <w:rPr>
          <w:rFonts w:cs="Arial"/>
          <w:szCs w:val="20"/>
        </w:rPr>
      </w:pPr>
      <w:bookmarkStart w:id="7" w:name="_Toc127368763"/>
      <w:r w:rsidRPr="005D2393">
        <w:t xml:space="preserve">How the HTA Review fits with </w:t>
      </w:r>
      <w:r w:rsidR="00A4659C" w:rsidRPr="005D2393">
        <w:t xml:space="preserve">recent </w:t>
      </w:r>
      <w:r w:rsidRPr="005D2393">
        <w:t>medicine reform processes</w:t>
      </w:r>
      <w:bookmarkEnd w:id="7"/>
    </w:p>
    <w:p w14:paraId="7AD9BAEA" w14:textId="034DF30B" w:rsidR="002E41A6" w:rsidRPr="005D2393" w:rsidRDefault="003714B5" w:rsidP="008A0670">
      <w:pPr>
        <w:spacing w:line="240" w:lineRule="auto"/>
        <w:jc w:val="both"/>
        <w:rPr>
          <w:rFonts w:cs="Arial"/>
          <w:szCs w:val="20"/>
        </w:rPr>
      </w:pPr>
      <w:r w:rsidRPr="005D2393">
        <w:rPr>
          <w:rFonts w:cs="Arial"/>
          <w:szCs w:val="20"/>
        </w:rPr>
        <w:t xml:space="preserve">Recently, both the Standing Committee on Health, Aged Care and Sport (Standing Committee) inquiry into approval processes for new drugs and novel medical technologies in Australia (the Inquiry) and the NMP Review heard a range of views about the new types of health technologies that are emerging and the changing expectations of Australians including where they are not currently being met by Australia’s subsidy schemes and funding programs. </w:t>
      </w:r>
      <w:r w:rsidR="008A0670" w:rsidRPr="005D2393">
        <w:rPr>
          <w:rFonts w:cs="Arial"/>
          <w:szCs w:val="20"/>
        </w:rPr>
        <w:t>Under the direction set by the Strategic Agreement, the Inquiry and the new NMP, the HTA Review is an important opportunity to develop specific reforms to how health technologies are assessed and funded to help ensure that Australia’s subsidy schemes and funding programs continue to meet the needs of Australians into the future.</w:t>
      </w:r>
    </w:p>
    <w:p w14:paraId="6BD2E161" w14:textId="77777777" w:rsidR="002E41A6" w:rsidRPr="005D2393" w:rsidRDefault="002E41A6" w:rsidP="00AB2402">
      <w:pPr>
        <w:jc w:val="both"/>
        <w:rPr>
          <w:rFonts w:cs="Arial"/>
          <w:szCs w:val="20"/>
        </w:rPr>
      </w:pPr>
      <w:r w:rsidRPr="005D2393">
        <w:rPr>
          <w:rFonts w:cs="Arial"/>
          <w:szCs w:val="20"/>
        </w:rPr>
        <w:br w:type="page"/>
      </w:r>
    </w:p>
    <w:p w14:paraId="0245FA71" w14:textId="6A83F684" w:rsidR="00122390" w:rsidRPr="005D2393" w:rsidRDefault="00122390" w:rsidP="00785E03">
      <w:pPr>
        <w:pStyle w:val="Heading3"/>
        <w:jc w:val="both"/>
        <w:rPr>
          <w:i w:val="0"/>
        </w:rPr>
      </w:pPr>
      <w:r w:rsidRPr="005D2393">
        <w:lastRenderedPageBreak/>
        <w:t xml:space="preserve">The </w:t>
      </w:r>
      <w:r w:rsidR="004B1512" w:rsidRPr="005D2393">
        <w:rPr>
          <w:rFonts w:cs="Arial"/>
          <w:szCs w:val="20"/>
        </w:rPr>
        <w:t xml:space="preserve">Standing Committee on Health, Aged Care and Sport </w:t>
      </w:r>
      <w:r w:rsidR="00897D0A">
        <w:rPr>
          <w:rFonts w:cs="Arial"/>
          <w:szCs w:val="20"/>
        </w:rPr>
        <w:t>I</w:t>
      </w:r>
      <w:r w:rsidR="004B1512" w:rsidRPr="005D2393">
        <w:rPr>
          <w:rFonts w:cs="Arial"/>
          <w:szCs w:val="20"/>
        </w:rPr>
        <w:t xml:space="preserve">nquiry into approval processes for new drugs and novel medical technologies in Australia </w:t>
      </w:r>
    </w:p>
    <w:p w14:paraId="0EDA874B" w14:textId="116142F5" w:rsidR="00122390" w:rsidRPr="005D2393" w:rsidRDefault="003714B5" w:rsidP="00AF47B6">
      <w:pPr>
        <w:spacing w:line="240" w:lineRule="auto"/>
        <w:jc w:val="both"/>
        <w:rPr>
          <w:rFonts w:cs="Arial"/>
          <w:szCs w:val="20"/>
        </w:rPr>
      </w:pPr>
      <w:r w:rsidRPr="005D2393">
        <w:rPr>
          <w:rFonts w:cs="Arial"/>
          <w:szCs w:val="20"/>
        </w:rPr>
        <w:t xml:space="preserve">The Inquiry identified several areas for improvement and set a direction for reform to how Australians access health technologies including HTA. </w:t>
      </w:r>
      <w:r w:rsidR="001B141A" w:rsidRPr="005D2393">
        <w:rPr>
          <w:rFonts w:cs="Arial"/>
          <w:szCs w:val="20"/>
        </w:rPr>
        <w:t>T</w:t>
      </w:r>
      <w:r w:rsidR="00122390" w:rsidRPr="005D2393">
        <w:rPr>
          <w:rFonts w:cs="Arial"/>
          <w:szCs w:val="20"/>
        </w:rPr>
        <w:t xml:space="preserve">he </w:t>
      </w:r>
      <w:r w:rsidRPr="005D2393">
        <w:rPr>
          <w:rFonts w:cs="Arial"/>
          <w:szCs w:val="20"/>
        </w:rPr>
        <w:t>Standing Committee did not consider several aspects of HTA policy and methods in depth</w:t>
      </w:r>
      <w:r w:rsidR="0036342A" w:rsidRPr="005D2393">
        <w:rPr>
          <w:rFonts w:cs="Arial"/>
          <w:szCs w:val="20"/>
        </w:rPr>
        <w:t>,</w:t>
      </w:r>
      <w:r w:rsidRPr="005D2393">
        <w:rPr>
          <w:rFonts w:cs="Arial"/>
          <w:szCs w:val="20"/>
        </w:rPr>
        <w:t xml:space="preserve"> noting that they were too technical to be considered properly in the Inquiry</w:t>
      </w:r>
      <w:r w:rsidR="00C62AC7" w:rsidRPr="005D2393">
        <w:rPr>
          <w:rFonts w:cs="Arial"/>
          <w:szCs w:val="20"/>
        </w:rPr>
        <w:t>.</w:t>
      </w:r>
      <w:r w:rsidR="00122390" w:rsidRPr="005D2393">
        <w:rPr>
          <w:rFonts w:cs="Arial"/>
          <w:szCs w:val="20"/>
        </w:rPr>
        <w:t xml:space="preserve"> </w:t>
      </w:r>
      <w:r w:rsidR="00C62AC7" w:rsidRPr="005D2393">
        <w:rPr>
          <w:rFonts w:cs="Arial"/>
          <w:szCs w:val="20"/>
        </w:rPr>
        <w:t>The Standing Committee</w:t>
      </w:r>
      <w:r w:rsidR="00686560" w:rsidRPr="005D2393">
        <w:rPr>
          <w:rFonts w:cs="Arial"/>
          <w:szCs w:val="20"/>
        </w:rPr>
        <w:t xml:space="preserve"> recomme</w:t>
      </w:r>
      <w:r w:rsidR="00325C6A" w:rsidRPr="005D2393">
        <w:rPr>
          <w:rFonts w:cs="Arial"/>
          <w:szCs w:val="20"/>
        </w:rPr>
        <w:t>ndations included</w:t>
      </w:r>
      <w:r w:rsidR="003142A7" w:rsidRPr="005D2393">
        <w:rPr>
          <w:rFonts w:cs="Arial"/>
          <w:szCs w:val="20"/>
        </w:rPr>
        <w:t xml:space="preserve"> that the HTA Review consider and develop reforms</w:t>
      </w:r>
      <w:r w:rsidR="006031C7">
        <w:rPr>
          <w:rFonts w:cs="Arial"/>
          <w:szCs w:val="20"/>
        </w:rPr>
        <w:t xml:space="preserve"> in</w:t>
      </w:r>
      <w:r w:rsidR="003142A7" w:rsidRPr="005D2393">
        <w:rPr>
          <w:rFonts w:cs="Arial"/>
          <w:szCs w:val="20"/>
        </w:rPr>
        <w:t xml:space="preserve"> </w:t>
      </w:r>
      <w:r w:rsidR="004B1512">
        <w:rPr>
          <w:rFonts w:cs="Arial"/>
          <w:szCs w:val="20"/>
        </w:rPr>
        <w:t xml:space="preserve">several areas </w:t>
      </w:r>
      <w:r w:rsidR="006031C7">
        <w:rPr>
          <w:rFonts w:cs="Arial"/>
          <w:szCs w:val="20"/>
        </w:rPr>
        <w:t>including: for treatments and therapies that do not fit neatly into existing pathways</w:t>
      </w:r>
      <w:r w:rsidR="00045179">
        <w:rPr>
          <w:rFonts w:cs="Arial"/>
          <w:szCs w:val="20"/>
        </w:rPr>
        <w:t>;</w:t>
      </w:r>
      <w:r w:rsidR="006031C7">
        <w:rPr>
          <w:rFonts w:cs="Arial"/>
          <w:szCs w:val="20"/>
        </w:rPr>
        <w:t xml:space="preserve"> cooperation between different HTA and regulatory bodies in Australia and overseas and with sponsors</w:t>
      </w:r>
      <w:r w:rsidR="00045179">
        <w:rPr>
          <w:rFonts w:cs="Arial"/>
          <w:szCs w:val="20"/>
        </w:rPr>
        <w:t>;</w:t>
      </w:r>
      <w:r w:rsidR="006031C7">
        <w:rPr>
          <w:rFonts w:cs="Arial"/>
          <w:szCs w:val="20"/>
        </w:rPr>
        <w:t xml:space="preserve"> inclusion of patients and clinicians</w:t>
      </w:r>
      <w:r w:rsidR="00897D0A">
        <w:rPr>
          <w:rFonts w:cs="Arial"/>
          <w:szCs w:val="20"/>
        </w:rPr>
        <w:t xml:space="preserve"> at an early stage</w:t>
      </w:r>
      <w:r w:rsidR="006031C7">
        <w:rPr>
          <w:rFonts w:cs="Arial"/>
          <w:szCs w:val="20"/>
        </w:rPr>
        <w:t xml:space="preserve"> in </w:t>
      </w:r>
      <w:r w:rsidR="00D27788">
        <w:rPr>
          <w:rFonts w:cs="Arial"/>
          <w:szCs w:val="20"/>
        </w:rPr>
        <w:t>evaluation of submissions</w:t>
      </w:r>
      <w:r w:rsidR="00045179">
        <w:rPr>
          <w:rFonts w:cs="Arial"/>
          <w:szCs w:val="20"/>
        </w:rPr>
        <w:t>;</w:t>
      </w:r>
      <w:r w:rsidR="006031C7">
        <w:rPr>
          <w:rFonts w:cs="Arial"/>
          <w:szCs w:val="20"/>
        </w:rPr>
        <w:t xml:space="preserve"> oversight</w:t>
      </w:r>
      <w:r w:rsidR="00045179">
        <w:rPr>
          <w:rFonts w:cs="Arial"/>
          <w:szCs w:val="20"/>
        </w:rPr>
        <w:t xml:space="preserve"> and reporting</w:t>
      </w:r>
      <w:r w:rsidR="006031C7">
        <w:rPr>
          <w:rFonts w:cs="Arial"/>
          <w:szCs w:val="20"/>
        </w:rPr>
        <w:t xml:space="preserve"> o</w:t>
      </w:r>
      <w:r w:rsidR="00E449AE">
        <w:rPr>
          <w:rFonts w:cs="Arial"/>
          <w:szCs w:val="20"/>
        </w:rPr>
        <w:t>n</w:t>
      </w:r>
      <w:r w:rsidR="006031C7">
        <w:rPr>
          <w:rFonts w:cs="Arial"/>
          <w:szCs w:val="20"/>
        </w:rPr>
        <w:t xml:space="preserve"> advisory committee decision making</w:t>
      </w:r>
      <w:r w:rsidR="00045179">
        <w:rPr>
          <w:rFonts w:cs="Arial"/>
          <w:szCs w:val="20"/>
        </w:rPr>
        <w:t>;</w:t>
      </w:r>
      <w:r w:rsidR="006031C7">
        <w:rPr>
          <w:rFonts w:cs="Arial"/>
          <w:szCs w:val="20"/>
        </w:rPr>
        <w:t xml:space="preserve"> use of observational evidence</w:t>
      </w:r>
      <w:r w:rsidR="00045179">
        <w:rPr>
          <w:rFonts w:cs="Arial"/>
          <w:szCs w:val="20"/>
        </w:rPr>
        <w:t>;</w:t>
      </w:r>
      <w:r w:rsidR="006031C7">
        <w:rPr>
          <w:rFonts w:cs="Arial"/>
          <w:szCs w:val="20"/>
        </w:rPr>
        <w:t xml:space="preserve"> selection of comparators</w:t>
      </w:r>
      <w:r w:rsidR="00045179">
        <w:rPr>
          <w:rFonts w:cs="Arial"/>
          <w:szCs w:val="20"/>
        </w:rPr>
        <w:t>; and</w:t>
      </w:r>
      <w:r w:rsidR="006031C7">
        <w:rPr>
          <w:rFonts w:cs="Arial"/>
          <w:szCs w:val="20"/>
        </w:rPr>
        <w:t xml:space="preserve"> earlier access including through reduced resubmissions and increased use of managed access programs. </w:t>
      </w:r>
    </w:p>
    <w:p w14:paraId="07C267B6" w14:textId="24298233" w:rsidR="00325C6A" w:rsidRPr="005D2393" w:rsidRDefault="004F1866" w:rsidP="006944EF">
      <w:pPr>
        <w:spacing w:line="240" w:lineRule="auto"/>
        <w:jc w:val="both"/>
        <w:rPr>
          <w:rFonts w:cs="Arial"/>
          <w:szCs w:val="20"/>
        </w:rPr>
      </w:pPr>
      <w:r w:rsidRPr="005D2393">
        <w:rPr>
          <w:rFonts w:cs="Arial"/>
          <w:szCs w:val="20"/>
        </w:rPr>
        <w:t>The HTA Review will address</w:t>
      </w:r>
      <w:r w:rsidR="00325C6A" w:rsidRPr="005D2393">
        <w:rPr>
          <w:rFonts w:cs="Arial"/>
          <w:szCs w:val="20"/>
        </w:rPr>
        <w:t xml:space="preserve"> the issues identified</w:t>
      </w:r>
      <w:r w:rsidR="003142A7" w:rsidRPr="005D2393">
        <w:rPr>
          <w:rFonts w:cs="Arial"/>
          <w:szCs w:val="20"/>
        </w:rPr>
        <w:t xml:space="preserve"> in the Inquiry</w:t>
      </w:r>
      <w:r w:rsidR="00325C6A" w:rsidRPr="005D2393">
        <w:rPr>
          <w:rFonts w:cs="Arial"/>
          <w:szCs w:val="20"/>
        </w:rPr>
        <w:t>, and</w:t>
      </w:r>
      <w:r w:rsidR="003142A7" w:rsidRPr="005D2393">
        <w:rPr>
          <w:rFonts w:cs="Arial"/>
          <w:szCs w:val="20"/>
        </w:rPr>
        <w:t xml:space="preserve"> the</w:t>
      </w:r>
      <w:r w:rsidR="00325C6A" w:rsidRPr="005D2393">
        <w:rPr>
          <w:rFonts w:cs="Arial"/>
          <w:szCs w:val="20"/>
        </w:rPr>
        <w:t xml:space="preserve"> recommendations of the </w:t>
      </w:r>
      <w:r w:rsidR="003142A7" w:rsidRPr="005D2393">
        <w:rPr>
          <w:rFonts w:cs="Arial"/>
          <w:szCs w:val="20"/>
        </w:rPr>
        <w:t>S</w:t>
      </w:r>
      <w:r w:rsidR="00325C6A" w:rsidRPr="005D2393">
        <w:rPr>
          <w:rFonts w:cs="Arial"/>
          <w:szCs w:val="20"/>
        </w:rPr>
        <w:t xml:space="preserve">tanding </w:t>
      </w:r>
      <w:r w:rsidR="003142A7" w:rsidRPr="005D2393">
        <w:rPr>
          <w:rFonts w:cs="Arial"/>
          <w:szCs w:val="20"/>
        </w:rPr>
        <w:t>C</w:t>
      </w:r>
      <w:r w:rsidR="00325C6A" w:rsidRPr="005D2393">
        <w:rPr>
          <w:rFonts w:cs="Arial"/>
          <w:szCs w:val="20"/>
        </w:rPr>
        <w:t>ommittee</w:t>
      </w:r>
      <w:r w:rsidR="003142A7" w:rsidRPr="005D2393">
        <w:rPr>
          <w:rFonts w:cs="Arial"/>
          <w:szCs w:val="20"/>
        </w:rPr>
        <w:t>,</w:t>
      </w:r>
      <w:r w:rsidR="00325C6A" w:rsidRPr="005D2393">
        <w:rPr>
          <w:rFonts w:cs="Arial"/>
          <w:szCs w:val="20"/>
        </w:rPr>
        <w:t xml:space="preserve"> while also recognising that there are </w:t>
      </w:r>
      <w:r w:rsidR="003142A7" w:rsidRPr="005D2393">
        <w:rPr>
          <w:rFonts w:cs="Arial"/>
          <w:szCs w:val="20"/>
        </w:rPr>
        <w:t xml:space="preserve">several HTA </w:t>
      </w:r>
      <w:r w:rsidR="00325C6A" w:rsidRPr="005D2393">
        <w:rPr>
          <w:rFonts w:cs="Arial"/>
          <w:szCs w:val="20"/>
        </w:rPr>
        <w:t>reform processes</w:t>
      </w:r>
      <w:r w:rsidR="003142A7" w:rsidRPr="005D2393">
        <w:rPr>
          <w:rFonts w:cs="Arial"/>
          <w:szCs w:val="20"/>
        </w:rPr>
        <w:t xml:space="preserve"> that are being undertaken in parallel to the HTA Review (section 5). </w:t>
      </w:r>
    </w:p>
    <w:p w14:paraId="3EE55D44" w14:textId="562A37DF" w:rsidR="00785E03" w:rsidRPr="005D2393" w:rsidRDefault="00785E03" w:rsidP="00785E03">
      <w:pPr>
        <w:pStyle w:val="Heading3"/>
        <w:jc w:val="both"/>
        <w:rPr>
          <w:i w:val="0"/>
        </w:rPr>
      </w:pPr>
      <w:r w:rsidRPr="005D2393">
        <w:t>National Medicines Policy</w:t>
      </w:r>
    </w:p>
    <w:p w14:paraId="79E0F6D4" w14:textId="6C46A0FD" w:rsidR="00F834D2" w:rsidRPr="005D2393" w:rsidRDefault="00F834D2" w:rsidP="00F834D2">
      <w:pPr>
        <w:spacing w:line="240" w:lineRule="auto"/>
        <w:jc w:val="both"/>
        <w:rPr>
          <w:rFonts w:cs="Arial"/>
          <w:szCs w:val="20"/>
        </w:rPr>
      </w:pPr>
      <w:r w:rsidRPr="005D2393">
        <w:rPr>
          <w:rFonts w:cs="Arial"/>
          <w:szCs w:val="20"/>
        </w:rPr>
        <w:t xml:space="preserve">The central pillars of the </w:t>
      </w:r>
      <w:r w:rsidR="00C62AC7" w:rsidRPr="005D2393">
        <w:rPr>
          <w:rFonts w:cs="Arial"/>
          <w:szCs w:val="20"/>
        </w:rPr>
        <w:t xml:space="preserve">new </w:t>
      </w:r>
      <w:r w:rsidRPr="005D2393">
        <w:rPr>
          <w:rFonts w:cs="Arial"/>
          <w:szCs w:val="20"/>
        </w:rPr>
        <w:t>NMP are:</w:t>
      </w:r>
    </w:p>
    <w:p w14:paraId="466A1C40" w14:textId="77777777" w:rsidR="00F834D2" w:rsidRPr="005D2393" w:rsidRDefault="00F834D2" w:rsidP="00EE64E2">
      <w:pPr>
        <w:pStyle w:val="ListParagraph"/>
        <w:numPr>
          <w:ilvl w:val="0"/>
          <w:numId w:val="47"/>
        </w:numPr>
        <w:spacing w:line="240" w:lineRule="auto"/>
        <w:jc w:val="both"/>
        <w:rPr>
          <w:rFonts w:cs="Arial"/>
          <w:szCs w:val="20"/>
        </w:rPr>
      </w:pPr>
      <w:r w:rsidRPr="005D2393">
        <w:rPr>
          <w:rFonts w:cs="Arial"/>
          <w:szCs w:val="20"/>
        </w:rPr>
        <w:t>equitable, timely, safe and reliable access to medicines and medicines-related services, at a cost that individuals and the community can afford</w:t>
      </w:r>
    </w:p>
    <w:p w14:paraId="6FCA9931" w14:textId="77777777" w:rsidR="00F834D2" w:rsidRPr="005D2393" w:rsidRDefault="00F834D2" w:rsidP="00EE64E2">
      <w:pPr>
        <w:pStyle w:val="ListParagraph"/>
        <w:numPr>
          <w:ilvl w:val="0"/>
          <w:numId w:val="47"/>
        </w:numPr>
        <w:spacing w:line="240" w:lineRule="auto"/>
        <w:jc w:val="both"/>
        <w:rPr>
          <w:rFonts w:cs="Arial"/>
          <w:szCs w:val="20"/>
        </w:rPr>
      </w:pPr>
      <w:r w:rsidRPr="005D2393">
        <w:rPr>
          <w:rFonts w:cs="Arial"/>
          <w:szCs w:val="20"/>
        </w:rPr>
        <w:t>medicines meet the required standards of quality, safety and efficacy</w:t>
      </w:r>
    </w:p>
    <w:p w14:paraId="4A63D3C1" w14:textId="77777777" w:rsidR="00F834D2" w:rsidRPr="005D2393" w:rsidRDefault="00F834D2" w:rsidP="00EE64E2">
      <w:pPr>
        <w:pStyle w:val="ListParagraph"/>
        <w:numPr>
          <w:ilvl w:val="0"/>
          <w:numId w:val="47"/>
        </w:numPr>
        <w:spacing w:line="240" w:lineRule="auto"/>
        <w:jc w:val="both"/>
        <w:rPr>
          <w:rFonts w:cs="Arial"/>
          <w:szCs w:val="20"/>
        </w:rPr>
      </w:pPr>
      <w:r w:rsidRPr="005D2393">
        <w:rPr>
          <w:rFonts w:cs="Arial"/>
          <w:szCs w:val="20"/>
        </w:rPr>
        <w:t>quality use of medicines and medicines safety</w:t>
      </w:r>
    </w:p>
    <w:p w14:paraId="72BF5CC4" w14:textId="6C9B071D" w:rsidR="00F834D2" w:rsidRPr="005D2393" w:rsidRDefault="00F834D2" w:rsidP="00EE64E2">
      <w:pPr>
        <w:pStyle w:val="ListParagraph"/>
        <w:numPr>
          <w:ilvl w:val="0"/>
          <w:numId w:val="47"/>
        </w:numPr>
        <w:spacing w:line="240" w:lineRule="auto"/>
        <w:jc w:val="both"/>
        <w:rPr>
          <w:rFonts w:cs="Arial"/>
          <w:szCs w:val="20"/>
        </w:rPr>
      </w:pPr>
      <w:r w:rsidRPr="005D2393">
        <w:rPr>
          <w:rFonts w:cs="Arial"/>
          <w:szCs w:val="20"/>
        </w:rPr>
        <w:t>collaborative, innovative and sustainable medicines industry and research sectors with the capability, capacity and expertise to respond to current and future health needs.</w:t>
      </w:r>
    </w:p>
    <w:p w14:paraId="530475CB" w14:textId="1738F4E8" w:rsidR="00D23E90" w:rsidRPr="005D2393" w:rsidRDefault="00D23E90" w:rsidP="004F1866">
      <w:pPr>
        <w:spacing w:line="240" w:lineRule="auto"/>
        <w:jc w:val="both"/>
        <w:rPr>
          <w:rFonts w:cs="Arial"/>
          <w:szCs w:val="20"/>
        </w:rPr>
      </w:pPr>
      <w:r w:rsidRPr="005D2393">
        <w:rPr>
          <w:rFonts w:cs="Arial"/>
          <w:szCs w:val="20"/>
        </w:rPr>
        <w:t xml:space="preserve">The </w:t>
      </w:r>
      <w:r w:rsidR="006944EF" w:rsidRPr="005D2393">
        <w:rPr>
          <w:rFonts w:cs="Arial"/>
          <w:szCs w:val="20"/>
        </w:rPr>
        <w:t xml:space="preserve">new </w:t>
      </w:r>
      <w:r w:rsidRPr="005D2393">
        <w:rPr>
          <w:rFonts w:cs="Arial"/>
          <w:szCs w:val="20"/>
        </w:rPr>
        <w:t xml:space="preserve">NMP also identifies a set of fundamental principles to guide partners in achieving the NMP’s aim. These fundamental principles are: </w:t>
      </w:r>
      <w:r w:rsidR="004F1866" w:rsidRPr="005D2393">
        <w:rPr>
          <w:rFonts w:cs="Arial"/>
          <w:szCs w:val="20"/>
        </w:rPr>
        <w:t>p</w:t>
      </w:r>
      <w:r w:rsidRPr="005D2393">
        <w:rPr>
          <w:rFonts w:cs="Arial"/>
          <w:szCs w:val="20"/>
        </w:rPr>
        <w:t xml:space="preserve">erson-centred, equity and access, partnership based and share responsibility, accountability and transparency, innovation and </w:t>
      </w:r>
      <w:r w:rsidR="004F1866" w:rsidRPr="005D2393">
        <w:rPr>
          <w:rFonts w:cs="Arial"/>
          <w:szCs w:val="20"/>
        </w:rPr>
        <w:t xml:space="preserve">continuous improvement, evidence based, and sustainability. </w:t>
      </w:r>
    </w:p>
    <w:p w14:paraId="4586E7B9" w14:textId="47D08D96" w:rsidR="004F1866" w:rsidRPr="005D2393" w:rsidRDefault="004F1866" w:rsidP="00C33B08">
      <w:pPr>
        <w:spacing w:line="240" w:lineRule="auto"/>
        <w:jc w:val="both"/>
        <w:rPr>
          <w:rFonts w:cs="Arial"/>
          <w:szCs w:val="20"/>
        </w:rPr>
      </w:pPr>
      <w:r w:rsidRPr="005D2393">
        <w:rPr>
          <w:rFonts w:cs="Arial"/>
          <w:szCs w:val="20"/>
        </w:rPr>
        <w:t xml:space="preserve">The HTA Review will seek to further the objectives of the </w:t>
      </w:r>
      <w:r w:rsidR="001E5C2A" w:rsidRPr="005D2393">
        <w:rPr>
          <w:rFonts w:cs="Arial"/>
          <w:szCs w:val="20"/>
        </w:rPr>
        <w:t>NMP</w:t>
      </w:r>
      <w:r w:rsidRPr="005D2393">
        <w:rPr>
          <w:rFonts w:cs="Arial"/>
          <w:szCs w:val="20"/>
        </w:rPr>
        <w:t xml:space="preserve"> to ensure that Australia’s subsidy schemes and funding programs continue to deliver the best possible access for </w:t>
      </w:r>
      <w:r w:rsidR="00857F2E">
        <w:rPr>
          <w:rFonts w:cs="Arial"/>
          <w:szCs w:val="20"/>
        </w:rPr>
        <w:t>Australians</w:t>
      </w:r>
      <w:r w:rsidR="00857F2E" w:rsidRPr="005D2393">
        <w:rPr>
          <w:rFonts w:cs="Arial"/>
          <w:szCs w:val="20"/>
        </w:rPr>
        <w:t xml:space="preserve"> </w:t>
      </w:r>
      <w:r w:rsidRPr="005D2393">
        <w:rPr>
          <w:rFonts w:cs="Arial"/>
          <w:szCs w:val="20"/>
        </w:rPr>
        <w:t xml:space="preserve">to the treatments they need. </w:t>
      </w:r>
    </w:p>
    <w:p w14:paraId="7AE05FCA" w14:textId="1E8A4EDC" w:rsidR="003714B5" w:rsidRPr="005D2393" w:rsidRDefault="003714B5" w:rsidP="00AF47B6">
      <w:pPr>
        <w:pStyle w:val="Heading1"/>
        <w:jc w:val="both"/>
      </w:pPr>
      <w:bookmarkStart w:id="8" w:name="_Toc127368764"/>
      <w:r w:rsidRPr="005D2393">
        <w:t>HTA Review objectives</w:t>
      </w:r>
      <w:bookmarkEnd w:id="8"/>
    </w:p>
    <w:p w14:paraId="0CC7C957" w14:textId="42393352" w:rsidR="003714B5" w:rsidRPr="005D2393" w:rsidRDefault="003714B5" w:rsidP="00AF47B6">
      <w:pPr>
        <w:jc w:val="both"/>
      </w:pPr>
      <w:r w:rsidRPr="005D2393">
        <w:t xml:space="preserve">The HTA Review </w:t>
      </w:r>
      <w:r w:rsidR="00F334B2" w:rsidRPr="005D2393">
        <w:t>will</w:t>
      </w:r>
      <w:r w:rsidRPr="005D2393">
        <w:t xml:space="preserve"> examine HTA policy and methods, in consultation with stakeholders, to identify features that: </w:t>
      </w:r>
    </w:p>
    <w:p w14:paraId="6783C0BB" w14:textId="30B4937F" w:rsidR="003714B5" w:rsidRPr="005D2393" w:rsidRDefault="003714B5" w:rsidP="00AF47B6">
      <w:pPr>
        <w:pStyle w:val="ListParagraph"/>
        <w:numPr>
          <w:ilvl w:val="0"/>
          <w:numId w:val="7"/>
        </w:numPr>
        <w:jc w:val="both"/>
        <w:rPr>
          <w:rFonts w:cs="Arial"/>
          <w:szCs w:val="20"/>
        </w:rPr>
      </w:pPr>
      <w:r w:rsidRPr="005D2393">
        <w:rPr>
          <w:rFonts w:cs="Arial"/>
          <w:szCs w:val="20"/>
        </w:rPr>
        <w:t>are working effectively</w:t>
      </w:r>
      <w:r w:rsidR="00A03545" w:rsidRPr="005D2393">
        <w:rPr>
          <w:rFonts w:cs="Arial"/>
          <w:szCs w:val="20"/>
        </w:rPr>
        <w:t xml:space="preserve"> </w:t>
      </w:r>
    </w:p>
    <w:p w14:paraId="049EC7F9" w14:textId="6347938F" w:rsidR="00F77CC6" w:rsidRPr="005D2393" w:rsidRDefault="003714B5" w:rsidP="00AF47B6">
      <w:pPr>
        <w:pStyle w:val="ListParagraph"/>
        <w:numPr>
          <w:ilvl w:val="0"/>
          <w:numId w:val="7"/>
        </w:numPr>
        <w:jc w:val="both"/>
        <w:rPr>
          <w:rFonts w:cs="Arial"/>
          <w:szCs w:val="20"/>
        </w:rPr>
      </w:pPr>
      <w:r w:rsidRPr="005D2393">
        <w:rPr>
          <w:rFonts w:cs="Arial"/>
          <w:szCs w:val="20"/>
        </w:rPr>
        <w:t xml:space="preserve">may act as current or future barriers to </w:t>
      </w:r>
      <w:r w:rsidR="00CB033E">
        <w:rPr>
          <w:rFonts w:cs="Arial"/>
          <w:szCs w:val="20"/>
        </w:rPr>
        <w:t>earliest possible</w:t>
      </w:r>
      <w:r w:rsidR="004C1622" w:rsidRPr="005D2393">
        <w:rPr>
          <w:rFonts w:cs="Arial"/>
          <w:szCs w:val="20"/>
        </w:rPr>
        <w:t xml:space="preserve"> access</w:t>
      </w:r>
    </w:p>
    <w:p w14:paraId="4485B3A1" w14:textId="6A193724" w:rsidR="003714B5" w:rsidRPr="005D2393" w:rsidRDefault="00F77CC6" w:rsidP="00AF47B6">
      <w:pPr>
        <w:pStyle w:val="ListParagraph"/>
        <w:numPr>
          <w:ilvl w:val="0"/>
          <w:numId w:val="7"/>
        </w:numPr>
        <w:jc w:val="both"/>
        <w:rPr>
          <w:rFonts w:cs="Arial"/>
          <w:szCs w:val="20"/>
        </w:rPr>
      </w:pPr>
      <w:r w:rsidRPr="005D2393">
        <w:rPr>
          <w:rFonts w:cs="Arial"/>
          <w:szCs w:val="20"/>
        </w:rPr>
        <w:t>may act as current or future barriers to equitable access</w:t>
      </w:r>
    </w:p>
    <w:p w14:paraId="6465514B" w14:textId="2772A190" w:rsidR="00F77CC6" w:rsidRPr="005D2393" w:rsidRDefault="00F77CC6" w:rsidP="00AF47B6">
      <w:pPr>
        <w:pStyle w:val="ListParagraph"/>
        <w:numPr>
          <w:ilvl w:val="0"/>
          <w:numId w:val="7"/>
        </w:numPr>
        <w:jc w:val="both"/>
        <w:rPr>
          <w:rFonts w:cs="Arial"/>
          <w:szCs w:val="20"/>
        </w:rPr>
      </w:pPr>
      <w:r w:rsidRPr="005D2393">
        <w:rPr>
          <w:rFonts w:cs="Arial"/>
          <w:szCs w:val="20"/>
        </w:rPr>
        <w:t xml:space="preserve">detract from </w:t>
      </w:r>
      <w:r w:rsidR="00EA67AE">
        <w:rPr>
          <w:rFonts w:cs="Arial"/>
          <w:szCs w:val="20"/>
        </w:rPr>
        <w:t>person</w:t>
      </w:r>
      <w:r w:rsidRPr="005D2393">
        <w:rPr>
          <w:rFonts w:cs="Arial"/>
          <w:szCs w:val="20"/>
        </w:rPr>
        <w:t xml:space="preserve">-centredness </w:t>
      </w:r>
    </w:p>
    <w:p w14:paraId="5848FE54" w14:textId="77777777" w:rsidR="003714B5" w:rsidRPr="005D2393" w:rsidRDefault="003714B5" w:rsidP="00AF47B6">
      <w:pPr>
        <w:pStyle w:val="ListParagraph"/>
        <w:numPr>
          <w:ilvl w:val="0"/>
          <w:numId w:val="7"/>
        </w:numPr>
        <w:jc w:val="both"/>
        <w:rPr>
          <w:rFonts w:cs="Arial"/>
          <w:szCs w:val="20"/>
        </w:rPr>
      </w:pPr>
      <w:r w:rsidRPr="005D2393">
        <w:rPr>
          <w:rFonts w:cs="Arial"/>
          <w:szCs w:val="20"/>
        </w:rPr>
        <w:t xml:space="preserve">may be creating perverse incentives. </w:t>
      </w:r>
    </w:p>
    <w:p w14:paraId="0351CA5D" w14:textId="61684211" w:rsidR="003714B5" w:rsidRPr="005D2393" w:rsidRDefault="003714B5" w:rsidP="00AF47B6">
      <w:pPr>
        <w:jc w:val="both"/>
      </w:pPr>
      <w:r w:rsidRPr="005D2393">
        <w:t xml:space="preserve">The HTA Review </w:t>
      </w:r>
      <w:r w:rsidR="0011063E" w:rsidRPr="005D2393">
        <w:t>will</w:t>
      </w:r>
      <w:r w:rsidRPr="005D2393">
        <w:t xml:space="preserve"> consider reforms that address identified challenges and present a comprehensive set of recommendations for reforms to Government that: </w:t>
      </w:r>
    </w:p>
    <w:p w14:paraId="73CD1033" w14:textId="77777777" w:rsidR="003714B5" w:rsidRPr="005D2393" w:rsidRDefault="003714B5" w:rsidP="00AF47B6">
      <w:pPr>
        <w:pStyle w:val="ListParagraph"/>
        <w:numPr>
          <w:ilvl w:val="0"/>
          <w:numId w:val="6"/>
        </w:numPr>
        <w:jc w:val="both"/>
        <w:rPr>
          <w:rFonts w:cs="Arial"/>
          <w:szCs w:val="20"/>
        </w:rPr>
      </w:pPr>
      <w:r w:rsidRPr="005D2393">
        <w:rPr>
          <w:rFonts w:cs="Arial"/>
          <w:szCs w:val="20"/>
        </w:rPr>
        <w:lastRenderedPageBreak/>
        <w:t>are implementable and sustainable for both health funders (Commonwealth, state, and territory) and the health technology industry</w:t>
      </w:r>
    </w:p>
    <w:p w14:paraId="1CF35A23" w14:textId="1232977E" w:rsidR="003714B5" w:rsidRPr="005D2393" w:rsidRDefault="004C1622" w:rsidP="00AF47B6">
      <w:pPr>
        <w:pStyle w:val="ListParagraph"/>
        <w:numPr>
          <w:ilvl w:val="0"/>
          <w:numId w:val="6"/>
        </w:numPr>
        <w:jc w:val="both"/>
        <w:rPr>
          <w:rFonts w:cs="Arial"/>
          <w:szCs w:val="20"/>
        </w:rPr>
      </w:pPr>
      <w:bookmarkStart w:id="9" w:name="_Hlk127344551"/>
      <w:r w:rsidRPr="005D2393">
        <w:t>deliver Australians equitable, timely, safe and affordable access to a high-quality and reliable supply of medicines for all Australians</w:t>
      </w:r>
      <w:bookmarkEnd w:id="9"/>
      <w:r w:rsidRPr="005D2393" w:rsidDel="004C1622">
        <w:rPr>
          <w:rFonts w:cs="Arial"/>
          <w:szCs w:val="20"/>
        </w:rPr>
        <w:t xml:space="preserve"> </w:t>
      </w:r>
    </w:p>
    <w:p w14:paraId="214E08B6" w14:textId="6C0C4961" w:rsidR="0011063E" w:rsidRPr="005D2393" w:rsidRDefault="00B8690E" w:rsidP="00AF47B6">
      <w:pPr>
        <w:pStyle w:val="ListParagraph"/>
        <w:numPr>
          <w:ilvl w:val="0"/>
          <w:numId w:val="6"/>
        </w:numPr>
        <w:jc w:val="both"/>
        <w:rPr>
          <w:rFonts w:cs="Arial"/>
          <w:szCs w:val="20"/>
        </w:rPr>
      </w:pPr>
      <w:r w:rsidRPr="005D2393">
        <w:rPr>
          <w:rFonts w:cs="Arial"/>
          <w:szCs w:val="20"/>
        </w:rPr>
        <w:t>adopt</w:t>
      </w:r>
      <w:r w:rsidR="00AA133E" w:rsidRPr="005D2393">
        <w:rPr>
          <w:rFonts w:cs="Arial"/>
          <w:szCs w:val="20"/>
        </w:rPr>
        <w:t xml:space="preserve"> a person-centred approach</w:t>
      </w:r>
      <w:r w:rsidRPr="005D2393">
        <w:rPr>
          <w:rFonts w:cs="Arial"/>
          <w:szCs w:val="20"/>
        </w:rPr>
        <w:t xml:space="preserve"> in</w:t>
      </w:r>
      <w:r w:rsidR="00C576D8" w:rsidRPr="005D2393">
        <w:rPr>
          <w:rFonts w:cs="Arial"/>
          <w:szCs w:val="20"/>
        </w:rPr>
        <w:t xml:space="preserve"> HTA</w:t>
      </w:r>
    </w:p>
    <w:p w14:paraId="3ED5A098" w14:textId="331AAC3A" w:rsidR="003714B5" w:rsidRPr="005D2393" w:rsidRDefault="003714B5" w:rsidP="00AF47B6">
      <w:pPr>
        <w:pStyle w:val="ListParagraph"/>
        <w:numPr>
          <w:ilvl w:val="0"/>
          <w:numId w:val="6"/>
        </w:numPr>
        <w:jc w:val="both"/>
        <w:rPr>
          <w:rFonts w:cs="Arial"/>
          <w:szCs w:val="20"/>
        </w:rPr>
      </w:pPr>
      <w:r w:rsidRPr="005D2393">
        <w:rPr>
          <w:rFonts w:cs="Arial"/>
          <w:szCs w:val="20"/>
        </w:rPr>
        <w:t>deliver the outcomes sought by recommendations from the Inquiry that are agreed in principle in the Government Response</w:t>
      </w:r>
    </w:p>
    <w:p w14:paraId="247EC3AF" w14:textId="7392006E" w:rsidR="003714B5" w:rsidRPr="005D2393" w:rsidRDefault="003714B5" w:rsidP="00AF47B6">
      <w:pPr>
        <w:pStyle w:val="ListParagraph"/>
        <w:numPr>
          <w:ilvl w:val="0"/>
          <w:numId w:val="6"/>
        </w:numPr>
        <w:jc w:val="both"/>
        <w:rPr>
          <w:rFonts w:cs="Arial"/>
          <w:szCs w:val="20"/>
        </w:rPr>
      </w:pPr>
      <w:r w:rsidRPr="005D2393">
        <w:rPr>
          <w:rFonts w:cs="Arial"/>
          <w:szCs w:val="20"/>
        </w:rPr>
        <w:t xml:space="preserve">further the objectives of </w:t>
      </w:r>
      <w:r w:rsidR="00B47004" w:rsidRPr="005D2393">
        <w:rPr>
          <w:rFonts w:cs="Arial"/>
          <w:szCs w:val="20"/>
        </w:rPr>
        <w:t xml:space="preserve">the </w:t>
      </w:r>
      <w:r w:rsidRPr="005D2393">
        <w:rPr>
          <w:rFonts w:cs="Arial"/>
          <w:szCs w:val="20"/>
        </w:rPr>
        <w:t>new NMP</w:t>
      </w:r>
    </w:p>
    <w:p w14:paraId="2E25C999" w14:textId="77777777" w:rsidR="003714B5" w:rsidRPr="005D2393" w:rsidRDefault="003714B5" w:rsidP="00AF47B6">
      <w:pPr>
        <w:pStyle w:val="ListParagraph"/>
        <w:numPr>
          <w:ilvl w:val="0"/>
          <w:numId w:val="6"/>
        </w:numPr>
        <w:jc w:val="both"/>
        <w:rPr>
          <w:rFonts w:cs="Arial"/>
          <w:szCs w:val="20"/>
        </w:rPr>
      </w:pPr>
      <w:r w:rsidRPr="005D2393">
        <w:rPr>
          <w:rFonts w:cs="Arial"/>
          <w:szCs w:val="20"/>
        </w:rPr>
        <w:t>ensure HTA policy and methods are well adapted to and capable of assessing new technologies that are emerging or are expected to emerge in the coming years and</w:t>
      </w:r>
    </w:p>
    <w:p w14:paraId="7AB3AED2" w14:textId="77777777" w:rsidR="003714B5" w:rsidRPr="005D2393" w:rsidRDefault="003714B5" w:rsidP="00AF47B6">
      <w:pPr>
        <w:pStyle w:val="ListParagraph"/>
        <w:numPr>
          <w:ilvl w:val="0"/>
          <w:numId w:val="6"/>
        </w:numPr>
        <w:jc w:val="both"/>
        <w:rPr>
          <w:rFonts w:cs="Arial"/>
          <w:szCs w:val="20"/>
        </w:rPr>
      </w:pPr>
      <w:r w:rsidRPr="005D2393">
        <w:rPr>
          <w:rFonts w:cs="Arial"/>
          <w:szCs w:val="20"/>
        </w:rPr>
        <w:t xml:space="preserve">do not compromise assessment of patient safety, effectiveness and cost, or advice to Government on subsidy of health technologies. </w:t>
      </w:r>
    </w:p>
    <w:p w14:paraId="0BAF3782" w14:textId="43277B44" w:rsidR="003714B5" w:rsidRPr="005D2393" w:rsidRDefault="003714B5" w:rsidP="00AF47B6">
      <w:pPr>
        <w:pStyle w:val="Heading1"/>
        <w:jc w:val="both"/>
      </w:pPr>
      <w:bookmarkStart w:id="10" w:name="_Toc127368765"/>
      <w:r w:rsidRPr="005D2393">
        <w:t xml:space="preserve">HTA Review </w:t>
      </w:r>
      <w:r w:rsidR="000D6140" w:rsidRPr="005D2393">
        <w:t>Terms of Reference</w:t>
      </w:r>
      <w:bookmarkEnd w:id="10"/>
    </w:p>
    <w:p w14:paraId="5BF13730" w14:textId="77777777" w:rsidR="003714B5" w:rsidRPr="005D2393" w:rsidRDefault="003714B5" w:rsidP="00AB2402">
      <w:pPr>
        <w:pStyle w:val="Heading2"/>
        <w:jc w:val="both"/>
      </w:pPr>
      <w:bookmarkStart w:id="11" w:name="_Toc127368766"/>
      <w:bookmarkStart w:id="12" w:name="_Hlk122431413"/>
      <w:r w:rsidRPr="005D2393">
        <w:t>Health Technologies</w:t>
      </w:r>
      <w:bookmarkEnd w:id="11"/>
      <w:r w:rsidRPr="005D2393">
        <w:t xml:space="preserve"> </w:t>
      </w:r>
    </w:p>
    <w:p w14:paraId="4FDF18C8" w14:textId="77777777" w:rsidR="003714B5" w:rsidRPr="005D2393" w:rsidRDefault="003714B5" w:rsidP="00AF47B6">
      <w:pPr>
        <w:jc w:val="both"/>
      </w:pPr>
      <w:r w:rsidRPr="005D2393">
        <w:t>HTA policy and methods for the following health technologies will be considered by the HTA Review:</w:t>
      </w:r>
    </w:p>
    <w:p w14:paraId="3CC6A386" w14:textId="4E4DBA10" w:rsidR="003714B5" w:rsidRPr="005D2393" w:rsidRDefault="003714B5" w:rsidP="00AF47B6">
      <w:pPr>
        <w:pStyle w:val="ListParagraph"/>
        <w:numPr>
          <w:ilvl w:val="0"/>
          <w:numId w:val="4"/>
        </w:numPr>
        <w:jc w:val="both"/>
        <w:rPr>
          <w:rFonts w:cs="Arial"/>
          <w:szCs w:val="20"/>
        </w:rPr>
      </w:pPr>
      <w:r w:rsidRPr="005D2393">
        <w:rPr>
          <w:rFonts w:cs="Arial"/>
          <w:szCs w:val="20"/>
        </w:rPr>
        <w:t xml:space="preserve">all medicines and </w:t>
      </w:r>
      <w:r w:rsidR="00AB13F6" w:rsidRPr="005D2393">
        <w:rPr>
          <w:rFonts w:cs="Arial"/>
          <w:szCs w:val="20"/>
        </w:rPr>
        <w:t>vaccines</w:t>
      </w:r>
    </w:p>
    <w:p w14:paraId="2B7C109E" w14:textId="62E347A7" w:rsidR="003714B5" w:rsidRPr="005D2393" w:rsidRDefault="003714B5" w:rsidP="00AF47B6">
      <w:pPr>
        <w:pStyle w:val="ListParagraph"/>
        <w:numPr>
          <w:ilvl w:val="0"/>
          <w:numId w:val="4"/>
        </w:numPr>
        <w:jc w:val="both"/>
        <w:rPr>
          <w:rFonts w:cs="Arial"/>
          <w:szCs w:val="20"/>
        </w:rPr>
      </w:pPr>
      <w:r w:rsidRPr="005D2393">
        <w:rPr>
          <w:rFonts w:cs="Arial"/>
          <w:szCs w:val="20"/>
        </w:rPr>
        <w:t>highly specialised therapies (such as cell and gene therapies)</w:t>
      </w:r>
    </w:p>
    <w:p w14:paraId="51963512" w14:textId="1C295AAD" w:rsidR="003714B5" w:rsidRPr="005D2393" w:rsidRDefault="002E4636" w:rsidP="00AF47B6">
      <w:pPr>
        <w:pStyle w:val="ListParagraph"/>
        <w:numPr>
          <w:ilvl w:val="0"/>
          <w:numId w:val="4"/>
        </w:numPr>
        <w:jc w:val="both"/>
        <w:rPr>
          <w:rFonts w:cs="Arial"/>
          <w:szCs w:val="20"/>
        </w:rPr>
      </w:pPr>
      <w:r w:rsidRPr="005D2393">
        <w:rPr>
          <w:rFonts w:ascii="Calibri" w:hAnsi="Calibri" w:cs="Calibri"/>
          <w:szCs w:val="24"/>
        </w:rPr>
        <w:t>o</w:t>
      </w:r>
      <w:r w:rsidR="00461FD6" w:rsidRPr="005D2393">
        <w:rPr>
          <w:rFonts w:ascii="Calibri" w:hAnsi="Calibri" w:cs="Calibri"/>
          <w:szCs w:val="24"/>
        </w:rPr>
        <w:t xml:space="preserve">ther health technologies (for example a pathology test </w:t>
      </w:r>
      <w:r w:rsidR="00101491" w:rsidRPr="005D2393">
        <w:rPr>
          <w:rFonts w:ascii="Calibri" w:hAnsi="Calibri" w:cs="Calibri"/>
          <w:szCs w:val="24"/>
        </w:rPr>
        <w:t>or an imaging technology</w:t>
      </w:r>
      <w:r w:rsidR="002F5E98" w:rsidRPr="005D2393">
        <w:rPr>
          <w:rFonts w:ascii="Calibri" w:hAnsi="Calibri" w:cs="Calibri"/>
          <w:szCs w:val="24"/>
        </w:rPr>
        <w:t>)</w:t>
      </w:r>
      <w:r w:rsidR="00101491" w:rsidRPr="005D2393">
        <w:rPr>
          <w:rFonts w:ascii="Calibri" w:hAnsi="Calibri" w:cs="Calibri"/>
          <w:szCs w:val="24"/>
        </w:rPr>
        <w:t xml:space="preserve"> that improve</w:t>
      </w:r>
      <w:r w:rsidR="00395440" w:rsidRPr="005D2393">
        <w:rPr>
          <w:rFonts w:ascii="Calibri" w:hAnsi="Calibri" w:cs="Calibri"/>
          <w:szCs w:val="24"/>
        </w:rPr>
        <w:t xml:space="preserve"> </w:t>
      </w:r>
      <w:r w:rsidR="00AB13F6" w:rsidRPr="005D2393">
        <w:rPr>
          <w:rFonts w:ascii="Calibri" w:hAnsi="Calibri" w:cs="Calibri"/>
          <w:szCs w:val="24"/>
        </w:rPr>
        <w:t>health outcomes associated with</w:t>
      </w:r>
      <w:bookmarkStart w:id="13" w:name="_Hlk122431541"/>
      <w:r w:rsidR="00AB13F6" w:rsidRPr="005D2393">
        <w:t xml:space="preserve"> </w:t>
      </w:r>
      <w:r w:rsidR="00AB13F6" w:rsidRPr="005D2393">
        <w:rPr>
          <w:rFonts w:ascii="Calibri" w:hAnsi="Calibri" w:cs="Calibri"/>
          <w:szCs w:val="24"/>
        </w:rPr>
        <w:t xml:space="preserve">the technologies defined in </w:t>
      </w:r>
      <w:r w:rsidR="0086723F" w:rsidRPr="005D2393">
        <w:rPr>
          <w:rFonts w:ascii="Calibri" w:hAnsi="Calibri" w:cs="Calibri"/>
          <w:szCs w:val="24"/>
        </w:rPr>
        <w:t>point</w:t>
      </w:r>
      <w:r w:rsidR="003D2374" w:rsidRPr="005D2393">
        <w:rPr>
          <w:rFonts w:ascii="Calibri" w:hAnsi="Calibri" w:cs="Calibri"/>
          <w:szCs w:val="24"/>
        </w:rPr>
        <w:t>s</w:t>
      </w:r>
      <w:r w:rsidR="00AB13F6" w:rsidRPr="005D2393">
        <w:rPr>
          <w:rFonts w:ascii="Calibri" w:hAnsi="Calibri" w:cs="Calibri"/>
          <w:szCs w:val="24"/>
        </w:rPr>
        <w:t xml:space="preserve"> 1</w:t>
      </w:r>
      <w:r w:rsidR="003D2374" w:rsidRPr="005D2393">
        <w:rPr>
          <w:rFonts w:ascii="Calibri" w:hAnsi="Calibri" w:cs="Calibri"/>
          <w:szCs w:val="24"/>
        </w:rPr>
        <w:t xml:space="preserve"> and 2</w:t>
      </w:r>
      <w:bookmarkEnd w:id="13"/>
    </w:p>
    <w:p w14:paraId="0A7ECBCF" w14:textId="77777777" w:rsidR="003714B5" w:rsidRPr="005D2393" w:rsidRDefault="003714B5" w:rsidP="00AF47B6">
      <w:pPr>
        <w:pStyle w:val="ListParagraph"/>
        <w:numPr>
          <w:ilvl w:val="0"/>
          <w:numId w:val="4"/>
        </w:numPr>
        <w:jc w:val="both"/>
        <w:rPr>
          <w:rFonts w:cs="Arial"/>
          <w:szCs w:val="20"/>
        </w:rPr>
      </w:pPr>
      <w:r w:rsidRPr="005D2393">
        <w:rPr>
          <w:rFonts w:cs="Arial"/>
          <w:szCs w:val="20"/>
        </w:rPr>
        <w:t>foreseeable changes in health care that may influence the need, accessibility, effectiveness or cost-effectiveness of new health technologies.</w:t>
      </w:r>
    </w:p>
    <w:p w14:paraId="28CB723D" w14:textId="2A404BA5" w:rsidR="003714B5" w:rsidRPr="005D2393" w:rsidRDefault="003714B5" w:rsidP="00AB2402">
      <w:pPr>
        <w:pStyle w:val="Heading2"/>
        <w:jc w:val="both"/>
      </w:pPr>
      <w:bookmarkStart w:id="14" w:name="_Toc127368768"/>
      <w:bookmarkStart w:id="15" w:name="_Toc127368769"/>
      <w:bookmarkEnd w:id="12"/>
      <w:bookmarkEnd w:id="14"/>
      <w:r w:rsidRPr="005D2393">
        <w:t>Policies and methods</w:t>
      </w:r>
      <w:bookmarkEnd w:id="15"/>
      <w:r w:rsidRPr="005D2393">
        <w:t xml:space="preserve"> </w:t>
      </w:r>
    </w:p>
    <w:p w14:paraId="1FEA5725" w14:textId="5918F94A" w:rsidR="003714B5" w:rsidRPr="005D2393" w:rsidRDefault="003714B5" w:rsidP="00AF47B6">
      <w:pPr>
        <w:jc w:val="both"/>
      </w:pPr>
      <w:r w:rsidRPr="005D2393">
        <w:t xml:space="preserve">The HTA Review will examine Commonwealth HTA policy and methods (including those set out in the PBAC and MSAC Guidelines where applicable to the technologies outlined </w:t>
      </w:r>
      <w:r w:rsidR="00DA34FD" w:rsidRPr="005D2393">
        <w:t>in Section 4.1</w:t>
      </w:r>
      <w:r w:rsidRPr="005D2393">
        <w:t>) relating to:</w:t>
      </w:r>
    </w:p>
    <w:p w14:paraId="46CC5AFD" w14:textId="5F8865E0" w:rsidR="00F7527B" w:rsidRPr="005D2393" w:rsidRDefault="009E1618" w:rsidP="00F7527B">
      <w:pPr>
        <w:pStyle w:val="ListParagraph"/>
        <w:numPr>
          <w:ilvl w:val="0"/>
          <w:numId w:val="3"/>
        </w:numPr>
        <w:jc w:val="both"/>
        <w:rPr>
          <w:rFonts w:cs="Arial"/>
          <w:szCs w:val="20"/>
        </w:rPr>
      </w:pPr>
      <w:r w:rsidRPr="005D2393">
        <w:rPr>
          <w:rFonts w:cs="Arial"/>
          <w:szCs w:val="20"/>
        </w:rPr>
        <w:t xml:space="preserve">identification of place of a technology in care and selection of comparators </w:t>
      </w:r>
    </w:p>
    <w:p w14:paraId="5D27FADC" w14:textId="77777777" w:rsidR="009E1618" w:rsidRPr="005D2393" w:rsidRDefault="009E1618" w:rsidP="00F7527B">
      <w:pPr>
        <w:pStyle w:val="ListParagraph"/>
        <w:numPr>
          <w:ilvl w:val="0"/>
          <w:numId w:val="3"/>
        </w:numPr>
        <w:jc w:val="both"/>
        <w:rPr>
          <w:rFonts w:cs="Arial"/>
          <w:szCs w:val="20"/>
        </w:rPr>
      </w:pPr>
      <w:r w:rsidRPr="005D2393">
        <w:rPr>
          <w:rFonts w:cs="Arial"/>
          <w:szCs w:val="20"/>
        </w:rPr>
        <w:t>identification of patient relevant outcomes</w:t>
      </w:r>
    </w:p>
    <w:p w14:paraId="1D802C58" w14:textId="6BFB8D52" w:rsidR="009E1618" w:rsidRPr="005D2393" w:rsidRDefault="009E1618" w:rsidP="00AB2402">
      <w:pPr>
        <w:pStyle w:val="ListParagraph"/>
        <w:numPr>
          <w:ilvl w:val="0"/>
          <w:numId w:val="3"/>
        </w:numPr>
        <w:jc w:val="both"/>
        <w:rPr>
          <w:rFonts w:cs="Arial"/>
          <w:szCs w:val="20"/>
        </w:rPr>
      </w:pPr>
      <w:r w:rsidRPr="005D2393">
        <w:rPr>
          <w:rFonts w:cs="Arial"/>
          <w:szCs w:val="20"/>
        </w:rPr>
        <w:t xml:space="preserve">augmentation of primary clinical evidence with data designed to capture the value of health technologies from the perspective of patients and their communities (such as qualitative research, patient preference studies, </w:t>
      </w:r>
      <w:r w:rsidR="00D14B69" w:rsidRPr="005D2393">
        <w:rPr>
          <w:rFonts w:cs="Arial"/>
          <w:szCs w:val="20"/>
        </w:rPr>
        <w:t>patient reported outcome measures</w:t>
      </w:r>
      <w:r w:rsidRPr="005D2393">
        <w:rPr>
          <w:rFonts w:cs="Arial"/>
          <w:szCs w:val="20"/>
        </w:rPr>
        <w:t xml:space="preserve"> and </w:t>
      </w:r>
      <w:r w:rsidR="00D14B69" w:rsidRPr="005D2393">
        <w:rPr>
          <w:rFonts w:cs="Arial"/>
          <w:szCs w:val="20"/>
        </w:rPr>
        <w:t>patient reported experience measures</w:t>
      </w:r>
      <w:r w:rsidRPr="005D2393">
        <w:rPr>
          <w:rFonts w:cs="Arial"/>
          <w:szCs w:val="20"/>
        </w:rPr>
        <w:t>)</w:t>
      </w:r>
    </w:p>
    <w:p w14:paraId="02ED6147" w14:textId="77777777" w:rsidR="00E72175" w:rsidRPr="005D2393" w:rsidRDefault="00E72175" w:rsidP="00AB2402">
      <w:pPr>
        <w:pStyle w:val="ListParagraph"/>
        <w:numPr>
          <w:ilvl w:val="0"/>
          <w:numId w:val="3"/>
        </w:numPr>
        <w:spacing w:after="0"/>
        <w:ind w:left="714" w:hanging="357"/>
        <w:jc w:val="both"/>
        <w:rPr>
          <w:rFonts w:cs="Arial"/>
          <w:szCs w:val="20"/>
        </w:rPr>
      </w:pPr>
      <w:r w:rsidRPr="005D2393">
        <w:rPr>
          <w:rFonts w:cs="Arial"/>
          <w:szCs w:val="20"/>
        </w:rPr>
        <w:t>evaluations (including how the value of medicines is captured)</w:t>
      </w:r>
    </w:p>
    <w:p w14:paraId="2ECCB6A8" w14:textId="177C1515" w:rsidR="00B70EAE" w:rsidRPr="005D2393" w:rsidRDefault="00D03339" w:rsidP="00844859">
      <w:pPr>
        <w:numPr>
          <w:ilvl w:val="0"/>
          <w:numId w:val="3"/>
        </w:numPr>
        <w:spacing w:after="0" w:line="233" w:lineRule="atLeast"/>
        <w:jc w:val="both"/>
        <w:rPr>
          <w:rFonts w:ascii="Calibri" w:eastAsia="Times New Roman" w:hAnsi="Calibri" w:cs="Calibri"/>
          <w:szCs w:val="24"/>
          <w:lang w:eastAsia="en-GB"/>
        </w:rPr>
      </w:pPr>
      <w:r w:rsidRPr="005D2393">
        <w:rPr>
          <w:rFonts w:ascii="Calibri" w:eastAsia="Times New Roman" w:hAnsi="Calibri" w:cs="Calibri"/>
          <w:szCs w:val="24"/>
          <w:lang w:eastAsia="en-GB"/>
        </w:rPr>
        <w:t xml:space="preserve">incorporation and use of direct </w:t>
      </w:r>
      <w:r w:rsidR="0023399C" w:rsidRPr="005D2393">
        <w:rPr>
          <w:rFonts w:ascii="Calibri" w:eastAsia="Times New Roman" w:hAnsi="Calibri" w:cs="Calibri"/>
          <w:szCs w:val="24"/>
          <w:lang w:eastAsia="en-GB"/>
        </w:rPr>
        <w:t>input from patients, clinicians and other stakeholders with professional or lived expertise, into HTA evaluations and deliberations</w:t>
      </w:r>
    </w:p>
    <w:p w14:paraId="22476001" w14:textId="224DA33D" w:rsidR="005263C1" w:rsidRPr="005D2393" w:rsidRDefault="00E72175" w:rsidP="005263C1">
      <w:pPr>
        <w:pStyle w:val="ListParagraph"/>
        <w:numPr>
          <w:ilvl w:val="0"/>
          <w:numId w:val="3"/>
        </w:numPr>
        <w:jc w:val="both"/>
        <w:rPr>
          <w:rFonts w:cs="Arial"/>
          <w:szCs w:val="20"/>
        </w:rPr>
      </w:pPr>
      <w:r w:rsidRPr="005D2393">
        <w:rPr>
          <w:color w:val="262626"/>
          <w:szCs w:val="24"/>
          <w:lang w:val="en-GB"/>
        </w:rPr>
        <w:t>a</w:t>
      </w:r>
      <w:r w:rsidR="005263C1" w:rsidRPr="005D2393">
        <w:rPr>
          <w:color w:val="262626"/>
          <w:szCs w:val="24"/>
          <w:lang w:val="en-GB"/>
        </w:rPr>
        <w:t>pproaches to i</w:t>
      </w:r>
      <w:r w:rsidR="00B64D78" w:rsidRPr="005D2393">
        <w:rPr>
          <w:color w:val="262626"/>
          <w:szCs w:val="24"/>
          <w:lang w:val="en-GB"/>
        </w:rPr>
        <w:t>ncreasing transparency in HTA decision-making</w:t>
      </w:r>
      <w:r w:rsidRPr="005D2393">
        <w:rPr>
          <w:color w:val="262626"/>
          <w:szCs w:val="24"/>
          <w:lang w:val="en-GB"/>
        </w:rPr>
        <w:t xml:space="preserve"> and communicating this</w:t>
      </w:r>
      <w:r w:rsidR="00077BD0" w:rsidRPr="005D2393">
        <w:rPr>
          <w:color w:val="262626"/>
          <w:szCs w:val="24"/>
          <w:lang w:val="en-GB"/>
        </w:rPr>
        <w:t xml:space="preserve"> </w:t>
      </w:r>
    </w:p>
    <w:p w14:paraId="68EEC5FA" w14:textId="331C6E46" w:rsidR="003714B5" w:rsidRPr="005D2393" w:rsidRDefault="003714B5" w:rsidP="00204489">
      <w:pPr>
        <w:pStyle w:val="ListParagraph"/>
        <w:numPr>
          <w:ilvl w:val="0"/>
          <w:numId w:val="3"/>
        </w:numPr>
        <w:jc w:val="both"/>
        <w:rPr>
          <w:rFonts w:cs="Arial"/>
          <w:szCs w:val="20"/>
        </w:rPr>
      </w:pPr>
      <w:r w:rsidRPr="005D2393">
        <w:rPr>
          <w:rFonts w:cs="Arial"/>
          <w:szCs w:val="20"/>
        </w:rPr>
        <w:t xml:space="preserve">new technologies, or expanded indications, that provide a substantial improvement in health outcomes compared to </w:t>
      </w:r>
      <w:r w:rsidR="00E72175" w:rsidRPr="005D2393">
        <w:rPr>
          <w:rFonts w:cs="Arial"/>
          <w:szCs w:val="20"/>
        </w:rPr>
        <w:t>relevant</w:t>
      </w:r>
      <w:r w:rsidR="0023399C" w:rsidRPr="005D2393">
        <w:rPr>
          <w:rFonts w:cs="Arial"/>
          <w:szCs w:val="20"/>
        </w:rPr>
        <w:t xml:space="preserve"> </w:t>
      </w:r>
      <w:r w:rsidRPr="005D2393">
        <w:rPr>
          <w:rFonts w:cs="Arial"/>
          <w:szCs w:val="20"/>
        </w:rPr>
        <w:t>alternative therapies</w:t>
      </w:r>
    </w:p>
    <w:p w14:paraId="2B2DECAD" w14:textId="044C4E1E" w:rsidR="003714B5" w:rsidRPr="005D2393" w:rsidRDefault="003714B5" w:rsidP="00204489">
      <w:pPr>
        <w:pStyle w:val="ListParagraph"/>
        <w:numPr>
          <w:ilvl w:val="0"/>
          <w:numId w:val="3"/>
        </w:numPr>
        <w:jc w:val="both"/>
        <w:rPr>
          <w:rFonts w:cs="Arial"/>
          <w:szCs w:val="20"/>
        </w:rPr>
      </w:pPr>
      <w:r w:rsidRPr="005D2393">
        <w:rPr>
          <w:rFonts w:cs="Arial"/>
          <w:szCs w:val="20"/>
        </w:rPr>
        <w:t xml:space="preserve">new technologies, or expanded indications, that do not provide a substantial improvement in health outcomes compared to </w:t>
      </w:r>
      <w:r w:rsidR="00C04583" w:rsidRPr="005D2393">
        <w:rPr>
          <w:rFonts w:cs="Arial"/>
          <w:szCs w:val="20"/>
        </w:rPr>
        <w:t xml:space="preserve">relevant </w:t>
      </w:r>
      <w:r w:rsidRPr="005D2393">
        <w:rPr>
          <w:rFonts w:cs="Arial"/>
          <w:szCs w:val="20"/>
        </w:rPr>
        <w:t>alternative therapies</w:t>
      </w:r>
    </w:p>
    <w:p w14:paraId="1BDD6F0F" w14:textId="2BC8BD6F" w:rsidR="003714B5" w:rsidRPr="005D2393" w:rsidRDefault="00D82D6E" w:rsidP="00204489">
      <w:pPr>
        <w:pStyle w:val="ListParagraph"/>
        <w:numPr>
          <w:ilvl w:val="0"/>
          <w:numId w:val="3"/>
        </w:numPr>
        <w:jc w:val="both"/>
        <w:rPr>
          <w:rFonts w:cs="Arial"/>
          <w:szCs w:val="20"/>
        </w:rPr>
      </w:pPr>
      <w:r w:rsidRPr="005D2393">
        <w:rPr>
          <w:rFonts w:cs="Arial"/>
          <w:szCs w:val="20"/>
        </w:rPr>
        <w:lastRenderedPageBreak/>
        <w:t>managing</w:t>
      </w:r>
      <w:r w:rsidR="003714B5" w:rsidRPr="005D2393">
        <w:rPr>
          <w:rFonts w:cs="Arial"/>
          <w:szCs w:val="20"/>
        </w:rPr>
        <w:t xml:space="preserve"> clinical, economic, financial, and other uncertainty throughout the lifecycle of a technology including better capture of necessary data on duration of eff</w:t>
      </w:r>
      <w:r w:rsidR="00D27F37" w:rsidRPr="005D2393">
        <w:rPr>
          <w:rFonts w:cs="Arial"/>
          <w:szCs w:val="20"/>
        </w:rPr>
        <w:t>ectiveness</w:t>
      </w:r>
      <w:r w:rsidR="003714B5" w:rsidRPr="005D2393">
        <w:rPr>
          <w:rFonts w:cs="Arial"/>
          <w:szCs w:val="20"/>
        </w:rPr>
        <w:t xml:space="preserve"> and safety events and</w:t>
      </w:r>
    </w:p>
    <w:p w14:paraId="18FA4D7F" w14:textId="4F180970" w:rsidR="003714B5" w:rsidRPr="005D2393" w:rsidRDefault="003714B5" w:rsidP="00204489">
      <w:pPr>
        <w:pStyle w:val="ListParagraph"/>
        <w:numPr>
          <w:ilvl w:val="0"/>
          <w:numId w:val="3"/>
        </w:numPr>
        <w:jc w:val="both"/>
        <w:rPr>
          <w:rFonts w:cs="Arial"/>
          <w:szCs w:val="20"/>
        </w:rPr>
      </w:pPr>
      <w:bookmarkStart w:id="16" w:name="_Hlk122435175"/>
      <w:r w:rsidRPr="005D2393">
        <w:rPr>
          <w:rFonts w:cs="Arial"/>
          <w:szCs w:val="20"/>
        </w:rPr>
        <w:t>assessment of technologies (such as those for rare and ultra-rare diseases) that would be used for conditions where there is high unmet clinical need that have clinical and economic uncertainty including:</w:t>
      </w:r>
      <w:r w:rsidR="001B181C" w:rsidRPr="005D2393">
        <w:rPr>
          <w:rFonts w:cs="Arial"/>
          <w:szCs w:val="20"/>
        </w:rPr>
        <w:t xml:space="preserve"> </w:t>
      </w:r>
    </w:p>
    <w:bookmarkEnd w:id="16"/>
    <w:p w14:paraId="557BB9B5" w14:textId="77777777" w:rsidR="003714B5" w:rsidRPr="005D2393" w:rsidRDefault="003714B5" w:rsidP="00204489">
      <w:pPr>
        <w:pStyle w:val="ListParagraph"/>
        <w:numPr>
          <w:ilvl w:val="1"/>
          <w:numId w:val="3"/>
        </w:numPr>
        <w:jc w:val="both"/>
        <w:rPr>
          <w:rFonts w:cs="Arial"/>
          <w:szCs w:val="20"/>
        </w:rPr>
      </w:pPr>
      <w:r w:rsidRPr="005D2393">
        <w:rPr>
          <w:rFonts w:cs="Arial"/>
          <w:szCs w:val="20"/>
        </w:rPr>
        <w:t>use of evidence from relevant sources other than randomised controlled trials where such trials are not feasible and</w:t>
      </w:r>
    </w:p>
    <w:p w14:paraId="07C60A94" w14:textId="3AF3A0B3" w:rsidR="002E41A6" w:rsidRPr="005D2393" w:rsidRDefault="003714B5" w:rsidP="001C1DD5">
      <w:pPr>
        <w:pStyle w:val="ListParagraph"/>
        <w:numPr>
          <w:ilvl w:val="1"/>
          <w:numId w:val="3"/>
        </w:numPr>
        <w:jc w:val="both"/>
      </w:pPr>
      <w:r w:rsidRPr="005D2393">
        <w:rPr>
          <w:rFonts w:cs="Arial"/>
          <w:szCs w:val="20"/>
        </w:rPr>
        <w:t>arrangements for post market assessment and decision making.</w:t>
      </w:r>
    </w:p>
    <w:p w14:paraId="0CD722F8" w14:textId="77777777" w:rsidR="003714B5" w:rsidRPr="005D2393" w:rsidRDefault="003714B5" w:rsidP="00AB2402">
      <w:pPr>
        <w:pStyle w:val="Heading2"/>
        <w:jc w:val="both"/>
      </w:pPr>
      <w:bookmarkStart w:id="17" w:name="_Toc127368770"/>
      <w:r w:rsidRPr="005D2393">
        <w:t>Funding and approval pathways</w:t>
      </w:r>
      <w:bookmarkEnd w:id="17"/>
    </w:p>
    <w:p w14:paraId="34653BFE" w14:textId="3AB31468" w:rsidR="003714B5" w:rsidRPr="005D2393" w:rsidRDefault="003714B5" w:rsidP="00AF47B6">
      <w:pPr>
        <w:jc w:val="both"/>
      </w:pPr>
      <w:r w:rsidRPr="005D2393">
        <w:t>The HTA Review will consider efficient and equitable assessment and funding approaches and pathways in relation to the technologies at 4.1. This discussion will include:</w:t>
      </w:r>
    </w:p>
    <w:p w14:paraId="2ABB4615" w14:textId="2C69659F" w:rsidR="003714B5" w:rsidRPr="005D2393" w:rsidRDefault="003714B5" w:rsidP="00AF47B6">
      <w:pPr>
        <w:pStyle w:val="ListParagraph"/>
        <w:numPr>
          <w:ilvl w:val="0"/>
          <w:numId w:val="2"/>
        </w:numPr>
        <w:jc w:val="both"/>
        <w:rPr>
          <w:rFonts w:cs="Arial"/>
          <w:szCs w:val="20"/>
        </w:rPr>
      </w:pPr>
      <w:r w:rsidRPr="005D2393">
        <w:rPr>
          <w:rFonts w:cs="Arial"/>
          <w:szCs w:val="20"/>
        </w:rPr>
        <w:t xml:space="preserve">approaches that incentivise launch of first in class technologies or first major extension of indication that deliver a substantial improvement in health outcomes compared to </w:t>
      </w:r>
      <w:r w:rsidR="00C04583" w:rsidRPr="005D2393">
        <w:rPr>
          <w:rFonts w:cs="Arial"/>
          <w:szCs w:val="20"/>
        </w:rPr>
        <w:t xml:space="preserve">relevant </w:t>
      </w:r>
      <w:r w:rsidRPr="005D2393">
        <w:rPr>
          <w:rFonts w:cs="Arial"/>
          <w:szCs w:val="20"/>
        </w:rPr>
        <w:t>alternative therapies</w:t>
      </w:r>
    </w:p>
    <w:p w14:paraId="6D7C600E" w14:textId="626C4EB7" w:rsidR="003714B5" w:rsidRPr="005D2393" w:rsidRDefault="003714B5" w:rsidP="00AF47B6">
      <w:pPr>
        <w:pStyle w:val="ListParagraph"/>
        <w:numPr>
          <w:ilvl w:val="0"/>
          <w:numId w:val="2"/>
        </w:numPr>
        <w:jc w:val="both"/>
        <w:rPr>
          <w:rFonts w:cs="Arial"/>
          <w:szCs w:val="20"/>
        </w:rPr>
      </w:pPr>
      <w:r w:rsidRPr="005D2393">
        <w:rPr>
          <w:rFonts w:cs="Arial"/>
          <w:szCs w:val="20"/>
        </w:rPr>
        <w:t>equitable distribution and efficient use of limited HTA resources to meet the health and wellbeing needs of the Australian population</w:t>
      </w:r>
    </w:p>
    <w:p w14:paraId="577DDD6A" w14:textId="7014A708" w:rsidR="003714B5" w:rsidRPr="005D2393" w:rsidRDefault="003714B5" w:rsidP="00AF47B6">
      <w:pPr>
        <w:pStyle w:val="ListParagraph"/>
        <w:numPr>
          <w:ilvl w:val="0"/>
          <w:numId w:val="2"/>
        </w:numPr>
        <w:jc w:val="both"/>
        <w:rPr>
          <w:rFonts w:cs="Arial"/>
          <w:szCs w:val="20"/>
        </w:rPr>
      </w:pPr>
      <w:r w:rsidRPr="005D2393">
        <w:rPr>
          <w:rFonts w:cs="Arial"/>
          <w:szCs w:val="20"/>
        </w:rPr>
        <w:t>implications of any recommendations for assessment of other health technologies and hospital funding</w:t>
      </w:r>
    </w:p>
    <w:p w14:paraId="12A40DBE" w14:textId="77777777" w:rsidR="003714B5" w:rsidRPr="005D2393" w:rsidRDefault="003714B5" w:rsidP="00AF47B6">
      <w:pPr>
        <w:pStyle w:val="ListParagraph"/>
        <w:numPr>
          <w:ilvl w:val="0"/>
          <w:numId w:val="2"/>
        </w:numPr>
        <w:jc w:val="both"/>
        <w:rPr>
          <w:rFonts w:cs="Arial"/>
          <w:szCs w:val="20"/>
        </w:rPr>
      </w:pPr>
      <w:r w:rsidRPr="005D2393">
        <w:rPr>
          <w:rFonts w:cs="Arial"/>
          <w:szCs w:val="20"/>
        </w:rPr>
        <w:t xml:space="preserve">management of future advances in health care including: </w:t>
      </w:r>
    </w:p>
    <w:p w14:paraId="3AAFEA85" w14:textId="77777777" w:rsidR="003714B5" w:rsidRPr="005D2393" w:rsidRDefault="003714B5" w:rsidP="00823275">
      <w:pPr>
        <w:pStyle w:val="ListParagraph"/>
        <w:numPr>
          <w:ilvl w:val="0"/>
          <w:numId w:val="14"/>
        </w:numPr>
        <w:jc w:val="both"/>
        <w:rPr>
          <w:rFonts w:cs="Arial"/>
          <w:szCs w:val="20"/>
        </w:rPr>
      </w:pPr>
      <w:r w:rsidRPr="005D2393">
        <w:rPr>
          <w:rFonts w:cs="Arial"/>
          <w:szCs w:val="20"/>
        </w:rPr>
        <w:t>adaptability of HTA approaches</w:t>
      </w:r>
    </w:p>
    <w:p w14:paraId="09C4C883" w14:textId="77777777" w:rsidR="003714B5" w:rsidRPr="005D2393" w:rsidRDefault="003714B5" w:rsidP="00823275">
      <w:pPr>
        <w:pStyle w:val="ListParagraph"/>
        <w:numPr>
          <w:ilvl w:val="0"/>
          <w:numId w:val="14"/>
        </w:numPr>
        <w:jc w:val="both"/>
        <w:rPr>
          <w:rFonts w:cs="Arial"/>
          <w:szCs w:val="20"/>
        </w:rPr>
      </w:pPr>
      <w:r w:rsidRPr="005D2393">
        <w:rPr>
          <w:rFonts w:cs="Arial"/>
          <w:szCs w:val="20"/>
        </w:rPr>
        <w:t>flexibility of advisory committee decision making</w:t>
      </w:r>
    </w:p>
    <w:p w14:paraId="5D4CF50C" w14:textId="77777777" w:rsidR="003714B5" w:rsidRPr="005D2393" w:rsidRDefault="003714B5" w:rsidP="00823275">
      <w:pPr>
        <w:pStyle w:val="ListParagraph"/>
        <w:numPr>
          <w:ilvl w:val="0"/>
          <w:numId w:val="14"/>
        </w:numPr>
        <w:jc w:val="both"/>
        <w:rPr>
          <w:rFonts w:cs="Arial"/>
          <w:szCs w:val="20"/>
        </w:rPr>
      </w:pPr>
      <w:r w:rsidRPr="005D2393">
        <w:rPr>
          <w:rFonts w:cs="Arial"/>
          <w:szCs w:val="20"/>
        </w:rPr>
        <w:t>avoiding unnecessary complexity or duplication in HTA.</w:t>
      </w:r>
    </w:p>
    <w:p w14:paraId="7B5D89EB" w14:textId="152BBBB1" w:rsidR="003714B5" w:rsidRPr="005D2393" w:rsidRDefault="009740AB" w:rsidP="00EE64E2">
      <w:pPr>
        <w:pStyle w:val="ListParagraph"/>
        <w:numPr>
          <w:ilvl w:val="0"/>
          <w:numId w:val="2"/>
        </w:numPr>
        <w:jc w:val="both"/>
        <w:rPr>
          <w:rFonts w:cs="Arial"/>
          <w:szCs w:val="20"/>
        </w:rPr>
      </w:pPr>
      <w:r w:rsidRPr="005D2393">
        <w:rPr>
          <w:rFonts w:cs="Arial"/>
          <w:szCs w:val="20"/>
        </w:rPr>
        <w:t xml:space="preserve">consideration of </w:t>
      </w:r>
      <w:r w:rsidR="003714B5" w:rsidRPr="005D2393">
        <w:rPr>
          <w:rFonts w:cs="Arial"/>
          <w:szCs w:val="20"/>
        </w:rPr>
        <w:t>equity</w:t>
      </w:r>
      <w:r w:rsidR="00D27F37" w:rsidRPr="005D2393">
        <w:rPr>
          <w:rFonts w:cs="Arial"/>
          <w:szCs w:val="20"/>
        </w:rPr>
        <w:t xml:space="preserve"> of access</w:t>
      </w:r>
      <w:r w:rsidR="003714B5" w:rsidRPr="005D2393">
        <w:rPr>
          <w:rFonts w:cs="Arial"/>
          <w:szCs w:val="20"/>
        </w:rPr>
        <w:t xml:space="preserve"> in HTA</w:t>
      </w:r>
      <w:r w:rsidR="00A00B81" w:rsidRPr="005D2393">
        <w:rPr>
          <w:rFonts w:cs="Arial"/>
          <w:szCs w:val="20"/>
        </w:rPr>
        <w:t xml:space="preserve"> decision making including for the </w:t>
      </w:r>
      <w:r w:rsidR="004B1512">
        <w:rPr>
          <w:rFonts w:cs="Arial"/>
          <w:szCs w:val="20"/>
        </w:rPr>
        <w:t>following groups</w:t>
      </w:r>
      <w:r w:rsidR="007E1022" w:rsidRPr="005D2393">
        <w:rPr>
          <w:rFonts w:cs="Arial"/>
          <w:szCs w:val="20"/>
        </w:rPr>
        <w:t>:</w:t>
      </w:r>
    </w:p>
    <w:p w14:paraId="2F78B694" w14:textId="6D4AF637" w:rsidR="00A071FA" w:rsidRPr="005D2393" w:rsidRDefault="009B1A4E" w:rsidP="006944EF">
      <w:pPr>
        <w:pStyle w:val="ListParagraph"/>
        <w:numPr>
          <w:ilvl w:val="0"/>
          <w:numId w:val="49"/>
        </w:numPr>
        <w:jc w:val="both"/>
        <w:rPr>
          <w:rFonts w:cs="Arial"/>
          <w:szCs w:val="20"/>
        </w:rPr>
      </w:pPr>
      <w:r w:rsidRPr="005D2393">
        <w:rPr>
          <w:rFonts w:cs="Arial"/>
          <w:szCs w:val="20"/>
        </w:rPr>
        <w:t>First Nations people</w:t>
      </w:r>
    </w:p>
    <w:p w14:paraId="4C2A35A2" w14:textId="77777777" w:rsidR="00A071FA" w:rsidRPr="005D2393" w:rsidRDefault="00A071FA" w:rsidP="006944EF">
      <w:pPr>
        <w:pStyle w:val="ListParagraph"/>
        <w:numPr>
          <w:ilvl w:val="0"/>
          <w:numId w:val="49"/>
        </w:numPr>
        <w:jc w:val="both"/>
        <w:rPr>
          <w:rFonts w:cs="Arial"/>
          <w:szCs w:val="20"/>
        </w:rPr>
      </w:pPr>
      <w:r w:rsidRPr="005D2393">
        <w:rPr>
          <w:rFonts w:cs="Arial"/>
          <w:szCs w:val="20"/>
        </w:rPr>
        <w:t>people from culturally and linguistically diverse backgrounds</w:t>
      </w:r>
    </w:p>
    <w:p w14:paraId="23F76BC9" w14:textId="7369EF8F" w:rsidR="00D52B75" w:rsidRPr="005D2393" w:rsidRDefault="00A071FA" w:rsidP="006944EF">
      <w:pPr>
        <w:pStyle w:val="ListParagraph"/>
        <w:numPr>
          <w:ilvl w:val="0"/>
          <w:numId w:val="49"/>
        </w:numPr>
        <w:jc w:val="both"/>
        <w:rPr>
          <w:rFonts w:cs="Arial"/>
          <w:szCs w:val="20"/>
        </w:rPr>
      </w:pPr>
      <w:r w:rsidRPr="005D2393">
        <w:rPr>
          <w:rFonts w:cs="Arial"/>
          <w:szCs w:val="20"/>
        </w:rPr>
        <w:t>children and older people</w:t>
      </w:r>
    </w:p>
    <w:p w14:paraId="38F0094B" w14:textId="2AEBB518" w:rsidR="00A071FA" w:rsidRPr="005D2393" w:rsidRDefault="00A071FA" w:rsidP="006944EF">
      <w:pPr>
        <w:pStyle w:val="ListParagraph"/>
        <w:numPr>
          <w:ilvl w:val="0"/>
          <w:numId w:val="49"/>
        </w:numPr>
        <w:jc w:val="both"/>
        <w:rPr>
          <w:rFonts w:cs="Arial"/>
          <w:szCs w:val="20"/>
        </w:rPr>
      </w:pPr>
      <w:r w:rsidRPr="005D2393">
        <w:rPr>
          <w:rFonts w:cs="Arial"/>
          <w:szCs w:val="20"/>
        </w:rPr>
        <w:t>people with disability</w:t>
      </w:r>
    </w:p>
    <w:p w14:paraId="169E123F" w14:textId="1EAAAF17" w:rsidR="00A071FA" w:rsidRPr="005D2393" w:rsidRDefault="00A071FA" w:rsidP="002A3674">
      <w:pPr>
        <w:pStyle w:val="ListParagraph"/>
        <w:numPr>
          <w:ilvl w:val="0"/>
          <w:numId w:val="49"/>
        </w:numPr>
        <w:jc w:val="both"/>
        <w:rPr>
          <w:rFonts w:cs="Arial"/>
          <w:szCs w:val="20"/>
        </w:rPr>
      </w:pPr>
      <w:r w:rsidRPr="005D2393">
        <w:rPr>
          <w:rFonts w:cs="Arial"/>
          <w:szCs w:val="20"/>
        </w:rPr>
        <w:t>people living in rural and remote areas</w:t>
      </w:r>
    </w:p>
    <w:p w14:paraId="471D3B32" w14:textId="77777777" w:rsidR="00A071FA" w:rsidRPr="005D2393" w:rsidRDefault="00A071FA" w:rsidP="006944EF">
      <w:pPr>
        <w:pStyle w:val="ListParagraph"/>
        <w:numPr>
          <w:ilvl w:val="0"/>
          <w:numId w:val="49"/>
        </w:numPr>
        <w:jc w:val="both"/>
        <w:rPr>
          <w:rFonts w:cs="Arial"/>
          <w:szCs w:val="20"/>
        </w:rPr>
      </w:pPr>
      <w:r w:rsidRPr="005D2393">
        <w:rPr>
          <w:rFonts w:cs="Arial"/>
          <w:szCs w:val="20"/>
        </w:rPr>
        <w:t>people of low socioeconomic status</w:t>
      </w:r>
    </w:p>
    <w:p w14:paraId="612D242F" w14:textId="77777777" w:rsidR="00A071FA" w:rsidRPr="005D2393" w:rsidRDefault="00A071FA" w:rsidP="006944EF">
      <w:pPr>
        <w:pStyle w:val="ListParagraph"/>
        <w:numPr>
          <w:ilvl w:val="0"/>
          <w:numId w:val="49"/>
        </w:numPr>
        <w:jc w:val="both"/>
        <w:rPr>
          <w:rFonts w:cs="Arial"/>
          <w:szCs w:val="20"/>
        </w:rPr>
      </w:pPr>
      <w:r w:rsidRPr="005D2393">
        <w:rPr>
          <w:rFonts w:cs="Arial"/>
          <w:szCs w:val="20"/>
        </w:rPr>
        <w:t>people living with rare and under-recognised diseases</w:t>
      </w:r>
    </w:p>
    <w:p w14:paraId="64B1B469" w14:textId="77777777" w:rsidR="00A071FA" w:rsidRPr="005D2393" w:rsidRDefault="00A071FA" w:rsidP="006944EF">
      <w:pPr>
        <w:pStyle w:val="ListParagraph"/>
        <w:numPr>
          <w:ilvl w:val="0"/>
          <w:numId w:val="49"/>
        </w:numPr>
        <w:jc w:val="both"/>
        <w:rPr>
          <w:rFonts w:cs="Arial"/>
          <w:szCs w:val="20"/>
        </w:rPr>
      </w:pPr>
      <w:r w:rsidRPr="005D2393">
        <w:rPr>
          <w:rFonts w:cs="Arial"/>
          <w:szCs w:val="20"/>
        </w:rPr>
        <w:t>people with mental illness</w:t>
      </w:r>
    </w:p>
    <w:p w14:paraId="2EDFFA77" w14:textId="77777777" w:rsidR="00A071FA" w:rsidRPr="005D2393" w:rsidRDefault="00A071FA" w:rsidP="006944EF">
      <w:pPr>
        <w:pStyle w:val="ListParagraph"/>
        <w:numPr>
          <w:ilvl w:val="0"/>
          <w:numId w:val="49"/>
        </w:numPr>
        <w:jc w:val="both"/>
        <w:rPr>
          <w:rFonts w:cs="Arial"/>
          <w:szCs w:val="20"/>
        </w:rPr>
      </w:pPr>
      <w:r w:rsidRPr="005D2393">
        <w:rPr>
          <w:rFonts w:cs="Arial"/>
          <w:szCs w:val="20"/>
        </w:rPr>
        <w:t>lesbian, gay, bisexual, transgender, queer or questioning, intersex and/or other sexuality and gender diverse people (LGBTQI+)</w:t>
      </w:r>
    </w:p>
    <w:p w14:paraId="642F0962" w14:textId="252A2561" w:rsidR="007F26CB" w:rsidRPr="005D2393" w:rsidRDefault="00A071FA" w:rsidP="006944EF">
      <w:pPr>
        <w:pStyle w:val="ListParagraph"/>
        <w:numPr>
          <w:ilvl w:val="0"/>
          <w:numId w:val="49"/>
        </w:numPr>
        <w:jc w:val="both"/>
        <w:rPr>
          <w:rFonts w:cs="Arial"/>
          <w:szCs w:val="20"/>
        </w:rPr>
      </w:pPr>
      <w:r w:rsidRPr="005D2393">
        <w:rPr>
          <w:rFonts w:cs="Arial"/>
          <w:szCs w:val="20"/>
        </w:rPr>
        <w:t xml:space="preserve">other </w:t>
      </w:r>
      <w:r w:rsidR="00B47004" w:rsidRPr="005D2393">
        <w:rPr>
          <w:rFonts w:cs="Arial"/>
          <w:szCs w:val="20"/>
        </w:rPr>
        <w:t xml:space="preserve">populations </w:t>
      </w:r>
      <w:r w:rsidR="004916B6">
        <w:rPr>
          <w:rFonts w:cs="Arial"/>
          <w:szCs w:val="20"/>
        </w:rPr>
        <w:t>in circumstances and at life stages that give rise to vulnerability</w:t>
      </w:r>
      <w:r w:rsidRPr="00A071FA">
        <w:rPr>
          <w:rFonts w:cs="Arial"/>
          <w:szCs w:val="20"/>
        </w:rPr>
        <w:t>.</w:t>
      </w:r>
      <w:r w:rsidR="00B47004" w:rsidRPr="005D2393">
        <w:rPr>
          <w:rFonts w:cs="Arial"/>
          <w:szCs w:val="20"/>
        </w:rPr>
        <w:t xml:space="preserve"> </w:t>
      </w:r>
    </w:p>
    <w:p w14:paraId="436C7BE9" w14:textId="6358D4F7" w:rsidR="003714B5" w:rsidRPr="005D2393" w:rsidRDefault="003714B5" w:rsidP="00AF47B6">
      <w:pPr>
        <w:pStyle w:val="ListParagraph"/>
        <w:numPr>
          <w:ilvl w:val="0"/>
          <w:numId w:val="2"/>
        </w:numPr>
        <w:jc w:val="both"/>
        <w:rPr>
          <w:rFonts w:cs="Arial"/>
        </w:rPr>
      </w:pPr>
      <w:r w:rsidRPr="005D2393">
        <w:rPr>
          <w:rFonts w:cs="Arial"/>
        </w:rPr>
        <w:t>the feasibility of international work sharing for evaluation of technologies in scope for the HTA Review</w:t>
      </w:r>
    </w:p>
    <w:p w14:paraId="33DA7668" w14:textId="77777777" w:rsidR="003714B5" w:rsidRPr="005D2393" w:rsidRDefault="003714B5" w:rsidP="00AF47B6">
      <w:pPr>
        <w:pStyle w:val="ListParagraph"/>
        <w:numPr>
          <w:ilvl w:val="0"/>
          <w:numId w:val="2"/>
        </w:numPr>
        <w:jc w:val="both"/>
        <w:rPr>
          <w:rFonts w:cs="Arial"/>
          <w:szCs w:val="20"/>
        </w:rPr>
      </w:pPr>
      <w:r w:rsidRPr="005D2393">
        <w:rPr>
          <w:rFonts w:cs="Arial"/>
          <w:szCs w:val="20"/>
        </w:rPr>
        <w:t xml:space="preserve">purchasing practices used by comparable international jurisdictions. </w:t>
      </w:r>
    </w:p>
    <w:p w14:paraId="03BFEEEB" w14:textId="3573C1CE" w:rsidR="002E41A6" w:rsidRPr="005D2393" w:rsidRDefault="002E41A6" w:rsidP="00AB2402">
      <w:pPr>
        <w:jc w:val="both"/>
      </w:pPr>
      <w:r w:rsidRPr="005D2393">
        <w:br w:type="page"/>
      </w:r>
    </w:p>
    <w:p w14:paraId="037E94EF" w14:textId="7ECB7EC6" w:rsidR="003714B5" w:rsidRPr="005D2393" w:rsidRDefault="00D82D6E" w:rsidP="00AF47B6">
      <w:pPr>
        <w:pStyle w:val="Heading1"/>
        <w:jc w:val="both"/>
      </w:pPr>
      <w:bookmarkStart w:id="18" w:name="_Toc127368771"/>
      <w:bookmarkStart w:id="19" w:name="_Hlk126163282"/>
      <w:r w:rsidRPr="005D2393">
        <w:lastRenderedPageBreak/>
        <w:t xml:space="preserve">Concurrent </w:t>
      </w:r>
      <w:r w:rsidR="00D27F37" w:rsidRPr="005D2393">
        <w:t xml:space="preserve">HTA </w:t>
      </w:r>
      <w:r w:rsidRPr="005D2393">
        <w:t>reform processes</w:t>
      </w:r>
      <w:bookmarkEnd w:id="18"/>
    </w:p>
    <w:p w14:paraId="2D1B8241" w14:textId="490CBAB4" w:rsidR="00DC00A0" w:rsidRPr="005D2393" w:rsidRDefault="00DC00A0" w:rsidP="00AB2402">
      <w:pPr>
        <w:jc w:val="both"/>
      </w:pPr>
      <w:r w:rsidRPr="005D2393">
        <w:t xml:space="preserve">There are several reform processes to HTA that are being undertaken </w:t>
      </w:r>
      <w:r w:rsidR="00C62AC7" w:rsidRPr="005D2393">
        <w:t>in parallel</w:t>
      </w:r>
      <w:r w:rsidRPr="005D2393">
        <w:t xml:space="preserve"> to the HTA Review. </w:t>
      </w:r>
      <w:r w:rsidR="00CB2D6B" w:rsidRPr="005D2393">
        <w:t xml:space="preserve">The Reference Committee will </w:t>
      </w:r>
      <w:r w:rsidR="00CB033E" w:rsidRPr="005D2393">
        <w:t>work closely with areas undertaking these processes to</w:t>
      </w:r>
      <w:r w:rsidR="00A27CC8" w:rsidRPr="005D2393">
        <w:t xml:space="preserve"> ensure</w:t>
      </w:r>
      <w:r w:rsidR="00CB033E" w:rsidRPr="005D2393">
        <w:t xml:space="preserve"> </w:t>
      </w:r>
      <w:r w:rsidR="00815318" w:rsidRPr="005D2393">
        <w:t xml:space="preserve">it is informed by what is learnt </w:t>
      </w:r>
      <w:r w:rsidR="00897D0A">
        <w:t>through</w:t>
      </w:r>
      <w:r w:rsidR="00815318" w:rsidRPr="005D2393">
        <w:t xml:space="preserve">, and the </w:t>
      </w:r>
      <w:r w:rsidR="00897D0A">
        <w:t xml:space="preserve">HTA </w:t>
      </w:r>
      <w:r w:rsidR="00815318" w:rsidRPr="005D2393">
        <w:t>Review</w:t>
      </w:r>
      <w:r w:rsidR="00CB033E" w:rsidRPr="005D2393">
        <w:t xml:space="preserve"> recommendations are aligned to the outcomes of</w:t>
      </w:r>
      <w:r w:rsidR="00897D0A">
        <w:t>,</w:t>
      </w:r>
      <w:r w:rsidR="00CB033E" w:rsidRPr="005D2393">
        <w:t xml:space="preserve"> those processes. </w:t>
      </w:r>
    </w:p>
    <w:p w14:paraId="2A244A53" w14:textId="0CC87406" w:rsidR="003714B5" w:rsidRPr="005D2393" w:rsidRDefault="003714B5" w:rsidP="00AB2402">
      <w:pPr>
        <w:pStyle w:val="Heading2"/>
        <w:jc w:val="both"/>
      </w:pPr>
      <w:bookmarkStart w:id="20" w:name="_Toc127368772"/>
      <w:r w:rsidRPr="005D2393">
        <w:t>Processes for patient and consumer engagement</w:t>
      </w:r>
      <w:bookmarkEnd w:id="20"/>
      <w:r w:rsidRPr="005D2393">
        <w:t xml:space="preserve"> </w:t>
      </w:r>
    </w:p>
    <w:p w14:paraId="0878F373" w14:textId="08635EDE" w:rsidR="009A588D" w:rsidRPr="005D2393" w:rsidRDefault="00501FC7" w:rsidP="00CF2539">
      <w:pPr>
        <w:jc w:val="both"/>
        <w:rPr>
          <w:lang w:eastAsia="en-AU"/>
        </w:rPr>
      </w:pPr>
      <w:bookmarkStart w:id="21" w:name="_Hlk126163201"/>
      <w:bookmarkEnd w:id="19"/>
      <w:r w:rsidRPr="005D2393">
        <w:rPr>
          <w:lang w:eastAsia="en-AU"/>
        </w:rPr>
        <w:t>T</w:t>
      </w:r>
      <w:r w:rsidR="004D13DA" w:rsidRPr="005D2393">
        <w:rPr>
          <w:lang w:eastAsia="en-AU"/>
        </w:rPr>
        <w:t xml:space="preserve">he </w:t>
      </w:r>
      <w:r w:rsidR="008C66D4" w:rsidRPr="005D2393">
        <w:rPr>
          <w:lang w:eastAsia="en-AU"/>
        </w:rPr>
        <w:t>Government is undertaking</w:t>
      </w:r>
      <w:r w:rsidR="00052F5A" w:rsidRPr="005D2393">
        <w:rPr>
          <w:lang w:eastAsia="en-AU"/>
        </w:rPr>
        <w:t xml:space="preserve"> several </w:t>
      </w:r>
      <w:r w:rsidR="00522F0D" w:rsidRPr="005D2393">
        <w:rPr>
          <w:lang w:eastAsia="en-AU"/>
        </w:rPr>
        <w:t xml:space="preserve">reform </w:t>
      </w:r>
      <w:r w:rsidR="00052F5A" w:rsidRPr="005D2393">
        <w:rPr>
          <w:lang w:eastAsia="en-AU"/>
        </w:rPr>
        <w:t xml:space="preserve">activities that </w:t>
      </w:r>
      <w:r w:rsidR="00D44B0F" w:rsidRPr="005D2393">
        <w:rPr>
          <w:lang w:eastAsia="en-AU"/>
        </w:rPr>
        <w:t>seek</w:t>
      </w:r>
      <w:r w:rsidR="00052F5A" w:rsidRPr="005D2393">
        <w:rPr>
          <w:lang w:eastAsia="en-AU"/>
        </w:rPr>
        <w:t xml:space="preserve"> to</w:t>
      </w:r>
      <w:r w:rsidR="00522F0D" w:rsidRPr="005D2393">
        <w:rPr>
          <w:lang w:eastAsia="en-AU"/>
        </w:rPr>
        <w:t xml:space="preserve"> improve the way</w:t>
      </w:r>
      <w:r w:rsidR="002E4636" w:rsidRPr="005D2393">
        <w:rPr>
          <w:lang w:eastAsia="en-AU"/>
        </w:rPr>
        <w:t xml:space="preserve"> patients,</w:t>
      </w:r>
      <w:r w:rsidR="00522F0D" w:rsidRPr="005D2393">
        <w:rPr>
          <w:lang w:eastAsia="en-AU"/>
        </w:rPr>
        <w:t xml:space="preserve"> consumers and carers are engaged and included in HTA. This includes Conversations for Change community consultations which</w:t>
      </w:r>
      <w:r w:rsidR="00052F5A" w:rsidRPr="005D2393">
        <w:rPr>
          <w:lang w:eastAsia="en-AU"/>
        </w:rPr>
        <w:t xml:space="preserve"> aim to explore different options and approaches to improve communication and engagement and to better support consumers</w:t>
      </w:r>
      <w:r w:rsidR="006944EF" w:rsidRPr="005D2393">
        <w:rPr>
          <w:lang w:eastAsia="en-AU"/>
        </w:rPr>
        <w:t>, patients and carers</w:t>
      </w:r>
      <w:r w:rsidR="00052F5A" w:rsidRPr="005D2393">
        <w:rPr>
          <w:lang w:eastAsia="en-AU"/>
        </w:rPr>
        <w:t xml:space="preserve"> during the HTA process.</w:t>
      </w:r>
      <w:r w:rsidR="002E4636" w:rsidRPr="005D2393">
        <w:rPr>
          <w:lang w:eastAsia="en-AU"/>
        </w:rPr>
        <w:t xml:space="preserve"> </w:t>
      </w:r>
      <w:r w:rsidR="006944EF" w:rsidRPr="005D2393">
        <w:rPr>
          <w:lang w:eastAsia="en-AU"/>
        </w:rPr>
        <w:t>The f</w:t>
      </w:r>
      <w:r w:rsidR="002E4636" w:rsidRPr="005D2393">
        <w:rPr>
          <w:lang w:eastAsia="en-AU"/>
        </w:rPr>
        <w:t xml:space="preserve">indings of these consultations will be collated and analysed so the key priorities of everyone involved in the consultations will be understood, and proposals can be developed. These key priorities </w:t>
      </w:r>
      <w:r w:rsidR="00774D63" w:rsidRPr="005D2393">
        <w:rPr>
          <w:lang w:eastAsia="en-AU"/>
        </w:rPr>
        <w:t xml:space="preserve">will </w:t>
      </w:r>
      <w:r w:rsidR="002E4636" w:rsidRPr="005D2393">
        <w:rPr>
          <w:lang w:eastAsia="en-AU"/>
        </w:rPr>
        <w:t xml:space="preserve">be used to inform other reforms </w:t>
      </w:r>
      <w:r w:rsidR="00522F0D" w:rsidRPr="005D2393">
        <w:rPr>
          <w:lang w:eastAsia="en-AU"/>
        </w:rPr>
        <w:t>includ</w:t>
      </w:r>
      <w:r w:rsidR="002E4636" w:rsidRPr="005D2393">
        <w:rPr>
          <w:lang w:eastAsia="en-AU"/>
        </w:rPr>
        <w:t>ing the</w:t>
      </w:r>
      <w:r w:rsidR="00522F0D" w:rsidRPr="005D2393">
        <w:rPr>
          <w:lang w:eastAsia="en-AU"/>
        </w:rPr>
        <w:t xml:space="preserve"> commitment under clause 6.3 of the Strategic Agreement</w:t>
      </w:r>
      <w:r w:rsidR="008C66D4" w:rsidRPr="005D2393">
        <w:rPr>
          <w:lang w:eastAsia="en-AU"/>
        </w:rPr>
        <w:t xml:space="preserve"> to co-design</w:t>
      </w:r>
      <w:r w:rsidR="00052F5A" w:rsidRPr="005D2393">
        <w:rPr>
          <w:lang w:eastAsia="en-AU"/>
        </w:rPr>
        <w:t xml:space="preserve"> of</w:t>
      </w:r>
      <w:r w:rsidR="008C66D4" w:rsidRPr="005D2393">
        <w:rPr>
          <w:lang w:eastAsia="en-AU"/>
        </w:rPr>
        <w:t xml:space="preserve"> an Enhanced Consumer Engagement Process to capture consumer voices in respect of applications to list new medicines on the PBS. </w:t>
      </w:r>
      <w:r w:rsidR="00522F0D" w:rsidRPr="005D2393">
        <w:rPr>
          <w:lang w:eastAsia="en-AU"/>
        </w:rPr>
        <w:t>The Enhanced Consumer Engagement P</w:t>
      </w:r>
      <w:r w:rsidR="009870B5" w:rsidRPr="005D2393">
        <w:rPr>
          <w:lang w:eastAsia="en-AU"/>
        </w:rPr>
        <w:t>rocess is intended to facilitate the capture of informed consumer and patient perspectives earlier, to effectively inform the assessment of submissions for reimbursement of innovative medicines and subsequent consideration by the PBAC.</w:t>
      </w:r>
    </w:p>
    <w:p w14:paraId="49925561" w14:textId="3DC035E6" w:rsidR="003714B5" w:rsidRPr="005D2393" w:rsidRDefault="003714B5" w:rsidP="00AB2402">
      <w:pPr>
        <w:pStyle w:val="Heading2"/>
        <w:jc w:val="both"/>
      </w:pPr>
      <w:bookmarkStart w:id="22" w:name="_Toc127368773"/>
      <w:bookmarkEnd w:id="21"/>
      <w:r w:rsidRPr="005D2393">
        <w:t>Expertise, role, and remit of advisory committees</w:t>
      </w:r>
      <w:bookmarkEnd w:id="22"/>
    </w:p>
    <w:p w14:paraId="0DE24295" w14:textId="0A97497D" w:rsidR="003714B5" w:rsidRPr="005D2393" w:rsidRDefault="003714B5" w:rsidP="00AF47B6">
      <w:pPr>
        <w:jc w:val="both"/>
        <w:rPr>
          <w:lang w:eastAsia="en-AU"/>
        </w:rPr>
      </w:pPr>
      <w:r w:rsidRPr="005D2393">
        <w:rPr>
          <w:lang w:eastAsia="en-AU"/>
        </w:rPr>
        <w:t xml:space="preserve">The expertise of advisory committees was examined in, and the subject of a recommendation from the Inquiry. The Standing Committee recommended that: </w:t>
      </w:r>
    </w:p>
    <w:p w14:paraId="3C210786" w14:textId="77777777" w:rsidR="003714B5" w:rsidRPr="005D2393" w:rsidRDefault="003714B5" w:rsidP="00AF47B6">
      <w:pPr>
        <w:ind w:left="720"/>
        <w:jc w:val="both"/>
        <w:rPr>
          <w:i/>
          <w:iCs/>
          <w:lang w:eastAsia="en-AU"/>
        </w:rPr>
      </w:pPr>
      <w:r w:rsidRPr="005D2393">
        <w:rPr>
          <w:i/>
          <w:iCs/>
          <w:lang w:eastAsia="en-AU"/>
        </w:rPr>
        <w:t>the Australian Government ensure the membership of the Pharmaceutical Benefits Advisory Committee and Medical Services Advisory Committee provides the appropriate expertise for all applications. This should include the possibilities of enhanced cross-membership between the two committees and the appointment of temporary members to consider individual applications. Recognising the nature of health challenges in Indigenous communities, membership should include representation from Aboriginal and Torres Strait Islander Peoples.</w:t>
      </w:r>
    </w:p>
    <w:p w14:paraId="3673D453" w14:textId="0A2AC757" w:rsidR="00D27F37" w:rsidRPr="005D2393" w:rsidRDefault="002C10A3" w:rsidP="00AF47B6">
      <w:pPr>
        <w:jc w:val="both"/>
        <w:rPr>
          <w:lang w:eastAsia="en-AU"/>
        </w:rPr>
      </w:pPr>
      <w:r w:rsidRPr="005D2393">
        <w:rPr>
          <w:lang w:eastAsia="en-AU"/>
        </w:rPr>
        <w:t>This matter will be considered as part of the Government’s response to the Standing Committee recommendations.</w:t>
      </w:r>
      <w:r w:rsidR="001B181C" w:rsidRPr="005D2393">
        <w:rPr>
          <w:lang w:eastAsia="en-AU"/>
        </w:rPr>
        <w:t xml:space="preserve"> </w:t>
      </w:r>
      <w:r w:rsidRPr="005D2393">
        <w:rPr>
          <w:lang w:eastAsia="en-AU"/>
        </w:rPr>
        <w:t>The</w:t>
      </w:r>
      <w:r w:rsidR="006623DB">
        <w:rPr>
          <w:lang w:eastAsia="en-AU"/>
        </w:rPr>
        <w:t xml:space="preserve"> HTA</w:t>
      </w:r>
      <w:r w:rsidRPr="005D2393">
        <w:rPr>
          <w:lang w:eastAsia="en-AU"/>
        </w:rPr>
        <w:t xml:space="preserve"> Review will consider matters of </w:t>
      </w:r>
      <w:r w:rsidR="00114B05" w:rsidRPr="005D2393">
        <w:rPr>
          <w:lang w:eastAsia="en-AU"/>
        </w:rPr>
        <w:t>c</w:t>
      </w:r>
      <w:r w:rsidRPr="005D2393">
        <w:rPr>
          <w:lang w:eastAsia="en-AU"/>
        </w:rPr>
        <w:t>ommittee organisation and processes that relate to the efficiency and timeliness of HTA considerations and subsequent decision making.</w:t>
      </w:r>
    </w:p>
    <w:p w14:paraId="6C269507" w14:textId="7449E00A" w:rsidR="00DF29C8" w:rsidRPr="005D2393" w:rsidRDefault="00586D1B" w:rsidP="00AB2402">
      <w:pPr>
        <w:pStyle w:val="Heading2"/>
        <w:jc w:val="both"/>
        <w:rPr>
          <w:lang w:eastAsia="en-AU"/>
        </w:rPr>
      </w:pPr>
      <w:bookmarkStart w:id="23" w:name="_Toc127368774"/>
      <w:r w:rsidRPr="005D2393">
        <w:rPr>
          <w:lang w:eastAsia="en-AU"/>
        </w:rPr>
        <w:t xml:space="preserve">International </w:t>
      </w:r>
      <w:r w:rsidR="00DF29C8" w:rsidRPr="005D2393">
        <w:rPr>
          <w:lang w:eastAsia="en-AU"/>
        </w:rPr>
        <w:t xml:space="preserve">Collaboration Arrangement between the Department of Health and Aged Care and </w:t>
      </w:r>
      <w:r w:rsidRPr="005D2393">
        <w:rPr>
          <w:lang w:eastAsia="en-AU"/>
        </w:rPr>
        <w:t>other Health Technology Assessment bodies</w:t>
      </w:r>
      <w:bookmarkEnd w:id="23"/>
    </w:p>
    <w:p w14:paraId="37BB05A6" w14:textId="4A42FBA8" w:rsidR="00586D1B" w:rsidRPr="005D2393" w:rsidRDefault="00586D1B" w:rsidP="00AB2402">
      <w:pPr>
        <w:jc w:val="both"/>
        <w:rPr>
          <w:lang w:eastAsia="en-AU"/>
        </w:rPr>
      </w:pPr>
      <w:r w:rsidRPr="005D2393">
        <w:rPr>
          <w:lang w:eastAsia="en-AU"/>
        </w:rPr>
        <w:t>The Department of Health and Aged Care has signed an international collaboration arrangement with health technology assessment bodies</w:t>
      </w:r>
      <w:r w:rsidR="004B1512">
        <w:rPr>
          <w:lang w:eastAsia="en-AU"/>
        </w:rPr>
        <w:t xml:space="preserve"> internationally</w:t>
      </w:r>
      <w:r w:rsidRPr="005D2393">
        <w:rPr>
          <w:lang w:eastAsia="en-AU"/>
        </w:rPr>
        <w:t>. The signatories to the arrangement, who will continue to remain independent of one another, are:</w:t>
      </w:r>
    </w:p>
    <w:p w14:paraId="1D908236" w14:textId="77777777" w:rsidR="00586D1B" w:rsidRPr="005D2393" w:rsidRDefault="00586D1B" w:rsidP="002A3674">
      <w:pPr>
        <w:pStyle w:val="ListParagraph"/>
        <w:numPr>
          <w:ilvl w:val="0"/>
          <w:numId w:val="47"/>
        </w:numPr>
        <w:spacing w:line="240" w:lineRule="auto"/>
        <w:jc w:val="both"/>
        <w:rPr>
          <w:rFonts w:cs="Arial"/>
          <w:szCs w:val="20"/>
        </w:rPr>
      </w:pPr>
      <w:r w:rsidRPr="005D2393">
        <w:rPr>
          <w:rFonts w:cs="Arial"/>
          <w:szCs w:val="20"/>
        </w:rPr>
        <w:t>Australian Government Department of Health and Aged Care</w:t>
      </w:r>
    </w:p>
    <w:p w14:paraId="4BE00086" w14:textId="77777777" w:rsidR="00586D1B" w:rsidRPr="005D2393" w:rsidRDefault="00586D1B" w:rsidP="002A3674">
      <w:pPr>
        <w:pStyle w:val="ListParagraph"/>
        <w:numPr>
          <w:ilvl w:val="0"/>
          <w:numId w:val="47"/>
        </w:numPr>
        <w:spacing w:line="240" w:lineRule="auto"/>
        <w:jc w:val="both"/>
        <w:rPr>
          <w:rFonts w:cs="Arial"/>
          <w:szCs w:val="20"/>
        </w:rPr>
      </w:pPr>
      <w:r w:rsidRPr="005D2393">
        <w:rPr>
          <w:rFonts w:cs="Arial"/>
          <w:szCs w:val="20"/>
        </w:rPr>
        <w:t>National Institute for Health and Care Excellence (NICE)</w:t>
      </w:r>
    </w:p>
    <w:p w14:paraId="6B80E347" w14:textId="77777777" w:rsidR="00586D1B" w:rsidRPr="005D2393" w:rsidRDefault="00586D1B" w:rsidP="002A3674">
      <w:pPr>
        <w:pStyle w:val="ListParagraph"/>
        <w:numPr>
          <w:ilvl w:val="0"/>
          <w:numId w:val="47"/>
        </w:numPr>
        <w:spacing w:line="240" w:lineRule="auto"/>
        <w:jc w:val="both"/>
        <w:rPr>
          <w:rFonts w:cs="Arial"/>
          <w:szCs w:val="20"/>
        </w:rPr>
      </w:pPr>
      <w:r w:rsidRPr="005D2393">
        <w:rPr>
          <w:rFonts w:cs="Arial"/>
          <w:szCs w:val="20"/>
        </w:rPr>
        <w:lastRenderedPageBreak/>
        <w:t>Canadian Agency for Drugs and Technologies in Health (CADTH)</w:t>
      </w:r>
    </w:p>
    <w:p w14:paraId="4A9C0963" w14:textId="77777777" w:rsidR="00586D1B" w:rsidRPr="005D2393" w:rsidRDefault="00586D1B" w:rsidP="002A3674">
      <w:pPr>
        <w:pStyle w:val="ListParagraph"/>
        <w:numPr>
          <w:ilvl w:val="0"/>
          <w:numId w:val="47"/>
        </w:numPr>
        <w:spacing w:line="240" w:lineRule="auto"/>
        <w:jc w:val="both"/>
        <w:rPr>
          <w:rFonts w:cs="Arial"/>
          <w:szCs w:val="20"/>
        </w:rPr>
      </w:pPr>
      <w:r w:rsidRPr="005D2393">
        <w:rPr>
          <w:rFonts w:cs="Arial"/>
          <w:szCs w:val="20"/>
        </w:rPr>
        <w:t>Healthcare Improvement Scotland</w:t>
      </w:r>
    </w:p>
    <w:p w14:paraId="134D4DB4" w14:textId="06BD3739" w:rsidR="006623DB" w:rsidRPr="005D2393" w:rsidRDefault="00586D1B" w:rsidP="002A3674">
      <w:pPr>
        <w:pStyle w:val="ListParagraph"/>
        <w:numPr>
          <w:ilvl w:val="0"/>
          <w:numId w:val="47"/>
        </w:numPr>
        <w:spacing w:line="240" w:lineRule="auto"/>
        <w:jc w:val="both"/>
        <w:rPr>
          <w:rFonts w:cs="Arial"/>
          <w:szCs w:val="20"/>
        </w:rPr>
      </w:pPr>
      <w:r w:rsidRPr="005D2393">
        <w:rPr>
          <w:rFonts w:cs="Arial"/>
          <w:szCs w:val="20"/>
        </w:rPr>
        <w:t>Health Technology Wales</w:t>
      </w:r>
    </w:p>
    <w:p w14:paraId="1497B9D8" w14:textId="1D5EFAB6" w:rsidR="00586D1B" w:rsidRPr="005D2393" w:rsidRDefault="00586D1B" w:rsidP="001C1DD5">
      <w:pPr>
        <w:pStyle w:val="ListParagraph"/>
        <w:numPr>
          <w:ilvl w:val="0"/>
          <w:numId w:val="47"/>
        </w:numPr>
        <w:spacing w:line="240" w:lineRule="auto"/>
        <w:jc w:val="both"/>
      </w:pPr>
      <w:r w:rsidRPr="006623DB">
        <w:rPr>
          <w:rFonts w:cs="Arial"/>
          <w:szCs w:val="20"/>
        </w:rPr>
        <w:t>A</w:t>
      </w:r>
      <w:r w:rsidR="006623DB" w:rsidRPr="00EA67AE">
        <w:rPr>
          <w:rFonts w:cs="Arial"/>
          <w:szCs w:val="20"/>
        </w:rPr>
        <w:t>l</w:t>
      </w:r>
      <w:r w:rsidRPr="006623DB">
        <w:rPr>
          <w:rFonts w:cs="Arial"/>
          <w:szCs w:val="20"/>
        </w:rPr>
        <w:t>l Wales Therapeutics &amp; Toxicology Centre</w:t>
      </w:r>
    </w:p>
    <w:p w14:paraId="277E4019" w14:textId="7CEEB1C4" w:rsidR="00162EED" w:rsidRPr="005D2393" w:rsidRDefault="00CB2D6B" w:rsidP="00AB2402">
      <w:pPr>
        <w:pStyle w:val="Heading2"/>
        <w:jc w:val="both"/>
        <w:rPr>
          <w:lang w:eastAsia="en-AU"/>
        </w:rPr>
      </w:pPr>
      <w:bookmarkStart w:id="24" w:name="_Toc127368775"/>
      <w:r w:rsidRPr="005D2393">
        <w:rPr>
          <w:lang w:eastAsia="en-AU"/>
        </w:rPr>
        <w:t>Other HTA reform commitments under the Strategic Agreement</w:t>
      </w:r>
      <w:bookmarkEnd w:id="24"/>
    </w:p>
    <w:p w14:paraId="02E43207" w14:textId="07BD6335" w:rsidR="00CB2D6B" w:rsidRPr="005D2393" w:rsidRDefault="0011063E" w:rsidP="00AB2402">
      <w:pPr>
        <w:jc w:val="both"/>
        <w:rPr>
          <w:lang w:eastAsia="en-AU"/>
        </w:rPr>
      </w:pPr>
      <w:r w:rsidRPr="005D2393">
        <w:rPr>
          <w:lang w:eastAsia="en-AU"/>
        </w:rPr>
        <w:t xml:space="preserve">The </w:t>
      </w:r>
      <w:r w:rsidR="00CB2D6B" w:rsidRPr="005D2393">
        <w:rPr>
          <w:lang w:eastAsia="en-AU"/>
        </w:rPr>
        <w:t>Strategic Agreement contains several</w:t>
      </w:r>
      <w:r w:rsidRPr="005D2393">
        <w:rPr>
          <w:lang w:eastAsia="en-AU"/>
        </w:rPr>
        <w:t xml:space="preserve"> additional</w:t>
      </w:r>
      <w:r w:rsidR="00CB2D6B" w:rsidRPr="005D2393">
        <w:rPr>
          <w:lang w:eastAsia="en-AU"/>
        </w:rPr>
        <w:t xml:space="preserve"> commitments to reform of HTA processes. This includes:</w:t>
      </w:r>
    </w:p>
    <w:p w14:paraId="272FA444" w14:textId="77AF7331" w:rsidR="00CB2D6B" w:rsidRPr="005D2393" w:rsidRDefault="00CB2D6B" w:rsidP="00AB2402">
      <w:pPr>
        <w:pStyle w:val="ListParagraph"/>
        <w:numPr>
          <w:ilvl w:val="1"/>
          <w:numId w:val="2"/>
        </w:numPr>
        <w:jc w:val="both"/>
      </w:pPr>
      <w:r w:rsidRPr="005D2393">
        <w:t>continuous process improvement to HTA processes to facilitate earlier access to medicines</w:t>
      </w:r>
    </w:p>
    <w:p w14:paraId="6B0356CF" w14:textId="20E303BB" w:rsidR="00CB2D6B" w:rsidRPr="005D2393" w:rsidRDefault="00CB2D6B" w:rsidP="00AB2402">
      <w:pPr>
        <w:pStyle w:val="ListParagraph"/>
        <w:numPr>
          <w:ilvl w:val="1"/>
          <w:numId w:val="2"/>
        </w:numPr>
        <w:jc w:val="both"/>
      </w:pPr>
      <w:r w:rsidRPr="005D2393">
        <w:t xml:space="preserve">consideration of options for conditional funding arrangements </w:t>
      </w:r>
      <w:r w:rsidR="00182928" w:rsidRPr="005D2393">
        <w:t>that</w:t>
      </w:r>
      <w:r w:rsidRPr="005D2393">
        <w:t xml:space="preserve"> complement the priority and provisional medicine pathways used by the TGA</w:t>
      </w:r>
    </w:p>
    <w:p w14:paraId="10BA86E6" w14:textId="1053393E" w:rsidR="003142A7" w:rsidRPr="005D2393" w:rsidRDefault="00CB2D6B" w:rsidP="00AB2402">
      <w:pPr>
        <w:pStyle w:val="ListParagraph"/>
        <w:numPr>
          <w:ilvl w:val="1"/>
          <w:numId w:val="2"/>
        </w:numPr>
        <w:jc w:val="both"/>
        <w:rPr>
          <w:lang w:eastAsia="en-AU"/>
        </w:rPr>
      </w:pPr>
      <w:r w:rsidRPr="005D2393">
        <w:t>co-design of a trial to facilitate exchange of information between sponsors and evaluators during the process of a particular PBAC submission</w:t>
      </w:r>
    </w:p>
    <w:p w14:paraId="17E40F36" w14:textId="13AAE767" w:rsidR="00CB2D6B" w:rsidRPr="005D2393" w:rsidRDefault="00CB2D6B" w:rsidP="00AB2402">
      <w:pPr>
        <w:pStyle w:val="ListParagraph"/>
        <w:numPr>
          <w:ilvl w:val="1"/>
          <w:numId w:val="2"/>
        </w:numPr>
        <w:jc w:val="both"/>
        <w:rPr>
          <w:lang w:eastAsia="en-AU"/>
        </w:rPr>
      </w:pPr>
      <w:r w:rsidRPr="005D2393">
        <w:t>development of a policy for Risk Sharing Arrangements</w:t>
      </w:r>
      <w:r w:rsidR="006623DB">
        <w:t xml:space="preserve"> and</w:t>
      </w:r>
    </w:p>
    <w:p w14:paraId="2138498A" w14:textId="50051966" w:rsidR="002E41A6" w:rsidRPr="005D2393" w:rsidRDefault="00CB2D6B" w:rsidP="00AB2402">
      <w:pPr>
        <w:pStyle w:val="ListParagraph"/>
        <w:numPr>
          <w:ilvl w:val="1"/>
          <w:numId w:val="2"/>
        </w:numPr>
        <w:jc w:val="both"/>
      </w:pPr>
      <w:r w:rsidRPr="005D2393">
        <w:t>rapid post-market reviews.</w:t>
      </w:r>
    </w:p>
    <w:p w14:paraId="77C44681" w14:textId="73A576D9" w:rsidR="00FC3046" w:rsidRPr="005D2393" w:rsidRDefault="00FC3046" w:rsidP="00FC3046">
      <w:pPr>
        <w:pStyle w:val="Heading1"/>
        <w:jc w:val="both"/>
      </w:pPr>
      <w:bookmarkStart w:id="25" w:name="_Toc127368776"/>
      <w:r w:rsidRPr="005D2393">
        <w:t xml:space="preserve">Areas </w:t>
      </w:r>
      <w:r w:rsidR="003D35B5" w:rsidRPr="005D2393">
        <w:t>that are</w:t>
      </w:r>
      <w:r w:rsidRPr="005D2393">
        <w:t xml:space="preserve"> out of scope for the HTA Review</w:t>
      </w:r>
      <w:bookmarkEnd w:id="25"/>
    </w:p>
    <w:p w14:paraId="282B47F7" w14:textId="43433832" w:rsidR="00CD7412" w:rsidRPr="005D2393" w:rsidRDefault="00D27F37" w:rsidP="00AB2402">
      <w:pPr>
        <w:pStyle w:val="Heading2"/>
        <w:jc w:val="both"/>
      </w:pPr>
      <w:r w:rsidRPr="005D2393">
        <w:t xml:space="preserve"> </w:t>
      </w:r>
      <w:bookmarkStart w:id="26" w:name="_Toc127368777"/>
      <w:r w:rsidRPr="005D2393">
        <w:rPr>
          <w:lang w:eastAsia="en-AU"/>
        </w:rPr>
        <w:t xml:space="preserve">Government </w:t>
      </w:r>
      <w:r w:rsidR="0011063E" w:rsidRPr="005D2393">
        <w:rPr>
          <w:lang w:eastAsia="en-AU"/>
        </w:rPr>
        <w:t xml:space="preserve">health and </w:t>
      </w:r>
      <w:r w:rsidRPr="005D2393">
        <w:rPr>
          <w:lang w:eastAsia="en-AU"/>
        </w:rPr>
        <w:t>economic</w:t>
      </w:r>
      <w:r w:rsidR="0011063E" w:rsidRPr="005D2393">
        <w:rPr>
          <w:lang w:eastAsia="en-AU"/>
        </w:rPr>
        <w:t xml:space="preserve"> </w:t>
      </w:r>
      <w:r w:rsidRPr="005D2393">
        <w:rPr>
          <w:lang w:eastAsia="en-AU"/>
        </w:rPr>
        <w:t>decision making</w:t>
      </w:r>
      <w:bookmarkEnd w:id="26"/>
    </w:p>
    <w:p w14:paraId="5624E964" w14:textId="34F0FE1B" w:rsidR="001E49F3" w:rsidRPr="0043188B" w:rsidRDefault="00CD7412" w:rsidP="0043188B">
      <w:pPr>
        <w:jc w:val="both"/>
      </w:pPr>
      <w:r w:rsidRPr="005D2393">
        <w:rPr>
          <w:lang w:eastAsia="en-AU"/>
        </w:rPr>
        <w:t>The Government has agreed to funding parameters that allow the Minister for Health and Aged Care to approve the PBS listing of a new medicine up to $20M in any year. Beyond this cost, the PBS listing would require Cabinet approval.</w:t>
      </w:r>
      <w:r w:rsidR="001B181C" w:rsidRPr="005D2393">
        <w:rPr>
          <w:lang w:eastAsia="en-AU"/>
        </w:rPr>
        <w:t xml:space="preserve"> </w:t>
      </w:r>
      <w:r w:rsidRPr="005D2393">
        <w:rPr>
          <w:lang w:eastAsia="en-AU"/>
        </w:rPr>
        <w:t xml:space="preserve">The Government has given a high priority to funding new medicines recommended by the PBAC. It can do this because the processes of the PBAC ensure value for spending on medicines. However, this decision making occurs in the broader context of the Government and Cabinet health and economic decision making. This broader policy setting and decision making is outside the terms of reference for this review. </w:t>
      </w:r>
      <w:bookmarkStart w:id="27" w:name="_Toc68460554"/>
      <w:bookmarkStart w:id="28" w:name="_Toc68460616"/>
      <w:bookmarkStart w:id="29" w:name="_Toc68461155"/>
      <w:bookmarkStart w:id="30" w:name="_Toc70881913"/>
      <w:bookmarkStart w:id="31" w:name="_Toc70881914"/>
      <w:bookmarkStart w:id="32" w:name="_Toc70881915"/>
      <w:bookmarkStart w:id="33" w:name="_Toc70881916"/>
      <w:bookmarkStart w:id="34" w:name="_Toc70881917"/>
      <w:bookmarkStart w:id="35" w:name="_Toc70881918"/>
      <w:bookmarkStart w:id="36" w:name="_Toc70881919"/>
      <w:bookmarkStart w:id="37" w:name="_Toc70881920"/>
      <w:bookmarkStart w:id="38" w:name="_Toc70881921"/>
      <w:bookmarkStart w:id="39" w:name="_Toc70881922"/>
      <w:bookmarkStart w:id="40" w:name="_Toc70881926"/>
      <w:bookmarkStart w:id="41" w:name="_Toc68460567"/>
      <w:bookmarkStart w:id="42" w:name="_Toc68460629"/>
      <w:bookmarkStart w:id="43" w:name="_Toc68461168"/>
      <w:bookmarkStart w:id="44" w:name="_Toc70881935"/>
      <w:bookmarkStart w:id="45" w:name="_Toc70881936"/>
      <w:bookmarkStart w:id="46" w:name="_Toc68460569"/>
      <w:bookmarkStart w:id="47" w:name="_Toc68460631"/>
      <w:bookmarkStart w:id="48" w:name="_Toc68461170"/>
      <w:bookmarkStart w:id="49" w:name="_Toc68460571"/>
      <w:bookmarkStart w:id="50" w:name="_Toc68460633"/>
      <w:bookmarkStart w:id="51" w:name="_Toc68461172"/>
      <w:bookmarkStart w:id="52" w:name="_Toc68460582"/>
      <w:bookmarkStart w:id="53" w:name="_Toc68460644"/>
      <w:bookmarkStart w:id="54" w:name="_Toc68461183"/>
      <w:bookmarkStart w:id="55" w:name="_Toc70881959"/>
      <w:bookmarkStart w:id="56" w:name="_Toc70881963"/>
      <w:bookmarkStart w:id="57" w:name="_Toc70881964"/>
      <w:bookmarkStart w:id="58" w:name="_Toc70881965"/>
      <w:bookmarkStart w:id="59" w:name="_Toc70881966"/>
      <w:bookmarkStart w:id="60" w:name="_Toc70881967"/>
      <w:bookmarkStart w:id="61" w:name="_Toc70881968"/>
      <w:bookmarkStart w:id="62" w:name="_Toc70881969"/>
      <w:bookmarkStart w:id="63" w:name="_Toc7088197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ectPr w:rsidR="001E49F3" w:rsidRPr="0043188B" w:rsidSect="00E02FE1">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9D80" w14:textId="77777777" w:rsidR="00C82485" w:rsidRDefault="00C82485" w:rsidP="00C644D1">
      <w:pPr>
        <w:spacing w:after="0" w:line="240" w:lineRule="auto"/>
      </w:pPr>
      <w:r>
        <w:separator/>
      </w:r>
    </w:p>
  </w:endnote>
  <w:endnote w:type="continuationSeparator" w:id="0">
    <w:p w14:paraId="2F76941F" w14:textId="77777777" w:rsidR="00C82485" w:rsidRDefault="00C82485" w:rsidP="00C644D1">
      <w:pPr>
        <w:spacing w:after="0" w:line="240" w:lineRule="auto"/>
      </w:pPr>
      <w:r>
        <w:continuationSeparator/>
      </w:r>
    </w:p>
  </w:endnote>
  <w:endnote w:type="continuationNotice" w:id="1">
    <w:p w14:paraId="413A356F" w14:textId="77777777" w:rsidR="00C82485" w:rsidRDefault="00C82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C4D3" w14:textId="77777777" w:rsidR="00B90A86" w:rsidRDefault="00B9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074472"/>
      <w:docPartObj>
        <w:docPartGallery w:val="Page Numbers (Bottom of Page)"/>
        <w:docPartUnique/>
      </w:docPartObj>
    </w:sdtPr>
    <w:sdtEndPr>
      <w:rPr>
        <w:noProof/>
      </w:rPr>
    </w:sdtEndPr>
    <w:sdtContent>
      <w:p w14:paraId="37C66BDF" w14:textId="5A0E43F3" w:rsidR="00666D49" w:rsidRDefault="00666D49">
        <w:pPr>
          <w:pStyle w:val="Footer"/>
          <w:jc w:val="right"/>
        </w:pPr>
        <w:r>
          <w:fldChar w:fldCharType="begin"/>
        </w:r>
        <w:r>
          <w:instrText xml:space="preserve"> PAGE   \* M</w:instrText>
        </w:r>
        <w:r w:rsidR="007366EF">
          <w:fldChar w:fldCharType="begin"/>
        </w:r>
        <w:r w:rsidR="007366EF">
          <w:instrText xml:space="preserve">  </w:instrText>
        </w:r>
        <w:r w:rsidR="007366EF">
          <w:fldChar w:fldCharType="end"/>
        </w:r>
        <w:r>
          <w:instrText xml:space="preserve">ERGEFORMAT </w:instrText>
        </w:r>
        <w:r>
          <w:fldChar w:fldCharType="separate"/>
        </w:r>
        <w:r>
          <w:rPr>
            <w:noProof/>
          </w:rPr>
          <w:t>2</w:t>
        </w:r>
        <w:r>
          <w:rPr>
            <w:noProof/>
          </w:rPr>
          <w:fldChar w:fldCharType="end"/>
        </w:r>
      </w:p>
    </w:sdtContent>
  </w:sdt>
  <w:p w14:paraId="176A83EC" w14:textId="77777777" w:rsidR="008876FC" w:rsidRDefault="008876FC" w:rsidP="00AB2402">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D39C" w14:textId="77777777" w:rsidR="00B90A86" w:rsidRDefault="00B90A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97C4" w14:textId="77777777" w:rsidR="003D3D53" w:rsidRDefault="003D3D53" w:rsidP="00AB2402">
    <w:pPr>
      <w:pStyle w:val="Footer"/>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418599"/>
      <w:docPartObj>
        <w:docPartGallery w:val="Page Numbers (Bottom of Page)"/>
        <w:docPartUnique/>
      </w:docPartObj>
    </w:sdtPr>
    <w:sdtEndPr>
      <w:rPr>
        <w:noProof/>
      </w:rPr>
    </w:sdtEndPr>
    <w:sdtContent>
      <w:p w14:paraId="5442CB21" w14:textId="77777777" w:rsidR="003D3D53" w:rsidRDefault="00045E0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1779AA4" w14:textId="77777777" w:rsidR="003D3D53" w:rsidRPr="002A2340" w:rsidRDefault="00045E0F" w:rsidP="00AB2402">
    <w:pPr>
      <w:pStyle w:val="Footer"/>
      <w:jc w:val="both"/>
      <w:rPr>
        <w:color w:val="FF0000"/>
      </w:rPr>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74B6" w14:textId="77777777" w:rsidR="003D3D53" w:rsidRDefault="003D3D53" w:rsidP="00AB240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D20B" w14:textId="77777777" w:rsidR="00C82485" w:rsidRDefault="00C82485" w:rsidP="00C644D1">
      <w:pPr>
        <w:spacing w:after="0" w:line="240" w:lineRule="auto"/>
      </w:pPr>
      <w:r>
        <w:separator/>
      </w:r>
    </w:p>
  </w:footnote>
  <w:footnote w:type="continuationSeparator" w:id="0">
    <w:p w14:paraId="6416F2D1" w14:textId="77777777" w:rsidR="00C82485" w:rsidRDefault="00C82485" w:rsidP="00C644D1">
      <w:pPr>
        <w:spacing w:after="0" w:line="240" w:lineRule="auto"/>
      </w:pPr>
      <w:r>
        <w:continuationSeparator/>
      </w:r>
    </w:p>
  </w:footnote>
  <w:footnote w:type="continuationNotice" w:id="1">
    <w:p w14:paraId="1D8DAEA5" w14:textId="77777777" w:rsidR="00C82485" w:rsidRDefault="00C82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87B1" w14:textId="77777777" w:rsidR="00B90A86" w:rsidRDefault="00B9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33E1" w14:textId="77777777" w:rsidR="00B94945" w:rsidRDefault="00B94945" w:rsidP="00AB2402">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293C" w14:textId="77777777" w:rsidR="00B90A86" w:rsidRDefault="00B90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810C" w14:textId="77777777" w:rsidR="003D3D53" w:rsidRDefault="003D3D53" w:rsidP="00AB2402">
    <w:pPr>
      <w:pStyle w:val="Heade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3EEA" w14:textId="77777777" w:rsidR="003D3D53" w:rsidRPr="002A2340" w:rsidRDefault="003D3D53" w:rsidP="003D3D53">
    <w:pPr>
      <w:pStyle w:val="Header"/>
      <w:jc w:val="center"/>
      <w:rPr>
        <w:color w:val="FF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5841" w14:textId="77777777" w:rsidR="003D3D53" w:rsidRDefault="003D3D53" w:rsidP="00AB240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C9AAFEC"/>
    <w:name w:val="MaddHeadnum"/>
    <w:lvl w:ilvl="0">
      <w:start w:val="1"/>
      <w:numFmt w:val="decimal"/>
      <w:pStyle w:val="Heading1"/>
      <w:lvlText w:val="%1."/>
      <w:lvlJc w:val="left"/>
      <w:pPr>
        <w:ind w:left="851" w:hanging="851"/>
      </w:pPr>
      <w:rPr>
        <w:rFonts w:hint="default"/>
        <w:sz w:val="40"/>
        <w:szCs w:val="40"/>
      </w:rPr>
    </w:lvl>
    <w:lvl w:ilvl="1">
      <w:start w:val="1"/>
      <w:numFmt w:val="decimal"/>
      <w:pStyle w:val="Heading2"/>
      <w:lvlText w:val="%1.%2"/>
      <w:lvlJc w:val="left"/>
      <w:pPr>
        <w:ind w:left="851" w:hanging="851"/>
      </w:pPr>
      <w:rPr>
        <w:rFonts w:hint="default"/>
        <w:sz w:val="32"/>
        <w:szCs w:val="32"/>
      </w:rPr>
    </w:lvl>
    <w:lvl w:ilvl="2">
      <w:start w:val="1"/>
      <w:numFmt w:val="decimal"/>
      <w:pStyle w:val="Heading3"/>
      <w:lvlText w:val="%1.%2.%3"/>
      <w:lvlJc w:val="left"/>
      <w:pPr>
        <w:ind w:left="850"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500B94"/>
    <w:multiLevelType w:val="multilevel"/>
    <w:tmpl w:val="35B24AE4"/>
    <w:styleLink w:val="CUNumber"/>
    <w:lvl w:ilvl="0">
      <w:start w:val="1"/>
      <w:numFmt w:val="decimal"/>
      <w:lvlText w:val="%1."/>
      <w:lvlJc w:val="left"/>
      <w:pPr>
        <w:tabs>
          <w:tab w:val="num" w:pos="964"/>
        </w:tabs>
        <w:ind w:left="964" w:hanging="964"/>
      </w:pPr>
      <w:rPr>
        <w:b w:val="0"/>
        <w:i w:val="0"/>
        <w:caps/>
        <w:strike w:val="0"/>
        <w:dstrike w:val="0"/>
        <w:sz w:val="20"/>
        <w:szCs w:val="22"/>
        <w:u w:val="none"/>
        <w:effect w:val="none"/>
      </w:rPr>
    </w:lvl>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6F1E70"/>
    <w:multiLevelType w:val="hybridMultilevel"/>
    <w:tmpl w:val="1ACC4B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E62F0F"/>
    <w:multiLevelType w:val="hybridMultilevel"/>
    <w:tmpl w:val="288267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0" w15:restartNumberingAfterBreak="0">
    <w:nsid w:val="132346B1"/>
    <w:multiLevelType w:val="hybridMultilevel"/>
    <w:tmpl w:val="70DE5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63506"/>
    <w:multiLevelType w:val="hybridMultilevel"/>
    <w:tmpl w:val="A4D4C320"/>
    <w:lvl w:ilvl="0" w:tplc="3F9A5150">
      <w:start w:val="1"/>
      <w:numFmt w:val="bullet"/>
      <w:pStyle w:val="ListBullet"/>
      <w:lvlText w:val=""/>
      <w:lvlJc w:val="left"/>
      <w:pPr>
        <w:ind w:left="360" w:hanging="360"/>
      </w:pPr>
      <w:rPr>
        <w:rFonts w:ascii="Symbol" w:hAnsi="Symbol" w:hint="default"/>
        <w:color w:val="123A6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AC2B21"/>
    <w:multiLevelType w:val="hybridMultilevel"/>
    <w:tmpl w:val="BE3ED7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8B2226F"/>
    <w:multiLevelType w:val="hybridMultilevel"/>
    <w:tmpl w:val="670A56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EEE1E8C"/>
    <w:multiLevelType w:val="hybridMultilevel"/>
    <w:tmpl w:val="00C268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C5C9D"/>
    <w:multiLevelType w:val="multilevel"/>
    <w:tmpl w:val="C6C28A5A"/>
    <w:styleLink w:val="ImportedStyle2"/>
    <w:lvl w:ilvl="0">
      <w:start w:val="1"/>
      <w:numFmt w:val="upperLetter"/>
      <w:lvlText w:val="%1."/>
      <w:lvlJc w:val="left"/>
      <w:pPr>
        <w:ind w:left="851" w:hanging="851"/>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1701" w:hanging="8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tabs>
          <w:tab w:val="left" w:pos="1701"/>
        </w:tabs>
        <w:ind w:left="2552" w:hanging="8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tabs>
          <w:tab w:val="left" w:pos="1701"/>
        </w:tabs>
        <w:ind w:left="3686" w:hanging="11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1701"/>
        </w:tabs>
        <w:ind w:left="4820" w:hanging="11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1701"/>
        </w:tabs>
        <w:ind w:left="4532"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1.%2.%3.%4.%5.%6.%7."/>
      <w:lvlJc w:val="left"/>
      <w:pPr>
        <w:tabs>
          <w:tab w:val="left" w:pos="1701"/>
        </w:tabs>
        <w:ind w:left="5240"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1701"/>
        </w:tabs>
        <w:ind w:left="594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1.%2.%3.%4.%5.%6.%7.%8.%9."/>
      <w:lvlJc w:val="left"/>
      <w:pPr>
        <w:tabs>
          <w:tab w:val="left" w:pos="1701"/>
        </w:tabs>
        <w:ind w:left="6656"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37DA630D"/>
    <w:multiLevelType w:val="hybridMultilevel"/>
    <w:tmpl w:val="471A1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01D1C"/>
    <w:multiLevelType w:val="multilevel"/>
    <w:tmpl w:val="2D72EA26"/>
    <w:lvl w:ilvl="0">
      <w:start w:val="1"/>
      <w:numFmt w:val="decimal"/>
      <w:lvlText w:val="%1."/>
      <w:lvlJc w:val="left"/>
      <w:pPr>
        <w:ind w:left="3054"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2" w:hanging="504"/>
      </w:pPr>
      <w:rPr>
        <w:rFonts w:hint="default"/>
      </w:rPr>
    </w:lvl>
    <w:lvl w:ilvl="3">
      <w:start w:val="1"/>
      <w:numFmt w:val="decimal"/>
      <w:lvlText w:val="%1.%2.%3.%4."/>
      <w:lvlJc w:val="left"/>
      <w:pPr>
        <w:ind w:left="452" w:hanging="648"/>
      </w:pPr>
      <w:rPr>
        <w:rFonts w:hint="default"/>
      </w:rPr>
    </w:lvl>
    <w:lvl w:ilvl="4">
      <w:start w:val="1"/>
      <w:numFmt w:val="decimal"/>
      <w:lvlText w:val="%1.%2.%3.%4.%5."/>
      <w:lvlJc w:val="left"/>
      <w:pPr>
        <w:ind w:left="956" w:hanging="792"/>
      </w:pPr>
      <w:rPr>
        <w:rFonts w:hint="default"/>
      </w:rPr>
    </w:lvl>
    <w:lvl w:ilvl="5">
      <w:start w:val="1"/>
      <w:numFmt w:val="decimal"/>
      <w:lvlText w:val="%1.%2.%3.%4.%5.%6."/>
      <w:lvlJc w:val="left"/>
      <w:pPr>
        <w:ind w:left="1460" w:hanging="936"/>
      </w:pPr>
      <w:rPr>
        <w:rFonts w:hint="default"/>
      </w:rPr>
    </w:lvl>
    <w:lvl w:ilvl="6">
      <w:start w:val="1"/>
      <w:numFmt w:val="decimal"/>
      <w:lvlText w:val="%1.%2.%3.%4.%5.%6.%7."/>
      <w:lvlJc w:val="left"/>
      <w:pPr>
        <w:ind w:left="1964" w:hanging="1080"/>
      </w:pPr>
      <w:rPr>
        <w:rFonts w:hint="default"/>
      </w:rPr>
    </w:lvl>
    <w:lvl w:ilvl="7">
      <w:start w:val="1"/>
      <w:numFmt w:val="decimal"/>
      <w:lvlText w:val="%1.%2.%3.%4.%5.%6.%7.%8."/>
      <w:lvlJc w:val="left"/>
      <w:pPr>
        <w:ind w:left="2468" w:hanging="1224"/>
      </w:pPr>
      <w:rPr>
        <w:rFonts w:hint="default"/>
      </w:rPr>
    </w:lvl>
    <w:lvl w:ilvl="8">
      <w:start w:val="1"/>
      <w:numFmt w:val="decimal"/>
      <w:lvlText w:val="%1.%2.%3.%4.%5.%6.%7.%8.%9."/>
      <w:lvlJc w:val="left"/>
      <w:pPr>
        <w:ind w:left="3044" w:hanging="1440"/>
      </w:pPr>
      <w:rPr>
        <w:rFonts w:hint="default"/>
      </w:rPr>
    </w:lvl>
  </w:abstractNum>
  <w:abstractNum w:abstractNumId="19" w15:restartNumberingAfterBreak="0">
    <w:nsid w:val="3D291925"/>
    <w:multiLevelType w:val="hybridMultilevel"/>
    <w:tmpl w:val="1ACC4B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F096AF0"/>
    <w:multiLevelType w:val="hybridMultilevel"/>
    <w:tmpl w:val="978083D4"/>
    <w:lvl w:ilvl="0" w:tplc="0C09000F">
      <w:start w:val="1"/>
      <w:numFmt w:val="decimal"/>
      <w:lvlText w:val="%1."/>
      <w:lvlJc w:val="left"/>
      <w:pPr>
        <w:ind w:left="360" w:hanging="360"/>
      </w:pPr>
      <w:rPr>
        <w:rFonts w:hint="default"/>
      </w:rPr>
    </w:lvl>
    <w:lvl w:ilvl="1" w:tplc="6C5EBEAA">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6F180B"/>
    <w:multiLevelType w:val="hybridMultilevel"/>
    <w:tmpl w:val="1FCAFE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597E1D"/>
    <w:multiLevelType w:val="multilevel"/>
    <w:tmpl w:val="C58AD2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FD2047B"/>
    <w:multiLevelType w:val="hybridMultilevel"/>
    <w:tmpl w:val="0602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F958EB"/>
    <w:multiLevelType w:val="hybridMultilevel"/>
    <w:tmpl w:val="288267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923C2E"/>
    <w:multiLevelType w:val="hybridMultilevel"/>
    <w:tmpl w:val="F44C8D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5433C"/>
    <w:multiLevelType w:val="hybridMultilevel"/>
    <w:tmpl w:val="105E4F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631EFE"/>
    <w:multiLevelType w:val="multilevel"/>
    <w:tmpl w:val="372A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2F230F"/>
    <w:multiLevelType w:val="multilevel"/>
    <w:tmpl w:val="A6161E76"/>
    <w:styleLink w:val="ImportedStyle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01"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255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3402" w:hanging="8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402"/>
        </w:tabs>
        <w:ind w:left="4040" w:hanging="8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3402"/>
        </w:tabs>
        <w:ind w:left="4678" w:hanging="8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3402"/>
        </w:tabs>
        <w:ind w:left="5316" w:hanging="8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402"/>
        </w:tabs>
        <w:ind w:left="5954"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F213375"/>
    <w:multiLevelType w:val="hybridMultilevel"/>
    <w:tmpl w:val="B38CB79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09B6441"/>
    <w:multiLevelType w:val="hybridMultilevel"/>
    <w:tmpl w:val="BCC46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177F21"/>
    <w:multiLevelType w:val="multilevel"/>
    <w:tmpl w:val="B948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231E2E"/>
    <w:multiLevelType w:val="hybridMultilevel"/>
    <w:tmpl w:val="1ACC4B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005453"/>
    <w:multiLevelType w:val="hybridMultilevel"/>
    <w:tmpl w:val="53C870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0B2346"/>
    <w:multiLevelType w:val="hybridMultilevel"/>
    <w:tmpl w:val="CD748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843B06"/>
    <w:multiLevelType w:val="hybridMultilevel"/>
    <w:tmpl w:val="2CFE6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1C0DCE"/>
    <w:multiLevelType w:val="hybridMultilevel"/>
    <w:tmpl w:val="1ACC4B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41170B4"/>
    <w:multiLevelType w:val="hybridMultilevel"/>
    <w:tmpl w:val="DF4E6D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593E85"/>
    <w:multiLevelType w:val="multilevel"/>
    <w:tmpl w:val="921243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4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72A5C"/>
    <w:multiLevelType w:val="hybridMultilevel"/>
    <w:tmpl w:val="86E2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24"/>
  </w:num>
  <w:num w:numId="4">
    <w:abstractNumId w:val="22"/>
  </w:num>
  <w:num w:numId="5">
    <w:abstractNumId w:val="21"/>
  </w:num>
  <w:num w:numId="6">
    <w:abstractNumId w:val="34"/>
  </w:num>
  <w:num w:numId="7">
    <w:abstractNumId w:val="25"/>
  </w:num>
  <w:num w:numId="8">
    <w:abstractNumId w:val="13"/>
  </w:num>
  <w:num w:numId="9">
    <w:abstractNumId w:val="35"/>
  </w:num>
  <w:num w:numId="10">
    <w:abstractNumId w:val="18"/>
  </w:num>
  <w:num w:numId="11">
    <w:abstractNumId w:val="18"/>
  </w:num>
  <w:num w:numId="12">
    <w:abstractNumId w:val="18"/>
  </w:num>
  <w:num w:numId="13">
    <w:abstractNumId w:val="18"/>
  </w:num>
  <w:num w:numId="14">
    <w:abstractNumId w:val="32"/>
  </w:num>
  <w:num w:numId="15">
    <w:abstractNumId w:val="6"/>
  </w:num>
  <w:num w:numId="16">
    <w:abstractNumId w:val="15"/>
  </w:num>
  <w:num w:numId="17">
    <w:abstractNumId w:val="31"/>
  </w:num>
  <w:num w:numId="18">
    <w:abstractNumId w:val="23"/>
  </w:num>
  <w:num w:numId="19">
    <w:abstractNumId w:val="12"/>
  </w:num>
  <w:num w:numId="20">
    <w:abstractNumId w:val="43"/>
  </w:num>
  <w:num w:numId="21">
    <w:abstractNumId w:val="0"/>
  </w:num>
  <w:num w:numId="22">
    <w:abstractNumId w:val="9"/>
  </w:num>
  <w:num w:numId="23">
    <w:abstractNumId w:val="2"/>
  </w:num>
  <w:num w:numId="24">
    <w:abstractNumId w:val="14"/>
  </w:num>
  <w:num w:numId="25">
    <w:abstractNumId w:val="7"/>
  </w:num>
  <w:num w:numId="26">
    <w:abstractNumId w:val="4"/>
  </w:num>
  <w:num w:numId="27">
    <w:abstractNumId w:val="33"/>
  </w:num>
  <w:num w:numId="28">
    <w:abstractNumId w:val="3"/>
  </w:num>
  <w:num w:numId="29">
    <w:abstractNumId w:val="41"/>
  </w:num>
  <w:num w:numId="30">
    <w:abstractNumId w:val="29"/>
  </w:num>
  <w:num w:numId="31">
    <w:abstractNumId w:val="16"/>
  </w:num>
  <w:num w:numId="32">
    <w:abstractNumId w:val="20"/>
  </w:num>
  <w:num w:numId="33">
    <w:abstractNumId w:val="28"/>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42"/>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9"/>
  </w:num>
  <w:num w:numId="40">
    <w:abstractNumId w:val="36"/>
  </w:num>
  <w:num w:numId="41">
    <w:abstractNumId w:val="5"/>
  </w:num>
  <w:num w:numId="42">
    <w:abstractNumId w:val="10"/>
  </w:num>
  <w:num w:numId="43">
    <w:abstractNumId w:val="26"/>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0"/>
  </w:num>
  <w:num w:numId="47">
    <w:abstractNumId w:val="44"/>
  </w:num>
  <w:num w:numId="48">
    <w:abstractNumId w:val="11"/>
  </w:num>
  <w:num w:numId="49">
    <w:abstractNumId w:val="19"/>
  </w:num>
  <w:num w:numId="50">
    <w:abstractNumId w:val="37"/>
  </w:num>
  <w:num w:numId="51">
    <w:abstractNumId w:val="38"/>
  </w:num>
  <w:num w:numId="52">
    <w:abstractNumId w:val="27"/>
  </w:num>
  <w:num w:numId="53">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1D"/>
    <w:rsid w:val="00000211"/>
    <w:rsid w:val="00002F97"/>
    <w:rsid w:val="000066CA"/>
    <w:rsid w:val="0000689D"/>
    <w:rsid w:val="00012A17"/>
    <w:rsid w:val="00023CF0"/>
    <w:rsid w:val="000338B4"/>
    <w:rsid w:val="00034CB6"/>
    <w:rsid w:val="00041B1D"/>
    <w:rsid w:val="00041F6B"/>
    <w:rsid w:val="00045179"/>
    <w:rsid w:val="00045E0F"/>
    <w:rsid w:val="0004740B"/>
    <w:rsid w:val="0005196E"/>
    <w:rsid w:val="00052F5A"/>
    <w:rsid w:val="000547FF"/>
    <w:rsid w:val="00056B2D"/>
    <w:rsid w:val="000603C9"/>
    <w:rsid w:val="0007647A"/>
    <w:rsid w:val="00077BD0"/>
    <w:rsid w:val="0008150F"/>
    <w:rsid w:val="00082310"/>
    <w:rsid w:val="0008285E"/>
    <w:rsid w:val="00082DF0"/>
    <w:rsid w:val="000867A7"/>
    <w:rsid w:val="00091A2F"/>
    <w:rsid w:val="000927B2"/>
    <w:rsid w:val="000958EC"/>
    <w:rsid w:val="0009603B"/>
    <w:rsid w:val="000A0D8B"/>
    <w:rsid w:val="000A3664"/>
    <w:rsid w:val="000A48B6"/>
    <w:rsid w:val="000A5542"/>
    <w:rsid w:val="000B28DD"/>
    <w:rsid w:val="000B4DA5"/>
    <w:rsid w:val="000B6650"/>
    <w:rsid w:val="000B7A34"/>
    <w:rsid w:val="000B7F6B"/>
    <w:rsid w:val="000C3E7F"/>
    <w:rsid w:val="000D6140"/>
    <w:rsid w:val="000D656C"/>
    <w:rsid w:val="000E3D21"/>
    <w:rsid w:val="000E3ED6"/>
    <w:rsid w:val="000F0417"/>
    <w:rsid w:val="000F2570"/>
    <w:rsid w:val="000F30C6"/>
    <w:rsid w:val="000F629A"/>
    <w:rsid w:val="000F6B3F"/>
    <w:rsid w:val="000F6CD3"/>
    <w:rsid w:val="00101491"/>
    <w:rsid w:val="00101A48"/>
    <w:rsid w:val="00106F5E"/>
    <w:rsid w:val="0011063E"/>
    <w:rsid w:val="00111CBD"/>
    <w:rsid w:val="00112049"/>
    <w:rsid w:val="0011271D"/>
    <w:rsid w:val="00112748"/>
    <w:rsid w:val="00113981"/>
    <w:rsid w:val="00114B05"/>
    <w:rsid w:val="00115046"/>
    <w:rsid w:val="00115B0E"/>
    <w:rsid w:val="00116129"/>
    <w:rsid w:val="001161F5"/>
    <w:rsid w:val="00121525"/>
    <w:rsid w:val="00122390"/>
    <w:rsid w:val="0012303B"/>
    <w:rsid w:val="00125905"/>
    <w:rsid w:val="00127406"/>
    <w:rsid w:val="00131297"/>
    <w:rsid w:val="00131BAC"/>
    <w:rsid w:val="001330E4"/>
    <w:rsid w:val="00136A3B"/>
    <w:rsid w:val="0014023D"/>
    <w:rsid w:val="001419BD"/>
    <w:rsid w:val="00144A77"/>
    <w:rsid w:val="00152098"/>
    <w:rsid w:val="00152D25"/>
    <w:rsid w:val="00155EA8"/>
    <w:rsid w:val="001572F0"/>
    <w:rsid w:val="00162EED"/>
    <w:rsid w:val="00163024"/>
    <w:rsid w:val="001667A3"/>
    <w:rsid w:val="00167BDB"/>
    <w:rsid w:val="0017245A"/>
    <w:rsid w:val="00173CA7"/>
    <w:rsid w:val="00182928"/>
    <w:rsid w:val="00183145"/>
    <w:rsid w:val="00183915"/>
    <w:rsid w:val="00186439"/>
    <w:rsid w:val="00187090"/>
    <w:rsid w:val="001871A0"/>
    <w:rsid w:val="00187531"/>
    <w:rsid w:val="001875CA"/>
    <w:rsid w:val="00190377"/>
    <w:rsid w:val="00191256"/>
    <w:rsid w:val="00193E37"/>
    <w:rsid w:val="0019508C"/>
    <w:rsid w:val="0019631F"/>
    <w:rsid w:val="001B141A"/>
    <w:rsid w:val="001B181C"/>
    <w:rsid w:val="001B20A6"/>
    <w:rsid w:val="001B2274"/>
    <w:rsid w:val="001C0096"/>
    <w:rsid w:val="001C1700"/>
    <w:rsid w:val="001C175B"/>
    <w:rsid w:val="001C18DE"/>
    <w:rsid w:val="001C1D0F"/>
    <w:rsid w:val="001C1DD5"/>
    <w:rsid w:val="001C1F8A"/>
    <w:rsid w:val="001C4104"/>
    <w:rsid w:val="001C41C5"/>
    <w:rsid w:val="001C5A48"/>
    <w:rsid w:val="001C604B"/>
    <w:rsid w:val="001D48F7"/>
    <w:rsid w:val="001E1DB3"/>
    <w:rsid w:val="001E49F3"/>
    <w:rsid w:val="001E5C2A"/>
    <w:rsid w:val="001F5EED"/>
    <w:rsid w:val="001F76BF"/>
    <w:rsid w:val="002006B3"/>
    <w:rsid w:val="00203541"/>
    <w:rsid w:val="002039D3"/>
    <w:rsid w:val="00204489"/>
    <w:rsid w:val="0020467A"/>
    <w:rsid w:val="00204FFE"/>
    <w:rsid w:val="002135B3"/>
    <w:rsid w:val="00214351"/>
    <w:rsid w:val="00217400"/>
    <w:rsid w:val="002178BF"/>
    <w:rsid w:val="0022335D"/>
    <w:rsid w:val="002233E9"/>
    <w:rsid w:val="00231D48"/>
    <w:rsid w:val="002327CA"/>
    <w:rsid w:val="0023399C"/>
    <w:rsid w:val="0024042B"/>
    <w:rsid w:val="00240AE8"/>
    <w:rsid w:val="00252A7D"/>
    <w:rsid w:val="00253040"/>
    <w:rsid w:val="00253336"/>
    <w:rsid w:val="00254B73"/>
    <w:rsid w:val="002659BF"/>
    <w:rsid w:val="00271A11"/>
    <w:rsid w:val="0027353D"/>
    <w:rsid w:val="00273630"/>
    <w:rsid w:val="00277A25"/>
    <w:rsid w:val="00280050"/>
    <w:rsid w:val="0028104F"/>
    <w:rsid w:val="00283DCE"/>
    <w:rsid w:val="00285CD5"/>
    <w:rsid w:val="00285EB2"/>
    <w:rsid w:val="00286B86"/>
    <w:rsid w:val="00287742"/>
    <w:rsid w:val="002925EE"/>
    <w:rsid w:val="002A0D4E"/>
    <w:rsid w:val="002A3674"/>
    <w:rsid w:val="002A7C2A"/>
    <w:rsid w:val="002B0102"/>
    <w:rsid w:val="002B28A0"/>
    <w:rsid w:val="002B367E"/>
    <w:rsid w:val="002B3A59"/>
    <w:rsid w:val="002B4B09"/>
    <w:rsid w:val="002C10A3"/>
    <w:rsid w:val="002C1FE9"/>
    <w:rsid w:val="002C21DE"/>
    <w:rsid w:val="002C3DD1"/>
    <w:rsid w:val="002C6149"/>
    <w:rsid w:val="002C7583"/>
    <w:rsid w:val="002D327D"/>
    <w:rsid w:val="002D4B63"/>
    <w:rsid w:val="002D64C3"/>
    <w:rsid w:val="002D7DDB"/>
    <w:rsid w:val="002E41A6"/>
    <w:rsid w:val="002E4636"/>
    <w:rsid w:val="002E5425"/>
    <w:rsid w:val="002E65B3"/>
    <w:rsid w:val="002E6B58"/>
    <w:rsid w:val="002F400B"/>
    <w:rsid w:val="002F5E98"/>
    <w:rsid w:val="002F651A"/>
    <w:rsid w:val="00301FF7"/>
    <w:rsid w:val="00306100"/>
    <w:rsid w:val="003063D5"/>
    <w:rsid w:val="00307245"/>
    <w:rsid w:val="003102BB"/>
    <w:rsid w:val="00312BEA"/>
    <w:rsid w:val="00313F78"/>
    <w:rsid w:val="003142A7"/>
    <w:rsid w:val="003163A6"/>
    <w:rsid w:val="003205E0"/>
    <w:rsid w:val="00324A3F"/>
    <w:rsid w:val="00325C6A"/>
    <w:rsid w:val="00326CF9"/>
    <w:rsid w:val="00327DBE"/>
    <w:rsid w:val="00330C3A"/>
    <w:rsid w:val="00333AFD"/>
    <w:rsid w:val="003342CD"/>
    <w:rsid w:val="00335508"/>
    <w:rsid w:val="00337BE7"/>
    <w:rsid w:val="00340570"/>
    <w:rsid w:val="00346605"/>
    <w:rsid w:val="003518F5"/>
    <w:rsid w:val="00357562"/>
    <w:rsid w:val="0036342A"/>
    <w:rsid w:val="003714B5"/>
    <w:rsid w:val="00372FAB"/>
    <w:rsid w:val="00374BAD"/>
    <w:rsid w:val="00375510"/>
    <w:rsid w:val="0037615C"/>
    <w:rsid w:val="0038153C"/>
    <w:rsid w:val="00382E26"/>
    <w:rsid w:val="00394C19"/>
    <w:rsid w:val="00395440"/>
    <w:rsid w:val="00397D9E"/>
    <w:rsid w:val="003A4F11"/>
    <w:rsid w:val="003B27F0"/>
    <w:rsid w:val="003B2C5A"/>
    <w:rsid w:val="003B6353"/>
    <w:rsid w:val="003B7313"/>
    <w:rsid w:val="003C145F"/>
    <w:rsid w:val="003C7E3F"/>
    <w:rsid w:val="003C7EC6"/>
    <w:rsid w:val="003D2374"/>
    <w:rsid w:val="003D35B5"/>
    <w:rsid w:val="003D3D53"/>
    <w:rsid w:val="003D601E"/>
    <w:rsid w:val="003D729E"/>
    <w:rsid w:val="003D76EE"/>
    <w:rsid w:val="003E61EB"/>
    <w:rsid w:val="003E6DC6"/>
    <w:rsid w:val="003E73BB"/>
    <w:rsid w:val="003F3E6C"/>
    <w:rsid w:val="003F44CB"/>
    <w:rsid w:val="003F5E0C"/>
    <w:rsid w:val="004011B4"/>
    <w:rsid w:val="004043CA"/>
    <w:rsid w:val="00404787"/>
    <w:rsid w:val="004053C2"/>
    <w:rsid w:val="00407123"/>
    <w:rsid w:val="00410B89"/>
    <w:rsid w:val="00410D44"/>
    <w:rsid w:val="004123C4"/>
    <w:rsid w:val="00413AA9"/>
    <w:rsid w:val="004145A8"/>
    <w:rsid w:val="00424E8C"/>
    <w:rsid w:val="0043188B"/>
    <w:rsid w:val="00432FDB"/>
    <w:rsid w:val="0043368C"/>
    <w:rsid w:val="004339AE"/>
    <w:rsid w:val="00434122"/>
    <w:rsid w:val="00436FE6"/>
    <w:rsid w:val="00445682"/>
    <w:rsid w:val="00445BBA"/>
    <w:rsid w:val="0045027E"/>
    <w:rsid w:val="00452C5D"/>
    <w:rsid w:val="00456126"/>
    <w:rsid w:val="00456F87"/>
    <w:rsid w:val="00461FD6"/>
    <w:rsid w:val="0046661A"/>
    <w:rsid w:val="00467E4D"/>
    <w:rsid w:val="00470704"/>
    <w:rsid w:val="00472C80"/>
    <w:rsid w:val="00472C93"/>
    <w:rsid w:val="00473FE0"/>
    <w:rsid w:val="004744EF"/>
    <w:rsid w:val="004916B6"/>
    <w:rsid w:val="004920A6"/>
    <w:rsid w:val="004946DC"/>
    <w:rsid w:val="00494E7E"/>
    <w:rsid w:val="004970D9"/>
    <w:rsid w:val="004A12DD"/>
    <w:rsid w:val="004A46BE"/>
    <w:rsid w:val="004B1512"/>
    <w:rsid w:val="004B4B66"/>
    <w:rsid w:val="004B627D"/>
    <w:rsid w:val="004B62AF"/>
    <w:rsid w:val="004C1622"/>
    <w:rsid w:val="004C21D4"/>
    <w:rsid w:val="004C44E9"/>
    <w:rsid w:val="004D03B2"/>
    <w:rsid w:val="004D0E76"/>
    <w:rsid w:val="004D138D"/>
    <w:rsid w:val="004D13DA"/>
    <w:rsid w:val="004D13EB"/>
    <w:rsid w:val="004D2BBB"/>
    <w:rsid w:val="004D5E20"/>
    <w:rsid w:val="004E2B79"/>
    <w:rsid w:val="004E653A"/>
    <w:rsid w:val="004F0089"/>
    <w:rsid w:val="004F1866"/>
    <w:rsid w:val="004F6509"/>
    <w:rsid w:val="0050083B"/>
    <w:rsid w:val="00501FC7"/>
    <w:rsid w:val="00502300"/>
    <w:rsid w:val="00506968"/>
    <w:rsid w:val="0050773F"/>
    <w:rsid w:val="005152A2"/>
    <w:rsid w:val="005171F6"/>
    <w:rsid w:val="00522A6C"/>
    <w:rsid w:val="00522F0D"/>
    <w:rsid w:val="005263C1"/>
    <w:rsid w:val="00527815"/>
    <w:rsid w:val="00527A1C"/>
    <w:rsid w:val="0053034C"/>
    <w:rsid w:val="005348B8"/>
    <w:rsid w:val="005353C2"/>
    <w:rsid w:val="005403FE"/>
    <w:rsid w:val="00542DF5"/>
    <w:rsid w:val="00550831"/>
    <w:rsid w:val="00555B9F"/>
    <w:rsid w:val="00556BF6"/>
    <w:rsid w:val="0056076D"/>
    <w:rsid w:val="00561C85"/>
    <w:rsid w:val="0056512A"/>
    <w:rsid w:val="00570A56"/>
    <w:rsid w:val="005758F9"/>
    <w:rsid w:val="0057708E"/>
    <w:rsid w:val="005806F3"/>
    <w:rsid w:val="005854F0"/>
    <w:rsid w:val="00586D1B"/>
    <w:rsid w:val="005A2A60"/>
    <w:rsid w:val="005A4792"/>
    <w:rsid w:val="005A4894"/>
    <w:rsid w:val="005A5187"/>
    <w:rsid w:val="005B0364"/>
    <w:rsid w:val="005B6ADC"/>
    <w:rsid w:val="005B712C"/>
    <w:rsid w:val="005C1B43"/>
    <w:rsid w:val="005C6DEC"/>
    <w:rsid w:val="005D2393"/>
    <w:rsid w:val="005D370A"/>
    <w:rsid w:val="005D48AA"/>
    <w:rsid w:val="005D5B33"/>
    <w:rsid w:val="005E2CBF"/>
    <w:rsid w:val="005E757A"/>
    <w:rsid w:val="005F5913"/>
    <w:rsid w:val="005F71E9"/>
    <w:rsid w:val="00602FCC"/>
    <w:rsid w:val="006031C7"/>
    <w:rsid w:val="006115BA"/>
    <w:rsid w:val="006128DC"/>
    <w:rsid w:val="006132B1"/>
    <w:rsid w:val="006136C5"/>
    <w:rsid w:val="0061677C"/>
    <w:rsid w:val="00620B40"/>
    <w:rsid w:val="0062328F"/>
    <w:rsid w:val="006232DE"/>
    <w:rsid w:val="00623494"/>
    <w:rsid w:val="00624673"/>
    <w:rsid w:val="00626676"/>
    <w:rsid w:val="006300C2"/>
    <w:rsid w:val="006314E7"/>
    <w:rsid w:val="006349C8"/>
    <w:rsid w:val="00634ADF"/>
    <w:rsid w:val="006366EF"/>
    <w:rsid w:val="0063682C"/>
    <w:rsid w:val="00637757"/>
    <w:rsid w:val="00641166"/>
    <w:rsid w:val="00641679"/>
    <w:rsid w:val="00650286"/>
    <w:rsid w:val="00655AFE"/>
    <w:rsid w:val="00660531"/>
    <w:rsid w:val="00660869"/>
    <w:rsid w:val="00660CB9"/>
    <w:rsid w:val="006623DB"/>
    <w:rsid w:val="006653F7"/>
    <w:rsid w:val="00665F57"/>
    <w:rsid w:val="00666D49"/>
    <w:rsid w:val="006734D5"/>
    <w:rsid w:val="00673BA5"/>
    <w:rsid w:val="006801E3"/>
    <w:rsid w:val="00686560"/>
    <w:rsid w:val="00691CB1"/>
    <w:rsid w:val="006944EF"/>
    <w:rsid w:val="0069494D"/>
    <w:rsid w:val="00694EEA"/>
    <w:rsid w:val="00695BD5"/>
    <w:rsid w:val="006A23F3"/>
    <w:rsid w:val="006A72ED"/>
    <w:rsid w:val="006B1F53"/>
    <w:rsid w:val="006B7B05"/>
    <w:rsid w:val="006C1427"/>
    <w:rsid w:val="006C2AB7"/>
    <w:rsid w:val="006C3690"/>
    <w:rsid w:val="006C5F12"/>
    <w:rsid w:val="006D4C31"/>
    <w:rsid w:val="006D763A"/>
    <w:rsid w:val="006E281E"/>
    <w:rsid w:val="006E5827"/>
    <w:rsid w:val="006E7756"/>
    <w:rsid w:val="006F06B6"/>
    <w:rsid w:val="006F27BA"/>
    <w:rsid w:val="007023F7"/>
    <w:rsid w:val="007074FA"/>
    <w:rsid w:val="007124F8"/>
    <w:rsid w:val="007201A0"/>
    <w:rsid w:val="0072266D"/>
    <w:rsid w:val="007348BA"/>
    <w:rsid w:val="007366EF"/>
    <w:rsid w:val="00741BAC"/>
    <w:rsid w:val="00751B8A"/>
    <w:rsid w:val="007579B6"/>
    <w:rsid w:val="007602D4"/>
    <w:rsid w:val="00760B10"/>
    <w:rsid w:val="007648DF"/>
    <w:rsid w:val="00766BD7"/>
    <w:rsid w:val="00767EA7"/>
    <w:rsid w:val="00770B74"/>
    <w:rsid w:val="00774D63"/>
    <w:rsid w:val="007753ED"/>
    <w:rsid w:val="007764F2"/>
    <w:rsid w:val="007810A5"/>
    <w:rsid w:val="00781D52"/>
    <w:rsid w:val="00785236"/>
    <w:rsid w:val="00785E03"/>
    <w:rsid w:val="00786739"/>
    <w:rsid w:val="0078744D"/>
    <w:rsid w:val="00787AF5"/>
    <w:rsid w:val="00790554"/>
    <w:rsid w:val="00793578"/>
    <w:rsid w:val="0079411C"/>
    <w:rsid w:val="007949E2"/>
    <w:rsid w:val="00794B53"/>
    <w:rsid w:val="007A36AE"/>
    <w:rsid w:val="007A62B6"/>
    <w:rsid w:val="007A7157"/>
    <w:rsid w:val="007A7940"/>
    <w:rsid w:val="007B1632"/>
    <w:rsid w:val="007B438C"/>
    <w:rsid w:val="007B47BE"/>
    <w:rsid w:val="007B554E"/>
    <w:rsid w:val="007B7436"/>
    <w:rsid w:val="007C007A"/>
    <w:rsid w:val="007C46D6"/>
    <w:rsid w:val="007C6B8E"/>
    <w:rsid w:val="007C7874"/>
    <w:rsid w:val="007D5F1A"/>
    <w:rsid w:val="007E1022"/>
    <w:rsid w:val="007E1182"/>
    <w:rsid w:val="007E13E9"/>
    <w:rsid w:val="007E775D"/>
    <w:rsid w:val="007F26CB"/>
    <w:rsid w:val="007F517D"/>
    <w:rsid w:val="00802EA3"/>
    <w:rsid w:val="0080307F"/>
    <w:rsid w:val="0080450F"/>
    <w:rsid w:val="008076EC"/>
    <w:rsid w:val="008112D8"/>
    <w:rsid w:val="00813434"/>
    <w:rsid w:val="00813DB9"/>
    <w:rsid w:val="00814C15"/>
    <w:rsid w:val="00815318"/>
    <w:rsid w:val="00815841"/>
    <w:rsid w:val="00815E02"/>
    <w:rsid w:val="00816F33"/>
    <w:rsid w:val="00821FE4"/>
    <w:rsid w:val="00823275"/>
    <w:rsid w:val="008261CB"/>
    <w:rsid w:val="0082786B"/>
    <w:rsid w:val="00832EF6"/>
    <w:rsid w:val="008377C0"/>
    <w:rsid w:val="00841224"/>
    <w:rsid w:val="00844859"/>
    <w:rsid w:val="00846117"/>
    <w:rsid w:val="00851CD8"/>
    <w:rsid w:val="00855AE2"/>
    <w:rsid w:val="00857E98"/>
    <w:rsid w:val="00857F2E"/>
    <w:rsid w:val="0086699F"/>
    <w:rsid w:val="0086723F"/>
    <w:rsid w:val="00871666"/>
    <w:rsid w:val="00874828"/>
    <w:rsid w:val="00875B52"/>
    <w:rsid w:val="00881C89"/>
    <w:rsid w:val="00882F72"/>
    <w:rsid w:val="008830BA"/>
    <w:rsid w:val="008876FC"/>
    <w:rsid w:val="00887F6B"/>
    <w:rsid w:val="00894064"/>
    <w:rsid w:val="00894DC8"/>
    <w:rsid w:val="008955E1"/>
    <w:rsid w:val="00895803"/>
    <w:rsid w:val="00897D0A"/>
    <w:rsid w:val="008A0670"/>
    <w:rsid w:val="008B3D72"/>
    <w:rsid w:val="008C05D0"/>
    <w:rsid w:val="008C0CDC"/>
    <w:rsid w:val="008C1628"/>
    <w:rsid w:val="008C1FE7"/>
    <w:rsid w:val="008C31D4"/>
    <w:rsid w:val="008C45D7"/>
    <w:rsid w:val="008C636D"/>
    <w:rsid w:val="008C6409"/>
    <w:rsid w:val="008C66D4"/>
    <w:rsid w:val="008C7587"/>
    <w:rsid w:val="008D1056"/>
    <w:rsid w:val="008D11B1"/>
    <w:rsid w:val="008D315D"/>
    <w:rsid w:val="008E0418"/>
    <w:rsid w:val="008E311E"/>
    <w:rsid w:val="008E3EDB"/>
    <w:rsid w:val="008E430E"/>
    <w:rsid w:val="008F0929"/>
    <w:rsid w:val="008F2B34"/>
    <w:rsid w:val="008F5EAD"/>
    <w:rsid w:val="008F763D"/>
    <w:rsid w:val="0090228A"/>
    <w:rsid w:val="0090537B"/>
    <w:rsid w:val="009064FF"/>
    <w:rsid w:val="00916531"/>
    <w:rsid w:val="00917497"/>
    <w:rsid w:val="00921D50"/>
    <w:rsid w:val="009225D5"/>
    <w:rsid w:val="009263E7"/>
    <w:rsid w:val="00931447"/>
    <w:rsid w:val="00937ACC"/>
    <w:rsid w:val="00944413"/>
    <w:rsid w:val="00946F40"/>
    <w:rsid w:val="0095200D"/>
    <w:rsid w:val="00952E0F"/>
    <w:rsid w:val="009553B4"/>
    <w:rsid w:val="00962B4A"/>
    <w:rsid w:val="00962F2C"/>
    <w:rsid w:val="00965BC1"/>
    <w:rsid w:val="00970E8A"/>
    <w:rsid w:val="0097214E"/>
    <w:rsid w:val="009740AB"/>
    <w:rsid w:val="0097561A"/>
    <w:rsid w:val="00976C1E"/>
    <w:rsid w:val="00981913"/>
    <w:rsid w:val="0098560E"/>
    <w:rsid w:val="00985E9E"/>
    <w:rsid w:val="00985F75"/>
    <w:rsid w:val="00986941"/>
    <w:rsid w:val="00986A2F"/>
    <w:rsid w:val="009870B5"/>
    <w:rsid w:val="009912E2"/>
    <w:rsid w:val="0099440A"/>
    <w:rsid w:val="0099500D"/>
    <w:rsid w:val="00996598"/>
    <w:rsid w:val="00997AAC"/>
    <w:rsid w:val="009A13B7"/>
    <w:rsid w:val="009A588D"/>
    <w:rsid w:val="009A62CB"/>
    <w:rsid w:val="009B0074"/>
    <w:rsid w:val="009B1A4E"/>
    <w:rsid w:val="009B1E5B"/>
    <w:rsid w:val="009B3989"/>
    <w:rsid w:val="009B49BF"/>
    <w:rsid w:val="009B5877"/>
    <w:rsid w:val="009C7CFD"/>
    <w:rsid w:val="009D5E5E"/>
    <w:rsid w:val="009E02B0"/>
    <w:rsid w:val="009E08FC"/>
    <w:rsid w:val="009E1618"/>
    <w:rsid w:val="009E3573"/>
    <w:rsid w:val="009E49F8"/>
    <w:rsid w:val="009F1FC9"/>
    <w:rsid w:val="009F47C7"/>
    <w:rsid w:val="009F5EA4"/>
    <w:rsid w:val="00A00B81"/>
    <w:rsid w:val="00A00FD9"/>
    <w:rsid w:val="00A02A89"/>
    <w:rsid w:val="00A03545"/>
    <w:rsid w:val="00A071FA"/>
    <w:rsid w:val="00A14BE5"/>
    <w:rsid w:val="00A16DF1"/>
    <w:rsid w:val="00A2244F"/>
    <w:rsid w:val="00A25B5A"/>
    <w:rsid w:val="00A26049"/>
    <w:rsid w:val="00A26202"/>
    <w:rsid w:val="00A27CC8"/>
    <w:rsid w:val="00A30B64"/>
    <w:rsid w:val="00A34E17"/>
    <w:rsid w:val="00A40044"/>
    <w:rsid w:val="00A44E0A"/>
    <w:rsid w:val="00A450CF"/>
    <w:rsid w:val="00A4659C"/>
    <w:rsid w:val="00A46978"/>
    <w:rsid w:val="00A47863"/>
    <w:rsid w:val="00A57D0F"/>
    <w:rsid w:val="00A642A5"/>
    <w:rsid w:val="00A717A3"/>
    <w:rsid w:val="00A747AD"/>
    <w:rsid w:val="00A762B4"/>
    <w:rsid w:val="00A77755"/>
    <w:rsid w:val="00A832CE"/>
    <w:rsid w:val="00A876DB"/>
    <w:rsid w:val="00A90BA3"/>
    <w:rsid w:val="00A936F2"/>
    <w:rsid w:val="00A9489D"/>
    <w:rsid w:val="00A975FE"/>
    <w:rsid w:val="00AA133E"/>
    <w:rsid w:val="00AA3313"/>
    <w:rsid w:val="00AA6244"/>
    <w:rsid w:val="00AA6627"/>
    <w:rsid w:val="00AA69CB"/>
    <w:rsid w:val="00AA77C8"/>
    <w:rsid w:val="00AB13F6"/>
    <w:rsid w:val="00AB2402"/>
    <w:rsid w:val="00AB555D"/>
    <w:rsid w:val="00AB59E8"/>
    <w:rsid w:val="00AB781B"/>
    <w:rsid w:val="00AC58F4"/>
    <w:rsid w:val="00AC6DEA"/>
    <w:rsid w:val="00AE016C"/>
    <w:rsid w:val="00AF1BDD"/>
    <w:rsid w:val="00AF3B91"/>
    <w:rsid w:val="00AF47B6"/>
    <w:rsid w:val="00AF5323"/>
    <w:rsid w:val="00AF7210"/>
    <w:rsid w:val="00B02433"/>
    <w:rsid w:val="00B05FED"/>
    <w:rsid w:val="00B10F4A"/>
    <w:rsid w:val="00B11BA6"/>
    <w:rsid w:val="00B12877"/>
    <w:rsid w:val="00B16879"/>
    <w:rsid w:val="00B16CE6"/>
    <w:rsid w:val="00B25FEF"/>
    <w:rsid w:val="00B270C1"/>
    <w:rsid w:val="00B305EA"/>
    <w:rsid w:val="00B37B14"/>
    <w:rsid w:val="00B42B04"/>
    <w:rsid w:val="00B42B15"/>
    <w:rsid w:val="00B42DF7"/>
    <w:rsid w:val="00B43437"/>
    <w:rsid w:val="00B439AB"/>
    <w:rsid w:val="00B44A63"/>
    <w:rsid w:val="00B46075"/>
    <w:rsid w:val="00B47004"/>
    <w:rsid w:val="00B473A4"/>
    <w:rsid w:val="00B52D49"/>
    <w:rsid w:val="00B54B51"/>
    <w:rsid w:val="00B54E7F"/>
    <w:rsid w:val="00B56247"/>
    <w:rsid w:val="00B6089D"/>
    <w:rsid w:val="00B64D78"/>
    <w:rsid w:val="00B70EAE"/>
    <w:rsid w:val="00B83655"/>
    <w:rsid w:val="00B84BB3"/>
    <w:rsid w:val="00B85D9B"/>
    <w:rsid w:val="00B8690E"/>
    <w:rsid w:val="00B90A86"/>
    <w:rsid w:val="00B91034"/>
    <w:rsid w:val="00B94945"/>
    <w:rsid w:val="00B96AA2"/>
    <w:rsid w:val="00BA0002"/>
    <w:rsid w:val="00BA680B"/>
    <w:rsid w:val="00BA6CC7"/>
    <w:rsid w:val="00BB1C79"/>
    <w:rsid w:val="00BB475B"/>
    <w:rsid w:val="00BB5BD9"/>
    <w:rsid w:val="00BB755F"/>
    <w:rsid w:val="00BB7596"/>
    <w:rsid w:val="00BC0813"/>
    <w:rsid w:val="00BC5D81"/>
    <w:rsid w:val="00BD14DD"/>
    <w:rsid w:val="00BD5346"/>
    <w:rsid w:val="00BD76BC"/>
    <w:rsid w:val="00BE26AD"/>
    <w:rsid w:val="00BE480F"/>
    <w:rsid w:val="00BF1BBF"/>
    <w:rsid w:val="00BF21F1"/>
    <w:rsid w:val="00BF28AF"/>
    <w:rsid w:val="00BF45F4"/>
    <w:rsid w:val="00C04583"/>
    <w:rsid w:val="00C103CD"/>
    <w:rsid w:val="00C11431"/>
    <w:rsid w:val="00C1193A"/>
    <w:rsid w:val="00C25000"/>
    <w:rsid w:val="00C256F4"/>
    <w:rsid w:val="00C30665"/>
    <w:rsid w:val="00C30A5C"/>
    <w:rsid w:val="00C33B08"/>
    <w:rsid w:val="00C34832"/>
    <w:rsid w:val="00C41C15"/>
    <w:rsid w:val="00C44F7B"/>
    <w:rsid w:val="00C576D8"/>
    <w:rsid w:val="00C62AC7"/>
    <w:rsid w:val="00C644D1"/>
    <w:rsid w:val="00C65A36"/>
    <w:rsid w:val="00C71840"/>
    <w:rsid w:val="00C71F0D"/>
    <w:rsid w:val="00C73296"/>
    <w:rsid w:val="00C73ACF"/>
    <w:rsid w:val="00C80215"/>
    <w:rsid w:val="00C82485"/>
    <w:rsid w:val="00C8507B"/>
    <w:rsid w:val="00C9220C"/>
    <w:rsid w:val="00C92461"/>
    <w:rsid w:val="00C945BC"/>
    <w:rsid w:val="00C956AB"/>
    <w:rsid w:val="00CA17FE"/>
    <w:rsid w:val="00CB033E"/>
    <w:rsid w:val="00CB2D6B"/>
    <w:rsid w:val="00CB6172"/>
    <w:rsid w:val="00CC2E51"/>
    <w:rsid w:val="00CD7412"/>
    <w:rsid w:val="00CE0F59"/>
    <w:rsid w:val="00CF2539"/>
    <w:rsid w:val="00CF3869"/>
    <w:rsid w:val="00CF77AF"/>
    <w:rsid w:val="00D02557"/>
    <w:rsid w:val="00D03339"/>
    <w:rsid w:val="00D036C1"/>
    <w:rsid w:val="00D05314"/>
    <w:rsid w:val="00D0594B"/>
    <w:rsid w:val="00D07ED2"/>
    <w:rsid w:val="00D10D69"/>
    <w:rsid w:val="00D11113"/>
    <w:rsid w:val="00D1215C"/>
    <w:rsid w:val="00D13129"/>
    <w:rsid w:val="00D14B69"/>
    <w:rsid w:val="00D174AF"/>
    <w:rsid w:val="00D20F64"/>
    <w:rsid w:val="00D22DD5"/>
    <w:rsid w:val="00D23E90"/>
    <w:rsid w:val="00D25F2F"/>
    <w:rsid w:val="00D27788"/>
    <w:rsid w:val="00D27F37"/>
    <w:rsid w:val="00D3208F"/>
    <w:rsid w:val="00D32BCD"/>
    <w:rsid w:val="00D433AC"/>
    <w:rsid w:val="00D439D2"/>
    <w:rsid w:val="00D44B0F"/>
    <w:rsid w:val="00D45004"/>
    <w:rsid w:val="00D52B75"/>
    <w:rsid w:val="00D53E51"/>
    <w:rsid w:val="00D64686"/>
    <w:rsid w:val="00D70681"/>
    <w:rsid w:val="00D713C9"/>
    <w:rsid w:val="00D72B70"/>
    <w:rsid w:val="00D72F6F"/>
    <w:rsid w:val="00D73084"/>
    <w:rsid w:val="00D82D6E"/>
    <w:rsid w:val="00D84554"/>
    <w:rsid w:val="00D921C8"/>
    <w:rsid w:val="00D94BA7"/>
    <w:rsid w:val="00D94EF9"/>
    <w:rsid w:val="00D95452"/>
    <w:rsid w:val="00DA0394"/>
    <w:rsid w:val="00DA34FD"/>
    <w:rsid w:val="00DA436D"/>
    <w:rsid w:val="00DA5579"/>
    <w:rsid w:val="00DA7D90"/>
    <w:rsid w:val="00DA7DA0"/>
    <w:rsid w:val="00DB5619"/>
    <w:rsid w:val="00DB650B"/>
    <w:rsid w:val="00DC00A0"/>
    <w:rsid w:val="00DC5740"/>
    <w:rsid w:val="00DD0027"/>
    <w:rsid w:val="00DD1994"/>
    <w:rsid w:val="00DD2C29"/>
    <w:rsid w:val="00DE10A0"/>
    <w:rsid w:val="00DE457A"/>
    <w:rsid w:val="00DE5AED"/>
    <w:rsid w:val="00DE6800"/>
    <w:rsid w:val="00DE6FEE"/>
    <w:rsid w:val="00DF29C8"/>
    <w:rsid w:val="00DF5FA6"/>
    <w:rsid w:val="00E0126A"/>
    <w:rsid w:val="00E028C5"/>
    <w:rsid w:val="00E02BE6"/>
    <w:rsid w:val="00E02FE1"/>
    <w:rsid w:val="00E051F6"/>
    <w:rsid w:val="00E10A72"/>
    <w:rsid w:val="00E10E1F"/>
    <w:rsid w:val="00E12A17"/>
    <w:rsid w:val="00E14E29"/>
    <w:rsid w:val="00E16020"/>
    <w:rsid w:val="00E25E13"/>
    <w:rsid w:val="00E25FD3"/>
    <w:rsid w:val="00E26084"/>
    <w:rsid w:val="00E32523"/>
    <w:rsid w:val="00E3736F"/>
    <w:rsid w:val="00E449AE"/>
    <w:rsid w:val="00E50AD6"/>
    <w:rsid w:val="00E50BDB"/>
    <w:rsid w:val="00E518AD"/>
    <w:rsid w:val="00E5259A"/>
    <w:rsid w:val="00E568BA"/>
    <w:rsid w:val="00E572D7"/>
    <w:rsid w:val="00E6112E"/>
    <w:rsid w:val="00E6283C"/>
    <w:rsid w:val="00E64952"/>
    <w:rsid w:val="00E658B5"/>
    <w:rsid w:val="00E65C6B"/>
    <w:rsid w:val="00E674CC"/>
    <w:rsid w:val="00E709A6"/>
    <w:rsid w:val="00E72175"/>
    <w:rsid w:val="00E74873"/>
    <w:rsid w:val="00E81E54"/>
    <w:rsid w:val="00E8424F"/>
    <w:rsid w:val="00E84E52"/>
    <w:rsid w:val="00E84EA0"/>
    <w:rsid w:val="00E84F44"/>
    <w:rsid w:val="00E86D96"/>
    <w:rsid w:val="00E911CB"/>
    <w:rsid w:val="00E94BF3"/>
    <w:rsid w:val="00E9781C"/>
    <w:rsid w:val="00EA67AE"/>
    <w:rsid w:val="00EC1C45"/>
    <w:rsid w:val="00EC78CA"/>
    <w:rsid w:val="00EC791F"/>
    <w:rsid w:val="00ED180D"/>
    <w:rsid w:val="00ED2DB7"/>
    <w:rsid w:val="00ED3424"/>
    <w:rsid w:val="00ED37D1"/>
    <w:rsid w:val="00ED392E"/>
    <w:rsid w:val="00ED46C7"/>
    <w:rsid w:val="00ED69AB"/>
    <w:rsid w:val="00EE0C3A"/>
    <w:rsid w:val="00EE1E3D"/>
    <w:rsid w:val="00EE64E2"/>
    <w:rsid w:val="00EE67CA"/>
    <w:rsid w:val="00EF09FF"/>
    <w:rsid w:val="00EF22B6"/>
    <w:rsid w:val="00EF5B43"/>
    <w:rsid w:val="00EF776F"/>
    <w:rsid w:val="00EF785F"/>
    <w:rsid w:val="00F0158F"/>
    <w:rsid w:val="00F01971"/>
    <w:rsid w:val="00F031B5"/>
    <w:rsid w:val="00F03EB2"/>
    <w:rsid w:val="00F10D95"/>
    <w:rsid w:val="00F11B6D"/>
    <w:rsid w:val="00F11BBA"/>
    <w:rsid w:val="00F14D6C"/>
    <w:rsid w:val="00F16AE9"/>
    <w:rsid w:val="00F21173"/>
    <w:rsid w:val="00F22F8B"/>
    <w:rsid w:val="00F23A8F"/>
    <w:rsid w:val="00F25614"/>
    <w:rsid w:val="00F274FD"/>
    <w:rsid w:val="00F30F38"/>
    <w:rsid w:val="00F334B2"/>
    <w:rsid w:val="00F34E90"/>
    <w:rsid w:val="00F35416"/>
    <w:rsid w:val="00F371EA"/>
    <w:rsid w:val="00F37243"/>
    <w:rsid w:val="00F40137"/>
    <w:rsid w:val="00F40640"/>
    <w:rsid w:val="00F41345"/>
    <w:rsid w:val="00F45388"/>
    <w:rsid w:val="00F52448"/>
    <w:rsid w:val="00F527EF"/>
    <w:rsid w:val="00F570AF"/>
    <w:rsid w:val="00F61610"/>
    <w:rsid w:val="00F61D43"/>
    <w:rsid w:val="00F65C30"/>
    <w:rsid w:val="00F71EDE"/>
    <w:rsid w:val="00F74DF3"/>
    <w:rsid w:val="00F7527B"/>
    <w:rsid w:val="00F77CC6"/>
    <w:rsid w:val="00F8057B"/>
    <w:rsid w:val="00F81214"/>
    <w:rsid w:val="00F834D2"/>
    <w:rsid w:val="00F86154"/>
    <w:rsid w:val="00F92AA0"/>
    <w:rsid w:val="00F92BD1"/>
    <w:rsid w:val="00F92E60"/>
    <w:rsid w:val="00FA3403"/>
    <w:rsid w:val="00FB2198"/>
    <w:rsid w:val="00FB3F5B"/>
    <w:rsid w:val="00FB6F95"/>
    <w:rsid w:val="00FC3046"/>
    <w:rsid w:val="00FC4F46"/>
    <w:rsid w:val="00FC6E64"/>
    <w:rsid w:val="00FD2B5B"/>
    <w:rsid w:val="00FD3F4B"/>
    <w:rsid w:val="00FD5855"/>
    <w:rsid w:val="00FD6572"/>
    <w:rsid w:val="00FE0078"/>
    <w:rsid w:val="00FE0CD1"/>
    <w:rsid w:val="00FE30C8"/>
    <w:rsid w:val="00FE52B6"/>
    <w:rsid w:val="00FF17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EC5D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78"/>
    <w:rPr>
      <w:rFonts w:asciiTheme="minorHAnsi" w:hAnsiTheme="minorHAnsi" w:cstheme="minorHAnsi"/>
      <w:szCs w:val="22"/>
    </w:rPr>
  </w:style>
  <w:style w:type="paragraph" w:styleId="Heading1">
    <w:name w:val="heading 1"/>
    <w:basedOn w:val="Normal"/>
    <w:next w:val="Normal"/>
    <w:link w:val="Heading1Char"/>
    <w:uiPriority w:val="9"/>
    <w:qFormat/>
    <w:rsid w:val="00C33B08"/>
    <w:pPr>
      <w:keepNext/>
      <w:keepLines/>
      <w:numPr>
        <w:numId w:val="21"/>
      </w:numPr>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C33B08"/>
    <w:pPr>
      <w:keepNext/>
      <w:keepLines/>
      <w:numPr>
        <w:ilvl w:val="1"/>
        <w:numId w:val="21"/>
      </w:numPr>
      <w:spacing w:before="120" w:after="0"/>
      <w:outlineLvl w:val="1"/>
    </w:pPr>
    <w:rPr>
      <w:rFonts w:eastAsiaTheme="majorEastAsia" w:cstheme="majorBidi"/>
      <w:color w:val="008A96"/>
      <w:sz w:val="32"/>
      <w:szCs w:val="26"/>
    </w:rPr>
  </w:style>
  <w:style w:type="paragraph" w:styleId="Heading3">
    <w:name w:val="heading 3"/>
    <w:basedOn w:val="Normal"/>
    <w:next w:val="Normal"/>
    <w:link w:val="Heading3Char"/>
    <w:uiPriority w:val="9"/>
    <w:unhideWhenUsed/>
    <w:qFormat/>
    <w:rsid w:val="00C33B08"/>
    <w:pPr>
      <w:keepNext/>
      <w:keepLines/>
      <w:numPr>
        <w:ilvl w:val="2"/>
        <w:numId w:val="21"/>
      </w:numPr>
      <w:spacing w:before="40" w:after="0"/>
      <w:outlineLvl w:val="2"/>
    </w:pPr>
    <w:rPr>
      <w:rFonts w:asciiTheme="majorHAnsi" w:eastAsiaTheme="majorEastAsia" w:hAnsiTheme="majorHAnsi" w:cstheme="majorBidi"/>
      <w:i/>
      <w:color w:val="008A96"/>
    </w:rPr>
  </w:style>
  <w:style w:type="paragraph" w:styleId="Heading4">
    <w:name w:val="heading 4"/>
    <w:basedOn w:val="Normal"/>
    <w:next w:val="Normal"/>
    <w:link w:val="Heading4Char"/>
    <w:uiPriority w:val="9"/>
    <w:unhideWhenUsed/>
    <w:qFormat/>
    <w:rsid w:val="00C33B08"/>
    <w:pPr>
      <w:keepNext/>
      <w:keepLines/>
      <w:numPr>
        <w:ilvl w:val="3"/>
        <w:numId w:val="21"/>
      </w:numPr>
      <w:tabs>
        <w:tab w:val="num" w:pos="360"/>
      </w:tabs>
      <w:spacing w:before="40" w:after="0"/>
      <w:ind w:left="0" w:firstLine="0"/>
      <w:outlineLvl w:val="3"/>
    </w:pPr>
    <w:rPr>
      <w:rFonts w:asciiTheme="majorHAnsi" w:eastAsiaTheme="majorEastAsia" w:hAnsiTheme="majorHAnsi" w:cstheme="majorBidi"/>
      <w:i/>
      <w:iCs/>
      <w:color w:val="305250" w:themeColor="accent6" w:themeShade="80"/>
      <w:u w:val="single"/>
    </w:rPr>
  </w:style>
  <w:style w:type="paragraph" w:styleId="Heading5">
    <w:name w:val="heading 5"/>
    <w:aliases w:val="H5,Heading 5(unused),5,(A),A,Heading 5 StGeorge,Level 3 - i,3rd sub-clause,Level 5,L5,s,Appendix,Para5,h5,h51,h52,Heading 5 Interstar,l5+toc5,Heading 51,Heading 5 StGeorge1,Para51,sb"/>
    <w:basedOn w:val="Normal"/>
    <w:link w:val="Heading5Char"/>
    <w:qFormat/>
    <w:rsid w:val="002B4B09"/>
    <w:pPr>
      <w:numPr>
        <w:ilvl w:val="4"/>
        <w:numId w:val="21"/>
      </w:numPr>
      <w:spacing w:before="240" w:after="0" w:line="240" w:lineRule="auto"/>
      <w:outlineLvl w:val="4"/>
    </w:pPr>
    <w:rPr>
      <w:rFonts w:ascii="Arial" w:eastAsia="Times New Roman" w:hAnsi="Arial" w:cs="Times New Roman"/>
      <w:sz w:val="20"/>
      <w:szCs w:val="20"/>
      <w:lang w:eastAsia="en-AU"/>
    </w:rPr>
  </w:style>
  <w:style w:type="paragraph" w:styleId="Heading6">
    <w:name w:val="heading 6"/>
    <w:basedOn w:val="Normal"/>
    <w:next w:val="Normal"/>
    <w:link w:val="Heading6Char"/>
    <w:rsid w:val="002B4B09"/>
    <w:pPr>
      <w:spacing w:after="0" w:line="240" w:lineRule="auto"/>
      <w:outlineLvl w:val="5"/>
    </w:pPr>
    <w:rPr>
      <w:rFonts w:ascii="Arial" w:eastAsia="Times New Roman" w:hAnsi="Arial" w:cs="Times New Roman"/>
      <w:sz w:val="20"/>
      <w:szCs w:val="20"/>
      <w:lang w:eastAsia="en-AU"/>
    </w:rPr>
  </w:style>
  <w:style w:type="paragraph" w:styleId="Heading7">
    <w:name w:val="heading 7"/>
    <w:basedOn w:val="Normal"/>
    <w:next w:val="Normal"/>
    <w:link w:val="Heading7Char"/>
    <w:rsid w:val="002B4B09"/>
    <w:pPr>
      <w:spacing w:after="0" w:line="240" w:lineRule="auto"/>
      <w:outlineLvl w:val="6"/>
    </w:pPr>
    <w:rPr>
      <w:rFonts w:ascii="Arial" w:eastAsia="Times New Roman" w:hAnsi="Arial" w:cs="Times New Roman"/>
      <w:sz w:val="20"/>
      <w:szCs w:val="20"/>
      <w:lang w:eastAsia="en-AU"/>
    </w:rPr>
  </w:style>
  <w:style w:type="paragraph" w:styleId="Heading8">
    <w:name w:val="heading 8"/>
    <w:basedOn w:val="Normal"/>
    <w:next w:val="Normal"/>
    <w:link w:val="Heading8Char"/>
    <w:rsid w:val="002B4B09"/>
    <w:pPr>
      <w:spacing w:after="0" w:line="240" w:lineRule="auto"/>
      <w:outlineLvl w:val="7"/>
    </w:pPr>
    <w:rPr>
      <w:rFonts w:ascii="Arial" w:eastAsia="Times New Roman" w:hAnsi="Arial" w:cs="Times New Roman"/>
      <w:sz w:val="20"/>
      <w:szCs w:val="20"/>
      <w:lang w:eastAsia="en-AU"/>
    </w:rPr>
  </w:style>
  <w:style w:type="paragraph" w:styleId="Heading9">
    <w:name w:val="heading 9"/>
    <w:basedOn w:val="Normal"/>
    <w:next w:val="Normal"/>
    <w:link w:val="Heading9Char"/>
    <w:rsid w:val="002B4B09"/>
    <w:pPr>
      <w:spacing w:after="0" w:line="240" w:lineRule="auto"/>
      <w:outlineLvl w:val="8"/>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35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57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92AA0"/>
    <w:rPr>
      <w:rFonts w:asciiTheme="minorHAnsi" w:eastAsiaTheme="majorEastAsia" w:hAnsiTheme="minorHAnsi" w:cstheme="majorBidi"/>
      <w:sz w:val="40"/>
      <w:szCs w:val="32"/>
    </w:rPr>
  </w:style>
  <w:style w:type="character" w:customStyle="1" w:styleId="Heading2Char">
    <w:name w:val="Heading 2 Char"/>
    <w:basedOn w:val="DefaultParagraphFont"/>
    <w:link w:val="Heading2"/>
    <w:uiPriority w:val="9"/>
    <w:rsid w:val="00F92AA0"/>
    <w:rPr>
      <w:rFonts w:asciiTheme="minorHAnsi" w:eastAsiaTheme="majorEastAsia" w:hAnsiTheme="minorHAnsi" w:cstheme="majorBidi"/>
      <w:color w:val="008A96"/>
      <w:sz w:val="32"/>
      <w:szCs w:val="26"/>
    </w:rPr>
  </w:style>
  <w:style w:type="character" w:customStyle="1" w:styleId="Heading3Char">
    <w:name w:val="Heading 3 Char"/>
    <w:basedOn w:val="DefaultParagraphFont"/>
    <w:link w:val="Heading3"/>
    <w:uiPriority w:val="9"/>
    <w:rsid w:val="003D601E"/>
    <w:rPr>
      <w:rFonts w:asciiTheme="majorHAnsi" w:eastAsiaTheme="majorEastAsia" w:hAnsiTheme="majorHAnsi" w:cstheme="majorBidi"/>
      <w:i/>
      <w:color w:val="008A96"/>
      <w:szCs w:val="22"/>
    </w:rPr>
  </w:style>
  <w:style w:type="character" w:styleId="CommentReference">
    <w:name w:val="annotation reference"/>
    <w:basedOn w:val="DefaultParagraphFont"/>
    <w:uiPriority w:val="99"/>
    <w:semiHidden/>
    <w:unhideWhenUsed/>
    <w:rsid w:val="0095200D"/>
    <w:rPr>
      <w:sz w:val="16"/>
      <w:szCs w:val="16"/>
    </w:rPr>
  </w:style>
  <w:style w:type="paragraph" w:styleId="CommentText">
    <w:name w:val="annotation text"/>
    <w:basedOn w:val="Normal"/>
    <w:link w:val="CommentTextChar"/>
    <w:uiPriority w:val="99"/>
    <w:unhideWhenUsed/>
    <w:rsid w:val="0095200D"/>
    <w:pPr>
      <w:spacing w:line="240" w:lineRule="auto"/>
    </w:pPr>
    <w:rPr>
      <w:sz w:val="20"/>
      <w:szCs w:val="20"/>
    </w:rPr>
  </w:style>
  <w:style w:type="character" w:customStyle="1" w:styleId="CommentTextChar">
    <w:name w:val="Comment Text Char"/>
    <w:basedOn w:val="DefaultParagraphFont"/>
    <w:link w:val="CommentText"/>
    <w:uiPriority w:val="99"/>
    <w:rsid w:val="0095200D"/>
    <w:rPr>
      <w:sz w:val="20"/>
      <w:szCs w:val="20"/>
    </w:rPr>
  </w:style>
  <w:style w:type="paragraph" w:styleId="CommentSubject">
    <w:name w:val="annotation subject"/>
    <w:basedOn w:val="CommentText"/>
    <w:next w:val="CommentText"/>
    <w:link w:val="CommentSubjectChar"/>
    <w:uiPriority w:val="99"/>
    <w:semiHidden/>
    <w:unhideWhenUsed/>
    <w:rsid w:val="0095200D"/>
    <w:rPr>
      <w:b/>
      <w:bCs/>
    </w:rPr>
  </w:style>
  <w:style w:type="character" w:customStyle="1" w:styleId="CommentSubjectChar">
    <w:name w:val="Comment Subject Char"/>
    <w:basedOn w:val="CommentTextChar"/>
    <w:link w:val="CommentSubject"/>
    <w:uiPriority w:val="99"/>
    <w:semiHidden/>
    <w:rsid w:val="0095200D"/>
    <w:rPr>
      <w:b/>
      <w:bCs/>
      <w:sz w:val="20"/>
      <w:szCs w:val="20"/>
    </w:rPr>
  </w:style>
  <w:style w:type="character" w:styleId="Hyperlink">
    <w:name w:val="Hyperlink"/>
    <w:basedOn w:val="DefaultParagraphFont"/>
    <w:uiPriority w:val="99"/>
    <w:unhideWhenUsed/>
    <w:rsid w:val="00BB5BD9"/>
    <w:rPr>
      <w:color w:val="6EAC1C" w:themeColor="hyperlink"/>
      <w:u w:val="single"/>
    </w:rPr>
  </w:style>
  <w:style w:type="character" w:styleId="UnresolvedMention">
    <w:name w:val="Unresolved Mention"/>
    <w:basedOn w:val="DefaultParagraphFont"/>
    <w:uiPriority w:val="99"/>
    <w:semiHidden/>
    <w:unhideWhenUsed/>
    <w:rsid w:val="00BB5BD9"/>
    <w:rPr>
      <w:color w:val="605E5C"/>
      <w:shd w:val="clear" w:color="auto" w:fill="E1DFDD"/>
    </w:rPr>
  </w:style>
  <w:style w:type="paragraph" w:styleId="ListParagraph">
    <w:name w:val="List Paragraph"/>
    <w:aliases w:val="OBC Bullet,F5 List Paragraph,Colorful List - Accent 11,Normal numbered,Bullet 1,Bullet Style,Dot pt,No Spacing1,Indicator Text,Numbered Para 1,List Paragraph1,Bullet Points,MAIN CONTENT,List Paragraph12,L"/>
    <w:basedOn w:val="Normal"/>
    <w:link w:val="ListParagraphChar"/>
    <w:uiPriority w:val="34"/>
    <w:qFormat/>
    <w:rsid w:val="000D656C"/>
    <w:pPr>
      <w:ind w:left="720"/>
      <w:contextualSpacing/>
    </w:pPr>
  </w:style>
  <w:style w:type="paragraph" w:styleId="FootnoteText">
    <w:name w:val="footnote text"/>
    <w:basedOn w:val="Normal"/>
    <w:link w:val="FootnoteTextChar"/>
    <w:uiPriority w:val="99"/>
    <w:semiHidden/>
    <w:unhideWhenUsed/>
    <w:rsid w:val="00C64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4D1"/>
    <w:rPr>
      <w:rFonts w:asciiTheme="minorHAnsi" w:hAnsiTheme="minorHAnsi" w:cstheme="minorHAnsi"/>
      <w:sz w:val="20"/>
      <w:szCs w:val="20"/>
    </w:rPr>
  </w:style>
  <w:style w:type="character" w:styleId="FootnoteReference">
    <w:name w:val="footnote reference"/>
    <w:basedOn w:val="DefaultParagraphFont"/>
    <w:uiPriority w:val="99"/>
    <w:semiHidden/>
    <w:unhideWhenUsed/>
    <w:rsid w:val="00C644D1"/>
    <w:rPr>
      <w:vertAlign w:val="superscript"/>
    </w:rPr>
  </w:style>
  <w:style w:type="character" w:customStyle="1" w:styleId="Heading4Char">
    <w:name w:val="Heading 4 Char"/>
    <w:basedOn w:val="DefaultParagraphFont"/>
    <w:link w:val="Heading4"/>
    <w:uiPriority w:val="9"/>
    <w:rsid w:val="00813DB9"/>
    <w:rPr>
      <w:rFonts w:asciiTheme="majorHAnsi" w:eastAsiaTheme="majorEastAsia" w:hAnsiTheme="majorHAnsi" w:cstheme="majorBidi"/>
      <w:i/>
      <w:iCs/>
      <w:color w:val="305250" w:themeColor="accent6" w:themeShade="80"/>
      <w:szCs w:val="22"/>
      <w:u w:val="single"/>
    </w:rPr>
  </w:style>
  <w:style w:type="paragraph" w:styleId="NoSpacing">
    <w:name w:val="No Spacing"/>
    <w:uiPriority w:val="1"/>
    <w:qFormat/>
    <w:rsid w:val="00751B8A"/>
    <w:pPr>
      <w:spacing w:after="0" w:line="240" w:lineRule="auto"/>
    </w:pPr>
    <w:rPr>
      <w:rFonts w:asciiTheme="minorHAnsi" w:hAnsiTheme="minorHAnsi" w:cstheme="minorHAnsi"/>
      <w:sz w:val="22"/>
      <w:szCs w:val="22"/>
    </w:rPr>
  </w:style>
  <w:style w:type="paragraph" w:styleId="Header">
    <w:name w:val="header"/>
    <w:basedOn w:val="Normal"/>
    <w:link w:val="HeaderChar"/>
    <w:uiPriority w:val="99"/>
    <w:unhideWhenUsed/>
    <w:rsid w:val="00887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6FC"/>
    <w:rPr>
      <w:rFonts w:asciiTheme="minorHAnsi" w:hAnsiTheme="minorHAnsi" w:cstheme="minorHAnsi"/>
      <w:sz w:val="22"/>
      <w:szCs w:val="22"/>
    </w:rPr>
  </w:style>
  <w:style w:type="paragraph" w:styleId="Footer">
    <w:name w:val="footer"/>
    <w:basedOn w:val="Normal"/>
    <w:link w:val="FooterChar"/>
    <w:uiPriority w:val="99"/>
    <w:unhideWhenUsed/>
    <w:rsid w:val="00887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6FC"/>
    <w:rPr>
      <w:rFonts w:asciiTheme="minorHAnsi" w:hAnsiTheme="minorHAnsi" w:cstheme="minorHAnsi"/>
      <w:sz w:val="22"/>
      <w:szCs w:val="22"/>
    </w:rPr>
  </w:style>
  <w:style w:type="paragraph" w:styleId="TOC1">
    <w:name w:val="toc 1"/>
    <w:basedOn w:val="Normal"/>
    <w:next w:val="Normal"/>
    <w:autoRedefine/>
    <w:uiPriority w:val="39"/>
    <w:unhideWhenUsed/>
    <w:rsid w:val="00F031B5"/>
    <w:pPr>
      <w:tabs>
        <w:tab w:val="left" w:pos="440"/>
        <w:tab w:val="right" w:leader="dot" w:pos="9736"/>
      </w:tabs>
      <w:spacing w:after="100"/>
    </w:pPr>
    <w:rPr>
      <w:b/>
      <w:bCs/>
      <w:noProof/>
    </w:rPr>
  </w:style>
  <w:style w:type="paragraph" w:styleId="TOC2">
    <w:name w:val="toc 2"/>
    <w:basedOn w:val="Normal"/>
    <w:next w:val="Normal"/>
    <w:autoRedefine/>
    <w:uiPriority w:val="39"/>
    <w:unhideWhenUsed/>
    <w:rsid w:val="008D1056"/>
    <w:pPr>
      <w:spacing w:after="100"/>
      <w:ind w:left="240"/>
    </w:pPr>
  </w:style>
  <w:style w:type="paragraph" w:styleId="Revision">
    <w:name w:val="Revision"/>
    <w:hidden/>
    <w:uiPriority w:val="99"/>
    <w:semiHidden/>
    <w:rsid w:val="00AA69CB"/>
    <w:pPr>
      <w:spacing w:after="0" w:line="240" w:lineRule="auto"/>
    </w:pPr>
    <w:rPr>
      <w:rFonts w:asciiTheme="minorHAnsi" w:hAnsiTheme="minorHAnsi" w:cstheme="minorHAnsi"/>
      <w:szCs w:val="22"/>
    </w:rPr>
  </w:style>
  <w:style w:type="paragraph" w:customStyle="1" w:styleId="Default">
    <w:name w:val="Default"/>
    <w:rsid w:val="003714B5"/>
    <w:pPr>
      <w:autoSpaceDE w:val="0"/>
      <w:autoSpaceDN w:val="0"/>
      <w:adjustRightInd w:val="0"/>
      <w:spacing w:after="0" w:line="240" w:lineRule="auto"/>
    </w:pPr>
    <w:rPr>
      <w:rFonts w:ascii="Calibri" w:hAnsi="Calibri" w:cs="Calibri"/>
      <w:color w:val="000000"/>
    </w:rPr>
  </w:style>
  <w:style w:type="character" w:customStyle="1" w:styleId="apple-converted-space">
    <w:name w:val="apple-converted-space"/>
    <w:basedOn w:val="DefaultParagraphFont"/>
    <w:rsid w:val="00B70EAE"/>
  </w:style>
  <w:style w:type="character" w:customStyle="1" w:styleId="Heading5Char">
    <w:name w:val="Heading 5 Char"/>
    <w:aliases w:val="H5 Char,Heading 5(unused) Char,5 Char,(A) Char,A Char,Heading 5 StGeorge Char,Level 3 - i Char,3rd sub-clause Char,Level 5 Char,L5 Char,s Char,Appendix Char,Para5 Char,h5 Char,h51 Char,h52 Char,Heading 5 Interstar Char,l5+toc5 Char"/>
    <w:basedOn w:val="DefaultParagraphFont"/>
    <w:link w:val="Heading5"/>
    <w:rsid w:val="002B4B09"/>
    <w:rPr>
      <w:rFonts w:ascii="Arial" w:eastAsia="Times New Roman" w:hAnsi="Arial"/>
      <w:sz w:val="20"/>
      <w:szCs w:val="20"/>
      <w:lang w:eastAsia="en-AU"/>
    </w:rPr>
  </w:style>
  <w:style w:type="character" w:customStyle="1" w:styleId="Heading6Char">
    <w:name w:val="Heading 6 Char"/>
    <w:basedOn w:val="DefaultParagraphFont"/>
    <w:link w:val="Heading6"/>
    <w:rsid w:val="002B4B09"/>
    <w:rPr>
      <w:rFonts w:ascii="Arial" w:eastAsia="Times New Roman" w:hAnsi="Arial"/>
      <w:sz w:val="20"/>
      <w:szCs w:val="20"/>
      <w:lang w:eastAsia="en-AU"/>
    </w:rPr>
  </w:style>
  <w:style w:type="character" w:customStyle="1" w:styleId="Heading7Char">
    <w:name w:val="Heading 7 Char"/>
    <w:basedOn w:val="DefaultParagraphFont"/>
    <w:link w:val="Heading7"/>
    <w:rsid w:val="002B4B09"/>
    <w:rPr>
      <w:rFonts w:ascii="Arial" w:eastAsia="Times New Roman" w:hAnsi="Arial"/>
      <w:sz w:val="20"/>
      <w:szCs w:val="20"/>
      <w:lang w:eastAsia="en-AU"/>
    </w:rPr>
  </w:style>
  <w:style w:type="character" w:customStyle="1" w:styleId="Heading8Char">
    <w:name w:val="Heading 8 Char"/>
    <w:basedOn w:val="DefaultParagraphFont"/>
    <w:link w:val="Heading8"/>
    <w:rsid w:val="002B4B09"/>
    <w:rPr>
      <w:rFonts w:ascii="Arial" w:eastAsia="Times New Roman" w:hAnsi="Arial"/>
      <w:sz w:val="20"/>
      <w:szCs w:val="20"/>
      <w:lang w:eastAsia="en-AU"/>
    </w:rPr>
  </w:style>
  <w:style w:type="character" w:customStyle="1" w:styleId="Heading9Char">
    <w:name w:val="Heading 9 Char"/>
    <w:basedOn w:val="DefaultParagraphFont"/>
    <w:link w:val="Heading9"/>
    <w:rsid w:val="002B4B09"/>
    <w:rPr>
      <w:rFonts w:ascii="Arial" w:eastAsia="Times New Roman" w:hAnsi="Arial"/>
      <w:sz w:val="20"/>
      <w:szCs w:val="20"/>
      <w:lang w:eastAsia="en-AU"/>
    </w:rPr>
  </w:style>
  <w:style w:type="paragraph" w:customStyle="1" w:styleId="BodyIndent1">
    <w:name w:val="Body Indent 1"/>
    <w:basedOn w:val="Normal"/>
    <w:link w:val="BodyIndent1Char"/>
    <w:qFormat/>
    <w:rsid w:val="002B4B09"/>
    <w:pPr>
      <w:spacing w:before="240" w:after="0" w:line="240" w:lineRule="auto"/>
      <w:ind w:left="851"/>
    </w:pPr>
    <w:rPr>
      <w:rFonts w:ascii="Arial" w:eastAsia="Times New Roman" w:hAnsi="Arial" w:cs="Arial"/>
      <w:sz w:val="20"/>
      <w:szCs w:val="20"/>
      <w:lang w:eastAsia="en-AU"/>
    </w:rPr>
  </w:style>
  <w:style w:type="paragraph" w:customStyle="1" w:styleId="BodyIndent2">
    <w:name w:val="Body Indent 2"/>
    <w:basedOn w:val="Normal"/>
    <w:qFormat/>
    <w:rsid w:val="002B4B09"/>
    <w:pPr>
      <w:spacing w:before="240" w:after="0" w:line="240" w:lineRule="auto"/>
      <w:ind w:left="1701"/>
    </w:pPr>
    <w:rPr>
      <w:rFonts w:ascii="Arial" w:eastAsia="Times New Roman" w:hAnsi="Arial" w:cs="Arial"/>
      <w:sz w:val="20"/>
      <w:szCs w:val="20"/>
      <w:lang w:eastAsia="en-AU"/>
    </w:rPr>
  </w:style>
  <w:style w:type="paragraph" w:customStyle="1" w:styleId="BodyIndent3">
    <w:name w:val="Body Indent 3"/>
    <w:basedOn w:val="Normal"/>
    <w:qFormat/>
    <w:rsid w:val="002B4B09"/>
    <w:pPr>
      <w:spacing w:before="240" w:after="0" w:line="240" w:lineRule="auto"/>
      <w:ind w:left="2268"/>
    </w:pPr>
    <w:rPr>
      <w:rFonts w:ascii="Arial" w:eastAsia="Times New Roman" w:hAnsi="Arial" w:cs="Arial"/>
      <w:sz w:val="20"/>
      <w:szCs w:val="20"/>
      <w:lang w:eastAsia="en-AU"/>
    </w:rPr>
  </w:style>
  <w:style w:type="paragraph" w:customStyle="1" w:styleId="Bullet1">
    <w:name w:val="Bullet1"/>
    <w:basedOn w:val="Normal"/>
    <w:qFormat/>
    <w:rsid w:val="002B4B09"/>
    <w:pPr>
      <w:numPr>
        <w:numId w:val="20"/>
      </w:numPr>
      <w:spacing w:before="240" w:after="0" w:line="240" w:lineRule="auto"/>
    </w:pPr>
    <w:rPr>
      <w:rFonts w:ascii="Arial" w:eastAsia="Times New Roman" w:hAnsi="Arial" w:cs="Arial"/>
      <w:sz w:val="20"/>
      <w:szCs w:val="20"/>
      <w:lang w:eastAsia="en-AU"/>
    </w:rPr>
  </w:style>
  <w:style w:type="paragraph" w:customStyle="1" w:styleId="Bullet2">
    <w:name w:val="Bullet2"/>
    <w:basedOn w:val="Normal"/>
    <w:qFormat/>
    <w:rsid w:val="002B4B09"/>
    <w:pPr>
      <w:numPr>
        <w:numId w:val="26"/>
      </w:numPr>
      <w:spacing w:before="240" w:after="0" w:line="240" w:lineRule="auto"/>
    </w:pPr>
    <w:rPr>
      <w:rFonts w:ascii="Arial" w:eastAsia="Times New Roman" w:hAnsi="Arial" w:cs="Times New Roman"/>
      <w:sz w:val="20"/>
      <w:szCs w:val="20"/>
      <w:lang w:eastAsia="en-AU"/>
    </w:rPr>
  </w:style>
  <w:style w:type="paragraph" w:customStyle="1" w:styleId="Bullet3">
    <w:name w:val="Bullet3"/>
    <w:basedOn w:val="Normal"/>
    <w:qFormat/>
    <w:rsid w:val="002B4B09"/>
    <w:pPr>
      <w:numPr>
        <w:numId w:val="27"/>
      </w:numPr>
      <w:spacing w:before="240" w:after="0" w:line="240" w:lineRule="auto"/>
    </w:pPr>
    <w:rPr>
      <w:rFonts w:ascii="Arial" w:eastAsia="Times New Roman" w:hAnsi="Arial" w:cs="Times New Roman"/>
      <w:sz w:val="20"/>
      <w:szCs w:val="20"/>
      <w:lang w:eastAsia="en-AU"/>
    </w:rPr>
  </w:style>
  <w:style w:type="paragraph" w:customStyle="1" w:styleId="correspQuote">
    <w:name w:val="correspQuote"/>
    <w:basedOn w:val="Normal"/>
    <w:qFormat/>
    <w:rsid w:val="002B4B09"/>
    <w:pPr>
      <w:spacing w:before="240" w:after="0" w:line="240" w:lineRule="auto"/>
      <w:ind w:left="851" w:right="851"/>
    </w:pPr>
    <w:rPr>
      <w:rFonts w:ascii="Arial" w:eastAsia="Times New Roman" w:hAnsi="Arial" w:cs="Arial"/>
      <w:sz w:val="18"/>
      <w:szCs w:val="20"/>
      <w:lang w:eastAsia="en-AU"/>
    </w:rPr>
  </w:style>
  <w:style w:type="paragraph" w:customStyle="1" w:styleId="covBodyText">
    <w:name w:val="covBodyText"/>
    <w:basedOn w:val="Normal"/>
    <w:qFormat/>
    <w:rsid w:val="002B4B09"/>
    <w:pPr>
      <w:spacing w:after="0" w:line="240" w:lineRule="auto"/>
      <w:ind w:left="397"/>
    </w:pPr>
    <w:rPr>
      <w:rFonts w:ascii="Arial" w:eastAsia="Times New Roman" w:hAnsi="Arial" w:cs="Times New Roman"/>
      <w:sz w:val="22"/>
      <w:szCs w:val="20"/>
      <w:lang w:eastAsia="en-AU"/>
    </w:rPr>
  </w:style>
  <w:style w:type="paragraph" w:customStyle="1" w:styleId="covSubTitle">
    <w:name w:val="covSubTitle"/>
    <w:basedOn w:val="Normal"/>
    <w:next w:val="covBodyText"/>
    <w:rsid w:val="002B4B09"/>
    <w:pPr>
      <w:spacing w:after="0" w:line="240" w:lineRule="auto"/>
      <w:ind w:left="397"/>
    </w:pPr>
    <w:rPr>
      <w:rFonts w:ascii="Arial" w:eastAsia="Times New Roman" w:hAnsi="Arial" w:cs="Times New Roman"/>
      <w:b/>
      <w:sz w:val="22"/>
      <w:szCs w:val="20"/>
      <w:lang w:eastAsia="en-AU"/>
    </w:rPr>
  </w:style>
  <w:style w:type="paragraph" w:customStyle="1" w:styleId="covTitle">
    <w:name w:val="covTitle"/>
    <w:basedOn w:val="Normal"/>
    <w:next w:val="covBodyText"/>
    <w:qFormat/>
    <w:rsid w:val="002B4B09"/>
    <w:pPr>
      <w:spacing w:before="3600" w:after="0" w:line="240" w:lineRule="auto"/>
      <w:ind w:left="397"/>
    </w:pPr>
    <w:rPr>
      <w:rFonts w:ascii="Arial" w:eastAsia="Times New Roman" w:hAnsi="Arial" w:cs="Times New Roman"/>
      <w:b/>
      <w:sz w:val="34"/>
      <w:szCs w:val="20"/>
      <w:lang w:eastAsia="en-AU"/>
    </w:rPr>
  </w:style>
  <w:style w:type="paragraph" w:customStyle="1" w:styleId="Headingpara2">
    <w:name w:val="Headingpara2"/>
    <w:basedOn w:val="Heading2"/>
    <w:qFormat/>
    <w:rsid w:val="002B4B09"/>
    <w:pPr>
      <w:keepNext w:val="0"/>
      <w:keepLines w:val="0"/>
      <w:spacing w:before="240" w:line="240" w:lineRule="auto"/>
    </w:pPr>
    <w:rPr>
      <w:rFonts w:ascii="Arial" w:eastAsia="Times New Roman" w:hAnsi="Arial" w:cs="Times New Roman"/>
      <w:color w:val="auto"/>
      <w:sz w:val="20"/>
      <w:szCs w:val="20"/>
      <w:lang w:eastAsia="en-AU"/>
    </w:rPr>
  </w:style>
  <w:style w:type="paragraph" w:customStyle="1" w:styleId="legalDefinition">
    <w:name w:val="legalDefinition"/>
    <w:basedOn w:val="Normal"/>
    <w:qFormat/>
    <w:rsid w:val="002B4B09"/>
    <w:pPr>
      <w:numPr>
        <w:numId w:val="29"/>
      </w:numPr>
      <w:spacing w:before="240" w:after="0" w:line="240" w:lineRule="auto"/>
    </w:pPr>
    <w:rPr>
      <w:rFonts w:ascii="Arial" w:eastAsia="Times New Roman" w:hAnsi="Arial" w:cs="Times New Roman"/>
      <w:sz w:val="20"/>
      <w:szCs w:val="20"/>
    </w:rPr>
  </w:style>
  <w:style w:type="paragraph" w:customStyle="1" w:styleId="legalRecital1">
    <w:name w:val="legalRecital1"/>
    <w:basedOn w:val="Normal"/>
    <w:qFormat/>
    <w:rsid w:val="002B4B09"/>
    <w:pPr>
      <w:numPr>
        <w:numId w:val="22"/>
      </w:numPr>
      <w:spacing w:before="240" w:after="0" w:line="240" w:lineRule="auto"/>
    </w:pPr>
    <w:rPr>
      <w:rFonts w:ascii="Arial" w:eastAsia="Times New Roman" w:hAnsi="Arial" w:cs="Times New Roman"/>
      <w:sz w:val="20"/>
      <w:szCs w:val="20"/>
      <w:lang w:eastAsia="en-AU"/>
    </w:rPr>
  </w:style>
  <w:style w:type="paragraph" w:customStyle="1" w:styleId="legalSchedule">
    <w:name w:val="legalSchedule"/>
    <w:basedOn w:val="Normal"/>
    <w:next w:val="Normal"/>
    <w:qFormat/>
    <w:rsid w:val="002B4B09"/>
    <w:pPr>
      <w:pageBreakBefore/>
      <w:numPr>
        <w:numId w:val="24"/>
      </w:num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ScheduleDesc">
    <w:name w:val="legalScheduleDesc"/>
    <w:basedOn w:val="Normal"/>
    <w:next w:val="Normal"/>
    <w:qFormat/>
    <w:rsid w:val="002B4B09"/>
    <w:pPr>
      <w:keepNext/>
      <w:spacing w:before="240" w:after="0" w:line="240" w:lineRule="auto"/>
    </w:pPr>
    <w:rPr>
      <w:rFonts w:ascii="Arial" w:eastAsia="Times New Roman" w:hAnsi="Arial" w:cs="Times New Roman"/>
      <w:b/>
      <w:sz w:val="22"/>
      <w:szCs w:val="20"/>
      <w:lang w:eastAsia="en-AU"/>
    </w:rPr>
  </w:style>
  <w:style w:type="paragraph" w:customStyle="1" w:styleId="legalTitleDescription">
    <w:name w:val="legalTitleDescription"/>
    <w:basedOn w:val="Normal"/>
    <w:next w:val="Normal"/>
    <w:qFormat/>
    <w:rsid w:val="002B4B09"/>
    <w:pPr>
      <w:spacing w:before="240" w:after="0" w:line="240" w:lineRule="auto"/>
    </w:pPr>
    <w:rPr>
      <w:rFonts w:ascii="Arial" w:eastAsia="Times New Roman" w:hAnsi="Arial" w:cs="Times New Roman"/>
      <w:b/>
      <w:sz w:val="22"/>
      <w:szCs w:val="20"/>
      <w:lang w:eastAsia="en-AU"/>
    </w:rPr>
  </w:style>
  <w:style w:type="paragraph" w:customStyle="1" w:styleId="mainTitle">
    <w:name w:val="mainTitle"/>
    <w:basedOn w:val="Normal"/>
    <w:next w:val="Normal"/>
    <w:qFormat/>
    <w:rsid w:val="002B4B09"/>
    <w:p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Numpara1">
    <w:name w:val="Numpara1"/>
    <w:basedOn w:val="Normal"/>
    <w:qFormat/>
    <w:rsid w:val="002B4B09"/>
    <w:pPr>
      <w:numPr>
        <w:numId w:val="23"/>
      </w:numPr>
      <w:spacing w:before="240" w:after="0" w:line="240" w:lineRule="auto"/>
    </w:pPr>
    <w:rPr>
      <w:rFonts w:ascii="Arial" w:eastAsia="Times New Roman" w:hAnsi="Arial" w:cs="Arial"/>
      <w:sz w:val="20"/>
      <w:lang w:eastAsia="en-AU"/>
    </w:rPr>
  </w:style>
  <w:style w:type="paragraph" w:customStyle="1" w:styleId="Numpara2">
    <w:name w:val="Numpara2"/>
    <w:basedOn w:val="Normal"/>
    <w:qFormat/>
    <w:rsid w:val="002B4B09"/>
    <w:pPr>
      <w:numPr>
        <w:ilvl w:val="1"/>
        <w:numId w:val="23"/>
      </w:numPr>
      <w:spacing w:before="240" w:after="0" w:line="240" w:lineRule="auto"/>
    </w:pPr>
    <w:rPr>
      <w:rFonts w:ascii="Arial" w:eastAsia="Times New Roman" w:hAnsi="Arial" w:cs="Arial"/>
      <w:sz w:val="20"/>
      <w:lang w:eastAsia="en-AU"/>
    </w:rPr>
  </w:style>
  <w:style w:type="paragraph" w:customStyle="1" w:styleId="Numpara3">
    <w:name w:val="Numpara3"/>
    <w:basedOn w:val="Normal"/>
    <w:qFormat/>
    <w:rsid w:val="002B4B09"/>
    <w:pPr>
      <w:numPr>
        <w:ilvl w:val="2"/>
        <w:numId w:val="23"/>
      </w:numPr>
      <w:spacing w:before="240" w:after="0" w:line="240" w:lineRule="auto"/>
    </w:pPr>
    <w:rPr>
      <w:rFonts w:ascii="Arial" w:eastAsia="Times New Roman" w:hAnsi="Arial" w:cs="Arial"/>
      <w:sz w:val="20"/>
      <w:lang w:eastAsia="en-AU"/>
    </w:rPr>
  </w:style>
  <w:style w:type="paragraph" w:customStyle="1" w:styleId="Numpara4">
    <w:name w:val="Numpara4"/>
    <w:basedOn w:val="Normal"/>
    <w:qFormat/>
    <w:rsid w:val="002B4B09"/>
    <w:pPr>
      <w:numPr>
        <w:ilvl w:val="3"/>
        <w:numId w:val="23"/>
      </w:numPr>
      <w:spacing w:before="240" w:after="0" w:line="240" w:lineRule="auto"/>
    </w:pPr>
    <w:rPr>
      <w:rFonts w:ascii="Arial" w:eastAsia="Times New Roman" w:hAnsi="Arial" w:cs="Arial"/>
      <w:sz w:val="20"/>
      <w:lang w:eastAsia="en-AU"/>
    </w:rPr>
  </w:style>
  <w:style w:type="paragraph" w:customStyle="1" w:styleId="pageNumber">
    <w:name w:val="pageNumber"/>
    <w:basedOn w:val="Normal"/>
    <w:qFormat/>
    <w:rsid w:val="002B4B09"/>
    <w:pPr>
      <w:tabs>
        <w:tab w:val="right" w:pos="9072"/>
      </w:tabs>
      <w:spacing w:after="0" w:line="240" w:lineRule="auto"/>
    </w:pPr>
    <w:rPr>
      <w:rFonts w:ascii="Arial" w:eastAsia="Times New Roman" w:hAnsi="Arial" w:cs="Times New Roman"/>
      <w:sz w:val="14"/>
      <w:szCs w:val="14"/>
      <w:lang w:eastAsia="en-AU"/>
    </w:rPr>
  </w:style>
  <w:style w:type="table" w:customStyle="1" w:styleId="MadTabPlumGrid">
    <w:name w:val="MadTabPlumGrid"/>
    <w:basedOn w:val="TableNormal"/>
    <w:uiPriority w:val="99"/>
    <w:rsid w:val="002B4B09"/>
    <w:pPr>
      <w:spacing w:before="60" w:after="60" w:line="240" w:lineRule="auto"/>
    </w:pPr>
    <w:rPr>
      <w:rFonts w:ascii="Arial" w:eastAsia="Times New Roman" w:hAnsi="Arial"/>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2B4B09"/>
    <w:pPr>
      <w:spacing w:before="60" w:after="60" w:line="240" w:lineRule="auto"/>
    </w:pPr>
    <w:rPr>
      <w:rFonts w:ascii="Arial" w:eastAsia="Times New Roman" w:hAnsi="Arial"/>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Attachment">
    <w:name w:val="legalAttachment"/>
    <w:basedOn w:val="Normal"/>
    <w:next w:val="Normal"/>
    <w:qFormat/>
    <w:rsid w:val="002B4B09"/>
    <w:pPr>
      <w:pageBreakBefore/>
      <w:numPr>
        <w:numId w:val="25"/>
      </w:numPr>
      <w:pBdr>
        <w:top w:val="single" w:sz="4" w:space="1" w:color="auto"/>
      </w:pBdr>
      <w:spacing w:after="0" w:line="240" w:lineRule="auto"/>
    </w:pPr>
    <w:rPr>
      <w:rFonts w:ascii="Arial" w:eastAsia="Times New Roman" w:hAnsi="Arial" w:cs="Times New Roman"/>
      <w:b/>
      <w:sz w:val="34"/>
      <w:szCs w:val="20"/>
    </w:rPr>
  </w:style>
  <w:style w:type="paragraph" w:customStyle="1" w:styleId="legalPart">
    <w:name w:val="legalPart"/>
    <w:basedOn w:val="Normal"/>
    <w:next w:val="Normal"/>
    <w:qFormat/>
    <w:rsid w:val="002B4B09"/>
    <w:pPr>
      <w:keepNext/>
      <w:numPr>
        <w:numId w:val="28"/>
      </w:numPr>
      <w:pBdr>
        <w:top w:val="single" w:sz="4" w:space="6" w:color="82002A"/>
      </w:pBdr>
      <w:spacing w:before="480" w:after="480" w:line="240" w:lineRule="auto"/>
    </w:pPr>
    <w:rPr>
      <w:rFonts w:ascii="Arial" w:eastAsia="Times New Roman" w:hAnsi="Arial" w:cs="Times New Roman"/>
      <w:b/>
      <w:color w:val="82002A"/>
      <w:sz w:val="22"/>
      <w:szCs w:val="20"/>
    </w:rPr>
  </w:style>
  <w:style w:type="paragraph" w:styleId="TOC3">
    <w:name w:val="toc 3"/>
    <w:next w:val="Normal"/>
    <w:autoRedefine/>
    <w:uiPriority w:val="39"/>
    <w:unhideWhenUsed/>
    <w:rsid w:val="002B4B09"/>
    <w:pPr>
      <w:tabs>
        <w:tab w:val="left" w:pos="851"/>
        <w:tab w:val="right" w:leader="dot" w:pos="9060"/>
      </w:tabs>
      <w:spacing w:before="240" w:after="0" w:line="240" w:lineRule="auto"/>
    </w:pPr>
    <w:rPr>
      <w:rFonts w:ascii="Arial" w:eastAsia="Times New Roman" w:hAnsi="Arial"/>
      <w:b/>
      <w:color w:val="82002A"/>
      <w:sz w:val="22"/>
      <w:szCs w:val="20"/>
    </w:rPr>
  </w:style>
  <w:style w:type="character" w:styleId="IntenseReference">
    <w:name w:val="Intense Reference"/>
    <w:basedOn w:val="DefaultParagraphFont"/>
    <w:uiPriority w:val="32"/>
    <w:qFormat/>
    <w:rsid w:val="002B4B09"/>
    <w:rPr>
      <w:b/>
      <w:bCs/>
      <w:i/>
      <w:smallCaps/>
      <w:color w:val="2683C6" w:themeColor="accent2"/>
      <w:spacing w:val="5"/>
      <w:u w:val="none"/>
    </w:rPr>
  </w:style>
  <w:style w:type="character" w:customStyle="1" w:styleId="BodyIndent1Char">
    <w:name w:val="Body Indent 1 Char"/>
    <w:link w:val="BodyIndent1"/>
    <w:rsid w:val="002B4B09"/>
    <w:rPr>
      <w:rFonts w:ascii="Arial" w:eastAsia="Times New Roman" w:hAnsi="Arial" w:cs="Arial"/>
      <w:sz w:val="20"/>
      <w:szCs w:val="20"/>
      <w:lang w:eastAsia="en-AU"/>
    </w:rPr>
  </w:style>
  <w:style w:type="paragraph" w:styleId="BalloonText">
    <w:name w:val="Balloon Text"/>
    <w:basedOn w:val="Normal"/>
    <w:link w:val="BalloonTextChar"/>
    <w:uiPriority w:val="99"/>
    <w:semiHidden/>
    <w:unhideWhenUsed/>
    <w:rsid w:val="002B4B09"/>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2B4B09"/>
    <w:rPr>
      <w:rFonts w:ascii="Segoe UI" w:eastAsia="Times New Roman" w:hAnsi="Segoe UI" w:cs="Segoe UI"/>
      <w:sz w:val="18"/>
      <w:szCs w:val="18"/>
      <w:lang w:eastAsia="en-AU"/>
    </w:rPr>
  </w:style>
  <w:style w:type="table" w:customStyle="1" w:styleId="TableGrid1">
    <w:name w:val="Table Grid1"/>
    <w:basedOn w:val="TableNormal"/>
    <w:next w:val="TableGrid"/>
    <w:uiPriority w:val="59"/>
    <w:rsid w:val="002B4B0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B4B09"/>
    <w:pPr>
      <w:spacing w:after="0" w:line="240" w:lineRule="auto"/>
    </w:pPr>
    <w:rPr>
      <w:rFonts w:ascii="Arial" w:eastAsia="Times New Roman" w:hAnsi="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2B4B09"/>
    <w:pPr>
      <w:spacing w:after="0" w:line="240" w:lineRule="auto"/>
      <w:ind w:left="660"/>
    </w:pPr>
    <w:rPr>
      <w:rFonts w:ascii="Arial" w:eastAsia="Times New Roman" w:hAnsi="Arial" w:cs="Times New Roman"/>
      <w:sz w:val="20"/>
      <w:szCs w:val="20"/>
      <w:lang w:eastAsia="en-AU"/>
    </w:rPr>
  </w:style>
  <w:style w:type="paragraph" w:styleId="TOC5">
    <w:name w:val="toc 5"/>
    <w:basedOn w:val="Normal"/>
    <w:next w:val="Normal"/>
    <w:autoRedefine/>
    <w:semiHidden/>
    <w:rsid w:val="002B4B09"/>
    <w:pPr>
      <w:spacing w:after="0" w:line="240" w:lineRule="auto"/>
      <w:ind w:left="880"/>
    </w:pPr>
    <w:rPr>
      <w:rFonts w:ascii="Arial" w:eastAsia="Times New Roman" w:hAnsi="Arial" w:cs="Times New Roman"/>
      <w:sz w:val="20"/>
      <w:szCs w:val="20"/>
      <w:lang w:eastAsia="en-AU"/>
    </w:rPr>
  </w:style>
  <w:style w:type="paragraph" w:styleId="TOC6">
    <w:name w:val="toc 6"/>
    <w:basedOn w:val="Normal"/>
    <w:next w:val="Normal"/>
    <w:autoRedefine/>
    <w:semiHidden/>
    <w:rsid w:val="002B4B09"/>
    <w:pPr>
      <w:spacing w:after="0" w:line="240" w:lineRule="auto"/>
      <w:ind w:left="1100"/>
    </w:pPr>
    <w:rPr>
      <w:rFonts w:ascii="Arial" w:eastAsia="Times New Roman" w:hAnsi="Arial" w:cs="Times New Roman"/>
      <w:sz w:val="20"/>
      <w:szCs w:val="20"/>
      <w:lang w:eastAsia="en-AU"/>
    </w:rPr>
  </w:style>
  <w:style w:type="paragraph" w:styleId="TOC7">
    <w:name w:val="toc 7"/>
    <w:basedOn w:val="Normal"/>
    <w:next w:val="Normal"/>
    <w:autoRedefine/>
    <w:semiHidden/>
    <w:rsid w:val="002B4B09"/>
    <w:pPr>
      <w:spacing w:after="0" w:line="240" w:lineRule="auto"/>
      <w:ind w:left="1320"/>
    </w:pPr>
    <w:rPr>
      <w:rFonts w:ascii="Arial" w:eastAsia="Times New Roman" w:hAnsi="Arial" w:cs="Times New Roman"/>
      <w:sz w:val="20"/>
      <w:szCs w:val="20"/>
      <w:lang w:eastAsia="en-AU"/>
    </w:rPr>
  </w:style>
  <w:style w:type="paragraph" w:styleId="TOC8">
    <w:name w:val="toc 8"/>
    <w:basedOn w:val="Normal"/>
    <w:next w:val="Normal"/>
    <w:autoRedefine/>
    <w:semiHidden/>
    <w:rsid w:val="002B4B09"/>
    <w:pPr>
      <w:spacing w:after="0" w:line="240" w:lineRule="auto"/>
      <w:ind w:left="1540"/>
    </w:pPr>
    <w:rPr>
      <w:rFonts w:ascii="Arial" w:eastAsia="Times New Roman" w:hAnsi="Arial" w:cs="Times New Roman"/>
      <w:sz w:val="20"/>
      <w:szCs w:val="20"/>
      <w:lang w:eastAsia="en-AU"/>
    </w:rPr>
  </w:style>
  <w:style w:type="paragraph" w:styleId="TOC9">
    <w:name w:val="toc 9"/>
    <w:basedOn w:val="Normal"/>
    <w:next w:val="Normal"/>
    <w:autoRedefine/>
    <w:semiHidden/>
    <w:rsid w:val="002B4B09"/>
    <w:pPr>
      <w:spacing w:after="0" w:line="240" w:lineRule="auto"/>
      <w:ind w:left="1760"/>
    </w:pPr>
    <w:rPr>
      <w:rFonts w:ascii="Arial" w:eastAsia="Times New Roman" w:hAnsi="Arial" w:cs="Times New Roman"/>
      <w:sz w:val="20"/>
      <w:szCs w:val="20"/>
      <w:lang w:eastAsia="en-AU"/>
    </w:rPr>
  </w:style>
  <w:style w:type="numbering" w:customStyle="1" w:styleId="ImportedStyle2">
    <w:name w:val="Imported Style 2"/>
    <w:rsid w:val="002B4B09"/>
    <w:pPr>
      <w:numPr>
        <w:numId w:val="31"/>
      </w:numPr>
    </w:pPr>
  </w:style>
  <w:style w:type="numbering" w:customStyle="1" w:styleId="ImportedStyle1">
    <w:name w:val="Imported Style 1"/>
    <w:rsid w:val="002B4B09"/>
    <w:pPr>
      <w:numPr>
        <w:numId w:val="33"/>
      </w:numPr>
    </w:pPr>
  </w:style>
  <w:style w:type="character" w:customStyle="1" w:styleId="Hyperlink1">
    <w:name w:val="Hyperlink.1"/>
    <w:basedOn w:val="DefaultParagraphFont"/>
    <w:rsid w:val="002B4B09"/>
    <w:rPr>
      <w:shd w:val="clear" w:color="auto" w:fill="FFFF00"/>
    </w:rPr>
  </w:style>
  <w:style w:type="paragraph" w:styleId="PlainText">
    <w:name w:val="Plain Text"/>
    <w:basedOn w:val="Normal"/>
    <w:link w:val="PlainTextChar"/>
    <w:uiPriority w:val="99"/>
    <w:semiHidden/>
    <w:unhideWhenUsed/>
    <w:rsid w:val="002B4B09"/>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2B4B09"/>
    <w:rPr>
      <w:rFonts w:ascii="Calibri" w:hAnsi="Calibri" w:cstheme="minorBidi"/>
      <w:sz w:val="22"/>
      <w:szCs w:val="21"/>
    </w:rPr>
  </w:style>
  <w:style w:type="character" w:customStyle="1" w:styleId="ListParagraphChar">
    <w:name w:val="List Paragraph Char"/>
    <w:aliases w:val="OBC Bullet Char,F5 List Paragraph Char,Colorful List - Accent 11 Char,Normal numbered Char,Bullet 1 Char,Bullet Style Char,Dot pt Char,No Spacing1 Char,Indicator Text Char,Numbered Para 1 Char,List Paragraph1 Char,Bullet Points Char"/>
    <w:basedOn w:val="DefaultParagraphFont"/>
    <w:link w:val="ListParagraph"/>
    <w:uiPriority w:val="34"/>
    <w:locked/>
    <w:rsid w:val="002B4B09"/>
    <w:rPr>
      <w:rFonts w:asciiTheme="minorHAnsi" w:hAnsiTheme="minorHAnsi" w:cstheme="minorHAnsi"/>
      <w:szCs w:val="22"/>
    </w:rPr>
  </w:style>
  <w:style w:type="paragraph" w:customStyle="1" w:styleId="CUNumber1">
    <w:name w:val="CU_Number1"/>
    <w:basedOn w:val="Normal"/>
    <w:rsid w:val="002B4B09"/>
    <w:pPr>
      <w:spacing w:after="240" w:line="240" w:lineRule="auto"/>
      <w:outlineLvl w:val="0"/>
    </w:pPr>
    <w:rPr>
      <w:rFonts w:ascii="Arial" w:eastAsia="Times New Roman" w:hAnsi="Arial" w:cs="Times New Roman"/>
      <w:sz w:val="20"/>
      <w:szCs w:val="20"/>
    </w:rPr>
  </w:style>
  <w:style w:type="paragraph" w:customStyle="1" w:styleId="CUNumber2">
    <w:name w:val="CU_Number2"/>
    <w:basedOn w:val="Normal"/>
    <w:rsid w:val="002B4B09"/>
    <w:pPr>
      <w:spacing w:after="240" w:line="240" w:lineRule="auto"/>
      <w:outlineLvl w:val="1"/>
    </w:pPr>
    <w:rPr>
      <w:rFonts w:ascii="Arial" w:eastAsia="Times New Roman" w:hAnsi="Arial" w:cs="Times New Roman"/>
      <w:sz w:val="20"/>
      <w:szCs w:val="20"/>
    </w:rPr>
  </w:style>
  <w:style w:type="paragraph" w:customStyle="1" w:styleId="CUNumber3">
    <w:name w:val="CU_Number3"/>
    <w:basedOn w:val="Normal"/>
    <w:rsid w:val="002B4B09"/>
    <w:pPr>
      <w:spacing w:after="240" w:line="240" w:lineRule="auto"/>
      <w:outlineLvl w:val="2"/>
    </w:pPr>
    <w:rPr>
      <w:rFonts w:ascii="Arial" w:eastAsia="Times New Roman" w:hAnsi="Arial" w:cs="Times New Roman"/>
      <w:sz w:val="20"/>
      <w:szCs w:val="20"/>
    </w:rPr>
  </w:style>
  <w:style w:type="paragraph" w:customStyle="1" w:styleId="CUNumber4">
    <w:name w:val="CU_Number4"/>
    <w:basedOn w:val="Normal"/>
    <w:rsid w:val="002B4B09"/>
    <w:pPr>
      <w:spacing w:after="240" w:line="240" w:lineRule="auto"/>
      <w:outlineLvl w:val="3"/>
    </w:pPr>
    <w:rPr>
      <w:rFonts w:ascii="Arial" w:eastAsia="Times New Roman" w:hAnsi="Arial" w:cs="Times New Roman"/>
      <w:sz w:val="20"/>
      <w:szCs w:val="20"/>
    </w:rPr>
  </w:style>
  <w:style w:type="paragraph" w:customStyle="1" w:styleId="CUNumber5">
    <w:name w:val="CU_Number5"/>
    <w:basedOn w:val="Normal"/>
    <w:rsid w:val="002B4B09"/>
    <w:pPr>
      <w:spacing w:after="240" w:line="240" w:lineRule="auto"/>
      <w:outlineLvl w:val="4"/>
    </w:pPr>
    <w:rPr>
      <w:rFonts w:ascii="Arial" w:eastAsia="Times New Roman" w:hAnsi="Arial" w:cs="Times New Roman"/>
      <w:sz w:val="20"/>
      <w:szCs w:val="20"/>
    </w:rPr>
  </w:style>
  <w:style w:type="paragraph" w:customStyle="1" w:styleId="CUNumber6">
    <w:name w:val="CU_Number6"/>
    <w:basedOn w:val="Normal"/>
    <w:rsid w:val="002B4B09"/>
    <w:pPr>
      <w:spacing w:after="240" w:line="240" w:lineRule="auto"/>
      <w:outlineLvl w:val="5"/>
    </w:pPr>
    <w:rPr>
      <w:rFonts w:ascii="Arial" w:eastAsia="Times New Roman" w:hAnsi="Arial" w:cs="Times New Roman"/>
      <w:sz w:val="20"/>
      <w:szCs w:val="20"/>
    </w:rPr>
  </w:style>
  <w:style w:type="paragraph" w:customStyle="1" w:styleId="CUNumber7">
    <w:name w:val="CU_Number7"/>
    <w:basedOn w:val="Normal"/>
    <w:rsid w:val="002B4B09"/>
    <w:pPr>
      <w:spacing w:after="240" w:line="240" w:lineRule="auto"/>
      <w:outlineLvl w:val="6"/>
    </w:pPr>
    <w:rPr>
      <w:rFonts w:ascii="Arial" w:eastAsia="Times New Roman" w:hAnsi="Arial" w:cs="Times New Roman"/>
      <w:sz w:val="20"/>
      <w:szCs w:val="20"/>
    </w:rPr>
  </w:style>
  <w:style w:type="paragraph" w:customStyle="1" w:styleId="CUNumber8">
    <w:name w:val="CU_Number8"/>
    <w:basedOn w:val="Normal"/>
    <w:rsid w:val="002B4B09"/>
    <w:pPr>
      <w:spacing w:after="240" w:line="240" w:lineRule="auto"/>
      <w:outlineLvl w:val="7"/>
    </w:pPr>
    <w:rPr>
      <w:rFonts w:ascii="Arial" w:eastAsia="Times New Roman" w:hAnsi="Arial" w:cs="Times New Roman"/>
      <w:sz w:val="20"/>
      <w:szCs w:val="20"/>
    </w:rPr>
  </w:style>
  <w:style w:type="numbering" w:customStyle="1" w:styleId="CUNumber">
    <w:name w:val="CU_Number"/>
    <w:uiPriority w:val="99"/>
    <w:rsid w:val="002B4B09"/>
    <w:pPr>
      <w:numPr>
        <w:numId w:val="35"/>
      </w:numPr>
    </w:pPr>
  </w:style>
  <w:style w:type="paragraph" w:customStyle="1" w:styleId="AttachmentHeading">
    <w:name w:val="Attachment Heading"/>
    <w:basedOn w:val="Normal"/>
    <w:next w:val="Normal"/>
    <w:rsid w:val="002B4B09"/>
    <w:pPr>
      <w:pageBreakBefore/>
      <w:numPr>
        <w:numId w:val="36"/>
      </w:numPr>
      <w:spacing w:after="240" w:line="240" w:lineRule="auto"/>
      <w:outlineLvl w:val="0"/>
    </w:pPr>
    <w:rPr>
      <w:rFonts w:ascii="Arial" w:eastAsia="Times New Roman" w:hAnsi="Arial" w:cs="Times New Roman"/>
      <w:b/>
    </w:rPr>
  </w:style>
  <w:style w:type="table" w:customStyle="1" w:styleId="TableGrid2">
    <w:name w:val="Table Grid2"/>
    <w:basedOn w:val="TableNormal"/>
    <w:next w:val="TableGrid"/>
    <w:uiPriority w:val="39"/>
    <w:rsid w:val="002B4B09"/>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F371EA"/>
    <w:pPr>
      <w:numPr>
        <w:numId w:val="48"/>
      </w:numPr>
      <w:spacing w:before="60" w:after="60" w:line="240" w:lineRule="auto"/>
    </w:pPr>
    <w:rPr>
      <w:rFonts w:ascii="Arial" w:eastAsia="Times New Roman" w:hAnsi="Arial" w:cs="Times New Roman"/>
      <w:color w:val="000000" w:themeColor="text1"/>
      <w:sz w:val="21"/>
      <w:szCs w:val="24"/>
    </w:rPr>
  </w:style>
  <w:style w:type="character" w:customStyle="1" w:styleId="normaltextrun">
    <w:name w:val="normaltextrun"/>
    <w:basedOn w:val="DefaultParagraphFont"/>
    <w:rsid w:val="00F371EA"/>
  </w:style>
  <w:style w:type="character" w:customStyle="1" w:styleId="eop">
    <w:name w:val="eop"/>
    <w:basedOn w:val="DefaultParagraphFont"/>
    <w:rsid w:val="00F371EA"/>
  </w:style>
  <w:style w:type="paragraph" w:customStyle="1" w:styleId="paragraph">
    <w:name w:val="paragraph"/>
    <w:basedOn w:val="Normal"/>
    <w:rsid w:val="00F371EA"/>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60785">
      <w:bodyDiv w:val="1"/>
      <w:marLeft w:val="0"/>
      <w:marRight w:val="0"/>
      <w:marTop w:val="0"/>
      <w:marBottom w:val="0"/>
      <w:divBdr>
        <w:top w:val="none" w:sz="0" w:space="0" w:color="auto"/>
        <w:left w:val="none" w:sz="0" w:space="0" w:color="auto"/>
        <w:bottom w:val="none" w:sz="0" w:space="0" w:color="auto"/>
        <w:right w:val="none" w:sz="0" w:space="0" w:color="auto"/>
      </w:divBdr>
    </w:div>
    <w:div w:id="330066937">
      <w:bodyDiv w:val="1"/>
      <w:marLeft w:val="0"/>
      <w:marRight w:val="0"/>
      <w:marTop w:val="0"/>
      <w:marBottom w:val="0"/>
      <w:divBdr>
        <w:top w:val="none" w:sz="0" w:space="0" w:color="auto"/>
        <w:left w:val="none" w:sz="0" w:space="0" w:color="auto"/>
        <w:bottom w:val="none" w:sz="0" w:space="0" w:color="auto"/>
        <w:right w:val="none" w:sz="0" w:space="0" w:color="auto"/>
      </w:divBdr>
    </w:div>
    <w:div w:id="534852027">
      <w:bodyDiv w:val="1"/>
      <w:marLeft w:val="0"/>
      <w:marRight w:val="0"/>
      <w:marTop w:val="0"/>
      <w:marBottom w:val="0"/>
      <w:divBdr>
        <w:top w:val="none" w:sz="0" w:space="0" w:color="auto"/>
        <w:left w:val="none" w:sz="0" w:space="0" w:color="auto"/>
        <w:bottom w:val="none" w:sz="0" w:space="0" w:color="auto"/>
        <w:right w:val="none" w:sz="0" w:space="0" w:color="auto"/>
      </w:divBdr>
    </w:div>
    <w:div w:id="625544935">
      <w:bodyDiv w:val="1"/>
      <w:marLeft w:val="0"/>
      <w:marRight w:val="0"/>
      <w:marTop w:val="0"/>
      <w:marBottom w:val="0"/>
      <w:divBdr>
        <w:top w:val="none" w:sz="0" w:space="0" w:color="auto"/>
        <w:left w:val="none" w:sz="0" w:space="0" w:color="auto"/>
        <w:bottom w:val="none" w:sz="0" w:space="0" w:color="auto"/>
        <w:right w:val="none" w:sz="0" w:space="0" w:color="auto"/>
      </w:divBdr>
    </w:div>
    <w:div w:id="1071276435">
      <w:bodyDiv w:val="1"/>
      <w:marLeft w:val="0"/>
      <w:marRight w:val="0"/>
      <w:marTop w:val="0"/>
      <w:marBottom w:val="0"/>
      <w:divBdr>
        <w:top w:val="none" w:sz="0" w:space="0" w:color="auto"/>
        <w:left w:val="none" w:sz="0" w:space="0" w:color="auto"/>
        <w:bottom w:val="none" w:sz="0" w:space="0" w:color="auto"/>
        <w:right w:val="none" w:sz="0" w:space="0" w:color="auto"/>
      </w:divBdr>
    </w:div>
    <w:div w:id="1072507567">
      <w:bodyDiv w:val="1"/>
      <w:marLeft w:val="0"/>
      <w:marRight w:val="0"/>
      <w:marTop w:val="0"/>
      <w:marBottom w:val="0"/>
      <w:divBdr>
        <w:top w:val="none" w:sz="0" w:space="0" w:color="auto"/>
        <w:left w:val="none" w:sz="0" w:space="0" w:color="auto"/>
        <w:bottom w:val="none" w:sz="0" w:space="0" w:color="auto"/>
        <w:right w:val="none" w:sz="0" w:space="0" w:color="auto"/>
      </w:divBdr>
    </w:div>
    <w:div w:id="1148521738">
      <w:bodyDiv w:val="1"/>
      <w:marLeft w:val="0"/>
      <w:marRight w:val="0"/>
      <w:marTop w:val="0"/>
      <w:marBottom w:val="0"/>
      <w:divBdr>
        <w:top w:val="none" w:sz="0" w:space="0" w:color="auto"/>
        <w:left w:val="none" w:sz="0" w:space="0" w:color="auto"/>
        <w:bottom w:val="none" w:sz="0" w:space="0" w:color="auto"/>
        <w:right w:val="none" w:sz="0" w:space="0" w:color="auto"/>
      </w:divBdr>
    </w:div>
    <w:div w:id="1267301216">
      <w:bodyDiv w:val="1"/>
      <w:marLeft w:val="0"/>
      <w:marRight w:val="0"/>
      <w:marTop w:val="0"/>
      <w:marBottom w:val="0"/>
      <w:divBdr>
        <w:top w:val="none" w:sz="0" w:space="0" w:color="auto"/>
        <w:left w:val="none" w:sz="0" w:space="0" w:color="auto"/>
        <w:bottom w:val="none" w:sz="0" w:space="0" w:color="auto"/>
        <w:right w:val="none" w:sz="0" w:space="0" w:color="auto"/>
      </w:divBdr>
    </w:div>
    <w:div w:id="1513034369">
      <w:bodyDiv w:val="1"/>
      <w:marLeft w:val="0"/>
      <w:marRight w:val="0"/>
      <w:marTop w:val="0"/>
      <w:marBottom w:val="0"/>
      <w:divBdr>
        <w:top w:val="none" w:sz="0" w:space="0" w:color="auto"/>
        <w:left w:val="none" w:sz="0" w:space="0" w:color="auto"/>
        <w:bottom w:val="none" w:sz="0" w:space="0" w:color="auto"/>
        <w:right w:val="none" w:sz="0" w:space="0" w:color="auto"/>
      </w:divBdr>
    </w:div>
    <w:div w:id="1616910750">
      <w:bodyDiv w:val="1"/>
      <w:marLeft w:val="0"/>
      <w:marRight w:val="0"/>
      <w:marTop w:val="0"/>
      <w:marBottom w:val="0"/>
      <w:divBdr>
        <w:top w:val="none" w:sz="0" w:space="0" w:color="auto"/>
        <w:left w:val="none" w:sz="0" w:space="0" w:color="auto"/>
        <w:bottom w:val="none" w:sz="0" w:space="0" w:color="auto"/>
        <w:right w:val="none" w:sz="0" w:space="0" w:color="auto"/>
      </w:divBdr>
    </w:div>
    <w:div w:id="1735617507">
      <w:bodyDiv w:val="1"/>
      <w:marLeft w:val="0"/>
      <w:marRight w:val="0"/>
      <w:marTop w:val="0"/>
      <w:marBottom w:val="0"/>
      <w:divBdr>
        <w:top w:val="none" w:sz="0" w:space="0" w:color="auto"/>
        <w:left w:val="none" w:sz="0" w:space="0" w:color="auto"/>
        <w:bottom w:val="none" w:sz="0" w:space="0" w:color="auto"/>
        <w:right w:val="none" w:sz="0" w:space="0" w:color="auto"/>
      </w:divBdr>
    </w:div>
    <w:div w:id="1797867905">
      <w:bodyDiv w:val="1"/>
      <w:marLeft w:val="0"/>
      <w:marRight w:val="0"/>
      <w:marTop w:val="0"/>
      <w:marBottom w:val="0"/>
      <w:divBdr>
        <w:top w:val="none" w:sz="0" w:space="0" w:color="auto"/>
        <w:left w:val="none" w:sz="0" w:space="0" w:color="auto"/>
        <w:bottom w:val="none" w:sz="0" w:space="0" w:color="auto"/>
        <w:right w:val="none" w:sz="0" w:space="0" w:color="auto"/>
      </w:divBdr>
    </w:div>
    <w:div w:id="19187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618EE-D69F-4DCB-8A47-D9F73830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3240</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2023-03-21T20:03:00Z</dcterms:created>
  <dcterms:modified xsi:type="dcterms:W3CDTF">2023-03-21T20:13:00Z</dcterms:modified>
</cp:coreProperties>
</file>