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7429502C" w:rsidR="00BA2732" w:rsidRPr="0069363E" w:rsidRDefault="00584A34" w:rsidP="0069363E">
      <w:pPr>
        <w:pStyle w:val="Heading1"/>
      </w:pPr>
      <w:r w:rsidRPr="0069363E">
        <w:t>Health Technology Assessment Policy and Methods Review Reference Committee</w:t>
      </w:r>
    </w:p>
    <w:p w14:paraId="6E052E4A" w14:textId="5FC3AE6E" w:rsidR="008376E2" w:rsidRPr="0069363E" w:rsidRDefault="008376E2" w:rsidP="0069363E">
      <w:pPr>
        <w:rPr>
          <w:szCs w:val="20"/>
        </w:rPr>
        <w:sectPr w:rsidR="008376E2" w:rsidRPr="0069363E" w:rsidSect="0068134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38900896" w14:textId="073445E5" w:rsidR="0054768D" w:rsidRPr="0069363E" w:rsidRDefault="0098122D" w:rsidP="0069363E">
      <w:pPr>
        <w:pStyle w:val="Heading2"/>
      </w:pPr>
      <w:r w:rsidRPr="0069363E">
        <w:t>Communique</w:t>
      </w:r>
      <w:r w:rsidR="00584A34" w:rsidRPr="0069363E">
        <w:t xml:space="preserve"> – </w:t>
      </w:r>
      <w:r w:rsidR="00421760" w:rsidRPr="0069363E">
        <w:t>27 January 2023</w:t>
      </w:r>
      <w:r w:rsidR="00E17117" w:rsidRPr="0069363E">
        <w:t xml:space="preserve"> meeting</w:t>
      </w:r>
    </w:p>
    <w:p w14:paraId="3DF5A0B5" w14:textId="7B06B0CF" w:rsidR="00E17117" w:rsidRPr="00B62BBE" w:rsidRDefault="0005798C" w:rsidP="00B62BBE">
      <w:r w:rsidRPr="00B62BBE">
        <w:t>T</w:t>
      </w:r>
      <w:r w:rsidR="00E17117" w:rsidRPr="00B62BBE">
        <w:t xml:space="preserve">he Health Technology Assessment (HTA) Policy and Methods Review (Review) Reference Committee (Committee) </w:t>
      </w:r>
      <w:r w:rsidRPr="00B62BBE">
        <w:t>met by</w:t>
      </w:r>
      <w:r w:rsidR="00E17117" w:rsidRPr="00B62BBE">
        <w:t xml:space="preserve"> video conference on 27 January 2023.</w:t>
      </w:r>
    </w:p>
    <w:p w14:paraId="2984A3AD" w14:textId="77777777" w:rsidR="0069363E" w:rsidRPr="00B62BBE" w:rsidRDefault="00E17117" w:rsidP="00B62BBE">
      <w:r w:rsidRPr="00B62BBE">
        <w:t>All Committee members attended as well as support staff from the Review Secretariat in the Department of Health and Aged Care (Department)</w:t>
      </w:r>
      <w:r w:rsidR="001E017A" w:rsidRPr="00B62BBE">
        <w:t xml:space="preserve"> and the probity adviser.</w:t>
      </w:r>
      <w:r w:rsidRPr="00B62BBE">
        <w:t xml:space="preserve"> </w:t>
      </w:r>
      <w:r w:rsidR="001E017A" w:rsidRPr="00B62BBE">
        <w:t xml:space="preserve">Representatives from </w:t>
      </w:r>
      <w:r w:rsidRPr="00B62BBE">
        <w:t>Medicines Australia</w:t>
      </w:r>
      <w:r w:rsidR="00857CFD" w:rsidRPr="00B62BBE">
        <w:t xml:space="preserve"> joined for part of the meeting</w:t>
      </w:r>
      <w:r w:rsidRPr="00B62BBE">
        <w:t>.</w:t>
      </w:r>
    </w:p>
    <w:p w14:paraId="1E44FD43" w14:textId="78106F24" w:rsidR="00B849C5" w:rsidRPr="00B62BBE" w:rsidRDefault="00AC5F65" w:rsidP="00B62BBE">
      <w:pPr>
        <w:pStyle w:val="Heading3"/>
      </w:pPr>
      <w:r w:rsidRPr="00FC02C5">
        <w:t>What did the Committee discuss?</w:t>
      </w:r>
    </w:p>
    <w:p w14:paraId="64C17133" w14:textId="6087F764" w:rsidR="00B849C5" w:rsidRPr="006036DC" w:rsidRDefault="00B849C5" w:rsidP="0027711B">
      <w:pPr>
        <w:pStyle w:val="Heading4"/>
      </w:pPr>
      <w:r w:rsidRPr="00FC02C5">
        <w:t>Probity</w:t>
      </w:r>
    </w:p>
    <w:p w14:paraId="3AF93F82" w14:textId="69F76FA9" w:rsidR="00B849C5" w:rsidRPr="00B62BBE" w:rsidRDefault="00CC2DA7" w:rsidP="00B62BBE">
      <w:r w:rsidRPr="00B62BBE">
        <w:t xml:space="preserve">The Chair </w:t>
      </w:r>
      <w:r w:rsidR="002F43C2" w:rsidRPr="00B62BBE">
        <w:t>reminded the Committee members to raise any potential conflicts of interest that arise during the</w:t>
      </w:r>
      <w:r w:rsidR="00B711C0" w:rsidRPr="00B62BBE">
        <w:t xml:space="preserve"> HTA</w:t>
      </w:r>
      <w:r w:rsidR="002F43C2" w:rsidRPr="00B62BBE">
        <w:t xml:space="preserve"> Review with the Chair, </w:t>
      </w:r>
      <w:proofErr w:type="gramStart"/>
      <w:r w:rsidR="002F43C2" w:rsidRPr="00B62BBE">
        <w:t>Secretariat</w:t>
      </w:r>
      <w:proofErr w:type="gramEnd"/>
      <w:r w:rsidR="002F43C2" w:rsidRPr="00B62BBE">
        <w:t xml:space="preserve"> or </w:t>
      </w:r>
      <w:r w:rsidR="00472484" w:rsidRPr="00B62BBE">
        <w:t>p</w:t>
      </w:r>
      <w:r w:rsidR="002F43C2" w:rsidRPr="00B62BBE">
        <w:t>robity adviser.</w:t>
      </w:r>
    </w:p>
    <w:p w14:paraId="45DBB8D1" w14:textId="52172917" w:rsidR="00B13934" w:rsidRPr="00B62BBE" w:rsidRDefault="00B13934" w:rsidP="00B62BBE">
      <w:r w:rsidRPr="00B62BBE">
        <w:t xml:space="preserve">The probity adviser reminded the Committee of the confidentiality arrangements set out in the HTA Review probity plan. </w:t>
      </w:r>
    </w:p>
    <w:p w14:paraId="41482CA5" w14:textId="0CC37B76" w:rsidR="00F33462" w:rsidRPr="00B62BBE" w:rsidRDefault="00B13934" w:rsidP="00B62BBE">
      <w:r w:rsidRPr="00B62BBE">
        <w:t>The Committee</w:t>
      </w:r>
      <w:r w:rsidR="00B711C0" w:rsidRPr="00B62BBE">
        <w:t xml:space="preserve"> considered it </w:t>
      </w:r>
      <w:r w:rsidR="009C1958" w:rsidRPr="00B62BBE">
        <w:t xml:space="preserve">is </w:t>
      </w:r>
      <w:r w:rsidR="00B711C0" w:rsidRPr="00B62BBE">
        <w:t>important to balance confidentiality and transparency during the HTA Review.</w:t>
      </w:r>
      <w:r w:rsidR="00C5111A" w:rsidRPr="00B62BBE">
        <w:t xml:space="preserve"> </w:t>
      </w:r>
      <w:r w:rsidR="009011DA" w:rsidRPr="00B62BBE">
        <w:t>The Committee agreed in principle to the publication of documentation related to</w:t>
      </w:r>
      <w:r w:rsidR="00DC3668" w:rsidRPr="00B62BBE">
        <w:t xml:space="preserve"> the</w:t>
      </w:r>
      <w:r w:rsidR="009011DA" w:rsidRPr="00B62BBE">
        <w:t xml:space="preserve"> HTA Review unless it involved confidential material or working drafts of papers in preparation</w:t>
      </w:r>
      <w:r w:rsidR="00DC3668" w:rsidRPr="00B62BBE">
        <w:t xml:space="preserve"> to</w:t>
      </w:r>
      <w:r w:rsidR="009011DA" w:rsidRPr="00B62BBE">
        <w:t xml:space="preserve"> be considered by the Committee.</w:t>
      </w:r>
    </w:p>
    <w:p w14:paraId="35672D40" w14:textId="3AAFA12E" w:rsidR="00B711C0" w:rsidRPr="00B62BBE" w:rsidRDefault="00B711C0" w:rsidP="00B62BBE">
      <w:r w:rsidRPr="00B62BBE">
        <w:t xml:space="preserve">The Committee </w:t>
      </w:r>
      <w:r w:rsidR="005129F2" w:rsidRPr="00B62BBE">
        <w:t xml:space="preserve">considered it may be helpful </w:t>
      </w:r>
      <w:r w:rsidR="008E0ED6" w:rsidRPr="00B62BBE">
        <w:t xml:space="preserve">to publish the HTA Review probity </w:t>
      </w:r>
      <w:r w:rsidR="00CC4361" w:rsidRPr="00B62BBE">
        <w:t>principles</w:t>
      </w:r>
      <w:r w:rsidR="008E0ED6" w:rsidRPr="00B62BBE">
        <w:t xml:space="preserve"> </w:t>
      </w:r>
      <w:r w:rsidR="004E3646" w:rsidRPr="00B62BBE">
        <w:t>because they</w:t>
      </w:r>
      <w:r w:rsidR="008E0ED6" w:rsidRPr="00B62BBE">
        <w:t xml:space="preserve"> would provide </w:t>
      </w:r>
      <w:r w:rsidR="00A84971" w:rsidRPr="00B62BBE">
        <w:t xml:space="preserve">any interested </w:t>
      </w:r>
      <w:r w:rsidR="0077170B" w:rsidRPr="00B62BBE">
        <w:t xml:space="preserve">stakeholders </w:t>
      </w:r>
      <w:r w:rsidR="00A84971" w:rsidRPr="00B62BBE">
        <w:t>visibility of the principles and procedures the Committee has agreed</w:t>
      </w:r>
      <w:r w:rsidR="00AE3C78" w:rsidRPr="00B62BBE">
        <w:t>,</w:t>
      </w:r>
      <w:r w:rsidR="00A84971" w:rsidRPr="00B62BBE">
        <w:t xml:space="preserve"> to support the integrity and transparency of the </w:t>
      </w:r>
      <w:r w:rsidR="00B94957" w:rsidRPr="00B62BBE">
        <w:t xml:space="preserve">HTA </w:t>
      </w:r>
      <w:r w:rsidR="00A84971" w:rsidRPr="00B62BBE">
        <w:t>Review</w:t>
      </w:r>
      <w:r w:rsidR="0077170B" w:rsidRPr="00B62BBE">
        <w:t xml:space="preserve">. </w:t>
      </w:r>
    </w:p>
    <w:p w14:paraId="7C1A5448" w14:textId="5B2AA579" w:rsidR="0042332F" w:rsidRPr="006036DC" w:rsidRDefault="006A722A" w:rsidP="00314276">
      <w:pPr>
        <w:pStyle w:val="Heading4"/>
      </w:pPr>
      <w:r w:rsidRPr="00314276">
        <w:t>Discussion with Medicines Australia</w:t>
      </w:r>
    </w:p>
    <w:p w14:paraId="1A8CCB75" w14:textId="3C1816FB" w:rsidR="0042332F" w:rsidRPr="00B62BBE" w:rsidRDefault="00993B6F" w:rsidP="00B62BBE">
      <w:r w:rsidRPr="00B62BBE">
        <w:t>The Committee</w:t>
      </w:r>
      <w:r w:rsidR="00971338" w:rsidRPr="00B62BBE">
        <w:t xml:space="preserve"> invited representatives from Medicines Australia to join its meeting for a discussion a</w:t>
      </w:r>
      <w:r w:rsidR="00641563" w:rsidRPr="00B62BBE">
        <w:t>bout</w:t>
      </w:r>
      <w:r w:rsidR="00971338" w:rsidRPr="00B62BBE">
        <w:t xml:space="preserve"> the concerns Medicines Australia ha</w:t>
      </w:r>
      <w:r w:rsidR="006C20E4" w:rsidRPr="00B62BBE">
        <w:t>s</w:t>
      </w:r>
      <w:r w:rsidR="00971338" w:rsidRPr="00B62BBE">
        <w:t xml:space="preserve"> raised</w:t>
      </w:r>
      <w:r w:rsidR="00B02D05" w:rsidRPr="00B62BBE">
        <w:t xml:space="preserve"> publicly</w:t>
      </w:r>
      <w:r w:rsidR="00971338" w:rsidRPr="00B62BBE">
        <w:t xml:space="preserve"> </w:t>
      </w:r>
      <w:r w:rsidR="00275739" w:rsidRPr="00B62BBE">
        <w:t xml:space="preserve">about </w:t>
      </w:r>
      <w:r w:rsidR="00A84971" w:rsidRPr="00B62BBE">
        <w:t>consultation on the</w:t>
      </w:r>
      <w:r w:rsidR="00275739" w:rsidRPr="00B62BBE">
        <w:t xml:space="preserve"> </w:t>
      </w:r>
      <w:r w:rsidR="00A14EAB" w:rsidRPr="00B62BBE">
        <w:t xml:space="preserve">HTA </w:t>
      </w:r>
      <w:r w:rsidR="00275739" w:rsidRPr="00B62BBE">
        <w:t xml:space="preserve">Review draft terms of reference. </w:t>
      </w:r>
      <w:r w:rsidR="00084487" w:rsidRPr="00B62BBE">
        <w:t xml:space="preserve">The Chair </w:t>
      </w:r>
      <w:r w:rsidR="00C71B56" w:rsidRPr="00B62BBE">
        <w:t xml:space="preserve">thanked Medicines Australia for its input to the draft terms of reference and acknowledged </w:t>
      </w:r>
      <w:r w:rsidR="002E4F19" w:rsidRPr="00B62BBE">
        <w:t xml:space="preserve">the concerns </w:t>
      </w:r>
      <w:r w:rsidR="00A84971" w:rsidRPr="00B62BBE">
        <w:t>Medicines Australia had raised.</w:t>
      </w:r>
      <w:r w:rsidR="00CE7088" w:rsidRPr="00B62BBE">
        <w:t xml:space="preserve"> Medicines Australia expressed that there should be broader transparency and greater communication moving forward. The Committee agreed </w:t>
      </w:r>
      <w:r w:rsidR="00A84971" w:rsidRPr="00B62BBE">
        <w:t>that it would</w:t>
      </w:r>
      <w:r w:rsidR="00CE7088" w:rsidRPr="00B62BBE">
        <w:t xml:space="preserve"> </w:t>
      </w:r>
      <w:r w:rsidR="006C20E4" w:rsidRPr="00B62BBE">
        <w:t>publish</w:t>
      </w:r>
      <w:r w:rsidR="00A84971" w:rsidRPr="00B62BBE">
        <w:t xml:space="preserve"> any </w:t>
      </w:r>
      <w:r w:rsidR="006C20E4" w:rsidRPr="00B62BBE">
        <w:t>documentation related to the HTA Review where</w:t>
      </w:r>
      <w:r w:rsidR="00CE7088" w:rsidRPr="00B62BBE">
        <w:t xml:space="preserve"> possible.</w:t>
      </w:r>
      <w:r w:rsidR="00A42816" w:rsidRPr="00B62BBE">
        <w:t xml:space="preserve"> Medicines Australia requested that the discussion paper for the </w:t>
      </w:r>
      <w:r w:rsidR="00A14EAB" w:rsidRPr="00B62BBE">
        <w:t>terms of reference</w:t>
      </w:r>
      <w:r w:rsidR="00A42816" w:rsidRPr="00B62BBE">
        <w:t xml:space="preserve"> be published.</w:t>
      </w:r>
      <w:r w:rsidR="00B95327" w:rsidRPr="00B62BBE">
        <w:t xml:space="preserve"> </w:t>
      </w:r>
      <w:r w:rsidR="00114FBF" w:rsidRPr="00B62BBE">
        <w:t xml:space="preserve">Medicines Australia also enquired about </w:t>
      </w:r>
      <w:r w:rsidR="00B95327" w:rsidRPr="00B62BBE">
        <w:t xml:space="preserve">the </w:t>
      </w:r>
      <w:r w:rsidR="00627377" w:rsidRPr="00B62BBE">
        <w:t>criteria used to select the HTA expert</w:t>
      </w:r>
      <w:r w:rsidR="00114FBF" w:rsidRPr="00B62BBE">
        <w:t xml:space="preserve">. The </w:t>
      </w:r>
      <w:r w:rsidR="00B95327" w:rsidRPr="00B62BBE">
        <w:t>D</w:t>
      </w:r>
      <w:r w:rsidR="00114FBF" w:rsidRPr="00B62BBE">
        <w:t xml:space="preserve">epartment </w:t>
      </w:r>
      <w:r w:rsidR="00627377" w:rsidRPr="00B62BBE">
        <w:t>advised</w:t>
      </w:r>
      <w:r w:rsidR="00B95327" w:rsidRPr="00B62BBE">
        <w:t xml:space="preserve"> </w:t>
      </w:r>
      <w:r w:rsidR="00114FBF" w:rsidRPr="00B62BBE">
        <w:t>that</w:t>
      </w:r>
      <w:r w:rsidR="00B95327" w:rsidRPr="00B62BBE">
        <w:t xml:space="preserve"> </w:t>
      </w:r>
      <w:r w:rsidR="005D5ED5" w:rsidRPr="00B62BBE">
        <w:t xml:space="preserve">the request for tender for the HTA expert (including the criteria) was publicly available, as </w:t>
      </w:r>
      <w:r w:rsidR="00B95327" w:rsidRPr="00B62BBE">
        <w:t>it</w:t>
      </w:r>
      <w:r w:rsidR="005D5ED5" w:rsidRPr="00B62BBE">
        <w:t xml:space="preserve"> was</w:t>
      </w:r>
      <w:r w:rsidR="00B95327" w:rsidRPr="00B62BBE">
        <w:t xml:space="preserve"> </w:t>
      </w:r>
      <w:r w:rsidR="00627377" w:rsidRPr="00B62BBE">
        <w:t xml:space="preserve">published on </w:t>
      </w:r>
      <w:proofErr w:type="spellStart"/>
      <w:r w:rsidR="00627377" w:rsidRPr="00B62BBE">
        <w:t>AusTender</w:t>
      </w:r>
      <w:proofErr w:type="spellEnd"/>
      <w:r w:rsidR="00627377" w:rsidRPr="00B62BBE">
        <w:t xml:space="preserve"> at the beginning of 2022</w:t>
      </w:r>
      <w:r w:rsidR="00114FBF" w:rsidRPr="00B62BBE">
        <w:t xml:space="preserve">. </w:t>
      </w:r>
      <w:r w:rsidR="00B57BDF" w:rsidRPr="00B62BBE">
        <w:t>The Committee advised that it h</w:t>
      </w:r>
      <w:r w:rsidR="00F77D93" w:rsidRPr="00B62BBE">
        <w:t>ad expressed its view on the</w:t>
      </w:r>
      <w:r w:rsidR="00B57BDF" w:rsidRPr="00B62BBE">
        <w:t xml:space="preserve"> expert in HTA based on </w:t>
      </w:r>
      <w:r w:rsidR="00F77D93" w:rsidRPr="00B62BBE">
        <w:t>the tender evaluation process</w:t>
      </w:r>
      <w:r w:rsidR="00B57BDF" w:rsidRPr="00B62BBE">
        <w:t xml:space="preserve"> at its previous meeting.</w:t>
      </w:r>
      <w:r w:rsidR="00C87527" w:rsidRPr="00B62BBE">
        <w:t xml:space="preserve"> The Committee agreed</w:t>
      </w:r>
      <w:r w:rsidR="008C4BBA" w:rsidRPr="00B62BBE">
        <w:t xml:space="preserve"> to a request from Medicines Australia to </w:t>
      </w:r>
      <w:r w:rsidR="005D5ED5" w:rsidRPr="00B62BBE">
        <w:t>re</w:t>
      </w:r>
      <w:r w:rsidR="005D5ED5" w:rsidRPr="00B62BBE">
        <w:noBreakHyphen/>
      </w:r>
      <w:r w:rsidR="008C4BBA" w:rsidRPr="00B62BBE">
        <w:t>publish</w:t>
      </w:r>
      <w:r w:rsidR="00C87527" w:rsidRPr="00B62BBE">
        <w:t xml:space="preserve"> the criteria used to evaluate the tenderers</w:t>
      </w:r>
      <w:r w:rsidR="00641563" w:rsidRPr="00B62BBE">
        <w:t xml:space="preserve"> that was included in the request for tender </w:t>
      </w:r>
      <w:r w:rsidR="00A42816" w:rsidRPr="00B62BBE">
        <w:t>and a summary for ease of understanding (see Appendix 1)</w:t>
      </w:r>
      <w:r w:rsidR="00627377" w:rsidRPr="00B62BBE">
        <w:t>. T</w:t>
      </w:r>
      <w:r w:rsidR="00C87527" w:rsidRPr="00B62BBE">
        <w:t>he Committee advised that the</w:t>
      </w:r>
      <w:r w:rsidR="00DF6796" w:rsidRPr="00B62BBE">
        <w:t xml:space="preserve"> outcome of the tender cannot be disclosed </w:t>
      </w:r>
      <w:r w:rsidR="00CC2DA7" w:rsidRPr="00B62BBE">
        <w:t xml:space="preserve">until processes to </w:t>
      </w:r>
      <w:r w:rsidR="00CC2DA7" w:rsidRPr="00B62BBE">
        <w:lastRenderedPageBreak/>
        <w:t>engage the expert in HTA ha</w:t>
      </w:r>
      <w:r w:rsidR="00641563" w:rsidRPr="00B62BBE">
        <w:t>ve</w:t>
      </w:r>
      <w:r w:rsidR="00CC2DA7" w:rsidRPr="00B62BBE">
        <w:t xml:space="preserve"> been completed</w:t>
      </w:r>
      <w:r w:rsidR="00B57BDF" w:rsidRPr="00B62BBE">
        <w:t>.</w:t>
      </w:r>
      <w:r w:rsidR="00114FBF" w:rsidRPr="00B62BBE">
        <w:t xml:space="preserve"> </w:t>
      </w:r>
      <w:r w:rsidRPr="00B62BBE">
        <w:t>The</w:t>
      </w:r>
      <w:r w:rsidR="00687BDA" w:rsidRPr="00B62BBE">
        <w:t xml:space="preserve"> Chair</w:t>
      </w:r>
      <w:r w:rsidR="00BD2224" w:rsidRPr="00B62BBE">
        <w:t xml:space="preserve"> and Medicines Australia agreed </w:t>
      </w:r>
      <w:r w:rsidR="006C20E4" w:rsidRPr="00B62BBE">
        <w:t>that the discussion was useful and that it was important for both parties to maintain communication throughout the Review.</w:t>
      </w:r>
      <w:r w:rsidR="00BD2224" w:rsidRPr="00B62BBE">
        <w:t xml:space="preserve"> </w:t>
      </w:r>
      <w:r w:rsidRPr="00B62BBE">
        <w:t>Medicines Australia</w:t>
      </w:r>
      <w:r w:rsidR="00641563" w:rsidRPr="00B62BBE">
        <w:t xml:space="preserve"> accepted an invite from the Chair</w:t>
      </w:r>
      <w:r w:rsidRPr="00B62BBE">
        <w:t xml:space="preserve"> to have regular discussions</w:t>
      </w:r>
      <w:r w:rsidR="00687BDA" w:rsidRPr="00B62BBE">
        <w:t xml:space="preserve"> with the Committee</w:t>
      </w:r>
      <w:r w:rsidRPr="00B62BBE">
        <w:t xml:space="preserve"> throughout </w:t>
      </w:r>
      <w:r w:rsidR="00687BDA" w:rsidRPr="00B62BBE">
        <w:t>the</w:t>
      </w:r>
      <w:r w:rsidRPr="00B62BBE">
        <w:t xml:space="preserve"> Review</w:t>
      </w:r>
      <w:r w:rsidR="00687BDA" w:rsidRPr="00B62BBE">
        <w:t xml:space="preserve"> process</w:t>
      </w:r>
      <w:r w:rsidRPr="00B62BBE">
        <w:t>.</w:t>
      </w:r>
    </w:p>
    <w:p w14:paraId="6AB5D248" w14:textId="34E01EA8" w:rsidR="00993B6F" w:rsidRPr="0069363E" w:rsidRDefault="0042332F" w:rsidP="00314276">
      <w:pPr>
        <w:pStyle w:val="Heading4"/>
      </w:pPr>
      <w:r w:rsidRPr="00314276">
        <w:t>S</w:t>
      </w:r>
      <w:r w:rsidR="006A722A" w:rsidRPr="00314276">
        <w:t xml:space="preserve">takeholder feedback on the draft </w:t>
      </w:r>
      <w:r w:rsidR="00E67ACA" w:rsidRPr="00314276">
        <w:t>t</w:t>
      </w:r>
      <w:r w:rsidR="006A722A" w:rsidRPr="00314276">
        <w:t xml:space="preserve">erms of </w:t>
      </w:r>
      <w:r w:rsidR="00E67ACA" w:rsidRPr="00314276">
        <w:t>r</w:t>
      </w:r>
      <w:r w:rsidR="006A722A" w:rsidRPr="00314276">
        <w:t>eference</w:t>
      </w:r>
    </w:p>
    <w:p w14:paraId="472A5846" w14:textId="0B2B7FAB" w:rsidR="00641563" w:rsidRPr="00B62BBE" w:rsidRDefault="00641563" w:rsidP="00B62BBE">
      <w:r w:rsidRPr="00B62BBE">
        <w:t xml:space="preserve">The Committee received feedback from 32 organisations/individuals on the draft </w:t>
      </w:r>
      <w:r w:rsidR="00A058F0" w:rsidRPr="00B62BBE">
        <w:t>terms of reference</w:t>
      </w:r>
      <w:r w:rsidRPr="00B62BBE">
        <w:t xml:space="preserve">. </w:t>
      </w:r>
      <w:r w:rsidR="00556AFB" w:rsidRPr="00B62BBE">
        <w:t xml:space="preserve">The Committee considered </w:t>
      </w:r>
      <w:r w:rsidR="00805FC8" w:rsidRPr="00B62BBE">
        <w:t>all input</w:t>
      </w:r>
      <w:r w:rsidRPr="00B62BBE">
        <w:t xml:space="preserve"> it</w:t>
      </w:r>
      <w:r w:rsidR="00805FC8" w:rsidRPr="00B62BBE">
        <w:t xml:space="preserve"> received</w:t>
      </w:r>
      <w:r w:rsidR="00E60718" w:rsidRPr="00B62BBE">
        <w:t xml:space="preserve">. </w:t>
      </w:r>
      <w:r w:rsidR="004D2DF0" w:rsidRPr="00B62BBE">
        <w:t xml:space="preserve">The Committee welcomed the </w:t>
      </w:r>
      <w:r w:rsidR="0016562B" w:rsidRPr="00B62BBE">
        <w:t xml:space="preserve">input received from additional </w:t>
      </w:r>
      <w:r w:rsidR="001F7D4A" w:rsidRPr="00B62BBE">
        <w:t>individuals and organisations</w:t>
      </w:r>
      <w:r w:rsidRPr="00B62BBE">
        <w:t xml:space="preserve"> </w:t>
      </w:r>
      <w:r w:rsidR="00C560DF" w:rsidRPr="00B62BBE">
        <w:t>who</w:t>
      </w:r>
      <w:r w:rsidRPr="00B62BBE">
        <w:t xml:space="preserve"> had requested the opportunity to provide input</w:t>
      </w:r>
      <w:r w:rsidR="0016562B" w:rsidRPr="00B62BBE">
        <w:t xml:space="preserve">. </w:t>
      </w:r>
      <w:r w:rsidR="008C4BBA" w:rsidRPr="00B62BBE">
        <w:t>Based on the input it received, t</w:t>
      </w:r>
      <w:r w:rsidR="00E60718" w:rsidRPr="00B62BBE">
        <w:t xml:space="preserve">he Committee discussed making </w:t>
      </w:r>
      <w:proofErr w:type="gramStart"/>
      <w:r w:rsidR="00E60718" w:rsidRPr="00B62BBE">
        <w:t>a number of</w:t>
      </w:r>
      <w:proofErr w:type="gramEnd"/>
      <w:r w:rsidR="00E60718" w:rsidRPr="00B62BBE">
        <w:t xml:space="preserve"> changes to the</w:t>
      </w:r>
      <w:r w:rsidR="004D2DF0" w:rsidRPr="00B62BBE">
        <w:t xml:space="preserve"> draft </w:t>
      </w:r>
      <w:r w:rsidR="002F38EF" w:rsidRPr="00B62BBE">
        <w:t>terms of reference</w:t>
      </w:r>
      <w:r w:rsidR="0016562B" w:rsidRPr="00B62BBE">
        <w:t xml:space="preserve"> </w:t>
      </w:r>
      <w:r w:rsidRPr="00B62BBE">
        <w:t xml:space="preserve">which </w:t>
      </w:r>
      <w:r w:rsidR="0016562B" w:rsidRPr="00B62BBE">
        <w:t>includ</w:t>
      </w:r>
      <w:r w:rsidRPr="00B62BBE">
        <w:t>e:</w:t>
      </w:r>
      <w:r w:rsidR="0016562B" w:rsidRPr="00B62BBE">
        <w:t xml:space="preserve"> </w:t>
      </w:r>
    </w:p>
    <w:p w14:paraId="7AB99FBA" w14:textId="71B00007" w:rsidR="00164BCF" w:rsidRPr="00B62BBE" w:rsidRDefault="00BE67F3" w:rsidP="00B62BBE">
      <w:pPr>
        <w:pStyle w:val="ListBullet"/>
      </w:pPr>
      <w:r w:rsidRPr="00B62BBE">
        <w:t xml:space="preserve">adding further information upfront </w:t>
      </w:r>
      <w:r w:rsidR="00FF700D" w:rsidRPr="00B62BBE">
        <w:t>to make it clear that</w:t>
      </w:r>
      <w:r w:rsidR="00164BCF" w:rsidRPr="00B62BBE">
        <w:t xml:space="preserve"> the</w:t>
      </w:r>
      <w:r w:rsidR="0022548F" w:rsidRPr="00B62BBE">
        <w:t xml:space="preserve"> HTA</w:t>
      </w:r>
      <w:r w:rsidR="00164BCF" w:rsidRPr="00B62BBE">
        <w:t xml:space="preserve"> Review is a commitment </w:t>
      </w:r>
      <w:r w:rsidR="00C560DF" w:rsidRPr="00B62BBE">
        <w:t xml:space="preserve">in the 2022-27 </w:t>
      </w:r>
      <w:hyperlink r:id="rId14" w:history="1">
        <w:r w:rsidR="00C560DF" w:rsidRPr="00B62BBE">
          <w:rPr>
            <w:rStyle w:val="Hyperlink"/>
          </w:rPr>
          <w:t>Strategic Agreement between the Commonwealth and Medicines Australia</w:t>
        </w:r>
      </w:hyperlink>
      <w:r w:rsidR="00A058F0" w:rsidRPr="00B62BBE">
        <w:t xml:space="preserve"> (Strategic Agreement) </w:t>
      </w:r>
    </w:p>
    <w:p w14:paraId="1CFB738A" w14:textId="40281BC7" w:rsidR="00164BCF" w:rsidRPr="00B62BBE" w:rsidRDefault="00BE67F3" w:rsidP="00B62BBE">
      <w:pPr>
        <w:pStyle w:val="ListBullet"/>
      </w:pPr>
      <w:r w:rsidRPr="00B62BBE">
        <w:t>clarify</w:t>
      </w:r>
      <w:r w:rsidR="00164BCF" w:rsidRPr="00B62BBE">
        <w:t>ing</w:t>
      </w:r>
      <w:r w:rsidRPr="00B62BBE">
        <w:t xml:space="preserve"> how consumer engagement</w:t>
      </w:r>
      <w:r w:rsidR="00164BCF" w:rsidRPr="00B62BBE">
        <w:t xml:space="preserve"> and other concurrent HTA reforms</w:t>
      </w:r>
      <w:r w:rsidRPr="00B62BBE">
        <w:t xml:space="preserve"> will be </w:t>
      </w:r>
      <w:proofErr w:type="gramStart"/>
      <w:r w:rsidR="006E783C" w:rsidRPr="00B62BBE">
        <w:t>taken into account</w:t>
      </w:r>
      <w:proofErr w:type="gramEnd"/>
    </w:p>
    <w:p w14:paraId="6C3F6FC4" w14:textId="273BE767" w:rsidR="00641563" w:rsidRPr="00B62BBE" w:rsidRDefault="00FF700D" w:rsidP="00B62BBE">
      <w:pPr>
        <w:pStyle w:val="ListBullet"/>
      </w:pPr>
      <w:r w:rsidRPr="00B62BBE">
        <w:t>a</w:t>
      </w:r>
      <w:r w:rsidR="00164BCF" w:rsidRPr="00B62BBE">
        <w:t>ligning</w:t>
      </w:r>
      <w:r w:rsidR="00911397" w:rsidRPr="00B62BBE">
        <w:t xml:space="preserve"> language to the</w:t>
      </w:r>
      <w:r w:rsidR="00164BCF" w:rsidRPr="00B62BBE">
        <w:t xml:space="preserve"> aims and vision of the National Medicines Policy and the goals set out in the Strategic Agreement</w:t>
      </w:r>
      <w:r w:rsidR="00C42155" w:rsidRPr="00B62BBE">
        <w:t>, including</w:t>
      </w:r>
      <w:r w:rsidR="00F06C11" w:rsidRPr="00B62BBE">
        <w:t xml:space="preserve"> reducing</w:t>
      </w:r>
      <w:r w:rsidR="00C42155" w:rsidRPr="00B62BBE">
        <w:t xml:space="preserve"> time to access</w:t>
      </w:r>
    </w:p>
    <w:p w14:paraId="44EFC157" w14:textId="1ECD7D1E" w:rsidR="007A2FE6" w:rsidRPr="00B62BBE" w:rsidRDefault="00C560DF" w:rsidP="00B62BBE">
      <w:pPr>
        <w:pStyle w:val="ListBullet"/>
      </w:pPr>
      <w:r w:rsidRPr="00B62BBE">
        <w:t>b</w:t>
      </w:r>
      <w:r w:rsidR="007A2FE6" w:rsidRPr="00B62BBE">
        <w:t xml:space="preserve">etter defining how equity </w:t>
      </w:r>
      <w:r w:rsidRPr="00B62BBE">
        <w:t>in HTA will be considered</w:t>
      </w:r>
      <w:r w:rsidR="00F00E54" w:rsidRPr="00B62BBE">
        <w:t xml:space="preserve"> </w:t>
      </w:r>
      <w:r w:rsidR="005D5ED5" w:rsidRPr="00B62BBE">
        <w:t>as part of</w:t>
      </w:r>
      <w:r w:rsidR="00F00E54" w:rsidRPr="00B62BBE">
        <w:t xml:space="preserve"> the HTA Review</w:t>
      </w:r>
      <w:r w:rsidRPr="00B62BBE">
        <w:t xml:space="preserve"> </w:t>
      </w:r>
      <w:r w:rsidR="00F00E54" w:rsidRPr="00B62BBE">
        <w:t>and</w:t>
      </w:r>
    </w:p>
    <w:p w14:paraId="33552AB5" w14:textId="2C36D0E5" w:rsidR="007A2FE6" w:rsidRPr="00B62BBE" w:rsidRDefault="00C560DF" w:rsidP="00B62BBE">
      <w:pPr>
        <w:pStyle w:val="ListBullet"/>
      </w:pPr>
      <w:r w:rsidRPr="00B62BBE">
        <w:t>s</w:t>
      </w:r>
      <w:r w:rsidR="007A2FE6" w:rsidRPr="00B62BBE">
        <w:t xml:space="preserve">ummarising the new National Medicines Policy and the Standing Committee on Health, Aged Care and Sport Committee inquiry into approval processes for new drugs and novel medical technologies in Australia in greater detail and linking the HTA </w:t>
      </w:r>
      <w:r w:rsidR="00A058F0" w:rsidRPr="00B62BBE">
        <w:t>R</w:t>
      </w:r>
      <w:r w:rsidR="007A2FE6" w:rsidRPr="00B62BBE">
        <w:t xml:space="preserve">eview to the moving parts of those processes and the Strategic Agreement more explicitly. </w:t>
      </w:r>
    </w:p>
    <w:p w14:paraId="61652C78" w14:textId="28CA9C7E" w:rsidR="00C560DF" w:rsidRPr="00B62BBE" w:rsidRDefault="004D2DF0" w:rsidP="00B62BBE">
      <w:r w:rsidRPr="00B62BBE">
        <w:t xml:space="preserve">The Committee </w:t>
      </w:r>
      <w:r w:rsidR="006E783C" w:rsidRPr="00B62BBE">
        <w:t>considered that</w:t>
      </w:r>
      <w:r w:rsidR="00E60718" w:rsidRPr="00B62BBE">
        <w:t xml:space="preserve"> the</w:t>
      </w:r>
      <w:r w:rsidR="006E783C" w:rsidRPr="00B62BBE">
        <w:t xml:space="preserve"> </w:t>
      </w:r>
      <w:r w:rsidR="00C560DF" w:rsidRPr="00B62BBE">
        <w:t xml:space="preserve">Strategic Agreement </w:t>
      </w:r>
      <w:r w:rsidR="006E783C" w:rsidRPr="00B62BBE">
        <w:t xml:space="preserve">should be included as an attachment to the </w:t>
      </w:r>
      <w:r w:rsidR="005D5ED5" w:rsidRPr="00B62BBE">
        <w:t>t</w:t>
      </w:r>
      <w:r w:rsidR="006E783C" w:rsidRPr="00B62BBE">
        <w:t xml:space="preserve">erms of </w:t>
      </w:r>
      <w:r w:rsidR="005D5ED5" w:rsidRPr="00B62BBE">
        <w:t>r</w:t>
      </w:r>
      <w:r w:rsidR="006E783C" w:rsidRPr="00B62BBE">
        <w:t>eference as it sets out</w:t>
      </w:r>
      <w:r w:rsidR="00F00E54" w:rsidRPr="00B62BBE">
        <w:t xml:space="preserve"> key areas to be addressed by </w:t>
      </w:r>
      <w:r w:rsidR="006E783C" w:rsidRPr="00B62BBE">
        <w:t xml:space="preserve">the Review. </w:t>
      </w:r>
    </w:p>
    <w:p w14:paraId="71F46FE4" w14:textId="093132F8" w:rsidR="00F00E54" w:rsidRPr="00B62BBE" w:rsidRDefault="00F00E54" w:rsidP="00B62BBE">
      <w:r w:rsidRPr="00B62BBE">
        <w:t xml:space="preserve">The Committee noted that a significant number of issues that stakeholders considered should be addressed by the Review were within the scope </w:t>
      </w:r>
      <w:r w:rsidR="008C4BBA" w:rsidRPr="00B62BBE">
        <w:t>set out in the draft</w:t>
      </w:r>
      <w:r w:rsidRPr="00B62BBE">
        <w:t xml:space="preserve"> </w:t>
      </w:r>
      <w:r w:rsidR="0022548F" w:rsidRPr="00B62BBE">
        <w:t>terms of reference</w:t>
      </w:r>
      <w:r w:rsidRPr="00B62BBE">
        <w:t xml:space="preserve"> without being specifically listed. The Committee agreed that it would develop a work plan that would set out in greater detail the issues to be covered by the HTA Review, including those that had been raised by stakeholders, that fall within the scope of the </w:t>
      </w:r>
      <w:r w:rsidR="00D427D4" w:rsidRPr="00B62BBE">
        <w:t>terms of reference</w:t>
      </w:r>
      <w:r w:rsidRPr="00B62BBE">
        <w:t xml:space="preserve">. </w:t>
      </w:r>
    </w:p>
    <w:p w14:paraId="230FF886" w14:textId="47491D0D" w:rsidR="0035085A" w:rsidRPr="00B62BBE" w:rsidRDefault="00E516FE" w:rsidP="00B62BBE">
      <w:r w:rsidRPr="00B62BBE">
        <w:t xml:space="preserve">The Committee considered that health technologies such as medical devices, digital </w:t>
      </w:r>
      <w:r w:rsidR="0022548F" w:rsidRPr="00B62BBE">
        <w:t>technologies,</w:t>
      </w:r>
      <w:r w:rsidRPr="00B62BBE">
        <w:t xml:space="preserve"> or </w:t>
      </w:r>
      <w:r w:rsidR="0022548F" w:rsidRPr="00B62BBE">
        <w:t xml:space="preserve">medical services (other than those that are used to improve a medicine, vaccine, cell therapy or gene therapy) should not be within the scope as the </w:t>
      </w:r>
      <w:r w:rsidR="00383122" w:rsidRPr="00B62BBE">
        <w:t>HTA Review is a specific commitment between the Government and</w:t>
      </w:r>
      <w:r w:rsidR="00F21FD8" w:rsidRPr="00B62BBE">
        <w:t xml:space="preserve"> the</w:t>
      </w:r>
      <w:r w:rsidR="00383122" w:rsidRPr="00B62BBE">
        <w:t xml:space="preserve"> medicines industry. </w:t>
      </w:r>
    </w:p>
    <w:p w14:paraId="261452DE" w14:textId="51B685CE" w:rsidR="00C560DF" w:rsidRPr="00B62BBE" w:rsidRDefault="0035085A" w:rsidP="00B62BBE">
      <w:r w:rsidRPr="00B62BBE">
        <w:t xml:space="preserve">The Committee noted that there are </w:t>
      </w:r>
      <w:proofErr w:type="gramStart"/>
      <w:r w:rsidRPr="00B62BBE">
        <w:t>a number of</w:t>
      </w:r>
      <w:proofErr w:type="gramEnd"/>
      <w:r w:rsidRPr="00B62BBE">
        <w:t xml:space="preserve"> existing </w:t>
      </w:r>
      <w:r w:rsidR="002100FC" w:rsidRPr="00B62BBE">
        <w:t xml:space="preserve">arrangements </w:t>
      </w:r>
      <w:r w:rsidRPr="00B62BBE">
        <w:t xml:space="preserve">for state and territory governments to </w:t>
      </w:r>
      <w:r w:rsidR="00A516C2" w:rsidRPr="00B62BBE">
        <w:t>work</w:t>
      </w:r>
      <w:r w:rsidRPr="00B62BBE">
        <w:t xml:space="preserve"> with the federal government</w:t>
      </w:r>
      <w:r w:rsidR="00C1431F" w:rsidRPr="00B62BBE">
        <w:t xml:space="preserve">. The Committee </w:t>
      </w:r>
      <w:r w:rsidR="00A516C2" w:rsidRPr="00B62BBE">
        <w:t>therefore considered that state and territory arrangements should not be included specifically in the scope.</w:t>
      </w:r>
    </w:p>
    <w:p w14:paraId="04922090" w14:textId="2D9A6617" w:rsidR="00687BDA" w:rsidRPr="00B62BBE" w:rsidRDefault="006E783C" w:rsidP="00B62BBE">
      <w:r w:rsidRPr="00B62BBE">
        <w:t xml:space="preserve">The Committee agreed to work towards finalising the </w:t>
      </w:r>
      <w:r w:rsidR="005129F2" w:rsidRPr="00B62BBE">
        <w:t xml:space="preserve">terms </w:t>
      </w:r>
      <w:r w:rsidR="00D427D4" w:rsidRPr="00B62BBE">
        <w:t xml:space="preserve">of </w:t>
      </w:r>
      <w:r w:rsidR="005129F2" w:rsidRPr="00B62BBE">
        <w:t xml:space="preserve">reference </w:t>
      </w:r>
      <w:r w:rsidR="00641563" w:rsidRPr="00B62BBE">
        <w:t>prior to</w:t>
      </w:r>
      <w:r w:rsidR="00FC02C5" w:rsidRPr="00B62BBE">
        <w:t xml:space="preserve"> its next meeting.</w:t>
      </w:r>
      <w:r w:rsidR="00C560DF" w:rsidRPr="00B62BBE">
        <w:t xml:space="preserve"> The Committee noted advice from the Department that once it </w:t>
      </w:r>
      <w:r w:rsidR="008C4BBA" w:rsidRPr="00B62BBE">
        <w:t xml:space="preserve">had </w:t>
      </w:r>
      <w:r w:rsidR="00C560DF" w:rsidRPr="00B62BBE">
        <w:t xml:space="preserve">agreed the final </w:t>
      </w:r>
      <w:r w:rsidR="005129F2" w:rsidRPr="00B62BBE">
        <w:t xml:space="preserve">terms </w:t>
      </w:r>
      <w:r w:rsidR="00C560DF" w:rsidRPr="00B62BBE">
        <w:t xml:space="preserve">of </w:t>
      </w:r>
      <w:r w:rsidR="005129F2" w:rsidRPr="00B62BBE">
        <w:t>reference</w:t>
      </w:r>
      <w:r w:rsidR="00C560DF" w:rsidRPr="00B62BBE">
        <w:t>, it would be put to Government for approval before being publishe</w:t>
      </w:r>
      <w:r w:rsidR="00F00E54" w:rsidRPr="00B62BBE">
        <w:t xml:space="preserve">d. </w:t>
      </w:r>
      <w:r w:rsidR="00C560DF" w:rsidRPr="00B62BBE">
        <w:t xml:space="preserve"> </w:t>
      </w:r>
    </w:p>
    <w:p w14:paraId="66C3F422" w14:textId="276299EB" w:rsidR="006A722A" w:rsidRPr="006036DC" w:rsidRDefault="00687BDA" w:rsidP="00314276">
      <w:pPr>
        <w:pStyle w:val="Heading4"/>
      </w:pPr>
      <w:r w:rsidRPr="00314276">
        <w:t>Work to be undertaken by the</w:t>
      </w:r>
      <w:r w:rsidR="0042332F" w:rsidRPr="00314276">
        <w:t xml:space="preserve"> HTA</w:t>
      </w:r>
      <w:r w:rsidR="003B07AF" w:rsidRPr="00314276">
        <w:t xml:space="preserve"> expert</w:t>
      </w:r>
    </w:p>
    <w:p w14:paraId="413560B6" w14:textId="6EF5FAB8" w:rsidR="00762F00" w:rsidRPr="00B62BBE" w:rsidRDefault="00464236" w:rsidP="00B62BBE">
      <w:r w:rsidRPr="00B62BBE">
        <w:t xml:space="preserve">The Committee considered the scope of the work of the HTA expert given the draft terms of reference </w:t>
      </w:r>
      <w:proofErr w:type="gramStart"/>
      <w:r w:rsidRPr="00B62BBE">
        <w:t>so as to</w:t>
      </w:r>
      <w:proofErr w:type="gramEnd"/>
      <w:r w:rsidRPr="00B62BBE">
        <w:t xml:space="preserve"> enable the Department to commence processes to engage the expert in HTA. </w:t>
      </w:r>
      <w:r w:rsidR="002820E8" w:rsidRPr="00B62BBE">
        <w:t xml:space="preserve">The Committee agreed that </w:t>
      </w:r>
      <w:r w:rsidR="00911397" w:rsidRPr="00B62BBE">
        <w:t>equity, cultural safety,</w:t>
      </w:r>
      <w:r w:rsidR="002820E8" w:rsidRPr="00B62BBE">
        <w:t xml:space="preserve"> </w:t>
      </w:r>
      <w:r w:rsidR="00911397" w:rsidRPr="00B62BBE">
        <w:t xml:space="preserve">and </w:t>
      </w:r>
      <w:r w:rsidR="002820E8" w:rsidRPr="00B62BBE">
        <w:t>consumer evidence and engagement</w:t>
      </w:r>
      <w:r w:rsidR="00911397" w:rsidRPr="00B62BBE">
        <w:t xml:space="preserve"> </w:t>
      </w:r>
      <w:r w:rsidRPr="00B62BBE">
        <w:t>should be considered in the scope of work</w:t>
      </w:r>
      <w:r w:rsidR="002820E8" w:rsidRPr="00B62BBE">
        <w:t>.</w:t>
      </w:r>
      <w:r w:rsidR="00761CCC" w:rsidRPr="00B62BBE">
        <w:t xml:space="preserve"> </w:t>
      </w:r>
    </w:p>
    <w:p w14:paraId="02E35450" w14:textId="00230848" w:rsidR="00761CCC" w:rsidRPr="00B62BBE" w:rsidRDefault="00761CCC" w:rsidP="00B62BBE">
      <w:r w:rsidRPr="00B62BBE">
        <w:lastRenderedPageBreak/>
        <w:t>The Department advised that the scope</w:t>
      </w:r>
      <w:r w:rsidR="00464236" w:rsidRPr="00B62BBE">
        <w:t xml:space="preserve"> of work</w:t>
      </w:r>
      <w:r w:rsidRPr="00B62BBE">
        <w:t xml:space="preserve"> may vary depending on discussions with the HTA expert and progress of the Review. </w:t>
      </w:r>
      <w:r w:rsidR="00762F00" w:rsidRPr="00B62BBE">
        <w:t xml:space="preserve">The Department advised that once the </w:t>
      </w:r>
      <w:r w:rsidR="00D427D4" w:rsidRPr="00B62BBE">
        <w:t>C</w:t>
      </w:r>
      <w:r w:rsidR="00762F00" w:rsidRPr="00B62BBE">
        <w:t xml:space="preserve">ommittee </w:t>
      </w:r>
      <w:r w:rsidR="005129F2" w:rsidRPr="00B62BBE">
        <w:t>agreed</w:t>
      </w:r>
      <w:r w:rsidR="00762F00" w:rsidRPr="00B62BBE">
        <w:t xml:space="preserve"> the proposed scope of work, the Department would commence </w:t>
      </w:r>
      <w:r w:rsidR="008C4BBA" w:rsidRPr="00B62BBE">
        <w:t>processes to engage</w:t>
      </w:r>
      <w:r w:rsidR="00762F00" w:rsidRPr="00B62BBE">
        <w:t xml:space="preserve"> the expert in HTA. </w:t>
      </w:r>
    </w:p>
    <w:p w14:paraId="62D442A4" w14:textId="0B623111" w:rsidR="00761CCC" w:rsidRPr="006036DC" w:rsidRDefault="00761CCC" w:rsidP="00314276">
      <w:pPr>
        <w:pStyle w:val="Heading4"/>
      </w:pPr>
      <w:r w:rsidRPr="00314276">
        <w:t>Other business</w:t>
      </w:r>
    </w:p>
    <w:p w14:paraId="22E02C1F" w14:textId="5B015F43" w:rsidR="00761CCC" w:rsidRPr="00B62BBE" w:rsidRDefault="00761CCC" w:rsidP="00B62BBE">
      <w:r w:rsidRPr="00B62BBE">
        <w:t xml:space="preserve">The </w:t>
      </w:r>
      <w:r w:rsidR="00DF439E" w:rsidRPr="00B62BBE">
        <w:t>C</w:t>
      </w:r>
      <w:r w:rsidRPr="00B62BBE">
        <w:t xml:space="preserve">ommittee noted that it would </w:t>
      </w:r>
      <w:r w:rsidR="009161FF" w:rsidRPr="00B62BBE">
        <w:t>se</w:t>
      </w:r>
      <w:r w:rsidRPr="00B62BBE">
        <w:t>e</w:t>
      </w:r>
      <w:r w:rsidR="009161FF" w:rsidRPr="00B62BBE">
        <w:t>k</w:t>
      </w:r>
      <w:r w:rsidRPr="00B62BBE">
        <w:t xml:space="preserve"> briefings on concurrent consumer engagement work and on the new National Medicines Policy at its next meeting on 13 February 2023. </w:t>
      </w:r>
    </w:p>
    <w:p w14:paraId="6E2D436E" w14:textId="77777777" w:rsidR="00FC02C5" w:rsidRPr="00FC02C5" w:rsidRDefault="00FC02C5" w:rsidP="00314276">
      <w:pPr>
        <w:pStyle w:val="Heading4"/>
      </w:pPr>
      <w:r w:rsidRPr="00FC02C5">
        <w:t>Who is the Reference Committee?</w:t>
      </w:r>
    </w:p>
    <w:p w14:paraId="5980BE38" w14:textId="77777777" w:rsidR="00FC02C5" w:rsidRPr="00B62BBE" w:rsidRDefault="00FC02C5" w:rsidP="00B62BBE">
      <w:pPr>
        <w:pStyle w:val="ListBullet"/>
      </w:pPr>
      <w:r w:rsidRPr="00B62BBE">
        <w:t xml:space="preserve">Independent Chair: Adjunct Professor Debora </w:t>
      </w:r>
      <w:proofErr w:type="spellStart"/>
      <w:r w:rsidRPr="00B62BBE">
        <w:t>Picone</w:t>
      </w:r>
      <w:proofErr w:type="spellEnd"/>
      <w:r w:rsidRPr="00B62BBE">
        <w:t xml:space="preserve"> AO</w:t>
      </w:r>
    </w:p>
    <w:p w14:paraId="3B0E581D" w14:textId="77777777" w:rsidR="00FC02C5" w:rsidRPr="00B62BBE" w:rsidRDefault="00FC02C5" w:rsidP="00B62BBE">
      <w:pPr>
        <w:pStyle w:val="ListBullet"/>
      </w:pPr>
      <w:r w:rsidRPr="00B62BBE">
        <w:t>Patient Representatives: Ms Ann Single and Dr Dawn Casey PSM</w:t>
      </w:r>
    </w:p>
    <w:p w14:paraId="30572E59" w14:textId="77777777" w:rsidR="00FC02C5" w:rsidRPr="00B62BBE" w:rsidRDefault="00FC02C5" w:rsidP="00B62BBE">
      <w:pPr>
        <w:pStyle w:val="ListBullet"/>
      </w:pPr>
      <w:r w:rsidRPr="00B62BBE">
        <w:t>Chair of the Pharmaceutical Benefits Advisory Committee (PBAC): Professor Andrew Wilson</w:t>
      </w:r>
    </w:p>
    <w:p w14:paraId="1B99CFB2" w14:textId="77777777" w:rsidR="00FC02C5" w:rsidRPr="00B62BBE" w:rsidRDefault="00FC02C5" w:rsidP="00B62BBE">
      <w:pPr>
        <w:pStyle w:val="ListBullet"/>
      </w:pPr>
      <w:r w:rsidRPr="00B62BBE">
        <w:t>Clinical/Scientific Representative: Professor Andrew Roberts AM</w:t>
      </w:r>
    </w:p>
    <w:p w14:paraId="76C19E73" w14:textId="3C2A3139" w:rsidR="00FC02C5" w:rsidRPr="00B62BBE" w:rsidRDefault="00120507" w:rsidP="00B62BBE">
      <w:pPr>
        <w:pStyle w:val="ListBullet"/>
      </w:pPr>
      <w:r w:rsidRPr="00B62BBE">
        <w:t>Member nominated by Medicines Australia</w:t>
      </w:r>
      <w:r w:rsidR="00FC02C5" w:rsidRPr="00B62BBE">
        <w:t>: Mr John Young</w:t>
      </w:r>
    </w:p>
    <w:p w14:paraId="7CE8AA38" w14:textId="77777777" w:rsidR="00FC02C5" w:rsidRPr="00B62BBE" w:rsidRDefault="00FC02C5" w:rsidP="00B62BBE">
      <w:pPr>
        <w:pStyle w:val="ListBullet"/>
      </w:pPr>
      <w:r w:rsidRPr="00B62BBE">
        <w:t xml:space="preserve">Government Nominee: Ms Adriana </w:t>
      </w:r>
      <w:proofErr w:type="spellStart"/>
      <w:r w:rsidRPr="00B62BBE">
        <w:t>Platona</w:t>
      </w:r>
      <w:proofErr w:type="spellEnd"/>
      <w:r w:rsidRPr="00B62BBE">
        <w:t xml:space="preserve"> PSM</w:t>
      </w:r>
    </w:p>
    <w:p w14:paraId="4B9B69DE" w14:textId="77777777" w:rsidR="00FC02C5" w:rsidRPr="00FC02C5" w:rsidRDefault="00FC02C5" w:rsidP="00314276">
      <w:pPr>
        <w:pStyle w:val="Heading4"/>
      </w:pPr>
      <w:r w:rsidRPr="00FC02C5">
        <w:t>Where can I find out more about the HTA Review?</w:t>
      </w:r>
    </w:p>
    <w:p w14:paraId="23B3245E" w14:textId="18870ADF" w:rsidR="006036DC" w:rsidRDefault="006B2A9A" w:rsidP="00B62BBE">
      <w:hyperlink r:id="rId15" w:history="1">
        <w:r w:rsidR="00314276" w:rsidRPr="00B62BBE">
          <w:rPr>
            <w:rStyle w:val="Hyperlink"/>
          </w:rPr>
          <w:t>Health Technology Assessment Policy and Methods Review</w:t>
        </w:r>
      </w:hyperlink>
    </w:p>
    <w:p w14:paraId="32091F28" w14:textId="77777777" w:rsidR="00B62BBE" w:rsidRDefault="00B62BBE" w:rsidP="00B62BBE"/>
    <w:p w14:paraId="045DBFE9" w14:textId="0A59CC8E" w:rsidR="00B62BBE" w:rsidRPr="00B62BBE" w:rsidRDefault="00B62BBE" w:rsidP="00B62BBE">
      <w:pPr>
        <w:sectPr w:rsidR="00B62BBE" w:rsidRPr="00B62BBE" w:rsidSect="009724AB">
          <w:footerReference w:type="default" r:id="rId16"/>
          <w:type w:val="continuous"/>
          <w:pgSz w:w="11906" w:h="16838"/>
          <w:pgMar w:top="1418" w:right="1418" w:bottom="1418" w:left="1418" w:header="709" w:footer="709" w:gutter="0"/>
          <w:cols w:space="708"/>
          <w:docGrid w:linePitch="360"/>
        </w:sectPr>
      </w:pPr>
    </w:p>
    <w:p w14:paraId="7273041C" w14:textId="2EB4A88F" w:rsidR="0098122D" w:rsidRDefault="00641563" w:rsidP="0069363E">
      <w:pPr>
        <w:pStyle w:val="Heading2"/>
      </w:pPr>
      <w:r>
        <w:lastRenderedPageBreak/>
        <w:t>Appendix 1 –</w:t>
      </w:r>
      <w:r w:rsidR="001F7D4A">
        <w:t xml:space="preserve"> Statement of Requirement and</w:t>
      </w:r>
      <w:r>
        <w:t xml:space="preserve"> </w:t>
      </w:r>
      <w:r w:rsidR="001F7D4A">
        <w:t>e</w:t>
      </w:r>
      <w:r>
        <w:t xml:space="preserve">valuation criteria </w:t>
      </w:r>
      <w:r w:rsidR="001F7D4A">
        <w:t>in the Request for Tender for the</w:t>
      </w:r>
      <w:r>
        <w:t xml:space="preserve"> HTA expert</w:t>
      </w:r>
      <w:r w:rsidR="00911397">
        <w:t xml:space="preserve"> published in 2022</w:t>
      </w:r>
    </w:p>
    <w:p w14:paraId="51DE3AFC" w14:textId="77777777" w:rsidR="00164BCF" w:rsidRPr="00B62BBE" w:rsidRDefault="00164BCF" w:rsidP="00B62BBE">
      <w:pPr>
        <w:pStyle w:val="Heading3"/>
        <w:rPr>
          <w:rFonts w:eastAsia="Yu Gothic Light"/>
        </w:rPr>
      </w:pPr>
      <w:bookmarkStart w:id="1" w:name="_Toc119588237"/>
      <w:bookmarkStart w:id="2" w:name="_Hlk126228502"/>
      <w:r w:rsidRPr="00164BCF">
        <w:rPr>
          <w:rFonts w:eastAsia="Yu Gothic Light"/>
          <w:lang w:val="en-US" w:eastAsia="ko-KR"/>
        </w:rPr>
        <w:t>Statement of Requirement</w:t>
      </w:r>
      <w:bookmarkEnd w:id="1"/>
    </w:p>
    <w:p w14:paraId="5589C4F7" w14:textId="77777777" w:rsidR="00164BCF" w:rsidRPr="0069363E" w:rsidRDefault="00164BCF" w:rsidP="00B62BBE">
      <w:bookmarkStart w:id="3" w:name="_Hlk92706145"/>
      <w:r w:rsidRPr="0069363E">
        <w:t>The service provider will be required to:</w:t>
      </w:r>
    </w:p>
    <w:p w14:paraId="21561565" w14:textId="77777777" w:rsidR="00164BCF" w:rsidRPr="00B62BBE" w:rsidRDefault="00164BCF" w:rsidP="00B62BBE">
      <w:pPr>
        <w:pStyle w:val="ListNumber2"/>
      </w:pPr>
      <w:r w:rsidRPr="00B62BBE">
        <w:t xml:space="preserve">Undertake analysis under the guidance of the Reference Committee of current methods used by the PBAC, contemporary research and relevant methodologies and purchasing practices used by comparable international jurisdictions. </w:t>
      </w:r>
      <w:r w:rsidRPr="00B62BBE">
        <w:rPr>
          <w:rFonts w:eastAsia="SimSun"/>
        </w:rPr>
        <w:t>Analysis of current methods used by other Commonwealth HTA Committees such as the MSAC and implications of the review for linked activities of these Committees may also be required.</w:t>
      </w:r>
    </w:p>
    <w:p w14:paraId="7B563AED" w14:textId="77777777" w:rsidR="00164BCF" w:rsidRPr="00B62BBE" w:rsidRDefault="00164BCF" w:rsidP="00B62BBE">
      <w:pPr>
        <w:pStyle w:val="ListNumber2"/>
      </w:pPr>
      <w:r w:rsidRPr="00B62BBE">
        <w:t>In undertaking its analysis, the service provider will need to consider relevant broader economic policies and methodologies used to make funding decisions in areas beyond health technology assessment and the outcomes of recent reforms to health technology assessment in comparable jurisdictions such as the United Kingdom.</w:t>
      </w:r>
    </w:p>
    <w:p w14:paraId="75F54CC9" w14:textId="77777777" w:rsidR="00164BCF" w:rsidRPr="00B62BBE" w:rsidRDefault="00164BCF" w:rsidP="00B62BBE">
      <w:pPr>
        <w:pStyle w:val="ListNumber2"/>
      </w:pPr>
      <w:r w:rsidRPr="00B62BBE">
        <w:t xml:space="preserve">Subject to the guidance of the Reference Committee – the analysis may include, but not be limited to, analysis of contemporary research and methodologies used by comparable jurisdictions including in relation to: </w:t>
      </w:r>
    </w:p>
    <w:p w14:paraId="47C4116C" w14:textId="77777777" w:rsidR="00164BCF" w:rsidRPr="00B62BBE" w:rsidRDefault="00164BCF" w:rsidP="00B62BBE">
      <w:pPr>
        <w:pStyle w:val="ListBullet3"/>
      </w:pPr>
      <w:r w:rsidRPr="00B62BBE">
        <w:t>selection of comparators</w:t>
      </w:r>
    </w:p>
    <w:p w14:paraId="47DD2F68" w14:textId="77777777" w:rsidR="00164BCF" w:rsidRPr="00B62BBE" w:rsidRDefault="00164BCF" w:rsidP="00B62BBE">
      <w:pPr>
        <w:pStyle w:val="ListBullet3"/>
      </w:pPr>
      <w:r w:rsidRPr="00B62BBE">
        <w:t>methods for evaluating rare diseases for reimbursement and alternative funding pathways if required</w:t>
      </w:r>
    </w:p>
    <w:p w14:paraId="0B707416" w14:textId="77777777" w:rsidR="00164BCF" w:rsidRPr="00B62BBE" w:rsidRDefault="00164BCF" w:rsidP="00B62BBE">
      <w:pPr>
        <w:pStyle w:val="ListBullet3"/>
      </w:pPr>
      <w:r w:rsidRPr="00B62BBE">
        <w:t>methods for evaluating new and emerging technologies (</w:t>
      </w:r>
      <w:bookmarkStart w:id="4" w:name="_Hlk126238805"/>
      <w:r w:rsidRPr="00B62BBE">
        <w:t>including cell and gene therapies, and other precision</w:t>
      </w:r>
      <w:r w:rsidRPr="00B62BBE">
        <w:noBreakHyphen/>
        <w:t>based medicines</w:t>
      </w:r>
      <w:bookmarkEnd w:id="4"/>
      <w:r w:rsidRPr="00B62BBE">
        <w:t>) and the suitability of existing funding pathways as required</w:t>
      </w:r>
    </w:p>
    <w:p w14:paraId="74223885" w14:textId="77777777" w:rsidR="00164BCF" w:rsidRPr="00B62BBE" w:rsidRDefault="00164BCF" w:rsidP="00B62BBE">
      <w:pPr>
        <w:pStyle w:val="ListBullet3"/>
      </w:pPr>
      <w:r w:rsidRPr="00B62BBE">
        <w:t>methods for evaluating all new medicines and vaccines</w:t>
      </w:r>
    </w:p>
    <w:p w14:paraId="5FDF3FEC" w14:textId="77777777" w:rsidR="00164BCF" w:rsidRPr="00B62BBE" w:rsidRDefault="00164BCF" w:rsidP="00B62BBE">
      <w:pPr>
        <w:pStyle w:val="ListBullet3"/>
      </w:pPr>
      <w:r w:rsidRPr="00B62BBE">
        <w:t>use of real</w:t>
      </w:r>
      <w:r w:rsidRPr="00B62BBE">
        <w:noBreakHyphen/>
        <w:t>world evidence for evaluation including use of evidence from sources other than randomised controlled trials</w:t>
      </w:r>
    </w:p>
    <w:p w14:paraId="12A43972" w14:textId="77777777" w:rsidR="00164BCF" w:rsidRPr="00B62BBE" w:rsidRDefault="00164BCF" w:rsidP="00B62BBE">
      <w:pPr>
        <w:pStyle w:val="ListBullet3"/>
      </w:pPr>
      <w:r w:rsidRPr="00B62BBE">
        <w:t>managing clinical, economic, financial, and other uncertainty</w:t>
      </w:r>
    </w:p>
    <w:p w14:paraId="413C95CB" w14:textId="77777777" w:rsidR="00164BCF" w:rsidRPr="00B62BBE" w:rsidRDefault="00164BCF" w:rsidP="00B62BBE">
      <w:pPr>
        <w:pStyle w:val="ListBullet3"/>
      </w:pPr>
      <w:r w:rsidRPr="00B62BBE">
        <w:t>examining the feasibility of international work sharing for reimbursement submissions</w:t>
      </w:r>
    </w:p>
    <w:p w14:paraId="021EAC04" w14:textId="2BD2CD47" w:rsidR="00164BCF" w:rsidRPr="00B62BBE" w:rsidRDefault="00164BCF" w:rsidP="00B62BBE">
      <w:pPr>
        <w:pStyle w:val="ListBullet3"/>
      </w:pPr>
      <w:r w:rsidRPr="00B62BBE">
        <w:t>methods used by MSAC.</w:t>
      </w:r>
    </w:p>
    <w:p w14:paraId="6DB9C1BC" w14:textId="77777777" w:rsidR="00164BCF" w:rsidRPr="0069363E" w:rsidRDefault="00164BCF" w:rsidP="00314276">
      <w:pPr>
        <w:pStyle w:val="ListNumber2"/>
      </w:pPr>
      <w:r w:rsidRPr="0069363E">
        <w:t xml:space="preserve">Perform additional project work on an as needs basis and sometimes in a short timeframe. This may include requests from the Reference Committee for specific types of analysis and summarising submissions to the Review from patients, industry, health practitioners and relevant representative bodies. </w:t>
      </w:r>
    </w:p>
    <w:p w14:paraId="2AC95CF4" w14:textId="163B6FE0" w:rsidR="00164BCF" w:rsidRPr="0069363E" w:rsidRDefault="00164BCF" w:rsidP="00314276">
      <w:pPr>
        <w:pStyle w:val="ListNumber2"/>
      </w:pPr>
      <w:r w:rsidRPr="0069363E">
        <w:t>Provide draft and final reports that detail the findings of the analysis.</w:t>
      </w:r>
    </w:p>
    <w:p w14:paraId="332528C7" w14:textId="0D482798" w:rsidR="00164BCF" w:rsidRPr="0069363E" w:rsidRDefault="00164BCF" w:rsidP="00314276">
      <w:pPr>
        <w:pStyle w:val="ListNumber2"/>
      </w:pPr>
      <w:r w:rsidRPr="0069363E">
        <w:t xml:space="preserve">Attend meetings held by the Reference Committee and discussions with relevant officers in the Department. </w:t>
      </w:r>
      <w:bookmarkEnd w:id="3"/>
    </w:p>
    <w:p w14:paraId="339A1650" w14:textId="77777777" w:rsidR="00164BCF" w:rsidRPr="00164BCF" w:rsidRDefault="00164BCF" w:rsidP="0069363E">
      <w:pPr>
        <w:pStyle w:val="Heading3"/>
        <w:rPr>
          <w:lang w:val="en-US" w:eastAsia="en-AU"/>
        </w:rPr>
      </w:pPr>
      <w:bookmarkStart w:id="5" w:name="_Hlk126228304"/>
      <w:r w:rsidRPr="00164BCF">
        <w:rPr>
          <w:lang w:val="en-US" w:eastAsia="en-AU"/>
        </w:rPr>
        <w:t>Required expertise</w:t>
      </w:r>
    </w:p>
    <w:p w14:paraId="5049F516" w14:textId="5E8E5C9C" w:rsidR="00164BCF" w:rsidRPr="0069363E" w:rsidRDefault="00164BCF" w:rsidP="00B62BBE">
      <w:pPr>
        <w:rPr>
          <w:lang w:val="en-US" w:eastAsia="en-AU"/>
        </w:rPr>
      </w:pPr>
      <w:r w:rsidRPr="0069363E">
        <w:rPr>
          <w:lang w:val="en-US" w:eastAsia="en-AU"/>
        </w:rPr>
        <w:t>The contractor will have ready access to specified personnel with appropriate qualifications and experience who are readily available to perform the roles in the table below. Noting the broad scope of expertise required, consortium or subcontractor tenders will be accepted:</w:t>
      </w:r>
    </w:p>
    <w:tbl>
      <w:tblPr>
        <w:tblStyle w:val="DepartmentofHealthtable"/>
        <w:tblW w:w="9067" w:type="dxa"/>
        <w:tblLook w:val="04A0" w:firstRow="1" w:lastRow="0" w:firstColumn="1" w:lastColumn="0" w:noHBand="0" w:noVBand="1"/>
      </w:tblPr>
      <w:tblGrid>
        <w:gridCol w:w="2258"/>
        <w:gridCol w:w="3261"/>
        <w:gridCol w:w="3548"/>
      </w:tblGrid>
      <w:tr w:rsidR="00164BCF" w:rsidRPr="0069363E" w14:paraId="53A50217" w14:textId="77777777" w:rsidTr="00B62BBE">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258" w:type="dxa"/>
            <w:hideMark/>
          </w:tcPr>
          <w:p w14:paraId="404C1F90" w14:textId="2E7C520E" w:rsidR="00164BCF" w:rsidRPr="006036DC" w:rsidRDefault="00164BCF" w:rsidP="006036DC">
            <w:r w:rsidRPr="006036DC">
              <w:lastRenderedPageBreak/>
              <w:t>Specified Personnel</w:t>
            </w:r>
          </w:p>
        </w:tc>
        <w:tc>
          <w:tcPr>
            <w:tcW w:w="3261" w:type="dxa"/>
            <w:hideMark/>
          </w:tcPr>
          <w:p w14:paraId="4363B798" w14:textId="77777777" w:rsidR="00164BCF" w:rsidRPr="006036DC" w:rsidRDefault="00164BCF" w:rsidP="006036DC">
            <w:pPr>
              <w:cnfStyle w:val="100000000000" w:firstRow="1" w:lastRow="0" w:firstColumn="0" w:lastColumn="0" w:oddVBand="0" w:evenVBand="0" w:oddHBand="0" w:evenHBand="0" w:firstRowFirstColumn="0" w:firstRowLastColumn="0" w:lastRowFirstColumn="0" w:lastRowLastColumn="0"/>
            </w:pPr>
            <w:r w:rsidRPr="006036DC">
              <w:t>Qualifications and experience</w:t>
            </w:r>
          </w:p>
        </w:tc>
        <w:tc>
          <w:tcPr>
            <w:tcW w:w="3548" w:type="dxa"/>
            <w:hideMark/>
          </w:tcPr>
          <w:p w14:paraId="63872BB7" w14:textId="77777777" w:rsidR="00164BCF" w:rsidRPr="006036DC" w:rsidRDefault="00164BCF" w:rsidP="006036DC">
            <w:pPr>
              <w:cnfStyle w:val="100000000000" w:firstRow="1" w:lastRow="0" w:firstColumn="0" w:lastColumn="0" w:oddVBand="0" w:evenVBand="0" w:oddHBand="0" w:evenHBand="0" w:firstRowFirstColumn="0" w:firstRowLastColumn="0" w:lastRowFirstColumn="0" w:lastRowLastColumn="0"/>
            </w:pPr>
            <w:r w:rsidRPr="006036DC">
              <w:t>Roles</w:t>
            </w:r>
          </w:p>
        </w:tc>
      </w:tr>
      <w:tr w:rsidR="00164BCF" w:rsidRPr="00164BCF" w14:paraId="36BD7236" w14:textId="77777777" w:rsidTr="00B62BBE">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2258" w:type="dxa"/>
            <w:vMerge w:val="restart"/>
            <w:hideMark/>
          </w:tcPr>
          <w:p w14:paraId="7C4E1ACC" w14:textId="77777777" w:rsidR="00164BCF" w:rsidRPr="00B62BBE" w:rsidRDefault="00164BCF" w:rsidP="00B62BBE">
            <w:r w:rsidRPr="00B62BBE">
              <w:t>Group leaders/Senior Evaluator</w:t>
            </w:r>
          </w:p>
        </w:tc>
        <w:tc>
          <w:tcPr>
            <w:tcW w:w="3261" w:type="dxa"/>
            <w:hideMark/>
          </w:tcPr>
          <w:p w14:paraId="5B66FA45" w14:textId="3178738C" w:rsidR="00164BCF" w:rsidRPr="00B62BBE" w:rsidRDefault="00164BCF" w:rsidP="00B62BBE">
            <w:pPr>
              <w:cnfStyle w:val="000000100000" w:firstRow="0" w:lastRow="0" w:firstColumn="0" w:lastColumn="0" w:oddVBand="0" w:evenVBand="0" w:oddHBand="1" w:evenHBand="0" w:firstRowFirstColumn="0" w:firstRowLastColumn="0" w:lastRowFirstColumn="0" w:lastRowLastColumn="0"/>
            </w:pPr>
            <w:r w:rsidRPr="00B62BBE">
              <w:t>Qualifications and/or experience in critically evaluating clinical trial and related economic information and/or broader economic policies</w:t>
            </w:r>
          </w:p>
        </w:tc>
        <w:tc>
          <w:tcPr>
            <w:tcW w:w="3548" w:type="dxa"/>
            <w:hideMark/>
          </w:tcPr>
          <w:p w14:paraId="189C1424" w14:textId="77777777" w:rsidR="00164BCF" w:rsidRPr="0069363E" w:rsidRDefault="00164BCF" w:rsidP="00B62BBE">
            <w:pPr>
              <w:cnfStyle w:val="000000100000" w:firstRow="0" w:lastRow="0" w:firstColumn="0" w:lastColumn="0" w:oddVBand="0" w:evenVBand="0" w:oddHBand="1" w:evenHBand="0" w:firstRowFirstColumn="0" w:firstRowLastColumn="0" w:lastRowFirstColumn="0" w:lastRowLastColumn="0"/>
            </w:pPr>
            <w:r w:rsidRPr="0069363E">
              <w:t>The Group Leader will:</w:t>
            </w:r>
          </w:p>
        </w:tc>
      </w:tr>
      <w:tr w:rsidR="00164BCF" w:rsidRPr="00164BCF" w14:paraId="257D2258" w14:textId="77777777" w:rsidTr="00B62BBE">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CD33FE3" w14:textId="77777777" w:rsidR="00164BCF" w:rsidRPr="0069363E" w:rsidRDefault="00164BCF" w:rsidP="0069363E"/>
        </w:tc>
        <w:tc>
          <w:tcPr>
            <w:tcW w:w="3261" w:type="dxa"/>
            <w:hideMark/>
          </w:tcPr>
          <w:p w14:paraId="6F4698C4" w14:textId="0B7769D1" w:rsidR="00164BCF" w:rsidRPr="00B62BBE" w:rsidRDefault="00164BCF" w:rsidP="00B62BBE">
            <w:pPr>
              <w:cnfStyle w:val="000000010000" w:firstRow="0" w:lastRow="0" w:firstColumn="0" w:lastColumn="0" w:oddVBand="0" w:evenVBand="0" w:oddHBand="0" w:evenHBand="1" w:firstRowFirstColumn="0" w:firstRowLastColumn="0" w:lastRowFirstColumn="0" w:lastRowLastColumn="0"/>
            </w:pPr>
            <w:r w:rsidRPr="00B62BBE">
              <w:t>Ability to critically review and quality assure the report</w:t>
            </w:r>
          </w:p>
        </w:tc>
        <w:tc>
          <w:tcPr>
            <w:tcW w:w="3548" w:type="dxa"/>
            <w:hideMark/>
          </w:tcPr>
          <w:p w14:paraId="025F84FA" w14:textId="44DA4960" w:rsidR="00164BCF" w:rsidRPr="00B62BBE" w:rsidRDefault="00164BCF" w:rsidP="00B62BBE">
            <w:pPr>
              <w:pStyle w:val="ListBullet"/>
              <w:cnfStyle w:val="000000010000" w:firstRow="0" w:lastRow="0" w:firstColumn="0" w:lastColumn="0" w:oddVBand="0" w:evenVBand="0" w:oddHBand="0" w:evenHBand="1" w:firstRowFirstColumn="0" w:firstRowLastColumn="0" w:lastRowFirstColumn="0" w:lastRowLastColumn="0"/>
            </w:pPr>
            <w:r w:rsidRPr="00B62BBE">
              <w:t>have overall responsibility for the quality and timeliness of the Contractor’s performance of all Service deliverables</w:t>
            </w:r>
          </w:p>
        </w:tc>
      </w:tr>
      <w:tr w:rsidR="00164BCF" w:rsidRPr="00164BCF" w14:paraId="4689092E" w14:textId="77777777" w:rsidTr="00B62BBE">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C9B544D" w14:textId="77777777" w:rsidR="00164BCF" w:rsidRPr="0069363E" w:rsidRDefault="00164BCF" w:rsidP="0069363E"/>
        </w:tc>
        <w:tc>
          <w:tcPr>
            <w:tcW w:w="3261" w:type="dxa"/>
            <w:hideMark/>
          </w:tcPr>
          <w:p w14:paraId="7DFDDFA4" w14:textId="052F6B4C" w:rsidR="00164BCF" w:rsidRPr="00B62BBE" w:rsidRDefault="00164BCF" w:rsidP="00B62BBE">
            <w:pPr>
              <w:cnfStyle w:val="000000100000" w:firstRow="0" w:lastRow="0" w:firstColumn="0" w:lastColumn="0" w:oddVBand="0" w:evenVBand="0" w:oddHBand="1" w:evenHBand="0" w:firstRowFirstColumn="0" w:firstRowLastColumn="0" w:lastRowFirstColumn="0" w:lastRowLastColumn="0"/>
            </w:pPr>
            <w:r w:rsidRPr="00B62BBE">
              <w:t>Demonstrated experience in managing projects involving meeting fixed deadlines with high quality deliverables.</w:t>
            </w:r>
          </w:p>
        </w:tc>
        <w:tc>
          <w:tcPr>
            <w:tcW w:w="3548" w:type="dxa"/>
            <w:hideMark/>
          </w:tcPr>
          <w:p w14:paraId="0F799656" w14:textId="2F70C1CE" w:rsidR="00164BCF" w:rsidRPr="00B62BBE" w:rsidRDefault="00164BCF" w:rsidP="00B62BBE">
            <w:pPr>
              <w:pStyle w:val="ListBullet"/>
              <w:cnfStyle w:val="000000100000" w:firstRow="0" w:lastRow="0" w:firstColumn="0" w:lastColumn="0" w:oddVBand="0" w:evenVBand="0" w:oddHBand="1" w:evenHBand="0" w:firstRowFirstColumn="0" w:firstRowLastColumn="0" w:lastRowFirstColumn="0" w:lastRowLastColumn="0"/>
            </w:pPr>
            <w:r w:rsidRPr="00B62BBE">
              <w:t>liaise with the Department’s Project Officer and the Reference Committee for the Review in relation to all matters involving the delivery of the services. </w:t>
            </w:r>
          </w:p>
        </w:tc>
      </w:tr>
      <w:tr w:rsidR="00164BCF" w:rsidRPr="00164BCF" w14:paraId="13D2B218" w14:textId="77777777" w:rsidTr="00B62BB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1231FC6F" w14:textId="77777777" w:rsidR="00164BCF" w:rsidRPr="0069363E" w:rsidRDefault="00164BCF" w:rsidP="0069363E"/>
        </w:tc>
        <w:tc>
          <w:tcPr>
            <w:tcW w:w="3261" w:type="dxa"/>
            <w:hideMark/>
          </w:tcPr>
          <w:p w14:paraId="22ADF62F" w14:textId="0733FEC8" w:rsidR="00164BCF" w:rsidRPr="00B62BBE" w:rsidRDefault="00164BCF" w:rsidP="00B62BBE">
            <w:pPr>
              <w:cnfStyle w:val="000000010000" w:firstRow="0" w:lastRow="0" w:firstColumn="0" w:lastColumn="0" w:oddVBand="0" w:evenVBand="0" w:oddHBand="0" w:evenHBand="1" w:firstRowFirstColumn="0" w:firstRowLastColumn="0" w:lastRowFirstColumn="0" w:lastRowLastColumn="0"/>
            </w:pPr>
            <w:r w:rsidRPr="00B62BBE">
              <w:t>Demonstrated knowledge of the Australian Health System</w:t>
            </w:r>
          </w:p>
        </w:tc>
        <w:tc>
          <w:tcPr>
            <w:tcW w:w="3548" w:type="dxa"/>
            <w:hideMark/>
          </w:tcPr>
          <w:p w14:paraId="06CA23F9" w14:textId="77777777" w:rsidR="00164BCF" w:rsidRPr="00B62BBE" w:rsidRDefault="00164BCF" w:rsidP="00B62BBE">
            <w:pPr>
              <w:cnfStyle w:val="000000010000" w:firstRow="0" w:lastRow="0" w:firstColumn="0" w:lastColumn="0" w:oddVBand="0" w:evenVBand="0" w:oddHBand="0" w:evenHBand="1" w:firstRowFirstColumn="0" w:firstRowLastColumn="0" w:lastRowFirstColumn="0" w:lastRowLastColumn="0"/>
            </w:pPr>
            <w:r w:rsidRPr="00B62BBE">
              <w:t>Senior Evaluators can act in the role of the Group Leader</w:t>
            </w:r>
          </w:p>
        </w:tc>
      </w:tr>
      <w:tr w:rsidR="00164BCF" w:rsidRPr="00164BCF" w14:paraId="47D1CF47" w14:textId="77777777" w:rsidTr="00B62BBE">
        <w:trPr>
          <w:cnfStyle w:val="000000100000" w:firstRow="0" w:lastRow="0" w:firstColumn="0" w:lastColumn="0" w:oddVBand="0" w:evenVBand="0" w:oddHBand="1"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2258" w:type="dxa"/>
            <w:hideMark/>
          </w:tcPr>
          <w:p w14:paraId="150703C2" w14:textId="77777777" w:rsidR="00164BCF" w:rsidRPr="00B62BBE" w:rsidRDefault="00164BCF" w:rsidP="00B62BBE">
            <w:r w:rsidRPr="00B62BBE">
              <w:t>Evaluators</w:t>
            </w:r>
          </w:p>
        </w:tc>
        <w:tc>
          <w:tcPr>
            <w:tcW w:w="3261" w:type="dxa"/>
            <w:hideMark/>
          </w:tcPr>
          <w:p w14:paraId="4927F66D" w14:textId="5AA0FD77" w:rsidR="00164BCF" w:rsidRPr="00B62BBE" w:rsidRDefault="00164BCF" w:rsidP="00B62BBE">
            <w:pPr>
              <w:cnfStyle w:val="000000100000" w:firstRow="0" w:lastRow="0" w:firstColumn="0" w:lastColumn="0" w:oddVBand="0" w:evenVBand="0" w:oddHBand="1" w:evenHBand="0" w:firstRowFirstColumn="0" w:firstRowLastColumn="0" w:lastRowFirstColumn="0" w:lastRowLastColumn="0"/>
            </w:pPr>
            <w:r w:rsidRPr="00B62BBE">
              <w:t>Appropriate tertiary level qualifications and/or experience in critically appraising clinical trial and related economic information</w:t>
            </w:r>
          </w:p>
        </w:tc>
        <w:tc>
          <w:tcPr>
            <w:tcW w:w="3548" w:type="dxa"/>
            <w:hideMark/>
          </w:tcPr>
          <w:p w14:paraId="1D25A258" w14:textId="77777777" w:rsidR="00164BCF" w:rsidRPr="00B62BBE" w:rsidRDefault="00164BCF" w:rsidP="00B62BBE">
            <w:pPr>
              <w:cnfStyle w:val="000000100000" w:firstRow="0" w:lastRow="0" w:firstColumn="0" w:lastColumn="0" w:oddVBand="0" w:evenVBand="0" w:oddHBand="1" w:evenHBand="0" w:firstRowFirstColumn="0" w:firstRowLastColumn="0" w:lastRowFirstColumn="0" w:lastRowLastColumn="0"/>
            </w:pPr>
            <w:r w:rsidRPr="00B62BBE">
              <w:t>Writing the reports, and undertaking analyses, including technical economic analyses, to support the report.</w:t>
            </w:r>
          </w:p>
        </w:tc>
      </w:tr>
      <w:tr w:rsidR="00164BCF" w:rsidRPr="00164BCF" w14:paraId="66911096" w14:textId="77777777" w:rsidTr="00B62BBE">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258" w:type="dxa"/>
            <w:vMerge w:val="restart"/>
            <w:hideMark/>
          </w:tcPr>
          <w:p w14:paraId="5709B14E" w14:textId="77777777" w:rsidR="00164BCF" w:rsidRPr="00B62BBE" w:rsidRDefault="00164BCF" w:rsidP="00B62BBE">
            <w:r w:rsidRPr="00B62BBE">
              <w:t>Experts</w:t>
            </w:r>
          </w:p>
        </w:tc>
        <w:tc>
          <w:tcPr>
            <w:tcW w:w="3261" w:type="dxa"/>
            <w:hideMark/>
          </w:tcPr>
          <w:p w14:paraId="29E3E75C" w14:textId="48678755" w:rsidR="00164BCF" w:rsidRPr="00B62BBE" w:rsidRDefault="00164BCF" w:rsidP="00B62BBE">
            <w:pPr>
              <w:cnfStyle w:val="000000010000" w:firstRow="0" w:lastRow="0" w:firstColumn="0" w:lastColumn="0" w:oddVBand="0" w:evenVBand="0" w:oddHBand="0" w:evenHBand="1" w:firstRowFirstColumn="0" w:firstRowLastColumn="0" w:lastRowFirstColumn="0" w:lastRowLastColumn="0"/>
            </w:pPr>
            <w:r w:rsidRPr="00B62BBE">
              <w:t>Experts who have advanced training and/or experience in relevant fields including:</w:t>
            </w:r>
          </w:p>
        </w:tc>
        <w:tc>
          <w:tcPr>
            <w:tcW w:w="3548" w:type="dxa"/>
            <w:hideMark/>
          </w:tcPr>
          <w:p w14:paraId="272F8F16" w14:textId="77777777" w:rsidR="00164BCF" w:rsidRPr="00B62BBE" w:rsidRDefault="00164BCF" w:rsidP="00B62BBE">
            <w:pPr>
              <w:cnfStyle w:val="000000010000" w:firstRow="0" w:lastRow="0" w:firstColumn="0" w:lastColumn="0" w:oddVBand="0" w:evenVBand="0" w:oddHBand="0" w:evenHBand="1" w:firstRowFirstColumn="0" w:firstRowLastColumn="0" w:lastRowFirstColumn="0" w:lastRowLastColumn="0"/>
            </w:pPr>
            <w:r w:rsidRPr="00B62BBE">
              <w:t>Experts may contribute their expertise to:</w:t>
            </w:r>
          </w:p>
        </w:tc>
      </w:tr>
      <w:tr w:rsidR="00164BCF" w:rsidRPr="00164BCF" w14:paraId="5A4882AB" w14:textId="77777777" w:rsidTr="00B62BB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6364346" w14:textId="77777777" w:rsidR="00164BCF" w:rsidRPr="00164BCF" w:rsidRDefault="00164BCF" w:rsidP="00164BCF">
            <w:pPr>
              <w:widowControl w:val="0"/>
              <w:kinsoku w:val="0"/>
              <w:overflowPunct w:val="0"/>
              <w:autoSpaceDE w:val="0"/>
              <w:autoSpaceDN w:val="0"/>
              <w:spacing w:after="0" w:line="256" w:lineRule="auto"/>
              <w:rPr>
                <w:rFonts w:cs="Arial"/>
                <w:color w:val="000000"/>
                <w:kern w:val="2"/>
                <w:szCs w:val="22"/>
                <w:lang w:val="en-US" w:eastAsia="en-AU"/>
              </w:rPr>
            </w:pPr>
          </w:p>
        </w:tc>
        <w:tc>
          <w:tcPr>
            <w:tcW w:w="3261" w:type="dxa"/>
            <w:hideMark/>
          </w:tcPr>
          <w:p w14:paraId="4ABFCD24" w14:textId="77777777" w:rsidR="00164BCF" w:rsidRPr="00B62BBE" w:rsidRDefault="00164BCF" w:rsidP="00B62BBE">
            <w:pPr>
              <w:pStyle w:val="ListNumber2"/>
              <w:numPr>
                <w:ilvl w:val="0"/>
                <w:numId w:val="13"/>
              </w:numPr>
              <w:cnfStyle w:val="000000100000" w:firstRow="0" w:lastRow="0" w:firstColumn="0" w:lastColumn="0" w:oddVBand="0" w:evenVBand="0" w:oddHBand="1" w:evenHBand="0" w:firstRowFirstColumn="0" w:firstRowLastColumn="0" w:lastRowFirstColumn="0" w:lastRowLastColumn="0"/>
            </w:pPr>
            <w:r w:rsidRPr="00B62BBE">
              <w:t xml:space="preserve">public policy </w:t>
            </w:r>
          </w:p>
          <w:p w14:paraId="3B2DA975" w14:textId="77777777" w:rsidR="00164BCF" w:rsidRPr="00B62BBE" w:rsidRDefault="00164BCF" w:rsidP="00B62BBE">
            <w:pPr>
              <w:pStyle w:val="ListNumber2"/>
              <w:cnfStyle w:val="000000100000" w:firstRow="0" w:lastRow="0" w:firstColumn="0" w:lastColumn="0" w:oddVBand="0" w:evenVBand="0" w:oddHBand="1" w:evenHBand="0" w:firstRowFirstColumn="0" w:firstRowLastColumn="0" w:lastRowFirstColumn="0" w:lastRowLastColumn="0"/>
            </w:pPr>
            <w:r w:rsidRPr="00B62BBE">
              <w:t>HTA methods</w:t>
            </w:r>
          </w:p>
          <w:p w14:paraId="61CABD00" w14:textId="77777777" w:rsidR="00164BCF" w:rsidRPr="00B62BBE" w:rsidRDefault="00164BCF" w:rsidP="00B62BBE">
            <w:pPr>
              <w:pStyle w:val="ListNumber2"/>
              <w:cnfStyle w:val="000000100000" w:firstRow="0" w:lastRow="0" w:firstColumn="0" w:lastColumn="0" w:oddVBand="0" w:evenVBand="0" w:oddHBand="1" w:evenHBand="0" w:firstRowFirstColumn="0" w:firstRowLastColumn="0" w:lastRowFirstColumn="0" w:lastRowLastColumn="0"/>
            </w:pPr>
            <w:r w:rsidRPr="00B62BBE">
              <w:t>health economics</w:t>
            </w:r>
          </w:p>
          <w:p w14:paraId="39C19E7D" w14:textId="77777777" w:rsidR="00164BCF" w:rsidRPr="00B62BBE" w:rsidRDefault="00164BCF" w:rsidP="00B62BBE">
            <w:pPr>
              <w:pStyle w:val="ListNumber2"/>
              <w:cnfStyle w:val="000000100000" w:firstRow="0" w:lastRow="0" w:firstColumn="0" w:lastColumn="0" w:oddVBand="0" w:evenVBand="0" w:oddHBand="1" w:evenHBand="0" w:firstRowFirstColumn="0" w:firstRowLastColumn="0" w:lastRowFirstColumn="0" w:lastRowLastColumn="0"/>
            </w:pPr>
            <w:r w:rsidRPr="00B62BBE">
              <w:t>government financing and economic policy</w:t>
            </w:r>
          </w:p>
          <w:p w14:paraId="53E9F40E" w14:textId="77777777" w:rsidR="00164BCF" w:rsidRPr="00B62BBE" w:rsidRDefault="00164BCF" w:rsidP="00B62BBE">
            <w:pPr>
              <w:pStyle w:val="ListNumber2"/>
              <w:cnfStyle w:val="000000100000" w:firstRow="0" w:lastRow="0" w:firstColumn="0" w:lastColumn="0" w:oddVBand="0" w:evenVBand="0" w:oddHBand="1" w:evenHBand="0" w:firstRowFirstColumn="0" w:firstRowLastColumn="0" w:lastRowFirstColumn="0" w:lastRowLastColumn="0"/>
            </w:pPr>
            <w:r w:rsidRPr="00B62BBE">
              <w:t>medicine</w:t>
            </w:r>
          </w:p>
          <w:p w14:paraId="5144A456" w14:textId="77777777" w:rsidR="00164BCF" w:rsidRPr="00B62BBE" w:rsidRDefault="00164BCF" w:rsidP="00B62BBE">
            <w:pPr>
              <w:pStyle w:val="ListNumber2"/>
              <w:cnfStyle w:val="000000100000" w:firstRow="0" w:lastRow="0" w:firstColumn="0" w:lastColumn="0" w:oddVBand="0" w:evenVBand="0" w:oddHBand="1" w:evenHBand="0" w:firstRowFirstColumn="0" w:firstRowLastColumn="0" w:lastRowFirstColumn="0" w:lastRowLastColumn="0"/>
            </w:pPr>
            <w:r w:rsidRPr="00B62BBE">
              <w:t>clinical epidemiology</w:t>
            </w:r>
          </w:p>
          <w:p w14:paraId="51615C9F" w14:textId="77777777" w:rsidR="00164BCF" w:rsidRPr="00B62BBE" w:rsidRDefault="00164BCF" w:rsidP="00B62BBE">
            <w:pPr>
              <w:pStyle w:val="ListNumber2"/>
              <w:cnfStyle w:val="000000100000" w:firstRow="0" w:lastRow="0" w:firstColumn="0" w:lastColumn="0" w:oddVBand="0" w:evenVBand="0" w:oddHBand="1" w:evenHBand="0" w:firstRowFirstColumn="0" w:firstRowLastColumn="0" w:lastRowFirstColumn="0" w:lastRowLastColumn="0"/>
            </w:pPr>
            <w:r w:rsidRPr="00B62BBE">
              <w:t>pharmacology</w:t>
            </w:r>
          </w:p>
          <w:p w14:paraId="1F2B1063" w14:textId="77777777" w:rsidR="00164BCF" w:rsidRPr="00B62BBE" w:rsidRDefault="00164BCF" w:rsidP="00B62BBE">
            <w:pPr>
              <w:pStyle w:val="ListNumber2"/>
              <w:cnfStyle w:val="000000100000" w:firstRow="0" w:lastRow="0" w:firstColumn="0" w:lastColumn="0" w:oddVBand="0" w:evenVBand="0" w:oddHBand="1" w:evenHBand="0" w:firstRowFirstColumn="0" w:firstRowLastColumn="0" w:lastRowFirstColumn="0" w:lastRowLastColumn="0"/>
            </w:pPr>
            <w:r w:rsidRPr="00B62BBE">
              <w:t>biostatistics</w:t>
            </w:r>
          </w:p>
        </w:tc>
        <w:tc>
          <w:tcPr>
            <w:tcW w:w="3548" w:type="dxa"/>
            <w:hideMark/>
          </w:tcPr>
          <w:p w14:paraId="52206A86" w14:textId="77777777" w:rsidR="00164BCF" w:rsidRPr="00B62BBE" w:rsidRDefault="00164BCF" w:rsidP="00B62BBE">
            <w:pPr>
              <w:pStyle w:val="ListNumber2"/>
              <w:numPr>
                <w:ilvl w:val="0"/>
                <w:numId w:val="12"/>
              </w:numPr>
              <w:cnfStyle w:val="000000100000" w:firstRow="0" w:lastRow="0" w:firstColumn="0" w:lastColumn="0" w:oddVBand="0" w:evenVBand="0" w:oddHBand="1" w:evenHBand="0" w:firstRowFirstColumn="0" w:firstRowLastColumn="0" w:lastRowFirstColumn="0" w:lastRowLastColumn="0"/>
            </w:pPr>
            <w:r w:rsidRPr="00B62BBE">
              <w:t>Analyses conducted to support the report</w:t>
            </w:r>
          </w:p>
          <w:p w14:paraId="40A3783D" w14:textId="77777777" w:rsidR="00164BCF" w:rsidRPr="00DE69AB" w:rsidRDefault="00164BCF" w:rsidP="00B62BBE">
            <w:pPr>
              <w:pStyle w:val="ListNumber2"/>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B62BBE">
              <w:t>Draft and finalise reports</w:t>
            </w:r>
          </w:p>
        </w:tc>
      </w:tr>
    </w:tbl>
    <w:p w14:paraId="2AC9B10A" w14:textId="59F45A2B" w:rsidR="00164BCF" w:rsidRPr="008C4BBA" w:rsidRDefault="00164BCF" w:rsidP="006036DC">
      <w:pPr>
        <w:pStyle w:val="Heading3"/>
        <w:pageBreakBefore/>
        <w:rPr>
          <w:rFonts w:eastAsia="Yu Gothic Light"/>
          <w:lang w:val="en-US" w:eastAsia="ko-KR"/>
        </w:rPr>
      </w:pPr>
      <w:r w:rsidRPr="008C4BBA">
        <w:lastRenderedPageBreak/>
        <w:t>Evaluation</w:t>
      </w:r>
      <w:r w:rsidRPr="008C4BBA">
        <w:rPr>
          <w:rFonts w:eastAsia="Yu Gothic Light"/>
          <w:lang w:val="en-US" w:eastAsia="ko-KR"/>
        </w:rPr>
        <w:t xml:space="preserve"> Criteria</w:t>
      </w:r>
    </w:p>
    <w:p w14:paraId="1DDF554A" w14:textId="77777777" w:rsidR="00164BCF" w:rsidRPr="0069363E" w:rsidRDefault="00164BCF" w:rsidP="0069363E">
      <w:pPr>
        <w:pStyle w:val="Heading4"/>
      </w:pPr>
      <w:bookmarkStart w:id="6" w:name="_Toc459036854"/>
      <w:r w:rsidRPr="0069363E">
        <w:t>Technical Evaluation Criteria</w:t>
      </w:r>
      <w:bookmarkEnd w:id="6"/>
    </w:p>
    <w:tbl>
      <w:tblPr>
        <w:tblStyle w:val="DepartmentofHealthtable"/>
        <w:tblW w:w="9067" w:type="dxa"/>
        <w:tblLook w:val="0420" w:firstRow="1" w:lastRow="0" w:firstColumn="0" w:lastColumn="0" w:noHBand="0" w:noVBand="1"/>
      </w:tblPr>
      <w:tblGrid>
        <w:gridCol w:w="6989"/>
        <w:gridCol w:w="2078"/>
      </w:tblGrid>
      <w:tr w:rsidR="00164BCF" w:rsidRPr="00164BCF" w14:paraId="02623540" w14:textId="77777777" w:rsidTr="00F95755">
        <w:trPr>
          <w:cnfStyle w:val="100000000000" w:firstRow="1" w:lastRow="0" w:firstColumn="0" w:lastColumn="0" w:oddVBand="0" w:evenVBand="0" w:oddHBand="0" w:evenHBand="0" w:firstRowFirstColumn="0" w:firstRowLastColumn="0" w:lastRowFirstColumn="0" w:lastRowLastColumn="0"/>
          <w:trHeight w:val="267"/>
          <w:tblHeader/>
        </w:trPr>
        <w:tc>
          <w:tcPr>
            <w:tcW w:w="6989" w:type="dxa"/>
            <w:hideMark/>
          </w:tcPr>
          <w:p w14:paraId="1BD7B780" w14:textId="77777777" w:rsidR="00164BCF" w:rsidRPr="006036DC" w:rsidRDefault="00164BCF" w:rsidP="006036DC">
            <w:r w:rsidRPr="006036DC">
              <w:t>Description</w:t>
            </w:r>
          </w:p>
        </w:tc>
        <w:tc>
          <w:tcPr>
            <w:tcW w:w="2078" w:type="dxa"/>
            <w:hideMark/>
          </w:tcPr>
          <w:p w14:paraId="59E00665" w14:textId="07226B52" w:rsidR="00164BCF" w:rsidRPr="006036DC" w:rsidRDefault="00164BCF" w:rsidP="006036DC">
            <w:r w:rsidRPr="006036DC">
              <w:t>Weighting</w:t>
            </w:r>
          </w:p>
        </w:tc>
      </w:tr>
      <w:tr w:rsidR="00164BCF" w:rsidRPr="00164BCF" w14:paraId="3BB11FAD" w14:textId="77777777" w:rsidTr="00B62BBE">
        <w:trPr>
          <w:cnfStyle w:val="000000100000" w:firstRow="0" w:lastRow="0" w:firstColumn="0" w:lastColumn="0" w:oddVBand="0" w:evenVBand="0" w:oddHBand="1" w:evenHBand="0" w:firstRowFirstColumn="0" w:firstRowLastColumn="0" w:lastRowFirstColumn="0" w:lastRowLastColumn="0"/>
          <w:trHeight w:val="1961"/>
        </w:trPr>
        <w:tc>
          <w:tcPr>
            <w:tcW w:w="6989" w:type="dxa"/>
          </w:tcPr>
          <w:p w14:paraId="0CA18297" w14:textId="35AD795A" w:rsidR="00164BCF" w:rsidRPr="00B62BBE" w:rsidRDefault="00164BCF" w:rsidP="00B62BBE">
            <w:pPr>
              <w:rPr>
                <w:rStyle w:val="Strong"/>
              </w:rPr>
            </w:pPr>
            <w:r w:rsidRPr="00B62BBE">
              <w:rPr>
                <w:rStyle w:val="Strong"/>
              </w:rPr>
              <w:t>Criterion One – Tenderer experience</w:t>
            </w:r>
          </w:p>
          <w:p w14:paraId="590B343F" w14:textId="50B9F4B8" w:rsidR="00164BCF" w:rsidRPr="00B62BBE" w:rsidRDefault="00164BCF" w:rsidP="00B62BBE">
            <w:r w:rsidRPr="00B62BBE">
              <w:t>The Tenderer’s ability to deliver the Services within the Department’s timeframes, as demonstrated by the Tenderer’s relevant prior experience in providing reliable, high-quality services for projects of a similar nature or undertaking analysis covering similar subject matter to the Services described in the Statement of Requirement.</w:t>
            </w:r>
          </w:p>
        </w:tc>
        <w:tc>
          <w:tcPr>
            <w:tcW w:w="2078" w:type="dxa"/>
            <w:hideMark/>
          </w:tcPr>
          <w:p w14:paraId="1DE029D2" w14:textId="77777777" w:rsidR="00164BCF" w:rsidRPr="00B62BBE" w:rsidRDefault="00164BCF" w:rsidP="00B62BBE">
            <w:r w:rsidRPr="00B62BBE">
              <w:t>30%</w:t>
            </w:r>
          </w:p>
        </w:tc>
      </w:tr>
      <w:tr w:rsidR="00164BCF" w:rsidRPr="00164BCF" w14:paraId="1B294539" w14:textId="77777777" w:rsidTr="00B62BBE">
        <w:trPr>
          <w:cnfStyle w:val="000000010000" w:firstRow="0" w:lastRow="0" w:firstColumn="0" w:lastColumn="0" w:oddVBand="0" w:evenVBand="0" w:oddHBand="0" w:evenHBand="1" w:firstRowFirstColumn="0" w:firstRowLastColumn="0" w:lastRowFirstColumn="0" w:lastRowLastColumn="0"/>
          <w:trHeight w:val="1345"/>
        </w:trPr>
        <w:tc>
          <w:tcPr>
            <w:tcW w:w="6989" w:type="dxa"/>
            <w:hideMark/>
          </w:tcPr>
          <w:p w14:paraId="15190724" w14:textId="77777777" w:rsidR="00164BCF" w:rsidRPr="00B62BBE" w:rsidRDefault="00164BCF" w:rsidP="00B62BBE">
            <w:r w:rsidRPr="00B62BBE">
              <w:rPr>
                <w:rStyle w:val="Strong"/>
              </w:rPr>
              <w:t>Criterion Two – Demonstrated understanding of the Department’s</w:t>
            </w:r>
            <w:r w:rsidRPr="00B62BBE">
              <w:t xml:space="preserve"> requirements for Services as described in Schedule 1</w:t>
            </w:r>
          </w:p>
          <w:p w14:paraId="7C33BB01" w14:textId="77777777" w:rsidR="00164BCF" w:rsidRPr="00B62BBE" w:rsidRDefault="00164BCF" w:rsidP="00B62BBE">
            <w:r w:rsidRPr="00B62BBE">
              <w:t>The Tenderer’s understanding of the Department’s requirements (as described in the Statement of Requirement).</w:t>
            </w:r>
          </w:p>
        </w:tc>
        <w:tc>
          <w:tcPr>
            <w:tcW w:w="2078" w:type="dxa"/>
            <w:hideMark/>
          </w:tcPr>
          <w:p w14:paraId="679A07C7" w14:textId="77777777" w:rsidR="00164BCF" w:rsidRPr="00B62BBE" w:rsidRDefault="00164BCF" w:rsidP="00B62BBE">
            <w:r w:rsidRPr="00B62BBE">
              <w:t>25%</w:t>
            </w:r>
          </w:p>
        </w:tc>
      </w:tr>
      <w:tr w:rsidR="00164BCF" w:rsidRPr="00164BCF" w14:paraId="2B22379D" w14:textId="77777777" w:rsidTr="00B62BBE">
        <w:trPr>
          <w:cnfStyle w:val="000000100000" w:firstRow="0" w:lastRow="0" w:firstColumn="0" w:lastColumn="0" w:oddVBand="0" w:evenVBand="0" w:oddHBand="1" w:evenHBand="0" w:firstRowFirstColumn="0" w:firstRowLastColumn="0" w:lastRowFirstColumn="0" w:lastRowLastColumn="0"/>
          <w:trHeight w:val="783"/>
        </w:trPr>
        <w:tc>
          <w:tcPr>
            <w:tcW w:w="6989" w:type="dxa"/>
          </w:tcPr>
          <w:p w14:paraId="19514CB6" w14:textId="77777777" w:rsidR="00164BCF" w:rsidRPr="00B62BBE" w:rsidRDefault="00164BCF" w:rsidP="00B62BBE">
            <w:pPr>
              <w:rPr>
                <w:rStyle w:val="Strong"/>
              </w:rPr>
            </w:pPr>
            <w:r w:rsidRPr="00B62BBE">
              <w:rPr>
                <w:rStyle w:val="Strong"/>
              </w:rPr>
              <w:t>Criterion Three – The Tenderer’s capacity to deliver the Services</w:t>
            </w:r>
          </w:p>
          <w:p w14:paraId="5EF8B403" w14:textId="77777777" w:rsidR="00164BCF" w:rsidRPr="00B62BBE" w:rsidRDefault="00164BCF" w:rsidP="00B62BBE">
            <w:r w:rsidRPr="00B62BBE">
              <w:t>The extent to which the Tenderer has readily available Specified Personnel (including back</w:t>
            </w:r>
            <w:r w:rsidRPr="00B62BBE">
              <w:noBreakHyphen/>
              <w:t>up Specified Personnel) with appropriate qualifications, skills, and experience in:</w:t>
            </w:r>
          </w:p>
          <w:p w14:paraId="061EC563" w14:textId="77777777" w:rsidR="00164BCF" w:rsidRPr="00164BCF" w:rsidRDefault="00164BCF" w:rsidP="0069363E">
            <w:pPr>
              <w:pStyle w:val="ListBullet"/>
              <w:rPr>
                <w:rFonts w:eastAsia="SimSun"/>
                <w:lang w:eastAsia="zh-CN"/>
              </w:rPr>
            </w:pPr>
            <w:r w:rsidRPr="00164BCF">
              <w:rPr>
                <w:rFonts w:eastAsia="SimSun"/>
                <w:lang w:eastAsia="zh-CN"/>
              </w:rPr>
              <w:t>knowledge of fields relevant to delivering the Services, including but not limited to:</w:t>
            </w:r>
          </w:p>
          <w:p w14:paraId="658728D3" w14:textId="77777777" w:rsidR="00164BCF" w:rsidRPr="00B62BBE" w:rsidRDefault="00164BCF" w:rsidP="00B62BBE">
            <w:pPr>
              <w:pStyle w:val="ListBullet3"/>
              <w:rPr>
                <w:rFonts w:eastAsia="SimSun"/>
              </w:rPr>
            </w:pPr>
            <w:r w:rsidRPr="00B62BBE">
              <w:rPr>
                <w:rFonts w:eastAsia="SimSun"/>
              </w:rPr>
              <w:t>public policy</w:t>
            </w:r>
          </w:p>
          <w:p w14:paraId="0D3619E5" w14:textId="77777777" w:rsidR="00164BCF" w:rsidRPr="00B62BBE" w:rsidRDefault="00164BCF" w:rsidP="00B62BBE">
            <w:pPr>
              <w:pStyle w:val="ListBullet3"/>
              <w:rPr>
                <w:rFonts w:eastAsia="SimSun"/>
              </w:rPr>
            </w:pPr>
            <w:r w:rsidRPr="00B62BBE">
              <w:rPr>
                <w:rFonts w:eastAsia="SimSun"/>
              </w:rPr>
              <w:t>HTA methods</w:t>
            </w:r>
          </w:p>
          <w:p w14:paraId="6F8C279A" w14:textId="77777777" w:rsidR="00164BCF" w:rsidRPr="00B62BBE" w:rsidRDefault="00164BCF" w:rsidP="00B62BBE">
            <w:pPr>
              <w:pStyle w:val="ListBullet3"/>
              <w:rPr>
                <w:rFonts w:eastAsia="SimSun"/>
              </w:rPr>
            </w:pPr>
            <w:r w:rsidRPr="00B62BBE">
              <w:rPr>
                <w:rFonts w:eastAsia="SimSun"/>
              </w:rPr>
              <w:t>Australian HTA practices and regulation including for the PBAC and MSAC.</w:t>
            </w:r>
          </w:p>
          <w:p w14:paraId="6ED82EBC" w14:textId="77777777" w:rsidR="00164BCF" w:rsidRPr="00B62BBE" w:rsidRDefault="00164BCF" w:rsidP="00B62BBE">
            <w:pPr>
              <w:pStyle w:val="ListBullet3"/>
              <w:rPr>
                <w:rFonts w:eastAsia="SimSun"/>
              </w:rPr>
            </w:pPr>
            <w:r w:rsidRPr="00B62BBE">
              <w:rPr>
                <w:rFonts w:eastAsia="SimSun"/>
              </w:rPr>
              <w:t>medical and surgical services including diagnostics and therapeutics</w:t>
            </w:r>
          </w:p>
          <w:p w14:paraId="7685E2CC" w14:textId="77777777" w:rsidR="00164BCF" w:rsidRPr="00B62BBE" w:rsidRDefault="00164BCF" w:rsidP="00B62BBE">
            <w:pPr>
              <w:pStyle w:val="ListBullet3"/>
              <w:rPr>
                <w:rFonts w:eastAsia="SimSun"/>
              </w:rPr>
            </w:pPr>
            <w:r w:rsidRPr="00B62BBE">
              <w:rPr>
                <w:rFonts w:eastAsia="SimSun"/>
              </w:rPr>
              <w:t>health economics</w:t>
            </w:r>
          </w:p>
          <w:p w14:paraId="095A99BC" w14:textId="77777777" w:rsidR="00164BCF" w:rsidRPr="00B62BBE" w:rsidRDefault="00164BCF" w:rsidP="00B62BBE">
            <w:pPr>
              <w:pStyle w:val="ListBullet3"/>
              <w:rPr>
                <w:rFonts w:eastAsia="SimSun"/>
              </w:rPr>
            </w:pPr>
            <w:r w:rsidRPr="00B62BBE">
              <w:rPr>
                <w:rFonts w:eastAsia="SimSun"/>
              </w:rPr>
              <w:t>government financing and economic policy</w:t>
            </w:r>
          </w:p>
          <w:p w14:paraId="73C86AE1" w14:textId="77777777" w:rsidR="00164BCF" w:rsidRPr="00B62BBE" w:rsidRDefault="00164BCF" w:rsidP="00B62BBE">
            <w:pPr>
              <w:pStyle w:val="ListBullet3"/>
              <w:rPr>
                <w:rFonts w:eastAsia="SimSun"/>
              </w:rPr>
            </w:pPr>
            <w:r w:rsidRPr="00B62BBE">
              <w:rPr>
                <w:rFonts w:eastAsia="SimSun"/>
              </w:rPr>
              <w:t>medicine</w:t>
            </w:r>
          </w:p>
          <w:p w14:paraId="6AB932AC" w14:textId="77777777" w:rsidR="00164BCF" w:rsidRPr="00B62BBE" w:rsidRDefault="00164BCF" w:rsidP="00B62BBE">
            <w:pPr>
              <w:pStyle w:val="ListBullet3"/>
              <w:rPr>
                <w:rFonts w:eastAsia="SimSun"/>
              </w:rPr>
            </w:pPr>
            <w:r w:rsidRPr="00B62BBE">
              <w:rPr>
                <w:rFonts w:eastAsia="SimSun"/>
              </w:rPr>
              <w:t>clinical epidemiology</w:t>
            </w:r>
          </w:p>
          <w:p w14:paraId="5DD9D0EA" w14:textId="77777777" w:rsidR="00164BCF" w:rsidRPr="00B62BBE" w:rsidRDefault="00164BCF" w:rsidP="00B62BBE">
            <w:pPr>
              <w:pStyle w:val="ListBullet3"/>
              <w:rPr>
                <w:rFonts w:eastAsia="SimSun"/>
              </w:rPr>
            </w:pPr>
            <w:r w:rsidRPr="00B62BBE">
              <w:rPr>
                <w:rFonts w:eastAsia="SimSun"/>
              </w:rPr>
              <w:t>pharmacology</w:t>
            </w:r>
          </w:p>
          <w:p w14:paraId="08309872" w14:textId="77777777" w:rsidR="00164BCF" w:rsidRPr="00B62BBE" w:rsidRDefault="00164BCF" w:rsidP="00B62BBE">
            <w:pPr>
              <w:pStyle w:val="ListBullet3"/>
              <w:rPr>
                <w:rFonts w:eastAsia="SimSun"/>
              </w:rPr>
            </w:pPr>
            <w:r w:rsidRPr="00B62BBE">
              <w:rPr>
                <w:rFonts w:eastAsia="SimSun"/>
              </w:rPr>
              <w:t>biostatistics</w:t>
            </w:r>
          </w:p>
          <w:p w14:paraId="4B55156B" w14:textId="77777777" w:rsidR="00164BCF" w:rsidRPr="0069363E" w:rsidRDefault="00164BCF" w:rsidP="0069363E">
            <w:pPr>
              <w:pStyle w:val="ListBullet"/>
              <w:rPr>
                <w:rFonts w:eastAsia="SimSun"/>
              </w:rPr>
            </w:pPr>
            <w:r w:rsidRPr="00164BCF">
              <w:rPr>
                <w:rFonts w:eastAsia="SimSun"/>
                <w:lang w:eastAsia="zh-CN"/>
              </w:rPr>
              <w:t>support</w:t>
            </w:r>
            <w:r w:rsidRPr="0069363E">
              <w:rPr>
                <w:rFonts w:eastAsia="SimSun"/>
              </w:rPr>
              <w:t xml:space="preserve"> personnel to support the Specified Personnel to deliver the Services; and</w:t>
            </w:r>
          </w:p>
          <w:p w14:paraId="1A239911" w14:textId="77777777" w:rsidR="00164BCF" w:rsidRPr="00164BCF" w:rsidRDefault="00164BCF" w:rsidP="0069363E">
            <w:pPr>
              <w:pStyle w:val="ListBullet"/>
              <w:rPr>
                <w:rFonts w:eastAsia="SimSun"/>
                <w:lang w:eastAsia="zh-CN"/>
              </w:rPr>
            </w:pPr>
            <w:r w:rsidRPr="0069363E">
              <w:rPr>
                <w:rFonts w:eastAsia="SimSun"/>
              </w:rPr>
              <w:t>ability to leverage Specified Personnel to support surge capacity r</w:t>
            </w:r>
            <w:r w:rsidRPr="00164BCF">
              <w:rPr>
                <w:rFonts w:eastAsia="SimSun"/>
                <w:lang w:eastAsia="zh-CN"/>
              </w:rPr>
              <w:t>equirements, including at short notice.</w:t>
            </w:r>
          </w:p>
        </w:tc>
        <w:tc>
          <w:tcPr>
            <w:tcW w:w="2078" w:type="dxa"/>
            <w:hideMark/>
          </w:tcPr>
          <w:p w14:paraId="62B3E9EE" w14:textId="77777777" w:rsidR="00164BCF" w:rsidRPr="00B62BBE" w:rsidRDefault="00164BCF" w:rsidP="00B62BBE">
            <w:r w:rsidRPr="00B62BBE">
              <w:t>25%</w:t>
            </w:r>
          </w:p>
        </w:tc>
      </w:tr>
      <w:tr w:rsidR="00164BCF" w:rsidRPr="00164BCF" w14:paraId="46E99E63" w14:textId="77777777" w:rsidTr="00B62BBE">
        <w:trPr>
          <w:cnfStyle w:val="000000010000" w:firstRow="0" w:lastRow="0" w:firstColumn="0" w:lastColumn="0" w:oddVBand="0" w:evenVBand="0" w:oddHBand="0" w:evenHBand="1" w:firstRowFirstColumn="0" w:firstRowLastColumn="0" w:lastRowFirstColumn="0" w:lastRowLastColumn="0"/>
          <w:trHeight w:val="3353"/>
        </w:trPr>
        <w:tc>
          <w:tcPr>
            <w:tcW w:w="6989" w:type="dxa"/>
            <w:hideMark/>
          </w:tcPr>
          <w:p w14:paraId="5ABC47F1" w14:textId="77777777" w:rsidR="00164BCF" w:rsidRPr="00B62BBE" w:rsidRDefault="00164BCF" w:rsidP="00B62BBE">
            <w:pPr>
              <w:rPr>
                <w:rStyle w:val="Strong"/>
              </w:rPr>
            </w:pPr>
            <w:r w:rsidRPr="00B62BBE">
              <w:rPr>
                <w:rStyle w:val="Strong"/>
              </w:rPr>
              <w:lastRenderedPageBreak/>
              <w:t>Criterion Four – Tenderer’s approach in delivering the Services</w:t>
            </w:r>
          </w:p>
          <w:p w14:paraId="0420D474" w14:textId="5609321B" w:rsidR="00164BCF" w:rsidRPr="00B62BBE" w:rsidRDefault="00164BCF" w:rsidP="00B62BBE">
            <w:pPr>
              <w:rPr>
                <w:rFonts w:eastAsia="SimSun"/>
              </w:rPr>
            </w:pPr>
            <w:r w:rsidRPr="00B62BBE">
              <w:rPr>
                <w:rFonts w:eastAsia="SimSun"/>
              </w:rPr>
              <w:t>The experience and approach of the Tenderer in delivering similar Services, including, but not limited to:</w:t>
            </w:r>
          </w:p>
          <w:p w14:paraId="7A8308D4" w14:textId="0F9C244D" w:rsidR="00164BCF" w:rsidRPr="00B62BBE" w:rsidRDefault="00164BCF" w:rsidP="00B62BBE">
            <w:pPr>
              <w:pStyle w:val="ListBullet"/>
              <w:rPr>
                <w:rFonts w:eastAsia="SimSun"/>
              </w:rPr>
            </w:pPr>
            <w:r w:rsidRPr="0069363E">
              <w:rPr>
                <w:rFonts w:eastAsia="SimSun"/>
              </w:rPr>
              <w:t>how the Tenderer’s, res</w:t>
            </w:r>
            <w:r w:rsidRPr="00B62BBE">
              <w:rPr>
                <w:rFonts w:eastAsia="SimSun"/>
              </w:rPr>
              <w:t>ources, governance, and operational plans will assist the Tenderer to deliver the Services</w:t>
            </w:r>
          </w:p>
          <w:p w14:paraId="0FF6B10B" w14:textId="4350D8DB" w:rsidR="00164BCF" w:rsidRPr="00B62BBE" w:rsidRDefault="00164BCF" w:rsidP="00B62BBE">
            <w:pPr>
              <w:pStyle w:val="ListBullet"/>
              <w:rPr>
                <w:rFonts w:eastAsia="SimSun"/>
              </w:rPr>
            </w:pPr>
            <w:r w:rsidRPr="00B62BBE">
              <w:rPr>
                <w:rFonts w:eastAsia="SimSun"/>
              </w:rPr>
              <w:t>ability to work collaboratively with stakeholders</w:t>
            </w:r>
          </w:p>
          <w:p w14:paraId="05F2A893" w14:textId="499063C8" w:rsidR="00164BCF" w:rsidRPr="00B62BBE" w:rsidRDefault="00164BCF" w:rsidP="00B62BBE">
            <w:pPr>
              <w:pStyle w:val="ListBullet"/>
              <w:rPr>
                <w:rFonts w:eastAsia="SimSun"/>
              </w:rPr>
            </w:pPr>
            <w:r w:rsidRPr="00B62BBE">
              <w:rPr>
                <w:rFonts w:eastAsia="SimSun"/>
              </w:rPr>
              <w:t>conflicts of interest management strategies</w:t>
            </w:r>
          </w:p>
          <w:p w14:paraId="4939BE02" w14:textId="133A95C5" w:rsidR="00164BCF" w:rsidRPr="00B62BBE" w:rsidRDefault="00164BCF" w:rsidP="00B62BBE">
            <w:pPr>
              <w:pStyle w:val="ListBullet"/>
              <w:rPr>
                <w:rFonts w:eastAsia="SimSun"/>
              </w:rPr>
            </w:pPr>
            <w:r w:rsidRPr="00B62BBE">
              <w:rPr>
                <w:rFonts w:eastAsia="SimSun"/>
              </w:rPr>
              <w:t>risk management strategies</w:t>
            </w:r>
          </w:p>
          <w:p w14:paraId="473B2BD1" w14:textId="5F68E065" w:rsidR="00164BCF" w:rsidRPr="00B62BBE" w:rsidRDefault="00164BCF" w:rsidP="00B62BBE">
            <w:pPr>
              <w:pStyle w:val="ListBullet"/>
              <w:rPr>
                <w:rFonts w:eastAsia="SimSun"/>
              </w:rPr>
            </w:pPr>
            <w:r w:rsidRPr="00B62BBE">
              <w:rPr>
                <w:rFonts w:eastAsia="SimSun"/>
              </w:rPr>
              <w:t>management and control of the Services</w:t>
            </w:r>
          </w:p>
          <w:p w14:paraId="440CC9A4" w14:textId="77777777" w:rsidR="00164BCF" w:rsidRPr="00B62BBE" w:rsidRDefault="00164BCF" w:rsidP="00B62BBE">
            <w:pPr>
              <w:pStyle w:val="ListBullet"/>
              <w:rPr>
                <w:rFonts w:eastAsia="SimSun"/>
              </w:rPr>
            </w:pPr>
            <w:r w:rsidRPr="00B62BBE">
              <w:rPr>
                <w:rFonts w:eastAsia="SimSun"/>
              </w:rPr>
              <w:t xml:space="preserve">expertise and quality assurance procedures; and </w:t>
            </w:r>
          </w:p>
          <w:p w14:paraId="39A074D1" w14:textId="77777777" w:rsidR="00164BCF" w:rsidRPr="00164BCF" w:rsidRDefault="00164BCF" w:rsidP="00B62BBE">
            <w:pPr>
              <w:pStyle w:val="ListBullet"/>
              <w:rPr>
                <w:rFonts w:eastAsia="SimSun"/>
                <w:lang w:eastAsia="zh-CN"/>
              </w:rPr>
            </w:pPr>
            <w:r w:rsidRPr="00B62BBE">
              <w:rPr>
                <w:rFonts w:eastAsia="SimSun"/>
              </w:rPr>
              <w:t>ability to deliver high quality analysis rep</w:t>
            </w:r>
            <w:r w:rsidRPr="0069363E">
              <w:rPr>
                <w:rFonts w:eastAsia="SimSun"/>
              </w:rPr>
              <w:t>orts in a timely manner.</w:t>
            </w:r>
          </w:p>
        </w:tc>
        <w:tc>
          <w:tcPr>
            <w:tcW w:w="2078" w:type="dxa"/>
            <w:hideMark/>
          </w:tcPr>
          <w:p w14:paraId="5BAE4067" w14:textId="77777777" w:rsidR="00164BCF" w:rsidRPr="00B62BBE" w:rsidRDefault="00164BCF" w:rsidP="00B62BBE">
            <w:r w:rsidRPr="00B62BBE">
              <w:t>20%</w:t>
            </w:r>
          </w:p>
        </w:tc>
      </w:tr>
      <w:tr w:rsidR="00164BCF" w:rsidRPr="00164BCF" w14:paraId="076ED313" w14:textId="77777777" w:rsidTr="00B62BBE">
        <w:trPr>
          <w:cnfStyle w:val="000000100000" w:firstRow="0" w:lastRow="0" w:firstColumn="0" w:lastColumn="0" w:oddVBand="0" w:evenVBand="0" w:oddHBand="1" w:evenHBand="0" w:firstRowFirstColumn="0" w:firstRowLastColumn="0" w:lastRowFirstColumn="0" w:lastRowLastColumn="0"/>
          <w:trHeight w:val="798"/>
        </w:trPr>
        <w:tc>
          <w:tcPr>
            <w:tcW w:w="6989" w:type="dxa"/>
            <w:hideMark/>
          </w:tcPr>
          <w:p w14:paraId="0B6E162F" w14:textId="77777777" w:rsidR="00164BCF" w:rsidRPr="00B62BBE" w:rsidRDefault="00164BCF" w:rsidP="00B62BBE">
            <w:r w:rsidRPr="00B62BBE">
              <w:t>Pricing – refer to Schedule 5 of the RFT</w:t>
            </w:r>
          </w:p>
        </w:tc>
        <w:tc>
          <w:tcPr>
            <w:tcW w:w="2078" w:type="dxa"/>
            <w:hideMark/>
          </w:tcPr>
          <w:p w14:paraId="1955B0DD" w14:textId="77777777" w:rsidR="00164BCF" w:rsidRPr="00B62BBE" w:rsidRDefault="00164BCF" w:rsidP="00B62BBE">
            <w:r w:rsidRPr="00B62BBE">
              <w:t>Not weighted</w:t>
            </w:r>
          </w:p>
        </w:tc>
      </w:tr>
    </w:tbl>
    <w:p w14:paraId="4569AA7E" w14:textId="055B70E6" w:rsidR="008C4BBA" w:rsidRPr="0069363E" w:rsidRDefault="00164BCF" w:rsidP="0069363E">
      <w:pPr>
        <w:pStyle w:val="Heading4"/>
      </w:pPr>
      <w:bookmarkStart w:id="7" w:name="_Toc459036855"/>
      <w:r w:rsidRPr="0069363E">
        <w:t>Non</w:t>
      </w:r>
      <w:r w:rsidRPr="0069363E">
        <w:noBreakHyphen/>
        <w:t>Technical Criteria</w:t>
      </w:r>
      <w:bookmarkEnd w:id="7"/>
    </w:p>
    <w:tbl>
      <w:tblPr>
        <w:tblStyle w:val="DepartmentofHealthtable"/>
        <w:tblW w:w="9198" w:type="dxa"/>
        <w:tblLook w:val="0020" w:firstRow="1" w:lastRow="0" w:firstColumn="0" w:lastColumn="0" w:noHBand="0" w:noVBand="0"/>
      </w:tblPr>
      <w:tblGrid>
        <w:gridCol w:w="635"/>
        <w:gridCol w:w="8563"/>
      </w:tblGrid>
      <w:tr w:rsidR="008C4BBA" w:rsidRPr="00164BCF" w14:paraId="011AC7F9" w14:textId="77777777" w:rsidTr="0069363E">
        <w:trPr>
          <w:cnfStyle w:val="100000000000" w:firstRow="1" w:lastRow="0" w:firstColumn="0" w:lastColumn="0" w:oddVBand="0" w:evenVBand="0" w:oddHBand="0" w:evenHBand="0" w:firstRowFirstColumn="0" w:firstRowLastColumn="0" w:lastRowFirstColumn="0" w:lastRowLastColumn="0"/>
          <w:trHeight w:val="386"/>
          <w:tblHeader/>
        </w:trPr>
        <w:tc>
          <w:tcPr>
            <w:tcW w:w="635" w:type="dxa"/>
            <w:hideMark/>
          </w:tcPr>
          <w:p w14:paraId="1EB84A23" w14:textId="77777777" w:rsidR="00164BCF" w:rsidRPr="006036DC" w:rsidRDefault="00164BCF" w:rsidP="006036DC">
            <w:pPr>
              <w:rPr>
                <w:rFonts w:eastAsia="Calibri"/>
              </w:rPr>
            </w:pPr>
            <w:r w:rsidRPr="006036DC">
              <w:rPr>
                <w:rFonts w:eastAsia="Calibri"/>
              </w:rPr>
              <w:t>No.</w:t>
            </w:r>
          </w:p>
        </w:tc>
        <w:tc>
          <w:tcPr>
            <w:tcW w:w="8563" w:type="dxa"/>
            <w:hideMark/>
          </w:tcPr>
          <w:p w14:paraId="1F00E9EC" w14:textId="77777777" w:rsidR="00164BCF" w:rsidRPr="006036DC" w:rsidRDefault="00164BCF" w:rsidP="006036DC">
            <w:pPr>
              <w:rPr>
                <w:rFonts w:eastAsia="Calibri"/>
              </w:rPr>
            </w:pPr>
            <w:r w:rsidRPr="006036DC">
              <w:rPr>
                <w:rFonts w:eastAsia="Calibri"/>
              </w:rPr>
              <w:t>Evaluation Criteria</w:t>
            </w:r>
          </w:p>
        </w:tc>
      </w:tr>
      <w:tr w:rsidR="00164BCF" w:rsidRPr="00164BCF" w14:paraId="7E35463F" w14:textId="77777777" w:rsidTr="0069363E">
        <w:trPr>
          <w:cnfStyle w:val="000000100000" w:firstRow="0" w:lastRow="0" w:firstColumn="0" w:lastColumn="0" w:oddVBand="0" w:evenVBand="0" w:oddHBand="1" w:evenHBand="0" w:firstRowFirstColumn="0" w:firstRowLastColumn="0" w:lastRowFirstColumn="0" w:lastRowLastColumn="0"/>
        </w:trPr>
        <w:tc>
          <w:tcPr>
            <w:tcW w:w="635" w:type="dxa"/>
            <w:hideMark/>
          </w:tcPr>
          <w:p w14:paraId="7B7648A3" w14:textId="77777777" w:rsidR="00164BCF" w:rsidRPr="006036DC" w:rsidRDefault="00164BCF" w:rsidP="006036DC">
            <w:pPr>
              <w:rPr>
                <w:rFonts w:eastAsia="Calibri"/>
              </w:rPr>
            </w:pPr>
            <w:r w:rsidRPr="006036DC">
              <w:rPr>
                <w:rFonts w:eastAsia="Calibri"/>
              </w:rPr>
              <w:t>1</w:t>
            </w:r>
          </w:p>
        </w:tc>
        <w:tc>
          <w:tcPr>
            <w:tcW w:w="8563" w:type="dxa"/>
            <w:hideMark/>
          </w:tcPr>
          <w:p w14:paraId="03CD835D" w14:textId="77777777" w:rsidR="00164BCF" w:rsidRPr="006036DC" w:rsidRDefault="00164BCF" w:rsidP="006036DC">
            <w:pPr>
              <w:rPr>
                <w:rFonts w:eastAsia="Calibri"/>
              </w:rPr>
            </w:pPr>
            <w:r w:rsidRPr="006036DC">
              <w:rPr>
                <w:rFonts w:eastAsia="Calibri"/>
              </w:rPr>
              <w:t>The degree of financial viability of the Tenderer, including any associated risks to the Department.</w:t>
            </w:r>
          </w:p>
        </w:tc>
      </w:tr>
      <w:tr w:rsidR="00164BCF" w:rsidRPr="00164BCF" w14:paraId="1BAC9718" w14:textId="77777777" w:rsidTr="0069363E">
        <w:trPr>
          <w:cnfStyle w:val="000000010000" w:firstRow="0" w:lastRow="0" w:firstColumn="0" w:lastColumn="0" w:oddVBand="0" w:evenVBand="0" w:oddHBand="0" w:evenHBand="1" w:firstRowFirstColumn="0" w:firstRowLastColumn="0" w:lastRowFirstColumn="0" w:lastRowLastColumn="0"/>
        </w:trPr>
        <w:tc>
          <w:tcPr>
            <w:tcW w:w="635" w:type="dxa"/>
            <w:hideMark/>
          </w:tcPr>
          <w:p w14:paraId="5CD4D951" w14:textId="77777777" w:rsidR="00164BCF" w:rsidRPr="006036DC" w:rsidRDefault="00164BCF" w:rsidP="006036DC">
            <w:pPr>
              <w:rPr>
                <w:rFonts w:eastAsia="Calibri"/>
              </w:rPr>
            </w:pPr>
            <w:r w:rsidRPr="006036DC">
              <w:rPr>
                <w:rFonts w:eastAsia="Calibri"/>
              </w:rPr>
              <w:t>2</w:t>
            </w:r>
          </w:p>
        </w:tc>
        <w:tc>
          <w:tcPr>
            <w:tcW w:w="8563" w:type="dxa"/>
            <w:hideMark/>
          </w:tcPr>
          <w:p w14:paraId="6CA1F122" w14:textId="77777777" w:rsidR="00164BCF" w:rsidRPr="006036DC" w:rsidRDefault="00164BCF" w:rsidP="006036DC">
            <w:pPr>
              <w:rPr>
                <w:rFonts w:eastAsia="Calibri"/>
              </w:rPr>
            </w:pPr>
            <w:r w:rsidRPr="006036DC">
              <w:rPr>
                <w:rFonts w:eastAsia="Calibri"/>
              </w:rPr>
              <w:t>The degree of the Tenderer's overall compliance with the RFT and Draft Contract and the likelihood of any non</w:t>
            </w:r>
            <w:r w:rsidRPr="006036DC">
              <w:rPr>
                <w:rFonts w:eastAsia="Calibri"/>
              </w:rPr>
              <w:noBreakHyphen/>
              <w:t>compliance meaning the Department is unable to agree a contractual arrangement with that Tenderer.</w:t>
            </w:r>
          </w:p>
        </w:tc>
      </w:tr>
      <w:tr w:rsidR="00164BCF" w:rsidRPr="00164BCF" w14:paraId="3DF1C405" w14:textId="77777777" w:rsidTr="0069363E">
        <w:trPr>
          <w:cnfStyle w:val="000000100000" w:firstRow="0" w:lastRow="0" w:firstColumn="0" w:lastColumn="0" w:oddVBand="0" w:evenVBand="0" w:oddHBand="1" w:evenHBand="0" w:firstRowFirstColumn="0" w:firstRowLastColumn="0" w:lastRowFirstColumn="0" w:lastRowLastColumn="0"/>
        </w:trPr>
        <w:tc>
          <w:tcPr>
            <w:tcW w:w="635" w:type="dxa"/>
            <w:hideMark/>
          </w:tcPr>
          <w:p w14:paraId="472D435E" w14:textId="77777777" w:rsidR="00164BCF" w:rsidRPr="006036DC" w:rsidRDefault="00164BCF" w:rsidP="006036DC">
            <w:r w:rsidRPr="006036DC">
              <w:t>3</w:t>
            </w:r>
          </w:p>
        </w:tc>
        <w:tc>
          <w:tcPr>
            <w:tcW w:w="8563" w:type="dxa"/>
            <w:hideMark/>
          </w:tcPr>
          <w:p w14:paraId="2E7E4A36" w14:textId="77777777" w:rsidR="00164BCF" w:rsidRPr="006036DC" w:rsidRDefault="00164BCF" w:rsidP="006036DC">
            <w:pPr>
              <w:rPr>
                <w:rFonts w:eastAsia="SimSun"/>
              </w:rPr>
            </w:pPr>
            <w:r w:rsidRPr="006036DC">
              <w:rPr>
                <w:rFonts w:eastAsia="Calibri"/>
              </w:rPr>
              <w:t>The extent to which any risks associated with the number and type of any conflicts of interest which have been identified by the Tenderer or which may later arise can be, have been, and/or will be, appropriately managed.</w:t>
            </w:r>
          </w:p>
        </w:tc>
      </w:tr>
      <w:tr w:rsidR="00164BCF" w:rsidRPr="00164BCF" w14:paraId="17203B31" w14:textId="77777777" w:rsidTr="0069363E">
        <w:trPr>
          <w:cnfStyle w:val="000000010000" w:firstRow="0" w:lastRow="0" w:firstColumn="0" w:lastColumn="0" w:oddVBand="0" w:evenVBand="0" w:oddHBand="0" w:evenHBand="1" w:firstRowFirstColumn="0" w:firstRowLastColumn="0" w:lastRowFirstColumn="0" w:lastRowLastColumn="0"/>
        </w:trPr>
        <w:tc>
          <w:tcPr>
            <w:tcW w:w="635" w:type="dxa"/>
            <w:hideMark/>
          </w:tcPr>
          <w:p w14:paraId="7EF9DBD0" w14:textId="77777777" w:rsidR="00164BCF" w:rsidRPr="006036DC" w:rsidRDefault="00164BCF" w:rsidP="006036DC">
            <w:r w:rsidRPr="006036DC">
              <w:t>4</w:t>
            </w:r>
          </w:p>
        </w:tc>
        <w:tc>
          <w:tcPr>
            <w:tcW w:w="8563" w:type="dxa"/>
            <w:hideMark/>
          </w:tcPr>
          <w:p w14:paraId="5272BF42" w14:textId="77777777" w:rsidR="00164BCF" w:rsidRPr="006036DC" w:rsidRDefault="00164BCF" w:rsidP="006036DC">
            <w:pPr>
              <w:rPr>
                <w:rFonts w:eastAsia="SimSun"/>
              </w:rPr>
            </w:pPr>
            <w:r w:rsidRPr="006036DC">
              <w:rPr>
                <w:rFonts w:eastAsia="Calibri"/>
              </w:rPr>
              <w:t>The extent to which the Tenderer does or will meet Commonwealth policy requirements.</w:t>
            </w:r>
          </w:p>
        </w:tc>
      </w:tr>
      <w:tr w:rsidR="00164BCF" w:rsidRPr="00164BCF" w14:paraId="44A26F0E" w14:textId="77777777" w:rsidTr="0069363E">
        <w:trPr>
          <w:cnfStyle w:val="000000100000" w:firstRow="0" w:lastRow="0" w:firstColumn="0" w:lastColumn="0" w:oddVBand="0" w:evenVBand="0" w:oddHBand="1" w:evenHBand="0" w:firstRowFirstColumn="0" w:firstRowLastColumn="0" w:lastRowFirstColumn="0" w:lastRowLastColumn="0"/>
        </w:trPr>
        <w:tc>
          <w:tcPr>
            <w:tcW w:w="635" w:type="dxa"/>
            <w:hideMark/>
          </w:tcPr>
          <w:p w14:paraId="4A8B9613" w14:textId="77777777" w:rsidR="00164BCF" w:rsidRPr="006036DC" w:rsidRDefault="00164BCF" w:rsidP="006036DC">
            <w:r w:rsidRPr="006036DC">
              <w:t>5</w:t>
            </w:r>
          </w:p>
        </w:tc>
        <w:tc>
          <w:tcPr>
            <w:tcW w:w="8563" w:type="dxa"/>
            <w:hideMark/>
          </w:tcPr>
          <w:p w14:paraId="6809377C" w14:textId="77777777" w:rsidR="00164BCF" w:rsidRPr="006036DC" w:rsidRDefault="00164BCF" w:rsidP="006036DC">
            <w:pPr>
              <w:rPr>
                <w:rFonts w:eastAsia="SimSun"/>
              </w:rPr>
            </w:pPr>
            <w:r w:rsidRPr="006036DC">
              <w:rPr>
                <w:rFonts w:eastAsia="Calibri"/>
              </w:rPr>
              <w:t>The extent to which the Tenderer does or will meet all security requirements.</w:t>
            </w:r>
          </w:p>
        </w:tc>
      </w:tr>
      <w:tr w:rsidR="00164BCF" w:rsidRPr="00164BCF" w14:paraId="5DBD4306" w14:textId="77777777" w:rsidTr="0069363E">
        <w:trPr>
          <w:cnfStyle w:val="000000010000" w:firstRow="0" w:lastRow="0" w:firstColumn="0" w:lastColumn="0" w:oddVBand="0" w:evenVBand="0" w:oddHBand="0" w:evenHBand="1" w:firstRowFirstColumn="0" w:firstRowLastColumn="0" w:lastRowFirstColumn="0" w:lastRowLastColumn="0"/>
        </w:trPr>
        <w:tc>
          <w:tcPr>
            <w:tcW w:w="635" w:type="dxa"/>
            <w:hideMark/>
          </w:tcPr>
          <w:p w14:paraId="268B5237" w14:textId="77777777" w:rsidR="00164BCF" w:rsidRPr="006036DC" w:rsidRDefault="00164BCF" w:rsidP="006036DC">
            <w:r w:rsidRPr="006036DC">
              <w:t>6</w:t>
            </w:r>
          </w:p>
        </w:tc>
        <w:tc>
          <w:tcPr>
            <w:tcW w:w="8563" w:type="dxa"/>
            <w:hideMark/>
          </w:tcPr>
          <w:p w14:paraId="49DDD18F" w14:textId="77777777" w:rsidR="00164BCF" w:rsidRPr="006036DC" w:rsidRDefault="00164BCF" w:rsidP="006036DC">
            <w:pPr>
              <w:rPr>
                <w:rFonts w:eastAsia="SimSun"/>
              </w:rPr>
            </w:pPr>
            <w:r w:rsidRPr="006036DC">
              <w:rPr>
                <w:rFonts w:eastAsia="Calibri"/>
              </w:rPr>
              <w:t>Any other risks to the Department which are inherent in, or associated with, the Tenderer's offer.</w:t>
            </w:r>
          </w:p>
        </w:tc>
      </w:tr>
      <w:tr w:rsidR="00164BCF" w:rsidRPr="00164BCF" w14:paraId="7F7BD43C" w14:textId="77777777" w:rsidTr="0069363E">
        <w:trPr>
          <w:cnfStyle w:val="000000100000" w:firstRow="0" w:lastRow="0" w:firstColumn="0" w:lastColumn="0" w:oddVBand="0" w:evenVBand="0" w:oddHBand="1" w:evenHBand="0" w:firstRowFirstColumn="0" w:firstRowLastColumn="0" w:lastRowFirstColumn="0" w:lastRowLastColumn="0"/>
        </w:trPr>
        <w:tc>
          <w:tcPr>
            <w:tcW w:w="635" w:type="dxa"/>
            <w:hideMark/>
          </w:tcPr>
          <w:p w14:paraId="40C1227C" w14:textId="77777777" w:rsidR="00164BCF" w:rsidRPr="00B62BBE" w:rsidRDefault="00164BCF" w:rsidP="00B62BBE">
            <w:r w:rsidRPr="00B62BBE">
              <w:t>7</w:t>
            </w:r>
          </w:p>
        </w:tc>
        <w:tc>
          <w:tcPr>
            <w:tcW w:w="8563" w:type="dxa"/>
            <w:hideMark/>
          </w:tcPr>
          <w:p w14:paraId="4C54B8B3" w14:textId="77777777" w:rsidR="00164BCF" w:rsidRPr="00B62BBE" w:rsidRDefault="00164BCF" w:rsidP="00B62BBE">
            <w:pPr>
              <w:rPr>
                <w:rFonts w:eastAsia="SimSun"/>
              </w:rPr>
            </w:pPr>
            <w:r w:rsidRPr="00B62BBE">
              <w:rPr>
                <w:rFonts w:eastAsia="Calibri"/>
              </w:rPr>
              <w:t>The Tenderer’s proposed approach to:</w:t>
            </w:r>
          </w:p>
          <w:p w14:paraId="693E9A12" w14:textId="77777777" w:rsidR="00164BCF" w:rsidRPr="0069363E" w:rsidRDefault="00164BCF" w:rsidP="0069363E">
            <w:pPr>
              <w:pStyle w:val="ListBullet"/>
              <w:rPr>
                <w:rFonts w:eastAsia="SimSun"/>
              </w:rPr>
            </w:pPr>
            <w:r w:rsidRPr="0069363E">
              <w:rPr>
                <w:rFonts w:eastAsia="SimSun"/>
              </w:rPr>
              <w:t xml:space="preserve">using Indigenous enterprises in its supply chain; and </w:t>
            </w:r>
          </w:p>
          <w:p w14:paraId="21A985B9" w14:textId="77777777" w:rsidR="00164BCF" w:rsidRPr="0069363E" w:rsidRDefault="00164BCF" w:rsidP="0069363E">
            <w:pPr>
              <w:pStyle w:val="ListBullet"/>
              <w:rPr>
                <w:rFonts w:eastAsia="SimSun"/>
              </w:rPr>
            </w:pPr>
            <w:r w:rsidRPr="0069363E">
              <w:rPr>
                <w:rFonts w:eastAsia="SimSun"/>
              </w:rPr>
              <w:t>the employment of Indigenous Australians.</w:t>
            </w:r>
          </w:p>
        </w:tc>
      </w:tr>
      <w:bookmarkEnd w:id="2"/>
      <w:bookmarkEnd w:id="5"/>
    </w:tbl>
    <w:p w14:paraId="56F1E4CF" w14:textId="77777777" w:rsidR="001F7D4A" w:rsidRPr="00B62BBE" w:rsidRDefault="001F7D4A" w:rsidP="00B62BBE"/>
    <w:sectPr w:rsidR="001F7D4A" w:rsidRPr="00B62BBE" w:rsidSect="006036D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0925" w14:textId="77777777" w:rsidR="00EE25B1" w:rsidRDefault="00EE25B1" w:rsidP="006B56BB">
      <w:r>
        <w:separator/>
      </w:r>
    </w:p>
    <w:p w14:paraId="6450BC90" w14:textId="77777777" w:rsidR="00EE25B1" w:rsidRDefault="00EE25B1"/>
  </w:endnote>
  <w:endnote w:type="continuationSeparator" w:id="0">
    <w:p w14:paraId="35B93499" w14:textId="77777777" w:rsidR="00EE25B1" w:rsidRDefault="00EE25B1" w:rsidP="006B56BB">
      <w:r>
        <w:continuationSeparator/>
      </w:r>
    </w:p>
    <w:p w14:paraId="1D23AA60" w14:textId="77777777" w:rsidR="00EE25B1" w:rsidRDefault="00EE25B1"/>
  </w:endnote>
  <w:endnote w:type="continuationNotice" w:id="1">
    <w:p w14:paraId="061F1635" w14:textId="77777777" w:rsidR="00EE25B1" w:rsidRDefault="00EE2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3FED" w14:textId="77777777" w:rsidR="00A32877" w:rsidRDefault="00A32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027B3CF2"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5DF0BC53" w:rsidR="0068134A" w:rsidRPr="00DE3355" w:rsidRDefault="00584A34" w:rsidP="00AC24B7">
    <w:pPr>
      <w:pStyle w:val="Footer"/>
      <w:tabs>
        <w:tab w:val="clear" w:pos="4513"/>
      </w:tabs>
    </w:pPr>
    <w:bookmarkStart w:id="0" w:name="_Hlk126236811"/>
    <w:r>
      <w:t>HTA Review Reference Committee</w:t>
    </w:r>
    <w:r w:rsidR="0098122D">
      <w:t xml:space="preserve"> –</w:t>
    </w:r>
    <w:r>
      <w:t xml:space="preserve"> </w:t>
    </w:r>
    <w:r w:rsidR="0098122D">
      <w:t>Communique</w:t>
    </w:r>
    <w:r>
      <w:t xml:space="preserve"> </w:t>
    </w:r>
    <w:r w:rsidR="0098122D">
      <w:t xml:space="preserve">– </w:t>
    </w:r>
    <w:r w:rsidR="006A722A">
      <w:t>27 January 2023</w:t>
    </w:r>
    <w:bookmarkEnd w:id="0"/>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01C7" w14:textId="38A79A0B" w:rsidR="00440411" w:rsidRPr="0068134A" w:rsidRDefault="00974E54" w:rsidP="0068134A">
    <w:pPr>
      <w:pStyle w:val="Footer"/>
      <w:tabs>
        <w:tab w:val="clear" w:pos="4513"/>
      </w:tabs>
    </w:pPr>
    <w:r>
      <w:t>HTA Review Reference Committee – Communique – 27 January 2023</w:t>
    </w:r>
    <w:sdt>
      <w:sdtPr>
        <w:id w:val="-1932272195"/>
        <w:docPartObj>
          <w:docPartGallery w:val="Page Numbers (Bottom of Page)"/>
          <w:docPartUnique/>
        </w:docPartObj>
      </w:sdtPr>
      <w:sdtEndPr/>
      <w:sdtContent>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590E" w14:textId="77777777" w:rsidR="00EE25B1" w:rsidRDefault="00EE25B1" w:rsidP="006B56BB">
      <w:r>
        <w:separator/>
      </w:r>
    </w:p>
    <w:p w14:paraId="7DA62FA5" w14:textId="77777777" w:rsidR="00EE25B1" w:rsidRDefault="00EE25B1"/>
  </w:footnote>
  <w:footnote w:type="continuationSeparator" w:id="0">
    <w:p w14:paraId="7A31FA87" w14:textId="77777777" w:rsidR="00EE25B1" w:rsidRDefault="00EE25B1" w:rsidP="006B56BB">
      <w:r>
        <w:continuationSeparator/>
      </w:r>
    </w:p>
    <w:p w14:paraId="6A650959" w14:textId="77777777" w:rsidR="00EE25B1" w:rsidRDefault="00EE25B1"/>
  </w:footnote>
  <w:footnote w:type="continuationNotice" w:id="1">
    <w:p w14:paraId="30A9D3E5" w14:textId="77777777" w:rsidR="00EE25B1" w:rsidRDefault="00EE2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01BD" w14:textId="77777777" w:rsidR="00A32877" w:rsidRDefault="00A328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B7B9" w14:textId="77777777" w:rsidR="00A32877" w:rsidRDefault="00A328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4A77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8E1EC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789086B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98AF45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1C085F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A4E2DF22"/>
    <w:lvl w:ilvl="0">
      <w:start w:val="1"/>
      <w:numFmt w:val="decimal"/>
      <w:pStyle w:val="ListNumber"/>
      <w:lvlText w:val="%1."/>
      <w:lvlJc w:val="left"/>
      <w:pPr>
        <w:tabs>
          <w:tab w:val="num" w:pos="360"/>
        </w:tabs>
        <w:ind w:left="360" w:hanging="360"/>
      </w:pPr>
    </w:lvl>
  </w:abstractNum>
  <w:abstractNum w:abstractNumId="6"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D50FD"/>
    <w:multiLevelType w:val="hybridMultilevel"/>
    <w:tmpl w:val="E54EA7CC"/>
    <w:lvl w:ilvl="0" w:tplc="EE7A3C8A">
      <w:start w:val="1"/>
      <w:numFmt w:val="decimal"/>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4"/>
  </w:num>
  <w:num w:numId="3">
    <w:abstractNumId w:val="5"/>
  </w:num>
  <w:num w:numId="4">
    <w:abstractNumId w:val="1"/>
  </w:num>
  <w:num w:numId="5">
    <w:abstractNumId w:val="0"/>
  </w:num>
  <w:num w:numId="6">
    <w:abstractNumId w:val="12"/>
  </w:num>
  <w:num w:numId="7">
    <w:abstractNumId w:val="7"/>
  </w:num>
  <w:num w:numId="8">
    <w:abstractNumId w:val="8"/>
  </w:num>
  <w:num w:numId="9">
    <w:abstractNumId w:val="11"/>
  </w:num>
  <w:num w:numId="10">
    <w:abstractNumId w:val="6"/>
  </w:num>
  <w:num w:numId="11">
    <w:abstractNumId w:val="10"/>
  </w:num>
  <w:num w:numId="12">
    <w:abstractNumId w:val="8"/>
    <w:lvlOverride w:ilvl="0">
      <w:startOverride w:val="1"/>
    </w:lvlOverride>
  </w:num>
  <w:num w:numId="13">
    <w:abstractNumId w:val="8"/>
    <w:lvlOverride w:ilvl="0">
      <w:startOverride w:val="1"/>
    </w:lvlOverride>
  </w:num>
  <w:num w:numId="14">
    <w:abstractNumId w:val="3"/>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5798C"/>
    <w:rsid w:val="000604CD"/>
    <w:rsid w:val="00067456"/>
    <w:rsid w:val="00071506"/>
    <w:rsid w:val="0007154F"/>
    <w:rsid w:val="00075469"/>
    <w:rsid w:val="00081AB1"/>
    <w:rsid w:val="00084487"/>
    <w:rsid w:val="00090316"/>
    <w:rsid w:val="000909CE"/>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07ECD"/>
    <w:rsid w:val="00110478"/>
    <w:rsid w:val="00114FBF"/>
    <w:rsid w:val="0011711B"/>
    <w:rsid w:val="00117F8A"/>
    <w:rsid w:val="00120507"/>
    <w:rsid w:val="00121B9B"/>
    <w:rsid w:val="00122ADC"/>
    <w:rsid w:val="00130F59"/>
    <w:rsid w:val="00133EC0"/>
    <w:rsid w:val="00141CE5"/>
    <w:rsid w:val="00144908"/>
    <w:rsid w:val="00153B88"/>
    <w:rsid w:val="001571C7"/>
    <w:rsid w:val="00161094"/>
    <w:rsid w:val="00164BCF"/>
    <w:rsid w:val="0016562B"/>
    <w:rsid w:val="0017665C"/>
    <w:rsid w:val="00177AD2"/>
    <w:rsid w:val="001815A8"/>
    <w:rsid w:val="001828C9"/>
    <w:rsid w:val="001840FA"/>
    <w:rsid w:val="00190079"/>
    <w:rsid w:val="0019622E"/>
    <w:rsid w:val="001966A7"/>
    <w:rsid w:val="001A4627"/>
    <w:rsid w:val="001A4979"/>
    <w:rsid w:val="001B15D3"/>
    <w:rsid w:val="001B3443"/>
    <w:rsid w:val="001C0326"/>
    <w:rsid w:val="001C192F"/>
    <w:rsid w:val="001C3C42"/>
    <w:rsid w:val="001D7869"/>
    <w:rsid w:val="001E017A"/>
    <w:rsid w:val="001F0003"/>
    <w:rsid w:val="001F7D4A"/>
    <w:rsid w:val="002026CD"/>
    <w:rsid w:val="002033FC"/>
    <w:rsid w:val="002044BB"/>
    <w:rsid w:val="002100FC"/>
    <w:rsid w:val="00210B09"/>
    <w:rsid w:val="00210C9E"/>
    <w:rsid w:val="00211840"/>
    <w:rsid w:val="00220E5F"/>
    <w:rsid w:val="002212B5"/>
    <w:rsid w:val="0022548F"/>
    <w:rsid w:val="00226668"/>
    <w:rsid w:val="00233809"/>
    <w:rsid w:val="002351F4"/>
    <w:rsid w:val="00240046"/>
    <w:rsid w:val="00244A3F"/>
    <w:rsid w:val="0024797F"/>
    <w:rsid w:val="0025119E"/>
    <w:rsid w:val="00251269"/>
    <w:rsid w:val="00251AA0"/>
    <w:rsid w:val="002535C0"/>
    <w:rsid w:val="002537CE"/>
    <w:rsid w:val="002579FE"/>
    <w:rsid w:val="0026311C"/>
    <w:rsid w:val="0026668C"/>
    <w:rsid w:val="00266AC1"/>
    <w:rsid w:val="0027178C"/>
    <w:rsid w:val="002719FA"/>
    <w:rsid w:val="00272668"/>
    <w:rsid w:val="0027330B"/>
    <w:rsid w:val="00275739"/>
    <w:rsid w:val="0027711B"/>
    <w:rsid w:val="002803AD"/>
    <w:rsid w:val="00282052"/>
    <w:rsid w:val="002820E8"/>
    <w:rsid w:val="00283F93"/>
    <w:rsid w:val="0028519E"/>
    <w:rsid w:val="002856A5"/>
    <w:rsid w:val="002872ED"/>
    <w:rsid w:val="002905C2"/>
    <w:rsid w:val="00295AF2"/>
    <w:rsid w:val="00295C91"/>
    <w:rsid w:val="00297151"/>
    <w:rsid w:val="002B20A1"/>
    <w:rsid w:val="002B20E6"/>
    <w:rsid w:val="002B42A3"/>
    <w:rsid w:val="002C0CDD"/>
    <w:rsid w:val="002C38C4"/>
    <w:rsid w:val="002E1A1D"/>
    <w:rsid w:val="002E4081"/>
    <w:rsid w:val="002E4F19"/>
    <w:rsid w:val="002E5B78"/>
    <w:rsid w:val="002F38EF"/>
    <w:rsid w:val="002F3AE3"/>
    <w:rsid w:val="002F43C2"/>
    <w:rsid w:val="002F732C"/>
    <w:rsid w:val="0030464B"/>
    <w:rsid w:val="00305D17"/>
    <w:rsid w:val="0030786C"/>
    <w:rsid w:val="00314276"/>
    <w:rsid w:val="003233DE"/>
    <w:rsid w:val="0032466B"/>
    <w:rsid w:val="003330EB"/>
    <w:rsid w:val="00333538"/>
    <w:rsid w:val="003415FD"/>
    <w:rsid w:val="003429F0"/>
    <w:rsid w:val="00345A82"/>
    <w:rsid w:val="0035085A"/>
    <w:rsid w:val="0035097A"/>
    <w:rsid w:val="003540A4"/>
    <w:rsid w:val="00357BCC"/>
    <w:rsid w:val="00360E4E"/>
    <w:rsid w:val="00370AAA"/>
    <w:rsid w:val="00373CEA"/>
    <w:rsid w:val="00375F77"/>
    <w:rsid w:val="00381BBE"/>
    <w:rsid w:val="00382903"/>
    <w:rsid w:val="00383122"/>
    <w:rsid w:val="003846FF"/>
    <w:rsid w:val="003857D4"/>
    <w:rsid w:val="00385AD4"/>
    <w:rsid w:val="00387924"/>
    <w:rsid w:val="0039384D"/>
    <w:rsid w:val="00395C23"/>
    <w:rsid w:val="003A2E4F"/>
    <w:rsid w:val="003A4438"/>
    <w:rsid w:val="003A5013"/>
    <w:rsid w:val="003A5078"/>
    <w:rsid w:val="003A62DD"/>
    <w:rsid w:val="003A775A"/>
    <w:rsid w:val="003B07AF"/>
    <w:rsid w:val="003B213A"/>
    <w:rsid w:val="003B3F24"/>
    <w:rsid w:val="003B43AD"/>
    <w:rsid w:val="003C0FEC"/>
    <w:rsid w:val="003C2AC8"/>
    <w:rsid w:val="003D033A"/>
    <w:rsid w:val="003D17F9"/>
    <w:rsid w:val="003D2D88"/>
    <w:rsid w:val="003D41EA"/>
    <w:rsid w:val="003D4850"/>
    <w:rsid w:val="003D535A"/>
    <w:rsid w:val="003E5265"/>
    <w:rsid w:val="003F0955"/>
    <w:rsid w:val="003F5F4D"/>
    <w:rsid w:val="003F646F"/>
    <w:rsid w:val="00400989"/>
    <w:rsid w:val="00400F00"/>
    <w:rsid w:val="00404F8B"/>
    <w:rsid w:val="00405256"/>
    <w:rsid w:val="00410031"/>
    <w:rsid w:val="00415C81"/>
    <w:rsid w:val="00421760"/>
    <w:rsid w:val="0042332F"/>
    <w:rsid w:val="00432378"/>
    <w:rsid w:val="00440411"/>
    <w:rsid w:val="00440D65"/>
    <w:rsid w:val="004435E6"/>
    <w:rsid w:val="00447E31"/>
    <w:rsid w:val="00453923"/>
    <w:rsid w:val="00454B9B"/>
    <w:rsid w:val="00457858"/>
    <w:rsid w:val="00460B0B"/>
    <w:rsid w:val="00461023"/>
    <w:rsid w:val="00462FAC"/>
    <w:rsid w:val="00464236"/>
    <w:rsid w:val="00464631"/>
    <w:rsid w:val="00464B79"/>
    <w:rsid w:val="00467BBF"/>
    <w:rsid w:val="00472484"/>
    <w:rsid w:val="0048593C"/>
    <w:rsid w:val="004867E2"/>
    <w:rsid w:val="00487A77"/>
    <w:rsid w:val="004929A9"/>
    <w:rsid w:val="004A78D9"/>
    <w:rsid w:val="004B5A85"/>
    <w:rsid w:val="004C6BCF"/>
    <w:rsid w:val="004D2DF0"/>
    <w:rsid w:val="004D58BF"/>
    <w:rsid w:val="004E3646"/>
    <w:rsid w:val="004E4335"/>
    <w:rsid w:val="004E621B"/>
    <w:rsid w:val="004F13EE"/>
    <w:rsid w:val="004F2022"/>
    <w:rsid w:val="004F7C05"/>
    <w:rsid w:val="00501C94"/>
    <w:rsid w:val="00506432"/>
    <w:rsid w:val="005129F2"/>
    <w:rsid w:val="0052051D"/>
    <w:rsid w:val="0054241F"/>
    <w:rsid w:val="00545EE6"/>
    <w:rsid w:val="0054768D"/>
    <w:rsid w:val="005550E7"/>
    <w:rsid w:val="005564FB"/>
    <w:rsid w:val="00556AFB"/>
    <w:rsid w:val="005572C7"/>
    <w:rsid w:val="00557FDA"/>
    <w:rsid w:val="0056023A"/>
    <w:rsid w:val="005622C2"/>
    <w:rsid w:val="005650ED"/>
    <w:rsid w:val="00565B44"/>
    <w:rsid w:val="00575754"/>
    <w:rsid w:val="00581FBA"/>
    <w:rsid w:val="00584A34"/>
    <w:rsid w:val="00591E20"/>
    <w:rsid w:val="00595408"/>
    <w:rsid w:val="00595E84"/>
    <w:rsid w:val="005A0C59"/>
    <w:rsid w:val="005A48EB"/>
    <w:rsid w:val="005A6CFB"/>
    <w:rsid w:val="005C5AEB"/>
    <w:rsid w:val="005D09C3"/>
    <w:rsid w:val="005D5ED5"/>
    <w:rsid w:val="005E0A3F"/>
    <w:rsid w:val="005E6670"/>
    <w:rsid w:val="005E6883"/>
    <w:rsid w:val="005E772F"/>
    <w:rsid w:val="005F4ECA"/>
    <w:rsid w:val="006036DC"/>
    <w:rsid w:val="006041BE"/>
    <w:rsid w:val="006043C7"/>
    <w:rsid w:val="00613821"/>
    <w:rsid w:val="00624720"/>
    <w:rsid w:val="00624B52"/>
    <w:rsid w:val="00627377"/>
    <w:rsid w:val="00627FFA"/>
    <w:rsid w:val="00630794"/>
    <w:rsid w:val="00631DF4"/>
    <w:rsid w:val="00634175"/>
    <w:rsid w:val="006408AC"/>
    <w:rsid w:val="00641563"/>
    <w:rsid w:val="006511B6"/>
    <w:rsid w:val="00657FF8"/>
    <w:rsid w:val="00670D99"/>
    <w:rsid w:val="00670E2B"/>
    <w:rsid w:val="006734BB"/>
    <w:rsid w:val="0067697A"/>
    <w:rsid w:val="0068134A"/>
    <w:rsid w:val="006821EB"/>
    <w:rsid w:val="00685AD7"/>
    <w:rsid w:val="00687BDA"/>
    <w:rsid w:val="0069363E"/>
    <w:rsid w:val="006A722A"/>
    <w:rsid w:val="006B2286"/>
    <w:rsid w:val="006B2A9A"/>
    <w:rsid w:val="006B4AB8"/>
    <w:rsid w:val="006B56BB"/>
    <w:rsid w:val="006C20E4"/>
    <w:rsid w:val="006C77A8"/>
    <w:rsid w:val="006D4098"/>
    <w:rsid w:val="006D7681"/>
    <w:rsid w:val="006D7B2E"/>
    <w:rsid w:val="006E02EA"/>
    <w:rsid w:val="006E0968"/>
    <w:rsid w:val="006E2AF6"/>
    <w:rsid w:val="006E783C"/>
    <w:rsid w:val="006F13B6"/>
    <w:rsid w:val="00701275"/>
    <w:rsid w:val="00707F56"/>
    <w:rsid w:val="00711FCA"/>
    <w:rsid w:val="00713558"/>
    <w:rsid w:val="00720D08"/>
    <w:rsid w:val="007263B9"/>
    <w:rsid w:val="00730E51"/>
    <w:rsid w:val="007334F8"/>
    <w:rsid w:val="007339CD"/>
    <w:rsid w:val="007359D8"/>
    <w:rsid w:val="007362D4"/>
    <w:rsid w:val="007375FA"/>
    <w:rsid w:val="007402D1"/>
    <w:rsid w:val="00746555"/>
    <w:rsid w:val="00761CCC"/>
    <w:rsid w:val="00762F00"/>
    <w:rsid w:val="0076672A"/>
    <w:rsid w:val="0077170B"/>
    <w:rsid w:val="00775E45"/>
    <w:rsid w:val="00776E74"/>
    <w:rsid w:val="00785169"/>
    <w:rsid w:val="00787F4B"/>
    <w:rsid w:val="007954AB"/>
    <w:rsid w:val="007A14C5"/>
    <w:rsid w:val="007A2FE6"/>
    <w:rsid w:val="007A4A10"/>
    <w:rsid w:val="007B1760"/>
    <w:rsid w:val="007C1FDC"/>
    <w:rsid w:val="007C6D9C"/>
    <w:rsid w:val="007C7DDB"/>
    <w:rsid w:val="007D2CC7"/>
    <w:rsid w:val="007D673D"/>
    <w:rsid w:val="007E4D09"/>
    <w:rsid w:val="007F2220"/>
    <w:rsid w:val="007F4B3E"/>
    <w:rsid w:val="00805FC8"/>
    <w:rsid w:val="008127AF"/>
    <w:rsid w:val="00812B46"/>
    <w:rsid w:val="008133B3"/>
    <w:rsid w:val="008133C9"/>
    <w:rsid w:val="008146A1"/>
    <w:rsid w:val="00815700"/>
    <w:rsid w:val="00821249"/>
    <w:rsid w:val="008264EB"/>
    <w:rsid w:val="00826B8F"/>
    <w:rsid w:val="00831E8A"/>
    <w:rsid w:val="00835C76"/>
    <w:rsid w:val="008376E2"/>
    <w:rsid w:val="00841831"/>
    <w:rsid w:val="00843049"/>
    <w:rsid w:val="0085209B"/>
    <w:rsid w:val="00856B66"/>
    <w:rsid w:val="00857CFD"/>
    <w:rsid w:val="008601AC"/>
    <w:rsid w:val="00861A5F"/>
    <w:rsid w:val="008644AD"/>
    <w:rsid w:val="00865735"/>
    <w:rsid w:val="00865DDB"/>
    <w:rsid w:val="00867538"/>
    <w:rsid w:val="00873D90"/>
    <w:rsid w:val="00873FC8"/>
    <w:rsid w:val="00874F91"/>
    <w:rsid w:val="00884C63"/>
    <w:rsid w:val="00885908"/>
    <w:rsid w:val="008864B7"/>
    <w:rsid w:val="0089677E"/>
    <w:rsid w:val="008A7438"/>
    <w:rsid w:val="008B1334"/>
    <w:rsid w:val="008B25C7"/>
    <w:rsid w:val="008C0278"/>
    <w:rsid w:val="008C24E9"/>
    <w:rsid w:val="008C4BBA"/>
    <w:rsid w:val="008D0533"/>
    <w:rsid w:val="008D42CB"/>
    <w:rsid w:val="008D48C9"/>
    <w:rsid w:val="008D6381"/>
    <w:rsid w:val="008E0C77"/>
    <w:rsid w:val="008E0ED6"/>
    <w:rsid w:val="008E15B0"/>
    <w:rsid w:val="008E2A88"/>
    <w:rsid w:val="008E625F"/>
    <w:rsid w:val="008F264D"/>
    <w:rsid w:val="009011DA"/>
    <w:rsid w:val="009040E9"/>
    <w:rsid w:val="009068AC"/>
    <w:rsid w:val="009074E1"/>
    <w:rsid w:val="009112F7"/>
    <w:rsid w:val="00911397"/>
    <w:rsid w:val="009122AF"/>
    <w:rsid w:val="009129BD"/>
    <w:rsid w:val="00912D54"/>
    <w:rsid w:val="0091389F"/>
    <w:rsid w:val="009161FF"/>
    <w:rsid w:val="009208F7"/>
    <w:rsid w:val="00921649"/>
    <w:rsid w:val="00922517"/>
    <w:rsid w:val="00922722"/>
    <w:rsid w:val="009261E6"/>
    <w:rsid w:val="009268E1"/>
    <w:rsid w:val="009344DE"/>
    <w:rsid w:val="00945E7F"/>
    <w:rsid w:val="009557C1"/>
    <w:rsid w:val="00960D6E"/>
    <w:rsid w:val="00971338"/>
    <w:rsid w:val="009724AB"/>
    <w:rsid w:val="00974B59"/>
    <w:rsid w:val="00974E54"/>
    <w:rsid w:val="0098122D"/>
    <w:rsid w:val="0098340B"/>
    <w:rsid w:val="00986830"/>
    <w:rsid w:val="009924C3"/>
    <w:rsid w:val="00993102"/>
    <w:rsid w:val="00993B6F"/>
    <w:rsid w:val="009961BB"/>
    <w:rsid w:val="009B1570"/>
    <w:rsid w:val="009C1958"/>
    <w:rsid w:val="009C6F10"/>
    <w:rsid w:val="009C706D"/>
    <w:rsid w:val="009D148F"/>
    <w:rsid w:val="009D3D70"/>
    <w:rsid w:val="009E1955"/>
    <w:rsid w:val="009E6F7E"/>
    <w:rsid w:val="009E7A57"/>
    <w:rsid w:val="009F4803"/>
    <w:rsid w:val="009F4F6A"/>
    <w:rsid w:val="00A058F0"/>
    <w:rsid w:val="00A13EB5"/>
    <w:rsid w:val="00A14EAB"/>
    <w:rsid w:val="00A16E36"/>
    <w:rsid w:val="00A22B16"/>
    <w:rsid w:val="00A24961"/>
    <w:rsid w:val="00A24B10"/>
    <w:rsid w:val="00A277EF"/>
    <w:rsid w:val="00A30E9B"/>
    <w:rsid w:val="00A32877"/>
    <w:rsid w:val="00A42816"/>
    <w:rsid w:val="00A4512D"/>
    <w:rsid w:val="00A50244"/>
    <w:rsid w:val="00A516C2"/>
    <w:rsid w:val="00A51F0E"/>
    <w:rsid w:val="00A627D7"/>
    <w:rsid w:val="00A656C7"/>
    <w:rsid w:val="00A705AF"/>
    <w:rsid w:val="00A72454"/>
    <w:rsid w:val="00A77696"/>
    <w:rsid w:val="00A80557"/>
    <w:rsid w:val="00A81D33"/>
    <w:rsid w:val="00A8341C"/>
    <w:rsid w:val="00A84971"/>
    <w:rsid w:val="00A87D9A"/>
    <w:rsid w:val="00A930AE"/>
    <w:rsid w:val="00AA1A95"/>
    <w:rsid w:val="00AA260F"/>
    <w:rsid w:val="00AA7CE0"/>
    <w:rsid w:val="00AB1EE7"/>
    <w:rsid w:val="00AB4B37"/>
    <w:rsid w:val="00AB5762"/>
    <w:rsid w:val="00AC24B7"/>
    <w:rsid w:val="00AC2679"/>
    <w:rsid w:val="00AC4BE4"/>
    <w:rsid w:val="00AC5F65"/>
    <w:rsid w:val="00AD05E6"/>
    <w:rsid w:val="00AD0D3F"/>
    <w:rsid w:val="00AD2E5D"/>
    <w:rsid w:val="00AE1D7D"/>
    <w:rsid w:val="00AE2A8B"/>
    <w:rsid w:val="00AE3C78"/>
    <w:rsid w:val="00AE3F64"/>
    <w:rsid w:val="00AF02EC"/>
    <w:rsid w:val="00AF7386"/>
    <w:rsid w:val="00AF7934"/>
    <w:rsid w:val="00B00B81"/>
    <w:rsid w:val="00B02D05"/>
    <w:rsid w:val="00B04580"/>
    <w:rsid w:val="00B04B09"/>
    <w:rsid w:val="00B13934"/>
    <w:rsid w:val="00B16A51"/>
    <w:rsid w:val="00B16C86"/>
    <w:rsid w:val="00B209C4"/>
    <w:rsid w:val="00B32222"/>
    <w:rsid w:val="00B3618D"/>
    <w:rsid w:val="00B36233"/>
    <w:rsid w:val="00B42851"/>
    <w:rsid w:val="00B45AC7"/>
    <w:rsid w:val="00B5372F"/>
    <w:rsid w:val="00B54577"/>
    <w:rsid w:val="00B5461D"/>
    <w:rsid w:val="00B57BDF"/>
    <w:rsid w:val="00B61129"/>
    <w:rsid w:val="00B62BBE"/>
    <w:rsid w:val="00B67E7F"/>
    <w:rsid w:val="00B711C0"/>
    <w:rsid w:val="00B839B2"/>
    <w:rsid w:val="00B849C5"/>
    <w:rsid w:val="00B94252"/>
    <w:rsid w:val="00B94957"/>
    <w:rsid w:val="00B95327"/>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224"/>
    <w:rsid w:val="00BD2E9B"/>
    <w:rsid w:val="00BD7FB2"/>
    <w:rsid w:val="00BE67F3"/>
    <w:rsid w:val="00BF2665"/>
    <w:rsid w:val="00C00930"/>
    <w:rsid w:val="00C060AD"/>
    <w:rsid w:val="00C113BF"/>
    <w:rsid w:val="00C1431F"/>
    <w:rsid w:val="00C2176E"/>
    <w:rsid w:val="00C23430"/>
    <w:rsid w:val="00C27D67"/>
    <w:rsid w:val="00C33316"/>
    <w:rsid w:val="00C42155"/>
    <w:rsid w:val="00C4631F"/>
    <w:rsid w:val="00C47CDE"/>
    <w:rsid w:val="00C50E16"/>
    <w:rsid w:val="00C5111A"/>
    <w:rsid w:val="00C55258"/>
    <w:rsid w:val="00C560DF"/>
    <w:rsid w:val="00C67540"/>
    <w:rsid w:val="00C71B56"/>
    <w:rsid w:val="00C82EEB"/>
    <w:rsid w:val="00C87527"/>
    <w:rsid w:val="00C971DC"/>
    <w:rsid w:val="00CA16B7"/>
    <w:rsid w:val="00CA556A"/>
    <w:rsid w:val="00CA62AE"/>
    <w:rsid w:val="00CB5B1A"/>
    <w:rsid w:val="00CC220B"/>
    <w:rsid w:val="00CC2DA7"/>
    <w:rsid w:val="00CC4361"/>
    <w:rsid w:val="00CC5C43"/>
    <w:rsid w:val="00CD02AE"/>
    <w:rsid w:val="00CD2A4F"/>
    <w:rsid w:val="00CE03CA"/>
    <w:rsid w:val="00CE22F1"/>
    <w:rsid w:val="00CE50F2"/>
    <w:rsid w:val="00CE6502"/>
    <w:rsid w:val="00CE7088"/>
    <w:rsid w:val="00CE7FBA"/>
    <w:rsid w:val="00CF2331"/>
    <w:rsid w:val="00CF7D3C"/>
    <w:rsid w:val="00D01F09"/>
    <w:rsid w:val="00D147EB"/>
    <w:rsid w:val="00D27E5D"/>
    <w:rsid w:val="00D34667"/>
    <w:rsid w:val="00D401E1"/>
    <w:rsid w:val="00D408B4"/>
    <w:rsid w:val="00D427D4"/>
    <w:rsid w:val="00D524C8"/>
    <w:rsid w:val="00D54187"/>
    <w:rsid w:val="00D55EA1"/>
    <w:rsid w:val="00D70E24"/>
    <w:rsid w:val="00D72B61"/>
    <w:rsid w:val="00D94850"/>
    <w:rsid w:val="00DA3D1D"/>
    <w:rsid w:val="00DB348F"/>
    <w:rsid w:val="00DB6286"/>
    <w:rsid w:val="00DB645F"/>
    <w:rsid w:val="00DB76E9"/>
    <w:rsid w:val="00DC0A67"/>
    <w:rsid w:val="00DC1D5E"/>
    <w:rsid w:val="00DC3668"/>
    <w:rsid w:val="00DC5220"/>
    <w:rsid w:val="00DD2061"/>
    <w:rsid w:val="00DD7DAB"/>
    <w:rsid w:val="00DE3355"/>
    <w:rsid w:val="00DE69AB"/>
    <w:rsid w:val="00DE6AD6"/>
    <w:rsid w:val="00DF0C60"/>
    <w:rsid w:val="00DF439E"/>
    <w:rsid w:val="00DF486F"/>
    <w:rsid w:val="00DF5B5B"/>
    <w:rsid w:val="00DF6796"/>
    <w:rsid w:val="00DF7619"/>
    <w:rsid w:val="00E042D8"/>
    <w:rsid w:val="00E07EE7"/>
    <w:rsid w:val="00E1103B"/>
    <w:rsid w:val="00E17117"/>
    <w:rsid w:val="00E17B44"/>
    <w:rsid w:val="00E20F27"/>
    <w:rsid w:val="00E22443"/>
    <w:rsid w:val="00E27FEA"/>
    <w:rsid w:val="00E36B35"/>
    <w:rsid w:val="00E4086F"/>
    <w:rsid w:val="00E43B3C"/>
    <w:rsid w:val="00E50188"/>
    <w:rsid w:val="00E50BB3"/>
    <w:rsid w:val="00E515CB"/>
    <w:rsid w:val="00E516FE"/>
    <w:rsid w:val="00E52260"/>
    <w:rsid w:val="00E60718"/>
    <w:rsid w:val="00E639B6"/>
    <w:rsid w:val="00E6434B"/>
    <w:rsid w:val="00E6463D"/>
    <w:rsid w:val="00E67ACA"/>
    <w:rsid w:val="00E72E9B"/>
    <w:rsid w:val="00E850C3"/>
    <w:rsid w:val="00E87DF2"/>
    <w:rsid w:val="00E9462E"/>
    <w:rsid w:val="00EA470E"/>
    <w:rsid w:val="00EA47A7"/>
    <w:rsid w:val="00EA57EB"/>
    <w:rsid w:val="00EB3226"/>
    <w:rsid w:val="00EC0AFD"/>
    <w:rsid w:val="00EC213A"/>
    <w:rsid w:val="00EC7744"/>
    <w:rsid w:val="00ED0DAD"/>
    <w:rsid w:val="00ED0F46"/>
    <w:rsid w:val="00ED2373"/>
    <w:rsid w:val="00EE25B1"/>
    <w:rsid w:val="00EE2B5A"/>
    <w:rsid w:val="00EE3E8A"/>
    <w:rsid w:val="00EE6BED"/>
    <w:rsid w:val="00EF2429"/>
    <w:rsid w:val="00EF58B8"/>
    <w:rsid w:val="00EF6ECA"/>
    <w:rsid w:val="00F00E54"/>
    <w:rsid w:val="00F024E1"/>
    <w:rsid w:val="00F06C10"/>
    <w:rsid w:val="00F06C11"/>
    <w:rsid w:val="00F1096F"/>
    <w:rsid w:val="00F12589"/>
    <w:rsid w:val="00F12595"/>
    <w:rsid w:val="00F134D9"/>
    <w:rsid w:val="00F1403D"/>
    <w:rsid w:val="00F1463F"/>
    <w:rsid w:val="00F14EF2"/>
    <w:rsid w:val="00F21302"/>
    <w:rsid w:val="00F21FD8"/>
    <w:rsid w:val="00F321DE"/>
    <w:rsid w:val="00F33462"/>
    <w:rsid w:val="00F33777"/>
    <w:rsid w:val="00F40648"/>
    <w:rsid w:val="00F47DA2"/>
    <w:rsid w:val="00F519FC"/>
    <w:rsid w:val="00F6239D"/>
    <w:rsid w:val="00F715D2"/>
    <w:rsid w:val="00F7274F"/>
    <w:rsid w:val="00F74E84"/>
    <w:rsid w:val="00F76FA8"/>
    <w:rsid w:val="00F77D93"/>
    <w:rsid w:val="00F85650"/>
    <w:rsid w:val="00F85B7B"/>
    <w:rsid w:val="00F93F08"/>
    <w:rsid w:val="00F94CED"/>
    <w:rsid w:val="00F95755"/>
    <w:rsid w:val="00FA02BB"/>
    <w:rsid w:val="00FA2CEE"/>
    <w:rsid w:val="00FA318C"/>
    <w:rsid w:val="00FB6F92"/>
    <w:rsid w:val="00FB7859"/>
    <w:rsid w:val="00FC026E"/>
    <w:rsid w:val="00FC02C5"/>
    <w:rsid w:val="00FC5124"/>
    <w:rsid w:val="00FD4731"/>
    <w:rsid w:val="00FD6768"/>
    <w:rsid w:val="00FD6FC2"/>
    <w:rsid w:val="00FF0AB0"/>
    <w:rsid w:val="00FF28AC"/>
    <w:rsid w:val="00FF42A8"/>
    <w:rsid w:val="00FF700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62BBE"/>
    <w:pPr>
      <w:spacing w:before="120" w:after="120" w:line="276" w:lineRule="auto"/>
    </w:pPr>
    <w:rPr>
      <w:rFonts w:ascii="Arial" w:hAnsi="Arial"/>
      <w:sz w:val="21"/>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basedOn w:val="Heading2"/>
    <w:next w:val="Normal"/>
    <w:qFormat/>
    <w:rsid w:val="0069363E"/>
    <w:pPr>
      <w:spacing w:before="120" w:after="120"/>
      <w:outlineLvl w:val="2"/>
    </w:pPr>
    <w:rPr>
      <w:b/>
      <w:bCs w:val="0"/>
      <w:color w:val="auto"/>
      <w:sz w:val="24"/>
      <w:szCs w:val="26"/>
    </w:rPr>
  </w:style>
  <w:style w:type="paragraph" w:styleId="Heading4">
    <w:name w:val="heading 4"/>
    <w:basedOn w:val="Heading3"/>
    <w:next w:val="Normal"/>
    <w:qFormat/>
    <w:rsid w:val="005E6670"/>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27711B"/>
    <w:rPr>
      <w:color w:val="000000" w:themeColor="text1"/>
      <w:sz w:val="22"/>
    </w:rPr>
  </w:style>
  <w:style w:type="character" w:styleId="Emphasis">
    <w:name w:val="Emphasis"/>
    <w:basedOn w:val="DefaultParagraphFont"/>
    <w:rsid w:val="00A705AF"/>
    <w:rPr>
      <w:i/>
      <w:iCs/>
    </w:rPr>
  </w:style>
  <w:style w:type="character" w:styleId="Strong">
    <w:name w:val="Strong"/>
    <w:basedOn w:val="DefaultParagraphFont"/>
    <w:rsid w:val="00B62BBE"/>
    <w:rPr>
      <w:rFonts w:ascii="Arial" w:hAnsi="Arial"/>
      <w:b/>
      <w:bCs/>
      <w:sz w:val="21"/>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6"/>
      </w:numPr>
      <w:ind w:left="568" w:hanging="284"/>
    </w:pPr>
  </w:style>
  <w:style w:type="paragraph" w:styleId="ListNumber2">
    <w:name w:val="List Number 2"/>
    <w:basedOn w:val="ListBullet"/>
    <w:qFormat/>
    <w:rsid w:val="00F95755"/>
    <w:pPr>
      <w:numPr>
        <w:numId w:val="8"/>
      </w:numPr>
      <w:ind w:left="641" w:hanging="357"/>
    </w:pPr>
  </w:style>
  <w:style w:type="paragraph" w:styleId="ListBullet">
    <w:name w:val="List Bullet"/>
    <w:basedOn w:val="Normal"/>
    <w:qFormat/>
    <w:rsid w:val="00F95755"/>
    <w:pPr>
      <w:numPr>
        <w:numId w:val="7"/>
      </w:numPr>
      <w:spacing w:after="0" w:line="240" w:lineRule="auto"/>
      <w:ind w:left="357" w:hanging="357"/>
    </w:pPr>
    <w:rPr>
      <w:color w:val="000000" w:themeColor="text1"/>
    </w:rPr>
  </w:style>
  <w:style w:type="paragraph" w:styleId="ListParagraph">
    <w:name w:val="List Paragraph"/>
    <w:basedOn w:val="Normal"/>
    <w:uiPriority w:val="34"/>
    <w:rsid w:val="0098122D"/>
    <w:pPr>
      <w:numPr>
        <w:numId w:val="11"/>
      </w:numPr>
      <w:ind w:left="714" w:hanging="357"/>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Footer">
    <w:name w:val="footer"/>
    <w:basedOn w:val="Normal"/>
    <w:link w:val="FooterChar"/>
    <w:uiPriority w:val="99"/>
    <w:qFormat/>
    <w:rsid w:val="005622C2"/>
    <w:pPr>
      <w:tabs>
        <w:tab w:val="center" w:pos="4513"/>
        <w:tab w:val="right" w:pos="9026"/>
      </w:tabs>
    </w:p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9"/>
      </w:numPr>
    </w:pPr>
    <w:rPr>
      <w:szCs w:val="20"/>
    </w:rPr>
  </w:style>
  <w:style w:type="paragraph" w:customStyle="1" w:styleId="Tablelistnumber">
    <w:name w:val="Table list number"/>
    <w:basedOn w:val="TableText"/>
    <w:qFormat/>
    <w:rsid w:val="005622C2"/>
    <w:pPr>
      <w:numPr>
        <w:numId w:val="10"/>
      </w:numPr>
    </w:pPr>
    <w:rPr>
      <w:bCs/>
      <w14:numSpacing w14:val="proportional"/>
    </w:rPr>
  </w:style>
  <w:style w:type="paragraph" w:customStyle="1" w:styleId="TableHeader">
    <w:name w:val="Table Header"/>
    <w:basedOn w:val="Normal"/>
    <w:next w:val="TableText"/>
    <w:qFormat/>
    <w:rsid w:val="006036DC"/>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B62BBE"/>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b/>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rPr>
        <w:rFonts w:ascii="Arial" w:hAnsi="Arial"/>
        <w:b/>
        <w:sz w:val="20"/>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E60718"/>
    <w:rPr>
      <w:color w:val="605E5C"/>
      <w:shd w:val="clear" w:color="auto" w:fill="E1DFDD"/>
    </w:rPr>
  </w:style>
  <w:style w:type="table" w:customStyle="1" w:styleId="TableGrid1">
    <w:name w:val="Table Grid1"/>
    <w:basedOn w:val="TableNormal"/>
    <w:next w:val="TableGrid"/>
    <w:uiPriority w:val="39"/>
    <w:rsid w:val="00164BCF"/>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3462"/>
    <w:rPr>
      <w:rFonts w:ascii="Times New Roman" w:hAnsi="Times New Roman"/>
      <w:sz w:val="24"/>
    </w:rPr>
  </w:style>
  <w:style w:type="character" w:styleId="FollowedHyperlink">
    <w:name w:val="FollowedHyperlink"/>
    <w:basedOn w:val="DefaultParagraphFont"/>
    <w:semiHidden/>
    <w:unhideWhenUsed/>
    <w:rsid w:val="005D5ED5"/>
    <w:rPr>
      <w:color w:val="800080" w:themeColor="followedHyperlink"/>
      <w:u w:val="single"/>
    </w:rPr>
  </w:style>
  <w:style w:type="paragraph" w:styleId="ListBullet3">
    <w:name w:val="List Bullet 3"/>
    <w:basedOn w:val="Normal"/>
    <w:unhideWhenUsed/>
    <w:rsid w:val="0069363E"/>
    <w:pPr>
      <w:numPr>
        <w:numId w:val="2"/>
      </w:numPr>
      <w:contextualSpacing/>
    </w:pPr>
  </w:style>
  <w:style w:type="paragraph" w:styleId="ListNumber4">
    <w:name w:val="List Number 4"/>
    <w:basedOn w:val="Normal"/>
    <w:unhideWhenUsed/>
    <w:rsid w:val="0069363E"/>
    <w:pPr>
      <w:numPr>
        <w:numId w:val="4"/>
      </w:numPr>
      <w:contextualSpacing/>
    </w:pPr>
  </w:style>
  <w:style w:type="paragraph" w:styleId="ListNumber">
    <w:name w:val="List Number"/>
    <w:basedOn w:val="Normal"/>
    <w:rsid w:val="0069363E"/>
    <w:pPr>
      <w:numPr>
        <w:numId w:val="3"/>
      </w:numPr>
      <w:contextualSpacing/>
    </w:pPr>
  </w:style>
  <w:style w:type="paragraph" w:styleId="ListNumber5">
    <w:name w:val="List Number 5"/>
    <w:basedOn w:val="Normal"/>
    <w:unhideWhenUsed/>
    <w:rsid w:val="0069363E"/>
    <w:pPr>
      <w:numPr>
        <w:numId w:val="5"/>
      </w:numPr>
      <w:contextualSpacing/>
    </w:pPr>
  </w:style>
  <w:style w:type="paragraph" w:styleId="ListContinue">
    <w:name w:val="List Continue"/>
    <w:basedOn w:val="Normal"/>
    <w:unhideWhenUsed/>
    <w:rsid w:val="0069363E"/>
    <w:pPr>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409004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alth.gov.au/our-work/health-technology-assessment-policy-and-methods-review"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bs.gov.au/info/general/medicines-industry-strategic-agre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2137</Words>
  <Characters>12510</Characters>
  <Application>Microsoft Office Word</Application>
  <DocSecurity>0</DocSecurity>
  <Lines>290</Lines>
  <Paragraphs>218</Paragraphs>
  <ScaleCrop>false</ScaleCrop>
  <HeadingPairs>
    <vt:vector size="2" baseType="variant">
      <vt:variant>
        <vt:lpstr>Title</vt:lpstr>
      </vt:variant>
      <vt:variant>
        <vt:i4>1</vt:i4>
      </vt:variant>
    </vt:vector>
  </HeadingPairs>
  <TitlesOfParts>
    <vt:vector size="1" baseType="lpstr">
      <vt:lpstr>Health Technology Assessment Policy and Methods Review Reference Committee – Communique 27 January 2023 meeting</vt:lpstr>
    </vt:vector>
  </TitlesOfParts>
  <Manager/>
  <Company/>
  <LinksUpToDate>false</LinksUpToDate>
  <CharactersWithSpaces>14429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Reference Committee – Communique 27 January 2023 meeting</dc:title>
  <dc:subject>Health technologies and digital health</dc:subject>
  <dc:creator/>
  <cp:keywords>Health technologies and digital health; Health technologies; Medicines; </cp:keywords>
  <dc:description/>
  <cp:lastModifiedBy/>
  <cp:revision>1</cp:revision>
  <dcterms:created xsi:type="dcterms:W3CDTF">2023-03-06T03:50:00Z</dcterms:created>
  <dcterms:modified xsi:type="dcterms:W3CDTF">2023-03-06T03:51:00Z</dcterms:modified>
  <cp:category/>
</cp:coreProperties>
</file>