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501DA581" w:rsidR="00BA2732" w:rsidRDefault="00584A34" w:rsidP="0068134A">
      <w:pPr>
        <w:pStyle w:val="Heading1"/>
      </w:pPr>
      <w:r>
        <w:t xml:space="preserve">Health Technology Assessment Policy and Methods Review Reference Committee </w:t>
      </w:r>
    </w:p>
    <w:p w14:paraId="6E052E4A" w14:textId="5FC3AE6E" w:rsidR="008376E2" w:rsidRPr="008376E2" w:rsidRDefault="008376E2" w:rsidP="00DE6AD6">
      <w:pPr>
        <w:sectPr w:rsidR="008376E2" w:rsidRPr="008376E2" w:rsidSect="006813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</w:p>
    <w:p w14:paraId="15CB802C" w14:textId="37F3B0D9" w:rsidR="005C43B9" w:rsidRPr="004622E8" w:rsidRDefault="0098122D" w:rsidP="004622E8">
      <w:pPr>
        <w:pStyle w:val="Heading2"/>
      </w:pPr>
      <w:r w:rsidRPr="00387DE7">
        <w:t>Communique</w:t>
      </w:r>
      <w:r w:rsidR="00584A34" w:rsidRPr="00387DE7">
        <w:t xml:space="preserve"> – </w:t>
      </w:r>
      <w:r w:rsidR="00FD4717" w:rsidRPr="00387DE7">
        <w:t>1</w:t>
      </w:r>
      <w:r w:rsidRPr="00387DE7">
        <w:t xml:space="preserve"> </w:t>
      </w:r>
      <w:r w:rsidR="00FD4717" w:rsidRPr="00387DE7">
        <w:t>December</w:t>
      </w:r>
      <w:r w:rsidRPr="00387DE7">
        <w:t xml:space="preserve"> </w:t>
      </w:r>
      <w:r w:rsidR="00FD4717" w:rsidRPr="00387DE7">
        <w:t>2022</w:t>
      </w:r>
      <w:r w:rsidR="00E50643">
        <w:t xml:space="preserve"> and 19 December 2022</w:t>
      </w:r>
      <w:r w:rsidR="00225023">
        <w:t xml:space="preserve"> meetings</w:t>
      </w:r>
    </w:p>
    <w:p w14:paraId="32D23B95" w14:textId="5F3C8654" w:rsidR="00F20995" w:rsidRPr="004622E8" w:rsidRDefault="00F20995" w:rsidP="004622E8">
      <w:pPr>
        <w:pStyle w:val="Heading3"/>
      </w:pPr>
      <w:r w:rsidRPr="001C1B94">
        <w:t>1 December 2022 meeting</w:t>
      </w:r>
    </w:p>
    <w:p w14:paraId="1141288C" w14:textId="2CE51651" w:rsidR="00A8020B" w:rsidRPr="004622E8" w:rsidRDefault="005C43B9" w:rsidP="004622E8">
      <w:r w:rsidRPr="004622E8">
        <w:t xml:space="preserve">The </w:t>
      </w:r>
      <w:bookmarkStart w:id="1" w:name="_Hlk124766586"/>
      <w:r w:rsidR="003C4169" w:rsidRPr="004622E8">
        <w:t>first</w:t>
      </w:r>
      <w:r w:rsidRPr="004622E8">
        <w:t xml:space="preserve"> meeting of the Health Technology Assessment (HTA) Policy and Methods Review (Review) </w:t>
      </w:r>
      <w:r w:rsidR="001843C9" w:rsidRPr="004622E8">
        <w:t>Reference Committee</w:t>
      </w:r>
      <w:r w:rsidR="00B64EC8" w:rsidRPr="004622E8">
        <w:t xml:space="preserve"> (Committee)</w:t>
      </w:r>
      <w:r w:rsidR="001843C9" w:rsidRPr="004622E8">
        <w:t xml:space="preserve"> </w:t>
      </w:r>
      <w:r w:rsidRPr="004622E8">
        <w:t>was held</w:t>
      </w:r>
      <w:r w:rsidR="00742D87" w:rsidRPr="004622E8">
        <w:t xml:space="preserve"> by video conference</w:t>
      </w:r>
      <w:r w:rsidRPr="004622E8">
        <w:t xml:space="preserve"> on 1</w:t>
      </w:r>
      <w:r w:rsidR="00F112BA" w:rsidRPr="004622E8">
        <w:t> </w:t>
      </w:r>
      <w:r w:rsidRPr="004622E8">
        <w:t>December</w:t>
      </w:r>
      <w:r w:rsidR="00F112BA" w:rsidRPr="004622E8">
        <w:t> </w:t>
      </w:r>
      <w:r w:rsidRPr="004622E8">
        <w:t>2022</w:t>
      </w:r>
      <w:r w:rsidR="00B75EE4" w:rsidRPr="004622E8">
        <w:t>.</w:t>
      </w:r>
      <w:bookmarkEnd w:id="1"/>
    </w:p>
    <w:p w14:paraId="056D39A5" w14:textId="542CF3FA" w:rsidR="00933F8E" w:rsidRPr="004622E8" w:rsidRDefault="006A3063" w:rsidP="004622E8">
      <w:r w:rsidRPr="004622E8">
        <w:t xml:space="preserve">All Committee members attended (see note at end) as well as support staff from the </w:t>
      </w:r>
      <w:r w:rsidR="002362FA" w:rsidRPr="004622E8">
        <w:t xml:space="preserve">Review Secretariat in the </w:t>
      </w:r>
      <w:r w:rsidRPr="004622E8">
        <w:t>Department of Health and Aged Care</w:t>
      </w:r>
      <w:r w:rsidR="00BC433A" w:rsidRPr="004622E8">
        <w:t xml:space="preserve"> (Department)</w:t>
      </w:r>
      <w:r w:rsidR="00C75432" w:rsidRPr="004622E8">
        <w:t>.</w:t>
      </w:r>
    </w:p>
    <w:p w14:paraId="244BAD28" w14:textId="6D2DDBD5" w:rsidR="003D506E" w:rsidRPr="00E11B89" w:rsidRDefault="00933F8E" w:rsidP="00E11B89">
      <w:pPr>
        <w:pStyle w:val="Heading3"/>
      </w:pPr>
      <w:r w:rsidRPr="00E11B89">
        <w:t>What did the Committee discuss?</w:t>
      </w:r>
    </w:p>
    <w:p w14:paraId="10E9A0F8" w14:textId="437C46C0" w:rsidR="00CD35E4" w:rsidRPr="004409F4" w:rsidRDefault="00CD35E4" w:rsidP="004409F4">
      <w:pPr>
        <w:pStyle w:val="Heading4"/>
      </w:pPr>
      <w:r w:rsidRPr="004409F4">
        <w:t>Functions of the Committee</w:t>
      </w:r>
    </w:p>
    <w:p w14:paraId="6F45A9C2" w14:textId="0BE19353" w:rsidR="003B3833" w:rsidRPr="004622E8" w:rsidRDefault="008853DA" w:rsidP="004622E8">
      <w:r w:rsidRPr="004622E8">
        <w:t xml:space="preserve">The Chair reminded the Committee members of </w:t>
      </w:r>
      <w:r w:rsidR="00B75A62" w:rsidRPr="004622E8">
        <w:t xml:space="preserve">its </w:t>
      </w:r>
      <w:r w:rsidRPr="004622E8">
        <w:t>role which is to:</w:t>
      </w:r>
    </w:p>
    <w:p w14:paraId="4E691DA3" w14:textId="50539A6B" w:rsidR="00D86A71" w:rsidRPr="00ED538E" w:rsidRDefault="00D86A71" w:rsidP="004622E8">
      <w:pPr>
        <w:pStyle w:val="ListBullet"/>
      </w:pPr>
      <w:r w:rsidRPr="00ED538E">
        <w:t xml:space="preserve">Agree the </w:t>
      </w:r>
      <w:r w:rsidR="00C95180">
        <w:t>terms of reference</w:t>
      </w:r>
      <w:r w:rsidRPr="00ED538E">
        <w:t xml:space="preserve"> for the HTA Review</w:t>
      </w:r>
    </w:p>
    <w:p w14:paraId="31A2E1E3" w14:textId="1785F90E" w:rsidR="00D86A71" w:rsidRPr="00ED538E" w:rsidRDefault="00D86A71" w:rsidP="004622E8">
      <w:pPr>
        <w:pStyle w:val="ListBullet"/>
      </w:pPr>
      <w:r w:rsidRPr="00ED538E">
        <w:t>Agree the expert in HTA to undertake an analysis of current methods used by</w:t>
      </w:r>
      <w:r w:rsidR="005B041D">
        <w:t xml:space="preserve"> the Pharmaceutical Benefits Advisory Committee</w:t>
      </w:r>
      <w:r w:rsidRPr="00ED538E">
        <w:t xml:space="preserve"> </w:t>
      </w:r>
      <w:r w:rsidR="005B041D">
        <w:t>(</w:t>
      </w:r>
      <w:r w:rsidRPr="00ED538E">
        <w:t>PBAC</w:t>
      </w:r>
      <w:r w:rsidR="005B041D">
        <w:t>)</w:t>
      </w:r>
      <w:r w:rsidRPr="00ED538E">
        <w:t>, contemporary research and relevant methodologies and purchasing practices used by comparable jurisdictions</w:t>
      </w:r>
    </w:p>
    <w:p w14:paraId="50C09BFA" w14:textId="30BE91D5" w:rsidR="00D86A71" w:rsidRPr="00ED538E" w:rsidRDefault="00D86A71" w:rsidP="004622E8">
      <w:pPr>
        <w:pStyle w:val="ListBullet"/>
      </w:pPr>
      <w:r w:rsidRPr="00ED538E">
        <w:t>Oversee public consultations and considering submissions to the HTA Review</w:t>
      </w:r>
    </w:p>
    <w:p w14:paraId="082CAFD9" w14:textId="19B158E0" w:rsidR="00D86A71" w:rsidRPr="00ED538E" w:rsidRDefault="00D86A71" w:rsidP="004622E8">
      <w:pPr>
        <w:pStyle w:val="ListBullet"/>
      </w:pPr>
      <w:r w:rsidRPr="00ED538E">
        <w:t>Oversee the analysis undertaken by the expert in HTA</w:t>
      </w:r>
    </w:p>
    <w:p w14:paraId="3CBCEEF8" w14:textId="65CE9193" w:rsidR="00D314C2" w:rsidRPr="008E7524" w:rsidRDefault="00D86A71" w:rsidP="004622E8">
      <w:pPr>
        <w:pStyle w:val="ListBullet"/>
      </w:pPr>
      <w:r w:rsidRPr="00ED538E">
        <w:t>Prepa</w:t>
      </w:r>
      <w:r w:rsidR="007248EC" w:rsidRPr="00ED538E">
        <w:t>re</w:t>
      </w:r>
      <w:r w:rsidRPr="00ED538E">
        <w:t xml:space="preserve"> and agree the final review report and recommendations</w:t>
      </w:r>
      <w:r w:rsidR="005B041D">
        <w:t>.</w:t>
      </w:r>
    </w:p>
    <w:p w14:paraId="24C8181B" w14:textId="77777777" w:rsidR="00AD4A1B" w:rsidRPr="004622E8" w:rsidRDefault="00AF1222" w:rsidP="004622E8">
      <w:pPr>
        <w:pStyle w:val="Heading4"/>
      </w:pPr>
      <w:r w:rsidRPr="004622E8">
        <w:t>Probity</w:t>
      </w:r>
    </w:p>
    <w:p w14:paraId="795D17AE" w14:textId="3F6DF94E" w:rsidR="00404170" w:rsidRPr="004622E8" w:rsidRDefault="00B4616A" w:rsidP="004622E8">
      <w:r w:rsidRPr="004622E8">
        <w:t xml:space="preserve">The </w:t>
      </w:r>
      <w:r w:rsidR="001A0E15" w:rsidRPr="004622E8">
        <w:t>probity adviser, contracted by the Department to advise the Committee throughout the HTA Review, briefed the Committee on probity.</w:t>
      </w:r>
      <w:r w:rsidR="00AC1A1C" w:rsidRPr="004622E8">
        <w:t xml:space="preserve"> This included principles and processes such as managing any conflicts of interest </w:t>
      </w:r>
      <w:r w:rsidR="009966CB" w:rsidRPr="004622E8">
        <w:t xml:space="preserve">and agreeing </w:t>
      </w:r>
      <w:r w:rsidR="003C50F6" w:rsidRPr="004622E8">
        <w:t>how the Committee communicates externally during the HTA Review.</w:t>
      </w:r>
      <w:r w:rsidR="006969E1" w:rsidRPr="004622E8">
        <w:t xml:space="preserve"> The Committee endorsed the draft probity plan.</w:t>
      </w:r>
    </w:p>
    <w:p w14:paraId="52A07378" w14:textId="1C335BFF" w:rsidR="003C50F6" w:rsidRPr="004622E8" w:rsidRDefault="00D314C2" w:rsidP="004622E8">
      <w:pPr>
        <w:pStyle w:val="Heading4"/>
      </w:pPr>
      <w:r w:rsidRPr="004622E8">
        <w:t>Communic</w:t>
      </w:r>
      <w:r w:rsidR="00623334" w:rsidRPr="004622E8">
        <w:t>ation</w:t>
      </w:r>
    </w:p>
    <w:p w14:paraId="6FA8184C" w14:textId="083CD152" w:rsidR="009D3D25" w:rsidRPr="004622E8" w:rsidRDefault="007D6C3C" w:rsidP="004622E8">
      <w:r w:rsidRPr="004622E8">
        <w:t>Two key points for stakeholders to note from the probity plan</w:t>
      </w:r>
      <w:r w:rsidR="00C07F31" w:rsidRPr="004622E8">
        <w:t xml:space="preserve"> are:</w:t>
      </w:r>
    </w:p>
    <w:p w14:paraId="2D4B228F" w14:textId="1E0F33CE" w:rsidR="00C07F31" w:rsidRPr="004622E8" w:rsidRDefault="00C07F31" w:rsidP="004622E8">
      <w:pPr>
        <w:pStyle w:val="ListNumber2"/>
      </w:pPr>
      <w:r w:rsidRPr="004622E8">
        <w:t>Communiques (like this one)</w:t>
      </w:r>
      <w:r w:rsidR="00E91B7A" w:rsidRPr="004622E8">
        <w:t xml:space="preserve"> will be a key tool for staying up to date with </w:t>
      </w:r>
      <w:r w:rsidR="00AD4A1B" w:rsidRPr="004622E8">
        <w:t xml:space="preserve">the HTA Review. </w:t>
      </w:r>
      <w:r w:rsidRPr="004622E8">
        <w:t>At the end of each meeting the Reference Committee will agree on content for a communique to be published on the Department</w:t>
      </w:r>
      <w:r w:rsidR="00BC433A" w:rsidRPr="004622E8">
        <w:t>’s</w:t>
      </w:r>
      <w:r w:rsidRPr="004622E8">
        <w:t xml:space="preserve"> website. </w:t>
      </w:r>
    </w:p>
    <w:p w14:paraId="551E8310" w14:textId="7901F894" w:rsidR="00AF0F8B" w:rsidRPr="004622E8" w:rsidRDefault="00C07F31" w:rsidP="004622E8">
      <w:pPr>
        <w:pStyle w:val="ListNumber2"/>
      </w:pPr>
      <w:r w:rsidRPr="004622E8">
        <w:t xml:space="preserve">In general, any approaches to Reference Committee members from stakeholders should be referred to the Review Secretariat for formal receipt and management. This </w:t>
      </w:r>
      <w:r w:rsidR="00E02C12" w:rsidRPr="004622E8">
        <w:t>is to</w:t>
      </w:r>
      <w:r w:rsidRPr="004622E8">
        <w:t xml:space="preserve"> support good record keeping, ensuring complete consideration of sources of input to the Committee, as well as to protect the Committee and its members from </w:t>
      </w:r>
      <w:r w:rsidRPr="004622E8">
        <w:lastRenderedPageBreak/>
        <w:t>unnecessary impositions on their time.</w:t>
      </w:r>
      <w:r w:rsidR="006A6244" w:rsidRPr="004622E8">
        <w:t xml:space="preserve"> </w:t>
      </w:r>
      <w:r w:rsidR="002A3A61" w:rsidRPr="004622E8">
        <w:t>T</w:t>
      </w:r>
      <w:r w:rsidRPr="004622E8">
        <w:t xml:space="preserve">he Reference Committee </w:t>
      </w:r>
      <w:r w:rsidR="006A6244" w:rsidRPr="004622E8">
        <w:t xml:space="preserve">Chair </w:t>
      </w:r>
      <w:r w:rsidRPr="004622E8">
        <w:t>may</w:t>
      </w:r>
      <w:r w:rsidR="002A3A61" w:rsidRPr="004622E8">
        <w:t xml:space="preserve"> sometimes</w:t>
      </w:r>
      <w:r w:rsidRPr="004622E8">
        <w:t xml:space="preserve"> authorise or recommend </w:t>
      </w:r>
      <w:r w:rsidR="002A3A61" w:rsidRPr="004622E8">
        <w:t>that</w:t>
      </w:r>
      <w:r w:rsidRPr="004622E8">
        <w:t xml:space="preserve"> Committee members engage with </w:t>
      </w:r>
      <w:r w:rsidR="0038224E" w:rsidRPr="004622E8">
        <w:t xml:space="preserve">two or more </w:t>
      </w:r>
      <w:r w:rsidRPr="004622E8">
        <w:t>stakeholders</w:t>
      </w:r>
      <w:r w:rsidR="0038224E" w:rsidRPr="004622E8">
        <w:t xml:space="preserve"> at once</w:t>
      </w:r>
      <w:r w:rsidRPr="004622E8">
        <w:t>.</w:t>
      </w:r>
    </w:p>
    <w:p w14:paraId="23AC3658" w14:textId="20EFB335" w:rsidR="00FB2546" w:rsidRPr="004622E8" w:rsidRDefault="00B75A62" w:rsidP="004622E8">
      <w:pPr>
        <w:pStyle w:val="Heading4"/>
      </w:pPr>
      <w:bookmarkStart w:id="2" w:name="_Hlk124779974"/>
      <w:r w:rsidRPr="004622E8">
        <w:t>Expert in HTA</w:t>
      </w:r>
    </w:p>
    <w:bookmarkEnd w:id="2"/>
    <w:p w14:paraId="4FCE8CA7" w14:textId="5BAA3E66" w:rsidR="00AF0F8B" w:rsidRPr="004622E8" w:rsidRDefault="00E9376A" w:rsidP="004622E8">
      <w:r w:rsidRPr="004622E8">
        <w:t>Th</w:t>
      </w:r>
      <w:r w:rsidR="008650A5" w:rsidRPr="004622E8">
        <w:t xml:space="preserve">e </w:t>
      </w:r>
      <w:r w:rsidR="00402BFF" w:rsidRPr="004622E8">
        <w:t>Review Secretariat</w:t>
      </w:r>
      <w:r w:rsidR="008650A5" w:rsidRPr="004622E8">
        <w:t xml:space="preserve"> advised the Committee that the</w:t>
      </w:r>
      <w:r w:rsidR="00727A55" w:rsidRPr="004622E8">
        <w:t>re had been a</w:t>
      </w:r>
      <w:r w:rsidR="008650A5" w:rsidRPr="004622E8">
        <w:t xml:space="preserve"> </w:t>
      </w:r>
      <w:r w:rsidR="00F63CEF" w:rsidRPr="004622E8">
        <w:t>r</w:t>
      </w:r>
      <w:r w:rsidR="008650A5" w:rsidRPr="004622E8">
        <w:t xml:space="preserve">equest for </w:t>
      </w:r>
      <w:r w:rsidR="00F63CEF" w:rsidRPr="004622E8">
        <w:t>t</w:t>
      </w:r>
      <w:r w:rsidR="008650A5" w:rsidRPr="004622E8">
        <w:t xml:space="preserve">ender </w:t>
      </w:r>
      <w:r w:rsidR="00727A55" w:rsidRPr="004622E8">
        <w:t>for an</w:t>
      </w:r>
      <w:r w:rsidR="00B75A62" w:rsidRPr="004622E8">
        <w:t xml:space="preserve"> </w:t>
      </w:r>
      <w:r w:rsidR="00727A55" w:rsidRPr="004622E8">
        <w:t>expert</w:t>
      </w:r>
      <w:r w:rsidR="00B75A62" w:rsidRPr="004622E8">
        <w:t xml:space="preserve"> in HTA</w:t>
      </w:r>
      <w:r w:rsidR="00C71601" w:rsidRPr="004622E8">
        <w:t xml:space="preserve"> to support the HTA Review</w:t>
      </w:r>
      <w:r w:rsidR="00727A55" w:rsidRPr="004622E8">
        <w:t xml:space="preserve"> in </w:t>
      </w:r>
      <w:r w:rsidR="00AC206A" w:rsidRPr="004622E8">
        <w:t>early 2022</w:t>
      </w:r>
      <w:r w:rsidR="00D16E54" w:rsidRPr="004622E8">
        <w:t xml:space="preserve"> and that the Department had evaluated the tenders received</w:t>
      </w:r>
      <w:r w:rsidR="00360D66" w:rsidRPr="004622E8">
        <w:t xml:space="preserve"> in accordance with the Commonwealth Procurement Rules</w:t>
      </w:r>
      <w:r w:rsidR="00AC206A" w:rsidRPr="004622E8">
        <w:t>. The Committee wanted to ensure</w:t>
      </w:r>
      <w:r w:rsidR="006F4F9A" w:rsidRPr="004622E8">
        <w:t xml:space="preserve"> that the process had included criteria that </w:t>
      </w:r>
      <w:r w:rsidR="00727A55" w:rsidRPr="004622E8">
        <w:t xml:space="preserve">it </w:t>
      </w:r>
      <w:r w:rsidR="00305E48" w:rsidRPr="004622E8">
        <w:t>thought would be important, such</w:t>
      </w:r>
      <w:r w:rsidR="00052FEF" w:rsidRPr="004622E8">
        <w:t xml:space="preserve"> </w:t>
      </w:r>
      <w:r w:rsidR="00305E48" w:rsidRPr="004622E8">
        <w:t xml:space="preserve">as </w:t>
      </w:r>
      <w:r w:rsidR="00327854" w:rsidRPr="004622E8">
        <w:t xml:space="preserve">understanding of </w:t>
      </w:r>
      <w:r w:rsidR="00E06C68" w:rsidRPr="004622E8">
        <w:t xml:space="preserve">HTA in </w:t>
      </w:r>
      <w:r w:rsidR="00327854" w:rsidRPr="004622E8">
        <w:t>Australia</w:t>
      </w:r>
      <w:r w:rsidR="00E06C68" w:rsidRPr="004622E8">
        <w:t xml:space="preserve"> </w:t>
      </w:r>
      <w:r w:rsidR="00327854" w:rsidRPr="004622E8">
        <w:t xml:space="preserve">and </w:t>
      </w:r>
      <w:r w:rsidR="00E06C68" w:rsidRPr="004622E8">
        <w:t xml:space="preserve">comparable international jurisdictions; </w:t>
      </w:r>
      <w:r w:rsidR="003C7199" w:rsidRPr="004622E8">
        <w:t>technical capacity and HTA experience</w:t>
      </w:r>
      <w:r w:rsidR="00545DE9" w:rsidRPr="004622E8">
        <w:t xml:space="preserve"> in government and industry</w:t>
      </w:r>
      <w:r w:rsidR="003C7199" w:rsidRPr="004622E8">
        <w:t xml:space="preserve">; </w:t>
      </w:r>
      <w:r w:rsidR="00545DE9" w:rsidRPr="004622E8">
        <w:t>multidisciplinary expertise</w:t>
      </w:r>
      <w:r w:rsidR="00360BBF" w:rsidRPr="004622E8">
        <w:t xml:space="preserve">; understanding of diversity of </w:t>
      </w:r>
      <w:r w:rsidR="00BC433A" w:rsidRPr="004622E8">
        <w:t xml:space="preserve">the </w:t>
      </w:r>
      <w:r w:rsidR="00360BBF" w:rsidRPr="004622E8">
        <w:t xml:space="preserve">Australian health system and </w:t>
      </w:r>
      <w:r w:rsidR="00DF25FE" w:rsidRPr="004622E8">
        <w:t>existing bias and conflict of interests</w:t>
      </w:r>
      <w:r w:rsidR="006D6F5C" w:rsidRPr="004622E8">
        <w:t>.</w:t>
      </w:r>
      <w:r w:rsidR="00606820" w:rsidRPr="004622E8">
        <w:t xml:space="preserve"> The </w:t>
      </w:r>
      <w:r w:rsidR="00402BFF" w:rsidRPr="004622E8">
        <w:t>Review Secretariat</w:t>
      </w:r>
      <w:r w:rsidR="00606820" w:rsidRPr="004622E8">
        <w:t xml:space="preserve"> was confident that these criteria aligned </w:t>
      </w:r>
      <w:r w:rsidR="00392DFC" w:rsidRPr="004622E8">
        <w:t xml:space="preserve">with those </w:t>
      </w:r>
      <w:r w:rsidR="00CF1C2B" w:rsidRPr="004622E8">
        <w:t>used</w:t>
      </w:r>
      <w:r w:rsidR="00392DFC" w:rsidRPr="004622E8">
        <w:t xml:space="preserve"> </w:t>
      </w:r>
      <w:r w:rsidR="00D16E54" w:rsidRPr="004622E8">
        <w:t xml:space="preserve">to evaluate the tenders </w:t>
      </w:r>
      <w:r w:rsidR="00606820" w:rsidRPr="004622E8">
        <w:t>and offered to prepare a document</w:t>
      </w:r>
      <w:r w:rsidR="00154AEF" w:rsidRPr="004622E8">
        <w:t xml:space="preserve"> setting this out for the Committee.</w:t>
      </w:r>
      <w:r w:rsidR="00D16E54" w:rsidRPr="004622E8">
        <w:t xml:space="preserve"> </w:t>
      </w:r>
      <w:r w:rsidR="001303A7" w:rsidRPr="004622E8">
        <w:t>The Review Secretariat</w:t>
      </w:r>
      <w:r w:rsidR="00154AEF" w:rsidRPr="004622E8">
        <w:t xml:space="preserve"> agreed</w:t>
      </w:r>
      <w:r w:rsidR="00AF0F8B" w:rsidRPr="004622E8">
        <w:t xml:space="preserve"> to circulate a summary of the HTA expert tender evaluation process</w:t>
      </w:r>
      <w:r w:rsidR="00154AEF" w:rsidRPr="004622E8">
        <w:t xml:space="preserve"> prior to the next meeting </w:t>
      </w:r>
      <w:r w:rsidR="00AF0F8B" w:rsidRPr="004622E8">
        <w:t>to enable the Committee to</w:t>
      </w:r>
      <w:r w:rsidR="00875248" w:rsidRPr="004622E8">
        <w:t xml:space="preserve"> conduct most of its</w:t>
      </w:r>
      <w:r w:rsidR="002362FA" w:rsidRPr="004622E8">
        <w:t xml:space="preserve"> consideration</w:t>
      </w:r>
      <w:r w:rsidR="00875248" w:rsidRPr="004622E8">
        <w:t xml:space="preserve"> on the selection of the HTA expert out of session</w:t>
      </w:r>
      <w:r w:rsidR="001179DF" w:rsidRPr="004622E8">
        <w:t>.</w:t>
      </w:r>
    </w:p>
    <w:p w14:paraId="5697A6DA" w14:textId="4AC419AD" w:rsidR="009D2F19" w:rsidRPr="004622E8" w:rsidRDefault="009D2F19" w:rsidP="004622E8">
      <w:pPr>
        <w:pStyle w:val="Heading4"/>
      </w:pPr>
      <w:r w:rsidRPr="004622E8">
        <w:t xml:space="preserve">Terms of </w:t>
      </w:r>
      <w:r w:rsidR="000014F5" w:rsidRPr="004622E8">
        <w:t>R</w:t>
      </w:r>
      <w:r w:rsidRPr="004622E8">
        <w:t>eference</w:t>
      </w:r>
    </w:p>
    <w:p w14:paraId="56AB8402" w14:textId="6A7DEF5E" w:rsidR="00F20995" w:rsidRPr="004622E8" w:rsidRDefault="00F112BA" w:rsidP="004622E8">
      <w:r w:rsidRPr="004622E8">
        <w:t>The Committee</w:t>
      </w:r>
      <w:r w:rsidRPr="004622E8" w:rsidDel="00F112BA">
        <w:t xml:space="preserve"> </w:t>
      </w:r>
      <w:r w:rsidR="0045417B" w:rsidRPr="004622E8">
        <w:t xml:space="preserve">discussed </w:t>
      </w:r>
      <w:r w:rsidR="00742D87" w:rsidRPr="004622E8">
        <w:t xml:space="preserve">timeframes for developing the </w:t>
      </w:r>
      <w:r w:rsidR="00C95180" w:rsidRPr="004622E8">
        <w:t>terms of reference</w:t>
      </w:r>
      <w:r w:rsidR="00742D87" w:rsidRPr="004622E8">
        <w:t xml:space="preserve"> for consultation with key </w:t>
      </w:r>
      <w:r w:rsidR="00906AD6" w:rsidRPr="004622E8">
        <w:t>stakeholders</w:t>
      </w:r>
      <w:r w:rsidR="00A17C24" w:rsidRPr="004622E8">
        <w:t xml:space="preserve">. </w:t>
      </w:r>
      <w:r w:rsidR="001C1B94" w:rsidRPr="004622E8">
        <w:t xml:space="preserve">The Committee </w:t>
      </w:r>
      <w:r w:rsidR="00AF0F8B" w:rsidRPr="004622E8">
        <w:t>agreed</w:t>
      </w:r>
      <w:r w:rsidR="003C4169" w:rsidRPr="004622E8">
        <w:t xml:space="preserve"> that </w:t>
      </w:r>
      <w:r w:rsidR="001C1B94" w:rsidRPr="004622E8">
        <w:t>it would be helpful to circulate a</w:t>
      </w:r>
      <w:r w:rsidR="003C4169" w:rsidRPr="004622E8">
        <w:t xml:space="preserve"> </w:t>
      </w:r>
      <w:bookmarkStart w:id="3" w:name="_Hlk124769008"/>
      <w:r w:rsidR="003C4169" w:rsidRPr="004622E8">
        <w:t xml:space="preserve">draft </w:t>
      </w:r>
      <w:r w:rsidR="00C95180" w:rsidRPr="004622E8">
        <w:t>terms of reference</w:t>
      </w:r>
      <w:r w:rsidR="00BA0DBD" w:rsidRPr="004622E8">
        <w:t xml:space="preserve"> </w:t>
      </w:r>
      <w:r w:rsidR="003C4169" w:rsidRPr="004622E8">
        <w:t>discussion paper</w:t>
      </w:r>
      <w:r w:rsidR="00BA0DBD" w:rsidRPr="004622E8">
        <w:t xml:space="preserve"> to </w:t>
      </w:r>
      <w:r w:rsidR="00BC433A" w:rsidRPr="004622E8">
        <w:t>the C</w:t>
      </w:r>
      <w:r w:rsidR="00BA0DBD" w:rsidRPr="004622E8">
        <w:t xml:space="preserve">ommittee </w:t>
      </w:r>
      <w:bookmarkEnd w:id="3"/>
      <w:r w:rsidR="003C4169" w:rsidRPr="004622E8">
        <w:t xml:space="preserve">prior to </w:t>
      </w:r>
      <w:r w:rsidR="00906AD6" w:rsidRPr="004622E8">
        <w:t xml:space="preserve">its </w:t>
      </w:r>
      <w:r w:rsidR="003C4169" w:rsidRPr="004622E8">
        <w:t xml:space="preserve">next meeting to </w:t>
      </w:r>
      <w:r w:rsidR="00AF0F8B" w:rsidRPr="004622E8">
        <w:t>assist</w:t>
      </w:r>
      <w:r w:rsidR="00B259EF" w:rsidRPr="004622E8">
        <w:t xml:space="preserve"> </w:t>
      </w:r>
      <w:r w:rsidR="00AF0F8B" w:rsidRPr="004622E8">
        <w:t>discussions about</w:t>
      </w:r>
      <w:r w:rsidR="00B259EF" w:rsidRPr="004622E8">
        <w:t xml:space="preserve"> the </w:t>
      </w:r>
      <w:r w:rsidR="00C95180" w:rsidRPr="004622E8">
        <w:t>terms of reference</w:t>
      </w:r>
      <w:r w:rsidR="003C4169" w:rsidRPr="004622E8">
        <w:t xml:space="preserve">. </w:t>
      </w:r>
    </w:p>
    <w:p w14:paraId="21E325A0" w14:textId="15F8D4AE" w:rsidR="00EE5295" w:rsidRPr="008E7524" w:rsidRDefault="00F20995" w:rsidP="00616F14">
      <w:pPr>
        <w:pStyle w:val="Heading3"/>
      </w:pPr>
      <w:r w:rsidRPr="008E7524">
        <w:t>19 December 2022 meeting</w:t>
      </w:r>
    </w:p>
    <w:p w14:paraId="06208068" w14:textId="62A169E1" w:rsidR="00B75A62" w:rsidRPr="004622E8" w:rsidRDefault="00FD4AC1" w:rsidP="004622E8">
      <w:r w:rsidRPr="004622E8">
        <w:t xml:space="preserve">The Committee held its second meeting by video conference on 19 December 2022. </w:t>
      </w:r>
    </w:p>
    <w:p w14:paraId="021A52AE" w14:textId="71CD0E10" w:rsidR="00AF0F8B" w:rsidRPr="00404170" w:rsidRDefault="00AF0F8B" w:rsidP="00E11B89">
      <w:pPr>
        <w:pStyle w:val="Heading3"/>
      </w:pPr>
      <w:r>
        <w:t>What did the Committee discuss?</w:t>
      </w:r>
    </w:p>
    <w:p w14:paraId="07D24F3B" w14:textId="47559F01" w:rsidR="00BB58C3" w:rsidRPr="004622E8" w:rsidRDefault="00BB58C3" w:rsidP="004622E8">
      <w:pPr>
        <w:pStyle w:val="Heading4"/>
      </w:pPr>
      <w:r w:rsidRPr="004622E8">
        <w:t xml:space="preserve">Terms of </w:t>
      </w:r>
      <w:r w:rsidR="000014F5" w:rsidRPr="004622E8">
        <w:t>R</w:t>
      </w:r>
      <w:r w:rsidRPr="004622E8">
        <w:t xml:space="preserve">eference </w:t>
      </w:r>
    </w:p>
    <w:p w14:paraId="60DDB3FF" w14:textId="127BBED1" w:rsidR="00E35863" w:rsidRPr="004622E8" w:rsidRDefault="00E67FF9" w:rsidP="004622E8">
      <w:r w:rsidRPr="004622E8">
        <w:t>The Committee considered</w:t>
      </w:r>
      <w:r w:rsidR="00BA0DBD" w:rsidRPr="004622E8">
        <w:t xml:space="preserve"> a</w:t>
      </w:r>
      <w:r w:rsidRPr="004622E8">
        <w:t xml:space="preserve"> discussion paper</w:t>
      </w:r>
      <w:r w:rsidR="00F63CEF" w:rsidRPr="004622E8">
        <w:t xml:space="preserve"> for the </w:t>
      </w:r>
      <w:r w:rsidR="00C95180" w:rsidRPr="004622E8">
        <w:t>terms of reference</w:t>
      </w:r>
      <w:r w:rsidRPr="004622E8">
        <w:t xml:space="preserve"> pr</w:t>
      </w:r>
      <w:r w:rsidR="00885F61" w:rsidRPr="004622E8">
        <w:t xml:space="preserve">epared by the </w:t>
      </w:r>
      <w:r w:rsidR="00F63CEF" w:rsidRPr="004622E8">
        <w:t>Department</w:t>
      </w:r>
      <w:r w:rsidR="003775A4" w:rsidRPr="004622E8">
        <w:t xml:space="preserve">. The Committee agreed that </w:t>
      </w:r>
      <w:r w:rsidR="009B7F67" w:rsidRPr="004622E8">
        <w:t>it</w:t>
      </w:r>
      <w:r w:rsidR="003775A4" w:rsidRPr="004622E8">
        <w:t xml:space="preserve"> could form the basis of the</w:t>
      </w:r>
      <w:r w:rsidR="007D1D2C" w:rsidRPr="004622E8">
        <w:t xml:space="preserve"> draft </w:t>
      </w:r>
      <w:r w:rsidR="00C95180" w:rsidRPr="004622E8">
        <w:t>terms of reference</w:t>
      </w:r>
      <w:r w:rsidR="007D1D2C" w:rsidRPr="004622E8">
        <w:t xml:space="preserve"> for consultation</w:t>
      </w:r>
      <w:r w:rsidR="00F63CEF" w:rsidRPr="004622E8">
        <w:t xml:space="preserve"> with edits</w:t>
      </w:r>
      <w:r w:rsidR="007D1D2C" w:rsidRPr="004622E8">
        <w:t>. The Committee</w:t>
      </w:r>
      <w:r w:rsidR="008D59F4" w:rsidRPr="004622E8">
        <w:t xml:space="preserve"> discussed making </w:t>
      </w:r>
      <w:proofErr w:type="gramStart"/>
      <w:r w:rsidR="008D59F4" w:rsidRPr="004622E8">
        <w:t>a number of</w:t>
      </w:r>
      <w:proofErr w:type="gramEnd"/>
      <w:r w:rsidR="008D59F4" w:rsidRPr="004622E8">
        <w:t xml:space="preserve"> changes to the document </w:t>
      </w:r>
      <w:r w:rsidR="009F65B8" w:rsidRPr="004622E8">
        <w:t>including</w:t>
      </w:r>
      <w:r w:rsidR="00020771" w:rsidRPr="004622E8">
        <w:t xml:space="preserve"> strengthening the</w:t>
      </w:r>
      <w:r w:rsidR="00AC49C1" w:rsidRPr="004622E8">
        <w:t xml:space="preserve"> emphasis on patient-</w:t>
      </w:r>
      <w:r w:rsidR="007B5946" w:rsidRPr="004622E8">
        <w:t>centredness and</w:t>
      </w:r>
      <w:r w:rsidR="009F65B8" w:rsidRPr="004622E8">
        <w:t xml:space="preserve"> </w:t>
      </w:r>
      <w:r w:rsidR="00020771" w:rsidRPr="004622E8">
        <w:t>clarifying the types of health technologies proposed to be in scope for the</w:t>
      </w:r>
      <w:r w:rsidR="006D7FB7" w:rsidRPr="004622E8">
        <w:t xml:space="preserve"> </w:t>
      </w:r>
      <w:r w:rsidR="00020771" w:rsidRPr="004622E8">
        <w:t>HTA Review</w:t>
      </w:r>
      <w:r w:rsidR="005354B2" w:rsidRPr="004622E8">
        <w:t xml:space="preserve">. The Committee agreed </w:t>
      </w:r>
      <w:r w:rsidR="009F65B8" w:rsidRPr="004622E8">
        <w:t>to finalise</w:t>
      </w:r>
      <w:r w:rsidR="005354B2" w:rsidRPr="004622E8">
        <w:t xml:space="preserve"> these changes and in turn, the terms of reference for consultation </w:t>
      </w:r>
      <w:r w:rsidR="009F65B8" w:rsidRPr="004622E8">
        <w:t>after the meeting.</w:t>
      </w:r>
    </w:p>
    <w:p w14:paraId="422C5C08" w14:textId="37547DA6" w:rsidR="009B7F67" w:rsidRPr="004622E8" w:rsidRDefault="006D7FB7" w:rsidP="004622E8">
      <w:r w:rsidRPr="004622E8">
        <w:t xml:space="preserve">The Committee noted that the </w:t>
      </w:r>
      <w:r w:rsidR="00C95180" w:rsidRPr="004622E8">
        <w:t>terms of reference</w:t>
      </w:r>
      <w:r w:rsidRPr="004622E8">
        <w:t xml:space="preserve"> would need to be finalised early in </w:t>
      </w:r>
      <w:r w:rsidR="00BC433A" w:rsidRPr="004622E8">
        <w:t>2023</w:t>
      </w:r>
      <w:r w:rsidRPr="004622E8">
        <w:t xml:space="preserve"> to ensure timely commencement of the HTA Review</w:t>
      </w:r>
      <w:r w:rsidR="007B5946" w:rsidRPr="004622E8">
        <w:t xml:space="preserve">. The Committee discussed </w:t>
      </w:r>
      <w:r w:rsidR="00616813" w:rsidRPr="004622E8">
        <w:t xml:space="preserve">the possibility of an open consultation </w:t>
      </w:r>
      <w:r w:rsidR="00F63CEF" w:rsidRPr="004622E8">
        <w:t>on the</w:t>
      </w:r>
      <w:r w:rsidR="00616813" w:rsidRPr="004622E8">
        <w:t xml:space="preserve"> draft terms of reference, noting that this approach would require a sufficiently long consultation period which may not be feasible within the </w:t>
      </w:r>
      <w:r w:rsidR="00FC69D9" w:rsidRPr="004622E8">
        <w:t>timeframe for the HTA Review</w:t>
      </w:r>
      <w:r w:rsidR="00616813" w:rsidRPr="004622E8">
        <w:t xml:space="preserve">. The Committee agreed to </w:t>
      </w:r>
      <w:r w:rsidR="00F63CEF" w:rsidRPr="004622E8">
        <w:t>seek feedback from</w:t>
      </w:r>
      <w:r w:rsidR="00616813" w:rsidRPr="004622E8">
        <w:t xml:space="preserve"> </w:t>
      </w:r>
      <w:r w:rsidR="00F63CEF" w:rsidRPr="004622E8">
        <w:t>the following stakeholders.</w:t>
      </w:r>
    </w:p>
    <w:tbl>
      <w:tblPr>
        <w:tblStyle w:val="DepartmentofHealthtable"/>
        <w:tblW w:w="9351" w:type="dxa"/>
        <w:tblLook w:val="04A0" w:firstRow="1" w:lastRow="0" w:firstColumn="1" w:lastColumn="0" w:noHBand="0" w:noVBand="1"/>
        <w:tblCaption w:val="Stakeholders initially consulted for the HTA Review draft terms of reference"/>
        <w:tblDescription w:val="List of stakeholders initially consulted for the HTA Review draft terms of reference"/>
      </w:tblPr>
      <w:tblGrid>
        <w:gridCol w:w="3681"/>
        <w:gridCol w:w="5670"/>
      </w:tblGrid>
      <w:tr w:rsidR="005B041D" w:rsidRPr="008F3E54" w14:paraId="69A8A055" w14:textId="77777777" w:rsidTr="00462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F8E7E97" w14:textId="77777777" w:rsidR="005B041D" w:rsidRPr="004622E8" w:rsidRDefault="005B041D" w:rsidP="004622E8">
            <w:r w:rsidRPr="004622E8">
              <w:t>Stakeholder group</w:t>
            </w:r>
          </w:p>
        </w:tc>
        <w:tc>
          <w:tcPr>
            <w:tcW w:w="5670" w:type="dxa"/>
          </w:tcPr>
          <w:p w14:paraId="289B5214" w14:textId="77777777" w:rsidR="005B041D" w:rsidRPr="004622E8" w:rsidRDefault="005B041D" w:rsidP="004622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22E8">
              <w:t>Organisation / representative group</w:t>
            </w:r>
          </w:p>
        </w:tc>
      </w:tr>
      <w:tr w:rsidR="005B041D" w:rsidRPr="008F3E54" w14:paraId="5F1EEBA0" w14:textId="77777777" w:rsidTr="00462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51BB945" w14:textId="77777777" w:rsidR="005B041D" w:rsidRPr="004622E8" w:rsidRDefault="005B041D" w:rsidP="004622E8">
            <w:r w:rsidRPr="004622E8">
              <w:t>Medicines industry</w:t>
            </w:r>
          </w:p>
        </w:tc>
        <w:tc>
          <w:tcPr>
            <w:tcW w:w="5670" w:type="dxa"/>
          </w:tcPr>
          <w:p w14:paraId="139F3E1F" w14:textId="77777777" w:rsidR="005B041D" w:rsidRPr="00301E9B" w:rsidRDefault="005B041D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Medicines Australia</w:t>
            </w:r>
          </w:p>
        </w:tc>
      </w:tr>
      <w:tr w:rsidR="005B041D" w:rsidRPr="008F3E54" w14:paraId="10F55325" w14:textId="77777777" w:rsidTr="00462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0423417" w14:textId="77777777" w:rsidR="005B041D" w:rsidRPr="004622E8" w:rsidRDefault="005B041D" w:rsidP="004622E8">
            <w:r w:rsidRPr="004622E8">
              <w:t xml:space="preserve">Government advisory groups </w:t>
            </w:r>
          </w:p>
        </w:tc>
        <w:tc>
          <w:tcPr>
            <w:tcW w:w="5670" w:type="dxa"/>
          </w:tcPr>
          <w:p w14:paraId="1A1CBF28" w14:textId="77777777" w:rsidR="002E0375" w:rsidRPr="00301E9B" w:rsidRDefault="002E0375" w:rsidP="004622E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1E9B">
              <w:t>Australian Technical Advisory Group on Immunisation (ATAGI)</w:t>
            </w:r>
          </w:p>
          <w:p w14:paraId="0C52A44C" w14:textId="77777777" w:rsidR="002E0375" w:rsidRPr="004622E8" w:rsidRDefault="002E0375" w:rsidP="004622E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22E8">
              <w:lastRenderedPageBreak/>
              <w:t>Life Saving Drugs Program Expert Panel (LSDPEP)</w:t>
            </w:r>
          </w:p>
          <w:p w14:paraId="71163785" w14:textId="77777777" w:rsidR="002E0375" w:rsidRPr="004622E8" w:rsidRDefault="005B041D" w:rsidP="004622E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22E8">
              <w:t>Medical Services Advisory Committee (MSAC)</w:t>
            </w:r>
            <w:r w:rsidR="002E0375" w:rsidRPr="004622E8">
              <w:t xml:space="preserve"> </w:t>
            </w:r>
          </w:p>
          <w:p w14:paraId="1EADE9F6" w14:textId="759063A5" w:rsidR="005B041D" w:rsidRPr="004622E8" w:rsidRDefault="002E0375" w:rsidP="004622E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622E8">
              <w:t>Pharmaceutical Benefits Advisory Committee (PBAC)</w:t>
            </w:r>
          </w:p>
        </w:tc>
      </w:tr>
      <w:tr w:rsidR="005B041D" w:rsidRPr="008F3E54" w14:paraId="067F6FAD" w14:textId="77777777" w:rsidTr="00462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E835E93" w14:textId="6E999702" w:rsidR="005B041D" w:rsidRPr="004622E8" w:rsidRDefault="00581D71" w:rsidP="004622E8">
            <w:r w:rsidRPr="004622E8">
              <w:lastRenderedPageBreak/>
              <w:t>Patient and c</w:t>
            </w:r>
            <w:r w:rsidR="005B041D" w:rsidRPr="004622E8">
              <w:t>onsumer</w:t>
            </w:r>
            <w:r w:rsidRPr="004622E8">
              <w:t xml:space="preserve"> representative</w:t>
            </w:r>
            <w:r w:rsidR="005B041D" w:rsidRPr="004622E8">
              <w:t xml:space="preserve"> organisations</w:t>
            </w:r>
          </w:p>
        </w:tc>
        <w:tc>
          <w:tcPr>
            <w:tcW w:w="5670" w:type="dxa"/>
          </w:tcPr>
          <w:p w14:paraId="209108A7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Allergy &amp; Anaphylaxis Australia</w:t>
            </w:r>
          </w:p>
          <w:p w14:paraId="43087D77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Asthma Australia</w:t>
            </w:r>
          </w:p>
          <w:p w14:paraId="1FB925F8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Australian Patient Advocacy Alliance</w:t>
            </w:r>
          </w:p>
          <w:p w14:paraId="110978CC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Bowel Cancer Australia</w:t>
            </w:r>
          </w:p>
          <w:p w14:paraId="17F4D355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Breast Cancer Network</w:t>
            </w:r>
          </w:p>
          <w:p w14:paraId="30F9DB52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Cancer Council</w:t>
            </w:r>
          </w:p>
          <w:p w14:paraId="2A734157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Consumers Health Forum of Australia (CHF)</w:t>
            </w:r>
          </w:p>
          <w:p w14:paraId="10B60991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Creaky Joints Australia</w:t>
            </w:r>
          </w:p>
          <w:p w14:paraId="0E8DD2B2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Crohn’s and Colitis Australia</w:t>
            </w:r>
          </w:p>
          <w:p w14:paraId="03372278" w14:textId="77777777" w:rsidR="00442A47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 xml:space="preserve">Cystic Fibrosis Australia </w:t>
            </w:r>
          </w:p>
          <w:p w14:paraId="44B481D6" w14:textId="34B447E6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 xml:space="preserve">Diabetes Australia </w:t>
            </w:r>
          </w:p>
          <w:p w14:paraId="748CEB71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Eczema Support Australia</w:t>
            </w:r>
          </w:p>
          <w:p w14:paraId="617B72F0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Haemophilia Foundation Australia</w:t>
            </w:r>
          </w:p>
          <w:p w14:paraId="60DC3C66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The Leukaemia Foundation</w:t>
            </w:r>
          </w:p>
          <w:p w14:paraId="272612F2" w14:textId="77777777" w:rsidR="005B041D" w:rsidRPr="00301E9B" w:rsidRDefault="005B041D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Lung Foundation of Australia</w:t>
            </w:r>
          </w:p>
          <w:p w14:paraId="37E0E876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Lymphoma Australia</w:t>
            </w:r>
          </w:p>
          <w:p w14:paraId="299AD33F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Melanoma Patients Australia</w:t>
            </w:r>
          </w:p>
          <w:p w14:paraId="5AE5AD0B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 xml:space="preserve">Migraine Australia </w:t>
            </w:r>
          </w:p>
          <w:p w14:paraId="726184EC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Musculoskeletal Australia</w:t>
            </w:r>
          </w:p>
          <w:p w14:paraId="12EFE490" w14:textId="6A2C6F67" w:rsidR="005B041D" w:rsidRPr="00301E9B" w:rsidRDefault="005B041D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M</w:t>
            </w:r>
            <w:r w:rsidR="00442A47">
              <w:t>S</w:t>
            </w:r>
            <w:r w:rsidRPr="00301E9B">
              <w:t xml:space="preserve"> Australia</w:t>
            </w:r>
          </w:p>
          <w:p w14:paraId="18203664" w14:textId="77777777" w:rsidR="005B041D" w:rsidRPr="00301E9B" w:rsidRDefault="005B041D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Myeloma Australia</w:t>
            </w:r>
          </w:p>
          <w:p w14:paraId="12E296AE" w14:textId="77777777" w:rsidR="005B041D" w:rsidRPr="00301E9B" w:rsidRDefault="005B041D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Ovarian Cancer Australia</w:t>
            </w:r>
          </w:p>
          <w:p w14:paraId="64F9F9CE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Pain Australia</w:t>
            </w:r>
          </w:p>
          <w:p w14:paraId="5E090609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Patient Voice Initiative</w:t>
            </w:r>
          </w:p>
          <w:p w14:paraId="12D6EEC8" w14:textId="77777777" w:rsidR="00442A47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 xml:space="preserve">PRIMCAT Consumer Panel </w:t>
            </w:r>
          </w:p>
          <w:p w14:paraId="7E53DBDD" w14:textId="77777777" w:rsidR="005B041D" w:rsidRPr="00301E9B" w:rsidRDefault="005B041D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Prostate cancer Foundation of Australia</w:t>
            </w:r>
          </w:p>
          <w:p w14:paraId="62C27FC1" w14:textId="77777777" w:rsidR="00442A47" w:rsidRPr="00301E9B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Rare Cancers Australia</w:t>
            </w:r>
          </w:p>
          <w:p w14:paraId="6CF4CD93" w14:textId="04BA2289" w:rsidR="005B041D" w:rsidRPr="00442A47" w:rsidRDefault="00442A47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Rare Voices Australia</w:t>
            </w:r>
          </w:p>
        </w:tc>
      </w:tr>
      <w:tr w:rsidR="005B041D" w:rsidRPr="008F3E54" w14:paraId="5BCC72B1" w14:textId="77777777" w:rsidTr="00462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1EBE948" w14:textId="77777777" w:rsidR="005B041D" w:rsidRPr="004622E8" w:rsidRDefault="005B041D" w:rsidP="004622E8">
            <w:r w:rsidRPr="004622E8">
              <w:t>Peak body – First Nations</w:t>
            </w:r>
          </w:p>
        </w:tc>
        <w:tc>
          <w:tcPr>
            <w:tcW w:w="5670" w:type="dxa"/>
          </w:tcPr>
          <w:p w14:paraId="32615A28" w14:textId="445D0636" w:rsidR="005B041D" w:rsidRPr="00301E9B" w:rsidRDefault="005B041D" w:rsidP="004622E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1E9B">
              <w:t xml:space="preserve">National Aboriginal Community Controlled Health Organisation </w:t>
            </w:r>
          </w:p>
        </w:tc>
      </w:tr>
      <w:tr w:rsidR="005B041D" w14:paraId="5B602761" w14:textId="77777777" w:rsidTr="00462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D58D90D" w14:textId="77777777" w:rsidR="005B041D" w:rsidRPr="004622E8" w:rsidRDefault="005B041D" w:rsidP="004622E8">
            <w:r w:rsidRPr="004622E8">
              <w:t>Statutory authority</w:t>
            </w:r>
          </w:p>
        </w:tc>
        <w:tc>
          <w:tcPr>
            <w:tcW w:w="5670" w:type="dxa"/>
          </w:tcPr>
          <w:p w14:paraId="648B9F03" w14:textId="29B94A1D" w:rsidR="005B041D" w:rsidRPr="00301E9B" w:rsidRDefault="005B041D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>National Blood Authority</w:t>
            </w:r>
          </w:p>
        </w:tc>
      </w:tr>
      <w:tr w:rsidR="005B041D" w:rsidRPr="008F3E54" w14:paraId="7CF78AB6" w14:textId="77777777" w:rsidTr="00462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2D3A6A8" w14:textId="77777777" w:rsidR="005B041D" w:rsidRPr="004622E8" w:rsidRDefault="005B041D" w:rsidP="004622E8">
            <w:r w:rsidRPr="004622E8">
              <w:t>Government</w:t>
            </w:r>
          </w:p>
        </w:tc>
        <w:tc>
          <w:tcPr>
            <w:tcW w:w="5670" w:type="dxa"/>
          </w:tcPr>
          <w:p w14:paraId="5CAD3C84" w14:textId="77777777" w:rsidR="005B041D" w:rsidRPr="00301E9B" w:rsidRDefault="005B041D" w:rsidP="004622E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1E9B">
              <w:t>Minister for Health and Aged Care</w:t>
            </w:r>
          </w:p>
        </w:tc>
      </w:tr>
      <w:tr w:rsidR="005B041D" w:rsidRPr="008F3E54" w14:paraId="18388FD4" w14:textId="77777777" w:rsidTr="00462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F916480" w14:textId="77777777" w:rsidR="005B041D" w:rsidRPr="004622E8" w:rsidRDefault="005B041D" w:rsidP="004622E8">
            <w:r w:rsidRPr="004622E8">
              <w:t xml:space="preserve">Commonwealth central agencies </w:t>
            </w:r>
          </w:p>
        </w:tc>
        <w:tc>
          <w:tcPr>
            <w:tcW w:w="5670" w:type="dxa"/>
          </w:tcPr>
          <w:p w14:paraId="0E0ADCF2" w14:textId="77777777" w:rsidR="002E0375" w:rsidRDefault="002E0375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 xml:space="preserve">Department of Finance </w:t>
            </w:r>
          </w:p>
          <w:p w14:paraId="47C94A0E" w14:textId="68793C4A" w:rsidR="005B041D" w:rsidRPr="00301E9B" w:rsidRDefault="005B041D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t xml:space="preserve">Department of the Prime Minister and Cabinet </w:t>
            </w:r>
          </w:p>
          <w:p w14:paraId="7F22FE5A" w14:textId="77777777" w:rsidR="005B041D" w:rsidRDefault="005B041D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E9B">
              <w:lastRenderedPageBreak/>
              <w:t>The Treasury</w:t>
            </w:r>
          </w:p>
          <w:p w14:paraId="58E65ADC" w14:textId="00A51AF0" w:rsidR="00BC433A" w:rsidRPr="002E0375" w:rsidRDefault="00BC433A" w:rsidP="004622E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 of Health and Aged Care</w:t>
            </w:r>
          </w:p>
        </w:tc>
      </w:tr>
      <w:tr w:rsidR="005B041D" w:rsidRPr="008F3E54" w14:paraId="46EF970E" w14:textId="77777777" w:rsidTr="00462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CF26CB1" w14:textId="77777777" w:rsidR="005B041D" w:rsidRPr="004622E8" w:rsidRDefault="005B041D" w:rsidP="004622E8">
            <w:r w:rsidRPr="004622E8">
              <w:lastRenderedPageBreak/>
              <w:t>States and territories</w:t>
            </w:r>
          </w:p>
        </w:tc>
        <w:tc>
          <w:tcPr>
            <w:tcW w:w="5670" w:type="dxa"/>
          </w:tcPr>
          <w:p w14:paraId="0B409061" w14:textId="77777777" w:rsidR="005B041D" w:rsidRPr="00301E9B" w:rsidRDefault="005B041D" w:rsidP="004622E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1E9B">
              <w:t>Relevant state/territory departments</w:t>
            </w:r>
          </w:p>
        </w:tc>
      </w:tr>
    </w:tbl>
    <w:p w14:paraId="24E4875B" w14:textId="2981D3EA" w:rsidR="00BB58C3" w:rsidRPr="004622E8" w:rsidRDefault="00B75A62" w:rsidP="004622E8">
      <w:pPr>
        <w:pStyle w:val="Heading4"/>
      </w:pPr>
      <w:r w:rsidRPr="004622E8">
        <w:t>Expert in HTA</w:t>
      </w:r>
    </w:p>
    <w:p w14:paraId="5AF4AB23" w14:textId="18FE4029" w:rsidR="00BB58C3" w:rsidRPr="004622E8" w:rsidRDefault="003466FF" w:rsidP="004622E8">
      <w:r w:rsidRPr="004622E8">
        <w:t>The Committee considered a summary of the tender evaluation process</w:t>
      </w:r>
      <w:r w:rsidR="00B75A62" w:rsidRPr="004622E8">
        <w:t xml:space="preserve"> for the expert in HTA</w:t>
      </w:r>
      <w:r w:rsidRPr="004622E8">
        <w:t xml:space="preserve"> prepared by the Department</w:t>
      </w:r>
      <w:r w:rsidR="00E454BB" w:rsidRPr="004622E8">
        <w:t>,</w:t>
      </w:r>
      <w:r w:rsidRPr="004622E8">
        <w:t xml:space="preserve"> which included detail about the process as well as</w:t>
      </w:r>
      <w:r w:rsidR="00D32BA0" w:rsidRPr="004622E8">
        <w:t xml:space="preserve"> evaluation</w:t>
      </w:r>
      <w:r w:rsidRPr="004622E8">
        <w:t xml:space="preserve"> </w:t>
      </w:r>
      <w:r w:rsidR="00B75A62" w:rsidRPr="004622E8">
        <w:t xml:space="preserve">criteria, </w:t>
      </w:r>
      <w:r w:rsidRPr="004622E8">
        <w:t xml:space="preserve">technical scores, </w:t>
      </w:r>
      <w:proofErr w:type="gramStart"/>
      <w:r w:rsidRPr="004622E8">
        <w:t>risks</w:t>
      </w:r>
      <w:proofErr w:type="gramEnd"/>
      <w:r w:rsidRPr="004622E8">
        <w:t xml:space="preserve"> and value for money ranking of the tenderers.</w:t>
      </w:r>
    </w:p>
    <w:p w14:paraId="372323FB" w14:textId="4A69137E" w:rsidR="00B75A62" w:rsidRPr="004622E8" w:rsidRDefault="00E05811" w:rsidP="004622E8">
      <w:r w:rsidRPr="004622E8">
        <w:t xml:space="preserve">The Committee </w:t>
      </w:r>
      <w:r w:rsidR="00F63CEF" w:rsidRPr="004622E8">
        <w:t>expressed its view on the</w:t>
      </w:r>
      <w:r w:rsidRPr="004622E8">
        <w:t xml:space="preserve"> HTA expert </w:t>
      </w:r>
      <w:r w:rsidR="00E454BB" w:rsidRPr="004622E8">
        <w:t>noting the outcomes of the tender evaluation process.</w:t>
      </w:r>
    </w:p>
    <w:p w14:paraId="4A6C417E" w14:textId="318BD55A" w:rsidR="009A209E" w:rsidRPr="004622E8" w:rsidRDefault="009A209E" w:rsidP="004622E8">
      <w:pPr>
        <w:pStyle w:val="Heading4"/>
      </w:pPr>
      <w:r w:rsidRPr="004622E8">
        <w:t>Who is the Reference Committee?</w:t>
      </w:r>
    </w:p>
    <w:p w14:paraId="4F761373" w14:textId="6FD57A92" w:rsidR="009A209E" w:rsidRPr="00BD31AE" w:rsidRDefault="009A209E" w:rsidP="004622E8">
      <w:pPr>
        <w:pStyle w:val="ListBullet"/>
      </w:pPr>
      <w:r w:rsidRPr="00BD31AE">
        <w:t>Independent Chair: Adjunct Professor Debora Picone AO</w:t>
      </w:r>
    </w:p>
    <w:p w14:paraId="7FD4FC50" w14:textId="77777777" w:rsidR="009A209E" w:rsidRPr="00BD31AE" w:rsidRDefault="009A209E" w:rsidP="004622E8">
      <w:pPr>
        <w:pStyle w:val="ListBullet"/>
      </w:pPr>
      <w:r w:rsidRPr="00BD31AE">
        <w:t>Patient Representatives: Ms Ann Single and Dr Dawn Casey PSM</w:t>
      </w:r>
    </w:p>
    <w:p w14:paraId="28E08B97" w14:textId="2D80DA78" w:rsidR="009A209E" w:rsidRPr="00BD31AE" w:rsidRDefault="009A209E" w:rsidP="004622E8">
      <w:pPr>
        <w:pStyle w:val="ListBullet"/>
      </w:pPr>
      <w:r w:rsidRPr="00BD31AE">
        <w:t>Chair of the Pharmaceutical Benefits Advisory Committee (PBAC): Professor</w:t>
      </w:r>
      <w:r w:rsidR="00BC433A" w:rsidRPr="00BD31AE">
        <w:t> </w:t>
      </w:r>
      <w:r w:rsidRPr="00BD31AE">
        <w:t>Andrew Wilson</w:t>
      </w:r>
    </w:p>
    <w:p w14:paraId="4957E384" w14:textId="77777777" w:rsidR="009A209E" w:rsidRPr="00BD31AE" w:rsidRDefault="009A209E" w:rsidP="004622E8">
      <w:pPr>
        <w:pStyle w:val="ListBullet"/>
      </w:pPr>
      <w:r w:rsidRPr="00BD31AE">
        <w:t>Clinical/Scientific Representative: Professor Andrew Roberts AM</w:t>
      </w:r>
    </w:p>
    <w:p w14:paraId="4BC0199E" w14:textId="75A17AEC" w:rsidR="009A209E" w:rsidRPr="00BD31AE" w:rsidRDefault="008D2F1F" w:rsidP="004622E8">
      <w:pPr>
        <w:pStyle w:val="ListBullet"/>
      </w:pPr>
      <w:r w:rsidRPr="00BD31AE">
        <w:t>Member nominated by Medicines Australia</w:t>
      </w:r>
      <w:r w:rsidR="009A209E" w:rsidRPr="00BD31AE">
        <w:t>: Mr John Young</w:t>
      </w:r>
    </w:p>
    <w:p w14:paraId="486F403D" w14:textId="7BE31BF0" w:rsidR="00ED538E" w:rsidRPr="00BD31AE" w:rsidRDefault="009A209E" w:rsidP="004622E8">
      <w:pPr>
        <w:pStyle w:val="ListBullet"/>
      </w:pPr>
      <w:r w:rsidRPr="00BD31AE">
        <w:t>Government Nominee: Ms Adriana Platona PSM</w:t>
      </w:r>
    </w:p>
    <w:p w14:paraId="1E6DD7C2" w14:textId="77777777" w:rsidR="00404170" w:rsidRPr="004622E8" w:rsidRDefault="00ED538E" w:rsidP="004622E8">
      <w:pPr>
        <w:pStyle w:val="Heading4"/>
      </w:pPr>
      <w:r w:rsidRPr="004622E8">
        <w:t>Where can I find out more about the HTA Review?</w:t>
      </w:r>
    </w:p>
    <w:bookmarkStart w:id="4" w:name="_Hlk128668988"/>
    <w:p w14:paraId="56A4B3AD" w14:textId="74ABDDA4" w:rsidR="0098122D" w:rsidRPr="0098122D" w:rsidRDefault="00C06DBB">
      <w:r>
        <w:fldChar w:fldCharType="begin"/>
      </w:r>
      <w:r>
        <w:instrText xml:space="preserve"> HYPERLINK "https://www.health.gov.au/our-work/health-technology-assessment-policy-and-methods-review" </w:instrText>
      </w:r>
      <w:r>
        <w:fldChar w:fldCharType="separate"/>
      </w:r>
      <w:r w:rsidR="00CD57C2" w:rsidRPr="00CD57C2">
        <w:rPr>
          <w:rStyle w:val="Hyperlink"/>
        </w:rPr>
        <w:t>Health Technology Assessment Policy and Methods Review</w:t>
      </w:r>
      <w:r>
        <w:rPr>
          <w:rStyle w:val="Hyperlink"/>
        </w:rPr>
        <w:fldChar w:fldCharType="end"/>
      </w:r>
      <w:bookmarkEnd w:id="4"/>
    </w:p>
    <w:sectPr w:rsidR="0098122D" w:rsidRPr="0098122D" w:rsidSect="009724AB">
      <w:footerReference w:type="default" r:id="rId14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B495" w14:textId="77777777" w:rsidR="00C06DBB" w:rsidRDefault="00C06DBB" w:rsidP="006B56BB">
      <w:r>
        <w:separator/>
      </w:r>
    </w:p>
    <w:p w14:paraId="3D518648" w14:textId="77777777" w:rsidR="00C06DBB" w:rsidRDefault="00C06DBB"/>
  </w:endnote>
  <w:endnote w:type="continuationSeparator" w:id="0">
    <w:p w14:paraId="40C3B9A6" w14:textId="77777777" w:rsidR="00C06DBB" w:rsidRDefault="00C06DBB" w:rsidP="006B56BB">
      <w:r>
        <w:continuationSeparator/>
      </w:r>
    </w:p>
    <w:p w14:paraId="2FB5F5E3" w14:textId="77777777" w:rsidR="00C06DBB" w:rsidRDefault="00C06DBB"/>
  </w:endnote>
  <w:endnote w:type="continuationNotice" w:id="1">
    <w:p w14:paraId="0797DC17" w14:textId="77777777" w:rsidR="00C06DBB" w:rsidRDefault="00C06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BA76" w14:textId="77777777" w:rsidR="00DB2B53" w:rsidRDefault="00DB2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027B3CF2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7F7A9118" w:rsidR="0068134A" w:rsidRPr="00DE3355" w:rsidRDefault="00584A34" w:rsidP="00AC24B7">
    <w:pPr>
      <w:pStyle w:val="Footer"/>
      <w:tabs>
        <w:tab w:val="clear" w:pos="4513"/>
      </w:tabs>
    </w:pPr>
    <w:bookmarkStart w:id="0" w:name="_Hlk124766355"/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3C4169">
      <w:t>1 December 2022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DD4EB9">
          <w:t xml:space="preserve"> and 19 December 2022</w:t>
        </w:r>
        <w:bookmarkEnd w:id="0"/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01C7" w14:textId="36E97E43" w:rsidR="00440411" w:rsidRPr="0068134A" w:rsidRDefault="006D7F15" w:rsidP="0068134A">
    <w:pPr>
      <w:pStyle w:val="Footer"/>
      <w:tabs>
        <w:tab w:val="clear" w:pos="4513"/>
      </w:tabs>
    </w:pPr>
    <w:r>
      <w:t>HTA Review Reference Committee – Communique – 1 December 2022 and 19 December 2022</w:t>
    </w:r>
    <w:sdt>
      <w:sdtPr>
        <w:id w:val="-1932272195"/>
        <w:docPartObj>
          <w:docPartGallery w:val="Page Numbers (Bottom of Page)"/>
          <w:docPartUnique/>
        </w:docPartObj>
      </w:sdtPr>
      <w:sdtEndPr/>
      <w:sdtContent>
        <w:r w:rsidR="00440411">
          <w:tab/>
        </w:r>
        <w:r w:rsidR="00440411" w:rsidRPr="003D033A">
          <w:fldChar w:fldCharType="begin"/>
        </w:r>
        <w:r w:rsidR="00440411" w:rsidRPr="003D033A">
          <w:instrText xml:space="preserve"> PAGE   \* MERGEFORMAT </w:instrText>
        </w:r>
        <w:r w:rsidR="00440411" w:rsidRPr="003D033A">
          <w:fldChar w:fldCharType="separate"/>
        </w:r>
        <w:r w:rsidR="00440411">
          <w:rPr>
            <w:noProof/>
          </w:rPr>
          <w:t>7</w:t>
        </w:r>
        <w:r w:rsidR="00440411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2311" w14:textId="77777777" w:rsidR="00C06DBB" w:rsidRDefault="00C06DBB" w:rsidP="006B56BB">
      <w:r>
        <w:separator/>
      </w:r>
    </w:p>
    <w:p w14:paraId="2EAC1F1D" w14:textId="77777777" w:rsidR="00C06DBB" w:rsidRDefault="00C06DBB"/>
  </w:footnote>
  <w:footnote w:type="continuationSeparator" w:id="0">
    <w:p w14:paraId="5612DDF4" w14:textId="77777777" w:rsidR="00C06DBB" w:rsidRDefault="00C06DBB" w:rsidP="006B56BB">
      <w:r>
        <w:continuationSeparator/>
      </w:r>
    </w:p>
    <w:p w14:paraId="2CD9B25B" w14:textId="77777777" w:rsidR="00C06DBB" w:rsidRDefault="00C06DBB"/>
  </w:footnote>
  <w:footnote w:type="continuationNotice" w:id="1">
    <w:p w14:paraId="1FE91317" w14:textId="77777777" w:rsidR="00C06DBB" w:rsidRDefault="00C06D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0501" w14:textId="77777777" w:rsidR="00DB2B53" w:rsidRDefault="00DB2B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ACBE" w14:textId="77777777" w:rsidR="00DB2B53" w:rsidRDefault="00DB2B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7AC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E9B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E7E37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63694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54C75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5A22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1C3301"/>
    <w:multiLevelType w:val="hybridMultilevel"/>
    <w:tmpl w:val="3D3223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00E0F"/>
    <w:multiLevelType w:val="hybridMultilevel"/>
    <w:tmpl w:val="2B9689C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4CD50FD"/>
    <w:multiLevelType w:val="hybridMultilevel"/>
    <w:tmpl w:val="39DE7870"/>
    <w:lvl w:ilvl="0" w:tplc="9AF89C42">
      <w:start w:val="1"/>
      <w:numFmt w:val="decimal"/>
      <w:pStyle w:val="ListNumber2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E4016"/>
    <w:multiLevelType w:val="hybridMultilevel"/>
    <w:tmpl w:val="FE8E4B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3AC53FE"/>
    <w:multiLevelType w:val="hybridMultilevel"/>
    <w:tmpl w:val="97FC1092"/>
    <w:lvl w:ilvl="0" w:tplc="0C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44142C9"/>
    <w:multiLevelType w:val="hybridMultilevel"/>
    <w:tmpl w:val="D744F0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5E6E68"/>
    <w:multiLevelType w:val="hybridMultilevel"/>
    <w:tmpl w:val="D6504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A12AC"/>
    <w:multiLevelType w:val="hybridMultilevel"/>
    <w:tmpl w:val="C9CC23E0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A3C9C"/>
    <w:multiLevelType w:val="hybridMultilevel"/>
    <w:tmpl w:val="C9B837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A83258"/>
    <w:multiLevelType w:val="hybridMultilevel"/>
    <w:tmpl w:val="35D21A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71C9D"/>
    <w:multiLevelType w:val="multilevel"/>
    <w:tmpl w:val="F63CED32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40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1"/>
  </w:num>
  <w:num w:numId="7">
    <w:abstractNumId w:val="23"/>
  </w:num>
  <w:num w:numId="8">
    <w:abstractNumId w:val="39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42"/>
  </w:num>
  <w:num w:numId="17">
    <w:abstractNumId w:val="13"/>
  </w:num>
  <w:num w:numId="18">
    <w:abstractNumId w:val="15"/>
  </w:num>
  <w:num w:numId="19">
    <w:abstractNumId w:val="18"/>
  </w:num>
  <w:num w:numId="20">
    <w:abstractNumId w:val="19"/>
  </w:num>
  <w:num w:numId="21">
    <w:abstractNumId w:val="41"/>
  </w:num>
  <w:num w:numId="22">
    <w:abstractNumId w:val="10"/>
  </w:num>
  <w:num w:numId="23">
    <w:abstractNumId w:val="13"/>
  </w:num>
  <w:num w:numId="24">
    <w:abstractNumId w:val="18"/>
  </w:num>
  <w:num w:numId="25">
    <w:abstractNumId w:val="40"/>
  </w:num>
  <w:num w:numId="26">
    <w:abstractNumId w:val="8"/>
  </w:num>
  <w:num w:numId="27">
    <w:abstractNumId w:val="20"/>
  </w:num>
  <w:num w:numId="28">
    <w:abstractNumId w:val="36"/>
  </w:num>
  <w:num w:numId="29">
    <w:abstractNumId w:val="26"/>
  </w:num>
  <w:num w:numId="30">
    <w:abstractNumId w:val="29"/>
  </w:num>
  <w:num w:numId="31">
    <w:abstractNumId w:val="12"/>
  </w:num>
  <w:num w:numId="32">
    <w:abstractNumId w:val="9"/>
  </w:num>
  <w:num w:numId="33">
    <w:abstractNumId w:val="16"/>
  </w:num>
  <w:num w:numId="34">
    <w:abstractNumId w:val="22"/>
  </w:num>
  <w:num w:numId="35">
    <w:abstractNumId w:val="37"/>
  </w:num>
  <w:num w:numId="36">
    <w:abstractNumId w:val="32"/>
  </w:num>
  <w:num w:numId="37">
    <w:abstractNumId w:val="33"/>
  </w:num>
  <w:num w:numId="38">
    <w:abstractNumId w:val="31"/>
  </w:num>
  <w:num w:numId="39">
    <w:abstractNumId w:val="27"/>
  </w:num>
  <w:num w:numId="40">
    <w:abstractNumId w:val="38"/>
  </w:num>
  <w:num w:numId="41">
    <w:abstractNumId w:val="14"/>
  </w:num>
  <w:num w:numId="42">
    <w:abstractNumId w:val="17"/>
  </w:num>
  <w:num w:numId="43">
    <w:abstractNumId w:val="24"/>
  </w:num>
  <w:num w:numId="44">
    <w:abstractNumId w:val="28"/>
  </w:num>
  <w:num w:numId="45">
    <w:abstractNumId w:val="21"/>
  </w:num>
  <w:num w:numId="46">
    <w:abstractNumId w:val="25"/>
  </w:num>
  <w:num w:numId="47">
    <w:abstractNumId w:val="35"/>
  </w:num>
  <w:num w:numId="48">
    <w:abstractNumId w:val="34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14F5"/>
    <w:rsid w:val="00003743"/>
    <w:rsid w:val="000047B4"/>
    <w:rsid w:val="00005712"/>
    <w:rsid w:val="00007FD8"/>
    <w:rsid w:val="000117F8"/>
    <w:rsid w:val="0001460F"/>
    <w:rsid w:val="00020771"/>
    <w:rsid w:val="00022629"/>
    <w:rsid w:val="00026139"/>
    <w:rsid w:val="00027601"/>
    <w:rsid w:val="00031B80"/>
    <w:rsid w:val="000325F3"/>
    <w:rsid w:val="00033321"/>
    <w:rsid w:val="000338E5"/>
    <w:rsid w:val="00033ECC"/>
    <w:rsid w:val="0003422F"/>
    <w:rsid w:val="00044874"/>
    <w:rsid w:val="00046FF0"/>
    <w:rsid w:val="00050176"/>
    <w:rsid w:val="00052FEF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3CCD"/>
    <w:rsid w:val="000B4ABA"/>
    <w:rsid w:val="000B7FD7"/>
    <w:rsid w:val="000C243A"/>
    <w:rsid w:val="000C4B16"/>
    <w:rsid w:val="000C50C3"/>
    <w:rsid w:val="000C5E14"/>
    <w:rsid w:val="000C72EC"/>
    <w:rsid w:val="000D1E7E"/>
    <w:rsid w:val="000D21F6"/>
    <w:rsid w:val="000D4500"/>
    <w:rsid w:val="000D7AEA"/>
    <w:rsid w:val="000E2C66"/>
    <w:rsid w:val="000F123C"/>
    <w:rsid w:val="000F16B3"/>
    <w:rsid w:val="000F2FED"/>
    <w:rsid w:val="0010616D"/>
    <w:rsid w:val="00110478"/>
    <w:rsid w:val="0011711B"/>
    <w:rsid w:val="001179DF"/>
    <w:rsid w:val="00117F8A"/>
    <w:rsid w:val="00121B9B"/>
    <w:rsid w:val="00122ADC"/>
    <w:rsid w:val="001303A7"/>
    <w:rsid w:val="00130F59"/>
    <w:rsid w:val="00133EC0"/>
    <w:rsid w:val="0014012F"/>
    <w:rsid w:val="00141CE5"/>
    <w:rsid w:val="00144908"/>
    <w:rsid w:val="00145C7C"/>
    <w:rsid w:val="00154AEF"/>
    <w:rsid w:val="001571C7"/>
    <w:rsid w:val="00161094"/>
    <w:rsid w:val="0017665C"/>
    <w:rsid w:val="00177AD2"/>
    <w:rsid w:val="001815A8"/>
    <w:rsid w:val="001840FA"/>
    <w:rsid w:val="001843C9"/>
    <w:rsid w:val="00190079"/>
    <w:rsid w:val="0019622E"/>
    <w:rsid w:val="001966A7"/>
    <w:rsid w:val="001A0E15"/>
    <w:rsid w:val="001A4627"/>
    <w:rsid w:val="001A4979"/>
    <w:rsid w:val="001A5799"/>
    <w:rsid w:val="001B15D3"/>
    <w:rsid w:val="001B3443"/>
    <w:rsid w:val="001B448A"/>
    <w:rsid w:val="001B6CA1"/>
    <w:rsid w:val="001C0326"/>
    <w:rsid w:val="001C192F"/>
    <w:rsid w:val="001C1B94"/>
    <w:rsid w:val="001C3C42"/>
    <w:rsid w:val="001D7869"/>
    <w:rsid w:val="002026CD"/>
    <w:rsid w:val="002033FC"/>
    <w:rsid w:val="002044BB"/>
    <w:rsid w:val="00210B09"/>
    <w:rsid w:val="00210C9E"/>
    <w:rsid w:val="00211840"/>
    <w:rsid w:val="00214FA9"/>
    <w:rsid w:val="00220E5F"/>
    <w:rsid w:val="002212B5"/>
    <w:rsid w:val="00225023"/>
    <w:rsid w:val="00226668"/>
    <w:rsid w:val="00233809"/>
    <w:rsid w:val="002362FA"/>
    <w:rsid w:val="00237B35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29C0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3A61"/>
    <w:rsid w:val="002B20E6"/>
    <w:rsid w:val="002B42A3"/>
    <w:rsid w:val="002C0CDD"/>
    <w:rsid w:val="002C38C4"/>
    <w:rsid w:val="002C644F"/>
    <w:rsid w:val="002E0375"/>
    <w:rsid w:val="002E1A1D"/>
    <w:rsid w:val="002E1D83"/>
    <w:rsid w:val="002E4081"/>
    <w:rsid w:val="002E5B78"/>
    <w:rsid w:val="002E6706"/>
    <w:rsid w:val="002F3AE3"/>
    <w:rsid w:val="00301E9B"/>
    <w:rsid w:val="0030344B"/>
    <w:rsid w:val="0030464B"/>
    <w:rsid w:val="00305D17"/>
    <w:rsid w:val="00305E48"/>
    <w:rsid w:val="0030786C"/>
    <w:rsid w:val="003233DE"/>
    <w:rsid w:val="0032466B"/>
    <w:rsid w:val="00327854"/>
    <w:rsid w:val="003330EB"/>
    <w:rsid w:val="003353A6"/>
    <w:rsid w:val="003415FD"/>
    <w:rsid w:val="003429F0"/>
    <w:rsid w:val="00345A82"/>
    <w:rsid w:val="003466FF"/>
    <w:rsid w:val="0035097A"/>
    <w:rsid w:val="003540A4"/>
    <w:rsid w:val="00357BCC"/>
    <w:rsid w:val="00360BBF"/>
    <w:rsid w:val="00360D66"/>
    <w:rsid w:val="00360E4E"/>
    <w:rsid w:val="00370AAA"/>
    <w:rsid w:val="00373CEA"/>
    <w:rsid w:val="00375F77"/>
    <w:rsid w:val="003775A4"/>
    <w:rsid w:val="00381BBE"/>
    <w:rsid w:val="0038224E"/>
    <w:rsid w:val="00382903"/>
    <w:rsid w:val="003846FF"/>
    <w:rsid w:val="003857D4"/>
    <w:rsid w:val="00385AD4"/>
    <w:rsid w:val="00387924"/>
    <w:rsid w:val="00387DE7"/>
    <w:rsid w:val="00392DFC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3833"/>
    <w:rsid w:val="003B43AD"/>
    <w:rsid w:val="003C0FEC"/>
    <w:rsid w:val="003C2AC8"/>
    <w:rsid w:val="003C4169"/>
    <w:rsid w:val="003C50F6"/>
    <w:rsid w:val="003C7199"/>
    <w:rsid w:val="003D033A"/>
    <w:rsid w:val="003D17F9"/>
    <w:rsid w:val="003D2D88"/>
    <w:rsid w:val="003D41EA"/>
    <w:rsid w:val="003D4850"/>
    <w:rsid w:val="003D506E"/>
    <w:rsid w:val="003D535A"/>
    <w:rsid w:val="003E5265"/>
    <w:rsid w:val="003F0955"/>
    <w:rsid w:val="003F5F4D"/>
    <w:rsid w:val="003F646F"/>
    <w:rsid w:val="00400989"/>
    <w:rsid w:val="00400F00"/>
    <w:rsid w:val="00402BFF"/>
    <w:rsid w:val="00404170"/>
    <w:rsid w:val="00404F8B"/>
    <w:rsid w:val="00405256"/>
    <w:rsid w:val="00410031"/>
    <w:rsid w:val="00411A59"/>
    <w:rsid w:val="00415C81"/>
    <w:rsid w:val="00432378"/>
    <w:rsid w:val="00440411"/>
    <w:rsid w:val="004409F4"/>
    <w:rsid w:val="00440D65"/>
    <w:rsid w:val="00442A47"/>
    <w:rsid w:val="004435E6"/>
    <w:rsid w:val="00447E31"/>
    <w:rsid w:val="00453923"/>
    <w:rsid w:val="0045417B"/>
    <w:rsid w:val="00454B9B"/>
    <w:rsid w:val="00457858"/>
    <w:rsid w:val="00460B0B"/>
    <w:rsid w:val="00461023"/>
    <w:rsid w:val="004622E8"/>
    <w:rsid w:val="00462FAC"/>
    <w:rsid w:val="00464631"/>
    <w:rsid w:val="00464B79"/>
    <w:rsid w:val="00467BBF"/>
    <w:rsid w:val="0047615D"/>
    <w:rsid w:val="0048095A"/>
    <w:rsid w:val="0048593C"/>
    <w:rsid w:val="004867E2"/>
    <w:rsid w:val="00491BDF"/>
    <w:rsid w:val="004929A9"/>
    <w:rsid w:val="004A78D9"/>
    <w:rsid w:val="004B5A85"/>
    <w:rsid w:val="004C6BCF"/>
    <w:rsid w:val="004D58BF"/>
    <w:rsid w:val="004E4335"/>
    <w:rsid w:val="004E621B"/>
    <w:rsid w:val="004F13EE"/>
    <w:rsid w:val="004F2022"/>
    <w:rsid w:val="004F7C05"/>
    <w:rsid w:val="00501C94"/>
    <w:rsid w:val="00506432"/>
    <w:rsid w:val="0051446E"/>
    <w:rsid w:val="0052051D"/>
    <w:rsid w:val="005354B2"/>
    <w:rsid w:val="00536618"/>
    <w:rsid w:val="00545DE9"/>
    <w:rsid w:val="00545EE6"/>
    <w:rsid w:val="0054768D"/>
    <w:rsid w:val="005550E7"/>
    <w:rsid w:val="005564FB"/>
    <w:rsid w:val="005572C7"/>
    <w:rsid w:val="005622C2"/>
    <w:rsid w:val="005650ED"/>
    <w:rsid w:val="00575754"/>
    <w:rsid w:val="00581D71"/>
    <w:rsid w:val="00581FBA"/>
    <w:rsid w:val="00584A34"/>
    <w:rsid w:val="00591E20"/>
    <w:rsid w:val="00595408"/>
    <w:rsid w:val="00595E84"/>
    <w:rsid w:val="005A0C59"/>
    <w:rsid w:val="005A48EB"/>
    <w:rsid w:val="005A6CFB"/>
    <w:rsid w:val="005B041D"/>
    <w:rsid w:val="005B0F23"/>
    <w:rsid w:val="005C43B9"/>
    <w:rsid w:val="005C5AEB"/>
    <w:rsid w:val="005D4164"/>
    <w:rsid w:val="005D7E81"/>
    <w:rsid w:val="005E0A3F"/>
    <w:rsid w:val="005E4F62"/>
    <w:rsid w:val="005E6883"/>
    <w:rsid w:val="005E772F"/>
    <w:rsid w:val="005F4ECA"/>
    <w:rsid w:val="006041BE"/>
    <w:rsid w:val="006043C7"/>
    <w:rsid w:val="00606820"/>
    <w:rsid w:val="00616698"/>
    <w:rsid w:val="00616813"/>
    <w:rsid w:val="00616F14"/>
    <w:rsid w:val="00623334"/>
    <w:rsid w:val="00624B52"/>
    <w:rsid w:val="00630794"/>
    <w:rsid w:val="00631DF4"/>
    <w:rsid w:val="00634175"/>
    <w:rsid w:val="00636693"/>
    <w:rsid w:val="006408AC"/>
    <w:rsid w:val="0064526B"/>
    <w:rsid w:val="006511B6"/>
    <w:rsid w:val="00657FF8"/>
    <w:rsid w:val="00670D99"/>
    <w:rsid w:val="00670E2B"/>
    <w:rsid w:val="006734BB"/>
    <w:rsid w:val="0067697A"/>
    <w:rsid w:val="0068134A"/>
    <w:rsid w:val="00681562"/>
    <w:rsid w:val="006821EB"/>
    <w:rsid w:val="006969E1"/>
    <w:rsid w:val="006A3063"/>
    <w:rsid w:val="006A6244"/>
    <w:rsid w:val="006B2286"/>
    <w:rsid w:val="006B56BB"/>
    <w:rsid w:val="006C77A8"/>
    <w:rsid w:val="006D4098"/>
    <w:rsid w:val="006D6F5C"/>
    <w:rsid w:val="006D7681"/>
    <w:rsid w:val="006D7B2E"/>
    <w:rsid w:val="006D7F15"/>
    <w:rsid w:val="006D7FB7"/>
    <w:rsid w:val="006E02EA"/>
    <w:rsid w:val="006E0968"/>
    <w:rsid w:val="006E2AF6"/>
    <w:rsid w:val="006F4F9A"/>
    <w:rsid w:val="00701275"/>
    <w:rsid w:val="00707F56"/>
    <w:rsid w:val="00712EA3"/>
    <w:rsid w:val="00713558"/>
    <w:rsid w:val="007206F7"/>
    <w:rsid w:val="00720D08"/>
    <w:rsid w:val="007248EC"/>
    <w:rsid w:val="007263B9"/>
    <w:rsid w:val="00727A55"/>
    <w:rsid w:val="00730E51"/>
    <w:rsid w:val="0073161B"/>
    <w:rsid w:val="007334F8"/>
    <w:rsid w:val="007339CD"/>
    <w:rsid w:val="007359D8"/>
    <w:rsid w:val="007362D4"/>
    <w:rsid w:val="007375FA"/>
    <w:rsid w:val="007402D1"/>
    <w:rsid w:val="00742D87"/>
    <w:rsid w:val="0076672A"/>
    <w:rsid w:val="00766B7C"/>
    <w:rsid w:val="00775E45"/>
    <w:rsid w:val="00776E74"/>
    <w:rsid w:val="00785169"/>
    <w:rsid w:val="00787F4B"/>
    <w:rsid w:val="007954AB"/>
    <w:rsid w:val="007A14C5"/>
    <w:rsid w:val="007A27AC"/>
    <w:rsid w:val="007A4A10"/>
    <w:rsid w:val="007B06FE"/>
    <w:rsid w:val="007B1760"/>
    <w:rsid w:val="007B5946"/>
    <w:rsid w:val="007C1FDC"/>
    <w:rsid w:val="007C6D9C"/>
    <w:rsid w:val="007C7DDB"/>
    <w:rsid w:val="007D1D2C"/>
    <w:rsid w:val="007D2CC7"/>
    <w:rsid w:val="007D673D"/>
    <w:rsid w:val="007D6C3C"/>
    <w:rsid w:val="007E4D09"/>
    <w:rsid w:val="007F2220"/>
    <w:rsid w:val="007F45A5"/>
    <w:rsid w:val="007F4B3E"/>
    <w:rsid w:val="0080472E"/>
    <w:rsid w:val="00805940"/>
    <w:rsid w:val="0080605E"/>
    <w:rsid w:val="008127AF"/>
    <w:rsid w:val="00812B46"/>
    <w:rsid w:val="00815700"/>
    <w:rsid w:val="00817273"/>
    <w:rsid w:val="008264EB"/>
    <w:rsid w:val="00826B8F"/>
    <w:rsid w:val="00827D12"/>
    <w:rsid w:val="00831E8A"/>
    <w:rsid w:val="00835C76"/>
    <w:rsid w:val="008376E2"/>
    <w:rsid w:val="00843049"/>
    <w:rsid w:val="00851F63"/>
    <w:rsid w:val="0085209B"/>
    <w:rsid w:val="0085416F"/>
    <w:rsid w:val="00856B66"/>
    <w:rsid w:val="008601AC"/>
    <w:rsid w:val="00861A5F"/>
    <w:rsid w:val="008644AD"/>
    <w:rsid w:val="00864562"/>
    <w:rsid w:val="008650A5"/>
    <w:rsid w:val="00865735"/>
    <w:rsid w:val="00865DDB"/>
    <w:rsid w:val="00867538"/>
    <w:rsid w:val="00873D90"/>
    <w:rsid w:val="00873FC8"/>
    <w:rsid w:val="00875248"/>
    <w:rsid w:val="00884C63"/>
    <w:rsid w:val="008853DA"/>
    <w:rsid w:val="00885908"/>
    <w:rsid w:val="00885F61"/>
    <w:rsid w:val="008864B7"/>
    <w:rsid w:val="00896526"/>
    <w:rsid w:val="0089677E"/>
    <w:rsid w:val="008A7438"/>
    <w:rsid w:val="008B1334"/>
    <w:rsid w:val="008B25C7"/>
    <w:rsid w:val="008C0278"/>
    <w:rsid w:val="008C24E9"/>
    <w:rsid w:val="008D0533"/>
    <w:rsid w:val="008D2F1F"/>
    <w:rsid w:val="008D42CB"/>
    <w:rsid w:val="008D48C9"/>
    <w:rsid w:val="008D59F4"/>
    <w:rsid w:val="008D6381"/>
    <w:rsid w:val="008E0C77"/>
    <w:rsid w:val="008E15B0"/>
    <w:rsid w:val="008E625F"/>
    <w:rsid w:val="008E7524"/>
    <w:rsid w:val="008F264D"/>
    <w:rsid w:val="0090392E"/>
    <w:rsid w:val="009040E9"/>
    <w:rsid w:val="00906AD6"/>
    <w:rsid w:val="009074E1"/>
    <w:rsid w:val="009112F7"/>
    <w:rsid w:val="009122AF"/>
    <w:rsid w:val="00912D54"/>
    <w:rsid w:val="0091389F"/>
    <w:rsid w:val="00917852"/>
    <w:rsid w:val="009208F7"/>
    <w:rsid w:val="00921649"/>
    <w:rsid w:val="00922517"/>
    <w:rsid w:val="00922722"/>
    <w:rsid w:val="009261E6"/>
    <w:rsid w:val="009268E1"/>
    <w:rsid w:val="00933C0E"/>
    <w:rsid w:val="00933F8E"/>
    <w:rsid w:val="009344DE"/>
    <w:rsid w:val="0094358B"/>
    <w:rsid w:val="00945E7F"/>
    <w:rsid w:val="009557C1"/>
    <w:rsid w:val="00960D6E"/>
    <w:rsid w:val="009724AB"/>
    <w:rsid w:val="00974B59"/>
    <w:rsid w:val="00975A70"/>
    <w:rsid w:val="0098122D"/>
    <w:rsid w:val="0098340B"/>
    <w:rsid w:val="00986830"/>
    <w:rsid w:val="009924C3"/>
    <w:rsid w:val="00993102"/>
    <w:rsid w:val="009966CB"/>
    <w:rsid w:val="009A209E"/>
    <w:rsid w:val="009B0143"/>
    <w:rsid w:val="009B1570"/>
    <w:rsid w:val="009B7F67"/>
    <w:rsid w:val="009C1DF8"/>
    <w:rsid w:val="009C6F10"/>
    <w:rsid w:val="009D148F"/>
    <w:rsid w:val="009D2F19"/>
    <w:rsid w:val="009D3D25"/>
    <w:rsid w:val="009D3D70"/>
    <w:rsid w:val="009E6F7E"/>
    <w:rsid w:val="009E7A1E"/>
    <w:rsid w:val="009E7A57"/>
    <w:rsid w:val="009F4803"/>
    <w:rsid w:val="009F4F6A"/>
    <w:rsid w:val="009F65B8"/>
    <w:rsid w:val="00A13EB5"/>
    <w:rsid w:val="00A15355"/>
    <w:rsid w:val="00A16E36"/>
    <w:rsid w:val="00A17C24"/>
    <w:rsid w:val="00A23F71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2454"/>
    <w:rsid w:val="00A77696"/>
    <w:rsid w:val="00A8020B"/>
    <w:rsid w:val="00A80557"/>
    <w:rsid w:val="00A81D33"/>
    <w:rsid w:val="00A8341C"/>
    <w:rsid w:val="00A930AE"/>
    <w:rsid w:val="00A93DFD"/>
    <w:rsid w:val="00AA1A95"/>
    <w:rsid w:val="00AA260F"/>
    <w:rsid w:val="00AB1EE7"/>
    <w:rsid w:val="00AB4B37"/>
    <w:rsid w:val="00AB5762"/>
    <w:rsid w:val="00AC1A1C"/>
    <w:rsid w:val="00AC206A"/>
    <w:rsid w:val="00AC24B7"/>
    <w:rsid w:val="00AC2679"/>
    <w:rsid w:val="00AC49C1"/>
    <w:rsid w:val="00AC4BE4"/>
    <w:rsid w:val="00AC5DE6"/>
    <w:rsid w:val="00AD05E6"/>
    <w:rsid w:val="00AD0D3F"/>
    <w:rsid w:val="00AD4A1B"/>
    <w:rsid w:val="00AE1D7D"/>
    <w:rsid w:val="00AE2A8B"/>
    <w:rsid w:val="00AE3F64"/>
    <w:rsid w:val="00AF02EC"/>
    <w:rsid w:val="00AF0F8B"/>
    <w:rsid w:val="00AF1222"/>
    <w:rsid w:val="00AF7386"/>
    <w:rsid w:val="00AF7934"/>
    <w:rsid w:val="00B00B81"/>
    <w:rsid w:val="00B04580"/>
    <w:rsid w:val="00B04B09"/>
    <w:rsid w:val="00B16A51"/>
    <w:rsid w:val="00B259EF"/>
    <w:rsid w:val="00B32222"/>
    <w:rsid w:val="00B3618D"/>
    <w:rsid w:val="00B36233"/>
    <w:rsid w:val="00B42851"/>
    <w:rsid w:val="00B45AC7"/>
    <w:rsid w:val="00B4616A"/>
    <w:rsid w:val="00B5372F"/>
    <w:rsid w:val="00B54577"/>
    <w:rsid w:val="00B61129"/>
    <w:rsid w:val="00B64EC8"/>
    <w:rsid w:val="00B67E7F"/>
    <w:rsid w:val="00B75A62"/>
    <w:rsid w:val="00B75EE4"/>
    <w:rsid w:val="00B839B2"/>
    <w:rsid w:val="00B83DF6"/>
    <w:rsid w:val="00B90E05"/>
    <w:rsid w:val="00B94252"/>
    <w:rsid w:val="00B95F8A"/>
    <w:rsid w:val="00B9715A"/>
    <w:rsid w:val="00BA0DBD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58C3"/>
    <w:rsid w:val="00BB6AAD"/>
    <w:rsid w:val="00BC433A"/>
    <w:rsid w:val="00BC45ED"/>
    <w:rsid w:val="00BC4A19"/>
    <w:rsid w:val="00BC4E6D"/>
    <w:rsid w:val="00BD0617"/>
    <w:rsid w:val="00BD2E9B"/>
    <w:rsid w:val="00BD31AE"/>
    <w:rsid w:val="00BD7FB2"/>
    <w:rsid w:val="00BE1EB7"/>
    <w:rsid w:val="00C00930"/>
    <w:rsid w:val="00C060AD"/>
    <w:rsid w:val="00C06DBB"/>
    <w:rsid w:val="00C07F31"/>
    <w:rsid w:val="00C113BF"/>
    <w:rsid w:val="00C2176E"/>
    <w:rsid w:val="00C22F82"/>
    <w:rsid w:val="00C23430"/>
    <w:rsid w:val="00C27D67"/>
    <w:rsid w:val="00C33316"/>
    <w:rsid w:val="00C4631F"/>
    <w:rsid w:val="00C47CDE"/>
    <w:rsid w:val="00C50E16"/>
    <w:rsid w:val="00C538D5"/>
    <w:rsid w:val="00C55258"/>
    <w:rsid w:val="00C71601"/>
    <w:rsid w:val="00C75432"/>
    <w:rsid w:val="00C82EEB"/>
    <w:rsid w:val="00C95180"/>
    <w:rsid w:val="00C971DC"/>
    <w:rsid w:val="00CA16B7"/>
    <w:rsid w:val="00CA556A"/>
    <w:rsid w:val="00CA62AE"/>
    <w:rsid w:val="00CB121A"/>
    <w:rsid w:val="00CB4667"/>
    <w:rsid w:val="00CB5B1A"/>
    <w:rsid w:val="00CC220B"/>
    <w:rsid w:val="00CC5C43"/>
    <w:rsid w:val="00CD02AE"/>
    <w:rsid w:val="00CD2A4F"/>
    <w:rsid w:val="00CD35E4"/>
    <w:rsid w:val="00CD57C2"/>
    <w:rsid w:val="00CE03CA"/>
    <w:rsid w:val="00CE22F1"/>
    <w:rsid w:val="00CE50F2"/>
    <w:rsid w:val="00CE6502"/>
    <w:rsid w:val="00CF1C2B"/>
    <w:rsid w:val="00CF2331"/>
    <w:rsid w:val="00CF2E0F"/>
    <w:rsid w:val="00CF7D3C"/>
    <w:rsid w:val="00D01F09"/>
    <w:rsid w:val="00D147EB"/>
    <w:rsid w:val="00D16E54"/>
    <w:rsid w:val="00D26FD1"/>
    <w:rsid w:val="00D314C2"/>
    <w:rsid w:val="00D32BA0"/>
    <w:rsid w:val="00D34667"/>
    <w:rsid w:val="00D401E1"/>
    <w:rsid w:val="00D408B4"/>
    <w:rsid w:val="00D41DEC"/>
    <w:rsid w:val="00D524C8"/>
    <w:rsid w:val="00D54187"/>
    <w:rsid w:val="00D70E24"/>
    <w:rsid w:val="00D72B61"/>
    <w:rsid w:val="00D86A71"/>
    <w:rsid w:val="00DA3D1D"/>
    <w:rsid w:val="00DA4DC8"/>
    <w:rsid w:val="00DB2B53"/>
    <w:rsid w:val="00DB6286"/>
    <w:rsid w:val="00DB645F"/>
    <w:rsid w:val="00DB76E9"/>
    <w:rsid w:val="00DC0A67"/>
    <w:rsid w:val="00DC1D5E"/>
    <w:rsid w:val="00DC5220"/>
    <w:rsid w:val="00DC6FFF"/>
    <w:rsid w:val="00DD2061"/>
    <w:rsid w:val="00DD4EB9"/>
    <w:rsid w:val="00DD7DAB"/>
    <w:rsid w:val="00DE3355"/>
    <w:rsid w:val="00DE6AD6"/>
    <w:rsid w:val="00DF0C60"/>
    <w:rsid w:val="00DF25FE"/>
    <w:rsid w:val="00DF486F"/>
    <w:rsid w:val="00DF5B5B"/>
    <w:rsid w:val="00DF7619"/>
    <w:rsid w:val="00E02C12"/>
    <w:rsid w:val="00E042D8"/>
    <w:rsid w:val="00E05811"/>
    <w:rsid w:val="00E06C68"/>
    <w:rsid w:val="00E07EE7"/>
    <w:rsid w:val="00E1103B"/>
    <w:rsid w:val="00E11B89"/>
    <w:rsid w:val="00E17B44"/>
    <w:rsid w:val="00E20F27"/>
    <w:rsid w:val="00E22443"/>
    <w:rsid w:val="00E27FEA"/>
    <w:rsid w:val="00E35863"/>
    <w:rsid w:val="00E4086F"/>
    <w:rsid w:val="00E43B3C"/>
    <w:rsid w:val="00E454BB"/>
    <w:rsid w:val="00E50188"/>
    <w:rsid w:val="00E50643"/>
    <w:rsid w:val="00E50BB3"/>
    <w:rsid w:val="00E515CB"/>
    <w:rsid w:val="00E52260"/>
    <w:rsid w:val="00E639B6"/>
    <w:rsid w:val="00E6434B"/>
    <w:rsid w:val="00E6463D"/>
    <w:rsid w:val="00E67FF9"/>
    <w:rsid w:val="00E72E9B"/>
    <w:rsid w:val="00E850C3"/>
    <w:rsid w:val="00E87DF2"/>
    <w:rsid w:val="00E91B7A"/>
    <w:rsid w:val="00E9376A"/>
    <w:rsid w:val="00E9462E"/>
    <w:rsid w:val="00E971A3"/>
    <w:rsid w:val="00EA470E"/>
    <w:rsid w:val="00EA47A7"/>
    <w:rsid w:val="00EA57EB"/>
    <w:rsid w:val="00EB31DF"/>
    <w:rsid w:val="00EB3226"/>
    <w:rsid w:val="00EC213A"/>
    <w:rsid w:val="00EC7744"/>
    <w:rsid w:val="00ED0DAD"/>
    <w:rsid w:val="00ED0F46"/>
    <w:rsid w:val="00ED2373"/>
    <w:rsid w:val="00ED538E"/>
    <w:rsid w:val="00EE3E8A"/>
    <w:rsid w:val="00EE5295"/>
    <w:rsid w:val="00EF2429"/>
    <w:rsid w:val="00EF58B8"/>
    <w:rsid w:val="00EF6ECA"/>
    <w:rsid w:val="00F024E1"/>
    <w:rsid w:val="00F06C10"/>
    <w:rsid w:val="00F1096F"/>
    <w:rsid w:val="00F112BA"/>
    <w:rsid w:val="00F12589"/>
    <w:rsid w:val="00F12595"/>
    <w:rsid w:val="00F134D9"/>
    <w:rsid w:val="00F1403D"/>
    <w:rsid w:val="00F1463F"/>
    <w:rsid w:val="00F1702B"/>
    <w:rsid w:val="00F20995"/>
    <w:rsid w:val="00F21302"/>
    <w:rsid w:val="00F26636"/>
    <w:rsid w:val="00F321DE"/>
    <w:rsid w:val="00F33777"/>
    <w:rsid w:val="00F40648"/>
    <w:rsid w:val="00F47DA2"/>
    <w:rsid w:val="00F519FC"/>
    <w:rsid w:val="00F6239D"/>
    <w:rsid w:val="00F63CEF"/>
    <w:rsid w:val="00F715D2"/>
    <w:rsid w:val="00F7274F"/>
    <w:rsid w:val="00F74E84"/>
    <w:rsid w:val="00F76917"/>
    <w:rsid w:val="00F76FA8"/>
    <w:rsid w:val="00F93F08"/>
    <w:rsid w:val="00F94CED"/>
    <w:rsid w:val="00FA02BB"/>
    <w:rsid w:val="00FA2CEE"/>
    <w:rsid w:val="00FA318C"/>
    <w:rsid w:val="00FA3F05"/>
    <w:rsid w:val="00FB2546"/>
    <w:rsid w:val="00FB2B80"/>
    <w:rsid w:val="00FB3392"/>
    <w:rsid w:val="00FB6F92"/>
    <w:rsid w:val="00FB7859"/>
    <w:rsid w:val="00FC026E"/>
    <w:rsid w:val="00FC5124"/>
    <w:rsid w:val="00FC69D9"/>
    <w:rsid w:val="00FD4717"/>
    <w:rsid w:val="00FD4731"/>
    <w:rsid w:val="00FD4AC1"/>
    <w:rsid w:val="00FD6768"/>
    <w:rsid w:val="00FD6FC2"/>
    <w:rsid w:val="00FE7A3F"/>
    <w:rsid w:val="00FF0AB0"/>
    <w:rsid w:val="00FF28AC"/>
    <w:rsid w:val="00FF55E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622E8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E11B89"/>
    <w:pPr>
      <w:keepNext/>
      <w:spacing w:before="12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11B89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2E6706"/>
    <w:pPr>
      <w:spacing w:before="120"/>
    </w:pPr>
    <w:rPr>
      <w:color w:val="000000" w:themeColor="text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BD31AE"/>
    <w:pPr>
      <w:numPr>
        <w:numId w:val="24"/>
      </w:numPr>
      <w:spacing w:before="120" w:after="120"/>
      <w:ind w:left="641" w:hanging="357"/>
    </w:pPr>
    <w:rPr>
      <w:sz w:val="22"/>
    </w:r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BD31AE"/>
    <w:pPr>
      <w:numPr>
        <w:numId w:val="38"/>
      </w:numPr>
      <w:spacing w:before="120"/>
      <w:ind w:left="1434" w:hanging="357"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622E8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4622E8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43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1F63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B04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customStyle="1" w:styleId="Default">
    <w:name w:val="Default"/>
    <w:rsid w:val="005B041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6215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Reference Committee | Communique 1 and 19 December 2022 meeting</vt:lpstr>
    </vt:vector>
  </TitlesOfParts>
  <Manager/>
  <Company/>
  <LinksUpToDate>false</LinksUpToDate>
  <CharactersWithSpaces>7255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| Communique 1 and 19 December 2022 meeting</dc:title>
  <dc:subject>Health technologies and digital health</dc:subject>
  <dc:creator/>
  <cp:keywords>Drugs; Medicines; Health technology; Health technologies and digital health</cp:keywords>
  <dc:description/>
  <cp:lastModifiedBy/>
  <cp:revision>1</cp:revision>
  <dcterms:created xsi:type="dcterms:W3CDTF">2023-03-06T03:35:00Z</dcterms:created>
  <dcterms:modified xsi:type="dcterms:W3CDTF">2023-03-06T03:35:00Z</dcterms:modified>
  <cp:category/>
</cp:coreProperties>
</file>