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:rsidRPr="003D02B6" w14:paraId="778A60C9" w14:textId="77777777" w:rsidTr="71A4ADB8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7A110395" w14:textId="60B48680" w:rsidR="004F3AA0" w:rsidRPr="003D02B6" w:rsidRDefault="004F3AA0" w:rsidP="004F3AA0">
            <w:pPr>
              <w:rPr>
                <w:rFonts w:cs="Arial"/>
              </w:rPr>
            </w:pPr>
            <w:r w:rsidRPr="003D02B6">
              <w:rPr>
                <w:rFonts w:cs="Arial"/>
                <w:noProof/>
                <w:lang w:eastAsia="en-AU"/>
              </w:rPr>
              <w:drawing>
                <wp:inline distT="0" distB="0" distL="0" distR="0" wp14:anchorId="2A1B5F74" wp14:editId="7729BFBA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DF7741" w:rsidRPr="003D02B6" w:rsidRDefault="003021C5" w:rsidP="00FE23AE">
            <w:pPr>
              <w:pStyle w:val="Title"/>
              <w:jc w:val="right"/>
              <w:rPr>
                <w:rFonts w:cs="Arial"/>
                <w:color w:val="FFFFFF" w:themeColor="background1"/>
              </w:rPr>
            </w:pPr>
            <w:r w:rsidRPr="003D02B6">
              <w:rPr>
                <w:rFonts w:cs="Arial"/>
                <w:color w:val="FFFFFF" w:themeColor="background1"/>
              </w:rPr>
              <w:t xml:space="preserve">AUSTRALIAN TECHNICAL ADVISORY </w:t>
            </w:r>
          </w:p>
          <w:p w14:paraId="5A74DC8E" w14:textId="77777777" w:rsidR="00DF7741" w:rsidRPr="003D02B6" w:rsidRDefault="003021C5" w:rsidP="00FE23AE">
            <w:pPr>
              <w:pStyle w:val="Title"/>
              <w:jc w:val="right"/>
              <w:rPr>
                <w:rFonts w:cs="Arial"/>
                <w:b/>
                <w:color w:val="FFFFFF" w:themeColor="background1"/>
              </w:rPr>
            </w:pPr>
            <w:r w:rsidRPr="003D02B6">
              <w:rPr>
                <w:rFonts w:cs="Arial"/>
                <w:color w:val="FFFFFF" w:themeColor="background1"/>
              </w:rPr>
              <w:t>GROUP ON</w:t>
            </w:r>
            <w:r w:rsidR="00DF7741" w:rsidRPr="003D02B6">
              <w:rPr>
                <w:rFonts w:cs="Arial"/>
                <w:color w:val="FFFFFF" w:themeColor="background1"/>
              </w:rPr>
              <w:t xml:space="preserve"> </w:t>
            </w:r>
            <w:r w:rsidRPr="003D02B6">
              <w:rPr>
                <w:rFonts w:cs="Arial"/>
                <w:color w:val="FFFFFF" w:themeColor="background1"/>
              </w:rPr>
              <w:t>IMMUNISATION (ATAGI)</w:t>
            </w:r>
          </w:p>
          <w:p w14:paraId="503E0D20" w14:textId="77777777" w:rsidR="003021C5" w:rsidRPr="003D02B6" w:rsidRDefault="003021C5" w:rsidP="00FE23AE">
            <w:pPr>
              <w:pStyle w:val="Title"/>
              <w:jc w:val="right"/>
              <w:rPr>
                <w:rFonts w:cs="Arial"/>
              </w:rPr>
            </w:pPr>
            <w:r w:rsidRPr="003D02B6">
              <w:rPr>
                <w:rFonts w:cs="Arial"/>
                <w:b/>
                <w:color w:val="FFFFFF" w:themeColor="background1"/>
              </w:rPr>
              <w:t>CLINICAL ADVICE</w:t>
            </w:r>
          </w:p>
        </w:tc>
      </w:tr>
      <w:tr w:rsidR="004F3AA0" w:rsidRPr="003D02B6" w14:paraId="1C03A215" w14:textId="77777777" w:rsidTr="71A4ADB8">
        <w:tc>
          <w:tcPr>
            <w:tcW w:w="3212" w:type="dxa"/>
            <w:shd w:val="clear" w:color="auto" w:fill="55259E"/>
          </w:tcPr>
          <w:p w14:paraId="12AFE8E5" w14:textId="77777777" w:rsidR="004F3AA0" w:rsidRPr="003D02B6" w:rsidRDefault="004F3AA0" w:rsidP="004F3AA0">
            <w:pPr>
              <w:rPr>
                <w:rFonts w:cs="Arial"/>
              </w:rPr>
            </w:pPr>
          </w:p>
        </w:tc>
        <w:tc>
          <w:tcPr>
            <w:tcW w:w="6884" w:type="dxa"/>
            <w:shd w:val="clear" w:color="auto" w:fill="55259E"/>
            <w:vAlign w:val="center"/>
          </w:tcPr>
          <w:p w14:paraId="018665FF" w14:textId="3A5B8C02" w:rsidR="004F3AA0" w:rsidRPr="003D02B6" w:rsidRDefault="003021C5" w:rsidP="00ED3505">
            <w:pPr>
              <w:pStyle w:val="BodyText"/>
              <w:ind w:right="175"/>
              <w:jc w:val="right"/>
              <w:rPr>
                <w:rFonts w:cs="Arial"/>
                <w:b/>
                <w:color w:val="FFFFFF" w:themeColor="background1"/>
              </w:rPr>
            </w:pPr>
            <w:r w:rsidRPr="003D02B6">
              <w:rPr>
                <w:rFonts w:cs="Arial"/>
                <w:b/>
                <w:color w:val="FFFFFF" w:themeColor="background1"/>
              </w:rPr>
              <w:t xml:space="preserve">Issue date: </w:t>
            </w:r>
            <w:r w:rsidR="0047625E" w:rsidRPr="003D02B6">
              <w:rPr>
                <w:rFonts w:cs="Arial"/>
                <w:b/>
                <w:color w:val="FFFFFF" w:themeColor="background1"/>
              </w:rPr>
              <w:t>March</w:t>
            </w:r>
            <w:r w:rsidR="000E4B3F" w:rsidRPr="003D02B6">
              <w:rPr>
                <w:rFonts w:cs="Arial"/>
                <w:b/>
                <w:color w:val="FFFFFF" w:themeColor="background1"/>
              </w:rPr>
              <w:t xml:space="preserve"> 20</w:t>
            </w:r>
            <w:r w:rsidR="00AB357A" w:rsidRPr="003D02B6">
              <w:rPr>
                <w:rFonts w:cs="Arial"/>
                <w:b/>
                <w:color w:val="FFFFFF" w:themeColor="background1"/>
              </w:rPr>
              <w:t>2</w:t>
            </w:r>
            <w:r w:rsidR="00425F06" w:rsidRPr="00D5565D"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526DCD2E" w14:textId="21129C85" w:rsidR="005E0FAB" w:rsidRPr="007326B5" w:rsidRDefault="00826860" w:rsidP="007326B5">
      <w:pPr>
        <w:pStyle w:val="Heading1Black"/>
      </w:pPr>
      <w:r w:rsidRPr="003D02B6">
        <w:t xml:space="preserve">STATEMENT ON THE </w:t>
      </w:r>
      <w:r w:rsidR="00DD0878" w:rsidRPr="003D02B6">
        <w:t>ADMINISTRATION OF SEASONAL INFL</w:t>
      </w:r>
      <w:r w:rsidRPr="003D02B6">
        <w:t>U</w:t>
      </w:r>
      <w:r w:rsidR="00DD0878" w:rsidRPr="003D02B6">
        <w:t>E</w:t>
      </w:r>
      <w:r w:rsidRPr="003D02B6">
        <w:t xml:space="preserve">NZA VACCINES IN </w:t>
      </w:r>
      <w:r w:rsidR="00D07522" w:rsidRPr="003D02B6">
        <w:t>202</w:t>
      </w:r>
      <w:r w:rsidR="00425F06" w:rsidRPr="003D02B6">
        <w:t>3</w:t>
      </w:r>
    </w:p>
    <w:p w14:paraId="596542FA" w14:textId="7E9EA394" w:rsidR="006B5200" w:rsidRPr="007326B5" w:rsidRDefault="006B5200" w:rsidP="007326B5">
      <w:r w:rsidRPr="007326B5">
        <w:t xml:space="preserve">It is important to read this statement in conjunction with </w:t>
      </w:r>
      <w:r w:rsidR="00F23C53" w:rsidRPr="007326B5">
        <w:t>t</w:t>
      </w:r>
      <w:r w:rsidRPr="007326B5">
        <w:t xml:space="preserve">he </w:t>
      </w:r>
      <w:hyperlink r:id="rId12" w:history="1">
        <w:r w:rsidRPr="007326B5">
          <w:rPr>
            <w:rStyle w:val="Hyperlink"/>
          </w:rPr>
          <w:t>Australian Immunisation Handbook</w:t>
        </w:r>
      </w:hyperlink>
      <w:r w:rsidR="00AB485B" w:rsidRPr="007326B5">
        <w:t xml:space="preserve">, </w:t>
      </w:r>
      <w:r w:rsidRPr="007326B5">
        <w:t xml:space="preserve">available </w:t>
      </w:r>
      <w:r w:rsidR="004A1690" w:rsidRPr="007326B5">
        <w:t xml:space="preserve">at </w:t>
      </w:r>
      <w:r w:rsidR="00CF1008" w:rsidRPr="007326B5">
        <w:t>immunisationhandbook.</w:t>
      </w:r>
      <w:r w:rsidR="009A6FF4" w:rsidRPr="007326B5">
        <w:t>health</w:t>
      </w:r>
      <w:r w:rsidR="00CF1008" w:rsidRPr="007326B5">
        <w:t>.gov.au</w:t>
      </w:r>
    </w:p>
    <w:p w14:paraId="1CC74A23" w14:textId="0E3A4F99" w:rsidR="005E0FAB" w:rsidRPr="003D02B6" w:rsidRDefault="00B64B14" w:rsidP="007326B5">
      <w:pPr>
        <w:pStyle w:val="Heading2"/>
      </w:pPr>
      <w:r w:rsidRPr="003D02B6">
        <w:rPr>
          <w:lang w:eastAsia="en-US"/>
        </w:rPr>
        <w:t>Overview of</w:t>
      </w:r>
      <w:r w:rsidR="005E0FAB" w:rsidRPr="003D02B6">
        <w:rPr>
          <w:lang w:eastAsia="en-US"/>
        </w:rPr>
        <w:t xml:space="preserve"> key </w:t>
      </w:r>
      <w:r w:rsidR="00826860" w:rsidRPr="003D02B6">
        <w:rPr>
          <w:lang w:eastAsia="en-US"/>
        </w:rPr>
        <w:t xml:space="preserve">points and updates for </w:t>
      </w:r>
      <w:r w:rsidR="00D07522" w:rsidRPr="003D02B6">
        <w:rPr>
          <w:lang w:eastAsia="en-US"/>
        </w:rPr>
        <w:t>202</w:t>
      </w:r>
      <w:r w:rsidR="00501091" w:rsidRPr="003D02B6">
        <w:rPr>
          <w:lang w:eastAsia="en-US"/>
        </w:rPr>
        <w:t>3</w:t>
      </w:r>
    </w:p>
    <w:p w14:paraId="2473E7F9" w14:textId="26F67288" w:rsidR="00826860" w:rsidRPr="009F1206" w:rsidRDefault="2DF9D69E" w:rsidP="007326B5">
      <w:pPr>
        <w:pStyle w:val="ListBullet"/>
      </w:pPr>
      <w:r w:rsidRPr="009F1206">
        <w:t>Annual vaccination is the most important measure to prevent influenza and its complications</w:t>
      </w:r>
      <w:r w:rsidR="00044167" w:rsidRPr="009F1206">
        <w:t>.</w:t>
      </w:r>
      <w:r w:rsidR="0AB29E7D" w:rsidRPr="009F1206">
        <w:t xml:space="preserve"> </w:t>
      </w:r>
      <w:r w:rsidR="00044167" w:rsidRPr="009F1206">
        <w:t>It</w:t>
      </w:r>
      <w:r w:rsidR="0AB29E7D" w:rsidRPr="009F1206">
        <w:t xml:space="preserve"> is recommended for all people ≥6 months of age</w:t>
      </w:r>
      <w:r w:rsidRPr="009F1206">
        <w:t>.</w:t>
      </w:r>
    </w:p>
    <w:p w14:paraId="0D970B56" w14:textId="7AA5C9CD" w:rsidR="00590A88" w:rsidRPr="009F1206" w:rsidRDefault="00820F33" w:rsidP="007326B5">
      <w:pPr>
        <w:pStyle w:val="ListBullet"/>
      </w:pPr>
      <w:r w:rsidRPr="009F1206">
        <w:t xml:space="preserve">All </w:t>
      </w:r>
      <w:r w:rsidR="00044167" w:rsidRPr="009F1206">
        <w:t>vaccinations must</w:t>
      </w:r>
      <w:r w:rsidR="5933EDF0" w:rsidRPr="009F1206">
        <w:t xml:space="preserve"> be recorded on the Australian Immunisation Register (AIR)</w:t>
      </w:r>
      <w:r w:rsidR="6A844579" w:rsidRPr="009F1206">
        <w:t>.</w:t>
      </w:r>
    </w:p>
    <w:p w14:paraId="2024E243" w14:textId="36822894" w:rsidR="00044167" w:rsidRPr="009F1206" w:rsidRDefault="00DD3539" w:rsidP="007326B5">
      <w:pPr>
        <w:pStyle w:val="ListBullet"/>
      </w:pPr>
      <w:r w:rsidRPr="009F1206">
        <w:t>In</w:t>
      </w:r>
      <w:r w:rsidR="00044167" w:rsidRPr="009F1206">
        <w:t xml:space="preserve"> </w:t>
      </w:r>
      <w:r w:rsidRPr="009F1206">
        <w:t xml:space="preserve">2022, </w:t>
      </w:r>
      <w:r w:rsidR="00044167" w:rsidRPr="009F1206">
        <w:t xml:space="preserve">there </w:t>
      </w:r>
      <w:r w:rsidR="00855DB1" w:rsidRPr="009F1206">
        <w:t>was</w:t>
      </w:r>
      <w:r w:rsidR="0066183C" w:rsidRPr="009F1206">
        <w:t xml:space="preserve"> </w:t>
      </w:r>
      <w:r w:rsidR="000C3E65" w:rsidRPr="009F1206">
        <w:t xml:space="preserve">a </w:t>
      </w:r>
      <w:r w:rsidR="003D02B6" w:rsidRPr="009F1206">
        <w:t>resurgence</w:t>
      </w:r>
      <w:r w:rsidR="000C3E65" w:rsidRPr="009F1206">
        <w:t xml:space="preserve"> </w:t>
      </w:r>
      <w:r w:rsidR="00044167" w:rsidRPr="009F1206">
        <w:t xml:space="preserve">of influenza virus </w:t>
      </w:r>
      <w:r w:rsidR="000C3E65" w:rsidRPr="009F1206">
        <w:t>circulation</w:t>
      </w:r>
      <w:r w:rsidRPr="009F1206">
        <w:t xml:space="preserve"> arising from the reopening of international borders</w:t>
      </w:r>
      <w:r w:rsidR="00855DB1" w:rsidRPr="009F1206">
        <w:t>. In 2023, s</w:t>
      </w:r>
      <w:r w:rsidRPr="009F1206">
        <w:t xml:space="preserve">easonal </w:t>
      </w:r>
      <w:r w:rsidR="00855DB1" w:rsidRPr="009F1206">
        <w:t xml:space="preserve">influenza </w:t>
      </w:r>
      <w:r w:rsidRPr="009F1206">
        <w:t xml:space="preserve">activity </w:t>
      </w:r>
      <w:r w:rsidR="00855DB1" w:rsidRPr="009F1206">
        <w:t xml:space="preserve">is </w:t>
      </w:r>
      <w:r w:rsidRPr="009F1206">
        <w:t xml:space="preserve">expected to </w:t>
      </w:r>
      <w:r w:rsidR="001E0B25" w:rsidRPr="009F1206">
        <w:t>continue,</w:t>
      </w:r>
      <w:r w:rsidR="00FF1BCD" w:rsidRPr="009F1206">
        <w:t xml:space="preserve"> and t</w:t>
      </w:r>
      <w:r w:rsidRPr="009F1206">
        <w:t>he importance of inf</w:t>
      </w:r>
      <w:r w:rsidR="00855DB1" w:rsidRPr="009F1206">
        <w:t>l</w:t>
      </w:r>
      <w:r w:rsidRPr="009F1206">
        <w:t>uenza</w:t>
      </w:r>
      <w:r w:rsidR="00855DB1" w:rsidRPr="009F1206">
        <w:t xml:space="preserve"> vaccination should be emphasised</w:t>
      </w:r>
      <w:r w:rsidR="0000695B">
        <w:t>.</w:t>
      </w:r>
    </w:p>
    <w:p w14:paraId="392F5F4A" w14:textId="5E45D82D" w:rsidR="00044167" w:rsidRPr="009F1206" w:rsidRDefault="002D4EE4" w:rsidP="007326B5">
      <w:pPr>
        <w:pStyle w:val="ListBullet"/>
      </w:pPr>
      <w:r w:rsidRPr="009F1206">
        <w:t xml:space="preserve">Influenza </w:t>
      </w:r>
      <w:r w:rsidR="00044167" w:rsidRPr="009F1206">
        <w:t>vaccines can be co-administered (</w:t>
      </w:r>
      <w:r w:rsidR="0066183C" w:rsidRPr="009F1206">
        <w:t>given</w:t>
      </w:r>
      <w:r w:rsidR="00044167" w:rsidRPr="009F1206">
        <w:t xml:space="preserve"> on the same day) </w:t>
      </w:r>
      <w:r w:rsidRPr="009F1206">
        <w:t xml:space="preserve">as any COVID-19 </w:t>
      </w:r>
      <w:r w:rsidR="00044167" w:rsidRPr="009F1206">
        <w:t xml:space="preserve">vaccine. </w:t>
      </w:r>
    </w:p>
    <w:p w14:paraId="002E61AC" w14:textId="2DC12C4B" w:rsidR="00826860" w:rsidRPr="009F1206" w:rsidRDefault="2DF9D69E" w:rsidP="007326B5">
      <w:pPr>
        <w:pStyle w:val="ListBullet"/>
      </w:pPr>
      <w:r w:rsidRPr="009F1206">
        <w:t>For adults aged ≥65 years</w:t>
      </w:r>
      <w:r w:rsidR="0066183C" w:rsidRPr="009F1206">
        <w:t>,</w:t>
      </w:r>
      <w:r w:rsidR="2C983ACA" w:rsidRPr="009F1206">
        <w:t xml:space="preserve"> </w:t>
      </w:r>
      <w:r w:rsidR="006633E8">
        <w:t xml:space="preserve">both </w:t>
      </w:r>
      <w:r w:rsidR="13D50386" w:rsidRPr="009F1206">
        <w:t>the</w:t>
      </w:r>
      <w:r w:rsidRPr="009F1206">
        <w:t xml:space="preserve"> </w:t>
      </w:r>
      <w:r w:rsidR="13D50386" w:rsidRPr="009F1206">
        <w:t xml:space="preserve">adjuvanted </w:t>
      </w:r>
      <w:r w:rsidR="006633E8">
        <w:t>(</w:t>
      </w:r>
      <w:r w:rsidR="00605268" w:rsidRPr="009F1206">
        <w:t>Fluad® Quad</w:t>
      </w:r>
      <w:r w:rsidR="006633E8">
        <w:t>)</w:t>
      </w:r>
      <w:r w:rsidR="00605268" w:rsidRPr="009F1206">
        <w:t xml:space="preserve"> and </w:t>
      </w:r>
      <w:r w:rsidR="006633E8">
        <w:t xml:space="preserve">high dose </w:t>
      </w:r>
      <w:r w:rsidR="006633E8" w:rsidRPr="009F1206">
        <w:t xml:space="preserve">influenza vaccine </w:t>
      </w:r>
      <w:r w:rsidR="006633E8">
        <w:t>(</w:t>
      </w:r>
      <w:r w:rsidR="00605268" w:rsidRPr="009F1206">
        <w:t>Fluzone High Dose Quadrivalent</w:t>
      </w:r>
      <w:r w:rsidR="006633E8">
        <w:t>)</w:t>
      </w:r>
      <w:r w:rsidR="00605268" w:rsidRPr="009F1206">
        <w:t xml:space="preserve"> are preferentially recommended over standard influenza vaccine</w:t>
      </w:r>
      <w:r w:rsidR="13D50386" w:rsidRPr="009F1206">
        <w:t>.</w:t>
      </w:r>
      <w:r w:rsidR="001E37B2">
        <w:t xml:space="preserve"> </w:t>
      </w:r>
      <w:r w:rsidR="001821CF" w:rsidRPr="009F1206">
        <w:t>There is no preference for use between either Fluad® Quad or Fluzone High-Dose Quadrivalent</w:t>
      </w:r>
      <w:r w:rsidR="00276C70" w:rsidRPr="009F1206">
        <w:t xml:space="preserve"> in this age group</w:t>
      </w:r>
      <w:r w:rsidR="001821CF" w:rsidRPr="009F1206">
        <w:t>.</w:t>
      </w:r>
    </w:p>
    <w:p w14:paraId="30B1F894" w14:textId="1439C304" w:rsidR="005F5A9F" w:rsidRPr="009F1206" w:rsidRDefault="005F5A9F" w:rsidP="007326B5">
      <w:pPr>
        <w:pStyle w:val="ListBullet"/>
        <w:rPr>
          <w:sz w:val="18"/>
          <w:szCs w:val="18"/>
        </w:rPr>
      </w:pPr>
      <w:r w:rsidRPr="009F1206">
        <w:t>If a person ha</w:t>
      </w:r>
      <w:r w:rsidR="009364C3" w:rsidRPr="009F1206">
        <w:t>d</w:t>
      </w:r>
      <w:r w:rsidRPr="009F1206">
        <w:t xml:space="preserve"> a 202</w:t>
      </w:r>
      <w:r w:rsidR="004F2E2A" w:rsidRPr="009F1206">
        <w:t>2</w:t>
      </w:r>
      <w:r w:rsidRPr="009F1206">
        <w:t xml:space="preserve"> influenza vaccine in late 202</w:t>
      </w:r>
      <w:r w:rsidR="004F2E2A" w:rsidRPr="009F1206">
        <w:t>2</w:t>
      </w:r>
      <w:r w:rsidRPr="009F1206">
        <w:t xml:space="preserve"> or early 202</w:t>
      </w:r>
      <w:r w:rsidR="004F2E2A" w:rsidRPr="009F1206">
        <w:t>3</w:t>
      </w:r>
      <w:r w:rsidRPr="009F1206">
        <w:t>, they are still recommended to receive a 202</w:t>
      </w:r>
      <w:r w:rsidR="004F2E2A" w:rsidRPr="009F1206">
        <w:t>3</w:t>
      </w:r>
      <w:r w:rsidRPr="009F1206">
        <w:t xml:space="preserve"> formulation of influenza vaccine </w:t>
      </w:r>
      <w:r w:rsidR="00276C70" w:rsidRPr="009F1206">
        <w:t xml:space="preserve">when </w:t>
      </w:r>
      <w:r w:rsidRPr="009F1206">
        <w:t>it becomes available (likely from March 202</w:t>
      </w:r>
      <w:r w:rsidR="004F2E2A" w:rsidRPr="009F1206">
        <w:t>3</w:t>
      </w:r>
      <w:r w:rsidRPr="009F1206">
        <w:t>).</w:t>
      </w:r>
    </w:p>
    <w:p w14:paraId="169AA5F1" w14:textId="6BBAF1D6" w:rsidR="00E4512B" w:rsidRPr="007326B5" w:rsidRDefault="33C54524" w:rsidP="007326B5">
      <w:pPr>
        <w:pStyle w:val="Caption"/>
      </w:pPr>
      <w:r w:rsidRPr="007326B5">
        <w:t xml:space="preserve">Table </w:t>
      </w:r>
      <w:r w:rsidR="00E4512B" w:rsidRPr="007326B5">
        <w:fldChar w:fldCharType="begin"/>
      </w:r>
      <w:r w:rsidR="00E4512B" w:rsidRPr="007326B5">
        <w:instrText xml:space="preserve"> SEQ Table \* ARABIC </w:instrText>
      </w:r>
      <w:r w:rsidR="00E4512B" w:rsidRPr="007326B5">
        <w:fldChar w:fldCharType="separate"/>
      </w:r>
      <w:r w:rsidR="00F630BD" w:rsidRPr="007326B5">
        <w:t>1</w:t>
      </w:r>
      <w:r w:rsidR="00E4512B" w:rsidRPr="007326B5">
        <w:fldChar w:fldCharType="end"/>
      </w:r>
      <w:r w:rsidRPr="007326B5">
        <w:t>. Seasonal influenza vaccines registered and available for use in Australia in 202</w:t>
      </w:r>
      <w:r w:rsidR="00D6472A" w:rsidRPr="007326B5">
        <w:t>3</w:t>
      </w:r>
      <w:r w:rsidRPr="007326B5">
        <w:t xml:space="preserve">, by age </w:t>
      </w:r>
    </w:p>
    <w:tbl>
      <w:tblPr>
        <w:tblStyle w:val="TableGrid"/>
        <w:tblW w:w="4951" w:type="pct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1959"/>
        <w:gridCol w:w="986"/>
        <w:gridCol w:w="984"/>
        <w:gridCol w:w="982"/>
        <w:gridCol w:w="1081"/>
        <w:gridCol w:w="981"/>
        <w:gridCol w:w="1159"/>
        <w:gridCol w:w="981"/>
        <w:gridCol w:w="981"/>
      </w:tblGrid>
      <w:tr w:rsidR="00E4512B" w:rsidRPr="003D02B6" w14:paraId="681FBFBF" w14:textId="77777777" w:rsidTr="00A61A0B">
        <w:trPr>
          <w:trHeight w:val="1115"/>
          <w:tblHeader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tl2br w:val="single" w:sz="4" w:space="0" w:color="auto"/>
            </w:tcBorders>
            <w:shd w:val="clear" w:color="auto" w:fill="CCC0D9"/>
            <w:vAlign w:val="center"/>
          </w:tcPr>
          <w:p w14:paraId="45DCBFA1" w14:textId="1C510CFB" w:rsidR="00E4512B" w:rsidRPr="003D02B6" w:rsidRDefault="00E4512B" w:rsidP="00A61A0B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Vaccine</w:t>
            </w:r>
          </w:p>
          <w:p w14:paraId="014D7741" w14:textId="77777777" w:rsidR="00E4512B" w:rsidRPr="003D02B6" w:rsidRDefault="00E4512B" w:rsidP="00A61A0B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Registered</w:t>
            </w:r>
          </w:p>
          <w:p w14:paraId="13E49B9C" w14:textId="77777777" w:rsidR="00E4512B" w:rsidRPr="003D02B6" w:rsidRDefault="00E4512B" w:rsidP="00A61A0B">
            <w:pPr>
              <w:keepNext/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age group</w:t>
            </w:r>
          </w:p>
        </w:tc>
        <w:tc>
          <w:tcPr>
            <w:tcW w:w="488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772FDFA0" w14:textId="1AA2F66B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D02B6">
              <w:rPr>
                <w:rFonts w:cs="Arial"/>
                <w:b/>
                <w:sz w:val="18"/>
                <w:szCs w:val="18"/>
              </w:rPr>
              <w:t>Vaxigrip</w:t>
            </w:r>
            <w:proofErr w:type="spellEnd"/>
            <w:r w:rsidRPr="003D02B6">
              <w:rPr>
                <w:rFonts w:cs="Arial"/>
                <w:b/>
                <w:sz w:val="18"/>
                <w:szCs w:val="18"/>
              </w:rPr>
              <w:t xml:space="preserve"> Tetra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(Sanofi)</w:t>
            </w:r>
          </w:p>
        </w:tc>
        <w:tc>
          <w:tcPr>
            <w:tcW w:w="487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A328FA1" w14:textId="06E61AA0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Fluarix Tetra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(GSK)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33CFAEE5" w14:textId="62460381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Afluria Quad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(Seqirus)</w:t>
            </w:r>
          </w:p>
        </w:tc>
        <w:tc>
          <w:tcPr>
            <w:tcW w:w="535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E3AC27D" w14:textId="43C851F7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D02B6">
              <w:rPr>
                <w:rFonts w:cs="Arial"/>
                <w:b/>
                <w:sz w:val="18"/>
                <w:szCs w:val="18"/>
              </w:rPr>
              <w:t>FluQuadri</w:t>
            </w:r>
            <w:proofErr w:type="spellEnd"/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(Sanofi)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84A98CA" w14:textId="6D7EAA6B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D02B6">
              <w:rPr>
                <w:rFonts w:cs="Arial"/>
                <w:b/>
                <w:sz w:val="18"/>
                <w:szCs w:val="18"/>
              </w:rPr>
              <w:t>Influvac</w:t>
            </w:r>
            <w:proofErr w:type="spellEnd"/>
            <w:r w:rsidRPr="003D02B6">
              <w:rPr>
                <w:rFonts w:cs="Arial"/>
                <w:b/>
                <w:sz w:val="18"/>
                <w:szCs w:val="18"/>
              </w:rPr>
              <w:t xml:space="preserve"> Tetra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931399" w:rsidRPr="00931399">
              <w:rPr>
                <w:rFonts w:cs="Arial"/>
                <w:sz w:val="18"/>
                <w:szCs w:val="18"/>
              </w:rPr>
              <w:t>Viatris</w:t>
            </w:r>
            <w:proofErr w:type="spellEnd"/>
            <w:r w:rsidRPr="003D02B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4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7491ADEF" w14:textId="592026CE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Flucelvax Quad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(Seqirus)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560B3E3" w14:textId="26D1216D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D02B6">
              <w:rPr>
                <w:rFonts w:cs="Arial"/>
                <w:b/>
                <w:sz w:val="18"/>
                <w:szCs w:val="18"/>
              </w:rPr>
              <w:t>Fluad</w:t>
            </w:r>
            <w:proofErr w:type="spellEnd"/>
            <w:r w:rsidRPr="003D02B6">
              <w:rPr>
                <w:rFonts w:cs="Arial"/>
                <w:b/>
                <w:sz w:val="18"/>
                <w:szCs w:val="18"/>
              </w:rPr>
              <w:t xml:space="preserve"> Quad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0.5 mL</w:t>
            </w:r>
            <w:r w:rsidR="007326B5">
              <w:rPr>
                <w:rFonts w:cs="Arial"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sz w:val="18"/>
                <w:szCs w:val="18"/>
              </w:rPr>
              <w:t>(Seqirus)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</w:tcPr>
          <w:p w14:paraId="1F890F61" w14:textId="76FD49BE" w:rsidR="00E4512B" w:rsidRPr="003D02B6" w:rsidRDefault="00E4512B" w:rsidP="007326B5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D02B6">
              <w:rPr>
                <w:rFonts w:cs="Arial"/>
                <w:b/>
                <w:sz w:val="18"/>
                <w:szCs w:val="18"/>
              </w:rPr>
              <w:t>Fluzone</w:t>
            </w:r>
            <w:proofErr w:type="spellEnd"/>
            <w:r w:rsidRPr="003D02B6">
              <w:rPr>
                <w:rFonts w:cs="Arial"/>
                <w:b/>
                <w:sz w:val="18"/>
                <w:szCs w:val="18"/>
              </w:rPr>
              <w:t xml:space="preserve"> High-Dose Quad</w:t>
            </w:r>
            <w:r w:rsidR="007326B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bCs/>
                <w:sz w:val="18"/>
                <w:szCs w:val="18"/>
              </w:rPr>
              <w:t>0.7 mL</w:t>
            </w:r>
            <w:r w:rsidR="007326B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3D02B6">
              <w:rPr>
                <w:rFonts w:cs="Arial"/>
                <w:bCs/>
                <w:sz w:val="18"/>
                <w:szCs w:val="18"/>
              </w:rPr>
              <w:t>(Sanofi)</w:t>
            </w:r>
          </w:p>
        </w:tc>
      </w:tr>
      <w:tr w:rsidR="00E4512B" w:rsidRPr="003D02B6" w14:paraId="2A34AF11" w14:textId="77777777" w:rsidTr="00A61A0B">
        <w:trPr>
          <w:trHeight w:val="454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250BF57B" w14:textId="77777777" w:rsidR="00E4512B" w:rsidRPr="003D02B6" w:rsidRDefault="00E4512B" w:rsidP="00A61A0B">
            <w:pPr>
              <w:keepNext/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sz w:val="18"/>
                <w:szCs w:val="18"/>
              </w:rPr>
              <w:t xml:space="preserve">6 to 24 months </w:t>
            </w:r>
          </w:p>
          <w:p w14:paraId="56D52329" w14:textId="77777777" w:rsidR="00E4512B" w:rsidRPr="003D02B6" w:rsidRDefault="00E4512B" w:rsidP="00A61A0B">
            <w:pPr>
              <w:keepNext/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sz w:val="18"/>
                <w:szCs w:val="18"/>
              </w:rPr>
              <w:t>(&lt;2 years)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B2AD91" w14:textId="40656D55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B96D10" w14:textId="17F1750A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7299F366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71B822C" w14:textId="5657DF01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shd w:val="clear" w:color="auto" w:fill="E8E8E8"/>
            <w:vAlign w:val="center"/>
          </w:tcPr>
          <w:p w14:paraId="155D9E0A" w14:textId="57D6C1D0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shd w:val="clear" w:color="auto" w:fill="E8E8E8"/>
            <w:vAlign w:val="center"/>
          </w:tcPr>
          <w:p w14:paraId="4384A71F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30C20A9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34DC96A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E4512B" w:rsidRPr="003D02B6" w14:paraId="4EB81DB6" w14:textId="77777777" w:rsidTr="00A61A0B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422CE48F" w14:textId="3AE0367E" w:rsidR="00E4512B" w:rsidRPr="003D02B6" w:rsidRDefault="00674C7D" w:rsidP="00A61A0B">
            <w:pPr>
              <w:keepNext/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sz w:val="18"/>
                <w:szCs w:val="18"/>
              </w:rPr>
              <w:t>≥</w:t>
            </w:r>
            <w:r w:rsidR="00E4512B" w:rsidRPr="003D02B6">
              <w:rPr>
                <w:rFonts w:cs="Arial"/>
                <w:sz w:val="18"/>
                <w:szCs w:val="18"/>
              </w:rPr>
              <w:t xml:space="preserve">2 to </w:t>
            </w:r>
            <w:r w:rsidRPr="003D02B6">
              <w:rPr>
                <w:rFonts w:cs="Arial"/>
                <w:sz w:val="18"/>
                <w:szCs w:val="18"/>
              </w:rPr>
              <w:t>&lt;</w:t>
            </w:r>
            <w:r w:rsidR="00E4512B" w:rsidRPr="003D02B6">
              <w:rPr>
                <w:rFonts w:cs="Arial"/>
                <w:sz w:val="18"/>
                <w:szCs w:val="18"/>
              </w:rPr>
              <w:t xml:space="preserve">5 years 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9236E" w14:textId="1E6B1D28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118DD" w14:textId="398A47DF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D83B153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53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30368B3B" w14:textId="3F9BA139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shd w:val="clear" w:color="auto" w:fill="E8E8E8"/>
            <w:vAlign w:val="center"/>
          </w:tcPr>
          <w:p w14:paraId="37881440" w14:textId="7D5B6219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shd w:val="clear" w:color="auto" w:fill="E8E8E8"/>
            <w:vAlign w:val="center"/>
          </w:tcPr>
          <w:p w14:paraId="7A7DAF77" w14:textId="6CEA114B" w:rsidR="00E4512B" w:rsidRPr="003D02B6" w:rsidRDefault="0035377F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42C16EBA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1C1B136" w14:textId="77777777" w:rsidR="00E4512B" w:rsidRPr="003D02B6" w:rsidRDefault="00E4512B" w:rsidP="00A61A0B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1E37B2" w:rsidRPr="003D02B6" w14:paraId="574F15C7" w14:textId="77777777" w:rsidTr="001E37B2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0858B8B2" w14:textId="77777777" w:rsidR="0003471D" w:rsidRPr="003D02B6" w:rsidRDefault="0003471D" w:rsidP="0003471D">
            <w:pPr>
              <w:keepNext/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sz w:val="18"/>
                <w:szCs w:val="18"/>
              </w:rPr>
              <w:t>≥5 to &lt;60 years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EB23584" w14:textId="52C63661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3D02B6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25BBF347" w14:textId="429C9FB5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3D02B6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4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0BAF8" w14:textId="75C5CDB8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3D02B6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DC17D35" w14:textId="6A47A7BD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2ED2E2D" w14:textId="68DDFADB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tcBorders>
              <w:bottom w:val="single" w:sz="4" w:space="0" w:color="A6A6A6" w:themeColor="background1" w:themeShade="A6"/>
            </w:tcBorders>
            <w:shd w:val="clear" w:color="auto" w:fill="E8E8E8"/>
          </w:tcPr>
          <w:p w14:paraId="0011389D" w14:textId="7BDBEB33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086C2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FB57E5B" w14:textId="77777777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60BD400D" w14:textId="77777777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1E37B2" w:rsidRPr="003D02B6" w14:paraId="00F46B79" w14:textId="77777777" w:rsidTr="001E37B2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10035215" w14:textId="77777777" w:rsidR="0003471D" w:rsidRPr="003D02B6" w:rsidRDefault="0003471D" w:rsidP="0003471D">
            <w:pPr>
              <w:keepNext/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sz w:val="18"/>
                <w:szCs w:val="18"/>
              </w:rPr>
              <w:t>≥60 to &lt;65 years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6A709A7C" w14:textId="0FE09335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3D02B6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7CE38359" w14:textId="20C7E9CC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3D02B6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4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32FAA6" w14:textId="30DF8F53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3D02B6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1C67BF6" w14:textId="1E46A76D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68E550C" w14:textId="6B3707FA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tcBorders>
              <w:bottom w:val="single" w:sz="4" w:space="0" w:color="A6A6A6" w:themeColor="background1" w:themeShade="A6"/>
            </w:tcBorders>
            <w:shd w:val="clear" w:color="auto" w:fill="E8E8E8"/>
          </w:tcPr>
          <w:p w14:paraId="2D618E8B" w14:textId="73840ABE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086C2E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2A63487" w14:textId="77777777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D39E435" w14:textId="6ECBDAC7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  <w:tr w:rsidR="001E37B2" w:rsidRPr="003D02B6" w14:paraId="70DA97FA" w14:textId="77777777" w:rsidTr="001E37B2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BCBA67F" w14:textId="77777777" w:rsidR="0003471D" w:rsidRPr="003D02B6" w:rsidRDefault="0003471D" w:rsidP="0003471D">
            <w:pPr>
              <w:rPr>
                <w:rFonts w:cs="Arial"/>
                <w:sz w:val="18"/>
                <w:szCs w:val="18"/>
              </w:rPr>
            </w:pPr>
            <w:r w:rsidRPr="003D02B6">
              <w:rPr>
                <w:rFonts w:cs="Arial"/>
                <w:sz w:val="18"/>
                <w:szCs w:val="18"/>
              </w:rPr>
              <w:t>≥65 years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EBF300E" w14:textId="66D08159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7A346D3" w14:textId="669AF7B3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DE10045" w14:textId="43A4B5A1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BD414F5" w14:textId="69538407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234D632" w14:textId="3B3CB227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shd w:val="clear" w:color="auto" w:fill="E8E8E8"/>
            <w:vAlign w:val="center"/>
          </w:tcPr>
          <w:p w14:paraId="4009F1D0" w14:textId="0FDACF1D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E9480" w14:textId="35387453" w:rsidR="0003471D" w:rsidRPr="003D02B6" w:rsidRDefault="0003471D" w:rsidP="000347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9E9E9"/>
            <w:vAlign w:val="center"/>
          </w:tcPr>
          <w:p w14:paraId="70E3DE78" w14:textId="1680A025" w:rsidR="0003471D" w:rsidRPr="003D02B6" w:rsidRDefault="0003471D" w:rsidP="0003471D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3D02B6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</w:tbl>
    <w:p w14:paraId="0D0551BA" w14:textId="77777777" w:rsidR="00E4512B" w:rsidRPr="003D02B6" w:rsidRDefault="00E4512B" w:rsidP="007326B5">
      <w:pPr>
        <w:pStyle w:val="FootnoteText"/>
      </w:pPr>
      <w:r w:rsidRPr="003D02B6">
        <w:t>Ticks indicate age at which a vaccine is registered and available. White boxes indicate availability for free under the NIP.</w:t>
      </w:r>
    </w:p>
    <w:p w14:paraId="201D0272" w14:textId="785F0BDC" w:rsidR="00E4512B" w:rsidRPr="003D02B6" w:rsidRDefault="00E4512B" w:rsidP="007326B5">
      <w:pPr>
        <w:pStyle w:val="FootnoteText"/>
      </w:pPr>
      <w:r w:rsidRPr="003D02B6">
        <w:t xml:space="preserve">* </w:t>
      </w:r>
      <w:r w:rsidR="00674C7D" w:rsidRPr="003D02B6">
        <w:t>NIP f</w:t>
      </w:r>
      <w:r w:rsidRPr="003D02B6">
        <w:t>unding only for Aboriginal and Torres Strait Islander people, pregnant women and people who have certain medical conditions.</w:t>
      </w:r>
    </w:p>
    <w:p w14:paraId="30B2AFFB" w14:textId="7DDC9BA5" w:rsidR="0002748F" w:rsidRPr="003D02B6" w:rsidRDefault="00DD72CA" w:rsidP="007326B5">
      <w:pPr>
        <w:pStyle w:val="Caption"/>
        <w:rPr>
          <w:lang w:eastAsia="en-US"/>
        </w:rPr>
      </w:pPr>
      <w:r w:rsidRPr="003D02B6">
        <w:rPr>
          <w:lang w:eastAsia="en-US"/>
        </w:rPr>
        <w:t xml:space="preserve">Table 2. </w:t>
      </w:r>
      <w:r w:rsidR="00F8060C" w:rsidRPr="003D02B6">
        <w:rPr>
          <w:lang w:eastAsia="en-US"/>
        </w:rPr>
        <w:t xml:space="preserve">Influenza virus strains included in the </w:t>
      </w:r>
      <w:r w:rsidR="00EA221D" w:rsidRPr="003D02B6">
        <w:rPr>
          <w:lang w:eastAsia="en-US"/>
        </w:rPr>
        <w:t>20</w:t>
      </w:r>
      <w:r w:rsidR="00463035" w:rsidRPr="003D02B6">
        <w:rPr>
          <w:lang w:eastAsia="en-US"/>
        </w:rPr>
        <w:t>2</w:t>
      </w:r>
      <w:r w:rsidR="00265EDC" w:rsidRPr="003D02B6">
        <w:rPr>
          <w:lang w:eastAsia="en-US"/>
        </w:rPr>
        <w:t>3</w:t>
      </w:r>
      <w:r w:rsidR="00EA221D" w:rsidRPr="003D02B6">
        <w:rPr>
          <w:lang w:eastAsia="en-US"/>
        </w:rPr>
        <w:t xml:space="preserve"> </w:t>
      </w:r>
      <w:r w:rsidR="00AB485B" w:rsidRPr="003D02B6">
        <w:rPr>
          <w:lang w:eastAsia="en-US"/>
        </w:rPr>
        <w:t>S</w:t>
      </w:r>
      <w:r w:rsidR="00F8060C" w:rsidRPr="003D02B6">
        <w:rPr>
          <w:lang w:eastAsia="en-US"/>
        </w:rPr>
        <w:t xml:space="preserve">outhern </w:t>
      </w:r>
      <w:r w:rsidR="00AB485B" w:rsidRPr="003D02B6">
        <w:rPr>
          <w:lang w:eastAsia="en-US"/>
        </w:rPr>
        <w:t>H</w:t>
      </w:r>
      <w:r w:rsidR="00F8060C" w:rsidRPr="003D02B6">
        <w:rPr>
          <w:lang w:eastAsia="en-US"/>
        </w:rPr>
        <w:t>emisphere seasonal influenza vaccines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177"/>
        <w:gridCol w:w="5017"/>
      </w:tblGrid>
      <w:tr w:rsidR="009A4C8B" w:rsidRPr="003D02B6" w14:paraId="3EAF561A" w14:textId="77777777" w:rsidTr="001E0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539" w:type="pct"/>
          </w:tcPr>
          <w:p w14:paraId="5216084C" w14:textId="77777777" w:rsidR="009A4C8B" w:rsidRPr="003D02B6" w:rsidRDefault="009A4C8B" w:rsidP="007326B5">
            <w:pPr>
              <w:pStyle w:val="TableHeaderRow"/>
            </w:pPr>
            <w:r w:rsidRPr="003D02B6">
              <w:t>Egg-based influenza vaccines</w:t>
            </w:r>
          </w:p>
        </w:tc>
        <w:tc>
          <w:tcPr>
            <w:tcW w:w="2461" w:type="pct"/>
          </w:tcPr>
          <w:p w14:paraId="32493CD4" w14:textId="77777777" w:rsidR="009A4C8B" w:rsidRPr="003D02B6" w:rsidRDefault="009A4C8B" w:rsidP="007326B5">
            <w:pPr>
              <w:pStyle w:val="TableHeaderRow"/>
            </w:pPr>
            <w:r w:rsidRPr="003D02B6">
              <w:t>Cell-based influenza vaccines</w:t>
            </w:r>
          </w:p>
        </w:tc>
      </w:tr>
      <w:tr w:rsidR="009A4C8B" w:rsidRPr="003D02B6" w14:paraId="6003A1B6" w14:textId="77777777" w:rsidTr="001E0B25">
        <w:trPr>
          <w:trHeight w:val="283"/>
        </w:trPr>
        <w:tc>
          <w:tcPr>
            <w:tcW w:w="2539" w:type="pct"/>
          </w:tcPr>
          <w:p w14:paraId="6786E90D" w14:textId="6296E918" w:rsidR="009A4C8B" w:rsidRPr="003D02B6" w:rsidRDefault="009A4C8B" w:rsidP="007326B5">
            <w:r w:rsidRPr="003D02B6">
              <w:t>A/</w:t>
            </w:r>
            <w:r w:rsidR="00A66A2B" w:rsidRPr="003D02B6">
              <w:t>Sydney</w:t>
            </w:r>
            <w:r w:rsidRPr="003D02B6">
              <w:t>/</w:t>
            </w:r>
            <w:r w:rsidR="00103B56" w:rsidRPr="003D02B6">
              <w:t>5</w:t>
            </w:r>
            <w:r w:rsidRPr="003D02B6">
              <w:t>/20</w:t>
            </w:r>
            <w:r w:rsidR="00103B56" w:rsidRPr="003D02B6">
              <w:t>21</w:t>
            </w:r>
            <w:r w:rsidRPr="003D02B6">
              <w:t xml:space="preserve"> (H1N</w:t>
            </w:r>
            <w:r w:rsidR="009F1206" w:rsidRPr="003D02B6">
              <w:t>1) pdm</w:t>
            </w:r>
            <w:r w:rsidRPr="003D02B6">
              <w:t>09-like virus</w:t>
            </w:r>
          </w:p>
        </w:tc>
        <w:tc>
          <w:tcPr>
            <w:tcW w:w="2461" w:type="pct"/>
          </w:tcPr>
          <w:p w14:paraId="3DA78E1C" w14:textId="6238B876" w:rsidR="009A4C8B" w:rsidRPr="003D02B6" w:rsidRDefault="009A4C8B" w:rsidP="007326B5">
            <w:r w:rsidRPr="003D02B6">
              <w:t>A/</w:t>
            </w:r>
            <w:r w:rsidR="007B1F1E" w:rsidRPr="003D02B6">
              <w:t>Sydney</w:t>
            </w:r>
            <w:r w:rsidRPr="003D02B6">
              <w:t>/5/20</w:t>
            </w:r>
            <w:r w:rsidR="00E77573" w:rsidRPr="003D02B6">
              <w:t>21</w:t>
            </w:r>
            <w:r w:rsidRPr="003D02B6">
              <w:t xml:space="preserve"> (H1N</w:t>
            </w:r>
            <w:r w:rsidR="003D02B6" w:rsidRPr="003D02B6">
              <w:t>1) pdm</w:t>
            </w:r>
            <w:r w:rsidRPr="003D02B6">
              <w:t>09-like virus</w:t>
            </w:r>
          </w:p>
        </w:tc>
      </w:tr>
      <w:tr w:rsidR="00A7161D" w:rsidRPr="003D02B6" w14:paraId="2C197CD9" w14:textId="77777777" w:rsidTr="001E0B25">
        <w:trPr>
          <w:trHeight w:val="283"/>
        </w:trPr>
        <w:tc>
          <w:tcPr>
            <w:tcW w:w="2539" w:type="pct"/>
          </w:tcPr>
          <w:p w14:paraId="065F9F48" w14:textId="098BD89E" w:rsidR="00A7161D" w:rsidRPr="003D02B6" w:rsidRDefault="00A7161D" w:rsidP="007326B5">
            <w:r w:rsidRPr="003D02B6">
              <w:t>A/</w:t>
            </w:r>
            <w:r w:rsidR="00E6520E" w:rsidRPr="003D02B6">
              <w:t>Darwin</w:t>
            </w:r>
            <w:r w:rsidRPr="003D02B6">
              <w:t>/</w:t>
            </w:r>
            <w:r w:rsidR="00E6520E" w:rsidRPr="003D02B6">
              <w:t>9/2021</w:t>
            </w:r>
            <w:r w:rsidRPr="003D02B6">
              <w:t xml:space="preserve"> (H3N2)-like virus</w:t>
            </w:r>
          </w:p>
        </w:tc>
        <w:tc>
          <w:tcPr>
            <w:tcW w:w="2461" w:type="pct"/>
          </w:tcPr>
          <w:p w14:paraId="1D6E50AB" w14:textId="43E6CFAB" w:rsidR="00A7161D" w:rsidRPr="003D02B6" w:rsidRDefault="00A7161D" w:rsidP="007326B5">
            <w:r w:rsidRPr="003D02B6">
              <w:t>A/</w:t>
            </w:r>
            <w:r w:rsidR="00E6520E" w:rsidRPr="003D02B6">
              <w:t>Darwin</w:t>
            </w:r>
            <w:r w:rsidRPr="003D02B6">
              <w:t>/</w:t>
            </w:r>
            <w:r w:rsidR="00E6520E" w:rsidRPr="003D02B6">
              <w:t>6/2021</w:t>
            </w:r>
            <w:r w:rsidRPr="003D02B6">
              <w:t xml:space="preserve"> (H3N2)-like virus</w:t>
            </w:r>
          </w:p>
        </w:tc>
      </w:tr>
      <w:tr w:rsidR="00A7161D" w:rsidRPr="003D02B6" w14:paraId="230C49EC" w14:textId="77777777" w:rsidTr="001E0B25">
        <w:trPr>
          <w:trHeight w:val="283"/>
        </w:trPr>
        <w:tc>
          <w:tcPr>
            <w:tcW w:w="2539" w:type="pct"/>
          </w:tcPr>
          <w:p w14:paraId="68D76AAB" w14:textId="186227AE" w:rsidR="00A7161D" w:rsidRPr="003D02B6" w:rsidRDefault="00A7161D" w:rsidP="007326B5">
            <w:r w:rsidRPr="003D02B6">
              <w:t>B/</w:t>
            </w:r>
            <w:r w:rsidR="00E6520E" w:rsidRPr="003D02B6">
              <w:t>Austria</w:t>
            </w:r>
            <w:r w:rsidRPr="003D02B6">
              <w:t>/</w:t>
            </w:r>
            <w:r w:rsidR="00E6520E" w:rsidRPr="003D02B6">
              <w:t>1359417</w:t>
            </w:r>
            <w:r w:rsidRPr="003D02B6">
              <w:t>/</w:t>
            </w:r>
            <w:r w:rsidR="00E6520E" w:rsidRPr="003D02B6">
              <w:t>2021</w:t>
            </w:r>
            <w:r w:rsidRPr="003D02B6">
              <w:t xml:space="preserve"> (B/Victoria lineage)</w:t>
            </w:r>
            <w:r w:rsidR="008F0B99" w:rsidRPr="003D02B6">
              <w:t xml:space="preserve">-like </w:t>
            </w:r>
            <w:r w:rsidRPr="003D02B6">
              <w:t>virus</w:t>
            </w:r>
          </w:p>
        </w:tc>
        <w:tc>
          <w:tcPr>
            <w:tcW w:w="2461" w:type="pct"/>
          </w:tcPr>
          <w:p w14:paraId="2B241A28" w14:textId="0950CB3C" w:rsidR="00A7161D" w:rsidRPr="003D02B6" w:rsidRDefault="00A7161D" w:rsidP="007326B5">
            <w:r w:rsidRPr="003D02B6">
              <w:t>B/</w:t>
            </w:r>
            <w:r w:rsidR="00E6520E" w:rsidRPr="003D02B6">
              <w:t>Austria</w:t>
            </w:r>
            <w:r w:rsidRPr="003D02B6">
              <w:t>/</w:t>
            </w:r>
            <w:r w:rsidR="00E6520E" w:rsidRPr="003D02B6">
              <w:t>1359417</w:t>
            </w:r>
            <w:r w:rsidRPr="003D02B6">
              <w:t>/</w:t>
            </w:r>
            <w:r w:rsidR="00E6520E" w:rsidRPr="003D02B6">
              <w:t>2021</w:t>
            </w:r>
            <w:r w:rsidR="00D10013" w:rsidRPr="003D02B6">
              <w:t xml:space="preserve"> </w:t>
            </w:r>
            <w:r w:rsidRPr="003D02B6">
              <w:t>(B/Victoria lineage)</w:t>
            </w:r>
            <w:r w:rsidR="00E77573" w:rsidRPr="003D02B6">
              <w:t xml:space="preserve">-like </w:t>
            </w:r>
            <w:r w:rsidRPr="003D02B6">
              <w:t>virus</w:t>
            </w:r>
          </w:p>
        </w:tc>
      </w:tr>
      <w:tr w:rsidR="00A7161D" w:rsidRPr="003D02B6" w14:paraId="4C08063D" w14:textId="77777777" w:rsidTr="001E0B25">
        <w:trPr>
          <w:trHeight w:val="283"/>
        </w:trPr>
        <w:tc>
          <w:tcPr>
            <w:tcW w:w="2539" w:type="pct"/>
          </w:tcPr>
          <w:p w14:paraId="297CB0F6" w14:textId="148A4ABE" w:rsidR="00A7161D" w:rsidRPr="003D02B6" w:rsidRDefault="00A7161D" w:rsidP="007326B5">
            <w:r w:rsidRPr="003D02B6">
              <w:t>B/Phuket/3073/2013 (B/Yamagata lineage)</w:t>
            </w:r>
            <w:r w:rsidR="008F0B99" w:rsidRPr="003D02B6">
              <w:t xml:space="preserve">-like </w:t>
            </w:r>
            <w:r w:rsidRPr="003D02B6">
              <w:t>virus</w:t>
            </w:r>
          </w:p>
        </w:tc>
        <w:tc>
          <w:tcPr>
            <w:tcW w:w="2461" w:type="pct"/>
          </w:tcPr>
          <w:p w14:paraId="2F9D991F" w14:textId="7B916987" w:rsidR="00A7161D" w:rsidRPr="003D02B6" w:rsidRDefault="00A7161D" w:rsidP="007326B5">
            <w:r w:rsidRPr="003D02B6">
              <w:t>B/Phuket/3073/2013 (B/Yamagata lineage)</w:t>
            </w:r>
            <w:r w:rsidR="00D10013" w:rsidRPr="003D02B6">
              <w:t xml:space="preserve">-like </w:t>
            </w:r>
            <w:r w:rsidRPr="003D02B6">
              <w:t>virus</w:t>
            </w:r>
          </w:p>
        </w:tc>
      </w:tr>
    </w:tbl>
    <w:p w14:paraId="1975EA50" w14:textId="1BCC2EB2" w:rsidR="00855DB1" w:rsidRPr="003D02B6" w:rsidRDefault="003E1F9C" w:rsidP="007326B5">
      <w:pPr>
        <w:pStyle w:val="FootnoteText"/>
        <w:rPr>
          <w:rFonts w:asciiTheme="majorHAnsi" w:hAnsiTheme="majorHAnsi" w:cstheme="majorHAnsi"/>
        </w:rPr>
      </w:pPr>
      <w:r w:rsidRPr="003D02B6">
        <w:t xml:space="preserve">Note: </w:t>
      </w:r>
      <w:r w:rsidR="001567A8" w:rsidRPr="003D02B6">
        <w:t xml:space="preserve">The chosen egg-based and cell-based viruses will sometimes differ if one virus cannot be used </w:t>
      </w:r>
      <w:r w:rsidR="00DA7304" w:rsidRPr="003D02B6">
        <w:t xml:space="preserve">for both production systems. In </w:t>
      </w:r>
      <w:r w:rsidR="001567A8" w:rsidRPr="003D02B6">
        <w:t>this</w:t>
      </w:r>
      <w:r w:rsidR="00DA7304" w:rsidRPr="003D02B6">
        <w:t xml:space="preserve"> case</w:t>
      </w:r>
      <w:r w:rsidR="00276C70" w:rsidRPr="003D02B6">
        <w:t>,</w:t>
      </w:r>
      <w:r w:rsidR="001567A8" w:rsidRPr="003D02B6">
        <w:t xml:space="preserve"> </w:t>
      </w:r>
      <w:r w:rsidR="00DA7304" w:rsidRPr="003D02B6">
        <w:t xml:space="preserve">different viruses with similar properties are selected </w:t>
      </w:r>
      <w:r w:rsidR="001567A8" w:rsidRPr="003D02B6">
        <w:t xml:space="preserve">for </w:t>
      </w:r>
      <w:r w:rsidR="00DA7304" w:rsidRPr="003D02B6">
        <w:t>vaccine production.</w:t>
      </w:r>
    </w:p>
    <w:p w14:paraId="0951FA9A" w14:textId="0328122C" w:rsidR="00FB4F32" w:rsidRPr="003D02B6" w:rsidRDefault="007F162D" w:rsidP="001E0B25">
      <w:pPr>
        <w:pStyle w:val="Heading3"/>
        <w:rPr>
          <w:sz w:val="28"/>
        </w:rPr>
      </w:pPr>
      <w:r w:rsidRPr="003D02B6">
        <w:lastRenderedPageBreak/>
        <w:t xml:space="preserve">Highlights for </w:t>
      </w:r>
      <w:r w:rsidR="00AB5B5D" w:rsidRPr="003D02B6">
        <w:t>202</w:t>
      </w:r>
      <w:r w:rsidR="007850C4" w:rsidRPr="003D02B6">
        <w:t>3</w:t>
      </w:r>
      <w:r w:rsidR="00AA4F32" w:rsidRPr="003D02B6">
        <w:t xml:space="preserve"> </w:t>
      </w:r>
      <w:r w:rsidRPr="003D02B6">
        <w:t>i</w:t>
      </w:r>
      <w:r w:rsidR="00F8060C" w:rsidRPr="003D02B6">
        <w:t>nfluenza vaccine formulations</w:t>
      </w:r>
    </w:p>
    <w:p w14:paraId="5C43CFBA" w14:textId="10AB9DC5" w:rsidR="00974EA1" w:rsidRPr="009F1206" w:rsidRDefault="009364C3" w:rsidP="007326B5">
      <w:pPr>
        <w:pStyle w:val="ListBullet"/>
      </w:pPr>
      <w:r w:rsidRPr="009F1206">
        <w:rPr>
          <w:rFonts w:asciiTheme="minorHAnsi" w:hAnsiTheme="minorHAnsi" w:cstheme="minorHAnsi"/>
        </w:rPr>
        <w:t>Flucelvax Quad® is a cell-based influenza vaccine</w:t>
      </w:r>
      <w:r w:rsidR="00276C70" w:rsidRPr="009F1206">
        <w:rPr>
          <w:rFonts w:asciiTheme="minorHAnsi" w:hAnsiTheme="minorHAnsi" w:cstheme="minorHAnsi"/>
        </w:rPr>
        <w:t xml:space="preserve"> </w:t>
      </w:r>
      <w:r w:rsidRPr="009F1206">
        <w:rPr>
          <w:rFonts w:asciiTheme="minorHAnsi" w:hAnsiTheme="minorHAnsi" w:cstheme="minorHAnsi"/>
        </w:rPr>
        <w:t>registered for use in adults and children from 2</w:t>
      </w:r>
      <w:r w:rsidR="00276C70" w:rsidRPr="009F1206">
        <w:rPr>
          <w:rFonts w:asciiTheme="minorHAnsi" w:hAnsiTheme="minorHAnsi" w:cstheme="minorHAnsi"/>
        </w:rPr>
        <w:t> </w:t>
      </w:r>
      <w:r w:rsidRPr="009F1206">
        <w:rPr>
          <w:rFonts w:asciiTheme="minorHAnsi" w:hAnsiTheme="minorHAnsi" w:cstheme="minorHAnsi"/>
        </w:rPr>
        <w:t>years of age</w:t>
      </w:r>
      <w:r w:rsidR="0003471D">
        <w:rPr>
          <w:rFonts w:asciiTheme="minorHAnsi" w:hAnsiTheme="minorHAnsi" w:cstheme="minorHAnsi"/>
        </w:rPr>
        <w:t xml:space="preserve"> but is not currently funded on the NIP</w:t>
      </w:r>
      <w:r w:rsidRPr="009F1206">
        <w:rPr>
          <w:rFonts w:asciiTheme="minorHAnsi" w:hAnsiTheme="minorHAnsi" w:cstheme="minorHAnsi"/>
        </w:rPr>
        <w:t>.</w:t>
      </w:r>
      <w:r w:rsidR="003D02B6">
        <w:rPr>
          <w:rFonts w:asciiTheme="minorHAnsi" w:hAnsiTheme="minorHAnsi" w:cstheme="minorHAnsi"/>
          <w:lang w:eastAsia="en-US"/>
        </w:rPr>
        <w:t xml:space="preserve"> </w:t>
      </w:r>
      <w:r w:rsidR="009F23CB" w:rsidRPr="009F1206">
        <w:t>Two higher-immunogenicity vaccines are available for older people in 202</w:t>
      </w:r>
      <w:r w:rsidR="00235ADB" w:rsidRPr="009F1206">
        <w:t>3</w:t>
      </w:r>
      <w:r w:rsidR="009F23CB" w:rsidRPr="009F1206">
        <w:t xml:space="preserve">. Fluad® Quad is available and NIP funded for people aged </w:t>
      </w:r>
      <w:r w:rsidR="009F23CB" w:rsidRPr="009F1206">
        <w:sym w:font="Symbol" w:char="F0B3"/>
      </w:r>
      <w:r w:rsidR="009F23CB" w:rsidRPr="009F1206">
        <w:t xml:space="preserve">65 years. Fluzone High Dose Quadrivalent is available for people aged </w:t>
      </w:r>
      <w:r w:rsidR="009F23CB" w:rsidRPr="009F1206">
        <w:sym w:font="Symbol" w:char="F0B3"/>
      </w:r>
      <w:r w:rsidR="009F23CB" w:rsidRPr="009F1206">
        <w:t xml:space="preserve">60 years but is not NIP funded. </w:t>
      </w:r>
      <w:r w:rsidR="00E80E04" w:rsidRPr="009F1206">
        <w:t xml:space="preserve">Both </w:t>
      </w:r>
      <w:r w:rsidR="009F23CB" w:rsidRPr="009F1206">
        <w:t xml:space="preserve">Fluad® Quad </w:t>
      </w:r>
      <w:r w:rsidR="00E80E04" w:rsidRPr="009F1206">
        <w:t>and Fluzone High Dose Quadrivalent are</w:t>
      </w:r>
      <w:r w:rsidR="009F23CB" w:rsidRPr="009F1206">
        <w:t xml:space="preserve"> preferentially recommended over standard influenza vaccine</w:t>
      </w:r>
      <w:r w:rsidR="00E80E04" w:rsidRPr="009F1206">
        <w:t xml:space="preserve"> in people aged </w:t>
      </w:r>
      <w:r w:rsidR="00E80E04" w:rsidRPr="009F1206">
        <w:sym w:font="Symbol" w:char="F0B3"/>
      </w:r>
      <w:r w:rsidR="00E80E04" w:rsidRPr="009F1206">
        <w:t>65 years</w:t>
      </w:r>
      <w:r w:rsidR="009F23CB" w:rsidRPr="009F1206">
        <w:t>. There is no preference for use between either Fluad® Quad or Fluzone High-Dose Quadrivalent</w:t>
      </w:r>
      <w:r w:rsidR="009B1250" w:rsidRPr="009F1206">
        <w:t>.</w:t>
      </w:r>
      <w:r w:rsidR="00974EA1" w:rsidRPr="009F1206">
        <w:t xml:space="preserve"> </w:t>
      </w:r>
    </w:p>
    <w:p w14:paraId="64831094" w14:textId="5FF8D7E5" w:rsidR="009F23CB" w:rsidRPr="009F1206" w:rsidRDefault="00797943" w:rsidP="007326B5">
      <w:pPr>
        <w:pStyle w:val="ListBullet"/>
      </w:pPr>
      <w:r w:rsidRPr="009F1206">
        <w:t xml:space="preserve">Influenza </w:t>
      </w:r>
      <w:r w:rsidR="00974EA1" w:rsidRPr="009F1206">
        <w:t>vaccines can be co-administered (given on the same day) with an</w:t>
      </w:r>
      <w:r w:rsidRPr="009F1206">
        <w:t>y COVID-19</w:t>
      </w:r>
      <w:r w:rsidR="00974EA1" w:rsidRPr="009F1206">
        <w:t xml:space="preserve"> vaccine.</w:t>
      </w:r>
      <w:r w:rsidR="00661982" w:rsidRPr="009F1206">
        <w:t xml:space="preserve"> </w:t>
      </w:r>
      <w:r w:rsidR="00326F35" w:rsidRPr="009F1206">
        <w:t>R</w:t>
      </w:r>
      <w:r w:rsidR="00661982" w:rsidRPr="009F1206">
        <w:t xml:space="preserve">efer to </w:t>
      </w:r>
      <w:hyperlink r:id="rId13" w:anchor="timing-of-administration-of-other-vaccines" w:history="1">
        <w:r w:rsidR="00661982" w:rsidRPr="009F1206">
          <w:rPr>
            <w:rStyle w:val="Hyperlink"/>
          </w:rPr>
          <w:t xml:space="preserve">ATAGI </w:t>
        </w:r>
        <w:r w:rsidR="00326F35" w:rsidRPr="009F1206">
          <w:rPr>
            <w:rStyle w:val="Hyperlink"/>
          </w:rPr>
          <w:t xml:space="preserve">recommendation </w:t>
        </w:r>
        <w:r w:rsidR="00661982" w:rsidRPr="009F1206">
          <w:rPr>
            <w:rStyle w:val="Hyperlink"/>
          </w:rPr>
          <w:t xml:space="preserve">on the </w:t>
        </w:r>
        <w:r w:rsidR="00326F35" w:rsidRPr="009F1206">
          <w:rPr>
            <w:rStyle w:val="Hyperlink"/>
          </w:rPr>
          <w:t>“Timing of admin</w:t>
        </w:r>
        <w:r w:rsidR="00A81BE0" w:rsidRPr="009F1206">
          <w:rPr>
            <w:rStyle w:val="Hyperlink"/>
          </w:rPr>
          <w:t>i</w:t>
        </w:r>
        <w:r w:rsidR="00326F35" w:rsidRPr="009F1206">
          <w:rPr>
            <w:rStyle w:val="Hyperlink"/>
          </w:rPr>
          <w:t>stration of other vaccines”</w:t>
        </w:r>
      </w:hyperlink>
      <w:r w:rsidR="00661982" w:rsidRPr="009F1206">
        <w:t>.</w:t>
      </w:r>
    </w:p>
    <w:p w14:paraId="77DE3942" w14:textId="0E468898" w:rsidR="00974EA1" w:rsidRPr="009F1206" w:rsidRDefault="00974EA1" w:rsidP="007326B5">
      <w:pPr>
        <w:pStyle w:val="ListBullet"/>
      </w:pPr>
      <w:r w:rsidRPr="009F1206">
        <w:t>The safety of concomitant administration of the adjuvanted vaccines Fluad Quad and Shingrix has not been studied. It is acceptable to co-administer these vaccines on the same day if necessary. However, given the lack of data on co-administration of these adjuvanted vaccines, it is preferable to separate their administration by a few days.</w:t>
      </w:r>
    </w:p>
    <w:p w14:paraId="42F77075" w14:textId="77777777" w:rsidR="00F8060C" w:rsidRPr="003D02B6" w:rsidRDefault="00F8060C" w:rsidP="005F4D30">
      <w:pPr>
        <w:pStyle w:val="Heading2"/>
        <w:rPr>
          <w:rFonts w:asciiTheme="majorHAnsi" w:hAnsiTheme="majorHAnsi" w:cstheme="majorHAnsi"/>
        </w:rPr>
      </w:pPr>
      <w:r w:rsidRPr="003D02B6">
        <w:rPr>
          <w:rFonts w:asciiTheme="majorHAnsi" w:hAnsiTheme="majorHAnsi" w:cstheme="majorHAnsi"/>
        </w:rPr>
        <w:t>Timing of vaccination</w:t>
      </w:r>
    </w:p>
    <w:p w14:paraId="6C6DD7FD" w14:textId="27B7A89F" w:rsidR="00163BC4" w:rsidRPr="009F1206" w:rsidRDefault="004D4A28" w:rsidP="007326B5">
      <w:pPr>
        <w:pStyle w:val="ListBullet"/>
      </w:pPr>
      <w:r w:rsidRPr="009F1206">
        <w:t xml:space="preserve">During </w:t>
      </w:r>
      <w:r w:rsidR="00C4642B" w:rsidRPr="009F1206">
        <w:t>202</w:t>
      </w:r>
      <w:r w:rsidR="008A3439" w:rsidRPr="009F1206">
        <w:t>3</w:t>
      </w:r>
      <w:r w:rsidR="00C4642B" w:rsidRPr="009F1206">
        <w:t xml:space="preserve">, amidst the </w:t>
      </w:r>
      <w:r w:rsidR="008A3439" w:rsidRPr="009F1206">
        <w:t>fourth</w:t>
      </w:r>
      <w:r w:rsidR="00C4642B" w:rsidRPr="009F1206">
        <w:t xml:space="preserve"> year of </w:t>
      </w:r>
      <w:r w:rsidRPr="009F1206">
        <w:t>the COVID-19 pandemic</w:t>
      </w:r>
      <w:r w:rsidR="00C4642B" w:rsidRPr="009F1206">
        <w:t xml:space="preserve"> in Australia</w:t>
      </w:r>
      <w:r w:rsidR="00276C70" w:rsidRPr="009F1206">
        <w:t>,</w:t>
      </w:r>
      <w:r w:rsidRPr="009F1206">
        <w:t xml:space="preserve"> </w:t>
      </w:r>
      <w:r w:rsidR="002279E4" w:rsidRPr="009F1206">
        <w:t>continued</w:t>
      </w:r>
      <w:r w:rsidRPr="009F1206">
        <w:t xml:space="preserve"> </w:t>
      </w:r>
      <w:r w:rsidR="009F1206" w:rsidRPr="009F1206">
        <w:t>seasonal influenza</w:t>
      </w:r>
      <w:r w:rsidRPr="009F1206">
        <w:t xml:space="preserve"> </w:t>
      </w:r>
      <w:r w:rsidR="00E06EB0" w:rsidRPr="009F1206">
        <w:t xml:space="preserve">activity </w:t>
      </w:r>
      <w:r w:rsidR="002279E4" w:rsidRPr="009F1206">
        <w:t>is anticipated</w:t>
      </w:r>
      <w:r w:rsidR="00303984" w:rsidRPr="009F1206">
        <w:t xml:space="preserve"> </w:t>
      </w:r>
      <w:r w:rsidR="00276C70" w:rsidRPr="009F1206">
        <w:t xml:space="preserve">as borders </w:t>
      </w:r>
      <w:r w:rsidR="002279E4" w:rsidRPr="009F1206">
        <w:t xml:space="preserve">remain </w:t>
      </w:r>
      <w:r w:rsidR="00276C70" w:rsidRPr="009F1206">
        <w:t>open</w:t>
      </w:r>
      <w:r w:rsidR="002279E4" w:rsidRPr="009F1206">
        <w:t xml:space="preserve"> and interstate and international travel increases. </w:t>
      </w:r>
      <w:hyperlink r:id="rId14" w:anchor="travellers" w:history="1">
        <w:r w:rsidR="00276C70" w:rsidRPr="009F1206">
          <w:rPr>
            <w:rStyle w:val="Hyperlink"/>
          </w:rPr>
          <w:t>People who are</w:t>
        </w:r>
        <w:r w:rsidR="002E5F60" w:rsidRPr="009F1206">
          <w:rPr>
            <w:rStyle w:val="Hyperlink"/>
          </w:rPr>
          <w:t xml:space="preserve"> planning international travel</w:t>
        </w:r>
      </w:hyperlink>
      <w:r w:rsidR="002E5F60" w:rsidRPr="009F1206">
        <w:t xml:space="preserve"> </w:t>
      </w:r>
      <w:r w:rsidR="00276C70" w:rsidRPr="009F1206">
        <w:t>should</w:t>
      </w:r>
      <w:r w:rsidR="002E5F60" w:rsidRPr="009F1206">
        <w:t xml:space="preserve"> ensure they have had a 202</w:t>
      </w:r>
      <w:r w:rsidR="00C4642B" w:rsidRPr="009F1206">
        <w:t>3</w:t>
      </w:r>
      <w:r w:rsidR="002E5F60" w:rsidRPr="009F1206">
        <w:t xml:space="preserve"> influenza vaccination </w:t>
      </w:r>
      <w:r w:rsidR="00276C70" w:rsidRPr="009F1206">
        <w:t xml:space="preserve">before </w:t>
      </w:r>
      <w:r w:rsidR="002E5F60" w:rsidRPr="009F1206">
        <w:t>departure</w:t>
      </w:r>
      <w:r w:rsidR="00A006B1" w:rsidRPr="009F1206">
        <w:t xml:space="preserve">. Depending on </w:t>
      </w:r>
      <w:r w:rsidR="002B1AE9" w:rsidRPr="009F1206">
        <w:t xml:space="preserve">individual circumstances, </w:t>
      </w:r>
      <w:r w:rsidR="00A006B1" w:rsidRPr="009F1206">
        <w:t xml:space="preserve">a northern hemisphere </w:t>
      </w:r>
      <w:r w:rsidR="002B1AE9" w:rsidRPr="009F1206">
        <w:t xml:space="preserve">influenza </w:t>
      </w:r>
      <w:r w:rsidR="00A006B1" w:rsidRPr="009F1206">
        <w:t xml:space="preserve">vaccine </w:t>
      </w:r>
      <w:r w:rsidR="002B1AE9" w:rsidRPr="009F1206">
        <w:t xml:space="preserve">administered overseas should be considered </w:t>
      </w:r>
      <w:r w:rsidR="00A006B1" w:rsidRPr="009F1206">
        <w:t>for o</w:t>
      </w:r>
      <w:r w:rsidR="002B1AE9" w:rsidRPr="009F1206">
        <w:t>ptimal</w:t>
      </w:r>
      <w:r w:rsidR="00A006B1" w:rsidRPr="009F1206">
        <w:t xml:space="preserve"> protection</w:t>
      </w:r>
      <w:r w:rsidR="002B1AE9" w:rsidRPr="009F1206">
        <w:t xml:space="preserve"> while travelling</w:t>
      </w:r>
      <w:r w:rsidR="002E5F60" w:rsidRPr="009F1206">
        <w:t xml:space="preserve">. </w:t>
      </w:r>
      <w:r w:rsidR="004561E3" w:rsidRPr="009F1206">
        <w:t xml:space="preserve"> </w:t>
      </w:r>
    </w:p>
    <w:p w14:paraId="29A21DA9" w14:textId="5992F59D" w:rsidR="00F8060C" w:rsidRPr="009F1206" w:rsidRDefault="534ED9D5" w:rsidP="007326B5">
      <w:pPr>
        <w:pStyle w:val="ListBullet"/>
      </w:pPr>
      <w:r w:rsidRPr="009F1206">
        <w:t>A</w:t>
      </w:r>
      <w:r w:rsidR="68CDECAC" w:rsidRPr="009F1206">
        <w:t xml:space="preserve">nnual vaccination </w:t>
      </w:r>
      <w:r w:rsidRPr="009F1206">
        <w:t xml:space="preserve">should </w:t>
      </w:r>
      <w:r w:rsidR="5E7BA7CF" w:rsidRPr="009F1206">
        <w:t xml:space="preserve">ideally </w:t>
      </w:r>
      <w:r w:rsidRPr="009F1206">
        <w:t>occur</w:t>
      </w:r>
      <w:r w:rsidR="68CDECAC" w:rsidRPr="009F1206">
        <w:t xml:space="preserve"> </w:t>
      </w:r>
      <w:r w:rsidR="2705142B" w:rsidRPr="009F1206">
        <w:t xml:space="preserve">before </w:t>
      </w:r>
      <w:r w:rsidR="68CDECAC" w:rsidRPr="009F1206">
        <w:t>the</w:t>
      </w:r>
      <w:r w:rsidR="1883DE82" w:rsidRPr="009F1206">
        <w:t xml:space="preserve"> onset of each influenza season</w:t>
      </w:r>
      <w:r w:rsidR="68CDECAC" w:rsidRPr="009F1206">
        <w:t xml:space="preserve">. The period of peak influenza circulation is typically June to September </w:t>
      </w:r>
      <w:r w:rsidR="5FA66562" w:rsidRPr="009F1206">
        <w:t xml:space="preserve">in </w:t>
      </w:r>
      <w:r w:rsidR="68CDECAC" w:rsidRPr="009F1206">
        <w:t>most parts of Australia</w:t>
      </w:r>
      <w:r w:rsidR="00FB5F56" w:rsidRPr="009F1206">
        <w:t>.</w:t>
      </w:r>
      <w:r w:rsidR="002E5F60" w:rsidRPr="009F1206">
        <w:t xml:space="preserve"> </w:t>
      </w:r>
      <w:r w:rsidR="00E06EB0" w:rsidRPr="009F1206">
        <w:t xml:space="preserve">In 2022, as international travel resumed, Australia observed a </w:t>
      </w:r>
      <w:r w:rsidR="003D02B6" w:rsidRPr="003D02B6">
        <w:t>resurgence</w:t>
      </w:r>
      <w:r w:rsidR="00E06EB0" w:rsidRPr="009F1206">
        <w:t xml:space="preserve"> of influenza with an early season commencement. During 2023</w:t>
      </w:r>
      <w:r w:rsidR="00FB5F56" w:rsidRPr="009F1206">
        <w:t>,</w:t>
      </w:r>
      <w:r w:rsidR="002E5F60" w:rsidRPr="009F1206">
        <w:t xml:space="preserve"> influenza epidemiology may be atypical, particul</w:t>
      </w:r>
      <w:r w:rsidR="00BA32FB" w:rsidRPr="009F1206">
        <w:t>a</w:t>
      </w:r>
      <w:r w:rsidR="002E5F60" w:rsidRPr="009F1206">
        <w:t>rly in the context of COVID-19</w:t>
      </w:r>
      <w:r w:rsidR="003D02B6" w:rsidRPr="003D02B6">
        <w:t>. Vaccination</w:t>
      </w:r>
      <w:r w:rsidR="004C71CF" w:rsidRPr="009F1206">
        <w:t xml:space="preserve"> is the most important measure to prevent influenza and its complications.</w:t>
      </w:r>
    </w:p>
    <w:p w14:paraId="20D06176" w14:textId="36CD8247" w:rsidR="00F8060C" w:rsidRPr="009F1206" w:rsidRDefault="00F8060C" w:rsidP="007326B5">
      <w:pPr>
        <w:pStyle w:val="ListBullet"/>
      </w:pPr>
      <w:r w:rsidRPr="009F1206">
        <w:t xml:space="preserve">While protection is generally expected to last </w:t>
      </w:r>
      <w:r w:rsidR="00FB5F56" w:rsidRPr="009F1206">
        <w:t xml:space="preserve">throughout </w:t>
      </w:r>
      <w:r w:rsidR="00CE3617" w:rsidRPr="009F1206">
        <w:t>the year</w:t>
      </w:r>
      <w:r w:rsidRPr="009F1206">
        <w:t xml:space="preserve">, </w:t>
      </w:r>
      <w:r w:rsidR="001C357C" w:rsidRPr="009F1206">
        <w:t>the highest level of</w:t>
      </w:r>
      <w:r w:rsidRPr="009F1206">
        <w:t xml:space="preserve"> protection occurs in the first 3</w:t>
      </w:r>
      <w:r w:rsidR="00FB5F56" w:rsidRPr="009F1206">
        <w:t> </w:t>
      </w:r>
      <w:r w:rsidRPr="009F1206">
        <w:t xml:space="preserve">to 4 months </w:t>
      </w:r>
      <w:r w:rsidR="00FB5F56" w:rsidRPr="009F1206">
        <w:t xml:space="preserve">after </w:t>
      </w:r>
      <w:r w:rsidRPr="009F1206">
        <w:t>vaccination.</w:t>
      </w:r>
    </w:p>
    <w:p w14:paraId="7537A5EF" w14:textId="75E55F40" w:rsidR="00F8060C" w:rsidRPr="009F1206" w:rsidRDefault="00F8060C" w:rsidP="007326B5">
      <w:pPr>
        <w:pStyle w:val="ListBullet"/>
      </w:pPr>
      <w:r w:rsidRPr="009F1206">
        <w:t xml:space="preserve">Vaccination should continue to be offered as long as influenza viruses are </w:t>
      </w:r>
      <w:proofErr w:type="gramStart"/>
      <w:r w:rsidRPr="009F1206">
        <w:t>circulating</w:t>
      </w:r>
      <w:proofErr w:type="gramEnd"/>
      <w:r w:rsidRPr="009F1206">
        <w:t xml:space="preserve"> and a valid vaccine (before expiration date) is available.</w:t>
      </w:r>
      <w:r w:rsidR="00C93BFE" w:rsidRPr="009F1206">
        <w:t xml:space="preserve"> Some vaccine brands have an expiry date of February</w:t>
      </w:r>
      <w:r w:rsidR="008368DB" w:rsidRPr="009F1206">
        <w:t xml:space="preserve"> 202</w:t>
      </w:r>
      <w:r w:rsidR="00226814" w:rsidRPr="009F1206">
        <w:t>4</w:t>
      </w:r>
      <w:r w:rsidR="00C93BFE" w:rsidRPr="009F1206">
        <w:t>.</w:t>
      </w:r>
      <w:r w:rsidR="00CC0BFF" w:rsidRPr="009F1206">
        <w:t xml:space="preserve"> </w:t>
      </w:r>
    </w:p>
    <w:p w14:paraId="434EDFDE" w14:textId="686FA5BF" w:rsidR="00436D06" w:rsidRPr="009F1206" w:rsidRDefault="007A2469" w:rsidP="007326B5">
      <w:pPr>
        <w:pStyle w:val="ListBullet"/>
      </w:pPr>
      <w:r w:rsidRPr="009F1206">
        <w:t xml:space="preserve">If </w:t>
      </w:r>
      <w:r w:rsidR="55A41C7D" w:rsidRPr="009F1206">
        <w:t>a person ha</w:t>
      </w:r>
      <w:r w:rsidR="009364C3" w:rsidRPr="009F1206">
        <w:t>d</w:t>
      </w:r>
      <w:r w:rsidR="55A41C7D" w:rsidRPr="009F1206">
        <w:t xml:space="preserve"> a</w:t>
      </w:r>
      <w:r w:rsidRPr="009F1206">
        <w:t xml:space="preserve"> 202</w:t>
      </w:r>
      <w:r w:rsidR="00226814" w:rsidRPr="009F1206">
        <w:t>2</w:t>
      </w:r>
      <w:r w:rsidRPr="009F1206">
        <w:t xml:space="preserve"> influenza vaccine in late 202</w:t>
      </w:r>
      <w:r w:rsidR="00226814" w:rsidRPr="009F1206">
        <w:t>2</w:t>
      </w:r>
      <w:r w:rsidRPr="009F1206">
        <w:t xml:space="preserve"> or early 202</w:t>
      </w:r>
      <w:r w:rsidR="00226814" w:rsidRPr="009F1206">
        <w:t>3</w:t>
      </w:r>
      <w:r w:rsidRPr="009F1206">
        <w:t xml:space="preserve">, </w:t>
      </w:r>
      <w:r w:rsidR="00FB5F56" w:rsidRPr="009F1206">
        <w:t>they are</w:t>
      </w:r>
      <w:r w:rsidR="00D81B6B" w:rsidRPr="009F1206">
        <w:t xml:space="preserve"> </w:t>
      </w:r>
      <w:r w:rsidR="55A41C7D" w:rsidRPr="009F1206">
        <w:t xml:space="preserve">still recommended </w:t>
      </w:r>
      <w:r w:rsidR="00FB5F56" w:rsidRPr="009F1206">
        <w:t xml:space="preserve">to </w:t>
      </w:r>
      <w:r w:rsidR="55A41C7D" w:rsidRPr="009F1206">
        <w:t>receive a</w:t>
      </w:r>
      <w:r w:rsidRPr="009F1206">
        <w:t xml:space="preserve"> 202</w:t>
      </w:r>
      <w:r w:rsidR="00226814" w:rsidRPr="009F1206">
        <w:t>3</w:t>
      </w:r>
      <w:r w:rsidR="55A41C7D" w:rsidRPr="009F1206">
        <w:t xml:space="preserve"> formulation of </w:t>
      </w:r>
      <w:r w:rsidRPr="009F1206">
        <w:t>influenza vaccin</w:t>
      </w:r>
      <w:r w:rsidR="55A41C7D" w:rsidRPr="009F1206">
        <w:t>e</w:t>
      </w:r>
      <w:r w:rsidRPr="009F1206">
        <w:t xml:space="preserve"> </w:t>
      </w:r>
      <w:r w:rsidR="00FB5F56" w:rsidRPr="009F1206">
        <w:t xml:space="preserve">when </w:t>
      </w:r>
      <w:r w:rsidR="55A41C7D" w:rsidRPr="009F1206">
        <w:t>it</w:t>
      </w:r>
      <w:r w:rsidRPr="009F1206">
        <w:t xml:space="preserve"> becomes available</w:t>
      </w:r>
      <w:r w:rsidR="55A41C7D" w:rsidRPr="009F1206">
        <w:t xml:space="preserve"> (likely from March 202</w:t>
      </w:r>
      <w:r w:rsidR="00226814" w:rsidRPr="009F1206">
        <w:t>3</w:t>
      </w:r>
      <w:r w:rsidR="55A41C7D" w:rsidRPr="009F1206">
        <w:t>)</w:t>
      </w:r>
      <w:r w:rsidRPr="009F1206">
        <w:t>.</w:t>
      </w:r>
    </w:p>
    <w:p w14:paraId="43EF26BC" w14:textId="1BF70B38" w:rsidR="00436D06" w:rsidRPr="009F1206" w:rsidRDefault="00436D06" w:rsidP="007326B5">
      <w:pPr>
        <w:pStyle w:val="ListBullet"/>
        <w:rPr>
          <w:sz w:val="18"/>
        </w:rPr>
      </w:pPr>
      <w:r w:rsidRPr="009F1206">
        <w:t>Subject to the availability of influenza vaccines, co-administration with COVID-19 booster vaccines</w:t>
      </w:r>
      <w:r w:rsidR="001C357C" w:rsidRPr="009F1206">
        <w:t xml:space="preserve"> could be a prompt for influenza vaccination</w:t>
      </w:r>
      <w:r w:rsidRPr="009F1206">
        <w:t>.</w:t>
      </w:r>
    </w:p>
    <w:p w14:paraId="7201077E" w14:textId="77777777" w:rsidR="00F8060C" w:rsidRPr="003D02B6" w:rsidRDefault="00F8060C" w:rsidP="005F4D30">
      <w:pPr>
        <w:pStyle w:val="Heading2"/>
        <w:rPr>
          <w:rFonts w:asciiTheme="majorHAnsi" w:hAnsiTheme="majorHAnsi" w:cstheme="majorHAnsi"/>
        </w:rPr>
      </w:pPr>
      <w:r w:rsidRPr="003D02B6">
        <w:rPr>
          <w:rFonts w:asciiTheme="majorHAnsi" w:hAnsiTheme="majorHAnsi" w:cstheme="majorHAnsi"/>
        </w:rPr>
        <w:t>Influenza vaccination for pregnant women</w:t>
      </w:r>
    </w:p>
    <w:p w14:paraId="2C8969FB" w14:textId="77777777" w:rsidR="001A51C8" w:rsidRPr="009F1206" w:rsidRDefault="00F8060C" w:rsidP="007326B5">
      <w:pPr>
        <w:pStyle w:val="ListBullet"/>
      </w:pPr>
      <w:r w:rsidRPr="009F1206">
        <w:t>Influenza vaccine is recommended in every pregnancy</w:t>
      </w:r>
      <w:r w:rsidR="00846E7A" w:rsidRPr="009F1206">
        <w:t xml:space="preserve"> and at any stage of pregnancy.</w:t>
      </w:r>
      <w:r w:rsidR="001A51C8" w:rsidRPr="009F1206">
        <w:t xml:space="preserve"> </w:t>
      </w:r>
    </w:p>
    <w:p w14:paraId="2EB389BE" w14:textId="5428C1F9" w:rsidR="00615976" w:rsidRPr="009F1206" w:rsidRDefault="00615976" w:rsidP="007326B5">
      <w:pPr>
        <w:pStyle w:val="ListBullet"/>
      </w:pPr>
      <w:r w:rsidRPr="009F1206">
        <w:t>I</w:t>
      </w:r>
      <w:r w:rsidR="00F8060C" w:rsidRPr="009F1206">
        <w:t>nfluenza vaccin</w:t>
      </w:r>
      <w:r w:rsidR="001A51C8" w:rsidRPr="009F1206">
        <w:t>e</w:t>
      </w:r>
      <w:r w:rsidR="00F8060C" w:rsidRPr="009F1206">
        <w:t xml:space="preserve"> can </w:t>
      </w:r>
      <w:r w:rsidR="003C0F83" w:rsidRPr="009F1206">
        <w:t xml:space="preserve">safely </w:t>
      </w:r>
      <w:r w:rsidR="001A51C8" w:rsidRPr="009F1206">
        <w:t>be given at</w:t>
      </w:r>
      <w:r w:rsidR="00F8060C" w:rsidRPr="009F1206">
        <w:t xml:space="preserve"> the </w:t>
      </w:r>
      <w:r w:rsidR="001A51C8" w:rsidRPr="009F1206">
        <w:t xml:space="preserve">same time as </w:t>
      </w:r>
      <w:r w:rsidR="00B1665D" w:rsidRPr="009F1206">
        <w:t xml:space="preserve">a </w:t>
      </w:r>
      <w:r w:rsidR="00F8060C" w:rsidRPr="009F1206">
        <w:t>pertussis vaccine</w:t>
      </w:r>
      <w:r w:rsidR="00983F5F" w:rsidRPr="009F1206">
        <w:t xml:space="preserve"> and/or COVID-19 vaccine</w:t>
      </w:r>
      <w:r w:rsidR="006F4F21" w:rsidRPr="009F1206">
        <w:t>.</w:t>
      </w:r>
      <w:r w:rsidRPr="009F1206">
        <w:t xml:space="preserve"> </w:t>
      </w:r>
    </w:p>
    <w:p w14:paraId="38B80368" w14:textId="2AD7CAC0" w:rsidR="00185613" w:rsidRPr="009F1206" w:rsidRDefault="00185613" w:rsidP="007326B5">
      <w:pPr>
        <w:pStyle w:val="ListBullet"/>
      </w:pPr>
      <w:r w:rsidRPr="009F1206">
        <w:t>For women who receive</w:t>
      </w:r>
      <w:r w:rsidR="00615976" w:rsidRPr="009F1206">
        <w:t>d</w:t>
      </w:r>
      <w:r w:rsidRPr="009F1206">
        <w:t xml:space="preserve"> an influenza vaccine in </w:t>
      </w:r>
      <w:r w:rsidR="00872841" w:rsidRPr="009F1206">
        <w:t>202</w:t>
      </w:r>
      <w:r w:rsidR="00226814" w:rsidRPr="009F1206">
        <w:t>2</w:t>
      </w:r>
      <w:r w:rsidRPr="009F1206">
        <w:t>,</w:t>
      </w:r>
      <w:r w:rsidR="001D7875" w:rsidRPr="009F1206">
        <w:t xml:space="preserve"> it is recommended to </w:t>
      </w:r>
      <w:r w:rsidR="00E80E04" w:rsidRPr="009F1206">
        <w:t xml:space="preserve">also </w:t>
      </w:r>
      <w:r w:rsidR="00C86BE6" w:rsidRPr="009F1206">
        <w:t>give the</w:t>
      </w:r>
      <w:r w:rsidRPr="009F1206">
        <w:t xml:space="preserve"> </w:t>
      </w:r>
      <w:r w:rsidR="00872841" w:rsidRPr="009F1206">
        <w:t>202</w:t>
      </w:r>
      <w:r w:rsidR="00226814" w:rsidRPr="009F1206">
        <w:t>3</w:t>
      </w:r>
      <w:r w:rsidR="00872841" w:rsidRPr="009F1206">
        <w:t xml:space="preserve"> </w:t>
      </w:r>
      <w:r w:rsidRPr="009F1206">
        <w:t>influenza vaccine</w:t>
      </w:r>
      <w:r w:rsidR="001D7875" w:rsidRPr="009F1206">
        <w:t xml:space="preserve"> if it</w:t>
      </w:r>
      <w:r w:rsidRPr="009F1206">
        <w:t xml:space="preserve"> becomes available before the end of pregnancy.</w:t>
      </w:r>
    </w:p>
    <w:p w14:paraId="4B203D82" w14:textId="3D158CC8" w:rsidR="00983F5F" w:rsidRPr="003D02B6" w:rsidRDefault="00AC34F0" w:rsidP="007326B5">
      <w:pPr>
        <w:pStyle w:val="ListBullet"/>
      </w:pPr>
      <w:r w:rsidRPr="009F1206">
        <w:t>For women who receive</w:t>
      </w:r>
      <w:r w:rsidR="001B34FB" w:rsidRPr="009F1206">
        <w:t xml:space="preserve"> influenza </w:t>
      </w:r>
      <w:r w:rsidR="00D51816" w:rsidRPr="009F1206">
        <w:t xml:space="preserve">vaccine before </w:t>
      </w:r>
      <w:r w:rsidR="00CB3A14" w:rsidRPr="009F1206">
        <w:t>becoming</w:t>
      </w:r>
      <w:r w:rsidR="00D51816" w:rsidRPr="009F1206">
        <w:t xml:space="preserve"> pregnant, revaccinat</w:t>
      </w:r>
      <w:r w:rsidR="001D7875" w:rsidRPr="009F1206">
        <w:t>ion is recommended</w:t>
      </w:r>
      <w:r w:rsidR="00D51816" w:rsidRPr="009F1206">
        <w:t xml:space="preserve"> </w:t>
      </w:r>
      <w:r w:rsidR="00977829" w:rsidRPr="009F1206">
        <w:t xml:space="preserve">during pregnancy </w:t>
      </w:r>
      <w:r w:rsidR="00D51816" w:rsidRPr="009F1206">
        <w:t>to</w:t>
      </w:r>
      <w:r w:rsidR="001D7875" w:rsidRPr="009F1206">
        <w:t xml:space="preserve"> maximise </w:t>
      </w:r>
      <w:r w:rsidR="00C86BE6" w:rsidRPr="009F1206">
        <w:t>the protection</w:t>
      </w:r>
      <w:r w:rsidR="001D7875" w:rsidRPr="009F1206">
        <w:t xml:space="preserve"> of the mother and</w:t>
      </w:r>
      <w:r w:rsidR="00D51816" w:rsidRPr="009F1206">
        <w:t xml:space="preserve"> </w:t>
      </w:r>
      <w:r w:rsidR="00485E61" w:rsidRPr="003D02B6">
        <w:t>the infant in the first six months of life.</w:t>
      </w:r>
    </w:p>
    <w:p w14:paraId="4DC9863E" w14:textId="77777777" w:rsidR="0012773D" w:rsidRPr="003D02B6" w:rsidRDefault="00F8060C" w:rsidP="005F4D30">
      <w:pPr>
        <w:pStyle w:val="Heading2"/>
        <w:rPr>
          <w:rFonts w:asciiTheme="majorHAnsi" w:hAnsiTheme="majorHAnsi" w:cstheme="majorHAnsi"/>
        </w:rPr>
      </w:pPr>
      <w:r w:rsidRPr="003D02B6">
        <w:rPr>
          <w:rFonts w:asciiTheme="majorHAnsi" w:hAnsiTheme="majorHAnsi" w:cstheme="majorHAnsi"/>
        </w:rPr>
        <w:t>Eligibility for influenza vaccines funded by the National Immunisation Program (NIP)</w:t>
      </w:r>
    </w:p>
    <w:p w14:paraId="773FE83B" w14:textId="77777777" w:rsidR="00016FB9" w:rsidRPr="009F1206" w:rsidRDefault="0012773D" w:rsidP="007326B5">
      <w:pPr>
        <w:pStyle w:val="ListBullet"/>
      </w:pPr>
      <w:r w:rsidRPr="009F1206">
        <w:t xml:space="preserve">Annual influenza vaccination is recommended and funded for all children </w:t>
      </w:r>
      <w:r w:rsidR="00A177A5" w:rsidRPr="009F1206">
        <w:t xml:space="preserve">aged </w:t>
      </w:r>
      <w:r w:rsidRPr="009F1206">
        <w:t>6 months to &lt;5 years</w:t>
      </w:r>
      <w:r w:rsidR="00A177A5" w:rsidRPr="009F1206">
        <w:t>,</w:t>
      </w:r>
      <w:r w:rsidRPr="009F1206">
        <w:t xml:space="preserve"> and all adults</w:t>
      </w:r>
      <w:r w:rsidR="00A177A5" w:rsidRPr="009F1206">
        <w:t xml:space="preserve"> aged</w:t>
      </w:r>
      <w:r w:rsidRPr="009F1206">
        <w:t xml:space="preserve"> ≥65 years. </w:t>
      </w:r>
    </w:p>
    <w:p w14:paraId="472FD390" w14:textId="3A5A3E34" w:rsidR="0012773D" w:rsidRPr="009F1206" w:rsidRDefault="00016FB9" w:rsidP="007326B5">
      <w:pPr>
        <w:pStyle w:val="ListBullet"/>
      </w:pPr>
      <w:r w:rsidRPr="009F1206">
        <w:t>Annual influenza vaccination</w:t>
      </w:r>
      <w:r w:rsidR="0012773D" w:rsidRPr="009F1206">
        <w:t xml:space="preserve"> is also recommended for all people </w:t>
      </w:r>
      <w:r w:rsidR="00A177A5" w:rsidRPr="009F1206">
        <w:t xml:space="preserve">aged </w:t>
      </w:r>
      <w:r w:rsidR="0012773D" w:rsidRPr="009F1206">
        <w:t xml:space="preserve">5 to &lt;65 years of age, but only funded in </w:t>
      </w:r>
      <w:r w:rsidR="00A177A5" w:rsidRPr="009F1206">
        <w:t xml:space="preserve">the following </w:t>
      </w:r>
      <w:r w:rsidR="0012773D" w:rsidRPr="009F1206">
        <w:t>specific populations in this age group due to th</w:t>
      </w:r>
      <w:r w:rsidR="00CE3617" w:rsidRPr="009F1206">
        <w:t>eir increased risk of complicati</w:t>
      </w:r>
      <w:r w:rsidR="0012773D" w:rsidRPr="009F1206">
        <w:t>ons from influenza:</w:t>
      </w:r>
    </w:p>
    <w:p w14:paraId="10D40964" w14:textId="3117A258" w:rsidR="0051521D" w:rsidRPr="007326B5" w:rsidRDefault="00A177A5" w:rsidP="007326B5">
      <w:pPr>
        <w:pStyle w:val="ListBullet2"/>
      </w:pPr>
      <w:r w:rsidRPr="007326B5">
        <w:t>a</w:t>
      </w:r>
      <w:r w:rsidR="00B43DFA" w:rsidRPr="007326B5">
        <w:t xml:space="preserve">ll Aboriginal and </w:t>
      </w:r>
      <w:r w:rsidR="0051521D" w:rsidRPr="007326B5">
        <w:t>Torres S</w:t>
      </w:r>
      <w:r w:rsidR="00B43DFA" w:rsidRPr="007326B5">
        <w:t>trait Islander people</w:t>
      </w:r>
    </w:p>
    <w:p w14:paraId="3178FF25" w14:textId="2FEA6478" w:rsidR="0051521D" w:rsidRPr="007326B5" w:rsidRDefault="00A177A5" w:rsidP="007326B5">
      <w:pPr>
        <w:pStyle w:val="ListBullet2"/>
      </w:pPr>
      <w:r w:rsidRPr="007326B5">
        <w:t>p</w:t>
      </w:r>
      <w:r w:rsidR="0051521D" w:rsidRPr="007326B5">
        <w:t>eople who have certain medical condi</w:t>
      </w:r>
      <w:r w:rsidR="00FF6B57" w:rsidRPr="007326B5">
        <w:t>tions</w:t>
      </w:r>
      <w:r w:rsidR="0051521D" w:rsidRPr="007326B5">
        <w:t xml:space="preserve"> (</w:t>
      </w:r>
      <w:r w:rsidRPr="007326B5">
        <w:t>see</w:t>
      </w:r>
      <w:r w:rsidR="0051521D" w:rsidRPr="007326B5">
        <w:t xml:space="preserve"> Table </w:t>
      </w:r>
      <w:r w:rsidRPr="007326B5">
        <w:t>3</w:t>
      </w:r>
      <w:r w:rsidR="0051521D" w:rsidRPr="007326B5">
        <w:t>)</w:t>
      </w:r>
    </w:p>
    <w:p w14:paraId="09E102AA" w14:textId="4E1D1DBE" w:rsidR="0051521D" w:rsidRPr="007326B5" w:rsidRDefault="00A177A5" w:rsidP="007326B5">
      <w:pPr>
        <w:pStyle w:val="ListBullet2"/>
      </w:pPr>
      <w:r w:rsidRPr="007326B5">
        <w:t>p</w:t>
      </w:r>
      <w:r w:rsidR="0051521D" w:rsidRPr="007326B5">
        <w:t>regnant women (during any stage of pregnancy)</w:t>
      </w:r>
      <w:r w:rsidR="001B34FB" w:rsidRPr="007326B5">
        <w:t>.</w:t>
      </w:r>
      <w:r w:rsidR="0051521D" w:rsidRPr="007326B5">
        <w:t xml:space="preserve"> </w:t>
      </w:r>
    </w:p>
    <w:p w14:paraId="182FED88" w14:textId="4E0AED2C" w:rsidR="00F8060C" w:rsidRPr="007326B5" w:rsidRDefault="68CDECAC" w:rsidP="007326B5">
      <w:pPr>
        <w:pStyle w:val="Caption"/>
      </w:pPr>
      <w:r w:rsidRPr="007326B5">
        <w:lastRenderedPageBreak/>
        <w:t xml:space="preserve">Table </w:t>
      </w:r>
      <w:r w:rsidR="0B96A7A8" w:rsidRPr="007326B5">
        <w:t>3</w:t>
      </w:r>
      <w:r w:rsidRPr="007326B5">
        <w:t xml:space="preserve">. Medical conditions associated with an increased risk of influenza disease complications and for which individuals are eligible for </w:t>
      </w:r>
      <w:r w:rsidR="0007360B" w:rsidRPr="007326B5">
        <w:t>publicly funded</w:t>
      </w:r>
      <w:r w:rsidRPr="007326B5">
        <w:t xml:space="preserve"> vaccination under the NIP</w:t>
      </w:r>
    </w:p>
    <w:tbl>
      <w:tblPr>
        <w:tblStyle w:val="TableGridLight"/>
        <w:tblW w:w="5000" w:type="pct"/>
        <w:tblLook w:val="00A0" w:firstRow="1" w:lastRow="0" w:firstColumn="1" w:lastColumn="0" w:noHBand="0" w:noVBand="0"/>
        <w:tblCaption w:val="Medical conditions associated with an increased risk of influenza disease complications and for which individuals are eligible for free vaccination under the NIP"/>
        <w:tblDescription w:val="This table lists the disease categories in the left column and examples in the right column."/>
      </w:tblPr>
      <w:tblGrid>
        <w:gridCol w:w="3686"/>
        <w:gridCol w:w="6508"/>
      </w:tblGrid>
      <w:tr w:rsidR="006B5200" w:rsidRPr="007326B5" w14:paraId="3741F0CF" w14:textId="77777777" w:rsidTr="001E0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1808" w:type="pct"/>
          </w:tcPr>
          <w:p w14:paraId="01B82F9C" w14:textId="77777777" w:rsidR="00F8060C" w:rsidRPr="007326B5" w:rsidRDefault="00F8060C" w:rsidP="007326B5">
            <w:pPr>
              <w:pStyle w:val="TableHeaderRow"/>
            </w:pPr>
            <w:r w:rsidRPr="007326B5">
              <w:t>Category</w:t>
            </w:r>
          </w:p>
        </w:tc>
        <w:tc>
          <w:tcPr>
            <w:tcW w:w="3192" w:type="pct"/>
          </w:tcPr>
          <w:p w14:paraId="120725CD" w14:textId="77777777" w:rsidR="00F8060C" w:rsidRPr="007326B5" w:rsidRDefault="00AC34F0" w:rsidP="007326B5">
            <w:pPr>
              <w:pStyle w:val="TableHeaderRow"/>
            </w:pPr>
            <w:r w:rsidRPr="007326B5">
              <w:t>Medical conditions</w:t>
            </w:r>
          </w:p>
        </w:tc>
      </w:tr>
      <w:tr w:rsidR="006B5200" w:rsidRPr="007326B5" w14:paraId="07CD6697" w14:textId="77777777" w:rsidTr="007326B5">
        <w:trPr>
          <w:trHeight w:val="340"/>
        </w:trPr>
        <w:tc>
          <w:tcPr>
            <w:tcW w:w="1808" w:type="pct"/>
          </w:tcPr>
          <w:p w14:paraId="77BFFCAE" w14:textId="77777777" w:rsidR="00AC34F0" w:rsidRPr="007326B5" w:rsidRDefault="00F8060C" w:rsidP="007326B5">
            <w:r w:rsidRPr="007326B5">
              <w:t>Cardiac disease</w:t>
            </w:r>
          </w:p>
        </w:tc>
        <w:tc>
          <w:tcPr>
            <w:tcW w:w="3192" w:type="pct"/>
          </w:tcPr>
          <w:p w14:paraId="1B4D83FE" w14:textId="77777777" w:rsidR="00F8060C" w:rsidRPr="007326B5" w:rsidRDefault="00F8060C" w:rsidP="007326B5">
            <w:r w:rsidRPr="007326B5">
              <w:t>Cyanotic congenital heart disease, congestive heart failure, coronary artery disease</w:t>
            </w:r>
          </w:p>
        </w:tc>
      </w:tr>
      <w:tr w:rsidR="006B5200" w:rsidRPr="007326B5" w14:paraId="416F8176" w14:textId="77777777" w:rsidTr="007326B5">
        <w:trPr>
          <w:trHeight w:val="397"/>
        </w:trPr>
        <w:tc>
          <w:tcPr>
            <w:tcW w:w="1808" w:type="pct"/>
          </w:tcPr>
          <w:p w14:paraId="6DE574FC" w14:textId="77777777" w:rsidR="00F8060C" w:rsidRPr="007326B5" w:rsidRDefault="00F8060C" w:rsidP="007326B5">
            <w:r w:rsidRPr="007326B5">
              <w:t>Chronic respiratory conditions</w:t>
            </w:r>
          </w:p>
        </w:tc>
        <w:tc>
          <w:tcPr>
            <w:tcW w:w="3192" w:type="pct"/>
          </w:tcPr>
          <w:p w14:paraId="16C5E85A" w14:textId="77777777" w:rsidR="00F8060C" w:rsidRPr="007326B5" w:rsidRDefault="00F8060C" w:rsidP="007326B5">
            <w:r w:rsidRPr="007326B5">
              <w:t>Severe asthma, cystic fibrosis, bronchiectasis, suppurative lung disease, chronic obstructive pulmonary disease, chronic emphysema</w:t>
            </w:r>
          </w:p>
        </w:tc>
      </w:tr>
      <w:tr w:rsidR="006B5200" w:rsidRPr="007326B5" w14:paraId="6877CDAD" w14:textId="77777777" w:rsidTr="007326B5">
        <w:trPr>
          <w:trHeight w:val="397"/>
        </w:trPr>
        <w:tc>
          <w:tcPr>
            <w:tcW w:w="1808" w:type="pct"/>
          </w:tcPr>
          <w:p w14:paraId="6DC6719E" w14:textId="77777777" w:rsidR="00F8060C" w:rsidRPr="007326B5" w:rsidRDefault="00F8060C" w:rsidP="007326B5">
            <w:r w:rsidRPr="007326B5">
              <w:t>Chronic neurological conditions</w:t>
            </w:r>
          </w:p>
        </w:tc>
        <w:tc>
          <w:tcPr>
            <w:tcW w:w="3192" w:type="pct"/>
          </w:tcPr>
          <w:p w14:paraId="7101ADDC" w14:textId="77777777" w:rsidR="00F8060C" w:rsidRPr="007326B5" w:rsidRDefault="00F8060C" w:rsidP="007326B5">
            <w:r w:rsidRPr="007326B5">
              <w:t>Hereditary and degenerative CNS diseases, seizure disorders, spinal cord injuries, neuromuscular disorders</w:t>
            </w:r>
          </w:p>
        </w:tc>
      </w:tr>
      <w:tr w:rsidR="006B5200" w:rsidRPr="007326B5" w14:paraId="2FD551CA" w14:textId="77777777" w:rsidTr="007326B5">
        <w:trPr>
          <w:trHeight w:val="397"/>
        </w:trPr>
        <w:tc>
          <w:tcPr>
            <w:tcW w:w="1808" w:type="pct"/>
          </w:tcPr>
          <w:p w14:paraId="571A5052" w14:textId="77777777" w:rsidR="00F8060C" w:rsidRPr="007326B5" w:rsidRDefault="00F8060C" w:rsidP="007326B5">
            <w:r w:rsidRPr="007326B5">
              <w:t>Immunocompromising conditions</w:t>
            </w:r>
          </w:p>
        </w:tc>
        <w:tc>
          <w:tcPr>
            <w:tcW w:w="3192" w:type="pct"/>
          </w:tcPr>
          <w:p w14:paraId="278837E7" w14:textId="77777777" w:rsidR="00F8060C" w:rsidRPr="007326B5" w:rsidRDefault="00F8060C" w:rsidP="007326B5">
            <w:r w:rsidRPr="007326B5">
              <w:t>Immunocompromised due to disease or treatment, asplenia or splenic dysfunction, HIV infection</w:t>
            </w:r>
          </w:p>
        </w:tc>
      </w:tr>
      <w:tr w:rsidR="006B5200" w:rsidRPr="007326B5" w14:paraId="09BC302D" w14:textId="77777777" w:rsidTr="007326B5">
        <w:trPr>
          <w:trHeight w:val="255"/>
        </w:trPr>
        <w:tc>
          <w:tcPr>
            <w:tcW w:w="1808" w:type="pct"/>
          </w:tcPr>
          <w:p w14:paraId="25AF870E" w14:textId="77777777" w:rsidR="00F8060C" w:rsidRPr="007326B5" w:rsidRDefault="00F8060C" w:rsidP="007326B5">
            <w:r w:rsidRPr="007326B5">
              <w:t>Diabetes and other metabolic disorders</w:t>
            </w:r>
          </w:p>
        </w:tc>
        <w:tc>
          <w:tcPr>
            <w:tcW w:w="3192" w:type="pct"/>
          </w:tcPr>
          <w:p w14:paraId="59DCE14D" w14:textId="77777777" w:rsidR="00F8060C" w:rsidRPr="007326B5" w:rsidRDefault="00F8060C" w:rsidP="007326B5">
            <w:r w:rsidRPr="007326B5">
              <w:t>Type 1 or 2 diabetes, chronic metabolic disorders</w:t>
            </w:r>
          </w:p>
        </w:tc>
      </w:tr>
      <w:tr w:rsidR="006B5200" w:rsidRPr="007326B5" w14:paraId="7008993A" w14:textId="77777777" w:rsidTr="007326B5">
        <w:trPr>
          <w:trHeight w:val="255"/>
        </w:trPr>
        <w:tc>
          <w:tcPr>
            <w:tcW w:w="1808" w:type="pct"/>
          </w:tcPr>
          <w:p w14:paraId="1390E2BA" w14:textId="77777777" w:rsidR="00F8060C" w:rsidRPr="007326B5" w:rsidRDefault="00F8060C" w:rsidP="007326B5">
            <w:r w:rsidRPr="007326B5">
              <w:t>Renal disease</w:t>
            </w:r>
          </w:p>
        </w:tc>
        <w:tc>
          <w:tcPr>
            <w:tcW w:w="3192" w:type="pct"/>
          </w:tcPr>
          <w:p w14:paraId="3856ABC6" w14:textId="77777777" w:rsidR="00F8060C" w:rsidRPr="007326B5" w:rsidRDefault="00F8060C" w:rsidP="007326B5">
            <w:r w:rsidRPr="007326B5">
              <w:t>Chronic renal failure</w:t>
            </w:r>
          </w:p>
        </w:tc>
      </w:tr>
      <w:tr w:rsidR="006B5200" w:rsidRPr="007326B5" w14:paraId="55891C39" w14:textId="77777777" w:rsidTr="007326B5">
        <w:trPr>
          <w:trHeight w:val="255"/>
        </w:trPr>
        <w:tc>
          <w:tcPr>
            <w:tcW w:w="1808" w:type="pct"/>
          </w:tcPr>
          <w:p w14:paraId="14EB3F28" w14:textId="77777777" w:rsidR="00F8060C" w:rsidRPr="007326B5" w:rsidRDefault="00F8060C" w:rsidP="007326B5">
            <w:r w:rsidRPr="007326B5">
              <w:t>Haematological disorders</w:t>
            </w:r>
          </w:p>
        </w:tc>
        <w:tc>
          <w:tcPr>
            <w:tcW w:w="3192" w:type="pct"/>
          </w:tcPr>
          <w:p w14:paraId="1FE2A964" w14:textId="77777777" w:rsidR="00F8060C" w:rsidRPr="007326B5" w:rsidRDefault="00F8060C" w:rsidP="007326B5">
            <w:r w:rsidRPr="007326B5">
              <w:t>Haemoglobinopathies</w:t>
            </w:r>
          </w:p>
        </w:tc>
      </w:tr>
      <w:tr w:rsidR="006B5200" w:rsidRPr="007326B5" w14:paraId="2E6897B3" w14:textId="77777777" w:rsidTr="007326B5">
        <w:trPr>
          <w:trHeight w:val="397"/>
        </w:trPr>
        <w:tc>
          <w:tcPr>
            <w:tcW w:w="1808" w:type="pct"/>
          </w:tcPr>
          <w:p w14:paraId="080C87B5" w14:textId="46614711" w:rsidR="00F8060C" w:rsidRPr="007326B5" w:rsidRDefault="00F8060C" w:rsidP="007326B5">
            <w:r w:rsidRPr="007326B5">
              <w:t xml:space="preserve">Long-term aspirin therapy in children aged </w:t>
            </w:r>
            <w:r w:rsidR="00820F33" w:rsidRPr="007326B5">
              <w:t>5</w:t>
            </w:r>
            <w:r w:rsidRPr="007326B5">
              <w:t xml:space="preserve"> to 10 years</w:t>
            </w:r>
          </w:p>
        </w:tc>
        <w:tc>
          <w:tcPr>
            <w:tcW w:w="3192" w:type="pct"/>
          </w:tcPr>
          <w:p w14:paraId="63BEEBCA" w14:textId="77777777" w:rsidR="00F8060C" w:rsidRPr="007326B5" w:rsidRDefault="00F8060C" w:rsidP="007326B5">
            <w:r w:rsidRPr="007326B5">
              <w:t>These children are at increased risk of Reye syndrome following influenza infection</w:t>
            </w:r>
          </w:p>
        </w:tc>
      </w:tr>
    </w:tbl>
    <w:p w14:paraId="7D907668" w14:textId="52EA0F70" w:rsidR="00AD5F04" w:rsidRPr="009F1206" w:rsidRDefault="00276C70" w:rsidP="007326B5">
      <w:pPr>
        <w:pStyle w:val="FootnoteText"/>
      </w:pPr>
      <w:r w:rsidRPr="009F1206">
        <w:t>Note:</w:t>
      </w:r>
      <w:r w:rsidR="00AD5F04" w:rsidRPr="009F1206">
        <w:t xml:space="preserve"> </w:t>
      </w:r>
      <w:r w:rsidRPr="009F1206">
        <w:t>See</w:t>
      </w:r>
      <w:r w:rsidR="00184640" w:rsidRPr="009F1206">
        <w:t xml:space="preserve"> </w:t>
      </w:r>
      <w:r w:rsidRPr="009F1206">
        <w:t>t</w:t>
      </w:r>
      <w:r w:rsidR="00184640" w:rsidRPr="009F1206">
        <w:t xml:space="preserve">he </w:t>
      </w:r>
      <w:hyperlink r:id="rId15" w:history="1">
        <w:r w:rsidR="00184640" w:rsidRPr="009F1206">
          <w:rPr>
            <w:rStyle w:val="Hyperlink"/>
            <w:sz w:val="16"/>
            <w:szCs w:val="16"/>
          </w:rPr>
          <w:t>Australian Immunisation Handbook</w:t>
        </w:r>
      </w:hyperlink>
      <w:r w:rsidR="00184640" w:rsidRPr="009F1206">
        <w:t xml:space="preserve"> </w:t>
      </w:r>
      <w:r w:rsidRPr="009F1206">
        <w:t>(</w:t>
      </w:r>
      <w:r w:rsidR="00184640" w:rsidRPr="009F1206">
        <w:t>available at immunisationhandbook.health.gov.au</w:t>
      </w:r>
      <w:r w:rsidRPr="009F1206">
        <w:t>)</w:t>
      </w:r>
      <w:r w:rsidR="00184640" w:rsidRPr="009F1206">
        <w:t xml:space="preserve"> for advice on </w:t>
      </w:r>
      <w:r w:rsidRPr="009F1206">
        <w:t xml:space="preserve">people </w:t>
      </w:r>
      <w:r w:rsidR="00184640" w:rsidRPr="009F1206">
        <w:t>who are strongly recommended to receive annual influenza vaccination but not eligible for NIP</w:t>
      </w:r>
      <w:r w:rsidR="00184640" w:rsidRPr="009F1206">
        <w:noBreakHyphen/>
        <w:t>funded influenza vaccines.</w:t>
      </w:r>
    </w:p>
    <w:sectPr w:rsidR="00AD5F04" w:rsidRPr="009F1206" w:rsidSect="007326B5">
      <w:footerReference w:type="default" r:id="rId16"/>
      <w:headerReference w:type="first" r:id="rId17"/>
      <w:footerReference w:type="first" r:id="rId18"/>
      <w:pgSz w:w="11906" w:h="16838"/>
      <w:pgMar w:top="851" w:right="851" w:bottom="709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CAF2" w14:textId="77777777" w:rsidR="00551A9A" w:rsidRDefault="00551A9A" w:rsidP="005F4768">
      <w:r>
        <w:separator/>
      </w:r>
    </w:p>
  </w:endnote>
  <w:endnote w:type="continuationSeparator" w:id="0">
    <w:p w14:paraId="759DC9DA" w14:textId="77777777" w:rsidR="00551A9A" w:rsidRDefault="00551A9A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3DDB" w14:textId="7E78F7B0" w:rsidR="00F23C53" w:rsidRPr="00016FB9" w:rsidRDefault="00F23C53" w:rsidP="00F23C53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2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99FD" w14:textId="77777777" w:rsidR="00060890" w:rsidRPr="00016FB9" w:rsidRDefault="00060890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1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40CC" w14:textId="77777777" w:rsidR="00551A9A" w:rsidRDefault="00551A9A" w:rsidP="005F4768">
      <w:r>
        <w:separator/>
      </w:r>
    </w:p>
  </w:footnote>
  <w:footnote w:type="continuationSeparator" w:id="0">
    <w:p w14:paraId="7F8B5F24" w14:textId="77777777" w:rsidR="00551A9A" w:rsidRDefault="00551A9A" w:rsidP="005F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B93F" w14:textId="77777777" w:rsidR="003D02B6" w:rsidRPr="00675D47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jc w:val="right"/>
      <w:rPr>
        <w:b/>
        <w:bCs/>
        <w:color w:val="FF0000"/>
      </w:rPr>
    </w:pPr>
    <w:r w:rsidRPr="00675D47">
      <w:rPr>
        <w:b/>
        <w:bCs/>
        <w:color w:val="FF0000"/>
      </w:rPr>
      <w:t>Official Sensitive</w:t>
    </w:r>
  </w:p>
  <w:p w14:paraId="65D5626D" w14:textId="16D98AB7" w:rsidR="003D02B6" w:rsidRPr="00BC2186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 w:rsidRPr="00BC2186">
      <w:rPr>
        <w:bCs/>
      </w:rPr>
      <w:t xml:space="preserve">ATAGI </w:t>
    </w:r>
    <w:r>
      <w:rPr>
        <w:bCs/>
      </w:rPr>
      <w:t>9</w:t>
    </w:r>
    <w:r w:rsidR="001B3642">
      <w:rPr>
        <w:bCs/>
      </w:rPr>
      <w:t>1</w:t>
    </w:r>
    <w:r w:rsidR="001B3642" w:rsidRPr="001B3642">
      <w:rPr>
        <w:bCs/>
        <w:vertAlign w:val="superscript"/>
      </w:rPr>
      <w:t>st</w:t>
    </w:r>
    <w:r>
      <w:rPr>
        <w:bCs/>
      </w:rPr>
      <w:t xml:space="preserve"> </w:t>
    </w:r>
    <w:r w:rsidRPr="00BC2186">
      <w:rPr>
        <w:bCs/>
      </w:rPr>
      <w:t xml:space="preserve">Meeting </w:t>
    </w:r>
  </w:p>
  <w:p w14:paraId="462DE6CF" w14:textId="048CF671" w:rsidR="003D02B6" w:rsidRDefault="001B3642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>
      <w:rPr>
        <w:bCs/>
      </w:rPr>
      <w:t>16</w:t>
    </w:r>
    <w:r w:rsidRPr="001B3642">
      <w:rPr>
        <w:bCs/>
        <w:vertAlign w:val="superscript"/>
      </w:rPr>
      <w:t>th</w:t>
    </w:r>
    <w:r>
      <w:rPr>
        <w:bCs/>
      </w:rPr>
      <w:t xml:space="preserve"> and 17</w:t>
    </w:r>
    <w:r w:rsidRPr="001B3642">
      <w:rPr>
        <w:bCs/>
        <w:vertAlign w:val="superscript"/>
      </w:rPr>
      <w:t>th</w:t>
    </w:r>
    <w:r w:rsidR="003D02B6">
      <w:rPr>
        <w:bCs/>
      </w:rPr>
      <w:t xml:space="preserve"> of </w:t>
    </w:r>
    <w:r>
      <w:rPr>
        <w:bCs/>
      </w:rPr>
      <w:t>February</w:t>
    </w:r>
    <w:r w:rsidR="003D02B6">
      <w:rPr>
        <w:bCs/>
      </w:rPr>
      <w:t xml:space="preserve"> 202</w:t>
    </w:r>
    <w:r>
      <w:rPr>
        <w:bCs/>
      </w:rPr>
      <w:t>3</w:t>
    </w:r>
  </w:p>
  <w:p w14:paraId="69FC6CA9" w14:textId="2ED7089F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Agenda Item </w:t>
    </w:r>
    <w:r w:rsidR="001B3642">
      <w:rPr>
        <w:b/>
        <w:bCs/>
      </w:rPr>
      <w:t>8</w:t>
    </w:r>
    <w:r>
      <w:rPr>
        <w:b/>
        <w:bCs/>
      </w:rPr>
      <w:t>.1</w:t>
    </w:r>
  </w:p>
  <w:p w14:paraId="13E18AF4" w14:textId="77777777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Attachment </w:t>
    </w:r>
    <w:r>
      <w:rPr>
        <w:b/>
        <w:bCs/>
      </w:rPr>
      <w:t>A</w:t>
    </w:r>
  </w:p>
  <w:p w14:paraId="79B632E4" w14:textId="77777777" w:rsidR="003D02B6" w:rsidRPr="003D02B6" w:rsidRDefault="003D02B6" w:rsidP="003D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4C2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8A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36A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4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40D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06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183D22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FAFC5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EE71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BB0111"/>
    <w:multiLevelType w:val="multilevel"/>
    <w:tmpl w:val="51E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05B9"/>
    <w:multiLevelType w:val="multilevel"/>
    <w:tmpl w:val="8D2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233B7A"/>
    <w:multiLevelType w:val="hybridMultilevel"/>
    <w:tmpl w:val="F51CB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7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B7D0AD5"/>
    <w:multiLevelType w:val="multilevel"/>
    <w:tmpl w:val="729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2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155AE"/>
    <w:multiLevelType w:val="multilevel"/>
    <w:tmpl w:val="691A62B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7609A"/>
    <w:multiLevelType w:val="hybridMultilevel"/>
    <w:tmpl w:val="928C78F0"/>
    <w:lvl w:ilvl="0" w:tplc="BB22B98C">
      <w:start w:val="1"/>
      <w:numFmt w:val="bullet"/>
      <w:pStyle w:val="Index9"/>
      <w:lvlText w:val="-"/>
      <w:lvlJc w:val="left"/>
      <w:pPr>
        <w:ind w:left="23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27" w15:restartNumberingAfterBreak="0">
    <w:nsid w:val="58173CCB"/>
    <w:multiLevelType w:val="hybridMultilevel"/>
    <w:tmpl w:val="F740F4EA"/>
    <w:lvl w:ilvl="0" w:tplc="9D7C2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4968"/>
    <w:multiLevelType w:val="multilevel"/>
    <w:tmpl w:val="BDE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23"/>
  </w:num>
  <w:num w:numId="5">
    <w:abstractNumId w:val="32"/>
  </w:num>
  <w:num w:numId="6">
    <w:abstractNumId w:val="30"/>
  </w:num>
  <w:num w:numId="7">
    <w:abstractNumId w:val="25"/>
  </w:num>
  <w:num w:numId="8">
    <w:abstractNumId w:val="33"/>
  </w:num>
  <w:num w:numId="9">
    <w:abstractNumId w:val="10"/>
  </w:num>
  <w:num w:numId="10">
    <w:abstractNumId w:val="21"/>
  </w:num>
  <w:num w:numId="11">
    <w:abstractNumId w:val="23"/>
  </w:num>
  <w:num w:numId="12">
    <w:abstractNumId w:val="29"/>
  </w:num>
  <w:num w:numId="13">
    <w:abstractNumId w:val="24"/>
  </w:num>
  <w:num w:numId="14">
    <w:abstractNumId w:val="16"/>
  </w:num>
  <w:num w:numId="15">
    <w:abstractNumId w:val="18"/>
  </w:num>
  <w:num w:numId="16">
    <w:abstractNumId w:val="31"/>
  </w:num>
  <w:num w:numId="17">
    <w:abstractNumId w:val="23"/>
  </w:num>
  <w:num w:numId="18">
    <w:abstractNumId w:val="23"/>
  </w:num>
  <w:num w:numId="19">
    <w:abstractNumId w:val="28"/>
  </w:num>
  <w:num w:numId="20">
    <w:abstractNumId w:val="22"/>
  </w:num>
  <w:num w:numId="21">
    <w:abstractNumId w:val="15"/>
  </w:num>
  <w:num w:numId="22">
    <w:abstractNumId w:val="12"/>
  </w:num>
  <w:num w:numId="23">
    <w:abstractNumId w:val="23"/>
  </w:num>
  <w:num w:numId="24">
    <w:abstractNumId w:val="20"/>
  </w:num>
  <w:num w:numId="25">
    <w:abstractNumId w:val="23"/>
  </w:num>
  <w:num w:numId="26">
    <w:abstractNumId w:val="27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11"/>
  </w:num>
  <w:num w:numId="36">
    <w:abstractNumId w:val="35"/>
  </w:num>
  <w:num w:numId="37">
    <w:abstractNumId w:val="13"/>
  </w:num>
  <w:num w:numId="38">
    <w:abstractNumId w:val="23"/>
  </w:num>
  <w:num w:numId="39">
    <w:abstractNumId w:val="8"/>
  </w:num>
  <w:num w:numId="40">
    <w:abstractNumId w:val="9"/>
  </w:num>
  <w:num w:numId="41">
    <w:abstractNumId w:val="34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TW2NDM0sAAiAyUdpeDU4uLM/DyQAsNaAKCgXmUsAAAA"/>
  </w:docVars>
  <w:rsids>
    <w:rsidRoot w:val="00D33167"/>
    <w:rsid w:val="00002612"/>
    <w:rsid w:val="00003743"/>
    <w:rsid w:val="00003A5E"/>
    <w:rsid w:val="0000695B"/>
    <w:rsid w:val="000121C1"/>
    <w:rsid w:val="00015B54"/>
    <w:rsid w:val="00016DAB"/>
    <w:rsid w:val="00016FB9"/>
    <w:rsid w:val="0002748F"/>
    <w:rsid w:val="000329C3"/>
    <w:rsid w:val="0003471D"/>
    <w:rsid w:val="00041003"/>
    <w:rsid w:val="00044167"/>
    <w:rsid w:val="0004452A"/>
    <w:rsid w:val="000602F3"/>
    <w:rsid w:val="00060890"/>
    <w:rsid w:val="00065F02"/>
    <w:rsid w:val="00067456"/>
    <w:rsid w:val="0007360B"/>
    <w:rsid w:val="000832D8"/>
    <w:rsid w:val="00083432"/>
    <w:rsid w:val="00085B2B"/>
    <w:rsid w:val="000924FE"/>
    <w:rsid w:val="00093B12"/>
    <w:rsid w:val="00094E37"/>
    <w:rsid w:val="000A46C3"/>
    <w:rsid w:val="000A576F"/>
    <w:rsid w:val="000B4B93"/>
    <w:rsid w:val="000B5F21"/>
    <w:rsid w:val="000C00C6"/>
    <w:rsid w:val="000C221F"/>
    <w:rsid w:val="000C27C2"/>
    <w:rsid w:val="000C3E65"/>
    <w:rsid w:val="000C530C"/>
    <w:rsid w:val="000C7E8D"/>
    <w:rsid w:val="000E23F2"/>
    <w:rsid w:val="000E2673"/>
    <w:rsid w:val="000E2C7D"/>
    <w:rsid w:val="000E40A7"/>
    <w:rsid w:val="000E4B3F"/>
    <w:rsid w:val="000E5D06"/>
    <w:rsid w:val="000F2055"/>
    <w:rsid w:val="000F39AD"/>
    <w:rsid w:val="00101429"/>
    <w:rsid w:val="00101A0D"/>
    <w:rsid w:val="00103B56"/>
    <w:rsid w:val="00110BA0"/>
    <w:rsid w:val="00117B22"/>
    <w:rsid w:val="00117CCD"/>
    <w:rsid w:val="00123E2F"/>
    <w:rsid w:val="00126103"/>
    <w:rsid w:val="0012695D"/>
    <w:rsid w:val="0012773D"/>
    <w:rsid w:val="00134075"/>
    <w:rsid w:val="00134A72"/>
    <w:rsid w:val="00134CD9"/>
    <w:rsid w:val="00144B09"/>
    <w:rsid w:val="0014557B"/>
    <w:rsid w:val="001567A8"/>
    <w:rsid w:val="00156CBA"/>
    <w:rsid w:val="00157F5E"/>
    <w:rsid w:val="00161A20"/>
    <w:rsid w:val="00162CD9"/>
    <w:rsid w:val="00163BC4"/>
    <w:rsid w:val="00164684"/>
    <w:rsid w:val="00171A27"/>
    <w:rsid w:val="001821CF"/>
    <w:rsid w:val="00183E2C"/>
    <w:rsid w:val="0018425E"/>
    <w:rsid w:val="00184640"/>
    <w:rsid w:val="00185042"/>
    <w:rsid w:val="00185613"/>
    <w:rsid w:val="00190179"/>
    <w:rsid w:val="00190797"/>
    <w:rsid w:val="00191A3C"/>
    <w:rsid w:val="00194C75"/>
    <w:rsid w:val="001A3F60"/>
    <w:rsid w:val="001A51C8"/>
    <w:rsid w:val="001B3443"/>
    <w:rsid w:val="001B34FB"/>
    <w:rsid w:val="001B3642"/>
    <w:rsid w:val="001B45F4"/>
    <w:rsid w:val="001B5EB4"/>
    <w:rsid w:val="001B6C7E"/>
    <w:rsid w:val="001B7157"/>
    <w:rsid w:val="001C07EB"/>
    <w:rsid w:val="001C357C"/>
    <w:rsid w:val="001C3FC6"/>
    <w:rsid w:val="001D0382"/>
    <w:rsid w:val="001D7875"/>
    <w:rsid w:val="001E0B25"/>
    <w:rsid w:val="001E232C"/>
    <w:rsid w:val="001E37B2"/>
    <w:rsid w:val="001E4232"/>
    <w:rsid w:val="001E6EC7"/>
    <w:rsid w:val="001F1297"/>
    <w:rsid w:val="001F1A15"/>
    <w:rsid w:val="001F37BF"/>
    <w:rsid w:val="001F6022"/>
    <w:rsid w:val="002040EF"/>
    <w:rsid w:val="002058AD"/>
    <w:rsid w:val="00205C5A"/>
    <w:rsid w:val="00214ABA"/>
    <w:rsid w:val="00221721"/>
    <w:rsid w:val="002252DB"/>
    <w:rsid w:val="00226814"/>
    <w:rsid w:val="002279E4"/>
    <w:rsid w:val="002306F0"/>
    <w:rsid w:val="0023299C"/>
    <w:rsid w:val="00234619"/>
    <w:rsid w:val="00235ADB"/>
    <w:rsid w:val="002377F5"/>
    <w:rsid w:val="00243CB0"/>
    <w:rsid w:val="00247BCD"/>
    <w:rsid w:val="00252CAB"/>
    <w:rsid w:val="002530E9"/>
    <w:rsid w:val="00263136"/>
    <w:rsid w:val="002650A3"/>
    <w:rsid w:val="00265EDC"/>
    <w:rsid w:val="00270062"/>
    <w:rsid w:val="00270453"/>
    <w:rsid w:val="002704B0"/>
    <w:rsid w:val="002704FE"/>
    <w:rsid w:val="00275310"/>
    <w:rsid w:val="002757EC"/>
    <w:rsid w:val="002767D8"/>
    <w:rsid w:val="00276C70"/>
    <w:rsid w:val="0028130E"/>
    <w:rsid w:val="0028298C"/>
    <w:rsid w:val="00291A4E"/>
    <w:rsid w:val="00293701"/>
    <w:rsid w:val="0029563A"/>
    <w:rsid w:val="002972FF"/>
    <w:rsid w:val="002A305D"/>
    <w:rsid w:val="002A602A"/>
    <w:rsid w:val="002A7C0B"/>
    <w:rsid w:val="002B1AE9"/>
    <w:rsid w:val="002B6873"/>
    <w:rsid w:val="002B6E46"/>
    <w:rsid w:val="002C3A8B"/>
    <w:rsid w:val="002D3AA2"/>
    <w:rsid w:val="002D3F00"/>
    <w:rsid w:val="002D4EE4"/>
    <w:rsid w:val="002D5CC8"/>
    <w:rsid w:val="002E0353"/>
    <w:rsid w:val="002E2D0F"/>
    <w:rsid w:val="002E39E4"/>
    <w:rsid w:val="002E5BDC"/>
    <w:rsid w:val="002E5F60"/>
    <w:rsid w:val="002E6E74"/>
    <w:rsid w:val="002F1F30"/>
    <w:rsid w:val="002F2CA8"/>
    <w:rsid w:val="002F3AE3"/>
    <w:rsid w:val="002F4175"/>
    <w:rsid w:val="003021C5"/>
    <w:rsid w:val="00303984"/>
    <w:rsid w:val="00304733"/>
    <w:rsid w:val="00304DAF"/>
    <w:rsid w:val="0030786C"/>
    <w:rsid w:val="00311130"/>
    <w:rsid w:val="003151C1"/>
    <w:rsid w:val="00321999"/>
    <w:rsid w:val="00323B20"/>
    <w:rsid w:val="003259A7"/>
    <w:rsid w:val="00326F35"/>
    <w:rsid w:val="003331D1"/>
    <w:rsid w:val="00334E12"/>
    <w:rsid w:val="00341827"/>
    <w:rsid w:val="00353274"/>
    <w:rsid w:val="0035377F"/>
    <w:rsid w:val="00354247"/>
    <w:rsid w:val="003605B4"/>
    <w:rsid w:val="00364AE6"/>
    <w:rsid w:val="00365888"/>
    <w:rsid w:val="0036665E"/>
    <w:rsid w:val="00367CDE"/>
    <w:rsid w:val="00384902"/>
    <w:rsid w:val="00387970"/>
    <w:rsid w:val="00390E9D"/>
    <w:rsid w:val="00394C68"/>
    <w:rsid w:val="003A15C1"/>
    <w:rsid w:val="003A2FC6"/>
    <w:rsid w:val="003A32F5"/>
    <w:rsid w:val="003B3AF5"/>
    <w:rsid w:val="003B5C45"/>
    <w:rsid w:val="003B7900"/>
    <w:rsid w:val="003C0F83"/>
    <w:rsid w:val="003C11CE"/>
    <w:rsid w:val="003C1387"/>
    <w:rsid w:val="003C79AD"/>
    <w:rsid w:val="003D02B6"/>
    <w:rsid w:val="003D17F9"/>
    <w:rsid w:val="003E1F9C"/>
    <w:rsid w:val="003E427C"/>
    <w:rsid w:val="003E7A6C"/>
    <w:rsid w:val="003F3D70"/>
    <w:rsid w:val="003F551F"/>
    <w:rsid w:val="003F56C1"/>
    <w:rsid w:val="004010CE"/>
    <w:rsid w:val="0040693A"/>
    <w:rsid w:val="00412FE1"/>
    <w:rsid w:val="0041495D"/>
    <w:rsid w:val="00415C8F"/>
    <w:rsid w:val="00423AF0"/>
    <w:rsid w:val="004257E7"/>
    <w:rsid w:val="00425B7C"/>
    <w:rsid w:val="00425F06"/>
    <w:rsid w:val="004261D7"/>
    <w:rsid w:val="00434917"/>
    <w:rsid w:val="00436D06"/>
    <w:rsid w:val="00442903"/>
    <w:rsid w:val="00447A6B"/>
    <w:rsid w:val="00451454"/>
    <w:rsid w:val="00452DCB"/>
    <w:rsid w:val="00452ED0"/>
    <w:rsid w:val="00453A51"/>
    <w:rsid w:val="004561E3"/>
    <w:rsid w:val="00456926"/>
    <w:rsid w:val="00462A39"/>
    <w:rsid w:val="00463035"/>
    <w:rsid w:val="004658FB"/>
    <w:rsid w:val="0047029A"/>
    <w:rsid w:val="004704FA"/>
    <w:rsid w:val="00473446"/>
    <w:rsid w:val="0047625E"/>
    <w:rsid w:val="004830B4"/>
    <w:rsid w:val="00484234"/>
    <w:rsid w:val="00485E61"/>
    <w:rsid w:val="004867E2"/>
    <w:rsid w:val="00487D3E"/>
    <w:rsid w:val="004A05FF"/>
    <w:rsid w:val="004A0FA7"/>
    <w:rsid w:val="004A1690"/>
    <w:rsid w:val="004A2CD4"/>
    <w:rsid w:val="004A32C3"/>
    <w:rsid w:val="004A3CF9"/>
    <w:rsid w:val="004B0D7C"/>
    <w:rsid w:val="004B5030"/>
    <w:rsid w:val="004C71CF"/>
    <w:rsid w:val="004D292F"/>
    <w:rsid w:val="004D4A28"/>
    <w:rsid w:val="004D4FA8"/>
    <w:rsid w:val="004F020A"/>
    <w:rsid w:val="004F2684"/>
    <w:rsid w:val="004F28F5"/>
    <w:rsid w:val="004F2E2A"/>
    <w:rsid w:val="004F3AA0"/>
    <w:rsid w:val="004F5DED"/>
    <w:rsid w:val="004F7AFF"/>
    <w:rsid w:val="00501091"/>
    <w:rsid w:val="00506310"/>
    <w:rsid w:val="00510667"/>
    <w:rsid w:val="00513A56"/>
    <w:rsid w:val="0051521D"/>
    <w:rsid w:val="00517DBF"/>
    <w:rsid w:val="00523DBD"/>
    <w:rsid w:val="005256D8"/>
    <w:rsid w:val="00525DA8"/>
    <w:rsid w:val="0053034E"/>
    <w:rsid w:val="00530B59"/>
    <w:rsid w:val="00543C9E"/>
    <w:rsid w:val="00551A9A"/>
    <w:rsid w:val="00554A23"/>
    <w:rsid w:val="00554B82"/>
    <w:rsid w:val="00555995"/>
    <w:rsid w:val="005603E0"/>
    <w:rsid w:val="00561352"/>
    <w:rsid w:val="005641C8"/>
    <w:rsid w:val="00573D48"/>
    <w:rsid w:val="00574083"/>
    <w:rsid w:val="005760DA"/>
    <w:rsid w:val="00577609"/>
    <w:rsid w:val="00584750"/>
    <w:rsid w:val="00586D57"/>
    <w:rsid w:val="00590A88"/>
    <w:rsid w:val="0059518A"/>
    <w:rsid w:val="00596E15"/>
    <w:rsid w:val="005A0D19"/>
    <w:rsid w:val="005B274D"/>
    <w:rsid w:val="005C4C82"/>
    <w:rsid w:val="005D1645"/>
    <w:rsid w:val="005D2E42"/>
    <w:rsid w:val="005E0FAB"/>
    <w:rsid w:val="005E624C"/>
    <w:rsid w:val="005F16BD"/>
    <w:rsid w:val="005F4768"/>
    <w:rsid w:val="005F4D30"/>
    <w:rsid w:val="005F5A9F"/>
    <w:rsid w:val="005F77E3"/>
    <w:rsid w:val="006004EC"/>
    <w:rsid w:val="006036BF"/>
    <w:rsid w:val="0060508D"/>
    <w:rsid w:val="0060514F"/>
    <w:rsid w:val="00605268"/>
    <w:rsid w:val="00610618"/>
    <w:rsid w:val="00611D63"/>
    <w:rsid w:val="006152C6"/>
    <w:rsid w:val="00615976"/>
    <w:rsid w:val="006164C2"/>
    <w:rsid w:val="00624EB1"/>
    <w:rsid w:val="00627DF9"/>
    <w:rsid w:val="0063427B"/>
    <w:rsid w:val="00635DF1"/>
    <w:rsid w:val="00640D4D"/>
    <w:rsid w:val="00641D03"/>
    <w:rsid w:val="00642CB4"/>
    <w:rsid w:val="006465B6"/>
    <w:rsid w:val="006518A9"/>
    <w:rsid w:val="006523B6"/>
    <w:rsid w:val="00652B98"/>
    <w:rsid w:val="00652F4E"/>
    <w:rsid w:val="006603E3"/>
    <w:rsid w:val="0066183C"/>
    <w:rsid w:val="00661982"/>
    <w:rsid w:val="006633E8"/>
    <w:rsid w:val="00670ACA"/>
    <w:rsid w:val="0067230D"/>
    <w:rsid w:val="006727F5"/>
    <w:rsid w:val="00672899"/>
    <w:rsid w:val="00674C7D"/>
    <w:rsid w:val="00676735"/>
    <w:rsid w:val="00676DE9"/>
    <w:rsid w:val="00691179"/>
    <w:rsid w:val="00691EAA"/>
    <w:rsid w:val="006924F6"/>
    <w:rsid w:val="00696A5D"/>
    <w:rsid w:val="006977CA"/>
    <w:rsid w:val="006A4949"/>
    <w:rsid w:val="006B5200"/>
    <w:rsid w:val="006B6561"/>
    <w:rsid w:val="006B6F0D"/>
    <w:rsid w:val="006B723F"/>
    <w:rsid w:val="006C7B63"/>
    <w:rsid w:val="006D0FAB"/>
    <w:rsid w:val="006D3D60"/>
    <w:rsid w:val="006D4141"/>
    <w:rsid w:val="006D75C4"/>
    <w:rsid w:val="006F0D9A"/>
    <w:rsid w:val="006F24A3"/>
    <w:rsid w:val="006F37F3"/>
    <w:rsid w:val="006F4F21"/>
    <w:rsid w:val="006F5435"/>
    <w:rsid w:val="0070773C"/>
    <w:rsid w:val="007215EF"/>
    <w:rsid w:val="007326B5"/>
    <w:rsid w:val="0073325C"/>
    <w:rsid w:val="00734721"/>
    <w:rsid w:val="00737F81"/>
    <w:rsid w:val="00743639"/>
    <w:rsid w:val="00750786"/>
    <w:rsid w:val="007519FC"/>
    <w:rsid w:val="00752752"/>
    <w:rsid w:val="00756A0F"/>
    <w:rsid w:val="007602D3"/>
    <w:rsid w:val="0076237B"/>
    <w:rsid w:val="00764959"/>
    <w:rsid w:val="00764BC6"/>
    <w:rsid w:val="0076656C"/>
    <w:rsid w:val="00766A88"/>
    <w:rsid w:val="007748E6"/>
    <w:rsid w:val="00775FC7"/>
    <w:rsid w:val="007761EE"/>
    <w:rsid w:val="00776F89"/>
    <w:rsid w:val="00777520"/>
    <w:rsid w:val="00781D90"/>
    <w:rsid w:val="00783CE0"/>
    <w:rsid w:val="007844F7"/>
    <w:rsid w:val="007850C4"/>
    <w:rsid w:val="007871AA"/>
    <w:rsid w:val="00787E14"/>
    <w:rsid w:val="00792D7C"/>
    <w:rsid w:val="0079693D"/>
    <w:rsid w:val="00797943"/>
    <w:rsid w:val="007A2469"/>
    <w:rsid w:val="007A621B"/>
    <w:rsid w:val="007B1F1E"/>
    <w:rsid w:val="007B4E45"/>
    <w:rsid w:val="007C33F5"/>
    <w:rsid w:val="007D311C"/>
    <w:rsid w:val="007D6877"/>
    <w:rsid w:val="007D6C0D"/>
    <w:rsid w:val="007D71AA"/>
    <w:rsid w:val="007F162D"/>
    <w:rsid w:val="007F5522"/>
    <w:rsid w:val="0081318A"/>
    <w:rsid w:val="00820F33"/>
    <w:rsid w:val="00823812"/>
    <w:rsid w:val="008264EB"/>
    <w:rsid w:val="00826860"/>
    <w:rsid w:val="008319EC"/>
    <w:rsid w:val="0083363A"/>
    <w:rsid w:val="00834004"/>
    <w:rsid w:val="008368DB"/>
    <w:rsid w:val="00842FB7"/>
    <w:rsid w:val="00843AC1"/>
    <w:rsid w:val="00846A2D"/>
    <w:rsid w:val="00846E7A"/>
    <w:rsid w:val="00855DB1"/>
    <w:rsid w:val="00867A6D"/>
    <w:rsid w:val="008705F0"/>
    <w:rsid w:val="00872841"/>
    <w:rsid w:val="008744D5"/>
    <w:rsid w:val="00874D13"/>
    <w:rsid w:val="008827F8"/>
    <w:rsid w:val="00883530"/>
    <w:rsid w:val="00885093"/>
    <w:rsid w:val="00886E94"/>
    <w:rsid w:val="00891D00"/>
    <w:rsid w:val="00893710"/>
    <w:rsid w:val="008A3439"/>
    <w:rsid w:val="008A7234"/>
    <w:rsid w:val="008A7CB9"/>
    <w:rsid w:val="008B1427"/>
    <w:rsid w:val="008B28E8"/>
    <w:rsid w:val="008B629D"/>
    <w:rsid w:val="008B769E"/>
    <w:rsid w:val="008C268E"/>
    <w:rsid w:val="008C652B"/>
    <w:rsid w:val="008D4150"/>
    <w:rsid w:val="008D753F"/>
    <w:rsid w:val="008E1D46"/>
    <w:rsid w:val="008E551D"/>
    <w:rsid w:val="008F0B99"/>
    <w:rsid w:val="008F2F24"/>
    <w:rsid w:val="00902A34"/>
    <w:rsid w:val="009109E2"/>
    <w:rsid w:val="00913418"/>
    <w:rsid w:val="00917E71"/>
    <w:rsid w:val="00923219"/>
    <w:rsid w:val="00927698"/>
    <w:rsid w:val="00931399"/>
    <w:rsid w:val="009364C3"/>
    <w:rsid w:val="009451A6"/>
    <w:rsid w:val="00961CDD"/>
    <w:rsid w:val="00963935"/>
    <w:rsid w:val="00974EA1"/>
    <w:rsid w:val="00977829"/>
    <w:rsid w:val="009825A0"/>
    <w:rsid w:val="00982861"/>
    <w:rsid w:val="0098296B"/>
    <w:rsid w:val="00983721"/>
    <w:rsid w:val="00983F5F"/>
    <w:rsid w:val="00984D1D"/>
    <w:rsid w:val="00985027"/>
    <w:rsid w:val="009905F3"/>
    <w:rsid w:val="009916B5"/>
    <w:rsid w:val="00991AFF"/>
    <w:rsid w:val="0099237D"/>
    <w:rsid w:val="009A4C8B"/>
    <w:rsid w:val="009A6FF4"/>
    <w:rsid w:val="009A796E"/>
    <w:rsid w:val="009B0049"/>
    <w:rsid w:val="009B1250"/>
    <w:rsid w:val="009B519C"/>
    <w:rsid w:val="009B66E7"/>
    <w:rsid w:val="009B6E47"/>
    <w:rsid w:val="009D2E7F"/>
    <w:rsid w:val="009D7609"/>
    <w:rsid w:val="009D7661"/>
    <w:rsid w:val="009E5B4B"/>
    <w:rsid w:val="009F1017"/>
    <w:rsid w:val="009F1206"/>
    <w:rsid w:val="009F23CB"/>
    <w:rsid w:val="009F4281"/>
    <w:rsid w:val="009F4C87"/>
    <w:rsid w:val="009F69F3"/>
    <w:rsid w:val="009F7DAB"/>
    <w:rsid w:val="00A006B1"/>
    <w:rsid w:val="00A13607"/>
    <w:rsid w:val="00A13826"/>
    <w:rsid w:val="00A16665"/>
    <w:rsid w:val="00A177A5"/>
    <w:rsid w:val="00A17DDA"/>
    <w:rsid w:val="00A21743"/>
    <w:rsid w:val="00A25693"/>
    <w:rsid w:val="00A30A78"/>
    <w:rsid w:val="00A31604"/>
    <w:rsid w:val="00A3223C"/>
    <w:rsid w:val="00A33D7F"/>
    <w:rsid w:val="00A36A30"/>
    <w:rsid w:val="00A36B38"/>
    <w:rsid w:val="00A40C29"/>
    <w:rsid w:val="00A44C37"/>
    <w:rsid w:val="00A4512D"/>
    <w:rsid w:val="00A50AD3"/>
    <w:rsid w:val="00A51EE6"/>
    <w:rsid w:val="00A5481C"/>
    <w:rsid w:val="00A62D6A"/>
    <w:rsid w:val="00A66A2B"/>
    <w:rsid w:val="00A66C82"/>
    <w:rsid w:val="00A705AF"/>
    <w:rsid w:val="00A7161D"/>
    <w:rsid w:val="00A71B7A"/>
    <w:rsid w:val="00A81BE0"/>
    <w:rsid w:val="00A912D4"/>
    <w:rsid w:val="00A952FB"/>
    <w:rsid w:val="00AA3975"/>
    <w:rsid w:val="00AA4F32"/>
    <w:rsid w:val="00AA6EA4"/>
    <w:rsid w:val="00AB0E33"/>
    <w:rsid w:val="00AB357A"/>
    <w:rsid w:val="00AB368F"/>
    <w:rsid w:val="00AB485B"/>
    <w:rsid w:val="00AB5696"/>
    <w:rsid w:val="00AB5B5D"/>
    <w:rsid w:val="00AC1AA3"/>
    <w:rsid w:val="00AC23C0"/>
    <w:rsid w:val="00AC24DA"/>
    <w:rsid w:val="00AC34F0"/>
    <w:rsid w:val="00AC63B8"/>
    <w:rsid w:val="00AC6F9C"/>
    <w:rsid w:val="00AD31AE"/>
    <w:rsid w:val="00AD3F67"/>
    <w:rsid w:val="00AD5F04"/>
    <w:rsid w:val="00AE18A4"/>
    <w:rsid w:val="00AE24FE"/>
    <w:rsid w:val="00AE5F36"/>
    <w:rsid w:val="00AF59C2"/>
    <w:rsid w:val="00B0053C"/>
    <w:rsid w:val="00B041D6"/>
    <w:rsid w:val="00B06A59"/>
    <w:rsid w:val="00B06C4B"/>
    <w:rsid w:val="00B06D69"/>
    <w:rsid w:val="00B107D0"/>
    <w:rsid w:val="00B10F58"/>
    <w:rsid w:val="00B120D1"/>
    <w:rsid w:val="00B1665D"/>
    <w:rsid w:val="00B2045B"/>
    <w:rsid w:val="00B24480"/>
    <w:rsid w:val="00B352B9"/>
    <w:rsid w:val="00B3EC34"/>
    <w:rsid w:val="00B41913"/>
    <w:rsid w:val="00B421B2"/>
    <w:rsid w:val="00B4270C"/>
    <w:rsid w:val="00B42851"/>
    <w:rsid w:val="00B43DFA"/>
    <w:rsid w:val="00B44123"/>
    <w:rsid w:val="00B57300"/>
    <w:rsid w:val="00B64698"/>
    <w:rsid w:val="00B64B14"/>
    <w:rsid w:val="00B65E62"/>
    <w:rsid w:val="00B67189"/>
    <w:rsid w:val="00B71D0E"/>
    <w:rsid w:val="00B81F61"/>
    <w:rsid w:val="00B841FA"/>
    <w:rsid w:val="00B8490F"/>
    <w:rsid w:val="00B90044"/>
    <w:rsid w:val="00B91D3C"/>
    <w:rsid w:val="00B92BD4"/>
    <w:rsid w:val="00B93126"/>
    <w:rsid w:val="00B94280"/>
    <w:rsid w:val="00BA0573"/>
    <w:rsid w:val="00BA29B3"/>
    <w:rsid w:val="00BA32FB"/>
    <w:rsid w:val="00BA64CF"/>
    <w:rsid w:val="00BA71E7"/>
    <w:rsid w:val="00BB301F"/>
    <w:rsid w:val="00BB7BD9"/>
    <w:rsid w:val="00BC4073"/>
    <w:rsid w:val="00BC7B0E"/>
    <w:rsid w:val="00BD2235"/>
    <w:rsid w:val="00BD665C"/>
    <w:rsid w:val="00BD7524"/>
    <w:rsid w:val="00BE2468"/>
    <w:rsid w:val="00BE3CC6"/>
    <w:rsid w:val="00BF1FC1"/>
    <w:rsid w:val="00BF2B48"/>
    <w:rsid w:val="00BF34CD"/>
    <w:rsid w:val="00BF739B"/>
    <w:rsid w:val="00C01D56"/>
    <w:rsid w:val="00C025A0"/>
    <w:rsid w:val="00C15C28"/>
    <w:rsid w:val="00C26CF8"/>
    <w:rsid w:val="00C27024"/>
    <w:rsid w:val="00C3371B"/>
    <w:rsid w:val="00C40AEC"/>
    <w:rsid w:val="00C461C3"/>
    <w:rsid w:val="00C4642B"/>
    <w:rsid w:val="00C55B04"/>
    <w:rsid w:val="00C55D6F"/>
    <w:rsid w:val="00C617E9"/>
    <w:rsid w:val="00C65464"/>
    <w:rsid w:val="00C66545"/>
    <w:rsid w:val="00C66FAD"/>
    <w:rsid w:val="00C71A52"/>
    <w:rsid w:val="00C82137"/>
    <w:rsid w:val="00C835D7"/>
    <w:rsid w:val="00C8554A"/>
    <w:rsid w:val="00C86BE6"/>
    <w:rsid w:val="00C87174"/>
    <w:rsid w:val="00C93BFE"/>
    <w:rsid w:val="00C94930"/>
    <w:rsid w:val="00CA06A3"/>
    <w:rsid w:val="00CA105B"/>
    <w:rsid w:val="00CA24F6"/>
    <w:rsid w:val="00CA49B6"/>
    <w:rsid w:val="00CA5DA7"/>
    <w:rsid w:val="00CA7A1B"/>
    <w:rsid w:val="00CB0AFF"/>
    <w:rsid w:val="00CB2FAD"/>
    <w:rsid w:val="00CB3A14"/>
    <w:rsid w:val="00CB4C13"/>
    <w:rsid w:val="00CB5B1A"/>
    <w:rsid w:val="00CC0BFF"/>
    <w:rsid w:val="00CD0C70"/>
    <w:rsid w:val="00CD34DC"/>
    <w:rsid w:val="00CD4AC2"/>
    <w:rsid w:val="00CE0D20"/>
    <w:rsid w:val="00CE1346"/>
    <w:rsid w:val="00CE1A60"/>
    <w:rsid w:val="00CE3617"/>
    <w:rsid w:val="00CE3658"/>
    <w:rsid w:val="00CF1008"/>
    <w:rsid w:val="00D02886"/>
    <w:rsid w:val="00D04189"/>
    <w:rsid w:val="00D071F7"/>
    <w:rsid w:val="00D07522"/>
    <w:rsid w:val="00D10013"/>
    <w:rsid w:val="00D10CFD"/>
    <w:rsid w:val="00D22D32"/>
    <w:rsid w:val="00D2518C"/>
    <w:rsid w:val="00D32DDC"/>
    <w:rsid w:val="00D33167"/>
    <w:rsid w:val="00D34AD0"/>
    <w:rsid w:val="00D364B3"/>
    <w:rsid w:val="00D403F0"/>
    <w:rsid w:val="00D40E2B"/>
    <w:rsid w:val="00D42A9A"/>
    <w:rsid w:val="00D458E0"/>
    <w:rsid w:val="00D51816"/>
    <w:rsid w:val="00D54FDA"/>
    <w:rsid w:val="00D63F59"/>
    <w:rsid w:val="00D6472A"/>
    <w:rsid w:val="00D67F34"/>
    <w:rsid w:val="00D73717"/>
    <w:rsid w:val="00D81B6B"/>
    <w:rsid w:val="00D81C6C"/>
    <w:rsid w:val="00D908B7"/>
    <w:rsid w:val="00D929B9"/>
    <w:rsid w:val="00D93A8C"/>
    <w:rsid w:val="00DA7304"/>
    <w:rsid w:val="00DC2F55"/>
    <w:rsid w:val="00DC590D"/>
    <w:rsid w:val="00DC73AA"/>
    <w:rsid w:val="00DD0878"/>
    <w:rsid w:val="00DD1480"/>
    <w:rsid w:val="00DD3539"/>
    <w:rsid w:val="00DD4A22"/>
    <w:rsid w:val="00DD59D3"/>
    <w:rsid w:val="00DD5B70"/>
    <w:rsid w:val="00DD72CA"/>
    <w:rsid w:val="00DE0581"/>
    <w:rsid w:val="00DE1177"/>
    <w:rsid w:val="00DE28BE"/>
    <w:rsid w:val="00DE4D31"/>
    <w:rsid w:val="00DE5628"/>
    <w:rsid w:val="00DE57F8"/>
    <w:rsid w:val="00DE5D2F"/>
    <w:rsid w:val="00DE6CE3"/>
    <w:rsid w:val="00DE768B"/>
    <w:rsid w:val="00DE7D48"/>
    <w:rsid w:val="00DF133D"/>
    <w:rsid w:val="00DF2453"/>
    <w:rsid w:val="00DF7741"/>
    <w:rsid w:val="00DF782A"/>
    <w:rsid w:val="00E000B7"/>
    <w:rsid w:val="00E04D29"/>
    <w:rsid w:val="00E06797"/>
    <w:rsid w:val="00E06ACB"/>
    <w:rsid w:val="00E06EB0"/>
    <w:rsid w:val="00E07931"/>
    <w:rsid w:val="00E10885"/>
    <w:rsid w:val="00E228B6"/>
    <w:rsid w:val="00E23CA6"/>
    <w:rsid w:val="00E36A29"/>
    <w:rsid w:val="00E40153"/>
    <w:rsid w:val="00E4512B"/>
    <w:rsid w:val="00E61908"/>
    <w:rsid w:val="00E63662"/>
    <w:rsid w:val="00E64399"/>
    <w:rsid w:val="00E64AAE"/>
    <w:rsid w:val="00E6520E"/>
    <w:rsid w:val="00E7099F"/>
    <w:rsid w:val="00E71AA8"/>
    <w:rsid w:val="00E7539D"/>
    <w:rsid w:val="00E7693F"/>
    <w:rsid w:val="00E774B2"/>
    <w:rsid w:val="00E77573"/>
    <w:rsid w:val="00E80E04"/>
    <w:rsid w:val="00E8287C"/>
    <w:rsid w:val="00E83772"/>
    <w:rsid w:val="00E83C5B"/>
    <w:rsid w:val="00E9211A"/>
    <w:rsid w:val="00EA20B4"/>
    <w:rsid w:val="00EA221D"/>
    <w:rsid w:val="00EB1585"/>
    <w:rsid w:val="00ED3505"/>
    <w:rsid w:val="00ED4666"/>
    <w:rsid w:val="00ED474A"/>
    <w:rsid w:val="00ED68FC"/>
    <w:rsid w:val="00EE583C"/>
    <w:rsid w:val="00EE6889"/>
    <w:rsid w:val="00EF034D"/>
    <w:rsid w:val="00EF0ED0"/>
    <w:rsid w:val="00EF5305"/>
    <w:rsid w:val="00F00AD5"/>
    <w:rsid w:val="00F03441"/>
    <w:rsid w:val="00F0554D"/>
    <w:rsid w:val="00F11DC1"/>
    <w:rsid w:val="00F151D2"/>
    <w:rsid w:val="00F15390"/>
    <w:rsid w:val="00F2032C"/>
    <w:rsid w:val="00F22C97"/>
    <w:rsid w:val="00F23C53"/>
    <w:rsid w:val="00F255EF"/>
    <w:rsid w:val="00F26725"/>
    <w:rsid w:val="00F26EDE"/>
    <w:rsid w:val="00F3610E"/>
    <w:rsid w:val="00F40BE7"/>
    <w:rsid w:val="00F410B0"/>
    <w:rsid w:val="00F50BA0"/>
    <w:rsid w:val="00F50FEB"/>
    <w:rsid w:val="00F6020A"/>
    <w:rsid w:val="00F60DF4"/>
    <w:rsid w:val="00F630BD"/>
    <w:rsid w:val="00F638BD"/>
    <w:rsid w:val="00F63D02"/>
    <w:rsid w:val="00F72136"/>
    <w:rsid w:val="00F8060C"/>
    <w:rsid w:val="00F84137"/>
    <w:rsid w:val="00F84ECB"/>
    <w:rsid w:val="00F864FE"/>
    <w:rsid w:val="00F865DE"/>
    <w:rsid w:val="00F9158F"/>
    <w:rsid w:val="00F94D5B"/>
    <w:rsid w:val="00F957BE"/>
    <w:rsid w:val="00F96AE4"/>
    <w:rsid w:val="00FA6B00"/>
    <w:rsid w:val="00FB08CB"/>
    <w:rsid w:val="00FB2BDF"/>
    <w:rsid w:val="00FB4F32"/>
    <w:rsid w:val="00FB5063"/>
    <w:rsid w:val="00FB5F56"/>
    <w:rsid w:val="00FB5F68"/>
    <w:rsid w:val="00FD3DB6"/>
    <w:rsid w:val="00FE0ABC"/>
    <w:rsid w:val="00FE23AE"/>
    <w:rsid w:val="00FF08C4"/>
    <w:rsid w:val="00FF0F5E"/>
    <w:rsid w:val="00FF1BCD"/>
    <w:rsid w:val="00FF5344"/>
    <w:rsid w:val="00FF6B57"/>
    <w:rsid w:val="0AB29E7D"/>
    <w:rsid w:val="0B96A7A8"/>
    <w:rsid w:val="10F07102"/>
    <w:rsid w:val="13D50386"/>
    <w:rsid w:val="15AC5213"/>
    <w:rsid w:val="160F5C84"/>
    <w:rsid w:val="1783B14C"/>
    <w:rsid w:val="1883DE82"/>
    <w:rsid w:val="1BBDB465"/>
    <w:rsid w:val="1F8FD562"/>
    <w:rsid w:val="222255A2"/>
    <w:rsid w:val="24D5DAEB"/>
    <w:rsid w:val="26497C95"/>
    <w:rsid w:val="268F4CCF"/>
    <w:rsid w:val="26EFD2AB"/>
    <w:rsid w:val="2705142B"/>
    <w:rsid w:val="29199437"/>
    <w:rsid w:val="29D343AF"/>
    <w:rsid w:val="2AF92C97"/>
    <w:rsid w:val="2C983ACA"/>
    <w:rsid w:val="2CC044CB"/>
    <w:rsid w:val="2DBD4DCE"/>
    <w:rsid w:val="2DF9D69E"/>
    <w:rsid w:val="2E15264A"/>
    <w:rsid w:val="33C54524"/>
    <w:rsid w:val="3865E5ED"/>
    <w:rsid w:val="38B87336"/>
    <w:rsid w:val="39F3C368"/>
    <w:rsid w:val="3A01B64E"/>
    <w:rsid w:val="3A202770"/>
    <w:rsid w:val="3AC43BCC"/>
    <w:rsid w:val="3E55C6A9"/>
    <w:rsid w:val="3F916FA6"/>
    <w:rsid w:val="4079941B"/>
    <w:rsid w:val="42DAF291"/>
    <w:rsid w:val="42E29B81"/>
    <w:rsid w:val="4807F89B"/>
    <w:rsid w:val="51802754"/>
    <w:rsid w:val="525B28CF"/>
    <w:rsid w:val="534ED9D5"/>
    <w:rsid w:val="55A41C7D"/>
    <w:rsid w:val="58ED674F"/>
    <w:rsid w:val="5933EDF0"/>
    <w:rsid w:val="5B15735F"/>
    <w:rsid w:val="5E04D342"/>
    <w:rsid w:val="5E7BA7CF"/>
    <w:rsid w:val="5FA66562"/>
    <w:rsid w:val="61484CC4"/>
    <w:rsid w:val="628F0F82"/>
    <w:rsid w:val="658D54C8"/>
    <w:rsid w:val="68CDECAC"/>
    <w:rsid w:val="698AD967"/>
    <w:rsid w:val="6A844579"/>
    <w:rsid w:val="6CCF5510"/>
    <w:rsid w:val="6D5ACE49"/>
    <w:rsid w:val="6E44EF5C"/>
    <w:rsid w:val="6EB196D2"/>
    <w:rsid w:val="71A4ADB8"/>
    <w:rsid w:val="7C840F9E"/>
    <w:rsid w:val="7C8995CC"/>
    <w:rsid w:val="7CE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1BD07"/>
  <w15:docId w15:val="{9A42B018-8142-4600-B15F-DDBA407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6B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0B25"/>
    <w:pPr>
      <w:keepNext/>
      <w:spacing w:before="120" w:after="120"/>
      <w:outlineLvl w:val="2"/>
    </w:pPr>
    <w:rPr>
      <w:iCs/>
      <w:color w:val="auto"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qFormat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"/>
    <w:autoRedefine/>
    <w:qFormat/>
    <w:rsid w:val="007326B5"/>
    <w:pPr>
      <w:pBdr>
        <w:left w:val="single" w:sz="48" w:space="8" w:color="57259F"/>
      </w:pBdr>
      <w:spacing w:before="200" w:after="20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7326B5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next w:val="Normal"/>
    <w:uiPriority w:val="35"/>
    <w:unhideWhenUsed/>
    <w:qFormat/>
    <w:rsid w:val="001E0B25"/>
    <w:pPr>
      <w:keepNext/>
      <w:spacing w:before="120" w:after="60" w:line="240" w:lineRule="auto"/>
    </w:pPr>
    <w:rPr>
      <w:rFonts w:ascii="Arial" w:eastAsia="Times New Roman" w:hAnsi="Arial" w:cs="Times New Roman"/>
      <w:b/>
      <w:bCs/>
      <w:color w:val="57259F"/>
      <w:sz w:val="20"/>
      <w:szCs w:val="16"/>
      <w:lang w:eastAsia="en-GB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0B25"/>
    <w:rPr>
      <w:rFonts w:ascii="Arial" w:eastAsia="Times New Roman" w:hAnsi="Arial" w:cs="Times New Roman"/>
      <w:b/>
      <w:iCs/>
      <w:spacing w:val="5"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AB485B"/>
    <w:pPr>
      <w:numPr>
        <w:numId w:val="4"/>
      </w:numPr>
      <w:spacing w:after="60"/>
      <w:ind w:left="357" w:hanging="357"/>
    </w:pPr>
    <w:rPr>
      <w:rFonts w:cs="Arial"/>
      <w:szCs w:val="20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E0B25"/>
    <w:rPr>
      <w:rFonts w:asciiTheme="minorHAnsi" w:eastAsiaTheme="minorEastAsia" w:hAnsiTheme="minorHAnsi" w:cstheme="minorBidi"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0B25"/>
    <w:rPr>
      <w:rFonts w:asciiTheme="minorHAnsi" w:eastAsiaTheme="minorEastAsia" w:hAnsiTheme="minorHAnsi" w:cstheme="minorBidi"/>
      <w:sz w:val="18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2D0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3C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F59C2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513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BeforeDash">
    <w:name w:val="BulletBeforeDash"/>
    <w:basedOn w:val="Normal"/>
    <w:rsid w:val="00A006B1"/>
    <w:pPr>
      <w:numPr>
        <w:numId w:val="41"/>
      </w:numPr>
    </w:pPr>
    <w:rPr>
      <w:rFonts w:ascii="Calibri" w:hAnsi="Calibri"/>
      <w:color w:val="000000"/>
      <w:sz w:val="22"/>
      <w:szCs w:val="20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05268"/>
    <w:rPr>
      <w:color w:val="605E5C"/>
      <w:shd w:val="clear" w:color="auto" w:fill="E1DFDD"/>
    </w:rPr>
  </w:style>
  <w:style w:type="paragraph" w:styleId="ListBullet">
    <w:name w:val="List Bullet"/>
    <w:basedOn w:val="Normal"/>
    <w:rsid w:val="007326B5"/>
    <w:pPr>
      <w:numPr>
        <w:numId w:val="40"/>
      </w:numPr>
      <w:spacing w:after="120"/>
    </w:pPr>
  </w:style>
  <w:style w:type="paragraph" w:styleId="ListBullet2">
    <w:name w:val="List Bullet 2"/>
    <w:basedOn w:val="Normal"/>
    <w:unhideWhenUsed/>
    <w:rsid w:val="007326B5"/>
    <w:pPr>
      <w:numPr>
        <w:numId w:val="42"/>
      </w:numPr>
      <w:contextualSpacing/>
    </w:pPr>
  </w:style>
  <w:style w:type="paragraph" w:styleId="Index9">
    <w:name w:val="index 9"/>
    <w:basedOn w:val="Normal"/>
    <w:next w:val="Normal"/>
    <w:autoRedefine/>
    <w:semiHidden/>
    <w:unhideWhenUsed/>
    <w:rsid w:val="007326B5"/>
    <w:pPr>
      <w:numPr>
        <w:numId w:val="50"/>
      </w:numPr>
    </w:pPr>
  </w:style>
  <w:style w:type="table" w:styleId="TableGridLight">
    <w:name w:val="Grid Table Light"/>
    <w:basedOn w:val="TableNormal"/>
    <w:uiPriority w:val="40"/>
    <w:rsid w:val="001E0B25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57259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initiatives-and-programs/covid-19-vaccines/advice-for-providers/clinical-guidance/clinical-recommenda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contents/vaccine-preventable-diseases/influenza-f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57D2274622C49AC7F258471B7929C" ma:contentTypeVersion="2" ma:contentTypeDescription="Create a new document." ma:contentTypeScope="" ma:versionID="6cb9e8898a4fd28b5d31b2e74d8cafef">
  <xsd:schema xmlns:xsd="http://www.w3.org/2001/XMLSchema" xmlns:xs="http://www.w3.org/2001/XMLSchema" xmlns:p="http://schemas.microsoft.com/office/2006/metadata/properties" xmlns:ns2="478edf85-d517-49fd-9c6f-13016199d983" targetNamespace="http://schemas.microsoft.com/office/2006/metadata/properties" ma:root="true" ma:fieldsID="16c2ddaa78686f3e68f81dbbc38f6167" ns2:_="">
    <xsd:import namespace="478edf85-d517-49fd-9c6f-13016199d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df85-d517-49fd-9c6f-13016199d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3F649B8F-5FBA-4641-9437-EB86E470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edf85-d517-49fd-9c6f-13016199d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213413-5D2B-4598-BD2F-AC2410D3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advice on seasonal influenza vaccines in 2023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advice on seasonal influenza vaccines in 2023</dc:title>
  <dc:subject>Immunisation</dc:subject>
  <dc:creator>Australian Government Department of Health and Aged Care</dc:creator>
  <cp:keywords>Immunisation; Influenza (flu); National Immunisation Program</cp:keywords>
  <cp:lastModifiedBy>Department of Health and Aged Care</cp:lastModifiedBy>
  <cp:revision>2</cp:revision>
  <cp:lastPrinted>2022-02-21T02:33:00Z</cp:lastPrinted>
  <dcterms:created xsi:type="dcterms:W3CDTF">2023-03-07T07:30:00Z</dcterms:created>
  <dcterms:modified xsi:type="dcterms:W3CDTF">2023-03-07T07:30:00Z</dcterms:modified>
</cp:coreProperties>
</file>