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256B" w14:textId="7261976A" w:rsidR="00C30E2C" w:rsidRPr="00B6554A" w:rsidRDefault="00C30E2C" w:rsidP="00C30E2C">
      <w:pPr>
        <w:pStyle w:val="Title"/>
        <w:spacing w:before="1800"/>
        <w:rPr>
          <w:sz w:val="40"/>
          <w:szCs w:val="40"/>
        </w:rPr>
      </w:pPr>
      <w:r w:rsidRPr="00B6554A">
        <w:rPr>
          <w:color w:val="3E4975"/>
          <w:sz w:val="40"/>
          <w:szCs w:val="40"/>
        </w:rPr>
        <w:t>Prostheses</w:t>
      </w:r>
      <w:r w:rsidRPr="00B6554A">
        <w:rPr>
          <w:color w:val="3E4975"/>
          <w:spacing w:val="-11"/>
          <w:sz w:val="40"/>
          <w:szCs w:val="40"/>
        </w:rPr>
        <w:t xml:space="preserve"> </w:t>
      </w:r>
      <w:r w:rsidRPr="00B6554A">
        <w:rPr>
          <w:color w:val="3E4975"/>
          <w:sz w:val="40"/>
          <w:szCs w:val="40"/>
        </w:rPr>
        <w:t>List</w:t>
      </w:r>
      <w:r w:rsidRPr="00B6554A">
        <w:rPr>
          <w:color w:val="3E4975"/>
          <w:spacing w:val="-7"/>
          <w:sz w:val="40"/>
          <w:szCs w:val="40"/>
        </w:rPr>
        <w:t xml:space="preserve"> </w:t>
      </w:r>
      <w:r w:rsidRPr="00B6554A">
        <w:rPr>
          <w:color w:val="3E4975"/>
          <w:sz w:val="40"/>
          <w:szCs w:val="40"/>
        </w:rPr>
        <w:t>Reform</w:t>
      </w:r>
      <w:r w:rsidRPr="00B6554A">
        <w:rPr>
          <w:color w:val="3E4975"/>
          <w:spacing w:val="-8"/>
          <w:sz w:val="40"/>
          <w:szCs w:val="40"/>
        </w:rPr>
        <w:t xml:space="preserve"> </w:t>
      </w:r>
      <w:r w:rsidRPr="00B6554A">
        <w:rPr>
          <w:color w:val="3E4975"/>
          <w:sz w:val="40"/>
          <w:szCs w:val="40"/>
        </w:rPr>
        <w:t>Consultation Paper 4</w:t>
      </w:r>
      <w:r w:rsidR="00374F88">
        <w:rPr>
          <w:color w:val="3E4975"/>
          <w:sz w:val="40"/>
          <w:szCs w:val="40"/>
        </w:rPr>
        <w:t>(a) and 4</w:t>
      </w:r>
      <w:r w:rsidRPr="00B6554A">
        <w:rPr>
          <w:color w:val="3E4975"/>
          <w:sz w:val="40"/>
          <w:szCs w:val="40"/>
        </w:rPr>
        <w:t>(b)</w:t>
      </w:r>
      <w:r>
        <w:rPr>
          <w:color w:val="3E4975"/>
          <w:sz w:val="40"/>
          <w:szCs w:val="40"/>
        </w:rPr>
        <w:t xml:space="preserve"> – Stakeholder Feedback Report</w:t>
      </w:r>
    </w:p>
    <w:p w14:paraId="02914CE5" w14:textId="52B637F6" w:rsidR="00C30E2C" w:rsidRPr="00EF1EE8" w:rsidRDefault="00C30E2C" w:rsidP="00C30E2C">
      <w:pPr>
        <w:rPr>
          <w:rFonts w:cs="Arial"/>
          <w:bCs/>
          <w:color w:val="3F4A75"/>
          <w:kern w:val="28"/>
          <w:sz w:val="36"/>
          <w:szCs w:val="36"/>
        </w:rPr>
      </w:pPr>
      <w:r w:rsidRPr="00EF1EE8">
        <w:rPr>
          <w:color w:val="3E4975"/>
          <w:spacing w:val="12"/>
          <w:sz w:val="36"/>
          <w:szCs w:val="36"/>
        </w:rPr>
        <w:t>Legislative Amendment webinars</w:t>
      </w:r>
      <w:r w:rsidR="00D867F4" w:rsidRPr="00D867F4">
        <w:rPr>
          <w:color w:val="3E4975"/>
          <w:spacing w:val="12"/>
          <w:sz w:val="36"/>
          <w:szCs w:val="36"/>
        </w:rPr>
        <w:t xml:space="preserve"> </w:t>
      </w:r>
      <w:r w:rsidR="00D867F4" w:rsidRPr="00EF1EE8">
        <w:rPr>
          <w:color w:val="3E4975"/>
          <w:spacing w:val="12"/>
          <w:sz w:val="36"/>
          <w:szCs w:val="36"/>
        </w:rPr>
        <w:t xml:space="preserve">and Exposure </w:t>
      </w:r>
      <w:r w:rsidR="00D867F4">
        <w:rPr>
          <w:color w:val="3E4975"/>
          <w:spacing w:val="12"/>
          <w:sz w:val="36"/>
          <w:szCs w:val="36"/>
        </w:rPr>
        <w:t>D</w:t>
      </w:r>
      <w:r w:rsidR="00D867F4" w:rsidRPr="00EF1EE8">
        <w:rPr>
          <w:color w:val="3E4975"/>
          <w:spacing w:val="12"/>
          <w:sz w:val="36"/>
          <w:szCs w:val="36"/>
        </w:rPr>
        <w:t>rafts</w:t>
      </w:r>
    </w:p>
    <w:p w14:paraId="57DE834D" w14:textId="77777777" w:rsidR="00CA79CF" w:rsidRDefault="00CA79CF"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p>
    <w:sdt>
      <w:sdtPr>
        <w:rPr>
          <w:rFonts w:ascii="Arial" w:eastAsia="Times New Roman" w:hAnsi="Arial" w:cs="Times New Roman"/>
          <w:color w:val="000000" w:themeColor="text1"/>
          <w:sz w:val="22"/>
          <w:szCs w:val="24"/>
          <w:lang w:val="en-AU"/>
        </w:rPr>
        <w:id w:val="-184759098"/>
        <w:docPartObj>
          <w:docPartGallery w:val="Table of Contents"/>
          <w:docPartUnique/>
        </w:docPartObj>
      </w:sdtPr>
      <w:sdtEndPr>
        <w:rPr>
          <w:b/>
          <w:bCs/>
          <w:noProof/>
        </w:rPr>
      </w:sdtEndPr>
      <w:sdtContent>
        <w:p w14:paraId="3D0366D9" w14:textId="7E14AEB0" w:rsidR="005922AA" w:rsidRDefault="005922AA">
          <w:pPr>
            <w:pStyle w:val="TOCHeading"/>
          </w:pPr>
          <w:r>
            <w:t>Contents</w:t>
          </w:r>
        </w:p>
        <w:p w14:paraId="50678C98" w14:textId="725ACCA3" w:rsidR="00FB2889" w:rsidRDefault="004620E1">
          <w:pPr>
            <w:pStyle w:val="TOC2"/>
            <w:tabs>
              <w:tab w:val="right" w:leader="dot" w:pos="9060"/>
            </w:tabs>
            <w:rPr>
              <w:rFonts w:asciiTheme="minorHAnsi" w:eastAsiaTheme="minorEastAsia" w:hAnsiTheme="minorHAnsi" w:cstheme="minorBidi"/>
              <w:noProof/>
              <w:color w:val="auto"/>
              <w:szCs w:val="22"/>
              <w:lang w:eastAsia="en-AU"/>
            </w:rPr>
          </w:pPr>
          <w:r>
            <w:rPr>
              <w:b/>
              <w:bCs/>
              <w:noProof/>
            </w:rPr>
            <w:fldChar w:fldCharType="begin"/>
          </w:r>
          <w:r>
            <w:rPr>
              <w:b/>
              <w:bCs/>
              <w:noProof/>
            </w:rPr>
            <w:instrText xml:space="preserve"> TOC \o "1-3" \h \z \t "Caption,4" </w:instrText>
          </w:r>
          <w:r>
            <w:rPr>
              <w:b/>
              <w:bCs/>
              <w:noProof/>
            </w:rPr>
            <w:fldChar w:fldCharType="separate"/>
          </w:r>
          <w:hyperlink w:anchor="_Toc122696739" w:history="1">
            <w:r w:rsidR="00FB2889" w:rsidRPr="00086DB8">
              <w:rPr>
                <w:rStyle w:val="Hyperlink"/>
                <w:noProof/>
              </w:rPr>
              <w:t>Introduction</w:t>
            </w:r>
            <w:r w:rsidR="00FB2889">
              <w:rPr>
                <w:noProof/>
                <w:webHidden/>
              </w:rPr>
              <w:tab/>
            </w:r>
            <w:r w:rsidR="00FB2889">
              <w:rPr>
                <w:noProof/>
                <w:webHidden/>
              </w:rPr>
              <w:fldChar w:fldCharType="begin"/>
            </w:r>
            <w:r w:rsidR="00FB2889">
              <w:rPr>
                <w:noProof/>
                <w:webHidden/>
              </w:rPr>
              <w:instrText xml:space="preserve"> PAGEREF _Toc122696739 \h </w:instrText>
            </w:r>
            <w:r w:rsidR="00FB2889">
              <w:rPr>
                <w:noProof/>
                <w:webHidden/>
              </w:rPr>
            </w:r>
            <w:r w:rsidR="00FB2889">
              <w:rPr>
                <w:noProof/>
                <w:webHidden/>
              </w:rPr>
              <w:fldChar w:fldCharType="separate"/>
            </w:r>
            <w:r w:rsidR="00374F88">
              <w:rPr>
                <w:noProof/>
                <w:webHidden/>
              </w:rPr>
              <w:t>3</w:t>
            </w:r>
            <w:r w:rsidR="00FB2889">
              <w:rPr>
                <w:noProof/>
                <w:webHidden/>
              </w:rPr>
              <w:fldChar w:fldCharType="end"/>
            </w:r>
          </w:hyperlink>
        </w:p>
        <w:p w14:paraId="2F89830E" w14:textId="380581B6" w:rsidR="00FB2889" w:rsidRDefault="005E6358">
          <w:pPr>
            <w:pStyle w:val="TOC2"/>
            <w:tabs>
              <w:tab w:val="right" w:leader="dot" w:pos="9060"/>
            </w:tabs>
            <w:rPr>
              <w:rFonts w:asciiTheme="minorHAnsi" w:eastAsiaTheme="minorEastAsia" w:hAnsiTheme="minorHAnsi" w:cstheme="minorBidi"/>
              <w:noProof/>
              <w:color w:val="auto"/>
              <w:szCs w:val="22"/>
              <w:lang w:eastAsia="en-AU"/>
            </w:rPr>
          </w:pPr>
          <w:hyperlink w:anchor="_Toc122696740" w:history="1">
            <w:r w:rsidR="00FB2889" w:rsidRPr="00086DB8">
              <w:rPr>
                <w:rStyle w:val="Hyperlink"/>
                <w:noProof/>
              </w:rPr>
              <w:t>PL reform webinars – proposed legislative amendments</w:t>
            </w:r>
            <w:r w:rsidR="00FB2889">
              <w:rPr>
                <w:noProof/>
                <w:webHidden/>
              </w:rPr>
              <w:tab/>
            </w:r>
            <w:r w:rsidR="00FB2889">
              <w:rPr>
                <w:noProof/>
                <w:webHidden/>
              </w:rPr>
              <w:fldChar w:fldCharType="begin"/>
            </w:r>
            <w:r w:rsidR="00FB2889">
              <w:rPr>
                <w:noProof/>
                <w:webHidden/>
              </w:rPr>
              <w:instrText xml:space="preserve"> PAGEREF _Toc122696740 \h </w:instrText>
            </w:r>
            <w:r w:rsidR="00FB2889">
              <w:rPr>
                <w:noProof/>
                <w:webHidden/>
              </w:rPr>
            </w:r>
            <w:r w:rsidR="00FB2889">
              <w:rPr>
                <w:noProof/>
                <w:webHidden/>
              </w:rPr>
              <w:fldChar w:fldCharType="separate"/>
            </w:r>
            <w:r w:rsidR="00374F88">
              <w:rPr>
                <w:noProof/>
                <w:webHidden/>
              </w:rPr>
              <w:t>3</w:t>
            </w:r>
            <w:r w:rsidR="00FB2889">
              <w:rPr>
                <w:noProof/>
                <w:webHidden/>
              </w:rPr>
              <w:fldChar w:fldCharType="end"/>
            </w:r>
          </w:hyperlink>
        </w:p>
        <w:p w14:paraId="49757B3D" w14:textId="6151420E" w:rsidR="00FB2889" w:rsidRDefault="005E6358">
          <w:pPr>
            <w:pStyle w:val="TOC3"/>
            <w:tabs>
              <w:tab w:val="right" w:leader="dot" w:pos="9060"/>
            </w:tabs>
            <w:rPr>
              <w:rFonts w:asciiTheme="minorHAnsi" w:eastAsiaTheme="minorEastAsia" w:hAnsiTheme="minorHAnsi" w:cstheme="minorBidi"/>
              <w:noProof/>
              <w:color w:val="auto"/>
              <w:szCs w:val="22"/>
              <w:lang w:eastAsia="en-AU"/>
            </w:rPr>
          </w:pPr>
          <w:hyperlink w:anchor="_Toc122696741" w:history="1">
            <w:r w:rsidR="00FB2889" w:rsidRPr="00086DB8">
              <w:rPr>
                <w:rStyle w:val="Hyperlink"/>
                <w:noProof/>
              </w:rPr>
              <w:t>Webinar overview</w:t>
            </w:r>
            <w:r w:rsidR="00FB2889">
              <w:rPr>
                <w:noProof/>
                <w:webHidden/>
              </w:rPr>
              <w:tab/>
            </w:r>
            <w:r w:rsidR="00FB2889">
              <w:rPr>
                <w:noProof/>
                <w:webHidden/>
              </w:rPr>
              <w:fldChar w:fldCharType="begin"/>
            </w:r>
            <w:r w:rsidR="00FB2889">
              <w:rPr>
                <w:noProof/>
                <w:webHidden/>
              </w:rPr>
              <w:instrText xml:space="preserve"> PAGEREF _Toc122696741 \h </w:instrText>
            </w:r>
            <w:r w:rsidR="00FB2889">
              <w:rPr>
                <w:noProof/>
                <w:webHidden/>
              </w:rPr>
            </w:r>
            <w:r w:rsidR="00FB2889">
              <w:rPr>
                <w:noProof/>
                <w:webHidden/>
              </w:rPr>
              <w:fldChar w:fldCharType="separate"/>
            </w:r>
            <w:r w:rsidR="00374F88">
              <w:rPr>
                <w:noProof/>
                <w:webHidden/>
              </w:rPr>
              <w:t>3</w:t>
            </w:r>
            <w:r w:rsidR="00FB2889">
              <w:rPr>
                <w:noProof/>
                <w:webHidden/>
              </w:rPr>
              <w:fldChar w:fldCharType="end"/>
            </w:r>
          </w:hyperlink>
        </w:p>
        <w:p w14:paraId="3B05B41E" w14:textId="37F7BDFA" w:rsidR="00FB2889" w:rsidRDefault="005E6358">
          <w:pPr>
            <w:pStyle w:val="TOC4"/>
            <w:tabs>
              <w:tab w:val="right" w:leader="dot" w:pos="9060"/>
            </w:tabs>
            <w:rPr>
              <w:rFonts w:asciiTheme="minorHAnsi" w:eastAsiaTheme="minorEastAsia" w:hAnsiTheme="minorHAnsi" w:cstheme="minorBidi"/>
              <w:noProof/>
              <w:color w:val="auto"/>
              <w:szCs w:val="22"/>
              <w:lang w:eastAsia="en-AU"/>
            </w:rPr>
          </w:pPr>
          <w:hyperlink w:anchor="_Toc122696742" w:history="1">
            <w:r w:rsidR="00FB2889" w:rsidRPr="00086DB8">
              <w:rPr>
                <w:rStyle w:val="Hyperlink"/>
                <w:noProof/>
              </w:rPr>
              <w:t>Figure 1 Number of questions and responses from the webinars 1-3 from SLIDO</w:t>
            </w:r>
            <w:r w:rsidR="00FB2889">
              <w:rPr>
                <w:noProof/>
                <w:webHidden/>
              </w:rPr>
              <w:tab/>
            </w:r>
            <w:r w:rsidR="00FB2889">
              <w:rPr>
                <w:noProof/>
                <w:webHidden/>
              </w:rPr>
              <w:fldChar w:fldCharType="begin"/>
            </w:r>
            <w:r w:rsidR="00FB2889">
              <w:rPr>
                <w:noProof/>
                <w:webHidden/>
              </w:rPr>
              <w:instrText xml:space="preserve"> PAGEREF _Toc122696742 \h </w:instrText>
            </w:r>
            <w:r w:rsidR="00FB2889">
              <w:rPr>
                <w:noProof/>
                <w:webHidden/>
              </w:rPr>
            </w:r>
            <w:r w:rsidR="00FB2889">
              <w:rPr>
                <w:noProof/>
                <w:webHidden/>
              </w:rPr>
              <w:fldChar w:fldCharType="separate"/>
            </w:r>
            <w:r w:rsidR="00374F88">
              <w:rPr>
                <w:noProof/>
                <w:webHidden/>
              </w:rPr>
              <w:t>4</w:t>
            </w:r>
            <w:r w:rsidR="00FB2889">
              <w:rPr>
                <w:noProof/>
                <w:webHidden/>
              </w:rPr>
              <w:fldChar w:fldCharType="end"/>
            </w:r>
          </w:hyperlink>
        </w:p>
        <w:p w14:paraId="64DBBE62" w14:textId="24676C96" w:rsidR="00FB2889" w:rsidRDefault="005E6358">
          <w:pPr>
            <w:pStyle w:val="TOC3"/>
            <w:tabs>
              <w:tab w:val="right" w:leader="dot" w:pos="9060"/>
            </w:tabs>
            <w:rPr>
              <w:rFonts w:asciiTheme="minorHAnsi" w:eastAsiaTheme="minorEastAsia" w:hAnsiTheme="minorHAnsi" w:cstheme="minorBidi"/>
              <w:noProof/>
              <w:color w:val="auto"/>
              <w:szCs w:val="22"/>
              <w:lang w:eastAsia="en-AU"/>
            </w:rPr>
          </w:pPr>
          <w:hyperlink w:anchor="_Toc122696743" w:history="1">
            <w:r w:rsidR="00FB2889" w:rsidRPr="00086DB8">
              <w:rPr>
                <w:rStyle w:val="Hyperlink"/>
                <w:noProof/>
              </w:rPr>
              <w:t>Webinar responses</w:t>
            </w:r>
            <w:r w:rsidR="00FB2889">
              <w:rPr>
                <w:noProof/>
                <w:webHidden/>
              </w:rPr>
              <w:tab/>
            </w:r>
            <w:r w:rsidR="00FB2889">
              <w:rPr>
                <w:noProof/>
                <w:webHidden/>
              </w:rPr>
              <w:fldChar w:fldCharType="begin"/>
            </w:r>
            <w:r w:rsidR="00FB2889">
              <w:rPr>
                <w:noProof/>
                <w:webHidden/>
              </w:rPr>
              <w:instrText xml:space="preserve"> PAGEREF _Toc122696743 \h </w:instrText>
            </w:r>
            <w:r w:rsidR="00FB2889">
              <w:rPr>
                <w:noProof/>
                <w:webHidden/>
              </w:rPr>
            </w:r>
            <w:r w:rsidR="00FB2889">
              <w:rPr>
                <w:noProof/>
                <w:webHidden/>
              </w:rPr>
              <w:fldChar w:fldCharType="separate"/>
            </w:r>
            <w:r w:rsidR="00374F88">
              <w:rPr>
                <w:noProof/>
                <w:webHidden/>
              </w:rPr>
              <w:t>4</w:t>
            </w:r>
            <w:r w:rsidR="00FB2889">
              <w:rPr>
                <w:noProof/>
                <w:webHidden/>
              </w:rPr>
              <w:fldChar w:fldCharType="end"/>
            </w:r>
          </w:hyperlink>
        </w:p>
        <w:p w14:paraId="5D23AD7C" w14:textId="432944B7" w:rsidR="00FB2889" w:rsidRDefault="005E6358">
          <w:pPr>
            <w:pStyle w:val="TOC4"/>
            <w:tabs>
              <w:tab w:val="right" w:leader="dot" w:pos="9060"/>
            </w:tabs>
            <w:rPr>
              <w:rFonts w:asciiTheme="minorHAnsi" w:eastAsiaTheme="minorEastAsia" w:hAnsiTheme="minorHAnsi" w:cstheme="minorBidi"/>
              <w:noProof/>
              <w:color w:val="auto"/>
              <w:szCs w:val="22"/>
              <w:lang w:eastAsia="en-AU"/>
            </w:rPr>
          </w:pPr>
          <w:hyperlink w:anchor="_Toc122696744" w:history="1">
            <w:r w:rsidR="00FB2889" w:rsidRPr="00086DB8">
              <w:rPr>
                <w:rStyle w:val="Hyperlink"/>
                <w:noProof/>
              </w:rPr>
              <w:t>Figure 2 Webinar 1</w:t>
            </w:r>
            <w:r w:rsidR="00FB2889">
              <w:rPr>
                <w:noProof/>
                <w:webHidden/>
              </w:rPr>
              <w:tab/>
            </w:r>
            <w:r w:rsidR="00FB2889">
              <w:rPr>
                <w:noProof/>
                <w:webHidden/>
              </w:rPr>
              <w:fldChar w:fldCharType="begin"/>
            </w:r>
            <w:r w:rsidR="00FB2889">
              <w:rPr>
                <w:noProof/>
                <w:webHidden/>
              </w:rPr>
              <w:instrText xml:space="preserve"> PAGEREF _Toc122696744 \h </w:instrText>
            </w:r>
            <w:r w:rsidR="00FB2889">
              <w:rPr>
                <w:noProof/>
                <w:webHidden/>
              </w:rPr>
            </w:r>
            <w:r w:rsidR="00FB2889">
              <w:rPr>
                <w:noProof/>
                <w:webHidden/>
              </w:rPr>
              <w:fldChar w:fldCharType="separate"/>
            </w:r>
            <w:r w:rsidR="00374F88">
              <w:rPr>
                <w:noProof/>
                <w:webHidden/>
              </w:rPr>
              <w:t>5</w:t>
            </w:r>
            <w:r w:rsidR="00FB2889">
              <w:rPr>
                <w:noProof/>
                <w:webHidden/>
              </w:rPr>
              <w:fldChar w:fldCharType="end"/>
            </w:r>
          </w:hyperlink>
        </w:p>
        <w:p w14:paraId="3CC35FDD" w14:textId="0C1748C5" w:rsidR="00FB2889" w:rsidRDefault="005E6358">
          <w:pPr>
            <w:pStyle w:val="TOC4"/>
            <w:tabs>
              <w:tab w:val="right" w:leader="dot" w:pos="9060"/>
            </w:tabs>
            <w:rPr>
              <w:rFonts w:asciiTheme="minorHAnsi" w:eastAsiaTheme="minorEastAsia" w:hAnsiTheme="minorHAnsi" w:cstheme="minorBidi"/>
              <w:noProof/>
              <w:color w:val="auto"/>
              <w:szCs w:val="22"/>
              <w:lang w:eastAsia="en-AU"/>
            </w:rPr>
          </w:pPr>
          <w:hyperlink w:anchor="_Toc122696745" w:history="1">
            <w:r w:rsidR="00FB2889" w:rsidRPr="00086DB8">
              <w:rPr>
                <w:rStyle w:val="Hyperlink"/>
                <w:noProof/>
              </w:rPr>
              <w:t>Figure 3 Webinar 2</w:t>
            </w:r>
            <w:r w:rsidR="00FB2889">
              <w:rPr>
                <w:noProof/>
                <w:webHidden/>
              </w:rPr>
              <w:tab/>
            </w:r>
            <w:r w:rsidR="00FB2889">
              <w:rPr>
                <w:noProof/>
                <w:webHidden/>
              </w:rPr>
              <w:fldChar w:fldCharType="begin"/>
            </w:r>
            <w:r w:rsidR="00FB2889">
              <w:rPr>
                <w:noProof/>
                <w:webHidden/>
              </w:rPr>
              <w:instrText xml:space="preserve"> PAGEREF _Toc122696745 \h </w:instrText>
            </w:r>
            <w:r w:rsidR="00FB2889">
              <w:rPr>
                <w:noProof/>
                <w:webHidden/>
              </w:rPr>
            </w:r>
            <w:r w:rsidR="00FB2889">
              <w:rPr>
                <w:noProof/>
                <w:webHidden/>
              </w:rPr>
              <w:fldChar w:fldCharType="separate"/>
            </w:r>
            <w:r w:rsidR="00374F88">
              <w:rPr>
                <w:noProof/>
                <w:webHidden/>
              </w:rPr>
              <w:t>5</w:t>
            </w:r>
            <w:r w:rsidR="00FB2889">
              <w:rPr>
                <w:noProof/>
                <w:webHidden/>
              </w:rPr>
              <w:fldChar w:fldCharType="end"/>
            </w:r>
          </w:hyperlink>
        </w:p>
        <w:p w14:paraId="2E4177C1" w14:textId="76C77609" w:rsidR="00FB2889" w:rsidRDefault="005E6358">
          <w:pPr>
            <w:pStyle w:val="TOC4"/>
            <w:tabs>
              <w:tab w:val="right" w:leader="dot" w:pos="9060"/>
            </w:tabs>
            <w:rPr>
              <w:rFonts w:asciiTheme="minorHAnsi" w:eastAsiaTheme="minorEastAsia" w:hAnsiTheme="minorHAnsi" w:cstheme="minorBidi"/>
              <w:noProof/>
              <w:color w:val="auto"/>
              <w:szCs w:val="22"/>
              <w:lang w:eastAsia="en-AU"/>
            </w:rPr>
          </w:pPr>
          <w:hyperlink w:anchor="_Toc122696746" w:history="1">
            <w:r w:rsidR="00FB2889" w:rsidRPr="00086DB8">
              <w:rPr>
                <w:rStyle w:val="Hyperlink"/>
                <w:noProof/>
              </w:rPr>
              <w:t>Figure 4 Webinar 3</w:t>
            </w:r>
            <w:r w:rsidR="00FB2889">
              <w:rPr>
                <w:noProof/>
                <w:webHidden/>
              </w:rPr>
              <w:tab/>
            </w:r>
            <w:r w:rsidR="00FB2889">
              <w:rPr>
                <w:noProof/>
                <w:webHidden/>
              </w:rPr>
              <w:fldChar w:fldCharType="begin"/>
            </w:r>
            <w:r w:rsidR="00FB2889">
              <w:rPr>
                <w:noProof/>
                <w:webHidden/>
              </w:rPr>
              <w:instrText xml:space="preserve"> PAGEREF _Toc122696746 \h </w:instrText>
            </w:r>
            <w:r w:rsidR="00FB2889">
              <w:rPr>
                <w:noProof/>
                <w:webHidden/>
              </w:rPr>
            </w:r>
            <w:r w:rsidR="00FB2889">
              <w:rPr>
                <w:noProof/>
                <w:webHidden/>
              </w:rPr>
              <w:fldChar w:fldCharType="separate"/>
            </w:r>
            <w:r w:rsidR="00374F88">
              <w:rPr>
                <w:noProof/>
                <w:webHidden/>
              </w:rPr>
              <w:t>6</w:t>
            </w:r>
            <w:r w:rsidR="00FB2889">
              <w:rPr>
                <w:noProof/>
                <w:webHidden/>
              </w:rPr>
              <w:fldChar w:fldCharType="end"/>
            </w:r>
          </w:hyperlink>
        </w:p>
        <w:p w14:paraId="209BF21E" w14:textId="6A5784A6" w:rsidR="00FB2889" w:rsidRDefault="005E6358">
          <w:pPr>
            <w:pStyle w:val="TOC2"/>
            <w:tabs>
              <w:tab w:val="right" w:leader="dot" w:pos="9060"/>
            </w:tabs>
            <w:rPr>
              <w:rFonts w:asciiTheme="minorHAnsi" w:eastAsiaTheme="minorEastAsia" w:hAnsiTheme="minorHAnsi" w:cstheme="minorBidi"/>
              <w:noProof/>
              <w:color w:val="auto"/>
              <w:szCs w:val="22"/>
              <w:lang w:eastAsia="en-AU"/>
            </w:rPr>
          </w:pPr>
          <w:hyperlink w:anchor="_Toc122696747" w:history="1">
            <w:r w:rsidR="00FB2889" w:rsidRPr="00086DB8">
              <w:rPr>
                <w:rStyle w:val="Hyperlink"/>
                <w:noProof/>
              </w:rPr>
              <w:t>Exposure Drafts</w:t>
            </w:r>
            <w:r w:rsidR="00FB2889">
              <w:rPr>
                <w:noProof/>
                <w:webHidden/>
              </w:rPr>
              <w:tab/>
            </w:r>
            <w:r w:rsidR="00FB2889">
              <w:rPr>
                <w:noProof/>
                <w:webHidden/>
              </w:rPr>
              <w:fldChar w:fldCharType="begin"/>
            </w:r>
            <w:r w:rsidR="00FB2889">
              <w:rPr>
                <w:noProof/>
                <w:webHidden/>
              </w:rPr>
              <w:instrText xml:space="preserve"> PAGEREF _Toc122696747 \h </w:instrText>
            </w:r>
            <w:r w:rsidR="00FB2889">
              <w:rPr>
                <w:noProof/>
                <w:webHidden/>
              </w:rPr>
            </w:r>
            <w:r w:rsidR="00FB2889">
              <w:rPr>
                <w:noProof/>
                <w:webHidden/>
              </w:rPr>
              <w:fldChar w:fldCharType="separate"/>
            </w:r>
            <w:r w:rsidR="00374F88">
              <w:rPr>
                <w:noProof/>
                <w:webHidden/>
              </w:rPr>
              <w:t>8</w:t>
            </w:r>
            <w:r w:rsidR="00FB2889">
              <w:rPr>
                <w:noProof/>
                <w:webHidden/>
              </w:rPr>
              <w:fldChar w:fldCharType="end"/>
            </w:r>
          </w:hyperlink>
        </w:p>
        <w:p w14:paraId="19A43BEC" w14:textId="0A988D2B" w:rsidR="00FB2889" w:rsidRDefault="005E6358">
          <w:pPr>
            <w:pStyle w:val="TOC2"/>
            <w:tabs>
              <w:tab w:val="right" w:leader="dot" w:pos="9060"/>
            </w:tabs>
            <w:rPr>
              <w:rFonts w:asciiTheme="minorHAnsi" w:eastAsiaTheme="minorEastAsia" w:hAnsiTheme="minorHAnsi" w:cstheme="minorBidi"/>
              <w:noProof/>
              <w:color w:val="auto"/>
              <w:szCs w:val="22"/>
              <w:lang w:eastAsia="en-AU"/>
            </w:rPr>
          </w:pPr>
          <w:hyperlink w:anchor="_Toc122696748" w:history="1">
            <w:r w:rsidR="00FB2889" w:rsidRPr="00086DB8">
              <w:rPr>
                <w:rStyle w:val="Hyperlink"/>
                <w:noProof/>
              </w:rPr>
              <w:t>Legislative Amendment Tranches</w:t>
            </w:r>
            <w:r w:rsidR="00FB2889">
              <w:rPr>
                <w:noProof/>
                <w:webHidden/>
              </w:rPr>
              <w:tab/>
            </w:r>
            <w:r w:rsidR="00FB2889">
              <w:rPr>
                <w:noProof/>
                <w:webHidden/>
              </w:rPr>
              <w:fldChar w:fldCharType="begin"/>
            </w:r>
            <w:r w:rsidR="00FB2889">
              <w:rPr>
                <w:noProof/>
                <w:webHidden/>
              </w:rPr>
              <w:instrText xml:space="preserve"> PAGEREF _Toc122696748 \h </w:instrText>
            </w:r>
            <w:r w:rsidR="00FB2889">
              <w:rPr>
                <w:noProof/>
                <w:webHidden/>
              </w:rPr>
            </w:r>
            <w:r w:rsidR="00FB2889">
              <w:rPr>
                <w:noProof/>
                <w:webHidden/>
              </w:rPr>
              <w:fldChar w:fldCharType="separate"/>
            </w:r>
            <w:r w:rsidR="00374F88">
              <w:rPr>
                <w:noProof/>
                <w:webHidden/>
              </w:rPr>
              <w:t>8</w:t>
            </w:r>
            <w:r w:rsidR="00FB2889">
              <w:rPr>
                <w:noProof/>
                <w:webHidden/>
              </w:rPr>
              <w:fldChar w:fldCharType="end"/>
            </w:r>
          </w:hyperlink>
        </w:p>
        <w:p w14:paraId="4C9B8A1A" w14:textId="6BA7A38A" w:rsidR="00FB2889" w:rsidRDefault="005E6358">
          <w:pPr>
            <w:pStyle w:val="TOC2"/>
            <w:tabs>
              <w:tab w:val="right" w:leader="dot" w:pos="9060"/>
            </w:tabs>
            <w:rPr>
              <w:rFonts w:asciiTheme="minorHAnsi" w:eastAsiaTheme="minorEastAsia" w:hAnsiTheme="minorHAnsi" w:cstheme="minorBidi"/>
              <w:noProof/>
              <w:color w:val="auto"/>
              <w:szCs w:val="22"/>
              <w:lang w:eastAsia="en-AU"/>
            </w:rPr>
          </w:pPr>
          <w:hyperlink w:anchor="_Toc122696749" w:history="1">
            <w:r w:rsidR="00FB2889" w:rsidRPr="00086DB8">
              <w:rPr>
                <w:rStyle w:val="Hyperlink"/>
                <w:noProof/>
              </w:rPr>
              <w:t>New Terminology</w:t>
            </w:r>
            <w:r w:rsidR="00FB2889">
              <w:rPr>
                <w:noProof/>
                <w:webHidden/>
              </w:rPr>
              <w:tab/>
            </w:r>
            <w:r w:rsidR="00FB2889">
              <w:rPr>
                <w:noProof/>
                <w:webHidden/>
              </w:rPr>
              <w:fldChar w:fldCharType="begin"/>
            </w:r>
            <w:r w:rsidR="00FB2889">
              <w:rPr>
                <w:noProof/>
                <w:webHidden/>
              </w:rPr>
              <w:instrText xml:space="preserve"> PAGEREF _Toc122696749 \h </w:instrText>
            </w:r>
            <w:r w:rsidR="00FB2889">
              <w:rPr>
                <w:noProof/>
                <w:webHidden/>
              </w:rPr>
            </w:r>
            <w:r w:rsidR="00FB2889">
              <w:rPr>
                <w:noProof/>
                <w:webHidden/>
              </w:rPr>
              <w:fldChar w:fldCharType="separate"/>
            </w:r>
            <w:r w:rsidR="00374F88">
              <w:rPr>
                <w:noProof/>
                <w:webHidden/>
              </w:rPr>
              <w:t>9</w:t>
            </w:r>
            <w:r w:rsidR="00FB2889">
              <w:rPr>
                <w:noProof/>
                <w:webHidden/>
              </w:rPr>
              <w:fldChar w:fldCharType="end"/>
            </w:r>
          </w:hyperlink>
        </w:p>
        <w:p w14:paraId="060DD839" w14:textId="1FE12E76" w:rsidR="00FB2889" w:rsidRDefault="005E6358">
          <w:pPr>
            <w:pStyle w:val="TOC2"/>
            <w:tabs>
              <w:tab w:val="right" w:leader="dot" w:pos="9060"/>
            </w:tabs>
            <w:rPr>
              <w:rFonts w:asciiTheme="minorHAnsi" w:eastAsiaTheme="minorEastAsia" w:hAnsiTheme="minorHAnsi" w:cstheme="minorBidi"/>
              <w:noProof/>
              <w:color w:val="auto"/>
              <w:szCs w:val="22"/>
              <w:lang w:eastAsia="en-AU"/>
            </w:rPr>
          </w:pPr>
          <w:hyperlink w:anchor="_Toc122696750" w:history="1">
            <w:r w:rsidR="00FB2889" w:rsidRPr="00086DB8">
              <w:rPr>
                <w:rStyle w:val="Hyperlink"/>
                <w:noProof/>
              </w:rPr>
              <w:t>Purpose of Exposure Drafts</w:t>
            </w:r>
            <w:r w:rsidR="00FB2889">
              <w:rPr>
                <w:noProof/>
                <w:webHidden/>
              </w:rPr>
              <w:tab/>
            </w:r>
            <w:r w:rsidR="00FB2889">
              <w:rPr>
                <w:noProof/>
                <w:webHidden/>
              </w:rPr>
              <w:fldChar w:fldCharType="begin"/>
            </w:r>
            <w:r w:rsidR="00FB2889">
              <w:rPr>
                <w:noProof/>
                <w:webHidden/>
              </w:rPr>
              <w:instrText xml:space="preserve"> PAGEREF _Toc122696750 \h </w:instrText>
            </w:r>
            <w:r w:rsidR="00FB2889">
              <w:rPr>
                <w:noProof/>
                <w:webHidden/>
              </w:rPr>
            </w:r>
            <w:r w:rsidR="00FB2889">
              <w:rPr>
                <w:noProof/>
                <w:webHidden/>
              </w:rPr>
              <w:fldChar w:fldCharType="separate"/>
            </w:r>
            <w:r w:rsidR="00374F88">
              <w:rPr>
                <w:noProof/>
                <w:webHidden/>
              </w:rPr>
              <w:t>9</w:t>
            </w:r>
            <w:r w:rsidR="00FB2889">
              <w:rPr>
                <w:noProof/>
                <w:webHidden/>
              </w:rPr>
              <w:fldChar w:fldCharType="end"/>
            </w:r>
          </w:hyperlink>
        </w:p>
        <w:p w14:paraId="5C2CAED7" w14:textId="6B08C4DF" w:rsidR="00FB2889" w:rsidRDefault="005E6358">
          <w:pPr>
            <w:pStyle w:val="TOC2"/>
            <w:tabs>
              <w:tab w:val="right" w:leader="dot" w:pos="9060"/>
            </w:tabs>
            <w:rPr>
              <w:rFonts w:asciiTheme="minorHAnsi" w:eastAsiaTheme="minorEastAsia" w:hAnsiTheme="minorHAnsi" w:cstheme="minorBidi"/>
              <w:noProof/>
              <w:color w:val="auto"/>
              <w:szCs w:val="22"/>
              <w:lang w:eastAsia="en-AU"/>
            </w:rPr>
          </w:pPr>
          <w:hyperlink w:anchor="_Toc122696751" w:history="1">
            <w:r w:rsidR="00FB2889" w:rsidRPr="00086DB8">
              <w:rPr>
                <w:rStyle w:val="Hyperlink"/>
                <w:noProof/>
              </w:rPr>
              <w:t>Status of the bills</w:t>
            </w:r>
            <w:r w:rsidR="00FB2889">
              <w:rPr>
                <w:noProof/>
                <w:webHidden/>
              </w:rPr>
              <w:tab/>
            </w:r>
            <w:r w:rsidR="00FB2889">
              <w:rPr>
                <w:noProof/>
                <w:webHidden/>
              </w:rPr>
              <w:fldChar w:fldCharType="begin"/>
            </w:r>
            <w:r w:rsidR="00FB2889">
              <w:rPr>
                <w:noProof/>
                <w:webHidden/>
              </w:rPr>
              <w:instrText xml:space="preserve"> PAGEREF _Toc122696751 \h </w:instrText>
            </w:r>
            <w:r w:rsidR="00FB2889">
              <w:rPr>
                <w:noProof/>
                <w:webHidden/>
              </w:rPr>
            </w:r>
            <w:r w:rsidR="00FB2889">
              <w:rPr>
                <w:noProof/>
                <w:webHidden/>
              </w:rPr>
              <w:fldChar w:fldCharType="separate"/>
            </w:r>
            <w:r w:rsidR="00374F88">
              <w:rPr>
                <w:noProof/>
                <w:webHidden/>
              </w:rPr>
              <w:t>9</w:t>
            </w:r>
            <w:r w:rsidR="00FB2889">
              <w:rPr>
                <w:noProof/>
                <w:webHidden/>
              </w:rPr>
              <w:fldChar w:fldCharType="end"/>
            </w:r>
          </w:hyperlink>
        </w:p>
        <w:p w14:paraId="393C476C" w14:textId="44E77B47" w:rsidR="00FB2889" w:rsidRDefault="005E6358">
          <w:pPr>
            <w:pStyle w:val="TOC2"/>
            <w:tabs>
              <w:tab w:val="right" w:leader="dot" w:pos="9060"/>
            </w:tabs>
            <w:rPr>
              <w:rFonts w:asciiTheme="minorHAnsi" w:eastAsiaTheme="minorEastAsia" w:hAnsiTheme="minorHAnsi" w:cstheme="minorBidi"/>
              <w:noProof/>
              <w:color w:val="auto"/>
              <w:szCs w:val="22"/>
              <w:lang w:eastAsia="en-AU"/>
            </w:rPr>
          </w:pPr>
          <w:hyperlink w:anchor="_Toc122696752" w:history="1">
            <w:r w:rsidR="00FB2889" w:rsidRPr="00086DB8">
              <w:rPr>
                <w:rStyle w:val="Hyperlink"/>
                <w:noProof/>
              </w:rPr>
              <w:t>Exposure Drafts for legislative amendments to the Private Health Insurance Acts to support the PL reforms.</w:t>
            </w:r>
            <w:r w:rsidR="00FB2889">
              <w:rPr>
                <w:noProof/>
                <w:webHidden/>
              </w:rPr>
              <w:tab/>
            </w:r>
            <w:r w:rsidR="00FB2889">
              <w:rPr>
                <w:noProof/>
                <w:webHidden/>
              </w:rPr>
              <w:fldChar w:fldCharType="begin"/>
            </w:r>
            <w:r w:rsidR="00FB2889">
              <w:rPr>
                <w:noProof/>
                <w:webHidden/>
              </w:rPr>
              <w:instrText xml:space="preserve"> PAGEREF _Toc122696752 \h </w:instrText>
            </w:r>
            <w:r w:rsidR="00FB2889">
              <w:rPr>
                <w:noProof/>
                <w:webHidden/>
              </w:rPr>
            </w:r>
            <w:r w:rsidR="00FB2889">
              <w:rPr>
                <w:noProof/>
                <w:webHidden/>
              </w:rPr>
              <w:fldChar w:fldCharType="separate"/>
            </w:r>
            <w:r w:rsidR="00374F88">
              <w:rPr>
                <w:noProof/>
                <w:webHidden/>
              </w:rPr>
              <w:t>11</w:t>
            </w:r>
            <w:r w:rsidR="00FB2889">
              <w:rPr>
                <w:noProof/>
                <w:webHidden/>
              </w:rPr>
              <w:fldChar w:fldCharType="end"/>
            </w:r>
          </w:hyperlink>
        </w:p>
        <w:p w14:paraId="588CC17D" w14:textId="36DEFC7C" w:rsidR="00FB2889" w:rsidRDefault="005E6358">
          <w:pPr>
            <w:pStyle w:val="TOC4"/>
            <w:tabs>
              <w:tab w:val="right" w:leader="dot" w:pos="9060"/>
            </w:tabs>
            <w:rPr>
              <w:rFonts w:asciiTheme="minorHAnsi" w:eastAsiaTheme="minorEastAsia" w:hAnsiTheme="minorHAnsi" w:cstheme="minorBidi"/>
              <w:noProof/>
              <w:color w:val="auto"/>
              <w:szCs w:val="22"/>
              <w:lang w:eastAsia="en-AU"/>
            </w:rPr>
          </w:pPr>
          <w:hyperlink w:anchor="_Toc122696753" w:history="1">
            <w:r w:rsidR="00FB2889" w:rsidRPr="00086DB8">
              <w:rPr>
                <w:rStyle w:val="Hyperlink"/>
                <w:noProof/>
              </w:rPr>
              <w:t>Figure 5 Recurrent themes and concerns raised by respondents to Consultation Paper 4(b) - Exposure Drafts</w:t>
            </w:r>
            <w:r w:rsidR="00FB2889">
              <w:rPr>
                <w:noProof/>
                <w:webHidden/>
              </w:rPr>
              <w:tab/>
            </w:r>
            <w:r w:rsidR="00FB2889">
              <w:rPr>
                <w:noProof/>
                <w:webHidden/>
              </w:rPr>
              <w:fldChar w:fldCharType="begin"/>
            </w:r>
            <w:r w:rsidR="00FB2889">
              <w:rPr>
                <w:noProof/>
                <w:webHidden/>
              </w:rPr>
              <w:instrText xml:space="preserve"> PAGEREF _Toc122696753 \h </w:instrText>
            </w:r>
            <w:r w:rsidR="00FB2889">
              <w:rPr>
                <w:noProof/>
                <w:webHidden/>
              </w:rPr>
            </w:r>
            <w:r w:rsidR="00FB2889">
              <w:rPr>
                <w:noProof/>
                <w:webHidden/>
              </w:rPr>
              <w:fldChar w:fldCharType="separate"/>
            </w:r>
            <w:r w:rsidR="00374F88">
              <w:rPr>
                <w:noProof/>
                <w:webHidden/>
              </w:rPr>
              <w:t>11</w:t>
            </w:r>
            <w:r w:rsidR="00FB2889">
              <w:rPr>
                <w:noProof/>
                <w:webHidden/>
              </w:rPr>
              <w:fldChar w:fldCharType="end"/>
            </w:r>
          </w:hyperlink>
        </w:p>
        <w:p w14:paraId="2AE7CEA6" w14:textId="1B7E6717" w:rsidR="00FB2889" w:rsidRDefault="005E6358">
          <w:pPr>
            <w:pStyle w:val="TOC3"/>
            <w:tabs>
              <w:tab w:val="right" w:leader="dot" w:pos="9060"/>
            </w:tabs>
            <w:rPr>
              <w:rFonts w:asciiTheme="minorHAnsi" w:eastAsiaTheme="minorEastAsia" w:hAnsiTheme="minorHAnsi" w:cstheme="minorBidi"/>
              <w:noProof/>
              <w:color w:val="auto"/>
              <w:szCs w:val="22"/>
              <w:lang w:eastAsia="en-AU"/>
            </w:rPr>
          </w:pPr>
          <w:hyperlink w:anchor="_Toc122696754" w:history="1">
            <w:r w:rsidR="00FB2889" w:rsidRPr="00086DB8">
              <w:rPr>
                <w:rStyle w:val="Hyperlink"/>
                <w:noProof/>
              </w:rPr>
              <w:t>Name change</w:t>
            </w:r>
            <w:r w:rsidR="00FB2889">
              <w:rPr>
                <w:noProof/>
                <w:webHidden/>
              </w:rPr>
              <w:tab/>
            </w:r>
            <w:r w:rsidR="00FB2889">
              <w:rPr>
                <w:noProof/>
                <w:webHidden/>
              </w:rPr>
              <w:fldChar w:fldCharType="begin"/>
            </w:r>
            <w:r w:rsidR="00FB2889">
              <w:rPr>
                <w:noProof/>
                <w:webHidden/>
              </w:rPr>
              <w:instrText xml:space="preserve"> PAGEREF _Toc122696754 \h </w:instrText>
            </w:r>
            <w:r w:rsidR="00FB2889">
              <w:rPr>
                <w:noProof/>
                <w:webHidden/>
              </w:rPr>
            </w:r>
            <w:r w:rsidR="00FB2889">
              <w:rPr>
                <w:noProof/>
                <w:webHidden/>
              </w:rPr>
              <w:fldChar w:fldCharType="separate"/>
            </w:r>
            <w:r w:rsidR="00374F88">
              <w:rPr>
                <w:noProof/>
                <w:webHidden/>
              </w:rPr>
              <w:t>12</w:t>
            </w:r>
            <w:r w:rsidR="00FB2889">
              <w:rPr>
                <w:noProof/>
                <w:webHidden/>
              </w:rPr>
              <w:fldChar w:fldCharType="end"/>
            </w:r>
          </w:hyperlink>
        </w:p>
        <w:p w14:paraId="19EF81E9" w14:textId="791C92FF" w:rsidR="00FB2889" w:rsidRDefault="005E6358">
          <w:pPr>
            <w:pStyle w:val="TOC3"/>
            <w:tabs>
              <w:tab w:val="right" w:leader="dot" w:pos="9060"/>
            </w:tabs>
            <w:rPr>
              <w:rFonts w:asciiTheme="minorHAnsi" w:eastAsiaTheme="minorEastAsia" w:hAnsiTheme="minorHAnsi" w:cstheme="minorBidi"/>
              <w:noProof/>
              <w:color w:val="auto"/>
              <w:szCs w:val="22"/>
              <w:lang w:eastAsia="en-AU"/>
            </w:rPr>
          </w:pPr>
          <w:hyperlink w:anchor="_Toc122696755" w:history="1">
            <w:r w:rsidR="00FB2889" w:rsidRPr="00086DB8">
              <w:rPr>
                <w:rStyle w:val="Hyperlink"/>
                <w:noProof/>
              </w:rPr>
              <w:t>Definitions</w:t>
            </w:r>
            <w:r w:rsidR="00FB2889">
              <w:rPr>
                <w:noProof/>
                <w:webHidden/>
              </w:rPr>
              <w:tab/>
            </w:r>
            <w:r w:rsidR="00FB2889">
              <w:rPr>
                <w:noProof/>
                <w:webHidden/>
              </w:rPr>
              <w:fldChar w:fldCharType="begin"/>
            </w:r>
            <w:r w:rsidR="00FB2889">
              <w:rPr>
                <w:noProof/>
                <w:webHidden/>
              </w:rPr>
              <w:instrText xml:space="preserve"> PAGEREF _Toc122696755 \h </w:instrText>
            </w:r>
            <w:r w:rsidR="00FB2889">
              <w:rPr>
                <w:noProof/>
                <w:webHidden/>
              </w:rPr>
            </w:r>
            <w:r w:rsidR="00FB2889">
              <w:rPr>
                <w:noProof/>
                <w:webHidden/>
              </w:rPr>
              <w:fldChar w:fldCharType="separate"/>
            </w:r>
            <w:r w:rsidR="00374F88">
              <w:rPr>
                <w:noProof/>
                <w:webHidden/>
              </w:rPr>
              <w:t>12</w:t>
            </w:r>
            <w:r w:rsidR="00FB2889">
              <w:rPr>
                <w:noProof/>
                <w:webHidden/>
              </w:rPr>
              <w:fldChar w:fldCharType="end"/>
            </w:r>
          </w:hyperlink>
        </w:p>
        <w:p w14:paraId="145785B0" w14:textId="35870102" w:rsidR="00FB2889" w:rsidRDefault="005E6358">
          <w:pPr>
            <w:pStyle w:val="TOC3"/>
            <w:tabs>
              <w:tab w:val="right" w:leader="dot" w:pos="9060"/>
            </w:tabs>
            <w:rPr>
              <w:rFonts w:asciiTheme="minorHAnsi" w:eastAsiaTheme="minorEastAsia" w:hAnsiTheme="minorHAnsi" w:cstheme="minorBidi"/>
              <w:noProof/>
              <w:color w:val="auto"/>
              <w:szCs w:val="22"/>
              <w:lang w:eastAsia="en-AU"/>
            </w:rPr>
          </w:pPr>
          <w:hyperlink w:anchor="_Toc122696756" w:history="1">
            <w:r w:rsidR="00FB2889" w:rsidRPr="00086DB8">
              <w:rPr>
                <w:rStyle w:val="Hyperlink"/>
                <w:noProof/>
              </w:rPr>
              <w:t>Structure of cost recovery levies</w:t>
            </w:r>
            <w:r w:rsidR="00FB2889">
              <w:rPr>
                <w:noProof/>
                <w:webHidden/>
              </w:rPr>
              <w:tab/>
            </w:r>
            <w:r w:rsidR="00FB2889">
              <w:rPr>
                <w:noProof/>
                <w:webHidden/>
              </w:rPr>
              <w:fldChar w:fldCharType="begin"/>
            </w:r>
            <w:r w:rsidR="00FB2889">
              <w:rPr>
                <w:noProof/>
                <w:webHidden/>
              </w:rPr>
              <w:instrText xml:space="preserve"> PAGEREF _Toc122696756 \h </w:instrText>
            </w:r>
            <w:r w:rsidR="00FB2889">
              <w:rPr>
                <w:noProof/>
                <w:webHidden/>
              </w:rPr>
            </w:r>
            <w:r w:rsidR="00FB2889">
              <w:rPr>
                <w:noProof/>
                <w:webHidden/>
              </w:rPr>
              <w:fldChar w:fldCharType="separate"/>
            </w:r>
            <w:r w:rsidR="00374F88">
              <w:rPr>
                <w:noProof/>
                <w:webHidden/>
              </w:rPr>
              <w:t>13</w:t>
            </w:r>
            <w:r w:rsidR="00FB2889">
              <w:rPr>
                <w:noProof/>
                <w:webHidden/>
              </w:rPr>
              <w:fldChar w:fldCharType="end"/>
            </w:r>
          </w:hyperlink>
        </w:p>
        <w:p w14:paraId="7CB073B2" w14:textId="5D43A34D" w:rsidR="00FB2889" w:rsidRDefault="005E6358">
          <w:pPr>
            <w:pStyle w:val="TOC3"/>
            <w:tabs>
              <w:tab w:val="right" w:leader="dot" w:pos="9060"/>
            </w:tabs>
            <w:rPr>
              <w:rFonts w:asciiTheme="minorHAnsi" w:eastAsiaTheme="minorEastAsia" w:hAnsiTheme="minorHAnsi" w:cstheme="minorBidi"/>
              <w:noProof/>
              <w:color w:val="auto"/>
              <w:szCs w:val="22"/>
              <w:lang w:eastAsia="en-AU"/>
            </w:rPr>
          </w:pPr>
          <w:hyperlink w:anchor="_Toc122696757" w:history="1">
            <w:r w:rsidR="00FB2889" w:rsidRPr="00086DB8">
              <w:rPr>
                <w:rStyle w:val="Hyperlink"/>
                <w:i/>
                <w:iCs/>
                <w:noProof/>
              </w:rPr>
              <w:t>Australian Government Charging Framework (AGC Framework)</w:t>
            </w:r>
            <w:r w:rsidR="00FB2889">
              <w:rPr>
                <w:noProof/>
                <w:webHidden/>
              </w:rPr>
              <w:tab/>
            </w:r>
            <w:r w:rsidR="00FB2889">
              <w:rPr>
                <w:noProof/>
                <w:webHidden/>
              </w:rPr>
              <w:fldChar w:fldCharType="begin"/>
            </w:r>
            <w:r w:rsidR="00FB2889">
              <w:rPr>
                <w:noProof/>
                <w:webHidden/>
              </w:rPr>
              <w:instrText xml:space="preserve"> PAGEREF _Toc122696757 \h </w:instrText>
            </w:r>
            <w:r w:rsidR="00FB2889">
              <w:rPr>
                <w:noProof/>
                <w:webHidden/>
              </w:rPr>
            </w:r>
            <w:r w:rsidR="00FB2889">
              <w:rPr>
                <w:noProof/>
                <w:webHidden/>
              </w:rPr>
              <w:fldChar w:fldCharType="separate"/>
            </w:r>
            <w:r w:rsidR="00374F88">
              <w:rPr>
                <w:noProof/>
                <w:webHidden/>
              </w:rPr>
              <w:t>14</w:t>
            </w:r>
            <w:r w:rsidR="00FB2889">
              <w:rPr>
                <w:noProof/>
                <w:webHidden/>
              </w:rPr>
              <w:fldChar w:fldCharType="end"/>
            </w:r>
          </w:hyperlink>
        </w:p>
        <w:p w14:paraId="18536DCD" w14:textId="415E5C20" w:rsidR="00FB2889" w:rsidRDefault="005E6358">
          <w:pPr>
            <w:pStyle w:val="TOC3"/>
            <w:tabs>
              <w:tab w:val="right" w:leader="dot" w:pos="9060"/>
            </w:tabs>
            <w:rPr>
              <w:rFonts w:asciiTheme="minorHAnsi" w:eastAsiaTheme="minorEastAsia" w:hAnsiTheme="minorHAnsi" w:cstheme="minorBidi"/>
              <w:noProof/>
              <w:color w:val="auto"/>
              <w:szCs w:val="22"/>
              <w:lang w:eastAsia="en-AU"/>
            </w:rPr>
          </w:pPr>
          <w:hyperlink w:anchor="_Toc122696758" w:history="1">
            <w:r w:rsidR="00FB2889" w:rsidRPr="00086DB8">
              <w:rPr>
                <w:rStyle w:val="Hyperlink"/>
                <w:noProof/>
              </w:rPr>
              <w:t>Out-of-scope from Consultation 4(b) – Exposure Drafts</w:t>
            </w:r>
            <w:r w:rsidR="00FB2889">
              <w:rPr>
                <w:noProof/>
                <w:webHidden/>
              </w:rPr>
              <w:tab/>
            </w:r>
            <w:r w:rsidR="00FB2889">
              <w:rPr>
                <w:noProof/>
                <w:webHidden/>
              </w:rPr>
              <w:fldChar w:fldCharType="begin"/>
            </w:r>
            <w:r w:rsidR="00FB2889">
              <w:rPr>
                <w:noProof/>
                <w:webHidden/>
              </w:rPr>
              <w:instrText xml:space="preserve"> PAGEREF _Toc122696758 \h </w:instrText>
            </w:r>
            <w:r w:rsidR="00FB2889">
              <w:rPr>
                <w:noProof/>
                <w:webHidden/>
              </w:rPr>
            </w:r>
            <w:r w:rsidR="00FB2889">
              <w:rPr>
                <w:noProof/>
                <w:webHidden/>
              </w:rPr>
              <w:fldChar w:fldCharType="separate"/>
            </w:r>
            <w:r w:rsidR="00374F88">
              <w:rPr>
                <w:noProof/>
                <w:webHidden/>
              </w:rPr>
              <w:t>15</w:t>
            </w:r>
            <w:r w:rsidR="00FB2889">
              <w:rPr>
                <w:noProof/>
                <w:webHidden/>
              </w:rPr>
              <w:fldChar w:fldCharType="end"/>
            </w:r>
          </w:hyperlink>
        </w:p>
        <w:p w14:paraId="53A807F2" w14:textId="3BA35ADD" w:rsidR="00FB2889" w:rsidRDefault="005E6358">
          <w:pPr>
            <w:pStyle w:val="TOC2"/>
            <w:tabs>
              <w:tab w:val="right" w:leader="dot" w:pos="9060"/>
            </w:tabs>
            <w:rPr>
              <w:rFonts w:asciiTheme="minorHAnsi" w:eastAsiaTheme="minorEastAsia" w:hAnsiTheme="minorHAnsi" w:cstheme="minorBidi"/>
              <w:noProof/>
              <w:color w:val="auto"/>
              <w:szCs w:val="22"/>
              <w:lang w:eastAsia="en-AU"/>
            </w:rPr>
          </w:pPr>
          <w:hyperlink w:anchor="_Toc122696759" w:history="1">
            <w:r w:rsidR="00FB2889" w:rsidRPr="00086DB8">
              <w:rPr>
                <w:rStyle w:val="Hyperlink"/>
                <w:noProof/>
              </w:rPr>
              <w:t>Next Steps</w:t>
            </w:r>
            <w:r w:rsidR="00FB2889">
              <w:rPr>
                <w:noProof/>
                <w:webHidden/>
              </w:rPr>
              <w:tab/>
            </w:r>
            <w:r w:rsidR="00FB2889">
              <w:rPr>
                <w:noProof/>
                <w:webHidden/>
              </w:rPr>
              <w:fldChar w:fldCharType="begin"/>
            </w:r>
            <w:r w:rsidR="00FB2889">
              <w:rPr>
                <w:noProof/>
                <w:webHidden/>
              </w:rPr>
              <w:instrText xml:space="preserve"> PAGEREF _Toc122696759 \h </w:instrText>
            </w:r>
            <w:r w:rsidR="00FB2889">
              <w:rPr>
                <w:noProof/>
                <w:webHidden/>
              </w:rPr>
            </w:r>
            <w:r w:rsidR="00FB2889">
              <w:rPr>
                <w:noProof/>
                <w:webHidden/>
              </w:rPr>
              <w:fldChar w:fldCharType="separate"/>
            </w:r>
            <w:r w:rsidR="00374F88">
              <w:rPr>
                <w:noProof/>
                <w:webHidden/>
              </w:rPr>
              <w:t>16</w:t>
            </w:r>
            <w:r w:rsidR="00FB2889">
              <w:rPr>
                <w:noProof/>
                <w:webHidden/>
              </w:rPr>
              <w:fldChar w:fldCharType="end"/>
            </w:r>
          </w:hyperlink>
        </w:p>
        <w:p w14:paraId="7045AAC6" w14:textId="3DF561C3" w:rsidR="00FB2889" w:rsidRDefault="005E6358">
          <w:pPr>
            <w:pStyle w:val="TOC2"/>
            <w:tabs>
              <w:tab w:val="right" w:leader="dot" w:pos="9060"/>
            </w:tabs>
            <w:rPr>
              <w:rFonts w:asciiTheme="minorHAnsi" w:eastAsiaTheme="minorEastAsia" w:hAnsiTheme="minorHAnsi" w:cstheme="minorBidi"/>
              <w:noProof/>
              <w:color w:val="auto"/>
              <w:szCs w:val="22"/>
              <w:lang w:eastAsia="en-AU"/>
            </w:rPr>
          </w:pPr>
          <w:hyperlink w:anchor="_Toc122696760" w:history="1">
            <w:r w:rsidR="00FB2889" w:rsidRPr="00086DB8">
              <w:rPr>
                <w:rStyle w:val="Hyperlink"/>
                <w:noProof/>
              </w:rPr>
              <w:t>Conclusion</w:t>
            </w:r>
            <w:r w:rsidR="00FB2889">
              <w:rPr>
                <w:noProof/>
                <w:webHidden/>
              </w:rPr>
              <w:tab/>
            </w:r>
            <w:r w:rsidR="00FB2889">
              <w:rPr>
                <w:noProof/>
                <w:webHidden/>
              </w:rPr>
              <w:fldChar w:fldCharType="begin"/>
            </w:r>
            <w:r w:rsidR="00FB2889">
              <w:rPr>
                <w:noProof/>
                <w:webHidden/>
              </w:rPr>
              <w:instrText xml:space="preserve"> PAGEREF _Toc122696760 \h </w:instrText>
            </w:r>
            <w:r w:rsidR="00FB2889">
              <w:rPr>
                <w:noProof/>
                <w:webHidden/>
              </w:rPr>
            </w:r>
            <w:r w:rsidR="00FB2889">
              <w:rPr>
                <w:noProof/>
                <w:webHidden/>
              </w:rPr>
              <w:fldChar w:fldCharType="separate"/>
            </w:r>
            <w:r w:rsidR="00374F88">
              <w:rPr>
                <w:noProof/>
                <w:webHidden/>
              </w:rPr>
              <w:t>17</w:t>
            </w:r>
            <w:r w:rsidR="00FB2889">
              <w:rPr>
                <w:noProof/>
                <w:webHidden/>
              </w:rPr>
              <w:fldChar w:fldCharType="end"/>
            </w:r>
          </w:hyperlink>
        </w:p>
        <w:p w14:paraId="468D6840" w14:textId="61EB174C" w:rsidR="005922AA" w:rsidRDefault="004620E1">
          <w:r>
            <w:rPr>
              <w:b/>
              <w:bCs/>
              <w:noProof/>
            </w:rPr>
            <w:fldChar w:fldCharType="end"/>
          </w:r>
        </w:p>
      </w:sdtContent>
    </w:sdt>
    <w:p w14:paraId="26DEA9AF" w14:textId="05F384B0" w:rsidR="004620E1" w:rsidRDefault="004620E1" w:rsidP="004620E1">
      <w:pPr>
        <w:pStyle w:val="TableofFigures"/>
        <w:tabs>
          <w:tab w:val="right" w:leader="dot" w:pos="9060"/>
        </w:tabs>
        <w:rPr>
          <w:noProof/>
        </w:rPr>
      </w:pPr>
      <w:r>
        <w:fldChar w:fldCharType="begin"/>
      </w:r>
      <w:r>
        <w:instrText xml:space="preserve"> TOC \h \z \c "Figure" </w:instrText>
      </w:r>
      <w:r>
        <w:fldChar w:fldCharType="separate"/>
      </w:r>
    </w:p>
    <w:p w14:paraId="5527BCE6" w14:textId="472058DE" w:rsidR="005922AA" w:rsidRDefault="004620E1">
      <w:pPr>
        <w:spacing w:before="0" w:after="0" w:line="240" w:lineRule="auto"/>
        <w:rPr>
          <w:rFonts w:cs="Arial"/>
          <w:b/>
          <w:bCs/>
          <w:iCs/>
          <w:color w:val="358189"/>
          <w:sz w:val="36"/>
          <w:szCs w:val="28"/>
        </w:rPr>
      </w:pPr>
      <w:r>
        <w:fldChar w:fldCharType="end"/>
      </w:r>
      <w:r w:rsidR="005922AA">
        <w:br w:type="page"/>
      </w:r>
    </w:p>
    <w:p w14:paraId="60B930D4" w14:textId="052AC72D" w:rsidR="00C30E2C" w:rsidRPr="003B499F" w:rsidRDefault="00C30E2C" w:rsidP="00D90F34">
      <w:pPr>
        <w:pStyle w:val="Heading2"/>
      </w:pPr>
      <w:bookmarkStart w:id="0" w:name="_Toc122696739"/>
      <w:r w:rsidRPr="003B499F">
        <w:lastRenderedPageBreak/>
        <w:t>Introducti</w:t>
      </w:r>
      <w:r w:rsidRPr="000F7456">
        <w:t>on</w:t>
      </w:r>
      <w:bookmarkEnd w:id="0"/>
    </w:p>
    <w:p w14:paraId="3B932A94" w14:textId="77777777" w:rsidR="00C30E2C" w:rsidRPr="002221B0" w:rsidRDefault="00C30E2C" w:rsidP="00C30E2C">
      <w:pPr>
        <w:pStyle w:val="Paragraphtext"/>
        <w:rPr>
          <w:sz w:val="22"/>
          <w:szCs w:val="22"/>
        </w:rPr>
      </w:pPr>
      <w:r w:rsidRPr="002221B0">
        <w:rPr>
          <w:sz w:val="22"/>
          <w:szCs w:val="22"/>
        </w:rPr>
        <w:t>The purpose of this report is to provide an analysis of stakeholder feedback received from:</w:t>
      </w:r>
    </w:p>
    <w:p w14:paraId="17D54962" w14:textId="77777777" w:rsidR="00C30E2C" w:rsidRDefault="00C30E2C" w:rsidP="002221B0">
      <w:pPr>
        <w:pStyle w:val="ListBullet"/>
      </w:pPr>
      <w:r w:rsidRPr="00AF30BD">
        <w:t>the three webinars (the webinars) the Department held in September 2022</w:t>
      </w:r>
      <w:r>
        <w:t>,</w:t>
      </w:r>
      <w:r w:rsidRPr="00AF30BD">
        <w:t xml:space="preserve"> which outlined the proposed legislative amendments in their entirety, and </w:t>
      </w:r>
    </w:p>
    <w:p w14:paraId="6C6CF15E" w14:textId="392FBA1D" w:rsidR="00C30E2C" w:rsidRPr="00F321A8" w:rsidRDefault="00C30E2C" w:rsidP="002221B0">
      <w:pPr>
        <w:pStyle w:val="ListBullet"/>
      </w:pPr>
      <w:r w:rsidRPr="00AF30BD">
        <w:t xml:space="preserve">the </w:t>
      </w:r>
      <w:r>
        <w:t xml:space="preserve">written </w:t>
      </w:r>
      <w:r w:rsidRPr="00AF30BD">
        <w:t xml:space="preserve">responses to the Prostheses List Reforms </w:t>
      </w:r>
      <w:r w:rsidRPr="00F321A8">
        <w:rPr>
          <w:i/>
          <w:iCs/>
        </w:rPr>
        <w:t>Consultation Paper 4(b)</w:t>
      </w:r>
      <w:r w:rsidR="000F7456" w:rsidRPr="00F321A8">
        <w:rPr>
          <w:i/>
          <w:iCs/>
        </w:rPr>
        <w:t xml:space="preserve"> – Exposure Drafts for legislative amendments to Private Health Insurance Acts to support the PL reforms</w:t>
      </w:r>
      <w:r w:rsidRPr="00F321A8">
        <w:t xml:space="preserve"> (the paper), which included three draft bills</w:t>
      </w:r>
      <w:r w:rsidR="000F7456" w:rsidRPr="00F321A8">
        <w:t xml:space="preserve"> incorporating the first tranche amendments</w:t>
      </w:r>
      <w:r w:rsidRPr="00F321A8">
        <w:t xml:space="preserve"> and an Explanatory Memorandum.</w:t>
      </w:r>
    </w:p>
    <w:p w14:paraId="07387C22" w14:textId="7EAAB4CE" w:rsidR="00992BF9" w:rsidRPr="005922AA" w:rsidRDefault="00992BF9" w:rsidP="00992BF9">
      <w:pPr>
        <w:pStyle w:val="Heading2"/>
      </w:pPr>
      <w:bookmarkStart w:id="1" w:name="_Toc122696740"/>
      <w:r w:rsidRPr="00D90F34">
        <w:t>P</w:t>
      </w:r>
      <w:r w:rsidR="00FD3167">
        <w:t>L</w:t>
      </w:r>
      <w:r w:rsidRPr="00D90F34">
        <w:t xml:space="preserve"> reform webinars – proposed legislative amendments</w:t>
      </w:r>
      <w:bookmarkEnd w:id="1"/>
    </w:p>
    <w:p w14:paraId="1CFEE8FD" w14:textId="77777777" w:rsidR="00992BF9" w:rsidRPr="001B585E" w:rsidRDefault="00992BF9" w:rsidP="00992BF9">
      <w:pPr>
        <w:pStyle w:val="Heading3"/>
        <w:rPr>
          <w:b w:val="0"/>
          <w:bCs w:val="0"/>
        </w:rPr>
      </w:pPr>
      <w:bookmarkStart w:id="2" w:name="_Toc122696741"/>
      <w:r w:rsidRPr="001B585E">
        <w:rPr>
          <w:b w:val="0"/>
          <w:bCs w:val="0"/>
        </w:rPr>
        <w:t>Webinar overview</w:t>
      </w:r>
      <w:bookmarkEnd w:id="2"/>
    </w:p>
    <w:p w14:paraId="7A3CF412" w14:textId="74A9317D" w:rsidR="00992BF9" w:rsidRPr="00BA6342" w:rsidRDefault="00992BF9" w:rsidP="00992BF9">
      <w:pPr>
        <w:pStyle w:val="Paragraphtext"/>
        <w:rPr>
          <w:sz w:val="22"/>
          <w:szCs w:val="22"/>
        </w:rPr>
      </w:pPr>
      <w:r w:rsidRPr="00BA6342">
        <w:rPr>
          <w:sz w:val="22"/>
          <w:szCs w:val="22"/>
        </w:rPr>
        <w:t>The three webinars that were delivered in September 2022 provided an overall cover of the proposed changes to the PL. Stakeholders were given the opportunity to pose questions on the proposed changes through ‘S</w:t>
      </w:r>
      <w:r w:rsidR="00FD3167">
        <w:rPr>
          <w:sz w:val="22"/>
          <w:szCs w:val="22"/>
        </w:rPr>
        <w:t>LIDO</w:t>
      </w:r>
      <w:r w:rsidRPr="00BA6342">
        <w:rPr>
          <w:sz w:val="22"/>
          <w:szCs w:val="22"/>
        </w:rPr>
        <w:t>’. The webinars were divided into three sessions:</w:t>
      </w:r>
    </w:p>
    <w:p w14:paraId="0F6C3F4B" w14:textId="77777777" w:rsidR="00992BF9" w:rsidRDefault="00992BF9" w:rsidP="00992BF9">
      <w:pPr>
        <w:pStyle w:val="ListBullet"/>
      </w:pPr>
      <w:r>
        <w:t>Webinar 1 - Name change, definitions and listing criteria</w:t>
      </w:r>
    </w:p>
    <w:p w14:paraId="46C4D153" w14:textId="77777777" w:rsidR="00992BF9" w:rsidRDefault="00992BF9" w:rsidP="00992BF9">
      <w:pPr>
        <w:pStyle w:val="ListBullet"/>
      </w:pPr>
      <w:r>
        <w:t xml:space="preserve">Webinar 2 - </w:t>
      </w:r>
      <w:r w:rsidRPr="008A3734">
        <w:t>Application process, removal of devices and new cost-recovery arrangements</w:t>
      </w:r>
    </w:p>
    <w:p w14:paraId="079F3605" w14:textId="1950379A" w:rsidR="00992BF9" w:rsidRDefault="00992BF9" w:rsidP="00992BF9">
      <w:pPr>
        <w:pStyle w:val="ListBullet"/>
      </w:pPr>
      <w:r>
        <w:t>Webinar 3 - New data sharing and compliance powers.</w:t>
      </w:r>
    </w:p>
    <w:p w14:paraId="7954CA44" w14:textId="77777777" w:rsidR="00D5088B" w:rsidRDefault="00D5088B" w:rsidP="00D5088B">
      <w:pPr>
        <w:pStyle w:val="ListBullet"/>
        <w:numPr>
          <w:ilvl w:val="0"/>
          <w:numId w:val="0"/>
        </w:numPr>
      </w:pPr>
      <w:r w:rsidRPr="002221B0">
        <w:t>The webinars facilitated a total of 171 questions asked by stakeholders across the three sessions.</w:t>
      </w:r>
    </w:p>
    <w:p w14:paraId="01E821A1" w14:textId="674165AF" w:rsidR="00992BF9" w:rsidRDefault="00992BF9" w:rsidP="00992BF9"/>
    <w:p w14:paraId="415EDFBA" w14:textId="77777777" w:rsidR="00992BF9" w:rsidRDefault="00992BF9" w:rsidP="00992BF9">
      <w:pPr>
        <w:keepNext/>
      </w:pPr>
      <w:r>
        <w:rPr>
          <w:noProof/>
        </w:rPr>
        <w:lastRenderedPageBreak/>
        <w:drawing>
          <wp:inline distT="0" distB="0" distL="0" distR="0" wp14:anchorId="0AB0666D" wp14:editId="2A054BCE">
            <wp:extent cx="5729469" cy="3421785"/>
            <wp:effectExtent l="0" t="0" r="5080" b="7620"/>
            <wp:docPr id="4" name="Chart 4" descr="Figure 1 outlines the number of questions and responses from the webinars 1-3 from SLIDO. A total of 48 questions were asked in Webinar 1, 75 questions in Webinar 2 and 48 questions in Webinar 3. ">
              <a:extLst xmlns:a="http://schemas.openxmlformats.org/drawingml/2006/main">
                <a:ext uri="{FF2B5EF4-FFF2-40B4-BE49-F238E27FC236}">
                  <a16:creationId xmlns:a16="http://schemas.microsoft.com/office/drawing/2014/main" id="{E1036768-F0D2-41F8-9928-9B318C4B9A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B9ABED" w14:textId="4F5E6D52" w:rsidR="00992BF9" w:rsidRPr="00712951" w:rsidRDefault="00992BF9" w:rsidP="00FD3167">
      <w:pPr>
        <w:pStyle w:val="Caption"/>
        <w:keepNext/>
      </w:pPr>
      <w:bookmarkStart w:id="3" w:name="_Toc122696742"/>
      <w:r w:rsidRPr="0093138C">
        <w:t xml:space="preserve">Figure </w:t>
      </w:r>
      <w:r w:rsidR="00422F58">
        <w:t>1</w:t>
      </w:r>
      <w:r w:rsidR="00422F58" w:rsidRPr="00712951">
        <w:t xml:space="preserve"> </w:t>
      </w:r>
      <w:r w:rsidRPr="00712951">
        <w:t>Number of questions and responses from the webinars 1-3 from SLIDO</w:t>
      </w:r>
      <w:bookmarkEnd w:id="3"/>
    </w:p>
    <w:p w14:paraId="41058D45" w14:textId="77777777" w:rsidR="00992BF9" w:rsidRPr="00292BE6" w:rsidRDefault="00992BF9" w:rsidP="00992BF9">
      <w:pPr>
        <w:pStyle w:val="Heading3"/>
        <w:rPr>
          <w:b w:val="0"/>
          <w:bCs w:val="0"/>
        </w:rPr>
      </w:pPr>
      <w:bookmarkStart w:id="4" w:name="_Toc122696743"/>
      <w:r w:rsidRPr="00292BE6">
        <w:rPr>
          <w:b w:val="0"/>
          <w:bCs w:val="0"/>
        </w:rPr>
        <w:t xml:space="preserve">Webinar </w:t>
      </w:r>
      <w:r>
        <w:rPr>
          <w:b w:val="0"/>
          <w:bCs w:val="0"/>
        </w:rPr>
        <w:t>responses</w:t>
      </w:r>
      <w:bookmarkEnd w:id="4"/>
    </w:p>
    <w:p w14:paraId="0D0978BF" w14:textId="07E4507F" w:rsidR="00992BF9" w:rsidRPr="00BA6342" w:rsidRDefault="00FD3167" w:rsidP="00992BF9">
      <w:pPr>
        <w:pStyle w:val="Paragraphtext"/>
        <w:rPr>
          <w:sz w:val="22"/>
          <w:szCs w:val="22"/>
        </w:rPr>
      </w:pPr>
      <w:r w:rsidRPr="00FD3167">
        <w:rPr>
          <w:sz w:val="22"/>
          <w:szCs w:val="22"/>
        </w:rPr>
        <w:fldChar w:fldCharType="begin"/>
      </w:r>
      <w:r w:rsidRPr="00FD3167">
        <w:rPr>
          <w:sz w:val="22"/>
          <w:szCs w:val="22"/>
        </w:rPr>
        <w:instrText xml:space="preserve"> REF _Ref121932407 \h </w:instrText>
      </w:r>
      <w:r>
        <w:rPr>
          <w:sz w:val="22"/>
          <w:szCs w:val="22"/>
        </w:rPr>
        <w:instrText xml:space="preserve"> \* MERGEFORMAT </w:instrText>
      </w:r>
      <w:r w:rsidRPr="00FD3167">
        <w:rPr>
          <w:sz w:val="22"/>
          <w:szCs w:val="22"/>
        </w:rPr>
      </w:r>
      <w:r w:rsidRPr="00FD3167">
        <w:rPr>
          <w:sz w:val="22"/>
          <w:szCs w:val="22"/>
        </w:rPr>
        <w:fldChar w:fldCharType="separate"/>
      </w:r>
      <w:r w:rsidRPr="00FD3167">
        <w:rPr>
          <w:sz w:val="22"/>
          <w:szCs w:val="22"/>
        </w:rPr>
        <w:t xml:space="preserve">Figure </w:t>
      </w:r>
      <w:r w:rsidRPr="00FD3167">
        <w:rPr>
          <w:noProof/>
          <w:sz w:val="22"/>
          <w:szCs w:val="22"/>
        </w:rPr>
        <w:t>1</w:t>
      </w:r>
      <w:r w:rsidRPr="00FD3167">
        <w:rPr>
          <w:sz w:val="22"/>
          <w:szCs w:val="22"/>
        </w:rPr>
        <w:fldChar w:fldCharType="end"/>
      </w:r>
      <w:r w:rsidR="00422F58">
        <w:rPr>
          <w:sz w:val="22"/>
          <w:szCs w:val="22"/>
        </w:rPr>
        <w:t xml:space="preserve"> </w:t>
      </w:r>
      <w:r w:rsidR="00992BF9" w:rsidRPr="00BA6342">
        <w:rPr>
          <w:sz w:val="22"/>
          <w:szCs w:val="22"/>
        </w:rPr>
        <w:t>demonstrates that webinar 2 featured the highest engagement levels, most likely due to concerns about the potential effect of changes to the application process, removal of devices and new cost-recovery arrangements on industry sectors.</w:t>
      </w:r>
    </w:p>
    <w:p w14:paraId="3F69E159" w14:textId="517753EB" w:rsidR="00992BF9" w:rsidRPr="00BA6342" w:rsidRDefault="00992BF9" w:rsidP="00992BF9">
      <w:pPr>
        <w:pStyle w:val="Paragraphtext"/>
        <w:rPr>
          <w:sz w:val="22"/>
          <w:szCs w:val="22"/>
        </w:rPr>
      </w:pPr>
      <w:r w:rsidRPr="00BA6342">
        <w:rPr>
          <w:sz w:val="22"/>
          <w:szCs w:val="22"/>
        </w:rPr>
        <w:t xml:space="preserve">The highest proportion of questions from webinar 1 were about </w:t>
      </w:r>
      <w:r w:rsidR="00CC0D69">
        <w:rPr>
          <w:sz w:val="22"/>
          <w:szCs w:val="22"/>
        </w:rPr>
        <w:t xml:space="preserve">listing </w:t>
      </w:r>
      <w:r w:rsidRPr="00BA6342">
        <w:rPr>
          <w:sz w:val="22"/>
          <w:szCs w:val="22"/>
        </w:rPr>
        <w:t>criteria for Parts A, B, and C. This work is yet to be completed, with Parts A and C to be completed prior to Part B.</w:t>
      </w:r>
      <w:r w:rsidR="00CC0D69">
        <w:rPr>
          <w:sz w:val="22"/>
          <w:szCs w:val="22"/>
        </w:rPr>
        <w:t xml:space="preserve"> Consultation about the listing criteria will be conducted early 2023.</w:t>
      </w:r>
    </w:p>
    <w:p w14:paraId="5BF6E261" w14:textId="48897937" w:rsidR="00992BF9" w:rsidRPr="00BA6342" w:rsidRDefault="00992BF9" w:rsidP="00992BF9">
      <w:pPr>
        <w:pStyle w:val="Paragraphtext"/>
        <w:rPr>
          <w:sz w:val="22"/>
          <w:szCs w:val="22"/>
        </w:rPr>
      </w:pPr>
      <w:r w:rsidRPr="00BA6342">
        <w:rPr>
          <w:sz w:val="22"/>
          <w:szCs w:val="22"/>
        </w:rPr>
        <w:t xml:space="preserve">Work on the new data sharing and compliance powers as discussed in webinar 3, are currently underway with further consultation scheduled </w:t>
      </w:r>
      <w:r w:rsidR="00026DDC">
        <w:rPr>
          <w:sz w:val="22"/>
          <w:szCs w:val="22"/>
        </w:rPr>
        <w:t xml:space="preserve">throughout </w:t>
      </w:r>
      <w:r w:rsidRPr="00BA6342">
        <w:rPr>
          <w:sz w:val="22"/>
          <w:szCs w:val="22"/>
        </w:rPr>
        <w:t>2023.</w:t>
      </w:r>
    </w:p>
    <w:p w14:paraId="29579548" w14:textId="77777777" w:rsidR="00992BF9" w:rsidRPr="002F5ED8" w:rsidRDefault="00992BF9" w:rsidP="00992BF9">
      <w:pPr>
        <w:spacing w:before="0" w:after="0" w:line="240" w:lineRule="auto"/>
        <w:rPr>
          <w:sz w:val="21"/>
        </w:rPr>
      </w:pPr>
      <w:r>
        <w:br w:type="page"/>
      </w:r>
    </w:p>
    <w:p w14:paraId="2006B02B" w14:textId="47474461" w:rsidR="00992BF9" w:rsidRDefault="000E5BEC" w:rsidP="00992BF9">
      <w:pPr>
        <w:pStyle w:val="Paragraphtext"/>
        <w:keepNext/>
        <w:jc w:val="center"/>
      </w:pPr>
      <w:r>
        <w:rPr>
          <w:noProof/>
        </w:rPr>
        <w:lastRenderedPageBreak/>
        <w:drawing>
          <wp:inline distT="0" distB="0" distL="0" distR="0" wp14:anchorId="70F2AA28" wp14:editId="3C957CE8">
            <wp:extent cx="5765320" cy="3459192"/>
            <wp:effectExtent l="0" t="0" r="6985" b="8255"/>
            <wp:docPr id="11" name="Chart 11" descr="Figure 2. Themes of questions asked during Webinar 1. 15 questions asked to explain the eligibility criteria for Part A, B and C. 4 questions asked to explain how the definition materialised. 8 questions have been categorised as 'other'.">
              <a:extLst xmlns:a="http://schemas.openxmlformats.org/drawingml/2006/main">
                <a:ext uri="{FF2B5EF4-FFF2-40B4-BE49-F238E27FC236}">
                  <a16:creationId xmlns:a16="http://schemas.microsoft.com/office/drawing/2014/main" id="{BF79F0E9-A428-4DD0-97ED-8607948B1D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A12043" w14:textId="465EEFC3" w:rsidR="00992BF9" w:rsidRPr="00712951" w:rsidRDefault="00992BF9" w:rsidP="00992BF9">
      <w:pPr>
        <w:pStyle w:val="Caption"/>
      </w:pPr>
      <w:bookmarkStart w:id="5" w:name="_Toc122696744"/>
      <w:r>
        <w:t xml:space="preserve">Figure </w:t>
      </w:r>
      <w:fldSimple w:instr=" SEQ Figure \* ARABIC ">
        <w:r w:rsidR="00FD3167">
          <w:rPr>
            <w:noProof/>
          </w:rPr>
          <w:t>2</w:t>
        </w:r>
      </w:fldSimple>
      <w:r>
        <w:t xml:space="preserve"> Webinar 1</w:t>
      </w:r>
      <w:bookmarkEnd w:id="5"/>
      <w:r w:rsidR="00065B43">
        <w:t>: Themes of questions asked</w:t>
      </w:r>
    </w:p>
    <w:p w14:paraId="2F5F7E7C" w14:textId="77777777" w:rsidR="00992BF9" w:rsidRDefault="00992BF9" w:rsidP="00992BF9">
      <w:pPr>
        <w:pStyle w:val="Paragraphtext"/>
        <w:spacing w:before="0" w:after="0"/>
      </w:pPr>
    </w:p>
    <w:p w14:paraId="7D843435" w14:textId="77777777" w:rsidR="00992BF9" w:rsidRDefault="00992BF9" w:rsidP="00992BF9">
      <w:pPr>
        <w:pStyle w:val="Paragraphtext"/>
        <w:keepNext/>
        <w:spacing w:before="0" w:after="0"/>
        <w:jc w:val="center"/>
      </w:pPr>
      <w:r>
        <w:rPr>
          <w:noProof/>
        </w:rPr>
        <w:drawing>
          <wp:inline distT="0" distB="0" distL="0" distR="0" wp14:anchorId="0E23925E" wp14:editId="72DA8EBC">
            <wp:extent cx="5729662" cy="3437681"/>
            <wp:effectExtent l="0" t="0" r="4445" b="10795"/>
            <wp:docPr id="9" name="Chart 9" descr="Figure 3 outlines the themes of questions asked during Webinar 2. 3 questions were regarding the application process, 9 questions asked to explain the cost-recovery process and 3 asked to explain how international pricing impacts the PL. A total of 5 questions asked to explain how the public price fits into the PL benefits. 8 questions were regarding the removal of a device and 8 questions were categorised as 'other'.">
              <a:extLst xmlns:a="http://schemas.openxmlformats.org/drawingml/2006/main">
                <a:ext uri="{FF2B5EF4-FFF2-40B4-BE49-F238E27FC236}">
                  <a16:creationId xmlns:a16="http://schemas.microsoft.com/office/drawing/2014/main" id="{32CC3093-25B7-4D25-8D50-3C5A98AA94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D3DB4D" w14:textId="242A61BA" w:rsidR="00992BF9" w:rsidRDefault="00992BF9" w:rsidP="00992BF9">
      <w:pPr>
        <w:pStyle w:val="Caption"/>
      </w:pPr>
      <w:bookmarkStart w:id="6" w:name="_Toc122696745"/>
      <w:r>
        <w:t xml:space="preserve">Figure </w:t>
      </w:r>
      <w:fldSimple w:instr=" SEQ Figure \* ARABIC ">
        <w:r w:rsidR="00FD3167">
          <w:rPr>
            <w:noProof/>
          </w:rPr>
          <w:t>3</w:t>
        </w:r>
      </w:fldSimple>
      <w:r>
        <w:t xml:space="preserve"> Webinar 2</w:t>
      </w:r>
      <w:bookmarkEnd w:id="6"/>
      <w:r w:rsidR="00E035CC">
        <w:t>: Themes of questions asked</w:t>
      </w:r>
    </w:p>
    <w:p w14:paraId="0190F12B" w14:textId="77777777" w:rsidR="00992BF9" w:rsidRDefault="00992BF9" w:rsidP="00992BF9">
      <w:pPr>
        <w:pStyle w:val="Paragraphtext"/>
        <w:keepNext/>
        <w:spacing w:before="0" w:after="0"/>
        <w:jc w:val="center"/>
      </w:pPr>
      <w:r>
        <w:rPr>
          <w:noProof/>
        </w:rPr>
        <w:lastRenderedPageBreak/>
        <w:drawing>
          <wp:inline distT="0" distB="0" distL="0" distR="0" wp14:anchorId="39730707" wp14:editId="444AF115">
            <wp:extent cx="5729468" cy="3437681"/>
            <wp:effectExtent l="0" t="0" r="5080" b="10795"/>
            <wp:docPr id="10" name="Chart 10" descr="Figure 4 outlines the themes of questions asked during Webinar 3. 9 questions were regarding compliance, 2 questions asked about compliance and data sharing. There were 5 questions about cost-recovery, 7 questions regarding data sharing and 1 questions asked about the removal of devices. 10 questions were categorised as 'other'.">
              <a:extLst xmlns:a="http://schemas.openxmlformats.org/drawingml/2006/main">
                <a:ext uri="{FF2B5EF4-FFF2-40B4-BE49-F238E27FC236}">
                  <a16:creationId xmlns:a16="http://schemas.microsoft.com/office/drawing/2014/main" id="{182E8D46-65F6-41D2-BB57-BFDA180470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80AA15" w14:textId="7CC5DC14" w:rsidR="00992BF9" w:rsidRPr="006752EF" w:rsidRDefault="00992BF9" w:rsidP="00992BF9">
      <w:pPr>
        <w:pStyle w:val="Caption"/>
      </w:pPr>
      <w:bookmarkStart w:id="7" w:name="_Toc122696746"/>
      <w:r w:rsidRPr="00712951">
        <w:t xml:space="preserve">Figure </w:t>
      </w:r>
      <w:fldSimple w:instr=" SEQ Figure \* ARABIC ">
        <w:r w:rsidR="00FD3167">
          <w:rPr>
            <w:noProof/>
          </w:rPr>
          <w:t>4</w:t>
        </w:r>
      </w:fldSimple>
      <w:r w:rsidRPr="006752EF">
        <w:t xml:space="preserve"> Webinar 3</w:t>
      </w:r>
      <w:bookmarkEnd w:id="7"/>
      <w:r w:rsidR="00E035CC">
        <w:t>: Themes of questions asked</w:t>
      </w:r>
    </w:p>
    <w:p w14:paraId="5309A898" w14:textId="77777777" w:rsidR="00992BF9" w:rsidRPr="006752EF" w:rsidRDefault="00992BF9" w:rsidP="00992BF9">
      <w:pPr>
        <w:pStyle w:val="Paragraphtext"/>
        <w:spacing w:before="0" w:after="0"/>
        <w:rPr>
          <w:sz w:val="22"/>
          <w:szCs w:val="22"/>
        </w:rPr>
      </w:pPr>
      <w:r w:rsidRPr="006752EF">
        <w:rPr>
          <w:sz w:val="22"/>
          <w:szCs w:val="22"/>
        </w:rPr>
        <w:t>The main concerns raised across all three webinars were about:</w:t>
      </w:r>
    </w:p>
    <w:p w14:paraId="3495A0B4" w14:textId="77777777" w:rsidR="00992BF9" w:rsidRDefault="00992BF9" w:rsidP="00992BF9">
      <w:pPr>
        <w:pStyle w:val="ListBullet"/>
      </w:pPr>
      <w:r>
        <w:t>eligibility criteria of Parts A, B and C</w:t>
      </w:r>
    </w:p>
    <w:p w14:paraId="6B42F480" w14:textId="77777777" w:rsidR="00992BF9" w:rsidRDefault="00992BF9" w:rsidP="00992BF9">
      <w:pPr>
        <w:pStyle w:val="ListBullet"/>
      </w:pPr>
      <w:r>
        <w:t>cost-recovery</w:t>
      </w:r>
    </w:p>
    <w:p w14:paraId="02AACDE9" w14:textId="77777777" w:rsidR="00992BF9" w:rsidRDefault="00992BF9" w:rsidP="00992BF9">
      <w:pPr>
        <w:pStyle w:val="ListBullet"/>
      </w:pPr>
      <w:r>
        <w:t>compliance</w:t>
      </w:r>
    </w:p>
    <w:p w14:paraId="6DAA1D69" w14:textId="77777777" w:rsidR="00992BF9" w:rsidRDefault="00992BF9" w:rsidP="00992BF9">
      <w:pPr>
        <w:pStyle w:val="ListBullet"/>
      </w:pPr>
      <w:r>
        <w:t>data sharing</w:t>
      </w:r>
    </w:p>
    <w:p w14:paraId="32374713" w14:textId="77777777" w:rsidR="00992BF9" w:rsidRDefault="00992BF9" w:rsidP="00992BF9">
      <w:pPr>
        <w:pStyle w:val="Paragraphtext"/>
        <w:spacing w:before="0" w:after="0"/>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390"/>
        <w:gridCol w:w="2546"/>
        <w:gridCol w:w="2560"/>
        <w:gridCol w:w="2564"/>
      </w:tblGrid>
      <w:tr w:rsidR="00992BF9" w:rsidRPr="00FA4FF4" w14:paraId="27A884C5" w14:textId="77777777" w:rsidTr="006752EF">
        <w:trPr>
          <w:cantSplit/>
          <w:tblHeader/>
        </w:trPr>
        <w:tc>
          <w:tcPr>
            <w:tcW w:w="767" w:type="pct"/>
            <w:tcBorders>
              <w:bottom w:val="single" w:sz="4" w:space="0" w:color="auto"/>
            </w:tcBorders>
            <w:shd w:val="clear" w:color="auto" w:fill="E6E6E6" w:themeFill="background2"/>
          </w:tcPr>
          <w:p w14:paraId="0DAE6D1C" w14:textId="77777777" w:rsidR="00992BF9" w:rsidRPr="007B7B20" w:rsidRDefault="00992BF9" w:rsidP="006752EF">
            <w:pPr>
              <w:pStyle w:val="Paragraphtext"/>
              <w:spacing w:before="0" w:after="0"/>
              <w:jc w:val="center"/>
              <w:rPr>
                <w:b/>
                <w:bCs/>
                <w:sz w:val="22"/>
                <w:szCs w:val="22"/>
              </w:rPr>
            </w:pPr>
            <w:r w:rsidRPr="007B7B20">
              <w:rPr>
                <w:b/>
                <w:bCs/>
                <w:sz w:val="22"/>
                <w:szCs w:val="22"/>
              </w:rPr>
              <w:t>Questions in order of popularity of upvote</w:t>
            </w:r>
          </w:p>
        </w:tc>
        <w:tc>
          <w:tcPr>
            <w:tcW w:w="1405" w:type="pct"/>
            <w:shd w:val="clear" w:color="auto" w:fill="E6E6E6" w:themeFill="background2"/>
          </w:tcPr>
          <w:p w14:paraId="779C9067" w14:textId="77777777" w:rsidR="00992BF9" w:rsidRPr="007B7B20" w:rsidRDefault="00992BF9" w:rsidP="006752EF">
            <w:pPr>
              <w:pStyle w:val="Paragraphtext"/>
              <w:spacing w:before="0" w:after="0"/>
              <w:jc w:val="center"/>
              <w:rPr>
                <w:b/>
                <w:bCs/>
                <w:sz w:val="22"/>
                <w:szCs w:val="22"/>
              </w:rPr>
            </w:pPr>
            <w:r w:rsidRPr="007B7B20">
              <w:rPr>
                <w:b/>
                <w:bCs/>
                <w:sz w:val="22"/>
                <w:szCs w:val="22"/>
              </w:rPr>
              <w:t>Webinar 1</w:t>
            </w:r>
          </w:p>
        </w:tc>
        <w:tc>
          <w:tcPr>
            <w:tcW w:w="1413" w:type="pct"/>
            <w:tcBorders>
              <w:bottom w:val="single" w:sz="4" w:space="0" w:color="auto"/>
            </w:tcBorders>
            <w:shd w:val="clear" w:color="auto" w:fill="E6E6E6" w:themeFill="background2"/>
          </w:tcPr>
          <w:p w14:paraId="4C5CB953" w14:textId="77777777" w:rsidR="00992BF9" w:rsidRPr="007B7B20" w:rsidRDefault="00992BF9" w:rsidP="006752EF">
            <w:pPr>
              <w:pStyle w:val="Paragraphtext"/>
              <w:spacing w:before="0" w:after="0"/>
              <w:jc w:val="center"/>
              <w:rPr>
                <w:b/>
                <w:bCs/>
                <w:sz w:val="22"/>
                <w:szCs w:val="22"/>
              </w:rPr>
            </w:pPr>
            <w:r w:rsidRPr="007B7B20">
              <w:rPr>
                <w:b/>
                <w:bCs/>
                <w:sz w:val="22"/>
                <w:szCs w:val="22"/>
              </w:rPr>
              <w:t>Webinar 2</w:t>
            </w:r>
          </w:p>
        </w:tc>
        <w:tc>
          <w:tcPr>
            <w:tcW w:w="1415" w:type="pct"/>
            <w:tcBorders>
              <w:bottom w:val="single" w:sz="4" w:space="0" w:color="auto"/>
            </w:tcBorders>
            <w:shd w:val="clear" w:color="auto" w:fill="E6E6E6" w:themeFill="background2"/>
          </w:tcPr>
          <w:p w14:paraId="1C3E9360" w14:textId="77777777" w:rsidR="00992BF9" w:rsidRPr="007B7B20" w:rsidRDefault="00992BF9" w:rsidP="006752EF">
            <w:pPr>
              <w:pStyle w:val="Paragraphtext"/>
              <w:spacing w:before="0" w:after="0"/>
              <w:jc w:val="center"/>
              <w:rPr>
                <w:b/>
                <w:bCs/>
                <w:sz w:val="22"/>
                <w:szCs w:val="22"/>
              </w:rPr>
            </w:pPr>
            <w:r w:rsidRPr="007B7B20">
              <w:rPr>
                <w:b/>
                <w:bCs/>
                <w:sz w:val="22"/>
                <w:szCs w:val="22"/>
              </w:rPr>
              <w:t>Webinar 3</w:t>
            </w:r>
          </w:p>
        </w:tc>
      </w:tr>
      <w:tr w:rsidR="00992BF9" w14:paraId="5D1DF910" w14:textId="77777777" w:rsidTr="006752EF">
        <w:trPr>
          <w:cantSplit/>
        </w:trPr>
        <w:tc>
          <w:tcPr>
            <w:tcW w:w="767" w:type="pct"/>
            <w:tcBorders>
              <w:bottom w:val="nil"/>
            </w:tcBorders>
          </w:tcPr>
          <w:p w14:paraId="06FA4A91" w14:textId="77777777" w:rsidR="00992BF9" w:rsidRPr="007B7B20" w:rsidRDefault="00992BF9" w:rsidP="006752EF">
            <w:pPr>
              <w:pStyle w:val="Paragraphtext"/>
              <w:spacing w:before="0" w:after="0"/>
              <w:rPr>
                <w:b/>
                <w:bCs/>
                <w:sz w:val="22"/>
                <w:szCs w:val="22"/>
              </w:rPr>
            </w:pPr>
            <w:r w:rsidRPr="007B7B20">
              <w:rPr>
                <w:b/>
                <w:bCs/>
                <w:sz w:val="22"/>
                <w:szCs w:val="22"/>
              </w:rPr>
              <w:t>First</w:t>
            </w:r>
          </w:p>
        </w:tc>
        <w:tc>
          <w:tcPr>
            <w:tcW w:w="1405" w:type="pct"/>
          </w:tcPr>
          <w:p w14:paraId="4B0B5DB7" w14:textId="77777777" w:rsidR="00992BF9" w:rsidRPr="004956DB" w:rsidRDefault="00992BF9" w:rsidP="006752EF">
            <w:pPr>
              <w:pStyle w:val="Tabletextleft"/>
            </w:pPr>
            <w:r w:rsidRPr="000E1FCC">
              <w:t>Paper 1 asked if the definition of prostheses was flexible enough to cover future change in technology. But proposed leg definition is more restrictive. Why?</w:t>
            </w:r>
          </w:p>
        </w:tc>
        <w:tc>
          <w:tcPr>
            <w:tcW w:w="1413" w:type="pct"/>
            <w:tcBorders>
              <w:bottom w:val="nil"/>
            </w:tcBorders>
          </w:tcPr>
          <w:p w14:paraId="0E17026F" w14:textId="77777777" w:rsidR="00992BF9" w:rsidRPr="004620E1" w:rsidRDefault="00992BF9" w:rsidP="006752EF">
            <w:pPr>
              <w:pStyle w:val="Tabletextleft"/>
            </w:pPr>
            <w:r w:rsidRPr="004620E1">
              <w:t>The MOU refers to a 7% gap between public price and PL benefits. Why are new applications being asked to be at or below public prices?</w:t>
            </w:r>
          </w:p>
        </w:tc>
        <w:tc>
          <w:tcPr>
            <w:tcW w:w="1415" w:type="pct"/>
            <w:tcBorders>
              <w:bottom w:val="nil"/>
            </w:tcBorders>
          </w:tcPr>
          <w:p w14:paraId="23C524B5" w14:textId="77777777" w:rsidR="00992BF9" w:rsidRPr="00B7295B" w:rsidRDefault="00992BF9" w:rsidP="006752EF">
            <w:pPr>
              <w:pStyle w:val="Tabletextleft"/>
            </w:pPr>
            <w:r w:rsidRPr="002221B0">
              <w:t xml:space="preserve">Has </w:t>
            </w:r>
            <w:proofErr w:type="spellStart"/>
            <w:r w:rsidRPr="002221B0">
              <w:t>DoHA</w:t>
            </w:r>
            <w:proofErr w:type="spellEnd"/>
            <w:r w:rsidRPr="002221B0">
              <w:t xml:space="preserve"> modelled whether this proposed compliance framework will delay products being introduced and patient access in the private market?</w:t>
            </w:r>
          </w:p>
        </w:tc>
      </w:tr>
      <w:tr w:rsidR="00992BF9" w14:paraId="7C068E6E" w14:textId="77777777" w:rsidTr="006752EF">
        <w:trPr>
          <w:cantSplit/>
        </w:trPr>
        <w:tc>
          <w:tcPr>
            <w:tcW w:w="767" w:type="pct"/>
            <w:tcBorders>
              <w:top w:val="nil"/>
              <w:bottom w:val="single" w:sz="4" w:space="0" w:color="auto"/>
            </w:tcBorders>
          </w:tcPr>
          <w:p w14:paraId="61E8B553" w14:textId="77777777" w:rsidR="00992BF9" w:rsidRPr="007B7B20" w:rsidRDefault="00992BF9" w:rsidP="006752EF">
            <w:pPr>
              <w:pStyle w:val="Paragraphtext"/>
              <w:spacing w:before="0" w:after="0"/>
              <w:rPr>
                <w:b/>
                <w:bCs/>
                <w:sz w:val="22"/>
                <w:szCs w:val="22"/>
              </w:rPr>
            </w:pPr>
          </w:p>
        </w:tc>
        <w:tc>
          <w:tcPr>
            <w:tcW w:w="1405" w:type="pct"/>
          </w:tcPr>
          <w:p w14:paraId="37811B2D" w14:textId="77777777" w:rsidR="00992BF9" w:rsidRPr="007B7B20" w:rsidRDefault="00992BF9" w:rsidP="006752EF">
            <w:pPr>
              <w:pStyle w:val="Tabletextleft"/>
            </w:pPr>
            <w:r w:rsidRPr="000E1FCC">
              <w:t>Can you confirm that non-</w:t>
            </w:r>
            <w:proofErr w:type="spellStart"/>
            <w:r w:rsidRPr="000E1FCC">
              <w:t>implantables</w:t>
            </w:r>
            <w:proofErr w:type="spellEnd"/>
            <w:r w:rsidRPr="000E1FCC">
              <w:t xml:space="preserve"> could be eligible for Part C?</w:t>
            </w:r>
          </w:p>
        </w:tc>
        <w:tc>
          <w:tcPr>
            <w:tcW w:w="1413" w:type="pct"/>
            <w:tcBorders>
              <w:top w:val="nil"/>
            </w:tcBorders>
          </w:tcPr>
          <w:p w14:paraId="6EFC6802" w14:textId="77777777" w:rsidR="00992BF9" w:rsidRPr="007B7B20" w:rsidRDefault="00992BF9" w:rsidP="006752EF">
            <w:pPr>
              <w:pStyle w:val="Tabletextleft"/>
            </w:pPr>
          </w:p>
        </w:tc>
        <w:tc>
          <w:tcPr>
            <w:tcW w:w="1415" w:type="pct"/>
            <w:tcBorders>
              <w:top w:val="nil"/>
            </w:tcBorders>
          </w:tcPr>
          <w:p w14:paraId="642F0CAF" w14:textId="77777777" w:rsidR="00992BF9" w:rsidRPr="00B7295B" w:rsidRDefault="00992BF9" w:rsidP="006752EF">
            <w:pPr>
              <w:pStyle w:val="Tabletextleft"/>
            </w:pPr>
          </w:p>
        </w:tc>
      </w:tr>
      <w:tr w:rsidR="00992BF9" w14:paraId="2294E539" w14:textId="77777777" w:rsidTr="006752EF">
        <w:trPr>
          <w:cantSplit/>
        </w:trPr>
        <w:tc>
          <w:tcPr>
            <w:tcW w:w="767" w:type="pct"/>
            <w:tcBorders>
              <w:bottom w:val="nil"/>
            </w:tcBorders>
          </w:tcPr>
          <w:p w14:paraId="229311A4" w14:textId="77777777" w:rsidR="00992BF9" w:rsidRPr="007B7B20" w:rsidRDefault="00992BF9" w:rsidP="006752EF">
            <w:pPr>
              <w:pStyle w:val="Paragraphtext"/>
              <w:spacing w:before="0" w:after="0"/>
              <w:rPr>
                <w:b/>
                <w:bCs/>
                <w:sz w:val="22"/>
                <w:szCs w:val="22"/>
              </w:rPr>
            </w:pPr>
            <w:r w:rsidRPr="007B7B20">
              <w:rPr>
                <w:b/>
                <w:bCs/>
                <w:sz w:val="22"/>
                <w:szCs w:val="22"/>
              </w:rPr>
              <w:lastRenderedPageBreak/>
              <w:t>Second</w:t>
            </w:r>
          </w:p>
        </w:tc>
        <w:tc>
          <w:tcPr>
            <w:tcW w:w="1405" w:type="pct"/>
          </w:tcPr>
          <w:p w14:paraId="7F1887D5" w14:textId="77777777" w:rsidR="00992BF9" w:rsidRPr="004620E1" w:rsidRDefault="00992BF9" w:rsidP="006752EF">
            <w:pPr>
              <w:pStyle w:val="Tabletextleft"/>
            </w:pPr>
            <w:r w:rsidRPr="000E1FCC">
              <w:t xml:space="preserve">The paper currently seems to propose two different definitions (p.5-6). What does the Department think is the </w:t>
            </w:r>
            <w:r w:rsidRPr="004956DB">
              <w:t>difference between these if any?</w:t>
            </w:r>
          </w:p>
        </w:tc>
        <w:tc>
          <w:tcPr>
            <w:tcW w:w="1413" w:type="pct"/>
          </w:tcPr>
          <w:p w14:paraId="6B1FEC9D" w14:textId="77777777" w:rsidR="00992BF9" w:rsidRPr="007B7B20" w:rsidRDefault="00992BF9" w:rsidP="006752EF">
            <w:pPr>
              <w:pStyle w:val="Tabletextleft"/>
            </w:pPr>
            <w:r w:rsidRPr="004620E1">
              <w:t>There is no single public price, so how does this work? Weighted by jurisdiction utilisation? Adjusted for bulk-purchase pricing? Additional private services?</w:t>
            </w:r>
          </w:p>
        </w:tc>
        <w:tc>
          <w:tcPr>
            <w:tcW w:w="1415" w:type="pct"/>
          </w:tcPr>
          <w:p w14:paraId="42C53527" w14:textId="77777777" w:rsidR="00992BF9" w:rsidRPr="007B7B20" w:rsidRDefault="00992BF9" w:rsidP="006752EF">
            <w:pPr>
              <w:pStyle w:val="Tabletextleft"/>
            </w:pPr>
            <w:r w:rsidRPr="007B7B20">
              <w:t>Some of these requirements appear to duplicate TGA - e.g., concerns with safety. - is this correct?</w:t>
            </w:r>
          </w:p>
        </w:tc>
      </w:tr>
      <w:tr w:rsidR="00992BF9" w14:paraId="67924F12" w14:textId="77777777" w:rsidTr="006752EF">
        <w:trPr>
          <w:cantSplit/>
        </w:trPr>
        <w:tc>
          <w:tcPr>
            <w:tcW w:w="767" w:type="pct"/>
            <w:tcBorders>
              <w:top w:val="nil"/>
              <w:bottom w:val="single" w:sz="4" w:space="0" w:color="auto"/>
            </w:tcBorders>
          </w:tcPr>
          <w:p w14:paraId="452A7D32" w14:textId="77777777" w:rsidR="00992BF9" w:rsidRPr="007B7B20" w:rsidRDefault="00992BF9" w:rsidP="006752EF">
            <w:pPr>
              <w:pStyle w:val="Paragraphtext"/>
              <w:spacing w:before="0" w:after="0"/>
              <w:rPr>
                <w:b/>
                <w:bCs/>
                <w:sz w:val="22"/>
                <w:szCs w:val="22"/>
              </w:rPr>
            </w:pPr>
          </w:p>
        </w:tc>
        <w:tc>
          <w:tcPr>
            <w:tcW w:w="1405" w:type="pct"/>
          </w:tcPr>
          <w:p w14:paraId="0A11B791" w14:textId="77777777" w:rsidR="00992BF9" w:rsidRPr="004956DB" w:rsidRDefault="00992BF9" w:rsidP="006752EF">
            <w:pPr>
              <w:pStyle w:val="Tabletextleft"/>
            </w:pPr>
            <w:r w:rsidRPr="000E1FCC">
              <w:t>Is the intent that Part C would still require discretionary Ministerial activation on DOH advice?  Or automatic if it meets categories (e.g., HTA) outlined.</w:t>
            </w:r>
          </w:p>
        </w:tc>
        <w:tc>
          <w:tcPr>
            <w:tcW w:w="1413" w:type="pct"/>
          </w:tcPr>
          <w:p w14:paraId="64BBE554" w14:textId="77777777" w:rsidR="00992BF9" w:rsidRPr="002221B0" w:rsidRDefault="00992BF9" w:rsidP="006752EF">
            <w:pPr>
              <w:pStyle w:val="Tabletextleft"/>
            </w:pPr>
            <w:r w:rsidRPr="004620E1">
              <w:t>The Prostheses List arrangements benefit PHI and hospitals as well as industry. Why is the levy not applied to PHI and hospitals?</w:t>
            </w:r>
          </w:p>
        </w:tc>
        <w:tc>
          <w:tcPr>
            <w:tcW w:w="1415" w:type="pct"/>
            <w:tcBorders>
              <w:bottom w:val="single" w:sz="4" w:space="0" w:color="auto"/>
            </w:tcBorders>
          </w:tcPr>
          <w:p w14:paraId="1759B570" w14:textId="77777777" w:rsidR="00992BF9" w:rsidRPr="007B7B20" w:rsidRDefault="00992BF9" w:rsidP="006752EF">
            <w:pPr>
              <w:pStyle w:val="Tabletextleft"/>
            </w:pPr>
            <w:r w:rsidRPr="002221B0">
              <w:t>Paper states "sponsors may be required to reapply for listing every fiv</w:t>
            </w:r>
            <w:r w:rsidRPr="00E45F60">
              <w:t>e years". Why? Will this require a cost recovery fee at each reapplication?</w:t>
            </w:r>
          </w:p>
        </w:tc>
      </w:tr>
      <w:tr w:rsidR="00992BF9" w14:paraId="78ADE386" w14:textId="77777777" w:rsidTr="006752EF">
        <w:trPr>
          <w:cantSplit/>
        </w:trPr>
        <w:tc>
          <w:tcPr>
            <w:tcW w:w="767" w:type="pct"/>
            <w:tcBorders>
              <w:bottom w:val="nil"/>
            </w:tcBorders>
          </w:tcPr>
          <w:p w14:paraId="72F04705" w14:textId="77777777" w:rsidR="00992BF9" w:rsidRPr="007B7B20" w:rsidRDefault="00992BF9" w:rsidP="006752EF">
            <w:pPr>
              <w:pStyle w:val="Paragraphtext"/>
              <w:spacing w:before="0" w:after="0"/>
              <w:rPr>
                <w:b/>
                <w:bCs/>
                <w:sz w:val="22"/>
                <w:szCs w:val="22"/>
              </w:rPr>
            </w:pPr>
            <w:r w:rsidRPr="007B7B20">
              <w:rPr>
                <w:b/>
                <w:bCs/>
                <w:sz w:val="22"/>
                <w:szCs w:val="22"/>
              </w:rPr>
              <w:t>Third</w:t>
            </w:r>
          </w:p>
        </w:tc>
        <w:tc>
          <w:tcPr>
            <w:tcW w:w="1405" w:type="pct"/>
            <w:tcBorders>
              <w:bottom w:val="single" w:sz="4" w:space="0" w:color="auto"/>
            </w:tcBorders>
          </w:tcPr>
          <w:p w14:paraId="06E170B9" w14:textId="77777777" w:rsidR="00992BF9" w:rsidRPr="007B7B20" w:rsidRDefault="00992BF9" w:rsidP="006752EF">
            <w:pPr>
              <w:pStyle w:val="Tabletextleft"/>
            </w:pPr>
            <w:r w:rsidRPr="000E1FCC">
              <w:t xml:space="preserve">Criteria 5. "The use of the </w:t>
            </w:r>
            <w:r w:rsidRPr="004956DB">
              <w:t>products is limited to the product’s intended purpose ..." Is this referring to ARTG exempt items specifically or off-label use too?</w:t>
            </w:r>
          </w:p>
        </w:tc>
        <w:tc>
          <w:tcPr>
            <w:tcW w:w="1413" w:type="pct"/>
          </w:tcPr>
          <w:p w14:paraId="11AE1DE3" w14:textId="77777777" w:rsidR="00992BF9" w:rsidRPr="007B7B20" w:rsidRDefault="00992BF9" w:rsidP="006752EF">
            <w:pPr>
              <w:pStyle w:val="Tabletextleft"/>
            </w:pPr>
            <w:r w:rsidRPr="007B7B20">
              <w:t>"</w:t>
            </w:r>
            <w:proofErr w:type="gramStart"/>
            <w:r w:rsidRPr="007B7B20">
              <w:t>public</w:t>
            </w:r>
            <w:proofErr w:type="gramEnd"/>
            <w:r w:rsidRPr="007B7B20">
              <w:t xml:space="preserve"> price or less". Why "or less"? Why offer to provide a private entity (insurers) a preferential subsidy to the public health system?</w:t>
            </w:r>
          </w:p>
        </w:tc>
        <w:tc>
          <w:tcPr>
            <w:tcW w:w="1415" w:type="pct"/>
            <w:tcBorders>
              <w:bottom w:val="nil"/>
            </w:tcBorders>
          </w:tcPr>
          <w:p w14:paraId="5FBD352D" w14:textId="77777777" w:rsidR="00992BF9" w:rsidRPr="007B7B20" w:rsidRDefault="00992BF9" w:rsidP="006752EF">
            <w:pPr>
              <w:pStyle w:val="Tabletextleft"/>
            </w:pPr>
            <w:r w:rsidRPr="007B7B20">
              <w:t>The requirements to notify the Department of new information that may affect different factors are very open ended - how can this be feasibly expected?</w:t>
            </w:r>
          </w:p>
        </w:tc>
      </w:tr>
      <w:tr w:rsidR="00992BF9" w14:paraId="178D5789" w14:textId="77777777" w:rsidTr="006752EF">
        <w:trPr>
          <w:cantSplit/>
        </w:trPr>
        <w:tc>
          <w:tcPr>
            <w:tcW w:w="767" w:type="pct"/>
            <w:tcBorders>
              <w:top w:val="nil"/>
              <w:bottom w:val="nil"/>
            </w:tcBorders>
          </w:tcPr>
          <w:p w14:paraId="41FE8643" w14:textId="77777777" w:rsidR="00992BF9" w:rsidRPr="00B7295B" w:rsidRDefault="00992BF9" w:rsidP="006752EF">
            <w:pPr>
              <w:pStyle w:val="Paragraphtext"/>
              <w:spacing w:before="0" w:after="0"/>
              <w:rPr>
                <w:szCs w:val="21"/>
              </w:rPr>
            </w:pPr>
          </w:p>
        </w:tc>
        <w:tc>
          <w:tcPr>
            <w:tcW w:w="1405" w:type="pct"/>
            <w:tcBorders>
              <w:bottom w:val="nil"/>
            </w:tcBorders>
          </w:tcPr>
          <w:p w14:paraId="5C719879" w14:textId="77777777" w:rsidR="00992BF9" w:rsidRPr="004620E1" w:rsidRDefault="00992BF9" w:rsidP="006752EF">
            <w:pPr>
              <w:pStyle w:val="Tabletextleft"/>
            </w:pPr>
            <w:r w:rsidRPr="000E1FCC">
              <w:t xml:space="preserve">In the feedback from Consult No.1, 54% of stakeholders supported that a device no </w:t>
            </w:r>
            <w:r w:rsidRPr="004956DB">
              <w:t>longer needs to be implanted, why has this feedback now been ignored?</w:t>
            </w:r>
          </w:p>
        </w:tc>
        <w:tc>
          <w:tcPr>
            <w:tcW w:w="1413" w:type="pct"/>
          </w:tcPr>
          <w:p w14:paraId="0CF33586" w14:textId="77777777" w:rsidR="00992BF9" w:rsidRPr="002221B0" w:rsidRDefault="00992BF9" w:rsidP="006752EF">
            <w:pPr>
              <w:pStyle w:val="Tabletextleft"/>
            </w:pPr>
            <w:r w:rsidRPr="004620E1">
              <w:t>Please provide further information for the rationale for international pricing references - including market referenced</w:t>
            </w:r>
          </w:p>
        </w:tc>
        <w:tc>
          <w:tcPr>
            <w:tcW w:w="1415" w:type="pct"/>
            <w:tcBorders>
              <w:top w:val="nil"/>
              <w:bottom w:val="nil"/>
            </w:tcBorders>
          </w:tcPr>
          <w:p w14:paraId="695907CE" w14:textId="77777777" w:rsidR="00992BF9" w:rsidRPr="002221B0" w:rsidRDefault="00992BF9" w:rsidP="006752EF">
            <w:pPr>
              <w:pStyle w:val="Tabletextleft"/>
            </w:pPr>
          </w:p>
        </w:tc>
      </w:tr>
      <w:tr w:rsidR="00992BF9" w:rsidRPr="000E1FCC" w14:paraId="4747EA5F" w14:textId="77777777" w:rsidTr="006752EF">
        <w:trPr>
          <w:cantSplit/>
        </w:trPr>
        <w:tc>
          <w:tcPr>
            <w:tcW w:w="767" w:type="pct"/>
            <w:tcBorders>
              <w:top w:val="nil"/>
            </w:tcBorders>
          </w:tcPr>
          <w:p w14:paraId="2463D340" w14:textId="77777777" w:rsidR="00992BF9" w:rsidRPr="007B7B20" w:rsidRDefault="00992BF9" w:rsidP="006752EF">
            <w:pPr>
              <w:pStyle w:val="Paragraphtext"/>
              <w:spacing w:before="0" w:after="0"/>
              <w:rPr>
                <w:sz w:val="22"/>
                <w:szCs w:val="22"/>
              </w:rPr>
            </w:pPr>
          </w:p>
        </w:tc>
        <w:tc>
          <w:tcPr>
            <w:tcW w:w="1405" w:type="pct"/>
            <w:tcBorders>
              <w:top w:val="nil"/>
            </w:tcBorders>
          </w:tcPr>
          <w:p w14:paraId="24AC05BC" w14:textId="77777777" w:rsidR="00992BF9" w:rsidRPr="000E1FCC" w:rsidRDefault="00992BF9" w:rsidP="006752EF">
            <w:pPr>
              <w:pStyle w:val="Tabletextleft"/>
            </w:pPr>
          </w:p>
        </w:tc>
        <w:tc>
          <w:tcPr>
            <w:tcW w:w="1413" w:type="pct"/>
          </w:tcPr>
          <w:p w14:paraId="7664BBB6" w14:textId="77777777" w:rsidR="00992BF9" w:rsidRPr="007B7B20" w:rsidRDefault="00992BF9" w:rsidP="006752EF">
            <w:pPr>
              <w:pStyle w:val="Tabletextleft"/>
            </w:pPr>
            <w:r w:rsidRPr="004956DB">
              <w:t xml:space="preserve">The device industry does not benefit from </w:t>
            </w:r>
            <w:r w:rsidRPr="004620E1">
              <w:t>post-listing reviews or compliance activities. Why is the device industry being charged for these?</w:t>
            </w:r>
          </w:p>
        </w:tc>
        <w:tc>
          <w:tcPr>
            <w:tcW w:w="1415" w:type="pct"/>
            <w:tcBorders>
              <w:top w:val="nil"/>
            </w:tcBorders>
          </w:tcPr>
          <w:p w14:paraId="11821AB9" w14:textId="77777777" w:rsidR="00992BF9" w:rsidRPr="007B7B20" w:rsidRDefault="00992BF9" w:rsidP="006752EF">
            <w:pPr>
              <w:pStyle w:val="Tabletextleft"/>
            </w:pPr>
          </w:p>
        </w:tc>
      </w:tr>
    </w:tbl>
    <w:p w14:paraId="35F06F12" w14:textId="77777777" w:rsidR="00104C44" w:rsidRDefault="00104C44">
      <w:pPr>
        <w:spacing w:before="0" w:after="0" w:line="240" w:lineRule="auto"/>
        <w:rPr>
          <w:rFonts w:cs="Arial"/>
          <w:b/>
          <w:bCs/>
          <w:iCs/>
          <w:color w:val="358189"/>
          <w:sz w:val="36"/>
          <w:szCs w:val="28"/>
        </w:rPr>
      </w:pPr>
      <w:r>
        <w:br w:type="page"/>
      </w:r>
    </w:p>
    <w:p w14:paraId="28125C33" w14:textId="001B64A3" w:rsidR="00D061D2" w:rsidRDefault="00D061D2" w:rsidP="007C7A22">
      <w:pPr>
        <w:pStyle w:val="Heading2"/>
      </w:pPr>
      <w:bookmarkStart w:id="8" w:name="_Toc122696747"/>
      <w:r>
        <w:lastRenderedPageBreak/>
        <w:t>Exposure Drafts</w:t>
      </w:r>
      <w:bookmarkEnd w:id="8"/>
      <w:r>
        <w:t xml:space="preserve"> </w:t>
      </w:r>
    </w:p>
    <w:p w14:paraId="53B4D32B" w14:textId="345E1D58" w:rsidR="00C30E2C" w:rsidRPr="00BA6342" w:rsidRDefault="00C30E2C" w:rsidP="001E0713">
      <w:pPr>
        <w:pStyle w:val="Paragraphtext"/>
        <w:rPr>
          <w:sz w:val="22"/>
          <w:szCs w:val="22"/>
        </w:rPr>
      </w:pPr>
      <w:r w:rsidRPr="002221B0">
        <w:rPr>
          <w:sz w:val="22"/>
          <w:szCs w:val="22"/>
        </w:rPr>
        <w:t xml:space="preserve">The paper was open for consultation between 4-11 November 2022. A total of </w:t>
      </w:r>
      <w:r w:rsidR="00992BF9">
        <w:rPr>
          <w:sz w:val="22"/>
          <w:szCs w:val="22"/>
        </w:rPr>
        <w:t>9</w:t>
      </w:r>
      <w:r w:rsidRPr="002221B0">
        <w:rPr>
          <w:sz w:val="22"/>
          <w:szCs w:val="22"/>
        </w:rPr>
        <w:t xml:space="preserve"> </w:t>
      </w:r>
      <w:r w:rsidRPr="00BA6342">
        <w:rPr>
          <w:sz w:val="22"/>
          <w:szCs w:val="22"/>
        </w:rPr>
        <w:t>written submissions were received</w:t>
      </w:r>
      <w:r w:rsidR="000E5BEC">
        <w:rPr>
          <w:sz w:val="22"/>
          <w:szCs w:val="22"/>
        </w:rPr>
        <w:t>, with one submission that was received after the consultation period. This submission was</w:t>
      </w:r>
      <w:r w:rsidRPr="00BA6342">
        <w:rPr>
          <w:sz w:val="22"/>
          <w:szCs w:val="22"/>
        </w:rPr>
        <w:t xml:space="preserve"> accepted </w:t>
      </w:r>
      <w:r w:rsidR="000E5BEC">
        <w:rPr>
          <w:sz w:val="22"/>
          <w:szCs w:val="22"/>
        </w:rPr>
        <w:t>and considered</w:t>
      </w:r>
      <w:r w:rsidRPr="00BA6342">
        <w:rPr>
          <w:sz w:val="22"/>
          <w:szCs w:val="22"/>
        </w:rPr>
        <w:t xml:space="preserve"> </w:t>
      </w:r>
      <w:r w:rsidR="007C7A22">
        <w:rPr>
          <w:sz w:val="22"/>
          <w:szCs w:val="22"/>
        </w:rPr>
        <w:t xml:space="preserve">along with submissions received within the consultation period. </w:t>
      </w:r>
    </w:p>
    <w:p w14:paraId="7BF0B63D" w14:textId="7810A01E" w:rsidR="000F7456" w:rsidRDefault="000F7456" w:rsidP="00791461">
      <w:pPr>
        <w:pStyle w:val="Paragraphtext"/>
        <w:rPr>
          <w:sz w:val="22"/>
          <w:szCs w:val="22"/>
        </w:rPr>
      </w:pPr>
      <w:r w:rsidRPr="00BA6342">
        <w:rPr>
          <w:sz w:val="22"/>
          <w:szCs w:val="22"/>
        </w:rPr>
        <w:t>Written submissions were received from the following entities:</w:t>
      </w:r>
    </w:p>
    <w:p w14:paraId="123A2F6A" w14:textId="77777777" w:rsidR="007B7B20" w:rsidRPr="007B7B20" w:rsidRDefault="007B7B20" w:rsidP="000E5BEC">
      <w:pPr>
        <w:pStyle w:val="ListBullet"/>
        <w:ind w:left="340" w:hanging="340"/>
      </w:pPr>
      <w:r w:rsidRPr="007B7B20">
        <w:t>Australian Medical Association</w:t>
      </w:r>
    </w:p>
    <w:p w14:paraId="5D399F9E" w14:textId="77777777" w:rsidR="007B7B20" w:rsidRPr="00992BF9" w:rsidRDefault="007B7B20" w:rsidP="000E5BEC">
      <w:pPr>
        <w:pStyle w:val="ListBullet"/>
        <w:ind w:left="340" w:hanging="340"/>
      </w:pPr>
      <w:r w:rsidRPr="00992BF9">
        <w:t xml:space="preserve">Australian Private Hospitals Association </w:t>
      </w:r>
    </w:p>
    <w:p w14:paraId="06AD4D63" w14:textId="77777777" w:rsidR="007B7B20" w:rsidRPr="000E5BEC" w:rsidRDefault="007B7B20" w:rsidP="000E5BEC">
      <w:pPr>
        <w:pStyle w:val="ListBullet"/>
        <w:ind w:left="340" w:hanging="340"/>
      </w:pPr>
      <w:r w:rsidRPr="000E5BEC">
        <w:t>Catholic Health Australia</w:t>
      </w:r>
    </w:p>
    <w:p w14:paraId="417E9267" w14:textId="77777777" w:rsidR="007B7B20" w:rsidRPr="000E5BEC" w:rsidRDefault="007B7B20" w:rsidP="000E5BEC">
      <w:pPr>
        <w:pStyle w:val="ListBullet"/>
        <w:ind w:left="340" w:hanging="340"/>
      </w:pPr>
      <w:r w:rsidRPr="000E5BEC">
        <w:t>Day Hospitals Australia</w:t>
      </w:r>
    </w:p>
    <w:p w14:paraId="2FC33F2D" w14:textId="77777777" w:rsidR="007B7B20" w:rsidRPr="00EF013C" w:rsidRDefault="007B7B20" w:rsidP="000E5BEC">
      <w:pPr>
        <w:pStyle w:val="ListBullet"/>
        <w:ind w:left="340" w:hanging="340"/>
      </w:pPr>
      <w:r w:rsidRPr="000E5BEC">
        <w:t>Edwards Lifesciences</w:t>
      </w:r>
    </w:p>
    <w:p w14:paraId="705B7F4E" w14:textId="77777777" w:rsidR="007B7B20" w:rsidRPr="00992BF9" w:rsidRDefault="007B7B20" w:rsidP="000E5BEC">
      <w:pPr>
        <w:pStyle w:val="ListBullet"/>
        <w:ind w:left="340" w:hanging="340"/>
      </w:pPr>
      <w:r w:rsidRPr="00992BF9">
        <w:t xml:space="preserve">Medical Technology Association of Australia </w:t>
      </w:r>
    </w:p>
    <w:p w14:paraId="012FCB00" w14:textId="77777777" w:rsidR="007B7B20" w:rsidRPr="000E5BEC" w:rsidRDefault="007B7B20" w:rsidP="000E5BEC">
      <w:pPr>
        <w:pStyle w:val="ListBullet"/>
        <w:ind w:left="340" w:hanging="340"/>
      </w:pPr>
      <w:r w:rsidRPr="000E5BEC">
        <w:t>Medtronic Australasia</w:t>
      </w:r>
    </w:p>
    <w:p w14:paraId="218B75A0" w14:textId="77777777" w:rsidR="007B7B20" w:rsidRPr="000E5BEC" w:rsidRDefault="007B7B20" w:rsidP="000E5BEC">
      <w:pPr>
        <w:pStyle w:val="ListBullet"/>
        <w:ind w:left="340" w:hanging="340"/>
      </w:pPr>
      <w:r w:rsidRPr="000E5BEC">
        <w:t>Members Health Fund Alliance</w:t>
      </w:r>
    </w:p>
    <w:p w14:paraId="4A8B03AF" w14:textId="7F9529F8" w:rsidR="000F7456" w:rsidRDefault="007B7B20" w:rsidP="000E5BEC">
      <w:pPr>
        <w:pStyle w:val="ListBullet"/>
        <w:ind w:left="340" w:hanging="340"/>
      </w:pPr>
      <w:r w:rsidRPr="000E5BEC">
        <w:t>Private Healthcare Australia</w:t>
      </w:r>
    </w:p>
    <w:p w14:paraId="5598689C" w14:textId="2B5AFB73" w:rsidR="00473451" w:rsidRPr="00BA6342" w:rsidRDefault="00473451" w:rsidP="001E0713">
      <w:pPr>
        <w:pStyle w:val="Paragraphtext"/>
        <w:rPr>
          <w:sz w:val="22"/>
          <w:szCs w:val="22"/>
        </w:rPr>
      </w:pPr>
      <w:r w:rsidRPr="00BA6342">
        <w:rPr>
          <w:sz w:val="22"/>
          <w:szCs w:val="22"/>
        </w:rPr>
        <w:t xml:space="preserve">The feedback received will </w:t>
      </w:r>
      <w:r w:rsidR="00026DDC">
        <w:rPr>
          <w:sz w:val="22"/>
          <w:szCs w:val="22"/>
        </w:rPr>
        <w:t xml:space="preserve">be used to </w:t>
      </w:r>
      <w:r w:rsidRPr="00BA6342">
        <w:rPr>
          <w:sz w:val="22"/>
          <w:szCs w:val="22"/>
        </w:rPr>
        <w:t>help inform the content and design of future amendments to the Act(s) and the subordinate legislation (</w:t>
      </w:r>
      <w:proofErr w:type="gramStart"/>
      <w:r w:rsidRPr="00BA6342">
        <w:rPr>
          <w:sz w:val="22"/>
          <w:szCs w:val="22"/>
        </w:rPr>
        <w:t>i.e.</w:t>
      </w:r>
      <w:proofErr w:type="gramEnd"/>
      <w:r w:rsidRPr="00BA6342">
        <w:rPr>
          <w:sz w:val="22"/>
          <w:szCs w:val="22"/>
        </w:rPr>
        <w:t xml:space="preserve"> Rules and Regulations) that will underpin the Pr</w:t>
      </w:r>
      <w:r w:rsidR="0015689B" w:rsidRPr="00BA6342">
        <w:rPr>
          <w:sz w:val="22"/>
          <w:szCs w:val="22"/>
        </w:rPr>
        <w:t xml:space="preserve">ostheses List </w:t>
      </w:r>
      <w:r w:rsidRPr="00BA6342">
        <w:rPr>
          <w:sz w:val="22"/>
          <w:szCs w:val="22"/>
        </w:rPr>
        <w:t>(PL) reforms.</w:t>
      </w:r>
    </w:p>
    <w:p w14:paraId="4FCEA750" w14:textId="79F7626F" w:rsidR="000F7456" w:rsidRPr="000F7456" w:rsidRDefault="000F7456" w:rsidP="001B585E">
      <w:pPr>
        <w:pStyle w:val="Heading2"/>
      </w:pPr>
      <w:bookmarkStart w:id="9" w:name="_Toc122696748"/>
      <w:r w:rsidRPr="000F7456">
        <w:t xml:space="preserve">Legislative </w:t>
      </w:r>
      <w:r w:rsidR="00473451">
        <w:t xml:space="preserve">Amendment </w:t>
      </w:r>
      <w:r w:rsidRPr="000F7456">
        <w:t>Tranches</w:t>
      </w:r>
      <w:bookmarkEnd w:id="9"/>
    </w:p>
    <w:p w14:paraId="264C7729" w14:textId="7447C85D" w:rsidR="00473451" w:rsidRPr="00BA6342" w:rsidRDefault="006932DD" w:rsidP="001E0713">
      <w:pPr>
        <w:pStyle w:val="Paragraphtext"/>
        <w:rPr>
          <w:sz w:val="22"/>
          <w:szCs w:val="22"/>
        </w:rPr>
      </w:pPr>
      <w:r w:rsidRPr="00BA6342">
        <w:rPr>
          <w:sz w:val="22"/>
          <w:szCs w:val="22"/>
        </w:rPr>
        <w:t xml:space="preserve">There are currently three tranches of legislative amendments </w:t>
      </w:r>
      <w:r w:rsidR="00026DDC">
        <w:rPr>
          <w:sz w:val="22"/>
          <w:szCs w:val="22"/>
        </w:rPr>
        <w:t xml:space="preserve">planned </w:t>
      </w:r>
      <w:r w:rsidRPr="00BA6342">
        <w:rPr>
          <w:sz w:val="22"/>
          <w:szCs w:val="22"/>
        </w:rPr>
        <w:t>to support the PL reforms.</w:t>
      </w:r>
      <w:r w:rsidR="001B3393" w:rsidRPr="00BA6342">
        <w:rPr>
          <w:sz w:val="22"/>
          <w:szCs w:val="22"/>
        </w:rPr>
        <w:t xml:space="preserve"> As the reforms progress, further tranches are expected.</w:t>
      </w:r>
    </w:p>
    <w:p w14:paraId="0CFD9878" w14:textId="551883F6" w:rsidR="00026DDC" w:rsidRDefault="00026DDC" w:rsidP="00026DDC">
      <w:pPr>
        <w:pStyle w:val="Paragraphtext"/>
        <w:numPr>
          <w:ilvl w:val="0"/>
          <w:numId w:val="28"/>
        </w:numPr>
        <w:rPr>
          <w:sz w:val="22"/>
          <w:szCs w:val="22"/>
        </w:rPr>
      </w:pPr>
      <w:r>
        <w:rPr>
          <w:sz w:val="22"/>
          <w:szCs w:val="22"/>
        </w:rPr>
        <w:t>F</w:t>
      </w:r>
      <w:r w:rsidR="006932DD" w:rsidRPr="00BA6342">
        <w:rPr>
          <w:sz w:val="22"/>
          <w:szCs w:val="22"/>
        </w:rPr>
        <w:t>irst tranche</w:t>
      </w:r>
      <w:r w:rsidR="00BB1ECD" w:rsidRPr="00BA6342">
        <w:rPr>
          <w:sz w:val="22"/>
          <w:szCs w:val="22"/>
        </w:rPr>
        <w:t xml:space="preserve"> Act amendments</w:t>
      </w:r>
    </w:p>
    <w:p w14:paraId="1327D832" w14:textId="029D606E" w:rsidR="006932DD" w:rsidRPr="00BA6342" w:rsidRDefault="006932DD" w:rsidP="00481EBB">
      <w:pPr>
        <w:pStyle w:val="Paragraphtext"/>
        <w:numPr>
          <w:ilvl w:val="1"/>
          <w:numId w:val="28"/>
        </w:numPr>
        <w:rPr>
          <w:sz w:val="22"/>
          <w:szCs w:val="22"/>
        </w:rPr>
      </w:pPr>
      <w:r w:rsidRPr="00BA6342">
        <w:rPr>
          <w:sz w:val="22"/>
          <w:szCs w:val="22"/>
        </w:rPr>
        <w:t>the bills recently introduced into Parliament, amend</w:t>
      </w:r>
      <w:r w:rsidR="001B3393" w:rsidRPr="00BA6342">
        <w:rPr>
          <w:sz w:val="22"/>
          <w:szCs w:val="22"/>
        </w:rPr>
        <w:t>s</w:t>
      </w:r>
      <w:r w:rsidRPr="00BA6342">
        <w:rPr>
          <w:sz w:val="22"/>
          <w:szCs w:val="22"/>
        </w:rPr>
        <w:t xml:space="preserve"> the Private Health Insurance</w:t>
      </w:r>
      <w:r w:rsidR="001B3393" w:rsidRPr="00BA6342">
        <w:rPr>
          <w:sz w:val="22"/>
          <w:szCs w:val="22"/>
        </w:rPr>
        <w:t xml:space="preserve"> (PHI)</w:t>
      </w:r>
      <w:r w:rsidRPr="00BA6342">
        <w:rPr>
          <w:sz w:val="22"/>
          <w:szCs w:val="22"/>
        </w:rPr>
        <w:t xml:space="preserve"> Acts to insert new definitions, amend the name of the legislative instrument, and</w:t>
      </w:r>
      <w:r w:rsidR="001B3393" w:rsidRPr="00BA6342">
        <w:rPr>
          <w:sz w:val="22"/>
          <w:szCs w:val="22"/>
        </w:rPr>
        <w:t xml:space="preserve"> establish the authority for new fee for service cost recovery arrangements.</w:t>
      </w:r>
    </w:p>
    <w:p w14:paraId="3E5D932B" w14:textId="6A8917D4" w:rsidR="00481EBB" w:rsidRDefault="00481EBB" w:rsidP="00481EBB">
      <w:pPr>
        <w:pStyle w:val="Paragraphtext"/>
        <w:numPr>
          <w:ilvl w:val="0"/>
          <w:numId w:val="28"/>
        </w:numPr>
        <w:rPr>
          <w:sz w:val="22"/>
          <w:szCs w:val="22"/>
        </w:rPr>
      </w:pPr>
      <w:r>
        <w:rPr>
          <w:sz w:val="22"/>
          <w:szCs w:val="22"/>
        </w:rPr>
        <w:t>S</w:t>
      </w:r>
      <w:r w:rsidR="006932DD" w:rsidRPr="00BA6342">
        <w:rPr>
          <w:sz w:val="22"/>
          <w:szCs w:val="22"/>
        </w:rPr>
        <w:t xml:space="preserve">econd tranche </w:t>
      </w:r>
      <w:r w:rsidR="00BB1ECD" w:rsidRPr="00BA6342">
        <w:rPr>
          <w:sz w:val="22"/>
          <w:szCs w:val="22"/>
        </w:rPr>
        <w:t xml:space="preserve">legislative instrument </w:t>
      </w:r>
      <w:r w:rsidR="006932DD" w:rsidRPr="00BA6342">
        <w:rPr>
          <w:sz w:val="22"/>
          <w:szCs w:val="22"/>
        </w:rPr>
        <w:t>amendments</w:t>
      </w:r>
    </w:p>
    <w:p w14:paraId="226D4A07" w14:textId="2863FEE1" w:rsidR="006932DD" w:rsidRPr="00BA6342" w:rsidRDefault="006932DD" w:rsidP="00481EBB">
      <w:pPr>
        <w:pStyle w:val="Paragraphtext"/>
        <w:numPr>
          <w:ilvl w:val="1"/>
          <w:numId w:val="28"/>
        </w:numPr>
        <w:rPr>
          <w:sz w:val="22"/>
          <w:szCs w:val="22"/>
        </w:rPr>
      </w:pPr>
      <w:r w:rsidRPr="00BA6342">
        <w:rPr>
          <w:sz w:val="22"/>
          <w:szCs w:val="22"/>
        </w:rPr>
        <w:t xml:space="preserve">amend the legislative instruments to give effect to the measures in the </w:t>
      </w:r>
      <w:r w:rsidR="001B3393" w:rsidRPr="00BA6342">
        <w:rPr>
          <w:sz w:val="22"/>
          <w:szCs w:val="22"/>
        </w:rPr>
        <w:t xml:space="preserve">first tranche </w:t>
      </w:r>
      <w:r w:rsidRPr="00BA6342">
        <w:rPr>
          <w:sz w:val="22"/>
          <w:szCs w:val="22"/>
        </w:rPr>
        <w:t>bills.</w:t>
      </w:r>
      <w:r w:rsidR="00F321A8" w:rsidRPr="00BA6342">
        <w:rPr>
          <w:sz w:val="22"/>
          <w:szCs w:val="22"/>
        </w:rPr>
        <w:t xml:space="preserve"> </w:t>
      </w:r>
      <w:r w:rsidRPr="00BA6342">
        <w:rPr>
          <w:sz w:val="22"/>
          <w:szCs w:val="22"/>
        </w:rPr>
        <w:t>These amendments</w:t>
      </w:r>
      <w:r w:rsidR="00BB1ECD" w:rsidRPr="00BA6342">
        <w:rPr>
          <w:sz w:val="22"/>
          <w:szCs w:val="22"/>
        </w:rPr>
        <w:t xml:space="preserve"> will</w:t>
      </w:r>
      <w:r w:rsidRPr="00BA6342">
        <w:rPr>
          <w:sz w:val="22"/>
          <w:szCs w:val="22"/>
        </w:rPr>
        <w:t xml:space="preserve"> include the name change, updated listing criteria for Parts A and C, cost recovery </w:t>
      </w:r>
      <w:r w:rsidR="0015689B" w:rsidRPr="00BA6342">
        <w:rPr>
          <w:sz w:val="22"/>
          <w:szCs w:val="22"/>
        </w:rPr>
        <w:t xml:space="preserve">provisions and associated </w:t>
      </w:r>
      <w:r w:rsidRPr="00BA6342">
        <w:rPr>
          <w:sz w:val="22"/>
          <w:szCs w:val="22"/>
        </w:rPr>
        <w:t>fees, and other changes</w:t>
      </w:r>
      <w:r w:rsidR="001B3393" w:rsidRPr="00BA6342">
        <w:rPr>
          <w:sz w:val="22"/>
          <w:szCs w:val="22"/>
        </w:rPr>
        <w:t xml:space="preserve"> as they </w:t>
      </w:r>
      <w:r w:rsidR="00DE5E04" w:rsidRPr="00BA6342">
        <w:rPr>
          <w:sz w:val="22"/>
          <w:szCs w:val="22"/>
        </w:rPr>
        <w:t>are required</w:t>
      </w:r>
      <w:r w:rsidR="0015689B" w:rsidRPr="00BA6342">
        <w:rPr>
          <w:sz w:val="22"/>
          <w:szCs w:val="22"/>
        </w:rPr>
        <w:t xml:space="preserve"> to support the reforms</w:t>
      </w:r>
      <w:r w:rsidRPr="00BA6342">
        <w:rPr>
          <w:sz w:val="22"/>
          <w:szCs w:val="22"/>
        </w:rPr>
        <w:t xml:space="preserve">. </w:t>
      </w:r>
      <w:r w:rsidR="0015689B" w:rsidRPr="00BA6342">
        <w:rPr>
          <w:sz w:val="22"/>
          <w:szCs w:val="22"/>
        </w:rPr>
        <w:t xml:space="preserve">Drafting of the </w:t>
      </w:r>
      <w:r w:rsidR="001B3393" w:rsidRPr="00BA6342">
        <w:rPr>
          <w:sz w:val="22"/>
          <w:szCs w:val="22"/>
        </w:rPr>
        <w:t>second tranche amendments</w:t>
      </w:r>
      <w:r w:rsidRPr="00BA6342">
        <w:rPr>
          <w:sz w:val="22"/>
          <w:szCs w:val="22"/>
        </w:rPr>
        <w:t xml:space="preserve"> </w:t>
      </w:r>
      <w:r w:rsidR="0015689B" w:rsidRPr="00BA6342">
        <w:rPr>
          <w:sz w:val="22"/>
          <w:szCs w:val="22"/>
        </w:rPr>
        <w:t>will commence early 2023</w:t>
      </w:r>
      <w:r w:rsidRPr="00BA6342">
        <w:rPr>
          <w:sz w:val="22"/>
          <w:szCs w:val="22"/>
        </w:rPr>
        <w:t xml:space="preserve">. </w:t>
      </w:r>
      <w:r w:rsidR="00DE5E04" w:rsidRPr="00BA6342">
        <w:rPr>
          <w:sz w:val="22"/>
          <w:szCs w:val="22"/>
        </w:rPr>
        <w:t>Stakeholders will have an opportunity to comment on these separately.</w:t>
      </w:r>
    </w:p>
    <w:p w14:paraId="61FFE87D" w14:textId="6D0F97CB" w:rsidR="00481EBB" w:rsidRDefault="00481EBB" w:rsidP="00481EBB">
      <w:pPr>
        <w:pStyle w:val="Paragraphtext"/>
        <w:numPr>
          <w:ilvl w:val="0"/>
          <w:numId w:val="28"/>
        </w:numPr>
        <w:rPr>
          <w:sz w:val="22"/>
          <w:szCs w:val="22"/>
        </w:rPr>
      </w:pPr>
      <w:r>
        <w:rPr>
          <w:sz w:val="22"/>
          <w:szCs w:val="22"/>
        </w:rPr>
        <w:t>T</w:t>
      </w:r>
      <w:r w:rsidR="006932DD" w:rsidRPr="00BA6342">
        <w:rPr>
          <w:sz w:val="22"/>
          <w:szCs w:val="22"/>
        </w:rPr>
        <w:t xml:space="preserve">hird tranche </w:t>
      </w:r>
      <w:r w:rsidR="00BB1ECD" w:rsidRPr="00BA6342">
        <w:rPr>
          <w:sz w:val="22"/>
          <w:szCs w:val="22"/>
        </w:rPr>
        <w:t xml:space="preserve">Act amendments </w:t>
      </w:r>
    </w:p>
    <w:p w14:paraId="452C0DD0" w14:textId="34F6F39D" w:rsidR="000F7456" w:rsidRPr="00BA6342" w:rsidRDefault="006932DD" w:rsidP="00481EBB">
      <w:pPr>
        <w:pStyle w:val="Paragraphtext"/>
        <w:numPr>
          <w:ilvl w:val="1"/>
          <w:numId w:val="28"/>
        </w:numPr>
        <w:rPr>
          <w:sz w:val="22"/>
          <w:szCs w:val="22"/>
        </w:rPr>
      </w:pPr>
      <w:r w:rsidRPr="00BA6342">
        <w:rPr>
          <w:sz w:val="22"/>
          <w:szCs w:val="22"/>
        </w:rPr>
        <w:t xml:space="preserve">amend the Private Health Insurance (PHI) Act to include data sharing and compliance provisions. </w:t>
      </w:r>
      <w:r w:rsidR="0015689B" w:rsidRPr="00BA6342">
        <w:rPr>
          <w:sz w:val="22"/>
          <w:szCs w:val="22"/>
        </w:rPr>
        <w:t xml:space="preserve">Drafting of the </w:t>
      </w:r>
      <w:r w:rsidR="001B3393" w:rsidRPr="00BA6342">
        <w:rPr>
          <w:sz w:val="22"/>
          <w:szCs w:val="22"/>
        </w:rPr>
        <w:t xml:space="preserve">third tranche </w:t>
      </w:r>
      <w:r w:rsidR="0015689B" w:rsidRPr="00BA6342">
        <w:rPr>
          <w:sz w:val="22"/>
          <w:szCs w:val="22"/>
        </w:rPr>
        <w:t xml:space="preserve">Act </w:t>
      </w:r>
      <w:r w:rsidR="001B3393" w:rsidRPr="00BA6342">
        <w:rPr>
          <w:sz w:val="22"/>
          <w:szCs w:val="22"/>
        </w:rPr>
        <w:t>amendments</w:t>
      </w:r>
      <w:r w:rsidR="0015689B" w:rsidRPr="00BA6342">
        <w:rPr>
          <w:sz w:val="22"/>
          <w:szCs w:val="22"/>
        </w:rPr>
        <w:t xml:space="preserve"> will commence early 2023</w:t>
      </w:r>
      <w:r w:rsidRPr="00BA6342">
        <w:rPr>
          <w:sz w:val="22"/>
          <w:szCs w:val="22"/>
        </w:rPr>
        <w:t xml:space="preserve">. </w:t>
      </w:r>
      <w:r w:rsidR="00DE5E04" w:rsidRPr="00BA6342">
        <w:rPr>
          <w:sz w:val="22"/>
          <w:szCs w:val="22"/>
        </w:rPr>
        <w:t>Stakeholders will have an opportunity to comment on these separately.</w:t>
      </w:r>
    </w:p>
    <w:p w14:paraId="0891C36A" w14:textId="760D5C91" w:rsidR="000F7456" w:rsidRPr="000F7456" w:rsidRDefault="000F7456" w:rsidP="001B585E">
      <w:pPr>
        <w:pStyle w:val="Heading2"/>
      </w:pPr>
      <w:bookmarkStart w:id="10" w:name="_Toc122696749"/>
      <w:r w:rsidRPr="000F7456">
        <w:lastRenderedPageBreak/>
        <w:t>New Terminology</w:t>
      </w:r>
      <w:bookmarkEnd w:id="10"/>
    </w:p>
    <w:p w14:paraId="7592F88F" w14:textId="0BBCFD9A" w:rsidR="00C30E2C" w:rsidRPr="00BA6342" w:rsidRDefault="00C30E2C" w:rsidP="001E0713">
      <w:pPr>
        <w:pStyle w:val="Paragraphtext"/>
        <w:rPr>
          <w:sz w:val="22"/>
          <w:szCs w:val="22"/>
        </w:rPr>
      </w:pPr>
      <w:r w:rsidRPr="00BA6342">
        <w:rPr>
          <w:sz w:val="22"/>
          <w:szCs w:val="22"/>
        </w:rPr>
        <w:t xml:space="preserve">The </w:t>
      </w:r>
      <w:r w:rsidR="00473451" w:rsidRPr="00BA6342">
        <w:rPr>
          <w:sz w:val="22"/>
          <w:szCs w:val="22"/>
        </w:rPr>
        <w:t xml:space="preserve">first tranche </w:t>
      </w:r>
      <w:r w:rsidRPr="00BA6342">
        <w:rPr>
          <w:sz w:val="22"/>
          <w:szCs w:val="22"/>
        </w:rPr>
        <w:t xml:space="preserve">Act amendments provide </w:t>
      </w:r>
      <w:r w:rsidR="00BB1ECD" w:rsidRPr="00BA6342">
        <w:rPr>
          <w:sz w:val="22"/>
          <w:szCs w:val="22"/>
        </w:rPr>
        <w:t xml:space="preserve">authority </w:t>
      </w:r>
      <w:r w:rsidRPr="00BA6342">
        <w:rPr>
          <w:sz w:val="22"/>
          <w:szCs w:val="22"/>
        </w:rPr>
        <w:t xml:space="preserve">for the current Private Health Insurance (Prostheses) Rules to be </w:t>
      </w:r>
      <w:r w:rsidR="00D33FBA" w:rsidRPr="00BA6342">
        <w:rPr>
          <w:sz w:val="22"/>
          <w:szCs w:val="22"/>
        </w:rPr>
        <w:t>re-</w:t>
      </w:r>
      <w:r w:rsidRPr="00BA6342">
        <w:rPr>
          <w:sz w:val="22"/>
          <w:szCs w:val="22"/>
        </w:rPr>
        <w:t>named the Private Health Insurance (Medical Device and Human Tissue Product) Rules. The schedule to the renamed Rules will be known as the Prescribed List of Benefits for Medical Devices and Human Tissue Products, the ‘PL’ for short – previously the</w:t>
      </w:r>
      <w:r w:rsidR="000F7456" w:rsidRPr="00BA6342">
        <w:rPr>
          <w:sz w:val="22"/>
          <w:szCs w:val="22"/>
        </w:rPr>
        <w:t xml:space="preserve"> Prostheses List</w:t>
      </w:r>
      <w:r w:rsidRPr="00BA6342">
        <w:rPr>
          <w:sz w:val="22"/>
          <w:szCs w:val="22"/>
        </w:rPr>
        <w:t>.</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4530"/>
        <w:gridCol w:w="4530"/>
      </w:tblGrid>
      <w:tr w:rsidR="000F7456" w:rsidRPr="001E0713" w14:paraId="13C57BB7" w14:textId="77777777" w:rsidTr="00BA6342">
        <w:tc>
          <w:tcPr>
            <w:tcW w:w="2500" w:type="pct"/>
            <w:shd w:val="clear" w:color="auto" w:fill="E6E6E6" w:themeFill="background2"/>
          </w:tcPr>
          <w:p w14:paraId="17D82369" w14:textId="29A3245E" w:rsidR="000F7456" w:rsidRPr="00BA6342" w:rsidRDefault="000F7456" w:rsidP="00C30E2C">
            <w:pPr>
              <w:pStyle w:val="Paragraphtext"/>
              <w:rPr>
                <w:b/>
                <w:bCs/>
                <w:szCs w:val="21"/>
              </w:rPr>
            </w:pPr>
            <w:r w:rsidRPr="00BA6342">
              <w:rPr>
                <w:b/>
                <w:bCs/>
                <w:szCs w:val="21"/>
              </w:rPr>
              <w:t xml:space="preserve">Previous terminology </w:t>
            </w:r>
          </w:p>
        </w:tc>
        <w:tc>
          <w:tcPr>
            <w:tcW w:w="2500" w:type="pct"/>
            <w:shd w:val="clear" w:color="auto" w:fill="E6E6E6" w:themeFill="background2"/>
          </w:tcPr>
          <w:p w14:paraId="59D321D3" w14:textId="09D69BC7" w:rsidR="000F7456" w:rsidRPr="00BA6342" w:rsidRDefault="000F7456" w:rsidP="00C30E2C">
            <w:pPr>
              <w:pStyle w:val="Paragraphtext"/>
              <w:rPr>
                <w:b/>
                <w:bCs/>
                <w:szCs w:val="21"/>
              </w:rPr>
            </w:pPr>
            <w:r w:rsidRPr="00BA6342">
              <w:rPr>
                <w:b/>
                <w:bCs/>
                <w:szCs w:val="21"/>
              </w:rPr>
              <w:t xml:space="preserve">Proposed new terminology </w:t>
            </w:r>
          </w:p>
        </w:tc>
      </w:tr>
      <w:tr w:rsidR="000F7456" w14:paraId="4D6AF7E4" w14:textId="77777777" w:rsidTr="00BA6342">
        <w:tc>
          <w:tcPr>
            <w:tcW w:w="2500" w:type="pct"/>
          </w:tcPr>
          <w:p w14:paraId="1A27C9B7" w14:textId="0F360A46" w:rsidR="000F7456" w:rsidRDefault="000F7456" w:rsidP="00BA6342">
            <w:pPr>
              <w:pStyle w:val="Tabletextleft"/>
            </w:pPr>
            <w:r>
              <w:t xml:space="preserve">Prostheses </w:t>
            </w:r>
          </w:p>
        </w:tc>
        <w:tc>
          <w:tcPr>
            <w:tcW w:w="2500" w:type="pct"/>
          </w:tcPr>
          <w:p w14:paraId="54FF96E6" w14:textId="3CB93DB4" w:rsidR="000F7456" w:rsidRDefault="000F7456" w:rsidP="00BA6342">
            <w:pPr>
              <w:pStyle w:val="Tabletextleft"/>
            </w:pPr>
            <w:r>
              <w:t>Medical Device</w:t>
            </w:r>
          </w:p>
          <w:p w14:paraId="037227BC" w14:textId="00ECA182" w:rsidR="000F7456" w:rsidRDefault="000F7456" w:rsidP="00BA6342">
            <w:pPr>
              <w:pStyle w:val="Tabletextleft"/>
            </w:pPr>
            <w:r>
              <w:t>Human Tissue Product</w:t>
            </w:r>
          </w:p>
        </w:tc>
      </w:tr>
      <w:tr w:rsidR="000F7456" w14:paraId="63C22E5E" w14:textId="77777777" w:rsidTr="00BA6342">
        <w:tc>
          <w:tcPr>
            <w:tcW w:w="2500" w:type="pct"/>
          </w:tcPr>
          <w:p w14:paraId="1BB4C032" w14:textId="6F71C5FD" w:rsidR="000F7456" w:rsidRDefault="000F7456" w:rsidP="00BA6342">
            <w:pPr>
              <w:pStyle w:val="Tabletextleft"/>
            </w:pPr>
            <w:r w:rsidRPr="000C7568">
              <w:t>Private Health Insurance (Prostheses) Rules</w:t>
            </w:r>
          </w:p>
        </w:tc>
        <w:tc>
          <w:tcPr>
            <w:tcW w:w="2500" w:type="pct"/>
          </w:tcPr>
          <w:p w14:paraId="003DF3E4" w14:textId="0DE3E45D" w:rsidR="000F7456" w:rsidRDefault="000F7456" w:rsidP="00BA6342">
            <w:pPr>
              <w:pStyle w:val="Tabletextleft"/>
            </w:pPr>
            <w:r w:rsidRPr="000C7568">
              <w:t>Private Health Insurance (Medical Device and Human Tissue Product) Rules.</w:t>
            </w:r>
          </w:p>
        </w:tc>
      </w:tr>
      <w:tr w:rsidR="000F7456" w14:paraId="254DFFD1" w14:textId="77777777" w:rsidTr="00BA6342">
        <w:tc>
          <w:tcPr>
            <w:tcW w:w="2500" w:type="pct"/>
          </w:tcPr>
          <w:p w14:paraId="762D598B" w14:textId="2234A9FC" w:rsidR="000F7456" w:rsidRPr="000C7568" w:rsidRDefault="00473451" w:rsidP="00BA6342">
            <w:pPr>
              <w:pStyle w:val="Tabletextleft"/>
            </w:pPr>
            <w:r>
              <w:t>Prostheses List (PL)</w:t>
            </w:r>
          </w:p>
        </w:tc>
        <w:tc>
          <w:tcPr>
            <w:tcW w:w="2500" w:type="pct"/>
          </w:tcPr>
          <w:p w14:paraId="44D11CE3" w14:textId="29EB217D" w:rsidR="000F7456" w:rsidRPr="000C7568" w:rsidRDefault="00473451" w:rsidP="00BA6342">
            <w:pPr>
              <w:pStyle w:val="Tabletextleft"/>
            </w:pPr>
            <w:r w:rsidRPr="000C7568">
              <w:t>Prescribed List of Benefits for Medical Devices and Human Tissue Products</w:t>
            </w:r>
            <w:r>
              <w:t xml:space="preserve"> (PL)</w:t>
            </w:r>
          </w:p>
        </w:tc>
      </w:tr>
    </w:tbl>
    <w:p w14:paraId="0212ACF9" w14:textId="77777777" w:rsidR="00C30E2C" w:rsidRPr="003B499F" w:rsidRDefault="00C30E2C" w:rsidP="00D90F34">
      <w:pPr>
        <w:pStyle w:val="Heading2"/>
      </w:pPr>
      <w:bookmarkStart w:id="11" w:name="_Toc122696750"/>
      <w:r w:rsidRPr="003B499F">
        <w:t>Purpose of Exposure Drafts</w:t>
      </w:r>
      <w:bookmarkEnd w:id="11"/>
    </w:p>
    <w:p w14:paraId="21827AFD" w14:textId="77777777" w:rsidR="00C30E2C" w:rsidRPr="00BA6342" w:rsidRDefault="00C30E2C" w:rsidP="001E0713">
      <w:pPr>
        <w:pStyle w:val="Paragraphtext"/>
        <w:rPr>
          <w:sz w:val="22"/>
          <w:szCs w:val="22"/>
        </w:rPr>
      </w:pPr>
      <w:r w:rsidRPr="00BA6342">
        <w:rPr>
          <w:sz w:val="22"/>
          <w:szCs w:val="22"/>
        </w:rPr>
        <w:t>The purpose of the Exposure Drafts (ED) was to introduce the:</w:t>
      </w:r>
    </w:p>
    <w:p w14:paraId="25B50E09" w14:textId="6C59AE78" w:rsidR="00C30E2C" w:rsidRDefault="00C30E2C" w:rsidP="00BA6342">
      <w:pPr>
        <w:pStyle w:val="ListBullet"/>
      </w:pPr>
      <w:r>
        <w:t>Private Health Insurance Legislation Amendment (Medical Device and Human Tissue Product List and Cost Recovery) Bill 2022</w:t>
      </w:r>
    </w:p>
    <w:p w14:paraId="2DE83CBF" w14:textId="47873445" w:rsidR="00C30E2C" w:rsidRDefault="00C30E2C" w:rsidP="00BA6342">
      <w:pPr>
        <w:pStyle w:val="ListBullet"/>
      </w:pPr>
      <w:r>
        <w:t>Private Health Insurance (Prostheses Application and Listing Fees) Amendment (Cost Recovery) Bill 2022</w:t>
      </w:r>
    </w:p>
    <w:p w14:paraId="416F3E2F" w14:textId="77777777" w:rsidR="00C30E2C" w:rsidRDefault="00C30E2C" w:rsidP="00BA6342">
      <w:pPr>
        <w:pStyle w:val="ListBullet"/>
      </w:pPr>
      <w:r>
        <w:t>Private Health Insurance (National Joint Replacement Register Levy) Amendment (Consequential Amendments) Bill 2022.</w:t>
      </w:r>
    </w:p>
    <w:p w14:paraId="63B15FE6" w14:textId="77777777" w:rsidR="00C30E2C" w:rsidRPr="00BA6342" w:rsidRDefault="00C30E2C" w:rsidP="001E0713">
      <w:pPr>
        <w:pStyle w:val="Paragraphtext"/>
        <w:rPr>
          <w:sz w:val="22"/>
          <w:szCs w:val="22"/>
        </w:rPr>
      </w:pPr>
      <w:r w:rsidRPr="00BA6342">
        <w:rPr>
          <w:sz w:val="22"/>
          <w:szCs w:val="22"/>
        </w:rPr>
        <w:t xml:space="preserve">These bills will amend the </w:t>
      </w:r>
      <w:r w:rsidRPr="00BA6342">
        <w:rPr>
          <w:i/>
          <w:iCs/>
          <w:sz w:val="22"/>
          <w:szCs w:val="22"/>
        </w:rPr>
        <w:t>Private Health Insurance Act 2007</w:t>
      </w:r>
      <w:r w:rsidRPr="00BA6342">
        <w:rPr>
          <w:sz w:val="22"/>
          <w:szCs w:val="22"/>
        </w:rPr>
        <w:t xml:space="preserve">, the </w:t>
      </w:r>
      <w:r w:rsidRPr="00BA6342">
        <w:rPr>
          <w:i/>
          <w:iCs/>
          <w:sz w:val="22"/>
          <w:szCs w:val="22"/>
        </w:rPr>
        <w:t>Private Health Insurance (Prostheses Application and Listing Fees) Act 2007</w:t>
      </w:r>
      <w:r w:rsidRPr="00BA6342">
        <w:rPr>
          <w:sz w:val="22"/>
          <w:szCs w:val="22"/>
        </w:rPr>
        <w:t xml:space="preserve">, </w:t>
      </w:r>
      <w:r w:rsidRPr="00BA6342">
        <w:rPr>
          <w:i/>
          <w:iCs/>
          <w:sz w:val="22"/>
          <w:szCs w:val="22"/>
        </w:rPr>
        <w:t>the Private Health Insurance (National Joint Replacement Register Levy) Act 2009</w:t>
      </w:r>
      <w:r w:rsidRPr="00BA6342">
        <w:rPr>
          <w:sz w:val="22"/>
          <w:szCs w:val="22"/>
        </w:rPr>
        <w:t xml:space="preserve"> and the </w:t>
      </w:r>
      <w:r w:rsidRPr="00BA6342">
        <w:rPr>
          <w:i/>
          <w:iCs/>
          <w:sz w:val="22"/>
          <w:szCs w:val="22"/>
        </w:rPr>
        <w:t>Private Health Insurance (Transitional Provisions and Consequential Amendments) Act 2007</w:t>
      </w:r>
      <w:r w:rsidRPr="00BA6342">
        <w:rPr>
          <w:sz w:val="22"/>
          <w:szCs w:val="22"/>
        </w:rPr>
        <w:t>.</w:t>
      </w:r>
    </w:p>
    <w:p w14:paraId="26B8D7B1" w14:textId="68D0292B" w:rsidR="00C30E2C" w:rsidRPr="00BA6342" w:rsidRDefault="00C30E2C" w:rsidP="001E0713">
      <w:pPr>
        <w:pStyle w:val="Paragraphtext"/>
        <w:rPr>
          <w:sz w:val="22"/>
          <w:szCs w:val="22"/>
        </w:rPr>
      </w:pPr>
      <w:r w:rsidRPr="00BA6342">
        <w:rPr>
          <w:sz w:val="22"/>
          <w:szCs w:val="22"/>
        </w:rPr>
        <w:t>These amendments will:</w:t>
      </w:r>
    </w:p>
    <w:p w14:paraId="6489B064" w14:textId="77777777" w:rsidR="006932DD" w:rsidRDefault="006932DD" w:rsidP="00BA6342">
      <w:pPr>
        <w:pStyle w:val="ListBullet"/>
      </w:pPr>
      <w:r>
        <w:t xml:space="preserve">insert definitions of ‘medical device’ and ‘human tissue product’, </w:t>
      </w:r>
    </w:p>
    <w:p w14:paraId="1140E14B" w14:textId="77777777" w:rsidR="006932DD" w:rsidRDefault="006932DD" w:rsidP="00BA6342">
      <w:pPr>
        <w:pStyle w:val="ListBullet"/>
      </w:pPr>
      <w:r>
        <w:t xml:space="preserve">change the name of the legislative instrument to better reflect its scope, and </w:t>
      </w:r>
    </w:p>
    <w:p w14:paraId="14C855A1" w14:textId="56AE291E" w:rsidR="006932DD" w:rsidRDefault="006932DD" w:rsidP="00BA6342">
      <w:pPr>
        <w:pStyle w:val="ListBullet"/>
      </w:pPr>
      <w:r>
        <w:t xml:space="preserve">establish the authority for new fee for service cost recovery arrangements that are consistent with the Australian Government Charging Framework (AGC Framework). </w:t>
      </w:r>
    </w:p>
    <w:p w14:paraId="75735C63" w14:textId="28ED0C84" w:rsidR="00C30E2C" w:rsidRPr="00BA6342" w:rsidRDefault="00C30E2C" w:rsidP="001E0713">
      <w:pPr>
        <w:pStyle w:val="Paragraphtext"/>
        <w:rPr>
          <w:sz w:val="22"/>
          <w:szCs w:val="22"/>
        </w:rPr>
      </w:pPr>
      <w:r w:rsidRPr="00BA6342">
        <w:rPr>
          <w:sz w:val="22"/>
          <w:szCs w:val="22"/>
        </w:rPr>
        <w:t>The purpose of consultation paper 4(b) was to ask questions of stakeholders solely focused on the ED</w:t>
      </w:r>
      <w:r w:rsidR="00DE5E04" w:rsidRPr="00BA6342">
        <w:rPr>
          <w:sz w:val="22"/>
          <w:szCs w:val="22"/>
        </w:rPr>
        <w:t xml:space="preserve"> and the Explanatory Memorandum (EM).</w:t>
      </w:r>
    </w:p>
    <w:p w14:paraId="65AC4264" w14:textId="056B13E9" w:rsidR="00C30E2C" w:rsidRPr="00DE5E04" w:rsidRDefault="00C30E2C" w:rsidP="00D90F34">
      <w:pPr>
        <w:pStyle w:val="Heading2"/>
      </w:pPr>
      <w:bookmarkStart w:id="12" w:name="_Toc122696751"/>
      <w:r w:rsidRPr="00DE5E04">
        <w:t xml:space="preserve">Status of the </w:t>
      </w:r>
      <w:r w:rsidR="0046758C">
        <w:t>b</w:t>
      </w:r>
      <w:r w:rsidRPr="00DE5E04">
        <w:t>ills</w:t>
      </w:r>
      <w:bookmarkEnd w:id="12"/>
      <w:r w:rsidRPr="00DE5E04">
        <w:t xml:space="preserve"> </w:t>
      </w:r>
    </w:p>
    <w:p w14:paraId="38F8F0BC" w14:textId="7284D49B" w:rsidR="005922AA" w:rsidRPr="00BA6342" w:rsidRDefault="00C30E2C" w:rsidP="001E0713">
      <w:pPr>
        <w:pStyle w:val="Paragraphtext"/>
        <w:rPr>
          <w:sz w:val="22"/>
          <w:szCs w:val="22"/>
        </w:rPr>
      </w:pPr>
      <w:r w:rsidRPr="00BA6342">
        <w:rPr>
          <w:sz w:val="22"/>
          <w:szCs w:val="22"/>
        </w:rPr>
        <w:t xml:space="preserve">The overall feedback from this consultation was supportive of the measures included in the bills and therefore the bills were not amended prior to their introduction to Parliament. The primary concerns raised by respondents related to the lack of detail available. The Department </w:t>
      </w:r>
      <w:r w:rsidR="00A1730B" w:rsidRPr="00BA6342">
        <w:rPr>
          <w:sz w:val="22"/>
          <w:szCs w:val="22"/>
        </w:rPr>
        <w:t>notes that</w:t>
      </w:r>
      <w:r w:rsidRPr="00BA6342">
        <w:rPr>
          <w:sz w:val="22"/>
          <w:szCs w:val="22"/>
        </w:rPr>
        <w:t xml:space="preserve"> this detail will be included in the</w:t>
      </w:r>
      <w:r w:rsidR="00DE5E04" w:rsidRPr="00BA6342">
        <w:rPr>
          <w:sz w:val="22"/>
          <w:szCs w:val="22"/>
        </w:rPr>
        <w:t xml:space="preserve"> </w:t>
      </w:r>
      <w:r w:rsidR="00075710">
        <w:rPr>
          <w:sz w:val="22"/>
          <w:szCs w:val="22"/>
        </w:rPr>
        <w:t>second</w:t>
      </w:r>
      <w:r w:rsidR="00A1730B" w:rsidRPr="00BA6342">
        <w:rPr>
          <w:sz w:val="22"/>
          <w:szCs w:val="22"/>
        </w:rPr>
        <w:t xml:space="preserve"> </w:t>
      </w:r>
      <w:r w:rsidR="00DE5E04" w:rsidRPr="00BA6342">
        <w:rPr>
          <w:sz w:val="22"/>
          <w:szCs w:val="22"/>
        </w:rPr>
        <w:t xml:space="preserve">tranche of legislative </w:t>
      </w:r>
      <w:r w:rsidR="00A1730B" w:rsidRPr="00BA6342">
        <w:rPr>
          <w:sz w:val="22"/>
          <w:szCs w:val="22"/>
        </w:rPr>
        <w:t xml:space="preserve">instrument </w:t>
      </w:r>
      <w:r w:rsidR="00DE5E04" w:rsidRPr="00BA6342">
        <w:rPr>
          <w:sz w:val="22"/>
          <w:szCs w:val="22"/>
        </w:rPr>
        <w:t xml:space="preserve">amendments </w:t>
      </w:r>
      <w:r w:rsidRPr="00BA6342">
        <w:rPr>
          <w:sz w:val="22"/>
          <w:szCs w:val="22"/>
        </w:rPr>
        <w:t>to be drafted in 2023, and stakeholders will have an opportunity to comment on these separately.</w:t>
      </w:r>
    </w:p>
    <w:p w14:paraId="56DC3D0C" w14:textId="12E6FDB1" w:rsidR="00C30E2C" w:rsidRPr="00BA6342" w:rsidRDefault="00C30E2C" w:rsidP="001E0713">
      <w:pPr>
        <w:pStyle w:val="Paragraphtext"/>
        <w:rPr>
          <w:sz w:val="22"/>
          <w:szCs w:val="22"/>
        </w:rPr>
      </w:pPr>
      <w:r w:rsidRPr="00BA6342">
        <w:rPr>
          <w:sz w:val="22"/>
          <w:szCs w:val="22"/>
        </w:rPr>
        <w:lastRenderedPageBreak/>
        <w:t>The bills were introduced by Assistant Minister Ged Kearney MP in the House of Representatives on 1 December 2022, with debates adjourned</w:t>
      </w:r>
      <w:r w:rsidR="00A1730B" w:rsidRPr="00BA6342">
        <w:rPr>
          <w:sz w:val="22"/>
          <w:szCs w:val="22"/>
        </w:rPr>
        <w:t xml:space="preserve"> to 2023</w:t>
      </w:r>
      <w:r w:rsidRPr="00BA6342">
        <w:rPr>
          <w:sz w:val="22"/>
          <w:szCs w:val="22"/>
        </w:rPr>
        <w:t>.</w:t>
      </w:r>
    </w:p>
    <w:p w14:paraId="0170D859" w14:textId="03EE74F5" w:rsidR="000E1FCC" w:rsidRDefault="000E1FCC" w:rsidP="00374F88">
      <w:pPr>
        <w:pStyle w:val="Paragraphtext"/>
        <w:rPr>
          <w:rFonts w:cs="Arial"/>
          <w:b/>
          <w:bCs/>
          <w:iCs/>
          <w:color w:val="358189"/>
          <w:sz w:val="36"/>
          <w:szCs w:val="28"/>
        </w:rPr>
      </w:pPr>
      <w:r>
        <w:br w:type="page"/>
      </w:r>
    </w:p>
    <w:p w14:paraId="1A808A1C" w14:textId="03E9C228" w:rsidR="00C30E2C" w:rsidRPr="00C30E2C" w:rsidRDefault="00C30E2C" w:rsidP="00A1730B">
      <w:pPr>
        <w:pStyle w:val="Heading2"/>
      </w:pPr>
      <w:bookmarkStart w:id="13" w:name="_Toc122696752"/>
      <w:r w:rsidRPr="00C30E2C">
        <w:lastRenderedPageBreak/>
        <w:t xml:space="preserve">Exposure Drafts for legislative </w:t>
      </w:r>
      <w:r w:rsidRPr="00D90F34">
        <w:t>amendments</w:t>
      </w:r>
      <w:r w:rsidRPr="00C30E2C">
        <w:t xml:space="preserve"> to the Private Health Insurance Acts to support the PL reforms.</w:t>
      </w:r>
      <w:bookmarkEnd w:id="13"/>
    </w:p>
    <w:p w14:paraId="2E2A769C" w14:textId="527FAD85" w:rsidR="00A96D90" w:rsidRDefault="003663B5" w:rsidP="00FD3167">
      <w:pPr>
        <w:pStyle w:val="Paragraphtext"/>
        <w:keepNext/>
        <w:jc w:val="center"/>
      </w:pPr>
      <w:r>
        <w:rPr>
          <w:noProof/>
        </w:rPr>
        <w:drawing>
          <wp:inline distT="0" distB="0" distL="0" distR="0" wp14:anchorId="0730A55B" wp14:editId="3083AB1F">
            <wp:extent cx="5651770" cy="4155295"/>
            <wp:effectExtent l="0" t="0" r="6350" b="17145"/>
            <wp:docPr id="1" name="Chart 1" descr="Figure 5 outlines the recurrent themes and concerns raised by respondents to Consultation Paper 4(b) Exposure Drafts. These recurrent themes were definitions, general support for structure of cost recovery, delisting structure of cost recovery, other structure of cost recovery, Ministerial discretion, out-of-scope timing, as well as out-of-scope listing criteria.">
              <a:extLst xmlns:a="http://schemas.openxmlformats.org/drawingml/2006/main">
                <a:ext uri="{FF2B5EF4-FFF2-40B4-BE49-F238E27FC236}">
                  <a16:creationId xmlns:a16="http://schemas.microsoft.com/office/drawing/2014/main" id="{D7EB2CB0-7E22-47E8-823E-BF4BA11198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1B4245" w14:textId="4F8F1614" w:rsidR="00C30E2C" w:rsidRDefault="00A96D90" w:rsidP="003C00D4">
      <w:pPr>
        <w:pStyle w:val="Caption"/>
      </w:pPr>
      <w:bookmarkStart w:id="14" w:name="_Ref121932407"/>
      <w:bookmarkStart w:id="15" w:name="_Toc121935570"/>
      <w:bookmarkStart w:id="16" w:name="_Ref122694619"/>
      <w:bookmarkStart w:id="17" w:name="_Toc122696753"/>
      <w:r w:rsidRPr="0093138C">
        <w:t xml:space="preserve">Figure </w:t>
      </w:r>
      <w:fldSimple w:instr=" SEQ Figure \* ARABIC ">
        <w:r w:rsidR="00FD3167">
          <w:rPr>
            <w:noProof/>
          </w:rPr>
          <w:t>5</w:t>
        </w:r>
      </w:fldSimple>
      <w:bookmarkEnd w:id="14"/>
      <w:r w:rsidRPr="0093138C">
        <w:t xml:space="preserve"> Recurrent themes and concerns raised by respondents to Consultation Paper 4(b) - Exposure Drafts</w:t>
      </w:r>
      <w:bookmarkEnd w:id="15"/>
      <w:bookmarkEnd w:id="16"/>
      <w:bookmarkEnd w:id="17"/>
      <w:r w:rsidR="00C30E2C" w:rsidRPr="003D5F61">
        <w:rPr>
          <w:noProof/>
        </w:rPr>
        <w:t xml:space="preserve"> </w:t>
      </w:r>
    </w:p>
    <w:p w14:paraId="3AA41E99" w14:textId="4AD88BBA" w:rsidR="00C30E2C" w:rsidRPr="00BA6342" w:rsidRDefault="0093138C">
      <w:pPr>
        <w:pStyle w:val="Paragraphtext"/>
        <w:rPr>
          <w:sz w:val="22"/>
          <w:szCs w:val="22"/>
        </w:rPr>
      </w:pPr>
      <w:r w:rsidRPr="000A52EB">
        <w:rPr>
          <w:sz w:val="22"/>
          <w:szCs w:val="22"/>
        </w:rPr>
        <w:fldChar w:fldCharType="begin"/>
      </w:r>
      <w:r w:rsidRPr="000A52EB">
        <w:rPr>
          <w:sz w:val="22"/>
          <w:szCs w:val="22"/>
        </w:rPr>
        <w:instrText xml:space="preserve"> REF _Ref121932407 \h </w:instrText>
      </w:r>
      <w:r w:rsidR="001E0713" w:rsidRPr="00BA6342">
        <w:rPr>
          <w:sz w:val="22"/>
          <w:szCs w:val="22"/>
        </w:rPr>
        <w:instrText xml:space="preserve"> \* MERGEFORMAT </w:instrText>
      </w:r>
      <w:r w:rsidRPr="000A52EB">
        <w:rPr>
          <w:sz w:val="22"/>
          <w:szCs w:val="22"/>
        </w:rPr>
      </w:r>
      <w:r w:rsidRPr="000A52EB">
        <w:rPr>
          <w:sz w:val="22"/>
          <w:szCs w:val="22"/>
        </w:rPr>
        <w:fldChar w:fldCharType="separate"/>
      </w:r>
      <w:r w:rsidR="003C00D4" w:rsidRPr="003C00D4">
        <w:rPr>
          <w:sz w:val="22"/>
          <w:szCs w:val="22"/>
        </w:rPr>
        <w:t>Figure 5</w:t>
      </w:r>
      <w:r w:rsidRPr="000A52EB">
        <w:rPr>
          <w:sz w:val="22"/>
          <w:szCs w:val="22"/>
        </w:rPr>
        <w:fldChar w:fldCharType="end"/>
      </w:r>
      <w:r w:rsidR="00C30E2C" w:rsidRPr="00BA6342">
        <w:rPr>
          <w:sz w:val="22"/>
          <w:szCs w:val="22"/>
        </w:rPr>
        <w:t xml:space="preserve"> represents the </w:t>
      </w:r>
      <w:r w:rsidRPr="00BA6342">
        <w:rPr>
          <w:sz w:val="22"/>
          <w:szCs w:val="22"/>
        </w:rPr>
        <w:t xml:space="preserve">number of responses that relate to the key </w:t>
      </w:r>
      <w:r w:rsidR="00C30E2C" w:rsidRPr="00BA6342">
        <w:rPr>
          <w:sz w:val="22"/>
          <w:szCs w:val="22"/>
        </w:rPr>
        <w:t xml:space="preserve">themes </w:t>
      </w:r>
      <w:r w:rsidR="00A1730B" w:rsidRPr="00BA6342">
        <w:rPr>
          <w:sz w:val="22"/>
          <w:szCs w:val="22"/>
        </w:rPr>
        <w:t xml:space="preserve">and </w:t>
      </w:r>
      <w:r w:rsidR="00C30E2C" w:rsidRPr="00BA6342">
        <w:rPr>
          <w:sz w:val="22"/>
          <w:szCs w:val="22"/>
        </w:rPr>
        <w:t xml:space="preserve">concerns raised from the feedback received. </w:t>
      </w:r>
      <w:r w:rsidR="00A1730B" w:rsidRPr="00BA6342">
        <w:rPr>
          <w:sz w:val="22"/>
          <w:szCs w:val="22"/>
        </w:rPr>
        <w:t>The key themes are</w:t>
      </w:r>
      <w:r w:rsidR="00C30E2C" w:rsidRPr="00BA6342">
        <w:rPr>
          <w:sz w:val="22"/>
          <w:szCs w:val="22"/>
        </w:rPr>
        <w:t>:</w:t>
      </w:r>
    </w:p>
    <w:p w14:paraId="4536ACE6" w14:textId="77777777" w:rsidR="00C30E2C" w:rsidRDefault="00C30E2C" w:rsidP="00BA6342">
      <w:pPr>
        <w:pStyle w:val="ListBullet"/>
      </w:pPr>
      <w:r>
        <w:t>Definitions</w:t>
      </w:r>
    </w:p>
    <w:p w14:paraId="5D93BACF" w14:textId="77777777" w:rsidR="00C30E2C" w:rsidRDefault="00C30E2C" w:rsidP="00BA6342">
      <w:pPr>
        <w:pStyle w:val="ListBullet"/>
      </w:pPr>
      <w:r>
        <w:t>Structure of cost recovery</w:t>
      </w:r>
    </w:p>
    <w:p w14:paraId="07728D71" w14:textId="77777777" w:rsidR="00C30E2C" w:rsidRDefault="00C30E2C" w:rsidP="00BA6342">
      <w:pPr>
        <w:pStyle w:val="ListBullet"/>
      </w:pPr>
      <w:r>
        <w:t>Ministerial discretion</w:t>
      </w:r>
    </w:p>
    <w:p w14:paraId="50A8CD4A" w14:textId="77777777" w:rsidR="00C30E2C" w:rsidRDefault="00C30E2C" w:rsidP="00BA6342">
      <w:pPr>
        <w:pStyle w:val="ListBullet"/>
      </w:pPr>
      <w:r>
        <w:t>Delisting of items from PL</w:t>
      </w:r>
    </w:p>
    <w:p w14:paraId="76D87449" w14:textId="77777777" w:rsidR="00C30E2C" w:rsidRDefault="00C30E2C" w:rsidP="00BA6342">
      <w:pPr>
        <w:pStyle w:val="ListBullet"/>
      </w:pPr>
      <w:r>
        <w:t>Timing</w:t>
      </w:r>
    </w:p>
    <w:p w14:paraId="1399DA14" w14:textId="77777777" w:rsidR="00875401" w:rsidRDefault="00875401" w:rsidP="00C30E2C">
      <w:pPr>
        <w:pStyle w:val="Heading3"/>
        <w:rPr>
          <w:b w:val="0"/>
          <w:bCs w:val="0"/>
        </w:rPr>
      </w:pPr>
      <w:r>
        <w:rPr>
          <w:b w:val="0"/>
          <w:bCs w:val="0"/>
        </w:rPr>
        <w:br w:type="page"/>
      </w:r>
    </w:p>
    <w:p w14:paraId="269C76CA" w14:textId="4790A86B" w:rsidR="00C30E2C" w:rsidRPr="00C30E2C" w:rsidRDefault="00C30E2C" w:rsidP="00C30E2C">
      <w:pPr>
        <w:pStyle w:val="Heading3"/>
        <w:rPr>
          <w:b w:val="0"/>
          <w:bCs w:val="0"/>
        </w:rPr>
      </w:pPr>
      <w:bookmarkStart w:id="18" w:name="_Toc122696754"/>
      <w:r w:rsidRPr="00C30E2C">
        <w:rPr>
          <w:b w:val="0"/>
          <w:bCs w:val="0"/>
        </w:rPr>
        <w:lastRenderedPageBreak/>
        <w:t>Name change</w:t>
      </w:r>
      <w:bookmarkEnd w:id="18"/>
    </w:p>
    <w:p w14:paraId="5B85E0AC" w14:textId="77777777" w:rsidR="00C30E2C" w:rsidRPr="00BA6342" w:rsidRDefault="00C30E2C" w:rsidP="00FA4FF4">
      <w:pPr>
        <w:pStyle w:val="Paragraphtext"/>
        <w:rPr>
          <w:sz w:val="22"/>
          <w:szCs w:val="22"/>
        </w:rPr>
      </w:pPr>
      <w:r w:rsidRPr="00BA6342">
        <w:rPr>
          <w:b/>
          <w:bCs/>
          <w:sz w:val="22"/>
          <w:szCs w:val="22"/>
        </w:rPr>
        <w:t xml:space="preserve">Question asked: </w:t>
      </w:r>
      <w:r w:rsidRPr="00BA6342">
        <w:rPr>
          <w:sz w:val="22"/>
          <w:szCs w:val="22"/>
        </w:rPr>
        <w:t>Do you have any significant concerns with the proposed name change of the legislative instrument from the Private Health Insurance (Prostheses) Rules to the Private Health Insurance (Medical Devices and Human Tissue Products) Rules? If so, what are they and/or what would you change?</w:t>
      </w:r>
    </w:p>
    <w:p w14:paraId="5BBEC9E8" w14:textId="4154AFB5" w:rsidR="00875401" w:rsidRPr="00875401" w:rsidRDefault="00C30E2C" w:rsidP="00BA6342">
      <w:pPr>
        <w:pStyle w:val="Paragraphtext"/>
        <w:rPr>
          <w:szCs w:val="22"/>
        </w:rPr>
      </w:pPr>
      <w:r w:rsidRPr="002221B0">
        <w:rPr>
          <w:szCs w:val="22"/>
        </w:rPr>
        <w:t>Overall</w:t>
      </w:r>
      <w:r w:rsidR="00426201" w:rsidRPr="002221B0">
        <w:rPr>
          <w:szCs w:val="22"/>
        </w:rPr>
        <w:t>,</w:t>
      </w:r>
      <w:r w:rsidRPr="00E45F60">
        <w:rPr>
          <w:szCs w:val="22"/>
        </w:rPr>
        <w:t xml:space="preserve"> stakeholders did not have concerns with the proposed name change</w:t>
      </w:r>
      <w:r w:rsidR="00A1730B" w:rsidRPr="00E45F60">
        <w:rPr>
          <w:szCs w:val="22"/>
        </w:rPr>
        <w:t xml:space="preserve"> and therefore is not included in information presented i</w:t>
      </w:r>
      <w:r w:rsidR="00A1730B" w:rsidRPr="00BA6342">
        <w:rPr>
          <w:szCs w:val="22"/>
        </w:rPr>
        <w:t>n Figure 1.</w:t>
      </w:r>
    </w:p>
    <w:p w14:paraId="7FD971A4" w14:textId="77777777" w:rsidR="00C30E2C" w:rsidRDefault="00C30E2C" w:rsidP="00BA6342">
      <w:pPr>
        <w:pStyle w:val="PolicyStatement"/>
      </w:pPr>
      <w:r w:rsidRPr="004E5711">
        <w:t xml:space="preserve">Department </w:t>
      </w:r>
      <w:r>
        <w:t>r</w:t>
      </w:r>
      <w:r w:rsidRPr="004E5711">
        <w:t>esponse:</w:t>
      </w:r>
    </w:p>
    <w:p w14:paraId="4662180A" w14:textId="6A13AD51" w:rsidR="00C30E2C" w:rsidRDefault="00C30E2C" w:rsidP="000A52EB">
      <w:pPr>
        <w:pStyle w:val="PolicyStatement"/>
      </w:pPr>
      <w:r w:rsidRPr="00A23703">
        <w:t>The Act amendments provide for</w:t>
      </w:r>
      <w:r>
        <w:t xml:space="preserve"> new terminology being ‘medical devices’ and ‘human tissue products. The term ‘prostheses’ has been omitted from the Acts and will no longer be used. T</w:t>
      </w:r>
      <w:r w:rsidRPr="00A23703">
        <w:t xml:space="preserve">he current Private Health Insurance (Prostheses) Rules </w:t>
      </w:r>
      <w:r>
        <w:t>will</w:t>
      </w:r>
      <w:r w:rsidRPr="00A23703">
        <w:t xml:space="preserve"> be named to the Private Health Insurance (Medical Device and Human Tissue Product) Rules. The schedule to the renamed Rules will be known as the Prescribed List of Benefits for Medical Devices and Human Tissue Products, the ‘PL’ for short – previously </w:t>
      </w:r>
      <w:r>
        <w:t xml:space="preserve">known as </w:t>
      </w:r>
      <w:r w:rsidRPr="00A23703">
        <w:t>the Prostheses List.</w:t>
      </w:r>
      <w:r>
        <w:t xml:space="preserve"> This new terminology will help modernise the PL arrangements and be reflective of the items that are eligible for inclusion on the list.</w:t>
      </w:r>
    </w:p>
    <w:p w14:paraId="3C410E40" w14:textId="2CE78D21" w:rsidR="00C30E2C" w:rsidRPr="00C30E2C" w:rsidRDefault="00C30E2C" w:rsidP="00C30E2C">
      <w:pPr>
        <w:pStyle w:val="Heading3"/>
        <w:rPr>
          <w:b w:val="0"/>
          <w:bCs w:val="0"/>
        </w:rPr>
      </w:pPr>
      <w:bookmarkStart w:id="19" w:name="_Toc122696755"/>
      <w:r w:rsidRPr="00C30E2C">
        <w:rPr>
          <w:b w:val="0"/>
          <w:bCs w:val="0"/>
        </w:rPr>
        <w:t>Definitions</w:t>
      </w:r>
      <w:bookmarkEnd w:id="19"/>
    </w:p>
    <w:p w14:paraId="26CC8631" w14:textId="77777777" w:rsidR="00C30E2C" w:rsidRPr="00BA6342" w:rsidRDefault="00C30E2C" w:rsidP="00BA6342">
      <w:pPr>
        <w:pStyle w:val="Paragraphtext"/>
        <w:rPr>
          <w:sz w:val="22"/>
          <w:szCs w:val="22"/>
        </w:rPr>
      </w:pPr>
      <w:r w:rsidRPr="00BA6342">
        <w:rPr>
          <w:b/>
          <w:bCs/>
          <w:sz w:val="22"/>
          <w:szCs w:val="22"/>
        </w:rPr>
        <w:t xml:space="preserve">Question asked: </w:t>
      </w:r>
      <w:hyperlink r:id="rId18" w:history="1">
        <w:r w:rsidRPr="00BA6342">
          <w:rPr>
            <w:sz w:val="22"/>
            <w:szCs w:val="22"/>
          </w:rPr>
          <w:t>Are the proposed definitions of 'medical device' and 'human tissue product' appropriate and relevant to the effective operation of the (future) renamed Prescribed List of Benefits for Medical Devices and Human Tissue Products (formerly the Prostheses List)? If not, please indicate what you believe needs to change. Please note that to determine eligibility of products for listing, these definitions will be used in conjunction with an updated listing criteria to be included in consequential changes to the remade Private Health Insurance (Medical Devices and Human Tissue Products) Rules. A draft proposal will be consulted on in the first quarter of 2023.</w:t>
        </w:r>
      </w:hyperlink>
    </w:p>
    <w:p w14:paraId="2617149E" w14:textId="341E5D86" w:rsidR="00C30E2C" w:rsidRPr="00BA6342" w:rsidRDefault="00C30E2C" w:rsidP="00BA6342">
      <w:pPr>
        <w:pStyle w:val="Paragraphtext"/>
        <w:rPr>
          <w:sz w:val="22"/>
          <w:szCs w:val="22"/>
        </w:rPr>
      </w:pPr>
      <w:r w:rsidRPr="00BA6342">
        <w:rPr>
          <w:sz w:val="22"/>
          <w:szCs w:val="22"/>
        </w:rPr>
        <w:t>Seven respondents found the proposed definitions appropriate and aligned with the definitions provided by the Therapeutic Goods Administration (TGA). Two responses raised issues that retrospective application of the new definitions could mean existing items on the PL would no longer meet the new definitions and would therefore be removed from the PL.</w:t>
      </w:r>
      <w:r w:rsidRPr="00BA6342">
        <w:rPr>
          <w:rStyle w:val="FootnoteReference"/>
          <w:sz w:val="22"/>
          <w:szCs w:val="22"/>
          <w:vertAlign w:val="baseline"/>
        </w:rPr>
        <w:footnoteReference w:id="2"/>
      </w:r>
      <w:r w:rsidRPr="00BA6342">
        <w:rPr>
          <w:sz w:val="22"/>
          <w:szCs w:val="22"/>
        </w:rPr>
        <w:t xml:space="preserve"> Also the term ‘main equipment’ is not explicitly defined, and should be amended to included flexibility in the scope of exceptional purposes and innovations to devices and products.</w:t>
      </w:r>
      <w:r w:rsidRPr="00BA6342">
        <w:rPr>
          <w:rStyle w:val="FootnoteReference"/>
          <w:sz w:val="22"/>
          <w:szCs w:val="22"/>
          <w:vertAlign w:val="baseline"/>
        </w:rPr>
        <w:footnoteReference w:id="3"/>
      </w:r>
      <w:r w:rsidRPr="00BA6342">
        <w:rPr>
          <w:sz w:val="22"/>
          <w:szCs w:val="22"/>
        </w:rPr>
        <w:t xml:space="preserve"> This respondent also noted that that the term ‘accessory’ was taken to mean that it must always be used with a device and can be seen as exclusionary, and limiting clinically satisfactory outcomes.</w:t>
      </w:r>
    </w:p>
    <w:p w14:paraId="5E7EC10C" w14:textId="4A1E0427" w:rsidR="00C30E2C" w:rsidRDefault="00C30E2C" w:rsidP="00BA6342">
      <w:pPr>
        <w:pStyle w:val="PolicyStatement"/>
      </w:pPr>
      <w:r>
        <w:t xml:space="preserve">Department response: </w:t>
      </w:r>
    </w:p>
    <w:p w14:paraId="3FC0C66C" w14:textId="38FD1E45" w:rsidR="00C30E2C" w:rsidRDefault="00C30E2C" w:rsidP="00BA6342">
      <w:pPr>
        <w:pStyle w:val="PolicyStatement"/>
      </w:pPr>
      <w:r>
        <w:lastRenderedPageBreak/>
        <w:t xml:space="preserve">The </w:t>
      </w:r>
      <w:r w:rsidR="00CC0D69">
        <w:t xml:space="preserve">current </w:t>
      </w:r>
      <w:r>
        <w:t xml:space="preserve">legislation does not include a definition of </w:t>
      </w:r>
      <w:r w:rsidR="00C53B94">
        <w:t>a ‘</w:t>
      </w:r>
      <w:proofErr w:type="gramStart"/>
      <w:r w:rsidR="00C53B94">
        <w:t>prosthesis’</w:t>
      </w:r>
      <w:proofErr w:type="gramEnd"/>
      <w:r w:rsidR="00C53B94">
        <w:t xml:space="preserve">. </w:t>
      </w:r>
      <w:r>
        <w:t>The legislation states that ‘</w:t>
      </w:r>
      <w:r w:rsidRPr="00C829F3">
        <w:t>the prosthesis is ‘a product of a kind’ that is listed in Schedule 1 of the Prostheses Rules</w:t>
      </w:r>
      <w:r>
        <w:t xml:space="preserve">’. The Department has rectified the ambiguity caused by this lack of a clear definition in the Act, by the insertion of clear definitions for ‘medical devices’ and ‘human tissue </w:t>
      </w:r>
      <w:proofErr w:type="gramStart"/>
      <w:r>
        <w:t>products’</w:t>
      </w:r>
      <w:proofErr w:type="gramEnd"/>
      <w:r>
        <w:t xml:space="preserve">. Where products meet these new definitions, they will also need to meet the proposed updated listing criteria which will be outlined </w:t>
      </w:r>
      <w:r w:rsidRPr="00DF6736">
        <w:rPr>
          <w:szCs w:val="21"/>
        </w:rPr>
        <w:t>in the Private Health Insurance (Medical Device and Human Tissue Product) Rules.</w:t>
      </w:r>
      <w:r>
        <w:t xml:space="preserve"> The listing criteria can be amended as required to reflect new or emerging technologies that may otherwise not be captured. These two parameters being used in conjunction will give better clarity about items that are appropriate for listing.</w:t>
      </w:r>
    </w:p>
    <w:p w14:paraId="5C2B4037" w14:textId="003DE245" w:rsidR="00C30E2C" w:rsidRPr="00C30E2C" w:rsidRDefault="00C30E2C" w:rsidP="00C30E2C">
      <w:pPr>
        <w:pStyle w:val="Heading3"/>
        <w:rPr>
          <w:b w:val="0"/>
          <w:bCs w:val="0"/>
        </w:rPr>
      </w:pPr>
      <w:bookmarkStart w:id="20" w:name="_Toc122696756"/>
      <w:r w:rsidRPr="00C30E2C">
        <w:rPr>
          <w:b w:val="0"/>
          <w:bCs w:val="0"/>
        </w:rPr>
        <w:t>Structure of cost recovery levies</w:t>
      </w:r>
      <w:bookmarkEnd w:id="20"/>
    </w:p>
    <w:p w14:paraId="024B5C52" w14:textId="77777777" w:rsidR="00C30E2C" w:rsidRPr="00BA6342" w:rsidRDefault="00C30E2C" w:rsidP="00FA4FF4">
      <w:pPr>
        <w:pStyle w:val="Paragraphtext"/>
        <w:rPr>
          <w:sz w:val="22"/>
          <w:szCs w:val="22"/>
        </w:rPr>
      </w:pPr>
      <w:r w:rsidRPr="00BA6342">
        <w:rPr>
          <w:b/>
          <w:bCs/>
          <w:sz w:val="22"/>
          <w:szCs w:val="22"/>
        </w:rPr>
        <w:t>Question asked:</w:t>
      </w:r>
      <w:r w:rsidRPr="00BA6342">
        <w:rPr>
          <w:sz w:val="22"/>
          <w:szCs w:val="22"/>
        </w:rPr>
        <w:t xml:space="preserve"> Do you have any concerns with the proposed legislative structure of the new cost recovery arrangements, including cost recovery fees-for-service and a cost recovery levy? Please note these arrangements are separated into two bills. These bills establish a new statutory authority for cost recovery to ensure compliance with the Australian Government Charging Framework. (The actual amount of the fees/levies will be included in consequential changes to legislative instruments, as Rules and/or Regulations, under each amended Act). The Department is currently considering stakeholder responses to Consultation Paper 3(b). Further consultation will be conducted prior to the commencement of the new fees and levies.</w:t>
      </w:r>
    </w:p>
    <w:p w14:paraId="3B015C33" w14:textId="0834595A" w:rsidR="00C30E2C" w:rsidRPr="002221B0" w:rsidRDefault="00C30E2C" w:rsidP="00BA6342">
      <w:pPr>
        <w:pStyle w:val="Paragraphtext"/>
        <w:rPr>
          <w:szCs w:val="22"/>
        </w:rPr>
      </w:pPr>
      <w:r w:rsidRPr="00BA6342">
        <w:rPr>
          <w:sz w:val="22"/>
          <w:szCs w:val="22"/>
        </w:rPr>
        <w:t>Stakeholders provided feedback in relation to this question on cost recovery levies which included responses relating to compliance with the Australian Government Charging Framework (AGC Framework) and ministerial discretion regarding removal from the PL for unpaid fees.</w:t>
      </w:r>
    </w:p>
    <w:p w14:paraId="74917194" w14:textId="77777777" w:rsidR="00C30E2C" w:rsidRPr="00BA6342" w:rsidRDefault="00C30E2C" w:rsidP="00BA6342">
      <w:pPr>
        <w:pStyle w:val="Paragraphtext"/>
        <w:rPr>
          <w:sz w:val="22"/>
          <w:szCs w:val="22"/>
        </w:rPr>
      </w:pPr>
      <w:r w:rsidRPr="00BA6342">
        <w:rPr>
          <w:sz w:val="22"/>
          <w:szCs w:val="22"/>
        </w:rPr>
        <w:t>One respondent expressly noted it was premature to comment on the cost-recovery framework as subordinate legislation was not out for consultation yet and another respondent noted that cost recovery is not clear, there is insufficient guardrails on the objectives and scope of cost recovery.</w:t>
      </w:r>
      <w:r w:rsidRPr="00BA6342">
        <w:rPr>
          <w:rStyle w:val="FootnoteReference"/>
          <w:sz w:val="22"/>
          <w:szCs w:val="22"/>
          <w:vertAlign w:val="baseline"/>
        </w:rPr>
        <w:footnoteReference w:id="4"/>
      </w:r>
      <w:r w:rsidRPr="00BA6342">
        <w:rPr>
          <w:sz w:val="22"/>
          <w:szCs w:val="22"/>
        </w:rPr>
        <w:t xml:space="preserve"> </w:t>
      </w:r>
    </w:p>
    <w:p w14:paraId="62047358" w14:textId="77777777" w:rsidR="00C30E2C" w:rsidRPr="004E5711" w:rsidRDefault="00C30E2C" w:rsidP="00BA6342">
      <w:pPr>
        <w:pStyle w:val="PolicyStatement"/>
      </w:pPr>
      <w:r w:rsidRPr="004E5711">
        <w:t>Department response:</w:t>
      </w:r>
    </w:p>
    <w:p w14:paraId="5FC9DD2B" w14:textId="61A78BA3" w:rsidR="00C30E2C" w:rsidRPr="004E5711" w:rsidRDefault="00C30E2C" w:rsidP="00BA6342">
      <w:pPr>
        <w:pStyle w:val="PolicyStatement"/>
      </w:pPr>
      <w:r w:rsidRPr="007470FF">
        <w:t>The Department notes that the amendments outlined in these bills provide a statutory authority for a new cost recovery framework only. As stakeholders have correctly noted, the content of the new arrangements such as the amount of the fees/levy, when fees/levy are to be paid and other matters relating to the fees and levy will be outlined in specific detail in the new Rules and Regulations</w:t>
      </w:r>
      <w:r w:rsidR="00C53B94">
        <w:t xml:space="preserve"> (with the fees </w:t>
      </w:r>
      <w:r w:rsidR="00426201">
        <w:t xml:space="preserve">being amended </w:t>
      </w:r>
      <w:r w:rsidR="00C53B94">
        <w:t>in the second tranche</w:t>
      </w:r>
      <w:r w:rsidR="00426201">
        <w:t>,</w:t>
      </w:r>
      <w:r w:rsidR="00C53B94">
        <w:t xml:space="preserve"> and the levy </w:t>
      </w:r>
      <w:r w:rsidR="00426201">
        <w:t>in future tranches</w:t>
      </w:r>
      <w:r w:rsidR="00C53B94">
        <w:t>)</w:t>
      </w:r>
      <w:r w:rsidRPr="007470FF">
        <w:t>. These have not been drafted yet, and stakeholders will be given ample time to comment on these once they are finalised.</w:t>
      </w:r>
      <w:r w:rsidRPr="004E5711">
        <w:t xml:space="preserve"> </w:t>
      </w:r>
    </w:p>
    <w:p w14:paraId="7345925C" w14:textId="5E66A368" w:rsidR="00C30E2C" w:rsidRPr="002F5ED8" w:rsidRDefault="00C30E2C" w:rsidP="001B585E">
      <w:pPr>
        <w:pStyle w:val="Heading3"/>
        <w:rPr>
          <w:i/>
          <w:iCs/>
          <w:sz w:val="28"/>
          <w:szCs w:val="28"/>
        </w:rPr>
      </w:pPr>
      <w:bookmarkStart w:id="21" w:name="_Toc122696757"/>
      <w:r w:rsidRPr="002F5ED8">
        <w:rPr>
          <w:i/>
          <w:iCs/>
          <w:sz w:val="28"/>
          <w:szCs w:val="28"/>
        </w:rPr>
        <w:lastRenderedPageBreak/>
        <w:t>Australian Government Charging Framework (AGC Framework)</w:t>
      </w:r>
      <w:bookmarkEnd w:id="21"/>
    </w:p>
    <w:p w14:paraId="4F0CB919" w14:textId="77777777" w:rsidR="00C30E2C" w:rsidRPr="00BA6342" w:rsidRDefault="00C30E2C" w:rsidP="00FA4FF4">
      <w:pPr>
        <w:pStyle w:val="Paragraphtext"/>
        <w:rPr>
          <w:sz w:val="22"/>
          <w:szCs w:val="22"/>
        </w:rPr>
      </w:pPr>
      <w:r w:rsidRPr="00BA6342">
        <w:rPr>
          <w:sz w:val="22"/>
          <w:szCs w:val="22"/>
        </w:rPr>
        <w:t>Stakeholders are supportive of the position that compliance with the legislated framework is fundamental and necessary. While the legislated framework work is yet to be completed, it has been explicitly supported by stakeholders, who have commented that it will produce a positive financial outcome for consumers.</w:t>
      </w:r>
      <w:r w:rsidRPr="00BA6342">
        <w:rPr>
          <w:rStyle w:val="FootnoteReference"/>
          <w:sz w:val="22"/>
          <w:szCs w:val="22"/>
          <w:vertAlign w:val="baseline"/>
        </w:rPr>
        <w:footnoteReference w:id="5"/>
      </w:r>
    </w:p>
    <w:p w14:paraId="66284813" w14:textId="77777777" w:rsidR="00C30E2C" w:rsidRPr="004E5711" w:rsidRDefault="00C30E2C" w:rsidP="00BA6342">
      <w:pPr>
        <w:pStyle w:val="PolicyStatement"/>
        <w:rPr>
          <w:i/>
          <w:iCs/>
        </w:rPr>
      </w:pPr>
      <w:r w:rsidRPr="004E5711">
        <w:rPr>
          <w:i/>
          <w:iCs/>
        </w:rPr>
        <w:t>Department response:</w:t>
      </w:r>
    </w:p>
    <w:p w14:paraId="3261DFD6" w14:textId="77777777" w:rsidR="00C30E2C" w:rsidRPr="0057494B" w:rsidRDefault="00C30E2C" w:rsidP="00BA6342">
      <w:pPr>
        <w:pStyle w:val="PolicyStatement"/>
      </w:pPr>
      <w:r>
        <w:t xml:space="preserve">The amendments outlined in the bills support the new cost recovery arrangements that align with Australian Government Charging Framework (AGCF). Implementing these cost recovery arrangements will ensure that the Department can administer the new list in a financially sustainable and compliant way. </w:t>
      </w:r>
    </w:p>
    <w:p w14:paraId="6FD4F3E6" w14:textId="77777777" w:rsidR="00C30E2C" w:rsidRPr="00C30E2C" w:rsidRDefault="00C30E2C" w:rsidP="001B585E">
      <w:pPr>
        <w:pStyle w:val="Heading4"/>
      </w:pPr>
      <w:r w:rsidRPr="00C30E2C">
        <w:t>Ministerial discretion</w:t>
      </w:r>
    </w:p>
    <w:p w14:paraId="579DB29E" w14:textId="0ADE523D" w:rsidR="00C30E2C" w:rsidRPr="00BA6342" w:rsidRDefault="00C30E2C" w:rsidP="00BA6342">
      <w:pPr>
        <w:pStyle w:val="Paragraphtext"/>
        <w:rPr>
          <w:sz w:val="22"/>
          <w:szCs w:val="22"/>
        </w:rPr>
      </w:pPr>
      <w:r w:rsidRPr="00BA6342">
        <w:rPr>
          <w:sz w:val="22"/>
          <w:szCs w:val="22"/>
        </w:rPr>
        <w:t>There were 3 responses with concerns that the ‘Ministerial discretion’ is too broad. These concerns were directed towards the Minister’s discretion generally (</w:t>
      </w:r>
      <w:r w:rsidR="00C53B94" w:rsidRPr="00BA6342">
        <w:rPr>
          <w:sz w:val="22"/>
          <w:szCs w:val="22"/>
        </w:rPr>
        <w:t>i.e.,</w:t>
      </w:r>
      <w:r w:rsidRPr="00BA6342">
        <w:rPr>
          <w:sz w:val="22"/>
          <w:szCs w:val="22"/>
        </w:rPr>
        <w:t xml:space="preserve"> relating to listing and delisting). However, the current Bills refer to the establishment of the statutory authority for cost recovery arrangements as the Bill provide for. As such, the Department has separated the feedback on Ministerial </w:t>
      </w:r>
      <w:r w:rsidR="00C53B94" w:rsidRPr="00BA6342">
        <w:rPr>
          <w:sz w:val="22"/>
          <w:szCs w:val="22"/>
        </w:rPr>
        <w:t>discretion</w:t>
      </w:r>
      <w:r w:rsidRPr="00BA6342">
        <w:rPr>
          <w:sz w:val="22"/>
          <w:szCs w:val="22"/>
        </w:rPr>
        <w:t xml:space="preserve"> into two streams: in scope (see response below); and out of scope (refer to the Out-of-scope from consultation 4(b) – Exposure Drafts; Delisting section below to see feedback regarding the Minister’s discretion relating to listing criteria amendments).</w:t>
      </w:r>
    </w:p>
    <w:p w14:paraId="6AB66AC6" w14:textId="77777777" w:rsidR="00C30E2C" w:rsidRPr="00355780" w:rsidRDefault="00C30E2C" w:rsidP="00BA6342">
      <w:pPr>
        <w:pStyle w:val="PolicyStatement"/>
      </w:pPr>
      <w:r>
        <w:t xml:space="preserve">Department response: </w:t>
      </w:r>
    </w:p>
    <w:p w14:paraId="5AA11F81" w14:textId="73A4E286" w:rsidR="00C30E2C" w:rsidRPr="00F90605" w:rsidRDefault="00C30E2C" w:rsidP="00BA6342">
      <w:pPr>
        <w:pStyle w:val="PolicyStatement"/>
      </w:pPr>
      <w:r>
        <w:t xml:space="preserve">The Ministerial discretion referred to in consultation 4(b) relating to the cost recovery amendments aligns and adheres to similar cost recovery projects undertaken by the Department. If </w:t>
      </w:r>
      <w:r w:rsidR="00426201">
        <w:t xml:space="preserve">a </w:t>
      </w:r>
      <w:r>
        <w:t xml:space="preserve">stakeholder has not paid the required levy to enable their product to stay eligible for listing, the Department will firstly work with the stakeholder to come </w:t>
      </w:r>
      <w:r w:rsidR="00426201">
        <w:t xml:space="preserve">to </w:t>
      </w:r>
      <w:r>
        <w:t xml:space="preserve">an appropriate solution to prevent their product </w:t>
      </w:r>
      <w:r w:rsidR="00426201">
        <w:t xml:space="preserve">from </w:t>
      </w:r>
      <w:r>
        <w:t xml:space="preserve">being removed from the PL. </w:t>
      </w:r>
    </w:p>
    <w:p w14:paraId="77093FDB" w14:textId="77777777" w:rsidR="00166C56" w:rsidRDefault="00166C56">
      <w:pPr>
        <w:spacing w:before="0" w:after="0" w:line="240" w:lineRule="auto"/>
        <w:rPr>
          <w:rFonts w:cs="Arial"/>
          <w:b/>
          <w:bCs/>
          <w:color w:val="358189"/>
          <w:sz w:val="32"/>
          <w:szCs w:val="26"/>
        </w:rPr>
      </w:pPr>
      <w:r>
        <w:br w:type="page"/>
      </w:r>
    </w:p>
    <w:p w14:paraId="72428747" w14:textId="5D6E99A5" w:rsidR="00C30E2C" w:rsidRDefault="00C30E2C" w:rsidP="001B585E">
      <w:pPr>
        <w:pStyle w:val="Heading3"/>
      </w:pPr>
      <w:bookmarkStart w:id="22" w:name="_Toc122696758"/>
      <w:r w:rsidRPr="00CA484E">
        <w:lastRenderedPageBreak/>
        <w:t>Out</w:t>
      </w:r>
      <w:r>
        <w:t>-of-</w:t>
      </w:r>
      <w:r w:rsidRPr="00CA484E">
        <w:t>scope</w:t>
      </w:r>
      <w:r>
        <w:t xml:space="preserve"> from Consultation 4(b) – Exposure Drafts</w:t>
      </w:r>
      <w:bookmarkEnd w:id="22"/>
    </w:p>
    <w:p w14:paraId="7D4CB2D0" w14:textId="68A176A7" w:rsidR="00C30E2C" w:rsidRPr="00BA6342" w:rsidRDefault="00C30E2C" w:rsidP="00FA4FF4">
      <w:pPr>
        <w:pStyle w:val="Paragraphtext"/>
        <w:rPr>
          <w:sz w:val="22"/>
          <w:szCs w:val="22"/>
        </w:rPr>
      </w:pPr>
      <w:r w:rsidRPr="00BA6342">
        <w:rPr>
          <w:sz w:val="22"/>
          <w:szCs w:val="22"/>
        </w:rPr>
        <w:t>Stakeholders raised several issues that were outside the scope of consultation paper 4(b)</w:t>
      </w:r>
      <w:r w:rsidR="00C53B94" w:rsidRPr="00BA6342">
        <w:rPr>
          <w:sz w:val="22"/>
          <w:szCs w:val="22"/>
        </w:rPr>
        <w:t xml:space="preserve">. </w:t>
      </w:r>
      <w:r w:rsidRPr="00BA6342">
        <w:rPr>
          <w:sz w:val="22"/>
          <w:szCs w:val="22"/>
        </w:rPr>
        <w:t>The Department would like to reassure stakeholders that their concerns regarding these issues will be considered for future tranches of legislative amendments to both the Acts and the legislative instruments. These out-of-scope issues included:</w:t>
      </w:r>
    </w:p>
    <w:p w14:paraId="0274D7DE" w14:textId="77777777" w:rsidR="00C30E2C" w:rsidRPr="00C30E2C" w:rsidRDefault="00C30E2C" w:rsidP="001B585E">
      <w:pPr>
        <w:pStyle w:val="Heading4"/>
      </w:pPr>
      <w:r w:rsidRPr="00C30E2C">
        <w:t>Timing</w:t>
      </w:r>
    </w:p>
    <w:p w14:paraId="578A0E54" w14:textId="1793279E" w:rsidR="00C30E2C" w:rsidRPr="00BA6342" w:rsidRDefault="00C30E2C" w:rsidP="00BA6342">
      <w:pPr>
        <w:pStyle w:val="Paragraphtext"/>
        <w:rPr>
          <w:sz w:val="22"/>
          <w:szCs w:val="22"/>
        </w:rPr>
      </w:pPr>
      <w:r w:rsidRPr="00BA6342">
        <w:rPr>
          <w:sz w:val="22"/>
          <w:szCs w:val="22"/>
        </w:rPr>
        <w:t>Stakeholders raised that a seven-calendar-day consultation period (4-11 November 2022) was an inadequate amount of time for stakeholders to properly digest and provide feedback on the exposure drafts prior to their introduction into Parliament.</w:t>
      </w:r>
    </w:p>
    <w:p w14:paraId="66548C93" w14:textId="77777777" w:rsidR="00C30E2C" w:rsidRDefault="00C30E2C" w:rsidP="00C30E2C">
      <w:pPr>
        <w:pStyle w:val="Paragraphtext"/>
        <w:spacing w:before="0" w:after="0"/>
      </w:pPr>
      <w:r>
        <w:t xml:space="preserve">                                                                                                                                                                                                                                                                                                                                                                                                                                                                                                                                                                                                                                                                                                                                                                                                                                                                                                                                                                                                                                                                                                                                                                                                                                                                                                                                                                                                                                                                                                                                                                                                                                                                                                                                                                                                                                                                                                                                                                                                          </w:t>
      </w:r>
    </w:p>
    <w:p w14:paraId="54A1CF00" w14:textId="77777777" w:rsidR="00C30E2C" w:rsidRDefault="00C30E2C" w:rsidP="00BA6342">
      <w:pPr>
        <w:pStyle w:val="PolicyStatement"/>
      </w:pPr>
      <w:r>
        <w:t xml:space="preserve">Department response: </w:t>
      </w:r>
    </w:p>
    <w:p w14:paraId="2FFAF0A4" w14:textId="0092F974" w:rsidR="00C30E2C" w:rsidRDefault="00C30E2C" w:rsidP="00BA6342">
      <w:pPr>
        <w:pStyle w:val="PolicyStatement"/>
      </w:pPr>
      <w:r>
        <w:t xml:space="preserve">The Department acknowledges that this short timeframe was </w:t>
      </w:r>
      <w:r w:rsidR="00CC0D69">
        <w:t>challenging</w:t>
      </w:r>
      <w:r>
        <w:t xml:space="preserve"> </w:t>
      </w:r>
      <w:r w:rsidR="00CC0D69">
        <w:t xml:space="preserve">for </w:t>
      </w:r>
      <w:r>
        <w:t xml:space="preserve">stakeholders to fully consider the content of the </w:t>
      </w:r>
      <w:r w:rsidR="00C53B94">
        <w:t>bills and</w:t>
      </w:r>
      <w:r>
        <w:t xml:space="preserve"> will endeavour to provide adequate timeframes for upcoming consultations</w:t>
      </w:r>
      <w:r w:rsidR="00CC0D69">
        <w:t xml:space="preserve"> in 2023</w:t>
      </w:r>
      <w:r>
        <w:t xml:space="preserve">. </w:t>
      </w:r>
      <w:r w:rsidR="00426201">
        <w:t>In addition</w:t>
      </w:r>
      <w:r>
        <w:t xml:space="preserve"> </w:t>
      </w:r>
      <w:r w:rsidR="00426201">
        <w:t xml:space="preserve">to </w:t>
      </w:r>
      <w:r>
        <w:t>the feedback received through this consultation, the Department also incorporated feedback from previous forums (including webinars and consultation papers) into the</w:t>
      </w:r>
      <w:r w:rsidR="00C53B94">
        <w:t xml:space="preserve"> first tranche</w:t>
      </w:r>
      <w:r>
        <w:t xml:space="preserve"> </w:t>
      </w:r>
      <w:r w:rsidR="00C53B94">
        <w:t>b</w:t>
      </w:r>
      <w:r>
        <w:t>ills.</w:t>
      </w:r>
    </w:p>
    <w:p w14:paraId="48EE9DDE" w14:textId="77777777" w:rsidR="00C30E2C" w:rsidRPr="00C30E2C" w:rsidRDefault="00C30E2C" w:rsidP="001B585E">
      <w:pPr>
        <w:pStyle w:val="Heading4"/>
      </w:pPr>
      <w:r w:rsidRPr="00C30E2C">
        <w:t>Regrouping</w:t>
      </w:r>
    </w:p>
    <w:p w14:paraId="79FDD680" w14:textId="1DF6D6AB" w:rsidR="00C30E2C" w:rsidRPr="002221B0" w:rsidRDefault="00C30E2C" w:rsidP="00BA6342">
      <w:pPr>
        <w:pStyle w:val="Paragraphtext"/>
        <w:rPr>
          <w:szCs w:val="22"/>
        </w:rPr>
      </w:pPr>
      <w:r w:rsidRPr="00BA6342">
        <w:rPr>
          <w:sz w:val="22"/>
          <w:szCs w:val="22"/>
        </w:rPr>
        <w:t>Stakeholders are awaiting final advice on the regrouping of the PL. The regrouping is not affected by the measures in the bills.</w:t>
      </w:r>
    </w:p>
    <w:p w14:paraId="1A1AD8A0" w14:textId="77777777" w:rsidR="00C30E2C" w:rsidRPr="00C30E2C" w:rsidRDefault="00C30E2C" w:rsidP="001B585E">
      <w:pPr>
        <w:pStyle w:val="Heading4"/>
      </w:pPr>
      <w:r w:rsidRPr="00C30E2C">
        <w:t>Del</w:t>
      </w:r>
      <w:r w:rsidRPr="003B499F">
        <w:t xml:space="preserve">isting </w:t>
      </w:r>
    </w:p>
    <w:p w14:paraId="03AFDE3D" w14:textId="77E7838B" w:rsidR="00C30E2C" w:rsidRPr="002221B0" w:rsidRDefault="00C30E2C" w:rsidP="00BA6342">
      <w:pPr>
        <w:pStyle w:val="Paragraphtext"/>
        <w:rPr>
          <w:szCs w:val="22"/>
        </w:rPr>
      </w:pPr>
      <w:r w:rsidRPr="00BA6342">
        <w:rPr>
          <w:sz w:val="22"/>
          <w:szCs w:val="22"/>
        </w:rPr>
        <w:t>Respondents raised concerns on Ministerial discretion for delisting of items in circumstances other than delisting measures for unpaid cost recovery levies. Some stakeholders noted that the delisting of items from the PL does not only disadvantage the listing company who may be the intended recipient of 'punishment'</w:t>
      </w:r>
      <w:r w:rsidRPr="00BA6342">
        <w:rPr>
          <w:rStyle w:val="FootnoteReference"/>
          <w:sz w:val="22"/>
          <w:szCs w:val="22"/>
        </w:rPr>
        <w:footnoteReference w:id="6"/>
      </w:r>
      <w:r w:rsidRPr="00BA6342">
        <w:rPr>
          <w:sz w:val="22"/>
          <w:szCs w:val="22"/>
        </w:rPr>
        <w:t>, but also patients and hospitals.</w:t>
      </w:r>
    </w:p>
    <w:p w14:paraId="645EEEAA" w14:textId="77777777" w:rsidR="00C30E2C" w:rsidRDefault="00C30E2C" w:rsidP="00BA6342">
      <w:pPr>
        <w:pStyle w:val="PolicyStatement"/>
      </w:pPr>
      <w:r w:rsidRPr="005A282B">
        <w:t xml:space="preserve">Department response: </w:t>
      </w:r>
    </w:p>
    <w:p w14:paraId="28F6D2F7" w14:textId="1F0E59C1" w:rsidR="00C30E2C" w:rsidRPr="00C53B94" w:rsidRDefault="00C30E2C" w:rsidP="00BA6342">
      <w:pPr>
        <w:pStyle w:val="PolicyStatement"/>
      </w:pPr>
      <w:r w:rsidRPr="00C53B94">
        <w:t>The current legislation does not provide for specific delisting powers.</w:t>
      </w:r>
      <w:r w:rsidR="00C53B94" w:rsidRPr="00C53B94">
        <w:t xml:space="preserve"> The courts have recognised the Minister’s ability to de-list kinds of prostheses from the Prostheses List based on s 333-20 of the PHI Act, together with s 33(3) of the Acts Interpretation Act 1901 (AIA).</w:t>
      </w:r>
      <w:r w:rsidR="00C53B94">
        <w:t xml:space="preserve"> </w:t>
      </w:r>
      <w:r w:rsidRPr="00C53B94">
        <w:t xml:space="preserve">The Department may consider </w:t>
      </w:r>
      <w:r w:rsidR="00C53B94">
        <w:t>the inclusion of specific delisting powers</w:t>
      </w:r>
      <w:r w:rsidRPr="00C53B94">
        <w:t xml:space="preserve"> </w:t>
      </w:r>
      <w:r w:rsidR="00C53B94">
        <w:t xml:space="preserve">in </w:t>
      </w:r>
      <w:r w:rsidRPr="00C53B94">
        <w:t xml:space="preserve">future legislative </w:t>
      </w:r>
      <w:r w:rsidR="00C53B94" w:rsidRPr="00C53B94">
        <w:t xml:space="preserve">amendments </w:t>
      </w:r>
      <w:r w:rsidR="00C53B94">
        <w:t>and</w:t>
      </w:r>
      <w:r w:rsidRPr="00C53B94">
        <w:t xml:space="preserve"> will consult with stakeholders in due course.</w:t>
      </w:r>
    </w:p>
    <w:p w14:paraId="70F77F55" w14:textId="6BFD8892" w:rsidR="00C30E2C" w:rsidRPr="003B499F" w:rsidRDefault="00C30E2C" w:rsidP="001B585E">
      <w:pPr>
        <w:pStyle w:val="Heading4"/>
      </w:pPr>
      <w:r w:rsidRPr="003B499F">
        <w:lastRenderedPageBreak/>
        <w:t>Criteria for listing to be introduced through Legislative Instruments</w:t>
      </w:r>
    </w:p>
    <w:p w14:paraId="61DCDCEF" w14:textId="77777777" w:rsidR="00C30E2C" w:rsidRPr="002221B0" w:rsidRDefault="00C30E2C" w:rsidP="00BA6342">
      <w:pPr>
        <w:pStyle w:val="Paragraphtext"/>
        <w:rPr>
          <w:szCs w:val="22"/>
        </w:rPr>
      </w:pPr>
      <w:r w:rsidRPr="00BA6342">
        <w:rPr>
          <w:sz w:val="22"/>
          <w:szCs w:val="22"/>
        </w:rPr>
        <w:t>Stakeholders also provided feedback regarding the Private Health Insurance Legislation Amendment (Medical Device and Human Tissue Product List and Cost Recovery) Bill 2022, specifically, that that by allowing “other criteria” to be specified in a legislative instrument, it would not be subject to sufficient scrutiny.</w:t>
      </w:r>
      <w:r w:rsidRPr="00BA6342">
        <w:rPr>
          <w:rStyle w:val="FootnoteReference"/>
          <w:sz w:val="22"/>
          <w:szCs w:val="22"/>
        </w:rPr>
        <w:footnoteReference w:id="7"/>
      </w:r>
    </w:p>
    <w:p w14:paraId="3ED07ED3" w14:textId="77777777" w:rsidR="00C30E2C" w:rsidRDefault="00C30E2C" w:rsidP="00BA6342">
      <w:pPr>
        <w:pStyle w:val="PolicyStatement"/>
      </w:pPr>
      <w:r>
        <w:t>Department response:</w:t>
      </w:r>
    </w:p>
    <w:p w14:paraId="55D8AD8C" w14:textId="7759C2BA" w:rsidR="00C30E2C" w:rsidRPr="000179B5" w:rsidRDefault="00C30E2C" w:rsidP="00BA6342">
      <w:pPr>
        <w:pStyle w:val="PolicyStatement"/>
      </w:pPr>
      <w:r w:rsidRPr="005F1D1B">
        <w:t xml:space="preserve">Where products meet the new definitions of medical device or human tissue product, they will also need to meet the proposed updated listing criteria which will be outlined in the Private Health Insurance (Medical Device and Human Tissue Product) Rules. The listing criteria can be amended as required to reflect new or emerging technologies that may otherwise not be captured. These two parameters being used in conjunction will give </w:t>
      </w:r>
      <w:r>
        <w:t xml:space="preserve">better </w:t>
      </w:r>
      <w:r w:rsidRPr="005F1D1B">
        <w:t xml:space="preserve">clarity about items that are appropriate for listing. The Department acknowledges concerns that the updated listing criteria will not be subject to sufficient </w:t>
      </w:r>
      <w:r w:rsidR="00C53B94" w:rsidRPr="005F1D1B">
        <w:t>scrutiny</w:t>
      </w:r>
      <w:r w:rsidR="00C53B94">
        <w:t xml:space="preserve"> and</w:t>
      </w:r>
      <w:r w:rsidRPr="005F1D1B">
        <w:t xml:space="preserve"> advis</w:t>
      </w:r>
      <w:r>
        <w:t>es</w:t>
      </w:r>
      <w:r w:rsidRPr="005F1D1B">
        <w:t xml:space="preserve"> that clinical input will be sought to set appropriate listing criteria</w:t>
      </w:r>
      <w:r>
        <w:t>,</w:t>
      </w:r>
      <w:r w:rsidRPr="005F1D1B">
        <w:t xml:space="preserve"> which will be updated from time to time and in exceptional circumstances. </w:t>
      </w:r>
    </w:p>
    <w:p w14:paraId="7486B1BE" w14:textId="34305978" w:rsidR="00C30E2C" w:rsidRPr="00BA6342" w:rsidRDefault="00C30E2C" w:rsidP="00FA4FF4">
      <w:pPr>
        <w:pStyle w:val="Paragraphtext"/>
        <w:rPr>
          <w:sz w:val="22"/>
          <w:szCs w:val="22"/>
        </w:rPr>
      </w:pPr>
      <w:r w:rsidRPr="00BA6342">
        <w:rPr>
          <w:sz w:val="22"/>
          <w:szCs w:val="22"/>
        </w:rPr>
        <w:t>These</w:t>
      </w:r>
      <w:r w:rsidR="00C53B94" w:rsidRPr="00BA6342">
        <w:rPr>
          <w:sz w:val="22"/>
          <w:szCs w:val="22"/>
        </w:rPr>
        <w:t xml:space="preserve"> ‘out of scope’</w:t>
      </w:r>
      <w:r w:rsidRPr="00BA6342">
        <w:rPr>
          <w:sz w:val="22"/>
          <w:szCs w:val="22"/>
        </w:rPr>
        <w:t xml:space="preserve"> issues will be considered as part of future </w:t>
      </w:r>
      <w:r w:rsidR="00C53B94" w:rsidRPr="00BA6342">
        <w:rPr>
          <w:sz w:val="22"/>
          <w:szCs w:val="22"/>
        </w:rPr>
        <w:t xml:space="preserve">tranches of legislative amendments. </w:t>
      </w:r>
    </w:p>
    <w:p w14:paraId="6A3B5069" w14:textId="77777777" w:rsidR="000E5BEC" w:rsidRPr="00D90F34" w:rsidRDefault="000E5BEC" w:rsidP="000E5BEC">
      <w:pPr>
        <w:pStyle w:val="Heading2"/>
      </w:pPr>
      <w:bookmarkStart w:id="23" w:name="_Toc122696759"/>
      <w:r w:rsidRPr="00D90F34">
        <w:t>Next Steps</w:t>
      </w:r>
      <w:bookmarkEnd w:id="23"/>
    </w:p>
    <w:p w14:paraId="0088C72E" w14:textId="77777777" w:rsidR="000E5BEC" w:rsidRPr="00BA6342" w:rsidRDefault="000E5BEC" w:rsidP="000E5BEC">
      <w:pPr>
        <w:pStyle w:val="Paragraphtext"/>
        <w:rPr>
          <w:sz w:val="22"/>
          <w:szCs w:val="22"/>
        </w:rPr>
      </w:pPr>
      <w:r w:rsidRPr="00BA6342">
        <w:rPr>
          <w:sz w:val="22"/>
          <w:szCs w:val="22"/>
        </w:rPr>
        <w:t>The Department acknowledges stakeholders’ time and effort to help shape the legislative amendments. All feedback received from stakeholders through the webinars and consultation papers has been reviewed and taken onboard for the first-tranche legislative changes (when relevant) or recorded for next tranches of legislative changes.</w:t>
      </w:r>
    </w:p>
    <w:p w14:paraId="1A4DECEE" w14:textId="77777777" w:rsidR="000E5BEC" w:rsidRPr="00BA6342" w:rsidRDefault="000E5BEC" w:rsidP="000E5BEC">
      <w:pPr>
        <w:pStyle w:val="Paragraphtext"/>
        <w:rPr>
          <w:sz w:val="22"/>
          <w:szCs w:val="22"/>
        </w:rPr>
      </w:pPr>
      <w:r w:rsidRPr="00BA6342">
        <w:rPr>
          <w:sz w:val="22"/>
          <w:szCs w:val="22"/>
        </w:rPr>
        <w:t>The Department intends to consult with stakeholders on the next tranches of legislative amendments (tranches 2-3) in early in 2023. This will include amendments to the renamed Rules being the Private Health Insurance (Medical Device and Human Tissue Product) Rules (formerly the Prostheses Rules) to include the updated listing criteria and cost recovery fee amounts</w:t>
      </w:r>
      <w:r>
        <w:rPr>
          <w:sz w:val="22"/>
          <w:szCs w:val="22"/>
        </w:rPr>
        <w:t xml:space="preserve"> along with other provisions to support reform measures</w:t>
      </w:r>
      <w:r w:rsidRPr="00BA6342">
        <w:rPr>
          <w:sz w:val="22"/>
          <w:szCs w:val="22"/>
        </w:rPr>
        <w:t xml:space="preserve">. </w:t>
      </w:r>
      <w:r>
        <w:rPr>
          <w:sz w:val="22"/>
          <w:szCs w:val="22"/>
        </w:rPr>
        <w:t>T</w:t>
      </w:r>
      <w:r w:rsidRPr="00BA6342">
        <w:rPr>
          <w:sz w:val="22"/>
          <w:szCs w:val="22"/>
        </w:rPr>
        <w:t xml:space="preserve">hese changes </w:t>
      </w:r>
      <w:r>
        <w:rPr>
          <w:sz w:val="22"/>
          <w:szCs w:val="22"/>
        </w:rPr>
        <w:t xml:space="preserve">are scheduled to </w:t>
      </w:r>
      <w:r w:rsidRPr="00BA6342">
        <w:rPr>
          <w:sz w:val="22"/>
          <w:szCs w:val="22"/>
        </w:rPr>
        <w:t>take effect in 2023</w:t>
      </w:r>
      <w:r>
        <w:rPr>
          <w:sz w:val="22"/>
          <w:szCs w:val="22"/>
        </w:rPr>
        <w:t>.</w:t>
      </w:r>
    </w:p>
    <w:p w14:paraId="3A87294C" w14:textId="77777777" w:rsidR="000E5BEC" w:rsidRPr="00BA6342" w:rsidRDefault="000E5BEC" w:rsidP="000E5BEC">
      <w:pPr>
        <w:pStyle w:val="Paragraphtext"/>
        <w:rPr>
          <w:sz w:val="22"/>
          <w:szCs w:val="22"/>
        </w:rPr>
      </w:pPr>
      <w:r w:rsidRPr="00BA6342">
        <w:rPr>
          <w:sz w:val="22"/>
          <w:szCs w:val="22"/>
        </w:rPr>
        <w:t xml:space="preserve">The Department will also consult with stakeholders on the draft bills for further PHI Act amendments </w:t>
      </w:r>
      <w:r>
        <w:rPr>
          <w:sz w:val="22"/>
          <w:szCs w:val="22"/>
        </w:rPr>
        <w:t>that will i</w:t>
      </w:r>
      <w:r w:rsidRPr="00BA6342">
        <w:rPr>
          <w:sz w:val="22"/>
          <w:szCs w:val="22"/>
        </w:rPr>
        <w:t>ncorporate compliance and data sharing provisions.</w:t>
      </w:r>
    </w:p>
    <w:p w14:paraId="6E5DB6B7" w14:textId="77777777" w:rsidR="00C30E2C" w:rsidRDefault="00C30E2C" w:rsidP="00C30E2C">
      <w:pPr>
        <w:rPr>
          <w:sz w:val="21"/>
        </w:rPr>
      </w:pPr>
      <w:r>
        <w:br w:type="page"/>
      </w:r>
    </w:p>
    <w:p w14:paraId="42A44E1F" w14:textId="520031C6" w:rsidR="00C30E2C" w:rsidRPr="00D90F34" w:rsidRDefault="001B585E" w:rsidP="00D90F34">
      <w:pPr>
        <w:pStyle w:val="Heading2"/>
      </w:pPr>
      <w:bookmarkStart w:id="24" w:name="_Toc122696760"/>
      <w:r>
        <w:lastRenderedPageBreak/>
        <w:t>Conclusion</w:t>
      </w:r>
      <w:bookmarkEnd w:id="24"/>
    </w:p>
    <w:p w14:paraId="1E2A8F8F" w14:textId="5EF5FE01" w:rsidR="001B585E" w:rsidRPr="00BA6342" w:rsidRDefault="001B585E" w:rsidP="00BA6342">
      <w:pPr>
        <w:pStyle w:val="Paragraphtext"/>
        <w:rPr>
          <w:szCs w:val="22"/>
        </w:rPr>
      </w:pPr>
      <w:r w:rsidRPr="00BA6342">
        <w:rPr>
          <w:sz w:val="22"/>
          <w:szCs w:val="22"/>
        </w:rPr>
        <w:t xml:space="preserve">Overall, </w:t>
      </w:r>
      <w:r w:rsidR="004956DB">
        <w:rPr>
          <w:sz w:val="22"/>
          <w:szCs w:val="22"/>
        </w:rPr>
        <w:t>the feedback received indicated in-</w:t>
      </w:r>
      <w:proofErr w:type="gramStart"/>
      <w:r w:rsidR="004956DB">
        <w:rPr>
          <w:sz w:val="22"/>
          <w:szCs w:val="22"/>
        </w:rPr>
        <w:t>principle</w:t>
      </w:r>
      <w:proofErr w:type="gramEnd"/>
      <w:r w:rsidR="004956DB">
        <w:rPr>
          <w:sz w:val="22"/>
          <w:szCs w:val="22"/>
        </w:rPr>
        <w:t xml:space="preserve"> support for </w:t>
      </w:r>
      <w:r w:rsidRPr="00BA6342">
        <w:rPr>
          <w:sz w:val="22"/>
          <w:szCs w:val="22"/>
        </w:rPr>
        <w:t>the first tranche legislative amendments.</w:t>
      </w:r>
    </w:p>
    <w:p w14:paraId="5762DD5C" w14:textId="3327169F" w:rsidR="001B585E" w:rsidRPr="002221B0" w:rsidRDefault="001B585E" w:rsidP="00BA6342">
      <w:pPr>
        <w:pStyle w:val="Paragraphtext"/>
        <w:rPr>
          <w:szCs w:val="22"/>
        </w:rPr>
      </w:pPr>
      <w:r w:rsidRPr="00BA6342">
        <w:rPr>
          <w:sz w:val="22"/>
          <w:szCs w:val="22"/>
        </w:rPr>
        <w:t xml:space="preserve">Stakeholders highlighted the need for the Department to provide timely stakeholder consultation on future legislative amendments. The Department agrees and </w:t>
      </w:r>
      <w:r w:rsidR="004956DB">
        <w:rPr>
          <w:sz w:val="22"/>
          <w:szCs w:val="22"/>
        </w:rPr>
        <w:t xml:space="preserve">is incorporating additional timeframes for </w:t>
      </w:r>
      <w:proofErr w:type="gramStart"/>
      <w:r w:rsidR="004956DB">
        <w:rPr>
          <w:sz w:val="22"/>
          <w:szCs w:val="22"/>
        </w:rPr>
        <w:t>stakeholders</w:t>
      </w:r>
      <w:proofErr w:type="gramEnd"/>
      <w:r w:rsidR="004956DB">
        <w:rPr>
          <w:sz w:val="22"/>
          <w:szCs w:val="22"/>
        </w:rPr>
        <w:t xml:space="preserve"> engagement and feedback </w:t>
      </w:r>
      <w:r w:rsidRPr="00BA6342">
        <w:rPr>
          <w:sz w:val="22"/>
          <w:szCs w:val="22"/>
        </w:rPr>
        <w:t xml:space="preserve">on future legislative amendments planned in 2023. Stakeholders also </w:t>
      </w:r>
      <w:r w:rsidR="004956DB">
        <w:rPr>
          <w:sz w:val="22"/>
          <w:szCs w:val="22"/>
        </w:rPr>
        <w:t xml:space="preserve">indicated a strong desire for </w:t>
      </w:r>
      <w:r w:rsidRPr="00BA6342">
        <w:rPr>
          <w:sz w:val="22"/>
          <w:szCs w:val="22"/>
        </w:rPr>
        <w:t xml:space="preserve">more clarity and flexibility </w:t>
      </w:r>
      <w:r w:rsidR="004956DB">
        <w:rPr>
          <w:sz w:val="22"/>
          <w:szCs w:val="22"/>
        </w:rPr>
        <w:t xml:space="preserve">in the legislative provisions to allow for innovation in </w:t>
      </w:r>
      <w:r w:rsidRPr="00BA6342">
        <w:rPr>
          <w:sz w:val="22"/>
          <w:szCs w:val="22"/>
        </w:rPr>
        <w:t>medical technologies a</w:t>
      </w:r>
      <w:r w:rsidR="004956DB">
        <w:rPr>
          <w:sz w:val="22"/>
          <w:szCs w:val="22"/>
        </w:rPr>
        <w:t xml:space="preserve">s well as ensuring inclusion of adequate </w:t>
      </w:r>
      <w:r w:rsidRPr="00BA6342">
        <w:rPr>
          <w:sz w:val="22"/>
          <w:szCs w:val="22"/>
        </w:rPr>
        <w:t xml:space="preserve">consumer protection mechanisms. The refreshment of the legislation and associated instruments aim to address both concerns by supporting new and novel </w:t>
      </w:r>
      <w:r w:rsidR="004956DB">
        <w:rPr>
          <w:sz w:val="22"/>
          <w:szCs w:val="22"/>
        </w:rPr>
        <w:t>technologies</w:t>
      </w:r>
      <w:r w:rsidRPr="00BA6342">
        <w:rPr>
          <w:sz w:val="22"/>
          <w:szCs w:val="22"/>
        </w:rPr>
        <w:t xml:space="preserve"> as well as ensuring that consumers will bear no additional out of pocket costs </w:t>
      </w:r>
      <w:proofErr w:type="gramStart"/>
      <w:r w:rsidRPr="00BA6342">
        <w:rPr>
          <w:sz w:val="22"/>
          <w:szCs w:val="22"/>
        </w:rPr>
        <w:t>as a result of</w:t>
      </w:r>
      <w:proofErr w:type="gramEnd"/>
      <w:r w:rsidRPr="00BA6342">
        <w:rPr>
          <w:sz w:val="22"/>
          <w:szCs w:val="22"/>
        </w:rPr>
        <w:t xml:space="preserve"> the reform measures.</w:t>
      </w:r>
    </w:p>
    <w:p w14:paraId="6DD8C3CF" w14:textId="4A863044" w:rsidR="001B585E" w:rsidRPr="004D1339" w:rsidRDefault="000E5BEC" w:rsidP="007C7A22">
      <w:pPr>
        <w:pStyle w:val="Paragraphtext"/>
        <w:sectPr w:rsidR="001B585E" w:rsidRPr="004D1339" w:rsidSect="00205A93">
          <w:headerReference w:type="even" r:id="rId19"/>
          <w:headerReference w:type="default" r:id="rId20"/>
          <w:footerReference w:type="even" r:id="rId21"/>
          <w:footerReference w:type="default" r:id="rId22"/>
          <w:headerReference w:type="first" r:id="rId23"/>
          <w:footerReference w:type="first" r:id="rId24"/>
          <w:pgSz w:w="11906" w:h="16838"/>
          <w:pgMar w:top="1701" w:right="1418" w:bottom="1418" w:left="1418" w:header="709" w:footer="709" w:gutter="0"/>
          <w:cols w:space="708"/>
          <w:docGrid w:linePitch="360"/>
        </w:sectPr>
      </w:pPr>
      <w:r w:rsidRPr="000A52EB">
        <w:rPr>
          <w:sz w:val="22"/>
          <w:szCs w:val="22"/>
        </w:rPr>
        <w:t>All concerns and submissions</w:t>
      </w:r>
      <w:r w:rsidR="000A52EB">
        <w:rPr>
          <w:sz w:val="22"/>
          <w:szCs w:val="22"/>
        </w:rPr>
        <w:t xml:space="preserve"> in the next stages</w:t>
      </w:r>
      <w:r w:rsidRPr="000A52EB">
        <w:rPr>
          <w:sz w:val="22"/>
          <w:szCs w:val="22"/>
        </w:rPr>
        <w:t xml:space="preserve"> will be thoroughly considered and </w:t>
      </w:r>
      <w:proofErr w:type="gramStart"/>
      <w:r w:rsidRPr="000A52EB">
        <w:rPr>
          <w:sz w:val="22"/>
          <w:szCs w:val="22"/>
        </w:rPr>
        <w:t>reviewed</w:t>
      </w:r>
      <w:r w:rsidR="000A52EB">
        <w:rPr>
          <w:sz w:val="22"/>
          <w:szCs w:val="22"/>
        </w:rPr>
        <w:t>;</w:t>
      </w:r>
      <w:proofErr w:type="gramEnd"/>
      <w:r w:rsidR="000A52EB">
        <w:rPr>
          <w:sz w:val="22"/>
          <w:szCs w:val="22"/>
        </w:rPr>
        <w:t xml:space="preserve"> either through enquiries, formal consultations, or webinars</w:t>
      </w:r>
      <w:r w:rsidRPr="000A52EB">
        <w:rPr>
          <w:sz w:val="22"/>
          <w:szCs w:val="22"/>
        </w:rPr>
        <w:t xml:space="preserve">. </w:t>
      </w:r>
      <w:r>
        <w:rPr>
          <w:sz w:val="22"/>
          <w:szCs w:val="22"/>
        </w:rPr>
        <w:t xml:space="preserve">The Department is committed to supporting and engaging with stakeholders and industry partners through the implementation of the PL reforms. </w:t>
      </w:r>
      <w:r>
        <w:t xml:space="preserve"> </w:t>
      </w:r>
    </w:p>
    <w:p w14:paraId="2FDCD941" w14:textId="77777777" w:rsidR="00205A93" w:rsidRPr="004D1339" w:rsidRDefault="00205A93" w:rsidP="00346C4A">
      <w:pPr>
        <w:pStyle w:val="URL"/>
      </w:pPr>
      <w:r w:rsidRPr="004D1339">
        <w:lastRenderedPageBreak/>
        <w:t>Health.gov.au</w:t>
      </w:r>
    </w:p>
    <w:p w14:paraId="46877299" w14:textId="16F8A2A4"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3B499F">
        <w:t>December</w:t>
      </w:r>
      <w:r w:rsidRPr="004D1339">
        <w:t xml:space="preserve"> </w:t>
      </w:r>
      <w:r w:rsidR="003B499F">
        <w:t>2022</w:t>
      </w:r>
    </w:p>
    <w:sectPr w:rsidR="00205A93" w:rsidRPr="004D1339" w:rsidSect="00205A93">
      <w:headerReference w:type="default" r:id="rId25"/>
      <w:footerReference w:type="default" r:id="rId26"/>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AA0C" w14:textId="77777777" w:rsidR="00992ADD" w:rsidRDefault="00992ADD" w:rsidP="00346C4A">
      <w:r>
        <w:separator/>
      </w:r>
    </w:p>
    <w:p w14:paraId="51846307" w14:textId="77777777" w:rsidR="00992ADD" w:rsidRDefault="00992ADD" w:rsidP="00346C4A"/>
  </w:endnote>
  <w:endnote w:type="continuationSeparator" w:id="0">
    <w:p w14:paraId="1BCA7977" w14:textId="77777777" w:rsidR="00992ADD" w:rsidRDefault="00992ADD" w:rsidP="00346C4A">
      <w:r>
        <w:continuationSeparator/>
      </w:r>
    </w:p>
    <w:p w14:paraId="41A27E9B" w14:textId="77777777" w:rsidR="00992ADD" w:rsidRDefault="00992ADD" w:rsidP="00346C4A"/>
  </w:endnote>
  <w:endnote w:type="continuationNotice" w:id="1">
    <w:p w14:paraId="538FD7AD" w14:textId="77777777" w:rsidR="00992ADD" w:rsidRDefault="00992ADD"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altName w:val="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454B"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20997D17" w14:textId="630A9BA4" w:rsidR="00236073" w:rsidRDefault="00C30E2C" w:rsidP="000D56E4">
        <w:pPr>
          <w:pStyle w:val="Footer"/>
        </w:pPr>
        <w:r>
          <w:t>Prostheses List Reform Consultation Paper 4(b) – Stakeholder Feedback Report</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229E8C9F"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1453"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B08C" w14:textId="77777777" w:rsidR="00992ADD" w:rsidRDefault="00992ADD" w:rsidP="00346C4A">
      <w:r>
        <w:separator/>
      </w:r>
    </w:p>
    <w:p w14:paraId="1570C287" w14:textId="77777777" w:rsidR="00992ADD" w:rsidRDefault="00992ADD" w:rsidP="00346C4A"/>
  </w:footnote>
  <w:footnote w:type="continuationSeparator" w:id="0">
    <w:p w14:paraId="2F2A2597" w14:textId="77777777" w:rsidR="00992ADD" w:rsidRDefault="00992ADD" w:rsidP="00346C4A">
      <w:r>
        <w:continuationSeparator/>
      </w:r>
    </w:p>
    <w:p w14:paraId="7EF0D536" w14:textId="77777777" w:rsidR="00992ADD" w:rsidRDefault="00992ADD" w:rsidP="00346C4A"/>
  </w:footnote>
  <w:footnote w:type="continuationNotice" w:id="1">
    <w:p w14:paraId="7849EE94" w14:textId="77777777" w:rsidR="00992ADD" w:rsidRDefault="00992ADD" w:rsidP="00346C4A"/>
  </w:footnote>
  <w:footnote w:id="2">
    <w:p w14:paraId="6D928745" w14:textId="77777777" w:rsidR="00C30E2C" w:rsidRDefault="00C30E2C" w:rsidP="00C30E2C">
      <w:pPr>
        <w:pStyle w:val="FootnoteText"/>
      </w:pPr>
      <w:r>
        <w:rPr>
          <w:rStyle w:val="FootnoteReference"/>
        </w:rPr>
        <w:footnoteRef/>
      </w:r>
      <w:r>
        <w:t xml:space="preserve"> Response to question 2 of response: </w:t>
      </w:r>
      <w:r w:rsidRPr="00AC0E80">
        <w:t>ANON-24YC-6S4X-Q</w:t>
      </w:r>
      <w:r>
        <w:t>.</w:t>
      </w:r>
    </w:p>
  </w:footnote>
  <w:footnote w:id="3">
    <w:p w14:paraId="295C5070" w14:textId="77777777" w:rsidR="00C30E2C" w:rsidRDefault="00C30E2C" w:rsidP="00C30E2C">
      <w:pPr>
        <w:pStyle w:val="FootnoteText"/>
      </w:pPr>
      <w:r>
        <w:rPr>
          <w:rStyle w:val="FootnoteReference"/>
        </w:rPr>
        <w:footnoteRef/>
      </w:r>
      <w:r>
        <w:t xml:space="preserve"> Response to question 2 of response: </w:t>
      </w:r>
      <w:r w:rsidRPr="00AC0E80">
        <w:t>ANON-24YC-6S4Y-R</w:t>
      </w:r>
    </w:p>
  </w:footnote>
  <w:footnote w:id="4">
    <w:p w14:paraId="5586A197" w14:textId="77777777" w:rsidR="00C30E2C" w:rsidRDefault="00C30E2C" w:rsidP="00C30E2C">
      <w:pPr>
        <w:pStyle w:val="FootnoteText"/>
      </w:pPr>
      <w:r>
        <w:rPr>
          <w:rStyle w:val="FootnoteReference"/>
        </w:rPr>
        <w:footnoteRef/>
      </w:r>
      <w:r>
        <w:t xml:space="preserve"> Response to question 3 of response: </w:t>
      </w:r>
      <w:r w:rsidRPr="00F90605">
        <w:t>ANON-24YC-6S4B-1</w:t>
      </w:r>
    </w:p>
  </w:footnote>
  <w:footnote w:id="5">
    <w:p w14:paraId="28F213F2" w14:textId="77777777" w:rsidR="00C30E2C" w:rsidRDefault="00C30E2C" w:rsidP="00C30E2C">
      <w:pPr>
        <w:pStyle w:val="FootnoteText"/>
      </w:pPr>
      <w:r>
        <w:rPr>
          <w:rStyle w:val="FootnoteReference"/>
        </w:rPr>
        <w:footnoteRef/>
      </w:r>
      <w:r>
        <w:t xml:space="preserve"> Response to question 3 of response: </w:t>
      </w:r>
      <w:r w:rsidRPr="00D36664">
        <w:t>ANON-24YC-6S4W-P</w:t>
      </w:r>
    </w:p>
  </w:footnote>
  <w:footnote w:id="6">
    <w:p w14:paraId="69F3E894" w14:textId="77777777" w:rsidR="00C30E2C" w:rsidRDefault="00C30E2C" w:rsidP="00C30E2C">
      <w:pPr>
        <w:pStyle w:val="FootnoteText"/>
      </w:pPr>
      <w:r>
        <w:rPr>
          <w:rStyle w:val="FootnoteReference"/>
        </w:rPr>
        <w:footnoteRef/>
      </w:r>
      <w:r>
        <w:t xml:space="preserve"> Response to question 3 of response: </w:t>
      </w:r>
      <w:r w:rsidRPr="00F90605">
        <w:t>ANON-24YC-6S4X-Q</w:t>
      </w:r>
    </w:p>
  </w:footnote>
  <w:footnote w:id="7">
    <w:p w14:paraId="4D2E6269" w14:textId="77777777" w:rsidR="00C30E2C" w:rsidRDefault="00C30E2C" w:rsidP="00C30E2C">
      <w:pPr>
        <w:pStyle w:val="FootnoteText"/>
      </w:pPr>
      <w:r>
        <w:rPr>
          <w:rStyle w:val="FootnoteReference"/>
        </w:rPr>
        <w:footnoteRef/>
      </w:r>
      <w:r>
        <w:t xml:space="preserve"> Response to question 2 of response: </w:t>
      </w:r>
      <w:r w:rsidRPr="00AC0E80">
        <w:t>ANON-24YC-6S4X-Q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59EA"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4E78898F" wp14:editId="014205C0">
          <wp:simplePos x="0" y="0"/>
          <wp:positionH relativeFrom="page">
            <wp:align>center</wp:align>
          </wp:positionH>
          <wp:positionV relativeFrom="page">
            <wp:align>center</wp:align>
          </wp:positionV>
          <wp:extent cx="7560000" cy="10692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CBD1"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5CE33F36" wp14:editId="14FCD7C2">
          <wp:simplePos x="0" y="0"/>
          <wp:positionH relativeFrom="page">
            <wp:align>center</wp:align>
          </wp:positionH>
          <wp:positionV relativeFrom="page">
            <wp:align>center</wp:align>
          </wp:positionV>
          <wp:extent cx="7558768" cy="10692000"/>
          <wp:effectExtent l="0" t="0" r="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9CBB"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E8F2"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6AF7"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ACB2"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42EDE3F3" wp14:editId="3B4EBD24">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C4CD46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F4E245A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3338791E"/>
    <w:lvl w:ilvl="0">
      <w:start w:val="1"/>
      <w:numFmt w:val="decimal"/>
      <w:pStyle w:val="NumberLevel1"/>
      <w:lvlText w:val="%1."/>
      <w:lvlJc w:val="left"/>
      <w:pPr>
        <w:tabs>
          <w:tab w:val="num" w:pos="1418"/>
        </w:tabs>
        <w:ind w:left="709" w:hanging="709"/>
      </w:pPr>
      <w:rPr>
        <w:rFonts w:hint="default"/>
        <w:sz w:val="20"/>
      </w:rPr>
    </w:lvl>
    <w:lvl w:ilvl="1">
      <w:start w:val="1"/>
      <w:numFmt w:val="decimal"/>
      <w:pStyle w:val="NumberLevel2"/>
      <w:lvlText w:val="%1.%2."/>
      <w:lvlJc w:val="left"/>
      <w:pPr>
        <w:tabs>
          <w:tab w:val="num" w:pos="1418"/>
        </w:tabs>
        <w:ind w:left="709" w:hanging="709"/>
      </w:pPr>
      <w:rPr>
        <w:rFonts w:hint="default"/>
        <w:sz w:val="20"/>
      </w:rPr>
    </w:lvl>
    <w:lvl w:ilvl="2">
      <w:start w:val="1"/>
      <w:numFmt w:val="decimal"/>
      <w:pStyle w:val="NumberLevel3"/>
      <w:lvlText w:val="%1.%2.%3."/>
      <w:lvlJc w:val="left"/>
      <w:pPr>
        <w:tabs>
          <w:tab w:val="num" w:pos="1418"/>
        </w:tabs>
        <w:ind w:left="709" w:hanging="709"/>
      </w:pPr>
      <w:rPr>
        <w:rFonts w:hint="default"/>
        <w:sz w:val="20"/>
      </w:rPr>
    </w:lvl>
    <w:lvl w:ilvl="3">
      <w:start w:val="1"/>
      <w:numFmt w:val="lowerLetter"/>
      <w:pStyle w:val="NumberLevel4"/>
      <w:lvlText w:val="%4."/>
      <w:lvlJc w:val="left"/>
      <w:pPr>
        <w:tabs>
          <w:tab w:val="num" w:pos="1418"/>
        </w:tabs>
        <w:ind w:left="1134" w:hanging="425"/>
      </w:pPr>
      <w:rPr>
        <w:rFonts w:hint="default"/>
      </w:r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rFonts w:hint="default"/>
        <w:b w:val="0"/>
        <w:i w:val="0"/>
      </w:rPr>
    </w:lvl>
    <w:lvl w:ilvl="6">
      <w:start w:val="1"/>
      <w:numFmt w:val="bullet"/>
      <w:pStyle w:val="NumberLevel7"/>
      <w:lvlText w:val="–"/>
      <w:lvlJc w:val="left"/>
      <w:pPr>
        <w:tabs>
          <w:tab w:val="num" w:pos="2552"/>
        </w:tabs>
        <w:ind w:left="1985" w:hanging="425"/>
      </w:pPr>
      <w:rPr>
        <w:rFonts w:hint="default"/>
        <w:b w:val="0"/>
        <w:i w:val="0"/>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12" w15:restartNumberingAfterBreak="0">
    <w:nsid w:val="1C940578"/>
    <w:multiLevelType w:val="hybridMultilevel"/>
    <w:tmpl w:val="7E587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46767F"/>
    <w:multiLevelType w:val="hybridMultilevel"/>
    <w:tmpl w:val="B7E8E99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9469E"/>
    <w:multiLevelType w:val="hybridMultilevel"/>
    <w:tmpl w:val="DC4041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3037F"/>
    <w:multiLevelType w:val="hybridMultilevel"/>
    <w:tmpl w:val="B17A364E"/>
    <w:lvl w:ilvl="0" w:tplc="0C09000F">
      <w:start w:val="1"/>
      <w:numFmt w:val="decimal"/>
      <w:lvlText w:val="%1."/>
      <w:lvlJc w:val="left"/>
      <w:pPr>
        <w:ind w:left="720" w:hanging="360"/>
      </w:pPr>
    </w:lvl>
    <w:lvl w:ilvl="1" w:tplc="1A42C716">
      <w:numFmt w:val="bullet"/>
      <w:lvlText w:val="-"/>
      <w:lvlJc w:val="left"/>
      <w:pPr>
        <w:ind w:left="1440" w:hanging="360"/>
      </w:pPr>
      <w:rPr>
        <w:rFonts w:ascii="Yu Mincho Light" w:eastAsia="Yu Mincho Light" w:hAnsi="Yu Mincho Light" w:hint="eastAsi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EA1077"/>
    <w:multiLevelType w:val="hybridMultilevel"/>
    <w:tmpl w:val="94867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3A75AA"/>
    <w:multiLevelType w:val="hybridMultilevel"/>
    <w:tmpl w:val="8BB8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3"/>
  </w:num>
  <w:num w:numId="4">
    <w:abstractNumId w:val="8"/>
  </w:num>
  <w:num w:numId="5">
    <w:abstractNumId w:val="8"/>
    <w:lvlOverride w:ilvl="0">
      <w:startOverride w:val="1"/>
    </w:lvlOverride>
  </w:num>
  <w:num w:numId="6">
    <w:abstractNumId w:val="9"/>
  </w:num>
  <w:num w:numId="7">
    <w:abstractNumId w:val="18"/>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0"/>
  </w:num>
  <w:num w:numId="18">
    <w:abstractNumId w:val="13"/>
  </w:num>
  <w:num w:numId="19">
    <w:abstractNumId w:val="16"/>
  </w:num>
  <w:num w:numId="20">
    <w:abstractNumId w:val="19"/>
  </w:num>
  <w:num w:numId="21">
    <w:abstractNumId w:val="12"/>
  </w:num>
  <w:num w:numId="22">
    <w:abstractNumId w:val="14"/>
  </w:num>
  <w:num w:numId="23">
    <w:abstractNumId w:val="15"/>
  </w:num>
  <w:num w:numId="24">
    <w:abstractNumId w:val="21"/>
  </w:num>
  <w:num w:numId="25">
    <w:abstractNumId w:val="24"/>
  </w:num>
  <w:num w:numId="26">
    <w:abstractNumId w:val="11"/>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2C"/>
    <w:rsid w:val="00003743"/>
    <w:rsid w:val="000047B4"/>
    <w:rsid w:val="00005712"/>
    <w:rsid w:val="00007FD8"/>
    <w:rsid w:val="000117F8"/>
    <w:rsid w:val="00026139"/>
    <w:rsid w:val="00026DDC"/>
    <w:rsid w:val="00027071"/>
    <w:rsid w:val="00027601"/>
    <w:rsid w:val="00033321"/>
    <w:rsid w:val="000338E5"/>
    <w:rsid w:val="00033ECC"/>
    <w:rsid w:val="0003422F"/>
    <w:rsid w:val="00046FF0"/>
    <w:rsid w:val="00050176"/>
    <w:rsid w:val="00056079"/>
    <w:rsid w:val="00062B65"/>
    <w:rsid w:val="00065B43"/>
    <w:rsid w:val="00067456"/>
    <w:rsid w:val="00071506"/>
    <w:rsid w:val="0007154F"/>
    <w:rsid w:val="00075710"/>
    <w:rsid w:val="00081AB1"/>
    <w:rsid w:val="00090316"/>
    <w:rsid w:val="00093981"/>
    <w:rsid w:val="00093CD9"/>
    <w:rsid w:val="000A52EB"/>
    <w:rsid w:val="000B067A"/>
    <w:rsid w:val="000B1540"/>
    <w:rsid w:val="000B33FD"/>
    <w:rsid w:val="000B3832"/>
    <w:rsid w:val="000B4ABA"/>
    <w:rsid w:val="000C4B16"/>
    <w:rsid w:val="000C50C3"/>
    <w:rsid w:val="000D21F6"/>
    <w:rsid w:val="000D42C3"/>
    <w:rsid w:val="000D4500"/>
    <w:rsid w:val="000D56E4"/>
    <w:rsid w:val="000D7AEA"/>
    <w:rsid w:val="000E01A9"/>
    <w:rsid w:val="000E1FCC"/>
    <w:rsid w:val="000E2C66"/>
    <w:rsid w:val="000E5BEC"/>
    <w:rsid w:val="000E6E7D"/>
    <w:rsid w:val="000F123C"/>
    <w:rsid w:val="000F2FED"/>
    <w:rsid w:val="000F7456"/>
    <w:rsid w:val="00100F6D"/>
    <w:rsid w:val="00104C44"/>
    <w:rsid w:val="0010616D"/>
    <w:rsid w:val="00110478"/>
    <w:rsid w:val="0011711B"/>
    <w:rsid w:val="00117F8A"/>
    <w:rsid w:val="00121B9B"/>
    <w:rsid w:val="00122ADC"/>
    <w:rsid w:val="00130F59"/>
    <w:rsid w:val="00131DD2"/>
    <w:rsid w:val="00133EC0"/>
    <w:rsid w:val="00141CE5"/>
    <w:rsid w:val="00144908"/>
    <w:rsid w:val="0015689B"/>
    <w:rsid w:val="001571C7"/>
    <w:rsid w:val="00161094"/>
    <w:rsid w:val="00166C56"/>
    <w:rsid w:val="00172A55"/>
    <w:rsid w:val="001758CD"/>
    <w:rsid w:val="0017665C"/>
    <w:rsid w:val="00177AD2"/>
    <w:rsid w:val="001815A8"/>
    <w:rsid w:val="001840FA"/>
    <w:rsid w:val="00190079"/>
    <w:rsid w:val="0019622E"/>
    <w:rsid w:val="001966A7"/>
    <w:rsid w:val="001A4627"/>
    <w:rsid w:val="001A4979"/>
    <w:rsid w:val="001B15D3"/>
    <w:rsid w:val="001B3393"/>
    <w:rsid w:val="001B3443"/>
    <w:rsid w:val="001B585E"/>
    <w:rsid w:val="001C0326"/>
    <w:rsid w:val="001C192F"/>
    <w:rsid w:val="001C3C42"/>
    <w:rsid w:val="001D7869"/>
    <w:rsid w:val="001E0713"/>
    <w:rsid w:val="001F2F78"/>
    <w:rsid w:val="002026CD"/>
    <w:rsid w:val="002033FC"/>
    <w:rsid w:val="002044BB"/>
    <w:rsid w:val="00205A93"/>
    <w:rsid w:val="00207793"/>
    <w:rsid w:val="00210B09"/>
    <w:rsid w:val="00210C9E"/>
    <w:rsid w:val="00211840"/>
    <w:rsid w:val="00220E5F"/>
    <w:rsid w:val="002212B5"/>
    <w:rsid w:val="002221B0"/>
    <w:rsid w:val="00226668"/>
    <w:rsid w:val="00233809"/>
    <w:rsid w:val="00235DDE"/>
    <w:rsid w:val="002360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4063"/>
    <w:rsid w:val="002B20E6"/>
    <w:rsid w:val="002B42A3"/>
    <w:rsid w:val="002C0CDD"/>
    <w:rsid w:val="002E1A1D"/>
    <w:rsid w:val="002E4081"/>
    <w:rsid w:val="002E5B78"/>
    <w:rsid w:val="002F3AE3"/>
    <w:rsid w:val="002F5ED8"/>
    <w:rsid w:val="0030464B"/>
    <w:rsid w:val="0030786C"/>
    <w:rsid w:val="003233DE"/>
    <w:rsid w:val="0032466B"/>
    <w:rsid w:val="00327B44"/>
    <w:rsid w:val="003330EB"/>
    <w:rsid w:val="00336605"/>
    <w:rsid w:val="003415FD"/>
    <w:rsid w:val="003429F0"/>
    <w:rsid w:val="00346C4A"/>
    <w:rsid w:val="0035097A"/>
    <w:rsid w:val="003540A4"/>
    <w:rsid w:val="00360E4E"/>
    <w:rsid w:val="003663B5"/>
    <w:rsid w:val="00370AAA"/>
    <w:rsid w:val="00374F88"/>
    <w:rsid w:val="00375F77"/>
    <w:rsid w:val="00377A78"/>
    <w:rsid w:val="00381BBE"/>
    <w:rsid w:val="00382903"/>
    <w:rsid w:val="003846FF"/>
    <w:rsid w:val="00385AD4"/>
    <w:rsid w:val="00386117"/>
    <w:rsid w:val="00387924"/>
    <w:rsid w:val="0039384D"/>
    <w:rsid w:val="00395C23"/>
    <w:rsid w:val="003A2E4F"/>
    <w:rsid w:val="003A4438"/>
    <w:rsid w:val="003A5013"/>
    <w:rsid w:val="003A5078"/>
    <w:rsid w:val="003A62DD"/>
    <w:rsid w:val="003A775A"/>
    <w:rsid w:val="003B0DAB"/>
    <w:rsid w:val="003B213A"/>
    <w:rsid w:val="003B43AD"/>
    <w:rsid w:val="003B499F"/>
    <w:rsid w:val="003C00D4"/>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5C81"/>
    <w:rsid w:val="00416731"/>
    <w:rsid w:val="00422F58"/>
    <w:rsid w:val="00426201"/>
    <w:rsid w:val="00432378"/>
    <w:rsid w:val="00440D65"/>
    <w:rsid w:val="004435E6"/>
    <w:rsid w:val="00447E31"/>
    <w:rsid w:val="00453923"/>
    <w:rsid w:val="00454B9B"/>
    <w:rsid w:val="00457858"/>
    <w:rsid w:val="00460B0B"/>
    <w:rsid w:val="00461023"/>
    <w:rsid w:val="004620E1"/>
    <w:rsid w:val="00462FAC"/>
    <w:rsid w:val="00464631"/>
    <w:rsid w:val="00464B79"/>
    <w:rsid w:val="00466C59"/>
    <w:rsid w:val="0046758C"/>
    <w:rsid w:val="00467BBF"/>
    <w:rsid w:val="00473451"/>
    <w:rsid w:val="00481EBB"/>
    <w:rsid w:val="004867E2"/>
    <w:rsid w:val="004929A9"/>
    <w:rsid w:val="004956DB"/>
    <w:rsid w:val="004C2FEC"/>
    <w:rsid w:val="004C6BCF"/>
    <w:rsid w:val="004D1339"/>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57D5A"/>
    <w:rsid w:val="0056486D"/>
    <w:rsid w:val="005650ED"/>
    <w:rsid w:val="00575754"/>
    <w:rsid w:val="00591E20"/>
    <w:rsid w:val="00591F90"/>
    <w:rsid w:val="005922AA"/>
    <w:rsid w:val="00595408"/>
    <w:rsid w:val="00595E84"/>
    <w:rsid w:val="005A0C59"/>
    <w:rsid w:val="005A48EB"/>
    <w:rsid w:val="005A6CFB"/>
    <w:rsid w:val="005C5AEB"/>
    <w:rsid w:val="005E0A3F"/>
    <w:rsid w:val="005E6358"/>
    <w:rsid w:val="005E6883"/>
    <w:rsid w:val="005E772F"/>
    <w:rsid w:val="005F4ECA"/>
    <w:rsid w:val="005F74C6"/>
    <w:rsid w:val="006041BE"/>
    <w:rsid w:val="006043C7"/>
    <w:rsid w:val="006162B4"/>
    <w:rsid w:val="00624B52"/>
    <w:rsid w:val="00631DF4"/>
    <w:rsid w:val="00634175"/>
    <w:rsid w:val="006408AC"/>
    <w:rsid w:val="0064558B"/>
    <w:rsid w:val="006511B6"/>
    <w:rsid w:val="00652742"/>
    <w:rsid w:val="00657FF8"/>
    <w:rsid w:val="00670D99"/>
    <w:rsid w:val="00670E2B"/>
    <w:rsid w:val="006734BB"/>
    <w:rsid w:val="00681A34"/>
    <w:rsid w:val="00681EB3"/>
    <w:rsid w:val="006821EB"/>
    <w:rsid w:val="006932DD"/>
    <w:rsid w:val="00694ADB"/>
    <w:rsid w:val="00695E1F"/>
    <w:rsid w:val="006A3789"/>
    <w:rsid w:val="006B2286"/>
    <w:rsid w:val="006B56BB"/>
    <w:rsid w:val="006C027C"/>
    <w:rsid w:val="006C1EBF"/>
    <w:rsid w:val="006C77A8"/>
    <w:rsid w:val="006D4098"/>
    <w:rsid w:val="006D6301"/>
    <w:rsid w:val="006D7681"/>
    <w:rsid w:val="006D7B2E"/>
    <w:rsid w:val="006E02EA"/>
    <w:rsid w:val="006E0968"/>
    <w:rsid w:val="006E2AF6"/>
    <w:rsid w:val="006E377E"/>
    <w:rsid w:val="00701275"/>
    <w:rsid w:val="00707F56"/>
    <w:rsid w:val="00712951"/>
    <w:rsid w:val="00713558"/>
    <w:rsid w:val="00720D08"/>
    <w:rsid w:val="007263B9"/>
    <w:rsid w:val="007334F8"/>
    <w:rsid w:val="007339CD"/>
    <w:rsid w:val="007359D8"/>
    <w:rsid w:val="007362D4"/>
    <w:rsid w:val="00751A23"/>
    <w:rsid w:val="00755DFE"/>
    <w:rsid w:val="0076672A"/>
    <w:rsid w:val="007705CC"/>
    <w:rsid w:val="00775E45"/>
    <w:rsid w:val="00776E74"/>
    <w:rsid w:val="00785169"/>
    <w:rsid w:val="007865E2"/>
    <w:rsid w:val="00791461"/>
    <w:rsid w:val="007954AB"/>
    <w:rsid w:val="007A14C5"/>
    <w:rsid w:val="007A3E38"/>
    <w:rsid w:val="007A4A10"/>
    <w:rsid w:val="007B1760"/>
    <w:rsid w:val="007B7B20"/>
    <w:rsid w:val="007C6D9C"/>
    <w:rsid w:val="007C7A22"/>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1111"/>
    <w:rsid w:val="00843049"/>
    <w:rsid w:val="0085209B"/>
    <w:rsid w:val="00856B66"/>
    <w:rsid w:val="00861A5F"/>
    <w:rsid w:val="008644AD"/>
    <w:rsid w:val="00865735"/>
    <w:rsid w:val="00865DDB"/>
    <w:rsid w:val="00867538"/>
    <w:rsid w:val="00873D90"/>
    <w:rsid w:val="00873FC8"/>
    <w:rsid w:val="00875401"/>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138C"/>
    <w:rsid w:val="00931DE6"/>
    <w:rsid w:val="00936055"/>
    <w:rsid w:val="00945444"/>
    <w:rsid w:val="00945E7F"/>
    <w:rsid w:val="00947289"/>
    <w:rsid w:val="009557C1"/>
    <w:rsid w:val="00960D6E"/>
    <w:rsid w:val="00972BC1"/>
    <w:rsid w:val="00974B59"/>
    <w:rsid w:val="0098340B"/>
    <w:rsid w:val="00986830"/>
    <w:rsid w:val="00991E57"/>
    <w:rsid w:val="009924C3"/>
    <w:rsid w:val="00992ADD"/>
    <w:rsid w:val="00992BF9"/>
    <w:rsid w:val="00993102"/>
    <w:rsid w:val="009B1266"/>
    <w:rsid w:val="009C4A39"/>
    <w:rsid w:val="009C6F10"/>
    <w:rsid w:val="009D148F"/>
    <w:rsid w:val="009D3D70"/>
    <w:rsid w:val="009D66DF"/>
    <w:rsid w:val="009E6F7E"/>
    <w:rsid w:val="009E7A57"/>
    <w:rsid w:val="009F4F6A"/>
    <w:rsid w:val="00A04084"/>
    <w:rsid w:val="00A16E36"/>
    <w:rsid w:val="00A1730B"/>
    <w:rsid w:val="00A20379"/>
    <w:rsid w:val="00A24961"/>
    <w:rsid w:val="00A24B10"/>
    <w:rsid w:val="00A25386"/>
    <w:rsid w:val="00A30E9B"/>
    <w:rsid w:val="00A4512D"/>
    <w:rsid w:val="00A501D8"/>
    <w:rsid w:val="00A50244"/>
    <w:rsid w:val="00A56F17"/>
    <w:rsid w:val="00A627D7"/>
    <w:rsid w:val="00A656C7"/>
    <w:rsid w:val="00A705AF"/>
    <w:rsid w:val="00A72454"/>
    <w:rsid w:val="00A77696"/>
    <w:rsid w:val="00A80557"/>
    <w:rsid w:val="00A81D33"/>
    <w:rsid w:val="00A930AE"/>
    <w:rsid w:val="00A96D90"/>
    <w:rsid w:val="00AA1A95"/>
    <w:rsid w:val="00AA260F"/>
    <w:rsid w:val="00AA763F"/>
    <w:rsid w:val="00AB0067"/>
    <w:rsid w:val="00AB1EE7"/>
    <w:rsid w:val="00AB4B37"/>
    <w:rsid w:val="00AB5762"/>
    <w:rsid w:val="00AC0C70"/>
    <w:rsid w:val="00AC168C"/>
    <w:rsid w:val="00AC2679"/>
    <w:rsid w:val="00AC4BE4"/>
    <w:rsid w:val="00AC6BF9"/>
    <w:rsid w:val="00AD05E6"/>
    <w:rsid w:val="00AD0D3F"/>
    <w:rsid w:val="00AE1D7D"/>
    <w:rsid w:val="00AE2A8B"/>
    <w:rsid w:val="00AE3F64"/>
    <w:rsid w:val="00AF5E4A"/>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222E"/>
    <w:rsid w:val="00B72EFB"/>
    <w:rsid w:val="00B75A04"/>
    <w:rsid w:val="00B832E6"/>
    <w:rsid w:val="00B839B2"/>
    <w:rsid w:val="00B94252"/>
    <w:rsid w:val="00B94828"/>
    <w:rsid w:val="00B9715A"/>
    <w:rsid w:val="00BA14BE"/>
    <w:rsid w:val="00BA2732"/>
    <w:rsid w:val="00BA293D"/>
    <w:rsid w:val="00BA49BC"/>
    <w:rsid w:val="00BA56B7"/>
    <w:rsid w:val="00BA6342"/>
    <w:rsid w:val="00BA70AB"/>
    <w:rsid w:val="00BA7A1E"/>
    <w:rsid w:val="00BA7CA9"/>
    <w:rsid w:val="00BB1ECD"/>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30E2C"/>
    <w:rsid w:val="00C4631F"/>
    <w:rsid w:val="00C50E16"/>
    <w:rsid w:val="00C53B94"/>
    <w:rsid w:val="00C55258"/>
    <w:rsid w:val="00C77A15"/>
    <w:rsid w:val="00C82EEB"/>
    <w:rsid w:val="00C971DC"/>
    <w:rsid w:val="00CA16B7"/>
    <w:rsid w:val="00CA4BE3"/>
    <w:rsid w:val="00CA62AE"/>
    <w:rsid w:val="00CA79CF"/>
    <w:rsid w:val="00CB5B1A"/>
    <w:rsid w:val="00CC0D69"/>
    <w:rsid w:val="00CC220B"/>
    <w:rsid w:val="00CC4523"/>
    <w:rsid w:val="00CC5C43"/>
    <w:rsid w:val="00CD02AE"/>
    <w:rsid w:val="00CD2A4F"/>
    <w:rsid w:val="00CE03CA"/>
    <w:rsid w:val="00CE22F1"/>
    <w:rsid w:val="00CE50F2"/>
    <w:rsid w:val="00CE6502"/>
    <w:rsid w:val="00CF14A6"/>
    <w:rsid w:val="00CF7D3C"/>
    <w:rsid w:val="00D061D2"/>
    <w:rsid w:val="00D06A7C"/>
    <w:rsid w:val="00D147EB"/>
    <w:rsid w:val="00D33FBA"/>
    <w:rsid w:val="00D34667"/>
    <w:rsid w:val="00D401E1"/>
    <w:rsid w:val="00D408B4"/>
    <w:rsid w:val="00D45D94"/>
    <w:rsid w:val="00D5088B"/>
    <w:rsid w:val="00D524C8"/>
    <w:rsid w:val="00D53030"/>
    <w:rsid w:val="00D60E25"/>
    <w:rsid w:val="00D657B5"/>
    <w:rsid w:val="00D70E24"/>
    <w:rsid w:val="00D716B3"/>
    <w:rsid w:val="00D72B61"/>
    <w:rsid w:val="00D867F4"/>
    <w:rsid w:val="00D90F34"/>
    <w:rsid w:val="00DA3D1D"/>
    <w:rsid w:val="00DB0138"/>
    <w:rsid w:val="00DB6286"/>
    <w:rsid w:val="00DB645F"/>
    <w:rsid w:val="00DB76E9"/>
    <w:rsid w:val="00DC0A67"/>
    <w:rsid w:val="00DC1D5E"/>
    <w:rsid w:val="00DC2313"/>
    <w:rsid w:val="00DC5220"/>
    <w:rsid w:val="00DC7910"/>
    <w:rsid w:val="00DD2061"/>
    <w:rsid w:val="00DD7DAB"/>
    <w:rsid w:val="00DE3355"/>
    <w:rsid w:val="00DE5E04"/>
    <w:rsid w:val="00DF486F"/>
    <w:rsid w:val="00DF579D"/>
    <w:rsid w:val="00DF5B5B"/>
    <w:rsid w:val="00DF7619"/>
    <w:rsid w:val="00E035CC"/>
    <w:rsid w:val="00E042D8"/>
    <w:rsid w:val="00E07EE7"/>
    <w:rsid w:val="00E1103B"/>
    <w:rsid w:val="00E17B44"/>
    <w:rsid w:val="00E27FEA"/>
    <w:rsid w:val="00E4086F"/>
    <w:rsid w:val="00E4293C"/>
    <w:rsid w:val="00E43B3C"/>
    <w:rsid w:val="00E45F60"/>
    <w:rsid w:val="00E50188"/>
    <w:rsid w:val="00E515CB"/>
    <w:rsid w:val="00E51901"/>
    <w:rsid w:val="00E52260"/>
    <w:rsid w:val="00E639B6"/>
    <w:rsid w:val="00E6434B"/>
    <w:rsid w:val="00E6463D"/>
    <w:rsid w:val="00E679C2"/>
    <w:rsid w:val="00E72E9B"/>
    <w:rsid w:val="00E849DA"/>
    <w:rsid w:val="00E911F2"/>
    <w:rsid w:val="00E9462E"/>
    <w:rsid w:val="00EA470E"/>
    <w:rsid w:val="00EA47A7"/>
    <w:rsid w:val="00EA57EB"/>
    <w:rsid w:val="00EB3226"/>
    <w:rsid w:val="00EC213A"/>
    <w:rsid w:val="00EC6603"/>
    <w:rsid w:val="00EC7744"/>
    <w:rsid w:val="00ED0DAD"/>
    <w:rsid w:val="00ED0F46"/>
    <w:rsid w:val="00ED2373"/>
    <w:rsid w:val="00EE3E8A"/>
    <w:rsid w:val="00EF013C"/>
    <w:rsid w:val="00EF6ECA"/>
    <w:rsid w:val="00F024E1"/>
    <w:rsid w:val="00F06C10"/>
    <w:rsid w:val="00F1096F"/>
    <w:rsid w:val="00F12589"/>
    <w:rsid w:val="00F12595"/>
    <w:rsid w:val="00F134D9"/>
    <w:rsid w:val="00F1403D"/>
    <w:rsid w:val="00F1463F"/>
    <w:rsid w:val="00F21302"/>
    <w:rsid w:val="00F321A8"/>
    <w:rsid w:val="00F321DE"/>
    <w:rsid w:val="00F33777"/>
    <w:rsid w:val="00F40648"/>
    <w:rsid w:val="00F47DA2"/>
    <w:rsid w:val="00F519FC"/>
    <w:rsid w:val="00F6239D"/>
    <w:rsid w:val="00F715D2"/>
    <w:rsid w:val="00F7274F"/>
    <w:rsid w:val="00F76FA8"/>
    <w:rsid w:val="00F86F85"/>
    <w:rsid w:val="00F93F08"/>
    <w:rsid w:val="00F94CED"/>
    <w:rsid w:val="00FA2CEE"/>
    <w:rsid w:val="00FA318C"/>
    <w:rsid w:val="00FA4FF4"/>
    <w:rsid w:val="00FB2889"/>
    <w:rsid w:val="00FB6F92"/>
    <w:rsid w:val="00FC026E"/>
    <w:rsid w:val="00FC37C1"/>
    <w:rsid w:val="00FC5124"/>
    <w:rsid w:val="00FD3167"/>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57B217"/>
  <w15:docId w15:val="{9295AA3F-1BAD-480A-AE5B-A55BA7E3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uiPriority w:val="10"/>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0E1FCC"/>
    <w:pPr>
      <w:spacing w:before="60" w:after="60"/>
    </w:pPr>
    <w:rPr>
      <w:rFonts w:ascii="Arial" w:hAnsi="Arial"/>
      <w:color w:val="000000" w:themeColor="text1"/>
      <w:sz w:val="22"/>
      <w:szCs w:val="22"/>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customStyle="1" w:styleId="Paragraphtext">
    <w:name w:val="Paragraph text"/>
    <w:basedOn w:val="Normal"/>
    <w:qFormat/>
    <w:rsid w:val="00C30E2C"/>
    <w:pPr>
      <w:spacing w:after="60" w:line="240" w:lineRule="auto"/>
    </w:pPr>
    <w:rPr>
      <w:sz w:val="21"/>
    </w:rPr>
  </w:style>
  <w:style w:type="character" w:styleId="CommentReference">
    <w:name w:val="annotation reference"/>
    <w:basedOn w:val="DefaultParagraphFont"/>
    <w:semiHidden/>
    <w:unhideWhenUsed/>
    <w:rsid w:val="00C30E2C"/>
    <w:rPr>
      <w:sz w:val="16"/>
      <w:szCs w:val="16"/>
    </w:rPr>
  </w:style>
  <w:style w:type="paragraph" w:styleId="CommentText">
    <w:name w:val="annotation text"/>
    <w:basedOn w:val="Normal"/>
    <w:link w:val="CommentTextChar"/>
    <w:semiHidden/>
    <w:unhideWhenUsed/>
    <w:rsid w:val="00C30E2C"/>
    <w:pPr>
      <w:spacing w:before="0" w:after="0" w:line="240" w:lineRule="auto"/>
    </w:pPr>
    <w:rPr>
      <w:color w:val="auto"/>
      <w:sz w:val="20"/>
      <w:szCs w:val="20"/>
    </w:rPr>
  </w:style>
  <w:style w:type="character" w:customStyle="1" w:styleId="CommentTextChar">
    <w:name w:val="Comment Text Char"/>
    <w:basedOn w:val="DefaultParagraphFont"/>
    <w:link w:val="CommentText"/>
    <w:semiHidden/>
    <w:rsid w:val="00C30E2C"/>
    <w:rPr>
      <w:rFonts w:ascii="Arial" w:hAnsi="Arial"/>
      <w:lang w:eastAsia="en-US"/>
    </w:rPr>
  </w:style>
  <w:style w:type="character" w:styleId="FootnoteReference">
    <w:name w:val="footnote reference"/>
    <w:basedOn w:val="DefaultParagraphFont"/>
    <w:semiHidden/>
    <w:unhideWhenUsed/>
    <w:rsid w:val="00C30E2C"/>
    <w:rPr>
      <w:vertAlign w:val="superscript"/>
    </w:rPr>
  </w:style>
  <w:style w:type="paragraph" w:customStyle="1" w:styleId="NumberLevel1">
    <w:name w:val="Number Level 1"/>
    <w:aliases w:val="N1,hea Level 1,Numberanswer Level 1,N,indentl 1,Number leg2 1,Level 1,leg5er Level 1,We woulNumber Level 1,answerer Level 1"/>
    <w:basedOn w:val="Normal"/>
    <w:uiPriority w:val="1"/>
    <w:qFormat/>
    <w:rsid w:val="00C53B94"/>
    <w:pPr>
      <w:numPr>
        <w:numId w:val="26"/>
      </w:numPr>
      <w:spacing w:before="140" w:after="140" w:line="280" w:lineRule="atLeast"/>
    </w:pPr>
    <w:rPr>
      <w:rFonts w:cs="Arial"/>
      <w:color w:val="auto"/>
      <w:szCs w:val="22"/>
      <w:lang w:eastAsia="en-AU"/>
    </w:rPr>
  </w:style>
  <w:style w:type="paragraph" w:customStyle="1" w:styleId="NumberLevel2">
    <w:name w:val="Number Level 2"/>
    <w:aliases w:val="N2,authorising the Number Level 2"/>
    <w:basedOn w:val="Normal"/>
    <w:uiPriority w:val="1"/>
    <w:qFormat/>
    <w:rsid w:val="00C53B94"/>
    <w:pPr>
      <w:numPr>
        <w:ilvl w:val="1"/>
        <w:numId w:val="26"/>
      </w:numPr>
      <w:spacing w:before="140" w:after="140" w:line="280" w:lineRule="atLeast"/>
    </w:pPr>
    <w:rPr>
      <w:rFonts w:cs="Arial"/>
      <w:color w:val="auto"/>
      <w:szCs w:val="22"/>
      <w:lang w:eastAsia="en-AU"/>
    </w:rPr>
  </w:style>
  <w:style w:type="paragraph" w:customStyle="1" w:styleId="NumberLevel3">
    <w:name w:val="Number Level 3"/>
    <w:aliases w:val="N3"/>
    <w:basedOn w:val="Normal"/>
    <w:uiPriority w:val="1"/>
    <w:qFormat/>
    <w:rsid w:val="00C53B94"/>
    <w:pPr>
      <w:numPr>
        <w:ilvl w:val="2"/>
        <w:numId w:val="26"/>
      </w:numPr>
      <w:spacing w:before="140" w:after="140" w:line="280" w:lineRule="atLeast"/>
    </w:pPr>
    <w:rPr>
      <w:rFonts w:cs="Arial"/>
      <w:color w:val="auto"/>
      <w:szCs w:val="22"/>
      <w:lang w:eastAsia="en-AU"/>
    </w:rPr>
  </w:style>
  <w:style w:type="paragraph" w:customStyle="1" w:styleId="NumberLevel4">
    <w:name w:val="Number Level 4"/>
    <w:aliases w:val="N4,theNumber Level 4"/>
    <w:basedOn w:val="Normal"/>
    <w:uiPriority w:val="1"/>
    <w:qFormat/>
    <w:rsid w:val="00C53B94"/>
    <w:pPr>
      <w:numPr>
        <w:ilvl w:val="3"/>
        <w:numId w:val="26"/>
      </w:numPr>
      <w:spacing w:before="0" w:after="140" w:line="280" w:lineRule="atLeast"/>
    </w:pPr>
    <w:rPr>
      <w:rFonts w:cs="Arial"/>
      <w:color w:val="auto"/>
      <w:szCs w:val="22"/>
      <w:lang w:eastAsia="en-AU"/>
    </w:rPr>
  </w:style>
  <w:style w:type="paragraph" w:customStyle="1" w:styleId="NumberLevel5">
    <w:name w:val="Number Level 5"/>
    <w:aliases w:val="N5"/>
    <w:basedOn w:val="Normal"/>
    <w:uiPriority w:val="1"/>
    <w:qFormat/>
    <w:rsid w:val="00C53B94"/>
    <w:pPr>
      <w:numPr>
        <w:ilvl w:val="4"/>
        <w:numId w:val="26"/>
      </w:numPr>
      <w:spacing w:before="0" w:after="140" w:line="280" w:lineRule="atLeast"/>
    </w:pPr>
    <w:rPr>
      <w:rFonts w:cs="Arial"/>
      <w:color w:val="auto"/>
      <w:szCs w:val="22"/>
      <w:lang w:eastAsia="en-AU"/>
    </w:rPr>
  </w:style>
  <w:style w:type="paragraph" w:customStyle="1" w:styleId="NumberLevel6">
    <w:name w:val="Number Level 6"/>
    <w:aliases w:val="N6"/>
    <w:basedOn w:val="NumberLevel5"/>
    <w:uiPriority w:val="1"/>
    <w:qFormat/>
    <w:rsid w:val="00C53B94"/>
    <w:pPr>
      <w:numPr>
        <w:ilvl w:val="5"/>
      </w:numPr>
    </w:pPr>
  </w:style>
  <w:style w:type="paragraph" w:customStyle="1" w:styleId="NumberLevel7">
    <w:name w:val="Number Level 7"/>
    <w:aliases w:val="N7"/>
    <w:basedOn w:val="NumberLevel6"/>
    <w:uiPriority w:val="1"/>
    <w:qFormat/>
    <w:rsid w:val="00C53B94"/>
    <w:pPr>
      <w:numPr>
        <w:ilvl w:val="6"/>
      </w:numPr>
    </w:pPr>
  </w:style>
  <w:style w:type="paragraph" w:customStyle="1" w:styleId="NumberLevel8">
    <w:name w:val="Number Level 8"/>
    <w:aliases w:val="N8"/>
    <w:basedOn w:val="NumberLevel7"/>
    <w:uiPriority w:val="1"/>
    <w:rsid w:val="00C53B94"/>
    <w:pPr>
      <w:numPr>
        <w:ilvl w:val="7"/>
      </w:numPr>
    </w:pPr>
  </w:style>
  <w:style w:type="paragraph" w:customStyle="1" w:styleId="NumberLevel9">
    <w:name w:val="Number Level 9"/>
    <w:aliases w:val="N9"/>
    <w:basedOn w:val="NumberLevel8"/>
    <w:uiPriority w:val="1"/>
    <w:rsid w:val="00C53B94"/>
    <w:pPr>
      <w:numPr>
        <w:ilvl w:val="8"/>
      </w:numPr>
    </w:pPr>
  </w:style>
  <w:style w:type="paragraph" w:customStyle="1" w:styleId="AdviceNumLevel1">
    <w:name w:val="AdviceNumLevel1"/>
    <w:aliases w:val="Advice N1"/>
    <w:basedOn w:val="NumberLevel1"/>
    <w:qFormat/>
    <w:rsid w:val="00C53B94"/>
  </w:style>
  <w:style w:type="paragraph" w:styleId="TOCHeading">
    <w:name w:val="TOC Heading"/>
    <w:basedOn w:val="Heading1"/>
    <w:next w:val="Normal"/>
    <w:uiPriority w:val="39"/>
    <w:unhideWhenUsed/>
    <w:qFormat/>
    <w:rsid w:val="005922AA"/>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2">
    <w:name w:val="toc 2"/>
    <w:basedOn w:val="Normal"/>
    <w:next w:val="Normal"/>
    <w:autoRedefine/>
    <w:uiPriority w:val="39"/>
    <w:unhideWhenUsed/>
    <w:rsid w:val="005922AA"/>
    <w:pPr>
      <w:spacing w:after="100"/>
      <w:ind w:left="220"/>
    </w:pPr>
  </w:style>
  <w:style w:type="paragraph" w:styleId="TOC3">
    <w:name w:val="toc 3"/>
    <w:basedOn w:val="Normal"/>
    <w:next w:val="Normal"/>
    <w:autoRedefine/>
    <w:uiPriority w:val="39"/>
    <w:unhideWhenUsed/>
    <w:rsid w:val="005922AA"/>
    <w:pPr>
      <w:spacing w:after="100"/>
      <w:ind w:left="440"/>
    </w:pPr>
  </w:style>
  <w:style w:type="paragraph" w:styleId="CommentSubject">
    <w:name w:val="annotation subject"/>
    <w:basedOn w:val="CommentText"/>
    <w:next w:val="CommentText"/>
    <w:link w:val="CommentSubjectChar"/>
    <w:semiHidden/>
    <w:unhideWhenUsed/>
    <w:rsid w:val="00D867F4"/>
    <w:pPr>
      <w:spacing w:before="120" w:after="120"/>
    </w:pPr>
    <w:rPr>
      <w:b/>
      <w:bCs/>
      <w:color w:val="000000" w:themeColor="text1"/>
    </w:rPr>
  </w:style>
  <w:style w:type="character" w:customStyle="1" w:styleId="CommentSubjectChar">
    <w:name w:val="Comment Subject Char"/>
    <w:basedOn w:val="CommentTextChar"/>
    <w:link w:val="CommentSubject"/>
    <w:semiHidden/>
    <w:rsid w:val="00D867F4"/>
    <w:rPr>
      <w:rFonts w:ascii="Arial" w:hAnsi="Arial"/>
      <w:b/>
      <w:bCs/>
      <w:color w:val="000000" w:themeColor="text1"/>
      <w:lang w:eastAsia="en-US"/>
    </w:rPr>
  </w:style>
  <w:style w:type="paragraph" w:styleId="TableofFigures">
    <w:name w:val="table of figures"/>
    <w:basedOn w:val="Normal"/>
    <w:next w:val="Normal"/>
    <w:uiPriority w:val="99"/>
    <w:unhideWhenUsed/>
    <w:rsid w:val="004620E1"/>
    <w:pPr>
      <w:spacing w:after="0"/>
    </w:pPr>
  </w:style>
  <w:style w:type="paragraph" w:styleId="TOC4">
    <w:name w:val="toc 4"/>
    <w:basedOn w:val="Normal"/>
    <w:next w:val="Normal"/>
    <w:autoRedefine/>
    <w:uiPriority w:val="39"/>
    <w:unhideWhenUsed/>
    <w:rsid w:val="004620E1"/>
    <w:pPr>
      <w:spacing w:after="100"/>
      <w:ind w:left="660"/>
    </w:pPr>
  </w:style>
  <w:style w:type="character" w:styleId="FollowedHyperlink">
    <w:name w:val="FollowedHyperlink"/>
    <w:basedOn w:val="DefaultParagraphFont"/>
    <w:semiHidden/>
    <w:unhideWhenUsed/>
    <w:rsid w:val="00422F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1311135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3141908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3008521">
      <w:bodyDiv w:val="1"/>
      <w:marLeft w:val="0"/>
      <w:marRight w:val="0"/>
      <w:marTop w:val="0"/>
      <w:marBottom w:val="0"/>
      <w:divBdr>
        <w:top w:val="none" w:sz="0" w:space="0" w:color="auto"/>
        <w:left w:val="none" w:sz="0" w:space="0" w:color="auto"/>
        <w:bottom w:val="none" w:sz="0" w:space="0" w:color="auto"/>
        <w:right w:val="none" w:sz="0" w:space="0" w:color="auto"/>
      </w:divBdr>
    </w:div>
    <w:div w:id="13426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consultations.health.gov.au/technology-assessment-access-division/51e12065/consultation/question_report?questionId=question.2022-11-01.9524086892"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27\GUIRGE\Documents\PL%20Webinar\Consult%204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27\GUIRGE\Documents\Prostheses%20Reform%20Taskforce\PL%20Webinar\D22-2824964%20%20Analysis%20of%20Questions%20from%20Webinar%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27\GUIRGE\Documents\PL%20Webinar\D22-2873354%20%20Analysis%20of%20Questions%20from%20Webinar%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27\GUIRGE\Documents\PL%20Webinar\D22-2873357%20%20Analysis%20of%20Questions%20from%20Webinar%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27\GUIRGE\Documents\Prostheses%20Reform%20Taskforce\PL%20Webinar\Consult%204b(AutoRecovere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Webinar</a:t>
            </a:r>
            <a:r>
              <a:rPr lang="en-AU" baseline="0"/>
              <a:t> 'SLIDO' i</a:t>
            </a:r>
            <a:r>
              <a:rPr lang="en-AU"/>
              <a:t>nteraction</a:t>
            </a:r>
            <a:r>
              <a:rPr lang="en-AU" baseline="0"/>
              <a:t> from Webinars 1-3</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Sheet3!$A$2</c:f>
              <c:strCache>
                <c:ptCount val="1"/>
                <c:pt idx="0">
                  <c:v>Webinar 1</c:v>
                </c:pt>
              </c:strCache>
            </c:strRef>
          </c:tx>
          <c:spPr>
            <a:solidFill>
              <a:schemeClr val="accent1"/>
            </a:solidFill>
            <a:ln>
              <a:noFill/>
            </a:ln>
            <a:effectLst/>
          </c:spPr>
          <c:invertIfNegative val="0"/>
          <c:cat>
            <c:strRef>
              <c:f>Sheet3!$B$1:$E$1</c:f>
              <c:strCache>
                <c:ptCount val="4"/>
                <c:pt idx="0">
                  <c:v>Total </c:v>
                </c:pt>
                <c:pt idx="1">
                  <c:v>Answered </c:v>
                </c:pt>
                <c:pt idx="2">
                  <c:v>Rejected</c:v>
                </c:pt>
                <c:pt idx="3">
                  <c:v>Withdrawn</c:v>
                </c:pt>
              </c:strCache>
            </c:strRef>
          </c:cat>
          <c:val>
            <c:numRef>
              <c:f>Sheet3!$B$2:$E$2</c:f>
              <c:numCache>
                <c:formatCode>General</c:formatCode>
                <c:ptCount val="4"/>
                <c:pt idx="0">
                  <c:v>48</c:v>
                </c:pt>
                <c:pt idx="1">
                  <c:v>27</c:v>
                </c:pt>
                <c:pt idx="2">
                  <c:v>21</c:v>
                </c:pt>
                <c:pt idx="3">
                  <c:v>0</c:v>
                </c:pt>
              </c:numCache>
            </c:numRef>
          </c:val>
          <c:extLst>
            <c:ext xmlns:c16="http://schemas.microsoft.com/office/drawing/2014/chart" uri="{C3380CC4-5D6E-409C-BE32-E72D297353CC}">
              <c16:uniqueId val="{00000000-3253-46BA-A662-36C5F3F5EC1C}"/>
            </c:ext>
          </c:extLst>
        </c:ser>
        <c:ser>
          <c:idx val="1"/>
          <c:order val="1"/>
          <c:tx>
            <c:strRef>
              <c:f>Sheet3!$A$3</c:f>
              <c:strCache>
                <c:ptCount val="1"/>
                <c:pt idx="0">
                  <c:v>Webinar 2</c:v>
                </c:pt>
              </c:strCache>
            </c:strRef>
          </c:tx>
          <c:spPr>
            <a:solidFill>
              <a:schemeClr val="accent2"/>
            </a:solidFill>
            <a:ln>
              <a:noFill/>
            </a:ln>
            <a:effectLst/>
          </c:spPr>
          <c:invertIfNegative val="0"/>
          <c:cat>
            <c:strRef>
              <c:f>Sheet3!$B$1:$E$1</c:f>
              <c:strCache>
                <c:ptCount val="4"/>
                <c:pt idx="0">
                  <c:v>Total </c:v>
                </c:pt>
                <c:pt idx="1">
                  <c:v>Answered </c:v>
                </c:pt>
                <c:pt idx="2">
                  <c:v>Rejected</c:v>
                </c:pt>
                <c:pt idx="3">
                  <c:v>Withdrawn</c:v>
                </c:pt>
              </c:strCache>
            </c:strRef>
          </c:cat>
          <c:val>
            <c:numRef>
              <c:f>Sheet3!$B$3:$E$3</c:f>
              <c:numCache>
                <c:formatCode>General</c:formatCode>
                <c:ptCount val="4"/>
                <c:pt idx="0">
                  <c:v>75</c:v>
                </c:pt>
                <c:pt idx="1">
                  <c:v>38</c:v>
                </c:pt>
                <c:pt idx="2">
                  <c:v>36</c:v>
                </c:pt>
                <c:pt idx="3">
                  <c:v>0</c:v>
                </c:pt>
              </c:numCache>
            </c:numRef>
          </c:val>
          <c:extLst>
            <c:ext xmlns:c16="http://schemas.microsoft.com/office/drawing/2014/chart" uri="{C3380CC4-5D6E-409C-BE32-E72D297353CC}">
              <c16:uniqueId val="{00000001-3253-46BA-A662-36C5F3F5EC1C}"/>
            </c:ext>
          </c:extLst>
        </c:ser>
        <c:ser>
          <c:idx val="2"/>
          <c:order val="2"/>
          <c:tx>
            <c:strRef>
              <c:f>Sheet3!$A$4</c:f>
              <c:strCache>
                <c:ptCount val="1"/>
                <c:pt idx="0">
                  <c:v>Webinar 3 </c:v>
                </c:pt>
              </c:strCache>
            </c:strRef>
          </c:tx>
          <c:spPr>
            <a:solidFill>
              <a:schemeClr val="accent3"/>
            </a:solidFill>
            <a:ln>
              <a:noFill/>
            </a:ln>
            <a:effectLst/>
          </c:spPr>
          <c:invertIfNegative val="0"/>
          <c:cat>
            <c:strRef>
              <c:f>Sheet3!$B$1:$E$1</c:f>
              <c:strCache>
                <c:ptCount val="4"/>
                <c:pt idx="0">
                  <c:v>Total </c:v>
                </c:pt>
                <c:pt idx="1">
                  <c:v>Answered </c:v>
                </c:pt>
                <c:pt idx="2">
                  <c:v>Rejected</c:v>
                </c:pt>
                <c:pt idx="3">
                  <c:v>Withdrawn</c:v>
                </c:pt>
              </c:strCache>
            </c:strRef>
          </c:cat>
          <c:val>
            <c:numRef>
              <c:f>Sheet3!$B$4:$E$4</c:f>
              <c:numCache>
                <c:formatCode>General</c:formatCode>
                <c:ptCount val="4"/>
                <c:pt idx="0">
                  <c:v>48</c:v>
                </c:pt>
                <c:pt idx="1">
                  <c:v>34</c:v>
                </c:pt>
                <c:pt idx="2">
                  <c:v>13</c:v>
                </c:pt>
                <c:pt idx="3">
                  <c:v>1</c:v>
                </c:pt>
              </c:numCache>
            </c:numRef>
          </c:val>
          <c:extLst>
            <c:ext xmlns:c16="http://schemas.microsoft.com/office/drawing/2014/chart" uri="{C3380CC4-5D6E-409C-BE32-E72D297353CC}">
              <c16:uniqueId val="{00000002-3253-46BA-A662-36C5F3F5EC1C}"/>
            </c:ext>
          </c:extLst>
        </c:ser>
        <c:dLbls>
          <c:showLegendKey val="0"/>
          <c:showVal val="0"/>
          <c:showCatName val="0"/>
          <c:showSerName val="0"/>
          <c:showPercent val="0"/>
          <c:showBubbleSize val="0"/>
        </c:dLbls>
        <c:gapWidth val="219"/>
        <c:overlap val="-27"/>
        <c:axId val="737727712"/>
        <c:axId val="737730008"/>
      </c:barChart>
      <c:catAx>
        <c:axId val="73772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730008"/>
        <c:crosses val="autoZero"/>
        <c:auto val="1"/>
        <c:lblAlgn val="ctr"/>
        <c:lblOffset val="100"/>
        <c:noMultiLvlLbl val="0"/>
      </c:catAx>
      <c:valAx>
        <c:axId val="737730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72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AU" sz="1800" b="1" i="0" baseline="0">
                <a:effectLst/>
              </a:rPr>
              <a:t>Webinar 1 themes of questions asked</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B71-495D-ADC6-F8F91F9B04B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B71-495D-ADC6-F8F91F9B04B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B71-495D-ADC6-F8F91F9B04B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Sheet1!$A$18:$A$20</c:f>
              <c:strCache>
                <c:ptCount val="3"/>
                <c:pt idx="0">
                  <c:v>Explain the eligibility criteria for Part A, B and C </c:v>
                </c:pt>
                <c:pt idx="1">
                  <c:v>Explain how the definition materialised</c:v>
                </c:pt>
                <c:pt idx="2">
                  <c:v>Other</c:v>
                </c:pt>
              </c:strCache>
            </c:strRef>
          </c:cat>
          <c:val>
            <c:numRef>
              <c:f>Sheet1!$B$18:$B$20</c:f>
              <c:numCache>
                <c:formatCode>General</c:formatCode>
                <c:ptCount val="3"/>
                <c:pt idx="0">
                  <c:v>15</c:v>
                </c:pt>
                <c:pt idx="1">
                  <c:v>4</c:v>
                </c:pt>
                <c:pt idx="2">
                  <c:v>8</c:v>
                </c:pt>
              </c:numCache>
            </c:numRef>
          </c:val>
          <c:extLst>
            <c:ext xmlns:c16="http://schemas.microsoft.com/office/drawing/2014/chart" uri="{C3380CC4-5D6E-409C-BE32-E72D297353CC}">
              <c16:uniqueId val="{00000006-0B71-495D-ADC6-F8F91F9B04B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AU" sz="1800" b="1" i="0" baseline="0">
                <a:effectLst/>
              </a:rPr>
              <a:t>Webinar 2 themes of questions asked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Sheet2!$B$1</c:f>
              <c:strCache>
                <c:ptCount val="1"/>
                <c:pt idx="0">
                  <c:v>Count of Themes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C84-461B-8BB9-01B8656DD53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C84-461B-8BB9-01B8656DD53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C84-461B-8BB9-01B8656DD53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C84-461B-8BB9-01B8656DD53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C84-461B-8BB9-01B8656DD53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7C84-461B-8BB9-01B8656DD53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Sheet2!$A$2:$A$7</c:f>
              <c:strCache>
                <c:ptCount val="6"/>
                <c:pt idx="0">
                  <c:v>Application process</c:v>
                </c:pt>
                <c:pt idx="1">
                  <c:v>Explain cost-recovery process</c:v>
                </c:pt>
                <c:pt idx="2">
                  <c:v>Explain how international pricing impacts the PL</c:v>
                </c:pt>
                <c:pt idx="3">
                  <c:v>Explain how the public price fits into the PL benefits</c:v>
                </c:pt>
                <c:pt idx="4">
                  <c:v>Removal of device</c:v>
                </c:pt>
                <c:pt idx="5">
                  <c:v>Other</c:v>
                </c:pt>
              </c:strCache>
            </c:strRef>
          </c:cat>
          <c:val>
            <c:numRef>
              <c:f>Sheet2!$B$2:$B$7</c:f>
              <c:numCache>
                <c:formatCode>General</c:formatCode>
                <c:ptCount val="6"/>
                <c:pt idx="0">
                  <c:v>3</c:v>
                </c:pt>
                <c:pt idx="1">
                  <c:v>9</c:v>
                </c:pt>
                <c:pt idx="2">
                  <c:v>3</c:v>
                </c:pt>
                <c:pt idx="3">
                  <c:v>5</c:v>
                </c:pt>
                <c:pt idx="4">
                  <c:v>8</c:v>
                </c:pt>
                <c:pt idx="5">
                  <c:v>8</c:v>
                </c:pt>
              </c:numCache>
            </c:numRef>
          </c:val>
          <c:extLst>
            <c:ext xmlns:c16="http://schemas.microsoft.com/office/drawing/2014/chart" uri="{C3380CC4-5D6E-409C-BE32-E72D297353CC}">
              <c16:uniqueId val="{0000000C-7C84-461B-8BB9-01B8656DD53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AU" sz="1800" b="1" i="0" baseline="0">
                <a:effectLst/>
              </a:rPr>
              <a:t>Webinar 3 themes of questions asked</a:t>
            </a:r>
            <a:endParaRPr lang="en-AU">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Count of Themes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BA9-43BF-86E8-367BD36B747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BA9-43BF-86E8-367BD36B747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BA9-43BF-86E8-367BD36B747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BA9-43BF-86E8-367BD36B747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BA9-43BF-86E8-367BD36B747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BA9-43BF-86E8-367BD36B747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Compliance</c:v>
                </c:pt>
                <c:pt idx="1">
                  <c:v>Compliance and data sharing</c:v>
                </c:pt>
                <c:pt idx="2">
                  <c:v>Cost-recovery</c:v>
                </c:pt>
                <c:pt idx="3">
                  <c:v>Data sharing</c:v>
                </c:pt>
                <c:pt idx="4">
                  <c:v>Removal of devices</c:v>
                </c:pt>
                <c:pt idx="5">
                  <c:v>Other</c:v>
                </c:pt>
              </c:strCache>
            </c:strRef>
          </c:cat>
          <c:val>
            <c:numRef>
              <c:f>Sheet1!$B$2:$B$7</c:f>
              <c:numCache>
                <c:formatCode>General</c:formatCode>
                <c:ptCount val="6"/>
                <c:pt idx="0">
                  <c:v>9</c:v>
                </c:pt>
                <c:pt idx="1">
                  <c:v>2</c:v>
                </c:pt>
                <c:pt idx="2">
                  <c:v>5</c:v>
                </c:pt>
                <c:pt idx="3">
                  <c:v>7</c:v>
                </c:pt>
                <c:pt idx="4">
                  <c:v>1</c:v>
                </c:pt>
                <c:pt idx="5">
                  <c:v>10</c:v>
                </c:pt>
              </c:numCache>
            </c:numRef>
          </c:val>
          <c:extLst>
            <c:ext xmlns:c16="http://schemas.microsoft.com/office/drawing/2014/chart" uri="{C3380CC4-5D6E-409C-BE32-E72D297353CC}">
              <c16:uniqueId val="{0000000C-3BA9-43BF-86E8-367BD36B747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AU" sz="1800" b="1" i="0" baseline="0">
                <a:effectLst/>
              </a:rPr>
              <a:t>Consultation 4(b) feedback themes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164-4852-A907-0B79E9E1647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164-4852-A907-0B79E9E1647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164-4852-A907-0B79E9E1647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164-4852-A907-0B79E9E1647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164-4852-A907-0B79E9E1647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164-4852-A907-0B79E9E1647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1164-4852-A907-0B79E9E1647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eparator>
</c:separator>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Sheet1!$A$1:$A$7</c:f>
              <c:strCache>
                <c:ptCount val="7"/>
                <c:pt idx="0">
                  <c:v>Definitions</c:v>
                </c:pt>
                <c:pt idx="1">
                  <c:v>Structure of cost recovery; general support</c:v>
                </c:pt>
                <c:pt idx="2">
                  <c:v>Structure of cost recovery; delisting</c:v>
                </c:pt>
                <c:pt idx="3">
                  <c:v>Structure of cost recovery; other </c:v>
                </c:pt>
                <c:pt idx="4">
                  <c:v>Ministerial discretion</c:v>
                </c:pt>
                <c:pt idx="5">
                  <c:v>Out-of-scope; timing </c:v>
                </c:pt>
                <c:pt idx="6">
                  <c:v>Out-of-scope; listing criteria</c:v>
                </c:pt>
              </c:strCache>
            </c:strRef>
          </c:cat>
          <c:val>
            <c:numRef>
              <c:f>Sheet1!$B$1:$B$7</c:f>
              <c:numCache>
                <c:formatCode>General</c:formatCode>
                <c:ptCount val="7"/>
                <c:pt idx="0">
                  <c:v>7</c:v>
                </c:pt>
                <c:pt idx="1">
                  <c:v>3</c:v>
                </c:pt>
                <c:pt idx="2">
                  <c:v>3</c:v>
                </c:pt>
                <c:pt idx="3">
                  <c:v>2</c:v>
                </c:pt>
                <c:pt idx="4">
                  <c:v>4</c:v>
                </c:pt>
                <c:pt idx="5">
                  <c:v>5</c:v>
                </c:pt>
                <c:pt idx="6">
                  <c:v>2</c:v>
                </c:pt>
              </c:numCache>
            </c:numRef>
          </c:val>
          <c:extLst>
            <c:ext xmlns:c16="http://schemas.microsoft.com/office/drawing/2014/chart" uri="{C3380CC4-5D6E-409C-BE32-E72D297353CC}">
              <c16:uniqueId val="{0000000E-1164-4852-A907-0B79E9E1647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b26f12c0-2397-4242-8c80-fd768a193b9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1975F3C-AFCE-43A9-8440-1B819C7A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3486</Words>
  <Characters>23632</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Stakeholder feedback report - Consultation 4 (b)</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feedback report - Consultation 4 (b)</dc:title>
  <dc:subject>Prostheses List reform</dc:subject>
  <dc:creator>Australian Government Department of Health and Aged Care</dc:creator>
  <cp:lastModifiedBy>COSTIN, Siobhan</cp:lastModifiedBy>
  <cp:revision>4</cp:revision>
  <dcterms:created xsi:type="dcterms:W3CDTF">2023-02-08T01:14:00Z</dcterms:created>
  <dcterms:modified xsi:type="dcterms:W3CDTF">2023-02-08T01:20:00Z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