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031D9243" w:rsidR="00BA2732" w:rsidRDefault="00057802" w:rsidP="003D033A">
      <w:pPr>
        <w:pStyle w:val="Title"/>
      </w:pPr>
      <w:r>
        <w:t xml:space="preserve">Performance and Financial </w:t>
      </w:r>
      <w:r w:rsidR="00E50741">
        <w:t xml:space="preserve">Management </w:t>
      </w:r>
      <w:r>
        <w:t>Review – Australian Capital Territory Primary Health Network</w:t>
      </w:r>
    </w:p>
    <w:p w14:paraId="7585A992" w14:textId="7D6815C8" w:rsidR="00B53987" w:rsidRPr="00B53987" w:rsidRDefault="003730A9" w:rsidP="00B53987">
      <w:r>
        <w:t xml:space="preserve">December </w:t>
      </w:r>
      <w:r w:rsidR="00057802">
        <w:t>2022</w:t>
      </w:r>
    </w:p>
    <w:p w14:paraId="2930C7FE" w14:textId="1E17FB1E" w:rsidR="00FA02BB" w:rsidRPr="00FA02BB" w:rsidRDefault="00E75630" w:rsidP="00E75630">
      <w:pPr>
        <w:pStyle w:val="Heading2"/>
      </w:pPr>
      <w:r>
        <w:t>Introduction</w:t>
      </w:r>
    </w:p>
    <w:p w14:paraId="45D96CB1" w14:textId="77777777" w:rsidR="00E75630" w:rsidRDefault="00E75630" w:rsidP="00E25B1F">
      <w:r>
        <w:t>A review of the Australian Capital Territory Primary Health Network (ACTPHN) was undertaken by Yardstick Advisory Pty Ltd in 2022 to determine the extent to which the PHN has complied with its financial and performance obligations under the Funding Agreement.</w:t>
      </w:r>
    </w:p>
    <w:p w14:paraId="552F2A30" w14:textId="7D39F2F9" w:rsidR="00DF0C60" w:rsidRDefault="00156C10" w:rsidP="00DF0C60">
      <w:pPr>
        <w:pStyle w:val="Heading2"/>
      </w:pPr>
      <w:r>
        <w:t>Findings and Observations</w:t>
      </w:r>
    </w:p>
    <w:p w14:paraId="435F0CFD" w14:textId="052464AF" w:rsidR="007E0FB8" w:rsidRDefault="00E75630" w:rsidP="00E25B1F">
      <w:bookmarkStart w:id="0" w:name="_Hlk85795649"/>
      <w:r>
        <w:t>T</w:t>
      </w:r>
      <w:r w:rsidR="00156C10">
        <w:t xml:space="preserve">he ACTPHN </w:t>
      </w:r>
      <w:r>
        <w:t xml:space="preserve">is committed to continuous quality improvement and </w:t>
      </w:r>
      <w:r w:rsidR="00156C10">
        <w:t>has implemented appropriate processes and controls to support its operational</w:t>
      </w:r>
      <w:r w:rsidR="009E3720">
        <w:t xml:space="preserve"> capability and capacity, governance, and probity arrangements. </w:t>
      </w:r>
      <w:r w:rsidR="004A1ECF">
        <w:t>Key findings from the review are outline</w:t>
      </w:r>
      <w:r w:rsidR="007F201A">
        <w:t>d</w:t>
      </w:r>
      <w:r w:rsidR="004A1ECF">
        <w:t xml:space="preserve"> against </w:t>
      </w:r>
      <w:r w:rsidR="00C9260D">
        <w:t>three</w:t>
      </w:r>
      <w:r w:rsidR="004A1ECF">
        <w:t xml:space="preserve"> categories.</w:t>
      </w:r>
    </w:p>
    <w:p w14:paraId="4996AE90" w14:textId="77777777" w:rsidR="004A1ECF" w:rsidRDefault="004A1ECF" w:rsidP="004A1ECF">
      <w:pPr>
        <w:pStyle w:val="Heading3"/>
      </w:pPr>
      <w:r>
        <w:t>Governance</w:t>
      </w:r>
    </w:p>
    <w:p w14:paraId="67736CA5" w14:textId="3D67FDC2" w:rsidR="00C9260D" w:rsidRDefault="00C9260D" w:rsidP="00C9260D">
      <w:pPr>
        <w:pStyle w:val="ListBullet"/>
      </w:pPr>
      <w:r w:rsidRPr="001B5BEB">
        <w:t xml:space="preserve">The audit observed that </w:t>
      </w:r>
      <w:r>
        <w:t>the ACT PHN</w:t>
      </w:r>
      <w:r w:rsidRPr="001B5BEB">
        <w:t xml:space="preserve"> Constitution and Board deliberations reference CHN’s Skills Matrix for its Board members (directors), which is consistent with principles from the ASX Corporate Governance Principles and Recommendations. The audit also observed, within the Board’s meeting minutes over the past three years, the Board’s use of, and reference to, the Skills Matrix as part of its deliberations on capability requirements.</w:t>
      </w:r>
    </w:p>
    <w:p w14:paraId="34B3ABF2" w14:textId="6087F7F3" w:rsidR="004A1ECF" w:rsidRDefault="004A1ECF" w:rsidP="004A1ECF">
      <w:pPr>
        <w:pStyle w:val="ListBullet"/>
      </w:pPr>
      <w:r w:rsidRPr="001B5BEB">
        <w:t xml:space="preserve">The </w:t>
      </w:r>
      <w:r>
        <w:t>B</w:t>
      </w:r>
      <w:r w:rsidRPr="001B5BEB">
        <w:t xml:space="preserve">oard establishes </w:t>
      </w:r>
      <w:r w:rsidR="00C9260D">
        <w:t xml:space="preserve">and has </w:t>
      </w:r>
      <w:r w:rsidRPr="001B5BEB">
        <w:t>strategic plans</w:t>
      </w:r>
      <w:r w:rsidR="00C9260D">
        <w:t xml:space="preserve"> in place</w:t>
      </w:r>
      <w:r w:rsidRPr="001B5BEB">
        <w:t xml:space="preserve"> that are published on </w:t>
      </w:r>
      <w:r>
        <w:t>the PHN</w:t>
      </w:r>
      <w:r w:rsidR="007F201A">
        <w:t>’</w:t>
      </w:r>
      <w:r>
        <w:t>s</w:t>
      </w:r>
      <w:r w:rsidRPr="001B5BEB">
        <w:t xml:space="preserve"> website</w:t>
      </w:r>
      <w:r w:rsidRPr="007F201A">
        <w:rPr>
          <w:vertAlign w:val="superscript"/>
        </w:rPr>
        <w:footnoteReference w:id="2"/>
      </w:r>
      <w:r w:rsidRPr="001B5BEB">
        <w:t xml:space="preserve">. </w:t>
      </w:r>
    </w:p>
    <w:p w14:paraId="29B412AD" w14:textId="7C3D2DFE" w:rsidR="00C9260D" w:rsidRDefault="00C9260D" w:rsidP="004A1ECF">
      <w:pPr>
        <w:pStyle w:val="ListBullet"/>
      </w:pPr>
      <w:r w:rsidRPr="001B5BEB">
        <w:t xml:space="preserve">In relation to improving its performance monitoring and reporting arrangements (how it sets its performance measures that are linked to strategic objectives; and how it measures and reports performance against internal and external requirements), the audit observed that </w:t>
      </w:r>
      <w:r>
        <w:t>the PHN</w:t>
      </w:r>
      <w:r w:rsidRPr="001B5BEB">
        <w:t xml:space="preserve"> has developed key performance indicator (KPI) reporting to the Board via its KPI Dashboard report</w:t>
      </w:r>
      <w:r>
        <w:t>.</w:t>
      </w:r>
    </w:p>
    <w:p w14:paraId="6BD83063" w14:textId="6EEC3091" w:rsidR="004A1ECF" w:rsidRDefault="004A1ECF" w:rsidP="004A1ECF">
      <w:pPr>
        <w:pStyle w:val="ListBullet"/>
      </w:pPr>
      <w:r>
        <w:t>The PHN</w:t>
      </w:r>
      <w:r w:rsidRPr="001B5BEB">
        <w:t xml:space="preserve"> recently enacted new reporting arrangements supporting compliance with legislative and contractual obligations.</w:t>
      </w:r>
    </w:p>
    <w:p w14:paraId="76101466" w14:textId="328BBDD3" w:rsidR="00A10E68" w:rsidRDefault="00A10E68" w:rsidP="004A1ECF">
      <w:pPr>
        <w:pStyle w:val="ListBullet"/>
      </w:pPr>
      <w:r>
        <w:lastRenderedPageBreak/>
        <w:t xml:space="preserve">The PHN followed </w:t>
      </w:r>
      <w:r w:rsidR="00E5412C">
        <w:t>relevant</w:t>
      </w:r>
      <w:r>
        <w:t xml:space="preserve"> guidelines and processes in applying for </w:t>
      </w:r>
      <w:r w:rsidR="007F201A">
        <w:t xml:space="preserve">the </w:t>
      </w:r>
      <w:r>
        <w:t>JobKeeper</w:t>
      </w:r>
      <w:r w:rsidR="007F201A">
        <w:t xml:space="preserve"> Scheme</w:t>
      </w:r>
      <w:r>
        <w:t>.</w:t>
      </w:r>
    </w:p>
    <w:p w14:paraId="5C7BC481" w14:textId="726BF3BF" w:rsidR="00C9260D" w:rsidRDefault="008027A8" w:rsidP="00C9260D">
      <w:pPr>
        <w:pStyle w:val="Heading3"/>
      </w:pPr>
      <w:r>
        <w:t>Organisational Capacity and Capability</w:t>
      </w:r>
    </w:p>
    <w:p w14:paraId="2CA66F01" w14:textId="032F038D" w:rsidR="00C9260D" w:rsidRDefault="00C9260D" w:rsidP="00C9260D">
      <w:pPr>
        <w:pStyle w:val="ListBullet"/>
      </w:pPr>
      <w:r>
        <w:t>The ACT PHN</w:t>
      </w:r>
      <w:r w:rsidRPr="001B5BEB">
        <w:t xml:space="preserve"> has developed a Competency Framework</w:t>
      </w:r>
      <w:r w:rsidRPr="001B5BEB">
        <w:rPr>
          <w:vertAlign w:val="superscript"/>
        </w:rPr>
        <w:footnoteReference w:id="3"/>
      </w:r>
      <w:r w:rsidRPr="001B5BEB">
        <w:t xml:space="preserve"> which outlines the approach to defining the required capability and competencies from its workforce.</w:t>
      </w:r>
    </w:p>
    <w:p w14:paraId="12FCCC3C" w14:textId="2A9F9888" w:rsidR="004A1ECF" w:rsidRDefault="004A1ECF" w:rsidP="004A1ECF">
      <w:pPr>
        <w:pStyle w:val="ListBullet"/>
      </w:pPr>
      <w:r>
        <w:t>T</w:t>
      </w:r>
      <w:r w:rsidRPr="00837BFC">
        <w:t xml:space="preserve">he audit found that </w:t>
      </w:r>
      <w:r>
        <w:t>the ACT PHN</w:t>
      </w:r>
      <w:r w:rsidRPr="00837BFC">
        <w:t xml:space="preserve"> has maintained finance related policies and/or procedures for key areas of its financial management</w:t>
      </w:r>
      <w:r w:rsidR="00C9260D">
        <w:t xml:space="preserve"> and</w:t>
      </w:r>
      <w:r w:rsidR="00C9260D" w:rsidRPr="00C9260D">
        <w:t xml:space="preserve"> </w:t>
      </w:r>
      <w:r w:rsidR="00C9260D" w:rsidRPr="00837BFC">
        <w:t>a corporate risk register.</w:t>
      </w:r>
    </w:p>
    <w:p w14:paraId="45E486F8" w14:textId="2A7A1653" w:rsidR="007C1C60" w:rsidRDefault="004A1ECF" w:rsidP="009E3720">
      <w:pPr>
        <w:pStyle w:val="ListBullet"/>
      </w:pPr>
      <w:r>
        <w:t>I</w:t>
      </w:r>
      <w:r w:rsidRPr="007C1C60">
        <w:t>t</w:t>
      </w:r>
      <w:r w:rsidR="00E5412C">
        <w:t xml:space="preserve"> is</w:t>
      </w:r>
      <w:r w:rsidR="007C1C60" w:rsidRPr="007C1C60">
        <w:t xml:space="preserve"> </w:t>
      </w:r>
      <w:r>
        <w:t xml:space="preserve">recommended that the PHN confirm the </w:t>
      </w:r>
      <w:r w:rsidR="007C1C60" w:rsidRPr="007C1C60">
        <w:t xml:space="preserve">audited financial acquittal report format, including the detail on other income, with the Department to validate compliance with the range of requirements across the applicable Schedules for 30 June 2023. </w:t>
      </w:r>
    </w:p>
    <w:p w14:paraId="25DBB4E7" w14:textId="53654AB1" w:rsidR="00AF5215" w:rsidRPr="00AF5215" w:rsidRDefault="00AF5215" w:rsidP="00AF5215">
      <w:pPr>
        <w:pStyle w:val="ListBullet"/>
      </w:pPr>
      <w:r w:rsidRPr="00AF5215">
        <w:t xml:space="preserve">The audit </w:t>
      </w:r>
      <w:r w:rsidR="004A1ECF">
        <w:t>recommended process improvements for the documentation of future related-party transactions</w:t>
      </w:r>
      <w:r w:rsidR="00C9260D">
        <w:t xml:space="preserve"> and assets</w:t>
      </w:r>
      <w:r w:rsidR="004A1ECF">
        <w:t>.</w:t>
      </w:r>
    </w:p>
    <w:p w14:paraId="6C1F7889" w14:textId="0F880465" w:rsidR="00037446" w:rsidRDefault="00037446" w:rsidP="00037446">
      <w:pPr>
        <w:pStyle w:val="Heading3"/>
      </w:pPr>
      <w:r>
        <w:t xml:space="preserve">Probity </w:t>
      </w:r>
      <w:r w:rsidR="004A1ECF">
        <w:t>and Commissioning Practices</w:t>
      </w:r>
    </w:p>
    <w:p w14:paraId="29B23D3E" w14:textId="15AADDFF" w:rsidR="00C9260D" w:rsidRDefault="00C9260D" w:rsidP="00C9260D">
      <w:pPr>
        <w:pStyle w:val="ListBullet"/>
      </w:pPr>
      <w:r w:rsidRPr="00837BFC">
        <w:t xml:space="preserve">The audit found that </w:t>
      </w:r>
      <w:r>
        <w:t>the ACT PHN</w:t>
      </w:r>
      <w:r w:rsidRPr="00837BFC">
        <w:t xml:space="preserve"> had maintained appropriate policies and procedures for commissioning (needs, co-design, plan, </w:t>
      </w:r>
      <w:proofErr w:type="gramStart"/>
      <w:r w:rsidRPr="00837BFC">
        <w:t>procurement</w:t>
      </w:r>
      <w:proofErr w:type="gramEnd"/>
      <w:r w:rsidRPr="00837BFC">
        <w:t xml:space="preserve"> and contract management) and the content of these policy documents aligned with the requirements outlined by the Department in its commissioning services guidance.</w:t>
      </w:r>
    </w:p>
    <w:p w14:paraId="6BC79168" w14:textId="0867680D" w:rsidR="00C9260D" w:rsidRDefault="00C9260D" w:rsidP="00C9260D">
      <w:pPr>
        <w:pStyle w:val="ListBullet"/>
      </w:pPr>
      <w:r>
        <w:t>The ACT PHN</w:t>
      </w:r>
      <w:r w:rsidRPr="00037446">
        <w:t xml:space="preserve"> ha</w:t>
      </w:r>
      <w:r>
        <w:t>s</w:t>
      </w:r>
      <w:r w:rsidRPr="00037446">
        <w:t xml:space="preserve"> </w:t>
      </w:r>
      <w:r>
        <w:t xml:space="preserve">also </w:t>
      </w:r>
      <w:r w:rsidRPr="00037446">
        <w:t>maintained appropriate probity-related policies and procedures including conflicts of interest policy, a separate conflicts of interest policy for the Board, and a conflicts of interest procedure and guidelines.</w:t>
      </w:r>
    </w:p>
    <w:p w14:paraId="757E0DD8" w14:textId="7BEFFA6F" w:rsidR="00037446" w:rsidRPr="007E0FB8" w:rsidRDefault="00E75630" w:rsidP="004C1570">
      <w:pPr>
        <w:pStyle w:val="ListBullet"/>
      </w:pPr>
      <w:r>
        <w:t>It</w:t>
      </w:r>
      <w:r w:rsidR="00E5412C">
        <w:t xml:space="preserve"> is</w:t>
      </w:r>
      <w:r>
        <w:t xml:space="preserve"> </w:t>
      </w:r>
      <w:r w:rsidR="00037446" w:rsidRPr="00037446">
        <w:t>recommend</w:t>
      </w:r>
      <w:r>
        <w:t>ed</w:t>
      </w:r>
      <w:r w:rsidR="00037446" w:rsidRPr="00037446">
        <w:t xml:space="preserve"> that </w:t>
      </w:r>
      <w:r>
        <w:t>the PHN</w:t>
      </w:r>
      <w:r w:rsidR="00037446" w:rsidRPr="00037446">
        <w:t xml:space="preserve"> ensure that staff involved in making recommendations and in key decisions in commissioning activities document their declarations of conflicts of interest in line with the requirements.</w:t>
      </w:r>
      <w:bookmarkEnd w:id="0"/>
    </w:p>
    <w:sectPr w:rsidR="00037446" w:rsidRPr="007E0FB8" w:rsidSect="00B53987">
      <w:headerReference w:type="default" r:id="rId11"/>
      <w:headerReference w:type="first" r:id="rId12"/>
      <w:footerReference w:type="first" r:id="rId1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FE14" w14:textId="77777777" w:rsidR="009F4663" w:rsidRDefault="009F4663" w:rsidP="006B56BB">
      <w:r>
        <w:separator/>
      </w:r>
    </w:p>
    <w:p w14:paraId="211A1657" w14:textId="77777777" w:rsidR="009F4663" w:rsidRDefault="009F4663"/>
  </w:endnote>
  <w:endnote w:type="continuationSeparator" w:id="0">
    <w:p w14:paraId="724482DD" w14:textId="77777777" w:rsidR="009F4663" w:rsidRDefault="009F4663" w:rsidP="006B56BB">
      <w:r>
        <w:continuationSeparator/>
      </w:r>
    </w:p>
    <w:p w14:paraId="495D4768" w14:textId="77777777" w:rsidR="009F4663" w:rsidRDefault="009F4663"/>
  </w:endnote>
  <w:endnote w:type="continuationNotice" w:id="1">
    <w:p w14:paraId="1BBD8CE7" w14:textId="77777777" w:rsidR="009F4663" w:rsidRDefault="009F4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ova Light">
    <w:altName w:val="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25B1EA7A" w:rsidR="00B53987" w:rsidRDefault="00AA262B" w:rsidP="00B53987">
    <w:pPr>
      <w:pStyle w:val="Footer"/>
    </w:pPr>
    <w:r>
      <w:t xml:space="preserve">Department of Health and Aged Care </w:t>
    </w:r>
    <w:r w:rsidR="00B53987">
      <w:t xml:space="preserve">– </w:t>
    </w:r>
    <w:r w:rsidR="004C1570">
      <w:t>ACTPHN Performance and Financial Review</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CC8E" w14:textId="77777777" w:rsidR="009F4663" w:rsidRDefault="009F4663" w:rsidP="006B56BB">
      <w:r>
        <w:separator/>
      </w:r>
    </w:p>
    <w:p w14:paraId="6DA32A17" w14:textId="77777777" w:rsidR="009F4663" w:rsidRDefault="009F4663"/>
  </w:footnote>
  <w:footnote w:type="continuationSeparator" w:id="0">
    <w:p w14:paraId="41B588AA" w14:textId="77777777" w:rsidR="009F4663" w:rsidRDefault="009F4663" w:rsidP="006B56BB">
      <w:r>
        <w:continuationSeparator/>
      </w:r>
    </w:p>
    <w:p w14:paraId="6C48C26A" w14:textId="77777777" w:rsidR="009F4663" w:rsidRDefault="009F4663"/>
  </w:footnote>
  <w:footnote w:type="continuationNotice" w:id="1">
    <w:p w14:paraId="349E7121" w14:textId="77777777" w:rsidR="009F4663" w:rsidRDefault="009F4663"/>
  </w:footnote>
  <w:footnote w:id="2">
    <w:p w14:paraId="2D137D87" w14:textId="77777777" w:rsidR="004A1ECF" w:rsidRPr="00846656" w:rsidRDefault="004A1ECF" w:rsidP="004A1ECF">
      <w:pPr>
        <w:pStyle w:val="FootnoteText"/>
        <w:rPr>
          <w:rFonts w:ascii="Arial Nova Light" w:hAnsi="Arial Nova Light"/>
          <w:sz w:val="16"/>
          <w:szCs w:val="16"/>
        </w:rPr>
      </w:pPr>
      <w:r w:rsidRPr="00846656">
        <w:rPr>
          <w:rStyle w:val="FootnoteReference"/>
          <w:sz w:val="18"/>
          <w:szCs w:val="18"/>
        </w:rPr>
        <w:footnoteRef/>
      </w:r>
      <w:r>
        <w:t xml:space="preserve"> </w:t>
      </w:r>
      <w:r w:rsidRPr="00846656">
        <w:rPr>
          <w:rFonts w:ascii="Arial Nova Light" w:hAnsi="Arial Nova Light"/>
          <w:sz w:val="16"/>
          <w:szCs w:val="16"/>
        </w:rPr>
        <w:t xml:space="preserve">CHN Strategic Plan 2019-2024 as published at </w:t>
      </w:r>
      <w:hyperlink r:id="rId1" w:history="1">
        <w:r w:rsidRPr="00846656">
          <w:rPr>
            <w:rStyle w:val="Hyperlink"/>
            <w:rFonts w:ascii="Arial Nova Light" w:hAnsi="Arial Nova Light"/>
            <w:sz w:val="16"/>
            <w:szCs w:val="16"/>
          </w:rPr>
          <w:t>https://www.chnact.org.au/about-us/publications/strategic-plan/</w:t>
        </w:r>
      </w:hyperlink>
      <w:r w:rsidRPr="00846656">
        <w:rPr>
          <w:rFonts w:ascii="Arial Nova Light" w:hAnsi="Arial Nova Light"/>
          <w:sz w:val="16"/>
          <w:szCs w:val="16"/>
        </w:rPr>
        <w:t xml:space="preserve"> </w:t>
      </w:r>
    </w:p>
  </w:footnote>
  <w:footnote w:id="3">
    <w:p w14:paraId="07FD554E" w14:textId="77777777" w:rsidR="00C9260D" w:rsidRPr="00C71F5C" w:rsidRDefault="00C9260D" w:rsidP="00C9260D">
      <w:pPr>
        <w:pStyle w:val="FootnoteText"/>
        <w:rPr>
          <w:sz w:val="18"/>
          <w:szCs w:val="18"/>
        </w:rPr>
      </w:pPr>
      <w:r w:rsidRPr="00D93857">
        <w:rPr>
          <w:rStyle w:val="FootnoteReference"/>
          <w:rFonts w:ascii="Arial Nova Light" w:hAnsi="Arial Nova Light"/>
        </w:rPr>
        <w:footnoteRef/>
      </w:r>
      <w:r w:rsidRPr="00D93857">
        <w:rPr>
          <w:rFonts w:ascii="Arial Nova Light" w:hAnsi="Arial Nova Light"/>
        </w:rPr>
        <w:t xml:space="preserve"> </w:t>
      </w:r>
      <w:hyperlink r:id="rId2" w:history="1">
        <w:r w:rsidRPr="00C71F5C">
          <w:rPr>
            <w:rStyle w:val="Hyperlink"/>
            <w:rFonts w:ascii="Arial Nova Light" w:hAnsi="Arial Nova Light"/>
            <w:sz w:val="16"/>
            <w:szCs w:val="16"/>
          </w:rPr>
          <w:t>https://www.chnact.org.au/wp-content/uploads/2021/08/CHN-Competency-Framework.pdf</w:t>
        </w:r>
      </w:hyperlink>
      <w:r w:rsidRPr="00C71F5C">
        <w:rPr>
          <w:rFonts w:ascii="Arial Nova Light" w:hAnsi="Arial Nova Light"/>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2B0E905B" w:rsidR="00B53987" w:rsidRDefault="00B53987">
    <w:pPr>
      <w:pStyle w:val="Header"/>
    </w:pPr>
    <w:r>
      <w:rPr>
        <w:noProof/>
        <w:lang w:eastAsia="en-AU"/>
      </w:rPr>
      <w:drawing>
        <wp:inline distT="0" distB="0" distL="0" distR="0" wp14:anchorId="68C4AEED" wp14:editId="10DCF004">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37446"/>
    <w:rsid w:val="00043DC0"/>
    <w:rsid w:val="00046FF0"/>
    <w:rsid w:val="00050176"/>
    <w:rsid w:val="00050342"/>
    <w:rsid w:val="0005780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C10"/>
    <w:rsid w:val="00156D96"/>
    <w:rsid w:val="001571C7"/>
    <w:rsid w:val="00161094"/>
    <w:rsid w:val="00176581"/>
    <w:rsid w:val="0017665C"/>
    <w:rsid w:val="00177AD2"/>
    <w:rsid w:val="001815A8"/>
    <w:rsid w:val="001840FA"/>
    <w:rsid w:val="00185ACF"/>
    <w:rsid w:val="00190079"/>
    <w:rsid w:val="0019622E"/>
    <w:rsid w:val="001966A7"/>
    <w:rsid w:val="001A4627"/>
    <w:rsid w:val="001A4979"/>
    <w:rsid w:val="001B15D3"/>
    <w:rsid w:val="001B3443"/>
    <w:rsid w:val="001B5BEB"/>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2D09"/>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30A9"/>
    <w:rsid w:val="00375F77"/>
    <w:rsid w:val="00381BBE"/>
    <w:rsid w:val="00382903"/>
    <w:rsid w:val="003846FF"/>
    <w:rsid w:val="003857D4"/>
    <w:rsid w:val="00385AD4"/>
    <w:rsid w:val="00387924"/>
    <w:rsid w:val="00387EA8"/>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720E0"/>
    <w:rsid w:val="00480343"/>
    <w:rsid w:val="0048593C"/>
    <w:rsid w:val="004867E2"/>
    <w:rsid w:val="004929A9"/>
    <w:rsid w:val="004A1ECF"/>
    <w:rsid w:val="004A78D9"/>
    <w:rsid w:val="004B4CF2"/>
    <w:rsid w:val="004C1570"/>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A5F75"/>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071E"/>
    <w:rsid w:val="00785169"/>
    <w:rsid w:val="007954AB"/>
    <w:rsid w:val="007A14C5"/>
    <w:rsid w:val="007A4A10"/>
    <w:rsid w:val="007B0E0A"/>
    <w:rsid w:val="007B1760"/>
    <w:rsid w:val="007C1C60"/>
    <w:rsid w:val="007C1FDC"/>
    <w:rsid w:val="007C6D9C"/>
    <w:rsid w:val="007C7DDB"/>
    <w:rsid w:val="007D2CC7"/>
    <w:rsid w:val="007D673D"/>
    <w:rsid w:val="007E0FB8"/>
    <w:rsid w:val="007E4D09"/>
    <w:rsid w:val="007F201A"/>
    <w:rsid w:val="007F2220"/>
    <w:rsid w:val="007F4B3E"/>
    <w:rsid w:val="008027A8"/>
    <w:rsid w:val="008127AF"/>
    <w:rsid w:val="00812B46"/>
    <w:rsid w:val="00815700"/>
    <w:rsid w:val="008264EB"/>
    <w:rsid w:val="00826B8F"/>
    <w:rsid w:val="00831E8A"/>
    <w:rsid w:val="00835C76"/>
    <w:rsid w:val="008376E2"/>
    <w:rsid w:val="00837BFC"/>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3BFB"/>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87A49"/>
    <w:rsid w:val="009924C3"/>
    <w:rsid w:val="00993102"/>
    <w:rsid w:val="009B1570"/>
    <w:rsid w:val="009C6F10"/>
    <w:rsid w:val="009D148F"/>
    <w:rsid w:val="009D3D70"/>
    <w:rsid w:val="009D6E31"/>
    <w:rsid w:val="009E3720"/>
    <w:rsid w:val="009E6F7E"/>
    <w:rsid w:val="009E7A57"/>
    <w:rsid w:val="009F4663"/>
    <w:rsid w:val="009F4803"/>
    <w:rsid w:val="009F4F6A"/>
    <w:rsid w:val="00A10E68"/>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5215"/>
    <w:rsid w:val="00AF7386"/>
    <w:rsid w:val="00AF7934"/>
    <w:rsid w:val="00B00B81"/>
    <w:rsid w:val="00B04580"/>
    <w:rsid w:val="00B04B09"/>
    <w:rsid w:val="00B16A51"/>
    <w:rsid w:val="00B32222"/>
    <w:rsid w:val="00B3618D"/>
    <w:rsid w:val="00B36233"/>
    <w:rsid w:val="00B415F7"/>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260D"/>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7D2"/>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283"/>
    <w:rsid w:val="00E43B3C"/>
    <w:rsid w:val="00E50188"/>
    <w:rsid w:val="00E50741"/>
    <w:rsid w:val="00E50BB3"/>
    <w:rsid w:val="00E515CB"/>
    <w:rsid w:val="00E52260"/>
    <w:rsid w:val="00E5412C"/>
    <w:rsid w:val="00E639B6"/>
    <w:rsid w:val="00E6434B"/>
    <w:rsid w:val="00E6463D"/>
    <w:rsid w:val="00E72E9B"/>
    <w:rsid w:val="00E75630"/>
    <w:rsid w:val="00E850C3"/>
    <w:rsid w:val="00E87DF2"/>
    <w:rsid w:val="00E9462E"/>
    <w:rsid w:val="00EA470E"/>
    <w:rsid w:val="00EA47A7"/>
    <w:rsid w:val="00EA57EB"/>
    <w:rsid w:val="00EA6D87"/>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E5FC0"/>
    <w:rsid w:val="00FF0AB0"/>
    <w:rsid w:val="00FF24F9"/>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BEAB15"/>
  <w15:docId w15:val="{8A4384BC-4BFB-4E28-B9E4-A7E1F39B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Bullet Number,lp1,Bullet List,FooterText"/>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uiPriority w:val="99"/>
    <w:rsid w:val="00A719F6"/>
    <w:rPr>
      <w:rFonts w:ascii="Arial" w:hAnsi="Arial"/>
      <w:lang w:eastAsia="en-US"/>
    </w:rPr>
  </w:style>
  <w:style w:type="character" w:customStyle="1" w:styleId="FootnoteTextChar">
    <w:name w:val="Footnote Text Char"/>
    <w:basedOn w:val="DefaultParagraphFont"/>
    <w:link w:val="FootnoteText"/>
    <w:uiPriority w:val="99"/>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otnoteReference">
    <w:name w:val="footnote reference"/>
    <w:basedOn w:val="DefaultParagraphFont"/>
    <w:uiPriority w:val="99"/>
    <w:semiHidden/>
    <w:unhideWhenUsed/>
    <w:rsid w:val="009E3720"/>
    <w:rPr>
      <w:vertAlign w:val="superscript"/>
    </w:rPr>
  </w:style>
  <w:style w:type="table" w:styleId="LightList-Accent1">
    <w:name w:val="Light List Accent 1"/>
    <w:basedOn w:val="TableNormal"/>
    <w:uiPriority w:val="61"/>
    <w:locked/>
    <w:rsid w:val="00E43283"/>
    <w:rPr>
      <w:rFonts w:asciiTheme="minorHAnsi" w:eastAsia="MS Mincho" w:hAnsiTheme="minorHAnsi" w:cstheme="minorBidi"/>
      <w:sz w:val="22"/>
      <w:szCs w:val="22"/>
      <w:lang w:eastAsia="en-US"/>
    </w:rPr>
    <w:tblPr>
      <w:tblStyleRowBandSize w:val="1"/>
      <w:tblStyleColBandSize w:val="1"/>
      <w:tblBorders>
        <w:top w:val="single" w:sz="8" w:space="0" w:color="3F4A75" w:themeColor="accent1"/>
        <w:left w:val="single" w:sz="8" w:space="0" w:color="3F4A75" w:themeColor="accent1"/>
        <w:bottom w:val="single" w:sz="8" w:space="0" w:color="3F4A75" w:themeColor="accent1"/>
        <w:right w:val="single" w:sz="8" w:space="0" w:color="3F4A75" w:themeColor="accent1"/>
      </w:tblBorders>
    </w:tblPr>
    <w:tblStylePr w:type="firstRow">
      <w:pPr>
        <w:spacing w:before="0" w:after="0" w:line="240" w:lineRule="auto"/>
      </w:pPr>
      <w:rPr>
        <w:b/>
        <w:bCs/>
        <w:color w:val="FFFFFF" w:themeColor="background1"/>
      </w:rPr>
      <w:tblPr/>
      <w:tcPr>
        <w:shd w:val="clear" w:color="auto" w:fill="3F4A75" w:themeFill="accent1"/>
      </w:tcPr>
    </w:tblStylePr>
    <w:tblStylePr w:type="lastRow">
      <w:pPr>
        <w:spacing w:before="0" w:after="0" w:line="240" w:lineRule="auto"/>
      </w:pPr>
      <w:rPr>
        <w:b/>
        <w:bCs/>
      </w:rPr>
      <w:tblPr/>
      <w:tcPr>
        <w:tcBorders>
          <w:top w:val="double" w:sz="6" w:space="0" w:color="3F4A75" w:themeColor="accent1"/>
          <w:left w:val="single" w:sz="8" w:space="0" w:color="3F4A75" w:themeColor="accent1"/>
          <w:bottom w:val="single" w:sz="8" w:space="0" w:color="3F4A75" w:themeColor="accent1"/>
          <w:right w:val="single" w:sz="8" w:space="0" w:color="3F4A75" w:themeColor="accent1"/>
        </w:tcBorders>
      </w:tcPr>
    </w:tblStylePr>
    <w:tblStylePr w:type="firstCol">
      <w:rPr>
        <w:b/>
        <w:bCs/>
      </w:rPr>
    </w:tblStylePr>
    <w:tblStylePr w:type="lastCol">
      <w:rPr>
        <w:b/>
        <w:bCs/>
      </w:rPr>
    </w:tblStylePr>
    <w:tblStylePr w:type="band1Vert">
      <w:tblPr/>
      <w:tcPr>
        <w:tcBorders>
          <w:top w:val="single" w:sz="8" w:space="0" w:color="3F4A75" w:themeColor="accent1"/>
          <w:left w:val="single" w:sz="8" w:space="0" w:color="3F4A75" w:themeColor="accent1"/>
          <w:bottom w:val="single" w:sz="8" w:space="0" w:color="3F4A75" w:themeColor="accent1"/>
          <w:right w:val="single" w:sz="8" w:space="0" w:color="3F4A75" w:themeColor="accent1"/>
        </w:tcBorders>
      </w:tcPr>
    </w:tblStylePr>
    <w:tblStylePr w:type="band1Horz">
      <w:tblPr/>
      <w:tcPr>
        <w:tcBorders>
          <w:top w:val="single" w:sz="8" w:space="0" w:color="3F4A75" w:themeColor="accent1"/>
          <w:left w:val="single" w:sz="8" w:space="0" w:color="3F4A75" w:themeColor="accent1"/>
          <w:bottom w:val="single" w:sz="8" w:space="0" w:color="3F4A75" w:themeColor="accent1"/>
          <w:right w:val="single" w:sz="8" w:space="0" w:color="3F4A75" w:themeColor="accent1"/>
        </w:tcBorders>
      </w:tcPr>
    </w:tblStylePr>
  </w:style>
  <w:style w:type="character" w:customStyle="1" w:styleId="ListParagraphChar">
    <w:name w:val="List Paragraph Char"/>
    <w:aliases w:val="Bullet Number Char,lp1 Char,Bullet List Char,FooterText Char"/>
    <w:basedOn w:val="DefaultParagraphFont"/>
    <w:link w:val="ListParagraph"/>
    <w:uiPriority w:val="34"/>
    <w:locked/>
    <w:rsid w:val="00E43283"/>
    <w:rPr>
      <w:rFonts w:ascii="Arial" w:hAnsi="Arial"/>
      <w:color w:val="000000" w:themeColor="text1"/>
      <w:sz w:val="22"/>
      <w:szCs w:val="24"/>
      <w:lang w:eastAsia="en-US"/>
    </w:rPr>
  </w:style>
  <w:style w:type="paragraph" w:customStyle="1" w:styleId="Default">
    <w:name w:val="Default"/>
    <w:rsid w:val="004C1570"/>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hnact.org.au/wp-content/uploads/2021/08/CHN-Competency-Framework.pdf" TargetMode="External"/><Relationship Id="rId1" Type="http://schemas.openxmlformats.org/officeDocument/2006/relationships/hyperlink" Target="https://www.chnact.org.au/about-us/publications/strategic-pl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0CFE5F2A6F4A54FA55E73958C003497" ma:contentTypeVersion="" ma:contentTypeDescription="PDMS Document Site Content Type" ma:contentTypeScope="" ma:versionID="0d3670d59d9e74ae13849cd251597a50">
  <xsd:schema xmlns:xsd="http://www.w3.org/2001/XMLSchema" xmlns:xs="http://www.w3.org/2001/XMLSchema" xmlns:p="http://schemas.microsoft.com/office/2006/metadata/properties" xmlns:ns2="119E2D67-237E-4BB0-8C23-F32B9C493CDB" targetNamespace="http://schemas.microsoft.com/office/2006/metadata/properties" ma:root="true" ma:fieldsID="910b709e1c13d0966f90fe3f9e3ca3df" ns2:_="">
    <xsd:import namespace="119E2D67-237E-4BB0-8C23-F32B9C493CD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E2D67-237E-4BB0-8C23-F32B9C493CD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19E2D67-237E-4BB0-8C23-F32B9C493CD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D4583-2496-4D6F-9C88-CD4C46236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E2D67-237E-4BB0-8C23-F32B9C493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119E2D67-237E-4BB0-8C23-F32B9C493CDB"/>
    <ds:schemaRef ds:uri="http://www.w3.org/XML/1998/namespace"/>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473</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Performance and Financial Management Review – Australian Capital Territory Primary Health Network</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and Financial Management Review – Australian Capital Territory Primary Health Network</dc:title>
  <dc:creator>Australian Government Department of Health and Aged Care</dc:creator>
  <cp:lastModifiedBy>CLIMAS, Hannah</cp:lastModifiedBy>
  <cp:revision>4</cp:revision>
  <dcterms:created xsi:type="dcterms:W3CDTF">2023-02-21T23:50:00Z</dcterms:created>
  <dcterms:modified xsi:type="dcterms:W3CDTF">2023-02-22T05:28:00Z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0x010100266966F133664895A6EE3632470D45F500E0CFE5F2A6F4A54FA55E73958C003497</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ies>
</file>