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1C8F" w14:textId="2383B985" w:rsidR="00280050" w:rsidRPr="00FC1F14" w:rsidRDefault="0021625D" w:rsidP="007F10CE">
      <w:pPr>
        <w:spacing w:before="120" w:after="6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FE4B93">
        <w:rPr>
          <w:color w:val="2F5496" w:themeColor="accent1" w:themeShade="BF"/>
          <w:sz w:val="40"/>
          <w:szCs w:val="40"/>
        </w:rPr>
        <w:t>1</w:t>
      </w:r>
      <w:r w:rsidRPr="00FC1F14">
        <w:rPr>
          <w:color w:val="2F5496" w:themeColor="accent1" w:themeShade="BF"/>
          <w:sz w:val="40"/>
          <w:szCs w:val="40"/>
        </w:rPr>
        <w:t xml:space="preserve"> </w:t>
      </w:r>
      <w:r w:rsidR="00FE4B93">
        <w:rPr>
          <w:color w:val="2F5496" w:themeColor="accent1" w:themeShade="BF"/>
          <w:sz w:val="40"/>
          <w:szCs w:val="40"/>
        </w:rPr>
        <w:t>Dec</w:t>
      </w:r>
      <w:r w:rsidR="00FA064D">
        <w:rPr>
          <w:color w:val="2F5496" w:themeColor="accent1" w:themeShade="BF"/>
          <w:sz w:val="40"/>
          <w:szCs w:val="40"/>
        </w:rPr>
        <w:t>ember</w:t>
      </w:r>
      <w:r w:rsidRPr="00FC1F14">
        <w:rPr>
          <w:color w:val="2F5496" w:themeColor="accent1" w:themeShade="BF"/>
          <w:sz w:val="40"/>
          <w:szCs w:val="40"/>
        </w:rPr>
        <w:t xml:space="preserve"> 202</w:t>
      </w:r>
      <w:r w:rsidR="00C90292">
        <w:rPr>
          <w:color w:val="2F5496" w:themeColor="accent1" w:themeShade="BF"/>
          <w:sz w:val="40"/>
          <w:szCs w:val="40"/>
        </w:rPr>
        <w:t>2</w:t>
      </w:r>
    </w:p>
    <w:p w14:paraId="6F7D8B68" w14:textId="6566E94D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>To improve the transparency of Home Care Package pricing, the Department of Health</w:t>
      </w:r>
      <w:r w:rsidR="006171F5">
        <w:rPr>
          <w:color w:val="000000" w:themeColor="text1"/>
        </w:rPr>
        <w:t xml:space="preserve"> and Aged Care</w:t>
      </w:r>
      <w:r w:rsidRPr="00FC1F14">
        <w:rPr>
          <w:color w:val="000000" w:themeColor="text1"/>
        </w:rPr>
        <w:t xml:space="preserve"> published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FE4B93" w14:paraId="4C4AA003" w14:textId="77777777" w:rsidTr="00FE4B93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1001" w14:textId="5DB6AC27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D108" w14:textId="7EEBBA8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E224" w14:textId="5D375A4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6ECC" w14:textId="1481B40A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5B47" w14:textId="3249819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A476" w14:textId="0D837AE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0B66" w14:textId="2698ECE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1B4E" w14:textId="3F09075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2B3E" w14:textId="0BA0F75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D44C" w14:textId="2F9512BC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3B4F" w14:textId="68FE773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F50D" w14:textId="1ABAA2AF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EC22" w14:textId="642DA7C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AA4C" w14:textId="30FBC2D2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E633" w14:textId="1BBC338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FC08" w14:textId="19755EF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$64</w:t>
            </w:r>
          </w:p>
        </w:tc>
      </w:tr>
      <w:tr w:rsidR="00FE4B93" w14:paraId="368DF1D1" w14:textId="77777777" w:rsidTr="00FE4B93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D300" w14:textId="7D295E12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766C" w14:textId="33E23CF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FBC2" w14:textId="51CE4E2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F1E1" w14:textId="6F9F16E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2B9E" w14:textId="7E4B578B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0F02" w14:textId="2E0C8F3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ABEC" w14:textId="0494137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61A9" w14:textId="179C033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8402" w14:textId="61E7563F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250F" w14:textId="149A7687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6C3D" w14:textId="1E05E27F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5E6C" w14:textId="36979AAB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FBD3" w14:textId="5F0C405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9609" w14:textId="294BBCE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9C95" w14:textId="1B0B039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B447" w14:textId="39192CD7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$107</w:t>
            </w:r>
          </w:p>
        </w:tc>
      </w:tr>
      <w:tr w:rsidR="00FE4B93" w14:paraId="25A8727D" w14:textId="77777777" w:rsidTr="00FE4B93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DFA4" w14:textId="698F4BFF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499C" w14:textId="36C0D562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8D89" w14:textId="4EF1D02C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8C85" w14:textId="075A82B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BCA8" w14:textId="0FF0CD5A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59E9" w14:textId="15BC07AD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3A88" w14:textId="4FC1D46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22B1" w14:textId="1588FFB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8504" w14:textId="17AB1BD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C472" w14:textId="5A1E30D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02A9" w14:textId="7B2D71D7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DE8B" w14:textId="412A8DE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497A" w14:textId="2CE7380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6BAA" w14:textId="1008AF4C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4841" w14:textId="16DA443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AF6B" w14:textId="40E1C6EF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$215</w:t>
            </w:r>
          </w:p>
        </w:tc>
      </w:tr>
      <w:tr w:rsidR="00FE4B93" w14:paraId="4AC92290" w14:textId="77777777" w:rsidTr="00FE4B93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3F70" w14:textId="0E9F6DA6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$322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756B" w14:textId="100346E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5984" w14:textId="3DA87CC7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2061" w14:textId="21CFCC6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F3CB" w14:textId="73BCB62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8253" w14:textId="0C4C0A0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59E2" w14:textId="21EB682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01A1" w14:textId="22917F6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3EC0" w14:textId="00D8229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D9C" w14:textId="244F0712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75B1" w14:textId="4C79B2B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CDBD" w14:textId="0554393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753E" w14:textId="5974BF8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C476" w14:textId="42752DE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9CCA" w14:textId="554C756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B484" w14:textId="6777E61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$315</w:t>
            </w:r>
          </w:p>
        </w:tc>
      </w:tr>
      <w:tr w:rsidR="00FE4B93" w14:paraId="688A7C14" w14:textId="77777777" w:rsidTr="00FE4B93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3E6E" w14:textId="4695D0EB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C420" w14:textId="547AE3B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C203" w14:textId="4C0C957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C462" w14:textId="1A6AB68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AE89" w14:textId="34EF191D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6376" w14:textId="35CE6F6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675B" w14:textId="17F4B57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DE75" w14:textId="7362D57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0485" w14:textId="2CB3BACF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503D" w14:textId="0AF2108B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F98B" w14:textId="2F0F143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2AFA" w14:textId="05EB197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9EB9" w14:textId="51B62AF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FA3F" w14:textId="386827BB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10F7" w14:textId="4EC980F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918B" w14:textId="06CE4D2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$26</w:t>
            </w:r>
          </w:p>
        </w:tc>
      </w:tr>
      <w:tr w:rsidR="00FE4B93" w14:paraId="51A5BCA4" w14:textId="77777777" w:rsidTr="00FE4B93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1CE3" w14:textId="52E8E872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1E2A" w14:textId="0DF4E37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E1BD" w14:textId="422C14B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D724" w14:textId="4809401D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64DC" w14:textId="205269AC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0B2A" w14:textId="3EA8860A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096D" w14:textId="2512DDED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52CC" w14:textId="157217E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186E" w14:textId="35417CAB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EFE8" w14:textId="5774A9F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56BE" w14:textId="21BC87B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B175" w14:textId="4F77F40F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A7DA" w14:textId="2FB3398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2194" w14:textId="02C503C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D3E6" w14:textId="1278271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140C" w14:textId="4B21A67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$46</w:t>
            </w:r>
          </w:p>
        </w:tc>
      </w:tr>
      <w:tr w:rsidR="00FE4B93" w14:paraId="6EC4CEC1" w14:textId="77777777" w:rsidTr="00FE4B93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2B51" w14:textId="3A35707C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86FB" w14:textId="5761DE5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531A" w14:textId="4323DA9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F977" w14:textId="0B9BCFC0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2F29" w14:textId="394D475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0525" w14:textId="46F47D4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40B1" w14:textId="10349CF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C7DA" w14:textId="5CE0BA26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D248" w14:textId="52331BF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F710" w14:textId="5280F0A2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F1A8" w14:textId="05430BC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B9DC" w14:textId="2824634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0244" w14:textId="14BD5E37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046" w14:textId="4A1B4C9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018A" w14:textId="24AE788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E93E" w14:textId="29E3A8F2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$99</w:t>
            </w:r>
          </w:p>
        </w:tc>
      </w:tr>
      <w:tr w:rsidR="00FE4B93" w14:paraId="278DB68E" w14:textId="77777777" w:rsidTr="00FE4B93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FE4B93" w:rsidRPr="003E0FB3" w:rsidRDefault="00FE4B93" w:rsidP="00FE4B93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FE4B93" w:rsidRPr="003E0FB3" w:rsidRDefault="00FE4B93" w:rsidP="00FE4B93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20C1" w14:textId="124D4EDC" w:rsidR="00FE4B93" w:rsidRPr="008F1341" w:rsidRDefault="00FE4B93" w:rsidP="00FE4B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4B93">
              <w:rPr>
                <w:b/>
                <w:bCs/>
                <w:color w:val="000000"/>
                <w:sz w:val="18"/>
                <w:szCs w:val="18"/>
              </w:rPr>
              <w:t>$136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84FA" w14:textId="68FB0E1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1DD9" w14:textId="0A86D3E3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DC0F" w14:textId="2563674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F733" w14:textId="2A63412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51DE" w14:textId="226B61CB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9288" w14:textId="0F8762E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3FED" w14:textId="20886B85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3CBE" w14:textId="6517FCA4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101A" w14:textId="20BE38C9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8F6E" w14:textId="4204D661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74EF" w14:textId="137C709A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C5F8" w14:textId="00C28AA7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B06E" w14:textId="415C3998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5709" w14:textId="31ABD4D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BD79" w14:textId="5BCD3B0E" w:rsidR="00FE4B93" w:rsidRPr="008F1341" w:rsidRDefault="00FE4B93" w:rsidP="00FE4B93">
            <w:pPr>
              <w:jc w:val="center"/>
              <w:rPr>
                <w:color w:val="000000"/>
                <w:sz w:val="18"/>
                <w:szCs w:val="18"/>
              </w:rPr>
            </w:pPr>
            <w:r w:rsidRPr="00FE4B93">
              <w:rPr>
                <w:color w:val="000000"/>
                <w:sz w:val="18"/>
                <w:szCs w:val="18"/>
              </w:rPr>
              <w:t>$151</w:t>
            </w:r>
          </w:p>
        </w:tc>
      </w:tr>
      <w:tr w:rsidR="00FC1F14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6000D7" w14:paraId="65DC6388" w14:textId="77777777" w:rsidTr="006000D7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6000D7" w:rsidRPr="003E0FB3" w:rsidRDefault="006000D7" w:rsidP="006000D7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6000D7" w:rsidRPr="003E0FB3" w:rsidRDefault="006000D7" w:rsidP="006000D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5862AF26" w:rsidR="006000D7" w:rsidRPr="008F1341" w:rsidRDefault="006000D7" w:rsidP="006000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0D7">
              <w:rPr>
                <w:b/>
                <w:bCs/>
                <w:color w:val="000000"/>
                <w:sz w:val="18"/>
                <w:szCs w:val="18"/>
              </w:rPr>
              <w:t>$36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02B9B70D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6216944F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38B8FDFC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5FB76B6B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2716F38E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7345B843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20CE1D74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00A3D494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429B40BA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2BB0134E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0F4122B7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59F8D08E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113147C9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2F29A07B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3D4D2ABB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$36</w:t>
            </w:r>
          </w:p>
        </w:tc>
      </w:tr>
      <w:tr w:rsidR="006000D7" w14:paraId="3B7DAFE7" w14:textId="77777777" w:rsidTr="006000D7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6000D7" w:rsidRPr="003E0FB3" w:rsidRDefault="006000D7" w:rsidP="006000D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6000D7" w:rsidRPr="003E0FB3" w:rsidRDefault="006000D7" w:rsidP="006000D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799E7BA2" w:rsidR="006000D7" w:rsidRPr="008F1341" w:rsidRDefault="006000D7" w:rsidP="006000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0D7">
              <w:rPr>
                <w:b/>
                <w:bCs/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428112EC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10D9F3F4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3B765C81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70FA0EE8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5428A535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3B40B673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7F3B0A26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28C44544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3FC5AF2A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5B82648F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46D9007E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02ED8F45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3C45C3FE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5B5CCEF7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577FDD00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$61</w:t>
            </w:r>
          </w:p>
        </w:tc>
      </w:tr>
      <w:tr w:rsidR="006000D7" w14:paraId="6259896E" w14:textId="77777777" w:rsidTr="006000D7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6000D7" w:rsidRPr="003E0FB3" w:rsidRDefault="006000D7" w:rsidP="006000D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6000D7" w:rsidRPr="003E0FB3" w:rsidRDefault="006000D7" w:rsidP="006000D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546A5A77" w:rsidR="006000D7" w:rsidRPr="008F1341" w:rsidRDefault="006000D7" w:rsidP="006000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0D7">
              <w:rPr>
                <w:b/>
                <w:bCs/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76977065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1C2CEB64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2D486E66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37E47042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6B82FCDB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6524085A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57A5FF92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3E8D2C13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6D0732EE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68A6E8B8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78826918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1FA8E6D6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4A2ED86B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38134514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041E2D61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$130</w:t>
            </w:r>
          </w:p>
        </w:tc>
      </w:tr>
      <w:tr w:rsidR="006000D7" w14:paraId="719DC2A2" w14:textId="77777777" w:rsidTr="006000D7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6000D7" w:rsidRPr="003E0FB3" w:rsidRDefault="006000D7" w:rsidP="006000D7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6000D7" w:rsidRPr="003E0FB3" w:rsidRDefault="006000D7" w:rsidP="006000D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13866EAD" w:rsidR="006000D7" w:rsidRPr="008F1341" w:rsidRDefault="006000D7" w:rsidP="006000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00D7">
              <w:rPr>
                <w:b/>
                <w:bCs/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58F187D7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0E1E96A7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2801DFA6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38A43DFC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39543D78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4088F515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62A7D379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590EF436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109AF898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34FFD2F1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684A7873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522C0D77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4166C050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1906E65A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2EC73178" w:rsidR="006000D7" w:rsidRPr="006000D7" w:rsidRDefault="006000D7" w:rsidP="006000D7">
            <w:pPr>
              <w:jc w:val="center"/>
              <w:rPr>
                <w:color w:val="000000"/>
                <w:sz w:val="18"/>
                <w:szCs w:val="18"/>
              </w:rPr>
            </w:pPr>
            <w:r w:rsidRPr="006000D7">
              <w:rPr>
                <w:color w:val="000000"/>
                <w:sz w:val="18"/>
                <w:szCs w:val="18"/>
              </w:rPr>
              <w:t>$195</w:t>
            </w:r>
          </w:p>
        </w:tc>
      </w:tr>
      <w:tr w:rsidR="00FC1F14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A01D5E" w:rsidRPr="003E0FB3" w:rsidRDefault="00A01D5E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C9347E" w14:paraId="6214A670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0155D314" w:rsidR="00C9347E" w:rsidRPr="008F1341" w:rsidRDefault="00C9347E" w:rsidP="00C934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1C5E2996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1061CB3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7E0831ED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3BFAAA9A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4B864EDF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7D5A232B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67CA41F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38471A9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68AC34A2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1DED6790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2B885652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2E6C8A60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0A238340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2D323E9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1710DCC5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$104</w:t>
            </w:r>
          </w:p>
        </w:tc>
      </w:tr>
      <w:tr w:rsidR="00C9347E" w14:paraId="7A5A5A66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738C05BF" w:rsidR="00C9347E" w:rsidRPr="008F1341" w:rsidRDefault="00C9347E" w:rsidP="00C934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7A6623A2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1F574EF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2971A8B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233CEA2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0C1148EA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09C07AE4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37B5387A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606072F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6EF7E3E4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7A4F6FB9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7EF1B507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2F290210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7C5208E2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13A2D8AD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0148ED6A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</w:tr>
      <w:tr w:rsidR="00C9347E" w14:paraId="1336E6E6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5D10A0B0" w:rsidR="00C9347E" w:rsidRPr="008F1341" w:rsidRDefault="00C9347E" w:rsidP="00C934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03BD5114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6A3B90DA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145A278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02AD280B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59720BD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56063AC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234C67D0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79C63DC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35C131D1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6C5D756B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204CD3C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368AD889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63F88BF1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748FB24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44FD03E7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$60</w:t>
            </w:r>
          </w:p>
        </w:tc>
      </w:tr>
      <w:tr w:rsidR="00C9347E" w14:paraId="559FC17F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3C0A01F7" w:rsidR="00C9347E" w:rsidRPr="008F1341" w:rsidRDefault="00C9347E" w:rsidP="00C934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28132B4F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4CF4761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6AE428F1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79DB92CF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393891E4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563B33EE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253E9CF9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496EF874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10D202B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32005583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3474B68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05877E9E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41859498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3F16EA96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3BEAF1C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</w:tr>
      <w:tr w:rsidR="00C9347E" w14:paraId="68FFD00D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39D5D89B" w:rsidR="00C9347E" w:rsidRPr="008F1341" w:rsidRDefault="00C9347E" w:rsidP="00C934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42AFA90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3E5F7957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0435451D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12526A37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6209380C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3062855E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64CAE091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27688E8D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14F02BFD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565F6527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507BD83E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0537D62F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595755EA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23450E44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76A24A31" w:rsidR="00C9347E" w:rsidRPr="008F1341" w:rsidRDefault="00C9347E" w:rsidP="00C934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$61</w:t>
            </w:r>
          </w:p>
        </w:tc>
      </w:tr>
      <w:tr w:rsidR="00FC1F14" w14:paraId="5F0A6B4A" w14:textId="77777777" w:rsidTr="00FC1F1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 w:rsidR="00A1089B"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A01D5E" w:rsidRPr="003E0FB3" w:rsidRDefault="00A01D5E" w:rsidP="00B72B81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A01D5E" w:rsidRPr="003E0FB3" w:rsidRDefault="00A01D5E" w:rsidP="00B72B81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9347E" w14:paraId="6AD34D45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 xml:space="preserve">% </w:t>
            </w:r>
            <w:proofErr w:type="gramStart"/>
            <w:r>
              <w:rPr>
                <w:b/>
                <w:bCs/>
                <w:sz w:val="18"/>
                <w:szCs w:val="18"/>
                <w:lang w:eastAsia="en-AU"/>
              </w:rPr>
              <w:t>of</w:t>
            </w:r>
            <w:proofErr w:type="gramEnd"/>
            <w:r>
              <w:rPr>
                <w:b/>
                <w:bCs/>
                <w:sz w:val="18"/>
                <w:szCs w:val="18"/>
                <w:lang w:eastAsia="en-AU"/>
              </w:rPr>
              <w:t xml:space="preserve">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4D55E469" w:rsidR="00C9347E" w:rsidRPr="008F1341" w:rsidRDefault="00C9347E" w:rsidP="00C9347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72BE3FF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70FEA6A0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078CEB68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736DBC9C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4757969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4D5FB33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38E39793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7D96B0BA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35D0AB81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2006EC79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5E6F02E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502517BA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7C86312B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37643AD1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4872188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50%</w:t>
            </w:r>
          </w:p>
        </w:tc>
      </w:tr>
      <w:tr w:rsidR="00C9347E" w14:paraId="030360DF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614A505F" w:rsidR="00C9347E" w:rsidRPr="008F1341" w:rsidRDefault="00C9347E" w:rsidP="00C9347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6BDA22A1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0F8983A8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0F584ACE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61819EC3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5A66DE4E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271E14C5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18EE961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294F5787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476CC868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4A711002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401FB375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4497A831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1C7447E3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1742F899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0102DE8D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$1.75</w:t>
            </w:r>
          </w:p>
        </w:tc>
      </w:tr>
      <w:tr w:rsidR="00FC1F14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4947F729" w:rsidR="00A01D5E" w:rsidRPr="003E0FB3" w:rsidRDefault="00B72B81" w:rsidP="00B72B81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Exiting Home Care/ Changing Provider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C9347E" w14:paraId="1C1D1413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81D2" w14:textId="092E451A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 xml:space="preserve">% </w:t>
            </w:r>
            <w:proofErr w:type="gramStart"/>
            <w:r>
              <w:rPr>
                <w:b/>
                <w:bCs/>
                <w:sz w:val="18"/>
                <w:szCs w:val="18"/>
                <w:lang w:eastAsia="en-AU"/>
              </w:rPr>
              <w:t>of</w:t>
            </w:r>
            <w:proofErr w:type="gramEnd"/>
            <w:r>
              <w:rPr>
                <w:b/>
                <w:bCs/>
                <w:sz w:val="18"/>
                <w:szCs w:val="18"/>
                <w:lang w:eastAsia="en-AU"/>
              </w:rPr>
              <w:t xml:space="preserve">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21F1" w14:textId="52329333" w:rsidR="00C9347E" w:rsidRPr="008F1341" w:rsidRDefault="00C9347E" w:rsidP="00C9347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ED6C" w14:textId="08384770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1E07" w14:textId="4F899F65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B8F" w14:textId="498F1CCE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B2" w14:textId="41F4AE74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D305" w14:textId="329C2F2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5748" w14:textId="7E7C415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57B9" w14:textId="076A6B49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23A2" w14:textId="2E687839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C603" w14:textId="351E726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117E" w14:textId="5B82A185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F5A7" w14:textId="4196AD79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CA34" w14:textId="5ED2267D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121E" w14:textId="183CE59D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F1F3" w14:textId="33E262EE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C415" w14:textId="2A86575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</w:tr>
      <w:tr w:rsidR="00C9347E" w14:paraId="5FCF6CFB" w14:textId="77777777" w:rsidTr="008F1341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F5B" w14:textId="3E7593D1" w:rsidR="00C9347E" w:rsidRPr="003E0FB3" w:rsidRDefault="00C9347E" w:rsidP="00C9347E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exit amount for services that publish an exit amount greater than $0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105" w14:textId="741E5909" w:rsidR="00C9347E" w:rsidRPr="008F1341" w:rsidRDefault="00C9347E" w:rsidP="00C9347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1310" w14:textId="0B64A61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3A22" w14:textId="6B4B5B87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04B6" w14:textId="2AAE7FC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C92" w14:textId="61337E55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E9A7" w14:textId="1887A0DF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A9D9" w14:textId="16E2B3BB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F2C" w14:textId="6A888B07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F6EA" w14:textId="28A74C32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59A2" w14:textId="189E800C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189" w14:textId="71121155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9BC3" w14:textId="0F347BD6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5D42" w14:textId="11B48FE0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8983" w14:textId="3F402E4C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4CF2" w14:textId="698DD1DC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809" w14:textId="4F4F18E7" w:rsidR="00C9347E" w:rsidRPr="008F1341" w:rsidRDefault="00C9347E" w:rsidP="00C9347E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</w:tr>
    </w:tbl>
    <w:p w14:paraId="7BA5A4F8" w14:textId="7F3B8BC7" w:rsidR="00A01D5E" w:rsidRPr="00F307FC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307FC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F307FC">
        <w:rPr>
          <w:rFonts w:asciiTheme="minorHAnsi" w:hAnsiTheme="minorHAnsi" w:cstheme="minorHAnsi"/>
          <w:sz w:val="18"/>
          <w:szCs w:val="18"/>
        </w:rPr>
        <w:t>C</w:t>
      </w:r>
      <w:r w:rsidRPr="00F307FC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F307FC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F307FC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Pr="00F307FC" w:rsidRDefault="006A6723">
      <w:pPr>
        <w:rPr>
          <w:rFonts w:asciiTheme="minorHAnsi" w:hAnsiTheme="minorHAnsi" w:cstheme="minorHAnsi"/>
          <w:sz w:val="18"/>
          <w:szCs w:val="18"/>
        </w:rPr>
      </w:pPr>
      <w:r w:rsidRPr="00F307FC">
        <w:rPr>
          <w:rFonts w:asciiTheme="minorHAnsi" w:hAnsiTheme="minorHAnsi" w:cstheme="minorHAnsi"/>
          <w:color w:val="313131"/>
          <w:sz w:val="18"/>
          <w:szCs w:val="18"/>
          <w:shd w:val="clear" w:color="auto" w:fill="FFFFFF"/>
        </w:rPr>
        <w:t>Read more about the </w:t>
      </w:r>
      <w:hyperlink r:id="rId7" w:history="1">
        <w:r w:rsidRPr="00F307FC">
          <w:rPr>
            <w:rStyle w:val="Hyperlink"/>
            <w:rFonts w:asciiTheme="minorHAnsi" w:hAnsiTheme="minorHAnsi" w:cstheme="minorHAnsi"/>
            <w:color w:val="006FB0"/>
            <w:sz w:val="18"/>
            <w:szCs w:val="18"/>
            <w:shd w:val="clear" w:color="auto" w:fill="FFFFFF"/>
          </w:rPr>
          <w:t>Modified Monash Model</w:t>
        </w:r>
      </w:hyperlink>
      <w:r w:rsidRPr="00F307FC">
        <w:rPr>
          <w:rFonts w:asciiTheme="minorHAnsi" w:hAnsiTheme="minorHAnsi" w:cstheme="minorHAnsi"/>
          <w:color w:val="313131"/>
          <w:sz w:val="18"/>
          <w:szCs w:val="18"/>
          <w:shd w:val="clear" w:color="auto" w:fill="FFFFFF"/>
        </w:rPr>
        <w:t> (MMM) and </w:t>
      </w:r>
      <w:hyperlink r:id="rId8" w:history="1">
        <w:r w:rsidRPr="00F307FC">
          <w:rPr>
            <w:rStyle w:val="Hyperlink"/>
            <w:rFonts w:asciiTheme="minorHAnsi" w:hAnsiTheme="minorHAnsi" w:cstheme="minorHAnsi"/>
            <w:color w:val="006FB0"/>
            <w:sz w:val="18"/>
            <w:szCs w:val="18"/>
            <w:shd w:val="clear" w:color="auto" w:fill="FFFFFF"/>
          </w:rPr>
          <w:t>Aged Care Planning Regions</w:t>
        </w:r>
      </w:hyperlink>
      <w:r w:rsidRPr="00F307FC">
        <w:rPr>
          <w:rFonts w:asciiTheme="minorHAnsi" w:hAnsiTheme="minorHAnsi" w:cstheme="minorHAnsi"/>
          <w:color w:val="313131"/>
          <w:sz w:val="18"/>
          <w:szCs w:val="18"/>
          <w:shd w:val="clear" w:color="auto" w:fill="FFFFFF"/>
        </w:rPr>
        <w:t> (ACPR).</w:t>
      </w:r>
    </w:p>
    <w:sectPr w:rsidR="006A6723" w:rsidRPr="00F307FC" w:rsidSect="00201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1BBA" w14:textId="77777777" w:rsidR="001228C8" w:rsidRDefault="001228C8" w:rsidP="007C2CA3">
      <w:r>
        <w:separator/>
      </w:r>
    </w:p>
  </w:endnote>
  <w:endnote w:type="continuationSeparator" w:id="0">
    <w:p w14:paraId="39A500F8" w14:textId="77777777" w:rsidR="001228C8" w:rsidRDefault="001228C8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4A94" w14:textId="77777777" w:rsidR="006171F5" w:rsidRDefault="00617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1CB1" w14:textId="77777777" w:rsidR="006171F5" w:rsidRDefault="00617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8605" w14:textId="77777777" w:rsidR="006171F5" w:rsidRDefault="00617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C2B" w14:textId="77777777" w:rsidR="001228C8" w:rsidRDefault="001228C8" w:rsidP="007C2CA3">
      <w:r>
        <w:separator/>
      </w:r>
    </w:p>
  </w:footnote>
  <w:footnote w:type="continuationSeparator" w:id="0">
    <w:p w14:paraId="00F90547" w14:textId="77777777" w:rsidR="001228C8" w:rsidRDefault="001228C8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7A90" w14:textId="77777777" w:rsidR="006171F5" w:rsidRDefault="00617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650" w14:textId="22E75F4E" w:rsidR="001228C8" w:rsidRDefault="00845C07">
    <w:pPr>
      <w:pStyle w:val="Header"/>
    </w:pPr>
    <w:r>
      <w:rPr>
        <w:noProof/>
        <w:lang w:eastAsia="en-AU"/>
      </w:rPr>
      <w:drawing>
        <wp:inline distT="0" distB="0" distL="0" distR="0" wp14:anchorId="213FEB16" wp14:editId="2C2A63DD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B4F" w14:textId="77777777" w:rsidR="006171F5" w:rsidRDefault="00617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03985"/>
    <w:rsid w:val="000C5FA1"/>
    <w:rsid w:val="001228C8"/>
    <w:rsid w:val="001F2F28"/>
    <w:rsid w:val="00201198"/>
    <w:rsid w:val="0021625D"/>
    <w:rsid w:val="00280050"/>
    <w:rsid w:val="002A2A09"/>
    <w:rsid w:val="003969EC"/>
    <w:rsid w:val="003E0FB3"/>
    <w:rsid w:val="0040499F"/>
    <w:rsid w:val="006000D7"/>
    <w:rsid w:val="006171F5"/>
    <w:rsid w:val="006A1C7B"/>
    <w:rsid w:val="006A6723"/>
    <w:rsid w:val="00732862"/>
    <w:rsid w:val="007A0A5F"/>
    <w:rsid w:val="007C2CA3"/>
    <w:rsid w:val="007F10CE"/>
    <w:rsid w:val="008123C5"/>
    <w:rsid w:val="00845C07"/>
    <w:rsid w:val="008F1341"/>
    <w:rsid w:val="00962978"/>
    <w:rsid w:val="00A01D5E"/>
    <w:rsid w:val="00A1089B"/>
    <w:rsid w:val="00B72B81"/>
    <w:rsid w:val="00C90292"/>
    <w:rsid w:val="00C9347E"/>
    <w:rsid w:val="00CE100F"/>
    <w:rsid w:val="00EF30EB"/>
    <w:rsid w:val="00EF3963"/>
    <w:rsid w:val="00F14D6C"/>
    <w:rsid w:val="00F307FC"/>
    <w:rsid w:val="00FA064D"/>
    <w:rsid w:val="00FC1F14"/>
    <w:rsid w:val="00FD274C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672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629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2018-aged-care-planning-region-ma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health-topics/health-workforce/health-workforce-classifications/modified-monash-mod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567</Words>
  <Characters>3232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2022-08-16T07:37:00Z</cp:lastPrinted>
  <dcterms:created xsi:type="dcterms:W3CDTF">2022-10-17T03:17:00Z</dcterms:created>
  <dcterms:modified xsi:type="dcterms:W3CDTF">2023-01-30T03:58:00Z</dcterms:modified>
</cp:coreProperties>
</file>