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footer12.xml" ContentType="application/vnd.openxmlformats-officedocument.wordprocessingml.footer+xml"/>
  <Override PartName="/word/header14.xml" ContentType="application/vnd.openxmlformats-officedocument.wordprocessingml.header+xml"/>
  <Override PartName="/word/footer13.xml" ContentType="application/vnd.openxmlformats-officedocument.wordprocessingml.footer+xml"/>
  <Override PartName="/word/header15.xml" ContentType="application/vnd.openxmlformats-officedocument.wordprocessingml.header+xml"/>
  <Override PartName="/word/footer14.xml" ContentType="application/vnd.openxmlformats-officedocument.wordprocessingml.footer+xml"/>
  <Override PartName="/word/header16.xml" ContentType="application/vnd.openxmlformats-officedocument.wordprocessingml.header+xml"/>
  <Override PartName="/word/footer15.xml" ContentType="application/vnd.openxmlformats-officedocument.wordprocessingml.footer+xml"/>
  <Override PartName="/word/header17.xml" ContentType="application/vnd.openxmlformats-officedocument.wordprocessingml.header+xml"/>
  <Override PartName="/word/footer16.xml" ContentType="application/vnd.openxmlformats-officedocument.wordprocessingml.footer+xml"/>
  <Override PartName="/word/header18.xml" ContentType="application/vnd.openxmlformats-officedocument.wordprocessingml.header+xml"/>
  <Override PartName="/word/footer17.xml" ContentType="application/vnd.openxmlformats-officedocument.wordprocessingml.footer+xml"/>
  <Override PartName="/word/header19.xml" ContentType="application/vnd.openxmlformats-officedocument.wordprocessingml.header+xml"/>
  <Override PartName="/word/footer18.xml" ContentType="application/vnd.openxmlformats-officedocument.wordprocessingml.footer+xml"/>
  <Override PartName="/word/header20.xml" ContentType="application/vnd.openxmlformats-officedocument.wordprocessingml.header+xml"/>
  <Override PartName="/word/footer19.xml" ContentType="application/vnd.openxmlformats-officedocument.wordprocessingml.footer+xml"/>
  <Override PartName="/word/header21.xml" ContentType="application/vnd.openxmlformats-officedocument.wordprocessingml.header+xml"/>
  <Override PartName="/word/footer20.xml" ContentType="application/vnd.openxmlformats-officedocument.wordprocessingml.footer+xml"/>
  <Override PartName="/word/header22.xml" ContentType="application/vnd.openxmlformats-officedocument.wordprocessingml.header+xml"/>
  <Override PartName="/word/footer21.xml" ContentType="application/vnd.openxmlformats-officedocument.wordprocessingml.footer+xml"/>
  <Override PartName="/word/header23.xml" ContentType="application/vnd.openxmlformats-officedocument.wordprocessingml.header+xml"/>
  <Override PartName="/word/footer22.xml" ContentType="application/vnd.openxmlformats-officedocument.wordprocessingml.footer+xml"/>
  <Override PartName="/word/header24.xml" ContentType="application/vnd.openxmlformats-officedocument.wordprocessingml.header+xml"/>
  <Override PartName="/word/footer23.xml" ContentType="application/vnd.openxmlformats-officedocument.wordprocessingml.footer+xml"/>
  <Override PartName="/word/header25.xml" ContentType="application/vnd.openxmlformats-officedocument.wordprocessingml.header+xml"/>
  <Override PartName="/word/footer24.xml" ContentType="application/vnd.openxmlformats-officedocument.wordprocessingml.footer+xml"/>
  <Override PartName="/word/header26.xml" ContentType="application/vnd.openxmlformats-officedocument.wordprocessingml.header+xml"/>
  <Override PartName="/word/footer25.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9.xml" ContentType="application/vnd.openxmlformats-officedocument.wordprocessingml.header+xml"/>
  <Override PartName="/word/footer2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778B5F" w14:textId="35DCB454" w:rsidR="009F056B" w:rsidRPr="009F056B" w:rsidRDefault="00796067" w:rsidP="00485B22">
      <w:pPr>
        <w:pStyle w:val="BodyText"/>
        <w:shd w:val="clear" w:color="auto" w:fill="140034" w:themeFill="background2"/>
        <w:spacing w:before="600" w:after="960"/>
        <w:ind w:left="-284"/>
        <w:rPr>
          <w:b/>
          <w:bCs/>
          <w:color w:val="FFFFFF" w:themeColor="background1"/>
          <w:sz w:val="28"/>
          <w:szCs w:val="28"/>
        </w:rPr>
      </w:pPr>
      <w:r w:rsidRPr="009F056B">
        <w:rPr>
          <w:noProof/>
          <w:color w:val="FFFFFF" w:themeColor="background1"/>
        </w:rPr>
        <w:drawing>
          <wp:anchor distT="0" distB="0" distL="114300" distR="114300" simplePos="0" relativeHeight="251674624" behindDoc="1" locked="1" layoutInCell="1" allowOverlap="1" wp14:anchorId="6CA4321D" wp14:editId="7EA8C4F2">
            <wp:simplePos x="0" y="0"/>
            <wp:positionH relativeFrom="page">
              <wp:align>right</wp:align>
            </wp:positionH>
            <wp:positionV relativeFrom="paragraph">
              <wp:posOffset>-1623695</wp:posOffset>
            </wp:positionV>
            <wp:extent cx="7765200" cy="10670400"/>
            <wp:effectExtent l="0" t="0" r="7620" b="0"/>
            <wp:wrapNone/>
            <wp:docPr id="83" name="Picture 8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Picture 83">
                      <a:extLst>
                        <a:ext uri="{C183D7F6-B498-43B3-948B-1728B52AA6E4}">
                          <adec:decorative xmlns:adec="http://schemas.microsoft.com/office/drawing/2017/decorative" val="1"/>
                        </a:ext>
                      </a:extLst>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65200" cy="10670400"/>
                    </a:xfrm>
                    <a:prstGeom prst="rect">
                      <a:avLst/>
                    </a:prstGeom>
                    <a:noFill/>
                    <a:ln>
                      <a:noFill/>
                    </a:ln>
                  </pic:spPr>
                </pic:pic>
              </a:graphicData>
            </a:graphic>
            <wp14:sizeRelH relativeFrom="page">
              <wp14:pctWidth>0</wp14:pctWidth>
            </wp14:sizeRelH>
            <wp14:sizeRelV relativeFrom="page">
              <wp14:pctHeight>0</wp14:pctHeight>
            </wp14:sizeRelV>
          </wp:anchor>
        </w:drawing>
      </w:r>
      <w:r w:rsidR="009F056B" w:rsidRPr="009F056B">
        <w:rPr>
          <w:b/>
          <w:bCs/>
          <w:color w:val="FFFFFF" w:themeColor="background1"/>
          <w:sz w:val="28"/>
          <w:szCs w:val="28"/>
        </w:rPr>
        <w:t>December 2021</w:t>
      </w:r>
    </w:p>
    <w:p w14:paraId="581D7EF1" w14:textId="77777777" w:rsidR="009F056B" w:rsidRPr="009F056B" w:rsidRDefault="009F056B" w:rsidP="0041760A">
      <w:pPr>
        <w:pStyle w:val="Title"/>
      </w:pPr>
      <w:r w:rsidRPr="009F056B">
        <w:t>National Mental Health Workforce Strategy</w:t>
      </w:r>
    </w:p>
    <w:p w14:paraId="0F0D518A" w14:textId="2FFAAB79" w:rsidR="00796067" w:rsidRDefault="009F056B" w:rsidP="00F11BE7">
      <w:pPr>
        <w:pStyle w:val="BodyText"/>
        <w:shd w:val="clear" w:color="auto" w:fill="140034" w:themeFill="background2"/>
        <w:ind w:left="-284"/>
        <w:sectPr w:rsidR="00796067" w:rsidSect="00740CEC">
          <w:pgSz w:w="11906" w:h="16838" w:code="9"/>
          <w:pgMar w:top="2557" w:right="1111" w:bottom="1134" w:left="1134" w:header="454" w:footer="164" w:gutter="0"/>
          <w:cols w:space="708"/>
          <w:titlePg/>
          <w:docGrid w:linePitch="360"/>
        </w:sectPr>
      </w:pPr>
      <w:r w:rsidRPr="009F056B">
        <w:rPr>
          <w:color w:val="FFFFFF" w:themeColor="background1"/>
          <w:sz w:val="56"/>
          <w:szCs w:val="56"/>
        </w:rPr>
        <w:t>Post Consultation Version</w:t>
      </w:r>
    </w:p>
    <w:p w14:paraId="4E1058B9" w14:textId="746DF86F" w:rsidR="00796067" w:rsidRDefault="00C460EA" w:rsidP="00740CEC">
      <w:pPr>
        <w:pStyle w:val="BodyText"/>
        <w:sectPr w:rsidR="00796067" w:rsidSect="00740CEC">
          <w:pgSz w:w="11906" w:h="16838" w:code="9"/>
          <w:pgMar w:top="2557" w:right="1111" w:bottom="1134" w:left="1134" w:header="454" w:footer="164" w:gutter="0"/>
          <w:cols w:space="708"/>
          <w:titlePg/>
          <w:docGrid w:linePitch="360"/>
        </w:sectPr>
      </w:pPr>
      <w:r>
        <w:rPr>
          <w:noProof/>
        </w:rPr>
        <w:lastRenderedPageBreak/>
        <w:drawing>
          <wp:anchor distT="0" distB="0" distL="114300" distR="114300" simplePos="0" relativeHeight="251676672" behindDoc="1" locked="0" layoutInCell="1" allowOverlap="1" wp14:anchorId="21E06C14" wp14:editId="0BD767F8">
            <wp:simplePos x="0" y="0"/>
            <wp:positionH relativeFrom="page">
              <wp:posOffset>11017</wp:posOffset>
            </wp:positionH>
            <wp:positionV relativeFrom="paragraph">
              <wp:posOffset>-1700812</wp:posOffset>
            </wp:positionV>
            <wp:extent cx="7536815" cy="10773926"/>
            <wp:effectExtent l="0" t="0" r="6985" b="8890"/>
            <wp:wrapNone/>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538486" cy="1077631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C7D87DE" w14:textId="77777777" w:rsidR="00547CE8" w:rsidRDefault="00547CE8" w:rsidP="00547CE8">
      <w:pPr>
        <w:pStyle w:val="Heading1"/>
      </w:pPr>
      <w:r>
        <w:lastRenderedPageBreak/>
        <w:t>Contents</w:t>
      </w:r>
    </w:p>
    <w:p w14:paraId="56D22823" w14:textId="77777777" w:rsidR="00547CE8" w:rsidRPr="00547CE8" w:rsidRDefault="00547CE8" w:rsidP="00547CE8">
      <w:pPr>
        <w:pStyle w:val="BodyText"/>
        <w:tabs>
          <w:tab w:val="left" w:pos="8647"/>
        </w:tabs>
        <w:spacing w:after="480"/>
        <w:ind w:left="851" w:hanging="851"/>
        <w:rPr>
          <w:sz w:val="28"/>
          <w:szCs w:val="28"/>
        </w:rPr>
      </w:pPr>
      <w:r w:rsidRPr="00547CE8">
        <w:rPr>
          <w:sz w:val="28"/>
          <w:szCs w:val="28"/>
        </w:rPr>
        <w:t>Executive summary</w:t>
      </w:r>
      <w:r w:rsidRPr="00547CE8">
        <w:rPr>
          <w:sz w:val="28"/>
          <w:szCs w:val="28"/>
        </w:rPr>
        <w:tab/>
      </w:r>
      <w:proofErr w:type="spellStart"/>
      <w:r w:rsidRPr="00547CE8">
        <w:rPr>
          <w:sz w:val="28"/>
          <w:szCs w:val="28"/>
        </w:rPr>
        <w:t>i</w:t>
      </w:r>
      <w:proofErr w:type="spellEnd"/>
    </w:p>
    <w:p w14:paraId="575AB469" w14:textId="5195E0A8" w:rsidR="00547CE8" w:rsidRPr="00547CE8" w:rsidRDefault="00547CE8" w:rsidP="00547CE8">
      <w:pPr>
        <w:pStyle w:val="BodyText"/>
        <w:tabs>
          <w:tab w:val="left" w:pos="8647"/>
        </w:tabs>
        <w:spacing w:after="480"/>
        <w:ind w:left="851" w:hanging="851"/>
        <w:rPr>
          <w:sz w:val="28"/>
          <w:szCs w:val="28"/>
        </w:rPr>
      </w:pPr>
      <w:r w:rsidRPr="00547CE8">
        <w:rPr>
          <w:sz w:val="28"/>
          <w:szCs w:val="28"/>
        </w:rPr>
        <w:t>1.</w:t>
      </w:r>
      <w:r w:rsidRPr="00547CE8">
        <w:rPr>
          <w:sz w:val="28"/>
          <w:szCs w:val="28"/>
        </w:rPr>
        <w:tab/>
        <w:t xml:space="preserve">Data underpins workforce planning at a national, regional </w:t>
      </w:r>
      <w:r>
        <w:rPr>
          <w:sz w:val="28"/>
          <w:szCs w:val="28"/>
        </w:rPr>
        <w:br/>
      </w:r>
      <w:r w:rsidRPr="00547CE8">
        <w:rPr>
          <w:sz w:val="28"/>
          <w:szCs w:val="28"/>
        </w:rPr>
        <w:t>and local level</w:t>
      </w:r>
      <w:r w:rsidRPr="00547CE8">
        <w:rPr>
          <w:sz w:val="28"/>
          <w:szCs w:val="28"/>
        </w:rPr>
        <w:tab/>
        <w:t>1</w:t>
      </w:r>
    </w:p>
    <w:p w14:paraId="4DC7F6FC" w14:textId="7DD876C0" w:rsidR="00547CE8" w:rsidRPr="00547CE8" w:rsidRDefault="00547CE8" w:rsidP="00547CE8">
      <w:pPr>
        <w:pStyle w:val="BodyText"/>
        <w:tabs>
          <w:tab w:val="left" w:pos="8647"/>
        </w:tabs>
        <w:spacing w:after="480"/>
        <w:ind w:left="851" w:hanging="851"/>
        <w:rPr>
          <w:sz w:val="28"/>
          <w:szCs w:val="28"/>
        </w:rPr>
      </w:pPr>
      <w:r w:rsidRPr="00547CE8">
        <w:rPr>
          <w:sz w:val="28"/>
          <w:szCs w:val="28"/>
        </w:rPr>
        <w:t>2.</w:t>
      </w:r>
      <w:r w:rsidRPr="00547CE8">
        <w:rPr>
          <w:sz w:val="28"/>
          <w:szCs w:val="28"/>
        </w:rPr>
        <w:tab/>
        <w:t xml:space="preserve">The entire mental health workforce is utilised efficiently </w:t>
      </w:r>
      <w:r>
        <w:rPr>
          <w:sz w:val="28"/>
          <w:szCs w:val="28"/>
        </w:rPr>
        <w:br/>
      </w:r>
      <w:r w:rsidRPr="00547CE8">
        <w:rPr>
          <w:sz w:val="28"/>
          <w:szCs w:val="28"/>
        </w:rPr>
        <w:t>and effectively</w:t>
      </w:r>
      <w:r w:rsidRPr="00547CE8">
        <w:rPr>
          <w:sz w:val="28"/>
          <w:szCs w:val="28"/>
        </w:rPr>
        <w:tab/>
        <w:t>4</w:t>
      </w:r>
    </w:p>
    <w:p w14:paraId="0B5B0F65" w14:textId="5660A5EF" w:rsidR="00547CE8" w:rsidRPr="00547CE8" w:rsidRDefault="00547CE8" w:rsidP="00547CE8">
      <w:pPr>
        <w:pStyle w:val="BodyText"/>
        <w:tabs>
          <w:tab w:val="left" w:pos="8647"/>
        </w:tabs>
        <w:spacing w:after="480"/>
        <w:ind w:left="851" w:hanging="851"/>
        <w:rPr>
          <w:sz w:val="28"/>
          <w:szCs w:val="28"/>
        </w:rPr>
      </w:pPr>
      <w:r w:rsidRPr="00547CE8">
        <w:rPr>
          <w:sz w:val="28"/>
          <w:szCs w:val="28"/>
        </w:rPr>
        <w:t>3.</w:t>
      </w:r>
      <w:r w:rsidRPr="00547CE8">
        <w:rPr>
          <w:sz w:val="28"/>
          <w:szCs w:val="28"/>
        </w:rPr>
        <w:tab/>
        <w:t xml:space="preserve">The mental health workforce is appropriately skilled and </w:t>
      </w:r>
      <w:r>
        <w:rPr>
          <w:sz w:val="28"/>
          <w:szCs w:val="28"/>
        </w:rPr>
        <w:br/>
        <w:t>|</w:t>
      </w:r>
      <w:r w:rsidRPr="00547CE8">
        <w:rPr>
          <w:sz w:val="28"/>
          <w:szCs w:val="28"/>
        </w:rPr>
        <w:t>culturally safe</w:t>
      </w:r>
      <w:r w:rsidRPr="00547CE8">
        <w:rPr>
          <w:sz w:val="28"/>
          <w:szCs w:val="28"/>
        </w:rPr>
        <w:tab/>
        <w:t>10</w:t>
      </w:r>
    </w:p>
    <w:p w14:paraId="3F6A541B" w14:textId="7C8611A2" w:rsidR="00547CE8" w:rsidRPr="00547CE8" w:rsidRDefault="00547CE8" w:rsidP="00547CE8">
      <w:pPr>
        <w:pStyle w:val="BodyText"/>
        <w:tabs>
          <w:tab w:val="left" w:pos="8647"/>
        </w:tabs>
        <w:spacing w:after="480"/>
        <w:ind w:left="851" w:hanging="851"/>
        <w:rPr>
          <w:sz w:val="28"/>
          <w:szCs w:val="28"/>
        </w:rPr>
      </w:pPr>
      <w:r w:rsidRPr="00547CE8">
        <w:rPr>
          <w:sz w:val="28"/>
          <w:szCs w:val="28"/>
        </w:rPr>
        <w:t>4.</w:t>
      </w:r>
      <w:r w:rsidRPr="00547CE8">
        <w:rPr>
          <w:sz w:val="28"/>
          <w:szCs w:val="28"/>
        </w:rPr>
        <w:tab/>
        <w:t>Careers in mental health are, and are recognised as,</w:t>
      </w:r>
      <w:r>
        <w:rPr>
          <w:sz w:val="28"/>
          <w:szCs w:val="28"/>
        </w:rPr>
        <w:br/>
      </w:r>
      <w:r w:rsidRPr="00547CE8">
        <w:rPr>
          <w:sz w:val="28"/>
          <w:szCs w:val="28"/>
        </w:rPr>
        <w:t>attractive</w:t>
      </w:r>
      <w:r w:rsidRPr="00547CE8">
        <w:rPr>
          <w:sz w:val="28"/>
          <w:szCs w:val="28"/>
        </w:rPr>
        <w:tab/>
        <w:t>15</w:t>
      </w:r>
    </w:p>
    <w:p w14:paraId="6D297569" w14:textId="3E5F67EA" w:rsidR="00547CE8" w:rsidRPr="00547CE8" w:rsidRDefault="00547CE8" w:rsidP="00547CE8">
      <w:pPr>
        <w:pStyle w:val="BodyText"/>
        <w:tabs>
          <w:tab w:val="left" w:pos="8647"/>
        </w:tabs>
        <w:spacing w:after="480"/>
        <w:ind w:left="851" w:hanging="851"/>
        <w:rPr>
          <w:sz w:val="28"/>
          <w:szCs w:val="28"/>
        </w:rPr>
      </w:pPr>
      <w:r w:rsidRPr="00547CE8">
        <w:rPr>
          <w:sz w:val="28"/>
          <w:szCs w:val="28"/>
        </w:rPr>
        <w:t>5.</w:t>
      </w:r>
      <w:r w:rsidRPr="00547CE8">
        <w:rPr>
          <w:sz w:val="28"/>
          <w:szCs w:val="28"/>
        </w:rPr>
        <w:tab/>
        <w:t xml:space="preserve">The mental health workforce is supported and retained </w:t>
      </w:r>
      <w:r>
        <w:rPr>
          <w:sz w:val="28"/>
          <w:szCs w:val="28"/>
        </w:rPr>
        <w:br/>
      </w:r>
      <w:r w:rsidRPr="00547CE8">
        <w:rPr>
          <w:sz w:val="28"/>
          <w:szCs w:val="28"/>
        </w:rPr>
        <w:t>in the sector</w:t>
      </w:r>
      <w:r w:rsidRPr="00547CE8">
        <w:rPr>
          <w:sz w:val="28"/>
          <w:szCs w:val="28"/>
        </w:rPr>
        <w:tab/>
        <w:t>18</w:t>
      </w:r>
    </w:p>
    <w:p w14:paraId="6A8A22AC" w14:textId="0185029C" w:rsidR="00547CE8" w:rsidRPr="00547CE8" w:rsidRDefault="00547CE8" w:rsidP="00547CE8">
      <w:pPr>
        <w:pStyle w:val="BodyText"/>
        <w:tabs>
          <w:tab w:val="left" w:pos="8647"/>
        </w:tabs>
        <w:spacing w:after="480"/>
        <w:ind w:left="851" w:hanging="851"/>
        <w:rPr>
          <w:sz w:val="28"/>
          <w:szCs w:val="28"/>
        </w:rPr>
      </w:pPr>
      <w:r w:rsidRPr="00547CE8">
        <w:rPr>
          <w:sz w:val="28"/>
          <w:szCs w:val="28"/>
        </w:rPr>
        <w:t>6.</w:t>
      </w:r>
      <w:r w:rsidRPr="00547CE8">
        <w:rPr>
          <w:sz w:val="28"/>
          <w:szCs w:val="28"/>
        </w:rPr>
        <w:tab/>
        <w:t xml:space="preserve">The mental health workforce is distributed and resourced </w:t>
      </w:r>
      <w:r>
        <w:rPr>
          <w:sz w:val="28"/>
          <w:szCs w:val="28"/>
        </w:rPr>
        <w:br/>
      </w:r>
      <w:r w:rsidRPr="00547CE8">
        <w:rPr>
          <w:sz w:val="28"/>
          <w:szCs w:val="28"/>
        </w:rPr>
        <w:t xml:space="preserve">to deliver mental health promotion, </w:t>
      </w:r>
      <w:proofErr w:type="gramStart"/>
      <w:r w:rsidRPr="00547CE8">
        <w:rPr>
          <w:sz w:val="28"/>
          <w:szCs w:val="28"/>
        </w:rPr>
        <w:t>support</w:t>
      </w:r>
      <w:proofErr w:type="gramEnd"/>
      <w:r w:rsidRPr="00547CE8">
        <w:rPr>
          <w:sz w:val="28"/>
          <w:szCs w:val="28"/>
        </w:rPr>
        <w:t xml:space="preserve"> and treatment </w:t>
      </w:r>
      <w:r>
        <w:rPr>
          <w:sz w:val="28"/>
          <w:szCs w:val="28"/>
        </w:rPr>
        <w:br/>
      </w:r>
      <w:r w:rsidRPr="00547CE8">
        <w:rPr>
          <w:sz w:val="28"/>
          <w:szCs w:val="28"/>
        </w:rPr>
        <w:t>when and where consumers need it across</w:t>
      </w:r>
      <w:r w:rsidR="005F0718">
        <w:rPr>
          <w:sz w:val="28"/>
          <w:szCs w:val="28"/>
        </w:rPr>
        <w:t xml:space="preserve"> their life course</w:t>
      </w:r>
      <w:r w:rsidRPr="00547CE8">
        <w:rPr>
          <w:sz w:val="28"/>
          <w:szCs w:val="28"/>
        </w:rPr>
        <w:tab/>
        <w:t>23</w:t>
      </w:r>
    </w:p>
    <w:p w14:paraId="5060FF1E" w14:textId="77777777" w:rsidR="00547CE8" w:rsidRPr="00547CE8" w:rsidRDefault="00547CE8" w:rsidP="00547CE8">
      <w:pPr>
        <w:pStyle w:val="BodyText"/>
        <w:tabs>
          <w:tab w:val="left" w:pos="8647"/>
        </w:tabs>
        <w:spacing w:after="480"/>
        <w:ind w:left="851" w:hanging="851"/>
        <w:rPr>
          <w:sz w:val="28"/>
          <w:szCs w:val="28"/>
        </w:rPr>
      </w:pPr>
      <w:r w:rsidRPr="00547CE8">
        <w:rPr>
          <w:sz w:val="28"/>
          <w:szCs w:val="28"/>
        </w:rPr>
        <w:t>7.</w:t>
      </w:r>
      <w:r w:rsidRPr="00547CE8">
        <w:rPr>
          <w:sz w:val="28"/>
          <w:szCs w:val="28"/>
        </w:rPr>
        <w:tab/>
        <w:t>Implementation of the Strategy</w:t>
      </w:r>
      <w:r w:rsidRPr="00547CE8">
        <w:rPr>
          <w:sz w:val="28"/>
          <w:szCs w:val="28"/>
        </w:rPr>
        <w:tab/>
        <w:t>27</w:t>
      </w:r>
    </w:p>
    <w:p w14:paraId="717CEEFE" w14:textId="4C505BBA" w:rsidR="00A9260E" w:rsidRPr="00547CE8" w:rsidRDefault="00547CE8" w:rsidP="00547CE8">
      <w:pPr>
        <w:pStyle w:val="BodyText"/>
        <w:tabs>
          <w:tab w:val="left" w:pos="8647"/>
        </w:tabs>
        <w:spacing w:after="480"/>
        <w:ind w:left="851" w:hanging="851"/>
        <w:rPr>
          <w:sz w:val="28"/>
          <w:szCs w:val="28"/>
        </w:rPr>
        <w:sectPr w:rsidR="00A9260E" w:rsidRPr="00547CE8" w:rsidSect="00547CE8">
          <w:headerReference w:type="even" r:id="rId11"/>
          <w:headerReference w:type="default" r:id="rId12"/>
          <w:footerReference w:type="even" r:id="rId13"/>
          <w:footerReference w:type="default" r:id="rId14"/>
          <w:headerReference w:type="first" r:id="rId15"/>
          <w:footerReference w:type="first" r:id="rId16"/>
          <w:pgSz w:w="11906" w:h="16838" w:code="9"/>
          <w:pgMar w:top="2098" w:right="851" w:bottom="1134" w:left="1701" w:header="454" w:footer="159" w:gutter="0"/>
          <w:cols w:space="708"/>
          <w:docGrid w:linePitch="360"/>
        </w:sectPr>
      </w:pPr>
      <w:r w:rsidRPr="00547CE8">
        <w:rPr>
          <w:sz w:val="28"/>
          <w:szCs w:val="28"/>
        </w:rPr>
        <w:t xml:space="preserve">Appendix A: </w:t>
      </w:r>
      <w:r w:rsidRPr="00547CE8">
        <w:rPr>
          <w:sz w:val="28"/>
          <w:szCs w:val="28"/>
        </w:rPr>
        <w:br/>
        <w:t xml:space="preserve">Summary of Priority Areas, Actions and Potential </w:t>
      </w:r>
      <w:r>
        <w:rPr>
          <w:sz w:val="28"/>
          <w:szCs w:val="28"/>
        </w:rPr>
        <w:br/>
      </w:r>
      <w:r w:rsidRPr="00547CE8">
        <w:rPr>
          <w:sz w:val="28"/>
          <w:szCs w:val="28"/>
        </w:rPr>
        <w:t>Implementation Examples</w:t>
      </w:r>
      <w:r w:rsidRPr="00547CE8">
        <w:rPr>
          <w:sz w:val="28"/>
          <w:szCs w:val="28"/>
        </w:rPr>
        <w:tab/>
        <w:t>28</w:t>
      </w:r>
    </w:p>
    <w:p w14:paraId="003903D2" w14:textId="272CB7A3" w:rsidR="001315FA" w:rsidRDefault="001315FA" w:rsidP="001315FA">
      <w:pPr>
        <w:pStyle w:val="Heading1"/>
      </w:pPr>
      <w:bookmarkStart w:id="0" w:name="_Toc98866252"/>
      <w:r>
        <w:lastRenderedPageBreak/>
        <w:t>Executive summary</w:t>
      </w:r>
      <w:bookmarkEnd w:id="0"/>
    </w:p>
    <w:p w14:paraId="4B604567" w14:textId="470AB11A" w:rsidR="009A7E6B" w:rsidRDefault="009A7E6B" w:rsidP="007E78E4">
      <w:pPr>
        <w:pStyle w:val="Heading2ES"/>
      </w:pPr>
      <w:r>
        <w:t>Problem statement</w:t>
      </w:r>
    </w:p>
    <w:p w14:paraId="47536785" w14:textId="77777777" w:rsidR="009A7E6B" w:rsidRDefault="009A7E6B" w:rsidP="009A7E6B">
      <w:pPr>
        <w:pStyle w:val="BodyText"/>
      </w:pPr>
      <w:r w:rsidRPr="003E00F4">
        <w:t>Across</w:t>
      </w:r>
      <w:r>
        <w:t xml:space="preserve"> </w:t>
      </w:r>
      <w:r w:rsidRPr="003E00F4">
        <w:t>all</w:t>
      </w:r>
      <w:r>
        <w:t xml:space="preserve"> </w:t>
      </w:r>
      <w:r w:rsidRPr="003E00F4">
        <w:t>Australian</w:t>
      </w:r>
      <w:r>
        <w:t xml:space="preserve"> </w:t>
      </w:r>
      <w:r w:rsidRPr="003E00F4">
        <w:t>states</w:t>
      </w:r>
      <w:r>
        <w:t xml:space="preserve"> </w:t>
      </w:r>
      <w:r w:rsidRPr="003E00F4">
        <w:t>and</w:t>
      </w:r>
      <w:r>
        <w:t xml:space="preserve"> </w:t>
      </w:r>
      <w:r w:rsidRPr="003E00F4">
        <w:t>territories,</w:t>
      </w:r>
      <w:r>
        <w:t xml:space="preserve"> </w:t>
      </w:r>
      <w:r w:rsidRPr="003E00F4">
        <w:t>demand</w:t>
      </w:r>
      <w:r>
        <w:t xml:space="preserve"> </w:t>
      </w:r>
      <w:r w:rsidRPr="003E00F4">
        <w:t>for</w:t>
      </w:r>
      <w:r>
        <w:t xml:space="preserve"> </w:t>
      </w:r>
      <w:r w:rsidRPr="003E00F4">
        <w:t>mental</w:t>
      </w:r>
      <w:r>
        <w:t xml:space="preserve"> </w:t>
      </w:r>
      <w:r w:rsidRPr="003E00F4">
        <w:t>health</w:t>
      </w:r>
      <w:r>
        <w:t xml:space="preserve"> </w:t>
      </w:r>
      <w:r w:rsidRPr="003E00F4">
        <w:t>support</w:t>
      </w:r>
      <w:r>
        <w:t xml:space="preserve"> </w:t>
      </w:r>
      <w:r w:rsidRPr="003E00F4">
        <w:t>and</w:t>
      </w:r>
      <w:r>
        <w:t xml:space="preserve"> </w:t>
      </w:r>
      <w:r w:rsidRPr="003E00F4">
        <w:t>treatment</w:t>
      </w:r>
      <w:r>
        <w:t xml:space="preserve"> </w:t>
      </w:r>
      <w:r w:rsidRPr="003E00F4">
        <w:t>has</w:t>
      </w:r>
      <w:r>
        <w:t xml:space="preserve"> </w:t>
      </w:r>
      <w:r w:rsidRPr="003E00F4">
        <w:t>steadily</w:t>
      </w:r>
      <w:r>
        <w:t xml:space="preserve"> </w:t>
      </w:r>
      <w:r w:rsidRPr="003E00F4">
        <w:t>increased</w:t>
      </w:r>
      <w:r>
        <w:t xml:space="preserve"> </w:t>
      </w:r>
      <w:r w:rsidRPr="003E00F4">
        <w:t>over</w:t>
      </w:r>
      <w:r>
        <w:t xml:space="preserve"> </w:t>
      </w:r>
      <w:r w:rsidRPr="003E00F4">
        <w:t>time</w:t>
      </w:r>
      <w:r>
        <w:t xml:space="preserve"> </w:t>
      </w:r>
      <w:r w:rsidRPr="003E00F4">
        <w:t>and</w:t>
      </w:r>
      <w:r>
        <w:t xml:space="preserve"> </w:t>
      </w:r>
      <w:r w:rsidRPr="003E00F4">
        <w:t>outstrips</w:t>
      </w:r>
      <w:r>
        <w:t xml:space="preserve"> </w:t>
      </w:r>
      <w:r w:rsidRPr="003E00F4">
        <w:t>the</w:t>
      </w:r>
      <w:r>
        <w:t xml:space="preserve"> </w:t>
      </w:r>
      <w:r w:rsidRPr="003E00F4">
        <w:t>available</w:t>
      </w:r>
      <w:r>
        <w:t xml:space="preserve"> </w:t>
      </w:r>
      <w:r w:rsidRPr="003E00F4">
        <w:t>supply.</w:t>
      </w:r>
      <w:r>
        <w:t xml:space="preserve"> The </w:t>
      </w:r>
      <w:r w:rsidRPr="003E00F4">
        <w:t>factor</w:t>
      </w:r>
      <w:r>
        <w:t xml:space="preserve">s </w:t>
      </w:r>
      <w:r w:rsidRPr="003E00F4">
        <w:t>constraining</w:t>
      </w:r>
      <w:r>
        <w:t xml:space="preserve"> </w:t>
      </w:r>
      <w:r w:rsidRPr="003E00F4">
        <w:t>the</w:t>
      </w:r>
      <w:r>
        <w:t xml:space="preserve"> </w:t>
      </w:r>
      <w:r w:rsidRPr="003E00F4">
        <w:t>supply</w:t>
      </w:r>
      <w:r>
        <w:t xml:space="preserve"> </w:t>
      </w:r>
      <w:r w:rsidRPr="003E00F4">
        <w:t>of</w:t>
      </w:r>
      <w:r>
        <w:t xml:space="preserve"> prevention, </w:t>
      </w:r>
      <w:proofErr w:type="gramStart"/>
      <w:r w:rsidRPr="003E00F4">
        <w:t>support</w:t>
      </w:r>
      <w:proofErr w:type="gramEnd"/>
      <w:r>
        <w:t xml:space="preserve"> </w:t>
      </w:r>
      <w:r w:rsidRPr="003E00F4">
        <w:t>and</w:t>
      </w:r>
      <w:r>
        <w:t xml:space="preserve"> </w:t>
      </w:r>
      <w:r w:rsidRPr="003E00F4">
        <w:t>treatment</w:t>
      </w:r>
      <w:r>
        <w:t xml:space="preserve"> across the spectrum of intensity are diverse. There is a lack of an appropriately skilled workforce able to deliver mental health promotion activities and provide support and treatment when, where and how consumers and carers</w:t>
      </w:r>
      <w:r>
        <w:rPr>
          <w:rStyle w:val="FootnoteReference"/>
        </w:rPr>
        <w:footnoteReference w:id="1"/>
      </w:r>
      <w:r>
        <w:t xml:space="preserve"> prefer across the life course. Specifically:</w:t>
      </w:r>
    </w:p>
    <w:p w14:paraId="65B730C1" w14:textId="77777777" w:rsidR="009A7E6B" w:rsidRDefault="009A7E6B" w:rsidP="009A7E6B">
      <w:pPr>
        <w:pStyle w:val="ListBullet"/>
      </w:pPr>
      <w:r w:rsidRPr="00155712">
        <w:t>there</w:t>
      </w:r>
      <w:r>
        <w:t xml:space="preserve"> </w:t>
      </w:r>
      <w:r w:rsidRPr="00155712">
        <w:t>are</w:t>
      </w:r>
      <w:r>
        <w:t xml:space="preserve"> </w:t>
      </w:r>
      <w:r w:rsidRPr="00B4653D">
        <w:t>shortage</w:t>
      </w:r>
      <w:r w:rsidRPr="00155712">
        <w:t>s</w:t>
      </w:r>
      <w:r>
        <w:t xml:space="preserve"> </w:t>
      </w:r>
      <w:r w:rsidRPr="00B4653D">
        <w:t>of</w:t>
      </w:r>
      <w:r>
        <w:t xml:space="preserve"> </w:t>
      </w:r>
      <w:r w:rsidRPr="00B4653D">
        <w:t>workers</w:t>
      </w:r>
      <w:r>
        <w:t xml:space="preserve"> </w:t>
      </w:r>
      <w:r w:rsidRPr="00155712">
        <w:t>across</w:t>
      </w:r>
      <w:r>
        <w:t xml:space="preserve"> </w:t>
      </w:r>
      <w:r w:rsidRPr="00155712">
        <w:t>most</w:t>
      </w:r>
      <w:r>
        <w:t xml:space="preserve"> </w:t>
      </w:r>
      <w:r w:rsidRPr="00155712">
        <w:t>occupations</w:t>
      </w:r>
      <w:r>
        <w:t xml:space="preserve"> delivering mental health promotion activities and </w:t>
      </w:r>
      <w:r w:rsidRPr="00155712">
        <w:t>providing</w:t>
      </w:r>
      <w:r>
        <w:t xml:space="preserve"> </w:t>
      </w:r>
      <w:r w:rsidRPr="00155712">
        <w:t>support</w:t>
      </w:r>
      <w:r>
        <w:t xml:space="preserve"> </w:t>
      </w:r>
      <w:r w:rsidRPr="00155712">
        <w:t>and</w:t>
      </w:r>
      <w:r>
        <w:t xml:space="preserve"> </w:t>
      </w:r>
      <w:r w:rsidRPr="00155712">
        <w:t>treatment</w:t>
      </w:r>
      <w:r>
        <w:t xml:space="preserve"> </w:t>
      </w:r>
      <w:r w:rsidRPr="00155712">
        <w:t>to</w:t>
      </w:r>
      <w:r>
        <w:t xml:space="preserve"> </w:t>
      </w:r>
      <w:r w:rsidRPr="00155712">
        <w:t>people</w:t>
      </w:r>
      <w:r>
        <w:t xml:space="preserve"> </w:t>
      </w:r>
      <w:r w:rsidRPr="00155712">
        <w:t>experiencing</w:t>
      </w:r>
      <w:r>
        <w:t xml:space="preserve"> </w:t>
      </w:r>
      <w:r w:rsidRPr="00155712">
        <w:t>suicidality,</w:t>
      </w:r>
      <w:r>
        <w:t xml:space="preserve"> </w:t>
      </w:r>
      <w:r w:rsidRPr="00155712">
        <w:t>mental</w:t>
      </w:r>
      <w:r>
        <w:t xml:space="preserve"> </w:t>
      </w:r>
      <w:r w:rsidRPr="00155712">
        <w:t>distress</w:t>
      </w:r>
      <w:r>
        <w:t xml:space="preserve"> </w:t>
      </w:r>
      <w:r w:rsidRPr="00155712">
        <w:t>and/or</w:t>
      </w:r>
      <w:r>
        <w:t xml:space="preserve"> </w:t>
      </w:r>
      <w:r w:rsidRPr="00155712">
        <w:t>ill</w:t>
      </w:r>
      <w:r>
        <w:t>-</w:t>
      </w:r>
      <w:r w:rsidRPr="00155712">
        <w:t>health</w:t>
      </w:r>
    </w:p>
    <w:p w14:paraId="3FD65B58" w14:textId="77777777" w:rsidR="009A7E6B" w:rsidRDefault="009A7E6B" w:rsidP="009A7E6B">
      <w:pPr>
        <w:pStyle w:val="ListBullet"/>
      </w:pPr>
      <w:r>
        <w:t>the mental health workforce is maldistributed</w:t>
      </w:r>
    </w:p>
    <w:p w14:paraId="1D7B02C8" w14:textId="77777777" w:rsidR="009A7E6B" w:rsidRDefault="009A7E6B" w:rsidP="009A7E6B">
      <w:pPr>
        <w:pStyle w:val="ListBullet2"/>
      </w:pPr>
      <w:r>
        <w:t xml:space="preserve">geographically, with shortages in metropolitan regions and more acute shortages in </w:t>
      </w:r>
      <w:r w:rsidRPr="003E00F4">
        <w:t>regional</w:t>
      </w:r>
      <w:r>
        <w:t xml:space="preserve"> </w:t>
      </w:r>
      <w:r w:rsidRPr="003E00F4">
        <w:t>and</w:t>
      </w:r>
      <w:r>
        <w:t xml:space="preserve"> </w:t>
      </w:r>
      <w:r w:rsidRPr="003E00F4">
        <w:t>remote</w:t>
      </w:r>
      <w:r>
        <w:t xml:space="preserve"> </w:t>
      </w:r>
      <w:r w:rsidRPr="003E00F4">
        <w:t>locations</w:t>
      </w:r>
    </w:p>
    <w:p w14:paraId="132674E5" w14:textId="77777777" w:rsidR="009A7E6B" w:rsidRDefault="009A7E6B" w:rsidP="009A7E6B">
      <w:pPr>
        <w:pStyle w:val="ListBullet2"/>
      </w:pPr>
      <w:r>
        <w:t>between the public, private and not-for-profit sectors</w:t>
      </w:r>
    </w:p>
    <w:p w14:paraId="455F3E8C" w14:textId="77777777" w:rsidR="009A7E6B" w:rsidRDefault="009A7E6B" w:rsidP="009A7E6B">
      <w:pPr>
        <w:pStyle w:val="ListBullet2"/>
      </w:pPr>
      <w:r>
        <w:t xml:space="preserve">between service settings, which refers to where services are delivered (such as in emergency departments, hospitals and in the community) and service settings that support specific consumer and carer cohorts either at particular stages in their life-course, people with community and cultural needs, people with disability </w:t>
      </w:r>
      <w:proofErr w:type="gramStart"/>
      <w:r>
        <w:t>and  LGBTIQ</w:t>
      </w:r>
      <w:proofErr w:type="gramEnd"/>
      <w:r>
        <w:t>+ communities</w:t>
      </w:r>
    </w:p>
    <w:p w14:paraId="71EF5407" w14:textId="77777777" w:rsidR="009A7E6B" w:rsidRDefault="009A7E6B" w:rsidP="009A7E6B">
      <w:pPr>
        <w:pStyle w:val="ListBullet2"/>
      </w:pPr>
      <w:r>
        <w:t>meet the needs of people experiencing specific circumstances such as during the perinatal period or co-occurring alcohol and other drug use and use disorders</w:t>
      </w:r>
    </w:p>
    <w:p w14:paraId="05778237" w14:textId="77777777" w:rsidR="009A7E6B" w:rsidRDefault="009A7E6B" w:rsidP="009A7E6B">
      <w:pPr>
        <w:pStyle w:val="ListBullet2"/>
      </w:pPr>
      <w:r>
        <w:t>w</w:t>
      </w:r>
      <w:r w:rsidRPr="003E00F4">
        <w:t>ithin</w:t>
      </w:r>
      <w:r>
        <w:t xml:space="preserve"> </w:t>
      </w:r>
      <w:r w:rsidRPr="003E00F4">
        <w:t>occupations,</w:t>
      </w:r>
      <w:r>
        <w:t xml:space="preserve"> with </w:t>
      </w:r>
      <w:r w:rsidRPr="003E00F4">
        <w:t>some</w:t>
      </w:r>
      <w:r>
        <w:t xml:space="preserve"> </w:t>
      </w:r>
      <w:r w:rsidRPr="003E00F4">
        <w:t>areas</w:t>
      </w:r>
      <w:r>
        <w:t xml:space="preserve"> </w:t>
      </w:r>
      <w:r w:rsidRPr="003E00F4">
        <w:t>of</w:t>
      </w:r>
      <w:r>
        <w:t xml:space="preserve"> </w:t>
      </w:r>
      <w:r w:rsidRPr="003E00F4">
        <w:t>specialisation</w:t>
      </w:r>
      <w:r>
        <w:t xml:space="preserve"> </w:t>
      </w:r>
      <w:r w:rsidRPr="003E00F4">
        <w:t>experiencing</w:t>
      </w:r>
      <w:r>
        <w:t xml:space="preserve"> </w:t>
      </w:r>
      <w:r w:rsidRPr="003E00F4">
        <w:t>more</w:t>
      </w:r>
      <w:r>
        <w:t xml:space="preserve"> </w:t>
      </w:r>
      <w:r w:rsidRPr="003E00F4">
        <w:t>significant</w:t>
      </w:r>
      <w:r>
        <w:t xml:space="preserve"> </w:t>
      </w:r>
      <w:r w:rsidRPr="003E00F4">
        <w:t>shortages</w:t>
      </w:r>
      <w:r>
        <w:t xml:space="preserve"> </w:t>
      </w:r>
      <w:r w:rsidRPr="003E00F4">
        <w:t>than</w:t>
      </w:r>
      <w:r>
        <w:t xml:space="preserve"> </w:t>
      </w:r>
      <w:r w:rsidRPr="003E00F4">
        <w:t>others</w:t>
      </w:r>
    </w:p>
    <w:p w14:paraId="54CB1A39" w14:textId="77777777" w:rsidR="009A7E6B" w:rsidRDefault="009A7E6B" w:rsidP="009A7E6B">
      <w:pPr>
        <w:pStyle w:val="ListBullet"/>
      </w:pPr>
      <w:r>
        <w:t>t</w:t>
      </w:r>
      <w:r w:rsidRPr="00155712">
        <w:t>he</w:t>
      </w:r>
      <w:r>
        <w:t xml:space="preserve"> current </w:t>
      </w:r>
      <w:r w:rsidRPr="00155712">
        <w:t>mental</w:t>
      </w:r>
      <w:r>
        <w:t xml:space="preserve"> </w:t>
      </w:r>
      <w:r w:rsidRPr="00155712">
        <w:t>health</w:t>
      </w:r>
      <w:r>
        <w:t xml:space="preserve"> </w:t>
      </w:r>
      <w:r w:rsidRPr="00155712">
        <w:t>workforce</w:t>
      </w:r>
      <w:r>
        <w:t xml:space="preserve"> is not always appropriately skilled and not all workers have been trained in or updated their practice to:</w:t>
      </w:r>
    </w:p>
    <w:p w14:paraId="0EB9D6ED" w14:textId="77777777" w:rsidR="009A7E6B" w:rsidRDefault="009A7E6B" w:rsidP="009A7E6B">
      <w:pPr>
        <w:pStyle w:val="ListBullet2"/>
      </w:pPr>
      <w:r w:rsidRPr="003E00F4">
        <w:t>reflect</w:t>
      </w:r>
      <w:r>
        <w:t xml:space="preserve"> </w:t>
      </w:r>
      <w:r w:rsidRPr="003E00F4">
        <w:t>contemporary</w:t>
      </w:r>
      <w:r>
        <w:t xml:space="preserve"> </w:t>
      </w:r>
      <w:r w:rsidRPr="003E00F4">
        <w:t>approaches</w:t>
      </w:r>
      <w:r>
        <w:t xml:space="preserve"> that </w:t>
      </w:r>
      <w:r w:rsidRPr="003E00F4">
        <w:t>support</w:t>
      </w:r>
      <w:r>
        <w:t xml:space="preserve"> </w:t>
      </w:r>
      <w:r w:rsidRPr="003E00F4">
        <w:t>trauma</w:t>
      </w:r>
      <w:r>
        <w:t xml:space="preserve"> </w:t>
      </w:r>
      <w:r w:rsidRPr="003E00F4">
        <w:t>informed,</w:t>
      </w:r>
      <w:r>
        <w:t xml:space="preserve"> </w:t>
      </w:r>
      <w:r w:rsidRPr="003E00F4">
        <w:t>sustainable</w:t>
      </w:r>
      <w:r>
        <w:t xml:space="preserve">, </w:t>
      </w:r>
      <w:r w:rsidRPr="003E00F4">
        <w:t>recovery</w:t>
      </w:r>
      <w:r>
        <w:t xml:space="preserve"> </w:t>
      </w:r>
      <w:r w:rsidRPr="003E00F4">
        <w:t>oriented,</w:t>
      </w:r>
      <w:r>
        <w:t xml:space="preserve"> and </w:t>
      </w:r>
      <w:r w:rsidRPr="003E00F4">
        <w:t>integrated</w:t>
      </w:r>
      <w:r>
        <w:t xml:space="preserve"> </w:t>
      </w:r>
      <w:r w:rsidRPr="003E00F4">
        <w:t>support</w:t>
      </w:r>
      <w:r>
        <w:t xml:space="preserve"> </w:t>
      </w:r>
      <w:r w:rsidRPr="003E00F4">
        <w:t>and</w:t>
      </w:r>
      <w:r>
        <w:t xml:space="preserve"> </w:t>
      </w:r>
      <w:r w:rsidRPr="003E00F4">
        <w:t>treatment</w:t>
      </w:r>
    </w:p>
    <w:p w14:paraId="0A76E9E3" w14:textId="77777777" w:rsidR="009A7E6B" w:rsidRDefault="009A7E6B" w:rsidP="009A7E6B">
      <w:pPr>
        <w:pStyle w:val="ListBullet2"/>
      </w:pPr>
      <w:r>
        <w:t xml:space="preserve">respond to peoples’ needs across the life course, people with community and cultural needs (including Aboriginal and Torres Strait Islander people, culturally and linguistically diverse people), people with disability, </w:t>
      </w:r>
      <w:r w:rsidRPr="00BC36DD">
        <w:t>LGBTIQ</w:t>
      </w:r>
      <w:r>
        <w:t>+</w:t>
      </w:r>
      <w:r w:rsidRPr="00BC36DD">
        <w:t xml:space="preserve"> </w:t>
      </w:r>
      <w:r>
        <w:t>communities</w:t>
      </w:r>
    </w:p>
    <w:p w14:paraId="0EF76E41" w14:textId="77777777" w:rsidR="009A7E6B" w:rsidRDefault="009A7E6B" w:rsidP="009A7E6B">
      <w:pPr>
        <w:pStyle w:val="ListBullet2"/>
      </w:pPr>
      <w:r>
        <w:t>meet the needs of people experiencing</w:t>
      </w:r>
      <w:r w:rsidRPr="00EC006B">
        <w:t xml:space="preserve"> specific circumstances such as during the perinatal period or issues with alcohol and other drugs</w:t>
      </w:r>
    </w:p>
    <w:p w14:paraId="454D5D59" w14:textId="77777777" w:rsidR="009A7E6B" w:rsidRPr="003E00F4" w:rsidRDefault="009A7E6B" w:rsidP="009A7E6B">
      <w:pPr>
        <w:pStyle w:val="ListBullet"/>
      </w:pPr>
      <w:r>
        <w:lastRenderedPageBreak/>
        <w:t xml:space="preserve">not all occupations are operating to </w:t>
      </w:r>
      <w:r w:rsidRPr="003E00F4">
        <w:t>the</w:t>
      </w:r>
      <w:r>
        <w:t xml:space="preserve">ir </w:t>
      </w:r>
      <w:r w:rsidRPr="003E00F4">
        <w:t>full</w:t>
      </w:r>
      <w:r>
        <w:t xml:space="preserve"> </w:t>
      </w:r>
      <w:r w:rsidRPr="003E00F4">
        <w:t>scope</w:t>
      </w:r>
      <w:r>
        <w:t xml:space="preserve"> </w:t>
      </w:r>
      <w:r w:rsidRPr="003E00F4">
        <w:t>of</w:t>
      </w:r>
      <w:r>
        <w:t xml:space="preserve"> </w:t>
      </w:r>
      <w:r w:rsidRPr="003E00F4">
        <w:t>practice</w:t>
      </w:r>
      <w:r>
        <w:t xml:space="preserve">, reducing the opportunities afforded to </w:t>
      </w:r>
      <w:r w:rsidRPr="003E00F4">
        <w:t>the</w:t>
      </w:r>
      <w:r>
        <w:t xml:space="preserve"> </w:t>
      </w:r>
      <w:r w:rsidRPr="003E00F4">
        <w:t>available</w:t>
      </w:r>
      <w:r>
        <w:t xml:space="preserve"> </w:t>
      </w:r>
      <w:r w:rsidRPr="003E00F4">
        <w:t>workforce,</w:t>
      </w:r>
      <w:r>
        <w:t xml:space="preserve"> </w:t>
      </w:r>
      <w:r w:rsidRPr="003E00F4">
        <w:t>including</w:t>
      </w:r>
      <w:r>
        <w:t xml:space="preserve"> </w:t>
      </w:r>
      <w:r w:rsidRPr="003E00F4">
        <w:t>emerging</w:t>
      </w:r>
      <w:r>
        <w:t xml:space="preserve"> </w:t>
      </w:r>
      <w:r w:rsidRPr="003E00F4">
        <w:t>occupations</w:t>
      </w:r>
      <w:r>
        <w:t xml:space="preserve">. </w:t>
      </w:r>
    </w:p>
    <w:p w14:paraId="4402FFD7" w14:textId="77777777" w:rsidR="009A7E6B" w:rsidRDefault="009A7E6B" w:rsidP="009A7E6B">
      <w:pPr>
        <w:pStyle w:val="BodyText"/>
      </w:pPr>
      <w:r w:rsidRPr="003E00F4">
        <w:t>Th</w:t>
      </w:r>
      <w:r>
        <w:t xml:space="preserve">ese factors </w:t>
      </w:r>
      <w:r w:rsidRPr="003E00F4">
        <w:t>impact</w:t>
      </w:r>
      <w:r>
        <w:t xml:space="preserve"> </w:t>
      </w:r>
      <w:r w:rsidRPr="003E00F4">
        <w:t>on</w:t>
      </w:r>
      <w:r>
        <w:t xml:space="preserve"> the </w:t>
      </w:r>
      <w:r w:rsidRPr="003E00F4">
        <w:t>access</w:t>
      </w:r>
      <w:r>
        <w:t xml:space="preserve"> </w:t>
      </w:r>
      <w:r w:rsidRPr="003E00F4">
        <w:t>to</w:t>
      </w:r>
      <w:r>
        <w:t xml:space="preserve"> </w:t>
      </w:r>
      <w:r w:rsidRPr="003E00F4">
        <w:t>and</w:t>
      </w:r>
      <w:r>
        <w:t xml:space="preserve"> </w:t>
      </w:r>
      <w:r w:rsidRPr="003E00F4">
        <w:t>quality</w:t>
      </w:r>
      <w:r>
        <w:t xml:space="preserve"> </w:t>
      </w:r>
      <w:r w:rsidRPr="003E00F4">
        <w:t>of</w:t>
      </w:r>
      <w:r>
        <w:t xml:space="preserve"> suicide prevention and mental health promotion, </w:t>
      </w:r>
      <w:proofErr w:type="gramStart"/>
      <w:r>
        <w:t>support</w:t>
      </w:r>
      <w:proofErr w:type="gramEnd"/>
      <w:r>
        <w:t xml:space="preserve"> </w:t>
      </w:r>
      <w:r w:rsidRPr="003E00F4">
        <w:t>and</w:t>
      </w:r>
      <w:r>
        <w:t xml:space="preserve"> </w:t>
      </w:r>
      <w:r w:rsidRPr="003E00F4">
        <w:t>treatment</w:t>
      </w:r>
      <w:r>
        <w:t xml:space="preserve"> </w:t>
      </w:r>
      <w:r w:rsidRPr="003E00F4">
        <w:t>available</w:t>
      </w:r>
      <w:r>
        <w:t xml:space="preserve"> </w:t>
      </w:r>
      <w:r w:rsidRPr="003E00F4">
        <w:t>to</w:t>
      </w:r>
      <w:r>
        <w:t xml:space="preserve"> </w:t>
      </w:r>
      <w:r w:rsidRPr="003E00F4">
        <w:t>consumers,</w:t>
      </w:r>
      <w:r>
        <w:t xml:space="preserve"> </w:t>
      </w:r>
      <w:r w:rsidRPr="003E00F4">
        <w:t>carers</w:t>
      </w:r>
      <w:r>
        <w:t xml:space="preserve"> </w:t>
      </w:r>
      <w:r w:rsidRPr="003E00F4">
        <w:t>and</w:t>
      </w:r>
      <w:r>
        <w:t xml:space="preserve"> </w:t>
      </w:r>
      <w:r w:rsidRPr="003E00F4">
        <w:t>their</w:t>
      </w:r>
      <w:r>
        <w:t xml:space="preserve"> </w:t>
      </w:r>
      <w:r w:rsidRPr="003E00F4">
        <w:t>families.</w:t>
      </w:r>
      <w:r>
        <w:t xml:space="preserve"> </w:t>
      </w:r>
    </w:p>
    <w:p w14:paraId="086E7CB2" w14:textId="77777777" w:rsidR="009A7E6B" w:rsidRDefault="009A7E6B" w:rsidP="009C70A7">
      <w:pPr>
        <w:pStyle w:val="Heading2ES"/>
        <w:rPr>
          <w:lang w:val="en-US"/>
        </w:rPr>
      </w:pPr>
      <w:r>
        <w:rPr>
          <w:lang w:val="en-US"/>
        </w:rPr>
        <w:t>Background</w:t>
      </w:r>
    </w:p>
    <w:p w14:paraId="11B25B82" w14:textId="77777777" w:rsidR="009A7E6B" w:rsidRPr="005D7B47" w:rsidRDefault="009A7E6B" w:rsidP="005D7B47">
      <w:pPr>
        <w:pStyle w:val="BodyText"/>
        <w:rPr>
          <w:lang w:val="en-US"/>
        </w:rPr>
      </w:pPr>
      <w:r>
        <w:t xml:space="preserve">The </w:t>
      </w:r>
      <w:r w:rsidRPr="005D7B47">
        <w:t>National Mental Health Workforce Strategy</w:t>
      </w:r>
      <w:r>
        <w:rPr>
          <w:i/>
          <w:iCs/>
        </w:rPr>
        <w:t xml:space="preserve"> </w:t>
      </w:r>
      <w:r>
        <w:t xml:space="preserve">(the Strategy) is a </w:t>
      </w:r>
      <w:proofErr w:type="gramStart"/>
      <w:r>
        <w:t>ten year</w:t>
      </w:r>
      <w:proofErr w:type="gramEnd"/>
      <w:r>
        <w:t xml:space="preserve"> plan to grow, strengthen and support an appropriately skilled, culturally safe, flexible and innovative mental health workforce, working within </w:t>
      </w:r>
      <w:r>
        <w:rPr>
          <w:lang w:val="en-US"/>
        </w:rPr>
        <w:t>a sustainable recovery-oriented, integrated mental health system</w:t>
      </w:r>
      <w:r>
        <w:t xml:space="preserve">. </w:t>
      </w:r>
      <w:r w:rsidRPr="00306D05">
        <w:rPr>
          <w:lang w:val="en-US"/>
        </w:rPr>
        <w:t>The</w:t>
      </w:r>
      <w:r>
        <w:rPr>
          <w:lang w:val="en-US"/>
        </w:rPr>
        <w:t xml:space="preserve"> </w:t>
      </w:r>
      <w:r w:rsidRPr="00306D05">
        <w:rPr>
          <w:lang w:val="en-US"/>
        </w:rPr>
        <w:t>Strategy</w:t>
      </w:r>
      <w:r>
        <w:rPr>
          <w:lang w:val="en-US"/>
        </w:rPr>
        <w:t xml:space="preserve"> </w:t>
      </w:r>
      <w:r w:rsidRPr="00306D05">
        <w:rPr>
          <w:lang w:val="en-US"/>
        </w:rPr>
        <w:t>consider</w:t>
      </w:r>
      <w:r>
        <w:rPr>
          <w:lang w:val="en-US"/>
        </w:rPr>
        <w:t xml:space="preserve">s </w:t>
      </w:r>
      <w:r w:rsidRPr="00306D05">
        <w:rPr>
          <w:lang w:val="en-US"/>
        </w:rPr>
        <w:t>the</w:t>
      </w:r>
      <w:r>
        <w:rPr>
          <w:lang w:val="en-US"/>
        </w:rPr>
        <w:t xml:space="preserve"> skills</w:t>
      </w:r>
      <w:r w:rsidRPr="00306D05">
        <w:rPr>
          <w:lang w:val="en-US"/>
        </w:rPr>
        <w:t>,</w:t>
      </w:r>
      <w:r>
        <w:rPr>
          <w:lang w:val="en-US"/>
        </w:rPr>
        <w:t xml:space="preserve"> </w:t>
      </w:r>
      <w:r w:rsidRPr="00306D05">
        <w:rPr>
          <w:lang w:val="en-US"/>
        </w:rPr>
        <w:t>supply,</w:t>
      </w:r>
      <w:r>
        <w:rPr>
          <w:lang w:val="en-US"/>
        </w:rPr>
        <w:t xml:space="preserve"> </w:t>
      </w:r>
      <w:proofErr w:type="gramStart"/>
      <w:r w:rsidRPr="00306D05">
        <w:rPr>
          <w:lang w:val="en-US"/>
        </w:rPr>
        <w:t>distribution</w:t>
      </w:r>
      <w:proofErr w:type="gramEnd"/>
      <w:r>
        <w:rPr>
          <w:lang w:val="en-US"/>
        </w:rPr>
        <w:t xml:space="preserve"> </w:t>
      </w:r>
      <w:r w:rsidRPr="00306D05">
        <w:rPr>
          <w:lang w:val="en-US"/>
        </w:rPr>
        <w:t>and</w:t>
      </w:r>
      <w:r>
        <w:rPr>
          <w:lang w:val="en-US"/>
        </w:rPr>
        <w:t xml:space="preserve"> </w:t>
      </w:r>
      <w:r w:rsidRPr="00306D05">
        <w:rPr>
          <w:lang w:val="en-US"/>
        </w:rPr>
        <w:t>structure</w:t>
      </w:r>
      <w:r>
        <w:rPr>
          <w:lang w:val="en-US"/>
        </w:rPr>
        <w:t xml:space="preserve"> </w:t>
      </w:r>
      <w:r w:rsidRPr="00306D05">
        <w:rPr>
          <w:lang w:val="en-US"/>
        </w:rPr>
        <w:t>of</w:t>
      </w:r>
      <w:r>
        <w:rPr>
          <w:lang w:val="en-US"/>
        </w:rPr>
        <w:t xml:space="preserve"> a broadly defined </w:t>
      </w:r>
      <w:r w:rsidRPr="00306D05">
        <w:rPr>
          <w:lang w:val="en-US"/>
        </w:rPr>
        <w:t>mental</w:t>
      </w:r>
      <w:r>
        <w:rPr>
          <w:lang w:val="en-US"/>
        </w:rPr>
        <w:t xml:space="preserve"> </w:t>
      </w:r>
      <w:r w:rsidRPr="00306D05">
        <w:rPr>
          <w:lang w:val="en-US"/>
        </w:rPr>
        <w:t>health</w:t>
      </w:r>
      <w:r>
        <w:rPr>
          <w:lang w:val="en-US"/>
        </w:rPr>
        <w:t xml:space="preserve"> </w:t>
      </w:r>
      <w:r w:rsidRPr="00306D05">
        <w:rPr>
          <w:lang w:val="en-US"/>
        </w:rPr>
        <w:t>workforce</w:t>
      </w:r>
      <w:r>
        <w:rPr>
          <w:lang w:val="en-US"/>
        </w:rPr>
        <w:t xml:space="preserve">, building on the previous </w:t>
      </w:r>
      <w:r w:rsidRPr="005D7B47">
        <w:rPr>
          <w:lang w:val="en-US"/>
        </w:rPr>
        <w:t>National Mental Health Workforce Strategy (2011).</w:t>
      </w:r>
    </w:p>
    <w:p w14:paraId="026D4F77" w14:textId="77777777" w:rsidR="009A7E6B" w:rsidRPr="00BB4FCF" w:rsidRDefault="009A7E6B" w:rsidP="009C70A7">
      <w:pPr>
        <w:pStyle w:val="Heading3ES"/>
        <w:rPr>
          <w:lang w:val="en-US"/>
        </w:rPr>
      </w:pPr>
      <w:r w:rsidRPr="00BB4FCF">
        <w:rPr>
          <w:lang w:val="en-US"/>
        </w:rPr>
        <w:t>Generational reform</w:t>
      </w:r>
    </w:p>
    <w:p w14:paraId="368E356A" w14:textId="77777777" w:rsidR="009A7E6B" w:rsidRDefault="009A7E6B" w:rsidP="009A7E6B">
      <w:pPr>
        <w:pStyle w:val="BodyText"/>
        <w:rPr>
          <w:lang w:val="en-US"/>
        </w:rPr>
      </w:pPr>
      <w:r>
        <w:rPr>
          <w:lang w:val="en-US"/>
        </w:rPr>
        <w:t xml:space="preserve">Commonwealth, </w:t>
      </w:r>
      <w:proofErr w:type="gramStart"/>
      <w:r>
        <w:rPr>
          <w:lang w:val="en-US"/>
        </w:rPr>
        <w:t>state</w:t>
      </w:r>
      <w:proofErr w:type="gramEnd"/>
      <w:r>
        <w:rPr>
          <w:lang w:val="en-US"/>
        </w:rPr>
        <w:t xml:space="preserve"> and territory governments </w:t>
      </w:r>
      <w:proofErr w:type="spellStart"/>
      <w:r>
        <w:rPr>
          <w:lang w:val="en-US"/>
        </w:rPr>
        <w:t>recognise</w:t>
      </w:r>
      <w:proofErr w:type="spellEnd"/>
      <w:r>
        <w:rPr>
          <w:lang w:val="en-US"/>
        </w:rPr>
        <w:t xml:space="preserve"> the need for generational reform of Australia’s mental health system to support improved social and emotional wellbeing and </w:t>
      </w:r>
      <w:r w:rsidRPr="006C4490" w:rsidDel="002A3298">
        <w:rPr>
          <w:lang w:val="en-US"/>
        </w:rPr>
        <w:t>mental</w:t>
      </w:r>
      <w:r>
        <w:rPr>
          <w:lang w:val="en-US"/>
        </w:rPr>
        <w:t xml:space="preserve"> </w:t>
      </w:r>
      <w:r w:rsidRPr="006C4490" w:rsidDel="002A3298">
        <w:rPr>
          <w:lang w:val="en-US"/>
        </w:rPr>
        <w:t>health</w:t>
      </w:r>
      <w:r>
        <w:rPr>
          <w:lang w:val="en-US"/>
        </w:rPr>
        <w:t xml:space="preserve"> outcomes across the community</w:t>
      </w:r>
      <w:r w:rsidRPr="006C4490" w:rsidDel="002A3298">
        <w:rPr>
          <w:lang w:val="en-US"/>
        </w:rPr>
        <w:t>.</w:t>
      </w:r>
      <w:r>
        <w:rPr>
          <w:lang w:val="en-US"/>
        </w:rPr>
        <w:t xml:space="preserve"> N</w:t>
      </w:r>
      <w:r w:rsidRPr="006C4490" w:rsidDel="002A3298">
        <w:rPr>
          <w:lang w:val="en-US"/>
        </w:rPr>
        <w:t>ew</w:t>
      </w:r>
      <w:r>
        <w:rPr>
          <w:lang w:val="en-US"/>
        </w:rPr>
        <w:t xml:space="preserve"> </w:t>
      </w:r>
      <w:r w:rsidRPr="006C4490" w:rsidDel="002A3298">
        <w:rPr>
          <w:lang w:val="en-US"/>
        </w:rPr>
        <w:t>thinking</w:t>
      </w:r>
      <w:r>
        <w:rPr>
          <w:lang w:val="en-US"/>
        </w:rPr>
        <w:t xml:space="preserve"> </w:t>
      </w:r>
      <w:r w:rsidRPr="006C4490" w:rsidDel="002A3298">
        <w:rPr>
          <w:lang w:val="en-US"/>
        </w:rPr>
        <w:t>and</w:t>
      </w:r>
      <w:r>
        <w:rPr>
          <w:lang w:val="en-US"/>
        </w:rPr>
        <w:t xml:space="preserve"> </w:t>
      </w:r>
      <w:r w:rsidRPr="006C4490" w:rsidDel="002A3298">
        <w:rPr>
          <w:lang w:val="en-US"/>
        </w:rPr>
        <w:t>innovation</w:t>
      </w:r>
      <w:r>
        <w:rPr>
          <w:lang w:val="en-US"/>
        </w:rPr>
        <w:t xml:space="preserve"> are needed </w:t>
      </w:r>
      <w:r w:rsidRPr="006C4490" w:rsidDel="002A3298">
        <w:rPr>
          <w:lang w:val="en-US"/>
        </w:rPr>
        <w:t>to</w:t>
      </w:r>
      <w:r>
        <w:rPr>
          <w:lang w:val="en-US"/>
        </w:rPr>
        <w:t xml:space="preserve"> </w:t>
      </w:r>
      <w:r>
        <w:t xml:space="preserve">better </w:t>
      </w:r>
      <w:r w:rsidRPr="002410C1">
        <w:rPr>
          <w:lang w:val="en-US"/>
        </w:rPr>
        <w:t>promot</w:t>
      </w:r>
      <w:r>
        <w:rPr>
          <w:lang w:val="en-US"/>
        </w:rPr>
        <w:t xml:space="preserve">e mental wellbeing and </w:t>
      </w:r>
      <w:r w:rsidRPr="006C4490" w:rsidDel="002A3298">
        <w:rPr>
          <w:lang w:val="en-US"/>
        </w:rPr>
        <w:t>respond</w:t>
      </w:r>
      <w:r>
        <w:rPr>
          <w:lang w:val="en-US"/>
        </w:rPr>
        <w:t xml:space="preserve"> </w:t>
      </w:r>
      <w:r w:rsidRPr="006C4490" w:rsidDel="002A3298">
        <w:rPr>
          <w:lang w:val="en-US"/>
        </w:rPr>
        <w:t>to</w:t>
      </w:r>
      <w:r>
        <w:rPr>
          <w:lang w:val="en-US"/>
        </w:rPr>
        <w:t xml:space="preserve"> </w:t>
      </w:r>
      <w:r w:rsidRPr="006C4490" w:rsidDel="002A3298">
        <w:rPr>
          <w:lang w:val="en-US"/>
        </w:rPr>
        <w:t>the</w:t>
      </w:r>
      <w:r>
        <w:rPr>
          <w:lang w:val="en-US"/>
        </w:rPr>
        <w:t xml:space="preserve"> prevention, intervention and recovery </w:t>
      </w:r>
      <w:r w:rsidRPr="006C4490" w:rsidDel="002A3298">
        <w:rPr>
          <w:lang w:val="en-US"/>
        </w:rPr>
        <w:t>needs</w:t>
      </w:r>
      <w:r>
        <w:rPr>
          <w:lang w:val="en-US"/>
        </w:rPr>
        <w:t xml:space="preserve"> </w:t>
      </w:r>
      <w:r w:rsidRPr="006C4490" w:rsidDel="002A3298">
        <w:rPr>
          <w:lang w:val="en-US"/>
        </w:rPr>
        <w:t>of</w:t>
      </w:r>
      <w:r>
        <w:rPr>
          <w:lang w:val="en-US"/>
        </w:rPr>
        <w:t xml:space="preserve"> </w:t>
      </w:r>
      <w:r w:rsidRPr="006C4490" w:rsidDel="002A3298">
        <w:rPr>
          <w:lang w:val="en-US"/>
        </w:rPr>
        <w:t>people</w:t>
      </w:r>
      <w:r>
        <w:rPr>
          <w:lang w:val="en-US"/>
        </w:rPr>
        <w:t xml:space="preserve"> </w:t>
      </w:r>
      <w:r w:rsidRPr="006C4490" w:rsidDel="002A3298">
        <w:rPr>
          <w:lang w:val="en-US"/>
        </w:rPr>
        <w:t>experiencing</w:t>
      </w:r>
      <w:r>
        <w:rPr>
          <w:lang w:val="en-US"/>
        </w:rPr>
        <w:t xml:space="preserve"> suicidality, </w:t>
      </w:r>
      <w:r w:rsidRPr="006C4490" w:rsidDel="002A3298">
        <w:rPr>
          <w:lang w:val="en-US"/>
        </w:rPr>
        <w:t>mental</w:t>
      </w:r>
      <w:r>
        <w:rPr>
          <w:lang w:val="en-US"/>
        </w:rPr>
        <w:t xml:space="preserve"> </w:t>
      </w:r>
      <w:r w:rsidRPr="006C4490" w:rsidDel="002A3298">
        <w:rPr>
          <w:lang w:val="en-US"/>
        </w:rPr>
        <w:t>distress</w:t>
      </w:r>
      <w:r>
        <w:rPr>
          <w:lang w:val="en-US"/>
        </w:rPr>
        <w:t xml:space="preserve"> </w:t>
      </w:r>
      <w:r w:rsidRPr="006C4490" w:rsidDel="002A3298">
        <w:rPr>
          <w:lang w:val="en-US"/>
        </w:rPr>
        <w:t>and/or</w:t>
      </w:r>
      <w:r>
        <w:rPr>
          <w:lang w:val="en-US"/>
        </w:rPr>
        <w:t xml:space="preserve"> </w:t>
      </w:r>
      <w:r w:rsidRPr="006C4490" w:rsidDel="002A3298">
        <w:rPr>
          <w:lang w:val="en-US"/>
        </w:rPr>
        <w:t>ill-health</w:t>
      </w:r>
      <w:r>
        <w:rPr>
          <w:lang w:val="en-US"/>
        </w:rPr>
        <w:t xml:space="preserve">, their </w:t>
      </w:r>
      <w:proofErr w:type="spellStart"/>
      <w:proofErr w:type="gramStart"/>
      <w:r>
        <w:rPr>
          <w:lang w:val="en-US"/>
        </w:rPr>
        <w:t>carers</w:t>
      </w:r>
      <w:proofErr w:type="spellEnd"/>
      <w:proofErr w:type="gramEnd"/>
      <w:r>
        <w:rPr>
          <w:lang w:val="en-US"/>
        </w:rPr>
        <w:t xml:space="preserve"> and families.</w:t>
      </w:r>
    </w:p>
    <w:p w14:paraId="08A3EB4C" w14:textId="77777777" w:rsidR="009A7E6B" w:rsidRDefault="009A7E6B" w:rsidP="005D7B47">
      <w:pPr>
        <w:pStyle w:val="Heading3ES"/>
      </w:pPr>
      <w:r>
        <w:t>A person-centred system</w:t>
      </w:r>
    </w:p>
    <w:p w14:paraId="1386672D" w14:textId="77777777" w:rsidR="009A7E6B" w:rsidRDefault="009A7E6B" w:rsidP="009A7E6B">
      <w:pPr>
        <w:pStyle w:val="BodyText"/>
      </w:pPr>
      <w:r>
        <w:t>Reform of the mental health system aims to create a person-centred system that takes a holistic view of being mentally well and provides people with the right mix of</w:t>
      </w:r>
      <w:r w:rsidRPr="002145D3">
        <w:t xml:space="preserve"> </w:t>
      </w:r>
      <w:r>
        <w:t xml:space="preserve">mental health </w:t>
      </w:r>
      <w:r w:rsidRPr="00AA62C7">
        <w:t xml:space="preserve">promotion, prevention and early intervention initiatives </w:t>
      </w:r>
      <w:r>
        <w:t>and clinical and non-clinical services</w:t>
      </w:r>
      <w:r w:rsidRPr="00393599">
        <w:t xml:space="preserve"> </w:t>
      </w:r>
      <w:r>
        <w:t xml:space="preserve">to address mental and physical health needs. This involves redefinition of how we deliver support and treatment and who is best placed to provide it. It requires recognition of the criticality of the roles played by people who work in mental health settings, other </w:t>
      </w:r>
      <w:proofErr w:type="gramStart"/>
      <w:r>
        <w:t>health</w:t>
      </w:r>
      <w:proofErr w:type="gramEnd"/>
      <w:r>
        <w:t xml:space="preserve"> and social services settings, and in the broader community. </w:t>
      </w:r>
    </w:p>
    <w:p w14:paraId="2630F567" w14:textId="77777777" w:rsidR="009A7E6B" w:rsidRDefault="009A7E6B" w:rsidP="005D7B47">
      <w:pPr>
        <w:pStyle w:val="Heading3ES"/>
        <w:rPr>
          <w:lang w:val="en-US"/>
        </w:rPr>
      </w:pPr>
      <w:r>
        <w:rPr>
          <w:lang w:val="en-US"/>
        </w:rPr>
        <w:t xml:space="preserve">Working collaboratively with consumers, </w:t>
      </w:r>
      <w:proofErr w:type="gramStart"/>
      <w:r>
        <w:rPr>
          <w:lang w:val="en-US"/>
        </w:rPr>
        <w:t>families</w:t>
      </w:r>
      <w:proofErr w:type="gramEnd"/>
      <w:r>
        <w:rPr>
          <w:lang w:val="en-US"/>
        </w:rPr>
        <w:t xml:space="preserve"> and </w:t>
      </w:r>
      <w:proofErr w:type="spellStart"/>
      <w:r>
        <w:rPr>
          <w:lang w:val="en-US"/>
        </w:rPr>
        <w:t>carers</w:t>
      </w:r>
      <w:proofErr w:type="spellEnd"/>
    </w:p>
    <w:p w14:paraId="3F4331E8" w14:textId="77777777" w:rsidR="009A7E6B" w:rsidRDefault="009A7E6B" w:rsidP="009A7E6B">
      <w:pPr>
        <w:pStyle w:val="BodyText"/>
        <w:rPr>
          <w:lang w:val="en-US"/>
        </w:rPr>
      </w:pPr>
      <w:r>
        <w:rPr>
          <w:lang w:val="en-US"/>
        </w:rPr>
        <w:t xml:space="preserve">Successful implementation of the reform agenda will depend on the presence of a broadly defined, appropriately skilled workforce, working collaboratively with consumers, </w:t>
      </w:r>
      <w:proofErr w:type="gramStart"/>
      <w:r>
        <w:rPr>
          <w:lang w:val="en-US"/>
        </w:rPr>
        <w:t>families</w:t>
      </w:r>
      <w:proofErr w:type="gramEnd"/>
      <w:r>
        <w:rPr>
          <w:lang w:val="en-US"/>
        </w:rPr>
        <w:t xml:space="preserve"> and </w:t>
      </w:r>
      <w:proofErr w:type="spellStart"/>
      <w:r>
        <w:rPr>
          <w:lang w:val="en-US"/>
        </w:rPr>
        <w:t>carers</w:t>
      </w:r>
      <w:proofErr w:type="spellEnd"/>
      <w:r>
        <w:rPr>
          <w:lang w:val="en-US"/>
        </w:rPr>
        <w:t xml:space="preserve"> and with one another across occupations and </w:t>
      </w:r>
      <w:proofErr w:type="spellStart"/>
      <w:r>
        <w:rPr>
          <w:lang w:val="en-US"/>
        </w:rPr>
        <w:t>organisations</w:t>
      </w:r>
      <w:proofErr w:type="spellEnd"/>
      <w:r>
        <w:rPr>
          <w:lang w:val="en-US"/>
        </w:rPr>
        <w:t xml:space="preserve"> in multidisciplinary teams to deliver integrated support and treatment. This will build on the strengths of the existing workforce, which includes people and programs working to ensure better mental health promotion, support and treatment for consumers and </w:t>
      </w:r>
      <w:proofErr w:type="spellStart"/>
      <w:r>
        <w:rPr>
          <w:lang w:val="en-US"/>
        </w:rPr>
        <w:t>carers</w:t>
      </w:r>
      <w:proofErr w:type="spellEnd"/>
      <w:r>
        <w:rPr>
          <w:lang w:val="en-US"/>
        </w:rPr>
        <w:t xml:space="preserve">. </w:t>
      </w:r>
    </w:p>
    <w:p w14:paraId="0FDE61AF" w14:textId="77777777" w:rsidR="009A7E6B" w:rsidRDefault="009A7E6B" w:rsidP="005D7B47">
      <w:pPr>
        <w:pStyle w:val="Heading3ES"/>
        <w:rPr>
          <w:lang w:val="en-US"/>
        </w:rPr>
      </w:pPr>
      <w:r>
        <w:rPr>
          <w:lang w:val="en-US"/>
        </w:rPr>
        <w:lastRenderedPageBreak/>
        <w:t>Innovation</w:t>
      </w:r>
    </w:p>
    <w:p w14:paraId="6156263A" w14:textId="77777777" w:rsidR="009A7E6B" w:rsidRDefault="009A7E6B" w:rsidP="009A7E6B">
      <w:pPr>
        <w:pStyle w:val="BodyText"/>
        <w:rPr>
          <w:lang w:val="en-US"/>
        </w:rPr>
      </w:pPr>
      <w:r>
        <w:rPr>
          <w:lang w:val="en-US"/>
        </w:rPr>
        <w:t xml:space="preserve">The Strategy anticipates and encourages innovation and </w:t>
      </w:r>
      <w:r w:rsidRPr="006C4490">
        <w:rPr>
          <w:lang w:val="en-US"/>
        </w:rPr>
        <w:t>does</w:t>
      </w:r>
      <w:r>
        <w:rPr>
          <w:lang w:val="en-US"/>
        </w:rPr>
        <w:t xml:space="preserve"> </w:t>
      </w:r>
      <w:r w:rsidRPr="006C4490">
        <w:rPr>
          <w:lang w:val="en-US"/>
        </w:rPr>
        <w:t>not</w:t>
      </w:r>
      <w:r>
        <w:rPr>
          <w:lang w:val="en-US"/>
        </w:rPr>
        <w:t xml:space="preserve"> </w:t>
      </w:r>
      <w:r w:rsidRPr="006C4490">
        <w:rPr>
          <w:lang w:val="en-US"/>
        </w:rPr>
        <w:t>prescribe</w:t>
      </w:r>
      <w:r>
        <w:rPr>
          <w:lang w:val="en-US"/>
        </w:rPr>
        <w:t xml:space="preserve"> </w:t>
      </w:r>
      <w:r w:rsidRPr="006C4490">
        <w:rPr>
          <w:lang w:val="en-US"/>
        </w:rPr>
        <w:t>a</w:t>
      </w:r>
      <w:r>
        <w:rPr>
          <w:lang w:val="en-US"/>
        </w:rPr>
        <w:t xml:space="preserve"> </w:t>
      </w:r>
      <w:r w:rsidRPr="006C4490">
        <w:rPr>
          <w:lang w:val="en-US"/>
        </w:rPr>
        <w:t>model</w:t>
      </w:r>
      <w:r>
        <w:rPr>
          <w:lang w:val="en-US"/>
        </w:rPr>
        <w:t xml:space="preserve"> </w:t>
      </w:r>
      <w:r w:rsidRPr="006C4490">
        <w:rPr>
          <w:lang w:val="en-US"/>
        </w:rPr>
        <w:t>of</w:t>
      </w:r>
      <w:r>
        <w:rPr>
          <w:lang w:val="en-US"/>
        </w:rPr>
        <w:t xml:space="preserve"> </w:t>
      </w:r>
      <w:r w:rsidRPr="006C4490">
        <w:rPr>
          <w:lang w:val="en-US"/>
        </w:rPr>
        <w:t>care,</w:t>
      </w:r>
      <w:r>
        <w:rPr>
          <w:lang w:val="en-US"/>
        </w:rPr>
        <w:t xml:space="preserve"> </w:t>
      </w:r>
      <w:proofErr w:type="spellStart"/>
      <w:r w:rsidRPr="006C4490">
        <w:rPr>
          <w:lang w:val="en-US"/>
        </w:rPr>
        <w:t>recognis</w:t>
      </w:r>
      <w:r>
        <w:rPr>
          <w:lang w:val="en-US"/>
        </w:rPr>
        <w:t>ing</w:t>
      </w:r>
      <w:proofErr w:type="spellEnd"/>
      <w:r>
        <w:rPr>
          <w:lang w:val="en-US"/>
        </w:rPr>
        <w:t xml:space="preserve"> </w:t>
      </w:r>
      <w:r w:rsidRPr="006C4490">
        <w:rPr>
          <w:lang w:val="en-US"/>
        </w:rPr>
        <w:t>that</w:t>
      </w:r>
      <w:r>
        <w:rPr>
          <w:lang w:val="en-US"/>
        </w:rPr>
        <w:t xml:space="preserve"> </w:t>
      </w:r>
      <w:r w:rsidRPr="006C4490">
        <w:rPr>
          <w:lang w:val="en-US"/>
        </w:rPr>
        <w:t>different</w:t>
      </w:r>
      <w:r>
        <w:rPr>
          <w:lang w:val="en-US"/>
        </w:rPr>
        <w:t xml:space="preserve"> </w:t>
      </w:r>
      <w:r w:rsidRPr="006C4490">
        <w:rPr>
          <w:lang w:val="en-US"/>
        </w:rPr>
        <w:t>models</w:t>
      </w:r>
      <w:r>
        <w:rPr>
          <w:lang w:val="en-US"/>
        </w:rPr>
        <w:t xml:space="preserve"> </w:t>
      </w:r>
      <w:r w:rsidRPr="006C4490">
        <w:rPr>
          <w:lang w:val="en-US"/>
        </w:rPr>
        <w:t>of</w:t>
      </w:r>
      <w:r>
        <w:rPr>
          <w:lang w:val="en-US"/>
        </w:rPr>
        <w:t xml:space="preserve"> </w:t>
      </w:r>
      <w:r w:rsidRPr="006C4490">
        <w:rPr>
          <w:lang w:val="en-US"/>
        </w:rPr>
        <w:t>care</w:t>
      </w:r>
      <w:r>
        <w:rPr>
          <w:lang w:val="en-US"/>
        </w:rPr>
        <w:t xml:space="preserve"> </w:t>
      </w:r>
      <w:r w:rsidRPr="006C4490">
        <w:rPr>
          <w:lang w:val="en-US"/>
        </w:rPr>
        <w:t>are</w:t>
      </w:r>
      <w:r>
        <w:rPr>
          <w:lang w:val="en-US"/>
        </w:rPr>
        <w:t xml:space="preserve"> appropriate </w:t>
      </w:r>
      <w:r w:rsidRPr="006C4490">
        <w:rPr>
          <w:lang w:val="en-US"/>
        </w:rPr>
        <w:t>in</w:t>
      </w:r>
      <w:r>
        <w:rPr>
          <w:lang w:val="en-US"/>
        </w:rPr>
        <w:t xml:space="preserve"> </w:t>
      </w:r>
      <w:r w:rsidRPr="006C4490">
        <w:rPr>
          <w:lang w:val="en-US"/>
        </w:rPr>
        <w:t>different</w:t>
      </w:r>
      <w:r>
        <w:rPr>
          <w:lang w:val="en-US"/>
        </w:rPr>
        <w:t xml:space="preserve"> </w:t>
      </w:r>
      <w:r w:rsidRPr="006C4490">
        <w:rPr>
          <w:lang w:val="en-US"/>
        </w:rPr>
        <w:t>contexts.</w:t>
      </w:r>
      <w:r>
        <w:rPr>
          <w:lang w:val="en-US"/>
        </w:rPr>
        <w:t xml:space="preserve"> </w:t>
      </w:r>
      <w:r w:rsidRPr="001B76D2">
        <w:rPr>
          <w:lang w:val="en-US"/>
        </w:rPr>
        <w:t xml:space="preserve">The Strategy </w:t>
      </w:r>
      <w:proofErr w:type="spellStart"/>
      <w:r w:rsidRPr="001B76D2">
        <w:rPr>
          <w:lang w:val="en-US"/>
        </w:rPr>
        <w:t>recognises</w:t>
      </w:r>
      <w:proofErr w:type="spellEnd"/>
      <w:r w:rsidRPr="001B76D2">
        <w:rPr>
          <w:lang w:val="en-US"/>
        </w:rPr>
        <w:t xml:space="preserve"> the continuum of mental health and wellbeing activities</w:t>
      </w:r>
      <w:r>
        <w:rPr>
          <w:lang w:val="en-US"/>
        </w:rPr>
        <w:t>,</w:t>
      </w:r>
      <w:r w:rsidRPr="001B76D2">
        <w:rPr>
          <w:lang w:val="en-US"/>
        </w:rPr>
        <w:t xml:space="preserve"> from </w:t>
      </w:r>
      <w:r>
        <w:rPr>
          <w:lang w:val="en-US"/>
        </w:rPr>
        <w:t xml:space="preserve">mental health </w:t>
      </w:r>
      <w:r w:rsidRPr="001B76D2">
        <w:rPr>
          <w:lang w:val="en-US"/>
        </w:rPr>
        <w:t>promotion and prevention</w:t>
      </w:r>
      <w:r>
        <w:rPr>
          <w:lang w:val="en-US"/>
        </w:rPr>
        <w:t xml:space="preserve"> of suicidality, ill health and/or distress</w:t>
      </w:r>
      <w:r w:rsidRPr="001B76D2">
        <w:rPr>
          <w:lang w:val="en-US"/>
        </w:rPr>
        <w:t xml:space="preserve">, to early intervention, through to support, </w:t>
      </w:r>
      <w:proofErr w:type="gramStart"/>
      <w:r w:rsidRPr="001B76D2">
        <w:rPr>
          <w:lang w:val="en-US"/>
        </w:rPr>
        <w:t>treatment</w:t>
      </w:r>
      <w:proofErr w:type="gramEnd"/>
      <w:r w:rsidRPr="001B76D2">
        <w:rPr>
          <w:lang w:val="en-US"/>
        </w:rPr>
        <w:t xml:space="preserve"> and recovery</w:t>
      </w:r>
      <w:r>
        <w:rPr>
          <w:lang w:val="en-US"/>
        </w:rPr>
        <w:t>. This</w:t>
      </w:r>
      <w:r w:rsidRPr="001B76D2">
        <w:rPr>
          <w:lang w:val="en-US"/>
        </w:rPr>
        <w:t xml:space="preserve"> involv</w:t>
      </w:r>
      <w:r>
        <w:rPr>
          <w:lang w:val="en-US"/>
        </w:rPr>
        <w:t>es</w:t>
      </w:r>
      <w:r w:rsidRPr="001B76D2">
        <w:rPr>
          <w:lang w:val="en-US"/>
        </w:rPr>
        <w:t xml:space="preserve"> different levels of support and treatment intensity, provided by a wide range of mental health professionals, depending on the severity and complexity of consumer and </w:t>
      </w:r>
      <w:proofErr w:type="spellStart"/>
      <w:r w:rsidRPr="001B76D2">
        <w:rPr>
          <w:lang w:val="en-US"/>
        </w:rPr>
        <w:t>carer</w:t>
      </w:r>
      <w:proofErr w:type="spellEnd"/>
      <w:r w:rsidRPr="001B76D2">
        <w:rPr>
          <w:lang w:val="en-US"/>
        </w:rPr>
        <w:t xml:space="preserve"> need.</w:t>
      </w:r>
      <w:r>
        <w:rPr>
          <w:lang w:val="en-US"/>
        </w:rPr>
        <w:t xml:space="preserve"> </w:t>
      </w:r>
    </w:p>
    <w:p w14:paraId="41056CFE" w14:textId="77777777" w:rsidR="009A7E6B" w:rsidRDefault="009A7E6B" w:rsidP="009A7E6B">
      <w:pPr>
        <w:pStyle w:val="BodyText"/>
        <w:rPr>
          <w:lang w:val="en-US"/>
        </w:rPr>
      </w:pPr>
      <w:r>
        <w:rPr>
          <w:lang w:val="en-US"/>
        </w:rPr>
        <w:t xml:space="preserve">In place of any specific model of care, the Strategy </w:t>
      </w:r>
      <w:r w:rsidRPr="00F40997">
        <w:t>utilises</w:t>
      </w:r>
      <w:r>
        <w:rPr>
          <w:lang w:val="en-US"/>
        </w:rPr>
        <w:t xml:space="preserve"> the concept of ‘components of care’</w:t>
      </w:r>
      <w:r>
        <w:rPr>
          <w:rStyle w:val="FootnoteReference"/>
          <w:lang w:val="en-US"/>
        </w:rPr>
        <w:footnoteReference w:id="2"/>
      </w:r>
      <w:r>
        <w:rPr>
          <w:lang w:val="en-US"/>
        </w:rPr>
        <w:t xml:space="preserve"> that may be brought together in different ways to form models of care. There should be clear linkage between components of care, the National Mental Health Service Planning Framework, the various occupational scopes of practice (existing and those yet to be developed) and the education and training required to develop the competences that enable delivery of the components of care. </w:t>
      </w:r>
    </w:p>
    <w:p w14:paraId="083311A9" w14:textId="77777777" w:rsidR="009A7E6B" w:rsidRDefault="009A7E6B" w:rsidP="009A7E6B">
      <w:pPr>
        <w:pStyle w:val="BodyText"/>
      </w:pPr>
      <w:r>
        <w:t xml:space="preserve">The Strategy recognises that no single approach to workforce development can be applied to all occupations in all contexts. Each occupation within the broadly defined mental health workforce requires specialist skills and competencies that support the model of care and components of care required in the service setting in which they operate. </w:t>
      </w:r>
    </w:p>
    <w:p w14:paraId="2A393B84" w14:textId="77777777" w:rsidR="009A7E6B" w:rsidRDefault="009A7E6B" w:rsidP="009A7E6B">
      <w:pPr>
        <w:pStyle w:val="BodyText"/>
      </w:pPr>
      <w:r>
        <w:t xml:space="preserve">There are specific challenges facing each service. For example, the challenges in rural and remote locations differ from metropolitan settings, and those faced by public crisis and emergency settings differ again. All challenges impact on the ability to attract, train and retain the required mental health workforce. </w:t>
      </w:r>
    </w:p>
    <w:p w14:paraId="70ACF67D" w14:textId="77777777" w:rsidR="009A7E6B" w:rsidRDefault="009A7E6B" w:rsidP="009A7E6B">
      <w:pPr>
        <w:pStyle w:val="BodyText"/>
      </w:pPr>
      <w:r>
        <w:t xml:space="preserve">It is important that these issues are addressed to support the delivery of the promotion, prevention, </w:t>
      </w:r>
      <w:proofErr w:type="gramStart"/>
      <w:r>
        <w:t>support</w:t>
      </w:r>
      <w:proofErr w:type="gramEnd"/>
      <w:r>
        <w:t xml:space="preserve"> and treatment that meet the needs of local communities and cohorts with distinct needs, such as children and young people and the elderly.</w:t>
      </w:r>
    </w:p>
    <w:p w14:paraId="36791AD0" w14:textId="77777777" w:rsidR="009A7E6B" w:rsidRDefault="009A7E6B" w:rsidP="005D7B47">
      <w:pPr>
        <w:pStyle w:val="Heading3ES"/>
      </w:pPr>
      <w:r>
        <w:t>Related work</w:t>
      </w:r>
    </w:p>
    <w:p w14:paraId="5F066BB6" w14:textId="77777777" w:rsidR="009A7E6B" w:rsidRDefault="009A7E6B" w:rsidP="009A7E6B">
      <w:pPr>
        <w:pStyle w:val="BodyText"/>
      </w:pPr>
      <w:r>
        <w:t xml:space="preserve">The Strategy acknowledges the significant work underway to develop related workforces, including the aged care, disability services and community services workforces, and the associated need to develop a whole-of-government, holistic approach to growing and sustaining these workforces. It aims to complement and integrate with other related strategies that have been developed and are being developed, rather than duplicating their content. Key examples include the </w:t>
      </w:r>
      <w:r w:rsidRPr="000F442C">
        <w:t>National Medical Workforce Strategy, the Stronger Rural Health Strategy, the National Aboriginal and Torres Strait Islander Health Workforce Strategic Framework and Implementation Plan 2021-2031</w:t>
      </w:r>
      <w:r w:rsidRPr="00892766">
        <w:t xml:space="preserve">, the forthcoming </w:t>
      </w:r>
      <w:r w:rsidRPr="000F442C">
        <w:t xml:space="preserve">Suicide </w:t>
      </w:r>
      <w:r w:rsidRPr="000F442C">
        <w:lastRenderedPageBreak/>
        <w:t>Prevention Workforce Strategy</w:t>
      </w:r>
      <w:r>
        <w:rPr>
          <w:i/>
          <w:iCs/>
        </w:rPr>
        <w:t xml:space="preserve"> </w:t>
      </w:r>
      <w:r>
        <w:t xml:space="preserve">and state and territory mental health workforce strategies and initiatives. </w:t>
      </w:r>
    </w:p>
    <w:p w14:paraId="145F1045" w14:textId="77777777" w:rsidR="009A7E6B" w:rsidRDefault="009A7E6B" w:rsidP="005D7B47">
      <w:pPr>
        <w:pStyle w:val="Heading3ES"/>
        <w:rPr>
          <w:lang w:val="en-US"/>
        </w:rPr>
      </w:pPr>
      <w:r>
        <w:rPr>
          <w:lang w:val="en-US"/>
        </w:rPr>
        <w:t>Impact of disasters and COVID-19</w:t>
      </w:r>
    </w:p>
    <w:p w14:paraId="1DFFD0CE" w14:textId="77777777" w:rsidR="009A7E6B" w:rsidRPr="006C4490" w:rsidRDefault="009A7E6B" w:rsidP="009A7E6B">
      <w:pPr>
        <w:pStyle w:val="BodyText"/>
        <w:rPr>
          <w:lang w:val="en-US"/>
        </w:rPr>
      </w:pPr>
      <w:r>
        <w:rPr>
          <w:lang w:val="en-US"/>
        </w:rPr>
        <w:t xml:space="preserve">The Strategy has been developed at a time of significant challenge. Disasters, such as bushfires and the COVID-19 pandemic, have impacted </w:t>
      </w:r>
      <w:r w:rsidRPr="006C4490">
        <w:rPr>
          <w:lang w:val="en-US"/>
        </w:rPr>
        <w:t>our</w:t>
      </w:r>
      <w:r>
        <w:rPr>
          <w:lang w:val="en-US"/>
        </w:rPr>
        <w:t xml:space="preserve"> </w:t>
      </w:r>
      <w:r w:rsidRPr="006C4490">
        <w:rPr>
          <w:lang w:val="en-US"/>
        </w:rPr>
        <w:t>lives</w:t>
      </w:r>
      <w:r>
        <w:rPr>
          <w:lang w:val="en-US"/>
        </w:rPr>
        <w:t xml:space="preserve"> </w:t>
      </w:r>
      <w:r w:rsidRPr="006C4490">
        <w:rPr>
          <w:lang w:val="en-US"/>
        </w:rPr>
        <w:t>and</w:t>
      </w:r>
      <w:r>
        <w:rPr>
          <w:lang w:val="en-US"/>
        </w:rPr>
        <w:t xml:space="preserve"> </w:t>
      </w:r>
      <w:r w:rsidRPr="006C4490">
        <w:rPr>
          <w:lang w:val="en-US"/>
        </w:rPr>
        <w:t>greatly</w:t>
      </w:r>
      <w:r>
        <w:rPr>
          <w:lang w:val="en-US"/>
        </w:rPr>
        <w:t xml:space="preserve"> </w:t>
      </w:r>
      <w:r w:rsidRPr="006C4490">
        <w:rPr>
          <w:lang w:val="en-US"/>
        </w:rPr>
        <w:t>affect</w:t>
      </w:r>
      <w:r>
        <w:rPr>
          <w:lang w:val="en-US"/>
        </w:rPr>
        <w:t xml:space="preserve">ed </w:t>
      </w:r>
      <w:r w:rsidRPr="006C4490">
        <w:rPr>
          <w:lang w:val="en-US"/>
        </w:rPr>
        <w:t>the</w:t>
      </w:r>
      <w:r>
        <w:rPr>
          <w:lang w:val="en-US"/>
        </w:rPr>
        <w:t xml:space="preserve"> </w:t>
      </w:r>
      <w:r w:rsidRPr="006C4490">
        <w:rPr>
          <w:lang w:val="en-US"/>
        </w:rPr>
        <w:t>mental</w:t>
      </w:r>
      <w:r>
        <w:rPr>
          <w:lang w:val="en-US"/>
        </w:rPr>
        <w:t xml:space="preserve"> </w:t>
      </w:r>
      <w:r w:rsidRPr="006C4490">
        <w:rPr>
          <w:lang w:val="en-US"/>
        </w:rPr>
        <w:t>health</w:t>
      </w:r>
      <w:r>
        <w:rPr>
          <w:lang w:val="en-US"/>
        </w:rPr>
        <w:t xml:space="preserve"> </w:t>
      </w:r>
      <w:r w:rsidRPr="006C4490">
        <w:rPr>
          <w:lang w:val="en-US"/>
        </w:rPr>
        <w:t>of</w:t>
      </w:r>
      <w:r>
        <w:rPr>
          <w:lang w:val="en-US"/>
        </w:rPr>
        <w:t xml:space="preserve"> </w:t>
      </w:r>
      <w:r w:rsidRPr="006C4490">
        <w:rPr>
          <w:lang w:val="en-US"/>
        </w:rPr>
        <w:t>many.</w:t>
      </w:r>
      <w:r>
        <w:rPr>
          <w:lang w:val="en-US"/>
        </w:rPr>
        <w:t xml:space="preserve"> In turn, this generates an increase in the </w:t>
      </w:r>
      <w:r w:rsidRPr="006C4490">
        <w:rPr>
          <w:lang w:val="en-US"/>
        </w:rPr>
        <w:t>number</w:t>
      </w:r>
      <w:r>
        <w:rPr>
          <w:lang w:val="en-US"/>
        </w:rPr>
        <w:t xml:space="preserve"> </w:t>
      </w:r>
      <w:r w:rsidRPr="006C4490">
        <w:rPr>
          <w:lang w:val="en-US"/>
        </w:rPr>
        <w:t>of</w:t>
      </w:r>
      <w:r>
        <w:rPr>
          <w:lang w:val="en-US"/>
        </w:rPr>
        <w:t xml:space="preserve"> </w:t>
      </w:r>
      <w:r w:rsidRPr="006C4490">
        <w:rPr>
          <w:lang w:val="en-US"/>
        </w:rPr>
        <w:t>people</w:t>
      </w:r>
      <w:r>
        <w:rPr>
          <w:lang w:val="en-US"/>
        </w:rPr>
        <w:t xml:space="preserve"> </w:t>
      </w:r>
      <w:r w:rsidRPr="006C4490">
        <w:rPr>
          <w:lang w:val="en-US"/>
        </w:rPr>
        <w:t>seeking</w:t>
      </w:r>
      <w:r>
        <w:rPr>
          <w:lang w:val="en-US"/>
        </w:rPr>
        <w:t xml:space="preserve"> </w:t>
      </w:r>
      <w:r w:rsidRPr="006C4490">
        <w:rPr>
          <w:lang w:val="en-US"/>
        </w:rPr>
        <w:t>support.</w:t>
      </w:r>
      <w:r>
        <w:rPr>
          <w:lang w:val="en-US"/>
        </w:rPr>
        <w:t xml:space="preserve"> As an example, during the COVID-19 pandemic</w:t>
      </w:r>
      <w:r w:rsidRPr="006C4490">
        <w:rPr>
          <w:lang w:val="en-US"/>
        </w:rPr>
        <w:t>,</w:t>
      </w:r>
      <w:r>
        <w:rPr>
          <w:lang w:val="en-US"/>
        </w:rPr>
        <w:t xml:space="preserve"> </w:t>
      </w:r>
      <w:r w:rsidRPr="006C4490">
        <w:rPr>
          <w:lang w:val="en-US"/>
        </w:rPr>
        <w:t>there</w:t>
      </w:r>
      <w:r>
        <w:rPr>
          <w:lang w:val="en-US"/>
        </w:rPr>
        <w:t xml:space="preserve"> </w:t>
      </w:r>
      <w:r w:rsidRPr="006C4490">
        <w:rPr>
          <w:lang w:val="en-US"/>
        </w:rPr>
        <w:t>was</w:t>
      </w:r>
      <w:r>
        <w:rPr>
          <w:lang w:val="en-US"/>
        </w:rPr>
        <w:t xml:space="preserve"> </w:t>
      </w:r>
      <w:r w:rsidRPr="006C4490">
        <w:rPr>
          <w:lang w:val="en-US"/>
        </w:rPr>
        <w:t>a</w:t>
      </w:r>
      <w:r>
        <w:rPr>
          <w:lang w:val="en-US"/>
        </w:rPr>
        <w:t xml:space="preserve"> </w:t>
      </w:r>
      <w:r w:rsidRPr="006C4490">
        <w:rPr>
          <w:lang w:val="en-US"/>
        </w:rPr>
        <w:t>15% increase</w:t>
      </w:r>
      <w:r>
        <w:rPr>
          <w:lang w:val="en-US"/>
        </w:rPr>
        <w:t xml:space="preserve"> </w:t>
      </w:r>
      <w:r w:rsidRPr="006C4490">
        <w:rPr>
          <w:lang w:val="en-US"/>
        </w:rPr>
        <w:t>in</w:t>
      </w:r>
      <w:r>
        <w:rPr>
          <w:lang w:val="en-US"/>
        </w:rPr>
        <w:t xml:space="preserve"> </w:t>
      </w:r>
      <w:r w:rsidRPr="006C4490">
        <w:rPr>
          <w:lang w:val="en-US"/>
        </w:rPr>
        <w:t>the</w:t>
      </w:r>
      <w:r>
        <w:rPr>
          <w:lang w:val="en-US"/>
        </w:rPr>
        <w:t xml:space="preserve"> </w:t>
      </w:r>
      <w:r w:rsidRPr="006C4490">
        <w:rPr>
          <w:lang w:val="en-US"/>
        </w:rPr>
        <w:t>number</w:t>
      </w:r>
      <w:r>
        <w:rPr>
          <w:lang w:val="en-US"/>
        </w:rPr>
        <w:t xml:space="preserve"> </w:t>
      </w:r>
      <w:r w:rsidRPr="006C4490">
        <w:rPr>
          <w:lang w:val="en-US"/>
        </w:rPr>
        <w:t>of</w:t>
      </w:r>
      <w:r>
        <w:rPr>
          <w:lang w:val="en-US"/>
        </w:rPr>
        <w:t xml:space="preserve"> </w:t>
      </w:r>
      <w:r w:rsidRPr="006C4490">
        <w:rPr>
          <w:lang w:val="en-US"/>
        </w:rPr>
        <w:t>Medicare-</w:t>
      </w:r>
      <w:proofErr w:type="spellStart"/>
      <w:r w:rsidRPr="006C4490">
        <w:rPr>
          <w:lang w:val="en-US"/>
        </w:rPr>
        <w:t>subsidised</w:t>
      </w:r>
      <w:proofErr w:type="spellEnd"/>
      <w:r>
        <w:rPr>
          <w:lang w:val="en-US"/>
        </w:rPr>
        <w:t xml:space="preserve"> </w:t>
      </w:r>
      <w:r w:rsidRPr="006C4490">
        <w:rPr>
          <w:lang w:val="en-US"/>
        </w:rPr>
        <w:t>mental</w:t>
      </w:r>
      <w:r>
        <w:rPr>
          <w:lang w:val="en-US"/>
        </w:rPr>
        <w:t xml:space="preserve"> </w:t>
      </w:r>
      <w:r w:rsidRPr="006C4490">
        <w:rPr>
          <w:lang w:val="en-US"/>
        </w:rPr>
        <w:t>health</w:t>
      </w:r>
      <w:r>
        <w:rPr>
          <w:lang w:val="en-US"/>
        </w:rPr>
        <w:t xml:space="preserve"> </w:t>
      </w:r>
      <w:r w:rsidRPr="006C4490">
        <w:rPr>
          <w:lang w:val="en-US"/>
        </w:rPr>
        <w:t>services</w:t>
      </w:r>
      <w:r>
        <w:rPr>
          <w:lang w:val="en-US"/>
        </w:rPr>
        <w:t xml:space="preserve"> </w:t>
      </w:r>
      <w:r w:rsidRPr="006C4490">
        <w:rPr>
          <w:lang w:val="en-US"/>
        </w:rPr>
        <w:t>delivered</w:t>
      </w:r>
      <w:r>
        <w:rPr>
          <w:lang w:val="en-US"/>
        </w:rPr>
        <w:t xml:space="preserve"> </w:t>
      </w:r>
      <w:r w:rsidRPr="006C4490">
        <w:rPr>
          <w:lang w:val="en-US"/>
        </w:rPr>
        <w:t>nationally</w:t>
      </w:r>
      <w:r>
        <w:rPr>
          <w:lang w:val="en-US"/>
        </w:rPr>
        <w:t xml:space="preserve"> from March to October 2020</w:t>
      </w:r>
      <w:r w:rsidRPr="006C4490">
        <w:rPr>
          <w:lang w:val="en-US"/>
        </w:rPr>
        <w:t>.</w:t>
      </w:r>
      <w:r>
        <w:rPr>
          <w:rStyle w:val="FootnoteReference"/>
          <w:lang w:val="en-US"/>
        </w:rPr>
        <w:footnoteReference w:id="3"/>
      </w:r>
      <w:r w:rsidRPr="006C4490">
        <w:rPr>
          <w:lang w:val="en-US"/>
        </w:rPr>
        <w:t xml:space="preserve"> The</w:t>
      </w:r>
      <w:r>
        <w:rPr>
          <w:lang w:val="en-US"/>
        </w:rPr>
        <w:t xml:space="preserve"> </w:t>
      </w:r>
      <w:r w:rsidRPr="006C4490">
        <w:rPr>
          <w:lang w:val="en-US"/>
        </w:rPr>
        <w:t>impact</w:t>
      </w:r>
      <w:r>
        <w:rPr>
          <w:lang w:val="en-US"/>
        </w:rPr>
        <w:t xml:space="preserve"> </w:t>
      </w:r>
      <w:r w:rsidRPr="006C4490">
        <w:rPr>
          <w:lang w:val="en-US"/>
        </w:rPr>
        <w:t>was</w:t>
      </w:r>
      <w:r>
        <w:rPr>
          <w:lang w:val="en-US"/>
        </w:rPr>
        <w:t xml:space="preserve"> </w:t>
      </w:r>
      <w:r w:rsidRPr="006C4490">
        <w:rPr>
          <w:lang w:val="en-US"/>
        </w:rPr>
        <w:t>felt</w:t>
      </w:r>
      <w:r>
        <w:rPr>
          <w:lang w:val="en-US"/>
        </w:rPr>
        <w:t xml:space="preserve"> </w:t>
      </w:r>
      <w:r w:rsidRPr="006C4490">
        <w:rPr>
          <w:lang w:val="en-US"/>
        </w:rPr>
        <w:t>particularly</w:t>
      </w:r>
      <w:r>
        <w:rPr>
          <w:lang w:val="en-US"/>
        </w:rPr>
        <w:t xml:space="preserve"> </w:t>
      </w:r>
      <w:r w:rsidRPr="006C4490">
        <w:rPr>
          <w:lang w:val="en-US"/>
        </w:rPr>
        <w:t>in</w:t>
      </w:r>
      <w:r>
        <w:rPr>
          <w:lang w:val="en-US"/>
        </w:rPr>
        <w:t xml:space="preserve"> </w:t>
      </w:r>
      <w:r w:rsidRPr="006C4490">
        <w:rPr>
          <w:lang w:val="en-US"/>
        </w:rPr>
        <w:t>Victoria,</w:t>
      </w:r>
      <w:r>
        <w:rPr>
          <w:lang w:val="en-US"/>
        </w:rPr>
        <w:t xml:space="preserve"> </w:t>
      </w:r>
      <w:r w:rsidRPr="006C4490">
        <w:rPr>
          <w:lang w:val="en-US"/>
        </w:rPr>
        <w:t>with</w:t>
      </w:r>
      <w:r>
        <w:rPr>
          <w:lang w:val="en-US"/>
        </w:rPr>
        <w:t xml:space="preserve"> </w:t>
      </w:r>
      <w:r w:rsidRPr="006C4490">
        <w:rPr>
          <w:lang w:val="en-US"/>
        </w:rPr>
        <w:t>prolonged</w:t>
      </w:r>
      <w:r>
        <w:rPr>
          <w:lang w:val="en-US"/>
        </w:rPr>
        <w:t xml:space="preserve"> periods of </w:t>
      </w:r>
      <w:r w:rsidRPr="006C4490">
        <w:rPr>
          <w:lang w:val="en-US"/>
        </w:rPr>
        <w:t>lockdown</w:t>
      </w:r>
      <w:r>
        <w:rPr>
          <w:lang w:val="en-US"/>
        </w:rPr>
        <w:t xml:space="preserve"> </w:t>
      </w:r>
      <w:r w:rsidRPr="006C4490">
        <w:rPr>
          <w:lang w:val="en-US"/>
        </w:rPr>
        <w:t>contributing</w:t>
      </w:r>
      <w:r>
        <w:rPr>
          <w:lang w:val="en-US"/>
        </w:rPr>
        <w:t xml:space="preserve"> </w:t>
      </w:r>
      <w:r w:rsidRPr="006C4490">
        <w:rPr>
          <w:lang w:val="en-US"/>
        </w:rPr>
        <w:t>to</w:t>
      </w:r>
      <w:r>
        <w:rPr>
          <w:lang w:val="en-US"/>
        </w:rPr>
        <w:t xml:space="preserve"> </w:t>
      </w:r>
      <w:r w:rsidRPr="006C4490">
        <w:rPr>
          <w:lang w:val="en-US"/>
        </w:rPr>
        <w:t>a</w:t>
      </w:r>
      <w:r>
        <w:rPr>
          <w:lang w:val="en-US"/>
        </w:rPr>
        <w:t xml:space="preserve"> </w:t>
      </w:r>
      <w:r w:rsidRPr="006C4490">
        <w:rPr>
          <w:lang w:val="en-US"/>
        </w:rPr>
        <w:t>31% increase</w:t>
      </w:r>
      <w:r>
        <w:rPr>
          <w:lang w:val="en-US"/>
        </w:rPr>
        <w:t xml:space="preserve"> </w:t>
      </w:r>
      <w:r w:rsidRPr="006C4490">
        <w:rPr>
          <w:lang w:val="en-US"/>
        </w:rPr>
        <w:t>in</w:t>
      </w:r>
      <w:r>
        <w:rPr>
          <w:lang w:val="en-US"/>
        </w:rPr>
        <w:t xml:space="preserve"> </w:t>
      </w:r>
      <w:r w:rsidRPr="006C4490">
        <w:rPr>
          <w:lang w:val="en-US"/>
        </w:rPr>
        <w:t>services</w:t>
      </w:r>
      <w:r>
        <w:rPr>
          <w:lang w:val="en-US"/>
        </w:rPr>
        <w:t xml:space="preserve"> </w:t>
      </w:r>
      <w:r w:rsidRPr="006C4490">
        <w:rPr>
          <w:lang w:val="en-US"/>
        </w:rPr>
        <w:t>accessed</w:t>
      </w:r>
      <w:r>
        <w:rPr>
          <w:lang w:val="en-US"/>
        </w:rPr>
        <w:t xml:space="preserve"> </w:t>
      </w:r>
      <w:r w:rsidRPr="006C4490">
        <w:rPr>
          <w:lang w:val="en-US"/>
        </w:rPr>
        <w:t>between</w:t>
      </w:r>
      <w:r>
        <w:rPr>
          <w:lang w:val="en-US"/>
        </w:rPr>
        <w:t xml:space="preserve"> </w:t>
      </w:r>
      <w:r w:rsidRPr="006C4490">
        <w:rPr>
          <w:lang w:val="en-US"/>
        </w:rPr>
        <w:t>September</w:t>
      </w:r>
      <w:r>
        <w:rPr>
          <w:lang w:val="en-US"/>
        </w:rPr>
        <w:t xml:space="preserve"> </w:t>
      </w:r>
      <w:r w:rsidRPr="006C4490">
        <w:rPr>
          <w:lang w:val="en-US"/>
        </w:rPr>
        <w:t>and</w:t>
      </w:r>
      <w:r>
        <w:rPr>
          <w:lang w:val="en-US"/>
        </w:rPr>
        <w:t xml:space="preserve"> </w:t>
      </w:r>
      <w:r w:rsidRPr="006C4490">
        <w:rPr>
          <w:lang w:val="en-US"/>
        </w:rPr>
        <w:t>October</w:t>
      </w:r>
      <w:r>
        <w:rPr>
          <w:lang w:val="en-US"/>
        </w:rPr>
        <w:t xml:space="preserve"> </w:t>
      </w:r>
      <w:r w:rsidRPr="006C4490">
        <w:rPr>
          <w:lang w:val="en-US"/>
        </w:rPr>
        <w:t>2020.</w:t>
      </w:r>
      <w:r>
        <w:rPr>
          <w:lang w:val="en-US"/>
        </w:rPr>
        <w:t xml:space="preserve"> This highlights the need for the mental health workforce to have sufficient surge capacity to meet sudden, </w:t>
      </w:r>
      <w:proofErr w:type="gramStart"/>
      <w:r>
        <w:rPr>
          <w:lang w:val="en-US"/>
        </w:rPr>
        <w:t>unexpected</w:t>
      </w:r>
      <w:proofErr w:type="gramEnd"/>
      <w:r>
        <w:rPr>
          <w:lang w:val="en-US"/>
        </w:rPr>
        <w:t xml:space="preserve"> and significant increases in demand for mental health support and treatment. </w:t>
      </w:r>
    </w:p>
    <w:p w14:paraId="79FA28FA" w14:textId="77777777" w:rsidR="009A7E6B" w:rsidRDefault="009A7E6B" w:rsidP="005D7B47">
      <w:pPr>
        <w:pStyle w:val="Heading2ES"/>
      </w:pPr>
      <w:r>
        <w:t>Development of the Strategy</w:t>
      </w:r>
    </w:p>
    <w:p w14:paraId="0D02FD3A" w14:textId="77777777" w:rsidR="009A7E6B" w:rsidRDefault="009A7E6B" w:rsidP="009A7E6B">
      <w:pPr>
        <w:pStyle w:val="BodyText"/>
      </w:pPr>
      <w:r w:rsidRPr="00A41962">
        <w:t>The</w:t>
      </w:r>
      <w:r>
        <w:t xml:space="preserve"> development of the Strategy has been overseen by an independent Taskforce – the National Mental Health Workforce Strategy Taskforce (the Taskforce) – with representatives from the broadly defined mental health workforce and consumers and carers. </w:t>
      </w:r>
    </w:p>
    <w:p w14:paraId="46B95E08" w14:textId="77777777" w:rsidR="009A7E6B" w:rsidRDefault="009A7E6B" w:rsidP="009A7E6B">
      <w:pPr>
        <w:pStyle w:val="BodyText"/>
      </w:pPr>
      <w:r>
        <w:t xml:space="preserve">The Strategy draws on evidence from a range of sources, including published literature, workforce data analysis, government reports and inquiries, and consultation </w:t>
      </w:r>
      <w:r w:rsidRPr="00A41962">
        <w:t>with</w:t>
      </w:r>
      <w:r>
        <w:t xml:space="preserve"> consumer </w:t>
      </w:r>
      <w:r w:rsidRPr="00A41962">
        <w:t>and</w:t>
      </w:r>
      <w:r>
        <w:t xml:space="preserve"> carer </w:t>
      </w:r>
      <w:r w:rsidRPr="00A41962">
        <w:t>representatives,</w:t>
      </w:r>
      <w:r>
        <w:t xml:space="preserve"> </w:t>
      </w:r>
      <w:r w:rsidRPr="00A41962">
        <w:t>employers</w:t>
      </w:r>
      <w:r>
        <w:t xml:space="preserve"> </w:t>
      </w:r>
      <w:r w:rsidRPr="00A41962">
        <w:t>in</w:t>
      </w:r>
      <w:r>
        <w:t xml:space="preserve"> </w:t>
      </w:r>
      <w:r w:rsidRPr="00A41962">
        <w:t>the</w:t>
      </w:r>
      <w:r>
        <w:t xml:space="preserve"> </w:t>
      </w:r>
      <w:r w:rsidRPr="00A41962">
        <w:t>mental</w:t>
      </w:r>
      <w:r>
        <w:t xml:space="preserve"> </w:t>
      </w:r>
      <w:r w:rsidRPr="00A41962">
        <w:t>health</w:t>
      </w:r>
      <w:r>
        <w:t xml:space="preserve"> </w:t>
      </w:r>
      <w:r w:rsidRPr="00A41962">
        <w:t>sector,</w:t>
      </w:r>
      <w:r>
        <w:t xml:space="preserve"> </w:t>
      </w:r>
      <w:r w:rsidRPr="00A41962">
        <w:t>peak</w:t>
      </w:r>
      <w:r>
        <w:t xml:space="preserve"> </w:t>
      </w:r>
      <w:r w:rsidRPr="00A41962">
        <w:t>bodies</w:t>
      </w:r>
      <w:r>
        <w:t xml:space="preserve"> </w:t>
      </w:r>
      <w:r w:rsidRPr="00A41962">
        <w:t>and</w:t>
      </w:r>
      <w:r>
        <w:t xml:space="preserve"> </w:t>
      </w:r>
      <w:r w:rsidRPr="00A41962">
        <w:t>professional</w:t>
      </w:r>
      <w:r>
        <w:t xml:space="preserve"> </w:t>
      </w:r>
      <w:r w:rsidRPr="00A41962">
        <w:t>associations,</w:t>
      </w:r>
      <w:r>
        <w:t xml:space="preserve"> </w:t>
      </w:r>
      <w:r w:rsidRPr="00A41962">
        <w:t>and</w:t>
      </w:r>
      <w:r>
        <w:t xml:space="preserve"> </w:t>
      </w:r>
      <w:r w:rsidRPr="00A41962">
        <w:t>vocational</w:t>
      </w:r>
      <w:r>
        <w:t xml:space="preserve"> </w:t>
      </w:r>
      <w:r w:rsidRPr="00A41962">
        <w:t>and</w:t>
      </w:r>
      <w:r>
        <w:t xml:space="preserve"> </w:t>
      </w:r>
      <w:r w:rsidRPr="00A41962">
        <w:t>higher</w:t>
      </w:r>
      <w:r>
        <w:t xml:space="preserve"> </w:t>
      </w:r>
      <w:r w:rsidRPr="00A41962">
        <w:t>education</w:t>
      </w:r>
      <w:r>
        <w:t xml:space="preserve"> </w:t>
      </w:r>
      <w:r w:rsidRPr="00A41962">
        <w:t>providers.</w:t>
      </w:r>
      <w:r>
        <w:t xml:space="preserve"> </w:t>
      </w:r>
      <w:r w:rsidRPr="00A00BD9">
        <w:t xml:space="preserve">The Strategy draws heavily on the </w:t>
      </w:r>
      <w:r w:rsidRPr="002560EB">
        <w:t>Productivity Commission’s Inquiry into Mental Health</w:t>
      </w:r>
      <w:r w:rsidRPr="00A00BD9">
        <w:t xml:space="preserve"> (2020).</w:t>
      </w:r>
      <w:r>
        <w:t xml:space="preserve"> </w:t>
      </w:r>
    </w:p>
    <w:p w14:paraId="50592914" w14:textId="77777777" w:rsidR="009A7E6B" w:rsidRDefault="009A7E6B" w:rsidP="009A7E6B">
      <w:pPr>
        <w:pStyle w:val="BodyText"/>
      </w:pPr>
      <w:r>
        <w:t xml:space="preserve">Further detail on the development process and evidence base is available in the accompanying Background Paper but is not repeated here. </w:t>
      </w:r>
    </w:p>
    <w:p w14:paraId="0789CBBF" w14:textId="77777777" w:rsidR="009A7E6B" w:rsidRPr="009B5662" w:rsidRDefault="009A7E6B" w:rsidP="009A7E6B">
      <w:pPr>
        <w:pStyle w:val="BodyText"/>
      </w:pPr>
      <w:r>
        <w:t xml:space="preserve">The </w:t>
      </w:r>
      <w:r w:rsidRPr="00AE6B58">
        <w:t>Taskforce</w:t>
      </w:r>
      <w:r>
        <w:t xml:space="preserve"> will deliver its version of the Strategy </w:t>
      </w:r>
      <w:r w:rsidRPr="00AE6B58">
        <w:t>to</w:t>
      </w:r>
      <w:r>
        <w:t xml:space="preserve"> </w:t>
      </w:r>
      <w:r w:rsidRPr="00AE6B58">
        <w:t>the</w:t>
      </w:r>
      <w:r>
        <w:t xml:space="preserve"> </w:t>
      </w:r>
      <w:r w:rsidRPr="00AE6B58">
        <w:t>Australian</w:t>
      </w:r>
      <w:r>
        <w:t xml:space="preserve"> </w:t>
      </w:r>
      <w:r w:rsidRPr="00AE6B58">
        <w:t>Government</w:t>
      </w:r>
      <w:r>
        <w:t xml:space="preserve"> in late </w:t>
      </w:r>
      <w:r w:rsidRPr="00AE6B58">
        <w:t>2021</w:t>
      </w:r>
      <w:r>
        <w:t xml:space="preserve"> for consideration</w:t>
      </w:r>
      <w:r w:rsidRPr="00AE6B58">
        <w:t>.</w:t>
      </w:r>
      <w:r>
        <w:t xml:space="preserve"> </w:t>
      </w:r>
    </w:p>
    <w:p w14:paraId="4C5A0BF1" w14:textId="77777777" w:rsidR="009A7E6B" w:rsidRPr="006C4490" w:rsidRDefault="009A7E6B" w:rsidP="005D7B47">
      <w:pPr>
        <w:pStyle w:val="Heading2ES"/>
        <w:rPr>
          <w:lang w:val="en-US"/>
        </w:rPr>
      </w:pPr>
      <w:r>
        <w:lastRenderedPageBreak/>
        <w:t>Definition of the mental health workforce</w:t>
      </w:r>
    </w:p>
    <w:p w14:paraId="3589072D" w14:textId="77777777" w:rsidR="009A7E6B" w:rsidRPr="002560EB" w:rsidRDefault="009A7E6B" w:rsidP="00F7157F">
      <w:pPr>
        <w:pStyle w:val="BodyText"/>
        <w:keepNext/>
        <w:keepLines/>
        <w:rPr>
          <w:lang w:val="en-US"/>
        </w:rPr>
      </w:pPr>
      <w:bookmarkStart w:id="1" w:name="_Hlk72923301"/>
      <w:r>
        <w:rPr>
          <w:lang w:val="en-US"/>
        </w:rPr>
        <w:t xml:space="preserve">The Strategy </w:t>
      </w:r>
      <w:r w:rsidRPr="006C4490">
        <w:rPr>
          <w:lang w:val="en-US"/>
        </w:rPr>
        <w:t>views</w:t>
      </w:r>
      <w:r>
        <w:rPr>
          <w:lang w:val="en-US"/>
        </w:rPr>
        <w:t xml:space="preserve"> </w:t>
      </w:r>
      <w:r w:rsidRPr="006C4490">
        <w:rPr>
          <w:lang w:val="en-US"/>
        </w:rPr>
        <w:t>mental</w:t>
      </w:r>
      <w:r>
        <w:rPr>
          <w:lang w:val="en-US"/>
        </w:rPr>
        <w:t xml:space="preserve"> </w:t>
      </w:r>
      <w:r w:rsidRPr="006C4490">
        <w:rPr>
          <w:lang w:val="en-US"/>
        </w:rPr>
        <w:t>health</w:t>
      </w:r>
      <w:r>
        <w:rPr>
          <w:lang w:val="en-US"/>
        </w:rPr>
        <w:t xml:space="preserve"> </w:t>
      </w:r>
      <w:r w:rsidRPr="006C4490">
        <w:rPr>
          <w:lang w:val="en-US"/>
        </w:rPr>
        <w:t>through</w:t>
      </w:r>
      <w:r>
        <w:rPr>
          <w:lang w:val="en-US"/>
        </w:rPr>
        <w:t xml:space="preserve"> </w:t>
      </w:r>
      <w:r w:rsidRPr="002560EB">
        <w:rPr>
          <w:lang w:val="en-US"/>
        </w:rPr>
        <w:t>a social and emotional wellbeing lens</w:t>
      </w:r>
      <w:r>
        <w:rPr>
          <w:lang w:val="en-US"/>
        </w:rPr>
        <w:t xml:space="preserve"> and </w:t>
      </w:r>
      <w:proofErr w:type="spellStart"/>
      <w:r>
        <w:rPr>
          <w:lang w:val="en-US"/>
        </w:rPr>
        <w:t>conceptualises</w:t>
      </w:r>
      <w:proofErr w:type="spellEnd"/>
      <w:r>
        <w:rPr>
          <w:lang w:val="en-US"/>
        </w:rPr>
        <w:t xml:space="preserve"> the mental health </w:t>
      </w:r>
      <w:proofErr w:type="gramStart"/>
      <w:r>
        <w:rPr>
          <w:lang w:val="en-US"/>
        </w:rPr>
        <w:t>workforce</w:t>
      </w:r>
      <w:proofErr w:type="gramEnd"/>
      <w:r>
        <w:rPr>
          <w:lang w:val="en-US"/>
        </w:rPr>
        <w:t xml:space="preserve"> accordingly</w:t>
      </w:r>
      <w:r w:rsidRPr="006C4490">
        <w:rPr>
          <w:lang w:val="en-US"/>
        </w:rPr>
        <w:t>,</w:t>
      </w:r>
      <w:r>
        <w:rPr>
          <w:lang w:val="en-US"/>
        </w:rPr>
        <w:t xml:space="preserve"> </w:t>
      </w:r>
      <w:proofErr w:type="spellStart"/>
      <w:r w:rsidRPr="006C4490">
        <w:rPr>
          <w:lang w:val="en-US"/>
        </w:rPr>
        <w:t>recognising</w:t>
      </w:r>
      <w:proofErr w:type="spellEnd"/>
      <w:r>
        <w:rPr>
          <w:lang w:val="en-US"/>
        </w:rPr>
        <w:t xml:space="preserve"> </w:t>
      </w:r>
      <w:r w:rsidRPr="006C4490">
        <w:rPr>
          <w:lang w:val="en-US"/>
        </w:rPr>
        <w:t>the</w:t>
      </w:r>
      <w:r>
        <w:rPr>
          <w:lang w:val="en-US"/>
        </w:rPr>
        <w:t xml:space="preserve"> </w:t>
      </w:r>
      <w:r w:rsidRPr="006C4490">
        <w:rPr>
          <w:lang w:val="en-US"/>
        </w:rPr>
        <w:t>indivisible</w:t>
      </w:r>
      <w:r>
        <w:rPr>
          <w:lang w:val="en-US"/>
        </w:rPr>
        <w:t xml:space="preserve"> </w:t>
      </w:r>
      <w:r w:rsidRPr="006C4490">
        <w:rPr>
          <w:lang w:val="en-US"/>
        </w:rPr>
        <w:t>connection</w:t>
      </w:r>
      <w:r>
        <w:rPr>
          <w:lang w:val="en-US"/>
        </w:rPr>
        <w:t xml:space="preserve"> </w:t>
      </w:r>
      <w:r w:rsidRPr="006C4490">
        <w:rPr>
          <w:lang w:val="en-US"/>
        </w:rPr>
        <w:t>between</w:t>
      </w:r>
      <w:r>
        <w:rPr>
          <w:lang w:val="en-US"/>
        </w:rPr>
        <w:t xml:space="preserve"> </w:t>
      </w:r>
      <w:r w:rsidRPr="006C4490">
        <w:rPr>
          <w:lang w:val="en-US"/>
        </w:rPr>
        <w:t>people’s</w:t>
      </w:r>
      <w:r>
        <w:rPr>
          <w:lang w:val="en-US"/>
        </w:rPr>
        <w:t xml:space="preserve"> </w:t>
      </w:r>
      <w:r w:rsidRPr="006C4490">
        <w:rPr>
          <w:lang w:val="en-US"/>
        </w:rPr>
        <w:t>physical,</w:t>
      </w:r>
      <w:r>
        <w:rPr>
          <w:lang w:val="en-US"/>
        </w:rPr>
        <w:t xml:space="preserve"> psychological, </w:t>
      </w:r>
      <w:r w:rsidRPr="006C4490">
        <w:rPr>
          <w:lang w:val="en-US"/>
        </w:rPr>
        <w:t>social,</w:t>
      </w:r>
      <w:r>
        <w:rPr>
          <w:lang w:val="en-US"/>
        </w:rPr>
        <w:t xml:space="preserve"> </w:t>
      </w:r>
      <w:r w:rsidRPr="006C4490">
        <w:rPr>
          <w:lang w:val="en-US"/>
        </w:rPr>
        <w:t>emotional</w:t>
      </w:r>
      <w:r>
        <w:rPr>
          <w:lang w:val="en-US"/>
        </w:rPr>
        <w:t xml:space="preserve"> </w:t>
      </w:r>
      <w:r w:rsidRPr="006C4490">
        <w:rPr>
          <w:lang w:val="en-US"/>
        </w:rPr>
        <w:t>and</w:t>
      </w:r>
      <w:r>
        <w:rPr>
          <w:lang w:val="en-US"/>
        </w:rPr>
        <w:t xml:space="preserve"> </w:t>
      </w:r>
      <w:r w:rsidRPr="006C4490">
        <w:rPr>
          <w:lang w:val="en-US"/>
        </w:rPr>
        <w:t>cultural</w:t>
      </w:r>
      <w:r>
        <w:rPr>
          <w:lang w:val="en-US"/>
        </w:rPr>
        <w:t xml:space="preserve"> </w:t>
      </w:r>
      <w:r w:rsidRPr="006C4490">
        <w:rPr>
          <w:lang w:val="en-US"/>
        </w:rPr>
        <w:t>wellbeing.</w:t>
      </w:r>
      <w:r>
        <w:rPr>
          <w:lang w:val="en-US"/>
        </w:rPr>
        <w:t xml:space="preserve"> This approach </w:t>
      </w:r>
      <w:r w:rsidRPr="006C4490">
        <w:rPr>
          <w:lang w:val="en-US"/>
        </w:rPr>
        <w:t>draws</w:t>
      </w:r>
      <w:r>
        <w:rPr>
          <w:lang w:val="en-US"/>
        </w:rPr>
        <w:t xml:space="preserve"> </w:t>
      </w:r>
      <w:r w:rsidRPr="006C4490">
        <w:rPr>
          <w:lang w:val="en-US"/>
        </w:rPr>
        <w:t>heavily</w:t>
      </w:r>
      <w:r>
        <w:rPr>
          <w:lang w:val="en-US"/>
        </w:rPr>
        <w:t xml:space="preserve"> </w:t>
      </w:r>
      <w:r w:rsidRPr="006C4490">
        <w:rPr>
          <w:lang w:val="en-US"/>
        </w:rPr>
        <w:t>on</w:t>
      </w:r>
      <w:r>
        <w:rPr>
          <w:lang w:val="en-US"/>
        </w:rPr>
        <w:t xml:space="preserve"> </w:t>
      </w:r>
      <w:r w:rsidRPr="006C4490">
        <w:rPr>
          <w:lang w:val="en-US"/>
        </w:rPr>
        <w:t>the</w:t>
      </w:r>
      <w:r>
        <w:rPr>
          <w:lang w:val="en-US"/>
        </w:rPr>
        <w:t xml:space="preserve"> </w:t>
      </w:r>
      <w:r w:rsidRPr="002560EB">
        <w:rPr>
          <w:lang w:val="en-US"/>
        </w:rPr>
        <w:t xml:space="preserve">National Strategic Framework for Aboriginal and Torres Strait Islander Peoples’ Mental Health and Social and Emotional Wellbeing 2017-2023. </w:t>
      </w:r>
    </w:p>
    <w:p w14:paraId="64E50F07" w14:textId="77777777" w:rsidR="009A7E6B" w:rsidRDefault="009A7E6B" w:rsidP="009A7E6B">
      <w:pPr>
        <w:pStyle w:val="BodyText"/>
      </w:pPr>
      <w:r w:rsidRPr="001850EE">
        <w:rPr>
          <w:lang w:val="en-US"/>
        </w:rPr>
        <w:t xml:space="preserve">Australia’s mental health workforce </w:t>
      </w:r>
      <w:r>
        <w:rPr>
          <w:lang w:val="en-US"/>
        </w:rPr>
        <w:t>spans</w:t>
      </w:r>
      <w:r w:rsidRPr="001850EE">
        <w:rPr>
          <w:lang w:val="en-US"/>
        </w:rPr>
        <w:t xml:space="preserve"> </w:t>
      </w:r>
      <w:r w:rsidRPr="008A7390">
        <w:rPr>
          <w:lang w:val="en-US"/>
        </w:rPr>
        <w:t>the service continuum</w:t>
      </w:r>
      <w:r>
        <w:rPr>
          <w:lang w:val="en-US"/>
        </w:rPr>
        <w:t xml:space="preserve"> </w:t>
      </w:r>
      <w:r w:rsidRPr="004F3B24">
        <w:rPr>
          <w:lang w:val="en-US"/>
        </w:rPr>
        <w:t xml:space="preserve">and includes </w:t>
      </w:r>
      <w:bookmarkStart w:id="2" w:name="_Hlk85114610"/>
      <w:r>
        <w:rPr>
          <w:lang w:val="en-US"/>
        </w:rPr>
        <w:t xml:space="preserve">promotion, prevention, early intervention, </w:t>
      </w:r>
      <w:proofErr w:type="gramStart"/>
      <w:r>
        <w:rPr>
          <w:lang w:val="en-US"/>
        </w:rPr>
        <w:t>support</w:t>
      </w:r>
      <w:proofErr w:type="gramEnd"/>
      <w:r>
        <w:rPr>
          <w:lang w:val="en-US"/>
        </w:rPr>
        <w:t xml:space="preserve"> and treatment to support</w:t>
      </w:r>
      <w:r w:rsidRPr="004F3B24">
        <w:rPr>
          <w:lang w:val="en-US"/>
        </w:rPr>
        <w:t xml:space="preserve"> positive mental health</w:t>
      </w:r>
      <w:r>
        <w:rPr>
          <w:lang w:val="en-US"/>
        </w:rPr>
        <w:t xml:space="preserve"> and wellbeing</w:t>
      </w:r>
      <w:r w:rsidRPr="001850EE">
        <w:rPr>
          <w:lang w:val="en-US"/>
        </w:rPr>
        <w:t>.</w:t>
      </w:r>
      <w:r>
        <w:rPr>
          <w:lang w:val="en-US"/>
        </w:rPr>
        <w:t xml:space="preserve"> </w:t>
      </w:r>
      <w:bookmarkEnd w:id="2"/>
      <w:r>
        <w:t>The Strategy recognises that there are:</w:t>
      </w:r>
    </w:p>
    <w:p w14:paraId="427E7CE6" w14:textId="77777777" w:rsidR="009A7E6B" w:rsidRDefault="009A7E6B" w:rsidP="009A7E6B">
      <w:pPr>
        <w:pStyle w:val="ListBullet"/>
      </w:pPr>
      <w:r>
        <w:t>people who work exclusively with people experiencing suicidality, mental distress and/or ill-health</w:t>
      </w:r>
    </w:p>
    <w:p w14:paraId="098A58FA" w14:textId="77777777" w:rsidR="009A7E6B" w:rsidRDefault="009A7E6B" w:rsidP="009A7E6B">
      <w:pPr>
        <w:pStyle w:val="ListBullet"/>
      </w:pPr>
      <w:r>
        <w:t xml:space="preserve">people who work frequently but not exclusively </w:t>
      </w:r>
      <w:r w:rsidRPr="00021728">
        <w:t>with</w:t>
      </w:r>
      <w:r>
        <w:t xml:space="preserve"> </w:t>
      </w:r>
      <w:r w:rsidRPr="00F529EB">
        <w:t>people</w:t>
      </w:r>
      <w:r>
        <w:t xml:space="preserve"> </w:t>
      </w:r>
      <w:r w:rsidRPr="00F529EB">
        <w:t>experiencing</w:t>
      </w:r>
      <w:r>
        <w:t xml:space="preserve"> suicidality, </w:t>
      </w:r>
      <w:r w:rsidRPr="00F529EB">
        <w:t>mental</w:t>
      </w:r>
      <w:r>
        <w:t xml:space="preserve"> </w:t>
      </w:r>
      <w:r w:rsidRPr="00F529EB">
        <w:t>distress</w:t>
      </w:r>
      <w:r>
        <w:t xml:space="preserve"> </w:t>
      </w:r>
      <w:r w:rsidRPr="00F529EB">
        <w:t>and/or</w:t>
      </w:r>
      <w:r>
        <w:t xml:space="preserve"> </w:t>
      </w:r>
      <w:r w:rsidRPr="00F529EB">
        <w:t>ill-health</w:t>
      </w:r>
    </w:p>
    <w:p w14:paraId="1B8424FF" w14:textId="77777777" w:rsidR="009A7E6B" w:rsidRDefault="009A7E6B" w:rsidP="009A7E6B">
      <w:pPr>
        <w:pStyle w:val="ListBullet"/>
      </w:pPr>
      <w:r>
        <w:t xml:space="preserve">people who are likely to have regular contact </w:t>
      </w:r>
      <w:r w:rsidRPr="003A5A57">
        <w:t>with</w:t>
      </w:r>
      <w:r>
        <w:t xml:space="preserve"> </w:t>
      </w:r>
      <w:r w:rsidRPr="00F529EB">
        <w:t>people</w:t>
      </w:r>
      <w:r>
        <w:t xml:space="preserve"> </w:t>
      </w:r>
      <w:r w:rsidRPr="00F529EB">
        <w:t>experiencing</w:t>
      </w:r>
      <w:r>
        <w:t xml:space="preserve"> suicidality, </w:t>
      </w:r>
      <w:r w:rsidRPr="00F529EB">
        <w:t>mental</w:t>
      </w:r>
      <w:r>
        <w:t xml:space="preserve"> </w:t>
      </w:r>
      <w:r w:rsidRPr="00F529EB">
        <w:t>distress</w:t>
      </w:r>
      <w:r>
        <w:t xml:space="preserve"> </w:t>
      </w:r>
      <w:r w:rsidRPr="00F529EB">
        <w:t>and/or</w:t>
      </w:r>
      <w:r>
        <w:t xml:space="preserve"> </w:t>
      </w:r>
      <w:r w:rsidRPr="00F529EB">
        <w:t>ill-health</w:t>
      </w:r>
      <w:r>
        <w:t xml:space="preserve"> as part of their role.</w:t>
      </w:r>
    </w:p>
    <w:p w14:paraId="378C0AA0" w14:textId="77777777" w:rsidR="009A7E6B" w:rsidRDefault="009A7E6B" w:rsidP="009A7E6B">
      <w:pPr>
        <w:pStyle w:val="BodyText"/>
      </w:pPr>
      <w:r>
        <w:t xml:space="preserve">All of these individuals contribute to the promotion of mental wellbeing and suicide </w:t>
      </w:r>
      <w:proofErr w:type="gramStart"/>
      <w:r>
        <w:t>prevention, and</w:t>
      </w:r>
      <w:proofErr w:type="gramEnd"/>
      <w:r>
        <w:t xml:space="preserve"> require associated knowledge and skills.</w:t>
      </w:r>
    </w:p>
    <w:p w14:paraId="12807A9D" w14:textId="77777777" w:rsidR="009A7E6B" w:rsidRDefault="009A7E6B" w:rsidP="009A7E6B">
      <w:pPr>
        <w:pStyle w:val="BodyText"/>
      </w:pPr>
      <w:r>
        <w:t>Workforces overlap at the individual and occupational level.</w:t>
      </w:r>
      <w:r>
        <w:rPr>
          <w:rStyle w:val="FootnoteReference"/>
        </w:rPr>
        <w:footnoteReference w:id="4"/>
      </w:r>
      <w:r>
        <w:t xml:space="preserve"> For example, a nurse may work exclusively in a mental health service, a health service, in a school – or work across all three. This overlap influences the way in which the mental health workforce needs to be considered, </w:t>
      </w:r>
      <w:proofErr w:type="gramStart"/>
      <w:r>
        <w:t>trained</w:t>
      </w:r>
      <w:proofErr w:type="gramEnd"/>
      <w:r>
        <w:t xml:space="preserve"> and developed to address </w:t>
      </w:r>
      <w:r w:rsidRPr="00CA4470">
        <w:rPr>
          <w:lang w:val="en-US"/>
        </w:rPr>
        <w:t>mental health and physical health comorbidities</w:t>
      </w:r>
      <w:r>
        <w:rPr>
          <w:lang w:val="en-US"/>
        </w:rPr>
        <w:t xml:space="preserve"> and </w:t>
      </w:r>
      <w:r w:rsidRPr="0025230D">
        <w:rPr>
          <w:lang w:val="en-US"/>
        </w:rPr>
        <w:t>populations with distinct needs</w:t>
      </w:r>
      <w:r>
        <w:rPr>
          <w:lang w:val="en-US"/>
        </w:rPr>
        <w:t xml:space="preserve"> due to their stage of life or circumstances (for example, children and young people, people with disability, or during the peri-natal period)</w:t>
      </w:r>
      <w:r>
        <w:t>.</w:t>
      </w:r>
    </w:p>
    <w:p w14:paraId="65EC8E62" w14:textId="77777777" w:rsidR="009A7E6B" w:rsidRDefault="009A7E6B" w:rsidP="009A7E6B">
      <w:pPr>
        <w:pStyle w:val="BodyText"/>
      </w:pPr>
      <w:r w:rsidRPr="00011957">
        <w:t xml:space="preserve">The Strategy recognises </w:t>
      </w:r>
      <w:r>
        <w:t xml:space="preserve">the crucial role played by the volunteer workforce. Volunteers should be valued for their unique contributions and not viewed as a substitute for the paid workforce. The volunteer workforce requires the same supports as the paid workforce, including training, professional development, access to appropriate supervision and debriefing. </w:t>
      </w:r>
    </w:p>
    <w:p w14:paraId="3F1F2C07" w14:textId="77777777" w:rsidR="009A7E6B" w:rsidRDefault="009A7E6B" w:rsidP="00567A7A">
      <w:pPr>
        <w:pStyle w:val="BodyText"/>
        <w:keepNext/>
        <w:keepLines/>
      </w:pPr>
      <w:r>
        <w:lastRenderedPageBreak/>
        <w:t>The Strategy notes the</w:t>
      </w:r>
      <w:r w:rsidRPr="00011957">
        <w:t xml:space="preserve"> significant overlap between the mental health and suicide prevention workforces with respect to roles, </w:t>
      </w:r>
      <w:proofErr w:type="gramStart"/>
      <w:r w:rsidRPr="00011957">
        <w:t>occupations</w:t>
      </w:r>
      <w:proofErr w:type="gramEnd"/>
      <w:r w:rsidRPr="00011957">
        <w:t xml:space="preserve"> and the required competencies. Suicide prevention competencies are critical to the broadly defined mental health workforce and will be included in the competencies required to deliver the components of care referenced in this Strategy</w:t>
      </w:r>
      <w:r>
        <w:t>. T</w:t>
      </w:r>
      <w:r w:rsidRPr="00011957">
        <w:t>he National Mental Health Commission is developing a Suicide Prevention Workforce Strategy that will capture specific actions required for the suicide prevention workforce.</w:t>
      </w:r>
    </w:p>
    <w:p w14:paraId="599FC71F" w14:textId="4D62A1A2" w:rsidR="009A7E6B" w:rsidRDefault="009A7E6B" w:rsidP="0071163C">
      <w:pPr>
        <w:pStyle w:val="BodyText"/>
      </w:pPr>
      <w:r>
        <w:t xml:space="preserve">The Strategy also recognises the critical role that carers, family, </w:t>
      </w:r>
      <w:proofErr w:type="gramStart"/>
      <w:r>
        <w:t>friends</w:t>
      </w:r>
      <w:proofErr w:type="gramEnd"/>
      <w:r>
        <w:t xml:space="preserve"> and important others </w:t>
      </w:r>
      <w:r>
        <w:rPr>
          <w:lang w:val="en-US"/>
        </w:rPr>
        <w:t xml:space="preserve">play in </w:t>
      </w:r>
      <w:r w:rsidRPr="006C4490">
        <w:rPr>
          <w:lang w:val="en-US"/>
        </w:rPr>
        <w:t>support</w:t>
      </w:r>
      <w:r>
        <w:rPr>
          <w:lang w:val="en-US"/>
        </w:rPr>
        <w:t xml:space="preserve">ing </w:t>
      </w:r>
      <w:r w:rsidRPr="006C4490">
        <w:rPr>
          <w:lang w:val="en-US"/>
        </w:rPr>
        <w:t>people</w:t>
      </w:r>
      <w:r>
        <w:rPr>
          <w:lang w:val="en-US"/>
        </w:rPr>
        <w:t xml:space="preserve"> </w:t>
      </w:r>
      <w:r w:rsidRPr="006C4490">
        <w:rPr>
          <w:lang w:val="en-US"/>
        </w:rPr>
        <w:t>experiencing</w:t>
      </w:r>
      <w:r>
        <w:rPr>
          <w:lang w:val="en-US"/>
        </w:rPr>
        <w:t xml:space="preserve"> suicidality, </w:t>
      </w:r>
      <w:r w:rsidRPr="006C4490">
        <w:rPr>
          <w:lang w:val="en-US"/>
        </w:rPr>
        <w:t>mental</w:t>
      </w:r>
      <w:r>
        <w:rPr>
          <w:lang w:val="en-US"/>
        </w:rPr>
        <w:t xml:space="preserve"> </w:t>
      </w:r>
      <w:r w:rsidRPr="006C4490">
        <w:rPr>
          <w:lang w:val="en-US"/>
        </w:rPr>
        <w:t>distress</w:t>
      </w:r>
      <w:r>
        <w:rPr>
          <w:lang w:val="en-US"/>
        </w:rPr>
        <w:t xml:space="preserve"> </w:t>
      </w:r>
      <w:r w:rsidRPr="006C4490">
        <w:rPr>
          <w:lang w:val="en-US"/>
        </w:rPr>
        <w:t>and/or</w:t>
      </w:r>
      <w:r>
        <w:rPr>
          <w:lang w:val="en-US"/>
        </w:rPr>
        <w:t xml:space="preserve"> </w:t>
      </w:r>
      <w:r w:rsidRPr="006C4490">
        <w:rPr>
          <w:lang w:val="en-US"/>
        </w:rPr>
        <w:t>ill-health</w:t>
      </w:r>
      <w:r>
        <w:rPr>
          <w:lang w:val="en-US"/>
        </w:rPr>
        <w:t xml:space="preserve"> in their recovery</w:t>
      </w:r>
      <w:r>
        <w:t>. This group have their own needs, including training and support requirements, and benefit from whole-of-family approaches.</w:t>
      </w:r>
      <w:bookmarkEnd w:id="1"/>
    </w:p>
    <w:p w14:paraId="0C1DA1C9" w14:textId="1BEC770C" w:rsidR="009A7E6B" w:rsidRDefault="009A7E6B" w:rsidP="0071163C">
      <w:pPr>
        <w:pStyle w:val="BodyText"/>
        <w:sectPr w:rsidR="009A7E6B" w:rsidSect="0003519A">
          <w:headerReference w:type="even" r:id="rId17"/>
          <w:headerReference w:type="default" r:id="rId18"/>
          <w:footerReference w:type="even" r:id="rId19"/>
          <w:footerReference w:type="default" r:id="rId20"/>
          <w:headerReference w:type="first" r:id="rId21"/>
          <w:footerReference w:type="first" r:id="rId22"/>
          <w:pgSz w:w="11906" w:h="16838" w:code="9"/>
          <w:pgMar w:top="1418" w:right="1134" w:bottom="1134" w:left="1134" w:header="454" w:footer="159" w:gutter="0"/>
          <w:pgNumType w:fmt="lowerRoman" w:start="1"/>
          <w:cols w:space="708"/>
          <w:docGrid w:linePitch="360"/>
        </w:sectPr>
      </w:pPr>
    </w:p>
    <w:p w14:paraId="657A8633" w14:textId="2E170463" w:rsidR="009A7E6B" w:rsidRDefault="00F43873" w:rsidP="0007769F">
      <w:pPr>
        <w:pStyle w:val="BodyText"/>
        <w:ind w:left="-426" w:hanging="1842"/>
      </w:pPr>
      <w:r w:rsidRPr="0080188E">
        <w:rPr>
          <w:rStyle w:val="CaptionLabel"/>
          <w:b w:val="0"/>
          <w:bCs/>
        </w:rPr>
        <w:lastRenderedPageBreak/>
        <w:t>FIGURE </w:t>
      </w:r>
      <w:r w:rsidR="0007769F">
        <w:rPr>
          <w:rStyle w:val="CaptionLabel"/>
          <w:b w:val="0"/>
          <w:bCs/>
        </w:rPr>
        <w:t>ES.</w:t>
      </w:r>
      <w:r w:rsidR="003106B8" w:rsidRPr="0080188E">
        <w:rPr>
          <w:rStyle w:val="CaptionLabel"/>
          <w:b w:val="0"/>
          <w:bCs/>
        </w:rPr>
        <w:fldChar w:fldCharType="begin"/>
      </w:r>
      <w:r w:rsidR="003106B8" w:rsidRPr="0080188E">
        <w:rPr>
          <w:rStyle w:val="CaptionLabel"/>
          <w:b w:val="0"/>
          <w:bCs/>
        </w:rPr>
        <w:instrText xml:space="preserve"> SEQ Figure_ES \* ARABIC  \* MERGEFORMAT </w:instrText>
      </w:r>
      <w:r w:rsidR="003106B8" w:rsidRPr="0080188E">
        <w:rPr>
          <w:rStyle w:val="CaptionLabel"/>
          <w:b w:val="0"/>
          <w:bCs/>
        </w:rPr>
        <w:fldChar w:fldCharType="separate"/>
      </w:r>
      <w:r w:rsidR="005F0718">
        <w:rPr>
          <w:rStyle w:val="CaptionLabel"/>
          <w:b w:val="0"/>
          <w:bCs/>
          <w:noProof/>
        </w:rPr>
        <w:t>1</w:t>
      </w:r>
      <w:r w:rsidR="003106B8" w:rsidRPr="0080188E">
        <w:rPr>
          <w:rStyle w:val="CaptionLabel"/>
          <w:b w:val="0"/>
          <w:bCs/>
        </w:rPr>
        <w:fldChar w:fldCharType="end"/>
      </w:r>
      <w:r>
        <w:tab/>
        <w:t>DEFINITION OF THE MENTAL HEALTH WORKFORCE</w:t>
      </w:r>
    </w:p>
    <w:p w14:paraId="7488FA88" w14:textId="3EFCE617" w:rsidR="003106B8" w:rsidRDefault="003106B8" w:rsidP="00090794">
      <w:pPr>
        <w:pStyle w:val="BodyText"/>
        <w:spacing w:after="0"/>
        <w:ind w:left="-2268"/>
      </w:pPr>
      <w:r>
        <w:rPr>
          <w:noProof/>
        </w:rPr>
        <w:drawing>
          <wp:inline distT="0" distB="0" distL="0" distR="0" wp14:anchorId="0713CD76" wp14:editId="31FF3A34">
            <wp:extent cx="9661968" cy="5271247"/>
            <wp:effectExtent l="0" t="0" r="0" b="5715"/>
            <wp:docPr id="106" name="Picture 106" descr="Diagram depicting the different roles in the mental health workforce. People experiencing mental distress and/or ill-health are at the centre with their carers, families and commun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Picture 106" descr="Diagram depicting the different roles in the mental health workforce. People experiencing mental distress and/or ill-health are at the centre with their carers, families and communities."/>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9686793" cy="5284791"/>
                    </a:xfrm>
                    <a:prstGeom prst="rect">
                      <a:avLst/>
                    </a:prstGeom>
                    <a:noFill/>
                  </pic:spPr>
                </pic:pic>
              </a:graphicData>
            </a:graphic>
          </wp:inline>
        </w:drawing>
      </w:r>
    </w:p>
    <w:p w14:paraId="0191B6C6" w14:textId="73FFBAFA" w:rsidR="00090794" w:rsidRDefault="00090794" w:rsidP="003106B8">
      <w:pPr>
        <w:pStyle w:val="BodyText"/>
        <w:ind w:left="-2410"/>
        <w:sectPr w:rsidR="00090794" w:rsidSect="009A7E6B">
          <w:headerReference w:type="even" r:id="rId24"/>
          <w:headerReference w:type="default" r:id="rId25"/>
          <w:footerReference w:type="even" r:id="rId26"/>
          <w:headerReference w:type="first" r:id="rId27"/>
          <w:footerReference w:type="first" r:id="rId28"/>
          <w:pgSz w:w="16838" w:h="11906" w:orient="landscape" w:code="9"/>
          <w:pgMar w:top="1134" w:right="851" w:bottom="1134" w:left="3119" w:header="454" w:footer="159" w:gutter="0"/>
          <w:pgNumType w:fmt="lowerRoman"/>
          <w:cols w:space="708"/>
          <w:docGrid w:linePitch="360"/>
        </w:sectPr>
      </w:pPr>
      <w:r>
        <w:rPr>
          <w:iCs/>
        </w:rPr>
        <w:t xml:space="preserve">Note: Mental Health Nurse refers to Credentialled Mental Health Nurses. </w:t>
      </w:r>
      <w:r w:rsidRPr="007F4327">
        <w:rPr>
          <w:iCs/>
        </w:rPr>
        <w:t xml:space="preserve"> </w:t>
      </w:r>
    </w:p>
    <w:p w14:paraId="31353617" w14:textId="77777777" w:rsidR="002D3E92" w:rsidRDefault="002D3E92" w:rsidP="005D7B47">
      <w:pPr>
        <w:pStyle w:val="Heading2ES"/>
      </w:pPr>
      <w:r>
        <w:lastRenderedPageBreak/>
        <w:t>Aim</w:t>
      </w:r>
    </w:p>
    <w:p w14:paraId="6168EBFE" w14:textId="77777777" w:rsidR="002D3E92" w:rsidRPr="009910A3" w:rsidRDefault="002D3E92" w:rsidP="002D3E92">
      <w:pPr>
        <w:pStyle w:val="BodyText"/>
      </w:pPr>
      <w:r>
        <w:t>The aim of the Strategy is:</w:t>
      </w:r>
    </w:p>
    <w:p w14:paraId="11324EBC" w14:textId="77777777" w:rsidR="002D3E92" w:rsidRPr="0003684E" w:rsidRDefault="002D3E92" w:rsidP="004D2F87">
      <w:pPr>
        <w:pStyle w:val="BodyText"/>
        <w:ind w:right="95"/>
        <w:rPr>
          <w:b/>
          <w:bCs/>
          <w:i/>
          <w:iCs/>
        </w:rPr>
      </w:pPr>
      <w:r w:rsidRPr="0080188E">
        <w:t xml:space="preserve">To develop and retain an appropriately skilled, </w:t>
      </w:r>
      <w:proofErr w:type="gramStart"/>
      <w:r w:rsidRPr="0080188E">
        <w:t>resourced</w:t>
      </w:r>
      <w:proofErr w:type="gramEnd"/>
      <w:r w:rsidRPr="0080188E">
        <w:t xml:space="preserve"> and sized mental health workforce that is suitably distributed and integrated to help Australians be mentally and physically well by meeting their prevention, support, treatment and recovery requirements at the time and in the way that best meets their needs</w:t>
      </w:r>
      <w:r w:rsidRPr="0003684E">
        <w:rPr>
          <w:b/>
          <w:bCs/>
          <w:i/>
          <w:iCs/>
        </w:rPr>
        <w:t>.</w:t>
      </w:r>
    </w:p>
    <w:p w14:paraId="52034582" w14:textId="77777777" w:rsidR="002D3E92" w:rsidRDefault="002D3E92" w:rsidP="002D3E92">
      <w:pPr>
        <w:pStyle w:val="BodyText"/>
      </w:pPr>
      <w:r>
        <w:t xml:space="preserve">Supporting Australians to be mentally well is no longer restricted to supporting those experiencing suicidality, mental distress and/or ill-health, but encompasses mental health </w:t>
      </w:r>
      <w:r w:rsidRPr="00D508CE">
        <w:t xml:space="preserve">promotion, </w:t>
      </w:r>
      <w:r>
        <w:t xml:space="preserve">suicide </w:t>
      </w:r>
      <w:r w:rsidRPr="00D508CE">
        <w:t xml:space="preserve">prevention, early intervention, </w:t>
      </w:r>
      <w:proofErr w:type="gramStart"/>
      <w:r w:rsidRPr="00D508CE">
        <w:t>support</w:t>
      </w:r>
      <w:proofErr w:type="gramEnd"/>
      <w:r w:rsidRPr="00D508CE">
        <w:t xml:space="preserve"> and treatment to </w:t>
      </w:r>
      <w:r>
        <w:t>encourage</w:t>
      </w:r>
      <w:r w:rsidRPr="00D508CE">
        <w:t xml:space="preserve"> positive mental health and wellbeing.</w:t>
      </w:r>
      <w:r>
        <w:t xml:space="preserve"> These issues affect people of all ages from all backgrounds in all locations across Australia.</w:t>
      </w:r>
    </w:p>
    <w:p w14:paraId="628E6371" w14:textId="77777777" w:rsidR="002D3E92" w:rsidRDefault="002D3E92" w:rsidP="004D2F87">
      <w:pPr>
        <w:pStyle w:val="Heading2ES"/>
      </w:pPr>
      <w:r>
        <w:t>Objectives and priority areas for action</w:t>
      </w:r>
    </w:p>
    <w:p w14:paraId="30DA3A53" w14:textId="0F7C80D5" w:rsidR="00565C42" w:rsidRDefault="002D3E92" w:rsidP="002D3E92">
      <w:pPr>
        <w:pStyle w:val="BodyText"/>
      </w:pPr>
      <w:r>
        <w:t xml:space="preserve">The Strategy’s aim and objectives are conceptualised in Figure </w:t>
      </w:r>
      <w:r w:rsidR="002F0621">
        <w:t>ES.</w:t>
      </w:r>
      <w:r>
        <w:t>2. These objectives are designed to recognise, and build on, the strengths of the existing mental health workforce while growing the overall size.</w:t>
      </w:r>
    </w:p>
    <w:p w14:paraId="0B89D061" w14:textId="72B73178" w:rsidR="002D3E92" w:rsidRDefault="00F43873" w:rsidP="002D3E92">
      <w:pPr>
        <w:pStyle w:val="BodyText"/>
      </w:pPr>
      <w:r w:rsidRPr="004D2F87">
        <w:rPr>
          <w:rStyle w:val="CaptionLabel"/>
          <w:b w:val="0"/>
          <w:bCs/>
        </w:rPr>
        <w:t>FIGURE </w:t>
      </w:r>
      <w:r w:rsidR="0007769F">
        <w:rPr>
          <w:rStyle w:val="CaptionLabel"/>
          <w:b w:val="0"/>
          <w:bCs/>
        </w:rPr>
        <w:t>ES.</w:t>
      </w:r>
      <w:r w:rsidRPr="004D2F87">
        <w:rPr>
          <w:rStyle w:val="CaptionLabel"/>
          <w:b w:val="0"/>
          <w:bCs/>
        </w:rPr>
        <w:t>2</w:t>
      </w:r>
      <w:r>
        <w:tab/>
        <w:t xml:space="preserve">STRATEGY – AIM AND OBJECTIVES </w:t>
      </w:r>
    </w:p>
    <w:p w14:paraId="42F8141B" w14:textId="422836E9" w:rsidR="00565C42" w:rsidRDefault="00565C42" w:rsidP="002D3E92">
      <w:pPr>
        <w:pStyle w:val="BodyText"/>
      </w:pPr>
      <w:r>
        <w:rPr>
          <w:noProof/>
        </w:rPr>
        <w:drawing>
          <wp:inline distT="0" distB="0" distL="0" distR="0" wp14:anchorId="1BCF6017" wp14:editId="614AE56A">
            <wp:extent cx="6271260" cy="3924354"/>
            <wp:effectExtent l="0" t="0" r="0" b="0"/>
            <wp:docPr id="81" name="Picture 81" descr="Diagram depicting the six objectives of the Strategy. These objectives are supported by the a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Picture 81" descr="Diagram depicting the six objectives of the Strategy. These objectives are supported by the aim."/>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271260" cy="3924354"/>
                    </a:xfrm>
                    <a:prstGeom prst="rect">
                      <a:avLst/>
                    </a:prstGeom>
                    <a:noFill/>
                  </pic:spPr>
                </pic:pic>
              </a:graphicData>
            </a:graphic>
          </wp:inline>
        </w:drawing>
      </w:r>
    </w:p>
    <w:p w14:paraId="45F2A1EF" w14:textId="77777777" w:rsidR="002D3E92" w:rsidRDefault="002D3E92" w:rsidP="002D3E92">
      <w:pPr>
        <w:pStyle w:val="BodyText"/>
      </w:pPr>
      <w:r>
        <w:lastRenderedPageBreak/>
        <w:t xml:space="preserve">The Strategy identifies </w:t>
      </w:r>
      <w:r w:rsidRPr="00B954C1">
        <w:t>priority</w:t>
      </w:r>
      <w:r>
        <w:t xml:space="preserve"> </w:t>
      </w:r>
      <w:r w:rsidRPr="00B954C1">
        <w:t>areas</w:t>
      </w:r>
      <w:r>
        <w:t xml:space="preserve"> </w:t>
      </w:r>
      <w:r w:rsidRPr="00B954C1">
        <w:t>for</w:t>
      </w:r>
      <w:r>
        <w:t xml:space="preserve"> </w:t>
      </w:r>
      <w:r w:rsidRPr="00B954C1">
        <w:t>action</w:t>
      </w:r>
      <w:r>
        <w:t xml:space="preserve"> (priority areas) and supporting </w:t>
      </w:r>
      <w:r w:rsidRPr="003345CB">
        <w:t>actions</w:t>
      </w:r>
      <w:r>
        <w:t xml:space="preserve"> aligned to each objective. The priority areas and actions represent an integrated approach to achieving the objectives and include many co-dependencies; therefore, an action may be relevant to more than one priority area and support multiple objectives.</w:t>
      </w:r>
      <w:r w:rsidRPr="00F62A48">
        <w:t xml:space="preserve"> </w:t>
      </w:r>
    </w:p>
    <w:p w14:paraId="083B221F" w14:textId="2FC00BD3" w:rsidR="002D3E92" w:rsidRDefault="002D3E92" w:rsidP="002D3E92">
      <w:pPr>
        <w:pStyle w:val="BodyText"/>
      </w:pPr>
      <w:r>
        <w:t xml:space="preserve">Potential implementation activities associated with each priority area were suggested to the Taskforce by Working Group members and through consultation processes. These suggestions have been collated and aligned to the objectives, priority areas for action and actions and are provided in Appendix A for information only. The figure below represents the relationship between the objectives, priority areas, </w:t>
      </w:r>
      <w:proofErr w:type="gramStart"/>
      <w:r>
        <w:t>actions</w:t>
      </w:r>
      <w:proofErr w:type="gramEnd"/>
      <w:r>
        <w:t xml:space="preserve"> and potential implementation activities.</w:t>
      </w:r>
    </w:p>
    <w:p w14:paraId="75926AE7" w14:textId="23C4482F" w:rsidR="00943755" w:rsidRDefault="00F43873" w:rsidP="002D3E92">
      <w:pPr>
        <w:pStyle w:val="BodyText"/>
      </w:pPr>
      <w:r w:rsidRPr="00104E6D">
        <w:rPr>
          <w:rStyle w:val="CaptionLabel"/>
          <w:b w:val="0"/>
          <w:bCs/>
        </w:rPr>
        <w:t>FIGURE </w:t>
      </w:r>
      <w:r w:rsidR="0007769F">
        <w:rPr>
          <w:rStyle w:val="CaptionLabel"/>
          <w:b w:val="0"/>
          <w:bCs/>
        </w:rPr>
        <w:t>ES.</w:t>
      </w:r>
      <w:r w:rsidRPr="00104E6D">
        <w:rPr>
          <w:rStyle w:val="CaptionLabel"/>
          <w:b w:val="0"/>
          <w:bCs/>
        </w:rPr>
        <w:t>3</w:t>
      </w:r>
      <w:r>
        <w:tab/>
        <w:t>STRATEGY – RELATIONSHIP BETWEEN OBJECTIVES, PRIORITY AREAS, ACTIONS AND POTENTIAL IMPLEMENTATION ACTIVITIES</w:t>
      </w:r>
    </w:p>
    <w:p w14:paraId="6AFDE361" w14:textId="2908EF5C" w:rsidR="00943755" w:rsidRDefault="00943755" w:rsidP="002D3E92">
      <w:pPr>
        <w:pStyle w:val="BodyText"/>
      </w:pPr>
      <w:r>
        <w:rPr>
          <w:noProof/>
        </w:rPr>
        <w:drawing>
          <wp:inline distT="0" distB="0" distL="0" distR="0" wp14:anchorId="56D35E48" wp14:editId="4151C5BF">
            <wp:extent cx="6336254" cy="3378432"/>
            <wp:effectExtent l="0" t="0" r="7620" b="0"/>
            <wp:docPr id="54" name="Picture 54" descr="Diagram showing that objectives are supported by priority areas for actions, then actions, then potential implementation activ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descr="Diagram showing that objectives are supported by priority areas for actions, then actions, then potential implementation activities."/>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1376"/>
                    <a:stretch/>
                  </pic:blipFill>
                  <pic:spPr bwMode="auto">
                    <a:xfrm>
                      <a:off x="0" y="0"/>
                      <a:ext cx="6391373" cy="3407821"/>
                    </a:xfrm>
                    <a:prstGeom prst="rect">
                      <a:avLst/>
                    </a:prstGeom>
                    <a:noFill/>
                    <a:ln>
                      <a:noFill/>
                    </a:ln>
                    <a:extLst>
                      <a:ext uri="{53640926-AAD7-44D8-BBD7-CCE9431645EC}">
                        <a14:shadowObscured xmlns:a14="http://schemas.microsoft.com/office/drawing/2010/main"/>
                      </a:ext>
                    </a:extLst>
                  </pic:spPr>
                </pic:pic>
              </a:graphicData>
            </a:graphic>
          </wp:inline>
        </w:drawing>
      </w:r>
    </w:p>
    <w:p w14:paraId="62F3C458" w14:textId="77777777" w:rsidR="002D3E92" w:rsidRDefault="002D3E92" w:rsidP="002D3E92">
      <w:pPr>
        <w:pStyle w:val="BodyText"/>
      </w:pPr>
      <w:r>
        <w:t xml:space="preserve">Each chapter of the Strategy is aligned to an objective and includes explanation of the priority areas and actions associated with the objective. </w:t>
      </w:r>
    </w:p>
    <w:p w14:paraId="3CC05171" w14:textId="77777777" w:rsidR="002D3E92" w:rsidRPr="004A4640" w:rsidRDefault="002D3E92" w:rsidP="005D7B47">
      <w:pPr>
        <w:pStyle w:val="Heading2ES"/>
      </w:pPr>
      <w:r>
        <w:t>Implementation</w:t>
      </w:r>
    </w:p>
    <w:p w14:paraId="39011DFD" w14:textId="77777777" w:rsidR="002D3E92" w:rsidRPr="00492254" w:rsidRDefault="002D3E92" w:rsidP="005D7B47">
      <w:pPr>
        <w:pStyle w:val="Heading3ES"/>
        <w:rPr>
          <w:rFonts w:eastAsiaTheme="majorEastAsia"/>
        </w:rPr>
      </w:pPr>
      <w:r w:rsidRPr="00492254">
        <w:t>Roles and responsibilities</w:t>
      </w:r>
    </w:p>
    <w:p w14:paraId="7AE846C0" w14:textId="77777777" w:rsidR="002D3E92" w:rsidRDefault="002D3E92" w:rsidP="002D3E92">
      <w:pPr>
        <w:pStyle w:val="BodyText"/>
      </w:pPr>
      <w:r w:rsidRPr="006054E1">
        <w:t>Achieving</w:t>
      </w:r>
      <w:r>
        <w:t xml:space="preserve"> </w:t>
      </w:r>
      <w:r w:rsidRPr="006054E1">
        <w:t>the</w:t>
      </w:r>
      <w:r>
        <w:t xml:space="preserve"> aim of the </w:t>
      </w:r>
      <w:r w:rsidRPr="006054E1">
        <w:t>Strategy</w:t>
      </w:r>
      <w:r>
        <w:t xml:space="preserve"> </w:t>
      </w:r>
      <w:r w:rsidRPr="006054E1">
        <w:t>requires</w:t>
      </w:r>
      <w:r>
        <w:t xml:space="preserve"> multiple levels of government, </w:t>
      </w:r>
      <w:proofErr w:type="gramStart"/>
      <w:r w:rsidRPr="006054E1">
        <w:t>sector</w:t>
      </w:r>
      <w:r>
        <w:t>s</w:t>
      </w:r>
      <w:proofErr w:type="gramEnd"/>
      <w:r>
        <w:t xml:space="preserve"> and stakeholders </w:t>
      </w:r>
      <w:r w:rsidRPr="006054E1">
        <w:t>to</w:t>
      </w:r>
      <w:r>
        <w:t xml:space="preserve"> </w:t>
      </w:r>
      <w:r w:rsidRPr="00C841B7">
        <w:t xml:space="preserve">be proactive and committed </w:t>
      </w:r>
      <w:r>
        <w:t xml:space="preserve">to </w:t>
      </w:r>
      <w:r w:rsidRPr="006054E1">
        <w:t>work</w:t>
      </w:r>
      <w:r>
        <w:t xml:space="preserve">ing </w:t>
      </w:r>
      <w:r w:rsidRPr="006054E1">
        <w:t>together</w:t>
      </w:r>
      <w:r>
        <w:t xml:space="preserve"> </w:t>
      </w:r>
      <w:r w:rsidRPr="006054E1">
        <w:t>toward</w:t>
      </w:r>
      <w:r>
        <w:t xml:space="preserve"> </w:t>
      </w:r>
      <w:r w:rsidRPr="006054E1">
        <w:t>a</w:t>
      </w:r>
      <w:r>
        <w:t xml:space="preserve"> </w:t>
      </w:r>
      <w:r w:rsidRPr="006054E1">
        <w:t>shared</w:t>
      </w:r>
      <w:r>
        <w:t xml:space="preserve"> </w:t>
      </w:r>
      <w:r w:rsidRPr="006054E1">
        <w:t>view</w:t>
      </w:r>
      <w:r>
        <w:t xml:space="preserve"> </w:t>
      </w:r>
      <w:r w:rsidRPr="006054E1">
        <w:t>of</w:t>
      </w:r>
      <w:r>
        <w:t xml:space="preserve"> mental health </w:t>
      </w:r>
      <w:r w:rsidRPr="006054E1">
        <w:t>system</w:t>
      </w:r>
      <w:r>
        <w:t xml:space="preserve"> </w:t>
      </w:r>
      <w:r w:rsidRPr="006054E1">
        <w:t>reform.</w:t>
      </w:r>
      <w:r>
        <w:t xml:space="preserve"> </w:t>
      </w:r>
    </w:p>
    <w:p w14:paraId="3BEF3DC5" w14:textId="77777777" w:rsidR="002D3E92" w:rsidRPr="006054E1" w:rsidRDefault="002D3E92" w:rsidP="002D3E92">
      <w:pPr>
        <w:pStyle w:val="BodyText"/>
      </w:pPr>
      <w:r>
        <w:lastRenderedPageBreak/>
        <w:t>The Strategy recognises the need for greater c</w:t>
      </w:r>
      <w:r w:rsidRPr="00987E88">
        <w:t xml:space="preserve">ollaboration </w:t>
      </w:r>
      <w:r>
        <w:t xml:space="preserve">and coordination </w:t>
      </w:r>
      <w:r w:rsidRPr="00987E88">
        <w:t>within and across levels of government</w:t>
      </w:r>
      <w:r>
        <w:t xml:space="preserve"> to agree</w:t>
      </w:r>
      <w:r w:rsidRPr="009B6567">
        <w:t xml:space="preserve"> funding, </w:t>
      </w:r>
      <w:proofErr w:type="gramStart"/>
      <w:r w:rsidRPr="009B6567">
        <w:t>governance</w:t>
      </w:r>
      <w:proofErr w:type="gramEnd"/>
      <w:r w:rsidRPr="009B6567">
        <w:t xml:space="preserve"> and accountability</w:t>
      </w:r>
      <w:r>
        <w:t xml:space="preserve"> for implementation of reforms. All stakeholders </w:t>
      </w:r>
      <w:r w:rsidRPr="006054E1">
        <w:t>will</w:t>
      </w:r>
      <w:r>
        <w:t xml:space="preserve"> </w:t>
      </w:r>
      <w:r w:rsidRPr="006054E1">
        <w:t>need</w:t>
      </w:r>
      <w:r>
        <w:t xml:space="preserve"> </w:t>
      </w:r>
      <w:r w:rsidRPr="006054E1">
        <w:t>to</w:t>
      </w:r>
      <w:r>
        <w:t xml:space="preserve"> </w:t>
      </w:r>
      <w:r w:rsidRPr="006054E1">
        <w:t>cooperate</w:t>
      </w:r>
      <w:r>
        <w:t xml:space="preserve"> </w:t>
      </w:r>
      <w:r w:rsidRPr="006054E1">
        <w:t>to</w:t>
      </w:r>
      <w:r>
        <w:t xml:space="preserve"> </w:t>
      </w:r>
      <w:r w:rsidRPr="006054E1">
        <w:t>deliver</w:t>
      </w:r>
      <w:r>
        <w:t xml:space="preserve"> </w:t>
      </w:r>
      <w:r w:rsidRPr="006054E1">
        <w:t>priority</w:t>
      </w:r>
      <w:r>
        <w:t xml:space="preserve"> </w:t>
      </w:r>
      <w:r w:rsidRPr="006054E1">
        <w:t>action</w:t>
      </w:r>
      <w:r>
        <w:t xml:space="preserve"> areas </w:t>
      </w:r>
      <w:r w:rsidRPr="006054E1">
        <w:t>from</w:t>
      </w:r>
      <w:r>
        <w:t xml:space="preserve"> </w:t>
      </w:r>
      <w:r w:rsidRPr="006054E1">
        <w:t>their</w:t>
      </w:r>
      <w:r>
        <w:t xml:space="preserve"> </w:t>
      </w:r>
      <w:r w:rsidRPr="006054E1">
        <w:t>respective</w:t>
      </w:r>
      <w:r>
        <w:t xml:space="preserve"> </w:t>
      </w:r>
      <w:r w:rsidRPr="006054E1">
        <w:t>mandates,</w:t>
      </w:r>
      <w:r>
        <w:t xml:space="preserve"> </w:t>
      </w:r>
      <w:r w:rsidRPr="006054E1">
        <w:t>ensuring</w:t>
      </w:r>
      <w:r>
        <w:t xml:space="preserve"> </w:t>
      </w:r>
      <w:r w:rsidRPr="006054E1">
        <w:t>that</w:t>
      </w:r>
      <w:r>
        <w:t xml:space="preserve"> </w:t>
      </w:r>
      <w:r w:rsidRPr="006054E1">
        <w:t>system-wide</w:t>
      </w:r>
      <w:r>
        <w:t xml:space="preserve"> </w:t>
      </w:r>
      <w:r w:rsidRPr="006054E1">
        <w:t>collaboration</w:t>
      </w:r>
      <w:r>
        <w:t xml:space="preserve"> </w:t>
      </w:r>
      <w:r w:rsidRPr="006054E1">
        <w:t>helps</w:t>
      </w:r>
      <w:r>
        <w:t xml:space="preserve"> </w:t>
      </w:r>
      <w:r w:rsidRPr="006054E1">
        <w:t>to</w:t>
      </w:r>
      <w:r>
        <w:t xml:space="preserve"> </w:t>
      </w:r>
      <w:r w:rsidRPr="006054E1">
        <w:t>expand</w:t>
      </w:r>
      <w:r>
        <w:t xml:space="preserve"> </w:t>
      </w:r>
      <w:r w:rsidRPr="006054E1">
        <w:t>and</w:t>
      </w:r>
      <w:r>
        <w:t xml:space="preserve"> </w:t>
      </w:r>
      <w:r w:rsidRPr="006054E1">
        <w:t>improve</w:t>
      </w:r>
      <w:r>
        <w:t xml:space="preserve"> </w:t>
      </w:r>
      <w:r w:rsidRPr="006054E1">
        <w:t>the</w:t>
      </w:r>
      <w:r>
        <w:t xml:space="preserve"> </w:t>
      </w:r>
      <w:r w:rsidRPr="006054E1">
        <w:t>broadly</w:t>
      </w:r>
      <w:r>
        <w:t xml:space="preserve"> </w:t>
      </w:r>
      <w:r w:rsidRPr="006054E1">
        <w:t>defined</w:t>
      </w:r>
      <w:r>
        <w:t xml:space="preserve"> </w:t>
      </w:r>
      <w:r w:rsidRPr="006054E1">
        <w:t>mental</w:t>
      </w:r>
      <w:r>
        <w:t xml:space="preserve"> </w:t>
      </w:r>
      <w:r w:rsidRPr="006054E1">
        <w:t>health</w:t>
      </w:r>
      <w:r>
        <w:t xml:space="preserve"> </w:t>
      </w:r>
      <w:r w:rsidRPr="006054E1">
        <w:t>workforce.</w:t>
      </w:r>
      <w:r>
        <w:t xml:space="preserve"> </w:t>
      </w:r>
      <w:r w:rsidRPr="006054E1">
        <w:t>This</w:t>
      </w:r>
      <w:r>
        <w:t xml:space="preserve"> </w:t>
      </w:r>
      <w:r w:rsidRPr="006054E1">
        <w:t>includes:</w:t>
      </w:r>
    </w:p>
    <w:p w14:paraId="64217885" w14:textId="77777777" w:rsidR="002D3E92" w:rsidRPr="003A67BE" w:rsidRDefault="002D3E92" w:rsidP="002D3E92">
      <w:pPr>
        <w:pStyle w:val="ListBullet"/>
      </w:pPr>
      <w:r w:rsidRPr="00104E6D">
        <w:t xml:space="preserve">Commonwealth, </w:t>
      </w:r>
      <w:proofErr w:type="gramStart"/>
      <w:r w:rsidRPr="00104E6D">
        <w:t>state</w:t>
      </w:r>
      <w:proofErr w:type="gramEnd"/>
      <w:r w:rsidRPr="00104E6D">
        <w:t xml:space="preserve"> and territory governments </w:t>
      </w:r>
      <w:r w:rsidRPr="003A67BE">
        <w:t xml:space="preserve">– share responsibility for funding public, private and </w:t>
      </w:r>
      <w:r>
        <w:t>not-for-profit</w:t>
      </w:r>
      <w:r w:rsidRPr="003A67BE">
        <w:t xml:space="preserve"> mental health services, delivery of public mental health services (state and territory governments), implementation of prevention and early intervention programs, administration of quality and safety mechanisms, funding and quality assurance of relevant vocational and tertiary education providers.</w:t>
      </w:r>
      <w:r>
        <w:t xml:space="preserve"> </w:t>
      </w:r>
      <w:r w:rsidRPr="003A67BE">
        <w:t>The Commonwealth Government is responsible for the Medicare Benefits Schedule (MBS), a list of health professional services subsidised by the Commonwealth Government, and for determining which occupations can deliver the services that attract these subsidies. This includes the Better Access initiative</w:t>
      </w:r>
      <w:r>
        <w:rPr>
          <w:rStyle w:val="FootnoteReference"/>
        </w:rPr>
        <w:footnoteReference w:id="5"/>
      </w:r>
      <w:r w:rsidRPr="003A67BE">
        <w:t xml:space="preserve"> which provides Medicare rebates to help people access specified mental health services</w:t>
      </w:r>
      <w:r>
        <w:t>.</w:t>
      </w:r>
      <w:r w:rsidRPr="003A67BE">
        <w:t xml:space="preserve"> </w:t>
      </w:r>
    </w:p>
    <w:p w14:paraId="73196ADE" w14:textId="77777777" w:rsidR="002D3E92" w:rsidRPr="00092C26" w:rsidRDefault="002D3E92" w:rsidP="002D3E92">
      <w:pPr>
        <w:pStyle w:val="ListBullet"/>
        <w:rPr>
          <w:i/>
          <w:iCs/>
        </w:rPr>
      </w:pPr>
      <w:r w:rsidRPr="00104E6D">
        <w:t>Australian Health Practitioner Regulation Agency (</w:t>
      </w:r>
      <w:proofErr w:type="spellStart"/>
      <w:r w:rsidRPr="00104E6D">
        <w:t>Ahpra</w:t>
      </w:r>
      <w:proofErr w:type="spellEnd"/>
      <w:r w:rsidRPr="00104E6D">
        <w:t>) and National Boards –</w:t>
      </w:r>
      <w:r w:rsidRPr="00F7157F">
        <w:rPr>
          <w:b/>
          <w:bCs/>
          <w:i/>
          <w:iCs/>
        </w:rPr>
        <w:t xml:space="preserve"> </w:t>
      </w:r>
      <w:r w:rsidRPr="00CC29D0">
        <w:t>responsible for</w:t>
      </w:r>
      <w:r>
        <w:rPr>
          <w:i/>
          <w:iCs/>
        </w:rPr>
        <w:t xml:space="preserve"> </w:t>
      </w:r>
      <w:r w:rsidRPr="00092C26">
        <w:t>set</w:t>
      </w:r>
      <w:r>
        <w:t xml:space="preserve">ting </w:t>
      </w:r>
      <w:r w:rsidRPr="00092C26">
        <w:t>standards</w:t>
      </w:r>
      <w:r>
        <w:t xml:space="preserve"> </w:t>
      </w:r>
      <w:r w:rsidRPr="00092C26">
        <w:t>and</w:t>
      </w:r>
      <w:r>
        <w:t xml:space="preserve"> </w:t>
      </w:r>
      <w:r w:rsidRPr="00092C26">
        <w:t>policies</w:t>
      </w:r>
      <w:r>
        <w:t xml:space="preserve"> </w:t>
      </w:r>
      <w:r w:rsidRPr="00092C26">
        <w:t>that</w:t>
      </w:r>
      <w:r>
        <w:t xml:space="preserve"> </w:t>
      </w:r>
      <w:r w:rsidRPr="00092C26">
        <w:t>all</w:t>
      </w:r>
      <w:r>
        <w:t xml:space="preserve"> </w:t>
      </w:r>
      <w:proofErr w:type="spellStart"/>
      <w:r w:rsidRPr="00092C26">
        <w:t>Ahpra</w:t>
      </w:r>
      <w:proofErr w:type="spellEnd"/>
      <w:r>
        <w:t xml:space="preserve"> </w:t>
      </w:r>
      <w:r w:rsidRPr="00092C26">
        <w:t>registered</w:t>
      </w:r>
      <w:r>
        <w:t xml:space="preserve"> </w:t>
      </w:r>
      <w:r w:rsidRPr="00092C26">
        <w:t>health</w:t>
      </w:r>
      <w:r>
        <w:t xml:space="preserve"> </w:t>
      </w:r>
      <w:r w:rsidRPr="00092C26">
        <w:t>practitioners</w:t>
      </w:r>
      <w:r>
        <w:t xml:space="preserve"> </w:t>
      </w:r>
      <w:r w:rsidRPr="00092C26">
        <w:t>must</w:t>
      </w:r>
      <w:r>
        <w:t xml:space="preserve"> </w:t>
      </w:r>
      <w:r w:rsidRPr="00092C26">
        <w:t>meet,</w:t>
      </w:r>
      <w:r>
        <w:t xml:space="preserve"> </w:t>
      </w:r>
      <w:r w:rsidRPr="00092C26">
        <w:t>conduct</w:t>
      </w:r>
      <w:r>
        <w:t xml:space="preserve">ing </w:t>
      </w:r>
      <w:r w:rsidRPr="00092C26">
        <w:t>registration</w:t>
      </w:r>
      <w:r>
        <w:t xml:space="preserve"> </w:t>
      </w:r>
      <w:r w:rsidRPr="00092C26">
        <w:t>and</w:t>
      </w:r>
      <w:r>
        <w:t xml:space="preserve"> </w:t>
      </w:r>
      <w:r w:rsidRPr="00092C26">
        <w:t>compliance</w:t>
      </w:r>
      <w:r>
        <w:t xml:space="preserve"> </w:t>
      </w:r>
      <w:r w:rsidRPr="00092C26">
        <w:t>processes</w:t>
      </w:r>
      <w:r>
        <w:t xml:space="preserve"> </w:t>
      </w:r>
      <w:r w:rsidRPr="00092C26">
        <w:t>and</w:t>
      </w:r>
      <w:r>
        <w:t xml:space="preserve"> </w:t>
      </w:r>
      <w:r w:rsidRPr="00092C26">
        <w:t>investigat</w:t>
      </w:r>
      <w:r>
        <w:t xml:space="preserve">ing </w:t>
      </w:r>
      <w:r w:rsidRPr="00092C26">
        <w:t>complaints</w:t>
      </w:r>
      <w:r>
        <w:t xml:space="preserve"> </w:t>
      </w:r>
      <w:r w:rsidRPr="00092C26">
        <w:t>against</w:t>
      </w:r>
      <w:r>
        <w:t xml:space="preserve"> </w:t>
      </w:r>
      <w:proofErr w:type="spellStart"/>
      <w:r w:rsidRPr="00092C26">
        <w:t>Ahpra</w:t>
      </w:r>
      <w:proofErr w:type="spellEnd"/>
      <w:r>
        <w:t xml:space="preserve"> </w:t>
      </w:r>
      <w:r w:rsidRPr="00092C26">
        <w:t>registered</w:t>
      </w:r>
      <w:r>
        <w:t xml:space="preserve"> </w:t>
      </w:r>
      <w:r w:rsidRPr="00092C26">
        <w:t>practitioners.</w:t>
      </w:r>
    </w:p>
    <w:p w14:paraId="3125BDB6" w14:textId="77777777" w:rsidR="002D3E92" w:rsidRPr="00F646C5" w:rsidRDefault="002D3E92" w:rsidP="002D3E92">
      <w:pPr>
        <w:pStyle w:val="ListBullet"/>
        <w:rPr>
          <w:i/>
          <w:iCs/>
        </w:rPr>
      </w:pPr>
      <w:r w:rsidRPr="00104E6D">
        <w:t>Professional peak bodies and colleges, unions, and consumer and carer organisations</w:t>
      </w:r>
      <w:r>
        <w:rPr>
          <w:i/>
          <w:iCs/>
        </w:rPr>
        <w:t xml:space="preserve"> </w:t>
      </w:r>
      <w:r w:rsidRPr="006054E1">
        <w:rPr>
          <w:i/>
          <w:iCs/>
        </w:rPr>
        <w:t xml:space="preserve">– </w:t>
      </w:r>
      <w:r w:rsidRPr="00092C26">
        <w:t>responsible</w:t>
      </w:r>
      <w:r>
        <w:t xml:space="preserve"> </w:t>
      </w:r>
      <w:r w:rsidRPr="00092C26">
        <w:t>for</w:t>
      </w:r>
      <w:r>
        <w:t xml:space="preserve"> </w:t>
      </w:r>
      <w:r w:rsidRPr="00092C26">
        <w:t>representing</w:t>
      </w:r>
      <w:r>
        <w:t xml:space="preserve"> and supporting members. P</w:t>
      </w:r>
      <w:r w:rsidRPr="00311543">
        <w:t>rofessional peak bodies and colleges</w:t>
      </w:r>
      <w:r>
        <w:t xml:space="preserve"> also</w:t>
      </w:r>
      <w:r w:rsidRPr="00311543">
        <w:t xml:space="preserve"> </w:t>
      </w:r>
      <w:r w:rsidRPr="00092C26">
        <w:t>defin</w:t>
      </w:r>
      <w:r>
        <w:t xml:space="preserve">e </w:t>
      </w:r>
      <w:r w:rsidRPr="00092C26">
        <w:t>training</w:t>
      </w:r>
      <w:r>
        <w:t xml:space="preserve"> </w:t>
      </w:r>
      <w:r w:rsidRPr="00092C26">
        <w:t>and</w:t>
      </w:r>
      <w:r>
        <w:t xml:space="preserve"> </w:t>
      </w:r>
      <w:r w:rsidRPr="00092C26">
        <w:t>education</w:t>
      </w:r>
      <w:r>
        <w:t xml:space="preserve"> </w:t>
      </w:r>
      <w:r w:rsidRPr="00092C26">
        <w:t>standards,</w:t>
      </w:r>
      <w:r>
        <w:t xml:space="preserve"> </w:t>
      </w:r>
      <w:r w:rsidRPr="00092C26">
        <w:t>continuing</w:t>
      </w:r>
      <w:r>
        <w:t xml:space="preserve"> </w:t>
      </w:r>
      <w:r w:rsidRPr="00092C26">
        <w:t>professional</w:t>
      </w:r>
      <w:r>
        <w:t xml:space="preserve"> </w:t>
      </w:r>
      <w:r w:rsidRPr="00092C26">
        <w:t>development</w:t>
      </w:r>
      <w:r>
        <w:t xml:space="preserve"> </w:t>
      </w:r>
      <w:r w:rsidRPr="00092C26">
        <w:t>requirements</w:t>
      </w:r>
      <w:r>
        <w:t xml:space="preserve"> and administer self-regulated occupational schemes, </w:t>
      </w:r>
      <w:r w:rsidRPr="00092C26">
        <w:t>and</w:t>
      </w:r>
      <w:r>
        <w:t xml:space="preserve"> share</w:t>
      </w:r>
      <w:r w:rsidRPr="00716B86">
        <w:t xml:space="preserve"> practice </w:t>
      </w:r>
      <w:r w:rsidRPr="00F646C5">
        <w:t>expertise.</w:t>
      </w:r>
    </w:p>
    <w:p w14:paraId="0FEBBAB9" w14:textId="77777777" w:rsidR="002D3E92" w:rsidRPr="00F646C5" w:rsidRDefault="002D3E92" w:rsidP="002D3E92">
      <w:pPr>
        <w:pStyle w:val="ListBullet"/>
        <w:rPr>
          <w:i/>
          <w:iCs/>
        </w:rPr>
      </w:pPr>
      <w:r w:rsidRPr="00104E6D">
        <w:t>Primary Health Networks (PHNs) and Local Hospital Networks (LHNs)</w:t>
      </w:r>
      <w:r w:rsidRPr="00F646C5">
        <w:rPr>
          <w:i/>
          <w:iCs/>
        </w:rPr>
        <w:t xml:space="preserve"> –</w:t>
      </w:r>
      <w:r w:rsidRPr="00F646C5">
        <w:t xml:space="preserve"> responsible for</w:t>
      </w:r>
      <w:r>
        <w:t xml:space="preserve"> local health needs assessment, </w:t>
      </w:r>
      <w:r w:rsidRPr="00335E6D">
        <w:t>manag</w:t>
      </w:r>
      <w:r>
        <w:t>ing</w:t>
      </w:r>
      <w:r w:rsidRPr="00335E6D">
        <w:t xml:space="preserve"> the delivery of public hospital services and other </w:t>
      </w:r>
      <w:proofErr w:type="gramStart"/>
      <w:r w:rsidRPr="00335E6D">
        <w:t>community based</w:t>
      </w:r>
      <w:proofErr w:type="gramEnd"/>
      <w:r w:rsidRPr="00335E6D">
        <w:t xml:space="preserve"> health services</w:t>
      </w:r>
      <w:r>
        <w:t>,</w:t>
      </w:r>
      <w:r w:rsidRPr="00335E6D">
        <w:t xml:space="preserve"> </w:t>
      </w:r>
      <w:r w:rsidRPr="00F646C5">
        <w:t xml:space="preserve">commissioning </w:t>
      </w:r>
      <w:r>
        <w:t xml:space="preserve">primary </w:t>
      </w:r>
      <w:r w:rsidRPr="00F646C5">
        <w:t>mental health services, regional planning and coordination.</w:t>
      </w:r>
    </w:p>
    <w:p w14:paraId="6167093F" w14:textId="77777777" w:rsidR="002D3E92" w:rsidRPr="00092C26" w:rsidRDefault="002D3E92" w:rsidP="002D3E92">
      <w:pPr>
        <w:pStyle w:val="ListBullet"/>
        <w:rPr>
          <w:i/>
          <w:iCs/>
        </w:rPr>
      </w:pPr>
      <w:r w:rsidRPr="00104E6D">
        <w:t>Education providers –</w:t>
      </w:r>
      <w:r w:rsidRPr="006054E1">
        <w:rPr>
          <w:i/>
          <w:iCs/>
        </w:rPr>
        <w:t xml:space="preserve"> </w:t>
      </w:r>
      <w:r w:rsidRPr="00092C26">
        <w:t>responsible</w:t>
      </w:r>
      <w:r>
        <w:t xml:space="preserve"> </w:t>
      </w:r>
      <w:r w:rsidRPr="00092C26">
        <w:t>for</w:t>
      </w:r>
      <w:r>
        <w:t xml:space="preserve"> </w:t>
      </w:r>
      <w:r w:rsidRPr="00092C26">
        <w:t>the</w:t>
      </w:r>
      <w:r>
        <w:t xml:space="preserve"> </w:t>
      </w:r>
      <w:r w:rsidRPr="00092C26">
        <w:t>developing,</w:t>
      </w:r>
      <w:r>
        <w:t xml:space="preserve"> </w:t>
      </w:r>
      <w:r w:rsidRPr="00092C26">
        <w:t>designing</w:t>
      </w:r>
      <w:r>
        <w:t xml:space="preserve"> </w:t>
      </w:r>
      <w:r w:rsidRPr="00092C26">
        <w:t>and</w:t>
      </w:r>
      <w:r>
        <w:t xml:space="preserve"> </w:t>
      </w:r>
      <w:r w:rsidRPr="00092C26">
        <w:t>delivering</w:t>
      </w:r>
      <w:r>
        <w:t xml:space="preserve"> </w:t>
      </w:r>
      <w:r w:rsidRPr="00092C26">
        <w:t>education</w:t>
      </w:r>
      <w:r>
        <w:t xml:space="preserve"> </w:t>
      </w:r>
      <w:r w:rsidRPr="00092C26">
        <w:t>and</w:t>
      </w:r>
      <w:r>
        <w:t xml:space="preserve"> </w:t>
      </w:r>
      <w:r w:rsidRPr="00092C26">
        <w:t>training</w:t>
      </w:r>
      <w:r>
        <w:t xml:space="preserve"> </w:t>
      </w:r>
      <w:r w:rsidRPr="00092C26">
        <w:t>programs</w:t>
      </w:r>
      <w:r>
        <w:t>,</w:t>
      </w:r>
      <w:r w:rsidRPr="007055A9">
        <w:t xml:space="preserve"> </w:t>
      </w:r>
      <w:r>
        <w:t xml:space="preserve">including co-design initiatives involving peak bodies and other relevant groups, </w:t>
      </w:r>
      <w:r w:rsidRPr="00092C26">
        <w:t>to</w:t>
      </w:r>
      <w:r>
        <w:t xml:space="preserve"> </w:t>
      </w:r>
      <w:r w:rsidRPr="00092C26">
        <w:t>appropriately</w:t>
      </w:r>
      <w:r>
        <w:t xml:space="preserve"> </w:t>
      </w:r>
      <w:r w:rsidRPr="00092C26">
        <w:t>educate</w:t>
      </w:r>
      <w:r>
        <w:t xml:space="preserve"> </w:t>
      </w:r>
      <w:r w:rsidRPr="00092C26">
        <w:t>and</w:t>
      </w:r>
      <w:r>
        <w:t xml:space="preserve"> </w:t>
      </w:r>
      <w:r w:rsidRPr="00092C26">
        <w:t>train</w:t>
      </w:r>
      <w:r>
        <w:t xml:space="preserve"> </w:t>
      </w:r>
      <w:r w:rsidRPr="00092C26">
        <w:t>the</w:t>
      </w:r>
      <w:r>
        <w:t xml:space="preserve"> </w:t>
      </w:r>
      <w:r w:rsidRPr="00092C26">
        <w:t>mental</w:t>
      </w:r>
      <w:r>
        <w:t xml:space="preserve"> </w:t>
      </w:r>
      <w:r w:rsidRPr="00092C26">
        <w:t>health</w:t>
      </w:r>
      <w:r>
        <w:t xml:space="preserve"> </w:t>
      </w:r>
      <w:r w:rsidRPr="00092C26">
        <w:t>workforce.</w:t>
      </w:r>
      <w:r>
        <w:t xml:space="preserve"> </w:t>
      </w:r>
    </w:p>
    <w:p w14:paraId="48DA9F03" w14:textId="77777777" w:rsidR="002D3E92" w:rsidRDefault="002D3E92" w:rsidP="002D3E92">
      <w:pPr>
        <w:pStyle w:val="ListBullet"/>
      </w:pPr>
      <w:r w:rsidRPr="00104E6D">
        <w:t>Health and community services providers, including Aboriginal Community Controlled Health Organisations (ACCHOs), and practitioners</w:t>
      </w:r>
      <w:r>
        <w:rPr>
          <w:i/>
          <w:iCs/>
        </w:rPr>
        <w:t xml:space="preserve"> </w:t>
      </w:r>
      <w:r w:rsidRPr="006054E1">
        <w:t>– responsible</w:t>
      </w:r>
      <w:r>
        <w:t xml:space="preserve"> </w:t>
      </w:r>
      <w:r w:rsidRPr="006054E1">
        <w:t>for</w:t>
      </w:r>
      <w:r>
        <w:t xml:space="preserve"> </w:t>
      </w:r>
      <w:r w:rsidRPr="006054E1">
        <w:t>delivering</w:t>
      </w:r>
      <w:r>
        <w:t xml:space="preserve"> </w:t>
      </w:r>
      <w:r w:rsidRPr="006054E1">
        <w:t>support</w:t>
      </w:r>
      <w:r>
        <w:t xml:space="preserve"> </w:t>
      </w:r>
      <w:r w:rsidRPr="006054E1">
        <w:t>and</w:t>
      </w:r>
      <w:r>
        <w:t xml:space="preserve"> </w:t>
      </w:r>
      <w:r w:rsidRPr="006054E1">
        <w:t>treatment</w:t>
      </w:r>
      <w:r>
        <w:t xml:space="preserve">, </w:t>
      </w:r>
      <w:r w:rsidRPr="006054E1">
        <w:t>employment,</w:t>
      </w:r>
      <w:r>
        <w:t xml:space="preserve"> </w:t>
      </w:r>
      <w:proofErr w:type="gramStart"/>
      <w:r w:rsidRPr="006054E1">
        <w:t>supervision</w:t>
      </w:r>
      <w:proofErr w:type="gramEnd"/>
      <w:r>
        <w:t xml:space="preserve"> </w:t>
      </w:r>
      <w:r w:rsidRPr="006054E1">
        <w:t>and</w:t>
      </w:r>
      <w:r>
        <w:t xml:space="preserve"> </w:t>
      </w:r>
      <w:r w:rsidRPr="006054E1">
        <w:t>support</w:t>
      </w:r>
      <w:r>
        <w:t xml:space="preserve"> </w:t>
      </w:r>
      <w:r w:rsidRPr="006054E1">
        <w:t>to</w:t>
      </w:r>
      <w:r>
        <w:t xml:space="preserve"> </w:t>
      </w:r>
      <w:r w:rsidRPr="006054E1">
        <w:t>attract</w:t>
      </w:r>
      <w:r>
        <w:t xml:space="preserve"> </w:t>
      </w:r>
      <w:r w:rsidRPr="006054E1">
        <w:t>and</w:t>
      </w:r>
      <w:r>
        <w:t xml:space="preserve"> </w:t>
      </w:r>
      <w:r w:rsidRPr="006054E1">
        <w:t>retain</w:t>
      </w:r>
      <w:r>
        <w:t xml:space="preserve"> </w:t>
      </w:r>
      <w:r w:rsidRPr="006054E1">
        <w:t>the</w:t>
      </w:r>
      <w:r>
        <w:t xml:space="preserve"> </w:t>
      </w:r>
      <w:r w:rsidRPr="006054E1">
        <w:t>mental</w:t>
      </w:r>
      <w:r>
        <w:t xml:space="preserve"> </w:t>
      </w:r>
      <w:r w:rsidRPr="006054E1">
        <w:t>health</w:t>
      </w:r>
      <w:r>
        <w:t xml:space="preserve"> </w:t>
      </w:r>
      <w:r w:rsidRPr="006054E1">
        <w:t>workforce.</w:t>
      </w:r>
    </w:p>
    <w:p w14:paraId="061309DD" w14:textId="77777777" w:rsidR="002D3E92" w:rsidRPr="006054E1" w:rsidRDefault="002D3E92" w:rsidP="002D3E92">
      <w:pPr>
        <w:pStyle w:val="ListBullet"/>
      </w:pPr>
      <w:r w:rsidRPr="00104E6D">
        <w:t xml:space="preserve">Carers, family, </w:t>
      </w:r>
      <w:proofErr w:type="gramStart"/>
      <w:r w:rsidRPr="00104E6D">
        <w:t>friends</w:t>
      </w:r>
      <w:proofErr w:type="gramEnd"/>
      <w:r w:rsidRPr="00104E6D">
        <w:t xml:space="preserve"> and important others</w:t>
      </w:r>
      <w:r>
        <w:t xml:space="preserve"> – responsible for p</w:t>
      </w:r>
      <w:r w:rsidRPr="001402A5">
        <w:t>rovid</w:t>
      </w:r>
      <w:r>
        <w:t>ing</w:t>
      </w:r>
      <w:r w:rsidRPr="001402A5">
        <w:t xml:space="preserve"> emotional and practical support </w:t>
      </w:r>
      <w:r>
        <w:t>to a</w:t>
      </w:r>
      <w:r w:rsidRPr="001402A5">
        <w:t xml:space="preserve"> person </w:t>
      </w:r>
      <w:r w:rsidRPr="00AA1F7B">
        <w:t>experiencing suicidality, mental distress and/or ill health</w:t>
      </w:r>
      <w:r>
        <w:t xml:space="preserve"> </w:t>
      </w:r>
      <w:r w:rsidRPr="00094C8E">
        <w:t xml:space="preserve">to assist in </w:t>
      </w:r>
      <w:r>
        <w:t xml:space="preserve">treatment and </w:t>
      </w:r>
      <w:r w:rsidRPr="00094C8E">
        <w:t>recovery</w:t>
      </w:r>
      <w:r w:rsidRPr="001402A5">
        <w:t>.</w:t>
      </w:r>
    </w:p>
    <w:p w14:paraId="236E199C" w14:textId="77777777" w:rsidR="002D3E92" w:rsidRPr="00492254" w:rsidRDefault="002D3E92" w:rsidP="00104E6D">
      <w:pPr>
        <w:pStyle w:val="Heading3ES"/>
        <w:keepLines/>
      </w:pPr>
      <w:r w:rsidRPr="00492254">
        <w:lastRenderedPageBreak/>
        <w:t>Implementation planning</w:t>
      </w:r>
    </w:p>
    <w:p w14:paraId="51D94399" w14:textId="77777777" w:rsidR="002D3E92" w:rsidRDefault="002D3E92" w:rsidP="00104E6D">
      <w:pPr>
        <w:pStyle w:val="BodyText"/>
        <w:keepNext/>
        <w:keepLines/>
      </w:pPr>
      <w:r>
        <w:t xml:space="preserve">In many instances, implementation of the actions represents significant bodies of work. The Strategy will be supported by an implementation plan (or series of plans) that will be developed collaboratively by the Commonwealth, state and territory governments, peak professional bodies and colleges, regulators, educational institutions, service providers, </w:t>
      </w:r>
      <w:proofErr w:type="gramStart"/>
      <w:r>
        <w:t>consumers</w:t>
      </w:r>
      <w:proofErr w:type="gramEnd"/>
      <w:r>
        <w:t xml:space="preserve"> and carers. </w:t>
      </w:r>
    </w:p>
    <w:p w14:paraId="17031AD4" w14:textId="77777777" w:rsidR="002D3E92" w:rsidRDefault="002D3E92" w:rsidP="002D3E92">
      <w:pPr>
        <w:pStyle w:val="BodyText"/>
      </w:pPr>
      <w:r>
        <w:t>The implementation plans will assign priority to actions and identify who will lead each activity (for example, those driven centrally by the Commonwealth and those led by individual states and territories). The implementation plan will also include timelines for implementation, governance arrangements, and monitoring and evaluation requirements. The Commonwealth Department of Health will work with their state and territory counterparts to develop an appropriate national governance structure to oversee the implementation of the Strategy and ensure its success.</w:t>
      </w:r>
    </w:p>
    <w:p w14:paraId="6D28ED1D" w14:textId="77777777" w:rsidR="002D3E92" w:rsidRDefault="002D3E92" w:rsidP="002D3E92">
      <w:pPr>
        <w:pStyle w:val="BodyText"/>
      </w:pPr>
      <w:r>
        <w:t xml:space="preserve">The Strategy includes a broad suite of initiatives that will improve data collection, workforce approaches and consumer outcomes. This will help to provide the basis for government to increase the focus on research and evaluation, from the inception to completion of mental health initiatives. </w:t>
      </w:r>
    </w:p>
    <w:p w14:paraId="52F89F87" w14:textId="46BF53AA" w:rsidR="00740CEC" w:rsidRDefault="002D3E92" w:rsidP="00740CEC">
      <w:pPr>
        <w:pStyle w:val="BodyText"/>
        <w:sectPr w:rsidR="00740CEC" w:rsidSect="0003519A">
          <w:headerReference w:type="even" r:id="rId31"/>
          <w:headerReference w:type="default" r:id="rId32"/>
          <w:footerReference w:type="even" r:id="rId33"/>
          <w:footerReference w:type="default" r:id="rId34"/>
          <w:headerReference w:type="first" r:id="rId35"/>
          <w:footerReference w:type="first" r:id="rId36"/>
          <w:pgSz w:w="11906" w:h="16838" w:code="9"/>
          <w:pgMar w:top="1418" w:right="896" w:bottom="1134" w:left="1134" w:header="454" w:footer="159" w:gutter="0"/>
          <w:pgNumType w:fmt="lowerRoman"/>
          <w:cols w:space="708"/>
          <w:docGrid w:linePitch="360"/>
        </w:sectPr>
      </w:pPr>
      <w:r>
        <w:t xml:space="preserve">Further guidance is provided in the final chapter.  </w:t>
      </w:r>
    </w:p>
    <w:p w14:paraId="7583C6C4" w14:textId="6F88367C" w:rsidR="00407B29" w:rsidRDefault="00D97DB1" w:rsidP="00414A96">
      <w:pPr>
        <w:pStyle w:val="Heading1"/>
        <w:numPr>
          <w:ilvl w:val="0"/>
          <w:numId w:val="44"/>
        </w:numPr>
        <w:ind w:left="1134" w:hanging="1276"/>
        <w:rPr>
          <w:lang w:val="en-US"/>
        </w:rPr>
      </w:pPr>
      <w:bookmarkStart w:id="3" w:name="_Toc98866253"/>
      <w:r>
        <w:rPr>
          <w:lang w:val="en-US"/>
        </w:rPr>
        <w:lastRenderedPageBreak/>
        <w:t xml:space="preserve">Data underpins workforce planning at a national, </w:t>
      </w:r>
      <w:proofErr w:type="gramStart"/>
      <w:r>
        <w:rPr>
          <w:lang w:val="en-US"/>
        </w:rPr>
        <w:t>regional</w:t>
      </w:r>
      <w:proofErr w:type="gramEnd"/>
      <w:r>
        <w:rPr>
          <w:lang w:val="en-US"/>
        </w:rPr>
        <w:t xml:space="preserve"> and local level</w:t>
      </w:r>
      <w:bookmarkEnd w:id="3"/>
    </w:p>
    <w:p w14:paraId="230417B4" w14:textId="2F4B4431" w:rsidR="00C0258E" w:rsidRDefault="00C0258E" w:rsidP="0018475E">
      <w:pPr>
        <w:pStyle w:val="BodyText"/>
        <w:spacing w:before="480"/>
      </w:pPr>
      <w:r>
        <w:rPr>
          <w:lang w:val="en-US"/>
        </w:rPr>
        <w:t xml:space="preserve">The first objective </w:t>
      </w:r>
      <w:r w:rsidRPr="00E54BD0">
        <w:rPr>
          <w:lang w:val="en-US"/>
        </w:rPr>
        <w:t xml:space="preserve">– </w:t>
      </w:r>
      <w:r w:rsidRPr="00E54BD0">
        <w:rPr>
          <w:color w:val="140034" w:themeColor="background2"/>
          <w:lang w:val="en-US"/>
        </w:rPr>
        <w:t xml:space="preserve">Data underpins workforce planning at a national, </w:t>
      </w:r>
      <w:proofErr w:type="gramStart"/>
      <w:r w:rsidRPr="00E54BD0">
        <w:rPr>
          <w:color w:val="140034" w:themeColor="background2"/>
          <w:lang w:val="en-US"/>
        </w:rPr>
        <w:t>regional</w:t>
      </w:r>
      <w:proofErr w:type="gramEnd"/>
      <w:r w:rsidRPr="00E54BD0">
        <w:rPr>
          <w:color w:val="140034" w:themeColor="background2"/>
          <w:lang w:val="en-US"/>
        </w:rPr>
        <w:t xml:space="preserve"> and local level </w:t>
      </w:r>
      <w:r w:rsidRPr="00E54BD0">
        <w:rPr>
          <w:lang w:val="en-US"/>
        </w:rPr>
        <w:t>–</w:t>
      </w:r>
      <w:r>
        <w:rPr>
          <w:lang w:val="en-US"/>
        </w:rPr>
        <w:t xml:space="preserve"> addresses the need for strategic, future-focused mental health workforce planning to be underpinned by </w:t>
      </w:r>
      <w:r>
        <w:t xml:space="preserve">reliable, comprehensive, up-to-date workforce data that is readily accessible. Availability and use of such data will support forecasting and monitoring of strategies that encourage workforce development and growth for both established and emerging occupations. </w:t>
      </w:r>
    </w:p>
    <w:p w14:paraId="10022699" w14:textId="094DB948" w:rsidR="00B65B60" w:rsidRDefault="00F43873" w:rsidP="00646EE8">
      <w:pPr>
        <w:pStyle w:val="BodyText"/>
        <w:ind w:left="1701" w:hanging="1701"/>
      </w:pPr>
      <w:r w:rsidRPr="00E54BD0">
        <w:rPr>
          <w:rStyle w:val="CaptionLabel"/>
          <w:b w:val="0"/>
          <w:bCs/>
        </w:rPr>
        <w:t>FIGURE 1.</w:t>
      </w:r>
      <w:r w:rsidR="00B65B60" w:rsidRPr="00E54BD0">
        <w:rPr>
          <w:rStyle w:val="CaptionLabel"/>
          <w:b w:val="0"/>
          <w:bCs/>
        </w:rPr>
        <w:fldChar w:fldCharType="begin"/>
      </w:r>
      <w:r w:rsidR="00B65B60" w:rsidRPr="00E54BD0">
        <w:rPr>
          <w:rStyle w:val="CaptionLabel"/>
          <w:b w:val="0"/>
          <w:bCs/>
        </w:rPr>
        <w:instrText xml:space="preserve"> SEQ Figure \* ARABIC \S 1 \* MERGEFORMAT </w:instrText>
      </w:r>
      <w:r w:rsidR="00B65B60" w:rsidRPr="00E54BD0">
        <w:rPr>
          <w:rStyle w:val="CaptionLabel"/>
          <w:b w:val="0"/>
          <w:bCs/>
        </w:rPr>
        <w:fldChar w:fldCharType="separate"/>
      </w:r>
      <w:r w:rsidR="005F0718">
        <w:rPr>
          <w:rStyle w:val="CaptionLabel"/>
          <w:b w:val="0"/>
          <w:bCs/>
          <w:noProof/>
        </w:rPr>
        <w:t>1</w:t>
      </w:r>
      <w:r w:rsidR="00B65B60" w:rsidRPr="00E54BD0">
        <w:rPr>
          <w:rStyle w:val="CaptionLabel"/>
          <w:b w:val="0"/>
          <w:bCs/>
        </w:rPr>
        <w:fldChar w:fldCharType="end"/>
      </w:r>
      <w:r>
        <w:tab/>
        <w:t>OBJECTIVE 1: PRIORITY AREAS AND ACTIONS</w:t>
      </w:r>
    </w:p>
    <w:p w14:paraId="4A9B6E70" w14:textId="47E88951" w:rsidR="00B65B60" w:rsidRDefault="00B65B60" w:rsidP="00C0258E">
      <w:pPr>
        <w:pStyle w:val="BodyText"/>
      </w:pPr>
      <w:r>
        <w:rPr>
          <w:noProof/>
        </w:rPr>
        <w:drawing>
          <wp:inline distT="0" distB="0" distL="0" distR="0" wp14:anchorId="3EE8BEF8" wp14:editId="24D3E7B6">
            <wp:extent cx="6257019" cy="2732443"/>
            <wp:effectExtent l="0" t="0" r="0" b="0"/>
            <wp:docPr id="22" name="Picture 22" descr="Diagram summarising the two priority areas for action and three actions under objective 1. These are detailed in the text of the chapter. &#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Diagram summarising the two priority areas for action and three actions under objective 1. These are detailed in the text of the chapter. &#10;&#10;"/>
                    <pic:cNvPicPr>
                      <a:picLocks noChangeAspect="1" noChangeArrowheads="1"/>
                    </pic:cNvPicPr>
                  </pic:nvPicPr>
                  <pic:blipFill rotWithShape="1">
                    <a:blip r:embed="rId37" cstate="print">
                      <a:extLst>
                        <a:ext uri="{28A0092B-C50C-407E-A947-70E740481C1C}">
                          <a14:useLocalDpi xmlns:a14="http://schemas.microsoft.com/office/drawing/2010/main" val="0"/>
                        </a:ext>
                      </a:extLst>
                    </a:blip>
                    <a:srcRect l="2911"/>
                    <a:stretch/>
                  </pic:blipFill>
                  <pic:spPr bwMode="auto">
                    <a:xfrm>
                      <a:off x="0" y="0"/>
                      <a:ext cx="6291166" cy="2747355"/>
                    </a:xfrm>
                    <a:prstGeom prst="rect">
                      <a:avLst/>
                    </a:prstGeom>
                    <a:noFill/>
                    <a:ln>
                      <a:noFill/>
                    </a:ln>
                    <a:extLst>
                      <a:ext uri="{53640926-AAD7-44D8-BBD7-CCE9431645EC}">
                        <a14:shadowObscured xmlns:a14="http://schemas.microsoft.com/office/drawing/2010/main"/>
                      </a:ext>
                    </a:extLst>
                  </pic:spPr>
                </pic:pic>
              </a:graphicData>
            </a:graphic>
          </wp:inline>
        </w:drawing>
      </w:r>
    </w:p>
    <w:p w14:paraId="1A1CAB62" w14:textId="77777777" w:rsidR="00C0258E" w:rsidRDefault="00C0258E" w:rsidP="00AA44D8">
      <w:pPr>
        <w:pStyle w:val="Heading2"/>
      </w:pPr>
      <w:bookmarkStart w:id="4" w:name="_Toc98866254"/>
      <w:r>
        <w:t>Lack of comprehensive data</w:t>
      </w:r>
      <w:bookmarkEnd w:id="4"/>
    </w:p>
    <w:p w14:paraId="58E79362" w14:textId="77777777" w:rsidR="00C0258E" w:rsidRDefault="00C0258E" w:rsidP="00C0258E">
      <w:pPr>
        <w:pStyle w:val="BodyText"/>
      </w:pPr>
      <w:r>
        <w:t xml:space="preserve">There is an acknowledged lack of comprehensive mental health workforce data which impedes workforce planning. This is particularly apparent for occupations that are not regulated under </w:t>
      </w:r>
      <w:proofErr w:type="spellStart"/>
      <w:r>
        <w:t>Ahpra</w:t>
      </w:r>
      <w:proofErr w:type="spellEnd"/>
      <w:r>
        <w:t xml:space="preserve"> and for the community managed sector where nationally consistent data regarding workforce size, education levels and composition by occupation are not available. </w:t>
      </w:r>
    </w:p>
    <w:p w14:paraId="470E0D10" w14:textId="77777777" w:rsidR="00C0258E" w:rsidRDefault="00C0258E" w:rsidP="002A17E0">
      <w:pPr>
        <w:pStyle w:val="Heading2"/>
      </w:pPr>
      <w:bookmarkStart w:id="5" w:name="_Toc98866255"/>
      <w:r>
        <w:lastRenderedPageBreak/>
        <w:t>Inconsistent approaches</w:t>
      </w:r>
      <w:bookmarkEnd w:id="5"/>
    </w:p>
    <w:p w14:paraId="0117FF53" w14:textId="77777777" w:rsidR="00C0258E" w:rsidRDefault="00C0258E" w:rsidP="00C0258E">
      <w:pPr>
        <w:pStyle w:val="BodyText"/>
      </w:pPr>
      <w:r>
        <w:t xml:space="preserve">Current variation in data collection approaches impacts the ability to conduct data-driven workforce planning. A nationally consistent approach to data that adopts a broad definition of the mental health workforce and includes at a minimum people who work in all mental health, social and emotional wellbeing and health settings is required to facilitate improved workforce planning, meaningful intervention and the delivery of support and treatment that better meets the needs of consumers and carers. This will necessitate the development of clear definitions of roles or occupations, the </w:t>
      </w:r>
      <w:proofErr w:type="gramStart"/>
      <w:r>
        <w:t>skills</w:t>
      </w:r>
      <w:proofErr w:type="gramEnd"/>
      <w:r>
        <w:t xml:space="preserve"> and competencies they require, and the settings in which they work. </w:t>
      </w:r>
    </w:p>
    <w:p w14:paraId="10AAC4D5" w14:textId="77777777" w:rsidR="00C0258E" w:rsidRDefault="00C0258E" w:rsidP="002A17E0">
      <w:pPr>
        <w:pStyle w:val="Heading2"/>
      </w:pPr>
      <w:bookmarkStart w:id="6" w:name="_Toc98866256"/>
      <w:r>
        <w:t>Disconnected sources</w:t>
      </w:r>
      <w:bookmarkEnd w:id="6"/>
    </w:p>
    <w:p w14:paraId="024DE345" w14:textId="77777777" w:rsidR="00C0258E" w:rsidRDefault="00C0258E" w:rsidP="00C0258E">
      <w:pPr>
        <w:pStyle w:val="BodyText"/>
      </w:pPr>
      <w:r>
        <w:t xml:space="preserve">The disjointed nature of data holdings limits the extent to which information is accessible. Access to timely and </w:t>
      </w:r>
      <w:proofErr w:type="gramStart"/>
      <w:r>
        <w:t>high quality</w:t>
      </w:r>
      <w:proofErr w:type="gramEnd"/>
      <w:r>
        <w:t xml:space="preserve"> data about the entire mental health workforce, including data on occupations not regulated through </w:t>
      </w:r>
      <w:proofErr w:type="spellStart"/>
      <w:r>
        <w:t>Ahpra</w:t>
      </w:r>
      <w:proofErr w:type="spellEnd"/>
      <w:r>
        <w:t xml:space="preserve">, will build a more fulsome understanding of the available workforce by location, occupation and skill set. Information about local service need and scopes of practice including skills and competencies by occupation, combined with improved workforce data, will facilitate better quality, more complete workforce planning that utilises the entire mental health workforce available. </w:t>
      </w:r>
    </w:p>
    <w:p w14:paraId="01147C6A" w14:textId="77777777" w:rsidR="00C0258E" w:rsidRDefault="00C0258E" w:rsidP="00C0258E">
      <w:pPr>
        <w:pStyle w:val="BodyText"/>
      </w:pPr>
      <w:r>
        <w:t xml:space="preserve">In turn, this will inform better targeted interventions to address shortages – either through increasing the number of workers in particular occupations, utilising an available workforce to its full scope of practice or supporting the transferability of skills. </w:t>
      </w:r>
    </w:p>
    <w:p w14:paraId="09F59C08" w14:textId="6B54AC4A" w:rsidR="00C0258E" w:rsidRDefault="00C0258E" w:rsidP="002A17E0">
      <w:pPr>
        <w:pStyle w:val="Heading2"/>
      </w:pPr>
      <w:bookmarkStart w:id="7" w:name="_Toc98866257"/>
      <w:r>
        <w:t>Priority areas and actions</w:t>
      </w:r>
      <w:bookmarkEnd w:id="7"/>
    </w:p>
    <w:p w14:paraId="2A628A9F" w14:textId="49D97EE9" w:rsidR="00B65B60" w:rsidRPr="0095199A" w:rsidRDefault="00B65B60" w:rsidP="008954F4">
      <w:pPr>
        <w:pStyle w:val="BodyText"/>
      </w:pPr>
      <w:r w:rsidRPr="0095199A">
        <w:t xml:space="preserve">PRIORITY AREA 1.1 </w:t>
      </w:r>
      <w:proofErr w:type="gramStart"/>
      <w:r w:rsidRPr="0095199A">
        <w:t xml:space="preserve">– </w:t>
      </w:r>
      <w:r w:rsidR="0095199A" w:rsidRPr="0095199A">
        <w:t xml:space="preserve"> </w:t>
      </w:r>
      <w:r w:rsidRPr="0095199A">
        <w:t>Develop</w:t>
      </w:r>
      <w:proofErr w:type="gramEnd"/>
      <w:r w:rsidRPr="0095199A">
        <w:t xml:space="preserve"> and implement a data strategy to improve the quality, comprehensiveness, timeliness, reliability and useability of mental health workforce data</w:t>
      </w:r>
      <w:r w:rsidR="008954F4">
        <w:t>:</w:t>
      </w:r>
    </w:p>
    <w:p w14:paraId="622C493E" w14:textId="7A09F990" w:rsidR="00B65B60" w:rsidRDefault="0095199A" w:rsidP="00E56DC9">
      <w:pPr>
        <w:pStyle w:val="ListBullet"/>
        <w:rPr>
          <w:b/>
          <w:bCs/>
        </w:rPr>
      </w:pPr>
      <w:r w:rsidRPr="00E56DC9">
        <w:t xml:space="preserve">Action 1.1.1 </w:t>
      </w:r>
      <w:proofErr w:type="gramStart"/>
      <w:r w:rsidRPr="00E56DC9">
        <w:t>–</w:t>
      </w:r>
      <w:r w:rsidRPr="005A30E5">
        <w:rPr>
          <w:b/>
          <w:bCs/>
        </w:rPr>
        <w:t xml:space="preserve"> </w:t>
      </w:r>
      <w:r>
        <w:rPr>
          <w:b/>
          <w:bCs/>
        </w:rPr>
        <w:t xml:space="preserve"> </w:t>
      </w:r>
      <w:r w:rsidRPr="00BC02A5">
        <w:t>Define</w:t>
      </w:r>
      <w:proofErr w:type="gramEnd"/>
      <w:r w:rsidRPr="00BC02A5">
        <w:t xml:space="preserve"> what data are required, for what purpose, where data are currently held and what additional collections are required to improve reliability, accessibility and comprehensiveness</w:t>
      </w:r>
    </w:p>
    <w:p w14:paraId="44399C42" w14:textId="55DD975F" w:rsidR="0095199A" w:rsidRPr="00BC02A5" w:rsidRDefault="0095199A" w:rsidP="00E56DC9">
      <w:pPr>
        <w:pStyle w:val="ListBullet"/>
        <w:spacing w:after="360"/>
      </w:pPr>
      <w:r w:rsidRPr="00E56DC9">
        <w:t xml:space="preserve">Action 1.1.2 </w:t>
      </w:r>
      <w:proofErr w:type="gramStart"/>
      <w:r w:rsidRPr="00E56DC9">
        <w:t>–  Implement</w:t>
      </w:r>
      <w:proofErr w:type="gramEnd"/>
      <w:r w:rsidRPr="00BC02A5">
        <w:t xml:space="preserve"> the National Mental Health Workforce Data Strategy at organisation, state/territory and national levels to support data collection and consolidation</w:t>
      </w:r>
    </w:p>
    <w:p w14:paraId="09B95D8C" w14:textId="080B063D" w:rsidR="00C0258E" w:rsidRPr="00E56DC9" w:rsidRDefault="00BC02A5" w:rsidP="00CC761C">
      <w:pPr>
        <w:pStyle w:val="BodyText"/>
        <w:keepNext/>
        <w:keepLines/>
      </w:pPr>
      <w:r w:rsidRPr="00E56DC9">
        <w:lastRenderedPageBreak/>
        <w:t xml:space="preserve">PRIORITY AREA 1.2 </w:t>
      </w:r>
      <w:proofErr w:type="gramStart"/>
      <w:r w:rsidRPr="00E56DC9">
        <w:t xml:space="preserve">– </w:t>
      </w:r>
      <w:r w:rsidR="000B69FB" w:rsidRPr="00E56DC9">
        <w:t xml:space="preserve"> </w:t>
      </w:r>
      <w:r w:rsidRPr="00E56DC9">
        <w:t>Enhance</w:t>
      </w:r>
      <w:proofErr w:type="gramEnd"/>
      <w:r w:rsidRPr="00E56DC9">
        <w:t xml:space="preserve"> mental health workforce data systems and planning models through the use of more reliable and comprehensive data</w:t>
      </w:r>
      <w:r w:rsidR="00E56DC9">
        <w:t>:</w:t>
      </w:r>
    </w:p>
    <w:p w14:paraId="236F80D1" w14:textId="568B5EBA" w:rsidR="00C0258E" w:rsidRDefault="000B69FB" w:rsidP="00E56DC9">
      <w:pPr>
        <w:pStyle w:val="ListBullet"/>
      </w:pPr>
      <w:r w:rsidRPr="00CC761C">
        <w:t xml:space="preserve">Action 1.2.1 </w:t>
      </w:r>
      <w:proofErr w:type="gramStart"/>
      <w:r w:rsidRPr="00CC761C">
        <w:t>–</w:t>
      </w:r>
      <w:r w:rsidRPr="005A30E5">
        <w:rPr>
          <w:b/>
          <w:bCs/>
        </w:rPr>
        <w:t xml:space="preserve"> </w:t>
      </w:r>
      <w:r>
        <w:rPr>
          <w:b/>
          <w:bCs/>
        </w:rPr>
        <w:t xml:space="preserve"> </w:t>
      </w:r>
      <w:r w:rsidRPr="000B69FB">
        <w:t>Support</w:t>
      </w:r>
      <w:proofErr w:type="gramEnd"/>
      <w:r w:rsidRPr="000B69FB">
        <w:t xml:space="preserve"> use of mental health workforce data by making it publicly accessible in a manner that is useable for informing mental health workforce planning and supporting development of meaningful government interventions to better match workforce demand and supply across occupations and settings</w:t>
      </w:r>
    </w:p>
    <w:p w14:paraId="0ECEF98F" w14:textId="77777777" w:rsidR="00740CEC" w:rsidRDefault="00740CEC" w:rsidP="00740CEC">
      <w:pPr>
        <w:pStyle w:val="BodyText"/>
        <w:sectPr w:rsidR="00740CEC" w:rsidSect="00483BA8">
          <w:headerReference w:type="even" r:id="rId38"/>
          <w:footerReference w:type="even" r:id="rId39"/>
          <w:headerReference w:type="first" r:id="rId40"/>
          <w:footerReference w:type="first" r:id="rId41"/>
          <w:pgSz w:w="11906" w:h="16838" w:code="9"/>
          <w:pgMar w:top="1418" w:right="851" w:bottom="1134" w:left="1134" w:header="454" w:footer="159" w:gutter="0"/>
          <w:pgNumType w:start="1"/>
          <w:cols w:space="708"/>
          <w:docGrid w:linePitch="360"/>
        </w:sectPr>
      </w:pPr>
    </w:p>
    <w:p w14:paraId="305517F5" w14:textId="01A45EF7" w:rsidR="007005D1" w:rsidRDefault="006F674F" w:rsidP="006F674F">
      <w:pPr>
        <w:pStyle w:val="Heading1"/>
        <w:ind w:left="1134" w:hanging="1134"/>
      </w:pPr>
      <w:bookmarkStart w:id="8" w:name="_Toc98866258"/>
      <w:r w:rsidRPr="006F674F">
        <w:lastRenderedPageBreak/>
        <w:t>2.</w:t>
      </w:r>
      <w:r>
        <w:tab/>
        <w:t>The entire mental health workforce is utilised efficiently and effectively</w:t>
      </w:r>
      <w:bookmarkEnd w:id="8"/>
    </w:p>
    <w:p w14:paraId="53D57557" w14:textId="2204E1BF" w:rsidR="00876DC7" w:rsidRDefault="00876DC7" w:rsidP="0018475E">
      <w:pPr>
        <w:pStyle w:val="BodyText"/>
        <w:spacing w:before="480"/>
      </w:pPr>
      <w:r>
        <w:t>The second objective –</w:t>
      </w:r>
      <w:r>
        <w:rPr>
          <w:b/>
          <w:bCs/>
          <w:i/>
          <w:iCs/>
          <w:color w:val="140034" w:themeColor="background2"/>
          <w:lang w:val="en-US"/>
        </w:rPr>
        <w:t xml:space="preserve"> </w:t>
      </w:r>
      <w:r w:rsidRPr="003D3513">
        <w:rPr>
          <w:color w:val="140034" w:themeColor="background2"/>
          <w:lang w:val="en-US"/>
        </w:rPr>
        <w:t xml:space="preserve">The entire mental health workforce is </w:t>
      </w:r>
      <w:proofErr w:type="spellStart"/>
      <w:r w:rsidRPr="003D3513">
        <w:rPr>
          <w:color w:val="140034" w:themeColor="background2"/>
          <w:lang w:val="en-US"/>
        </w:rPr>
        <w:t>utilised</w:t>
      </w:r>
      <w:proofErr w:type="spellEnd"/>
      <w:r w:rsidRPr="003D3513">
        <w:rPr>
          <w:color w:val="140034" w:themeColor="background2"/>
          <w:lang w:val="en-US"/>
        </w:rPr>
        <w:t xml:space="preserve"> efficiently and effectively</w:t>
      </w:r>
      <w:r>
        <w:rPr>
          <w:b/>
          <w:bCs/>
          <w:i/>
          <w:iCs/>
          <w:color w:val="140034" w:themeColor="background2"/>
          <w:lang w:val="en-US"/>
        </w:rPr>
        <w:t xml:space="preserve"> </w:t>
      </w:r>
      <w:r>
        <w:t>– is critical to ensuring that mental health promotion activities are conducted by those best-placed to do so, and that p</w:t>
      </w:r>
      <w:r w:rsidRPr="006054E1">
        <w:t>eople</w:t>
      </w:r>
      <w:r>
        <w:t xml:space="preserve"> </w:t>
      </w:r>
      <w:r w:rsidRPr="006054E1">
        <w:t>experiencing</w:t>
      </w:r>
      <w:r>
        <w:t xml:space="preserve"> </w:t>
      </w:r>
      <w:r w:rsidRPr="006054E1">
        <w:t>suicidality,</w:t>
      </w:r>
      <w:r>
        <w:t xml:space="preserve"> </w:t>
      </w:r>
      <w:r w:rsidRPr="006054E1">
        <w:t>mental</w:t>
      </w:r>
      <w:r>
        <w:t xml:space="preserve"> </w:t>
      </w:r>
      <w:r w:rsidRPr="006054E1">
        <w:t>distress</w:t>
      </w:r>
      <w:r>
        <w:t xml:space="preserve"> </w:t>
      </w:r>
      <w:r w:rsidRPr="006054E1">
        <w:t>and/or</w:t>
      </w:r>
      <w:r>
        <w:t xml:space="preserve"> </w:t>
      </w:r>
      <w:r w:rsidRPr="006054E1">
        <w:t>ill-health</w:t>
      </w:r>
      <w:r>
        <w:t xml:space="preserve"> </w:t>
      </w:r>
      <w:r w:rsidRPr="006054E1">
        <w:t>and</w:t>
      </w:r>
      <w:r>
        <w:t xml:space="preserve"> </w:t>
      </w:r>
      <w:r w:rsidRPr="006054E1">
        <w:t>their</w:t>
      </w:r>
      <w:r>
        <w:t xml:space="preserve"> </w:t>
      </w:r>
      <w:proofErr w:type="spellStart"/>
      <w:r w:rsidRPr="006054E1">
        <w:t>carers</w:t>
      </w:r>
      <w:proofErr w:type="spellEnd"/>
      <w:r>
        <w:t xml:space="preserve"> are able to </w:t>
      </w:r>
      <w:r w:rsidRPr="006054E1">
        <w:t>access</w:t>
      </w:r>
      <w:r>
        <w:t xml:space="preserve"> </w:t>
      </w:r>
      <w:r w:rsidRPr="006054E1">
        <w:t>safe,</w:t>
      </w:r>
      <w:r>
        <w:t xml:space="preserve"> </w:t>
      </w:r>
      <w:r w:rsidRPr="006054E1">
        <w:t>high</w:t>
      </w:r>
      <w:r>
        <w:t xml:space="preserve"> </w:t>
      </w:r>
      <w:r w:rsidRPr="006054E1">
        <w:t>quality</w:t>
      </w:r>
      <w:r>
        <w:t xml:space="preserve"> </w:t>
      </w:r>
      <w:r w:rsidRPr="006054E1">
        <w:t>support</w:t>
      </w:r>
      <w:r>
        <w:t xml:space="preserve"> </w:t>
      </w:r>
      <w:r w:rsidRPr="006054E1">
        <w:t>and</w:t>
      </w:r>
      <w:r>
        <w:t xml:space="preserve"> </w:t>
      </w:r>
      <w:r w:rsidRPr="006054E1">
        <w:t>treatment,</w:t>
      </w:r>
      <w:r>
        <w:t xml:space="preserve"> </w:t>
      </w:r>
      <w:r w:rsidRPr="006054E1">
        <w:t>delivered</w:t>
      </w:r>
      <w:r>
        <w:t xml:space="preserve"> </w:t>
      </w:r>
      <w:r w:rsidRPr="006054E1">
        <w:t>by</w:t>
      </w:r>
      <w:r>
        <w:t xml:space="preserve"> </w:t>
      </w:r>
      <w:r w:rsidRPr="006054E1">
        <w:t>skilled</w:t>
      </w:r>
      <w:r>
        <w:t xml:space="preserve"> </w:t>
      </w:r>
      <w:r w:rsidRPr="006054E1">
        <w:t>workers</w:t>
      </w:r>
      <w:r>
        <w:t xml:space="preserve"> </w:t>
      </w:r>
      <w:r w:rsidRPr="006054E1">
        <w:t>from</w:t>
      </w:r>
      <w:r>
        <w:t xml:space="preserve"> </w:t>
      </w:r>
      <w:r w:rsidRPr="006054E1">
        <w:t>a</w:t>
      </w:r>
      <w:r>
        <w:t xml:space="preserve"> </w:t>
      </w:r>
      <w:r w:rsidRPr="006054E1">
        <w:t>broad</w:t>
      </w:r>
      <w:r>
        <w:t xml:space="preserve"> </w:t>
      </w:r>
      <w:r w:rsidRPr="006054E1">
        <w:t>range</w:t>
      </w:r>
      <w:r>
        <w:t xml:space="preserve"> </w:t>
      </w:r>
      <w:r w:rsidRPr="006054E1">
        <w:t>of</w:t>
      </w:r>
      <w:r>
        <w:t xml:space="preserve"> occupations </w:t>
      </w:r>
      <w:r w:rsidRPr="006054E1">
        <w:t>in</w:t>
      </w:r>
      <w:r>
        <w:t xml:space="preserve"> </w:t>
      </w:r>
      <w:r w:rsidRPr="006054E1">
        <w:t>diverse</w:t>
      </w:r>
      <w:r>
        <w:t xml:space="preserve"> </w:t>
      </w:r>
      <w:r w:rsidRPr="006054E1">
        <w:t>service</w:t>
      </w:r>
      <w:r>
        <w:t xml:space="preserve"> </w:t>
      </w:r>
      <w:r w:rsidRPr="006054E1">
        <w:t>settings</w:t>
      </w:r>
      <w:r>
        <w:t>, when and where they are needed</w:t>
      </w:r>
      <w:r w:rsidRPr="006054E1">
        <w:t>.</w:t>
      </w:r>
    </w:p>
    <w:p w14:paraId="6AF69B35" w14:textId="085EAB9B" w:rsidR="00184EED" w:rsidRDefault="00646EE8" w:rsidP="00646EE8">
      <w:pPr>
        <w:pStyle w:val="BodyText"/>
        <w:ind w:left="1701" w:hanging="1701"/>
      </w:pPr>
      <w:r w:rsidRPr="003D3513">
        <w:rPr>
          <w:rStyle w:val="CaptionLabel"/>
          <w:b w:val="0"/>
          <w:bCs/>
        </w:rPr>
        <w:t>FIGURE 2.</w:t>
      </w:r>
      <w:r w:rsidR="00184EED" w:rsidRPr="003D3513">
        <w:rPr>
          <w:rStyle w:val="CaptionLabel"/>
          <w:b w:val="0"/>
          <w:bCs/>
        </w:rPr>
        <w:fldChar w:fldCharType="begin"/>
      </w:r>
      <w:r w:rsidR="00184EED" w:rsidRPr="003D3513">
        <w:rPr>
          <w:rStyle w:val="CaptionLabel"/>
          <w:b w:val="0"/>
          <w:bCs/>
        </w:rPr>
        <w:instrText xml:space="preserve"> SEQ Figure \* ARABIC \S 1 \* MERGEFORMAT </w:instrText>
      </w:r>
      <w:r w:rsidR="00184EED" w:rsidRPr="003D3513">
        <w:rPr>
          <w:rStyle w:val="CaptionLabel"/>
          <w:b w:val="0"/>
          <w:bCs/>
        </w:rPr>
        <w:fldChar w:fldCharType="separate"/>
      </w:r>
      <w:r w:rsidR="005F0718">
        <w:rPr>
          <w:rStyle w:val="CaptionLabel"/>
          <w:b w:val="0"/>
          <w:bCs/>
          <w:noProof/>
        </w:rPr>
        <w:t>1</w:t>
      </w:r>
      <w:r w:rsidR="00184EED" w:rsidRPr="003D3513">
        <w:rPr>
          <w:rStyle w:val="CaptionLabel"/>
          <w:b w:val="0"/>
          <w:bCs/>
        </w:rPr>
        <w:fldChar w:fldCharType="end"/>
      </w:r>
      <w:r>
        <w:tab/>
        <w:t>OBJECTIVE 2: PRIORITY AREAS AND ACTIONS</w:t>
      </w:r>
    </w:p>
    <w:p w14:paraId="439F1184" w14:textId="486FCFEA" w:rsidR="00184EED" w:rsidRDefault="00184EED" w:rsidP="00876DC7">
      <w:pPr>
        <w:pStyle w:val="BodyText"/>
      </w:pPr>
      <w:r>
        <w:rPr>
          <w:noProof/>
        </w:rPr>
        <w:drawing>
          <wp:inline distT="0" distB="0" distL="0" distR="0" wp14:anchorId="0488317B" wp14:editId="41AAAF63">
            <wp:extent cx="6064885" cy="4962525"/>
            <wp:effectExtent l="0" t="0" r="0" b="9525"/>
            <wp:docPr id="23" name="Picture 23" descr="Diagram summarising the six priority areas for action and nine actions under objective 2. These are detailed in the text of the chap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Diagram summarising the six priority areas for action and nine actions under objective 2. These are detailed in the text of the chapter."/>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6118588" cy="5006467"/>
                    </a:xfrm>
                    <a:prstGeom prst="rect">
                      <a:avLst/>
                    </a:prstGeom>
                    <a:noFill/>
                  </pic:spPr>
                </pic:pic>
              </a:graphicData>
            </a:graphic>
          </wp:inline>
        </w:drawing>
      </w:r>
    </w:p>
    <w:p w14:paraId="3B1992BD" w14:textId="77777777" w:rsidR="00876DC7" w:rsidRPr="006054E1" w:rsidRDefault="00876DC7" w:rsidP="00BB5B16">
      <w:pPr>
        <w:pStyle w:val="Heading2"/>
      </w:pPr>
      <w:bookmarkStart w:id="9" w:name="_Toc98866259"/>
      <w:r>
        <w:lastRenderedPageBreak/>
        <w:t>Recognition of the broadly defined workforce</w:t>
      </w:r>
      <w:bookmarkEnd w:id="9"/>
    </w:p>
    <w:p w14:paraId="5F1F2AA9" w14:textId="77777777" w:rsidR="00876DC7" w:rsidRDefault="00876DC7" w:rsidP="00876DC7">
      <w:pPr>
        <w:pStyle w:val="BodyText"/>
      </w:pPr>
      <w:r>
        <w:t xml:space="preserve">Population, </w:t>
      </w:r>
      <w:proofErr w:type="gramStart"/>
      <w:r>
        <w:t>c</w:t>
      </w:r>
      <w:r w:rsidRPr="006054E1">
        <w:t>onsumer</w:t>
      </w:r>
      <w:proofErr w:type="gramEnd"/>
      <w:r>
        <w:t xml:space="preserve"> </w:t>
      </w:r>
      <w:r w:rsidRPr="006054E1">
        <w:t>and</w:t>
      </w:r>
      <w:r>
        <w:t xml:space="preserve"> </w:t>
      </w:r>
      <w:r w:rsidRPr="006054E1">
        <w:t>carer</w:t>
      </w:r>
      <w:r>
        <w:t xml:space="preserve"> </w:t>
      </w:r>
      <w:r w:rsidRPr="006054E1">
        <w:t>needs</w:t>
      </w:r>
      <w:r>
        <w:t xml:space="preserve"> </w:t>
      </w:r>
      <w:r w:rsidRPr="006054E1">
        <w:t>are</w:t>
      </w:r>
      <w:r>
        <w:t xml:space="preserve"> </w:t>
      </w:r>
      <w:r w:rsidRPr="006054E1">
        <w:t>more</w:t>
      </w:r>
      <w:r>
        <w:t xml:space="preserve"> </w:t>
      </w:r>
      <w:r w:rsidRPr="006054E1">
        <w:t>likely</w:t>
      </w:r>
      <w:r>
        <w:t xml:space="preserve"> </w:t>
      </w:r>
      <w:r w:rsidRPr="006054E1">
        <w:t>to</w:t>
      </w:r>
      <w:r>
        <w:t xml:space="preserve"> </w:t>
      </w:r>
      <w:r w:rsidRPr="006054E1">
        <w:t>be</w:t>
      </w:r>
      <w:r>
        <w:t xml:space="preserve"> </w:t>
      </w:r>
      <w:r w:rsidRPr="006054E1">
        <w:t>met</w:t>
      </w:r>
      <w:r>
        <w:t xml:space="preserve"> </w:t>
      </w:r>
      <w:r w:rsidRPr="006054E1">
        <w:t>if</w:t>
      </w:r>
      <w:r>
        <w:t xml:space="preserve"> </w:t>
      </w:r>
      <w:r w:rsidRPr="006054E1">
        <w:t>the</w:t>
      </w:r>
      <w:r>
        <w:t xml:space="preserve"> </w:t>
      </w:r>
      <w:r w:rsidRPr="006054E1">
        <w:t>entire</w:t>
      </w:r>
      <w:r>
        <w:t xml:space="preserve"> </w:t>
      </w:r>
      <w:r w:rsidRPr="006054E1">
        <w:t>mental</w:t>
      </w:r>
      <w:r>
        <w:t xml:space="preserve"> </w:t>
      </w:r>
      <w:r w:rsidRPr="006054E1">
        <w:t>health</w:t>
      </w:r>
      <w:r>
        <w:t xml:space="preserve"> </w:t>
      </w:r>
      <w:r w:rsidRPr="006054E1">
        <w:t>workforce</w:t>
      </w:r>
      <w:r>
        <w:t xml:space="preserve"> </w:t>
      </w:r>
      <w:r w:rsidRPr="006054E1">
        <w:t>is</w:t>
      </w:r>
      <w:r>
        <w:t xml:space="preserve"> </w:t>
      </w:r>
      <w:r w:rsidRPr="006054E1">
        <w:t>appropriately</w:t>
      </w:r>
      <w:r>
        <w:t xml:space="preserve"> </w:t>
      </w:r>
      <w:r w:rsidRPr="006054E1">
        <w:t>utilised</w:t>
      </w:r>
      <w:r>
        <w:t xml:space="preserve">. This requires recognition of the broadly defined workforce, and appropriate definition of the requisite knowledge and skills. Improving this </w:t>
      </w:r>
      <w:r w:rsidRPr="006054E1">
        <w:t>includes</w:t>
      </w:r>
      <w:r>
        <w:t xml:space="preserve"> better articulation of mental health promotion activity, identifying the workforces that are best placed to perform these activities and providing them with the requisite knowledge and skills. When mental health support and treatment is required, it requires </w:t>
      </w:r>
      <w:r w:rsidRPr="006054E1">
        <w:t>workers</w:t>
      </w:r>
      <w:r>
        <w:t xml:space="preserve"> </w:t>
      </w:r>
      <w:r w:rsidRPr="006054E1">
        <w:t>performing</w:t>
      </w:r>
      <w:r>
        <w:t xml:space="preserve"> </w:t>
      </w:r>
      <w:r w:rsidRPr="006054E1">
        <w:t>roles</w:t>
      </w:r>
      <w:r>
        <w:t xml:space="preserve"> </w:t>
      </w:r>
      <w:r w:rsidRPr="006054E1">
        <w:t>that</w:t>
      </w:r>
      <w:r>
        <w:t xml:space="preserve"> </w:t>
      </w:r>
      <w:r w:rsidRPr="006054E1">
        <w:t>reflect</w:t>
      </w:r>
      <w:r>
        <w:t xml:space="preserve"> </w:t>
      </w:r>
      <w:r w:rsidRPr="006054E1">
        <w:t>their</w:t>
      </w:r>
      <w:r>
        <w:t xml:space="preserve"> </w:t>
      </w:r>
      <w:r w:rsidRPr="006054E1">
        <w:t>full</w:t>
      </w:r>
      <w:r>
        <w:t xml:space="preserve"> </w:t>
      </w:r>
      <w:r w:rsidRPr="006054E1">
        <w:t>scope</w:t>
      </w:r>
      <w:r>
        <w:t xml:space="preserve"> </w:t>
      </w:r>
      <w:r w:rsidRPr="006054E1">
        <w:t>of</w:t>
      </w:r>
      <w:r>
        <w:t xml:space="preserve"> </w:t>
      </w:r>
      <w:r w:rsidRPr="006054E1">
        <w:t>practice,</w:t>
      </w:r>
      <w:r>
        <w:t xml:space="preserve"> </w:t>
      </w:r>
      <w:r w:rsidRPr="006054E1">
        <w:t>more</w:t>
      </w:r>
      <w:r>
        <w:t xml:space="preserve"> </w:t>
      </w:r>
      <w:r w:rsidRPr="006054E1">
        <w:t>frequent</w:t>
      </w:r>
      <w:r>
        <w:t xml:space="preserve"> and effective </w:t>
      </w:r>
      <w:r w:rsidRPr="006054E1">
        <w:t>adoption</w:t>
      </w:r>
      <w:r>
        <w:t xml:space="preserve"> </w:t>
      </w:r>
      <w:r w:rsidRPr="006054E1">
        <w:t>of</w:t>
      </w:r>
      <w:r>
        <w:t xml:space="preserve"> </w:t>
      </w:r>
      <w:r w:rsidRPr="006054E1">
        <w:t>multidisciplinary</w:t>
      </w:r>
      <w:r>
        <w:t xml:space="preserve"> </w:t>
      </w:r>
      <w:r w:rsidRPr="006054E1">
        <w:t>team-based</w:t>
      </w:r>
      <w:r>
        <w:t xml:space="preserve"> </w:t>
      </w:r>
      <w:r w:rsidRPr="006054E1">
        <w:t>approaches</w:t>
      </w:r>
      <w:r>
        <w:t xml:space="preserve"> and provision of better integrated support and treatment</w:t>
      </w:r>
      <w:r w:rsidRPr="006054E1">
        <w:t>.</w:t>
      </w:r>
      <w:r>
        <w:t xml:space="preserve"> </w:t>
      </w:r>
    </w:p>
    <w:p w14:paraId="49B47E12" w14:textId="77777777" w:rsidR="00876DC7" w:rsidRDefault="00876DC7" w:rsidP="00BB5B16">
      <w:pPr>
        <w:pStyle w:val="Heading2"/>
      </w:pPr>
      <w:bookmarkStart w:id="10" w:name="_Toc98866260"/>
      <w:r>
        <w:t>Need for common components of care and competencies</w:t>
      </w:r>
      <w:bookmarkEnd w:id="10"/>
    </w:p>
    <w:p w14:paraId="2C5548DD" w14:textId="77777777" w:rsidR="00876DC7" w:rsidRDefault="00876DC7" w:rsidP="00876DC7">
      <w:pPr>
        <w:pStyle w:val="BodyText"/>
      </w:pPr>
      <w:r>
        <w:t>C</w:t>
      </w:r>
      <w:r w:rsidRPr="006054E1">
        <w:t>lear</w:t>
      </w:r>
      <w:r>
        <w:t xml:space="preserve"> </w:t>
      </w:r>
      <w:r w:rsidRPr="006054E1">
        <w:t>articulation</w:t>
      </w:r>
      <w:r>
        <w:t xml:space="preserve"> </w:t>
      </w:r>
      <w:r w:rsidRPr="006054E1">
        <w:t>of</w:t>
      </w:r>
      <w:r>
        <w:t xml:space="preserve"> </w:t>
      </w:r>
      <w:r w:rsidRPr="006054E1">
        <w:t>the</w:t>
      </w:r>
      <w:r>
        <w:t xml:space="preserve"> </w:t>
      </w:r>
      <w:r w:rsidRPr="006054E1">
        <w:t>‘</w:t>
      </w:r>
      <w:r w:rsidRPr="001848E6">
        <w:rPr>
          <w:i/>
          <w:iCs/>
        </w:rPr>
        <w:t>components</w:t>
      </w:r>
      <w:r>
        <w:rPr>
          <w:i/>
          <w:iCs/>
        </w:rPr>
        <w:t xml:space="preserve"> </w:t>
      </w:r>
      <w:r w:rsidRPr="001848E6">
        <w:rPr>
          <w:i/>
          <w:iCs/>
        </w:rPr>
        <w:t>of</w:t>
      </w:r>
      <w:r>
        <w:rPr>
          <w:i/>
          <w:iCs/>
        </w:rPr>
        <w:t xml:space="preserve"> </w:t>
      </w:r>
      <w:r w:rsidRPr="001848E6">
        <w:rPr>
          <w:i/>
          <w:iCs/>
        </w:rPr>
        <w:t>care</w:t>
      </w:r>
      <w:r w:rsidRPr="006054E1">
        <w:t>’ that</w:t>
      </w:r>
      <w:r>
        <w:t xml:space="preserve"> </w:t>
      </w:r>
      <w:r w:rsidRPr="006054E1">
        <w:t>address</w:t>
      </w:r>
      <w:r>
        <w:t xml:space="preserve"> </w:t>
      </w:r>
      <w:r w:rsidRPr="006054E1">
        <w:t>consumer</w:t>
      </w:r>
      <w:r>
        <w:t xml:space="preserve"> </w:t>
      </w:r>
      <w:r w:rsidRPr="006054E1">
        <w:t>and</w:t>
      </w:r>
      <w:r>
        <w:t xml:space="preserve"> </w:t>
      </w:r>
      <w:r w:rsidRPr="006054E1">
        <w:t>carer</w:t>
      </w:r>
      <w:r>
        <w:t xml:space="preserve"> </w:t>
      </w:r>
      <w:r w:rsidRPr="006054E1">
        <w:t>needs</w:t>
      </w:r>
      <w:r>
        <w:t xml:space="preserve">, </w:t>
      </w:r>
      <w:r w:rsidRPr="006054E1">
        <w:t>including</w:t>
      </w:r>
      <w:r>
        <w:t xml:space="preserve"> those related to </w:t>
      </w:r>
      <w:r w:rsidRPr="006054E1">
        <w:t>sustainable</w:t>
      </w:r>
      <w:r>
        <w:t xml:space="preserve"> </w:t>
      </w:r>
      <w:r w:rsidRPr="006054E1">
        <w:t>recovery</w:t>
      </w:r>
      <w:r>
        <w:t xml:space="preserve">, </w:t>
      </w:r>
      <w:r w:rsidRPr="006054E1">
        <w:t>is</w:t>
      </w:r>
      <w:r>
        <w:t xml:space="preserve"> </w:t>
      </w:r>
      <w:r w:rsidRPr="006054E1">
        <w:t>required</w:t>
      </w:r>
      <w:r>
        <w:t xml:space="preserve">. So too is the identification of </w:t>
      </w:r>
      <w:r w:rsidRPr="006054E1">
        <w:t>the</w:t>
      </w:r>
      <w:r>
        <w:t xml:space="preserve"> </w:t>
      </w:r>
      <w:r w:rsidRPr="006054E1">
        <w:t>competencies</w:t>
      </w:r>
      <w:r>
        <w:t xml:space="preserve"> </w:t>
      </w:r>
      <w:r w:rsidRPr="006054E1">
        <w:t>required</w:t>
      </w:r>
      <w:r>
        <w:t xml:space="preserve"> </w:t>
      </w:r>
      <w:r w:rsidRPr="006054E1">
        <w:t>to</w:t>
      </w:r>
      <w:r>
        <w:t xml:space="preserve"> </w:t>
      </w:r>
      <w:r w:rsidRPr="006054E1">
        <w:t>deliver</w:t>
      </w:r>
      <w:r>
        <w:t xml:space="preserve"> </w:t>
      </w:r>
      <w:r w:rsidRPr="006054E1">
        <w:t>the</w:t>
      </w:r>
      <w:r>
        <w:t xml:space="preserve"> components of care, </w:t>
      </w:r>
      <w:r w:rsidRPr="006054E1">
        <w:t>and</w:t>
      </w:r>
      <w:r>
        <w:t xml:space="preserve"> </w:t>
      </w:r>
      <w:r w:rsidRPr="006054E1">
        <w:t>specification</w:t>
      </w:r>
      <w:r>
        <w:t xml:space="preserve"> </w:t>
      </w:r>
      <w:r w:rsidRPr="006054E1">
        <w:t>of</w:t>
      </w:r>
      <w:r>
        <w:t xml:space="preserve"> </w:t>
      </w:r>
      <w:r w:rsidRPr="006054E1">
        <w:t>the</w:t>
      </w:r>
      <w:r>
        <w:t xml:space="preserve"> </w:t>
      </w:r>
      <w:r w:rsidRPr="006054E1">
        <w:t>occupations</w:t>
      </w:r>
      <w:r>
        <w:t xml:space="preserve"> </w:t>
      </w:r>
      <w:r w:rsidRPr="006054E1">
        <w:t>that</w:t>
      </w:r>
      <w:r>
        <w:t xml:space="preserve"> </w:t>
      </w:r>
      <w:r w:rsidRPr="006054E1">
        <w:t>are</w:t>
      </w:r>
      <w:r>
        <w:t xml:space="preserve"> </w:t>
      </w:r>
      <w:r w:rsidRPr="006054E1">
        <w:t>trained</w:t>
      </w:r>
      <w:r>
        <w:t xml:space="preserve"> </w:t>
      </w:r>
      <w:r w:rsidRPr="006054E1">
        <w:t>to</w:t>
      </w:r>
      <w:r>
        <w:t xml:space="preserve"> </w:t>
      </w:r>
      <w:r w:rsidRPr="006054E1">
        <w:t>perform</w:t>
      </w:r>
      <w:r>
        <w:t xml:space="preserve"> </w:t>
      </w:r>
      <w:r w:rsidRPr="006054E1">
        <w:t>these</w:t>
      </w:r>
      <w:r>
        <w:t xml:space="preserve"> </w:t>
      </w:r>
      <w:r w:rsidRPr="006054E1">
        <w:t>competencies.</w:t>
      </w:r>
      <w:r>
        <w:t xml:space="preserve"> </w:t>
      </w:r>
    </w:p>
    <w:p w14:paraId="5ED91555" w14:textId="77777777" w:rsidR="00876DC7" w:rsidRDefault="00876DC7" w:rsidP="00876DC7">
      <w:pPr>
        <w:pStyle w:val="BodyText"/>
      </w:pPr>
      <w:r>
        <w:t xml:space="preserve">The competencies that enable the workforce to deliver the components of care need to </w:t>
      </w:r>
      <w:bookmarkStart w:id="11" w:name="_Hlk84870366"/>
      <w:r>
        <w:t xml:space="preserve">reflect consumer and carer needs across the life-course including those of children, young people, adults, and older people. Components of care and related competencies are also required to meet the needs of consumers from different cultures and backgrounds, including Aboriginal and Torres Strait Islander peoples and LGBTIQ+, and people experiencing specific circumstances such as during the perinatal period or issues with alcohol and other drugs. </w:t>
      </w:r>
      <w:bookmarkEnd w:id="11"/>
      <w:r>
        <w:t>The competencies include cultural knowledge and support and must be developed across all occupations that comprise the mental health workforce.</w:t>
      </w:r>
    </w:p>
    <w:p w14:paraId="49144FEB" w14:textId="77777777" w:rsidR="00876DC7" w:rsidRDefault="00876DC7" w:rsidP="00876DC7">
      <w:pPr>
        <w:pStyle w:val="BodyText"/>
      </w:pPr>
      <w:r>
        <w:t>The competencies that enable the workforce to deliver the components of care include core competencies common across occupations, such as person-centred support and treatment – recognising consumers and carers as partners in planning and decision making, recovery oriented, trauma informed, and culturally safe. These core competencies are critical to providing the integrated support and treatment that consumers and carers need, genuinely drawing on the strengths of a multidisciplinary workforce.</w:t>
      </w:r>
    </w:p>
    <w:p w14:paraId="2B4AD5BF" w14:textId="77777777" w:rsidR="00876DC7" w:rsidRPr="006054E1" w:rsidRDefault="00876DC7" w:rsidP="00BB5B16">
      <w:pPr>
        <w:pStyle w:val="Heading2"/>
      </w:pPr>
      <w:bookmarkStart w:id="12" w:name="_Toc98866261"/>
      <w:r>
        <w:t>Inconsistencies across occupations</w:t>
      </w:r>
      <w:bookmarkEnd w:id="12"/>
    </w:p>
    <w:p w14:paraId="70F6BF06" w14:textId="77777777" w:rsidR="00876DC7" w:rsidRPr="006054E1" w:rsidRDefault="00876DC7" w:rsidP="00876DC7">
      <w:pPr>
        <w:pStyle w:val="BodyText"/>
      </w:pPr>
      <w:r>
        <w:t>T</w:t>
      </w:r>
      <w:r w:rsidRPr="006054E1">
        <w:t>here</w:t>
      </w:r>
      <w:r>
        <w:t xml:space="preserve"> </w:t>
      </w:r>
      <w:r w:rsidRPr="006054E1">
        <w:t>is</w:t>
      </w:r>
      <w:r>
        <w:t xml:space="preserve"> </w:t>
      </w:r>
      <w:r w:rsidRPr="006054E1">
        <w:t>significant</w:t>
      </w:r>
      <w:r>
        <w:t xml:space="preserve"> </w:t>
      </w:r>
      <w:r w:rsidRPr="006054E1">
        <w:t>variation</w:t>
      </w:r>
      <w:r>
        <w:t xml:space="preserve"> </w:t>
      </w:r>
      <w:r w:rsidRPr="006054E1">
        <w:t>in</w:t>
      </w:r>
      <w:r>
        <w:t xml:space="preserve"> </w:t>
      </w:r>
      <w:r w:rsidRPr="006054E1">
        <w:t>the</w:t>
      </w:r>
      <w:r>
        <w:t xml:space="preserve"> </w:t>
      </w:r>
      <w:r w:rsidRPr="006054E1">
        <w:t>knowledge,</w:t>
      </w:r>
      <w:r>
        <w:t xml:space="preserve"> </w:t>
      </w:r>
      <w:proofErr w:type="gramStart"/>
      <w:r w:rsidRPr="006054E1">
        <w:t>skills</w:t>
      </w:r>
      <w:proofErr w:type="gramEnd"/>
      <w:r>
        <w:t xml:space="preserve"> </w:t>
      </w:r>
      <w:r w:rsidRPr="006054E1">
        <w:t>and</w:t>
      </w:r>
      <w:r>
        <w:t xml:space="preserve"> </w:t>
      </w:r>
      <w:r w:rsidRPr="006054E1">
        <w:t>behaviours</w:t>
      </w:r>
      <w:r>
        <w:t xml:space="preserve"> </w:t>
      </w:r>
      <w:r w:rsidRPr="006054E1">
        <w:t>of</w:t>
      </w:r>
      <w:r>
        <w:t xml:space="preserve"> </w:t>
      </w:r>
      <w:r w:rsidRPr="006054E1">
        <w:t>the</w:t>
      </w:r>
      <w:r>
        <w:t xml:space="preserve"> </w:t>
      </w:r>
      <w:r w:rsidRPr="006054E1">
        <w:t>mental</w:t>
      </w:r>
      <w:r>
        <w:t xml:space="preserve"> </w:t>
      </w:r>
      <w:r w:rsidRPr="006054E1">
        <w:t>health</w:t>
      </w:r>
      <w:r>
        <w:t xml:space="preserve"> </w:t>
      </w:r>
      <w:r w:rsidRPr="006054E1">
        <w:t>workforce</w:t>
      </w:r>
      <w:r>
        <w:t xml:space="preserve"> </w:t>
      </w:r>
      <w:r w:rsidRPr="006054E1">
        <w:t>both</w:t>
      </w:r>
      <w:r>
        <w:t xml:space="preserve"> </w:t>
      </w:r>
      <w:r w:rsidRPr="006054E1">
        <w:t>within</w:t>
      </w:r>
      <w:r>
        <w:t xml:space="preserve"> </w:t>
      </w:r>
      <w:r w:rsidRPr="006054E1">
        <w:t>and</w:t>
      </w:r>
      <w:r>
        <w:t xml:space="preserve"> </w:t>
      </w:r>
      <w:r w:rsidRPr="006054E1">
        <w:t>between</w:t>
      </w:r>
      <w:r>
        <w:t xml:space="preserve"> occupations</w:t>
      </w:r>
      <w:r w:rsidRPr="006054E1">
        <w:t>.</w:t>
      </w:r>
      <w:r>
        <w:t xml:space="preserve"> V</w:t>
      </w:r>
      <w:r w:rsidRPr="006054E1">
        <w:t>ariation</w:t>
      </w:r>
      <w:r>
        <w:t xml:space="preserve"> </w:t>
      </w:r>
      <w:r w:rsidRPr="006054E1">
        <w:t>between</w:t>
      </w:r>
      <w:r>
        <w:t xml:space="preserve"> </w:t>
      </w:r>
      <w:r w:rsidRPr="006054E1">
        <w:t>occupation</w:t>
      </w:r>
      <w:r>
        <w:t xml:space="preserve">s </w:t>
      </w:r>
      <w:r w:rsidRPr="006054E1">
        <w:t>is</w:t>
      </w:r>
      <w:r>
        <w:t xml:space="preserve"> </w:t>
      </w:r>
      <w:r w:rsidRPr="006054E1">
        <w:t>expected</w:t>
      </w:r>
      <w:r>
        <w:t xml:space="preserve"> </w:t>
      </w:r>
      <w:r w:rsidRPr="006054E1">
        <w:t>and</w:t>
      </w:r>
      <w:r>
        <w:t xml:space="preserve"> </w:t>
      </w:r>
      <w:r w:rsidRPr="006054E1">
        <w:t>appropriate,</w:t>
      </w:r>
      <w:r>
        <w:t xml:space="preserve"> </w:t>
      </w:r>
      <w:r w:rsidRPr="006054E1">
        <w:t>however</w:t>
      </w:r>
      <w:r>
        <w:t xml:space="preserve"> </w:t>
      </w:r>
      <w:r w:rsidRPr="006054E1">
        <w:t>it</w:t>
      </w:r>
      <w:r>
        <w:t xml:space="preserve"> </w:t>
      </w:r>
      <w:r w:rsidRPr="006054E1">
        <w:t>is</w:t>
      </w:r>
      <w:r>
        <w:t xml:space="preserve"> </w:t>
      </w:r>
      <w:r w:rsidRPr="006054E1">
        <w:t>not</w:t>
      </w:r>
      <w:r>
        <w:t xml:space="preserve"> </w:t>
      </w:r>
      <w:r w:rsidRPr="006054E1">
        <w:t>nationally</w:t>
      </w:r>
      <w:r>
        <w:t xml:space="preserve"> </w:t>
      </w:r>
      <w:r w:rsidRPr="006054E1">
        <w:t>consistent.</w:t>
      </w:r>
      <w:r>
        <w:t xml:space="preserve"> </w:t>
      </w:r>
      <w:r w:rsidRPr="006054E1">
        <w:t>The</w:t>
      </w:r>
      <w:r>
        <w:t xml:space="preserve"> </w:t>
      </w:r>
      <w:r w:rsidRPr="006054E1">
        <w:t>variation</w:t>
      </w:r>
      <w:r>
        <w:t xml:space="preserve"> </w:t>
      </w:r>
      <w:r w:rsidRPr="006054E1">
        <w:t>within</w:t>
      </w:r>
      <w:r>
        <w:t xml:space="preserve"> </w:t>
      </w:r>
      <w:r w:rsidRPr="006054E1">
        <w:t>occupation</w:t>
      </w:r>
      <w:r>
        <w:t xml:space="preserve">s </w:t>
      </w:r>
      <w:r w:rsidRPr="006054E1">
        <w:t>is</w:t>
      </w:r>
      <w:r>
        <w:t xml:space="preserve"> </w:t>
      </w:r>
      <w:r w:rsidRPr="006054E1">
        <w:t>caused</w:t>
      </w:r>
      <w:r>
        <w:t xml:space="preserve"> </w:t>
      </w:r>
      <w:r w:rsidRPr="006054E1">
        <w:t>by</w:t>
      </w:r>
      <w:r>
        <w:t xml:space="preserve"> </w:t>
      </w:r>
      <w:r w:rsidRPr="006054E1">
        <w:t>many</w:t>
      </w:r>
      <w:r>
        <w:t xml:space="preserve"> </w:t>
      </w:r>
      <w:r w:rsidRPr="006054E1">
        <w:t>factors</w:t>
      </w:r>
      <w:r>
        <w:t xml:space="preserve"> </w:t>
      </w:r>
      <w:r w:rsidRPr="006054E1">
        <w:t>including</w:t>
      </w:r>
      <w:r>
        <w:t xml:space="preserve"> </w:t>
      </w:r>
      <w:r w:rsidRPr="006054E1">
        <w:t>changes</w:t>
      </w:r>
      <w:r>
        <w:t xml:space="preserve"> </w:t>
      </w:r>
      <w:r w:rsidRPr="006054E1">
        <w:t>in</w:t>
      </w:r>
      <w:r>
        <w:t xml:space="preserve"> </w:t>
      </w:r>
      <w:r w:rsidRPr="006054E1">
        <w:t>education</w:t>
      </w:r>
      <w:r>
        <w:t xml:space="preserve"> </w:t>
      </w:r>
      <w:r w:rsidRPr="006054E1">
        <w:t>and</w:t>
      </w:r>
      <w:r>
        <w:t xml:space="preserve"> </w:t>
      </w:r>
      <w:r w:rsidRPr="006054E1">
        <w:t>training</w:t>
      </w:r>
      <w:r>
        <w:t xml:space="preserve"> </w:t>
      </w:r>
      <w:r w:rsidRPr="006054E1">
        <w:t>practices</w:t>
      </w:r>
      <w:r>
        <w:t xml:space="preserve"> </w:t>
      </w:r>
      <w:r w:rsidRPr="006054E1">
        <w:t>and</w:t>
      </w:r>
      <w:r>
        <w:t xml:space="preserve"> </w:t>
      </w:r>
      <w:r w:rsidRPr="006054E1">
        <w:t>requirements</w:t>
      </w:r>
      <w:r>
        <w:t xml:space="preserve"> </w:t>
      </w:r>
      <w:r w:rsidRPr="006054E1">
        <w:t>over</w:t>
      </w:r>
      <w:r>
        <w:t xml:space="preserve"> </w:t>
      </w:r>
      <w:r w:rsidRPr="006054E1">
        <w:t>time,</w:t>
      </w:r>
      <w:r>
        <w:t xml:space="preserve"> which occupations </w:t>
      </w:r>
      <w:r w:rsidRPr="006054E1">
        <w:t>are</w:t>
      </w:r>
      <w:r>
        <w:t xml:space="preserve"> </w:t>
      </w:r>
      <w:r w:rsidRPr="006054E1">
        <w:t>supported</w:t>
      </w:r>
      <w:r>
        <w:t xml:space="preserve"> </w:t>
      </w:r>
      <w:r w:rsidRPr="006054E1">
        <w:t>through</w:t>
      </w:r>
      <w:r>
        <w:t xml:space="preserve"> </w:t>
      </w:r>
      <w:r w:rsidRPr="006054E1">
        <w:t>government</w:t>
      </w:r>
      <w:r>
        <w:t xml:space="preserve"> </w:t>
      </w:r>
      <w:r w:rsidRPr="006054E1">
        <w:t>incentives</w:t>
      </w:r>
      <w:r>
        <w:t xml:space="preserve"> </w:t>
      </w:r>
      <w:r w:rsidRPr="006054E1">
        <w:t>in</w:t>
      </w:r>
      <w:r>
        <w:t xml:space="preserve"> </w:t>
      </w:r>
      <w:r w:rsidRPr="006054E1">
        <w:lastRenderedPageBreak/>
        <w:t>training</w:t>
      </w:r>
      <w:r>
        <w:t xml:space="preserve"> </w:t>
      </w:r>
      <w:r w:rsidRPr="006054E1">
        <w:t>and</w:t>
      </w:r>
      <w:r>
        <w:t xml:space="preserve"> </w:t>
      </w:r>
      <w:r w:rsidRPr="006054E1">
        <w:t>delivery</w:t>
      </w:r>
      <w:r>
        <w:t xml:space="preserve"> </w:t>
      </w:r>
      <w:r w:rsidRPr="006054E1">
        <w:t>of</w:t>
      </w:r>
      <w:r>
        <w:t xml:space="preserve"> </w:t>
      </w:r>
      <w:r w:rsidRPr="006054E1">
        <w:t>care,</w:t>
      </w:r>
      <w:r>
        <w:t xml:space="preserve"> </w:t>
      </w:r>
      <w:r w:rsidRPr="006054E1">
        <w:t>varying</w:t>
      </w:r>
      <w:r>
        <w:t xml:space="preserve"> </w:t>
      </w:r>
      <w:r w:rsidRPr="006054E1">
        <w:t>investment</w:t>
      </w:r>
      <w:r>
        <w:t xml:space="preserve"> </w:t>
      </w:r>
      <w:r w:rsidRPr="006054E1">
        <w:t>in</w:t>
      </w:r>
      <w:r>
        <w:t xml:space="preserve"> </w:t>
      </w:r>
      <w:r w:rsidRPr="006054E1">
        <w:t>and</w:t>
      </w:r>
      <w:r>
        <w:t xml:space="preserve"> </w:t>
      </w:r>
      <w:r w:rsidRPr="006054E1">
        <w:t>regulatory</w:t>
      </w:r>
      <w:r>
        <w:t xml:space="preserve"> </w:t>
      </w:r>
      <w:r w:rsidRPr="006054E1">
        <w:t>requirement</w:t>
      </w:r>
      <w:r>
        <w:t xml:space="preserve">s </w:t>
      </w:r>
      <w:r w:rsidRPr="006054E1">
        <w:t>for</w:t>
      </w:r>
      <w:r>
        <w:t xml:space="preserve"> </w:t>
      </w:r>
      <w:r w:rsidRPr="006054E1">
        <w:t>continuing</w:t>
      </w:r>
      <w:r>
        <w:t xml:space="preserve"> </w:t>
      </w:r>
      <w:r w:rsidRPr="006054E1">
        <w:t>professional</w:t>
      </w:r>
      <w:r>
        <w:t xml:space="preserve"> </w:t>
      </w:r>
      <w:r w:rsidRPr="006054E1">
        <w:t>development,</w:t>
      </w:r>
      <w:r>
        <w:t xml:space="preserve"> </w:t>
      </w:r>
      <w:r w:rsidRPr="006054E1">
        <w:t>differing</w:t>
      </w:r>
      <w:r>
        <w:t xml:space="preserve"> </w:t>
      </w:r>
      <w:r w:rsidRPr="006054E1">
        <w:t>work</w:t>
      </w:r>
      <w:r>
        <w:t xml:space="preserve"> </w:t>
      </w:r>
      <w:r w:rsidRPr="006054E1">
        <w:t>practices</w:t>
      </w:r>
      <w:r>
        <w:t xml:space="preserve"> </w:t>
      </w:r>
      <w:r w:rsidRPr="006054E1">
        <w:t>and</w:t>
      </w:r>
      <w:r>
        <w:t xml:space="preserve"> </w:t>
      </w:r>
      <w:r w:rsidRPr="006054E1">
        <w:t>roles</w:t>
      </w:r>
      <w:r>
        <w:t xml:space="preserve"> </w:t>
      </w:r>
      <w:r w:rsidRPr="006054E1">
        <w:t>between</w:t>
      </w:r>
      <w:r>
        <w:t xml:space="preserve"> </w:t>
      </w:r>
      <w:r w:rsidRPr="006054E1">
        <w:t>settings,</w:t>
      </w:r>
      <w:r>
        <w:t xml:space="preserve"> </w:t>
      </w:r>
      <w:r w:rsidRPr="006054E1">
        <w:t>and</w:t>
      </w:r>
      <w:r>
        <w:t xml:space="preserve"> </w:t>
      </w:r>
      <w:r w:rsidRPr="006054E1">
        <w:t>unclear</w:t>
      </w:r>
      <w:r>
        <w:t xml:space="preserve"> </w:t>
      </w:r>
      <w:r w:rsidRPr="006054E1">
        <w:t>scopes</w:t>
      </w:r>
      <w:r>
        <w:t xml:space="preserve"> </w:t>
      </w:r>
      <w:r w:rsidRPr="006054E1">
        <w:t>of</w:t>
      </w:r>
      <w:r>
        <w:t xml:space="preserve"> </w:t>
      </w:r>
      <w:r w:rsidRPr="006054E1">
        <w:t>practices</w:t>
      </w:r>
      <w:r>
        <w:t xml:space="preserve"> </w:t>
      </w:r>
      <w:r w:rsidRPr="006054E1">
        <w:t>for</w:t>
      </w:r>
      <w:r>
        <w:t xml:space="preserve"> </w:t>
      </w:r>
      <w:r w:rsidRPr="006054E1">
        <w:t>some</w:t>
      </w:r>
      <w:r>
        <w:t xml:space="preserve"> </w:t>
      </w:r>
      <w:r w:rsidRPr="006054E1">
        <w:t>occupations.</w:t>
      </w:r>
      <w:r>
        <w:t xml:space="preserve"> </w:t>
      </w:r>
    </w:p>
    <w:p w14:paraId="450B43B0" w14:textId="77777777" w:rsidR="00876DC7" w:rsidRDefault="00876DC7" w:rsidP="00BB5B16">
      <w:pPr>
        <w:pStyle w:val="Heading2"/>
      </w:pPr>
      <w:bookmarkStart w:id="13" w:name="_Toc98866262"/>
      <w:r>
        <w:t>Varied availability of scopes of practice</w:t>
      </w:r>
      <w:bookmarkEnd w:id="13"/>
    </w:p>
    <w:p w14:paraId="5C30902D" w14:textId="77777777" w:rsidR="00876DC7" w:rsidRDefault="00876DC7" w:rsidP="00876DC7">
      <w:pPr>
        <w:pStyle w:val="BodyText"/>
      </w:pPr>
      <w:r w:rsidRPr="006054E1">
        <w:t>There</w:t>
      </w:r>
      <w:r>
        <w:t xml:space="preserve"> </w:t>
      </w:r>
      <w:r w:rsidRPr="006054E1">
        <w:t>are</w:t>
      </w:r>
      <w:r>
        <w:t xml:space="preserve"> </w:t>
      </w:r>
      <w:r w:rsidRPr="006054E1">
        <w:t>few</w:t>
      </w:r>
      <w:r>
        <w:t xml:space="preserve"> </w:t>
      </w:r>
      <w:r w:rsidRPr="006054E1">
        <w:t>nationally</w:t>
      </w:r>
      <w:r>
        <w:t xml:space="preserve"> </w:t>
      </w:r>
      <w:r w:rsidRPr="006054E1">
        <w:t>consistent,</w:t>
      </w:r>
      <w:r>
        <w:t xml:space="preserve"> </w:t>
      </w:r>
      <w:r w:rsidRPr="006054E1">
        <w:t>clearly</w:t>
      </w:r>
      <w:r>
        <w:t xml:space="preserve"> </w:t>
      </w:r>
      <w:r w:rsidRPr="006054E1">
        <w:t>documented</w:t>
      </w:r>
      <w:r>
        <w:t xml:space="preserve"> </w:t>
      </w:r>
      <w:r w:rsidRPr="006054E1">
        <w:t>scopes</w:t>
      </w:r>
      <w:r>
        <w:t xml:space="preserve"> </w:t>
      </w:r>
      <w:r w:rsidRPr="006054E1">
        <w:t>of</w:t>
      </w:r>
      <w:r>
        <w:t xml:space="preserve"> </w:t>
      </w:r>
      <w:r w:rsidRPr="006054E1">
        <w:t>practice</w:t>
      </w:r>
      <w:r>
        <w:t xml:space="preserve"> </w:t>
      </w:r>
      <w:r w:rsidRPr="006054E1">
        <w:t>across</w:t>
      </w:r>
      <w:r>
        <w:t xml:space="preserve"> </w:t>
      </w:r>
      <w:r w:rsidRPr="006054E1">
        <w:t>the</w:t>
      </w:r>
      <w:r>
        <w:t xml:space="preserve"> occupations </w:t>
      </w:r>
      <w:r w:rsidRPr="006054E1">
        <w:t>in</w:t>
      </w:r>
      <w:r>
        <w:t xml:space="preserve"> </w:t>
      </w:r>
      <w:r w:rsidRPr="006054E1">
        <w:t>the</w:t>
      </w:r>
      <w:r>
        <w:t xml:space="preserve"> </w:t>
      </w:r>
      <w:r w:rsidRPr="006054E1">
        <w:t>mental</w:t>
      </w:r>
      <w:r>
        <w:t xml:space="preserve"> </w:t>
      </w:r>
      <w:r w:rsidRPr="006054E1">
        <w:t>health</w:t>
      </w:r>
      <w:r>
        <w:t xml:space="preserve"> </w:t>
      </w:r>
      <w:r w:rsidRPr="006054E1">
        <w:t>sector</w:t>
      </w:r>
      <w:r>
        <w:t xml:space="preserve"> </w:t>
      </w:r>
      <w:r w:rsidRPr="006054E1">
        <w:t>which</w:t>
      </w:r>
      <w:r>
        <w:t xml:space="preserve"> </w:t>
      </w:r>
      <w:r w:rsidRPr="006054E1">
        <w:t>creates</w:t>
      </w:r>
      <w:r>
        <w:t xml:space="preserve"> </w:t>
      </w:r>
      <w:r w:rsidRPr="006054E1">
        <w:t>confusion</w:t>
      </w:r>
      <w:r>
        <w:t xml:space="preserve"> </w:t>
      </w:r>
      <w:r w:rsidRPr="006054E1">
        <w:t>about</w:t>
      </w:r>
      <w:r>
        <w:t xml:space="preserve"> </w:t>
      </w:r>
      <w:r w:rsidRPr="006054E1">
        <w:t>who</w:t>
      </w:r>
      <w:r>
        <w:t xml:space="preserve"> </w:t>
      </w:r>
      <w:proofErr w:type="gramStart"/>
      <w:r w:rsidRPr="006054E1">
        <w:t>is</w:t>
      </w:r>
      <w:r>
        <w:t xml:space="preserve"> </w:t>
      </w:r>
      <w:r w:rsidRPr="006054E1">
        <w:t>able</w:t>
      </w:r>
      <w:r>
        <w:t xml:space="preserve"> </w:t>
      </w:r>
      <w:r w:rsidRPr="006054E1">
        <w:t>to</w:t>
      </w:r>
      <w:proofErr w:type="gramEnd"/>
      <w:r>
        <w:t xml:space="preserve"> </w:t>
      </w:r>
      <w:r w:rsidRPr="006054E1">
        <w:t>undertake</w:t>
      </w:r>
      <w:r>
        <w:t xml:space="preserve"> </w:t>
      </w:r>
      <w:r w:rsidRPr="006054E1">
        <w:t>what</w:t>
      </w:r>
      <w:r>
        <w:t xml:space="preserve"> </w:t>
      </w:r>
      <w:r w:rsidRPr="006054E1">
        <w:t>tasks</w:t>
      </w:r>
      <w:r>
        <w:t xml:space="preserve"> </w:t>
      </w:r>
      <w:r w:rsidRPr="006054E1">
        <w:t>in</w:t>
      </w:r>
      <w:r>
        <w:t xml:space="preserve"> </w:t>
      </w:r>
      <w:r w:rsidRPr="006054E1">
        <w:t>which</w:t>
      </w:r>
      <w:r>
        <w:t xml:space="preserve"> </w:t>
      </w:r>
      <w:r w:rsidRPr="006054E1">
        <w:t>settings.</w:t>
      </w:r>
      <w:r>
        <w:t xml:space="preserve"> </w:t>
      </w:r>
      <w:r w:rsidRPr="006054E1">
        <w:t>While</w:t>
      </w:r>
      <w:r>
        <w:t xml:space="preserve"> </w:t>
      </w:r>
      <w:r w:rsidRPr="006054E1">
        <w:t>some</w:t>
      </w:r>
      <w:r>
        <w:t xml:space="preserve"> </w:t>
      </w:r>
      <w:r w:rsidRPr="006054E1">
        <w:t>occupations</w:t>
      </w:r>
      <w:r>
        <w:t xml:space="preserve"> </w:t>
      </w:r>
      <w:r w:rsidRPr="006054E1">
        <w:t>have</w:t>
      </w:r>
      <w:r>
        <w:t xml:space="preserve"> </w:t>
      </w:r>
      <w:r w:rsidRPr="006054E1">
        <w:t>documented</w:t>
      </w:r>
      <w:r>
        <w:t xml:space="preserve"> </w:t>
      </w:r>
      <w:r w:rsidRPr="006054E1">
        <w:t>and</w:t>
      </w:r>
      <w:r>
        <w:t xml:space="preserve"> </w:t>
      </w:r>
      <w:r w:rsidRPr="006054E1">
        <w:t>national</w:t>
      </w:r>
      <w:r>
        <w:t xml:space="preserve"> </w:t>
      </w:r>
      <w:r w:rsidRPr="006054E1">
        <w:t>scopes</w:t>
      </w:r>
      <w:r>
        <w:t xml:space="preserve"> </w:t>
      </w:r>
      <w:r w:rsidRPr="006054E1">
        <w:t>of</w:t>
      </w:r>
      <w:r>
        <w:t xml:space="preserve"> </w:t>
      </w:r>
      <w:r w:rsidRPr="006054E1">
        <w:t>practice,</w:t>
      </w:r>
      <w:r>
        <w:t xml:space="preserve"> </w:t>
      </w:r>
      <w:r w:rsidRPr="006054E1">
        <w:t>many</w:t>
      </w:r>
      <w:r>
        <w:t xml:space="preserve"> </w:t>
      </w:r>
      <w:r w:rsidRPr="006054E1">
        <w:t>other</w:t>
      </w:r>
      <w:r>
        <w:t xml:space="preserve"> </w:t>
      </w:r>
      <w:r w:rsidRPr="006054E1">
        <w:t>occupations</w:t>
      </w:r>
      <w:r>
        <w:t xml:space="preserve"> </w:t>
      </w:r>
      <w:r w:rsidRPr="006054E1">
        <w:t>do</w:t>
      </w:r>
      <w:r>
        <w:t xml:space="preserve"> </w:t>
      </w:r>
      <w:r w:rsidRPr="006054E1">
        <w:t>not</w:t>
      </w:r>
      <w:r>
        <w:t xml:space="preserve"> </w:t>
      </w:r>
      <w:r w:rsidRPr="006054E1">
        <w:t>– particularly</w:t>
      </w:r>
      <w:r>
        <w:t xml:space="preserve"> </w:t>
      </w:r>
      <w:r w:rsidRPr="006054E1">
        <w:t>emerging</w:t>
      </w:r>
      <w:r>
        <w:t xml:space="preserve"> </w:t>
      </w:r>
      <w:r w:rsidRPr="006054E1">
        <w:t>and</w:t>
      </w:r>
      <w:r>
        <w:t xml:space="preserve"> </w:t>
      </w:r>
      <w:r w:rsidRPr="006054E1">
        <w:t>self-regulated</w:t>
      </w:r>
      <w:r>
        <w:t xml:space="preserve"> </w:t>
      </w:r>
      <w:r w:rsidRPr="006054E1">
        <w:t>occupations</w:t>
      </w:r>
      <w:r>
        <w:t xml:space="preserve"> </w:t>
      </w:r>
      <w:r w:rsidRPr="006054E1">
        <w:t>and</w:t>
      </w:r>
      <w:r>
        <w:t xml:space="preserve"> </w:t>
      </w:r>
      <w:r w:rsidRPr="006054E1">
        <w:t>in</w:t>
      </w:r>
      <w:r>
        <w:t xml:space="preserve"> </w:t>
      </w:r>
      <w:r w:rsidRPr="006054E1">
        <w:t>the</w:t>
      </w:r>
      <w:r>
        <w:t xml:space="preserve"> </w:t>
      </w:r>
      <w:r w:rsidRPr="006054E1">
        <w:t>broader</w:t>
      </w:r>
      <w:r>
        <w:t xml:space="preserve"> </w:t>
      </w:r>
      <w:r w:rsidRPr="006054E1">
        <w:t>social</w:t>
      </w:r>
      <w:r>
        <w:t xml:space="preserve"> </w:t>
      </w:r>
      <w:r w:rsidRPr="006054E1">
        <w:t>and</w:t>
      </w:r>
      <w:r>
        <w:t xml:space="preserve"> </w:t>
      </w:r>
      <w:r w:rsidRPr="006054E1">
        <w:t>emotional</w:t>
      </w:r>
      <w:r>
        <w:t xml:space="preserve"> </w:t>
      </w:r>
      <w:r w:rsidRPr="006054E1">
        <w:t>wellbeing</w:t>
      </w:r>
      <w:r>
        <w:t xml:space="preserve"> </w:t>
      </w:r>
      <w:r w:rsidRPr="006054E1">
        <w:t>workforce.</w:t>
      </w:r>
      <w:r>
        <w:t xml:space="preserve"> </w:t>
      </w:r>
    </w:p>
    <w:p w14:paraId="4E17F500" w14:textId="77777777" w:rsidR="00876DC7" w:rsidRDefault="00876DC7" w:rsidP="00876DC7">
      <w:pPr>
        <w:pStyle w:val="BodyText"/>
      </w:pPr>
      <w:r w:rsidRPr="006054E1">
        <w:t>This</w:t>
      </w:r>
      <w:r>
        <w:t xml:space="preserve"> </w:t>
      </w:r>
      <w:r w:rsidRPr="006054E1">
        <w:t>lack</w:t>
      </w:r>
      <w:r>
        <w:t xml:space="preserve"> </w:t>
      </w:r>
      <w:r w:rsidRPr="006054E1">
        <w:t>of</w:t>
      </w:r>
      <w:r>
        <w:t xml:space="preserve"> </w:t>
      </w:r>
      <w:r w:rsidRPr="006054E1">
        <w:t>clarity</w:t>
      </w:r>
      <w:r>
        <w:t xml:space="preserve"> </w:t>
      </w:r>
      <w:r w:rsidRPr="006054E1">
        <w:t>and</w:t>
      </w:r>
      <w:r>
        <w:t xml:space="preserve"> </w:t>
      </w:r>
      <w:r w:rsidRPr="006054E1">
        <w:t>consistency</w:t>
      </w:r>
      <w:r>
        <w:t xml:space="preserve"> </w:t>
      </w:r>
      <w:r w:rsidRPr="006054E1">
        <w:t>raises</w:t>
      </w:r>
      <w:r>
        <w:t xml:space="preserve"> </w:t>
      </w:r>
      <w:r w:rsidRPr="006054E1">
        <w:t>barriers</w:t>
      </w:r>
      <w:r>
        <w:t xml:space="preserve"> </w:t>
      </w:r>
      <w:r w:rsidRPr="006054E1">
        <w:t>to</w:t>
      </w:r>
      <w:r>
        <w:t xml:space="preserve"> </w:t>
      </w:r>
      <w:r w:rsidRPr="006054E1">
        <w:t>the</w:t>
      </w:r>
      <w:r>
        <w:t xml:space="preserve"> </w:t>
      </w:r>
      <w:r w:rsidRPr="006054E1">
        <w:t>appropriate</w:t>
      </w:r>
      <w:r>
        <w:t xml:space="preserve"> </w:t>
      </w:r>
      <w:r w:rsidRPr="006054E1">
        <w:t>utilisation</w:t>
      </w:r>
      <w:r>
        <w:t xml:space="preserve"> </w:t>
      </w:r>
      <w:r w:rsidRPr="006054E1">
        <w:t>of</w:t>
      </w:r>
      <w:r>
        <w:t xml:space="preserve"> </w:t>
      </w:r>
      <w:r w:rsidRPr="006054E1">
        <w:t>some</w:t>
      </w:r>
      <w:r>
        <w:t xml:space="preserve"> </w:t>
      </w:r>
      <w:r w:rsidRPr="006054E1">
        <w:t>occupations</w:t>
      </w:r>
      <w:r>
        <w:t xml:space="preserve"> </w:t>
      </w:r>
      <w:r w:rsidRPr="006054E1">
        <w:t>within</w:t>
      </w:r>
      <w:r>
        <w:t xml:space="preserve"> </w:t>
      </w:r>
      <w:r w:rsidRPr="006054E1">
        <w:t>the</w:t>
      </w:r>
      <w:r>
        <w:t xml:space="preserve"> </w:t>
      </w:r>
      <w:r w:rsidRPr="006054E1">
        <w:t>mental</w:t>
      </w:r>
      <w:r>
        <w:t xml:space="preserve"> </w:t>
      </w:r>
      <w:r w:rsidRPr="006054E1">
        <w:t>health</w:t>
      </w:r>
      <w:r>
        <w:t xml:space="preserve"> </w:t>
      </w:r>
      <w:r w:rsidRPr="006054E1">
        <w:t>sector.</w:t>
      </w:r>
      <w:r>
        <w:t xml:space="preserve"> </w:t>
      </w:r>
      <w:r w:rsidRPr="006054E1">
        <w:t>It</w:t>
      </w:r>
      <w:r>
        <w:t xml:space="preserve"> </w:t>
      </w:r>
      <w:r w:rsidRPr="006054E1">
        <w:t>also</w:t>
      </w:r>
      <w:r>
        <w:t xml:space="preserve"> </w:t>
      </w:r>
      <w:r w:rsidRPr="006054E1">
        <w:t>creates</w:t>
      </w:r>
      <w:r>
        <w:t xml:space="preserve"> </w:t>
      </w:r>
      <w:r w:rsidRPr="006054E1">
        <w:t>challenges</w:t>
      </w:r>
      <w:r>
        <w:t xml:space="preserve"> </w:t>
      </w:r>
      <w:r w:rsidRPr="006054E1">
        <w:t>for</w:t>
      </w:r>
      <w:r>
        <w:t xml:space="preserve"> </w:t>
      </w:r>
      <w:r w:rsidRPr="006054E1">
        <w:t>multidisciplinary</w:t>
      </w:r>
      <w:r>
        <w:t xml:space="preserve"> </w:t>
      </w:r>
      <w:r w:rsidRPr="006054E1">
        <w:t>team</w:t>
      </w:r>
      <w:r>
        <w:t xml:space="preserve"> </w:t>
      </w:r>
      <w:r w:rsidRPr="006054E1">
        <w:t>care</w:t>
      </w:r>
      <w:r>
        <w:t xml:space="preserve"> </w:t>
      </w:r>
      <w:r w:rsidRPr="006054E1">
        <w:t>models,</w:t>
      </w:r>
      <w:r>
        <w:t xml:space="preserve"> </w:t>
      </w:r>
      <w:r w:rsidRPr="006054E1">
        <w:t>with</w:t>
      </w:r>
      <w:r>
        <w:t xml:space="preserve"> </w:t>
      </w:r>
      <w:r w:rsidRPr="006054E1">
        <w:t>limited</w:t>
      </w:r>
      <w:r>
        <w:t xml:space="preserve"> </w:t>
      </w:r>
      <w:r w:rsidRPr="006054E1">
        <w:t>clarity</w:t>
      </w:r>
      <w:r>
        <w:t xml:space="preserve"> </w:t>
      </w:r>
      <w:r w:rsidRPr="006054E1">
        <w:t>on</w:t>
      </w:r>
      <w:r>
        <w:t xml:space="preserve"> </w:t>
      </w:r>
      <w:r w:rsidRPr="006054E1">
        <w:t>how</w:t>
      </w:r>
      <w:r>
        <w:t xml:space="preserve"> </w:t>
      </w:r>
      <w:r w:rsidRPr="006054E1">
        <w:t>scopes</w:t>
      </w:r>
      <w:r>
        <w:t xml:space="preserve"> </w:t>
      </w:r>
      <w:r w:rsidRPr="006054E1">
        <w:t>of</w:t>
      </w:r>
      <w:r>
        <w:t xml:space="preserve"> </w:t>
      </w:r>
      <w:r w:rsidRPr="006054E1">
        <w:t>practice</w:t>
      </w:r>
      <w:r>
        <w:t xml:space="preserve"> </w:t>
      </w:r>
      <w:r w:rsidRPr="006054E1">
        <w:t>can</w:t>
      </w:r>
      <w:r>
        <w:t xml:space="preserve"> </w:t>
      </w:r>
      <w:r w:rsidRPr="006054E1">
        <w:t>be</w:t>
      </w:r>
      <w:r>
        <w:t xml:space="preserve"> </w:t>
      </w:r>
      <w:r w:rsidRPr="006054E1">
        <w:t>utilised</w:t>
      </w:r>
      <w:r>
        <w:t xml:space="preserve"> </w:t>
      </w:r>
      <w:r w:rsidRPr="006054E1">
        <w:t>to</w:t>
      </w:r>
      <w:r>
        <w:t xml:space="preserve"> </w:t>
      </w:r>
      <w:r w:rsidRPr="006054E1">
        <w:t>their</w:t>
      </w:r>
      <w:r>
        <w:t xml:space="preserve"> </w:t>
      </w:r>
      <w:r w:rsidRPr="006054E1">
        <w:t>fullest</w:t>
      </w:r>
      <w:r>
        <w:t xml:space="preserve"> </w:t>
      </w:r>
      <w:r w:rsidRPr="006054E1">
        <w:t>extent.</w:t>
      </w:r>
      <w:r>
        <w:t xml:space="preserve"> </w:t>
      </w:r>
    </w:p>
    <w:p w14:paraId="081ED500" w14:textId="77777777" w:rsidR="00876DC7" w:rsidRDefault="00876DC7" w:rsidP="00876DC7">
      <w:pPr>
        <w:pStyle w:val="BodyText"/>
      </w:pPr>
      <w:r>
        <w:t xml:space="preserve">For safe, appropriate delivery of support and treatment, it is necessary to understand which occupations have the knowledge and competencies to provide these components of care, acquired through completing education, training and practical experience. The occupations’ scopes of practice should reflect the components of care and the education, training and experience required. </w:t>
      </w:r>
    </w:p>
    <w:p w14:paraId="21DE05DE" w14:textId="77777777" w:rsidR="00876DC7" w:rsidRDefault="00876DC7" w:rsidP="00876DC7">
      <w:pPr>
        <w:pStyle w:val="BodyText"/>
        <w:keepNext/>
        <w:keepLines/>
      </w:pPr>
      <w:r>
        <w:t>Definition of clear scopes of practice will mean the broadly defined mental health workforce is better able to respond to unexpected, sudden increases in demand for mental health services as there will be a much clearer view of which occupations are trained to provide which components of care and can therefore be called on when required. The need for a surge capacity has been highlighted by the increased mental health concerns associated with recent bushfires and experiences arising from the COVID 19 pandemic.</w:t>
      </w:r>
    </w:p>
    <w:p w14:paraId="5D93D736" w14:textId="77777777" w:rsidR="00876DC7" w:rsidRDefault="00876DC7" w:rsidP="00BB5B16">
      <w:pPr>
        <w:pStyle w:val="Heading2"/>
      </w:pPr>
      <w:bookmarkStart w:id="14" w:name="_Toc98866263"/>
      <w:r>
        <w:t>Contemporary regulation requirements</w:t>
      </w:r>
      <w:bookmarkEnd w:id="14"/>
    </w:p>
    <w:p w14:paraId="0BB409FD" w14:textId="77777777" w:rsidR="00876DC7" w:rsidRDefault="00876DC7" w:rsidP="00876DC7">
      <w:pPr>
        <w:pStyle w:val="BodyText"/>
      </w:pPr>
      <w:r w:rsidRPr="006054E1">
        <w:t>The</w:t>
      </w:r>
      <w:r>
        <w:t xml:space="preserve"> </w:t>
      </w:r>
      <w:r w:rsidRPr="006054E1">
        <w:t>quality</w:t>
      </w:r>
      <w:r>
        <w:t xml:space="preserve"> </w:t>
      </w:r>
      <w:r w:rsidRPr="006054E1">
        <w:t>of</w:t>
      </w:r>
      <w:r>
        <w:t xml:space="preserve"> </w:t>
      </w:r>
      <w:r w:rsidRPr="006054E1">
        <w:t>care</w:t>
      </w:r>
      <w:r>
        <w:t xml:space="preserve"> </w:t>
      </w:r>
      <w:r w:rsidRPr="006054E1">
        <w:t>and</w:t>
      </w:r>
      <w:r>
        <w:t xml:space="preserve"> </w:t>
      </w:r>
      <w:r w:rsidRPr="006054E1">
        <w:t>safety</w:t>
      </w:r>
      <w:r>
        <w:t xml:space="preserve"> </w:t>
      </w:r>
      <w:r w:rsidRPr="006054E1">
        <w:t>of</w:t>
      </w:r>
      <w:r>
        <w:t xml:space="preserve"> </w:t>
      </w:r>
      <w:r w:rsidRPr="006054E1">
        <w:t>service</w:t>
      </w:r>
      <w:r>
        <w:t xml:space="preserve"> </w:t>
      </w:r>
      <w:r w:rsidRPr="006054E1">
        <w:t>delivery</w:t>
      </w:r>
      <w:r>
        <w:t xml:space="preserve"> </w:t>
      </w:r>
      <w:r w:rsidRPr="006054E1">
        <w:t>for</w:t>
      </w:r>
      <w:r>
        <w:t xml:space="preserve"> </w:t>
      </w:r>
      <w:r w:rsidRPr="006054E1">
        <w:t>consumers</w:t>
      </w:r>
      <w:r>
        <w:t xml:space="preserve"> </w:t>
      </w:r>
      <w:r w:rsidRPr="006054E1">
        <w:t>is</w:t>
      </w:r>
      <w:r>
        <w:t xml:space="preserve"> </w:t>
      </w:r>
      <w:r w:rsidRPr="006054E1">
        <w:t>underpinned</w:t>
      </w:r>
      <w:r>
        <w:t xml:space="preserve"> </w:t>
      </w:r>
      <w:r w:rsidRPr="006054E1">
        <w:t>by</w:t>
      </w:r>
      <w:r>
        <w:t xml:space="preserve"> </w:t>
      </w:r>
      <w:r w:rsidRPr="006054E1">
        <w:t>effective</w:t>
      </w:r>
      <w:r>
        <w:t xml:space="preserve"> </w:t>
      </w:r>
      <w:r w:rsidRPr="006054E1">
        <w:t>regulatory</w:t>
      </w:r>
      <w:r>
        <w:t xml:space="preserve"> </w:t>
      </w:r>
      <w:r w:rsidRPr="006054E1">
        <w:t>arrangements.</w:t>
      </w:r>
      <w:r>
        <w:t xml:space="preserve"> </w:t>
      </w:r>
      <w:r w:rsidRPr="006054E1">
        <w:t>The</w:t>
      </w:r>
      <w:r>
        <w:t xml:space="preserve"> </w:t>
      </w:r>
      <w:r w:rsidRPr="006054E1">
        <w:t>current</w:t>
      </w:r>
      <w:r>
        <w:t xml:space="preserve"> </w:t>
      </w:r>
      <w:r w:rsidRPr="006054E1">
        <w:t>arrangements</w:t>
      </w:r>
      <w:r>
        <w:t xml:space="preserve"> </w:t>
      </w:r>
      <w:r w:rsidRPr="006054E1">
        <w:t>for</w:t>
      </w:r>
      <w:r>
        <w:t xml:space="preserve"> </w:t>
      </w:r>
      <w:r w:rsidRPr="006054E1">
        <w:t>regulating</w:t>
      </w:r>
      <w:r>
        <w:t xml:space="preserve"> </w:t>
      </w:r>
      <w:r w:rsidRPr="006054E1">
        <w:t>the</w:t>
      </w:r>
      <w:r>
        <w:t xml:space="preserve"> </w:t>
      </w:r>
      <w:r w:rsidRPr="006054E1">
        <w:t>occupations</w:t>
      </w:r>
      <w:r>
        <w:t xml:space="preserve"> in </w:t>
      </w:r>
      <w:r w:rsidRPr="006054E1">
        <w:t>the</w:t>
      </w:r>
      <w:r>
        <w:t xml:space="preserve"> </w:t>
      </w:r>
      <w:r w:rsidRPr="006054E1">
        <w:t>mental</w:t>
      </w:r>
      <w:r>
        <w:t xml:space="preserve"> </w:t>
      </w:r>
      <w:r w:rsidRPr="006054E1">
        <w:t>health</w:t>
      </w:r>
      <w:r>
        <w:t xml:space="preserve"> </w:t>
      </w:r>
      <w:r w:rsidRPr="006054E1">
        <w:t>workforce</w:t>
      </w:r>
      <w:r>
        <w:t xml:space="preserve"> </w:t>
      </w:r>
      <w:r w:rsidRPr="006054E1">
        <w:t>have</w:t>
      </w:r>
      <w:r>
        <w:t xml:space="preserve"> </w:t>
      </w:r>
      <w:r w:rsidRPr="006054E1">
        <w:t>evolved</w:t>
      </w:r>
      <w:r>
        <w:t xml:space="preserve"> </w:t>
      </w:r>
      <w:r w:rsidRPr="006054E1">
        <w:t>over</w:t>
      </w:r>
      <w:r>
        <w:t xml:space="preserve"> </w:t>
      </w:r>
      <w:r w:rsidRPr="006054E1">
        <w:t>time.</w:t>
      </w:r>
      <w:r>
        <w:t xml:space="preserve"> </w:t>
      </w:r>
      <w:r w:rsidRPr="006054E1">
        <w:t>Some</w:t>
      </w:r>
      <w:r>
        <w:t xml:space="preserve"> </w:t>
      </w:r>
      <w:r w:rsidRPr="006054E1">
        <w:t>occupations</w:t>
      </w:r>
      <w:r>
        <w:t xml:space="preserve"> </w:t>
      </w:r>
      <w:r w:rsidRPr="006054E1">
        <w:t>have</w:t>
      </w:r>
      <w:r>
        <w:t xml:space="preserve"> </w:t>
      </w:r>
      <w:r w:rsidRPr="006054E1">
        <w:t>long-established,</w:t>
      </w:r>
      <w:r>
        <w:t xml:space="preserve"> </w:t>
      </w:r>
      <w:r w:rsidRPr="006054E1">
        <w:t>mature</w:t>
      </w:r>
      <w:r>
        <w:t xml:space="preserve"> </w:t>
      </w:r>
      <w:r w:rsidRPr="006054E1">
        <w:t>regulatory</w:t>
      </w:r>
      <w:r>
        <w:t xml:space="preserve"> </w:t>
      </w:r>
      <w:r w:rsidRPr="006054E1">
        <w:t>schemes</w:t>
      </w:r>
      <w:r w:rsidRPr="006054E1">
        <w:rPr>
          <w:rStyle w:val="FootnoteReference"/>
        </w:rPr>
        <w:footnoteReference w:id="6"/>
      </w:r>
      <w:r>
        <w:t xml:space="preserve">. </w:t>
      </w:r>
      <w:r w:rsidRPr="006054E1">
        <w:t>There</w:t>
      </w:r>
      <w:r>
        <w:t xml:space="preserve"> </w:t>
      </w:r>
      <w:r w:rsidRPr="006054E1">
        <w:t>is</w:t>
      </w:r>
      <w:r>
        <w:t xml:space="preserve"> </w:t>
      </w:r>
      <w:r w:rsidRPr="006054E1">
        <w:t>a</w:t>
      </w:r>
      <w:r>
        <w:t xml:space="preserve"> </w:t>
      </w:r>
      <w:r w:rsidRPr="006054E1">
        <w:t>need</w:t>
      </w:r>
      <w:r>
        <w:t xml:space="preserve"> </w:t>
      </w:r>
      <w:r w:rsidRPr="006054E1">
        <w:t>to</w:t>
      </w:r>
      <w:r>
        <w:t xml:space="preserve"> </w:t>
      </w:r>
      <w:r w:rsidRPr="006054E1">
        <w:t>ensure</w:t>
      </w:r>
      <w:r>
        <w:t xml:space="preserve"> </w:t>
      </w:r>
      <w:r w:rsidRPr="006054E1">
        <w:t>that</w:t>
      </w:r>
      <w:r>
        <w:t xml:space="preserve"> </w:t>
      </w:r>
      <w:r w:rsidRPr="006054E1">
        <w:t>the</w:t>
      </w:r>
      <w:r>
        <w:t xml:space="preserve"> </w:t>
      </w:r>
      <w:r w:rsidRPr="006054E1">
        <w:t>appropriate</w:t>
      </w:r>
      <w:r>
        <w:t xml:space="preserve"> </w:t>
      </w:r>
      <w:r w:rsidRPr="006054E1">
        <w:t>regulatory</w:t>
      </w:r>
      <w:r>
        <w:t xml:space="preserve"> </w:t>
      </w:r>
      <w:r w:rsidRPr="006054E1">
        <w:lastRenderedPageBreak/>
        <w:t>arrangements</w:t>
      </w:r>
      <w:r>
        <w:t xml:space="preserve"> </w:t>
      </w:r>
      <w:r w:rsidRPr="006054E1">
        <w:t>are</w:t>
      </w:r>
      <w:r>
        <w:t xml:space="preserve"> </w:t>
      </w:r>
      <w:r w:rsidRPr="006054E1">
        <w:t>in</w:t>
      </w:r>
      <w:r>
        <w:t xml:space="preserve"> </w:t>
      </w:r>
      <w:r w:rsidRPr="006054E1">
        <w:t>place</w:t>
      </w:r>
      <w:r>
        <w:t xml:space="preserve"> </w:t>
      </w:r>
      <w:r w:rsidRPr="006054E1">
        <w:t>for</w:t>
      </w:r>
      <w:r>
        <w:t xml:space="preserve"> </w:t>
      </w:r>
      <w:r w:rsidRPr="006054E1">
        <w:t>emerging</w:t>
      </w:r>
      <w:r>
        <w:t xml:space="preserve"> </w:t>
      </w:r>
      <w:r w:rsidRPr="006054E1">
        <w:t>occupations</w:t>
      </w:r>
      <w:r>
        <w:t xml:space="preserve"> </w:t>
      </w:r>
      <w:r w:rsidRPr="006054E1">
        <w:t>and</w:t>
      </w:r>
      <w:r>
        <w:t xml:space="preserve"> </w:t>
      </w:r>
      <w:r w:rsidRPr="006054E1">
        <w:t>occupations</w:t>
      </w:r>
      <w:r>
        <w:t xml:space="preserve"> </w:t>
      </w:r>
      <w:r w:rsidRPr="006054E1">
        <w:t>that</w:t>
      </w:r>
      <w:r>
        <w:t xml:space="preserve"> </w:t>
      </w:r>
      <w:r w:rsidRPr="006054E1">
        <w:t>may</w:t>
      </w:r>
      <w:r>
        <w:t xml:space="preserve"> </w:t>
      </w:r>
      <w:r w:rsidRPr="006054E1">
        <w:t>be</w:t>
      </w:r>
      <w:r>
        <w:t xml:space="preserve"> </w:t>
      </w:r>
      <w:r w:rsidRPr="006054E1">
        <w:t>able</w:t>
      </w:r>
      <w:r>
        <w:t xml:space="preserve"> </w:t>
      </w:r>
      <w:r w:rsidRPr="006054E1">
        <w:t>to</w:t>
      </w:r>
      <w:r>
        <w:t xml:space="preserve"> </w:t>
      </w:r>
      <w:r w:rsidRPr="006054E1">
        <w:t>contribute</w:t>
      </w:r>
      <w:r>
        <w:t xml:space="preserve"> </w:t>
      </w:r>
      <w:r w:rsidRPr="006054E1">
        <w:t>more</w:t>
      </w:r>
      <w:r>
        <w:t xml:space="preserve"> </w:t>
      </w:r>
      <w:r w:rsidRPr="006054E1">
        <w:t>fully.</w:t>
      </w:r>
      <w:r>
        <w:t xml:space="preserve"> </w:t>
      </w:r>
    </w:p>
    <w:p w14:paraId="14EFDA72" w14:textId="77777777" w:rsidR="00876DC7" w:rsidRDefault="00876DC7" w:rsidP="00876DC7">
      <w:pPr>
        <w:pStyle w:val="BodyText"/>
      </w:pPr>
      <w:r>
        <w:t xml:space="preserve">The adoption of a social and emotional wellbeing approach to mental health, and the broader definition of the mental health workforce, means it is timely to review the occupational regulatory arrangements that monitor and support safe practice by the occupations that comprise the mental health workforce. The revision of regulatory arrangements should be conducted </w:t>
      </w:r>
      <w:proofErr w:type="gramStart"/>
      <w:r>
        <w:t>in light of</w:t>
      </w:r>
      <w:proofErr w:type="gramEnd"/>
      <w:r>
        <w:t xml:space="preserve"> the revised / reconfirmed scopes of practice. The appropriate regulatory approach for each occupation </w:t>
      </w:r>
      <w:r w:rsidRPr="00056771">
        <w:t>should</w:t>
      </w:r>
      <w:r>
        <w:t xml:space="preserve"> </w:t>
      </w:r>
      <w:r w:rsidRPr="00056771">
        <w:t>build</w:t>
      </w:r>
      <w:r>
        <w:t xml:space="preserve"> </w:t>
      </w:r>
      <w:r w:rsidRPr="00056771">
        <w:t>on</w:t>
      </w:r>
      <w:r>
        <w:t xml:space="preserve"> </w:t>
      </w:r>
      <w:r w:rsidRPr="00056771">
        <w:t>the</w:t>
      </w:r>
      <w:r>
        <w:t xml:space="preserve"> </w:t>
      </w:r>
      <w:r w:rsidRPr="00056771">
        <w:t>work</w:t>
      </w:r>
      <w:r>
        <w:t xml:space="preserve"> </w:t>
      </w:r>
      <w:r w:rsidRPr="00056771">
        <w:t>of</w:t>
      </w:r>
      <w:r>
        <w:t xml:space="preserve"> </w:t>
      </w:r>
      <w:r w:rsidRPr="00A03316">
        <w:rPr>
          <w:i/>
          <w:iCs/>
        </w:rPr>
        <w:t>the Independent Review of the National Registration and Accreditation Scheme for health professions,</w:t>
      </w:r>
      <w:r>
        <w:t xml:space="preserve"> </w:t>
      </w:r>
      <w:r w:rsidRPr="00056771">
        <w:t>2014</w:t>
      </w:r>
      <w:r>
        <w:t xml:space="preserve"> and the </w:t>
      </w:r>
      <w:r w:rsidRPr="00A03316">
        <w:rPr>
          <w:i/>
          <w:iCs/>
        </w:rPr>
        <w:t>Independent Review of Accreditation Systems within the National Registration and Accreditation Scheme for Health Professionals</w:t>
      </w:r>
      <w:r w:rsidRPr="00056771">
        <w:t>,</w:t>
      </w:r>
      <w:r>
        <w:t xml:space="preserve"> </w:t>
      </w:r>
      <w:r w:rsidRPr="00056771">
        <w:t>2018.</w:t>
      </w:r>
      <w:r>
        <w:t xml:space="preserve"> </w:t>
      </w:r>
    </w:p>
    <w:p w14:paraId="509C0F58" w14:textId="77777777" w:rsidR="00876DC7" w:rsidRDefault="00876DC7" w:rsidP="00876DC7">
      <w:pPr>
        <w:pStyle w:val="BodyText"/>
      </w:pPr>
      <w:r>
        <w:t xml:space="preserve">Occupational regulation is a mechanism for protecting the community by requiring that prescribed professional practice standards are met and should not be viewed through the lens of gaining access to funding arrangements. The Strategy acknowledges the criticality of adequate funding to meeting the mental health needs of the community, </w:t>
      </w:r>
      <w:proofErr w:type="gramStart"/>
      <w:r>
        <w:t>consumers</w:t>
      </w:r>
      <w:proofErr w:type="gramEnd"/>
      <w:r>
        <w:t xml:space="preserve"> and carers. This is partially managed through the MBS, including through the Better Access Program, which is currently being reviewed and is therefore beyond the scope of this Strategy.</w:t>
      </w:r>
    </w:p>
    <w:p w14:paraId="0E058B33" w14:textId="77777777" w:rsidR="00876DC7" w:rsidRDefault="00876DC7" w:rsidP="00876DC7">
      <w:pPr>
        <w:pStyle w:val="BodyText"/>
      </w:pPr>
      <w:r>
        <w:t>Much of the work required to implement the actions described below will require involvement of the peak organisations that represent the mental health workforce. Most of these occupations currently have peak organisations that represent the interests of members. Notably, the Lived Experience (Peer) Workforce does not and establishment of such a body is recommended to support development of this important part of the mental health workforce.</w:t>
      </w:r>
    </w:p>
    <w:p w14:paraId="05B9CA0B" w14:textId="77777777" w:rsidR="00876DC7" w:rsidRDefault="00876DC7" w:rsidP="00BB5B16">
      <w:pPr>
        <w:pStyle w:val="Heading2"/>
      </w:pPr>
      <w:bookmarkStart w:id="15" w:name="_Toc98866264"/>
      <w:r>
        <w:t>Alignment of job roles with training</w:t>
      </w:r>
      <w:bookmarkEnd w:id="15"/>
    </w:p>
    <w:p w14:paraId="4388C969" w14:textId="77777777" w:rsidR="00876DC7" w:rsidRPr="007028BE" w:rsidRDefault="00876DC7" w:rsidP="00876DC7">
      <w:pPr>
        <w:pStyle w:val="BodyText"/>
      </w:pPr>
      <w:r>
        <w:t>Job roles within the mental health sector need to utilise the full scope of practice of each occupation. This requires a move away from generic job roles to those that recognise the discipline-specific training of occupations. This not only helps to address the impact of workforce shortages on consumer and carer access to support and treatment, but also provides more challenging and rewarding career paths which increase retention.</w:t>
      </w:r>
    </w:p>
    <w:p w14:paraId="71A38A92" w14:textId="42DD7F2B" w:rsidR="00876DC7" w:rsidRPr="009D5500" w:rsidRDefault="00876DC7" w:rsidP="0065479E">
      <w:pPr>
        <w:pStyle w:val="Heading2"/>
      </w:pPr>
      <w:bookmarkStart w:id="16" w:name="_Toc98866265"/>
      <w:r w:rsidRPr="009D5500">
        <w:lastRenderedPageBreak/>
        <w:t>Priority areas and actions</w:t>
      </w:r>
      <w:bookmarkEnd w:id="16"/>
    </w:p>
    <w:p w14:paraId="4664750E" w14:textId="1D0DC3C2" w:rsidR="009D5500" w:rsidRPr="0065479E" w:rsidRDefault="009D5500" w:rsidP="0065479E">
      <w:pPr>
        <w:pStyle w:val="BodyText"/>
        <w:keepNext/>
        <w:keepLines/>
      </w:pPr>
      <w:r w:rsidRPr="0065479E">
        <w:t>PRIORITY AREA 2.1 –   Identify evidence based mental health promotion activities that address the needs of the population and the competencies required to deliver them</w:t>
      </w:r>
      <w:r w:rsidR="0065479E">
        <w:t>:</w:t>
      </w:r>
    </w:p>
    <w:p w14:paraId="607ACBE6" w14:textId="4A3A8BCE" w:rsidR="009D5500" w:rsidRPr="00F752A3" w:rsidRDefault="009D5500" w:rsidP="0065479E">
      <w:pPr>
        <w:pStyle w:val="ListBullet"/>
        <w:keepNext/>
        <w:keepLines/>
      </w:pPr>
      <w:r w:rsidRPr="0065479E">
        <w:t>Action 2.1.1</w:t>
      </w:r>
      <w:r w:rsidRPr="00F752A3">
        <w:t xml:space="preserve"> </w:t>
      </w:r>
      <w:proofErr w:type="gramStart"/>
      <w:r w:rsidRPr="00F752A3">
        <w:t xml:space="preserve">– </w:t>
      </w:r>
      <w:r w:rsidR="00F752A3" w:rsidRPr="00F752A3">
        <w:t xml:space="preserve"> </w:t>
      </w:r>
      <w:r w:rsidRPr="00F752A3">
        <w:t>Define</w:t>
      </w:r>
      <w:proofErr w:type="gramEnd"/>
      <w:r w:rsidRPr="00F752A3">
        <w:t xml:space="preserve"> the competencies required by the mental health promotion workforce to deliver evidence based mental health promotion and suicide prevention activities</w:t>
      </w:r>
      <w:r w:rsidR="00252F79">
        <w:t>.</w:t>
      </w:r>
    </w:p>
    <w:p w14:paraId="08F0661F" w14:textId="341BB993" w:rsidR="00F752A3" w:rsidRDefault="00F752A3" w:rsidP="0065479E">
      <w:pPr>
        <w:pStyle w:val="BodyText"/>
      </w:pPr>
      <w:r w:rsidRPr="00F752A3">
        <w:t xml:space="preserve">PRIORITY AREA 2.2 – Identify </w:t>
      </w:r>
      <w:proofErr w:type="gramStart"/>
      <w:r w:rsidRPr="00F752A3">
        <w:t>evidence based</w:t>
      </w:r>
      <w:proofErr w:type="gramEnd"/>
      <w:r w:rsidRPr="00F752A3">
        <w:t xml:space="preserve"> components of care that meet the needs of consumers and carers and the competencies required to deliver them</w:t>
      </w:r>
      <w:r w:rsidR="0065479E">
        <w:t>:</w:t>
      </w:r>
    </w:p>
    <w:p w14:paraId="2D84BDFD" w14:textId="1D6A97DB" w:rsidR="00F752A3" w:rsidRPr="00F752A3" w:rsidRDefault="00F752A3" w:rsidP="0065479E">
      <w:pPr>
        <w:pStyle w:val="ListBullet"/>
      </w:pPr>
      <w:r w:rsidRPr="0065479E">
        <w:t>Action 2.2.1</w:t>
      </w:r>
      <w:r w:rsidRPr="00F752A3">
        <w:rPr>
          <w:b/>
          <w:bCs/>
        </w:rPr>
        <w:t xml:space="preserve"> </w:t>
      </w:r>
      <w:proofErr w:type="gramStart"/>
      <w:r w:rsidRPr="00F752A3">
        <w:t>–  Identify</w:t>
      </w:r>
      <w:proofErr w:type="gramEnd"/>
      <w:r w:rsidRPr="00F752A3">
        <w:t xml:space="preserve"> components of care (subsets of models of care) that meet the needs of consumers and carers, including those needed by people at different stages in the life course, from various cultural backgrounds including Aboriginal and Torres Strait Islander peoples, people facing specific circumstances such as during the perinatal period or when experiencing AOD issues, and those required to better integrate support and treatment at all stages of the recovery journey</w:t>
      </w:r>
    </w:p>
    <w:p w14:paraId="5A1E85C2" w14:textId="1DE08AD3" w:rsidR="00F752A3" w:rsidRPr="00F752A3" w:rsidRDefault="00F752A3" w:rsidP="0065479E">
      <w:pPr>
        <w:pStyle w:val="ListBullet"/>
        <w:rPr>
          <w:b/>
          <w:bCs/>
        </w:rPr>
      </w:pPr>
      <w:r w:rsidRPr="0065479E">
        <w:t xml:space="preserve">Action 2.2.2 </w:t>
      </w:r>
      <w:proofErr w:type="gramStart"/>
      <w:r w:rsidRPr="0065479E">
        <w:t>–</w:t>
      </w:r>
      <w:r w:rsidRPr="00F752A3">
        <w:t xml:space="preserve">  Define</w:t>
      </w:r>
      <w:proofErr w:type="gramEnd"/>
      <w:r w:rsidRPr="00F752A3">
        <w:t xml:space="preserve"> the competencies required by the mental health workforce to deliver the components of care, including the core competencies required to deliver person-centred, recovered oriented, trauma informed, culturally safe and integrated support and treatment that effectively utilises multidisciplinary teams</w:t>
      </w:r>
      <w:r w:rsidR="00252F79">
        <w:t>.</w:t>
      </w:r>
    </w:p>
    <w:p w14:paraId="2C818567" w14:textId="6169CBCC" w:rsidR="00CD52FC" w:rsidRPr="00252F79" w:rsidRDefault="00CD52FC" w:rsidP="00FA6682">
      <w:pPr>
        <w:pStyle w:val="BodyText"/>
        <w:spacing w:before="480"/>
        <w:rPr>
          <w:color w:val="000000" w:themeColor="text1"/>
          <w:sz w:val="26"/>
          <w:szCs w:val="26"/>
        </w:rPr>
      </w:pPr>
      <w:r w:rsidRPr="00252F79">
        <w:rPr>
          <w:color w:val="000000" w:themeColor="text1"/>
          <w:sz w:val="26"/>
          <w:szCs w:val="26"/>
        </w:rPr>
        <w:t xml:space="preserve">PRIORITY AREA 2.3 </w:t>
      </w:r>
      <w:proofErr w:type="gramStart"/>
      <w:r w:rsidRPr="00252F79">
        <w:rPr>
          <w:color w:val="000000" w:themeColor="text1"/>
          <w:sz w:val="26"/>
          <w:szCs w:val="26"/>
        </w:rPr>
        <w:t xml:space="preserve">– </w:t>
      </w:r>
      <w:r w:rsidR="00777F85" w:rsidRPr="00252F79">
        <w:rPr>
          <w:color w:val="000000" w:themeColor="text1"/>
          <w:sz w:val="26"/>
          <w:szCs w:val="26"/>
        </w:rPr>
        <w:t xml:space="preserve"> </w:t>
      </w:r>
      <w:r w:rsidRPr="00252F79">
        <w:rPr>
          <w:color w:val="000000" w:themeColor="text1"/>
          <w:sz w:val="26"/>
          <w:szCs w:val="26"/>
        </w:rPr>
        <w:t>Define</w:t>
      </w:r>
      <w:proofErr w:type="gramEnd"/>
      <w:r w:rsidRPr="00252F79">
        <w:rPr>
          <w:color w:val="000000" w:themeColor="text1"/>
          <w:sz w:val="26"/>
          <w:szCs w:val="26"/>
        </w:rPr>
        <w:t xml:space="preserve"> nationally consistent scopes of practice for the mental health workforce</w:t>
      </w:r>
      <w:r w:rsidR="00252F79">
        <w:rPr>
          <w:color w:val="000000" w:themeColor="text1"/>
          <w:sz w:val="26"/>
          <w:szCs w:val="26"/>
        </w:rPr>
        <w:t>:</w:t>
      </w:r>
    </w:p>
    <w:p w14:paraId="6FABCEF6" w14:textId="27680C4E" w:rsidR="00CD52FC" w:rsidRDefault="00CD52FC" w:rsidP="00252F79">
      <w:pPr>
        <w:pStyle w:val="ListBullet"/>
      </w:pPr>
      <w:r w:rsidRPr="00252F79">
        <w:t xml:space="preserve">Action 2.3.1 </w:t>
      </w:r>
      <w:proofErr w:type="gramStart"/>
      <w:r>
        <w:t xml:space="preserve">– </w:t>
      </w:r>
      <w:r w:rsidR="00777F85">
        <w:t xml:space="preserve"> </w:t>
      </w:r>
      <w:r>
        <w:t>Define</w:t>
      </w:r>
      <w:proofErr w:type="gramEnd"/>
      <w:r>
        <w:t xml:space="preserve"> nationally consistent scopes of practice that reflect the components of care and competencies required to deliver them, recognising discipline-specific contributions and multidisciplinary care</w:t>
      </w:r>
    </w:p>
    <w:p w14:paraId="0D0CB354" w14:textId="43123ECB" w:rsidR="00876DC7" w:rsidRDefault="00CD52FC" w:rsidP="00252F79">
      <w:pPr>
        <w:pStyle w:val="ListBullet"/>
      </w:pPr>
      <w:r w:rsidRPr="00252F79">
        <w:t xml:space="preserve">Action 2.3.2 </w:t>
      </w:r>
      <w:proofErr w:type="gramStart"/>
      <w:r w:rsidRPr="00252F79">
        <w:t>–</w:t>
      </w:r>
      <w:r>
        <w:t xml:space="preserve"> </w:t>
      </w:r>
      <w:r w:rsidR="00777F85">
        <w:t xml:space="preserve"> </w:t>
      </w:r>
      <w:r>
        <w:t>Ensure</w:t>
      </w:r>
      <w:proofErr w:type="gramEnd"/>
      <w:r>
        <w:t xml:space="preserve"> education and training providers’ programs adequately address the mental health workforce’s scopes of practice</w:t>
      </w:r>
      <w:r w:rsidR="00252F79">
        <w:t>.</w:t>
      </w:r>
    </w:p>
    <w:p w14:paraId="547EE51E" w14:textId="54180718" w:rsidR="00777F85" w:rsidRPr="00056073" w:rsidRDefault="00777F85" w:rsidP="00252F79">
      <w:pPr>
        <w:pStyle w:val="BodyText"/>
      </w:pPr>
      <w:r w:rsidRPr="00056073">
        <w:t xml:space="preserve">PRIORITY AREA 2.4 </w:t>
      </w:r>
      <w:proofErr w:type="gramStart"/>
      <w:r w:rsidRPr="00056073">
        <w:t xml:space="preserve">– </w:t>
      </w:r>
      <w:r w:rsidR="00056073">
        <w:t xml:space="preserve"> </w:t>
      </w:r>
      <w:r w:rsidRPr="00056073">
        <w:t>Develop</w:t>
      </w:r>
      <w:proofErr w:type="gramEnd"/>
      <w:r w:rsidRPr="00056073">
        <w:t xml:space="preserve"> roles that utilise workers’ full scopes of practice including more effective use of multidisciplinary teams</w:t>
      </w:r>
      <w:r w:rsidR="00252F79">
        <w:t>:</w:t>
      </w:r>
    </w:p>
    <w:p w14:paraId="656CA701" w14:textId="5FEE4D4A" w:rsidR="00777F85" w:rsidRDefault="00777F85" w:rsidP="00252F79">
      <w:pPr>
        <w:pStyle w:val="ListBullet"/>
      </w:pPr>
      <w:r w:rsidRPr="00252F79">
        <w:t>Action 2.4.1</w:t>
      </w:r>
      <w:r>
        <w:t xml:space="preserve"> </w:t>
      </w:r>
      <w:proofErr w:type="gramStart"/>
      <w:r w:rsidR="00252F79">
        <w:t xml:space="preserve">– </w:t>
      </w:r>
      <w:r w:rsidR="00056073">
        <w:t xml:space="preserve"> </w:t>
      </w:r>
      <w:r>
        <w:t>Establish</w:t>
      </w:r>
      <w:proofErr w:type="gramEnd"/>
      <w:r>
        <w:t xml:space="preserve"> roles and career paths that reflect effective use of multidisciplinary teams within nationally consistent scopes of practice and enable workers from each occupation to work to the top of their scope of practice</w:t>
      </w:r>
    </w:p>
    <w:p w14:paraId="49ECD9AC" w14:textId="38D4FD2F" w:rsidR="00876DC7" w:rsidRDefault="00777F85" w:rsidP="00252F79">
      <w:pPr>
        <w:pStyle w:val="ListBullet"/>
      </w:pPr>
      <w:r w:rsidRPr="00252F79">
        <w:t>Action 2.4.2</w:t>
      </w:r>
      <w:r>
        <w:t xml:space="preserve"> </w:t>
      </w:r>
      <w:proofErr w:type="gramStart"/>
      <w:r>
        <w:t xml:space="preserve">– </w:t>
      </w:r>
      <w:r w:rsidR="00056073">
        <w:t xml:space="preserve"> </w:t>
      </w:r>
      <w:r>
        <w:t>Address</w:t>
      </w:r>
      <w:proofErr w:type="gramEnd"/>
      <w:r>
        <w:t xml:space="preserve"> attitudinal, organisational and legislative barriers to effective use of multidisciplinary teams to deliver integrated support and treatment</w:t>
      </w:r>
      <w:r w:rsidR="00252F79">
        <w:t>.</w:t>
      </w:r>
    </w:p>
    <w:p w14:paraId="7375681C" w14:textId="1BE54B3A" w:rsidR="00777F85" w:rsidRPr="0008146F" w:rsidRDefault="00777F85" w:rsidP="00252F79">
      <w:pPr>
        <w:pStyle w:val="BodyText"/>
        <w:keepNext/>
        <w:spacing w:before="480"/>
        <w:rPr>
          <w:color w:val="000000" w:themeColor="text1"/>
          <w:sz w:val="26"/>
          <w:szCs w:val="26"/>
        </w:rPr>
      </w:pPr>
      <w:r w:rsidRPr="0008146F">
        <w:rPr>
          <w:color w:val="000000" w:themeColor="text1"/>
          <w:sz w:val="26"/>
          <w:szCs w:val="26"/>
        </w:rPr>
        <w:lastRenderedPageBreak/>
        <w:t xml:space="preserve">PRIORITY AREA 2.5 </w:t>
      </w:r>
      <w:proofErr w:type="gramStart"/>
      <w:r w:rsidRPr="0008146F">
        <w:rPr>
          <w:color w:val="000000" w:themeColor="text1"/>
          <w:sz w:val="26"/>
          <w:szCs w:val="26"/>
        </w:rPr>
        <w:t xml:space="preserve">– </w:t>
      </w:r>
      <w:r w:rsidR="00056073" w:rsidRPr="0008146F">
        <w:rPr>
          <w:color w:val="000000" w:themeColor="text1"/>
          <w:sz w:val="26"/>
          <w:szCs w:val="26"/>
        </w:rPr>
        <w:t xml:space="preserve"> </w:t>
      </w:r>
      <w:r w:rsidRPr="0008146F">
        <w:rPr>
          <w:color w:val="000000" w:themeColor="text1"/>
          <w:sz w:val="26"/>
          <w:szCs w:val="26"/>
        </w:rPr>
        <w:t>Ensure</w:t>
      </w:r>
      <w:proofErr w:type="gramEnd"/>
      <w:r w:rsidRPr="0008146F">
        <w:rPr>
          <w:color w:val="000000" w:themeColor="text1"/>
          <w:sz w:val="26"/>
          <w:szCs w:val="26"/>
        </w:rPr>
        <w:t xml:space="preserve"> regulatory arrangements align with scopes of practice to support safe, high quality practice</w:t>
      </w:r>
      <w:r w:rsidR="0008146F" w:rsidRPr="0008146F">
        <w:rPr>
          <w:color w:val="000000" w:themeColor="text1"/>
          <w:sz w:val="26"/>
          <w:szCs w:val="26"/>
        </w:rPr>
        <w:t>:</w:t>
      </w:r>
    </w:p>
    <w:p w14:paraId="64A01D9C" w14:textId="047EB37F" w:rsidR="00876DC7" w:rsidRDefault="00777F85" w:rsidP="0008146F">
      <w:pPr>
        <w:pStyle w:val="ListBullet"/>
      </w:pPr>
      <w:r w:rsidRPr="0008146F">
        <w:t>Action 2.5.1</w:t>
      </w:r>
      <w:r>
        <w:t xml:space="preserve"> </w:t>
      </w:r>
      <w:proofErr w:type="gramStart"/>
      <w:r>
        <w:t xml:space="preserve">– </w:t>
      </w:r>
      <w:r w:rsidR="000725BB">
        <w:t xml:space="preserve"> </w:t>
      </w:r>
      <w:r>
        <w:t>Review</w:t>
      </w:r>
      <w:proofErr w:type="gramEnd"/>
      <w:r>
        <w:t xml:space="preserve"> regulatory arrangements to ensure the appropriate regulatory approach is in place to ensure consumer and carer safety, given each occupation’s scope of practice</w:t>
      </w:r>
      <w:r w:rsidR="0008146F">
        <w:t>.</w:t>
      </w:r>
    </w:p>
    <w:p w14:paraId="0A0480C0" w14:textId="37FA7E87" w:rsidR="00777F85" w:rsidRPr="000725BB" w:rsidRDefault="00777F85" w:rsidP="0008146F">
      <w:pPr>
        <w:pStyle w:val="BodyText"/>
      </w:pPr>
      <w:r w:rsidRPr="000725BB">
        <w:t xml:space="preserve">PRIORITY AREA 2.6 </w:t>
      </w:r>
      <w:proofErr w:type="gramStart"/>
      <w:r w:rsidRPr="000725BB">
        <w:t xml:space="preserve">– </w:t>
      </w:r>
      <w:r w:rsidR="000725BB" w:rsidRPr="000725BB">
        <w:t xml:space="preserve"> </w:t>
      </w:r>
      <w:r w:rsidRPr="000725BB">
        <w:t>Establish</w:t>
      </w:r>
      <w:proofErr w:type="gramEnd"/>
      <w:r w:rsidRPr="000725BB">
        <w:t xml:space="preserve"> a national peak body to represent the interests of the Lived Experience (Peer) Workforce</w:t>
      </w:r>
      <w:r w:rsidR="0008146F">
        <w:t>:</w:t>
      </w:r>
    </w:p>
    <w:p w14:paraId="255A6483" w14:textId="7DC00410" w:rsidR="00740CEC" w:rsidRDefault="00777F85" w:rsidP="0008146F">
      <w:pPr>
        <w:pStyle w:val="ListBullet"/>
      </w:pPr>
      <w:r w:rsidRPr="0008146F">
        <w:t xml:space="preserve">Action 2.6.1 </w:t>
      </w:r>
      <w:proofErr w:type="gramStart"/>
      <w:r>
        <w:t xml:space="preserve">– </w:t>
      </w:r>
      <w:r w:rsidR="000725BB">
        <w:t xml:space="preserve"> </w:t>
      </w:r>
      <w:r>
        <w:t>Work</w:t>
      </w:r>
      <w:proofErr w:type="gramEnd"/>
      <w:r>
        <w:t xml:space="preserve"> with consumer, carer and Lived Experience (Peer) worker representatives to support establishment of a national Lived Experience (Peer) Workforce peak organisation</w:t>
      </w:r>
    </w:p>
    <w:p w14:paraId="7CE38D47" w14:textId="77777777" w:rsidR="00740CEC" w:rsidRDefault="00740CEC" w:rsidP="00740CEC">
      <w:pPr>
        <w:pStyle w:val="BodyText"/>
        <w:sectPr w:rsidR="00740CEC" w:rsidSect="00CC761C">
          <w:headerReference w:type="even" r:id="rId43"/>
          <w:footerReference w:type="even" r:id="rId44"/>
          <w:headerReference w:type="first" r:id="rId45"/>
          <w:footerReference w:type="first" r:id="rId46"/>
          <w:pgSz w:w="11906" w:h="16838" w:code="9"/>
          <w:pgMar w:top="1418" w:right="851" w:bottom="1134" w:left="1134" w:header="454" w:footer="159" w:gutter="0"/>
          <w:cols w:space="708"/>
          <w:docGrid w:linePitch="360"/>
        </w:sectPr>
      </w:pPr>
    </w:p>
    <w:p w14:paraId="4F053C0F" w14:textId="312146D3" w:rsidR="00BF1F62" w:rsidRDefault="00C2305B" w:rsidP="001F3B0D">
      <w:pPr>
        <w:pStyle w:val="Heading1"/>
        <w:ind w:left="1134" w:hanging="1134"/>
      </w:pPr>
      <w:bookmarkStart w:id="17" w:name="_Toc98866266"/>
      <w:r>
        <w:lastRenderedPageBreak/>
        <w:t>3</w:t>
      </w:r>
      <w:r w:rsidR="00C11EE3">
        <w:t>.</w:t>
      </w:r>
      <w:r w:rsidR="00C11EE3">
        <w:tab/>
      </w:r>
      <w:r>
        <w:t>The mental hea</w:t>
      </w:r>
      <w:r w:rsidR="00794260">
        <w:t>l</w:t>
      </w:r>
      <w:r>
        <w:t>th workforce is appropriately skilled and culturally safe</w:t>
      </w:r>
      <w:bookmarkEnd w:id="17"/>
    </w:p>
    <w:p w14:paraId="607A87EC" w14:textId="3C381833" w:rsidR="009A7F41" w:rsidRDefault="009A7F41" w:rsidP="00B44F6B">
      <w:pPr>
        <w:pStyle w:val="BodyText"/>
        <w:spacing w:before="480"/>
      </w:pPr>
      <w:r>
        <w:t xml:space="preserve">Objective 3 – </w:t>
      </w:r>
      <w:r w:rsidRPr="001F3B0D">
        <w:rPr>
          <w:color w:val="140034" w:themeColor="background2"/>
        </w:rPr>
        <w:t>The mental health workforce is appropriately skilled and culturally safe</w:t>
      </w:r>
      <w:r>
        <w:rPr>
          <w:b/>
          <w:bCs/>
          <w:i/>
          <w:iCs/>
          <w:color w:val="140034" w:themeColor="background2"/>
        </w:rPr>
        <w:t xml:space="preserve"> </w:t>
      </w:r>
      <w:r>
        <w:t>– recognises that training and e</w:t>
      </w:r>
      <w:r w:rsidRPr="006C4490">
        <w:t>ducation</w:t>
      </w:r>
      <w:r>
        <w:t xml:space="preserve"> </w:t>
      </w:r>
      <w:r w:rsidRPr="006C4490">
        <w:t>provide</w:t>
      </w:r>
      <w:r>
        <w:t xml:space="preserve">s one of the </w:t>
      </w:r>
      <w:r w:rsidRPr="006C4490">
        <w:t>foundations</w:t>
      </w:r>
      <w:r>
        <w:t xml:space="preserve"> </w:t>
      </w:r>
      <w:r w:rsidRPr="006C4490">
        <w:t>o</w:t>
      </w:r>
      <w:r>
        <w:t xml:space="preserve">n which </w:t>
      </w:r>
      <w:r w:rsidRPr="006C4490">
        <w:t>a</w:t>
      </w:r>
      <w:r>
        <w:t xml:space="preserve"> </w:t>
      </w:r>
      <w:proofErr w:type="gramStart"/>
      <w:r>
        <w:t>high quality</w:t>
      </w:r>
      <w:proofErr w:type="gramEnd"/>
      <w:r>
        <w:t xml:space="preserve"> mental health workforce is based</w:t>
      </w:r>
      <w:r w:rsidRPr="006C4490">
        <w:t>.</w:t>
      </w:r>
      <w:r>
        <w:t xml:space="preserve"> </w:t>
      </w:r>
    </w:p>
    <w:p w14:paraId="5DD4C909" w14:textId="6F77479E" w:rsidR="001F51A7" w:rsidRDefault="00646EE8" w:rsidP="00646EE8">
      <w:pPr>
        <w:pStyle w:val="BodyText"/>
        <w:ind w:left="1701" w:hanging="1701"/>
      </w:pPr>
      <w:r w:rsidRPr="003E0D2C">
        <w:rPr>
          <w:rStyle w:val="CaptionLabel"/>
          <w:b w:val="0"/>
          <w:bCs/>
        </w:rPr>
        <w:t>FIGURE 3.</w:t>
      </w:r>
      <w:r w:rsidR="001F51A7" w:rsidRPr="003E0D2C">
        <w:rPr>
          <w:rStyle w:val="CaptionLabel"/>
          <w:b w:val="0"/>
          <w:bCs/>
        </w:rPr>
        <w:fldChar w:fldCharType="begin"/>
      </w:r>
      <w:r w:rsidR="001F51A7" w:rsidRPr="003E0D2C">
        <w:rPr>
          <w:rStyle w:val="CaptionLabel"/>
          <w:b w:val="0"/>
          <w:bCs/>
        </w:rPr>
        <w:instrText xml:space="preserve"> SEQ Figure \* ARABIC \S 1 \* MERGEFORMAT </w:instrText>
      </w:r>
      <w:r w:rsidR="001F51A7" w:rsidRPr="003E0D2C">
        <w:rPr>
          <w:rStyle w:val="CaptionLabel"/>
          <w:b w:val="0"/>
          <w:bCs/>
        </w:rPr>
        <w:fldChar w:fldCharType="separate"/>
      </w:r>
      <w:r w:rsidR="005F0718">
        <w:rPr>
          <w:rStyle w:val="CaptionLabel"/>
          <w:b w:val="0"/>
          <w:bCs/>
          <w:noProof/>
        </w:rPr>
        <w:t>1</w:t>
      </w:r>
      <w:r w:rsidR="001F51A7" w:rsidRPr="003E0D2C">
        <w:rPr>
          <w:rStyle w:val="CaptionLabel"/>
          <w:b w:val="0"/>
          <w:bCs/>
        </w:rPr>
        <w:fldChar w:fldCharType="end"/>
      </w:r>
      <w:r>
        <w:tab/>
        <w:t>OBJECTIVE 3: PRIORITY AREAS AND ACTIONS</w:t>
      </w:r>
    </w:p>
    <w:p w14:paraId="0BAC7FD6" w14:textId="4023DCB7" w:rsidR="001F51A7" w:rsidRDefault="001F51A7" w:rsidP="001F51A7">
      <w:pPr>
        <w:pStyle w:val="BodyText"/>
      </w:pPr>
      <w:r>
        <w:rPr>
          <w:noProof/>
        </w:rPr>
        <w:drawing>
          <wp:inline distT="0" distB="0" distL="0" distR="0" wp14:anchorId="634E0F16" wp14:editId="77B7E3FF">
            <wp:extent cx="6116320" cy="5524500"/>
            <wp:effectExtent l="0" t="0" r="0" b="0"/>
            <wp:docPr id="55" name="Picture 55" descr="Diagram summarising the four priority areas for action and eighteen actions under objective 3. These are detailed in the text of the chap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Picture 55" descr="Diagram summarising the four priority areas for action and eighteen actions under objective 3. These are detailed in the text of the chapter."/>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flipH="1">
                      <a:off x="0" y="0"/>
                      <a:ext cx="6116320" cy="5524500"/>
                    </a:xfrm>
                    <a:prstGeom prst="rect">
                      <a:avLst/>
                    </a:prstGeom>
                    <a:noFill/>
                  </pic:spPr>
                </pic:pic>
              </a:graphicData>
            </a:graphic>
          </wp:inline>
        </w:drawing>
      </w:r>
    </w:p>
    <w:p w14:paraId="3AD7267B" w14:textId="3853BC19" w:rsidR="00F362D6" w:rsidRDefault="00F362D6" w:rsidP="00F362D6">
      <w:pPr>
        <w:pStyle w:val="BodyText"/>
        <w:ind w:left="3119"/>
      </w:pPr>
      <w:r>
        <w:rPr>
          <w:noProof/>
        </w:rPr>
        <w:lastRenderedPageBreak/>
        <w:drawing>
          <wp:inline distT="0" distB="0" distL="0" distR="0" wp14:anchorId="7F63EF55" wp14:editId="4DB7ECEB">
            <wp:extent cx="4213225" cy="2721685"/>
            <wp:effectExtent l="0" t="0" r="0" b="0"/>
            <wp:docPr id="107" name="Picture 107" descr="Diagram summarising the four priority areas for action and eighteen actions under objective 3. These are detailed in the text of the chap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Picture 107" descr="Diagram summarising the four priority areas for action and eighteen actions under objective 3. These are detailed in the text of the chapter."/>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4266245" cy="2755935"/>
                    </a:xfrm>
                    <a:prstGeom prst="rect">
                      <a:avLst/>
                    </a:prstGeom>
                    <a:noFill/>
                  </pic:spPr>
                </pic:pic>
              </a:graphicData>
            </a:graphic>
          </wp:inline>
        </w:drawing>
      </w:r>
    </w:p>
    <w:p w14:paraId="5C5BEB47" w14:textId="0BF95140" w:rsidR="001C7390" w:rsidRDefault="00142A1D" w:rsidP="00F362D6">
      <w:pPr>
        <w:pStyle w:val="BodyText"/>
        <w:ind w:left="3119"/>
      </w:pPr>
      <w:r>
        <w:rPr>
          <w:noProof/>
        </w:rPr>
        <w:drawing>
          <wp:inline distT="0" distB="0" distL="0" distR="0" wp14:anchorId="76AEAD62" wp14:editId="5FABAFB9">
            <wp:extent cx="4228516" cy="3164440"/>
            <wp:effectExtent l="0" t="0" r="635" b="0"/>
            <wp:docPr id="27" name="Picture 27" descr="Diagram summarising the four priority areas for action and eighteen actions under objective 3. These are detailed in the text of the chap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Diagram summarising the four priority areas for action and eighteen actions under objective 3. These are detailed in the text of the chapter."/>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4238481" cy="3171898"/>
                    </a:xfrm>
                    <a:prstGeom prst="rect">
                      <a:avLst/>
                    </a:prstGeom>
                    <a:noFill/>
                  </pic:spPr>
                </pic:pic>
              </a:graphicData>
            </a:graphic>
          </wp:inline>
        </w:drawing>
      </w:r>
    </w:p>
    <w:p w14:paraId="677E596D" w14:textId="77777777" w:rsidR="009A7F41" w:rsidRDefault="009A7F41" w:rsidP="001F3B0D">
      <w:pPr>
        <w:pStyle w:val="Heading2"/>
      </w:pPr>
      <w:bookmarkStart w:id="18" w:name="_Toc98866267"/>
      <w:r>
        <w:t>Quality training experiences</w:t>
      </w:r>
      <w:bookmarkEnd w:id="18"/>
    </w:p>
    <w:p w14:paraId="753998F7" w14:textId="77777777" w:rsidR="009A7F41" w:rsidRDefault="009A7F41" w:rsidP="009A7F41">
      <w:pPr>
        <w:pStyle w:val="BodyText"/>
      </w:pPr>
      <w:r>
        <w:t xml:space="preserve">The delivery of pre-service and in-service programs and activities requires that educators and trainers are appropriately qualified, </w:t>
      </w:r>
      <w:proofErr w:type="gramStart"/>
      <w:r>
        <w:t>experienced</w:t>
      </w:r>
      <w:proofErr w:type="gramEnd"/>
      <w:r>
        <w:t xml:space="preserve"> and able to support learners to develop the skills they need. It also necessitates access to supervisors of sufficient quality and quantity to oversee trainees. </w:t>
      </w:r>
    </w:p>
    <w:p w14:paraId="3DAE2AED" w14:textId="77777777" w:rsidR="009A7F41" w:rsidRDefault="009A7F41" w:rsidP="009A7F41">
      <w:pPr>
        <w:pStyle w:val="BodyText"/>
      </w:pPr>
      <w:r>
        <w:t>Close interaction between education and training providers and suicide prevention, health and mental health services is also required to ensure that students completing training participate in placements that are of high-quality, are of appropriate duration so students experience consumers progressing in their recovery, have appropriate supervision, are in a variety of service settings and are safe.</w:t>
      </w:r>
    </w:p>
    <w:p w14:paraId="5DB18EDA" w14:textId="77777777" w:rsidR="009A7F41" w:rsidRDefault="009A7F41" w:rsidP="001F3B0D">
      <w:pPr>
        <w:pStyle w:val="Heading2"/>
      </w:pPr>
      <w:bookmarkStart w:id="19" w:name="_Toc98866268"/>
      <w:r>
        <w:lastRenderedPageBreak/>
        <w:t>Contemporary skills</w:t>
      </w:r>
      <w:bookmarkEnd w:id="19"/>
    </w:p>
    <w:p w14:paraId="7FC22958" w14:textId="77777777" w:rsidR="009A7F41" w:rsidRDefault="009A7F41" w:rsidP="009A7F41">
      <w:pPr>
        <w:pStyle w:val="BodyText"/>
      </w:pPr>
      <w:r>
        <w:t xml:space="preserve">There is a need to ensure that people working in mental health settings, social services and health settings and the broader workforce have contemporary skills in suicide prevention, and to support sustainable, recovery oriented, trauma informed, person-centred and culturally safe support and treatment to assist consumers in their recovery journey. Staff in frontline, managerial and executive roles across organisations also require mental health skills appropriate to their positions. </w:t>
      </w:r>
    </w:p>
    <w:p w14:paraId="56B9013D" w14:textId="77777777" w:rsidR="009A7F41" w:rsidRDefault="009A7F41" w:rsidP="009A7F41">
      <w:pPr>
        <w:pStyle w:val="BodyText"/>
      </w:pPr>
      <w:r>
        <w:t xml:space="preserve">Education and training providers also need to consider the skills that the workforce will require to deliver the mental health promotion activities, </w:t>
      </w:r>
      <w:proofErr w:type="gramStart"/>
      <w:r>
        <w:t>support</w:t>
      </w:r>
      <w:proofErr w:type="gramEnd"/>
      <w:r>
        <w:t xml:space="preserve"> and treatment now and in the future.</w:t>
      </w:r>
    </w:p>
    <w:p w14:paraId="12716D23" w14:textId="77777777" w:rsidR="009A7F41" w:rsidRDefault="009A7F41" w:rsidP="009A7F41">
      <w:pPr>
        <w:pStyle w:val="BodyText"/>
      </w:pPr>
      <w:r>
        <w:t xml:space="preserve">Training and education programs should </w:t>
      </w:r>
      <w:r w:rsidRPr="00490D61">
        <w:t>improve the health literacy – including digital health literacy – of all mental health care professionals</w:t>
      </w:r>
      <w:r>
        <w:t xml:space="preserve"> and build the skills and knowledge that graduates need to work to the full occupational scopes of practice described in the previous chapter. This requires close interaction between education and training providers, regulators, national occupational boards, medical colleges, occupation and sector peak organisations, and Aboriginal and Torres Strait Islander organisations.</w:t>
      </w:r>
    </w:p>
    <w:p w14:paraId="24748161" w14:textId="61A542FC" w:rsidR="009A7F41" w:rsidRDefault="009A7F41" w:rsidP="001F3B0D">
      <w:pPr>
        <w:pStyle w:val="Heading2"/>
      </w:pPr>
      <w:bookmarkStart w:id="20" w:name="_Toc98866269"/>
      <w:r>
        <w:t>Priority areas and actions</w:t>
      </w:r>
      <w:bookmarkEnd w:id="20"/>
    </w:p>
    <w:p w14:paraId="1514B4E3" w14:textId="77CE9BAB" w:rsidR="00FA6682" w:rsidRPr="00FA6682" w:rsidRDefault="00FA6682" w:rsidP="001F3B0D">
      <w:pPr>
        <w:pStyle w:val="BodyText"/>
      </w:pPr>
      <w:r w:rsidRPr="00FA6682">
        <w:t xml:space="preserve">PRIORITY AREA 3.1 </w:t>
      </w:r>
      <w:proofErr w:type="gramStart"/>
      <w:r w:rsidRPr="00FA6682">
        <w:t>–  Strengthen</w:t>
      </w:r>
      <w:proofErr w:type="gramEnd"/>
      <w:r w:rsidRPr="00FA6682">
        <w:t xml:space="preserve"> the skills of the existing and future mental health workforce</w:t>
      </w:r>
      <w:r w:rsidR="001F3B0D">
        <w:t>:</w:t>
      </w:r>
    </w:p>
    <w:p w14:paraId="0C8CDD52" w14:textId="476AD0D3" w:rsidR="00FA6682" w:rsidRDefault="00FA6682" w:rsidP="001F3B0D">
      <w:pPr>
        <w:pStyle w:val="ListBullet"/>
      </w:pPr>
      <w:r w:rsidRPr="001F3B0D">
        <w:t>Action 3.1.1</w:t>
      </w:r>
      <w:r>
        <w:t xml:space="preserve"> </w:t>
      </w:r>
      <w:proofErr w:type="gramStart"/>
      <w:r>
        <w:t>–  Develop</w:t>
      </w:r>
      <w:proofErr w:type="gramEnd"/>
      <w:r>
        <w:t xml:space="preserve"> training modules that build competencies for the provision of culturally safe, integrated, multidisciplinary care that meet consumer and carer needs across the life-course including children, young people, adults, and older people, from different cultural backgrounds including Aboriginal and Torres Strait Islander peoples and people experiencing specific circumstances such as during the perinatal period or co-occurring alcohol and other drug use and use disorders</w:t>
      </w:r>
    </w:p>
    <w:p w14:paraId="66D740B9" w14:textId="1B623C9E" w:rsidR="00FA6682" w:rsidRDefault="00FA6682" w:rsidP="001F3B0D">
      <w:pPr>
        <w:pStyle w:val="ListBullet"/>
      </w:pPr>
      <w:r w:rsidRPr="001F3B0D">
        <w:t>Action 3.1.2</w:t>
      </w:r>
      <w:r>
        <w:t xml:space="preserve"> </w:t>
      </w:r>
      <w:proofErr w:type="gramStart"/>
      <w:r>
        <w:t>–  Develop</w:t>
      </w:r>
      <w:proofErr w:type="gramEnd"/>
      <w:r>
        <w:t xml:space="preserve"> training modules that build capability in suicide prevention of all the mental health workforce</w:t>
      </w:r>
    </w:p>
    <w:p w14:paraId="6D90A376" w14:textId="509E2DE8" w:rsidR="00FA6682" w:rsidRDefault="00FA6682" w:rsidP="001F3B0D">
      <w:pPr>
        <w:pStyle w:val="ListBullet"/>
      </w:pPr>
      <w:r w:rsidRPr="001F3B0D">
        <w:t>Action 3.1.3</w:t>
      </w:r>
      <w:r>
        <w:t xml:space="preserve"> </w:t>
      </w:r>
      <w:proofErr w:type="gramStart"/>
      <w:r>
        <w:t>–  Support</w:t>
      </w:r>
      <w:proofErr w:type="gramEnd"/>
      <w:r>
        <w:t xml:space="preserve"> education and training providers and service providers to improve the quality and quantity of mental health placements. This should include ensuring they are of appropriate duration, have appropriate supervision, are in a variety of settings and have regard to the wellbeing and safety of students</w:t>
      </w:r>
    </w:p>
    <w:p w14:paraId="6C5E7195" w14:textId="6AF5D18F" w:rsidR="00FA6682" w:rsidRDefault="00FA6682" w:rsidP="001F3B0D">
      <w:pPr>
        <w:pStyle w:val="ListBullet"/>
      </w:pPr>
      <w:r w:rsidRPr="001F3B0D">
        <w:t xml:space="preserve">Action 3.1.4 </w:t>
      </w:r>
      <w:proofErr w:type="gramStart"/>
      <w:r>
        <w:t>–  Support</w:t>
      </w:r>
      <w:proofErr w:type="gramEnd"/>
      <w:r>
        <w:t xml:space="preserve"> education providers to maintain, when appropriate, the online training and education opportunities that have been made available to the mental health workforce and students due to the COVID-19 pandemic</w:t>
      </w:r>
    </w:p>
    <w:p w14:paraId="4F2F62C6" w14:textId="1B5A4D05" w:rsidR="00FA6682" w:rsidRDefault="00FA6682" w:rsidP="001F3B0D">
      <w:pPr>
        <w:pStyle w:val="ListBullet"/>
      </w:pPr>
      <w:r w:rsidRPr="001F3B0D">
        <w:lastRenderedPageBreak/>
        <w:t>Action 3.1.5</w:t>
      </w:r>
      <w:r>
        <w:t xml:space="preserve"> </w:t>
      </w:r>
      <w:proofErr w:type="gramStart"/>
      <w:r>
        <w:t>–  Develop</w:t>
      </w:r>
      <w:proofErr w:type="gramEnd"/>
      <w:r>
        <w:t xml:space="preserve"> broader training models for the Lived Experience (Peer) workforce to develop skills and capabilities across both vocational and higher education sectors. This could include incorporation of work placement models</w:t>
      </w:r>
    </w:p>
    <w:p w14:paraId="0E19A38E" w14:textId="3A84A3FD" w:rsidR="00FA6682" w:rsidRDefault="00FA6682" w:rsidP="001F3B0D">
      <w:pPr>
        <w:pStyle w:val="ListBullet"/>
      </w:pPr>
      <w:r w:rsidRPr="001F3B0D">
        <w:t>Action 3.1.6</w:t>
      </w:r>
      <w:r>
        <w:t xml:space="preserve"> </w:t>
      </w:r>
      <w:proofErr w:type="gramStart"/>
      <w:r>
        <w:t>–  Ensure</w:t>
      </w:r>
      <w:proofErr w:type="gramEnd"/>
      <w:r>
        <w:t xml:space="preserve"> training programs improve the health literacy – including digital health literacy – of all mental health care professionals</w:t>
      </w:r>
    </w:p>
    <w:p w14:paraId="1C8933DA" w14:textId="296C35F8" w:rsidR="00FA6682" w:rsidRDefault="00FA6682" w:rsidP="001F3B0D">
      <w:pPr>
        <w:pStyle w:val="ListBullet"/>
      </w:pPr>
      <w:r w:rsidRPr="001F3B0D">
        <w:t>Action 3.1.7</w:t>
      </w:r>
      <w:r>
        <w:t xml:space="preserve"> </w:t>
      </w:r>
      <w:proofErr w:type="gramStart"/>
      <w:r>
        <w:t>–  Develop</w:t>
      </w:r>
      <w:proofErr w:type="gramEnd"/>
      <w:r>
        <w:t xml:space="preserve"> more equitable access to continuing professional development through establishing educator roles such as in allied health, Aboriginal and Torres Strait Islander Mental Health and Lived Experience (Peer) Workers</w:t>
      </w:r>
    </w:p>
    <w:p w14:paraId="1C07BAE8" w14:textId="7ADFFE17" w:rsidR="00F362D6" w:rsidRDefault="00FA6682" w:rsidP="001F3B0D">
      <w:pPr>
        <w:pStyle w:val="ListBullet"/>
      </w:pPr>
      <w:r w:rsidRPr="001F3B0D">
        <w:t>Action 3.1.8</w:t>
      </w:r>
      <w:r>
        <w:t xml:space="preserve"> </w:t>
      </w:r>
      <w:proofErr w:type="gramStart"/>
      <w:r>
        <w:t>–  Develop</w:t>
      </w:r>
      <w:proofErr w:type="gramEnd"/>
      <w:r>
        <w:t xml:space="preserve"> actions to bolster the clinical research mental health workforce</w:t>
      </w:r>
      <w:r w:rsidR="001F3B0D">
        <w:t>.</w:t>
      </w:r>
    </w:p>
    <w:p w14:paraId="22431781" w14:textId="23AE7700" w:rsidR="00FA6682" w:rsidRPr="00FA6682" w:rsidRDefault="00FA6682" w:rsidP="001F3B0D">
      <w:pPr>
        <w:pStyle w:val="BodyText"/>
      </w:pPr>
      <w:r w:rsidRPr="00FA6682">
        <w:t xml:space="preserve">PRIORITY AREA 3.2 </w:t>
      </w:r>
      <w:proofErr w:type="gramStart"/>
      <w:r w:rsidRPr="00FA6682">
        <w:t>–  Ensure</w:t>
      </w:r>
      <w:proofErr w:type="gramEnd"/>
      <w:r w:rsidRPr="00FA6682">
        <w:t xml:space="preserve"> the broader workforces have the knowledge and skills to support people experiencing suicidality, mental distress and/or ill-health</w:t>
      </w:r>
      <w:r w:rsidR="00C52D82">
        <w:t>:</w:t>
      </w:r>
    </w:p>
    <w:p w14:paraId="516931B0" w14:textId="4735327D" w:rsidR="00FA6682" w:rsidRDefault="00FA6682" w:rsidP="00C52D82">
      <w:pPr>
        <w:pStyle w:val="ListBullet"/>
      </w:pPr>
      <w:r w:rsidRPr="00C52D82">
        <w:t>Action 3.2.1</w:t>
      </w:r>
      <w:r>
        <w:t xml:space="preserve"> </w:t>
      </w:r>
      <w:proofErr w:type="gramStart"/>
      <w:r>
        <w:t xml:space="preserve">– </w:t>
      </w:r>
      <w:r w:rsidR="00225EF2">
        <w:t xml:space="preserve"> </w:t>
      </w:r>
      <w:r>
        <w:t>Invest</w:t>
      </w:r>
      <w:proofErr w:type="gramEnd"/>
      <w:r>
        <w:t xml:space="preserve"> in training initiatives to support the development of basic mental health skills in the social services workforce</w:t>
      </w:r>
    </w:p>
    <w:p w14:paraId="6B00118D" w14:textId="119A3984" w:rsidR="00F362D6" w:rsidRPr="00F362D6" w:rsidRDefault="00FA6682" w:rsidP="00C52D82">
      <w:pPr>
        <w:pStyle w:val="ListBullet"/>
      </w:pPr>
      <w:r w:rsidRPr="00C52D82">
        <w:t>Action 3.2.2</w:t>
      </w:r>
      <w:r>
        <w:t xml:space="preserve"> </w:t>
      </w:r>
      <w:proofErr w:type="gramStart"/>
      <w:r>
        <w:t xml:space="preserve">– </w:t>
      </w:r>
      <w:r w:rsidR="00225EF2">
        <w:t xml:space="preserve"> </w:t>
      </w:r>
      <w:r>
        <w:t>Where</w:t>
      </w:r>
      <w:proofErr w:type="gramEnd"/>
      <w:r>
        <w:t xml:space="preserve"> feasible, include development of basic mental health skills in pre-service training for people working in roles where they are likely to interact with or support people experiencing suicidality, mental distress and/or ill-health and their </w:t>
      </w:r>
      <w:proofErr w:type="spellStart"/>
      <w:r>
        <w:t>carers</w:t>
      </w:r>
      <w:proofErr w:type="spellEnd"/>
      <w:r>
        <w:t>.</w:t>
      </w:r>
    </w:p>
    <w:p w14:paraId="3B0CBFB8" w14:textId="69504C61" w:rsidR="00FA6682" w:rsidRPr="00FA6682" w:rsidRDefault="00FA6682" w:rsidP="0036550F">
      <w:pPr>
        <w:pStyle w:val="BodyText"/>
      </w:pPr>
      <w:r w:rsidRPr="00FA6682">
        <w:t xml:space="preserve">PRIORITY AREA 3.3 </w:t>
      </w:r>
      <w:proofErr w:type="gramStart"/>
      <w:r w:rsidRPr="00FA6682">
        <w:t>–  Support</w:t>
      </w:r>
      <w:proofErr w:type="gramEnd"/>
      <w:r w:rsidRPr="00FA6682">
        <w:t xml:space="preserve"> students from priority cohorts to complete mental health-related qualifications that reflect their communities’ needs</w:t>
      </w:r>
      <w:r w:rsidR="0036550F">
        <w:t>:</w:t>
      </w:r>
    </w:p>
    <w:p w14:paraId="3EB28BF4" w14:textId="6A05B9D8" w:rsidR="00FA6682" w:rsidRDefault="00FA6682" w:rsidP="0036550F">
      <w:pPr>
        <w:pStyle w:val="ListBullet"/>
      </w:pPr>
      <w:r w:rsidRPr="0036550F">
        <w:t>Action 3.3.1</w:t>
      </w:r>
      <w:r>
        <w:t xml:space="preserve"> </w:t>
      </w:r>
      <w:proofErr w:type="gramStart"/>
      <w:r>
        <w:t xml:space="preserve">– </w:t>
      </w:r>
      <w:r w:rsidR="00225EF2">
        <w:t xml:space="preserve"> </w:t>
      </w:r>
      <w:r>
        <w:t>Explore</w:t>
      </w:r>
      <w:proofErr w:type="gramEnd"/>
      <w:r>
        <w:t xml:space="preserve"> opportunities to prioritise access to training for the mental health workforce through increased subsidies and use of traineeships</w:t>
      </w:r>
    </w:p>
    <w:p w14:paraId="13C4CC87" w14:textId="41D656FD" w:rsidR="00FA6682" w:rsidRDefault="00FA6682" w:rsidP="0036550F">
      <w:pPr>
        <w:pStyle w:val="ListBullet"/>
      </w:pPr>
      <w:r w:rsidRPr="0036550F">
        <w:t>Action 3.3.2</w:t>
      </w:r>
      <w:r>
        <w:t xml:space="preserve"> </w:t>
      </w:r>
      <w:proofErr w:type="gramStart"/>
      <w:r>
        <w:t xml:space="preserve">– </w:t>
      </w:r>
      <w:r w:rsidR="00225EF2">
        <w:t xml:space="preserve"> </w:t>
      </w:r>
      <w:r>
        <w:t>Invest</w:t>
      </w:r>
      <w:proofErr w:type="gramEnd"/>
      <w:r>
        <w:t xml:space="preserve"> in ‘wrap around services’ to support Aboriginal and Torres Strait Islander peoples and people with lived experience to complete mental health education and training programs</w:t>
      </w:r>
    </w:p>
    <w:p w14:paraId="4CB69CE0" w14:textId="7306E4CB" w:rsidR="009A7F41" w:rsidRDefault="00FA6682" w:rsidP="0036550F">
      <w:pPr>
        <w:pStyle w:val="ListBullet"/>
      </w:pPr>
      <w:r w:rsidRPr="0036550F">
        <w:t>Action 3.3.</w:t>
      </w:r>
      <w:r w:rsidRPr="00A168F3">
        <w:t>3</w:t>
      </w:r>
      <w:r>
        <w:t xml:space="preserve"> </w:t>
      </w:r>
      <w:proofErr w:type="gramStart"/>
      <w:r>
        <w:t xml:space="preserve">– </w:t>
      </w:r>
      <w:r w:rsidR="00225EF2">
        <w:t xml:space="preserve"> </w:t>
      </w:r>
      <w:r>
        <w:t>Support</w:t>
      </w:r>
      <w:proofErr w:type="gramEnd"/>
      <w:r>
        <w:t xml:space="preserve"> people from rural and remote communities to access and complete mental health education and training programs</w:t>
      </w:r>
      <w:r w:rsidR="0036550F">
        <w:t>.</w:t>
      </w:r>
    </w:p>
    <w:p w14:paraId="79679C15" w14:textId="488F218B" w:rsidR="00FA6682" w:rsidRPr="00225EF2" w:rsidRDefault="00FA6682" w:rsidP="0036550F">
      <w:pPr>
        <w:pStyle w:val="BodyText"/>
      </w:pPr>
      <w:r w:rsidRPr="00225EF2">
        <w:t>PRIORITY AREA 3.4 – Support access to continuing professional learning and professional development to ensure existing workers develop contemporary professional and cultural safety skills</w:t>
      </w:r>
      <w:r w:rsidR="0036550F">
        <w:t>:</w:t>
      </w:r>
    </w:p>
    <w:p w14:paraId="0758E95F" w14:textId="2E26DD54" w:rsidR="00FA6682" w:rsidRDefault="00FA6682" w:rsidP="0036550F">
      <w:pPr>
        <w:pStyle w:val="ListBullet"/>
      </w:pPr>
      <w:r w:rsidRPr="0036550F">
        <w:t>Action 3.4.1</w:t>
      </w:r>
      <w:r>
        <w:t xml:space="preserve"> </w:t>
      </w:r>
      <w:proofErr w:type="gramStart"/>
      <w:r>
        <w:t xml:space="preserve">– </w:t>
      </w:r>
      <w:r w:rsidR="00E139FF">
        <w:t xml:space="preserve"> </w:t>
      </w:r>
      <w:r>
        <w:t>Create</w:t>
      </w:r>
      <w:proofErr w:type="gramEnd"/>
      <w:r>
        <w:t xml:space="preserve"> a central, online information source with details of existing training and continuing professional development opportunities available to the mental health workforce</w:t>
      </w:r>
    </w:p>
    <w:p w14:paraId="34AB0FAD" w14:textId="2B0C4A57" w:rsidR="00FA6682" w:rsidRDefault="00FA6682" w:rsidP="0036550F">
      <w:pPr>
        <w:pStyle w:val="ListBullet"/>
      </w:pPr>
      <w:r w:rsidRPr="0036550F">
        <w:t>Action 3.4.2</w:t>
      </w:r>
      <w:r>
        <w:t xml:space="preserve"> </w:t>
      </w:r>
      <w:proofErr w:type="gramStart"/>
      <w:r>
        <w:t xml:space="preserve">– </w:t>
      </w:r>
      <w:r w:rsidR="00E139FF">
        <w:t xml:space="preserve"> </w:t>
      </w:r>
      <w:r>
        <w:t>Fund</w:t>
      </w:r>
      <w:proofErr w:type="gramEnd"/>
      <w:r>
        <w:t xml:space="preserve"> Aboriginal and Torres Strait Islander organisations to develop and deliver training in cultural safety, trauma informed and trauma competent care</w:t>
      </w:r>
    </w:p>
    <w:p w14:paraId="0DBB355B" w14:textId="53326973" w:rsidR="00FA6682" w:rsidRDefault="00FA6682" w:rsidP="0036550F">
      <w:pPr>
        <w:pStyle w:val="ListBullet"/>
      </w:pPr>
      <w:r w:rsidRPr="0036550F">
        <w:t xml:space="preserve">Action 3.4.3 </w:t>
      </w:r>
      <w:proofErr w:type="gramStart"/>
      <w:r>
        <w:t xml:space="preserve">– </w:t>
      </w:r>
      <w:r w:rsidR="00E139FF">
        <w:t xml:space="preserve"> </w:t>
      </w:r>
      <w:r>
        <w:t>Fund</w:t>
      </w:r>
      <w:proofErr w:type="gramEnd"/>
      <w:r>
        <w:t xml:space="preserve"> LGBTIQ+ organisations to develop training and support for mainstream service providers</w:t>
      </w:r>
    </w:p>
    <w:p w14:paraId="66ED24EC" w14:textId="0D0D3D28" w:rsidR="00FA6682" w:rsidRDefault="00FA6682" w:rsidP="0036550F">
      <w:pPr>
        <w:pStyle w:val="ListBullet"/>
      </w:pPr>
      <w:r w:rsidRPr="0036550F">
        <w:t>Action 3.4.4</w:t>
      </w:r>
      <w:r>
        <w:t xml:space="preserve"> </w:t>
      </w:r>
      <w:proofErr w:type="gramStart"/>
      <w:r>
        <w:t xml:space="preserve">– </w:t>
      </w:r>
      <w:r w:rsidR="00E139FF">
        <w:t xml:space="preserve"> </w:t>
      </w:r>
      <w:r>
        <w:t>Support</w:t>
      </w:r>
      <w:proofErr w:type="gramEnd"/>
      <w:r>
        <w:t xml:space="preserve"> the development of local area, multidisciplinary communities of practice for workforces needing support</w:t>
      </w:r>
    </w:p>
    <w:p w14:paraId="7E5E3FAA" w14:textId="00A06A3E" w:rsidR="00740CEC" w:rsidRDefault="00FA6682" w:rsidP="0036550F">
      <w:pPr>
        <w:pStyle w:val="ListBullet"/>
        <w:sectPr w:rsidR="00740CEC" w:rsidSect="00A168F3">
          <w:headerReference w:type="even" r:id="rId50"/>
          <w:footerReference w:type="even" r:id="rId51"/>
          <w:headerReference w:type="first" r:id="rId52"/>
          <w:footerReference w:type="first" r:id="rId53"/>
          <w:pgSz w:w="11906" w:h="16838" w:code="9"/>
          <w:pgMar w:top="1418" w:right="851" w:bottom="1134" w:left="1134" w:header="454" w:footer="159" w:gutter="0"/>
          <w:cols w:space="708"/>
          <w:docGrid w:linePitch="360"/>
        </w:sectPr>
      </w:pPr>
      <w:r w:rsidRPr="0036550F">
        <w:lastRenderedPageBreak/>
        <w:t>Action 3.4.5</w:t>
      </w:r>
      <w:r>
        <w:t xml:space="preserve"> </w:t>
      </w:r>
      <w:proofErr w:type="gramStart"/>
      <w:r>
        <w:t xml:space="preserve">– </w:t>
      </w:r>
      <w:r w:rsidR="00E139FF">
        <w:t xml:space="preserve"> </w:t>
      </w:r>
      <w:r>
        <w:t>Facilitate</w:t>
      </w:r>
      <w:proofErr w:type="gramEnd"/>
      <w:r>
        <w:t xml:space="preserve"> sharing of mental health education and training programs and associated resources across states and territories, with opportunity for jurisdictions to tailor programs to meet their needs</w:t>
      </w:r>
      <w:r w:rsidR="00F133B0">
        <w:t>.</w:t>
      </w:r>
    </w:p>
    <w:p w14:paraId="2C228406" w14:textId="447FD1C9" w:rsidR="00414A96" w:rsidRDefault="00414A96" w:rsidP="00414A96">
      <w:pPr>
        <w:pStyle w:val="Heading1"/>
        <w:ind w:left="1134" w:hanging="1134"/>
        <w:rPr>
          <w:lang w:val="en-US"/>
        </w:rPr>
      </w:pPr>
      <w:bookmarkStart w:id="21" w:name="_Toc98866270"/>
      <w:r>
        <w:rPr>
          <w:lang w:val="en-US"/>
        </w:rPr>
        <w:lastRenderedPageBreak/>
        <w:t>4.</w:t>
      </w:r>
      <w:r>
        <w:rPr>
          <w:lang w:val="en-US"/>
        </w:rPr>
        <w:tab/>
      </w:r>
      <w:r w:rsidRPr="00414A96">
        <w:rPr>
          <w:lang w:val="en-US"/>
        </w:rPr>
        <w:t xml:space="preserve">Careers in mental health are, and are </w:t>
      </w:r>
      <w:proofErr w:type="spellStart"/>
      <w:r w:rsidRPr="00414A96">
        <w:rPr>
          <w:lang w:val="en-US"/>
        </w:rPr>
        <w:t>recognised</w:t>
      </w:r>
      <w:proofErr w:type="spellEnd"/>
      <w:r w:rsidRPr="00414A96">
        <w:rPr>
          <w:lang w:val="en-US"/>
        </w:rPr>
        <w:t xml:space="preserve"> as, attractive</w:t>
      </w:r>
      <w:bookmarkEnd w:id="21"/>
    </w:p>
    <w:p w14:paraId="06C8DC6D" w14:textId="2871ADBA" w:rsidR="009B6ED4" w:rsidRDefault="009B6ED4" w:rsidP="00751E4C">
      <w:pPr>
        <w:pStyle w:val="BodyText"/>
        <w:spacing w:before="480"/>
        <w:rPr>
          <w:lang w:val="en-US"/>
        </w:rPr>
      </w:pPr>
      <w:r>
        <w:rPr>
          <w:lang w:val="en-US"/>
        </w:rPr>
        <w:t xml:space="preserve">The fourth objective – </w:t>
      </w:r>
      <w:r w:rsidRPr="00414A96">
        <w:rPr>
          <w:color w:val="140034" w:themeColor="background2"/>
          <w:lang w:val="en-US"/>
        </w:rPr>
        <w:t xml:space="preserve">Careers in mental health are, and are </w:t>
      </w:r>
      <w:proofErr w:type="spellStart"/>
      <w:r w:rsidRPr="00414A96">
        <w:rPr>
          <w:color w:val="140034" w:themeColor="background2"/>
          <w:lang w:val="en-US"/>
        </w:rPr>
        <w:t>recognised</w:t>
      </w:r>
      <w:proofErr w:type="spellEnd"/>
      <w:r w:rsidRPr="00414A96">
        <w:rPr>
          <w:color w:val="140034" w:themeColor="background2"/>
          <w:lang w:val="en-US"/>
        </w:rPr>
        <w:t xml:space="preserve"> as, attractive</w:t>
      </w:r>
      <w:r>
        <w:rPr>
          <w:b/>
          <w:bCs/>
          <w:i/>
          <w:iCs/>
          <w:color w:val="140034" w:themeColor="background2"/>
          <w:lang w:val="en-US"/>
        </w:rPr>
        <w:t xml:space="preserve"> </w:t>
      </w:r>
      <w:r>
        <w:rPr>
          <w:lang w:val="en-US"/>
        </w:rPr>
        <w:t xml:space="preserve">– addresses the need for the mental health sector to offer attractive career options to the broadly defined workforce, ensure there are high levels of awareness of these careers and that there is appropriate access to high quality training. </w:t>
      </w:r>
    </w:p>
    <w:p w14:paraId="62BCF6DF" w14:textId="4FE9268C" w:rsidR="009B6ED4" w:rsidRDefault="009B6ED4" w:rsidP="009B6ED4">
      <w:pPr>
        <w:pStyle w:val="BodyText"/>
        <w:rPr>
          <w:lang w:val="en-US"/>
        </w:rPr>
      </w:pPr>
      <w:r>
        <w:rPr>
          <w:lang w:val="en-US"/>
        </w:rPr>
        <w:t xml:space="preserve">There is a clear need to improve attraction to the workforce across the occupations providing mental health </w:t>
      </w:r>
      <w:r w:rsidRPr="00FC531C">
        <w:rPr>
          <w:lang w:val="en-US"/>
        </w:rPr>
        <w:t xml:space="preserve">promotion, prevention, early intervention, </w:t>
      </w:r>
      <w:proofErr w:type="gramStart"/>
      <w:r w:rsidRPr="00FC531C">
        <w:rPr>
          <w:lang w:val="en-US"/>
        </w:rPr>
        <w:t>support</w:t>
      </w:r>
      <w:proofErr w:type="gramEnd"/>
      <w:r w:rsidRPr="00FC531C">
        <w:rPr>
          <w:lang w:val="en-US"/>
        </w:rPr>
        <w:t xml:space="preserve"> and treatment</w:t>
      </w:r>
      <w:r>
        <w:rPr>
          <w:lang w:val="en-US"/>
        </w:rPr>
        <w:t xml:space="preserve"> across the </w:t>
      </w:r>
      <w:r w:rsidRPr="00FC531C">
        <w:rPr>
          <w:lang w:val="en-US"/>
        </w:rPr>
        <w:t>life</w:t>
      </w:r>
      <w:r>
        <w:rPr>
          <w:lang w:val="en-US"/>
        </w:rPr>
        <w:t>-</w:t>
      </w:r>
      <w:r w:rsidRPr="00FC531C">
        <w:rPr>
          <w:lang w:val="en-US"/>
        </w:rPr>
        <w:t>course</w:t>
      </w:r>
      <w:r>
        <w:rPr>
          <w:lang w:val="en-US"/>
        </w:rPr>
        <w:t>,</w:t>
      </w:r>
      <w:r w:rsidRPr="00FC531C">
        <w:rPr>
          <w:lang w:val="en-US"/>
        </w:rPr>
        <w:t xml:space="preserve"> including children, young people, adults, and older people</w:t>
      </w:r>
      <w:r>
        <w:rPr>
          <w:lang w:val="en-US"/>
        </w:rPr>
        <w:t xml:space="preserve">, and for </w:t>
      </w:r>
      <w:r w:rsidRPr="00FC531C">
        <w:rPr>
          <w:lang w:val="en-US"/>
        </w:rPr>
        <w:t xml:space="preserve">specific circumstances such as during the perinatal period or issues with alcohol and other drugs. </w:t>
      </w:r>
    </w:p>
    <w:p w14:paraId="3E78A180" w14:textId="75C1E718" w:rsidR="00427B73" w:rsidRDefault="00414A96" w:rsidP="00414A96">
      <w:pPr>
        <w:pStyle w:val="BodyText"/>
        <w:ind w:left="1701" w:hanging="1701"/>
        <w:rPr>
          <w:lang w:val="en-US"/>
        </w:rPr>
      </w:pPr>
      <w:r w:rsidRPr="00414A96">
        <w:rPr>
          <w:rStyle w:val="CaptionLabel"/>
          <w:b w:val="0"/>
          <w:bCs/>
        </w:rPr>
        <w:t>FIGURE 4.</w:t>
      </w:r>
      <w:r w:rsidR="00427B73" w:rsidRPr="00414A96">
        <w:rPr>
          <w:rStyle w:val="CaptionLabel"/>
          <w:b w:val="0"/>
          <w:bCs/>
        </w:rPr>
        <w:fldChar w:fldCharType="begin"/>
      </w:r>
      <w:r w:rsidR="00427B73" w:rsidRPr="00414A96">
        <w:rPr>
          <w:rStyle w:val="CaptionLabel"/>
          <w:b w:val="0"/>
          <w:bCs/>
        </w:rPr>
        <w:instrText xml:space="preserve"> SEQ Figure \* ARABIC \S 1 \* MERGEFORMAT </w:instrText>
      </w:r>
      <w:r w:rsidR="00427B73" w:rsidRPr="00414A96">
        <w:rPr>
          <w:rStyle w:val="CaptionLabel"/>
          <w:b w:val="0"/>
          <w:bCs/>
        </w:rPr>
        <w:fldChar w:fldCharType="separate"/>
      </w:r>
      <w:r w:rsidR="005F0718">
        <w:rPr>
          <w:rStyle w:val="CaptionLabel"/>
          <w:b w:val="0"/>
          <w:bCs/>
          <w:noProof/>
        </w:rPr>
        <w:t>1</w:t>
      </w:r>
      <w:r w:rsidR="00427B73" w:rsidRPr="00414A96">
        <w:rPr>
          <w:rStyle w:val="CaptionLabel"/>
          <w:b w:val="0"/>
          <w:bCs/>
        </w:rPr>
        <w:fldChar w:fldCharType="end"/>
      </w:r>
      <w:r w:rsidRPr="00414A96">
        <w:rPr>
          <w:b/>
          <w:bCs/>
        </w:rPr>
        <w:tab/>
      </w:r>
      <w:r>
        <w:t>OBJECTIVE 4: PRIORITY AREAS AND ACTIONS</w:t>
      </w:r>
    </w:p>
    <w:p w14:paraId="02FFF0A5" w14:textId="746B3D93" w:rsidR="00427B73" w:rsidRDefault="00427B73" w:rsidP="009B6ED4">
      <w:pPr>
        <w:pStyle w:val="BodyText"/>
        <w:rPr>
          <w:lang w:val="en-US"/>
        </w:rPr>
      </w:pPr>
      <w:r>
        <w:rPr>
          <w:noProof/>
        </w:rPr>
        <w:drawing>
          <wp:inline distT="0" distB="0" distL="0" distR="0" wp14:anchorId="51262E0E" wp14:editId="09B8E3AF">
            <wp:extent cx="6238589" cy="3571539"/>
            <wp:effectExtent l="0" t="0" r="0" b="0"/>
            <wp:docPr id="56" name="Picture 56" descr="Diagram summarising the two priority areas for action and four actions under objective 4. These are detailed in the text of the chapt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icture 56" descr="Diagram summarising the two priority areas for action and four actions under objective 4. These are detailed in the text of the chapter. "/>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l="2593"/>
                    <a:stretch/>
                  </pic:blipFill>
                  <pic:spPr bwMode="auto">
                    <a:xfrm>
                      <a:off x="0" y="0"/>
                      <a:ext cx="6276035" cy="3592977"/>
                    </a:xfrm>
                    <a:prstGeom prst="rect">
                      <a:avLst/>
                    </a:prstGeom>
                    <a:noFill/>
                    <a:ln>
                      <a:noFill/>
                    </a:ln>
                    <a:extLst>
                      <a:ext uri="{53640926-AAD7-44D8-BBD7-CCE9431645EC}">
                        <a14:shadowObscured xmlns:a14="http://schemas.microsoft.com/office/drawing/2010/main"/>
                      </a:ext>
                    </a:extLst>
                  </pic:spPr>
                </pic:pic>
              </a:graphicData>
            </a:graphic>
          </wp:inline>
        </w:drawing>
      </w:r>
    </w:p>
    <w:p w14:paraId="61095B1E" w14:textId="77777777" w:rsidR="009B6ED4" w:rsidRDefault="009B6ED4" w:rsidP="00414A96">
      <w:pPr>
        <w:pStyle w:val="Heading2"/>
        <w:rPr>
          <w:lang w:val="en-US"/>
        </w:rPr>
      </w:pPr>
      <w:bookmarkStart w:id="22" w:name="_Toc98866271"/>
      <w:r>
        <w:rPr>
          <w:lang w:val="en-US"/>
        </w:rPr>
        <w:lastRenderedPageBreak/>
        <w:t>Limited awareness of pathways</w:t>
      </w:r>
      <w:bookmarkEnd w:id="22"/>
    </w:p>
    <w:p w14:paraId="3EF97886" w14:textId="77777777" w:rsidR="009B6ED4" w:rsidRDefault="009B6ED4" w:rsidP="00A818D5">
      <w:pPr>
        <w:pStyle w:val="BodyText"/>
        <w:keepNext/>
        <w:keepLines/>
        <w:rPr>
          <w:lang w:val="en-US"/>
        </w:rPr>
      </w:pPr>
      <w:r>
        <w:rPr>
          <w:lang w:val="en-US"/>
        </w:rPr>
        <w:t xml:space="preserve">There is </w:t>
      </w:r>
      <w:r w:rsidRPr="006C4490">
        <w:rPr>
          <w:lang w:val="en-US"/>
        </w:rPr>
        <w:t>limited</w:t>
      </w:r>
      <w:r>
        <w:rPr>
          <w:lang w:val="en-US"/>
        </w:rPr>
        <w:t xml:space="preserve"> </w:t>
      </w:r>
      <w:r w:rsidRPr="006C4490">
        <w:rPr>
          <w:lang w:val="en-US"/>
        </w:rPr>
        <w:t>awareness</w:t>
      </w:r>
      <w:r>
        <w:rPr>
          <w:lang w:val="en-US"/>
        </w:rPr>
        <w:t xml:space="preserve"> </w:t>
      </w:r>
      <w:r w:rsidRPr="006C4490">
        <w:rPr>
          <w:lang w:val="en-US"/>
        </w:rPr>
        <w:t>of</w:t>
      </w:r>
      <w:r>
        <w:rPr>
          <w:lang w:val="en-US"/>
        </w:rPr>
        <w:t xml:space="preserve"> the </w:t>
      </w:r>
      <w:r w:rsidRPr="006C4490">
        <w:rPr>
          <w:lang w:val="en-US"/>
        </w:rPr>
        <w:t>career</w:t>
      </w:r>
      <w:r>
        <w:rPr>
          <w:lang w:val="en-US"/>
        </w:rPr>
        <w:t xml:space="preserve"> </w:t>
      </w:r>
      <w:r w:rsidRPr="006C4490">
        <w:rPr>
          <w:lang w:val="en-US"/>
        </w:rPr>
        <w:t>opportunities</w:t>
      </w:r>
      <w:r>
        <w:rPr>
          <w:lang w:val="en-US"/>
        </w:rPr>
        <w:t xml:space="preserve"> that </w:t>
      </w:r>
      <w:r w:rsidRPr="006C4490">
        <w:rPr>
          <w:lang w:val="en-US"/>
        </w:rPr>
        <w:t>the</w:t>
      </w:r>
      <w:r>
        <w:rPr>
          <w:lang w:val="en-US"/>
        </w:rPr>
        <w:t xml:space="preserve"> </w:t>
      </w:r>
      <w:r w:rsidRPr="006C4490">
        <w:rPr>
          <w:lang w:val="en-US"/>
        </w:rPr>
        <w:t>mental</w:t>
      </w:r>
      <w:r>
        <w:rPr>
          <w:lang w:val="en-US"/>
        </w:rPr>
        <w:t xml:space="preserve"> </w:t>
      </w:r>
      <w:r w:rsidRPr="006C4490">
        <w:rPr>
          <w:lang w:val="en-US"/>
        </w:rPr>
        <w:t>health</w:t>
      </w:r>
      <w:r>
        <w:rPr>
          <w:lang w:val="en-US"/>
        </w:rPr>
        <w:t xml:space="preserve"> </w:t>
      </w:r>
      <w:r w:rsidRPr="006C4490">
        <w:rPr>
          <w:lang w:val="en-US"/>
        </w:rPr>
        <w:t>sector</w:t>
      </w:r>
      <w:r>
        <w:rPr>
          <w:lang w:val="en-US"/>
        </w:rPr>
        <w:t xml:space="preserve"> affords and this </w:t>
      </w:r>
      <w:r w:rsidRPr="006C4490">
        <w:rPr>
          <w:lang w:val="en-US"/>
        </w:rPr>
        <w:t>impacts</w:t>
      </w:r>
      <w:r>
        <w:rPr>
          <w:lang w:val="en-US"/>
        </w:rPr>
        <w:t xml:space="preserve"> on </w:t>
      </w:r>
      <w:r w:rsidRPr="006C4490">
        <w:rPr>
          <w:lang w:val="en-US"/>
        </w:rPr>
        <w:t>the</w:t>
      </w:r>
      <w:r>
        <w:rPr>
          <w:lang w:val="en-US"/>
        </w:rPr>
        <w:t xml:space="preserve"> number of </w:t>
      </w:r>
      <w:r w:rsidRPr="006C4490">
        <w:rPr>
          <w:lang w:val="en-US"/>
        </w:rPr>
        <w:t>students</w:t>
      </w:r>
      <w:r>
        <w:rPr>
          <w:lang w:val="en-US"/>
        </w:rPr>
        <w:t xml:space="preserve"> enrolling in some </w:t>
      </w:r>
      <w:r w:rsidRPr="006C4490">
        <w:rPr>
          <w:lang w:val="en-US"/>
        </w:rPr>
        <w:t>training</w:t>
      </w:r>
      <w:r>
        <w:rPr>
          <w:lang w:val="en-US"/>
        </w:rPr>
        <w:t xml:space="preserve"> programs. This applies to entire programs of study that focus on mental health, and programs of study that include elective units in mental health. It is relevant to occupations that work exclusively in mental health (for example, mental health nurses) and occupations that </w:t>
      </w:r>
      <w:r w:rsidRPr="00985F0D">
        <w:rPr>
          <w:i/>
          <w:iCs/>
          <w:lang w:val="en-US"/>
        </w:rPr>
        <w:t>may</w:t>
      </w:r>
      <w:r>
        <w:rPr>
          <w:i/>
          <w:iCs/>
          <w:lang w:val="en-US"/>
        </w:rPr>
        <w:t xml:space="preserve"> </w:t>
      </w:r>
      <w:r>
        <w:rPr>
          <w:lang w:val="en-US"/>
        </w:rPr>
        <w:t>work in mental health (such as nurses).</w:t>
      </w:r>
    </w:p>
    <w:p w14:paraId="0391725E" w14:textId="77777777" w:rsidR="009B6ED4" w:rsidRDefault="009B6ED4" w:rsidP="009B6ED4">
      <w:pPr>
        <w:pStyle w:val="BodyText"/>
        <w:rPr>
          <w:lang w:val="en-US"/>
        </w:rPr>
      </w:pPr>
      <w:r>
        <w:t>This issue applies to vocationally and higher education trained occupations, across work settings, locations and for populations that are currently underrepresented (such as Aboriginal and Torres Strait Islander peoples, culturally and linguistically diverse communities, and LGBTIQ+ communities).</w:t>
      </w:r>
    </w:p>
    <w:p w14:paraId="7DDD30C6" w14:textId="77777777" w:rsidR="009B6ED4" w:rsidRPr="006C4490" w:rsidRDefault="009B6ED4" w:rsidP="009B6ED4">
      <w:pPr>
        <w:pStyle w:val="BodyText"/>
        <w:rPr>
          <w:lang w:val="en-US"/>
        </w:rPr>
      </w:pPr>
      <w:r>
        <w:rPr>
          <w:lang w:val="en-US"/>
        </w:rPr>
        <w:t xml:space="preserve">While this may change to some extent </w:t>
      </w:r>
      <w:proofErr w:type="gramStart"/>
      <w:r>
        <w:rPr>
          <w:lang w:val="en-US"/>
        </w:rPr>
        <w:t>as a result of</w:t>
      </w:r>
      <w:proofErr w:type="gramEnd"/>
      <w:r>
        <w:rPr>
          <w:lang w:val="en-US"/>
        </w:rPr>
        <w:t xml:space="preserve"> recent government announcements of significant investment in the sector, concerted effort is required to lift the profile of the career opportunities available.</w:t>
      </w:r>
      <w:r>
        <w:t xml:space="preserve"> </w:t>
      </w:r>
      <w:r w:rsidRPr="006C4490">
        <w:t>There</w:t>
      </w:r>
      <w:r>
        <w:t xml:space="preserve"> </w:t>
      </w:r>
      <w:r w:rsidRPr="006C4490">
        <w:t>is</w:t>
      </w:r>
      <w:r>
        <w:t xml:space="preserve"> </w:t>
      </w:r>
      <w:r w:rsidRPr="006C4490">
        <w:t>a</w:t>
      </w:r>
      <w:r>
        <w:t xml:space="preserve"> </w:t>
      </w:r>
      <w:r w:rsidRPr="006C4490">
        <w:t>need</w:t>
      </w:r>
      <w:r>
        <w:t xml:space="preserve"> </w:t>
      </w:r>
      <w:r w:rsidRPr="006C4490">
        <w:t>to</w:t>
      </w:r>
      <w:r>
        <w:t xml:space="preserve"> </w:t>
      </w:r>
      <w:r w:rsidRPr="006C4490">
        <w:t>market</w:t>
      </w:r>
      <w:r>
        <w:t xml:space="preserve"> </w:t>
      </w:r>
      <w:r w:rsidRPr="006C4490">
        <w:t>mental</w:t>
      </w:r>
      <w:r>
        <w:t xml:space="preserve"> </w:t>
      </w:r>
      <w:r w:rsidRPr="006C4490">
        <w:t>health</w:t>
      </w:r>
      <w:r>
        <w:t xml:space="preserve"> </w:t>
      </w:r>
      <w:r w:rsidRPr="006C4490">
        <w:t>as</w:t>
      </w:r>
      <w:r>
        <w:t xml:space="preserve"> </w:t>
      </w:r>
      <w:r w:rsidRPr="006C4490">
        <w:t>an</w:t>
      </w:r>
      <w:r>
        <w:t xml:space="preserve"> </w:t>
      </w:r>
      <w:r w:rsidRPr="006C4490">
        <w:t>attractive</w:t>
      </w:r>
      <w:r>
        <w:t xml:space="preserve"> </w:t>
      </w:r>
      <w:r w:rsidRPr="006C4490">
        <w:t>career</w:t>
      </w:r>
      <w:r>
        <w:t xml:space="preserve"> </w:t>
      </w:r>
      <w:r w:rsidRPr="006C4490">
        <w:t>choice</w:t>
      </w:r>
      <w:r>
        <w:t xml:space="preserve"> to </w:t>
      </w:r>
      <w:r w:rsidRPr="006C4490">
        <w:t>secondary</w:t>
      </w:r>
      <w:r>
        <w:t xml:space="preserve"> </w:t>
      </w:r>
      <w:r w:rsidRPr="006C4490">
        <w:t>school</w:t>
      </w:r>
      <w:r>
        <w:t xml:space="preserve"> </w:t>
      </w:r>
      <w:r w:rsidRPr="006C4490">
        <w:t>students,</w:t>
      </w:r>
      <w:r>
        <w:t xml:space="preserve"> </w:t>
      </w:r>
      <w:r w:rsidRPr="006C4490">
        <w:t>undergraduates,</w:t>
      </w:r>
      <w:r>
        <w:t xml:space="preserve"> </w:t>
      </w:r>
      <w:proofErr w:type="gramStart"/>
      <w:r w:rsidRPr="006C4490">
        <w:t>graduates</w:t>
      </w:r>
      <w:proofErr w:type="gramEnd"/>
      <w:r>
        <w:t xml:space="preserve"> </w:t>
      </w:r>
      <w:r w:rsidRPr="006C4490">
        <w:t>and</w:t>
      </w:r>
      <w:r>
        <w:t xml:space="preserve"> </w:t>
      </w:r>
      <w:r w:rsidRPr="006C4490">
        <w:t>the</w:t>
      </w:r>
      <w:r>
        <w:t xml:space="preserve"> </w:t>
      </w:r>
      <w:r w:rsidRPr="006C4490">
        <w:t>existing</w:t>
      </w:r>
      <w:r>
        <w:t xml:space="preserve"> </w:t>
      </w:r>
      <w:r w:rsidRPr="006C4490">
        <w:t>health</w:t>
      </w:r>
      <w:r>
        <w:t xml:space="preserve"> </w:t>
      </w:r>
      <w:r w:rsidRPr="006C4490">
        <w:t>workforce</w:t>
      </w:r>
      <w:r>
        <w:t xml:space="preserve"> to help build demand for training programs, including mental health components within broader programs</w:t>
      </w:r>
      <w:r w:rsidRPr="006C4490">
        <w:t>.</w:t>
      </w:r>
      <w:r>
        <w:t xml:space="preserve"> </w:t>
      </w:r>
    </w:p>
    <w:p w14:paraId="29A517B7" w14:textId="77777777" w:rsidR="009B6ED4" w:rsidRDefault="009B6ED4" w:rsidP="00224238">
      <w:pPr>
        <w:pStyle w:val="Heading2"/>
        <w:rPr>
          <w:lang w:val="en-US"/>
        </w:rPr>
      </w:pPr>
      <w:bookmarkStart w:id="23" w:name="_Toc98866272"/>
      <w:r>
        <w:rPr>
          <w:lang w:val="en-US"/>
        </w:rPr>
        <w:t>Stigma and negative perceptions</w:t>
      </w:r>
      <w:bookmarkEnd w:id="23"/>
    </w:p>
    <w:p w14:paraId="3D8B7DA7" w14:textId="77777777" w:rsidR="009B6ED4" w:rsidRDefault="009B6ED4" w:rsidP="009B6ED4">
      <w:pPr>
        <w:pStyle w:val="BodyText"/>
        <w:rPr>
          <w:lang w:val="en-US"/>
        </w:rPr>
      </w:pPr>
      <w:r>
        <w:rPr>
          <w:lang w:val="en-US"/>
        </w:rPr>
        <w:t xml:space="preserve">Stigma and negative perceptions associated with </w:t>
      </w:r>
      <w:r w:rsidRPr="006C4490">
        <w:rPr>
          <w:lang w:val="en-US"/>
        </w:rPr>
        <w:t>working</w:t>
      </w:r>
      <w:r>
        <w:rPr>
          <w:lang w:val="en-US"/>
        </w:rPr>
        <w:t xml:space="preserve"> </w:t>
      </w:r>
      <w:r w:rsidRPr="006C4490">
        <w:rPr>
          <w:lang w:val="en-US"/>
        </w:rPr>
        <w:t>in</w:t>
      </w:r>
      <w:r>
        <w:rPr>
          <w:lang w:val="en-US"/>
        </w:rPr>
        <w:t xml:space="preserve"> </w:t>
      </w:r>
      <w:r w:rsidRPr="006C4490">
        <w:rPr>
          <w:lang w:val="en-US"/>
        </w:rPr>
        <w:t>mental</w:t>
      </w:r>
      <w:r>
        <w:rPr>
          <w:lang w:val="en-US"/>
        </w:rPr>
        <w:t xml:space="preserve"> </w:t>
      </w:r>
      <w:r w:rsidRPr="006C4490">
        <w:rPr>
          <w:lang w:val="en-US"/>
        </w:rPr>
        <w:t>health</w:t>
      </w:r>
      <w:r>
        <w:rPr>
          <w:lang w:val="en-US"/>
        </w:rPr>
        <w:t xml:space="preserve"> further </w:t>
      </w:r>
      <w:r w:rsidRPr="006C4490">
        <w:rPr>
          <w:lang w:val="en-US"/>
        </w:rPr>
        <w:t>reduce</w:t>
      </w:r>
      <w:r>
        <w:rPr>
          <w:lang w:val="en-US"/>
        </w:rPr>
        <w:t xml:space="preserve">s the demand for mental health-specific </w:t>
      </w:r>
      <w:r w:rsidRPr="006C4490">
        <w:rPr>
          <w:lang w:val="en-US"/>
        </w:rPr>
        <w:t>education</w:t>
      </w:r>
      <w:r>
        <w:rPr>
          <w:lang w:val="en-US"/>
        </w:rPr>
        <w:t xml:space="preserve"> </w:t>
      </w:r>
      <w:r w:rsidRPr="006C4490">
        <w:rPr>
          <w:lang w:val="en-US"/>
        </w:rPr>
        <w:t>and</w:t>
      </w:r>
      <w:r>
        <w:rPr>
          <w:lang w:val="en-US"/>
        </w:rPr>
        <w:t xml:space="preserve"> </w:t>
      </w:r>
      <w:r w:rsidRPr="006C4490">
        <w:rPr>
          <w:lang w:val="en-US"/>
        </w:rPr>
        <w:t>training</w:t>
      </w:r>
      <w:r>
        <w:rPr>
          <w:lang w:val="en-US"/>
        </w:rPr>
        <w:t xml:space="preserve">, particularly within courses where graduates have the option to pursue a career in other sectors. There is a need to address the stigma associated with mental health careers, ensuring that the community values and respects the mental health workforce.  </w:t>
      </w:r>
    </w:p>
    <w:p w14:paraId="2B605606" w14:textId="77777777" w:rsidR="009B6ED4" w:rsidRDefault="009B6ED4" w:rsidP="009B6ED4">
      <w:pPr>
        <w:pStyle w:val="BodyText"/>
      </w:pPr>
      <w:r w:rsidRPr="006C4490">
        <w:rPr>
          <w:lang w:val="en-US"/>
        </w:rPr>
        <w:t>Increasing</w:t>
      </w:r>
      <w:r>
        <w:rPr>
          <w:lang w:val="en-US"/>
        </w:rPr>
        <w:t xml:space="preserve"> positive </w:t>
      </w:r>
      <w:r w:rsidRPr="006C4490">
        <w:rPr>
          <w:lang w:val="en-US"/>
        </w:rPr>
        <w:t>exposure</w:t>
      </w:r>
      <w:r>
        <w:rPr>
          <w:lang w:val="en-US"/>
        </w:rPr>
        <w:t xml:space="preserve"> </w:t>
      </w:r>
      <w:r w:rsidRPr="006C4490">
        <w:rPr>
          <w:lang w:val="en-US"/>
        </w:rPr>
        <w:t>to</w:t>
      </w:r>
      <w:r>
        <w:rPr>
          <w:lang w:val="en-US"/>
        </w:rPr>
        <w:t xml:space="preserve"> </w:t>
      </w:r>
      <w:r w:rsidRPr="006C4490">
        <w:rPr>
          <w:lang w:val="en-US"/>
        </w:rPr>
        <w:t>mental</w:t>
      </w:r>
      <w:r>
        <w:rPr>
          <w:lang w:val="en-US"/>
        </w:rPr>
        <w:t xml:space="preserve"> </w:t>
      </w:r>
      <w:r w:rsidRPr="006C4490">
        <w:rPr>
          <w:lang w:val="en-US"/>
        </w:rPr>
        <w:t>health</w:t>
      </w:r>
      <w:r>
        <w:rPr>
          <w:lang w:val="en-US"/>
        </w:rPr>
        <w:t xml:space="preserve"> </w:t>
      </w:r>
      <w:r w:rsidRPr="006C4490">
        <w:rPr>
          <w:lang w:val="en-US"/>
        </w:rPr>
        <w:t>workplaces</w:t>
      </w:r>
      <w:r>
        <w:rPr>
          <w:lang w:val="en-US"/>
        </w:rPr>
        <w:t xml:space="preserve"> </w:t>
      </w:r>
      <w:r w:rsidRPr="006C4490">
        <w:rPr>
          <w:lang w:val="en-US"/>
        </w:rPr>
        <w:t>in</w:t>
      </w:r>
      <w:r>
        <w:rPr>
          <w:lang w:val="en-US"/>
        </w:rPr>
        <w:t xml:space="preserve"> </w:t>
      </w:r>
      <w:r w:rsidRPr="006C4490">
        <w:rPr>
          <w:lang w:val="en-US"/>
        </w:rPr>
        <w:t>pre-service</w:t>
      </w:r>
      <w:r>
        <w:rPr>
          <w:lang w:val="en-US"/>
        </w:rPr>
        <w:t xml:space="preserve"> </w:t>
      </w:r>
      <w:r w:rsidRPr="006C4490">
        <w:rPr>
          <w:lang w:val="en-US"/>
        </w:rPr>
        <w:t>education</w:t>
      </w:r>
      <w:r>
        <w:rPr>
          <w:lang w:val="en-US"/>
        </w:rPr>
        <w:t xml:space="preserve"> </w:t>
      </w:r>
      <w:r w:rsidRPr="006C4490">
        <w:rPr>
          <w:lang w:val="en-US"/>
        </w:rPr>
        <w:t>and</w:t>
      </w:r>
      <w:r>
        <w:rPr>
          <w:lang w:val="en-US"/>
        </w:rPr>
        <w:t xml:space="preserve"> </w:t>
      </w:r>
      <w:r w:rsidRPr="006C4490">
        <w:rPr>
          <w:lang w:val="en-US"/>
        </w:rPr>
        <w:t>training</w:t>
      </w:r>
      <w:r>
        <w:rPr>
          <w:lang w:val="en-US"/>
        </w:rPr>
        <w:t xml:space="preserve"> </w:t>
      </w:r>
      <w:r w:rsidRPr="006C4490">
        <w:rPr>
          <w:lang w:val="en-US"/>
        </w:rPr>
        <w:t>would</w:t>
      </w:r>
      <w:r>
        <w:rPr>
          <w:lang w:val="en-US"/>
        </w:rPr>
        <w:t xml:space="preserve"> </w:t>
      </w:r>
      <w:r w:rsidRPr="006C4490">
        <w:rPr>
          <w:lang w:val="en-US"/>
        </w:rPr>
        <w:t>help</w:t>
      </w:r>
      <w:r>
        <w:rPr>
          <w:lang w:val="en-US"/>
        </w:rPr>
        <w:t xml:space="preserve"> alleviate negative perceptions </w:t>
      </w:r>
      <w:r w:rsidRPr="006C4490">
        <w:rPr>
          <w:lang w:val="en-US"/>
        </w:rPr>
        <w:t>about</w:t>
      </w:r>
      <w:r>
        <w:rPr>
          <w:lang w:val="en-US"/>
        </w:rPr>
        <w:t xml:space="preserve"> </w:t>
      </w:r>
      <w:r w:rsidRPr="006C4490">
        <w:rPr>
          <w:lang w:val="en-US"/>
        </w:rPr>
        <w:t>careers</w:t>
      </w:r>
      <w:r>
        <w:rPr>
          <w:lang w:val="en-US"/>
        </w:rPr>
        <w:t xml:space="preserve"> in </w:t>
      </w:r>
      <w:r w:rsidRPr="006C4490">
        <w:rPr>
          <w:lang w:val="en-US"/>
        </w:rPr>
        <w:t>mental</w:t>
      </w:r>
      <w:r>
        <w:rPr>
          <w:lang w:val="en-US"/>
        </w:rPr>
        <w:t xml:space="preserve"> </w:t>
      </w:r>
      <w:r w:rsidRPr="006C4490">
        <w:rPr>
          <w:lang w:val="en-US"/>
        </w:rPr>
        <w:t>health.</w:t>
      </w:r>
      <w:r>
        <w:rPr>
          <w:lang w:val="en-US"/>
        </w:rPr>
        <w:t xml:space="preserve"> </w:t>
      </w:r>
      <w:r>
        <w:t xml:space="preserve">The availability, </w:t>
      </w:r>
      <w:proofErr w:type="gramStart"/>
      <w:r>
        <w:t>quality</w:t>
      </w:r>
      <w:proofErr w:type="gramEnd"/>
      <w:r>
        <w:t xml:space="preserve"> and range of settings in which placements and internships are undertaken are important in providing trainees with positive experiences of the mental health sector. Positive placement experiences lead to greater numbers of students, trainees and interns who are likely to consider careers in mental health. </w:t>
      </w:r>
    </w:p>
    <w:p w14:paraId="29D0DC4D" w14:textId="5176B73B" w:rsidR="009B6ED4" w:rsidRDefault="009B6ED4" w:rsidP="00B47A8A">
      <w:pPr>
        <w:pStyle w:val="Heading2"/>
      </w:pPr>
      <w:bookmarkStart w:id="24" w:name="_Toc98866273"/>
      <w:r>
        <w:lastRenderedPageBreak/>
        <w:t>Priority areas and actions</w:t>
      </w:r>
      <w:bookmarkEnd w:id="24"/>
    </w:p>
    <w:p w14:paraId="4D4A6A35" w14:textId="659144C8" w:rsidR="00A818D5" w:rsidRPr="00A818D5" w:rsidRDefault="00A818D5" w:rsidP="00B47A8A">
      <w:pPr>
        <w:pStyle w:val="BodyText"/>
        <w:keepNext/>
        <w:keepLines/>
      </w:pPr>
      <w:r w:rsidRPr="00A818D5">
        <w:t xml:space="preserve">PRIORITY AREA 4.1 </w:t>
      </w:r>
      <w:proofErr w:type="gramStart"/>
      <w:r w:rsidRPr="00A818D5">
        <w:t xml:space="preserve">– </w:t>
      </w:r>
      <w:r>
        <w:t xml:space="preserve"> </w:t>
      </w:r>
      <w:r w:rsidRPr="00A818D5">
        <w:t>Increase</w:t>
      </w:r>
      <w:proofErr w:type="gramEnd"/>
      <w:r w:rsidRPr="00A818D5">
        <w:t xml:space="preserve"> the awareness and accessibility of pathways into and within mental health</w:t>
      </w:r>
      <w:r w:rsidR="00224238">
        <w:t>:</w:t>
      </w:r>
      <w:r w:rsidRPr="00A818D5">
        <w:t xml:space="preserve"> </w:t>
      </w:r>
    </w:p>
    <w:p w14:paraId="3C4470D7" w14:textId="7FD09D5D" w:rsidR="00A818D5" w:rsidRPr="00224238" w:rsidRDefault="00A818D5" w:rsidP="00B47A8A">
      <w:pPr>
        <w:pStyle w:val="ListBullet"/>
        <w:keepNext/>
        <w:keepLines/>
      </w:pPr>
      <w:r w:rsidRPr="00224238">
        <w:t xml:space="preserve">Action 4.1.1 </w:t>
      </w:r>
      <w:proofErr w:type="gramStart"/>
      <w:r w:rsidRPr="00224238">
        <w:t>–  Raise</w:t>
      </w:r>
      <w:proofErr w:type="gramEnd"/>
      <w:r w:rsidRPr="00224238">
        <w:t xml:space="preserve"> the awareness of pathways into, and within, the mental health workforce for both vocationally and higher education trained occupations including across work settings</w:t>
      </w:r>
    </w:p>
    <w:p w14:paraId="52603590" w14:textId="1108AA6D" w:rsidR="00A818D5" w:rsidRPr="00224238" w:rsidRDefault="00A818D5" w:rsidP="00B47A8A">
      <w:pPr>
        <w:pStyle w:val="ListBullet"/>
        <w:keepNext/>
        <w:keepLines/>
      </w:pPr>
      <w:r w:rsidRPr="00224238">
        <w:t>Action 4.1.2</w:t>
      </w:r>
      <w:proofErr w:type="gramStart"/>
      <w:r w:rsidRPr="00224238">
        <w:t>–  Increase</w:t>
      </w:r>
      <w:proofErr w:type="gramEnd"/>
      <w:r w:rsidRPr="00224238">
        <w:t xml:space="preserve"> the supply of education and training programs for both vocationally and higher education trained occupations to support entry-level training, upskilling and reskilling</w:t>
      </w:r>
      <w:r w:rsidR="00224238" w:rsidRPr="00224238">
        <w:t>.</w:t>
      </w:r>
    </w:p>
    <w:p w14:paraId="7650374F" w14:textId="4369415F" w:rsidR="00A818D5" w:rsidRPr="00A818D5" w:rsidRDefault="00A818D5" w:rsidP="00B47A8A">
      <w:pPr>
        <w:pStyle w:val="BodyText"/>
      </w:pPr>
      <w:r w:rsidRPr="00A818D5">
        <w:t xml:space="preserve">PRIORITY AREA 4.2 </w:t>
      </w:r>
      <w:proofErr w:type="gramStart"/>
      <w:r w:rsidRPr="00A818D5">
        <w:t>–  Address</w:t>
      </w:r>
      <w:proofErr w:type="gramEnd"/>
      <w:r w:rsidRPr="00A818D5">
        <w:t xml:space="preserve"> the stigma and negative perceptions associated with working in mental health</w:t>
      </w:r>
      <w:r w:rsidR="00B47A8A">
        <w:t>:</w:t>
      </w:r>
    </w:p>
    <w:p w14:paraId="49951C68" w14:textId="24E63D86" w:rsidR="00A818D5" w:rsidRPr="00B47A8A" w:rsidRDefault="00A818D5" w:rsidP="00B47A8A">
      <w:pPr>
        <w:pStyle w:val="ListBullet"/>
      </w:pPr>
      <w:r w:rsidRPr="00B47A8A">
        <w:t xml:space="preserve">Action 4.2.1 </w:t>
      </w:r>
      <w:proofErr w:type="gramStart"/>
      <w:r w:rsidRPr="00B47A8A">
        <w:t>–  Create</w:t>
      </w:r>
      <w:proofErr w:type="gramEnd"/>
      <w:r w:rsidRPr="00B47A8A">
        <w:t xml:space="preserve"> positive perceptions of working in mental health by improving the pre-service and/or post-graduate placement experience of trainees</w:t>
      </w:r>
    </w:p>
    <w:p w14:paraId="2EDF003B" w14:textId="7C82AF9D" w:rsidR="00740CEC" w:rsidRDefault="00A818D5" w:rsidP="00B47A8A">
      <w:pPr>
        <w:pStyle w:val="ListBullet"/>
        <w:sectPr w:rsidR="00740CEC" w:rsidSect="00A168F3">
          <w:headerReference w:type="even" r:id="rId55"/>
          <w:footerReference w:type="even" r:id="rId56"/>
          <w:headerReference w:type="first" r:id="rId57"/>
          <w:footerReference w:type="first" r:id="rId58"/>
          <w:pgSz w:w="11906" w:h="16838" w:code="9"/>
          <w:pgMar w:top="1418" w:right="851" w:bottom="1134" w:left="1134" w:header="454" w:footer="159" w:gutter="0"/>
          <w:cols w:space="708"/>
          <w:docGrid w:linePitch="360"/>
        </w:sectPr>
      </w:pPr>
      <w:r w:rsidRPr="00B47A8A">
        <w:t xml:space="preserve">Action 4.2.2 </w:t>
      </w:r>
      <w:proofErr w:type="gramStart"/>
      <w:r w:rsidRPr="00B47A8A">
        <w:t>–  Ensure</w:t>
      </w:r>
      <w:proofErr w:type="gramEnd"/>
      <w:r w:rsidRPr="00B47A8A">
        <w:t xml:space="preserve"> mental health trainees undertake clinical placements and internships across a more representative mix of settings, across the spectrum from prevention, early intervention and acute settings, and metropolitan, rural and remote areas</w:t>
      </w:r>
      <w:r w:rsidR="009017D7">
        <w:t>.</w:t>
      </w:r>
    </w:p>
    <w:p w14:paraId="1A286D3B" w14:textId="376C9927" w:rsidR="00B47A8A" w:rsidRDefault="00943965" w:rsidP="00387682">
      <w:pPr>
        <w:pStyle w:val="Heading1"/>
        <w:ind w:left="1134" w:hanging="1134"/>
      </w:pPr>
      <w:bookmarkStart w:id="25" w:name="_Toc98866274"/>
      <w:r>
        <w:lastRenderedPageBreak/>
        <w:t>5.</w:t>
      </w:r>
      <w:r>
        <w:tab/>
      </w:r>
      <w:r w:rsidR="00B47A8A">
        <w:t>The mental health workforce is supported and retained in the sector</w:t>
      </w:r>
      <w:bookmarkEnd w:id="25"/>
    </w:p>
    <w:p w14:paraId="37E1CC2C" w14:textId="37FDAED2" w:rsidR="002E6040" w:rsidRPr="002831A8" w:rsidRDefault="002E6040" w:rsidP="00751E4C">
      <w:pPr>
        <w:pStyle w:val="BodyText"/>
        <w:spacing w:before="480"/>
        <w:rPr>
          <w:lang w:val="en-US"/>
        </w:rPr>
      </w:pPr>
      <w:r>
        <w:t xml:space="preserve">Objective 5 – </w:t>
      </w:r>
      <w:r w:rsidRPr="00387682">
        <w:rPr>
          <w:color w:val="140034" w:themeColor="background2"/>
        </w:rPr>
        <w:t>The mental health workforce is supported and retained in the sector</w:t>
      </w:r>
      <w:r>
        <w:rPr>
          <w:b/>
          <w:bCs/>
          <w:i/>
          <w:iCs/>
          <w:color w:val="140034" w:themeColor="background2"/>
        </w:rPr>
        <w:t xml:space="preserve"> </w:t>
      </w:r>
      <w:r>
        <w:t xml:space="preserve">– addresses key issues that impact on the attrition of qualified and experienced workers in the mental health sector. </w:t>
      </w:r>
      <w:r>
        <w:rPr>
          <w:lang w:val="en-US"/>
        </w:rPr>
        <w:t xml:space="preserve">This chapter addresses the attractiveness of working in the mental health sector and is closely linked to </w:t>
      </w:r>
      <w:r w:rsidRPr="002831A8">
        <w:rPr>
          <w:lang w:val="en-US"/>
        </w:rPr>
        <w:t xml:space="preserve">Objective 4 Careers in mental health are, and are </w:t>
      </w:r>
      <w:proofErr w:type="spellStart"/>
      <w:r w:rsidRPr="002831A8">
        <w:rPr>
          <w:lang w:val="en-US"/>
        </w:rPr>
        <w:t>recognised</w:t>
      </w:r>
      <w:proofErr w:type="spellEnd"/>
      <w:r w:rsidRPr="002831A8">
        <w:rPr>
          <w:lang w:val="en-US"/>
        </w:rPr>
        <w:t xml:space="preserve"> as, attractive.</w:t>
      </w:r>
    </w:p>
    <w:p w14:paraId="6C6273BF" w14:textId="340FAD16" w:rsidR="002E6040" w:rsidRDefault="002E6040" w:rsidP="002E6040">
      <w:pPr>
        <w:pStyle w:val="BodyText"/>
      </w:pPr>
      <w:r>
        <w:t>There are incomplete data on the retention rates of the mental health workforce which makes it difficult to quantify the scale of the issue for some occupations, and there would be benefit in conducting additional research on attrition. While individuals may leave the workforce for personal reasons, there are consistent workplace issues that drive poor retention across the mental health workforce.</w:t>
      </w:r>
    </w:p>
    <w:p w14:paraId="586FF11E" w14:textId="7CE7A5CF" w:rsidR="00EC48B7" w:rsidRPr="002831A8" w:rsidRDefault="002831A8" w:rsidP="002831A8">
      <w:pPr>
        <w:pStyle w:val="BodyText"/>
        <w:keepNext/>
        <w:keepLines/>
        <w:spacing w:after="120"/>
        <w:ind w:left="1701" w:hanging="1701"/>
      </w:pPr>
      <w:r w:rsidRPr="002831A8">
        <w:rPr>
          <w:rStyle w:val="CaptionLabel"/>
          <w:b w:val="0"/>
          <w:bCs/>
        </w:rPr>
        <w:lastRenderedPageBreak/>
        <w:t>FIGURE 5.</w:t>
      </w:r>
      <w:r w:rsidR="00EC48B7" w:rsidRPr="002831A8">
        <w:rPr>
          <w:rStyle w:val="CaptionLabel"/>
          <w:b w:val="0"/>
          <w:bCs/>
        </w:rPr>
        <w:fldChar w:fldCharType="begin"/>
      </w:r>
      <w:r w:rsidR="00EC48B7" w:rsidRPr="002831A8">
        <w:rPr>
          <w:rStyle w:val="CaptionLabel"/>
          <w:b w:val="0"/>
          <w:bCs/>
        </w:rPr>
        <w:instrText xml:space="preserve"> SEQ Figure \* ARABIC \S 1 \* MERGEFORMAT </w:instrText>
      </w:r>
      <w:r w:rsidR="00EC48B7" w:rsidRPr="002831A8">
        <w:rPr>
          <w:rStyle w:val="CaptionLabel"/>
          <w:b w:val="0"/>
          <w:bCs/>
        </w:rPr>
        <w:fldChar w:fldCharType="separate"/>
      </w:r>
      <w:r w:rsidR="005F0718">
        <w:rPr>
          <w:rStyle w:val="CaptionLabel"/>
          <w:b w:val="0"/>
          <w:bCs/>
          <w:noProof/>
        </w:rPr>
        <w:t>1</w:t>
      </w:r>
      <w:r w:rsidR="00EC48B7" w:rsidRPr="002831A8">
        <w:rPr>
          <w:rStyle w:val="CaptionLabel"/>
          <w:b w:val="0"/>
          <w:bCs/>
        </w:rPr>
        <w:fldChar w:fldCharType="end"/>
      </w:r>
      <w:r w:rsidRPr="002831A8">
        <w:rPr>
          <w:b/>
          <w:bCs/>
        </w:rPr>
        <w:tab/>
      </w:r>
      <w:r w:rsidRPr="002831A8">
        <w:t>OBJECTIVE 5: PRIORITY AREAS AND ACTIONS</w:t>
      </w:r>
    </w:p>
    <w:p w14:paraId="5493A4B2" w14:textId="34F179DA" w:rsidR="00EC48B7" w:rsidRDefault="00EC48B7" w:rsidP="00A168F3">
      <w:pPr>
        <w:pStyle w:val="BodyText"/>
        <w:rPr>
          <w:i/>
          <w:iCs/>
          <w:lang w:val="en-US"/>
        </w:rPr>
      </w:pPr>
      <w:r>
        <w:rPr>
          <w:noProof/>
        </w:rPr>
        <w:drawing>
          <wp:inline distT="0" distB="0" distL="0" distR="0" wp14:anchorId="2EDC722B" wp14:editId="3A0E3449">
            <wp:extent cx="6161913" cy="5657850"/>
            <wp:effectExtent l="0" t="0" r="0" b="0"/>
            <wp:docPr id="108" name="Picture 108" descr="Diagram summarising the four priority areas for action and nine actions under objective 5. These are detailed in the text of the chap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Picture 108" descr="Diagram summarising the four priority areas for action and nine actions under objective 5. These are detailed in the text of the chapter."/>
                    <pic:cNvPicPr>
                      <a:picLocks noChangeAspect="1" noChangeArrowheads="1"/>
                    </pic:cNvPicPr>
                  </pic:nvPicPr>
                  <pic:blipFill rotWithShape="1">
                    <a:blip r:embed="rId59" cstate="print">
                      <a:extLst>
                        <a:ext uri="{28A0092B-C50C-407E-A947-70E740481C1C}">
                          <a14:useLocalDpi xmlns:a14="http://schemas.microsoft.com/office/drawing/2010/main" val="0"/>
                        </a:ext>
                      </a:extLst>
                    </a:blip>
                    <a:srcRect l="2562"/>
                    <a:stretch/>
                  </pic:blipFill>
                  <pic:spPr bwMode="auto">
                    <a:xfrm>
                      <a:off x="0" y="0"/>
                      <a:ext cx="6227000" cy="5717613"/>
                    </a:xfrm>
                    <a:prstGeom prst="rect">
                      <a:avLst/>
                    </a:prstGeom>
                    <a:noFill/>
                    <a:ln>
                      <a:noFill/>
                    </a:ln>
                    <a:extLst>
                      <a:ext uri="{53640926-AAD7-44D8-BBD7-CCE9431645EC}">
                        <a14:shadowObscured xmlns:a14="http://schemas.microsoft.com/office/drawing/2010/main"/>
                      </a:ext>
                    </a:extLst>
                  </pic:spPr>
                </pic:pic>
              </a:graphicData>
            </a:graphic>
          </wp:inline>
        </w:drawing>
      </w:r>
    </w:p>
    <w:p w14:paraId="63C76149" w14:textId="77777777" w:rsidR="002E6040" w:rsidRDefault="002E6040" w:rsidP="002831A8">
      <w:pPr>
        <w:pStyle w:val="Heading2"/>
      </w:pPr>
      <w:bookmarkStart w:id="26" w:name="_Toc98866275"/>
      <w:r>
        <w:t>Insecure employment</w:t>
      </w:r>
      <w:bookmarkEnd w:id="26"/>
    </w:p>
    <w:p w14:paraId="72EC1CC9" w14:textId="77777777" w:rsidR="002E6040" w:rsidRDefault="002E6040" w:rsidP="002E6040">
      <w:pPr>
        <w:pStyle w:val="BodyText"/>
      </w:pPr>
      <w:r>
        <w:t xml:space="preserve">The lack of employment security, often a product of </w:t>
      </w:r>
      <w:proofErr w:type="gramStart"/>
      <w:r>
        <w:t>short term</w:t>
      </w:r>
      <w:proofErr w:type="gramEnd"/>
      <w:r>
        <w:t xml:space="preserve"> funding contracts that are prevalent in the community mental health sector, impacts on both the attraction and retention of workers. Those who have the option of working in sectors where employment is more secure may choose to do so, reducing the availability of mental health support and treatment. There is a need to transition to longer term employment arrangements, and permanent positions where possible, to retain experienced workers.</w:t>
      </w:r>
    </w:p>
    <w:p w14:paraId="6719411B" w14:textId="77777777" w:rsidR="002E6040" w:rsidRDefault="002E6040" w:rsidP="002831A8">
      <w:pPr>
        <w:pStyle w:val="Heading2"/>
      </w:pPr>
      <w:bookmarkStart w:id="27" w:name="_Toc98866276"/>
      <w:r>
        <w:lastRenderedPageBreak/>
        <w:t>Workplace arrangements</w:t>
      </w:r>
      <w:bookmarkEnd w:id="27"/>
    </w:p>
    <w:p w14:paraId="4EE38CD6" w14:textId="77777777" w:rsidR="002E6040" w:rsidRDefault="002E6040" w:rsidP="002E6040">
      <w:pPr>
        <w:pStyle w:val="BodyText"/>
      </w:pPr>
      <w:r>
        <w:t xml:space="preserve">Workplace arrangements including supervision arrangements (addressed separately) differ significantly across occupations, </w:t>
      </w:r>
      <w:proofErr w:type="gramStart"/>
      <w:r>
        <w:t>employers</w:t>
      </w:r>
      <w:proofErr w:type="gramEnd"/>
      <w:r>
        <w:t xml:space="preserve"> and service settings. Access to supervision (addressed below), continuing professional development (CPD) can be limited due to current service delivery contracts which do not include funding for CPD or backfill. Exposure to successful outcomes for consumers, carers and their families plays an important role in workforce retention but varies across settings. </w:t>
      </w:r>
    </w:p>
    <w:p w14:paraId="0A9EDA64" w14:textId="77777777" w:rsidR="002E6040" w:rsidRDefault="002E6040" w:rsidP="002E6040">
      <w:pPr>
        <w:pStyle w:val="BodyText"/>
      </w:pPr>
      <w:r>
        <w:t>Remuneration levels, relativities within and between occupations and across service settings influence staff retention and cause concern to many working in mental health. The Strategy stresses the importance of these issues and encourages all governments to be mindful of how progress may be made, noting that addressing these matters is beyond the scope of this Strategy.</w:t>
      </w:r>
    </w:p>
    <w:p w14:paraId="0B2CF058" w14:textId="77777777" w:rsidR="002E6040" w:rsidRDefault="002E6040" w:rsidP="002831A8">
      <w:pPr>
        <w:pStyle w:val="Heading2"/>
      </w:pPr>
      <w:bookmarkStart w:id="28" w:name="_Toc98866277"/>
      <w:r>
        <w:t>Supervision</w:t>
      </w:r>
      <w:bookmarkEnd w:id="28"/>
    </w:p>
    <w:p w14:paraId="560D146B" w14:textId="77777777" w:rsidR="002E6040" w:rsidRDefault="002E6040" w:rsidP="002E6040">
      <w:pPr>
        <w:pStyle w:val="ListBullet"/>
        <w:numPr>
          <w:ilvl w:val="0"/>
          <w:numId w:val="0"/>
        </w:numPr>
      </w:pPr>
      <w:r>
        <w:t xml:space="preserve">Where there is a lack of access to quality supervision, employee satisfaction and willingness to stay within the mental health sector are negatively impacted. There is a close relationship between having appropriate, high quality professional supervision from experienced professionals and retention. Addressing issues related to supervision will require collaboration across governments, peak bodies, </w:t>
      </w:r>
      <w:proofErr w:type="gramStart"/>
      <w:r>
        <w:t>employers</w:t>
      </w:r>
      <w:proofErr w:type="gramEnd"/>
      <w:r>
        <w:t xml:space="preserve"> and colleges.</w:t>
      </w:r>
    </w:p>
    <w:p w14:paraId="4ED52C67" w14:textId="77777777" w:rsidR="002E6040" w:rsidRDefault="002E6040" w:rsidP="002831A8">
      <w:pPr>
        <w:pStyle w:val="Heading2"/>
      </w:pPr>
      <w:bookmarkStart w:id="29" w:name="_Toc98866278"/>
      <w:r>
        <w:t>Safety and wellbeing</w:t>
      </w:r>
      <w:bookmarkEnd w:id="29"/>
    </w:p>
    <w:p w14:paraId="63155BF5" w14:textId="77777777" w:rsidR="002E6040" w:rsidRDefault="002E6040" w:rsidP="002E6040">
      <w:pPr>
        <w:pStyle w:val="BodyText"/>
      </w:pPr>
      <w:r>
        <w:t>Workplace health, safety and wellbeing is integral to retaining workers in the mental health sector. There is a need to recognise that working in the sector can involve challenges that mean employers need to take additional action to support their workforces.</w:t>
      </w:r>
    </w:p>
    <w:p w14:paraId="4575BF76" w14:textId="77777777" w:rsidR="002E6040" w:rsidRDefault="002E6040" w:rsidP="002E6040">
      <w:pPr>
        <w:pStyle w:val="BodyText"/>
      </w:pPr>
      <w:r>
        <w:t xml:space="preserve">There is a need for appropriate investment in both workforce size and quality of infrastructure to facilitate appropriate support and treatment. These issues are not experienced universally across service settings, nor are they unique to the mental health sector, but do need to be addressed to improve retention. High levels of fatigue and burnout can result from workload levels and the stress of workplace violence, </w:t>
      </w:r>
      <w:proofErr w:type="gramStart"/>
      <w:r>
        <w:t>abuse</w:t>
      </w:r>
      <w:proofErr w:type="gramEnd"/>
      <w:r>
        <w:t xml:space="preserve"> and aggression. Unsuitable physical infrastructure can limit the quality of support and treatment that can be provided, particularly in rural communities. </w:t>
      </w:r>
    </w:p>
    <w:p w14:paraId="513EFC90" w14:textId="77777777" w:rsidR="002E6040" w:rsidRDefault="002E6040" w:rsidP="00AE6EE0">
      <w:pPr>
        <w:pStyle w:val="Heading2"/>
      </w:pPr>
      <w:bookmarkStart w:id="30" w:name="_Toc98866279"/>
      <w:r>
        <w:lastRenderedPageBreak/>
        <w:t>Limited opportunities for progression</w:t>
      </w:r>
      <w:bookmarkEnd w:id="30"/>
    </w:p>
    <w:p w14:paraId="786C1353" w14:textId="77777777" w:rsidR="002E6040" w:rsidRPr="008B1FB3" w:rsidRDefault="002E6040" w:rsidP="00AE6EE0">
      <w:pPr>
        <w:pStyle w:val="BodyText"/>
        <w:keepNext/>
        <w:keepLines/>
      </w:pPr>
      <w:r>
        <w:t xml:space="preserve">Workforce retention within any sector is dependent, in part, on the availability of opportunities for workers to grow, progress and advance their careers. Progression can include clinical, policy and program, </w:t>
      </w:r>
      <w:proofErr w:type="gramStart"/>
      <w:r>
        <w:t>management</w:t>
      </w:r>
      <w:proofErr w:type="gramEnd"/>
      <w:r>
        <w:t xml:space="preserve"> and research roles. The lack of attractive and transparent career paths in mental health is more acute for some occupations and in some settings, which can impact on career satisfaction and retentions.</w:t>
      </w:r>
    </w:p>
    <w:p w14:paraId="652E5062" w14:textId="77777777" w:rsidR="002E6040" w:rsidRDefault="002E6040" w:rsidP="00AE6EE0">
      <w:pPr>
        <w:pStyle w:val="Heading2"/>
      </w:pPr>
      <w:bookmarkStart w:id="31" w:name="_Toc98866280"/>
      <w:r>
        <w:t>Priority areas and actions</w:t>
      </w:r>
      <w:bookmarkEnd w:id="31"/>
    </w:p>
    <w:p w14:paraId="1E8D3ACC" w14:textId="5280602D" w:rsidR="001F1E7C" w:rsidRPr="001F1E7C" w:rsidRDefault="001F1E7C" w:rsidP="00AE6EE0">
      <w:pPr>
        <w:pStyle w:val="BodyText"/>
      </w:pPr>
      <w:r w:rsidRPr="001F1E7C">
        <w:t xml:space="preserve">PRIORITY AREA 5.1 </w:t>
      </w:r>
      <w:proofErr w:type="gramStart"/>
      <w:r w:rsidRPr="001F1E7C">
        <w:t xml:space="preserve">– </w:t>
      </w:r>
      <w:r w:rsidR="005A2AC1">
        <w:t xml:space="preserve"> </w:t>
      </w:r>
      <w:r w:rsidRPr="001F1E7C">
        <w:t>Promote</w:t>
      </w:r>
      <w:proofErr w:type="gramEnd"/>
      <w:r w:rsidRPr="001F1E7C">
        <w:t xml:space="preserve"> funding reform to provide more secure, appropriate employment and workplace arrangements</w:t>
      </w:r>
      <w:r w:rsidR="00AE6EE0">
        <w:t>:</w:t>
      </w:r>
      <w:r w:rsidRPr="001F1E7C">
        <w:t xml:space="preserve"> </w:t>
      </w:r>
    </w:p>
    <w:p w14:paraId="7034DFFA" w14:textId="49BAFDFE" w:rsidR="001F1E7C" w:rsidRDefault="001F1E7C" w:rsidP="00AE6EE0">
      <w:pPr>
        <w:pStyle w:val="ListBullet"/>
      </w:pPr>
      <w:r w:rsidRPr="00AE6EE0">
        <w:t>Action 5.1.1</w:t>
      </w:r>
      <w:r>
        <w:t xml:space="preserve"> </w:t>
      </w:r>
      <w:proofErr w:type="gramStart"/>
      <w:r>
        <w:t xml:space="preserve">– </w:t>
      </w:r>
      <w:r w:rsidR="005A2AC1">
        <w:t xml:space="preserve"> </w:t>
      </w:r>
      <w:r>
        <w:t>Develop</w:t>
      </w:r>
      <w:proofErr w:type="gramEnd"/>
      <w:r>
        <w:t xml:space="preserve"> longer minimum service contract lengths for commissioned mental health services, including in rural and remote areas</w:t>
      </w:r>
    </w:p>
    <w:p w14:paraId="79FA0EF7" w14:textId="2A6A2C22" w:rsidR="001F1E7C" w:rsidRDefault="001F1E7C" w:rsidP="00AE6EE0">
      <w:pPr>
        <w:pStyle w:val="ListBullet"/>
      </w:pPr>
      <w:r>
        <w:t>Action 5.1.2 – Review workplace arrangements across the mental health sector, including by occupation, setting and specialisation, to ensure they align with contemporary scopes of practice and are sufficient to attract the required workforce</w:t>
      </w:r>
      <w:r w:rsidR="00AE6EE0">
        <w:t>.</w:t>
      </w:r>
    </w:p>
    <w:p w14:paraId="6E95A46F" w14:textId="1E3E00E6" w:rsidR="001F1E7C" w:rsidRPr="001F1E7C" w:rsidRDefault="001F1E7C" w:rsidP="00AE6EE0">
      <w:pPr>
        <w:pStyle w:val="BodyText"/>
      </w:pPr>
      <w:r w:rsidRPr="001F1E7C">
        <w:t xml:space="preserve">PRIORITY AREA 5.2 </w:t>
      </w:r>
      <w:proofErr w:type="gramStart"/>
      <w:r w:rsidRPr="001F1E7C">
        <w:t xml:space="preserve">– </w:t>
      </w:r>
      <w:r w:rsidR="003044D5">
        <w:t xml:space="preserve"> </w:t>
      </w:r>
      <w:r w:rsidRPr="001F1E7C">
        <w:t>Increase</w:t>
      </w:r>
      <w:proofErr w:type="gramEnd"/>
      <w:r w:rsidRPr="001F1E7C">
        <w:t xml:space="preserve"> access to appropriate supervision for all mental health workers</w:t>
      </w:r>
      <w:r w:rsidR="00AE6EE0">
        <w:t>:</w:t>
      </w:r>
    </w:p>
    <w:p w14:paraId="021006FD" w14:textId="60EE7F47" w:rsidR="001F1E7C" w:rsidRPr="00AE6EE0" w:rsidRDefault="001F1E7C" w:rsidP="00AE6EE0">
      <w:pPr>
        <w:pStyle w:val="ListBullet"/>
      </w:pPr>
      <w:r w:rsidRPr="00AE6EE0">
        <w:t xml:space="preserve">Action 5.2.1 </w:t>
      </w:r>
      <w:proofErr w:type="gramStart"/>
      <w:r w:rsidRPr="00AE6EE0">
        <w:t xml:space="preserve">– </w:t>
      </w:r>
      <w:r w:rsidR="003044D5" w:rsidRPr="00AE6EE0">
        <w:t xml:space="preserve"> </w:t>
      </w:r>
      <w:r w:rsidRPr="00AE6EE0">
        <w:t>Specify</w:t>
      </w:r>
      <w:proofErr w:type="gramEnd"/>
      <w:r w:rsidRPr="00AE6EE0">
        <w:t xml:space="preserve"> supervision and support requirements for those in the mental health workforce</w:t>
      </w:r>
    </w:p>
    <w:p w14:paraId="6A73C1CC" w14:textId="1DFE6AC2" w:rsidR="001F1E7C" w:rsidRPr="00AE6EE0" w:rsidRDefault="001F1E7C" w:rsidP="00AE6EE0">
      <w:pPr>
        <w:pStyle w:val="ListBullet"/>
      </w:pPr>
      <w:r w:rsidRPr="00AE6EE0">
        <w:t xml:space="preserve">Action 5.2.2 </w:t>
      </w:r>
      <w:proofErr w:type="gramStart"/>
      <w:r w:rsidRPr="00AE6EE0">
        <w:t xml:space="preserve">– </w:t>
      </w:r>
      <w:r w:rsidR="003044D5" w:rsidRPr="00AE6EE0">
        <w:t xml:space="preserve"> </w:t>
      </w:r>
      <w:r w:rsidRPr="00AE6EE0">
        <w:t>Review</w:t>
      </w:r>
      <w:proofErr w:type="gramEnd"/>
      <w:r w:rsidRPr="00AE6EE0">
        <w:t xml:space="preserve"> guidelines for supervision to reduce structural barriers generated through a lack of access to face to face arrangements, particularly for rural and remote workers</w:t>
      </w:r>
    </w:p>
    <w:p w14:paraId="76103A3F" w14:textId="462BED5E" w:rsidR="001F1E7C" w:rsidRDefault="001F1E7C" w:rsidP="00AE6EE0">
      <w:pPr>
        <w:pStyle w:val="ListBullet"/>
      </w:pPr>
      <w:r w:rsidRPr="00AE6EE0">
        <w:t xml:space="preserve">Action 5.2.3 </w:t>
      </w:r>
      <w:proofErr w:type="gramStart"/>
      <w:r w:rsidRPr="00AE6EE0">
        <w:t xml:space="preserve">– </w:t>
      </w:r>
      <w:r w:rsidR="003044D5" w:rsidRPr="00AE6EE0">
        <w:t xml:space="preserve"> </w:t>
      </w:r>
      <w:r w:rsidRPr="00AE6EE0">
        <w:t>Explore</w:t>
      </w:r>
      <w:proofErr w:type="gramEnd"/>
      <w:r w:rsidRPr="00AE6EE0">
        <w:t xml:space="preserve"> opportunities to use funding levers to ensure that community, public and private mental health service providers have appropriate standards for supervision in</w:t>
      </w:r>
      <w:r>
        <w:t xml:space="preserve"> place</w:t>
      </w:r>
      <w:r w:rsidR="00AE6EE0">
        <w:t>.</w:t>
      </w:r>
    </w:p>
    <w:p w14:paraId="23644486" w14:textId="4BB5318C" w:rsidR="001F1E7C" w:rsidRPr="001F1E7C" w:rsidRDefault="001F1E7C" w:rsidP="00AE6EE0">
      <w:pPr>
        <w:pStyle w:val="BodyText"/>
      </w:pPr>
      <w:r w:rsidRPr="001F1E7C">
        <w:t xml:space="preserve">PRIORITY AREA 5.3 </w:t>
      </w:r>
      <w:proofErr w:type="gramStart"/>
      <w:r w:rsidRPr="001F1E7C">
        <w:t xml:space="preserve">– </w:t>
      </w:r>
      <w:r w:rsidR="003044D5">
        <w:t xml:space="preserve"> </w:t>
      </w:r>
      <w:r w:rsidRPr="001F1E7C">
        <w:t>Improve</w:t>
      </w:r>
      <w:proofErr w:type="gramEnd"/>
      <w:r w:rsidRPr="001F1E7C">
        <w:t xml:space="preserve"> workplace health, safety and wellbeing</w:t>
      </w:r>
      <w:r w:rsidR="00AE6EE0">
        <w:t>:</w:t>
      </w:r>
    </w:p>
    <w:p w14:paraId="61144B21" w14:textId="59CE4F5F" w:rsidR="001F1E7C" w:rsidRPr="00AE6EE0" w:rsidRDefault="001F1E7C" w:rsidP="00AE6EE0">
      <w:pPr>
        <w:pStyle w:val="ListBullet"/>
      </w:pPr>
      <w:r w:rsidRPr="00AE6EE0">
        <w:t xml:space="preserve">Action 5.3.1 </w:t>
      </w:r>
      <w:proofErr w:type="gramStart"/>
      <w:r w:rsidRPr="00AE6EE0">
        <w:t xml:space="preserve">– </w:t>
      </w:r>
      <w:r w:rsidR="003044D5" w:rsidRPr="00AE6EE0">
        <w:t xml:space="preserve"> </w:t>
      </w:r>
      <w:r w:rsidRPr="00AE6EE0">
        <w:t>Invest</w:t>
      </w:r>
      <w:proofErr w:type="gramEnd"/>
      <w:r w:rsidRPr="00AE6EE0">
        <w:t xml:space="preserve"> in initiatives to safeguard the mental wellbeing of the mental health workforce</w:t>
      </w:r>
    </w:p>
    <w:p w14:paraId="42B94326" w14:textId="083F20CC" w:rsidR="001F1E7C" w:rsidRPr="00AE6EE0" w:rsidRDefault="001F1E7C" w:rsidP="00AE6EE0">
      <w:pPr>
        <w:pStyle w:val="ListBullet"/>
      </w:pPr>
      <w:r w:rsidRPr="00AE6EE0">
        <w:t xml:space="preserve">Action 5.3.2 </w:t>
      </w:r>
      <w:proofErr w:type="gramStart"/>
      <w:r w:rsidRPr="00AE6EE0">
        <w:t xml:space="preserve">– </w:t>
      </w:r>
      <w:r w:rsidR="003044D5" w:rsidRPr="00AE6EE0">
        <w:t xml:space="preserve"> </w:t>
      </w:r>
      <w:r w:rsidRPr="00AE6EE0">
        <w:t>Invest</w:t>
      </w:r>
      <w:proofErr w:type="gramEnd"/>
      <w:r w:rsidRPr="00AE6EE0">
        <w:t xml:space="preserve"> in infrastructure to ensure mental health support and treatment is provided in suitable environments</w:t>
      </w:r>
    </w:p>
    <w:p w14:paraId="55A7C5AF" w14:textId="50DC9466" w:rsidR="001F1E7C" w:rsidRPr="00AE6EE0" w:rsidRDefault="001F1E7C" w:rsidP="00AE6EE0">
      <w:pPr>
        <w:pStyle w:val="ListBullet"/>
      </w:pPr>
      <w:r w:rsidRPr="00AE6EE0">
        <w:t xml:space="preserve">Action 5.3.3 </w:t>
      </w:r>
      <w:proofErr w:type="gramStart"/>
      <w:r w:rsidRPr="00AE6EE0">
        <w:t xml:space="preserve">– </w:t>
      </w:r>
      <w:r w:rsidR="003044D5" w:rsidRPr="00AE6EE0">
        <w:t xml:space="preserve"> </w:t>
      </w:r>
      <w:r w:rsidRPr="00AE6EE0">
        <w:t>Require</w:t>
      </w:r>
      <w:proofErr w:type="gramEnd"/>
      <w:r w:rsidRPr="00AE6EE0">
        <w:t xml:space="preserve"> that service providers support staff access to continuing professional development throughout their careers</w:t>
      </w:r>
      <w:r w:rsidR="00AE6EE0">
        <w:t>.</w:t>
      </w:r>
      <w:r w:rsidRPr="00AE6EE0">
        <w:t xml:space="preserve"> </w:t>
      </w:r>
    </w:p>
    <w:p w14:paraId="60AE16E4" w14:textId="4DF8A478" w:rsidR="001F1E7C" w:rsidRPr="005A2AC1" w:rsidRDefault="001F1E7C" w:rsidP="00A168F3">
      <w:pPr>
        <w:pStyle w:val="BodyText"/>
        <w:keepNext/>
        <w:keepLines/>
      </w:pPr>
      <w:r w:rsidRPr="005A2AC1">
        <w:lastRenderedPageBreak/>
        <w:t xml:space="preserve">PRIORITY AREA 5.4 </w:t>
      </w:r>
      <w:proofErr w:type="gramStart"/>
      <w:r w:rsidRPr="005A2AC1">
        <w:t xml:space="preserve">– </w:t>
      </w:r>
      <w:r w:rsidR="003044D5">
        <w:t xml:space="preserve"> </w:t>
      </w:r>
      <w:r w:rsidRPr="005A2AC1">
        <w:t>Improve</w:t>
      </w:r>
      <w:proofErr w:type="gramEnd"/>
      <w:r w:rsidRPr="005A2AC1">
        <w:t xml:space="preserve"> career paths within the mental health sector</w:t>
      </w:r>
      <w:r w:rsidR="00A168F3">
        <w:t>:</w:t>
      </w:r>
      <w:r w:rsidRPr="005A2AC1">
        <w:t xml:space="preserve"> </w:t>
      </w:r>
    </w:p>
    <w:p w14:paraId="04EE6DA2" w14:textId="324D7324" w:rsidR="00740CEC" w:rsidRDefault="001F1E7C" w:rsidP="00A168F3">
      <w:pPr>
        <w:pStyle w:val="ListBullet"/>
        <w:keepNext/>
        <w:keepLines/>
        <w:sectPr w:rsidR="00740CEC" w:rsidSect="00A168F3">
          <w:headerReference w:type="even" r:id="rId60"/>
          <w:footerReference w:type="even" r:id="rId61"/>
          <w:headerReference w:type="first" r:id="rId62"/>
          <w:footerReference w:type="first" r:id="rId63"/>
          <w:pgSz w:w="11906" w:h="16838" w:code="9"/>
          <w:pgMar w:top="1418" w:right="851" w:bottom="1134" w:left="1134" w:header="454" w:footer="159" w:gutter="0"/>
          <w:cols w:space="708"/>
          <w:docGrid w:linePitch="360"/>
        </w:sectPr>
      </w:pPr>
      <w:r w:rsidRPr="00A168F3">
        <w:t>Action 5.4.1</w:t>
      </w:r>
      <w:r>
        <w:t xml:space="preserve"> </w:t>
      </w:r>
      <w:proofErr w:type="gramStart"/>
      <w:r>
        <w:t>–</w:t>
      </w:r>
      <w:r w:rsidR="003044D5">
        <w:t xml:space="preserve">  </w:t>
      </w:r>
      <w:r>
        <w:t>Develop</w:t>
      </w:r>
      <w:proofErr w:type="gramEnd"/>
      <w:r>
        <w:t xml:space="preserve"> and implement mental health career pathways within and between mental health and health service settings.</w:t>
      </w:r>
    </w:p>
    <w:p w14:paraId="30518037" w14:textId="0401F24B" w:rsidR="00A168F3" w:rsidRPr="00187731" w:rsidRDefault="00187731" w:rsidP="00187731">
      <w:pPr>
        <w:pStyle w:val="Heading1"/>
        <w:ind w:left="992" w:hanging="992"/>
        <w:rPr>
          <w:szCs w:val="56"/>
          <w:lang w:val="en-US"/>
        </w:rPr>
      </w:pPr>
      <w:bookmarkStart w:id="32" w:name="_Toc98866281"/>
      <w:r w:rsidRPr="00187731">
        <w:rPr>
          <w:szCs w:val="56"/>
          <w:lang w:val="en-US"/>
        </w:rPr>
        <w:lastRenderedPageBreak/>
        <w:t>6.</w:t>
      </w:r>
      <w:r w:rsidRPr="00187731">
        <w:rPr>
          <w:szCs w:val="56"/>
          <w:lang w:val="en-US"/>
        </w:rPr>
        <w:tab/>
      </w:r>
      <w:r w:rsidR="00A168F3" w:rsidRPr="00187731">
        <w:rPr>
          <w:szCs w:val="56"/>
          <w:lang w:val="en-US"/>
        </w:rPr>
        <w:t xml:space="preserve">The mental health workforce is distributed and resourced to deliver mental health promotion, </w:t>
      </w:r>
      <w:proofErr w:type="gramStart"/>
      <w:r w:rsidR="00A168F3" w:rsidRPr="00187731">
        <w:rPr>
          <w:szCs w:val="56"/>
          <w:lang w:val="en-US"/>
        </w:rPr>
        <w:t>support</w:t>
      </w:r>
      <w:proofErr w:type="gramEnd"/>
      <w:r w:rsidR="00A168F3" w:rsidRPr="00187731">
        <w:rPr>
          <w:szCs w:val="56"/>
          <w:lang w:val="en-US"/>
        </w:rPr>
        <w:t xml:space="preserve"> and treatment when and where consumers need it across</w:t>
      </w:r>
      <w:bookmarkEnd w:id="32"/>
      <w:r w:rsidR="006543FA">
        <w:rPr>
          <w:szCs w:val="56"/>
          <w:lang w:val="en-US"/>
        </w:rPr>
        <w:t xml:space="preserve"> </w:t>
      </w:r>
      <w:r w:rsidR="005F0718">
        <w:rPr>
          <w:szCs w:val="56"/>
          <w:lang w:val="en-US"/>
        </w:rPr>
        <w:t>their life course</w:t>
      </w:r>
    </w:p>
    <w:p w14:paraId="78481F15" w14:textId="7FEFDF2B" w:rsidR="00B441BC" w:rsidRDefault="00B441BC" w:rsidP="00B441BC">
      <w:pPr>
        <w:pStyle w:val="BodyText"/>
        <w:rPr>
          <w:lang w:val="en-US"/>
        </w:rPr>
      </w:pPr>
      <w:r>
        <w:rPr>
          <w:lang w:val="en-US"/>
        </w:rPr>
        <w:t xml:space="preserve">Objective 6 – </w:t>
      </w:r>
      <w:r w:rsidRPr="00187731">
        <w:rPr>
          <w:color w:val="140034" w:themeColor="background2"/>
          <w:lang w:val="en-US"/>
        </w:rPr>
        <w:t xml:space="preserve">The mental health workforce is distributed and resourced to deliver mental health promotion, </w:t>
      </w:r>
      <w:proofErr w:type="gramStart"/>
      <w:r w:rsidRPr="00187731">
        <w:rPr>
          <w:color w:val="140034" w:themeColor="background2"/>
          <w:lang w:val="en-US"/>
        </w:rPr>
        <w:t>support</w:t>
      </w:r>
      <w:proofErr w:type="gramEnd"/>
      <w:r w:rsidRPr="00187731">
        <w:rPr>
          <w:color w:val="140034" w:themeColor="background2"/>
          <w:lang w:val="en-US"/>
        </w:rPr>
        <w:t xml:space="preserve"> and treatment when and where consumers need it across their life-course</w:t>
      </w:r>
      <w:r>
        <w:rPr>
          <w:b/>
          <w:bCs/>
          <w:i/>
          <w:iCs/>
          <w:color w:val="140034" w:themeColor="background2"/>
          <w:lang w:val="en-US"/>
        </w:rPr>
        <w:t xml:space="preserve"> </w:t>
      </w:r>
      <w:r>
        <w:rPr>
          <w:lang w:val="en-US"/>
        </w:rPr>
        <w:t xml:space="preserve">– involves addressing a number of key challenges. </w:t>
      </w:r>
    </w:p>
    <w:p w14:paraId="3C6E5FC5" w14:textId="53866C12" w:rsidR="00AF788D" w:rsidRDefault="00187731" w:rsidP="00187731">
      <w:pPr>
        <w:pStyle w:val="BodyText"/>
        <w:keepNext/>
        <w:keepLines/>
      </w:pPr>
      <w:r w:rsidRPr="00187731">
        <w:rPr>
          <w:rStyle w:val="CaptionLabel"/>
          <w:b w:val="0"/>
          <w:bCs/>
        </w:rPr>
        <w:lastRenderedPageBreak/>
        <w:t>FIGURE </w:t>
      </w:r>
      <w:r w:rsidR="000F329B">
        <w:rPr>
          <w:rStyle w:val="CaptionLabel"/>
          <w:b w:val="0"/>
          <w:bCs/>
        </w:rPr>
        <w:t>6</w:t>
      </w:r>
      <w:r w:rsidRPr="00187731">
        <w:rPr>
          <w:rStyle w:val="CaptionLabel"/>
          <w:b w:val="0"/>
          <w:bCs/>
        </w:rPr>
        <w:t>.</w:t>
      </w:r>
      <w:r w:rsidR="00AF788D" w:rsidRPr="00187731">
        <w:rPr>
          <w:rStyle w:val="CaptionLabel"/>
          <w:b w:val="0"/>
          <w:bCs/>
        </w:rPr>
        <w:fldChar w:fldCharType="begin"/>
      </w:r>
      <w:r w:rsidR="00AF788D" w:rsidRPr="00187731">
        <w:rPr>
          <w:rStyle w:val="CaptionLabel"/>
          <w:b w:val="0"/>
          <w:bCs/>
        </w:rPr>
        <w:instrText xml:space="preserve"> SEQ Figure \* ARABIC \S 1 \* MERGEFORMAT </w:instrText>
      </w:r>
      <w:r w:rsidR="00AF788D" w:rsidRPr="00187731">
        <w:rPr>
          <w:rStyle w:val="CaptionLabel"/>
          <w:b w:val="0"/>
          <w:bCs/>
        </w:rPr>
        <w:fldChar w:fldCharType="separate"/>
      </w:r>
      <w:r w:rsidR="005F0718">
        <w:rPr>
          <w:rStyle w:val="CaptionLabel"/>
          <w:b w:val="0"/>
          <w:bCs/>
          <w:noProof/>
        </w:rPr>
        <w:t>1</w:t>
      </w:r>
      <w:r w:rsidR="00AF788D" w:rsidRPr="00187731">
        <w:rPr>
          <w:rStyle w:val="CaptionLabel"/>
          <w:b w:val="0"/>
          <w:bCs/>
        </w:rPr>
        <w:fldChar w:fldCharType="end"/>
      </w:r>
      <w:r>
        <w:tab/>
        <w:t>OBJECTIVE 6: PRIORITY AREAS AND ACTIONS</w:t>
      </w:r>
    </w:p>
    <w:p w14:paraId="2748A0C8" w14:textId="2800536F" w:rsidR="00AF788D" w:rsidRDefault="00AF788D" w:rsidP="00B441BC">
      <w:pPr>
        <w:pStyle w:val="BodyText"/>
        <w:rPr>
          <w:lang w:val="en-US"/>
        </w:rPr>
      </w:pPr>
      <w:r>
        <w:rPr>
          <w:noProof/>
        </w:rPr>
        <w:drawing>
          <wp:inline distT="0" distB="0" distL="0" distR="0" wp14:anchorId="2F8DA3EA" wp14:editId="79EB8040">
            <wp:extent cx="6035040" cy="5894705"/>
            <wp:effectExtent l="0" t="0" r="3810" b="0"/>
            <wp:docPr id="44" name="Picture 44" descr="Diagram summarising the three priority areas for action and ten actions under objective 6. These are detailed in the text of the chapt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descr="Diagram summarising the three priority areas for action and ten actions under objective 6. These are detailed in the text of the chapter. "/>
                    <pic:cNvPicPr>
                      <a:picLocks noChangeAspect="1" noChangeArrowheads="1"/>
                    </pic:cNvPicPr>
                  </pic:nvPicPr>
                  <pic:blipFill rotWithShape="1">
                    <a:blip r:embed="rId64" cstate="print">
                      <a:extLst>
                        <a:ext uri="{28A0092B-C50C-407E-A947-70E740481C1C}">
                          <a14:useLocalDpi xmlns:a14="http://schemas.microsoft.com/office/drawing/2010/main" val="0"/>
                        </a:ext>
                      </a:extLst>
                    </a:blip>
                    <a:srcRect l="2243"/>
                    <a:stretch/>
                  </pic:blipFill>
                  <pic:spPr bwMode="auto">
                    <a:xfrm>
                      <a:off x="0" y="0"/>
                      <a:ext cx="6096294" cy="5954535"/>
                    </a:xfrm>
                    <a:prstGeom prst="rect">
                      <a:avLst/>
                    </a:prstGeom>
                    <a:noFill/>
                    <a:ln>
                      <a:noFill/>
                    </a:ln>
                    <a:extLst>
                      <a:ext uri="{53640926-AAD7-44D8-BBD7-CCE9431645EC}">
                        <a14:shadowObscured xmlns:a14="http://schemas.microsoft.com/office/drawing/2010/main"/>
                      </a:ext>
                    </a:extLst>
                  </pic:spPr>
                </pic:pic>
              </a:graphicData>
            </a:graphic>
          </wp:inline>
        </w:drawing>
      </w:r>
    </w:p>
    <w:p w14:paraId="725B3D36" w14:textId="77777777" w:rsidR="00B441BC" w:rsidRDefault="00B441BC" w:rsidP="00187731">
      <w:pPr>
        <w:pStyle w:val="Heading2"/>
      </w:pPr>
      <w:bookmarkStart w:id="33" w:name="_Toc98866282"/>
      <w:r>
        <w:t>Improving the voice of consumers and carers</w:t>
      </w:r>
      <w:bookmarkEnd w:id="33"/>
    </w:p>
    <w:p w14:paraId="31484564" w14:textId="77777777" w:rsidR="00B441BC" w:rsidRDefault="00B441BC" w:rsidP="00B441BC">
      <w:pPr>
        <w:pStyle w:val="BodyText"/>
      </w:pPr>
      <w:r>
        <w:t>The extent to which n</w:t>
      </w:r>
      <w:r w:rsidRPr="008C17D4">
        <w:t>ational</w:t>
      </w:r>
      <w:r>
        <w:t xml:space="preserve"> </w:t>
      </w:r>
      <w:r w:rsidRPr="008C17D4">
        <w:t>planning</w:t>
      </w:r>
      <w:r>
        <w:t xml:space="preserve"> </w:t>
      </w:r>
      <w:r w:rsidRPr="008C17D4">
        <w:t>processes</w:t>
      </w:r>
      <w:r>
        <w:t xml:space="preserve"> are </w:t>
      </w:r>
      <w:r w:rsidRPr="008C17D4">
        <w:t>linked</w:t>
      </w:r>
      <w:r>
        <w:t xml:space="preserve"> </w:t>
      </w:r>
      <w:r w:rsidRPr="008C17D4">
        <w:t>to</w:t>
      </w:r>
      <w:r>
        <w:t xml:space="preserve"> </w:t>
      </w:r>
      <w:r w:rsidRPr="008C17D4">
        <w:t>local</w:t>
      </w:r>
      <w:r>
        <w:t xml:space="preserve"> </w:t>
      </w:r>
      <w:r w:rsidRPr="008C17D4">
        <w:t>planning</w:t>
      </w:r>
      <w:r>
        <w:t xml:space="preserve"> is limited. There is a recognised need for </w:t>
      </w:r>
      <w:proofErr w:type="gramStart"/>
      <w:r>
        <w:t>locally-led</w:t>
      </w:r>
      <w:proofErr w:type="gramEnd"/>
      <w:r>
        <w:t xml:space="preserve"> processes that prioritise the perspective of consumers and carers, contributing understanding of local issues, </w:t>
      </w:r>
      <w:r w:rsidRPr="008C17D4">
        <w:t>to</w:t>
      </w:r>
      <w:r>
        <w:t xml:space="preserve"> </w:t>
      </w:r>
      <w:r w:rsidRPr="008C17D4">
        <w:t>ensure</w:t>
      </w:r>
      <w:r>
        <w:t xml:space="preserve"> </w:t>
      </w:r>
      <w:r w:rsidRPr="008C17D4">
        <w:t>all</w:t>
      </w:r>
      <w:r>
        <w:t xml:space="preserve"> needs </w:t>
      </w:r>
      <w:r w:rsidRPr="008C17D4">
        <w:t>are</w:t>
      </w:r>
      <w:r>
        <w:t xml:space="preserve"> </w:t>
      </w:r>
      <w:r w:rsidRPr="008C17D4">
        <w:t>identified</w:t>
      </w:r>
      <w:r>
        <w:t xml:space="preserve"> </w:t>
      </w:r>
      <w:r w:rsidRPr="008C17D4">
        <w:t>and</w:t>
      </w:r>
      <w:r>
        <w:t xml:space="preserve"> </w:t>
      </w:r>
      <w:r w:rsidRPr="008C17D4">
        <w:t>suitable</w:t>
      </w:r>
      <w:r>
        <w:t xml:space="preserve"> </w:t>
      </w:r>
      <w:r w:rsidRPr="008C17D4">
        <w:t>strategies.</w:t>
      </w:r>
      <w:r>
        <w:t xml:space="preserve"> There requires a shared understanding of training pipelines, workforce needs and supports across system stakeholders to support both ground-up and top-down planning approaches. </w:t>
      </w:r>
    </w:p>
    <w:p w14:paraId="3C9AE213" w14:textId="77777777" w:rsidR="00B441BC" w:rsidRDefault="00B441BC" w:rsidP="00187731">
      <w:pPr>
        <w:pStyle w:val="Heading2"/>
        <w:rPr>
          <w:lang w:val="en-US"/>
        </w:rPr>
      </w:pPr>
      <w:bookmarkStart w:id="34" w:name="_Toc98866283"/>
      <w:r>
        <w:rPr>
          <w:lang w:val="en-US"/>
        </w:rPr>
        <w:lastRenderedPageBreak/>
        <w:t>Rural and remote challenges</w:t>
      </w:r>
      <w:bookmarkEnd w:id="34"/>
    </w:p>
    <w:p w14:paraId="1CDFB717" w14:textId="77777777" w:rsidR="00B441BC" w:rsidRDefault="00B441BC" w:rsidP="00B441BC">
      <w:pPr>
        <w:pStyle w:val="BodyText"/>
        <w:rPr>
          <w:lang w:val="en-US"/>
        </w:rPr>
      </w:pPr>
      <w:r>
        <w:rPr>
          <w:lang w:val="en-US"/>
        </w:rPr>
        <w:t xml:space="preserve">Staffing </w:t>
      </w:r>
      <w:r w:rsidRPr="00700760">
        <w:rPr>
          <w:lang w:val="en-US"/>
        </w:rPr>
        <w:t>mental</w:t>
      </w:r>
      <w:r>
        <w:rPr>
          <w:lang w:val="en-US"/>
        </w:rPr>
        <w:t xml:space="preserve"> </w:t>
      </w:r>
      <w:r w:rsidRPr="00700760">
        <w:rPr>
          <w:lang w:val="en-US"/>
        </w:rPr>
        <w:t>health</w:t>
      </w:r>
      <w:r>
        <w:rPr>
          <w:lang w:val="en-US"/>
        </w:rPr>
        <w:t xml:space="preserve"> services </w:t>
      </w:r>
      <w:r w:rsidRPr="00700760">
        <w:rPr>
          <w:lang w:val="en-US"/>
        </w:rPr>
        <w:t>in</w:t>
      </w:r>
      <w:r>
        <w:rPr>
          <w:lang w:val="en-US"/>
        </w:rPr>
        <w:t xml:space="preserve"> </w:t>
      </w:r>
      <w:r w:rsidRPr="00700760">
        <w:rPr>
          <w:lang w:val="en-US"/>
        </w:rPr>
        <w:t>rural</w:t>
      </w:r>
      <w:r>
        <w:rPr>
          <w:lang w:val="en-US"/>
        </w:rPr>
        <w:t xml:space="preserve"> </w:t>
      </w:r>
      <w:r w:rsidRPr="00700760">
        <w:rPr>
          <w:lang w:val="en-US"/>
        </w:rPr>
        <w:t>and</w:t>
      </w:r>
      <w:r>
        <w:rPr>
          <w:lang w:val="en-US"/>
        </w:rPr>
        <w:t xml:space="preserve"> </w:t>
      </w:r>
      <w:r w:rsidRPr="00700760">
        <w:rPr>
          <w:lang w:val="en-US"/>
        </w:rPr>
        <w:t>remote</w:t>
      </w:r>
      <w:r>
        <w:rPr>
          <w:lang w:val="en-US"/>
        </w:rPr>
        <w:t xml:space="preserve"> </w:t>
      </w:r>
      <w:r w:rsidRPr="00700760">
        <w:rPr>
          <w:lang w:val="en-US"/>
        </w:rPr>
        <w:t>locations</w:t>
      </w:r>
      <w:r>
        <w:rPr>
          <w:lang w:val="en-US"/>
        </w:rPr>
        <w:t xml:space="preserve"> </w:t>
      </w:r>
      <w:r w:rsidRPr="00700760">
        <w:rPr>
          <w:lang w:val="en-US"/>
        </w:rPr>
        <w:t>poses</w:t>
      </w:r>
      <w:r>
        <w:rPr>
          <w:lang w:val="en-US"/>
        </w:rPr>
        <w:t xml:space="preserve"> specific </w:t>
      </w:r>
      <w:r w:rsidRPr="00700760">
        <w:rPr>
          <w:lang w:val="en-US"/>
        </w:rPr>
        <w:t>challenges.</w:t>
      </w:r>
      <w:r>
        <w:rPr>
          <w:lang w:val="en-US"/>
        </w:rPr>
        <w:t xml:space="preserve"> </w:t>
      </w:r>
      <w:r w:rsidRPr="00700760">
        <w:rPr>
          <w:lang w:val="en-US"/>
        </w:rPr>
        <w:t>Though</w:t>
      </w:r>
      <w:r>
        <w:rPr>
          <w:lang w:val="en-US"/>
        </w:rPr>
        <w:t xml:space="preserve"> </w:t>
      </w:r>
      <w:r w:rsidRPr="00700760">
        <w:rPr>
          <w:lang w:val="en-US"/>
        </w:rPr>
        <w:t>the</w:t>
      </w:r>
      <w:r>
        <w:rPr>
          <w:lang w:val="en-US"/>
        </w:rPr>
        <w:t xml:space="preserve"> </w:t>
      </w:r>
      <w:r w:rsidRPr="00700760">
        <w:rPr>
          <w:lang w:val="en-US"/>
        </w:rPr>
        <w:t>ideal</w:t>
      </w:r>
      <w:r>
        <w:rPr>
          <w:lang w:val="en-US"/>
        </w:rPr>
        <w:t xml:space="preserve"> </w:t>
      </w:r>
      <w:r w:rsidRPr="00700760">
        <w:rPr>
          <w:lang w:val="en-US"/>
        </w:rPr>
        <w:t>solution</w:t>
      </w:r>
      <w:r>
        <w:rPr>
          <w:lang w:val="en-US"/>
        </w:rPr>
        <w:t xml:space="preserve"> </w:t>
      </w:r>
      <w:r w:rsidRPr="00700760">
        <w:rPr>
          <w:lang w:val="en-US"/>
        </w:rPr>
        <w:t>to</w:t>
      </w:r>
      <w:r>
        <w:rPr>
          <w:lang w:val="en-US"/>
        </w:rPr>
        <w:t xml:space="preserve"> </w:t>
      </w:r>
      <w:r w:rsidRPr="00700760">
        <w:rPr>
          <w:lang w:val="en-US"/>
        </w:rPr>
        <w:t>developing</w:t>
      </w:r>
      <w:r>
        <w:rPr>
          <w:lang w:val="en-US"/>
        </w:rPr>
        <w:t xml:space="preserve"> </w:t>
      </w:r>
      <w:r w:rsidRPr="00700760">
        <w:rPr>
          <w:lang w:val="en-US"/>
        </w:rPr>
        <w:t>the</w:t>
      </w:r>
      <w:r>
        <w:rPr>
          <w:lang w:val="en-US"/>
        </w:rPr>
        <w:t xml:space="preserve"> </w:t>
      </w:r>
      <w:r w:rsidRPr="00700760">
        <w:rPr>
          <w:lang w:val="en-US"/>
        </w:rPr>
        <w:t>local</w:t>
      </w:r>
      <w:r>
        <w:rPr>
          <w:lang w:val="en-US"/>
        </w:rPr>
        <w:t xml:space="preserve"> </w:t>
      </w:r>
      <w:r w:rsidRPr="00700760">
        <w:rPr>
          <w:lang w:val="en-US"/>
        </w:rPr>
        <w:t>workforce</w:t>
      </w:r>
      <w:r>
        <w:rPr>
          <w:lang w:val="en-US"/>
        </w:rPr>
        <w:t xml:space="preserve"> </w:t>
      </w:r>
      <w:r w:rsidRPr="00700760">
        <w:rPr>
          <w:lang w:val="en-US"/>
        </w:rPr>
        <w:t>is</w:t>
      </w:r>
      <w:r>
        <w:rPr>
          <w:lang w:val="en-US"/>
        </w:rPr>
        <w:t xml:space="preserve"> </w:t>
      </w:r>
      <w:r w:rsidRPr="00700760">
        <w:rPr>
          <w:lang w:val="en-US"/>
        </w:rPr>
        <w:t>to</w:t>
      </w:r>
      <w:r>
        <w:rPr>
          <w:lang w:val="en-US"/>
        </w:rPr>
        <w:t xml:space="preserve"> </w:t>
      </w:r>
      <w:r w:rsidRPr="00700760">
        <w:rPr>
          <w:lang w:val="en-US"/>
        </w:rPr>
        <w:t>attract</w:t>
      </w:r>
      <w:r>
        <w:rPr>
          <w:lang w:val="en-US"/>
        </w:rPr>
        <w:t xml:space="preserve"> </w:t>
      </w:r>
      <w:r w:rsidRPr="00700760">
        <w:rPr>
          <w:lang w:val="en-US"/>
        </w:rPr>
        <w:t>and</w:t>
      </w:r>
      <w:r>
        <w:rPr>
          <w:lang w:val="en-US"/>
        </w:rPr>
        <w:t xml:space="preserve"> </w:t>
      </w:r>
      <w:r w:rsidRPr="00700760">
        <w:rPr>
          <w:lang w:val="en-US"/>
        </w:rPr>
        <w:t>train</w:t>
      </w:r>
      <w:r>
        <w:rPr>
          <w:lang w:val="en-US"/>
        </w:rPr>
        <w:t xml:space="preserve"> </w:t>
      </w:r>
      <w:r w:rsidRPr="00700760">
        <w:rPr>
          <w:lang w:val="en-US"/>
        </w:rPr>
        <w:t>local</w:t>
      </w:r>
      <w:r>
        <w:rPr>
          <w:lang w:val="en-US"/>
        </w:rPr>
        <w:t xml:space="preserve"> </w:t>
      </w:r>
      <w:r w:rsidRPr="00700760">
        <w:rPr>
          <w:lang w:val="en-US"/>
        </w:rPr>
        <w:t>people,</w:t>
      </w:r>
      <w:r>
        <w:rPr>
          <w:lang w:val="en-US"/>
        </w:rPr>
        <w:t xml:space="preserve"> </w:t>
      </w:r>
      <w:r w:rsidRPr="00700760">
        <w:rPr>
          <w:lang w:val="en-US"/>
        </w:rPr>
        <w:t>place-based</w:t>
      </w:r>
      <w:r>
        <w:rPr>
          <w:lang w:val="en-US"/>
        </w:rPr>
        <w:t xml:space="preserve"> </w:t>
      </w:r>
      <w:r w:rsidRPr="00700760">
        <w:rPr>
          <w:lang w:val="en-US"/>
        </w:rPr>
        <w:t>approaches</w:t>
      </w:r>
      <w:r>
        <w:rPr>
          <w:lang w:val="en-US"/>
        </w:rPr>
        <w:t xml:space="preserve"> </w:t>
      </w:r>
      <w:r w:rsidRPr="00700760">
        <w:rPr>
          <w:lang w:val="en-US"/>
        </w:rPr>
        <w:t>are</w:t>
      </w:r>
      <w:r>
        <w:rPr>
          <w:lang w:val="en-US"/>
        </w:rPr>
        <w:t xml:space="preserve"> </w:t>
      </w:r>
      <w:r w:rsidRPr="00700760">
        <w:rPr>
          <w:lang w:val="en-US"/>
        </w:rPr>
        <w:t>limited</w:t>
      </w:r>
      <w:r>
        <w:rPr>
          <w:lang w:val="en-US"/>
        </w:rPr>
        <w:t xml:space="preserve"> </w:t>
      </w:r>
      <w:r w:rsidRPr="00700760">
        <w:rPr>
          <w:lang w:val="en-US"/>
        </w:rPr>
        <w:t>due</w:t>
      </w:r>
      <w:r>
        <w:rPr>
          <w:lang w:val="en-US"/>
        </w:rPr>
        <w:t xml:space="preserve"> </w:t>
      </w:r>
      <w:r w:rsidRPr="00700760">
        <w:rPr>
          <w:lang w:val="en-US"/>
        </w:rPr>
        <w:t>to</w:t>
      </w:r>
      <w:r>
        <w:rPr>
          <w:lang w:val="en-US"/>
        </w:rPr>
        <w:t xml:space="preserve"> </w:t>
      </w:r>
      <w:r w:rsidRPr="00700760">
        <w:rPr>
          <w:lang w:val="en-US"/>
        </w:rPr>
        <w:t>the</w:t>
      </w:r>
      <w:r>
        <w:rPr>
          <w:lang w:val="en-US"/>
        </w:rPr>
        <w:t xml:space="preserve"> </w:t>
      </w:r>
      <w:r w:rsidRPr="00700760">
        <w:rPr>
          <w:lang w:val="en-US"/>
        </w:rPr>
        <w:t>attractiveness</w:t>
      </w:r>
      <w:r>
        <w:rPr>
          <w:lang w:val="en-US"/>
        </w:rPr>
        <w:t xml:space="preserve"> </w:t>
      </w:r>
      <w:r w:rsidRPr="00700760">
        <w:rPr>
          <w:lang w:val="en-US"/>
        </w:rPr>
        <w:t>of</w:t>
      </w:r>
      <w:r>
        <w:rPr>
          <w:lang w:val="en-US"/>
        </w:rPr>
        <w:t xml:space="preserve"> </w:t>
      </w:r>
      <w:r w:rsidRPr="00700760">
        <w:rPr>
          <w:lang w:val="en-US"/>
        </w:rPr>
        <w:t>the</w:t>
      </w:r>
      <w:r>
        <w:rPr>
          <w:lang w:val="en-US"/>
        </w:rPr>
        <w:t xml:space="preserve"> </w:t>
      </w:r>
      <w:r w:rsidRPr="00700760">
        <w:rPr>
          <w:lang w:val="en-US"/>
        </w:rPr>
        <w:t>sector</w:t>
      </w:r>
      <w:r>
        <w:rPr>
          <w:lang w:val="en-US"/>
        </w:rPr>
        <w:t xml:space="preserve"> </w:t>
      </w:r>
      <w:r w:rsidRPr="00700760">
        <w:rPr>
          <w:lang w:val="en-US"/>
        </w:rPr>
        <w:t>and</w:t>
      </w:r>
      <w:r>
        <w:rPr>
          <w:lang w:val="en-US"/>
        </w:rPr>
        <w:t xml:space="preserve"> </w:t>
      </w:r>
      <w:r w:rsidRPr="00700760">
        <w:rPr>
          <w:lang w:val="en-US"/>
        </w:rPr>
        <w:t>availability</w:t>
      </w:r>
      <w:r>
        <w:rPr>
          <w:lang w:val="en-US"/>
        </w:rPr>
        <w:t xml:space="preserve"> </w:t>
      </w:r>
      <w:r w:rsidRPr="00700760">
        <w:rPr>
          <w:lang w:val="en-US"/>
        </w:rPr>
        <w:t>of</w:t>
      </w:r>
      <w:r>
        <w:rPr>
          <w:lang w:val="en-US"/>
        </w:rPr>
        <w:t xml:space="preserve"> locally based </w:t>
      </w:r>
      <w:r w:rsidRPr="00700760">
        <w:rPr>
          <w:lang w:val="en-US"/>
        </w:rPr>
        <w:t>training</w:t>
      </w:r>
      <w:r>
        <w:rPr>
          <w:lang w:val="en-US"/>
        </w:rPr>
        <w:t xml:space="preserve"> </w:t>
      </w:r>
      <w:r w:rsidRPr="00700760">
        <w:rPr>
          <w:lang w:val="en-US"/>
        </w:rPr>
        <w:t>opportunities.</w:t>
      </w:r>
      <w:r>
        <w:rPr>
          <w:lang w:val="en-US"/>
        </w:rPr>
        <w:t xml:space="preserve"> Initiatives that make better use of the vocationally trained workforce, including Allied Health Assistants, provide ways to address some workforce shortages, as do the Allied Health Rural Generalist Pathway, and</w:t>
      </w:r>
      <w:r w:rsidRPr="00B07EF6">
        <w:t xml:space="preserve"> </w:t>
      </w:r>
      <w:r>
        <w:t>Advanced</w:t>
      </w:r>
      <w:r w:rsidRPr="00B07EF6">
        <w:rPr>
          <w:lang w:val="en-US"/>
        </w:rPr>
        <w:t xml:space="preserve"> </w:t>
      </w:r>
      <w:r>
        <w:rPr>
          <w:lang w:val="en-US"/>
        </w:rPr>
        <w:t>S</w:t>
      </w:r>
      <w:r w:rsidRPr="00B07EF6">
        <w:rPr>
          <w:lang w:val="en-US"/>
        </w:rPr>
        <w:t xml:space="preserve">pecialist </w:t>
      </w:r>
      <w:r>
        <w:rPr>
          <w:lang w:val="en-US"/>
        </w:rPr>
        <w:t>Rural G</w:t>
      </w:r>
      <w:r w:rsidRPr="00B07EF6">
        <w:rPr>
          <w:lang w:val="en-US"/>
        </w:rPr>
        <w:t>eneralist</w:t>
      </w:r>
      <w:r>
        <w:rPr>
          <w:lang w:val="en-US"/>
        </w:rPr>
        <w:t xml:space="preserve"> training for General Practitioners. </w:t>
      </w:r>
    </w:p>
    <w:p w14:paraId="4D7FAC12" w14:textId="77777777" w:rsidR="00B441BC" w:rsidRDefault="00B441BC" w:rsidP="00B441BC">
      <w:pPr>
        <w:pStyle w:val="BodyText"/>
      </w:pPr>
      <w:r>
        <w:t>While the Strategy does not identify specific models of care, it does recognise that d</w:t>
      </w:r>
      <w:r w:rsidRPr="005F6D78">
        <w:t>ifferent</w:t>
      </w:r>
      <w:r>
        <w:t xml:space="preserve"> approaches </w:t>
      </w:r>
      <w:r w:rsidRPr="005F6D78">
        <w:t>are</w:t>
      </w:r>
      <w:r>
        <w:t xml:space="preserve"> needed </w:t>
      </w:r>
      <w:r w:rsidRPr="005F6D78">
        <w:t>in</w:t>
      </w:r>
      <w:r>
        <w:t xml:space="preserve"> </w:t>
      </w:r>
      <w:r w:rsidRPr="005F6D78">
        <w:t>different</w:t>
      </w:r>
      <w:r>
        <w:t xml:space="preserve"> </w:t>
      </w:r>
      <w:r w:rsidRPr="005F6D78">
        <w:t>contexts.</w:t>
      </w:r>
      <w:r>
        <w:t xml:space="preserve"> F</w:t>
      </w:r>
      <w:r w:rsidRPr="00532E2C">
        <w:t>lexible</w:t>
      </w:r>
      <w:r>
        <w:t xml:space="preserve"> </w:t>
      </w:r>
      <w:r w:rsidRPr="00532E2C">
        <w:t>service</w:t>
      </w:r>
      <w:r>
        <w:t xml:space="preserve"> </w:t>
      </w:r>
      <w:r w:rsidRPr="00532E2C">
        <w:t>models</w:t>
      </w:r>
      <w:r>
        <w:t xml:space="preserve"> </w:t>
      </w:r>
      <w:r w:rsidRPr="00532E2C">
        <w:t>that</w:t>
      </w:r>
      <w:r>
        <w:t xml:space="preserve"> address consumer and carer needs by </w:t>
      </w:r>
      <w:r w:rsidRPr="00532E2C">
        <w:t>build</w:t>
      </w:r>
      <w:r>
        <w:t xml:space="preserve">ing </w:t>
      </w:r>
      <w:r w:rsidRPr="00532E2C">
        <w:t>on</w:t>
      </w:r>
      <w:r>
        <w:t xml:space="preserve"> </w:t>
      </w:r>
      <w:r w:rsidRPr="00532E2C">
        <w:t>local</w:t>
      </w:r>
      <w:r>
        <w:t xml:space="preserve"> </w:t>
      </w:r>
      <w:r w:rsidRPr="00532E2C">
        <w:t>service</w:t>
      </w:r>
      <w:r>
        <w:t xml:space="preserve"> </w:t>
      </w:r>
      <w:r w:rsidRPr="00532E2C">
        <w:t>strengths</w:t>
      </w:r>
      <w:r>
        <w:t xml:space="preserve"> and available workforce</w:t>
      </w:r>
      <w:r w:rsidRPr="00532E2C">
        <w:t>,</w:t>
      </w:r>
      <w:r>
        <w:t xml:space="preserve"> provide </w:t>
      </w:r>
      <w:r w:rsidRPr="00532E2C">
        <w:t>innovative</w:t>
      </w:r>
      <w:r>
        <w:t xml:space="preserve"> </w:t>
      </w:r>
      <w:r w:rsidRPr="00532E2C">
        <w:t>approaches</w:t>
      </w:r>
      <w:r>
        <w:t xml:space="preserve"> </w:t>
      </w:r>
      <w:r w:rsidRPr="00532E2C">
        <w:t>to</w:t>
      </w:r>
      <w:r>
        <w:t xml:space="preserve"> </w:t>
      </w:r>
      <w:r w:rsidRPr="00532E2C">
        <w:t>supervision,</w:t>
      </w:r>
      <w:r>
        <w:t xml:space="preserve"> </w:t>
      </w:r>
      <w:r w:rsidRPr="00532E2C">
        <w:t>and</w:t>
      </w:r>
      <w:r>
        <w:t xml:space="preserve"> </w:t>
      </w:r>
      <w:r w:rsidRPr="00532E2C">
        <w:t>foster</w:t>
      </w:r>
      <w:r>
        <w:t xml:space="preserve"> </w:t>
      </w:r>
      <w:r w:rsidRPr="00532E2C">
        <w:t>specialised</w:t>
      </w:r>
      <w:r>
        <w:t xml:space="preserve"> </w:t>
      </w:r>
      <w:r w:rsidRPr="00532E2C">
        <w:t>generalist</w:t>
      </w:r>
      <w:r>
        <w:t xml:space="preserve"> </w:t>
      </w:r>
      <w:r w:rsidRPr="00532E2C">
        <w:t>models</w:t>
      </w:r>
      <w:r>
        <w:t xml:space="preserve"> </w:t>
      </w:r>
      <w:r w:rsidRPr="00532E2C">
        <w:t>of</w:t>
      </w:r>
      <w:r>
        <w:t xml:space="preserve"> support and treatment are needed, particularly in rural and remote areas</w:t>
      </w:r>
      <w:r w:rsidRPr="00532E2C">
        <w:t>.</w:t>
      </w:r>
    </w:p>
    <w:p w14:paraId="35F909A7" w14:textId="77777777" w:rsidR="00B441BC" w:rsidRPr="004B7FE2" w:rsidRDefault="00B441BC" w:rsidP="00B441BC">
      <w:pPr>
        <w:pStyle w:val="BodyText"/>
      </w:pPr>
      <w:r>
        <w:t xml:space="preserve">The following priority areas stress the criticality of linking mental health workforce planning to the needs of consumers and carers at the local level through local mental health service planning. This is increasingly important in areas where workforce shortages are more acute such as rural and remote locations. An integrated, coordinated planning approach is needed that starts with community and consumer and carer needs, builds on existing local </w:t>
      </w:r>
      <w:proofErr w:type="gramStart"/>
      <w:r>
        <w:t>capacity</w:t>
      </w:r>
      <w:proofErr w:type="gramEnd"/>
      <w:r>
        <w:t xml:space="preserve"> and extends investment in and support of local people, utilising technology where it is helpful to do so.</w:t>
      </w:r>
    </w:p>
    <w:p w14:paraId="2DF420B7" w14:textId="77777777" w:rsidR="00B441BC" w:rsidRDefault="00B441BC" w:rsidP="00187731">
      <w:pPr>
        <w:pStyle w:val="Heading2"/>
      </w:pPr>
      <w:bookmarkStart w:id="35" w:name="_Toc98866284"/>
      <w:r>
        <w:t>Priority areas and actions</w:t>
      </w:r>
      <w:bookmarkEnd w:id="35"/>
    </w:p>
    <w:p w14:paraId="3304E5CC" w14:textId="5F05DADC" w:rsidR="009505F9" w:rsidRPr="009505F9" w:rsidRDefault="009505F9" w:rsidP="00187731">
      <w:pPr>
        <w:pStyle w:val="BodyText"/>
      </w:pPr>
      <w:r w:rsidRPr="009505F9">
        <w:t xml:space="preserve">PRIORITY AREA 6.1 </w:t>
      </w:r>
      <w:proofErr w:type="gramStart"/>
      <w:r w:rsidRPr="009505F9">
        <w:t>–  Strengthen</w:t>
      </w:r>
      <w:proofErr w:type="gramEnd"/>
      <w:r w:rsidRPr="009505F9">
        <w:t xml:space="preserve"> evidence based local mental health service planning, including for surge capacity, and alignment of workforce planning and development</w:t>
      </w:r>
      <w:r w:rsidR="00655A77">
        <w:t>:</w:t>
      </w:r>
    </w:p>
    <w:p w14:paraId="7199D544" w14:textId="6931EAA3" w:rsidR="009505F9" w:rsidRPr="00187731" w:rsidRDefault="009505F9" w:rsidP="00187731">
      <w:pPr>
        <w:pStyle w:val="ListBullet"/>
      </w:pPr>
      <w:r w:rsidRPr="00187731">
        <w:t xml:space="preserve">Action 6.1.1 </w:t>
      </w:r>
      <w:proofErr w:type="gramStart"/>
      <w:r w:rsidRPr="00187731">
        <w:t>–  Include</w:t>
      </w:r>
      <w:proofErr w:type="gramEnd"/>
      <w:r w:rsidRPr="00187731">
        <w:t xml:space="preserve"> consumers and carers in planning processes that identify local mental health needs</w:t>
      </w:r>
    </w:p>
    <w:p w14:paraId="1312DF9D" w14:textId="3341B65F" w:rsidR="009505F9" w:rsidRPr="00187731" w:rsidRDefault="009505F9" w:rsidP="00187731">
      <w:pPr>
        <w:pStyle w:val="ListBullet"/>
      </w:pPr>
      <w:r w:rsidRPr="00187731">
        <w:t xml:space="preserve">Action 6.1.2 </w:t>
      </w:r>
      <w:proofErr w:type="gramStart"/>
      <w:r w:rsidRPr="00187731">
        <w:t>–  Invest</w:t>
      </w:r>
      <w:proofErr w:type="gramEnd"/>
      <w:r w:rsidRPr="00187731">
        <w:t xml:space="preserve"> in initiatives to grow local mental health workforces, particularly in rural and remote settings</w:t>
      </w:r>
    </w:p>
    <w:p w14:paraId="23F19E64" w14:textId="18DFC6D4" w:rsidR="009505F9" w:rsidRPr="00187731" w:rsidRDefault="009505F9" w:rsidP="00187731">
      <w:pPr>
        <w:pStyle w:val="ListBullet"/>
      </w:pPr>
      <w:r w:rsidRPr="00187731">
        <w:t xml:space="preserve">Action 6.1.3 </w:t>
      </w:r>
      <w:proofErr w:type="gramStart"/>
      <w:r w:rsidRPr="00187731">
        <w:t>–  Develop</w:t>
      </w:r>
      <w:proofErr w:type="gramEnd"/>
      <w:r w:rsidRPr="00187731">
        <w:t xml:space="preserve"> a training strategy for the rural and remote mental health workforce, cognisant of the need to work across the primary, secondary and tertiary spectrum of support</w:t>
      </w:r>
    </w:p>
    <w:p w14:paraId="0D8F2600" w14:textId="3906FC92" w:rsidR="009505F9" w:rsidRPr="00187731" w:rsidRDefault="009505F9" w:rsidP="00187731">
      <w:pPr>
        <w:pStyle w:val="ListBullet"/>
      </w:pPr>
      <w:r w:rsidRPr="00187731">
        <w:t xml:space="preserve">Action 6.1.4 </w:t>
      </w:r>
      <w:proofErr w:type="gramStart"/>
      <w:r w:rsidRPr="00187731">
        <w:t>–  Work</w:t>
      </w:r>
      <w:proofErr w:type="gramEnd"/>
      <w:r w:rsidRPr="00187731">
        <w:t xml:space="preserve"> with education providers at the local level to match training to community needs and jobs, using blended delivery models to support participation of rural and remote students.</w:t>
      </w:r>
    </w:p>
    <w:p w14:paraId="02367AAD" w14:textId="3CB02E4A" w:rsidR="009505F9" w:rsidRPr="00187731" w:rsidRDefault="009505F9" w:rsidP="00187731">
      <w:pPr>
        <w:pStyle w:val="ListBullet"/>
      </w:pPr>
      <w:r w:rsidRPr="00187731">
        <w:t xml:space="preserve">Action 6.1.5 </w:t>
      </w:r>
      <w:proofErr w:type="gramStart"/>
      <w:r w:rsidRPr="00187731">
        <w:t>–  Work</w:t>
      </w:r>
      <w:proofErr w:type="gramEnd"/>
      <w:r w:rsidRPr="00187731">
        <w:t xml:space="preserve"> with education and training providers to develop a systemic pathway for the rural and remote mental health workforce, with preferential selection, scholarships and support for people to train and work locally.</w:t>
      </w:r>
    </w:p>
    <w:p w14:paraId="2BA2AF65" w14:textId="0027CBD7" w:rsidR="009505F9" w:rsidRPr="00187731" w:rsidRDefault="009505F9" w:rsidP="00187731">
      <w:pPr>
        <w:pStyle w:val="ListBullet"/>
      </w:pPr>
      <w:r w:rsidRPr="00187731">
        <w:lastRenderedPageBreak/>
        <w:t xml:space="preserve">Action 6.1.6 </w:t>
      </w:r>
      <w:proofErr w:type="gramStart"/>
      <w:r w:rsidRPr="00187731">
        <w:t>–  Incentivise</w:t>
      </w:r>
      <w:proofErr w:type="gramEnd"/>
      <w:r w:rsidRPr="00187731">
        <w:t xml:space="preserve"> the use of place-based approaches to training and professional development to help attract and retain workforce in rural and remote areas</w:t>
      </w:r>
      <w:r w:rsidR="00187731">
        <w:t>.</w:t>
      </w:r>
    </w:p>
    <w:p w14:paraId="6AEF2B6B" w14:textId="5C247105" w:rsidR="009505F9" w:rsidRPr="009505F9" w:rsidRDefault="009505F9" w:rsidP="00655A77">
      <w:pPr>
        <w:pStyle w:val="BodyText"/>
      </w:pPr>
      <w:r w:rsidRPr="009505F9">
        <w:t>PRIORITY AREA 6.2 – Enhance the use of integrated and flexible workforce models that reflect community strengths and needs, incorporating consumer and carer voice</w:t>
      </w:r>
    </w:p>
    <w:p w14:paraId="5DB0FE4E" w14:textId="6B10F0DC" w:rsidR="009505F9" w:rsidRPr="00655A77" w:rsidRDefault="009505F9" w:rsidP="00655A77">
      <w:pPr>
        <w:pStyle w:val="ListBullet"/>
      </w:pPr>
      <w:r w:rsidRPr="00655A77">
        <w:t xml:space="preserve">Action 6.2.1 </w:t>
      </w:r>
      <w:proofErr w:type="gramStart"/>
      <w:r w:rsidRPr="00655A77">
        <w:t>–  Create</w:t>
      </w:r>
      <w:proofErr w:type="gramEnd"/>
      <w:r w:rsidRPr="00655A77">
        <w:t xml:space="preserve"> incentives for service providers to use service delivery models that utilise the competencies of all workforces to their full scopes of practice</w:t>
      </w:r>
    </w:p>
    <w:p w14:paraId="58277B4A" w14:textId="41492BA5" w:rsidR="009505F9" w:rsidRPr="00655A77" w:rsidRDefault="009505F9" w:rsidP="00655A77">
      <w:pPr>
        <w:pStyle w:val="ListBullet"/>
      </w:pPr>
      <w:r w:rsidRPr="00655A77">
        <w:t xml:space="preserve">Action 6.2.2 </w:t>
      </w:r>
      <w:proofErr w:type="gramStart"/>
      <w:r w:rsidRPr="00655A77">
        <w:t>–  Examine</w:t>
      </w:r>
      <w:proofErr w:type="gramEnd"/>
      <w:r w:rsidRPr="00655A77">
        <w:t xml:space="preserve"> new and innovative service delivery models for the Lived Experience (Peer) workforce to support increased utilisation in different contexts</w:t>
      </w:r>
    </w:p>
    <w:p w14:paraId="250C6E11" w14:textId="7EAA02DC" w:rsidR="009505F9" w:rsidRPr="00655A77" w:rsidRDefault="009505F9" w:rsidP="00655A77">
      <w:pPr>
        <w:pStyle w:val="ListBullet"/>
      </w:pPr>
      <w:r w:rsidRPr="00655A77">
        <w:t xml:space="preserve">Action 6.2.3 </w:t>
      </w:r>
      <w:proofErr w:type="gramStart"/>
      <w:r w:rsidRPr="00655A77">
        <w:t>–  Create</w:t>
      </w:r>
      <w:proofErr w:type="gramEnd"/>
      <w:r w:rsidRPr="00655A77">
        <w:t xml:space="preserve"> incentives for employers to increase the numbers of designated Lived Experience (Peer) employees across all organisational levels</w:t>
      </w:r>
      <w:r w:rsidR="00655A77" w:rsidRPr="00655A77">
        <w:t>.</w:t>
      </w:r>
    </w:p>
    <w:p w14:paraId="3FCA1882" w14:textId="20513FEB" w:rsidR="009505F9" w:rsidRPr="009505F9" w:rsidRDefault="009505F9" w:rsidP="00655A77">
      <w:pPr>
        <w:pStyle w:val="BodyText"/>
      </w:pPr>
      <w:r w:rsidRPr="009505F9">
        <w:t xml:space="preserve">PRIORITY AREA 6.3 </w:t>
      </w:r>
      <w:proofErr w:type="gramStart"/>
      <w:r w:rsidRPr="009505F9">
        <w:t xml:space="preserve">– </w:t>
      </w:r>
      <w:r>
        <w:t xml:space="preserve"> </w:t>
      </w:r>
      <w:r w:rsidRPr="009505F9">
        <w:t>Increase</w:t>
      </w:r>
      <w:proofErr w:type="gramEnd"/>
      <w:r w:rsidRPr="009505F9">
        <w:t xml:space="preserve"> the availability and appropriate utilisation of digital health</w:t>
      </w:r>
    </w:p>
    <w:p w14:paraId="42257D95" w14:textId="2EDC2210" w:rsidR="00B441BC" w:rsidRPr="00655A77" w:rsidRDefault="009505F9" w:rsidP="00655A77">
      <w:pPr>
        <w:pStyle w:val="ListBullet"/>
      </w:pPr>
      <w:r w:rsidRPr="00655A77">
        <w:t xml:space="preserve">Action 6.3.1 </w:t>
      </w:r>
      <w:proofErr w:type="gramStart"/>
      <w:r w:rsidRPr="00655A77">
        <w:t>–  Increase</w:t>
      </w:r>
      <w:proofErr w:type="gramEnd"/>
      <w:r w:rsidRPr="00655A77">
        <w:t xml:space="preserve"> the availability and appropriate utilisation of digital health through creation of a national digital mental health strategy including clear practice guidelines. This should encompass safety and quality parameters for both service users and providers, including supervisory arrangements and investment in the infrastructure</w:t>
      </w:r>
      <w:r w:rsidR="00655A77">
        <w:t>.</w:t>
      </w:r>
    </w:p>
    <w:p w14:paraId="11156EB7" w14:textId="77777777" w:rsidR="00740CEC" w:rsidRDefault="00740CEC" w:rsidP="00740CEC">
      <w:pPr>
        <w:pStyle w:val="BodyText"/>
        <w:sectPr w:rsidR="00740CEC" w:rsidSect="003044D5">
          <w:headerReference w:type="even" r:id="rId65"/>
          <w:footerReference w:type="even" r:id="rId66"/>
          <w:headerReference w:type="first" r:id="rId67"/>
          <w:footerReference w:type="first" r:id="rId68"/>
          <w:pgSz w:w="11906" w:h="16838" w:code="9"/>
          <w:pgMar w:top="1134" w:right="851" w:bottom="1134" w:left="1134" w:header="454" w:footer="159" w:gutter="0"/>
          <w:cols w:space="708"/>
          <w:docGrid w:linePitch="360"/>
        </w:sectPr>
      </w:pPr>
    </w:p>
    <w:p w14:paraId="64068B37" w14:textId="2F747E2A" w:rsidR="00655A77" w:rsidRDefault="000E3457" w:rsidP="000E3457">
      <w:pPr>
        <w:pStyle w:val="Heading1"/>
        <w:ind w:left="1134" w:hanging="1134"/>
      </w:pPr>
      <w:bookmarkStart w:id="36" w:name="_Toc98866285"/>
      <w:r>
        <w:lastRenderedPageBreak/>
        <w:t>7.</w:t>
      </w:r>
      <w:r>
        <w:tab/>
      </w:r>
      <w:r w:rsidR="00655A77" w:rsidRPr="00655A77">
        <w:t>Implementation of the Strategy</w:t>
      </w:r>
      <w:bookmarkEnd w:id="36"/>
    </w:p>
    <w:p w14:paraId="612CFCED" w14:textId="090370AE" w:rsidR="00B85A50" w:rsidRDefault="00B85A50" w:rsidP="00B85A50">
      <w:pPr>
        <w:pStyle w:val="BodyText"/>
        <w:spacing w:before="480"/>
        <w:rPr>
          <w:rFonts w:cs="Calibri"/>
        </w:rPr>
      </w:pPr>
      <w:r>
        <w:t xml:space="preserve">In early 2020, the development of the Strategy commenced with the intention that the Taskforce would provide its final report to Government prior to endorsement by the Australian Health Ministers’ Advisory Council (AHMAC), a subcommittee of the Council of Australian Governments (COAG). In May 2020, the National Cabinet agreed to the cessation of the Council of Australian Governments (COAG); therefore, endorsement of the final Strategy by all governments will now be sought under the new Australian Federal Relations Architecture. </w:t>
      </w:r>
    </w:p>
    <w:p w14:paraId="15EFED29" w14:textId="77777777" w:rsidR="00B85A50" w:rsidRDefault="00B85A50" w:rsidP="00B85A50">
      <w:pPr>
        <w:pStyle w:val="BodyText"/>
      </w:pPr>
      <w:r>
        <w:t>The Taskforce will deliver this final report to the Australian Government in late 2021. The Department of Health will then work with state and territory governments to ensure a national approach, acknowledging that challenges, priorities, and requirements will differ in each jurisdiction, and collectively seek endorsement of the Strategy under the new Australian Federal Relations Architecture.</w:t>
      </w:r>
    </w:p>
    <w:p w14:paraId="306A084D" w14:textId="77777777" w:rsidR="00B85A50" w:rsidRDefault="00B85A50" w:rsidP="00B85A50">
      <w:pPr>
        <w:pStyle w:val="BodyText"/>
      </w:pPr>
      <w:r>
        <w:t>An implementation plan (or series of plans) will be developed collaboratively by the Commonwealth, state and territory governments, peak professional bodies and colleges, regulators, educational institutions,</w:t>
      </w:r>
      <w:r w:rsidRPr="00D54800">
        <w:t xml:space="preserve"> </w:t>
      </w:r>
      <w:r>
        <w:t xml:space="preserve">service providers, </w:t>
      </w:r>
      <w:proofErr w:type="gramStart"/>
      <w:r>
        <w:t>consumers</w:t>
      </w:r>
      <w:proofErr w:type="gramEnd"/>
      <w:r>
        <w:t xml:space="preserve"> and carers to address the objectives of the Strategy. </w:t>
      </w:r>
    </w:p>
    <w:p w14:paraId="6ECD339B" w14:textId="77777777" w:rsidR="00B85A50" w:rsidRDefault="00B85A50" w:rsidP="00B85A50">
      <w:pPr>
        <w:pStyle w:val="BodyText"/>
      </w:pPr>
      <w:r>
        <w:t>The implementation plans will:</w:t>
      </w:r>
    </w:p>
    <w:p w14:paraId="5141C602" w14:textId="77777777" w:rsidR="00B85A50" w:rsidRDefault="00B85A50" w:rsidP="00B85A50">
      <w:pPr>
        <w:pStyle w:val="ListBullet"/>
        <w:spacing w:before="70" w:after="70" w:line="280" w:lineRule="atLeast"/>
      </w:pPr>
      <w:r>
        <w:t>assign priorities to actions</w:t>
      </w:r>
    </w:p>
    <w:p w14:paraId="63560893" w14:textId="77777777" w:rsidR="00B85A50" w:rsidRDefault="00B85A50" w:rsidP="00B85A50">
      <w:pPr>
        <w:pStyle w:val="ListBullet"/>
        <w:spacing w:before="70" w:after="70" w:line="280" w:lineRule="atLeast"/>
      </w:pPr>
      <w:r>
        <w:t>identify who will lead each activity (for example, those driven centrally by the Commonwealth and those led by individual states and territories)</w:t>
      </w:r>
    </w:p>
    <w:p w14:paraId="7693E509" w14:textId="77777777" w:rsidR="00B85A50" w:rsidRDefault="00B85A50" w:rsidP="00B85A50">
      <w:pPr>
        <w:pStyle w:val="ListBullet"/>
        <w:spacing w:before="70" w:after="70" w:line="280" w:lineRule="atLeast"/>
      </w:pPr>
      <w:r>
        <w:t>consider local consumer and carer needs and issues across locations and settings</w:t>
      </w:r>
    </w:p>
    <w:p w14:paraId="22C69138" w14:textId="77777777" w:rsidR="00B85A50" w:rsidRDefault="00B85A50" w:rsidP="00B85A50">
      <w:pPr>
        <w:pStyle w:val="ListBullet"/>
        <w:spacing w:before="70" w:after="70" w:line="280" w:lineRule="atLeast"/>
      </w:pPr>
      <w:r>
        <w:t>include timelines for implementation</w:t>
      </w:r>
    </w:p>
    <w:p w14:paraId="36BDCA11" w14:textId="77777777" w:rsidR="00B85A50" w:rsidRDefault="00B85A50" w:rsidP="00B85A50">
      <w:pPr>
        <w:pStyle w:val="ListBullet"/>
        <w:spacing w:before="70" w:after="70" w:line="280" w:lineRule="atLeast"/>
      </w:pPr>
      <w:r>
        <w:t>address governance arrangements</w:t>
      </w:r>
    </w:p>
    <w:p w14:paraId="29FDB4E9" w14:textId="77777777" w:rsidR="00B85A50" w:rsidRDefault="00B85A50" w:rsidP="00B85A50">
      <w:pPr>
        <w:pStyle w:val="ListBullet"/>
        <w:spacing w:before="70" w:after="70" w:line="280" w:lineRule="atLeast"/>
      </w:pPr>
      <w:r>
        <w:t xml:space="preserve">embed monitoring and evaluation requirements. </w:t>
      </w:r>
    </w:p>
    <w:p w14:paraId="41A9667E" w14:textId="77777777" w:rsidR="007D2ED0" w:rsidRDefault="00B85A50" w:rsidP="00B85A50">
      <w:pPr>
        <w:pStyle w:val="BodyText"/>
        <w:sectPr w:rsidR="007D2ED0" w:rsidSect="00655A77">
          <w:headerReference w:type="even" r:id="rId69"/>
          <w:footerReference w:type="even" r:id="rId70"/>
          <w:headerReference w:type="first" r:id="rId71"/>
          <w:footerReference w:type="first" r:id="rId72"/>
          <w:pgSz w:w="11906" w:h="16838" w:code="9"/>
          <w:pgMar w:top="1418" w:right="851" w:bottom="1134" w:left="1134" w:header="454" w:footer="159" w:gutter="0"/>
          <w:cols w:space="708"/>
          <w:docGrid w:linePitch="360"/>
        </w:sectPr>
      </w:pPr>
      <w:r>
        <w:t xml:space="preserve">The Commonwealth Department of Health will work also with state and territory counterparts to develop an appropriate national governance structure to oversee the implementation of the Strategy and ensure its success. </w:t>
      </w:r>
    </w:p>
    <w:p w14:paraId="0512141B" w14:textId="02C2CCDB" w:rsidR="00B85A50" w:rsidRDefault="007D2ED0" w:rsidP="00B50EBB">
      <w:pPr>
        <w:pStyle w:val="Heading1"/>
      </w:pPr>
      <w:bookmarkStart w:id="37" w:name="_Toc98866286"/>
      <w:r>
        <w:lastRenderedPageBreak/>
        <w:t>Appendix A</w:t>
      </w:r>
      <w:r w:rsidR="00B50EBB">
        <w:t>:</w:t>
      </w:r>
      <w:r w:rsidR="00E350C3">
        <w:br/>
      </w:r>
      <w:r>
        <w:t>Summary of Priority Areas, Actions and Potential Implementation Examples</w:t>
      </w:r>
      <w:bookmarkEnd w:id="37"/>
    </w:p>
    <w:p w14:paraId="067DA8F0" w14:textId="77777777" w:rsidR="00E350C3" w:rsidRDefault="00E350C3" w:rsidP="00E350C3">
      <w:pPr>
        <w:pStyle w:val="BodyText"/>
      </w:pPr>
      <w:r>
        <w:t xml:space="preserve">Where required, additional explanation of actions is provided, such as the occupations where action is required most urgently or the occupations or settings that are most significantly impacted by the issue that the action addresses. </w:t>
      </w:r>
    </w:p>
    <w:p w14:paraId="47988815" w14:textId="44189003" w:rsidR="007D2ED0" w:rsidRDefault="00E350C3" w:rsidP="00E350C3">
      <w:pPr>
        <w:pStyle w:val="Heading2"/>
      </w:pPr>
      <w:bookmarkStart w:id="38" w:name="_Toc98866128"/>
      <w:bookmarkStart w:id="39" w:name="_Toc98866287"/>
      <w:r w:rsidRPr="00E350C3">
        <w:t xml:space="preserve">Objective 1 </w:t>
      </w:r>
      <w:r>
        <w:t>–</w:t>
      </w:r>
      <w:r w:rsidRPr="00E350C3">
        <w:t xml:space="preserve"> Data underpins workforce planning at a national, </w:t>
      </w:r>
      <w:proofErr w:type="gramStart"/>
      <w:r w:rsidRPr="00E350C3">
        <w:t>regional</w:t>
      </w:r>
      <w:proofErr w:type="gramEnd"/>
      <w:r w:rsidRPr="00E350C3">
        <w:t xml:space="preserve"> and local level</w:t>
      </w:r>
      <w:bookmarkEnd w:id="38"/>
      <w:bookmarkEnd w:id="39"/>
    </w:p>
    <w:p w14:paraId="50DF180E" w14:textId="66BC6ED4" w:rsidR="00E350C3" w:rsidRDefault="00A249AC" w:rsidP="00A249AC">
      <w:pPr>
        <w:pStyle w:val="Heading3"/>
      </w:pPr>
      <w:bookmarkStart w:id="40" w:name="_Toc98866129"/>
      <w:bookmarkStart w:id="41" w:name="_Toc98866288"/>
      <w:r>
        <w:t xml:space="preserve">PRIORITY AREA 1.1 – Develop and implement a data strategy to improve the quality, comprehensiveness, timeliness, </w:t>
      </w:r>
      <w:proofErr w:type="gramStart"/>
      <w:r>
        <w:t>reliability</w:t>
      </w:r>
      <w:proofErr w:type="gramEnd"/>
      <w:r>
        <w:t xml:space="preserve"> and useability of mental health workforce data</w:t>
      </w:r>
      <w:bookmarkEnd w:id="40"/>
      <w:bookmarkEnd w:id="41"/>
    </w:p>
    <w:p w14:paraId="26401393" w14:textId="2FEC7EEA" w:rsidR="00DA2143" w:rsidRDefault="00AF20A9" w:rsidP="00DA2143">
      <w:pPr>
        <w:pStyle w:val="Heading4"/>
      </w:pPr>
      <w:r w:rsidRPr="00A9540B">
        <w:t xml:space="preserve">Action 1.1.1 </w:t>
      </w:r>
    </w:p>
    <w:p w14:paraId="65F4B0E0" w14:textId="48C0C486" w:rsidR="00A249AC" w:rsidRDefault="00177AE3" w:rsidP="00177AE3">
      <w:pPr>
        <w:pStyle w:val="BodyText"/>
      </w:pPr>
      <w:r>
        <w:t>D</w:t>
      </w:r>
      <w:r w:rsidR="00AF20A9" w:rsidRPr="00D7145D">
        <w:t xml:space="preserve">efine what data are required, for what purpose, where data are currently held and what additional collections are required to improve reliability, </w:t>
      </w:r>
      <w:proofErr w:type="gramStart"/>
      <w:r w:rsidR="00AF20A9" w:rsidRPr="00D7145D">
        <w:t>accessibility</w:t>
      </w:r>
      <w:proofErr w:type="gramEnd"/>
      <w:r w:rsidR="00AF20A9" w:rsidRPr="00D7145D">
        <w:t xml:space="preserve"> and comprehensiveness</w:t>
      </w:r>
      <w:r w:rsidR="00A9540B">
        <w:t>.</w:t>
      </w:r>
    </w:p>
    <w:p w14:paraId="332830F1" w14:textId="6060AA76" w:rsidR="00A9540B" w:rsidRDefault="00177AE3" w:rsidP="00BB73D3">
      <w:pPr>
        <w:pStyle w:val="BodyText"/>
        <w:tabs>
          <w:tab w:val="left" w:pos="1134"/>
        </w:tabs>
      </w:pPr>
      <w:r>
        <w:t>Detail</w:t>
      </w:r>
      <w:r w:rsidR="00BB73D3">
        <w:t>:</w:t>
      </w:r>
      <w:r w:rsidR="00BB73D3">
        <w:tab/>
      </w:r>
      <w:r w:rsidR="00A9540B" w:rsidRPr="00A9540B">
        <w:t>Occupations for inclusion in the first iteration of a National Mental Health Data Strategy: Aboriginal and Torres Strait Islander Health Practitioners; Aboriginal and Torres Strait Islander Health Workers; Aboriginal and Torres Strait Islander Mental Health Workers; Alcohol and Other Drug Workers; Counsellors and psychotherapists; Creative Arts Therapists; Dietitians ; Enrolled Nurses; Exercise Physiologists; General Practitioners (including Rural Generalists); Lived Experience (Peer) Workers; Mental Health Nurses; Nurse Practitioners; Occupational Therapists; Paediatricians; Pharmacists; Psychiatrists; Psychologists; Psychosocial Support Workers; Physiotherapists; Registered Nurses; Social Workers; Speech Pathologists</w:t>
      </w:r>
      <w:r w:rsidR="003B2547">
        <w:t>.</w:t>
      </w:r>
    </w:p>
    <w:p w14:paraId="66231FEA" w14:textId="3B44537B" w:rsidR="00CD00F1" w:rsidRDefault="00CD00F1" w:rsidP="00BB73D3">
      <w:pPr>
        <w:pStyle w:val="Heading4"/>
      </w:pPr>
      <w:r>
        <w:t xml:space="preserve">Action 1.1.2 </w:t>
      </w:r>
    </w:p>
    <w:p w14:paraId="373164D3" w14:textId="777852A5" w:rsidR="00CD00F1" w:rsidRDefault="00CD00F1" w:rsidP="00CD00F1">
      <w:pPr>
        <w:pStyle w:val="BodyText"/>
      </w:pPr>
      <w:r>
        <w:t>Implement the National Mental Health Workforce Data Strategy at organisation, state/</w:t>
      </w:r>
      <w:proofErr w:type="gramStart"/>
      <w:r>
        <w:t>territory</w:t>
      </w:r>
      <w:proofErr w:type="gramEnd"/>
      <w:r>
        <w:t xml:space="preserve"> and national levels to support data collection and consolidation</w:t>
      </w:r>
      <w:r w:rsidR="003B2547">
        <w:t>.</w:t>
      </w:r>
    </w:p>
    <w:p w14:paraId="1F174998" w14:textId="1E327DEC" w:rsidR="0080440A" w:rsidRDefault="0080440A" w:rsidP="001E0225">
      <w:pPr>
        <w:pStyle w:val="BodyText"/>
        <w:tabs>
          <w:tab w:val="left" w:pos="1701"/>
        </w:tabs>
      </w:pPr>
      <w:r>
        <w:t>Detail:</w:t>
      </w:r>
      <w:r w:rsidR="003B2547">
        <w:t xml:space="preserve">  </w:t>
      </w:r>
      <w:r>
        <w:t>N/A</w:t>
      </w:r>
    </w:p>
    <w:p w14:paraId="402A11EB" w14:textId="77777777" w:rsidR="00A66E63" w:rsidRDefault="0080440A" w:rsidP="00AC3D44">
      <w:pPr>
        <w:pStyle w:val="Heading4"/>
      </w:pPr>
      <w:r>
        <w:lastRenderedPageBreak/>
        <w:t>Potential imp</w:t>
      </w:r>
      <w:r w:rsidR="00A66E63">
        <w:t>lementation examples:</w:t>
      </w:r>
    </w:p>
    <w:p w14:paraId="470A69F3" w14:textId="47436CAD" w:rsidR="00A66E63" w:rsidRDefault="00A66E63" w:rsidP="003B2547">
      <w:pPr>
        <w:pStyle w:val="ListBullet"/>
      </w:pPr>
      <w:r>
        <w:t xml:space="preserve">Identify early opportunities to improve data collection, monitoring and sharing while the National Mental Health Workforce Data Strategy is being developed. </w:t>
      </w:r>
    </w:p>
    <w:p w14:paraId="758F667E" w14:textId="77777777" w:rsidR="00A66E63" w:rsidRDefault="00A66E63" w:rsidP="003B2547">
      <w:pPr>
        <w:pStyle w:val="ListBullet"/>
      </w:pPr>
      <w:r>
        <w:t>Support education and training providers and professional bodies and colleges to capture data on student enrolments and completions to provide visibility of training pipelines.</w:t>
      </w:r>
    </w:p>
    <w:p w14:paraId="195BDA19" w14:textId="77777777" w:rsidR="00A66E63" w:rsidRDefault="00A66E63" w:rsidP="003B2547">
      <w:pPr>
        <w:pStyle w:val="ListBullet"/>
      </w:pPr>
      <w:r>
        <w:t xml:space="preserve">Enable data sharing across jurisdictions, health services (including ACCOs), peak professional bodies and colleges and education providers to support understanding of possible workforce supply. </w:t>
      </w:r>
    </w:p>
    <w:p w14:paraId="73CAC154" w14:textId="77777777" w:rsidR="00A66E63" w:rsidRDefault="00A66E63" w:rsidP="003B2547">
      <w:pPr>
        <w:pStyle w:val="ListBullet"/>
      </w:pPr>
      <w:r>
        <w:t>Where possible, link workforce data to service quality and safety data including consumer and carer outcome data. This could include accessible data that helps to improve understanding of the factors that contribute to quality care.</w:t>
      </w:r>
    </w:p>
    <w:p w14:paraId="4467A1F6" w14:textId="77777777" w:rsidR="00A66E63" w:rsidRDefault="00A66E63" w:rsidP="003B2547">
      <w:pPr>
        <w:pStyle w:val="ListBullet"/>
      </w:pPr>
      <w:r>
        <w:t>Embed the ABS 2020 Standard for Sex, Gender, Variations of Sex Characteristics and Sexual Orientation Variables to enable usable and comparable data which accurately captures LGBTIQ+ people.</w:t>
      </w:r>
    </w:p>
    <w:p w14:paraId="3108B38C" w14:textId="7EC7C4A3" w:rsidR="0080440A" w:rsidRDefault="00A66E63" w:rsidP="003B2547">
      <w:pPr>
        <w:pStyle w:val="ListBullet"/>
      </w:pPr>
      <w:r>
        <w:t>Develop a National Allied Health Data Strategy which includes building a geospatial Allied Health Minimum Dataset that incorporates comprehensive rural and remote allied health workforce data.</w:t>
      </w:r>
    </w:p>
    <w:p w14:paraId="50CFA982" w14:textId="6D10961B" w:rsidR="00BB73D3" w:rsidRDefault="00DC5940" w:rsidP="00DC5940">
      <w:pPr>
        <w:pStyle w:val="Heading3"/>
      </w:pPr>
      <w:bookmarkStart w:id="42" w:name="_Toc98866130"/>
      <w:bookmarkStart w:id="43" w:name="_Toc98866289"/>
      <w:r>
        <w:t xml:space="preserve">PRIORITY AREA 1.2 – Enhance mental health workforce data systems and planning models </w:t>
      </w:r>
      <w:proofErr w:type="gramStart"/>
      <w:r>
        <w:t>through the use of</w:t>
      </w:r>
      <w:proofErr w:type="gramEnd"/>
      <w:r>
        <w:t xml:space="preserve"> more reliable and comprehensive data</w:t>
      </w:r>
      <w:bookmarkEnd w:id="42"/>
      <w:bookmarkEnd w:id="43"/>
    </w:p>
    <w:p w14:paraId="570BDF75" w14:textId="774B141E" w:rsidR="00DC5940" w:rsidRDefault="00DC5940" w:rsidP="00DC5940">
      <w:pPr>
        <w:pStyle w:val="Heading4"/>
      </w:pPr>
      <w:r>
        <w:t xml:space="preserve">Action 1.2.1 </w:t>
      </w:r>
    </w:p>
    <w:p w14:paraId="305B7EB3" w14:textId="31D9C31B" w:rsidR="00DC5940" w:rsidRDefault="00DC5940" w:rsidP="00DC5940">
      <w:pPr>
        <w:pStyle w:val="BodyText"/>
      </w:pPr>
      <w:r>
        <w:t>Support use of mental health workforce data by making it publicly accessible in a manner that is useable for informing inform mental health workforce planning and support development of meaningful government interventions to better match workforce demand and supply across occupations and settings</w:t>
      </w:r>
      <w:r w:rsidR="003B2547">
        <w:t>.</w:t>
      </w:r>
    </w:p>
    <w:p w14:paraId="0AEBA5FE" w14:textId="6B04475C" w:rsidR="00DC5940" w:rsidRDefault="00DC5940" w:rsidP="001E0225">
      <w:pPr>
        <w:pStyle w:val="BodyText"/>
        <w:tabs>
          <w:tab w:val="left" w:pos="1701"/>
        </w:tabs>
      </w:pPr>
      <w:r>
        <w:t>Detail:</w:t>
      </w:r>
      <w:r w:rsidR="003B2547">
        <w:t xml:space="preserve"> </w:t>
      </w:r>
      <w:r w:rsidR="001E0225">
        <w:t>N/A</w:t>
      </w:r>
    </w:p>
    <w:p w14:paraId="10361BCC" w14:textId="77777777" w:rsidR="00AC3D44" w:rsidRDefault="00AC3D44" w:rsidP="00AC3D44">
      <w:pPr>
        <w:pStyle w:val="Heading4"/>
      </w:pPr>
      <w:r>
        <w:t>Potential implementation examples:</w:t>
      </w:r>
    </w:p>
    <w:p w14:paraId="300DDFF0" w14:textId="77777777" w:rsidR="00AC3D44" w:rsidRDefault="00AC3D44" w:rsidP="003B2547">
      <w:pPr>
        <w:pStyle w:val="ListBullet"/>
      </w:pPr>
      <w:r>
        <w:t xml:space="preserve">Review the National Mental Health Service Planning Framework to ensure relevance and accessibility across states and territories and inclusion of rural, </w:t>
      </w:r>
      <w:proofErr w:type="gramStart"/>
      <w:r>
        <w:t>remote</w:t>
      </w:r>
      <w:proofErr w:type="gramEnd"/>
      <w:r>
        <w:t xml:space="preserve"> and vulnerable populations. </w:t>
      </w:r>
    </w:p>
    <w:p w14:paraId="7E6F2739" w14:textId="4AE7C3E9" w:rsidR="001E0225" w:rsidRDefault="00AC3D44" w:rsidP="003B2547">
      <w:pPr>
        <w:pStyle w:val="ListBullet"/>
      </w:pPr>
      <w:r>
        <w:t>Provide funding to facilitate collection of data on community-based workforces, including psychosocial and Lived Experience (Peer) workforces.</w:t>
      </w:r>
    </w:p>
    <w:p w14:paraId="3853AE97" w14:textId="05DEC55A" w:rsidR="00D73C41" w:rsidRDefault="00D73C41" w:rsidP="00A27972">
      <w:pPr>
        <w:pStyle w:val="Heading2"/>
      </w:pPr>
      <w:bookmarkStart w:id="44" w:name="_Toc98866131"/>
      <w:bookmarkStart w:id="45" w:name="_Toc98866290"/>
      <w:r w:rsidRPr="00D73C41">
        <w:lastRenderedPageBreak/>
        <w:t>Objective 2 – The entire mental health workforce is utilised efficiently and effectively</w:t>
      </w:r>
      <w:bookmarkEnd w:id="44"/>
      <w:bookmarkEnd w:id="45"/>
    </w:p>
    <w:p w14:paraId="40F870A1" w14:textId="1F72DFE6" w:rsidR="00740CEC" w:rsidRDefault="00A27972" w:rsidP="00A27972">
      <w:pPr>
        <w:pStyle w:val="Heading3"/>
      </w:pPr>
      <w:bookmarkStart w:id="46" w:name="_Toc98866132"/>
      <w:bookmarkStart w:id="47" w:name="_Toc98866291"/>
      <w:r>
        <w:t>PRIORITY AREA 2.1 – Identify evidence based mental health promotion activities that address the needs of the population and the competencies required to deliver them</w:t>
      </w:r>
      <w:bookmarkEnd w:id="46"/>
      <w:bookmarkEnd w:id="47"/>
    </w:p>
    <w:p w14:paraId="258C7A82" w14:textId="3F027232" w:rsidR="00A27972" w:rsidRDefault="00A27972" w:rsidP="00703F38">
      <w:pPr>
        <w:pStyle w:val="Heading4"/>
      </w:pPr>
      <w:r>
        <w:t xml:space="preserve">Action 2.1.1 </w:t>
      </w:r>
    </w:p>
    <w:p w14:paraId="150431A1" w14:textId="3055EA24" w:rsidR="00A27972" w:rsidRDefault="00A27972" w:rsidP="00A27972">
      <w:pPr>
        <w:pStyle w:val="BodyText"/>
      </w:pPr>
      <w:r>
        <w:t>Define the competencies required by the mental health promotion workforce to deliver evidence based mental health promotion and suicide prevention activities</w:t>
      </w:r>
      <w:r w:rsidR="003B2547">
        <w:t>.</w:t>
      </w:r>
    </w:p>
    <w:p w14:paraId="4B545502" w14:textId="74071934" w:rsidR="00703F38" w:rsidRDefault="00703F38" w:rsidP="00703F38">
      <w:pPr>
        <w:pStyle w:val="BodyText"/>
        <w:tabs>
          <w:tab w:val="left" w:pos="1701"/>
        </w:tabs>
      </w:pPr>
      <w:r>
        <w:t>Detail:</w:t>
      </w:r>
      <w:r w:rsidR="00DB6FEC">
        <w:t xml:space="preserve">  </w:t>
      </w:r>
      <w:r>
        <w:t>N/A</w:t>
      </w:r>
    </w:p>
    <w:p w14:paraId="584780A1" w14:textId="6DBC70B6" w:rsidR="00703F38" w:rsidRDefault="00DB6FEC" w:rsidP="00703F38">
      <w:pPr>
        <w:pStyle w:val="BodyText"/>
        <w:tabs>
          <w:tab w:val="left" w:pos="1701"/>
        </w:tabs>
      </w:pPr>
      <w:r w:rsidRPr="00DB6FEC">
        <w:t>Potential implementation examples:</w:t>
      </w:r>
      <w:r>
        <w:t xml:space="preserve">  N/A</w:t>
      </w:r>
    </w:p>
    <w:p w14:paraId="46C047C8" w14:textId="538EFF45" w:rsidR="00A27972" w:rsidRDefault="006E3DF5" w:rsidP="006E3DF5">
      <w:pPr>
        <w:pStyle w:val="Heading3"/>
      </w:pPr>
      <w:bookmarkStart w:id="48" w:name="_Toc98866133"/>
      <w:bookmarkStart w:id="49" w:name="_Toc98866292"/>
      <w:r>
        <w:t xml:space="preserve">PRIORITY AREA 2.2 – Identify </w:t>
      </w:r>
      <w:proofErr w:type="gramStart"/>
      <w:r>
        <w:t>evidence based</w:t>
      </w:r>
      <w:proofErr w:type="gramEnd"/>
      <w:r>
        <w:t xml:space="preserve"> components of care that meet the needs of consumers and carers and the competencies required to deliver them</w:t>
      </w:r>
      <w:bookmarkEnd w:id="48"/>
      <w:bookmarkEnd w:id="49"/>
    </w:p>
    <w:p w14:paraId="08F93932" w14:textId="4027C2A8" w:rsidR="004F5137" w:rsidRDefault="004F5137" w:rsidP="004F5137">
      <w:pPr>
        <w:pStyle w:val="Heading4"/>
      </w:pPr>
      <w:r>
        <w:t xml:space="preserve">Action 2.2.1 </w:t>
      </w:r>
    </w:p>
    <w:p w14:paraId="5C13F618" w14:textId="77777777" w:rsidR="004F5137" w:rsidRDefault="004F5137" w:rsidP="004F5137">
      <w:pPr>
        <w:pStyle w:val="BodyText"/>
      </w:pPr>
      <w:r>
        <w:t>Identify components of care (subsets of models of care) that meet the needs of consumers and carers, including those needed by people at different stages in the life course, from various cultural backgrounds including Aboriginal and Torres Strait Islander peoples, people facing specific circumstances such as during the perinatal period or when experiencing AOD issues, and those required to better integrate support and treatment at all stages of the recovery journey</w:t>
      </w:r>
    </w:p>
    <w:p w14:paraId="55DA33B2" w14:textId="7EB6FD40" w:rsidR="00DB6FEC" w:rsidRDefault="00226F11" w:rsidP="00740CEC">
      <w:pPr>
        <w:pStyle w:val="BodyText"/>
      </w:pPr>
      <w:r>
        <w:t>Detail:  N/A</w:t>
      </w:r>
    </w:p>
    <w:p w14:paraId="6030F805" w14:textId="77777777" w:rsidR="009F0589" w:rsidRDefault="004110B6" w:rsidP="004110B6">
      <w:pPr>
        <w:pStyle w:val="BodyText"/>
      </w:pPr>
      <w:r w:rsidRPr="00DB6FEC">
        <w:t>Potential implementation examples</w:t>
      </w:r>
      <w:r>
        <w:t xml:space="preserve">:  </w:t>
      </w:r>
    </w:p>
    <w:p w14:paraId="26B12E33" w14:textId="1F60D0A4" w:rsidR="004110B6" w:rsidRDefault="004110B6" w:rsidP="009F0589">
      <w:pPr>
        <w:pStyle w:val="ListBullet"/>
      </w:pPr>
      <w:r>
        <w:t>Develop a shared language to support implementation of the common core competencies required to deliver preventative mental health activities and mental health support and treatment, recognising the need for specialised competencies.</w:t>
      </w:r>
    </w:p>
    <w:p w14:paraId="22466797" w14:textId="2280FA6B" w:rsidR="00226F11" w:rsidRDefault="00226F11" w:rsidP="00D43527">
      <w:pPr>
        <w:pStyle w:val="Heading4"/>
      </w:pPr>
      <w:r>
        <w:t xml:space="preserve">Action 2.2.2 </w:t>
      </w:r>
    </w:p>
    <w:p w14:paraId="016EC1CF" w14:textId="0200E194" w:rsidR="00226F11" w:rsidRDefault="00226F11" w:rsidP="00226F11">
      <w:pPr>
        <w:pStyle w:val="BodyText"/>
      </w:pPr>
      <w:r>
        <w:t>Define the competencies required by the mental health workforce to deliver the components of care, including the core competencies required to deliver person-centred, recovered oriented, trauma informed, culturally safe and integrated support and treatment that effectively utilises multidisciplinary teams</w:t>
      </w:r>
    </w:p>
    <w:p w14:paraId="15A80496" w14:textId="1DF15231" w:rsidR="006E3DF5" w:rsidRDefault="000C2110" w:rsidP="00740CEC">
      <w:pPr>
        <w:pStyle w:val="BodyText"/>
      </w:pPr>
      <w:r>
        <w:t>Detail:  N/A</w:t>
      </w:r>
    </w:p>
    <w:p w14:paraId="64E738AB" w14:textId="77777777" w:rsidR="008A0570" w:rsidRDefault="00D43527" w:rsidP="008A0570">
      <w:pPr>
        <w:pStyle w:val="BodyText"/>
        <w:keepNext/>
        <w:keepLines/>
      </w:pPr>
      <w:r w:rsidRPr="00DB6FEC">
        <w:lastRenderedPageBreak/>
        <w:t>Potential implementation examples</w:t>
      </w:r>
      <w:r w:rsidR="008A4426">
        <w:t xml:space="preserve">: </w:t>
      </w:r>
      <w:r w:rsidR="004110B6">
        <w:t xml:space="preserve"> </w:t>
      </w:r>
    </w:p>
    <w:p w14:paraId="04AD0EA3" w14:textId="4E351158" w:rsidR="00D43527" w:rsidRDefault="00D43527" w:rsidP="008A0570">
      <w:pPr>
        <w:pStyle w:val="ListBullet"/>
      </w:pPr>
      <w:r>
        <w:t>Develop a shared language to support implementation of the common core competencies required to deliver preventative mental health activities and mental health support and treatment, recognising the need for specialised competencies.</w:t>
      </w:r>
    </w:p>
    <w:p w14:paraId="26B3727B" w14:textId="4007A2A2" w:rsidR="00D43527" w:rsidRDefault="00D43527" w:rsidP="008A0570">
      <w:pPr>
        <w:pStyle w:val="ListBullet"/>
      </w:pPr>
      <w:r>
        <w:t>Map proposed scopes of roles against the National Mental Health Core Capabilities to inform both the above and consideration of appropriate role scopes.</w:t>
      </w:r>
    </w:p>
    <w:p w14:paraId="7FF6F465" w14:textId="53AFDBCF" w:rsidR="007C194E" w:rsidRDefault="007C194E" w:rsidP="007C194E">
      <w:pPr>
        <w:pStyle w:val="Heading3"/>
      </w:pPr>
      <w:bookmarkStart w:id="50" w:name="_Toc98866134"/>
      <w:bookmarkStart w:id="51" w:name="_Toc98866293"/>
      <w:r>
        <w:t>PRIORITY AREA 2.3 – Define nationally consistent scopes of practice for the mental health workforce</w:t>
      </w:r>
      <w:bookmarkEnd w:id="50"/>
      <w:bookmarkEnd w:id="51"/>
    </w:p>
    <w:p w14:paraId="7A7BDC12" w14:textId="01A4B6DA" w:rsidR="007F14CF" w:rsidRDefault="007F14CF" w:rsidP="007F14CF">
      <w:pPr>
        <w:pStyle w:val="Heading4"/>
      </w:pPr>
      <w:r>
        <w:t xml:space="preserve">Action 2.3.1 </w:t>
      </w:r>
    </w:p>
    <w:p w14:paraId="6BF42623" w14:textId="121596FC" w:rsidR="000C2110" w:rsidRDefault="007F14CF" w:rsidP="007F14CF">
      <w:pPr>
        <w:pStyle w:val="BodyText"/>
      </w:pPr>
      <w:r>
        <w:t>Define nationally consistent scopes of practice that reflect the components of care and competencies required to deliver them, recognising discipline-specific contributions and multidisciplinary care</w:t>
      </w:r>
      <w:r w:rsidR="003B2547">
        <w:t>.</w:t>
      </w:r>
    </w:p>
    <w:p w14:paraId="3E4E9958" w14:textId="6B8CA7E6" w:rsidR="007F14CF" w:rsidRDefault="007F14CF" w:rsidP="007F14CF">
      <w:pPr>
        <w:pStyle w:val="BodyText"/>
      </w:pPr>
      <w:r>
        <w:t>Occupations where scope should be confirmed: Aboriginal and Torres Strait Islander Health Practitioners; Counsellors and psychotherapists; Dietitians; Enrolled Nurses; Emergency Department Medical Officers; Exercise Physiologists; General Practitioners; General Practitioners with Advanced Specialist training in Mental Health; General Practitioners with Advanced Specialist training as Rural Generalists; Mental Health Nurses; Nurse Practitioners; Occupational Therapists; Other Allied Health Workers; Paediatricians; Paramedics; Pharmacists; Physiotherapists; Psychiatrists; Psychologists and Endorsed Psychologists; Registered Nurses; Registrars; Social Workers; Speech Pathologists.</w:t>
      </w:r>
    </w:p>
    <w:p w14:paraId="636F395D" w14:textId="614E09A0" w:rsidR="007C194E" w:rsidRDefault="007F14CF" w:rsidP="007F14CF">
      <w:pPr>
        <w:pStyle w:val="BodyText"/>
      </w:pPr>
      <w:r>
        <w:t>Occupations where scope should be developed: Aboriginal and Torres Strait Islander Health Workers; Aboriginal and Torres Strait Islander Mental Health Workers; Alcohol and Other Drug Workers; Allied Health Assistants; Creative Art Therapists; Exercise Physiologists; First Responders (Emergency Services); Lived Experience (Peer) Workers; Paramedics; Psychosocial Support Workers</w:t>
      </w:r>
      <w:r w:rsidR="003B2547">
        <w:t>.</w:t>
      </w:r>
    </w:p>
    <w:p w14:paraId="4C66BB89" w14:textId="478CDDE0" w:rsidR="00DD0C36" w:rsidRDefault="00DD0C36" w:rsidP="00754921">
      <w:pPr>
        <w:pStyle w:val="BodyText"/>
      </w:pPr>
      <w:r w:rsidRPr="00DB6FEC">
        <w:t>Potential implementation examples</w:t>
      </w:r>
      <w:r>
        <w:t xml:space="preserve">:  </w:t>
      </w:r>
    </w:p>
    <w:p w14:paraId="464A957D" w14:textId="1B5CA65B" w:rsidR="00754921" w:rsidRDefault="00754921" w:rsidP="00DD0C36">
      <w:pPr>
        <w:pStyle w:val="ListBullet"/>
      </w:pPr>
      <w:r>
        <w:t xml:space="preserve">Develop a national governance process that is inclusive of the broadly defined mental health workforce to oversee the review of scopes of practice and authorities for referral, ensuring a mutually consistent approach across the mental health sector. </w:t>
      </w:r>
    </w:p>
    <w:p w14:paraId="3655A491" w14:textId="77777777" w:rsidR="00754921" w:rsidRDefault="00754921" w:rsidP="00DD0C36">
      <w:pPr>
        <w:pStyle w:val="ListBullet"/>
      </w:pPr>
      <w:r>
        <w:t>Establish a nationally coordinated committee with representatives of broadly defined mental health workforce to drive improved consistency of training, including for the workforces delivering preventative mental health activities.</w:t>
      </w:r>
    </w:p>
    <w:p w14:paraId="0E972572" w14:textId="77777777" w:rsidR="00754921" w:rsidRDefault="00754921" w:rsidP="00DD0C36">
      <w:pPr>
        <w:pStyle w:val="ListBullet"/>
      </w:pPr>
      <w:r>
        <w:t xml:space="preserve">Introduce a staged process requiring mandatory qualifications for specialist psychosocial support staff, including recognition of prior learning, to ensure that the expansion of these services does not result in a reduction in service quality. </w:t>
      </w:r>
    </w:p>
    <w:p w14:paraId="578446ED" w14:textId="77777777" w:rsidR="00754921" w:rsidRDefault="00754921" w:rsidP="00DD0C36">
      <w:pPr>
        <w:pStyle w:val="ListBullet"/>
      </w:pPr>
      <w:r>
        <w:t>Support development of vocational and higher education training experiences that are co-designed and co-produced with consumers and carers.</w:t>
      </w:r>
    </w:p>
    <w:p w14:paraId="00D4938F" w14:textId="775436C8" w:rsidR="00754921" w:rsidRDefault="00754921" w:rsidP="00DD0C36">
      <w:pPr>
        <w:pStyle w:val="ListBullet"/>
      </w:pPr>
      <w:r>
        <w:lastRenderedPageBreak/>
        <w:t>Map proposed scopes of roles against the National Mental Health Core Capabilities to inform both the competencies and appropriate role scopes.</w:t>
      </w:r>
    </w:p>
    <w:p w14:paraId="2743FB2B" w14:textId="7ED292D5" w:rsidR="009F0589" w:rsidRDefault="009F0589" w:rsidP="00D96F1D">
      <w:pPr>
        <w:pStyle w:val="Heading4"/>
      </w:pPr>
      <w:r>
        <w:t xml:space="preserve">Action 2.3.2 </w:t>
      </w:r>
    </w:p>
    <w:p w14:paraId="74C68F10" w14:textId="09D4354A" w:rsidR="009F0589" w:rsidRDefault="009F0589" w:rsidP="009F0589">
      <w:pPr>
        <w:pStyle w:val="BodyText"/>
      </w:pPr>
      <w:r>
        <w:t>Ensure education and training providers’ programs adequately address the mental health workforce’s scopes of practice</w:t>
      </w:r>
      <w:r w:rsidR="003B2547">
        <w:t>.</w:t>
      </w:r>
    </w:p>
    <w:p w14:paraId="7D8B4785" w14:textId="1A09531D" w:rsidR="00D96F1D" w:rsidRDefault="00D96F1D" w:rsidP="009F0589">
      <w:pPr>
        <w:pStyle w:val="BodyText"/>
      </w:pPr>
      <w:r>
        <w:t>Detail: N/A</w:t>
      </w:r>
    </w:p>
    <w:p w14:paraId="38BC8A78" w14:textId="77777777" w:rsidR="00D96F1D" w:rsidRDefault="00D96F1D" w:rsidP="00D96F1D">
      <w:pPr>
        <w:pStyle w:val="BodyText"/>
      </w:pPr>
      <w:r w:rsidRPr="00DB6FEC">
        <w:t>Potential implementation examples</w:t>
      </w:r>
      <w:r>
        <w:t xml:space="preserve">:  </w:t>
      </w:r>
    </w:p>
    <w:p w14:paraId="1792E39C" w14:textId="77777777" w:rsidR="00D96F1D" w:rsidRDefault="00D96F1D" w:rsidP="00D96F1D">
      <w:pPr>
        <w:pStyle w:val="ListBullet"/>
      </w:pPr>
      <w:r>
        <w:t xml:space="preserve">Develop a national governance process that is inclusive of the broadly defined mental health workforce to oversee the review of scopes of practice and authorities for referral, ensuring a mutually consistent approach across the mental health sector. </w:t>
      </w:r>
    </w:p>
    <w:p w14:paraId="79329BDA" w14:textId="77777777" w:rsidR="00D96F1D" w:rsidRDefault="00D96F1D" w:rsidP="00D96F1D">
      <w:pPr>
        <w:pStyle w:val="ListBullet"/>
      </w:pPr>
      <w:r>
        <w:t>Establish a nationally coordinated committee with representatives of broadly defined mental health workforce to drive improved consistency of training, including for the workforces delivering preventative mental health activities.</w:t>
      </w:r>
    </w:p>
    <w:p w14:paraId="259205A4" w14:textId="77777777" w:rsidR="00D96F1D" w:rsidRDefault="00D96F1D" w:rsidP="00D96F1D">
      <w:pPr>
        <w:pStyle w:val="ListBullet"/>
      </w:pPr>
      <w:r>
        <w:t xml:space="preserve">Introduce a staged process requiring mandatory qualifications for specialist psychosocial support staff, including recognition of prior learning, to ensure that the expansion of these services does not result in a reduction in service quality. </w:t>
      </w:r>
    </w:p>
    <w:p w14:paraId="6DEF1966" w14:textId="77777777" w:rsidR="00D96F1D" w:rsidRDefault="00D96F1D" w:rsidP="00D96F1D">
      <w:pPr>
        <w:pStyle w:val="ListBullet"/>
      </w:pPr>
      <w:r>
        <w:t>Support development of vocational and higher education training experiences that are co-designed and co-produced with consumers and carers.</w:t>
      </w:r>
    </w:p>
    <w:p w14:paraId="2E030E87" w14:textId="08AE606F" w:rsidR="007F14CF" w:rsidRDefault="00D96F1D" w:rsidP="00D96F1D">
      <w:pPr>
        <w:pStyle w:val="ListBullet"/>
      </w:pPr>
      <w:r>
        <w:t>Map proposed scopes of roles against the National Mental Health Core Capabilities to inform both the competencies and appropriate role scopes.</w:t>
      </w:r>
    </w:p>
    <w:p w14:paraId="1DFEF516" w14:textId="70E53F9B" w:rsidR="00D96F1D" w:rsidRDefault="00844703" w:rsidP="00844703">
      <w:pPr>
        <w:pStyle w:val="Heading3"/>
      </w:pPr>
      <w:bookmarkStart w:id="52" w:name="_Toc98866135"/>
      <w:bookmarkStart w:id="53" w:name="_Toc98866294"/>
      <w:r>
        <w:t>PRIORITY AREA 2.4 – Develop roles that utilise workers’ full scopes of practice including more effective use of multidisciplinary teams</w:t>
      </w:r>
      <w:bookmarkEnd w:id="52"/>
      <w:bookmarkEnd w:id="53"/>
    </w:p>
    <w:p w14:paraId="1AF45A72" w14:textId="5991AEC1" w:rsidR="00844703" w:rsidRDefault="00844703" w:rsidP="006A7790">
      <w:pPr>
        <w:pStyle w:val="Heading4"/>
      </w:pPr>
      <w:r>
        <w:t>Action 2.4.1</w:t>
      </w:r>
    </w:p>
    <w:p w14:paraId="39FCF811" w14:textId="2D0D1C85" w:rsidR="00D96F1D" w:rsidRDefault="00844703" w:rsidP="00844703">
      <w:pPr>
        <w:pStyle w:val="BodyText"/>
      </w:pPr>
      <w:r>
        <w:t>Establish roles and career paths that reflect effective use of multidisciplinary teams within nationally consistent scopes of practice and enable workers from each occupation to work to the top of their scope of practice</w:t>
      </w:r>
      <w:r w:rsidR="003B2547">
        <w:t>.</w:t>
      </w:r>
    </w:p>
    <w:p w14:paraId="2A0F8A78" w14:textId="6B0BDC7A" w:rsidR="00D14575" w:rsidRDefault="00D14575" w:rsidP="00D14575">
      <w:pPr>
        <w:pStyle w:val="BodyText"/>
      </w:pPr>
      <w:r>
        <w:t>Occupations where career paths are established: Counsellors and psychotherapists; Emergency Department Medical Officers; Enrolled Nurses; Exercise Physiologists; Nurse Practitioners; Paediatricians; Paramedics; Pharmacists; Physiotherapists; Psychiatrists; Psychologists and Endorsed Psychologists; Registrars</w:t>
      </w:r>
      <w:r w:rsidR="003B2547">
        <w:t>.</w:t>
      </w:r>
    </w:p>
    <w:p w14:paraId="6DD3BA4A" w14:textId="41161D12" w:rsidR="00D14575" w:rsidRDefault="00D14575" w:rsidP="00D14575">
      <w:pPr>
        <w:pStyle w:val="BodyText"/>
      </w:pPr>
      <w:r>
        <w:t xml:space="preserve">Occupations where career paths can be strengthened: Aboriginal and Torres Strait Islander Health Practitioners; Aboriginal and Torres Strait Islander Health Workers; Aboriginal and Torres Strait Islander Mental Health Workers; Alcohol and Other Drug Workers; Allied Health Assistants; Creative Art Therapists; Dietitians; General Practitioners; General Practitioners with Advanced Specialist training in Mental Health; General Practitioners with Advanced </w:t>
      </w:r>
      <w:r>
        <w:lastRenderedPageBreak/>
        <w:t>Specialist training as Rural Generalists; Lived Experience (Peer) Workers; Mental Health Nurses; Occupational Therapists; Paramedics; Psychosocial Support Workers; Registered Nurses; Social Workers; Speech Pathologists</w:t>
      </w:r>
      <w:r w:rsidR="003B2547">
        <w:t>.</w:t>
      </w:r>
    </w:p>
    <w:p w14:paraId="0986D625" w14:textId="77777777" w:rsidR="00D14575" w:rsidRDefault="00D14575" w:rsidP="00D14575">
      <w:pPr>
        <w:pStyle w:val="BodyText"/>
      </w:pPr>
      <w:r w:rsidRPr="00DB6FEC">
        <w:t>Potential implementation examples</w:t>
      </w:r>
      <w:r>
        <w:t xml:space="preserve">:  </w:t>
      </w:r>
    </w:p>
    <w:p w14:paraId="351614C3" w14:textId="77777777" w:rsidR="00D14575" w:rsidRDefault="00D14575" w:rsidP="00D14575">
      <w:pPr>
        <w:pStyle w:val="ListBullet"/>
      </w:pPr>
      <w:r>
        <w:t>Develop training frameworks that encompass vocational and higher education programs to enable students and professionals to understand how their occupations contribute to multidisciplinary team approaches.</w:t>
      </w:r>
    </w:p>
    <w:p w14:paraId="2B275B1A" w14:textId="77777777" w:rsidR="00D14575" w:rsidRDefault="00D14575" w:rsidP="00D14575">
      <w:pPr>
        <w:pStyle w:val="ListBullet"/>
      </w:pPr>
      <w:r>
        <w:t xml:space="preserve">Develop an education campaign regarding the usefulness of multidisciplinary teams and the role of other occupations in preventing mental ill health. </w:t>
      </w:r>
    </w:p>
    <w:p w14:paraId="1FDEBB41" w14:textId="77777777" w:rsidR="00D14575" w:rsidRDefault="00D14575" w:rsidP="00D14575">
      <w:pPr>
        <w:pStyle w:val="ListBullet"/>
      </w:pPr>
      <w:r>
        <w:t xml:space="preserve">Provide incentives (such as time, information systems, financial </w:t>
      </w:r>
      <w:proofErr w:type="gramStart"/>
      <w:r>
        <w:t>systems</w:t>
      </w:r>
      <w:proofErr w:type="gramEnd"/>
      <w:r>
        <w:t xml:space="preserve"> and funding) to support the mental health workforce to function collaboratively and innovatively between occupations, providers and sectors, including through the use of digital health.</w:t>
      </w:r>
    </w:p>
    <w:p w14:paraId="1D29A951" w14:textId="3754E8F8" w:rsidR="00D14575" w:rsidRDefault="00D14575" w:rsidP="00D14575">
      <w:pPr>
        <w:pStyle w:val="ListBullet"/>
      </w:pPr>
      <w:r>
        <w:t>Transition away from the use of generic job roles and teams towards multidisciplinary teams, including development of clinical leaders, educator roles across all occupations, and changes to management and professional governance structures in some areas.</w:t>
      </w:r>
    </w:p>
    <w:p w14:paraId="0DADB450" w14:textId="5B78477D" w:rsidR="006A7790" w:rsidRDefault="006A7790" w:rsidP="0018164E">
      <w:pPr>
        <w:pStyle w:val="Heading4"/>
      </w:pPr>
      <w:r>
        <w:t>Action 2.4.2</w:t>
      </w:r>
    </w:p>
    <w:p w14:paraId="4F7A4CC2" w14:textId="086612FC" w:rsidR="006A7790" w:rsidRDefault="006A7790" w:rsidP="006A7790">
      <w:pPr>
        <w:pStyle w:val="BodyText"/>
      </w:pPr>
      <w:r>
        <w:t xml:space="preserve">Address attitudinal, </w:t>
      </w:r>
      <w:proofErr w:type="gramStart"/>
      <w:r>
        <w:t>organisational</w:t>
      </w:r>
      <w:proofErr w:type="gramEnd"/>
      <w:r>
        <w:t xml:space="preserve"> and legislative barriers to effective use of multidisciplinary teams to deliver integrated support and treatment</w:t>
      </w:r>
      <w:r w:rsidR="003B2547">
        <w:t>.</w:t>
      </w:r>
    </w:p>
    <w:p w14:paraId="7DA8D219" w14:textId="7A1BDBAE" w:rsidR="0018164E" w:rsidRDefault="0018164E" w:rsidP="006A7790">
      <w:pPr>
        <w:pStyle w:val="BodyText"/>
      </w:pPr>
      <w:r>
        <w:t>Detail:  N/A</w:t>
      </w:r>
    </w:p>
    <w:p w14:paraId="17617447" w14:textId="77777777" w:rsidR="0018164E" w:rsidRDefault="0018164E" w:rsidP="0018164E">
      <w:pPr>
        <w:pStyle w:val="BodyText"/>
      </w:pPr>
      <w:r w:rsidRPr="00DB6FEC">
        <w:t>Potential implementation examples</w:t>
      </w:r>
      <w:r>
        <w:t xml:space="preserve">:  </w:t>
      </w:r>
    </w:p>
    <w:p w14:paraId="4D1CD68F" w14:textId="77777777" w:rsidR="0018164E" w:rsidRDefault="0018164E" w:rsidP="0018164E">
      <w:pPr>
        <w:pStyle w:val="ListBullet"/>
      </w:pPr>
      <w:r>
        <w:t>Develop training frameworks that encompass vocational and higher education programs to enable students and professionals to understand how their occupations contribute to multidisciplinary team approaches.</w:t>
      </w:r>
    </w:p>
    <w:p w14:paraId="66600CD4" w14:textId="77777777" w:rsidR="0018164E" w:rsidRDefault="0018164E" w:rsidP="0018164E">
      <w:pPr>
        <w:pStyle w:val="ListBullet"/>
      </w:pPr>
      <w:r>
        <w:t xml:space="preserve">Develop an education campaign regarding the usefulness of multidisciplinary teams and the role of other occupations in preventing mental ill health. </w:t>
      </w:r>
    </w:p>
    <w:p w14:paraId="0DD91BE7" w14:textId="77777777" w:rsidR="0018164E" w:rsidRDefault="0018164E" w:rsidP="0018164E">
      <w:pPr>
        <w:pStyle w:val="ListBullet"/>
      </w:pPr>
      <w:r>
        <w:t xml:space="preserve">Provide incentives (such as time, information systems, financial </w:t>
      </w:r>
      <w:proofErr w:type="gramStart"/>
      <w:r>
        <w:t>systems</w:t>
      </w:r>
      <w:proofErr w:type="gramEnd"/>
      <w:r>
        <w:t xml:space="preserve"> and funding) to support the mental health workforce to function collaboratively and innovatively between occupations, providers and sectors, including through the use of digital health.</w:t>
      </w:r>
    </w:p>
    <w:p w14:paraId="19C78C63" w14:textId="4E169B9B" w:rsidR="0018164E" w:rsidRDefault="0018164E" w:rsidP="0018164E">
      <w:pPr>
        <w:pStyle w:val="ListBullet"/>
      </w:pPr>
      <w:r>
        <w:t>Transition away from the use of generic job roles and teams towards multidisciplinary teams, including development of clinical leaders, educator roles across all occupations, and changes to management and professional governance structures in some areas.</w:t>
      </w:r>
    </w:p>
    <w:p w14:paraId="48FC9329" w14:textId="163651D9" w:rsidR="00AD0775" w:rsidRDefault="00AD0775" w:rsidP="00440F7A">
      <w:pPr>
        <w:pStyle w:val="Heading3"/>
      </w:pPr>
      <w:bookmarkStart w:id="54" w:name="_Toc98866136"/>
      <w:bookmarkStart w:id="55" w:name="_Toc98866295"/>
      <w:r>
        <w:t>PRIORITY AREA 2.5</w:t>
      </w:r>
      <w:bookmarkEnd w:id="54"/>
      <w:bookmarkEnd w:id="55"/>
    </w:p>
    <w:p w14:paraId="545C634C" w14:textId="19D64009" w:rsidR="0018164E" w:rsidRDefault="00AD0775" w:rsidP="00AD0775">
      <w:pPr>
        <w:pStyle w:val="BodyText"/>
      </w:pPr>
      <w:r>
        <w:t xml:space="preserve">Ensure regulatory arrangements align with scopes of practice to support safe, </w:t>
      </w:r>
      <w:proofErr w:type="gramStart"/>
      <w:r>
        <w:t>high quality</w:t>
      </w:r>
      <w:proofErr w:type="gramEnd"/>
      <w:r>
        <w:t xml:space="preserve"> practice.</w:t>
      </w:r>
    </w:p>
    <w:p w14:paraId="0C35CB83" w14:textId="3CEEAEC0" w:rsidR="00AD0775" w:rsidRDefault="00AD0775" w:rsidP="00440F7A">
      <w:pPr>
        <w:pStyle w:val="Heading4"/>
      </w:pPr>
      <w:r>
        <w:lastRenderedPageBreak/>
        <w:t xml:space="preserve">Action 2.5.1 </w:t>
      </w:r>
    </w:p>
    <w:p w14:paraId="367DF96B" w14:textId="171B91C1" w:rsidR="00AD0775" w:rsidRDefault="00AD0775" w:rsidP="00AD0775">
      <w:pPr>
        <w:pStyle w:val="BodyText"/>
      </w:pPr>
      <w:r>
        <w:t>Review regulatory arrangements to ensure the appropriate regulatory approach is in place to ensure consumer and carer safety, given each occupation’s scope of practice</w:t>
      </w:r>
      <w:r w:rsidR="00951A8F">
        <w:t>.</w:t>
      </w:r>
    </w:p>
    <w:p w14:paraId="4118E841" w14:textId="1A40AA9E" w:rsidR="0065212D" w:rsidRDefault="0065212D" w:rsidP="0065212D">
      <w:pPr>
        <w:pStyle w:val="BodyText"/>
      </w:pPr>
      <w:r>
        <w:t>Occupations where regulation need to be confirmed: Dietitians; Emergency Department specialist and non-specialist health professionals; Enrolled Nurses; Exercise Physiologists</w:t>
      </w:r>
      <w:r w:rsidR="00440F7A">
        <w:t xml:space="preserve">; </w:t>
      </w:r>
      <w:r>
        <w:t>General Practitioners; General Practitioners with Advanced Specialist training in Mental Health; General Practitioners with Advanced Specialist training as Rural Generalists; Mental Health Nurses; Nurse Practitioners; Occupational Therapists; Paramedics; Pharmacists; Physiotherapists; Psychiatrists; Psychologists; Registered Nurses; Registrars; Social Workers; Speech Pathologists.</w:t>
      </w:r>
    </w:p>
    <w:p w14:paraId="314C82D2" w14:textId="0E0F3B80" w:rsidR="0065212D" w:rsidRDefault="0065212D" w:rsidP="0065212D">
      <w:pPr>
        <w:pStyle w:val="BodyText"/>
      </w:pPr>
      <w:r>
        <w:t>Occupations where regulation needs to be reviewed: Aboriginal and Torres Strait Islander Health Practitioners; Aboriginal and Torres Strait Islander Health Workers; Aboriginal and Torres Strait Islander Mental Health Workers; Alcohol and Other Drug Workers; Allied Health Assistants; Counsellors and Psychotherapists; Creative Art Therapists; Lived Experience (Peer) Workers; Psychosocial Support Workers.</w:t>
      </w:r>
    </w:p>
    <w:p w14:paraId="7CF6AC68" w14:textId="0E8D39CE" w:rsidR="00440F7A" w:rsidRDefault="00440F7A" w:rsidP="00440F7A">
      <w:pPr>
        <w:pStyle w:val="BodyText"/>
      </w:pPr>
      <w:r w:rsidRPr="00DB6FEC">
        <w:t>Potential implementation examples</w:t>
      </w:r>
      <w:r>
        <w:t xml:space="preserve">:  </w:t>
      </w:r>
      <w:r w:rsidRPr="00440F7A">
        <w:t>Include capture of information on areas of accreditation in regulatory processes.</w:t>
      </w:r>
    </w:p>
    <w:p w14:paraId="5933B5E4" w14:textId="31CBC461" w:rsidR="00CE1E0A" w:rsidRDefault="00CE1E0A" w:rsidP="005A1EF8">
      <w:pPr>
        <w:pStyle w:val="Heading3"/>
      </w:pPr>
      <w:bookmarkStart w:id="56" w:name="_Toc98866137"/>
      <w:bookmarkStart w:id="57" w:name="_Toc98866296"/>
      <w:r>
        <w:t>PRIORITY AREA 2.6</w:t>
      </w:r>
      <w:bookmarkEnd w:id="56"/>
      <w:bookmarkEnd w:id="57"/>
    </w:p>
    <w:p w14:paraId="796A456F" w14:textId="17B3580E" w:rsidR="00440F7A" w:rsidRDefault="00CE1E0A" w:rsidP="00CE1E0A">
      <w:pPr>
        <w:pStyle w:val="BodyText"/>
      </w:pPr>
      <w:r>
        <w:t>Establish a national peak body to represent the interests of the Lived Experience (Peer) Workforce</w:t>
      </w:r>
      <w:r w:rsidR="00951A8F">
        <w:t>.</w:t>
      </w:r>
    </w:p>
    <w:p w14:paraId="4E1FEAE9" w14:textId="78E6D3D5" w:rsidR="005A1EF8" w:rsidRDefault="005A1EF8" w:rsidP="000A0BF5">
      <w:pPr>
        <w:pStyle w:val="Heading4"/>
      </w:pPr>
      <w:r>
        <w:t xml:space="preserve">Action 2.6.1 </w:t>
      </w:r>
    </w:p>
    <w:p w14:paraId="23469DA3" w14:textId="5645DABD" w:rsidR="005A1EF8" w:rsidRDefault="005A1EF8" w:rsidP="005A1EF8">
      <w:pPr>
        <w:pStyle w:val="BodyText"/>
      </w:pPr>
      <w:r>
        <w:t xml:space="preserve">Work with consumer, </w:t>
      </w:r>
      <w:proofErr w:type="gramStart"/>
      <w:r>
        <w:t>carer</w:t>
      </w:r>
      <w:proofErr w:type="gramEnd"/>
      <w:r>
        <w:t xml:space="preserve"> and Lived Experience (Peer) worker representatives to support establishment of a national Lived Experience (Peer) Workforce peak organisation</w:t>
      </w:r>
      <w:r w:rsidR="00951A8F">
        <w:t>.</w:t>
      </w:r>
    </w:p>
    <w:p w14:paraId="6D50A8A2" w14:textId="77777777" w:rsidR="0040647E" w:rsidRDefault="0040647E" w:rsidP="0040647E">
      <w:pPr>
        <w:pStyle w:val="BodyText"/>
      </w:pPr>
      <w:r>
        <w:t>Detail:  N/A</w:t>
      </w:r>
    </w:p>
    <w:p w14:paraId="4A625247" w14:textId="4A598851" w:rsidR="0040647E" w:rsidRDefault="0040647E" w:rsidP="0040647E">
      <w:pPr>
        <w:pStyle w:val="BodyText"/>
      </w:pPr>
      <w:r w:rsidRPr="00DB6FEC">
        <w:t>Potential implementation examples</w:t>
      </w:r>
      <w:r>
        <w:t>:  N/A</w:t>
      </w:r>
    </w:p>
    <w:p w14:paraId="67CF61AB" w14:textId="0175C31C" w:rsidR="000A0BF5" w:rsidRDefault="000A0BF5" w:rsidP="00CC447E">
      <w:pPr>
        <w:pStyle w:val="Heading2"/>
      </w:pPr>
      <w:bookmarkStart w:id="58" w:name="_Toc98866138"/>
      <w:bookmarkStart w:id="59" w:name="_Toc98866297"/>
      <w:r w:rsidRPr="000A0BF5">
        <w:t>Objective 3 - The mental health workforce is appropriately skilled and culturally safe</w:t>
      </w:r>
      <w:bookmarkEnd w:id="58"/>
      <w:bookmarkEnd w:id="59"/>
    </w:p>
    <w:p w14:paraId="350FE003" w14:textId="133638A8" w:rsidR="000533EA" w:rsidRDefault="000533EA" w:rsidP="0041744A">
      <w:pPr>
        <w:pStyle w:val="Heading3"/>
      </w:pPr>
      <w:bookmarkStart w:id="60" w:name="_Toc98866139"/>
      <w:bookmarkStart w:id="61" w:name="_Toc98866298"/>
      <w:r>
        <w:t>PRIORITY AREA 3.1</w:t>
      </w:r>
      <w:bookmarkEnd w:id="60"/>
      <w:bookmarkEnd w:id="61"/>
      <w:r>
        <w:t xml:space="preserve"> </w:t>
      </w:r>
    </w:p>
    <w:p w14:paraId="0A9E1322" w14:textId="067FC1DC" w:rsidR="0040647E" w:rsidRDefault="000533EA" w:rsidP="000533EA">
      <w:pPr>
        <w:pStyle w:val="BodyText"/>
      </w:pPr>
      <w:r>
        <w:t>Strengthen the skills of the existing and future mental health workforce</w:t>
      </w:r>
    </w:p>
    <w:p w14:paraId="36F47C73" w14:textId="22282E18" w:rsidR="0041744A" w:rsidRDefault="0041744A" w:rsidP="0041744A">
      <w:pPr>
        <w:pStyle w:val="Heading4"/>
      </w:pPr>
      <w:r>
        <w:lastRenderedPageBreak/>
        <w:t xml:space="preserve">Action 3.1.1 </w:t>
      </w:r>
    </w:p>
    <w:p w14:paraId="6E3CBB82" w14:textId="50E573B4" w:rsidR="0041744A" w:rsidRDefault="0041744A" w:rsidP="0041744A">
      <w:pPr>
        <w:pStyle w:val="BodyText"/>
      </w:pPr>
      <w:r>
        <w:t>Develop training modules that build competencies for the provision of culturally safe, integrated, multidisciplinary care that meet consumer and carer needs across the life-course including children, young people, adults, and older people, from different cultural backgrounds including Aboriginal and Torres Strait Islander peoples and people experiencing specific circumstances such as during the perinatal period or issues with alcohol and other drugs</w:t>
      </w:r>
      <w:r w:rsidR="00951A8F">
        <w:t>.</w:t>
      </w:r>
    </w:p>
    <w:p w14:paraId="6F28E6CA" w14:textId="0E9B365C" w:rsidR="0034571B" w:rsidRDefault="0034571B" w:rsidP="00AE0AC0">
      <w:pPr>
        <w:pStyle w:val="Heading4"/>
      </w:pPr>
      <w:r>
        <w:t xml:space="preserve">Action 3.1.2 </w:t>
      </w:r>
    </w:p>
    <w:p w14:paraId="60FF1812" w14:textId="0D94A193" w:rsidR="0034571B" w:rsidRDefault="0034571B" w:rsidP="0034571B">
      <w:pPr>
        <w:pStyle w:val="BodyText"/>
      </w:pPr>
      <w:r>
        <w:t>Develop training modules that build capability in suicide prevention of all the mental health workforce</w:t>
      </w:r>
      <w:r w:rsidR="00951A8F">
        <w:t>.</w:t>
      </w:r>
    </w:p>
    <w:p w14:paraId="2A053CC9" w14:textId="77501CA1" w:rsidR="00AE0AC0" w:rsidRDefault="00AE0AC0" w:rsidP="00AE0AC0">
      <w:pPr>
        <w:pStyle w:val="Heading4"/>
      </w:pPr>
      <w:r>
        <w:t xml:space="preserve">Action 3.1.3 </w:t>
      </w:r>
    </w:p>
    <w:p w14:paraId="24C180F2" w14:textId="670F6031" w:rsidR="0034571B" w:rsidRDefault="00AE0AC0" w:rsidP="00AE0AC0">
      <w:pPr>
        <w:pStyle w:val="BodyText"/>
      </w:pPr>
      <w:r>
        <w:t>Support education and training providers and service providers to improve the quality and quantity of mental health placements. This should include ensuring they are of appropriate duration, have appropriate supervision, are in a variety of settings and have regard to the wellbeing and safety of students.</w:t>
      </w:r>
    </w:p>
    <w:p w14:paraId="38BF9A50" w14:textId="77777777" w:rsidR="00AE0AC0" w:rsidRDefault="00AE0AC0" w:rsidP="00AE0AC0">
      <w:pPr>
        <w:pStyle w:val="BodyText"/>
      </w:pPr>
      <w:r>
        <w:t>Occupations for immediate action (&lt;12 months): Mental Health Nurses (Endorsed Psychologists; Psychologists (particularly in community and private settings, rural and remote locations); Psychiatrists (particularly in community and private settings, and specialisations in children and youth, addiction, and older persons); Nurse Practitioners.</w:t>
      </w:r>
    </w:p>
    <w:p w14:paraId="53EA2D23" w14:textId="5D998BC0" w:rsidR="00AE0AC0" w:rsidRDefault="00AE0AC0" w:rsidP="00AE0AC0">
      <w:pPr>
        <w:pStyle w:val="BodyText"/>
      </w:pPr>
      <w:r>
        <w:t>Occupations for further action (12-24 months): Counsellors and Psychotherapists; Dietitians; Lived Experience (Peer) Workers, Occupational Therapists; Registered Nurses (particularly in rural and remote locations); Social Workers.</w:t>
      </w:r>
    </w:p>
    <w:p w14:paraId="697635C8" w14:textId="7DE1F81D" w:rsidR="003973CF" w:rsidRDefault="003973CF" w:rsidP="00DC07A8">
      <w:pPr>
        <w:pStyle w:val="Heading4"/>
      </w:pPr>
      <w:r>
        <w:t>Action 3.1.4</w:t>
      </w:r>
    </w:p>
    <w:p w14:paraId="6693372A" w14:textId="61429DA6" w:rsidR="003973CF" w:rsidRDefault="003973CF" w:rsidP="003973CF">
      <w:pPr>
        <w:pStyle w:val="BodyText"/>
      </w:pPr>
      <w:r>
        <w:t>Support education providers to maintain, when appropriate, the online training and education opportunities that have been made available to the mental health workforce and students due to the COVID-19 pandemic.</w:t>
      </w:r>
    </w:p>
    <w:p w14:paraId="239DD7E5" w14:textId="0E46BCDD" w:rsidR="003973CF" w:rsidRDefault="003973CF" w:rsidP="00DC07A8">
      <w:pPr>
        <w:pStyle w:val="Heading4"/>
      </w:pPr>
      <w:r>
        <w:t xml:space="preserve">Action 3.1.5 </w:t>
      </w:r>
    </w:p>
    <w:p w14:paraId="53A6DA12" w14:textId="1A074E6F" w:rsidR="003973CF" w:rsidRDefault="003973CF" w:rsidP="003973CF">
      <w:pPr>
        <w:pStyle w:val="BodyText"/>
      </w:pPr>
      <w:r>
        <w:t>Develop broader training models for the Lived Experience (Peer) workforce to develop skills and capabilities across both vocational and higher education sectors. This could include incorporation of work placement models</w:t>
      </w:r>
      <w:r w:rsidR="00951A8F">
        <w:t>.</w:t>
      </w:r>
    </w:p>
    <w:p w14:paraId="36ED4AC7" w14:textId="1F72B2EC" w:rsidR="00FD66E4" w:rsidRDefault="00FD66E4" w:rsidP="00DC07A8">
      <w:pPr>
        <w:pStyle w:val="Heading4"/>
      </w:pPr>
      <w:r>
        <w:t xml:space="preserve">Action 3.1.6 </w:t>
      </w:r>
    </w:p>
    <w:p w14:paraId="485A95D9" w14:textId="2558BD7C" w:rsidR="00FD66E4" w:rsidRDefault="00FD66E4" w:rsidP="00FD66E4">
      <w:pPr>
        <w:pStyle w:val="BodyText"/>
      </w:pPr>
      <w:r>
        <w:t>Ensure training programs improve the health literacy – including digital health literacy – of all mental health care professionals</w:t>
      </w:r>
      <w:r w:rsidR="00951A8F">
        <w:t>.</w:t>
      </w:r>
    </w:p>
    <w:p w14:paraId="138FDA4F" w14:textId="66E94E6E" w:rsidR="00FD66E4" w:rsidRDefault="00FD66E4" w:rsidP="00DC07A8">
      <w:pPr>
        <w:pStyle w:val="Heading4"/>
      </w:pPr>
      <w:r>
        <w:lastRenderedPageBreak/>
        <w:t>Action 3.1.7</w:t>
      </w:r>
    </w:p>
    <w:p w14:paraId="10B6D727" w14:textId="77266806" w:rsidR="00FD66E4" w:rsidRDefault="00FD66E4" w:rsidP="00FD66E4">
      <w:pPr>
        <w:pStyle w:val="BodyText"/>
      </w:pPr>
      <w:r>
        <w:t>Develop more equitable access to continuing professional development through establishing educator roles such as in allied health, Aboriginal and Torres Strait Islander Mental Health and Lived Experience (Peer) Workers</w:t>
      </w:r>
      <w:r w:rsidR="00951A8F">
        <w:t>.</w:t>
      </w:r>
    </w:p>
    <w:p w14:paraId="5168AD76" w14:textId="10E28996" w:rsidR="00FD66E4" w:rsidRDefault="00FD66E4" w:rsidP="00DC07A8">
      <w:pPr>
        <w:pStyle w:val="Heading4"/>
      </w:pPr>
      <w:r>
        <w:t xml:space="preserve">Action 3.1.8 </w:t>
      </w:r>
    </w:p>
    <w:p w14:paraId="0B526EE4" w14:textId="1771AE76" w:rsidR="00FD66E4" w:rsidRDefault="00FD66E4" w:rsidP="00FD66E4">
      <w:pPr>
        <w:pStyle w:val="BodyText"/>
      </w:pPr>
      <w:r>
        <w:t>Develop actions to bolster the clinical research mental health workforce</w:t>
      </w:r>
      <w:r w:rsidR="00951A8F">
        <w:t>.</w:t>
      </w:r>
    </w:p>
    <w:p w14:paraId="6FC76F75" w14:textId="130B6753" w:rsidR="00DC07A8" w:rsidRDefault="00DC07A8" w:rsidP="00DC07A8">
      <w:pPr>
        <w:pStyle w:val="Heading4"/>
      </w:pPr>
      <w:r w:rsidRPr="00DB6FEC">
        <w:t>Potential implementation examples</w:t>
      </w:r>
    </w:p>
    <w:p w14:paraId="77B4B625" w14:textId="77777777" w:rsidR="00DC07A8" w:rsidRDefault="00DC07A8" w:rsidP="00DC07A8">
      <w:pPr>
        <w:pStyle w:val="ListBullet"/>
      </w:pPr>
      <w:r>
        <w:t>Develop guidelines for the inclusion of training in competencies (identified in Priority Action Areas 3.2 and 3.3) for all mental health workforce occupations.</w:t>
      </w:r>
    </w:p>
    <w:p w14:paraId="6ABCAA8A" w14:textId="77777777" w:rsidR="00DC07A8" w:rsidRDefault="00DC07A8" w:rsidP="00DC07A8">
      <w:pPr>
        <w:pStyle w:val="ListBullet"/>
      </w:pPr>
      <w:r>
        <w:t>Review existing training modules for the provision of integrated and multi-disciplinary care and where there are gaps develop new modules.</w:t>
      </w:r>
    </w:p>
    <w:p w14:paraId="62E76F22" w14:textId="77777777" w:rsidR="00DC07A8" w:rsidRDefault="00DC07A8" w:rsidP="00DC07A8">
      <w:pPr>
        <w:pStyle w:val="ListBullet"/>
      </w:pPr>
      <w:r>
        <w:t>Develop specialisation streams within mental health training programs, for example youth, aged care, co-morbidities with AOD, LGBTQI+</w:t>
      </w:r>
    </w:p>
    <w:p w14:paraId="639F66FB" w14:textId="77777777" w:rsidR="00DC07A8" w:rsidRDefault="00DC07A8" w:rsidP="00DC07A8">
      <w:pPr>
        <w:pStyle w:val="ListBullet"/>
      </w:pPr>
      <w:r>
        <w:t xml:space="preserve">Develop peer led, co-designed and co-delivered training modules that focus on the Lived Experience (Peer) role, </w:t>
      </w:r>
      <w:proofErr w:type="gramStart"/>
      <w:r>
        <w:t>scope</w:t>
      </w:r>
      <w:proofErr w:type="gramEnd"/>
      <w:r>
        <w:t xml:space="preserve"> and knowledge.</w:t>
      </w:r>
    </w:p>
    <w:p w14:paraId="753EA025" w14:textId="77777777" w:rsidR="00DC07A8" w:rsidRDefault="00DC07A8" w:rsidP="00DC07A8">
      <w:pPr>
        <w:pStyle w:val="ListBullet"/>
      </w:pPr>
      <w:r>
        <w:t>Support universities to embed the Aboriginal and Torres Strait Islander and Torres Strait Islander Health Curriculum Framework into higher education health curricula.</w:t>
      </w:r>
    </w:p>
    <w:p w14:paraId="7E929A08" w14:textId="77777777" w:rsidR="00DC07A8" w:rsidRDefault="00DC07A8" w:rsidP="00DC07A8">
      <w:pPr>
        <w:pStyle w:val="ListBullet"/>
      </w:pPr>
      <w:r>
        <w:t>Include specific, contextualised Lived Experience modules within the Certificate IV in Training and Assessment to support appropriate training of Lived Experience (Peer) educators.</w:t>
      </w:r>
    </w:p>
    <w:p w14:paraId="592C2901" w14:textId="77777777" w:rsidR="00DC07A8" w:rsidRDefault="00DC07A8" w:rsidP="00DC07A8">
      <w:pPr>
        <w:pStyle w:val="ListBullet"/>
      </w:pPr>
      <w:r>
        <w:t xml:space="preserve">Invest in the development of GP psychiatry career pathways, </w:t>
      </w:r>
      <w:proofErr w:type="gramStart"/>
      <w:r>
        <w:t>similar to</w:t>
      </w:r>
      <w:proofErr w:type="gramEnd"/>
      <w:r>
        <w:t xml:space="preserve"> the model used for GP obstetrics and GP anaesthetics. This would require the establishment of comparable remuneration structures to support uptake. </w:t>
      </w:r>
    </w:p>
    <w:p w14:paraId="0E2DEE32" w14:textId="77777777" w:rsidR="00DC07A8" w:rsidRDefault="00DC07A8" w:rsidP="00DC07A8">
      <w:pPr>
        <w:pStyle w:val="ListBullet"/>
      </w:pPr>
      <w:r>
        <w:t>Develop evidence-based national guidelines for the mental health workforce that focus on the identification and management of co-occurring AOD use and use disorders.</w:t>
      </w:r>
    </w:p>
    <w:p w14:paraId="2C1D4CFC" w14:textId="443D6792" w:rsidR="00FD66E4" w:rsidRDefault="00DC07A8" w:rsidP="00DC07A8">
      <w:pPr>
        <w:pStyle w:val="ListBullet"/>
      </w:pPr>
      <w:r>
        <w:t>Develop Rural Generalist Psychiatry Career pathways.</w:t>
      </w:r>
    </w:p>
    <w:p w14:paraId="02BB1972" w14:textId="030E87AC" w:rsidR="00DC07A8" w:rsidRDefault="00DC07A8" w:rsidP="00DC07A8">
      <w:pPr>
        <w:pStyle w:val="Heading3"/>
      </w:pPr>
      <w:bookmarkStart w:id="62" w:name="_Toc98866140"/>
      <w:bookmarkStart w:id="63" w:name="_Toc98866299"/>
      <w:r>
        <w:t>PRIORITY AREA 3.2 – Ensure the broader workforces have the knowledge and skills to support people experiencing suicidality, mental distress and/or ill-health</w:t>
      </w:r>
      <w:bookmarkEnd w:id="62"/>
      <w:bookmarkEnd w:id="63"/>
    </w:p>
    <w:p w14:paraId="5677A6D2" w14:textId="53A366FB" w:rsidR="00DC07A8" w:rsidRDefault="00DC07A8" w:rsidP="00254C9E">
      <w:pPr>
        <w:pStyle w:val="Heading4"/>
      </w:pPr>
      <w:r>
        <w:t xml:space="preserve">Action 3.2.1 </w:t>
      </w:r>
    </w:p>
    <w:p w14:paraId="55916E05" w14:textId="7F3E9724" w:rsidR="00D36209" w:rsidRDefault="00DC07A8" w:rsidP="00DC07A8">
      <w:pPr>
        <w:pStyle w:val="BodyText"/>
      </w:pPr>
      <w:r>
        <w:t>Invest in training initiatives to support the development of basic mental health skills in the social services workforce</w:t>
      </w:r>
      <w:r w:rsidR="00951A8F">
        <w:t>.</w:t>
      </w:r>
    </w:p>
    <w:p w14:paraId="05DE926F" w14:textId="5EE259C8" w:rsidR="00844703" w:rsidRDefault="00DC07A8" w:rsidP="00DC07A8">
      <w:pPr>
        <w:pStyle w:val="BodyText"/>
      </w:pPr>
      <w:r>
        <w:t xml:space="preserve">Key occupations impacted: Aged Care Workers; Allied Health Assistants; Disability Services Workers; Educational Services Workers; Employment Services Workers; First Responders </w:t>
      </w:r>
      <w:r>
        <w:lastRenderedPageBreak/>
        <w:t>(including emergency services, fire fighters, paramedics, police); Housing Services Workers; Justice Workers; Transport Services Workers.</w:t>
      </w:r>
    </w:p>
    <w:p w14:paraId="0F127CD8" w14:textId="3EB29AAD" w:rsidR="00C807F4" w:rsidRDefault="00C807F4" w:rsidP="00254C9E">
      <w:pPr>
        <w:pStyle w:val="Heading4"/>
      </w:pPr>
      <w:r>
        <w:t xml:space="preserve">Action 3.2.1 </w:t>
      </w:r>
    </w:p>
    <w:p w14:paraId="67151EA8" w14:textId="1F393BB6" w:rsidR="00734DF9" w:rsidRDefault="00C807F4" w:rsidP="00C807F4">
      <w:pPr>
        <w:pStyle w:val="BodyText"/>
      </w:pPr>
      <w:r>
        <w:t>Invest in training initiatives to support the development of basic mental health skills in the social services workforce</w:t>
      </w:r>
      <w:r w:rsidR="00951A8F">
        <w:t>.</w:t>
      </w:r>
    </w:p>
    <w:p w14:paraId="2C9B294C" w14:textId="244ADD36" w:rsidR="00C807F4" w:rsidRDefault="00C807F4" w:rsidP="00C807F4">
      <w:pPr>
        <w:pStyle w:val="BodyText"/>
      </w:pPr>
      <w:r>
        <w:t>Key occupations impacted: Aged Care Workers; Allied Health Assistants; Disability Services Workers; Educational Services Workers; Employment Services Workers; First Responders (including emergency services, fire fighters, paramedics, police); Housing Services Workers; Justice Workers; Transport Services Workers.</w:t>
      </w:r>
    </w:p>
    <w:p w14:paraId="7C2122AE" w14:textId="03C5BAFE" w:rsidR="00254C9E" w:rsidRDefault="00254C9E" w:rsidP="00254C9E">
      <w:pPr>
        <w:pStyle w:val="Heading4"/>
      </w:pPr>
      <w:r>
        <w:t xml:space="preserve">Action 3.2.2 </w:t>
      </w:r>
    </w:p>
    <w:p w14:paraId="16B7E4E3" w14:textId="77777777" w:rsidR="00734DF9" w:rsidRDefault="00254C9E" w:rsidP="00254C9E">
      <w:pPr>
        <w:pStyle w:val="BodyText"/>
      </w:pPr>
      <w:r>
        <w:t xml:space="preserve">Where feasible, include development of basic mental health skills in pre-service training for people working in roles where they are likely to interact with or support people experiencing suicidality, mental distress and/or ill-health and their </w:t>
      </w:r>
      <w:proofErr w:type="spellStart"/>
      <w:r>
        <w:t>carers</w:t>
      </w:r>
      <w:proofErr w:type="spellEnd"/>
      <w:r>
        <w:t>.</w:t>
      </w:r>
    </w:p>
    <w:p w14:paraId="393C5404" w14:textId="50D85814" w:rsidR="00254C9E" w:rsidRDefault="00254C9E" w:rsidP="00254C9E">
      <w:pPr>
        <w:pStyle w:val="BodyText"/>
      </w:pPr>
      <w:r>
        <w:t>Key occupations impacted: Alcohol and Other Drug Workers; Allied Health Practitioners (including Assistants); Emergency Service Workers; Enrolled Nurses; General Practitioners; Medical Practitioners (excluding Psychiatrists); Midwives; Nurse Practitioners; Paramedics; Pharmacists; Police; Registered Nurses.</w:t>
      </w:r>
    </w:p>
    <w:p w14:paraId="5CC7B90F" w14:textId="751362E4" w:rsidR="00254C9E" w:rsidRDefault="00254C9E" w:rsidP="00254C9E">
      <w:pPr>
        <w:pStyle w:val="Heading4"/>
      </w:pPr>
      <w:r w:rsidRPr="00DB6FEC">
        <w:t>Potential implementation examples</w:t>
      </w:r>
    </w:p>
    <w:p w14:paraId="05BC6D58" w14:textId="77777777" w:rsidR="00254C9E" w:rsidRDefault="00254C9E" w:rsidP="00254C9E">
      <w:pPr>
        <w:pStyle w:val="ListBullet"/>
      </w:pPr>
      <w:r>
        <w:t>Utilise existing suicide prevention frameworks (e.g., Suicide Prevention Australia) as a basis for training the broader workforce.</w:t>
      </w:r>
    </w:p>
    <w:p w14:paraId="28275EBB" w14:textId="49449D34" w:rsidR="00254C9E" w:rsidRDefault="00254C9E" w:rsidP="00254C9E">
      <w:pPr>
        <w:pStyle w:val="ListBullet"/>
      </w:pPr>
      <w:r>
        <w:t>All medical students be provided with access to high quality education and training in mental health, and for clinical placements across a range of settings and locations.</w:t>
      </w:r>
    </w:p>
    <w:p w14:paraId="0D753A52" w14:textId="77777777" w:rsidR="00DC07A8" w:rsidRDefault="00C04E79" w:rsidP="00E85DFA">
      <w:pPr>
        <w:pStyle w:val="Heading3"/>
      </w:pPr>
      <w:bookmarkStart w:id="64" w:name="_Toc98866141"/>
      <w:bookmarkStart w:id="65" w:name="_Toc98866300"/>
      <w:r>
        <w:t>PRIORITY AREA 3.3 – Support students from priority cohorts to complete mental health-related qualifications that reflect their communities’ needs</w:t>
      </w:r>
      <w:bookmarkEnd w:id="64"/>
      <w:bookmarkEnd w:id="65"/>
      <w:r>
        <w:t xml:space="preserve"> </w:t>
      </w:r>
    </w:p>
    <w:p w14:paraId="283F456F" w14:textId="73780836" w:rsidR="00734DF9" w:rsidRDefault="00734DF9" w:rsidP="00E85DFA">
      <w:pPr>
        <w:pStyle w:val="Heading4"/>
      </w:pPr>
      <w:r>
        <w:t>Action 3.3.1</w:t>
      </w:r>
    </w:p>
    <w:p w14:paraId="52198CA8" w14:textId="77777777" w:rsidR="00734DF9" w:rsidRDefault="00734DF9" w:rsidP="00734DF9">
      <w:pPr>
        <w:pStyle w:val="BodyText"/>
      </w:pPr>
      <w:r>
        <w:t xml:space="preserve">Explore opportunities to prioritise access to training for the mental health workforce through increased subsidies and use of traineeships </w:t>
      </w:r>
    </w:p>
    <w:p w14:paraId="0B30D9E8" w14:textId="5EDFE30C" w:rsidR="00734DF9" w:rsidRDefault="00734DF9" w:rsidP="00734DF9">
      <w:pPr>
        <w:pStyle w:val="BodyText"/>
      </w:pPr>
      <w:r>
        <w:t>Occupations for immediate action (&lt;12 months): Aboriginal and Torres Strait Islander Health Workers; Aboriginal and Torres Strait Islander Mental Health Workers; Lived Experience (Peer) Workers; Allied Health Assistants (particularly for rural and remote locations); Mental Health Nurses (particularly for rural and remote locations); Paediatricians; Psychologists (including Endorsed Psychologists); Psychosocial Support Workers.</w:t>
      </w:r>
    </w:p>
    <w:p w14:paraId="3E1736A4" w14:textId="2641EEDE" w:rsidR="00E85DFA" w:rsidRDefault="00E85DFA" w:rsidP="00E85DFA">
      <w:pPr>
        <w:pStyle w:val="Heading4"/>
      </w:pPr>
      <w:r>
        <w:lastRenderedPageBreak/>
        <w:t xml:space="preserve">Action 3.3.2 </w:t>
      </w:r>
    </w:p>
    <w:p w14:paraId="1B980786" w14:textId="71B483DD" w:rsidR="00E85DFA" w:rsidRDefault="00E85DFA" w:rsidP="00E85DFA">
      <w:pPr>
        <w:pStyle w:val="BodyText"/>
      </w:pPr>
      <w:r>
        <w:t>Invest in ‘wrap around services’ to support Aboriginal and Torres Strait Islander peoples and people with lived experience to complete mental health education and training programs</w:t>
      </w:r>
      <w:r w:rsidR="00951A8F">
        <w:t>.</w:t>
      </w:r>
    </w:p>
    <w:p w14:paraId="762B0091" w14:textId="0CA08D3C" w:rsidR="00E85DFA" w:rsidRDefault="00E85DFA" w:rsidP="00E85DFA">
      <w:pPr>
        <w:pStyle w:val="Heading4"/>
      </w:pPr>
      <w:r>
        <w:t>Action 3.3.3</w:t>
      </w:r>
    </w:p>
    <w:p w14:paraId="6AC1C225" w14:textId="3533B1D1" w:rsidR="00E85DFA" w:rsidRDefault="00E85DFA" w:rsidP="00E85DFA">
      <w:pPr>
        <w:pStyle w:val="BodyText"/>
      </w:pPr>
      <w:r>
        <w:t>Support people from rural and remote communities to access and complete mental health education and training programs</w:t>
      </w:r>
      <w:r w:rsidR="00951A8F">
        <w:t>.</w:t>
      </w:r>
    </w:p>
    <w:p w14:paraId="4A6F76E3" w14:textId="757A5FB5" w:rsidR="003D7343" w:rsidRDefault="003D7343" w:rsidP="003D7343">
      <w:pPr>
        <w:pStyle w:val="Heading4"/>
      </w:pPr>
      <w:r w:rsidRPr="003D7343">
        <w:t>Potential implementation examples</w:t>
      </w:r>
    </w:p>
    <w:p w14:paraId="2A811FF3" w14:textId="77777777" w:rsidR="003D7343" w:rsidRDefault="003D7343" w:rsidP="003D7343">
      <w:pPr>
        <w:pStyle w:val="ListBullet"/>
      </w:pPr>
      <w:r>
        <w:t xml:space="preserve">Expand scholarship programs for Aboriginal and Torres Strait Islander Mental Health Workers and Mental Health Nurses. </w:t>
      </w:r>
    </w:p>
    <w:p w14:paraId="36B36ED7" w14:textId="77777777" w:rsidR="003D7343" w:rsidRDefault="003D7343" w:rsidP="003D7343">
      <w:pPr>
        <w:pStyle w:val="ListBullet"/>
      </w:pPr>
      <w:r>
        <w:t>Provide mentoring and culturally safe support mechanisms for Aboriginal and Torres Strait Islander students.</w:t>
      </w:r>
    </w:p>
    <w:p w14:paraId="1CB00579" w14:textId="77777777" w:rsidR="003D7343" w:rsidRDefault="003D7343" w:rsidP="003D7343">
      <w:pPr>
        <w:pStyle w:val="ListBullet"/>
      </w:pPr>
      <w:r>
        <w:t>Provide place-based education and digital training delivery options (see Action 6.1.5).</w:t>
      </w:r>
    </w:p>
    <w:p w14:paraId="27CEC4DB" w14:textId="77777777" w:rsidR="003D7343" w:rsidRDefault="003D7343" w:rsidP="003D7343">
      <w:pPr>
        <w:pStyle w:val="ListBullet"/>
      </w:pPr>
      <w:r>
        <w:t>Provide mental health bonded scholarships (or waiver of HELP fees) for nursing and allied health undergraduate courses to build workforce capacity (</w:t>
      </w:r>
      <w:proofErr w:type="gramStart"/>
      <w:r>
        <w:t>1-3 year</w:t>
      </w:r>
      <w:proofErr w:type="gramEnd"/>
      <w:r>
        <w:t xml:space="preserve"> service requirements) including for people from Aboriginal and Torres Strait Islander and culturally diverse backgrounds.</w:t>
      </w:r>
    </w:p>
    <w:p w14:paraId="4262CD7D" w14:textId="77777777" w:rsidR="003D7343" w:rsidRDefault="003D7343" w:rsidP="003D7343">
      <w:pPr>
        <w:pStyle w:val="ListBullet"/>
      </w:pPr>
      <w:r>
        <w:t>Expand the provision of Commonwealth-funded places for postgraduate, allied health and mental health-related Certificate IV courses.</w:t>
      </w:r>
    </w:p>
    <w:p w14:paraId="63721CA2" w14:textId="77777777" w:rsidR="003D7343" w:rsidRDefault="003D7343" w:rsidP="003D7343">
      <w:pPr>
        <w:pStyle w:val="ListBullet"/>
      </w:pPr>
      <w:r>
        <w:t>Develop bridging modules for micro-credentialing for health workers from migrant communities.</w:t>
      </w:r>
    </w:p>
    <w:p w14:paraId="4E161EB2" w14:textId="72B6A427" w:rsidR="00E85DFA" w:rsidRDefault="003D7343" w:rsidP="003D7343">
      <w:pPr>
        <w:pStyle w:val="ListBullet"/>
      </w:pPr>
      <w:r>
        <w:t>Develop bridging modules for micro-credentialing for health workers from migrant communities.</w:t>
      </w:r>
    </w:p>
    <w:p w14:paraId="63C460AE" w14:textId="4F57F5F6" w:rsidR="003D7343" w:rsidRDefault="003D7343" w:rsidP="003D7343">
      <w:pPr>
        <w:pStyle w:val="Heading3"/>
      </w:pPr>
      <w:bookmarkStart w:id="66" w:name="_Toc98866142"/>
      <w:bookmarkStart w:id="67" w:name="_Toc98866301"/>
      <w:r>
        <w:t>PRIORITY AREA 3.4 – Support access to continuing professional learning and professional development to ensure existing workers develop contemporary professional and cultural safety skills</w:t>
      </w:r>
      <w:bookmarkEnd w:id="66"/>
      <w:bookmarkEnd w:id="67"/>
    </w:p>
    <w:p w14:paraId="75D0C550" w14:textId="7A62E5CB" w:rsidR="000C4552" w:rsidRDefault="000C4552" w:rsidP="00A96EDA">
      <w:pPr>
        <w:pStyle w:val="Heading4"/>
      </w:pPr>
      <w:r>
        <w:t>Action 3.4.1</w:t>
      </w:r>
    </w:p>
    <w:p w14:paraId="652E777C" w14:textId="1B397492" w:rsidR="000C4552" w:rsidRDefault="000C4552" w:rsidP="000C4552">
      <w:pPr>
        <w:pStyle w:val="BodyText"/>
      </w:pPr>
      <w:r>
        <w:t>Create a central, online information source with details of existing training and continuing professional development opportunities available to the mental health workforce</w:t>
      </w:r>
      <w:r w:rsidR="00951A8F">
        <w:t>.</w:t>
      </w:r>
    </w:p>
    <w:p w14:paraId="42AABFC4" w14:textId="3F168DBD" w:rsidR="000C4552" w:rsidRDefault="000C4552" w:rsidP="00A96EDA">
      <w:pPr>
        <w:pStyle w:val="Heading4"/>
      </w:pPr>
      <w:r>
        <w:t>Action 3.4.2</w:t>
      </w:r>
    </w:p>
    <w:p w14:paraId="2B8B9560" w14:textId="0639D01F" w:rsidR="000C4552" w:rsidRDefault="000C4552" w:rsidP="000C4552">
      <w:pPr>
        <w:pStyle w:val="BodyText"/>
      </w:pPr>
      <w:r>
        <w:t>Fund Aboriginal and Torres Strait Islander organisations to develop and deliver training in cultural safety, trauma informed and trauma competent care</w:t>
      </w:r>
      <w:r w:rsidR="00951A8F">
        <w:t>.</w:t>
      </w:r>
    </w:p>
    <w:p w14:paraId="24EE4F2E" w14:textId="5F486233" w:rsidR="000C4552" w:rsidRDefault="000C4552" w:rsidP="00A96EDA">
      <w:pPr>
        <w:pStyle w:val="Heading4"/>
      </w:pPr>
      <w:r>
        <w:lastRenderedPageBreak/>
        <w:t>Action 3.4.3</w:t>
      </w:r>
    </w:p>
    <w:p w14:paraId="7C83C205" w14:textId="72F1E8E2" w:rsidR="003D7343" w:rsidRPr="003D7343" w:rsidRDefault="000C4552" w:rsidP="000C4552">
      <w:pPr>
        <w:pStyle w:val="BodyText"/>
      </w:pPr>
      <w:r>
        <w:t>Fund LGBTIQ+ organisations to develop training and support for mainstream service providers</w:t>
      </w:r>
      <w:r w:rsidR="00951A8F">
        <w:t>.</w:t>
      </w:r>
    </w:p>
    <w:p w14:paraId="4373176D" w14:textId="76EC36DC" w:rsidR="000C4552" w:rsidRDefault="000C4552" w:rsidP="00A96EDA">
      <w:pPr>
        <w:pStyle w:val="Heading4"/>
      </w:pPr>
      <w:r>
        <w:t>Action 3.4.4</w:t>
      </w:r>
    </w:p>
    <w:p w14:paraId="7126B535" w14:textId="45802C13" w:rsidR="000C4552" w:rsidRDefault="000C4552" w:rsidP="000C4552">
      <w:pPr>
        <w:pStyle w:val="BodyText"/>
      </w:pPr>
      <w:r>
        <w:t>Support the development of local area, multidisciplinary communities of practice for workforces needing support</w:t>
      </w:r>
      <w:r w:rsidR="00951A8F">
        <w:t>.</w:t>
      </w:r>
    </w:p>
    <w:p w14:paraId="31567E73" w14:textId="58F604E5" w:rsidR="000C4552" w:rsidRDefault="000C4552" w:rsidP="000C4552">
      <w:pPr>
        <w:pStyle w:val="BodyText"/>
      </w:pPr>
      <w:r>
        <w:t>Occupations for immediate action (&lt;12 months):  Lived Experience (Peer) Workers.</w:t>
      </w:r>
    </w:p>
    <w:p w14:paraId="5E3DD10D" w14:textId="77777777" w:rsidR="000C4552" w:rsidRDefault="000C4552" w:rsidP="000C4552">
      <w:pPr>
        <w:pStyle w:val="BodyText"/>
      </w:pPr>
      <w:r>
        <w:t>Occupations for further action (12-24 months): Alcohol and Other Drug Workers; Allied Health Workers (particularly for mental health settings); Psychosocial Support Workers; Registered Nurses (including practice nurses) (particularly in rural and remote locations); Social Workers.</w:t>
      </w:r>
    </w:p>
    <w:p w14:paraId="46F015E8" w14:textId="77777777" w:rsidR="00C14CAB" w:rsidRDefault="003571A7" w:rsidP="00C14CAB">
      <w:pPr>
        <w:pStyle w:val="Heading4"/>
      </w:pPr>
      <w:r>
        <w:t>Action 3.4.5</w:t>
      </w:r>
    </w:p>
    <w:p w14:paraId="1EB98CB6" w14:textId="6127A60C" w:rsidR="00734DF9" w:rsidRDefault="00C14CAB" w:rsidP="003571A7">
      <w:pPr>
        <w:pStyle w:val="BodyText"/>
      </w:pPr>
      <w:r>
        <w:t>F</w:t>
      </w:r>
      <w:r w:rsidR="003571A7">
        <w:t>acilitate sharing of mental health education and training programs and associated resources across states and territories, with opportunity for jurisdictions to tailor programs to meet their needs</w:t>
      </w:r>
      <w:r w:rsidR="00951A8F">
        <w:t>.</w:t>
      </w:r>
    </w:p>
    <w:p w14:paraId="161489B4" w14:textId="26440040" w:rsidR="00C14CAB" w:rsidRDefault="00C14CAB" w:rsidP="00C14CAB">
      <w:pPr>
        <w:pStyle w:val="Heading2"/>
      </w:pPr>
      <w:bookmarkStart w:id="68" w:name="_Toc98866143"/>
      <w:bookmarkStart w:id="69" w:name="_Toc98866302"/>
      <w:r w:rsidRPr="00C14CAB">
        <w:t>Objective 4 - Careers in mental health are, and are recognised as, attractive</w:t>
      </w:r>
      <w:bookmarkEnd w:id="68"/>
      <w:bookmarkEnd w:id="69"/>
    </w:p>
    <w:p w14:paraId="19CA5D03" w14:textId="1169818A" w:rsidR="00C14CAB" w:rsidRDefault="00F2736A" w:rsidP="00F2736A">
      <w:pPr>
        <w:pStyle w:val="Heading3"/>
      </w:pPr>
      <w:bookmarkStart w:id="70" w:name="_Toc98866144"/>
      <w:bookmarkStart w:id="71" w:name="_Toc98866303"/>
      <w:r>
        <w:t>PRIORITY AREA 4.1 – Increase the awareness and accessibility of pathways into and within mental health</w:t>
      </w:r>
      <w:bookmarkEnd w:id="70"/>
      <w:bookmarkEnd w:id="71"/>
    </w:p>
    <w:p w14:paraId="2CE3809F" w14:textId="4AB5094C" w:rsidR="00F2736A" w:rsidRDefault="00F2736A" w:rsidP="00DD177E">
      <w:pPr>
        <w:pStyle w:val="Heading4"/>
      </w:pPr>
      <w:r>
        <w:t>Action 4.1.1</w:t>
      </w:r>
    </w:p>
    <w:p w14:paraId="11B51F13" w14:textId="491A0FB2" w:rsidR="00DD177E" w:rsidRDefault="00F2736A" w:rsidP="00F2736A">
      <w:pPr>
        <w:pStyle w:val="BodyText"/>
      </w:pPr>
      <w:r>
        <w:t>Raise the awareness of pathways into, and within, the mental health workforce for both vocationally and higher education trained occupations including across work settings</w:t>
      </w:r>
      <w:r w:rsidR="00951A8F">
        <w:t>.</w:t>
      </w:r>
    </w:p>
    <w:p w14:paraId="2ECA15DA" w14:textId="6C75CAA8" w:rsidR="00F2736A" w:rsidRDefault="00F2736A" w:rsidP="00F2736A">
      <w:pPr>
        <w:pStyle w:val="BodyText"/>
      </w:pPr>
      <w:r>
        <w:t xml:space="preserve">Occupations for immediate action (&lt;12 months): Aboriginal and Torres Strait Islander Health Practitioners; Aboriginal and Torres Strait Islander Health Workers; Aboriginal and Torres Strait Islander Mental Health Workers; Allied Health Practitioners, Lived Experience (Peer) Workforce (for both consumer and carer roles); Psychosocial Support Workers; Psychiatrists (particularly in public health services, rural and remote locations, and specialisations in child and youth, forensic, old age and addiction). </w:t>
      </w:r>
    </w:p>
    <w:p w14:paraId="179B4CFD" w14:textId="27AC33AB" w:rsidR="00F2736A" w:rsidRDefault="00F2736A" w:rsidP="00F2736A">
      <w:pPr>
        <w:pStyle w:val="BodyText"/>
      </w:pPr>
      <w:r>
        <w:t xml:space="preserve">Occupations for further action (12-24 months): Allied Health Assistants; Exercise Physiologists; Mental Health Nurses (particularly in rural and remote locations); Nurse </w:t>
      </w:r>
      <w:r>
        <w:lastRenderedPageBreak/>
        <w:t>Practitioners; Occupational Therapists; Registered Nurses (particularly in rural and remote locations).</w:t>
      </w:r>
    </w:p>
    <w:p w14:paraId="3033707E" w14:textId="4DFA611F" w:rsidR="00DD177E" w:rsidRDefault="00DD177E" w:rsidP="00A820FA">
      <w:pPr>
        <w:pStyle w:val="Heading4"/>
      </w:pPr>
      <w:r>
        <w:t>Action 4.1.2</w:t>
      </w:r>
    </w:p>
    <w:p w14:paraId="35D6874A" w14:textId="07D90ABE" w:rsidR="00DD177E" w:rsidRDefault="00DD177E" w:rsidP="00DD177E">
      <w:pPr>
        <w:pStyle w:val="BodyText"/>
      </w:pPr>
      <w:r>
        <w:t xml:space="preserve">Increase the supply of education and training programs for both vocationally and higher education trained occupations to support entry-level training, </w:t>
      </w:r>
      <w:proofErr w:type="gramStart"/>
      <w:r>
        <w:t>upskilling</w:t>
      </w:r>
      <w:proofErr w:type="gramEnd"/>
      <w:r>
        <w:t xml:space="preserve"> and reskilling</w:t>
      </w:r>
      <w:r w:rsidR="00951A8F">
        <w:t>.</w:t>
      </w:r>
    </w:p>
    <w:p w14:paraId="406F4BB1" w14:textId="09B9BEB9" w:rsidR="00DD177E" w:rsidRDefault="00DD177E" w:rsidP="00DD177E">
      <w:pPr>
        <w:pStyle w:val="BodyText"/>
      </w:pPr>
      <w:r>
        <w:t>Key occupations impacted: Aboriginal and Torres Strait Islander Health Practitioners; Aboriginal and Torres Strait Islander Health Workers; Aboriginal and Torres Strait Islander Mental Health Workers; Clinical Psychologists; Lived Experience (Peer) Workers.</w:t>
      </w:r>
    </w:p>
    <w:p w14:paraId="07CE81BB" w14:textId="77777777" w:rsidR="00A820FA" w:rsidRDefault="00A820FA" w:rsidP="00A820FA">
      <w:pPr>
        <w:pStyle w:val="Heading4"/>
      </w:pPr>
      <w:r w:rsidRPr="003D7343">
        <w:t>Potential implementation examples</w:t>
      </w:r>
    </w:p>
    <w:p w14:paraId="0ACD25A0" w14:textId="77777777" w:rsidR="00A820FA" w:rsidRDefault="00A820FA" w:rsidP="00A820FA">
      <w:pPr>
        <w:pStyle w:val="ListBullet"/>
      </w:pPr>
      <w:r>
        <w:t xml:space="preserve">Develop career education and school-based programs to help increase awareness of pathways into the mental health workforce prior to completion of secondary school. </w:t>
      </w:r>
    </w:p>
    <w:p w14:paraId="7B29159B" w14:textId="77777777" w:rsidR="00A820FA" w:rsidRDefault="00A820FA" w:rsidP="00A820FA">
      <w:pPr>
        <w:pStyle w:val="ListBullet"/>
      </w:pPr>
      <w:r>
        <w:t xml:space="preserve">Provide funding incentives for vocational and higher education providers to offer a range of mental health-related programs, including cadetships, </w:t>
      </w:r>
      <w:proofErr w:type="gramStart"/>
      <w:r>
        <w:t>traineeships</w:t>
      </w:r>
      <w:proofErr w:type="gramEnd"/>
      <w:r>
        <w:t xml:space="preserve"> and micro credentials. </w:t>
      </w:r>
    </w:p>
    <w:p w14:paraId="722EDB22" w14:textId="77777777" w:rsidR="00A820FA" w:rsidRDefault="00A820FA" w:rsidP="00A820FA">
      <w:pPr>
        <w:pStyle w:val="ListBullet"/>
      </w:pPr>
      <w:r>
        <w:t xml:space="preserve">Subsidise training positions for Aboriginal and Torres Strait Islander students, students with lived experience, LGBTIQ+ students, culturally and linguistically diverse students, and students from rural and remote areas to attract individuals to entry level training. </w:t>
      </w:r>
    </w:p>
    <w:p w14:paraId="0A99A310" w14:textId="77777777" w:rsidR="00A820FA" w:rsidRDefault="00A820FA" w:rsidP="00A820FA">
      <w:pPr>
        <w:pStyle w:val="ListBullet"/>
      </w:pPr>
      <w:r>
        <w:t xml:space="preserve">Provide funding for student placements, </w:t>
      </w:r>
      <w:proofErr w:type="gramStart"/>
      <w:r>
        <w:t>internships</w:t>
      </w:r>
      <w:proofErr w:type="gramEnd"/>
      <w:r>
        <w:t xml:space="preserve"> and student employment opportunities to increase exposure to potential future careers in mental health, particularly for public settings and rural and remote students.</w:t>
      </w:r>
    </w:p>
    <w:p w14:paraId="1446ED7B" w14:textId="43114C18" w:rsidR="00DD177E" w:rsidRDefault="00A820FA" w:rsidP="00A820FA">
      <w:pPr>
        <w:pStyle w:val="ListBullet"/>
      </w:pPr>
      <w:r>
        <w:t>Leverage employment programs to facilitate pathways into mental health careers for jobseekers.</w:t>
      </w:r>
    </w:p>
    <w:p w14:paraId="343ED71A" w14:textId="4EFC82FC" w:rsidR="00A820FA" w:rsidRDefault="00E95521" w:rsidP="009C1009">
      <w:pPr>
        <w:pStyle w:val="Heading3"/>
      </w:pPr>
      <w:bookmarkStart w:id="72" w:name="_Toc98866145"/>
      <w:bookmarkStart w:id="73" w:name="_Toc98866304"/>
      <w:r>
        <w:t>PRIORITY AREA 4.2 – Address the stigma and negative perceptions associated with working in mental health</w:t>
      </w:r>
      <w:bookmarkEnd w:id="72"/>
      <w:bookmarkEnd w:id="73"/>
    </w:p>
    <w:p w14:paraId="18096C9F" w14:textId="7CB9225A" w:rsidR="00A07037" w:rsidRDefault="00A07037" w:rsidP="009C1009">
      <w:pPr>
        <w:pStyle w:val="Heading4"/>
      </w:pPr>
      <w:r>
        <w:t>Action 4.2.1</w:t>
      </w:r>
    </w:p>
    <w:p w14:paraId="5AAE16DA" w14:textId="2C7DBDCB" w:rsidR="00A07037" w:rsidRDefault="00A07037" w:rsidP="00A07037">
      <w:pPr>
        <w:pStyle w:val="BodyText"/>
      </w:pPr>
      <w:r>
        <w:t>Create positive perceptions of working in mental health by improving the pre-service and/or post-graduate placement experience of trainees</w:t>
      </w:r>
      <w:r w:rsidR="00951A8F">
        <w:t>.</w:t>
      </w:r>
    </w:p>
    <w:p w14:paraId="3C98D632" w14:textId="6762F717" w:rsidR="00A07037" w:rsidRDefault="00A07037" w:rsidP="00A07037">
      <w:pPr>
        <w:pStyle w:val="BodyText"/>
      </w:pPr>
      <w:r>
        <w:t>Occupations for immediate action (&lt;12 months): General Practitioners; Lived Experience (Peer) Workers; Psychosocial Support Workers; Psychiatrists.</w:t>
      </w:r>
    </w:p>
    <w:p w14:paraId="43C02D4D" w14:textId="11CD1783" w:rsidR="00A07037" w:rsidRDefault="00A07037" w:rsidP="00A07037">
      <w:pPr>
        <w:pStyle w:val="BodyText"/>
      </w:pPr>
      <w:r>
        <w:t xml:space="preserve">Occupations for further action (12-24 months): Dietitians; Exercise Physiologists; Mental Health Nurses; Medical Practitioners; Nurse Practitioners; Occupational Therapists; </w:t>
      </w:r>
      <w:proofErr w:type="spellStart"/>
      <w:r>
        <w:t>Pediatricians</w:t>
      </w:r>
      <w:proofErr w:type="spellEnd"/>
      <w:r>
        <w:t>; Psychologists; Registered Nurses; Social Workers.</w:t>
      </w:r>
    </w:p>
    <w:p w14:paraId="291CD24A" w14:textId="25442AEB" w:rsidR="009C1009" w:rsidRDefault="009C1009" w:rsidP="009C1009">
      <w:pPr>
        <w:pStyle w:val="Heading4"/>
      </w:pPr>
      <w:r>
        <w:lastRenderedPageBreak/>
        <w:t>Action 4.2.2</w:t>
      </w:r>
    </w:p>
    <w:p w14:paraId="21CFE37C" w14:textId="6EE6D302" w:rsidR="009C1009" w:rsidRDefault="009C1009" w:rsidP="009C1009">
      <w:pPr>
        <w:pStyle w:val="BodyText"/>
      </w:pPr>
      <w:r>
        <w:t xml:space="preserve">Ensure mental health trainees undertake clinical placements and internships across a more representative mix of settings, across the spectrum from prevention, early intervention and acute settings, and metropolitan, </w:t>
      </w:r>
      <w:proofErr w:type="gramStart"/>
      <w:r>
        <w:t>rural</w:t>
      </w:r>
      <w:proofErr w:type="gramEnd"/>
      <w:r>
        <w:t xml:space="preserve"> and remote areas</w:t>
      </w:r>
      <w:r w:rsidR="00951A8F">
        <w:t>.</w:t>
      </w:r>
    </w:p>
    <w:p w14:paraId="51BC3660" w14:textId="4FEBBD74" w:rsidR="009C1009" w:rsidRDefault="009C1009" w:rsidP="009C1009">
      <w:pPr>
        <w:pStyle w:val="BodyText"/>
      </w:pPr>
      <w:r>
        <w:t>Occupations for immediate action (&lt;12 months): General Practitioners (particularly in community and private practice settings); Lived Experience (Peer) Workers, Psychiatrists (particularly in community settings including private practices).</w:t>
      </w:r>
    </w:p>
    <w:p w14:paraId="040BC3DA" w14:textId="075F140F" w:rsidR="00A07037" w:rsidRDefault="009C1009" w:rsidP="009C1009">
      <w:pPr>
        <w:pStyle w:val="BodyText"/>
      </w:pPr>
      <w:r>
        <w:t>Occupations for further action (12-24 months): Counsellors and Psychotherapists (particularly in public health and mental health services); Creative Arts Therapists; Dietitians; Exercise Physiologists; Mental Health Nurses (particularly in community and private settings); Medical Practitioners (particularly in community and private settings); Occupational Therapists; Psychologists (particularly in community and private settings); Physiotherapists, Registered Nurses (particularly in settings outside public hospitals); Social Workers.</w:t>
      </w:r>
    </w:p>
    <w:p w14:paraId="65912E9B" w14:textId="33BA0070" w:rsidR="009C1009" w:rsidRDefault="009C1009" w:rsidP="009C1009">
      <w:pPr>
        <w:pStyle w:val="Heading4"/>
      </w:pPr>
      <w:r>
        <w:t>Potential implementation examples</w:t>
      </w:r>
    </w:p>
    <w:p w14:paraId="40175153" w14:textId="77777777" w:rsidR="009C1009" w:rsidRDefault="009C1009" w:rsidP="009C1009">
      <w:pPr>
        <w:pStyle w:val="ListBullet"/>
      </w:pPr>
      <w:r>
        <w:t xml:space="preserve">Implement a nationally coordinated campaign that promotes mental health as a rewarding, respected and valued career, to be developed in collaboration with peak bodies. </w:t>
      </w:r>
    </w:p>
    <w:p w14:paraId="5997BE55" w14:textId="77777777" w:rsidR="009C1009" w:rsidRDefault="009C1009" w:rsidP="009C1009">
      <w:pPr>
        <w:pStyle w:val="ListBullet"/>
      </w:pPr>
      <w:r>
        <w:t>Develop a culturally appropriate awareness campaign in consultation with Aboriginal and Torres Strait Islander peoples that targets increasing the Aboriginal and Torres Strait Islander mental health workforce and promotes Aboriginal and Torres Strait Islander leadership.</w:t>
      </w:r>
    </w:p>
    <w:p w14:paraId="2D6DB346" w14:textId="77777777" w:rsidR="009C1009" w:rsidRDefault="009C1009" w:rsidP="009C1009">
      <w:pPr>
        <w:pStyle w:val="ListBullet"/>
      </w:pPr>
      <w:r>
        <w:t xml:space="preserve">Promote volunteering opportunities in the mental health sector to help increase exposure and provide positive experiences for the possible workforce. </w:t>
      </w:r>
    </w:p>
    <w:p w14:paraId="01AFA9F3" w14:textId="432F3889" w:rsidR="009C1009" w:rsidRDefault="009C1009" w:rsidP="009C1009">
      <w:pPr>
        <w:pStyle w:val="ListBullet"/>
      </w:pPr>
      <w:r>
        <w:t>Develop guidelines for supervision arrangements of student placements to improve the quality of student experiences.</w:t>
      </w:r>
    </w:p>
    <w:p w14:paraId="0598BE55" w14:textId="35F35A0E" w:rsidR="009C1009" w:rsidRDefault="00915EEF" w:rsidP="00915EEF">
      <w:pPr>
        <w:pStyle w:val="Heading2"/>
      </w:pPr>
      <w:bookmarkStart w:id="74" w:name="_Toc98866146"/>
      <w:bookmarkStart w:id="75" w:name="_Toc98866305"/>
      <w:r w:rsidRPr="00915EEF">
        <w:t>Objective 5 - The mental health workforce is supported and retained in the sector</w:t>
      </w:r>
      <w:bookmarkEnd w:id="74"/>
      <w:bookmarkEnd w:id="75"/>
    </w:p>
    <w:p w14:paraId="2D5B458E" w14:textId="44E63BCD" w:rsidR="00915EEF" w:rsidRDefault="00915EEF" w:rsidP="00A17029">
      <w:pPr>
        <w:pStyle w:val="Heading3"/>
      </w:pPr>
      <w:bookmarkStart w:id="76" w:name="_Toc98866147"/>
      <w:bookmarkStart w:id="77" w:name="_Toc98866306"/>
      <w:r>
        <w:t>PRIORITY AREA 5.1</w:t>
      </w:r>
      <w:bookmarkEnd w:id="76"/>
      <w:bookmarkEnd w:id="77"/>
    </w:p>
    <w:p w14:paraId="53D28E12" w14:textId="2839F1C2" w:rsidR="00915EEF" w:rsidRDefault="00915EEF" w:rsidP="00915EEF">
      <w:pPr>
        <w:pStyle w:val="BodyText"/>
      </w:pPr>
      <w:r>
        <w:t>Promote funding reform to provide more secure, appropriate employment and workplace arrangements</w:t>
      </w:r>
      <w:r w:rsidR="00951A8F">
        <w:t>.</w:t>
      </w:r>
    </w:p>
    <w:p w14:paraId="08DF3574" w14:textId="0E979909" w:rsidR="00A17029" w:rsidRDefault="00A17029" w:rsidP="00A17029">
      <w:pPr>
        <w:pStyle w:val="Heading4"/>
      </w:pPr>
      <w:r>
        <w:t>Action 5.1.1</w:t>
      </w:r>
    </w:p>
    <w:p w14:paraId="03E73786" w14:textId="51FC6708" w:rsidR="00A17029" w:rsidRDefault="00A17029" w:rsidP="00A17029">
      <w:pPr>
        <w:pStyle w:val="BodyText"/>
      </w:pPr>
      <w:r>
        <w:t>Develop longer minimum service contract lengths for commissioned mental health services, including in rural and remote areas</w:t>
      </w:r>
      <w:r w:rsidR="00951A8F">
        <w:t>.</w:t>
      </w:r>
    </w:p>
    <w:p w14:paraId="76126812" w14:textId="0F3874D8" w:rsidR="00A17029" w:rsidRDefault="00A17029" w:rsidP="00A17029">
      <w:pPr>
        <w:pStyle w:val="BodyText"/>
      </w:pPr>
      <w:r>
        <w:lastRenderedPageBreak/>
        <w:t xml:space="preserve">Occupations for immediate action (&lt;12 months): AOD Workers; Allied Health Practitioners; General Practitioners (particularly in rural and remote locations); Lived Experience (Peer) Workers; Psychosocial Support Workers. </w:t>
      </w:r>
    </w:p>
    <w:p w14:paraId="46A8519B" w14:textId="1E864197" w:rsidR="00A17029" w:rsidRDefault="00A17029" w:rsidP="00A17029">
      <w:pPr>
        <w:pStyle w:val="BodyText"/>
      </w:pPr>
      <w:r>
        <w:t>Occupations for further action (12-24 months): Dietitians; Nurse Practitioners; Psychologists (particularly in settings beyond private practice); Social Workers.</w:t>
      </w:r>
    </w:p>
    <w:p w14:paraId="1F8EED96" w14:textId="6DD7E34C" w:rsidR="00A17029" w:rsidRDefault="00A17029" w:rsidP="00A17029">
      <w:pPr>
        <w:pStyle w:val="BodyText"/>
      </w:pPr>
      <w:r w:rsidRPr="00A17029">
        <w:t>Potential implementation examples</w:t>
      </w:r>
      <w:r>
        <w:t xml:space="preserve">: </w:t>
      </w:r>
      <w:r w:rsidRPr="00A17029">
        <w:t>Align government funding across sectors relevant to the mental health workforce to improve consistency of salaries.</w:t>
      </w:r>
    </w:p>
    <w:p w14:paraId="72C924E1" w14:textId="0ED38BE1" w:rsidR="00A17029" w:rsidRDefault="00A17029" w:rsidP="00A17029">
      <w:pPr>
        <w:pStyle w:val="Heading4"/>
      </w:pPr>
      <w:r>
        <w:t>Action 5.1.2</w:t>
      </w:r>
    </w:p>
    <w:p w14:paraId="6212DFA8" w14:textId="77838804" w:rsidR="00A17029" w:rsidRDefault="00A17029" w:rsidP="00A17029">
      <w:pPr>
        <w:pStyle w:val="BodyText"/>
      </w:pPr>
      <w:r>
        <w:t>Review workplace arrangements across the mental health sector, including by occupation, setting and specialisation, to ensure arrangements align with contemporary scopes of practice and are sufficient to attract the required workforce</w:t>
      </w:r>
      <w:r w:rsidR="004D56ED">
        <w:t>.</w:t>
      </w:r>
    </w:p>
    <w:p w14:paraId="0E37C6BC" w14:textId="03192A97" w:rsidR="00A17029" w:rsidRDefault="00A17029" w:rsidP="00A17029">
      <w:pPr>
        <w:pStyle w:val="BodyText"/>
      </w:pPr>
      <w:r>
        <w:t>Detail: N/A</w:t>
      </w:r>
    </w:p>
    <w:p w14:paraId="54097536" w14:textId="77777777" w:rsidR="00A17029" w:rsidRDefault="00A17029" w:rsidP="00A17029">
      <w:pPr>
        <w:pStyle w:val="BodyText"/>
      </w:pPr>
      <w:r w:rsidRPr="00A17029">
        <w:t>Potential implementation examples</w:t>
      </w:r>
      <w:r>
        <w:t xml:space="preserve">: </w:t>
      </w:r>
      <w:r w:rsidRPr="00A17029">
        <w:t>Align government funding across sectors relevant to the mental health workforce to improve consistency of salaries.</w:t>
      </w:r>
    </w:p>
    <w:p w14:paraId="1BB6EF5D" w14:textId="30B661D8" w:rsidR="00A17029" w:rsidRDefault="00A17029" w:rsidP="00A17029">
      <w:pPr>
        <w:pStyle w:val="Heading3"/>
      </w:pPr>
      <w:bookmarkStart w:id="78" w:name="_Toc98866148"/>
      <w:bookmarkStart w:id="79" w:name="_Toc98866307"/>
      <w:r>
        <w:t>PRIORITY AREA 5.2 – Increase access to appropriate supervision for all mental health workers</w:t>
      </w:r>
      <w:bookmarkEnd w:id="78"/>
      <w:bookmarkEnd w:id="79"/>
    </w:p>
    <w:p w14:paraId="19B379CE" w14:textId="2C5C30DB" w:rsidR="00A17029" w:rsidRDefault="00A17029" w:rsidP="0033313A">
      <w:pPr>
        <w:pStyle w:val="Heading4"/>
      </w:pPr>
      <w:r>
        <w:t>Action 5.2.1</w:t>
      </w:r>
    </w:p>
    <w:p w14:paraId="76ABAEBD" w14:textId="0C060542" w:rsidR="00DE4011" w:rsidRDefault="00A17029" w:rsidP="00A17029">
      <w:pPr>
        <w:pStyle w:val="BodyText"/>
      </w:pPr>
      <w:r>
        <w:t>Specify supervision and support requirements for those in the mental health workforce</w:t>
      </w:r>
      <w:r w:rsidR="004D56ED">
        <w:t>.</w:t>
      </w:r>
    </w:p>
    <w:p w14:paraId="15548E82" w14:textId="335B8AF6" w:rsidR="00A17029" w:rsidRDefault="00A17029" w:rsidP="00A17029">
      <w:pPr>
        <w:pStyle w:val="BodyText"/>
      </w:pPr>
      <w:r>
        <w:t>Occupations for immediate action (&lt;12 months): Aboriginal and Torres Strait Islander Health Practitioners and Mental Health Workers; General Practitioners; Occupational Therapists; Psychologists; Psychosocial Support Workers; Social Workers; Speech Pathologists.</w:t>
      </w:r>
    </w:p>
    <w:p w14:paraId="5FD47216" w14:textId="67EBCD51" w:rsidR="00A17029" w:rsidRPr="00A17029" w:rsidRDefault="00A17029" w:rsidP="00A17029">
      <w:pPr>
        <w:pStyle w:val="BodyText"/>
      </w:pPr>
      <w:r>
        <w:t>Occupations for further action (12-24 months): AOD Workers; Dietitians; Exercise Physiologists; Nurses; Paramedics.</w:t>
      </w:r>
    </w:p>
    <w:p w14:paraId="2E346D3A" w14:textId="720CF615" w:rsidR="00A17029" w:rsidRDefault="00A17029" w:rsidP="0033313A">
      <w:pPr>
        <w:pStyle w:val="Heading4"/>
      </w:pPr>
      <w:r>
        <w:t>Action 5.2.2</w:t>
      </w:r>
    </w:p>
    <w:p w14:paraId="544BA489" w14:textId="5E046C7F" w:rsidR="00A17029" w:rsidRDefault="00A17029" w:rsidP="00A17029">
      <w:pPr>
        <w:pStyle w:val="BodyText"/>
      </w:pPr>
      <w:r>
        <w:t xml:space="preserve">Review guidelines for supervision to reduce structural barriers generated through a lack of access to </w:t>
      </w:r>
      <w:proofErr w:type="gramStart"/>
      <w:r>
        <w:t>face to face</w:t>
      </w:r>
      <w:proofErr w:type="gramEnd"/>
      <w:r>
        <w:t xml:space="preserve"> arrangements, particularly for rural and remote workers</w:t>
      </w:r>
      <w:r w:rsidR="004D56ED">
        <w:t>.</w:t>
      </w:r>
    </w:p>
    <w:p w14:paraId="66430960" w14:textId="44AAD5A1" w:rsidR="00A17029" w:rsidRDefault="00A17029" w:rsidP="00A17029">
      <w:pPr>
        <w:pStyle w:val="BodyText"/>
      </w:pPr>
      <w:r>
        <w:t>Detail: N/A</w:t>
      </w:r>
    </w:p>
    <w:p w14:paraId="55DBE142" w14:textId="7C5EFF31" w:rsidR="00A17029" w:rsidRDefault="00A17029" w:rsidP="0033313A">
      <w:pPr>
        <w:pStyle w:val="Heading4"/>
      </w:pPr>
      <w:r>
        <w:t>Action 5.2.3</w:t>
      </w:r>
    </w:p>
    <w:p w14:paraId="7AC6AFFC" w14:textId="6AC334D4" w:rsidR="00A17029" w:rsidRDefault="00A17029" w:rsidP="00A17029">
      <w:pPr>
        <w:pStyle w:val="BodyText"/>
      </w:pPr>
      <w:r>
        <w:t>Explore opportunities to use funding levers to ensure that community, public and private mental health service providers have appropriate standards for supervision in place</w:t>
      </w:r>
      <w:r w:rsidR="004D56ED">
        <w:t>.</w:t>
      </w:r>
    </w:p>
    <w:p w14:paraId="6F5D7D36" w14:textId="335A49CA" w:rsidR="00A17029" w:rsidRDefault="00A17029" w:rsidP="00A17029">
      <w:pPr>
        <w:pStyle w:val="BodyText"/>
      </w:pPr>
      <w:r>
        <w:lastRenderedPageBreak/>
        <w:t xml:space="preserve">Occupations for immediate action (&lt;12 months): Lived Experience (Peer) Workers; Occupational Therapists (discipline specific supervision in mental health); Psychosocial Support Workers; Psychologists (supervision for Endorsed Psychologists). </w:t>
      </w:r>
    </w:p>
    <w:p w14:paraId="70997175" w14:textId="77777777" w:rsidR="00A17029" w:rsidRDefault="00A17029" w:rsidP="00A17029">
      <w:pPr>
        <w:pStyle w:val="BodyText"/>
      </w:pPr>
      <w:r>
        <w:t>Occupations for further action (12-24 months): AOD Workers; Dietitians (discipline specific supervision in mental health); Exercise Physiologists; Social Workers (discipline specific supervision in mental health).</w:t>
      </w:r>
    </w:p>
    <w:p w14:paraId="2257B3C5" w14:textId="19984EE1" w:rsidR="00DE4011" w:rsidRDefault="00DE4011" w:rsidP="00DE4011">
      <w:pPr>
        <w:pStyle w:val="Heading4"/>
      </w:pPr>
      <w:r w:rsidRPr="00A17029">
        <w:t>Potential implementation examples</w:t>
      </w:r>
    </w:p>
    <w:p w14:paraId="0F050839" w14:textId="245D1768" w:rsidR="00A17029" w:rsidRDefault="00A17029" w:rsidP="00DE4011">
      <w:pPr>
        <w:pStyle w:val="ListBullet"/>
      </w:pPr>
      <w:r>
        <w:t>Provide funding to support peer, cultural and clinical supervision for Aboriginal and Torres Strait Islander Mental Health Workers and Lived Experience (Peer) workers.</w:t>
      </w:r>
    </w:p>
    <w:p w14:paraId="4F1933F8" w14:textId="77777777" w:rsidR="00A17029" w:rsidRDefault="00A17029" w:rsidP="00DE4011">
      <w:pPr>
        <w:pStyle w:val="ListBullet"/>
      </w:pPr>
      <w:r>
        <w:t>Support the mental health workforce to access remote supervision, through incentivised funding arrangements or adjustments to current guidelines and requirements, particularly for rural and remote workforces.</w:t>
      </w:r>
    </w:p>
    <w:p w14:paraId="14EB92F4" w14:textId="77777777" w:rsidR="00A17029" w:rsidRDefault="00A17029" w:rsidP="00DE4011">
      <w:pPr>
        <w:pStyle w:val="ListBullet"/>
      </w:pPr>
      <w:r>
        <w:t>Fund initiatives that improve supervision through partnerships, for example between education and training providers and health services.</w:t>
      </w:r>
    </w:p>
    <w:p w14:paraId="68D26152" w14:textId="0316DE11" w:rsidR="00A17029" w:rsidRDefault="00A17029" w:rsidP="00DE4011">
      <w:pPr>
        <w:pStyle w:val="ListBullet"/>
      </w:pPr>
      <w:r>
        <w:t>Improve consistency of clinical and professional governance for each occupation, including defining minimum levels of supervision for each occupation.</w:t>
      </w:r>
    </w:p>
    <w:p w14:paraId="1F51DADD" w14:textId="47EC9AD6" w:rsidR="00DE4011" w:rsidRDefault="0033313A" w:rsidP="0033313A">
      <w:pPr>
        <w:pStyle w:val="Heading3"/>
      </w:pPr>
      <w:bookmarkStart w:id="80" w:name="_Toc98866149"/>
      <w:bookmarkStart w:id="81" w:name="_Toc98866308"/>
      <w:r>
        <w:t xml:space="preserve">PRIORITY AREA 5.3 – Improve workplace health, </w:t>
      </w:r>
      <w:proofErr w:type="gramStart"/>
      <w:r>
        <w:t>safety</w:t>
      </w:r>
      <w:proofErr w:type="gramEnd"/>
      <w:r>
        <w:t xml:space="preserve"> and wellbeing</w:t>
      </w:r>
      <w:bookmarkEnd w:id="80"/>
      <w:bookmarkEnd w:id="81"/>
    </w:p>
    <w:p w14:paraId="34A711C1" w14:textId="176BD545" w:rsidR="0033313A" w:rsidRDefault="0033313A" w:rsidP="00090EC6">
      <w:pPr>
        <w:pStyle w:val="Heading4"/>
      </w:pPr>
      <w:r>
        <w:t>Action 5.3.1</w:t>
      </w:r>
    </w:p>
    <w:p w14:paraId="0860E505" w14:textId="5DCE8A0C" w:rsidR="0033313A" w:rsidRDefault="0033313A" w:rsidP="0033313A">
      <w:pPr>
        <w:pStyle w:val="BodyText"/>
      </w:pPr>
      <w:r>
        <w:t>Invest in initiatives to safeguard the mental wellbeing of the mental health workforce</w:t>
      </w:r>
      <w:r w:rsidR="004D56ED">
        <w:t>.</w:t>
      </w:r>
    </w:p>
    <w:p w14:paraId="5AFCE91E" w14:textId="2D77BAFF" w:rsidR="0033313A" w:rsidRDefault="00090EC6" w:rsidP="0033313A">
      <w:pPr>
        <w:pStyle w:val="BodyText"/>
      </w:pPr>
      <w:r>
        <w:t xml:space="preserve">Detail: </w:t>
      </w:r>
      <w:r w:rsidR="0033313A">
        <w:t>N/A</w:t>
      </w:r>
    </w:p>
    <w:p w14:paraId="1EA90991" w14:textId="6C176E3E" w:rsidR="0033313A" w:rsidRDefault="0033313A" w:rsidP="00090EC6">
      <w:pPr>
        <w:pStyle w:val="Heading4"/>
      </w:pPr>
      <w:r>
        <w:t>Action 5.3.2</w:t>
      </w:r>
    </w:p>
    <w:p w14:paraId="4BD00222" w14:textId="5792D0D0" w:rsidR="00090EC6" w:rsidRDefault="0033313A" w:rsidP="0033313A">
      <w:pPr>
        <w:pStyle w:val="BodyText"/>
      </w:pPr>
      <w:r>
        <w:t>Invest in infrastructure to ensure mental health support and treatment is provided in suitable environments</w:t>
      </w:r>
      <w:r w:rsidR="004D56ED">
        <w:t>.</w:t>
      </w:r>
    </w:p>
    <w:p w14:paraId="78070372" w14:textId="219AD648" w:rsidR="003D7343" w:rsidRDefault="00090EC6" w:rsidP="0033313A">
      <w:pPr>
        <w:pStyle w:val="BodyText"/>
      </w:pPr>
      <w:r>
        <w:t xml:space="preserve">Detail: </w:t>
      </w:r>
      <w:r w:rsidR="0033313A">
        <w:t>N/A</w:t>
      </w:r>
    </w:p>
    <w:p w14:paraId="62291313" w14:textId="4C6100CC" w:rsidR="00090EC6" w:rsidRDefault="00090EC6" w:rsidP="00090EC6">
      <w:pPr>
        <w:pStyle w:val="Heading4"/>
      </w:pPr>
      <w:r>
        <w:t>Action 5.3.3</w:t>
      </w:r>
    </w:p>
    <w:p w14:paraId="0579EB26" w14:textId="3661AF54" w:rsidR="00090EC6" w:rsidRDefault="00090EC6" w:rsidP="00090EC6">
      <w:pPr>
        <w:pStyle w:val="BodyText"/>
      </w:pPr>
      <w:r>
        <w:t>Require that service providers support staff access to continuing professional development throughout their careers</w:t>
      </w:r>
      <w:r w:rsidR="004D56ED">
        <w:t>.</w:t>
      </w:r>
    </w:p>
    <w:p w14:paraId="5CCD9D09" w14:textId="03524050" w:rsidR="00090EC6" w:rsidRDefault="00090EC6" w:rsidP="00090EC6">
      <w:pPr>
        <w:pStyle w:val="BodyText"/>
      </w:pPr>
      <w:r>
        <w:t>Occupations for immediate action (&lt;12 months): Aboriginal and Torres Strait Islander Health Workers (across all settings and in rural and remote locations); Aboriginal and Torres Strait Islander Mental Health Workers (across all settings, and in rural and remote locations); Lived Experience (Peer) Workers; Psychologists (across all settings, and in rural and remote locations); Psychosocial Support Workers.</w:t>
      </w:r>
    </w:p>
    <w:p w14:paraId="12EB8687" w14:textId="5C9FBC3E" w:rsidR="0033313A" w:rsidRDefault="00090EC6" w:rsidP="00090EC6">
      <w:pPr>
        <w:pStyle w:val="BodyText"/>
      </w:pPr>
      <w:r>
        <w:lastRenderedPageBreak/>
        <w:t>Occupations for further action (12-24 months): AOD workers; Counsellors and psychotherapists; Dietitians; General Practitioners (including Rural Generalists); Psychiatrists (across all settings, and in rural and remote locations); Social Workers.</w:t>
      </w:r>
    </w:p>
    <w:p w14:paraId="7705753B" w14:textId="61AA5749" w:rsidR="00090EC6" w:rsidRDefault="00090EC6" w:rsidP="00090EC6">
      <w:pPr>
        <w:pStyle w:val="Heading4"/>
      </w:pPr>
      <w:r>
        <w:t>Potential implementation examples</w:t>
      </w:r>
    </w:p>
    <w:p w14:paraId="51B94CD1" w14:textId="77777777" w:rsidR="00090EC6" w:rsidRDefault="00090EC6" w:rsidP="00090EC6">
      <w:pPr>
        <w:pStyle w:val="ListBullet"/>
      </w:pPr>
      <w:r>
        <w:t>Providing funding to support accessible and affordable CPD for the mental health workforce, particularly for those in rural and remote areas.</w:t>
      </w:r>
    </w:p>
    <w:p w14:paraId="4CC4E00B" w14:textId="77777777" w:rsidR="00090EC6" w:rsidRDefault="00090EC6" w:rsidP="00090EC6">
      <w:pPr>
        <w:pStyle w:val="ListBullet"/>
      </w:pPr>
      <w:r>
        <w:t>Fund initiatives to support mentally health workplaces, for example business and educators, and stigma reduction initiatives for help seeking behaviour.</w:t>
      </w:r>
    </w:p>
    <w:p w14:paraId="37D3D1F9" w14:textId="77777777" w:rsidR="00090EC6" w:rsidRDefault="00090EC6" w:rsidP="00090EC6">
      <w:pPr>
        <w:pStyle w:val="ListBullet"/>
      </w:pPr>
      <w:r>
        <w:t>Fund initiatives to improve the cultural safety of organisations working in the mental health sector.</w:t>
      </w:r>
    </w:p>
    <w:p w14:paraId="5EE38666" w14:textId="4838E253" w:rsidR="00090EC6" w:rsidRDefault="00090EC6" w:rsidP="00090EC6">
      <w:pPr>
        <w:pStyle w:val="ListBullet"/>
      </w:pPr>
      <w:r>
        <w:t>Provide support to health services to build organisational readiness for the integration of lived experience roles in the provision of mental health services.</w:t>
      </w:r>
    </w:p>
    <w:p w14:paraId="494F6C02" w14:textId="520B48C9" w:rsidR="00090EC6" w:rsidRDefault="00090EC6" w:rsidP="00AD1251">
      <w:pPr>
        <w:pStyle w:val="Heading3"/>
      </w:pPr>
      <w:bookmarkStart w:id="82" w:name="_Toc98866150"/>
      <w:bookmarkStart w:id="83" w:name="_Toc98866309"/>
      <w:r>
        <w:t>PRIORITY AREA 5.4 – Improve career paths within the mental health sector</w:t>
      </w:r>
      <w:bookmarkEnd w:id="82"/>
      <w:bookmarkEnd w:id="83"/>
    </w:p>
    <w:p w14:paraId="5B40AC5F" w14:textId="4AB21CE6" w:rsidR="00090EC6" w:rsidRDefault="00090EC6" w:rsidP="00AD1251">
      <w:pPr>
        <w:pStyle w:val="Heading4"/>
      </w:pPr>
      <w:r>
        <w:t>Action 5.4.1</w:t>
      </w:r>
    </w:p>
    <w:p w14:paraId="1355973A" w14:textId="77777777" w:rsidR="00090EC6" w:rsidRDefault="00090EC6" w:rsidP="00090EC6">
      <w:pPr>
        <w:pStyle w:val="BodyText"/>
      </w:pPr>
      <w:r>
        <w:t>Develop and implement mental health career pathways within and between mental health and health service settings.</w:t>
      </w:r>
    </w:p>
    <w:p w14:paraId="5B219FC3" w14:textId="7EB57BA6" w:rsidR="00090EC6" w:rsidRDefault="00090EC6" w:rsidP="00090EC6">
      <w:pPr>
        <w:pStyle w:val="BodyText"/>
      </w:pPr>
      <w:r>
        <w:t xml:space="preserve">Occupations for immediate action (&lt;12 months): Aboriginal and Torres Strait Islander Health Practitioners; Aboriginal and Torres Strait Islander Health Workers; Aboriginal and Torres Strait Islander Mental Health Workers; General Practitioner; Lived Experience (Peer) Workers; Occupational Therapists; Psychiatrists; Psychosocial Support Workers. </w:t>
      </w:r>
    </w:p>
    <w:p w14:paraId="15F4364A" w14:textId="569D535A" w:rsidR="00090EC6" w:rsidRDefault="00090EC6" w:rsidP="00090EC6">
      <w:pPr>
        <w:pStyle w:val="BodyText"/>
      </w:pPr>
      <w:r>
        <w:t>Occupations for further action (12-24 months): AOD Workers; Clinical Psychologists; Counsellors and psychotherapists; Dietitians; Exercise Physiologists; Mental Health Nurses; Mental Health Promotion Workers; Social Workers; Speech Pathologists.</w:t>
      </w:r>
    </w:p>
    <w:p w14:paraId="19757910" w14:textId="77777777" w:rsidR="00AD1251" w:rsidRDefault="00AD1251" w:rsidP="00AD1251">
      <w:pPr>
        <w:pStyle w:val="BodyText"/>
      </w:pPr>
      <w:r>
        <w:t>Potential implementation examples:</w:t>
      </w:r>
    </w:p>
    <w:p w14:paraId="5A27162E" w14:textId="2599D462" w:rsidR="00AD1251" w:rsidRDefault="00AD1251" w:rsidP="00AD1251">
      <w:pPr>
        <w:pStyle w:val="ListBullet"/>
      </w:pPr>
      <w:r>
        <w:t>Create a framework to provide guidance for employers on reasonable workplace adjustments for Lived Experience (Peer) workforces to improve career opportunities.</w:t>
      </w:r>
    </w:p>
    <w:p w14:paraId="6C938A0C" w14:textId="2E0B8556" w:rsidR="00AD1251" w:rsidRDefault="00AD1251" w:rsidP="00AD1251">
      <w:pPr>
        <w:pStyle w:val="ListBullet"/>
      </w:pPr>
      <w:r>
        <w:t>Develop CPD programs that include applied learning in public sector organisations for private practitioners, and private practices for practitioners employed by public services, to facilitate skill-sharing and mixed practice career pathways.</w:t>
      </w:r>
    </w:p>
    <w:p w14:paraId="0B070FA9" w14:textId="571A77EF" w:rsidR="00AD1251" w:rsidRDefault="00AD1251" w:rsidP="00AD1251">
      <w:pPr>
        <w:pStyle w:val="Heading2"/>
      </w:pPr>
      <w:bookmarkStart w:id="84" w:name="_Toc98866151"/>
      <w:bookmarkStart w:id="85" w:name="_Toc98866310"/>
      <w:r w:rsidRPr="00AD1251">
        <w:lastRenderedPageBreak/>
        <w:t>Objective 6</w:t>
      </w:r>
      <w:r>
        <w:t xml:space="preserve"> – </w:t>
      </w:r>
      <w:r w:rsidRPr="00AD1251">
        <w:t xml:space="preserve">The mental health workforce is distributed and resourced to deliver mental health promotion, </w:t>
      </w:r>
      <w:proofErr w:type="gramStart"/>
      <w:r w:rsidRPr="00AD1251">
        <w:t>support</w:t>
      </w:r>
      <w:proofErr w:type="gramEnd"/>
      <w:r w:rsidRPr="00AD1251">
        <w:t xml:space="preserve"> and treatment when and where consumers need it across their life-course</w:t>
      </w:r>
      <w:bookmarkEnd w:id="84"/>
      <w:bookmarkEnd w:id="85"/>
    </w:p>
    <w:p w14:paraId="79BC841F" w14:textId="161F8EE8" w:rsidR="0033313A" w:rsidRDefault="00663879" w:rsidP="00663879">
      <w:pPr>
        <w:pStyle w:val="Heading3"/>
      </w:pPr>
      <w:bookmarkStart w:id="86" w:name="_Toc98866152"/>
      <w:bookmarkStart w:id="87" w:name="_Toc98866311"/>
      <w:r>
        <w:t>PRIORITY AREA 6.1 – Strengthen evidence based local mental health service planning, including for surge capacity, alignment of workforce planning and development</w:t>
      </w:r>
      <w:bookmarkEnd w:id="86"/>
      <w:bookmarkEnd w:id="87"/>
    </w:p>
    <w:p w14:paraId="7E607FF5" w14:textId="04EC07DF" w:rsidR="00663879" w:rsidRDefault="00663879" w:rsidP="00A44D76">
      <w:pPr>
        <w:pStyle w:val="Heading4"/>
      </w:pPr>
      <w:r>
        <w:t>Action 6.1.1</w:t>
      </w:r>
    </w:p>
    <w:p w14:paraId="50F2DB11" w14:textId="5C8FF557" w:rsidR="00663879" w:rsidRDefault="00663879" w:rsidP="00663879">
      <w:pPr>
        <w:pStyle w:val="BodyText"/>
      </w:pPr>
      <w:r>
        <w:t>Include consumers and carers in planning processes that identify local mental health needs</w:t>
      </w:r>
      <w:r w:rsidR="004D56ED">
        <w:t>.</w:t>
      </w:r>
    </w:p>
    <w:p w14:paraId="53BA1E04" w14:textId="27C7DF45" w:rsidR="00663879" w:rsidRDefault="00663879" w:rsidP="00663879">
      <w:pPr>
        <w:pStyle w:val="BodyText"/>
      </w:pPr>
      <w:r>
        <w:t>Detail: N/A</w:t>
      </w:r>
    </w:p>
    <w:p w14:paraId="035FC5CF" w14:textId="54D7AA63" w:rsidR="00ED47BB" w:rsidRDefault="00663879" w:rsidP="00ED47BB">
      <w:pPr>
        <w:pStyle w:val="Heading4"/>
      </w:pPr>
      <w:r>
        <w:t>Action 6.1.2</w:t>
      </w:r>
    </w:p>
    <w:p w14:paraId="5F09D2FE" w14:textId="25853C1C" w:rsidR="00663879" w:rsidRDefault="00663879" w:rsidP="00663879">
      <w:pPr>
        <w:pStyle w:val="BodyText"/>
      </w:pPr>
      <w:r>
        <w:t>Invest in initiatives to grow local mental health workforces, particularly in rural and remote settings</w:t>
      </w:r>
    </w:p>
    <w:p w14:paraId="39CD32DB" w14:textId="19C403EB" w:rsidR="00663879" w:rsidRDefault="00663879" w:rsidP="00663879">
      <w:pPr>
        <w:pStyle w:val="BodyText"/>
      </w:pPr>
      <w:r>
        <w:t>Occupations for immediate action (&lt;12 months): Aboriginal and Torres Strait Islander Health Practitioners; Aboriginal and Torres Strait Islander Health Workers; Aboriginal and Torres Strait Islander Mental Health Workers; Counsellors and psychotherapists; Lived Experience (Peer) Workers; Psychologists; Psychosocial Support Workers</w:t>
      </w:r>
      <w:r w:rsidR="004D56ED">
        <w:t>.</w:t>
      </w:r>
    </w:p>
    <w:p w14:paraId="148D9CA2" w14:textId="3BB1A184" w:rsidR="00637675" w:rsidRDefault="00637675" w:rsidP="00ED47BB">
      <w:pPr>
        <w:pStyle w:val="Heading4"/>
      </w:pPr>
      <w:r>
        <w:t>Action 6.1.3</w:t>
      </w:r>
    </w:p>
    <w:p w14:paraId="0EE65BEE" w14:textId="0FD704C6" w:rsidR="00637675" w:rsidRDefault="00637675" w:rsidP="00637675">
      <w:pPr>
        <w:pStyle w:val="BodyText"/>
      </w:pPr>
      <w:r>
        <w:t xml:space="preserve">Develop a training strategy for the rural and remote mental health workforce, cognisant of the need to work across the primary, </w:t>
      </w:r>
      <w:proofErr w:type="gramStart"/>
      <w:r>
        <w:t>secondary</w:t>
      </w:r>
      <w:proofErr w:type="gramEnd"/>
      <w:r>
        <w:t xml:space="preserve"> and tertiary spectrum of support</w:t>
      </w:r>
      <w:r w:rsidR="004D56ED">
        <w:t>.</w:t>
      </w:r>
    </w:p>
    <w:p w14:paraId="21446721" w14:textId="752A4DBB" w:rsidR="00AD1251" w:rsidRDefault="00ED47BB" w:rsidP="00637675">
      <w:pPr>
        <w:pStyle w:val="BodyText"/>
      </w:pPr>
      <w:r>
        <w:t xml:space="preserve">Details: </w:t>
      </w:r>
      <w:r w:rsidR="00637675">
        <w:t>N/A</w:t>
      </w:r>
    </w:p>
    <w:p w14:paraId="50280283" w14:textId="5F4F6D2E" w:rsidR="00637675" w:rsidRDefault="00637675" w:rsidP="00ED47BB">
      <w:pPr>
        <w:pStyle w:val="Heading4"/>
      </w:pPr>
      <w:r>
        <w:t>Action 6.1.4</w:t>
      </w:r>
    </w:p>
    <w:p w14:paraId="4883762C" w14:textId="77777777" w:rsidR="00637675" w:rsidRDefault="00637675" w:rsidP="00637675">
      <w:pPr>
        <w:pStyle w:val="BodyText"/>
      </w:pPr>
      <w:r>
        <w:t>Work with education providers at the local level to match training to community needs and jobs, using blended delivery models to support participation of rural and remote students.</w:t>
      </w:r>
    </w:p>
    <w:p w14:paraId="5440B1FA" w14:textId="3F88F276" w:rsidR="00637675" w:rsidRDefault="00ED47BB" w:rsidP="00637675">
      <w:pPr>
        <w:pStyle w:val="BodyText"/>
      </w:pPr>
      <w:r>
        <w:t xml:space="preserve">Details: </w:t>
      </w:r>
      <w:r w:rsidR="00637675">
        <w:t>N/A</w:t>
      </w:r>
    </w:p>
    <w:p w14:paraId="5168A07D" w14:textId="33A0B837" w:rsidR="00637675" w:rsidRDefault="00637675" w:rsidP="00ED47BB">
      <w:pPr>
        <w:pStyle w:val="Heading4"/>
      </w:pPr>
      <w:r>
        <w:t>Action 6.1.5</w:t>
      </w:r>
    </w:p>
    <w:p w14:paraId="63479142" w14:textId="77777777" w:rsidR="00637675" w:rsidRDefault="00637675" w:rsidP="00637675">
      <w:pPr>
        <w:pStyle w:val="BodyText"/>
      </w:pPr>
      <w:r>
        <w:t xml:space="preserve">Work with education and training providers to develop a systemic pathway for the rural and remote mental health workforce, with preferential selection, </w:t>
      </w:r>
      <w:proofErr w:type="gramStart"/>
      <w:r>
        <w:t>scholarships</w:t>
      </w:r>
      <w:proofErr w:type="gramEnd"/>
      <w:r>
        <w:t xml:space="preserve"> and support for people to train and work locally.</w:t>
      </w:r>
    </w:p>
    <w:p w14:paraId="1C5C422E" w14:textId="2ED182D1" w:rsidR="00637675" w:rsidRDefault="00ED47BB" w:rsidP="00637675">
      <w:pPr>
        <w:pStyle w:val="BodyText"/>
      </w:pPr>
      <w:r>
        <w:lastRenderedPageBreak/>
        <w:t xml:space="preserve">Details: </w:t>
      </w:r>
      <w:r w:rsidR="00637675">
        <w:t>N/A</w:t>
      </w:r>
    </w:p>
    <w:p w14:paraId="496D1F59" w14:textId="02BC28F0" w:rsidR="00637675" w:rsidRDefault="00637675" w:rsidP="00ED47BB">
      <w:pPr>
        <w:pStyle w:val="Heading4"/>
      </w:pPr>
      <w:r>
        <w:t>Action 6.1.6</w:t>
      </w:r>
    </w:p>
    <w:p w14:paraId="3DFF1206" w14:textId="46DECE76" w:rsidR="00637675" w:rsidRDefault="00637675" w:rsidP="00637675">
      <w:pPr>
        <w:pStyle w:val="BodyText"/>
      </w:pPr>
      <w:r>
        <w:t>Incentivise the use of place-based approaches to training and professional development to help attract and retain workforce in rural and remote areas</w:t>
      </w:r>
      <w:r w:rsidR="004D56ED">
        <w:t>.</w:t>
      </w:r>
    </w:p>
    <w:p w14:paraId="6AA5BDA9" w14:textId="68D9FE3D" w:rsidR="00637675" w:rsidRDefault="00ED47BB" w:rsidP="00637675">
      <w:pPr>
        <w:pStyle w:val="BodyText"/>
      </w:pPr>
      <w:r>
        <w:t xml:space="preserve">Details: </w:t>
      </w:r>
      <w:r w:rsidR="00637675">
        <w:t>N/A</w:t>
      </w:r>
    </w:p>
    <w:p w14:paraId="4603F3B0" w14:textId="16DB3731" w:rsidR="00637675" w:rsidRDefault="00637675" w:rsidP="00ED47BB">
      <w:pPr>
        <w:pStyle w:val="Heading4"/>
      </w:pPr>
      <w:r>
        <w:t>Potential implementation examples</w:t>
      </w:r>
    </w:p>
    <w:p w14:paraId="7A903665" w14:textId="77777777" w:rsidR="00637675" w:rsidRDefault="00637675" w:rsidP="00637675">
      <w:pPr>
        <w:pStyle w:val="ListBullet"/>
      </w:pPr>
      <w:r>
        <w:t xml:space="preserve">Provide incentives such as housing assistance, paid </w:t>
      </w:r>
      <w:proofErr w:type="gramStart"/>
      <w:r>
        <w:t>conferencing</w:t>
      </w:r>
      <w:proofErr w:type="gramEnd"/>
      <w:r>
        <w:t xml:space="preserve"> and flexible work hours to overcome professional, financial and personal barriers to attracting and retaining mental health workers in rural communities.</w:t>
      </w:r>
    </w:p>
    <w:p w14:paraId="0983CB63" w14:textId="77777777" w:rsidR="00637675" w:rsidRDefault="00637675" w:rsidP="00637675">
      <w:pPr>
        <w:pStyle w:val="ListBullet"/>
      </w:pPr>
      <w:r>
        <w:t>Provide funding to Aboriginal Controlled Health Services to develop the Aboriginal and Torres Strait Islander mental health workforce and enable their participation in cultural activities within their communities.</w:t>
      </w:r>
    </w:p>
    <w:p w14:paraId="201E50D6" w14:textId="77777777" w:rsidR="00637675" w:rsidRDefault="00637675" w:rsidP="00637675">
      <w:pPr>
        <w:pStyle w:val="ListBullet"/>
      </w:pPr>
      <w:r>
        <w:t>Expand the Rural Generalist pathways for General Practitioners and Allied Health professionals.</w:t>
      </w:r>
    </w:p>
    <w:p w14:paraId="460FDA3D" w14:textId="77777777" w:rsidR="00637675" w:rsidRDefault="00637675" w:rsidP="00637675">
      <w:pPr>
        <w:pStyle w:val="ListBullet"/>
      </w:pPr>
      <w:r>
        <w:t>Improve support for newly graduated nurses and midwives in rural and remote health facilities to aid retention.</w:t>
      </w:r>
    </w:p>
    <w:p w14:paraId="69342E59" w14:textId="77777777" w:rsidR="00637675" w:rsidRDefault="00637675" w:rsidP="00637675">
      <w:pPr>
        <w:pStyle w:val="ListBullet"/>
      </w:pPr>
      <w:r>
        <w:t>Assist rural and remote nurse and midwife managers in their role as preceptors of beginning registered practitioners.</w:t>
      </w:r>
    </w:p>
    <w:p w14:paraId="11E30485" w14:textId="77777777" w:rsidR="00637675" w:rsidRDefault="00637675" w:rsidP="00637675">
      <w:pPr>
        <w:pStyle w:val="ListBullet"/>
      </w:pPr>
      <w:r>
        <w:t xml:space="preserve">Consider a program </w:t>
      </w:r>
      <w:proofErr w:type="gramStart"/>
      <w:r>
        <w:t>similar to</w:t>
      </w:r>
      <w:proofErr w:type="gramEnd"/>
      <w:r>
        <w:t xml:space="preserve"> the grants provided under the Rural Health Multidisciplinary Training program to support student training in aged care settings, to increase student exposure to particular cohorts and settings.</w:t>
      </w:r>
    </w:p>
    <w:p w14:paraId="4D312347" w14:textId="77777777" w:rsidR="00637675" w:rsidRDefault="00637675" w:rsidP="00637675">
      <w:pPr>
        <w:pStyle w:val="ListBullet"/>
      </w:pPr>
      <w:r>
        <w:t>Invest in increased accreditation of rural and remote facilities to allow more opportunities for psychiatry trainees to train rurally.</w:t>
      </w:r>
    </w:p>
    <w:p w14:paraId="71234723" w14:textId="77777777" w:rsidR="00637675" w:rsidRDefault="00637675" w:rsidP="00637675">
      <w:pPr>
        <w:pStyle w:val="ListBullet"/>
      </w:pPr>
      <w:r>
        <w:t>Expand the Rural Health Multidisciplinary Training Program supports health students to undertake rural training.</w:t>
      </w:r>
    </w:p>
    <w:p w14:paraId="72E1084C" w14:textId="3D53E292" w:rsidR="00637675" w:rsidRDefault="00637675" w:rsidP="00637675">
      <w:pPr>
        <w:pStyle w:val="ListBullet"/>
      </w:pPr>
      <w:r>
        <w:t xml:space="preserve">Consider developing a program involving psychologists to boost care in rural areas that is </w:t>
      </w:r>
      <w:proofErr w:type="gramStart"/>
      <w:r>
        <w:t>similar to</w:t>
      </w:r>
      <w:proofErr w:type="gramEnd"/>
      <w:r>
        <w:t xml:space="preserve"> that launched by RACGPs and Australian College of Rural and Remote Medicine.</w:t>
      </w:r>
    </w:p>
    <w:p w14:paraId="5627DE3E" w14:textId="7947461D" w:rsidR="00936736" w:rsidRDefault="00936736" w:rsidP="00936736">
      <w:pPr>
        <w:pStyle w:val="Heading3"/>
      </w:pPr>
      <w:bookmarkStart w:id="88" w:name="_Toc98866153"/>
      <w:bookmarkStart w:id="89" w:name="_Toc98866312"/>
      <w:r>
        <w:t>PRIORITY AREA 6.2 – Enhance the use of integrated and flexible workforce models that reflect community strengths and needs, incorporating consumer and carer voice</w:t>
      </w:r>
      <w:bookmarkEnd w:id="88"/>
      <w:bookmarkEnd w:id="89"/>
    </w:p>
    <w:p w14:paraId="16948CFC" w14:textId="6040EF4D" w:rsidR="000C738A" w:rsidRDefault="000C738A" w:rsidP="00376FD1">
      <w:pPr>
        <w:pStyle w:val="Heading4"/>
      </w:pPr>
      <w:r>
        <w:t>Action 6.2.1</w:t>
      </w:r>
    </w:p>
    <w:p w14:paraId="24866C05" w14:textId="6CA356FC" w:rsidR="00376FD1" w:rsidRDefault="000C738A" w:rsidP="000C738A">
      <w:pPr>
        <w:pStyle w:val="BodyText"/>
      </w:pPr>
      <w:r>
        <w:t>Create incentives for service providers to use service delivery models that utilise the competencies of all workforces to their full scopes of practice</w:t>
      </w:r>
      <w:r>
        <w:tab/>
      </w:r>
      <w:r w:rsidR="004D56ED">
        <w:t>.</w:t>
      </w:r>
    </w:p>
    <w:p w14:paraId="5BF16F32" w14:textId="6E93508F" w:rsidR="000C738A" w:rsidRDefault="000C738A" w:rsidP="000C738A">
      <w:pPr>
        <w:pStyle w:val="BodyText"/>
      </w:pPr>
      <w:r>
        <w:lastRenderedPageBreak/>
        <w:t>Occupations for immediate action (&lt;12 months): Aboriginal and Torres Strait Islander Health Practitioners; Aboriginal and Torres Strait Islander Health Workers; Aboriginal and Torres Strait Islander Mental Health Workers; Lived Experience (Peer) Workforce; Psychosocial Support Workers.</w:t>
      </w:r>
    </w:p>
    <w:p w14:paraId="748582DD" w14:textId="5843AE39" w:rsidR="00936736" w:rsidRDefault="000C738A" w:rsidP="000C738A">
      <w:pPr>
        <w:pStyle w:val="BodyText"/>
      </w:pPr>
      <w:r>
        <w:t>Occupations for further action (12-24 months): Allied Health Assistants; Counsellors and psychotherapists; Exercise Physiologists; Mental Health Nurse Practitioners; Occupational Therapists; Psychologists</w:t>
      </w:r>
    </w:p>
    <w:p w14:paraId="4C6C8436" w14:textId="6AFCA39F" w:rsidR="00376FD1" w:rsidRDefault="00376FD1" w:rsidP="00376FD1">
      <w:pPr>
        <w:pStyle w:val="Heading4"/>
      </w:pPr>
      <w:r>
        <w:t>Action 6.2.2</w:t>
      </w:r>
    </w:p>
    <w:p w14:paraId="34D86D3A" w14:textId="514D04BF" w:rsidR="00376FD1" w:rsidRDefault="00376FD1" w:rsidP="00376FD1">
      <w:pPr>
        <w:pStyle w:val="BodyText"/>
      </w:pPr>
      <w:r>
        <w:t>Examine new and innovative service delivery models for the Lived Experience (Peer) workforce to support increased utilisation in different contexts</w:t>
      </w:r>
      <w:r w:rsidR="004D56ED">
        <w:t>.</w:t>
      </w:r>
    </w:p>
    <w:p w14:paraId="157A8ECA" w14:textId="0C7623DF" w:rsidR="00637675" w:rsidRDefault="00376FD1" w:rsidP="00376FD1">
      <w:pPr>
        <w:pStyle w:val="BodyText"/>
      </w:pPr>
      <w:r>
        <w:t>Details: N/A</w:t>
      </w:r>
    </w:p>
    <w:p w14:paraId="645BCA70" w14:textId="7162C8C7" w:rsidR="00376FD1" w:rsidRDefault="00376FD1" w:rsidP="00376FD1">
      <w:pPr>
        <w:pStyle w:val="Heading4"/>
      </w:pPr>
      <w:r>
        <w:t>Action 6.2.3</w:t>
      </w:r>
    </w:p>
    <w:p w14:paraId="556008A2" w14:textId="12BBEF54" w:rsidR="00376FD1" w:rsidRDefault="00376FD1" w:rsidP="00376FD1">
      <w:pPr>
        <w:pStyle w:val="BodyText"/>
      </w:pPr>
      <w:r>
        <w:t>Create incentives for employers to increase the numbers of designated Lived Experience (Peer) employees across all organisational levels</w:t>
      </w:r>
      <w:r w:rsidR="004D56ED">
        <w:t>.</w:t>
      </w:r>
    </w:p>
    <w:p w14:paraId="6CFE4CD8" w14:textId="65062043" w:rsidR="00376FD1" w:rsidRDefault="00376FD1" w:rsidP="00376FD1">
      <w:pPr>
        <w:pStyle w:val="BodyText"/>
      </w:pPr>
      <w:r>
        <w:t>Details: N/A</w:t>
      </w:r>
    </w:p>
    <w:p w14:paraId="045F5041" w14:textId="77777777" w:rsidR="00376FD1" w:rsidRDefault="00376FD1" w:rsidP="00376FD1">
      <w:pPr>
        <w:pStyle w:val="Heading4"/>
      </w:pPr>
      <w:r>
        <w:t>Potential implementation examples</w:t>
      </w:r>
    </w:p>
    <w:p w14:paraId="5CFADAEF" w14:textId="77777777" w:rsidR="00376FD1" w:rsidRDefault="00376FD1" w:rsidP="00376FD1">
      <w:pPr>
        <w:pStyle w:val="ListBullet"/>
      </w:pPr>
      <w:r>
        <w:t>Ensure that all service level agreements for provision of mental health services include specific funding for designated Lived Experience (Peer) roles.</w:t>
      </w:r>
    </w:p>
    <w:p w14:paraId="1EADF59E" w14:textId="77777777" w:rsidR="00376FD1" w:rsidRDefault="00376FD1" w:rsidP="00376FD1">
      <w:pPr>
        <w:pStyle w:val="ListBullet"/>
      </w:pPr>
      <w:r>
        <w:t>Consider placing Aboriginal Mental Health Workers in Emergency Settings as part of a flexible workforce model to meet community needs.</w:t>
      </w:r>
    </w:p>
    <w:p w14:paraId="12B46C5E" w14:textId="77777777" w:rsidR="00376FD1" w:rsidRDefault="00376FD1" w:rsidP="00376FD1">
      <w:pPr>
        <w:pStyle w:val="ListBullet"/>
      </w:pPr>
      <w:r>
        <w:t>Consider investment in evidence-based nursing programs, integrated in GP clinics, with funded increased support by psychiatrists and mental health nurses</w:t>
      </w:r>
    </w:p>
    <w:p w14:paraId="44675B14" w14:textId="6659AE71" w:rsidR="00376FD1" w:rsidRDefault="00376FD1" w:rsidP="00376FD1">
      <w:pPr>
        <w:pStyle w:val="ListBullet"/>
      </w:pPr>
      <w:r>
        <w:t>Consider new funding to support trials of innovative service delivery models that promote workforce optimisation including services that may be more effective for specific cohorts such as LGBTQIA+ people.</w:t>
      </w:r>
    </w:p>
    <w:p w14:paraId="4D8744B5" w14:textId="77777777" w:rsidR="00376FD1" w:rsidRDefault="00376FD1" w:rsidP="00376FD1">
      <w:pPr>
        <w:pStyle w:val="Heading3"/>
      </w:pPr>
      <w:bookmarkStart w:id="90" w:name="_Toc98866154"/>
      <w:bookmarkStart w:id="91" w:name="_Toc98866313"/>
      <w:r>
        <w:t>PRIORITY AREA 6.3 – Increase the availability and appropriate utilisation of digital health</w:t>
      </w:r>
      <w:bookmarkEnd w:id="90"/>
      <w:bookmarkEnd w:id="91"/>
    </w:p>
    <w:p w14:paraId="782771BB" w14:textId="77777777" w:rsidR="00376FD1" w:rsidRDefault="00376FD1" w:rsidP="00376FD1">
      <w:pPr>
        <w:pStyle w:val="Heading4"/>
      </w:pPr>
      <w:r>
        <w:t xml:space="preserve">Action 6.3.1 </w:t>
      </w:r>
    </w:p>
    <w:p w14:paraId="717A59FC" w14:textId="4ED9181F" w:rsidR="00376FD1" w:rsidRDefault="00376FD1" w:rsidP="00376FD1">
      <w:pPr>
        <w:pStyle w:val="BodyText"/>
      </w:pPr>
      <w:r>
        <w:t>Increase the availability and appropriate utilisation of digital health through creation of a national digital mental health strategy including clear practice guidelines. This should encompass safety and quality parameters for both service users and providers, including supervisory arrangements and investment in the infrastructure</w:t>
      </w:r>
      <w:r w:rsidR="004D56ED">
        <w:t>.</w:t>
      </w:r>
    </w:p>
    <w:p w14:paraId="273D660A" w14:textId="797F3659" w:rsidR="00376FD1" w:rsidRDefault="00376FD1" w:rsidP="00376FD1">
      <w:pPr>
        <w:pStyle w:val="BodyText"/>
      </w:pPr>
      <w:r>
        <w:lastRenderedPageBreak/>
        <w:t>Key occupations impacted: Alcohol and Other Drug Workers; General Practitioners; Occupational Therapists; Mental Health Nurse Practitioners; Midwives; Nurse Practitioners; Registered Nurses; Psychiatrists; Psychologists; Psychosocial Support Workers; Social Workers; Speech Pathologists</w:t>
      </w:r>
      <w:r w:rsidR="004D56ED">
        <w:t>.</w:t>
      </w:r>
    </w:p>
    <w:p w14:paraId="1986015D" w14:textId="2A7DEDBC" w:rsidR="00376FD1" w:rsidRDefault="00376FD1" w:rsidP="00376FD1">
      <w:pPr>
        <w:pStyle w:val="BodyText"/>
      </w:pPr>
      <w:r>
        <w:t>Potential implementation examples: N/A</w:t>
      </w:r>
    </w:p>
    <w:p w14:paraId="32848449" w14:textId="57968489" w:rsidR="00376FD1" w:rsidRDefault="00376FD1" w:rsidP="00740CEC">
      <w:pPr>
        <w:pStyle w:val="BodyText"/>
        <w:sectPr w:rsidR="00376FD1" w:rsidSect="00D96F1D">
          <w:pgSz w:w="11906" w:h="16838" w:code="9"/>
          <w:pgMar w:top="1418" w:right="851" w:bottom="1134" w:left="1134" w:header="454" w:footer="159" w:gutter="0"/>
          <w:cols w:space="708"/>
          <w:docGrid w:linePitch="360"/>
        </w:sectPr>
      </w:pPr>
    </w:p>
    <w:p w14:paraId="2C205A89" w14:textId="48E47170" w:rsidR="00740CEC" w:rsidRDefault="007F11CD" w:rsidP="00740CEC">
      <w:pPr>
        <w:pStyle w:val="BodyText"/>
      </w:pPr>
      <w:r>
        <w:rPr>
          <w:noProof/>
        </w:rPr>
        <w:lastRenderedPageBreak/>
        <w:drawing>
          <wp:anchor distT="0" distB="0" distL="114300" distR="114300" simplePos="0" relativeHeight="251677696" behindDoc="1" locked="1" layoutInCell="1" allowOverlap="1" wp14:anchorId="59E98991" wp14:editId="36D4AF4B">
            <wp:simplePos x="0" y="0"/>
            <wp:positionH relativeFrom="column">
              <wp:posOffset>-680901</wp:posOffset>
            </wp:positionH>
            <wp:positionV relativeFrom="paragraph">
              <wp:posOffset>-720090</wp:posOffset>
            </wp:positionV>
            <wp:extent cx="7538400" cy="10670400"/>
            <wp:effectExtent l="0" t="0" r="5715"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7538400" cy="1067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5D5D3A7" w14:textId="77777777" w:rsidR="00B652C3" w:rsidRDefault="00B652C3" w:rsidP="00740CEC">
      <w:pPr>
        <w:pStyle w:val="BodyText"/>
      </w:pPr>
    </w:p>
    <w:sectPr w:rsidR="00B652C3" w:rsidSect="00695772">
      <w:headerReference w:type="even" r:id="rId74"/>
      <w:headerReference w:type="default" r:id="rId75"/>
      <w:footerReference w:type="even" r:id="rId76"/>
      <w:footerReference w:type="default" r:id="rId77"/>
      <w:headerReference w:type="first" r:id="rId78"/>
      <w:footerReference w:type="first" r:id="rId79"/>
      <w:pgSz w:w="11906" w:h="16838" w:code="9"/>
      <w:pgMar w:top="1134" w:right="720" w:bottom="518" w:left="1134" w:header="454" w:footer="28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A3C108" w14:textId="77777777" w:rsidR="003D1458" w:rsidRDefault="003D1458" w:rsidP="00B649EB">
      <w:pPr>
        <w:spacing w:before="0" w:after="0" w:line="240" w:lineRule="auto"/>
      </w:pPr>
      <w:r>
        <w:separator/>
      </w:r>
    </w:p>
    <w:p w14:paraId="68311E34" w14:textId="77777777" w:rsidR="003D1458" w:rsidRDefault="003D1458"/>
  </w:endnote>
  <w:endnote w:type="continuationSeparator" w:id="0">
    <w:p w14:paraId="7A65A3AC" w14:textId="77777777" w:rsidR="003D1458" w:rsidRDefault="003D1458" w:rsidP="00B649EB">
      <w:pPr>
        <w:spacing w:before="0" w:after="0" w:line="240" w:lineRule="auto"/>
      </w:pPr>
      <w:r>
        <w:continuationSeparator/>
      </w:r>
    </w:p>
    <w:p w14:paraId="2845051B" w14:textId="77777777" w:rsidR="003D1458" w:rsidRDefault="003D145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Yu Gothic Medium">
    <w:panose1 w:val="020B0500000000000000"/>
    <w:charset w:val="80"/>
    <w:family w:val="swiss"/>
    <w:pitch w:val="variable"/>
    <w:sig w:usb0="E00002FF" w:usb1="2AC7FDFF" w:usb2="00000016" w:usb3="00000000" w:csb0="000200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E9F8F" w14:textId="77777777" w:rsidR="00740CEC" w:rsidRPr="00740CEC" w:rsidRDefault="00740CEC" w:rsidP="00740C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1270A" w14:textId="77777777" w:rsidR="00740CEC" w:rsidRPr="00740CEC" w:rsidRDefault="00740CEC" w:rsidP="00740CE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82A0D" w14:textId="77777777" w:rsidR="00740CEC" w:rsidRPr="00740CEC" w:rsidRDefault="00740CEC" w:rsidP="00740CE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58965" w14:textId="77777777" w:rsidR="00740CEC" w:rsidRPr="00740CEC" w:rsidRDefault="00740CEC" w:rsidP="00740CE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98081844"/>
      <w:docPartObj>
        <w:docPartGallery w:val="Page Numbers (Bottom of Page)"/>
        <w:docPartUnique/>
      </w:docPartObj>
    </w:sdtPr>
    <w:sdtEndPr>
      <w:rPr>
        <w:noProof/>
      </w:rPr>
    </w:sdtEndPr>
    <w:sdtContent>
      <w:p w14:paraId="5D7616EF" w14:textId="3C99B208" w:rsidR="00825F33" w:rsidRDefault="001C1768">
        <w:pPr>
          <w:pStyle w:val="Footer"/>
          <w:jc w:val="right"/>
        </w:pPr>
        <w:r w:rsidRPr="006F183F">
          <w:t xml:space="preserve">  National Mental Health Workforce Strategy: Post Consultation Version</w:t>
        </w:r>
        <w:r w:rsidR="006F183F" w:rsidRPr="006F183F">
          <w:t xml:space="preserve">  </w:t>
        </w:r>
        <w:r w:rsidR="006F183F">
          <w:rPr>
            <w:b/>
            <w:bCs/>
          </w:rPr>
          <w:t xml:space="preserve">   </w:t>
        </w:r>
        <w:r w:rsidRPr="001C1768">
          <w:t xml:space="preserve"> </w:t>
        </w:r>
        <w:r w:rsidR="00825F33">
          <w:fldChar w:fldCharType="begin"/>
        </w:r>
        <w:r w:rsidR="00825F33">
          <w:instrText xml:space="preserve"> PAGE   \* MERGEFORMAT </w:instrText>
        </w:r>
        <w:r w:rsidR="00825F33">
          <w:fldChar w:fldCharType="separate"/>
        </w:r>
        <w:r w:rsidR="00825F33">
          <w:rPr>
            <w:noProof/>
          </w:rPr>
          <w:t>2</w:t>
        </w:r>
        <w:r w:rsidR="00825F33">
          <w:rPr>
            <w:noProof/>
          </w:rPr>
          <w:fldChar w:fldCharType="end"/>
        </w:r>
      </w:p>
    </w:sdtContent>
  </w:sdt>
  <w:p w14:paraId="2E61B878" w14:textId="77777777" w:rsidR="00740CEC" w:rsidRPr="00740CEC" w:rsidRDefault="00740CEC" w:rsidP="00740CEC">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DC358" w14:textId="77777777" w:rsidR="00740CEC" w:rsidRPr="00740CEC" w:rsidRDefault="00740CEC" w:rsidP="00740CEC">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5459D" w14:textId="77777777" w:rsidR="009A7E6B" w:rsidRPr="00740CEC" w:rsidRDefault="009A7E6B" w:rsidP="00740CEC">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9E6D5" w14:textId="77777777" w:rsidR="009A7E6B" w:rsidRPr="00740CEC" w:rsidRDefault="009A7E6B" w:rsidP="00740CEC">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E1DB1" w14:textId="77777777" w:rsidR="009A7E6B" w:rsidRPr="00740CEC" w:rsidRDefault="009A7E6B" w:rsidP="00740CEC">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4767938"/>
      <w:docPartObj>
        <w:docPartGallery w:val="Page Numbers (Bottom of Page)"/>
        <w:docPartUnique/>
      </w:docPartObj>
    </w:sdtPr>
    <w:sdtEndPr>
      <w:rPr>
        <w:noProof/>
      </w:rPr>
    </w:sdtEndPr>
    <w:sdtContent>
      <w:p w14:paraId="073E8A56" w14:textId="77777777" w:rsidR="00125CCD" w:rsidRDefault="00125CCD" w:rsidP="00EC6A38">
        <w:pPr>
          <w:pStyle w:val="Footer"/>
          <w:spacing w:after="360"/>
          <w:jc w:val="right"/>
        </w:pPr>
        <w:r w:rsidRPr="006F183F">
          <w:t xml:space="preserve">  National Mental Health Workforce Strategy: Post Consultation Version  </w:t>
        </w:r>
        <w:r>
          <w:rPr>
            <w:b/>
            <w:bCs/>
          </w:rPr>
          <w:t xml:space="preserve">   </w:t>
        </w:r>
        <w:r w:rsidRPr="001C1768">
          <w:t xml:space="preserve"> </w:t>
        </w:r>
        <w:r>
          <w:fldChar w:fldCharType="begin"/>
        </w:r>
        <w:r>
          <w:instrText xml:space="preserve"> PAGE   \* MERGEFORMAT </w:instrText>
        </w:r>
        <w:r>
          <w:fldChar w:fldCharType="separate"/>
        </w:r>
        <w:r>
          <w:t>ix</w:t>
        </w:r>
        <w:r>
          <w:rPr>
            <w:noProof/>
          </w:rPr>
          <w:fldChar w:fldCharType="end"/>
        </w:r>
      </w:p>
    </w:sdtContent>
  </w:sdt>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007A7" w14:textId="77777777" w:rsidR="009A7E6B" w:rsidRPr="00740CEC" w:rsidRDefault="009A7E6B" w:rsidP="00740CEC">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8561F" w14:textId="77777777" w:rsidR="00740CEC" w:rsidRPr="00740CEC" w:rsidRDefault="00740CEC" w:rsidP="00740CEC">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11F2F" w14:textId="77777777" w:rsidR="00740CEC" w:rsidRPr="00740CEC" w:rsidRDefault="00740CEC" w:rsidP="00740CEC">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8B8D3" w14:textId="77777777" w:rsidR="00740CEC" w:rsidRPr="00740CEC" w:rsidRDefault="00740CEC" w:rsidP="00740CEC">
    <w:pPr>
      <w:pStyle w:val="Foote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D2BB0" w14:textId="77777777" w:rsidR="00740CEC" w:rsidRPr="00740CEC" w:rsidRDefault="00740CEC" w:rsidP="00740CEC">
    <w:pPr>
      <w:pStyle w:val="Foote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9C618" w14:textId="77777777" w:rsidR="00740CEC" w:rsidRPr="00740CEC" w:rsidRDefault="00740CEC" w:rsidP="00740CEC">
    <w:pPr>
      <w:pStyle w:val="Footer"/>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C4C11" w14:textId="77777777" w:rsidR="00740CEC" w:rsidRPr="00740CEC" w:rsidRDefault="00740CEC" w:rsidP="00740CEC">
    <w:pPr>
      <w:pStyle w:val="Footer"/>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A0D3A" w14:textId="77777777" w:rsidR="00740CEC" w:rsidRPr="00740CEC" w:rsidRDefault="00740CEC" w:rsidP="00740CEC">
    <w:pPr>
      <w:pStyle w:val="Footer"/>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77236" w14:textId="77777777" w:rsidR="00740CEC" w:rsidRPr="00740CEC" w:rsidRDefault="00740CEC" w:rsidP="00740CEC">
    <w:pPr>
      <w:pStyle w:val="Foo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E5740" w14:textId="77777777" w:rsidR="00740CEC" w:rsidRPr="00740CEC" w:rsidRDefault="00740CEC" w:rsidP="00740CEC">
    <w:pPr>
      <w:pStyle w:val="Footer"/>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9D821" w14:textId="77777777" w:rsidR="00740CEC" w:rsidRPr="00740CEC" w:rsidRDefault="00740CEC" w:rsidP="00740CEC">
    <w:pPr>
      <w:pStyle w:val="Footer"/>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531D2" w14:textId="77777777" w:rsidR="00740CEC" w:rsidRPr="00740CEC" w:rsidRDefault="00740CEC" w:rsidP="00740CEC">
    <w:pPr>
      <w:pStyle w:val="Foote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55C8B" w14:textId="77777777" w:rsidR="00740CEC" w:rsidRPr="00740CEC" w:rsidRDefault="00740CEC" w:rsidP="00740CEC">
    <w:pPr>
      <w:pStyle w:val="Footer"/>
    </w:pP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B08C8" w14:textId="77777777" w:rsidR="00740CEC" w:rsidRPr="00740CEC" w:rsidRDefault="00740CEC" w:rsidP="00740CEC">
    <w:pPr>
      <w:pStyle w:val="Footer"/>
    </w:pP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80186" w14:textId="77777777" w:rsidR="00740CEC" w:rsidRPr="00740CEC" w:rsidRDefault="00740CEC" w:rsidP="00740CEC">
    <w:pPr>
      <w:pStyle w:val="Footer"/>
    </w:pP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82F2D" w14:textId="77777777" w:rsidR="00740CEC" w:rsidRPr="00740CEC" w:rsidRDefault="00740CEC" w:rsidP="00740CEC">
    <w:pPr>
      <w:pStyle w:val="Footer"/>
    </w:pP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A406C" w14:textId="77777777" w:rsidR="00740CEC" w:rsidRPr="00740CEC" w:rsidRDefault="00740CEC" w:rsidP="00740CEC">
    <w:pPr>
      <w:pStyle w:val="Footer"/>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838DE" w14:textId="77777777" w:rsidR="00740CEC" w:rsidRPr="00740CEC" w:rsidRDefault="00740CEC" w:rsidP="00740C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292B54" w14:textId="77777777" w:rsidR="003D1458" w:rsidRDefault="003D1458" w:rsidP="00786D98">
      <w:pPr>
        <w:spacing w:before="0" w:after="0" w:line="240" w:lineRule="auto"/>
      </w:pPr>
      <w:r>
        <w:separator/>
      </w:r>
    </w:p>
  </w:footnote>
  <w:footnote w:type="continuationSeparator" w:id="0">
    <w:p w14:paraId="36B14E45" w14:textId="77777777" w:rsidR="003D1458" w:rsidRDefault="003D1458" w:rsidP="00B649EB">
      <w:pPr>
        <w:spacing w:before="0" w:after="0" w:line="240" w:lineRule="auto"/>
      </w:pPr>
      <w:r>
        <w:continuationSeparator/>
      </w:r>
    </w:p>
    <w:p w14:paraId="4B1486E8" w14:textId="77777777" w:rsidR="003D1458" w:rsidRDefault="003D1458"/>
  </w:footnote>
  <w:footnote w:id="1">
    <w:p w14:paraId="67FF273A" w14:textId="77777777" w:rsidR="009A7E6B" w:rsidRPr="00BB2143" w:rsidRDefault="009A7E6B" w:rsidP="009A7E6B">
      <w:pPr>
        <w:pStyle w:val="FootnoteText"/>
        <w:rPr>
          <w:lang w:val="en-US"/>
        </w:rPr>
      </w:pPr>
      <w:r>
        <w:rPr>
          <w:rStyle w:val="FootnoteReference"/>
        </w:rPr>
        <w:footnoteRef/>
      </w:r>
      <w:r>
        <w:t xml:space="preserve"> C</w:t>
      </w:r>
      <w:r w:rsidRPr="00711489">
        <w:t xml:space="preserve">arers </w:t>
      </w:r>
      <w:r>
        <w:t>are</w:t>
      </w:r>
      <w:r w:rsidRPr="00711489">
        <w:t xml:space="preserve"> everyday Australians providing significant emotional, practical and financial support to family member</w:t>
      </w:r>
      <w:r>
        <w:t>s</w:t>
      </w:r>
      <w:r w:rsidRPr="00711489">
        <w:t xml:space="preserve"> or friend</w:t>
      </w:r>
      <w:r>
        <w:t>s</w:t>
      </w:r>
      <w:r w:rsidRPr="00711489">
        <w:t xml:space="preserve"> living with mental ill-health.</w:t>
      </w:r>
    </w:p>
  </w:footnote>
  <w:footnote w:id="2">
    <w:p w14:paraId="4290C2DF" w14:textId="77777777" w:rsidR="009A7E6B" w:rsidRPr="007E15FE" w:rsidRDefault="009A7E6B" w:rsidP="009A7E6B">
      <w:pPr>
        <w:pStyle w:val="FootnoteText"/>
        <w:rPr>
          <w:lang w:val="en-US"/>
        </w:rPr>
      </w:pPr>
      <w:r>
        <w:rPr>
          <w:rStyle w:val="FootnoteReference"/>
        </w:rPr>
        <w:footnoteRef/>
      </w:r>
      <w:r>
        <w:t xml:space="preserve"> The National Mental Health Commission’s </w:t>
      </w:r>
      <w:r w:rsidRPr="000F442C">
        <w:t xml:space="preserve">Vision 2030: Blueprint for Mental Health and Suicide Prevention Consultation Report </w:t>
      </w:r>
      <w:r>
        <w:t>outlines components of care, which identify the key supports and clinical interventions required to ensure that every individual can access highly personalised and effective treatment in a timely and coordinated way.</w:t>
      </w:r>
    </w:p>
  </w:footnote>
  <w:footnote w:id="3">
    <w:p w14:paraId="4690C6F1" w14:textId="77777777" w:rsidR="009A7E6B" w:rsidRPr="002E5826" w:rsidRDefault="009A7E6B" w:rsidP="009A7E6B">
      <w:pPr>
        <w:pStyle w:val="FootnoteText"/>
        <w:rPr>
          <w:lang w:val="en-US"/>
        </w:rPr>
      </w:pPr>
      <w:r>
        <w:rPr>
          <w:rStyle w:val="FootnoteReference"/>
        </w:rPr>
        <w:footnoteRef/>
      </w:r>
      <w:r>
        <w:t xml:space="preserve"> Parliament of Australia. (2021). </w:t>
      </w:r>
      <w:r w:rsidRPr="005A7DF9">
        <w:t>Mental health</w:t>
      </w:r>
      <w:r>
        <w:t xml:space="preserve">. Accessed at </w:t>
      </w:r>
      <w:hyperlink r:id="rId1" w:history="1">
        <w:r w:rsidRPr="00825F33">
          <w:rPr>
            <w:rStyle w:val="Hyperlink"/>
            <w:color w:val="000000" w:themeColor="text1"/>
          </w:rPr>
          <w:t>https://www.aph.gov.au/About_Parliament/Parliamentary_Departments/Parliamentary_Library/pubs/rp/BudgetReview202021/MentalHealth</w:t>
        </w:r>
      </w:hyperlink>
      <w:r w:rsidRPr="00825F33">
        <w:rPr>
          <w:color w:val="000000" w:themeColor="text1"/>
        </w:rPr>
        <w:t xml:space="preserve"> </w:t>
      </w:r>
    </w:p>
  </w:footnote>
  <w:footnote w:id="4">
    <w:p w14:paraId="3B2CF4E7" w14:textId="77777777" w:rsidR="009A7E6B" w:rsidRPr="004D2A20" w:rsidRDefault="009A7E6B" w:rsidP="009A7E6B">
      <w:pPr>
        <w:pStyle w:val="FootnoteText"/>
        <w:rPr>
          <w:lang w:val="en-US"/>
        </w:rPr>
      </w:pPr>
      <w:r>
        <w:rPr>
          <w:rStyle w:val="FootnoteReference"/>
        </w:rPr>
        <w:footnoteRef/>
      </w:r>
      <w:r>
        <w:t xml:space="preserve"> </w:t>
      </w:r>
      <w:r>
        <w:rPr>
          <w:lang w:val="en-US"/>
        </w:rPr>
        <w:t xml:space="preserve">The Strategy </w:t>
      </w:r>
      <w:r w:rsidRPr="00E27B72">
        <w:t>recognises</w:t>
      </w:r>
      <w:r>
        <w:rPr>
          <w:lang w:val="en-US"/>
        </w:rPr>
        <w:t xml:space="preserve"> that people trained in one occupation may work in multiple services. For example, allied health practitioners may work exclusively in mental health settings or in more general health settings, or in both. Some occupations include mental health endorsements in their accreditation arrangements, and some do not. </w:t>
      </w:r>
    </w:p>
  </w:footnote>
  <w:footnote w:id="5">
    <w:p w14:paraId="6A184D5E" w14:textId="77777777" w:rsidR="002D3E92" w:rsidRPr="009D4624" w:rsidRDefault="002D3E92" w:rsidP="002D3E92">
      <w:pPr>
        <w:pStyle w:val="FootnoteText"/>
        <w:rPr>
          <w:lang w:val="en-US"/>
        </w:rPr>
      </w:pPr>
      <w:r>
        <w:rPr>
          <w:rStyle w:val="FootnoteReference"/>
        </w:rPr>
        <w:footnoteRef/>
      </w:r>
      <w:r>
        <w:t xml:space="preserve"> At the time of writing, t</w:t>
      </w:r>
      <w:r>
        <w:rPr>
          <w:lang w:val="en-US"/>
        </w:rPr>
        <w:t>he Better Access initiative is under review.</w:t>
      </w:r>
    </w:p>
  </w:footnote>
  <w:footnote w:id="6">
    <w:p w14:paraId="3BB7124B" w14:textId="77777777" w:rsidR="00876DC7" w:rsidRPr="00E42E02" w:rsidRDefault="00876DC7" w:rsidP="00876DC7">
      <w:pPr>
        <w:pStyle w:val="FootnoteText"/>
        <w:rPr>
          <w:lang w:val="en-US"/>
        </w:rPr>
      </w:pPr>
      <w:r>
        <w:rPr>
          <w:rStyle w:val="FootnoteReference"/>
        </w:rPr>
        <w:footnoteRef/>
      </w:r>
      <w:r>
        <w:t xml:space="preserve"> </w:t>
      </w:r>
      <w:r>
        <w:rPr>
          <w:lang w:val="en-US"/>
        </w:rPr>
        <w:t xml:space="preserve">The Australian Health Practitioners Registration Agency (Ahpra) regulates a range of occupations including </w:t>
      </w:r>
      <w:r w:rsidRPr="00E44DA4">
        <w:rPr>
          <w:lang w:val="en-US"/>
        </w:rPr>
        <w:t>Aboriginal and Torres Strait Islander Health Practitioner</w:t>
      </w:r>
      <w:r>
        <w:rPr>
          <w:lang w:val="en-US"/>
        </w:rPr>
        <w:t>s, Medical Practitioners, Nurses, Occupational Therapists, and Psychologists. These arrangements include codes of conduct, ethics, continuing professional development and registration components.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1813D" w14:textId="77777777" w:rsidR="00740CEC" w:rsidRPr="00740CEC" w:rsidRDefault="00740CEC" w:rsidP="00740C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DDBA4" w14:textId="0B2313D0" w:rsidR="00740CEC" w:rsidRPr="009B58A6" w:rsidRDefault="00FB546C" w:rsidP="00FB546C">
    <w:pPr>
      <w:pStyle w:val="Header"/>
    </w:pPr>
    <w:r>
      <w:rPr>
        <w:noProof/>
      </w:rPr>
      <w:drawing>
        <wp:inline distT="0" distB="0" distL="0" distR="0" wp14:anchorId="5BBBC4B0" wp14:editId="4D7581A2">
          <wp:extent cx="981710" cy="140335"/>
          <wp:effectExtent l="0" t="0" r="8890" b="0"/>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81710" cy="140335"/>
                  </a:xfrm>
                  <a:prstGeom prst="rect">
                    <a:avLst/>
                  </a:prstGeom>
                  <a:noFill/>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E44CD" w14:textId="77777777" w:rsidR="00740CEC" w:rsidRPr="00740CEC" w:rsidRDefault="00740CEC" w:rsidP="00740C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C259B" w14:textId="77777777" w:rsidR="00740CEC" w:rsidRPr="00740CEC" w:rsidRDefault="00740CEC" w:rsidP="00740CE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EF836" w14:textId="18205954" w:rsidR="00740CEC" w:rsidRPr="00740CEC" w:rsidRDefault="008C3954" w:rsidP="00740CEC">
    <w:pPr>
      <w:pStyle w:val="Header"/>
    </w:pPr>
    <w:r>
      <w:rPr>
        <w:noProof/>
      </w:rPr>
      <w:drawing>
        <wp:inline distT="0" distB="0" distL="0" distR="0" wp14:anchorId="2C0FB40C" wp14:editId="717B039A">
          <wp:extent cx="1565019" cy="247426"/>
          <wp:effectExtent l="0" t="0" r="0" b="635"/>
          <wp:docPr id="20" name="Picture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l="7330" t="22226" b="24675"/>
                  <a:stretch/>
                </pic:blipFill>
                <pic:spPr bwMode="auto">
                  <a:xfrm>
                    <a:off x="0" y="0"/>
                    <a:ext cx="1656906" cy="261953"/>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284FA" w14:textId="77777777" w:rsidR="00740CEC" w:rsidRPr="00740CEC" w:rsidRDefault="00740CEC" w:rsidP="00740CE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CA339" w14:textId="77777777" w:rsidR="009A7E6B" w:rsidRPr="00740CEC" w:rsidRDefault="009A7E6B" w:rsidP="00740CE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5295C" w14:textId="77777777" w:rsidR="009A7E6B" w:rsidRPr="00740CEC" w:rsidRDefault="009A7E6B" w:rsidP="00F7157F">
    <w:pPr>
      <w:pStyle w:val="Header"/>
      <w:ind w:left="-2268"/>
    </w:pPr>
    <w:r>
      <w:rPr>
        <w:noProof/>
      </w:rPr>
      <w:drawing>
        <wp:inline distT="0" distB="0" distL="0" distR="0" wp14:anchorId="3740A2C9" wp14:editId="64E14041">
          <wp:extent cx="981710" cy="140335"/>
          <wp:effectExtent l="0" t="0" r="8890" b="0"/>
          <wp:docPr id="79" name="Picture 7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Picture 53">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81710" cy="140335"/>
                  </a:xfrm>
                  <a:prstGeom prst="rect">
                    <a:avLst/>
                  </a:prstGeom>
                  <a:noFill/>
                </pic:spPr>
              </pic:pic>
            </a:graphicData>
          </a:graphic>
        </wp:inline>
      </w:drawing>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BD55A" w14:textId="77777777" w:rsidR="009A7E6B" w:rsidRPr="00740CEC" w:rsidRDefault="009A7E6B" w:rsidP="00740CE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32ECF" w14:textId="77777777" w:rsidR="009A7E6B" w:rsidRPr="00740CEC" w:rsidRDefault="009A7E6B" w:rsidP="00740CE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94579" w14:textId="329E47A3" w:rsidR="009A7E6B" w:rsidRPr="00512A40" w:rsidRDefault="006114E8" w:rsidP="00512A40">
    <w:pPr>
      <w:pStyle w:val="Header"/>
    </w:pPr>
    <w:r>
      <w:rPr>
        <w:noProof/>
      </w:rPr>
      <w:drawing>
        <wp:inline distT="0" distB="0" distL="0" distR="0" wp14:anchorId="7D2F0829" wp14:editId="105905D5">
          <wp:extent cx="1565019" cy="247426"/>
          <wp:effectExtent l="0" t="0" r="0" b="635"/>
          <wp:docPr id="19" name="Picture 1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a:picLocks noChangeAspect="1" noChangeArrowheads="1"/>
                  </pic:cNvPicPr>
                </pic:nvPicPr>
                <pic:blipFill rotWithShape="1">
                  <a:blip r:embed="rId1">
                    <a:extLst>
                      <a:ext uri="{28A0092B-C50C-407E-A947-70E740481C1C}">
                        <a14:useLocalDpi xmlns:a14="http://schemas.microsoft.com/office/drawing/2010/main" val="0"/>
                      </a:ext>
                    </a:extLst>
                  </a:blip>
                  <a:srcRect l="7330" t="22226" b="24675"/>
                  <a:stretch/>
                </pic:blipFill>
                <pic:spPr bwMode="auto">
                  <a:xfrm>
                    <a:off x="0" y="0"/>
                    <a:ext cx="1656906" cy="261953"/>
                  </a:xfrm>
                  <a:prstGeom prst="rect">
                    <a:avLst/>
                  </a:prstGeom>
                  <a:noFill/>
                  <a:ln>
                    <a:noFill/>
                  </a:ln>
                  <a:extLst>
                    <a:ext uri="{53640926-AAD7-44D8-BBD7-CCE9431645EC}">
                      <a14:shadowObscured xmlns:a14="http://schemas.microsoft.com/office/drawing/2010/main"/>
                    </a:ext>
                  </a:extLst>
                </pic:spPr>
              </pic:pic>
            </a:graphicData>
          </a:graphic>
        </wp:inline>
      </w:drawing>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F31B9" w14:textId="77777777" w:rsidR="009A7E6B" w:rsidRPr="00740CEC" w:rsidRDefault="009A7E6B" w:rsidP="00740CE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8A350" w14:textId="77777777" w:rsidR="00740CEC" w:rsidRPr="00740CEC" w:rsidRDefault="00740CEC" w:rsidP="00740CE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BEE21" w14:textId="77777777" w:rsidR="00740CEC" w:rsidRPr="00740CEC" w:rsidRDefault="00740CEC" w:rsidP="00740CE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FE204" w14:textId="77777777" w:rsidR="00740CEC" w:rsidRPr="00740CEC" w:rsidRDefault="00740CEC" w:rsidP="00740CE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563D2" w14:textId="77777777" w:rsidR="00740CEC" w:rsidRPr="00740CEC" w:rsidRDefault="00740CEC" w:rsidP="00740CE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D491C" w14:textId="77777777" w:rsidR="00740CEC" w:rsidRPr="00740CEC" w:rsidRDefault="00740CEC" w:rsidP="00740CE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1B577" w14:textId="77777777" w:rsidR="00740CEC" w:rsidRPr="00740CEC" w:rsidRDefault="00740CEC" w:rsidP="00740CE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8A67C" w14:textId="77777777" w:rsidR="00740CEC" w:rsidRPr="00740CEC" w:rsidRDefault="00740CEC" w:rsidP="00740CE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93AC4" w14:textId="77777777" w:rsidR="00740CEC" w:rsidRPr="00740CEC" w:rsidRDefault="00740CEC" w:rsidP="00740CE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0A3E3" w14:textId="77777777" w:rsidR="00740CEC" w:rsidRPr="00740CEC" w:rsidRDefault="00740CEC" w:rsidP="00740CEC">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26599" w14:textId="77777777" w:rsidR="00740CEC" w:rsidRPr="00740CEC" w:rsidRDefault="00740CEC" w:rsidP="00740CEC">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52EFB" w14:textId="77777777" w:rsidR="00740CEC" w:rsidRPr="00740CEC" w:rsidRDefault="00740CEC" w:rsidP="00740CEC">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B5BFC" w14:textId="77777777" w:rsidR="00740CEC" w:rsidRPr="00740CEC" w:rsidRDefault="00740CEC" w:rsidP="00740CEC">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3B046" w14:textId="77777777" w:rsidR="00740CEC" w:rsidRPr="00740CEC" w:rsidRDefault="00740CEC" w:rsidP="00740CEC">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3C610" w14:textId="77777777" w:rsidR="00740CEC" w:rsidRPr="00740CEC" w:rsidRDefault="00740CEC" w:rsidP="00740CEC">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947E2" w14:textId="77777777" w:rsidR="00740CEC" w:rsidRPr="00740CEC" w:rsidRDefault="00740CEC" w:rsidP="00740CEC">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052" w:type="dxa"/>
      <w:tblLayout w:type="fixed"/>
      <w:tblCellMar>
        <w:left w:w="0" w:type="dxa"/>
        <w:right w:w="0" w:type="dxa"/>
      </w:tblCellMar>
      <w:tblLook w:val="0000" w:firstRow="0" w:lastRow="0" w:firstColumn="0" w:lastColumn="0" w:noHBand="0" w:noVBand="0"/>
    </w:tblPr>
    <w:tblGrid>
      <w:gridCol w:w="5026"/>
      <w:gridCol w:w="5026"/>
    </w:tblGrid>
    <w:tr w:rsidR="00740CEC" w14:paraId="6029902E" w14:textId="77777777" w:rsidTr="00740CEC">
      <w:trPr>
        <w:trHeight w:hRule="exact" w:val="356"/>
      </w:trPr>
      <w:tc>
        <w:tcPr>
          <w:tcW w:w="5026" w:type="dxa"/>
          <w:shd w:val="clear" w:color="auto" w:fill="auto"/>
        </w:tcPr>
        <w:p w14:paraId="0CB3131F" w14:textId="77777777" w:rsidR="00740CEC" w:rsidRDefault="00740CEC" w:rsidP="00740CEC">
          <w:pPr>
            <w:pStyle w:val="spacer"/>
          </w:pPr>
        </w:p>
      </w:tc>
      <w:tc>
        <w:tcPr>
          <w:tcW w:w="5026" w:type="dxa"/>
          <w:shd w:val="clear" w:color="auto" w:fill="auto"/>
          <w:vAlign w:val="center"/>
        </w:tcPr>
        <w:p w14:paraId="4CF14D26" w14:textId="77777777" w:rsidR="00740CEC" w:rsidRDefault="00740CEC" w:rsidP="00740CEC">
          <w:pPr>
            <w:pStyle w:val="Header-CompanyName"/>
          </w:pPr>
        </w:p>
      </w:tc>
    </w:tr>
  </w:tbl>
  <w:p w14:paraId="433D6462" w14:textId="5AD96204" w:rsidR="00740CEC" w:rsidRPr="00740CEC" w:rsidRDefault="00740CEC" w:rsidP="00740CEC">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F35E5" w14:textId="686ACAC0" w:rsidR="00740CEC" w:rsidRPr="00740CEC" w:rsidRDefault="00740CEC" w:rsidP="00740CEC">
    <w:pPr>
      <w:pStyle w:val="tagcontactsPage-Bac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666E3A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DD8699E"/>
    <w:lvl w:ilvl="0">
      <w:start w:val="1"/>
      <w:numFmt w:val="decimal"/>
      <w:pStyle w:val="ListNumber4"/>
      <w:lvlText w:val="%1."/>
      <w:lvlJc w:val="left"/>
      <w:pPr>
        <w:tabs>
          <w:tab w:val="num" w:pos="1209"/>
        </w:tabs>
        <w:ind w:left="1209" w:hanging="360"/>
      </w:pPr>
    </w:lvl>
  </w:abstractNum>
  <w:abstractNum w:abstractNumId="2" w15:restartNumberingAfterBreak="0">
    <w:nsid w:val="FFFFFF80"/>
    <w:multiLevelType w:val="singleLevel"/>
    <w:tmpl w:val="AA04D6F2"/>
    <w:lvl w:ilvl="0">
      <w:start w:val="1"/>
      <w:numFmt w:val="bullet"/>
      <w:pStyle w:val="ListBullet5"/>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A0E27DFA"/>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05177354"/>
    <w:multiLevelType w:val="multilevel"/>
    <w:tmpl w:val="5DA053E4"/>
    <w:styleLink w:val="aaclstStyleAppendices"/>
    <w:lvl w:ilvl="0">
      <w:start w:val="1"/>
      <w:numFmt w:val="upperLetter"/>
      <w:pStyle w:val="Heading9"/>
      <w:lvlText w:val="%1"/>
      <w:lvlJc w:val="right"/>
      <w:pPr>
        <w:ind w:left="0" w:hanging="136"/>
      </w:pPr>
      <w:rPr>
        <w:rFonts w:ascii="Yu Gothic Medium" w:eastAsia="Yu Gothic Medium" w:hAnsi="Yu Gothic Medium" w:hint="eastAsia"/>
      </w:rPr>
    </w:lvl>
    <w:lvl w:ilvl="1">
      <w:start w:val="1"/>
      <w:numFmt w:val="none"/>
      <w:lvlText w:val=""/>
      <w:lvlJc w:val="right"/>
      <w:pPr>
        <w:ind w:left="0" w:hanging="136"/>
      </w:pPr>
      <w:rPr>
        <w:rFonts w:ascii="Arial Narrow" w:hAnsi="Arial Narrow" w:hint="default"/>
      </w:rPr>
    </w:lvl>
    <w:lvl w:ilvl="2">
      <w:start w:val="1"/>
      <w:numFmt w:val="none"/>
      <w:lvlText w:val=""/>
      <w:lvlJc w:val="left"/>
      <w:pPr>
        <w:ind w:left="320" w:hanging="320"/>
      </w:pPr>
      <w:rPr>
        <w:rFonts w:ascii="Arial Narrow" w:hAnsi="Arial Narrow"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5" w15:restartNumberingAfterBreak="0">
    <w:nsid w:val="06D55B15"/>
    <w:multiLevelType w:val="multilevel"/>
    <w:tmpl w:val="C1127ADE"/>
    <w:styleLink w:val="aaHeadingnonumberList"/>
    <w:lvl w:ilvl="0">
      <w:start w:val="1"/>
      <w:numFmt w:val="none"/>
      <w:suff w:val="nothing"/>
      <w:lvlText w:val="%1"/>
      <w:lvlJc w:val="left"/>
      <w:pPr>
        <w:ind w:left="0" w:firstLine="0"/>
      </w:pPr>
      <w:rPr>
        <w:rFonts w:hint="default"/>
      </w:rPr>
    </w:lvl>
    <w:lvl w:ilvl="1">
      <w:start w:val="1"/>
      <w:numFmt w:val="none"/>
      <w:suff w:val="nothing"/>
      <w:lvlText w:val="%2"/>
      <w:lvlJc w:val="left"/>
      <w:pPr>
        <w:ind w:left="0" w:firstLine="0"/>
      </w:pPr>
      <w:rPr>
        <w:rFonts w:hint="default"/>
      </w:rPr>
    </w:lvl>
    <w:lvl w:ilvl="2">
      <w:start w:val="1"/>
      <w:numFmt w:val="none"/>
      <w:suff w:val="nothing"/>
      <w:lvlText w:val="%3"/>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7"/>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6" w15:restartNumberingAfterBreak="0">
    <w:nsid w:val="12E04B43"/>
    <w:multiLevelType w:val="multilevel"/>
    <w:tmpl w:val="298403DA"/>
    <w:lvl w:ilvl="0">
      <w:start w:val="1"/>
      <w:numFmt w:val="none"/>
      <w:lvlText w:val="%1"/>
      <w:lvlJc w:val="left"/>
      <w:pPr>
        <w:ind w:left="0" w:firstLine="0"/>
      </w:pPr>
      <w:rPr>
        <w:rFonts w:ascii="Yu Gothic Medium" w:hAnsi="Yu Gothic Medium" w:hint="default"/>
        <w:sz w:val="20"/>
      </w:rPr>
    </w:lvl>
    <w:lvl w:ilvl="1">
      <w:start w:val="1"/>
      <w:numFmt w:val="none"/>
      <w:suff w:val="nothing"/>
      <w:lvlText w:val="%2"/>
      <w:lvlJc w:val="right"/>
      <w:pPr>
        <w:ind w:left="567" w:hanging="567"/>
      </w:pPr>
      <w:rPr>
        <w:rFonts w:hint="default"/>
      </w:rPr>
    </w:lvl>
    <w:lvl w:ilvl="2">
      <w:start w:val="1"/>
      <w:numFmt w:val="none"/>
      <w:suff w:val="nothing"/>
      <w:lvlText w:val="%3"/>
      <w:lvlJc w:val="right"/>
      <w:pPr>
        <w:ind w:left="1134" w:hanging="567"/>
      </w:pPr>
      <w:rPr>
        <w:rFonts w:hint="default"/>
      </w:rPr>
    </w:lvl>
    <w:lvl w:ilvl="3">
      <w:start w:val="1"/>
      <w:numFmt w:val="none"/>
      <w:lvlText w:val=""/>
      <w:lvlJc w:val="left"/>
      <w:pPr>
        <w:ind w:left="1701" w:hanging="567"/>
      </w:pPr>
      <w:rPr>
        <w:rFonts w:hint="default"/>
      </w:rPr>
    </w:lvl>
    <w:lvl w:ilvl="4">
      <w:start w:val="1"/>
      <w:numFmt w:val="lowerLetter"/>
      <w:lvlText w:val="(%5)"/>
      <w:lvlJc w:val="left"/>
      <w:pPr>
        <w:ind w:left="336" w:hanging="336"/>
      </w:pPr>
      <w:rPr>
        <w:rFonts w:hint="default"/>
      </w:rPr>
    </w:lvl>
    <w:lvl w:ilvl="5">
      <w:start w:val="1"/>
      <w:numFmt w:val="none"/>
      <w:pStyle w:val="TOC6"/>
      <w:lvlText w:val=""/>
      <w:lvlJc w:val="left"/>
      <w:pPr>
        <w:ind w:left="336" w:hanging="336"/>
      </w:pPr>
      <w:rPr>
        <w:rFonts w:hint="default"/>
      </w:rPr>
    </w:lvl>
    <w:lvl w:ilvl="6">
      <w:start w:val="1"/>
      <w:numFmt w:val="none"/>
      <w:pStyle w:val="TOC7"/>
      <w:lvlText w:val="%7"/>
      <w:lvlJc w:val="left"/>
      <w:pPr>
        <w:ind w:left="0" w:firstLine="0"/>
      </w:pPr>
      <w:rPr>
        <w:rFonts w:hint="default"/>
        <w:color w:val="FFFEFF"/>
      </w:rPr>
    </w:lvl>
    <w:lvl w:ilvl="7">
      <w:start w:val="1"/>
      <w:numFmt w:val="lowerLetter"/>
      <w:lvlText w:val="%8."/>
      <w:lvlJc w:val="left"/>
      <w:pPr>
        <w:ind w:left="336" w:hanging="336"/>
      </w:pPr>
      <w:rPr>
        <w:rFonts w:hint="default"/>
      </w:rPr>
    </w:lvl>
    <w:lvl w:ilvl="8">
      <w:start w:val="1"/>
      <w:numFmt w:val="lowerRoman"/>
      <w:lvlText w:val="%9."/>
      <w:lvlJc w:val="left"/>
      <w:pPr>
        <w:ind w:left="336" w:hanging="336"/>
      </w:pPr>
      <w:rPr>
        <w:rFonts w:hint="default"/>
      </w:rPr>
    </w:lvl>
  </w:abstractNum>
  <w:abstractNum w:abstractNumId="7" w15:restartNumberingAfterBreak="0">
    <w:nsid w:val="132B14F7"/>
    <w:multiLevelType w:val="multilevel"/>
    <w:tmpl w:val="4D96EFB6"/>
    <w:styleLink w:val="aacTableListBulletssmall"/>
    <w:lvl w:ilvl="0">
      <w:start w:val="1"/>
      <w:numFmt w:val="bullet"/>
      <w:pStyle w:val="Tablelistbulletsmall"/>
      <w:lvlText w:val="–"/>
      <w:lvlJc w:val="left"/>
      <w:pPr>
        <w:ind w:left="278" w:hanging="278"/>
      </w:pPr>
      <w:rPr>
        <w:rFonts w:ascii="Arial Narrow" w:hAnsi="Arial Narrow" w:hint="default"/>
      </w:rPr>
    </w:lvl>
    <w:lvl w:ilvl="1">
      <w:start w:val="1"/>
      <w:numFmt w:val="bullet"/>
      <w:pStyle w:val="Tablelistbullet2small"/>
      <w:lvlText w:val="–"/>
      <w:lvlJc w:val="left"/>
      <w:pPr>
        <w:tabs>
          <w:tab w:val="num" w:pos="278"/>
        </w:tabs>
        <w:ind w:left="522" w:hanging="244"/>
      </w:pPr>
      <w:rPr>
        <w:rFonts w:ascii="Arial Narrow" w:hAnsi="Arial Narrow" w:hint="default"/>
      </w:rPr>
    </w:lvl>
    <w:lvl w:ilvl="2">
      <w:start w:val="1"/>
      <w:numFmt w:val="bullet"/>
      <w:pStyle w:val="Tablelistbullet3small"/>
      <w:lvlText w:val="–"/>
      <w:lvlJc w:val="left"/>
      <w:pPr>
        <w:ind w:left="760" w:hanging="238"/>
      </w:pPr>
      <w:rPr>
        <w:rFonts w:ascii="Arial Narrow" w:hAnsi="Arial Narrow"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8" w15:restartNumberingAfterBreak="0">
    <w:nsid w:val="168E676F"/>
    <w:multiLevelType w:val="multilevel"/>
    <w:tmpl w:val="E938B7C8"/>
    <w:styleLink w:val="aacTableListNumberssmall"/>
    <w:lvl w:ilvl="0">
      <w:start w:val="1"/>
      <w:numFmt w:val="decimal"/>
      <w:pStyle w:val="Tablelistnumbersmall"/>
      <w:lvlText w:val="%1."/>
      <w:lvlJc w:val="left"/>
      <w:pPr>
        <w:ind w:left="340" w:hanging="340"/>
      </w:pPr>
      <w:rPr>
        <w:rFonts w:hint="default"/>
      </w:rPr>
    </w:lvl>
    <w:lvl w:ilvl="1">
      <w:start w:val="1"/>
      <w:numFmt w:val="lowerLetter"/>
      <w:pStyle w:val="Tablelistnumber2small"/>
      <w:lvlText w:val="%2)"/>
      <w:lvlJc w:val="left"/>
      <w:pPr>
        <w:ind w:left="567" w:hanging="227"/>
      </w:pPr>
      <w:rPr>
        <w:rFonts w:ascii="Arial Narrow" w:hAnsi="Arial Narrow" w:hint="default"/>
      </w:rPr>
    </w:lvl>
    <w:lvl w:ilvl="2">
      <w:start w:val="1"/>
      <w:numFmt w:val="lowerRoman"/>
      <w:pStyle w:val="Tablelistnumber3small"/>
      <w:lvlText w:val="%3)"/>
      <w:lvlJc w:val="left"/>
      <w:pPr>
        <w:ind w:left="794" w:hanging="227"/>
      </w:pPr>
      <w:rPr>
        <w:rFonts w:ascii="Arial Narrow" w:hAnsi="Arial Narrow" w:hint="default"/>
      </w:rPr>
    </w:lvl>
    <w:lvl w:ilvl="3">
      <w:start w:val="1"/>
      <w:numFmt w:val="none"/>
      <w:lvlText w:val=""/>
      <w:lvlJc w:val="left"/>
      <w:pPr>
        <w:ind w:left="1021" w:hanging="340"/>
      </w:pPr>
      <w:rPr>
        <w:rFonts w:hint="default"/>
      </w:rPr>
    </w:lvl>
    <w:lvl w:ilvl="4">
      <w:start w:val="1"/>
      <w:numFmt w:val="none"/>
      <w:lvlText w:val=""/>
      <w:lvlJc w:val="left"/>
      <w:pPr>
        <w:ind w:left="1248" w:hanging="340"/>
      </w:pPr>
      <w:rPr>
        <w:rFonts w:hint="default"/>
      </w:rPr>
    </w:lvl>
    <w:lvl w:ilvl="5">
      <w:start w:val="1"/>
      <w:numFmt w:val="none"/>
      <w:lvlText w:val=""/>
      <w:lvlJc w:val="left"/>
      <w:pPr>
        <w:ind w:left="1475" w:hanging="340"/>
      </w:pPr>
      <w:rPr>
        <w:rFonts w:hint="default"/>
      </w:rPr>
    </w:lvl>
    <w:lvl w:ilvl="6">
      <w:start w:val="1"/>
      <w:numFmt w:val="none"/>
      <w:lvlText w:val=""/>
      <w:lvlJc w:val="left"/>
      <w:pPr>
        <w:ind w:left="1702" w:hanging="340"/>
      </w:pPr>
      <w:rPr>
        <w:rFonts w:hint="default"/>
      </w:rPr>
    </w:lvl>
    <w:lvl w:ilvl="7">
      <w:start w:val="1"/>
      <w:numFmt w:val="none"/>
      <w:lvlText w:val=""/>
      <w:lvlJc w:val="left"/>
      <w:pPr>
        <w:ind w:left="1929" w:hanging="340"/>
      </w:pPr>
      <w:rPr>
        <w:rFonts w:hint="default"/>
      </w:rPr>
    </w:lvl>
    <w:lvl w:ilvl="8">
      <w:start w:val="1"/>
      <w:numFmt w:val="none"/>
      <w:lvlText w:val=""/>
      <w:lvlJc w:val="left"/>
      <w:pPr>
        <w:ind w:left="2156" w:hanging="340"/>
      </w:pPr>
      <w:rPr>
        <w:rFonts w:hint="default"/>
      </w:rPr>
    </w:lvl>
  </w:abstractNum>
  <w:abstractNum w:abstractNumId="9" w15:restartNumberingAfterBreak="0">
    <w:nsid w:val="1877449B"/>
    <w:multiLevelType w:val="multilevel"/>
    <w:tmpl w:val="145205FC"/>
    <w:styleLink w:val="aaReportListDash"/>
    <w:lvl w:ilvl="0">
      <w:start w:val="1"/>
      <w:numFmt w:val="bullet"/>
      <w:lvlText w:val="—"/>
      <w:lvlJc w:val="left"/>
      <w:pPr>
        <w:ind w:left="0" w:hanging="448"/>
      </w:pPr>
      <w:rPr>
        <w:rFonts w:ascii="Arial Narrow" w:hAnsi="Arial Narrow" w:hint="default"/>
      </w:rPr>
    </w:lvl>
    <w:lvl w:ilvl="1">
      <w:start w:val="1"/>
      <w:numFmt w:val="bullet"/>
      <w:lvlText w:val="–"/>
      <w:lvlJc w:val="left"/>
      <w:pPr>
        <w:ind w:left="238" w:hanging="238"/>
      </w:pPr>
      <w:rPr>
        <w:rFonts w:ascii="Arial Narrow" w:hAnsi="Arial Narrow" w:hint="default"/>
      </w:rPr>
    </w:lvl>
    <w:lvl w:ilvl="2">
      <w:start w:val="1"/>
      <w:numFmt w:val="bullet"/>
      <w:lvlText w:val="−"/>
      <w:lvlJc w:val="left"/>
      <w:pPr>
        <w:ind w:left="482" w:hanging="244"/>
      </w:pPr>
      <w:rPr>
        <w:rFonts w:ascii="Arial Narrow" w:hAnsi="Arial Narrow" w:hint="default"/>
        <w:position w:val="-2"/>
      </w:rPr>
    </w:lvl>
    <w:lvl w:ilvl="3">
      <w:start w:val="1"/>
      <w:numFmt w:val="bullet"/>
      <w:lvlText w:val="−"/>
      <w:lvlJc w:val="left"/>
      <w:pPr>
        <w:ind w:left="0" w:hanging="448"/>
      </w:pPr>
      <w:rPr>
        <w:rFonts w:ascii="Calibri" w:hAnsi="Calibri" w:hint="default"/>
      </w:rPr>
    </w:lvl>
    <w:lvl w:ilvl="4">
      <w:start w:val="1"/>
      <w:numFmt w:val="bullet"/>
      <w:lvlText w:val="−"/>
      <w:lvlJc w:val="left"/>
      <w:pPr>
        <w:ind w:left="0" w:hanging="448"/>
      </w:pPr>
      <w:rPr>
        <w:rFonts w:ascii="Calibri" w:hAnsi="Calibri" w:hint="default"/>
      </w:rPr>
    </w:lvl>
    <w:lvl w:ilvl="5">
      <w:start w:val="1"/>
      <w:numFmt w:val="bullet"/>
      <w:lvlText w:val="−"/>
      <w:lvlJc w:val="left"/>
      <w:pPr>
        <w:ind w:left="0" w:hanging="448"/>
      </w:pPr>
      <w:rPr>
        <w:rFonts w:ascii="Calibri" w:hAnsi="Calibri" w:hint="default"/>
      </w:rPr>
    </w:lvl>
    <w:lvl w:ilvl="6">
      <w:start w:val="1"/>
      <w:numFmt w:val="bullet"/>
      <w:lvlText w:val="−"/>
      <w:lvlJc w:val="left"/>
      <w:pPr>
        <w:ind w:left="0" w:hanging="448"/>
      </w:pPr>
      <w:rPr>
        <w:rFonts w:ascii="Calibri" w:hAnsi="Calibri" w:hint="default"/>
      </w:rPr>
    </w:lvl>
    <w:lvl w:ilvl="7">
      <w:start w:val="1"/>
      <w:numFmt w:val="bullet"/>
      <w:lvlText w:val="−"/>
      <w:lvlJc w:val="left"/>
      <w:pPr>
        <w:ind w:left="0" w:hanging="448"/>
      </w:pPr>
      <w:rPr>
        <w:rFonts w:ascii="Calibri" w:hAnsi="Calibri" w:hint="default"/>
      </w:rPr>
    </w:lvl>
    <w:lvl w:ilvl="8">
      <w:start w:val="1"/>
      <w:numFmt w:val="bullet"/>
      <w:lvlText w:val="−"/>
      <w:lvlJc w:val="left"/>
      <w:pPr>
        <w:ind w:left="0" w:hanging="448"/>
      </w:pPr>
      <w:rPr>
        <w:rFonts w:ascii="Calibri" w:hAnsi="Calibri" w:hint="default"/>
      </w:rPr>
    </w:lvl>
  </w:abstractNum>
  <w:abstractNum w:abstractNumId="10" w15:restartNumberingAfterBreak="0">
    <w:nsid w:val="1BA65ED1"/>
    <w:multiLevelType w:val="multilevel"/>
    <w:tmpl w:val="074077E0"/>
    <w:lvl w:ilvl="0">
      <w:start w:val="1"/>
      <w:numFmt w:val="none"/>
      <w:lvlText w:val="%1"/>
      <w:lvlJc w:val="left"/>
      <w:pPr>
        <w:ind w:left="0" w:firstLine="0"/>
      </w:pPr>
      <w:rPr>
        <w:rFonts w:ascii="Yu Gothic Medium" w:hAnsi="Yu Gothic Medium" w:hint="default"/>
        <w:sz w:val="20"/>
      </w:rPr>
    </w:lvl>
    <w:lvl w:ilvl="1">
      <w:start w:val="1"/>
      <w:numFmt w:val="none"/>
      <w:suff w:val="nothing"/>
      <w:lvlText w:val="%2"/>
      <w:lvlJc w:val="right"/>
      <w:pPr>
        <w:ind w:left="567" w:hanging="567"/>
      </w:pPr>
      <w:rPr>
        <w:rFonts w:hint="default"/>
      </w:rPr>
    </w:lvl>
    <w:lvl w:ilvl="2">
      <w:start w:val="1"/>
      <w:numFmt w:val="none"/>
      <w:suff w:val="nothing"/>
      <w:lvlText w:val="%3"/>
      <w:lvlJc w:val="right"/>
      <w:pPr>
        <w:ind w:left="1134" w:hanging="567"/>
      </w:pPr>
      <w:rPr>
        <w:rFonts w:hint="default"/>
      </w:rPr>
    </w:lvl>
    <w:lvl w:ilvl="3">
      <w:start w:val="1"/>
      <w:numFmt w:val="none"/>
      <w:lvlText w:val=""/>
      <w:lvlJc w:val="left"/>
      <w:pPr>
        <w:ind w:left="1701" w:hanging="567"/>
      </w:pPr>
      <w:rPr>
        <w:rFonts w:hint="default"/>
      </w:rPr>
    </w:lvl>
    <w:lvl w:ilvl="4">
      <w:start w:val="1"/>
      <w:numFmt w:val="lowerLetter"/>
      <w:lvlText w:val="(%5)"/>
      <w:lvlJc w:val="left"/>
      <w:pPr>
        <w:ind w:left="336" w:hanging="336"/>
      </w:pPr>
      <w:rPr>
        <w:rFonts w:hint="default"/>
      </w:rPr>
    </w:lvl>
    <w:lvl w:ilvl="5">
      <w:start w:val="1"/>
      <w:numFmt w:val="none"/>
      <w:lvlText w:val=""/>
      <w:lvlJc w:val="left"/>
      <w:pPr>
        <w:ind w:left="336" w:hanging="336"/>
      </w:pPr>
      <w:rPr>
        <w:rFonts w:hint="default"/>
      </w:rPr>
    </w:lvl>
    <w:lvl w:ilvl="6">
      <w:start w:val="1"/>
      <w:numFmt w:val="none"/>
      <w:lvlText w:val="%7"/>
      <w:lvlJc w:val="left"/>
      <w:pPr>
        <w:ind w:left="0" w:firstLine="0"/>
      </w:pPr>
      <w:rPr>
        <w:rFonts w:hint="default"/>
        <w:color w:val="FFFEFF"/>
      </w:rPr>
    </w:lvl>
    <w:lvl w:ilvl="7">
      <w:start w:val="1"/>
      <w:numFmt w:val="lowerLetter"/>
      <w:lvlText w:val="%8."/>
      <w:lvlJc w:val="left"/>
      <w:pPr>
        <w:ind w:left="336" w:hanging="336"/>
      </w:pPr>
      <w:rPr>
        <w:rFonts w:hint="default"/>
      </w:rPr>
    </w:lvl>
    <w:lvl w:ilvl="8">
      <w:start w:val="1"/>
      <w:numFmt w:val="lowerRoman"/>
      <w:lvlText w:val="%9."/>
      <w:lvlJc w:val="left"/>
      <w:pPr>
        <w:ind w:left="336" w:hanging="336"/>
      </w:pPr>
      <w:rPr>
        <w:rFonts w:hint="default"/>
      </w:rPr>
    </w:lvl>
  </w:abstractNum>
  <w:abstractNum w:abstractNumId="11" w15:restartNumberingAfterBreak="0">
    <w:nsid w:val="1C662060"/>
    <w:multiLevelType w:val="multilevel"/>
    <w:tmpl w:val="83E444BE"/>
    <w:styleLink w:val="aaclstStyleHeadingApp"/>
    <w:lvl w:ilvl="0">
      <w:start w:val="1"/>
      <w:numFmt w:val="upperLetter"/>
      <w:pStyle w:val="Heading1AP"/>
      <w:lvlText w:val="%1"/>
      <w:lvlJc w:val="right"/>
      <w:pPr>
        <w:ind w:left="248" w:hanging="384"/>
      </w:pPr>
      <w:rPr>
        <w:rFonts w:hint="default"/>
      </w:rPr>
    </w:lvl>
    <w:lvl w:ilvl="1">
      <w:start w:val="1"/>
      <w:numFmt w:val="decimal"/>
      <w:pStyle w:val="Heading2AP"/>
      <w:lvlText w:val="%1.%2"/>
      <w:lvlJc w:val="right"/>
      <w:pPr>
        <w:ind w:left="0" w:hanging="136"/>
      </w:pPr>
      <w:rPr>
        <w:rFonts w:hint="default"/>
      </w:rPr>
    </w:lvl>
    <w:lvl w:ilvl="2">
      <w:start w:val="1"/>
      <w:numFmt w:val="decimal"/>
      <w:pStyle w:val="Heading3AP"/>
      <w:lvlText w:val="%1.%2.%3"/>
      <w:lvlJc w:val="left"/>
      <w:pPr>
        <w:ind w:left="320" w:hanging="320"/>
      </w:pPr>
      <w:rPr>
        <w:rFonts w:hint="default"/>
      </w:rPr>
    </w:lvl>
    <w:lvl w:ilvl="3">
      <w:start w:val="1"/>
      <w:numFmt w:val="none"/>
      <w:pStyle w:val="Heading4AP"/>
      <w:lvlText w:val=""/>
      <w:lvlJc w:val="left"/>
      <w:pPr>
        <w:ind w:left="0" w:firstLine="0"/>
      </w:pPr>
      <w:rPr>
        <w:rFonts w:hint="default"/>
      </w:rPr>
    </w:lvl>
    <w:lvl w:ilvl="4">
      <w:start w:val="1"/>
      <w:numFmt w:val="none"/>
      <w:pStyle w:val="Heading5AP"/>
      <w:lvlText w:val=""/>
      <w:lvlJc w:val="left"/>
      <w:pPr>
        <w:ind w:left="0" w:firstLine="0"/>
      </w:pPr>
      <w:rPr>
        <w:rFonts w:hint="default"/>
      </w:rPr>
    </w:lvl>
    <w:lvl w:ilvl="5">
      <w:start w:val="1"/>
      <w:numFmt w:val="none"/>
      <w:pStyle w:val="Heading6AP"/>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2" w15:restartNumberingAfterBreak="0">
    <w:nsid w:val="1F5A7EF8"/>
    <w:multiLevelType w:val="hybridMultilevel"/>
    <w:tmpl w:val="AA4C97A0"/>
    <w:lvl w:ilvl="0" w:tplc="82800CE2">
      <w:start w:val="1"/>
      <w:numFmt w:val="bullet"/>
      <w:pStyle w:val="TableQuoteBullet"/>
      <w:lvlText w:val="–"/>
      <w:lvlJc w:val="left"/>
      <w:pPr>
        <w:ind w:left="460" w:hanging="360"/>
      </w:pPr>
      <w:rPr>
        <w:rFonts w:ascii="Arial Narrow" w:hAnsi="Arial Narrow" w:hint="default"/>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73059B"/>
    <w:multiLevelType w:val="multilevel"/>
    <w:tmpl w:val="306ACCA8"/>
    <w:styleLink w:val="aaclstStyleBoxListNumbers"/>
    <w:lvl w:ilvl="0">
      <w:start w:val="1"/>
      <w:numFmt w:val="decimal"/>
      <w:pStyle w:val="BoxListNumber"/>
      <w:lvlText w:val="%1."/>
      <w:lvlJc w:val="left"/>
      <w:pPr>
        <w:ind w:left="564" w:hanging="312"/>
      </w:pPr>
      <w:rPr>
        <w:rFonts w:ascii="Arial Narrow" w:hAnsi="Arial Narrow" w:hint="default"/>
        <w:sz w:val="20"/>
      </w:rPr>
    </w:lvl>
    <w:lvl w:ilvl="1">
      <w:start w:val="1"/>
      <w:numFmt w:val="lowerLetter"/>
      <w:pStyle w:val="BoxListNumber2"/>
      <w:lvlText w:val="%2)"/>
      <w:lvlJc w:val="left"/>
      <w:pPr>
        <w:ind w:left="844" w:hanging="280"/>
      </w:pPr>
      <w:rPr>
        <w:rFonts w:ascii="Arial Narrow" w:hAnsi="Arial Narrow" w:hint="default"/>
      </w:rPr>
    </w:lvl>
    <w:lvl w:ilvl="2">
      <w:start w:val="1"/>
      <w:numFmt w:val="lowerRoman"/>
      <w:pStyle w:val="BoxListNumber3"/>
      <w:lvlText w:val="%3)"/>
      <w:lvlJc w:val="left"/>
      <w:pPr>
        <w:ind w:left="1084" w:hanging="240"/>
      </w:pPr>
      <w:rPr>
        <w:rFonts w:ascii="Arial Narrow" w:hAnsi="Arial Narrow"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226C33D2"/>
    <w:multiLevelType w:val="multilevel"/>
    <w:tmpl w:val="83E444BE"/>
    <w:numStyleLink w:val="aaclstStyleHeadingApp"/>
  </w:abstractNum>
  <w:abstractNum w:abstractNumId="15" w15:restartNumberingAfterBreak="0">
    <w:nsid w:val="24FE4B77"/>
    <w:multiLevelType w:val="multilevel"/>
    <w:tmpl w:val="2D56811A"/>
    <w:numStyleLink w:val="aaclstStyleBoxListBullets"/>
  </w:abstractNum>
  <w:abstractNum w:abstractNumId="16" w15:restartNumberingAfterBreak="0">
    <w:nsid w:val="24FE551B"/>
    <w:multiLevelType w:val="multilevel"/>
    <w:tmpl w:val="55DAED7E"/>
    <w:numStyleLink w:val="aacTableListBullets"/>
  </w:abstractNum>
  <w:abstractNum w:abstractNumId="17" w15:restartNumberingAfterBreak="0">
    <w:nsid w:val="25124F0F"/>
    <w:multiLevelType w:val="multilevel"/>
    <w:tmpl w:val="29E0E8DA"/>
    <w:styleLink w:val="aacTableListNumbers"/>
    <w:lvl w:ilvl="0">
      <w:start w:val="1"/>
      <w:numFmt w:val="decimal"/>
      <w:pStyle w:val="Tablelistnumber"/>
      <w:lvlText w:val="%1."/>
      <w:lvlJc w:val="left"/>
      <w:pPr>
        <w:ind w:left="340" w:hanging="340"/>
      </w:pPr>
      <w:rPr>
        <w:rFonts w:hint="default"/>
      </w:rPr>
    </w:lvl>
    <w:lvl w:ilvl="1">
      <w:start w:val="1"/>
      <w:numFmt w:val="lowerLetter"/>
      <w:pStyle w:val="Tablelistnumber2"/>
      <w:lvlText w:val="%2)"/>
      <w:lvlJc w:val="left"/>
      <w:pPr>
        <w:ind w:left="680" w:hanging="340"/>
      </w:pPr>
      <w:rPr>
        <w:rFonts w:hint="default"/>
      </w:rPr>
    </w:lvl>
    <w:lvl w:ilvl="2">
      <w:start w:val="1"/>
      <w:numFmt w:val="lowerRoman"/>
      <w:pStyle w:val="Tablelistnumber3"/>
      <w:lvlText w:val="%3)"/>
      <w:lvlJc w:val="left"/>
      <w:pPr>
        <w:ind w:left="907" w:hanging="227"/>
      </w:pPr>
      <w:rPr>
        <w:rFonts w:hint="default"/>
      </w:rPr>
    </w:lvl>
    <w:lvl w:ilvl="3">
      <w:start w:val="1"/>
      <w:numFmt w:val="decimal"/>
      <w:lvlText w:val="(%4)"/>
      <w:lvlJc w:val="left"/>
      <w:pPr>
        <w:ind w:left="960" w:hanging="240"/>
      </w:pPr>
      <w:rPr>
        <w:rFonts w:hint="default"/>
      </w:rPr>
    </w:lvl>
    <w:lvl w:ilvl="4">
      <w:start w:val="1"/>
      <w:numFmt w:val="lowerLetter"/>
      <w:lvlText w:val="(%5)"/>
      <w:lvlJc w:val="left"/>
      <w:pPr>
        <w:ind w:left="1200" w:hanging="240"/>
      </w:pPr>
      <w:rPr>
        <w:rFonts w:hint="default"/>
      </w:rPr>
    </w:lvl>
    <w:lvl w:ilvl="5">
      <w:start w:val="1"/>
      <w:numFmt w:val="lowerRoman"/>
      <w:lvlText w:val="(%6)"/>
      <w:lvlJc w:val="left"/>
      <w:pPr>
        <w:ind w:left="1440" w:hanging="240"/>
      </w:pPr>
      <w:rPr>
        <w:rFonts w:hint="default"/>
      </w:rPr>
    </w:lvl>
    <w:lvl w:ilvl="6">
      <w:start w:val="1"/>
      <w:numFmt w:val="decimal"/>
      <w:lvlText w:val="%7."/>
      <w:lvlJc w:val="left"/>
      <w:pPr>
        <w:ind w:left="1680" w:hanging="240"/>
      </w:pPr>
      <w:rPr>
        <w:rFonts w:hint="default"/>
      </w:rPr>
    </w:lvl>
    <w:lvl w:ilvl="7">
      <w:start w:val="1"/>
      <w:numFmt w:val="lowerLetter"/>
      <w:lvlText w:val="%8."/>
      <w:lvlJc w:val="left"/>
      <w:pPr>
        <w:ind w:left="1920" w:hanging="240"/>
      </w:pPr>
      <w:rPr>
        <w:rFonts w:hint="default"/>
      </w:rPr>
    </w:lvl>
    <w:lvl w:ilvl="8">
      <w:start w:val="1"/>
      <w:numFmt w:val="lowerRoman"/>
      <w:lvlText w:val="%9."/>
      <w:lvlJc w:val="left"/>
      <w:pPr>
        <w:ind w:left="2160" w:hanging="240"/>
      </w:pPr>
      <w:rPr>
        <w:rFonts w:hint="default"/>
      </w:rPr>
    </w:lvl>
  </w:abstractNum>
  <w:abstractNum w:abstractNumId="18" w15:restartNumberingAfterBreak="0">
    <w:nsid w:val="264D0593"/>
    <w:multiLevelType w:val="multilevel"/>
    <w:tmpl w:val="CE66BE7A"/>
    <w:styleLink w:val="lstStyleListNumber"/>
    <w:lvl w:ilvl="0">
      <w:start w:val="1"/>
      <w:numFmt w:val="decimal"/>
      <w:lvlText w:val="%1."/>
      <w:lvlJc w:val="left"/>
      <w:pPr>
        <w:ind w:left="420" w:hanging="420"/>
      </w:pPr>
      <w:rPr>
        <w:rFonts w:ascii="Arial Narrow" w:hAnsi="Arial Narrow" w:cs="Arial" w:hint="default"/>
      </w:rPr>
    </w:lvl>
    <w:lvl w:ilvl="1">
      <w:start w:val="1"/>
      <w:numFmt w:val="lowerLetter"/>
      <w:lvlText w:val="%2)"/>
      <w:lvlJc w:val="left"/>
      <w:pPr>
        <w:ind w:left="780" w:hanging="360"/>
      </w:pPr>
      <w:rPr>
        <w:rFonts w:ascii="Arial Narrow" w:hAnsi="Arial Narrow" w:hint="default"/>
      </w:rPr>
    </w:lvl>
    <w:lvl w:ilvl="2">
      <w:start w:val="1"/>
      <w:numFmt w:val="lowerRoman"/>
      <w:lvlText w:val="%3)"/>
      <w:lvlJc w:val="left"/>
      <w:pPr>
        <w:ind w:left="1140" w:hanging="360"/>
      </w:pPr>
      <w:rPr>
        <w:rFonts w:ascii="Arial Narrow" w:hAnsi="Arial Narrow" w:hint="default"/>
      </w:rPr>
    </w:lvl>
    <w:lvl w:ilvl="3">
      <w:start w:val="1"/>
      <w:numFmt w:val="none"/>
      <w:lvlText w:val=""/>
      <w:lvlJc w:val="left"/>
      <w:pPr>
        <w:ind w:left="1428" w:hanging="357"/>
      </w:pPr>
      <w:rPr>
        <w:rFonts w:hint="default"/>
      </w:rPr>
    </w:lvl>
    <w:lvl w:ilvl="4">
      <w:start w:val="1"/>
      <w:numFmt w:val="none"/>
      <w:lvlText w:val=""/>
      <w:lvlJc w:val="left"/>
      <w:pPr>
        <w:ind w:left="1785" w:hanging="357"/>
      </w:pPr>
      <w:rPr>
        <w:rFonts w:hint="default"/>
      </w:rPr>
    </w:lvl>
    <w:lvl w:ilvl="5">
      <w:start w:val="1"/>
      <w:numFmt w:val="none"/>
      <w:lvlText w:val=""/>
      <w:lvlJc w:val="left"/>
      <w:pPr>
        <w:ind w:left="2142" w:hanging="357"/>
      </w:pPr>
      <w:rPr>
        <w:rFonts w:hint="default"/>
      </w:rPr>
    </w:lvl>
    <w:lvl w:ilvl="6">
      <w:start w:val="1"/>
      <w:numFmt w:val="none"/>
      <w:lvlText w:val=""/>
      <w:lvlJc w:val="left"/>
      <w:pPr>
        <w:ind w:left="2499" w:hanging="357"/>
      </w:pPr>
      <w:rPr>
        <w:rFonts w:hint="default"/>
      </w:rPr>
    </w:lvl>
    <w:lvl w:ilvl="7">
      <w:start w:val="1"/>
      <w:numFmt w:val="none"/>
      <w:lvlText w:val=""/>
      <w:lvlJc w:val="left"/>
      <w:pPr>
        <w:ind w:left="2856" w:hanging="357"/>
      </w:pPr>
      <w:rPr>
        <w:rFonts w:hint="default"/>
      </w:rPr>
    </w:lvl>
    <w:lvl w:ilvl="8">
      <w:start w:val="1"/>
      <w:numFmt w:val="none"/>
      <w:lvlText w:val=""/>
      <w:lvlJc w:val="left"/>
      <w:pPr>
        <w:ind w:left="3213" w:hanging="357"/>
      </w:pPr>
      <w:rPr>
        <w:rFonts w:hint="default"/>
      </w:rPr>
    </w:lvl>
  </w:abstractNum>
  <w:abstractNum w:abstractNumId="19" w15:restartNumberingAfterBreak="0">
    <w:nsid w:val="267D48F2"/>
    <w:multiLevelType w:val="multilevel"/>
    <w:tmpl w:val="3DD0AEC8"/>
    <w:styleLink w:val="aaclstStyleHeadingsES"/>
    <w:lvl w:ilvl="0">
      <w:start w:val="1"/>
      <w:numFmt w:val="none"/>
      <w:pStyle w:val="Heading1ES"/>
      <w:lvlText w:val=""/>
      <w:lvlJc w:val="left"/>
      <w:pPr>
        <w:ind w:left="248" w:firstLine="0"/>
      </w:pPr>
      <w:rPr>
        <w:rFonts w:ascii="Arial Narrow" w:hAnsi="Arial Narrow" w:hint="default"/>
      </w:rPr>
    </w:lvl>
    <w:lvl w:ilvl="1">
      <w:start w:val="1"/>
      <w:numFmt w:val="none"/>
      <w:pStyle w:val="Heading2ES"/>
      <w:lvlText w:val=""/>
      <w:lvlJc w:val="left"/>
      <w:pPr>
        <w:ind w:left="0" w:firstLine="0"/>
      </w:pPr>
      <w:rPr>
        <w:rFonts w:hint="default"/>
      </w:rPr>
    </w:lvl>
    <w:lvl w:ilvl="2">
      <w:start w:val="1"/>
      <w:numFmt w:val="none"/>
      <w:pStyle w:val="Heading3ES"/>
      <w:lvlText w:val=""/>
      <w:lvlJc w:val="left"/>
      <w:pPr>
        <w:ind w:left="0" w:firstLine="0"/>
      </w:pPr>
      <w:rPr>
        <w:rFonts w:hint="default"/>
      </w:rPr>
    </w:lvl>
    <w:lvl w:ilvl="3">
      <w:start w:val="1"/>
      <w:numFmt w:val="none"/>
      <w:pStyle w:val="Heading4ES"/>
      <w:lvlText w:val=""/>
      <w:lvlJc w:val="left"/>
      <w:pPr>
        <w:ind w:left="0" w:firstLine="0"/>
      </w:pPr>
      <w:rPr>
        <w:rFonts w:hint="default"/>
      </w:rPr>
    </w:lvl>
    <w:lvl w:ilvl="4">
      <w:start w:val="1"/>
      <w:numFmt w:val="none"/>
      <w:pStyle w:val="Heading5ES"/>
      <w:lvlText w:val=""/>
      <w:lvlJc w:val="left"/>
      <w:pPr>
        <w:ind w:left="0" w:firstLine="0"/>
      </w:pPr>
      <w:rPr>
        <w:rFonts w:hint="default"/>
      </w:rPr>
    </w:lvl>
    <w:lvl w:ilvl="5">
      <w:start w:val="1"/>
      <w:numFmt w:val="none"/>
      <w:lvlRestart w:val="0"/>
      <w:pStyle w:val="Heading6ES"/>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0" w15:restartNumberingAfterBreak="0">
    <w:nsid w:val="27843433"/>
    <w:multiLevelType w:val="multilevel"/>
    <w:tmpl w:val="165C0818"/>
    <w:numStyleLink w:val="aaclstStyleHeadingNumbered"/>
  </w:abstractNum>
  <w:abstractNum w:abstractNumId="21" w15:restartNumberingAfterBreak="0">
    <w:nsid w:val="2BA93FA8"/>
    <w:multiLevelType w:val="multilevel"/>
    <w:tmpl w:val="306ACCA8"/>
    <w:numStyleLink w:val="aaclstStyleBoxListNumbers"/>
  </w:abstractNum>
  <w:abstractNum w:abstractNumId="22" w15:restartNumberingAfterBreak="0">
    <w:nsid w:val="31AB2891"/>
    <w:multiLevelType w:val="multilevel"/>
    <w:tmpl w:val="6248E440"/>
    <w:styleLink w:val="TOCList"/>
    <w:lvl w:ilvl="0">
      <w:start w:val="1"/>
      <w:numFmt w:val="none"/>
      <w:suff w:val="nothing"/>
      <w:lvlText w:val="%1"/>
      <w:lvlJc w:val="left"/>
      <w:pPr>
        <w:ind w:left="0" w:firstLine="0"/>
      </w:pPr>
      <w:rPr>
        <w:rFonts w:ascii="Yu Gothic Medium" w:hAnsi="Yu Gothic Medium" w:hint="default"/>
        <w:sz w:val="20"/>
      </w:rPr>
    </w:lvl>
    <w:lvl w:ilvl="1">
      <w:start w:val="1"/>
      <w:numFmt w:val="none"/>
      <w:lvlRestart w:val="0"/>
      <w:suff w:val="nothing"/>
      <w:lvlText w:val="%2"/>
      <w:lvlJc w:val="left"/>
      <w:pPr>
        <w:ind w:left="560" w:hanging="560"/>
      </w:pPr>
      <w:rPr>
        <w:rFonts w:hint="default"/>
      </w:rPr>
    </w:lvl>
    <w:lvl w:ilvl="2">
      <w:start w:val="1"/>
      <w:numFmt w:val="none"/>
      <w:lvlRestart w:val="0"/>
      <w:suff w:val="nothing"/>
      <w:lvlText w:val="%3"/>
      <w:lvlJc w:val="left"/>
      <w:pPr>
        <w:ind w:left="1120" w:hanging="560"/>
      </w:pPr>
      <w:rPr>
        <w:rFonts w:hint="default"/>
      </w:rPr>
    </w:lvl>
    <w:lvl w:ilvl="3">
      <w:start w:val="1"/>
      <w:numFmt w:val="none"/>
      <w:lvlRestart w:val="0"/>
      <w:suff w:val="nothing"/>
      <w:lvlText w:val=""/>
      <w:lvlJc w:val="left"/>
      <w:pPr>
        <w:ind w:left="1680" w:hanging="560"/>
      </w:pPr>
      <w:rPr>
        <w:rFonts w:hint="default"/>
      </w:rPr>
    </w:lvl>
    <w:lvl w:ilvl="4">
      <w:start w:val="1"/>
      <w:numFmt w:val="none"/>
      <w:lvlRestart w:val="0"/>
      <w:suff w:val="nothing"/>
      <w:lvlText w:val=""/>
      <w:lvlJc w:val="left"/>
      <w:pPr>
        <w:ind w:left="0" w:firstLine="0"/>
      </w:pPr>
      <w:rPr>
        <w:rFonts w:hint="default"/>
      </w:rPr>
    </w:lvl>
    <w:lvl w:ilvl="5">
      <w:start w:val="1"/>
      <w:numFmt w:val="none"/>
      <w:lvlRestart w:val="0"/>
      <w:suff w:val="nothing"/>
      <w:lvlText w:val=""/>
      <w:lvlJc w:val="left"/>
      <w:pPr>
        <w:ind w:left="0" w:firstLine="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23" w15:restartNumberingAfterBreak="0">
    <w:nsid w:val="336313F1"/>
    <w:multiLevelType w:val="multilevel"/>
    <w:tmpl w:val="2D56811A"/>
    <w:numStyleLink w:val="aaclstStyleBoxListBullets"/>
  </w:abstractNum>
  <w:abstractNum w:abstractNumId="24" w15:restartNumberingAfterBreak="0">
    <w:nsid w:val="33DF3DD1"/>
    <w:multiLevelType w:val="multilevel"/>
    <w:tmpl w:val="4D96EFB6"/>
    <w:numStyleLink w:val="aacTableListBulletssmall"/>
  </w:abstractNum>
  <w:abstractNum w:abstractNumId="25" w15:restartNumberingAfterBreak="0">
    <w:nsid w:val="3CD62D95"/>
    <w:multiLevelType w:val="multilevel"/>
    <w:tmpl w:val="55DAED7E"/>
    <w:styleLink w:val="aacTableListBullets"/>
    <w:lvl w:ilvl="0">
      <w:start w:val="1"/>
      <w:numFmt w:val="bullet"/>
      <w:pStyle w:val="Tablelistbullet"/>
      <w:lvlText w:val="–"/>
      <w:lvlJc w:val="left"/>
      <w:pPr>
        <w:ind w:left="280" w:hanging="280"/>
      </w:pPr>
      <w:rPr>
        <w:rFonts w:ascii="Arial Narrow" w:hAnsi="Arial Narrow" w:hint="default"/>
      </w:rPr>
    </w:lvl>
    <w:lvl w:ilvl="1">
      <w:start w:val="1"/>
      <w:numFmt w:val="bullet"/>
      <w:pStyle w:val="Tablelistbullet2"/>
      <w:lvlText w:val="–"/>
      <w:lvlJc w:val="left"/>
      <w:pPr>
        <w:ind w:left="520" w:hanging="240"/>
      </w:pPr>
      <w:rPr>
        <w:rFonts w:ascii="Arial Narrow" w:hAnsi="Arial Narrow" w:hint="default"/>
        <w:color w:val="000100"/>
      </w:rPr>
    </w:lvl>
    <w:lvl w:ilvl="2">
      <w:start w:val="1"/>
      <w:numFmt w:val="bullet"/>
      <w:pStyle w:val="Tablelistbullet3"/>
      <w:lvlText w:val="–"/>
      <w:lvlJc w:val="left"/>
      <w:pPr>
        <w:ind w:left="760" w:hanging="240"/>
      </w:pPr>
      <w:rPr>
        <w:rFonts w:ascii="Arial Narrow" w:hAnsi="Arial Narrow" w:hint="default"/>
      </w:rPr>
    </w:lvl>
    <w:lvl w:ilvl="3">
      <w:start w:val="1"/>
      <w:numFmt w:val="decimal"/>
      <w:lvlText w:val="(%4)"/>
      <w:lvlJc w:val="left"/>
      <w:pPr>
        <w:ind w:left="960" w:hanging="240"/>
      </w:pPr>
      <w:rPr>
        <w:rFonts w:ascii="Arial Narrow" w:hAnsi="Arial Narrow" w:hint="default"/>
      </w:rPr>
    </w:lvl>
    <w:lvl w:ilvl="4">
      <w:start w:val="1"/>
      <w:numFmt w:val="lowerLetter"/>
      <w:lvlText w:val="(%5)"/>
      <w:lvlJc w:val="left"/>
      <w:pPr>
        <w:ind w:left="1200" w:hanging="240"/>
      </w:pPr>
      <w:rPr>
        <w:rFonts w:hint="default"/>
      </w:rPr>
    </w:lvl>
    <w:lvl w:ilvl="5">
      <w:start w:val="1"/>
      <w:numFmt w:val="lowerRoman"/>
      <w:lvlText w:val="(%6)"/>
      <w:lvlJc w:val="left"/>
      <w:pPr>
        <w:ind w:left="1440" w:hanging="240"/>
      </w:pPr>
      <w:rPr>
        <w:rFonts w:hint="default"/>
      </w:rPr>
    </w:lvl>
    <w:lvl w:ilvl="6">
      <w:start w:val="1"/>
      <w:numFmt w:val="decimal"/>
      <w:lvlText w:val="%7."/>
      <w:lvlJc w:val="left"/>
      <w:pPr>
        <w:ind w:left="1680" w:hanging="240"/>
      </w:pPr>
      <w:rPr>
        <w:rFonts w:hint="default"/>
      </w:rPr>
    </w:lvl>
    <w:lvl w:ilvl="7">
      <w:start w:val="1"/>
      <w:numFmt w:val="lowerLetter"/>
      <w:lvlText w:val="%8."/>
      <w:lvlJc w:val="left"/>
      <w:pPr>
        <w:ind w:left="1920" w:hanging="240"/>
      </w:pPr>
      <w:rPr>
        <w:rFonts w:hint="default"/>
      </w:rPr>
    </w:lvl>
    <w:lvl w:ilvl="8">
      <w:start w:val="1"/>
      <w:numFmt w:val="lowerRoman"/>
      <w:lvlText w:val="%9."/>
      <w:lvlJc w:val="left"/>
      <w:pPr>
        <w:ind w:left="2160" w:hanging="240"/>
      </w:pPr>
      <w:rPr>
        <w:rFonts w:hint="default"/>
      </w:rPr>
    </w:lvl>
  </w:abstractNum>
  <w:abstractNum w:abstractNumId="26" w15:restartNumberingAfterBreak="0">
    <w:nsid w:val="44083225"/>
    <w:multiLevelType w:val="multilevel"/>
    <w:tmpl w:val="2D56811A"/>
    <w:styleLink w:val="aaclstStyleBoxListBullets"/>
    <w:lvl w:ilvl="0">
      <w:start w:val="1"/>
      <w:numFmt w:val="bullet"/>
      <w:pStyle w:val="BoxListBullet"/>
      <w:lvlText w:val="—"/>
      <w:lvlJc w:val="left"/>
      <w:pPr>
        <w:ind w:left="564" w:hanging="312"/>
      </w:pPr>
      <w:rPr>
        <w:rFonts w:ascii="Arial Narrow" w:hAnsi="Arial Narrow" w:hint="default"/>
      </w:rPr>
    </w:lvl>
    <w:lvl w:ilvl="1">
      <w:start w:val="1"/>
      <w:numFmt w:val="bullet"/>
      <w:pStyle w:val="BoxListBullet2"/>
      <w:lvlText w:val="―"/>
      <w:lvlJc w:val="left"/>
      <w:pPr>
        <w:ind w:left="844" w:hanging="280"/>
      </w:pPr>
      <w:rPr>
        <w:rFonts w:ascii="Arial Narrow" w:hAnsi="Arial Narrow" w:hint="default"/>
        <w:sz w:val="16"/>
      </w:rPr>
    </w:lvl>
    <w:lvl w:ilvl="2">
      <w:start w:val="1"/>
      <w:numFmt w:val="bullet"/>
      <w:pStyle w:val="BoxListBullet3"/>
      <w:lvlText w:val="–"/>
      <w:lvlJc w:val="left"/>
      <w:pPr>
        <w:ind w:left="1084" w:hanging="240"/>
      </w:pPr>
      <w:rPr>
        <w:rFonts w:ascii="Arial Narrow" w:hAnsi="Arial Narrow" w:hint="default"/>
      </w:rPr>
    </w:lvl>
    <w:lvl w:ilvl="3">
      <w:start w:val="1"/>
      <w:numFmt w:val="none"/>
      <w:pStyle w:val="BoxQuote"/>
      <w:suff w:val="nothing"/>
      <w:lvlText w:val=""/>
      <w:lvlJc w:val="left"/>
      <w:pPr>
        <w:ind w:left="564" w:hanging="312"/>
      </w:pPr>
      <w:rPr>
        <w:rFonts w:hint="default"/>
      </w:rPr>
    </w:lvl>
    <w:lvl w:ilvl="4">
      <w:start w:val="1"/>
      <w:numFmt w:val="bullet"/>
      <w:pStyle w:val="BoxQuoteListBullet"/>
      <w:lvlText w:val="–"/>
      <w:lvlJc w:val="left"/>
      <w:pPr>
        <w:ind w:left="564" w:hanging="312"/>
      </w:pPr>
      <w:rPr>
        <w:rFonts w:ascii="Arial Narrow" w:hAnsi="Arial Narrow" w:hint="default"/>
      </w:rPr>
    </w:lvl>
    <w:lvl w:ilvl="5">
      <w:start w:val="1"/>
      <w:numFmt w:val="none"/>
      <w:lvlText w:val=""/>
      <w:lvlJc w:val="left"/>
      <w:pPr>
        <w:ind w:left="1646" w:hanging="446"/>
      </w:pPr>
      <w:rPr>
        <w:rFonts w:hint="default"/>
      </w:rPr>
    </w:lvl>
    <w:lvl w:ilvl="6">
      <w:start w:val="1"/>
      <w:numFmt w:val="none"/>
      <w:lvlText w:val=""/>
      <w:lvlJc w:val="left"/>
      <w:pPr>
        <w:ind w:left="1886" w:hanging="446"/>
      </w:pPr>
      <w:rPr>
        <w:rFonts w:hint="default"/>
      </w:rPr>
    </w:lvl>
    <w:lvl w:ilvl="7">
      <w:start w:val="1"/>
      <w:numFmt w:val="none"/>
      <w:lvlText w:val=""/>
      <w:lvlJc w:val="left"/>
      <w:pPr>
        <w:ind w:left="2126" w:hanging="446"/>
      </w:pPr>
      <w:rPr>
        <w:rFonts w:hint="default"/>
      </w:rPr>
    </w:lvl>
    <w:lvl w:ilvl="8">
      <w:start w:val="1"/>
      <w:numFmt w:val="none"/>
      <w:lvlText w:val=""/>
      <w:lvlJc w:val="left"/>
      <w:pPr>
        <w:ind w:left="2366" w:hanging="446"/>
      </w:pPr>
      <w:rPr>
        <w:rFonts w:hint="default"/>
      </w:rPr>
    </w:lvl>
  </w:abstractNum>
  <w:abstractNum w:abstractNumId="27" w15:restartNumberingAfterBreak="0">
    <w:nsid w:val="45767BA0"/>
    <w:multiLevelType w:val="multilevel"/>
    <w:tmpl w:val="75081F48"/>
    <w:lvl w:ilvl="0">
      <w:start w:val="1"/>
      <w:numFmt w:val="bullet"/>
      <w:pStyle w:val="SideNoteDash"/>
      <w:lvlText w:val="–"/>
      <w:lvlJc w:val="left"/>
      <w:pPr>
        <w:tabs>
          <w:tab w:val="num" w:pos="60"/>
        </w:tabs>
        <w:ind w:left="220" w:hanging="220"/>
      </w:pPr>
      <w:rPr>
        <w:rFonts w:ascii="Arial Narrow" w:hAnsi="Arial Narrow" w:hint="default"/>
      </w:rPr>
    </w:lvl>
    <w:lvl w:ilvl="1">
      <w:start w:val="1"/>
      <w:numFmt w:val="bullet"/>
      <w:pStyle w:val="SideNoteBullet"/>
      <w:lvlText w:val="•"/>
      <w:lvlJc w:val="left"/>
      <w:pPr>
        <w:ind w:left="220" w:hanging="220"/>
      </w:pPr>
      <w:rPr>
        <w:rFonts w:ascii="Arial Narrow" w:hAnsi="Arial Narrow" w:hint="default"/>
        <w:sz w:val="16"/>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460F67E9"/>
    <w:multiLevelType w:val="multilevel"/>
    <w:tmpl w:val="30CC873A"/>
    <w:numStyleLink w:val="aaclstStyleBullets"/>
  </w:abstractNum>
  <w:abstractNum w:abstractNumId="29" w15:restartNumberingAfterBreak="0">
    <w:nsid w:val="4B6114E9"/>
    <w:multiLevelType w:val="multilevel"/>
    <w:tmpl w:val="30CC873A"/>
    <w:styleLink w:val="aaclstStyleBullets"/>
    <w:lvl w:ilvl="0">
      <w:start w:val="1"/>
      <w:numFmt w:val="bullet"/>
      <w:pStyle w:val="ListBullet"/>
      <w:lvlText w:val="—"/>
      <w:lvlJc w:val="left"/>
      <w:pPr>
        <w:ind w:left="420" w:hanging="420"/>
      </w:pPr>
      <w:rPr>
        <w:rFonts w:ascii="Arial Narrow" w:hAnsi="Arial Narrow" w:hint="default"/>
      </w:rPr>
    </w:lvl>
    <w:lvl w:ilvl="1">
      <w:start w:val="1"/>
      <w:numFmt w:val="bullet"/>
      <w:pStyle w:val="ListBullet2"/>
      <w:lvlText w:val="―"/>
      <w:lvlJc w:val="left"/>
      <w:pPr>
        <w:ind w:left="780" w:hanging="360"/>
      </w:pPr>
      <w:rPr>
        <w:rFonts w:ascii="Arial Narrow" w:hAnsi="Arial Narrow" w:hint="default"/>
      </w:rPr>
    </w:lvl>
    <w:lvl w:ilvl="2">
      <w:start w:val="1"/>
      <w:numFmt w:val="bullet"/>
      <w:pStyle w:val="ListBullet3"/>
      <w:lvlText w:val="−"/>
      <w:lvlJc w:val="left"/>
      <w:pPr>
        <w:ind w:left="1140" w:hanging="360"/>
      </w:pPr>
      <w:rPr>
        <w:rFonts w:ascii="Arial Narrow" w:hAnsi="Arial Narrow" w:hint="default"/>
      </w:rPr>
    </w:lvl>
    <w:lvl w:ilvl="3">
      <w:start w:val="1"/>
      <w:numFmt w:val="none"/>
      <w:lvlText w:val=""/>
      <w:lvlJc w:val="left"/>
      <w:pPr>
        <w:ind w:left="1428" w:hanging="357"/>
      </w:pPr>
      <w:rPr>
        <w:rFonts w:hint="default"/>
      </w:rPr>
    </w:lvl>
    <w:lvl w:ilvl="4">
      <w:start w:val="1"/>
      <w:numFmt w:val="none"/>
      <w:lvlText w:val=""/>
      <w:lvlJc w:val="left"/>
      <w:pPr>
        <w:ind w:left="1785" w:hanging="357"/>
      </w:pPr>
      <w:rPr>
        <w:rFonts w:hint="default"/>
      </w:rPr>
    </w:lvl>
    <w:lvl w:ilvl="5">
      <w:start w:val="1"/>
      <w:numFmt w:val="none"/>
      <w:lvlText w:val=""/>
      <w:lvlJc w:val="left"/>
      <w:pPr>
        <w:ind w:left="2142" w:hanging="357"/>
      </w:pPr>
      <w:rPr>
        <w:rFonts w:hint="default"/>
      </w:rPr>
    </w:lvl>
    <w:lvl w:ilvl="6">
      <w:start w:val="1"/>
      <w:numFmt w:val="none"/>
      <w:lvlText w:val=""/>
      <w:lvlJc w:val="left"/>
      <w:pPr>
        <w:ind w:left="2499" w:hanging="357"/>
      </w:pPr>
      <w:rPr>
        <w:rFonts w:hint="default"/>
      </w:rPr>
    </w:lvl>
    <w:lvl w:ilvl="7">
      <w:start w:val="1"/>
      <w:numFmt w:val="none"/>
      <w:lvlText w:val=""/>
      <w:lvlJc w:val="left"/>
      <w:pPr>
        <w:ind w:left="2856" w:hanging="357"/>
      </w:pPr>
      <w:rPr>
        <w:rFonts w:hint="default"/>
      </w:rPr>
    </w:lvl>
    <w:lvl w:ilvl="8">
      <w:start w:val="1"/>
      <w:numFmt w:val="none"/>
      <w:lvlText w:val=""/>
      <w:lvlJc w:val="left"/>
      <w:pPr>
        <w:ind w:left="3213" w:hanging="357"/>
      </w:pPr>
      <w:rPr>
        <w:rFonts w:hint="default"/>
      </w:rPr>
    </w:lvl>
  </w:abstractNum>
  <w:abstractNum w:abstractNumId="30" w15:restartNumberingAfterBreak="0">
    <w:nsid w:val="4FF40441"/>
    <w:multiLevelType w:val="multilevel"/>
    <w:tmpl w:val="2D56811A"/>
    <w:numStyleLink w:val="aaclstStyleBoxListBullets"/>
  </w:abstractNum>
  <w:abstractNum w:abstractNumId="31" w15:restartNumberingAfterBreak="0">
    <w:nsid w:val="50E9377F"/>
    <w:multiLevelType w:val="multilevel"/>
    <w:tmpl w:val="CE66BE7A"/>
    <w:styleLink w:val="aaclstStyleListNumber"/>
    <w:lvl w:ilvl="0">
      <w:start w:val="1"/>
      <w:numFmt w:val="decimal"/>
      <w:pStyle w:val="ListNumber"/>
      <w:lvlText w:val="%1."/>
      <w:lvlJc w:val="left"/>
      <w:pPr>
        <w:ind w:left="420" w:hanging="420"/>
      </w:pPr>
      <w:rPr>
        <w:rFonts w:ascii="Arial Narrow" w:hAnsi="Arial Narrow" w:cs="Arial" w:hint="default"/>
      </w:rPr>
    </w:lvl>
    <w:lvl w:ilvl="1">
      <w:start w:val="1"/>
      <w:numFmt w:val="lowerLetter"/>
      <w:pStyle w:val="ListNumber2"/>
      <w:lvlText w:val="%2)"/>
      <w:lvlJc w:val="left"/>
      <w:pPr>
        <w:ind w:left="780" w:hanging="360"/>
      </w:pPr>
      <w:rPr>
        <w:rFonts w:ascii="Arial Narrow" w:hAnsi="Arial Narrow" w:hint="default"/>
      </w:rPr>
    </w:lvl>
    <w:lvl w:ilvl="2">
      <w:start w:val="1"/>
      <w:numFmt w:val="lowerRoman"/>
      <w:pStyle w:val="ListNumber3"/>
      <w:lvlText w:val="%3)"/>
      <w:lvlJc w:val="left"/>
      <w:pPr>
        <w:ind w:left="1140" w:hanging="360"/>
      </w:pPr>
      <w:rPr>
        <w:rFonts w:ascii="Arial Narrow" w:hAnsi="Arial Narrow" w:hint="default"/>
      </w:rPr>
    </w:lvl>
    <w:lvl w:ilvl="3">
      <w:start w:val="1"/>
      <w:numFmt w:val="none"/>
      <w:lvlText w:val=""/>
      <w:lvlJc w:val="left"/>
      <w:pPr>
        <w:ind w:left="1428" w:hanging="357"/>
      </w:pPr>
      <w:rPr>
        <w:rFonts w:hint="default"/>
      </w:rPr>
    </w:lvl>
    <w:lvl w:ilvl="4">
      <w:start w:val="1"/>
      <w:numFmt w:val="none"/>
      <w:lvlText w:val=""/>
      <w:lvlJc w:val="left"/>
      <w:pPr>
        <w:ind w:left="1785" w:hanging="357"/>
      </w:pPr>
      <w:rPr>
        <w:rFonts w:hint="default"/>
      </w:rPr>
    </w:lvl>
    <w:lvl w:ilvl="5">
      <w:start w:val="1"/>
      <w:numFmt w:val="none"/>
      <w:lvlText w:val=""/>
      <w:lvlJc w:val="left"/>
      <w:pPr>
        <w:ind w:left="2142" w:hanging="357"/>
      </w:pPr>
      <w:rPr>
        <w:rFonts w:hint="default"/>
      </w:rPr>
    </w:lvl>
    <w:lvl w:ilvl="6">
      <w:start w:val="1"/>
      <w:numFmt w:val="none"/>
      <w:lvlText w:val=""/>
      <w:lvlJc w:val="left"/>
      <w:pPr>
        <w:ind w:left="2499" w:hanging="357"/>
      </w:pPr>
      <w:rPr>
        <w:rFonts w:hint="default"/>
      </w:rPr>
    </w:lvl>
    <w:lvl w:ilvl="7">
      <w:start w:val="1"/>
      <w:numFmt w:val="none"/>
      <w:lvlText w:val=""/>
      <w:lvlJc w:val="left"/>
      <w:pPr>
        <w:ind w:left="2856" w:hanging="357"/>
      </w:pPr>
      <w:rPr>
        <w:rFonts w:hint="default"/>
      </w:rPr>
    </w:lvl>
    <w:lvl w:ilvl="8">
      <w:start w:val="1"/>
      <w:numFmt w:val="none"/>
      <w:lvlText w:val=""/>
      <w:lvlJc w:val="left"/>
      <w:pPr>
        <w:ind w:left="3213" w:hanging="357"/>
      </w:pPr>
      <w:rPr>
        <w:rFonts w:hint="default"/>
      </w:rPr>
    </w:lvl>
  </w:abstractNum>
  <w:abstractNum w:abstractNumId="32" w15:restartNumberingAfterBreak="0">
    <w:nsid w:val="532D23B6"/>
    <w:multiLevelType w:val="multilevel"/>
    <w:tmpl w:val="165C0818"/>
    <w:styleLink w:val="lstStyleHeadingNumbered"/>
    <w:lvl w:ilvl="0">
      <w:start w:val="1"/>
      <w:numFmt w:val="decimal"/>
      <w:lvlText w:val="%1"/>
      <w:lvlJc w:val="right"/>
      <w:pPr>
        <w:ind w:left="248" w:hanging="384"/>
      </w:pPr>
      <w:rPr>
        <w:rFonts w:ascii="Yu Gothic Medium" w:eastAsia="Yu Gothic Medium" w:hAnsi="Yu Gothic Medium" w:hint="eastAsia"/>
      </w:rPr>
    </w:lvl>
    <w:lvl w:ilvl="1">
      <w:start w:val="1"/>
      <w:numFmt w:val="decimal"/>
      <w:lvlText w:val="%1.%2"/>
      <w:lvlJc w:val="right"/>
      <w:pPr>
        <w:ind w:left="0" w:hanging="136"/>
      </w:pPr>
      <w:rPr>
        <w:rFonts w:hint="default"/>
      </w:rPr>
    </w:lvl>
    <w:lvl w:ilvl="2">
      <w:start w:val="1"/>
      <w:numFmt w:val="decimal"/>
      <w:lvlText w:val="%1.%2.%3"/>
      <w:lvlJc w:val="left"/>
      <w:pPr>
        <w:ind w:left="320" w:hanging="32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3" w15:restartNumberingAfterBreak="0">
    <w:nsid w:val="535E057B"/>
    <w:multiLevelType w:val="multilevel"/>
    <w:tmpl w:val="165C0818"/>
    <w:styleLink w:val="aaclstStyleHeadingNumbered"/>
    <w:lvl w:ilvl="0">
      <w:start w:val="1"/>
      <w:numFmt w:val="decimal"/>
      <w:lvlText w:val="%1"/>
      <w:lvlJc w:val="right"/>
      <w:pPr>
        <w:ind w:left="248" w:hanging="384"/>
      </w:pPr>
      <w:rPr>
        <w:rFonts w:ascii="Yu Gothic Medium" w:eastAsia="Yu Gothic Medium" w:hAnsi="Yu Gothic Medium" w:hint="eastAsia"/>
      </w:rPr>
    </w:lvl>
    <w:lvl w:ilvl="1">
      <w:start w:val="1"/>
      <w:numFmt w:val="decimal"/>
      <w:lvlText w:val="%1.%2"/>
      <w:lvlJc w:val="right"/>
      <w:pPr>
        <w:ind w:left="0" w:hanging="136"/>
      </w:pPr>
      <w:rPr>
        <w:rFonts w:hint="default"/>
      </w:rPr>
    </w:lvl>
    <w:lvl w:ilvl="2">
      <w:start w:val="1"/>
      <w:numFmt w:val="decimal"/>
      <w:lvlText w:val="%1.%2.%3"/>
      <w:lvlJc w:val="left"/>
      <w:pPr>
        <w:ind w:left="320" w:hanging="320"/>
      </w:pPr>
      <w:rPr>
        <w:rFonts w:hint="default"/>
      </w:rPr>
    </w:lvl>
    <w:lvl w:ilvl="3">
      <w:start w:val="1"/>
      <w:numFmt w:val="none"/>
      <w:lvlRestart w:val="0"/>
      <w:pStyle w:val="Heading4"/>
      <w:lvlText w:val=""/>
      <w:lvlJc w:val="left"/>
      <w:pPr>
        <w:ind w:left="0" w:firstLine="0"/>
      </w:pPr>
      <w:rPr>
        <w:rFonts w:hint="default"/>
      </w:rPr>
    </w:lvl>
    <w:lvl w:ilvl="4">
      <w:start w:val="1"/>
      <w:numFmt w:val="none"/>
      <w:lvlRestart w:val="0"/>
      <w:pStyle w:val="Heading5"/>
      <w:lvlText w:val=""/>
      <w:lvlJc w:val="left"/>
      <w:pPr>
        <w:ind w:left="0" w:firstLine="0"/>
      </w:pPr>
      <w:rPr>
        <w:rFonts w:hint="default"/>
      </w:rPr>
    </w:lvl>
    <w:lvl w:ilvl="5">
      <w:start w:val="1"/>
      <w:numFmt w:val="none"/>
      <w:lvlRestart w:val="0"/>
      <w:pStyle w:val="Heading6"/>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4" w15:restartNumberingAfterBreak="0">
    <w:nsid w:val="579E0D19"/>
    <w:multiLevelType w:val="hybridMultilevel"/>
    <w:tmpl w:val="6F22CBBC"/>
    <w:lvl w:ilvl="0" w:tplc="3E84CD6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8615B56"/>
    <w:multiLevelType w:val="multilevel"/>
    <w:tmpl w:val="5DA053E4"/>
    <w:numStyleLink w:val="aaclstStyleAppendices"/>
  </w:abstractNum>
  <w:abstractNum w:abstractNumId="36" w15:restartNumberingAfterBreak="0">
    <w:nsid w:val="617B756D"/>
    <w:multiLevelType w:val="multilevel"/>
    <w:tmpl w:val="3DD0AEC8"/>
    <w:numStyleLink w:val="aaclstStyleHeadingsES"/>
  </w:abstractNum>
  <w:abstractNum w:abstractNumId="37" w15:restartNumberingAfterBreak="0">
    <w:nsid w:val="642F1928"/>
    <w:multiLevelType w:val="hybridMultilevel"/>
    <w:tmpl w:val="B5F86B04"/>
    <w:lvl w:ilvl="0" w:tplc="0DDCFD34">
      <w:start w:val="1"/>
      <w:numFmt w:val="bullet"/>
      <w:pStyle w:val="QuoteListBullet"/>
      <w:lvlText w:val="–"/>
      <w:lvlJc w:val="left"/>
      <w:pPr>
        <w:ind w:left="360" w:hanging="360"/>
      </w:pPr>
      <w:rPr>
        <w:rFonts w:ascii="Arial Narrow" w:hAnsi="Arial Narrow" w:hint="default"/>
        <w:sz w:val="18"/>
      </w:rPr>
    </w:lvl>
    <w:lvl w:ilvl="1" w:tplc="04090003" w:tentative="1">
      <w:start w:val="1"/>
      <w:numFmt w:val="bullet"/>
      <w:lvlText w:val="o"/>
      <w:lvlJc w:val="left"/>
      <w:pPr>
        <w:ind w:left="1840" w:hanging="360"/>
      </w:pPr>
      <w:rPr>
        <w:rFonts w:ascii="Courier New" w:hAnsi="Courier New" w:cs="Courier New" w:hint="default"/>
      </w:rPr>
    </w:lvl>
    <w:lvl w:ilvl="2" w:tplc="04090005" w:tentative="1">
      <w:start w:val="1"/>
      <w:numFmt w:val="bullet"/>
      <w:lvlText w:val=""/>
      <w:lvlJc w:val="left"/>
      <w:pPr>
        <w:ind w:left="2560" w:hanging="360"/>
      </w:pPr>
      <w:rPr>
        <w:rFonts w:ascii="Wingdings" w:hAnsi="Wingdings" w:hint="default"/>
      </w:rPr>
    </w:lvl>
    <w:lvl w:ilvl="3" w:tplc="04090001" w:tentative="1">
      <w:start w:val="1"/>
      <w:numFmt w:val="bullet"/>
      <w:lvlText w:val=""/>
      <w:lvlJc w:val="left"/>
      <w:pPr>
        <w:ind w:left="3280" w:hanging="360"/>
      </w:pPr>
      <w:rPr>
        <w:rFonts w:ascii="Symbol" w:hAnsi="Symbol" w:hint="default"/>
      </w:rPr>
    </w:lvl>
    <w:lvl w:ilvl="4" w:tplc="04090003" w:tentative="1">
      <w:start w:val="1"/>
      <w:numFmt w:val="bullet"/>
      <w:lvlText w:val="o"/>
      <w:lvlJc w:val="left"/>
      <w:pPr>
        <w:ind w:left="4000" w:hanging="360"/>
      </w:pPr>
      <w:rPr>
        <w:rFonts w:ascii="Courier New" w:hAnsi="Courier New" w:cs="Courier New" w:hint="default"/>
      </w:rPr>
    </w:lvl>
    <w:lvl w:ilvl="5" w:tplc="04090005" w:tentative="1">
      <w:start w:val="1"/>
      <w:numFmt w:val="bullet"/>
      <w:lvlText w:val=""/>
      <w:lvlJc w:val="left"/>
      <w:pPr>
        <w:ind w:left="4720" w:hanging="360"/>
      </w:pPr>
      <w:rPr>
        <w:rFonts w:ascii="Wingdings" w:hAnsi="Wingdings" w:hint="default"/>
      </w:rPr>
    </w:lvl>
    <w:lvl w:ilvl="6" w:tplc="04090001" w:tentative="1">
      <w:start w:val="1"/>
      <w:numFmt w:val="bullet"/>
      <w:lvlText w:val=""/>
      <w:lvlJc w:val="left"/>
      <w:pPr>
        <w:ind w:left="5440" w:hanging="360"/>
      </w:pPr>
      <w:rPr>
        <w:rFonts w:ascii="Symbol" w:hAnsi="Symbol" w:hint="default"/>
      </w:rPr>
    </w:lvl>
    <w:lvl w:ilvl="7" w:tplc="04090003" w:tentative="1">
      <w:start w:val="1"/>
      <w:numFmt w:val="bullet"/>
      <w:lvlText w:val="o"/>
      <w:lvlJc w:val="left"/>
      <w:pPr>
        <w:ind w:left="6160" w:hanging="360"/>
      </w:pPr>
      <w:rPr>
        <w:rFonts w:ascii="Courier New" w:hAnsi="Courier New" w:cs="Courier New" w:hint="default"/>
      </w:rPr>
    </w:lvl>
    <w:lvl w:ilvl="8" w:tplc="04090005" w:tentative="1">
      <w:start w:val="1"/>
      <w:numFmt w:val="bullet"/>
      <w:lvlText w:val=""/>
      <w:lvlJc w:val="left"/>
      <w:pPr>
        <w:ind w:left="6880" w:hanging="360"/>
      </w:pPr>
      <w:rPr>
        <w:rFonts w:ascii="Wingdings" w:hAnsi="Wingdings" w:hint="default"/>
      </w:rPr>
    </w:lvl>
  </w:abstractNum>
  <w:abstractNum w:abstractNumId="38" w15:restartNumberingAfterBreak="0">
    <w:nsid w:val="699F57EA"/>
    <w:multiLevelType w:val="multilevel"/>
    <w:tmpl w:val="CE66BE7A"/>
    <w:numStyleLink w:val="aaclstStyleListNumber"/>
  </w:abstractNum>
  <w:abstractNum w:abstractNumId="39" w15:restartNumberingAfterBreak="0">
    <w:nsid w:val="71616BC5"/>
    <w:multiLevelType w:val="multilevel"/>
    <w:tmpl w:val="6248E440"/>
    <w:numStyleLink w:val="TOCList"/>
  </w:abstractNum>
  <w:abstractNum w:abstractNumId="40" w15:restartNumberingAfterBreak="0">
    <w:nsid w:val="7AF83F35"/>
    <w:multiLevelType w:val="hybridMultilevel"/>
    <w:tmpl w:val="266ED1B2"/>
    <w:lvl w:ilvl="0" w:tplc="3ADC6B90">
      <w:start w:val="1"/>
      <w:numFmt w:val="bullet"/>
      <w:pStyle w:val="TableQuoteBulletsmall"/>
      <w:lvlText w:val="–"/>
      <w:lvlJc w:val="left"/>
      <w:pPr>
        <w:ind w:left="720" w:hanging="360"/>
      </w:pPr>
      <w:rPr>
        <w:rFonts w:ascii="Arial Narrow" w:hAnsi="Arial Narrow"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D307705"/>
    <w:multiLevelType w:val="multilevel"/>
    <w:tmpl w:val="6248E440"/>
    <w:numStyleLink w:val="TOCList"/>
  </w:abstractNum>
  <w:num w:numId="1">
    <w:abstractNumId w:val="3"/>
  </w:num>
  <w:num w:numId="2">
    <w:abstractNumId w:val="2"/>
  </w:num>
  <w:num w:numId="3">
    <w:abstractNumId w:val="1"/>
  </w:num>
  <w:num w:numId="4">
    <w:abstractNumId w:val="0"/>
  </w:num>
  <w:num w:numId="5">
    <w:abstractNumId w:val="29"/>
  </w:num>
  <w:num w:numId="6">
    <w:abstractNumId w:val="31"/>
  </w:num>
  <w:num w:numId="7">
    <w:abstractNumId w:val="33"/>
  </w:num>
  <w:num w:numId="8">
    <w:abstractNumId w:val="38"/>
  </w:num>
  <w:num w:numId="9">
    <w:abstractNumId w:val="28"/>
  </w:num>
  <w:num w:numId="10">
    <w:abstractNumId w:val="19"/>
  </w:num>
  <w:num w:numId="11">
    <w:abstractNumId w:val="4"/>
  </w:num>
  <w:num w:numId="12">
    <w:abstractNumId w:val="20"/>
  </w:num>
  <w:num w:numId="13">
    <w:abstractNumId w:val="18"/>
  </w:num>
  <w:num w:numId="14">
    <w:abstractNumId w:val="32"/>
  </w:num>
  <w:num w:numId="15">
    <w:abstractNumId w:val="22"/>
  </w:num>
  <w:num w:numId="16">
    <w:abstractNumId w:val="6"/>
  </w:num>
  <w:num w:numId="17">
    <w:abstractNumId w:val="26"/>
  </w:num>
  <w:num w:numId="18">
    <w:abstractNumId w:val="25"/>
  </w:num>
  <w:num w:numId="19">
    <w:abstractNumId w:val="7"/>
  </w:num>
  <w:num w:numId="20">
    <w:abstractNumId w:val="17"/>
  </w:num>
  <w:num w:numId="21">
    <w:abstractNumId w:val="8"/>
  </w:num>
  <w:num w:numId="22">
    <w:abstractNumId w:val="16"/>
  </w:num>
  <w:num w:numId="23">
    <w:abstractNumId w:val="24"/>
  </w:num>
  <w:num w:numId="24">
    <w:abstractNumId w:val="17"/>
  </w:num>
  <w:num w:numId="25">
    <w:abstractNumId w:val="8"/>
  </w:num>
  <w:num w:numId="26">
    <w:abstractNumId w:val="13"/>
  </w:num>
  <w:num w:numId="27">
    <w:abstractNumId w:val="21"/>
  </w:num>
  <w:num w:numId="28">
    <w:abstractNumId w:val="30"/>
  </w:num>
  <w:num w:numId="29">
    <w:abstractNumId w:val="27"/>
  </w:num>
  <w:num w:numId="30">
    <w:abstractNumId w:val="5"/>
  </w:num>
  <w:num w:numId="31">
    <w:abstractNumId w:val="11"/>
  </w:num>
  <w:num w:numId="32">
    <w:abstractNumId w:val="14"/>
  </w:num>
  <w:num w:numId="33">
    <w:abstractNumId w:val="9"/>
  </w:num>
  <w:num w:numId="34">
    <w:abstractNumId w:val="36"/>
  </w:num>
  <w:num w:numId="35">
    <w:abstractNumId w:val="39"/>
  </w:num>
  <w:num w:numId="36">
    <w:abstractNumId w:val="35"/>
  </w:num>
  <w:num w:numId="37">
    <w:abstractNumId w:val="37"/>
  </w:num>
  <w:num w:numId="38">
    <w:abstractNumId w:val="12"/>
  </w:num>
  <w:num w:numId="39">
    <w:abstractNumId w:val="40"/>
  </w:num>
  <w:num w:numId="40">
    <w:abstractNumId w:val="10"/>
  </w:num>
  <w:num w:numId="41">
    <w:abstractNumId w:val="41"/>
  </w:num>
  <w:num w:numId="42">
    <w:abstractNumId w:val="15"/>
  </w:num>
  <w:num w:numId="43">
    <w:abstractNumId w:val="23"/>
  </w:num>
  <w:num w:numId="44">
    <w:abstractNumId w:val="34"/>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styleLockThem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0CEC"/>
    <w:rsid w:val="0000509F"/>
    <w:rsid w:val="00007B50"/>
    <w:rsid w:val="00011422"/>
    <w:rsid w:val="00016C81"/>
    <w:rsid w:val="00026FF3"/>
    <w:rsid w:val="0002750A"/>
    <w:rsid w:val="0003519A"/>
    <w:rsid w:val="0003684E"/>
    <w:rsid w:val="000513C3"/>
    <w:rsid w:val="000533EA"/>
    <w:rsid w:val="00056073"/>
    <w:rsid w:val="00057123"/>
    <w:rsid w:val="00057ACE"/>
    <w:rsid w:val="0006570B"/>
    <w:rsid w:val="000678C9"/>
    <w:rsid w:val="000725BB"/>
    <w:rsid w:val="0007769F"/>
    <w:rsid w:val="0008146F"/>
    <w:rsid w:val="00083DCC"/>
    <w:rsid w:val="00086941"/>
    <w:rsid w:val="00090794"/>
    <w:rsid w:val="00090EC6"/>
    <w:rsid w:val="00092765"/>
    <w:rsid w:val="000A0BF5"/>
    <w:rsid w:val="000A418F"/>
    <w:rsid w:val="000B1D10"/>
    <w:rsid w:val="000B28FA"/>
    <w:rsid w:val="000B69FB"/>
    <w:rsid w:val="000B78D6"/>
    <w:rsid w:val="000C01F5"/>
    <w:rsid w:val="000C2110"/>
    <w:rsid w:val="000C4552"/>
    <w:rsid w:val="000C54ED"/>
    <w:rsid w:val="000C738A"/>
    <w:rsid w:val="000D72DC"/>
    <w:rsid w:val="000D7C57"/>
    <w:rsid w:val="000E3457"/>
    <w:rsid w:val="000F1440"/>
    <w:rsid w:val="000F329B"/>
    <w:rsid w:val="000F442C"/>
    <w:rsid w:val="000F76C4"/>
    <w:rsid w:val="00101C97"/>
    <w:rsid w:val="00102134"/>
    <w:rsid w:val="00104155"/>
    <w:rsid w:val="00104E6D"/>
    <w:rsid w:val="0010530F"/>
    <w:rsid w:val="001053EB"/>
    <w:rsid w:val="00113196"/>
    <w:rsid w:val="00115B96"/>
    <w:rsid w:val="001204F8"/>
    <w:rsid w:val="00123050"/>
    <w:rsid w:val="00125CCD"/>
    <w:rsid w:val="00131173"/>
    <w:rsid w:val="001315FA"/>
    <w:rsid w:val="00134A32"/>
    <w:rsid w:val="001411AA"/>
    <w:rsid w:val="00142A1D"/>
    <w:rsid w:val="00142AB2"/>
    <w:rsid w:val="001469A3"/>
    <w:rsid w:val="001602ED"/>
    <w:rsid w:val="0016324A"/>
    <w:rsid w:val="0017129B"/>
    <w:rsid w:val="001729C4"/>
    <w:rsid w:val="00177AE3"/>
    <w:rsid w:val="0018164E"/>
    <w:rsid w:val="0018475E"/>
    <w:rsid w:val="00184EED"/>
    <w:rsid w:val="00187731"/>
    <w:rsid w:val="001917BC"/>
    <w:rsid w:val="001925C9"/>
    <w:rsid w:val="00192DFE"/>
    <w:rsid w:val="00192F7B"/>
    <w:rsid w:val="001A7C56"/>
    <w:rsid w:val="001B2A35"/>
    <w:rsid w:val="001B3E5E"/>
    <w:rsid w:val="001C1768"/>
    <w:rsid w:val="001C3FD6"/>
    <w:rsid w:val="001C7390"/>
    <w:rsid w:val="001D2CFD"/>
    <w:rsid w:val="001D42B2"/>
    <w:rsid w:val="001E0225"/>
    <w:rsid w:val="001E3128"/>
    <w:rsid w:val="001E36CF"/>
    <w:rsid w:val="001E6182"/>
    <w:rsid w:val="001E6797"/>
    <w:rsid w:val="001F0ABC"/>
    <w:rsid w:val="001F0C71"/>
    <w:rsid w:val="001F15E7"/>
    <w:rsid w:val="001F1E7C"/>
    <w:rsid w:val="001F3B0D"/>
    <w:rsid w:val="001F51A7"/>
    <w:rsid w:val="001F6F1F"/>
    <w:rsid w:val="001F76B7"/>
    <w:rsid w:val="0020185D"/>
    <w:rsid w:val="00207ACF"/>
    <w:rsid w:val="00207CBE"/>
    <w:rsid w:val="00211275"/>
    <w:rsid w:val="00211F42"/>
    <w:rsid w:val="0021356A"/>
    <w:rsid w:val="00221E70"/>
    <w:rsid w:val="002239B5"/>
    <w:rsid w:val="00224238"/>
    <w:rsid w:val="002256B2"/>
    <w:rsid w:val="00225EF2"/>
    <w:rsid w:val="00226F11"/>
    <w:rsid w:val="002302E7"/>
    <w:rsid w:val="0023326E"/>
    <w:rsid w:val="00237BA9"/>
    <w:rsid w:val="00245E41"/>
    <w:rsid w:val="00247720"/>
    <w:rsid w:val="00252F79"/>
    <w:rsid w:val="00254C9E"/>
    <w:rsid w:val="002560EB"/>
    <w:rsid w:val="00261787"/>
    <w:rsid w:val="00264937"/>
    <w:rsid w:val="0026510A"/>
    <w:rsid w:val="002831A8"/>
    <w:rsid w:val="00284D72"/>
    <w:rsid w:val="00292D62"/>
    <w:rsid w:val="002943DA"/>
    <w:rsid w:val="00296BE7"/>
    <w:rsid w:val="00297B3F"/>
    <w:rsid w:val="002A06E8"/>
    <w:rsid w:val="002A17E0"/>
    <w:rsid w:val="002A6939"/>
    <w:rsid w:val="002A6B44"/>
    <w:rsid w:val="002B2430"/>
    <w:rsid w:val="002C3576"/>
    <w:rsid w:val="002D28C6"/>
    <w:rsid w:val="002D2C75"/>
    <w:rsid w:val="002D3143"/>
    <w:rsid w:val="002D3E92"/>
    <w:rsid w:val="002D4AEE"/>
    <w:rsid w:val="002D7D78"/>
    <w:rsid w:val="002E438E"/>
    <w:rsid w:val="002E6040"/>
    <w:rsid w:val="002F03DD"/>
    <w:rsid w:val="002F0621"/>
    <w:rsid w:val="002F4A93"/>
    <w:rsid w:val="00300F6F"/>
    <w:rsid w:val="00303C43"/>
    <w:rsid w:val="003044D5"/>
    <w:rsid w:val="003052F5"/>
    <w:rsid w:val="003071A2"/>
    <w:rsid w:val="003106B8"/>
    <w:rsid w:val="00315CD5"/>
    <w:rsid w:val="003239D9"/>
    <w:rsid w:val="00330EB2"/>
    <w:rsid w:val="0033313A"/>
    <w:rsid w:val="00336AEE"/>
    <w:rsid w:val="00341017"/>
    <w:rsid w:val="00343202"/>
    <w:rsid w:val="0034571B"/>
    <w:rsid w:val="003571A7"/>
    <w:rsid w:val="003574F0"/>
    <w:rsid w:val="00360A6B"/>
    <w:rsid w:val="00361875"/>
    <w:rsid w:val="003649DE"/>
    <w:rsid w:val="0036550F"/>
    <w:rsid w:val="00370008"/>
    <w:rsid w:val="00373EAF"/>
    <w:rsid w:val="00376FD1"/>
    <w:rsid w:val="00386543"/>
    <w:rsid w:val="00387403"/>
    <w:rsid w:val="00387682"/>
    <w:rsid w:val="00393F90"/>
    <w:rsid w:val="003973CF"/>
    <w:rsid w:val="003A2EE4"/>
    <w:rsid w:val="003B2547"/>
    <w:rsid w:val="003C17D0"/>
    <w:rsid w:val="003D1458"/>
    <w:rsid w:val="003D2CF2"/>
    <w:rsid w:val="003D3513"/>
    <w:rsid w:val="003D3D41"/>
    <w:rsid w:val="003D4E67"/>
    <w:rsid w:val="003D7343"/>
    <w:rsid w:val="003E043C"/>
    <w:rsid w:val="003E0D2C"/>
    <w:rsid w:val="003E31C1"/>
    <w:rsid w:val="003E4B1E"/>
    <w:rsid w:val="003F6966"/>
    <w:rsid w:val="003F70C7"/>
    <w:rsid w:val="004051FB"/>
    <w:rsid w:val="0040609B"/>
    <w:rsid w:val="0040647E"/>
    <w:rsid w:val="00407B29"/>
    <w:rsid w:val="004110B6"/>
    <w:rsid w:val="00414A96"/>
    <w:rsid w:val="0041744A"/>
    <w:rsid w:val="0041760A"/>
    <w:rsid w:val="00420C69"/>
    <w:rsid w:val="00427B73"/>
    <w:rsid w:val="00433007"/>
    <w:rsid w:val="004341CB"/>
    <w:rsid w:val="00440EBB"/>
    <w:rsid w:val="00440F7A"/>
    <w:rsid w:val="00445229"/>
    <w:rsid w:val="00451623"/>
    <w:rsid w:val="004550C0"/>
    <w:rsid w:val="004552DF"/>
    <w:rsid w:val="0045699C"/>
    <w:rsid w:val="004625F2"/>
    <w:rsid w:val="004653A9"/>
    <w:rsid w:val="004666AB"/>
    <w:rsid w:val="004705CB"/>
    <w:rsid w:val="004767E9"/>
    <w:rsid w:val="004818CD"/>
    <w:rsid w:val="004834FE"/>
    <w:rsid w:val="00483BA8"/>
    <w:rsid w:val="0048517A"/>
    <w:rsid w:val="00485B22"/>
    <w:rsid w:val="00492254"/>
    <w:rsid w:val="004924E8"/>
    <w:rsid w:val="0049773B"/>
    <w:rsid w:val="004A5A83"/>
    <w:rsid w:val="004A6CB3"/>
    <w:rsid w:val="004A7506"/>
    <w:rsid w:val="004A7922"/>
    <w:rsid w:val="004B3B84"/>
    <w:rsid w:val="004B3C03"/>
    <w:rsid w:val="004B495D"/>
    <w:rsid w:val="004B7DED"/>
    <w:rsid w:val="004C0FC3"/>
    <w:rsid w:val="004C10F0"/>
    <w:rsid w:val="004D0CF2"/>
    <w:rsid w:val="004D2F87"/>
    <w:rsid w:val="004D45F1"/>
    <w:rsid w:val="004D4C94"/>
    <w:rsid w:val="004D56ED"/>
    <w:rsid w:val="004D6322"/>
    <w:rsid w:val="004E141F"/>
    <w:rsid w:val="004E192A"/>
    <w:rsid w:val="004E2042"/>
    <w:rsid w:val="004E479D"/>
    <w:rsid w:val="004F5137"/>
    <w:rsid w:val="004F621C"/>
    <w:rsid w:val="00501964"/>
    <w:rsid w:val="00501F07"/>
    <w:rsid w:val="00512A40"/>
    <w:rsid w:val="0052525A"/>
    <w:rsid w:val="00525571"/>
    <w:rsid w:val="005255AB"/>
    <w:rsid w:val="00531F6B"/>
    <w:rsid w:val="00533E1D"/>
    <w:rsid w:val="00544C25"/>
    <w:rsid w:val="00547CE8"/>
    <w:rsid w:val="005541BB"/>
    <w:rsid w:val="00557FA4"/>
    <w:rsid w:val="00560005"/>
    <w:rsid w:val="005621C5"/>
    <w:rsid w:val="00565797"/>
    <w:rsid w:val="00565C42"/>
    <w:rsid w:val="00567A7A"/>
    <w:rsid w:val="00582F7A"/>
    <w:rsid w:val="00590449"/>
    <w:rsid w:val="00590F1C"/>
    <w:rsid w:val="0059608F"/>
    <w:rsid w:val="005A0654"/>
    <w:rsid w:val="005A1EF8"/>
    <w:rsid w:val="005A2AC1"/>
    <w:rsid w:val="005A30E5"/>
    <w:rsid w:val="005A335C"/>
    <w:rsid w:val="005A5F44"/>
    <w:rsid w:val="005B0EEA"/>
    <w:rsid w:val="005D3013"/>
    <w:rsid w:val="005D7123"/>
    <w:rsid w:val="005D7B47"/>
    <w:rsid w:val="005E3A86"/>
    <w:rsid w:val="005F0718"/>
    <w:rsid w:val="005F1E5D"/>
    <w:rsid w:val="005F352F"/>
    <w:rsid w:val="005F43D4"/>
    <w:rsid w:val="005F5F8D"/>
    <w:rsid w:val="005F644B"/>
    <w:rsid w:val="006027B3"/>
    <w:rsid w:val="00606AB8"/>
    <w:rsid w:val="006114E8"/>
    <w:rsid w:val="00611F94"/>
    <w:rsid w:val="006122A0"/>
    <w:rsid w:val="006129C9"/>
    <w:rsid w:val="0061765C"/>
    <w:rsid w:val="00624EEC"/>
    <w:rsid w:val="00635E40"/>
    <w:rsid w:val="00637675"/>
    <w:rsid w:val="00640C76"/>
    <w:rsid w:val="00646EE8"/>
    <w:rsid w:val="00650FE7"/>
    <w:rsid w:val="0065212D"/>
    <w:rsid w:val="006543FA"/>
    <w:rsid w:val="0065479E"/>
    <w:rsid w:val="00654E02"/>
    <w:rsid w:val="00655A77"/>
    <w:rsid w:val="0065744E"/>
    <w:rsid w:val="00660CD3"/>
    <w:rsid w:val="0066179C"/>
    <w:rsid w:val="006621BE"/>
    <w:rsid w:val="006627E0"/>
    <w:rsid w:val="006629A7"/>
    <w:rsid w:val="00663879"/>
    <w:rsid w:val="00672462"/>
    <w:rsid w:val="00685950"/>
    <w:rsid w:val="006932C6"/>
    <w:rsid w:val="00695772"/>
    <w:rsid w:val="00695E8A"/>
    <w:rsid w:val="006A0747"/>
    <w:rsid w:val="006A20FC"/>
    <w:rsid w:val="006A2956"/>
    <w:rsid w:val="006A2C9A"/>
    <w:rsid w:val="006A7790"/>
    <w:rsid w:val="006B2855"/>
    <w:rsid w:val="006C321C"/>
    <w:rsid w:val="006C61B9"/>
    <w:rsid w:val="006D0FC8"/>
    <w:rsid w:val="006D6DD6"/>
    <w:rsid w:val="006E3595"/>
    <w:rsid w:val="006E3DF5"/>
    <w:rsid w:val="006E428D"/>
    <w:rsid w:val="006E74EB"/>
    <w:rsid w:val="006F12BF"/>
    <w:rsid w:val="006F183F"/>
    <w:rsid w:val="006F2B22"/>
    <w:rsid w:val="006F469E"/>
    <w:rsid w:val="006F674F"/>
    <w:rsid w:val="007005D1"/>
    <w:rsid w:val="00703F38"/>
    <w:rsid w:val="00705F23"/>
    <w:rsid w:val="0071111E"/>
    <w:rsid w:val="0071163C"/>
    <w:rsid w:val="00715973"/>
    <w:rsid w:val="00717C21"/>
    <w:rsid w:val="0072373A"/>
    <w:rsid w:val="007258DF"/>
    <w:rsid w:val="00734DF9"/>
    <w:rsid w:val="00736FF3"/>
    <w:rsid w:val="00740413"/>
    <w:rsid w:val="00740769"/>
    <w:rsid w:val="00740CEC"/>
    <w:rsid w:val="00741A7B"/>
    <w:rsid w:val="00750D3D"/>
    <w:rsid w:val="00751E4C"/>
    <w:rsid w:val="00752C9A"/>
    <w:rsid w:val="00753DD7"/>
    <w:rsid w:val="00754921"/>
    <w:rsid w:val="00764A9D"/>
    <w:rsid w:val="007737DD"/>
    <w:rsid w:val="00774632"/>
    <w:rsid w:val="007773C0"/>
    <w:rsid w:val="00777F85"/>
    <w:rsid w:val="0078105D"/>
    <w:rsid w:val="00781203"/>
    <w:rsid w:val="00781304"/>
    <w:rsid w:val="00781D4B"/>
    <w:rsid w:val="00782356"/>
    <w:rsid w:val="007855C9"/>
    <w:rsid w:val="0078683F"/>
    <w:rsid w:val="00786D98"/>
    <w:rsid w:val="007938D9"/>
    <w:rsid w:val="00794260"/>
    <w:rsid w:val="00796067"/>
    <w:rsid w:val="007976C4"/>
    <w:rsid w:val="007A1923"/>
    <w:rsid w:val="007A6953"/>
    <w:rsid w:val="007A77EC"/>
    <w:rsid w:val="007B4B86"/>
    <w:rsid w:val="007C194E"/>
    <w:rsid w:val="007C295B"/>
    <w:rsid w:val="007C3BC7"/>
    <w:rsid w:val="007D14F9"/>
    <w:rsid w:val="007D2ED0"/>
    <w:rsid w:val="007D3028"/>
    <w:rsid w:val="007D69DF"/>
    <w:rsid w:val="007E23A9"/>
    <w:rsid w:val="007E495B"/>
    <w:rsid w:val="007E78E4"/>
    <w:rsid w:val="007F0A2C"/>
    <w:rsid w:val="007F11CD"/>
    <w:rsid w:val="007F14CF"/>
    <w:rsid w:val="007F14E3"/>
    <w:rsid w:val="007F1E9E"/>
    <w:rsid w:val="007F2070"/>
    <w:rsid w:val="007F2383"/>
    <w:rsid w:val="0080188E"/>
    <w:rsid w:val="00802CE0"/>
    <w:rsid w:val="008033B0"/>
    <w:rsid w:val="0080440A"/>
    <w:rsid w:val="00806FEC"/>
    <w:rsid w:val="008134C9"/>
    <w:rsid w:val="00825F33"/>
    <w:rsid w:val="008272B3"/>
    <w:rsid w:val="0083073C"/>
    <w:rsid w:val="00834951"/>
    <w:rsid w:val="008442FD"/>
    <w:rsid w:val="00844576"/>
    <w:rsid w:val="00844703"/>
    <w:rsid w:val="00851066"/>
    <w:rsid w:val="00852A5B"/>
    <w:rsid w:val="00855641"/>
    <w:rsid w:val="00855CB2"/>
    <w:rsid w:val="00856DDF"/>
    <w:rsid w:val="00862A77"/>
    <w:rsid w:val="008631C5"/>
    <w:rsid w:val="00874649"/>
    <w:rsid w:val="00876DC7"/>
    <w:rsid w:val="00880724"/>
    <w:rsid w:val="00880C62"/>
    <w:rsid w:val="008814C1"/>
    <w:rsid w:val="00886BC5"/>
    <w:rsid w:val="0089270E"/>
    <w:rsid w:val="008954F4"/>
    <w:rsid w:val="008A0570"/>
    <w:rsid w:val="008A080B"/>
    <w:rsid w:val="008A3AF6"/>
    <w:rsid w:val="008A4426"/>
    <w:rsid w:val="008A4BEE"/>
    <w:rsid w:val="008A4E8C"/>
    <w:rsid w:val="008C3954"/>
    <w:rsid w:val="008E405F"/>
    <w:rsid w:val="008F4AE5"/>
    <w:rsid w:val="009017D7"/>
    <w:rsid w:val="009076D6"/>
    <w:rsid w:val="00907FF8"/>
    <w:rsid w:val="0091153A"/>
    <w:rsid w:val="00912BBD"/>
    <w:rsid w:val="00915EEF"/>
    <w:rsid w:val="00923427"/>
    <w:rsid w:val="009274CD"/>
    <w:rsid w:val="00932592"/>
    <w:rsid w:val="0093351A"/>
    <w:rsid w:val="00934DCA"/>
    <w:rsid w:val="0093598C"/>
    <w:rsid w:val="00935C9F"/>
    <w:rsid w:val="00936736"/>
    <w:rsid w:val="009379AD"/>
    <w:rsid w:val="00943755"/>
    <w:rsid w:val="00943965"/>
    <w:rsid w:val="00945B36"/>
    <w:rsid w:val="00945D33"/>
    <w:rsid w:val="00946BB3"/>
    <w:rsid w:val="009505F9"/>
    <w:rsid w:val="009511F9"/>
    <w:rsid w:val="0095199A"/>
    <w:rsid w:val="00951A8F"/>
    <w:rsid w:val="00952566"/>
    <w:rsid w:val="0096040A"/>
    <w:rsid w:val="009637A8"/>
    <w:rsid w:val="00963D07"/>
    <w:rsid w:val="009723D3"/>
    <w:rsid w:val="00973746"/>
    <w:rsid w:val="009767CC"/>
    <w:rsid w:val="0098439A"/>
    <w:rsid w:val="00994F17"/>
    <w:rsid w:val="009971AF"/>
    <w:rsid w:val="009A10C1"/>
    <w:rsid w:val="009A3405"/>
    <w:rsid w:val="009A52E2"/>
    <w:rsid w:val="009A6956"/>
    <w:rsid w:val="009A7921"/>
    <w:rsid w:val="009A7E6B"/>
    <w:rsid w:val="009A7F41"/>
    <w:rsid w:val="009B1C6D"/>
    <w:rsid w:val="009B529C"/>
    <w:rsid w:val="009B58A6"/>
    <w:rsid w:val="009B6ED4"/>
    <w:rsid w:val="009C1009"/>
    <w:rsid w:val="009C4473"/>
    <w:rsid w:val="009C492E"/>
    <w:rsid w:val="009C50AB"/>
    <w:rsid w:val="009C70A7"/>
    <w:rsid w:val="009D141A"/>
    <w:rsid w:val="009D5500"/>
    <w:rsid w:val="009E117A"/>
    <w:rsid w:val="009E3722"/>
    <w:rsid w:val="009E752A"/>
    <w:rsid w:val="009F056B"/>
    <w:rsid w:val="009F0589"/>
    <w:rsid w:val="009F2FDB"/>
    <w:rsid w:val="009F5298"/>
    <w:rsid w:val="00A0044F"/>
    <w:rsid w:val="00A07037"/>
    <w:rsid w:val="00A128A4"/>
    <w:rsid w:val="00A168F3"/>
    <w:rsid w:val="00A17029"/>
    <w:rsid w:val="00A177C2"/>
    <w:rsid w:val="00A17CE4"/>
    <w:rsid w:val="00A23A22"/>
    <w:rsid w:val="00A249AC"/>
    <w:rsid w:val="00A24D9C"/>
    <w:rsid w:val="00A27972"/>
    <w:rsid w:val="00A27AFA"/>
    <w:rsid w:val="00A30807"/>
    <w:rsid w:val="00A3392A"/>
    <w:rsid w:val="00A3597E"/>
    <w:rsid w:val="00A401BD"/>
    <w:rsid w:val="00A434C1"/>
    <w:rsid w:val="00A44D76"/>
    <w:rsid w:val="00A53217"/>
    <w:rsid w:val="00A532FF"/>
    <w:rsid w:val="00A53CC7"/>
    <w:rsid w:val="00A631E8"/>
    <w:rsid w:val="00A667F4"/>
    <w:rsid w:val="00A66E63"/>
    <w:rsid w:val="00A67235"/>
    <w:rsid w:val="00A67C8D"/>
    <w:rsid w:val="00A729FF"/>
    <w:rsid w:val="00A73E42"/>
    <w:rsid w:val="00A818D5"/>
    <w:rsid w:val="00A820FA"/>
    <w:rsid w:val="00A83B42"/>
    <w:rsid w:val="00A83FC7"/>
    <w:rsid w:val="00A847FA"/>
    <w:rsid w:val="00A85EB6"/>
    <w:rsid w:val="00A86812"/>
    <w:rsid w:val="00A9106C"/>
    <w:rsid w:val="00A9260E"/>
    <w:rsid w:val="00A9472E"/>
    <w:rsid w:val="00A9540B"/>
    <w:rsid w:val="00A95E46"/>
    <w:rsid w:val="00A96EDA"/>
    <w:rsid w:val="00A974C8"/>
    <w:rsid w:val="00A97DB8"/>
    <w:rsid w:val="00AA3930"/>
    <w:rsid w:val="00AA44D8"/>
    <w:rsid w:val="00AA5C65"/>
    <w:rsid w:val="00AB0518"/>
    <w:rsid w:val="00AC3D44"/>
    <w:rsid w:val="00AC700F"/>
    <w:rsid w:val="00AD0775"/>
    <w:rsid w:val="00AD0C70"/>
    <w:rsid w:val="00AD1251"/>
    <w:rsid w:val="00AD1794"/>
    <w:rsid w:val="00AE0AC0"/>
    <w:rsid w:val="00AE1285"/>
    <w:rsid w:val="00AE3F4D"/>
    <w:rsid w:val="00AE5772"/>
    <w:rsid w:val="00AE6C68"/>
    <w:rsid w:val="00AE6EE0"/>
    <w:rsid w:val="00AE7C9E"/>
    <w:rsid w:val="00AF196E"/>
    <w:rsid w:val="00AF20A9"/>
    <w:rsid w:val="00AF3C4F"/>
    <w:rsid w:val="00AF6175"/>
    <w:rsid w:val="00AF6884"/>
    <w:rsid w:val="00AF701A"/>
    <w:rsid w:val="00AF75C7"/>
    <w:rsid w:val="00AF788D"/>
    <w:rsid w:val="00B01514"/>
    <w:rsid w:val="00B055CA"/>
    <w:rsid w:val="00B06AA0"/>
    <w:rsid w:val="00B167DE"/>
    <w:rsid w:val="00B302AC"/>
    <w:rsid w:val="00B353EA"/>
    <w:rsid w:val="00B4010F"/>
    <w:rsid w:val="00B441BC"/>
    <w:rsid w:val="00B44A58"/>
    <w:rsid w:val="00B44DDB"/>
    <w:rsid w:val="00B44F6B"/>
    <w:rsid w:val="00B470A1"/>
    <w:rsid w:val="00B47A8A"/>
    <w:rsid w:val="00B5047E"/>
    <w:rsid w:val="00B50EBB"/>
    <w:rsid w:val="00B55501"/>
    <w:rsid w:val="00B5554F"/>
    <w:rsid w:val="00B55552"/>
    <w:rsid w:val="00B61412"/>
    <w:rsid w:val="00B649EB"/>
    <w:rsid w:val="00B652C3"/>
    <w:rsid w:val="00B65B60"/>
    <w:rsid w:val="00B75D86"/>
    <w:rsid w:val="00B80191"/>
    <w:rsid w:val="00B82E6B"/>
    <w:rsid w:val="00B85A50"/>
    <w:rsid w:val="00B87648"/>
    <w:rsid w:val="00B9126B"/>
    <w:rsid w:val="00B9265D"/>
    <w:rsid w:val="00BA219F"/>
    <w:rsid w:val="00BA4EE1"/>
    <w:rsid w:val="00BB206D"/>
    <w:rsid w:val="00BB4FCF"/>
    <w:rsid w:val="00BB5B16"/>
    <w:rsid w:val="00BB73D3"/>
    <w:rsid w:val="00BC02A5"/>
    <w:rsid w:val="00BC3457"/>
    <w:rsid w:val="00BC46FF"/>
    <w:rsid w:val="00BC4F41"/>
    <w:rsid w:val="00BD0792"/>
    <w:rsid w:val="00BD70A3"/>
    <w:rsid w:val="00BE307E"/>
    <w:rsid w:val="00BE60AA"/>
    <w:rsid w:val="00BE62A8"/>
    <w:rsid w:val="00BF1F62"/>
    <w:rsid w:val="00BF7482"/>
    <w:rsid w:val="00C023DC"/>
    <w:rsid w:val="00C0258E"/>
    <w:rsid w:val="00C03888"/>
    <w:rsid w:val="00C04AD3"/>
    <w:rsid w:val="00C04E79"/>
    <w:rsid w:val="00C0529E"/>
    <w:rsid w:val="00C06465"/>
    <w:rsid w:val="00C10C69"/>
    <w:rsid w:val="00C11EE3"/>
    <w:rsid w:val="00C13277"/>
    <w:rsid w:val="00C14CAB"/>
    <w:rsid w:val="00C20234"/>
    <w:rsid w:val="00C2305B"/>
    <w:rsid w:val="00C27FE0"/>
    <w:rsid w:val="00C31051"/>
    <w:rsid w:val="00C36D8D"/>
    <w:rsid w:val="00C37930"/>
    <w:rsid w:val="00C410BA"/>
    <w:rsid w:val="00C43861"/>
    <w:rsid w:val="00C460EA"/>
    <w:rsid w:val="00C46753"/>
    <w:rsid w:val="00C50FD7"/>
    <w:rsid w:val="00C52D82"/>
    <w:rsid w:val="00C62B89"/>
    <w:rsid w:val="00C6561E"/>
    <w:rsid w:val="00C66C02"/>
    <w:rsid w:val="00C6731C"/>
    <w:rsid w:val="00C7645E"/>
    <w:rsid w:val="00C7747F"/>
    <w:rsid w:val="00C77AD4"/>
    <w:rsid w:val="00C77BFD"/>
    <w:rsid w:val="00C807F4"/>
    <w:rsid w:val="00C80AE5"/>
    <w:rsid w:val="00C83D91"/>
    <w:rsid w:val="00C86A3E"/>
    <w:rsid w:val="00C874C5"/>
    <w:rsid w:val="00C953B3"/>
    <w:rsid w:val="00C95EE8"/>
    <w:rsid w:val="00CA2241"/>
    <w:rsid w:val="00CA2CC3"/>
    <w:rsid w:val="00CA4C4B"/>
    <w:rsid w:val="00CA669D"/>
    <w:rsid w:val="00CB119B"/>
    <w:rsid w:val="00CB24EE"/>
    <w:rsid w:val="00CB69D5"/>
    <w:rsid w:val="00CC131B"/>
    <w:rsid w:val="00CC35D6"/>
    <w:rsid w:val="00CC447E"/>
    <w:rsid w:val="00CC4900"/>
    <w:rsid w:val="00CC6473"/>
    <w:rsid w:val="00CC761C"/>
    <w:rsid w:val="00CD00F1"/>
    <w:rsid w:val="00CD02A2"/>
    <w:rsid w:val="00CD52FC"/>
    <w:rsid w:val="00CD5804"/>
    <w:rsid w:val="00CE0EA1"/>
    <w:rsid w:val="00CE1DF5"/>
    <w:rsid w:val="00CE1E0A"/>
    <w:rsid w:val="00CE2F9F"/>
    <w:rsid w:val="00CE57A6"/>
    <w:rsid w:val="00CE5B06"/>
    <w:rsid w:val="00CF1800"/>
    <w:rsid w:val="00CF2C67"/>
    <w:rsid w:val="00CF2CEE"/>
    <w:rsid w:val="00CF4083"/>
    <w:rsid w:val="00CF5824"/>
    <w:rsid w:val="00CF713B"/>
    <w:rsid w:val="00CF7A27"/>
    <w:rsid w:val="00D11C83"/>
    <w:rsid w:val="00D11EED"/>
    <w:rsid w:val="00D14575"/>
    <w:rsid w:val="00D233C4"/>
    <w:rsid w:val="00D2342A"/>
    <w:rsid w:val="00D34C5E"/>
    <w:rsid w:val="00D36209"/>
    <w:rsid w:val="00D43527"/>
    <w:rsid w:val="00D45E07"/>
    <w:rsid w:val="00D478E0"/>
    <w:rsid w:val="00D562BA"/>
    <w:rsid w:val="00D61F56"/>
    <w:rsid w:val="00D72AD2"/>
    <w:rsid w:val="00D73347"/>
    <w:rsid w:val="00D73C41"/>
    <w:rsid w:val="00D80C4E"/>
    <w:rsid w:val="00D9221F"/>
    <w:rsid w:val="00D96F1D"/>
    <w:rsid w:val="00D97DB1"/>
    <w:rsid w:val="00DA2143"/>
    <w:rsid w:val="00DA2D22"/>
    <w:rsid w:val="00DA3D13"/>
    <w:rsid w:val="00DA5C40"/>
    <w:rsid w:val="00DA6869"/>
    <w:rsid w:val="00DA7D36"/>
    <w:rsid w:val="00DB3235"/>
    <w:rsid w:val="00DB4009"/>
    <w:rsid w:val="00DB6FEC"/>
    <w:rsid w:val="00DB78BE"/>
    <w:rsid w:val="00DC0359"/>
    <w:rsid w:val="00DC07A8"/>
    <w:rsid w:val="00DC21B9"/>
    <w:rsid w:val="00DC2932"/>
    <w:rsid w:val="00DC5711"/>
    <w:rsid w:val="00DC5940"/>
    <w:rsid w:val="00DD0C36"/>
    <w:rsid w:val="00DD177E"/>
    <w:rsid w:val="00DE4011"/>
    <w:rsid w:val="00DE6078"/>
    <w:rsid w:val="00DE7C7C"/>
    <w:rsid w:val="00DE7E0E"/>
    <w:rsid w:val="00DF1849"/>
    <w:rsid w:val="00DF3ADE"/>
    <w:rsid w:val="00DF3BD9"/>
    <w:rsid w:val="00E048EC"/>
    <w:rsid w:val="00E139FF"/>
    <w:rsid w:val="00E16FBC"/>
    <w:rsid w:val="00E17D42"/>
    <w:rsid w:val="00E17F1C"/>
    <w:rsid w:val="00E20726"/>
    <w:rsid w:val="00E2240C"/>
    <w:rsid w:val="00E331FB"/>
    <w:rsid w:val="00E34677"/>
    <w:rsid w:val="00E350C3"/>
    <w:rsid w:val="00E41318"/>
    <w:rsid w:val="00E442ED"/>
    <w:rsid w:val="00E46B1D"/>
    <w:rsid w:val="00E47102"/>
    <w:rsid w:val="00E47DF6"/>
    <w:rsid w:val="00E5284F"/>
    <w:rsid w:val="00E539C0"/>
    <w:rsid w:val="00E5473A"/>
    <w:rsid w:val="00E54BD0"/>
    <w:rsid w:val="00E56BF5"/>
    <w:rsid w:val="00E56DC9"/>
    <w:rsid w:val="00E6745F"/>
    <w:rsid w:val="00E70E07"/>
    <w:rsid w:val="00E7243D"/>
    <w:rsid w:val="00E739BB"/>
    <w:rsid w:val="00E740D7"/>
    <w:rsid w:val="00E7433C"/>
    <w:rsid w:val="00E85DFA"/>
    <w:rsid w:val="00E873F8"/>
    <w:rsid w:val="00E90C08"/>
    <w:rsid w:val="00E90EFF"/>
    <w:rsid w:val="00E91B56"/>
    <w:rsid w:val="00E94E54"/>
    <w:rsid w:val="00E95521"/>
    <w:rsid w:val="00EB04CE"/>
    <w:rsid w:val="00EB3A30"/>
    <w:rsid w:val="00EB4BE0"/>
    <w:rsid w:val="00EB5A4A"/>
    <w:rsid w:val="00EC0738"/>
    <w:rsid w:val="00EC1C89"/>
    <w:rsid w:val="00EC2FD5"/>
    <w:rsid w:val="00EC48B7"/>
    <w:rsid w:val="00EC5923"/>
    <w:rsid w:val="00EC68BA"/>
    <w:rsid w:val="00EC6A38"/>
    <w:rsid w:val="00ED389C"/>
    <w:rsid w:val="00ED47BB"/>
    <w:rsid w:val="00EE6003"/>
    <w:rsid w:val="00EF1192"/>
    <w:rsid w:val="00EF7B0E"/>
    <w:rsid w:val="00F058F6"/>
    <w:rsid w:val="00F11BE7"/>
    <w:rsid w:val="00F12B3D"/>
    <w:rsid w:val="00F133B0"/>
    <w:rsid w:val="00F13638"/>
    <w:rsid w:val="00F1536E"/>
    <w:rsid w:val="00F159C3"/>
    <w:rsid w:val="00F22DD2"/>
    <w:rsid w:val="00F23496"/>
    <w:rsid w:val="00F2736A"/>
    <w:rsid w:val="00F31295"/>
    <w:rsid w:val="00F362D6"/>
    <w:rsid w:val="00F3743A"/>
    <w:rsid w:val="00F43873"/>
    <w:rsid w:val="00F458C6"/>
    <w:rsid w:val="00F517BF"/>
    <w:rsid w:val="00F559A9"/>
    <w:rsid w:val="00F60050"/>
    <w:rsid w:val="00F60519"/>
    <w:rsid w:val="00F7157F"/>
    <w:rsid w:val="00F7243B"/>
    <w:rsid w:val="00F752A3"/>
    <w:rsid w:val="00F859F1"/>
    <w:rsid w:val="00F85C51"/>
    <w:rsid w:val="00F92186"/>
    <w:rsid w:val="00F970FA"/>
    <w:rsid w:val="00F9771B"/>
    <w:rsid w:val="00F97DDC"/>
    <w:rsid w:val="00FA1393"/>
    <w:rsid w:val="00FA214E"/>
    <w:rsid w:val="00FA3852"/>
    <w:rsid w:val="00FA6682"/>
    <w:rsid w:val="00FB1382"/>
    <w:rsid w:val="00FB1C05"/>
    <w:rsid w:val="00FB30F1"/>
    <w:rsid w:val="00FB442F"/>
    <w:rsid w:val="00FB47CE"/>
    <w:rsid w:val="00FB546C"/>
    <w:rsid w:val="00FC2E69"/>
    <w:rsid w:val="00FC3EE6"/>
    <w:rsid w:val="00FC5639"/>
    <w:rsid w:val="00FC6C0B"/>
    <w:rsid w:val="00FC6E16"/>
    <w:rsid w:val="00FD023F"/>
    <w:rsid w:val="00FD10DC"/>
    <w:rsid w:val="00FD1358"/>
    <w:rsid w:val="00FD66E4"/>
    <w:rsid w:val="00FD6973"/>
    <w:rsid w:val="00FE06AD"/>
    <w:rsid w:val="00FE3144"/>
    <w:rsid w:val="00FE6053"/>
    <w:rsid w:val="00FF0A09"/>
    <w:rsid w:val="00FF7B7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52BC29"/>
  <w15:chartTrackingRefBased/>
  <w15:docId w15:val="{5034EBCA-9DFC-4941-AF21-84E993688E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5D33"/>
    <w:pPr>
      <w:spacing w:before="90" w:after="130" w:line="280" w:lineRule="atLeast"/>
    </w:pPr>
    <w:rPr>
      <w:rFonts w:ascii="Arial Narrow" w:hAnsi="Arial Narrow" w:cs="Arial"/>
    </w:rPr>
  </w:style>
  <w:style w:type="paragraph" w:styleId="Heading1">
    <w:name w:val="heading 1"/>
    <w:basedOn w:val="Normal"/>
    <w:next w:val="Normal"/>
    <w:link w:val="Heading1Char"/>
    <w:uiPriority w:val="9"/>
    <w:rsid w:val="00187731"/>
    <w:pPr>
      <w:keepNext/>
      <w:keepLines/>
      <w:spacing w:before="720" w:after="1200" w:line="240" w:lineRule="auto"/>
      <w:outlineLvl w:val="0"/>
    </w:pPr>
    <w:rPr>
      <w:rFonts w:ascii="Arial" w:eastAsiaTheme="majorEastAsia" w:hAnsi="Arial"/>
      <w:color w:val="000000" w:themeColor="text1"/>
      <w:sz w:val="56"/>
      <w:szCs w:val="32"/>
    </w:rPr>
  </w:style>
  <w:style w:type="paragraph" w:styleId="Heading2">
    <w:name w:val="heading 2"/>
    <w:basedOn w:val="Normal"/>
    <w:next w:val="BodyText"/>
    <w:link w:val="Heading2Char"/>
    <w:uiPriority w:val="9"/>
    <w:unhideWhenUsed/>
    <w:rsid w:val="002A17E0"/>
    <w:pPr>
      <w:keepNext/>
      <w:keepLines/>
      <w:pBdr>
        <w:bottom w:val="single" w:sz="4" w:space="0" w:color="000000" w:themeColor="text1"/>
        <w:between w:val="single" w:sz="4" w:space="1" w:color="6C3E99"/>
      </w:pBdr>
      <w:spacing w:before="480" w:after="480"/>
      <w:outlineLvl w:val="1"/>
    </w:pPr>
    <w:rPr>
      <w:rFonts w:ascii="Arial" w:eastAsiaTheme="majorEastAsia" w:hAnsi="Arial"/>
      <w:b/>
      <w:color w:val="000000" w:themeColor="text1"/>
      <w:sz w:val="36"/>
      <w:szCs w:val="26"/>
    </w:rPr>
  </w:style>
  <w:style w:type="paragraph" w:styleId="Heading3">
    <w:name w:val="heading 3"/>
    <w:basedOn w:val="Normal"/>
    <w:next w:val="BodyText"/>
    <w:link w:val="Heading3Char"/>
    <w:uiPriority w:val="9"/>
    <w:unhideWhenUsed/>
    <w:rsid w:val="00D73347"/>
    <w:pPr>
      <w:keepNext/>
      <w:keepLines/>
      <w:pBdr>
        <w:between w:val="single" w:sz="4" w:space="1" w:color="000100"/>
      </w:pBdr>
      <w:spacing w:before="240" w:after="160" w:line="240" w:lineRule="atLeast"/>
      <w:outlineLvl w:val="2"/>
    </w:pPr>
    <w:rPr>
      <w:rFonts w:ascii="Arial" w:eastAsiaTheme="majorEastAsia" w:hAnsi="Arial"/>
      <w:b/>
      <w:color w:val="000100"/>
      <w:sz w:val="28"/>
      <w:szCs w:val="24"/>
    </w:rPr>
  </w:style>
  <w:style w:type="paragraph" w:styleId="Heading4">
    <w:name w:val="heading 4"/>
    <w:basedOn w:val="Normal"/>
    <w:next w:val="BodyText"/>
    <w:link w:val="Heading4Char"/>
    <w:uiPriority w:val="9"/>
    <w:unhideWhenUsed/>
    <w:qFormat/>
    <w:rsid w:val="00BB73D3"/>
    <w:pPr>
      <w:keepNext/>
      <w:keepLines/>
      <w:numPr>
        <w:ilvl w:val="3"/>
        <w:numId w:val="12"/>
      </w:numPr>
      <w:spacing w:before="360" w:after="240" w:line="300" w:lineRule="atLeast"/>
      <w:outlineLvl w:val="3"/>
    </w:pPr>
    <w:rPr>
      <w:rFonts w:ascii="Arial" w:eastAsiaTheme="majorEastAsia" w:hAnsi="Arial"/>
      <w:b/>
      <w:iCs/>
      <w:color w:val="000100"/>
      <w:sz w:val="24"/>
    </w:rPr>
  </w:style>
  <w:style w:type="paragraph" w:styleId="Heading5">
    <w:name w:val="heading 5"/>
    <w:basedOn w:val="Normal"/>
    <w:next w:val="BodyText"/>
    <w:link w:val="Heading5Char"/>
    <w:uiPriority w:val="9"/>
    <w:unhideWhenUsed/>
    <w:qFormat/>
    <w:rsid w:val="00B44DDB"/>
    <w:pPr>
      <w:keepNext/>
      <w:keepLines/>
      <w:numPr>
        <w:ilvl w:val="4"/>
        <w:numId w:val="12"/>
      </w:numPr>
      <w:spacing w:before="240" w:after="160" w:line="240" w:lineRule="atLeast"/>
      <w:outlineLvl w:val="4"/>
    </w:pPr>
    <w:rPr>
      <w:rFonts w:eastAsiaTheme="majorEastAsia"/>
      <w:b/>
      <w:i/>
      <w:color w:val="000100"/>
    </w:rPr>
  </w:style>
  <w:style w:type="paragraph" w:styleId="Heading6">
    <w:name w:val="heading 6"/>
    <w:basedOn w:val="Normal"/>
    <w:next w:val="BodyText"/>
    <w:link w:val="Heading6Char"/>
    <w:uiPriority w:val="9"/>
    <w:unhideWhenUsed/>
    <w:qFormat/>
    <w:rsid w:val="00B44DDB"/>
    <w:pPr>
      <w:keepNext/>
      <w:keepLines/>
      <w:numPr>
        <w:ilvl w:val="5"/>
        <w:numId w:val="12"/>
      </w:numPr>
      <w:spacing w:before="240" w:after="160" w:line="240" w:lineRule="atLeast"/>
      <w:outlineLvl w:val="5"/>
    </w:pPr>
    <w:rPr>
      <w:rFonts w:eastAsiaTheme="majorEastAsia"/>
      <w:b/>
      <w:i/>
      <w:color w:val="959595" w:themeColor="accent3" w:themeShade="BF"/>
    </w:rPr>
  </w:style>
  <w:style w:type="paragraph" w:styleId="Heading7">
    <w:name w:val="heading 7"/>
    <w:basedOn w:val="Normal-nospace"/>
    <w:next w:val="BodyText"/>
    <w:link w:val="Heading7Char"/>
    <w:uiPriority w:val="9"/>
    <w:unhideWhenUsed/>
    <w:qFormat/>
    <w:rsid w:val="00B470A1"/>
    <w:pPr>
      <w:keepNext/>
      <w:keepLines/>
      <w:spacing w:after="200" w:line="192" w:lineRule="auto"/>
      <w:outlineLvl w:val="6"/>
    </w:pPr>
    <w:rPr>
      <w:rFonts w:ascii="Yu Gothic Medium" w:eastAsiaTheme="majorEastAsia" w:hAnsi="Yu Gothic Medium"/>
      <w:iCs/>
      <w:color w:val="FFFEFF"/>
      <w:sz w:val="52"/>
    </w:rPr>
  </w:style>
  <w:style w:type="paragraph" w:styleId="Heading8">
    <w:name w:val="heading 8"/>
    <w:basedOn w:val="Normal"/>
    <w:next w:val="BodyText"/>
    <w:link w:val="Heading8Char"/>
    <w:uiPriority w:val="9"/>
    <w:qFormat/>
    <w:rsid w:val="00B470A1"/>
    <w:pPr>
      <w:keepNext/>
      <w:keepLines/>
      <w:pBdr>
        <w:bottom w:val="single" w:sz="4" w:space="0" w:color="6C3E99"/>
        <w:between w:val="single" w:sz="4" w:space="1" w:color="6C3E99"/>
      </w:pBdr>
      <w:spacing w:before="240" w:after="216"/>
      <w:outlineLvl w:val="7"/>
    </w:pPr>
    <w:rPr>
      <w:rFonts w:eastAsiaTheme="majorEastAsia"/>
      <w:b/>
      <w:color w:val="6C3E99"/>
      <w:sz w:val="28"/>
      <w:szCs w:val="21"/>
    </w:rPr>
  </w:style>
  <w:style w:type="paragraph" w:styleId="Heading9">
    <w:name w:val="heading 9"/>
    <w:basedOn w:val="Normal-nospace"/>
    <w:link w:val="Heading9Char"/>
    <w:uiPriority w:val="9"/>
    <w:qFormat/>
    <w:rsid w:val="00B470A1"/>
    <w:pPr>
      <w:keepNext/>
      <w:keepLines/>
      <w:numPr>
        <w:numId w:val="36"/>
      </w:numPr>
      <w:pBdr>
        <w:between w:val="single" w:sz="4" w:space="1" w:color="auto"/>
      </w:pBdr>
      <w:spacing w:line="240" w:lineRule="auto"/>
      <w:outlineLvl w:val="8"/>
    </w:pPr>
    <w:rPr>
      <w:rFonts w:eastAsiaTheme="majorEastAsia"/>
      <w:b/>
      <w:iCs/>
      <w:color w:val="140134"/>
      <w:sz w:val="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7731"/>
    <w:rPr>
      <w:rFonts w:ascii="Arial" w:eastAsiaTheme="majorEastAsia" w:hAnsi="Arial" w:cs="Arial"/>
      <w:color w:val="000000" w:themeColor="text1"/>
      <w:sz w:val="56"/>
      <w:szCs w:val="32"/>
    </w:rPr>
  </w:style>
  <w:style w:type="character" w:customStyle="1" w:styleId="Heading2Char">
    <w:name w:val="Heading 2 Char"/>
    <w:basedOn w:val="DefaultParagraphFont"/>
    <w:link w:val="Heading2"/>
    <w:uiPriority w:val="9"/>
    <w:rsid w:val="002A17E0"/>
    <w:rPr>
      <w:rFonts w:ascii="Arial" w:eastAsiaTheme="majorEastAsia" w:hAnsi="Arial" w:cs="Arial"/>
      <w:b/>
      <w:color w:val="000000" w:themeColor="text1"/>
      <w:sz w:val="36"/>
      <w:szCs w:val="26"/>
    </w:rPr>
  </w:style>
  <w:style w:type="character" w:customStyle="1" w:styleId="Heading3Char">
    <w:name w:val="Heading 3 Char"/>
    <w:basedOn w:val="DefaultParagraphFont"/>
    <w:link w:val="Heading3"/>
    <w:uiPriority w:val="9"/>
    <w:rsid w:val="00D73347"/>
    <w:rPr>
      <w:rFonts w:ascii="Arial" w:eastAsiaTheme="majorEastAsia" w:hAnsi="Arial" w:cs="Arial"/>
      <w:b/>
      <w:color w:val="000100"/>
      <w:sz w:val="28"/>
      <w:szCs w:val="24"/>
    </w:rPr>
  </w:style>
  <w:style w:type="character" w:customStyle="1" w:styleId="Heading4Char">
    <w:name w:val="Heading 4 Char"/>
    <w:basedOn w:val="DefaultParagraphFont"/>
    <w:link w:val="Heading4"/>
    <w:uiPriority w:val="9"/>
    <w:rsid w:val="00BB73D3"/>
    <w:rPr>
      <w:rFonts w:ascii="Arial" w:eastAsiaTheme="majorEastAsia" w:hAnsi="Arial" w:cs="Arial"/>
      <w:b/>
      <w:iCs/>
      <w:color w:val="000100"/>
      <w:sz w:val="24"/>
    </w:rPr>
  </w:style>
  <w:style w:type="character" w:customStyle="1" w:styleId="Heading5Char">
    <w:name w:val="Heading 5 Char"/>
    <w:basedOn w:val="DefaultParagraphFont"/>
    <w:link w:val="Heading5"/>
    <w:uiPriority w:val="9"/>
    <w:rsid w:val="000D7C57"/>
    <w:rPr>
      <w:rFonts w:ascii="Arial Narrow" w:eastAsiaTheme="majorEastAsia" w:hAnsi="Arial Narrow" w:cs="Arial"/>
      <w:b/>
      <w:i/>
      <w:color w:val="000100"/>
    </w:rPr>
  </w:style>
  <w:style w:type="character" w:customStyle="1" w:styleId="Heading6Char">
    <w:name w:val="Heading 6 Char"/>
    <w:basedOn w:val="DefaultParagraphFont"/>
    <w:link w:val="Heading6"/>
    <w:uiPriority w:val="9"/>
    <w:rsid w:val="000D7C57"/>
    <w:rPr>
      <w:rFonts w:ascii="Arial Narrow" w:eastAsiaTheme="majorEastAsia" w:hAnsi="Arial Narrow" w:cs="Arial"/>
      <w:b/>
      <w:i/>
      <w:color w:val="959595" w:themeColor="accent3" w:themeShade="BF"/>
    </w:rPr>
  </w:style>
  <w:style w:type="character" w:customStyle="1" w:styleId="Heading7Char">
    <w:name w:val="Heading 7 Char"/>
    <w:basedOn w:val="DefaultParagraphFont"/>
    <w:link w:val="Heading7"/>
    <w:uiPriority w:val="9"/>
    <w:rsid w:val="00FF0A09"/>
    <w:rPr>
      <w:rFonts w:ascii="Yu Gothic Medium" w:eastAsiaTheme="majorEastAsia" w:hAnsi="Yu Gothic Medium" w:cs="Arial"/>
      <w:iCs/>
      <w:color w:val="FFFEFF"/>
      <w:sz w:val="52"/>
    </w:rPr>
  </w:style>
  <w:style w:type="character" w:customStyle="1" w:styleId="Heading8Char">
    <w:name w:val="Heading 8 Char"/>
    <w:basedOn w:val="DefaultParagraphFont"/>
    <w:link w:val="Heading8"/>
    <w:uiPriority w:val="9"/>
    <w:rsid w:val="00E7243D"/>
    <w:rPr>
      <w:rFonts w:ascii="Arial Narrow" w:eastAsiaTheme="majorEastAsia" w:hAnsi="Arial Narrow" w:cs="Arial"/>
      <w:b/>
      <w:color w:val="6C3E99"/>
      <w:sz w:val="28"/>
      <w:szCs w:val="21"/>
    </w:rPr>
  </w:style>
  <w:style w:type="character" w:customStyle="1" w:styleId="Heading9Char">
    <w:name w:val="Heading 9 Char"/>
    <w:basedOn w:val="DefaultParagraphFont"/>
    <w:link w:val="Heading9"/>
    <w:uiPriority w:val="9"/>
    <w:rsid w:val="00B470A1"/>
    <w:rPr>
      <w:rFonts w:ascii="Arial Narrow" w:eastAsiaTheme="majorEastAsia" w:hAnsi="Arial Narrow" w:cs="Arial"/>
      <w:b/>
      <w:iCs/>
      <w:color w:val="140134"/>
      <w:sz w:val="8"/>
      <w:szCs w:val="21"/>
    </w:rPr>
  </w:style>
  <w:style w:type="paragraph" w:styleId="BalloonText">
    <w:name w:val="Balloon Text"/>
    <w:basedOn w:val="Normal"/>
    <w:link w:val="BalloonTextChar"/>
    <w:uiPriority w:val="99"/>
    <w:semiHidden/>
    <w:unhideWhenUsed/>
    <w:rsid w:val="009637A8"/>
    <w:pPr>
      <w:spacing w:after="0"/>
    </w:pPr>
    <w:rPr>
      <w:sz w:val="18"/>
      <w:szCs w:val="18"/>
    </w:rPr>
  </w:style>
  <w:style w:type="character" w:customStyle="1" w:styleId="BalloonTextChar">
    <w:name w:val="Balloon Text Char"/>
    <w:basedOn w:val="DefaultParagraphFont"/>
    <w:link w:val="BalloonText"/>
    <w:uiPriority w:val="99"/>
    <w:semiHidden/>
    <w:rsid w:val="009637A8"/>
    <w:rPr>
      <w:rFonts w:ascii="Arial" w:hAnsi="Arial" w:cs="Arial"/>
      <w:sz w:val="18"/>
      <w:szCs w:val="18"/>
    </w:rPr>
  </w:style>
  <w:style w:type="paragraph" w:styleId="Bibliography">
    <w:name w:val="Bibliography"/>
    <w:basedOn w:val="Normal"/>
    <w:next w:val="Normal"/>
    <w:uiPriority w:val="37"/>
    <w:semiHidden/>
    <w:unhideWhenUsed/>
    <w:rsid w:val="009637A8"/>
    <w:pPr>
      <w:spacing w:after="160" w:line="259" w:lineRule="auto"/>
    </w:pPr>
  </w:style>
  <w:style w:type="paragraph" w:styleId="BlockText">
    <w:name w:val="Block Text"/>
    <w:basedOn w:val="Normal"/>
    <w:uiPriority w:val="99"/>
    <w:semiHidden/>
    <w:unhideWhenUsed/>
    <w:rsid w:val="009637A8"/>
    <w:pPr>
      <w:pBdr>
        <w:top w:val="single" w:sz="2" w:space="10" w:color="9D85BE" w:themeColor="accent1"/>
        <w:left w:val="single" w:sz="2" w:space="10" w:color="9D85BE" w:themeColor="accent1"/>
        <w:bottom w:val="single" w:sz="2" w:space="10" w:color="9D85BE" w:themeColor="accent1"/>
        <w:right w:val="single" w:sz="2" w:space="10" w:color="9D85BE" w:themeColor="accent1"/>
      </w:pBdr>
      <w:spacing w:after="160" w:line="259" w:lineRule="auto"/>
      <w:ind w:left="1152" w:right="1152"/>
    </w:pPr>
    <w:rPr>
      <w:rFonts w:eastAsiaTheme="minorEastAsia"/>
      <w:i/>
      <w:iCs/>
      <w:color w:val="9D85BE" w:themeColor="accent1"/>
    </w:rPr>
  </w:style>
  <w:style w:type="paragraph" w:styleId="BodyText">
    <w:name w:val="Body Text"/>
    <w:basedOn w:val="Normal"/>
    <w:link w:val="BodyTextChar"/>
    <w:uiPriority w:val="99"/>
    <w:rsid w:val="00A667F4"/>
    <w:pPr>
      <w:spacing w:before="240" w:after="240" w:line="320" w:lineRule="atLeast"/>
    </w:pPr>
    <w:rPr>
      <w:rFonts w:ascii="Arial" w:hAnsi="Arial"/>
      <w:sz w:val="24"/>
    </w:rPr>
  </w:style>
  <w:style w:type="character" w:customStyle="1" w:styleId="BodyTextChar">
    <w:name w:val="Body Text Char"/>
    <w:basedOn w:val="DefaultParagraphFont"/>
    <w:link w:val="BodyText"/>
    <w:uiPriority w:val="99"/>
    <w:rsid w:val="00A667F4"/>
    <w:rPr>
      <w:rFonts w:ascii="Arial" w:hAnsi="Arial" w:cs="Arial"/>
      <w:sz w:val="24"/>
    </w:rPr>
  </w:style>
  <w:style w:type="paragraph" w:styleId="BodyText2">
    <w:name w:val="Body Text 2"/>
    <w:basedOn w:val="Normal"/>
    <w:link w:val="BodyText2Char"/>
    <w:uiPriority w:val="99"/>
    <w:semiHidden/>
    <w:unhideWhenUsed/>
    <w:rsid w:val="009637A8"/>
    <w:pPr>
      <w:spacing w:line="480" w:lineRule="auto"/>
    </w:pPr>
  </w:style>
  <w:style w:type="character" w:customStyle="1" w:styleId="BodyText2Char">
    <w:name w:val="Body Text 2 Char"/>
    <w:basedOn w:val="DefaultParagraphFont"/>
    <w:link w:val="BodyText2"/>
    <w:uiPriority w:val="99"/>
    <w:semiHidden/>
    <w:rsid w:val="009637A8"/>
    <w:rPr>
      <w:rFonts w:ascii="Arial" w:hAnsi="Arial" w:cs="Arial"/>
    </w:rPr>
  </w:style>
  <w:style w:type="paragraph" w:styleId="BodyText3">
    <w:name w:val="Body Text 3"/>
    <w:basedOn w:val="Normal"/>
    <w:link w:val="BodyText3Char"/>
    <w:uiPriority w:val="99"/>
    <w:semiHidden/>
    <w:unhideWhenUsed/>
    <w:rsid w:val="009637A8"/>
    <w:pPr>
      <w:spacing w:line="259" w:lineRule="auto"/>
    </w:pPr>
    <w:rPr>
      <w:sz w:val="16"/>
      <w:szCs w:val="16"/>
    </w:rPr>
  </w:style>
  <w:style w:type="character" w:customStyle="1" w:styleId="BodyText3Char">
    <w:name w:val="Body Text 3 Char"/>
    <w:basedOn w:val="DefaultParagraphFont"/>
    <w:link w:val="BodyText3"/>
    <w:uiPriority w:val="99"/>
    <w:semiHidden/>
    <w:rsid w:val="009637A8"/>
    <w:rPr>
      <w:rFonts w:ascii="Arial" w:hAnsi="Arial" w:cs="Arial"/>
      <w:sz w:val="16"/>
      <w:szCs w:val="16"/>
    </w:rPr>
  </w:style>
  <w:style w:type="paragraph" w:styleId="BodyTextFirstIndent">
    <w:name w:val="Body Text First Indent"/>
    <w:basedOn w:val="BodyText"/>
    <w:link w:val="BodyTextFirstIndentChar"/>
    <w:uiPriority w:val="99"/>
    <w:semiHidden/>
    <w:unhideWhenUsed/>
    <w:rsid w:val="009637A8"/>
    <w:pPr>
      <w:spacing w:after="160"/>
      <w:ind w:firstLine="360"/>
    </w:pPr>
  </w:style>
  <w:style w:type="character" w:customStyle="1" w:styleId="BodyTextFirstIndentChar">
    <w:name w:val="Body Text First Indent Char"/>
    <w:basedOn w:val="BodyTextChar"/>
    <w:link w:val="BodyTextFirstIndent"/>
    <w:uiPriority w:val="99"/>
    <w:semiHidden/>
    <w:rsid w:val="009637A8"/>
    <w:rPr>
      <w:rFonts w:ascii="Arial" w:hAnsi="Arial" w:cs="Arial"/>
      <w:sz w:val="24"/>
    </w:rPr>
  </w:style>
  <w:style w:type="paragraph" w:styleId="BodyTextIndent">
    <w:name w:val="Body Text Indent"/>
    <w:basedOn w:val="Normal"/>
    <w:link w:val="BodyTextIndentChar"/>
    <w:uiPriority w:val="99"/>
    <w:semiHidden/>
    <w:unhideWhenUsed/>
    <w:rsid w:val="009637A8"/>
    <w:pPr>
      <w:spacing w:line="259" w:lineRule="auto"/>
      <w:ind w:left="283"/>
    </w:pPr>
  </w:style>
  <w:style w:type="character" w:customStyle="1" w:styleId="BodyTextIndentChar">
    <w:name w:val="Body Text Indent Char"/>
    <w:basedOn w:val="DefaultParagraphFont"/>
    <w:link w:val="BodyTextIndent"/>
    <w:uiPriority w:val="99"/>
    <w:semiHidden/>
    <w:rsid w:val="009637A8"/>
    <w:rPr>
      <w:rFonts w:ascii="Arial" w:hAnsi="Arial" w:cs="Arial"/>
    </w:rPr>
  </w:style>
  <w:style w:type="paragraph" w:styleId="BodyTextFirstIndent2">
    <w:name w:val="Body Text First Indent 2"/>
    <w:basedOn w:val="BodyTextIndent"/>
    <w:link w:val="BodyTextFirstIndent2Char"/>
    <w:uiPriority w:val="99"/>
    <w:semiHidden/>
    <w:unhideWhenUsed/>
    <w:rsid w:val="009637A8"/>
    <w:pPr>
      <w:spacing w:after="160"/>
      <w:ind w:left="360" w:firstLine="360"/>
    </w:pPr>
  </w:style>
  <w:style w:type="character" w:customStyle="1" w:styleId="BodyTextFirstIndent2Char">
    <w:name w:val="Body Text First Indent 2 Char"/>
    <w:basedOn w:val="BodyTextIndentChar"/>
    <w:link w:val="BodyTextFirstIndent2"/>
    <w:uiPriority w:val="99"/>
    <w:semiHidden/>
    <w:rsid w:val="009637A8"/>
    <w:rPr>
      <w:rFonts w:ascii="Arial" w:hAnsi="Arial" w:cs="Arial"/>
    </w:rPr>
  </w:style>
  <w:style w:type="paragraph" w:styleId="BodyTextIndent2">
    <w:name w:val="Body Text Indent 2"/>
    <w:basedOn w:val="Normal"/>
    <w:link w:val="BodyTextIndent2Char"/>
    <w:uiPriority w:val="99"/>
    <w:semiHidden/>
    <w:unhideWhenUsed/>
    <w:rsid w:val="009637A8"/>
    <w:pPr>
      <w:spacing w:line="480" w:lineRule="auto"/>
      <w:ind w:left="283"/>
    </w:pPr>
  </w:style>
  <w:style w:type="character" w:customStyle="1" w:styleId="BodyTextIndent2Char">
    <w:name w:val="Body Text Indent 2 Char"/>
    <w:basedOn w:val="DefaultParagraphFont"/>
    <w:link w:val="BodyTextIndent2"/>
    <w:uiPriority w:val="99"/>
    <w:semiHidden/>
    <w:rsid w:val="009637A8"/>
    <w:rPr>
      <w:rFonts w:ascii="Arial" w:hAnsi="Arial" w:cs="Arial"/>
    </w:rPr>
  </w:style>
  <w:style w:type="paragraph" w:styleId="BodyTextIndent3">
    <w:name w:val="Body Text Indent 3"/>
    <w:basedOn w:val="Normal"/>
    <w:link w:val="BodyTextIndent3Char"/>
    <w:uiPriority w:val="99"/>
    <w:semiHidden/>
    <w:unhideWhenUsed/>
    <w:rsid w:val="009637A8"/>
    <w:pPr>
      <w:spacing w:line="259" w:lineRule="auto"/>
      <w:ind w:left="283"/>
    </w:pPr>
    <w:rPr>
      <w:sz w:val="16"/>
      <w:szCs w:val="16"/>
    </w:rPr>
  </w:style>
  <w:style w:type="character" w:customStyle="1" w:styleId="BodyTextIndent3Char">
    <w:name w:val="Body Text Indent 3 Char"/>
    <w:basedOn w:val="DefaultParagraphFont"/>
    <w:link w:val="BodyTextIndent3"/>
    <w:uiPriority w:val="99"/>
    <w:semiHidden/>
    <w:rsid w:val="009637A8"/>
    <w:rPr>
      <w:rFonts w:ascii="Arial" w:hAnsi="Arial" w:cs="Arial"/>
      <w:sz w:val="16"/>
      <w:szCs w:val="16"/>
    </w:rPr>
  </w:style>
  <w:style w:type="character" w:styleId="BookTitle">
    <w:name w:val="Book Title"/>
    <w:basedOn w:val="DefaultParagraphFont"/>
    <w:uiPriority w:val="33"/>
    <w:qFormat/>
    <w:rsid w:val="009637A8"/>
    <w:rPr>
      <w:b/>
      <w:bCs/>
      <w:i/>
      <w:iCs/>
      <w:spacing w:val="5"/>
    </w:rPr>
  </w:style>
  <w:style w:type="paragraph" w:styleId="Caption">
    <w:name w:val="caption"/>
    <w:basedOn w:val="Normal-nospace"/>
    <w:next w:val="BodyText"/>
    <w:uiPriority w:val="35"/>
    <w:unhideWhenUsed/>
    <w:qFormat/>
    <w:rsid w:val="00330EB2"/>
    <w:pPr>
      <w:keepNext/>
      <w:spacing w:after="120" w:line="240" w:lineRule="auto"/>
      <w:ind w:left="1179" w:hanging="1179"/>
    </w:pPr>
    <w:rPr>
      <w:rFonts w:ascii="Arial" w:hAnsi="Arial"/>
      <w:iCs/>
      <w:sz w:val="24"/>
      <w:szCs w:val="18"/>
    </w:rPr>
  </w:style>
  <w:style w:type="paragraph" w:styleId="Closing">
    <w:name w:val="Closing"/>
    <w:basedOn w:val="Normal"/>
    <w:link w:val="ClosingChar"/>
    <w:uiPriority w:val="99"/>
    <w:semiHidden/>
    <w:unhideWhenUsed/>
    <w:rsid w:val="009637A8"/>
    <w:pPr>
      <w:spacing w:after="0"/>
      <w:ind w:left="4252"/>
    </w:pPr>
  </w:style>
  <w:style w:type="character" w:customStyle="1" w:styleId="ClosingChar">
    <w:name w:val="Closing Char"/>
    <w:basedOn w:val="DefaultParagraphFont"/>
    <w:link w:val="Closing"/>
    <w:uiPriority w:val="99"/>
    <w:semiHidden/>
    <w:rsid w:val="009637A8"/>
    <w:rPr>
      <w:rFonts w:ascii="Arial" w:hAnsi="Arial" w:cs="Arial"/>
    </w:rPr>
  </w:style>
  <w:style w:type="table" w:styleId="ColorfulGrid">
    <w:name w:val="Colorful Grid"/>
    <w:basedOn w:val="TableNormal"/>
    <w:uiPriority w:val="73"/>
    <w:semiHidden/>
    <w:unhideWhenUsed/>
    <w:rsid w:val="009637A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9637A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BE6F2" w:themeFill="accent1" w:themeFillTint="33"/>
    </w:tcPr>
    <w:tblStylePr w:type="firstRow">
      <w:rPr>
        <w:b/>
        <w:bCs/>
      </w:rPr>
      <w:tblPr/>
      <w:tcPr>
        <w:shd w:val="clear" w:color="auto" w:fill="D7CEE5" w:themeFill="accent1" w:themeFillTint="66"/>
      </w:tcPr>
    </w:tblStylePr>
    <w:tblStylePr w:type="lastRow">
      <w:rPr>
        <w:b/>
        <w:bCs/>
        <w:color w:val="000000" w:themeColor="text1"/>
      </w:rPr>
      <w:tblPr/>
      <w:tcPr>
        <w:shd w:val="clear" w:color="auto" w:fill="D7CEE5" w:themeFill="accent1" w:themeFillTint="66"/>
      </w:tcPr>
    </w:tblStylePr>
    <w:tblStylePr w:type="firstCol">
      <w:rPr>
        <w:color w:val="FFFFFF" w:themeColor="background1"/>
      </w:rPr>
      <w:tblPr/>
      <w:tcPr>
        <w:shd w:val="clear" w:color="auto" w:fill="72549D" w:themeFill="accent1" w:themeFillShade="BF"/>
      </w:tcPr>
    </w:tblStylePr>
    <w:tblStylePr w:type="lastCol">
      <w:rPr>
        <w:color w:val="FFFFFF" w:themeColor="background1"/>
      </w:rPr>
      <w:tblPr/>
      <w:tcPr>
        <w:shd w:val="clear" w:color="auto" w:fill="72549D" w:themeFill="accent1" w:themeFillShade="BF"/>
      </w:tcPr>
    </w:tblStylePr>
    <w:tblStylePr w:type="band1Vert">
      <w:tblPr/>
      <w:tcPr>
        <w:shd w:val="clear" w:color="auto" w:fill="CEC2DE" w:themeFill="accent1" w:themeFillTint="7F"/>
      </w:tcPr>
    </w:tblStylePr>
    <w:tblStylePr w:type="band1Horz">
      <w:tblPr/>
      <w:tcPr>
        <w:shd w:val="clear" w:color="auto" w:fill="CEC2DE" w:themeFill="accent1" w:themeFillTint="7F"/>
      </w:tcPr>
    </w:tblStylePr>
  </w:style>
  <w:style w:type="table" w:styleId="ColorfulGrid-Accent2">
    <w:name w:val="Colorful Grid Accent 2"/>
    <w:basedOn w:val="TableNormal"/>
    <w:uiPriority w:val="73"/>
    <w:semiHidden/>
    <w:unhideWhenUsed/>
    <w:rsid w:val="009637A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5E5" w:themeFill="accent2" w:themeFillTint="33"/>
    </w:tcPr>
    <w:tblStylePr w:type="firstRow">
      <w:rPr>
        <w:b/>
        <w:bCs/>
      </w:rPr>
      <w:tblPr/>
      <w:tcPr>
        <w:shd w:val="clear" w:color="auto" w:fill="CBCBCB" w:themeFill="accent2" w:themeFillTint="66"/>
      </w:tcPr>
    </w:tblStylePr>
    <w:tblStylePr w:type="lastRow">
      <w:rPr>
        <w:b/>
        <w:bCs/>
        <w:color w:val="000000" w:themeColor="text1"/>
      </w:rPr>
      <w:tblPr/>
      <w:tcPr>
        <w:shd w:val="clear" w:color="auto" w:fill="CBCBCB" w:themeFill="accent2" w:themeFillTint="66"/>
      </w:tcPr>
    </w:tblStylePr>
    <w:tblStylePr w:type="firstCol">
      <w:rPr>
        <w:color w:val="FFFFFF" w:themeColor="background1"/>
      </w:rPr>
      <w:tblPr/>
      <w:tcPr>
        <w:shd w:val="clear" w:color="auto" w:fill="5D5D5D" w:themeFill="accent2" w:themeFillShade="BF"/>
      </w:tcPr>
    </w:tblStylePr>
    <w:tblStylePr w:type="lastCol">
      <w:rPr>
        <w:color w:val="FFFFFF" w:themeColor="background1"/>
      </w:rPr>
      <w:tblPr/>
      <w:tcPr>
        <w:shd w:val="clear" w:color="auto" w:fill="5D5D5D" w:themeFill="accent2" w:themeFillShade="BF"/>
      </w:tcPr>
    </w:tblStylePr>
    <w:tblStylePr w:type="band1Vert">
      <w:tblPr/>
      <w:tcPr>
        <w:shd w:val="clear" w:color="auto" w:fill="BEBEBE" w:themeFill="accent2" w:themeFillTint="7F"/>
      </w:tcPr>
    </w:tblStylePr>
    <w:tblStylePr w:type="band1Horz">
      <w:tblPr/>
      <w:tcPr>
        <w:shd w:val="clear" w:color="auto" w:fill="BEBEBE" w:themeFill="accent2" w:themeFillTint="7F"/>
      </w:tcPr>
    </w:tblStylePr>
  </w:style>
  <w:style w:type="table" w:styleId="ColorfulGrid-Accent3">
    <w:name w:val="Colorful Grid Accent 3"/>
    <w:basedOn w:val="TableNormal"/>
    <w:uiPriority w:val="73"/>
    <w:semiHidden/>
    <w:unhideWhenUsed/>
    <w:rsid w:val="009637A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F4F4" w:themeFill="accent3" w:themeFillTint="33"/>
    </w:tcPr>
    <w:tblStylePr w:type="firstRow">
      <w:rPr>
        <w:b/>
        <w:bCs/>
      </w:rPr>
      <w:tblPr/>
      <w:tcPr>
        <w:shd w:val="clear" w:color="auto" w:fill="E9E9E9" w:themeFill="accent3" w:themeFillTint="66"/>
      </w:tcPr>
    </w:tblStylePr>
    <w:tblStylePr w:type="lastRow">
      <w:rPr>
        <w:b/>
        <w:bCs/>
        <w:color w:val="000000" w:themeColor="text1"/>
      </w:rPr>
      <w:tblPr/>
      <w:tcPr>
        <w:shd w:val="clear" w:color="auto" w:fill="E9E9E9" w:themeFill="accent3" w:themeFillTint="66"/>
      </w:tcPr>
    </w:tblStylePr>
    <w:tblStylePr w:type="firstCol">
      <w:rPr>
        <w:color w:val="FFFFFF" w:themeColor="background1"/>
      </w:rPr>
      <w:tblPr/>
      <w:tcPr>
        <w:shd w:val="clear" w:color="auto" w:fill="959595" w:themeFill="accent3" w:themeFillShade="BF"/>
      </w:tcPr>
    </w:tblStylePr>
    <w:tblStylePr w:type="lastCol">
      <w:rPr>
        <w:color w:val="FFFFFF" w:themeColor="background1"/>
      </w:rPr>
      <w:tblPr/>
      <w:tcPr>
        <w:shd w:val="clear" w:color="auto" w:fill="959595" w:themeFill="accent3" w:themeFillShade="BF"/>
      </w:tcPr>
    </w:tblStylePr>
    <w:tblStylePr w:type="band1Vert">
      <w:tblPr/>
      <w:tcPr>
        <w:shd w:val="clear" w:color="auto" w:fill="E3E3E3" w:themeFill="accent3" w:themeFillTint="7F"/>
      </w:tcPr>
    </w:tblStylePr>
    <w:tblStylePr w:type="band1Horz">
      <w:tblPr/>
      <w:tcPr>
        <w:shd w:val="clear" w:color="auto" w:fill="E3E3E3" w:themeFill="accent3" w:themeFillTint="7F"/>
      </w:tcPr>
    </w:tblStylePr>
  </w:style>
  <w:style w:type="table" w:styleId="ColorfulGrid-Accent4">
    <w:name w:val="Colorful Grid Accent 4"/>
    <w:basedOn w:val="TableNormal"/>
    <w:uiPriority w:val="73"/>
    <w:semiHidden/>
    <w:unhideWhenUsed/>
    <w:rsid w:val="009637A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B8E7FF" w:themeFill="accent4" w:themeFillTint="33"/>
    </w:tcPr>
    <w:tblStylePr w:type="firstRow">
      <w:rPr>
        <w:b/>
        <w:bCs/>
      </w:rPr>
      <w:tblPr/>
      <w:tcPr>
        <w:shd w:val="clear" w:color="auto" w:fill="72D0FF" w:themeFill="accent4" w:themeFillTint="66"/>
      </w:tcPr>
    </w:tblStylePr>
    <w:tblStylePr w:type="lastRow">
      <w:rPr>
        <w:b/>
        <w:bCs/>
        <w:color w:val="000000" w:themeColor="text1"/>
      </w:rPr>
      <w:tblPr/>
      <w:tcPr>
        <w:shd w:val="clear" w:color="auto" w:fill="72D0FF" w:themeFill="accent4" w:themeFillTint="66"/>
      </w:tcPr>
    </w:tblStylePr>
    <w:tblStylePr w:type="firstCol">
      <w:rPr>
        <w:color w:val="FFFFFF" w:themeColor="background1"/>
      </w:rPr>
      <w:tblPr/>
      <w:tcPr>
        <w:shd w:val="clear" w:color="auto" w:fill="004F77" w:themeFill="accent4" w:themeFillShade="BF"/>
      </w:tcPr>
    </w:tblStylePr>
    <w:tblStylePr w:type="lastCol">
      <w:rPr>
        <w:color w:val="FFFFFF" w:themeColor="background1"/>
      </w:rPr>
      <w:tblPr/>
      <w:tcPr>
        <w:shd w:val="clear" w:color="auto" w:fill="004F77" w:themeFill="accent4" w:themeFillShade="BF"/>
      </w:tcPr>
    </w:tblStylePr>
    <w:tblStylePr w:type="band1Vert">
      <w:tblPr/>
      <w:tcPr>
        <w:shd w:val="clear" w:color="auto" w:fill="50C4FF" w:themeFill="accent4" w:themeFillTint="7F"/>
      </w:tcPr>
    </w:tblStylePr>
    <w:tblStylePr w:type="band1Horz">
      <w:tblPr/>
      <w:tcPr>
        <w:shd w:val="clear" w:color="auto" w:fill="50C4FF" w:themeFill="accent4" w:themeFillTint="7F"/>
      </w:tcPr>
    </w:tblStylePr>
  </w:style>
  <w:style w:type="table" w:styleId="ColorfulGrid-Accent5">
    <w:name w:val="Colorful Grid Accent 5"/>
    <w:basedOn w:val="TableNormal"/>
    <w:uiPriority w:val="73"/>
    <w:semiHidden/>
    <w:unhideWhenUsed/>
    <w:rsid w:val="009637A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4F1F6" w:themeFill="accent5" w:themeFillTint="33"/>
    </w:tcPr>
    <w:tblStylePr w:type="firstRow">
      <w:rPr>
        <w:b/>
        <w:bCs/>
      </w:rPr>
      <w:tblPr/>
      <w:tcPr>
        <w:shd w:val="clear" w:color="auto" w:fill="CAE4EE" w:themeFill="accent5" w:themeFillTint="66"/>
      </w:tcPr>
    </w:tblStylePr>
    <w:tblStylePr w:type="lastRow">
      <w:rPr>
        <w:b/>
        <w:bCs/>
        <w:color w:val="000000" w:themeColor="text1"/>
      </w:rPr>
      <w:tblPr/>
      <w:tcPr>
        <w:shd w:val="clear" w:color="auto" w:fill="CAE4EE" w:themeFill="accent5" w:themeFillTint="66"/>
      </w:tcPr>
    </w:tblStylePr>
    <w:tblStylePr w:type="firstCol">
      <w:rPr>
        <w:color w:val="FFFFFF" w:themeColor="background1"/>
      </w:rPr>
      <w:tblPr/>
      <w:tcPr>
        <w:shd w:val="clear" w:color="auto" w:fill="3C9BC0" w:themeFill="accent5" w:themeFillShade="BF"/>
      </w:tcPr>
    </w:tblStylePr>
    <w:tblStylePr w:type="lastCol">
      <w:rPr>
        <w:color w:val="FFFFFF" w:themeColor="background1"/>
      </w:rPr>
      <w:tblPr/>
      <w:tcPr>
        <w:shd w:val="clear" w:color="auto" w:fill="3C9BC0" w:themeFill="accent5" w:themeFillShade="BF"/>
      </w:tcPr>
    </w:tblStylePr>
    <w:tblStylePr w:type="band1Vert">
      <w:tblPr/>
      <w:tcPr>
        <w:shd w:val="clear" w:color="auto" w:fill="BDDDEA" w:themeFill="accent5" w:themeFillTint="7F"/>
      </w:tcPr>
    </w:tblStylePr>
    <w:tblStylePr w:type="band1Horz">
      <w:tblPr/>
      <w:tcPr>
        <w:shd w:val="clear" w:color="auto" w:fill="BDDDEA" w:themeFill="accent5" w:themeFillTint="7F"/>
      </w:tcPr>
    </w:tblStylePr>
  </w:style>
  <w:style w:type="table" w:styleId="ColorfulGrid-Accent6">
    <w:name w:val="Colorful Grid Accent 6"/>
    <w:basedOn w:val="TableNormal"/>
    <w:uiPriority w:val="73"/>
    <w:semiHidden/>
    <w:unhideWhenUsed/>
    <w:rsid w:val="009637A8"/>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5EBDA" w:themeFill="accent6" w:themeFillTint="33"/>
    </w:tcPr>
    <w:tblStylePr w:type="firstRow">
      <w:rPr>
        <w:b/>
        <w:bCs/>
      </w:rPr>
      <w:tblPr/>
      <w:tcPr>
        <w:shd w:val="clear" w:color="auto" w:fill="ACD8B5" w:themeFill="accent6" w:themeFillTint="66"/>
      </w:tcPr>
    </w:tblStylePr>
    <w:tblStylePr w:type="lastRow">
      <w:rPr>
        <w:b/>
        <w:bCs/>
        <w:color w:val="000000" w:themeColor="text1"/>
      </w:rPr>
      <w:tblPr/>
      <w:tcPr>
        <w:shd w:val="clear" w:color="auto" w:fill="ACD8B5" w:themeFill="accent6" w:themeFillTint="66"/>
      </w:tcPr>
    </w:tblStylePr>
    <w:tblStylePr w:type="firstCol">
      <w:rPr>
        <w:color w:val="FFFFFF" w:themeColor="background1"/>
      </w:rPr>
      <w:tblPr/>
      <w:tcPr>
        <w:shd w:val="clear" w:color="auto" w:fill="31693D" w:themeFill="accent6" w:themeFillShade="BF"/>
      </w:tcPr>
    </w:tblStylePr>
    <w:tblStylePr w:type="lastCol">
      <w:rPr>
        <w:color w:val="FFFFFF" w:themeColor="background1"/>
      </w:rPr>
      <w:tblPr/>
      <w:tcPr>
        <w:shd w:val="clear" w:color="auto" w:fill="31693D" w:themeFill="accent6" w:themeFillShade="BF"/>
      </w:tcPr>
    </w:tblStylePr>
    <w:tblStylePr w:type="band1Vert">
      <w:tblPr/>
      <w:tcPr>
        <w:shd w:val="clear" w:color="auto" w:fill="98CFA3" w:themeFill="accent6" w:themeFillTint="7F"/>
      </w:tcPr>
    </w:tblStylePr>
    <w:tblStylePr w:type="band1Horz">
      <w:tblPr/>
      <w:tcPr>
        <w:shd w:val="clear" w:color="auto" w:fill="98CFA3" w:themeFill="accent6" w:themeFillTint="7F"/>
      </w:tcPr>
    </w:tblStylePr>
  </w:style>
  <w:style w:type="table" w:styleId="ColorfulList">
    <w:name w:val="Colorful List"/>
    <w:basedOn w:val="TableNormal"/>
    <w:uiPriority w:val="72"/>
    <w:semiHidden/>
    <w:unhideWhenUsed/>
    <w:rsid w:val="009637A8"/>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646464" w:themeFill="accent2" w:themeFillShade="CC"/>
      </w:tcPr>
    </w:tblStylePr>
    <w:tblStylePr w:type="lastRow">
      <w:rPr>
        <w:b/>
        <w:bCs/>
        <w:color w:val="64646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9637A8"/>
    <w:pPr>
      <w:spacing w:after="0" w:line="240" w:lineRule="auto"/>
    </w:pPr>
    <w:rPr>
      <w:color w:val="000000" w:themeColor="text1"/>
    </w:rPr>
    <w:tblPr>
      <w:tblStyleRowBandSize w:val="1"/>
      <w:tblStyleColBandSize w:val="1"/>
    </w:tblPr>
    <w:tcPr>
      <w:shd w:val="clear" w:color="auto" w:fill="F5F3F8" w:themeFill="accent1" w:themeFillTint="19"/>
    </w:tcPr>
    <w:tblStylePr w:type="firstRow">
      <w:rPr>
        <w:b/>
        <w:bCs/>
        <w:color w:val="FFFFFF" w:themeColor="background1"/>
      </w:rPr>
      <w:tblPr/>
      <w:tcPr>
        <w:tcBorders>
          <w:bottom w:val="single" w:sz="12" w:space="0" w:color="FFFFFF" w:themeColor="background1"/>
        </w:tcBorders>
        <w:shd w:val="clear" w:color="auto" w:fill="646464" w:themeFill="accent2" w:themeFillShade="CC"/>
      </w:tcPr>
    </w:tblStylePr>
    <w:tblStylePr w:type="lastRow">
      <w:rPr>
        <w:b/>
        <w:bCs/>
        <w:color w:val="64646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0EF" w:themeFill="accent1" w:themeFillTint="3F"/>
      </w:tcPr>
    </w:tblStylePr>
    <w:tblStylePr w:type="band1Horz">
      <w:tblPr/>
      <w:tcPr>
        <w:shd w:val="clear" w:color="auto" w:fill="EBE6F2" w:themeFill="accent1" w:themeFillTint="33"/>
      </w:tcPr>
    </w:tblStylePr>
  </w:style>
  <w:style w:type="table" w:styleId="ColorfulList-Accent2">
    <w:name w:val="Colorful List Accent 2"/>
    <w:basedOn w:val="TableNormal"/>
    <w:uiPriority w:val="72"/>
    <w:semiHidden/>
    <w:unhideWhenUsed/>
    <w:rsid w:val="009637A8"/>
    <w:pPr>
      <w:spacing w:after="0" w:line="240" w:lineRule="auto"/>
    </w:pPr>
    <w:rPr>
      <w:color w:val="000000" w:themeColor="text1"/>
    </w:rPr>
    <w:tblPr>
      <w:tblStyleRowBandSize w:val="1"/>
      <w:tblStyleColBandSize w:val="1"/>
    </w:tblPr>
    <w:tcPr>
      <w:shd w:val="clear" w:color="auto" w:fill="F2F2F2" w:themeFill="accent2" w:themeFillTint="19"/>
    </w:tcPr>
    <w:tblStylePr w:type="firstRow">
      <w:rPr>
        <w:b/>
        <w:bCs/>
        <w:color w:val="FFFFFF" w:themeColor="background1"/>
      </w:rPr>
      <w:tblPr/>
      <w:tcPr>
        <w:tcBorders>
          <w:bottom w:val="single" w:sz="12" w:space="0" w:color="FFFFFF" w:themeColor="background1"/>
        </w:tcBorders>
        <w:shd w:val="clear" w:color="auto" w:fill="646464" w:themeFill="accent2" w:themeFillShade="CC"/>
      </w:tcPr>
    </w:tblStylePr>
    <w:tblStylePr w:type="lastRow">
      <w:rPr>
        <w:b/>
        <w:bCs/>
        <w:color w:val="64646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EDEDE" w:themeFill="accent2" w:themeFillTint="3F"/>
      </w:tcPr>
    </w:tblStylePr>
    <w:tblStylePr w:type="band1Horz">
      <w:tblPr/>
      <w:tcPr>
        <w:shd w:val="clear" w:color="auto" w:fill="E5E5E5" w:themeFill="accent2" w:themeFillTint="33"/>
      </w:tcPr>
    </w:tblStylePr>
  </w:style>
  <w:style w:type="table" w:styleId="ColorfulList-Accent3">
    <w:name w:val="Colorful List Accent 3"/>
    <w:basedOn w:val="TableNormal"/>
    <w:uiPriority w:val="72"/>
    <w:semiHidden/>
    <w:unhideWhenUsed/>
    <w:rsid w:val="009637A8"/>
    <w:pPr>
      <w:spacing w:after="0" w:line="240" w:lineRule="auto"/>
    </w:pPr>
    <w:rPr>
      <w:color w:val="000000" w:themeColor="text1"/>
    </w:rPr>
    <w:tblPr>
      <w:tblStyleRowBandSize w:val="1"/>
      <w:tblStyleColBandSize w:val="1"/>
    </w:tblPr>
    <w:tcPr>
      <w:shd w:val="clear" w:color="auto" w:fill="F9F9F9" w:themeFill="accent3" w:themeFillTint="19"/>
    </w:tcPr>
    <w:tblStylePr w:type="firstRow">
      <w:rPr>
        <w:b/>
        <w:bCs/>
        <w:color w:val="FFFFFF" w:themeColor="background1"/>
      </w:rPr>
      <w:tblPr/>
      <w:tcPr>
        <w:tcBorders>
          <w:bottom w:val="single" w:sz="12" w:space="0" w:color="FFFFFF" w:themeColor="background1"/>
        </w:tcBorders>
        <w:shd w:val="clear" w:color="auto" w:fill="00547F" w:themeFill="accent4" w:themeFillShade="CC"/>
      </w:tcPr>
    </w:tblStylePr>
    <w:tblStylePr w:type="lastRow">
      <w:rPr>
        <w:b/>
        <w:bCs/>
        <w:color w:val="00547F"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1F1F1" w:themeFill="accent3" w:themeFillTint="3F"/>
      </w:tcPr>
    </w:tblStylePr>
    <w:tblStylePr w:type="band1Horz">
      <w:tblPr/>
      <w:tcPr>
        <w:shd w:val="clear" w:color="auto" w:fill="F4F4F4" w:themeFill="accent3" w:themeFillTint="33"/>
      </w:tcPr>
    </w:tblStylePr>
  </w:style>
  <w:style w:type="table" w:styleId="ColorfulList-Accent4">
    <w:name w:val="Colorful List Accent 4"/>
    <w:basedOn w:val="TableNormal"/>
    <w:uiPriority w:val="72"/>
    <w:semiHidden/>
    <w:unhideWhenUsed/>
    <w:rsid w:val="009637A8"/>
    <w:pPr>
      <w:spacing w:after="0" w:line="240" w:lineRule="auto"/>
    </w:pPr>
    <w:rPr>
      <w:color w:val="000000" w:themeColor="text1"/>
    </w:rPr>
    <w:tblPr>
      <w:tblStyleRowBandSize w:val="1"/>
      <w:tblStyleColBandSize w:val="1"/>
    </w:tblPr>
    <w:tcPr>
      <w:shd w:val="clear" w:color="auto" w:fill="DCF3FF" w:themeFill="accent4" w:themeFillTint="19"/>
    </w:tcPr>
    <w:tblStylePr w:type="firstRow">
      <w:rPr>
        <w:b/>
        <w:bCs/>
        <w:color w:val="FFFFFF" w:themeColor="background1"/>
      </w:rPr>
      <w:tblPr/>
      <w:tcPr>
        <w:tcBorders>
          <w:bottom w:val="single" w:sz="12" w:space="0" w:color="FFFFFF" w:themeColor="background1"/>
        </w:tcBorders>
        <w:shd w:val="clear" w:color="auto" w:fill="A0A0A0" w:themeFill="accent3" w:themeFillShade="CC"/>
      </w:tcPr>
    </w:tblStylePr>
    <w:tblStylePr w:type="lastRow">
      <w:rPr>
        <w:b/>
        <w:bCs/>
        <w:color w:val="A0A0A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8E2FF" w:themeFill="accent4" w:themeFillTint="3F"/>
      </w:tcPr>
    </w:tblStylePr>
    <w:tblStylePr w:type="band1Horz">
      <w:tblPr/>
      <w:tcPr>
        <w:shd w:val="clear" w:color="auto" w:fill="B8E7FF" w:themeFill="accent4" w:themeFillTint="33"/>
      </w:tcPr>
    </w:tblStylePr>
  </w:style>
  <w:style w:type="table" w:styleId="ColorfulList-Accent5">
    <w:name w:val="Colorful List Accent 5"/>
    <w:basedOn w:val="TableNormal"/>
    <w:uiPriority w:val="72"/>
    <w:semiHidden/>
    <w:unhideWhenUsed/>
    <w:rsid w:val="009637A8"/>
    <w:pPr>
      <w:spacing w:after="0" w:line="240" w:lineRule="auto"/>
    </w:pPr>
    <w:rPr>
      <w:color w:val="000000" w:themeColor="text1"/>
    </w:rPr>
    <w:tblPr>
      <w:tblStyleRowBandSize w:val="1"/>
      <w:tblStyleColBandSize w:val="1"/>
    </w:tblPr>
    <w:tcPr>
      <w:shd w:val="clear" w:color="auto" w:fill="F2F8FB" w:themeFill="accent5" w:themeFillTint="19"/>
    </w:tcPr>
    <w:tblStylePr w:type="firstRow">
      <w:rPr>
        <w:b/>
        <w:bCs/>
        <w:color w:val="FFFFFF" w:themeColor="background1"/>
      </w:rPr>
      <w:tblPr/>
      <w:tcPr>
        <w:tcBorders>
          <w:bottom w:val="single" w:sz="12" w:space="0" w:color="FFFFFF" w:themeColor="background1"/>
        </w:tcBorders>
        <w:shd w:val="clear" w:color="auto" w:fill="347041" w:themeFill="accent6" w:themeFillShade="CC"/>
      </w:tcPr>
    </w:tblStylePr>
    <w:tblStylePr w:type="lastRow">
      <w:rPr>
        <w:b/>
        <w:bCs/>
        <w:color w:val="347041"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EEEF4" w:themeFill="accent5" w:themeFillTint="3F"/>
      </w:tcPr>
    </w:tblStylePr>
    <w:tblStylePr w:type="band1Horz">
      <w:tblPr/>
      <w:tcPr>
        <w:shd w:val="clear" w:color="auto" w:fill="E4F1F6" w:themeFill="accent5" w:themeFillTint="33"/>
      </w:tcPr>
    </w:tblStylePr>
  </w:style>
  <w:style w:type="table" w:styleId="ColorfulList-Accent6">
    <w:name w:val="Colorful List Accent 6"/>
    <w:basedOn w:val="TableNormal"/>
    <w:uiPriority w:val="72"/>
    <w:semiHidden/>
    <w:unhideWhenUsed/>
    <w:rsid w:val="009637A8"/>
    <w:pPr>
      <w:spacing w:after="0" w:line="240" w:lineRule="auto"/>
    </w:pPr>
    <w:rPr>
      <w:color w:val="000000" w:themeColor="text1"/>
    </w:rPr>
    <w:tblPr>
      <w:tblStyleRowBandSize w:val="1"/>
      <w:tblStyleColBandSize w:val="1"/>
    </w:tblPr>
    <w:tcPr>
      <w:shd w:val="clear" w:color="auto" w:fill="EAF5EC" w:themeFill="accent6" w:themeFillTint="19"/>
    </w:tcPr>
    <w:tblStylePr w:type="firstRow">
      <w:rPr>
        <w:b/>
        <w:bCs/>
        <w:color w:val="FFFFFF" w:themeColor="background1"/>
      </w:rPr>
      <w:tblPr/>
      <w:tcPr>
        <w:tcBorders>
          <w:bottom w:val="single" w:sz="12" w:space="0" w:color="FFFFFF" w:themeColor="background1"/>
        </w:tcBorders>
        <w:shd w:val="clear" w:color="auto" w:fill="47A2C6" w:themeFill="accent5" w:themeFillShade="CC"/>
      </w:tcPr>
    </w:tblStylePr>
    <w:tblStylePr w:type="lastRow">
      <w:rPr>
        <w:b/>
        <w:bCs/>
        <w:color w:val="47A2C6"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BE7D1" w:themeFill="accent6" w:themeFillTint="3F"/>
      </w:tcPr>
    </w:tblStylePr>
    <w:tblStylePr w:type="band1Horz">
      <w:tblPr/>
      <w:tcPr>
        <w:shd w:val="clear" w:color="auto" w:fill="D5EBDA" w:themeFill="accent6" w:themeFillTint="33"/>
      </w:tcPr>
    </w:tblStylePr>
  </w:style>
  <w:style w:type="table" w:styleId="ColorfulShading">
    <w:name w:val="Colorful Shading"/>
    <w:basedOn w:val="TableNormal"/>
    <w:uiPriority w:val="71"/>
    <w:semiHidden/>
    <w:unhideWhenUsed/>
    <w:rsid w:val="009637A8"/>
    <w:pPr>
      <w:spacing w:after="0" w:line="240" w:lineRule="auto"/>
    </w:pPr>
    <w:rPr>
      <w:color w:val="000000" w:themeColor="text1"/>
    </w:rPr>
    <w:tblPr>
      <w:tblStyleRowBandSize w:val="1"/>
      <w:tblStyleColBandSize w:val="1"/>
      <w:tblBorders>
        <w:top w:val="single" w:sz="24" w:space="0" w:color="7D7D7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7D7D7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9637A8"/>
    <w:pPr>
      <w:spacing w:after="0" w:line="240" w:lineRule="auto"/>
    </w:pPr>
    <w:rPr>
      <w:color w:val="000000" w:themeColor="text1"/>
    </w:rPr>
    <w:tblPr>
      <w:tblStyleRowBandSize w:val="1"/>
      <w:tblStyleColBandSize w:val="1"/>
      <w:tblBorders>
        <w:top w:val="single" w:sz="24" w:space="0" w:color="7D7D7D" w:themeColor="accent2"/>
        <w:left w:val="single" w:sz="4" w:space="0" w:color="9D85BE" w:themeColor="accent1"/>
        <w:bottom w:val="single" w:sz="4" w:space="0" w:color="9D85BE" w:themeColor="accent1"/>
        <w:right w:val="single" w:sz="4" w:space="0" w:color="9D85BE" w:themeColor="accent1"/>
        <w:insideH w:val="single" w:sz="4" w:space="0" w:color="FFFFFF" w:themeColor="background1"/>
        <w:insideV w:val="single" w:sz="4" w:space="0" w:color="FFFFFF" w:themeColor="background1"/>
      </w:tblBorders>
    </w:tblPr>
    <w:tcPr>
      <w:shd w:val="clear" w:color="auto" w:fill="F5F3F8" w:themeFill="accent1" w:themeFillTint="19"/>
    </w:tcPr>
    <w:tblStylePr w:type="firstRow">
      <w:rPr>
        <w:b/>
        <w:bCs/>
      </w:rPr>
      <w:tblPr/>
      <w:tcPr>
        <w:tcBorders>
          <w:top w:val="nil"/>
          <w:left w:val="nil"/>
          <w:bottom w:val="single" w:sz="24" w:space="0" w:color="7D7D7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C437E" w:themeFill="accent1" w:themeFillShade="99"/>
      </w:tcPr>
    </w:tblStylePr>
    <w:tblStylePr w:type="firstCol">
      <w:rPr>
        <w:color w:val="FFFFFF" w:themeColor="background1"/>
      </w:rPr>
      <w:tblPr/>
      <w:tcPr>
        <w:tcBorders>
          <w:top w:val="nil"/>
          <w:left w:val="nil"/>
          <w:bottom w:val="nil"/>
          <w:right w:val="nil"/>
          <w:insideH w:val="single" w:sz="4" w:space="0" w:color="5C437E" w:themeColor="accent1" w:themeShade="99"/>
          <w:insideV w:val="nil"/>
        </w:tcBorders>
        <w:shd w:val="clear" w:color="auto" w:fill="5C437E"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5C437E" w:themeFill="accent1" w:themeFillShade="99"/>
      </w:tcPr>
    </w:tblStylePr>
    <w:tblStylePr w:type="band1Vert">
      <w:tblPr/>
      <w:tcPr>
        <w:shd w:val="clear" w:color="auto" w:fill="D7CEE5" w:themeFill="accent1" w:themeFillTint="66"/>
      </w:tcPr>
    </w:tblStylePr>
    <w:tblStylePr w:type="band1Horz">
      <w:tblPr/>
      <w:tcPr>
        <w:shd w:val="clear" w:color="auto" w:fill="CEC2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9637A8"/>
    <w:pPr>
      <w:spacing w:after="0" w:line="240" w:lineRule="auto"/>
    </w:pPr>
    <w:rPr>
      <w:color w:val="000000" w:themeColor="text1"/>
    </w:rPr>
    <w:tblPr>
      <w:tblStyleRowBandSize w:val="1"/>
      <w:tblStyleColBandSize w:val="1"/>
      <w:tblBorders>
        <w:top w:val="single" w:sz="24" w:space="0" w:color="7D7D7D" w:themeColor="accent2"/>
        <w:left w:val="single" w:sz="4" w:space="0" w:color="7D7D7D" w:themeColor="accent2"/>
        <w:bottom w:val="single" w:sz="4" w:space="0" w:color="7D7D7D" w:themeColor="accent2"/>
        <w:right w:val="single" w:sz="4" w:space="0" w:color="7D7D7D" w:themeColor="accent2"/>
        <w:insideH w:val="single" w:sz="4" w:space="0" w:color="FFFFFF" w:themeColor="background1"/>
        <w:insideV w:val="single" w:sz="4" w:space="0" w:color="FFFFFF" w:themeColor="background1"/>
      </w:tblBorders>
    </w:tblPr>
    <w:tcPr>
      <w:shd w:val="clear" w:color="auto" w:fill="F2F2F2" w:themeFill="accent2" w:themeFillTint="19"/>
    </w:tcPr>
    <w:tblStylePr w:type="firstRow">
      <w:rPr>
        <w:b/>
        <w:bCs/>
      </w:rPr>
      <w:tblPr/>
      <w:tcPr>
        <w:tcBorders>
          <w:top w:val="nil"/>
          <w:left w:val="nil"/>
          <w:bottom w:val="single" w:sz="24" w:space="0" w:color="7D7D7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B4B4B" w:themeFill="accent2" w:themeFillShade="99"/>
      </w:tcPr>
    </w:tblStylePr>
    <w:tblStylePr w:type="firstCol">
      <w:rPr>
        <w:color w:val="FFFFFF" w:themeColor="background1"/>
      </w:rPr>
      <w:tblPr/>
      <w:tcPr>
        <w:tcBorders>
          <w:top w:val="nil"/>
          <w:left w:val="nil"/>
          <w:bottom w:val="nil"/>
          <w:right w:val="nil"/>
          <w:insideH w:val="single" w:sz="4" w:space="0" w:color="4B4B4B" w:themeColor="accent2" w:themeShade="99"/>
          <w:insideV w:val="nil"/>
        </w:tcBorders>
        <w:shd w:val="clear" w:color="auto" w:fill="4B4B4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4B4B4B" w:themeFill="accent2" w:themeFillShade="99"/>
      </w:tcPr>
    </w:tblStylePr>
    <w:tblStylePr w:type="band1Vert">
      <w:tblPr/>
      <w:tcPr>
        <w:shd w:val="clear" w:color="auto" w:fill="CBCBCB" w:themeFill="accent2" w:themeFillTint="66"/>
      </w:tcPr>
    </w:tblStylePr>
    <w:tblStylePr w:type="band1Horz">
      <w:tblPr/>
      <w:tcPr>
        <w:shd w:val="clear" w:color="auto" w:fill="BEBEBE"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9637A8"/>
    <w:pPr>
      <w:spacing w:after="0" w:line="240" w:lineRule="auto"/>
    </w:pPr>
    <w:rPr>
      <w:color w:val="000000" w:themeColor="text1"/>
    </w:rPr>
    <w:tblPr>
      <w:tblStyleRowBandSize w:val="1"/>
      <w:tblStyleColBandSize w:val="1"/>
      <w:tblBorders>
        <w:top w:val="single" w:sz="24" w:space="0" w:color="006A9F" w:themeColor="accent4"/>
        <w:left w:val="single" w:sz="4" w:space="0" w:color="C8C8C8" w:themeColor="accent3"/>
        <w:bottom w:val="single" w:sz="4" w:space="0" w:color="C8C8C8" w:themeColor="accent3"/>
        <w:right w:val="single" w:sz="4" w:space="0" w:color="C8C8C8" w:themeColor="accent3"/>
        <w:insideH w:val="single" w:sz="4" w:space="0" w:color="FFFFFF" w:themeColor="background1"/>
        <w:insideV w:val="single" w:sz="4" w:space="0" w:color="FFFFFF" w:themeColor="background1"/>
      </w:tblBorders>
    </w:tblPr>
    <w:tcPr>
      <w:shd w:val="clear" w:color="auto" w:fill="F9F9F9" w:themeFill="accent3" w:themeFillTint="19"/>
    </w:tcPr>
    <w:tblStylePr w:type="firstRow">
      <w:rPr>
        <w:b/>
        <w:bCs/>
      </w:rPr>
      <w:tblPr/>
      <w:tcPr>
        <w:tcBorders>
          <w:top w:val="nil"/>
          <w:left w:val="nil"/>
          <w:bottom w:val="single" w:sz="24" w:space="0" w:color="006A9F"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87878" w:themeFill="accent3" w:themeFillShade="99"/>
      </w:tcPr>
    </w:tblStylePr>
    <w:tblStylePr w:type="firstCol">
      <w:rPr>
        <w:color w:val="FFFFFF" w:themeColor="background1"/>
      </w:rPr>
      <w:tblPr/>
      <w:tcPr>
        <w:tcBorders>
          <w:top w:val="nil"/>
          <w:left w:val="nil"/>
          <w:bottom w:val="nil"/>
          <w:right w:val="nil"/>
          <w:insideH w:val="single" w:sz="4" w:space="0" w:color="787878" w:themeColor="accent3" w:themeShade="99"/>
          <w:insideV w:val="nil"/>
        </w:tcBorders>
        <w:shd w:val="clear" w:color="auto" w:fill="787878"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787878" w:themeFill="accent3" w:themeFillShade="99"/>
      </w:tcPr>
    </w:tblStylePr>
    <w:tblStylePr w:type="band1Vert">
      <w:tblPr/>
      <w:tcPr>
        <w:shd w:val="clear" w:color="auto" w:fill="E9E9E9" w:themeFill="accent3" w:themeFillTint="66"/>
      </w:tcPr>
    </w:tblStylePr>
    <w:tblStylePr w:type="band1Horz">
      <w:tblPr/>
      <w:tcPr>
        <w:shd w:val="clear" w:color="auto" w:fill="E3E3E3" w:themeFill="accent3" w:themeFillTint="7F"/>
      </w:tcPr>
    </w:tblStylePr>
  </w:style>
  <w:style w:type="table" w:styleId="ColorfulShading-Accent4">
    <w:name w:val="Colorful Shading Accent 4"/>
    <w:basedOn w:val="TableNormal"/>
    <w:uiPriority w:val="71"/>
    <w:semiHidden/>
    <w:unhideWhenUsed/>
    <w:rsid w:val="009637A8"/>
    <w:pPr>
      <w:spacing w:after="0" w:line="240" w:lineRule="auto"/>
    </w:pPr>
    <w:rPr>
      <w:color w:val="000000" w:themeColor="text1"/>
    </w:rPr>
    <w:tblPr>
      <w:tblStyleRowBandSize w:val="1"/>
      <w:tblStyleColBandSize w:val="1"/>
      <w:tblBorders>
        <w:top w:val="single" w:sz="24" w:space="0" w:color="C8C8C8" w:themeColor="accent3"/>
        <w:left w:val="single" w:sz="4" w:space="0" w:color="006A9F" w:themeColor="accent4"/>
        <w:bottom w:val="single" w:sz="4" w:space="0" w:color="006A9F" w:themeColor="accent4"/>
        <w:right w:val="single" w:sz="4" w:space="0" w:color="006A9F" w:themeColor="accent4"/>
        <w:insideH w:val="single" w:sz="4" w:space="0" w:color="FFFFFF" w:themeColor="background1"/>
        <w:insideV w:val="single" w:sz="4" w:space="0" w:color="FFFFFF" w:themeColor="background1"/>
      </w:tblBorders>
    </w:tblPr>
    <w:tcPr>
      <w:shd w:val="clear" w:color="auto" w:fill="DCF3FF" w:themeFill="accent4" w:themeFillTint="19"/>
    </w:tcPr>
    <w:tblStylePr w:type="firstRow">
      <w:rPr>
        <w:b/>
        <w:bCs/>
      </w:rPr>
      <w:tblPr/>
      <w:tcPr>
        <w:tcBorders>
          <w:top w:val="nil"/>
          <w:left w:val="nil"/>
          <w:bottom w:val="single" w:sz="24" w:space="0" w:color="C8C8C8"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3F5F" w:themeFill="accent4" w:themeFillShade="99"/>
      </w:tcPr>
    </w:tblStylePr>
    <w:tblStylePr w:type="firstCol">
      <w:rPr>
        <w:color w:val="FFFFFF" w:themeColor="background1"/>
      </w:rPr>
      <w:tblPr/>
      <w:tcPr>
        <w:tcBorders>
          <w:top w:val="nil"/>
          <w:left w:val="nil"/>
          <w:bottom w:val="nil"/>
          <w:right w:val="nil"/>
          <w:insideH w:val="single" w:sz="4" w:space="0" w:color="003F5F" w:themeColor="accent4" w:themeShade="99"/>
          <w:insideV w:val="nil"/>
        </w:tcBorders>
        <w:shd w:val="clear" w:color="auto" w:fill="003F5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03F5F" w:themeFill="accent4" w:themeFillShade="99"/>
      </w:tcPr>
    </w:tblStylePr>
    <w:tblStylePr w:type="band1Vert">
      <w:tblPr/>
      <w:tcPr>
        <w:shd w:val="clear" w:color="auto" w:fill="72D0FF" w:themeFill="accent4" w:themeFillTint="66"/>
      </w:tcPr>
    </w:tblStylePr>
    <w:tblStylePr w:type="band1Horz">
      <w:tblPr/>
      <w:tcPr>
        <w:shd w:val="clear" w:color="auto" w:fill="50C4FF"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9637A8"/>
    <w:pPr>
      <w:spacing w:after="0" w:line="240" w:lineRule="auto"/>
    </w:pPr>
    <w:rPr>
      <w:color w:val="000000" w:themeColor="text1"/>
    </w:rPr>
    <w:tblPr>
      <w:tblStyleRowBandSize w:val="1"/>
      <w:tblStyleColBandSize w:val="1"/>
      <w:tblBorders>
        <w:top w:val="single" w:sz="24" w:space="0" w:color="428D52" w:themeColor="accent6"/>
        <w:left w:val="single" w:sz="4" w:space="0" w:color="7BBDD6" w:themeColor="accent5"/>
        <w:bottom w:val="single" w:sz="4" w:space="0" w:color="7BBDD6" w:themeColor="accent5"/>
        <w:right w:val="single" w:sz="4" w:space="0" w:color="7BBDD6" w:themeColor="accent5"/>
        <w:insideH w:val="single" w:sz="4" w:space="0" w:color="FFFFFF" w:themeColor="background1"/>
        <w:insideV w:val="single" w:sz="4" w:space="0" w:color="FFFFFF" w:themeColor="background1"/>
      </w:tblBorders>
    </w:tblPr>
    <w:tcPr>
      <w:shd w:val="clear" w:color="auto" w:fill="F2F8FB" w:themeFill="accent5" w:themeFillTint="19"/>
    </w:tcPr>
    <w:tblStylePr w:type="firstRow">
      <w:rPr>
        <w:b/>
        <w:bCs/>
      </w:rPr>
      <w:tblPr/>
      <w:tcPr>
        <w:tcBorders>
          <w:top w:val="nil"/>
          <w:left w:val="nil"/>
          <w:bottom w:val="single" w:sz="24" w:space="0" w:color="428D52"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07C9A" w:themeFill="accent5" w:themeFillShade="99"/>
      </w:tcPr>
    </w:tblStylePr>
    <w:tblStylePr w:type="firstCol">
      <w:rPr>
        <w:color w:val="FFFFFF" w:themeColor="background1"/>
      </w:rPr>
      <w:tblPr/>
      <w:tcPr>
        <w:tcBorders>
          <w:top w:val="nil"/>
          <w:left w:val="nil"/>
          <w:bottom w:val="nil"/>
          <w:right w:val="nil"/>
          <w:insideH w:val="single" w:sz="4" w:space="0" w:color="307C9A" w:themeColor="accent5" w:themeShade="99"/>
          <w:insideV w:val="nil"/>
        </w:tcBorders>
        <w:shd w:val="clear" w:color="auto" w:fill="307C9A"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07C9A" w:themeFill="accent5" w:themeFillShade="99"/>
      </w:tcPr>
    </w:tblStylePr>
    <w:tblStylePr w:type="band1Vert">
      <w:tblPr/>
      <w:tcPr>
        <w:shd w:val="clear" w:color="auto" w:fill="CAE4EE" w:themeFill="accent5" w:themeFillTint="66"/>
      </w:tcPr>
    </w:tblStylePr>
    <w:tblStylePr w:type="band1Horz">
      <w:tblPr/>
      <w:tcPr>
        <w:shd w:val="clear" w:color="auto" w:fill="BDDDEA"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9637A8"/>
    <w:pPr>
      <w:spacing w:after="0" w:line="240" w:lineRule="auto"/>
    </w:pPr>
    <w:rPr>
      <w:color w:val="000000" w:themeColor="text1"/>
    </w:rPr>
    <w:tblPr>
      <w:tblStyleRowBandSize w:val="1"/>
      <w:tblStyleColBandSize w:val="1"/>
      <w:tblBorders>
        <w:top w:val="single" w:sz="24" w:space="0" w:color="7BBDD6" w:themeColor="accent5"/>
        <w:left w:val="single" w:sz="4" w:space="0" w:color="428D52" w:themeColor="accent6"/>
        <w:bottom w:val="single" w:sz="4" w:space="0" w:color="428D52" w:themeColor="accent6"/>
        <w:right w:val="single" w:sz="4" w:space="0" w:color="428D52" w:themeColor="accent6"/>
        <w:insideH w:val="single" w:sz="4" w:space="0" w:color="FFFFFF" w:themeColor="background1"/>
        <w:insideV w:val="single" w:sz="4" w:space="0" w:color="FFFFFF" w:themeColor="background1"/>
      </w:tblBorders>
    </w:tblPr>
    <w:tcPr>
      <w:shd w:val="clear" w:color="auto" w:fill="EAF5EC" w:themeFill="accent6" w:themeFillTint="19"/>
    </w:tcPr>
    <w:tblStylePr w:type="firstRow">
      <w:rPr>
        <w:b/>
        <w:bCs/>
      </w:rPr>
      <w:tblPr/>
      <w:tcPr>
        <w:tcBorders>
          <w:top w:val="nil"/>
          <w:left w:val="nil"/>
          <w:bottom w:val="single" w:sz="24" w:space="0" w:color="7BBDD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5431" w:themeFill="accent6" w:themeFillShade="99"/>
      </w:tcPr>
    </w:tblStylePr>
    <w:tblStylePr w:type="firstCol">
      <w:rPr>
        <w:color w:val="FFFFFF" w:themeColor="background1"/>
      </w:rPr>
      <w:tblPr/>
      <w:tcPr>
        <w:tcBorders>
          <w:top w:val="nil"/>
          <w:left w:val="nil"/>
          <w:bottom w:val="nil"/>
          <w:right w:val="nil"/>
          <w:insideH w:val="single" w:sz="4" w:space="0" w:color="275431" w:themeColor="accent6" w:themeShade="99"/>
          <w:insideV w:val="nil"/>
        </w:tcBorders>
        <w:shd w:val="clear" w:color="auto" w:fill="275431"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75431" w:themeFill="accent6" w:themeFillShade="99"/>
      </w:tcPr>
    </w:tblStylePr>
    <w:tblStylePr w:type="band1Vert">
      <w:tblPr/>
      <w:tcPr>
        <w:shd w:val="clear" w:color="auto" w:fill="ACD8B5" w:themeFill="accent6" w:themeFillTint="66"/>
      </w:tcPr>
    </w:tblStylePr>
    <w:tblStylePr w:type="band1Horz">
      <w:tblPr/>
      <w:tcPr>
        <w:shd w:val="clear" w:color="auto" w:fill="98CFA3"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sid w:val="009637A8"/>
    <w:rPr>
      <w:sz w:val="16"/>
      <w:szCs w:val="16"/>
    </w:rPr>
  </w:style>
  <w:style w:type="paragraph" w:styleId="CommentText">
    <w:name w:val="annotation text"/>
    <w:basedOn w:val="Normal"/>
    <w:link w:val="CommentTextChar"/>
    <w:uiPriority w:val="99"/>
    <w:semiHidden/>
    <w:unhideWhenUsed/>
    <w:rsid w:val="009637A8"/>
    <w:pPr>
      <w:spacing w:after="160"/>
    </w:pPr>
    <w:rPr>
      <w:sz w:val="20"/>
      <w:szCs w:val="20"/>
    </w:rPr>
  </w:style>
  <w:style w:type="character" w:customStyle="1" w:styleId="CommentTextChar">
    <w:name w:val="Comment Text Char"/>
    <w:basedOn w:val="DefaultParagraphFont"/>
    <w:link w:val="CommentText"/>
    <w:uiPriority w:val="99"/>
    <w:semiHidden/>
    <w:rsid w:val="009637A8"/>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9637A8"/>
    <w:rPr>
      <w:b/>
      <w:bCs/>
    </w:rPr>
  </w:style>
  <w:style w:type="character" w:customStyle="1" w:styleId="CommentSubjectChar">
    <w:name w:val="Comment Subject Char"/>
    <w:basedOn w:val="CommentTextChar"/>
    <w:link w:val="CommentSubject"/>
    <w:uiPriority w:val="99"/>
    <w:semiHidden/>
    <w:rsid w:val="009637A8"/>
    <w:rPr>
      <w:rFonts w:ascii="Arial" w:hAnsi="Arial" w:cs="Arial"/>
      <w:b/>
      <w:bCs/>
      <w:sz w:val="20"/>
      <w:szCs w:val="20"/>
    </w:rPr>
  </w:style>
  <w:style w:type="table" w:styleId="DarkList">
    <w:name w:val="Dark List"/>
    <w:basedOn w:val="TableNormal"/>
    <w:uiPriority w:val="70"/>
    <w:semiHidden/>
    <w:unhideWhenUsed/>
    <w:rsid w:val="009637A8"/>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9637A8"/>
    <w:pPr>
      <w:spacing w:after="0" w:line="240" w:lineRule="auto"/>
    </w:pPr>
    <w:rPr>
      <w:color w:val="FFFFFF" w:themeColor="background1"/>
    </w:rPr>
    <w:tblPr>
      <w:tblStyleRowBandSize w:val="1"/>
      <w:tblStyleColBandSize w:val="1"/>
    </w:tblPr>
    <w:tcPr>
      <w:shd w:val="clear" w:color="auto" w:fill="9D85BE"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C3868"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72549D"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72549D" w:themeFill="accent1" w:themeFillShade="BF"/>
      </w:tcPr>
    </w:tblStylePr>
    <w:tblStylePr w:type="band1Vert">
      <w:tblPr/>
      <w:tcPr>
        <w:tcBorders>
          <w:top w:val="nil"/>
          <w:left w:val="nil"/>
          <w:bottom w:val="nil"/>
          <w:right w:val="nil"/>
          <w:insideH w:val="nil"/>
          <w:insideV w:val="nil"/>
        </w:tcBorders>
        <w:shd w:val="clear" w:color="auto" w:fill="72549D" w:themeFill="accent1" w:themeFillShade="BF"/>
      </w:tcPr>
    </w:tblStylePr>
    <w:tblStylePr w:type="band1Horz">
      <w:tblPr/>
      <w:tcPr>
        <w:tcBorders>
          <w:top w:val="nil"/>
          <w:left w:val="nil"/>
          <w:bottom w:val="nil"/>
          <w:right w:val="nil"/>
          <w:insideH w:val="nil"/>
          <w:insideV w:val="nil"/>
        </w:tcBorders>
        <w:shd w:val="clear" w:color="auto" w:fill="72549D" w:themeFill="accent1" w:themeFillShade="BF"/>
      </w:tcPr>
    </w:tblStylePr>
  </w:style>
  <w:style w:type="table" w:styleId="DarkList-Accent2">
    <w:name w:val="Dark List Accent 2"/>
    <w:basedOn w:val="TableNormal"/>
    <w:uiPriority w:val="70"/>
    <w:semiHidden/>
    <w:unhideWhenUsed/>
    <w:rsid w:val="009637A8"/>
    <w:pPr>
      <w:spacing w:after="0" w:line="240" w:lineRule="auto"/>
    </w:pPr>
    <w:rPr>
      <w:color w:val="FFFFFF" w:themeColor="background1"/>
    </w:rPr>
    <w:tblPr>
      <w:tblStyleRowBandSize w:val="1"/>
      <w:tblStyleColBandSize w:val="1"/>
    </w:tblPr>
    <w:tcPr>
      <w:shd w:val="clear" w:color="auto" w:fill="7D7D7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E3E3E"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5D5D5D"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5D5D5D" w:themeFill="accent2" w:themeFillShade="BF"/>
      </w:tcPr>
    </w:tblStylePr>
    <w:tblStylePr w:type="band1Vert">
      <w:tblPr/>
      <w:tcPr>
        <w:tcBorders>
          <w:top w:val="nil"/>
          <w:left w:val="nil"/>
          <w:bottom w:val="nil"/>
          <w:right w:val="nil"/>
          <w:insideH w:val="nil"/>
          <w:insideV w:val="nil"/>
        </w:tcBorders>
        <w:shd w:val="clear" w:color="auto" w:fill="5D5D5D" w:themeFill="accent2" w:themeFillShade="BF"/>
      </w:tcPr>
    </w:tblStylePr>
    <w:tblStylePr w:type="band1Horz">
      <w:tblPr/>
      <w:tcPr>
        <w:tcBorders>
          <w:top w:val="nil"/>
          <w:left w:val="nil"/>
          <w:bottom w:val="nil"/>
          <w:right w:val="nil"/>
          <w:insideH w:val="nil"/>
          <w:insideV w:val="nil"/>
        </w:tcBorders>
        <w:shd w:val="clear" w:color="auto" w:fill="5D5D5D" w:themeFill="accent2" w:themeFillShade="BF"/>
      </w:tcPr>
    </w:tblStylePr>
  </w:style>
  <w:style w:type="table" w:styleId="DarkList-Accent3">
    <w:name w:val="Dark List Accent 3"/>
    <w:basedOn w:val="TableNormal"/>
    <w:uiPriority w:val="70"/>
    <w:semiHidden/>
    <w:unhideWhenUsed/>
    <w:rsid w:val="009637A8"/>
    <w:pPr>
      <w:spacing w:after="0" w:line="240" w:lineRule="auto"/>
    </w:pPr>
    <w:rPr>
      <w:color w:val="FFFFFF" w:themeColor="background1"/>
    </w:rPr>
    <w:tblPr>
      <w:tblStyleRowBandSize w:val="1"/>
      <w:tblStyleColBandSize w:val="1"/>
    </w:tblPr>
    <w:tcPr>
      <w:shd w:val="clear" w:color="auto" w:fill="C8C8C8"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36363"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959595"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959595" w:themeFill="accent3" w:themeFillShade="BF"/>
      </w:tcPr>
    </w:tblStylePr>
    <w:tblStylePr w:type="band1Vert">
      <w:tblPr/>
      <w:tcPr>
        <w:tcBorders>
          <w:top w:val="nil"/>
          <w:left w:val="nil"/>
          <w:bottom w:val="nil"/>
          <w:right w:val="nil"/>
          <w:insideH w:val="nil"/>
          <w:insideV w:val="nil"/>
        </w:tcBorders>
        <w:shd w:val="clear" w:color="auto" w:fill="959595" w:themeFill="accent3" w:themeFillShade="BF"/>
      </w:tcPr>
    </w:tblStylePr>
    <w:tblStylePr w:type="band1Horz">
      <w:tblPr/>
      <w:tcPr>
        <w:tcBorders>
          <w:top w:val="nil"/>
          <w:left w:val="nil"/>
          <w:bottom w:val="nil"/>
          <w:right w:val="nil"/>
          <w:insideH w:val="nil"/>
          <w:insideV w:val="nil"/>
        </w:tcBorders>
        <w:shd w:val="clear" w:color="auto" w:fill="959595" w:themeFill="accent3" w:themeFillShade="BF"/>
      </w:tcPr>
    </w:tblStylePr>
  </w:style>
  <w:style w:type="table" w:styleId="DarkList-Accent4">
    <w:name w:val="Dark List Accent 4"/>
    <w:basedOn w:val="TableNormal"/>
    <w:uiPriority w:val="70"/>
    <w:semiHidden/>
    <w:unhideWhenUsed/>
    <w:rsid w:val="009637A8"/>
    <w:pPr>
      <w:spacing w:after="0" w:line="240" w:lineRule="auto"/>
    </w:pPr>
    <w:rPr>
      <w:color w:val="FFFFFF" w:themeColor="background1"/>
    </w:rPr>
    <w:tblPr>
      <w:tblStyleRowBandSize w:val="1"/>
      <w:tblStyleColBandSize w:val="1"/>
    </w:tblPr>
    <w:tcPr>
      <w:shd w:val="clear" w:color="auto" w:fill="006A9F"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344F"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04F77"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04F77" w:themeFill="accent4" w:themeFillShade="BF"/>
      </w:tcPr>
    </w:tblStylePr>
    <w:tblStylePr w:type="band1Vert">
      <w:tblPr/>
      <w:tcPr>
        <w:tcBorders>
          <w:top w:val="nil"/>
          <w:left w:val="nil"/>
          <w:bottom w:val="nil"/>
          <w:right w:val="nil"/>
          <w:insideH w:val="nil"/>
          <w:insideV w:val="nil"/>
        </w:tcBorders>
        <w:shd w:val="clear" w:color="auto" w:fill="004F77" w:themeFill="accent4" w:themeFillShade="BF"/>
      </w:tcPr>
    </w:tblStylePr>
    <w:tblStylePr w:type="band1Horz">
      <w:tblPr/>
      <w:tcPr>
        <w:tcBorders>
          <w:top w:val="nil"/>
          <w:left w:val="nil"/>
          <w:bottom w:val="nil"/>
          <w:right w:val="nil"/>
          <w:insideH w:val="nil"/>
          <w:insideV w:val="nil"/>
        </w:tcBorders>
        <w:shd w:val="clear" w:color="auto" w:fill="004F77" w:themeFill="accent4" w:themeFillShade="BF"/>
      </w:tcPr>
    </w:tblStylePr>
  </w:style>
  <w:style w:type="table" w:styleId="DarkList-Accent5">
    <w:name w:val="Dark List Accent 5"/>
    <w:basedOn w:val="TableNormal"/>
    <w:uiPriority w:val="70"/>
    <w:semiHidden/>
    <w:unhideWhenUsed/>
    <w:rsid w:val="009637A8"/>
    <w:pPr>
      <w:spacing w:after="0" w:line="240" w:lineRule="auto"/>
    </w:pPr>
    <w:rPr>
      <w:color w:val="FFFFFF" w:themeColor="background1"/>
    </w:rPr>
    <w:tblPr>
      <w:tblStyleRowBandSize w:val="1"/>
      <w:tblStyleColBandSize w:val="1"/>
    </w:tblPr>
    <w:tcPr>
      <w:shd w:val="clear" w:color="auto" w:fill="7BBDD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7677F"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C9BC0"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C9BC0" w:themeFill="accent5" w:themeFillShade="BF"/>
      </w:tcPr>
    </w:tblStylePr>
    <w:tblStylePr w:type="band1Vert">
      <w:tblPr/>
      <w:tcPr>
        <w:tcBorders>
          <w:top w:val="nil"/>
          <w:left w:val="nil"/>
          <w:bottom w:val="nil"/>
          <w:right w:val="nil"/>
          <w:insideH w:val="nil"/>
          <w:insideV w:val="nil"/>
        </w:tcBorders>
        <w:shd w:val="clear" w:color="auto" w:fill="3C9BC0" w:themeFill="accent5" w:themeFillShade="BF"/>
      </w:tcPr>
    </w:tblStylePr>
    <w:tblStylePr w:type="band1Horz">
      <w:tblPr/>
      <w:tcPr>
        <w:tcBorders>
          <w:top w:val="nil"/>
          <w:left w:val="nil"/>
          <w:bottom w:val="nil"/>
          <w:right w:val="nil"/>
          <w:insideH w:val="nil"/>
          <w:insideV w:val="nil"/>
        </w:tcBorders>
        <w:shd w:val="clear" w:color="auto" w:fill="3C9BC0" w:themeFill="accent5" w:themeFillShade="BF"/>
      </w:tcPr>
    </w:tblStylePr>
  </w:style>
  <w:style w:type="table" w:styleId="DarkList-Accent6">
    <w:name w:val="Dark List Accent 6"/>
    <w:basedOn w:val="TableNormal"/>
    <w:uiPriority w:val="70"/>
    <w:semiHidden/>
    <w:unhideWhenUsed/>
    <w:rsid w:val="009637A8"/>
    <w:pPr>
      <w:spacing w:after="0" w:line="240" w:lineRule="auto"/>
    </w:pPr>
    <w:rPr>
      <w:color w:val="FFFFFF" w:themeColor="background1"/>
    </w:rPr>
    <w:tblPr>
      <w:tblStyleRowBandSize w:val="1"/>
      <w:tblStyleColBandSize w:val="1"/>
    </w:tblPr>
    <w:tcPr>
      <w:shd w:val="clear" w:color="auto" w:fill="428D52"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14628"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1693D"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1693D" w:themeFill="accent6" w:themeFillShade="BF"/>
      </w:tcPr>
    </w:tblStylePr>
    <w:tblStylePr w:type="band1Vert">
      <w:tblPr/>
      <w:tcPr>
        <w:tcBorders>
          <w:top w:val="nil"/>
          <w:left w:val="nil"/>
          <w:bottom w:val="nil"/>
          <w:right w:val="nil"/>
          <w:insideH w:val="nil"/>
          <w:insideV w:val="nil"/>
        </w:tcBorders>
        <w:shd w:val="clear" w:color="auto" w:fill="31693D" w:themeFill="accent6" w:themeFillShade="BF"/>
      </w:tcPr>
    </w:tblStylePr>
    <w:tblStylePr w:type="band1Horz">
      <w:tblPr/>
      <w:tcPr>
        <w:tcBorders>
          <w:top w:val="nil"/>
          <w:left w:val="nil"/>
          <w:bottom w:val="nil"/>
          <w:right w:val="nil"/>
          <w:insideH w:val="nil"/>
          <w:insideV w:val="nil"/>
        </w:tcBorders>
        <w:shd w:val="clear" w:color="auto" w:fill="31693D" w:themeFill="accent6" w:themeFillShade="BF"/>
      </w:tcPr>
    </w:tblStylePr>
  </w:style>
  <w:style w:type="paragraph" w:styleId="Date">
    <w:name w:val="Date"/>
    <w:basedOn w:val="Normal"/>
    <w:next w:val="Normal"/>
    <w:link w:val="DateChar"/>
    <w:uiPriority w:val="99"/>
    <w:semiHidden/>
    <w:unhideWhenUsed/>
    <w:rsid w:val="009637A8"/>
    <w:pPr>
      <w:spacing w:after="160" w:line="259" w:lineRule="auto"/>
    </w:pPr>
  </w:style>
  <w:style w:type="character" w:customStyle="1" w:styleId="DateChar">
    <w:name w:val="Date Char"/>
    <w:basedOn w:val="DefaultParagraphFont"/>
    <w:link w:val="Date"/>
    <w:uiPriority w:val="99"/>
    <w:semiHidden/>
    <w:rsid w:val="009637A8"/>
    <w:rPr>
      <w:rFonts w:ascii="Arial" w:hAnsi="Arial" w:cs="Arial"/>
    </w:rPr>
  </w:style>
  <w:style w:type="paragraph" w:styleId="DocumentMap">
    <w:name w:val="Document Map"/>
    <w:basedOn w:val="Normal"/>
    <w:link w:val="DocumentMapChar"/>
    <w:uiPriority w:val="99"/>
    <w:semiHidden/>
    <w:unhideWhenUsed/>
    <w:rsid w:val="009637A8"/>
    <w:pPr>
      <w:spacing w:after="0"/>
    </w:pPr>
    <w:rPr>
      <w:sz w:val="16"/>
      <w:szCs w:val="16"/>
    </w:rPr>
  </w:style>
  <w:style w:type="character" w:customStyle="1" w:styleId="DocumentMapChar">
    <w:name w:val="Document Map Char"/>
    <w:basedOn w:val="DefaultParagraphFont"/>
    <w:link w:val="DocumentMap"/>
    <w:uiPriority w:val="99"/>
    <w:semiHidden/>
    <w:rsid w:val="009637A8"/>
    <w:rPr>
      <w:rFonts w:ascii="Arial" w:hAnsi="Arial" w:cs="Arial"/>
      <w:sz w:val="16"/>
      <w:szCs w:val="16"/>
    </w:rPr>
  </w:style>
  <w:style w:type="paragraph" w:styleId="E-mailSignature">
    <w:name w:val="E-mail Signature"/>
    <w:basedOn w:val="Normal"/>
    <w:link w:val="E-mailSignatureChar"/>
    <w:uiPriority w:val="99"/>
    <w:semiHidden/>
    <w:unhideWhenUsed/>
    <w:rsid w:val="009637A8"/>
    <w:pPr>
      <w:spacing w:after="0"/>
    </w:pPr>
  </w:style>
  <w:style w:type="character" w:customStyle="1" w:styleId="E-mailSignatureChar">
    <w:name w:val="E-mail Signature Char"/>
    <w:basedOn w:val="DefaultParagraphFont"/>
    <w:link w:val="E-mailSignature"/>
    <w:uiPriority w:val="99"/>
    <w:semiHidden/>
    <w:rsid w:val="009637A8"/>
    <w:rPr>
      <w:rFonts w:ascii="Arial" w:hAnsi="Arial" w:cs="Arial"/>
    </w:rPr>
  </w:style>
  <w:style w:type="character" w:styleId="Emphasis">
    <w:name w:val="Emphasis"/>
    <w:basedOn w:val="DefaultParagraphFont"/>
    <w:uiPriority w:val="20"/>
    <w:qFormat/>
    <w:rsid w:val="009637A8"/>
    <w:rPr>
      <w:i/>
      <w:iCs/>
    </w:rPr>
  </w:style>
  <w:style w:type="character" w:styleId="EndnoteReference">
    <w:name w:val="endnote reference"/>
    <w:basedOn w:val="DefaultParagraphFont"/>
    <w:uiPriority w:val="99"/>
    <w:semiHidden/>
    <w:unhideWhenUsed/>
    <w:rsid w:val="009637A8"/>
    <w:rPr>
      <w:vertAlign w:val="superscript"/>
    </w:rPr>
  </w:style>
  <w:style w:type="paragraph" w:styleId="EndnoteText">
    <w:name w:val="endnote text"/>
    <w:basedOn w:val="Normal"/>
    <w:link w:val="EndnoteTextChar"/>
    <w:uiPriority w:val="99"/>
    <w:semiHidden/>
    <w:unhideWhenUsed/>
    <w:rsid w:val="009637A8"/>
    <w:pPr>
      <w:spacing w:after="0"/>
    </w:pPr>
    <w:rPr>
      <w:sz w:val="20"/>
      <w:szCs w:val="20"/>
    </w:rPr>
  </w:style>
  <w:style w:type="character" w:customStyle="1" w:styleId="EndnoteTextChar">
    <w:name w:val="Endnote Text Char"/>
    <w:basedOn w:val="DefaultParagraphFont"/>
    <w:link w:val="EndnoteText"/>
    <w:uiPriority w:val="99"/>
    <w:semiHidden/>
    <w:rsid w:val="009637A8"/>
    <w:rPr>
      <w:rFonts w:ascii="Arial" w:hAnsi="Arial" w:cs="Arial"/>
      <w:sz w:val="20"/>
      <w:szCs w:val="20"/>
    </w:rPr>
  </w:style>
  <w:style w:type="paragraph" w:styleId="EnvelopeAddress">
    <w:name w:val="envelope address"/>
    <w:basedOn w:val="Normal"/>
    <w:uiPriority w:val="99"/>
    <w:semiHidden/>
    <w:unhideWhenUsed/>
    <w:rsid w:val="009637A8"/>
    <w:pPr>
      <w:framePr w:w="7920" w:h="1980" w:hRule="exact" w:hSpace="180" w:wrap="auto" w:hAnchor="page" w:xAlign="center" w:yAlign="bottom"/>
      <w:spacing w:after="0"/>
      <w:ind w:left="2880"/>
    </w:pPr>
    <w:rPr>
      <w:rFonts w:eastAsiaTheme="majorEastAsia"/>
      <w:sz w:val="24"/>
      <w:szCs w:val="24"/>
    </w:rPr>
  </w:style>
  <w:style w:type="paragraph" w:styleId="EnvelopeReturn">
    <w:name w:val="envelope return"/>
    <w:basedOn w:val="Normal"/>
    <w:uiPriority w:val="99"/>
    <w:semiHidden/>
    <w:unhideWhenUsed/>
    <w:rsid w:val="009637A8"/>
    <w:pPr>
      <w:spacing w:after="0"/>
    </w:pPr>
    <w:rPr>
      <w:rFonts w:eastAsiaTheme="majorEastAsia"/>
      <w:sz w:val="20"/>
      <w:szCs w:val="20"/>
    </w:rPr>
  </w:style>
  <w:style w:type="character" w:styleId="FollowedHyperlink">
    <w:name w:val="FollowedHyperlink"/>
    <w:basedOn w:val="DefaultParagraphFont"/>
    <w:uiPriority w:val="99"/>
    <w:semiHidden/>
    <w:unhideWhenUsed/>
    <w:rsid w:val="009637A8"/>
    <w:rPr>
      <w:color w:val="9FD18B" w:themeColor="followedHyperlink"/>
      <w:u w:val="single"/>
    </w:rPr>
  </w:style>
  <w:style w:type="paragraph" w:styleId="Footer">
    <w:name w:val="footer"/>
    <w:basedOn w:val="Normal-nospace"/>
    <w:link w:val="FooterChar"/>
    <w:uiPriority w:val="99"/>
    <w:unhideWhenUsed/>
    <w:rsid w:val="00825F33"/>
    <w:pPr>
      <w:tabs>
        <w:tab w:val="center" w:pos="4513"/>
        <w:tab w:val="right" w:pos="9026"/>
      </w:tabs>
      <w:spacing w:line="240" w:lineRule="auto"/>
    </w:pPr>
    <w:rPr>
      <w:rFonts w:ascii="Arial" w:hAnsi="Arial"/>
    </w:rPr>
  </w:style>
  <w:style w:type="character" w:customStyle="1" w:styleId="FooterChar">
    <w:name w:val="Footer Char"/>
    <w:basedOn w:val="DefaultParagraphFont"/>
    <w:link w:val="Footer"/>
    <w:uiPriority w:val="99"/>
    <w:rsid w:val="00825F33"/>
    <w:rPr>
      <w:rFonts w:ascii="Arial" w:hAnsi="Arial" w:cs="Arial"/>
      <w:color w:val="000100"/>
    </w:rPr>
  </w:style>
  <w:style w:type="character" w:styleId="FootnoteReference">
    <w:name w:val="footnote reference"/>
    <w:basedOn w:val="DefaultParagraphFont"/>
    <w:uiPriority w:val="99"/>
    <w:unhideWhenUsed/>
    <w:rsid w:val="009637A8"/>
    <w:rPr>
      <w:vertAlign w:val="superscript"/>
    </w:rPr>
  </w:style>
  <w:style w:type="paragraph" w:styleId="FootnoteText">
    <w:name w:val="footnote text"/>
    <w:aliases w:val="Footnote Text Char Char"/>
    <w:basedOn w:val="Normal-nospace"/>
    <w:link w:val="FootnoteTextChar"/>
    <w:uiPriority w:val="99"/>
    <w:unhideWhenUsed/>
    <w:rsid w:val="00825F33"/>
    <w:pPr>
      <w:spacing w:after="90" w:line="240" w:lineRule="auto"/>
    </w:pPr>
    <w:rPr>
      <w:rFonts w:ascii="Arial" w:hAnsi="Arial"/>
      <w:szCs w:val="20"/>
    </w:rPr>
  </w:style>
  <w:style w:type="character" w:customStyle="1" w:styleId="FootnoteTextChar">
    <w:name w:val="Footnote Text Char"/>
    <w:aliases w:val="Footnote Text Char Char Char"/>
    <w:basedOn w:val="DefaultParagraphFont"/>
    <w:link w:val="FootnoteText"/>
    <w:uiPriority w:val="99"/>
    <w:rsid w:val="00825F33"/>
    <w:rPr>
      <w:rFonts w:ascii="Arial" w:hAnsi="Arial" w:cs="Arial"/>
      <w:color w:val="000100"/>
      <w:szCs w:val="20"/>
    </w:rPr>
  </w:style>
  <w:style w:type="table" w:styleId="GridTable1Light">
    <w:name w:val="Grid Table 1 Light"/>
    <w:basedOn w:val="TableNormal"/>
    <w:uiPriority w:val="46"/>
    <w:rsid w:val="009637A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9637A8"/>
    <w:pPr>
      <w:spacing w:after="0" w:line="240" w:lineRule="auto"/>
    </w:pPr>
    <w:tblPr>
      <w:tblStyleRowBandSize w:val="1"/>
      <w:tblStyleColBandSize w:val="1"/>
      <w:tblBorders>
        <w:top w:val="single" w:sz="4" w:space="0" w:color="D7CEE5" w:themeColor="accent1" w:themeTint="66"/>
        <w:left w:val="single" w:sz="4" w:space="0" w:color="D7CEE5" w:themeColor="accent1" w:themeTint="66"/>
        <w:bottom w:val="single" w:sz="4" w:space="0" w:color="D7CEE5" w:themeColor="accent1" w:themeTint="66"/>
        <w:right w:val="single" w:sz="4" w:space="0" w:color="D7CEE5" w:themeColor="accent1" w:themeTint="66"/>
        <w:insideH w:val="single" w:sz="4" w:space="0" w:color="D7CEE5" w:themeColor="accent1" w:themeTint="66"/>
        <w:insideV w:val="single" w:sz="4" w:space="0" w:color="D7CEE5" w:themeColor="accent1" w:themeTint="66"/>
      </w:tblBorders>
    </w:tblPr>
    <w:tblStylePr w:type="firstRow">
      <w:rPr>
        <w:b/>
        <w:bCs/>
      </w:rPr>
      <w:tblPr/>
      <w:tcPr>
        <w:tcBorders>
          <w:bottom w:val="single" w:sz="12" w:space="0" w:color="C4B5D8" w:themeColor="accent1" w:themeTint="99"/>
        </w:tcBorders>
      </w:tcPr>
    </w:tblStylePr>
    <w:tblStylePr w:type="lastRow">
      <w:rPr>
        <w:b/>
        <w:bCs/>
      </w:rPr>
      <w:tblPr/>
      <w:tcPr>
        <w:tcBorders>
          <w:top w:val="double" w:sz="2" w:space="0" w:color="C4B5D8"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9637A8"/>
    <w:pPr>
      <w:spacing w:after="0" w:line="240" w:lineRule="auto"/>
    </w:pPr>
    <w:tblPr>
      <w:tblStyleRowBandSize w:val="1"/>
      <w:tblStyleColBandSize w:val="1"/>
      <w:tblBorders>
        <w:top w:val="single" w:sz="4" w:space="0" w:color="CBCBCB" w:themeColor="accent2" w:themeTint="66"/>
        <w:left w:val="single" w:sz="4" w:space="0" w:color="CBCBCB" w:themeColor="accent2" w:themeTint="66"/>
        <w:bottom w:val="single" w:sz="4" w:space="0" w:color="CBCBCB" w:themeColor="accent2" w:themeTint="66"/>
        <w:right w:val="single" w:sz="4" w:space="0" w:color="CBCBCB" w:themeColor="accent2" w:themeTint="66"/>
        <w:insideH w:val="single" w:sz="4" w:space="0" w:color="CBCBCB" w:themeColor="accent2" w:themeTint="66"/>
        <w:insideV w:val="single" w:sz="4" w:space="0" w:color="CBCBCB" w:themeColor="accent2" w:themeTint="66"/>
      </w:tblBorders>
    </w:tblPr>
    <w:tblStylePr w:type="firstRow">
      <w:rPr>
        <w:b/>
        <w:bCs/>
      </w:rPr>
      <w:tblPr/>
      <w:tcPr>
        <w:tcBorders>
          <w:bottom w:val="single" w:sz="12" w:space="0" w:color="B1B1B1" w:themeColor="accent2" w:themeTint="99"/>
        </w:tcBorders>
      </w:tcPr>
    </w:tblStylePr>
    <w:tblStylePr w:type="lastRow">
      <w:rPr>
        <w:b/>
        <w:bCs/>
      </w:rPr>
      <w:tblPr/>
      <w:tcPr>
        <w:tcBorders>
          <w:top w:val="double" w:sz="2" w:space="0" w:color="B1B1B1"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9637A8"/>
    <w:pPr>
      <w:spacing w:after="0" w:line="240" w:lineRule="auto"/>
    </w:pPr>
    <w:tblPr>
      <w:tblStyleRowBandSize w:val="1"/>
      <w:tblStyleColBandSize w:val="1"/>
      <w:tblBorders>
        <w:top w:val="single" w:sz="4" w:space="0" w:color="E9E9E9" w:themeColor="accent3" w:themeTint="66"/>
        <w:left w:val="single" w:sz="4" w:space="0" w:color="E9E9E9" w:themeColor="accent3" w:themeTint="66"/>
        <w:bottom w:val="single" w:sz="4" w:space="0" w:color="E9E9E9" w:themeColor="accent3" w:themeTint="66"/>
        <w:right w:val="single" w:sz="4" w:space="0" w:color="E9E9E9" w:themeColor="accent3" w:themeTint="66"/>
        <w:insideH w:val="single" w:sz="4" w:space="0" w:color="E9E9E9" w:themeColor="accent3" w:themeTint="66"/>
        <w:insideV w:val="single" w:sz="4" w:space="0" w:color="E9E9E9" w:themeColor="accent3" w:themeTint="66"/>
      </w:tblBorders>
    </w:tblPr>
    <w:tblStylePr w:type="firstRow">
      <w:rPr>
        <w:b/>
        <w:bCs/>
      </w:rPr>
      <w:tblPr/>
      <w:tcPr>
        <w:tcBorders>
          <w:bottom w:val="single" w:sz="12" w:space="0" w:color="DEDEDE" w:themeColor="accent3" w:themeTint="99"/>
        </w:tcBorders>
      </w:tcPr>
    </w:tblStylePr>
    <w:tblStylePr w:type="lastRow">
      <w:rPr>
        <w:b/>
        <w:bCs/>
      </w:rPr>
      <w:tblPr/>
      <w:tcPr>
        <w:tcBorders>
          <w:top w:val="double" w:sz="2" w:space="0" w:color="DEDEDE"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9637A8"/>
    <w:pPr>
      <w:spacing w:after="0" w:line="240" w:lineRule="auto"/>
    </w:pPr>
    <w:tblPr>
      <w:tblStyleRowBandSize w:val="1"/>
      <w:tblStyleColBandSize w:val="1"/>
      <w:tblBorders>
        <w:top w:val="single" w:sz="4" w:space="0" w:color="72D0FF" w:themeColor="accent4" w:themeTint="66"/>
        <w:left w:val="single" w:sz="4" w:space="0" w:color="72D0FF" w:themeColor="accent4" w:themeTint="66"/>
        <w:bottom w:val="single" w:sz="4" w:space="0" w:color="72D0FF" w:themeColor="accent4" w:themeTint="66"/>
        <w:right w:val="single" w:sz="4" w:space="0" w:color="72D0FF" w:themeColor="accent4" w:themeTint="66"/>
        <w:insideH w:val="single" w:sz="4" w:space="0" w:color="72D0FF" w:themeColor="accent4" w:themeTint="66"/>
        <w:insideV w:val="single" w:sz="4" w:space="0" w:color="72D0FF" w:themeColor="accent4" w:themeTint="66"/>
      </w:tblBorders>
    </w:tblPr>
    <w:tblStylePr w:type="firstRow">
      <w:rPr>
        <w:b/>
        <w:bCs/>
      </w:rPr>
      <w:tblPr/>
      <w:tcPr>
        <w:tcBorders>
          <w:bottom w:val="single" w:sz="12" w:space="0" w:color="2CB8FF" w:themeColor="accent4" w:themeTint="99"/>
        </w:tcBorders>
      </w:tcPr>
    </w:tblStylePr>
    <w:tblStylePr w:type="lastRow">
      <w:rPr>
        <w:b/>
        <w:bCs/>
      </w:rPr>
      <w:tblPr/>
      <w:tcPr>
        <w:tcBorders>
          <w:top w:val="double" w:sz="2" w:space="0" w:color="2CB8FF"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9637A8"/>
    <w:pPr>
      <w:spacing w:after="0" w:line="240" w:lineRule="auto"/>
    </w:pPr>
    <w:tblPr>
      <w:tblStyleRowBandSize w:val="1"/>
      <w:tblStyleColBandSize w:val="1"/>
      <w:tblBorders>
        <w:top w:val="single" w:sz="4" w:space="0" w:color="CAE4EE" w:themeColor="accent5" w:themeTint="66"/>
        <w:left w:val="single" w:sz="4" w:space="0" w:color="CAE4EE" w:themeColor="accent5" w:themeTint="66"/>
        <w:bottom w:val="single" w:sz="4" w:space="0" w:color="CAE4EE" w:themeColor="accent5" w:themeTint="66"/>
        <w:right w:val="single" w:sz="4" w:space="0" w:color="CAE4EE" w:themeColor="accent5" w:themeTint="66"/>
        <w:insideH w:val="single" w:sz="4" w:space="0" w:color="CAE4EE" w:themeColor="accent5" w:themeTint="66"/>
        <w:insideV w:val="single" w:sz="4" w:space="0" w:color="CAE4EE" w:themeColor="accent5" w:themeTint="66"/>
      </w:tblBorders>
    </w:tblPr>
    <w:tblStylePr w:type="firstRow">
      <w:rPr>
        <w:b/>
        <w:bCs/>
      </w:rPr>
      <w:tblPr/>
      <w:tcPr>
        <w:tcBorders>
          <w:bottom w:val="single" w:sz="12" w:space="0" w:color="AFD7E6" w:themeColor="accent5" w:themeTint="99"/>
        </w:tcBorders>
      </w:tcPr>
    </w:tblStylePr>
    <w:tblStylePr w:type="lastRow">
      <w:rPr>
        <w:b/>
        <w:bCs/>
      </w:rPr>
      <w:tblPr/>
      <w:tcPr>
        <w:tcBorders>
          <w:top w:val="double" w:sz="2" w:space="0" w:color="AFD7E6"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9637A8"/>
    <w:pPr>
      <w:spacing w:after="0" w:line="240" w:lineRule="auto"/>
    </w:pPr>
    <w:tblPr>
      <w:tblStyleRowBandSize w:val="1"/>
      <w:tblStyleColBandSize w:val="1"/>
      <w:tblBorders>
        <w:top w:val="single" w:sz="4" w:space="0" w:color="ACD8B5" w:themeColor="accent6" w:themeTint="66"/>
        <w:left w:val="single" w:sz="4" w:space="0" w:color="ACD8B5" w:themeColor="accent6" w:themeTint="66"/>
        <w:bottom w:val="single" w:sz="4" w:space="0" w:color="ACD8B5" w:themeColor="accent6" w:themeTint="66"/>
        <w:right w:val="single" w:sz="4" w:space="0" w:color="ACD8B5" w:themeColor="accent6" w:themeTint="66"/>
        <w:insideH w:val="single" w:sz="4" w:space="0" w:color="ACD8B5" w:themeColor="accent6" w:themeTint="66"/>
        <w:insideV w:val="single" w:sz="4" w:space="0" w:color="ACD8B5" w:themeColor="accent6" w:themeTint="66"/>
      </w:tblBorders>
    </w:tblPr>
    <w:tblStylePr w:type="firstRow">
      <w:rPr>
        <w:b/>
        <w:bCs/>
      </w:rPr>
      <w:tblPr/>
      <w:tcPr>
        <w:tcBorders>
          <w:bottom w:val="single" w:sz="12" w:space="0" w:color="83C590" w:themeColor="accent6" w:themeTint="99"/>
        </w:tcBorders>
      </w:tcPr>
    </w:tblStylePr>
    <w:tblStylePr w:type="lastRow">
      <w:rPr>
        <w:b/>
        <w:bCs/>
      </w:rPr>
      <w:tblPr/>
      <w:tcPr>
        <w:tcBorders>
          <w:top w:val="double" w:sz="2" w:space="0" w:color="83C590"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9637A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9637A8"/>
    <w:pPr>
      <w:spacing w:after="0" w:line="240" w:lineRule="auto"/>
    </w:pPr>
    <w:tblPr>
      <w:tblStyleRowBandSize w:val="1"/>
      <w:tblStyleColBandSize w:val="1"/>
      <w:tblBorders>
        <w:top w:val="single" w:sz="2" w:space="0" w:color="C4B5D8" w:themeColor="accent1" w:themeTint="99"/>
        <w:bottom w:val="single" w:sz="2" w:space="0" w:color="C4B5D8" w:themeColor="accent1" w:themeTint="99"/>
        <w:insideH w:val="single" w:sz="2" w:space="0" w:color="C4B5D8" w:themeColor="accent1" w:themeTint="99"/>
        <w:insideV w:val="single" w:sz="2" w:space="0" w:color="C4B5D8" w:themeColor="accent1" w:themeTint="99"/>
      </w:tblBorders>
    </w:tblPr>
    <w:tblStylePr w:type="firstRow">
      <w:rPr>
        <w:b/>
        <w:bCs/>
      </w:rPr>
      <w:tblPr/>
      <w:tcPr>
        <w:tcBorders>
          <w:top w:val="nil"/>
          <w:bottom w:val="single" w:sz="12" w:space="0" w:color="C4B5D8" w:themeColor="accent1" w:themeTint="99"/>
          <w:insideH w:val="nil"/>
          <w:insideV w:val="nil"/>
        </w:tcBorders>
        <w:shd w:val="clear" w:color="auto" w:fill="FFFFFF" w:themeFill="background1"/>
      </w:tcPr>
    </w:tblStylePr>
    <w:tblStylePr w:type="lastRow">
      <w:rPr>
        <w:b/>
        <w:bCs/>
      </w:rPr>
      <w:tblPr/>
      <w:tcPr>
        <w:tcBorders>
          <w:top w:val="double" w:sz="2" w:space="0" w:color="C4B5D8"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BE6F2" w:themeFill="accent1" w:themeFillTint="33"/>
      </w:tcPr>
    </w:tblStylePr>
    <w:tblStylePr w:type="band1Horz">
      <w:tblPr/>
      <w:tcPr>
        <w:shd w:val="clear" w:color="auto" w:fill="EBE6F2" w:themeFill="accent1" w:themeFillTint="33"/>
      </w:tcPr>
    </w:tblStylePr>
  </w:style>
  <w:style w:type="table" w:styleId="GridTable2-Accent2">
    <w:name w:val="Grid Table 2 Accent 2"/>
    <w:basedOn w:val="TableNormal"/>
    <w:uiPriority w:val="47"/>
    <w:rsid w:val="009637A8"/>
    <w:pPr>
      <w:spacing w:after="0" w:line="240" w:lineRule="auto"/>
    </w:pPr>
    <w:tblPr>
      <w:tblStyleRowBandSize w:val="1"/>
      <w:tblStyleColBandSize w:val="1"/>
      <w:tblBorders>
        <w:top w:val="single" w:sz="2" w:space="0" w:color="B1B1B1" w:themeColor="accent2" w:themeTint="99"/>
        <w:bottom w:val="single" w:sz="2" w:space="0" w:color="B1B1B1" w:themeColor="accent2" w:themeTint="99"/>
        <w:insideH w:val="single" w:sz="2" w:space="0" w:color="B1B1B1" w:themeColor="accent2" w:themeTint="99"/>
        <w:insideV w:val="single" w:sz="2" w:space="0" w:color="B1B1B1" w:themeColor="accent2" w:themeTint="99"/>
      </w:tblBorders>
    </w:tblPr>
    <w:tblStylePr w:type="firstRow">
      <w:rPr>
        <w:b/>
        <w:bCs/>
      </w:rPr>
      <w:tblPr/>
      <w:tcPr>
        <w:tcBorders>
          <w:top w:val="nil"/>
          <w:bottom w:val="single" w:sz="12" w:space="0" w:color="B1B1B1" w:themeColor="accent2" w:themeTint="99"/>
          <w:insideH w:val="nil"/>
          <w:insideV w:val="nil"/>
        </w:tcBorders>
        <w:shd w:val="clear" w:color="auto" w:fill="FFFFFF" w:themeFill="background1"/>
      </w:tcPr>
    </w:tblStylePr>
    <w:tblStylePr w:type="lastRow">
      <w:rPr>
        <w:b/>
        <w:bCs/>
      </w:rPr>
      <w:tblPr/>
      <w:tcPr>
        <w:tcBorders>
          <w:top w:val="double" w:sz="2" w:space="0" w:color="B1B1B1"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5E5" w:themeFill="accent2" w:themeFillTint="33"/>
      </w:tcPr>
    </w:tblStylePr>
    <w:tblStylePr w:type="band1Horz">
      <w:tblPr/>
      <w:tcPr>
        <w:shd w:val="clear" w:color="auto" w:fill="E5E5E5" w:themeFill="accent2" w:themeFillTint="33"/>
      </w:tcPr>
    </w:tblStylePr>
  </w:style>
  <w:style w:type="table" w:styleId="GridTable2-Accent3">
    <w:name w:val="Grid Table 2 Accent 3"/>
    <w:basedOn w:val="TableNormal"/>
    <w:uiPriority w:val="47"/>
    <w:rsid w:val="009637A8"/>
    <w:pPr>
      <w:spacing w:after="0" w:line="240" w:lineRule="auto"/>
    </w:pPr>
    <w:tblPr>
      <w:tblStyleRowBandSize w:val="1"/>
      <w:tblStyleColBandSize w:val="1"/>
      <w:tblBorders>
        <w:top w:val="single" w:sz="2" w:space="0" w:color="DEDEDE" w:themeColor="accent3" w:themeTint="99"/>
        <w:bottom w:val="single" w:sz="2" w:space="0" w:color="DEDEDE" w:themeColor="accent3" w:themeTint="99"/>
        <w:insideH w:val="single" w:sz="2" w:space="0" w:color="DEDEDE" w:themeColor="accent3" w:themeTint="99"/>
        <w:insideV w:val="single" w:sz="2" w:space="0" w:color="DEDEDE" w:themeColor="accent3" w:themeTint="99"/>
      </w:tblBorders>
    </w:tblPr>
    <w:tblStylePr w:type="firstRow">
      <w:rPr>
        <w:b/>
        <w:bCs/>
      </w:rPr>
      <w:tblPr/>
      <w:tcPr>
        <w:tcBorders>
          <w:top w:val="nil"/>
          <w:bottom w:val="single" w:sz="12" w:space="0" w:color="DEDEDE" w:themeColor="accent3" w:themeTint="99"/>
          <w:insideH w:val="nil"/>
          <w:insideV w:val="nil"/>
        </w:tcBorders>
        <w:shd w:val="clear" w:color="auto" w:fill="FFFFFF" w:themeFill="background1"/>
      </w:tcPr>
    </w:tblStylePr>
    <w:tblStylePr w:type="lastRow">
      <w:rPr>
        <w:b/>
        <w:bCs/>
      </w:rPr>
      <w:tblPr/>
      <w:tcPr>
        <w:tcBorders>
          <w:top w:val="double" w:sz="2" w:space="0" w:color="DEDEDE"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F4F4" w:themeFill="accent3" w:themeFillTint="33"/>
      </w:tcPr>
    </w:tblStylePr>
    <w:tblStylePr w:type="band1Horz">
      <w:tblPr/>
      <w:tcPr>
        <w:shd w:val="clear" w:color="auto" w:fill="F4F4F4" w:themeFill="accent3" w:themeFillTint="33"/>
      </w:tcPr>
    </w:tblStylePr>
  </w:style>
  <w:style w:type="table" w:styleId="GridTable2-Accent4">
    <w:name w:val="Grid Table 2 Accent 4"/>
    <w:basedOn w:val="TableNormal"/>
    <w:uiPriority w:val="47"/>
    <w:rsid w:val="009637A8"/>
    <w:pPr>
      <w:spacing w:after="0" w:line="240" w:lineRule="auto"/>
    </w:pPr>
    <w:tblPr>
      <w:tblStyleRowBandSize w:val="1"/>
      <w:tblStyleColBandSize w:val="1"/>
      <w:tblBorders>
        <w:top w:val="single" w:sz="2" w:space="0" w:color="2CB8FF" w:themeColor="accent4" w:themeTint="99"/>
        <w:bottom w:val="single" w:sz="2" w:space="0" w:color="2CB8FF" w:themeColor="accent4" w:themeTint="99"/>
        <w:insideH w:val="single" w:sz="2" w:space="0" w:color="2CB8FF" w:themeColor="accent4" w:themeTint="99"/>
        <w:insideV w:val="single" w:sz="2" w:space="0" w:color="2CB8FF" w:themeColor="accent4" w:themeTint="99"/>
      </w:tblBorders>
    </w:tblPr>
    <w:tblStylePr w:type="firstRow">
      <w:rPr>
        <w:b/>
        <w:bCs/>
      </w:rPr>
      <w:tblPr/>
      <w:tcPr>
        <w:tcBorders>
          <w:top w:val="nil"/>
          <w:bottom w:val="single" w:sz="12" w:space="0" w:color="2CB8FF" w:themeColor="accent4" w:themeTint="99"/>
          <w:insideH w:val="nil"/>
          <w:insideV w:val="nil"/>
        </w:tcBorders>
        <w:shd w:val="clear" w:color="auto" w:fill="FFFFFF" w:themeFill="background1"/>
      </w:tcPr>
    </w:tblStylePr>
    <w:tblStylePr w:type="lastRow">
      <w:rPr>
        <w:b/>
        <w:bCs/>
      </w:rPr>
      <w:tblPr/>
      <w:tcPr>
        <w:tcBorders>
          <w:top w:val="double" w:sz="2" w:space="0" w:color="2CB8FF"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8E7FF" w:themeFill="accent4" w:themeFillTint="33"/>
      </w:tcPr>
    </w:tblStylePr>
    <w:tblStylePr w:type="band1Horz">
      <w:tblPr/>
      <w:tcPr>
        <w:shd w:val="clear" w:color="auto" w:fill="B8E7FF" w:themeFill="accent4" w:themeFillTint="33"/>
      </w:tcPr>
    </w:tblStylePr>
  </w:style>
  <w:style w:type="table" w:styleId="GridTable2-Accent5">
    <w:name w:val="Grid Table 2 Accent 5"/>
    <w:basedOn w:val="TableNormal"/>
    <w:uiPriority w:val="47"/>
    <w:rsid w:val="009637A8"/>
    <w:pPr>
      <w:spacing w:after="0" w:line="240" w:lineRule="auto"/>
    </w:pPr>
    <w:tblPr>
      <w:tblStyleRowBandSize w:val="1"/>
      <w:tblStyleColBandSize w:val="1"/>
      <w:tblBorders>
        <w:top w:val="single" w:sz="2" w:space="0" w:color="AFD7E6" w:themeColor="accent5" w:themeTint="99"/>
        <w:bottom w:val="single" w:sz="2" w:space="0" w:color="AFD7E6" w:themeColor="accent5" w:themeTint="99"/>
        <w:insideH w:val="single" w:sz="2" w:space="0" w:color="AFD7E6" w:themeColor="accent5" w:themeTint="99"/>
        <w:insideV w:val="single" w:sz="2" w:space="0" w:color="AFD7E6" w:themeColor="accent5" w:themeTint="99"/>
      </w:tblBorders>
    </w:tblPr>
    <w:tblStylePr w:type="firstRow">
      <w:rPr>
        <w:b/>
        <w:bCs/>
      </w:rPr>
      <w:tblPr/>
      <w:tcPr>
        <w:tcBorders>
          <w:top w:val="nil"/>
          <w:bottom w:val="single" w:sz="12" w:space="0" w:color="AFD7E6" w:themeColor="accent5" w:themeTint="99"/>
          <w:insideH w:val="nil"/>
          <w:insideV w:val="nil"/>
        </w:tcBorders>
        <w:shd w:val="clear" w:color="auto" w:fill="FFFFFF" w:themeFill="background1"/>
      </w:tcPr>
    </w:tblStylePr>
    <w:tblStylePr w:type="lastRow">
      <w:rPr>
        <w:b/>
        <w:bCs/>
      </w:rPr>
      <w:tblPr/>
      <w:tcPr>
        <w:tcBorders>
          <w:top w:val="double" w:sz="2" w:space="0" w:color="AFD7E6"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4F1F6" w:themeFill="accent5" w:themeFillTint="33"/>
      </w:tcPr>
    </w:tblStylePr>
    <w:tblStylePr w:type="band1Horz">
      <w:tblPr/>
      <w:tcPr>
        <w:shd w:val="clear" w:color="auto" w:fill="E4F1F6" w:themeFill="accent5" w:themeFillTint="33"/>
      </w:tcPr>
    </w:tblStylePr>
  </w:style>
  <w:style w:type="table" w:styleId="GridTable2-Accent6">
    <w:name w:val="Grid Table 2 Accent 6"/>
    <w:basedOn w:val="TableNormal"/>
    <w:uiPriority w:val="47"/>
    <w:rsid w:val="009637A8"/>
    <w:pPr>
      <w:spacing w:after="0" w:line="240" w:lineRule="auto"/>
    </w:pPr>
    <w:tblPr>
      <w:tblStyleRowBandSize w:val="1"/>
      <w:tblStyleColBandSize w:val="1"/>
      <w:tblBorders>
        <w:top w:val="single" w:sz="2" w:space="0" w:color="83C590" w:themeColor="accent6" w:themeTint="99"/>
        <w:bottom w:val="single" w:sz="2" w:space="0" w:color="83C590" w:themeColor="accent6" w:themeTint="99"/>
        <w:insideH w:val="single" w:sz="2" w:space="0" w:color="83C590" w:themeColor="accent6" w:themeTint="99"/>
        <w:insideV w:val="single" w:sz="2" w:space="0" w:color="83C590" w:themeColor="accent6" w:themeTint="99"/>
      </w:tblBorders>
    </w:tblPr>
    <w:tblStylePr w:type="firstRow">
      <w:rPr>
        <w:b/>
        <w:bCs/>
      </w:rPr>
      <w:tblPr/>
      <w:tcPr>
        <w:tcBorders>
          <w:top w:val="nil"/>
          <w:bottom w:val="single" w:sz="12" w:space="0" w:color="83C590" w:themeColor="accent6" w:themeTint="99"/>
          <w:insideH w:val="nil"/>
          <w:insideV w:val="nil"/>
        </w:tcBorders>
        <w:shd w:val="clear" w:color="auto" w:fill="FFFFFF" w:themeFill="background1"/>
      </w:tcPr>
    </w:tblStylePr>
    <w:tblStylePr w:type="lastRow">
      <w:rPr>
        <w:b/>
        <w:bCs/>
      </w:rPr>
      <w:tblPr/>
      <w:tcPr>
        <w:tcBorders>
          <w:top w:val="double" w:sz="2" w:space="0" w:color="83C590"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5EBDA" w:themeFill="accent6" w:themeFillTint="33"/>
      </w:tcPr>
    </w:tblStylePr>
    <w:tblStylePr w:type="band1Horz">
      <w:tblPr/>
      <w:tcPr>
        <w:shd w:val="clear" w:color="auto" w:fill="D5EBDA" w:themeFill="accent6" w:themeFillTint="33"/>
      </w:tcPr>
    </w:tblStylePr>
  </w:style>
  <w:style w:type="table" w:styleId="GridTable3">
    <w:name w:val="Grid Table 3"/>
    <w:basedOn w:val="TableNormal"/>
    <w:uiPriority w:val="48"/>
    <w:rsid w:val="009637A8"/>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9637A8"/>
    <w:pPr>
      <w:spacing w:after="0" w:line="240" w:lineRule="auto"/>
    </w:pPr>
    <w:tblPr>
      <w:tblStyleRowBandSize w:val="1"/>
      <w:tblStyleColBandSize w:val="1"/>
      <w:tblBorders>
        <w:top w:val="single" w:sz="4" w:space="0" w:color="C4B5D8" w:themeColor="accent1" w:themeTint="99"/>
        <w:left w:val="single" w:sz="4" w:space="0" w:color="C4B5D8" w:themeColor="accent1" w:themeTint="99"/>
        <w:bottom w:val="single" w:sz="4" w:space="0" w:color="C4B5D8" w:themeColor="accent1" w:themeTint="99"/>
        <w:right w:val="single" w:sz="4" w:space="0" w:color="C4B5D8" w:themeColor="accent1" w:themeTint="99"/>
        <w:insideH w:val="single" w:sz="4" w:space="0" w:color="C4B5D8" w:themeColor="accent1" w:themeTint="99"/>
        <w:insideV w:val="single" w:sz="4" w:space="0" w:color="C4B5D8"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BE6F2" w:themeFill="accent1" w:themeFillTint="33"/>
      </w:tcPr>
    </w:tblStylePr>
    <w:tblStylePr w:type="band1Horz">
      <w:tblPr/>
      <w:tcPr>
        <w:shd w:val="clear" w:color="auto" w:fill="EBE6F2" w:themeFill="accent1" w:themeFillTint="33"/>
      </w:tcPr>
    </w:tblStylePr>
    <w:tblStylePr w:type="neCell">
      <w:tblPr/>
      <w:tcPr>
        <w:tcBorders>
          <w:bottom w:val="single" w:sz="4" w:space="0" w:color="C4B5D8" w:themeColor="accent1" w:themeTint="99"/>
        </w:tcBorders>
      </w:tcPr>
    </w:tblStylePr>
    <w:tblStylePr w:type="nwCell">
      <w:tblPr/>
      <w:tcPr>
        <w:tcBorders>
          <w:bottom w:val="single" w:sz="4" w:space="0" w:color="C4B5D8" w:themeColor="accent1" w:themeTint="99"/>
        </w:tcBorders>
      </w:tcPr>
    </w:tblStylePr>
    <w:tblStylePr w:type="seCell">
      <w:tblPr/>
      <w:tcPr>
        <w:tcBorders>
          <w:top w:val="single" w:sz="4" w:space="0" w:color="C4B5D8" w:themeColor="accent1" w:themeTint="99"/>
        </w:tcBorders>
      </w:tcPr>
    </w:tblStylePr>
    <w:tblStylePr w:type="swCell">
      <w:tblPr/>
      <w:tcPr>
        <w:tcBorders>
          <w:top w:val="single" w:sz="4" w:space="0" w:color="C4B5D8" w:themeColor="accent1" w:themeTint="99"/>
        </w:tcBorders>
      </w:tcPr>
    </w:tblStylePr>
  </w:style>
  <w:style w:type="table" w:styleId="GridTable3-Accent2">
    <w:name w:val="Grid Table 3 Accent 2"/>
    <w:basedOn w:val="TableNormal"/>
    <w:uiPriority w:val="48"/>
    <w:rsid w:val="009637A8"/>
    <w:pPr>
      <w:spacing w:after="0" w:line="240" w:lineRule="auto"/>
    </w:pPr>
    <w:tblPr>
      <w:tblStyleRowBandSize w:val="1"/>
      <w:tblStyleColBandSize w:val="1"/>
      <w:tblBorders>
        <w:top w:val="single" w:sz="4" w:space="0" w:color="B1B1B1" w:themeColor="accent2" w:themeTint="99"/>
        <w:left w:val="single" w:sz="4" w:space="0" w:color="B1B1B1" w:themeColor="accent2" w:themeTint="99"/>
        <w:bottom w:val="single" w:sz="4" w:space="0" w:color="B1B1B1" w:themeColor="accent2" w:themeTint="99"/>
        <w:right w:val="single" w:sz="4" w:space="0" w:color="B1B1B1" w:themeColor="accent2" w:themeTint="99"/>
        <w:insideH w:val="single" w:sz="4" w:space="0" w:color="B1B1B1" w:themeColor="accent2" w:themeTint="99"/>
        <w:insideV w:val="single" w:sz="4" w:space="0" w:color="B1B1B1"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5" w:themeFill="accent2" w:themeFillTint="33"/>
      </w:tcPr>
    </w:tblStylePr>
    <w:tblStylePr w:type="band1Horz">
      <w:tblPr/>
      <w:tcPr>
        <w:shd w:val="clear" w:color="auto" w:fill="E5E5E5" w:themeFill="accent2" w:themeFillTint="33"/>
      </w:tcPr>
    </w:tblStylePr>
    <w:tblStylePr w:type="neCell">
      <w:tblPr/>
      <w:tcPr>
        <w:tcBorders>
          <w:bottom w:val="single" w:sz="4" w:space="0" w:color="B1B1B1" w:themeColor="accent2" w:themeTint="99"/>
        </w:tcBorders>
      </w:tcPr>
    </w:tblStylePr>
    <w:tblStylePr w:type="nwCell">
      <w:tblPr/>
      <w:tcPr>
        <w:tcBorders>
          <w:bottom w:val="single" w:sz="4" w:space="0" w:color="B1B1B1" w:themeColor="accent2" w:themeTint="99"/>
        </w:tcBorders>
      </w:tcPr>
    </w:tblStylePr>
    <w:tblStylePr w:type="seCell">
      <w:tblPr/>
      <w:tcPr>
        <w:tcBorders>
          <w:top w:val="single" w:sz="4" w:space="0" w:color="B1B1B1" w:themeColor="accent2" w:themeTint="99"/>
        </w:tcBorders>
      </w:tcPr>
    </w:tblStylePr>
    <w:tblStylePr w:type="swCell">
      <w:tblPr/>
      <w:tcPr>
        <w:tcBorders>
          <w:top w:val="single" w:sz="4" w:space="0" w:color="B1B1B1" w:themeColor="accent2" w:themeTint="99"/>
        </w:tcBorders>
      </w:tcPr>
    </w:tblStylePr>
  </w:style>
  <w:style w:type="table" w:styleId="GridTable3-Accent3">
    <w:name w:val="Grid Table 3 Accent 3"/>
    <w:basedOn w:val="TableNormal"/>
    <w:uiPriority w:val="48"/>
    <w:rsid w:val="009637A8"/>
    <w:pPr>
      <w:spacing w:after="0" w:line="240" w:lineRule="auto"/>
    </w:pPr>
    <w:tblPr>
      <w:tblStyleRowBandSize w:val="1"/>
      <w:tblStyleColBandSize w:val="1"/>
      <w:tblBorders>
        <w:top w:val="single" w:sz="4" w:space="0" w:color="DEDEDE" w:themeColor="accent3" w:themeTint="99"/>
        <w:left w:val="single" w:sz="4" w:space="0" w:color="DEDEDE" w:themeColor="accent3" w:themeTint="99"/>
        <w:bottom w:val="single" w:sz="4" w:space="0" w:color="DEDEDE" w:themeColor="accent3" w:themeTint="99"/>
        <w:right w:val="single" w:sz="4" w:space="0" w:color="DEDEDE" w:themeColor="accent3" w:themeTint="99"/>
        <w:insideH w:val="single" w:sz="4" w:space="0" w:color="DEDEDE" w:themeColor="accent3" w:themeTint="99"/>
        <w:insideV w:val="single" w:sz="4" w:space="0" w:color="DEDEDE"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4F4" w:themeFill="accent3" w:themeFillTint="33"/>
      </w:tcPr>
    </w:tblStylePr>
    <w:tblStylePr w:type="band1Horz">
      <w:tblPr/>
      <w:tcPr>
        <w:shd w:val="clear" w:color="auto" w:fill="F4F4F4" w:themeFill="accent3" w:themeFillTint="33"/>
      </w:tcPr>
    </w:tblStylePr>
    <w:tblStylePr w:type="neCell">
      <w:tblPr/>
      <w:tcPr>
        <w:tcBorders>
          <w:bottom w:val="single" w:sz="4" w:space="0" w:color="DEDEDE" w:themeColor="accent3" w:themeTint="99"/>
        </w:tcBorders>
      </w:tcPr>
    </w:tblStylePr>
    <w:tblStylePr w:type="nwCell">
      <w:tblPr/>
      <w:tcPr>
        <w:tcBorders>
          <w:bottom w:val="single" w:sz="4" w:space="0" w:color="DEDEDE" w:themeColor="accent3" w:themeTint="99"/>
        </w:tcBorders>
      </w:tcPr>
    </w:tblStylePr>
    <w:tblStylePr w:type="seCell">
      <w:tblPr/>
      <w:tcPr>
        <w:tcBorders>
          <w:top w:val="single" w:sz="4" w:space="0" w:color="DEDEDE" w:themeColor="accent3" w:themeTint="99"/>
        </w:tcBorders>
      </w:tcPr>
    </w:tblStylePr>
    <w:tblStylePr w:type="swCell">
      <w:tblPr/>
      <w:tcPr>
        <w:tcBorders>
          <w:top w:val="single" w:sz="4" w:space="0" w:color="DEDEDE" w:themeColor="accent3" w:themeTint="99"/>
        </w:tcBorders>
      </w:tcPr>
    </w:tblStylePr>
  </w:style>
  <w:style w:type="table" w:styleId="GridTable3-Accent4">
    <w:name w:val="Grid Table 3 Accent 4"/>
    <w:basedOn w:val="TableNormal"/>
    <w:uiPriority w:val="48"/>
    <w:rsid w:val="009637A8"/>
    <w:pPr>
      <w:spacing w:after="0" w:line="240" w:lineRule="auto"/>
    </w:pPr>
    <w:tblPr>
      <w:tblStyleRowBandSize w:val="1"/>
      <w:tblStyleColBandSize w:val="1"/>
      <w:tblBorders>
        <w:top w:val="single" w:sz="4" w:space="0" w:color="2CB8FF" w:themeColor="accent4" w:themeTint="99"/>
        <w:left w:val="single" w:sz="4" w:space="0" w:color="2CB8FF" w:themeColor="accent4" w:themeTint="99"/>
        <w:bottom w:val="single" w:sz="4" w:space="0" w:color="2CB8FF" w:themeColor="accent4" w:themeTint="99"/>
        <w:right w:val="single" w:sz="4" w:space="0" w:color="2CB8FF" w:themeColor="accent4" w:themeTint="99"/>
        <w:insideH w:val="single" w:sz="4" w:space="0" w:color="2CB8FF" w:themeColor="accent4" w:themeTint="99"/>
        <w:insideV w:val="single" w:sz="4" w:space="0" w:color="2CB8FF"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8E7FF" w:themeFill="accent4" w:themeFillTint="33"/>
      </w:tcPr>
    </w:tblStylePr>
    <w:tblStylePr w:type="band1Horz">
      <w:tblPr/>
      <w:tcPr>
        <w:shd w:val="clear" w:color="auto" w:fill="B8E7FF" w:themeFill="accent4" w:themeFillTint="33"/>
      </w:tcPr>
    </w:tblStylePr>
    <w:tblStylePr w:type="neCell">
      <w:tblPr/>
      <w:tcPr>
        <w:tcBorders>
          <w:bottom w:val="single" w:sz="4" w:space="0" w:color="2CB8FF" w:themeColor="accent4" w:themeTint="99"/>
        </w:tcBorders>
      </w:tcPr>
    </w:tblStylePr>
    <w:tblStylePr w:type="nwCell">
      <w:tblPr/>
      <w:tcPr>
        <w:tcBorders>
          <w:bottom w:val="single" w:sz="4" w:space="0" w:color="2CB8FF" w:themeColor="accent4" w:themeTint="99"/>
        </w:tcBorders>
      </w:tcPr>
    </w:tblStylePr>
    <w:tblStylePr w:type="seCell">
      <w:tblPr/>
      <w:tcPr>
        <w:tcBorders>
          <w:top w:val="single" w:sz="4" w:space="0" w:color="2CB8FF" w:themeColor="accent4" w:themeTint="99"/>
        </w:tcBorders>
      </w:tcPr>
    </w:tblStylePr>
    <w:tblStylePr w:type="swCell">
      <w:tblPr/>
      <w:tcPr>
        <w:tcBorders>
          <w:top w:val="single" w:sz="4" w:space="0" w:color="2CB8FF" w:themeColor="accent4" w:themeTint="99"/>
        </w:tcBorders>
      </w:tcPr>
    </w:tblStylePr>
  </w:style>
  <w:style w:type="table" w:styleId="GridTable3-Accent5">
    <w:name w:val="Grid Table 3 Accent 5"/>
    <w:basedOn w:val="TableNormal"/>
    <w:uiPriority w:val="48"/>
    <w:rsid w:val="009637A8"/>
    <w:pPr>
      <w:spacing w:after="0" w:line="240" w:lineRule="auto"/>
    </w:pPr>
    <w:tblPr>
      <w:tblStyleRowBandSize w:val="1"/>
      <w:tblStyleColBandSize w:val="1"/>
      <w:tblBorders>
        <w:top w:val="single" w:sz="4" w:space="0" w:color="AFD7E6" w:themeColor="accent5" w:themeTint="99"/>
        <w:left w:val="single" w:sz="4" w:space="0" w:color="AFD7E6" w:themeColor="accent5" w:themeTint="99"/>
        <w:bottom w:val="single" w:sz="4" w:space="0" w:color="AFD7E6" w:themeColor="accent5" w:themeTint="99"/>
        <w:right w:val="single" w:sz="4" w:space="0" w:color="AFD7E6" w:themeColor="accent5" w:themeTint="99"/>
        <w:insideH w:val="single" w:sz="4" w:space="0" w:color="AFD7E6" w:themeColor="accent5" w:themeTint="99"/>
        <w:insideV w:val="single" w:sz="4" w:space="0" w:color="AFD7E6"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F1F6" w:themeFill="accent5" w:themeFillTint="33"/>
      </w:tcPr>
    </w:tblStylePr>
    <w:tblStylePr w:type="band1Horz">
      <w:tblPr/>
      <w:tcPr>
        <w:shd w:val="clear" w:color="auto" w:fill="E4F1F6" w:themeFill="accent5" w:themeFillTint="33"/>
      </w:tcPr>
    </w:tblStylePr>
    <w:tblStylePr w:type="neCell">
      <w:tblPr/>
      <w:tcPr>
        <w:tcBorders>
          <w:bottom w:val="single" w:sz="4" w:space="0" w:color="AFD7E6" w:themeColor="accent5" w:themeTint="99"/>
        </w:tcBorders>
      </w:tcPr>
    </w:tblStylePr>
    <w:tblStylePr w:type="nwCell">
      <w:tblPr/>
      <w:tcPr>
        <w:tcBorders>
          <w:bottom w:val="single" w:sz="4" w:space="0" w:color="AFD7E6" w:themeColor="accent5" w:themeTint="99"/>
        </w:tcBorders>
      </w:tcPr>
    </w:tblStylePr>
    <w:tblStylePr w:type="seCell">
      <w:tblPr/>
      <w:tcPr>
        <w:tcBorders>
          <w:top w:val="single" w:sz="4" w:space="0" w:color="AFD7E6" w:themeColor="accent5" w:themeTint="99"/>
        </w:tcBorders>
      </w:tcPr>
    </w:tblStylePr>
    <w:tblStylePr w:type="swCell">
      <w:tblPr/>
      <w:tcPr>
        <w:tcBorders>
          <w:top w:val="single" w:sz="4" w:space="0" w:color="AFD7E6" w:themeColor="accent5" w:themeTint="99"/>
        </w:tcBorders>
      </w:tcPr>
    </w:tblStylePr>
  </w:style>
  <w:style w:type="table" w:styleId="GridTable3-Accent6">
    <w:name w:val="Grid Table 3 Accent 6"/>
    <w:basedOn w:val="TableNormal"/>
    <w:uiPriority w:val="48"/>
    <w:rsid w:val="009637A8"/>
    <w:pPr>
      <w:spacing w:after="0" w:line="240" w:lineRule="auto"/>
    </w:pPr>
    <w:tblPr>
      <w:tblStyleRowBandSize w:val="1"/>
      <w:tblStyleColBandSize w:val="1"/>
      <w:tblBorders>
        <w:top w:val="single" w:sz="4" w:space="0" w:color="83C590" w:themeColor="accent6" w:themeTint="99"/>
        <w:left w:val="single" w:sz="4" w:space="0" w:color="83C590" w:themeColor="accent6" w:themeTint="99"/>
        <w:bottom w:val="single" w:sz="4" w:space="0" w:color="83C590" w:themeColor="accent6" w:themeTint="99"/>
        <w:right w:val="single" w:sz="4" w:space="0" w:color="83C590" w:themeColor="accent6" w:themeTint="99"/>
        <w:insideH w:val="single" w:sz="4" w:space="0" w:color="83C590" w:themeColor="accent6" w:themeTint="99"/>
        <w:insideV w:val="single" w:sz="4" w:space="0" w:color="83C590"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5EBDA" w:themeFill="accent6" w:themeFillTint="33"/>
      </w:tcPr>
    </w:tblStylePr>
    <w:tblStylePr w:type="band1Horz">
      <w:tblPr/>
      <w:tcPr>
        <w:shd w:val="clear" w:color="auto" w:fill="D5EBDA" w:themeFill="accent6" w:themeFillTint="33"/>
      </w:tcPr>
    </w:tblStylePr>
    <w:tblStylePr w:type="neCell">
      <w:tblPr/>
      <w:tcPr>
        <w:tcBorders>
          <w:bottom w:val="single" w:sz="4" w:space="0" w:color="83C590" w:themeColor="accent6" w:themeTint="99"/>
        </w:tcBorders>
      </w:tcPr>
    </w:tblStylePr>
    <w:tblStylePr w:type="nwCell">
      <w:tblPr/>
      <w:tcPr>
        <w:tcBorders>
          <w:bottom w:val="single" w:sz="4" w:space="0" w:color="83C590" w:themeColor="accent6" w:themeTint="99"/>
        </w:tcBorders>
      </w:tcPr>
    </w:tblStylePr>
    <w:tblStylePr w:type="seCell">
      <w:tblPr/>
      <w:tcPr>
        <w:tcBorders>
          <w:top w:val="single" w:sz="4" w:space="0" w:color="83C590" w:themeColor="accent6" w:themeTint="99"/>
        </w:tcBorders>
      </w:tcPr>
    </w:tblStylePr>
    <w:tblStylePr w:type="swCell">
      <w:tblPr/>
      <w:tcPr>
        <w:tcBorders>
          <w:top w:val="single" w:sz="4" w:space="0" w:color="83C590" w:themeColor="accent6" w:themeTint="99"/>
        </w:tcBorders>
      </w:tcPr>
    </w:tblStylePr>
  </w:style>
  <w:style w:type="table" w:styleId="GridTable4">
    <w:name w:val="Grid Table 4"/>
    <w:basedOn w:val="TableNormal"/>
    <w:uiPriority w:val="49"/>
    <w:rsid w:val="009637A8"/>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9637A8"/>
    <w:pPr>
      <w:spacing w:after="0" w:line="240" w:lineRule="auto"/>
    </w:pPr>
    <w:tblPr>
      <w:tblStyleRowBandSize w:val="1"/>
      <w:tblStyleColBandSize w:val="1"/>
      <w:tblBorders>
        <w:top w:val="single" w:sz="4" w:space="0" w:color="C4B5D8" w:themeColor="accent1" w:themeTint="99"/>
        <w:left w:val="single" w:sz="4" w:space="0" w:color="C4B5D8" w:themeColor="accent1" w:themeTint="99"/>
        <w:bottom w:val="single" w:sz="4" w:space="0" w:color="C4B5D8" w:themeColor="accent1" w:themeTint="99"/>
        <w:right w:val="single" w:sz="4" w:space="0" w:color="C4B5D8" w:themeColor="accent1" w:themeTint="99"/>
        <w:insideH w:val="single" w:sz="4" w:space="0" w:color="C4B5D8" w:themeColor="accent1" w:themeTint="99"/>
        <w:insideV w:val="single" w:sz="4" w:space="0" w:color="C4B5D8" w:themeColor="accent1" w:themeTint="99"/>
      </w:tblBorders>
    </w:tblPr>
    <w:tblStylePr w:type="firstRow">
      <w:rPr>
        <w:b/>
        <w:bCs/>
        <w:color w:val="FFFFFF" w:themeColor="background1"/>
      </w:rPr>
      <w:tblPr/>
      <w:tcPr>
        <w:tcBorders>
          <w:top w:val="single" w:sz="4" w:space="0" w:color="9D85BE" w:themeColor="accent1"/>
          <w:left w:val="single" w:sz="4" w:space="0" w:color="9D85BE" w:themeColor="accent1"/>
          <w:bottom w:val="single" w:sz="4" w:space="0" w:color="9D85BE" w:themeColor="accent1"/>
          <w:right w:val="single" w:sz="4" w:space="0" w:color="9D85BE" w:themeColor="accent1"/>
          <w:insideH w:val="nil"/>
          <w:insideV w:val="nil"/>
        </w:tcBorders>
        <w:shd w:val="clear" w:color="auto" w:fill="9D85BE" w:themeFill="accent1"/>
      </w:tcPr>
    </w:tblStylePr>
    <w:tblStylePr w:type="lastRow">
      <w:rPr>
        <w:b/>
        <w:bCs/>
      </w:rPr>
      <w:tblPr/>
      <w:tcPr>
        <w:tcBorders>
          <w:top w:val="double" w:sz="4" w:space="0" w:color="9D85BE" w:themeColor="accent1"/>
        </w:tcBorders>
      </w:tcPr>
    </w:tblStylePr>
    <w:tblStylePr w:type="firstCol">
      <w:rPr>
        <w:b/>
        <w:bCs/>
      </w:rPr>
    </w:tblStylePr>
    <w:tblStylePr w:type="lastCol">
      <w:rPr>
        <w:b/>
        <w:bCs/>
      </w:rPr>
    </w:tblStylePr>
    <w:tblStylePr w:type="band1Vert">
      <w:tblPr/>
      <w:tcPr>
        <w:shd w:val="clear" w:color="auto" w:fill="EBE6F2" w:themeFill="accent1" w:themeFillTint="33"/>
      </w:tcPr>
    </w:tblStylePr>
    <w:tblStylePr w:type="band1Horz">
      <w:tblPr/>
      <w:tcPr>
        <w:shd w:val="clear" w:color="auto" w:fill="EBE6F2" w:themeFill="accent1" w:themeFillTint="33"/>
      </w:tcPr>
    </w:tblStylePr>
  </w:style>
  <w:style w:type="table" w:styleId="GridTable4-Accent2">
    <w:name w:val="Grid Table 4 Accent 2"/>
    <w:basedOn w:val="TableNormal"/>
    <w:uiPriority w:val="49"/>
    <w:rsid w:val="009637A8"/>
    <w:pPr>
      <w:spacing w:after="0" w:line="240" w:lineRule="auto"/>
    </w:pPr>
    <w:tblPr>
      <w:tblStyleRowBandSize w:val="1"/>
      <w:tblStyleColBandSize w:val="1"/>
      <w:tblBorders>
        <w:top w:val="single" w:sz="4" w:space="0" w:color="B1B1B1" w:themeColor="accent2" w:themeTint="99"/>
        <w:left w:val="single" w:sz="4" w:space="0" w:color="B1B1B1" w:themeColor="accent2" w:themeTint="99"/>
        <w:bottom w:val="single" w:sz="4" w:space="0" w:color="B1B1B1" w:themeColor="accent2" w:themeTint="99"/>
        <w:right w:val="single" w:sz="4" w:space="0" w:color="B1B1B1" w:themeColor="accent2" w:themeTint="99"/>
        <w:insideH w:val="single" w:sz="4" w:space="0" w:color="B1B1B1" w:themeColor="accent2" w:themeTint="99"/>
        <w:insideV w:val="single" w:sz="4" w:space="0" w:color="B1B1B1" w:themeColor="accent2" w:themeTint="99"/>
      </w:tblBorders>
    </w:tblPr>
    <w:tblStylePr w:type="firstRow">
      <w:rPr>
        <w:b/>
        <w:bCs/>
        <w:color w:val="FFFFFF" w:themeColor="background1"/>
      </w:rPr>
      <w:tblPr/>
      <w:tcPr>
        <w:tcBorders>
          <w:top w:val="single" w:sz="4" w:space="0" w:color="7D7D7D" w:themeColor="accent2"/>
          <w:left w:val="single" w:sz="4" w:space="0" w:color="7D7D7D" w:themeColor="accent2"/>
          <w:bottom w:val="single" w:sz="4" w:space="0" w:color="7D7D7D" w:themeColor="accent2"/>
          <w:right w:val="single" w:sz="4" w:space="0" w:color="7D7D7D" w:themeColor="accent2"/>
          <w:insideH w:val="nil"/>
          <w:insideV w:val="nil"/>
        </w:tcBorders>
        <w:shd w:val="clear" w:color="auto" w:fill="7D7D7D" w:themeFill="accent2"/>
      </w:tcPr>
    </w:tblStylePr>
    <w:tblStylePr w:type="lastRow">
      <w:rPr>
        <w:b/>
        <w:bCs/>
      </w:rPr>
      <w:tblPr/>
      <w:tcPr>
        <w:tcBorders>
          <w:top w:val="double" w:sz="4" w:space="0" w:color="7D7D7D" w:themeColor="accent2"/>
        </w:tcBorders>
      </w:tcPr>
    </w:tblStylePr>
    <w:tblStylePr w:type="firstCol">
      <w:rPr>
        <w:b/>
        <w:bCs/>
      </w:rPr>
    </w:tblStylePr>
    <w:tblStylePr w:type="lastCol">
      <w:rPr>
        <w:b/>
        <w:bCs/>
      </w:rPr>
    </w:tblStylePr>
    <w:tblStylePr w:type="band1Vert">
      <w:tblPr/>
      <w:tcPr>
        <w:shd w:val="clear" w:color="auto" w:fill="E5E5E5" w:themeFill="accent2" w:themeFillTint="33"/>
      </w:tcPr>
    </w:tblStylePr>
    <w:tblStylePr w:type="band1Horz">
      <w:tblPr/>
      <w:tcPr>
        <w:shd w:val="clear" w:color="auto" w:fill="E5E5E5" w:themeFill="accent2" w:themeFillTint="33"/>
      </w:tcPr>
    </w:tblStylePr>
  </w:style>
  <w:style w:type="table" w:styleId="GridTable4-Accent3">
    <w:name w:val="Grid Table 4 Accent 3"/>
    <w:basedOn w:val="TableNormal"/>
    <w:uiPriority w:val="49"/>
    <w:rsid w:val="009637A8"/>
    <w:pPr>
      <w:spacing w:after="0" w:line="240" w:lineRule="auto"/>
    </w:pPr>
    <w:tblPr>
      <w:tblStyleRowBandSize w:val="1"/>
      <w:tblStyleColBandSize w:val="1"/>
      <w:tblBorders>
        <w:top w:val="single" w:sz="4" w:space="0" w:color="DEDEDE" w:themeColor="accent3" w:themeTint="99"/>
        <w:left w:val="single" w:sz="4" w:space="0" w:color="DEDEDE" w:themeColor="accent3" w:themeTint="99"/>
        <w:bottom w:val="single" w:sz="4" w:space="0" w:color="DEDEDE" w:themeColor="accent3" w:themeTint="99"/>
        <w:right w:val="single" w:sz="4" w:space="0" w:color="DEDEDE" w:themeColor="accent3" w:themeTint="99"/>
        <w:insideH w:val="single" w:sz="4" w:space="0" w:color="DEDEDE" w:themeColor="accent3" w:themeTint="99"/>
        <w:insideV w:val="single" w:sz="4" w:space="0" w:color="DEDEDE" w:themeColor="accent3" w:themeTint="99"/>
      </w:tblBorders>
    </w:tblPr>
    <w:tblStylePr w:type="firstRow">
      <w:rPr>
        <w:b/>
        <w:bCs/>
        <w:color w:val="FFFFFF" w:themeColor="background1"/>
      </w:rPr>
      <w:tblPr/>
      <w:tcPr>
        <w:tcBorders>
          <w:top w:val="single" w:sz="4" w:space="0" w:color="C8C8C8" w:themeColor="accent3"/>
          <w:left w:val="single" w:sz="4" w:space="0" w:color="C8C8C8" w:themeColor="accent3"/>
          <w:bottom w:val="single" w:sz="4" w:space="0" w:color="C8C8C8" w:themeColor="accent3"/>
          <w:right w:val="single" w:sz="4" w:space="0" w:color="C8C8C8" w:themeColor="accent3"/>
          <w:insideH w:val="nil"/>
          <w:insideV w:val="nil"/>
        </w:tcBorders>
        <w:shd w:val="clear" w:color="auto" w:fill="C8C8C8" w:themeFill="accent3"/>
      </w:tcPr>
    </w:tblStylePr>
    <w:tblStylePr w:type="lastRow">
      <w:rPr>
        <w:b/>
        <w:bCs/>
      </w:rPr>
      <w:tblPr/>
      <w:tcPr>
        <w:tcBorders>
          <w:top w:val="double" w:sz="4" w:space="0" w:color="C8C8C8" w:themeColor="accent3"/>
        </w:tcBorders>
      </w:tcPr>
    </w:tblStylePr>
    <w:tblStylePr w:type="firstCol">
      <w:rPr>
        <w:b/>
        <w:bCs/>
      </w:rPr>
    </w:tblStylePr>
    <w:tblStylePr w:type="lastCol">
      <w:rPr>
        <w:b/>
        <w:bCs/>
      </w:rPr>
    </w:tblStylePr>
    <w:tblStylePr w:type="band1Vert">
      <w:tblPr/>
      <w:tcPr>
        <w:shd w:val="clear" w:color="auto" w:fill="F4F4F4" w:themeFill="accent3" w:themeFillTint="33"/>
      </w:tcPr>
    </w:tblStylePr>
    <w:tblStylePr w:type="band1Horz">
      <w:tblPr/>
      <w:tcPr>
        <w:shd w:val="clear" w:color="auto" w:fill="F4F4F4" w:themeFill="accent3" w:themeFillTint="33"/>
      </w:tcPr>
    </w:tblStylePr>
  </w:style>
  <w:style w:type="table" w:styleId="GridTable4-Accent4">
    <w:name w:val="Grid Table 4 Accent 4"/>
    <w:basedOn w:val="TableNormal"/>
    <w:uiPriority w:val="49"/>
    <w:rsid w:val="009637A8"/>
    <w:pPr>
      <w:spacing w:after="0" w:line="240" w:lineRule="auto"/>
    </w:pPr>
    <w:tblPr>
      <w:tblStyleRowBandSize w:val="1"/>
      <w:tblStyleColBandSize w:val="1"/>
      <w:tblBorders>
        <w:top w:val="single" w:sz="4" w:space="0" w:color="2CB8FF" w:themeColor="accent4" w:themeTint="99"/>
        <w:left w:val="single" w:sz="4" w:space="0" w:color="2CB8FF" w:themeColor="accent4" w:themeTint="99"/>
        <w:bottom w:val="single" w:sz="4" w:space="0" w:color="2CB8FF" w:themeColor="accent4" w:themeTint="99"/>
        <w:right w:val="single" w:sz="4" w:space="0" w:color="2CB8FF" w:themeColor="accent4" w:themeTint="99"/>
        <w:insideH w:val="single" w:sz="4" w:space="0" w:color="2CB8FF" w:themeColor="accent4" w:themeTint="99"/>
        <w:insideV w:val="single" w:sz="4" w:space="0" w:color="2CB8FF" w:themeColor="accent4" w:themeTint="99"/>
      </w:tblBorders>
    </w:tblPr>
    <w:tblStylePr w:type="firstRow">
      <w:rPr>
        <w:b/>
        <w:bCs/>
        <w:color w:val="FFFFFF" w:themeColor="background1"/>
      </w:rPr>
      <w:tblPr/>
      <w:tcPr>
        <w:tcBorders>
          <w:top w:val="single" w:sz="4" w:space="0" w:color="006A9F" w:themeColor="accent4"/>
          <w:left w:val="single" w:sz="4" w:space="0" w:color="006A9F" w:themeColor="accent4"/>
          <w:bottom w:val="single" w:sz="4" w:space="0" w:color="006A9F" w:themeColor="accent4"/>
          <w:right w:val="single" w:sz="4" w:space="0" w:color="006A9F" w:themeColor="accent4"/>
          <w:insideH w:val="nil"/>
          <w:insideV w:val="nil"/>
        </w:tcBorders>
        <w:shd w:val="clear" w:color="auto" w:fill="006A9F" w:themeFill="accent4"/>
      </w:tcPr>
    </w:tblStylePr>
    <w:tblStylePr w:type="lastRow">
      <w:rPr>
        <w:b/>
        <w:bCs/>
      </w:rPr>
      <w:tblPr/>
      <w:tcPr>
        <w:tcBorders>
          <w:top w:val="double" w:sz="4" w:space="0" w:color="006A9F" w:themeColor="accent4"/>
        </w:tcBorders>
      </w:tcPr>
    </w:tblStylePr>
    <w:tblStylePr w:type="firstCol">
      <w:rPr>
        <w:b/>
        <w:bCs/>
      </w:rPr>
    </w:tblStylePr>
    <w:tblStylePr w:type="lastCol">
      <w:rPr>
        <w:b/>
        <w:bCs/>
      </w:rPr>
    </w:tblStylePr>
    <w:tblStylePr w:type="band1Vert">
      <w:tblPr/>
      <w:tcPr>
        <w:shd w:val="clear" w:color="auto" w:fill="B8E7FF" w:themeFill="accent4" w:themeFillTint="33"/>
      </w:tcPr>
    </w:tblStylePr>
    <w:tblStylePr w:type="band1Horz">
      <w:tblPr/>
      <w:tcPr>
        <w:shd w:val="clear" w:color="auto" w:fill="B8E7FF" w:themeFill="accent4" w:themeFillTint="33"/>
      </w:tcPr>
    </w:tblStylePr>
  </w:style>
  <w:style w:type="table" w:styleId="GridTable4-Accent5">
    <w:name w:val="Grid Table 4 Accent 5"/>
    <w:basedOn w:val="TableNormal"/>
    <w:uiPriority w:val="49"/>
    <w:rsid w:val="009637A8"/>
    <w:pPr>
      <w:spacing w:after="0" w:line="240" w:lineRule="auto"/>
    </w:pPr>
    <w:tblPr>
      <w:tblStyleRowBandSize w:val="1"/>
      <w:tblStyleColBandSize w:val="1"/>
      <w:tblBorders>
        <w:top w:val="single" w:sz="4" w:space="0" w:color="AFD7E6" w:themeColor="accent5" w:themeTint="99"/>
        <w:left w:val="single" w:sz="4" w:space="0" w:color="AFD7E6" w:themeColor="accent5" w:themeTint="99"/>
        <w:bottom w:val="single" w:sz="4" w:space="0" w:color="AFD7E6" w:themeColor="accent5" w:themeTint="99"/>
        <w:right w:val="single" w:sz="4" w:space="0" w:color="AFD7E6" w:themeColor="accent5" w:themeTint="99"/>
        <w:insideH w:val="single" w:sz="4" w:space="0" w:color="AFD7E6" w:themeColor="accent5" w:themeTint="99"/>
        <w:insideV w:val="single" w:sz="4" w:space="0" w:color="AFD7E6" w:themeColor="accent5" w:themeTint="99"/>
      </w:tblBorders>
    </w:tblPr>
    <w:tblStylePr w:type="firstRow">
      <w:rPr>
        <w:b/>
        <w:bCs/>
        <w:color w:val="FFFFFF" w:themeColor="background1"/>
      </w:rPr>
      <w:tblPr/>
      <w:tcPr>
        <w:tcBorders>
          <w:top w:val="single" w:sz="4" w:space="0" w:color="7BBDD6" w:themeColor="accent5"/>
          <w:left w:val="single" w:sz="4" w:space="0" w:color="7BBDD6" w:themeColor="accent5"/>
          <w:bottom w:val="single" w:sz="4" w:space="0" w:color="7BBDD6" w:themeColor="accent5"/>
          <w:right w:val="single" w:sz="4" w:space="0" w:color="7BBDD6" w:themeColor="accent5"/>
          <w:insideH w:val="nil"/>
          <w:insideV w:val="nil"/>
        </w:tcBorders>
        <w:shd w:val="clear" w:color="auto" w:fill="7BBDD6" w:themeFill="accent5"/>
      </w:tcPr>
    </w:tblStylePr>
    <w:tblStylePr w:type="lastRow">
      <w:rPr>
        <w:b/>
        <w:bCs/>
      </w:rPr>
      <w:tblPr/>
      <w:tcPr>
        <w:tcBorders>
          <w:top w:val="double" w:sz="4" w:space="0" w:color="7BBDD6" w:themeColor="accent5"/>
        </w:tcBorders>
      </w:tcPr>
    </w:tblStylePr>
    <w:tblStylePr w:type="firstCol">
      <w:rPr>
        <w:b/>
        <w:bCs/>
      </w:rPr>
    </w:tblStylePr>
    <w:tblStylePr w:type="lastCol">
      <w:rPr>
        <w:b/>
        <w:bCs/>
      </w:rPr>
    </w:tblStylePr>
    <w:tblStylePr w:type="band1Vert">
      <w:tblPr/>
      <w:tcPr>
        <w:shd w:val="clear" w:color="auto" w:fill="E4F1F6" w:themeFill="accent5" w:themeFillTint="33"/>
      </w:tcPr>
    </w:tblStylePr>
    <w:tblStylePr w:type="band1Horz">
      <w:tblPr/>
      <w:tcPr>
        <w:shd w:val="clear" w:color="auto" w:fill="E4F1F6" w:themeFill="accent5" w:themeFillTint="33"/>
      </w:tcPr>
    </w:tblStylePr>
  </w:style>
  <w:style w:type="table" w:styleId="GridTable4-Accent6">
    <w:name w:val="Grid Table 4 Accent 6"/>
    <w:basedOn w:val="TableNormal"/>
    <w:uiPriority w:val="49"/>
    <w:rsid w:val="009637A8"/>
    <w:pPr>
      <w:spacing w:after="0" w:line="240" w:lineRule="auto"/>
    </w:pPr>
    <w:tblPr>
      <w:tblStyleRowBandSize w:val="1"/>
      <w:tblStyleColBandSize w:val="1"/>
      <w:tblBorders>
        <w:top w:val="single" w:sz="4" w:space="0" w:color="83C590" w:themeColor="accent6" w:themeTint="99"/>
        <w:left w:val="single" w:sz="4" w:space="0" w:color="83C590" w:themeColor="accent6" w:themeTint="99"/>
        <w:bottom w:val="single" w:sz="4" w:space="0" w:color="83C590" w:themeColor="accent6" w:themeTint="99"/>
        <w:right w:val="single" w:sz="4" w:space="0" w:color="83C590" w:themeColor="accent6" w:themeTint="99"/>
        <w:insideH w:val="single" w:sz="4" w:space="0" w:color="83C590" w:themeColor="accent6" w:themeTint="99"/>
        <w:insideV w:val="single" w:sz="4" w:space="0" w:color="83C590" w:themeColor="accent6" w:themeTint="99"/>
      </w:tblBorders>
    </w:tblPr>
    <w:tblStylePr w:type="firstRow">
      <w:rPr>
        <w:b/>
        <w:bCs/>
        <w:color w:val="FFFFFF" w:themeColor="background1"/>
      </w:rPr>
      <w:tblPr/>
      <w:tcPr>
        <w:tcBorders>
          <w:top w:val="single" w:sz="4" w:space="0" w:color="428D52" w:themeColor="accent6"/>
          <w:left w:val="single" w:sz="4" w:space="0" w:color="428D52" w:themeColor="accent6"/>
          <w:bottom w:val="single" w:sz="4" w:space="0" w:color="428D52" w:themeColor="accent6"/>
          <w:right w:val="single" w:sz="4" w:space="0" w:color="428D52" w:themeColor="accent6"/>
          <w:insideH w:val="nil"/>
          <w:insideV w:val="nil"/>
        </w:tcBorders>
        <w:shd w:val="clear" w:color="auto" w:fill="428D52" w:themeFill="accent6"/>
      </w:tcPr>
    </w:tblStylePr>
    <w:tblStylePr w:type="lastRow">
      <w:rPr>
        <w:b/>
        <w:bCs/>
      </w:rPr>
      <w:tblPr/>
      <w:tcPr>
        <w:tcBorders>
          <w:top w:val="double" w:sz="4" w:space="0" w:color="428D52" w:themeColor="accent6"/>
        </w:tcBorders>
      </w:tcPr>
    </w:tblStylePr>
    <w:tblStylePr w:type="firstCol">
      <w:rPr>
        <w:b/>
        <w:bCs/>
      </w:rPr>
    </w:tblStylePr>
    <w:tblStylePr w:type="lastCol">
      <w:rPr>
        <w:b/>
        <w:bCs/>
      </w:rPr>
    </w:tblStylePr>
    <w:tblStylePr w:type="band1Vert">
      <w:tblPr/>
      <w:tcPr>
        <w:shd w:val="clear" w:color="auto" w:fill="D5EBDA" w:themeFill="accent6" w:themeFillTint="33"/>
      </w:tcPr>
    </w:tblStylePr>
    <w:tblStylePr w:type="band1Horz">
      <w:tblPr/>
      <w:tcPr>
        <w:shd w:val="clear" w:color="auto" w:fill="D5EBDA" w:themeFill="accent6" w:themeFillTint="33"/>
      </w:tcPr>
    </w:tblStylePr>
  </w:style>
  <w:style w:type="table" w:styleId="GridTable5Dark">
    <w:name w:val="Grid Table 5 Dark"/>
    <w:basedOn w:val="TableNormal"/>
    <w:uiPriority w:val="50"/>
    <w:rsid w:val="009637A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9637A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BE6F2"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D85BE"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D85BE"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D85BE"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D85BE" w:themeFill="accent1"/>
      </w:tcPr>
    </w:tblStylePr>
    <w:tblStylePr w:type="band1Vert">
      <w:tblPr/>
      <w:tcPr>
        <w:shd w:val="clear" w:color="auto" w:fill="D7CEE5" w:themeFill="accent1" w:themeFillTint="66"/>
      </w:tcPr>
    </w:tblStylePr>
    <w:tblStylePr w:type="band1Horz">
      <w:tblPr/>
      <w:tcPr>
        <w:shd w:val="clear" w:color="auto" w:fill="D7CEE5" w:themeFill="accent1" w:themeFillTint="66"/>
      </w:tcPr>
    </w:tblStylePr>
  </w:style>
  <w:style w:type="table" w:styleId="GridTable5Dark-Accent2">
    <w:name w:val="Grid Table 5 Dark Accent 2"/>
    <w:basedOn w:val="TableNormal"/>
    <w:uiPriority w:val="50"/>
    <w:rsid w:val="009637A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5E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D7D7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D7D7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D7D7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D7D7D" w:themeFill="accent2"/>
      </w:tcPr>
    </w:tblStylePr>
    <w:tblStylePr w:type="band1Vert">
      <w:tblPr/>
      <w:tcPr>
        <w:shd w:val="clear" w:color="auto" w:fill="CBCBCB" w:themeFill="accent2" w:themeFillTint="66"/>
      </w:tcPr>
    </w:tblStylePr>
    <w:tblStylePr w:type="band1Horz">
      <w:tblPr/>
      <w:tcPr>
        <w:shd w:val="clear" w:color="auto" w:fill="CBCBCB" w:themeFill="accent2" w:themeFillTint="66"/>
      </w:tcPr>
    </w:tblStylePr>
  </w:style>
  <w:style w:type="table" w:styleId="GridTable5Dark-Accent3">
    <w:name w:val="Grid Table 5 Dark Accent 3"/>
    <w:basedOn w:val="TableNormal"/>
    <w:uiPriority w:val="50"/>
    <w:rsid w:val="009637A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F4F4"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8C8C8"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8C8C8"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8C8C8"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8C8C8" w:themeFill="accent3"/>
      </w:tcPr>
    </w:tblStylePr>
    <w:tblStylePr w:type="band1Vert">
      <w:tblPr/>
      <w:tcPr>
        <w:shd w:val="clear" w:color="auto" w:fill="E9E9E9" w:themeFill="accent3" w:themeFillTint="66"/>
      </w:tcPr>
    </w:tblStylePr>
    <w:tblStylePr w:type="band1Horz">
      <w:tblPr/>
      <w:tcPr>
        <w:shd w:val="clear" w:color="auto" w:fill="E9E9E9" w:themeFill="accent3" w:themeFillTint="66"/>
      </w:tcPr>
    </w:tblStylePr>
  </w:style>
  <w:style w:type="table" w:styleId="GridTable5Dark-Accent4">
    <w:name w:val="Grid Table 5 Dark Accent 4"/>
    <w:basedOn w:val="TableNormal"/>
    <w:uiPriority w:val="50"/>
    <w:rsid w:val="009637A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8E7FF"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6A9F"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6A9F"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6A9F"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6A9F" w:themeFill="accent4"/>
      </w:tcPr>
    </w:tblStylePr>
    <w:tblStylePr w:type="band1Vert">
      <w:tblPr/>
      <w:tcPr>
        <w:shd w:val="clear" w:color="auto" w:fill="72D0FF" w:themeFill="accent4" w:themeFillTint="66"/>
      </w:tcPr>
    </w:tblStylePr>
    <w:tblStylePr w:type="band1Horz">
      <w:tblPr/>
      <w:tcPr>
        <w:shd w:val="clear" w:color="auto" w:fill="72D0FF" w:themeFill="accent4" w:themeFillTint="66"/>
      </w:tcPr>
    </w:tblStylePr>
  </w:style>
  <w:style w:type="table" w:styleId="GridTable5Dark-Accent5">
    <w:name w:val="Grid Table 5 Dark Accent 5"/>
    <w:basedOn w:val="TableNormal"/>
    <w:uiPriority w:val="50"/>
    <w:rsid w:val="009637A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4F1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BBDD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BBDD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BBDD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BBDD6" w:themeFill="accent5"/>
      </w:tcPr>
    </w:tblStylePr>
    <w:tblStylePr w:type="band1Vert">
      <w:tblPr/>
      <w:tcPr>
        <w:shd w:val="clear" w:color="auto" w:fill="CAE4EE" w:themeFill="accent5" w:themeFillTint="66"/>
      </w:tcPr>
    </w:tblStylePr>
    <w:tblStylePr w:type="band1Horz">
      <w:tblPr/>
      <w:tcPr>
        <w:shd w:val="clear" w:color="auto" w:fill="CAE4EE" w:themeFill="accent5" w:themeFillTint="66"/>
      </w:tcPr>
    </w:tblStylePr>
  </w:style>
  <w:style w:type="table" w:styleId="GridTable5Dark-Accent6">
    <w:name w:val="Grid Table 5 Dark Accent 6"/>
    <w:basedOn w:val="TableNormal"/>
    <w:uiPriority w:val="50"/>
    <w:rsid w:val="009637A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5EBDA"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28D52"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28D52"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28D52"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28D52" w:themeFill="accent6"/>
      </w:tcPr>
    </w:tblStylePr>
    <w:tblStylePr w:type="band1Vert">
      <w:tblPr/>
      <w:tcPr>
        <w:shd w:val="clear" w:color="auto" w:fill="ACD8B5" w:themeFill="accent6" w:themeFillTint="66"/>
      </w:tcPr>
    </w:tblStylePr>
    <w:tblStylePr w:type="band1Horz">
      <w:tblPr/>
      <w:tcPr>
        <w:shd w:val="clear" w:color="auto" w:fill="ACD8B5" w:themeFill="accent6" w:themeFillTint="66"/>
      </w:tcPr>
    </w:tblStylePr>
  </w:style>
  <w:style w:type="table" w:styleId="GridTable6Colorful">
    <w:name w:val="Grid Table 6 Colorful"/>
    <w:basedOn w:val="TableNormal"/>
    <w:uiPriority w:val="51"/>
    <w:rsid w:val="009637A8"/>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9637A8"/>
    <w:pPr>
      <w:spacing w:after="0" w:line="240" w:lineRule="auto"/>
    </w:pPr>
    <w:rPr>
      <w:color w:val="72549D" w:themeColor="accent1" w:themeShade="BF"/>
    </w:rPr>
    <w:tblPr>
      <w:tblStyleRowBandSize w:val="1"/>
      <w:tblStyleColBandSize w:val="1"/>
      <w:tblBorders>
        <w:top w:val="single" w:sz="4" w:space="0" w:color="C4B5D8" w:themeColor="accent1" w:themeTint="99"/>
        <w:left w:val="single" w:sz="4" w:space="0" w:color="C4B5D8" w:themeColor="accent1" w:themeTint="99"/>
        <w:bottom w:val="single" w:sz="4" w:space="0" w:color="C4B5D8" w:themeColor="accent1" w:themeTint="99"/>
        <w:right w:val="single" w:sz="4" w:space="0" w:color="C4B5D8" w:themeColor="accent1" w:themeTint="99"/>
        <w:insideH w:val="single" w:sz="4" w:space="0" w:color="C4B5D8" w:themeColor="accent1" w:themeTint="99"/>
        <w:insideV w:val="single" w:sz="4" w:space="0" w:color="C4B5D8" w:themeColor="accent1" w:themeTint="99"/>
      </w:tblBorders>
    </w:tblPr>
    <w:tblStylePr w:type="firstRow">
      <w:rPr>
        <w:b/>
        <w:bCs/>
      </w:rPr>
      <w:tblPr/>
      <w:tcPr>
        <w:tcBorders>
          <w:bottom w:val="single" w:sz="12" w:space="0" w:color="C4B5D8" w:themeColor="accent1" w:themeTint="99"/>
        </w:tcBorders>
      </w:tcPr>
    </w:tblStylePr>
    <w:tblStylePr w:type="lastRow">
      <w:rPr>
        <w:b/>
        <w:bCs/>
      </w:rPr>
      <w:tblPr/>
      <w:tcPr>
        <w:tcBorders>
          <w:top w:val="double" w:sz="4" w:space="0" w:color="C4B5D8" w:themeColor="accent1" w:themeTint="99"/>
        </w:tcBorders>
      </w:tcPr>
    </w:tblStylePr>
    <w:tblStylePr w:type="firstCol">
      <w:rPr>
        <w:b/>
        <w:bCs/>
      </w:rPr>
    </w:tblStylePr>
    <w:tblStylePr w:type="lastCol">
      <w:rPr>
        <w:b/>
        <w:bCs/>
      </w:rPr>
    </w:tblStylePr>
    <w:tblStylePr w:type="band1Vert">
      <w:tblPr/>
      <w:tcPr>
        <w:shd w:val="clear" w:color="auto" w:fill="EBE6F2" w:themeFill="accent1" w:themeFillTint="33"/>
      </w:tcPr>
    </w:tblStylePr>
    <w:tblStylePr w:type="band1Horz">
      <w:tblPr/>
      <w:tcPr>
        <w:shd w:val="clear" w:color="auto" w:fill="EBE6F2" w:themeFill="accent1" w:themeFillTint="33"/>
      </w:tcPr>
    </w:tblStylePr>
  </w:style>
  <w:style w:type="table" w:styleId="GridTable6Colorful-Accent2">
    <w:name w:val="Grid Table 6 Colorful Accent 2"/>
    <w:basedOn w:val="TableNormal"/>
    <w:uiPriority w:val="51"/>
    <w:rsid w:val="009637A8"/>
    <w:pPr>
      <w:spacing w:after="0" w:line="240" w:lineRule="auto"/>
    </w:pPr>
    <w:rPr>
      <w:color w:val="5D5D5D" w:themeColor="accent2" w:themeShade="BF"/>
    </w:rPr>
    <w:tblPr>
      <w:tblStyleRowBandSize w:val="1"/>
      <w:tblStyleColBandSize w:val="1"/>
      <w:tblBorders>
        <w:top w:val="single" w:sz="4" w:space="0" w:color="B1B1B1" w:themeColor="accent2" w:themeTint="99"/>
        <w:left w:val="single" w:sz="4" w:space="0" w:color="B1B1B1" w:themeColor="accent2" w:themeTint="99"/>
        <w:bottom w:val="single" w:sz="4" w:space="0" w:color="B1B1B1" w:themeColor="accent2" w:themeTint="99"/>
        <w:right w:val="single" w:sz="4" w:space="0" w:color="B1B1B1" w:themeColor="accent2" w:themeTint="99"/>
        <w:insideH w:val="single" w:sz="4" w:space="0" w:color="B1B1B1" w:themeColor="accent2" w:themeTint="99"/>
        <w:insideV w:val="single" w:sz="4" w:space="0" w:color="B1B1B1" w:themeColor="accent2" w:themeTint="99"/>
      </w:tblBorders>
    </w:tblPr>
    <w:tblStylePr w:type="firstRow">
      <w:rPr>
        <w:b/>
        <w:bCs/>
      </w:rPr>
      <w:tblPr/>
      <w:tcPr>
        <w:tcBorders>
          <w:bottom w:val="single" w:sz="12" w:space="0" w:color="B1B1B1" w:themeColor="accent2" w:themeTint="99"/>
        </w:tcBorders>
      </w:tcPr>
    </w:tblStylePr>
    <w:tblStylePr w:type="lastRow">
      <w:rPr>
        <w:b/>
        <w:bCs/>
      </w:rPr>
      <w:tblPr/>
      <w:tcPr>
        <w:tcBorders>
          <w:top w:val="double" w:sz="4" w:space="0" w:color="B1B1B1" w:themeColor="accent2" w:themeTint="99"/>
        </w:tcBorders>
      </w:tcPr>
    </w:tblStylePr>
    <w:tblStylePr w:type="firstCol">
      <w:rPr>
        <w:b/>
        <w:bCs/>
      </w:rPr>
    </w:tblStylePr>
    <w:tblStylePr w:type="lastCol">
      <w:rPr>
        <w:b/>
        <w:bCs/>
      </w:rPr>
    </w:tblStylePr>
    <w:tblStylePr w:type="band1Vert">
      <w:tblPr/>
      <w:tcPr>
        <w:shd w:val="clear" w:color="auto" w:fill="E5E5E5" w:themeFill="accent2" w:themeFillTint="33"/>
      </w:tcPr>
    </w:tblStylePr>
    <w:tblStylePr w:type="band1Horz">
      <w:tblPr/>
      <w:tcPr>
        <w:shd w:val="clear" w:color="auto" w:fill="E5E5E5" w:themeFill="accent2" w:themeFillTint="33"/>
      </w:tcPr>
    </w:tblStylePr>
  </w:style>
  <w:style w:type="table" w:styleId="GridTable6Colorful-Accent3">
    <w:name w:val="Grid Table 6 Colorful Accent 3"/>
    <w:basedOn w:val="TableNormal"/>
    <w:uiPriority w:val="51"/>
    <w:rsid w:val="009637A8"/>
    <w:pPr>
      <w:spacing w:after="0" w:line="240" w:lineRule="auto"/>
    </w:pPr>
    <w:rPr>
      <w:color w:val="959595" w:themeColor="accent3" w:themeShade="BF"/>
    </w:rPr>
    <w:tblPr>
      <w:tblStyleRowBandSize w:val="1"/>
      <w:tblStyleColBandSize w:val="1"/>
      <w:tblBorders>
        <w:top w:val="single" w:sz="4" w:space="0" w:color="DEDEDE" w:themeColor="accent3" w:themeTint="99"/>
        <w:left w:val="single" w:sz="4" w:space="0" w:color="DEDEDE" w:themeColor="accent3" w:themeTint="99"/>
        <w:bottom w:val="single" w:sz="4" w:space="0" w:color="DEDEDE" w:themeColor="accent3" w:themeTint="99"/>
        <w:right w:val="single" w:sz="4" w:space="0" w:color="DEDEDE" w:themeColor="accent3" w:themeTint="99"/>
        <w:insideH w:val="single" w:sz="4" w:space="0" w:color="DEDEDE" w:themeColor="accent3" w:themeTint="99"/>
        <w:insideV w:val="single" w:sz="4" w:space="0" w:color="DEDEDE" w:themeColor="accent3" w:themeTint="99"/>
      </w:tblBorders>
    </w:tblPr>
    <w:tblStylePr w:type="firstRow">
      <w:rPr>
        <w:b/>
        <w:bCs/>
      </w:rPr>
      <w:tblPr/>
      <w:tcPr>
        <w:tcBorders>
          <w:bottom w:val="single" w:sz="12" w:space="0" w:color="DEDEDE" w:themeColor="accent3" w:themeTint="99"/>
        </w:tcBorders>
      </w:tcPr>
    </w:tblStylePr>
    <w:tblStylePr w:type="lastRow">
      <w:rPr>
        <w:b/>
        <w:bCs/>
      </w:rPr>
      <w:tblPr/>
      <w:tcPr>
        <w:tcBorders>
          <w:top w:val="double" w:sz="4" w:space="0" w:color="DEDEDE" w:themeColor="accent3" w:themeTint="99"/>
        </w:tcBorders>
      </w:tcPr>
    </w:tblStylePr>
    <w:tblStylePr w:type="firstCol">
      <w:rPr>
        <w:b/>
        <w:bCs/>
      </w:rPr>
    </w:tblStylePr>
    <w:tblStylePr w:type="lastCol">
      <w:rPr>
        <w:b/>
        <w:bCs/>
      </w:rPr>
    </w:tblStylePr>
    <w:tblStylePr w:type="band1Vert">
      <w:tblPr/>
      <w:tcPr>
        <w:shd w:val="clear" w:color="auto" w:fill="F4F4F4" w:themeFill="accent3" w:themeFillTint="33"/>
      </w:tcPr>
    </w:tblStylePr>
    <w:tblStylePr w:type="band1Horz">
      <w:tblPr/>
      <w:tcPr>
        <w:shd w:val="clear" w:color="auto" w:fill="F4F4F4" w:themeFill="accent3" w:themeFillTint="33"/>
      </w:tcPr>
    </w:tblStylePr>
  </w:style>
  <w:style w:type="table" w:styleId="GridTable6Colorful-Accent4">
    <w:name w:val="Grid Table 6 Colorful Accent 4"/>
    <w:basedOn w:val="TableNormal"/>
    <w:uiPriority w:val="51"/>
    <w:rsid w:val="009637A8"/>
    <w:pPr>
      <w:spacing w:after="0" w:line="240" w:lineRule="auto"/>
    </w:pPr>
    <w:rPr>
      <w:color w:val="004F77" w:themeColor="accent4" w:themeShade="BF"/>
    </w:rPr>
    <w:tblPr>
      <w:tblStyleRowBandSize w:val="1"/>
      <w:tblStyleColBandSize w:val="1"/>
      <w:tblBorders>
        <w:top w:val="single" w:sz="4" w:space="0" w:color="2CB8FF" w:themeColor="accent4" w:themeTint="99"/>
        <w:left w:val="single" w:sz="4" w:space="0" w:color="2CB8FF" w:themeColor="accent4" w:themeTint="99"/>
        <w:bottom w:val="single" w:sz="4" w:space="0" w:color="2CB8FF" w:themeColor="accent4" w:themeTint="99"/>
        <w:right w:val="single" w:sz="4" w:space="0" w:color="2CB8FF" w:themeColor="accent4" w:themeTint="99"/>
        <w:insideH w:val="single" w:sz="4" w:space="0" w:color="2CB8FF" w:themeColor="accent4" w:themeTint="99"/>
        <w:insideV w:val="single" w:sz="4" w:space="0" w:color="2CB8FF" w:themeColor="accent4" w:themeTint="99"/>
      </w:tblBorders>
    </w:tblPr>
    <w:tblStylePr w:type="firstRow">
      <w:rPr>
        <w:b/>
        <w:bCs/>
      </w:rPr>
      <w:tblPr/>
      <w:tcPr>
        <w:tcBorders>
          <w:bottom w:val="single" w:sz="12" w:space="0" w:color="2CB8FF" w:themeColor="accent4" w:themeTint="99"/>
        </w:tcBorders>
      </w:tcPr>
    </w:tblStylePr>
    <w:tblStylePr w:type="lastRow">
      <w:rPr>
        <w:b/>
        <w:bCs/>
      </w:rPr>
      <w:tblPr/>
      <w:tcPr>
        <w:tcBorders>
          <w:top w:val="double" w:sz="4" w:space="0" w:color="2CB8FF" w:themeColor="accent4" w:themeTint="99"/>
        </w:tcBorders>
      </w:tcPr>
    </w:tblStylePr>
    <w:tblStylePr w:type="firstCol">
      <w:rPr>
        <w:b/>
        <w:bCs/>
      </w:rPr>
    </w:tblStylePr>
    <w:tblStylePr w:type="lastCol">
      <w:rPr>
        <w:b/>
        <w:bCs/>
      </w:rPr>
    </w:tblStylePr>
    <w:tblStylePr w:type="band1Vert">
      <w:tblPr/>
      <w:tcPr>
        <w:shd w:val="clear" w:color="auto" w:fill="B8E7FF" w:themeFill="accent4" w:themeFillTint="33"/>
      </w:tcPr>
    </w:tblStylePr>
    <w:tblStylePr w:type="band1Horz">
      <w:tblPr/>
      <w:tcPr>
        <w:shd w:val="clear" w:color="auto" w:fill="B8E7FF" w:themeFill="accent4" w:themeFillTint="33"/>
      </w:tcPr>
    </w:tblStylePr>
  </w:style>
  <w:style w:type="table" w:styleId="GridTable6Colorful-Accent5">
    <w:name w:val="Grid Table 6 Colorful Accent 5"/>
    <w:basedOn w:val="TableNormal"/>
    <w:uiPriority w:val="51"/>
    <w:rsid w:val="009637A8"/>
    <w:pPr>
      <w:spacing w:after="0" w:line="240" w:lineRule="auto"/>
    </w:pPr>
    <w:rPr>
      <w:color w:val="3C9BC0" w:themeColor="accent5" w:themeShade="BF"/>
    </w:rPr>
    <w:tblPr>
      <w:tblStyleRowBandSize w:val="1"/>
      <w:tblStyleColBandSize w:val="1"/>
      <w:tblBorders>
        <w:top w:val="single" w:sz="4" w:space="0" w:color="AFD7E6" w:themeColor="accent5" w:themeTint="99"/>
        <w:left w:val="single" w:sz="4" w:space="0" w:color="AFD7E6" w:themeColor="accent5" w:themeTint="99"/>
        <w:bottom w:val="single" w:sz="4" w:space="0" w:color="AFD7E6" w:themeColor="accent5" w:themeTint="99"/>
        <w:right w:val="single" w:sz="4" w:space="0" w:color="AFD7E6" w:themeColor="accent5" w:themeTint="99"/>
        <w:insideH w:val="single" w:sz="4" w:space="0" w:color="AFD7E6" w:themeColor="accent5" w:themeTint="99"/>
        <w:insideV w:val="single" w:sz="4" w:space="0" w:color="AFD7E6" w:themeColor="accent5" w:themeTint="99"/>
      </w:tblBorders>
    </w:tblPr>
    <w:tblStylePr w:type="firstRow">
      <w:rPr>
        <w:b/>
        <w:bCs/>
      </w:rPr>
      <w:tblPr/>
      <w:tcPr>
        <w:tcBorders>
          <w:bottom w:val="single" w:sz="12" w:space="0" w:color="AFD7E6" w:themeColor="accent5" w:themeTint="99"/>
        </w:tcBorders>
      </w:tcPr>
    </w:tblStylePr>
    <w:tblStylePr w:type="lastRow">
      <w:rPr>
        <w:b/>
        <w:bCs/>
      </w:rPr>
      <w:tblPr/>
      <w:tcPr>
        <w:tcBorders>
          <w:top w:val="double" w:sz="4" w:space="0" w:color="AFD7E6" w:themeColor="accent5" w:themeTint="99"/>
        </w:tcBorders>
      </w:tcPr>
    </w:tblStylePr>
    <w:tblStylePr w:type="firstCol">
      <w:rPr>
        <w:b/>
        <w:bCs/>
      </w:rPr>
    </w:tblStylePr>
    <w:tblStylePr w:type="lastCol">
      <w:rPr>
        <w:b/>
        <w:bCs/>
      </w:rPr>
    </w:tblStylePr>
    <w:tblStylePr w:type="band1Vert">
      <w:tblPr/>
      <w:tcPr>
        <w:shd w:val="clear" w:color="auto" w:fill="E4F1F6" w:themeFill="accent5" w:themeFillTint="33"/>
      </w:tcPr>
    </w:tblStylePr>
    <w:tblStylePr w:type="band1Horz">
      <w:tblPr/>
      <w:tcPr>
        <w:shd w:val="clear" w:color="auto" w:fill="E4F1F6" w:themeFill="accent5" w:themeFillTint="33"/>
      </w:tcPr>
    </w:tblStylePr>
  </w:style>
  <w:style w:type="table" w:styleId="GridTable6Colorful-Accent6">
    <w:name w:val="Grid Table 6 Colorful Accent 6"/>
    <w:basedOn w:val="TableNormal"/>
    <w:uiPriority w:val="51"/>
    <w:rsid w:val="009637A8"/>
    <w:pPr>
      <w:spacing w:after="0" w:line="240" w:lineRule="auto"/>
    </w:pPr>
    <w:rPr>
      <w:color w:val="31693D" w:themeColor="accent6" w:themeShade="BF"/>
    </w:rPr>
    <w:tblPr>
      <w:tblStyleRowBandSize w:val="1"/>
      <w:tblStyleColBandSize w:val="1"/>
      <w:tblBorders>
        <w:top w:val="single" w:sz="4" w:space="0" w:color="83C590" w:themeColor="accent6" w:themeTint="99"/>
        <w:left w:val="single" w:sz="4" w:space="0" w:color="83C590" w:themeColor="accent6" w:themeTint="99"/>
        <w:bottom w:val="single" w:sz="4" w:space="0" w:color="83C590" w:themeColor="accent6" w:themeTint="99"/>
        <w:right w:val="single" w:sz="4" w:space="0" w:color="83C590" w:themeColor="accent6" w:themeTint="99"/>
        <w:insideH w:val="single" w:sz="4" w:space="0" w:color="83C590" w:themeColor="accent6" w:themeTint="99"/>
        <w:insideV w:val="single" w:sz="4" w:space="0" w:color="83C590" w:themeColor="accent6" w:themeTint="99"/>
      </w:tblBorders>
    </w:tblPr>
    <w:tblStylePr w:type="firstRow">
      <w:rPr>
        <w:b/>
        <w:bCs/>
      </w:rPr>
      <w:tblPr/>
      <w:tcPr>
        <w:tcBorders>
          <w:bottom w:val="single" w:sz="12" w:space="0" w:color="83C590" w:themeColor="accent6" w:themeTint="99"/>
        </w:tcBorders>
      </w:tcPr>
    </w:tblStylePr>
    <w:tblStylePr w:type="lastRow">
      <w:rPr>
        <w:b/>
        <w:bCs/>
      </w:rPr>
      <w:tblPr/>
      <w:tcPr>
        <w:tcBorders>
          <w:top w:val="double" w:sz="4" w:space="0" w:color="83C590" w:themeColor="accent6" w:themeTint="99"/>
        </w:tcBorders>
      </w:tcPr>
    </w:tblStylePr>
    <w:tblStylePr w:type="firstCol">
      <w:rPr>
        <w:b/>
        <w:bCs/>
      </w:rPr>
    </w:tblStylePr>
    <w:tblStylePr w:type="lastCol">
      <w:rPr>
        <w:b/>
        <w:bCs/>
      </w:rPr>
    </w:tblStylePr>
    <w:tblStylePr w:type="band1Vert">
      <w:tblPr/>
      <w:tcPr>
        <w:shd w:val="clear" w:color="auto" w:fill="D5EBDA" w:themeFill="accent6" w:themeFillTint="33"/>
      </w:tcPr>
    </w:tblStylePr>
    <w:tblStylePr w:type="band1Horz">
      <w:tblPr/>
      <w:tcPr>
        <w:shd w:val="clear" w:color="auto" w:fill="D5EBDA" w:themeFill="accent6" w:themeFillTint="33"/>
      </w:tcPr>
    </w:tblStylePr>
  </w:style>
  <w:style w:type="table" w:styleId="GridTable7Colorful">
    <w:name w:val="Grid Table 7 Colorful"/>
    <w:basedOn w:val="TableNormal"/>
    <w:uiPriority w:val="52"/>
    <w:rsid w:val="009637A8"/>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9637A8"/>
    <w:pPr>
      <w:spacing w:after="0" w:line="240" w:lineRule="auto"/>
    </w:pPr>
    <w:rPr>
      <w:color w:val="72549D" w:themeColor="accent1" w:themeShade="BF"/>
    </w:rPr>
    <w:tblPr>
      <w:tblStyleRowBandSize w:val="1"/>
      <w:tblStyleColBandSize w:val="1"/>
      <w:tblBorders>
        <w:top w:val="single" w:sz="4" w:space="0" w:color="C4B5D8" w:themeColor="accent1" w:themeTint="99"/>
        <w:left w:val="single" w:sz="4" w:space="0" w:color="C4B5D8" w:themeColor="accent1" w:themeTint="99"/>
        <w:bottom w:val="single" w:sz="4" w:space="0" w:color="C4B5D8" w:themeColor="accent1" w:themeTint="99"/>
        <w:right w:val="single" w:sz="4" w:space="0" w:color="C4B5D8" w:themeColor="accent1" w:themeTint="99"/>
        <w:insideH w:val="single" w:sz="4" w:space="0" w:color="C4B5D8" w:themeColor="accent1" w:themeTint="99"/>
        <w:insideV w:val="single" w:sz="4" w:space="0" w:color="C4B5D8"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BE6F2" w:themeFill="accent1" w:themeFillTint="33"/>
      </w:tcPr>
    </w:tblStylePr>
    <w:tblStylePr w:type="band1Horz">
      <w:tblPr/>
      <w:tcPr>
        <w:shd w:val="clear" w:color="auto" w:fill="EBE6F2" w:themeFill="accent1" w:themeFillTint="33"/>
      </w:tcPr>
    </w:tblStylePr>
    <w:tblStylePr w:type="neCell">
      <w:tblPr/>
      <w:tcPr>
        <w:tcBorders>
          <w:bottom w:val="single" w:sz="4" w:space="0" w:color="C4B5D8" w:themeColor="accent1" w:themeTint="99"/>
        </w:tcBorders>
      </w:tcPr>
    </w:tblStylePr>
    <w:tblStylePr w:type="nwCell">
      <w:tblPr/>
      <w:tcPr>
        <w:tcBorders>
          <w:bottom w:val="single" w:sz="4" w:space="0" w:color="C4B5D8" w:themeColor="accent1" w:themeTint="99"/>
        </w:tcBorders>
      </w:tcPr>
    </w:tblStylePr>
    <w:tblStylePr w:type="seCell">
      <w:tblPr/>
      <w:tcPr>
        <w:tcBorders>
          <w:top w:val="single" w:sz="4" w:space="0" w:color="C4B5D8" w:themeColor="accent1" w:themeTint="99"/>
        </w:tcBorders>
      </w:tcPr>
    </w:tblStylePr>
    <w:tblStylePr w:type="swCell">
      <w:tblPr/>
      <w:tcPr>
        <w:tcBorders>
          <w:top w:val="single" w:sz="4" w:space="0" w:color="C4B5D8" w:themeColor="accent1" w:themeTint="99"/>
        </w:tcBorders>
      </w:tcPr>
    </w:tblStylePr>
  </w:style>
  <w:style w:type="table" w:styleId="GridTable7Colorful-Accent2">
    <w:name w:val="Grid Table 7 Colorful Accent 2"/>
    <w:basedOn w:val="TableNormal"/>
    <w:uiPriority w:val="52"/>
    <w:rsid w:val="009637A8"/>
    <w:pPr>
      <w:spacing w:after="0" w:line="240" w:lineRule="auto"/>
    </w:pPr>
    <w:rPr>
      <w:color w:val="5D5D5D" w:themeColor="accent2" w:themeShade="BF"/>
    </w:rPr>
    <w:tblPr>
      <w:tblStyleRowBandSize w:val="1"/>
      <w:tblStyleColBandSize w:val="1"/>
      <w:tblBorders>
        <w:top w:val="single" w:sz="4" w:space="0" w:color="B1B1B1" w:themeColor="accent2" w:themeTint="99"/>
        <w:left w:val="single" w:sz="4" w:space="0" w:color="B1B1B1" w:themeColor="accent2" w:themeTint="99"/>
        <w:bottom w:val="single" w:sz="4" w:space="0" w:color="B1B1B1" w:themeColor="accent2" w:themeTint="99"/>
        <w:right w:val="single" w:sz="4" w:space="0" w:color="B1B1B1" w:themeColor="accent2" w:themeTint="99"/>
        <w:insideH w:val="single" w:sz="4" w:space="0" w:color="B1B1B1" w:themeColor="accent2" w:themeTint="99"/>
        <w:insideV w:val="single" w:sz="4" w:space="0" w:color="B1B1B1"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5" w:themeFill="accent2" w:themeFillTint="33"/>
      </w:tcPr>
    </w:tblStylePr>
    <w:tblStylePr w:type="band1Horz">
      <w:tblPr/>
      <w:tcPr>
        <w:shd w:val="clear" w:color="auto" w:fill="E5E5E5" w:themeFill="accent2" w:themeFillTint="33"/>
      </w:tcPr>
    </w:tblStylePr>
    <w:tblStylePr w:type="neCell">
      <w:tblPr/>
      <w:tcPr>
        <w:tcBorders>
          <w:bottom w:val="single" w:sz="4" w:space="0" w:color="B1B1B1" w:themeColor="accent2" w:themeTint="99"/>
        </w:tcBorders>
      </w:tcPr>
    </w:tblStylePr>
    <w:tblStylePr w:type="nwCell">
      <w:tblPr/>
      <w:tcPr>
        <w:tcBorders>
          <w:bottom w:val="single" w:sz="4" w:space="0" w:color="B1B1B1" w:themeColor="accent2" w:themeTint="99"/>
        </w:tcBorders>
      </w:tcPr>
    </w:tblStylePr>
    <w:tblStylePr w:type="seCell">
      <w:tblPr/>
      <w:tcPr>
        <w:tcBorders>
          <w:top w:val="single" w:sz="4" w:space="0" w:color="B1B1B1" w:themeColor="accent2" w:themeTint="99"/>
        </w:tcBorders>
      </w:tcPr>
    </w:tblStylePr>
    <w:tblStylePr w:type="swCell">
      <w:tblPr/>
      <w:tcPr>
        <w:tcBorders>
          <w:top w:val="single" w:sz="4" w:space="0" w:color="B1B1B1" w:themeColor="accent2" w:themeTint="99"/>
        </w:tcBorders>
      </w:tcPr>
    </w:tblStylePr>
  </w:style>
  <w:style w:type="table" w:styleId="GridTable7Colorful-Accent3">
    <w:name w:val="Grid Table 7 Colorful Accent 3"/>
    <w:basedOn w:val="TableNormal"/>
    <w:uiPriority w:val="52"/>
    <w:rsid w:val="009637A8"/>
    <w:pPr>
      <w:spacing w:after="0" w:line="240" w:lineRule="auto"/>
    </w:pPr>
    <w:rPr>
      <w:color w:val="959595" w:themeColor="accent3" w:themeShade="BF"/>
    </w:rPr>
    <w:tblPr>
      <w:tblStyleRowBandSize w:val="1"/>
      <w:tblStyleColBandSize w:val="1"/>
      <w:tblBorders>
        <w:top w:val="single" w:sz="4" w:space="0" w:color="DEDEDE" w:themeColor="accent3" w:themeTint="99"/>
        <w:left w:val="single" w:sz="4" w:space="0" w:color="DEDEDE" w:themeColor="accent3" w:themeTint="99"/>
        <w:bottom w:val="single" w:sz="4" w:space="0" w:color="DEDEDE" w:themeColor="accent3" w:themeTint="99"/>
        <w:right w:val="single" w:sz="4" w:space="0" w:color="DEDEDE" w:themeColor="accent3" w:themeTint="99"/>
        <w:insideH w:val="single" w:sz="4" w:space="0" w:color="DEDEDE" w:themeColor="accent3" w:themeTint="99"/>
        <w:insideV w:val="single" w:sz="4" w:space="0" w:color="DEDEDE"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4F4" w:themeFill="accent3" w:themeFillTint="33"/>
      </w:tcPr>
    </w:tblStylePr>
    <w:tblStylePr w:type="band1Horz">
      <w:tblPr/>
      <w:tcPr>
        <w:shd w:val="clear" w:color="auto" w:fill="F4F4F4" w:themeFill="accent3" w:themeFillTint="33"/>
      </w:tcPr>
    </w:tblStylePr>
    <w:tblStylePr w:type="neCell">
      <w:tblPr/>
      <w:tcPr>
        <w:tcBorders>
          <w:bottom w:val="single" w:sz="4" w:space="0" w:color="DEDEDE" w:themeColor="accent3" w:themeTint="99"/>
        </w:tcBorders>
      </w:tcPr>
    </w:tblStylePr>
    <w:tblStylePr w:type="nwCell">
      <w:tblPr/>
      <w:tcPr>
        <w:tcBorders>
          <w:bottom w:val="single" w:sz="4" w:space="0" w:color="DEDEDE" w:themeColor="accent3" w:themeTint="99"/>
        </w:tcBorders>
      </w:tcPr>
    </w:tblStylePr>
    <w:tblStylePr w:type="seCell">
      <w:tblPr/>
      <w:tcPr>
        <w:tcBorders>
          <w:top w:val="single" w:sz="4" w:space="0" w:color="DEDEDE" w:themeColor="accent3" w:themeTint="99"/>
        </w:tcBorders>
      </w:tcPr>
    </w:tblStylePr>
    <w:tblStylePr w:type="swCell">
      <w:tblPr/>
      <w:tcPr>
        <w:tcBorders>
          <w:top w:val="single" w:sz="4" w:space="0" w:color="DEDEDE" w:themeColor="accent3" w:themeTint="99"/>
        </w:tcBorders>
      </w:tcPr>
    </w:tblStylePr>
  </w:style>
  <w:style w:type="table" w:styleId="GridTable7Colorful-Accent4">
    <w:name w:val="Grid Table 7 Colorful Accent 4"/>
    <w:basedOn w:val="TableNormal"/>
    <w:uiPriority w:val="52"/>
    <w:rsid w:val="009637A8"/>
    <w:pPr>
      <w:spacing w:after="0" w:line="240" w:lineRule="auto"/>
    </w:pPr>
    <w:rPr>
      <w:color w:val="004F77" w:themeColor="accent4" w:themeShade="BF"/>
    </w:rPr>
    <w:tblPr>
      <w:tblStyleRowBandSize w:val="1"/>
      <w:tblStyleColBandSize w:val="1"/>
      <w:tblBorders>
        <w:top w:val="single" w:sz="4" w:space="0" w:color="2CB8FF" w:themeColor="accent4" w:themeTint="99"/>
        <w:left w:val="single" w:sz="4" w:space="0" w:color="2CB8FF" w:themeColor="accent4" w:themeTint="99"/>
        <w:bottom w:val="single" w:sz="4" w:space="0" w:color="2CB8FF" w:themeColor="accent4" w:themeTint="99"/>
        <w:right w:val="single" w:sz="4" w:space="0" w:color="2CB8FF" w:themeColor="accent4" w:themeTint="99"/>
        <w:insideH w:val="single" w:sz="4" w:space="0" w:color="2CB8FF" w:themeColor="accent4" w:themeTint="99"/>
        <w:insideV w:val="single" w:sz="4" w:space="0" w:color="2CB8FF"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8E7FF" w:themeFill="accent4" w:themeFillTint="33"/>
      </w:tcPr>
    </w:tblStylePr>
    <w:tblStylePr w:type="band1Horz">
      <w:tblPr/>
      <w:tcPr>
        <w:shd w:val="clear" w:color="auto" w:fill="B8E7FF" w:themeFill="accent4" w:themeFillTint="33"/>
      </w:tcPr>
    </w:tblStylePr>
    <w:tblStylePr w:type="neCell">
      <w:tblPr/>
      <w:tcPr>
        <w:tcBorders>
          <w:bottom w:val="single" w:sz="4" w:space="0" w:color="2CB8FF" w:themeColor="accent4" w:themeTint="99"/>
        </w:tcBorders>
      </w:tcPr>
    </w:tblStylePr>
    <w:tblStylePr w:type="nwCell">
      <w:tblPr/>
      <w:tcPr>
        <w:tcBorders>
          <w:bottom w:val="single" w:sz="4" w:space="0" w:color="2CB8FF" w:themeColor="accent4" w:themeTint="99"/>
        </w:tcBorders>
      </w:tcPr>
    </w:tblStylePr>
    <w:tblStylePr w:type="seCell">
      <w:tblPr/>
      <w:tcPr>
        <w:tcBorders>
          <w:top w:val="single" w:sz="4" w:space="0" w:color="2CB8FF" w:themeColor="accent4" w:themeTint="99"/>
        </w:tcBorders>
      </w:tcPr>
    </w:tblStylePr>
    <w:tblStylePr w:type="swCell">
      <w:tblPr/>
      <w:tcPr>
        <w:tcBorders>
          <w:top w:val="single" w:sz="4" w:space="0" w:color="2CB8FF" w:themeColor="accent4" w:themeTint="99"/>
        </w:tcBorders>
      </w:tcPr>
    </w:tblStylePr>
  </w:style>
  <w:style w:type="table" w:styleId="GridTable7Colorful-Accent5">
    <w:name w:val="Grid Table 7 Colorful Accent 5"/>
    <w:basedOn w:val="TableNormal"/>
    <w:uiPriority w:val="52"/>
    <w:rsid w:val="009637A8"/>
    <w:pPr>
      <w:spacing w:after="0" w:line="240" w:lineRule="auto"/>
    </w:pPr>
    <w:rPr>
      <w:color w:val="3C9BC0" w:themeColor="accent5" w:themeShade="BF"/>
    </w:rPr>
    <w:tblPr>
      <w:tblStyleRowBandSize w:val="1"/>
      <w:tblStyleColBandSize w:val="1"/>
      <w:tblBorders>
        <w:top w:val="single" w:sz="4" w:space="0" w:color="AFD7E6" w:themeColor="accent5" w:themeTint="99"/>
        <w:left w:val="single" w:sz="4" w:space="0" w:color="AFD7E6" w:themeColor="accent5" w:themeTint="99"/>
        <w:bottom w:val="single" w:sz="4" w:space="0" w:color="AFD7E6" w:themeColor="accent5" w:themeTint="99"/>
        <w:right w:val="single" w:sz="4" w:space="0" w:color="AFD7E6" w:themeColor="accent5" w:themeTint="99"/>
        <w:insideH w:val="single" w:sz="4" w:space="0" w:color="AFD7E6" w:themeColor="accent5" w:themeTint="99"/>
        <w:insideV w:val="single" w:sz="4" w:space="0" w:color="AFD7E6"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F1F6" w:themeFill="accent5" w:themeFillTint="33"/>
      </w:tcPr>
    </w:tblStylePr>
    <w:tblStylePr w:type="band1Horz">
      <w:tblPr/>
      <w:tcPr>
        <w:shd w:val="clear" w:color="auto" w:fill="E4F1F6" w:themeFill="accent5" w:themeFillTint="33"/>
      </w:tcPr>
    </w:tblStylePr>
    <w:tblStylePr w:type="neCell">
      <w:tblPr/>
      <w:tcPr>
        <w:tcBorders>
          <w:bottom w:val="single" w:sz="4" w:space="0" w:color="AFD7E6" w:themeColor="accent5" w:themeTint="99"/>
        </w:tcBorders>
      </w:tcPr>
    </w:tblStylePr>
    <w:tblStylePr w:type="nwCell">
      <w:tblPr/>
      <w:tcPr>
        <w:tcBorders>
          <w:bottom w:val="single" w:sz="4" w:space="0" w:color="AFD7E6" w:themeColor="accent5" w:themeTint="99"/>
        </w:tcBorders>
      </w:tcPr>
    </w:tblStylePr>
    <w:tblStylePr w:type="seCell">
      <w:tblPr/>
      <w:tcPr>
        <w:tcBorders>
          <w:top w:val="single" w:sz="4" w:space="0" w:color="AFD7E6" w:themeColor="accent5" w:themeTint="99"/>
        </w:tcBorders>
      </w:tcPr>
    </w:tblStylePr>
    <w:tblStylePr w:type="swCell">
      <w:tblPr/>
      <w:tcPr>
        <w:tcBorders>
          <w:top w:val="single" w:sz="4" w:space="0" w:color="AFD7E6" w:themeColor="accent5" w:themeTint="99"/>
        </w:tcBorders>
      </w:tcPr>
    </w:tblStylePr>
  </w:style>
  <w:style w:type="table" w:styleId="GridTable7Colorful-Accent6">
    <w:name w:val="Grid Table 7 Colorful Accent 6"/>
    <w:basedOn w:val="TableNormal"/>
    <w:uiPriority w:val="52"/>
    <w:rsid w:val="009637A8"/>
    <w:pPr>
      <w:spacing w:after="0" w:line="240" w:lineRule="auto"/>
    </w:pPr>
    <w:rPr>
      <w:color w:val="31693D" w:themeColor="accent6" w:themeShade="BF"/>
    </w:rPr>
    <w:tblPr>
      <w:tblStyleRowBandSize w:val="1"/>
      <w:tblStyleColBandSize w:val="1"/>
      <w:tblBorders>
        <w:top w:val="single" w:sz="4" w:space="0" w:color="83C590" w:themeColor="accent6" w:themeTint="99"/>
        <w:left w:val="single" w:sz="4" w:space="0" w:color="83C590" w:themeColor="accent6" w:themeTint="99"/>
        <w:bottom w:val="single" w:sz="4" w:space="0" w:color="83C590" w:themeColor="accent6" w:themeTint="99"/>
        <w:right w:val="single" w:sz="4" w:space="0" w:color="83C590" w:themeColor="accent6" w:themeTint="99"/>
        <w:insideH w:val="single" w:sz="4" w:space="0" w:color="83C590" w:themeColor="accent6" w:themeTint="99"/>
        <w:insideV w:val="single" w:sz="4" w:space="0" w:color="83C590"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5EBDA" w:themeFill="accent6" w:themeFillTint="33"/>
      </w:tcPr>
    </w:tblStylePr>
    <w:tblStylePr w:type="band1Horz">
      <w:tblPr/>
      <w:tcPr>
        <w:shd w:val="clear" w:color="auto" w:fill="D5EBDA" w:themeFill="accent6" w:themeFillTint="33"/>
      </w:tcPr>
    </w:tblStylePr>
    <w:tblStylePr w:type="neCell">
      <w:tblPr/>
      <w:tcPr>
        <w:tcBorders>
          <w:bottom w:val="single" w:sz="4" w:space="0" w:color="83C590" w:themeColor="accent6" w:themeTint="99"/>
        </w:tcBorders>
      </w:tcPr>
    </w:tblStylePr>
    <w:tblStylePr w:type="nwCell">
      <w:tblPr/>
      <w:tcPr>
        <w:tcBorders>
          <w:bottom w:val="single" w:sz="4" w:space="0" w:color="83C590" w:themeColor="accent6" w:themeTint="99"/>
        </w:tcBorders>
      </w:tcPr>
    </w:tblStylePr>
    <w:tblStylePr w:type="seCell">
      <w:tblPr/>
      <w:tcPr>
        <w:tcBorders>
          <w:top w:val="single" w:sz="4" w:space="0" w:color="83C590" w:themeColor="accent6" w:themeTint="99"/>
        </w:tcBorders>
      </w:tcPr>
    </w:tblStylePr>
    <w:tblStylePr w:type="swCell">
      <w:tblPr/>
      <w:tcPr>
        <w:tcBorders>
          <w:top w:val="single" w:sz="4" w:space="0" w:color="83C590" w:themeColor="accent6" w:themeTint="99"/>
        </w:tcBorders>
      </w:tcPr>
    </w:tblStylePr>
  </w:style>
  <w:style w:type="character" w:styleId="Hashtag">
    <w:name w:val="Hashtag"/>
    <w:basedOn w:val="DefaultParagraphFont"/>
    <w:uiPriority w:val="99"/>
    <w:semiHidden/>
    <w:unhideWhenUsed/>
    <w:rsid w:val="009637A8"/>
    <w:rPr>
      <w:color w:val="2B579A"/>
      <w:shd w:val="clear" w:color="auto" w:fill="E1DFDD"/>
    </w:rPr>
  </w:style>
  <w:style w:type="paragraph" w:styleId="Header">
    <w:name w:val="header"/>
    <w:basedOn w:val="Normal-nospace"/>
    <w:link w:val="HeaderChar"/>
    <w:uiPriority w:val="99"/>
    <w:unhideWhenUsed/>
    <w:rsid w:val="00B649EB"/>
    <w:pPr>
      <w:tabs>
        <w:tab w:val="center" w:pos="4513"/>
        <w:tab w:val="right" w:pos="9026"/>
      </w:tabs>
      <w:spacing w:before="90" w:line="240" w:lineRule="auto"/>
    </w:pPr>
    <w:rPr>
      <w:sz w:val="16"/>
    </w:rPr>
  </w:style>
  <w:style w:type="character" w:customStyle="1" w:styleId="HeaderChar">
    <w:name w:val="Header Char"/>
    <w:basedOn w:val="DefaultParagraphFont"/>
    <w:link w:val="Header"/>
    <w:uiPriority w:val="99"/>
    <w:rsid w:val="00B649EB"/>
    <w:rPr>
      <w:rFonts w:ascii="Arial Narrow" w:hAnsi="Arial Narrow" w:cs="Arial"/>
      <w:sz w:val="16"/>
    </w:rPr>
  </w:style>
  <w:style w:type="character" w:styleId="HTMLAcronym">
    <w:name w:val="HTML Acronym"/>
    <w:basedOn w:val="DefaultParagraphFont"/>
    <w:uiPriority w:val="99"/>
    <w:semiHidden/>
    <w:unhideWhenUsed/>
    <w:rsid w:val="009637A8"/>
  </w:style>
  <w:style w:type="paragraph" w:styleId="HTMLAddress">
    <w:name w:val="HTML Address"/>
    <w:basedOn w:val="Normal"/>
    <w:link w:val="HTMLAddressChar"/>
    <w:uiPriority w:val="99"/>
    <w:semiHidden/>
    <w:unhideWhenUsed/>
    <w:rsid w:val="009637A8"/>
    <w:pPr>
      <w:spacing w:after="0"/>
    </w:pPr>
    <w:rPr>
      <w:i/>
      <w:iCs/>
    </w:rPr>
  </w:style>
  <w:style w:type="character" w:customStyle="1" w:styleId="HTMLAddressChar">
    <w:name w:val="HTML Address Char"/>
    <w:basedOn w:val="DefaultParagraphFont"/>
    <w:link w:val="HTMLAddress"/>
    <w:uiPriority w:val="99"/>
    <w:semiHidden/>
    <w:rsid w:val="009637A8"/>
    <w:rPr>
      <w:rFonts w:ascii="Arial" w:hAnsi="Arial" w:cs="Arial"/>
      <w:i/>
      <w:iCs/>
    </w:rPr>
  </w:style>
  <w:style w:type="character" w:styleId="HTMLCite">
    <w:name w:val="HTML Cite"/>
    <w:basedOn w:val="DefaultParagraphFont"/>
    <w:uiPriority w:val="99"/>
    <w:semiHidden/>
    <w:unhideWhenUsed/>
    <w:rsid w:val="009637A8"/>
    <w:rPr>
      <w:i/>
      <w:iCs/>
    </w:rPr>
  </w:style>
  <w:style w:type="character" w:styleId="HTMLCode">
    <w:name w:val="HTML Code"/>
    <w:basedOn w:val="DefaultParagraphFont"/>
    <w:uiPriority w:val="99"/>
    <w:semiHidden/>
    <w:unhideWhenUsed/>
    <w:rsid w:val="009637A8"/>
    <w:rPr>
      <w:rFonts w:ascii="Arial Narrow" w:hAnsi="Arial Narrow" w:cs="Arial"/>
      <w:sz w:val="20"/>
      <w:szCs w:val="20"/>
    </w:rPr>
  </w:style>
  <w:style w:type="character" w:styleId="HTMLDefinition">
    <w:name w:val="HTML Definition"/>
    <w:basedOn w:val="DefaultParagraphFont"/>
    <w:uiPriority w:val="99"/>
    <w:semiHidden/>
    <w:unhideWhenUsed/>
    <w:rsid w:val="009637A8"/>
    <w:rPr>
      <w:i/>
      <w:iCs/>
    </w:rPr>
  </w:style>
  <w:style w:type="character" w:styleId="HTMLKeyboard">
    <w:name w:val="HTML Keyboard"/>
    <w:basedOn w:val="DefaultParagraphFont"/>
    <w:uiPriority w:val="99"/>
    <w:semiHidden/>
    <w:unhideWhenUsed/>
    <w:rsid w:val="009637A8"/>
    <w:rPr>
      <w:rFonts w:ascii="Arial Narrow" w:hAnsi="Arial Narrow" w:cs="Arial"/>
      <w:sz w:val="20"/>
      <w:szCs w:val="20"/>
    </w:rPr>
  </w:style>
  <w:style w:type="paragraph" w:styleId="HTMLPreformatted">
    <w:name w:val="HTML Preformatted"/>
    <w:basedOn w:val="Normal"/>
    <w:link w:val="HTMLPreformattedChar"/>
    <w:uiPriority w:val="99"/>
    <w:semiHidden/>
    <w:unhideWhenUsed/>
    <w:rsid w:val="009637A8"/>
    <w:pPr>
      <w:spacing w:after="0"/>
    </w:pPr>
    <w:rPr>
      <w:sz w:val="20"/>
      <w:szCs w:val="20"/>
    </w:rPr>
  </w:style>
  <w:style w:type="character" w:customStyle="1" w:styleId="HTMLPreformattedChar">
    <w:name w:val="HTML Preformatted Char"/>
    <w:basedOn w:val="DefaultParagraphFont"/>
    <w:link w:val="HTMLPreformatted"/>
    <w:uiPriority w:val="99"/>
    <w:semiHidden/>
    <w:rsid w:val="009637A8"/>
    <w:rPr>
      <w:rFonts w:ascii="Arial" w:hAnsi="Arial" w:cs="Arial"/>
      <w:sz w:val="20"/>
      <w:szCs w:val="20"/>
    </w:rPr>
  </w:style>
  <w:style w:type="character" w:styleId="HTMLSample">
    <w:name w:val="HTML Sample"/>
    <w:basedOn w:val="DefaultParagraphFont"/>
    <w:uiPriority w:val="99"/>
    <w:semiHidden/>
    <w:unhideWhenUsed/>
    <w:rsid w:val="009637A8"/>
    <w:rPr>
      <w:rFonts w:ascii="Arial Narrow" w:hAnsi="Arial Narrow" w:cs="Arial"/>
      <w:sz w:val="24"/>
      <w:szCs w:val="24"/>
    </w:rPr>
  </w:style>
  <w:style w:type="character" w:styleId="HTMLTypewriter">
    <w:name w:val="HTML Typewriter"/>
    <w:basedOn w:val="DefaultParagraphFont"/>
    <w:uiPriority w:val="99"/>
    <w:semiHidden/>
    <w:unhideWhenUsed/>
    <w:rsid w:val="009637A8"/>
    <w:rPr>
      <w:rFonts w:ascii="Arial Narrow" w:hAnsi="Arial Narrow" w:cs="Arial"/>
      <w:sz w:val="20"/>
      <w:szCs w:val="20"/>
    </w:rPr>
  </w:style>
  <w:style w:type="character" w:styleId="HTMLVariable">
    <w:name w:val="HTML Variable"/>
    <w:basedOn w:val="DefaultParagraphFont"/>
    <w:uiPriority w:val="99"/>
    <w:semiHidden/>
    <w:unhideWhenUsed/>
    <w:rsid w:val="009637A8"/>
    <w:rPr>
      <w:i/>
      <w:iCs/>
    </w:rPr>
  </w:style>
  <w:style w:type="character" w:styleId="Hyperlink">
    <w:name w:val="Hyperlink"/>
    <w:basedOn w:val="DefaultParagraphFont"/>
    <w:uiPriority w:val="99"/>
    <w:unhideWhenUsed/>
    <w:rsid w:val="009637A8"/>
    <w:rPr>
      <w:color w:val="7BBDD6" w:themeColor="hyperlink"/>
      <w:u w:val="single"/>
    </w:rPr>
  </w:style>
  <w:style w:type="paragraph" w:styleId="Index1">
    <w:name w:val="index 1"/>
    <w:basedOn w:val="Normal"/>
    <w:next w:val="Normal"/>
    <w:autoRedefine/>
    <w:uiPriority w:val="99"/>
    <w:semiHidden/>
    <w:unhideWhenUsed/>
    <w:rsid w:val="009637A8"/>
    <w:pPr>
      <w:spacing w:after="0"/>
      <w:ind w:left="220" w:hanging="220"/>
    </w:pPr>
  </w:style>
  <w:style w:type="paragraph" w:styleId="Index2">
    <w:name w:val="index 2"/>
    <w:basedOn w:val="Normal"/>
    <w:next w:val="Normal"/>
    <w:autoRedefine/>
    <w:uiPriority w:val="99"/>
    <w:semiHidden/>
    <w:unhideWhenUsed/>
    <w:rsid w:val="009637A8"/>
    <w:pPr>
      <w:spacing w:after="0"/>
      <w:ind w:left="440" w:hanging="220"/>
    </w:pPr>
  </w:style>
  <w:style w:type="paragraph" w:styleId="Index3">
    <w:name w:val="index 3"/>
    <w:basedOn w:val="Normal"/>
    <w:next w:val="Normal"/>
    <w:autoRedefine/>
    <w:uiPriority w:val="99"/>
    <w:semiHidden/>
    <w:unhideWhenUsed/>
    <w:rsid w:val="009637A8"/>
    <w:pPr>
      <w:spacing w:after="0"/>
      <w:ind w:left="660" w:hanging="220"/>
    </w:pPr>
  </w:style>
  <w:style w:type="paragraph" w:styleId="Index4">
    <w:name w:val="index 4"/>
    <w:basedOn w:val="Normal"/>
    <w:next w:val="Normal"/>
    <w:autoRedefine/>
    <w:uiPriority w:val="99"/>
    <w:semiHidden/>
    <w:unhideWhenUsed/>
    <w:rsid w:val="009637A8"/>
    <w:pPr>
      <w:spacing w:after="0"/>
      <w:ind w:left="880" w:hanging="220"/>
    </w:pPr>
  </w:style>
  <w:style w:type="paragraph" w:styleId="Index5">
    <w:name w:val="index 5"/>
    <w:basedOn w:val="Normal"/>
    <w:next w:val="Normal"/>
    <w:autoRedefine/>
    <w:uiPriority w:val="99"/>
    <w:semiHidden/>
    <w:unhideWhenUsed/>
    <w:rsid w:val="009637A8"/>
    <w:pPr>
      <w:spacing w:after="0"/>
      <w:ind w:left="1100" w:hanging="220"/>
    </w:pPr>
  </w:style>
  <w:style w:type="paragraph" w:styleId="Index6">
    <w:name w:val="index 6"/>
    <w:basedOn w:val="Normal"/>
    <w:next w:val="Normal"/>
    <w:autoRedefine/>
    <w:uiPriority w:val="99"/>
    <w:semiHidden/>
    <w:unhideWhenUsed/>
    <w:rsid w:val="009637A8"/>
    <w:pPr>
      <w:spacing w:after="0"/>
      <w:ind w:left="1320" w:hanging="220"/>
    </w:pPr>
  </w:style>
  <w:style w:type="paragraph" w:styleId="Index7">
    <w:name w:val="index 7"/>
    <w:basedOn w:val="Normal"/>
    <w:next w:val="Normal"/>
    <w:autoRedefine/>
    <w:uiPriority w:val="99"/>
    <w:semiHidden/>
    <w:unhideWhenUsed/>
    <w:rsid w:val="009637A8"/>
    <w:pPr>
      <w:spacing w:after="0"/>
      <w:ind w:left="1540" w:hanging="220"/>
    </w:pPr>
  </w:style>
  <w:style w:type="paragraph" w:styleId="Index8">
    <w:name w:val="index 8"/>
    <w:basedOn w:val="Normal"/>
    <w:next w:val="Normal"/>
    <w:autoRedefine/>
    <w:uiPriority w:val="99"/>
    <w:semiHidden/>
    <w:unhideWhenUsed/>
    <w:rsid w:val="009637A8"/>
    <w:pPr>
      <w:spacing w:after="0"/>
      <w:ind w:left="1760" w:hanging="220"/>
    </w:pPr>
  </w:style>
  <w:style w:type="paragraph" w:styleId="Index9">
    <w:name w:val="index 9"/>
    <w:basedOn w:val="Normal"/>
    <w:next w:val="Normal"/>
    <w:autoRedefine/>
    <w:uiPriority w:val="99"/>
    <w:semiHidden/>
    <w:unhideWhenUsed/>
    <w:rsid w:val="009637A8"/>
    <w:pPr>
      <w:spacing w:after="0"/>
      <w:ind w:left="1980" w:hanging="220"/>
    </w:pPr>
  </w:style>
  <w:style w:type="paragraph" w:styleId="IndexHeading">
    <w:name w:val="index heading"/>
    <w:basedOn w:val="Normal"/>
    <w:next w:val="Index1"/>
    <w:uiPriority w:val="99"/>
    <w:semiHidden/>
    <w:unhideWhenUsed/>
    <w:rsid w:val="009637A8"/>
    <w:pPr>
      <w:spacing w:after="160" w:line="259" w:lineRule="auto"/>
    </w:pPr>
    <w:rPr>
      <w:rFonts w:eastAsiaTheme="majorEastAsia"/>
      <w:b/>
      <w:bCs/>
    </w:rPr>
  </w:style>
  <w:style w:type="character" w:styleId="IntenseEmphasis">
    <w:name w:val="Intense Emphasis"/>
    <w:basedOn w:val="DefaultParagraphFont"/>
    <w:uiPriority w:val="21"/>
    <w:qFormat/>
    <w:rsid w:val="009637A8"/>
    <w:rPr>
      <w:i/>
      <w:iCs/>
      <w:color w:val="9D85BE" w:themeColor="accent1"/>
    </w:rPr>
  </w:style>
  <w:style w:type="paragraph" w:styleId="IntenseQuote">
    <w:name w:val="Intense Quote"/>
    <w:basedOn w:val="Normal"/>
    <w:next w:val="Normal"/>
    <w:link w:val="IntenseQuoteChar"/>
    <w:uiPriority w:val="30"/>
    <w:qFormat/>
    <w:rsid w:val="009637A8"/>
    <w:pPr>
      <w:pBdr>
        <w:top w:val="single" w:sz="4" w:space="10" w:color="9D85BE" w:themeColor="accent1"/>
        <w:bottom w:val="single" w:sz="4" w:space="10" w:color="9D85BE" w:themeColor="accent1"/>
      </w:pBdr>
      <w:spacing w:before="360" w:after="360" w:line="259" w:lineRule="auto"/>
      <w:ind w:left="864" w:right="864"/>
      <w:jc w:val="center"/>
    </w:pPr>
    <w:rPr>
      <w:i/>
      <w:iCs/>
      <w:color w:val="9D85BE" w:themeColor="accent1"/>
    </w:rPr>
  </w:style>
  <w:style w:type="character" w:customStyle="1" w:styleId="IntenseQuoteChar">
    <w:name w:val="Intense Quote Char"/>
    <w:basedOn w:val="DefaultParagraphFont"/>
    <w:link w:val="IntenseQuote"/>
    <w:uiPriority w:val="30"/>
    <w:rsid w:val="009637A8"/>
    <w:rPr>
      <w:rFonts w:ascii="Arial" w:hAnsi="Arial" w:cs="Arial"/>
      <w:i/>
      <w:iCs/>
      <w:color w:val="9D85BE" w:themeColor="accent1"/>
    </w:rPr>
  </w:style>
  <w:style w:type="character" w:styleId="IntenseReference">
    <w:name w:val="Intense Reference"/>
    <w:basedOn w:val="DefaultParagraphFont"/>
    <w:uiPriority w:val="32"/>
    <w:qFormat/>
    <w:rsid w:val="009637A8"/>
    <w:rPr>
      <w:b/>
      <w:bCs/>
      <w:smallCaps/>
      <w:color w:val="9D85BE" w:themeColor="accent1"/>
      <w:spacing w:val="5"/>
    </w:rPr>
  </w:style>
  <w:style w:type="table" w:styleId="LightGrid">
    <w:name w:val="Light Grid"/>
    <w:basedOn w:val="TableNormal"/>
    <w:uiPriority w:val="62"/>
    <w:semiHidden/>
    <w:unhideWhenUsed/>
    <w:rsid w:val="009637A8"/>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9637A8"/>
    <w:pPr>
      <w:spacing w:after="0" w:line="240" w:lineRule="auto"/>
    </w:pPr>
    <w:tblPr>
      <w:tblStyleRowBandSize w:val="1"/>
      <w:tblStyleColBandSize w:val="1"/>
      <w:tblBorders>
        <w:top w:val="single" w:sz="8" w:space="0" w:color="9D85BE" w:themeColor="accent1"/>
        <w:left w:val="single" w:sz="8" w:space="0" w:color="9D85BE" w:themeColor="accent1"/>
        <w:bottom w:val="single" w:sz="8" w:space="0" w:color="9D85BE" w:themeColor="accent1"/>
        <w:right w:val="single" w:sz="8" w:space="0" w:color="9D85BE" w:themeColor="accent1"/>
        <w:insideH w:val="single" w:sz="8" w:space="0" w:color="9D85BE" w:themeColor="accent1"/>
        <w:insideV w:val="single" w:sz="8" w:space="0" w:color="9D85BE"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D85BE" w:themeColor="accent1"/>
          <w:left w:val="single" w:sz="8" w:space="0" w:color="9D85BE" w:themeColor="accent1"/>
          <w:bottom w:val="single" w:sz="18" w:space="0" w:color="9D85BE" w:themeColor="accent1"/>
          <w:right w:val="single" w:sz="8" w:space="0" w:color="9D85BE" w:themeColor="accent1"/>
          <w:insideH w:val="nil"/>
          <w:insideV w:val="single" w:sz="8" w:space="0" w:color="9D85BE"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D85BE" w:themeColor="accent1"/>
          <w:left w:val="single" w:sz="8" w:space="0" w:color="9D85BE" w:themeColor="accent1"/>
          <w:bottom w:val="single" w:sz="8" w:space="0" w:color="9D85BE" w:themeColor="accent1"/>
          <w:right w:val="single" w:sz="8" w:space="0" w:color="9D85BE" w:themeColor="accent1"/>
          <w:insideH w:val="nil"/>
          <w:insideV w:val="single" w:sz="8" w:space="0" w:color="9D85BE"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D85BE" w:themeColor="accent1"/>
          <w:left w:val="single" w:sz="8" w:space="0" w:color="9D85BE" w:themeColor="accent1"/>
          <w:bottom w:val="single" w:sz="8" w:space="0" w:color="9D85BE" w:themeColor="accent1"/>
          <w:right w:val="single" w:sz="8" w:space="0" w:color="9D85BE" w:themeColor="accent1"/>
        </w:tcBorders>
      </w:tcPr>
    </w:tblStylePr>
    <w:tblStylePr w:type="band1Vert">
      <w:tblPr/>
      <w:tcPr>
        <w:tcBorders>
          <w:top w:val="single" w:sz="8" w:space="0" w:color="9D85BE" w:themeColor="accent1"/>
          <w:left w:val="single" w:sz="8" w:space="0" w:color="9D85BE" w:themeColor="accent1"/>
          <w:bottom w:val="single" w:sz="8" w:space="0" w:color="9D85BE" w:themeColor="accent1"/>
          <w:right w:val="single" w:sz="8" w:space="0" w:color="9D85BE" w:themeColor="accent1"/>
        </w:tcBorders>
        <w:shd w:val="clear" w:color="auto" w:fill="E6E0EF" w:themeFill="accent1" w:themeFillTint="3F"/>
      </w:tcPr>
    </w:tblStylePr>
    <w:tblStylePr w:type="band1Horz">
      <w:tblPr/>
      <w:tcPr>
        <w:tcBorders>
          <w:top w:val="single" w:sz="8" w:space="0" w:color="9D85BE" w:themeColor="accent1"/>
          <w:left w:val="single" w:sz="8" w:space="0" w:color="9D85BE" w:themeColor="accent1"/>
          <w:bottom w:val="single" w:sz="8" w:space="0" w:color="9D85BE" w:themeColor="accent1"/>
          <w:right w:val="single" w:sz="8" w:space="0" w:color="9D85BE" w:themeColor="accent1"/>
          <w:insideV w:val="single" w:sz="8" w:space="0" w:color="9D85BE" w:themeColor="accent1"/>
        </w:tcBorders>
        <w:shd w:val="clear" w:color="auto" w:fill="E6E0EF" w:themeFill="accent1" w:themeFillTint="3F"/>
      </w:tcPr>
    </w:tblStylePr>
    <w:tblStylePr w:type="band2Horz">
      <w:tblPr/>
      <w:tcPr>
        <w:tcBorders>
          <w:top w:val="single" w:sz="8" w:space="0" w:color="9D85BE" w:themeColor="accent1"/>
          <w:left w:val="single" w:sz="8" w:space="0" w:color="9D85BE" w:themeColor="accent1"/>
          <w:bottom w:val="single" w:sz="8" w:space="0" w:color="9D85BE" w:themeColor="accent1"/>
          <w:right w:val="single" w:sz="8" w:space="0" w:color="9D85BE" w:themeColor="accent1"/>
          <w:insideV w:val="single" w:sz="8" w:space="0" w:color="9D85BE" w:themeColor="accent1"/>
        </w:tcBorders>
      </w:tcPr>
    </w:tblStylePr>
  </w:style>
  <w:style w:type="table" w:styleId="LightGrid-Accent2">
    <w:name w:val="Light Grid Accent 2"/>
    <w:basedOn w:val="TableNormal"/>
    <w:uiPriority w:val="62"/>
    <w:semiHidden/>
    <w:unhideWhenUsed/>
    <w:rsid w:val="009637A8"/>
    <w:pPr>
      <w:spacing w:after="0" w:line="240" w:lineRule="auto"/>
    </w:pPr>
    <w:tblPr>
      <w:tblStyleRowBandSize w:val="1"/>
      <w:tblStyleColBandSize w:val="1"/>
      <w:tblBorders>
        <w:top w:val="single" w:sz="8" w:space="0" w:color="7D7D7D" w:themeColor="accent2"/>
        <w:left w:val="single" w:sz="8" w:space="0" w:color="7D7D7D" w:themeColor="accent2"/>
        <w:bottom w:val="single" w:sz="8" w:space="0" w:color="7D7D7D" w:themeColor="accent2"/>
        <w:right w:val="single" w:sz="8" w:space="0" w:color="7D7D7D" w:themeColor="accent2"/>
        <w:insideH w:val="single" w:sz="8" w:space="0" w:color="7D7D7D" w:themeColor="accent2"/>
        <w:insideV w:val="single" w:sz="8" w:space="0" w:color="7D7D7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D7D7D" w:themeColor="accent2"/>
          <w:left w:val="single" w:sz="8" w:space="0" w:color="7D7D7D" w:themeColor="accent2"/>
          <w:bottom w:val="single" w:sz="18" w:space="0" w:color="7D7D7D" w:themeColor="accent2"/>
          <w:right w:val="single" w:sz="8" w:space="0" w:color="7D7D7D" w:themeColor="accent2"/>
          <w:insideH w:val="nil"/>
          <w:insideV w:val="single" w:sz="8" w:space="0" w:color="7D7D7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D7D7D" w:themeColor="accent2"/>
          <w:left w:val="single" w:sz="8" w:space="0" w:color="7D7D7D" w:themeColor="accent2"/>
          <w:bottom w:val="single" w:sz="8" w:space="0" w:color="7D7D7D" w:themeColor="accent2"/>
          <w:right w:val="single" w:sz="8" w:space="0" w:color="7D7D7D" w:themeColor="accent2"/>
          <w:insideH w:val="nil"/>
          <w:insideV w:val="single" w:sz="8" w:space="0" w:color="7D7D7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D7D7D" w:themeColor="accent2"/>
          <w:left w:val="single" w:sz="8" w:space="0" w:color="7D7D7D" w:themeColor="accent2"/>
          <w:bottom w:val="single" w:sz="8" w:space="0" w:color="7D7D7D" w:themeColor="accent2"/>
          <w:right w:val="single" w:sz="8" w:space="0" w:color="7D7D7D" w:themeColor="accent2"/>
        </w:tcBorders>
      </w:tcPr>
    </w:tblStylePr>
    <w:tblStylePr w:type="band1Vert">
      <w:tblPr/>
      <w:tcPr>
        <w:tcBorders>
          <w:top w:val="single" w:sz="8" w:space="0" w:color="7D7D7D" w:themeColor="accent2"/>
          <w:left w:val="single" w:sz="8" w:space="0" w:color="7D7D7D" w:themeColor="accent2"/>
          <w:bottom w:val="single" w:sz="8" w:space="0" w:color="7D7D7D" w:themeColor="accent2"/>
          <w:right w:val="single" w:sz="8" w:space="0" w:color="7D7D7D" w:themeColor="accent2"/>
        </w:tcBorders>
        <w:shd w:val="clear" w:color="auto" w:fill="DEDEDE" w:themeFill="accent2" w:themeFillTint="3F"/>
      </w:tcPr>
    </w:tblStylePr>
    <w:tblStylePr w:type="band1Horz">
      <w:tblPr/>
      <w:tcPr>
        <w:tcBorders>
          <w:top w:val="single" w:sz="8" w:space="0" w:color="7D7D7D" w:themeColor="accent2"/>
          <w:left w:val="single" w:sz="8" w:space="0" w:color="7D7D7D" w:themeColor="accent2"/>
          <w:bottom w:val="single" w:sz="8" w:space="0" w:color="7D7D7D" w:themeColor="accent2"/>
          <w:right w:val="single" w:sz="8" w:space="0" w:color="7D7D7D" w:themeColor="accent2"/>
          <w:insideV w:val="single" w:sz="8" w:space="0" w:color="7D7D7D" w:themeColor="accent2"/>
        </w:tcBorders>
        <w:shd w:val="clear" w:color="auto" w:fill="DEDEDE" w:themeFill="accent2" w:themeFillTint="3F"/>
      </w:tcPr>
    </w:tblStylePr>
    <w:tblStylePr w:type="band2Horz">
      <w:tblPr/>
      <w:tcPr>
        <w:tcBorders>
          <w:top w:val="single" w:sz="8" w:space="0" w:color="7D7D7D" w:themeColor="accent2"/>
          <w:left w:val="single" w:sz="8" w:space="0" w:color="7D7D7D" w:themeColor="accent2"/>
          <w:bottom w:val="single" w:sz="8" w:space="0" w:color="7D7D7D" w:themeColor="accent2"/>
          <w:right w:val="single" w:sz="8" w:space="0" w:color="7D7D7D" w:themeColor="accent2"/>
          <w:insideV w:val="single" w:sz="8" w:space="0" w:color="7D7D7D" w:themeColor="accent2"/>
        </w:tcBorders>
      </w:tcPr>
    </w:tblStylePr>
  </w:style>
  <w:style w:type="table" w:styleId="LightGrid-Accent3">
    <w:name w:val="Light Grid Accent 3"/>
    <w:basedOn w:val="TableNormal"/>
    <w:uiPriority w:val="62"/>
    <w:semiHidden/>
    <w:unhideWhenUsed/>
    <w:rsid w:val="009637A8"/>
    <w:pPr>
      <w:spacing w:after="0" w:line="240" w:lineRule="auto"/>
    </w:pPr>
    <w:tblPr>
      <w:tblStyleRowBandSize w:val="1"/>
      <w:tblStyleColBandSize w:val="1"/>
      <w:tblBorders>
        <w:top w:val="single" w:sz="8" w:space="0" w:color="C8C8C8" w:themeColor="accent3"/>
        <w:left w:val="single" w:sz="8" w:space="0" w:color="C8C8C8" w:themeColor="accent3"/>
        <w:bottom w:val="single" w:sz="8" w:space="0" w:color="C8C8C8" w:themeColor="accent3"/>
        <w:right w:val="single" w:sz="8" w:space="0" w:color="C8C8C8" w:themeColor="accent3"/>
        <w:insideH w:val="single" w:sz="8" w:space="0" w:color="C8C8C8" w:themeColor="accent3"/>
        <w:insideV w:val="single" w:sz="8" w:space="0" w:color="C8C8C8"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8C8C8" w:themeColor="accent3"/>
          <w:left w:val="single" w:sz="8" w:space="0" w:color="C8C8C8" w:themeColor="accent3"/>
          <w:bottom w:val="single" w:sz="18" w:space="0" w:color="C8C8C8" w:themeColor="accent3"/>
          <w:right w:val="single" w:sz="8" w:space="0" w:color="C8C8C8" w:themeColor="accent3"/>
          <w:insideH w:val="nil"/>
          <w:insideV w:val="single" w:sz="8" w:space="0" w:color="C8C8C8"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8C8C8" w:themeColor="accent3"/>
          <w:left w:val="single" w:sz="8" w:space="0" w:color="C8C8C8" w:themeColor="accent3"/>
          <w:bottom w:val="single" w:sz="8" w:space="0" w:color="C8C8C8" w:themeColor="accent3"/>
          <w:right w:val="single" w:sz="8" w:space="0" w:color="C8C8C8" w:themeColor="accent3"/>
          <w:insideH w:val="nil"/>
          <w:insideV w:val="single" w:sz="8" w:space="0" w:color="C8C8C8"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8C8C8" w:themeColor="accent3"/>
          <w:left w:val="single" w:sz="8" w:space="0" w:color="C8C8C8" w:themeColor="accent3"/>
          <w:bottom w:val="single" w:sz="8" w:space="0" w:color="C8C8C8" w:themeColor="accent3"/>
          <w:right w:val="single" w:sz="8" w:space="0" w:color="C8C8C8" w:themeColor="accent3"/>
        </w:tcBorders>
      </w:tcPr>
    </w:tblStylePr>
    <w:tblStylePr w:type="band1Vert">
      <w:tblPr/>
      <w:tcPr>
        <w:tcBorders>
          <w:top w:val="single" w:sz="8" w:space="0" w:color="C8C8C8" w:themeColor="accent3"/>
          <w:left w:val="single" w:sz="8" w:space="0" w:color="C8C8C8" w:themeColor="accent3"/>
          <w:bottom w:val="single" w:sz="8" w:space="0" w:color="C8C8C8" w:themeColor="accent3"/>
          <w:right w:val="single" w:sz="8" w:space="0" w:color="C8C8C8" w:themeColor="accent3"/>
        </w:tcBorders>
        <w:shd w:val="clear" w:color="auto" w:fill="F1F1F1" w:themeFill="accent3" w:themeFillTint="3F"/>
      </w:tcPr>
    </w:tblStylePr>
    <w:tblStylePr w:type="band1Horz">
      <w:tblPr/>
      <w:tcPr>
        <w:tcBorders>
          <w:top w:val="single" w:sz="8" w:space="0" w:color="C8C8C8" w:themeColor="accent3"/>
          <w:left w:val="single" w:sz="8" w:space="0" w:color="C8C8C8" w:themeColor="accent3"/>
          <w:bottom w:val="single" w:sz="8" w:space="0" w:color="C8C8C8" w:themeColor="accent3"/>
          <w:right w:val="single" w:sz="8" w:space="0" w:color="C8C8C8" w:themeColor="accent3"/>
          <w:insideV w:val="single" w:sz="8" w:space="0" w:color="C8C8C8" w:themeColor="accent3"/>
        </w:tcBorders>
        <w:shd w:val="clear" w:color="auto" w:fill="F1F1F1" w:themeFill="accent3" w:themeFillTint="3F"/>
      </w:tcPr>
    </w:tblStylePr>
    <w:tblStylePr w:type="band2Horz">
      <w:tblPr/>
      <w:tcPr>
        <w:tcBorders>
          <w:top w:val="single" w:sz="8" w:space="0" w:color="C8C8C8" w:themeColor="accent3"/>
          <w:left w:val="single" w:sz="8" w:space="0" w:color="C8C8C8" w:themeColor="accent3"/>
          <w:bottom w:val="single" w:sz="8" w:space="0" w:color="C8C8C8" w:themeColor="accent3"/>
          <w:right w:val="single" w:sz="8" w:space="0" w:color="C8C8C8" w:themeColor="accent3"/>
          <w:insideV w:val="single" w:sz="8" w:space="0" w:color="C8C8C8" w:themeColor="accent3"/>
        </w:tcBorders>
      </w:tcPr>
    </w:tblStylePr>
  </w:style>
  <w:style w:type="table" w:styleId="LightGrid-Accent4">
    <w:name w:val="Light Grid Accent 4"/>
    <w:basedOn w:val="TableNormal"/>
    <w:uiPriority w:val="62"/>
    <w:semiHidden/>
    <w:unhideWhenUsed/>
    <w:rsid w:val="009637A8"/>
    <w:pPr>
      <w:spacing w:after="0" w:line="240" w:lineRule="auto"/>
    </w:pPr>
    <w:tblPr>
      <w:tblStyleRowBandSize w:val="1"/>
      <w:tblStyleColBandSize w:val="1"/>
      <w:tblBorders>
        <w:top w:val="single" w:sz="8" w:space="0" w:color="006A9F" w:themeColor="accent4"/>
        <w:left w:val="single" w:sz="8" w:space="0" w:color="006A9F" w:themeColor="accent4"/>
        <w:bottom w:val="single" w:sz="8" w:space="0" w:color="006A9F" w:themeColor="accent4"/>
        <w:right w:val="single" w:sz="8" w:space="0" w:color="006A9F" w:themeColor="accent4"/>
        <w:insideH w:val="single" w:sz="8" w:space="0" w:color="006A9F" w:themeColor="accent4"/>
        <w:insideV w:val="single" w:sz="8" w:space="0" w:color="006A9F"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6A9F" w:themeColor="accent4"/>
          <w:left w:val="single" w:sz="8" w:space="0" w:color="006A9F" w:themeColor="accent4"/>
          <w:bottom w:val="single" w:sz="18" w:space="0" w:color="006A9F" w:themeColor="accent4"/>
          <w:right w:val="single" w:sz="8" w:space="0" w:color="006A9F" w:themeColor="accent4"/>
          <w:insideH w:val="nil"/>
          <w:insideV w:val="single" w:sz="8" w:space="0" w:color="006A9F"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6A9F" w:themeColor="accent4"/>
          <w:left w:val="single" w:sz="8" w:space="0" w:color="006A9F" w:themeColor="accent4"/>
          <w:bottom w:val="single" w:sz="8" w:space="0" w:color="006A9F" w:themeColor="accent4"/>
          <w:right w:val="single" w:sz="8" w:space="0" w:color="006A9F" w:themeColor="accent4"/>
          <w:insideH w:val="nil"/>
          <w:insideV w:val="single" w:sz="8" w:space="0" w:color="006A9F"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6A9F" w:themeColor="accent4"/>
          <w:left w:val="single" w:sz="8" w:space="0" w:color="006A9F" w:themeColor="accent4"/>
          <w:bottom w:val="single" w:sz="8" w:space="0" w:color="006A9F" w:themeColor="accent4"/>
          <w:right w:val="single" w:sz="8" w:space="0" w:color="006A9F" w:themeColor="accent4"/>
        </w:tcBorders>
      </w:tcPr>
    </w:tblStylePr>
    <w:tblStylePr w:type="band1Vert">
      <w:tblPr/>
      <w:tcPr>
        <w:tcBorders>
          <w:top w:val="single" w:sz="8" w:space="0" w:color="006A9F" w:themeColor="accent4"/>
          <w:left w:val="single" w:sz="8" w:space="0" w:color="006A9F" w:themeColor="accent4"/>
          <w:bottom w:val="single" w:sz="8" w:space="0" w:color="006A9F" w:themeColor="accent4"/>
          <w:right w:val="single" w:sz="8" w:space="0" w:color="006A9F" w:themeColor="accent4"/>
        </w:tcBorders>
        <w:shd w:val="clear" w:color="auto" w:fill="A8E2FF" w:themeFill="accent4" w:themeFillTint="3F"/>
      </w:tcPr>
    </w:tblStylePr>
    <w:tblStylePr w:type="band1Horz">
      <w:tblPr/>
      <w:tcPr>
        <w:tcBorders>
          <w:top w:val="single" w:sz="8" w:space="0" w:color="006A9F" w:themeColor="accent4"/>
          <w:left w:val="single" w:sz="8" w:space="0" w:color="006A9F" w:themeColor="accent4"/>
          <w:bottom w:val="single" w:sz="8" w:space="0" w:color="006A9F" w:themeColor="accent4"/>
          <w:right w:val="single" w:sz="8" w:space="0" w:color="006A9F" w:themeColor="accent4"/>
          <w:insideV w:val="single" w:sz="8" w:space="0" w:color="006A9F" w:themeColor="accent4"/>
        </w:tcBorders>
        <w:shd w:val="clear" w:color="auto" w:fill="A8E2FF" w:themeFill="accent4" w:themeFillTint="3F"/>
      </w:tcPr>
    </w:tblStylePr>
    <w:tblStylePr w:type="band2Horz">
      <w:tblPr/>
      <w:tcPr>
        <w:tcBorders>
          <w:top w:val="single" w:sz="8" w:space="0" w:color="006A9F" w:themeColor="accent4"/>
          <w:left w:val="single" w:sz="8" w:space="0" w:color="006A9F" w:themeColor="accent4"/>
          <w:bottom w:val="single" w:sz="8" w:space="0" w:color="006A9F" w:themeColor="accent4"/>
          <w:right w:val="single" w:sz="8" w:space="0" w:color="006A9F" w:themeColor="accent4"/>
          <w:insideV w:val="single" w:sz="8" w:space="0" w:color="006A9F" w:themeColor="accent4"/>
        </w:tcBorders>
      </w:tcPr>
    </w:tblStylePr>
  </w:style>
  <w:style w:type="table" w:styleId="LightGrid-Accent5">
    <w:name w:val="Light Grid Accent 5"/>
    <w:basedOn w:val="TableNormal"/>
    <w:uiPriority w:val="62"/>
    <w:semiHidden/>
    <w:unhideWhenUsed/>
    <w:rsid w:val="009637A8"/>
    <w:pPr>
      <w:spacing w:after="0" w:line="240" w:lineRule="auto"/>
    </w:pPr>
    <w:tblPr>
      <w:tblStyleRowBandSize w:val="1"/>
      <w:tblStyleColBandSize w:val="1"/>
      <w:tblBorders>
        <w:top w:val="single" w:sz="8" w:space="0" w:color="7BBDD6" w:themeColor="accent5"/>
        <w:left w:val="single" w:sz="8" w:space="0" w:color="7BBDD6" w:themeColor="accent5"/>
        <w:bottom w:val="single" w:sz="8" w:space="0" w:color="7BBDD6" w:themeColor="accent5"/>
        <w:right w:val="single" w:sz="8" w:space="0" w:color="7BBDD6" w:themeColor="accent5"/>
        <w:insideH w:val="single" w:sz="8" w:space="0" w:color="7BBDD6" w:themeColor="accent5"/>
        <w:insideV w:val="single" w:sz="8" w:space="0" w:color="7BBDD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BBDD6" w:themeColor="accent5"/>
          <w:left w:val="single" w:sz="8" w:space="0" w:color="7BBDD6" w:themeColor="accent5"/>
          <w:bottom w:val="single" w:sz="18" w:space="0" w:color="7BBDD6" w:themeColor="accent5"/>
          <w:right w:val="single" w:sz="8" w:space="0" w:color="7BBDD6" w:themeColor="accent5"/>
          <w:insideH w:val="nil"/>
          <w:insideV w:val="single" w:sz="8" w:space="0" w:color="7BBDD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BBDD6" w:themeColor="accent5"/>
          <w:left w:val="single" w:sz="8" w:space="0" w:color="7BBDD6" w:themeColor="accent5"/>
          <w:bottom w:val="single" w:sz="8" w:space="0" w:color="7BBDD6" w:themeColor="accent5"/>
          <w:right w:val="single" w:sz="8" w:space="0" w:color="7BBDD6" w:themeColor="accent5"/>
          <w:insideH w:val="nil"/>
          <w:insideV w:val="single" w:sz="8" w:space="0" w:color="7BBDD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BBDD6" w:themeColor="accent5"/>
          <w:left w:val="single" w:sz="8" w:space="0" w:color="7BBDD6" w:themeColor="accent5"/>
          <w:bottom w:val="single" w:sz="8" w:space="0" w:color="7BBDD6" w:themeColor="accent5"/>
          <w:right w:val="single" w:sz="8" w:space="0" w:color="7BBDD6" w:themeColor="accent5"/>
        </w:tcBorders>
      </w:tcPr>
    </w:tblStylePr>
    <w:tblStylePr w:type="band1Vert">
      <w:tblPr/>
      <w:tcPr>
        <w:tcBorders>
          <w:top w:val="single" w:sz="8" w:space="0" w:color="7BBDD6" w:themeColor="accent5"/>
          <w:left w:val="single" w:sz="8" w:space="0" w:color="7BBDD6" w:themeColor="accent5"/>
          <w:bottom w:val="single" w:sz="8" w:space="0" w:color="7BBDD6" w:themeColor="accent5"/>
          <w:right w:val="single" w:sz="8" w:space="0" w:color="7BBDD6" w:themeColor="accent5"/>
        </w:tcBorders>
        <w:shd w:val="clear" w:color="auto" w:fill="DEEEF4" w:themeFill="accent5" w:themeFillTint="3F"/>
      </w:tcPr>
    </w:tblStylePr>
    <w:tblStylePr w:type="band1Horz">
      <w:tblPr/>
      <w:tcPr>
        <w:tcBorders>
          <w:top w:val="single" w:sz="8" w:space="0" w:color="7BBDD6" w:themeColor="accent5"/>
          <w:left w:val="single" w:sz="8" w:space="0" w:color="7BBDD6" w:themeColor="accent5"/>
          <w:bottom w:val="single" w:sz="8" w:space="0" w:color="7BBDD6" w:themeColor="accent5"/>
          <w:right w:val="single" w:sz="8" w:space="0" w:color="7BBDD6" w:themeColor="accent5"/>
          <w:insideV w:val="single" w:sz="8" w:space="0" w:color="7BBDD6" w:themeColor="accent5"/>
        </w:tcBorders>
        <w:shd w:val="clear" w:color="auto" w:fill="DEEEF4" w:themeFill="accent5" w:themeFillTint="3F"/>
      </w:tcPr>
    </w:tblStylePr>
    <w:tblStylePr w:type="band2Horz">
      <w:tblPr/>
      <w:tcPr>
        <w:tcBorders>
          <w:top w:val="single" w:sz="8" w:space="0" w:color="7BBDD6" w:themeColor="accent5"/>
          <w:left w:val="single" w:sz="8" w:space="0" w:color="7BBDD6" w:themeColor="accent5"/>
          <w:bottom w:val="single" w:sz="8" w:space="0" w:color="7BBDD6" w:themeColor="accent5"/>
          <w:right w:val="single" w:sz="8" w:space="0" w:color="7BBDD6" w:themeColor="accent5"/>
          <w:insideV w:val="single" w:sz="8" w:space="0" w:color="7BBDD6" w:themeColor="accent5"/>
        </w:tcBorders>
      </w:tcPr>
    </w:tblStylePr>
  </w:style>
  <w:style w:type="table" w:styleId="LightGrid-Accent6">
    <w:name w:val="Light Grid Accent 6"/>
    <w:basedOn w:val="TableNormal"/>
    <w:uiPriority w:val="62"/>
    <w:semiHidden/>
    <w:unhideWhenUsed/>
    <w:rsid w:val="009637A8"/>
    <w:pPr>
      <w:spacing w:after="0" w:line="240" w:lineRule="auto"/>
    </w:pPr>
    <w:tblPr>
      <w:tblStyleRowBandSize w:val="1"/>
      <w:tblStyleColBandSize w:val="1"/>
      <w:tblBorders>
        <w:top w:val="single" w:sz="8" w:space="0" w:color="428D52" w:themeColor="accent6"/>
        <w:left w:val="single" w:sz="8" w:space="0" w:color="428D52" w:themeColor="accent6"/>
        <w:bottom w:val="single" w:sz="8" w:space="0" w:color="428D52" w:themeColor="accent6"/>
        <w:right w:val="single" w:sz="8" w:space="0" w:color="428D52" w:themeColor="accent6"/>
        <w:insideH w:val="single" w:sz="8" w:space="0" w:color="428D52" w:themeColor="accent6"/>
        <w:insideV w:val="single" w:sz="8" w:space="0" w:color="428D52"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28D52" w:themeColor="accent6"/>
          <w:left w:val="single" w:sz="8" w:space="0" w:color="428D52" w:themeColor="accent6"/>
          <w:bottom w:val="single" w:sz="18" w:space="0" w:color="428D52" w:themeColor="accent6"/>
          <w:right w:val="single" w:sz="8" w:space="0" w:color="428D52" w:themeColor="accent6"/>
          <w:insideH w:val="nil"/>
          <w:insideV w:val="single" w:sz="8" w:space="0" w:color="428D52"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28D52" w:themeColor="accent6"/>
          <w:left w:val="single" w:sz="8" w:space="0" w:color="428D52" w:themeColor="accent6"/>
          <w:bottom w:val="single" w:sz="8" w:space="0" w:color="428D52" w:themeColor="accent6"/>
          <w:right w:val="single" w:sz="8" w:space="0" w:color="428D52" w:themeColor="accent6"/>
          <w:insideH w:val="nil"/>
          <w:insideV w:val="single" w:sz="8" w:space="0" w:color="428D52"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28D52" w:themeColor="accent6"/>
          <w:left w:val="single" w:sz="8" w:space="0" w:color="428D52" w:themeColor="accent6"/>
          <w:bottom w:val="single" w:sz="8" w:space="0" w:color="428D52" w:themeColor="accent6"/>
          <w:right w:val="single" w:sz="8" w:space="0" w:color="428D52" w:themeColor="accent6"/>
        </w:tcBorders>
      </w:tcPr>
    </w:tblStylePr>
    <w:tblStylePr w:type="band1Vert">
      <w:tblPr/>
      <w:tcPr>
        <w:tcBorders>
          <w:top w:val="single" w:sz="8" w:space="0" w:color="428D52" w:themeColor="accent6"/>
          <w:left w:val="single" w:sz="8" w:space="0" w:color="428D52" w:themeColor="accent6"/>
          <w:bottom w:val="single" w:sz="8" w:space="0" w:color="428D52" w:themeColor="accent6"/>
          <w:right w:val="single" w:sz="8" w:space="0" w:color="428D52" w:themeColor="accent6"/>
        </w:tcBorders>
        <w:shd w:val="clear" w:color="auto" w:fill="CBE7D1" w:themeFill="accent6" w:themeFillTint="3F"/>
      </w:tcPr>
    </w:tblStylePr>
    <w:tblStylePr w:type="band1Horz">
      <w:tblPr/>
      <w:tcPr>
        <w:tcBorders>
          <w:top w:val="single" w:sz="8" w:space="0" w:color="428D52" w:themeColor="accent6"/>
          <w:left w:val="single" w:sz="8" w:space="0" w:color="428D52" w:themeColor="accent6"/>
          <w:bottom w:val="single" w:sz="8" w:space="0" w:color="428D52" w:themeColor="accent6"/>
          <w:right w:val="single" w:sz="8" w:space="0" w:color="428D52" w:themeColor="accent6"/>
          <w:insideV w:val="single" w:sz="8" w:space="0" w:color="428D52" w:themeColor="accent6"/>
        </w:tcBorders>
        <w:shd w:val="clear" w:color="auto" w:fill="CBE7D1" w:themeFill="accent6" w:themeFillTint="3F"/>
      </w:tcPr>
    </w:tblStylePr>
    <w:tblStylePr w:type="band2Horz">
      <w:tblPr/>
      <w:tcPr>
        <w:tcBorders>
          <w:top w:val="single" w:sz="8" w:space="0" w:color="428D52" w:themeColor="accent6"/>
          <w:left w:val="single" w:sz="8" w:space="0" w:color="428D52" w:themeColor="accent6"/>
          <w:bottom w:val="single" w:sz="8" w:space="0" w:color="428D52" w:themeColor="accent6"/>
          <w:right w:val="single" w:sz="8" w:space="0" w:color="428D52" w:themeColor="accent6"/>
          <w:insideV w:val="single" w:sz="8" w:space="0" w:color="428D52" w:themeColor="accent6"/>
        </w:tcBorders>
      </w:tcPr>
    </w:tblStylePr>
  </w:style>
  <w:style w:type="table" w:styleId="LightList">
    <w:name w:val="Light List"/>
    <w:basedOn w:val="TableNormal"/>
    <w:uiPriority w:val="61"/>
    <w:semiHidden/>
    <w:unhideWhenUsed/>
    <w:rsid w:val="009637A8"/>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9637A8"/>
    <w:pPr>
      <w:spacing w:after="0" w:line="240" w:lineRule="auto"/>
    </w:pPr>
    <w:tblPr>
      <w:tblStyleRowBandSize w:val="1"/>
      <w:tblStyleColBandSize w:val="1"/>
      <w:tblBorders>
        <w:top w:val="single" w:sz="8" w:space="0" w:color="9D85BE" w:themeColor="accent1"/>
        <w:left w:val="single" w:sz="8" w:space="0" w:color="9D85BE" w:themeColor="accent1"/>
        <w:bottom w:val="single" w:sz="8" w:space="0" w:color="9D85BE" w:themeColor="accent1"/>
        <w:right w:val="single" w:sz="8" w:space="0" w:color="9D85BE" w:themeColor="accent1"/>
      </w:tblBorders>
    </w:tblPr>
    <w:tblStylePr w:type="firstRow">
      <w:pPr>
        <w:spacing w:before="0" w:after="0" w:line="240" w:lineRule="auto"/>
      </w:pPr>
      <w:rPr>
        <w:b/>
        <w:bCs/>
        <w:color w:val="FFFFFF" w:themeColor="background1"/>
      </w:rPr>
      <w:tblPr/>
      <w:tcPr>
        <w:shd w:val="clear" w:color="auto" w:fill="9D85BE" w:themeFill="accent1"/>
      </w:tcPr>
    </w:tblStylePr>
    <w:tblStylePr w:type="lastRow">
      <w:pPr>
        <w:spacing w:before="0" w:after="0" w:line="240" w:lineRule="auto"/>
      </w:pPr>
      <w:rPr>
        <w:b/>
        <w:bCs/>
      </w:rPr>
      <w:tblPr/>
      <w:tcPr>
        <w:tcBorders>
          <w:top w:val="double" w:sz="6" w:space="0" w:color="9D85BE" w:themeColor="accent1"/>
          <w:left w:val="single" w:sz="8" w:space="0" w:color="9D85BE" w:themeColor="accent1"/>
          <w:bottom w:val="single" w:sz="8" w:space="0" w:color="9D85BE" w:themeColor="accent1"/>
          <w:right w:val="single" w:sz="8" w:space="0" w:color="9D85BE" w:themeColor="accent1"/>
        </w:tcBorders>
      </w:tcPr>
    </w:tblStylePr>
    <w:tblStylePr w:type="firstCol">
      <w:rPr>
        <w:b/>
        <w:bCs/>
      </w:rPr>
    </w:tblStylePr>
    <w:tblStylePr w:type="lastCol">
      <w:rPr>
        <w:b/>
        <w:bCs/>
      </w:rPr>
    </w:tblStylePr>
    <w:tblStylePr w:type="band1Vert">
      <w:tblPr/>
      <w:tcPr>
        <w:tcBorders>
          <w:top w:val="single" w:sz="8" w:space="0" w:color="9D85BE" w:themeColor="accent1"/>
          <w:left w:val="single" w:sz="8" w:space="0" w:color="9D85BE" w:themeColor="accent1"/>
          <w:bottom w:val="single" w:sz="8" w:space="0" w:color="9D85BE" w:themeColor="accent1"/>
          <w:right w:val="single" w:sz="8" w:space="0" w:color="9D85BE" w:themeColor="accent1"/>
        </w:tcBorders>
      </w:tcPr>
    </w:tblStylePr>
    <w:tblStylePr w:type="band1Horz">
      <w:tblPr/>
      <w:tcPr>
        <w:tcBorders>
          <w:top w:val="single" w:sz="8" w:space="0" w:color="9D85BE" w:themeColor="accent1"/>
          <w:left w:val="single" w:sz="8" w:space="0" w:color="9D85BE" w:themeColor="accent1"/>
          <w:bottom w:val="single" w:sz="8" w:space="0" w:color="9D85BE" w:themeColor="accent1"/>
          <w:right w:val="single" w:sz="8" w:space="0" w:color="9D85BE" w:themeColor="accent1"/>
        </w:tcBorders>
      </w:tcPr>
    </w:tblStylePr>
  </w:style>
  <w:style w:type="table" w:styleId="LightList-Accent2">
    <w:name w:val="Light List Accent 2"/>
    <w:basedOn w:val="TableNormal"/>
    <w:uiPriority w:val="61"/>
    <w:semiHidden/>
    <w:unhideWhenUsed/>
    <w:rsid w:val="009637A8"/>
    <w:pPr>
      <w:spacing w:after="0" w:line="240" w:lineRule="auto"/>
    </w:pPr>
    <w:tblPr>
      <w:tblStyleRowBandSize w:val="1"/>
      <w:tblStyleColBandSize w:val="1"/>
      <w:tblBorders>
        <w:top w:val="single" w:sz="8" w:space="0" w:color="7D7D7D" w:themeColor="accent2"/>
        <w:left w:val="single" w:sz="8" w:space="0" w:color="7D7D7D" w:themeColor="accent2"/>
        <w:bottom w:val="single" w:sz="8" w:space="0" w:color="7D7D7D" w:themeColor="accent2"/>
        <w:right w:val="single" w:sz="8" w:space="0" w:color="7D7D7D" w:themeColor="accent2"/>
      </w:tblBorders>
    </w:tblPr>
    <w:tblStylePr w:type="firstRow">
      <w:pPr>
        <w:spacing w:before="0" w:after="0" w:line="240" w:lineRule="auto"/>
      </w:pPr>
      <w:rPr>
        <w:b/>
        <w:bCs/>
        <w:color w:val="FFFFFF" w:themeColor="background1"/>
      </w:rPr>
      <w:tblPr/>
      <w:tcPr>
        <w:shd w:val="clear" w:color="auto" w:fill="7D7D7D" w:themeFill="accent2"/>
      </w:tcPr>
    </w:tblStylePr>
    <w:tblStylePr w:type="lastRow">
      <w:pPr>
        <w:spacing w:before="0" w:after="0" w:line="240" w:lineRule="auto"/>
      </w:pPr>
      <w:rPr>
        <w:b/>
        <w:bCs/>
      </w:rPr>
      <w:tblPr/>
      <w:tcPr>
        <w:tcBorders>
          <w:top w:val="double" w:sz="6" w:space="0" w:color="7D7D7D" w:themeColor="accent2"/>
          <w:left w:val="single" w:sz="8" w:space="0" w:color="7D7D7D" w:themeColor="accent2"/>
          <w:bottom w:val="single" w:sz="8" w:space="0" w:color="7D7D7D" w:themeColor="accent2"/>
          <w:right w:val="single" w:sz="8" w:space="0" w:color="7D7D7D" w:themeColor="accent2"/>
        </w:tcBorders>
      </w:tcPr>
    </w:tblStylePr>
    <w:tblStylePr w:type="firstCol">
      <w:rPr>
        <w:b/>
        <w:bCs/>
      </w:rPr>
    </w:tblStylePr>
    <w:tblStylePr w:type="lastCol">
      <w:rPr>
        <w:b/>
        <w:bCs/>
      </w:rPr>
    </w:tblStylePr>
    <w:tblStylePr w:type="band1Vert">
      <w:tblPr/>
      <w:tcPr>
        <w:tcBorders>
          <w:top w:val="single" w:sz="8" w:space="0" w:color="7D7D7D" w:themeColor="accent2"/>
          <w:left w:val="single" w:sz="8" w:space="0" w:color="7D7D7D" w:themeColor="accent2"/>
          <w:bottom w:val="single" w:sz="8" w:space="0" w:color="7D7D7D" w:themeColor="accent2"/>
          <w:right w:val="single" w:sz="8" w:space="0" w:color="7D7D7D" w:themeColor="accent2"/>
        </w:tcBorders>
      </w:tcPr>
    </w:tblStylePr>
    <w:tblStylePr w:type="band1Horz">
      <w:tblPr/>
      <w:tcPr>
        <w:tcBorders>
          <w:top w:val="single" w:sz="8" w:space="0" w:color="7D7D7D" w:themeColor="accent2"/>
          <w:left w:val="single" w:sz="8" w:space="0" w:color="7D7D7D" w:themeColor="accent2"/>
          <w:bottom w:val="single" w:sz="8" w:space="0" w:color="7D7D7D" w:themeColor="accent2"/>
          <w:right w:val="single" w:sz="8" w:space="0" w:color="7D7D7D" w:themeColor="accent2"/>
        </w:tcBorders>
      </w:tcPr>
    </w:tblStylePr>
  </w:style>
  <w:style w:type="table" w:styleId="LightList-Accent3">
    <w:name w:val="Light List Accent 3"/>
    <w:basedOn w:val="TableNormal"/>
    <w:uiPriority w:val="61"/>
    <w:semiHidden/>
    <w:unhideWhenUsed/>
    <w:rsid w:val="009637A8"/>
    <w:pPr>
      <w:spacing w:after="0" w:line="240" w:lineRule="auto"/>
    </w:pPr>
    <w:tblPr>
      <w:tblStyleRowBandSize w:val="1"/>
      <w:tblStyleColBandSize w:val="1"/>
      <w:tblBorders>
        <w:top w:val="single" w:sz="8" w:space="0" w:color="C8C8C8" w:themeColor="accent3"/>
        <w:left w:val="single" w:sz="8" w:space="0" w:color="C8C8C8" w:themeColor="accent3"/>
        <w:bottom w:val="single" w:sz="8" w:space="0" w:color="C8C8C8" w:themeColor="accent3"/>
        <w:right w:val="single" w:sz="8" w:space="0" w:color="C8C8C8" w:themeColor="accent3"/>
      </w:tblBorders>
    </w:tblPr>
    <w:tblStylePr w:type="firstRow">
      <w:pPr>
        <w:spacing w:before="0" w:after="0" w:line="240" w:lineRule="auto"/>
      </w:pPr>
      <w:rPr>
        <w:b/>
        <w:bCs/>
        <w:color w:val="FFFFFF" w:themeColor="background1"/>
      </w:rPr>
      <w:tblPr/>
      <w:tcPr>
        <w:shd w:val="clear" w:color="auto" w:fill="C8C8C8" w:themeFill="accent3"/>
      </w:tcPr>
    </w:tblStylePr>
    <w:tblStylePr w:type="lastRow">
      <w:pPr>
        <w:spacing w:before="0" w:after="0" w:line="240" w:lineRule="auto"/>
      </w:pPr>
      <w:rPr>
        <w:b/>
        <w:bCs/>
      </w:rPr>
      <w:tblPr/>
      <w:tcPr>
        <w:tcBorders>
          <w:top w:val="double" w:sz="6" w:space="0" w:color="C8C8C8" w:themeColor="accent3"/>
          <w:left w:val="single" w:sz="8" w:space="0" w:color="C8C8C8" w:themeColor="accent3"/>
          <w:bottom w:val="single" w:sz="8" w:space="0" w:color="C8C8C8" w:themeColor="accent3"/>
          <w:right w:val="single" w:sz="8" w:space="0" w:color="C8C8C8" w:themeColor="accent3"/>
        </w:tcBorders>
      </w:tcPr>
    </w:tblStylePr>
    <w:tblStylePr w:type="firstCol">
      <w:rPr>
        <w:b/>
        <w:bCs/>
      </w:rPr>
    </w:tblStylePr>
    <w:tblStylePr w:type="lastCol">
      <w:rPr>
        <w:b/>
        <w:bCs/>
      </w:rPr>
    </w:tblStylePr>
    <w:tblStylePr w:type="band1Vert">
      <w:tblPr/>
      <w:tcPr>
        <w:tcBorders>
          <w:top w:val="single" w:sz="8" w:space="0" w:color="C8C8C8" w:themeColor="accent3"/>
          <w:left w:val="single" w:sz="8" w:space="0" w:color="C8C8C8" w:themeColor="accent3"/>
          <w:bottom w:val="single" w:sz="8" w:space="0" w:color="C8C8C8" w:themeColor="accent3"/>
          <w:right w:val="single" w:sz="8" w:space="0" w:color="C8C8C8" w:themeColor="accent3"/>
        </w:tcBorders>
      </w:tcPr>
    </w:tblStylePr>
    <w:tblStylePr w:type="band1Horz">
      <w:tblPr/>
      <w:tcPr>
        <w:tcBorders>
          <w:top w:val="single" w:sz="8" w:space="0" w:color="C8C8C8" w:themeColor="accent3"/>
          <w:left w:val="single" w:sz="8" w:space="0" w:color="C8C8C8" w:themeColor="accent3"/>
          <w:bottom w:val="single" w:sz="8" w:space="0" w:color="C8C8C8" w:themeColor="accent3"/>
          <w:right w:val="single" w:sz="8" w:space="0" w:color="C8C8C8" w:themeColor="accent3"/>
        </w:tcBorders>
      </w:tcPr>
    </w:tblStylePr>
  </w:style>
  <w:style w:type="table" w:styleId="LightList-Accent4">
    <w:name w:val="Light List Accent 4"/>
    <w:basedOn w:val="TableNormal"/>
    <w:uiPriority w:val="61"/>
    <w:semiHidden/>
    <w:unhideWhenUsed/>
    <w:rsid w:val="009637A8"/>
    <w:pPr>
      <w:spacing w:after="0" w:line="240" w:lineRule="auto"/>
    </w:pPr>
    <w:tblPr>
      <w:tblStyleRowBandSize w:val="1"/>
      <w:tblStyleColBandSize w:val="1"/>
      <w:tblBorders>
        <w:top w:val="single" w:sz="8" w:space="0" w:color="006A9F" w:themeColor="accent4"/>
        <w:left w:val="single" w:sz="8" w:space="0" w:color="006A9F" w:themeColor="accent4"/>
        <w:bottom w:val="single" w:sz="8" w:space="0" w:color="006A9F" w:themeColor="accent4"/>
        <w:right w:val="single" w:sz="8" w:space="0" w:color="006A9F" w:themeColor="accent4"/>
      </w:tblBorders>
    </w:tblPr>
    <w:tblStylePr w:type="firstRow">
      <w:pPr>
        <w:spacing w:before="0" w:after="0" w:line="240" w:lineRule="auto"/>
      </w:pPr>
      <w:rPr>
        <w:b/>
        <w:bCs/>
        <w:color w:val="FFFFFF" w:themeColor="background1"/>
      </w:rPr>
      <w:tblPr/>
      <w:tcPr>
        <w:shd w:val="clear" w:color="auto" w:fill="006A9F" w:themeFill="accent4"/>
      </w:tcPr>
    </w:tblStylePr>
    <w:tblStylePr w:type="lastRow">
      <w:pPr>
        <w:spacing w:before="0" w:after="0" w:line="240" w:lineRule="auto"/>
      </w:pPr>
      <w:rPr>
        <w:b/>
        <w:bCs/>
      </w:rPr>
      <w:tblPr/>
      <w:tcPr>
        <w:tcBorders>
          <w:top w:val="double" w:sz="6" w:space="0" w:color="006A9F" w:themeColor="accent4"/>
          <w:left w:val="single" w:sz="8" w:space="0" w:color="006A9F" w:themeColor="accent4"/>
          <w:bottom w:val="single" w:sz="8" w:space="0" w:color="006A9F" w:themeColor="accent4"/>
          <w:right w:val="single" w:sz="8" w:space="0" w:color="006A9F" w:themeColor="accent4"/>
        </w:tcBorders>
      </w:tcPr>
    </w:tblStylePr>
    <w:tblStylePr w:type="firstCol">
      <w:rPr>
        <w:b/>
        <w:bCs/>
      </w:rPr>
    </w:tblStylePr>
    <w:tblStylePr w:type="lastCol">
      <w:rPr>
        <w:b/>
        <w:bCs/>
      </w:rPr>
    </w:tblStylePr>
    <w:tblStylePr w:type="band1Vert">
      <w:tblPr/>
      <w:tcPr>
        <w:tcBorders>
          <w:top w:val="single" w:sz="8" w:space="0" w:color="006A9F" w:themeColor="accent4"/>
          <w:left w:val="single" w:sz="8" w:space="0" w:color="006A9F" w:themeColor="accent4"/>
          <w:bottom w:val="single" w:sz="8" w:space="0" w:color="006A9F" w:themeColor="accent4"/>
          <w:right w:val="single" w:sz="8" w:space="0" w:color="006A9F" w:themeColor="accent4"/>
        </w:tcBorders>
      </w:tcPr>
    </w:tblStylePr>
    <w:tblStylePr w:type="band1Horz">
      <w:tblPr/>
      <w:tcPr>
        <w:tcBorders>
          <w:top w:val="single" w:sz="8" w:space="0" w:color="006A9F" w:themeColor="accent4"/>
          <w:left w:val="single" w:sz="8" w:space="0" w:color="006A9F" w:themeColor="accent4"/>
          <w:bottom w:val="single" w:sz="8" w:space="0" w:color="006A9F" w:themeColor="accent4"/>
          <w:right w:val="single" w:sz="8" w:space="0" w:color="006A9F" w:themeColor="accent4"/>
        </w:tcBorders>
      </w:tcPr>
    </w:tblStylePr>
  </w:style>
  <w:style w:type="table" w:styleId="LightList-Accent5">
    <w:name w:val="Light List Accent 5"/>
    <w:basedOn w:val="TableNormal"/>
    <w:uiPriority w:val="61"/>
    <w:semiHidden/>
    <w:unhideWhenUsed/>
    <w:rsid w:val="009637A8"/>
    <w:pPr>
      <w:spacing w:after="0" w:line="240" w:lineRule="auto"/>
    </w:pPr>
    <w:tblPr>
      <w:tblStyleRowBandSize w:val="1"/>
      <w:tblStyleColBandSize w:val="1"/>
      <w:tblBorders>
        <w:top w:val="single" w:sz="8" w:space="0" w:color="7BBDD6" w:themeColor="accent5"/>
        <w:left w:val="single" w:sz="8" w:space="0" w:color="7BBDD6" w:themeColor="accent5"/>
        <w:bottom w:val="single" w:sz="8" w:space="0" w:color="7BBDD6" w:themeColor="accent5"/>
        <w:right w:val="single" w:sz="8" w:space="0" w:color="7BBDD6" w:themeColor="accent5"/>
      </w:tblBorders>
    </w:tblPr>
    <w:tblStylePr w:type="firstRow">
      <w:pPr>
        <w:spacing w:before="0" w:after="0" w:line="240" w:lineRule="auto"/>
      </w:pPr>
      <w:rPr>
        <w:b/>
        <w:bCs/>
        <w:color w:val="FFFFFF" w:themeColor="background1"/>
      </w:rPr>
      <w:tblPr/>
      <w:tcPr>
        <w:shd w:val="clear" w:color="auto" w:fill="7BBDD6" w:themeFill="accent5"/>
      </w:tcPr>
    </w:tblStylePr>
    <w:tblStylePr w:type="lastRow">
      <w:pPr>
        <w:spacing w:before="0" w:after="0" w:line="240" w:lineRule="auto"/>
      </w:pPr>
      <w:rPr>
        <w:b/>
        <w:bCs/>
      </w:rPr>
      <w:tblPr/>
      <w:tcPr>
        <w:tcBorders>
          <w:top w:val="double" w:sz="6" w:space="0" w:color="7BBDD6" w:themeColor="accent5"/>
          <w:left w:val="single" w:sz="8" w:space="0" w:color="7BBDD6" w:themeColor="accent5"/>
          <w:bottom w:val="single" w:sz="8" w:space="0" w:color="7BBDD6" w:themeColor="accent5"/>
          <w:right w:val="single" w:sz="8" w:space="0" w:color="7BBDD6" w:themeColor="accent5"/>
        </w:tcBorders>
      </w:tcPr>
    </w:tblStylePr>
    <w:tblStylePr w:type="firstCol">
      <w:rPr>
        <w:b/>
        <w:bCs/>
      </w:rPr>
    </w:tblStylePr>
    <w:tblStylePr w:type="lastCol">
      <w:rPr>
        <w:b/>
        <w:bCs/>
      </w:rPr>
    </w:tblStylePr>
    <w:tblStylePr w:type="band1Vert">
      <w:tblPr/>
      <w:tcPr>
        <w:tcBorders>
          <w:top w:val="single" w:sz="8" w:space="0" w:color="7BBDD6" w:themeColor="accent5"/>
          <w:left w:val="single" w:sz="8" w:space="0" w:color="7BBDD6" w:themeColor="accent5"/>
          <w:bottom w:val="single" w:sz="8" w:space="0" w:color="7BBDD6" w:themeColor="accent5"/>
          <w:right w:val="single" w:sz="8" w:space="0" w:color="7BBDD6" w:themeColor="accent5"/>
        </w:tcBorders>
      </w:tcPr>
    </w:tblStylePr>
    <w:tblStylePr w:type="band1Horz">
      <w:tblPr/>
      <w:tcPr>
        <w:tcBorders>
          <w:top w:val="single" w:sz="8" w:space="0" w:color="7BBDD6" w:themeColor="accent5"/>
          <w:left w:val="single" w:sz="8" w:space="0" w:color="7BBDD6" w:themeColor="accent5"/>
          <w:bottom w:val="single" w:sz="8" w:space="0" w:color="7BBDD6" w:themeColor="accent5"/>
          <w:right w:val="single" w:sz="8" w:space="0" w:color="7BBDD6" w:themeColor="accent5"/>
        </w:tcBorders>
      </w:tcPr>
    </w:tblStylePr>
  </w:style>
  <w:style w:type="table" w:styleId="LightList-Accent6">
    <w:name w:val="Light List Accent 6"/>
    <w:basedOn w:val="TableNormal"/>
    <w:uiPriority w:val="61"/>
    <w:semiHidden/>
    <w:unhideWhenUsed/>
    <w:rsid w:val="009637A8"/>
    <w:pPr>
      <w:spacing w:after="0" w:line="240" w:lineRule="auto"/>
    </w:pPr>
    <w:tblPr>
      <w:tblStyleRowBandSize w:val="1"/>
      <w:tblStyleColBandSize w:val="1"/>
      <w:tblBorders>
        <w:top w:val="single" w:sz="8" w:space="0" w:color="428D52" w:themeColor="accent6"/>
        <w:left w:val="single" w:sz="8" w:space="0" w:color="428D52" w:themeColor="accent6"/>
        <w:bottom w:val="single" w:sz="8" w:space="0" w:color="428D52" w:themeColor="accent6"/>
        <w:right w:val="single" w:sz="8" w:space="0" w:color="428D52" w:themeColor="accent6"/>
      </w:tblBorders>
    </w:tblPr>
    <w:tblStylePr w:type="firstRow">
      <w:pPr>
        <w:spacing w:before="0" w:after="0" w:line="240" w:lineRule="auto"/>
      </w:pPr>
      <w:rPr>
        <w:b/>
        <w:bCs/>
        <w:color w:val="FFFFFF" w:themeColor="background1"/>
      </w:rPr>
      <w:tblPr/>
      <w:tcPr>
        <w:shd w:val="clear" w:color="auto" w:fill="428D52" w:themeFill="accent6"/>
      </w:tcPr>
    </w:tblStylePr>
    <w:tblStylePr w:type="lastRow">
      <w:pPr>
        <w:spacing w:before="0" w:after="0" w:line="240" w:lineRule="auto"/>
      </w:pPr>
      <w:rPr>
        <w:b/>
        <w:bCs/>
      </w:rPr>
      <w:tblPr/>
      <w:tcPr>
        <w:tcBorders>
          <w:top w:val="double" w:sz="6" w:space="0" w:color="428D52" w:themeColor="accent6"/>
          <w:left w:val="single" w:sz="8" w:space="0" w:color="428D52" w:themeColor="accent6"/>
          <w:bottom w:val="single" w:sz="8" w:space="0" w:color="428D52" w:themeColor="accent6"/>
          <w:right w:val="single" w:sz="8" w:space="0" w:color="428D52" w:themeColor="accent6"/>
        </w:tcBorders>
      </w:tcPr>
    </w:tblStylePr>
    <w:tblStylePr w:type="firstCol">
      <w:rPr>
        <w:b/>
        <w:bCs/>
      </w:rPr>
    </w:tblStylePr>
    <w:tblStylePr w:type="lastCol">
      <w:rPr>
        <w:b/>
        <w:bCs/>
      </w:rPr>
    </w:tblStylePr>
    <w:tblStylePr w:type="band1Vert">
      <w:tblPr/>
      <w:tcPr>
        <w:tcBorders>
          <w:top w:val="single" w:sz="8" w:space="0" w:color="428D52" w:themeColor="accent6"/>
          <w:left w:val="single" w:sz="8" w:space="0" w:color="428D52" w:themeColor="accent6"/>
          <w:bottom w:val="single" w:sz="8" w:space="0" w:color="428D52" w:themeColor="accent6"/>
          <w:right w:val="single" w:sz="8" w:space="0" w:color="428D52" w:themeColor="accent6"/>
        </w:tcBorders>
      </w:tcPr>
    </w:tblStylePr>
    <w:tblStylePr w:type="band1Horz">
      <w:tblPr/>
      <w:tcPr>
        <w:tcBorders>
          <w:top w:val="single" w:sz="8" w:space="0" w:color="428D52" w:themeColor="accent6"/>
          <w:left w:val="single" w:sz="8" w:space="0" w:color="428D52" w:themeColor="accent6"/>
          <w:bottom w:val="single" w:sz="8" w:space="0" w:color="428D52" w:themeColor="accent6"/>
          <w:right w:val="single" w:sz="8" w:space="0" w:color="428D52" w:themeColor="accent6"/>
        </w:tcBorders>
      </w:tcPr>
    </w:tblStylePr>
  </w:style>
  <w:style w:type="table" w:styleId="LightShading">
    <w:name w:val="Light Shading"/>
    <w:basedOn w:val="TableNormal"/>
    <w:uiPriority w:val="60"/>
    <w:semiHidden/>
    <w:unhideWhenUsed/>
    <w:rsid w:val="009637A8"/>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9637A8"/>
    <w:pPr>
      <w:spacing w:after="0" w:line="240" w:lineRule="auto"/>
    </w:pPr>
    <w:rPr>
      <w:color w:val="72549D" w:themeColor="accent1" w:themeShade="BF"/>
    </w:rPr>
    <w:tblPr>
      <w:tblStyleRowBandSize w:val="1"/>
      <w:tblStyleColBandSize w:val="1"/>
      <w:tblBorders>
        <w:top w:val="single" w:sz="8" w:space="0" w:color="9D85BE" w:themeColor="accent1"/>
        <w:bottom w:val="single" w:sz="8" w:space="0" w:color="9D85BE" w:themeColor="accent1"/>
      </w:tblBorders>
    </w:tblPr>
    <w:tblStylePr w:type="firstRow">
      <w:pPr>
        <w:spacing w:before="0" w:after="0" w:line="240" w:lineRule="auto"/>
      </w:pPr>
      <w:rPr>
        <w:b/>
        <w:bCs/>
      </w:rPr>
      <w:tblPr/>
      <w:tcPr>
        <w:tcBorders>
          <w:top w:val="single" w:sz="8" w:space="0" w:color="9D85BE" w:themeColor="accent1"/>
          <w:left w:val="nil"/>
          <w:bottom w:val="single" w:sz="8" w:space="0" w:color="9D85BE" w:themeColor="accent1"/>
          <w:right w:val="nil"/>
          <w:insideH w:val="nil"/>
          <w:insideV w:val="nil"/>
        </w:tcBorders>
      </w:tcPr>
    </w:tblStylePr>
    <w:tblStylePr w:type="lastRow">
      <w:pPr>
        <w:spacing w:before="0" w:after="0" w:line="240" w:lineRule="auto"/>
      </w:pPr>
      <w:rPr>
        <w:b/>
        <w:bCs/>
      </w:rPr>
      <w:tblPr/>
      <w:tcPr>
        <w:tcBorders>
          <w:top w:val="single" w:sz="8" w:space="0" w:color="9D85BE" w:themeColor="accent1"/>
          <w:left w:val="nil"/>
          <w:bottom w:val="single" w:sz="8" w:space="0" w:color="9D85BE"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0EF" w:themeFill="accent1" w:themeFillTint="3F"/>
      </w:tcPr>
    </w:tblStylePr>
    <w:tblStylePr w:type="band1Horz">
      <w:tblPr/>
      <w:tcPr>
        <w:tcBorders>
          <w:left w:val="nil"/>
          <w:right w:val="nil"/>
          <w:insideH w:val="nil"/>
          <w:insideV w:val="nil"/>
        </w:tcBorders>
        <w:shd w:val="clear" w:color="auto" w:fill="E6E0EF" w:themeFill="accent1" w:themeFillTint="3F"/>
      </w:tcPr>
    </w:tblStylePr>
  </w:style>
  <w:style w:type="table" w:styleId="LightShading-Accent2">
    <w:name w:val="Light Shading Accent 2"/>
    <w:basedOn w:val="TableNormal"/>
    <w:uiPriority w:val="60"/>
    <w:semiHidden/>
    <w:unhideWhenUsed/>
    <w:rsid w:val="009637A8"/>
    <w:pPr>
      <w:spacing w:after="0" w:line="240" w:lineRule="auto"/>
    </w:pPr>
    <w:rPr>
      <w:color w:val="5D5D5D" w:themeColor="accent2" w:themeShade="BF"/>
    </w:rPr>
    <w:tblPr>
      <w:tblStyleRowBandSize w:val="1"/>
      <w:tblStyleColBandSize w:val="1"/>
      <w:tblBorders>
        <w:top w:val="single" w:sz="8" w:space="0" w:color="7D7D7D" w:themeColor="accent2"/>
        <w:bottom w:val="single" w:sz="8" w:space="0" w:color="7D7D7D" w:themeColor="accent2"/>
      </w:tblBorders>
    </w:tblPr>
    <w:tblStylePr w:type="firstRow">
      <w:pPr>
        <w:spacing w:before="0" w:after="0" w:line="240" w:lineRule="auto"/>
      </w:pPr>
      <w:rPr>
        <w:b/>
        <w:bCs/>
      </w:rPr>
      <w:tblPr/>
      <w:tcPr>
        <w:tcBorders>
          <w:top w:val="single" w:sz="8" w:space="0" w:color="7D7D7D" w:themeColor="accent2"/>
          <w:left w:val="nil"/>
          <w:bottom w:val="single" w:sz="8" w:space="0" w:color="7D7D7D" w:themeColor="accent2"/>
          <w:right w:val="nil"/>
          <w:insideH w:val="nil"/>
          <w:insideV w:val="nil"/>
        </w:tcBorders>
      </w:tcPr>
    </w:tblStylePr>
    <w:tblStylePr w:type="lastRow">
      <w:pPr>
        <w:spacing w:before="0" w:after="0" w:line="240" w:lineRule="auto"/>
      </w:pPr>
      <w:rPr>
        <w:b/>
        <w:bCs/>
      </w:rPr>
      <w:tblPr/>
      <w:tcPr>
        <w:tcBorders>
          <w:top w:val="single" w:sz="8" w:space="0" w:color="7D7D7D" w:themeColor="accent2"/>
          <w:left w:val="nil"/>
          <w:bottom w:val="single" w:sz="8" w:space="0" w:color="7D7D7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EDEDE" w:themeFill="accent2" w:themeFillTint="3F"/>
      </w:tcPr>
    </w:tblStylePr>
    <w:tblStylePr w:type="band1Horz">
      <w:tblPr/>
      <w:tcPr>
        <w:tcBorders>
          <w:left w:val="nil"/>
          <w:right w:val="nil"/>
          <w:insideH w:val="nil"/>
          <w:insideV w:val="nil"/>
        </w:tcBorders>
        <w:shd w:val="clear" w:color="auto" w:fill="DEDEDE" w:themeFill="accent2" w:themeFillTint="3F"/>
      </w:tcPr>
    </w:tblStylePr>
  </w:style>
  <w:style w:type="table" w:styleId="LightShading-Accent3">
    <w:name w:val="Light Shading Accent 3"/>
    <w:basedOn w:val="TableNormal"/>
    <w:uiPriority w:val="60"/>
    <w:semiHidden/>
    <w:unhideWhenUsed/>
    <w:rsid w:val="009637A8"/>
    <w:pPr>
      <w:spacing w:after="0" w:line="240" w:lineRule="auto"/>
    </w:pPr>
    <w:rPr>
      <w:color w:val="959595" w:themeColor="accent3" w:themeShade="BF"/>
    </w:rPr>
    <w:tblPr>
      <w:tblStyleRowBandSize w:val="1"/>
      <w:tblStyleColBandSize w:val="1"/>
      <w:tblBorders>
        <w:top w:val="single" w:sz="8" w:space="0" w:color="C8C8C8" w:themeColor="accent3"/>
        <w:bottom w:val="single" w:sz="8" w:space="0" w:color="C8C8C8" w:themeColor="accent3"/>
      </w:tblBorders>
    </w:tblPr>
    <w:tblStylePr w:type="firstRow">
      <w:pPr>
        <w:spacing w:before="0" w:after="0" w:line="240" w:lineRule="auto"/>
      </w:pPr>
      <w:rPr>
        <w:b/>
        <w:bCs/>
      </w:rPr>
      <w:tblPr/>
      <w:tcPr>
        <w:tcBorders>
          <w:top w:val="single" w:sz="8" w:space="0" w:color="C8C8C8" w:themeColor="accent3"/>
          <w:left w:val="nil"/>
          <w:bottom w:val="single" w:sz="8" w:space="0" w:color="C8C8C8" w:themeColor="accent3"/>
          <w:right w:val="nil"/>
          <w:insideH w:val="nil"/>
          <w:insideV w:val="nil"/>
        </w:tcBorders>
      </w:tcPr>
    </w:tblStylePr>
    <w:tblStylePr w:type="lastRow">
      <w:pPr>
        <w:spacing w:before="0" w:after="0" w:line="240" w:lineRule="auto"/>
      </w:pPr>
      <w:rPr>
        <w:b/>
        <w:bCs/>
      </w:rPr>
      <w:tblPr/>
      <w:tcPr>
        <w:tcBorders>
          <w:top w:val="single" w:sz="8" w:space="0" w:color="C8C8C8" w:themeColor="accent3"/>
          <w:left w:val="nil"/>
          <w:bottom w:val="single" w:sz="8" w:space="0" w:color="C8C8C8"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1F1F1" w:themeFill="accent3" w:themeFillTint="3F"/>
      </w:tcPr>
    </w:tblStylePr>
    <w:tblStylePr w:type="band1Horz">
      <w:tblPr/>
      <w:tcPr>
        <w:tcBorders>
          <w:left w:val="nil"/>
          <w:right w:val="nil"/>
          <w:insideH w:val="nil"/>
          <w:insideV w:val="nil"/>
        </w:tcBorders>
        <w:shd w:val="clear" w:color="auto" w:fill="F1F1F1" w:themeFill="accent3" w:themeFillTint="3F"/>
      </w:tcPr>
    </w:tblStylePr>
  </w:style>
  <w:style w:type="table" w:styleId="LightShading-Accent4">
    <w:name w:val="Light Shading Accent 4"/>
    <w:basedOn w:val="TableNormal"/>
    <w:uiPriority w:val="60"/>
    <w:semiHidden/>
    <w:unhideWhenUsed/>
    <w:rsid w:val="009637A8"/>
    <w:pPr>
      <w:spacing w:after="0" w:line="240" w:lineRule="auto"/>
    </w:pPr>
    <w:rPr>
      <w:color w:val="004F77" w:themeColor="accent4" w:themeShade="BF"/>
    </w:rPr>
    <w:tblPr>
      <w:tblStyleRowBandSize w:val="1"/>
      <w:tblStyleColBandSize w:val="1"/>
      <w:tblBorders>
        <w:top w:val="single" w:sz="8" w:space="0" w:color="006A9F" w:themeColor="accent4"/>
        <w:bottom w:val="single" w:sz="8" w:space="0" w:color="006A9F" w:themeColor="accent4"/>
      </w:tblBorders>
    </w:tblPr>
    <w:tblStylePr w:type="firstRow">
      <w:pPr>
        <w:spacing w:before="0" w:after="0" w:line="240" w:lineRule="auto"/>
      </w:pPr>
      <w:rPr>
        <w:b/>
        <w:bCs/>
      </w:rPr>
      <w:tblPr/>
      <w:tcPr>
        <w:tcBorders>
          <w:top w:val="single" w:sz="8" w:space="0" w:color="006A9F" w:themeColor="accent4"/>
          <w:left w:val="nil"/>
          <w:bottom w:val="single" w:sz="8" w:space="0" w:color="006A9F" w:themeColor="accent4"/>
          <w:right w:val="nil"/>
          <w:insideH w:val="nil"/>
          <w:insideV w:val="nil"/>
        </w:tcBorders>
      </w:tcPr>
    </w:tblStylePr>
    <w:tblStylePr w:type="lastRow">
      <w:pPr>
        <w:spacing w:before="0" w:after="0" w:line="240" w:lineRule="auto"/>
      </w:pPr>
      <w:rPr>
        <w:b/>
        <w:bCs/>
      </w:rPr>
      <w:tblPr/>
      <w:tcPr>
        <w:tcBorders>
          <w:top w:val="single" w:sz="8" w:space="0" w:color="006A9F" w:themeColor="accent4"/>
          <w:left w:val="nil"/>
          <w:bottom w:val="single" w:sz="8" w:space="0" w:color="006A9F"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8E2FF" w:themeFill="accent4" w:themeFillTint="3F"/>
      </w:tcPr>
    </w:tblStylePr>
    <w:tblStylePr w:type="band1Horz">
      <w:tblPr/>
      <w:tcPr>
        <w:tcBorders>
          <w:left w:val="nil"/>
          <w:right w:val="nil"/>
          <w:insideH w:val="nil"/>
          <w:insideV w:val="nil"/>
        </w:tcBorders>
        <w:shd w:val="clear" w:color="auto" w:fill="A8E2FF" w:themeFill="accent4" w:themeFillTint="3F"/>
      </w:tcPr>
    </w:tblStylePr>
  </w:style>
  <w:style w:type="table" w:styleId="LightShading-Accent5">
    <w:name w:val="Light Shading Accent 5"/>
    <w:basedOn w:val="TableNormal"/>
    <w:uiPriority w:val="60"/>
    <w:semiHidden/>
    <w:unhideWhenUsed/>
    <w:rsid w:val="009637A8"/>
    <w:pPr>
      <w:spacing w:after="0" w:line="240" w:lineRule="auto"/>
    </w:pPr>
    <w:rPr>
      <w:color w:val="3C9BC0" w:themeColor="accent5" w:themeShade="BF"/>
    </w:rPr>
    <w:tblPr>
      <w:tblStyleRowBandSize w:val="1"/>
      <w:tblStyleColBandSize w:val="1"/>
      <w:tblBorders>
        <w:top w:val="single" w:sz="8" w:space="0" w:color="7BBDD6" w:themeColor="accent5"/>
        <w:bottom w:val="single" w:sz="8" w:space="0" w:color="7BBDD6" w:themeColor="accent5"/>
      </w:tblBorders>
    </w:tblPr>
    <w:tblStylePr w:type="firstRow">
      <w:pPr>
        <w:spacing w:before="0" w:after="0" w:line="240" w:lineRule="auto"/>
      </w:pPr>
      <w:rPr>
        <w:b/>
        <w:bCs/>
      </w:rPr>
      <w:tblPr/>
      <w:tcPr>
        <w:tcBorders>
          <w:top w:val="single" w:sz="8" w:space="0" w:color="7BBDD6" w:themeColor="accent5"/>
          <w:left w:val="nil"/>
          <w:bottom w:val="single" w:sz="8" w:space="0" w:color="7BBDD6" w:themeColor="accent5"/>
          <w:right w:val="nil"/>
          <w:insideH w:val="nil"/>
          <w:insideV w:val="nil"/>
        </w:tcBorders>
      </w:tcPr>
    </w:tblStylePr>
    <w:tblStylePr w:type="lastRow">
      <w:pPr>
        <w:spacing w:before="0" w:after="0" w:line="240" w:lineRule="auto"/>
      </w:pPr>
      <w:rPr>
        <w:b/>
        <w:bCs/>
      </w:rPr>
      <w:tblPr/>
      <w:tcPr>
        <w:tcBorders>
          <w:top w:val="single" w:sz="8" w:space="0" w:color="7BBDD6" w:themeColor="accent5"/>
          <w:left w:val="nil"/>
          <w:bottom w:val="single" w:sz="8" w:space="0" w:color="7BBDD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EEEF4" w:themeFill="accent5" w:themeFillTint="3F"/>
      </w:tcPr>
    </w:tblStylePr>
    <w:tblStylePr w:type="band1Horz">
      <w:tblPr/>
      <w:tcPr>
        <w:tcBorders>
          <w:left w:val="nil"/>
          <w:right w:val="nil"/>
          <w:insideH w:val="nil"/>
          <w:insideV w:val="nil"/>
        </w:tcBorders>
        <w:shd w:val="clear" w:color="auto" w:fill="DEEEF4" w:themeFill="accent5" w:themeFillTint="3F"/>
      </w:tcPr>
    </w:tblStylePr>
  </w:style>
  <w:style w:type="table" w:styleId="LightShading-Accent6">
    <w:name w:val="Light Shading Accent 6"/>
    <w:basedOn w:val="TableNormal"/>
    <w:uiPriority w:val="60"/>
    <w:semiHidden/>
    <w:unhideWhenUsed/>
    <w:rsid w:val="009637A8"/>
    <w:pPr>
      <w:spacing w:after="0" w:line="240" w:lineRule="auto"/>
    </w:pPr>
    <w:rPr>
      <w:color w:val="31693D" w:themeColor="accent6" w:themeShade="BF"/>
    </w:rPr>
    <w:tblPr>
      <w:tblStyleRowBandSize w:val="1"/>
      <w:tblStyleColBandSize w:val="1"/>
      <w:tblBorders>
        <w:top w:val="single" w:sz="8" w:space="0" w:color="428D52" w:themeColor="accent6"/>
        <w:bottom w:val="single" w:sz="8" w:space="0" w:color="428D52" w:themeColor="accent6"/>
      </w:tblBorders>
    </w:tblPr>
    <w:tblStylePr w:type="firstRow">
      <w:pPr>
        <w:spacing w:before="0" w:after="0" w:line="240" w:lineRule="auto"/>
      </w:pPr>
      <w:rPr>
        <w:b/>
        <w:bCs/>
      </w:rPr>
      <w:tblPr/>
      <w:tcPr>
        <w:tcBorders>
          <w:top w:val="single" w:sz="8" w:space="0" w:color="428D52" w:themeColor="accent6"/>
          <w:left w:val="nil"/>
          <w:bottom w:val="single" w:sz="8" w:space="0" w:color="428D52" w:themeColor="accent6"/>
          <w:right w:val="nil"/>
          <w:insideH w:val="nil"/>
          <w:insideV w:val="nil"/>
        </w:tcBorders>
      </w:tcPr>
    </w:tblStylePr>
    <w:tblStylePr w:type="lastRow">
      <w:pPr>
        <w:spacing w:before="0" w:after="0" w:line="240" w:lineRule="auto"/>
      </w:pPr>
      <w:rPr>
        <w:b/>
        <w:bCs/>
      </w:rPr>
      <w:tblPr/>
      <w:tcPr>
        <w:tcBorders>
          <w:top w:val="single" w:sz="8" w:space="0" w:color="428D52" w:themeColor="accent6"/>
          <w:left w:val="nil"/>
          <w:bottom w:val="single" w:sz="8" w:space="0" w:color="428D52"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BE7D1" w:themeFill="accent6" w:themeFillTint="3F"/>
      </w:tcPr>
    </w:tblStylePr>
    <w:tblStylePr w:type="band1Horz">
      <w:tblPr/>
      <w:tcPr>
        <w:tcBorders>
          <w:left w:val="nil"/>
          <w:right w:val="nil"/>
          <w:insideH w:val="nil"/>
          <w:insideV w:val="nil"/>
        </w:tcBorders>
        <w:shd w:val="clear" w:color="auto" w:fill="CBE7D1" w:themeFill="accent6" w:themeFillTint="3F"/>
      </w:tcPr>
    </w:tblStylePr>
  </w:style>
  <w:style w:type="character" w:styleId="LineNumber">
    <w:name w:val="line number"/>
    <w:basedOn w:val="DefaultParagraphFont"/>
    <w:uiPriority w:val="99"/>
    <w:semiHidden/>
    <w:unhideWhenUsed/>
    <w:rsid w:val="009637A8"/>
  </w:style>
  <w:style w:type="paragraph" w:styleId="List">
    <w:name w:val="List"/>
    <w:basedOn w:val="Normal"/>
    <w:uiPriority w:val="99"/>
    <w:semiHidden/>
    <w:unhideWhenUsed/>
    <w:rsid w:val="009637A8"/>
    <w:pPr>
      <w:spacing w:after="160" w:line="259" w:lineRule="auto"/>
      <w:ind w:left="283" w:hanging="283"/>
      <w:contextualSpacing/>
    </w:pPr>
  </w:style>
  <w:style w:type="paragraph" w:styleId="List2">
    <w:name w:val="List 2"/>
    <w:basedOn w:val="Normal"/>
    <w:uiPriority w:val="99"/>
    <w:semiHidden/>
    <w:unhideWhenUsed/>
    <w:rsid w:val="009637A8"/>
    <w:pPr>
      <w:spacing w:after="160" w:line="259" w:lineRule="auto"/>
      <w:ind w:left="566" w:hanging="283"/>
      <w:contextualSpacing/>
    </w:pPr>
  </w:style>
  <w:style w:type="paragraph" w:styleId="List3">
    <w:name w:val="List 3"/>
    <w:basedOn w:val="Normal"/>
    <w:uiPriority w:val="99"/>
    <w:semiHidden/>
    <w:unhideWhenUsed/>
    <w:rsid w:val="009637A8"/>
    <w:pPr>
      <w:spacing w:after="160" w:line="259" w:lineRule="auto"/>
      <w:ind w:left="849" w:hanging="283"/>
      <w:contextualSpacing/>
    </w:pPr>
  </w:style>
  <w:style w:type="paragraph" w:styleId="List4">
    <w:name w:val="List 4"/>
    <w:basedOn w:val="Normal"/>
    <w:uiPriority w:val="99"/>
    <w:semiHidden/>
    <w:unhideWhenUsed/>
    <w:rsid w:val="009637A8"/>
    <w:pPr>
      <w:spacing w:after="160" w:line="259" w:lineRule="auto"/>
      <w:ind w:left="1132" w:hanging="283"/>
      <w:contextualSpacing/>
    </w:pPr>
  </w:style>
  <w:style w:type="paragraph" w:styleId="List5">
    <w:name w:val="List 5"/>
    <w:basedOn w:val="Normal"/>
    <w:uiPriority w:val="99"/>
    <w:semiHidden/>
    <w:unhideWhenUsed/>
    <w:rsid w:val="009637A8"/>
    <w:pPr>
      <w:spacing w:after="160" w:line="259" w:lineRule="auto"/>
      <w:ind w:left="1415" w:hanging="283"/>
      <w:contextualSpacing/>
    </w:pPr>
  </w:style>
  <w:style w:type="paragraph" w:styleId="ListBullet">
    <w:name w:val="List Bullet"/>
    <w:aliases w:val="List Bullet Char1,List Bullet Char Char,List Bullet Char1 Char Char,List Bullet Char Char Char1 Char,List Bullet Char Char Char Char Char,List Bullet Char3,List Bullet Char2 Char,List Bullet Char2,List Bullet1,List Bullet Char Char1,l,Char"/>
    <w:basedOn w:val="Normal"/>
    <w:uiPriority w:val="99"/>
    <w:qFormat/>
    <w:rsid w:val="00330EB2"/>
    <w:pPr>
      <w:numPr>
        <w:numId w:val="9"/>
      </w:numPr>
      <w:spacing w:before="120" w:after="120" w:line="300" w:lineRule="atLeast"/>
    </w:pPr>
    <w:rPr>
      <w:rFonts w:ascii="Arial" w:hAnsi="Arial"/>
      <w:sz w:val="24"/>
    </w:rPr>
  </w:style>
  <w:style w:type="paragraph" w:styleId="ListBullet2">
    <w:name w:val="List Bullet 2"/>
    <w:aliases w:val="Char2, Char2"/>
    <w:basedOn w:val="Normal"/>
    <w:uiPriority w:val="99"/>
    <w:qFormat/>
    <w:rsid w:val="00825F33"/>
    <w:pPr>
      <w:numPr>
        <w:ilvl w:val="1"/>
        <w:numId w:val="9"/>
      </w:numPr>
      <w:spacing w:before="0" w:after="60" w:line="240" w:lineRule="atLeast"/>
    </w:pPr>
    <w:rPr>
      <w:rFonts w:ascii="Arial" w:hAnsi="Arial"/>
      <w:sz w:val="24"/>
    </w:rPr>
  </w:style>
  <w:style w:type="paragraph" w:styleId="ListBullet3">
    <w:name w:val="List Bullet 3"/>
    <w:basedOn w:val="Normal"/>
    <w:uiPriority w:val="99"/>
    <w:qFormat/>
    <w:rsid w:val="000F76C4"/>
    <w:pPr>
      <w:numPr>
        <w:ilvl w:val="2"/>
        <w:numId w:val="9"/>
      </w:numPr>
      <w:spacing w:before="0" w:after="60" w:line="240" w:lineRule="atLeast"/>
    </w:pPr>
  </w:style>
  <w:style w:type="paragraph" w:styleId="ListBullet4">
    <w:name w:val="List Bullet 4"/>
    <w:basedOn w:val="Normal"/>
    <w:uiPriority w:val="99"/>
    <w:semiHidden/>
    <w:unhideWhenUsed/>
    <w:rsid w:val="009637A8"/>
    <w:pPr>
      <w:numPr>
        <w:numId w:val="1"/>
      </w:numPr>
      <w:tabs>
        <w:tab w:val="clear" w:pos="1209"/>
      </w:tabs>
      <w:spacing w:after="160" w:line="259" w:lineRule="auto"/>
      <w:ind w:left="0" w:firstLine="0"/>
      <w:contextualSpacing/>
    </w:pPr>
  </w:style>
  <w:style w:type="paragraph" w:styleId="ListBullet5">
    <w:name w:val="List Bullet 5"/>
    <w:basedOn w:val="Normal"/>
    <w:uiPriority w:val="99"/>
    <w:semiHidden/>
    <w:unhideWhenUsed/>
    <w:rsid w:val="009637A8"/>
    <w:pPr>
      <w:numPr>
        <w:numId w:val="2"/>
      </w:numPr>
      <w:spacing w:after="160" w:line="259" w:lineRule="auto"/>
      <w:contextualSpacing/>
    </w:pPr>
  </w:style>
  <w:style w:type="paragraph" w:styleId="ListContinue">
    <w:name w:val="List Continue"/>
    <w:basedOn w:val="Normal"/>
    <w:uiPriority w:val="99"/>
    <w:semiHidden/>
    <w:unhideWhenUsed/>
    <w:rsid w:val="009637A8"/>
    <w:pPr>
      <w:spacing w:line="259" w:lineRule="auto"/>
      <w:ind w:left="283"/>
      <w:contextualSpacing/>
    </w:pPr>
  </w:style>
  <w:style w:type="paragraph" w:styleId="ListContinue2">
    <w:name w:val="List Continue 2"/>
    <w:basedOn w:val="Normal"/>
    <w:uiPriority w:val="99"/>
    <w:semiHidden/>
    <w:unhideWhenUsed/>
    <w:rsid w:val="009637A8"/>
    <w:pPr>
      <w:spacing w:line="259" w:lineRule="auto"/>
      <w:ind w:left="566"/>
      <w:contextualSpacing/>
    </w:pPr>
  </w:style>
  <w:style w:type="paragraph" w:styleId="ListContinue3">
    <w:name w:val="List Continue 3"/>
    <w:basedOn w:val="Normal"/>
    <w:uiPriority w:val="99"/>
    <w:semiHidden/>
    <w:unhideWhenUsed/>
    <w:rsid w:val="009637A8"/>
    <w:pPr>
      <w:spacing w:line="259" w:lineRule="auto"/>
      <w:ind w:left="849"/>
      <w:contextualSpacing/>
    </w:pPr>
  </w:style>
  <w:style w:type="paragraph" w:styleId="ListContinue4">
    <w:name w:val="List Continue 4"/>
    <w:basedOn w:val="Normal"/>
    <w:uiPriority w:val="99"/>
    <w:semiHidden/>
    <w:unhideWhenUsed/>
    <w:rsid w:val="009637A8"/>
    <w:pPr>
      <w:spacing w:line="259" w:lineRule="auto"/>
      <w:ind w:left="1132"/>
      <w:contextualSpacing/>
    </w:pPr>
  </w:style>
  <w:style w:type="paragraph" w:styleId="ListContinue5">
    <w:name w:val="List Continue 5"/>
    <w:basedOn w:val="Normal"/>
    <w:uiPriority w:val="99"/>
    <w:semiHidden/>
    <w:unhideWhenUsed/>
    <w:rsid w:val="009637A8"/>
    <w:pPr>
      <w:spacing w:line="259" w:lineRule="auto"/>
      <w:ind w:left="1415"/>
      <w:contextualSpacing/>
    </w:pPr>
  </w:style>
  <w:style w:type="paragraph" w:styleId="ListNumber">
    <w:name w:val="List Number"/>
    <w:basedOn w:val="Normal"/>
    <w:uiPriority w:val="99"/>
    <w:qFormat/>
    <w:rsid w:val="00303C43"/>
    <w:pPr>
      <w:numPr>
        <w:numId w:val="8"/>
      </w:numPr>
      <w:spacing w:before="70" w:after="70"/>
    </w:pPr>
  </w:style>
  <w:style w:type="paragraph" w:styleId="ListNumber2">
    <w:name w:val="List Number 2"/>
    <w:basedOn w:val="Normal"/>
    <w:uiPriority w:val="99"/>
    <w:qFormat/>
    <w:rsid w:val="00303C43"/>
    <w:pPr>
      <w:numPr>
        <w:ilvl w:val="1"/>
        <w:numId w:val="8"/>
      </w:numPr>
      <w:spacing w:before="0" w:after="60" w:line="240" w:lineRule="atLeast"/>
    </w:pPr>
  </w:style>
  <w:style w:type="paragraph" w:styleId="ListNumber3">
    <w:name w:val="List Number 3"/>
    <w:basedOn w:val="Normal"/>
    <w:uiPriority w:val="99"/>
    <w:qFormat/>
    <w:rsid w:val="00303C43"/>
    <w:pPr>
      <w:numPr>
        <w:ilvl w:val="2"/>
        <w:numId w:val="8"/>
      </w:numPr>
      <w:spacing w:before="0" w:after="60" w:line="240" w:lineRule="atLeast"/>
    </w:pPr>
  </w:style>
  <w:style w:type="paragraph" w:styleId="ListNumber4">
    <w:name w:val="List Number 4"/>
    <w:basedOn w:val="Normal"/>
    <w:uiPriority w:val="99"/>
    <w:semiHidden/>
    <w:unhideWhenUsed/>
    <w:rsid w:val="009637A8"/>
    <w:pPr>
      <w:numPr>
        <w:numId w:val="3"/>
      </w:numPr>
      <w:spacing w:after="160" w:line="259" w:lineRule="auto"/>
      <w:contextualSpacing/>
    </w:pPr>
  </w:style>
  <w:style w:type="paragraph" w:styleId="ListNumber5">
    <w:name w:val="List Number 5"/>
    <w:basedOn w:val="Normal"/>
    <w:uiPriority w:val="99"/>
    <w:semiHidden/>
    <w:unhideWhenUsed/>
    <w:rsid w:val="009637A8"/>
    <w:pPr>
      <w:numPr>
        <w:numId w:val="4"/>
      </w:numPr>
      <w:spacing w:after="160" w:line="259" w:lineRule="auto"/>
      <w:contextualSpacing/>
    </w:pPr>
  </w:style>
  <w:style w:type="paragraph" w:styleId="ListParagraph">
    <w:name w:val="List Paragraph"/>
    <w:basedOn w:val="Normal"/>
    <w:uiPriority w:val="34"/>
    <w:qFormat/>
    <w:rsid w:val="009637A8"/>
    <w:pPr>
      <w:spacing w:after="160" w:line="259" w:lineRule="auto"/>
      <w:ind w:left="720"/>
      <w:contextualSpacing/>
    </w:pPr>
  </w:style>
  <w:style w:type="table" w:styleId="ListTable1Light">
    <w:name w:val="List Table 1 Light"/>
    <w:basedOn w:val="TableNormal"/>
    <w:uiPriority w:val="46"/>
    <w:rsid w:val="009637A8"/>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9637A8"/>
    <w:pPr>
      <w:spacing w:after="0" w:line="240" w:lineRule="auto"/>
    </w:pPr>
    <w:tblPr>
      <w:tblStyleRowBandSize w:val="1"/>
      <w:tblStyleColBandSize w:val="1"/>
    </w:tblPr>
    <w:tblStylePr w:type="firstRow">
      <w:rPr>
        <w:b/>
        <w:bCs/>
      </w:rPr>
      <w:tblPr/>
      <w:tcPr>
        <w:tcBorders>
          <w:bottom w:val="single" w:sz="4" w:space="0" w:color="C4B5D8" w:themeColor="accent1" w:themeTint="99"/>
        </w:tcBorders>
      </w:tcPr>
    </w:tblStylePr>
    <w:tblStylePr w:type="lastRow">
      <w:rPr>
        <w:b/>
        <w:bCs/>
      </w:rPr>
      <w:tblPr/>
      <w:tcPr>
        <w:tcBorders>
          <w:top w:val="single" w:sz="4" w:space="0" w:color="C4B5D8" w:themeColor="accent1" w:themeTint="99"/>
        </w:tcBorders>
      </w:tcPr>
    </w:tblStylePr>
    <w:tblStylePr w:type="firstCol">
      <w:rPr>
        <w:b/>
        <w:bCs/>
      </w:rPr>
    </w:tblStylePr>
    <w:tblStylePr w:type="lastCol">
      <w:rPr>
        <w:b/>
        <w:bCs/>
      </w:rPr>
    </w:tblStylePr>
    <w:tblStylePr w:type="band1Vert">
      <w:tblPr/>
      <w:tcPr>
        <w:shd w:val="clear" w:color="auto" w:fill="EBE6F2" w:themeFill="accent1" w:themeFillTint="33"/>
      </w:tcPr>
    </w:tblStylePr>
    <w:tblStylePr w:type="band1Horz">
      <w:tblPr/>
      <w:tcPr>
        <w:shd w:val="clear" w:color="auto" w:fill="EBE6F2" w:themeFill="accent1" w:themeFillTint="33"/>
      </w:tcPr>
    </w:tblStylePr>
  </w:style>
  <w:style w:type="table" w:styleId="ListTable1Light-Accent2">
    <w:name w:val="List Table 1 Light Accent 2"/>
    <w:basedOn w:val="TableNormal"/>
    <w:uiPriority w:val="46"/>
    <w:rsid w:val="009637A8"/>
    <w:pPr>
      <w:spacing w:after="0" w:line="240" w:lineRule="auto"/>
    </w:pPr>
    <w:tblPr>
      <w:tblStyleRowBandSize w:val="1"/>
      <w:tblStyleColBandSize w:val="1"/>
    </w:tblPr>
    <w:tblStylePr w:type="firstRow">
      <w:rPr>
        <w:b/>
        <w:bCs/>
      </w:rPr>
      <w:tblPr/>
      <w:tcPr>
        <w:tcBorders>
          <w:bottom w:val="single" w:sz="4" w:space="0" w:color="B1B1B1" w:themeColor="accent2" w:themeTint="99"/>
        </w:tcBorders>
      </w:tcPr>
    </w:tblStylePr>
    <w:tblStylePr w:type="lastRow">
      <w:rPr>
        <w:b/>
        <w:bCs/>
      </w:rPr>
      <w:tblPr/>
      <w:tcPr>
        <w:tcBorders>
          <w:top w:val="single" w:sz="4" w:space="0" w:color="B1B1B1" w:themeColor="accent2" w:themeTint="99"/>
        </w:tcBorders>
      </w:tcPr>
    </w:tblStylePr>
    <w:tblStylePr w:type="firstCol">
      <w:rPr>
        <w:b/>
        <w:bCs/>
      </w:rPr>
    </w:tblStylePr>
    <w:tblStylePr w:type="lastCol">
      <w:rPr>
        <w:b/>
        <w:bCs/>
      </w:rPr>
    </w:tblStylePr>
    <w:tblStylePr w:type="band1Vert">
      <w:tblPr/>
      <w:tcPr>
        <w:shd w:val="clear" w:color="auto" w:fill="E5E5E5" w:themeFill="accent2" w:themeFillTint="33"/>
      </w:tcPr>
    </w:tblStylePr>
    <w:tblStylePr w:type="band1Horz">
      <w:tblPr/>
      <w:tcPr>
        <w:shd w:val="clear" w:color="auto" w:fill="E5E5E5" w:themeFill="accent2" w:themeFillTint="33"/>
      </w:tcPr>
    </w:tblStylePr>
  </w:style>
  <w:style w:type="table" w:styleId="ListTable1Light-Accent3">
    <w:name w:val="List Table 1 Light Accent 3"/>
    <w:basedOn w:val="TableNormal"/>
    <w:uiPriority w:val="46"/>
    <w:rsid w:val="009637A8"/>
    <w:pPr>
      <w:spacing w:after="0" w:line="240" w:lineRule="auto"/>
    </w:pPr>
    <w:tblPr>
      <w:tblStyleRowBandSize w:val="1"/>
      <w:tblStyleColBandSize w:val="1"/>
    </w:tblPr>
    <w:tblStylePr w:type="firstRow">
      <w:rPr>
        <w:b/>
        <w:bCs/>
      </w:rPr>
      <w:tblPr/>
      <w:tcPr>
        <w:tcBorders>
          <w:bottom w:val="single" w:sz="4" w:space="0" w:color="DEDEDE" w:themeColor="accent3" w:themeTint="99"/>
        </w:tcBorders>
      </w:tcPr>
    </w:tblStylePr>
    <w:tblStylePr w:type="lastRow">
      <w:rPr>
        <w:b/>
        <w:bCs/>
      </w:rPr>
      <w:tblPr/>
      <w:tcPr>
        <w:tcBorders>
          <w:top w:val="single" w:sz="4" w:space="0" w:color="DEDEDE" w:themeColor="accent3" w:themeTint="99"/>
        </w:tcBorders>
      </w:tcPr>
    </w:tblStylePr>
    <w:tblStylePr w:type="firstCol">
      <w:rPr>
        <w:b/>
        <w:bCs/>
      </w:rPr>
    </w:tblStylePr>
    <w:tblStylePr w:type="lastCol">
      <w:rPr>
        <w:b/>
        <w:bCs/>
      </w:rPr>
    </w:tblStylePr>
    <w:tblStylePr w:type="band1Vert">
      <w:tblPr/>
      <w:tcPr>
        <w:shd w:val="clear" w:color="auto" w:fill="F4F4F4" w:themeFill="accent3" w:themeFillTint="33"/>
      </w:tcPr>
    </w:tblStylePr>
    <w:tblStylePr w:type="band1Horz">
      <w:tblPr/>
      <w:tcPr>
        <w:shd w:val="clear" w:color="auto" w:fill="F4F4F4" w:themeFill="accent3" w:themeFillTint="33"/>
      </w:tcPr>
    </w:tblStylePr>
  </w:style>
  <w:style w:type="table" w:styleId="ListTable1Light-Accent4">
    <w:name w:val="List Table 1 Light Accent 4"/>
    <w:basedOn w:val="TableNormal"/>
    <w:uiPriority w:val="46"/>
    <w:rsid w:val="009637A8"/>
    <w:pPr>
      <w:spacing w:after="0" w:line="240" w:lineRule="auto"/>
    </w:pPr>
    <w:tblPr>
      <w:tblStyleRowBandSize w:val="1"/>
      <w:tblStyleColBandSize w:val="1"/>
    </w:tblPr>
    <w:tblStylePr w:type="firstRow">
      <w:rPr>
        <w:b/>
        <w:bCs/>
      </w:rPr>
      <w:tblPr/>
      <w:tcPr>
        <w:tcBorders>
          <w:bottom w:val="single" w:sz="4" w:space="0" w:color="2CB8FF" w:themeColor="accent4" w:themeTint="99"/>
        </w:tcBorders>
      </w:tcPr>
    </w:tblStylePr>
    <w:tblStylePr w:type="lastRow">
      <w:rPr>
        <w:b/>
        <w:bCs/>
      </w:rPr>
      <w:tblPr/>
      <w:tcPr>
        <w:tcBorders>
          <w:top w:val="single" w:sz="4" w:space="0" w:color="2CB8FF" w:themeColor="accent4" w:themeTint="99"/>
        </w:tcBorders>
      </w:tcPr>
    </w:tblStylePr>
    <w:tblStylePr w:type="firstCol">
      <w:rPr>
        <w:b/>
        <w:bCs/>
      </w:rPr>
    </w:tblStylePr>
    <w:tblStylePr w:type="lastCol">
      <w:rPr>
        <w:b/>
        <w:bCs/>
      </w:rPr>
    </w:tblStylePr>
    <w:tblStylePr w:type="band1Vert">
      <w:tblPr/>
      <w:tcPr>
        <w:shd w:val="clear" w:color="auto" w:fill="B8E7FF" w:themeFill="accent4" w:themeFillTint="33"/>
      </w:tcPr>
    </w:tblStylePr>
    <w:tblStylePr w:type="band1Horz">
      <w:tblPr/>
      <w:tcPr>
        <w:shd w:val="clear" w:color="auto" w:fill="B8E7FF" w:themeFill="accent4" w:themeFillTint="33"/>
      </w:tcPr>
    </w:tblStylePr>
  </w:style>
  <w:style w:type="table" w:styleId="ListTable1Light-Accent5">
    <w:name w:val="List Table 1 Light Accent 5"/>
    <w:basedOn w:val="TableNormal"/>
    <w:uiPriority w:val="46"/>
    <w:rsid w:val="009637A8"/>
    <w:pPr>
      <w:spacing w:after="0" w:line="240" w:lineRule="auto"/>
    </w:pPr>
    <w:tblPr>
      <w:tblStyleRowBandSize w:val="1"/>
      <w:tblStyleColBandSize w:val="1"/>
    </w:tblPr>
    <w:tblStylePr w:type="firstRow">
      <w:rPr>
        <w:b/>
        <w:bCs/>
      </w:rPr>
      <w:tblPr/>
      <w:tcPr>
        <w:tcBorders>
          <w:bottom w:val="single" w:sz="4" w:space="0" w:color="AFD7E6" w:themeColor="accent5" w:themeTint="99"/>
        </w:tcBorders>
      </w:tcPr>
    </w:tblStylePr>
    <w:tblStylePr w:type="lastRow">
      <w:rPr>
        <w:b/>
        <w:bCs/>
      </w:rPr>
      <w:tblPr/>
      <w:tcPr>
        <w:tcBorders>
          <w:top w:val="single" w:sz="4" w:space="0" w:color="AFD7E6" w:themeColor="accent5" w:themeTint="99"/>
        </w:tcBorders>
      </w:tcPr>
    </w:tblStylePr>
    <w:tblStylePr w:type="firstCol">
      <w:rPr>
        <w:b/>
        <w:bCs/>
      </w:rPr>
    </w:tblStylePr>
    <w:tblStylePr w:type="lastCol">
      <w:rPr>
        <w:b/>
        <w:bCs/>
      </w:rPr>
    </w:tblStylePr>
    <w:tblStylePr w:type="band1Vert">
      <w:tblPr/>
      <w:tcPr>
        <w:shd w:val="clear" w:color="auto" w:fill="E4F1F6" w:themeFill="accent5" w:themeFillTint="33"/>
      </w:tcPr>
    </w:tblStylePr>
    <w:tblStylePr w:type="band1Horz">
      <w:tblPr/>
      <w:tcPr>
        <w:shd w:val="clear" w:color="auto" w:fill="E4F1F6" w:themeFill="accent5" w:themeFillTint="33"/>
      </w:tcPr>
    </w:tblStylePr>
  </w:style>
  <w:style w:type="table" w:styleId="ListTable1Light-Accent6">
    <w:name w:val="List Table 1 Light Accent 6"/>
    <w:basedOn w:val="TableNormal"/>
    <w:uiPriority w:val="46"/>
    <w:rsid w:val="009637A8"/>
    <w:pPr>
      <w:spacing w:after="0" w:line="240" w:lineRule="auto"/>
    </w:pPr>
    <w:tblPr>
      <w:tblStyleRowBandSize w:val="1"/>
      <w:tblStyleColBandSize w:val="1"/>
    </w:tblPr>
    <w:tblStylePr w:type="firstRow">
      <w:rPr>
        <w:b/>
        <w:bCs/>
      </w:rPr>
      <w:tblPr/>
      <w:tcPr>
        <w:tcBorders>
          <w:bottom w:val="single" w:sz="4" w:space="0" w:color="83C590" w:themeColor="accent6" w:themeTint="99"/>
        </w:tcBorders>
      </w:tcPr>
    </w:tblStylePr>
    <w:tblStylePr w:type="lastRow">
      <w:rPr>
        <w:b/>
        <w:bCs/>
      </w:rPr>
      <w:tblPr/>
      <w:tcPr>
        <w:tcBorders>
          <w:top w:val="single" w:sz="4" w:space="0" w:color="83C590" w:themeColor="accent6" w:themeTint="99"/>
        </w:tcBorders>
      </w:tcPr>
    </w:tblStylePr>
    <w:tblStylePr w:type="firstCol">
      <w:rPr>
        <w:b/>
        <w:bCs/>
      </w:rPr>
    </w:tblStylePr>
    <w:tblStylePr w:type="lastCol">
      <w:rPr>
        <w:b/>
        <w:bCs/>
      </w:rPr>
    </w:tblStylePr>
    <w:tblStylePr w:type="band1Vert">
      <w:tblPr/>
      <w:tcPr>
        <w:shd w:val="clear" w:color="auto" w:fill="D5EBDA" w:themeFill="accent6" w:themeFillTint="33"/>
      </w:tcPr>
    </w:tblStylePr>
    <w:tblStylePr w:type="band1Horz">
      <w:tblPr/>
      <w:tcPr>
        <w:shd w:val="clear" w:color="auto" w:fill="D5EBDA" w:themeFill="accent6" w:themeFillTint="33"/>
      </w:tcPr>
    </w:tblStylePr>
  </w:style>
  <w:style w:type="table" w:styleId="ListTable2">
    <w:name w:val="List Table 2"/>
    <w:basedOn w:val="TableNormal"/>
    <w:uiPriority w:val="47"/>
    <w:rsid w:val="009637A8"/>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9637A8"/>
    <w:pPr>
      <w:spacing w:after="0" w:line="240" w:lineRule="auto"/>
    </w:pPr>
    <w:tblPr>
      <w:tblStyleRowBandSize w:val="1"/>
      <w:tblStyleColBandSize w:val="1"/>
      <w:tblBorders>
        <w:top w:val="single" w:sz="4" w:space="0" w:color="C4B5D8" w:themeColor="accent1" w:themeTint="99"/>
        <w:bottom w:val="single" w:sz="4" w:space="0" w:color="C4B5D8" w:themeColor="accent1" w:themeTint="99"/>
        <w:insideH w:val="single" w:sz="4" w:space="0" w:color="C4B5D8"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BE6F2" w:themeFill="accent1" w:themeFillTint="33"/>
      </w:tcPr>
    </w:tblStylePr>
    <w:tblStylePr w:type="band1Horz">
      <w:tblPr/>
      <w:tcPr>
        <w:shd w:val="clear" w:color="auto" w:fill="EBE6F2" w:themeFill="accent1" w:themeFillTint="33"/>
      </w:tcPr>
    </w:tblStylePr>
  </w:style>
  <w:style w:type="table" w:styleId="ListTable2-Accent2">
    <w:name w:val="List Table 2 Accent 2"/>
    <w:basedOn w:val="TableNormal"/>
    <w:uiPriority w:val="47"/>
    <w:rsid w:val="009637A8"/>
    <w:pPr>
      <w:spacing w:after="0" w:line="240" w:lineRule="auto"/>
    </w:pPr>
    <w:tblPr>
      <w:tblStyleRowBandSize w:val="1"/>
      <w:tblStyleColBandSize w:val="1"/>
      <w:tblBorders>
        <w:top w:val="single" w:sz="4" w:space="0" w:color="B1B1B1" w:themeColor="accent2" w:themeTint="99"/>
        <w:bottom w:val="single" w:sz="4" w:space="0" w:color="B1B1B1" w:themeColor="accent2" w:themeTint="99"/>
        <w:insideH w:val="single" w:sz="4" w:space="0" w:color="B1B1B1"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5E5" w:themeFill="accent2" w:themeFillTint="33"/>
      </w:tcPr>
    </w:tblStylePr>
    <w:tblStylePr w:type="band1Horz">
      <w:tblPr/>
      <w:tcPr>
        <w:shd w:val="clear" w:color="auto" w:fill="E5E5E5" w:themeFill="accent2" w:themeFillTint="33"/>
      </w:tcPr>
    </w:tblStylePr>
  </w:style>
  <w:style w:type="table" w:styleId="ListTable2-Accent3">
    <w:name w:val="List Table 2 Accent 3"/>
    <w:basedOn w:val="TableNormal"/>
    <w:uiPriority w:val="47"/>
    <w:rsid w:val="009637A8"/>
    <w:pPr>
      <w:spacing w:after="0" w:line="240" w:lineRule="auto"/>
    </w:pPr>
    <w:tblPr>
      <w:tblStyleRowBandSize w:val="1"/>
      <w:tblStyleColBandSize w:val="1"/>
      <w:tblBorders>
        <w:top w:val="single" w:sz="4" w:space="0" w:color="DEDEDE" w:themeColor="accent3" w:themeTint="99"/>
        <w:bottom w:val="single" w:sz="4" w:space="0" w:color="DEDEDE" w:themeColor="accent3" w:themeTint="99"/>
        <w:insideH w:val="single" w:sz="4" w:space="0" w:color="DEDEDE"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F4F4" w:themeFill="accent3" w:themeFillTint="33"/>
      </w:tcPr>
    </w:tblStylePr>
    <w:tblStylePr w:type="band1Horz">
      <w:tblPr/>
      <w:tcPr>
        <w:shd w:val="clear" w:color="auto" w:fill="F4F4F4" w:themeFill="accent3" w:themeFillTint="33"/>
      </w:tcPr>
    </w:tblStylePr>
  </w:style>
  <w:style w:type="table" w:styleId="ListTable2-Accent4">
    <w:name w:val="List Table 2 Accent 4"/>
    <w:basedOn w:val="TableNormal"/>
    <w:uiPriority w:val="47"/>
    <w:rsid w:val="009637A8"/>
    <w:pPr>
      <w:spacing w:after="0" w:line="240" w:lineRule="auto"/>
    </w:pPr>
    <w:tblPr>
      <w:tblStyleRowBandSize w:val="1"/>
      <w:tblStyleColBandSize w:val="1"/>
      <w:tblBorders>
        <w:top w:val="single" w:sz="4" w:space="0" w:color="2CB8FF" w:themeColor="accent4" w:themeTint="99"/>
        <w:bottom w:val="single" w:sz="4" w:space="0" w:color="2CB8FF" w:themeColor="accent4" w:themeTint="99"/>
        <w:insideH w:val="single" w:sz="4" w:space="0" w:color="2CB8FF"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8E7FF" w:themeFill="accent4" w:themeFillTint="33"/>
      </w:tcPr>
    </w:tblStylePr>
    <w:tblStylePr w:type="band1Horz">
      <w:tblPr/>
      <w:tcPr>
        <w:shd w:val="clear" w:color="auto" w:fill="B8E7FF" w:themeFill="accent4" w:themeFillTint="33"/>
      </w:tcPr>
    </w:tblStylePr>
  </w:style>
  <w:style w:type="table" w:styleId="ListTable2-Accent5">
    <w:name w:val="List Table 2 Accent 5"/>
    <w:basedOn w:val="TableNormal"/>
    <w:uiPriority w:val="47"/>
    <w:rsid w:val="009637A8"/>
    <w:pPr>
      <w:spacing w:after="0" w:line="240" w:lineRule="auto"/>
    </w:pPr>
    <w:tblPr>
      <w:tblStyleRowBandSize w:val="1"/>
      <w:tblStyleColBandSize w:val="1"/>
      <w:tblBorders>
        <w:top w:val="single" w:sz="4" w:space="0" w:color="AFD7E6" w:themeColor="accent5" w:themeTint="99"/>
        <w:bottom w:val="single" w:sz="4" w:space="0" w:color="AFD7E6" w:themeColor="accent5" w:themeTint="99"/>
        <w:insideH w:val="single" w:sz="4" w:space="0" w:color="AFD7E6"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4F1F6" w:themeFill="accent5" w:themeFillTint="33"/>
      </w:tcPr>
    </w:tblStylePr>
    <w:tblStylePr w:type="band1Horz">
      <w:tblPr/>
      <w:tcPr>
        <w:shd w:val="clear" w:color="auto" w:fill="E4F1F6" w:themeFill="accent5" w:themeFillTint="33"/>
      </w:tcPr>
    </w:tblStylePr>
  </w:style>
  <w:style w:type="table" w:styleId="ListTable2-Accent6">
    <w:name w:val="List Table 2 Accent 6"/>
    <w:basedOn w:val="TableNormal"/>
    <w:uiPriority w:val="47"/>
    <w:rsid w:val="009637A8"/>
    <w:pPr>
      <w:spacing w:after="0" w:line="240" w:lineRule="auto"/>
    </w:pPr>
    <w:tblPr>
      <w:tblStyleRowBandSize w:val="1"/>
      <w:tblStyleColBandSize w:val="1"/>
      <w:tblBorders>
        <w:top w:val="single" w:sz="4" w:space="0" w:color="83C590" w:themeColor="accent6" w:themeTint="99"/>
        <w:bottom w:val="single" w:sz="4" w:space="0" w:color="83C590" w:themeColor="accent6" w:themeTint="99"/>
        <w:insideH w:val="single" w:sz="4" w:space="0" w:color="83C590"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5EBDA" w:themeFill="accent6" w:themeFillTint="33"/>
      </w:tcPr>
    </w:tblStylePr>
    <w:tblStylePr w:type="band1Horz">
      <w:tblPr/>
      <w:tcPr>
        <w:shd w:val="clear" w:color="auto" w:fill="D5EBDA" w:themeFill="accent6" w:themeFillTint="33"/>
      </w:tcPr>
    </w:tblStylePr>
  </w:style>
  <w:style w:type="table" w:styleId="ListTable3">
    <w:name w:val="List Table 3"/>
    <w:basedOn w:val="TableNormal"/>
    <w:uiPriority w:val="48"/>
    <w:rsid w:val="009637A8"/>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9637A8"/>
    <w:pPr>
      <w:spacing w:after="0" w:line="240" w:lineRule="auto"/>
    </w:pPr>
    <w:tblPr>
      <w:tblStyleRowBandSize w:val="1"/>
      <w:tblStyleColBandSize w:val="1"/>
      <w:tblBorders>
        <w:top w:val="single" w:sz="4" w:space="0" w:color="9D85BE" w:themeColor="accent1"/>
        <w:left w:val="single" w:sz="4" w:space="0" w:color="9D85BE" w:themeColor="accent1"/>
        <w:bottom w:val="single" w:sz="4" w:space="0" w:color="9D85BE" w:themeColor="accent1"/>
        <w:right w:val="single" w:sz="4" w:space="0" w:color="9D85BE" w:themeColor="accent1"/>
      </w:tblBorders>
    </w:tblPr>
    <w:tblStylePr w:type="firstRow">
      <w:rPr>
        <w:b/>
        <w:bCs/>
        <w:color w:val="FFFFFF" w:themeColor="background1"/>
      </w:rPr>
      <w:tblPr/>
      <w:tcPr>
        <w:shd w:val="clear" w:color="auto" w:fill="9D85BE" w:themeFill="accent1"/>
      </w:tcPr>
    </w:tblStylePr>
    <w:tblStylePr w:type="lastRow">
      <w:rPr>
        <w:b/>
        <w:bCs/>
      </w:rPr>
      <w:tblPr/>
      <w:tcPr>
        <w:tcBorders>
          <w:top w:val="double" w:sz="4" w:space="0" w:color="9D85BE"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D85BE" w:themeColor="accent1"/>
          <w:right w:val="single" w:sz="4" w:space="0" w:color="9D85BE" w:themeColor="accent1"/>
        </w:tcBorders>
      </w:tcPr>
    </w:tblStylePr>
    <w:tblStylePr w:type="band1Horz">
      <w:tblPr/>
      <w:tcPr>
        <w:tcBorders>
          <w:top w:val="single" w:sz="4" w:space="0" w:color="9D85BE" w:themeColor="accent1"/>
          <w:bottom w:val="single" w:sz="4" w:space="0" w:color="9D85BE"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D85BE" w:themeColor="accent1"/>
          <w:left w:val="nil"/>
        </w:tcBorders>
      </w:tcPr>
    </w:tblStylePr>
    <w:tblStylePr w:type="swCell">
      <w:tblPr/>
      <w:tcPr>
        <w:tcBorders>
          <w:top w:val="double" w:sz="4" w:space="0" w:color="9D85BE" w:themeColor="accent1"/>
          <w:right w:val="nil"/>
        </w:tcBorders>
      </w:tcPr>
    </w:tblStylePr>
  </w:style>
  <w:style w:type="table" w:styleId="ListTable3-Accent2">
    <w:name w:val="List Table 3 Accent 2"/>
    <w:basedOn w:val="TableNormal"/>
    <w:uiPriority w:val="48"/>
    <w:rsid w:val="009637A8"/>
    <w:pPr>
      <w:spacing w:after="0" w:line="240" w:lineRule="auto"/>
    </w:pPr>
    <w:tblPr>
      <w:tblStyleRowBandSize w:val="1"/>
      <w:tblStyleColBandSize w:val="1"/>
      <w:tblBorders>
        <w:top w:val="single" w:sz="4" w:space="0" w:color="7D7D7D" w:themeColor="accent2"/>
        <w:left w:val="single" w:sz="4" w:space="0" w:color="7D7D7D" w:themeColor="accent2"/>
        <w:bottom w:val="single" w:sz="4" w:space="0" w:color="7D7D7D" w:themeColor="accent2"/>
        <w:right w:val="single" w:sz="4" w:space="0" w:color="7D7D7D" w:themeColor="accent2"/>
      </w:tblBorders>
    </w:tblPr>
    <w:tblStylePr w:type="firstRow">
      <w:rPr>
        <w:b/>
        <w:bCs/>
        <w:color w:val="FFFFFF" w:themeColor="background1"/>
      </w:rPr>
      <w:tblPr/>
      <w:tcPr>
        <w:shd w:val="clear" w:color="auto" w:fill="7D7D7D" w:themeFill="accent2"/>
      </w:tcPr>
    </w:tblStylePr>
    <w:tblStylePr w:type="lastRow">
      <w:rPr>
        <w:b/>
        <w:bCs/>
      </w:rPr>
      <w:tblPr/>
      <w:tcPr>
        <w:tcBorders>
          <w:top w:val="double" w:sz="4" w:space="0" w:color="7D7D7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D7D7D" w:themeColor="accent2"/>
          <w:right w:val="single" w:sz="4" w:space="0" w:color="7D7D7D" w:themeColor="accent2"/>
        </w:tcBorders>
      </w:tcPr>
    </w:tblStylePr>
    <w:tblStylePr w:type="band1Horz">
      <w:tblPr/>
      <w:tcPr>
        <w:tcBorders>
          <w:top w:val="single" w:sz="4" w:space="0" w:color="7D7D7D" w:themeColor="accent2"/>
          <w:bottom w:val="single" w:sz="4" w:space="0" w:color="7D7D7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D7D7D" w:themeColor="accent2"/>
          <w:left w:val="nil"/>
        </w:tcBorders>
      </w:tcPr>
    </w:tblStylePr>
    <w:tblStylePr w:type="swCell">
      <w:tblPr/>
      <w:tcPr>
        <w:tcBorders>
          <w:top w:val="double" w:sz="4" w:space="0" w:color="7D7D7D" w:themeColor="accent2"/>
          <w:right w:val="nil"/>
        </w:tcBorders>
      </w:tcPr>
    </w:tblStylePr>
  </w:style>
  <w:style w:type="table" w:styleId="ListTable3-Accent3">
    <w:name w:val="List Table 3 Accent 3"/>
    <w:basedOn w:val="TableNormal"/>
    <w:uiPriority w:val="48"/>
    <w:rsid w:val="009637A8"/>
    <w:pPr>
      <w:spacing w:after="0" w:line="240" w:lineRule="auto"/>
    </w:pPr>
    <w:tblPr>
      <w:tblStyleRowBandSize w:val="1"/>
      <w:tblStyleColBandSize w:val="1"/>
      <w:tblBorders>
        <w:top w:val="single" w:sz="4" w:space="0" w:color="C8C8C8" w:themeColor="accent3"/>
        <w:left w:val="single" w:sz="4" w:space="0" w:color="C8C8C8" w:themeColor="accent3"/>
        <w:bottom w:val="single" w:sz="4" w:space="0" w:color="C8C8C8" w:themeColor="accent3"/>
        <w:right w:val="single" w:sz="4" w:space="0" w:color="C8C8C8" w:themeColor="accent3"/>
      </w:tblBorders>
    </w:tblPr>
    <w:tblStylePr w:type="firstRow">
      <w:rPr>
        <w:b/>
        <w:bCs/>
        <w:color w:val="FFFFFF" w:themeColor="background1"/>
      </w:rPr>
      <w:tblPr/>
      <w:tcPr>
        <w:shd w:val="clear" w:color="auto" w:fill="C8C8C8" w:themeFill="accent3"/>
      </w:tcPr>
    </w:tblStylePr>
    <w:tblStylePr w:type="lastRow">
      <w:rPr>
        <w:b/>
        <w:bCs/>
      </w:rPr>
      <w:tblPr/>
      <w:tcPr>
        <w:tcBorders>
          <w:top w:val="double" w:sz="4" w:space="0" w:color="C8C8C8"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8C8C8" w:themeColor="accent3"/>
          <w:right w:val="single" w:sz="4" w:space="0" w:color="C8C8C8" w:themeColor="accent3"/>
        </w:tcBorders>
      </w:tcPr>
    </w:tblStylePr>
    <w:tblStylePr w:type="band1Horz">
      <w:tblPr/>
      <w:tcPr>
        <w:tcBorders>
          <w:top w:val="single" w:sz="4" w:space="0" w:color="C8C8C8" w:themeColor="accent3"/>
          <w:bottom w:val="single" w:sz="4" w:space="0" w:color="C8C8C8"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8C8C8" w:themeColor="accent3"/>
          <w:left w:val="nil"/>
        </w:tcBorders>
      </w:tcPr>
    </w:tblStylePr>
    <w:tblStylePr w:type="swCell">
      <w:tblPr/>
      <w:tcPr>
        <w:tcBorders>
          <w:top w:val="double" w:sz="4" w:space="0" w:color="C8C8C8" w:themeColor="accent3"/>
          <w:right w:val="nil"/>
        </w:tcBorders>
      </w:tcPr>
    </w:tblStylePr>
  </w:style>
  <w:style w:type="table" w:styleId="ListTable3-Accent4">
    <w:name w:val="List Table 3 Accent 4"/>
    <w:basedOn w:val="TableNormal"/>
    <w:uiPriority w:val="48"/>
    <w:rsid w:val="009637A8"/>
    <w:pPr>
      <w:spacing w:after="0" w:line="240" w:lineRule="auto"/>
    </w:pPr>
    <w:tblPr>
      <w:tblStyleRowBandSize w:val="1"/>
      <w:tblStyleColBandSize w:val="1"/>
      <w:tblBorders>
        <w:top w:val="single" w:sz="4" w:space="0" w:color="006A9F" w:themeColor="accent4"/>
        <w:left w:val="single" w:sz="4" w:space="0" w:color="006A9F" w:themeColor="accent4"/>
        <w:bottom w:val="single" w:sz="4" w:space="0" w:color="006A9F" w:themeColor="accent4"/>
        <w:right w:val="single" w:sz="4" w:space="0" w:color="006A9F" w:themeColor="accent4"/>
      </w:tblBorders>
    </w:tblPr>
    <w:tblStylePr w:type="firstRow">
      <w:rPr>
        <w:b/>
        <w:bCs/>
        <w:color w:val="FFFFFF" w:themeColor="background1"/>
      </w:rPr>
      <w:tblPr/>
      <w:tcPr>
        <w:shd w:val="clear" w:color="auto" w:fill="006A9F" w:themeFill="accent4"/>
      </w:tcPr>
    </w:tblStylePr>
    <w:tblStylePr w:type="lastRow">
      <w:rPr>
        <w:b/>
        <w:bCs/>
      </w:rPr>
      <w:tblPr/>
      <w:tcPr>
        <w:tcBorders>
          <w:top w:val="double" w:sz="4" w:space="0" w:color="006A9F"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6A9F" w:themeColor="accent4"/>
          <w:right w:val="single" w:sz="4" w:space="0" w:color="006A9F" w:themeColor="accent4"/>
        </w:tcBorders>
      </w:tcPr>
    </w:tblStylePr>
    <w:tblStylePr w:type="band1Horz">
      <w:tblPr/>
      <w:tcPr>
        <w:tcBorders>
          <w:top w:val="single" w:sz="4" w:space="0" w:color="006A9F" w:themeColor="accent4"/>
          <w:bottom w:val="single" w:sz="4" w:space="0" w:color="006A9F"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6A9F" w:themeColor="accent4"/>
          <w:left w:val="nil"/>
        </w:tcBorders>
      </w:tcPr>
    </w:tblStylePr>
    <w:tblStylePr w:type="swCell">
      <w:tblPr/>
      <w:tcPr>
        <w:tcBorders>
          <w:top w:val="double" w:sz="4" w:space="0" w:color="006A9F" w:themeColor="accent4"/>
          <w:right w:val="nil"/>
        </w:tcBorders>
      </w:tcPr>
    </w:tblStylePr>
  </w:style>
  <w:style w:type="table" w:styleId="ListTable3-Accent5">
    <w:name w:val="List Table 3 Accent 5"/>
    <w:basedOn w:val="TableNormal"/>
    <w:uiPriority w:val="48"/>
    <w:rsid w:val="009637A8"/>
    <w:pPr>
      <w:spacing w:after="0" w:line="240" w:lineRule="auto"/>
    </w:pPr>
    <w:tblPr>
      <w:tblStyleRowBandSize w:val="1"/>
      <w:tblStyleColBandSize w:val="1"/>
      <w:tblBorders>
        <w:top w:val="single" w:sz="4" w:space="0" w:color="7BBDD6" w:themeColor="accent5"/>
        <w:left w:val="single" w:sz="4" w:space="0" w:color="7BBDD6" w:themeColor="accent5"/>
        <w:bottom w:val="single" w:sz="4" w:space="0" w:color="7BBDD6" w:themeColor="accent5"/>
        <w:right w:val="single" w:sz="4" w:space="0" w:color="7BBDD6" w:themeColor="accent5"/>
      </w:tblBorders>
    </w:tblPr>
    <w:tblStylePr w:type="firstRow">
      <w:rPr>
        <w:b/>
        <w:bCs/>
        <w:color w:val="FFFFFF" w:themeColor="background1"/>
      </w:rPr>
      <w:tblPr/>
      <w:tcPr>
        <w:shd w:val="clear" w:color="auto" w:fill="7BBDD6" w:themeFill="accent5"/>
      </w:tcPr>
    </w:tblStylePr>
    <w:tblStylePr w:type="lastRow">
      <w:rPr>
        <w:b/>
        <w:bCs/>
      </w:rPr>
      <w:tblPr/>
      <w:tcPr>
        <w:tcBorders>
          <w:top w:val="double" w:sz="4" w:space="0" w:color="7BBDD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BBDD6" w:themeColor="accent5"/>
          <w:right w:val="single" w:sz="4" w:space="0" w:color="7BBDD6" w:themeColor="accent5"/>
        </w:tcBorders>
      </w:tcPr>
    </w:tblStylePr>
    <w:tblStylePr w:type="band1Horz">
      <w:tblPr/>
      <w:tcPr>
        <w:tcBorders>
          <w:top w:val="single" w:sz="4" w:space="0" w:color="7BBDD6" w:themeColor="accent5"/>
          <w:bottom w:val="single" w:sz="4" w:space="0" w:color="7BBDD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BBDD6" w:themeColor="accent5"/>
          <w:left w:val="nil"/>
        </w:tcBorders>
      </w:tcPr>
    </w:tblStylePr>
    <w:tblStylePr w:type="swCell">
      <w:tblPr/>
      <w:tcPr>
        <w:tcBorders>
          <w:top w:val="double" w:sz="4" w:space="0" w:color="7BBDD6" w:themeColor="accent5"/>
          <w:right w:val="nil"/>
        </w:tcBorders>
      </w:tcPr>
    </w:tblStylePr>
  </w:style>
  <w:style w:type="table" w:styleId="ListTable3-Accent6">
    <w:name w:val="List Table 3 Accent 6"/>
    <w:basedOn w:val="TableNormal"/>
    <w:uiPriority w:val="48"/>
    <w:rsid w:val="009637A8"/>
    <w:pPr>
      <w:spacing w:after="0" w:line="240" w:lineRule="auto"/>
    </w:pPr>
    <w:tblPr>
      <w:tblStyleRowBandSize w:val="1"/>
      <w:tblStyleColBandSize w:val="1"/>
      <w:tblBorders>
        <w:top w:val="single" w:sz="4" w:space="0" w:color="428D52" w:themeColor="accent6"/>
        <w:left w:val="single" w:sz="4" w:space="0" w:color="428D52" w:themeColor="accent6"/>
        <w:bottom w:val="single" w:sz="4" w:space="0" w:color="428D52" w:themeColor="accent6"/>
        <w:right w:val="single" w:sz="4" w:space="0" w:color="428D52" w:themeColor="accent6"/>
      </w:tblBorders>
    </w:tblPr>
    <w:tblStylePr w:type="firstRow">
      <w:rPr>
        <w:b/>
        <w:bCs/>
        <w:color w:val="FFFFFF" w:themeColor="background1"/>
      </w:rPr>
      <w:tblPr/>
      <w:tcPr>
        <w:shd w:val="clear" w:color="auto" w:fill="428D52" w:themeFill="accent6"/>
      </w:tcPr>
    </w:tblStylePr>
    <w:tblStylePr w:type="lastRow">
      <w:rPr>
        <w:b/>
        <w:bCs/>
      </w:rPr>
      <w:tblPr/>
      <w:tcPr>
        <w:tcBorders>
          <w:top w:val="double" w:sz="4" w:space="0" w:color="428D52"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28D52" w:themeColor="accent6"/>
          <w:right w:val="single" w:sz="4" w:space="0" w:color="428D52" w:themeColor="accent6"/>
        </w:tcBorders>
      </w:tcPr>
    </w:tblStylePr>
    <w:tblStylePr w:type="band1Horz">
      <w:tblPr/>
      <w:tcPr>
        <w:tcBorders>
          <w:top w:val="single" w:sz="4" w:space="0" w:color="428D52" w:themeColor="accent6"/>
          <w:bottom w:val="single" w:sz="4" w:space="0" w:color="428D52"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28D52" w:themeColor="accent6"/>
          <w:left w:val="nil"/>
        </w:tcBorders>
      </w:tcPr>
    </w:tblStylePr>
    <w:tblStylePr w:type="swCell">
      <w:tblPr/>
      <w:tcPr>
        <w:tcBorders>
          <w:top w:val="double" w:sz="4" w:space="0" w:color="428D52" w:themeColor="accent6"/>
          <w:right w:val="nil"/>
        </w:tcBorders>
      </w:tcPr>
    </w:tblStylePr>
  </w:style>
  <w:style w:type="table" w:styleId="ListTable4">
    <w:name w:val="List Table 4"/>
    <w:basedOn w:val="TableNormal"/>
    <w:uiPriority w:val="49"/>
    <w:rsid w:val="009637A8"/>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9637A8"/>
    <w:pPr>
      <w:spacing w:after="0" w:line="240" w:lineRule="auto"/>
    </w:pPr>
    <w:tblPr>
      <w:tblStyleRowBandSize w:val="1"/>
      <w:tblStyleColBandSize w:val="1"/>
      <w:tblBorders>
        <w:top w:val="single" w:sz="4" w:space="0" w:color="C4B5D8" w:themeColor="accent1" w:themeTint="99"/>
        <w:left w:val="single" w:sz="4" w:space="0" w:color="C4B5D8" w:themeColor="accent1" w:themeTint="99"/>
        <w:bottom w:val="single" w:sz="4" w:space="0" w:color="C4B5D8" w:themeColor="accent1" w:themeTint="99"/>
        <w:right w:val="single" w:sz="4" w:space="0" w:color="C4B5D8" w:themeColor="accent1" w:themeTint="99"/>
        <w:insideH w:val="single" w:sz="4" w:space="0" w:color="C4B5D8" w:themeColor="accent1" w:themeTint="99"/>
      </w:tblBorders>
    </w:tblPr>
    <w:tblStylePr w:type="firstRow">
      <w:rPr>
        <w:b/>
        <w:bCs/>
        <w:color w:val="FFFFFF" w:themeColor="background1"/>
      </w:rPr>
      <w:tblPr/>
      <w:tcPr>
        <w:tcBorders>
          <w:top w:val="single" w:sz="4" w:space="0" w:color="9D85BE" w:themeColor="accent1"/>
          <w:left w:val="single" w:sz="4" w:space="0" w:color="9D85BE" w:themeColor="accent1"/>
          <w:bottom w:val="single" w:sz="4" w:space="0" w:color="9D85BE" w:themeColor="accent1"/>
          <w:right w:val="single" w:sz="4" w:space="0" w:color="9D85BE" w:themeColor="accent1"/>
          <w:insideH w:val="nil"/>
        </w:tcBorders>
        <w:shd w:val="clear" w:color="auto" w:fill="9D85BE" w:themeFill="accent1"/>
      </w:tcPr>
    </w:tblStylePr>
    <w:tblStylePr w:type="lastRow">
      <w:rPr>
        <w:b/>
        <w:bCs/>
      </w:rPr>
      <w:tblPr/>
      <w:tcPr>
        <w:tcBorders>
          <w:top w:val="double" w:sz="4" w:space="0" w:color="C4B5D8" w:themeColor="accent1" w:themeTint="99"/>
        </w:tcBorders>
      </w:tcPr>
    </w:tblStylePr>
    <w:tblStylePr w:type="firstCol">
      <w:rPr>
        <w:b/>
        <w:bCs/>
      </w:rPr>
    </w:tblStylePr>
    <w:tblStylePr w:type="lastCol">
      <w:rPr>
        <w:b/>
        <w:bCs/>
      </w:rPr>
    </w:tblStylePr>
    <w:tblStylePr w:type="band1Vert">
      <w:tblPr/>
      <w:tcPr>
        <w:shd w:val="clear" w:color="auto" w:fill="EBE6F2" w:themeFill="accent1" w:themeFillTint="33"/>
      </w:tcPr>
    </w:tblStylePr>
    <w:tblStylePr w:type="band1Horz">
      <w:tblPr/>
      <w:tcPr>
        <w:shd w:val="clear" w:color="auto" w:fill="EBE6F2" w:themeFill="accent1" w:themeFillTint="33"/>
      </w:tcPr>
    </w:tblStylePr>
  </w:style>
  <w:style w:type="table" w:styleId="ListTable4-Accent2">
    <w:name w:val="List Table 4 Accent 2"/>
    <w:basedOn w:val="TableNormal"/>
    <w:uiPriority w:val="49"/>
    <w:rsid w:val="009637A8"/>
    <w:pPr>
      <w:spacing w:after="0" w:line="240" w:lineRule="auto"/>
    </w:pPr>
    <w:tblPr>
      <w:tblStyleRowBandSize w:val="1"/>
      <w:tblStyleColBandSize w:val="1"/>
      <w:tblBorders>
        <w:top w:val="single" w:sz="4" w:space="0" w:color="B1B1B1" w:themeColor="accent2" w:themeTint="99"/>
        <w:left w:val="single" w:sz="4" w:space="0" w:color="B1B1B1" w:themeColor="accent2" w:themeTint="99"/>
        <w:bottom w:val="single" w:sz="4" w:space="0" w:color="B1B1B1" w:themeColor="accent2" w:themeTint="99"/>
        <w:right w:val="single" w:sz="4" w:space="0" w:color="B1B1B1" w:themeColor="accent2" w:themeTint="99"/>
        <w:insideH w:val="single" w:sz="4" w:space="0" w:color="B1B1B1" w:themeColor="accent2" w:themeTint="99"/>
      </w:tblBorders>
    </w:tblPr>
    <w:tblStylePr w:type="firstRow">
      <w:rPr>
        <w:b/>
        <w:bCs/>
        <w:color w:val="FFFFFF" w:themeColor="background1"/>
      </w:rPr>
      <w:tblPr/>
      <w:tcPr>
        <w:tcBorders>
          <w:top w:val="single" w:sz="4" w:space="0" w:color="7D7D7D" w:themeColor="accent2"/>
          <w:left w:val="single" w:sz="4" w:space="0" w:color="7D7D7D" w:themeColor="accent2"/>
          <w:bottom w:val="single" w:sz="4" w:space="0" w:color="7D7D7D" w:themeColor="accent2"/>
          <w:right w:val="single" w:sz="4" w:space="0" w:color="7D7D7D" w:themeColor="accent2"/>
          <w:insideH w:val="nil"/>
        </w:tcBorders>
        <w:shd w:val="clear" w:color="auto" w:fill="7D7D7D" w:themeFill="accent2"/>
      </w:tcPr>
    </w:tblStylePr>
    <w:tblStylePr w:type="lastRow">
      <w:rPr>
        <w:b/>
        <w:bCs/>
      </w:rPr>
      <w:tblPr/>
      <w:tcPr>
        <w:tcBorders>
          <w:top w:val="double" w:sz="4" w:space="0" w:color="B1B1B1" w:themeColor="accent2" w:themeTint="99"/>
        </w:tcBorders>
      </w:tcPr>
    </w:tblStylePr>
    <w:tblStylePr w:type="firstCol">
      <w:rPr>
        <w:b/>
        <w:bCs/>
      </w:rPr>
    </w:tblStylePr>
    <w:tblStylePr w:type="lastCol">
      <w:rPr>
        <w:b/>
        <w:bCs/>
      </w:rPr>
    </w:tblStylePr>
    <w:tblStylePr w:type="band1Vert">
      <w:tblPr/>
      <w:tcPr>
        <w:shd w:val="clear" w:color="auto" w:fill="E5E5E5" w:themeFill="accent2" w:themeFillTint="33"/>
      </w:tcPr>
    </w:tblStylePr>
    <w:tblStylePr w:type="band1Horz">
      <w:tblPr/>
      <w:tcPr>
        <w:shd w:val="clear" w:color="auto" w:fill="E5E5E5" w:themeFill="accent2" w:themeFillTint="33"/>
      </w:tcPr>
    </w:tblStylePr>
  </w:style>
  <w:style w:type="table" w:styleId="ListTable4-Accent3">
    <w:name w:val="List Table 4 Accent 3"/>
    <w:basedOn w:val="TableNormal"/>
    <w:uiPriority w:val="49"/>
    <w:rsid w:val="009637A8"/>
    <w:pPr>
      <w:spacing w:after="0" w:line="240" w:lineRule="auto"/>
    </w:pPr>
    <w:tblPr>
      <w:tblStyleRowBandSize w:val="1"/>
      <w:tblStyleColBandSize w:val="1"/>
      <w:tblBorders>
        <w:top w:val="single" w:sz="4" w:space="0" w:color="DEDEDE" w:themeColor="accent3" w:themeTint="99"/>
        <w:left w:val="single" w:sz="4" w:space="0" w:color="DEDEDE" w:themeColor="accent3" w:themeTint="99"/>
        <w:bottom w:val="single" w:sz="4" w:space="0" w:color="DEDEDE" w:themeColor="accent3" w:themeTint="99"/>
        <w:right w:val="single" w:sz="4" w:space="0" w:color="DEDEDE" w:themeColor="accent3" w:themeTint="99"/>
        <w:insideH w:val="single" w:sz="4" w:space="0" w:color="DEDEDE" w:themeColor="accent3" w:themeTint="99"/>
      </w:tblBorders>
    </w:tblPr>
    <w:tblStylePr w:type="firstRow">
      <w:rPr>
        <w:b/>
        <w:bCs/>
        <w:color w:val="FFFFFF" w:themeColor="background1"/>
      </w:rPr>
      <w:tblPr/>
      <w:tcPr>
        <w:tcBorders>
          <w:top w:val="single" w:sz="4" w:space="0" w:color="C8C8C8" w:themeColor="accent3"/>
          <w:left w:val="single" w:sz="4" w:space="0" w:color="C8C8C8" w:themeColor="accent3"/>
          <w:bottom w:val="single" w:sz="4" w:space="0" w:color="C8C8C8" w:themeColor="accent3"/>
          <w:right w:val="single" w:sz="4" w:space="0" w:color="C8C8C8" w:themeColor="accent3"/>
          <w:insideH w:val="nil"/>
        </w:tcBorders>
        <w:shd w:val="clear" w:color="auto" w:fill="C8C8C8" w:themeFill="accent3"/>
      </w:tcPr>
    </w:tblStylePr>
    <w:tblStylePr w:type="lastRow">
      <w:rPr>
        <w:b/>
        <w:bCs/>
      </w:rPr>
      <w:tblPr/>
      <w:tcPr>
        <w:tcBorders>
          <w:top w:val="double" w:sz="4" w:space="0" w:color="DEDEDE" w:themeColor="accent3" w:themeTint="99"/>
        </w:tcBorders>
      </w:tcPr>
    </w:tblStylePr>
    <w:tblStylePr w:type="firstCol">
      <w:rPr>
        <w:b/>
        <w:bCs/>
      </w:rPr>
    </w:tblStylePr>
    <w:tblStylePr w:type="lastCol">
      <w:rPr>
        <w:b/>
        <w:bCs/>
      </w:rPr>
    </w:tblStylePr>
    <w:tblStylePr w:type="band1Vert">
      <w:tblPr/>
      <w:tcPr>
        <w:shd w:val="clear" w:color="auto" w:fill="F4F4F4" w:themeFill="accent3" w:themeFillTint="33"/>
      </w:tcPr>
    </w:tblStylePr>
    <w:tblStylePr w:type="band1Horz">
      <w:tblPr/>
      <w:tcPr>
        <w:shd w:val="clear" w:color="auto" w:fill="F4F4F4" w:themeFill="accent3" w:themeFillTint="33"/>
      </w:tcPr>
    </w:tblStylePr>
  </w:style>
  <w:style w:type="table" w:styleId="ListTable4-Accent4">
    <w:name w:val="List Table 4 Accent 4"/>
    <w:basedOn w:val="TableNormal"/>
    <w:uiPriority w:val="49"/>
    <w:rsid w:val="009637A8"/>
    <w:pPr>
      <w:spacing w:after="0" w:line="240" w:lineRule="auto"/>
    </w:pPr>
    <w:tblPr>
      <w:tblStyleRowBandSize w:val="1"/>
      <w:tblStyleColBandSize w:val="1"/>
      <w:tblBorders>
        <w:top w:val="single" w:sz="4" w:space="0" w:color="2CB8FF" w:themeColor="accent4" w:themeTint="99"/>
        <w:left w:val="single" w:sz="4" w:space="0" w:color="2CB8FF" w:themeColor="accent4" w:themeTint="99"/>
        <w:bottom w:val="single" w:sz="4" w:space="0" w:color="2CB8FF" w:themeColor="accent4" w:themeTint="99"/>
        <w:right w:val="single" w:sz="4" w:space="0" w:color="2CB8FF" w:themeColor="accent4" w:themeTint="99"/>
        <w:insideH w:val="single" w:sz="4" w:space="0" w:color="2CB8FF" w:themeColor="accent4" w:themeTint="99"/>
      </w:tblBorders>
    </w:tblPr>
    <w:tblStylePr w:type="firstRow">
      <w:rPr>
        <w:b/>
        <w:bCs/>
        <w:color w:val="FFFFFF" w:themeColor="background1"/>
      </w:rPr>
      <w:tblPr/>
      <w:tcPr>
        <w:tcBorders>
          <w:top w:val="single" w:sz="4" w:space="0" w:color="006A9F" w:themeColor="accent4"/>
          <w:left w:val="single" w:sz="4" w:space="0" w:color="006A9F" w:themeColor="accent4"/>
          <w:bottom w:val="single" w:sz="4" w:space="0" w:color="006A9F" w:themeColor="accent4"/>
          <w:right w:val="single" w:sz="4" w:space="0" w:color="006A9F" w:themeColor="accent4"/>
          <w:insideH w:val="nil"/>
        </w:tcBorders>
        <w:shd w:val="clear" w:color="auto" w:fill="006A9F" w:themeFill="accent4"/>
      </w:tcPr>
    </w:tblStylePr>
    <w:tblStylePr w:type="lastRow">
      <w:rPr>
        <w:b/>
        <w:bCs/>
      </w:rPr>
      <w:tblPr/>
      <w:tcPr>
        <w:tcBorders>
          <w:top w:val="double" w:sz="4" w:space="0" w:color="2CB8FF" w:themeColor="accent4" w:themeTint="99"/>
        </w:tcBorders>
      </w:tcPr>
    </w:tblStylePr>
    <w:tblStylePr w:type="firstCol">
      <w:rPr>
        <w:b/>
        <w:bCs/>
      </w:rPr>
    </w:tblStylePr>
    <w:tblStylePr w:type="lastCol">
      <w:rPr>
        <w:b/>
        <w:bCs/>
      </w:rPr>
    </w:tblStylePr>
    <w:tblStylePr w:type="band1Vert">
      <w:tblPr/>
      <w:tcPr>
        <w:shd w:val="clear" w:color="auto" w:fill="B8E7FF" w:themeFill="accent4" w:themeFillTint="33"/>
      </w:tcPr>
    </w:tblStylePr>
    <w:tblStylePr w:type="band1Horz">
      <w:tblPr/>
      <w:tcPr>
        <w:shd w:val="clear" w:color="auto" w:fill="B8E7FF" w:themeFill="accent4" w:themeFillTint="33"/>
      </w:tcPr>
    </w:tblStylePr>
  </w:style>
  <w:style w:type="table" w:styleId="ListTable4-Accent5">
    <w:name w:val="List Table 4 Accent 5"/>
    <w:basedOn w:val="TableNormal"/>
    <w:uiPriority w:val="49"/>
    <w:rsid w:val="009637A8"/>
    <w:pPr>
      <w:spacing w:after="0" w:line="240" w:lineRule="auto"/>
    </w:pPr>
    <w:tblPr>
      <w:tblStyleRowBandSize w:val="1"/>
      <w:tblStyleColBandSize w:val="1"/>
      <w:tblBorders>
        <w:top w:val="single" w:sz="4" w:space="0" w:color="AFD7E6" w:themeColor="accent5" w:themeTint="99"/>
        <w:left w:val="single" w:sz="4" w:space="0" w:color="AFD7E6" w:themeColor="accent5" w:themeTint="99"/>
        <w:bottom w:val="single" w:sz="4" w:space="0" w:color="AFD7E6" w:themeColor="accent5" w:themeTint="99"/>
        <w:right w:val="single" w:sz="4" w:space="0" w:color="AFD7E6" w:themeColor="accent5" w:themeTint="99"/>
        <w:insideH w:val="single" w:sz="4" w:space="0" w:color="AFD7E6" w:themeColor="accent5" w:themeTint="99"/>
      </w:tblBorders>
    </w:tblPr>
    <w:tblStylePr w:type="firstRow">
      <w:rPr>
        <w:b/>
        <w:bCs/>
        <w:color w:val="FFFFFF" w:themeColor="background1"/>
      </w:rPr>
      <w:tblPr/>
      <w:tcPr>
        <w:tcBorders>
          <w:top w:val="single" w:sz="4" w:space="0" w:color="7BBDD6" w:themeColor="accent5"/>
          <w:left w:val="single" w:sz="4" w:space="0" w:color="7BBDD6" w:themeColor="accent5"/>
          <w:bottom w:val="single" w:sz="4" w:space="0" w:color="7BBDD6" w:themeColor="accent5"/>
          <w:right w:val="single" w:sz="4" w:space="0" w:color="7BBDD6" w:themeColor="accent5"/>
          <w:insideH w:val="nil"/>
        </w:tcBorders>
        <w:shd w:val="clear" w:color="auto" w:fill="7BBDD6" w:themeFill="accent5"/>
      </w:tcPr>
    </w:tblStylePr>
    <w:tblStylePr w:type="lastRow">
      <w:rPr>
        <w:b/>
        <w:bCs/>
      </w:rPr>
      <w:tblPr/>
      <w:tcPr>
        <w:tcBorders>
          <w:top w:val="double" w:sz="4" w:space="0" w:color="AFD7E6" w:themeColor="accent5" w:themeTint="99"/>
        </w:tcBorders>
      </w:tcPr>
    </w:tblStylePr>
    <w:tblStylePr w:type="firstCol">
      <w:rPr>
        <w:b/>
        <w:bCs/>
      </w:rPr>
    </w:tblStylePr>
    <w:tblStylePr w:type="lastCol">
      <w:rPr>
        <w:b/>
        <w:bCs/>
      </w:rPr>
    </w:tblStylePr>
    <w:tblStylePr w:type="band1Vert">
      <w:tblPr/>
      <w:tcPr>
        <w:shd w:val="clear" w:color="auto" w:fill="E4F1F6" w:themeFill="accent5" w:themeFillTint="33"/>
      </w:tcPr>
    </w:tblStylePr>
    <w:tblStylePr w:type="band1Horz">
      <w:tblPr/>
      <w:tcPr>
        <w:shd w:val="clear" w:color="auto" w:fill="E4F1F6" w:themeFill="accent5" w:themeFillTint="33"/>
      </w:tcPr>
    </w:tblStylePr>
  </w:style>
  <w:style w:type="table" w:styleId="ListTable4-Accent6">
    <w:name w:val="List Table 4 Accent 6"/>
    <w:basedOn w:val="TableNormal"/>
    <w:uiPriority w:val="49"/>
    <w:rsid w:val="009637A8"/>
    <w:pPr>
      <w:spacing w:after="0" w:line="240" w:lineRule="auto"/>
    </w:pPr>
    <w:tblPr>
      <w:tblStyleRowBandSize w:val="1"/>
      <w:tblStyleColBandSize w:val="1"/>
      <w:tblBorders>
        <w:top w:val="single" w:sz="4" w:space="0" w:color="83C590" w:themeColor="accent6" w:themeTint="99"/>
        <w:left w:val="single" w:sz="4" w:space="0" w:color="83C590" w:themeColor="accent6" w:themeTint="99"/>
        <w:bottom w:val="single" w:sz="4" w:space="0" w:color="83C590" w:themeColor="accent6" w:themeTint="99"/>
        <w:right w:val="single" w:sz="4" w:space="0" w:color="83C590" w:themeColor="accent6" w:themeTint="99"/>
        <w:insideH w:val="single" w:sz="4" w:space="0" w:color="83C590" w:themeColor="accent6" w:themeTint="99"/>
      </w:tblBorders>
    </w:tblPr>
    <w:tblStylePr w:type="firstRow">
      <w:rPr>
        <w:b/>
        <w:bCs/>
        <w:color w:val="FFFFFF" w:themeColor="background1"/>
      </w:rPr>
      <w:tblPr/>
      <w:tcPr>
        <w:tcBorders>
          <w:top w:val="single" w:sz="4" w:space="0" w:color="428D52" w:themeColor="accent6"/>
          <w:left w:val="single" w:sz="4" w:space="0" w:color="428D52" w:themeColor="accent6"/>
          <w:bottom w:val="single" w:sz="4" w:space="0" w:color="428D52" w:themeColor="accent6"/>
          <w:right w:val="single" w:sz="4" w:space="0" w:color="428D52" w:themeColor="accent6"/>
          <w:insideH w:val="nil"/>
        </w:tcBorders>
        <w:shd w:val="clear" w:color="auto" w:fill="428D52" w:themeFill="accent6"/>
      </w:tcPr>
    </w:tblStylePr>
    <w:tblStylePr w:type="lastRow">
      <w:rPr>
        <w:b/>
        <w:bCs/>
      </w:rPr>
      <w:tblPr/>
      <w:tcPr>
        <w:tcBorders>
          <w:top w:val="double" w:sz="4" w:space="0" w:color="83C590" w:themeColor="accent6" w:themeTint="99"/>
        </w:tcBorders>
      </w:tcPr>
    </w:tblStylePr>
    <w:tblStylePr w:type="firstCol">
      <w:rPr>
        <w:b/>
        <w:bCs/>
      </w:rPr>
    </w:tblStylePr>
    <w:tblStylePr w:type="lastCol">
      <w:rPr>
        <w:b/>
        <w:bCs/>
      </w:rPr>
    </w:tblStylePr>
    <w:tblStylePr w:type="band1Vert">
      <w:tblPr/>
      <w:tcPr>
        <w:shd w:val="clear" w:color="auto" w:fill="D5EBDA" w:themeFill="accent6" w:themeFillTint="33"/>
      </w:tcPr>
    </w:tblStylePr>
    <w:tblStylePr w:type="band1Horz">
      <w:tblPr/>
      <w:tcPr>
        <w:shd w:val="clear" w:color="auto" w:fill="D5EBDA" w:themeFill="accent6" w:themeFillTint="33"/>
      </w:tcPr>
    </w:tblStylePr>
  </w:style>
  <w:style w:type="table" w:styleId="ListTable5Dark">
    <w:name w:val="List Table 5 Dark"/>
    <w:basedOn w:val="TableNormal"/>
    <w:uiPriority w:val="50"/>
    <w:rsid w:val="009637A8"/>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9637A8"/>
    <w:pPr>
      <w:spacing w:after="0" w:line="240" w:lineRule="auto"/>
    </w:pPr>
    <w:rPr>
      <w:color w:val="FFFFFF" w:themeColor="background1"/>
    </w:rPr>
    <w:tblPr>
      <w:tblStyleRowBandSize w:val="1"/>
      <w:tblStyleColBandSize w:val="1"/>
      <w:tblBorders>
        <w:top w:val="single" w:sz="24" w:space="0" w:color="9D85BE" w:themeColor="accent1"/>
        <w:left w:val="single" w:sz="24" w:space="0" w:color="9D85BE" w:themeColor="accent1"/>
        <w:bottom w:val="single" w:sz="24" w:space="0" w:color="9D85BE" w:themeColor="accent1"/>
        <w:right w:val="single" w:sz="24" w:space="0" w:color="9D85BE" w:themeColor="accent1"/>
      </w:tblBorders>
    </w:tblPr>
    <w:tcPr>
      <w:shd w:val="clear" w:color="auto" w:fill="9D85BE"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9637A8"/>
    <w:pPr>
      <w:spacing w:after="0" w:line="240" w:lineRule="auto"/>
    </w:pPr>
    <w:rPr>
      <w:color w:val="FFFFFF" w:themeColor="background1"/>
    </w:rPr>
    <w:tblPr>
      <w:tblStyleRowBandSize w:val="1"/>
      <w:tblStyleColBandSize w:val="1"/>
      <w:tblBorders>
        <w:top w:val="single" w:sz="24" w:space="0" w:color="7D7D7D" w:themeColor="accent2"/>
        <w:left w:val="single" w:sz="24" w:space="0" w:color="7D7D7D" w:themeColor="accent2"/>
        <w:bottom w:val="single" w:sz="24" w:space="0" w:color="7D7D7D" w:themeColor="accent2"/>
        <w:right w:val="single" w:sz="24" w:space="0" w:color="7D7D7D" w:themeColor="accent2"/>
      </w:tblBorders>
    </w:tblPr>
    <w:tcPr>
      <w:shd w:val="clear" w:color="auto" w:fill="7D7D7D"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9637A8"/>
    <w:pPr>
      <w:spacing w:after="0" w:line="240" w:lineRule="auto"/>
    </w:pPr>
    <w:rPr>
      <w:color w:val="FFFFFF" w:themeColor="background1"/>
    </w:rPr>
    <w:tblPr>
      <w:tblStyleRowBandSize w:val="1"/>
      <w:tblStyleColBandSize w:val="1"/>
      <w:tblBorders>
        <w:top w:val="single" w:sz="24" w:space="0" w:color="C8C8C8" w:themeColor="accent3"/>
        <w:left w:val="single" w:sz="24" w:space="0" w:color="C8C8C8" w:themeColor="accent3"/>
        <w:bottom w:val="single" w:sz="24" w:space="0" w:color="C8C8C8" w:themeColor="accent3"/>
        <w:right w:val="single" w:sz="24" w:space="0" w:color="C8C8C8" w:themeColor="accent3"/>
      </w:tblBorders>
    </w:tblPr>
    <w:tcPr>
      <w:shd w:val="clear" w:color="auto" w:fill="C8C8C8"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9637A8"/>
    <w:pPr>
      <w:spacing w:after="0" w:line="240" w:lineRule="auto"/>
    </w:pPr>
    <w:rPr>
      <w:color w:val="FFFFFF" w:themeColor="background1"/>
    </w:rPr>
    <w:tblPr>
      <w:tblStyleRowBandSize w:val="1"/>
      <w:tblStyleColBandSize w:val="1"/>
      <w:tblBorders>
        <w:top w:val="single" w:sz="24" w:space="0" w:color="006A9F" w:themeColor="accent4"/>
        <w:left w:val="single" w:sz="24" w:space="0" w:color="006A9F" w:themeColor="accent4"/>
        <w:bottom w:val="single" w:sz="24" w:space="0" w:color="006A9F" w:themeColor="accent4"/>
        <w:right w:val="single" w:sz="24" w:space="0" w:color="006A9F" w:themeColor="accent4"/>
      </w:tblBorders>
    </w:tblPr>
    <w:tcPr>
      <w:shd w:val="clear" w:color="auto" w:fill="006A9F"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9637A8"/>
    <w:pPr>
      <w:spacing w:after="0" w:line="240" w:lineRule="auto"/>
    </w:pPr>
    <w:rPr>
      <w:color w:val="FFFFFF" w:themeColor="background1"/>
    </w:rPr>
    <w:tblPr>
      <w:tblStyleRowBandSize w:val="1"/>
      <w:tblStyleColBandSize w:val="1"/>
      <w:tblBorders>
        <w:top w:val="single" w:sz="24" w:space="0" w:color="7BBDD6" w:themeColor="accent5"/>
        <w:left w:val="single" w:sz="24" w:space="0" w:color="7BBDD6" w:themeColor="accent5"/>
        <w:bottom w:val="single" w:sz="24" w:space="0" w:color="7BBDD6" w:themeColor="accent5"/>
        <w:right w:val="single" w:sz="24" w:space="0" w:color="7BBDD6" w:themeColor="accent5"/>
      </w:tblBorders>
    </w:tblPr>
    <w:tcPr>
      <w:shd w:val="clear" w:color="auto" w:fill="7BBDD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9637A8"/>
    <w:pPr>
      <w:spacing w:after="0" w:line="240" w:lineRule="auto"/>
    </w:pPr>
    <w:rPr>
      <w:color w:val="FFFFFF" w:themeColor="background1"/>
    </w:rPr>
    <w:tblPr>
      <w:tblStyleRowBandSize w:val="1"/>
      <w:tblStyleColBandSize w:val="1"/>
      <w:tblBorders>
        <w:top w:val="single" w:sz="24" w:space="0" w:color="428D52" w:themeColor="accent6"/>
        <w:left w:val="single" w:sz="24" w:space="0" w:color="428D52" w:themeColor="accent6"/>
        <w:bottom w:val="single" w:sz="24" w:space="0" w:color="428D52" w:themeColor="accent6"/>
        <w:right w:val="single" w:sz="24" w:space="0" w:color="428D52" w:themeColor="accent6"/>
      </w:tblBorders>
    </w:tblPr>
    <w:tcPr>
      <w:shd w:val="clear" w:color="auto" w:fill="428D52"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9637A8"/>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9637A8"/>
    <w:pPr>
      <w:spacing w:after="0" w:line="240" w:lineRule="auto"/>
    </w:pPr>
    <w:rPr>
      <w:color w:val="72549D" w:themeColor="accent1" w:themeShade="BF"/>
    </w:rPr>
    <w:tblPr>
      <w:tblStyleRowBandSize w:val="1"/>
      <w:tblStyleColBandSize w:val="1"/>
      <w:tblBorders>
        <w:top w:val="single" w:sz="4" w:space="0" w:color="9D85BE" w:themeColor="accent1"/>
        <w:bottom w:val="single" w:sz="4" w:space="0" w:color="9D85BE" w:themeColor="accent1"/>
      </w:tblBorders>
    </w:tblPr>
    <w:tblStylePr w:type="firstRow">
      <w:rPr>
        <w:b/>
        <w:bCs/>
      </w:rPr>
      <w:tblPr/>
      <w:tcPr>
        <w:tcBorders>
          <w:bottom w:val="single" w:sz="4" w:space="0" w:color="9D85BE" w:themeColor="accent1"/>
        </w:tcBorders>
      </w:tcPr>
    </w:tblStylePr>
    <w:tblStylePr w:type="lastRow">
      <w:rPr>
        <w:b/>
        <w:bCs/>
      </w:rPr>
      <w:tblPr/>
      <w:tcPr>
        <w:tcBorders>
          <w:top w:val="double" w:sz="4" w:space="0" w:color="9D85BE" w:themeColor="accent1"/>
        </w:tcBorders>
      </w:tcPr>
    </w:tblStylePr>
    <w:tblStylePr w:type="firstCol">
      <w:rPr>
        <w:b/>
        <w:bCs/>
      </w:rPr>
    </w:tblStylePr>
    <w:tblStylePr w:type="lastCol">
      <w:rPr>
        <w:b/>
        <w:bCs/>
      </w:rPr>
    </w:tblStylePr>
    <w:tblStylePr w:type="band1Vert">
      <w:tblPr/>
      <w:tcPr>
        <w:shd w:val="clear" w:color="auto" w:fill="EBE6F2" w:themeFill="accent1" w:themeFillTint="33"/>
      </w:tcPr>
    </w:tblStylePr>
    <w:tblStylePr w:type="band1Horz">
      <w:tblPr/>
      <w:tcPr>
        <w:shd w:val="clear" w:color="auto" w:fill="EBE6F2" w:themeFill="accent1" w:themeFillTint="33"/>
      </w:tcPr>
    </w:tblStylePr>
  </w:style>
  <w:style w:type="table" w:styleId="ListTable6Colorful-Accent2">
    <w:name w:val="List Table 6 Colorful Accent 2"/>
    <w:basedOn w:val="TableNormal"/>
    <w:uiPriority w:val="51"/>
    <w:rsid w:val="009637A8"/>
    <w:pPr>
      <w:spacing w:after="0" w:line="240" w:lineRule="auto"/>
    </w:pPr>
    <w:rPr>
      <w:color w:val="5D5D5D" w:themeColor="accent2" w:themeShade="BF"/>
    </w:rPr>
    <w:tblPr>
      <w:tblStyleRowBandSize w:val="1"/>
      <w:tblStyleColBandSize w:val="1"/>
      <w:tblBorders>
        <w:top w:val="single" w:sz="4" w:space="0" w:color="7D7D7D" w:themeColor="accent2"/>
        <w:bottom w:val="single" w:sz="4" w:space="0" w:color="7D7D7D" w:themeColor="accent2"/>
      </w:tblBorders>
    </w:tblPr>
    <w:tblStylePr w:type="firstRow">
      <w:rPr>
        <w:b/>
        <w:bCs/>
      </w:rPr>
      <w:tblPr/>
      <w:tcPr>
        <w:tcBorders>
          <w:bottom w:val="single" w:sz="4" w:space="0" w:color="7D7D7D" w:themeColor="accent2"/>
        </w:tcBorders>
      </w:tcPr>
    </w:tblStylePr>
    <w:tblStylePr w:type="lastRow">
      <w:rPr>
        <w:b/>
        <w:bCs/>
      </w:rPr>
      <w:tblPr/>
      <w:tcPr>
        <w:tcBorders>
          <w:top w:val="double" w:sz="4" w:space="0" w:color="7D7D7D" w:themeColor="accent2"/>
        </w:tcBorders>
      </w:tcPr>
    </w:tblStylePr>
    <w:tblStylePr w:type="firstCol">
      <w:rPr>
        <w:b/>
        <w:bCs/>
      </w:rPr>
    </w:tblStylePr>
    <w:tblStylePr w:type="lastCol">
      <w:rPr>
        <w:b/>
        <w:bCs/>
      </w:rPr>
    </w:tblStylePr>
    <w:tblStylePr w:type="band1Vert">
      <w:tblPr/>
      <w:tcPr>
        <w:shd w:val="clear" w:color="auto" w:fill="E5E5E5" w:themeFill="accent2" w:themeFillTint="33"/>
      </w:tcPr>
    </w:tblStylePr>
    <w:tblStylePr w:type="band1Horz">
      <w:tblPr/>
      <w:tcPr>
        <w:shd w:val="clear" w:color="auto" w:fill="E5E5E5" w:themeFill="accent2" w:themeFillTint="33"/>
      </w:tcPr>
    </w:tblStylePr>
  </w:style>
  <w:style w:type="table" w:styleId="ListTable6Colorful-Accent3">
    <w:name w:val="List Table 6 Colorful Accent 3"/>
    <w:basedOn w:val="TableNormal"/>
    <w:uiPriority w:val="51"/>
    <w:rsid w:val="009637A8"/>
    <w:pPr>
      <w:spacing w:after="0" w:line="240" w:lineRule="auto"/>
    </w:pPr>
    <w:rPr>
      <w:color w:val="959595" w:themeColor="accent3" w:themeShade="BF"/>
    </w:rPr>
    <w:tblPr>
      <w:tblStyleRowBandSize w:val="1"/>
      <w:tblStyleColBandSize w:val="1"/>
      <w:tblBorders>
        <w:top w:val="single" w:sz="4" w:space="0" w:color="C8C8C8" w:themeColor="accent3"/>
        <w:bottom w:val="single" w:sz="4" w:space="0" w:color="C8C8C8" w:themeColor="accent3"/>
      </w:tblBorders>
    </w:tblPr>
    <w:tblStylePr w:type="firstRow">
      <w:rPr>
        <w:b/>
        <w:bCs/>
      </w:rPr>
      <w:tblPr/>
      <w:tcPr>
        <w:tcBorders>
          <w:bottom w:val="single" w:sz="4" w:space="0" w:color="C8C8C8" w:themeColor="accent3"/>
        </w:tcBorders>
      </w:tcPr>
    </w:tblStylePr>
    <w:tblStylePr w:type="lastRow">
      <w:rPr>
        <w:b/>
        <w:bCs/>
      </w:rPr>
      <w:tblPr/>
      <w:tcPr>
        <w:tcBorders>
          <w:top w:val="double" w:sz="4" w:space="0" w:color="C8C8C8" w:themeColor="accent3"/>
        </w:tcBorders>
      </w:tcPr>
    </w:tblStylePr>
    <w:tblStylePr w:type="firstCol">
      <w:rPr>
        <w:b/>
        <w:bCs/>
      </w:rPr>
    </w:tblStylePr>
    <w:tblStylePr w:type="lastCol">
      <w:rPr>
        <w:b/>
        <w:bCs/>
      </w:rPr>
    </w:tblStylePr>
    <w:tblStylePr w:type="band1Vert">
      <w:tblPr/>
      <w:tcPr>
        <w:shd w:val="clear" w:color="auto" w:fill="F4F4F4" w:themeFill="accent3" w:themeFillTint="33"/>
      </w:tcPr>
    </w:tblStylePr>
    <w:tblStylePr w:type="band1Horz">
      <w:tblPr/>
      <w:tcPr>
        <w:shd w:val="clear" w:color="auto" w:fill="F4F4F4" w:themeFill="accent3" w:themeFillTint="33"/>
      </w:tcPr>
    </w:tblStylePr>
  </w:style>
  <w:style w:type="table" w:styleId="ListTable6Colorful-Accent4">
    <w:name w:val="List Table 6 Colorful Accent 4"/>
    <w:basedOn w:val="TableNormal"/>
    <w:uiPriority w:val="51"/>
    <w:rsid w:val="009637A8"/>
    <w:pPr>
      <w:spacing w:after="0" w:line="240" w:lineRule="auto"/>
    </w:pPr>
    <w:rPr>
      <w:color w:val="004F77" w:themeColor="accent4" w:themeShade="BF"/>
    </w:rPr>
    <w:tblPr>
      <w:tblStyleRowBandSize w:val="1"/>
      <w:tblStyleColBandSize w:val="1"/>
      <w:tblBorders>
        <w:top w:val="single" w:sz="4" w:space="0" w:color="006A9F" w:themeColor="accent4"/>
        <w:bottom w:val="single" w:sz="4" w:space="0" w:color="006A9F" w:themeColor="accent4"/>
      </w:tblBorders>
    </w:tblPr>
    <w:tblStylePr w:type="firstRow">
      <w:rPr>
        <w:b/>
        <w:bCs/>
      </w:rPr>
      <w:tblPr/>
      <w:tcPr>
        <w:tcBorders>
          <w:bottom w:val="single" w:sz="4" w:space="0" w:color="006A9F" w:themeColor="accent4"/>
        </w:tcBorders>
      </w:tcPr>
    </w:tblStylePr>
    <w:tblStylePr w:type="lastRow">
      <w:rPr>
        <w:b/>
        <w:bCs/>
      </w:rPr>
      <w:tblPr/>
      <w:tcPr>
        <w:tcBorders>
          <w:top w:val="double" w:sz="4" w:space="0" w:color="006A9F" w:themeColor="accent4"/>
        </w:tcBorders>
      </w:tcPr>
    </w:tblStylePr>
    <w:tblStylePr w:type="firstCol">
      <w:rPr>
        <w:b/>
        <w:bCs/>
      </w:rPr>
    </w:tblStylePr>
    <w:tblStylePr w:type="lastCol">
      <w:rPr>
        <w:b/>
        <w:bCs/>
      </w:rPr>
    </w:tblStylePr>
    <w:tblStylePr w:type="band1Vert">
      <w:tblPr/>
      <w:tcPr>
        <w:shd w:val="clear" w:color="auto" w:fill="B8E7FF" w:themeFill="accent4" w:themeFillTint="33"/>
      </w:tcPr>
    </w:tblStylePr>
    <w:tblStylePr w:type="band1Horz">
      <w:tblPr/>
      <w:tcPr>
        <w:shd w:val="clear" w:color="auto" w:fill="B8E7FF" w:themeFill="accent4" w:themeFillTint="33"/>
      </w:tcPr>
    </w:tblStylePr>
  </w:style>
  <w:style w:type="table" w:styleId="ListTable6Colorful-Accent5">
    <w:name w:val="List Table 6 Colorful Accent 5"/>
    <w:basedOn w:val="TableNormal"/>
    <w:uiPriority w:val="51"/>
    <w:rsid w:val="009637A8"/>
    <w:pPr>
      <w:spacing w:after="0" w:line="240" w:lineRule="auto"/>
    </w:pPr>
    <w:rPr>
      <w:color w:val="3C9BC0" w:themeColor="accent5" w:themeShade="BF"/>
    </w:rPr>
    <w:tblPr>
      <w:tblStyleRowBandSize w:val="1"/>
      <w:tblStyleColBandSize w:val="1"/>
      <w:tblBorders>
        <w:top w:val="single" w:sz="4" w:space="0" w:color="7BBDD6" w:themeColor="accent5"/>
        <w:bottom w:val="single" w:sz="4" w:space="0" w:color="7BBDD6" w:themeColor="accent5"/>
      </w:tblBorders>
    </w:tblPr>
    <w:tblStylePr w:type="firstRow">
      <w:rPr>
        <w:b/>
        <w:bCs/>
      </w:rPr>
      <w:tblPr/>
      <w:tcPr>
        <w:tcBorders>
          <w:bottom w:val="single" w:sz="4" w:space="0" w:color="7BBDD6" w:themeColor="accent5"/>
        </w:tcBorders>
      </w:tcPr>
    </w:tblStylePr>
    <w:tblStylePr w:type="lastRow">
      <w:rPr>
        <w:b/>
        <w:bCs/>
      </w:rPr>
      <w:tblPr/>
      <w:tcPr>
        <w:tcBorders>
          <w:top w:val="double" w:sz="4" w:space="0" w:color="7BBDD6" w:themeColor="accent5"/>
        </w:tcBorders>
      </w:tcPr>
    </w:tblStylePr>
    <w:tblStylePr w:type="firstCol">
      <w:rPr>
        <w:b/>
        <w:bCs/>
      </w:rPr>
    </w:tblStylePr>
    <w:tblStylePr w:type="lastCol">
      <w:rPr>
        <w:b/>
        <w:bCs/>
      </w:rPr>
    </w:tblStylePr>
    <w:tblStylePr w:type="band1Vert">
      <w:tblPr/>
      <w:tcPr>
        <w:shd w:val="clear" w:color="auto" w:fill="E4F1F6" w:themeFill="accent5" w:themeFillTint="33"/>
      </w:tcPr>
    </w:tblStylePr>
    <w:tblStylePr w:type="band1Horz">
      <w:tblPr/>
      <w:tcPr>
        <w:shd w:val="clear" w:color="auto" w:fill="E4F1F6" w:themeFill="accent5" w:themeFillTint="33"/>
      </w:tcPr>
    </w:tblStylePr>
  </w:style>
  <w:style w:type="table" w:styleId="ListTable6Colorful-Accent6">
    <w:name w:val="List Table 6 Colorful Accent 6"/>
    <w:basedOn w:val="TableNormal"/>
    <w:uiPriority w:val="51"/>
    <w:rsid w:val="009637A8"/>
    <w:pPr>
      <w:spacing w:after="0" w:line="240" w:lineRule="auto"/>
    </w:pPr>
    <w:rPr>
      <w:color w:val="31693D" w:themeColor="accent6" w:themeShade="BF"/>
    </w:rPr>
    <w:tblPr>
      <w:tblStyleRowBandSize w:val="1"/>
      <w:tblStyleColBandSize w:val="1"/>
      <w:tblBorders>
        <w:top w:val="single" w:sz="4" w:space="0" w:color="428D52" w:themeColor="accent6"/>
        <w:bottom w:val="single" w:sz="4" w:space="0" w:color="428D52" w:themeColor="accent6"/>
      </w:tblBorders>
    </w:tblPr>
    <w:tblStylePr w:type="firstRow">
      <w:rPr>
        <w:b/>
        <w:bCs/>
      </w:rPr>
      <w:tblPr/>
      <w:tcPr>
        <w:tcBorders>
          <w:bottom w:val="single" w:sz="4" w:space="0" w:color="428D52" w:themeColor="accent6"/>
        </w:tcBorders>
      </w:tcPr>
    </w:tblStylePr>
    <w:tblStylePr w:type="lastRow">
      <w:rPr>
        <w:b/>
        <w:bCs/>
      </w:rPr>
      <w:tblPr/>
      <w:tcPr>
        <w:tcBorders>
          <w:top w:val="double" w:sz="4" w:space="0" w:color="428D52" w:themeColor="accent6"/>
        </w:tcBorders>
      </w:tcPr>
    </w:tblStylePr>
    <w:tblStylePr w:type="firstCol">
      <w:rPr>
        <w:b/>
        <w:bCs/>
      </w:rPr>
    </w:tblStylePr>
    <w:tblStylePr w:type="lastCol">
      <w:rPr>
        <w:b/>
        <w:bCs/>
      </w:rPr>
    </w:tblStylePr>
    <w:tblStylePr w:type="band1Vert">
      <w:tblPr/>
      <w:tcPr>
        <w:shd w:val="clear" w:color="auto" w:fill="D5EBDA" w:themeFill="accent6" w:themeFillTint="33"/>
      </w:tcPr>
    </w:tblStylePr>
    <w:tblStylePr w:type="band1Horz">
      <w:tblPr/>
      <w:tcPr>
        <w:shd w:val="clear" w:color="auto" w:fill="D5EBDA" w:themeFill="accent6" w:themeFillTint="33"/>
      </w:tcPr>
    </w:tblStylePr>
  </w:style>
  <w:style w:type="table" w:styleId="ListTable7Colorful">
    <w:name w:val="List Table 7 Colorful"/>
    <w:basedOn w:val="TableNormal"/>
    <w:uiPriority w:val="52"/>
    <w:rsid w:val="009637A8"/>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9637A8"/>
    <w:pPr>
      <w:spacing w:after="0" w:line="240" w:lineRule="auto"/>
    </w:pPr>
    <w:rPr>
      <w:color w:val="72549D"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D85BE"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D85BE"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D85BE"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D85BE" w:themeColor="accent1"/>
        </w:tcBorders>
        <w:shd w:val="clear" w:color="auto" w:fill="FFFFFF" w:themeFill="background1"/>
      </w:tcPr>
    </w:tblStylePr>
    <w:tblStylePr w:type="band1Vert">
      <w:tblPr/>
      <w:tcPr>
        <w:shd w:val="clear" w:color="auto" w:fill="EBE6F2" w:themeFill="accent1" w:themeFillTint="33"/>
      </w:tcPr>
    </w:tblStylePr>
    <w:tblStylePr w:type="band1Horz">
      <w:tblPr/>
      <w:tcPr>
        <w:shd w:val="clear" w:color="auto" w:fill="EBE6F2"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9637A8"/>
    <w:pPr>
      <w:spacing w:after="0" w:line="240" w:lineRule="auto"/>
    </w:pPr>
    <w:rPr>
      <w:color w:val="5D5D5D"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D7D7D"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D7D7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D7D7D"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D7D7D" w:themeColor="accent2"/>
        </w:tcBorders>
        <w:shd w:val="clear" w:color="auto" w:fill="FFFFFF" w:themeFill="background1"/>
      </w:tcPr>
    </w:tblStylePr>
    <w:tblStylePr w:type="band1Vert">
      <w:tblPr/>
      <w:tcPr>
        <w:shd w:val="clear" w:color="auto" w:fill="E5E5E5" w:themeFill="accent2" w:themeFillTint="33"/>
      </w:tcPr>
    </w:tblStylePr>
    <w:tblStylePr w:type="band1Horz">
      <w:tblPr/>
      <w:tcPr>
        <w:shd w:val="clear" w:color="auto" w:fill="E5E5E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9637A8"/>
    <w:pPr>
      <w:spacing w:after="0" w:line="240" w:lineRule="auto"/>
    </w:pPr>
    <w:rPr>
      <w:color w:val="959595"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8C8C8"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8C8C8"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8C8C8"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8C8C8" w:themeColor="accent3"/>
        </w:tcBorders>
        <w:shd w:val="clear" w:color="auto" w:fill="FFFFFF" w:themeFill="background1"/>
      </w:tcPr>
    </w:tblStylePr>
    <w:tblStylePr w:type="band1Vert">
      <w:tblPr/>
      <w:tcPr>
        <w:shd w:val="clear" w:color="auto" w:fill="F4F4F4" w:themeFill="accent3" w:themeFillTint="33"/>
      </w:tcPr>
    </w:tblStylePr>
    <w:tblStylePr w:type="band1Horz">
      <w:tblPr/>
      <w:tcPr>
        <w:shd w:val="clear" w:color="auto" w:fill="F4F4F4"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9637A8"/>
    <w:pPr>
      <w:spacing w:after="0" w:line="240" w:lineRule="auto"/>
    </w:pPr>
    <w:rPr>
      <w:color w:val="004F77"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6A9F"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6A9F"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6A9F"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6A9F" w:themeColor="accent4"/>
        </w:tcBorders>
        <w:shd w:val="clear" w:color="auto" w:fill="FFFFFF" w:themeFill="background1"/>
      </w:tcPr>
    </w:tblStylePr>
    <w:tblStylePr w:type="band1Vert">
      <w:tblPr/>
      <w:tcPr>
        <w:shd w:val="clear" w:color="auto" w:fill="B8E7FF" w:themeFill="accent4" w:themeFillTint="33"/>
      </w:tcPr>
    </w:tblStylePr>
    <w:tblStylePr w:type="band1Horz">
      <w:tblPr/>
      <w:tcPr>
        <w:shd w:val="clear" w:color="auto" w:fill="B8E7FF"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9637A8"/>
    <w:pPr>
      <w:spacing w:after="0" w:line="240" w:lineRule="auto"/>
    </w:pPr>
    <w:rPr>
      <w:color w:val="3C9BC0"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BBDD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BBDD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BBDD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BBDD6" w:themeColor="accent5"/>
        </w:tcBorders>
        <w:shd w:val="clear" w:color="auto" w:fill="FFFFFF" w:themeFill="background1"/>
      </w:tcPr>
    </w:tblStylePr>
    <w:tblStylePr w:type="band1Vert">
      <w:tblPr/>
      <w:tcPr>
        <w:shd w:val="clear" w:color="auto" w:fill="E4F1F6" w:themeFill="accent5" w:themeFillTint="33"/>
      </w:tcPr>
    </w:tblStylePr>
    <w:tblStylePr w:type="band1Horz">
      <w:tblPr/>
      <w:tcPr>
        <w:shd w:val="clear" w:color="auto" w:fill="E4F1F6"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9637A8"/>
    <w:pPr>
      <w:spacing w:after="0" w:line="240" w:lineRule="auto"/>
    </w:pPr>
    <w:rPr>
      <w:color w:val="31693D"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28D52"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28D52"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28D52"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28D52" w:themeColor="accent6"/>
        </w:tcBorders>
        <w:shd w:val="clear" w:color="auto" w:fill="FFFFFF" w:themeFill="background1"/>
      </w:tcPr>
    </w:tblStylePr>
    <w:tblStylePr w:type="band1Vert">
      <w:tblPr/>
      <w:tcPr>
        <w:shd w:val="clear" w:color="auto" w:fill="D5EBDA" w:themeFill="accent6" w:themeFillTint="33"/>
      </w:tcPr>
    </w:tblStylePr>
    <w:tblStylePr w:type="band1Horz">
      <w:tblPr/>
      <w:tcPr>
        <w:shd w:val="clear" w:color="auto" w:fill="D5EBDA"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9637A8"/>
    <w:pPr>
      <w:tabs>
        <w:tab w:val="left" w:pos="480"/>
        <w:tab w:val="left" w:pos="960"/>
        <w:tab w:val="left" w:pos="1440"/>
        <w:tab w:val="left" w:pos="1920"/>
        <w:tab w:val="left" w:pos="2400"/>
        <w:tab w:val="left" w:pos="2880"/>
        <w:tab w:val="left" w:pos="3360"/>
        <w:tab w:val="left" w:pos="3840"/>
        <w:tab w:val="left" w:pos="4320"/>
      </w:tabs>
      <w:spacing w:after="0"/>
    </w:pPr>
    <w:rPr>
      <w:rFonts w:ascii="Arial Narrow" w:hAnsi="Arial Narrow" w:cs="Arial"/>
      <w:sz w:val="20"/>
      <w:szCs w:val="20"/>
    </w:rPr>
  </w:style>
  <w:style w:type="character" w:customStyle="1" w:styleId="MacroTextChar">
    <w:name w:val="Macro Text Char"/>
    <w:basedOn w:val="DefaultParagraphFont"/>
    <w:link w:val="MacroText"/>
    <w:uiPriority w:val="99"/>
    <w:semiHidden/>
    <w:rsid w:val="009637A8"/>
    <w:rPr>
      <w:rFonts w:ascii="Arial Narrow" w:hAnsi="Arial Narrow" w:cs="Arial"/>
      <w:sz w:val="20"/>
      <w:szCs w:val="20"/>
    </w:rPr>
  </w:style>
  <w:style w:type="table" w:styleId="MediumGrid1">
    <w:name w:val="Medium Grid 1"/>
    <w:basedOn w:val="TableNormal"/>
    <w:uiPriority w:val="67"/>
    <w:semiHidden/>
    <w:unhideWhenUsed/>
    <w:rsid w:val="009637A8"/>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9637A8"/>
    <w:pPr>
      <w:spacing w:after="0" w:line="240" w:lineRule="auto"/>
    </w:pPr>
    <w:tblPr>
      <w:tblStyleRowBandSize w:val="1"/>
      <w:tblStyleColBandSize w:val="1"/>
      <w:tblBorders>
        <w:top w:val="single" w:sz="8" w:space="0" w:color="B5A3CE" w:themeColor="accent1" w:themeTint="BF"/>
        <w:left w:val="single" w:sz="8" w:space="0" w:color="B5A3CE" w:themeColor="accent1" w:themeTint="BF"/>
        <w:bottom w:val="single" w:sz="8" w:space="0" w:color="B5A3CE" w:themeColor="accent1" w:themeTint="BF"/>
        <w:right w:val="single" w:sz="8" w:space="0" w:color="B5A3CE" w:themeColor="accent1" w:themeTint="BF"/>
        <w:insideH w:val="single" w:sz="8" w:space="0" w:color="B5A3CE" w:themeColor="accent1" w:themeTint="BF"/>
        <w:insideV w:val="single" w:sz="8" w:space="0" w:color="B5A3CE" w:themeColor="accent1" w:themeTint="BF"/>
      </w:tblBorders>
    </w:tblPr>
    <w:tcPr>
      <w:shd w:val="clear" w:color="auto" w:fill="E6E0EF" w:themeFill="accent1" w:themeFillTint="3F"/>
    </w:tcPr>
    <w:tblStylePr w:type="firstRow">
      <w:rPr>
        <w:b/>
        <w:bCs/>
      </w:rPr>
    </w:tblStylePr>
    <w:tblStylePr w:type="lastRow">
      <w:rPr>
        <w:b/>
        <w:bCs/>
      </w:rPr>
      <w:tblPr/>
      <w:tcPr>
        <w:tcBorders>
          <w:top w:val="single" w:sz="18" w:space="0" w:color="B5A3CE" w:themeColor="accent1" w:themeTint="BF"/>
        </w:tcBorders>
      </w:tcPr>
    </w:tblStylePr>
    <w:tblStylePr w:type="firstCol">
      <w:rPr>
        <w:b/>
        <w:bCs/>
      </w:rPr>
    </w:tblStylePr>
    <w:tblStylePr w:type="lastCol">
      <w:rPr>
        <w:b/>
        <w:bCs/>
      </w:rPr>
    </w:tblStylePr>
    <w:tblStylePr w:type="band1Vert">
      <w:tblPr/>
      <w:tcPr>
        <w:shd w:val="clear" w:color="auto" w:fill="CEC2DE" w:themeFill="accent1" w:themeFillTint="7F"/>
      </w:tcPr>
    </w:tblStylePr>
    <w:tblStylePr w:type="band1Horz">
      <w:tblPr/>
      <w:tcPr>
        <w:shd w:val="clear" w:color="auto" w:fill="CEC2DE" w:themeFill="accent1" w:themeFillTint="7F"/>
      </w:tcPr>
    </w:tblStylePr>
  </w:style>
  <w:style w:type="table" w:styleId="MediumGrid1-Accent2">
    <w:name w:val="Medium Grid 1 Accent 2"/>
    <w:basedOn w:val="TableNormal"/>
    <w:uiPriority w:val="67"/>
    <w:semiHidden/>
    <w:unhideWhenUsed/>
    <w:rsid w:val="009637A8"/>
    <w:pPr>
      <w:spacing w:after="0" w:line="240" w:lineRule="auto"/>
    </w:pPr>
    <w:tblPr>
      <w:tblStyleRowBandSize w:val="1"/>
      <w:tblStyleColBandSize w:val="1"/>
      <w:tblBorders>
        <w:top w:val="single" w:sz="8" w:space="0" w:color="9D9D9D" w:themeColor="accent2" w:themeTint="BF"/>
        <w:left w:val="single" w:sz="8" w:space="0" w:color="9D9D9D" w:themeColor="accent2" w:themeTint="BF"/>
        <w:bottom w:val="single" w:sz="8" w:space="0" w:color="9D9D9D" w:themeColor="accent2" w:themeTint="BF"/>
        <w:right w:val="single" w:sz="8" w:space="0" w:color="9D9D9D" w:themeColor="accent2" w:themeTint="BF"/>
        <w:insideH w:val="single" w:sz="8" w:space="0" w:color="9D9D9D" w:themeColor="accent2" w:themeTint="BF"/>
        <w:insideV w:val="single" w:sz="8" w:space="0" w:color="9D9D9D" w:themeColor="accent2" w:themeTint="BF"/>
      </w:tblBorders>
    </w:tblPr>
    <w:tcPr>
      <w:shd w:val="clear" w:color="auto" w:fill="DEDEDE" w:themeFill="accent2" w:themeFillTint="3F"/>
    </w:tcPr>
    <w:tblStylePr w:type="firstRow">
      <w:rPr>
        <w:b/>
        <w:bCs/>
      </w:rPr>
    </w:tblStylePr>
    <w:tblStylePr w:type="lastRow">
      <w:rPr>
        <w:b/>
        <w:bCs/>
      </w:rPr>
      <w:tblPr/>
      <w:tcPr>
        <w:tcBorders>
          <w:top w:val="single" w:sz="18" w:space="0" w:color="9D9D9D" w:themeColor="accent2" w:themeTint="BF"/>
        </w:tcBorders>
      </w:tcPr>
    </w:tblStylePr>
    <w:tblStylePr w:type="firstCol">
      <w:rPr>
        <w:b/>
        <w:bCs/>
      </w:rPr>
    </w:tblStylePr>
    <w:tblStylePr w:type="lastCol">
      <w:rPr>
        <w:b/>
        <w:bCs/>
      </w:rPr>
    </w:tblStylePr>
    <w:tblStylePr w:type="band1Vert">
      <w:tblPr/>
      <w:tcPr>
        <w:shd w:val="clear" w:color="auto" w:fill="BEBEBE" w:themeFill="accent2" w:themeFillTint="7F"/>
      </w:tcPr>
    </w:tblStylePr>
    <w:tblStylePr w:type="band1Horz">
      <w:tblPr/>
      <w:tcPr>
        <w:shd w:val="clear" w:color="auto" w:fill="BEBEBE" w:themeFill="accent2" w:themeFillTint="7F"/>
      </w:tcPr>
    </w:tblStylePr>
  </w:style>
  <w:style w:type="table" w:styleId="MediumGrid1-Accent3">
    <w:name w:val="Medium Grid 1 Accent 3"/>
    <w:basedOn w:val="TableNormal"/>
    <w:uiPriority w:val="67"/>
    <w:semiHidden/>
    <w:unhideWhenUsed/>
    <w:rsid w:val="009637A8"/>
    <w:pPr>
      <w:spacing w:after="0" w:line="240" w:lineRule="auto"/>
    </w:pPr>
    <w:tblPr>
      <w:tblStyleRowBandSize w:val="1"/>
      <w:tblStyleColBandSize w:val="1"/>
      <w:tblBorders>
        <w:top w:val="single" w:sz="8" w:space="0" w:color="D5D5D5" w:themeColor="accent3" w:themeTint="BF"/>
        <w:left w:val="single" w:sz="8" w:space="0" w:color="D5D5D5" w:themeColor="accent3" w:themeTint="BF"/>
        <w:bottom w:val="single" w:sz="8" w:space="0" w:color="D5D5D5" w:themeColor="accent3" w:themeTint="BF"/>
        <w:right w:val="single" w:sz="8" w:space="0" w:color="D5D5D5" w:themeColor="accent3" w:themeTint="BF"/>
        <w:insideH w:val="single" w:sz="8" w:space="0" w:color="D5D5D5" w:themeColor="accent3" w:themeTint="BF"/>
        <w:insideV w:val="single" w:sz="8" w:space="0" w:color="D5D5D5" w:themeColor="accent3" w:themeTint="BF"/>
      </w:tblBorders>
    </w:tblPr>
    <w:tcPr>
      <w:shd w:val="clear" w:color="auto" w:fill="F1F1F1" w:themeFill="accent3" w:themeFillTint="3F"/>
    </w:tcPr>
    <w:tblStylePr w:type="firstRow">
      <w:rPr>
        <w:b/>
        <w:bCs/>
      </w:rPr>
    </w:tblStylePr>
    <w:tblStylePr w:type="lastRow">
      <w:rPr>
        <w:b/>
        <w:bCs/>
      </w:rPr>
      <w:tblPr/>
      <w:tcPr>
        <w:tcBorders>
          <w:top w:val="single" w:sz="18" w:space="0" w:color="D5D5D5" w:themeColor="accent3" w:themeTint="BF"/>
        </w:tcBorders>
      </w:tcPr>
    </w:tblStylePr>
    <w:tblStylePr w:type="firstCol">
      <w:rPr>
        <w:b/>
        <w:bCs/>
      </w:rPr>
    </w:tblStylePr>
    <w:tblStylePr w:type="lastCol">
      <w:rPr>
        <w:b/>
        <w:bCs/>
      </w:rPr>
    </w:tblStylePr>
    <w:tblStylePr w:type="band1Vert">
      <w:tblPr/>
      <w:tcPr>
        <w:shd w:val="clear" w:color="auto" w:fill="E3E3E3" w:themeFill="accent3" w:themeFillTint="7F"/>
      </w:tcPr>
    </w:tblStylePr>
    <w:tblStylePr w:type="band1Horz">
      <w:tblPr/>
      <w:tcPr>
        <w:shd w:val="clear" w:color="auto" w:fill="E3E3E3" w:themeFill="accent3" w:themeFillTint="7F"/>
      </w:tcPr>
    </w:tblStylePr>
  </w:style>
  <w:style w:type="table" w:styleId="MediumGrid1-Accent4">
    <w:name w:val="Medium Grid 1 Accent 4"/>
    <w:basedOn w:val="TableNormal"/>
    <w:uiPriority w:val="67"/>
    <w:semiHidden/>
    <w:unhideWhenUsed/>
    <w:rsid w:val="009637A8"/>
    <w:pPr>
      <w:spacing w:after="0" w:line="240" w:lineRule="auto"/>
    </w:pPr>
    <w:tblPr>
      <w:tblStyleRowBandSize w:val="1"/>
      <w:tblStyleColBandSize w:val="1"/>
      <w:tblBorders>
        <w:top w:val="single" w:sz="8" w:space="0" w:color="00A4F7" w:themeColor="accent4" w:themeTint="BF"/>
        <w:left w:val="single" w:sz="8" w:space="0" w:color="00A4F7" w:themeColor="accent4" w:themeTint="BF"/>
        <w:bottom w:val="single" w:sz="8" w:space="0" w:color="00A4F7" w:themeColor="accent4" w:themeTint="BF"/>
        <w:right w:val="single" w:sz="8" w:space="0" w:color="00A4F7" w:themeColor="accent4" w:themeTint="BF"/>
        <w:insideH w:val="single" w:sz="8" w:space="0" w:color="00A4F7" w:themeColor="accent4" w:themeTint="BF"/>
        <w:insideV w:val="single" w:sz="8" w:space="0" w:color="00A4F7" w:themeColor="accent4" w:themeTint="BF"/>
      </w:tblBorders>
    </w:tblPr>
    <w:tcPr>
      <w:shd w:val="clear" w:color="auto" w:fill="A8E2FF" w:themeFill="accent4" w:themeFillTint="3F"/>
    </w:tcPr>
    <w:tblStylePr w:type="firstRow">
      <w:rPr>
        <w:b/>
        <w:bCs/>
      </w:rPr>
    </w:tblStylePr>
    <w:tblStylePr w:type="lastRow">
      <w:rPr>
        <w:b/>
        <w:bCs/>
      </w:rPr>
      <w:tblPr/>
      <w:tcPr>
        <w:tcBorders>
          <w:top w:val="single" w:sz="18" w:space="0" w:color="00A4F7" w:themeColor="accent4" w:themeTint="BF"/>
        </w:tcBorders>
      </w:tcPr>
    </w:tblStylePr>
    <w:tblStylePr w:type="firstCol">
      <w:rPr>
        <w:b/>
        <w:bCs/>
      </w:rPr>
    </w:tblStylePr>
    <w:tblStylePr w:type="lastCol">
      <w:rPr>
        <w:b/>
        <w:bCs/>
      </w:rPr>
    </w:tblStylePr>
    <w:tblStylePr w:type="band1Vert">
      <w:tblPr/>
      <w:tcPr>
        <w:shd w:val="clear" w:color="auto" w:fill="50C4FF" w:themeFill="accent4" w:themeFillTint="7F"/>
      </w:tcPr>
    </w:tblStylePr>
    <w:tblStylePr w:type="band1Horz">
      <w:tblPr/>
      <w:tcPr>
        <w:shd w:val="clear" w:color="auto" w:fill="50C4FF" w:themeFill="accent4" w:themeFillTint="7F"/>
      </w:tcPr>
    </w:tblStylePr>
  </w:style>
  <w:style w:type="table" w:styleId="MediumGrid1-Accent5">
    <w:name w:val="Medium Grid 1 Accent 5"/>
    <w:basedOn w:val="TableNormal"/>
    <w:uiPriority w:val="67"/>
    <w:semiHidden/>
    <w:unhideWhenUsed/>
    <w:rsid w:val="009637A8"/>
    <w:pPr>
      <w:spacing w:after="0" w:line="240" w:lineRule="auto"/>
    </w:pPr>
    <w:tblPr>
      <w:tblStyleRowBandSize w:val="1"/>
      <w:tblStyleColBandSize w:val="1"/>
      <w:tblBorders>
        <w:top w:val="single" w:sz="8" w:space="0" w:color="9CCDE0" w:themeColor="accent5" w:themeTint="BF"/>
        <w:left w:val="single" w:sz="8" w:space="0" w:color="9CCDE0" w:themeColor="accent5" w:themeTint="BF"/>
        <w:bottom w:val="single" w:sz="8" w:space="0" w:color="9CCDE0" w:themeColor="accent5" w:themeTint="BF"/>
        <w:right w:val="single" w:sz="8" w:space="0" w:color="9CCDE0" w:themeColor="accent5" w:themeTint="BF"/>
        <w:insideH w:val="single" w:sz="8" w:space="0" w:color="9CCDE0" w:themeColor="accent5" w:themeTint="BF"/>
        <w:insideV w:val="single" w:sz="8" w:space="0" w:color="9CCDE0" w:themeColor="accent5" w:themeTint="BF"/>
      </w:tblBorders>
    </w:tblPr>
    <w:tcPr>
      <w:shd w:val="clear" w:color="auto" w:fill="DEEEF4" w:themeFill="accent5" w:themeFillTint="3F"/>
    </w:tcPr>
    <w:tblStylePr w:type="firstRow">
      <w:rPr>
        <w:b/>
        <w:bCs/>
      </w:rPr>
    </w:tblStylePr>
    <w:tblStylePr w:type="lastRow">
      <w:rPr>
        <w:b/>
        <w:bCs/>
      </w:rPr>
      <w:tblPr/>
      <w:tcPr>
        <w:tcBorders>
          <w:top w:val="single" w:sz="18" w:space="0" w:color="9CCDE0" w:themeColor="accent5" w:themeTint="BF"/>
        </w:tcBorders>
      </w:tcPr>
    </w:tblStylePr>
    <w:tblStylePr w:type="firstCol">
      <w:rPr>
        <w:b/>
        <w:bCs/>
      </w:rPr>
    </w:tblStylePr>
    <w:tblStylePr w:type="lastCol">
      <w:rPr>
        <w:b/>
        <w:bCs/>
      </w:rPr>
    </w:tblStylePr>
    <w:tblStylePr w:type="band1Vert">
      <w:tblPr/>
      <w:tcPr>
        <w:shd w:val="clear" w:color="auto" w:fill="BDDDEA" w:themeFill="accent5" w:themeFillTint="7F"/>
      </w:tcPr>
    </w:tblStylePr>
    <w:tblStylePr w:type="band1Horz">
      <w:tblPr/>
      <w:tcPr>
        <w:shd w:val="clear" w:color="auto" w:fill="BDDDEA" w:themeFill="accent5" w:themeFillTint="7F"/>
      </w:tcPr>
    </w:tblStylePr>
  </w:style>
  <w:style w:type="table" w:styleId="MediumGrid1-Accent6">
    <w:name w:val="Medium Grid 1 Accent 6"/>
    <w:basedOn w:val="TableNormal"/>
    <w:uiPriority w:val="67"/>
    <w:semiHidden/>
    <w:unhideWhenUsed/>
    <w:rsid w:val="009637A8"/>
    <w:pPr>
      <w:spacing w:after="0" w:line="240" w:lineRule="auto"/>
    </w:pPr>
    <w:tblPr>
      <w:tblStyleRowBandSize w:val="1"/>
      <w:tblStyleColBandSize w:val="1"/>
      <w:tblBorders>
        <w:top w:val="single" w:sz="8" w:space="0" w:color="64B675" w:themeColor="accent6" w:themeTint="BF"/>
        <w:left w:val="single" w:sz="8" w:space="0" w:color="64B675" w:themeColor="accent6" w:themeTint="BF"/>
        <w:bottom w:val="single" w:sz="8" w:space="0" w:color="64B675" w:themeColor="accent6" w:themeTint="BF"/>
        <w:right w:val="single" w:sz="8" w:space="0" w:color="64B675" w:themeColor="accent6" w:themeTint="BF"/>
        <w:insideH w:val="single" w:sz="8" w:space="0" w:color="64B675" w:themeColor="accent6" w:themeTint="BF"/>
        <w:insideV w:val="single" w:sz="8" w:space="0" w:color="64B675" w:themeColor="accent6" w:themeTint="BF"/>
      </w:tblBorders>
    </w:tblPr>
    <w:tcPr>
      <w:shd w:val="clear" w:color="auto" w:fill="CBE7D1" w:themeFill="accent6" w:themeFillTint="3F"/>
    </w:tcPr>
    <w:tblStylePr w:type="firstRow">
      <w:rPr>
        <w:b/>
        <w:bCs/>
      </w:rPr>
    </w:tblStylePr>
    <w:tblStylePr w:type="lastRow">
      <w:rPr>
        <w:b/>
        <w:bCs/>
      </w:rPr>
      <w:tblPr/>
      <w:tcPr>
        <w:tcBorders>
          <w:top w:val="single" w:sz="18" w:space="0" w:color="64B675" w:themeColor="accent6" w:themeTint="BF"/>
        </w:tcBorders>
      </w:tcPr>
    </w:tblStylePr>
    <w:tblStylePr w:type="firstCol">
      <w:rPr>
        <w:b/>
        <w:bCs/>
      </w:rPr>
    </w:tblStylePr>
    <w:tblStylePr w:type="lastCol">
      <w:rPr>
        <w:b/>
        <w:bCs/>
      </w:rPr>
    </w:tblStylePr>
    <w:tblStylePr w:type="band1Vert">
      <w:tblPr/>
      <w:tcPr>
        <w:shd w:val="clear" w:color="auto" w:fill="98CFA3" w:themeFill="accent6" w:themeFillTint="7F"/>
      </w:tcPr>
    </w:tblStylePr>
    <w:tblStylePr w:type="band1Horz">
      <w:tblPr/>
      <w:tcPr>
        <w:shd w:val="clear" w:color="auto" w:fill="98CFA3" w:themeFill="accent6" w:themeFillTint="7F"/>
      </w:tcPr>
    </w:tblStylePr>
  </w:style>
  <w:style w:type="table" w:styleId="MediumGrid2">
    <w:name w:val="Medium Grid 2"/>
    <w:basedOn w:val="TableNormal"/>
    <w:uiPriority w:val="68"/>
    <w:semiHidden/>
    <w:unhideWhenUsed/>
    <w:rsid w:val="009637A8"/>
    <w:pPr>
      <w:spacing w:after="0" w:line="240" w:lineRule="auto"/>
    </w:pPr>
    <w:rPr>
      <w:rFonts w:eastAsiaTheme="majorEastAsia"/>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9637A8"/>
    <w:pPr>
      <w:spacing w:after="0" w:line="240" w:lineRule="auto"/>
    </w:pPr>
    <w:rPr>
      <w:rFonts w:eastAsiaTheme="majorEastAsia"/>
      <w:color w:val="000000" w:themeColor="text1"/>
    </w:rPr>
    <w:tblPr>
      <w:tblStyleRowBandSize w:val="1"/>
      <w:tblStyleColBandSize w:val="1"/>
      <w:tblBorders>
        <w:top w:val="single" w:sz="8" w:space="0" w:color="9D85BE" w:themeColor="accent1"/>
        <w:left w:val="single" w:sz="8" w:space="0" w:color="9D85BE" w:themeColor="accent1"/>
        <w:bottom w:val="single" w:sz="8" w:space="0" w:color="9D85BE" w:themeColor="accent1"/>
        <w:right w:val="single" w:sz="8" w:space="0" w:color="9D85BE" w:themeColor="accent1"/>
        <w:insideH w:val="single" w:sz="8" w:space="0" w:color="9D85BE" w:themeColor="accent1"/>
        <w:insideV w:val="single" w:sz="8" w:space="0" w:color="9D85BE" w:themeColor="accent1"/>
      </w:tblBorders>
    </w:tblPr>
    <w:tcPr>
      <w:shd w:val="clear" w:color="auto" w:fill="E6E0EF" w:themeFill="accent1" w:themeFillTint="3F"/>
    </w:tcPr>
    <w:tblStylePr w:type="firstRow">
      <w:rPr>
        <w:b/>
        <w:bCs/>
        <w:color w:val="000000" w:themeColor="text1"/>
      </w:rPr>
      <w:tblPr/>
      <w:tcPr>
        <w:shd w:val="clear" w:color="auto" w:fill="F5F3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BE6F2" w:themeFill="accent1" w:themeFillTint="33"/>
      </w:tcPr>
    </w:tblStylePr>
    <w:tblStylePr w:type="band1Vert">
      <w:tblPr/>
      <w:tcPr>
        <w:shd w:val="clear" w:color="auto" w:fill="CEC2DE" w:themeFill="accent1" w:themeFillTint="7F"/>
      </w:tcPr>
    </w:tblStylePr>
    <w:tblStylePr w:type="band1Horz">
      <w:tblPr/>
      <w:tcPr>
        <w:tcBorders>
          <w:insideH w:val="single" w:sz="6" w:space="0" w:color="9D85BE" w:themeColor="accent1"/>
          <w:insideV w:val="single" w:sz="6" w:space="0" w:color="9D85BE" w:themeColor="accent1"/>
        </w:tcBorders>
        <w:shd w:val="clear" w:color="auto" w:fill="CEC2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9637A8"/>
    <w:pPr>
      <w:spacing w:after="0" w:line="240" w:lineRule="auto"/>
    </w:pPr>
    <w:rPr>
      <w:rFonts w:eastAsiaTheme="majorEastAsia"/>
      <w:color w:val="000000" w:themeColor="text1"/>
    </w:rPr>
    <w:tblPr>
      <w:tblStyleRowBandSize w:val="1"/>
      <w:tblStyleColBandSize w:val="1"/>
      <w:tblBorders>
        <w:top w:val="single" w:sz="8" w:space="0" w:color="7D7D7D" w:themeColor="accent2"/>
        <w:left w:val="single" w:sz="8" w:space="0" w:color="7D7D7D" w:themeColor="accent2"/>
        <w:bottom w:val="single" w:sz="8" w:space="0" w:color="7D7D7D" w:themeColor="accent2"/>
        <w:right w:val="single" w:sz="8" w:space="0" w:color="7D7D7D" w:themeColor="accent2"/>
        <w:insideH w:val="single" w:sz="8" w:space="0" w:color="7D7D7D" w:themeColor="accent2"/>
        <w:insideV w:val="single" w:sz="8" w:space="0" w:color="7D7D7D" w:themeColor="accent2"/>
      </w:tblBorders>
    </w:tblPr>
    <w:tcPr>
      <w:shd w:val="clear" w:color="auto" w:fill="DEDEDE" w:themeFill="accent2" w:themeFillTint="3F"/>
    </w:tcPr>
    <w:tblStylePr w:type="firstRow">
      <w:rPr>
        <w:b/>
        <w:bCs/>
        <w:color w:val="000000" w:themeColor="text1"/>
      </w:rPr>
      <w:tblPr/>
      <w:tcPr>
        <w:shd w:val="clear" w:color="auto" w:fill="F2F2F2"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5E5" w:themeFill="accent2" w:themeFillTint="33"/>
      </w:tcPr>
    </w:tblStylePr>
    <w:tblStylePr w:type="band1Vert">
      <w:tblPr/>
      <w:tcPr>
        <w:shd w:val="clear" w:color="auto" w:fill="BEBEBE" w:themeFill="accent2" w:themeFillTint="7F"/>
      </w:tcPr>
    </w:tblStylePr>
    <w:tblStylePr w:type="band1Horz">
      <w:tblPr/>
      <w:tcPr>
        <w:tcBorders>
          <w:insideH w:val="single" w:sz="6" w:space="0" w:color="7D7D7D" w:themeColor="accent2"/>
          <w:insideV w:val="single" w:sz="6" w:space="0" w:color="7D7D7D" w:themeColor="accent2"/>
        </w:tcBorders>
        <w:shd w:val="clear" w:color="auto" w:fill="BEBEBE"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9637A8"/>
    <w:pPr>
      <w:spacing w:after="0" w:line="240" w:lineRule="auto"/>
    </w:pPr>
    <w:rPr>
      <w:rFonts w:eastAsiaTheme="majorEastAsia"/>
      <w:color w:val="000000" w:themeColor="text1"/>
    </w:rPr>
    <w:tblPr>
      <w:tblStyleRowBandSize w:val="1"/>
      <w:tblStyleColBandSize w:val="1"/>
      <w:tblBorders>
        <w:top w:val="single" w:sz="8" w:space="0" w:color="C8C8C8" w:themeColor="accent3"/>
        <w:left w:val="single" w:sz="8" w:space="0" w:color="C8C8C8" w:themeColor="accent3"/>
        <w:bottom w:val="single" w:sz="8" w:space="0" w:color="C8C8C8" w:themeColor="accent3"/>
        <w:right w:val="single" w:sz="8" w:space="0" w:color="C8C8C8" w:themeColor="accent3"/>
        <w:insideH w:val="single" w:sz="8" w:space="0" w:color="C8C8C8" w:themeColor="accent3"/>
        <w:insideV w:val="single" w:sz="8" w:space="0" w:color="C8C8C8" w:themeColor="accent3"/>
      </w:tblBorders>
    </w:tblPr>
    <w:tcPr>
      <w:shd w:val="clear" w:color="auto" w:fill="F1F1F1" w:themeFill="accent3" w:themeFillTint="3F"/>
    </w:tcPr>
    <w:tblStylePr w:type="firstRow">
      <w:rPr>
        <w:b/>
        <w:bCs/>
        <w:color w:val="000000" w:themeColor="text1"/>
      </w:rPr>
      <w:tblPr/>
      <w:tcPr>
        <w:shd w:val="clear" w:color="auto" w:fill="F9F9F9"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F4F4" w:themeFill="accent3" w:themeFillTint="33"/>
      </w:tcPr>
    </w:tblStylePr>
    <w:tblStylePr w:type="band1Vert">
      <w:tblPr/>
      <w:tcPr>
        <w:shd w:val="clear" w:color="auto" w:fill="E3E3E3" w:themeFill="accent3" w:themeFillTint="7F"/>
      </w:tcPr>
    </w:tblStylePr>
    <w:tblStylePr w:type="band1Horz">
      <w:tblPr/>
      <w:tcPr>
        <w:tcBorders>
          <w:insideH w:val="single" w:sz="6" w:space="0" w:color="C8C8C8" w:themeColor="accent3"/>
          <w:insideV w:val="single" w:sz="6" w:space="0" w:color="C8C8C8" w:themeColor="accent3"/>
        </w:tcBorders>
        <w:shd w:val="clear" w:color="auto" w:fill="E3E3E3"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9637A8"/>
    <w:pPr>
      <w:spacing w:after="0" w:line="240" w:lineRule="auto"/>
    </w:pPr>
    <w:rPr>
      <w:rFonts w:eastAsiaTheme="majorEastAsia"/>
      <w:color w:val="000000" w:themeColor="text1"/>
    </w:rPr>
    <w:tblPr>
      <w:tblStyleRowBandSize w:val="1"/>
      <w:tblStyleColBandSize w:val="1"/>
      <w:tblBorders>
        <w:top w:val="single" w:sz="8" w:space="0" w:color="006A9F" w:themeColor="accent4"/>
        <w:left w:val="single" w:sz="8" w:space="0" w:color="006A9F" w:themeColor="accent4"/>
        <w:bottom w:val="single" w:sz="8" w:space="0" w:color="006A9F" w:themeColor="accent4"/>
        <w:right w:val="single" w:sz="8" w:space="0" w:color="006A9F" w:themeColor="accent4"/>
        <w:insideH w:val="single" w:sz="8" w:space="0" w:color="006A9F" w:themeColor="accent4"/>
        <w:insideV w:val="single" w:sz="8" w:space="0" w:color="006A9F" w:themeColor="accent4"/>
      </w:tblBorders>
    </w:tblPr>
    <w:tcPr>
      <w:shd w:val="clear" w:color="auto" w:fill="A8E2FF" w:themeFill="accent4" w:themeFillTint="3F"/>
    </w:tcPr>
    <w:tblStylePr w:type="firstRow">
      <w:rPr>
        <w:b/>
        <w:bCs/>
        <w:color w:val="000000" w:themeColor="text1"/>
      </w:rPr>
      <w:tblPr/>
      <w:tcPr>
        <w:shd w:val="clear" w:color="auto" w:fill="DCF3FF"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8E7FF" w:themeFill="accent4" w:themeFillTint="33"/>
      </w:tcPr>
    </w:tblStylePr>
    <w:tblStylePr w:type="band1Vert">
      <w:tblPr/>
      <w:tcPr>
        <w:shd w:val="clear" w:color="auto" w:fill="50C4FF" w:themeFill="accent4" w:themeFillTint="7F"/>
      </w:tcPr>
    </w:tblStylePr>
    <w:tblStylePr w:type="band1Horz">
      <w:tblPr/>
      <w:tcPr>
        <w:tcBorders>
          <w:insideH w:val="single" w:sz="6" w:space="0" w:color="006A9F" w:themeColor="accent4"/>
          <w:insideV w:val="single" w:sz="6" w:space="0" w:color="006A9F" w:themeColor="accent4"/>
        </w:tcBorders>
        <w:shd w:val="clear" w:color="auto" w:fill="50C4F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9637A8"/>
    <w:pPr>
      <w:spacing w:after="0" w:line="240" w:lineRule="auto"/>
    </w:pPr>
    <w:rPr>
      <w:rFonts w:eastAsiaTheme="majorEastAsia"/>
      <w:color w:val="000000" w:themeColor="text1"/>
    </w:rPr>
    <w:tblPr>
      <w:tblStyleRowBandSize w:val="1"/>
      <w:tblStyleColBandSize w:val="1"/>
      <w:tblBorders>
        <w:top w:val="single" w:sz="8" w:space="0" w:color="7BBDD6" w:themeColor="accent5"/>
        <w:left w:val="single" w:sz="8" w:space="0" w:color="7BBDD6" w:themeColor="accent5"/>
        <w:bottom w:val="single" w:sz="8" w:space="0" w:color="7BBDD6" w:themeColor="accent5"/>
        <w:right w:val="single" w:sz="8" w:space="0" w:color="7BBDD6" w:themeColor="accent5"/>
        <w:insideH w:val="single" w:sz="8" w:space="0" w:color="7BBDD6" w:themeColor="accent5"/>
        <w:insideV w:val="single" w:sz="8" w:space="0" w:color="7BBDD6" w:themeColor="accent5"/>
      </w:tblBorders>
    </w:tblPr>
    <w:tcPr>
      <w:shd w:val="clear" w:color="auto" w:fill="DEEEF4" w:themeFill="accent5" w:themeFillTint="3F"/>
    </w:tcPr>
    <w:tblStylePr w:type="firstRow">
      <w:rPr>
        <w:b/>
        <w:bCs/>
        <w:color w:val="000000" w:themeColor="text1"/>
      </w:rPr>
      <w:tblPr/>
      <w:tcPr>
        <w:shd w:val="clear" w:color="auto" w:fill="F2F8FB"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4F1F6" w:themeFill="accent5" w:themeFillTint="33"/>
      </w:tcPr>
    </w:tblStylePr>
    <w:tblStylePr w:type="band1Vert">
      <w:tblPr/>
      <w:tcPr>
        <w:shd w:val="clear" w:color="auto" w:fill="BDDDEA" w:themeFill="accent5" w:themeFillTint="7F"/>
      </w:tcPr>
    </w:tblStylePr>
    <w:tblStylePr w:type="band1Horz">
      <w:tblPr/>
      <w:tcPr>
        <w:tcBorders>
          <w:insideH w:val="single" w:sz="6" w:space="0" w:color="7BBDD6" w:themeColor="accent5"/>
          <w:insideV w:val="single" w:sz="6" w:space="0" w:color="7BBDD6" w:themeColor="accent5"/>
        </w:tcBorders>
        <w:shd w:val="clear" w:color="auto" w:fill="BDDDEA"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9637A8"/>
    <w:pPr>
      <w:spacing w:after="0" w:line="240" w:lineRule="auto"/>
    </w:pPr>
    <w:rPr>
      <w:rFonts w:eastAsiaTheme="majorEastAsia"/>
      <w:color w:val="000000" w:themeColor="text1"/>
    </w:rPr>
    <w:tblPr>
      <w:tblStyleRowBandSize w:val="1"/>
      <w:tblStyleColBandSize w:val="1"/>
      <w:tblBorders>
        <w:top w:val="single" w:sz="8" w:space="0" w:color="428D52" w:themeColor="accent6"/>
        <w:left w:val="single" w:sz="8" w:space="0" w:color="428D52" w:themeColor="accent6"/>
        <w:bottom w:val="single" w:sz="8" w:space="0" w:color="428D52" w:themeColor="accent6"/>
        <w:right w:val="single" w:sz="8" w:space="0" w:color="428D52" w:themeColor="accent6"/>
        <w:insideH w:val="single" w:sz="8" w:space="0" w:color="428D52" w:themeColor="accent6"/>
        <w:insideV w:val="single" w:sz="8" w:space="0" w:color="428D52" w:themeColor="accent6"/>
      </w:tblBorders>
    </w:tblPr>
    <w:tcPr>
      <w:shd w:val="clear" w:color="auto" w:fill="CBE7D1" w:themeFill="accent6" w:themeFillTint="3F"/>
    </w:tcPr>
    <w:tblStylePr w:type="firstRow">
      <w:rPr>
        <w:b/>
        <w:bCs/>
        <w:color w:val="000000" w:themeColor="text1"/>
      </w:rPr>
      <w:tblPr/>
      <w:tcPr>
        <w:shd w:val="clear" w:color="auto" w:fill="EAF5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5EBDA" w:themeFill="accent6" w:themeFillTint="33"/>
      </w:tcPr>
    </w:tblStylePr>
    <w:tblStylePr w:type="band1Vert">
      <w:tblPr/>
      <w:tcPr>
        <w:shd w:val="clear" w:color="auto" w:fill="98CFA3" w:themeFill="accent6" w:themeFillTint="7F"/>
      </w:tcPr>
    </w:tblStylePr>
    <w:tblStylePr w:type="band1Horz">
      <w:tblPr/>
      <w:tcPr>
        <w:tcBorders>
          <w:insideH w:val="single" w:sz="6" w:space="0" w:color="428D52" w:themeColor="accent6"/>
          <w:insideV w:val="single" w:sz="6" w:space="0" w:color="428D52" w:themeColor="accent6"/>
        </w:tcBorders>
        <w:shd w:val="clear" w:color="auto" w:fill="98CFA3"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9637A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9637A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0EF"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D85BE"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D85BE"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D85BE"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D85BE"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EC2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EC2DE" w:themeFill="accent1" w:themeFillTint="7F"/>
      </w:tcPr>
    </w:tblStylePr>
  </w:style>
  <w:style w:type="table" w:styleId="MediumGrid3-Accent2">
    <w:name w:val="Medium Grid 3 Accent 2"/>
    <w:basedOn w:val="TableNormal"/>
    <w:uiPriority w:val="69"/>
    <w:semiHidden/>
    <w:unhideWhenUsed/>
    <w:rsid w:val="009637A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EDEDE"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D7D7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D7D7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D7D7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D7D7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EBEBE"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EBEBE" w:themeFill="accent2" w:themeFillTint="7F"/>
      </w:tcPr>
    </w:tblStylePr>
  </w:style>
  <w:style w:type="table" w:styleId="MediumGrid3-Accent3">
    <w:name w:val="Medium Grid 3 Accent 3"/>
    <w:basedOn w:val="TableNormal"/>
    <w:uiPriority w:val="69"/>
    <w:semiHidden/>
    <w:unhideWhenUsed/>
    <w:rsid w:val="009637A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1F1F1"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8C8C8"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8C8C8"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8C8C8"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8C8C8"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3E3E3"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3E3E3" w:themeFill="accent3" w:themeFillTint="7F"/>
      </w:tcPr>
    </w:tblStylePr>
  </w:style>
  <w:style w:type="table" w:styleId="MediumGrid3-Accent4">
    <w:name w:val="Medium Grid 3 Accent 4"/>
    <w:basedOn w:val="TableNormal"/>
    <w:uiPriority w:val="69"/>
    <w:semiHidden/>
    <w:unhideWhenUsed/>
    <w:rsid w:val="009637A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8E2FF"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6A9F"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6A9F"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6A9F"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6A9F"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0C4F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0C4FF" w:themeFill="accent4" w:themeFillTint="7F"/>
      </w:tcPr>
    </w:tblStylePr>
  </w:style>
  <w:style w:type="table" w:styleId="MediumGrid3-Accent5">
    <w:name w:val="Medium Grid 3 Accent 5"/>
    <w:basedOn w:val="TableNormal"/>
    <w:uiPriority w:val="69"/>
    <w:semiHidden/>
    <w:unhideWhenUsed/>
    <w:rsid w:val="009637A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EEEF4"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BBDD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BBDD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BBDD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BBDD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DDDEA"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DDDEA" w:themeFill="accent5" w:themeFillTint="7F"/>
      </w:tcPr>
    </w:tblStylePr>
  </w:style>
  <w:style w:type="table" w:styleId="MediumGrid3-Accent6">
    <w:name w:val="Medium Grid 3 Accent 6"/>
    <w:basedOn w:val="TableNormal"/>
    <w:uiPriority w:val="69"/>
    <w:semiHidden/>
    <w:unhideWhenUsed/>
    <w:rsid w:val="009637A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BE7D1"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28D52"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28D52"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28D52"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28D52"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8CFA3"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8CFA3" w:themeFill="accent6" w:themeFillTint="7F"/>
      </w:tcPr>
    </w:tblStylePr>
  </w:style>
  <w:style w:type="table" w:styleId="MediumList1">
    <w:name w:val="Medium List 1"/>
    <w:basedOn w:val="TableNormal"/>
    <w:uiPriority w:val="65"/>
    <w:semiHidden/>
    <w:unhideWhenUsed/>
    <w:rsid w:val="009637A8"/>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6C3F99"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9637A8"/>
    <w:pPr>
      <w:spacing w:after="0" w:line="240" w:lineRule="auto"/>
    </w:pPr>
    <w:rPr>
      <w:color w:val="000000" w:themeColor="text1"/>
    </w:rPr>
    <w:tblPr>
      <w:tblStyleRowBandSize w:val="1"/>
      <w:tblStyleColBandSize w:val="1"/>
      <w:tblBorders>
        <w:top w:val="single" w:sz="8" w:space="0" w:color="9D85BE" w:themeColor="accent1"/>
        <w:bottom w:val="single" w:sz="8" w:space="0" w:color="9D85BE" w:themeColor="accent1"/>
      </w:tblBorders>
    </w:tblPr>
    <w:tblStylePr w:type="firstRow">
      <w:rPr>
        <w:rFonts w:asciiTheme="majorHAnsi" w:eastAsiaTheme="majorEastAsia" w:hAnsiTheme="majorHAnsi" w:cstheme="majorBidi"/>
      </w:rPr>
      <w:tblPr/>
      <w:tcPr>
        <w:tcBorders>
          <w:top w:val="nil"/>
          <w:bottom w:val="single" w:sz="8" w:space="0" w:color="9D85BE" w:themeColor="accent1"/>
        </w:tcBorders>
      </w:tcPr>
    </w:tblStylePr>
    <w:tblStylePr w:type="lastRow">
      <w:rPr>
        <w:b/>
        <w:bCs/>
        <w:color w:val="6C3F99" w:themeColor="text2"/>
      </w:rPr>
      <w:tblPr/>
      <w:tcPr>
        <w:tcBorders>
          <w:top w:val="single" w:sz="8" w:space="0" w:color="9D85BE" w:themeColor="accent1"/>
          <w:bottom w:val="single" w:sz="8" w:space="0" w:color="9D85BE" w:themeColor="accent1"/>
        </w:tcBorders>
      </w:tcPr>
    </w:tblStylePr>
    <w:tblStylePr w:type="firstCol">
      <w:rPr>
        <w:b/>
        <w:bCs/>
      </w:rPr>
    </w:tblStylePr>
    <w:tblStylePr w:type="lastCol">
      <w:rPr>
        <w:b/>
        <w:bCs/>
      </w:rPr>
      <w:tblPr/>
      <w:tcPr>
        <w:tcBorders>
          <w:top w:val="single" w:sz="8" w:space="0" w:color="9D85BE" w:themeColor="accent1"/>
          <w:bottom w:val="single" w:sz="8" w:space="0" w:color="9D85BE" w:themeColor="accent1"/>
        </w:tcBorders>
      </w:tcPr>
    </w:tblStylePr>
    <w:tblStylePr w:type="band1Vert">
      <w:tblPr/>
      <w:tcPr>
        <w:shd w:val="clear" w:color="auto" w:fill="E6E0EF" w:themeFill="accent1" w:themeFillTint="3F"/>
      </w:tcPr>
    </w:tblStylePr>
    <w:tblStylePr w:type="band1Horz">
      <w:tblPr/>
      <w:tcPr>
        <w:shd w:val="clear" w:color="auto" w:fill="E6E0EF" w:themeFill="accent1" w:themeFillTint="3F"/>
      </w:tcPr>
    </w:tblStylePr>
  </w:style>
  <w:style w:type="table" w:styleId="MediumList1-Accent2">
    <w:name w:val="Medium List 1 Accent 2"/>
    <w:basedOn w:val="TableNormal"/>
    <w:uiPriority w:val="65"/>
    <w:semiHidden/>
    <w:unhideWhenUsed/>
    <w:rsid w:val="009637A8"/>
    <w:pPr>
      <w:spacing w:after="0" w:line="240" w:lineRule="auto"/>
    </w:pPr>
    <w:rPr>
      <w:color w:val="000000" w:themeColor="text1"/>
    </w:rPr>
    <w:tblPr>
      <w:tblStyleRowBandSize w:val="1"/>
      <w:tblStyleColBandSize w:val="1"/>
      <w:tblBorders>
        <w:top w:val="single" w:sz="8" w:space="0" w:color="7D7D7D" w:themeColor="accent2"/>
        <w:bottom w:val="single" w:sz="8" w:space="0" w:color="7D7D7D" w:themeColor="accent2"/>
      </w:tblBorders>
    </w:tblPr>
    <w:tblStylePr w:type="firstRow">
      <w:rPr>
        <w:rFonts w:asciiTheme="majorHAnsi" w:eastAsiaTheme="majorEastAsia" w:hAnsiTheme="majorHAnsi" w:cstheme="majorBidi"/>
      </w:rPr>
      <w:tblPr/>
      <w:tcPr>
        <w:tcBorders>
          <w:top w:val="nil"/>
          <w:bottom w:val="single" w:sz="8" w:space="0" w:color="7D7D7D" w:themeColor="accent2"/>
        </w:tcBorders>
      </w:tcPr>
    </w:tblStylePr>
    <w:tblStylePr w:type="lastRow">
      <w:rPr>
        <w:b/>
        <w:bCs/>
        <w:color w:val="6C3F99" w:themeColor="text2"/>
      </w:rPr>
      <w:tblPr/>
      <w:tcPr>
        <w:tcBorders>
          <w:top w:val="single" w:sz="8" w:space="0" w:color="7D7D7D" w:themeColor="accent2"/>
          <w:bottom w:val="single" w:sz="8" w:space="0" w:color="7D7D7D" w:themeColor="accent2"/>
        </w:tcBorders>
      </w:tcPr>
    </w:tblStylePr>
    <w:tblStylePr w:type="firstCol">
      <w:rPr>
        <w:b/>
        <w:bCs/>
      </w:rPr>
    </w:tblStylePr>
    <w:tblStylePr w:type="lastCol">
      <w:rPr>
        <w:b/>
        <w:bCs/>
      </w:rPr>
      <w:tblPr/>
      <w:tcPr>
        <w:tcBorders>
          <w:top w:val="single" w:sz="8" w:space="0" w:color="7D7D7D" w:themeColor="accent2"/>
          <w:bottom w:val="single" w:sz="8" w:space="0" w:color="7D7D7D" w:themeColor="accent2"/>
        </w:tcBorders>
      </w:tcPr>
    </w:tblStylePr>
    <w:tblStylePr w:type="band1Vert">
      <w:tblPr/>
      <w:tcPr>
        <w:shd w:val="clear" w:color="auto" w:fill="DEDEDE" w:themeFill="accent2" w:themeFillTint="3F"/>
      </w:tcPr>
    </w:tblStylePr>
    <w:tblStylePr w:type="band1Horz">
      <w:tblPr/>
      <w:tcPr>
        <w:shd w:val="clear" w:color="auto" w:fill="DEDEDE" w:themeFill="accent2" w:themeFillTint="3F"/>
      </w:tcPr>
    </w:tblStylePr>
  </w:style>
  <w:style w:type="table" w:styleId="MediumList1-Accent3">
    <w:name w:val="Medium List 1 Accent 3"/>
    <w:basedOn w:val="TableNormal"/>
    <w:uiPriority w:val="65"/>
    <w:semiHidden/>
    <w:unhideWhenUsed/>
    <w:rsid w:val="009637A8"/>
    <w:pPr>
      <w:spacing w:after="0" w:line="240" w:lineRule="auto"/>
    </w:pPr>
    <w:rPr>
      <w:color w:val="000000" w:themeColor="text1"/>
    </w:rPr>
    <w:tblPr>
      <w:tblStyleRowBandSize w:val="1"/>
      <w:tblStyleColBandSize w:val="1"/>
      <w:tblBorders>
        <w:top w:val="single" w:sz="8" w:space="0" w:color="C8C8C8" w:themeColor="accent3"/>
        <w:bottom w:val="single" w:sz="8" w:space="0" w:color="C8C8C8" w:themeColor="accent3"/>
      </w:tblBorders>
    </w:tblPr>
    <w:tblStylePr w:type="firstRow">
      <w:rPr>
        <w:rFonts w:asciiTheme="majorHAnsi" w:eastAsiaTheme="majorEastAsia" w:hAnsiTheme="majorHAnsi" w:cstheme="majorBidi"/>
      </w:rPr>
      <w:tblPr/>
      <w:tcPr>
        <w:tcBorders>
          <w:top w:val="nil"/>
          <w:bottom w:val="single" w:sz="8" w:space="0" w:color="C8C8C8" w:themeColor="accent3"/>
        </w:tcBorders>
      </w:tcPr>
    </w:tblStylePr>
    <w:tblStylePr w:type="lastRow">
      <w:rPr>
        <w:b/>
        <w:bCs/>
        <w:color w:val="6C3F99" w:themeColor="text2"/>
      </w:rPr>
      <w:tblPr/>
      <w:tcPr>
        <w:tcBorders>
          <w:top w:val="single" w:sz="8" w:space="0" w:color="C8C8C8" w:themeColor="accent3"/>
          <w:bottom w:val="single" w:sz="8" w:space="0" w:color="C8C8C8" w:themeColor="accent3"/>
        </w:tcBorders>
      </w:tcPr>
    </w:tblStylePr>
    <w:tblStylePr w:type="firstCol">
      <w:rPr>
        <w:b/>
        <w:bCs/>
      </w:rPr>
    </w:tblStylePr>
    <w:tblStylePr w:type="lastCol">
      <w:rPr>
        <w:b/>
        <w:bCs/>
      </w:rPr>
      <w:tblPr/>
      <w:tcPr>
        <w:tcBorders>
          <w:top w:val="single" w:sz="8" w:space="0" w:color="C8C8C8" w:themeColor="accent3"/>
          <w:bottom w:val="single" w:sz="8" w:space="0" w:color="C8C8C8" w:themeColor="accent3"/>
        </w:tcBorders>
      </w:tcPr>
    </w:tblStylePr>
    <w:tblStylePr w:type="band1Vert">
      <w:tblPr/>
      <w:tcPr>
        <w:shd w:val="clear" w:color="auto" w:fill="F1F1F1" w:themeFill="accent3" w:themeFillTint="3F"/>
      </w:tcPr>
    </w:tblStylePr>
    <w:tblStylePr w:type="band1Horz">
      <w:tblPr/>
      <w:tcPr>
        <w:shd w:val="clear" w:color="auto" w:fill="F1F1F1" w:themeFill="accent3" w:themeFillTint="3F"/>
      </w:tcPr>
    </w:tblStylePr>
  </w:style>
  <w:style w:type="table" w:styleId="MediumList1-Accent4">
    <w:name w:val="Medium List 1 Accent 4"/>
    <w:basedOn w:val="TableNormal"/>
    <w:uiPriority w:val="65"/>
    <w:semiHidden/>
    <w:unhideWhenUsed/>
    <w:rsid w:val="009637A8"/>
    <w:pPr>
      <w:spacing w:after="0" w:line="240" w:lineRule="auto"/>
    </w:pPr>
    <w:rPr>
      <w:color w:val="000000" w:themeColor="text1"/>
    </w:rPr>
    <w:tblPr>
      <w:tblStyleRowBandSize w:val="1"/>
      <w:tblStyleColBandSize w:val="1"/>
      <w:tblBorders>
        <w:top w:val="single" w:sz="8" w:space="0" w:color="006A9F" w:themeColor="accent4"/>
        <w:bottom w:val="single" w:sz="8" w:space="0" w:color="006A9F" w:themeColor="accent4"/>
      </w:tblBorders>
    </w:tblPr>
    <w:tblStylePr w:type="firstRow">
      <w:rPr>
        <w:rFonts w:asciiTheme="majorHAnsi" w:eastAsiaTheme="majorEastAsia" w:hAnsiTheme="majorHAnsi" w:cstheme="majorBidi"/>
      </w:rPr>
      <w:tblPr/>
      <w:tcPr>
        <w:tcBorders>
          <w:top w:val="nil"/>
          <w:bottom w:val="single" w:sz="8" w:space="0" w:color="006A9F" w:themeColor="accent4"/>
        </w:tcBorders>
      </w:tcPr>
    </w:tblStylePr>
    <w:tblStylePr w:type="lastRow">
      <w:rPr>
        <w:b/>
        <w:bCs/>
        <w:color w:val="6C3F99" w:themeColor="text2"/>
      </w:rPr>
      <w:tblPr/>
      <w:tcPr>
        <w:tcBorders>
          <w:top w:val="single" w:sz="8" w:space="0" w:color="006A9F" w:themeColor="accent4"/>
          <w:bottom w:val="single" w:sz="8" w:space="0" w:color="006A9F" w:themeColor="accent4"/>
        </w:tcBorders>
      </w:tcPr>
    </w:tblStylePr>
    <w:tblStylePr w:type="firstCol">
      <w:rPr>
        <w:b/>
        <w:bCs/>
      </w:rPr>
    </w:tblStylePr>
    <w:tblStylePr w:type="lastCol">
      <w:rPr>
        <w:b/>
        <w:bCs/>
      </w:rPr>
      <w:tblPr/>
      <w:tcPr>
        <w:tcBorders>
          <w:top w:val="single" w:sz="8" w:space="0" w:color="006A9F" w:themeColor="accent4"/>
          <w:bottom w:val="single" w:sz="8" w:space="0" w:color="006A9F" w:themeColor="accent4"/>
        </w:tcBorders>
      </w:tcPr>
    </w:tblStylePr>
    <w:tblStylePr w:type="band1Vert">
      <w:tblPr/>
      <w:tcPr>
        <w:shd w:val="clear" w:color="auto" w:fill="A8E2FF" w:themeFill="accent4" w:themeFillTint="3F"/>
      </w:tcPr>
    </w:tblStylePr>
    <w:tblStylePr w:type="band1Horz">
      <w:tblPr/>
      <w:tcPr>
        <w:shd w:val="clear" w:color="auto" w:fill="A8E2FF" w:themeFill="accent4" w:themeFillTint="3F"/>
      </w:tcPr>
    </w:tblStylePr>
  </w:style>
  <w:style w:type="table" w:styleId="MediumList1-Accent5">
    <w:name w:val="Medium List 1 Accent 5"/>
    <w:basedOn w:val="TableNormal"/>
    <w:uiPriority w:val="65"/>
    <w:semiHidden/>
    <w:unhideWhenUsed/>
    <w:rsid w:val="009637A8"/>
    <w:pPr>
      <w:spacing w:after="0" w:line="240" w:lineRule="auto"/>
    </w:pPr>
    <w:rPr>
      <w:color w:val="000000" w:themeColor="text1"/>
    </w:rPr>
    <w:tblPr>
      <w:tblStyleRowBandSize w:val="1"/>
      <w:tblStyleColBandSize w:val="1"/>
      <w:tblBorders>
        <w:top w:val="single" w:sz="8" w:space="0" w:color="7BBDD6" w:themeColor="accent5"/>
        <w:bottom w:val="single" w:sz="8" w:space="0" w:color="7BBDD6" w:themeColor="accent5"/>
      </w:tblBorders>
    </w:tblPr>
    <w:tblStylePr w:type="firstRow">
      <w:rPr>
        <w:rFonts w:asciiTheme="majorHAnsi" w:eastAsiaTheme="majorEastAsia" w:hAnsiTheme="majorHAnsi" w:cstheme="majorBidi"/>
      </w:rPr>
      <w:tblPr/>
      <w:tcPr>
        <w:tcBorders>
          <w:top w:val="nil"/>
          <w:bottom w:val="single" w:sz="8" w:space="0" w:color="7BBDD6" w:themeColor="accent5"/>
        </w:tcBorders>
      </w:tcPr>
    </w:tblStylePr>
    <w:tblStylePr w:type="lastRow">
      <w:rPr>
        <w:b/>
        <w:bCs/>
        <w:color w:val="6C3F99" w:themeColor="text2"/>
      </w:rPr>
      <w:tblPr/>
      <w:tcPr>
        <w:tcBorders>
          <w:top w:val="single" w:sz="8" w:space="0" w:color="7BBDD6" w:themeColor="accent5"/>
          <w:bottom w:val="single" w:sz="8" w:space="0" w:color="7BBDD6" w:themeColor="accent5"/>
        </w:tcBorders>
      </w:tcPr>
    </w:tblStylePr>
    <w:tblStylePr w:type="firstCol">
      <w:rPr>
        <w:b/>
        <w:bCs/>
      </w:rPr>
    </w:tblStylePr>
    <w:tblStylePr w:type="lastCol">
      <w:rPr>
        <w:b/>
        <w:bCs/>
      </w:rPr>
      <w:tblPr/>
      <w:tcPr>
        <w:tcBorders>
          <w:top w:val="single" w:sz="8" w:space="0" w:color="7BBDD6" w:themeColor="accent5"/>
          <w:bottom w:val="single" w:sz="8" w:space="0" w:color="7BBDD6" w:themeColor="accent5"/>
        </w:tcBorders>
      </w:tcPr>
    </w:tblStylePr>
    <w:tblStylePr w:type="band1Vert">
      <w:tblPr/>
      <w:tcPr>
        <w:shd w:val="clear" w:color="auto" w:fill="DEEEF4" w:themeFill="accent5" w:themeFillTint="3F"/>
      </w:tcPr>
    </w:tblStylePr>
    <w:tblStylePr w:type="band1Horz">
      <w:tblPr/>
      <w:tcPr>
        <w:shd w:val="clear" w:color="auto" w:fill="DEEEF4" w:themeFill="accent5" w:themeFillTint="3F"/>
      </w:tcPr>
    </w:tblStylePr>
  </w:style>
  <w:style w:type="table" w:styleId="MediumList1-Accent6">
    <w:name w:val="Medium List 1 Accent 6"/>
    <w:basedOn w:val="TableNormal"/>
    <w:uiPriority w:val="65"/>
    <w:semiHidden/>
    <w:unhideWhenUsed/>
    <w:rsid w:val="009637A8"/>
    <w:pPr>
      <w:spacing w:after="0" w:line="240" w:lineRule="auto"/>
    </w:pPr>
    <w:rPr>
      <w:color w:val="000000" w:themeColor="text1"/>
    </w:rPr>
    <w:tblPr>
      <w:tblStyleRowBandSize w:val="1"/>
      <w:tblStyleColBandSize w:val="1"/>
      <w:tblBorders>
        <w:top w:val="single" w:sz="8" w:space="0" w:color="428D52" w:themeColor="accent6"/>
        <w:bottom w:val="single" w:sz="8" w:space="0" w:color="428D52" w:themeColor="accent6"/>
      </w:tblBorders>
    </w:tblPr>
    <w:tblStylePr w:type="firstRow">
      <w:rPr>
        <w:rFonts w:asciiTheme="majorHAnsi" w:eastAsiaTheme="majorEastAsia" w:hAnsiTheme="majorHAnsi" w:cstheme="majorBidi"/>
      </w:rPr>
      <w:tblPr/>
      <w:tcPr>
        <w:tcBorders>
          <w:top w:val="nil"/>
          <w:bottom w:val="single" w:sz="8" w:space="0" w:color="428D52" w:themeColor="accent6"/>
        </w:tcBorders>
      </w:tcPr>
    </w:tblStylePr>
    <w:tblStylePr w:type="lastRow">
      <w:rPr>
        <w:b/>
        <w:bCs/>
        <w:color w:val="6C3F99" w:themeColor="text2"/>
      </w:rPr>
      <w:tblPr/>
      <w:tcPr>
        <w:tcBorders>
          <w:top w:val="single" w:sz="8" w:space="0" w:color="428D52" w:themeColor="accent6"/>
          <w:bottom w:val="single" w:sz="8" w:space="0" w:color="428D52" w:themeColor="accent6"/>
        </w:tcBorders>
      </w:tcPr>
    </w:tblStylePr>
    <w:tblStylePr w:type="firstCol">
      <w:rPr>
        <w:b/>
        <w:bCs/>
      </w:rPr>
    </w:tblStylePr>
    <w:tblStylePr w:type="lastCol">
      <w:rPr>
        <w:b/>
        <w:bCs/>
      </w:rPr>
      <w:tblPr/>
      <w:tcPr>
        <w:tcBorders>
          <w:top w:val="single" w:sz="8" w:space="0" w:color="428D52" w:themeColor="accent6"/>
          <w:bottom w:val="single" w:sz="8" w:space="0" w:color="428D52" w:themeColor="accent6"/>
        </w:tcBorders>
      </w:tcPr>
    </w:tblStylePr>
    <w:tblStylePr w:type="band1Vert">
      <w:tblPr/>
      <w:tcPr>
        <w:shd w:val="clear" w:color="auto" w:fill="CBE7D1" w:themeFill="accent6" w:themeFillTint="3F"/>
      </w:tcPr>
    </w:tblStylePr>
    <w:tblStylePr w:type="band1Horz">
      <w:tblPr/>
      <w:tcPr>
        <w:shd w:val="clear" w:color="auto" w:fill="CBE7D1" w:themeFill="accent6" w:themeFillTint="3F"/>
      </w:tcPr>
    </w:tblStylePr>
  </w:style>
  <w:style w:type="table" w:styleId="MediumList2">
    <w:name w:val="Medium List 2"/>
    <w:basedOn w:val="TableNormal"/>
    <w:uiPriority w:val="66"/>
    <w:semiHidden/>
    <w:unhideWhenUsed/>
    <w:rsid w:val="009637A8"/>
    <w:pPr>
      <w:spacing w:after="0" w:line="240" w:lineRule="auto"/>
    </w:pPr>
    <w:rPr>
      <w:rFonts w:eastAsiaTheme="majorEastAsia"/>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9637A8"/>
    <w:pPr>
      <w:spacing w:after="0" w:line="240" w:lineRule="auto"/>
    </w:pPr>
    <w:rPr>
      <w:rFonts w:eastAsiaTheme="majorEastAsia"/>
      <w:color w:val="000000" w:themeColor="text1"/>
    </w:rPr>
    <w:tblPr>
      <w:tblStyleRowBandSize w:val="1"/>
      <w:tblStyleColBandSize w:val="1"/>
      <w:tblBorders>
        <w:top w:val="single" w:sz="8" w:space="0" w:color="9D85BE" w:themeColor="accent1"/>
        <w:left w:val="single" w:sz="8" w:space="0" w:color="9D85BE" w:themeColor="accent1"/>
        <w:bottom w:val="single" w:sz="8" w:space="0" w:color="9D85BE" w:themeColor="accent1"/>
        <w:right w:val="single" w:sz="8" w:space="0" w:color="9D85BE" w:themeColor="accent1"/>
      </w:tblBorders>
    </w:tblPr>
    <w:tblStylePr w:type="firstRow">
      <w:rPr>
        <w:sz w:val="24"/>
        <w:szCs w:val="24"/>
      </w:rPr>
      <w:tblPr/>
      <w:tcPr>
        <w:tcBorders>
          <w:top w:val="nil"/>
          <w:left w:val="nil"/>
          <w:bottom w:val="single" w:sz="24" w:space="0" w:color="9D85BE" w:themeColor="accent1"/>
          <w:right w:val="nil"/>
          <w:insideH w:val="nil"/>
          <w:insideV w:val="nil"/>
        </w:tcBorders>
        <w:shd w:val="clear" w:color="auto" w:fill="FFFFFF" w:themeFill="background1"/>
      </w:tcPr>
    </w:tblStylePr>
    <w:tblStylePr w:type="lastRow">
      <w:tblPr/>
      <w:tcPr>
        <w:tcBorders>
          <w:top w:val="single" w:sz="8" w:space="0" w:color="9D85BE"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D85BE" w:themeColor="accent1"/>
          <w:insideH w:val="nil"/>
          <w:insideV w:val="nil"/>
        </w:tcBorders>
        <w:shd w:val="clear" w:color="auto" w:fill="FFFFFF" w:themeFill="background1"/>
      </w:tcPr>
    </w:tblStylePr>
    <w:tblStylePr w:type="lastCol">
      <w:tblPr/>
      <w:tcPr>
        <w:tcBorders>
          <w:top w:val="nil"/>
          <w:left w:val="single" w:sz="8" w:space="0" w:color="9D85BE"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0EF" w:themeFill="accent1" w:themeFillTint="3F"/>
      </w:tcPr>
    </w:tblStylePr>
    <w:tblStylePr w:type="band1Horz">
      <w:tblPr/>
      <w:tcPr>
        <w:tcBorders>
          <w:top w:val="nil"/>
          <w:bottom w:val="nil"/>
          <w:insideH w:val="nil"/>
          <w:insideV w:val="nil"/>
        </w:tcBorders>
        <w:shd w:val="clear" w:color="auto" w:fill="E6E0EF"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9637A8"/>
    <w:pPr>
      <w:spacing w:after="0" w:line="240" w:lineRule="auto"/>
    </w:pPr>
    <w:rPr>
      <w:rFonts w:eastAsiaTheme="majorEastAsia"/>
      <w:color w:val="000000" w:themeColor="text1"/>
    </w:rPr>
    <w:tblPr>
      <w:tblStyleRowBandSize w:val="1"/>
      <w:tblStyleColBandSize w:val="1"/>
      <w:tblBorders>
        <w:top w:val="single" w:sz="8" w:space="0" w:color="7D7D7D" w:themeColor="accent2"/>
        <w:left w:val="single" w:sz="8" w:space="0" w:color="7D7D7D" w:themeColor="accent2"/>
        <w:bottom w:val="single" w:sz="8" w:space="0" w:color="7D7D7D" w:themeColor="accent2"/>
        <w:right w:val="single" w:sz="8" w:space="0" w:color="7D7D7D" w:themeColor="accent2"/>
      </w:tblBorders>
    </w:tblPr>
    <w:tblStylePr w:type="firstRow">
      <w:rPr>
        <w:sz w:val="24"/>
        <w:szCs w:val="24"/>
      </w:rPr>
      <w:tblPr/>
      <w:tcPr>
        <w:tcBorders>
          <w:top w:val="nil"/>
          <w:left w:val="nil"/>
          <w:bottom w:val="single" w:sz="24" w:space="0" w:color="7D7D7D" w:themeColor="accent2"/>
          <w:right w:val="nil"/>
          <w:insideH w:val="nil"/>
          <w:insideV w:val="nil"/>
        </w:tcBorders>
        <w:shd w:val="clear" w:color="auto" w:fill="FFFFFF" w:themeFill="background1"/>
      </w:tcPr>
    </w:tblStylePr>
    <w:tblStylePr w:type="lastRow">
      <w:tblPr/>
      <w:tcPr>
        <w:tcBorders>
          <w:top w:val="single" w:sz="8" w:space="0" w:color="7D7D7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D7D7D" w:themeColor="accent2"/>
          <w:insideH w:val="nil"/>
          <w:insideV w:val="nil"/>
        </w:tcBorders>
        <w:shd w:val="clear" w:color="auto" w:fill="FFFFFF" w:themeFill="background1"/>
      </w:tcPr>
    </w:tblStylePr>
    <w:tblStylePr w:type="lastCol">
      <w:tblPr/>
      <w:tcPr>
        <w:tcBorders>
          <w:top w:val="nil"/>
          <w:left w:val="single" w:sz="8" w:space="0" w:color="7D7D7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EDEDE" w:themeFill="accent2" w:themeFillTint="3F"/>
      </w:tcPr>
    </w:tblStylePr>
    <w:tblStylePr w:type="band1Horz">
      <w:tblPr/>
      <w:tcPr>
        <w:tcBorders>
          <w:top w:val="nil"/>
          <w:bottom w:val="nil"/>
          <w:insideH w:val="nil"/>
          <w:insideV w:val="nil"/>
        </w:tcBorders>
        <w:shd w:val="clear" w:color="auto" w:fill="DEDEDE"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9637A8"/>
    <w:pPr>
      <w:spacing w:after="0" w:line="240" w:lineRule="auto"/>
    </w:pPr>
    <w:rPr>
      <w:rFonts w:eastAsiaTheme="majorEastAsia"/>
      <w:color w:val="000000" w:themeColor="text1"/>
    </w:rPr>
    <w:tblPr>
      <w:tblStyleRowBandSize w:val="1"/>
      <w:tblStyleColBandSize w:val="1"/>
      <w:tblBorders>
        <w:top w:val="single" w:sz="8" w:space="0" w:color="C8C8C8" w:themeColor="accent3"/>
        <w:left w:val="single" w:sz="8" w:space="0" w:color="C8C8C8" w:themeColor="accent3"/>
        <w:bottom w:val="single" w:sz="8" w:space="0" w:color="C8C8C8" w:themeColor="accent3"/>
        <w:right w:val="single" w:sz="8" w:space="0" w:color="C8C8C8" w:themeColor="accent3"/>
      </w:tblBorders>
    </w:tblPr>
    <w:tblStylePr w:type="firstRow">
      <w:rPr>
        <w:sz w:val="24"/>
        <w:szCs w:val="24"/>
      </w:rPr>
      <w:tblPr/>
      <w:tcPr>
        <w:tcBorders>
          <w:top w:val="nil"/>
          <w:left w:val="nil"/>
          <w:bottom w:val="single" w:sz="24" w:space="0" w:color="C8C8C8" w:themeColor="accent3"/>
          <w:right w:val="nil"/>
          <w:insideH w:val="nil"/>
          <w:insideV w:val="nil"/>
        </w:tcBorders>
        <w:shd w:val="clear" w:color="auto" w:fill="FFFFFF" w:themeFill="background1"/>
      </w:tcPr>
    </w:tblStylePr>
    <w:tblStylePr w:type="lastRow">
      <w:tblPr/>
      <w:tcPr>
        <w:tcBorders>
          <w:top w:val="single" w:sz="8" w:space="0" w:color="C8C8C8"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8C8C8" w:themeColor="accent3"/>
          <w:insideH w:val="nil"/>
          <w:insideV w:val="nil"/>
        </w:tcBorders>
        <w:shd w:val="clear" w:color="auto" w:fill="FFFFFF" w:themeFill="background1"/>
      </w:tcPr>
    </w:tblStylePr>
    <w:tblStylePr w:type="lastCol">
      <w:tblPr/>
      <w:tcPr>
        <w:tcBorders>
          <w:top w:val="nil"/>
          <w:left w:val="single" w:sz="8" w:space="0" w:color="C8C8C8"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1F1F1" w:themeFill="accent3" w:themeFillTint="3F"/>
      </w:tcPr>
    </w:tblStylePr>
    <w:tblStylePr w:type="band1Horz">
      <w:tblPr/>
      <w:tcPr>
        <w:tcBorders>
          <w:top w:val="nil"/>
          <w:bottom w:val="nil"/>
          <w:insideH w:val="nil"/>
          <w:insideV w:val="nil"/>
        </w:tcBorders>
        <w:shd w:val="clear" w:color="auto" w:fill="F1F1F1"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9637A8"/>
    <w:pPr>
      <w:spacing w:after="0" w:line="240" w:lineRule="auto"/>
    </w:pPr>
    <w:rPr>
      <w:rFonts w:eastAsiaTheme="majorEastAsia"/>
      <w:color w:val="000000" w:themeColor="text1"/>
    </w:rPr>
    <w:tblPr>
      <w:tblStyleRowBandSize w:val="1"/>
      <w:tblStyleColBandSize w:val="1"/>
      <w:tblBorders>
        <w:top w:val="single" w:sz="8" w:space="0" w:color="006A9F" w:themeColor="accent4"/>
        <w:left w:val="single" w:sz="8" w:space="0" w:color="006A9F" w:themeColor="accent4"/>
        <w:bottom w:val="single" w:sz="8" w:space="0" w:color="006A9F" w:themeColor="accent4"/>
        <w:right w:val="single" w:sz="8" w:space="0" w:color="006A9F" w:themeColor="accent4"/>
      </w:tblBorders>
    </w:tblPr>
    <w:tblStylePr w:type="firstRow">
      <w:rPr>
        <w:sz w:val="24"/>
        <w:szCs w:val="24"/>
      </w:rPr>
      <w:tblPr/>
      <w:tcPr>
        <w:tcBorders>
          <w:top w:val="nil"/>
          <w:left w:val="nil"/>
          <w:bottom w:val="single" w:sz="24" w:space="0" w:color="006A9F" w:themeColor="accent4"/>
          <w:right w:val="nil"/>
          <w:insideH w:val="nil"/>
          <w:insideV w:val="nil"/>
        </w:tcBorders>
        <w:shd w:val="clear" w:color="auto" w:fill="FFFFFF" w:themeFill="background1"/>
      </w:tcPr>
    </w:tblStylePr>
    <w:tblStylePr w:type="lastRow">
      <w:tblPr/>
      <w:tcPr>
        <w:tcBorders>
          <w:top w:val="single" w:sz="8" w:space="0" w:color="006A9F"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6A9F" w:themeColor="accent4"/>
          <w:insideH w:val="nil"/>
          <w:insideV w:val="nil"/>
        </w:tcBorders>
        <w:shd w:val="clear" w:color="auto" w:fill="FFFFFF" w:themeFill="background1"/>
      </w:tcPr>
    </w:tblStylePr>
    <w:tblStylePr w:type="lastCol">
      <w:tblPr/>
      <w:tcPr>
        <w:tcBorders>
          <w:top w:val="nil"/>
          <w:left w:val="single" w:sz="8" w:space="0" w:color="006A9F"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8E2FF" w:themeFill="accent4" w:themeFillTint="3F"/>
      </w:tcPr>
    </w:tblStylePr>
    <w:tblStylePr w:type="band1Horz">
      <w:tblPr/>
      <w:tcPr>
        <w:tcBorders>
          <w:top w:val="nil"/>
          <w:bottom w:val="nil"/>
          <w:insideH w:val="nil"/>
          <w:insideV w:val="nil"/>
        </w:tcBorders>
        <w:shd w:val="clear" w:color="auto" w:fill="A8E2FF"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9637A8"/>
    <w:pPr>
      <w:spacing w:after="0" w:line="240" w:lineRule="auto"/>
    </w:pPr>
    <w:rPr>
      <w:rFonts w:eastAsiaTheme="majorEastAsia"/>
      <w:color w:val="000000" w:themeColor="text1"/>
    </w:rPr>
    <w:tblPr>
      <w:tblStyleRowBandSize w:val="1"/>
      <w:tblStyleColBandSize w:val="1"/>
      <w:tblBorders>
        <w:top w:val="single" w:sz="8" w:space="0" w:color="7BBDD6" w:themeColor="accent5"/>
        <w:left w:val="single" w:sz="8" w:space="0" w:color="7BBDD6" w:themeColor="accent5"/>
        <w:bottom w:val="single" w:sz="8" w:space="0" w:color="7BBDD6" w:themeColor="accent5"/>
        <w:right w:val="single" w:sz="8" w:space="0" w:color="7BBDD6" w:themeColor="accent5"/>
      </w:tblBorders>
    </w:tblPr>
    <w:tblStylePr w:type="firstRow">
      <w:rPr>
        <w:sz w:val="24"/>
        <w:szCs w:val="24"/>
      </w:rPr>
      <w:tblPr/>
      <w:tcPr>
        <w:tcBorders>
          <w:top w:val="nil"/>
          <w:left w:val="nil"/>
          <w:bottom w:val="single" w:sz="24" w:space="0" w:color="7BBDD6" w:themeColor="accent5"/>
          <w:right w:val="nil"/>
          <w:insideH w:val="nil"/>
          <w:insideV w:val="nil"/>
        </w:tcBorders>
        <w:shd w:val="clear" w:color="auto" w:fill="FFFFFF" w:themeFill="background1"/>
      </w:tcPr>
    </w:tblStylePr>
    <w:tblStylePr w:type="lastRow">
      <w:tblPr/>
      <w:tcPr>
        <w:tcBorders>
          <w:top w:val="single" w:sz="8" w:space="0" w:color="7BBDD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BBDD6" w:themeColor="accent5"/>
          <w:insideH w:val="nil"/>
          <w:insideV w:val="nil"/>
        </w:tcBorders>
        <w:shd w:val="clear" w:color="auto" w:fill="FFFFFF" w:themeFill="background1"/>
      </w:tcPr>
    </w:tblStylePr>
    <w:tblStylePr w:type="lastCol">
      <w:tblPr/>
      <w:tcPr>
        <w:tcBorders>
          <w:top w:val="nil"/>
          <w:left w:val="single" w:sz="8" w:space="0" w:color="7BBDD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EEEF4" w:themeFill="accent5" w:themeFillTint="3F"/>
      </w:tcPr>
    </w:tblStylePr>
    <w:tblStylePr w:type="band1Horz">
      <w:tblPr/>
      <w:tcPr>
        <w:tcBorders>
          <w:top w:val="nil"/>
          <w:bottom w:val="nil"/>
          <w:insideH w:val="nil"/>
          <w:insideV w:val="nil"/>
        </w:tcBorders>
        <w:shd w:val="clear" w:color="auto" w:fill="DEEEF4"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9637A8"/>
    <w:pPr>
      <w:spacing w:after="0" w:line="240" w:lineRule="auto"/>
    </w:pPr>
    <w:rPr>
      <w:rFonts w:eastAsiaTheme="majorEastAsia"/>
      <w:color w:val="000000" w:themeColor="text1"/>
    </w:rPr>
    <w:tblPr>
      <w:tblStyleRowBandSize w:val="1"/>
      <w:tblStyleColBandSize w:val="1"/>
      <w:tblBorders>
        <w:top w:val="single" w:sz="8" w:space="0" w:color="428D52" w:themeColor="accent6"/>
        <w:left w:val="single" w:sz="8" w:space="0" w:color="428D52" w:themeColor="accent6"/>
        <w:bottom w:val="single" w:sz="8" w:space="0" w:color="428D52" w:themeColor="accent6"/>
        <w:right w:val="single" w:sz="8" w:space="0" w:color="428D52" w:themeColor="accent6"/>
      </w:tblBorders>
    </w:tblPr>
    <w:tblStylePr w:type="firstRow">
      <w:rPr>
        <w:sz w:val="24"/>
        <w:szCs w:val="24"/>
      </w:rPr>
      <w:tblPr/>
      <w:tcPr>
        <w:tcBorders>
          <w:top w:val="nil"/>
          <w:left w:val="nil"/>
          <w:bottom w:val="single" w:sz="24" w:space="0" w:color="428D52" w:themeColor="accent6"/>
          <w:right w:val="nil"/>
          <w:insideH w:val="nil"/>
          <w:insideV w:val="nil"/>
        </w:tcBorders>
        <w:shd w:val="clear" w:color="auto" w:fill="FFFFFF" w:themeFill="background1"/>
      </w:tcPr>
    </w:tblStylePr>
    <w:tblStylePr w:type="lastRow">
      <w:tblPr/>
      <w:tcPr>
        <w:tcBorders>
          <w:top w:val="single" w:sz="8" w:space="0" w:color="428D52"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28D52" w:themeColor="accent6"/>
          <w:insideH w:val="nil"/>
          <w:insideV w:val="nil"/>
        </w:tcBorders>
        <w:shd w:val="clear" w:color="auto" w:fill="FFFFFF" w:themeFill="background1"/>
      </w:tcPr>
    </w:tblStylePr>
    <w:tblStylePr w:type="lastCol">
      <w:tblPr/>
      <w:tcPr>
        <w:tcBorders>
          <w:top w:val="nil"/>
          <w:left w:val="single" w:sz="8" w:space="0" w:color="428D52"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BE7D1" w:themeFill="accent6" w:themeFillTint="3F"/>
      </w:tcPr>
    </w:tblStylePr>
    <w:tblStylePr w:type="band1Horz">
      <w:tblPr/>
      <w:tcPr>
        <w:tcBorders>
          <w:top w:val="nil"/>
          <w:bottom w:val="nil"/>
          <w:insideH w:val="nil"/>
          <w:insideV w:val="nil"/>
        </w:tcBorders>
        <w:shd w:val="clear" w:color="auto" w:fill="CBE7D1"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9637A8"/>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9637A8"/>
    <w:pPr>
      <w:spacing w:after="0" w:line="240" w:lineRule="auto"/>
    </w:pPr>
    <w:tblPr>
      <w:tblStyleRowBandSize w:val="1"/>
      <w:tblStyleColBandSize w:val="1"/>
      <w:tblBorders>
        <w:top w:val="single" w:sz="8" w:space="0" w:color="B5A3CE" w:themeColor="accent1" w:themeTint="BF"/>
        <w:left w:val="single" w:sz="8" w:space="0" w:color="B5A3CE" w:themeColor="accent1" w:themeTint="BF"/>
        <w:bottom w:val="single" w:sz="8" w:space="0" w:color="B5A3CE" w:themeColor="accent1" w:themeTint="BF"/>
        <w:right w:val="single" w:sz="8" w:space="0" w:color="B5A3CE" w:themeColor="accent1" w:themeTint="BF"/>
        <w:insideH w:val="single" w:sz="8" w:space="0" w:color="B5A3CE" w:themeColor="accent1" w:themeTint="BF"/>
      </w:tblBorders>
    </w:tblPr>
    <w:tblStylePr w:type="firstRow">
      <w:pPr>
        <w:spacing w:before="0" w:after="0" w:line="240" w:lineRule="auto"/>
      </w:pPr>
      <w:rPr>
        <w:b/>
        <w:bCs/>
        <w:color w:val="FFFFFF" w:themeColor="background1"/>
      </w:rPr>
      <w:tblPr/>
      <w:tcPr>
        <w:tcBorders>
          <w:top w:val="single" w:sz="8" w:space="0" w:color="B5A3CE" w:themeColor="accent1" w:themeTint="BF"/>
          <w:left w:val="single" w:sz="8" w:space="0" w:color="B5A3CE" w:themeColor="accent1" w:themeTint="BF"/>
          <w:bottom w:val="single" w:sz="8" w:space="0" w:color="B5A3CE" w:themeColor="accent1" w:themeTint="BF"/>
          <w:right w:val="single" w:sz="8" w:space="0" w:color="B5A3CE" w:themeColor="accent1" w:themeTint="BF"/>
          <w:insideH w:val="nil"/>
          <w:insideV w:val="nil"/>
        </w:tcBorders>
        <w:shd w:val="clear" w:color="auto" w:fill="9D85BE" w:themeFill="accent1"/>
      </w:tcPr>
    </w:tblStylePr>
    <w:tblStylePr w:type="lastRow">
      <w:pPr>
        <w:spacing w:before="0" w:after="0" w:line="240" w:lineRule="auto"/>
      </w:pPr>
      <w:rPr>
        <w:b/>
        <w:bCs/>
      </w:rPr>
      <w:tblPr/>
      <w:tcPr>
        <w:tcBorders>
          <w:top w:val="double" w:sz="6" w:space="0" w:color="B5A3CE" w:themeColor="accent1" w:themeTint="BF"/>
          <w:left w:val="single" w:sz="8" w:space="0" w:color="B5A3CE" w:themeColor="accent1" w:themeTint="BF"/>
          <w:bottom w:val="single" w:sz="8" w:space="0" w:color="B5A3CE" w:themeColor="accent1" w:themeTint="BF"/>
          <w:right w:val="single" w:sz="8" w:space="0" w:color="B5A3CE" w:themeColor="accent1" w:themeTint="BF"/>
          <w:insideH w:val="nil"/>
          <w:insideV w:val="nil"/>
        </w:tcBorders>
      </w:tcPr>
    </w:tblStylePr>
    <w:tblStylePr w:type="firstCol">
      <w:rPr>
        <w:b/>
        <w:bCs/>
      </w:rPr>
    </w:tblStylePr>
    <w:tblStylePr w:type="lastCol">
      <w:rPr>
        <w:b/>
        <w:bCs/>
      </w:rPr>
    </w:tblStylePr>
    <w:tblStylePr w:type="band1Vert">
      <w:tblPr/>
      <w:tcPr>
        <w:shd w:val="clear" w:color="auto" w:fill="E6E0EF" w:themeFill="accent1" w:themeFillTint="3F"/>
      </w:tcPr>
    </w:tblStylePr>
    <w:tblStylePr w:type="band1Horz">
      <w:tblPr/>
      <w:tcPr>
        <w:tcBorders>
          <w:insideH w:val="nil"/>
          <w:insideV w:val="nil"/>
        </w:tcBorders>
        <w:shd w:val="clear" w:color="auto" w:fill="E6E0E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9637A8"/>
    <w:pPr>
      <w:spacing w:after="0" w:line="240" w:lineRule="auto"/>
    </w:pPr>
    <w:tblPr>
      <w:tblStyleRowBandSize w:val="1"/>
      <w:tblStyleColBandSize w:val="1"/>
      <w:tblBorders>
        <w:top w:val="single" w:sz="8" w:space="0" w:color="9D9D9D" w:themeColor="accent2" w:themeTint="BF"/>
        <w:left w:val="single" w:sz="8" w:space="0" w:color="9D9D9D" w:themeColor="accent2" w:themeTint="BF"/>
        <w:bottom w:val="single" w:sz="8" w:space="0" w:color="9D9D9D" w:themeColor="accent2" w:themeTint="BF"/>
        <w:right w:val="single" w:sz="8" w:space="0" w:color="9D9D9D" w:themeColor="accent2" w:themeTint="BF"/>
        <w:insideH w:val="single" w:sz="8" w:space="0" w:color="9D9D9D" w:themeColor="accent2" w:themeTint="BF"/>
      </w:tblBorders>
    </w:tblPr>
    <w:tblStylePr w:type="firstRow">
      <w:pPr>
        <w:spacing w:before="0" w:after="0" w:line="240" w:lineRule="auto"/>
      </w:pPr>
      <w:rPr>
        <w:b/>
        <w:bCs/>
        <w:color w:val="FFFFFF" w:themeColor="background1"/>
      </w:rPr>
      <w:tblPr/>
      <w:tcPr>
        <w:tcBorders>
          <w:top w:val="single" w:sz="8" w:space="0" w:color="9D9D9D" w:themeColor="accent2" w:themeTint="BF"/>
          <w:left w:val="single" w:sz="8" w:space="0" w:color="9D9D9D" w:themeColor="accent2" w:themeTint="BF"/>
          <w:bottom w:val="single" w:sz="8" w:space="0" w:color="9D9D9D" w:themeColor="accent2" w:themeTint="BF"/>
          <w:right w:val="single" w:sz="8" w:space="0" w:color="9D9D9D" w:themeColor="accent2" w:themeTint="BF"/>
          <w:insideH w:val="nil"/>
          <w:insideV w:val="nil"/>
        </w:tcBorders>
        <w:shd w:val="clear" w:color="auto" w:fill="7D7D7D" w:themeFill="accent2"/>
      </w:tcPr>
    </w:tblStylePr>
    <w:tblStylePr w:type="lastRow">
      <w:pPr>
        <w:spacing w:before="0" w:after="0" w:line="240" w:lineRule="auto"/>
      </w:pPr>
      <w:rPr>
        <w:b/>
        <w:bCs/>
      </w:rPr>
      <w:tblPr/>
      <w:tcPr>
        <w:tcBorders>
          <w:top w:val="double" w:sz="6" w:space="0" w:color="9D9D9D" w:themeColor="accent2" w:themeTint="BF"/>
          <w:left w:val="single" w:sz="8" w:space="0" w:color="9D9D9D" w:themeColor="accent2" w:themeTint="BF"/>
          <w:bottom w:val="single" w:sz="8" w:space="0" w:color="9D9D9D" w:themeColor="accent2" w:themeTint="BF"/>
          <w:right w:val="single" w:sz="8" w:space="0" w:color="9D9D9D" w:themeColor="accent2" w:themeTint="BF"/>
          <w:insideH w:val="nil"/>
          <w:insideV w:val="nil"/>
        </w:tcBorders>
      </w:tcPr>
    </w:tblStylePr>
    <w:tblStylePr w:type="firstCol">
      <w:rPr>
        <w:b/>
        <w:bCs/>
      </w:rPr>
    </w:tblStylePr>
    <w:tblStylePr w:type="lastCol">
      <w:rPr>
        <w:b/>
        <w:bCs/>
      </w:rPr>
    </w:tblStylePr>
    <w:tblStylePr w:type="band1Vert">
      <w:tblPr/>
      <w:tcPr>
        <w:shd w:val="clear" w:color="auto" w:fill="DEDEDE" w:themeFill="accent2" w:themeFillTint="3F"/>
      </w:tcPr>
    </w:tblStylePr>
    <w:tblStylePr w:type="band1Horz">
      <w:tblPr/>
      <w:tcPr>
        <w:tcBorders>
          <w:insideH w:val="nil"/>
          <w:insideV w:val="nil"/>
        </w:tcBorders>
        <w:shd w:val="clear" w:color="auto" w:fill="DEDEDE"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9637A8"/>
    <w:pPr>
      <w:spacing w:after="0" w:line="240" w:lineRule="auto"/>
    </w:pPr>
    <w:tblPr>
      <w:tblStyleRowBandSize w:val="1"/>
      <w:tblStyleColBandSize w:val="1"/>
      <w:tblBorders>
        <w:top w:val="single" w:sz="8" w:space="0" w:color="D5D5D5" w:themeColor="accent3" w:themeTint="BF"/>
        <w:left w:val="single" w:sz="8" w:space="0" w:color="D5D5D5" w:themeColor="accent3" w:themeTint="BF"/>
        <w:bottom w:val="single" w:sz="8" w:space="0" w:color="D5D5D5" w:themeColor="accent3" w:themeTint="BF"/>
        <w:right w:val="single" w:sz="8" w:space="0" w:color="D5D5D5" w:themeColor="accent3" w:themeTint="BF"/>
        <w:insideH w:val="single" w:sz="8" w:space="0" w:color="D5D5D5" w:themeColor="accent3" w:themeTint="BF"/>
      </w:tblBorders>
    </w:tblPr>
    <w:tblStylePr w:type="firstRow">
      <w:pPr>
        <w:spacing w:before="0" w:after="0" w:line="240" w:lineRule="auto"/>
      </w:pPr>
      <w:rPr>
        <w:b/>
        <w:bCs/>
        <w:color w:val="FFFFFF" w:themeColor="background1"/>
      </w:rPr>
      <w:tblPr/>
      <w:tcPr>
        <w:tcBorders>
          <w:top w:val="single" w:sz="8" w:space="0" w:color="D5D5D5" w:themeColor="accent3" w:themeTint="BF"/>
          <w:left w:val="single" w:sz="8" w:space="0" w:color="D5D5D5" w:themeColor="accent3" w:themeTint="BF"/>
          <w:bottom w:val="single" w:sz="8" w:space="0" w:color="D5D5D5" w:themeColor="accent3" w:themeTint="BF"/>
          <w:right w:val="single" w:sz="8" w:space="0" w:color="D5D5D5" w:themeColor="accent3" w:themeTint="BF"/>
          <w:insideH w:val="nil"/>
          <w:insideV w:val="nil"/>
        </w:tcBorders>
        <w:shd w:val="clear" w:color="auto" w:fill="C8C8C8" w:themeFill="accent3"/>
      </w:tcPr>
    </w:tblStylePr>
    <w:tblStylePr w:type="lastRow">
      <w:pPr>
        <w:spacing w:before="0" w:after="0" w:line="240" w:lineRule="auto"/>
      </w:pPr>
      <w:rPr>
        <w:b/>
        <w:bCs/>
      </w:rPr>
      <w:tblPr/>
      <w:tcPr>
        <w:tcBorders>
          <w:top w:val="double" w:sz="6" w:space="0" w:color="D5D5D5" w:themeColor="accent3" w:themeTint="BF"/>
          <w:left w:val="single" w:sz="8" w:space="0" w:color="D5D5D5" w:themeColor="accent3" w:themeTint="BF"/>
          <w:bottom w:val="single" w:sz="8" w:space="0" w:color="D5D5D5" w:themeColor="accent3" w:themeTint="BF"/>
          <w:right w:val="single" w:sz="8" w:space="0" w:color="D5D5D5" w:themeColor="accent3" w:themeTint="BF"/>
          <w:insideH w:val="nil"/>
          <w:insideV w:val="nil"/>
        </w:tcBorders>
      </w:tcPr>
    </w:tblStylePr>
    <w:tblStylePr w:type="firstCol">
      <w:rPr>
        <w:b/>
        <w:bCs/>
      </w:rPr>
    </w:tblStylePr>
    <w:tblStylePr w:type="lastCol">
      <w:rPr>
        <w:b/>
        <w:bCs/>
      </w:rPr>
    </w:tblStylePr>
    <w:tblStylePr w:type="band1Vert">
      <w:tblPr/>
      <w:tcPr>
        <w:shd w:val="clear" w:color="auto" w:fill="F1F1F1" w:themeFill="accent3" w:themeFillTint="3F"/>
      </w:tcPr>
    </w:tblStylePr>
    <w:tblStylePr w:type="band1Horz">
      <w:tblPr/>
      <w:tcPr>
        <w:tcBorders>
          <w:insideH w:val="nil"/>
          <w:insideV w:val="nil"/>
        </w:tcBorders>
        <w:shd w:val="clear" w:color="auto" w:fill="F1F1F1"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9637A8"/>
    <w:pPr>
      <w:spacing w:after="0" w:line="240" w:lineRule="auto"/>
    </w:pPr>
    <w:tblPr>
      <w:tblStyleRowBandSize w:val="1"/>
      <w:tblStyleColBandSize w:val="1"/>
      <w:tblBorders>
        <w:top w:val="single" w:sz="8" w:space="0" w:color="00A4F7" w:themeColor="accent4" w:themeTint="BF"/>
        <w:left w:val="single" w:sz="8" w:space="0" w:color="00A4F7" w:themeColor="accent4" w:themeTint="BF"/>
        <w:bottom w:val="single" w:sz="8" w:space="0" w:color="00A4F7" w:themeColor="accent4" w:themeTint="BF"/>
        <w:right w:val="single" w:sz="8" w:space="0" w:color="00A4F7" w:themeColor="accent4" w:themeTint="BF"/>
        <w:insideH w:val="single" w:sz="8" w:space="0" w:color="00A4F7" w:themeColor="accent4" w:themeTint="BF"/>
      </w:tblBorders>
    </w:tblPr>
    <w:tblStylePr w:type="firstRow">
      <w:pPr>
        <w:spacing w:before="0" w:after="0" w:line="240" w:lineRule="auto"/>
      </w:pPr>
      <w:rPr>
        <w:b/>
        <w:bCs/>
        <w:color w:val="FFFFFF" w:themeColor="background1"/>
      </w:rPr>
      <w:tblPr/>
      <w:tcPr>
        <w:tcBorders>
          <w:top w:val="single" w:sz="8" w:space="0" w:color="00A4F7" w:themeColor="accent4" w:themeTint="BF"/>
          <w:left w:val="single" w:sz="8" w:space="0" w:color="00A4F7" w:themeColor="accent4" w:themeTint="BF"/>
          <w:bottom w:val="single" w:sz="8" w:space="0" w:color="00A4F7" w:themeColor="accent4" w:themeTint="BF"/>
          <w:right w:val="single" w:sz="8" w:space="0" w:color="00A4F7" w:themeColor="accent4" w:themeTint="BF"/>
          <w:insideH w:val="nil"/>
          <w:insideV w:val="nil"/>
        </w:tcBorders>
        <w:shd w:val="clear" w:color="auto" w:fill="006A9F" w:themeFill="accent4"/>
      </w:tcPr>
    </w:tblStylePr>
    <w:tblStylePr w:type="lastRow">
      <w:pPr>
        <w:spacing w:before="0" w:after="0" w:line="240" w:lineRule="auto"/>
      </w:pPr>
      <w:rPr>
        <w:b/>
        <w:bCs/>
      </w:rPr>
      <w:tblPr/>
      <w:tcPr>
        <w:tcBorders>
          <w:top w:val="double" w:sz="6" w:space="0" w:color="00A4F7" w:themeColor="accent4" w:themeTint="BF"/>
          <w:left w:val="single" w:sz="8" w:space="0" w:color="00A4F7" w:themeColor="accent4" w:themeTint="BF"/>
          <w:bottom w:val="single" w:sz="8" w:space="0" w:color="00A4F7" w:themeColor="accent4" w:themeTint="BF"/>
          <w:right w:val="single" w:sz="8" w:space="0" w:color="00A4F7" w:themeColor="accent4" w:themeTint="BF"/>
          <w:insideH w:val="nil"/>
          <w:insideV w:val="nil"/>
        </w:tcBorders>
      </w:tcPr>
    </w:tblStylePr>
    <w:tblStylePr w:type="firstCol">
      <w:rPr>
        <w:b/>
        <w:bCs/>
      </w:rPr>
    </w:tblStylePr>
    <w:tblStylePr w:type="lastCol">
      <w:rPr>
        <w:b/>
        <w:bCs/>
      </w:rPr>
    </w:tblStylePr>
    <w:tblStylePr w:type="band1Vert">
      <w:tblPr/>
      <w:tcPr>
        <w:shd w:val="clear" w:color="auto" w:fill="A8E2FF" w:themeFill="accent4" w:themeFillTint="3F"/>
      </w:tcPr>
    </w:tblStylePr>
    <w:tblStylePr w:type="band1Horz">
      <w:tblPr/>
      <w:tcPr>
        <w:tcBorders>
          <w:insideH w:val="nil"/>
          <w:insideV w:val="nil"/>
        </w:tcBorders>
        <w:shd w:val="clear" w:color="auto" w:fill="A8E2FF"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9637A8"/>
    <w:pPr>
      <w:spacing w:after="0" w:line="240" w:lineRule="auto"/>
    </w:pPr>
    <w:tblPr>
      <w:tblStyleRowBandSize w:val="1"/>
      <w:tblStyleColBandSize w:val="1"/>
      <w:tblBorders>
        <w:top w:val="single" w:sz="8" w:space="0" w:color="9CCDE0" w:themeColor="accent5" w:themeTint="BF"/>
        <w:left w:val="single" w:sz="8" w:space="0" w:color="9CCDE0" w:themeColor="accent5" w:themeTint="BF"/>
        <w:bottom w:val="single" w:sz="8" w:space="0" w:color="9CCDE0" w:themeColor="accent5" w:themeTint="BF"/>
        <w:right w:val="single" w:sz="8" w:space="0" w:color="9CCDE0" w:themeColor="accent5" w:themeTint="BF"/>
        <w:insideH w:val="single" w:sz="8" w:space="0" w:color="9CCDE0" w:themeColor="accent5" w:themeTint="BF"/>
      </w:tblBorders>
    </w:tblPr>
    <w:tblStylePr w:type="firstRow">
      <w:pPr>
        <w:spacing w:before="0" w:after="0" w:line="240" w:lineRule="auto"/>
      </w:pPr>
      <w:rPr>
        <w:b/>
        <w:bCs/>
        <w:color w:val="FFFFFF" w:themeColor="background1"/>
      </w:rPr>
      <w:tblPr/>
      <w:tcPr>
        <w:tcBorders>
          <w:top w:val="single" w:sz="8" w:space="0" w:color="9CCDE0" w:themeColor="accent5" w:themeTint="BF"/>
          <w:left w:val="single" w:sz="8" w:space="0" w:color="9CCDE0" w:themeColor="accent5" w:themeTint="BF"/>
          <w:bottom w:val="single" w:sz="8" w:space="0" w:color="9CCDE0" w:themeColor="accent5" w:themeTint="BF"/>
          <w:right w:val="single" w:sz="8" w:space="0" w:color="9CCDE0" w:themeColor="accent5" w:themeTint="BF"/>
          <w:insideH w:val="nil"/>
          <w:insideV w:val="nil"/>
        </w:tcBorders>
        <w:shd w:val="clear" w:color="auto" w:fill="7BBDD6" w:themeFill="accent5"/>
      </w:tcPr>
    </w:tblStylePr>
    <w:tblStylePr w:type="lastRow">
      <w:pPr>
        <w:spacing w:before="0" w:after="0" w:line="240" w:lineRule="auto"/>
      </w:pPr>
      <w:rPr>
        <w:b/>
        <w:bCs/>
      </w:rPr>
      <w:tblPr/>
      <w:tcPr>
        <w:tcBorders>
          <w:top w:val="double" w:sz="6" w:space="0" w:color="9CCDE0" w:themeColor="accent5" w:themeTint="BF"/>
          <w:left w:val="single" w:sz="8" w:space="0" w:color="9CCDE0" w:themeColor="accent5" w:themeTint="BF"/>
          <w:bottom w:val="single" w:sz="8" w:space="0" w:color="9CCDE0" w:themeColor="accent5" w:themeTint="BF"/>
          <w:right w:val="single" w:sz="8" w:space="0" w:color="9CCDE0" w:themeColor="accent5" w:themeTint="BF"/>
          <w:insideH w:val="nil"/>
          <w:insideV w:val="nil"/>
        </w:tcBorders>
      </w:tcPr>
    </w:tblStylePr>
    <w:tblStylePr w:type="firstCol">
      <w:rPr>
        <w:b/>
        <w:bCs/>
      </w:rPr>
    </w:tblStylePr>
    <w:tblStylePr w:type="lastCol">
      <w:rPr>
        <w:b/>
        <w:bCs/>
      </w:rPr>
    </w:tblStylePr>
    <w:tblStylePr w:type="band1Vert">
      <w:tblPr/>
      <w:tcPr>
        <w:shd w:val="clear" w:color="auto" w:fill="DEEEF4" w:themeFill="accent5" w:themeFillTint="3F"/>
      </w:tcPr>
    </w:tblStylePr>
    <w:tblStylePr w:type="band1Horz">
      <w:tblPr/>
      <w:tcPr>
        <w:tcBorders>
          <w:insideH w:val="nil"/>
          <w:insideV w:val="nil"/>
        </w:tcBorders>
        <w:shd w:val="clear" w:color="auto" w:fill="DEEEF4"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9637A8"/>
    <w:pPr>
      <w:spacing w:after="0" w:line="240" w:lineRule="auto"/>
    </w:pPr>
    <w:tblPr>
      <w:tblStyleRowBandSize w:val="1"/>
      <w:tblStyleColBandSize w:val="1"/>
      <w:tblBorders>
        <w:top w:val="single" w:sz="8" w:space="0" w:color="64B675" w:themeColor="accent6" w:themeTint="BF"/>
        <w:left w:val="single" w:sz="8" w:space="0" w:color="64B675" w:themeColor="accent6" w:themeTint="BF"/>
        <w:bottom w:val="single" w:sz="8" w:space="0" w:color="64B675" w:themeColor="accent6" w:themeTint="BF"/>
        <w:right w:val="single" w:sz="8" w:space="0" w:color="64B675" w:themeColor="accent6" w:themeTint="BF"/>
        <w:insideH w:val="single" w:sz="8" w:space="0" w:color="64B675" w:themeColor="accent6" w:themeTint="BF"/>
      </w:tblBorders>
    </w:tblPr>
    <w:tblStylePr w:type="firstRow">
      <w:pPr>
        <w:spacing w:before="0" w:after="0" w:line="240" w:lineRule="auto"/>
      </w:pPr>
      <w:rPr>
        <w:b/>
        <w:bCs/>
        <w:color w:val="FFFFFF" w:themeColor="background1"/>
      </w:rPr>
      <w:tblPr/>
      <w:tcPr>
        <w:tcBorders>
          <w:top w:val="single" w:sz="8" w:space="0" w:color="64B675" w:themeColor="accent6" w:themeTint="BF"/>
          <w:left w:val="single" w:sz="8" w:space="0" w:color="64B675" w:themeColor="accent6" w:themeTint="BF"/>
          <w:bottom w:val="single" w:sz="8" w:space="0" w:color="64B675" w:themeColor="accent6" w:themeTint="BF"/>
          <w:right w:val="single" w:sz="8" w:space="0" w:color="64B675" w:themeColor="accent6" w:themeTint="BF"/>
          <w:insideH w:val="nil"/>
          <w:insideV w:val="nil"/>
        </w:tcBorders>
        <w:shd w:val="clear" w:color="auto" w:fill="428D52" w:themeFill="accent6"/>
      </w:tcPr>
    </w:tblStylePr>
    <w:tblStylePr w:type="lastRow">
      <w:pPr>
        <w:spacing w:before="0" w:after="0" w:line="240" w:lineRule="auto"/>
      </w:pPr>
      <w:rPr>
        <w:b/>
        <w:bCs/>
      </w:rPr>
      <w:tblPr/>
      <w:tcPr>
        <w:tcBorders>
          <w:top w:val="double" w:sz="6" w:space="0" w:color="64B675" w:themeColor="accent6" w:themeTint="BF"/>
          <w:left w:val="single" w:sz="8" w:space="0" w:color="64B675" w:themeColor="accent6" w:themeTint="BF"/>
          <w:bottom w:val="single" w:sz="8" w:space="0" w:color="64B675" w:themeColor="accent6" w:themeTint="BF"/>
          <w:right w:val="single" w:sz="8" w:space="0" w:color="64B675" w:themeColor="accent6" w:themeTint="BF"/>
          <w:insideH w:val="nil"/>
          <w:insideV w:val="nil"/>
        </w:tcBorders>
      </w:tcPr>
    </w:tblStylePr>
    <w:tblStylePr w:type="firstCol">
      <w:rPr>
        <w:b/>
        <w:bCs/>
      </w:rPr>
    </w:tblStylePr>
    <w:tblStylePr w:type="lastCol">
      <w:rPr>
        <w:b/>
        <w:bCs/>
      </w:rPr>
    </w:tblStylePr>
    <w:tblStylePr w:type="band1Vert">
      <w:tblPr/>
      <w:tcPr>
        <w:shd w:val="clear" w:color="auto" w:fill="CBE7D1" w:themeFill="accent6" w:themeFillTint="3F"/>
      </w:tcPr>
    </w:tblStylePr>
    <w:tblStylePr w:type="band1Horz">
      <w:tblPr/>
      <w:tcPr>
        <w:tcBorders>
          <w:insideH w:val="nil"/>
          <w:insideV w:val="nil"/>
        </w:tcBorders>
        <w:shd w:val="clear" w:color="auto" w:fill="CBE7D1"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9637A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unhideWhenUsed/>
    <w:rsid w:val="009637A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D85BE"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D85BE" w:themeFill="accent1"/>
      </w:tcPr>
    </w:tblStylePr>
    <w:tblStylePr w:type="lastCol">
      <w:rPr>
        <w:b/>
        <w:bCs/>
        <w:color w:val="FFFFFF" w:themeColor="background1"/>
      </w:rPr>
      <w:tblPr/>
      <w:tcPr>
        <w:tcBorders>
          <w:left w:val="nil"/>
          <w:right w:val="nil"/>
          <w:insideH w:val="nil"/>
          <w:insideV w:val="nil"/>
        </w:tcBorders>
        <w:shd w:val="clear" w:color="auto" w:fill="9D85BE"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unhideWhenUsed/>
    <w:rsid w:val="009637A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D7D7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D7D7D" w:themeFill="accent2"/>
      </w:tcPr>
    </w:tblStylePr>
    <w:tblStylePr w:type="lastCol">
      <w:rPr>
        <w:b/>
        <w:bCs/>
        <w:color w:val="FFFFFF" w:themeColor="background1"/>
      </w:rPr>
      <w:tblPr/>
      <w:tcPr>
        <w:tcBorders>
          <w:left w:val="nil"/>
          <w:right w:val="nil"/>
          <w:insideH w:val="nil"/>
          <w:insideV w:val="nil"/>
        </w:tcBorders>
        <w:shd w:val="clear" w:color="auto" w:fill="7D7D7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unhideWhenUsed/>
    <w:rsid w:val="009637A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8C8C8"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8C8C8" w:themeFill="accent3"/>
      </w:tcPr>
    </w:tblStylePr>
    <w:tblStylePr w:type="lastCol">
      <w:rPr>
        <w:b/>
        <w:bCs/>
        <w:color w:val="FFFFFF" w:themeColor="background1"/>
      </w:rPr>
      <w:tblPr/>
      <w:tcPr>
        <w:tcBorders>
          <w:left w:val="nil"/>
          <w:right w:val="nil"/>
          <w:insideH w:val="nil"/>
          <w:insideV w:val="nil"/>
        </w:tcBorders>
        <w:shd w:val="clear" w:color="auto" w:fill="C8C8C8"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unhideWhenUsed/>
    <w:rsid w:val="009637A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6A9F"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6A9F" w:themeFill="accent4"/>
      </w:tcPr>
    </w:tblStylePr>
    <w:tblStylePr w:type="lastCol">
      <w:rPr>
        <w:b/>
        <w:bCs/>
        <w:color w:val="FFFFFF" w:themeColor="background1"/>
      </w:rPr>
      <w:tblPr/>
      <w:tcPr>
        <w:tcBorders>
          <w:left w:val="nil"/>
          <w:right w:val="nil"/>
          <w:insideH w:val="nil"/>
          <w:insideV w:val="nil"/>
        </w:tcBorders>
        <w:shd w:val="clear" w:color="auto" w:fill="006A9F"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unhideWhenUsed/>
    <w:rsid w:val="009637A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BBDD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BBDD6" w:themeFill="accent5"/>
      </w:tcPr>
    </w:tblStylePr>
    <w:tblStylePr w:type="lastCol">
      <w:rPr>
        <w:b/>
        <w:bCs/>
        <w:color w:val="FFFFFF" w:themeColor="background1"/>
      </w:rPr>
      <w:tblPr/>
      <w:tcPr>
        <w:tcBorders>
          <w:left w:val="nil"/>
          <w:right w:val="nil"/>
          <w:insideH w:val="nil"/>
          <w:insideV w:val="nil"/>
        </w:tcBorders>
        <w:shd w:val="clear" w:color="auto" w:fill="7BBDD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unhideWhenUsed/>
    <w:rsid w:val="009637A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28D52"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28D52" w:themeFill="accent6"/>
      </w:tcPr>
    </w:tblStylePr>
    <w:tblStylePr w:type="lastCol">
      <w:rPr>
        <w:b/>
        <w:bCs/>
        <w:color w:val="FFFFFF" w:themeColor="background1"/>
      </w:rPr>
      <w:tblPr/>
      <w:tcPr>
        <w:tcBorders>
          <w:left w:val="nil"/>
          <w:right w:val="nil"/>
          <w:insideH w:val="nil"/>
          <w:insideV w:val="nil"/>
        </w:tcBorders>
        <w:shd w:val="clear" w:color="auto" w:fill="428D52"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Mention">
    <w:name w:val="Mention"/>
    <w:basedOn w:val="DefaultParagraphFont"/>
    <w:uiPriority w:val="99"/>
    <w:semiHidden/>
    <w:unhideWhenUsed/>
    <w:rsid w:val="009637A8"/>
    <w:rPr>
      <w:color w:val="2B579A"/>
      <w:shd w:val="clear" w:color="auto" w:fill="E1DFDD"/>
    </w:rPr>
  </w:style>
  <w:style w:type="paragraph" w:styleId="MessageHeader">
    <w:name w:val="Message Header"/>
    <w:basedOn w:val="Normal"/>
    <w:link w:val="MessageHeaderChar"/>
    <w:uiPriority w:val="99"/>
    <w:semiHidden/>
    <w:unhideWhenUsed/>
    <w:rsid w:val="009637A8"/>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eastAsiaTheme="majorEastAsia"/>
      <w:sz w:val="24"/>
      <w:szCs w:val="24"/>
    </w:rPr>
  </w:style>
  <w:style w:type="character" w:customStyle="1" w:styleId="MessageHeaderChar">
    <w:name w:val="Message Header Char"/>
    <w:basedOn w:val="DefaultParagraphFont"/>
    <w:link w:val="MessageHeader"/>
    <w:uiPriority w:val="99"/>
    <w:semiHidden/>
    <w:rsid w:val="009637A8"/>
    <w:rPr>
      <w:rFonts w:ascii="Arial" w:eastAsiaTheme="majorEastAsia" w:hAnsi="Arial" w:cs="Arial"/>
      <w:sz w:val="24"/>
      <w:szCs w:val="24"/>
      <w:shd w:val="pct20" w:color="auto" w:fill="auto"/>
    </w:rPr>
  </w:style>
  <w:style w:type="paragraph" w:styleId="NoSpacing">
    <w:name w:val="No Spacing"/>
    <w:uiPriority w:val="1"/>
    <w:qFormat/>
    <w:rsid w:val="009637A8"/>
    <w:pPr>
      <w:spacing w:after="0" w:line="240" w:lineRule="auto"/>
    </w:pPr>
    <w:rPr>
      <w:rFonts w:ascii="Arial Narrow" w:hAnsi="Arial Narrow" w:cs="Arial"/>
    </w:rPr>
  </w:style>
  <w:style w:type="paragraph" w:styleId="NormalWeb">
    <w:name w:val="Normal (Web)"/>
    <w:basedOn w:val="Normal"/>
    <w:uiPriority w:val="99"/>
    <w:semiHidden/>
    <w:unhideWhenUsed/>
    <w:rsid w:val="009637A8"/>
    <w:pPr>
      <w:spacing w:after="160" w:line="259" w:lineRule="auto"/>
    </w:pPr>
    <w:rPr>
      <w:sz w:val="24"/>
      <w:szCs w:val="24"/>
    </w:rPr>
  </w:style>
  <w:style w:type="paragraph" w:styleId="NormalIndent">
    <w:name w:val="Normal Indent"/>
    <w:basedOn w:val="Normal"/>
    <w:uiPriority w:val="99"/>
    <w:semiHidden/>
    <w:unhideWhenUsed/>
    <w:rsid w:val="009637A8"/>
    <w:pPr>
      <w:spacing w:after="160" w:line="259" w:lineRule="auto"/>
      <w:ind w:left="720"/>
    </w:pPr>
  </w:style>
  <w:style w:type="paragraph" w:styleId="NoteHeading">
    <w:name w:val="Note Heading"/>
    <w:basedOn w:val="Normal"/>
    <w:next w:val="Normal"/>
    <w:link w:val="NoteHeadingChar"/>
    <w:uiPriority w:val="99"/>
    <w:semiHidden/>
    <w:unhideWhenUsed/>
    <w:rsid w:val="009637A8"/>
    <w:pPr>
      <w:spacing w:after="0"/>
    </w:pPr>
  </w:style>
  <w:style w:type="character" w:customStyle="1" w:styleId="NoteHeadingChar">
    <w:name w:val="Note Heading Char"/>
    <w:basedOn w:val="DefaultParagraphFont"/>
    <w:link w:val="NoteHeading"/>
    <w:uiPriority w:val="99"/>
    <w:semiHidden/>
    <w:rsid w:val="009637A8"/>
    <w:rPr>
      <w:rFonts w:ascii="Arial" w:hAnsi="Arial" w:cs="Arial"/>
    </w:rPr>
  </w:style>
  <w:style w:type="character" w:styleId="PageNumber">
    <w:name w:val="page number"/>
    <w:basedOn w:val="DefaultParagraphFont"/>
    <w:uiPriority w:val="99"/>
    <w:semiHidden/>
    <w:unhideWhenUsed/>
    <w:rsid w:val="009637A8"/>
  </w:style>
  <w:style w:type="character" w:styleId="PlaceholderText">
    <w:name w:val="Placeholder Text"/>
    <w:basedOn w:val="DefaultParagraphFont"/>
    <w:uiPriority w:val="99"/>
    <w:semiHidden/>
    <w:rsid w:val="009637A8"/>
    <w:rPr>
      <w:color w:val="808080"/>
    </w:rPr>
  </w:style>
  <w:style w:type="table" w:styleId="PlainTable1">
    <w:name w:val="Plain Table 1"/>
    <w:basedOn w:val="TableNormal"/>
    <w:uiPriority w:val="41"/>
    <w:rsid w:val="009637A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9637A8"/>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9637A8"/>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9637A8"/>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9637A8"/>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unhideWhenUsed/>
    <w:rsid w:val="009637A8"/>
    <w:pPr>
      <w:spacing w:after="0"/>
    </w:pPr>
    <w:rPr>
      <w:sz w:val="21"/>
      <w:szCs w:val="21"/>
    </w:rPr>
  </w:style>
  <w:style w:type="character" w:customStyle="1" w:styleId="PlainTextChar">
    <w:name w:val="Plain Text Char"/>
    <w:basedOn w:val="DefaultParagraphFont"/>
    <w:link w:val="PlainText"/>
    <w:uiPriority w:val="99"/>
    <w:semiHidden/>
    <w:rsid w:val="009637A8"/>
    <w:rPr>
      <w:rFonts w:ascii="Arial" w:hAnsi="Arial" w:cs="Arial"/>
      <w:sz w:val="21"/>
      <w:szCs w:val="21"/>
    </w:rPr>
  </w:style>
  <w:style w:type="paragraph" w:styleId="Quote">
    <w:name w:val="Quote"/>
    <w:basedOn w:val="Normal"/>
    <w:next w:val="Normal"/>
    <w:link w:val="QuoteChar"/>
    <w:uiPriority w:val="29"/>
    <w:qFormat/>
    <w:rsid w:val="0020185D"/>
    <w:pPr>
      <w:spacing w:before="120" w:after="120"/>
      <w:ind w:left="420"/>
    </w:pPr>
    <w:rPr>
      <w:rFonts w:cstheme="minorBidi"/>
      <w:i/>
      <w:iCs/>
      <w:color w:val="4D4C4D"/>
    </w:rPr>
  </w:style>
  <w:style w:type="character" w:customStyle="1" w:styleId="QuoteChar">
    <w:name w:val="Quote Char"/>
    <w:basedOn w:val="DefaultParagraphFont"/>
    <w:link w:val="Quote"/>
    <w:uiPriority w:val="29"/>
    <w:rsid w:val="0020185D"/>
    <w:rPr>
      <w:rFonts w:ascii="Arial Narrow" w:hAnsi="Arial Narrow"/>
      <w:i/>
      <w:iCs/>
      <w:color w:val="4D4C4D"/>
    </w:rPr>
  </w:style>
  <w:style w:type="paragraph" w:styleId="Salutation">
    <w:name w:val="Salutation"/>
    <w:basedOn w:val="Normal"/>
    <w:next w:val="Normal"/>
    <w:link w:val="SalutationChar"/>
    <w:uiPriority w:val="99"/>
    <w:semiHidden/>
    <w:unhideWhenUsed/>
    <w:rsid w:val="009637A8"/>
    <w:pPr>
      <w:spacing w:after="160" w:line="259" w:lineRule="auto"/>
    </w:pPr>
  </w:style>
  <w:style w:type="character" w:customStyle="1" w:styleId="SalutationChar">
    <w:name w:val="Salutation Char"/>
    <w:basedOn w:val="DefaultParagraphFont"/>
    <w:link w:val="Salutation"/>
    <w:uiPriority w:val="99"/>
    <w:semiHidden/>
    <w:rsid w:val="009637A8"/>
    <w:rPr>
      <w:rFonts w:ascii="Arial" w:hAnsi="Arial" w:cs="Arial"/>
    </w:rPr>
  </w:style>
  <w:style w:type="paragraph" w:styleId="Signature">
    <w:name w:val="Signature"/>
    <w:basedOn w:val="Normal"/>
    <w:link w:val="SignatureChar"/>
    <w:uiPriority w:val="99"/>
    <w:semiHidden/>
    <w:unhideWhenUsed/>
    <w:rsid w:val="009637A8"/>
    <w:pPr>
      <w:spacing w:after="0"/>
      <w:ind w:left="4252"/>
    </w:pPr>
  </w:style>
  <w:style w:type="character" w:customStyle="1" w:styleId="SignatureChar">
    <w:name w:val="Signature Char"/>
    <w:basedOn w:val="DefaultParagraphFont"/>
    <w:link w:val="Signature"/>
    <w:uiPriority w:val="99"/>
    <w:semiHidden/>
    <w:rsid w:val="009637A8"/>
    <w:rPr>
      <w:rFonts w:ascii="Arial" w:hAnsi="Arial" w:cs="Arial"/>
    </w:rPr>
  </w:style>
  <w:style w:type="character" w:styleId="SmartHyperlink">
    <w:name w:val="Smart Hyperlink"/>
    <w:basedOn w:val="DefaultParagraphFont"/>
    <w:uiPriority w:val="99"/>
    <w:semiHidden/>
    <w:unhideWhenUsed/>
    <w:rsid w:val="009637A8"/>
    <w:rPr>
      <w:u w:val="dotted"/>
    </w:rPr>
  </w:style>
  <w:style w:type="character" w:styleId="SmartLink">
    <w:name w:val="Smart Link"/>
    <w:basedOn w:val="DefaultParagraphFont"/>
    <w:uiPriority w:val="99"/>
    <w:semiHidden/>
    <w:unhideWhenUsed/>
    <w:rsid w:val="009637A8"/>
    <w:rPr>
      <w:color w:val="0000FF"/>
      <w:u w:val="single"/>
      <w:shd w:val="clear" w:color="auto" w:fill="F3F2F1"/>
    </w:rPr>
  </w:style>
  <w:style w:type="character" w:styleId="Strong">
    <w:name w:val="Strong"/>
    <w:basedOn w:val="DefaultParagraphFont"/>
    <w:uiPriority w:val="22"/>
    <w:qFormat/>
    <w:rsid w:val="009637A8"/>
    <w:rPr>
      <w:b/>
      <w:bCs/>
    </w:rPr>
  </w:style>
  <w:style w:type="paragraph" w:styleId="Subtitle">
    <w:name w:val="Subtitle"/>
    <w:basedOn w:val="Normal"/>
    <w:next w:val="Normal"/>
    <w:link w:val="SubtitleChar"/>
    <w:uiPriority w:val="11"/>
    <w:qFormat/>
    <w:rsid w:val="009637A8"/>
    <w:pPr>
      <w:numPr>
        <w:ilvl w:val="1"/>
      </w:numPr>
      <w:spacing w:after="160" w:line="259" w:lineRule="auto"/>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9637A8"/>
    <w:rPr>
      <w:rFonts w:ascii="Arial" w:eastAsiaTheme="minorEastAsia" w:hAnsi="Arial" w:cs="Arial"/>
      <w:color w:val="5A5A5A" w:themeColor="text1" w:themeTint="A5"/>
      <w:spacing w:val="15"/>
    </w:rPr>
  </w:style>
  <w:style w:type="character" w:styleId="SubtleEmphasis">
    <w:name w:val="Subtle Emphasis"/>
    <w:basedOn w:val="DefaultParagraphFont"/>
    <w:uiPriority w:val="19"/>
    <w:qFormat/>
    <w:rsid w:val="009637A8"/>
    <w:rPr>
      <w:i/>
      <w:iCs/>
      <w:color w:val="404040" w:themeColor="text1" w:themeTint="BF"/>
    </w:rPr>
  </w:style>
  <w:style w:type="character" w:styleId="SubtleReference">
    <w:name w:val="Subtle Reference"/>
    <w:basedOn w:val="DefaultParagraphFont"/>
    <w:uiPriority w:val="31"/>
    <w:qFormat/>
    <w:rsid w:val="009637A8"/>
    <w:rPr>
      <w:smallCaps/>
      <w:color w:val="5A5A5A" w:themeColor="text1" w:themeTint="A5"/>
    </w:rPr>
  </w:style>
  <w:style w:type="table" w:styleId="Table3Deffects1">
    <w:name w:val="Table 3D effects 1"/>
    <w:basedOn w:val="TableNormal"/>
    <w:uiPriority w:val="99"/>
    <w:semiHidden/>
    <w:unhideWhenUsed/>
    <w:rsid w:val="009637A8"/>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9637A8"/>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9637A8"/>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9637A8"/>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9637A8"/>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9637A8"/>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9637A8"/>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9637A8"/>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9637A8"/>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9637A8"/>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9637A8"/>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9637A8"/>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9637A8"/>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9637A8"/>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9637A8"/>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9637A8"/>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9637A8"/>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39"/>
    <w:rsid w:val="009637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unhideWhenUsed/>
    <w:rsid w:val="009637A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9637A8"/>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9637A8"/>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9637A8"/>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9637A8"/>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9637A8"/>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9637A8"/>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9637A8"/>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9637A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9637A8"/>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9637A8"/>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9637A8"/>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9637A8"/>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9637A8"/>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9637A8"/>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9637A8"/>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9637A8"/>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unhideWhenUsed/>
    <w:rsid w:val="007A77EC"/>
    <w:pPr>
      <w:tabs>
        <w:tab w:val="right" w:pos="7643"/>
      </w:tabs>
      <w:spacing w:after="0" w:line="259" w:lineRule="auto"/>
      <w:ind w:left="1164" w:right="851" w:hanging="1164"/>
    </w:pPr>
  </w:style>
  <w:style w:type="paragraph" w:styleId="TableofFigures">
    <w:name w:val="table of figures"/>
    <w:basedOn w:val="Normal"/>
    <w:next w:val="Normal"/>
    <w:uiPriority w:val="99"/>
    <w:unhideWhenUsed/>
    <w:rsid w:val="00B9265D"/>
    <w:pPr>
      <w:tabs>
        <w:tab w:val="right" w:pos="7643"/>
      </w:tabs>
      <w:spacing w:before="0" w:after="0" w:line="260" w:lineRule="exact"/>
      <w:ind w:left="1123" w:right="851" w:hanging="1123"/>
    </w:pPr>
  </w:style>
  <w:style w:type="table" w:styleId="TableProfessional">
    <w:name w:val="Table Professional"/>
    <w:basedOn w:val="TableNormal"/>
    <w:uiPriority w:val="99"/>
    <w:semiHidden/>
    <w:unhideWhenUsed/>
    <w:rsid w:val="009637A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9637A8"/>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9637A8"/>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9637A8"/>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9637A8"/>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9637A8"/>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9637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9637A8"/>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9637A8"/>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9637A8"/>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BodyText"/>
    <w:next w:val="Normal"/>
    <w:link w:val="TitleChar"/>
    <w:uiPriority w:val="10"/>
    <w:qFormat/>
    <w:rsid w:val="0041760A"/>
    <w:pPr>
      <w:shd w:val="clear" w:color="auto" w:fill="140034" w:themeFill="background2"/>
      <w:ind w:left="-284"/>
    </w:pPr>
    <w:rPr>
      <w:color w:val="FFFFFF" w:themeColor="background1"/>
      <w:sz w:val="88"/>
      <w:szCs w:val="88"/>
    </w:rPr>
  </w:style>
  <w:style w:type="character" w:customStyle="1" w:styleId="TitleChar">
    <w:name w:val="Title Char"/>
    <w:basedOn w:val="DefaultParagraphFont"/>
    <w:link w:val="Title"/>
    <w:uiPriority w:val="10"/>
    <w:rsid w:val="0041760A"/>
    <w:rPr>
      <w:rFonts w:ascii="Arial" w:hAnsi="Arial" w:cs="Arial"/>
      <w:color w:val="FFFFFF" w:themeColor="background1"/>
      <w:sz w:val="88"/>
      <w:szCs w:val="88"/>
      <w:shd w:val="clear" w:color="auto" w:fill="140034" w:themeFill="background2"/>
    </w:rPr>
  </w:style>
  <w:style w:type="paragraph" w:styleId="TOAHeading">
    <w:name w:val="toa heading"/>
    <w:basedOn w:val="Normal"/>
    <w:next w:val="Normal"/>
    <w:uiPriority w:val="99"/>
    <w:semiHidden/>
    <w:unhideWhenUsed/>
    <w:rsid w:val="009637A8"/>
    <w:pPr>
      <w:spacing w:before="120" w:after="160" w:line="259" w:lineRule="auto"/>
    </w:pPr>
    <w:rPr>
      <w:rFonts w:eastAsiaTheme="majorEastAsia"/>
      <w:b/>
      <w:bCs/>
      <w:sz w:val="24"/>
      <w:szCs w:val="24"/>
    </w:rPr>
  </w:style>
  <w:style w:type="paragraph" w:styleId="TOC1">
    <w:name w:val="toc 1"/>
    <w:basedOn w:val="Normal"/>
    <w:next w:val="Normal"/>
    <w:uiPriority w:val="39"/>
    <w:rsid w:val="00C62B89"/>
    <w:pPr>
      <w:tabs>
        <w:tab w:val="right" w:pos="7643"/>
      </w:tabs>
      <w:spacing w:before="300" w:after="360" w:line="240" w:lineRule="exact"/>
      <w:ind w:right="851"/>
    </w:pPr>
    <w:rPr>
      <w:rFonts w:ascii="Yu Gothic Medium" w:eastAsia="Yu Gothic Medium" w:hAnsi="Yu Gothic Medium" w:cstheme="minorBidi"/>
      <w:b/>
      <w:noProof/>
      <w:color w:val="6C3F99"/>
      <w:sz w:val="24"/>
    </w:rPr>
  </w:style>
  <w:style w:type="paragraph" w:styleId="TOC2">
    <w:name w:val="toc 2"/>
    <w:basedOn w:val="Normal"/>
    <w:next w:val="Normal"/>
    <w:uiPriority w:val="39"/>
    <w:rsid w:val="00B9265D"/>
    <w:pPr>
      <w:keepNext/>
      <w:tabs>
        <w:tab w:val="right" w:pos="7643"/>
      </w:tabs>
      <w:spacing w:before="292" w:after="168" w:line="240" w:lineRule="exact"/>
      <w:ind w:left="561" w:right="851" w:hanging="561"/>
    </w:pPr>
    <w:rPr>
      <w:rFonts w:ascii="Yu Gothic Medium" w:eastAsia="Yu Gothic Medium" w:hAnsi="Yu Gothic Medium" w:cstheme="minorBidi"/>
      <w:b/>
      <w:noProof/>
      <w:color w:val="000100"/>
      <w:sz w:val="24"/>
    </w:rPr>
  </w:style>
  <w:style w:type="paragraph" w:styleId="TOC3">
    <w:name w:val="toc 3"/>
    <w:basedOn w:val="Normal"/>
    <w:next w:val="Normal"/>
    <w:uiPriority w:val="39"/>
    <w:rsid w:val="00B9265D"/>
    <w:pPr>
      <w:tabs>
        <w:tab w:val="right" w:pos="7643"/>
      </w:tabs>
      <w:spacing w:before="0" w:after="0" w:line="240" w:lineRule="auto"/>
      <w:ind w:left="1122" w:right="851" w:hanging="561"/>
    </w:pPr>
    <w:rPr>
      <w:rFonts w:cstheme="minorBidi"/>
      <w:noProof/>
      <w:color w:val="000100"/>
      <w:position w:val="-6"/>
    </w:rPr>
  </w:style>
  <w:style w:type="paragraph" w:styleId="TOC4">
    <w:name w:val="toc 4"/>
    <w:basedOn w:val="Normal"/>
    <w:next w:val="Normal"/>
    <w:uiPriority w:val="39"/>
    <w:rsid w:val="00B9265D"/>
    <w:pPr>
      <w:tabs>
        <w:tab w:val="right" w:pos="7643"/>
      </w:tabs>
      <w:spacing w:before="0" w:after="60"/>
      <w:ind w:left="1684" w:right="851" w:hanging="561"/>
      <w:contextualSpacing/>
    </w:pPr>
    <w:rPr>
      <w:rFonts w:cstheme="minorBidi"/>
      <w:noProof/>
      <w:color w:val="000100"/>
      <w:sz w:val="20"/>
    </w:rPr>
  </w:style>
  <w:style w:type="paragraph" w:styleId="TOC5">
    <w:name w:val="toc 5"/>
    <w:basedOn w:val="Normal"/>
    <w:next w:val="Normal"/>
    <w:uiPriority w:val="39"/>
    <w:rsid w:val="00A85EB6"/>
    <w:pPr>
      <w:tabs>
        <w:tab w:val="right" w:pos="7643"/>
      </w:tabs>
      <w:spacing w:after="32"/>
      <w:ind w:left="454" w:right="851" w:hanging="454"/>
    </w:pPr>
    <w:rPr>
      <w:rFonts w:cstheme="minorBidi"/>
      <w:noProof/>
      <w:color w:val="000100"/>
      <w:spacing w:val="-4"/>
      <w:sz w:val="21"/>
    </w:rPr>
  </w:style>
  <w:style w:type="paragraph" w:styleId="TOC6">
    <w:name w:val="toc 6"/>
    <w:basedOn w:val="Normal"/>
    <w:next w:val="Normal"/>
    <w:uiPriority w:val="39"/>
    <w:rsid w:val="00A85EB6"/>
    <w:pPr>
      <w:numPr>
        <w:ilvl w:val="5"/>
        <w:numId w:val="16"/>
      </w:numPr>
      <w:pBdr>
        <w:bottom w:val="single" w:sz="4" w:space="1" w:color="auto"/>
        <w:between w:val="single" w:sz="4" w:space="1" w:color="auto"/>
      </w:pBdr>
      <w:tabs>
        <w:tab w:val="right" w:pos="7643"/>
      </w:tabs>
      <w:spacing w:before="240" w:after="0" w:line="240" w:lineRule="exact"/>
      <w:ind w:left="0" w:right="851" w:firstLine="0"/>
    </w:pPr>
    <w:rPr>
      <w:rFonts w:cstheme="minorBidi"/>
      <w:noProof/>
      <w:color w:val="000100"/>
      <w:sz w:val="20"/>
    </w:rPr>
  </w:style>
  <w:style w:type="paragraph" w:styleId="TOC7">
    <w:name w:val="toc 7"/>
    <w:basedOn w:val="Normal"/>
    <w:next w:val="Normal"/>
    <w:uiPriority w:val="39"/>
    <w:rsid w:val="00A85EB6"/>
    <w:pPr>
      <w:keepNext/>
      <w:numPr>
        <w:ilvl w:val="6"/>
        <w:numId w:val="16"/>
      </w:numPr>
      <w:tabs>
        <w:tab w:val="right" w:pos="7643"/>
      </w:tabs>
      <w:spacing w:before="240" w:after="0" w:line="240" w:lineRule="exact"/>
      <w:ind w:right="851"/>
      <w:contextualSpacing/>
    </w:pPr>
    <w:rPr>
      <w:rFonts w:ascii="Yu Gothic Medium" w:eastAsia="Yu Gothic Medium" w:hAnsi="Yu Gothic Medium" w:cstheme="minorBidi"/>
      <w:b/>
      <w:color w:val="000100"/>
      <w:sz w:val="24"/>
    </w:rPr>
  </w:style>
  <w:style w:type="paragraph" w:styleId="TOC8">
    <w:name w:val="toc 8"/>
    <w:basedOn w:val="Normal"/>
    <w:next w:val="Normal"/>
    <w:uiPriority w:val="39"/>
    <w:rsid w:val="00A85EB6"/>
    <w:pPr>
      <w:tabs>
        <w:tab w:val="right" w:pos="7643"/>
      </w:tabs>
      <w:spacing w:after="100"/>
      <w:ind w:right="851"/>
      <w:contextualSpacing/>
    </w:pPr>
    <w:rPr>
      <w:rFonts w:cstheme="minorBidi"/>
      <w:noProof/>
      <w:color w:val="000100"/>
      <w:sz w:val="18"/>
    </w:rPr>
  </w:style>
  <w:style w:type="paragraph" w:styleId="TOC9">
    <w:name w:val="toc 9"/>
    <w:basedOn w:val="Normal"/>
    <w:next w:val="Normal"/>
    <w:uiPriority w:val="39"/>
    <w:rsid w:val="00A85EB6"/>
    <w:pPr>
      <w:tabs>
        <w:tab w:val="right" w:pos="7643"/>
      </w:tabs>
      <w:spacing w:after="100"/>
      <w:ind w:right="851"/>
    </w:pPr>
    <w:rPr>
      <w:rFonts w:cstheme="minorBidi"/>
      <w:color w:val="000100"/>
      <w:spacing w:val="-4"/>
      <w:sz w:val="19"/>
    </w:rPr>
  </w:style>
  <w:style w:type="paragraph" w:styleId="TOCHeading">
    <w:name w:val="TOC Heading"/>
    <w:basedOn w:val="Heading1"/>
    <w:next w:val="Normal"/>
    <w:uiPriority w:val="39"/>
    <w:unhideWhenUsed/>
    <w:qFormat/>
    <w:rsid w:val="00A53217"/>
    <w:pPr>
      <w:outlineLvl w:val="9"/>
    </w:pPr>
    <w:rPr>
      <w:rFonts w:eastAsia="Yu Gothic Medium"/>
      <w:color w:val="6C3D99"/>
    </w:rPr>
  </w:style>
  <w:style w:type="character" w:styleId="UnresolvedMention">
    <w:name w:val="Unresolved Mention"/>
    <w:basedOn w:val="DefaultParagraphFont"/>
    <w:uiPriority w:val="99"/>
    <w:semiHidden/>
    <w:unhideWhenUsed/>
    <w:rsid w:val="009637A8"/>
    <w:rPr>
      <w:color w:val="605E5C"/>
      <w:shd w:val="clear" w:color="auto" w:fill="E1DFDD"/>
    </w:rPr>
  </w:style>
  <w:style w:type="numbering" w:customStyle="1" w:styleId="aaclstStyleBullets">
    <w:name w:val="aac_lstStyle_Bullets"/>
    <w:uiPriority w:val="99"/>
    <w:rsid w:val="000F76C4"/>
    <w:pPr>
      <w:numPr>
        <w:numId w:val="5"/>
      </w:numPr>
    </w:pPr>
  </w:style>
  <w:style w:type="numbering" w:customStyle="1" w:styleId="aaclstStyleListNumber">
    <w:name w:val="aac_lstStyle_ListNumber"/>
    <w:uiPriority w:val="99"/>
    <w:rsid w:val="00303C43"/>
    <w:pPr>
      <w:numPr>
        <w:numId w:val="6"/>
      </w:numPr>
    </w:pPr>
  </w:style>
  <w:style w:type="numbering" w:customStyle="1" w:styleId="aaclstStyleHeadingNumbered">
    <w:name w:val="aac_lstStyle_HeadingNumbered"/>
    <w:uiPriority w:val="99"/>
    <w:rsid w:val="00B44DDB"/>
    <w:pPr>
      <w:numPr>
        <w:numId w:val="7"/>
      </w:numPr>
    </w:pPr>
  </w:style>
  <w:style w:type="paragraph" w:customStyle="1" w:styleId="Normal-nospace">
    <w:name w:val="Normal - no space"/>
    <w:basedOn w:val="Normal"/>
    <w:qFormat/>
    <w:rsid w:val="00DF3BD9"/>
    <w:pPr>
      <w:spacing w:before="0" w:after="0"/>
    </w:pPr>
    <w:rPr>
      <w:color w:val="000100"/>
    </w:rPr>
  </w:style>
  <w:style w:type="paragraph" w:customStyle="1" w:styleId="Heading2ES">
    <w:name w:val="Heading 2 (ES)"/>
    <w:basedOn w:val="Normal-nospace"/>
    <w:next w:val="BodyText"/>
    <w:rsid w:val="0003684E"/>
    <w:pPr>
      <w:keepNext/>
      <w:numPr>
        <w:ilvl w:val="1"/>
        <w:numId w:val="34"/>
      </w:numPr>
      <w:pBdr>
        <w:bottom w:val="single" w:sz="4" w:space="1" w:color="000000" w:themeColor="text1"/>
      </w:pBdr>
      <w:spacing w:before="480" w:after="480" w:line="320" w:lineRule="atLeast"/>
    </w:pPr>
    <w:rPr>
      <w:rFonts w:ascii="Arial" w:hAnsi="Arial"/>
      <w:b/>
      <w:color w:val="000000" w:themeColor="text1"/>
      <w:sz w:val="36"/>
    </w:rPr>
  </w:style>
  <w:style w:type="paragraph" w:customStyle="1" w:styleId="Introduction">
    <w:name w:val="Introduction"/>
    <w:basedOn w:val="Normal-nospace"/>
    <w:qFormat/>
    <w:rsid w:val="0023326E"/>
    <w:pPr>
      <w:spacing w:before="240" w:after="460" w:line="300" w:lineRule="exact"/>
      <w:ind w:right="120"/>
      <w:contextualSpacing/>
    </w:pPr>
    <w:rPr>
      <w:i/>
      <w:color w:val="7D7C7D"/>
      <w:sz w:val="24"/>
    </w:rPr>
  </w:style>
  <w:style w:type="paragraph" w:customStyle="1" w:styleId="Heading3ES">
    <w:name w:val="Heading 3 (ES)"/>
    <w:basedOn w:val="Normal-nospace"/>
    <w:next w:val="BodyText"/>
    <w:rsid w:val="008A4E8C"/>
    <w:pPr>
      <w:keepNext/>
      <w:numPr>
        <w:ilvl w:val="2"/>
        <w:numId w:val="34"/>
      </w:numPr>
      <w:spacing w:before="360" w:after="240" w:line="240" w:lineRule="atLeast"/>
    </w:pPr>
    <w:rPr>
      <w:rFonts w:ascii="Arial" w:hAnsi="Arial"/>
      <w:b/>
      <w:sz w:val="28"/>
    </w:rPr>
  </w:style>
  <w:style w:type="paragraph" w:customStyle="1" w:styleId="Heading4ES">
    <w:name w:val="Heading 4 (ES)"/>
    <w:basedOn w:val="Normal-nospace"/>
    <w:next w:val="BodyText"/>
    <w:qFormat/>
    <w:rsid w:val="006F183F"/>
    <w:pPr>
      <w:keepNext/>
      <w:numPr>
        <w:ilvl w:val="3"/>
        <w:numId w:val="34"/>
      </w:numPr>
      <w:spacing w:before="240" w:after="240" w:line="300" w:lineRule="atLeast"/>
    </w:pPr>
    <w:rPr>
      <w:rFonts w:ascii="Arial" w:hAnsi="Arial"/>
      <w:b/>
      <w:sz w:val="28"/>
    </w:rPr>
  </w:style>
  <w:style w:type="paragraph" w:customStyle="1" w:styleId="Heading5ES">
    <w:name w:val="Heading 5 (ES)"/>
    <w:basedOn w:val="Normal-nospace"/>
    <w:next w:val="BodyText"/>
    <w:qFormat/>
    <w:rsid w:val="00A27AFA"/>
    <w:pPr>
      <w:keepNext/>
      <w:numPr>
        <w:ilvl w:val="4"/>
        <w:numId w:val="34"/>
      </w:numPr>
      <w:spacing w:before="240" w:after="160" w:line="240" w:lineRule="atLeast"/>
    </w:pPr>
    <w:rPr>
      <w:b/>
      <w:i/>
    </w:rPr>
  </w:style>
  <w:style w:type="paragraph" w:customStyle="1" w:styleId="Heading6ES">
    <w:name w:val="Heading 6 (ES)"/>
    <w:basedOn w:val="Normal-nospace"/>
    <w:next w:val="BodyText"/>
    <w:qFormat/>
    <w:rsid w:val="00A27AFA"/>
    <w:pPr>
      <w:keepNext/>
      <w:numPr>
        <w:ilvl w:val="5"/>
        <w:numId w:val="34"/>
      </w:numPr>
      <w:spacing w:before="240" w:after="160" w:line="240" w:lineRule="atLeast"/>
    </w:pPr>
    <w:rPr>
      <w:b/>
      <w:i/>
      <w:color w:val="959495"/>
    </w:rPr>
  </w:style>
  <w:style w:type="numbering" w:customStyle="1" w:styleId="aaclstStyleHeadingsES">
    <w:name w:val="aac_lstStyle_HeadingsES"/>
    <w:uiPriority w:val="99"/>
    <w:rsid w:val="007E495B"/>
    <w:pPr>
      <w:numPr>
        <w:numId w:val="10"/>
      </w:numPr>
    </w:pPr>
  </w:style>
  <w:style w:type="paragraph" w:customStyle="1" w:styleId="Header-CompanyName">
    <w:name w:val="Header-Company Name"/>
    <w:basedOn w:val="Normal-nospace"/>
    <w:qFormat/>
    <w:rsid w:val="00C410BA"/>
    <w:pPr>
      <w:spacing w:before="16" w:line="240" w:lineRule="auto"/>
      <w:jc w:val="right"/>
    </w:pPr>
    <w:rPr>
      <w:sz w:val="14"/>
    </w:rPr>
  </w:style>
  <w:style w:type="paragraph" w:customStyle="1" w:styleId="FooterText">
    <w:name w:val="Footer Text"/>
    <w:basedOn w:val="Normal-nospace"/>
    <w:qFormat/>
    <w:rsid w:val="00880724"/>
    <w:pPr>
      <w:spacing w:line="240" w:lineRule="auto"/>
    </w:pPr>
    <w:rPr>
      <w:rFonts w:ascii="Yu Gothic Medium" w:eastAsia="Yu Gothic Medium" w:hAnsi="Yu Gothic Medium"/>
      <w:spacing w:val="6"/>
      <w:sz w:val="15"/>
    </w:rPr>
  </w:style>
  <w:style w:type="paragraph" w:customStyle="1" w:styleId="pageNumber0">
    <w:name w:val="pageNumber"/>
    <w:basedOn w:val="Normal-nospace"/>
    <w:qFormat/>
    <w:rsid w:val="00624EEC"/>
    <w:pPr>
      <w:spacing w:after="20" w:line="280" w:lineRule="exact"/>
      <w:jc w:val="center"/>
    </w:pPr>
    <w:rPr>
      <w:rFonts w:ascii="Yu Gothic Medium" w:eastAsia="Yu Gothic Medium" w:hAnsi="Yu Gothic Medium"/>
      <w:color w:val="959495"/>
      <w:sz w:val="25"/>
    </w:rPr>
  </w:style>
  <w:style w:type="paragraph" w:customStyle="1" w:styleId="CpTitle">
    <w:name w:val="Cp Title"/>
    <w:basedOn w:val="Normal-nospace"/>
    <w:qFormat/>
    <w:rsid w:val="00E873F8"/>
    <w:pPr>
      <w:spacing w:after="400" w:line="168" w:lineRule="auto"/>
    </w:pPr>
    <w:rPr>
      <w:rFonts w:ascii="Yu Gothic Medium" w:hAnsi="Yu Gothic Medium"/>
      <w:b/>
      <w:color w:val="FFFFFF" w:themeColor="background1"/>
      <w:sz w:val="80"/>
    </w:rPr>
  </w:style>
  <w:style w:type="paragraph" w:customStyle="1" w:styleId="CpSubTitle">
    <w:name w:val="Cp SubTitle"/>
    <w:basedOn w:val="Normalrgb"/>
    <w:qFormat/>
    <w:rsid w:val="00FF7B74"/>
    <w:pPr>
      <w:spacing w:after="400" w:line="168" w:lineRule="auto"/>
    </w:pPr>
    <w:rPr>
      <w:rFonts w:ascii="Yu Gothic Medium" w:hAnsi="Yu Gothic Medium"/>
      <w:sz w:val="48"/>
    </w:rPr>
  </w:style>
  <w:style w:type="numbering" w:customStyle="1" w:styleId="aaclstStyleAppendices">
    <w:name w:val="aac_lstStyle_Appendices"/>
    <w:uiPriority w:val="99"/>
    <w:rsid w:val="00B470A1"/>
    <w:pPr>
      <w:numPr>
        <w:numId w:val="11"/>
      </w:numPr>
    </w:pPr>
  </w:style>
  <w:style w:type="paragraph" w:customStyle="1" w:styleId="CpReportDate">
    <w:name w:val="Cp Report Date"/>
    <w:basedOn w:val="Normalrgb"/>
    <w:qFormat/>
    <w:rsid w:val="00B9126B"/>
    <w:pPr>
      <w:spacing w:before="90" w:line="260" w:lineRule="exact"/>
    </w:pPr>
    <w:rPr>
      <w:rFonts w:ascii="Yu Gothic Medium" w:eastAsia="Yu Gothic Medium" w:hAnsi="Yu Gothic Medium"/>
      <w:sz w:val="20"/>
    </w:rPr>
  </w:style>
  <w:style w:type="paragraph" w:customStyle="1" w:styleId="CpReportTo">
    <w:name w:val="Cp Report To"/>
    <w:basedOn w:val="Normalrgb"/>
    <w:qFormat/>
    <w:rsid w:val="00B9126B"/>
    <w:pPr>
      <w:spacing w:before="90" w:line="260" w:lineRule="exact"/>
    </w:pPr>
    <w:rPr>
      <w:rFonts w:ascii="Yu Gothic Medium" w:eastAsia="Yu Gothic Medium" w:hAnsi="Yu Gothic Medium"/>
      <w:sz w:val="20"/>
    </w:rPr>
  </w:style>
  <w:style w:type="paragraph" w:customStyle="1" w:styleId="CpClientName">
    <w:name w:val="Cp Client Name"/>
    <w:basedOn w:val="Normalrgb"/>
    <w:qFormat/>
    <w:rsid w:val="00B9126B"/>
    <w:pPr>
      <w:spacing w:before="90" w:line="260" w:lineRule="exact"/>
    </w:pPr>
    <w:rPr>
      <w:rFonts w:ascii="Yu Gothic Medium" w:eastAsia="Yu Gothic Medium" w:hAnsi="Yu Gothic Medium"/>
      <w:sz w:val="20"/>
    </w:rPr>
  </w:style>
  <w:style w:type="paragraph" w:customStyle="1" w:styleId="Style1">
    <w:name w:val="Style1"/>
    <w:basedOn w:val="Normal-nospace"/>
    <w:qFormat/>
    <w:rsid w:val="00695E8A"/>
    <w:pPr>
      <w:spacing w:after="400" w:line="216" w:lineRule="auto"/>
    </w:pPr>
    <w:rPr>
      <w:rFonts w:ascii="Yu Gothic Medium" w:hAnsi="Yu Gothic Medium"/>
      <w:b/>
      <w:color w:val="FF0000"/>
      <w:sz w:val="80"/>
    </w:rPr>
  </w:style>
  <w:style w:type="numbering" w:customStyle="1" w:styleId="lstStyleBullets">
    <w:name w:val="lstStyle_Bullets"/>
    <w:uiPriority w:val="99"/>
    <w:rsid w:val="003F70C7"/>
  </w:style>
  <w:style w:type="numbering" w:customStyle="1" w:styleId="lstStyleListNumber">
    <w:name w:val="lstStyle_ListNumber"/>
    <w:uiPriority w:val="99"/>
    <w:rsid w:val="003F70C7"/>
    <w:pPr>
      <w:numPr>
        <w:numId w:val="13"/>
      </w:numPr>
    </w:pPr>
  </w:style>
  <w:style w:type="numbering" w:customStyle="1" w:styleId="lstStyleHeadingNumbered">
    <w:name w:val="lstStyle_Heading_Numbered"/>
    <w:uiPriority w:val="99"/>
    <w:rsid w:val="003F70C7"/>
    <w:pPr>
      <w:numPr>
        <w:numId w:val="14"/>
      </w:numPr>
    </w:pPr>
  </w:style>
  <w:style w:type="paragraph" w:customStyle="1" w:styleId="spacer">
    <w:name w:val="spacer"/>
    <w:basedOn w:val="Normal-nospace"/>
    <w:qFormat/>
    <w:rsid w:val="006E428D"/>
    <w:pPr>
      <w:spacing w:line="240" w:lineRule="auto"/>
    </w:pPr>
    <w:rPr>
      <w:sz w:val="4"/>
    </w:rPr>
  </w:style>
  <w:style w:type="paragraph" w:customStyle="1" w:styleId="spacertbl">
    <w:name w:val="spacer_tbl"/>
    <w:basedOn w:val="spacer"/>
    <w:qFormat/>
    <w:rsid w:val="006E428D"/>
  </w:style>
  <w:style w:type="paragraph" w:customStyle="1" w:styleId="tagchapterBanner">
    <w:name w:val="tag_chapterBanner"/>
    <w:basedOn w:val="spacer"/>
    <w:qFormat/>
    <w:rsid w:val="0040609B"/>
    <w:pPr>
      <w:keepNext/>
      <w:pageBreakBefore/>
    </w:pPr>
  </w:style>
  <w:style w:type="paragraph" w:customStyle="1" w:styleId="HeadingChapter">
    <w:name w:val="Heading (Chapter)"/>
    <w:basedOn w:val="Normal-nospace"/>
    <w:qFormat/>
    <w:rsid w:val="00557FA4"/>
    <w:pPr>
      <w:spacing w:line="1960" w:lineRule="exact"/>
      <w:ind w:left="216" w:right="62"/>
      <w:jc w:val="right"/>
    </w:pPr>
    <w:rPr>
      <w:rFonts w:ascii="Yu Gothic Medium" w:hAnsi="Yu Gothic Medium"/>
      <w:color w:val="FFFEFF"/>
      <w:sz w:val="160"/>
    </w:rPr>
  </w:style>
  <w:style w:type="paragraph" w:customStyle="1" w:styleId="Heading1ES">
    <w:name w:val="Heading 1 (ES)"/>
    <w:basedOn w:val="Normal"/>
    <w:qFormat/>
    <w:rsid w:val="007E495B"/>
    <w:pPr>
      <w:numPr>
        <w:numId w:val="34"/>
      </w:numPr>
      <w:spacing w:before="0" w:after="200" w:line="192" w:lineRule="auto"/>
    </w:pPr>
    <w:rPr>
      <w:rFonts w:ascii="Yu Gothic Medium" w:hAnsi="Yu Gothic Medium"/>
      <w:color w:val="FFFEFF"/>
      <w:sz w:val="52"/>
    </w:rPr>
  </w:style>
  <w:style w:type="paragraph" w:customStyle="1" w:styleId="tagexecBanner">
    <w:name w:val="tag_execBanner"/>
    <w:basedOn w:val="spacer"/>
    <w:qFormat/>
    <w:rsid w:val="0040609B"/>
    <w:pPr>
      <w:keepNext/>
      <w:pageBreakBefore/>
    </w:pPr>
  </w:style>
  <w:style w:type="paragraph" w:customStyle="1" w:styleId="HeadingAppendix">
    <w:name w:val="Heading (Appendix)"/>
    <w:basedOn w:val="HeadingChapter"/>
    <w:qFormat/>
    <w:rsid w:val="0059608F"/>
  </w:style>
  <w:style w:type="paragraph" w:customStyle="1" w:styleId="tagappendixChapter">
    <w:name w:val="tag_appendixChapter"/>
    <w:basedOn w:val="spacer"/>
    <w:qFormat/>
    <w:rsid w:val="0040609B"/>
    <w:pPr>
      <w:keepNext/>
      <w:pageBreakBefore/>
    </w:pPr>
  </w:style>
  <w:style w:type="table" w:customStyle="1" w:styleId="aacTableBasic">
    <w:name w:val="aac Table (Basic)"/>
    <w:basedOn w:val="TableNormal"/>
    <w:next w:val="TableGrid"/>
    <w:uiPriority w:val="39"/>
    <w:rsid w:val="002D7D78"/>
    <w:pPr>
      <w:spacing w:before="60" w:after="0" w:line="240" w:lineRule="atLeast"/>
    </w:pPr>
    <w:rPr>
      <w:rFonts w:ascii="Arial Narrow" w:hAnsi="Arial Narrow"/>
      <w:lang w:val="en-US"/>
    </w:rPr>
    <w:tblPr>
      <w:tblBorders>
        <w:bottom w:val="single" w:sz="4" w:space="0" w:color="auto"/>
        <w:insideH w:val="single" w:sz="4" w:space="0" w:color="auto"/>
      </w:tblBorders>
      <w:tblCellMar>
        <w:left w:w="0" w:type="dxa"/>
        <w:right w:w="0" w:type="dxa"/>
      </w:tblCellMar>
    </w:tblPr>
    <w:tcPr>
      <w:shd w:val="clear" w:color="auto" w:fill="auto"/>
    </w:tcPr>
    <w:tblStylePr w:type="firstRow">
      <w:pPr>
        <w:jc w:val="left"/>
      </w:pPr>
      <w:rPr>
        <w:color w:val="FFFFFF" w:themeColor="background1"/>
      </w:rPr>
      <w:tblPr/>
      <w:tcPr>
        <w:shd w:val="clear" w:color="auto" w:fill="140034" w:themeFill="background2"/>
      </w:tcPr>
    </w:tblStylePr>
  </w:style>
  <w:style w:type="paragraph" w:customStyle="1" w:styleId="tagcoverPage">
    <w:name w:val="tag_coverPage"/>
    <w:basedOn w:val="spacer"/>
    <w:qFormat/>
    <w:rsid w:val="00F970FA"/>
    <w:rPr>
      <w:b/>
      <w:bCs/>
    </w:rPr>
  </w:style>
  <w:style w:type="paragraph" w:customStyle="1" w:styleId="tagcontactsPage-Front">
    <w:name w:val="tag_contactsPage-Front"/>
    <w:basedOn w:val="spacer"/>
    <w:qFormat/>
    <w:rsid w:val="004051FB"/>
    <w:pPr>
      <w:keepNext/>
      <w:pageBreakBefore/>
    </w:pPr>
  </w:style>
  <w:style w:type="paragraph" w:customStyle="1" w:styleId="tagcontactsPage-Back">
    <w:name w:val="tag_contactsPage-Back"/>
    <w:basedOn w:val="spacer"/>
    <w:qFormat/>
    <w:rsid w:val="00B353EA"/>
  </w:style>
  <w:style w:type="paragraph" w:customStyle="1" w:styleId="tagpartBanner">
    <w:name w:val="tag_partBanner"/>
    <w:basedOn w:val="spacer"/>
    <w:qFormat/>
    <w:rsid w:val="0040609B"/>
    <w:pPr>
      <w:keepNext/>
      <w:pageBreakBefore/>
    </w:pPr>
  </w:style>
  <w:style w:type="paragraph" w:customStyle="1" w:styleId="tagappendixPart">
    <w:name w:val="tag_appendixPart"/>
    <w:basedOn w:val="spacer"/>
    <w:qFormat/>
    <w:rsid w:val="00B353EA"/>
  </w:style>
  <w:style w:type="paragraph" w:customStyle="1" w:styleId="Tabletext">
    <w:name w:val="Table text"/>
    <w:basedOn w:val="Normal-nospace"/>
    <w:rsid w:val="007773C0"/>
    <w:pPr>
      <w:spacing w:before="60" w:after="60"/>
      <w:ind w:right="119"/>
    </w:pPr>
    <w:rPr>
      <w:rFonts w:ascii="Arial" w:hAnsi="Arial"/>
    </w:rPr>
  </w:style>
  <w:style w:type="paragraph" w:customStyle="1" w:styleId="Tabletextsmall">
    <w:name w:val="Table text (small)"/>
    <w:basedOn w:val="Normal-nospace"/>
    <w:qFormat/>
    <w:rsid w:val="00B353EA"/>
    <w:pPr>
      <w:spacing w:before="40" w:line="180" w:lineRule="exact"/>
      <w:ind w:right="119"/>
    </w:pPr>
    <w:rPr>
      <w:sz w:val="16"/>
    </w:rPr>
  </w:style>
  <w:style w:type="paragraph" w:customStyle="1" w:styleId="Tableunitsrow">
    <w:name w:val="Table units row"/>
    <w:basedOn w:val="Normal-nospace"/>
    <w:qFormat/>
    <w:rsid w:val="00B353EA"/>
    <w:pPr>
      <w:spacing w:before="60" w:line="240" w:lineRule="atLeast"/>
      <w:ind w:right="119"/>
    </w:pPr>
    <w:rPr>
      <w:sz w:val="20"/>
    </w:rPr>
  </w:style>
  <w:style w:type="paragraph" w:customStyle="1" w:styleId="Tablecolumnheadings">
    <w:name w:val="Table column headings"/>
    <w:basedOn w:val="Tabletext"/>
    <w:qFormat/>
    <w:rsid w:val="00834951"/>
    <w:pPr>
      <w:keepNext/>
      <w:spacing w:before="40" w:after="40"/>
    </w:pPr>
    <w:rPr>
      <w:b/>
      <w:color w:val="FFFFFF" w:themeColor="background1"/>
    </w:rPr>
  </w:style>
  <w:style w:type="paragraph" w:customStyle="1" w:styleId="Source">
    <w:name w:val="Source"/>
    <w:basedOn w:val="Normal-nospace"/>
    <w:link w:val="SourceChar"/>
    <w:rsid w:val="00F7157F"/>
    <w:pPr>
      <w:keepNext/>
      <w:spacing w:before="52" w:line="240" w:lineRule="auto"/>
    </w:pPr>
    <w:rPr>
      <w:rFonts w:ascii="Arial" w:hAnsi="Arial"/>
      <w:i/>
      <w:sz w:val="20"/>
    </w:rPr>
  </w:style>
  <w:style w:type="paragraph" w:customStyle="1" w:styleId="CpAboutAcilAllen">
    <w:name w:val="Cp About Acil Allen"/>
    <w:basedOn w:val="Normalrgb"/>
    <w:qFormat/>
    <w:rsid w:val="00FF7B74"/>
    <w:pPr>
      <w:spacing w:after="100" w:line="240" w:lineRule="auto"/>
    </w:pPr>
    <w:rPr>
      <w:sz w:val="24"/>
    </w:rPr>
  </w:style>
  <w:style w:type="paragraph" w:customStyle="1" w:styleId="CpDisclaimer">
    <w:name w:val="Cp Disclaimer"/>
    <w:basedOn w:val="Normal-nospace"/>
    <w:qFormat/>
    <w:rsid w:val="009E3722"/>
    <w:pPr>
      <w:spacing w:after="100" w:line="240" w:lineRule="auto"/>
      <w:ind w:right="323"/>
    </w:pPr>
    <w:rPr>
      <w:color w:val="FFFEFF"/>
      <w:sz w:val="14"/>
    </w:rPr>
  </w:style>
  <w:style w:type="paragraph" w:customStyle="1" w:styleId="CpDisclaimer9pt">
    <w:name w:val="Cp Disclaimer 9pt"/>
    <w:basedOn w:val="Normal-nospace"/>
    <w:qFormat/>
    <w:rsid w:val="0052525A"/>
    <w:pPr>
      <w:spacing w:after="100" w:line="240" w:lineRule="auto"/>
    </w:pPr>
    <w:rPr>
      <w:color w:val="FFFEFF"/>
      <w:sz w:val="18"/>
    </w:rPr>
  </w:style>
  <w:style w:type="paragraph" w:customStyle="1" w:styleId="Part-HeadingBanner">
    <w:name w:val="Part - Heading (Banner)"/>
    <w:basedOn w:val="Normal-nospace"/>
    <w:next w:val="Part-SubHeadBanner"/>
    <w:qFormat/>
    <w:rsid w:val="00EB3A30"/>
    <w:pPr>
      <w:spacing w:line="192" w:lineRule="auto"/>
    </w:pPr>
    <w:rPr>
      <w:rFonts w:ascii="Yu Gothic Medium" w:hAnsi="Yu Gothic Medium"/>
      <w:b/>
      <w:color w:val="FFFEFF"/>
      <w:sz w:val="52"/>
    </w:rPr>
  </w:style>
  <w:style w:type="paragraph" w:customStyle="1" w:styleId="Part-SubHeadBanner">
    <w:name w:val="Part - SubHead (Banner)"/>
    <w:basedOn w:val="Normalrgb"/>
    <w:qFormat/>
    <w:rsid w:val="00CA4C4B"/>
    <w:pPr>
      <w:spacing w:line="192" w:lineRule="auto"/>
    </w:pPr>
    <w:rPr>
      <w:rFonts w:ascii="Yu Gothic Medium" w:hAnsi="Yu Gothic Medium"/>
      <w:b/>
      <w:sz w:val="52"/>
    </w:rPr>
  </w:style>
  <w:style w:type="paragraph" w:customStyle="1" w:styleId="Partxx">
    <w:name w:val="Part xx"/>
    <w:basedOn w:val="spacer"/>
    <w:qFormat/>
    <w:rsid w:val="00296BE7"/>
    <w:rPr>
      <w:color w:val="140134"/>
    </w:rPr>
  </w:style>
  <w:style w:type="paragraph" w:customStyle="1" w:styleId="Part-Number">
    <w:name w:val="Part - Number"/>
    <w:basedOn w:val="BodyText"/>
    <w:qFormat/>
    <w:rsid w:val="00DA2D22"/>
    <w:pPr>
      <w:spacing w:before="24" w:after="0" w:line="1600" w:lineRule="exact"/>
      <w:jc w:val="right"/>
    </w:pPr>
    <w:rPr>
      <w:rFonts w:ascii="Yu Gothic Medium" w:eastAsia="Yu Gothic Medium" w:hAnsi="Yu Gothic Medium"/>
      <w:color w:val="FFFEFF"/>
      <w:position w:val="-16"/>
      <w:sz w:val="160"/>
    </w:rPr>
  </w:style>
  <w:style w:type="paragraph" w:customStyle="1" w:styleId="App-DividerHeading">
    <w:name w:val="App - Divider (Heading)"/>
    <w:basedOn w:val="Part-HeadingBanner"/>
    <w:next w:val="App-DividerSubHeading"/>
    <w:qFormat/>
    <w:rsid w:val="00EB3A30"/>
  </w:style>
  <w:style w:type="paragraph" w:customStyle="1" w:styleId="App-DividerSubHeading">
    <w:name w:val="App - Divider (Sub Heading)"/>
    <w:basedOn w:val="Part-SubHeadBanner"/>
    <w:qFormat/>
    <w:rsid w:val="00E41318"/>
  </w:style>
  <w:style w:type="paragraph" w:customStyle="1" w:styleId="CpContactDetails">
    <w:name w:val="Cp Contact Details"/>
    <w:basedOn w:val="Normal"/>
    <w:qFormat/>
    <w:rsid w:val="00501F07"/>
    <w:pPr>
      <w:spacing w:before="0" w:after="0" w:line="250" w:lineRule="exact"/>
    </w:pPr>
    <w:rPr>
      <w:color w:val="FFFEFF"/>
    </w:rPr>
  </w:style>
  <w:style w:type="paragraph" w:customStyle="1" w:styleId="LetterHeading1">
    <w:name w:val="Letter Heading 1"/>
    <w:basedOn w:val="BodyText"/>
    <w:next w:val="BodyText"/>
    <w:qFormat/>
    <w:rsid w:val="00057123"/>
    <w:rPr>
      <w:b/>
      <w:color w:val="000100"/>
    </w:rPr>
  </w:style>
  <w:style w:type="paragraph" w:customStyle="1" w:styleId="LetterDate">
    <w:name w:val="LetterDate"/>
    <w:basedOn w:val="Normal-nospace"/>
    <w:next w:val="LetterRef"/>
    <w:qFormat/>
    <w:rsid w:val="00DF3BD9"/>
    <w:pPr>
      <w:spacing w:before="600" w:line="280" w:lineRule="exact"/>
    </w:pPr>
  </w:style>
  <w:style w:type="paragraph" w:customStyle="1" w:styleId="LetterRef">
    <w:name w:val="LetterRef"/>
    <w:basedOn w:val="Normal-nospace"/>
    <w:next w:val="LetterName"/>
    <w:qFormat/>
    <w:rsid w:val="00DF3BD9"/>
    <w:pPr>
      <w:spacing w:before="40" w:after="600"/>
    </w:pPr>
  </w:style>
  <w:style w:type="paragraph" w:customStyle="1" w:styleId="LetterName">
    <w:name w:val="LetterName"/>
    <w:basedOn w:val="Normal-nospace"/>
    <w:next w:val="LetterTitle"/>
    <w:qFormat/>
    <w:rsid w:val="00DF3BD9"/>
    <w:pPr>
      <w:spacing w:line="280" w:lineRule="exact"/>
    </w:pPr>
  </w:style>
  <w:style w:type="paragraph" w:customStyle="1" w:styleId="LetterTitle">
    <w:name w:val="LetterTitle"/>
    <w:basedOn w:val="Normal-nospace"/>
    <w:next w:val="LetterCompany"/>
    <w:qFormat/>
    <w:rsid w:val="00DF3BD9"/>
    <w:pPr>
      <w:spacing w:line="280" w:lineRule="exact"/>
    </w:pPr>
  </w:style>
  <w:style w:type="paragraph" w:customStyle="1" w:styleId="LetterCompany">
    <w:name w:val="LetterCompany"/>
    <w:basedOn w:val="Normal-nospace"/>
    <w:next w:val="LetterAddress"/>
    <w:qFormat/>
    <w:rsid w:val="00DF3BD9"/>
    <w:pPr>
      <w:spacing w:line="280" w:lineRule="exact"/>
    </w:pPr>
  </w:style>
  <w:style w:type="paragraph" w:customStyle="1" w:styleId="LetterAddress">
    <w:name w:val="LetterAddress"/>
    <w:basedOn w:val="Normal-nospace"/>
    <w:next w:val="LetterCityStatePostcode"/>
    <w:qFormat/>
    <w:rsid w:val="00DF3BD9"/>
    <w:pPr>
      <w:spacing w:line="280" w:lineRule="exact"/>
    </w:pPr>
  </w:style>
  <w:style w:type="paragraph" w:customStyle="1" w:styleId="LetterCityStatePostcode">
    <w:name w:val="LetterCityStatePostcode"/>
    <w:basedOn w:val="Normal-nospace"/>
    <w:next w:val="LetterSubject"/>
    <w:qFormat/>
    <w:rsid w:val="00DF3BD9"/>
    <w:pPr>
      <w:spacing w:line="280" w:lineRule="exact"/>
    </w:pPr>
  </w:style>
  <w:style w:type="paragraph" w:customStyle="1" w:styleId="LetterSubject">
    <w:name w:val="LetterSubject"/>
    <w:basedOn w:val="Normal-nospace"/>
    <w:next w:val="BodyText"/>
    <w:qFormat/>
    <w:rsid w:val="00DF3BD9"/>
    <w:pPr>
      <w:spacing w:before="400" w:after="200" w:line="260" w:lineRule="exact"/>
    </w:pPr>
    <w:rPr>
      <w:b/>
      <w:sz w:val="24"/>
    </w:rPr>
  </w:style>
  <w:style w:type="paragraph" w:customStyle="1" w:styleId="SignatureBlock">
    <w:name w:val="Signature Block"/>
    <w:basedOn w:val="Normal-nospace"/>
    <w:qFormat/>
    <w:rsid w:val="00DF3BD9"/>
    <w:pPr>
      <w:keepNext/>
      <w:keepLines/>
      <w:spacing w:line="240" w:lineRule="auto"/>
    </w:pPr>
  </w:style>
  <w:style w:type="paragraph" w:customStyle="1" w:styleId="StationeryConfidentiality">
    <w:name w:val="Stationery Confidentiality"/>
    <w:basedOn w:val="Normal-nospace"/>
    <w:qFormat/>
    <w:rsid w:val="00FD10DC"/>
    <w:pPr>
      <w:spacing w:before="120" w:after="120" w:line="280" w:lineRule="exact"/>
    </w:pPr>
    <w:rPr>
      <w:i/>
    </w:rPr>
  </w:style>
  <w:style w:type="paragraph" w:customStyle="1" w:styleId="StationeryContact">
    <w:name w:val="StationeryContact"/>
    <w:basedOn w:val="Normal-nospace"/>
    <w:qFormat/>
    <w:rsid w:val="00FD10DC"/>
    <w:pPr>
      <w:spacing w:line="240" w:lineRule="auto"/>
    </w:pPr>
  </w:style>
  <w:style w:type="paragraph" w:customStyle="1" w:styleId="StationeryType">
    <w:name w:val="StationeryType"/>
    <w:basedOn w:val="Normal-nospace"/>
    <w:qFormat/>
    <w:rsid w:val="00FD10DC"/>
    <w:pPr>
      <w:spacing w:before="90" w:after="84" w:line="240" w:lineRule="auto"/>
    </w:pPr>
    <w:rPr>
      <w:b/>
      <w:color w:val="FFFEFF"/>
      <w:sz w:val="24"/>
    </w:rPr>
  </w:style>
  <w:style w:type="paragraph" w:customStyle="1" w:styleId="StationeryLabel">
    <w:name w:val="StationeryLabel"/>
    <w:basedOn w:val="Normal-nospace"/>
    <w:qFormat/>
    <w:rsid w:val="00FD10DC"/>
    <w:pPr>
      <w:spacing w:line="240" w:lineRule="auto"/>
    </w:pPr>
    <w:rPr>
      <w:b/>
      <w:spacing w:val="8"/>
    </w:rPr>
  </w:style>
  <w:style w:type="paragraph" w:customStyle="1" w:styleId="StationeryRefMemo">
    <w:name w:val="StationeryRef_Memo"/>
    <w:basedOn w:val="StationeryContact"/>
    <w:qFormat/>
    <w:rsid w:val="004552DF"/>
  </w:style>
  <w:style w:type="paragraph" w:customStyle="1" w:styleId="FooterLetter">
    <w:name w:val="Footer (Letter)"/>
    <w:basedOn w:val="Normal"/>
    <w:qFormat/>
    <w:rsid w:val="00A85EB6"/>
    <w:pPr>
      <w:spacing w:before="26" w:after="0" w:line="240" w:lineRule="auto"/>
    </w:pPr>
    <w:rPr>
      <w:rFonts w:cstheme="minorBidi"/>
      <w:color w:val="000100"/>
      <w:sz w:val="16"/>
    </w:rPr>
  </w:style>
  <w:style w:type="paragraph" w:customStyle="1" w:styleId="FooterLetter-Contact">
    <w:name w:val="Footer (Letter-Contact)"/>
    <w:basedOn w:val="FooterLetter"/>
    <w:qFormat/>
    <w:rsid w:val="001D42B2"/>
    <w:pPr>
      <w:spacing w:before="20" w:after="20"/>
      <w:jc w:val="right"/>
    </w:pPr>
    <w:rPr>
      <w:color w:val="6C3E99"/>
    </w:rPr>
  </w:style>
  <w:style w:type="paragraph" w:customStyle="1" w:styleId="FooterText0">
    <w:name w:val="Footer (Text)"/>
    <w:basedOn w:val="Footer"/>
    <w:qFormat/>
    <w:rsid w:val="00A85EB6"/>
    <w:pPr>
      <w:tabs>
        <w:tab w:val="clear" w:pos="4513"/>
        <w:tab w:val="clear" w:pos="9026"/>
        <w:tab w:val="right" w:pos="9360"/>
      </w:tabs>
      <w:jc w:val="right"/>
    </w:pPr>
    <w:rPr>
      <w:rFonts w:eastAsia="Yu Gothic Medium" w:cstheme="minorBidi"/>
      <w:spacing w:val="6"/>
    </w:rPr>
  </w:style>
  <w:style w:type="paragraph" w:customStyle="1" w:styleId="TOCGeneral">
    <w:name w:val="TOC General"/>
    <w:basedOn w:val="Normal"/>
    <w:qFormat/>
    <w:rsid w:val="007A1923"/>
    <w:pPr>
      <w:spacing w:before="0" w:after="0" w:line="240" w:lineRule="auto"/>
    </w:pPr>
    <w:rPr>
      <w:rFonts w:cstheme="minorBidi"/>
      <w:vanish/>
      <w:color w:val="000100"/>
      <w:sz w:val="8"/>
    </w:rPr>
  </w:style>
  <w:style w:type="numbering" w:customStyle="1" w:styleId="TOCList">
    <w:name w:val="TOC List"/>
    <w:uiPriority w:val="99"/>
    <w:rsid w:val="00C62B89"/>
    <w:pPr>
      <w:numPr>
        <w:numId w:val="15"/>
      </w:numPr>
    </w:pPr>
  </w:style>
  <w:style w:type="paragraph" w:customStyle="1" w:styleId="FooterLetter-Logo">
    <w:name w:val="Footer (Letter-Logo)"/>
    <w:basedOn w:val="FooterLetter-Contact"/>
    <w:qFormat/>
    <w:rsid w:val="00A95E46"/>
    <w:rPr>
      <w:lang w:val="en-US"/>
    </w:rPr>
  </w:style>
  <w:style w:type="paragraph" w:customStyle="1" w:styleId="Headingglossary">
    <w:name w:val="Heading (glossary)"/>
    <w:basedOn w:val="Normal-nospace"/>
    <w:qFormat/>
    <w:rsid w:val="00E47102"/>
    <w:pPr>
      <w:spacing w:after="200" w:line="192" w:lineRule="auto"/>
      <w:ind w:left="250"/>
    </w:pPr>
    <w:rPr>
      <w:rFonts w:ascii="Yu Gothic Medium" w:hAnsi="Yu Gothic Medium"/>
      <w:color w:val="FFFEFF"/>
      <w:sz w:val="52"/>
    </w:rPr>
  </w:style>
  <w:style w:type="character" w:customStyle="1" w:styleId="CaptionLabel">
    <w:name w:val="Caption Label"/>
    <w:basedOn w:val="DefaultParagraphFont"/>
    <w:uiPriority w:val="1"/>
    <w:qFormat/>
    <w:rsid w:val="00C80AE5"/>
    <w:rPr>
      <w:b/>
      <w:color w:val="000100"/>
    </w:rPr>
  </w:style>
  <w:style w:type="paragraph" w:customStyle="1" w:styleId="BoxListBullet">
    <w:name w:val="Box List Bullet"/>
    <w:basedOn w:val="Normal"/>
    <w:qFormat/>
    <w:rsid w:val="00F1536E"/>
    <w:pPr>
      <w:keepNext/>
      <w:numPr>
        <w:numId w:val="43"/>
      </w:numPr>
      <w:spacing w:before="60" w:after="60" w:line="240" w:lineRule="atLeast"/>
    </w:pPr>
    <w:rPr>
      <w:rFonts w:cstheme="minorBidi"/>
      <w:color w:val="000100"/>
      <w:sz w:val="20"/>
    </w:rPr>
  </w:style>
  <w:style w:type="paragraph" w:customStyle="1" w:styleId="BoxListBullet2">
    <w:name w:val="Box List Bullet 2"/>
    <w:basedOn w:val="Normal"/>
    <w:qFormat/>
    <w:rsid w:val="00F1536E"/>
    <w:pPr>
      <w:keepNext/>
      <w:numPr>
        <w:ilvl w:val="1"/>
        <w:numId w:val="43"/>
      </w:numPr>
      <w:spacing w:before="0" w:after="60" w:line="240" w:lineRule="atLeast"/>
    </w:pPr>
    <w:rPr>
      <w:rFonts w:cstheme="minorBidi"/>
      <w:color w:val="000100"/>
      <w:sz w:val="20"/>
    </w:rPr>
  </w:style>
  <w:style w:type="paragraph" w:customStyle="1" w:styleId="BoxListBullet3">
    <w:name w:val="Box List Bullet 3"/>
    <w:basedOn w:val="Normal"/>
    <w:qFormat/>
    <w:rsid w:val="00F1536E"/>
    <w:pPr>
      <w:keepNext/>
      <w:numPr>
        <w:ilvl w:val="2"/>
        <w:numId w:val="43"/>
      </w:numPr>
      <w:spacing w:before="0" w:after="60" w:line="240" w:lineRule="atLeast"/>
    </w:pPr>
    <w:rPr>
      <w:rFonts w:cstheme="minorBidi"/>
      <w:color w:val="000100"/>
      <w:sz w:val="20"/>
    </w:rPr>
  </w:style>
  <w:style w:type="numbering" w:customStyle="1" w:styleId="aaclstStyleBoxListBullets">
    <w:name w:val="aac_lstStyle_BoxListBullets"/>
    <w:uiPriority w:val="99"/>
    <w:rsid w:val="00F1536E"/>
    <w:pPr>
      <w:numPr>
        <w:numId w:val="17"/>
      </w:numPr>
    </w:pPr>
  </w:style>
  <w:style w:type="paragraph" w:customStyle="1" w:styleId="BoxListNumber">
    <w:name w:val="Box List Number"/>
    <w:basedOn w:val="Normal"/>
    <w:qFormat/>
    <w:rsid w:val="00741A7B"/>
    <w:pPr>
      <w:keepNext/>
      <w:numPr>
        <w:numId w:val="27"/>
      </w:numPr>
      <w:spacing w:before="60" w:after="60" w:line="240" w:lineRule="atLeast"/>
    </w:pPr>
    <w:rPr>
      <w:rFonts w:cstheme="minorBidi"/>
      <w:color w:val="000100"/>
      <w:sz w:val="20"/>
    </w:rPr>
  </w:style>
  <w:style w:type="paragraph" w:customStyle="1" w:styleId="BoxText">
    <w:name w:val="Box Text"/>
    <w:basedOn w:val="Normal"/>
    <w:qFormat/>
    <w:rsid w:val="00B055CA"/>
    <w:pPr>
      <w:keepNext/>
      <w:spacing w:before="60" w:after="60" w:line="240" w:lineRule="atLeast"/>
      <w:ind w:left="252"/>
    </w:pPr>
    <w:rPr>
      <w:rFonts w:cstheme="minorBidi"/>
      <w:color w:val="000100"/>
      <w:sz w:val="20"/>
    </w:rPr>
  </w:style>
  <w:style w:type="paragraph" w:customStyle="1" w:styleId="BoxListNumber2">
    <w:name w:val="Box List Number 2"/>
    <w:basedOn w:val="BoxText"/>
    <w:qFormat/>
    <w:rsid w:val="00741A7B"/>
    <w:pPr>
      <w:numPr>
        <w:ilvl w:val="1"/>
        <w:numId w:val="27"/>
      </w:numPr>
      <w:spacing w:before="0"/>
    </w:pPr>
  </w:style>
  <w:style w:type="paragraph" w:customStyle="1" w:styleId="BoxListNumber3">
    <w:name w:val="Box List Number 3"/>
    <w:basedOn w:val="BoxText"/>
    <w:qFormat/>
    <w:rsid w:val="00741A7B"/>
    <w:pPr>
      <w:numPr>
        <w:ilvl w:val="2"/>
        <w:numId w:val="27"/>
      </w:numPr>
      <w:spacing w:before="0"/>
    </w:pPr>
  </w:style>
  <w:style w:type="paragraph" w:customStyle="1" w:styleId="BoxQuote">
    <w:name w:val="Box Quote"/>
    <w:basedOn w:val="BoxText"/>
    <w:qFormat/>
    <w:rsid w:val="00F1536E"/>
    <w:pPr>
      <w:numPr>
        <w:ilvl w:val="3"/>
        <w:numId w:val="43"/>
      </w:numPr>
    </w:pPr>
    <w:rPr>
      <w:i/>
      <w:color w:val="595959" w:themeColor="text1" w:themeTint="A6"/>
      <w:sz w:val="18"/>
    </w:rPr>
  </w:style>
  <w:style w:type="paragraph" w:customStyle="1" w:styleId="BoxQuoteListBullet">
    <w:name w:val="Box Quote List Bullet"/>
    <w:basedOn w:val="Normal-nospace"/>
    <w:qFormat/>
    <w:rsid w:val="00F1536E"/>
    <w:pPr>
      <w:numPr>
        <w:ilvl w:val="4"/>
        <w:numId w:val="43"/>
      </w:numPr>
      <w:spacing w:before="60" w:after="60" w:line="240" w:lineRule="atLeast"/>
      <w:ind w:right="400"/>
    </w:pPr>
    <w:rPr>
      <w:rFonts w:cstheme="minorBidi"/>
      <w:i/>
      <w:color w:val="404040" w:themeColor="text1" w:themeTint="BF"/>
      <w:sz w:val="18"/>
    </w:rPr>
  </w:style>
  <w:style w:type="paragraph" w:customStyle="1" w:styleId="BoxQuoteSource">
    <w:name w:val="Box Quote Source"/>
    <w:basedOn w:val="Normal-nospace"/>
    <w:qFormat/>
    <w:rsid w:val="00B055CA"/>
    <w:pPr>
      <w:spacing w:before="90" w:line="240" w:lineRule="auto"/>
      <w:ind w:right="400"/>
      <w:jc w:val="right"/>
    </w:pPr>
    <w:rPr>
      <w:rFonts w:cstheme="minorBidi"/>
      <w:i/>
      <w:color w:val="595959" w:themeColor="text1" w:themeTint="A6"/>
      <w:sz w:val="18"/>
    </w:rPr>
  </w:style>
  <w:style w:type="paragraph" w:customStyle="1" w:styleId="BoxSideHeading1">
    <w:name w:val="Box Side Heading 1"/>
    <w:basedOn w:val="BoxText"/>
    <w:next w:val="BoxText"/>
    <w:qFormat/>
    <w:rsid w:val="00B055CA"/>
    <w:pPr>
      <w:spacing w:before="0"/>
    </w:pPr>
    <w:rPr>
      <w:b/>
      <w:i/>
    </w:rPr>
  </w:style>
  <w:style w:type="paragraph" w:customStyle="1" w:styleId="BoxSideHeading2">
    <w:name w:val="Box Side Heading 2"/>
    <w:basedOn w:val="BoxText"/>
    <w:next w:val="BoxText"/>
    <w:qFormat/>
    <w:rsid w:val="00B055CA"/>
    <w:pPr>
      <w:spacing w:before="0"/>
    </w:pPr>
    <w:rPr>
      <w:i/>
    </w:rPr>
  </w:style>
  <w:style w:type="paragraph" w:customStyle="1" w:styleId="BoxTextBoldItalic">
    <w:name w:val="Box Text (Bold Italic)"/>
    <w:basedOn w:val="Normal"/>
    <w:qFormat/>
    <w:rsid w:val="00741A7B"/>
    <w:pPr>
      <w:spacing w:after="61" w:line="240" w:lineRule="atLeast"/>
      <w:ind w:left="252"/>
    </w:pPr>
    <w:rPr>
      <w:rFonts w:cstheme="minorBidi"/>
      <w:b/>
      <w:i/>
      <w:color w:val="000100"/>
      <w:sz w:val="20"/>
    </w:rPr>
  </w:style>
  <w:style w:type="paragraph" w:customStyle="1" w:styleId="BoxTextHeading">
    <w:name w:val="Box Text Heading"/>
    <w:basedOn w:val="Normal"/>
    <w:qFormat/>
    <w:rsid w:val="00B055CA"/>
    <w:pPr>
      <w:keepNext/>
      <w:spacing w:after="61" w:line="240" w:lineRule="atLeast"/>
      <w:ind w:left="442"/>
    </w:pPr>
    <w:rPr>
      <w:rFonts w:cstheme="minorBidi"/>
      <w:b/>
      <w:color w:val="000100"/>
      <w:sz w:val="20"/>
    </w:rPr>
  </w:style>
  <w:style w:type="paragraph" w:customStyle="1" w:styleId="Figure">
    <w:name w:val="Figure"/>
    <w:basedOn w:val="Normal-nospace"/>
    <w:qFormat/>
    <w:rsid w:val="00A86812"/>
    <w:pPr>
      <w:keepNext/>
      <w:spacing w:line="240" w:lineRule="auto"/>
    </w:pPr>
    <w:rPr>
      <w:sz w:val="16"/>
    </w:rPr>
  </w:style>
  <w:style w:type="numbering" w:customStyle="1" w:styleId="aacTableListBullets">
    <w:name w:val="aac Table List Bullets"/>
    <w:uiPriority w:val="99"/>
    <w:rsid w:val="00CC4900"/>
    <w:pPr>
      <w:numPr>
        <w:numId w:val="18"/>
      </w:numPr>
    </w:pPr>
  </w:style>
  <w:style w:type="numbering" w:customStyle="1" w:styleId="aacTableListBulletssmall">
    <w:name w:val="aac Table List Bullets (small)"/>
    <w:uiPriority w:val="99"/>
    <w:rsid w:val="00CC4900"/>
    <w:pPr>
      <w:numPr>
        <w:numId w:val="19"/>
      </w:numPr>
    </w:pPr>
  </w:style>
  <w:style w:type="numbering" w:customStyle="1" w:styleId="aacTableListNumbers">
    <w:name w:val="aac Table List Numbers"/>
    <w:uiPriority w:val="99"/>
    <w:rsid w:val="00CC4900"/>
    <w:pPr>
      <w:numPr>
        <w:numId w:val="20"/>
      </w:numPr>
    </w:pPr>
  </w:style>
  <w:style w:type="numbering" w:customStyle="1" w:styleId="aacTableListNumberssmall">
    <w:name w:val="aac Table List Numbers (small)"/>
    <w:uiPriority w:val="99"/>
    <w:rsid w:val="00CC4900"/>
    <w:pPr>
      <w:numPr>
        <w:numId w:val="21"/>
      </w:numPr>
    </w:pPr>
  </w:style>
  <w:style w:type="paragraph" w:customStyle="1" w:styleId="Tablelistbullet">
    <w:name w:val="Table list bullet"/>
    <w:basedOn w:val="Tabletext"/>
    <w:qFormat/>
    <w:rsid w:val="00590F1C"/>
    <w:pPr>
      <w:numPr>
        <w:numId w:val="22"/>
      </w:numPr>
      <w:spacing w:before="40" w:after="40"/>
      <w:ind w:left="278" w:hanging="278"/>
    </w:pPr>
    <w:rPr>
      <w:rFonts w:cstheme="minorBidi"/>
    </w:rPr>
  </w:style>
  <w:style w:type="paragraph" w:customStyle="1" w:styleId="Tablelistbulletsmall">
    <w:name w:val="Table list bullet (small)"/>
    <w:basedOn w:val="Tabletextsmall"/>
    <w:qFormat/>
    <w:rsid w:val="00102134"/>
    <w:pPr>
      <w:numPr>
        <w:numId w:val="23"/>
      </w:numPr>
      <w:spacing w:after="40"/>
      <w:ind w:right="85"/>
    </w:pPr>
    <w:rPr>
      <w:rFonts w:cstheme="minorBidi"/>
    </w:rPr>
  </w:style>
  <w:style w:type="paragraph" w:customStyle="1" w:styleId="Tablelistbullet2">
    <w:name w:val="Table list bullet 2"/>
    <w:basedOn w:val="Tablelistbullet"/>
    <w:qFormat/>
    <w:rsid w:val="00DF1849"/>
    <w:pPr>
      <w:numPr>
        <w:ilvl w:val="1"/>
      </w:numPr>
      <w:spacing w:before="0"/>
      <w:ind w:left="516" w:hanging="238"/>
    </w:pPr>
  </w:style>
  <w:style w:type="paragraph" w:customStyle="1" w:styleId="Tablelistbullet2small">
    <w:name w:val="Table list bullet 2 (small)"/>
    <w:basedOn w:val="Tabletextsmall"/>
    <w:qFormat/>
    <w:rsid w:val="00102134"/>
    <w:pPr>
      <w:numPr>
        <w:ilvl w:val="1"/>
        <w:numId w:val="23"/>
      </w:numPr>
      <w:spacing w:before="0" w:after="40"/>
      <w:ind w:right="85"/>
    </w:pPr>
    <w:rPr>
      <w:rFonts w:cstheme="minorBidi"/>
    </w:rPr>
  </w:style>
  <w:style w:type="paragraph" w:customStyle="1" w:styleId="Tablelistbullet3">
    <w:name w:val="Table list bullet 3"/>
    <w:basedOn w:val="Tabletext"/>
    <w:qFormat/>
    <w:rsid w:val="00590F1C"/>
    <w:pPr>
      <w:numPr>
        <w:ilvl w:val="2"/>
        <w:numId w:val="22"/>
      </w:numPr>
      <w:spacing w:before="0" w:after="40"/>
      <w:ind w:hanging="238"/>
    </w:pPr>
    <w:rPr>
      <w:rFonts w:cstheme="minorBidi"/>
    </w:rPr>
  </w:style>
  <w:style w:type="paragraph" w:customStyle="1" w:styleId="Tablelistbullet3small">
    <w:name w:val="Table list bullet 3 (small)"/>
    <w:basedOn w:val="Tabletextsmall"/>
    <w:qFormat/>
    <w:rsid w:val="00102134"/>
    <w:pPr>
      <w:numPr>
        <w:ilvl w:val="2"/>
        <w:numId w:val="23"/>
      </w:numPr>
      <w:spacing w:before="0" w:after="40"/>
      <w:ind w:right="85"/>
    </w:pPr>
    <w:rPr>
      <w:rFonts w:cstheme="minorBidi"/>
    </w:rPr>
  </w:style>
  <w:style w:type="paragraph" w:customStyle="1" w:styleId="Tablelistnumber">
    <w:name w:val="Table list number"/>
    <w:basedOn w:val="Tabletext"/>
    <w:qFormat/>
    <w:rsid w:val="00590F1C"/>
    <w:pPr>
      <w:numPr>
        <w:numId w:val="24"/>
      </w:numPr>
      <w:spacing w:before="40" w:after="40"/>
    </w:pPr>
    <w:rPr>
      <w:rFonts w:cstheme="minorBidi"/>
    </w:rPr>
  </w:style>
  <w:style w:type="paragraph" w:customStyle="1" w:styleId="Tablelistnumbersmall">
    <w:name w:val="Table list number (small)"/>
    <w:basedOn w:val="Tabletextsmall"/>
    <w:qFormat/>
    <w:rsid w:val="00102134"/>
    <w:pPr>
      <w:numPr>
        <w:numId w:val="25"/>
      </w:numPr>
      <w:spacing w:after="40"/>
      <w:ind w:right="85"/>
    </w:pPr>
    <w:rPr>
      <w:rFonts w:cstheme="minorBidi"/>
    </w:rPr>
  </w:style>
  <w:style w:type="paragraph" w:customStyle="1" w:styleId="Tablelistnumber2">
    <w:name w:val="Table list number 2"/>
    <w:basedOn w:val="Tabletext"/>
    <w:qFormat/>
    <w:rsid w:val="00DF1849"/>
    <w:pPr>
      <w:numPr>
        <w:ilvl w:val="1"/>
        <w:numId w:val="24"/>
      </w:numPr>
      <w:spacing w:before="0" w:after="40"/>
    </w:pPr>
    <w:rPr>
      <w:rFonts w:cstheme="minorBidi"/>
    </w:rPr>
  </w:style>
  <w:style w:type="paragraph" w:customStyle="1" w:styleId="Tablelistnumber2small">
    <w:name w:val="Table list number 2 (small)"/>
    <w:basedOn w:val="Tabletextsmall"/>
    <w:qFormat/>
    <w:rsid w:val="00102134"/>
    <w:pPr>
      <w:numPr>
        <w:ilvl w:val="1"/>
        <w:numId w:val="25"/>
      </w:numPr>
      <w:spacing w:before="0" w:after="40"/>
      <w:ind w:right="85"/>
    </w:pPr>
    <w:rPr>
      <w:rFonts w:cstheme="minorBidi"/>
    </w:rPr>
  </w:style>
  <w:style w:type="paragraph" w:customStyle="1" w:styleId="Tablelistnumber3">
    <w:name w:val="Table list number 3"/>
    <w:basedOn w:val="Tabletext"/>
    <w:qFormat/>
    <w:rsid w:val="00590F1C"/>
    <w:pPr>
      <w:numPr>
        <w:ilvl w:val="2"/>
        <w:numId w:val="24"/>
      </w:numPr>
      <w:spacing w:before="0" w:after="40"/>
    </w:pPr>
    <w:rPr>
      <w:rFonts w:cstheme="minorBidi"/>
    </w:rPr>
  </w:style>
  <w:style w:type="paragraph" w:customStyle="1" w:styleId="Tablelistnumber3small">
    <w:name w:val="Table list number 3 (small)"/>
    <w:basedOn w:val="Tabletextsmall"/>
    <w:qFormat/>
    <w:rsid w:val="00102134"/>
    <w:pPr>
      <w:numPr>
        <w:ilvl w:val="2"/>
        <w:numId w:val="25"/>
      </w:numPr>
      <w:spacing w:before="0" w:after="40"/>
      <w:ind w:right="85"/>
    </w:pPr>
    <w:rPr>
      <w:rFonts w:cstheme="minorBidi"/>
    </w:rPr>
  </w:style>
  <w:style w:type="numbering" w:customStyle="1" w:styleId="aaclstStyleBoxListNumbers">
    <w:name w:val="aac_lstStyle_BoxListNumbers"/>
    <w:uiPriority w:val="99"/>
    <w:rsid w:val="00CC4900"/>
    <w:pPr>
      <w:numPr>
        <w:numId w:val="26"/>
      </w:numPr>
    </w:pPr>
  </w:style>
  <w:style w:type="paragraph" w:customStyle="1" w:styleId="Tablesideheading1">
    <w:name w:val="Table side heading 1"/>
    <w:basedOn w:val="Tabletext"/>
    <w:next w:val="Tabletext"/>
    <w:qFormat/>
    <w:rsid w:val="00CC4900"/>
    <w:rPr>
      <w:rFonts w:cstheme="minorBidi"/>
      <w:b/>
      <w:spacing w:val="3"/>
    </w:rPr>
  </w:style>
  <w:style w:type="paragraph" w:customStyle="1" w:styleId="Tablesideheading1small">
    <w:name w:val="Table side heading 1 (small)"/>
    <w:basedOn w:val="Tablesideheading1"/>
    <w:qFormat/>
    <w:rsid w:val="00CC4900"/>
    <w:pPr>
      <w:spacing w:before="40" w:line="180" w:lineRule="exact"/>
    </w:pPr>
    <w:rPr>
      <w:sz w:val="16"/>
    </w:rPr>
  </w:style>
  <w:style w:type="paragraph" w:customStyle="1" w:styleId="Tablesideheading2">
    <w:name w:val="Table side heading 2"/>
    <w:basedOn w:val="Tabletext"/>
    <w:qFormat/>
    <w:rsid w:val="00CC4900"/>
    <w:rPr>
      <w:rFonts w:cstheme="minorBidi"/>
      <w:b/>
      <w:i/>
    </w:rPr>
  </w:style>
  <w:style w:type="paragraph" w:customStyle="1" w:styleId="Tablesideheading2small">
    <w:name w:val="Table side heading 2 (small)"/>
    <w:basedOn w:val="Tablesideheading2"/>
    <w:qFormat/>
    <w:rsid w:val="00CC4900"/>
    <w:pPr>
      <w:spacing w:line="180" w:lineRule="exact"/>
    </w:pPr>
    <w:rPr>
      <w:sz w:val="16"/>
    </w:rPr>
  </w:style>
  <w:style w:type="paragraph" w:customStyle="1" w:styleId="Note">
    <w:name w:val="Note"/>
    <w:rsid w:val="00AD1794"/>
    <w:pPr>
      <w:keepNext/>
      <w:keepLines/>
      <w:spacing w:before="40" w:after="0" w:line="180" w:lineRule="exact"/>
    </w:pPr>
    <w:rPr>
      <w:rFonts w:ascii="Arial Narrow" w:eastAsia="Times New Roman" w:hAnsi="Arial Narrow" w:cs="Times New Roman"/>
      <w:sz w:val="16"/>
      <w:szCs w:val="24"/>
    </w:rPr>
  </w:style>
  <w:style w:type="paragraph" w:customStyle="1" w:styleId="SideNoteItalicRight">
    <w:name w:val="SideNote (Italic Right)"/>
    <w:basedOn w:val="Normal-nospace"/>
    <w:qFormat/>
    <w:rsid w:val="001F6F1F"/>
    <w:pPr>
      <w:spacing w:before="64" w:line="240" w:lineRule="atLeast"/>
      <w:contextualSpacing/>
      <w:jc w:val="right"/>
    </w:pPr>
    <w:rPr>
      <w:rFonts w:cstheme="minorBidi"/>
      <w:b/>
      <w:i/>
      <w:color w:val="140134"/>
      <w:sz w:val="28"/>
    </w:rPr>
  </w:style>
  <w:style w:type="paragraph" w:customStyle="1" w:styleId="SideNoteItalicLeft">
    <w:name w:val="SideNote (Italic Left)"/>
    <w:basedOn w:val="SideNoteItalicRight"/>
    <w:qFormat/>
    <w:rsid w:val="003649DE"/>
    <w:pPr>
      <w:jc w:val="left"/>
    </w:pPr>
  </w:style>
  <w:style w:type="paragraph" w:customStyle="1" w:styleId="SideNoteRegularLeft">
    <w:name w:val="SideNote (Regular Left)"/>
    <w:basedOn w:val="Normal-nospace"/>
    <w:qFormat/>
    <w:rsid w:val="001F6F1F"/>
    <w:pPr>
      <w:spacing w:before="64" w:line="240" w:lineRule="atLeast"/>
      <w:contextualSpacing/>
    </w:pPr>
    <w:rPr>
      <w:b/>
      <w:color w:val="140034" w:themeColor="background2"/>
      <w:sz w:val="28"/>
    </w:rPr>
  </w:style>
  <w:style w:type="paragraph" w:customStyle="1" w:styleId="SideNoteRegularRight">
    <w:name w:val="SideNote (Regular Right)"/>
    <w:basedOn w:val="SideNoteRegularLeft"/>
    <w:qFormat/>
    <w:rsid w:val="003649DE"/>
    <w:pPr>
      <w:jc w:val="right"/>
    </w:pPr>
  </w:style>
  <w:style w:type="paragraph" w:customStyle="1" w:styleId="SideNoteBullet">
    <w:name w:val="SideNote Bullet"/>
    <w:basedOn w:val="SideNoteRegularLeft"/>
    <w:rsid w:val="003649DE"/>
    <w:pPr>
      <w:numPr>
        <w:ilvl w:val="1"/>
        <w:numId w:val="29"/>
      </w:numPr>
      <w:spacing w:before="0" w:after="64"/>
    </w:pPr>
  </w:style>
  <w:style w:type="paragraph" w:customStyle="1" w:styleId="SideNoteDash">
    <w:name w:val="SideNote Dash"/>
    <w:basedOn w:val="SideNoteRegularLeft"/>
    <w:qFormat/>
    <w:rsid w:val="003649DE"/>
    <w:pPr>
      <w:numPr>
        <w:numId w:val="29"/>
      </w:numPr>
    </w:pPr>
  </w:style>
  <w:style w:type="paragraph" w:customStyle="1" w:styleId="PullOutTitle">
    <w:name w:val="PullOut Title"/>
    <w:basedOn w:val="Normal-nospace"/>
    <w:qFormat/>
    <w:rsid w:val="003649DE"/>
    <w:pPr>
      <w:spacing w:before="90"/>
    </w:pPr>
    <w:rPr>
      <w:rFonts w:cstheme="minorBidi"/>
      <w:b/>
    </w:rPr>
  </w:style>
  <w:style w:type="character" w:customStyle="1" w:styleId="SourceChar">
    <w:name w:val="Source Char"/>
    <w:basedOn w:val="DefaultParagraphFont"/>
    <w:link w:val="Source"/>
    <w:locked/>
    <w:rsid w:val="00F7157F"/>
    <w:rPr>
      <w:rFonts w:ascii="Arial" w:hAnsi="Arial" w:cs="Arial"/>
      <w:i/>
      <w:color w:val="000100"/>
      <w:sz w:val="20"/>
    </w:rPr>
  </w:style>
  <w:style w:type="table" w:customStyle="1" w:styleId="aacTableBanded-Odd">
    <w:name w:val="aac Table (Banded-Odd)"/>
    <w:basedOn w:val="TableNormal"/>
    <w:uiPriority w:val="99"/>
    <w:rsid w:val="007B4B86"/>
    <w:pPr>
      <w:spacing w:before="60" w:after="0" w:line="240" w:lineRule="atLeast"/>
      <w:ind w:right="119"/>
    </w:pPr>
    <w:rPr>
      <w:rFonts w:ascii="Arial Narrow" w:hAnsi="Arial Narrow"/>
    </w:rPr>
    <w:tblPr>
      <w:tblStyleRowBandSize w:val="1"/>
      <w:tblBorders>
        <w:bottom w:val="single" w:sz="4" w:space="0" w:color="auto"/>
        <w:insideH w:val="single" w:sz="4" w:space="0" w:color="auto"/>
      </w:tblBorders>
      <w:tblCellMar>
        <w:left w:w="0" w:type="dxa"/>
        <w:right w:w="0" w:type="dxa"/>
      </w:tblCellMar>
    </w:tblPr>
    <w:tblStylePr w:type="firstRow">
      <w:tblPr/>
      <w:tcPr>
        <w:shd w:val="clear" w:color="auto" w:fill="140134"/>
      </w:tcPr>
    </w:tblStylePr>
    <w:tblStylePr w:type="band1Horz">
      <w:tblPr/>
      <w:tcPr>
        <w:shd w:val="clear" w:color="auto" w:fill="E5E4E5"/>
      </w:tcPr>
    </w:tblStylePr>
  </w:style>
  <w:style w:type="table" w:customStyle="1" w:styleId="aacTableBanded-Even">
    <w:name w:val="aac Table (Banded-Even)"/>
    <w:basedOn w:val="TableNormal"/>
    <w:uiPriority w:val="99"/>
    <w:rsid w:val="002D7D78"/>
    <w:pPr>
      <w:spacing w:after="0" w:line="240" w:lineRule="auto"/>
    </w:pPr>
    <w:rPr>
      <w:rFonts w:ascii="Arial Narrow" w:hAnsi="Arial Narrow"/>
    </w:rPr>
    <w:tblPr>
      <w:tblStyleRowBandSize w:val="1"/>
      <w:tblBorders>
        <w:bottom w:val="single" w:sz="4" w:space="0" w:color="auto"/>
        <w:insideH w:val="single" w:sz="4" w:space="0" w:color="auto"/>
      </w:tblBorders>
      <w:tblCellMar>
        <w:left w:w="0" w:type="dxa"/>
        <w:right w:w="0" w:type="dxa"/>
      </w:tblCellMar>
    </w:tblPr>
    <w:tblStylePr w:type="firstRow">
      <w:tblPr/>
      <w:tcPr>
        <w:shd w:val="clear" w:color="auto" w:fill="140134"/>
      </w:tcPr>
    </w:tblStylePr>
    <w:tblStylePr w:type="band2Horz">
      <w:tblPr/>
      <w:tcPr>
        <w:shd w:val="clear" w:color="auto" w:fill="E5E4E5"/>
      </w:tcPr>
    </w:tblStylePr>
  </w:style>
  <w:style w:type="numbering" w:customStyle="1" w:styleId="aaHeadingnonumberList">
    <w:name w:val="aa Heading (no number) List"/>
    <w:uiPriority w:val="99"/>
    <w:rsid w:val="00BC3457"/>
    <w:pPr>
      <w:numPr>
        <w:numId w:val="30"/>
      </w:numPr>
    </w:pPr>
  </w:style>
  <w:style w:type="paragraph" w:customStyle="1" w:styleId="Heading1AP">
    <w:name w:val="Heading 1 (AP)"/>
    <w:basedOn w:val="Normal-nospace"/>
    <w:next w:val="BodyText"/>
    <w:qFormat/>
    <w:rsid w:val="00874649"/>
    <w:pPr>
      <w:numPr>
        <w:numId w:val="32"/>
      </w:numPr>
      <w:spacing w:after="200" w:line="192" w:lineRule="auto"/>
    </w:pPr>
    <w:rPr>
      <w:rFonts w:ascii="Yu Gothic Medium" w:hAnsi="Yu Gothic Medium"/>
      <w:color w:val="FFFEFF"/>
      <w:sz w:val="52"/>
    </w:rPr>
  </w:style>
  <w:style w:type="paragraph" w:customStyle="1" w:styleId="Heading2AP">
    <w:name w:val="Heading 2 (AP)"/>
    <w:basedOn w:val="Normal-nospace"/>
    <w:next w:val="BodyText"/>
    <w:qFormat/>
    <w:rsid w:val="00CA669D"/>
    <w:pPr>
      <w:keepNext/>
      <w:numPr>
        <w:ilvl w:val="1"/>
        <w:numId w:val="32"/>
      </w:numPr>
      <w:pBdr>
        <w:bottom w:val="single" w:sz="4" w:space="0" w:color="6C3E99"/>
      </w:pBdr>
      <w:spacing w:before="240" w:after="216"/>
    </w:pPr>
    <w:rPr>
      <w:b/>
      <w:color w:val="6C3E99"/>
      <w:sz w:val="28"/>
    </w:rPr>
  </w:style>
  <w:style w:type="paragraph" w:customStyle="1" w:styleId="Heading3AP">
    <w:name w:val="Heading 3 (AP)"/>
    <w:basedOn w:val="Normal-nospace"/>
    <w:next w:val="BodyText"/>
    <w:qFormat/>
    <w:rsid w:val="00C50FD7"/>
    <w:pPr>
      <w:keepNext/>
      <w:numPr>
        <w:ilvl w:val="2"/>
        <w:numId w:val="32"/>
      </w:numPr>
      <w:pBdr>
        <w:bottom w:val="single" w:sz="4" w:space="0" w:color="000100"/>
      </w:pBdr>
      <w:spacing w:before="240" w:after="160" w:line="240" w:lineRule="atLeast"/>
    </w:pPr>
    <w:rPr>
      <w:b/>
    </w:rPr>
  </w:style>
  <w:style w:type="paragraph" w:customStyle="1" w:styleId="Heading4AP">
    <w:name w:val="Heading 4 (AP)"/>
    <w:basedOn w:val="Normal-nospace"/>
    <w:next w:val="BodyText"/>
    <w:qFormat/>
    <w:rsid w:val="00C50FD7"/>
    <w:pPr>
      <w:keepNext/>
      <w:numPr>
        <w:ilvl w:val="3"/>
        <w:numId w:val="32"/>
      </w:numPr>
      <w:spacing w:before="240" w:after="160" w:line="240" w:lineRule="atLeast"/>
    </w:pPr>
    <w:rPr>
      <w:b/>
    </w:rPr>
  </w:style>
  <w:style w:type="paragraph" w:customStyle="1" w:styleId="Heading5AP">
    <w:name w:val="Heading 5 (AP)"/>
    <w:basedOn w:val="Normal-nospace"/>
    <w:next w:val="BodyText"/>
    <w:qFormat/>
    <w:rsid w:val="00C50FD7"/>
    <w:pPr>
      <w:keepNext/>
      <w:numPr>
        <w:ilvl w:val="4"/>
        <w:numId w:val="32"/>
      </w:numPr>
      <w:spacing w:before="240" w:after="160" w:line="240" w:lineRule="atLeast"/>
    </w:pPr>
    <w:rPr>
      <w:b/>
      <w:i/>
    </w:rPr>
  </w:style>
  <w:style w:type="paragraph" w:customStyle="1" w:styleId="Heading6AP">
    <w:name w:val="Heading 6 (AP)"/>
    <w:basedOn w:val="Normal-nospace"/>
    <w:next w:val="BodyText"/>
    <w:qFormat/>
    <w:rsid w:val="00C50FD7"/>
    <w:pPr>
      <w:keepNext/>
      <w:numPr>
        <w:ilvl w:val="5"/>
        <w:numId w:val="32"/>
      </w:numPr>
      <w:spacing w:before="240" w:after="160" w:line="240" w:lineRule="atLeast"/>
    </w:pPr>
    <w:rPr>
      <w:b/>
      <w:i/>
      <w:color w:val="959495"/>
    </w:rPr>
  </w:style>
  <w:style w:type="numbering" w:customStyle="1" w:styleId="aaclstStyleHeadingApp">
    <w:name w:val="aac_lstStyle_HeadingApp"/>
    <w:uiPriority w:val="99"/>
    <w:rsid w:val="00CA669D"/>
    <w:pPr>
      <w:numPr>
        <w:numId w:val="31"/>
      </w:numPr>
    </w:pPr>
  </w:style>
  <w:style w:type="numbering" w:customStyle="1" w:styleId="aaReportListDash">
    <w:name w:val="aa Report List Dash"/>
    <w:uiPriority w:val="99"/>
    <w:rsid w:val="00315CD5"/>
    <w:pPr>
      <w:numPr>
        <w:numId w:val="33"/>
      </w:numPr>
    </w:pPr>
  </w:style>
  <w:style w:type="paragraph" w:customStyle="1" w:styleId="waterMarkaadraftstat">
    <w:name w:val="waterMark_aa_draft_stat"/>
    <w:rsid w:val="004653A9"/>
    <w:rPr>
      <w:rFonts w:eastAsiaTheme="minorEastAsia" w:cs="Times New Roman"/>
      <w:sz w:val="3276"/>
      <w:szCs w:val="3276"/>
      <w:lang w:val="en-US"/>
    </w:rPr>
  </w:style>
  <w:style w:type="paragraph" w:customStyle="1" w:styleId="waterMarkaaCabinetsec">
    <w:name w:val="waterMark_aa_Cabinet_sec"/>
    <w:rsid w:val="004653A9"/>
    <w:rPr>
      <w:rFonts w:eastAsiaTheme="minorEastAsia" w:cs="Times New Roman"/>
      <w:sz w:val="3276"/>
      <w:szCs w:val="3276"/>
      <w:lang w:val="en-US"/>
    </w:rPr>
  </w:style>
  <w:style w:type="paragraph" w:customStyle="1" w:styleId="waterMarkaaCommercialsec">
    <w:name w:val="waterMark_aa_Commercial_sec"/>
    <w:rsid w:val="004653A9"/>
    <w:rPr>
      <w:rFonts w:eastAsiaTheme="minorEastAsia" w:cs="Times New Roman"/>
      <w:sz w:val="3276"/>
      <w:szCs w:val="3276"/>
      <w:lang w:val="en-US"/>
    </w:rPr>
  </w:style>
  <w:style w:type="paragraph" w:customStyle="1" w:styleId="waterMarkaadraftOnlyBodstat">
    <w:name w:val="waterMark_aa_draftOnlyBod_stat"/>
    <w:rsid w:val="004653A9"/>
    <w:rPr>
      <w:rFonts w:eastAsiaTheme="minorEastAsia" w:cs="Times New Roman"/>
      <w:sz w:val="3276"/>
      <w:szCs w:val="3276"/>
      <w:lang w:val="en-US"/>
    </w:rPr>
  </w:style>
  <w:style w:type="paragraph" w:customStyle="1" w:styleId="waterMarkaaConfidentialsec">
    <w:name w:val="waterMark_aa_Confidential_sec"/>
    <w:rsid w:val="004653A9"/>
    <w:rPr>
      <w:rFonts w:eastAsiaTheme="minorEastAsia" w:cs="Times New Roman"/>
      <w:sz w:val="3276"/>
      <w:szCs w:val="3276"/>
      <w:lang w:val="en-US"/>
    </w:rPr>
  </w:style>
  <w:style w:type="paragraph" w:customStyle="1" w:styleId="TableQuoteSource">
    <w:name w:val="Table Quote Source"/>
    <w:basedOn w:val="Normal-nospace"/>
    <w:qFormat/>
    <w:rsid w:val="00E5473A"/>
    <w:pPr>
      <w:spacing w:before="90" w:after="60" w:line="240" w:lineRule="auto"/>
      <w:ind w:right="200"/>
      <w:jc w:val="right"/>
    </w:pPr>
    <w:rPr>
      <w:rFonts w:cstheme="minorBidi"/>
      <w:i/>
      <w:color w:val="404040" w:themeColor="text1" w:themeTint="BF"/>
      <w:sz w:val="20"/>
    </w:rPr>
  </w:style>
  <w:style w:type="paragraph" w:customStyle="1" w:styleId="TableQuoteSourcesmall">
    <w:name w:val="Table Quote Source (small)"/>
    <w:basedOn w:val="BodyText"/>
    <w:qFormat/>
    <w:rsid w:val="00E5473A"/>
    <w:pPr>
      <w:spacing w:before="0" w:line="240" w:lineRule="auto"/>
      <w:ind w:right="200"/>
      <w:jc w:val="right"/>
    </w:pPr>
    <w:rPr>
      <w:rFonts w:cstheme="minorBidi"/>
      <w:i/>
      <w:color w:val="403F40"/>
      <w:sz w:val="16"/>
    </w:rPr>
  </w:style>
  <w:style w:type="paragraph" w:customStyle="1" w:styleId="TableQuote">
    <w:name w:val="Table Quote"/>
    <w:basedOn w:val="Normal-nospace"/>
    <w:qFormat/>
    <w:rsid w:val="001E36CF"/>
    <w:pPr>
      <w:spacing w:before="60" w:line="240" w:lineRule="atLeast"/>
      <w:ind w:right="199"/>
    </w:pPr>
    <w:rPr>
      <w:rFonts w:cstheme="minorBidi"/>
      <w:i/>
      <w:color w:val="404040" w:themeColor="text1" w:themeTint="BF"/>
      <w:sz w:val="20"/>
    </w:rPr>
  </w:style>
  <w:style w:type="paragraph" w:customStyle="1" w:styleId="QuoteListBullet">
    <w:name w:val="Quote List Bullet"/>
    <w:basedOn w:val="Quote"/>
    <w:qFormat/>
    <w:rsid w:val="0020185D"/>
    <w:pPr>
      <w:numPr>
        <w:numId w:val="37"/>
      </w:numPr>
      <w:spacing w:before="0"/>
      <w:ind w:left="777" w:hanging="357"/>
      <w:contextualSpacing/>
    </w:pPr>
  </w:style>
  <w:style w:type="paragraph" w:customStyle="1" w:styleId="QuoteSource">
    <w:name w:val="Quote Source"/>
    <w:basedOn w:val="Quote"/>
    <w:next w:val="BodyText"/>
    <w:qFormat/>
    <w:rsid w:val="0020185D"/>
    <w:pPr>
      <w:contextualSpacing/>
      <w:jc w:val="right"/>
    </w:pPr>
  </w:style>
  <w:style w:type="paragraph" w:customStyle="1" w:styleId="TableQuotesmall">
    <w:name w:val="Table Quote (small)"/>
    <w:basedOn w:val="Normal-nospace"/>
    <w:qFormat/>
    <w:rsid w:val="001E36CF"/>
    <w:pPr>
      <w:spacing w:before="60" w:line="180" w:lineRule="exact"/>
      <w:ind w:right="199"/>
    </w:pPr>
    <w:rPr>
      <w:rFonts w:cstheme="minorBidi"/>
      <w:i/>
      <w:color w:val="403F40"/>
      <w:sz w:val="16"/>
    </w:rPr>
  </w:style>
  <w:style w:type="paragraph" w:customStyle="1" w:styleId="TableQuoteBullet">
    <w:name w:val="Table Quote Bullet"/>
    <w:basedOn w:val="Normal-nospace"/>
    <w:qFormat/>
    <w:rsid w:val="00FA214E"/>
    <w:pPr>
      <w:numPr>
        <w:numId w:val="38"/>
      </w:numPr>
      <w:spacing w:before="60" w:after="60" w:line="240" w:lineRule="auto"/>
      <w:ind w:left="360" w:right="200"/>
      <w:contextualSpacing/>
    </w:pPr>
    <w:rPr>
      <w:rFonts w:cstheme="minorBidi"/>
      <w:i/>
      <w:color w:val="404040" w:themeColor="text1" w:themeTint="BF"/>
      <w:sz w:val="20"/>
    </w:rPr>
  </w:style>
  <w:style w:type="paragraph" w:customStyle="1" w:styleId="TableQuoteBulletsmall">
    <w:name w:val="Table Quote Bullet (small)"/>
    <w:basedOn w:val="Normal-nospace"/>
    <w:qFormat/>
    <w:rsid w:val="00FA214E"/>
    <w:pPr>
      <w:numPr>
        <w:numId w:val="39"/>
      </w:numPr>
      <w:spacing w:before="40" w:after="60" w:line="240" w:lineRule="auto"/>
      <w:ind w:left="360"/>
      <w:contextualSpacing/>
    </w:pPr>
    <w:rPr>
      <w:rFonts w:cstheme="minorBidi"/>
      <w:i/>
      <w:color w:val="403F40"/>
      <w:sz w:val="16"/>
    </w:rPr>
  </w:style>
  <w:style w:type="paragraph" w:customStyle="1" w:styleId="SubHeading1">
    <w:name w:val="Sub Heading 1"/>
    <w:basedOn w:val="Normalrgb"/>
    <w:qFormat/>
    <w:rsid w:val="007F14E3"/>
    <w:pPr>
      <w:spacing w:line="240" w:lineRule="auto"/>
      <w:contextualSpacing/>
    </w:pPr>
    <w:rPr>
      <w:sz w:val="40"/>
    </w:rPr>
  </w:style>
  <w:style w:type="paragraph" w:customStyle="1" w:styleId="tagglossaryChpt">
    <w:name w:val="tag_glossary_Chpt"/>
    <w:basedOn w:val="spacer"/>
    <w:rsid w:val="004F621C"/>
  </w:style>
  <w:style w:type="paragraph" w:customStyle="1" w:styleId="tagbiblioChpt">
    <w:name w:val="tag_biblio_Chpt"/>
    <w:basedOn w:val="spacer"/>
    <w:qFormat/>
    <w:rsid w:val="004F621C"/>
  </w:style>
  <w:style w:type="paragraph" w:customStyle="1" w:styleId="tagrefsChpt">
    <w:name w:val="tag_refs_Chpt"/>
    <w:basedOn w:val="spacer"/>
    <w:qFormat/>
    <w:rsid w:val="004F621C"/>
  </w:style>
  <w:style w:type="paragraph" w:customStyle="1" w:styleId="tagworksCitedChpt">
    <w:name w:val="tag_worksCited_Chpt"/>
    <w:basedOn w:val="spacer"/>
    <w:qFormat/>
    <w:rsid w:val="004F621C"/>
  </w:style>
  <w:style w:type="paragraph" w:customStyle="1" w:styleId="TOCTOFSubHeading">
    <w:name w:val="TOC TOFSubHeading"/>
    <w:basedOn w:val="Normal-nospace"/>
    <w:qFormat/>
    <w:rsid w:val="00CD5804"/>
    <w:pPr>
      <w:keepNext/>
      <w:spacing w:before="240" w:after="60" w:line="260" w:lineRule="exact"/>
    </w:pPr>
    <w:rPr>
      <w:rFonts w:ascii="Yu Gothic Medium" w:hAnsi="Yu Gothic Medium"/>
      <w:b/>
    </w:rPr>
  </w:style>
  <w:style w:type="paragraph" w:customStyle="1" w:styleId="Heading2nonumber">
    <w:name w:val="Heading 2 (no number)"/>
    <w:basedOn w:val="Normal-nospace"/>
    <w:next w:val="BodyText"/>
    <w:rsid w:val="00FC6C0B"/>
    <w:pPr>
      <w:pBdr>
        <w:bottom w:val="single" w:sz="4" w:space="1" w:color="000000" w:themeColor="text1"/>
      </w:pBdr>
      <w:spacing w:before="480" w:after="480" w:line="320" w:lineRule="atLeast"/>
    </w:pPr>
    <w:rPr>
      <w:rFonts w:ascii="Arial" w:hAnsi="Arial"/>
      <w:b/>
      <w:color w:val="000000" w:themeColor="text1"/>
      <w:sz w:val="36"/>
    </w:rPr>
  </w:style>
  <w:style w:type="paragraph" w:customStyle="1" w:styleId="Heading3nonumber">
    <w:name w:val="Heading 3 (no number)"/>
    <w:basedOn w:val="Normal-nospace"/>
    <w:next w:val="BodyText"/>
    <w:qFormat/>
    <w:rsid w:val="004A7506"/>
    <w:pPr>
      <w:pBdr>
        <w:bottom w:val="single" w:sz="4" w:space="0" w:color="000100"/>
      </w:pBdr>
      <w:spacing w:before="240" w:after="160" w:line="240" w:lineRule="atLeast"/>
    </w:pPr>
    <w:rPr>
      <w:b/>
    </w:rPr>
  </w:style>
  <w:style w:type="paragraph" w:customStyle="1" w:styleId="Heading4nonumber">
    <w:name w:val="Heading 4 (no number)"/>
    <w:basedOn w:val="Normal-nospace"/>
    <w:next w:val="BodyText"/>
    <w:rsid w:val="00A53CC7"/>
    <w:pPr>
      <w:keepNext/>
      <w:spacing w:before="360" w:after="240" w:line="300" w:lineRule="atLeast"/>
    </w:pPr>
    <w:rPr>
      <w:rFonts w:ascii="Arial" w:hAnsi="Arial"/>
      <w:b/>
      <w:sz w:val="28"/>
    </w:rPr>
  </w:style>
  <w:style w:type="paragraph" w:customStyle="1" w:styleId="LetterHeading2">
    <w:name w:val="Letter Heading 2"/>
    <w:basedOn w:val="LetterHeading1"/>
    <w:next w:val="BodyText"/>
    <w:qFormat/>
    <w:rsid w:val="00057123"/>
    <w:rPr>
      <w:i/>
    </w:rPr>
  </w:style>
  <w:style w:type="paragraph" w:customStyle="1" w:styleId="LetterHeading3">
    <w:name w:val="Letter Heading 3"/>
    <w:basedOn w:val="LetterHeading1"/>
    <w:next w:val="BodyText"/>
    <w:qFormat/>
    <w:rsid w:val="00057123"/>
    <w:rPr>
      <w:b w:val="0"/>
      <w:i/>
    </w:rPr>
  </w:style>
  <w:style w:type="paragraph" w:customStyle="1" w:styleId="FigureSubHeadings">
    <w:name w:val="Figure (Sub Headings)"/>
    <w:basedOn w:val="Normal-nospace"/>
    <w:qFormat/>
    <w:rsid w:val="006932C6"/>
    <w:pPr>
      <w:spacing w:before="60" w:after="120" w:line="240" w:lineRule="auto"/>
    </w:pPr>
    <w:rPr>
      <w:sz w:val="18"/>
    </w:rPr>
  </w:style>
  <w:style w:type="table" w:customStyle="1" w:styleId="aacTablenolines">
    <w:name w:val="aac Table (no lines)"/>
    <w:basedOn w:val="TableNormal"/>
    <w:uiPriority w:val="99"/>
    <w:rsid w:val="00A24D9C"/>
    <w:pPr>
      <w:spacing w:after="0" w:line="240" w:lineRule="auto"/>
    </w:pPr>
    <w:tblPr>
      <w:tblCellMar>
        <w:left w:w="0" w:type="dxa"/>
        <w:right w:w="0" w:type="dxa"/>
      </w:tblCellMar>
    </w:tblPr>
  </w:style>
  <w:style w:type="character" w:customStyle="1" w:styleId="Notelabel">
    <w:name w:val="Note label"/>
    <w:basedOn w:val="DefaultParagraphFont"/>
    <w:uiPriority w:val="1"/>
    <w:qFormat/>
    <w:rsid w:val="00B44A58"/>
    <w:rPr>
      <w:b/>
      <w:vertAlign w:val="superscript"/>
    </w:rPr>
  </w:style>
  <w:style w:type="paragraph" w:customStyle="1" w:styleId="LetterConfidentiality">
    <w:name w:val="Letter Confidentiality"/>
    <w:basedOn w:val="BodyText"/>
    <w:qFormat/>
    <w:rsid w:val="00654E02"/>
    <w:rPr>
      <w:color w:val="000000"/>
    </w:rPr>
  </w:style>
  <w:style w:type="paragraph" w:customStyle="1" w:styleId="Normalrgb">
    <w:name w:val="Normal_rgb"/>
    <w:basedOn w:val="Normal-nospace"/>
    <w:qFormat/>
    <w:rsid w:val="00533E1D"/>
    <w:rPr>
      <w:color w:val="9D85BE"/>
    </w:rPr>
  </w:style>
  <w:style w:type="paragraph" w:customStyle="1" w:styleId="CpContactDetailsWeb">
    <w:name w:val="Cp Contact Details Web"/>
    <w:basedOn w:val="Normalrgb"/>
    <w:qFormat/>
    <w:rsid w:val="005A335C"/>
    <w:pPr>
      <w:spacing w:line="250" w:lineRule="exact"/>
    </w:pPr>
  </w:style>
  <w:style w:type="paragraph" w:customStyle="1" w:styleId="CpContactDetailsHeading">
    <w:name w:val="Cp Contact Details Heading"/>
    <w:basedOn w:val="Normalrgb"/>
    <w:next w:val="CpContactDetails"/>
    <w:qFormat/>
    <w:rsid w:val="005A335C"/>
    <w:pPr>
      <w:spacing w:line="250" w:lineRule="exact"/>
    </w:pPr>
    <w:rPr>
      <w:b/>
    </w:rPr>
  </w:style>
  <w:style w:type="paragraph" w:customStyle="1" w:styleId="tagaaRptTestStyle00">
    <w:name w:val="tag_aa_RptTestStyle_#?_00"/>
    <w:basedOn w:val="BodyText"/>
    <w:qFormat/>
    <w:rsid w:val="00E331FB"/>
    <w:pPr>
      <w:spacing w:before="0" w:after="0" w:line="240" w:lineRule="auto"/>
    </w:pPr>
    <w:rPr>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7417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5.xml"/><Relationship Id="rId26" Type="http://schemas.openxmlformats.org/officeDocument/2006/relationships/footer" Target="footer7.xml"/><Relationship Id="rId39" Type="http://schemas.openxmlformats.org/officeDocument/2006/relationships/footer" Target="footer12.xml"/><Relationship Id="rId21" Type="http://schemas.openxmlformats.org/officeDocument/2006/relationships/header" Target="header6.xml"/><Relationship Id="rId34" Type="http://schemas.openxmlformats.org/officeDocument/2006/relationships/footer" Target="footer10.xml"/><Relationship Id="rId42" Type="http://schemas.openxmlformats.org/officeDocument/2006/relationships/image" Target="media/image9.png"/><Relationship Id="rId47" Type="http://schemas.openxmlformats.org/officeDocument/2006/relationships/image" Target="media/image10.png"/><Relationship Id="rId50" Type="http://schemas.openxmlformats.org/officeDocument/2006/relationships/header" Target="header17.xml"/><Relationship Id="rId55" Type="http://schemas.openxmlformats.org/officeDocument/2006/relationships/header" Target="header19.xml"/><Relationship Id="rId63" Type="http://schemas.openxmlformats.org/officeDocument/2006/relationships/footer" Target="footer21.xml"/><Relationship Id="rId68" Type="http://schemas.openxmlformats.org/officeDocument/2006/relationships/footer" Target="footer23.xml"/><Relationship Id="rId76" Type="http://schemas.openxmlformats.org/officeDocument/2006/relationships/footer" Target="footer26.xml"/><Relationship Id="rId7" Type="http://schemas.openxmlformats.org/officeDocument/2006/relationships/footnotes" Target="footnotes.xml"/><Relationship Id="rId71" Type="http://schemas.openxmlformats.org/officeDocument/2006/relationships/header" Target="header26.xml"/><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image" Target="media/image6.png"/><Relationship Id="rId11" Type="http://schemas.openxmlformats.org/officeDocument/2006/relationships/header" Target="header1.xml"/><Relationship Id="rId24" Type="http://schemas.openxmlformats.org/officeDocument/2006/relationships/header" Target="header7.xml"/><Relationship Id="rId32" Type="http://schemas.openxmlformats.org/officeDocument/2006/relationships/header" Target="header11.xml"/><Relationship Id="rId37" Type="http://schemas.openxmlformats.org/officeDocument/2006/relationships/image" Target="media/image8.png"/><Relationship Id="rId40" Type="http://schemas.openxmlformats.org/officeDocument/2006/relationships/header" Target="header14.xml"/><Relationship Id="rId45" Type="http://schemas.openxmlformats.org/officeDocument/2006/relationships/header" Target="header16.xml"/><Relationship Id="rId53" Type="http://schemas.openxmlformats.org/officeDocument/2006/relationships/footer" Target="footer17.xml"/><Relationship Id="rId58" Type="http://schemas.openxmlformats.org/officeDocument/2006/relationships/footer" Target="footer19.xml"/><Relationship Id="rId66" Type="http://schemas.openxmlformats.org/officeDocument/2006/relationships/footer" Target="footer22.xml"/><Relationship Id="rId74" Type="http://schemas.openxmlformats.org/officeDocument/2006/relationships/header" Target="header27.xml"/><Relationship Id="rId79" Type="http://schemas.openxmlformats.org/officeDocument/2006/relationships/footer" Target="footer28.xml"/><Relationship Id="rId5" Type="http://schemas.openxmlformats.org/officeDocument/2006/relationships/settings" Target="settings.xml"/><Relationship Id="rId61" Type="http://schemas.openxmlformats.org/officeDocument/2006/relationships/footer" Target="footer20.xml"/><Relationship Id="rId10" Type="http://schemas.openxmlformats.org/officeDocument/2006/relationships/image" Target="media/image2.png"/><Relationship Id="rId19" Type="http://schemas.openxmlformats.org/officeDocument/2006/relationships/footer" Target="footer4.xml"/><Relationship Id="rId31" Type="http://schemas.openxmlformats.org/officeDocument/2006/relationships/header" Target="header10.xml"/><Relationship Id="rId44" Type="http://schemas.openxmlformats.org/officeDocument/2006/relationships/footer" Target="footer14.xml"/><Relationship Id="rId52" Type="http://schemas.openxmlformats.org/officeDocument/2006/relationships/header" Target="header18.xml"/><Relationship Id="rId60" Type="http://schemas.openxmlformats.org/officeDocument/2006/relationships/header" Target="header21.xml"/><Relationship Id="rId65" Type="http://schemas.openxmlformats.org/officeDocument/2006/relationships/header" Target="header23.xml"/><Relationship Id="rId73" Type="http://schemas.openxmlformats.org/officeDocument/2006/relationships/image" Target="media/image16.png"/><Relationship Id="rId78" Type="http://schemas.openxmlformats.org/officeDocument/2006/relationships/header" Target="header29.xml"/><Relationship Id="rId81"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2.xml"/><Relationship Id="rId22" Type="http://schemas.openxmlformats.org/officeDocument/2006/relationships/footer" Target="footer6.xml"/><Relationship Id="rId27" Type="http://schemas.openxmlformats.org/officeDocument/2006/relationships/header" Target="header9.xml"/><Relationship Id="rId30" Type="http://schemas.openxmlformats.org/officeDocument/2006/relationships/image" Target="media/image7.png"/><Relationship Id="rId35" Type="http://schemas.openxmlformats.org/officeDocument/2006/relationships/header" Target="header12.xml"/><Relationship Id="rId43" Type="http://schemas.openxmlformats.org/officeDocument/2006/relationships/header" Target="header15.xml"/><Relationship Id="rId48" Type="http://schemas.openxmlformats.org/officeDocument/2006/relationships/image" Target="media/image11.png"/><Relationship Id="rId56" Type="http://schemas.openxmlformats.org/officeDocument/2006/relationships/footer" Target="footer18.xml"/><Relationship Id="rId64" Type="http://schemas.openxmlformats.org/officeDocument/2006/relationships/image" Target="media/image15.png"/><Relationship Id="rId69" Type="http://schemas.openxmlformats.org/officeDocument/2006/relationships/header" Target="header25.xml"/><Relationship Id="rId77" Type="http://schemas.openxmlformats.org/officeDocument/2006/relationships/footer" Target="footer27.xml"/><Relationship Id="rId8" Type="http://schemas.openxmlformats.org/officeDocument/2006/relationships/endnotes" Target="endnotes.xml"/><Relationship Id="rId51" Type="http://schemas.openxmlformats.org/officeDocument/2006/relationships/footer" Target="footer16.xml"/><Relationship Id="rId72" Type="http://schemas.openxmlformats.org/officeDocument/2006/relationships/footer" Target="footer25.xml"/><Relationship Id="rId80"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header" Target="header8.xml"/><Relationship Id="rId33" Type="http://schemas.openxmlformats.org/officeDocument/2006/relationships/footer" Target="footer9.xml"/><Relationship Id="rId38" Type="http://schemas.openxmlformats.org/officeDocument/2006/relationships/header" Target="header13.xml"/><Relationship Id="rId46" Type="http://schemas.openxmlformats.org/officeDocument/2006/relationships/footer" Target="footer15.xml"/><Relationship Id="rId59" Type="http://schemas.openxmlformats.org/officeDocument/2006/relationships/image" Target="media/image14.png"/><Relationship Id="rId67" Type="http://schemas.openxmlformats.org/officeDocument/2006/relationships/header" Target="header24.xml"/><Relationship Id="rId20" Type="http://schemas.openxmlformats.org/officeDocument/2006/relationships/footer" Target="footer5.xml"/><Relationship Id="rId41" Type="http://schemas.openxmlformats.org/officeDocument/2006/relationships/footer" Target="footer13.xml"/><Relationship Id="rId54" Type="http://schemas.openxmlformats.org/officeDocument/2006/relationships/image" Target="media/image13.png"/><Relationship Id="rId62" Type="http://schemas.openxmlformats.org/officeDocument/2006/relationships/header" Target="header22.xml"/><Relationship Id="rId70" Type="http://schemas.openxmlformats.org/officeDocument/2006/relationships/footer" Target="footer24.xml"/><Relationship Id="rId75" Type="http://schemas.openxmlformats.org/officeDocument/2006/relationships/header" Target="header28.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image" Target="media/image5.png"/><Relationship Id="rId28" Type="http://schemas.openxmlformats.org/officeDocument/2006/relationships/footer" Target="footer8.xml"/><Relationship Id="rId36" Type="http://schemas.openxmlformats.org/officeDocument/2006/relationships/footer" Target="footer11.xml"/><Relationship Id="rId49" Type="http://schemas.openxmlformats.org/officeDocument/2006/relationships/image" Target="media/image12.png"/><Relationship Id="rId57" Type="http://schemas.openxmlformats.org/officeDocument/2006/relationships/header" Target="header20.xml"/></Relationships>
</file>

<file path=word/_rels/footnotes.xml.rels><?xml version="1.0" encoding="UTF-8" standalone="yes"?>
<Relationships xmlns="http://schemas.openxmlformats.org/package/2006/relationships"><Relationship Id="rId1" Type="http://schemas.openxmlformats.org/officeDocument/2006/relationships/hyperlink" Target="https://www.aph.gov.au/About_Parliament/Parliamentary_Departments/Parliamentary_Library/pubs/rp/BudgetReview202021/MentalHealth"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5.xml.rels><?xml version="1.0" encoding="UTF-8" standalone="yes"?>
<Relationships xmlns="http://schemas.openxmlformats.org/package/2006/relationships"><Relationship Id="rId1" Type="http://schemas.openxmlformats.org/officeDocument/2006/relationships/image" Target="media/image4.png"/></Relationships>
</file>

<file path=word/_rels/header8.xml.rels><?xml version="1.0" encoding="UTF-8" standalone="yes"?>
<Relationships xmlns="http://schemas.openxmlformats.org/package/2006/relationships"><Relationship Id="rId1" Type="http://schemas.openxmlformats.org/officeDocument/2006/relationships/image" Target="media/image3.png"/></Relationships>
</file>

<file path=word/_rels/header11.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Templates\AA%20Report%20Template.dotx" TargetMode="External"/></Relationships>
</file>

<file path=word/theme/theme1.xml><?xml version="1.0" encoding="utf-8"?>
<a:theme xmlns:a="http://schemas.openxmlformats.org/drawingml/2006/main" name="AAC Theme">
  <a:themeElements>
    <a:clrScheme name="AAC">
      <a:dk1>
        <a:sysClr val="windowText" lastClr="000000"/>
      </a:dk1>
      <a:lt1>
        <a:sysClr val="window" lastClr="FFFFFF"/>
      </a:lt1>
      <a:dk2>
        <a:srgbClr val="6C3F99"/>
      </a:dk2>
      <a:lt2>
        <a:srgbClr val="140034"/>
      </a:lt2>
      <a:accent1>
        <a:srgbClr val="9D85BE"/>
      </a:accent1>
      <a:accent2>
        <a:srgbClr val="7D7D7D"/>
      </a:accent2>
      <a:accent3>
        <a:srgbClr val="C8C8C8"/>
      </a:accent3>
      <a:accent4>
        <a:srgbClr val="006A9F"/>
      </a:accent4>
      <a:accent5>
        <a:srgbClr val="7BBDD6"/>
      </a:accent5>
      <a:accent6>
        <a:srgbClr val="428D52"/>
      </a:accent6>
      <a:hlink>
        <a:srgbClr val="7BBDD6"/>
      </a:hlink>
      <a:folHlink>
        <a:srgbClr val="9FD18B"/>
      </a:folHlink>
    </a:clrScheme>
    <a:fontScheme name="AAC">
      <a:majorFont>
        <a:latin typeface="Yu Gothic Medium"/>
        <a:ea typeface=""/>
        <a:cs typeface=""/>
      </a:majorFont>
      <a:minorFont>
        <a:latin typeface="Arial Narrow"/>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bg2">
            <a:lumMod val="10000"/>
            <a:lumOff val="90000"/>
          </a:schemeClr>
        </a:solidFill>
        <a:ln>
          <a:noFill/>
        </a:ln>
      </a:spPr>
      <a:bodyPr rtlCol="0" anchor="ctr"/>
      <a:lstStyle>
        <a:defPPr algn="ctr">
          <a:defRPr dirty="0" err="1"/>
        </a:defPP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AAC Theme" id="{7DAE473E-EF84-46A6-B69E-D5D2484C67C2}" vid="{AA0117A1-C2AD-4B1D-8EBB-5C43F8D51731}"/>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dm:cachedDataManifest xmlns:cdm="http://schemas.microsoft.com/2004/VisualStudio/Tools/Applications/CachedDataManifest.xsd" cdm:revision="1"/>
</file>

<file path=customXml/itemProps1.xml><?xml version="1.0" encoding="utf-8"?>
<ds:datastoreItem xmlns:ds="http://schemas.openxmlformats.org/officeDocument/2006/customXml" ds:itemID="{A7D6133C-2394-44EF-816F-ED604A582F36}">
  <ds:schemaRefs>
    <ds:schemaRef ds:uri="http://schemas.openxmlformats.org/officeDocument/2006/bibliography"/>
  </ds:schemaRefs>
</ds:datastoreItem>
</file>

<file path=customXml/itemProps2.xml><?xml version="1.0" encoding="utf-8"?>
<ds:datastoreItem xmlns:ds="http://schemas.openxmlformats.org/officeDocument/2006/customXml" ds:itemID="{346CDBD5-596C-477A-9D54-36B1E636608A}">
  <ds:schemaRefs>
    <ds:schemaRef ds:uri="http://schemas.microsoft.com/2004/VisualStudio/Tools/Applications/CachedDataManifest.xsd"/>
  </ds:schemaRefs>
</ds:datastoreItem>
</file>

<file path=docProps/app.xml><?xml version="1.0" encoding="utf-8"?>
<Properties xmlns="http://schemas.openxmlformats.org/officeDocument/2006/extended-properties" xmlns:vt="http://schemas.openxmlformats.org/officeDocument/2006/docPropsVTypes">
  <Template>AA Report Template.dotx</Template>
  <TotalTime>1</TotalTime>
  <Pages>63</Pages>
  <Words>14773</Words>
  <Characters>84212</Characters>
  <Application>Microsoft Office Word</Application>
  <DocSecurity>4</DocSecurity>
  <Lines>701</Lines>
  <Paragraphs>197</Paragraphs>
  <ScaleCrop>false</ScaleCrop>
  <HeadingPairs>
    <vt:vector size="2" baseType="variant">
      <vt:variant>
        <vt:lpstr>Title</vt:lpstr>
      </vt:variant>
      <vt:variant>
        <vt:i4>1</vt:i4>
      </vt:variant>
    </vt:vector>
  </HeadingPairs>
  <TitlesOfParts>
    <vt:vector size="1" baseType="lpstr">
      <vt:lpstr>National Mental Health Workforce Strategy - Post Consultation Draft</vt:lpstr>
    </vt:vector>
  </TitlesOfParts>
  <Company>© ACIL Allen 2022</Company>
  <LinksUpToDate>false</LinksUpToDate>
  <CharactersWithSpaces>98788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Mental Health Workforce Strategy - Post Consultation Draft</dc:title>
  <dc:subject>Mental Health</dc:subject>
  <dc:creator>Australian Department of Health and Aged Care</dc:creator>
  <cp:keywords>Mental Health; Mental Health Workforce; Strategy</cp:keywords>
  <dc:description>© ACIL Allen 2022</dc:description>
  <cp:lastModifiedBy>JACOB, Reuben</cp:lastModifiedBy>
  <cp:revision>2</cp:revision>
  <dcterms:created xsi:type="dcterms:W3CDTF">2023-02-07T23:01:00Z</dcterms:created>
  <dcterms:modified xsi:type="dcterms:W3CDTF">2023-02-07T23:01:00Z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ssemblyLocation">
    <vt:lpwstr>http://templates.acilallen.com.au/word/report/install/AAC Report Template.vsto|c7720a94-7995-49d9-ae2f-a9a6c57d0dec</vt:lpwstr>
  </property>
  <property fmtid="{D5CDD505-2E9C-101B-9397-08002B2CF9AE}" pid="3" name="_AssemblyName">
    <vt:lpwstr>4E3C66D5-58D4-491E-A7D4-64AF99AF6E8B</vt:lpwstr>
  </property>
  <property fmtid="{D5CDD505-2E9C-101B-9397-08002B2CF9AE}" pid="4" name="reportMode">
    <vt:lpwstr>longReport</vt:lpwstr>
  </property>
  <property fmtid="{D5CDD505-2E9C-101B-9397-08002B2CF9AE}" pid="5" name="pgNumberFormat">
    <vt:lpwstr>std</vt:lpwstr>
  </property>
</Properties>
</file>