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5.xml" ContentType="application/vnd.openxmlformats-officedocument.wordprocessingml.header+xml"/>
  <Override PartName="/word/footer16.xml" ContentType="application/vnd.openxmlformats-officedocument.wordprocessingml.footer+xml"/>
  <Override PartName="/word/header16.xml" ContentType="application/vnd.openxmlformats-officedocument.wordprocessingml.header+xml"/>
  <Override PartName="/word/footer17.xml" ContentType="application/vnd.openxmlformats-officedocument.wordprocessingml.footer+xml"/>
  <Override PartName="/word/header17.xml" ContentType="application/vnd.openxmlformats-officedocument.wordprocessingml.header+xml"/>
  <Override PartName="/word/footer18.xml" ContentType="application/vnd.openxmlformats-officedocument.wordprocessingml.footer+xml"/>
  <Override PartName="/word/header18.xml" ContentType="application/vnd.openxmlformats-officedocument.wordprocessingml.header+xml"/>
  <Override PartName="/word/footer19.xml" ContentType="application/vnd.openxmlformats-officedocument.wordprocessingml.footer+xml"/>
  <Override PartName="/word/header19.xml" ContentType="application/vnd.openxmlformats-officedocument.wordprocessingml.header+xml"/>
  <Override PartName="/word/footer20.xml" ContentType="application/vnd.openxmlformats-officedocument.wordprocessingml.footer+xml"/>
  <Override PartName="/word/header20.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header21.xml" ContentType="application/vnd.openxmlformats-officedocument.wordprocessingml.header+xml"/>
  <Override PartName="/word/footer23.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4.xml" ContentType="application/vnd.openxmlformats-officedocument.wordprocessingml.footer+xml"/>
  <Override PartName="/word/footer25.xml" ContentType="application/vnd.openxmlformats-officedocument.wordprocessingml.footer+xml"/>
  <Override PartName="/word/header24.xml" ContentType="application/vnd.openxmlformats-officedocument.wordprocessingml.header+xml"/>
  <Override PartName="/word/footer2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9853CD" w14:textId="7212A078" w:rsidR="00376429" w:rsidRPr="001601D0" w:rsidRDefault="00376429" w:rsidP="001601D0">
      <w:pPr>
        <w:pStyle w:val="BodyText"/>
        <w:shd w:val="clear" w:color="auto" w:fill="140034" w:themeFill="background2"/>
        <w:spacing w:before="720" w:after="960"/>
        <w:ind w:left="-284"/>
        <w:rPr>
          <w:rFonts w:eastAsiaTheme="majorHAnsi"/>
          <w:b/>
          <w:bCs/>
          <w:color w:val="FFFFFF" w:themeColor="background1"/>
          <w:sz w:val="32"/>
          <w:szCs w:val="32"/>
        </w:rPr>
      </w:pPr>
      <w:r w:rsidRPr="001601D0">
        <w:rPr>
          <w:rFonts w:eastAsiaTheme="majorHAnsi"/>
          <w:b/>
          <w:bCs/>
          <w:noProof/>
          <w:color w:val="FFFFFF" w:themeColor="background1"/>
          <w:sz w:val="32"/>
          <w:szCs w:val="32"/>
        </w:rPr>
        <w:drawing>
          <wp:anchor distT="0" distB="0" distL="114300" distR="114300" simplePos="0" relativeHeight="251658240" behindDoc="1" locked="1" layoutInCell="1" allowOverlap="1" wp14:anchorId="7F46C65E" wp14:editId="447FC4EB">
            <wp:simplePos x="0" y="0"/>
            <wp:positionH relativeFrom="page">
              <wp:align>right</wp:align>
            </wp:positionH>
            <wp:positionV relativeFrom="page">
              <wp:align>top</wp:align>
            </wp:positionV>
            <wp:extent cx="7550150" cy="10676890"/>
            <wp:effectExtent l="0" t="0" r="0" b="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50150" cy="10676890"/>
                    </a:xfrm>
                    <a:prstGeom prst="rect">
                      <a:avLst/>
                    </a:prstGeom>
                  </pic:spPr>
                </pic:pic>
              </a:graphicData>
            </a:graphic>
            <wp14:sizeRelH relativeFrom="page">
              <wp14:pctWidth>0</wp14:pctWidth>
            </wp14:sizeRelH>
            <wp14:sizeRelV relativeFrom="page">
              <wp14:pctHeight>0</wp14:pctHeight>
            </wp14:sizeRelV>
          </wp:anchor>
        </w:drawing>
      </w:r>
      <w:r w:rsidR="001601D0" w:rsidRPr="001601D0">
        <w:rPr>
          <w:rFonts w:eastAsiaTheme="majorHAnsi"/>
          <w:b/>
          <w:bCs/>
          <w:color w:val="FFFFFF" w:themeColor="background1"/>
          <w:sz w:val="32"/>
          <w:szCs w:val="32"/>
        </w:rPr>
        <w:t>August 2021</w:t>
      </w:r>
    </w:p>
    <w:p w14:paraId="348BACF7" w14:textId="0E598C63" w:rsidR="001825A6" w:rsidRPr="004D1353" w:rsidRDefault="001825A6" w:rsidP="00EA3352">
      <w:pPr>
        <w:pStyle w:val="Title"/>
      </w:pPr>
      <w:r w:rsidRPr="004D1353">
        <w:t>National Mental Health Workforce Strategy</w:t>
      </w:r>
    </w:p>
    <w:p w14:paraId="2B141E80" w14:textId="2E0FEAC5" w:rsidR="0069382D" w:rsidRPr="004D1353" w:rsidRDefault="001825A6" w:rsidP="0009250E">
      <w:pPr>
        <w:pStyle w:val="BodyText"/>
        <w:shd w:val="clear" w:color="auto" w:fill="140034" w:themeFill="background2"/>
        <w:ind w:left="-284"/>
        <w:rPr>
          <w:rFonts w:eastAsiaTheme="majorHAnsi"/>
          <w:color w:val="FFFFFF" w:themeColor="background1"/>
          <w:sz w:val="56"/>
          <w:szCs w:val="56"/>
        </w:rPr>
      </w:pPr>
      <w:r w:rsidRPr="004D1353">
        <w:rPr>
          <w:rFonts w:eastAsiaTheme="majorHAnsi"/>
          <w:color w:val="FFFFFF" w:themeColor="background1"/>
          <w:sz w:val="56"/>
          <w:szCs w:val="56"/>
        </w:rPr>
        <w:t>Background Paper</w:t>
      </w:r>
    </w:p>
    <w:p w14:paraId="68AA0958" w14:textId="77777777" w:rsidR="0069382D" w:rsidRDefault="0069382D" w:rsidP="000F5B52">
      <w:pPr>
        <w:pStyle w:val="BodyText"/>
        <w:tabs>
          <w:tab w:val="right" w:pos="8931"/>
        </w:tabs>
        <w:ind w:left="709" w:hanging="709"/>
        <w:sectPr w:rsidR="0069382D" w:rsidSect="0057448B">
          <w:headerReference w:type="even" r:id="rId10"/>
          <w:headerReference w:type="default" r:id="rId11"/>
          <w:footerReference w:type="even" r:id="rId12"/>
          <w:footerReference w:type="default" r:id="rId13"/>
          <w:headerReference w:type="first" r:id="rId14"/>
          <w:footerReference w:type="first" r:id="rId15"/>
          <w:pgSz w:w="11906" w:h="16838" w:code="9"/>
          <w:pgMar w:top="1701" w:right="1134" w:bottom="1134" w:left="1418" w:header="454" w:footer="164" w:gutter="0"/>
          <w:cols w:space="708"/>
          <w:titlePg/>
          <w:docGrid w:linePitch="360"/>
        </w:sectPr>
      </w:pPr>
    </w:p>
    <w:p w14:paraId="5973683E" w14:textId="5AED2363" w:rsidR="00C81586" w:rsidRPr="00DE3669" w:rsidRDefault="00DE3669" w:rsidP="000F5B52">
      <w:pPr>
        <w:pStyle w:val="Heading1"/>
        <w:numPr>
          <w:ilvl w:val="0"/>
          <w:numId w:val="0"/>
        </w:numPr>
        <w:tabs>
          <w:tab w:val="right" w:pos="8931"/>
        </w:tabs>
        <w:ind w:left="709" w:hanging="709"/>
        <w:rPr>
          <w:rFonts w:eastAsia="Yu Gothic Medium"/>
          <w:noProof/>
          <w:sz w:val="48"/>
          <w:szCs w:val="48"/>
        </w:rPr>
      </w:pPr>
      <w:r w:rsidRPr="00DE3669">
        <w:rPr>
          <w:rFonts w:eastAsia="Yu Gothic Medium"/>
          <w:noProof/>
          <w:sz w:val="48"/>
          <w:szCs w:val="48"/>
        </w:rPr>
        <w:lastRenderedPageBreak/>
        <w:t>Contents</w:t>
      </w:r>
    </w:p>
    <w:p w14:paraId="626F9E0A" w14:textId="08199B9C" w:rsidR="00C81586" w:rsidRPr="000F5B52" w:rsidRDefault="00C81586" w:rsidP="000F5B52">
      <w:pPr>
        <w:pStyle w:val="BodyText"/>
        <w:tabs>
          <w:tab w:val="right" w:pos="8931"/>
        </w:tabs>
        <w:ind w:left="709" w:hanging="709"/>
        <w:rPr>
          <w:rFonts w:eastAsia="Yu Gothic Medium"/>
          <w:b/>
          <w:noProof/>
          <w:color w:val="000100"/>
          <w:sz w:val="28"/>
          <w:szCs w:val="28"/>
        </w:rPr>
      </w:pPr>
      <w:r w:rsidRPr="000F5B52">
        <w:rPr>
          <w:rFonts w:eastAsia="Yu Gothic Medium"/>
          <w:b/>
          <w:noProof/>
          <w:color w:val="000100"/>
          <w:sz w:val="28"/>
          <w:szCs w:val="28"/>
        </w:rPr>
        <w:t>1</w:t>
      </w:r>
      <w:r w:rsidRPr="000F5B52">
        <w:rPr>
          <w:rFonts w:eastAsia="Yu Gothic Medium"/>
          <w:b/>
          <w:noProof/>
          <w:color w:val="000100"/>
          <w:sz w:val="28"/>
          <w:szCs w:val="28"/>
        </w:rPr>
        <w:tab/>
        <w:t>Background Paper</w:t>
      </w:r>
      <w:r w:rsidRPr="000F5B52">
        <w:rPr>
          <w:rFonts w:eastAsia="Yu Gothic Medium"/>
          <w:b/>
          <w:noProof/>
          <w:color w:val="000100"/>
          <w:sz w:val="28"/>
          <w:szCs w:val="28"/>
        </w:rPr>
        <w:tab/>
        <w:t>3</w:t>
      </w:r>
    </w:p>
    <w:p w14:paraId="6F0EE250" w14:textId="77777777" w:rsidR="00C81586" w:rsidRPr="00DE3669" w:rsidRDefault="00C81586" w:rsidP="000F5B52">
      <w:pPr>
        <w:pStyle w:val="BodyText"/>
        <w:tabs>
          <w:tab w:val="right" w:pos="8931"/>
        </w:tabs>
        <w:ind w:left="1418" w:hanging="709"/>
        <w:rPr>
          <w:rFonts w:eastAsia="Yu Gothic Medium"/>
          <w:bCs/>
          <w:noProof/>
          <w:color w:val="000100"/>
        </w:rPr>
      </w:pPr>
      <w:r w:rsidRPr="00DE3669">
        <w:rPr>
          <w:rFonts w:eastAsia="Yu Gothic Medium"/>
          <w:bCs/>
          <w:noProof/>
          <w:color w:val="000100"/>
        </w:rPr>
        <w:t>1.1</w:t>
      </w:r>
      <w:r w:rsidRPr="00DE3669">
        <w:rPr>
          <w:rFonts w:eastAsia="Yu Gothic Medium"/>
          <w:bCs/>
          <w:noProof/>
          <w:color w:val="000100"/>
        </w:rPr>
        <w:tab/>
        <w:t>The National Mental Health Workforce Strategy 2021–2031</w:t>
      </w:r>
      <w:r w:rsidRPr="00DE3669">
        <w:rPr>
          <w:rFonts w:eastAsia="Yu Gothic Medium"/>
          <w:bCs/>
          <w:noProof/>
          <w:color w:val="000100"/>
        </w:rPr>
        <w:tab/>
        <w:t>3</w:t>
      </w:r>
    </w:p>
    <w:p w14:paraId="290CFA7E" w14:textId="77777777" w:rsidR="00C81586" w:rsidRPr="00DE3669" w:rsidRDefault="00C81586" w:rsidP="000F5B52">
      <w:pPr>
        <w:pStyle w:val="BodyText"/>
        <w:tabs>
          <w:tab w:val="right" w:pos="8931"/>
        </w:tabs>
        <w:ind w:left="1418" w:hanging="709"/>
        <w:rPr>
          <w:rFonts w:eastAsia="Yu Gothic Medium"/>
          <w:bCs/>
          <w:noProof/>
          <w:color w:val="000100"/>
        </w:rPr>
      </w:pPr>
      <w:r w:rsidRPr="00DE3669">
        <w:rPr>
          <w:rFonts w:eastAsia="Yu Gothic Medium"/>
          <w:bCs/>
          <w:noProof/>
          <w:color w:val="000100"/>
        </w:rPr>
        <w:t>1.2</w:t>
      </w:r>
      <w:r w:rsidRPr="00DE3669">
        <w:rPr>
          <w:rFonts w:eastAsia="Yu Gothic Medium"/>
          <w:bCs/>
          <w:noProof/>
          <w:color w:val="000100"/>
        </w:rPr>
        <w:tab/>
        <w:t>The Consultation Draft</w:t>
      </w:r>
      <w:r w:rsidRPr="00DE3669">
        <w:rPr>
          <w:rFonts w:eastAsia="Yu Gothic Medium"/>
          <w:bCs/>
          <w:noProof/>
          <w:color w:val="000100"/>
        </w:rPr>
        <w:tab/>
        <w:t>3</w:t>
      </w:r>
    </w:p>
    <w:p w14:paraId="71F28F1C" w14:textId="77777777" w:rsidR="00C81586" w:rsidRPr="00DE3669" w:rsidRDefault="00C81586" w:rsidP="000F5B52">
      <w:pPr>
        <w:pStyle w:val="BodyText"/>
        <w:tabs>
          <w:tab w:val="right" w:pos="8931"/>
        </w:tabs>
        <w:ind w:left="1418" w:hanging="709"/>
        <w:rPr>
          <w:rFonts w:eastAsia="Yu Gothic Medium"/>
          <w:bCs/>
          <w:noProof/>
          <w:color w:val="000100"/>
        </w:rPr>
      </w:pPr>
      <w:r w:rsidRPr="00DE3669">
        <w:rPr>
          <w:rFonts w:eastAsia="Yu Gothic Medium"/>
          <w:bCs/>
          <w:noProof/>
          <w:color w:val="000100"/>
        </w:rPr>
        <w:t>1.3</w:t>
      </w:r>
      <w:r w:rsidRPr="00DE3669">
        <w:rPr>
          <w:rFonts w:eastAsia="Yu Gothic Medium"/>
          <w:bCs/>
          <w:noProof/>
          <w:color w:val="000100"/>
        </w:rPr>
        <w:tab/>
        <w:t>This Background Paper</w:t>
      </w:r>
      <w:r w:rsidRPr="00DE3669">
        <w:rPr>
          <w:rFonts w:eastAsia="Yu Gothic Medium"/>
          <w:bCs/>
          <w:noProof/>
          <w:color w:val="000100"/>
        </w:rPr>
        <w:tab/>
        <w:t>4</w:t>
      </w:r>
    </w:p>
    <w:p w14:paraId="01690F20" w14:textId="77777777" w:rsidR="00C81586" w:rsidRPr="000F5B52" w:rsidRDefault="00C81586" w:rsidP="000F5B52">
      <w:pPr>
        <w:pStyle w:val="BodyText"/>
        <w:tabs>
          <w:tab w:val="right" w:pos="8931"/>
        </w:tabs>
        <w:ind w:left="709" w:hanging="709"/>
        <w:rPr>
          <w:rFonts w:eastAsia="Yu Gothic Medium"/>
          <w:b/>
          <w:noProof/>
          <w:color w:val="000100"/>
          <w:sz w:val="28"/>
          <w:szCs w:val="28"/>
        </w:rPr>
      </w:pPr>
      <w:r w:rsidRPr="000F5B52">
        <w:rPr>
          <w:rFonts w:eastAsia="Yu Gothic Medium"/>
          <w:b/>
          <w:noProof/>
          <w:color w:val="000100"/>
          <w:sz w:val="28"/>
          <w:szCs w:val="28"/>
        </w:rPr>
        <w:t>2</w:t>
      </w:r>
      <w:r w:rsidRPr="000F5B52">
        <w:rPr>
          <w:rFonts w:eastAsia="Yu Gothic Medium"/>
          <w:b/>
          <w:noProof/>
          <w:color w:val="000100"/>
          <w:sz w:val="28"/>
          <w:szCs w:val="28"/>
        </w:rPr>
        <w:tab/>
        <w:t>Development process</w:t>
      </w:r>
      <w:r w:rsidRPr="000F5B52">
        <w:rPr>
          <w:rFonts w:eastAsia="Yu Gothic Medium"/>
          <w:b/>
          <w:noProof/>
          <w:color w:val="000100"/>
          <w:sz w:val="28"/>
          <w:szCs w:val="28"/>
        </w:rPr>
        <w:tab/>
        <w:t>5</w:t>
      </w:r>
    </w:p>
    <w:p w14:paraId="3675EC1B" w14:textId="77777777" w:rsidR="00C81586" w:rsidRPr="00DE3669" w:rsidRDefault="00C81586" w:rsidP="000F5B52">
      <w:pPr>
        <w:pStyle w:val="BodyText"/>
        <w:tabs>
          <w:tab w:val="right" w:pos="8931"/>
        </w:tabs>
        <w:ind w:left="1418" w:hanging="709"/>
        <w:rPr>
          <w:rFonts w:eastAsia="Yu Gothic Medium"/>
          <w:bCs/>
          <w:noProof/>
          <w:color w:val="000100"/>
        </w:rPr>
      </w:pPr>
      <w:r w:rsidRPr="00DE3669">
        <w:rPr>
          <w:rFonts w:eastAsia="Yu Gothic Medium"/>
          <w:bCs/>
          <w:noProof/>
          <w:color w:val="000100"/>
        </w:rPr>
        <w:t>2.1</w:t>
      </w:r>
      <w:r w:rsidRPr="00DE3669">
        <w:rPr>
          <w:rFonts w:eastAsia="Yu Gothic Medium"/>
          <w:bCs/>
          <w:noProof/>
          <w:color w:val="000100"/>
        </w:rPr>
        <w:tab/>
        <w:t>The Taskforce</w:t>
      </w:r>
      <w:r w:rsidRPr="00DE3669">
        <w:rPr>
          <w:rFonts w:eastAsia="Yu Gothic Medium"/>
          <w:bCs/>
          <w:noProof/>
          <w:color w:val="000100"/>
        </w:rPr>
        <w:tab/>
        <w:t>5</w:t>
      </w:r>
    </w:p>
    <w:p w14:paraId="64EFAB76" w14:textId="77777777" w:rsidR="00C81586" w:rsidRPr="00DE3669" w:rsidRDefault="00C81586" w:rsidP="000F5B52">
      <w:pPr>
        <w:pStyle w:val="BodyText"/>
        <w:tabs>
          <w:tab w:val="right" w:pos="8931"/>
        </w:tabs>
        <w:ind w:left="1418" w:hanging="709"/>
        <w:rPr>
          <w:rFonts w:eastAsia="Yu Gothic Medium"/>
          <w:bCs/>
          <w:noProof/>
          <w:color w:val="000100"/>
        </w:rPr>
      </w:pPr>
      <w:r w:rsidRPr="00DE3669">
        <w:rPr>
          <w:rFonts w:eastAsia="Yu Gothic Medium"/>
          <w:bCs/>
          <w:noProof/>
          <w:color w:val="000100"/>
        </w:rPr>
        <w:t>2.2</w:t>
      </w:r>
      <w:r w:rsidRPr="00DE3669">
        <w:rPr>
          <w:rFonts w:eastAsia="Yu Gothic Medium"/>
          <w:bCs/>
          <w:noProof/>
          <w:color w:val="000100"/>
        </w:rPr>
        <w:tab/>
        <w:t>Working Groups</w:t>
      </w:r>
      <w:r w:rsidRPr="00DE3669">
        <w:rPr>
          <w:rFonts w:eastAsia="Yu Gothic Medium"/>
          <w:bCs/>
          <w:noProof/>
          <w:color w:val="000100"/>
        </w:rPr>
        <w:tab/>
        <w:t>6</w:t>
      </w:r>
    </w:p>
    <w:p w14:paraId="5991C97F" w14:textId="77777777" w:rsidR="00C81586" w:rsidRPr="00DE3669" w:rsidRDefault="00C81586" w:rsidP="000F5B52">
      <w:pPr>
        <w:pStyle w:val="BodyText"/>
        <w:tabs>
          <w:tab w:val="right" w:pos="8931"/>
        </w:tabs>
        <w:ind w:left="1418" w:hanging="709"/>
        <w:rPr>
          <w:rFonts w:eastAsia="Yu Gothic Medium"/>
          <w:bCs/>
          <w:noProof/>
          <w:color w:val="000100"/>
        </w:rPr>
      </w:pPr>
      <w:r w:rsidRPr="00DE3669">
        <w:rPr>
          <w:rFonts w:eastAsia="Yu Gothic Medium"/>
          <w:bCs/>
          <w:noProof/>
          <w:color w:val="000100"/>
        </w:rPr>
        <w:t>2.3</w:t>
      </w:r>
      <w:r w:rsidRPr="00DE3669">
        <w:rPr>
          <w:rFonts w:eastAsia="Yu Gothic Medium"/>
          <w:bCs/>
          <w:noProof/>
          <w:color w:val="000100"/>
        </w:rPr>
        <w:tab/>
        <w:t>Consumer and carer consultation</w:t>
      </w:r>
      <w:r w:rsidRPr="00DE3669">
        <w:rPr>
          <w:rFonts w:eastAsia="Yu Gothic Medium"/>
          <w:bCs/>
          <w:noProof/>
          <w:color w:val="000100"/>
        </w:rPr>
        <w:tab/>
        <w:t>6</w:t>
      </w:r>
    </w:p>
    <w:p w14:paraId="48EC0219" w14:textId="77777777" w:rsidR="00C81586" w:rsidRPr="00DE3669" w:rsidRDefault="00C81586" w:rsidP="000F5B52">
      <w:pPr>
        <w:pStyle w:val="BodyText"/>
        <w:tabs>
          <w:tab w:val="right" w:pos="8931"/>
        </w:tabs>
        <w:ind w:left="1418" w:hanging="709"/>
        <w:rPr>
          <w:rFonts w:eastAsia="Yu Gothic Medium"/>
          <w:bCs/>
          <w:noProof/>
          <w:color w:val="000100"/>
        </w:rPr>
      </w:pPr>
      <w:r w:rsidRPr="00DE3669">
        <w:rPr>
          <w:rFonts w:eastAsia="Yu Gothic Medium"/>
          <w:bCs/>
          <w:noProof/>
          <w:color w:val="000100"/>
        </w:rPr>
        <w:t>2.4</w:t>
      </w:r>
      <w:r w:rsidRPr="00DE3669">
        <w:rPr>
          <w:rFonts w:eastAsia="Yu Gothic Medium"/>
          <w:bCs/>
          <w:noProof/>
          <w:color w:val="000100"/>
        </w:rPr>
        <w:tab/>
        <w:t>Research inputs</w:t>
      </w:r>
      <w:r w:rsidRPr="00DE3669">
        <w:rPr>
          <w:rFonts w:eastAsia="Yu Gothic Medium"/>
          <w:bCs/>
          <w:noProof/>
          <w:color w:val="000100"/>
        </w:rPr>
        <w:tab/>
        <w:t>7</w:t>
      </w:r>
    </w:p>
    <w:p w14:paraId="211967AE" w14:textId="77777777" w:rsidR="00C81586" w:rsidRPr="000F5B52" w:rsidRDefault="00C81586" w:rsidP="000F5B52">
      <w:pPr>
        <w:pStyle w:val="BodyText"/>
        <w:tabs>
          <w:tab w:val="right" w:pos="8931"/>
        </w:tabs>
        <w:ind w:left="709" w:hanging="709"/>
        <w:rPr>
          <w:rFonts w:eastAsia="Yu Gothic Medium"/>
          <w:b/>
          <w:noProof/>
          <w:color w:val="000100"/>
          <w:sz w:val="28"/>
          <w:szCs w:val="28"/>
        </w:rPr>
      </w:pPr>
      <w:r w:rsidRPr="000F5B52">
        <w:rPr>
          <w:rFonts w:eastAsia="Yu Gothic Medium"/>
          <w:b/>
          <w:noProof/>
          <w:color w:val="000100"/>
          <w:sz w:val="28"/>
          <w:szCs w:val="28"/>
        </w:rPr>
        <w:t>3</w:t>
      </w:r>
      <w:r w:rsidRPr="000F5B52">
        <w:rPr>
          <w:rFonts w:eastAsia="Yu Gothic Medium"/>
          <w:b/>
          <w:noProof/>
          <w:color w:val="000100"/>
          <w:sz w:val="28"/>
          <w:szCs w:val="28"/>
        </w:rPr>
        <w:tab/>
        <w:t>Context for the Strategy</w:t>
      </w:r>
      <w:r w:rsidRPr="000F5B52">
        <w:rPr>
          <w:rFonts w:eastAsia="Yu Gothic Medium"/>
          <w:b/>
          <w:noProof/>
          <w:color w:val="000100"/>
          <w:sz w:val="28"/>
          <w:szCs w:val="28"/>
        </w:rPr>
        <w:tab/>
        <w:t>8</w:t>
      </w:r>
    </w:p>
    <w:p w14:paraId="66AB3595" w14:textId="77777777" w:rsidR="00C81586" w:rsidRPr="00DE3669" w:rsidRDefault="00C81586" w:rsidP="000F5B52">
      <w:pPr>
        <w:pStyle w:val="BodyText"/>
        <w:tabs>
          <w:tab w:val="right" w:pos="8931"/>
        </w:tabs>
        <w:ind w:left="1418" w:hanging="709"/>
        <w:rPr>
          <w:rFonts w:eastAsia="Yu Gothic Medium"/>
          <w:bCs/>
          <w:noProof/>
          <w:color w:val="000100"/>
        </w:rPr>
      </w:pPr>
      <w:r w:rsidRPr="00DE3669">
        <w:rPr>
          <w:rFonts w:eastAsia="Yu Gothic Medium"/>
          <w:bCs/>
          <w:noProof/>
          <w:color w:val="000100"/>
        </w:rPr>
        <w:t>3.1</w:t>
      </w:r>
      <w:r w:rsidRPr="00DE3669">
        <w:rPr>
          <w:rFonts w:eastAsia="Yu Gothic Medium"/>
          <w:bCs/>
          <w:noProof/>
          <w:color w:val="000100"/>
        </w:rPr>
        <w:tab/>
        <w:t>Introduction</w:t>
      </w:r>
      <w:r w:rsidRPr="00DE3669">
        <w:rPr>
          <w:rFonts w:eastAsia="Yu Gothic Medium"/>
          <w:bCs/>
          <w:noProof/>
          <w:color w:val="000100"/>
        </w:rPr>
        <w:tab/>
        <w:t>8</w:t>
      </w:r>
    </w:p>
    <w:p w14:paraId="513377E2" w14:textId="77777777" w:rsidR="00C81586" w:rsidRPr="00DE3669" w:rsidRDefault="00C81586" w:rsidP="000F5B52">
      <w:pPr>
        <w:pStyle w:val="BodyText"/>
        <w:tabs>
          <w:tab w:val="right" w:pos="8931"/>
        </w:tabs>
        <w:ind w:left="1418" w:hanging="709"/>
        <w:rPr>
          <w:rFonts w:eastAsia="Yu Gothic Medium"/>
          <w:bCs/>
          <w:noProof/>
          <w:color w:val="000100"/>
        </w:rPr>
      </w:pPr>
      <w:r w:rsidRPr="00DE3669">
        <w:rPr>
          <w:rFonts w:eastAsia="Yu Gothic Medium"/>
          <w:bCs/>
          <w:noProof/>
          <w:color w:val="000100"/>
        </w:rPr>
        <w:t>3.2</w:t>
      </w:r>
      <w:r w:rsidRPr="00DE3669">
        <w:rPr>
          <w:rFonts w:eastAsia="Yu Gothic Medium"/>
          <w:bCs/>
          <w:noProof/>
          <w:color w:val="000100"/>
        </w:rPr>
        <w:tab/>
        <w:t>Policy context</w:t>
      </w:r>
      <w:r w:rsidRPr="00DE3669">
        <w:rPr>
          <w:rFonts w:eastAsia="Yu Gothic Medium"/>
          <w:bCs/>
          <w:noProof/>
          <w:color w:val="000100"/>
        </w:rPr>
        <w:tab/>
        <w:t>11</w:t>
      </w:r>
    </w:p>
    <w:p w14:paraId="3E8B0260" w14:textId="77777777" w:rsidR="00C81586" w:rsidRPr="000F5B52" w:rsidRDefault="00C81586" w:rsidP="000F5B52">
      <w:pPr>
        <w:pStyle w:val="BodyText"/>
        <w:tabs>
          <w:tab w:val="right" w:pos="8931"/>
        </w:tabs>
        <w:ind w:left="709" w:hanging="709"/>
        <w:rPr>
          <w:rFonts w:eastAsia="Yu Gothic Medium"/>
          <w:b/>
          <w:noProof/>
          <w:color w:val="000100"/>
          <w:sz w:val="28"/>
          <w:szCs w:val="28"/>
        </w:rPr>
      </w:pPr>
      <w:r w:rsidRPr="000F5B52">
        <w:rPr>
          <w:rFonts w:eastAsia="Yu Gothic Medium"/>
          <w:b/>
          <w:noProof/>
          <w:color w:val="000100"/>
          <w:sz w:val="28"/>
          <w:szCs w:val="28"/>
        </w:rPr>
        <w:t>4</w:t>
      </w:r>
      <w:r w:rsidRPr="000F5B52">
        <w:rPr>
          <w:rFonts w:eastAsia="Yu Gothic Medium"/>
          <w:b/>
          <w:noProof/>
          <w:color w:val="000100"/>
          <w:sz w:val="28"/>
          <w:szCs w:val="28"/>
        </w:rPr>
        <w:tab/>
        <w:t>Mental Health Workforce</w:t>
      </w:r>
      <w:r w:rsidRPr="000F5B52">
        <w:rPr>
          <w:rFonts w:eastAsia="Yu Gothic Medium"/>
          <w:b/>
          <w:noProof/>
          <w:color w:val="000100"/>
          <w:sz w:val="28"/>
          <w:szCs w:val="28"/>
        </w:rPr>
        <w:tab/>
        <w:t>17</w:t>
      </w:r>
    </w:p>
    <w:p w14:paraId="75E6FE94" w14:textId="77777777" w:rsidR="00C81586" w:rsidRPr="00DE3669" w:rsidRDefault="00C81586" w:rsidP="000F5B52">
      <w:pPr>
        <w:pStyle w:val="BodyText"/>
        <w:tabs>
          <w:tab w:val="right" w:pos="8931"/>
        </w:tabs>
        <w:ind w:left="1418" w:hanging="709"/>
        <w:rPr>
          <w:rFonts w:eastAsia="Yu Gothic Medium"/>
          <w:bCs/>
          <w:noProof/>
          <w:color w:val="000100"/>
        </w:rPr>
      </w:pPr>
      <w:r w:rsidRPr="00DE3669">
        <w:rPr>
          <w:rFonts w:eastAsia="Yu Gothic Medium"/>
          <w:bCs/>
          <w:noProof/>
          <w:color w:val="000100"/>
        </w:rPr>
        <w:t>4.1</w:t>
      </w:r>
      <w:r w:rsidRPr="00DE3669">
        <w:rPr>
          <w:rFonts w:eastAsia="Yu Gothic Medium"/>
          <w:bCs/>
          <w:noProof/>
          <w:color w:val="000100"/>
        </w:rPr>
        <w:tab/>
        <w:t>Definition of the mental health workforce</w:t>
      </w:r>
      <w:r w:rsidRPr="00DE3669">
        <w:rPr>
          <w:rFonts w:eastAsia="Yu Gothic Medium"/>
          <w:bCs/>
          <w:noProof/>
          <w:color w:val="000100"/>
        </w:rPr>
        <w:tab/>
        <w:t>17</w:t>
      </w:r>
    </w:p>
    <w:p w14:paraId="39C16E93" w14:textId="77777777" w:rsidR="00C81586" w:rsidRPr="000F5B52" w:rsidRDefault="00C81586" w:rsidP="000F5B52">
      <w:pPr>
        <w:pStyle w:val="BodyText"/>
        <w:tabs>
          <w:tab w:val="right" w:pos="8931"/>
        </w:tabs>
        <w:ind w:left="709" w:hanging="709"/>
        <w:rPr>
          <w:rFonts w:eastAsia="Yu Gothic Medium"/>
          <w:b/>
          <w:noProof/>
          <w:color w:val="000100"/>
          <w:sz w:val="28"/>
          <w:szCs w:val="28"/>
        </w:rPr>
      </w:pPr>
      <w:r w:rsidRPr="000F5B52">
        <w:rPr>
          <w:rFonts w:eastAsia="Yu Gothic Medium"/>
          <w:b/>
          <w:noProof/>
          <w:color w:val="000100"/>
          <w:sz w:val="28"/>
          <w:szCs w:val="28"/>
        </w:rPr>
        <w:t>5</w:t>
      </w:r>
      <w:r w:rsidRPr="000F5B52">
        <w:rPr>
          <w:rFonts w:eastAsia="Yu Gothic Medium"/>
          <w:b/>
          <w:noProof/>
          <w:color w:val="000100"/>
          <w:sz w:val="28"/>
          <w:szCs w:val="28"/>
        </w:rPr>
        <w:tab/>
        <w:t>Common workforce challenges</w:t>
      </w:r>
      <w:r w:rsidRPr="000F5B52">
        <w:rPr>
          <w:rFonts w:eastAsia="Yu Gothic Medium"/>
          <w:b/>
          <w:noProof/>
          <w:color w:val="000100"/>
          <w:sz w:val="28"/>
          <w:szCs w:val="28"/>
        </w:rPr>
        <w:tab/>
        <w:t>27</w:t>
      </w:r>
    </w:p>
    <w:p w14:paraId="4CBBCC27" w14:textId="77777777" w:rsidR="00C81586" w:rsidRPr="00DE3669" w:rsidRDefault="00C81586" w:rsidP="000F5B52">
      <w:pPr>
        <w:pStyle w:val="BodyText"/>
        <w:tabs>
          <w:tab w:val="right" w:pos="8931"/>
        </w:tabs>
        <w:ind w:left="1418" w:hanging="709"/>
        <w:rPr>
          <w:rFonts w:eastAsia="Yu Gothic Medium"/>
          <w:bCs/>
          <w:noProof/>
          <w:color w:val="000100"/>
        </w:rPr>
      </w:pPr>
      <w:r w:rsidRPr="00DE3669">
        <w:rPr>
          <w:rFonts w:eastAsia="Yu Gothic Medium"/>
          <w:bCs/>
          <w:noProof/>
          <w:color w:val="000100"/>
        </w:rPr>
        <w:t>5.1</w:t>
      </w:r>
      <w:r w:rsidRPr="00DE3669">
        <w:rPr>
          <w:rFonts w:eastAsia="Yu Gothic Medium"/>
          <w:bCs/>
          <w:noProof/>
          <w:color w:val="000100"/>
        </w:rPr>
        <w:tab/>
        <w:t>Attractiveness and awareness of careers in mental health</w:t>
      </w:r>
      <w:r w:rsidRPr="00DE3669">
        <w:rPr>
          <w:rFonts w:eastAsia="Yu Gothic Medium"/>
          <w:bCs/>
          <w:noProof/>
          <w:color w:val="000100"/>
        </w:rPr>
        <w:tab/>
        <w:t>27</w:t>
      </w:r>
    </w:p>
    <w:p w14:paraId="5B93CA56" w14:textId="77777777" w:rsidR="00C81586" w:rsidRPr="00DE3669" w:rsidRDefault="00C81586" w:rsidP="000F5B52">
      <w:pPr>
        <w:pStyle w:val="BodyText"/>
        <w:tabs>
          <w:tab w:val="right" w:pos="8931"/>
        </w:tabs>
        <w:ind w:left="1418" w:hanging="709"/>
        <w:rPr>
          <w:rFonts w:eastAsia="Yu Gothic Medium"/>
          <w:bCs/>
          <w:noProof/>
          <w:color w:val="000100"/>
        </w:rPr>
      </w:pPr>
      <w:r w:rsidRPr="00DE3669">
        <w:rPr>
          <w:rFonts w:eastAsia="Yu Gothic Medium"/>
          <w:bCs/>
          <w:noProof/>
          <w:color w:val="000100"/>
        </w:rPr>
        <w:t>5.2</w:t>
      </w:r>
      <w:r w:rsidRPr="00DE3669">
        <w:rPr>
          <w:rFonts w:eastAsia="Yu Gothic Medium"/>
          <w:bCs/>
          <w:noProof/>
          <w:color w:val="000100"/>
        </w:rPr>
        <w:tab/>
        <w:t>Workforce data</w:t>
      </w:r>
      <w:r w:rsidRPr="00DE3669">
        <w:rPr>
          <w:rFonts w:eastAsia="Yu Gothic Medium"/>
          <w:bCs/>
          <w:noProof/>
          <w:color w:val="000100"/>
        </w:rPr>
        <w:tab/>
        <w:t>28</w:t>
      </w:r>
    </w:p>
    <w:p w14:paraId="4FC61ABC" w14:textId="77777777" w:rsidR="00C81586" w:rsidRPr="00DE3669" w:rsidRDefault="00C81586" w:rsidP="000F5B52">
      <w:pPr>
        <w:pStyle w:val="BodyText"/>
        <w:tabs>
          <w:tab w:val="right" w:pos="8931"/>
        </w:tabs>
        <w:ind w:left="1418" w:hanging="709"/>
        <w:rPr>
          <w:rFonts w:eastAsia="Yu Gothic Medium"/>
          <w:bCs/>
          <w:noProof/>
          <w:color w:val="000100"/>
        </w:rPr>
      </w:pPr>
      <w:r w:rsidRPr="00DE3669">
        <w:rPr>
          <w:rFonts w:eastAsia="Yu Gothic Medium"/>
          <w:bCs/>
          <w:noProof/>
          <w:color w:val="000100"/>
        </w:rPr>
        <w:t>5.3</w:t>
      </w:r>
      <w:r w:rsidRPr="00DE3669">
        <w:rPr>
          <w:rFonts w:eastAsia="Yu Gothic Medium"/>
          <w:bCs/>
          <w:noProof/>
          <w:color w:val="000100"/>
        </w:rPr>
        <w:tab/>
        <w:t>Utilisation</w:t>
      </w:r>
      <w:r w:rsidRPr="00DE3669">
        <w:rPr>
          <w:rFonts w:eastAsia="Yu Gothic Medium"/>
          <w:bCs/>
          <w:noProof/>
          <w:color w:val="000100"/>
        </w:rPr>
        <w:tab/>
        <w:t>30</w:t>
      </w:r>
    </w:p>
    <w:p w14:paraId="7DFC81CC" w14:textId="77777777" w:rsidR="00C81586" w:rsidRPr="00DE3669" w:rsidRDefault="00C81586" w:rsidP="000F5B52">
      <w:pPr>
        <w:pStyle w:val="BodyText"/>
        <w:tabs>
          <w:tab w:val="right" w:pos="8931"/>
        </w:tabs>
        <w:ind w:left="1418" w:hanging="709"/>
        <w:rPr>
          <w:rFonts w:eastAsia="Yu Gothic Medium"/>
          <w:bCs/>
          <w:noProof/>
          <w:color w:val="000100"/>
        </w:rPr>
      </w:pPr>
      <w:r w:rsidRPr="00DE3669">
        <w:rPr>
          <w:rFonts w:eastAsia="Yu Gothic Medium"/>
          <w:bCs/>
          <w:noProof/>
          <w:color w:val="000100"/>
        </w:rPr>
        <w:t>5.4</w:t>
      </w:r>
      <w:r w:rsidRPr="00DE3669">
        <w:rPr>
          <w:rFonts w:eastAsia="Yu Gothic Medium"/>
          <w:bCs/>
          <w:noProof/>
          <w:color w:val="000100"/>
        </w:rPr>
        <w:tab/>
        <w:t>Skills</w:t>
      </w:r>
      <w:r w:rsidRPr="00DE3669">
        <w:rPr>
          <w:rFonts w:eastAsia="Yu Gothic Medium"/>
          <w:bCs/>
          <w:noProof/>
          <w:color w:val="000100"/>
        </w:rPr>
        <w:tab/>
        <w:t>32</w:t>
      </w:r>
    </w:p>
    <w:p w14:paraId="5B0C77B4" w14:textId="77777777" w:rsidR="00C81586" w:rsidRPr="00DE3669" w:rsidRDefault="00C81586" w:rsidP="000F5B52">
      <w:pPr>
        <w:pStyle w:val="BodyText"/>
        <w:tabs>
          <w:tab w:val="right" w:pos="8931"/>
        </w:tabs>
        <w:ind w:left="1418" w:hanging="709"/>
        <w:rPr>
          <w:rFonts w:eastAsia="Yu Gothic Medium"/>
          <w:bCs/>
          <w:noProof/>
          <w:color w:val="000100"/>
        </w:rPr>
      </w:pPr>
      <w:r w:rsidRPr="00DE3669">
        <w:rPr>
          <w:rFonts w:eastAsia="Yu Gothic Medium"/>
          <w:bCs/>
          <w:noProof/>
          <w:color w:val="000100"/>
        </w:rPr>
        <w:t>5.5</w:t>
      </w:r>
      <w:r w:rsidRPr="00DE3669">
        <w:rPr>
          <w:rFonts w:eastAsia="Yu Gothic Medium"/>
          <w:bCs/>
          <w:noProof/>
          <w:color w:val="000100"/>
        </w:rPr>
        <w:tab/>
        <w:t>Workforce retention</w:t>
      </w:r>
      <w:r w:rsidRPr="00DE3669">
        <w:rPr>
          <w:rFonts w:eastAsia="Yu Gothic Medium"/>
          <w:bCs/>
          <w:noProof/>
          <w:color w:val="000100"/>
        </w:rPr>
        <w:tab/>
        <w:t>34</w:t>
      </w:r>
    </w:p>
    <w:p w14:paraId="08591354" w14:textId="77777777" w:rsidR="00C81586" w:rsidRPr="00DE3669" w:rsidRDefault="00C81586" w:rsidP="000F5B52">
      <w:pPr>
        <w:pStyle w:val="BodyText"/>
        <w:tabs>
          <w:tab w:val="right" w:pos="8931"/>
        </w:tabs>
        <w:ind w:left="1418" w:hanging="709"/>
        <w:rPr>
          <w:rFonts w:eastAsia="Yu Gothic Medium"/>
          <w:bCs/>
          <w:noProof/>
          <w:color w:val="000100"/>
        </w:rPr>
      </w:pPr>
      <w:r w:rsidRPr="00DE3669">
        <w:rPr>
          <w:rFonts w:eastAsia="Yu Gothic Medium"/>
          <w:bCs/>
          <w:noProof/>
          <w:color w:val="000100"/>
        </w:rPr>
        <w:t>5.6</w:t>
      </w:r>
      <w:r w:rsidRPr="00DE3669">
        <w:rPr>
          <w:rFonts w:eastAsia="Yu Gothic Medium"/>
          <w:bCs/>
          <w:noProof/>
          <w:color w:val="000100"/>
        </w:rPr>
        <w:tab/>
        <w:t>Deployment</w:t>
      </w:r>
      <w:r w:rsidRPr="00DE3669">
        <w:rPr>
          <w:rFonts w:eastAsia="Yu Gothic Medium"/>
          <w:bCs/>
          <w:noProof/>
          <w:color w:val="000100"/>
        </w:rPr>
        <w:tab/>
        <w:t>39</w:t>
      </w:r>
    </w:p>
    <w:p w14:paraId="5C47364F" w14:textId="77777777" w:rsidR="00C81586" w:rsidRPr="000F5B52" w:rsidRDefault="00C81586" w:rsidP="000F5B52">
      <w:pPr>
        <w:pStyle w:val="BodyText"/>
        <w:tabs>
          <w:tab w:val="right" w:pos="8931"/>
        </w:tabs>
        <w:ind w:left="709" w:hanging="709"/>
        <w:rPr>
          <w:rFonts w:eastAsia="Yu Gothic Medium"/>
          <w:b/>
          <w:noProof/>
          <w:color w:val="000100"/>
          <w:sz w:val="28"/>
          <w:szCs w:val="28"/>
        </w:rPr>
      </w:pPr>
      <w:r w:rsidRPr="000F5B52">
        <w:rPr>
          <w:rFonts w:eastAsia="Yu Gothic Medium"/>
          <w:b/>
          <w:noProof/>
          <w:color w:val="000100"/>
          <w:sz w:val="28"/>
          <w:szCs w:val="28"/>
        </w:rPr>
        <w:t>6</w:t>
      </w:r>
      <w:r w:rsidRPr="000F5B52">
        <w:rPr>
          <w:rFonts w:eastAsia="Yu Gothic Medium"/>
          <w:b/>
          <w:noProof/>
          <w:color w:val="000100"/>
          <w:sz w:val="28"/>
          <w:szCs w:val="28"/>
        </w:rPr>
        <w:tab/>
        <w:t>Occupation-specific issues</w:t>
      </w:r>
      <w:r w:rsidRPr="000F5B52">
        <w:rPr>
          <w:rFonts w:eastAsia="Yu Gothic Medium"/>
          <w:b/>
          <w:noProof/>
          <w:color w:val="000100"/>
          <w:sz w:val="28"/>
          <w:szCs w:val="28"/>
        </w:rPr>
        <w:tab/>
        <w:t>40</w:t>
      </w:r>
    </w:p>
    <w:p w14:paraId="32FB68C4" w14:textId="13290C62" w:rsidR="00C81586" w:rsidRPr="000F5B52" w:rsidRDefault="00C81586" w:rsidP="000F5B52">
      <w:pPr>
        <w:pStyle w:val="BodyText"/>
        <w:tabs>
          <w:tab w:val="right" w:pos="8931"/>
        </w:tabs>
        <w:ind w:left="709" w:hanging="709"/>
        <w:rPr>
          <w:rFonts w:eastAsia="Yu Gothic Medium"/>
          <w:b/>
          <w:noProof/>
          <w:color w:val="000100"/>
          <w:sz w:val="28"/>
          <w:szCs w:val="28"/>
        </w:rPr>
      </w:pPr>
      <w:r w:rsidRPr="000F5B52">
        <w:rPr>
          <w:rFonts w:eastAsia="Yu Gothic Medium"/>
          <w:b/>
          <w:noProof/>
          <w:color w:val="000100"/>
          <w:sz w:val="28"/>
          <w:szCs w:val="28"/>
        </w:rPr>
        <w:t>A</w:t>
      </w:r>
      <w:r w:rsidRPr="000F5B52">
        <w:rPr>
          <w:rFonts w:eastAsia="Yu Gothic Medium"/>
          <w:b/>
          <w:noProof/>
          <w:color w:val="000100"/>
          <w:sz w:val="28"/>
          <w:szCs w:val="28"/>
        </w:rPr>
        <w:tab/>
        <w:t>Taskforce Terms of Reference</w:t>
      </w:r>
      <w:r w:rsidRPr="000F5B52">
        <w:rPr>
          <w:rFonts w:eastAsia="Yu Gothic Medium"/>
          <w:b/>
          <w:noProof/>
          <w:color w:val="000100"/>
          <w:sz w:val="28"/>
          <w:szCs w:val="28"/>
        </w:rPr>
        <w:tab/>
      </w:r>
      <w:r w:rsidR="000F5B52">
        <w:rPr>
          <w:rFonts w:eastAsia="Yu Gothic Medium"/>
          <w:b/>
          <w:noProof/>
          <w:color w:val="000100"/>
          <w:sz w:val="28"/>
          <w:szCs w:val="28"/>
        </w:rPr>
        <w:t>A-</w:t>
      </w:r>
      <w:r w:rsidRPr="000F5B52">
        <w:rPr>
          <w:rFonts w:eastAsia="Yu Gothic Medium"/>
          <w:b/>
          <w:noProof/>
          <w:color w:val="000100"/>
          <w:sz w:val="28"/>
          <w:szCs w:val="28"/>
        </w:rPr>
        <w:t>1</w:t>
      </w:r>
    </w:p>
    <w:p w14:paraId="72424674" w14:textId="134B03B4" w:rsidR="00C81586" w:rsidRPr="000F5B52" w:rsidRDefault="00C81586" w:rsidP="000F5B52">
      <w:pPr>
        <w:pStyle w:val="BodyText"/>
        <w:tabs>
          <w:tab w:val="right" w:pos="8931"/>
        </w:tabs>
        <w:ind w:left="709" w:hanging="709"/>
        <w:rPr>
          <w:rFonts w:eastAsia="Yu Gothic Medium"/>
          <w:b/>
          <w:noProof/>
          <w:color w:val="000100"/>
          <w:sz w:val="28"/>
          <w:szCs w:val="28"/>
        </w:rPr>
      </w:pPr>
      <w:r w:rsidRPr="000F5B52">
        <w:rPr>
          <w:rFonts w:eastAsia="Yu Gothic Medium"/>
          <w:b/>
          <w:noProof/>
          <w:color w:val="000100"/>
          <w:sz w:val="28"/>
          <w:szCs w:val="28"/>
        </w:rPr>
        <w:t>B</w:t>
      </w:r>
      <w:r w:rsidRPr="000F5B52">
        <w:rPr>
          <w:rFonts w:eastAsia="Yu Gothic Medium"/>
          <w:b/>
          <w:noProof/>
          <w:color w:val="000100"/>
          <w:sz w:val="28"/>
          <w:szCs w:val="28"/>
        </w:rPr>
        <w:tab/>
        <w:t>Working Group membership</w:t>
      </w:r>
      <w:r w:rsidRPr="000F5B52">
        <w:rPr>
          <w:rFonts w:eastAsia="Yu Gothic Medium"/>
          <w:b/>
          <w:noProof/>
          <w:color w:val="000100"/>
          <w:sz w:val="28"/>
          <w:szCs w:val="28"/>
        </w:rPr>
        <w:tab/>
      </w:r>
      <w:r w:rsidR="000F5B52">
        <w:rPr>
          <w:rFonts w:eastAsia="Yu Gothic Medium"/>
          <w:b/>
          <w:noProof/>
          <w:color w:val="000100"/>
          <w:sz w:val="28"/>
          <w:szCs w:val="28"/>
        </w:rPr>
        <w:t>B-</w:t>
      </w:r>
      <w:r w:rsidRPr="000F5B52">
        <w:rPr>
          <w:rFonts w:eastAsia="Yu Gothic Medium"/>
          <w:b/>
          <w:noProof/>
          <w:color w:val="000100"/>
          <w:sz w:val="28"/>
          <w:szCs w:val="28"/>
        </w:rPr>
        <w:t>1</w:t>
      </w:r>
    </w:p>
    <w:p w14:paraId="4AD75A2D" w14:textId="418626D8" w:rsidR="0069382D" w:rsidRPr="000F5B52" w:rsidRDefault="0069382D" w:rsidP="0069382D">
      <w:pPr>
        <w:pStyle w:val="BodyText"/>
        <w:rPr>
          <w:b/>
          <w:sz w:val="28"/>
          <w:szCs w:val="28"/>
        </w:rPr>
        <w:sectPr w:rsidR="0069382D" w:rsidRPr="000F5B52" w:rsidSect="0057448B">
          <w:headerReference w:type="even" r:id="rId16"/>
          <w:headerReference w:type="default" r:id="rId17"/>
          <w:footerReference w:type="even" r:id="rId18"/>
          <w:footerReference w:type="default" r:id="rId19"/>
          <w:headerReference w:type="first" r:id="rId20"/>
          <w:footerReference w:type="first" r:id="rId21"/>
          <w:pgSz w:w="11906" w:h="16838" w:code="9"/>
          <w:pgMar w:top="1701" w:right="1134" w:bottom="1134" w:left="1418" w:header="454" w:footer="159" w:gutter="0"/>
          <w:cols w:space="708"/>
          <w:docGrid w:linePitch="360"/>
        </w:sectPr>
      </w:pPr>
    </w:p>
    <w:p w14:paraId="39AE8E1D" w14:textId="00FE22D1" w:rsidR="00092043" w:rsidRPr="00092043" w:rsidRDefault="00092043" w:rsidP="00092043">
      <w:pPr>
        <w:pStyle w:val="Heading1"/>
      </w:pPr>
      <w:bookmarkStart w:id="0" w:name="_Toc99018974"/>
      <w:r w:rsidRPr="00092043">
        <w:lastRenderedPageBreak/>
        <w:t>Background Paper</w:t>
      </w:r>
      <w:bookmarkEnd w:id="0"/>
    </w:p>
    <w:p w14:paraId="37E4C4FE" w14:textId="02EBC4A2" w:rsidR="00B67518" w:rsidRPr="00B67518" w:rsidRDefault="00B67518" w:rsidP="00233F7B">
      <w:pPr>
        <w:pStyle w:val="Heading2"/>
      </w:pPr>
      <w:bookmarkStart w:id="1" w:name="_Toc99018975"/>
      <w:r>
        <w:t>Th</w:t>
      </w:r>
      <w:r w:rsidR="00823F92">
        <w:t xml:space="preserve">e </w:t>
      </w:r>
      <w:r>
        <w:t>Nationa</w:t>
      </w:r>
      <w:r w:rsidR="00823F92">
        <w:t xml:space="preserve">l </w:t>
      </w:r>
      <w:r>
        <w:t>Menta</w:t>
      </w:r>
      <w:r w:rsidR="00823F92">
        <w:t xml:space="preserve">l </w:t>
      </w:r>
      <w:r>
        <w:t>Healt</w:t>
      </w:r>
      <w:r w:rsidR="00823F92">
        <w:t xml:space="preserve">h </w:t>
      </w:r>
      <w:r>
        <w:t>Workforc</w:t>
      </w:r>
      <w:r w:rsidR="00823F92">
        <w:t xml:space="preserve">e </w:t>
      </w:r>
      <w:r>
        <w:t>Strateg</w:t>
      </w:r>
      <w:r w:rsidR="00823F92">
        <w:t xml:space="preserve">y </w:t>
      </w:r>
      <w:r>
        <w:t>2021–2031</w:t>
      </w:r>
      <w:bookmarkEnd w:id="1"/>
    </w:p>
    <w:p w14:paraId="057366B1" w14:textId="77824B06" w:rsidR="00B0009B" w:rsidRDefault="00DD2309" w:rsidP="00B67518">
      <w:pPr>
        <w:pStyle w:val="BodyText"/>
      </w:pPr>
      <w:r w:rsidRPr="00DD2309">
        <w:t>I</w:t>
      </w:r>
      <w:r w:rsidR="00823F92" w:rsidRPr="00DD2309">
        <w:t>n</w:t>
      </w:r>
      <w:r w:rsidR="00823F92">
        <w:t xml:space="preserve"> </w:t>
      </w:r>
      <w:r w:rsidRPr="00DD2309">
        <w:t>Decembe</w:t>
      </w:r>
      <w:r w:rsidR="00823F92" w:rsidRPr="00DD2309">
        <w:t>r</w:t>
      </w:r>
      <w:r w:rsidR="00823F92">
        <w:t xml:space="preserve"> </w:t>
      </w:r>
      <w:r w:rsidRPr="00DD2309">
        <w:t>2018</w:t>
      </w:r>
      <w:r w:rsidR="00823F92" w:rsidRPr="00DD2309">
        <w:t>,</w:t>
      </w:r>
      <w:r w:rsidR="00823F92">
        <w:t xml:space="preserve"> </w:t>
      </w:r>
      <w:r w:rsidRPr="00DD2309">
        <w:t>th</w:t>
      </w:r>
      <w:r w:rsidR="00823F92" w:rsidRPr="00DD2309">
        <w:t>e</w:t>
      </w:r>
      <w:r w:rsidR="00823F92">
        <w:t xml:space="preserve"> </w:t>
      </w:r>
      <w:r w:rsidRPr="00DD2309">
        <w:t>Australia</w:t>
      </w:r>
      <w:r w:rsidR="00823F92" w:rsidRPr="00DD2309">
        <w:t>n</w:t>
      </w:r>
      <w:r w:rsidR="00823F92">
        <w:t xml:space="preserve"> </w:t>
      </w:r>
      <w:r w:rsidRPr="00DD2309">
        <w:t>Governmen</w:t>
      </w:r>
      <w:r w:rsidR="00823F92" w:rsidRPr="00DD2309">
        <w:t>t</w:t>
      </w:r>
      <w:r w:rsidR="00823F92">
        <w:t xml:space="preserve"> </w:t>
      </w:r>
      <w:r w:rsidRPr="00DD2309">
        <w:t>committe</w:t>
      </w:r>
      <w:r w:rsidR="00823F92" w:rsidRPr="00DD2309">
        <w:t>d</w:t>
      </w:r>
      <w:r w:rsidR="00823F92">
        <w:t xml:space="preserve"> </w:t>
      </w:r>
      <w:r w:rsidRPr="00DD2309">
        <w:t>t</w:t>
      </w:r>
      <w:r w:rsidR="00823F92" w:rsidRPr="00DD2309">
        <w:t>o</w:t>
      </w:r>
      <w:r w:rsidR="00823F92">
        <w:t xml:space="preserve"> </w:t>
      </w:r>
      <w:r w:rsidRPr="00DD2309">
        <w:t>developin</w:t>
      </w:r>
      <w:r w:rsidR="00823F92" w:rsidRPr="00DD2309">
        <w:t>g</w:t>
      </w:r>
      <w:r w:rsidR="00823F92">
        <w:t xml:space="preserve"> </w:t>
      </w:r>
      <w:r w:rsidR="00823F92" w:rsidRPr="00DD2309">
        <w:t>a</w:t>
      </w:r>
      <w:r w:rsidR="00823F92">
        <w:t xml:space="preserve"> </w:t>
      </w:r>
      <w:r w:rsidRPr="00DD2309">
        <w:t>ten-yea</w:t>
      </w:r>
      <w:r w:rsidR="00823F92" w:rsidRPr="00DD2309">
        <w:t>r</w:t>
      </w:r>
      <w:r w:rsidR="00823F92">
        <w:t xml:space="preserve"> </w:t>
      </w:r>
      <w:r w:rsidRPr="00DD2309">
        <w:t>Nationa</w:t>
      </w:r>
      <w:r w:rsidR="00823F92" w:rsidRPr="00DD2309">
        <w:t>l</w:t>
      </w:r>
      <w:r w:rsidR="00823F92">
        <w:t xml:space="preserve"> </w:t>
      </w:r>
      <w:r w:rsidRPr="00DD2309">
        <w:t>Menta</w:t>
      </w:r>
      <w:r w:rsidR="00823F92" w:rsidRPr="00DD2309">
        <w:t>l</w:t>
      </w:r>
      <w:r w:rsidR="00823F92">
        <w:t xml:space="preserve"> </w:t>
      </w:r>
      <w:r w:rsidRPr="00DD2309">
        <w:t>Healt</w:t>
      </w:r>
      <w:r w:rsidR="00823F92" w:rsidRPr="00DD2309">
        <w:t>h</w:t>
      </w:r>
      <w:r w:rsidR="00823F92">
        <w:t xml:space="preserve"> </w:t>
      </w:r>
      <w:r w:rsidRPr="00DD2309">
        <w:t>Workforc</w:t>
      </w:r>
      <w:r w:rsidR="00823F92" w:rsidRPr="00DD2309">
        <w:t>e</w:t>
      </w:r>
      <w:r w:rsidR="00823F92">
        <w:t xml:space="preserve"> </w:t>
      </w:r>
      <w:r w:rsidRPr="00DD2309">
        <w:t>Strateg</w:t>
      </w:r>
      <w:r w:rsidR="00823F92" w:rsidRPr="00DD2309">
        <w:t>y</w:t>
      </w:r>
      <w:r w:rsidR="00823F92">
        <w:t xml:space="preserve"> </w:t>
      </w:r>
      <w:r w:rsidRPr="00DD2309">
        <w:t>(th</w:t>
      </w:r>
      <w:r w:rsidR="00823F92" w:rsidRPr="00DD2309">
        <w:t>e</w:t>
      </w:r>
      <w:r w:rsidR="00823F92">
        <w:t xml:space="preserve"> </w:t>
      </w:r>
      <w:r w:rsidRPr="00DD2309">
        <w:t>Strategy) t</w:t>
      </w:r>
      <w:r w:rsidR="00823F92" w:rsidRPr="00DD2309">
        <w:t>o</w:t>
      </w:r>
      <w:r w:rsidR="00823F92">
        <w:t xml:space="preserve"> </w:t>
      </w:r>
      <w:r w:rsidRPr="00DD2309">
        <w:t>attract</w:t>
      </w:r>
      <w:r w:rsidR="00823F92" w:rsidRPr="00DD2309">
        <w:t>,</w:t>
      </w:r>
      <w:r w:rsidR="00823F92">
        <w:t xml:space="preserve"> </w:t>
      </w:r>
      <w:r w:rsidRPr="00DD2309">
        <w:t>trai</w:t>
      </w:r>
      <w:r w:rsidR="00823F92" w:rsidRPr="00DD2309">
        <w:t>n</w:t>
      </w:r>
      <w:r w:rsidR="00823F92">
        <w:t xml:space="preserve"> </w:t>
      </w:r>
      <w:r w:rsidRPr="00DD2309">
        <w:t>an</w:t>
      </w:r>
      <w:r w:rsidR="00823F92" w:rsidRPr="00DD2309">
        <w:t>d</w:t>
      </w:r>
      <w:r w:rsidR="00823F92">
        <w:t xml:space="preserve"> </w:t>
      </w:r>
      <w:r w:rsidRPr="00DD2309">
        <w:t>retai</w:t>
      </w:r>
      <w:r w:rsidR="00823F92" w:rsidRPr="00DD2309">
        <w:t>n</w:t>
      </w:r>
      <w:r w:rsidR="00823F92">
        <w:t xml:space="preserve"> </w:t>
      </w:r>
      <w:r w:rsidRPr="00DD2309">
        <w:t>th</w:t>
      </w:r>
      <w:r w:rsidR="00823F92" w:rsidRPr="00DD2309">
        <w:t>e</w:t>
      </w:r>
      <w:r w:rsidR="00823F92">
        <w:t xml:space="preserve"> </w:t>
      </w:r>
      <w:r w:rsidRPr="00DD2309">
        <w:t>workforc</w:t>
      </w:r>
      <w:r w:rsidR="00823F92" w:rsidRPr="00DD2309">
        <w:t>e</w:t>
      </w:r>
      <w:r w:rsidR="00823F92">
        <w:t xml:space="preserve"> </w:t>
      </w:r>
      <w:r w:rsidRPr="00DD2309">
        <w:t>neede</w:t>
      </w:r>
      <w:r w:rsidR="00823F92" w:rsidRPr="00DD2309">
        <w:t>d</w:t>
      </w:r>
      <w:r w:rsidR="00823F92">
        <w:t xml:space="preserve"> </w:t>
      </w:r>
      <w:r w:rsidRPr="00DD2309">
        <w:t>t</w:t>
      </w:r>
      <w:r w:rsidR="00823F92" w:rsidRPr="00DD2309">
        <w:t>o</w:t>
      </w:r>
      <w:r w:rsidR="00823F92">
        <w:t xml:space="preserve"> </w:t>
      </w:r>
      <w:r w:rsidRPr="00DD2309">
        <w:t>mee</w:t>
      </w:r>
      <w:r w:rsidR="00823F92" w:rsidRPr="00DD2309">
        <w:t>t</w:t>
      </w:r>
      <w:r w:rsidR="00823F92">
        <w:t xml:space="preserve"> </w:t>
      </w:r>
      <w:r w:rsidRPr="00DD2309">
        <w:t>th</w:t>
      </w:r>
      <w:r w:rsidR="00823F92" w:rsidRPr="00DD2309">
        <w:t>e</w:t>
      </w:r>
      <w:r w:rsidR="00823F92">
        <w:t xml:space="preserve"> </w:t>
      </w:r>
      <w:r w:rsidRPr="00DD2309">
        <w:t>risin</w:t>
      </w:r>
      <w:r w:rsidR="00823F92" w:rsidRPr="00DD2309">
        <w:t>g</w:t>
      </w:r>
      <w:r w:rsidR="00823F92">
        <w:t xml:space="preserve"> </w:t>
      </w:r>
      <w:r w:rsidRPr="00DD2309">
        <w:t>demand</w:t>
      </w:r>
      <w:r w:rsidR="00823F92" w:rsidRPr="00DD2309">
        <w:t>s</w:t>
      </w:r>
      <w:r w:rsidR="00823F92">
        <w:t xml:space="preserve"> </w:t>
      </w:r>
      <w:r w:rsidRPr="00DD2309">
        <w:t>o</w:t>
      </w:r>
      <w:r w:rsidR="00823F92" w:rsidRPr="00DD2309">
        <w:t>f</w:t>
      </w:r>
      <w:r w:rsidR="00823F92">
        <w:t xml:space="preserve"> </w:t>
      </w:r>
      <w:r w:rsidRPr="00DD2309">
        <w:t>th</w:t>
      </w:r>
      <w:r w:rsidR="00823F92" w:rsidRPr="00DD2309">
        <w:t>e</w:t>
      </w:r>
      <w:r w:rsidR="00823F92">
        <w:t xml:space="preserve"> </w:t>
      </w:r>
      <w:r w:rsidRPr="00DD2309">
        <w:t>menta</w:t>
      </w:r>
      <w:r w:rsidR="00823F92" w:rsidRPr="00DD2309">
        <w:t>l</w:t>
      </w:r>
      <w:r w:rsidR="00823F92">
        <w:t xml:space="preserve"> </w:t>
      </w:r>
      <w:r w:rsidRPr="00DD2309">
        <w:t>healt</w:t>
      </w:r>
      <w:r w:rsidR="00823F92" w:rsidRPr="00DD2309">
        <w:t>h</w:t>
      </w:r>
      <w:r w:rsidR="00823F92">
        <w:t xml:space="preserve"> </w:t>
      </w:r>
      <w:r w:rsidRPr="00DD2309">
        <w:t>syste</w:t>
      </w:r>
      <w:r w:rsidR="00823F92" w:rsidRPr="00DD2309">
        <w:t>m</w:t>
      </w:r>
      <w:r w:rsidR="00823F92">
        <w:t xml:space="preserve"> </w:t>
      </w:r>
      <w:r w:rsidRPr="00DD2309">
        <w:t>i</w:t>
      </w:r>
      <w:r w:rsidR="00823F92" w:rsidRPr="00DD2309">
        <w:t>n</w:t>
      </w:r>
      <w:r w:rsidR="00823F92">
        <w:t xml:space="preserve"> </w:t>
      </w:r>
      <w:r w:rsidRPr="00DD2309">
        <w:t>Australia</w:t>
      </w:r>
      <w:r w:rsidR="00823F92" w:rsidRPr="00DD2309">
        <w:t>.</w:t>
      </w:r>
      <w:r w:rsidR="00823F92">
        <w:t xml:space="preserve"> </w:t>
      </w:r>
    </w:p>
    <w:p w14:paraId="1569DAEC" w14:textId="1D6668D1" w:rsidR="00B67518" w:rsidRDefault="00DD2309" w:rsidP="00B67518">
      <w:pPr>
        <w:pStyle w:val="BodyText"/>
      </w:pPr>
      <w:r w:rsidRPr="00DD2309">
        <w:t>Th</w:t>
      </w:r>
      <w:r w:rsidR="00823F92" w:rsidRPr="00DD2309">
        <w:t>e</w:t>
      </w:r>
      <w:r w:rsidR="00823F92">
        <w:t xml:space="preserve"> </w:t>
      </w:r>
      <w:r w:rsidRPr="00DD2309">
        <w:t>developmen</w:t>
      </w:r>
      <w:r w:rsidR="00823F92" w:rsidRPr="00DD2309">
        <w:t>t</w:t>
      </w:r>
      <w:r w:rsidR="00823F92">
        <w:t xml:space="preserve"> </w:t>
      </w:r>
      <w:r w:rsidRPr="00DD2309">
        <w:t>o</w:t>
      </w:r>
      <w:r w:rsidR="00823F92" w:rsidRPr="00DD2309">
        <w:t>f</w:t>
      </w:r>
      <w:r w:rsidR="00823F92">
        <w:t xml:space="preserve"> </w:t>
      </w:r>
      <w:r w:rsidRPr="00DD2309">
        <w:t>th</w:t>
      </w:r>
      <w:r w:rsidR="00823F92" w:rsidRPr="00DD2309">
        <w:t>e</w:t>
      </w:r>
      <w:r w:rsidR="00823F92">
        <w:t xml:space="preserve"> </w:t>
      </w:r>
      <w:r w:rsidRPr="00DD2309">
        <w:t>Strateg</w:t>
      </w:r>
      <w:r w:rsidR="00823F92" w:rsidRPr="00DD2309">
        <w:t>y</w:t>
      </w:r>
      <w:r w:rsidR="00823F92">
        <w:t xml:space="preserve"> </w:t>
      </w:r>
      <w:r w:rsidRPr="00DD2309">
        <w:t>i</w:t>
      </w:r>
      <w:r w:rsidR="00823F92" w:rsidRPr="00DD2309">
        <w:t>s</w:t>
      </w:r>
      <w:r w:rsidR="00823F92">
        <w:t xml:space="preserve"> </w:t>
      </w:r>
      <w:r w:rsidRPr="00DD2309">
        <w:t>oversee</w:t>
      </w:r>
      <w:r w:rsidR="00823F92" w:rsidRPr="00DD2309">
        <w:t>n</w:t>
      </w:r>
      <w:r w:rsidR="00823F92">
        <w:t xml:space="preserve"> </w:t>
      </w:r>
      <w:r w:rsidRPr="00DD2309">
        <w:t>b</w:t>
      </w:r>
      <w:r w:rsidR="00823F92" w:rsidRPr="00DD2309">
        <w:t>y</w:t>
      </w:r>
      <w:r w:rsidR="00823F92">
        <w:t xml:space="preserve"> </w:t>
      </w:r>
      <w:r w:rsidRPr="00DD2309">
        <w:t>th</w:t>
      </w:r>
      <w:r w:rsidR="00823F92" w:rsidRPr="00DD2309">
        <w:t>e</w:t>
      </w:r>
      <w:r w:rsidR="00823F92">
        <w:t xml:space="preserve"> </w:t>
      </w:r>
      <w:r w:rsidRPr="00DD2309">
        <w:t>independen</w:t>
      </w:r>
      <w:r w:rsidR="00823F92" w:rsidRPr="00DD2309">
        <w:t>t</w:t>
      </w:r>
      <w:r w:rsidR="00823F92">
        <w:t xml:space="preserve"> </w:t>
      </w:r>
      <w:r w:rsidRPr="00DD2309">
        <w:t>Nationa</w:t>
      </w:r>
      <w:r w:rsidR="00823F92" w:rsidRPr="00DD2309">
        <w:t>l</w:t>
      </w:r>
      <w:r w:rsidR="00823F92">
        <w:t xml:space="preserve"> </w:t>
      </w:r>
      <w:r w:rsidRPr="00DD2309">
        <w:t>Menta</w:t>
      </w:r>
      <w:r w:rsidR="00823F92" w:rsidRPr="00DD2309">
        <w:t>l</w:t>
      </w:r>
      <w:r w:rsidR="00823F92">
        <w:t xml:space="preserve"> </w:t>
      </w:r>
      <w:r w:rsidRPr="00DD2309">
        <w:t>Healt</w:t>
      </w:r>
      <w:r w:rsidR="00823F92" w:rsidRPr="00DD2309">
        <w:t>h</w:t>
      </w:r>
      <w:r w:rsidR="00823F92">
        <w:t xml:space="preserve"> </w:t>
      </w:r>
      <w:r w:rsidRPr="00DD2309">
        <w:t>Workforc</w:t>
      </w:r>
      <w:r w:rsidR="00823F92" w:rsidRPr="00DD2309">
        <w:t>e</w:t>
      </w:r>
      <w:r w:rsidR="00823F92">
        <w:t xml:space="preserve"> </w:t>
      </w:r>
      <w:r w:rsidRPr="00DD2309">
        <w:t>Strateg</w:t>
      </w:r>
      <w:r w:rsidR="00823F92" w:rsidRPr="00DD2309">
        <w:t>y</w:t>
      </w:r>
      <w:r w:rsidR="00823F92">
        <w:t xml:space="preserve"> </w:t>
      </w:r>
      <w:r w:rsidRPr="00DD2309">
        <w:t>Taskforc</w:t>
      </w:r>
      <w:r w:rsidR="00823F92" w:rsidRPr="00DD2309">
        <w:t>e</w:t>
      </w:r>
      <w:r w:rsidR="00823F92">
        <w:t xml:space="preserve"> </w:t>
      </w:r>
      <w:r w:rsidRPr="00DD2309">
        <w:t>(th</w:t>
      </w:r>
      <w:r w:rsidR="00823F92" w:rsidRPr="00DD2309">
        <w:t>e</w:t>
      </w:r>
      <w:r w:rsidR="00823F92">
        <w:t xml:space="preserve"> </w:t>
      </w:r>
      <w:r w:rsidRPr="00DD2309">
        <w:t>Taskforce)</w:t>
      </w:r>
      <w:r w:rsidR="00823F92" w:rsidRPr="00DD2309">
        <w:t>.</w:t>
      </w:r>
      <w:r w:rsidR="00823F92">
        <w:t xml:space="preserve"> </w:t>
      </w:r>
      <w:r w:rsidR="00B0009B">
        <w:t>Th</w:t>
      </w:r>
      <w:r w:rsidR="00823F92">
        <w:t xml:space="preserve">e </w:t>
      </w:r>
      <w:r w:rsidR="00B0009B">
        <w:t>Taskforce’</w:t>
      </w:r>
      <w:r w:rsidR="00823F92">
        <w:t xml:space="preserve">s </w:t>
      </w:r>
      <w:r w:rsidR="00B0009B">
        <w:t>Term</w:t>
      </w:r>
      <w:r w:rsidR="00823F92">
        <w:t xml:space="preserve">s </w:t>
      </w:r>
      <w:r w:rsidR="00B0009B">
        <w:t>o</w:t>
      </w:r>
      <w:r w:rsidR="00823F92">
        <w:t xml:space="preserve">f </w:t>
      </w:r>
      <w:r w:rsidR="00B0009B">
        <w:t>Referenc</w:t>
      </w:r>
      <w:r w:rsidR="00823F92">
        <w:t xml:space="preserve">e </w:t>
      </w:r>
      <w:r w:rsidR="00B0009B">
        <w:t>ar</w:t>
      </w:r>
      <w:r w:rsidR="00823F92">
        <w:t xml:space="preserve">e </w:t>
      </w:r>
      <w:r w:rsidR="00B0009B">
        <w:t>provide</w:t>
      </w:r>
      <w:r w:rsidR="00823F92">
        <w:t xml:space="preserve">d </w:t>
      </w:r>
      <w:r w:rsidR="00B0009B">
        <w:t>a</w:t>
      </w:r>
      <w:r w:rsidR="00823F92">
        <w:t xml:space="preserve">t </w:t>
      </w:r>
      <w:r w:rsidR="00B0009B">
        <w:t>Appendi</w:t>
      </w:r>
      <w:r w:rsidR="00823F92">
        <w:t xml:space="preserve">x </w:t>
      </w:r>
      <w:r w:rsidR="00B0009B">
        <w:t>A</w:t>
      </w:r>
      <w:r w:rsidR="00823F92">
        <w:t xml:space="preserve">, </w:t>
      </w:r>
      <w:r w:rsidR="00E250B1">
        <w:t>an</w:t>
      </w:r>
      <w:r w:rsidR="00823F92">
        <w:t xml:space="preserve">d </w:t>
      </w:r>
      <w:r w:rsidR="00E250B1">
        <w:t>membershi</w:t>
      </w:r>
      <w:r w:rsidR="00823F92">
        <w:t xml:space="preserve">p </w:t>
      </w:r>
      <w:r w:rsidR="00E250B1">
        <w:t>provide</w:t>
      </w:r>
      <w:r w:rsidR="00823F92">
        <w:t xml:space="preserve">d </w:t>
      </w:r>
      <w:r w:rsidR="00E250B1">
        <w:t>i</w:t>
      </w:r>
      <w:r w:rsidR="00823F92">
        <w:t xml:space="preserve">n </w:t>
      </w:r>
      <w:r w:rsidR="00E250B1">
        <w:t>Chapte</w:t>
      </w:r>
      <w:r w:rsidR="00823F92">
        <w:t xml:space="preserve">r </w:t>
      </w:r>
      <w:r w:rsidR="00E250B1">
        <w:t>2</w:t>
      </w:r>
      <w:r w:rsidR="00823F92">
        <w:t xml:space="preserve">. </w:t>
      </w:r>
    </w:p>
    <w:p w14:paraId="6B8960AD" w14:textId="50CDD351" w:rsidR="00B67518" w:rsidRDefault="00B67518" w:rsidP="00B67518">
      <w:pPr>
        <w:pStyle w:val="Heading2"/>
      </w:pPr>
      <w:bookmarkStart w:id="2" w:name="_Toc99018976"/>
      <w:r>
        <w:t>Th</w:t>
      </w:r>
      <w:r w:rsidR="00823F92">
        <w:t xml:space="preserve">e </w:t>
      </w:r>
      <w:r w:rsidR="00F47D60">
        <w:t>Consultatio</w:t>
      </w:r>
      <w:r w:rsidR="00823F92">
        <w:t xml:space="preserve">n </w:t>
      </w:r>
      <w:r w:rsidR="00F47D60">
        <w:t>Draft</w:t>
      </w:r>
      <w:bookmarkEnd w:id="2"/>
    </w:p>
    <w:p w14:paraId="24DAC066" w14:textId="284539D6" w:rsidR="00561F2A" w:rsidRDefault="009C0F89" w:rsidP="00F47D60">
      <w:pPr>
        <w:pStyle w:val="BodyText"/>
      </w:pPr>
      <w:r w:rsidRPr="006C4490">
        <w:rPr>
          <w:lang w:val="en-US"/>
        </w:rPr>
        <w:t>Followin</w:t>
      </w:r>
      <w:r w:rsidR="00823F92" w:rsidRPr="006C4490">
        <w:rPr>
          <w:lang w:val="en-US"/>
        </w:rPr>
        <w:t>g</w:t>
      </w:r>
      <w:r w:rsidR="00823F92">
        <w:rPr>
          <w:lang w:val="en-US"/>
        </w:rPr>
        <w:t xml:space="preserve"> </w:t>
      </w:r>
      <w:r w:rsidRPr="006C4490">
        <w:rPr>
          <w:lang w:val="en-US"/>
        </w:rPr>
        <w:t>consultatio</w:t>
      </w:r>
      <w:r w:rsidR="00823F92" w:rsidRPr="006C4490">
        <w:rPr>
          <w:lang w:val="en-US"/>
        </w:rPr>
        <w:t>n</w:t>
      </w:r>
      <w:r w:rsidR="00823F92">
        <w:rPr>
          <w:lang w:val="en-US"/>
        </w:rPr>
        <w:t xml:space="preserve"> </w:t>
      </w:r>
      <w:r w:rsidRPr="006C4490">
        <w:rPr>
          <w:lang w:val="en-US"/>
        </w:rPr>
        <w:t>wit</w:t>
      </w:r>
      <w:r w:rsidR="00823F92" w:rsidRPr="006C4490">
        <w:rPr>
          <w:lang w:val="en-US"/>
        </w:rPr>
        <w:t>h</w:t>
      </w:r>
      <w:r w:rsidR="00823F92">
        <w:rPr>
          <w:lang w:val="en-US"/>
        </w:rPr>
        <w:t xml:space="preserve"> </w:t>
      </w:r>
      <w:r w:rsidR="00612ABB" w:rsidRPr="006C4490">
        <w:rPr>
          <w:lang w:val="en-US"/>
        </w:rPr>
        <w:t>consumer</w:t>
      </w:r>
      <w:r w:rsidR="00823F92" w:rsidRPr="006C4490">
        <w:rPr>
          <w:lang w:val="en-US"/>
        </w:rPr>
        <w:t>s</w:t>
      </w:r>
      <w:r w:rsidR="00823F92">
        <w:rPr>
          <w:lang w:val="en-US"/>
        </w:rPr>
        <w:t xml:space="preserve"> </w:t>
      </w:r>
      <w:r w:rsidR="00612ABB" w:rsidRPr="006C4490">
        <w:rPr>
          <w:lang w:val="en-US"/>
        </w:rPr>
        <w:t>an</w:t>
      </w:r>
      <w:r w:rsidR="00823F92" w:rsidRPr="006C4490">
        <w:rPr>
          <w:lang w:val="en-US"/>
        </w:rPr>
        <w:t>d</w:t>
      </w:r>
      <w:r w:rsidR="00823F92">
        <w:rPr>
          <w:lang w:val="en-US"/>
        </w:rPr>
        <w:t xml:space="preserve"> </w:t>
      </w:r>
      <w:proofErr w:type="spellStart"/>
      <w:r w:rsidR="00612ABB" w:rsidRPr="006C4490">
        <w:rPr>
          <w:lang w:val="en-US"/>
        </w:rPr>
        <w:t>carers</w:t>
      </w:r>
      <w:proofErr w:type="spellEnd"/>
      <w:r w:rsidR="00823F92">
        <w:rPr>
          <w:lang w:val="en-US"/>
        </w:rPr>
        <w:t xml:space="preserve">, </w:t>
      </w:r>
      <w:r w:rsidR="00612ABB" w:rsidRPr="006C4490">
        <w:rPr>
          <w:lang w:val="en-US"/>
        </w:rPr>
        <w:t>educatio</w:t>
      </w:r>
      <w:r w:rsidR="00823F92" w:rsidRPr="006C4490">
        <w:rPr>
          <w:lang w:val="en-US"/>
        </w:rPr>
        <w:t>n</w:t>
      </w:r>
      <w:r w:rsidR="00823F92">
        <w:rPr>
          <w:lang w:val="en-US"/>
        </w:rPr>
        <w:t xml:space="preserve"> </w:t>
      </w:r>
      <w:r w:rsidR="00612ABB" w:rsidRPr="006C4490">
        <w:rPr>
          <w:lang w:val="en-US"/>
        </w:rPr>
        <w:t>an</w:t>
      </w:r>
      <w:r w:rsidR="00823F92" w:rsidRPr="006C4490">
        <w:rPr>
          <w:lang w:val="en-US"/>
        </w:rPr>
        <w:t>d</w:t>
      </w:r>
      <w:r w:rsidR="00823F92">
        <w:rPr>
          <w:lang w:val="en-US"/>
        </w:rPr>
        <w:t xml:space="preserve"> </w:t>
      </w:r>
      <w:r w:rsidR="00612ABB" w:rsidRPr="006C4490">
        <w:rPr>
          <w:lang w:val="en-US"/>
        </w:rPr>
        <w:t>trainin</w:t>
      </w:r>
      <w:r w:rsidR="00823F92" w:rsidRPr="006C4490">
        <w:rPr>
          <w:lang w:val="en-US"/>
        </w:rPr>
        <w:t>g</w:t>
      </w:r>
      <w:r w:rsidR="00823F92">
        <w:rPr>
          <w:lang w:val="en-US"/>
        </w:rPr>
        <w:t xml:space="preserve"> </w:t>
      </w:r>
      <w:r w:rsidR="00612ABB" w:rsidRPr="006C4490">
        <w:rPr>
          <w:lang w:val="en-US"/>
        </w:rPr>
        <w:t>providers</w:t>
      </w:r>
      <w:r w:rsidR="00823F92">
        <w:rPr>
          <w:lang w:val="en-US"/>
        </w:rPr>
        <w:t xml:space="preserve">, </w:t>
      </w:r>
      <w:r w:rsidRPr="006C4490">
        <w:rPr>
          <w:lang w:val="en-US"/>
        </w:rPr>
        <w:t>professiona</w:t>
      </w:r>
      <w:r w:rsidR="00823F92" w:rsidRPr="006C4490">
        <w:rPr>
          <w:lang w:val="en-US"/>
        </w:rPr>
        <w:t>l</w:t>
      </w:r>
      <w:r w:rsidR="00823F92">
        <w:rPr>
          <w:lang w:val="en-US"/>
        </w:rPr>
        <w:t xml:space="preserve"> </w:t>
      </w:r>
      <w:r w:rsidRPr="006C4490">
        <w:rPr>
          <w:lang w:val="en-US"/>
        </w:rPr>
        <w:t>an</w:t>
      </w:r>
      <w:r w:rsidR="00823F92" w:rsidRPr="006C4490">
        <w:rPr>
          <w:lang w:val="en-US"/>
        </w:rPr>
        <w:t>d</w:t>
      </w:r>
      <w:r w:rsidR="00823F92">
        <w:rPr>
          <w:lang w:val="en-US"/>
        </w:rPr>
        <w:t xml:space="preserve"> </w:t>
      </w:r>
      <w:r w:rsidRPr="006C4490">
        <w:rPr>
          <w:lang w:val="en-US"/>
        </w:rPr>
        <w:t>occupationa</w:t>
      </w:r>
      <w:r w:rsidR="00823F92" w:rsidRPr="006C4490">
        <w:rPr>
          <w:lang w:val="en-US"/>
        </w:rPr>
        <w:t>l</w:t>
      </w:r>
      <w:r w:rsidR="00823F92">
        <w:rPr>
          <w:lang w:val="en-US"/>
        </w:rPr>
        <w:t xml:space="preserve"> </w:t>
      </w:r>
      <w:r w:rsidRPr="006C4490">
        <w:rPr>
          <w:lang w:val="en-US"/>
        </w:rPr>
        <w:t>pea</w:t>
      </w:r>
      <w:r w:rsidR="00823F92" w:rsidRPr="006C4490">
        <w:rPr>
          <w:lang w:val="en-US"/>
        </w:rPr>
        <w:t>k</w:t>
      </w:r>
      <w:r w:rsidR="00823F92">
        <w:rPr>
          <w:lang w:val="en-US"/>
        </w:rPr>
        <w:t xml:space="preserve"> </w:t>
      </w:r>
      <w:r w:rsidRPr="006C4490">
        <w:rPr>
          <w:lang w:val="en-US"/>
        </w:rPr>
        <w:t>bodies</w:t>
      </w:r>
      <w:r w:rsidR="00823F92" w:rsidRPr="006C4490">
        <w:rPr>
          <w:lang w:val="en-US"/>
        </w:rPr>
        <w:t>,</w:t>
      </w:r>
      <w:r w:rsidR="00823F92">
        <w:rPr>
          <w:lang w:val="en-US"/>
        </w:rPr>
        <w:t xml:space="preserve"> </w:t>
      </w:r>
      <w:r w:rsidRPr="006C4490">
        <w:rPr>
          <w:lang w:val="en-US"/>
        </w:rPr>
        <w:t>an</w:t>
      </w:r>
      <w:r w:rsidR="00823F92" w:rsidRPr="006C4490">
        <w:rPr>
          <w:lang w:val="en-US"/>
        </w:rPr>
        <w:t>d</w:t>
      </w:r>
      <w:r w:rsidR="00823F92">
        <w:rPr>
          <w:lang w:val="en-US"/>
        </w:rPr>
        <w:t xml:space="preserve"> </w:t>
      </w:r>
      <w:r w:rsidR="00CB4043">
        <w:rPr>
          <w:lang w:val="en-US"/>
        </w:rPr>
        <w:t>s</w:t>
      </w:r>
      <w:r w:rsidR="00CB4043" w:rsidRPr="006C4490">
        <w:rPr>
          <w:lang w:val="en-US"/>
        </w:rPr>
        <w:t>tat</w:t>
      </w:r>
      <w:r w:rsidR="00823F92" w:rsidRPr="006C4490">
        <w:rPr>
          <w:lang w:val="en-US"/>
        </w:rPr>
        <w:t>e</w:t>
      </w:r>
      <w:r w:rsidR="00823F92">
        <w:rPr>
          <w:lang w:val="en-US"/>
        </w:rPr>
        <w:t xml:space="preserve"> </w:t>
      </w:r>
      <w:r w:rsidRPr="006C4490">
        <w:rPr>
          <w:lang w:val="en-US"/>
        </w:rPr>
        <w:t>an</w:t>
      </w:r>
      <w:r w:rsidR="00823F92" w:rsidRPr="006C4490">
        <w:rPr>
          <w:lang w:val="en-US"/>
        </w:rPr>
        <w:t>d</w:t>
      </w:r>
      <w:r w:rsidR="00823F92">
        <w:rPr>
          <w:lang w:val="en-US"/>
        </w:rPr>
        <w:t xml:space="preserve"> </w:t>
      </w:r>
      <w:r w:rsidR="00CB4043">
        <w:rPr>
          <w:lang w:val="en-US"/>
        </w:rPr>
        <w:t>t</w:t>
      </w:r>
      <w:r w:rsidR="00CB4043" w:rsidRPr="006C4490">
        <w:rPr>
          <w:lang w:val="en-US"/>
        </w:rPr>
        <w:t>erritor</w:t>
      </w:r>
      <w:r w:rsidR="00823F92" w:rsidRPr="006C4490">
        <w:rPr>
          <w:lang w:val="en-US"/>
        </w:rPr>
        <w:t>y</w:t>
      </w:r>
      <w:r w:rsidR="00823F92">
        <w:rPr>
          <w:lang w:val="en-US"/>
        </w:rPr>
        <w:t xml:space="preserve"> </w:t>
      </w:r>
      <w:r w:rsidRPr="006C4490">
        <w:rPr>
          <w:lang w:val="en-US"/>
        </w:rPr>
        <w:t>representatives</w:t>
      </w:r>
      <w:r w:rsidR="00823F92" w:rsidRPr="006C4490">
        <w:rPr>
          <w:lang w:val="en-US"/>
        </w:rPr>
        <w:t>,</w:t>
      </w:r>
      <w:r w:rsidR="00823F92">
        <w:rPr>
          <w:lang w:val="en-US"/>
        </w:rPr>
        <w:t xml:space="preserve"> </w:t>
      </w:r>
      <w:r>
        <w:rPr>
          <w:lang w:val="en-US"/>
        </w:rPr>
        <w:t>th</w:t>
      </w:r>
      <w:r w:rsidR="00823F92">
        <w:rPr>
          <w:lang w:val="en-US"/>
        </w:rPr>
        <w:t xml:space="preserve">e </w:t>
      </w:r>
      <w:r>
        <w:rPr>
          <w:lang w:val="en-US"/>
        </w:rPr>
        <w:t>Taskforc</w:t>
      </w:r>
      <w:r w:rsidR="00823F92">
        <w:rPr>
          <w:lang w:val="en-US"/>
        </w:rPr>
        <w:t xml:space="preserve">e </w:t>
      </w:r>
      <w:r w:rsidR="00F47D60">
        <w:t>ha</w:t>
      </w:r>
      <w:r w:rsidR="00823F92">
        <w:t xml:space="preserve">s </w:t>
      </w:r>
      <w:r w:rsidR="00F47D60">
        <w:t>develope</w:t>
      </w:r>
      <w:r w:rsidR="00823F92">
        <w:t xml:space="preserve">d a </w:t>
      </w:r>
      <w:r w:rsidR="00612ABB">
        <w:t>Draf</w:t>
      </w:r>
      <w:r w:rsidR="00823F92">
        <w:t xml:space="preserve">t </w:t>
      </w:r>
      <w:r w:rsidR="006C71C5">
        <w:t>Strateg</w:t>
      </w:r>
      <w:r w:rsidR="00823F92">
        <w:t xml:space="preserve">y </w:t>
      </w:r>
      <w:r w:rsidR="006C71C5">
        <w:t>fo</w:t>
      </w:r>
      <w:r w:rsidR="00823F92">
        <w:t xml:space="preserve">r </w:t>
      </w:r>
      <w:r w:rsidR="006C71C5">
        <w:t>publi</w:t>
      </w:r>
      <w:r w:rsidR="00823F92">
        <w:t xml:space="preserve">c </w:t>
      </w:r>
      <w:r w:rsidR="006C71C5">
        <w:t>consultatio</w:t>
      </w:r>
      <w:r w:rsidR="00823F92">
        <w:t xml:space="preserve">n </w:t>
      </w:r>
      <w:r w:rsidR="00612ABB">
        <w:t>(th</w:t>
      </w:r>
      <w:r w:rsidR="00823F92">
        <w:t xml:space="preserve">e </w:t>
      </w:r>
      <w:r w:rsidR="00612ABB">
        <w:t>Consultatio</w:t>
      </w:r>
      <w:r w:rsidR="00823F92">
        <w:t xml:space="preserve">n </w:t>
      </w:r>
      <w:r w:rsidR="00612ABB">
        <w:t>Draft)</w:t>
      </w:r>
      <w:r w:rsidR="00823F92">
        <w:t xml:space="preserve">. </w:t>
      </w:r>
      <w:r w:rsidR="00561F2A">
        <w:t>Th</w:t>
      </w:r>
      <w:r w:rsidR="00823F92">
        <w:t xml:space="preserve">e </w:t>
      </w:r>
      <w:r w:rsidR="00561F2A">
        <w:t>developmen</w:t>
      </w:r>
      <w:r w:rsidR="00823F92">
        <w:t xml:space="preserve">t </w:t>
      </w:r>
      <w:r w:rsidR="00561F2A">
        <w:t>proces</w:t>
      </w:r>
      <w:r w:rsidR="00823F92">
        <w:t xml:space="preserve">s </w:t>
      </w:r>
      <w:r w:rsidR="00561F2A">
        <w:t>fo</w:t>
      </w:r>
      <w:r w:rsidR="00823F92">
        <w:t xml:space="preserve">r </w:t>
      </w:r>
      <w:r w:rsidR="00561F2A">
        <w:t>th</w:t>
      </w:r>
      <w:r w:rsidR="00823F92">
        <w:t xml:space="preserve">e </w:t>
      </w:r>
      <w:r w:rsidR="00561F2A">
        <w:t>Consultatio</w:t>
      </w:r>
      <w:r w:rsidR="00823F92">
        <w:t xml:space="preserve">n </w:t>
      </w:r>
      <w:r w:rsidR="00561F2A">
        <w:t>Draf</w:t>
      </w:r>
      <w:r w:rsidR="00823F92">
        <w:t xml:space="preserve">t </w:t>
      </w:r>
      <w:r w:rsidR="00561F2A">
        <w:t>i</w:t>
      </w:r>
      <w:r w:rsidR="00823F92">
        <w:t xml:space="preserve">s </w:t>
      </w:r>
      <w:r w:rsidR="00561F2A">
        <w:t>summarise</w:t>
      </w:r>
      <w:r w:rsidR="00823F92">
        <w:t xml:space="preserve">d </w:t>
      </w:r>
      <w:r w:rsidR="00561F2A">
        <w:t>i</w:t>
      </w:r>
      <w:r w:rsidR="00823F92">
        <w:t xml:space="preserve">n </w:t>
      </w:r>
      <w:r w:rsidR="00561F2A">
        <w:t>Chapte</w:t>
      </w:r>
      <w:r w:rsidR="00823F92">
        <w:t xml:space="preserve">r </w:t>
      </w:r>
      <w:r w:rsidR="00561F2A">
        <w:t>2.</w:t>
      </w:r>
    </w:p>
    <w:p w14:paraId="17180472" w14:textId="39952766" w:rsidR="0069382D" w:rsidRDefault="00561F2A" w:rsidP="0069382D">
      <w:pPr>
        <w:pStyle w:val="BodyText"/>
      </w:pPr>
      <w:r>
        <w:t>Th</w:t>
      </w:r>
      <w:r w:rsidR="00823F92">
        <w:t xml:space="preserve">e </w:t>
      </w:r>
      <w:r>
        <w:t>Taskforc</w:t>
      </w:r>
      <w:r w:rsidR="00823F92">
        <w:t xml:space="preserve">e </w:t>
      </w:r>
      <w:r w:rsidR="006C71C5">
        <w:t>i</w:t>
      </w:r>
      <w:r w:rsidR="00823F92">
        <w:t xml:space="preserve">s </w:t>
      </w:r>
      <w:r w:rsidR="006C71C5">
        <w:t>no</w:t>
      </w:r>
      <w:r w:rsidR="00823F92">
        <w:t xml:space="preserve">w </w:t>
      </w:r>
      <w:r w:rsidR="006C71C5">
        <w:t>seekin</w:t>
      </w:r>
      <w:r w:rsidR="00823F92">
        <w:t xml:space="preserve">g </w:t>
      </w:r>
      <w:r w:rsidR="006C71C5">
        <w:t>th</w:t>
      </w:r>
      <w:r w:rsidR="00823F92">
        <w:t xml:space="preserve">e </w:t>
      </w:r>
      <w:r w:rsidR="006C71C5">
        <w:t>perspective</w:t>
      </w:r>
      <w:r w:rsidR="00823F92">
        <w:t xml:space="preserve">s </w:t>
      </w:r>
      <w:r w:rsidR="006C71C5">
        <w:t>o</w:t>
      </w:r>
      <w:r w:rsidR="00823F92">
        <w:t xml:space="preserve">f </w:t>
      </w:r>
      <w:r w:rsidR="006C71C5">
        <w:t>consumers</w:t>
      </w:r>
      <w:r w:rsidR="00823F92">
        <w:t xml:space="preserve">, </w:t>
      </w:r>
      <w:r w:rsidR="006C71C5">
        <w:t>carer</w:t>
      </w:r>
      <w:r w:rsidR="00823F92">
        <w:t xml:space="preserve">s </w:t>
      </w:r>
      <w:r w:rsidR="006C71C5">
        <w:t>an</w:t>
      </w:r>
      <w:r w:rsidR="00823F92">
        <w:t xml:space="preserve">d </w:t>
      </w:r>
      <w:r w:rsidR="006C71C5">
        <w:t>th</w:t>
      </w:r>
      <w:r w:rsidR="00823F92">
        <w:t xml:space="preserve">e </w:t>
      </w:r>
      <w:r w:rsidR="006C71C5">
        <w:t>secto</w:t>
      </w:r>
      <w:r w:rsidR="00823F92">
        <w:t xml:space="preserve">r </w:t>
      </w:r>
      <w:r w:rsidR="006C71C5">
        <w:t>mor</w:t>
      </w:r>
      <w:r w:rsidR="00823F92">
        <w:t xml:space="preserve">e </w:t>
      </w:r>
      <w:r w:rsidR="006C71C5">
        <w:t>broadl</w:t>
      </w:r>
      <w:r w:rsidR="00823F92">
        <w:t xml:space="preserve">y </w:t>
      </w:r>
      <w:r>
        <w:t>throug</w:t>
      </w:r>
      <w:r w:rsidR="00823F92">
        <w:t xml:space="preserve">h a </w:t>
      </w:r>
      <w:r>
        <w:t>publi</w:t>
      </w:r>
      <w:r w:rsidR="00823F92">
        <w:t xml:space="preserve">c </w:t>
      </w:r>
      <w:r>
        <w:t>submissio</w:t>
      </w:r>
      <w:r w:rsidR="00823F92">
        <w:t xml:space="preserve">n </w:t>
      </w:r>
      <w:r>
        <w:t>process</w:t>
      </w:r>
      <w:r w:rsidR="00823F92">
        <w:t xml:space="preserve">. </w:t>
      </w:r>
      <w:r w:rsidR="009C0F89">
        <w:t>Followin</w:t>
      </w:r>
      <w:r w:rsidR="00823F92">
        <w:t xml:space="preserve">g </w:t>
      </w:r>
      <w:r w:rsidR="009C0F89">
        <w:t>th</w:t>
      </w:r>
      <w:r w:rsidR="00823F92">
        <w:t xml:space="preserve">e </w:t>
      </w:r>
      <w:r w:rsidR="009C0F89">
        <w:t>publi</w:t>
      </w:r>
      <w:r w:rsidR="00823F92">
        <w:t xml:space="preserve">c </w:t>
      </w:r>
      <w:r w:rsidR="009C0F89">
        <w:t>submissio</w:t>
      </w:r>
      <w:r w:rsidR="00823F92">
        <w:t xml:space="preserve">n </w:t>
      </w:r>
      <w:r w:rsidR="009C0F89">
        <w:t>process</w:t>
      </w:r>
      <w:r w:rsidR="00823F92">
        <w:t xml:space="preserve">, a </w:t>
      </w:r>
      <w:r w:rsidR="009C0F89">
        <w:t>fina</w:t>
      </w:r>
      <w:r w:rsidR="00823F92">
        <w:t xml:space="preserve">l </w:t>
      </w:r>
      <w:r w:rsidR="009C0F89">
        <w:t>Strateg</w:t>
      </w:r>
      <w:r w:rsidR="00823F92">
        <w:t xml:space="preserve">y </w:t>
      </w:r>
      <w:r w:rsidR="009C0F89">
        <w:t>wil</w:t>
      </w:r>
      <w:r w:rsidR="00823F92">
        <w:t xml:space="preserve">l </w:t>
      </w:r>
      <w:r w:rsidR="009C0F89">
        <w:t>b</w:t>
      </w:r>
      <w:r w:rsidR="00823F92">
        <w:t xml:space="preserve">e </w:t>
      </w:r>
      <w:r w:rsidR="009C0F89">
        <w:t>develope</w:t>
      </w:r>
      <w:r w:rsidR="00823F92">
        <w:t xml:space="preserve">d </w:t>
      </w:r>
      <w:r w:rsidR="009C0F89">
        <w:t>an</w:t>
      </w:r>
      <w:r w:rsidR="00823F92">
        <w:t xml:space="preserve">d </w:t>
      </w:r>
      <w:r w:rsidR="009C0F89">
        <w:t>endorse</w:t>
      </w:r>
      <w:r w:rsidR="00823F92">
        <w:t xml:space="preserve">d </w:t>
      </w:r>
      <w:r w:rsidR="009C0F89">
        <w:t>b</w:t>
      </w:r>
      <w:r w:rsidR="00823F92">
        <w:t xml:space="preserve">y </w:t>
      </w:r>
      <w:r w:rsidR="009C0F89">
        <w:t>th</w:t>
      </w:r>
      <w:r w:rsidR="00823F92">
        <w:t xml:space="preserve">e </w:t>
      </w:r>
      <w:r w:rsidR="009C0F89">
        <w:t>Taskforce</w:t>
      </w:r>
      <w:r w:rsidR="00823F92">
        <w:t xml:space="preserve">. </w:t>
      </w:r>
      <w:r w:rsidR="00B05EA8">
        <w:rPr>
          <w:lang w:val="en-US"/>
        </w:rPr>
        <w:t>T</w:t>
      </w:r>
      <w:r w:rsidR="0069382D">
        <w:rPr>
          <w:lang w:val="en-US"/>
        </w:rPr>
        <w:t>h</w:t>
      </w:r>
      <w:r w:rsidR="00823F92">
        <w:rPr>
          <w:lang w:val="en-US"/>
        </w:rPr>
        <w:t xml:space="preserve">e </w:t>
      </w:r>
      <w:r w:rsidR="007B677E">
        <w:rPr>
          <w:lang w:val="en-US"/>
        </w:rPr>
        <w:t>Taskforc</w:t>
      </w:r>
      <w:r w:rsidR="00823F92">
        <w:rPr>
          <w:lang w:val="en-US"/>
        </w:rPr>
        <w:t xml:space="preserve">e </w:t>
      </w:r>
      <w:r w:rsidR="00B05EA8">
        <w:rPr>
          <w:lang w:val="en-US"/>
        </w:rPr>
        <w:t>Co-Chair</w:t>
      </w:r>
      <w:r w:rsidR="00823F92">
        <w:rPr>
          <w:lang w:val="en-US"/>
        </w:rPr>
        <w:t xml:space="preserve">s </w:t>
      </w:r>
      <w:r w:rsidR="00B05EA8">
        <w:rPr>
          <w:lang w:val="en-US"/>
        </w:rPr>
        <w:t>an</w:t>
      </w:r>
      <w:r w:rsidR="00823F92">
        <w:rPr>
          <w:lang w:val="en-US"/>
        </w:rPr>
        <w:t xml:space="preserve">d </w:t>
      </w:r>
      <w:r w:rsidR="00B05EA8">
        <w:rPr>
          <w:lang w:val="en-US"/>
        </w:rPr>
        <w:t>th</w:t>
      </w:r>
      <w:r w:rsidR="00823F92">
        <w:rPr>
          <w:lang w:val="en-US"/>
        </w:rPr>
        <w:t xml:space="preserve">e </w:t>
      </w:r>
      <w:r w:rsidR="007B677E">
        <w:rPr>
          <w:lang w:val="en-US"/>
        </w:rPr>
        <w:t>Australia</w:t>
      </w:r>
      <w:r w:rsidR="00823F92">
        <w:rPr>
          <w:lang w:val="en-US"/>
        </w:rPr>
        <w:t xml:space="preserve">n </w:t>
      </w:r>
      <w:r w:rsidR="0069382D">
        <w:rPr>
          <w:lang w:val="en-US"/>
        </w:rPr>
        <w:t>Departmen</w:t>
      </w:r>
      <w:r w:rsidR="00823F92">
        <w:rPr>
          <w:lang w:val="en-US"/>
        </w:rPr>
        <w:t xml:space="preserve">t </w:t>
      </w:r>
      <w:r w:rsidR="0069382D">
        <w:rPr>
          <w:lang w:val="en-US"/>
        </w:rPr>
        <w:t>o</w:t>
      </w:r>
      <w:r w:rsidR="00823F92">
        <w:rPr>
          <w:lang w:val="en-US"/>
        </w:rPr>
        <w:t xml:space="preserve">f </w:t>
      </w:r>
      <w:r w:rsidR="0069382D">
        <w:rPr>
          <w:lang w:val="en-US"/>
        </w:rPr>
        <w:t>Healt</w:t>
      </w:r>
      <w:r w:rsidR="00823F92">
        <w:rPr>
          <w:lang w:val="en-US"/>
        </w:rPr>
        <w:t xml:space="preserve">h </w:t>
      </w:r>
      <w:r w:rsidR="0069382D">
        <w:rPr>
          <w:lang w:val="en-US"/>
        </w:rPr>
        <w:t>wil</w:t>
      </w:r>
      <w:r w:rsidR="00823F92">
        <w:rPr>
          <w:lang w:val="en-US"/>
        </w:rPr>
        <w:t xml:space="preserve">l </w:t>
      </w:r>
      <w:r w:rsidR="0069382D">
        <w:rPr>
          <w:lang w:val="en-US"/>
        </w:rPr>
        <w:t>presen</w:t>
      </w:r>
      <w:r w:rsidR="00823F92">
        <w:rPr>
          <w:lang w:val="en-US"/>
        </w:rPr>
        <w:t xml:space="preserve">t </w:t>
      </w:r>
      <w:r w:rsidR="0069382D">
        <w:rPr>
          <w:lang w:val="en-US"/>
        </w:rPr>
        <w:t>th</w:t>
      </w:r>
      <w:r w:rsidR="00823F92">
        <w:rPr>
          <w:lang w:val="en-US"/>
        </w:rPr>
        <w:t xml:space="preserve">e </w:t>
      </w:r>
      <w:r w:rsidR="0069382D">
        <w:rPr>
          <w:lang w:val="en-US"/>
        </w:rPr>
        <w:t>Strateg</w:t>
      </w:r>
      <w:r w:rsidR="00823F92">
        <w:rPr>
          <w:lang w:val="en-US"/>
        </w:rPr>
        <w:t xml:space="preserve">y </w:t>
      </w:r>
      <w:r w:rsidR="0069382D">
        <w:rPr>
          <w:lang w:val="en-US"/>
        </w:rPr>
        <w:t>t</w:t>
      </w:r>
      <w:r w:rsidR="00823F92">
        <w:rPr>
          <w:lang w:val="en-US"/>
        </w:rPr>
        <w:t xml:space="preserve">o </w:t>
      </w:r>
      <w:r w:rsidR="0069382D">
        <w:rPr>
          <w:lang w:val="en-US"/>
        </w:rPr>
        <w:t>th</w:t>
      </w:r>
      <w:r w:rsidR="00823F92">
        <w:rPr>
          <w:lang w:val="en-US"/>
        </w:rPr>
        <w:t xml:space="preserve">e </w:t>
      </w:r>
      <w:r w:rsidR="0069382D">
        <w:rPr>
          <w:lang w:val="en-US"/>
        </w:rPr>
        <w:t>Ministe</w:t>
      </w:r>
      <w:r w:rsidR="00823F92">
        <w:rPr>
          <w:lang w:val="en-US"/>
        </w:rPr>
        <w:t xml:space="preserve">r </w:t>
      </w:r>
      <w:r w:rsidR="0069382D">
        <w:rPr>
          <w:lang w:val="en-US"/>
        </w:rPr>
        <w:t>fo</w:t>
      </w:r>
      <w:r w:rsidR="00823F92">
        <w:rPr>
          <w:lang w:val="en-US"/>
        </w:rPr>
        <w:t xml:space="preserve">r </w:t>
      </w:r>
      <w:r w:rsidR="0069382D">
        <w:rPr>
          <w:lang w:val="en-US"/>
        </w:rPr>
        <w:t>Healt</w:t>
      </w:r>
      <w:r w:rsidR="00823F92">
        <w:rPr>
          <w:lang w:val="en-US"/>
        </w:rPr>
        <w:t xml:space="preserve">h </w:t>
      </w:r>
      <w:r w:rsidR="0069382D">
        <w:rPr>
          <w:lang w:val="en-US"/>
        </w:rPr>
        <w:t>an</w:t>
      </w:r>
      <w:r w:rsidR="00823F92">
        <w:rPr>
          <w:lang w:val="en-US"/>
        </w:rPr>
        <w:t xml:space="preserve">d </w:t>
      </w:r>
      <w:r w:rsidR="0069382D">
        <w:rPr>
          <w:lang w:val="en-US"/>
        </w:rPr>
        <w:t>Age</w:t>
      </w:r>
      <w:r w:rsidR="00823F92">
        <w:rPr>
          <w:lang w:val="en-US"/>
        </w:rPr>
        <w:t xml:space="preserve">d </w:t>
      </w:r>
      <w:r w:rsidR="0069382D">
        <w:rPr>
          <w:lang w:val="en-US"/>
        </w:rPr>
        <w:t>Car</w:t>
      </w:r>
      <w:r w:rsidR="00823F92">
        <w:rPr>
          <w:lang w:val="en-US"/>
        </w:rPr>
        <w:t xml:space="preserve">e </w:t>
      </w:r>
      <w:r w:rsidR="0069382D">
        <w:rPr>
          <w:lang w:val="en-US"/>
        </w:rPr>
        <w:t>wh</w:t>
      </w:r>
      <w:r w:rsidR="00823F92">
        <w:rPr>
          <w:lang w:val="en-US"/>
        </w:rPr>
        <w:t xml:space="preserve">o </w:t>
      </w:r>
      <w:r w:rsidR="0069382D">
        <w:rPr>
          <w:lang w:val="en-US"/>
        </w:rPr>
        <w:t>wil</w:t>
      </w:r>
      <w:r w:rsidR="00823F92">
        <w:rPr>
          <w:lang w:val="en-US"/>
        </w:rPr>
        <w:t xml:space="preserve">l </w:t>
      </w:r>
      <w:r w:rsidR="0069382D">
        <w:rPr>
          <w:lang w:val="en-US"/>
        </w:rPr>
        <w:t>see</w:t>
      </w:r>
      <w:r w:rsidR="00823F92">
        <w:rPr>
          <w:lang w:val="en-US"/>
        </w:rPr>
        <w:t xml:space="preserve">k </w:t>
      </w:r>
      <w:r w:rsidR="0069382D">
        <w:rPr>
          <w:lang w:val="en-US"/>
        </w:rPr>
        <w:t>endorsemen</w:t>
      </w:r>
      <w:r w:rsidR="00823F92">
        <w:rPr>
          <w:lang w:val="en-US"/>
        </w:rPr>
        <w:t xml:space="preserve">t </w:t>
      </w:r>
      <w:r w:rsidR="0069382D">
        <w:t>fro</w:t>
      </w:r>
      <w:r w:rsidR="00823F92">
        <w:t xml:space="preserve">m </w:t>
      </w:r>
      <w:r w:rsidR="0069382D">
        <w:t>state</w:t>
      </w:r>
      <w:r w:rsidR="00823F92">
        <w:t xml:space="preserve">s </w:t>
      </w:r>
      <w:r w:rsidR="0069382D">
        <w:t>an</w:t>
      </w:r>
      <w:r w:rsidR="00823F92">
        <w:t xml:space="preserve">d </w:t>
      </w:r>
      <w:r w:rsidR="0069382D">
        <w:t>territor</w:t>
      </w:r>
      <w:r w:rsidR="00CB4043">
        <w:t>ie</w:t>
      </w:r>
      <w:r w:rsidR="00823F92">
        <w:t xml:space="preserve">s </w:t>
      </w:r>
      <w:r w:rsidR="0069382D">
        <w:t>throug</w:t>
      </w:r>
      <w:r w:rsidR="00823F92">
        <w:t xml:space="preserve">h </w:t>
      </w:r>
      <w:r w:rsidR="0069382D">
        <w:t>th</w:t>
      </w:r>
      <w:r w:rsidR="00823F92">
        <w:t xml:space="preserve">e </w:t>
      </w:r>
      <w:r w:rsidR="0069382D">
        <w:t>Nationa</w:t>
      </w:r>
      <w:r w:rsidR="00823F92">
        <w:t xml:space="preserve">l </w:t>
      </w:r>
      <w:r w:rsidR="0069382D">
        <w:t>Cabine</w:t>
      </w:r>
      <w:r w:rsidR="00823F92">
        <w:t xml:space="preserve">t </w:t>
      </w:r>
      <w:r w:rsidR="0069382D">
        <w:t>framework.</w:t>
      </w:r>
    </w:p>
    <w:p w14:paraId="51AC974C" w14:textId="3849E43C" w:rsidR="00250502" w:rsidRDefault="00250502" w:rsidP="0069382D">
      <w:pPr>
        <w:pStyle w:val="BodyText"/>
        <w:rPr>
          <w:lang w:val="en-US"/>
        </w:rPr>
      </w:pPr>
      <w:r>
        <w:t>Th</w:t>
      </w:r>
      <w:r w:rsidR="00823F92">
        <w:t xml:space="preserve">e </w:t>
      </w:r>
      <w:r w:rsidR="001F4E65" w:rsidRPr="00653077">
        <w:t>contribution</w:t>
      </w:r>
      <w:r w:rsidR="00823F92">
        <w:t xml:space="preserve">s </w:t>
      </w:r>
      <w:r w:rsidR="001F4E65" w:rsidRPr="00653077">
        <w:t>o</w:t>
      </w:r>
      <w:r w:rsidR="00823F92" w:rsidRPr="00653077">
        <w:t>f</w:t>
      </w:r>
      <w:r w:rsidR="00823F92">
        <w:t xml:space="preserve"> </w:t>
      </w:r>
      <w:r w:rsidR="001F4E65" w:rsidRPr="00653077">
        <w:t>th</w:t>
      </w:r>
      <w:r w:rsidR="00823F92" w:rsidRPr="00653077">
        <w:t>e</w:t>
      </w:r>
      <w:r w:rsidR="00823F92">
        <w:t xml:space="preserve"> </w:t>
      </w:r>
      <w:r w:rsidR="001F4E65" w:rsidRPr="00653077">
        <w:t>Taskforc</w:t>
      </w:r>
      <w:r w:rsidR="00823F92" w:rsidRPr="00653077">
        <w:t>e</w:t>
      </w:r>
      <w:r w:rsidR="00823F92">
        <w:t xml:space="preserve"> </w:t>
      </w:r>
      <w:r w:rsidR="002B243D">
        <w:t>members</w:t>
      </w:r>
      <w:r w:rsidR="00823F92" w:rsidRPr="00653077">
        <w:t>,</w:t>
      </w:r>
      <w:r w:rsidR="00823F92">
        <w:t xml:space="preserve"> </w:t>
      </w:r>
      <w:r w:rsidR="001F4E65" w:rsidRPr="00653077">
        <w:t>Workin</w:t>
      </w:r>
      <w:r w:rsidR="00823F92" w:rsidRPr="00653077">
        <w:t>g</w:t>
      </w:r>
      <w:r w:rsidR="00823F92">
        <w:t xml:space="preserve"> </w:t>
      </w:r>
      <w:r w:rsidR="001F4E65" w:rsidRPr="00653077">
        <w:t>Grou</w:t>
      </w:r>
      <w:r w:rsidR="00823F92" w:rsidRPr="00653077">
        <w:t>p</w:t>
      </w:r>
      <w:r w:rsidR="00823F92">
        <w:t xml:space="preserve"> </w:t>
      </w:r>
      <w:r w:rsidR="001F4E65" w:rsidRPr="00653077">
        <w:t>members</w:t>
      </w:r>
      <w:r w:rsidR="00823F92" w:rsidRPr="00653077">
        <w:t>,</w:t>
      </w:r>
      <w:r w:rsidR="00823F92">
        <w:t xml:space="preserve"> </w:t>
      </w:r>
      <w:r w:rsidR="001F4E65">
        <w:t>c</w:t>
      </w:r>
      <w:r w:rsidR="001F4E65" w:rsidRPr="00653077">
        <w:t>on</w:t>
      </w:r>
      <w:r w:rsidR="001F4E65">
        <w:t>s</w:t>
      </w:r>
      <w:r w:rsidR="001F4E65" w:rsidRPr="00653077">
        <w:t>ume</w:t>
      </w:r>
      <w:r w:rsidR="00823F92" w:rsidRPr="00653077">
        <w:t>r</w:t>
      </w:r>
      <w:r w:rsidR="00823F92">
        <w:t xml:space="preserve"> </w:t>
      </w:r>
      <w:r w:rsidR="001F4E65" w:rsidRPr="00653077">
        <w:t>an</w:t>
      </w:r>
      <w:r w:rsidR="00823F92" w:rsidRPr="00653077">
        <w:t>d</w:t>
      </w:r>
      <w:r w:rsidR="00823F92">
        <w:t xml:space="preserve"> </w:t>
      </w:r>
      <w:r w:rsidR="001F4E65">
        <w:t>c</w:t>
      </w:r>
      <w:r w:rsidR="001F4E65" w:rsidRPr="00653077">
        <w:t>are</w:t>
      </w:r>
      <w:r w:rsidR="00823F92" w:rsidRPr="00653077">
        <w:t>r</w:t>
      </w:r>
      <w:r w:rsidR="00823F92">
        <w:t xml:space="preserve"> </w:t>
      </w:r>
      <w:r w:rsidR="001F4E65" w:rsidRPr="00653077">
        <w:t>representative</w:t>
      </w:r>
      <w:r w:rsidR="00823F92" w:rsidRPr="00653077">
        <w:t>s</w:t>
      </w:r>
      <w:r w:rsidR="00823F92">
        <w:t xml:space="preserve"> </w:t>
      </w:r>
      <w:r w:rsidR="001F4E65" w:rsidRPr="00653077">
        <w:t>an</w:t>
      </w:r>
      <w:r w:rsidR="00823F92" w:rsidRPr="00653077">
        <w:t>d</w:t>
      </w:r>
      <w:r w:rsidR="00823F92">
        <w:t xml:space="preserve"> </w:t>
      </w:r>
      <w:r w:rsidR="001F4E65" w:rsidRPr="00653077">
        <w:t>al</w:t>
      </w:r>
      <w:r w:rsidR="00823F92" w:rsidRPr="00653077">
        <w:t>l</w:t>
      </w:r>
      <w:r w:rsidR="00823F92">
        <w:t xml:space="preserve"> </w:t>
      </w:r>
      <w:r w:rsidR="001F4E65" w:rsidRPr="00653077">
        <w:t>other</w:t>
      </w:r>
      <w:r w:rsidR="00823F92" w:rsidRPr="00653077">
        <w:t>s</w:t>
      </w:r>
      <w:r w:rsidR="00823F92">
        <w:t xml:space="preserve"> </w:t>
      </w:r>
      <w:r w:rsidR="001F4E65" w:rsidRPr="00653077">
        <w:t>consulte</w:t>
      </w:r>
      <w:r w:rsidR="00823F92" w:rsidRPr="00653077">
        <w:t>d</w:t>
      </w:r>
      <w:r w:rsidR="00823F92">
        <w:t xml:space="preserve"> </w:t>
      </w:r>
      <w:r w:rsidR="001F4E65">
        <w:t>i</w:t>
      </w:r>
      <w:r w:rsidR="00823F92">
        <w:t xml:space="preserve">n </w:t>
      </w:r>
      <w:r w:rsidR="001F4E65">
        <w:t>th</w:t>
      </w:r>
      <w:r w:rsidR="00823F92">
        <w:t xml:space="preserve">e </w:t>
      </w:r>
      <w:r w:rsidR="001F4E65">
        <w:t>developmen</w:t>
      </w:r>
      <w:r w:rsidR="00823F92">
        <w:t xml:space="preserve">t </w:t>
      </w:r>
      <w:r w:rsidR="001F4E65">
        <w:t>o</w:t>
      </w:r>
      <w:r w:rsidR="00823F92">
        <w:t xml:space="preserve">f </w:t>
      </w:r>
      <w:r w:rsidR="001F4E65">
        <w:t>th</w:t>
      </w:r>
      <w:r w:rsidR="00823F92">
        <w:t xml:space="preserve">e </w:t>
      </w:r>
      <w:r w:rsidR="001F4E65">
        <w:t>Strateg</w:t>
      </w:r>
      <w:r w:rsidR="00823F92">
        <w:t xml:space="preserve">y </w:t>
      </w:r>
      <w:r w:rsidR="001F4E65">
        <w:t>ar</w:t>
      </w:r>
      <w:r w:rsidR="00823F92">
        <w:t xml:space="preserve">e </w:t>
      </w:r>
      <w:r w:rsidR="001F4E65">
        <w:t>gratefull</w:t>
      </w:r>
      <w:r w:rsidR="00823F92">
        <w:t xml:space="preserve">y </w:t>
      </w:r>
      <w:r w:rsidR="001F4E65">
        <w:t>acknowledged</w:t>
      </w:r>
    </w:p>
    <w:p w14:paraId="10B650EC" w14:textId="1817D694" w:rsidR="0069382D" w:rsidRDefault="009C0F89" w:rsidP="00A017BE">
      <w:pPr>
        <w:pStyle w:val="Heading2"/>
      </w:pPr>
      <w:bookmarkStart w:id="3" w:name="_Toc99018977"/>
      <w:r>
        <w:lastRenderedPageBreak/>
        <w:t>Thi</w:t>
      </w:r>
      <w:r w:rsidR="00823F92">
        <w:t xml:space="preserve">s </w:t>
      </w:r>
      <w:r>
        <w:t>Backgroun</w:t>
      </w:r>
      <w:r w:rsidR="00823F92">
        <w:t xml:space="preserve">d </w:t>
      </w:r>
      <w:r>
        <w:t>Paper</w:t>
      </w:r>
      <w:bookmarkEnd w:id="3"/>
    </w:p>
    <w:p w14:paraId="1EA54FDC" w14:textId="35DB0072" w:rsidR="009C0F89" w:rsidRDefault="009C0F89" w:rsidP="00A017BE">
      <w:pPr>
        <w:pStyle w:val="BodyText"/>
        <w:keepNext/>
        <w:keepLines/>
      </w:pPr>
      <w:r>
        <w:t>Thi</w:t>
      </w:r>
      <w:r w:rsidR="00823F92">
        <w:t xml:space="preserve">s </w:t>
      </w:r>
      <w:r>
        <w:t>documen</w:t>
      </w:r>
      <w:r w:rsidR="00823F92">
        <w:t xml:space="preserve">t </w:t>
      </w:r>
      <w:r>
        <w:t>provide</w:t>
      </w:r>
      <w:r w:rsidR="00823F92">
        <w:t xml:space="preserve">s </w:t>
      </w:r>
      <w:r>
        <w:t>backgroun</w:t>
      </w:r>
      <w:r w:rsidR="00823F92">
        <w:t xml:space="preserve">d </w:t>
      </w:r>
      <w:r>
        <w:t>t</w:t>
      </w:r>
      <w:r w:rsidR="00823F92">
        <w:t xml:space="preserve">o </w:t>
      </w:r>
      <w:r>
        <w:t>th</w:t>
      </w:r>
      <w:r w:rsidR="00823F92">
        <w:t xml:space="preserve">e </w:t>
      </w:r>
      <w:r>
        <w:t>developmen</w:t>
      </w:r>
      <w:r w:rsidR="00823F92">
        <w:t xml:space="preserve">t </w:t>
      </w:r>
      <w:r>
        <w:t>o</w:t>
      </w:r>
      <w:r w:rsidR="00823F92">
        <w:t xml:space="preserve">f </w:t>
      </w:r>
      <w:r>
        <w:t>th</w:t>
      </w:r>
      <w:r w:rsidR="00823F92">
        <w:t xml:space="preserve">e </w:t>
      </w:r>
      <w:r>
        <w:t>Consultatio</w:t>
      </w:r>
      <w:r w:rsidR="00823F92">
        <w:t xml:space="preserve">n </w:t>
      </w:r>
      <w:r>
        <w:t>Draft</w:t>
      </w:r>
      <w:r w:rsidR="00823F92">
        <w:t xml:space="preserve">, </w:t>
      </w:r>
      <w:r>
        <w:t>includin</w:t>
      </w:r>
      <w:r w:rsidR="00823F92">
        <w:t xml:space="preserve">g </w:t>
      </w:r>
      <w:r>
        <w:t>underpinnin</w:t>
      </w:r>
      <w:r w:rsidR="00823F92">
        <w:t xml:space="preserve">g </w:t>
      </w:r>
      <w:r>
        <w:t>workforc</w:t>
      </w:r>
      <w:r w:rsidR="00823F92">
        <w:t xml:space="preserve">e </w:t>
      </w:r>
      <w:r>
        <w:t>definitions</w:t>
      </w:r>
      <w:r w:rsidR="00823F92">
        <w:t xml:space="preserve">, </w:t>
      </w:r>
      <w:r>
        <w:t>foundationa</w:t>
      </w:r>
      <w:r w:rsidR="00823F92">
        <w:t xml:space="preserve">l </w:t>
      </w:r>
      <w:r>
        <w:t>researc</w:t>
      </w:r>
      <w:r w:rsidR="00823F92">
        <w:t xml:space="preserve">h </w:t>
      </w:r>
      <w:r>
        <w:t>an</w:t>
      </w:r>
      <w:r w:rsidR="00823F92">
        <w:t xml:space="preserve">d a </w:t>
      </w:r>
      <w:r w:rsidR="00DA21BB">
        <w:t>summar</w:t>
      </w:r>
      <w:r w:rsidR="00823F92">
        <w:t xml:space="preserve">y </w:t>
      </w:r>
      <w:r w:rsidR="00DA21BB">
        <w:t>o</w:t>
      </w:r>
      <w:r w:rsidR="00823F92">
        <w:t xml:space="preserve">f </w:t>
      </w:r>
      <w:r>
        <w:t>th</w:t>
      </w:r>
      <w:r w:rsidR="00823F92">
        <w:t xml:space="preserve">e </w:t>
      </w:r>
      <w:r>
        <w:t>issue</w:t>
      </w:r>
      <w:r w:rsidR="00823F92">
        <w:t xml:space="preserve">s </w:t>
      </w:r>
      <w:r>
        <w:t>facin</w:t>
      </w:r>
      <w:r w:rsidR="00823F92">
        <w:t xml:space="preserve">g </w:t>
      </w:r>
      <w:r>
        <w:t>th</w:t>
      </w:r>
      <w:r w:rsidR="00823F92">
        <w:t xml:space="preserve">e </w:t>
      </w:r>
      <w:r w:rsidR="00DA21BB">
        <w:t>menta</w:t>
      </w:r>
      <w:r w:rsidR="00823F92">
        <w:t xml:space="preserve">l </w:t>
      </w:r>
      <w:r w:rsidR="00DA21BB">
        <w:t>healt</w:t>
      </w:r>
      <w:r w:rsidR="00823F92">
        <w:t xml:space="preserve">h </w:t>
      </w:r>
      <w:r>
        <w:t>workforce</w:t>
      </w:r>
      <w:r w:rsidR="00823F92">
        <w:t xml:space="preserve">. </w:t>
      </w:r>
      <w:r w:rsidR="00440C91">
        <w:t>Th</w:t>
      </w:r>
      <w:r w:rsidR="00823F92">
        <w:t xml:space="preserve">e </w:t>
      </w:r>
      <w:r w:rsidR="00440C91">
        <w:t>Consultatio</w:t>
      </w:r>
      <w:r w:rsidR="00823F92">
        <w:t xml:space="preserve">n </w:t>
      </w:r>
      <w:r w:rsidR="00440C91">
        <w:t>Draf</w:t>
      </w:r>
      <w:r w:rsidR="00823F92">
        <w:t xml:space="preserve">t </w:t>
      </w:r>
      <w:r w:rsidR="00440C91">
        <w:t>shoul</w:t>
      </w:r>
      <w:r w:rsidR="00823F92">
        <w:t xml:space="preserve">d </w:t>
      </w:r>
      <w:r w:rsidR="00440C91">
        <w:t>b</w:t>
      </w:r>
      <w:r w:rsidR="00823F92">
        <w:t xml:space="preserve">e </w:t>
      </w:r>
      <w:r w:rsidR="00440C91">
        <w:t>rea</w:t>
      </w:r>
      <w:r w:rsidR="00823F92">
        <w:t xml:space="preserve">d </w:t>
      </w:r>
      <w:r w:rsidR="00440C91">
        <w:t>i</w:t>
      </w:r>
      <w:r w:rsidR="00823F92">
        <w:t xml:space="preserve">n </w:t>
      </w:r>
      <w:r w:rsidR="00440C91">
        <w:t>conjunctio</w:t>
      </w:r>
      <w:r w:rsidR="00823F92">
        <w:t xml:space="preserve">n </w:t>
      </w:r>
      <w:r w:rsidR="00440C91">
        <w:t>wit</w:t>
      </w:r>
      <w:r w:rsidR="00823F92">
        <w:t xml:space="preserve">h </w:t>
      </w:r>
      <w:r w:rsidR="00440C91">
        <w:t>thi</w:t>
      </w:r>
      <w:r w:rsidR="00823F92">
        <w:t xml:space="preserve">s </w:t>
      </w:r>
      <w:r w:rsidR="00440C91">
        <w:t>Backgroun</w:t>
      </w:r>
      <w:r w:rsidR="00823F92">
        <w:t xml:space="preserve">d </w:t>
      </w:r>
      <w:r w:rsidR="00440C91">
        <w:t>Paper</w:t>
      </w:r>
      <w:r w:rsidR="00823F92">
        <w:t xml:space="preserve">. </w:t>
      </w:r>
      <w:r>
        <w:t>Th</w:t>
      </w:r>
      <w:r w:rsidR="00823F92">
        <w:t xml:space="preserve">e </w:t>
      </w:r>
      <w:r>
        <w:t>Backgroun</w:t>
      </w:r>
      <w:r w:rsidR="00823F92">
        <w:t xml:space="preserve">d </w:t>
      </w:r>
      <w:r>
        <w:t>Pape</w:t>
      </w:r>
      <w:r w:rsidR="00823F92">
        <w:t xml:space="preserve">r </w:t>
      </w:r>
      <w:r>
        <w:t>i</w:t>
      </w:r>
      <w:r w:rsidR="00823F92">
        <w:t xml:space="preserve">s </w:t>
      </w:r>
      <w:r>
        <w:t>structure</w:t>
      </w:r>
      <w:r w:rsidR="00823F92">
        <w:t xml:space="preserve">d </w:t>
      </w:r>
      <w:r>
        <w:t>a</w:t>
      </w:r>
      <w:r w:rsidR="00823F92">
        <w:t xml:space="preserve">s </w:t>
      </w:r>
      <w:r>
        <w:t>follows:</w:t>
      </w:r>
    </w:p>
    <w:p w14:paraId="538EC0DA" w14:textId="5DCCE050" w:rsidR="009C0F89" w:rsidRPr="00E4647A" w:rsidRDefault="00E4647A" w:rsidP="009C0F89">
      <w:pPr>
        <w:pStyle w:val="ListBullet"/>
      </w:pPr>
      <w:r w:rsidRPr="00E4647A">
        <w:t>Chapte</w:t>
      </w:r>
      <w:r w:rsidR="00823F92" w:rsidRPr="00E4647A">
        <w:t>r</w:t>
      </w:r>
      <w:r w:rsidR="00823F92">
        <w:t xml:space="preserve"> </w:t>
      </w:r>
      <w:r w:rsidR="00823F92" w:rsidRPr="00E4647A">
        <w:t>2</w:t>
      </w:r>
      <w:r w:rsidR="00823F92">
        <w:t xml:space="preserve"> </w:t>
      </w:r>
      <w:r w:rsidRPr="00E4647A">
        <w:t>– Developmen</w:t>
      </w:r>
      <w:r w:rsidR="00823F92" w:rsidRPr="00E4647A">
        <w:t>t</w:t>
      </w:r>
      <w:r w:rsidR="00823F92">
        <w:t xml:space="preserve"> </w:t>
      </w:r>
      <w:r w:rsidRPr="00E4647A">
        <w:t>process</w:t>
      </w:r>
    </w:p>
    <w:p w14:paraId="635FDC4B" w14:textId="63091A7E" w:rsidR="006E204C" w:rsidRDefault="00E4647A" w:rsidP="009C0F89">
      <w:pPr>
        <w:pStyle w:val="ListBullet"/>
      </w:pPr>
      <w:r w:rsidRPr="00E4647A">
        <w:t>Chapte</w:t>
      </w:r>
      <w:r w:rsidR="00823F92" w:rsidRPr="00E4647A">
        <w:t>r</w:t>
      </w:r>
      <w:r w:rsidR="00823F92">
        <w:t xml:space="preserve"> </w:t>
      </w:r>
      <w:r w:rsidR="00823F92" w:rsidRPr="00E4647A">
        <w:t>3</w:t>
      </w:r>
      <w:r w:rsidR="00823F92">
        <w:t xml:space="preserve"> </w:t>
      </w:r>
      <w:r w:rsidRPr="00E4647A">
        <w:t xml:space="preserve">– </w:t>
      </w:r>
      <w:r w:rsidR="006E204C">
        <w:t>Contex</w:t>
      </w:r>
      <w:r w:rsidR="00823F92">
        <w:t xml:space="preserve">t </w:t>
      </w:r>
      <w:r w:rsidR="006E204C">
        <w:t>fo</w:t>
      </w:r>
      <w:r w:rsidR="00823F92">
        <w:t xml:space="preserve">r </w:t>
      </w:r>
      <w:r w:rsidR="006E204C">
        <w:t>th</w:t>
      </w:r>
      <w:r w:rsidR="00823F92">
        <w:t xml:space="preserve">e </w:t>
      </w:r>
      <w:r w:rsidR="006E204C">
        <w:t>Strategy</w:t>
      </w:r>
    </w:p>
    <w:p w14:paraId="1CDAE64D" w14:textId="087CA074" w:rsidR="00E4647A" w:rsidRPr="00E4647A" w:rsidRDefault="006E204C" w:rsidP="006E204C">
      <w:pPr>
        <w:pStyle w:val="ListBullet"/>
      </w:pPr>
      <w:r>
        <w:t>Chapte</w:t>
      </w:r>
      <w:r w:rsidR="00823F92">
        <w:t xml:space="preserve">r 4 </w:t>
      </w:r>
      <w:r>
        <w:t xml:space="preserve">– </w:t>
      </w:r>
      <w:r w:rsidR="00E4647A" w:rsidRPr="00E4647A">
        <w:t>Workforc</w:t>
      </w:r>
      <w:r w:rsidR="00823F92" w:rsidRPr="00E4647A">
        <w:t>e</w:t>
      </w:r>
      <w:r w:rsidR="00823F92">
        <w:t xml:space="preserve"> </w:t>
      </w:r>
      <w:r w:rsidR="00E4647A" w:rsidRPr="00E4647A">
        <w:t>definition</w:t>
      </w:r>
    </w:p>
    <w:p w14:paraId="16A08815" w14:textId="30E5873F" w:rsidR="00E4647A" w:rsidRPr="00E4647A" w:rsidRDefault="00E4647A" w:rsidP="009C0F89">
      <w:pPr>
        <w:pStyle w:val="ListBullet"/>
      </w:pPr>
      <w:r w:rsidRPr="00E4647A">
        <w:t>Chapte</w:t>
      </w:r>
      <w:r w:rsidR="00823F92" w:rsidRPr="00E4647A">
        <w:t>r</w:t>
      </w:r>
      <w:r w:rsidR="00823F92">
        <w:t xml:space="preserve"> 5 </w:t>
      </w:r>
      <w:r w:rsidRPr="00E4647A">
        <w:t>– Commo</w:t>
      </w:r>
      <w:r w:rsidR="00823F92" w:rsidRPr="00E4647A">
        <w:t>n</w:t>
      </w:r>
      <w:r w:rsidR="00823F92">
        <w:t xml:space="preserve"> </w:t>
      </w:r>
      <w:r w:rsidRPr="00E4647A">
        <w:t>workforc</w:t>
      </w:r>
      <w:r w:rsidR="00823F92" w:rsidRPr="00E4647A">
        <w:t>e</w:t>
      </w:r>
      <w:r w:rsidR="00823F92">
        <w:t xml:space="preserve"> </w:t>
      </w:r>
      <w:r w:rsidRPr="00E4647A">
        <w:t>issues</w:t>
      </w:r>
    </w:p>
    <w:p w14:paraId="03739699" w14:textId="18C5F266" w:rsidR="0069382D" w:rsidRDefault="00E4647A" w:rsidP="00E55088">
      <w:pPr>
        <w:pStyle w:val="ListBullet"/>
      </w:pPr>
      <w:r w:rsidRPr="00E4647A">
        <w:t>Chapte</w:t>
      </w:r>
      <w:r w:rsidR="00823F92" w:rsidRPr="00E4647A">
        <w:t>r</w:t>
      </w:r>
      <w:r w:rsidR="00823F92">
        <w:t xml:space="preserve"> 6 </w:t>
      </w:r>
      <w:r w:rsidRPr="00E4647A">
        <w:t>– Occupatio</w:t>
      </w:r>
      <w:r w:rsidR="00823F92" w:rsidRPr="00E4647A">
        <w:t>n</w:t>
      </w:r>
      <w:r w:rsidR="00823F92">
        <w:t xml:space="preserve"> </w:t>
      </w:r>
      <w:r w:rsidRPr="00E4647A">
        <w:t>specifi</w:t>
      </w:r>
      <w:r w:rsidR="00823F92" w:rsidRPr="00E4647A">
        <w:t>c</w:t>
      </w:r>
      <w:r w:rsidR="00823F92">
        <w:t xml:space="preserve"> </w:t>
      </w:r>
      <w:r w:rsidRPr="00E4647A">
        <w:t>issues</w:t>
      </w:r>
      <w:r w:rsidR="00823F92" w:rsidRPr="00E4647A">
        <w:t>.</w:t>
      </w:r>
      <w:r w:rsidR="00823F92">
        <w:t xml:space="preserve"> </w:t>
      </w:r>
    </w:p>
    <w:p w14:paraId="573E3C93" w14:textId="274E17D4" w:rsidR="00B67518" w:rsidRPr="00B67518" w:rsidRDefault="00B67518" w:rsidP="00B67518">
      <w:pPr>
        <w:pStyle w:val="BodyText"/>
        <w:sectPr w:rsidR="00B67518" w:rsidRPr="00B67518" w:rsidSect="0057448B">
          <w:headerReference w:type="even" r:id="rId22"/>
          <w:headerReference w:type="default" r:id="rId23"/>
          <w:footerReference w:type="even" r:id="rId24"/>
          <w:footerReference w:type="default" r:id="rId25"/>
          <w:headerReference w:type="first" r:id="rId26"/>
          <w:footerReference w:type="first" r:id="rId27"/>
          <w:pgSz w:w="11906" w:h="16838" w:code="9"/>
          <w:pgMar w:top="1701" w:right="1134" w:bottom="1134" w:left="1418" w:header="454" w:footer="159" w:gutter="0"/>
          <w:cols w:space="708"/>
          <w:docGrid w:linePitch="360"/>
        </w:sectPr>
      </w:pPr>
    </w:p>
    <w:p w14:paraId="32A34278" w14:textId="0E3362DE" w:rsidR="00F87B8A" w:rsidRPr="00351625" w:rsidRDefault="00F87B8A" w:rsidP="00351625">
      <w:pPr>
        <w:pStyle w:val="Heading1"/>
      </w:pPr>
      <w:bookmarkStart w:id="4" w:name="_Toc99018978"/>
      <w:r w:rsidRPr="00351625">
        <w:rPr>
          <w:rStyle w:val="Heading1Char"/>
        </w:rPr>
        <w:lastRenderedPageBreak/>
        <w:t>Development process</w:t>
      </w:r>
      <w:bookmarkEnd w:id="4"/>
    </w:p>
    <w:p w14:paraId="1C19F2E1" w14:textId="7F229929" w:rsidR="0069382D" w:rsidRPr="005B2E27" w:rsidRDefault="0069382D" w:rsidP="00FF6003">
      <w:pPr>
        <w:pStyle w:val="Heading2"/>
      </w:pPr>
      <w:bookmarkStart w:id="5" w:name="_Toc99018979"/>
      <w:r>
        <w:t>Th</w:t>
      </w:r>
      <w:r w:rsidR="00823F92">
        <w:t xml:space="preserve">e </w:t>
      </w:r>
      <w:r>
        <w:t>Taskforce</w:t>
      </w:r>
      <w:bookmarkEnd w:id="5"/>
    </w:p>
    <w:p w14:paraId="50CD2F1E" w14:textId="374CF2F1" w:rsidR="0069382D" w:rsidRDefault="0069382D" w:rsidP="0069382D">
      <w:pPr>
        <w:pStyle w:val="BodyText"/>
        <w:rPr>
          <w:lang w:val="en-US"/>
        </w:rPr>
      </w:pPr>
      <w:r w:rsidRPr="006C4490">
        <w:rPr>
          <w:lang w:val="en-US"/>
        </w:rPr>
        <w:t>Th</w:t>
      </w:r>
      <w:r w:rsidR="00823F92" w:rsidRPr="006C4490">
        <w:rPr>
          <w:lang w:val="en-US"/>
        </w:rPr>
        <w:t>e</w:t>
      </w:r>
      <w:r w:rsidR="00823F92">
        <w:rPr>
          <w:lang w:val="en-US"/>
        </w:rPr>
        <w:t xml:space="preserve"> </w:t>
      </w:r>
      <w:r w:rsidRPr="006C4490">
        <w:rPr>
          <w:lang w:val="en-US"/>
        </w:rPr>
        <w:t>developmen</w:t>
      </w:r>
      <w:r w:rsidR="00823F92" w:rsidRPr="006C4490">
        <w:rPr>
          <w:lang w:val="en-US"/>
        </w:rPr>
        <w:t>t</w:t>
      </w:r>
      <w:r w:rsidR="00823F92">
        <w:rPr>
          <w:lang w:val="en-US"/>
        </w:rPr>
        <w:t xml:space="preserve"> </w:t>
      </w:r>
      <w:r w:rsidRPr="006C4490">
        <w:rPr>
          <w:lang w:val="en-US"/>
        </w:rPr>
        <w:t>o</w:t>
      </w:r>
      <w:r w:rsidR="00823F92" w:rsidRPr="006C4490">
        <w:rPr>
          <w:lang w:val="en-US"/>
        </w:rPr>
        <w:t>f</w:t>
      </w:r>
      <w:r w:rsidR="00823F92">
        <w:rPr>
          <w:lang w:val="en-US"/>
        </w:rPr>
        <w:t xml:space="preserve"> </w:t>
      </w:r>
      <w:r w:rsidRPr="006C4490">
        <w:rPr>
          <w:lang w:val="en-US"/>
        </w:rPr>
        <w:t>th</w:t>
      </w:r>
      <w:r w:rsidR="00823F92">
        <w:rPr>
          <w:lang w:val="en-US"/>
        </w:rPr>
        <w:t xml:space="preserve">e </w:t>
      </w:r>
      <w:r w:rsidRPr="006C4490">
        <w:rPr>
          <w:lang w:val="en-US"/>
        </w:rPr>
        <w:t>Strateg</w:t>
      </w:r>
      <w:r w:rsidR="00823F92" w:rsidRPr="006C4490">
        <w:rPr>
          <w:lang w:val="en-US"/>
        </w:rPr>
        <w:t>y</w:t>
      </w:r>
      <w:r w:rsidR="00823F92">
        <w:rPr>
          <w:lang w:val="en-US"/>
        </w:rPr>
        <w:t xml:space="preserve"> </w:t>
      </w:r>
      <w:r w:rsidR="00DA21BB">
        <w:rPr>
          <w:lang w:val="en-US"/>
        </w:rPr>
        <w:t>i</w:t>
      </w:r>
      <w:r w:rsidR="00823F92">
        <w:rPr>
          <w:lang w:val="en-US"/>
        </w:rPr>
        <w:t xml:space="preserve">s </w:t>
      </w:r>
      <w:r w:rsidRPr="006C4490">
        <w:rPr>
          <w:lang w:val="en-US"/>
        </w:rPr>
        <w:t>oversee</w:t>
      </w:r>
      <w:r w:rsidR="00823F92" w:rsidRPr="006C4490">
        <w:rPr>
          <w:lang w:val="en-US"/>
        </w:rPr>
        <w:t>n</w:t>
      </w:r>
      <w:r w:rsidR="00823F92">
        <w:rPr>
          <w:lang w:val="en-US"/>
        </w:rPr>
        <w:t xml:space="preserve"> </w:t>
      </w:r>
      <w:r w:rsidRPr="006C4490">
        <w:rPr>
          <w:lang w:val="en-US"/>
        </w:rPr>
        <w:t>b</w:t>
      </w:r>
      <w:r w:rsidR="00823F92" w:rsidRPr="006C4490">
        <w:rPr>
          <w:lang w:val="en-US"/>
        </w:rPr>
        <w:t>y</w:t>
      </w:r>
      <w:r w:rsidR="00823F92">
        <w:rPr>
          <w:lang w:val="en-US"/>
        </w:rPr>
        <w:t xml:space="preserve"> </w:t>
      </w:r>
      <w:r w:rsidRPr="006C4490">
        <w:rPr>
          <w:lang w:val="en-US"/>
        </w:rPr>
        <w:t>th</w:t>
      </w:r>
      <w:r w:rsidR="00823F92" w:rsidRPr="006C4490">
        <w:rPr>
          <w:lang w:val="en-US"/>
        </w:rPr>
        <w:t>e</w:t>
      </w:r>
      <w:r w:rsidR="00823F92">
        <w:rPr>
          <w:lang w:val="en-US"/>
        </w:rPr>
        <w:t xml:space="preserve"> </w:t>
      </w:r>
      <w:r w:rsidRPr="006C4490">
        <w:rPr>
          <w:lang w:val="en-US"/>
        </w:rPr>
        <w:t>Nationa</w:t>
      </w:r>
      <w:r w:rsidR="00823F92" w:rsidRPr="006C4490">
        <w:rPr>
          <w:lang w:val="en-US"/>
        </w:rPr>
        <w:t>l</w:t>
      </w:r>
      <w:r w:rsidR="00823F92">
        <w:rPr>
          <w:lang w:val="en-US"/>
        </w:rPr>
        <w:t xml:space="preserve"> </w:t>
      </w:r>
      <w:r w:rsidRPr="006C4490">
        <w:rPr>
          <w:lang w:val="en-US"/>
        </w:rPr>
        <w:t>Menta</w:t>
      </w:r>
      <w:r w:rsidR="00823F92" w:rsidRPr="006C4490">
        <w:rPr>
          <w:lang w:val="en-US"/>
        </w:rPr>
        <w:t>l</w:t>
      </w:r>
      <w:r w:rsidR="00823F92">
        <w:rPr>
          <w:lang w:val="en-US"/>
        </w:rPr>
        <w:t xml:space="preserve"> </w:t>
      </w:r>
      <w:r w:rsidRPr="006C4490">
        <w:rPr>
          <w:lang w:val="en-US"/>
        </w:rPr>
        <w:t>Healt</w:t>
      </w:r>
      <w:r w:rsidR="00823F92" w:rsidRPr="006C4490">
        <w:rPr>
          <w:lang w:val="en-US"/>
        </w:rPr>
        <w:t>h</w:t>
      </w:r>
      <w:r w:rsidR="00823F92">
        <w:rPr>
          <w:lang w:val="en-US"/>
        </w:rPr>
        <w:t xml:space="preserve"> </w:t>
      </w:r>
      <w:r w:rsidRPr="006C4490">
        <w:rPr>
          <w:lang w:val="en-US"/>
        </w:rPr>
        <w:t>Workforc</w:t>
      </w:r>
      <w:r w:rsidR="00823F92" w:rsidRPr="006C4490">
        <w:rPr>
          <w:lang w:val="en-US"/>
        </w:rPr>
        <w:t>e</w:t>
      </w:r>
      <w:r w:rsidR="00823F92">
        <w:rPr>
          <w:lang w:val="en-US"/>
        </w:rPr>
        <w:t xml:space="preserve"> </w:t>
      </w:r>
      <w:r w:rsidRPr="006C4490">
        <w:rPr>
          <w:lang w:val="en-US"/>
        </w:rPr>
        <w:t>Strateg</w:t>
      </w:r>
      <w:r w:rsidR="00823F92" w:rsidRPr="006C4490">
        <w:rPr>
          <w:lang w:val="en-US"/>
        </w:rPr>
        <w:t>y</w:t>
      </w:r>
      <w:r w:rsidR="00823F92">
        <w:rPr>
          <w:lang w:val="en-US"/>
        </w:rPr>
        <w:t xml:space="preserve"> </w:t>
      </w:r>
      <w:r w:rsidRPr="006C4490">
        <w:rPr>
          <w:lang w:val="en-US"/>
        </w:rPr>
        <w:t>Taskforce</w:t>
      </w:r>
      <w:r w:rsidR="00823F92" w:rsidRPr="006C4490">
        <w:rPr>
          <w:lang w:val="en-US"/>
        </w:rPr>
        <w:t>.</w:t>
      </w:r>
      <w:r w:rsidR="00823F92">
        <w:rPr>
          <w:lang w:val="en-US"/>
        </w:rPr>
        <w:t xml:space="preserve"> </w:t>
      </w:r>
      <w:r>
        <w:rPr>
          <w:lang w:val="en-US"/>
        </w:rPr>
        <w:t>Th</w:t>
      </w:r>
      <w:r w:rsidR="00823F92">
        <w:rPr>
          <w:lang w:val="en-US"/>
        </w:rPr>
        <w:t xml:space="preserve">e </w:t>
      </w:r>
      <w:r>
        <w:rPr>
          <w:lang w:val="en-US"/>
        </w:rPr>
        <w:t>Taskforc</w:t>
      </w:r>
      <w:r w:rsidR="00823F92">
        <w:rPr>
          <w:lang w:val="en-US"/>
        </w:rPr>
        <w:t xml:space="preserve">e </w:t>
      </w:r>
      <w:r>
        <w:rPr>
          <w:lang w:val="en-US"/>
        </w:rPr>
        <w:t>member</w:t>
      </w:r>
      <w:r w:rsidR="00823F92">
        <w:rPr>
          <w:lang w:val="en-US"/>
        </w:rPr>
        <w:t xml:space="preserve">s </w:t>
      </w:r>
      <w:r>
        <w:rPr>
          <w:lang w:val="en-US"/>
        </w:rPr>
        <w:t>ar</w:t>
      </w:r>
      <w:r w:rsidR="00823F92">
        <w:rPr>
          <w:lang w:val="en-US"/>
        </w:rPr>
        <w:t xml:space="preserve">e </w:t>
      </w:r>
      <w:r>
        <w:rPr>
          <w:lang w:val="en-US"/>
        </w:rPr>
        <w:t>liste</w:t>
      </w:r>
      <w:r w:rsidR="00823F92">
        <w:rPr>
          <w:lang w:val="en-US"/>
        </w:rPr>
        <w:t xml:space="preserve">d </w:t>
      </w:r>
      <w:r>
        <w:rPr>
          <w:lang w:val="en-US"/>
        </w:rPr>
        <w:t>below</w:t>
      </w:r>
      <w:r w:rsidR="00823F92">
        <w:rPr>
          <w:lang w:val="en-US"/>
        </w:rPr>
        <w:t xml:space="preserve">, </w:t>
      </w:r>
      <w:r w:rsidR="009D42AE">
        <w:rPr>
          <w:lang w:val="en-US"/>
        </w:rPr>
        <w:t>an</w:t>
      </w:r>
      <w:r w:rsidR="00823F92">
        <w:rPr>
          <w:lang w:val="en-US"/>
        </w:rPr>
        <w:t xml:space="preserve">d </w:t>
      </w:r>
      <w:r w:rsidR="009D42AE">
        <w:rPr>
          <w:lang w:val="en-US"/>
        </w:rPr>
        <w:t>Term</w:t>
      </w:r>
      <w:r w:rsidR="00823F92">
        <w:rPr>
          <w:lang w:val="en-US"/>
        </w:rPr>
        <w:t xml:space="preserve">s </w:t>
      </w:r>
      <w:r w:rsidR="009D42AE">
        <w:rPr>
          <w:lang w:val="en-US"/>
        </w:rPr>
        <w:t>o</w:t>
      </w:r>
      <w:r w:rsidR="00823F92">
        <w:rPr>
          <w:lang w:val="en-US"/>
        </w:rPr>
        <w:t xml:space="preserve">f </w:t>
      </w:r>
      <w:r w:rsidR="009D42AE">
        <w:rPr>
          <w:lang w:val="en-US"/>
        </w:rPr>
        <w:t>Referenc</w:t>
      </w:r>
      <w:r w:rsidR="00823F92">
        <w:rPr>
          <w:lang w:val="en-US"/>
        </w:rPr>
        <w:t xml:space="preserve">e </w:t>
      </w:r>
      <w:r w:rsidR="009D42AE">
        <w:rPr>
          <w:lang w:val="en-US"/>
        </w:rPr>
        <w:t>ar</w:t>
      </w:r>
      <w:r w:rsidR="00823F92">
        <w:rPr>
          <w:lang w:val="en-US"/>
        </w:rPr>
        <w:t xml:space="preserve">e </w:t>
      </w:r>
      <w:r w:rsidR="009D42AE">
        <w:rPr>
          <w:lang w:val="en-US"/>
        </w:rPr>
        <w:t>provide</w:t>
      </w:r>
      <w:r w:rsidR="00823F92">
        <w:rPr>
          <w:lang w:val="en-US"/>
        </w:rPr>
        <w:t xml:space="preserve">d </w:t>
      </w:r>
      <w:r w:rsidR="009D42AE">
        <w:rPr>
          <w:lang w:val="en-US"/>
        </w:rPr>
        <w:t>a</w:t>
      </w:r>
      <w:r w:rsidR="00823F92">
        <w:rPr>
          <w:lang w:val="en-US"/>
        </w:rPr>
        <w:t xml:space="preserve">t </w:t>
      </w:r>
      <w:r w:rsidR="009D42AE">
        <w:rPr>
          <w:lang w:val="en-US"/>
        </w:rPr>
        <w:t>Appendi</w:t>
      </w:r>
      <w:r w:rsidR="00823F92">
        <w:rPr>
          <w:lang w:val="en-US"/>
        </w:rPr>
        <w:t xml:space="preserve">x </w:t>
      </w:r>
      <w:r w:rsidR="009D42AE">
        <w:rPr>
          <w:lang w:val="en-US"/>
        </w:rPr>
        <w:t>A</w:t>
      </w:r>
      <w:r>
        <w:rPr>
          <w:lang w:val="en-US"/>
        </w:rPr>
        <w:t>.</w:t>
      </w:r>
    </w:p>
    <w:p w14:paraId="2621C20A" w14:textId="562C7BA2" w:rsidR="0069382D" w:rsidRPr="00B43488" w:rsidRDefault="0069382D" w:rsidP="0069382D">
      <w:pPr>
        <w:pStyle w:val="ListBullet"/>
        <w:rPr>
          <w:lang w:val="en-US"/>
        </w:rPr>
      </w:pPr>
      <w:r w:rsidRPr="00B43488">
        <w:rPr>
          <w:lang w:val="en-US"/>
        </w:rPr>
        <w:t>Jennife</w:t>
      </w:r>
      <w:r w:rsidR="00823F92" w:rsidRPr="00B43488">
        <w:rPr>
          <w:lang w:val="en-US"/>
        </w:rPr>
        <w:t>r</w:t>
      </w:r>
      <w:r w:rsidR="00823F92">
        <w:rPr>
          <w:lang w:val="en-US"/>
        </w:rPr>
        <w:t xml:space="preserve"> </w:t>
      </w:r>
      <w:r w:rsidRPr="00B43488">
        <w:rPr>
          <w:lang w:val="en-US"/>
        </w:rPr>
        <w:t>Taylo</w:t>
      </w:r>
      <w:r w:rsidR="00823F92" w:rsidRPr="00B43488">
        <w:rPr>
          <w:lang w:val="en-US"/>
        </w:rPr>
        <w:t>r</w:t>
      </w:r>
      <w:r w:rsidR="00823F92">
        <w:rPr>
          <w:lang w:val="en-US"/>
        </w:rPr>
        <w:t xml:space="preserve"> </w:t>
      </w:r>
      <w:r>
        <w:rPr>
          <w:lang w:val="en-US"/>
        </w:rPr>
        <w:t xml:space="preserve">– </w:t>
      </w:r>
      <w:r w:rsidRPr="00B43488">
        <w:rPr>
          <w:lang w:val="en-US"/>
        </w:rPr>
        <w:t>Co-Chair</w:t>
      </w:r>
    </w:p>
    <w:p w14:paraId="71826645" w14:textId="18BDC6AF" w:rsidR="00895FFD" w:rsidRPr="00895FFD" w:rsidRDefault="0069382D" w:rsidP="00895FFD">
      <w:pPr>
        <w:pStyle w:val="ListBullet"/>
        <w:rPr>
          <w:lang w:val="en-US"/>
        </w:rPr>
      </w:pPr>
      <w:r w:rsidRPr="00B43488">
        <w:rPr>
          <w:lang w:val="en-US"/>
        </w:rPr>
        <w:t>Thoma</w:t>
      </w:r>
      <w:r w:rsidR="00823F92" w:rsidRPr="00B43488">
        <w:rPr>
          <w:lang w:val="en-US"/>
        </w:rPr>
        <w:t>s</w:t>
      </w:r>
      <w:r w:rsidR="00823F92">
        <w:rPr>
          <w:lang w:val="en-US"/>
        </w:rPr>
        <w:t xml:space="preserve"> </w:t>
      </w:r>
      <w:r w:rsidRPr="00B43488">
        <w:rPr>
          <w:lang w:val="en-US"/>
        </w:rPr>
        <w:t>Brideso</w:t>
      </w:r>
      <w:r w:rsidR="00823F92" w:rsidRPr="00B43488">
        <w:rPr>
          <w:lang w:val="en-US"/>
        </w:rPr>
        <w:t>n</w:t>
      </w:r>
      <w:r w:rsidR="00823F92">
        <w:rPr>
          <w:lang w:val="en-US"/>
        </w:rPr>
        <w:t xml:space="preserve"> </w:t>
      </w:r>
      <w:r>
        <w:rPr>
          <w:lang w:val="en-US"/>
        </w:rPr>
        <w:t xml:space="preserve">– </w:t>
      </w:r>
      <w:r w:rsidRPr="00B43488">
        <w:rPr>
          <w:lang w:val="en-US"/>
        </w:rPr>
        <w:t>Co-Chair</w:t>
      </w:r>
    </w:p>
    <w:p w14:paraId="4ABFF1DB" w14:textId="375940D0" w:rsidR="003039B9" w:rsidRPr="003039B9" w:rsidRDefault="003039B9" w:rsidP="003039B9">
      <w:pPr>
        <w:pStyle w:val="ListBullet"/>
        <w:rPr>
          <w:lang w:val="en-US"/>
        </w:rPr>
      </w:pPr>
      <w:r w:rsidRPr="003039B9">
        <w:rPr>
          <w:lang w:val="en-US"/>
        </w:rPr>
        <w:t>Bil</w:t>
      </w:r>
      <w:r w:rsidR="00823F92" w:rsidRPr="003039B9">
        <w:rPr>
          <w:lang w:val="en-US"/>
        </w:rPr>
        <w:t>l</w:t>
      </w:r>
      <w:r w:rsidR="00823F92">
        <w:rPr>
          <w:lang w:val="en-US"/>
        </w:rPr>
        <w:t xml:space="preserve"> </w:t>
      </w:r>
      <w:r w:rsidRPr="003039B9">
        <w:rPr>
          <w:lang w:val="en-US"/>
        </w:rPr>
        <w:t>Gy</w:t>
      </w:r>
      <w:r w:rsidR="00823F92" w:rsidRPr="003039B9">
        <w:rPr>
          <w:lang w:val="en-US"/>
        </w:rPr>
        <w:t>e</w:t>
      </w:r>
      <w:r w:rsidR="00823F92">
        <w:rPr>
          <w:lang w:val="en-US"/>
        </w:rPr>
        <w:t xml:space="preserve"> </w:t>
      </w:r>
      <w:r w:rsidRPr="003039B9">
        <w:rPr>
          <w:lang w:val="en-US"/>
        </w:rPr>
        <w:t>– Communit</w:t>
      </w:r>
      <w:r w:rsidR="00823F92" w:rsidRPr="003039B9">
        <w:rPr>
          <w:lang w:val="en-US"/>
        </w:rPr>
        <w:t>y</w:t>
      </w:r>
      <w:r w:rsidR="00823F92">
        <w:rPr>
          <w:lang w:val="en-US"/>
        </w:rPr>
        <w:t xml:space="preserve"> </w:t>
      </w:r>
      <w:r w:rsidRPr="003039B9">
        <w:rPr>
          <w:lang w:val="en-US"/>
        </w:rPr>
        <w:t>Menta</w:t>
      </w:r>
      <w:r w:rsidR="00823F92" w:rsidRPr="003039B9">
        <w:rPr>
          <w:lang w:val="en-US"/>
        </w:rPr>
        <w:t>l</w:t>
      </w:r>
      <w:r w:rsidR="00823F92">
        <w:rPr>
          <w:lang w:val="en-US"/>
        </w:rPr>
        <w:t xml:space="preserve"> </w:t>
      </w:r>
      <w:r w:rsidRPr="003039B9">
        <w:rPr>
          <w:lang w:val="en-US"/>
        </w:rPr>
        <w:t>Healt</w:t>
      </w:r>
      <w:r w:rsidR="00823F92" w:rsidRPr="003039B9">
        <w:rPr>
          <w:lang w:val="en-US"/>
        </w:rPr>
        <w:t>h</w:t>
      </w:r>
      <w:r w:rsidR="00823F92">
        <w:rPr>
          <w:lang w:val="en-US"/>
        </w:rPr>
        <w:t xml:space="preserve"> </w:t>
      </w:r>
      <w:r w:rsidRPr="003039B9">
        <w:rPr>
          <w:lang w:val="en-US"/>
        </w:rPr>
        <w:t>Australia</w:t>
      </w:r>
    </w:p>
    <w:p w14:paraId="40AE2FA2" w14:textId="01774266" w:rsidR="003039B9" w:rsidRPr="003039B9" w:rsidRDefault="003039B9" w:rsidP="003039B9">
      <w:pPr>
        <w:pStyle w:val="ListBullet"/>
        <w:rPr>
          <w:lang w:val="en-US"/>
        </w:rPr>
      </w:pPr>
      <w:r w:rsidRPr="003039B9">
        <w:rPr>
          <w:lang w:val="en-US"/>
        </w:rPr>
        <w:t>D</w:t>
      </w:r>
      <w:r w:rsidR="00823F92" w:rsidRPr="003039B9">
        <w:rPr>
          <w:lang w:val="en-US"/>
        </w:rPr>
        <w:t>i</w:t>
      </w:r>
      <w:r w:rsidR="00823F92">
        <w:rPr>
          <w:lang w:val="en-US"/>
        </w:rPr>
        <w:t xml:space="preserve"> </w:t>
      </w:r>
      <w:r w:rsidRPr="003039B9">
        <w:rPr>
          <w:lang w:val="en-US"/>
        </w:rPr>
        <w:t>Sto</w:t>
      </w:r>
      <w:r w:rsidR="00823F92" w:rsidRPr="003039B9">
        <w:rPr>
          <w:lang w:val="en-US"/>
        </w:rPr>
        <w:t>w</w:t>
      </w:r>
      <w:r w:rsidR="00823F92">
        <w:rPr>
          <w:lang w:val="en-US"/>
        </w:rPr>
        <w:t xml:space="preserve"> </w:t>
      </w:r>
      <w:r w:rsidRPr="003039B9">
        <w:rPr>
          <w:lang w:val="en-US"/>
        </w:rPr>
        <w:t>– Australia</w:t>
      </w:r>
      <w:r w:rsidR="00823F92" w:rsidRPr="003039B9">
        <w:rPr>
          <w:lang w:val="en-US"/>
        </w:rPr>
        <w:t>n</w:t>
      </w:r>
      <w:r w:rsidR="00823F92">
        <w:rPr>
          <w:lang w:val="en-US"/>
        </w:rPr>
        <w:t xml:space="preserve"> </w:t>
      </w:r>
      <w:r w:rsidRPr="003039B9">
        <w:rPr>
          <w:lang w:val="en-US"/>
        </w:rPr>
        <w:t>Registe</w:t>
      </w:r>
      <w:r w:rsidR="00823F92" w:rsidRPr="003039B9">
        <w:rPr>
          <w:lang w:val="en-US"/>
        </w:rPr>
        <w:t>r</w:t>
      </w:r>
      <w:r w:rsidR="00823F92">
        <w:rPr>
          <w:lang w:val="en-US"/>
        </w:rPr>
        <w:t xml:space="preserve"> </w:t>
      </w:r>
      <w:r w:rsidRPr="003039B9">
        <w:rPr>
          <w:lang w:val="en-US"/>
        </w:rPr>
        <w:t>o</w:t>
      </w:r>
      <w:r w:rsidR="00823F92" w:rsidRPr="003039B9">
        <w:rPr>
          <w:lang w:val="en-US"/>
        </w:rPr>
        <w:t>f</w:t>
      </w:r>
      <w:r w:rsidR="00823F92">
        <w:rPr>
          <w:lang w:val="en-US"/>
        </w:rPr>
        <w:t xml:space="preserve"> </w:t>
      </w:r>
      <w:r w:rsidRPr="003039B9">
        <w:rPr>
          <w:lang w:val="en-US"/>
        </w:rPr>
        <w:t>Counsellor</w:t>
      </w:r>
      <w:r w:rsidR="00823F92" w:rsidRPr="003039B9">
        <w:rPr>
          <w:lang w:val="en-US"/>
        </w:rPr>
        <w:t>s</w:t>
      </w:r>
      <w:r w:rsidR="00823F92">
        <w:rPr>
          <w:lang w:val="en-US"/>
        </w:rPr>
        <w:t xml:space="preserve"> </w:t>
      </w:r>
      <w:r w:rsidRPr="003039B9">
        <w:rPr>
          <w:lang w:val="en-US"/>
        </w:rPr>
        <w:t>an</w:t>
      </w:r>
      <w:r w:rsidR="00823F92" w:rsidRPr="003039B9">
        <w:rPr>
          <w:lang w:val="en-US"/>
        </w:rPr>
        <w:t>d</w:t>
      </w:r>
      <w:r w:rsidR="00823F92">
        <w:rPr>
          <w:lang w:val="en-US"/>
        </w:rPr>
        <w:t xml:space="preserve"> </w:t>
      </w:r>
      <w:r w:rsidRPr="003039B9">
        <w:rPr>
          <w:lang w:val="en-US"/>
        </w:rPr>
        <w:t>Psychotherapists</w:t>
      </w:r>
    </w:p>
    <w:p w14:paraId="756621DB" w14:textId="2F75E173" w:rsidR="003039B9" w:rsidRPr="003039B9" w:rsidRDefault="003039B9" w:rsidP="003039B9">
      <w:pPr>
        <w:pStyle w:val="ListBullet"/>
        <w:rPr>
          <w:lang w:val="en-US"/>
        </w:rPr>
      </w:pPr>
      <w:r w:rsidRPr="003039B9">
        <w:rPr>
          <w:lang w:val="en-US"/>
        </w:rPr>
        <w:t>Fay</w:t>
      </w:r>
      <w:r w:rsidR="00823F92" w:rsidRPr="003039B9">
        <w:rPr>
          <w:lang w:val="en-US"/>
        </w:rPr>
        <w:t>e</w:t>
      </w:r>
      <w:r w:rsidR="00823F92">
        <w:rPr>
          <w:lang w:val="en-US"/>
        </w:rPr>
        <w:t xml:space="preserve"> </w:t>
      </w:r>
      <w:r w:rsidRPr="003039B9">
        <w:rPr>
          <w:lang w:val="en-US"/>
        </w:rPr>
        <w:t>McMilla</w:t>
      </w:r>
      <w:r w:rsidR="00823F92" w:rsidRPr="003039B9">
        <w:rPr>
          <w:lang w:val="en-US"/>
        </w:rPr>
        <w:t>n</w:t>
      </w:r>
      <w:r w:rsidR="00823F92">
        <w:rPr>
          <w:lang w:val="en-US"/>
        </w:rPr>
        <w:t xml:space="preserve"> </w:t>
      </w:r>
      <w:r w:rsidRPr="003039B9">
        <w:rPr>
          <w:lang w:val="en-US"/>
        </w:rPr>
        <w:t>– Aborigina</w:t>
      </w:r>
      <w:r w:rsidR="00823F92" w:rsidRPr="003039B9">
        <w:rPr>
          <w:lang w:val="en-US"/>
        </w:rPr>
        <w:t>l</w:t>
      </w:r>
      <w:r w:rsidR="00823F92">
        <w:rPr>
          <w:lang w:val="en-US"/>
        </w:rPr>
        <w:t xml:space="preserve"> </w:t>
      </w:r>
      <w:r w:rsidRPr="003039B9">
        <w:rPr>
          <w:lang w:val="en-US"/>
        </w:rPr>
        <w:t>an</w:t>
      </w:r>
      <w:r w:rsidR="00823F92" w:rsidRPr="003039B9">
        <w:rPr>
          <w:lang w:val="en-US"/>
        </w:rPr>
        <w:t>d</w:t>
      </w:r>
      <w:r w:rsidR="00823F92">
        <w:rPr>
          <w:lang w:val="en-US"/>
        </w:rPr>
        <w:t xml:space="preserve"> </w:t>
      </w:r>
      <w:r w:rsidRPr="003039B9">
        <w:rPr>
          <w:lang w:val="en-US"/>
        </w:rPr>
        <w:t>Torre</w:t>
      </w:r>
      <w:r w:rsidR="00823F92" w:rsidRPr="003039B9">
        <w:rPr>
          <w:lang w:val="en-US"/>
        </w:rPr>
        <w:t>s</w:t>
      </w:r>
      <w:r w:rsidR="00823F92">
        <w:rPr>
          <w:lang w:val="en-US"/>
        </w:rPr>
        <w:t xml:space="preserve"> </w:t>
      </w:r>
      <w:r w:rsidRPr="003039B9">
        <w:rPr>
          <w:lang w:val="en-US"/>
        </w:rPr>
        <w:t>Strai</w:t>
      </w:r>
      <w:r w:rsidR="00823F92" w:rsidRPr="003039B9">
        <w:rPr>
          <w:lang w:val="en-US"/>
        </w:rPr>
        <w:t>t</w:t>
      </w:r>
      <w:r w:rsidR="00823F92">
        <w:rPr>
          <w:lang w:val="en-US"/>
        </w:rPr>
        <w:t xml:space="preserve"> </w:t>
      </w:r>
      <w:r w:rsidRPr="003039B9">
        <w:rPr>
          <w:lang w:val="en-US"/>
        </w:rPr>
        <w:t>Islande</w:t>
      </w:r>
      <w:r w:rsidR="00823F92" w:rsidRPr="003039B9">
        <w:rPr>
          <w:lang w:val="en-US"/>
        </w:rPr>
        <w:t>r</w:t>
      </w:r>
      <w:r w:rsidR="00823F92">
        <w:rPr>
          <w:lang w:val="en-US"/>
        </w:rPr>
        <w:t xml:space="preserve"> </w:t>
      </w:r>
      <w:r w:rsidRPr="003039B9">
        <w:rPr>
          <w:lang w:val="en-US"/>
        </w:rPr>
        <w:t>Menta</w:t>
      </w:r>
      <w:r w:rsidR="00823F92" w:rsidRPr="003039B9">
        <w:rPr>
          <w:lang w:val="en-US"/>
        </w:rPr>
        <w:t>l</w:t>
      </w:r>
      <w:r w:rsidR="00823F92">
        <w:rPr>
          <w:lang w:val="en-US"/>
        </w:rPr>
        <w:t xml:space="preserve"> </w:t>
      </w:r>
      <w:r w:rsidRPr="003039B9">
        <w:rPr>
          <w:lang w:val="en-US"/>
        </w:rPr>
        <w:t>Healt</w:t>
      </w:r>
      <w:r w:rsidR="00823F92" w:rsidRPr="003039B9">
        <w:rPr>
          <w:lang w:val="en-US"/>
        </w:rPr>
        <w:t>h</w:t>
      </w:r>
      <w:r w:rsidR="00823F92">
        <w:rPr>
          <w:lang w:val="en-US"/>
        </w:rPr>
        <w:t xml:space="preserve"> </w:t>
      </w:r>
      <w:r w:rsidRPr="003039B9">
        <w:rPr>
          <w:lang w:val="en-US"/>
        </w:rPr>
        <w:t>an</w:t>
      </w:r>
      <w:r w:rsidR="00823F92" w:rsidRPr="003039B9">
        <w:rPr>
          <w:lang w:val="en-US"/>
        </w:rPr>
        <w:t>d</w:t>
      </w:r>
      <w:r w:rsidR="00823F92">
        <w:rPr>
          <w:lang w:val="en-US"/>
        </w:rPr>
        <w:t xml:space="preserve"> </w:t>
      </w:r>
      <w:r w:rsidRPr="003039B9">
        <w:rPr>
          <w:lang w:val="en-US"/>
        </w:rPr>
        <w:t>Suicid</w:t>
      </w:r>
      <w:r w:rsidR="00823F92" w:rsidRPr="003039B9">
        <w:rPr>
          <w:lang w:val="en-US"/>
        </w:rPr>
        <w:t>e</w:t>
      </w:r>
      <w:r w:rsidR="00823F92">
        <w:rPr>
          <w:lang w:val="en-US"/>
        </w:rPr>
        <w:t xml:space="preserve"> </w:t>
      </w:r>
      <w:r w:rsidRPr="003039B9">
        <w:rPr>
          <w:lang w:val="en-US"/>
        </w:rPr>
        <w:t>Preventio</w:t>
      </w:r>
      <w:r w:rsidR="00823F92" w:rsidRPr="003039B9">
        <w:rPr>
          <w:lang w:val="en-US"/>
        </w:rPr>
        <w:t>n</w:t>
      </w:r>
      <w:r w:rsidR="00823F92">
        <w:rPr>
          <w:lang w:val="en-US"/>
        </w:rPr>
        <w:t xml:space="preserve"> </w:t>
      </w:r>
      <w:r w:rsidRPr="003039B9">
        <w:rPr>
          <w:lang w:val="en-US"/>
        </w:rPr>
        <w:t>Projec</w:t>
      </w:r>
      <w:r w:rsidR="00823F92" w:rsidRPr="003039B9">
        <w:rPr>
          <w:lang w:val="en-US"/>
        </w:rPr>
        <w:t>t</w:t>
      </w:r>
      <w:r w:rsidR="00823F92">
        <w:rPr>
          <w:lang w:val="en-US"/>
        </w:rPr>
        <w:t xml:space="preserve"> </w:t>
      </w:r>
      <w:r w:rsidRPr="003039B9">
        <w:rPr>
          <w:lang w:val="en-US"/>
        </w:rPr>
        <w:t>Referenc</w:t>
      </w:r>
      <w:r w:rsidR="00823F92" w:rsidRPr="003039B9">
        <w:rPr>
          <w:lang w:val="en-US"/>
        </w:rPr>
        <w:t>e</w:t>
      </w:r>
      <w:r w:rsidR="00823F92">
        <w:rPr>
          <w:lang w:val="en-US"/>
        </w:rPr>
        <w:t xml:space="preserve"> </w:t>
      </w:r>
      <w:r w:rsidRPr="003039B9">
        <w:rPr>
          <w:lang w:val="en-US"/>
        </w:rPr>
        <w:t>Grou</w:t>
      </w:r>
      <w:r w:rsidR="00823F92" w:rsidRPr="003039B9">
        <w:rPr>
          <w:lang w:val="en-US"/>
        </w:rPr>
        <w:t>p</w:t>
      </w:r>
      <w:r w:rsidR="00823F92">
        <w:rPr>
          <w:lang w:val="en-US"/>
        </w:rPr>
        <w:t xml:space="preserve"> </w:t>
      </w:r>
      <w:r w:rsidRPr="003039B9">
        <w:rPr>
          <w:lang w:val="en-US"/>
        </w:rPr>
        <w:t>representative</w:t>
      </w:r>
    </w:p>
    <w:p w14:paraId="6A2DBDC0" w14:textId="356542C6" w:rsidR="003039B9" w:rsidRPr="003039B9" w:rsidRDefault="003039B9" w:rsidP="003039B9">
      <w:pPr>
        <w:pStyle w:val="ListBullet"/>
        <w:rPr>
          <w:lang w:val="en-US"/>
        </w:rPr>
      </w:pPr>
      <w:r w:rsidRPr="003039B9">
        <w:rPr>
          <w:lang w:val="en-US"/>
        </w:rPr>
        <w:t>Gabriell</w:t>
      </w:r>
      <w:r w:rsidR="00823F92" w:rsidRPr="003039B9">
        <w:rPr>
          <w:lang w:val="en-US"/>
        </w:rPr>
        <w:t>e</w:t>
      </w:r>
      <w:r w:rsidR="00823F92">
        <w:rPr>
          <w:lang w:val="en-US"/>
        </w:rPr>
        <w:t xml:space="preserve"> </w:t>
      </w:r>
      <w:r w:rsidRPr="003039B9">
        <w:rPr>
          <w:lang w:val="en-US"/>
        </w:rPr>
        <w:t>O’Kan</w:t>
      </w:r>
      <w:r w:rsidR="00823F92" w:rsidRPr="003039B9">
        <w:rPr>
          <w:lang w:val="en-US"/>
        </w:rPr>
        <w:t>e</w:t>
      </w:r>
      <w:r w:rsidR="00823F92">
        <w:rPr>
          <w:lang w:val="en-US"/>
        </w:rPr>
        <w:t xml:space="preserve"> </w:t>
      </w:r>
      <w:r w:rsidRPr="003039B9">
        <w:rPr>
          <w:lang w:val="en-US"/>
        </w:rPr>
        <w:t>– Nationa</w:t>
      </w:r>
      <w:r w:rsidR="00823F92" w:rsidRPr="003039B9">
        <w:rPr>
          <w:lang w:val="en-US"/>
        </w:rPr>
        <w:t>l</w:t>
      </w:r>
      <w:r w:rsidR="00823F92">
        <w:rPr>
          <w:lang w:val="en-US"/>
        </w:rPr>
        <w:t xml:space="preserve"> </w:t>
      </w:r>
      <w:r w:rsidRPr="003039B9">
        <w:rPr>
          <w:lang w:val="en-US"/>
        </w:rPr>
        <w:t>Rura</w:t>
      </w:r>
      <w:r w:rsidR="00823F92" w:rsidRPr="003039B9">
        <w:rPr>
          <w:lang w:val="en-US"/>
        </w:rPr>
        <w:t>l</w:t>
      </w:r>
      <w:r w:rsidR="00823F92">
        <w:rPr>
          <w:lang w:val="en-US"/>
        </w:rPr>
        <w:t xml:space="preserve"> </w:t>
      </w:r>
      <w:r w:rsidRPr="003039B9">
        <w:rPr>
          <w:lang w:val="en-US"/>
        </w:rPr>
        <w:t>Healt</w:t>
      </w:r>
      <w:r w:rsidR="00823F92" w:rsidRPr="003039B9">
        <w:rPr>
          <w:lang w:val="en-US"/>
        </w:rPr>
        <w:t>h</w:t>
      </w:r>
      <w:r w:rsidR="00823F92">
        <w:rPr>
          <w:lang w:val="en-US"/>
        </w:rPr>
        <w:t xml:space="preserve"> </w:t>
      </w:r>
      <w:r w:rsidRPr="003039B9">
        <w:rPr>
          <w:lang w:val="en-US"/>
        </w:rPr>
        <w:t>Alliance</w:t>
      </w:r>
    </w:p>
    <w:p w14:paraId="77D55DDE" w14:textId="4F052856" w:rsidR="003039B9" w:rsidRPr="003039B9" w:rsidRDefault="003039B9" w:rsidP="003039B9">
      <w:pPr>
        <w:pStyle w:val="ListBullet"/>
        <w:rPr>
          <w:lang w:val="en-US"/>
        </w:rPr>
      </w:pPr>
      <w:r w:rsidRPr="003039B9">
        <w:rPr>
          <w:lang w:val="en-US"/>
        </w:rPr>
        <w:t>Geneviev</w:t>
      </w:r>
      <w:r w:rsidR="00823F92" w:rsidRPr="003039B9">
        <w:rPr>
          <w:lang w:val="en-US"/>
        </w:rPr>
        <w:t>e</w:t>
      </w:r>
      <w:r w:rsidR="00823F92">
        <w:rPr>
          <w:lang w:val="en-US"/>
        </w:rPr>
        <w:t xml:space="preserve"> </w:t>
      </w:r>
      <w:r w:rsidRPr="003039B9">
        <w:rPr>
          <w:lang w:val="en-US"/>
        </w:rPr>
        <w:t>Pepi</w:t>
      </w:r>
      <w:r w:rsidR="00823F92" w:rsidRPr="003039B9">
        <w:rPr>
          <w:lang w:val="en-US"/>
        </w:rPr>
        <w:t>n</w:t>
      </w:r>
      <w:r w:rsidR="00823F92">
        <w:rPr>
          <w:lang w:val="en-US"/>
        </w:rPr>
        <w:t xml:space="preserve"> </w:t>
      </w:r>
      <w:r w:rsidRPr="003039B9">
        <w:rPr>
          <w:lang w:val="en-US"/>
        </w:rPr>
        <w:t>– Australia</w:t>
      </w:r>
      <w:r w:rsidR="00823F92" w:rsidRPr="003039B9">
        <w:rPr>
          <w:lang w:val="en-US"/>
        </w:rPr>
        <w:t>n</w:t>
      </w:r>
      <w:r w:rsidR="00823F92">
        <w:rPr>
          <w:lang w:val="en-US"/>
        </w:rPr>
        <w:t xml:space="preserve"> </w:t>
      </w:r>
      <w:r w:rsidRPr="003039B9">
        <w:rPr>
          <w:lang w:val="en-US"/>
        </w:rPr>
        <w:t>Counci</w:t>
      </w:r>
      <w:r w:rsidR="00823F92" w:rsidRPr="003039B9">
        <w:rPr>
          <w:lang w:val="en-US"/>
        </w:rPr>
        <w:t>l</w:t>
      </w:r>
      <w:r w:rsidR="00823F92">
        <w:rPr>
          <w:lang w:val="en-US"/>
        </w:rPr>
        <w:t xml:space="preserve"> </w:t>
      </w:r>
      <w:r w:rsidRPr="003039B9">
        <w:rPr>
          <w:lang w:val="en-US"/>
        </w:rPr>
        <w:t>o</w:t>
      </w:r>
      <w:r w:rsidR="00823F92" w:rsidRPr="003039B9">
        <w:rPr>
          <w:lang w:val="en-US"/>
        </w:rPr>
        <w:t>f</w:t>
      </w:r>
      <w:r w:rsidR="00823F92">
        <w:rPr>
          <w:lang w:val="en-US"/>
        </w:rPr>
        <w:t xml:space="preserve"> </w:t>
      </w:r>
      <w:r w:rsidRPr="003039B9">
        <w:rPr>
          <w:lang w:val="en-US"/>
        </w:rPr>
        <w:t>Dean</w:t>
      </w:r>
      <w:r w:rsidR="00823F92" w:rsidRPr="003039B9">
        <w:rPr>
          <w:lang w:val="en-US"/>
        </w:rPr>
        <w:t>s</w:t>
      </w:r>
      <w:r w:rsidR="00823F92">
        <w:rPr>
          <w:lang w:val="en-US"/>
        </w:rPr>
        <w:t xml:space="preserve"> </w:t>
      </w:r>
      <w:r w:rsidRPr="003039B9">
        <w:rPr>
          <w:lang w:val="en-US"/>
        </w:rPr>
        <w:t>o</w:t>
      </w:r>
      <w:r w:rsidR="00823F92" w:rsidRPr="003039B9">
        <w:rPr>
          <w:lang w:val="en-US"/>
        </w:rPr>
        <w:t>f</w:t>
      </w:r>
      <w:r w:rsidR="00823F92">
        <w:rPr>
          <w:lang w:val="en-US"/>
        </w:rPr>
        <w:t xml:space="preserve"> </w:t>
      </w:r>
      <w:r w:rsidRPr="003039B9">
        <w:rPr>
          <w:lang w:val="en-US"/>
        </w:rPr>
        <w:t>Healt</w:t>
      </w:r>
      <w:r w:rsidR="00823F92" w:rsidRPr="003039B9">
        <w:rPr>
          <w:lang w:val="en-US"/>
        </w:rPr>
        <w:t>h</w:t>
      </w:r>
      <w:r w:rsidR="00823F92">
        <w:rPr>
          <w:lang w:val="en-US"/>
        </w:rPr>
        <w:t xml:space="preserve"> </w:t>
      </w:r>
      <w:r w:rsidRPr="003039B9">
        <w:rPr>
          <w:lang w:val="en-US"/>
        </w:rPr>
        <w:t>Sciences</w:t>
      </w:r>
    </w:p>
    <w:p w14:paraId="4F7EF5CC" w14:textId="07E5DEDA" w:rsidR="003039B9" w:rsidRPr="003039B9" w:rsidRDefault="003039B9" w:rsidP="003039B9">
      <w:pPr>
        <w:pStyle w:val="ListBullet"/>
        <w:rPr>
          <w:lang w:val="en-US"/>
        </w:rPr>
      </w:pPr>
      <w:r w:rsidRPr="003039B9">
        <w:rPr>
          <w:lang w:val="en-US"/>
        </w:rPr>
        <w:t>Heathe</w:t>
      </w:r>
      <w:r w:rsidR="00823F92" w:rsidRPr="003039B9">
        <w:rPr>
          <w:lang w:val="en-US"/>
        </w:rPr>
        <w:t>r</w:t>
      </w:r>
      <w:r w:rsidR="00823F92">
        <w:rPr>
          <w:lang w:val="en-US"/>
        </w:rPr>
        <w:t xml:space="preserve"> </w:t>
      </w:r>
      <w:r w:rsidRPr="003039B9">
        <w:rPr>
          <w:lang w:val="en-US"/>
        </w:rPr>
        <w:t>Nowa</w:t>
      </w:r>
      <w:r w:rsidR="00823F92" w:rsidRPr="003039B9">
        <w:rPr>
          <w:lang w:val="en-US"/>
        </w:rPr>
        <w:t>k</w:t>
      </w:r>
      <w:r w:rsidR="00823F92">
        <w:rPr>
          <w:lang w:val="en-US"/>
        </w:rPr>
        <w:t xml:space="preserve"> </w:t>
      </w:r>
      <w:r w:rsidRPr="003039B9">
        <w:rPr>
          <w:lang w:val="en-US"/>
        </w:rPr>
        <w:t>– Consume</w:t>
      </w:r>
      <w:r w:rsidR="00823F92" w:rsidRPr="003039B9">
        <w:rPr>
          <w:lang w:val="en-US"/>
        </w:rPr>
        <w:t>r</w:t>
      </w:r>
      <w:r w:rsidR="00823F92">
        <w:rPr>
          <w:lang w:val="en-US"/>
        </w:rPr>
        <w:t xml:space="preserve"> </w:t>
      </w:r>
      <w:r w:rsidRPr="003039B9">
        <w:rPr>
          <w:lang w:val="en-US"/>
        </w:rPr>
        <w:t>representative</w:t>
      </w:r>
    </w:p>
    <w:p w14:paraId="54A87F88" w14:textId="436CC9B1" w:rsidR="003039B9" w:rsidRPr="003039B9" w:rsidRDefault="003039B9" w:rsidP="003039B9">
      <w:pPr>
        <w:pStyle w:val="ListBullet"/>
        <w:rPr>
          <w:lang w:val="en-US"/>
        </w:rPr>
      </w:pPr>
      <w:r w:rsidRPr="003039B9">
        <w:rPr>
          <w:lang w:val="en-US"/>
        </w:rPr>
        <w:t>Jef</w:t>
      </w:r>
      <w:r w:rsidR="00823F92" w:rsidRPr="003039B9">
        <w:rPr>
          <w:lang w:val="en-US"/>
        </w:rPr>
        <w:t>f</w:t>
      </w:r>
      <w:r w:rsidR="00823F92">
        <w:rPr>
          <w:lang w:val="en-US"/>
        </w:rPr>
        <w:t xml:space="preserve"> </w:t>
      </w:r>
      <w:r w:rsidRPr="003039B9">
        <w:rPr>
          <w:lang w:val="en-US"/>
        </w:rPr>
        <w:t>Borlan</w:t>
      </w:r>
      <w:r w:rsidR="00823F92" w:rsidRPr="003039B9">
        <w:rPr>
          <w:lang w:val="en-US"/>
        </w:rPr>
        <w:t>d</w:t>
      </w:r>
      <w:r w:rsidR="00823F92">
        <w:rPr>
          <w:lang w:val="en-US"/>
        </w:rPr>
        <w:t xml:space="preserve"> </w:t>
      </w:r>
      <w:r w:rsidRPr="003039B9">
        <w:rPr>
          <w:lang w:val="en-US"/>
        </w:rPr>
        <w:t xml:space="preserve">– </w:t>
      </w:r>
      <w:proofErr w:type="spellStart"/>
      <w:r w:rsidRPr="003039B9">
        <w:rPr>
          <w:lang w:val="en-US"/>
        </w:rPr>
        <w:t>Labou</w:t>
      </w:r>
      <w:r w:rsidR="00823F92" w:rsidRPr="003039B9">
        <w:rPr>
          <w:lang w:val="en-US"/>
        </w:rPr>
        <w:t>r</w:t>
      </w:r>
      <w:proofErr w:type="spellEnd"/>
      <w:r w:rsidR="00823F92">
        <w:rPr>
          <w:lang w:val="en-US"/>
        </w:rPr>
        <w:t xml:space="preserve"> </w:t>
      </w:r>
      <w:r w:rsidRPr="003039B9">
        <w:rPr>
          <w:lang w:val="en-US"/>
        </w:rPr>
        <w:t>Marke</w:t>
      </w:r>
      <w:r w:rsidR="00823F92" w:rsidRPr="003039B9">
        <w:rPr>
          <w:lang w:val="en-US"/>
        </w:rPr>
        <w:t>t</w:t>
      </w:r>
      <w:r w:rsidR="00823F92">
        <w:rPr>
          <w:lang w:val="en-US"/>
        </w:rPr>
        <w:t xml:space="preserve"> </w:t>
      </w:r>
      <w:r w:rsidRPr="003039B9">
        <w:rPr>
          <w:lang w:val="en-US"/>
        </w:rPr>
        <w:t>expert</w:t>
      </w:r>
    </w:p>
    <w:p w14:paraId="5F3157E0" w14:textId="21509D1A" w:rsidR="003039B9" w:rsidRPr="003039B9" w:rsidRDefault="003039B9" w:rsidP="003039B9">
      <w:pPr>
        <w:pStyle w:val="ListBullet"/>
        <w:rPr>
          <w:lang w:val="en-US"/>
        </w:rPr>
      </w:pPr>
      <w:r w:rsidRPr="003039B9">
        <w:rPr>
          <w:lang w:val="en-US"/>
        </w:rPr>
        <w:t>Joh</w:t>
      </w:r>
      <w:r w:rsidR="00823F92" w:rsidRPr="003039B9">
        <w:rPr>
          <w:lang w:val="en-US"/>
        </w:rPr>
        <w:t>n</w:t>
      </w:r>
      <w:r w:rsidR="00823F92">
        <w:rPr>
          <w:lang w:val="en-US"/>
        </w:rPr>
        <w:t xml:space="preserve"> </w:t>
      </w:r>
      <w:r w:rsidRPr="003039B9">
        <w:rPr>
          <w:lang w:val="en-US"/>
        </w:rPr>
        <w:t>Alla</w:t>
      </w:r>
      <w:r w:rsidR="00823F92" w:rsidRPr="003039B9">
        <w:rPr>
          <w:lang w:val="en-US"/>
        </w:rPr>
        <w:t>n</w:t>
      </w:r>
      <w:r w:rsidR="00823F92">
        <w:rPr>
          <w:lang w:val="en-US"/>
        </w:rPr>
        <w:t xml:space="preserve"> </w:t>
      </w:r>
      <w:r w:rsidRPr="003039B9">
        <w:rPr>
          <w:lang w:val="en-US"/>
        </w:rPr>
        <w:t>– Roya</w:t>
      </w:r>
      <w:r w:rsidR="00823F92" w:rsidRPr="003039B9">
        <w:rPr>
          <w:lang w:val="en-US"/>
        </w:rPr>
        <w:t>l</w:t>
      </w:r>
      <w:r w:rsidR="00823F92">
        <w:rPr>
          <w:lang w:val="en-US"/>
        </w:rPr>
        <w:t xml:space="preserve"> </w:t>
      </w:r>
      <w:r w:rsidRPr="003039B9">
        <w:rPr>
          <w:lang w:val="en-US"/>
        </w:rPr>
        <w:t>Australia</w:t>
      </w:r>
      <w:r w:rsidR="00823F92" w:rsidRPr="003039B9">
        <w:rPr>
          <w:lang w:val="en-US"/>
        </w:rPr>
        <w:t>n</w:t>
      </w:r>
      <w:r w:rsidR="00823F92">
        <w:rPr>
          <w:lang w:val="en-US"/>
        </w:rPr>
        <w:t xml:space="preserve"> </w:t>
      </w:r>
      <w:r w:rsidRPr="003039B9">
        <w:rPr>
          <w:lang w:val="en-US"/>
        </w:rPr>
        <w:t>an</w:t>
      </w:r>
      <w:r w:rsidR="00823F92" w:rsidRPr="003039B9">
        <w:rPr>
          <w:lang w:val="en-US"/>
        </w:rPr>
        <w:t>d</w:t>
      </w:r>
      <w:r w:rsidR="00823F92">
        <w:rPr>
          <w:lang w:val="en-US"/>
        </w:rPr>
        <w:t xml:space="preserve"> </w:t>
      </w:r>
      <w:r w:rsidRPr="003039B9">
        <w:rPr>
          <w:lang w:val="en-US"/>
        </w:rPr>
        <w:t>Ne</w:t>
      </w:r>
      <w:r w:rsidR="00823F92" w:rsidRPr="003039B9">
        <w:rPr>
          <w:lang w:val="en-US"/>
        </w:rPr>
        <w:t>w</w:t>
      </w:r>
      <w:r w:rsidR="00823F92">
        <w:rPr>
          <w:lang w:val="en-US"/>
        </w:rPr>
        <w:t xml:space="preserve"> </w:t>
      </w:r>
      <w:r w:rsidRPr="003039B9">
        <w:rPr>
          <w:lang w:val="en-US"/>
        </w:rPr>
        <w:t>Zealan</w:t>
      </w:r>
      <w:r w:rsidR="00823F92" w:rsidRPr="003039B9">
        <w:rPr>
          <w:lang w:val="en-US"/>
        </w:rPr>
        <w:t>d</w:t>
      </w:r>
      <w:r w:rsidR="00823F92">
        <w:rPr>
          <w:lang w:val="en-US"/>
        </w:rPr>
        <w:t xml:space="preserve"> </w:t>
      </w:r>
      <w:r w:rsidRPr="003039B9">
        <w:rPr>
          <w:lang w:val="en-US"/>
        </w:rPr>
        <w:t>Colleg</w:t>
      </w:r>
      <w:r w:rsidR="00823F92" w:rsidRPr="003039B9">
        <w:rPr>
          <w:lang w:val="en-US"/>
        </w:rPr>
        <w:t>e</w:t>
      </w:r>
      <w:r w:rsidR="00823F92">
        <w:rPr>
          <w:lang w:val="en-US"/>
        </w:rPr>
        <w:t xml:space="preserve"> </w:t>
      </w:r>
      <w:r w:rsidRPr="003039B9">
        <w:rPr>
          <w:lang w:val="en-US"/>
        </w:rPr>
        <w:t>o</w:t>
      </w:r>
      <w:r w:rsidR="00823F92" w:rsidRPr="003039B9">
        <w:rPr>
          <w:lang w:val="en-US"/>
        </w:rPr>
        <w:t>f</w:t>
      </w:r>
      <w:r w:rsidR="00823F92">
        <w:rPr>
          <w:lang w:val="en-US"/>
        </w:rPr>
        <w:t xml:space="preserve"> </w:t>
      </w:r>
      <w:r w:rsidRPr="003039B9">
        <w:rPr>
          <w:lang w:val="en-US"/>
        </w:rPr>
        <w:t>Psychiatrists</w:t>
      </w:r>
    </w:p>
    <w:p w14:paraId="0305138E" w14:textId="2C4053D5" w:rsidR="003039B9" w:rsidRPr="003039B9" w:rsidRDefault="003039B9" w:rsidP="003039B9">
      <w:pPr>
        <w:pStyle w:val="ListBullet"/>
        <w:rPr>
          <w:lang w:val="en-US"/>
        </w:rPr>
      </w:pPr>
      <w:r w:rsidRPr="003039B9">
        <w:rPr>
          <w:lang w:val="en-US"/>
        </w:rPr>
        <w:t>Joh</w:t>
      </w:r>
      <w:r w:rsidR="00823F92" w:rsidRPr="003039B9">
        <w:rPr>
          <w:lang w:val="en-US"/>
        </w:rPr>
        <w:t>n</w:t>
      </w:r>
      <w:r w:rsidR="00823F92">
        <w:rPr>
          <w:lang w:val="en-US"/>
        </w:rPr>
        <w:t xml:space="preserve"> </w:t>
      </w:r>
      <w:proofErr w:type="spellStart"/>
      <w:r w:rsidRPr="003039B9">
        <w:rPr>
          <w:lang w:val="en-US"/>
        </w:rPr>
        <w:t>Brayle</w:t>
      </w:r>
      <w:r w:rsidR="00823F92" w:rsidRPr="003039B9">
        <w:rPr>
          <w:lang w:val="en-US"/>
        </w:rPr>
        <w:t>y</w:t>
      </w:r>
      <w:proofErr w:type="spellEnd"/>
      <w:r w:rsidR="00823F92">
        <w:rPr>
          <w:lang w:val="en-US"/>
        </w:rPr>
        <w:t xml:space="preserve"> </w:t>
      </w:r>
      <w:r w:rsidRPr="003039B9">
        <w:rPr>
          <w:lang w:val="en-US"/>
        </w:rPr>
        <w:t>– Chie</w:t>
      </w:r>
      <w:r w:rsidR="00823F92" w:rsidRPr="003039B9">
        <w:rPr>
          <w:lang w:val="en-US"/>
        </w:rPr>
        <w:t>f</w:t>
      </w:r>
      <w:r w:rsidR="00823F92">
        <w:rPr>
          <w:lang w:val="en-US"/>
        </w:rPr>
        <w:t xml:space="preserve"> </w:t>
      </w:r>
      <w:r w:rsidRPr="003039B9">
        <w:rPr>
          <w:lang w:val="en-US"/>
        </w:rPr>
        <w:t>Psychiatrist</w:t>
      </w:r>
      <w:r w:rsidR="00823F92" w:rsidRPr="003039B9">
        <w:rPr>
          <w:lang w:val="en-US"/>
        </w:rPr>
        <w:t>,</w:t>
      </w:r>
      <w:r w:rsidR="00823F92">
        <w:rPr>
          <w:lang w:val="en-US"/>
        </w:rPr>
        <w:t xml:space="preserve"> </w:t>
      </w:r>
      <w:r w:rsidRPr="003039B9">
        <w:rPr>
          <w:lang w:val="en-US"/>
        </w:rPr>
        <w:t>SA</w:t>
      </w:r>
    </w:p>
    <w:p w14:paraId="74CBE6A1" w14:textId="5B4E8DE8" w:rsidR="003039B9" w:rsidRPr="003039B9" w:rsidRDefault="003039B9" w:rsidP="003039B9">
      <w:pPr>
        <w:pStyle w:val="ListBullet"/>
        <w:rPr>
          <w:lang w:val="en-US"/>
        </w:rPr>
      </w:pPr>
      <w:r w:rsidRPr="003039B9">
        <w:rPr>
          <w:lang w:val="en-US"/>
        </w:rPr>
        <w:t>L</w:t>
      </w:r>
      <w:r w:rsidR="00823F92" w:rsidRPr="003039B9">
        <w:rPr>
          <w:lang w:val="en-US"/>
        </w:rPr>
        <w:t>e</w:t>
      </w:r>
      <w:r w:rsidR="00823F92">
        <w:rPr>
          <w:lang w:val="en-US"/>
        </w:rPr>
        <w:t xml:space="preserve"> </w:t>
      </w:r>
      <w:r w:rsidRPr="003039B9">
        <w:rPr>
          <w:lang w:val="en-US"/>
        </w:rPr>
        <w:t>Smit</w:t>
      </w:r>
      <w:r w:rsidR="00823F92" w:rsidRPr="003039B9">
        <w:rPr>
          <w:lang w:val="en-US"/>
        </w:rPr>
        <w:t>h</w:t>
      </w:r>
      <w:r w:rsidR="00823F92">
        <w:rPr>
          <w:lang w:val="en-US"/>
        </w:rPr>
        <w:t xml:space="preserve"> </w:t>
      </w:r>
      <w:r w:rsidRPr="003039B9">
        <w:rPr>
          <w:lang w:val="en-US"/>
        </w:rPr>
        <w:t>– Norther</w:t>
      </w:r>
      <w:r w:rsidR="00823F92" w:rsidRPr="003039B9">
        <w:rPr>
          <w:lang w:val="en-US"/>
        </w:rPr>
        <w:t>n</w:t>
      </w:r>
      <w:r w:rsidR="00823F92">
        <w:rPr>
          <w:lang w:val="en-US"/>
        </w:rPr>
        <w:t xml:space="preserve"> </w:t>
      </w:r>
      <w:r w:rsidRPr="003039B9">
        <w:rPr>
          <w:lang w:val="en-US"/>
        </w:rPr>
        <w:t>Territor</w:t>
      </w:r>
      <w:r w:rsidR="00823F92" w:rsidRPr="003039B9">
        <w:rPr>
          <w:lang w:val="en-US"/>
        </w:rPr>
        <w:t>y</w:t>
      </w:r>
      <w:r w:rsidR="00823F92">
        <w:rPr>
          <w:lang w:val="en-US"/>
        </w:rPr>
        <w:t xml:space="preserve"> </w:t>
      </w:r>
      <w:r w:rsidRPr="003039B9">
        <w:rPr>
          <w:lang w:val="en-US"/>
        </w:rPr>
        <w:t>Primar</w:t>
      </w:r>
      <w:r w:rsidR="00823F92" w:rsidRPr="003039B9">
        <w:rPr>
          <w:lang w:val="en-US"/>
        </w:rPr>
        <w:t>y</w:t>
      </w:r>
      <w:r w:rsidR="00823F92">
        <w:rPr>
          <w:lang w:val="en-US"/>
        </w:rPr>
        <w:t xml:space="preserve"> </w:t>
      </w:r>
      <w:r w:rsidRPr="003039B9">
        <w:rPr>
          <w:lang w:val="en-US"/>
        </w:rPr>
        <w:t>Healt</w:t>
      </w:r>
      <w:r w:rsidR="00823F92" w:rsidRPr="003039B9">
        <w:rPr>
          <w:lang w:val="en-US"/>
        </w:rPr>
        <w:t>h</w:t>
      </w:r>
      <w:r w:rsidR="00823F92">
        <w:rPr>
          <w:lang w:val="en-US"/>
        </w:rPr>
        <w:t xml:space="preserve"> </w:t>
      </w:r>
      <w:r w:rsidRPr="003039B9">
        <w:rPr>
          <w:lang w:val="en-US"/>
        </w:rPr>
        <w:t>Network</w:t>
      </w:r>
    </w:p>
    <w:p w14:paraId="4D5BA999" w14:textId="42C3A72B" w:rsidR="003039B9" w:rsidRPr="003039B9" w:rsidRDefault="003039B9" w:rsidP="003039B9">
      <w:pPr>
        <w:pStyle w:val="ListBullet"/>
        <w:rPr>
          <w:lang w:val="en-US"/>
        </w:rPr>
      </w:pPr>
      <w:r w:rsidRPr="003039B9">
        <w:rPr>
          <w:lang w:val="en-US"/>
        </w:rPr>
        <w:t>Leann</w:t>
      </w:r>
      <w:r w:rsidR="00823F92" w:rsidRPr="003039B9">
        <w:rPr>
          <w:lang w:val="en-US"/>
        </w:rPr>
        <w:t>e</w:t>
      </w:r>
      <w:r w:rsidR="00823F92">
        <w:rPr>
          <w:lang w:val="en-US"/>
        </w:rPr>
        <w:t xml:space="preserve"> </w:t>
      </w:r>
      <w:r w:rsidRPr="003039B9">
        <w:rPr>
          <w:lang w:val="en-US"/>
        </w:rPr>
        <w:t>Beagle</w:t>
      </w:r>
      <w:r w:rsidR="00823F92" w:rsidRPr="003039B9">
        <w:rPr>
          <w:lang w:val="en-US"/>
        </w:rPr>
        <w:t>y</w:t>
      </w:r>
      <w:r w:rsidR="00823F92">
        <w:rPr>
          <w:lang w:val="en-US"/>
        </w:rPr>
        <w:t xml:space="preserve"> </w:t>
      </w:r>
      <w:r w:rsidRPr="003039B9">
        <w:rPr>
          <w:lang w:val="en-US"/>
        </w:rPr>
        <w:t>– Menta</w:t>
      </w:r>
      <w:r w:rsidR="00823F92" w:rsidRPr="003039B9">
        <w:rPr>
          <w:lang w:val="en-US"/>
        </w:rPr>
        <w:t>l</w:t>
      </w:r>
      <w:r w:rsidR="00823F92">
        <w:rPr>
          <w:lang w:val="en-US"/>
        </w:rPr>
        <w:t xml:space="preserve"> </w:t>
      </w:r>
      <w:r w:rsidRPr="003039B9">
        <w:rPr>
          <w:lang w:val="en-US"/>
        </w:rPr>
        <w:t>Healt</w:t>
      </w:r>
      <w:r w:rsidR="00823F92" w:rsidRPr="003039B9">
        <w:rPr>
          <w:lang w:val="en-US"/>
        </w:rPr>
        <w:t>h</w:t>
      </w:r>
      <w:r w:rsidR="00823F92">
        <w:rPr>
          <w:lang w:val="en-US"/>
        </w:rPr>
        <w:t xml:space="preserve"> </w:t>
      </w:r>
      <w:r w:rsidRPr="003039B9">
        <w:rPr>
          <w:lang w:val="en-US"/>
        </w:rPr>
        <w:t>Australia</w:t>
      </w:r>
    </w:p>
    <w:p w14:paraId="50862DC5" w14:textId="2E64C110" w:rsidR="003039B9" w:rsidRPr="003039B9" w:rsidRDefault="003039B9" w:rsidP="003039B9">
      <w:pPr>
        <w:pStyle w:val="ListBullet"/>
        <w:rPr>
          <w:lang w:val="en-US"/>
        </w:rPr>
      </w:pPr>
      <w:r w:rsidRPr="003039B9">
        <w:rPr>
          <w:lang w:val="en-US"/>
        </w:rPr>
        <w:t>Lyndal</w:t>
      </w:r>
      <w:r w:rsidR="00823F92" w:rsidRPr="003039B9">
        <w:rPr>
          <w:lang w:val="en-US"/>
        </w:rPr>
        <w:t>l</w:t>
      </w:r>
      <w:r w:rsidR="00823F92">
        <w:rPr>
          <w:lang w:val="en-US"/>
        </w:rPr>
        <w:t xml:space="preserve"> </w:t>
      </w:r>
      <w:r w:rsidRPr="003039B9">
        <w:rPr>
          <w:lang w:val="en-US"/>
        </w:rPr>
        <w:t>Sope</w:t>
      </w:r>
      <w:r w:rsidR="00823F92" w:rsidRPr="003039B9">
        <w:rPr>
          <w:lang w:val="en-US"/>
        </w:rPr>
        <w:t>r</w:t>
      </w:r>
      <w:r w:rsidR="00823F92">
        <w:rPr>
          <w:lang w:val="en-US"/>
        </w:rPr>
        <w:t xml:space="preserve"> </w:t>
      </w:r>
      <w:r w:rsidRPr="003039B9">
        <w:rPr>
          <w:lang w:val="en-US"/>
        </w:rPr>
        <w:t>– Nationa</w:t>
      </w:r>
      <w:r w:rsidR="00823F92" w:rsidRPr="003039B9">
        <w:rPr>
          <w:lang w:val="en-US"/>
        </w:rPr>
        <w:t>l</w:t>
      </w:r>
      <w:r w:rsidR="00823F92">
        <w:rPr>
          <w:lang w:val="en-US"/>
        </w:rPr>
        <w:t xml:space="preserve"> </w:t>
      </w:r>
      <w:r w:rsidRPr="003039B9">
        <w:rPr>
          <w:lang w:val="en-US"/>
        </w:rPr>
        <w:t>Menta</w:t>
      </w:r>
      <w:r w:rsidR="00823F92" w:rsidRPr="003039B9">
        <w:rPr>
          <w:lang w:val="en-US"/>
        </w:rPr>
        <w:t>l</w:t>
      </w:r>
      <w:r w:rsidR="00823F92">
        <w:rPr>
          <w:lang w:val="en-US"/>
        </w:rPr>
        <w:t xml:space="preserve"> </w:t>
      </w:r>
      <w:r w:rsidRPr="003039B9">
        <w:rPr>
          <w:lang w:val="en-US"/>
        </w:rPr>
        <w:t>Healt</w:t>
      </w:r>
      <w:r w:rsidR="00823F92" w:rsidRPr="003039B9">
        <w:rPr>
          <w:lang w:val="en-US"/>
        </w:rPr>
        <w:t>h</w:t>
      </w:r>
      <w:r w:rsidR="00823F92">
        <w:rPr>
          <w:lang w:val="en-US"/>
        </w:rPr>
        <w:t xml:space="preserve"> </w:t>
      </w:r>
      <w:r w:rsidRPr="003039B9">
        <w:rPr>
          <w:lang w:val="en-US"/>
        </w:rPr>
        <w:t>Commission</w:t>
      </w:r>
    </w:p>
    <w:p w14:paraId="4696BA94" w14:textId="355FB789" w:rsidR="003039B9" w:rsidRPr="003039B9" w:rsidRDefault="003039B9" w:rsidP="003039B9">
      <w:pPr>
        <w:pStyle w:val="ListBullet"/>
        <w:rPr>
          <w:lang w:val="en-US"/>
        </w:rPr>
      </w:pPr>
      <w:r w:rsidRPr="003039B9">
        <w:rPr>
          <w:lang w:val="en-US"/>
        </w:rPr>
        <w:t>Margare</w:t>
      </w:r>
      <w:r w:rsidR="00823F92" w:rsidRPr="003039B9">
        <w:rPr>
          <w:lang w:val="en-US"/>
        </w:rPr>
        <w:t>t</w:t>
      </w:r>
      <w:r w:rsidR="00823F92">
        <w:rPr>
          <w:lang w:val="en-US"/>
        </w:rPr>
        <w:t xml:space="preserve"> </w:t>
      </w:r>
      <w:r w:rsidRPr="003039B9">
        <w:rPr>
          <w:lang w:val="en-US"/>
        </w:rPr>
        <w:t>Dohert</w:t>
      </w:r>
      <w:r w:rsidR="00823F92" w:rsidRPr="003039B9">
        <w:rPr>
          <w:lang w:val="en-US"/>
        </w:rPr>
        <w:t>y</w:t>
      </w:r>
      <w:r w:rsidR="00823F92">
        <w:rPr>
          <w:lang w:val="en-US"/>
        </w:rPr>
        <w:t xml:space="preserve"> </w:t>
      </w:r>
      <w:r w:rsidRPr="003039B9">
        <w:rPr>
          <w:lang w:val="en-US"/>
        </w:rPr>
        <w:t>– Pee</w:t>
      </w:r>
      <w:r w:rsidR="00823F92" w:rsidRPr="003039B9">
        <w:rPr>
          <w:lang w:val="en-US"/>
        </w:rPr>
        <w:t>r</w:t>
      </w:r>
      <w:r w:rsidR="00823F92">
        <w:rPr>
          <w:lang w:val="en-US"/>
        </w:rPr>
        <w:t xml:space="preserve"> </w:t>
      </w:r>
      <w:r w:rsidRPr="003039B9">
        <w:rPr>
          <w:lang w:val="en-US"/>
        </w:rPr>
        <w:t>Workforc</w:t>
      </w:r>
      <w:r w:rsidR="00823F92" w:rsidRPr="003039B9">
        <w:rPr>
          <w:lang w:val="en-US"/>
        </w:rPr>
        <w:t>e</w:t>
      </w:r>
      <w:r w:rsidR="00823F92">
        <w:rPr>
          <w:lang w:val="en-US"/>
        </w:rPr>
        <w:t xml:space="preserve"> </w:t>
      </w:r>
      <w:r w:rsidRPr="003039B9">
        <w:rPr>
          <w:lang w:val="en-US"/>
        </w:rPr>
        <w:t>representative</w:t>
      </w:r>
    </w:p>
    <w:p w14:paraId="1F809BB4" w14:textId="4BEE95BE" w:rsidR="003039B9" w:rsidRPr="003039B9" w:rsidRDefault="003039B9" w:rsidP="003039B9">
      <w:pPr>
        <w:pStyle w:val="ListBullet"/>
        <w:rPr>
          <w:lang w:val="en-US"/>
        </w:rPr>
      </w:pPr>
      <w:r w:rsidRPr="003039B9">
        <w:rPr>
          <w:lang w:val="en-US"/>
        </w:rPr>
        <w:t>Mar</w:t>
      </w:r>
      <w:r w:rsidR="00823F92" w:rsidRPr="003039B9">
        <w:rPr>
          <w:lang w:val="en-US"/>
        </w:rPr>
        <w:t>k</w:t>
      </w:r>
      <w:r w:rsidR="00823F92">
        <w:rPr>
          <w:lang w:val="en-US"/>
        </w:rPr>
        <w:t xml:space="preserve"> </w:t>
      </w:r>
      <w:r w:rsidRPr="003039B9">
        <w:rPr>
          <w:lang w:val="en-US"/>
        </w:rPr>
        <w:t>Rodda</w:t>
      </w:r>
      <w:r w:rsidR="00823F92" w:rsidRPr="003039B9">
        <w:rPr>
          <w:lang w:val="en-US"/>
        </w:rPr>
        <w:t>m</w:t>
      </w:r>
      <w:r w:rsidR="00823F92">
        <w:rPr>
          <w:lang w:val="en-US"/>
        </w:rPr>
        <w:t xml:space="preserve"> </w:t>
      </w:r>
      <w:r w:rsidRPr="003039B9">
        <w:rPr>
          <w:lang w:val="en-US"/>
        </w:rPr>
        <w:t>– Commonwealt</w:t>
      </w:r>
      <w:r w:rsidR="00823F92" w:rsidRPr="003039B9">
        <w:rPr>
          <w:lang w:val="en-US"/>
        </w:rPr>
        <w:t>h</w:t>
      </w:r>
      <w:r w:rsidR="00823F92">
        <w:rPr>
          <w:lang w:val="en-US"/>
        </w:rPr>
        <w:t xml:space="preserve"> </w:t>
      </w:r>
      <w:r w:rsidRPr="003039B9">
        <w:rPr>
          <w:lang w:val="en-US"/>
        </w:rPr>
        <w:t>Departmen</w:t>
      </w:r>
      <w:r w:rsidR="00823F92" w:rsidRPr="003039B9">
        <w:rPr>
          <w:lang w:val="en-US"/>
        </w:rPr>
        <w:t>t</w:t>
      </w:r>
      <w:r w:rsidR="00823F92">
        <w:rPr>
          <w:lang w:val="en-US"/>
        </w:rPr>
        <w:t xml:space="preserve"> </w:t>
      </w:r>
      <w:r w:rsidRPr="003039B9">
        <w:rPr>
          <w:lang w:val="en-US"/>
        </w:rPr>
        <w:t>o</w:t>
      </w:r>
      <w:r w:rsidR="00823F92" w:rsidRPr="003039B9">
        <w:rPr>
          <w:lang w:val="en-US"/>
        </w:rPr>
        <w:t>f</w:t>
      </w:r>
      <w:r w:rsidR="00823F92">
        <w:rPr>
          <w:lang w:val="en-US"/>
        </w:rPr>
        <w:t xml:space="preserve"> </w:t>
      </w:r>
      <w:r w:rsidRPr="003039B9">
        <w:rPr>
          <w:lang w:val="en-US"/>
        </w:rPr>
        <w:t>Health</w:t>
      </w:r>
    </w:p>
    <w:p w14:paraId="23E21D5D" w14:textId="7121A008" w:rsidR="003039B9" w:rsidRPr="003039B9" w:rsidRDefault="003039B9" w:rsidP="003039B9">
      <w:pPr>
        <w:pStyle w:val="ListBullet"/>
        <w:rPr>
          <w:lang w:val="en-US"/>
        </w:rPr>
      </w:pPr>
      <w:r w:rsidRPr="003039B9">
        <w:rPr>
          <w:lang w:val="en-US"/>
        </w:rPr>
        <w:t>Michae</w:t>
      </w:r>
      <w:r w:rsidR="00823F92" w:rsidRPr="003039B9">
        <w:rPr>
          <w:lang w:val="en-US"/>
        </w:rPr>
        <w:t>l</w:t>
      </w:r>
      <w:r w:rsidR="00823F92">
        <w:rPr>
          <w:lang w:val="en-US"/>
        </w:rPr>
        <w:t xml:space="preserve"> </w:t>
      </w:r>
      <w:r w:rsidRPr="003039B9">
        <w:rPr>
          <w:lang w:val="en-US"/>
        </w:rPr>
        <w:t>Ta</w:t>
      </w:r>
      <w:r w:rsidR="00823F92" w:rsidRPr="003039B9">
        <w:rPr>
          <w:lang w:val="en-US"/>
        </w:rPr>
        <w:t>m</w:t>
      </w:r>
      <w:r w:rsidR="00823F92">
        <w:rPr>
          <w:lang w:val="en-US"/>
        </w:rPr>
        <w:t xml:space="preserve"> </w:t>
      </w:r>
      <w:r w:rsidRPr="003039B9">
        <w:rPr>
          <w:lang w:val="en-US"/>
        </w:rPr>
        <w:t>/ Morto</w:t>
      </w:r>
      <w:r w:rsidR="00823F92" w:rsidRPr="003039B9">
        <w:rPr>
          <w:lang w:val="en-US"/>
        </w:rPr>
        <w:t>n</w:t>
      </w:r>
      <w:r w:rsidR="00823F92">
        <w:rPr>
          <w:lang w:val="en-US"/>
        </w:rPr>
        <w:t xml:space="preserve"> </w:t>
      </w:r>
      <w:r w:rsidRPr="003039B9">
        <w:rPr>
          <w:lang w:val="en-US"/>
        </w:rPr>
        <w:t>Rawli</w:t>
      </w:r>
      <w:r w:rsidR="00823F92" w:rsidRPr="003039B9">
        <w:rPr>
          <w:lang w:val="en-US"/>
        </w:rPr>
        <w:t>n</w:t>
      </w:r>
      <w:r w:rsidR="00823F92">
        <w:rPr>
          <w:lang w:val="en-US"/>
        </w:rPr>
        <w:t xml:space="preserve"> </w:t>
      </w:r>
      <w:r w:rsidRPr="003039B9">
        <w:rPr>
          <w:lang w:val="en-US"/>
        </w:rPr>
        <w:t>– Roya</w:t>
      </w:r>
      <w:r w:rsidR="00823F92" w:rsidRPr="003039B9">
        <w:rPr>
          <w:lang w:val="en-US"/>
        </w:rPr>
        <w:t>l</w:t>
      </w:r>
      <w:r w:rsidR="00823F92">
        <w:rPr>
          <w:lang w:val="en-US"/>
        </w:rPr>
        <w:t xml:space="preserve"> </w:t>
      </w:r>
      <w:r w:rsidRPr="003039B9">
        <w:rPr>
          <w:lang w:val="en-US"/>
        </w:rPr>
        <w:t>Australia</w:t>
      </w:r>
      <w:r w:rsidR="00823F92" w:rsidRPr="003039B9">
        <w:rPr>
          <w:lang w:val="en-US"/>
        </w:rPr>
        <w:t>n</w:t>
      </w:r>
      <w:r w:rsidR="00823F92">
        <w:rPr>
          <w:lang w:val="en-US"/>
        </w:rPr>
        <w:t xml:space="preserve"> </w:t>
      </w:r>
      <w:r w:rsidRPr="003039B9">
        <w:rPr>
          <w:lang w:val="en-US"/>
        </w:rPr>
        <w:t>Colleg</w:t>
      </w:r>
      <w:r w:rsidR="00823F92" w:rsidRPr="003039B9">
        <w:rPr>
          <w:lang w:val="en-US"/>
        </w:rPr>
        <w:t>e</w:t>
      </w:r>
      <w:r w:rsidR="00823F92">
        <w:rPr>
          <w:lang w:val="en-US"/>
        </w:rPr>
        <w:t xml:space="preserve"> </w:t>
      </w:r>
      <w:r w:rsidRPr="003039B9">
        <w:rPr>
          <w:lang w:val="en-US"/>
        </w:rPr>
        <w:t>o</w:t>
      </w:r>
      <w:r w:rsidR="00823F92" w:rsidRPr="003039B9">
        <w:rPr>
          <w:lang w:val="en-US"/>
        </w:rPr>
        <w:t>f</w:t>
      </w:r>
      <w:r w:rsidR="00823F92">
        <w:rPr>
          <w:lang w:val="en-US"/>
        </w:rPr>
        <w:t xml:space="preserve"> </w:t>
      </w:r>
      <w:r w:rsidRPr="003039B9">
        <w:rPr>
          <w:lang w:val="en-US"/>
        </w:rPr>
        <w:t>Genera</w:t>
      </w:r>
      <w:r w:rsidR="00823F92" w:rsidRPr="003039B9">
        <w:rPr>
          <w:lang w:val="en-US"/>
        </w:rPr>
        <w:t>l</w:t>
      </w:r>
      <w:r w:rsidR="00823F92">
        <w:rPr>
          <w:lang w:val="en-US"/>
        </w:rPr>
        <w:t xml:space="preserve"> </w:t>
      </w:r>
      <w:r w:rsidRPr="003039B9">
        <w:rPr>
          <w:lang w:val="en-US"/>
        </w:rPr>
        <w:t>Practitioners</w:t>
      </w:r>
    </w:p>
    <w:p w14:paraId="348D2B83" w14:textId="04CE7BC3" w:rsidR="003039B9" w:rsidRPr="003039B9" w:rsidRDefault="003039B9" w:rsidP="003039B9">
      <w:pPr>
        <w:pStyle w:val="ListBullet"/>
        <w:rPr>
          <w:lang w:val="en-US"/>
        </w:rPr>
      </w:pPr>
      <w:r w:rsidRPr="003039B9">
        <w:rPr>
          <w:lang w:val="en-US"/>
        </w:rPr>
        <w:t>Pete</w:t>
      </w:r>
      <w:r w:rsidR="00823F92" w:rsidRPr="003039B9">
        <w:rPr>
          <w:lang w:val="en-US"/>
        </w:rPr>
        <w:t>r</w:t>
      </w:r>
      <w:r w:rsidR="00823F92">
        <w:rPr>
          <w:lang w:val="en-US"/>
        </w:rPr>
        <w:t xml:space="preserve"> </w:t>
      </w:r>
      <w:r w:rsidRPr="003039B9">
        <w:rPr>
          <w:lang w:val="en-US"/>
        </w:rPr>
        <w:t>Heggi</w:t>
      </w:r>
      <w:r w:rsidR="00823F92" w:rsidRPr="003039B9">
        <w:rPr>
          <w:lang w:val="en-US"/>
        </w:rPr>
        <w:t>e</w:t>
      </w:r>
      <w:r w:rsidR="00823F92">
        <w:rPr>
          <w:lang w:val="en-US"/>
        </w:rPr>
        <w:t xml:space="preserve"> </w:t>
      </w:r>
      <w:r w:rsidRPr="003039B9">
        <w:rPr>
          <w:lang w:val="en-US"/>
        </w:rPr>
        <w:t xml:space="preserve">– </w:t>
      </w:r>
      <w:proofErr w:type="spellStart"/>
      <w:r w:rsidRPr="003039B9">
        <w:rPr>
          <w:lang w:val="en-US"/>
        </w:rPr>
        <w:t>Care</w:t>
      </w:r>
      <w:r w:rsidR="00823F92" w:rsidRPr="003039B9">
        <w:rPr>
          <w:lang w:val="en-US"/>
        </w:rPr>
        <w:t>r</w:t>
      </w:r>
      <w:proofErr w:type="spellEnd"/>
      <w:r w:rsidR="00823F92">
        <w:rPr>
          <w:lang w:val="en-US"/>
        </w:rPr>
        <w:t xml:space="preserve"> </w:t>
      </w:r>
      <w:r w:rsidRPr="003039B9">
        <w:rPr>
          <w:lang w:val="en-US"/>
        </w:rPr>
        <w:t>representative</w:t>
      </w:r>
    </w:p>
    <w:p w14:paraId="26CB194F" w14:textId="18B7C75C" w:rsidR="003039B9" w:rsidRPr="003039B9" w:rsidRDefault="003039B9" w:rsidP="003039B9">
      <w:pPr>
        <w:pStyle w:val="ListBullet"/>
        <w:rPr>
          <w:lang w:val="en-US"/>
        </w:rPr>
      </w:pPr>
      <w:r w:rsidRPr="003039B9">
        <w:rPr>
          <w:lang w:val="en-US"/>
        </w:rPr>
        <w:t>Ro</w:t>
      </w:r>
      <w:r w:rsidR="00823F92" w:rsidRPr="003039B9">
        <w:rPr>
          <w:lang w:val="en-US"/>
        </w:rPr>
        <w:t>s</w:t>
      </w:r>
      <w:r w:rsidR="00823F92">
        <w:rPr>
          <w:lang w:val="en-US"/>
        </w:rPr>
        <w:t xml:space="preserve"> </w:t>
      </w:r>
      <w:r w:rsidRPr="003039B9">
        <w:rPr>
          <w:lang w:val="en-US"/>
        </w:rPr>
        <w:t>Knigh</w:t>
      </w:r>
      <w:r w:rsidR="00823F92" w:rsidRPr="003039B9">
        <w:rPr>
          <w:lang w:val="en-US"/>
        </w:rPr>
        <w:t>t</w:t>
      </w:r>
      <w:r w:rsidR="00823F92">
        <w:rPr>
          <w:lang w:val="en-US"/>
        </w:rPr>
        <w:t xml:space="preserve"> </w:t>
      </w:r>
      <w:r w:rsidRPr="003039B9">
        <w:rPr>
          <w:lang w:val="en-US"/>
        </w:rPr>
        <w:t>/ Tamar</w:t>
      </w:r>
      <w:r w:rsidR="00823F92" w:rsidRPr="003039B9">
        <w:rPr>
          <w:lang w:val="en-US"/>
        </w:rPr>
        <w:t>a</w:t>
      </w:r>
      <w:r w:rsidR="00823F92">
        <w:rPr>
          <w:lang w:val="en-US"/>
        </w:rPr>
        <w:t xml:space="preserve"> </w:t>
      </w:r>
      <w:r w:rsidRPr="003039B9">
        <w:rPr>
          <w:lang w:val="en-US"/>
        </w:rPr>
        <w:t>Cavenet</w:t>
      </w:r>
      <w:r w:rsidR="00823F92" w:rsidRPr="003039B9">
        <w:rPr>
          <w:lang w:val="en-US"/>
        </w:rPr>
        <w:t>t</w:t>
      </w:r>
      <w:r w:rsidR="00823F92">
        <w:rPr>
          <w:lang w:val="en-US"/>
        </w:rPr>
        <w:t xml:space="preserve"> </w:t>
      </w:r>
      <w:r w:rsidRPr="003039B9">
        <w:rPr>
          <w:lang w:val="en-US"/>
        </w:rPr>
        <w:t>– Australia</w:t>
      </w:r>
      <w:r w:rsidR="00823F92" w:rsidRPr="003039B9">
        <w:rPr>
          <w:lang w:val="en-US"/>
        </w:rPr>
        <w:t>n</w:t>
      </w:r>
      <w:r w:rsidR="00823F92">
        <w:rPr>
          <w:lang w:val="en-US"/>
        </w:rPr>
        <w:t xml:space="preserve"> </w:t>
      </w:r>
      <w:r w:rsidRPr="003039B9">
        <w:rPr>
          <w:lang w:val="en-US"/>
        </w:rPr>
        <w:t>Psychologica</w:t>
      </w:r>
      <w:r w:rsidR="00823F92" w:rsidRPr="003039B9">
        <w:rPr>
          <w:lang w:val="en-US"/>
        </w:rPr>
        <w:t>l</w:t>
      </w:r>
      <w:r w:rsidR="00823F92">
        <w:rPr>
          <w:lang w:val="en-US"/>
        </w:rPr>
        <w:t xml:space="preserve"> </w:t>
      </w:r>
      <w:r w:rsidRPr="003039B9">
        <w:rPr>
          <w:lang w:val="en-US"/>
        </w:rPr>
        <w:t>Society</w:t>
      </w:r>
    </w:p>
    <w:p w14:paraId="5896A192" w14:textId="1D72BEC1" w:rsidR="003039B9" w:rsidRPr="003039B9" w:rsidRDefault="003039B9" w:rsidP="003039B9">
      <w:pPr>
        <w:pStyle w:val="ListBullet"/>
        <w:rPr>
          <w:lang w:val="en-US"/>
        </w:rPr>
      </w:pPr>
      <w:r w:rsidRPr="003039B9">
        <w:rPr>
          <w:lang w:val="en-US"/>
        </w:rPr>
        <w:t>Stephe</w:t>
      </w:r>
      <w:r w:rsidR="00823F92" w:rsidRPr="003039B9">
        <w:rPr>
          <w:lang w:val="en-US"/>
        </w:rPr>
        <w:t>n</w:t>
      </w:r>
      <w:r w:rsidR="00823F92">
        <w:rPr>
          <w:lang w:val="en-US"/>
        </w:rPr>
        <w:t xml:space="preserve"> </w:t>
      </w:r>
      <w:r w:rsidRPr="003039B9">
        <w:rPr>
          <w:lang w:val="en-US"/>
        </w:rPr>
        <w:t>Jackso</w:t>
      </w:r>
      <w:r w:rsidR="00823F92" w:rsidRPr="003039B9">
        <w:rPr>
          <w:lang w:val="en-US"/>
        </w:rPr>
        <w:t>n</w:t>
      </w:r>
      <w:r w:rsidR="00823F92">
        <w:rPr>
          <w:lang w:val="en-US"/>
        </w:rPr>
        <w:t xml:space="preserve"> </w:t>
      </w:r>
      <w:r w:rsidRPr="003039B9">
        <w:rPr>
          <w:lang w:val="en-US"/>
        </w:rPr>
        <w:t>– Australia</w:t>
      </w:r>
      <w:r w:rsidR="00823F92" w:rsidRPr="003039B9">
        <w:rPr>
          <w:lang w:val="en-US"/>
        </w:rPr>
        <w:t>n</w:t>
      </w:r>
      <w:r w:rsidR="00823F92">
        <w:rPr>
          <w:lang w:val="en-US"/>
        </w:rPr>
        <w:t xml:space="preserve"> </w:t>
      </w:r>
      <w:r w:rsidRPr="003039B9">
        <w:rPr>
          <w:lang w:val="en-US"/>
        </w:rPr>
        <w:t>Colleg</w:t>
      </w:r>
      <w:r w:rsidR="00823F92" w:rsidRPr="003039B9">
        <w:rPr>
          <w:lang w:val="en-US"/>
        </w:rPr>
        <w:t>e</w:t>
      </w:r>
      <w:r w:rsidR="00823F92">
        <w:rPr>
          <w:lang w:val="en-US"/>
        </w:rPr>
        <w:t xml:space="preserve"> </w:t>
      </w:r>
      <w:r w:rsidRPr="003039B9">
        <w:rPr>
          <w:lang w:val="en-US"/>
        </w:rPr>
        <w:t>o</w:t>
      </w:r>
      <w:r w:rsidR="00823F92" w:rsidRPr="003039B9">
        <w:rPr>
          <w:lang w:val="en-US"/>
        </w:rPr>
        <w:t>f</w:t>
      </w:r>
      <w:r w:rsidR="00823F92">
        <w:rPr>
          <w:lang w:val="en-US"/>
        </w:rPr>
        <w:t xml:space="preserve"> </w:t>
      </w:r>
      <w:r w:rsidRPr="003039B9">
        <w:rPr>
          <w:lang w:val="en-US"/>
        </w:rPr>
        <w:t>Menta</w:t>
      </w:r>
      <w:r w:rsidR="00823F92" w:rsidRPr="003039B9">
        <w:rPr>
          <w:lang w:val="en-US"/>
        </w:rPr>
        <w:t>l</w:t>
      </w:r>
      <w:r w:rsidR="00823F92">
        <w:rPr>
          <w:lang w:val="en-US"/>
        </w:rPr>
        <w:t xml:space="preserve"> </w:t>
      </w:r>
      <w:r w:rsidRPr="003039B9">
        <w:rPr>
          <w:lang w:val="en-US"/>
        </w:rPr>
        <w:t>Healt</w:t>
      </w:r>
      <w:r w:rsidR="00823F92" w:rsidRPr="003039B9">
        <w:rPr>
          <w:lang w:val="en-US"/>
        </w:rPr>
        <w:t>h</w:t>
      </w:r>
      <w:r w:rsidR="00823F92">
        <w:rPr>
          <w:lang w:val="en-US"/>
        </w:rPr>
        <w:t xml:space="preserve"> </w:t>
      </w:r>
      <w:r w:rsidRPr="003039B9">
        <w:rPr>
          <w:lang w:val="en-US"/>
        </w:rPr>
        <w:t>Nurses</w:t>
      </w:r>
    </w:p>
    <w:p w14:paraId="77E63B0D" w14:textId="50AB752B" w:rsidR="0069382D" w:rsidRPr="006C4490" w:rsidRDefault="003039B9" w:rsidP="003039B9">
      <w:pPr>
        <w:pStyle w:val="ListBullet"/>
        <w:rPr>
          <w:lang w:val="en-US"/>
        </w:rPr>
      </w:pPr>
      <w:r w:rsidRPr="003039B9">
        <w:rPr>
          <w:lang w:val="en-US"/>
        </w:rPr>
        <w:t>Trici</w:t>
      </w:r>
      <w:r w:rsidR="00823F92" w:rsidRPr="003039B9">
        <w:rPr>
          <w:lang w:val="en-US"/>
        </w:rPr>
        <w:t>a</w:t>
      </w:r>
      <w:r w:rsidR="00823F92">
        <w:rPr>
          <w:lang w:val="en-US"/>
        </w:rPr>
        <w:t xml:space="preserve"> </w:t>
      </w:r>
      <w:r w:rsidRPr="003039B9">
        <w:rPr>
          <w:lang w:val="en-US"/>
        </w:rPr>
        <w:t>O’Riorda</w:t>
      </w:r>
      <w:r w:rsidR="00823F92" w:rsidRPr="003039B9">
        <w:rPr>
          <w:lang w:val="en-US"/>
        </w:rPr>
        <w:t>n</w:t>
      </w:r>
      <w:r w:rsidR="00823F92">
        <w:rPr>
          <w:lang w:val="en-US"/>
        </w:rPr>
        <w:t xml:space="preserve"> </w:t>
      </w:r>
      <w:r w:rsidRPr="003039B9">
        <w:rPr>
          <w:lang w:val="en-US"/>
        </w:rPr>
        <w:t>– Menta</w:t>
      </w:r>
      <w:r w:rsidR="00823F92" w:rsidRPr="003039B9">
        <w:rPr>
          <w:lang w:val="en-US"/>
        </w:rPr>
        <w:t>l</w:t>
      </w:r>
      <w:r w:rsidR="00823F92">
        <w:rPr>
          <w:lang w:val="en-US"/>
        </w:rPr>
        <w:t xml:space="preserve"> </w:t>
      </w:r>
      <w:r w:rsidRPr="003039B9">
        <w:rPr>
          <w:lang w:val="en-US"/>
        </w:rPr>
        <w:t>Healt</w:t>
      </w:r>
      <w:r w:rsidR="00823F92" w:rsidRPr="003039B9">
        <w:rPr>
          <w:lang w:val="en-US"/>
        </w:rPr>
        <w:t>h</w:t>
      </w:r>
      <w:r w:rsidR="00823F92">
        <w:rPr>
          <w:lang w:val="en-US"/>
        </w:rPr>
        <w:t xml:space="preserve"> </w:t>
      </w:r>
      <w:r w:rsidRPr="003039B9">
        <w:rPr>
          <w:lang w:val="en-US"/>
        </w:rPr>
        <w:t>an</w:t>
      </w:r>
      <w:r w:rsidR="00823F92" w:rsidRPr="003039B9">
        <w:rPr>
          <w:lang w:val="en-US"/>
        </w:rPr>
        <w:t>d</w:t>
      </w:r>
      <w:r w:rsidR="00823F92">
        <w:rPr>
          <w:lang w:val="en-US"/>
        </w:rPr>
        <w:t xml:space="preserve"> </w:t>
      </w:r>
      <w:r w:rsidRPr="003039B9">
        <w:rPr>
          <w:lang w:val="en-US"/>
        </w:rPr>
        <w:t>Dru</w:t>
      </w:r>
      <w:r w:rsidR="00823F92" w:rsidRPr="003039B9">
        <w:rPr>
          <w:lang w:val="en-US"/>
        </w:rPr>
        <w:t>g</w:t>
      </w:r>
      <w:r w:rsidR="00823F92">
        <w:rPr>
          <w:lang w:val="en-US"/>
        </w:rPr>
        <w:t xml:space="preserve"> </w:t>
      </w:r>
      <w:r w:rsidRPr="003039B9">
        <w:rPr>
          <w:lang w:val="en-US"/>
        </w:rPr>
        <w:t>&amp; Alcoho</w:t>
      </w:r>
      <w:r w:rsidR="00823F92" w:rsidRPr="003039B9">
        <w:rPr>
          <w:lang w:val="en-US"/>
        </w:rPr>
        <w:t>l</w:t>
      </w:r>
      <w:r w:rsidR="00823F92">
        <w:rPr>
          <w:lang w:val="en-US"/>
        </w:rPr>
        <w:t xml:space="preserve"> </w:t>
      </w:r>
      <w:r w:rsidRPr="003039B9">
        <w:rPr>
          <w:lang w:val="en-US"/>
        </w:rPr>
        <w:t>Office</w:t>
      </w:r>
      <w:r w:rsidR="00823F92" w:rsidRPr="003039B9">
        <w:rPr>
          <w:lang w:val="en-US"/>
        </w:rPr>
        <w:t>,</w:t>
      </w:r>
      <w:r w:rsidR="00823F92">
        <w:rPr>
          <w:lang w:val="en-US"/>
        </w:rPr>
        <w:t xml:space="preserve"> </w:t>
      </w:r>
      <w:r w:rsidRPr="003039B9">
        <w:rPr>
          <w:lang w:val="en-US"/>
        </w:rPr>
        <w:t>NS</w:t>
      </w:r>
      <w:r w:rsidR="00823F92" w:rsidRPr="003039B9">
        <w:rPr>
          <w:lang w:val="en-US"/>
        </w:rPr>
        <w:t>W</w:t>
      </w:r>
      <w:r w:rsidR="00823F92">
        <w:rPr>
          <w:lang w:val="en-US"/>
        </w:rPr>
        <w:t xml:space="preserve"> </w:t>
      </w:r>
      <w:r w:rsidRPr="003039B9">
        <w:rPr>
          <w:lang w:val="en-US"/>
        </w:rPr>
        <w:t>Health</w:t>
      </w:r>
      <w:r w:rsidR="00895FFD">
        <w:rPr>
          <w:lang w:val="en-US"/>
        </w:rPr>
        <w:t>.</w:t>
      </w:r>
    </w:p>
    <w:p w14:paraId="66E92F42" w14:textId="13D558F1" w:rsidR="0069382D" w:rsidRDefault="0069382D" w:rsidP="00801BFE">
      <w:pPr>
        <w:pStyle w:val="Heading2"/>
        <w:rPr>
          <w:lang w:val="en-US"/>
        </w:rPr>
      </w:pPr>
      <w:bookmarkStart w:id="6" w:name="_Toc99018980"/>
      <w:r>
        <w:rPr>
          <w:lang w:val="en-US"/>
        </w:rPr>
        <w:lastRenderedPageBreak/>
        <w:t>Workin</w:t>
      </w:r>
      <w:r w:rsidR="00823F92">
        <w:rPr>
          <w:lang w:val="en-US"/>
        </w:rPr>
        <w:t xml:space="preserve">g </w:t>
      </w:r>
      <w:r>
        <w:rPr>
          <w:lang w:val="en-US"/>
        </w:rPr>
        <w:t>Groups</w:t>
      </w:r>
      <w:bookmarkEnd w:id="6"/>
    </w:p>
    <w:p w14:paraId="41BF8B95" w14:textId="69BD87DE" w:rsidR="0069382D" w:rsidRDefault="0069382D" w:rsidP="0069382D">
      <w:pPr>
        <w:pStyle w:val="BodyText"/>
      </w:pPr>
      <w:r>
        <w:rPr>
          <w:lang w:val="en-US"/>
        </w:rPr>
        <w:t>Th</w:t>
      </w:r>
      <w:r w:rsidR="00823F92">
        <w:rPr>
          <w:lang w:val="en-US"/>
        </w:rPr>
        <w:t xml:space="preserve">e </w:t>
      </w:r>
      <w:r>
        <w:rPr>
          <w:lang w:val="en-US"/>
        </w:rPr>
        <w:t>Taskforc</w:t>
      </w:r>
      <w:r w:rsidR="00823F92">
        <w:rPr>
          <w:lang w:val="en-US"/>
        </w:rPr>
        <w:t xml:space="preserve">e </w:t>
      </w:r>
      <w:r>
        <w:rPr>
          <w:lang w:val="en-US"/>
        </w:rPr>
        <w:t>wa</w:t>
      </w:r>
      <w:r w:rsidR="00823F92">
        <w:rPr>
          <w:lang w:val="en-US"/>
        </w:rPr>
        <w:t xml:space="preserve">s </w:t>
      </w:r>
      <w:r w:rsidRPr="006C4490">
        <w:rPr>
          <w:lang w:val="en-US"/>
        </w:rPr>
        <w:t>supporte</w:t>
      </w:r>
      <w:r w:rsidR="00823F92" w:rsidRPr="006C4490">
        <w:rPr>
          <w:lang w:val="en-US"/>
        </w:rPr>
        <w:t>d</w:t>
      </w:r>
      <w:r w:rsidR="00823F92">
        <w:rPr>
          <w:lang w:val="en-US"/>
        </w:rPr>
        <w:t xml:space="preserve"> </w:t>
      </w:r>
      <w:r w:rsidRPr="006C4490">
        <w:rPr>
          <w:lang w:val="en-US"/>
        </w:rPr>
        <w:t>b</w:t>
      </w:r>
      <w:r w:rsidR="00823F92" w:rsidRPr="006C4490">
        <w:rPr>
          <w:lang w:val="en-US"/>
        </w:rPr>
        <w:t>y</w:t>
      </w:r>
      <w:r w:rsidR="00823F92">
        <w:rPr>
          <w:lang w:val="en-US"/>
        </w:rPr>
        <w:t xml:space="preserve"> </w:t>
      </w:r>
      <w:r w:rsidRPr="006C4490">
        <w:rPr>
          <w:lang w:val="en-US"/>
        </w:rPr>
        <w:t>fiv</w:t>
      </w:r>
      <w:r w:rsidR="00823F92" w:rsidRPr="006C4490">
        <w:rPr>
          <w:lang w:val="en-US"/>
        </w:rPr>
        <w:t>e</w:t>
      </w:r>
      <w:r w:rsidR="00823F92">
        <w:rPr>
          <w:lang w:val="en-US"/>
        </w:rPr>
        <w:t xml:space="preserve"> </w:t>
      </w:r>
      <w:r w:rsidRPr="006C4490">
        <w:rPr>
          <w:lang w:val="en-US"/>
        </w:rPr>
        <w:t>Workin</w:t>
      </w:r>
      <w:r w:rsidR="00823F92" w:rsidRPr="006C4490">
        <w:rPr>
          <w:lang w:val="en-US"/>
        </w:rPr>
        <w:t>g</w:t>
      </w:r>
      <w:r w:rsidR="00823F92">
        <w:rPr>
          <w:lang w:val="en-US"/>
        </w:rPr>
        <w:t xml:space="preserve"> </w:t>
      </w:r>
      <w:r w:rsidRPr="006C4490">
        <w:rPr>
          <w:lang w:val="en-US"/>
        </w:rPr>
        <w:t>Group</w:t>
      </w:r>
      <w:r w:rsidR="00823F92" w:rsidRPr="006C4490">
        <w:rPr>
          <w:lang w:val="en-US"/>
        </w:rPr>
        <w:t>s</w:t>
      </w:r>
      <w:r w:rsidR="00823F92">
        <w:rPr>
          <w:lang w:val="en-US"/>
        </w:rPr>
        <w:t xml:space="preserve"> </w:t>
      </w:r>
      <w:r w:rsidRPr="006C4490">
        <w:rPr>
          <w:lang w:val="en-US"/>
        </w:rPr>
        <w:t>focuse</w:t>
      </w:r>
      <w:r w:rsidR="00823F92" w:rsidRPr="006C4490">
        <w:rPr>
          <w:lang w:val="en-US"/>
        </w:rPr>
        <w:t>d</w:t>
      </w:r>
      <w:r w:rsidR="00823F92">
        <w:rPr>
          <w:lang w:val="en-US"/>
        </w:rPr>
        <w:t xml:space="preserve"> </w:t>
      </w:r>
      <w:r w:rsidRPr="006C4490">
        <w:rPr>
          <w:lang w:val="en-US"/>
        </w:rPr>
        <w:t>o</w:t>
      </w:r>
      <w:r w:rsidR="00823F92" w:rsidRPr="006C4490">
        <w:rPr>
          <w:lang w:val="en-US"/>
        </w:rPr>
        <w:t>n</w:t>
      </w:r>
      <w:r w:rsidR="00823F92">
        <w:rPr>
          <w:lang w:val="en-US"/>
        </w:rPr>
        <w:t xml:space="preserve"> </w:t>
      </w:r>
      <w:r w:rsidRPr="006C4490">
        <w:rPr>
          <w:lang w:val="en-US"/>
        </w:rPr>
        <w:t>th</w:t>
      </w:r>
      <w:r w:rsidR="00823F92" w:rsidRPr="006C4490">
        <w:rPr>
          <w:lang w:val="en-US"/>
        </w:rPr>
        <w:t>e</w:t>
      </w:r>
      <w:r w:rsidR="00823F92">
        <w:rPr>
          <w:lang w:val="en-US"/>
        </w:rPr>
        <w:t xml:space="preserve"> </w:t>
      </w:r>
      <w:r w:rsidRPr="006C4490">
        <w:rPr>
          <w:lang w:val="en-US"/>
        </w:rPr>
        <w:t>area</w:t>
      </w:r>
      <w:r w:rsidR="00823F92" w:rsidRPr="006C4490">
        <w:rPr>
          <w:lang w:val="en-US"/>
        </w:rPr>
        <w:t>s</w:t>
      </w:r>
      <w:r w:rsidR="00823F92">
        <w:rPr>
          <w:lang w:val="en-US"/>
        </w:rPr>
        <w:t xml:space="preserve"> </w:t>
      </w:r>
      <w:r w:rsidRPr="006C4490">
        <w:rPr>
          <w:lang w:val="en-US"/>
        </w:rPr>
        <w:t>o</w:t>
      </w:r>
      <w:r w:rsidR="00823F92" w:rsidRPr="006C4490">
        <w:rPr>
          <w:lang w:val="en-US"/>
        </w:rPr>
        <w:t>f</w:t>
      </w:r>
      <w:r w:rsidR="00823F92">
        <w:rPr>
          <w:lang w:val="en-US"/>
        </w:rPr>
        <w:t xml:space="preserve"> </w:t>
      </w:r>
      <w:r w:rsidRPr="006C4490">
        <w:rPr>
          <w:lang w:val="en-US"/>
        </w:rPr>
        <w:t>Aborigina</w:t>
      </w:r>
      <w:r w:rsidR="00823F92" w:rsidRPr="006C4490">
        <w:rPr>
          <w:lang w:val="en-US"/>
        </w:rPr>
        <w:t>l</w:t>
      </w:r>
      <w:r w:rsidR="00823F92">
        <w:rPr>
          <w:lang w:val="en-US"/>
        </w:rPr>
        <w:t xml:space="preserve"> </w:t>
      </w:r>
      <w:r w:rsidRPr="006C4490">
        <w:rPr>
          <w:lang w:val="en-US"/>
        </w:rPr>
        <w:t>an</w:t>
      </w:r>
      <w:r w:rsidR="00823F92" w:rsidRPr="006C4490">
        <w:rPr>
          <w:lang w:val="en-US"/>
        </w:rPr>
        <w:t>d</w:t>
      </w:r>
      <w:r w:rsidR="00823F92">
        <w:rPr>
          <w:lang w:val="en-US"/>
        </w:rPr>
        <w:t xml:space="preserve"> </w:t>
      </w:r>
      <w:r w:rsidRPr="006C4490">
        <w:rPr>
          <w:lang w:val="en-US"/>
        </w:rPr>
        <w:t>Torre</w:t>
      </w:r>
      <w:r w:rsidR="00823F92" w:rsidRPr="006C4490">
        <w:rPr>
          <w:lang w:val="en-US"/>
        </w:rPr>
        <w:t>s</w:t>
      </w:r>
      <w:r w:rsidR="00823F92">
        <w:rPr>
          <w:lang w:val="en-US"/>
        </w:rPr>
        <w:t xml:space="preserve"> </w:t>
      </w:r>
      <w:r w:rsidRPr="006C4490">
        <w:rPr>
          <w:lang w:val="en-US"/>
        </w:rPr>
        <w:t>Strai</w:t>
      </w:r>
      <w:r w:rsidR="00823F92" w:rsidRPr="006C4490">
        <w:rPr>
          <w:lang w:val="en-US"/>
        </w:rPr>
        <w:t>t</w:t>
      </w:r>
      <w:r w:rsidR="00823F92">
        <w:rPr>
          <w:lang w:val="en-US"/>
        </w:rPr>
        <w:t xml:space="preserve"> </w:t>
      </w:r>
      <w:r w:rsidRPr="006C4490">
        <w:rPr>
          <w:lang w:val="en-US"/>
        </w:rPr>
        <w:t>Islande</w:t>
      </w:r>
      <w:r w:rsidR="00823F92" w:rsidRPr="006C4490">
        <w:rPr>
          <w:lang w:val="en-US"/>
        </w:rPr>
        <w:t>r</w:t>
      </w:r>
      <w:r w:rsidR="00823F92">
        <w:rPr>
          <w:lang w:val="en-US"/>
        </w:rPr>
        <w:t xml:space="preserve"> </w:t>
      </w:r>
      <w:r w:rsidRPr="006C4490">
        <w:rPr>
          <w:lang w:val="en-US"/>
        </w:rPr>
        <w:t>Communities</w:t>
      </w:r>
      <w:r w:rsidR="00823F92" w:rsidRPr="006C4490">
        <w:rPr>
          <w:lang w:val="en-US"/>
        </w:rPr>
        <w:t>,</w:t>
      </w:r>
      <w:r w:rsidR="00823F92">
        <w:rPr>
          <w:lang w:val="en-US"/>
        </w:rPr>
        <w:t xml:space="preserve"> </w:t>
      </w:r>
      <w:r w:rsidRPr="006C4490">
        <w:rPr>
          <w:lang w:val="en-US"/>
        </w:rPr>
        <w:t>Educatio</w:t>
      </w:r>
      <w:r w:rsidR="00823F92" w:rsidRPr="006C4490">
        <w:rPr>
          <w:lang w:val="en-US"/>
        </w:rPr>
        <w:t>n</w:t>
      </w:r>
      <w:r w:rsidR="00823F92">
        <w:rPr>
          <w:lang w:val="en-US"/>
        </w:rPr>
        <w:t xml:space="preserve"> </w:t>
      </w:r>
      <w:r w:rsidRPr="006C4490">
        <w:rPr>
          <w:lang w:val="en-US"/>
        </w:rPr>
        <w:t>an</w:t>
      </w:r>
      <w:r w:rsidR="00823F92" w:rsidRPr="006C4490">
        <w:rPr>
          <w:lang w:val="en-US"/>
        </w:rPr>
        <w:t>d</w:t>
      </w:r>
      <w:r w:rsidR="00823F92">
        <w:rPr>
          <w:lang w:val="en-US"/>
        </w:rPr>
        <w:t xml:space="preserve"> </w:t>
      </w:r>
      <w:r w:rsidRPr="006C4490">
        <w:rPr>
          <w:lang w:val="en-US"/>
        </w:rPr>
        <w:t>Training</w:t>
      </w:r>
      <w:r w:rsidR="00823F92" w:rsidRPr="006C4490">
        <w:rPr>
          <w:lang w:val="en-US"/>
        </w:rPr>
        <w:t>,</w:t>
      </w:r>
      <w:r w:rsidR="00823F92">
        <w:rPr>
          <w:lang w:val="en-US"/>
        </w:rPr>
        <w:t xml:space="preserve"> </w:t>
      </w:r>
      <w:r w:rsidRPr="006C4490">
        <w:rPr>
          <w:lang w:val="en-US"/>
        </w:rPr>
        <w:t>Intergovernmenta</w:t>
      </w:r>
      <w:r w:rsidR="00823F92" w:rsidRPr="006C4490">
        <w:rPr>
          <w:lang w:val="en-US"/>
        </w:rPr>
        <w:t>l</w:t>
      </w:r>
      <w:r w:rsidR="00823F92">
        <w:rPr>
          <w:lang w:val="en-US"/>
        </w:rPr>
        <w:t xml:space="preserve"> </w:t>
      </w:r>
      <w:r w:rsidRPr="006C4490">
        <w:rPr>
          <w:lang w:val="en-US"/>
        </w:rPr>
        <w:t>an</w:t>
      </w:r>
      <w:r w:rsidR="00823F92" w:rsidRPr="006C4490">
        <w:rPr>
          <w:lang w:val="en-US"/>
        </w:rPr>
        <w:t>d</w:t>
      </w:r>
      <w:r w:rsidR="00823F92">
        <w:rPr>
          <w:lang w:val="en-US"/>
        </w:rPr>
        <w:t xml:space="preserve"> </w:t>
      </w:r>
      <w:r w:rsidRPr="006C4490">
        <w:rPr>
          <w:lang w:val="en-US"/>
        </w:rPr>
        <w:t>Interjurisdictiona</w:t>
      </w:r>
      <w:r w:rsidR="00823F92" w:rsidRPr="006C4490">
        <w:rPr>
          <w:lang w:val="en-US"/>
        </w:rPr>
        <w:t>l</w:t>
      </w:r>
      <w:r w:rsidR="00823F92">
        <w:rPr>
          <w:lang w:val="en-US"/>
        </w:rPr>
        <w:t xml:space="preserve"> </w:t>
      </w:r>
      <w:r w:rsidRPr="006C4490">
        <w:rPr>
          <w:lang w:val="en-US"/>
        </w:rPr>
        <w:t>Issues</w:t>
      </w:r>
      <w:r w:rsidR="00823F92" w:rsidRPr="006C4490">
        <w:rPr>
          <w:lang w:val="en-US"/>
        </w:rPr>
        <w:t>,</w:t>
      </w:r>
      <w:r w:rsidR="00823F92">
        <w:rPr>
          <w:lang w:val="en-US"/>
        </w:rPr>
        <w:t xml:space="preserve"> </w:t>
      </w:r>
      <w:r w:rsidRPr="006C4490">
        <w:rPr>
          <w:lang w:val="en-US"/>
        </w:rPr>
        <w:t>Live</w:t>
      </w:r>
      <w:r w:rsidR="00823F92" w:rsidRPr="006C4490">
        <w:rPr>
          <w:lang w:val="en-US"/>
        </w:rPr>
        <w:t>d</w:t>
      </w:r>
      <w:r w:rsidR="00823F92">
        <w:rPr>
          <w:lang w:val="en-US"/>
        </w:rPr>
        <w:t xml:space="preserve"> </w:t>
      </w:r>
      <w:r w:rsidRPr="006C4490">
        <w:rPr>
          <w:lang w:val="en-US"/>
        </w:rPr>
        <w:t>Experienc</w:t>
      </w:r>
      <w:r w:rsidR="00823F92" w:rsidRPr="006C4490">
        <w:rPr>
          <w:lang w:val="en-US"/>
        </w:rPr>
        <w:t>e</w:t>
      </w:r>
      <w:r w:rsidR="00823F92">
        <w:rPr>
          <w:lang w:val="en-US"/>
        </w:rPr>
        <w:t xml:space="preserve"> </w:t>
      </w:r>
      <w:r w:rsidRPr="006C4490">
        <w:rPr>
          <w:lang w:val="en-US"/>
        </w:rPr>
        <w:t>(Peer) Workforc</w:t>
      </w:r>
      <w:r w:rsidR="00823F92" w:rsidRPr="006C4490">
        <w:rPr>
          <w:lang w:val="en-US"/>
        </w:rPr>
        <w:t>e</w:t>
      </w:r>
      <w:r w:rsidR="00823F92">
        <w:rPr>
          <w:lang w:val="en-US"/>
        </w:rPr>
        <w:t xml:space="preserve"> </w:t>
      </w:r>
      <w:r w:rsidRPr="006C4490">
        <w:rPr>
          <w:lang w:val="en-US"/>
        </w:rPr>
        <w:t>an</w:t>
      </w:r>
      <w:r w:rsidR="00823F92" w:rsidRPr="006C4490">
        <w:rPr>
          <w:lang w:val="en-US"/>
        </w:rPr>
        <w:t>d</w:t>
      </w:r>
      <w:r w:rsidR="00823F92">
        <w:rPr>
          <w:lang w:val="en-US"/>
        </w:rPr>
        <w:t xml:space="preserve"> </w:t>
      </w:r>
      <w:r w:rsidRPr="006C4490">
        <w:rPr>
          <w:lang w:val="en-US"/>
        </w:rPr>
        <w:t>Rura</w:t>
      </w:r>
      <w:r w:rsidR="00823F92" w:rsidRPr="006C4490">
        <w:rPr>
          <w:lang w:val="en-US"/>
        </w:rPr>
        <w:t>l</w:t>
      </w:r>
      <w:r w:rsidR="00823F92">
        <w:rPr>
          <w:lang w:val="en-US"/>
        </w:rPr>
        <w:t xml:space="preserve"> </w:t>
      </w:r>
      <w:r w:rsidRPr="006C4490">
        <w:rPr>
          <w:lang w:val="en-US"/>
        </w:rPr>
        <w:t>an</w:t>
      </w:r>
      <w:r w:rsidR="00823F92" w:rsidRPr="006C4490">
        <w:rPr>
          <w:lang w:val="en-US"/>
        </w:rPr>
        <w:t>d</w:t>
      </w:r>
      <w:r w:rsidR="00823F92">
        <w:rPr>
          <w:lang w:val="en-US"/>
        </w:rPr>
        <w:t xml:space="preserve"> </w:t>
      </w:r>
      <w:r w:rsidRPr="006C4490">
        <w:rPr>
          <w:lang w:val="en-US"/>
        </w:rPr>
        <w:t>Remot</w:t>
      </w:r>
      <w:r w:rsidR="00823F92" w:rsidRPr="006C4490">
        <w:rPr>
          <w:lang w:val="en-US"/>
        </w:rPr>
        <w:t>e</w:t>
      </w:r>
      <w:r w:rsidR="00823F92">
        <w:rPr>
          <w:lang w:val="en-US"/>
        </w:rPr>
        <w:t xml:space="preserve"> </w:t>
      </w:r>
      <w:r w:rsidRPr="006C4490">
        <w:rPr>
          <w:lang w:val="en-US"/>
        </w:rPr>
        <w:t>Contexts</w:t>
      </w:r>
      <w:r w:rsidR="00823F92">
        <w:rPr>
          <w:lang w:val="en-US"/>
        </w:rPr>
        <w:t xml:space="preserve">. A </w:t>
      </w:r>
      <w:r>
        <w:rPr>
          <w:lang w:val="en-US"/>
        </w:rPr>
        <w:t>lis</w:t>
      </w:r>
      <w:r w:rsidR="00823F92">
        <w:rPr>
          <w:lang w:val="en-US"/>
        </w:rPr>
        <w:t xml:space="preserve">t </w:t>
      </w:r>
      <w:r>
        <w:rPr>
          <w:lang w:val="en-US"/>
        </w:rPr>
        <w:t>o</w:t>
      </w:r>
      <w:r w:rsidR="00823F92">
        <w:rPr>
          <w:lang w:val="en-US"/>
        </w:rPr>
        <w:t xml:space="preserve">f </w:t>
      </w:r>
      <w:r>
        <w:rPr>
          <w:lang w:val="en-US"/>
        </w:rPr>
        <w:t>Workin</w:t>
      </w:r>
      <w:r w:rsidR="00823F92">
        <w:rPr>
          <w:lang w:val="en-US"/>
        </w:rPr>
        <w:t xml:space="preserve">g </w:t>
      </w:r>
      <w:r>
        <w:rPr>
          <w:lang w:val="en-US"/>
        </w:rPr>
        <w:t>Grou</w:t>
      </w:r>
      <w:r w:rsidR="00823F92">
        <w:rPr>
          <w:lang w:val="en-US"/>
        </w:rPr>
        <w:t xml:space="preserve">p </w:t>
      </w:r>
      <w:r>
        <w:rPr>
          <w:lang w:val="en-US"/>
        </w:rPr>
        <w:t>member</w:t>
      </w:r>
      <w:r w:rsidR="00823F92">
        <w:rPr>
          <w:lang w:val="en-US"/>
        </w:rPr>
        <w:t xml:space="preserve">s </w:t>
      </w:r>
      <w:r>
        <w:rPr>
          <w:lang w:val="en-US"/>
        </w:rPr>
        <w:t>i</w:t>
      </w:r>
      <w:r w:rsidR="00823F92">
        <w:rPr>
          <w:lang w:val="en-US"/>
        </w:rPr>
        <w:t xml:space="preserve">s </w:t>
      </w:r>
      <w:r>
        <w:rPr>
          <w:lang w:val="en-US"/>
        </w:rPr>
        <w:t>provide</w:t>
      </w:r>
      <w:r w:rsidR="00823F92">
        <w:rPr>
          <w:lang w:val="en-US"/>
        </w:rPr>
        <w:t xml:space="preserve">d </w:t>
      </w:r>
      <w:r>
        <w:rPr>
          <w:lang w:val="en-US"/>
        </w:rPr>
        <w:t>a</w:t>
      </w:r>
      <w:r w:rsidR="00823F92">
        <w:rPr>
          <w:lang w:val="en-US"/>
        </w:rPr>
        <w:t xml:space="preserve">t </w:t>
      </w:r>
      <w:r>
        <w:rPr>
          <w:lang w:val="en-US"/>
        </w:rPr>
        <w:t>Appendi</w:t>
      </w:r>
      <w:r w:rsidR="00823F92">
        <w:rPr>
          <w:lang w:val="en-US"/>
        </w:rPr>
        <w:t xml:space="preserve">x </w:t>
      </w:r>
      <w:r w:rsidR="00801BFE">
        <w:rPr>
          <w:lang w:val="en-US"/>
        </w:rPr>
        <w:t>B</w:t>
      </w:r>
      <w:r>
        <w:rPr>
          <w:lang w:val="en-US"/>
        </w:rPr>
        <w:t>.</w:t>
      </w:r>
    </w:p>
    <w:p w14:paraId="3447982D" w14:textId="17400F60" w:rsidR="006F1767" w:rsidRDefault="007F5595" w:rsidP="006F1767">
      <w:pPr>
        <w:pStyle w:val="BodyText"/>
      </w:pPr>
      <w:r>
        <w:t>Th</w:t>
      </w:r>
      <w:r w:rsidR="00823F92">
        <w:t xml:space="preserve">e </w:t>
      </w:r>
      <w:r w:rsidR="00206C0B">
        <w:t>deliberation</w:t>
      </w:r>
      <w:r w:rsidR="00823F92">
        <w:t xml:space="preserve">s </w:t>
      </w:r>
      <w:r w:rsidR="00206C0B">
        <w:t>o</w:t>
      </w:r>
      <w:r w:rsidR="00823F92">
        <w:t xml:space="preserve">f </w:t>
      </w:r>
      <w:r w:rsidR="006F1767">
        <w:t>th</w:t>
      </w:r>
      <w:r w:rsidR="00823F92">
        <w:t xml:space="preserve">e </w:t>
      </w:r>
      <w:r w:rsidR="00A3769B">
        <w:t>Workin</w:t>
      </w:r>
      <w:r w:rsidR="00823F92">
        <w:t xml:space="preserve">g </w:t>
      </w:r>
      <w:r w:rsidR="00A3769B">
        <w:t>Group</w:t>
      </w:r>
      <w:r w:rsidR="00823F92">
        <w:t xml:space="preserve">s </w:t>
      </w:r>
      <w:r w:rsidR="006F1767">
        <w:t>informe</w:t>
      </w:r>
      <w:r w:rsidR="00823F92">
        <w:t xml:space="preserve">d </w:t>
      </w:r>
      <w:r w:rsidR="006F1767">
        <w:t>th</w:t>
      </w:r>
      <w:r w:rsidR="00823F92">
        <w:t xml:space="preserve">e </w:t>
      </w:r>
      <w:r w:rsidR="006F1767">
        <w:t>scop</w:t>
      </w:r>
      <w:r w:rsidR="00823F92">
        <w:t xml:space="preserve">e </w:t>
      </w:r>
      <w:r w:rsidR="006F1767">
        <w:t>an</w:t>
      </w:r>
      <w:r w:rsidR="00823F92">
        <w:t xml:space="preserve">d </w:t>
      </w:r>
      <w:r w:rsidR="006F1767">
        <w:t>developmen</w:t>
      </w:r>
      <w:r w:rsidR="00823F92">
        <w:t xml:space="preserve">t </w:t>
      </w:r>
      <w:r w:rsidR="006F1767">
        <w:t>o</w:t>
      </w:r>
      <w:r w:rsidR="00823F92">
        <w:t xml:space="preserve">f </w:t>
      </w:r>
      <w:r w:rsidR="006F1767">
        <w:t>th</w:t>
      </w:r>
      <w:r w:rsidR="00823F92">
        <w:t xml:space="preserve">e </w:t>
      </w:r>
      <w:r w:rsidR="006F1767">
        <w:t>Strategy</w:t>
      </w:r>
      <w:r w:rsidR="00823F92">
        <w:t xml:space="preserve">. </w:t>
      </w:r>
      <w:r w:rsidR="006F1767">
        <w:t>Eac</w:t>
      </w:r>
      <w:r w:rsidR="00823F92">
        <w:t xml:space="preserve">h </w:t>
      </w:r>
      <w:r w:rsidR="00BC7345">
        <w:t>Workin</w:t>
      </w:r>
      <w:r w:rsidR="00823F92">
        <w:t xml:space="preserve">g </w:t>
      </w:r>
      <w:r w:rsidR="00BC7345">
        <w:t>G</w:t>
      </w:r>
      <w:r w:rsidR="006F1767">
        <w:t>rou</w:t>
      </w:r>
      <w:r w:rsidR="00823F92">
        <w:t xml:space="preserve">p </w:t>
      </w:r>
      <w:r w:rsidR="006F1767">
        <w:t>consider</w:t>
      </w:r>
      <w:r w:rsidR="00102AD1">
        <w:t>e</w:t>
      </w:r>
      <w:r w:rsidR="00823F92">
        <w:t xml:space="preserve">d </w:t>
      </w:r>
      <w:r w:rsidR="006F1767">
        <w:t>issues</w:t>
      </w:r>
      <w:r w:rsidR="00823F92">
        <w:t xml:space="preserve">, </w:t>
      </w:r>
      <w:r w:rsidR="006F1767">
        <w:t>gap</w:t>
      </w:r>
      <w:r w:rsidR="00823F92">
        <w:t xml:space="preserve">s </w:t>
      </w:r>
      <w:r w:rsidR="006F1767">
        <w:t>an</w:t>
      </w:r>
      <w:r w:rsidR="00823F92">
        <w:t xml:space="preserve">d </w:t>
      </w:r>
      <w:r w:rsidR="006F1767">
        <w:t>potentia</w:t>
      </w:r>
      <w:r w:rsidR="00823F92">
        <w:t xml:space="preserve">l </w:t>
      </w:r>
      <w:r w:rsidR="006F1767">
        <w:t>solution</w:t>
      </w:r>
      <w:r w:rsidR="00823F92">
        <w:t xml:space="preserve">s </w:t>
      </w:r>
      <w:r w:rsidR="00BC7345">
        <w:t>relevan</w:t>
      </w:r>
      <w:r w:rsidR="00823F92">
        <w:t xml:space="preserve">t </w:t>
      </w:r>
      <w:r w:rsidR="006F1767">
        <w:t>t</w:t>
      </w:r>
      <w:r w:rsidR="00823F92">
        <w:t xml:space="preserve">o </w:t>
      </w:r>
      <w:r w:rsidR="006F1767">
        <w:t>thei</w:t>
      </w:r>
      <w:r w:rsidR="00823F92">
        <w:t xml:space="preserve">r </w:t>
      </w:r>
      <w:r w:rsidR="006F1767">
        <w:t>priorit</w:t>
      </w:r>
      <w:r w:rsidR="00823F92">
        <w:t xml:space="preserve">y </w:t>
      </w:r>
      <w:r w:rsidR="006F1767">
        <w:t>are</w:t>
      </w:r>
      <w:r w:rsidR="00823F92">
        <w:t xml:space="preserve">a </w:t>
      </w:r>
      <w:r w:rsidR="00AD51E2">
        <w:t>including</w:t>
      </w:r>
      <w:r w:rsidR="006F1767">
        <w:t>:</w:t>
      </w:r>
    </w:p>
    <w:p w14:paraId="39A5B61D" w14:textId="5F043108" w:rsidR="006F1767" w:rsidRDefault="006F1767" w:rsidP="00102AD1">
      <w:pPr>
        <w:pStyle w:val="ListBullet"/>
      </w:pPr>
      <w:r>
        <w:t>expecte</w:t>
      </w:r>
      <w:r w:rsidR="00823F92">
        <w:t xml:space="preserve">d </w:t>
      </w:r>
      <w:r>
        <w:t>skil</w:t>
      </w:r>
      <w:r w:rsidR="00823F92">
        <w:t xml:space="preserve">l </w:t>
      </w:r>
      <w:r>
        <w:t>set</w:t>
      </w:r>
    </w:p>
    <w:p w14:paraId="2548401E" w14:textId="3DECA1FC" w:rsidR="006F1767" w:rsidRDefault="006F1767" w:rsidP="00102AD1">
      <w:pPr>
        <w:pStyle w:val="ListBullet"/>
      </w:pPr>
      <w:r>
        <w:t>equit</w:t>
      </w:r>
      <w:r w:rsidR="00823F92">
        <w:t xml:space="preserve">y </w:t>
      </w:r>
      <w:r>
        <w:t>o</w:t>
      </w:r>
      <w:r w:rsidR="00823F92">
        <w:t xml:space="preserve">f </w:t>
      </w:r>
      <w:r>
        <w:t>acces</w:t>
      </w:r>
      <w:r w:rsidR="00823F92">
        <w:t xml:space="preserve">s </w:t>
      </w:r>
      <w:r>
        <w:t>t</w:t>
      </w:r>
      <w:r w:rsidR="00823F92">
        <w:t xml:space="preserve">o </w:t>
      </w:r>
      <w:r>
        <w:t>trainin</w:t>
      </w:r>
      <w:r w:rsidR="00823F92">
        <w:t xml:space="preserve">g </w:t>
      </w:r>
      <w:r>
        <w:t>an</w:t>
      </w:r>
      <w:r w:rsidR="00823F92">
        <w:t xml:space="preserve">d </w:t>
      </w:r>
      <w:r>
        <w:t>education</w:t>
      </w:r>
    </w:p>
    <w:p w14:paraId="5FD0809C" w14:textId="16CCA224" w:rsidR="006F1767" w:rsidRDefault="006F1767" w:rsidP="00102AD1">
      <w:pPr>
        <w:pStyle w:val="ListBullet"/>
      </w:pPr>
      <w:r>
        <w:t>caree</w:t>
      </w:r>
      <w:r w:rsidR="00823F92">
        <w:t xml:space="preserve">r </w:t>
      </w:r>
      <w:r>
        <w:t>pathways</w:t>
      </w:r>
    </w:p>
    <w:p w14:paraId="5CE2C5F9" w14:textId="2DBF69AB" w:rsidR="006F1767" w:rsidRDefault="006F1767" w:rsidP="00102AD1">
      <w:pPr>
        <w:pStyle w:val="ListBullet"/>
      </w:pPr>
      <w:r>
        <w:t>readines</w:t>
      </w:r>
      <w:r w:rsidR="00823F92">
        <w:t xml:space="preserve">s </w:t>
      </w:r>
      <w:r>
        <w:t>i</w:t>
      </w:r>
      <w:r w:rsidR="00823F92">
        <w:t xml:space="preserve">n </w:t>
      </w:r>
      <w:r>
        <w:t>th</w:t>
      </w:r>
      <w:r w:rsidR="00823F92">
        <w:t xml:space="preserve">e </w:t>
      </w:r>
      <w:r>
        <w:t>healt</w:t>
      </w:r>
      <w:r w:rsidR="00823F92">
        <w:t xml:space="preserve">h </w:t>
      </w:r>
      <w:r>
        <w:t>syste</w:t>
      </w:r>
      <w:r w:rsidR="00823F92">
        <w:t xml:space="preserve">m </w:t>
      </w:r>
      <w:r>
        <w:t>t</w:t>
      </w:r>
      <w:r w:rsidR="00823F92">
        <w:t xml:space="preserve">o </w:t>
      </w:r>
      <w:r>
        <w:t>suppor</w:t>
      </w:r>
      <w:r w:rsidR="00823F92">
        <w:t xml:space="preserve">t </w:t>
      </w:r>
      <w:r>
        <w:t>th</w:t>
      </w:r>
      <w:r w:rsidR="00823F92">
        <w:t xml:space="preserve">e </w:t>
      </w:r>
      <w:r>
        <w:t>emergin</w:t>
      </w:r>
      <w:r w:rsidR="00823F92">
        <w:t xml:space="preserve">g </w:t>
      </w:r>
      <w:r>
        <w:t>workforce</w:t>
      </w:r>
    </w:p>
    <w:p w14:paraId="02D1D17B" w14:textId="2AF9BC76" w:rsidR="006F1767" w:rsidRDefault="006F1767" w:rsidP="00102AD1">
      <w:pPr>
        <w:pStyle w:val="ListBullet"/>
      </w:pPr>
      <w:r>
        <w:t>acces</w:t>
      </w:r>
      <w:r w:rsidR="00823F92">
        <w:t xml:space="preserve">s </w:t>
      </w:r>
      <w:r>
        <w:t>t</w:t>
      </w:r>
      <w:r w:rsidR="00823F92">
        <w:t xml:space="preserve">o </w:t>
      </w:r>
      <w:r>
        <w:t>mentorin</w:t>
      </w:r>
      <w:r w:rsidR="00823F92">
        <w:t xml:space="preserve">g </w:t>
      </w:r>
      <w:r>
        <w:t>suppor</w:t>
      </w:r>
      <w:r w:rsidR="00823F92">
        <w:t xml:space="preserve">t </w:t>
      </w:r>
      <w:r>
        <w:t>an</w:t>
      </w:r>
      <w:r w:rsidR="00823F92">
        <w:t xml:space="preserve">d </w:t>
      </w:r>
      <w:r>
        <w:t>supervision</w:t>
      </w:r>
    </w:p>
    <w:p w14:paraId="465DFE00" w14:textId="61018B6E" w:rsidR="006F1767" w:rsidRDefault="006F1767" w:rsidP="00102AD1">
      <w:pPr>
        <w:pStyle w:val="ListBullet"/>
      </w:pPr>
      <w:r>
        <w:t>prevalenc</w:t>
      </w:r>
      <w:r w:rsidR="00823F92">
        <w:t xml:space="preserve">e </w:t>
      </w:r>
      <w:r>
        <w:t>o</w:t>
      </w:r>
      <w:r w:rsidR="00823F92">
        <w:t xml:space="preserve">f </w:t>
      </w:r>
      <w:r>
        <w:t>traum</w:t>
      </w:r>
      <w:r w:rsidR="00823F92">
        <w:t xml:space="preserve">a </w:t>
      </w:r>
      <w:r>
        <w:t>informe</w:t>
      </w:r>
      <w:r w:rsidR="00823F92">
        <w:t xml:space="preserve">d </w:t>
      </w:r>
      <w:r>
        <w:t>practice</w:t>
      </w:r>
    </w:p>
    <w:p w14:paraId="1EE62730" w14:textId="76ADA8C0" w:rsidR="006F1767" w:rsidRDefault="006F1767" w:rsidP="00102AD1">
      <w:pPr>
        <w:pStyle w:val="ListBullet"/>
      </w:pPr>
      <w:r>
        <w:t>uptak</w:t>
      </w:r>
      <w:r w:rsidR="00823F92">
        <w:t xml:space="preserve">e </w:t>
      </w:r>
      <w:r>
        <w:t>an</w:t>
      </w:r>
      <w:r w:rsidR="00823F92">
        <w:t xml:space="preserve">d </w:t>
      </w:r>
      <w:r>
        <w:t>suitabilit</w:t>
      </w:r>
      <w:r w:rsidR="00823F92">
        <w:t xml:space="preserve">y </w:t>
      </w:r>
      <w:r>
        <w:t>o</w:t>
      </w:r>
      <w:r w:rsidR="00823F92">
        <w:t xml:space="preserve">f </w:t>
      </w:r>
      <w:r>
        <w:t>alternativ</w:t>
      </w:r>
      <w:r w:rsidR="00823F92">
        <w:t xml:space="preserve">e </w:t>
      </w:r>
      <w:r>
        <w:t>servic</w:t>
      </w:r>
      <w:r w:rsidR="00823F92">
        <w:t xml:space="preserve">e </w:t>
      </w:r>
      <w:r>
        <w:t>deliver</w:t>
      </w:r>
      <w:r w:rsidR="00823F92">
        <w:t xml:space="preserve">y </w:t>
      </w:r>
      <w:r>
        <w:t>model</w:t>
      </w:r>
      <w:r w:rsidR="00823F92">
        <w:t xml:space="preserve">s </w:t>
      </w:r>
      <w:r>
        <w:t>suc</w:t>
      </w:r>
      <w:r w:rsidR="00823F92">
        <w:t xml:space="preserve">h </w:t>
      </w:r>
      <w:r>
        <w:t>a</w:t>
      </w:r>
      <w:r w:rsidR="00823F92">
        <w:t xml:space="preserve">s </w:t>
      </w:r>
      <w:r>
        <w:t>telehealth; and</w:t>
      </w:r>
    </w:p>
    <w:p w14:paraId="7E7A171A" w14:textId="6FCE85C6" w:rsidR="006F1767" w:rsidRDefault="006F1767" w:rsidP="00102AD1">
      <w:pPr>
        <w:pStyle w:val="ListBullet"/>
      </w:pPr>
      <w:r>
        <w:t>appropriat</w:t>
      </w:r>
      <w:r w:rsidR="00823F92">
        <w:t xml:space="preserve">e </w:t>
      </w:r>
      <w:r>
        <w:t>measure</w:t>
      </w:r>
      <w:r w:rsidR="00823F92">
        <w:t xml:space="preserve">s </w:t>
      </w:r>
      <w:r>
        <w:t>b</w:t>
      </w:r>
      <w:r w:rsidR="00823F92">
        <w:t xml:space="preserve">y </w:t>
      </w:r>
      <w:r>
        <w:t>whic</w:t>
      </w:r>
      <w:r w:rsidR="00823F92">
        <w:t xml:space="preserve">h </w:t>
      </w:r>
      <w:r>
        <w:t>t</w:t>
      </w:r>
      <w:r w:rsidR="00823F92">
        <w:t xml:space="preserve">o </w:t>
      </w:r>
      <w:r>
        <w:t>determin</w:t>
      </w:r>
      <w:r w:rsidR="00823F92">
        <w:t xml:space="preserve">e </w:t>
      </w:r>
      <w:r>
        <w:t>th</w:t>
      </w:r>
      <w:r w:rsidR="00823F92">
        <w:t xml:space="preserve">e </w:t>
      </w:r>
      <w:r>
        <w:t>adequac</w:t>
      </w:r>
      <w:r w:rsidR="00823F92">
        <w:t xml:space="preserve">y </w:t>
      </w:r>
      <w:r>
        <w:t>o</w:t>
      </w:r>
      <w:r w:rsidR="00823F92">
        <w:t xml:space="preserve">f </w:t>
      </w:r>
      <w:r>
        <w:t>th</w:t>
      </w:r>
      <w:r w:rsidR="00823F92">
        <w:t xml:space="preserve">e </w:t>
      </w:r>
      <w:r>
        <w:t>menta</w:t>
      </w:r>
      <w:r w:rsidR="00823F92">
        <w:t xml:space="preserve">l </w:t>
      </w:r>
      <w:r>
        <w:t>healt</w:t>
      </w:r>
      <w:r w:rsidR="00823F92">
        <w:t xml:space="preserve">h </w:t>
      </w:r>
      <w:r>
        <w:t>workforce</w:t>
      </w:r>
      <w:r w:rsidR="00102AD1">
        <w:t>.</w:t>
      </w:r>
    </w:p>
    <w:p w14:paraId="48E25C7A" w14:textId="374293D9" w:rsidR="00DF5A10" w:rsidRDefault="00DF5A10" w:rsidP="00DF5A10">
      <w:pPr>
        <w:pStyle w:val="Heading2"/>
        <w:rPr>
          <w:lang w:val="en-US"/>
        </w:rPr>
      </w:pPr>
      <w:bookmarkStart w:id="7" w:name="_Toc99018981"/>
      <w:r>
        <w:rPr>
          <w:lang w:val="en-US"/>
        </w:rPr>
        <w:t>Consume</w:t>
      </w:r>
      <w:r w:rsidR="00823F92">
        <w:rPr>
          <w:lang w:val="en-US"/>
        </w:rPr>
        <w:t xml:space="preserve">r </w:t>
      </w:r>
      <w:r>
        <w:rPr>
          <w:lang w:val="en-US"/>
        </w:rPr>
        <w:t>an</w:t>
      </w:r>
      <w:r w:rsidR="00823F92">
        <w:rPr>
          <w:lang w:val="en-US"/>
        </w:rPr>
        <w:t xml:space="preserve">d </w:t>
      </w:r>
      <w:proofErr w:type="spellStart"/>
      <w:r>
        <w:rPr>
          <w:lang w:val="en-US"/>
        </w:rPr>
        <w:t>care</w:t>
      </w:r>
      <w:r w:rsidR="00823F92">
        <w:rPr>
          <w:lang w:val="en-US"/>
        </w:rPr>
        <w:t>r</w:t>
      </w:r>
      <w:proofErr w:type="spellEnd"/>
      <w:r w:rsidR="00823F92">
        <w:rPr>
          <w:lang w:val="en-US"/>
        </w:rPr>
        <w:t xml:space="preserve"> </w:t>
      </w:r>
      <w:r>
        <w:rPr>
          <w:lang w:val="en-US"/>
        </w:rPr>
        <w:t>consultation</w:t>
      </w:r>
      <w:bookmarkEnd w:id="7"/>
    </w:p>
    <w:p w14:paraId="78A03E14" w14:textId="61E28E7F" w:rsidR="004A18BF" w:rsidRDefault="00DF5A10" w:rsidP="00DF5A10">
      <w:pPr>
        <w:pStyle w:val="BodyText"/>
        <w:rPr>
          <w:lang w:val="en-US"/>
        </w:rPr>
      </w:pPr>
      <w:r>
        <w:rPr>
          <w:lang w:val="en-US"/>
        </w:rPr>
        <w:t>Th</w:t>
      </w:r>
      <w:r w:rsidR="00823F92">
        <w:rPr>
          <w:lang w:val="en-US"/>
        </w:rPr>
        <w:t xml:space="preserve">e </w:t>
      </w:r>
      <w:r>
        <w:rPr>
          <w:lang w:val="en-US"/>
        </w:rPr>
        <w:t>perspective</w:t>
      </w:r>
      <w:r w:rsidR="00823F92">
        <w:rPr>
          <w:lang w:val="en-US"/>
        </w:rPr>
        <w:t xml:space="preserve">s </w:t>
      </w:r>
      <w:r>
        <w:rPr>
          <w:lang w:val="en-US"/>
        </w:rPr>
        <w:t>an</w:t>
      </w:r>
      <w:r w:rsidR="00823F92">
        <w:rPr>
          <w:lang w:val="en-US"/>
        </w:rPr>
        <w:t xml:space="preserve">d </w:t>
      </w:r>
      <w:r>
        <w:rPr>
          <w:lang w:val="en-US"/>
        </w:rPr>
        <w:t>experience</w:t>
      </w:r>
      <w:r w:rsidR="00823F92">
        <w:rPr>
          <w:lang w:val="en-US"/>
        </w:rPr>
        <w:t xml:space="preserve">s </w:t>
      </w:r>
      <w:r>
        <w:rPr>
          <w:lang w:val="en-US"/>
        </w:rPr>
        <w:t>o</w:t>
      </w:r>
      <w:r w:rsidR="00823F92">
        <w:rPr>
          <w:lang w:val="en-US"/>
        </w:rPr>
        <w:t xml:space="preserve">f </w:t>
      </w:r>
      <w:r>
        <w:rPr>
          <w:lang w:val="en-US"/>
        </w:rPr>
        <w:t>consumer</w:t>
      </w:r>
      <w:r w:rsidR="00823F92">
        <w:rPr>
          <w:lang w:val="en-US"/>
        </w:rPr>
        <w:t xml:space="preserve">s </w:t>
      </w:r>
      <w:r>
        <w:rPr>
          <w:lang w:val="en-US"/>
        </w:rPr>
        <w:t>an</w:t>
      </w:r>
      <w:r w:rsidR="00823F92">
        <w:rPr>
          <w:lang w:val="en-US"/>
        </w:rPr>
        <w:t xml:space="preserve">d </w:t>
      </w:r>
      <w:proofErr w:type="spellStart"/>
      <w:r>
        <w:rPr>
          <w:lang w:val="en-US"/>
        </w:rPr>
        <w:t>carer</w:t>
      </w:r>
      <w:r w:rsidR="00823F92">
        <w:rPr>
          <w:lang w:val="en-US"/>
        </w:rPr>
        <w:t>s</w:t>
      </w:r>
      <w:proofErr w:type="spellEnd"/>
      <w:r w:rsidR="00823F92">
        <w:rPr>
          <w:lang w:val="en-US"/>
        </w:rPr>
        <w:t xml:space="preserve"> </w:t>
      </w:r>
      <w:r>
        <w:rPr>
          <w:lang w:val="en-US"/>
        </w:rPr>
        <w:t>hav</w:t>
      </w:r>
      <w:r w:rsidR="00823F92">
        <w:rPr>
          <w:lang w:val="en-US"/>
        </w:rPr>
        <w:t xml:space="preserve">e </w:t>
      </w:r>
      <w:r>
        <w:rPr>
          <w:lang w:val="en-US"/>
        </w:rPr>
        <w:t>bee</w:t>
      </w:r>
      <w:r w:rsidR="00823F92">
        <w:rPr>
          <w:lang w:val="en-US"/>
        </w:rPr>
        <w:t xml:space="preserve">n </w:t>
      </w:r>
      <w:r>
        <w:rPr>
          <w:lang w:val="en-US"/>
        </w:rPr>
        <w:t>capture</w:t>
      </w:r>
      <w:r w:rsidR="00823F92">
        <w:rPr>
          <w:lang w:val="en-US"/>
        </w:rPr>
        <w:t xml:space="preserve">d </w:t>
      </w:r>
      <w:r>
        <w:rPr>
          <w:lang w:val="en-US"/>
        </w:rPr>
        <w:t>throughou</w:t>
      </w:r>
      <w:r w:rsidR="00823F92">
        <w:rPr>
          <w:lang w:val="en-US"/>
        </w:rPr>
        <w:t xml:space="preserve">t </w:t>
      </w:r>
      <w:r>
        <w:rPr>
          <w:lang w:val="en-US"/>
        </w:rPr>
        <w:t>th</w:t>
      </w:r>
      <w:r w:rsidR="00823F92">
        <w:rPr>
          <w:lang w:val="en-US"/>
        </w:rPr>
        <w:t xml:space="preserve">e </w:t>
      </w:r>
      <w:r>
        <w:rPr>
          <w:lang w:val="en-US"/>
        </w:rPr>
        <w:t>developmen</w:t>
      </w:r>
      <w:r w:rsidR="00823F92">
        <w:rPr>
          <w:lang w:val="en-US"/>
        </w:rPr>
        <w:t xml:space="preserve">t </w:t>
      </w:r>
      <w:r>
        <w:rPr>
          <w:lang w:val="en-US"/>
        </w:rPr>
        <w:t>process</w:t>
      </w:r>
      <w:r w:rsidR="00823F92">
        <w:rPr>
          <w:lang w:val="en-US"/>
        </w:rPr>
        <w:t xml:space="preserve">. </w:t>
      </w:r>
      <w:r>
        <w:rPr>
          <w:lang w:val="en-US"/>
        </w:rPr>
        <w:t>Th</w:t>
      </w:r>
      <w:r w:rsidR="00823F92">
        <w:rPr>
          <w:lang w:val="en-US"/>
        </w:rPr>
        <w:t xml:space="preserve">e </w:t>
      </w:r>
      <w:r>
        <w:rPr>
          <w:lang w:val="en-US"/>
        </w:rPr>
        <w:t>Taskforc</w:t>
      </w:r>
      <w:r w:rsidR="00823F92">
        <w:rPr>
          <w:lang w:val="en-US"/>
        </w:rPr>
        <w:t xml:space="preserve">e </w:t>
      </w:r>
      <w:r>
        <w:rPr>
          <w:lang w:val="en-US"/>
        </w:rPr>
        <w:t>membershi</w:t>
      </w:r>
      <w:r w:rsidR="00823F92">
        <w:rPr>
          <w:lang w:val="en-US"/>
        </w:rPr>
        <w:t xml:space="preserve">p </w:t>
      </w:r>
      <w:r w:rsidR="004A18BF">
        <w:rPr>
          <w:lang w:val="en-US"/>
        </w:rPr>
        <w:t>an</w:t>
      </w:r>
      <w:r w:rsidR="00823F92">
        <w:rPr>
          <w:lang w:val="en-US"/>
        </w:rPr>
        <w:t xml:space="preserve">d </w:t>
      </w:r>
      <w:r w:rsidR="004A18BF">
        <w:rPr>
          <w:lang w:val="en-US"/>
        </w:rPr>
        <w:t>eac</w:t>
      </w:r>
      <w:r w:rsidR="00823F92">
        <w:rPr>
          <w:lang w:val="en-US"/>
        </w:rPr>
        <w:t xml:space="preserve">h </w:t>
      </w:r>
      <w:r w:rsidR="004A18BF">
        <w:rPr>
          <w:lang w:val="en-US"/>
        </w:rPr>
        <w:t>Workin</w:t>
      </w:r>
      <w:r w:rsidR="00823F92">
        <w:rPr>
          <w:lang w:val="en-US"/>
        </w:rPr>
        <w:t xml:space="preserve">g </w:t>
      </w:r>
      <w:r w:rsidR="004A18BF">
        <w:rPr>
          <w:lang w:val="en-US"/>
        </w:rPr>
        <w:t>Grou</w:t>
      </w:r>
      <w:r w:rsidR="00823F92">
        <w:rPr>
          <w:lang w:val="en-US"/>
        </w:rPr>
        <w:t xml:space="preserve">p </w:t>
      </w:r>
      <w:r>
        <w:rPr>
          <w:lang w:val="en-US"/>
        </w:rPr>
        <w:t>include</w:t>
      </w:r>
      <w:r w:rsidR="00823F92">
        <w:rPr>
          <w:lang w:val="en-US"/>
        </w:rPr>
        <w:t xml:space="preserve">d </w:t>
      </w:r>
      <w:r>
        <w:rPr>
          <w:lang w:val="en-US"/>
        </w:rPr>
        <w:t>consume</w:t>
      </w:r>
      <w:r w:rsidR="00823F92">
        <w:rPr>
          <w:lang w:val="en-US"/>
        </w:rPr>
        <w:t xml:space="preserve">r </w:t>
      </w:r>
      <w:r>
        <w:rPr>
          <w:lang w:val="en-US"/>
        </w:rPr>
        <w:t>an</w:t>
      </w:r>
      <w:r w:rsidR="00823F92">
        <w:rPr>
          <w:lang w:val="en-US"/>
        </w:rPr>
        <w:t xml:space="preserve">d </w:t>
      </w:r>
      <w:proofErr w:type="spellStart"/>
      <w:r>
        <w:rPr>
          <w:lang w:val="en-US"/>
        </w:rPr>
        <w:t>care</w:t>
      </w:r>
      <w:r w:rsidR="00823F92">
        <w:rPr>
          <w:lang w:val="en-US"/>
        </w:rPr>
        <w:t>r</w:t>
      </w:r>
      <w:proofErr w:type="spellEnd"/>
      <w:r w:rsidR="00823F92">
        <w:rPr>
          <w:lang w:val="en-US"/>
        </w:rPr>
        <w:t xml:space="preserve"> </w:t>
      </w:r>
      <w:r>
        <w:rPr>
          <w:lang w:val="en-US"/>
        </w:rPr>
        <w:t>representative</w:t>
      </w:r>
      <w:r w:rsidR="00823F92">
        <w:rPr>
          <w:lang w:val="en-US"/>
        </w:rPr>
        <w:t xml:space="preserve">s </w:t>
      </w:r>
      <w:r w:rsidR="004A18BF">
        <w:rPr>
          <w:lang w:val="en-US"/>
        </w:rPr>
        <w:t>t</w:t>
      </w:r>
      <w:r w:rsidR="00823F92">
        <w:rPr>
          <w:lang w:val="en-US"/>
        </w:rPr>
        <w:t xml:space="preserve">o </w:t>
      </w:r>
      <w:r w:rsidR="004A18BF">
        <w:rPr>
          <w:lang w:val="en-US"/>
        </w:rPr>
        <w:t>ensur</w:t>
      </w:r>
      <w:r w:rsidR="00823F92">
        <w:rPr>
          <w:lang w:val="en-US"/>
        </w:rPr>
        <w:t xml:space="preserve">e </w:t>
      </w:r>
      <w:r w:rsidR="004A18BF">
        <w:rPr>
          <w:lang w:val="en-US"/>
        </w:rPr>
        <w:t>feedbac</w:t>
      </w:r>
      <w:r w:rsidR="00823F92">
        <w:rPr>
          <w:lang w:val="en-US"/>
        </w:rPr>
        <w:t xml:space="preserve">k </w:t>
      </w:r>
      <w:r w:rsidR="004A18BF">
        <w:rPr>
          <w:lang w:val="en-US"/>
        </w:rPr>
        <w:t>wa</w:t>
      </w:r>
      <w:r w:rsidR="00823F92">
        <w:rPr>
          <w:lang w:val="en-US"/>
        </w:rPr>
        <w:t xml:space="preserve">s </w:t>
      </w:r>
      <w:r w:rsidR="004A18BF">
        <w:rPr>
          <w:lang w:val="en-US"/>
        </w:rPr>
        <w:t>integrate</w:t>
      </w:r>
      <w:r w:rsidR="00823F92">
        <w:rPr>
          <w:lang w:val="en-US"/>
        </w:rPr>
        <w:t xml:space="preserve">d </w:t>
      </w:r>
      <w:r w:rsidR="004A18BF">
        <w:rPr>
          <w:lang w:val="en-US"/>
        </w:rPr>
        <w:t>a</w:t>
      </w:r>
      <w:r w:rsidR="00823F92">
        <w:rPr>
          <w:lang w:val="en-US"/>
        </w:rPr>
        <w:t xml:space="preserve">t </w:t>
      </w:r>
      <w:r w:rsidR="004A18BF">
        <w:rPr>
          <w:lang w:val="en-US"/>
        </w:rPr>
        <w:t>eac</w:t>
      </w:r>
      <w:r w:rsidR="00823F92">
        <w:rPr>
          <w:lang w:val="en-US"/>
        </w:rPr>
        <w:t xml:space="preserve">h </w:t>
      </w:r>
      <w:r w:rsidR="004A18BF">
        <w:rPr>
          <w:lang w:val="en-US"/>
        </w:rPr>
        <w:t>stage.</w:t>
      </w:r>
    </w:p>
    <w:p w14:paraId="2154AC73" w14:textId="2B217F0B" w:rsidR="00DF5A10" w:rsidRDefault="004A18BF" w:rsidP="004A18BF">
      <w:pPr>
        <w:pStyle w:val="BodyText"/>
      </w:pPr>
      <w:r>
        <w:rPr>
          <w:lang w:val="en-US"/>
        </w:rPr>
        <w:t>Tw</w:t>
      </w:r>
      <w:r w:rsidR="00823F92">
        <w:rPr>
          <w:lang w:val="en-US"/>
        </w:rPr>
        <w:t xml:space="preserve">o </w:t>
      </w:r>
      <w:r>
        <w:rPr>
          <w:lang w:val="en-US"/>
        </w:rPr>
        <w:t>Consume</w:t>
      </w:r>
      <w:r w:rsidR="00823F92">
        <w:rPr>
          <w:lang w:val="en-US"/>
        </w:rPr>
        <w:t xml:space="preserve">r </w:t>
      </w:r>
      <w:r>
        <w:rPr>
          <w:lang w:val="en-US"/>
        </w:rPr>
        <w:t>an</w:t>
      </w:r>
      <w:r w:rsidR="00823F92">
        <w:rPr>
          <w:lang w:val="en-US"/>
        </w:rPr>
        <w:t xml:space="preserve">d </w:t>
      </w:r>
      <w:proofErr w:type="spellStart"/>
      <w:r>
        <w:rPr>
          <w:lang w:val="en-US"/>
        </w:rPr>
        <w:t>Care</w:t>
      </w:r>
      <w:r w:rsidR="00823F92">
        <w:rPr>
          <w:lang w:val="en-US"/>
        </w:rPr>
        <w:t>r</w:t>
      </w:r>
      <w:proofErr w:type="spellEnd"/>
      <w:r w:rsidR="00823F92">
        <w:rPr>
          <w:lang w:val="en-US"/>
        </w:rPr>
        <w:t xml:space="preserve"> </w:t>
      </w:r>
      <w:r>
        <w:rPr>
          <w:lang w:val="en-US"/>
        </w:rPr>
        <w:t>Roundtable</w:t>
      </w:r>
      <w:r w:rsidR="00823F92">
        <w:rPr>
          <w:lang w:val="en-US"/>
        </w:rPr>
        <w:t xml:space="preserve">s </w:t>
      </w:r>
      <w:r>
        <w:rPr>
          <w:lang w:val="en-US"/>
        </w:rPr>
        <w:t>hav</w:t>
      </w:r>
      <w:r w:rsidR="00823F92">
        <w:rPr>
          <w:lang w:val="en-US"/>
        </w:rPr>
        <w:t xml:space="preserve">e </w:t>
      </w:r>
      <w:r>
        <w:rPr>
          <w:lang w:val="en-US"/>
        </w:rPr>
        <w:t>bee</w:t>
      </w:r>
      <w:r w:rsidR="00823F92">
        <w:rPr>
          <w:lang w:val="en-US"/>
        </w:rPr>
        <w:t xml:space="preserve">n </w:t>
      </w:r>
      <w:r>
        <w:rPr>
          <w:lang w:val="en-US"/>
        </w:rPr>
        <w:t>held</w:t>
      </w:r>
      <w:r w:rsidR="00823F92">
        <w:rPr>
          <w:lang w:val="en-US"/>
        </w:rPr>
        <w:t xml:space="preserve">, </w:t>
      </w:r>
      <w:r>
        <w:rPr>
          <w:lang w:val="en-US"/>
        </w:rPr>
        <w:t>facilitate</w:t>
      </w:r>
      <w:r w:rsidR="00823F92">
        <w:rPr>
          <w:lang w:val="en-US"/>
        </w:rPr>
        <w:t xml:space="preserve">d </w:t>
      </w:r>
      <w:r>
        <w:rPr>
          <w:lang w:val="en-US"/>
        </w:rPr>
        <w:t>b</w:t>
      </w:r>
      <w:r w:rsidR="00823F92">
        <w:rPr>
          <w:lang w:val="en-US"/>
        </w:rPr>
        <w:t xml:space="preserve">y </w:t>
      </w:r>
      <w:r>
        <w:rPr>
          <w:lang w:val="en-US"/>
        </w:rPr>
        <w:t>Menta</w:t>
      </w:r>
      <w:r w:rsidR="00823F92">
        <w:rPr>
          <w:lang w:val="en-US"/>
        </w:rPr>
        <w:t xml:space="preserve">l </w:t>
      </w:r>
      <w:r>
        <w:rPr>
          <w:lang w:val="en-US"/>
        </w:rPr>
        <w:t>Healt</w:t>
      </w:r>
      <w:r w:rsidR="00823F92">
        <w:rPr>
          <w:lang w:val="en-US"/>
        </w:rPr>
        <w:t xml:space="preserve">h </w:t>
      </w:r>
      <w:r>
        <w:rPr>
          <w:lang w:val="en-US"/>
        </w:rPr>
        <w:t>Australia</w:t>
      </w:r>
      <w:r w:rsidR="00823F92">
        <w:rPr>
          <w:lang w:val="en-US"/>
        </w:rPr>
        <w:t xml:space="preserve">. </w:t>
      </w:r>
      <w:r>
        <w:rPr>
          <w:lang w:val="en-US"/>
        </w:rPr>
        <w:t>Th</w:t>
      </w:r>
      <w:r w:rsidR="00823F92">
        <w:rPr>
          <w:lang w:val="en-US"/>
        </w:rPr>
        <w:t xml:space="preserve">e </w:t>
      </w:r>
      <w:r>
        <w:rPr>
          <w:lang w:val="en-US"/>
        </w:rPr>
        <w:t>firs</w:t>
      </w:r>
      <w:r w:rsidR="00823F92">
        <w:rPr>
          <w:lang w:val="en-US"/>
        </w:rPr>
        <w:t xml:space="preserve">t </w:t>
      </w:r>
      <w:r>
        <w:rPr>
          <w:lang w:val="en-US"/>
        </w:rPr>
        <w:t>Roundtabl</w:t>
      </w:r>
      <w:r w:rsidR="00823F92">
        <w:rPr>
          <w:lang w:val="en-US"/>
        </w:rPr>
        <w:t xml:space="preserve">e </w:t>
      </w:r>
      <w:r>
        <w:rPr>
          <w:lang w:val="en-US"/>
        </w:rPr>
        <w:t>examine</w:t>
      </w:r>
      <w:r w:rsidR="00823F92">
        <w:rPr>
          <w:lang w:val="en-US"/>
        </w:rPr>
        <w:t xml:space="preserve">d </w:t>
      </w:r>
      <w:r>
        <w:rPr>
          <w:lang w:val="en-US"/>
        </w:rPr>
        <w:t>o</w:t>
      </w:r>
      <w:r w:rsidR="00823F92">
        <w:rPr>
          <w:lang w:val="en-US"/>
        </w:rPr>
        <w:t xml:space="preserve">n </w:t>
      </w:r>
      <w:r>
        <w:rPr>
          <w:lang w:val="en-US"/>
        </w:rPr>
        <w:t>th</w:t>
      </w:r>
      <w:r w:rsidR="00823F92">
        <w:rPr>
          <w:lang w:val="en-US"/>
        </w:rPr>
        <w:t xml:space="preserve">e </w:t>
      </w:r>
      <w:r>
        <w:rPr>
          <w:lang w:val="en-US"/>
        </w:rPr>
        <w:t>draf</w:t>
      </w:r>
      <w:r w:rsidR="00823F92">
        <w:rPr>
          <w:lang w:val="en-US"/>
        </w:rPr>
        <w:t xml:space="preserve">t </w:t>
      </w:r>
      <w:r>
        <w:rPr>
          <w:lang w:val="en-US"/>
        </w:rPr>
        <w:t>recommendation</w:t>
      </w:r>
      <w:r w:rsidR="00823F92">
        <w:rPr>
          <w:lang w:val="en-US"/>
        </w:rPr>
        <w:t xml:space="preserve">s </w:t>
      </w:r>
      <w:r>
        <w:rPr>
          <w:lang w:val="en-US"/>
        </w:rPr>
        <w:t>produce</w:t>
      </w:r>
      <w:r w:rsidR="00823F92">
        <w:rPr>
          <w:lang w:val="en-US"/>
        </w:rPr>
        <w:t xml:space="preserve">d </w:t>
      </w:r>
      <w:r>
        <w:rPr>
          <w:lang w:val="en-US"/>
        </w:rPr>
        <w:t>b</w:t>
      </w:r>
      <w:r w:rsidR="00823F92">
        <w:rPr>
          <w:lang w:val="en-US"/>
        </w:rPr>
        <w:t xml:space="preserve">y </w:t>
      </w:r>
      <w:r>
        <w:rPr>
          <w:lang w:val="en-US"/>
        </w:rPr>
        <w:t>th</w:t>
      </w:r>
      <w:r w:rsidR="00823F92">
        <w:rPr>
          <w:lang w:val="en-US"/>
        </w:rPr>
        <w:t xml:space="preserve">e </w:t>
      </w:r>
      <w:r>
        <w:rPr>
          <w:lang w:val="en-US"/>
        </w:rPr>
        <w:t>Workin</w:t>
      </w:r>
      <w:r w:rsidR="00823F92">
        <w:rPr>
          <w:lang w:val="en-US"/>
        </w:rPr>
        <w:t xml:space="preserve">g </w:t>
      </w:r>
      <w:r>
        <w:rPr>
          <w:lang w:val="en-US"/>
        </w:rPr>
        <w:t>Groups</w:t>
      </w:r>
      <w:r w:rsidR="00823F92">
        <w:rPr>
          <w:lang w:val="en-US"/>
        </w:rPr>
        <w:t xml:space="preserve">. </w:t>
      </w:r>
      <w:r>
        <w:rPr>
          <w:lang w:val="en-US"/>
        </w:rPr>
        <w:t>Th</w:t>
      </w:r>
      <w:r w:rsidR="00823F92">
        <w:rPr>
          <w:lang w:val="en-US"/>
        </w:rPr>
        <w:t xml:space="preserve">e </w:t>
      </w:r>
      <w:r>
        <w:rPr>
          <w:lang w:val="en-US"/>
        </w:rPr>
        <w:t>secon</w:t>
      </w:r>
      <w:r w:rsidR="00823F92">
        <w:rPr>
          <w:lang w:val="en-US"/>
        </w:rPr>
        <w:t xml:space="preserve">d </w:t>
      </w:r>
      <w:r>
        <w:rPr>
          <w:lang w:val="en-US"/>
        </w:rPr>
        <w:t>Roundtabl</w:t>
      </w:r>
      <w:r w:rsidR="00823F92">
        <w:rPr>
          <w:lang w:val="en-US"/>
        </w:rPr>
        <w:t xml:space="preserve">e </w:t>
      </w:r>
      <w:r>
        <w:rPr>
          <w:lang w:val="en-US"/>
        </w:rPr>
        <w:t>considere</w:t>
      </w:r>
      <w:r w:rsidR="00823F92">
        <w:rPr>
          <w:lang w:val="en-US"/>
        </w:rPr>
        <w:t xml:space="preserve">d </w:t>
      </w:r>
      <w:r>
        <w:rPr>
          <w:lang w:val="en-US"/>
        </w:rPr>
        <w:t>th</w:t>
      </w:r>
      <w:r w:rsidR="00823F92">
        <w:rPr>
          <w:lang w:val="en-US"/>
        </w:rPr>
        <w:t xml:space="preserve">e </w:t>
      </w:r>
      <w:r>
        <w:rPr>
          <w:lang w:val="en-US"/>
        </w:rPr>
        <w:t>Consultatio</w:t>
      </w:r>
      <w:r w:rsidR="00823F92">
        <w:rPr>
          <w:lang w:val="en-US"/>
        </w:rPr>
        <w:t xml:space="preserve">n </w:t>
      </w:r>
      <w:r>
        <w:rPr>
          <w:lang w:val="en-US"/>
        </w:rPr>
        <w:t>Draf</w:t>
      </w:r>
      <w:r w:rsidR="00823F92">
        <w:rPr>
          <w:lang w:val="en-US"/>
        </w:rPr>
        <w:t xml:space="preserve">t </w:t>
      </w:r>
      <w:r>
        <w:rPr>
          <w:lang w:val="en-US"/>
        </w:rPr>
        <w:t>o</w:t>
      </w:r>
      <w:r w:rsidR="00823F92">
        <w:rPr>
          <w:lang w:val="en-US"/>
        </w:rPr>
        <w:t xml:space="preserve">f </w:t>
      </w:r>
      <w:r>
        <w:rPr>
          <w:lang w:val="en-US"/>
        </w:rPr>
        <w:t>th</w:t>
      </w:r>
      <w:r w:rsidR="00823F92">
        <w:rPr>
          <w:lang w:val="en-US"/>
        </w:rPr>
        <w:t xml:space="preserve">e </w:t>
      </w:r>
      <w:r>
        <w:rPr>
          <w:lang w:val="en-US"/>
        </w:rPr>
        <w:t>Strategy</w:t>
      </w:r>
      <w:r w:rsidR="00823F92">
        <w:rPr>
          <w:lang w:val="en-US"/>
        </w:rPr>
        <w:t xml:space="preserve">. </w:t>
      </w:r>
    </w:p>
    <w:p w14:paraId="23B97956" w14:textId="79C78094" w:rsidR="007F5595" w:rsidRDefault="007F5595" w:rsidP="00351625">
      <w:pPr>
        <w:pStyle w:val="Heading2"/>
      </w:pPr>
      <w:bookmarkStart w:id="8" w:name="_Toc99018982"/>
      <w:r>
        <w:lastRenderedPageBreak/>
        <w:t>Researc</w:t>
      </w:r>
      <w:r w:rsidR="00823F92">
        <w:t xml:space="preserve">h </w:t>
      </w:r>
      <w:r>
        <w:t>inputs</w:t>
      </w:r>
      <w:bookmarkEnd w:id="8"/>
    </w:p>
    <w:p w14:paraId="5B333D6F" w14:textId="6C7DC74B" w:rsidR="00CC1EEC" w:rsidRDefault="00CC1EEC" w:rsidP="00351625">
      <w:pPr>
        <w:pStyle w:val="BodyText"/>
        <w:keepNext/>
        <w:keepLines/>
      </w:pPr>
      <w:r>
        <w:t>Th</w:t>
      </w:r>
      <w:r w:rsidR="00823F92">
        <w:t xml:space="preserve">e </w:t>
      </w:r>
      <w:r>
        <w:t>Departmen</w:t>
      </w:r>
      <w:r w:rsidR="00823F92">
        <w:t xml:space="preserve">t </w:t>
      </w:r>
      <w:r>
        <w:t>o</w:t>
      </w:r>
      <w:r w:rsidR="00823F92">
        <w:t xml:space="preserve">f </w:t>
      </w:r>
      <w:r>
        <w:t>Healt</w:t>
      </w:r>
      <w:r w:rsidR="00823F92">
        <w:t xml:space="preserve">h </w:t>
      </w:r>
      <w:r>
        <w:t>commissione</w:t>
      </w:r>
      <w:r w:rsidR="00823F92">
        <w:t xml:space="preserve">d </w:t>
      </w:r>
      <w:r>
        <w:t>th</w:t>
      </w:r>
      <w:r w:rsidR="00823F92">
        <w:t xml:space="preserve">e </w:t>
      </w:r>
      <w:r>
        <w:t>followin</w:t>
      </w:r>
      <w:r w:rsidR="00823F92">
        <w:t xml:space="preserve">g </w:t>
      </w:r>
      <w:r>
        <w:t>piece</w:t>
      </w:r>
      <w:r w:rsidR="00823F92">
        <w:t xml:space="preserve">s </w:t>
      </w:r>
      <w:r>
        <w:t>o</w:t>
      </w:r>
      <w:r w:rsidR="00823F92">
        <w:t xml:space="preserve">f </w:t>
      </w:r>
      <w:r>
        <w:t>researc</w:t>
      </w:r>
      <w:r w:rsidR="00823F92">
        <w:t xml:space="preserve">h </w:t>
      </w:r>
      <w:r>
        <w:t>t</w:t>
      </w:r>
      <w:r w:rsidR="00823F92">
        <w:t xml:space="preserve">o </w:t>
      </w:r>
      <w:r>
        <w:t>infor</w:t>
      </w:r>
      <w:r w:rsidR="00823F92">
        <w:t xml:space="preserve">m </w:t>
      </w:r>
      <w:r>
        <w:t>th</w:t>
      </w:r>
      <w:r w:rsidR="00823F92">
        <w:t xml:space="preserve">e </w:t>
      </w:r>
      <w:r>
        <w:t>Taskforc</w:t>
      </w:r>
      <w:r w:rsidR="00823F92">
        <w:t xml:space="preserve">e </w:t>
      </w:r>
      <w:r>
        <w:t>an</w:t>
      </w:r>
      <w:r w:rsidR="00823F92">
        <w:t xml:space="preserve">d </w:t>
      </w:r>
      <w:r>
        <w:t>th</w:t>
      </w:r>
      <w:r w:rsidR="00823F92">
        <w:t xml:space="preserve">e </w:t>
      </w:r>
      <w:r>
        <w:t>developmen</w:t>
      </w:r>
      <w:r w:rsidR="00823F92">
        <w:t xml:space="preserve">t </w:t>
      </w:r>
      <w:r>
        <w:t>o</w:t>
      </w:r>
      <w:r w:rsidR="00823F92">
        <w:t xml:space="preserve">f </w:t>
      </w:r>
      <w:r>
        <w:t>th</w:t>
      </w:r>
      <w:r w:rsidR="00823F92">
        <w:t xml:space="preserve">e </w:t>
      </w:r>
      <w:r>
        <w:t>Strategy:</w:t>
      </w:r>
    </w:p>
    <w:p w14:paraId="7E9A5211" w14:textId="74FE5E27" w:rsidR="00CC1EEC" w:rsidRDefault="00823F92" w:rsidP="00351625">
      <w:pPr>
        <w:pStyle w:val="ListBullet"/>
        <w:keepNext/>
        <w:keepLines/>
      </w:pPr>
      <w:r w:rsidRPr="00067CD0">
        <w:t>A</w:t>
      </w:r>
      <w:r>
        <w:t xml:space="preserve"> </w:t>
      </w:r>
      <w:r w:rsidR="00067CD0" w:rsidRPr="00067CD0">
        <w:t>literatur</w:t>
      </w:r>
      <w:r w:rsidRPr="00067CD0">
        <w:t>e</w:t>
      </w:r>
      <w:r>
        <w:t xml:space="preserve"> </w:t>
      </w:r>
      <w:r w:rsidR="00067CD0" w:rsidRPr="00067CD0">
        <w:t>revie</w:t>
      </w:r>
      <w:r w:rsidRPr="00067CD0">
        <w:t>w</w:t>
      </w:r>
      <w:r>
        <w:t xml:space="preserve"> </w:t>
      </w:r>
      <w:r w:rsidR="00067CD0" w:rsidRPr="00067CD0">
        <w:t>o</w:t>
      </w:r>
      <w:r w:rsidRPr="00067CD0">
        <w:t>f</w:t>
      </w:r>
      <w:r>
        <w:t xml:space="preserve"> </w:t>
      </w:r>
      <w:r w:rsidR="00067CD0" w:rsidRPr="00067CD0">
        <w:t>existin</w:t>
      </w:r>
      <w:r w:rsidRPr="00067CD0">
        <w:t>g</w:t>
      </w:r>
      <w:r>
        <w:t xml:space="preserve"> </w:t>
      </w:r>
      <w:r w:rsidR="00067CD0" w:rsidRPr="00067CD0">
        <w:t>nationa</w:t>
      </w:r>
      <w:r w:rsidRPr="00067CD0">
        <w:t>l</w:t>
      </w:r>
      <w:r>
        <w:t xml:space="preserve"> </w:t>
      </w:r>
      <w:r w:rsidR="00067CD0" w:rsidRPr="00067CD0">
        <w:t>an</w:t>
      </w:r>
      <w:r w:rsidRPr="00067CD0">
        <w:t>d</w:t>
      </w:r>
      <w:r>
        <w:t xml:space="preserve"> </w:t>
      </w:r>
      <w:r w:rsidR="00067CD0" w:rsidRPr="00067CD0">
        <w:t>jurisdictiona</w:t>
      </w:r>
      <w:r w:rsidRPr="00067CD0">
        <w:t>l</w:t>
      </w:r>
      <w:r>
        <w:t xml:space="preserve"> </w:t>
      </w:r>
      <w:r w:rsidR="00067CD0" w:rsidRPr="00067CD0">
        <w:t>workforc</w:t>
      </w:r>
      <w:r w:rsidRPr="00067CD0">
        <w:t>e</w:t>
      </w:r>
      <w:r>
        <w:t xml:space="preserve"> </w:t>
      </w:r>
      <w:r w:rsidR="00067CD0" w:rsidRPr="00067CD0">
        <w:t>strategie</w:t>
      </w:r>
      <w:r w:rsidRPr="00067CD0">
        <w:t>s</w:t>
      </w:r>
      <w:r>
        <w:t xml:space="preserve"> </w:t>
      </w:r>
      <w:r w:rsidR="00067CD0" w:rsidRPr="00067CD0">
        <w:t>relevan</w:t>
      </w:r>
      <w:r w:rsidRPr="00067CD0">
        <w:t>t</w:t>
      </w:r>
      <w:r>
        <w:t xml:space="preserve"> </w:t>
      </w:r>
      <w:r w:rsidR="00067CD0" w:rsidRPr="00067CD0">
        <w:t>t</w:t>
      </w:r>
      <w:r w:rsidRPr="00067CD0">
        <w:t>o</w:t>
      </w:r>
      <w:r>
        <w:t xml:space="preserve"> </w:t>
      </w:r>
      <w:r w:rsidR="00067CD0" w:rsidRPr="00067CD0">
        <w:t>th</w:t>
      </w:r>
      <w:r w:rsidRPr="00067CD0">
        <w:t>e</w:t>
      </w:r>
      <w:r>
        <w:t xml:space="preserve"> </w:t>
      </w:r>
      <w:r w:rsidR="00067CD0" w:rsidRPr="00067CD0">
        <w:t>menta</w:t>
      </w:r>
      <w:r w:rsidRPr="00067CD0">
        <w:t>l</w:t>
      </w:r>
      <w:r>
        <w:t xml:space="preserve"> </w:t>
      </w:r>
      <w:r w:rsidR="00067CD0" w:rsidRPr="00067CD0">
        <w:t>healt</w:t>
      </w:r>
      <w:r w:rsidRPr="00067CD0">
        <w:t>h</w:t>
      </w:r>
      <w:r>
        <w:t xml:space="preserve"> </w:t>
      </w:r>
      <w:r w:rsidR="00067CD0" w:rsidRPr="00067CD0">
        <w:t>workforc</w:t>
      </w:r>
      <w:r w:rsidRPr="00067CD0">
        <w:t>e</w:t>
      </w:r>
      <w:r>
        <w:t xml:space="preserve"> </w:t>
      </w:r>
      <w:r w:rsidR="00067CD0" w:rsidRPr="00067CD0">
        <w:t>an</w:t>
      </w:r>
      <w:r w:rsidRPr="00067CD0">
        <w:t>d</w:t>
      </w:r>
      <w:r>
        <w:t xml:space="preserve"> </w:t>
      </w:r>
      <w:r w:rsidR="00067CD0" w:rsidRPr="00067CD0">
        <w:t>recen</w:t>
      </w:r>
      <w:r w:rsidRPr="00067CD0">
        <w:t>t</w:t>
      </w:r>
      <w:r>
        <w:t xml:space="preserve"> </w:t>
      </w:r>
      <w:r w:rsidR="00067CD0" w:rsidRPr="00067CD0">
        <w:t>finding</w:t>
      </w:r>
      <w:r w:rsidRPr="00067CD0">
        <w:t>s</w:t>
      </w:r>
      <w:r>
        <w:t xml:space="preserve"> </w:t>
      </w:r>
      <w:r w:rsidR="00067CD0" w:rsidRPr="00067CD0">
        <w:t>o</w:t>
      </w:r>
      <w:r w:rsidRPr="00067CD0">
        <w:t>f</w:t>
      </w:r>
      <w:r>
        <w:t xml:space="preserve"> </w:t>
      </w:r>
      <w:r w:rsidR="00067CD0" w:rsidRPr="00067CD0">
        <w:t>menta</w:t>
      </w:r>
      <w:r w:rsidRPr="00067CD0">
        <w:t>l</w:t>
      </w:r>
      <w:r>
        <w:t xml:space="preserve"> </w:t>
      </w:r>
      <w:r w:rsidR="00067CD0" w:rsidRPr="00067CD0">
        <w:t>healt</w:t>
      </w:r>
      <w:r w:rsidRPr="00067CD0">
        <w:t>h</w:t>
      </w:r>
      <w:r>
        <w:t xml:space="preserve"> </w:t>
      </w:r>
      <w:r w:rsidR="00067CD0" w:rsidRPr="00067CD0">
        <w:t>review</w:t>
      </w:r>
      <w:r w:rsidRPr="00067CD0">
        <w:t>s</w:t>
      </w:r>
      <w:r>
        <w:t xml:space="preserve"> </w:t>
      </w:r>
      <w:r w:rsidR="00067CD0" w:rsidRPr="00067CD0">
        <w:t>an</w:t>
      </w:r>
      <w:r w:rsidRPr="00067CD0">
        <w:t>d</w:t>
      </w:r>
      <w:r>
        <w:t xml:space="preserve"> </w:t>
      </w:r>
      <w:r w:rsidR="00067CD0" w:rsidRPr="00067CD0">
        <w:t>inquiries</w:t>
      </w:r>
      <w:r>
        <w:t xml:space="preserve">, </w:t>
      </w:r>
      <w:r w:rsidR="00067CD0">
        <w:t>conducte</w:t>
      </w:r>
      <w:r>
        <w:t xml:space="preserve">d </w:t>
      </w:r>
      <w:r w:rsidR="00067CD0">
        <w:t>b</w:t>
      </w:r>
      <w:r>
        <w:t xml:space="preserve">y </w:t>
      </w:r>
      <w:r w:rsidR="00067CD0">
        <w:t>th</w:t>
      </w:r>
      <w:r>
        <w:t xml:space="preserve">e </w:t>
      </w:r>
      <w:r w:rsidR="00067CD0">
        <w:t>Universit</w:t>
      </w:r>
      <w:r>
        <w:t xml:space="preserve">y </w:t>
      </w:r>
      <w:r w:rsidR="00067CD0">
        <w:t>o</w:t>
      </w:r>
      <w:r>
        <w:t xml:space="preserve">f </w:t>
      </w:r>
      <w:r w:rsidR="00067CD0">
        <w:t>Queensland</w:t>
      </w:r>
    </w:p>
    <w:p w14:paraId="28919875" w14:textId="29DFF072" w:rsidR="005F2BCE" w:rsidRDefault="005F2BCE" w:rsidP="00E55088">
      <w:pPr>
        <w:pStyle w:val="ListBullet"/>
      </w:pPr>
      <w:r>
        <w:t>A</w:t>
      </w:r>
      <w:r w:rsidR="00823F92">
        <w:t xml:space="preserve">n </w:t>
      </w:r>
      <w:r>
        <w:t>analysi</w:t>
      </w:r>
      <w:r w:rsidR="00823F92">
        <w:t xml:space="preserve">s </w:t>
      </w:r>
      <w:r>
        <w:t>o</w:t>
      </w:r>
      <w:r w:rsidR="00823F92">
        <w:t xml:space="preserve">f </w:t>
      </w:r>
      <w:r>
        <w:t>nationa</w:t>
      </w:r>
      <w:r w:rsidR="00823F92">
        <w:t xml:space="preserve">l </w:t>
      </w:r>
      <w:r>
        <w:t>menta</w:t>
      </w:r>
      <w:r w:rsidR="00823F92">
        <w:t xml:space="preserve">l </w:t>
      </w:r>
      <w:r>
        <w:t>healt</w:t>
      </w:r>
      <w:r w:rsidR="00823F92">
        <w:t xml:space="preserve">h </w:t>
      </w:r>
      <w:r>
        <w:t>workforc</w:t>
      </w:r>
      <w:r w:rsidR="00823F92">
        <w:t xml:space="preserve">e </w:t>
      </w:r>
      <w:r>
        <w:t>deman</w:t>
      </w:r>
      <w:r w:rsidR="00823F92">
        <w:t xml:space="preserve">d </w:t>
      </w:r>
      <w:r>
        <w:t>an</w:t>
      </w:r>
      <w:r w:rsidR="00823F92">
        <w:t xml:space="preserve">d </w:t>
      </w:r>
      <w:r>
        <w:t>suppl</w:t>
      </w:r>
      <w:r w:rsidR="00823F92">
        <w:t xml:space="preserve">y </w:t>
      </w:r>
      <w:r w:rsidR="00071E1C">
        <w:t>usin</w:t>
      </w:r>
      <w:r w:rsidR="00823F92">
        <w:t xml:space="preserve">g </w:t>
      </w:r>
      <w:r w:rsidR="00071E1C">
        <w:t>th</w:t>
      </w:r>
      <w:r w:rsidR="00823F92">
        <w:t xml:space="preserve">e </w:t>
      </w:r>
      <w:r>
        <w:t>Nationa</w:t>
      </w:r>
      <w:r w:rsidR="00823F92">
        <w:t xml:space="preserve">l </w:t>
      </w:r>
      <w:r>
        <w:t>Menta</w:t>
      </w:r>
      <w:r w:rsidR="00823F92">
        <w:t xml:space="preserve">l </w:t>
      </w:r>
      <w:r>
        <w:t>Healt</w:t>
      </w:r>
      <w:r w:rsidR="00823F92">
        <w:t xml:space="preserve">h </w:t>
      </w:r>
      <w:r>
        <w:t>Servic</w:t>
      </w:r>
      <w:r w:rsidR="00823F92">
        <w:t xml:space="preserve">e </w:t>
      </w:r>
      <w:r>
        <w:t>Plannin</w:t>
      </w:r>
      <w:r w:rsidR="00823F92">
        <w:t xml:space="preserve">g </w:t>
      </w:r>
      <w:r>
        <w:t>Framewor</w:t>
      </w:r>
      <w:r w:rsidR="00823F92">
        <w:t xml:space="preserve">k </w:t>
      </w:r>
      <w:r>
        <w:t>(NMHSPF) t</w:t>
      </w:r>
      <w:r w:rsidR="00823F92">
        <w:t xml:space="preserve">o </w:t>
      </w:r>
      <w:r>
        <w:t>bette</w:t>
      </w:r>
      <w:r w:rsidR="00823F92">
        <w:t xml:space="preserve">r </w:t>
      </w:r>
      <w:r>
        <w:t>understan</w:t>
      </w:r>
      <w:r w:rsidR="00823F92">
        <w:t xml:space="preserve">d </w:t>
      </w:r>
      <w:r>
        <w:t>curren</w:t>
      </w:r>
      <w:r w:rsidR="00823F92">
        <w:t xml:space="preserve">t </w:t>
      </w:r>
      <w:r>
        <w:t>an</w:t>
      </w:r>
      <w:r w:rsidR="00823F92">
        <w:t xml:space="preserve">d </w:t>
      </w:r>
      <w:r>
        <w:t>futur</w:t>
      </w:r>
      <w:r w:rsidR="00823F92">
        <w:t xml:space="preserve">e </w:t>
      </w:r>
      <w:r>
        <w:t>menta</w:t>
      </w:r>
      <w:r w:rsidR="00823F92">
        <w:t xml:space="preserve">l </w:t>
      </w:r>
      <w:r>
        <w:t>healt</w:t>
      </w:r>
      <w:r w:rsidR="00823F92">
        <w:t xml:space="preserve">h </w:t>
      </w:r>
      <w:r>
        <w:t>workforc</w:t>
      </w:r>
      <w:r w:rsidR="00823F92">
        <w:t xml:space="preserve">e </w:t>
      </w:r>
      <w:r>
        <w:t>suppl</w:t>
      </w:r>
      <w:r w:rsidR="00823F92">
        <w:t xml:space="preserve">y </w:t>
      </w:r>
      <w:r>
        <w:t>an</w:t>
      </w:r>
      <w:r w:rsidR="00823F92">
        <w:t xml:space="preserve">d </w:t>
      </w:r>
      <w:r>
        <w:t>demand</w:t>
      </w:r>
      <w:r w:rsidR="00823F92">
        <w:t xml:space="preserve">, </w:t>
      </w:r>
      <w:r w:rsidR="00071E1C">
        <w:t>conducte</w:t>
      </w:r>
      <w:r w:rsidR="00823F92">
        <w:t xml:space="preserve">d </w:t>
      </w:r>
      <w:r w:rsidR="00071E1C">
        <w:t>b</w:t>
      </w:r>
      <w:r w:rsidR="00823F92">
        <w:t xml:space="preserve">y </w:t>
      </w:r>
      <w:r w:rsidR="00071E1C">
        <w:t>th</w:t>
      </w:r>
      <w:r w:rsidR="00823F92">
        <w:t xml:space="preserve">e </w:t>
      </w:r>
      <w:r w:rsidR="00071E1C">
        <w:t>Universit</w:t>
      </w:r>
      <w:r w:rsidR="00823F92">
        <w:t xml:space="preserve">y </w:t>
      </w:r>
      <w:r w:rsidR="00071E1C">
        <w:t>o</w:t>
      </w:r>
      <w:r w:rsidR="00823F92">
        <w:t xml:space="preserve">f </w:t>
      </w:r>
      <w:r w:rsidR="00071E1C">
        <w:t>Queensland</w:t>
      </w:r>
    </w:p>
    <w:p w14:paraId="762B892C" w14:textId="52C1B7BC" w:rsidR="00071E1C" w:rsidRDefault="00823F92" w:rsidP="00E55088">
      <w:pPr>
        <w:pStyle w:val="ListBullet"/>
      </w:pPr>
      <w:r>
        <w:t xml:space="preserve">A </w:t>
      </w:r>
      <w:r w:rsidR="007F553C">
        <w:t>labou</w:t>
      </w:r>
      <w:r>
        <w:t xml:space="preserve">r </w:t>
      </w:r>
      <w:r w:rsidR="007F553C">
        <w:t>marke</w:t>
      </w:r>
      <w:r>
        <w:t xml:space="preserve">t </w:t>
      </w:r>
      <w:r w:rsidR="007F553C">
        <w:t>analysi</w:t>
      </w:r>
      <w:r>
        <w:t xml:space="preserve">s </w:t>
      </w:r>
      <w:r w:rsidR="007F553C">
        <w:t>t</w:t>
      </w:r>
      <w:r>
        <w:t xml:space="preserve">o </w:t>
      </w:r>
      <w:r w:rsidR="000C032E">
        <w:t>revie</w:t>
      </w:r>
      <w:r>
        <w:t xml:space="preserve">w </w:t>
      </w:r>
      <w:r w:rsidR="000C032E">
        <w:t>o</w:t>
      </w:r>
      <w:r>
        <w:t xml:space="preserve">f </w:t>
      </w:r>
      <w:r w:rsidR="000C032E">
        <w:t>workforc</w:t>
      </w:r>
      <w:r>
        <w:t xml:space="preserve">e </w:t>
      </w:r>
      <w:r w:rsidR="000C032E">
        <w:t>trend</w:t>
      </w:r>
      <w:r>
        <w:t xml:space="preserve">s </w:t>
      </w:r>
      <w:r w:rsidR="000C032E">
        <w:t>fo</w:t>
      </w:r>
      <w:r>
        <w:t xml:space="preserve">r </w:t>
      </w:r>
      <w:r w:rsidR="000C032E">
        <w:t>differen</w:t>
      </w:r>
      <w:r>
        <w:t xml:space="preserve">t </w:t>
      </w:r>
      <w:r w:rsidR="00296AEB">
        <w:t>occupation</w:t>
      </w:r>
      <w:r>
        <w:t xml:space="preserve">s </w:t>
      </w:r>
      <w:r w:rsidR="000C032E">
        <w:t>withi</w:t>
      </w:r>
      <w:r>
        <w:t xml:space="preserve">n </w:t>
      </w:r>
      <w:r w:rsidR="000C032E">
        <w:t>th</w:t>
      </w:r>
      <w:r>
        <w:t xml:space="preserve">e </w:t>
      </w:r>
      <w:r w:rsidR="000C032E">
        <w:t>menta</w:t>
      </w:r>
      <w:r>
        <w:t xml:space="preserve">l </w:t>
      </w:r>
      <w:r w:rsidR="000C032E">
        <w:t>healt</w:t>
      </w:r>
      <w:r>
        <w:t xml:space="preserve">h </w:t>
      </w:r>
      <w:r w:rsidR="000C032E">
        <w:t>workforce</w:t>
      </w:r>
      <w:r>
        <w:t xml:space="preserve">, </w:t>
      </w:r>
      <w:r w:rsidR="007F553C">
        <w:t>conducte</w:t>
      </w:r>
      <w:r>
        <w:t xml:space="preserve">d </w:t>
      </w:r>
      <w:r w:rsidR="007F553C">
        <w:t>b</w:t>
      </w:r>
      <w:r>
        <w:t xml:space="preserve">y </w:t>
      </w:r>
      <w:r w:rsidR="007F553C">
        <w:t>ACI</w:t>
      </w:r>
      <w:r>
        <w:t xml:space="preserve">L </w:t>
      </w:r>
      <w:r w:rsidR="007F553C">
        <w:t>Allen</w:t>
      </w:r>
    </w:p>
    <w:p w14:paraId="10D123D8" w14:textId="533C546F" w:rsidR="007F553C" w:rsidRDefault="007F553C" w:rsidP="00E55088">
      <w:pPr>
        <w:pStyle w:val="ListBullet"/>
      </w:pPr>
      <w:r>
        <w:t>A</w:t>
      </w:r>
      <w:r w:rsidR="00823F92">
        <w:t xml:space="preserve">n </w:t>
      </w:r>
      <w:r>
        <w:t>educatio</w:t>
      </w:r>
      <w:r w:rsidR="00823F92">
        <w:t xml:space="preserve">n </w:t>
      </w:r>
      <w:r>
        <w:t>institute</w:t>
      </w:r>
      <w:r w:rsidR="00823F92">
        <w:t xml:space="preserve">s </w:t>
      </w:r>
      <w:r>
        <w:t>revie</w:t>
      </w:r>
      <w:r w:rsidR="00823F92">
        <w:t xml:space="preserve">w </w:t>
      </w:r>
      <w:r>
        <w:t>t</w:t>
      </w:r>
      <w:r w:rsidR="00823F92">
        <w:t xml:space="preserve">o </w:t>
      </w:r>
      <w:r>
        <w:t>examin</w:t>
      </w:r>
      <w:r w:rsidR="00823F92">
        <w:t xml:space="preserve">e </w:t>
      </w:r>
      <w:r>
        <w:t>curren</w:t>
      </w:r>
      <w:r w:rsidR="00823F92">
        <w:t xml:space="preserve">t </w:t>
      </w:r>
      <w:r>
        <w:t>trend</w:t>
      </w:r>
      <w:r w:rsidR="00823F92">
        <w:t xml:space="preserve">s </w:t>
      </w:r>
      <w:r>
        <w:t>i</w:t>
      </w:r>
      <w:r w:rsidR="00823F92">
        <w:t xml:space="preserve">n </w:t>
      </w:r>
      <w:r>
        <w:t>enrolment</w:t>
      </w:r>
      <w:r w:rsidR="00823F92">
        <w:t xml:space="preserve">s </w:t>
      </w:r>
      <w:r>
        <w:t>an</w:t>
      </w:r>
      <w:r w:rsidR="00823F92">
        <w:t xml:space="preserve">d </w:t>
      </w:r>
      <w:r>
        <w:t>completion</w:t>
      </w:r>
      <w:r w:rsidR="00823F92">
        <w:t xml:space="preserve">, </w:t>
      </w:r>
      <w:r>
        <w:t>an</w:t>
      </w:r>
      <w:r w:rsidR="00823F92">
        <w:t xml:space="preserve">d </w:t>
      </w:r>
      <w:r>
        <w:t>th</w:t>
      </w:r>
      <w:r w:rsidR="00823F92">
        <w:t xml:space="preserve">e </w:t>
      </w:r>
      <w:r>
        <w:t>capabilit</w:t>
      </w:r>
      <w:r w:rsidR="00823F92">
        <w:t xml:space="preserve">y </w:t>
      </w:r>
      <w:r>
        <w:t>o</w:t>
      </w:r>
      <w:r w:rsidR="00823F92">
        <w:t xml:space="preserve">f </w:t>
      </w:r>
      <w:r>
        <w:t>provider</w:t>
      </w:r>
      <w:r w:rsidR="00823F92">
        <w:t xml:space="preserve">s </w:t>
      </w:r>
      <w:r>
        <w:t>t</w:t>
      </w:r>
      <w:r w:rsidR="00823F92">
        <w:t xml:space="preserve">o </w:t>
      </w:r>
      <w:r>
        <w:t>scal</w:t>
      </w:r>
      <w:r w:rsidR="00823F92">
        <w:t xml:space="preserve">e </w:t>
      </w:r>
      <w:r>
        <w:t>u</w:t>
      </w:r>
      <w:r w:rsidR="00823F92">
        <w:t xml:space="preserve">p </w:t>
      </w:r>
      <w:r>
        <w:t>delivery</w:t>
      </w:r>
      <w:r w:rsidR="00823F92">
        <w:t xml:space="preserve">, </w:t>
      </w:r>
      <w:r>
        <w:t>conducte</w:t>
      </w:r>
      <w:r w:rsidR="00823F92">
        <w:t xml:space="preserve">d </w:t>
      </w:r>
      <w:r>
        <w:t>b</w:t>
      </w:r>
      <w:r w:rsidR="00823F92">
        <w:t xml:space="preserve">y </w:t>
      </w:r>
      <w:r>
        <w:t>ACI</w:t>
      </w:r>
      <w:r w:rsidR="00823F92">
        <w:t xml:space="preserve">L </w:t>
      </w:r>
      <w:r>
        <w:t>Allen</w:t>
      </w:r>
      <w:r w:rsidR="00823F92">
        <w:t xml:space="preserve">. </w:t>
      </w:r>
    </w:p>
    <w:p w14:paraId="28F23A3B" w14:textId="2C6002B4" w:rsidR="00440C91" w:rsidRPr="00CC1EEC" w:rsidRDefault="00440C91" w:rsidP="00440C91">
      <w:pPr>
        <w:pStyle w:val="BodyText"/>
        <w:sectPr w:rsidR="00440C91" w:rsidRPr="00CC1EEC" w:rsidSect="0057448B">
          <w:headerReference w:type="even" r:id="rId28"/>
          <w:footerReference w:type="even" r:id="rId29"/>
          <w:headerReference w:type="first" r:id="rId30"/>
          <w:footerReference w:type="first" r:id="rId31"/>
          <w:pgSz w:w="11906" w:h="16838" w:code="9"/>
          <w:pgMar w:top="1701" w:right="1134" w:bottom="1134" w:left="1418" w:header="454" w:footer="159" w:gutter="0"/>
          <w:cols w:space="708"/>
          <w:docGrid w:linePitch="360"/>
        </w:sectPr>
      </w:pPr>
      <w:r>
        <w:t>The</w:t>
      </w:r>
      <w:r w:rsidR="008659C7">
        <w:t>s</w:t>
      </w:r>
      <w:r w:rsidR="00823F92">
        <w:t xml:space="preserve">e </w:t>
      </w:r>
      <w:r w:rsidR="008659C7">
        <w:t>activitie</w:t>
      </w:r>
      <w:r w:rsidR="00823F92">
        <w:t xml:space="preserve">s </w:t>
      </w:r>
      <w:r w:rsidR="008659C7">
        <w:t>involve</w:t>
      </w:r>
      <w:r w:rsidR="00823F92">
        <w:t xml:space="preserve">d </w:t>
      </w:r>
      <w:r w:rsidR="008659C7">
        <w:t>consultatio</w:t>
      </w:r>
      <w:r w:rsidR="00823F92">
        <w:t xml:space="preserve">n </w:t>
      </w:r>
      <w:r w:rsidR="008659C7">
        <w:t>wit</w:t>
      </w:r>
      <w:r w:rsidR="00823F92">
        <w:t xml:space="preserve">h </w:t>
      </w:r>
      <w:r w:rsidR="008659C7">
        <w:t>care</w:t>
      </w:r>
      <w:r w:rsidR="00823F92">
        <w:t xml:space="preserve">r </w:t>
      </w:r>
      <w:r w:rsidR="008659C7">
        <w:t>an</w:t>
      </w:r>
      <w:r w:rsidR="00823F92">
        <w:t xml:space="preserve">d </w:t>
      </w:r>
      <w:r w:rsidR="008659C7">
        <w:t>consume</w:t>
      </w:r>
      <w:r w:rsidR="00823F92">
        <w:t xml:space="preserve">r </w:t>
      </w:r>
      <w:r w:rsidR="008659C7">
        <w:t>representatives</w:t>
      </w:r>
      <w:r w:rsidR="00823F92">
        <w:t xml:space="preserve">, </w:t>
      </w:r>
      <w:r w:rsidR="008659C7">
        <w:t>employer</w:t>
      </w:r>
      <w:r w:rsidR="00823F92">
        <w:t xml:space="preserve">s </w:t>
      </w:r>
      <w:r w:rsidR="008659C7">
        <w:t>i</w:t>
      </w:r>
      <w:r w:rsidR="00823F92">
        <w:t xml:space="preserve">n </w:t>
      </w:r>
      <w:r w:rsidR="008659C7">
        <w:t>th</w:t>
      </w:r>
      <w:r w:rsidR="00823F92">
        <w:t xml:space="preserve">e </w:t>
      </w:r>
      <w:r w:rsidR="008659C7">
        <w:t>menta</w:t>
      </w:r>
      <w:r w:rsidR="00823F92">
        <w:t xml:space="preserve">l </w:t>
      </w:r>
      <w:r w:rsidR="008659C7">
        <w:t>healt</w:t>
      </w:r>
      <w:r w:rsidR="00823F92">
        <w:t xml:space="preserve">h </w:t>
      </w:r>
      <w:r w:rsidR="008659C7">
        <w:t>sector</w:t>
      </w:r>
      <w:r w:rsidR="00823F92">
        <w:t xml:space="preserve">, </w:t>
      </w:r>
      <w:r w:rsidR="008659C7">
        <w:t>pea</w:t>
      </w:r>
      <w:r w:rsidR="00823F92">
        <w:t xml:space="preserve">k </w:t>
      </w:r>
      <w:r w:rsidR="008659C7">
        <w:t>bodie</w:t>
      </w:r>
      <w:r w:rsidR="00823F92">
        <w:t xml:space="preserve">s </w:t>
      </w:r>
      <w:r w:rsidR="008659C7">
        <w:t>an</w:t>
      </w:r>
      <w:r w:rsidR="00823F92">
        <w:t xml:space="preserve">d </w:t>
      </w:r>
      <w:r w:rsidR="008659C7">
        <w:t>professiona</w:t>
      </w:r>
      <w:r w:rsidR="00823F92">
        <w:t xml:space="preserve">l </w:t>
      </w:r>
      <w:r w:rsidR="008659C7">
        <w:t>associations</w:t>
      </w:r>
      <w:r w:rsidR="00823F92">
        <w:t xml:space="preserve">, </w:t>
      </w:r>
      <w:r w:rsidR="008659C7">
        <w:t>an</w:t>
      </w:r>
      <w:r w:rsidR="00823F92">
        <w:t xml:space="preserve">d </w:t>
      </w:r>
      <w:r w:rsidR="008659C7">
        <w:t>vocationa</w:t>
      </w:r>
      <w:r w:rsidR="00823F92">
        <w:t xml:space="preserve">l </w:t>
      </w:r>
      <w:r w:rsidR="008659C7">
        <w:t>an</w:t>
      </w:r>
      <w:r w:rsidR="00823F92">
        <w:t xml:space="preserve">d </w:t>
      </w:r>
      <w:r w:rsidR="008659C7">
        <w:t>highe</w:t>
      </w:r>
      <w:r w:rsidR="00823F92">
        <w:t xml:space="preserve">r </w:t>
      </w:r>
      <w:r w:rsidR="008659C7">
        <w:t>educatio</w:t>
      </w:r>
      <w:r w:rsidR="00823F92">
        <w:t xml:space="preserve">n </w:t>
      </w:r>
      <w:r w:rsidR="008659C7">
        <w:t>providers</w:t>
      </w:r>
      <w:r w:rsidR="00823F92">
        <w:t xml:space="preserve">. </w:t>
      </w:r>
      <w:r w:rsidR="008659C7">
        <w:t>Th</w:t>
      </w:r>
      <w:r w:rsidR="00823F92">
        <w:t xml:space="preserve">e </w:t>
      </w:r>
      <w:r>
        <w:t>Workin</w:t>
      </w:r>
      <w:r w:rsidR="00823F92">
        <w:t xml:space="preserve">g </w:t>
      </w:r>
      <w:r>
        <w:t>Group</w:t>
      </w:r>
      <w:r w:rsidR="00DD2752">
        <w:t>s’</w:t>
      </w:r>
      <w:r w:rsidR="008659C7">
        <w:t xml:space="preserve"> report</w:t>
      </w:r>
      <w:r w:rsidR="00823F92">
        <w:t xml:space="preserve">s </w:t>
      </w:r>
      <w:r>
        <w:t>an</w:t>
      </w:r>
      <w:r w:rsidR="00823F92">
        <w:t xml:space="preserve">d </w:t>
      </w:r>
      <w:r>
        <w:t>th</w:t>
      </w:r>
      <w:r w:rsidR="00823F92">
        <w:t xml:space="preserve">e </w:t>
      </w:r>
      <w:r>
        <w:t>researc</w:t>
      </w:r>
      <w:r w:rsidR="00823F92">
        <w:t xml:space="preserve">h </w:t>
      </w:r>
      <w:r w:rsidR="002B4524">
        <w:t>input</w:t>
      </w:r>
      <w:r w:rsidR="00823F92">
        <w:t xml:space="preserve">s </w:t>
      </w:r>
      <w:r>
        <w:t>hav</w:t>
      </w:r>
      <w:r w:rsidR="00823F92">
        <w:t xml:space="preserve">e </w:t>
      </w:r>
      <w:r>
        <w:t>informe</w:t>
      </w:r>
      <w:r w:rsidR="00823F92">
        <w:t xml:space="preserve">d </w:t>
      </w:r>
      <w:r>
        <w:t>th</w:t>
      </w:r>
      <w:r w:rsidR="00823F92">
        <w:t xml:space="preserve">e </w:t>
      </w:r>
      <w:r>
        <w:t>developmen</w:t>
      </w:r>
      <w:r w:rsidR="00823F92">
        <w:t xml:space="preserve">t </w:t>
      </w:r>
      <w:r>
        <w:t>o</w:t>
      </w:r>
      <w:r w:rsidR="00823F92">
        <w:t xml:space="preserve">f </w:t>
      </w:r>
      <w:r>
        <w:t>th</w:t>
      </w:r>
      <w:r w:rsidR="00823F92">
        <w:t xml:space="preserve">e </w:t>
      </w:r>
      <w:r>
        <w:t>Consultatio</w:t>
      </w:r>
      <w:r w:rsidR="00823F92">
        <w:t xml:space="preserve">n </w:t>
      </w:r>
      <w:r>
        <w:t>Draf</w:t>
      </w:r>
      <w:r w:rsidR="00823F92">
        <w:t xml:space="preserve">t </w:t>
      </w:r>
      <w:r w:rsidR="002B4524">
        <w:t>an</w:t>
      </w:r>
      <w:r w:rsidR="00823F92">
        <w:t xml:space="preserve">d </w:t>
      </w:r>
      <w:r w:rsidR="002B4524">
        <w:t>provid</w:t>
      </w:r>
      <w:r w:rsidR="00823F92">
        <w:t xml:space="preserve">e </w:t>
      </w:r>
      <w:r w:rsidR="002B4524">
        <w:t>th</w:t>
      </w:r>
      <w:r w:rsidR="00823F92">
        <w:t xml:space="preserve">e </w:t>
      </w:r>
      <w:r w:rsidR="002B4524">
        <w:t>evidence-bas</w:t>
      </w:r>
      <w:r w:rsidR="00823F92">
        <w:t xml:space="preserve">e </w:t>
      </w:r>
      <w:r w:rsidR="002B4524">
        <w:t>fo</w:t>
      </w:r>
      <w:r w:rsidR="00823F92">
        <w:t xml:space="preserve">r </w:t>
      </w:r>
      <w:r w:rsidR="002B4524">
        <w:t>thi</w:t>
      </w:r>
      <w:r w:rsidR="00823F92">
        <w:t xml:space="preserve">s </w:t>
      </w:r>
      <w:r w:rsidR="002B4524">
        <w:t>Backgroun</w:t>
      </w:r>
      <w:r w:rsidR="00823F92">
        <w:t xml:space="preserve">d </w:t>
      </w:r>
      <w:r w:rsidR="002B4524">
        <w:t>Paper</w:t>
      </w:r>
      <w:r w:rsidR="00823F92">
        <w:t xml:space="preserve">. </w:t>
      </w:r>
    </w:p>
    <w:p w14:paraId="6BEDD7F2" w14:textId="7E4D9A47" w:rsidR="00B25F65" w:rsidRPr="00B25F65" w:rsidRDefault="00B25F65" w:rsidP="00B25F65">
      <w:pPr>
        <w:pStyle w:val="Heading1"/>
        <w:rPr>
          <w:lang w:val="en-US"/>
        </w:rPr>
      </w:pPr>
      <w:bookmarkStart w:id="9" w:name="_Toc99018983"/>
      <w:r w:rsidRPr="00B25F65">
        <w:rPr>
          <w:lang w:val="en-US"/>
        </w:rPr>
        <w:lastRenderedPageBreak/>
        <w:t>Context for the Strategy</w:t>
      </w:r>
      <w:bookmarkEnd w:id="9"/>
    </w:p>
    <w:p w14:paraId="2921A04E" w14:textId="72ADFC82" w:rsidR="00EC719A" w:rsidRDefault="00805798" w:rsidP="00EC719A">
      <w:pPr>
        <w:pStyle w:val="Heading2"/>
        <w:rPr>
          <w:lang w:val="en-US"/>
        </w:rPr>
      </w:pPr>
      <w:bookmarkStart w:id="10" w:name="_Toc99018984"/>
      <w:r>
        <w:rPr>
          <w:lang w:val="en-US"/>
        </w:rPr>
        <w:t>Introduction</w:t>
      </w:r>
      <w:bookmarkEnd w:id="10"/>
    </w:p>
    <w:p w14:paraId="79966A42" w14:textId="7F7C7EB7" w:rsidR="003D372D" w:rsidRDefault="00DD2752" w:rsidP="003D372D">
      <w:pPr>
        <w:pStyle w:val="BodyText"/>
        <w:rPr>
          <w:lang w:val="en-US"/>
        </w:rPr>
      </w:pPr>
      <w:r>
        <w:rPr>
          <w:lang w:val="en-US"/>
        </w:rPr>
        <w:t>Suicidality</w:t>
      </w:r>
      <w:r w:rsidR="00823F92">
        <w:rPr>
          <w:lang w:val="en-US"/>
        </w:rPr>
        <w:t xml:space="preserve">, </w:t>
      </w:r>
      <w:r>
        <w:rPr>
          <w:lang w:val="en-US"/>
        </w:rPr>
        <w:t>m</w:t>
      </w:r>
      <w:r w:rsidRPr="006C4490">
        <w:rPr>
          <w:lang w:val="en-US"/>
        </w:rPr>
        <w:t>enta</w:t>
      </w:r>
      <w:r w:rsidR="00823F92" w:rsidRPr="006C4490">
        <w:rPr>
          <w:lang w:val="en-US"/>
        </w:rPr>
        <w:t>l</w:t>
      </w:r>
      <w:r w:rsidR="00823F92">
        <w:rPr>
          <w:lang w:val="en-US"/>
        </w:rPr>
        <w:t xml:space="preserve"> </w:t>
      </w:r>
      <w:r w:rsidR="00DB1869">
        <w:rPr>
          <w:lang w:val="en-US"/>
        </w:rPr>
        <w:t>distres</w:t>
      </w:r>
      <w:r w:rsidR="00823F92">
        <w:rPr>
          <w:lang w:val="en-US"/>
        </w:rPr>
        <w:t xml:space="preserve">s </w:t>
      </w:r>
      <w:r w:rsidR="00DB1869">
        <w:rPr>
          <w:lang w:val="en-US"/>
        </w:rPr>
        <w:t>and/o</w:t>
      </w:r>
      <w:r w:rsidR="00823F92">
        <w:rPr>
          <w:lang w:val="en-US"/>
        </w:rPr>
        <w:t xml:space="preserve">r </w:t>
      </w:r>
      <w:r w:rsidR="00DB1869" w:rsidRPr="006C4490">
        <w:rPr>
          <w:lang w:val="en-US"/>
        </w:rPr>
        <w:t>ill-healt</w:t>
      </w:r>
      <w:r w:rsidR="00823F92" w:rsidRPr="006C4490">
        <w:rPr>
          <w:lang w:val="en-US"/>
        </w:rPr>
        <w:t>h</w:t>
      </w:r>
      <w:r w:rsidR="00823F92">
        <w:rPr>
          <w:lang w:val="en-US"/>
        </w:rPr>
        <w:t xml:space="preserve"> </w:t>
      </w:r>
      <w:r w:rsidR="00DB1869" w:rsidRPr="006C4490">
        <w:rPr>
          <w:lang w:val="en-US"/>
        </w:rPr>
        <w:t>affect</w:t>
      </w:r>
      <w:r w:rsidR="00823F92" w:rsidRPr="006C4490">
        <w:rPr>
          <w:lang w:val="en-US"/>
        </w:rPr>
        <w:t>s</w:t>
      </w:r>
      <w:r w:rsidR="00823F92">
        <w:rPr>
          <w:lang w:val="en-US"/>
        </w:rPr>
        <w:t xml:space="preserve"> </w:t>
      </w:r>
      <w:r w:rsidR="00DB1869" w:rsidRPr="006C4490">
        <w:rPr>
          <w:lang w:val="en-US"/>
        </w:rPr>
        <w:t>peopl</w:t>
      </w:r>
      <w:r w:rsidR="00823F92" w:rsidRPr="006C4490">
        <w:rPr>
          <w:lang w:val="en-US"/>
        </w:rPr>
        <w:t>e</w:t>
      </w:r>
      <w:r w:rsidR="00823F92">
        <w:rPr>
          <w:lang w:val="en-US"/>
        </w:rPr>
        <w:t xml:space="preserve"> </w:t>
      </w:r>
      <w:r w:rsidR="00DB1869" w:rsidRPr="006C4490">
        <w:rPr>
          <w:lang w:val="en-US"/>
        </w:rPr>
        <w:t>o</w:t>
      </w:r>
      <w:r w:rsidR="00823F92" w:rsidRPr="006C4490">
        <w:rPr>
          <w:lang w:val="en-US"/>
        </w:rPr>
        <w:t>f</w:t>
      </w:r>
      <w:r w:rsidR="00823F92">
        <w:rPr>
          <w:lang w:val="en-US"/>
        </w:rPr>
        <w:t xml:space="preserve"> </w:t>
      </w:r>
      <w:r w:rsidR="00DB1869" w:rsidRPr="006C4490">
        <w:rPr>
          <w:lang w:val="en-US"/>
        </w:rPr>
        <w:t>al</w:t>
      </w:r>
      <w:r w:rsidR="00823F92" w:rsidRPr="006C4490">
        <w:rPr>
          <w:lang w:val="en-US"/>
        </w:rPr>
        <w:t>l</w:t>
      </w:r>
      <w:r w:rsidR="00823F92">
        <w:rPr>
          <w:lang w:val="en-US"/>
        </w:rPr>
        <w:t xml:space="preserve"> </w:t>
      </w:r>
      <w:r w:rsidR="00DB1869" w:rsidRPr="006C4490">
        <w:rPr>
          <w:lang w:val="en-US"/>
        </w:rPr>
        <w:t>age</w:t>
      </w:r>
      <w:r w:rsidR="00823F92" w:rsidRPr="006C4490">
        <w:rPr>
          <w:lang w:val="en-US"/>
        </w:rPr>
        <w:t>s</w:t>
      </w:r>
      <w:r w:rsidR="00823F92">
        <w:rPr>
          <w:lang w:val="en-US"/>
        </w:rPr>
        <w:t xml:space="preserve"> </w:t>
      </w:r>
      <w:r w:rsidR="00DB1869" w:rsidRPr="006C4490">
        <w:rPr>
          <w:lang w:val="en-US"/>
        </w:rPr>
        <w:t>fro</w:t>
      </w:r>
      <w:r w:rsidR="00823F92" w:rsidRPr="006C4490">
        <w:rPr>
          <w:lang w:val="en-US"/>
        </w:rPr>
        <w:t>m</w:t>
      </w:r>
      <w:r w:rsidR="00823F92">
        <w:rPr>
          <w:lang w:val="en-US"/>
        </w:rPr>
        <w:t xml:space="preserve"> </w:t>
      </w:r>
      <w:r w:rsidR="00DB1869" w:rsidRPr="006C4490">
        <w:rPr>
          <w:lang w:val="en-US"/>
        </w:rPr>
        <w:t>al</w:t>
      </w:r>
      <w:r w:rsidR="00823F92" w:rsidRPr="006C4490">
        <w:rPr>
          <w:lang w:val="en-US"/>
        </w:rPr>
        <w:t>l</w:t>
      </w:r>
      <w:r w:rsidR="00823F92">
        <w:rPr>
          <w:lang w:val="en-US"/>
        </w:rPr>
        <w:t xml:space="preserve"> </w:t>
      </w:r>
      <w:r w:rsidR="00DB1869" w:rsidRPr="006C4490">
        <w:rPr>
          <w:lang w:val="en-US"/>
        </w:rPr>
        <w:t>background</w:t>
      </w:r>
      <w:r w:rsidR="00823F92" w:rsidRPr="006C4490">
        <w:rPr>
          <w:lang w:val="en-US"/>
        </w:rPr>
        <w:t>s</w:t>
      </w:r>
      <w:r w:rsidR="00823F92">
        <w:rPr>
          <w:lang w:val="en-US"/>
        </w:rPr>
        <w:t xml:space="preserve"> </w:t>
      </w:r>
      <w:r w:rsidR="00BA6C0A">
        <w:rPr>
          <w:lang w:val="en-US"/>
        </w:rPr>
        <w:t>an</w:t>
      </w:r>
      <w:r w:rsidR="00823F92">
        <w:rPr>
          <w:lang w:val="en-US"/>
        </w:rPr>
        <w:t xml:space="preserve">d </w:t>
      </w:r>
      <w:r w:rsidR="00DB1869" w:rsidRPr="006C4490">
        <w:rPr>
          <w:lang w:val="en-US"/>
        </w:rPr>
        <w:t>location</w:t>
      </w:r>
      <w:r w:rsidR="00823F92" w:rsidRPr="006C4490">
        <w:rPr>
          <w:lang w:val="en-US"/>
        </w:rPr>
        <w:t>s</w:t>
      </w:r>
      <w:r w:rsidR="00823F92">
        <w:rPr>
          <w:lang w:val="en-US"/>
        </w:rPr>
        <w:t xml:space="preserve"> </w:t>
      </w:r>
      <w:r w:rsidR="00DB1869" w:rsidRPr="006C4490">
        <w:rPr>
          <w:lang w:val="en-US"/>
        </w:rPr>
        <w:t>acros</w:t>
      </w:r>
      <w:r w:rsidR="00823F92" w:rsidRPr="006C4490">
        <w:rPr>
          <w:lang w:val="en-US"/>
        </w:rPr>
        <w:t>s</w:t>
      </w:r>
      <w:r w:rsidR="00823F92">
        <w:rPr>
          <w:lang w:val="en-US"/>
        </w:rPr>
        <w:t xml:space="preserve"> </w:t>
      </w:r>
      <w:r w:rsidR="00DB1869" w:rsidRPr="006C4490">
        <w:rPr>
          <w:lang w:val="en-US"/>
        </w:rPr>
        <w:t>Australia</w:t>
      </w:r>
      <w:r w:rsidR="00823F92" w:rsidRPr="006C4490">
        <w:rPr>
          <w:lang w:val="en-US"/>
        </w:rPr>
        <w:t>.</w:t>
      </w:r>
      <w:r w:rsidR="00823F92">
        <w:rPr>
          <w:lang w:val="en-US"/>
        </w:rPr>
        <w:t xml:space="preserve"> </w:t>
      </w:r>
      <w:r w:rsidR="00DB1869" w:rsidRPr="006C4490">
        <w:rPr>
          <w:lang w:val="en-US"/>
        </w:rPr>
        <w:t>Menta</w:t>
      </w:r>
      <w:r w:rsidR="00823F92" w:rsidRPr="006C4490">
        <w:rPr>
          <w:lang w:val="en-US"/>
        </w:rPr>
        <w:t>l</w:t>
      </w:r>
      <w:r w:rsidR="00823F92">
        <w:rPr>
          <w:lang w:val="en-US"/>
        </w:rPr>
        <w:t xml:space="preserve"> </w:t>
      </w:r>
      <w:r w:rsidR="00DB1869" w:rsidRPr="006C4490">
        <w:rPr>
          <w:lang w:val="en-US"/>
        </w:rPr>
        <w:t>distres</w:t>
      </w:r>
      <w:r w:rsidR="00823F92" w:rsidRPr="006C4490">
        <w:rPr>
          <w:lang w:val="en-US"/>
        </w:rPr>
        <w:t>s</w:t>
      </w:r>
      <w:r w:rsidR="00823F92">
        <w:rPr>
          <w:lang w:val="en-US"/>
        </w:rPr>
        <w:t xml:space="preserve"> </w:t>
      </w:r>
      <w:r w:rsidR="00DB1869" w:rsidRPr="006C4490">
        <w:rPr>
          <w:lang w:val="en-US"/>
        </w:rPr>
        <w:t>and</w:t>
      </w:r>
      <w:r w:rsidR="00DB1869">
        <w:rPr>
          <w:lang w:val="en-US"/>
        </w:rPr>
        <w:t>/o</w:t>
      </w:r>
      <w:r w:rsidR="00823F92">
        <w:rPr>
          <w:lang w:val="en-US"/>
        </w:rPr>
        <w:t xml:space="preserve">r </w:t>
      </w:r>
      <w:r w:rsidR="00DB1869" w:rsidRPr="006C4490">
        <w:rPr>
          <w:lang w:val="en-US"/>
        </w:rPr>
        <w:t>ill-healt</w:t>
      </w:r>
      <w:r w:rsidR="00823F92" w:rsidRPr="006C4490">
        <w:rPr>
          <w:lang w:val="en-US"/>
        </w:rPr>
        <w:t>h</w:t>
      </w:r>
      <w:r w:rsidR="00823F92">
        <w:rPr>
          <w:lang w:val="en-US"/>
        </w:rPr>
        <w:t xml:space="preserve"> </w:t>
      </w:r>
      <w:r w:rsidR="00DB1869" w:rsidRPr="006C4490">
        <w:rPr>
          <w:lang w:val="en-US"/>
        </w:rPr>
        <w:t>i</w:t>
      </w:r>
      <w:r w:rsidR="00823F92" w:rsidRPr="006C4490">
        <w:rPr>
          <w:lang w:val="en-US"/>
        </w:rPr>
        <w:t>s</w:t>
      </w:r>
      <w:r w:rsidR="00823F92">
        <w:rPr>
          <w:lang w:val="en-US"/>
        </w:rPr>
        <w:t xml:space="preserve"> </w:t>
      </w:r>
      <w:r w:rsidR="00DB1869" w:rsidRPr="006C4490">
        <w:rPr>
          <w:lang w:val="en-US"/>
        </w:rPr>
        <w:t>ofte</w:t>
      </w:r>
      <w:r w:rsidR="00823F92" w:rsidRPr="006C4490">
        <w:rPr>
          <w:lang w:val="en-US"/>
        </w:rPr>
        <w:t>n</w:t>
      </w:r>
      <w:r w:rsidR="00823F92">
        <w:rPr>
          <w:lang w:val="en-US"/>
        </w:rPr>
        <w:t xml:space="preserve"> </w:t>
      </w:r>
      <w:r w:rsidR="00DB1869" w:rsidRPr="006C4490">
        <w:rPr>
          <w:lang w:val="en-US"/>
        </w:rPr>
        <w:t>linke</w:t>
      </w:r>
      <w:r w:rsidR="00823F92" w:rsidRPr="006C4490">
        <w:rPr>
          <w:lang w:val="en-US"/>
        </w:rPr>
        <w:t>d</w:t>
      </w:r>
      <w:r w:rsidR="00823F92">
        <w:rPr>
          <w:lang w:val="en-US"/>
        </w:rPr>
        <w:t xml:space="preserve"> </w:t>
      </w:r>
      <w:r w:rsidR="00DB1869" w:rsidRPr="006C4490">
        <w:rPr>
          <w:lang w:val="en-US"/>
        </w:rPr>
        <w:t>t</w:t>
      </w:r>
      <w:r w:rsidR="00823F92" w:rsidRPr="006C4490">
        <w:rPr>
          <w:lang w:val="en-US"/>
        </w:rPr>
        <w:t>o</w:t>
      </w:r>
      <w:r w:rsidR="00823F92">
        <w:rPr>
          <w:lang w:val="en-US"/>
        </w:rPr>
        <w:t xml:space="preserve"> </w:t>
      </w:r>
      <w:r w:rsidR="00DB1869" w:rsidRPr="006C4490">
        <w:rPr>
          <w:lang w:val="en-US"/>
        </w:rPr>
        <w:t>experience</w:t>
      </w:r>
      <w:r w:rsidR="00823F92" w:rsidRPr="006C4490">
        <w:rPr>
          <w:lang w:val="en-US"/>
        </w:rPr>
        <w:t>s</w:t>
      </w:r>
      <w:r w:rsidR="00823F92">
        <w:rPr>
          <w:lang w:val="en-US"/>
        </w:rPr>
        <w:t xml:space="preserve"> </w:t>
      </w:r>
      <w:r w:rsidR="00DB1869" w:rsidRPr="006C4490">
        <w:rPr>
          <w:lang w:val="en-US"/>
        </w:rPr>
        <w:t>o</w:t>
      </w:r>
      <w:r w:rsidR="00823F92" w:rsidRPr="006C4490">
        <w:rPr>
          <w:lang w:val="en-US"/>
        </w:rPr>
        <w:t>f</w:t>
      </w:r>
      <w:r w:rsidR="00823F92">
        <w:rPr>
          <w:lang w:val="en-US"/>
        </w:rPr>
        <w:t xml:space="preserve"> </w:t>
      </w:r>
      <w:r w:rsidR="00DB1869" w:rsidRPr="006C4490">
        <w:rPr>
          <w:lang w:val="en-US"/>
        </w:rPr>
        <w:t>disadvantage</w:t>
      </w:r>
      <w:r w:rsidR="00823F92">
        <w:rPr>
          <w:lang w:val="en-US"/>
        </w:rPr>
        <w:t xml:space="preserve">, </w:t>
      </w:r>
      <w:r w:rsidR="00DB1869">
        <w:rPr>
          <w:lang w:val="en-US"/>
        </w:rPr>
        <w:t>traum</w:t>
      </w:r>
      <w:r w:rsidR="00823F92">
        <w:rPr>
          <w:lang w:val="en-US"/>
        </w:rPr>
        <w:t xml:space="preserve">a </w:t>
      </w:r>
      <w:r w:rsidR="00DB1869" w:rsidRPr="006C4490">
        <w:rPr>
          <w:lang w:val="en-US"/>
        </w:rPr>
        <w:t>an</w:t>
      </w:r>
      <w:r w:rsidR="00823F92" w:rsidRPr="006C4490">
        <w:rPr>
          <w:lang w:val="en-US"/>
        </w:rPr>
        <w:t>d</w:t>
      </w:r>
      <w:r w:rsidR="00823F92">
        <w:rPr>
          <w:lang w:val="en-US"/>
        </w:rPr>
        <w:t xml:space="preserve"> </w:t>
      </w:r>
      <w:r w:rsidR="00DB1869" w:rsidRPr="006C4490">
        <w:rPr>
          <w:lang w:val="en-US"/>
        </w:rPr>
        <w:t>othe</w:t>
      </w:r>
      <w:r w:rsidR="00823F92" w:rsidRPr="006C4490">
        <w:rPr>
          <w:lang w:val="en-US"/>
        </w:rPr>
        <w:t>r</w:t>
      </w:r>
      <w:r w:rsidR="00823F92">
        <w:rPr>
          <w:lang w:val="en-US"/>
        </w:rPr>
        <w:t xml:space="preserve"> </w:t>
      </w:r>
      <w:r w:rsidR="00DB1869" w:rsidRPr="006C4490">
        <w:rPr>
          <w:lang w:val="en-US"/>
        </w:rPr>
        <w:t>socia</w:t>
      </w:r>
      <w:r w:rsidR="00823F92" w:rsidRPr="006C4490">
        <w:rPr>
          <w:lang w:val="en-US"/>
        </w:rPr>
        <w:t>l</w:t>
      </w:r>
      <w:r w:rsidR="00823F92">
        <w:rPr>
          <w:lang w:val="en-US"/>
        </w:rPr>
        <w:t xml:space="preserve"> </w:t>
      </w:r>
      <w:r w:rsidR="00DB1869" w:rsidRPr="006C4490">
        <w:rPr>
          <w:lang w:val="en-US"/>
        </w:rPr>
        <w:t>issues</w:t>
      </w:r>
      <w:r w:rsidR="00823F92" w:rsidRPr="006C4490">
        <w:rPr>
          <w:lang w:val="en-US"/>
        </w:rPr>
        <w:t>.</w:t>
      </w:r>
      <w:r w:rsidR="00823F92">
        <w:rPr>
          <w:lang w:val="en-US"/>
        </w:rPr>
        <w:t xml:space="preserve"> </w:t>
      </w:r>
      <w:r w:rsidR="002D2C08">
        <w:rPr>
          <w:lang w:val="en-US"/>
        </w:rPr>
        <w:t>Ris</w:t>
      </w:r>
      <w:r w:rsidR="00823F92">
        <w:rPr>
          <w:lang w:val="en-US"/>
        </w:rPr>
        <w:t xml:space="preserve">k </w:t>
      </w:r>
      <w:r w:rsidR="002D2C08">
        <w:rPr>
          <w:lang w:val="en-US"/>
        </w:rPr>
        <w:t>factor</w:t>
      </w:r>
      <w:r w:rsidR="00823F92">
        <w:rPr>
          <w:lang w:val="en-US"/>
        </w:rPr>
        <w:t xml:space="preserve">s </w:t>
      </w:r>
      <w:r w:rsidR="002D2C08">
        <w:rPr>
          <w:lang w:val="en-US"/>
        </w:rPr>
        <w:t>ca</w:t>
      </w:r>
      <w:r w:rsidR="00823F92">
        <w:rPr>
          <w:lang w:val="en-US"/>
        </w:rPr>
        <w:t xml:space="preserve">n </w:t>
      </w:r>
      <w:r w:rsidR="002D2C08">
        <w:rPr>
          <w:lang w:val="en-US"/>
        </w:rPr>
        <w:t>includ</w:t>
      </w:r>
      <w:r w:rsidR="00823F92">
        <w:rPr>
          <w:lang w:val="en-US"/>
        </w:rPr>
        <w:t xml:space="preserve">e </w:t>
      </w:r>
      <w:r w:rsidR="002D2C08">
        <w:rPr>
          <w:lang w:val="en-US"/>
        </w:rPr>
        <w:t>geneti</w:t>
      </w:r>
      <w:r w:rsidR="00823F92">
        <w:rPr>
          <w:lang w:val="en-US"/>
        </w:rPr>
        <w:t xml:space="preserve">c </w:t>
      </w:r>
      <w:r w:rsidR="002D2C08">
        <w:rPr>
          <w:lang w:val="en-US"/>
        </w:rPr>
        <w:t>predisposition</w:t>
      </w:r>
      <w:r w:rsidR="00823F92">
        <w:rPr>
          <w:lang w:val="en-US"/>
        </w:rPr>
        <w:t xml:space="preserve">, </w:t>
      </w:r>
      <w:r w:rsidR="002D2C08">
        <w:rPr>
          <w:lang w:val="en-US"/>
        </w:rPr>
        <w:t>h</w:t>
      </w:r>
      <w:r w:rsidR="003D372D" w:rsidRPr="003D372D">
        <w:rPr>
          <w:lang w:val="en-US"/>
        </w:rPr>
        <w:t>omelessnes</w:t>
      </w:r>
      <w:r w:rsidR="00823F92" w:rsidRPr="003D372D">
        <w:rPr>
          <w:lang w:val="en-US"/>
        </w:rPr>
        <w:t>s</w:t>
      </w:r>
      <w:r w:rsidR="00823F92">
        <w:rPr>
          <w:lang w:val="en-US"/>
        </w:rPr>
        <w:t xml:space="preserve"> </w:t>
      </w:r>
      <w:r w:rsidR="003D372D" w:rsidRPr="003D372D">
        <w:rPr>
          <w:lang w:val="en-US"/>
        </w:rPr>
        <w:t>an</w:t>
      </w:r>
      <w:r w:rsidR="00823F92" w:rsidRPr="003D372D">
        <w:rPr>
          <w:lang w:val="en-US"/>
        </w:rPr>
        <w:t>d</w:t>
      </w:r>
      <w:r w:rsidR="00823F92">
        <w:rPr>
          <w:lang w:val="en-US"/>
        </w:rPr>
        <w:t xml:space="preserve"> </w:t>
      </w:r>
      <w:r w:rsidR="003D372D" w:rsidRPr="003D372D">
        <w:rPr>
          <w:lang w:val="en-US"/>
        </w:rPr>
        <w:t>unemployment</w:t>
      </w:r>
      <w:r w:rsidR="00823F92">
        <w:rPr>
          <w:lang w:val="en-US"/>
        </w:rPr>
        <w:t xml:space="preserve">, </w:t>
      </w:r>
      <w:r w:rsidR="003D372D" w:rsidRPr="003D372D">
        <w:rPr>
          <w:lang w:val="en-US"/>
        </w:rPr>
        <w:t>alcoho</w:t>
      </w:r>
      <w:r w:rsidR="00823F92" w:rsidRPr="003D372D">
        <w:rPr>
          <w:lang w:val="en-US"/>
        </w:rPr>
        <w:t>l</w:t>
      </w:r>
      <w:r w:rsidR="00823F92">
        <w:rPr>
          <w:lang w:val="en-US"/>
        </w:rPr>
        <w:t xml:space="preserve"> </w:t>
      </w:r>
      <w:r w:rsidR="003D372D" w:rsidRPr="003D372D">
        <w:rPr>
          <w:lang w:val="en-US"/>
        </w:rPr>
        <w:t>an</w:t>
      </w:r>
      <w:r w:rsidR="00823F92" w:rsidRPr="003D372D">
        <w:rPr>
          <w:lang w:val="en-US"/>
        </w:rPr>
        <w:t>d</w:t>
      </w:r>
      <w:r w:rsidR="00823F92">
        <w:rPr>
          <w:lang w:val="en-US"/>
        </w:rPr>
        <w:t xml:space="preserve"> </w:t>
      </w:r>
      <w:r w:rsidR="003D372D" w:rsidRPr="003D372D">
        <w:rPr>
          <w:lang w:val="en-US"/>
        </w:rPr>
        <w:t>othe</w:t>
      </w:r>
      <w:r w:rsidR="00823F92" w:rsidRPr="003D372D">
        <w:rPr>
          <w:lang w:val="en-US"/>
        </w:rPr>
        <w:t>r</w:t>
      </w:r>
      <w:r w:rsidR="00823F92">
        <w:rPr>
          <w:lang w:val="en-US"/>
        </w:rPr>
        <w:t xml:space="preserve"> </w:t>
      </w:r>
      <w:r w:rsidR="003D372D" w:rsidRPr="003D372D">
        <w:rPr>
          <w:lang w:val="en-US"/>
        </w:rPr>
        <w:t>dru</w:t>
      </w:r>
      <w:r w:rsidR="00823F92" w:rsidRPr="003D372D">
        <w:rPr>
          <w:lang w:val="en-US"/>
        </w:rPr>
        <w:t>g</w:t>
      </w:r>
      <w:r w:rsidR="00823F92">
        <w:rPr>
          <w:lang w:val="en-US"/>
        </w:rPr>
        <w:t xml:space="preserve"> </w:t>
      </w:r>
      <w:r w:rsidR="003D372D" w:rsidRPr="003D372D">
        <w:rPr>
          <w:lang w:val="en-US"/>
        </w:rPr>
        <w:t>use</w:t>
      </w:r>
      <w:r w:rsidR="00823F92">
        <w:rPr>
          <w:lang w:val="en-US"/>
        </w:rPr>
        <w:t xml:space="preserve">, </w:t>
      </w:r>
      <w:r w:rsidR="003D372D" w:rsidRPr="003D372D">
        <w:rPr>
          <w:lang w:val="en-US"/>
        </w:rPr>
        <w:t>discriminatio</w:t>
      </w:r>
      <w:r w:rsidR="00823F92" w:rsidRPr="003D372D">
        <w:rPr>
          <w:lang w:val="en-US"/>
        </w:rPr>
        <w:t>n</w:t>
      </w:r>
      <w:r w:rsidR="00823F92">
        <w:rPr>
          <w:lang w:val="en-US"/>
        </w:rPr>
        <w:t xml:space="preserve"> </w:t>
      </w:r>
      <w:r w:rsidR="003D372D" w:rsidRPr="003D372D">
        <w:rPr>
          <w:lang w:val="en-US"/>
        </w:rPr>
        <w:t>an</w:t>
      </w:r>
      <w:r w:rsidR="00823F92" w:rsidRPr="003D372D">
        <w:rPr>
          <w:lang w:val="en-US"/>
        </w:rPr>
        <w:t>d</w:t>
      </w:r>
      <w:r w:rsidR="00823F92">
        <w:rPr>
          <w:lang w:val="en-US"/>
        </w:rPr>
        <w:t xml:space="preserve"> </w:t>
      </w:r>
      <w:r w:rsidR="003D372D" w:rsidRPr="003D372D">
        <w:rPr>
          <w:lang w:val="en-US"/>
        </w:rPr>
        <w:t>racia</w:t>
      </w:r>
      <w:r w:rsidR="00823F92" w:rsidRPr="003D372D">
        <w:rPr>
          <w:lang w:val="en-US"/>
        </w:rPr>
        <w:t>l</w:t>
      </w:r>
      <w:r w:rsidR="00823F92">
        <w:rPr>
          <w:lang w:val="en-US"/>
        </w:rPr>
        <w:t xml:space="preserve"> </w:t>
      </w:r>
      <w:r w:rsidR="003D372D" w:rsidRPr="003D372D">
        <w:rPr>
          <w:lang w:val="en-US"/>
        </w:rPr>
        <w:t>injustice</w:t>
      </w:r>
      <w:r w:rsidR="00823F92">
        <w:rPr>
          <w:lang w:val="en-US"/>
        </w:rPr>
        <w:t xml:space="preserve">, </w:t>
      </w:r>
      <w:r w:rsidR="003D372D">
        <w:rPr>
          <w:lang w:val="en-US"/>
        </w:rPr>
        <w:t>an</w:t>
      </w:r>
      <w:r w:rsidR="00823F92">
        <w:rPr>
          <w:lang w:val="en-US"/>
        </w:rPr>
        <w:t xml:space="preserve">d </w:t>
      </w:r>
      <w:r w:rsidR="003D372D" w:rsidRPr="003D372D">
        <w:rPr>
          <w:lang w:val="en-US"/>
        </w:rPr>
        <w:t>stressfu</w:t>
      </w:r>
      <w:r w:rsidR="00823F92" w:rsidRPr="003D372D">
        <w:rPr>
          <w:lang w:val="en-US"/>
        </w:rPr>
        <w:t>l</w:t>
      </w:r>
      <w:r w:rsidR="00823F92">
        <w:rPr>
          <w:lang w:val="en-US"/>
        </w:rPr>
        <w:t xml:space="preserve"> </w:t>
      </w:r>
      <w:r w:rsidR="003D372D" w:rsidRPr="003D372D">
        <w:rPr>
          <w:lang w:val="en-US"/>
        </w:rPr>
        <w:t>lif</w:t>
      </w:r>
      <w:r w:rsidR="00823F92" w:rsidRPr="003D372D">
        <w:rPr>
          <w:lang w:val="en-US"/>
        </w:rPr>
        <w:t>e</w:t>
      </w:r>
      <w:r w:rsidR="00823F92">
        <w:rPr>
          <w:lang w:val="en-US"/>
        </w:rPr>
        <w:t xml:space="preserve"> </w:t>
      </w:r>
      <w:r w:rsidR="003D372D" w:rsidRPr="003D372D">
        <w:rPr>
          <w:lang w:val="en-US"/>
        </w:rPr>
        <w:t>event</w:t>
      </w:r>
      <w:r w:rsidR="00823F92" w:rsidRPr="003D372D">
        <w:rPr>
          <w:lang w:val="en-US"/>
        </w:rPr>
        <w:t>s</w:t>
      </w:r>
      <w:r w:rsidR="00823F92">
        <w:rPr>
          <w:lang w:val="en-US"/>
        </w:rPr>
        <w:t xml:space="preserve"> </w:t>
      </w:r>
      <w:r w:rsidR="003D372D">
        <w:rPr>
          <w:lang w:val="en-US"/>
        </w:rPr>
        <w:t>(</w:t>
      </w:r>
      <w:r w:rsidR="008B5F7E">
        <w:rPr>
          <w:lang w:val="en-US"/>
        </w:rPr>
        <w:t>suc</w:t>
      </w:r>
      <w:r w:rsidR="00823F92">
        <w:rPr>
          <w:lang w:val="en-US"/>
        </w:rPr>
        <w:t xml:space="preserve">h </w:t>
      </w:r>
      <w:r w:rsidR="008B5F7E">
        <w:rPr>
          <w:lang w:val="en-US"/>
        </w:rPr>
        <w:t>a</w:t>
      </w:r>
      <w:r w:rsidR="00823F92">
        <w:rPr>
          <w:lang w:val="en-US"/>
        </w:rPr>
        <w:t xml:space="preserve">s </w:t>
      </w:r>
      <w:r w:rsidR="003D372D">
        <w:rPr>
          <w:lang w:val="en-US"/>
        </w:rPr>
        <w:t>th</w:t>
      </w:r>
      <w:r w:rsidR="00823F92">
        <w:rPr>
          <w:lang w:val="en-US"/>
        </w:rPr>
        <w:t xml:space="preserve">e </w:t>
      </w:r>
      <w:r w:rsidR="003D372D">
        <w:rPr>
          <w:lang w:val="en-US"/>
        </w:rPr>
        <w:t>COVID-1</w:t>
      </w:r>
      <w:r w:rsidR="00823F92">
        <w:rPr>
          <w:lang w:val="en-US"/>
        </w:rPr>
        <w:t xml:space="preserve">9 </w:t>
      </w:r>
      <w:r w:rsidR="003D372D">
        <w:rPr>
          <w:lang w:val="en-US"/>
        </w:rPr>
        <w:t>pandemi</w:t>
      </w:r>
      <w:r w:rsidR="00823F92">
        <w:rPr>
          <w:lang w:val="en-US"/>
        </w:rPr>
        <w:t xml:space="preserve">c </w:t>
      </w:r>
      <w:r w:rsidR="003D372D">
        <w:rPr>
          <w:lang w:val="en-US"/>
        </w:rPr>
        <w:t>an</w:t>
      </w:r>
      <w:r w:rsidR="00823F92">
        <w:rPr>
          <w:lang w:val="en-US"/>
        </w:rPr>
        <w:t xml:space="preserve">d </w:t>
      </w:r>
      <w:r w:rsidR="003D372D" w:rsidRPr="006C4490">
        <w:rPr>
          <w:lang w:val="en-US"/>
        </w:rPr>
        <w:t>2019-2</w:t>
      </w:r>
      <w:r w:rsidR="00823F92" w:rsidRPr="006C4490">
        <w:rPr>
          <w:lang w:val="en-US"/>
        </w:rPr>
        <w:t>0</w:t>
      </w:r>
      <w:r w:rsidR="00823F92">
        <w:rPr>
          <w:lang w:val="en-US"/>
        </w:rPr>
        <w:t xml:space="preserve"> </w:t>
      </w:r>
      <w:r w:rsidR="003D372D" w:rsidRPr="006C4490">
        <w:rPr>
          <w:lang w:val="en-US"/>
        </w:rPr>
        <w:t>bushfir</w:t>
      </w:r>
      <w:r w:rsidR="00823F92" w:rsidRPr="006C4490">
        <w:rPr>
          <w:lang w:val="en-US"/>
        </w:rPr>
        <w:t>e</w:t>
      </w:r>
      <w:r w:rsidR="00823F92">
        <w:rPr>
          <w:lang w:val="en-US"/>
        </w:rPr>
        <w:t xml:space="preserve"> </w:t>
      </w:r>
      <w:r w:rsidR="003D372D" w:rsidRPr="006C4490">
        <w:rPr>
          <w:lang w:val="en-US"/>
        </w:rPr>
        <w:t>crises</w:t>
      </w:r>
      <w:r w:rsidR="008B5F7E">
        <w:rPr>
          <w:lang w:val="en-US"/>
        </w:rPr>
        <w:t>)</w:t>
      </w:r>
      <w:r w:rsidR="003D372D">
        <w:rPr>
          <w:lang w:val="en-US"/>
        </w:rPr>
        <w:t>.</w:t>
      </w:r>
    </w:p>
    <w:p w14:paraId="1C6D7053" w14:textId="22B2D983" w:rsidR="00D171AF" w:rsidRPr="006C4490" w:rsidRDefault="00D171AF" w:rsidP="00D171AF">
      <w:pPr>
        <w:pStyle w:val="BodyText"/>
        <w:rPr>
          <w:lang w:val="en-US"/>
        </w:rPr>
      </w:pPr>
      <w:r w:rsidRPr="006C4490">
        <w:rPr>
          <w:lang w:val="en-US"/>
        </w:rPr>
        <w:t>Supportin</w:t>
      </w:r>
      <w:r w:rsidR="00823F92" w:rsidRPr="006C4490">
        <w:rPr>
          <w:lang w:val="en-US"/>
        </w:rPr>
        <w:t>g</w:t>
      </w:r>
      <w:r w:rsidR="00823F92">
        <w:rPr>
          <w:lang w:val="en-US"/>
        </w:rPr>
        <w:t xml:space="preserve"> </w:t>
      </w:r>
      <w:r w:rsidRPr="006C4490">
        <w:rPr>
          <w:lang w:val="en-US"/>
        </w:rPr>
        <w:t>Australian</w:t>
      </w:r>
      <w:r w:rsidR="00823F92" w:rsidRPr="006C4490">
        <w:rPr>
          <w:lang w:val="en-US"/>
        </w:rPr>
        <w:t>s</w:t>
      </w:r>
      <w:r w:rsidR="00823F92">
        <w:rPr>
          <w:lang w:val="en-US"/>
        </w:rPr>
        <w:t xml:space="preserve"> </w:t>
      </w:r>
      <w:r w:rsidRPr="006C4490">
        <w:rPr>
          <w:lang w:val="en-US"/>
        </w:rPr>
        <w:t>t</w:t>
      </w:r>
      <w:r w:rsidR="00823F92" w:rsidRPr="006C4490">
        <w:rPr>
          <w:lang w:val="en-US"/>
        </w:rPr>
        <w:t>o</w:t>
      </w:r>
      <w:r w:rsidR="00823F92">
        <w:rPr>
          <w:lang w:val="en-US"/>
        </w:rPr>
        <w:t xml:space="preserve"> </w:t>
      </w:r>
      <w:r w:rsidRPr="006C4490">
        <w:rPr>
          <w:lang w:val="en-US"/>
        </w:rPr>
        <w:t>b</w:t>
      </w:r>
      <w:r w:rsidR="00823F92" w:rsidRPr="006C4490">
        <w:rPr>
          <w:lang w:val="en-US"/>
        </w:rPr>
        <w:t>e</w:t>
      </w:r>
      <w:r w:rsidR="00823F92">
        <w:rPr>
          <w:lang w:val="en-US"/>
        </w:rPr>
        <w:t xml:space="preserve"> </w:t>
      </w:r>
      <w:r w:rsidRPr="006C4490">
        <w:rPr>
          <w:lang w:val="en-US"/>
        </w:rPr>
        <w:t>mentall</w:t>
      </w:r>
      <w:r w:rsidR="00823F92" w:rsidRPr="006C4490">
        <w:rPr>
          <w:lang w:val="en-US"/>
        </w:rPr>
        <w:t>y</w:t>
      </w:r>
      <w:r w:rsidR="00823F92">
        <w:rPr>
          <w:lang w:val="en-US"/>
        </w:rPr>
        <w:t xml:space="preserve"> </w:t>
      </w:r>
      <w:r w:rsidRPr="006C4490">
        <w:rPr>
          <w:lang w:val="en-US"/>
        </w:rPr>
        <w:t>wel</w:t>
      </w:r>
      <w:r w:rsidR="00823F92" w:rsidRPr="006C4490">
        <w:rPr>
          <w:lang w:val="en-US"/>
        </w:rPr>
        <w:t>l</w:t>
      </w:r>
      <w:r w:rsidR="00823F92">
        <w:rPr>
          <w:lang w:val="en-US"/>
        </w:rPr>
        <w:t xml:space="preserve"> </w:t>
      </w:r>
      <w:r>
        <w:rPr>
          <w:lang w:val="en-US"/>
        </w:rPr>
        <w:t>i</w:t>
      </w:r>
      <w:r w:rsidR="00823F92">
        <w:rPr>
          <w:lang w:val="en-US"/>
        </w:rPr>
        <w:t xml:space="preserve">s </w:t>
      </w:r>
      <w:r w:rsidRPr="006C4490">
        <w:rPr>
          <w:lang w:val="en-US"/>
        </w:rPr>
        <w:t>n</w:t>
      </w:r>
      <w:r w:rsidR="00823F92" w:rsidRPr="006C4490">
        <w:rPr>
          <w:lang w:val="en-US"/>
        </w:rPr>
        <w:t>o</w:t>
      </w:r>
      <w:r w:rsidR="00823F92">
        <w:rPr>
          <w:lang w:val="en-US"/>
        </w:rPr>
        <w:t xml:space="preserve"> </w:t>
      </w:r>
      <w:r w:rsidRPr="006C4490">
        <w:rPr>
          <w:lang w:val="en-US"/>
        </w:rPr>
        <w:t>longe</w:t>
      </w:r>
      <w:r w:rsidR="00823F92" w:rsidRPr="006C4490">
        <w:rPr>
          <w:lang w:val="en-US"/>
        </w:rPr>
        <w:t>r</w:t>
      </w:r>
      <w:r w:rsidR="00823F92">
        <w:rPr>
          <w:lang w:val="en-US"/>
        </w:rPr>
        <w:t xml:space="preserve"> </w:t>
      </w:r>
      <w:r>
        <w:rPr>
          <w:lang w:val="en-US"/>
        </w:rPr>
        <w:t>restricte</w:t>
      </w:r>
      <w:r w:rsidR="00823F92">
        <w:rPr>
          <w:lang w:val="en-US"/>
        </w:rPr>
        <w:t xml:space="preserve">d </w:t>
      </w:r>
      <w:r>
        <w:rPr>
          <w:lang w:val="en-US"/>
        </w:rPr>
        <w:t>t</w:t>
      </w:r>
      <w:r w:rsidR="00823F92">
        <w:rPr>
          <w:lang w:val="en-US"/>
        </w:rPr>
        <w:t xml:space="preserve">o </w:t>
      </w:r>
      <w:r w:rsidRPr="006C4490">
        <w:rPr>
          <w:lang w:val="en-US"/>
        </w:rPr>
        <w:t>supportin</w:t>
      </w:r>
      <w:r w:rsidR="00823F92" w:rsidRPr="006C4490">
        <w:rPr>
          <w:lang w:val="en-US"/>
        </w:rPr>
        <w:t>g</w:t>
      </w:r>
      <w:r w:rsidR="00823F92">
        <w:rPr>
          <w:lang w:val="en-US"/>
        </w:rPr>
        <w:t xml:space="preserve"> </w:t>
      </w:r>
      <w:r w:rsidRPr="006C4490">
        <w:rPr>
          <w:lang w:val="en-US"/>
        </w:rPr>
        <w:t>thos</w:t>
      </w:r>
      <w:r w:rsidR="00823F92" w:rsidRPr="006C4490">
        <w:rPr>
          <w:lang w:val="en-US"/>
        </w:rPr>
        <w:t>e</w:t>
      </w:r>
      <w:r w:rsidR="00823F92">
        <w:rPr>
          <w:lang w:val="en-US"/>
        </w:rPr>
        <w:t xml:space="preserve"> </w:t>
      </w:r>
      <w:r w:rsidRPr="006C4490">
        <w:rPr>
          <w:lang w:val="en-US"/>
        </w:rPr>
        <w:t>experiencin</w:t>
      </w:r>
      <w:r w:rsidR="00823F92" w:rsidRPr="006C4490">
        <w:rPr>
          <w:lang w:val="en-US"/>
        </w:rPr>
        <w:t>g</w:t>
      </w:r>
      <w:r w:rsidR="00823F92">
        <w:rPr>
          <w:lang w:val="en-US"/>
        </w:rPr>
        <w:t xml:space="preserve"> </w:t>
      </w:r>
      <w:r w:rsidR="002E0E3F">
        <w:rPr>
          <w:lang w:val="en-US"/>
        </w:rPr>
        <w:t>suicidality</w:t>
      </w:r>
      <w:r w:rsidR="00823F92">
        <w:rPr>
          <w:lang w:val="en-US"/>
        </w:rPr>
        <w:t xml:space="preserve">, </w:t>
      </w:r>
      <w:r w:rsidRPr="006C4490">
        <w:rPr>
          <w:lang w:val="en-US"/>
        </w:rPr>
        <w:t>menta</w:t>
      </w:r>
      <w:r w:rsidR="00823F92" w:rsidRPr="006C4490">
        <w:rPr>
          <w:lang w:val="en-US"/>
        </w:rPr>
        <w:t>l</w:t>
      </w:r>
      <w:r w:rsidR="00823F92">
        <w:rPr>
          <w:lang w:val="en-US"/>
        </w:rPr>
        <w:t xml:space="preserve"> </w:t>
      </w:r>
      <w:r w:rsidRPr="006C4490">
        <w:rPr>
          <w:lang w:val="en-US"/>
        </w:rPr>
        <w:t>distres</w:t>
      </w:r>
      <w:r w:rsidR="00823F92" w:rsidRPr="006C4490">
        <w:rPr>
          <w:lang w:val="en-US"/>
        </w:rPr>
        <w:t>s</w:t>
      </w:r>
      <w:r w:rsidR="00823F92">
        <w:rPr>
          <w:lang w:val="en-US"/>
        </w:rPr>
        <w:t xml:space="preserve"> </w:t>
      </w:r>
      <w:r>
        <w:rPr>
          <w:lang w:val="en-US"/>
        </w:rPr>
        <w:t>and/</w:t>
      </w:r>
      <w:r w:rsidRPr="006C4490">
        <w:rPr>
          <w:lang w:val="en-US"/>
        </w:rPr>
        <w:t>o</w:t>
      </w:r>
      <w:r w:rsidR="00823F92" w:rsidRPr="006C4490">
        <w:rPr>
          <w:lang w:val="en-US"/>
        </w:rPr>
        <w:t>r</w:t>
      </w:r>
      <w:r w:rsidR="00823F92">
        <w:rPr>
          <w:lang w:val="en-US"/>
        </w:rPr>
        <w:t xml:space="preserve"> </w:t>
      </w:r>
      <w:r w:rsidR="008659C7" w:rsidRPr="006C4490">
        <w:rPr>
          <w:lang w:val="en-US"/>
        </w:rPr>
        <w:t>ill-health</w:t>
      </w:r>
      <w:r w:rsidR="00823F92">
        <w:rPr>
          <w:lang w:val="en-US"/>
        </w:rPr>
        <w:t xml:space="preserve">, </w:t>
      </w:r>
      <w:r w:rsidR="008659C7">
        <w:rPr>
          <w:lang w:val="en-US"/>
        </w:rPr>
        <w:t>bu</w:t>
      </w:r>
      <w:r w:rsidR="00823F92">
        <w:rPr>
          <w:lang w:val="en-US"/>
        </w:rPr>
        <w:t xml:space="preserve">t </w:t>
      </w:r>
      <w:r w:rsidR="008659C7">
        <w:rPr>
          <w:lang w:val="en-US"/>
        </w:rPr>
        <w:t>als</w:t>
      </w:r>
      <w:r w:rsidR="00823F92">
        <w:rPr>
          <w:lang w:val="en-US"/>
        </w:rPr>
        <w:t xml:space="preserve">o </w:t>
      </w:r>
      <w:r w:rsidRPr="006C4490">
        <w:rPr>
          <w:lang w:val="en-US"/>
        </w:rPr>
        <w:t>encompasse</w:t>
      </w:r>
      <w:r w:rsidR="00823F92" w:rsidRPr="006C4490">
        <w:rPr>
          <w:lang w:val="en-US"/>
        </w:rPr>
        <w:t>s</w:t>
      </w:r>
      <w:r w:rsidR="00823F92">
        <w:rPr>
          <w:lang w:val="en-US"/>
        </w:rPr>
        <w:t xml:space="preserve"> </w:t>
      </w:r>
      <w:r>
        <w:rPr>
          <w:lang w:val="en-US"/>
        </w:rPr>
        <w:t>preventio</w:t>
      </w:r>
      <w:r w:rsidR="00823F92">
        <w:rPr>
          <w:lang w:val="en-US"/>
        </w:rPr>
        <w:t xml:space="preserve">n </w:t>
      </w:r>
      <w:r>
        <w:rPr>
          <w:lang w:val="en-US"/>
        </w:rPr>
        <w:t>an</w:t>
      </w:r>
      <w:r w:rsidR="00823F92">
        <w:rPr>
          <w:lang w:val="en-US"/>
        </w:rPr>
        <w:t xml:space="preserve">d </w:t>
      </w:r>
      <w:r>
        <w:rPr>
          <w:lang w:val="en-US"/>
        </w:rPr>
        <w:t>earl</w:t>
      </w:r>
      <w:r w:rsidR="00823F92">
        <w:rPr>
          <w:lang w:val="en-US"/>
        </w:rPr>
        <w:t xml:space="preserve">y </w:t>
      </w:r>
      <w:r>
        <w:rPr>
          <w:lang w:val="en-US"/>
        </w:rPr>
        <w:t>interventio</w:t>
      </w:r>
      <w:r w:rsidR="00823F92">
        <w:rPr>
          <w:lang w:val="en-US"/>
        </w:rPr>
        <w:t xml:space="preserve">n </w:t>
      </w:r>
      <w:r w:rsidRPr="006C4490">
        <w:rPr>
          <w:lang w:val="en-US"/>
        </w:rPr>
        <w:t>t</w:t>
      </w:r>
      <w:r w:rsidR="00823F92" w:rsidRPr="006C4490">
        <w:rPr>
          <w:lang w:val="en-US"/>
        </w:rPr>
        <w:t>o</w:t>
      </w:r>
      <w:r w:rsidR="00823F92">
        <w:rPr>
          <w:lang w:val="en-US"/>
        </w:rPr>
        <w:t xml:space="preserve"> </w:t>
      </w:r>
      <w:r w:rsidRPr="006C4490">
        <w:rPr>
          <w:lang w:val="en-US"/>
        </w:rPr>
        <w:t>promot</w:t>
      </w:r>
      <w:r w:rsidR="00823F92" w:rsidRPr="006C4490">
        <w:rPr>
          <w:lang w:val="en-US"/>
        </w:rPr>
        <w:t>e</w:t>
      </w:r>
      <w:r w:rsidR="00823F92">
        <w:rPr>
          <w:lang w:val="en-US"/>
        </w:rPr>
        <w:t xml:space="preserve"> </w:t>
      </w:r>
      <w:r w:rsidRPr="006C4490">
        <w:rPr>
          <w:lang w:val="en-US"/>
        </w:rPr>
        <w:t>menta</w:t>
      </w:r>
      <w:r w:rsidR="00823F92" w:rsidRPr="006C4490">
        <w:rPr>
          <w:lang w:val="en-US"/>
        </w:rPr>
        <w:t>l</w:t>
      </w:r>
      <w:r w:rsidR="00823F92">
        <w:rPr>
          <w:lang w:val="en-US"/>
        </w:rPr>
        <w:t xml:space="preserve"> </w:t>
      </w:r>
      <w:r w:rsidRPr="006C4490">
        <w:rPr>
          <w:lang w:val="en-US"/>
        </w:rPr>
        <w:t>wellbein</w:t>
      </w:r>
      <w:r w:rsidR="00823F92" w:rsidRPr="006C4490">
        <w:rPr>
          <w:lang w:val="en-US"/>
        </w:rPr>
        <w:t>g</w:t>
      </w:r>
      <w:r w:rsidR="00823F92">
        <w:rPr>
          <w:lang w:val="en-US"/>
        </w:rPr>
        <w:t xml:space="preserve"> </w:t>
      </w:r>
      <w:r>
        <w:rPr>
          <w:lang w:val="en-US"/>
        </w:rPr>
        <w:t>an</w:t>
      </w:r>
      <w:r w:rsidR="00823F92">
        <w:rPr>
          <w:lang w:val="en-US"/>
        </w:rPr>
        <w:t xml:space="preserve">d </w:t>
      </w:r>
      <w:r>
        <w:rPr>
          <w:lang w:val="en-US"/>
        </w:rPr>
        <w:t>assis</w:t>
      </w:r>
      <w:r w:rsidR="00823F92">
        <w:rPr>
          <w:lang w:val="en-US"/>
        </w:rPr>
        <w:t xml:space="preserve">t </w:t>
      </w:r>
      <w:r w:rsidRPr="006C4490">
        <w:rPr>
          <w:lang w:val="en-US"/>
        </w:rPr>
        <w:t>peopl</w:t>
      </w:r>
      <w:r w:rsidR="00823F92" w:rsidRPr="006C4490">
        <w:rPr>
          <w:lang w:val="en-US"/>
        </w:rPr>
        <w:t>e</w:t>
      </w:r>
      <w:r w:rsidR="00823F92">
        <w:rPr>
          <w:lang w:val="en-US"/>
        </w:rPr>
        <w:t xml:space="preserve"> </w:t>
      </w:r>
      <w:r w:rsidRPr="006C4490">
        <w:rPr>
          <w:lang w:val="en-US"/>
        </w:rPr>
        <w:t>a</w:t>
      </w:r>
      <w:r w:rsidR="00823F92" w:rsidRPr="006C4490">
        <w:rPr>
          <w:lang w:val="en-US"/>
        </w:rPr>
        <w:t>t</w:t>
      </w:r>
      <w:r w:rsidR="00823F92">
        <w:rPr>
          <w:lang w:val="en-US"/>
        </w:rPr>
        <w:t xml:space="preserve"> </w:t>
      </w:r>
      <w:r w:rsidRPr="006C4490">
        <w:rPr>
          <w:lang w:val="en-US"/>
        </w:rPr>
        <w:t>risk</w:t>
      </w:r>
      <w:r w:rsidR="00823F92" w:rsidRPr="006C4490">
        <w:rPr>
          <w:lang w:val="en-US"/>
        </w:rPr>
        <w:t>.</w:t>
      </w:r>
      <w:r w:rsidR="00823F92">
        <w:rPr>
          <w:lang w:val="en-US"/>
        </w:rPr>
        <w:t xml:space="preserve"> </w:t>
      </w:r>
      <w:r w:rsidR="003E4A31">
        <w:rPr>
          <w:lang w:val="en-US"/>
        </w:rPr>
        <w:t>Th</w:t>
      </w:r>
      <w:r w:rsidR="00823F92">
        <w:rPr>
          <w:lang w:val="en-US"/>
        </w:rPr>
        <w:t xml:space="preserve">e </w:t>
      </w:r>
      <w:r w:rsidR="003E4A31">
        <w:rPr>
          <w:lang w:val="en-US"/>
        </w:rPr>
        <w:t>menta</w:t>
      </w:r>
      <w:r w:rsidR="00823F92">
        <w:rPr>
          <w:lang w:val="en-US"/>
        </w:rPr>
        <w:t xml:space="preserve">l </w:t>
      </w:r>
      <w:r w:rsidR="003E4A31">
        <w:rPr>
          <w:lang w:val="en-US"/>
        </w:rPr>
        <w:t>healt</w:t>
      </w:r>
      <w:r w:rsidR="00823F92">
        <w:rPr>
          <w:lang w:val="en-US"/>
        </w:rPr>
        <w:t xml:space="preserve">h </w:t>
      </w:r>
      <w:r w:rsidR="003E4A31">
        <w:rPr>
          <w:lang w:val="en-US"/>
        </w:rPr>
        <w:t>workforc</w:t>
      </w:r>
      <w:r w:rsidR="00823F92">
        <w:rPr>
          <w:lang w:val="en-US"/>
        </w:rPr>
        <w:t xml:space="preserve">e </w:t>
      </w:r>
      <w:r w:rsidR="003E4A31">
        <w:rPr>
          <w:lang w:val="en-US"/>
        </w:rPr>
        <w:t>help</w:t>
      </w:r>
      <w:r w:rsidR="00823F92">
        <w:rPr>
          <w:lang w:val="en-US"/>
        </w:rPr>
        <w:t xml:space="preserve">s </w:t>
      </w:r>
      <w:r w:rsidR="003E4A31">
        <w:rPr>
          <w:lang w:val="en-US"/>
        </w:rPr>
        <w:t>t</w:t>
      </w:r>
      <w:r w:rsidR="00823F92">
        <w:rPr>
          <w:lang w:val="en-US"/>
        </w:rPr>
        <w:t xml:space="preserve">o </w:t>
      </w:r>
      <w:r w:rsidR="003E4A31">
        <w:rPr>
          <w:lang w:val="en-US"/>
        </w:rPr>
        <w:t>buil</w:t>
      </w:r>
      <w:r w:rsidR="00823F92">
        <w:rPr>
          <w:lang w:val="en-US"/>
        </w:rPr>
        <w:t xml:space="preserve">d </w:t>
      </w:r>
      <w:r w:rsidR="003E4A31">
        <w:rPr>
          <w:lang w:val="en-US"/>
        </w:rPr>
        <w:t>protectiv</w:t>
      </w:r>
      <w:r w:rsidR="00823F92">
        <w:rPr>
          <w:lang w:val="en-US"/>
        </w:rPr>
        <w:t xml:space="preserve">e </w:t>
      </w:r>
      <w:r w:rsidR="003E4A31">
        <w:rPr>
          <w:lang w:val="en-US"/>
        </w:rPr>
        <w:t>factor</w:t>
      </w:r>
      <w:r w:rsidR="00823F92">
        <w:rPr>
          <w:lang w:val="en-US"/>
        </w:rPr>
        <w:t xml:space="preserve">s </w:t>
      </w:r>
      <w:r w:rsidR="009E6B83">
        <w:rPr>
          <w:lang w:val="en-US"/>
        </w:rPr>
        <w:t>tha</w:t>
      </w:r>
      <w:r w:rsidR="00823F92">
        <w:rPr>
          <w:lang w:val="en-US"/>
        </w:rPr>
        <w:t xml:space="preserve">t </w:t>
      </w:r>
      <w:r w:rsidR="009E6B83">
        <w:rPr>
          <w:lang w:val="en-US"/>
        </w:rPr>
        <w:t>suppor</w:t>
      </w:r>
      <w:r w:rsidR="00823F92">
        <w:rPr>
          <w:lang w:val="en-US"/>
        </w:rPr>
        <w:t xml:space="preserve">t </w:t>
      </w:r>
      <w:r w:rsidR="009E6B83">
        <w:rPr>
          <w:lang w:val="en-US"/>
        </w:rPr>
        <w:t>wellbeing</w:t>
      </w:r>
      <w:r w:rsidR="00823F92">
        <w:rPr>
          <w:lang w:val="en-US"/>
        </w:rPr>
        <w:t xml:space="preserve">, </w:t>
      </w:r>
      <w:r w:rsidR="003E4A31">
        <w:rPr>
          <w:lang w:val="en-US"/>
        </w:rPr>
        <w:t>includin</w:t>
      </w:r>
      <w:r w:rsidR="00823F92">
        <w:rPr>
          <w:lang w:val="en-US"/>
        </w:rPr>
        <w:t xml:space="preserve">g </w:t>
      </w:r>
      <w:r w:rsidR="003E4A31">
        <w:rPr>
          <w:lang w:val="en-US"/>
        </w:rPr>
        <w:t>socia</w:t>
      </w:r>
      <w:r w:rsidR="00823F92">
        <w:rPr>
          <w:lang w:val="en-US"/>
        </w:rPr>
        <w:t xml:space="preserve">l </w:t>
      </w:r>
      <w:r w:rsidR="003E4A31">
        <w:rPr>
          <w:lang w:val="en-US"/>
        </w:rPr>
        <w:t>inclusion</w:t>
      </w:r>
      <w:r w:rsidR="00823F92">
        <w:rPr>
          <w:lang w:val="en-US"/>
        </w:rPr>
        <w:t xml:space="preserve">, </w:t>
      </w:r>
      <w:r w:rsidR="009E6B83">
        <w:rPr>
          <w:lang w:val="en-US"/>
        </w:rPr>
        <w:t>health</w:t>
      </w:r>
      <w:r w:rsidR="00823F92">
        <w:rPr>
          <w:lang w:val="en-US"/>
        </w:rPr>
        <w:t xml:space="preserve">y </w:t>
      </w:r>
      <w:r w:rsidR="009E6B83">
        <w:rPr>
          <w:lang w:val="en-US"/>
        </w:rPr>
        <w:t>behaviours</w:t>
      </w:r>
      <w:r w:rsidR="00823F92">
        <w:rPr>
          <w:lang w:val="en-US"/>
        </w:rPr>
        <w:t xml:space="preserve">, </w:t>
      </w:r>
      <w:r w:rsidR="00ED64C0">
        <w:rPr>
          <w:lang w:val="en-US"/>
        </w:rPr>
        <w:t>engagemen</w:t>
      </w:r>
      <w:r w:rsidR="00823F92">
        <w:rPr>
          <w:lang w:val="en-US"/>
        </w:rPr>
        <w:t xml:space="preserve">t </w:t>
      </w:r>
      <w:r w:rsidR="00ED64C0">
        <w:rPr>
          <w:lang w:val="en-US"/>
        </w:rPr>
        <w:t>i</w:t>
      </w:r>
      <w:r w:rsidR="00823F92">
        <w:rPr>
          <w:lang w:val="en-US"/>
        </w:rPr>
        <w:t xml:space="preserve">n </w:t>
      </w:r>
      <w:r w:rsidR="00ED64C0">
        <w:rPr>
          <w:lang w:val="en-US"/>
        </w:rPr>
        <w:t>meaningfu</w:t>
      </w:r>
      <w:r w:rsidR="00823F92">
        <w:rPr>
          <w:lang w:val="en-US"/>
        </w:rPr>
        <w:t xml:space="preserve">l </w:t>
      </w:r>
      <w:r w:rsidR="00ED64C0">
        <w:rPr>
          <w:lang w:val="en-US"/>
        </w:rPr>
        <w:t>role</w:t>
      </w:r>
      <w:r w:rsidR="00823F92">
        <w:rPr>
          <w:lang w:val="en-US"/>
        </w:rPr>
        <w:t xml:space="preserve">s </w:t>
      </w:r>
      <w:r w:rsidR="00ED64C0">
        <w:rPr>
          <w:lang w:val="en-US"/>
        </w:rPr>
        <w:t>an</w:t>
      </w:r>
      <w:r w:rsidR="00823F92">
        <w:rPr>
          <w:lang w:val="en-US"/>
        </w:rPr>
        <w:t xml:space="preserve">d </w:t>
      </w:r>
      <w:r w:rsidR="00ED64C0">
        <w:rPr>
          <w:lang w:val="en-US"/>
        </w:rPr>
        <w:t>activities</w:t>
      </w:r>
      <w:r w:rsidR="00823F92">
        <w:rPr>
          <w:lang w:val="en-US"/>
        </w:rPr>
        <w:t xml:space="preserve">, </w:t>
      </w:r>
      <w:r w:rsidR="009E6B83">
        <w:rPr>
          <w:lang w:val="en-US"/>
        </w:rPr>
        <w:t>an</w:t>
      </w:r>
      <w:r w:rsidR="00823F92">
        <w:rPr>
          <w:lang w:val="en-US"/>
        </w:rPr>
        <w:t xml:space="preserve">d </w:t>
      </w:r>
      <w:r w:rsidR="009E6B83">
        <w:rPr>
          <w:lang w:val="en-US"/>
        </w:rPr>
        <w:t>physica</w:t>
      </w:r>
      <w:r w:rsidR="00823F92">
        <w:rPr>
          <w:lang w:val="en-US"/>
        </w:rPr>
        <w:t xml:space="preserve">l </w:t>
      </w:r>
      <w:r w:rsidR="009E6B83">
        <w:rPr>
          <w:lang w:val="en-US"/>
        </w:rPr>
        <w:t>activity</w:t>
      </w:r>
      <w:r w:rsidR="00823F92">
        <w:rPr>
          <w:lang w:val="en-US"/>
        </w:rPr>
        <w:t xml:space="preserve">. </w:t>
      </w:r>
    </w:p>
    <w:p w14:paraId="117D7778" w14:textId="3692184F" w:rsidR="00785DAA" w:rsidRPr="006C4490" w:rsidRDefault="00785DAA" w:rsidP="00785DAA">
      <w:pPr>
        <w:pStyle w:val="BodyText"/>
        <w:rPr>
          <w:lang w:val="en-US"/>
        </w:rPr>
      </w:pPr>
      <w:r w:rsidRPr="006C4490">
        <w:rPr>
          <w:lang w:val="en-US"/>
        </w:rPr>
        <w:t>Respectin</w:t>
      </w:r>
      <w:r w:rsidR="00823F92" w:rsidRPr="006C4490">
        <w:rPr>
          <w:lang w:val="en-US"/>
        </w:rPr>
        <w:t>g</w:t>
      </w:r>
      <w:r w:rsidR="00823F92">
        <w:rPr>
          <w:lang w:val="en-US"/>
        </w:rPr>
        <w:t xml:space="preserve"> </w:t>
      </w:r>
      <w:r w:rsidRPr="006C4490">
        <w:rPr>
          <w:lang w:val="en-US"/>
        </w:rPr>
        <w:t>an</w:t>
      </w:r>
      <w:r w:rsidR="00823F92" w:rsidRPr="006C4490">
        <w:rPr>
          <w:lang w:val="en-US"/>
        </w:rPr>
        <w:t>d</w:t>
      </w:r>
      <w:r w:rsidR="00823F92">
        <w:rPr>
          <w:lang w:val="en-US"/>
        </w:rPr>
        <w:t xml:space="preserve"> </w:t>
      </w:r>
      <w:r w:rsidRPr="006C4490">
        <w:rPr>
          <w:lang w:val="en-US"/>
        </w:rPr>
        <w:t>respondin</w:t>
      </w:r>
      <w:r w:rsidR="00823F92" w:rsidRPr="006C4490">
        <w:rPr>
          <w:lang w:val="en-US"/>
        </w:rPr>
        <w:t>g</w:t>
      </w:r>
      <w:r w:rsidR="00823F92">
        <w:rPr>
          <w:lang w:val="en-US"/>
        </w:rPr>
        <w:t xml:space="preserve"> </w:t>
      </w:r>
      <w:r w:rsidRPr="006C4490">
        <w:rPr>
          <w:lang w:val="en-US"/>
        </w:rPr>
        <w:t>t</w:t>
      </w:r>
      <w:r w:rsidR="00823F92" w:rsidRPr="006C4490">
        <w:rPr>
          <w:lang w:val="en-US"/>
        </w:rPr>
        <w:t>o</w:t>
      </w:r>
      <w:r w:rsidR="00823F92">
        <w:rPr>
          <w:lang w:val="en-US"/>
        </w:rPr>
        <w:t xml:space="preserve"> </w:t>
      </w:r>
      <w:r w:rsidRPr="006C4490">
        <w:rPr>
          <w:lang w:val="en-US"/>
        </w:rPr>
        <w:t>th</w:t>
      </w:r>
      <w:r w:rsidR="00823F92" w:rsidRPr="006C4490">
        <w:rPr>
          <w:lang w:val="en-US"/>
        </w:rPr>
        <w:t>e</w:t>
      </w:r>
      <w:r w:rsidR="00823F92">
        <w:rPr>
          <w:lang w:val="en-US"/>
        </w:rPr>
        <w:t xml:space="preserve"> </w:t>
      </w:r>
      <w:r w:rsidRPr="006C4490">
        <w:rPr>
          <w:lang w:val="en-US"/>
        </w:rPr>
        <w:t>diversit</w:t>
      </w:r>
      <w:r w:rsidR="00823F92" w:rsidRPr="006C4490">
        <w:rPr>
          <w:lang w:val="en-US"/>
        </w:rPr>
        <w:t>y</w:t>
      </w:r>
      <w:r w:rsidR="00823F92">
        <w:rPr>
          <w:lang w:val="en-US"/>
        </w:rPr>
        <w:t xml:space="preserve"> </w:t>
      </w:r>
      <w:r w:rsidRPr="006C4490">
        <w:rPr>
          <w:lang w:val="en-US"/>
        </w:rPr>
        <w:t>o</w:t>
      </w:r>
      <w:r w:rsidR="00823F92" w:rsidRPr="006C4490">
        <w:rPr>
          <w:lang w:val="en-US"/>
        </w:rPr>
        <w:t>f</w:t>
      </w:r>
      <w:r w:rsidR="00823F92">
        <w:rPr>
          <w:lang w:val="en-US"/>
        </w:rPr>
        <w:t xml:space="preserve"> </w:t>
      </w:r>
      <w:r w:rsidRPr="006C4490">
        <w:rPr>
          <w:lang w:val="en-US"/>
        </w:rPr>
        <w:t>nee</w:t>
      </w:r>
      <w:r w:rsidR="00823F92" w:rsidRPr="006C4490">
        <w:rPr>
          <w:lang w:val="en-US"/>
        </w:rPr>
        <w:t>d</w:t>
      </w:r>
      <w:r w:rsidR="00823F92">
        <w:rPr>
          <w:lang w:val="en-US"/>
        </w:rPr>
        <w:t xml:space="preserve"> </w:t>
      </w:r>
      <w:r w:rsidRPr="006C4490">
        <w:rPr>
          <w:lang w:val="en-US"/>
        </w:rPr>
        <w:t>mean</w:t>
      </w:r>
      <w:r w:rsidR="00823F92" w:rsidRPr="006C4490">
        <w:rPr>
          <w:lang w:val="en-US"/>
        </w:rPr>
        <w:t>s</w:t>
      </w:r>
      <w:r w:rsidR="00823F92">
        <w:rPr>
          <w:lang w:val="en-US"/>
        </w:rPr>
        <w:t xml:space="preserve"> </w:t>
      </w:r>
      <w:r w:rsidRPr="006C4490">
        <w:rPr>
          <w:lang w:val="en-US"/>
        </w:rPr>
        <w:t>accommodatin</w:t>
      </w:r>
      <w:r w:rsidR="00823F92" w:rsidRPr="006C4490">
        <w:rPr>
          <w:lang w:val="en-US"/>
        </w:rPr>
        <w:t>g</w:t>
      </w:r>
      <w:r w:rsidR="00823F92">
        <w:rPr>
          <w:lang w:val="en-US"/>
        </w:rPr>
        <w:t xml:space="preserve"> </w:t>
      </w:r>
      <w:r w:rsidRPr="006C4490">
        <w:rPr>
          <w:lang w:val="en-US"/>
        </w:rPr>
        <w:t>understanding</w:t>
      </w:r>
      <w:r w:rsidR="00823F92">
        <w:rPr>
          <w:lang w:val="en-US"/>
        </w:rPr>
        <w:t xml:space="preserve">s </w:t>
      </w:r>
      <w:r w:rsidRPr="006C4490">
        <w:rPr>
          <w:lang w:val="en-US"/>
        </w:rPr>
        <w:t>o</w:t>
      </w:r>
      <w:r w:rsidR="00823F92" w:rsidRPr="006C4490">
        <w:rPr>
          <w:lang w:val="en-US"/>
        </w:rPr>
        <w:t>f</w:t>
      </w:r>
      <w:r w:rsidR="00823F92">
        <w:rPr>
          <w:lang w:val="en-US"/>
        </w:rPr>
        <w:t xml:space="preserve"> </w:t>
      </w:r>
      <w:r w:rsidRPr="006C4490">
        <w:rPr>
          <w:lang w:val="en-US"/>
        </w:rPr>
        <w:t>healt</w:t>
      </w:r>
      <w:r w:rsidR="00823F92" w:rsidRPr="006C4490">
        <w:rPr>
          <w:lang w:val="en-US"/>
        </w:rPr>
        <w:t>h</w:t>
      </w:r>
      <w:r w:rsidR="00823F92">
        <w:rPr>
          <w:lang w:val="en-US"/>
        </w:rPr>
        <w:t xml:space="preserve"> </w:t>
      </w:r>
      <w:r>
        <w:rPr>
          <w:lang w:val="en-US"/>
        </w:rPr>
        <w:t>an</w:t>
      </w:r>
      <w:r w:rsidR="00823F92">
        <w:rPr>
          <w:lang w:val="en-US"/>
        </w:rPr>
        <w:t xml:space="preserve">d </w:t>
      </w:r>
      <w:r>
        <w:rPr>
          <w:lang w:val="en-US"/>
        </w:rPr>
        <w:t>wellbein</w:t>
      </w:r>
      <w:r w:rsidR="00823F92">
        <w:rPr>
          <w:lang w:val="en-US"/>
        </w:rPr>
        <w:t xml:space="preserve">g </w:t>
      </w:r>
      <w:r w:rsidRPr="006C4490">
        <w:rPr>
          <w:lang w:val="en-US"/>
        </w:rPr>
        <w:t>tha</w:t>
      </w:r>
      <w:r w:rsidR="00823F92" w:rsidRPr="006C4490">
        <w:rPr>
          <w:lang w:val="en-US"/>
        </w:rPr>
        <w:t>t</w:t>
      </w:r>
      <w:r w:rsidR="00823F92">
        <w:rPr>
          <w:lang w:val="en-US"/>
        </w:rPr>
        <w:t xml:space="preserve"> </w:t>
      </w:r>
      <w:r w:rsidRPr="006C4490">
        <w:rPr>
          <w:lang w:val="en-US"/>
        </w:rPr>
        <w:t>ar</w:t>
      </w:r>
      <w:r w:rsidR="00823F92" w:rsidRPr="006C4490">
        <w:rPr>
          <w:lang w:val="en-US"/>
        </w:rPr>
        <w:t>e</w:t>
      </w:r>
      <w:r w:rsidR="00823F92">
        <w:rPr>
          <w:lang w:val="en-US"/>
        </w:rPr>
        <w:t xml:space="preserve"> </w:t>
      </w:r>
      <w:r w:rsidRPr="006C4490">
        <w:rPr>
          <w:lang w:val="en-US"/>
        </w:rPr>
        <w:t>appropriat</w:t>
      </w:r>
      <w:r w:rsidR="00823F92" w:rsidRPr="006C4490">
        <w:rPr>
          <w:lang w:val="en-US"/>
        </w:rPr>
        <w:t>e</w:t>
      </w:r>
      <w:r w:rsidR="00823F92">
        <w:rPr>
          <w:lang w:val="en-US"/>
        </w:rPr>
        <w:t xml:space="preserve"> </w:t>
      </w:r>
      <w:r w:rsidRPr="006C4490">
        <w:rPr>
          <w:lang w:val="en-US"/>
        </w:rPr>
        <w:t>fo</w:t>
      </w:r>
      <w:r w:rsidR="00823F92" w:rsidRPr="006C4490">
        <w:rPr>
          <w:lang w:val="en-US"/>
        </w:rPr>
        <w:t>r</w:t>
      </w:r>
      <w:r w:rsidR="00823F92">
        <w:rPr>
          <w:lang w:val="en-US"/>
        </w:rPr>
        <w:t xml:space="preserve"> </w:t>
      </w:r>
      <w:r w:rsidRPr="006C4490">
        <w:rPr>
          <w:lang w:val="en-US"/>
        </w:rPr>
        <w:t>eac</w:t>
      </w:r>
      <w:r w:rsidR="00823F92" w:rsidRPr="006C4490">
        <w:rPr>
          <w:lang w:val="en-US"/>
        </w:rPr>
        <w:t>h</w:t>
      </w:r>
      <w:r w:rsidR="00823F92">
        <w:rPr>
          <w:lang w:val="en-US"/>
        </w:rPr>
        <w:t xml:space="preserve"> </w:t>
      </w:r>
      <w:r w:rsidRPr="006C4490">
        <w:rPr>
          <w:lang w:val="en-US"/>
        </w:rPr>
        <w:t>individual</w:t>
      </w:r>
      <w:r w:rsidR="00823F92" w:rsidRPr="006C4490">
        <w:rPr>
          <w:lang w:val="en-US"/>
        </w:rPr>
        <w:t>,</w:t>
      </w:r>
      <w:r w:rsidR="00823F92">
        <w:rPr>
          <w:lang w:val="en-US"/>
        </w:rPr>
        <w:t xml:space="preserve"> </w:t>
      </w:r>
      <w:r w:rsidRPr="006C4490">
        <w:rPr>
          <w:lang w:val="en-US"/>
        </w:rPr>
        <w:t>famil</w:t>
      </w:r>
      <w:r w:rsidR="00823F92" w:rsidRPr="006C4490">
        <w:rPr>
          <w:lang w:val="en-US"/>
        </w:rPr>
        <w:t>y</w:t>
      </w:r>
      <w:r w:rsidR="00823F92">
        <w:rPr>
          <w:lang w:val="en-US"/>
        </w:rPr>
        <w:t xml:space="preserve"> </w:t>
      </w:r>
      <w:r w:rsidRPr="006C4490">
        <w:rPr>
          <w:lang w:val="en-US"/>
        </w:rPr>
        <w:t>an</w:t>
      </w:r>
      <w:r w:rsidR="00823F92" w:rsidRPr="006C4490">
        <w:rPr>
          <w:lang w:val="en-US"/>
        </w:rPr>
        <w:t>d</w:t>
      </w:r>
      <w:r w:rsidR="00823F92">
        <w:rPr>
          <w:lang w:val="en-US"/>
        </w:rPr>
        <w:t xml:space="preserve"> </w:t>
      </w:r>
      <w:r w:rsidRPr="006C4490">
        <w:rPr>
          <w:lang w:val="en-US"/>
        </w:rPr>
        <w:t>community</w:t>
      </w:r>
      <w:r w:rsidR="00823F92" w:rsidRPr="006C4490">
        <w:rPr>
          <w:lang w:val="en-US"/>
        </w:rPr>
        <w:t>.</w:t>
      </w:r>
      <w:r w:rsidR="00823F92">
        <w:rPr>
          <w:lang w:val="en-US"/>
        </w:rPr>
        <w:t xml:space="preserve"> A </w:t>
      </w:r>
      <w:r w:rsidRPr="006C4490">
        <w:rPr>
          <w:lang w:val="en-US"/>
        </w:rPr>
        <w:t>person-</w:t>
      </w:r>
      <w:proofErr w:type="spellStart"/>
      <w:r w:rsidRPr="006C4490">
        <w:rPr>
          <w:lang w:val="en-US"/>
        </w:rPr>
        <w:t>centre</w:t>
      </w:r>
      <w:r w:rsidR="00823F92" w:rsidRPr="006C4490">
        <w:rPr>
          <w:lang w:val="en-US"/>
        </w:rPr>
        <w:t>d</w:t>
      </w:r>
      <w:proofErr w:type="spellEnd"/>
      <w:r w:rsidR="00823F92">
        <w:rPr>
          <w:lang w:val="en-US"/>
        </w:rPr>
        <w:t xml:space="preserve"> </w:t>
      </w:r>
      <w:r w:rsidRPr="006C4490">
        <w:rPr>
          <w:lang w:val="en-US"/>
        </w:rPr>
        <w:t>vie</w:t>
      </w:r>
      <w:r w:rsidR="00823F92" w:rsidRPr="006C4490">
        <w:rPr>
          <w:lang w:val="en-US"/>
        </w:rPr>
        <w:t>w</w:t>
      </w:r>
      <w:r w:rsidR="00823F92">
        <w:rPr>
          <w:lang w:val="en-US"/>
        </w:rPr>
        <w:t xml:space="preserve"> </w:t>
      </w:r>
      <w:r w:rsidRPr="006C4490">
        <w:rPr>
          <w:lang w:val="en-US"/>
        </w:rPr>
        <w:t>o</w:t>
      </w:r>
      <w:r w:rsidR="00823F92" w:rsidRPr="006C4490">
        <w:rPr>
          <w:lang w:val="en-US"/>
        </w:rPr>
        <w:t>f</w:t>
      </w:r>
      <w:r w:rsidR="00823F92">
        <w:rPr>
          <w:lang w:val="en-US"/>
        </w:rPr>
        <w:t xml:space="preserve"> </w:t>
      </w:r>
      <w:r w:rsidRPr="006C4490">
        <w:rPr>
          <w:lang w:val="en-US"/>
        </w:rPr>
        <w:t>menta</w:t>
      </w:r>
      <w:r w:rsidR="00823F92" w:rsidRPr="006C4490">
        <w:rPr>
          <w:lang w:val="en-US"/>
        </w:rPr>
        <w:t>l</w:t>
      </w:r>
      <w:r w:rsidR="00823F92">
        <w:rPr>
          <w:lang w:val="en-US"/>
        </w:rPr>
        <w:t xml:space="preserve"> </w:t>
      </w:r>
      <w:r w:rsidRPr="006C4490">
        <w:rPr>
          <w:lang w:val="en-US"/>
        </w:rPr>
        <w:t>healt</w:t>
      </w:r>
      <w:r w:rsidR="00823F92" w:rsidRPr="006C4490">
        <w:rPr>
          <w:lang w:val="en-US"/>
        </w:rPr>
        <w:t>h</w:t>
      </w:r>
      <w:r w:rsidR="00823F92">
        <w:rPr>
          <w:lang w:val="en-US"/>
        </w:rPr>
        <w:t xml:space="preserve"> </w:t>
      </w:r>
      <w:proofErr w:type="spellStart"/>
      <w:r w:rsidRPr="006C4490">
        <w:rPr>
          <w:lang w:val="en-US"/>
        </w:rPr>
        <w:t>recognise</w:t>
      </w:r>
      <w:r w:rsidR="00823F92" w:rsidRPr="006C4490">
        <w:rPr>
          <w:lang w:val="en-US"/>
        </w:rPr>
        <w:t>s</w:t>
      </w:r>
      <w:proofErr w:type="spellEnd"/>
      <w:r w:rsidR="00823F92">
        <w:rPr>
          <w:lang w:val="en-US"/>
        </w:rPr>
        <w:t xml:space="preserve"> </w:t>
      </w:r>
      <w:r w:rsidRPr="006C4490">
        <w:rPr>
          <w:lang w:val="en-US"/>
        </w:rPr>
        <w:t>th</w:t>
      </w:r>
      <w:r w:rsidR="00823F92" w:rsidRPr="006C4490">
        <w:rPr>
          <w:lang w:val="en-US"/>
        </w:rPr>
        <w:t>e</w:t>
      </w:r>
      <w:r w:rsidR="00823F92">
        <w:rPr>
          <w:lang w:val="en-US"/>
        </w:rPr>
        <w:t xml:space="preserve"> </w:t>
      </w:r>
      <w:r w:rsidRPr="006C4490">
        <w:rPr>
          <w:lang w:val="en-US"/>
        </w:rPr>
        <w:t>indivisibilit</w:t>
      </w:r>
      <w:r w:rsidR="00823F92" w:rsidRPr="006C4490">
        <w:rPr>
          <w:lang w:val="en-US"/>
        </w:rPr>
        <w:t>y</w:t>
      </w:r>
      <w:r w:rsidR="00823F92">
        <w:rPr>
          <w:lang w:val="en-US"/>
        </w:rPr>
        <w:t xml:space="preserve"> </w:t>
      </w:r>
      <w:r w:rsidRPr="006C4490">
        <w:rPr>
          <w:lang w:val="en-US"/>
        </w:rPr>
        <w:t>betwee</w:t>
      </w:r>
      <w:r w:rsidR="00823F92" w:rsidRPr="006C4490">
        <w:rPr>
          <w:lang w:val="en-US"/>
        </w:rPr>
        <w:t>n</w:t>
      </w:r>
      <w:r w:rsidR="00823F92">
        <w:rPr>
          <w:lang w:val="en-US"/>
        </w:rPr>
        <w:t xml:space="preserve"> </w:t>
      </w:r>
      <w:r w:rsidRPr="006C4490">
        <w:rPr>
          <w:lang w:val="en-US"/>
        </w:rPr>
        <w:t>physical</w:t>
      </w:r>
      <w:r w:rsidR="00823F92" w:rsidRPr="006C4490">
        <w:rPr>
          <w:lang w:val="en-US"/>
        </w:rPr>
        <w:t>,</w:t>
      </w:r>
      <w:r w:rsidR="00823F92">
        <w:rPr>
          <w:lang w:val="en-US"/>
        </w:rPr>
        <w:t xml:space="preserve"> </w:t>
      </w:r>
      <w:r>
        <w:rPr>
          <w:lang w:val="en-US"/>
        </w:rPr>
        <w:t>psychological</w:t>
      </w:r>
      <w:r w:rsidR="00823F92">
        <w:rPr>
          <w:lang w:val="en-US"/>
        </w:rPr>
        <w:t xml:space="preserve">, </w:t>
      </w:r>
      <w:r w:rsidRPr="006C4490">
        <w:rPr>
          <w:lang w:val="en-US"/>
        </w:rPr>
        <w:t>social</w:t>
      </w:r>
      <w:r w:rsidR="00823F92" w:rsidRPr="006C4490">
        <w:rPr>
          <w:lang w:val="en-US"/>
        </w:rPr>
        <w:t>,</w:t>
      </w:r>
      <w:r w:rsidR="00823F92">
        <w:rPr>
          <w:lang w:val="en-US"/>
        </w:rPr>
        <w:t xml:space="preserve"> </w:t>
      </w:r>
      <w:r w:rsidRPr="006C4490">
        <w:rPr>
          <w:lang w:val="en-US"/>
        </w:rPr>
        <w:t>emotiona</w:t>
      </w:r>
      <w:r w:rsidR="00823F92" w:rsidRPr="006C4490">
        <w:rPr>
          <w:lang w:val="en-US"/>
        </w:rPr>
        <w:t>l</w:t>
      </w:r>
      <w:r w:rsidR="00823F92">
        <w:rPr>
          <w:lang w:val="en-US"/>
        </w:rPr>
        <w:t xml:space="preserve"> </w:t>
      </w:r>
      <w:r w:rsidRPr="006C4490">
        <w:rPr>
          <w:lang w:val="en-US"/>
        </w:rPr>
        <w:t>an</w:t>
      </w:r>
      <w:r w:rsidR="00823F92" w:rsidRPr="006C4490">
        <w:rPr>
          <w:lang w:val="en-US"/>
        </w:rPr>
        <w:t>d</w:t>
      </w:r>
      <w:r w:rsidR="00823F92">
        <w:rPr>
          <w:lang w:val="en-US"/>
        </w:rPr>
        <w:t xml:space="preserve"> </w:t>
      </w:r>
      <w:r w:rsidRPr="006C4490">
        <w:rPr>
          <w:lang w:val="en-US"/>
        </w:rPr>
        <w:t>cultura</w:t>
      </w:r>
      <w:r w:rsidR="00823F92" w:rsidRPr="006C4490">
        <w:rPr>
          <w:lang w:val="en-US"/>
        </w:rPr>
        <w:t>l</w:t>
      </w:r>
      <w:r w:rsidR="00823F92">
        <w:rPr>
          <w:lang w:val="en-US"/>
        </w:rPr>
        <w:t xml:space="preserve"> </w:t>
      </w:r>
      <w:r w:rsidRPr="006C4490">
        <w:rPr>
          <w:lang w:val="en-US"/>
        </w:rPr>
        <w:t>wellbeing</w:t>
      </w:r>
      <w:r w:rsidR="00823F92" w:rsidRPr="006C4490">
        <w:rPr>
          <w:lang w:val="en-US"/>
        </w:rPr>
        <w:t>.</w:t>
      </w:r>
      <w:r w:rsidR="00823F92">
        <w:rPr>
          <w:lang w:val="en-US"/>
        </w:rPr>
        <w:t xml:space="preserve"> </w:t>
      </w:r>
    </w:p>
    <w:p w14:paraId="26461B98" w14:textId="0410FB26" w:rsidR="00997BCC" w:rsidRDefault="00997BCC" w:rsidP="00997BCC">
      <w:pPr>
        <w:pStyle w:val="Heading3"/>
      </w:pPr>
      <w:r w:rsidRPr="000E25B1">
        <w:t>Menta</w:t>
      </w:r>
      <w:r w:rsidR="00823F92" w:rsidRPr="000E25B1">
        <w:t>l</w:t>
      </w:r>
      <w:r w:rsidR="00823F92">
        <w:t xml:space="preserve"> </w:t>
      </w:r>
      <w:r w:rsidRPr="000E25B1">
        <w:t>healt</w:t>
      </w:r>
      <w:r w:rsidR="00823F92" w:rsidRPr="000E25B1">
        <w:t>h</w:t>
      </w:r>
      <w:r w:rsidR="00823F92">
        <w:t xml:space="preserve"> </w:t>
      </w:r>
      <w:r w:rsidRPr="000E25B1">
        <w:t>conditions</w:t>
      </w:r>
      <w:r w:rsidR="00823F92" w:rsidRPr="000E25B1">
        <w:t>,</w:t>
      </w:r>
      <w:r w:rsidR="00823F92">
        <w:t xml:space="preserve"> </w:t>
      </w:r>
      <w:r w:rsidRPr="000E25B1">
        <w:t>severity</w:t>
      </w:r>
      <w:r w:rsidR="00823F92" w:rsidRPr="000E25B1">
        <w:t>,</w:t>
      </w:r>
      <w:r w:rsidR="00823F92">
        <w:t xml:space="preserve"> </w:t>
      </w:r>
      <w:r w:rsidR="005966BD">
        <w:t>suppor</w:t>
      </w:r>
      <w:r w:rsidR="00823F92">
        <w:t xml:space="preserve">t </w:t>
      </w:r>
      <w:r w:rsidR="005966BD">
        <w:t>an</w:t>
      </w:r>
      <w:r w:rsidR="00823F92">
        <w:t xml:space="preserve">d </w:t>
      </w:r>
      <w:r w:rsidR="00526257">
        <w:t>treatmen</w:t>
      </w:r>
      <w:r w:rsidR="00823F92">
        <w:t xml:space="preserve">t </w:t>
      </w:r>
    </w:p>
    <w:p w14:paraId="094ABF20" w14:textId="54296972" w:rsidR="00805798" w:rsidRPr="006C4490" w:rsidRDefault="00805798" w:rsidP="009D4B1F">
      <w:pPr>
        <w:pStyle w:val="BodyText"/>
      </w:pPr>
      <w:r w:rsidRPr="006C4490">
        <w:rPr>
          <w:lang w:val="en-US"/>
        </w:rPr>
        <w:t>Almos</w:t>
      </w:r>
      <w:r w:rsidR="00823F92" w:rsidRPr="006C4490">
        <w:rPr>
          <w:lang w:val="en-US"/>
        </w:rPr>
        <w:t>t</w:t>
      </w:r>
      <w:r w:rsidR="00823F92">
        <w:rPr>
          <w:lang w:val="en-US"/>
        </w:rPr>
        <w:t xml:space="preserve"> </w:t>
      </w:r>
      <w:r w:rsidRPr="006C4490">
        <w:rPr>
          <w:lang w:val="en-US"/>
        </w:rPr>
        <w:t>hal</w:t>
      </w:r>
      <w:r w:rsidR="00823F92" w:rsidRPr="006C4490">
        <w:rPr>
          <w:lang w:val="en-US"/>
        </w:rPr>
        <w:t>f</w:t>
      </w:r>
      <w:r w:rsidR="00823F92">
        <w:rPr>
          <w:lang w:val="en-US"/>
        </w:rPr>
        <w:t xml:space="preserve"> </w:t>
      </w:r>
      <w:r w:rsidRPr="006C4490">
        <w:rPr>
          <w:lang w:val="en-US"/>
        </w:rPr>
        <w:t>o</w:t>
      </w:r>
      <w:r w:rsidR="00823F92" w:rsidRPr="006C4490">
        <w:rPr>
          <w:lang w:val="en-US"/>
        </w:rPr>
        <w:t>f</w:t>
      </w:r>
      <w:r w:rsidR="00823F92">
        <w:rPr>
          <w:lang w:val="en-US"/>
        </w:rPr>
        <w:t xml:space="preserve"> </w:t>
      </w:r>
      <w:r w:rsidRPr="006C4490">
        <w:rPr>
          <w:lang w:val="en-US"/>
        </w:rPr>
        <w:t>al</w:t>
      </w:r>
      <w:r w:rsidR="00823F92" w:rsidRPr="006C4490">
        <w:rPr>
          <w:lang w:val="en-US"/>
        </w:rPr>
        <w:t>l</w:t>
      </w:r>
      <w:r w:rsidR="00823F92">
        <w:rPr>
          <w:lang w:val="en-US"/>
        </w:rPr>
        <w:t xml:space="preserve"> </w:t>
      </w:r>
      <w:r w:rsidRPr="006C4490">
        <w:rPr>
          <w:lang w:val="en-US"/>
        </w:rPr>
        <w:t>Australian</w:t>
      </w:r>
      <w:r w:rsidR="00823F92" w:rsidRPr="006C4490">
        <w:rPr>
          <w:lang w:val="en-US"/>
        </w:rPr>
        <w:t>s</w:t>
      </w:r>
      <w:r w:rsidR="00823F92">
        <w:rPr>
          <w:lang w:val="en-US"/>
        </w:rPr>
        <w:t xml:space="preserve"> </w:t>
      </w:r>
      <w:r w:rsidRPr="006C4490">
        <w:rPr>
          <w:lang w:val="en-US"/>
        </w:rPr>
        <w:t>(45.5</w:t>
      </w:r>
      <w:r w:rsidR="00371BDA">
        <w:rPr>
          <w:lang w:val="en-US"/>
        </w:rPr>
        <w:t>%</w:t>
      </w:r>
      <w:r w:rsidRPr="006C4490">
        <w:rPr>
          <w:lang w:val="en-US"/>
        </w:rPr>
        <w:t>) age</w:t>
      </w:r>
      <w:r w:rsidR="00823F92" w:rsidRPr="006C4490">
        <w:rPr>
          <w:lang w:val="en-US"/>
        </w:rPr>
        <w:t>d</w:t>
      </w:r>
      <w:r w:rsidR="00823F92">
        <w:rPr>
          <w:lang w:val="en-US"/>
        </w:rPr>
        <w:t xml:space="preserve"> </w:t>
      </w:r>
      <w:r w:rsidRPr="006C4490">
        <w:rPr>
          <w:lang w:val="en-US"/>
        </w:rPr>
        <w:t>ove</w:t>
      </w:r>
      <w:r w:rsidR="00823F92" w:rsidRPr="006C4490">
        <w:rPr>
          <w:lang w:val="en-US"/>
        </w:rPr>
        <w:t>r</w:t>
      </w:r>
      <w:r w:rsidR="00823F92">
        <w:rPr>
          <w:lang w:val="en-US"/>
        </w:rPr>
        <w:t xml:space="preserve"> </w:t>
      </w:r>
      <w:r w:rsidRPr="006C4490">
        <w:rPr>
          <w:lang w:val="en-US"/>
        </w:rPr>
        <w:t>1</w:t>
      </w:r>
      <w:r w:rsidR="00823F92" w:rsidRPr="006C4490">
        <w:rPr>
          <w:lang w:val="en-US"/>
        </w:rPr>
        <w:t>6</w:t>
      </w:r>
      <w:r w:rsidR="00823F92">
        <w:rPr>
          <w:lang w:val="en-US"/>
        </w:rPr>
        <w:t xml:space="preserve"> </w:t>
      </w:r>
      <w:r w:rsidRPr="006C4490">
        <w:rPr>
          <w:lang w:val="en-US"/>
        </w:rPr>
        <w:t>wil</w:t>
      </w:r>
      <w:r w:rsidR="00823F92" w:rsidRPr="006C4490">
        <w:rPr>
          <w:lang w:val="en-US"/>
        </w:rPr>
        <w:t>l</w:t>
      </w:r>
      <w:r w:rsidR="00823F92">
        <w:rPr>
          <w:lang w:val="en-US"/>
        </w:rPr>
        <w:t xml:space="preserve"> </w:t>
      </w:r>
      <w:r w:rsidRPr="006C4490">
        <w:rPr>
          <w:lang w:val="en-US"/>
        </w:rPr>
        <w:t>experienc</w:t>
      </w:r>
      <w:r w:rsidR="00823F92" w:rsidRPr="006C4490">
        <w:rPr>
          <w:lang w:val="en-US"/>
        </w:rPr>
        <w:t>e</w:t>
      </w:r>
      <w:r w:rsidR="00823F92">
        <w:rPr>
          <w:lang w:val="en-US"/>
        </w:rPr>
        <w:t xml:space="preserve"> </w:t>
      </w:r>
      <w:r w:rsidRPr="006C4490">
        <w:rPr>
          <w:lang w:val="en-US"/>
        </w:rPr>
        <w:t>menta</w:t>
      </w:r>
      <w:r w:rsidR="00823F92" w:rsidRPr="006C4490">
        <w:rPr>
          <w:lang w:val="en-US"/>
        </w:rPr>
        <w:t>l</w:t>
      </w:r>
      <w:r w:rsidR="00823F92">
        <w:rPr>
          <w:lang w:val="en-US"/>
        </w:rPr>
        <w:t xml:space="preserve"> </w:t>
      </w:r>
      <w:r w:rsidRPr="006C4490">
        <w:rPr>
          <w:lang w:val="en-US"/>
        </w:rPr>
        <w:t>ill-healt</w:t>
      </w:r>
      <w:r w:rsidR="00823F92" w:rsidRPr="006C4490">
        <w:rPr>
          <w:lang w:val="en-US"/>
        </w:rPr>
        <w:t>h</w:t>
      </w:r>
      <w:r w:rsidR="00823F92">
        <w:rPr>
          <w:lang w:val="en-US"/>
        </w:rPr>
        <w:t xml:space="preserve"> </w:t>
      </w:r>
      <w:r w:rsidRPr="006C4490">
        <w:rPr>
          <w:lang w:val="en-US"/>
        </w:rPr>
        <w:t>i</w:t>
      </w:r>
      <w:r w:rsidR="00823F92" w:rsidRPr="006C4490">
        <w:rPr>
          <w:lang w:val="en-US"/>
        </w:rPr>
        <w:t>n</w:t>
      </w:r>
      <w:r w:rsidR="00823F92">
        <w:rPr>
          <w:lang w:val="en-US"/>
        </w:rPr>
        <w:t xml:space="preserve"> </w:t>
      </w:r>
      <w:r w:rsidRPr="006C4490">
        <w:rPr>
          <w:lang w:val="en-US"/>
        </w:rPr>
        <w:t>thei</w:t>
      </w:r>
      <w:r w:rsidR="00823F92" w:rsidRPr="006C4490">
        <w:rPr>
          <w:lang w:val="en-US"/>
        </w:rPr>
        <w:t>r</w:t>
      </w:r>
      <w:r w:rsidR="00823F92">
        <w:rPr>
          <w:lang w:val="en-US"/>
        </w:rPr>
        <w:t xml:space="preserve"> </w:t>
      </w:r>
      <w:r w:rsidRPr="006C4490">
        <w:rPr>
          <w:lang w:val="en-US"/>
        </w:rPr>
        <w:t>lifetim</w:t>
      </w:r>
      <w:r w:rsidR="00823F92" w:rsidRPr="006C4490">
        <w:rPr>
          <w:lang w:val="en-US"/>
        </w:rPr>
        <w:t>e</w:t>
      </w:r>
      <w:r w:rsidR="00823F92">
        <w:rPr>
          <w:lang w:val="en-US"/>
        </w:rPr>
        <w:t xml:space="preserve"> </w:t>
      </w:r>
      <w:r w:rsidRPr="006C4490">
        <w:rPr>
          <w:lang w:val="en-US"/>
        </w:rPr>
        <w:t>an</w:t>
      </w:r>
      <w:r w:rsidR="00823F92" w:rsidRPr="006C4490">
        <w:rPr>
          <w:lang w:val="en-US"/>
        </w:rPr>
        <w:t>d</w:t>
      </w:r>
      <w:r w:rsidR="00823F92">
        <w:rPr>
          <w:lang w:val="en-US"/>
        </w:rPr>
        <w:t xml:space="preserve"> </w:t>
      </w:r>
      <w:r w:rsidRPr="006C4490">
        <w:rPr>
          <w:lang w:val="en-US"/>
        </w:rPr>
        <w:t>on</w:t>
      </w:r>
      <w:r w:rsidR="00823F92" w:rsidRPr="006C4490">
        <w:rPr>
          <w:lang w:val="en-US"/>
        </w:rPr>
        <w:t>e</w:t>
      </w:r>
      <w:r w:rsidR="00823F92">
        <w:rPr>
          <w:lang w:val="en-US"/>
        </w:rPr>
        <w:t xml:space="preserve"> </w:t>
      </w:r>
      <w:r w:rsidRPr="006C4490">
        <w:rPr>
          <w:lang w:val="en-US"/>
        </w:rPr>
        <w:t>i</w:t>
      </w:r>
      <w:r w:rsidR="00823F92" w:rsidRPr="006C4490">
        <w:rPr>
          <w:lang w:val="en-US"/>
        </w:rPr>
        <w:t>n</w:t>
      </w:r>
      <w:r w:rsidR="00823F92">
        <w:rPr>
          <w:lang w:val="en-US"/>
        </w:rPr>
        <w:t xml:space="preserve"> </w:t>
      </w:r>
      <w:r w:rsidRPr="006C4490">
        <w:rPr>
          <w:lang w:val="en-US"/>
        </w:rPr>
        <w:t>fiv</w:t>
      </w:r>
      <w:r w:rsidR="00823F92" w:rsidRPr="006C4490">
        <w:rPr>
          <w:lang w:val="en-US"/>
        </w:rPr>
        <w:t>e</w:t>
      </w:r>
      <w:r w:rsidR="00823F92">
        <w:rPr>
          <w:lang w:val="en-US"/>
        </w:rPr>
        <w:t xml:space="preserve"> </w:t>
      </w:r>
      <w:r w:rsidRPr="006C4490">
        <w:rPr>
          <w:lang w:val="en-US"/>
        </w:rPr>
        <w:t>(20.0</w:t>
      </w:r>
      <w:r w:rsidR="00371BDA">
        <w:rPr>
          <w:lang w:val="en-US"/>
        </w:rPr>
        <w:t>%</w:t>
      </w:r>
      <w:r w:rsidRPr="006C4490">
        <w:rPr>
          <w:lang w:val="en-US"/>
        </w:rPr>
        <w:t>) d</w:t>
      </w:r>
      <w:r w:rsidR="00823F92" w:rsidRPr="006C4490">
        <w:rPr>
          <w:lang w:val="en-US"/>
        </w:rPr>
        <w:t>o</w:t>
      </w:r>
      <w:r w:rsidR="00823F92">
        <w:rPr>
          <w:lang w:val="en-US"/>
        </w:rPr>
        <w:t xml:space="preserve"> </w:t>
      </w:r>
      <w:r w:rsidRPr="006C4490">
        <w:rPr>
          <w:lang w:val="en-US"/>
        </w:rPr>
        <w:t>s</w:t>
      </w:r>
      <w:r w:rsidR="00823F92" w:rsidRPr="006C4490">
        <w:rPr>
          <w:lang w:val="en-US"/>
        </w:rPr>
        <w:t>o</w:t>
      </w:r>
      <w:r w:rsidR="00823F92">
        <w:rPr>
          <w:lang w:val="en-US"/>
        </w:rPr>
        <w:t xml:space="preserve"> </w:t>
      </w:r>
      <w:r w:rsidRPr="006C4490">
        <w:rPr>
          <w:lang w:val="en-US"/>
        </w:rPr>
        <w:t>i</w:t>
      </w:r>
      <w:r w:rsidR="00823F92" w:rsidRPr="006C4490">
        <w:rPr>
          <w:lang w:val="en-US"/>
        </w:rPr>
        <w:t>n</w:t>
      </w:r>
      <w:r w:rsidR="00823F92">
        <w:rPr>
          <w:lang w:val="en-US"/>
        </w:rPr>
        <w:t xml:space="preserve"> </w:t>
      </w:r>
      <w:r w:rsidRPr="006C4490">
        <w:rPr>
          <w:lang w:val="en-US"/>
        </w:rPr>
        <w:t>an</w:t>
      </w:r>
      <w:r w:rsidR="00823F92" w:rsidRPr="006C4490">
        <w:rPr>
          <w:lang w:val="en-US"/>
        </w:rPr>
        <w:t>y</w:t>
      </w:r>
      <w:r w:rsidR="00823F92">
        <w:rPr>
          <w:lang w:val="en-US"/>
        </w:rPr>
        <w:t xml:space="preserve"> </w:t>
      </w:r>
      <w:r w:rsidRPr="006C4490">
        <w:rPr>
          <w:lang w:val="en-US"/>
        </w:rPr>
        <w:t>give</w:t>
      </w:r>
      <w:r w:rsidR="00823F92" w:rsidRPr="006C4490">
        <w:rPr>
          <w:lang w:val="en-US"/>
        </w:rPr>
        <w:t>n</w:t>
      </w:r>
      <w:r w:rsidR="00823F92">
        <w:rPr>
          <w:lang w:val="en-US"/>
        </w:rPr>
        <w:t xml:space="preserve"> </w:t>
      </w:r>
      <w:r w:rsidRPr="006C4490">
        <w:rPr>
          <w:lang w:val="en-US"/>
        </w:rPr>
        <w:t>year.</w:t>
      </w:r>
      <w:r w:rsidRPr="006C4490">
        <w:rPr>
          <w:rStyle w:val="FootnoteReference"/>
          <w:lang w:val="en-US"/>
        </w:rPr>
        <w:footnoteReference w:id="1"/>
      </w:r>
      <w:r w:rsidRPr="006C4490">
        <w:t xml:space="preserve"> </w:t>
      </w:r>
      <w:r w:rsidRPr="006C4490">
        <w:rPr>
          <w:lang w:val="en-US"/>
        </w:rPr>
        <w:t>Th</w:t>
      </w:r>
      <w:r w:rsidR="00823F92" w:rsidRPr="006C4490">
        <w:rPr>
          <w:lang w:val="en-US"/>
        </w:rPr>
        <w:t>e</w:t>
      </w:r>
      <w:r w:rsidR="00823F92">
        <w:rPr>
          <w:lang w:val="en-US"/>
        </w:rPr>
        <w:t xml:space="preserve"> </w:t>
      </w:r>
      <w:r w:rsidRPr="006C4490">
        <w:rPr>
          <w:lang w:val="en-US"/>
        </w:rPr>
        <w:t>firs</w:t>
      </w:r>
      <w:r w:rsidR="00823F92" w:rsidRPr="006C4490">
        <w:rPr>
          <w:lang w:val="en-US"/>
        </w:rPr>
        <w:t>t</w:t>
      </w:r>
      <w:r w:rsidR="00823F92">
        <w:rPr>
          <w:lang w:val="en-US"/>
        </w:rPr>
        <w:t xml:space="preserve"> </w:t>
      </w:r>
      <w:r w:rsidRPr="006C4490">
        <w:rPr>
          <w:lang w:val="en-US"/>
        </w:rPr>
        <w:t>onse</w:t>
      </w:r>
      <w:r w:rsidR="00823F92" w:rsidRPr="006C4490">
        <w:rPr>
          <w:lang w:val="en-US"/>
        </w:rPr>
        <w:t>t</w:t>
      </w:r>
      <w:r w:rsidR="00823F92">
        <w:rPr>
          <w:lang w:val="en-US"/>
        </w:rPr>
        <w:t xml:space="preserve"> </w:t>
      </w:r>
      <w:r w:rsidRPr="006C4490">
        <w:rPr>
          <w:lang w:val="en-US"/>
        </w:rPr>
        <w:t>o</w:t>
      </w:r>
      <w:r w:rsidR="00823F92" w:rsidRPr="006C4490">
        <w:rPr>
          <w:lang w:val="en-US"/>
        </w:rPr>
        <w:t>f</w:t>
      </w:r>
      <w:r w:rsidR="00823F92">
        <w:rPr>
          <w:lang w:val="en-US"/>
        </w:rPr>
        <w:t xml:space="preserve"> </w:t>
      </w:r>
      <w:r w:rsidRPr="006C4490">
        <w:rPr>
          <w:lang w:val="en-US"/>
        </w:rPr>
        <w:t>menta</w:t>
      </w:r>
      <w:r w:rsidR="00823F92" w:rsidRPr="006C4490">
        <w:rPr>
          <w:lang w:val="en-US"/>
        </w:rPr>
        <w:t>l</w:t>
      </w:r>
      <w:r w:rsidR="00823F92">
        <w:rPr>
          <w:lang w:val="en-US"/>
        </w:rPr>
        <w:t xml:space="preserve"> </w:t>
      </w:r>
      <w:r w:rsidRPr="006C4490">
        <w:rPr>
          <w:lang w:val="en-US"/>
        </w:rPr>
        <w:t>ill-healt</w:t>
      </w:r>
      <w:r w:rsidR="00823F92" w:rsidRPr="006C4490">
        <w:rPr>
          <w:lang w:val="en-US"/>
        </w:rPr>
        <w:t>h</w:t>
      </w:r>
      <w:r w:rsidR="00823F92">
        <w:rPr>
          <w:lang w:val="en-US"/>
        </w:rPr>
        <w:t xml:space="preserve"> </w:t>
      </w:r>
      <w:r w:rsidRPr="006C4490">
        <w:rPr>
          <w:lang w:val="en-US"/>
        </w:rPr>
        <w:t>typicall</w:t>
      </w:r>
      <w:r w:rsidR="00823F92" w:rsidRPr="006C4490">
        <w:rPr>
          <w:lang w:val="en-US"/>
        </w:rPr>
        <w:t>y</w:t>
      </w:r>
      <w:r w:rsidR="00823F92">
        <w:rPr>
          <w:lang w:val="en-US"/>
        </w:rPr>
        <w:t xml:space="preserve"> </w:t>
      </w:r>
      <w:r w:rsidRPr="006C4490">
        <w:rPr>
          <w:lang w:val="en-US"/>
        </w:rPr>
        <w:t>occur</w:t>
      </w:r>
      <w:r w:rsidR="00823F92" w:rsidRPr="006C4490">
        <w:rPr>
          <w:lang w:val="en-US"/>
        </w:rPr>
        <w:t>s</w:t>
      </w:r>
      <w:r w:rsidR="00823F92">
        <w:rPr>
          <w:lang w:val="en-US"/>
        </w:rPr>
        <w:t xml:space="preserve"> </w:t>
      </w:r>
      <w:r w:rsidRPr="006C4490">
        <w:rPr>
          <w:lang w:val="en-US"/>
        </w:rPr>
        <w:t>i</w:t>
      </w:r>
      <w:r w:rsidR="00823F92" w:rsidRPr="006C4490">
        <w:rPr>
          <w:lang w:val="en-US"/>
        </w:rPr>
        <w:t>n</w:t>
      </w:r>
      <w:r w:rsidR="00823F92">
        <w:rPr>
          <w:lang w:val="en-US"/>
        </w:rPr>
        <w:t xml:space="preserve"> </w:t>
      </w:r>
      <w:r w:rsidRPr="006C4490">
        <w:rPr>
          <w:lang w:val="en-US"/>
        </w:rPr>
        <w:t>adolescenc</w:t>
      </w:r>
      <w:r w:rsidR="00823F92" w:rsidRPr="006C4490">
        <w:rPr>
          <w:lang w:val="en-US"/>
        </w:rPr>
        <w:t>e</w:t>
      </w:r>
      <w:r w:rsidR="00823F92">
        <w:rPr>
          <w:lang w:val="en-US"/>
        </w:rPr>
        <w:t xml:space="preserve"> </w:t>
      </w:r>
      <w:r w:rsidRPr="006C4490">
        <w:rPr>
          <w:lang w:val="en-US"/>
        </w:rPr>
        <w:t>an</w:t>
      </w:r>
      <w:r w:rsidR="00823F92" w:rsidRPr="006C4490">
        <w:rPr>
          <w:lang w:val="en-US"/>
        </w:rPr>
        <w:t>d</w:t>
      </w:r>
      <w:r w:rsidR="00823F92">
        <w:rPr>
          <w:lang w:val="en-US"/>
        </w:rPr>
        <w:t xml:space="preserve"> </w:t>
      </w:r>
      <w:r w:rsidRPr="006C4490">
        <w:rPr>
          <w:lang w:val="en-US"/>
        </w:rPr>
        <w:t>earl</w:t>
      </w:r>
      <w:r w:rsidR="00823F92" w:rsidRPr="006C4490">
        <w:rPr>
          <w:lang w:val="en-US"/>
        </w:rPr>
        <w:t>y</w:t>
      </w:r>
      <w:r w:rsidR="00823F92">
        <w:rPr>
          <w:lang w:val="en-US"/>
        </w:rPr>
        <w:t xml:space="preserve"> </w:t>
      </w:r>
      <w:r w:rsidRPr="006C4490">
        <w:rPr>
          <w:lang w:val="en-US"/>
        </w:rPr>
        <w:t>adulthood</w:t>
      </w:r>
      <w:r w:rsidR="00823F92" w:rsidRPr="006C4490">
        <w:rPr>
          <w:lang w:val="en-US"/>
        </w:rPr>
        <w:t>.</w:t>
      </w:r>
      <w:r w:rsidR="00823F92">
        <w:rPr>
          <w:lang w:val="en-US"/>
        </w:rPr>
        <w:t xml:space="preserve"> </w:t>
      </w:r>
      <w:r w:rsidRPr="006C4490">
        <w:rPr>
          <w:lang w:val="en-US"/>
        </w:rPr>
        <w:t>Abou</w:t>
      </w:r>
      <w:r w:rsidR="00823F92" w:rsidRPr="006C4490">
        <w:rPr>
          <w:lang w:val="en-US"/>
        </w:rPr>
        <w:t>t</w:t>
      </w:r>
      <w:r w:rsidR="00823F92">
        <w:rPr>
          <w:lang w:val="en-US"/>
        </w:rPr>
        <w:t xml:space="preserve"> </w:t>
      </w:r>
      <w:r w:rsidRPr="006C4490">
        <w:rPr>
          <w:lang w:val="en-US"/>
        </w:rPr>
        <w:t>thre</w:t>
      </w:r>
      <w:r w:rsidR="00823F92" w:rsidRPr="006C4490">
        <w:rPr>
          <w:lang w:val="en-US"/>
        </w:rPr>
        <w:t>e</w:t>
      </w:r>
      <w:r w:rsidR="00823F92">
        <w:rPr>
          <w:lang w:val="en-US"/>
        </w:rPr>
        <w:t xml:space="preserve"> </w:t>
      </w:r>
      <w:r w:rsidRPr="006C4490">
        <w:rPr>
          <w:lang w:val="en-US"/>
        </w:rPr>
        <w:t>quarter</w:t>
      </w:r>
      <w:r w:rsidR="00823F92" w:rsidRPr="006C4490">
        <w:rPr>
          <w:lang w:val="en-US"/>
        </w:rPr>
        <w:t>s</w:t>
      </w:r>
      <w:r w:rsidR="00823F92">
        <w:rPr>
          <w:lang w:val="en-US"/>
        </w:rPr>
        <w:t xml:space="preserve"> </w:t>
      </w:r>
      <w:r w:rsidRPr="006C4490">
        <w:rPr>
          <w:lang w:val="en-US"/>
        </w:rPr>
        <w:t>o</w:t>
      </w:r>
      <w:r w:rsidR="00823F92" w:rsidRPr="006C4490">
        <w:rPr>
          <w:lang w:val="en-US"/>
        </w:rPr>
        <w:t>f</w:t>
      </w:r>
      <w:r w:rsidR="00823F92">
        <w:rPr>
          <w:lang w:val="en-US"/>
        </w:rPr>
        <w:t xml:space="preserve"> </w:t>
      </w:r>
      <w:r w:rsidRPr="006C4490">
        <w:rPr>
          <w:lang w:val="en-US"/>
        </w:rPr>
        <w:t>adult</w:t>
      </w:r>
      <w:r w:rsidR="00823F92" w:rsidRPr="006C4490">
        <w:rPr>
          <w:lang w:val="en-US"/>
        </w:rPr>
        <w:t>s</w:t>
      </w:r>
      <w:r w:rsidR="00823F92">
        <w:rPr>
          <w:lang w:val="en-US"/>
        </w:rPr>
        <w:t xml:space="preserve"> </w:t>
      </w:r>
      <w:r w:rsidRPr="006C4490">
        <w:rPr>
          <w:lang w:val="en-US"/>
        </w:rPr>
        <w:t>wit</w:t>
      </w:r>
      <w:r w:rsidR="00823F92" w:rsidRPr="006C4490">
        <w:rPr>
          <w:lang w:val="en-US"/>
        </w:rPr>
        <w:t>h</w:t>
      </w:r>
      <w:r w:rsidR="00823F92">
        <w:rPr>
          <w:lang w:val="en-US"/>
        </w:rPr>
        <w:t xml:space="preserve"> </w:t>
      </w:r>
      <w:r w:rsidRPr="006C4490">
        <w:rPr>
          <w:lang w:val="en-US"/>
        </w:rPr>
        <w:t>menta</w:t>
      </w:r>
      <w:r w:rsidR="00823F92" w:rsidRPr="006C4490">
        <w:rPr>
          <w:lang w:val="en-US"/>
        </w:rPr>
        <w:t>l</w:t>
      </w:r>
      <w:r w:rsidR="00823F92">
        <w:rPr>
          <w:lang w:val="en-US"/>
        </w:rPr>
        <w:t xml:space="preserve"> </w:t>
      </w:r>
      <w:r w:rsidRPr="006C4490">
        <w:rPr>
          <w:lang w:val="en-US"/>
        </w:rPr>
        <w:t>ill-healt</w:t>
      </w:r>
      <w:r w:rsidR="00823F92" w:rsidRPr="006C4490">
        <w:rPr>
          <w:lang w:val="en-US"/>
        </w:rPr>
        <w:t>h</w:t>
      </w:r>
      <w:r w:rsidR="00823F92">
        <w:rPr>
          <w:lang w:val="en-US"/>
        </w:rPr>
        <w:t xml:space="preserve"> </w:t>
      </w:r>
      <w:r w:rsidRPr="006C4490">
        <w:rPr>
          <w:lang w:val="en-US"/>
        </w:rPr>
        <w:t>experienc</w:t>
      </w:r>
      <w:r w:rsidR="00823F92" w:rsidRPr="006C4490">
        <w:rPr>
          <w:lang w:val="en-US"/>
        </w:rPr>
        <w:t>e</w:t>
      </w:r>
      <w:r w:rsidR="00823F92">
        <w:rPr>
          <w:lang w:val="en-US"/>
        </w:rPr>
        <w:t xml:space="preserve"> </w:t>
      </w:r>
      <w:r w:rsidRPr="006C4490">
        <w:rPr>
          <w:lang w:val="en-US"/>
        </w:rPr>
        <w:t>symptom</w:t>
      </w:r>
      <w:r w:rsidR="00823F92" w:rsidRPr="006C4490">
        <w:rPr>
          <w:lang w:val="en-US"/>
        </w:rPr>
        <w:t>s</w:t>
      </w:r>
      <w:r w:rsidR="00823F92">
        <w:rPr>
          <w:lang w:val="en-US"/>
        </w:rPr>
        <w:t xml:space="preserve"> </w:t>
      </w:r>
      <w:r w:rsidRPr="006C4490">
        <w:rPr>
          <w:lang w:val="en-US"/>
        </w:rPr>
        <w:t>befor</w:t>
      </w:r>
      <w:r w:rsidR="00823F92" w:rsidRPr="006C4490">
        <w:rPr>
          <w:lang w:val="en-US"/>
        </w:rPr>
        <w:t>e</w:t>
      </w:r>
      <w:r w:rsidR="00823F92">
        <w:rPr>
          <w:lang w:val="en-US"/>
        </w:rPr>
        <w:t xml:space="preserve"> </w:t>
      </w:r>
      <w:r w:rsidRPr="006C4490">
        <w:rPr>
          <w:lang w:val="en-US"/>
        </w:rPr>
        <w:t>th</w:t>
      </w:r>
      <w:r w:rsidR="00823F92" w:rsidRPr="006C4490">
        <w:rPr>
          <w:lang w:val="en-US"/>
        </w:rPr>
        <w:t>e</w:t>
      </w:r>
      <w:r w:rsidR="00823F92">
        <w:rPr>
          <w:lang w:val="en-US"/>
        </w:rPr>
        <w:t xml:space="preserve"> </w:t>
      </w:r>
      <w:r w:rsidRPr="006C4490">
        <w:rPr>
          <w:lang w:val="en-US"/>
        </w:rPr>
        <w:t>ag</w:t>
      </w:r>
      <w:r w:rsidR="00823F92" w:rsidRPr="006C4490">
        <w:rPr>
          <w:lang w:val="en-US"/>
        </w:rPr>
        <w:t>e</w:t>
      </w:r>
      <w:r w:rsidR="00823F92">
        <w:rPr>
          <w:lang w:val="en-US"/>
        </w:rPr>
        <w:t xml:space="preserve"> </w:t>
      </w:r>
      <w:r w:rsidRPr="006C4490">
        <w:rPr>
          <w:lang w:val="en-US"/>
        </w:rPr>
        <w:t>o</w:t>
      </w:r>
      <w:r w:rsidR="00823F92" w:rsidRPr="006C4490">
        <w:rPr>
          <w:lang w:val="en-US"/>
        </w:rPr>
        <w:t>f</w:t>
      </w:r>
      <w:r w:rsidR="00823F92">
        <w:rPr>
          <w:lang w:val="en-US"/>
        </w:rPr>
        <w:t xml:space="preserve"> </w:t>
      </w:r>
      <w:r w:rsidRPr="006C4490">
        <w:rPr>
          <w:lang w:val="en-US"/>
        </w:rPr>
        <w:t>25.</w:t>
      </w:r>
      <w:r w:rsidRPr="006C4490">
        <w:rPr>
          <w:rStyle w:val="FootnoteReference"/>
          <w:lang w:val="en-US"/>
        </w:rPr>
        <w:footnoteReference w:id="2"/>
      </w:r>
      <w:r w:rsidRPr="006C4490">
        <w:t xml:space="preserve"> Youn</w:t>
      </w:r>
      <w:r w:rsidR="00823F92" w:rsidRPr="006C4490">
        <w:t>g</w:t>
      </w:r>
      <w:r w:rsidR="00823F92">
        <w:t xml:space="preserve"> </w:t>
      </w:r>
      <w:r w:rsidRPr="006C4490">
        <w:t>Australian</w:t>
      </w:r>
      <w:r w:rsidR="00823F92" w:rsidRPr="006C4490">
        <w:t>s</w:t>
      </w:r>
      <w:r w:rsidR="00823F92">
        <w:t xml:space="preserve"> </w:t>
      </w:r>
      <w:r w:rsidRPr="006C4490">
        <w:t>age</w:t>
      </w:r>
      <w:r w:rsidR="00823F92" w:rsidRPr="006C4490">
        <w:t>d</w:t>
      </w:r>
      <w:r w:rsidR="00823F92">
        <w:t xml:space="preserve"> </w:t>
      </w:r>
      <w:r w:rsidRPr="006C4490">
        <w:t>betwee</w:t>
      </w:r>
      <w:r w:rsidR="00823F92" w:rsidRPr="006C4490">
        <w:t>n</w:t>
      </w:r>
      <w:r w:rsidR="00823F92">
        <w:t xml:space="preserve"> </w:t>
      </w:r>
      <w:r w:rsidRPr="006C4490">
        <w:t>age</w:t>
      </w:r>
      <w:r w:rsidR="00823F92" w:rsidRPr="006C4490">
        <w:t>d</w:t>
      </w:r>
      <w:r w:rsidR="00823F92">
        <w:t xml:space="preserve"> </w:t>
      </w:r>
      <w:r w:rsidRPr="006C4490">
        <w:t>1</w:t>
      </w:r>
      <w:r w:rsidR="00823F92" w:rsidRPr="006C4490">
        <w:t>6</w:t>
      </w:r>
      <w:r w:rsidR="00823F92">
        <w:t xml:space="preserve"> </w:t>
      </w:r>
      <w:r w:rsidRPr="006C4490">
        <w:t>t</w:t>
      </w:r>
      <w:r w:rsidR="00823F92" w:rsidRPr="006C4490">
        <w:t>o</w:t>
      </w:r>
      <w:r w:rsidR="00823F92">
        <w:t xml:space="preserve"> </w:t>
      </w:r>
      <w:r w:rsidRPr="006C4490">
        <w:t>2</w:t>
      </w:r>
      <w:r w:rsidR="00823F92" w:rsidRPr="006C4490">
        <w:t>5</w:t>
      </w:r>
      <w:r w:rsidR="00823F92">
        <w:t xml:space="preserve"> </w:t>
      </w:r>
      <w:r w:rsidRPr="006C4490">
        <w:t>year</w:t>
      </w:r>
      <w:r w:rsidR="00823F92" w:rsidRPr="006C4490">
        <w:t>s</w:t>
      </w:r>
      <w:r w:rsidR="00823F92">
        <w:t xml:space="preserve"> </w:t>
      </w:r>
      <w:r w:rsidRPr="006C4490">
        <w:t>als</w:t>
      </w:r>
      <w:r w:rsidR="00823F92" w:rsidRPr="006C4490">
        <w:t>o</w:t>
      </w:r>
      <w:r w:rsidR="00823F92">
        <w:t xml:space="preserve"> </w:t>
      </w:r>
      <w:r w:rsidRPr="006C4490">
        <w:t>hav</w:t>
      </w:r>
      <w:r w:rsidR="00823F92" w:rsidRPr="006C4490">
        <w:t>e</w:t>
      </w:r>
      <w:r w:rsidR="00823F92">
        <w:t xml:space="preserve"> </w:t>
      </w:r>
      <w:r w:rsidR="00823F92" w:rsidRPr="006C4490">
        <w:t>a</w:t>
      </w:r>
      <w:r w:rsidR="00823F92">
        <w:t xml:space="preserve"> </w:t>
      </w:r>
      <w:r w:rsidRPr="006C4490">
        <w:t>highe</w:t>
      </w:r>
      <w:r w:rsidR="00823F92" w:rsidRPr="006C4490">
        <w:t>r</w:t>
      </w:r>
      <w:r w:rsidR="00823F92">
        <w:t xml:space="preserve"> </w:t>
      </w:r>
      <w:r w:rsidRPr="006C4490">
        <w:t>prevalenc</w:t>
      </w:r>
      <w:r w:rsidR="00823F92" w:rsidRPr="006C4490">
        <w:t>e</w:t>
      </w:r>
      <w:r w:rsidR="00823F92">
        <w:t xml:space="preserve"> </w:t>
      </w:r>
      <w:r w:rsidRPr="006C4490">
        <w:t>o</w:t>
      </w:r>
      <w:r w:rsidR="00823F92" w:rsidRPr="006C4490">
        <w:t>f</w:t>
      </w:r>
      <w:r w:rsidR="00823F92">
        <w:t xml:space="preserve"> </w:t>
      </w:r>
      <w:r w:rsidRPr="006C4490">
        <w:t>menta</w:t>
      </w:r>
      <w:r w:rsidR="00823F92" w:rsidRPr="006C4490">
        <w:t>l</w:t>
      </w:r>
      <w:r w:rsidR="00823F92">
        <w:t xml:space="preserve"> </w:t>
      </w:r>
      <w:r w:rsidRPr="006C4490">
        <w:t>ill</w:t>
      </w:r>
      <w:r>
        <w:t>-healt</w:t>
      </w:r>
      <w:r w:rsidR="00823F92">
        <w:t xml:space="preserve">h </w:t>
      </w:r>
      <w:r w:rsidRPr="006C4490">
        <w:t>tha</w:t>
      </w:r>
      <w:r w:rsidR="00823F92" w:rsidRPr="006C4490">
        <w:t>n</w:t>
      </w:r>
      <w:r w:rsidR="00823F92">
        <w:t xml:space="preserve"> </w:t>
      </w:r>
      <w:r w:rsidRPr="006C4490">
        <w:t>an</w:t>
      </w:r>
      <w:r w:rsidR="00823F92" w:rsidRPr="006C4490">
        <w:t>y</w:t>
      </w:r>
      <w:r w:rsidR="00823F92">
        <w:t xml:space="preserve"> </w:t>
      </w:r>
      <w:r w:rsidRPr="006C4490">
        <w:t>othe</w:t>
      </w:r>
      <w:r w:rsidR="00823F92" w:rsidRPr="006C4490">
        <w:t>r</w:t>
      </w:r>
      <w:r w:rsidR="00823F92">
        <w:t xml:space="preserve"> </w:t>
      </w:r>
      <w:r w:rsidRPr="006C4490">
        <w:t>ag</w:t>
      </w:r>
      <w:r w:rsidR="00823F92" w:rsidRPr="006C4490">
        <w:t>e</w:t>
      </w:r>
      <w:r w:rsidR="00823F92">
        <w:t xml:space="preserve"> </w:t>
      </w:r>
      <w:r w:rsidRPr="006C4490">
        <w:t>group.</w:t>
      </w:r>
    </w:p>
    <w:p w14:paraId="1392ECE5" w14:textId="7F84FE84" w:rsidR="00805798" w:rsidRDefault="00805798" w:rsidP="009D4B1F">
      <w:pPr>
        <w:pStyle w:val="BodyText"/>
        <w:rPr>
          <w:lang w:val="en-US"/>
        </w:rPr>
      </w:pPr>
      <w:r w:rsidRPr="006C4490">
        <w:rPr>
          <w:lang w:val="en-US"/>
        </w:rPr>
        <w:t>Othe</w:t>
      </w:r>
      <w:r w:rsidR="00823F92" w:rsidRPr="006C4490">
        <w:rPr>
          <w:lang w:val="en-US"/>
        </w:rPr>
        <w:t>r</w:t>
      </w:r>
      <w:r w:rsidR="00823F92">
        <w:rPr>
          <w:lang w:val="en-US"/>
        </w:rPr>
        <w:t xml:space="preserve"> </w:t>
      </w:r>
      <w:r w:rsidRPr="006C4490">
        <w:rPr>
          <w:lang w:val="en-US"/>
        </w:rPr>
        <w:t>group</w:t>
      </w:r>
      <w:r w:rsidR="00823F92" w:rsidRPr="006C4490">
        <w:rPr>
          <w:lang w:val="en-US"/>
        </w:rPr>
        <w:t>s</w:t>
      </w:r>
      <w:r w:rsidR="00823F92">
        <w:rPr>
          <w:lang w:val="en-US"/>
        </w:rPr>
        <w:t xml:space="preserve"> </w:t>
      </w:r>
      <w:r w:rsidRPr="006C4490">
        <w:rPr>
          <w:lang w:val="en-US"/>
        </w:rPr>
        <w:t>tha</w:t>
      </w:r>
      <w:r w:rsidR="00823F92" w:rsidRPr="006C4490">
        <w:rPr>
          <w:lang w:val="en-US"/>
        </w:rPr>
        <w:t>t</w:t>
      </w:r>
      <w:r w:rsidR="00823F92">
        <w:rPr>
          <w:lang w:val="en-US"/>
        </w:rPr>
        <w:t xml:space="preserve"> </w:t>
      </w:r>
      <w:r w:rsidRPr="006C4490">
        <w:rPr>
          <w:lang w:val="en-US"/>
        </w:rPr>
        <w:t>ar</w:t>
      </w:r>
      <w:r w:rsidR="00823F92" w:rsidRPr="006C4490">
        <w:rPr>
          <w:lang w:val="en-US"/>
        </w:rPr>
        <w:t>e</w:t>
      </w:r>
      <w:r w:rsidR="00823F92">
        <w:rPr>
          <w:lang w:val="en-US"/>
        </w:rPr>
        <w:t xml:space="preserve"> </w:t>
      </w:r>
      <w:r w:rsidRPr="006C4490">
        <w:rPr>
          <w:lang w:val="en-US"/>
        </w:rPr>
        <w:t>a</w:t>
      </w:r>
      <w:r w:rsidR="00823F92" w:rsidRPr="006C4490">
        <w:rPr>
          <w:lang w:val="en-US"/>
        </w:rPr>
        <w:t>t</w:t>
      </w:r>
      <w:r w:rsidR="00823F92">
        <w:rPr>
          <w:lang w:val="en-US"/>
        </w:rPr>
        <w:t xml:space="preserve"> </w:t>
      </w:r>
      <w:r w:rsidRPr="006C4490">
        <w:rPr>
          <w:lang w:val="en-US"/>
        </w:rPr>
        <w:t>greate</w:t>
      </w:r>
      <w:r w:rsidR="00823F92" w:rsidRPr="006C4490">
        <w:rPr>
          <w:lang w:val="en-US"/>
        </w:rPr>
        <w:t>r</w:t>
      </w:r>
      <w:r w:rsidR="00823F92">
        <w:rPr>
          <w:lang w:val="en-US"/>
        </w:rPr>
        <w:t xml:space="preserve"> </w:t>
      </w:r>
      <w:r w:rsidRPr="006C4490">
        <w:rPr>
          <w:lang w:val="en-US"/>
        </w:rPr>
        <w:t>ris</w:t>
      </w:r>
      <w:r w:rsidR="00823F92" w:rsidRPr="006C4490">
        <w:rPr>
          <w:lang w:val="en-US"/>
        </w:rPr>
        <w:t>k</w:t>
      </w:r>
      <w:r w:rsidR="00823F92">
        <w:rPr>
          <w:lang w:val="en-US"/>
        </w:rPr>
        <w:t xml:space="preserve"> </w:t>
      </w:r>
      <w:r>
        <w:rPr>
          <w:lang w:val="en-US"/>
        </w:rPr>
        <w:t>o</w:t>
      </w:r>
      <w:r w:rsidR="00823F92">
        <w:rPr>
          <w:lang w:val="en-US"/>
        </w:rPr>
        <w:t xml:space="preserve">f </w:t>
      </w:r>
      <w:r>
        <w:rPr>
          <w:lang w:val="en-US"/>
        </w:rPr>
        <w:t>menta</w:t>
      </w:r>
      <w:r w:rsidR="00823F92">
        <w:rPr>
          <w:lang w:val="en-US"/>
        </w:rPr>
        <w:t xml:space="preserve">l </w:t>
      </w:r>
      <w:r>
        <w:rPr>
          <w:lang w:val="en-US"/>
        </w:rPr>
        <w:t>ill-healt</w:t>
      </w:r>
      <w:r w:rsidR="00823F92">
        <w:rPr>
          <w:lang w:val="en-US"/>
        </w:rPr>
        <w:t xml:space="preserve">h </w:t>
      </w:r>
      <w:r w:rsidRPr="006C4490">
        <w:rPr>
          <w:lang w:val="en-US"/>
        </w:rPr>
        <w:t>includ</w:t>
      </w:r>
      <w:r w:rsidR="00823F92" w:rsidRPr="006C4490">
        <w:rPr>
          <w:lang w:val="en-US"/>
        </w:rPr>
        <w:t>e</w:t>
      </w:r>
      <w:r w:rsidR="00823F92">
        <w:rPr>
          <w:lang w:val="en-US"/>
        </w:rPr>
        <w:t xml:space="preserve"> </w:t>
      </w:r>
      <w:r w:rsidRPr="006C4490">
        <w:rPr>
          <w:lang w:val="en-US"/>
        </w:rPr>
        <w:t>Aborigina</w:t>
      </w:r>
      <w:r w:rsidR="00823F92" w:rsidRPr="006C4490">
        <w:rPr>
          <w:lang w:val="en-US"/>
        </w:rPr>
        <w:t>l</w:t>
      </w:r>
      <w:r w:rsidR="00823F92">
        <w:rPr>
          <w:lang w:val="en-US"/>
        </w:rPr>
        <w:t xml:space="preserve"> </w:t>
      </w:r>
      <w:r w:rsidRPr="006C4490">
        <w:rPr>
          <w:lang w:val="en-US"/>
        </w:rPr>
        <w:t>an</w:t>
      </w:r>
      <w:r w:rsidR="00823F92" w:rsidRPr="006C4490">
        <w:rPr>
          <w:lang w:val="en-US"/>
        </w:rPr>
        <w:t>d</w:t>
      </w:r>
      <w:r w:rsidR="00823F92">
        <w:rPr>
          <w:lang w:val="en-US"/>
        </w:rPr>
        <w:t xml:space="preserve"> </w:t>
      </w:r>
      <w:r w:rsidRPr="006C4490">
        <w:rPr>
          <w:lang w:val="en-US"/>
        </w:rPr>
        <w:t>Torre</w:t>
      </w:r>
      <w:r w:rsidR="00823F92" w:rsidRPr="006C4490">
        <w:rPr>
          <w:lang w:val="en-US"/>
        </w:rPr>
        <w:t>s</w:t>
      </w:r>
      <w:r w:rsidR="00823F92">
        <w:rPr>
          <w:lang w:val="en-US"/>
        </w:rPr>
        <w:t xml:space="preserve"> </w:t>
      </w:r>
      <w:r w:rsidRPr="006C4490">
        <w:rPr>
          <w:lang w:val="en-US"/>
        </w:rPr>
        <w:t>Strai</w:t>
      </w:r>
      <w:r w:rsidR="00823F92" w:rsidRPr="006C4490">
        <w:rPr>
          <w:lang w:val="en-US"/>
        </w:rPr>
        <w:t>t</w:t>
      </w:r>
      <w:r w:rsidR="00823F92">
        <w:rPr>
          <w:lang w:val="en-US"/>
        </w:rPr>
        <w:t xml:space="preserve"> </w:t>
      </w:r>
      <w:r w:rsidRPr="006C4490">
        <w:rPr>
          <w:lang w:val="en-US"/>
        </w:rPr>
        <w:t>Islande</w:t>
      </w:r>
      <w:r w:rsidR="00823F92" w:rsidRPr="006C4490">
        <w:rPr>
          <w:lang w:val="en-US"/>
        </w:rPr>
        <w:t>r</w:t>
      </w:r>
      <w:r w:rsidR="00823F92">
        <w:rPr>
          <w:lang w:val="en-US"/>
        </w:rPr>
        <w:t xml:space="preserve"> </w:t>
      </w:r>
      <w:r w:rsidRPr="006C4490">
        <w:rPr>
          <w:lang w:val="en-US"/>
        </w:rPr>
        <w:t>peoples</w:t>
      </w:r>
      <w:r w:rsidR="00823F92" w:rsidRPr="006C4490">
        <w:rPr>
          <w:lang w:val="en-US"/>
        </w:rPr>
        <w:t>,</w:t>
      </w:r>
      <w:r w:rsidR="00823F92">
        <w:rPr>
          <w:lang w:val="en-US"/>
        </w:rPr>
        <w:t xml:space="preserve"> </w:t>
      </w:r>
      <w:r w:rsidRPr="006C4490">
        <w:rPr>
          <w:lang w:val="en-US"/>
        </w:rPr>
        <w:t>LGBTIQA+ peoples</w:t>
      </w:r>
      <w:r w:rsidR="00823F92" w:rsidRPr="006C4490">
        <w:rPr>
          <w:lang w:val="en-US"/>
        </w:rPr>
        <w:t>,</w:t>
      </w:r>
      <w:r w:rsidR="00823F92">
        <w:rPr>
          <w:lang w:val="en-US"/>
        </w:rPr>
        <w:t xml:space="preserve"> </w:t>
      </w:r>
      <w:r w:rsidRPr="006C4490">
        <w:rPr>
          <w:lang w:val="en-US"/>
        </w:rPr>
        <w:t>peopl</w:t>
      </w:r>
      <w:r w:rsidR="00823F92" w:rsidRPr="006C4490">
        <w:rPr>
          <w:lang w:val="en-US"/>
        </w:rPr>
        <w:t>e</w:t>
      </w:r>
      <w:r w:rsidR="00823F92">
        <w:rPr>
          <w:lang w:val="en-US"/>
        </w:rPr>
        <w:t xml:space="preserve"> </w:t>
      </w:r>
      <w:r w:rsidRPr="006C4490">
        <w:rPr>
          <w:lang w:val="en-US"/>
        </w:rPr>
        <w:t>wh</w:t>
      </w:r>
      <w:r w:rsidR="00823F92" w:rsidRPr="006C4490">
        <w:rPr>
          <w:lang w:val="en-US"/>
        </w:rPr>
        <w:t>o</w:t>
      </w:r>
      <w:r w:rsidR="00823F92">
        <w:rPr>
          <w:lang w:val="en-US"/>
        </w:rPr>
        <w:t xml:space="preserve"> </w:t>
      </w:r>
      <w:r w:rsidRPr="006C4490">
        <w:rPr>
          <w:lang w:val="en-US"/>
        </w:rPr>
        <w:t>experienc</w:t>
      </w:r>
      <w:r w:rsidR="00823F92" w:rsidRPr="006C4490">
        <w:rPr>
          <w:lang w:val="en-US"/>
        </w:rPr>
        <w:t>e</w:t>
      </w:r>
      <w:r w:rsidR="00823F92">
        <w:rPr>
          <w:lang w:val="en-US"/>
        </w:rPr>
        <w:t xml:space="preserve"> </w:t>
      </w:r>
      <w:r w:rsidRPr="006C4490">
        <w:rPr>
          <w:lang w:val="en-US"/>
        </w:rPr>
        <w:t>homelessnes</w:t>
      </w:r>
      <w:r w:rsidR="00823F92" w:rsidRPr="006C4490">
        <w:rPr>
          <w:lang w:val="en-US"/>
        </w:rPr>
        <w:t>s</w:t>
      </w:r>
      <w:r w:rsidR="00823F92">
        <w:rPr>
          <w:lang w:val="en-US"/>
        </w:rPr>
        <w:t xml:space="preserve"> </w:t>
      </w:r>
      <w:r>
        <w:rPr>
          <w:lang w:val="en-US"/>
        </w:rPr>
        <w:t>an</w:t>
      </w:r>
      <w:r w:rsidR="00823F92">
        <w:rPr>
          <w:lang w:val="en-US"/>
        </w:rPr>
        <w:t xml:space="preserve">d </w:t>
      </w:r>
      <w:r>
        <w:rPr>
          <w:lang w:val="en-US"/>
        </w:rPr>
        <w:t>incarceration</w:t>
      </w:r>
      <w:r w:rsidR="00823F92" w:rsidRPr="006C4490">
        <w:rPr>
          <w:lang w:val="en-US"/>
        </w:rPr>
        <w:t>,</w:t>
      </w:r>
      <w:r w:rsidR="00823F92">
        <w:rPr>
          <w:lang w:val="en-US"/>
        </w:rPr>
        <w:t xml:space="preserve"> </w:t>
      </w:r>
      <w:r w:rsidRPr="006C4490">
        <w:rPr>
          <w:lang w:val="en-US"/>
        </w:rPr>
        <w:t>peopl</w:t>
      </w:r>
      <w:r w:rsidR="00823F92" w:rsidRPr="006C4490">
        <w:rPr>
          <w:lang w:val="en-US"/>
        </w:rPr>
        <w:t>e</w:t>
      </w:r>
      <w:r w:rsidR="00823F92">
        <w:rPr>
          <w:lang w:val="en-US"/>
        </w:rPr>
        <w:t xml:space="preserve"> </w:t>
      </w:r>
      <w:r w:rsidRPr="006C4490">
        <w:rPr>
          <w:lang w:val="en-US"/>
        </w:rPr>
        <w:t>experiencin</w:t>
      </w:r>
      <w:r w:rsidR="00823F92" w:rsidRPr="006C4490">
        <w:rPr>
          <w:lang w:val="en-US"/>
        </w:rPr>
        <w:t>g</w:t>
      </w:r>
      <w:r w:rsidR="00823F92">
        <w:rPr>
          <w:lang w:val="en-US"/>
        </w:rPr>
        <w:t xml:space="preserve"> </w:t>
      </w:r>
      <w:r w:rsidRPr="006C4490">
        <w:rPr>
          <w:lang w:val="en-US"/>
        </w:rPr>
        <w:t>unemploymen</w:t>
      </w:r>
      <w:r w:rsidR="00823F92" w:rsidRPr="006C4490">
        <w:rPr>
          <w:lang w:val="en-US"/>
        </w:rPr>
        <w:t>t</w:t>
      </w:r>
      <w:r w:rsidR="00823F92">
        <w:rPr>
          <w:lang w:val="en-US"/>
        </w:rPr>
        <w:t xml:space="preserve"> </w:t>
      </w:r>
      <w:r w:rsidRPr="006C4490">
        <w:rPr>
          <w:lang w:val="en-US"/>
        </w:rPr>
        <w:t>an</w:t>
      </w:r>
      <w:r w:rsidR="00823F92" w:rsidRPr="006C4490">
        <w:rPr>
          <w:lang w:val="en-US"/>
        </w:rPr>
        <w:t>d</w:t>
      </w:r>
      <w:r w:rsidR="00823F92">
        <w:rPr>
          <w:lang w:val="en-US"/>
        </w:rPr>
        <w:t xml:space="preserve"> </w:t>
      </w:r>
      <w:r w:rsidRPr="006C4490">
        <w:rPr>
          <w:lang w:val="en-US"/>
        </w:rPr>
        <w:t>peopl</w:t>
      </w:r>
      <w:r w:rsidR="00823F92" w:rsidRPr="006C4490">
        <w:rPr>
          <w:lang w:val="en-US"/>
        </w:rPr>
        <w:t>e</w:t>
      </w:r>
      <w:r w:rsidR="00823F92">
        <w:rPr>
          <w:lang w:val="en-US"/>
        </w:rPr>
        <w:t xml:space="preserve"> </w:t>
      </w:r>
      <w:r w:rsidRPr="006C4490">
        <w:rPr>
          <w:lang w:val="en-US"/>
        </w:rPr>
        <w:t>no</w:t>
      </w:r>
      <w:r w:rsidR="00823F92" w:rsidRPr="006C4490">
        <w:rPr>
          <w:lang w:val="en-US"/>
        </w:rPr>
        <w:t>t</w:t>
      </w:r>
      <w:r w:rsidR="00823F92">
        <w:rPr>
          <w:lang w:val="en-US"/>
        </w:rPr>
        <w:t xml:space="preserve"> </w:t>
      </w:r>
      <w:r w:rsidRPr="006C4490">
        <w:rPr>
          <w:lang w:val="en-US"/>
        </w:rPr>
        <w:t>i</w:t>
      </w:r>
      <w:r w:rsidR="00823F92" w:rsidRPr="006C4490">
        <w:rPr>
          <w:lang w:val="en-US"/>
        </w:rPr>
        <w:t>n</w:t>
      </w:r>
      <w:r w:rsidR="00823F92">
        <w:rPr>
          <w:lang w:val="en-US"/>
        </w:rPr>
        <w:t xml:space="preserve"> </w:t>
      </w:r>
      <w:r w:rsidRPr="006C4490">
        <w:rPr>
          <w:lang w:val="en-US"/>
        </w:rPr>
        <w:t>th</w:t>
      </w:r>
      <w:r w:rsidR="00823F92" w:rsidRPr="006C4490">
        <w:rPr>
          <w:lang w:val="en-US"/>
        </w:rPr>
        <w:t>e</w:t>
      </w:r>
      <w:r w:rsidR="00823F92">
        <w:rPr>
          <w:lang w:val="en-US"/>
        </w:rPr>
        <w:t xml:space="preserve"> </w:t>
      </w:r>
      <w:proofErr w:type="spellStart"/>
      <w:r w:rsidRPr="006C4490">
        <w:rPr>
          <w:lang w:val="en-US"/>
        </w:rPr>
        <w:t>labou</w:t>
      </w:r>
      <w:r w:rsidR="00823F92" w:rsidRPr="006C4490">
        <w:rPr>
          <w:lang w:val="en-US"/>
        </w:rPr>
        <w:t>r</w:t>
      </w:r>
      <w:proofErr w:type="spellEnd"/>
      <w:r w:rsidR="00823F92">
        <w:rPr>
          <w:lang w:val="en-US"/>
        </w:rPr>
        <w:t xml:space="preserve"> </w:t>
      </w:r>
      <w:r w:rsidRPr="006C4490">
        <w:rPr>
          <w:lang w:val="en-US"/>
        </w:rPr>
        <w:t>force</w:t>
      </w:r>
      <w:r w:rsidR="00823F92" w:rsidRPr="006C4490">
        <w:rPr>
          <w:lang w:val="en-US"/>
        </w:rPr>
        <w:t>.</w:t>
      </w:r>
      <w:r w:rsidR="00823F92">
        <w:rPr>
          <w:lang w:val="en-US"/>
        </w:rPr>
        <w:t xml:space="preserve"> </w:t>
      </w:r>
    </w:p>
    <w:p w14:paraId="6A9D4CEA" w14:textId="65C34C48" w:rsidR="00997BCC" w:rsidRDefault="00997BCC" w:rsidP="008C7CA6">
      <w:pPr>
        <w:pStyle w:val="BodyText"/>
        <w:rPr>
          <w:lang w:val="en-US"/>
        </w:rPr>
      </w:pPr>
      <w:r w:rsidRPr="006C4490">
        <w:rPr>
          <w:lang w:val="en-US"/>
        </w:rPr>
        <w:lastRenderedPageBreak/>
        <w:t>Menta</w:t>
      </w:r>
      <w:r w:rsidR="00823F92" w:rsidRPr="006C4490">
        <w:rPr>
          <w:lang w:val="en-US"/>
        </w:rPr>
        <w:t>l</w:t>
      </w:r>
      <w:r w:rsidR="00823F92">
        <w:rPr>
          <w:lang w:val="en-US"/>
        </w:rPr>
        <w:t xml:space="preserve"> </w:t>
      </w:r>
      <w:r w:rsidRPr="006C4490">
        <w:rPr>
          <w:lang w:val="en-US"/>
        </w:rPr>
        <w:t>ill-healt</w:t>
      </w:r>
      <w:r w:rsidR="00823F92" w:rsidRPr="006C4490">
        <w:rPr>
          <w:lang w:val="en-US"/>
        </w:rPr>
        <w:t>h</w:t>
      </w:r>
      <w:r w:rsidR="00823F92">
        <w:rPr>
          <w:lang w:val="en-US"/>
        </w:rPr>
        <w:t xml:space="preserve"> </w:t>
      </w:r>
      <w:r w:rsidRPr="006C4490">
        <w:rPr>
          <w:lang w:val="en-US"/>
        </w:rPr>
        <w:t>cover</w:t>
      </w:r>
      <w:r w:rsidR="00823F92" w:rsidRPr="006C4490">
        <w:rPr>
          <w:lang w:val="en-US"/>
        </w:rPr>
        <w:t>s</w:t>
      </w:r>
      <w:r w:rsidR="00823F92">
        <w:rPr>
          <w:lang w:val="en-US"/>
        </w:rPr>
        <w:t xml:space="preserve"> </w:t>
      </w:r>
      <w:r w:rsidR="00823F92" w:rsidRPr="006C4490">
        <w:rPr>
          <w:lang w:val="en-US"/>
        </w:rPr>
        <w:t>a</w:t>
      </w:r>
      <w:r w:rsidR="00823F92">
        <w:rPr>
          <w:lang w:val="en-US"/>
        </w:rPr>
        <w:t xml:space="preserve"> </w:t>
      </w:r>
      <w:r w:rsidRPr="006C4490">
        <w:rPr>
          <w:lang w:val="en-US"/>
        </w:rPr>
        <w:t>wid</w:t>
      </w:r>
      <w:r w:rsidR="00823F92" w:rsidRPr="006C4490">
        <w:rPr>
          <w:lang w:val="en-US"/>
        </w:rPr>
        <w:t>e</w:t>
      </w:r>
      <w:r w:rsidR="00823F92">
        <w:rPr>
          <w:lang w:val="en-US"/>
        </w:rPr>
        <w:t xml:space="preserve"> </w:t>
      </w:r>
      <w:r w:rsidRPr="006C4490">
        <w:rPr>
          <w:lang w:val="en-US"/>
        </w:rPr>
        <w:t>rang</w:t>
      </w:r>
      <w:r w:rsidR="00823F92" w:rsidRPr="006C4490">
        <w:rPr>
          <w:lang w:val="en-US"/>
        </w:rPr>
        <w:t>e</w:t>
      </w:r>
      <w:r w:rsidR="00823F92">
        <w:rPr>
          <w:lang w:val="en-US"/>
        </w:rPr>
        <w:t xml:space="preserve"> </w:t>
      </w:r>
      <w:r w:rsidRPr="006C4490">
        <w:rPr>
          <w:lang w:val="en-US"/>
        </w:rPr>
        <w:t>o</w:t>
      </w:r>
      <w:r w:rsidR="00823F92" w:rsidRPr="006C4490">
        <w:rPr>
          <w:lang w:val="en-US"/>
        </w:rPr>
        <w:t>f</w:t>
      </w:r>
      <w:r w:rsidR="00823F92">
        <w:rPr>
          <w:lang w:val="en-US"/>
        </w:rPr>
        <w:t xml:space="preserve"> </w:t>
      </w:r>
      <w:r w:rsidRPr="006C4490">
        <w:rPr>
          <w:lang w:val="en-US"/>
        </w:rPr>
        <w:t>conditions</w:t>
      </w:r>
      <w:r w:rsidR="00823F92" w:rsidRPr="006C4490">
        <w:rPr>
          <w:lang w:val="en-US"/>
        </w:rPr>
        <w:t>.</w:t>
      </w:r>
      <w:r w:rsidR="00823F92">
        <w:rPr>
          <w:lang w:val="en-US"/>
        </w:rPr>
        <w:t xml:space="preserve"> </w:t>
      </w:r>
      <w:r w:rsidRPr="006C4490">
        <w:rPr>
          <w:lang w:val="en-US"/>
        </w:rPr>
        <w:t>Th</w:t>
      </w:r>
      <w:r w:rsidR="00823F92" w:rsidRPr="006C4490">
        <w:rPr>
          <w:lang w:val="en-US"/>
        </w:rPr>
        <w:t>e</w:t>
      </w:r>
      <w:r w:rsidR="00823F92">
        <w:rPr>
          <w:lang w:val="en-US"/>
        </w:rPr>
        <w:t xml:space="preserve"> </w:t>
      </w:r>
      <w:r w:rsidRPr="006C4490">
        <w:rPr>
          <w:lang w:val="en-US"/>
        </w:rPr>
        <w:t>mos</w:t>
      </w:r>
      <w:r w:rsidR="00823F92" w:rsidRPr="006C4490">
        <w:rPr>
          <w:lang w:val="en-US"/>
        </w:rPr>
        <w:t>t</w:t>
      </w:r>
      <w:r w:rsidR="00823F92">
        <w:rPr>
          <w:lang w:val="en-US"/>
        </w:rPr>
        <w:t xml:space="preserve"> </w:t>
      </w:r>
      <w:r w:rsidRPr="006C4490">
        <w:rPr>
          <w:lang w:val="en-US"/>
        </w:rPr>
        <w:t>commo</w:t>
      </w:r>
      <w:r w:rsidR="00823F92" w:rsidRPr="006C4490">
        <w:rPr>
          <w:lang w:val="en-US"/>
        </w:rPr>
        <w:t>n</w:t>
      </w:r>
      <w:r w:rsidR="00823F92">
        <w:rPr>
          <w:lang w:val="en-US"/>
        </w:rPr>
        <w:t xml:space="preserve"> </w:t>
      </w:r>
      <w:r w:rsidRPr="006C4490">
        <w:rPr>
          <w:lang w:val="en-US"/>
        </w:rPr>
        <w:t>condition</w:t>
      </w:r>
      <w:r w:rsidR="00823F92" w:rsidRPr="006C4490">
        <w:rPr>
          <w:lang w:val="en-US"/>
        </w:rPr>
        <w:t>s</w:t>
      </w:r>
      <w:r w:rsidR="00823F92">
        <w:rPr>
          <w:lang w:val="en-US"/>
        </w:rPr>
        <w:t xml:space="preserve"> </w:t>
      </w:r>
      <w:r w:rsidRPr="006C4490">
        <w:rPr>
          <w:lang w:val="en-US"/>
        </w:rPr>
        <w:t>i</w:t>
      </w:r>
      <w:r w:rsidR="00823F92" w:rsidRPr="006C4490">
        <w:rPr>
          <w:lang w:val="en-US"/>
        </w:rPr>
        <w:t>n</w:t>
      </w:r>
      <w:r w:rsidR="00823F92">
        <w:rPr>
          <w:lang w:val="en-US"/>
        </w:rPr>
        <w:t xml:space="preserve"> </w:t>
      </w:r>
      <w:r w:rsidRPr="006C4490">
        <w:rPr>
          <w:lang w:val="en-US"/>
        </w:rPr>
        <w:t>Australi</w:t>
      </w:r>
      <w:r w:rsidR="00823F92" w:rsidRPr="006C4490">
        <w:rPr>
          <w:lang w:val="en-US"/>
        </w:rPr>
        <w:t>a</w:t>
      </w:r>
      <w:r w:rsidR="00823F92">
        <w:rPr>
          <w:lang w:val="en-US"/>
        </w:rPr>
        <w:t xml:space="preserve"> </w:t>
      </w:r>
      <w:r w:rsidRPr="006C4490">
        <w:rPr>
          <w:lang w:val="en-US"/>
        </w:rPr>
        <w:t>ar</w:t>
      </w:r>
      <w:r w:rsidR="00823F92" w:rsidRPr="006C4490">
        <w:rPr>
          <w:lang w:val="en-US"/>
        </w:rPr>
        <w:t>e</w:t>
      </w:r>
      <w:r w:rsidR="00823F92">
        <w:rPr>
          <w:lang w:val="en-US"/>
        </w:rPr>
        <w:t xml:space="preserve"> </w:t>
      </w:r>
      <w:r w:rsidRPr="006C4490">
        <w:rPr>
          <w:lang w:val="en-US"/>
        </w:rPr>
        <w:t>anxiet</w:t>
      </w:r>
      <w:r w:rsidR="00823F92" w:rsidRPr="006C4490">
        <w:rPr>
          <w:lang w:val="en-US"/>
        </w:rPr>
        <w:t>y</w:t>
      </w:r>
      <w:r w:rsidR="00823F92">
        <w:rPr>
          <w:lang w:val="en-US"/>
        </w:rPr>
        <w:t xml:space="preserve"> </w:t>
      </w:r>
      <w:r w:rsidRPr="006C4490">
        <w:rPr>
          <w:lang w:val="en-US"/>
        </w:rPr>
        <w:t>disorder</w:t>
      </w:r>
      <w:r w:rsidR="00823F92" w:rsidRPr="006C4490">
        <w:rPr>
          <w:lang w:val="en-US"/>
        </w:rPr>
        <w:t>s</w:t>
      </w:r>
      <w:r w:rsidR="00823F92">
        <w:rPr>
          <w:lang w:val="en-US"/>
        </w:rPr>
        <w:t xml:space="preserve"> </w:t>
      </w:r>
      <w:r w:rsidRPr="006C4490">
        <w:rPr>
          <w:lang w:val="en-US"/>
        </w:rPr>
        <w:t>(14.4</w:t>
      </w:r>
      <w:r>
        <w:rPr>
          <w:lang w:val="en-US"/>
        </w:rPr>
        <w:t>%</w:t>
      </w:r>
      <w:r w:rsidRPr="006C4490">
        <w:rPr>
          <w:lang w:val="en-US"/>
        </w:rPr>
        <w:t xml:space="preserve"> o</w:t>
      </w:r>
      <w:r w:rsidR="00823F92" w:rsidRPr="006C4490">
        <w:rPr>
          <w:lang w:val="en-US"/>
        </w:rPr>
        <w:t>f</w:t>
      </w:r>
      <w:r w:rsidR="00823F92">
        <w:rPr>
          <w:lang w:val="en-US"/>
        </w:rPr>
        <w:t xml:space="preserve"> </w:t>
      </w:r>
      <w:r w:rsidRPr="006C4490">
        <w:rPr>
          <w:lang w:val="en-US"/>
        </w:rPr>
        <w:t>th</w:t>
      </w:r>
      <w:r w:rsidR="00823F92" w:rsidRPr="006C4490">
        <w:rPr>
          <w:lang w:val="en-US"/>
        </w:rPr>
        <w:t>e</w:t>
      </w:r>
      <w:r w:rsidR="00823F92">
        <w:rPr>
          <w:lang w:val="en-US"/>
        </w:rPr>
        <w:t xml:space="preserve"> </w:t>
      </w:r>
      <w:r w:rsidRPr="006C4490">
        <w:rPr>
          <w:lang w:val="en-US"/>
        </w:rPr>
        <w:t>population)</w:t>
      </w:r>
      <w:r w:rsidR="00823F92" w:rsidRPr="006C4490">
        <w:rPr>
          <w:lang w:val="en-US"/>
        </w:rPr>
        <w:t>,</w:t>
      </w:r>
      <w:r w:rsidR="00823F92">
        <w:rPr>
          <w:lang w:val="en-US"/>
        </w:rPr>
        <w:t xml:space="preserve"> </w:t>
      </w:r>
      <w:r w:rsidRPr="006C4490">
        <w:rPr>
          <w:lang w:val="en-US"/>
        </w:rPr>
        <w:t>affectiv</w:t>
      </w:r>
      <w:r w:rsidR="00823F92" w:rsidRPr="006C4490">
        <w:rPr>
          <w:lang w:val="en-US"/>
        </w:rPr>
        <w:t>e</w:t>
      </w:r>
      <w:r w:rsidR="00823F92">
        <w:rPr>
          <w:lang w:val="en-US"/>
        </w:rPr>
        <w:t xml:space="preserve"> </w:t>
      </w:r>
      <w:r w:rsidRPr="006C4490">
        <w:rPr>
          <w:lang w:val="en-US"/>
        </w:rPr>
        <w:t>disorder</w:t>
      </w:r>
      <w:r w:rsidR="00823F92" w:rsidRPr="006C4490">
        <w:rPr>
          <w:lang w:val="en-US"/>
        </w:rPr>
        <w:t>s</w:t>
      </w:r>
      <w:r w:rsidR="00823F92">
        <w:rPr>
          <w:lang w:val="en-US"/>
        </w:rPr>
        <w:t xml:space="preserve"> </w:t>
      </w:r>
      <w:r w:rsidRPr="006C4490">
        <w:rPr>
          <w:lang w:val="en-US"/>
        </w:rPr>
        <w:t>suc</w:t>
      </w:r>
      <w:r w:rsidR="00823F92" w:rsidRPr="006C4490">
        <w:rPr>
          <w:lang w:val="en-US"/>
        </w:rPr>
        <w:t>h</w:t>
      </w:r>
      <w:r w:rsidR="00823F92">
        <w:rPr>
          <w:lang w:val="en-US"/>
        </w:rPr>
        <w:t xml:space="preserve"> </w:t>
      </w:r>
      <w:r w:rsidRPr="006C4490">
        <w:rPr>
          <w:lang w:val="en-US"/>
        </w:rPr>
        <w:t>a</w:t>
      </w:r>
      <w:r w:rsidR="00823F92" w:rsidRPr="006C4490">
        <w:rPr>
          <w:lang w:val="en-US"/>
        </w:rPr>
        <w:t>s</w:t>
      </w:r>
      <w:r w:rsidR="00823F92">
        <w:rPr>
          <w:lang w:val="en-US"/>
        </w:rPr>
        <w:t xml:space="preserve"> </w:t>
      </w:r>
      <w:r w:rsidRPr="006C4490">
        <w:rPr>
          <w:lang w:val="en-US"/>
        </w:rPr>
        <w:t>depressio</w:t>
      </w:r>
      <w:r w:rsidR="00823F92" w:rsidRPr="006C4490">
        <w:rPr>
          <w:lang w:val="en-US"/>
        </w:rPr>
        <w:t>n</w:t>
      </w:r>
      <w:r w:rsidR="00823F92">
        <w:rPr>
          <w:lang w:val="en-US"/>
        </w:rPr>
        <w:t xml:space="preserve"> </w:t>
      </w:r>
      <w:r w:rsidRPr="006C4490">
        <w:rPr>
          <w:lang w:val="en-US"/>
        </w:rPr>
        <w:t>(6.2</w:t>
      </w:r>
      <w:r>
        <w:rPr>
          <w:lang w:val="en-US"/>
        </w:rPr>
        <w:t>%</w:t>
      </w:r>
      <w:r w:rsidRPr="006C4490">
        <w:rPr>
          <w:lang w:val="en-US"/>
        </w:rPr>
        <w:t>)</w:t>
      </w:r>
      <w:r w:rsidR="00823F92" w:rsidRPr="006C4490">
        <w:rPr>
          <w:lang w:val="en-US"/>
        </w:rPr>
        <w:t>,</w:t>
      </w:r>
      <w:r w:rsidR="00823F92">
        <w:rPr>
          <w:lang w:val="en-US"/>
        </w:rPr>
        <w:t xml:space="preserve"> </w:t>
      </w:r>
      <w:r w:rsidRPr="006C4490">
        <w:rPr>
          <w:lang w:val="en-US"/>
        </w:rPr>
        <w:t>an</w:t>
      </w:r>
      <w:r w:rsidR="00823F92" w:rsidRPr="006C4490">
        <w:rPr>
          <w:lang w:val="en-US"/>
        </w:rPr>
        <w:t>d</w:t>
      </w:r>
      <w:r w:rsidR="00823F92">
        <w:rPr>
          <w:lang w:val="en-US"/>
        </w:rPr>
        <w:t xml:space="preserve"> </w:t>
      </w:r>
      <w:r w:rsidR="009D4B1F">
        <w:rPr>
          <w:lang w:val="en-US"/>
        </w:rPr>
        <w:t>s</w:t>
      </w:r>
      <w:r w:rsidRPr="006C4490">
        <w:rPr>
          <w:lang w:val="en-US"/>
        </w:rPr>
        <w:t>ubstanc</w:t>
      </w:r>
      <w:r w:rsidR="00823F92" w:rsidRPr="006C4490">
        <w:rPr>
          <w:lang w:val="en-US"/>
        </w:rPr>
        <w:t>e</w:t>
      </w:r>
      <w:r w:rsidR="00823F92">
        <w:rPr>
          <w:lang w:val="en-US"/>
        </w:rPr>
        <w:t xml:space="preserve"> </w:t>
      </w:r>
      <w:r w:rsidRPr="006C4490">
        <w:rPr>
          <w:lang w:val="en-US"/>
        </w:rPr>
        <w:t>abus</w:t>
      </w:r>
      <w:r w:rsidR="00823F92" w:rsidRPr="006C4490">
        <w:rPr>
          <w:lang w:val="en-US"/>
        </w:rPr>
        <w:t>e</w:t>
      </w:r>
      <w:r w:rsidR="00823F92">
        <w:rPr>
          <w:lang w:val="en-US"/>
        </w:rPr>
        <w:t xml:space="preserve"> </w:t>
      </w:r>
      <w:r w:rsidRPr="006C4490">
        <w:rPr>
          <w:lang w:val="en-US"/>
        </w:rPr>
        <w:t>disorder</w:t>
      </w:r>
      <w:r w:rsidR="00823F92" w:rsidRPr="006C4490">
        <w:rPr>
          <w:lang w:val="en-US"/>
        </w:rPr>
        <w:t>s</w:t>
      </w:r>
      <w:r w:rsidR="00823F92">
        <w:rPr>
          <w:lang w:val="en-US"/>
        </w:rPr>
        <w:t xml:space="preserve"> </w:t>
      </w:r>
      <w:r w:rsidRPr="006C4490">
        <w:rPr>
          <w:lang w:val="en-US"/>
        </w:rPr>
        <w:t>(5.1</w:t>
      </w:r>
      <w:r>
        <w:rPr>
          <w:lang w:val="en-US"/>
        </w:rPr>
        <w:t>%</w:t>
      </w:r>
      <w:r w:rsidRPr="006C4490">
        <w:rPr>
          <w:lang w:val="en-US"/>
        </w:rPr>
        <w:t>)</w:t>
      </w:r>
      <w:r w:rsidR="00330F93">
        <w:rPr>
          <w:lang w:val="en-US"/>
        </w:rPr>
        <w:t xml:space="preserve"> an</w:t>
      </w:r>
      <w:r w:rsidR="00823F92">
        <w:rPr>
          <w:lang w:val="en-US"/>
        </w:rPr>
        <w:t xml:space="preserve">d </w:t>
      </w:r>
      <w:r w:rsidR="00330F93">
        <w:rPr>
          <w:lang w:val="en-US"/>
        </w:rPr>
        <w:t>eatin</w:t>
      </w:r>
      <w:r w:rsidR="00823F92">
        <w:rPr>
          <w:lang w:val="en-US"/>
        </w:rPr>
        <w:t xml:space="preserve">g </w:t>
      </w:r>
      <w:r w:rsidR="00330F93">
        <w:rPr>
          <w:lang w:val="en-US"/>
        </w:rPr>
        <w:t>disorder</w:t>
      </w:r>
      <w:r w:rsidR="00823F92">
        <w:rPr>
          <w:lang w:val="en-US"/>
        </w:rPr>
        <w:t xml:space="preserve">s </w:t>
      </w:r>
      <w:r w:rsidR="007A1CE9">
        <w:rPr>
          <w:lang w:val="en-US"/>
        </w:rPr>
        <w:t>(estimate</w:t>
      </w:r>
      <w:r w:rsidR="00823F92">
        <w:rPr>
          <w:lang w:val="en-US"/>
        </w:rPr>
        <w:t xml:space="preserve">d </w:t>
      </w:r>
      <w:r w:rsidR="007A1CE9">
        <w:rPr>
          <w:lang w:val="en-US"/>
        </w:rPr>
        <w:t>betwee</w:t>
      </w:r>
      <w:r w:rsidR="00823F92">
        <w:rPr>
          <w:lang w:val="en-US"/>
        </w:rPr>
        <w:t xml:space="preserve">n 4 </w:t>
      </w:r>
      <w:r w:rsidR="007A1CE9">
        <w:rPr>
          <w:lang w:val="en-US"/>
        </w:rPr>
        <w:t>an</w:t>
      </w:r>
      <w:r w:rsidR="00823F92">
        <w:rPr>
          <w:lang w:val="en-US"/>
        </w:rPr>
        <w:t xml:space="preserve">d </w:t>
      </w:r>
      <w:r w:rsidR="007A1CE9">
        <w:rPr>
          <w:lang w:val="en-US"/>
        </w:rPr>
        <w:t>16%)</w:t>
      </w:r>
      <w:r w:rsidRPr="006C4490">
        <w:rPr>
          <w:lang w:val="en-US"/>
        </w:rPr>
        <w:t>.</w:t>
      </w:r>
      <w:r w:rsidRPr="006C4490">
        <w:rPr>
          <w:rStyle w:val="FootnoteReference"/>
          <w:lang w:val="en-US"/>
        </w:rPr>
        <w:footnoteReference w:id="3"/>
      </w:r>
      <w:r w:rsidRPr="006C4490">
        <w:rPr>
          <w:lang w:val="en-US"/>
        </w:rPr>
        <w:t xml:space="preserve"> Thes</w:t>
      </w:r>
      <w:r w:rsidR="00823F92" w:rsidRPr="006C4490">
        <w:rPr>
          <w:lang w:val="en-US"/>
        </w:rPr>
        <w:t>e</w:t>
      </w:r>
      <w:r w:rsidR="00823F92">
        <w:rPr>
          <w:lang w:val="en-US"/>
        </w:rPr>
        <w:t xml:space="preserve"> </w:t>
      </w:r>
      <w:r w:rsidRPr="006C4490">
        <w:rPr>
          <w:lang w:val="en-US"/>
        </w:rPr>
        <w:t>condition</w:t>
      </w:r>
      <w:r w:rsidR="00823F92" w:rsidRPr="006C4490">
        <w:rPr>
          <w:lang w:val="en-US"/>
        </w:rPr>
        <w:t>s</w:t>
      </w:r>
      <w:r w:rsidR="00823F92">
        <w:rPr>
          <w:lang w:val="en-US"/>
        </w:rPr>
        <w:t xml:space="preserve"> </w:t>
      </w:r>
      <w:r w:rsidRPr="006C4490">
        <w:rPr>
          <w:lang w:val="en-US"/>
        </w:rPr>
        <w:t>ca</w:t>
      </w:r>
      <w:r w:rsidR="00823F92" w:rsidRPr="006C4490">
        <w:rPr>
          <w:lang w:val="en-US"/>
        </w:rPr>
        <w:t>n</w:t>
      </w:r>
      <w:r w:rsidR="00823F92">
        <w:rPr>
          <w:lang w:val="en-US"/>
        </w:rPr>
        <w:t xml:space="preserve"> </w:t>
      </w:r>
      <w:r w:rsidRPr="006C4490">
        <w:rPr>
          <w:lang w:val="en-US"/>
        </w:rPr>
        <w:t>ofte</w:t>
      </w:r>
      <w:r w:rsidR="00823F92" w:rsidRPr="006C4490">
        <w:rPr>
          <w:lang w:val="en-US"/>
        </w:rPr>
        <w:t>n</w:t>
      </w:r>
      <w:r w:rsidR="00823F92">
        <w:rPr>
          <w:lang w:val="en-US"/>
        </w:rPr>
        <w:t xml:space="preserve"> </w:t>
      </w:r>
      <w:r w:rsidRPr="006C4490">
        <w:rPr>
          <w:lang w:val="en-US"/>
        </w:rPr>
        <w:t>occu</w:t>
      </w:r>
      <w:r w:rsidR="00823F92" w:rsidRPr="006C4490">
        <w:rPr>
          <w:lang w:val="en-US"/>
        </w:rPr>
        <w:t>r</w:t>
      </w:r>
      <w:r w:rsidR="00823F92">
        <w:rPr>
          <w:lang w:val="en-US"/>
        </w:rPr>
        <w:t xml:space="preserve"> </w:t>
      </w:r>
      <w:r w:rsidRPr="006C4490">
        <w:rPr>
          <w:lang w:val="en-US"/>
        </w:rPr>
        <w:t>i</w:t>
      </w:r>
      <w:r w:rsidR="00823F92" w:rsidRPr="006C4490">
        <w:rPr>
          <w:lang w:val="en-US"/>
        </w:rPr>
        <w:t>n</w:t>
      </w:r>
      <w:r w:rsidR="00823F92">
        <w:rPr>
          <w:lang w:val="en-US"/>
        </w:rPr>
        <w:t xml:space="preserve"> </w:t>
      </w:r>
      <w:r w:rsidRPr="006C4490">
        <w:rPr>
          <w:lang w:val="en-US"/>
        </w:rPr>
        <w:t>combination</w:t>
      </w:r>
      <w:r w:rsidR="00823F92" w:rsidRPr="006C4490">
        <w:rPr>
          <w:lang w:val="en-US"/>
        </w:rPr>
        <w:t>.</w:t>
      </w:r>
      <w:r w:rsidR="00823F92">
        <w:rPr>
          <w:lang w:val="en-US"/>
        </w:rPr>
        <w:t xml:space="preserve"> </w:t>
      </w:r>
      <w:r w:rsidRPr="006C4490">
        <w:rPr>
          <w:lang w:val="en-US"/>
        </w:rPr>
        <w:t>Les</w:t>
      </w:r>
      <w:r w:rsidR="00823F92" w:rsidRPr="006C4490">
        <w:rPr>
          <w:lang w:val="en-US"/>
        </w:rPr>
        <w:t>s</w:t>
      </w:r>
      <w:r w:rsidR="00823F92">
        <w:rPr>
          <w:lang w:val="en-US"/>
        </w:rPr>
        <w:t xml:space="preserve"> </w:t>
      </w:r>
      <w:r w:rsidRPr="006C4490">
        <w:rPr>
          <w:lang w:val="en-US"/>
        </w:rPr>
        <w:t>commo</w:t>
      </w:r>
      <w:r w:rsidR="00823F92" w:rsidRPr="006C4490">
        <w:rPr>
          <w:lang w:val="en-US"/>
        </w:rPr>
        <w:t>n</w:t>
      </w:r>
      <w:r w:rsidR="00823F92">
        <w:rPr>
          <w:lang w:val="en-US"/>
        </w:rPr>
        <w:t xml:space="preserve"> </w:t>
      </w:r>
      <w:r w:rsidRPr="006C4490">
        <w:rPr>
          <w:lang w:val="en-US"/>
        </w:rPr>
        <w:t>condition</w:t>
      </w:r>
      <w:r w:rsidR="00823F92" w:rsidRPr="006C4490">
        <w:rPr>
          <w:lang w:val="en-US"/>
        </w:rPr>
        <w:t>s</w:t>
      </w:r>
      <w:r w:rsidR="00823F92">
        <w:rPr>
          <w:lang w:val="en-US"/>
        </w:rPr>
        <w:t xml:space="preserve"> </w:t>
      </w:r>
      <w:r w:rsidRPr="006C4490">
        <w:rPr>
          <w:lang w:val="en-US"/>
        </w:rPr>
        <w:t>includ</w:t>
      </w:r>
      <w:r w:rsidR="00823F92" w:rsidRPr="006C4490">
        <w:rPr>
          <w:lang w:val="en-US"/>
        </w:rPr>
        <w:t>e</w:t>
      </w:r>
      <w:r w:rsidR="00823F92">
        <w:rPr>
          <w:lang w:val="en-US"/>
        </w:rPr>
        <w:t xml:space="preserve"> </w:t>
      </w:r>
      <w:r w:rsidRPr="006C4490">
        <w:rPr>
          <w:lang w:val="en-US"/>
        </w:rPr>
        <w:t>psychoti</w:t>
      </w:r>
      <w:r w:rsidR="00823F92" w:rsidRPr="006C4490">
        <w:rPr>
          <w:lang w:val="en-US"/>
        </w:rPr>
        <w:t>c</w:t>
      </w:r>
      <w:r w:rsidR="00823F92">
        <w:rPr>
          <w:lang w:val="en-US"/>
        </w:rPr>
        <w:t xml:space="preserve"> </w:t>
      </w:r>
      <w:r w:rsidRPr="006C4490">
        <w:rPr>
          <w:lang w:val="en-US"/>
        </w:rPr>
        <w:t>disorders</w:t>
      </w:r>
      <w:r w:rsidR="00823F92" w:rsidRPr="006C4490">
        <w:rPr>
          <w:lang w:val="en-US"/>
        </w:rPr>
        <w:t>,</w:t>
      </w:r>
      <w:r w:rsidR="00823F92">
        <w:rPr>
          <w:lang w:val="en-US"/>
        </w:rPr>
        <w:t xml:space="preserve"> </w:t>
      </w:r>
      <w:r w:rsidRPr="006C4490">
        <w:rPr>
          <w:lang w:val="en-US"/>
        </w:rPr>
        <w:t>suc</w:t>
      </w:r>
      <w:r w:rsidR="00823F92" w:rsidRPr="006C4490">
        <w:rPr>
          <w:lang w:val="en-US"/>
        </w:rPr>
        <w:t>h</w:t>
      </w:r>
      <w:r w:rsidR="00823F92">
        <w:rPr>
          <w:lang w:val="en-US"/>
        </w:rPr>
        <w:t xml:space="preserve"> </w:t>
      </w:r>
      <w:r w:rsidRPr="006C4490">
        <w:rPr>
          <w:lang w:val="en-US"/>
        </w:rPr>
        <w:t>a</w:t>
      </w:r>
      <w:r w:rsidR="00823F92" w:rsidRPr="006C4490">
        <w:rPr>
          <w:lang w:val="en-US"/>
        </w:rPr>
        <w:t>s</w:t>
      </w:r>
      <w:r w:rsidR="00823F92">
        <w:rPr>
          <w:lang w:val="en-US"/>
        </w:rPr>
        <w:t xml:space="preserve"> </w:t>
      </w:r>
      <w:r w:rsidRPr="006C4490">
        <w:rPr>
          <w:lang w:val="en-US"/>
        </w:rPr>
        <w:t>schizophreni</w:t>
      </w:r>
      <w:r w:rsidR="00823F92" w:rsidRPr="006C4490">
        <w:rPr>
          <w:lang w:val="en-US"/>
        </w:rPr>
        <w:t>a</w:t>
      </w:r>
      <w:r w:rsidR="00823F92">
        <w:rPr>
          <w:lang w:val="en-US"/>
        </w:rPr>
        <w:t xml:space="preserve"> </w:t>
      </w:r>
      <w:r w:rsidRPr="006C4490">
        <w:rPr>
          <w:lang w:val="en-US"/>
        </w:rPr>
        <w:t>(0.5</w:t>
      </w:r>
      <w:r>
        <w:rPr>
          <w:lang w:val="en-US"/>
        </w:rPr>
        <w:t>%</w:t>
      </w:r>
      <w:r w:rsidRPr="006C4490">
        <w:rPr>
          <w:lang w:val="en-US"/>
        </w:rPr>
        <w:t>).</w:t>
      </w:r>
      <w:r w:rsidRPr="006C4490">
        <w:rPr>
          <w:rStyle w:val="FootnoteReference"/>
          <w:lang w:val="en-US"/>
        </w:rPr>
        <w:footnoteReference w:id="4"/>
      </w:r>
      <w:r w:rsidR="00CA683D">
        <w:rPr>
          <w:lang w:val="en-US"/>
        </w:rPr>
        <w:t xml:space="preserve"> Menta</w:t>
      </w:r>
      <w:r w:rsidR="00823F92">
        <w:rPr>
          <w:lang w:val="en-US"/>
        </w:rPr>
        <w:t xml:space="preserve">l </w:t>
      </w:r>
      <w:r w:rsidR="00CA683D">
        <w:rPr>
          <w:lang w:val="en-US"/>
        </w:rPr>
        <w:t>ill-healt</w:t>
      </w:r>
      <w:r w:rsidR="00823F92">
        <w:rPr>
          <w:lang w:val="en-US"/>
        </w:rPr>
        <w:t xml:space="preserve">h </w:t>
      </w:r>
      <w:r w:rsidR="001304EE">
        <w:rPr>
          <w:lang w:val="en-US"/>
        </w:rPr>
        <w:t>als</w:t>
      </w:r>
      <w:r w:rsidR="00823F92">
        <w:rPr>
          <w:lang w:val="en-US"/>
        </w:rPr>
        <w:t xml:space="preserve">o </w:t>
      </w:r>
      <w:r w:rsidR="001304EE">
        <w:rPr>
          <w:lang w:val="en-US"/>
        </w:rPr>
        <w:t>impact</w:t>
      </w:r>
      <w:r w:rsidR="00823F92">
        <w:rPr>
          <w:lang w:val="en-US"/>
        </w:rPr>
        <w:t xml:space="preserve">s </w:t>
      </w:r>
      <w:r w:rsidR="001304EE">
        <w:rPr>
          <w:lang w:val="en-US"/>
        </w:rPr>
        <w:t>o</w:t>
      </w:r>
      <w:r w:rsidR="00823F92">
        <w:rPr>
          <w:lang w:val="en-US"/>
        </w:rPr>
        <w:t xml:space="preserve">n </w:t>
      </w:r>
      <w:r w:rsidR="001304EE">
        <w:rPr>
          <w:lang w:val="en-US"/>
        </w:rPr>
        <w:t>th</w:t>
      </w:r>
      <w:r w:rsidR="00823F92">
        <w:rPr>
          <w:lang w:val="en-US"/>
        </w:rPr>
        <w:t xml:space="preserve">e </w:t>
      </w:r>
      <w:r w:rsidR="001304EE">
        <w:rPr>
          <w:lang w:val="en-US"/>
        </w:rPr>
        <w:t>rat</w:t>
      </w:r>
      <w:r w:rsidR="00823F92">
        <w:rPr>
          <w:lang w:val="en-US"/>
        </w:rPr>
        <w:t xml:space="preserve">e </w:t>
      </w:r>
      <w:r w:rsidR="001304EE">
        <w:rPr>
          <w:lang w:val="en-US"/>
        </w:rPr>
        <w:t>o</w:t>
      </w:r>
      <w:r w:rsidR="00823F92">
        <w:rPr>
          <w:lang w:val="en-US"/>
        </w:rPr>
        <w:t xml:space="preserve">f </w:t>
      </w:r>
      <w:r w:rsidR="008C7CA6">
        <w:rPr>
          <w:lang w:val="en-US"/>
        </w:rPr>
        <w:t>intentiona</w:t>
      </w:r>
      <w:r w:rsidR="00823F92">
        <w:rPr>
          <w:lang w:val="en-US"/>
        </w:rPr>
        <w:t xml:space="preserve">l </w:t>
      </w:r>
      <w:r w:rsidR="008C7CA6">
        <w:rPr>
          <w:lang w:val="en-US"/>
        </w:rPr>
        <w:t>self-har</w:t>
      </w:r>
      <w:r w:rsidR="00823F92">
        <w:rPr>
          <w:lang w:val="en-US"/>
        </w:rPr>
        <w:t xml:space="preserve">m </w:t>
      </w:r>
      <w:r w:rsidR="008C7CA6">
        <w:rPr>
          <w:lang w:val="en-US"/>
        </w:rPr>
        <w:t>an</w:t>
      </w:r>
      <w:r w:rsidR="00823F92">
        <w:rPr>
          <w:lang w:val="en-US"/>
        </w:rPr>
        <w:t xml:space="preserve">d </w:t>
      </w:r>
      <w:r w:rsidR="008C7CA6">
        <w:rPr>
          <w:lang w:val="en-US"/>
        </w:rPr>
        <w:t>suicide</w:t>
      </w:r>
      <w:r w:rsidR="00823F92">
        <w:rPr>
          <w:lang w:val="en-US"/>
        </w:rPr>
        <w:t xml:space="preserve">. </w:t>
      </w:r>
      <w:r w:rsidR="008C7CA6" w:rsidRPr="008C7CA6">
        <w:rPr>
          <w:lang w:val="en-US"/>
        </w:rPr>
        <w:t>Suicid</w:t>
      </w:r>
      <w:r w:rsidR="00823F92" w:rsidRPr="008C7CA6">
        <w:rPr>
          <w:lang w:val="en-US"/>
        </w:rPr>
        <w:t>e</w:t>
      </w:r>
      <w:r w:rsidR="00823F92">
        <w:rPr>
          <w:lang w:val="en-US"/>
        </w:rPr>
        <w:t xml:space="preserve"> </w:t>
      </w:r>
      <w:r w:rsidR="008C7CA6" w:rsidRPr="008C7CA6">
        <w:rPr>
          <w:lang w:val="en-US"/>
        </w:rPr>
        <w:t>i</w:t>
      </w:r>
      <w:r w:rsidR="00823F92" w:rsidRPr="008C7CA6">
        <w:rPr>
          <w:lang w:val="en-US"/>
        </w:rPr>
        <w:t>s</w:t>
      </w:r>
      <w:r w:rsidR="00823F92">
        <w:rPr>
          <w:lang w:val="en-US"/>
        </w:rPr>
        <w:t xml:space="preserve"> </w:t>
      </w:r>
      <w:r w:rsidR="00823F92" w:rsidRPr="008C7CA6">
        <w:rPr>
          <w:lang w:val="en-US"/>
        </w:rPr>
        <w:t>a</w:t>
      </w:r>
      <w:r w:rsidR="00823F92">
        <w:rPr>
          <w:lang w:val="en-US"/>
        </w:rPr>
        <w:t xml:space="preserve"> </w:t>
      </w:r>
      <w:r w:rsidR="008C7CA6" w:rsidRPr="008C7CA6">
        <w:rPr>
          <w:lang w:val="en-US"/>
        </w:rPr>
        <w:t>significan</w:t>
      </w:r>
      <w:r w:rsidR="00823F92" w:rsidRPr="008C7CA6">
        <w:rPr>
          <w:lang w:val="en-US"/>
        </w:rPr>
        <w:t>t</w:t>
      </w:r>
      <w:r w:rsidR="00823F92">
        <w:rPr>
          <w:lang w:val="en-US"/>
        </w:rPr>
        <w:t xml:space="preserve"> </w:t>
      </w:r>
      <w:r w:rsidR="008C7CA6" w:rsidRPr="008C7CA6">
        <w:rPr>
          <w:lang w:val="en-US"/>
        </w:rPr>
        <w:t>caus</w:t>
      </w:r>
      <w:r w:rsidR="00823F92" w:rsidRPr="008C7CA6">
        <w:rPr>
          <w:lang w:val="en-US"/>
        </w:rPr>
        <w:t>e</w:t>
      </w:r>
      <w:r w:rsidR="00823F92">
        <w:rPr>
          <w:lang w:val="en-US"/>
        </w:rPr>
        <w:t xml:space="preserve"> </w:t>
      </w:r>
      <w:r w:rsidR="008C7CA6" w:rsidRPr="008C7CA6">
        <w:rPr>
          <w:lang w:val="en-US"/>
        </w:rPr>
        <w:t>o</w:t>
      </w:r>
      <w:r w:rsidR="00823F92" w:rsidRPr="008C7CA6">
        <w:rPr>
          <w:lang w:val="en-US"/>
        </w:rPr>
        <w:t>f</w:t>
      </w:r>
      <w:r w:rsidR="00823F92">
        <w:rPr>
          <w:lang w:val="en-US"/>
        </w:rPr>
        <w:t xml:space="preserve"> </w:t>
      </w:r>
      <w:r w:rsidR="008C7CA6" w:rsidRPr="008C7CA6">
        <w:rPr>
          <w:lang w:val="en-US"/>
        </w:rPr>
        <w:t>prematur</w:t>
      </w:r>
      <w:r w:rsidR="00823F92" w:rsidRPr="008C7CA6">
        <w:rPr>
          <w:lang w:val="en-US"/>
        </w:rPr>
        <w:t>e</w:t>
      </w:r>
      <w:r w:rsidR="00823F92">
        <w:rPr>
          <w:lang w:val="en-US"/>
        </w:rPr>
        <w:t xml:space="preserve"> </w:t>
      </w:r>
      <w:r w:rsidR="008C7CA6" w:rsidRPr="008C7CA6">
        <w:rPr>
          <w:lang w:val="en-US"/>
        </w:rPr>
        <w:t>deat</w:t>
      </w:r>
      <w:r w:rsidR="00823F92" w:rsidRPr="008C7CA6">
        <w:rPr>
          <w:lang w:val="en-US"/>
        </w:rPr>
        <w:t>h</w:t>
      </w:r>
      <w:r w:rsidR="00823F92">
        <w:rPr>
          <w:lang w:val="en-US"/>
        </w:rPr>
        <w:t xml:space="preserve"> </w:t>
      </w:r>
      <w:r w:rsidR="008C7CA6" w:rsidRPr="008C7CA6">
        <w:rPr>
          <w:lang w:val="en-US"/>
        </w:rPr>
        <w:t>i</w:t>
      </w:r>
      <w:r w:rsidR="00823F92" w:rsidRPr="008C7CA6">
        <w:rPr>
          <w:lang w:val="en-US"/>
        </w:rPr>
        <w:t>n</w:t>
      </w:r>
      <w:r w:rsidR="00823F92">
        <w:rPr>
          <w:lang w:val="en-US"/>
        </w:rPr>
        <w:t xml:space="preserve"> </w:t>
      </w:r>
      <w:r w:rsidR="008C7CA6" w:rsidRPr="008C7CA6">
        <w:rPr>
          <w:lang w:val="en-US"/>
        </w:rPr>
        <w:t>Australia</w:t>
      </w:r>
      <w:r w:rsidR="00823F92">
        <w:rPr>
          <w:lang w:val="en-US"/>
        </w:rPr>
        <w:t xml:space="preserve">, </w:t>
      </w:r>
      <w:r w:rsidR="008C7CA6" w:rsidRPr="008C7CA6">
        <w:rPr>
          <w:lang w:val="en-US"/>
        </w:rPr>
        <w:t>accountin</w:t>
      </w:r>
      <w:r w:rsidR="00823F92" w:rsidRPr="008C7CA6">
        <w:rPr>
          <w:lang w:val="en-US"/>
        </w:rPr>
        <w:t>g</w:t>
      </w:r>
      <w:r w:rsidR="00823F92">
        <w:rPr>
          <w:lang w:val="en-US"/>
        </w:rPr>
        <w:t xml:space="preserve"> </w:t>
      </w:r>
      <w:r w:rsidR="008C7CA6" w:rsidRPr="008C7CA6">
        <w:rPr>
          <w:lang w:val="en-US"/>
        </w:rPr>
        <w:t>fo</w:t>
      </w:r>
      <w:r w:rsidR="00823F92" w:rsidRPr="008C7CA6">
        <w:rPr>
          <w:lang w:val="en-US"/>
        </w:rPr>
        <w:t>r</w:t>
      </w:r>
      <w:r w:rsidR="00823F92">
        <w:rPr>
          <w:lang w:val="en-US"/>
        </w:rPr>
        <w:t xml:space="preserve"> </w:t>
      </w:r>
      <w:r w:rsidR="008C7CA6" w:rsidRPr="008C7CA6">
        <w:rPr>
          <w:lang w:val="en-US"/>
        </w:rPr>
        <w:t>ove</w:t>
      </w:r>
      <w:r w:rsidR="00823F92" w:rsidRPr="008C7CA6">
        <w:rPr>
          <w:lang w:val="en-US"/>
        </w:rPr>
        <w:t>r</w:t>
      </w:r>
      <w:r w:rsidR="00823F92">
        <w:rPr>
          <w:lang w:val="en-US"/>
        </w:rPr>
        <w:t xml:space="preserve"> </w:t>
      </w:r>
      <w:r w:rsidR="008C7CA6" w:rsidRPr="008C7CA6">
        <w:rPr>
          <w:lang w:val="en-US"/>
        </w:rPr>
        <w:t>one-thir</w:t>
      </w:r>
      <w:r w:rsidR="00823F92" w:rsidRPr="008C7CA6">
        <w:rPr>
          <w:lang w:val="en-US"/>
        </w:rPr>
        <w:t>d</w:t>
      </w:r>
      <w:r w:rsidR="00823F92">
        <w:rPr>
          <w:lang w:val="en-US"/>
        </w:rPr>
        <w:t xml:space="preserve"> </w:t>
      </w:r>
      <w:r w:rsidR="008C7CA6" w:rsidRPr="008C7CA6">
        <w:rPr>
          <w:lang w:val="en-US"/>
        </w:rPr>
        <w:t>o</w:t>
      </w:r>
      <w:r w:rsidR="00823F92" w:rsidRPr="008C7CA6">
        <w:rPr>
          <w:lang w:val="en-US"/>
        </w:rPr>
        <w:t>f</w:t>
      </w:r>
      <w:r w:rsidR="00823F92">
        <w:rPr>
          <w:lang w:val="en-US"/>
        </w:rPr>
        <w:t xml:space="preserve"> </w:t>
      </w:r>
      <w:r w:rsidR="008C7CA6" w:rsidRPr="008C7CA6">
        <w:rPr>
          <w:lang w:val="en-US"/>
        </w:rPr>
        <w:t>death</w:t>
      </w:r>
      <w:r w:rsidR="00823F92" w:rsidRPr="008C7CA6">
        <w:rPr>
          <w:lang w:val="en-US"/>
        </w:rPr>
        <w:t>s</w:t>
      </w:r>
      <w:r w:rsidR="00823F92">
        <w:rPr>
          <w:lang w:val="en-US"/>
        </w:rPr>
        <w:t xml:space="preserve"> </w:t>
      </w:r>
      <w:r w:rsidR="008C7CA6" w:rsidRPr="008C7CA6">
        <w:rPr>
          <w:lang w:val="en-US"/>
        </w:rPr>
        <w:t>fo</w:t>
      </w:r>
      <w:r w:rsidR="00823F92" w:rsidRPr="008C7CA6">
        <w:rPr>
          <w:lang w:val="en-US"/>
        </w:rPr>
        <w:t>r</w:t>
      </w:r>
      <w:r w:rsidR="00823F92">
        <w:rPr>
          <w:lang w:val="en-US"/>
        </w:rPr>
        <w:t xml:space="preserve"> </w:t>
      </w:r>
      <w:r w:rsidR="008C7CA6" w:rsidRPr="008C7CA6">
        <w:rPr>
          <w:lang w:val="en-US"/>
        </w:rPr>
        <w:t>peopl</w:t>
      </w:r>
      <w:r w:rsidR="00823F92" w:rsidRPr="008C7CA6">
        <w:rPr>
          <w:lang w:val="en-US"/>
        </w:rPr>
        <w:t>e</w:t>
      </w:r>
      <w:r w:rsidR="00823F92">
        <w:rPr>
          <w:lang w:val="en-US"/>
        </w:rPr>
        <w:t xml:space="preserve"> </w:t>
      </w:r>
      <w:r w:rsidR="008C7CA6" w:rsidRPr="008C7CA6">
        <w:rPr>
          <w:lang w:val="en-US"/>
        </w:rPr>
        <w:t>age</w:t>
      </w:r>
      <w:r w:rsidR="00823F92" w:rsidRPr="008C7CA6">
        <w:rPr>
          <w:lang w:val="en-US"/>
        </w:rPr>
        <w:t>d</w:t>
      </w:r>
      <w:r w:rsidR="00823F92">
        <w:rPr>
          <w:lang w:val="en-US"/>
        </w:rPr>
        <w:t xml:space="preserve"> </w:t>
      </w:r>
      <w:r w:rsidR="008C7CA6" w:rsidRPr="008C7CA6">
        <w:rPr>
          <w:lang w:val="en-US"/>
        </w:rPr>
        <w:t>1</w:t>
      </w:r>
      <w:r w:rsidR="00823F92" w:rsidRPr="008C7CA6">
        <w:rPr>
          <w:lang w:val="en-US"/>
        </w:rPr>
        <w:t>5</w:t>
      </w:r>
      <w:r w:rsidR="00823F92">
        <w:rPr>
          <w:lang w:val="en-US"/>
        </w:rPr>
        <w:t xml:space="preserve"> </w:t>
      </w:r>
      <w:r w:rsidR="008C7CA6" w:rsidRPr="008C7CA6">
        <w:rPr>
          <w:lang w:val="en-US"/>
        </w:rPr>
        <w:t>t</w:t>
      </w:r>
      <w:r w:rsidR="00823F92" w:rsidRPr="008C7CA6">
        <w:rPr>
          <w:lang w:val="en-US"/>
        </w:rPr>
        <w:t>o</w:t>
      </w:r>
      <w:r w:rsidR="00823F92">
        <w:rPr>
          <w:lang w:val="en-US"/>
        </w:rPr>
        <w:t xml:space="preserve"> </w:t>
      </w:r>
      <w:r w:rsidR="008C7CA6" w:rsidRPr="008C7CA6">
        <w:rPr>
          <w:lang w:val="en-US"/>
        </w:rPr>
        <w:t>2</w:t>
      </w:r>
      <w:r w:rsidR="00823F92" w:rsidRPr="008C7CA6">
        <w:rPr>
          <w:lang w:val="en-US"/>
        </w:rPr>
        <w:t>4</w:t>
      </w:r>
      <w:r w:rsidR="00823F92">
        <w:rPr>
          <w:lang w:val="en-US"/>
        </w:rPr>
        <w:t xml:space="preserve"> </w:t>
      </w:r>
      <w:r w:rsidR="008C7CA6" w:rsidRPr="008C7CA6">
        <w:rPr>
          <w:lang w:val="en-US"/>
        </w:rPr>
        <w:t>years.</w:t>
      </w:r>
      <w:r w:rsidR="00FE74A2">
        <w:rPr>
          <w:rStyle w:val="FootnoteReference"/>
          <w:lang w:val="en-US"/>
        </w:rPr>
        <w:footnoteReference w:id="5"/>
      </w:r>
    </w:p>
    <w:p w14:paraId="2F9C9DC7" w14:textId="34099A51" w:rsidR="00997BCC" w:rsidRPr="006C4490" w:rsidRDefault="00997BCC" w:rsidP="009D4B1F">
      <w:pPr>
        <w:pStyle w:val="BodyText"/>
        <w:rPr>
          <w:lang w:val="en-US"/>
        </w:rPr>
      </w:pPr>
      <w:r w:rsidRPr="006C4490">
        <w:rPr>
          <w:lang w:val="en-US"/>
        </w:rPr>
        <w:t>Th</w:t>
      </w:r>
      <w:r w:rsidR="00823F92" w:rsidRPr="006C4490">
        <w:rPr>
          <w:lang w:val="en-US"/>
        </w:rPr>
        <w:t>e</w:t>
      </w:r>
      <w:r w:rsidR="00823F92">
        <w:rPr>
          <w:lang w:val="en-US"/>
        </w:rPr>
        <w:t xml:space="preserve"> </w:t>
      </w:r>
      <w:r w:rsidRPr="006C4490">
        <w:rPr>
          <w:lang w:val="en-US"/>
        </w:rPr>
        <w:t>severit</w:t>
      </w:r>
      <w:r w:rsidR="00823F92" w:rsidRPr="006C4490">
        <w:rPr>
          <w:lang w:val="en-US"/>
        </w:rPr>
        <w:t>y</w:t>
      </w:r>
      <w:r w:rsidR="00823F92">
        <w:rPr>
          <w:lang w:val="en-US"/>
        </w:rPr>
        <w:t xml:space="preserve"> </w:t>
      </w:r>
      <w:r w:rsidRPr="006C4490">
        <w:rPr>
          <w:lang w:val="en-US"/>
        </w:rPr>
        <w:t>o</w:t>
      </w:r>
      <w:r w:rsidR="00823F92" w:rsidRPr="006C4490">
        <w:rPr>
          <w:lang w:val="en-US"/>
        </w:rPr>
        <w:t>f</w:t>
      </w:r>
      <w:r w:rsidR="00823F92">
        <w:rPr>
          <w:lang w:val="en-US"/>
        </w:rPr>
        <w:t xml:space="preserve"> </w:t>
      </w:r>
      <w:r w:rsidRPr="006C4490">
        <w:rPr>
          <w:lang w:val="en-US"/>
        </w:rPr>
        <w:t>thes</w:t>
      </w:r>
      <w:r w:rsidR="00823F92" w:rsidRPr="006C4490">
        <w:rPr>
          <w:lang w:val="en-US"/>
        </w:rPr>
        <w:t>e</w:t>
      </w:r>
      <w:r w:rsidR="00823F92">
        <w:rPr>
          <w:lang w:val="en-US"/>
        </w:rPr>
        <w:t xml:space="preserve"> </w:t>
      </w:r>
      <w:r w:rsidRPr="006C4490">
        <w:rPr>
          <w:lang w:val="en-US"/>
        </w:rPr>
        <w:t>condition</w:t>
      </w:r>
      <w:r w:rsidR="00823F92" w:rsidRPr="006C4490">
        <w:rPr>
          <w:lang w:val="en-US"/>
        </w:rPr>
        <w:t>s</w:t>
      </w:r>
      <w:r w:rsidR="00823F92">
        <w:rPr>
          <w:lang w:val="en-US"/>
        </w:rPr>
        <w:t xml:space="preserve"> </w:t>
      </w:r>
      <w:r w:rsidRPr="006C4490">
        <w:rPr>
          <w:lang w:val="en-US"/>
        </w:rPr>
        <w:t>varie</w:t>
      </w:r>
      <w:r w:rsidR="00823F92" w:rsidRPr="006C4490">
        <w:rPr>
          <w:lang w:val="en-US"/>
        </w:rPr>
        <w:t>s</w:t>
      </w:r>
      <w:r w:rsidR="00823F92">
        <w:rPr>
          <w:lang w:val="en-US"/>
        </w:rPr>
        <w:t xml:space="preserve"> </w:t>
      </w:r>
      <w:r w:rsidRPr="006C4490">
        <w:rPr>
          <w:lang w:val="en-US"/>
        </w:rPr>
        <w:t>widely</w:t>
      </w:r>
      <w:r w:rsidR="00823F92" w:rsidRPr="006C4490">
        <w:rPr>
          <w:lang w:val="en-US"/>
        </w:rPr>
        <w:t>.</w:t>
      </w:r>
      <w:r w:rsidR="00823F92">
        <w:rPr>
          <w:lang w:val="en-US"/>
        </w:rPr>
        <w:t xml:space="preserve"> </w:t>
      </w:r>
      <w:r w:rsidRPr="006C4490">
        <w:rPr>
          <w:lang w:val="en-US"/>
        </w:rPr>
        <w:t>I</w:t>
      </w:r>
      <w:r w:rsidR="00823F92" w:rsidRPr="006C4490">
        <w:rPr>
          <w:lang w:val="en-US"/>
        </w:rPr>
        <w:t>n</w:t>
      </w:r>
      <w:r w:rsidR="00823F92">
        <w:rPr>
          <w:lang w:val="en-US"/>
        </w:rPr>
        <w:t xml:space="preserve"> </w:t>
      </w:r>
      <w:r w:rsidRPr="006C4490">
        <w:rPr>
          <w:lang w:val="en-US"/>
        </w:rPr>
        <w:t>Australia</w:t>
      </w:r>
      <w:r w:rsidR="00823F92" w:rsidRPr="006C4490">
        <w:rPr>
          <w:lang w:val="en-US"/>
        </w:rPr>
        <w:t>,</w:t>
      </w:r>
      <w:r w:rsidR="00823F92">
        <w:rPr>
          <w:lang w:val="en-US"/>
        </w:rPr>
        <w:t xml:space="preserve"> </w:t>
      </w:r>
      <w:r w:rsidRPr="006C4490">
        <w:rPr>
          <w:lang w:val="en-US"/>
        </w:rPr>
        <w:t>mos</w:t>
      </w:r>
      <w:r w:rsidR="00823F92" w:rsidRPr="006C4490">
        <w:rPr>
          <w:lang w:val="en-US"/>
        </w:rPr>
        <w:t>t</w:t>
      </w:r>
      <w:r w:rsidR="00823F92">
        <w:rPr>
          <w:lang w:val="en-US"/>
        </w:rPr>
        <w:t xml:space="preserve"> </w:t>
      </w:r>
      <w:r w:rsidRPr="006C4490">
        <w:rPr>
          <w:lang w:val="en-US"/>
        </w:rPr>
        <w:t>peopl</w:t>
      </w:r>
      <w:r w:rsidR="00823F92" w:rsidRPr="006C4490">
        <w:rPr>
          <w:lang w:val="en-US"/>
        </w:rPr>
        <w:t>e</w:t>
      </w:r>
      <w:r w:rsidR="00823F92">
        <w:rPr>
          <w:lang w:val="en-US"/>
        </w:rPr>
        <w:t xml:space="preserve"> </w:t>
      </w:r>
      <w:r w:rsidRPr="006C4490">
        <w:rPr>
          <w:lang w:val="en-US"/>
        </w:rPr>
        <w:t>wit</w:t>
      </w:r>
      <w:r w:rsidR="00823F92" w:rsidRPr="006C4490">
        <w:rPr>
          <w:lang w:val="en-US"/>
        </w:rPr>
        <w:t>h</w:t>
      </w:r>
      <w:r w:rsidR="00823F92">
        <w:rPr>
          <w:lang w:val="en-US"/>
        </w:rPr>
        <w:t xml:space="preserve"> </w:t>
      </w:r>
      <w:r w:rsidRPr="006C4490">
        <w:rPr>
          <w:lang w:val="en-US"/>
        </w:rPr>
        <w:t>menta</w:t>
      </w:r>
      <w:r w:rsidR="00823F92" w:rsidRPr="006C4490">
        <w:rPr>
          <w:lang w:val="en-US"/>
        </w:rPr>
        <w:t>l</w:t>
      </w:r>
      <w:r w:rsidR="00823F92">
        <w:rPr>
          <w:lang w:val="en-US"/>
        </w:rPr>
        <w:t xml:space="preserve"> </w:t>
      </w:r>
      <w:r w:rsidRPr="006C4490">
        <w:rPr>
          <w:lang w:val="en-US"/>
        </w:rPr>
        <w:t>ill-healt</w:t>
      </w:r>
      <w:r w:rsidR="00823F92" w:rsidRPr="006C4490">
        <w:rPr>
          <w:lang w:val="en-US"/>
        </w:rPr>
        <w:t>h</w:t>
      </w:r>
      <w:r w:rsidR="00823F92">
        <w:rPr>
          <w:lang w:val="en-US"/>
        </w:rPr>
        <w:t xml:space="preserve"> </w:t>
      </w:r>
      <w:r w:rsidRPr="006C4490">
        <w:rPr>
          <w:lang w:val="en-US"/>
        </w:rPr>
        <w:t>experienc</w:t>
      </w:r>
      <w:r w:rsidR="00823F92" w:rsidRPr="006C4490">
        <w:rPr>
          <w:lang w:val="en-US"/>
        </w:rPr>
        <w:t>e</w:t>
      </w:r>
      <w:r w:rsidR="00823F92">
        <w:rPr>
          <w:lang w:val="en-US"/>
        </w:rPr>
        <w:t xml:space="preserve"> </w:t>
      </w:r>
      <w:r w:rsidRPr="006C4490">
        <w:rPr>
          <w:lang w:val="en-US"/>
        </w:rPr>
        <w:t>mil</w:t>
      </w:r>
      <w:r w:rsidR="00823F92" w:rsidRPr="006C4490">
        <w:rPr>
          <w:lang w:val="en-US"/>
        </w:rPr>
        <w:t>d</w:t>
      </w:r>
      <w:r w:rsidR="00823F92">
        <w:rPr>
          <w:lang w:val="en-US"/>
        </w:rPr>
        <w:t xml:space="preserve"> </w:t>
      </w:r>
      <w:r w:rsidRPr="006C4490">
        <w:rPr>
          <w:lang w:val="en-US"/>
        </w:rPr>
        <w:t>(2.</w:t>
      </w:r>
      <w:r w:rsidR="00823F92" w:rsidRPr="006C4490">
        <w:rPr>
          <w:lang w:val="en-US"/>
        </w:rPr>
        <w:t>3</w:t>
      </w:r>
      <w:r w:rsidR="00823F92">
        <w:rPr>
          <w:lang w:val="en-US"/>
        </w:rPr>
        <w:t xml:space="preserve"> </w:t>
      </w:r>
      <w:r w:rsidRPr="006C4490">
        <w:rPr>
          <w:lang w:val="en-US"/>
        </w:rPr>
        <w:t>million) o</w:t>
      </w:r>
      <w:r w:rsidR="00823F92" w:rsidRPr="006C4490">
        <w:rPr>
          <w:lang w:val="en-US"/>
        </w:rPr>
        <w:t>r</w:t>
      </w:r>
      <w:r w:rsidR="00823F92">
        <w:rPr>
          <w:lang w:val="en-US"/>
        </w:rPr>
        <w:t xml:space="preserve"> </w:t>
      </w:r>
      <w:r w:rsidRPr="006C4490">
        <w:rPr>
          <w:lang w:val="en-US"/>
        </w:rPr>
        <w:t>moderat</w:t>
      </w:r>
      <w:r w:rsidR="00823F92" w:rsidRPr="006C4490">
        <w:rPr>
          <w:lang w:val="en-US"/>
        </w:rPr>
        <w:t>e</w:t>
      </w:r>
      <w:r w:rsidR="00823F92">
        <w:rPr>
          <w:lang w:val="en-US"/>
        </w:rPr>
        <w:t xml:space="preserve"> </w:t>
      </w:r>
      <w:r w:rsidRPr="006C4490">
        <w:rPr>
          <w:lang w:val="en-US"/>
        </w:rPr>
        <w:t>(1.</w:t>
      </w:r>
      <w:r w:rsidR="00823F92" w:rsidRPr="006C4490">
        <w:rPr>
          <w:lang w:val="en-US"/>
        </w:rPr>
        <w:t>2</w:t>
      </w:r>
      <w:r w:rsidR="00823F92">
        <w:rPr>
          <w:lang w:val="en-US"/>
        </w:rPr>
        <w:t xml:space="preserve"> </w:t>
      </w:r>
      <w:r w:rsidRPr="006C4490">
        <w:rPr>
          <w:lang w:val="en-US"/>
        </w:rPr>
        <w:t>million) symptoms</w:t>
      </w:r>
      <w:r w:rsidR="00823F92" w:rsidRPr="006C4490">
        <w:rPr>
          <w:lang w:val="en-US"/>
        </w:rPr>
        <w:t>,</w:t>
      </w:r>
      <w:r w:rsidR="00823F92">
        <w:rPr>
          <w:lang w:val="en-US"/>
        </w:rPr>
        <w:t xml:space="preserve"> </w:t>
      </w:r>
      <w:r w:rsidRPr="006C4490">
        <w:rPr>
          <w:lang w:val="en-US"/>
        </w:rPr>
        <w:t>wit</w:t>
      </w:r>
      <w:r w:rsidR="00823F92" w:rsidRPr="006C4490">
        <w:rPr>
          <w:lang w:val="en-US"/>
        </w:rPr>
        <w:t>h</w:t>
      </w:r>
      <w:r w:rsidR="00823F92">
        <w:rPr>
          <w:lang w:val="en-US"/>
        </w:rPr>
        <w:t xml:space="preserve"> </w:t>
      </w:r>
      <w:r w:rsidR="00823F92" w:rsidRPr="006C4490">
        <w:rPr>
          <w:lang w:val="en-US"/>
        </w:rPr>
        <w:t>a</w:t>
      </w:r>
      <w:r w:rsidR="00823F92">
        <w:rPr>
          <w:lang w:val="en-US"/>
        </w:rPr>
        <w:t xml:space="preserve"> </w:t>
      </w:r>
      <w:r w:rsidRPr="006C4490">
        <w:rPr>
          <w:lang w:val="en-US"/>
        </w:rPr>
        <w:t>smalle</w:t>
      </w:r>
      <w:r w:rsidR="00823F92" w:rsidRPr="006C4490">
        <w:rPr>
          <w:lang w:val="en-US"/>
        </w:rPr>
        <w:t>r</w:t>
      </w:r>
      <w:r w:rsidR="00823F92">
        <w:rPr>
          <w:lang w:val="en-US"/>
        </w:rPr>
        <w:t xml:space="preserve"> </w:t>
      </w:r>
      <w:r w:rsidRPr="006C4490">
        <w:rPr>
          <w:lang w:val="en-US"/>
        </w:rPr>
        <w:t>proportio</w:t>
      </w:r>
      <w:r w:rsidR="00823F92" w:rsidRPr="006C4490">
        <w:rPr>
          <w:lang w:val="en-US"/>
        </w:rPr>
        <w:t>n</w:t>
      </w:r>
      <w:r w:rsidR="00823F92">
        <w:rPr>
          <w:lang w:val="en-US"/>
        </w:rPr>
        <w:t xml:space="preserve"> </w:t>
      </w:r>
      <w:r w:rsidRPr="006C4490">
        <w:rPr>
          <w:lang w:val="en-US"/>
        </w:rPr>
        <w:t>experiencin</w:t>
      </w:r>
      <w:r w:rsidR="00823F92" w:rsidRPr="006C4490">
        <w:rPr>
          <w:lang w:val="en-US"/>
        </w:rPr>
        <w:t>g</w:t>
      </w:r>
      <w:r w:rsidR="00823F92">
        <w:rPr>
          <w:lang w:val="en-US"/>
        </w:rPr>
        <w:t xml:space="preserve"> </w:t>
      </w:r>
      <w:r w:rsidRPr="006C4490">
        <w:rPr>
          <w:lang w:val="en-US"/>
        </w:rPr>
        <w:t>sever</w:t>
      </w:r>
      <w:r w:rsidR="00823F92" w:rsidRPr="006C4490">
        <w:rPr>
          <w:lang w:val="en-US"/>
        </w:rPr>
        <w:t>e</w:t>
      </w:r>
      <w:r w:rsidR="00823F92">
        <w:rPr>
          <w:lang w:val="en-US"/>
        </w:rPr>
        <w:t xml:space="preserve"> </w:t>
      </w:r>
      <w:r w:rsidRPr="006C4490">
        <w:rPr>
          <w:lang w:val="en-US"/>
        </w:rPr>
        <w:t>menta</w:t>
      </w:r>
      <w:r w:rsidR="00823F92" w:rsidRPr="006C4490">
        <w:rPr>
          <w:lang w:val="en-US"/>
        </w:rPr>
        <w:t>l</w:t>
      </w:r>
      <w:r w:rsidR="00823F92">
        <w:rPr>
          <w:lang w:val="en-US"/>
        </w:rPr>
        <w:t xml:space="preserve"> </w:t>
      </w:r>
      <w:r w:rsidRPr="006C4490">
        <w:rPr>
          <w:lang w:val="en-US"/>
        </w:rPr>
        <w:t>ill-healt</w:t>
      </w:r>
      <w:r w:rsidR="00823F92" w:rsidRPr="006C4490">
        <w:rPr>
          <w:lang w:val="en-US"/>
        </w:rPr>
        <w:t>h</w:t>
      </w:r>
      <w:r w:rsidR="00823F92">
        <w:rPr>
          <w:lang w:val="en-US"/>
        </w:rPr>
        <w:t xml:space="preserve"> </w:t>
      </w:r>
      <w:r w:rsidRPr="006C4490">
        <w:rPr>
          <w:lang w:val="en-US"/>
        </w:rPr>
        <w:t>(0.</w:t>
      </w:r>
      <w:r w:rsidR="00823F92" w:rsidRPr="006C4490">
        <w:rPr>
          <w:lang w:val="en-US"/>
        </w:rPr>
        <w:t>8</w:t>
      </w:r>
      <w:r w:rsidR="00823F92">
        <w:rPr>
          <w:lang w:val="en-US"/>
        </w:rPr>
        <w:t xml:space="preserve"> </w:t>
      </w:r>
      <w:r w:rsidRPr="006C4490">
        <w:rPr>
          <w:lang w:val="en-US"/>
        </w:rPr>
        <w:t>million).</w:t>
      </w:r>
      <w:r w:rsidRPr="006C4490">
        <w:rPr>
          <w:rStyle w:val="FootnoteReference"/>
          <w:lang w:val="en-US"/>
        </w:rPr>
        <w:footnoteReference w:id="6"/>
      </w:r>
      <w:r w:rsidRPr="006C4490">
        <w:rPr>
          <w:lang w:val="en-US"/>
        </w:rPr>
        <w:t xml:space="preserve"> Ther</w:t>
      </w:r>
      <w:r w:rsidR="00823F92" w:rsidRPr="006C4490">
        <w:rPr>
          <w:lang w:val="en-US"/>
        </w:rPr>
        <w:t>e</w:t>
      </w:r>
      <w:r w:rsidR="00823F92">
        <w:rPr>
          <w:lang w:val="en-US"/>
        </w:rPr>
        <w:t xml:space="preserve"> </w:t>
      </w:r>
      <w:r w:rsidRPr="006C4490">
        <w:rPr>
          <w:lang w:val="en-US"/>
        </w:rPr>
        <w:t>i</w:t>
      </w:r>
      <w:r w:rsidR="00823F92" w:rsidRPr="006C4490">
        <w:rPr>
          <w:lang w:val="en-US"/>
        </w:rPr>
        <w:t>s</w:t>
      </w:r>
      <w:r w:rsidR="00823F92">
        <w:rPr>
          <w:lang w:val="en-US"/>
        </w:rPr>
        <w:t xml:space="preserve"> </w:t>
      </w:r>
      <w:r w:rsidRPr="006C4490">
        <w:rPr>
          <w:lang w:val="en-US"/>
        </w:rPr>
        <w:t>als</w:t>
      </w:r>
      <w:r w:rsidR="00823F92" w:rsidRPr="006C4490">
        <w:rPr>
          <w:lang w:val="en-US"/>
        </w:rPr>
        <w:t>o</w:t>
      </w:r>
      <w:r w:rsidR="00823F92">
        <w:rPr>
          <w:lang w:val="en-US"/>
        </w:rPr>
        <w:t xml:space="preserve"> </w:t>
      </w:r>
      <w:r w:rsidR="00823F92" w:rsidRPr="006C4490">
        <w:rPr>
          <w:lang w:val="en-US"/>
        </w:rPr>
        <w:t>a</w:t>
      </w:r>
      <w:r w:rsidR="00823F92">
        <w:rPr>
          <w:lang w:val="en-US"/>
        </w:rPr>
        <w:t xml:space="preserve"> </w:t>
      </w:r>
      <w:r w:rsidRPr="006C4490">
        <w:rPr>
          <w:lang w:val="en-US"/>
        </w:rPr>
        <w:t>significan</w:t>
      </w:r>
      <w:r w:rsidR="00823F92" w:rsidRPr="006C4490">
        <w:rPr>
          <w:lang w:val="en-US"/>
        </w:rPr>
        <w:t>t</w:t>
      </w:r>
      <w:r w:rsidR="00823F92">
        <w:rPr>
          <w:lang w:val="en-US"/>
        </w:rPr>
        <w:t xml:space="preserve"> </w:t>
      </w:r>
      <w:r w:rsidRPr="006C4490">
        <w:rPr>
          <w:lang w:val="en-US"/>
        </w:rPr>
        <w:t>proportio</w:t>
      </w:r>
      <w:r w:rsidR="00823F92" w:rsidRPr="006C4490">
        <w:rPr>
          <w:lang w:val="en-US"/>
        </w:rPr>
        <w:t>n</w:t>
      </w:r>
      <w:r w:rsidR="00823F92">
        <w:rPr>
          <w:lang w:val="en-US"/>
        </w:rPr>
        <w:t xml:space="preserve"> </w:t>
      </w:r>
      <w:r w:rsidRPr="006C4490">
        <w:rPr>
          <w:lang w:val="en-US"/>
        </w:rPr>
        <w:t>o</w:t>
      </w:r>
      <w:r w:rsidR="00823F92" w:rsidRPr="006C4490">
        <w:rPr>
          <w:lang w:val="en-US"/>
        </w:rPr>
        <w:t>f</w:t>
      </w:r>
      <w:r w:rsidR="00823F92">
        <w:rPr>
          <w:lang w:val="en-US"/>
        </w:rPr>
        <w:t xml:space="preserve"> </w:t>
      </w:r>
      <w:r w:rsidRPr="006C4490">
        <w:rPr>
          <w:lang w:val="en-US"/>
        </w:rPr>
        <w:t>peopl</w:t>
      </w:r>
      <w:r w:rsidR="00823F92" w:rsidRPr="006C4490">
        <w:rPr>
          <w:lang w:val="en-US"/>
        </w:rPr>
        <w:t>e</w:t>
      </w:r>
      <w:r w:rsidR="00823F92">
        <w:rPr>
          <w:lang w:val="en-US"/>
        </w:rPr>
        <w:t xml:space="preserve"> </w:t>
      </w:r>
      <w:r w:rsidRPr="006C4490">
        <w:rPr>
          <w:lang w:val="en-US"/>
        </w:rPr>
        <w:t>a</w:t>
      </w:r>
      <w:r w:rsidR="00823F92" w:rsidRPr="006C4490">
        <w:rPr>
          <w:lang w:val="en-US"/>
        </w:rPr>
        <w:t>t</w:t>
      </w:r>
      <w:r w:rsidR="00823F92">
        <w:rPr>
          <w:lang w:val="en-US"/>
        </w:rPr>
        <w:t xml:space="preserve"> </w:t>
      </w:r>
      <w:r w:rsidRPr="006C4490">
        <w:rPr>
          <w:lang w:val="en-US"/>
        </w:rPr>
        <w:t>ris</w:t>
      </w:r>
      <w:r w:rsidR="00823F92" w:rsidRPr="006C4490">
        <w:rPr>
          <w:lang w:val="en-US"/>
        </w:rPr>
        <w:t>k</w:t>
      </w:r>
      <w:r w:rsidR="00823F92">
        <w:rPr>
          <w:lang w:val="en-US"/>
        </w:rPr>
        <w:t xml:space="preserve"> </w:t>
      </w:r>
      <w:r w:rsidRPr="006C4490">
        <w:rPr>
          <w:lang w:val="en-US"/>
        </w:rPr>
        <w:t>o</w:t>
      </w:r>
      <w:r w:rsidR="00823F92" w:rsidRPr="006C4490">
        <w:rPr>
          <w:lang w:val="en-US"/>
        </w:rPr>
        <w:t>f</w:t>
      </w:r>
      <w:r w:rsidR="00823F92">
        <w:rPr>
          <w:lang w:val="en-US"/>
        </w:rPr>
        <w:t xml:space="preserve"> </w:t>
      </w:r>
      <w:r w:rsidRPr="006C4490">
        <w:rPr>
          <w:lang w:val="en-US"/>
        </w:rPr>
        <w:t>menta</w:t>
      </w:r>
      <w:r w:rsidR="00823F92" w:rsidRPr="006C4490">
        <w:rPr>
          <w:lang w:val="en-US"/>
        </w:rPr>
        <w:t>l</w:t>
      </w:r>
      <w:r w:rsidR="00823F92">
        <w:rPr>
          <w:lang w:val="en-US"/>
        </w:rPr>
        <w:t xml:space="preserve"> </w:t>
      </w:r>
      <w:r w:rsidRPr="006C4490">
        <w:rPr>
          <w:lang w:val="en-US"/>
        </w:rPr>
        <w:t>ill-healt</w:t>
      </w:r>
      <w:r w:rsidR="00823F92" w:rsidRPr="006C4490">
        <w:rPr>
          <w:lang w:val="en-US"/>
        </w:rPr>
        <w:t>h</w:t>
      </w:r>
      <w:r w:rsidR="00823F92">
        <w:rPr>
          <w:lang w:val="en-US"/>
        </w:rPr>
        <w:t xml:space="preserve"> </w:t>
      </w:r>
      <w:r w:rsidRPr="006C4490">
        <w:rPr>
          <w:lang w:val="en-US"/>
        </w:rPr>
        <w:t>presentin</w:t>
      </w:r>
      <w:r w:rsidR="00823F92" w:rsidRPr="006C4490">
        <w:rPr>
          <w:lang w:val="en-US"/>
        </w:rPr>
        <w:t>g</w:t>
      </w:r>
      <w:r w:rsidR="00823F92">
        <w:rPr>
          <w:lang w:val="en-US"/>
        </w:rPr>
        <w:t xml:space="preserve"> </w:t>
      </w:r>
      <w:r w:rsidRPr="006C4490">
        <w:rPr>
          <w:lang w:val="en-US"/>
        </w:rPr>
        <w:t>wit</w:t>
      </w:r>
      <w:r w:rsidR="00823F92" w:rsidRPr="006C4490">
        <w:rPr>
          <w:lang w:val="en-US"/>
        </w:rPr>
        <w:t>h</w:t>
      </w:r>
      <w:r w:rsidR="00823F92">
        <w:rPr>
          <w:lang w:val="en-US"/>
        </w:rPr>
        <w:t xml:space="preserve"> </w:t>
      </w:r>
      <w:r w:rsidRPr="006C4490">
        <w:rPr>
          <w:lang w:val="en-US"/>
        </w:rPr>
        <w:t>emergin</w:t>
      </w:r>
      <w:r w:rsidR="00823F92" w:rsidRPr="006C4490">
        <w:rPr>
          <w:lang w:val="en-US"/>
        </w:rPr>
        <w:t>g</w:t>
      </w:r>
      <w:r w:rsidR="00823F92">
        <w:rPr>
          <w:lang w:val="en-US"/>
        </w:rPr>
        <w:t xml:space="preserve"> </w:t>
      </w:r>
      <w:r w:rsidRPr="006C4490">
        <w:rPr>
          <w:lang w:val="en-US"/>
        </w:rPr>
        <w:t>symptom</w:t>
      </w:r>
      <w:r w:rsidR="00823F92" w:rsidRPr="006C4490">
        <w:rPr>
          <w:lang w:val="en-US"/>
        </w:rPr>
        <w:t>s</w:t>
      </w:r>
      <w:r w:rsidR="00823F92">
        <w:rPr>
          <w:lang w:val="en-US"/>
        </w:rPr>
        <w:t xml:space="preserve"> </w:t>
      </w:r>
      <w:r w:rsidRPr="006C4490">
        <w:rPr>
          <w:lang w:val="en-US"/>
        </w:rPr>
        <w:t>(5.</w:t>
      </w:r>
      <w:r w:rsidR="00823F92" w:rsidRPr="006C4490">
        <w:rPr>
          <w:lang w:val="en-US"/>
        </w:rPr>
        <w:t>9</w:t>
      </w:r>
      <w:r w:rsidR="00823F92">
        <w:rPr>
          <w:lang w:val="en-US"/>
        </w:rPr>
        <w:t xml:space="preserve"> </w:t>
      </w:r>
      <w:r w:rsidRPr="006C4490">
        <w:rPr>
          <w:lang w:val="en-US"/>
        </w:rPr>
        <w:t>million)</w:t>
      </w:r>
      <w:r w:rsidR="00823F92" w:rsidRPr="006C4490">
        <w:rPr>
          <w:lang w:val="en-US"/>
        </w:rPr>
        <w:t>.</w:t>
      </w:r>
      <w:r w:rsidR="00823F92">
        <w:rPr>
          <w:lang w:val="en-US"/>
        </w:rPr>
        <w:t xml:space="preserve"> </w:t>
      </w:r>
    </w:p>
    <w:p w14:paraId="265D9CEF" w14:textId="07DA88F1" w:rsidR="00997BCC" w:rsidRDefault="00997BCC" w:rsidP="009D4B1F">
      <w:pPr>
        <w:pStyle w:val="BodyText"/>
        <w:rPr>
          <w:lang w:val="en-US"/>
        </w:rPr>
      </w:pPr>
      <w:r w:rsidRPr="006C4490">
        <w:rPr>
          <w:lang w:val="en-US"/>
        </w:rPr>
        <w:t>Th</w:t>
      </w:r>
      <w:r w:rsidR="00823F92" w:rsidRPr="006C4490">
        <w:rPr>
          <w:lang w:val="en-US"/>
        </w:rPr>
        <w:t>e</w:t>
      </w:r>
      <w:r w:rsidR="00823F92">
        <w:rPr>
          <w:lang w:val="en-US"/>
        </w:rPr>
        <w:t xml:space="preserve"> </w:t>
      </w:r>
      <w:r w:rsidRPr="006C4490">
        <w:rPr>
          <w:lang w:val="en-US"/>
        </w:rPr>
        <w:t>leve</w:t>
      </w:r>
      <w:r w:rsidR="00823F92" w:rsidRPr="006C4490">
        <w:rPr>
          <w:lang w:val="en-US"/>
        </w:rPr>
        <w:t>l</w:t>
      </w:r>
      <w:r w:rsidR="00823F92">
        <w:rPr>
          <w:lang w:val="en-US"/>
        </w:rPr>
        <w:t xml:space="preserve"> </w:t>
      </w:r>
      <w:r w:rsidRPr="006C4490">
        <w:rPr>
          <w:lang w:val="en-US"/>
        </w:rPr>
        <w:t>o</w:t>
      </w:r>
      <w:r w:rsidR="00823F92" w:rsidRPr="006C4490">
        <w:rPr>
          <w:lang w:val="en-US"/>
        </w:rPr>
        <w:t>f</w:t>
      </w:r>
      <w:r w:rsidR="00823F92">
        <w:rPr>
          <w:lang w:val="en-US"/>
        </w:rPr>
        <w:t xml:space="preserve"> </w:t>
      </w:r>
      <w:r w:rsidR="005966BD">
        <w:rPr>
          <w:lang w:val="en-US"/>
        </w:rPr>
        <w:t>suppor</w:t>
      </w:r>
      <w:r w:rsidR="00823F92">
        <w:rPr>
          <w:lang w:val="en-US"/>
        </w:rPr>
        <w:t xml:space="preserve">t </w:t>
      </w:r>
      <w:r w:rsidR="005966BD">
        <w:rPr>
          <w:lang w:val="en-US"/>
        </w:rPr>
        <w:t>an</w:t>
      </w:r>
      <w:r w:rsidR="00823F92">
        <w:rPr>
          <w:lang w:val="en-US"/>
        </w:rPr>
        <w:t xml:space="preserve">d </w:t>
      </w:r>
      <w:r w:rsidR="005966BD">
        <w:rPr>
          <w:lang w:val="en-US"/>
        </w:rPr>
        <w:t>treatmen</w:t>
      </w:r>
      <w:r w:rsidR="00823F92">
        <w:rPr>
          <w:lang w:val="en-US"/>
        </w:rPr>
        <w:t xml:space="preserve">t </w:t>
      </w:r>
      <w:r w:rsidRPr="006C4490">
        <w:rPr>
          <w:lang w:val="en-US"/>
        </w:rPr>
        <w:t>neede</w:t>
      </w:r>
      <w:r w:rsidR="00823F92" w:rsidRPr="006C4490">
        <w:rPr>
          <w:lang w:val="en-US"/>
        </w:rPr>
        <w:t>d</w:t>
      </w:r>
      <w:r w:rsidR="00823F92">
        <w:rPr>
          <w:lang w:val="en-US"/>
        </w:rPr>
        <w:t xml:space="preserve"> </w:t>
      </w:r>
      <w:r w:rsidRPr="006C4490">
        <w:rPr>
          <w:lang w:val="en-US"/>
        </w:rPr>
        <w:t>varie</w:t>
      </w:r>
      <w:r w:rsidR="00823F92" w:rsidRPr="006C4490">
        <w:rPr>
          <w:lang w:val="en-US"/>
        </w:rPr>
        <w:t>s</w:t>
      </w:r>
      <w:r w:rsidR="00823F92">
        <w:rPr>
          <w:lang w:val="en-US"/>
        </w:rPr>
        <w:t xml:space="preserve"> </w:t>
      </w:r>
      <w:r w:rsidRPr="006C4490">
        <w:rPr>
          <w:lang w:val="en-US"/>
        </w:rPr>
        <w:t>wit</w:t>
      </w:r>
      <w:r w:rsidR="00823F92" w:rsidRPr="006C4490">
        <w:rPr>
          <w:lang w:val="en-US"/>
        </w:rPr>
        <w:t>h</w:t>
      </w:r>
      <w:r w:rsidR="00823F92">
        <w:rPr>
          <w:lang w:val="en-US"/>
        </w:rPr>
        <w:t xml:space="preserve"> </w:t>
      </w:r>
      <w:r w:rsidRPr="006C4490">
        <w:rPr>
          <w:lang w:val="en-US"/>
        </w:rPr>
        <w:t>th</w:t>
      </w:r>
      <w:r w:rsidR="00823F92" w:rsidRPr="006C4490">
        <w:rPr>
          <w:lang w:val="en-US"/>
        </w:rPr>
        <w:t>e</w:t>
      </w:r>
      <w:r w:rsidR="00823F92">
        <w:rPr>
          <w:lang w:val="en-US"/>
        </w:rPr>
        <w:t xml:space="preserve"> </w:t>
      </w:r>
      <w:r w:rsidRPr="006C4490">
        <w:rPr>
          <w:lang w:val="en-US"/>
        </w:rPr>
        <w:t>effect</w:t>
      </w:r>
      <w:r w:rsidR="00823F92" w:rsidRPr="006C4490">
        <w:rPr>
          <w:lang w:val="en-US"/>
        </w:rPr>
        <w:t>s</w:t>
      </w:r>
      <w:r w:rsidR="00823F92">
        <w:rPr>
          <w:lang w:val="en-US"/>
        </w:rPr>
        <w:t xml:space="preserve"> </w:t>
      </w:r>
      <w:r w:rsidRPr="006C4490">
        <w:rPr>
          <w:lang w:val="en-US"/>
        </w:rPr>
        <w:t>an</w:t>
      </w:r>
      <w:r w:rsidR="00823F92" w:rsidRPr="006C4490">
        <w:rPr>
          <w:lang w:val="en-US"/>
        </w:rPr>
        <w:t>d</w:t>
      </w:r>
      <w:r w:rsidR="00823F92">
        <w:rPr>
          <w:lang w:val="en-US"/>
        </w:rPr>
        <w:t xml:space="preserve"> </w:t>
      </w:r>
      <w:r w:rsidRPr="006C4490">
        <w:rPr>
          <w:lang w:val="en-US"/>
        </w:rPr>
        <w:t>severit</w:t>
      </w:r>
      <w:r w:rsidR="00823F92" w:rsidRPr="006C4490">
        <w:rPr>
          <w:lang w:val="en-US"/>
        </w:rPr>
        <w:t>y</w:t>
      </w:r>
      <w:r w:rsidR="00823F92">
        <w:rPr>
          <w:lang w:val="en-US"/>
        </w:rPr>
        <w:t xml:space="preserve"> </w:t>
      </w:r>
      <w:r w:rsidRPr="006C4490">
        <w:rPr>
          <w:lang w:val="en-US"/>
        </w:rPr>
        <w:t>o</w:t>
      </w:r>
      <w:r w:rsidR="00823F92" w:rsidRPr="006C4490">
        <w:rPr>
          <w:lang w:val="en-US"/>
        </w:rPr>
        <w:t>f</w:t>
      </w:r>
      <w:r w:rsidR="00823F92">
        <w:rPr>
          <w:lang w:val="en-US"/>
        </w:rPr>
        <w:t xml:space="preserve"> </w:t>
      </w:r>
      <w:r w:rsidRPr="006C4490">
        <w:rPr>
          <w:lang w:val="en-US"/>
        </w:rPr>
        <w:t>conditions</w:t>
      </w:r>
      <w:r w:rsidR="00823F92" w:rsidRPr="006C4490">
        <w:rPr>
          <w:lang w:val="en-US"/>
        </w:rPr>
        <w:t>.</w:t>
      </w:r>
      <w:r w:rsidR="00823F92">
        <w:rPr>
          <w:lang w:val="en-US"/>
        </w:rPr>
        <w:t xml:space="preserve"> </w:t>
      </w:r>
      <w:r w:rsidRPr="006C4490">
        <w:rPr>
          <w:lang w:val="en-US"/>
        </w:rPr>
        <w:t>Peopl</w:t>
      </w:r>
      <w:r w:rsidR="00823F92" w:rsidRPr="006C4490">
        <w:rPr>
          <w:lang w:val="en-US"/>
        </w:rPr>
        <w:t>e</w:t>
      </w:r>
      <w:r w:rsidR="00823F92">
        <w:rPr>
          <w:lang w:val="en-US"/>
        </w:rPr>
        <w:t xml:space="preserve"> </w:t>
      </w:r>
      <w:r w:rsidRPr="006C4490">
        <w:rPr>
          <w:lang w:val="en-US"/>
        </w:rPr>
        <w:t>a</w:t>
      </w:r>
      <w:r w:rsidR="00823F92" w:rsidRPr="006C4490">
        <w:rPr>
          <w:lang w:val="en-US"/>
        </w:rPr>
        <w:t>t</w:t>
      </w:r>
      <w:r w:rsidR="00823F92">
        <w:rPr>
          <w:lang w:val="en-US"/>
        </w:rPr>
        <w:t xml:space="preserve"> </w:t>
      </w:r>
      <w:r w:rsidRPr="006C4490">
        <w:rPr>
          <w:lang w:val="en-US"/>
        </w:rPr>
        <w:t>ris</w:t>
      </w:r>
      <w:r w:rsidR="00823F92" w:rsidRPr="006C4490">
        <w:rPr>
          <w:lang w:val="en-US"/>
        </w:rPr>
        <w:t>k</w:t>
      </w:r>
      <w:r w:rsidR="00823F92">
        <w:rPr>
          <w:lang w:val="en-US"/>
        </w:rPr>
        <w:t xml:space="preserve"> </w:t>
      </w:r>
      <w:r>
        <w:rPr>
          <w:lang w:val="en-US"/>
        </w:rPr>
        <w:t>o</w:t>
      </w:r>
      <w:r w:rsidR="00823F92">
        <w:rPr>
          <w:lang w:val="en-US"/>
        </w:rPr>
        <w:t xml:space="preserve">f </w:t>
      </w:r>
      <w:r w:rsidRPr="006C4490">
        <w:rPr>
          <w:lang w:val="en-US"/>
        </w:rPr>
        <w:t>an</w:t>
      </w:r>
      <w:r w:rsidR="00823F92" w:rsidRPr="006C4490">
        <w:rPr>
          <w:lang w:val="en-US"/>
        </w:rPr>
        <w:t>d</w:t>
      </w:r>
      <w:r w:rsidR="00823F92">
        <w:rPr>
          <w:lang w:val="en-US"/>
        </w:rPr>
        <w:t xml:space="preserve"> </w:t>
      </w:r>
      <w:r w:rsidRPr="006C4490">
        <w:rPr>
          <w:lang w:val="en-US"/>
        </w:rPr>
        <w:t>peopl</w:t>
      </w:r>
      <w:r w:rsidR="00823F92" w:rsidRPr="006C4490">
        <w:rPr>
          <w:lang w:val="en-US"/>
        </w:rPr>
        <w:t>e</w:t>
      </w:r>
      <w:r w:rsidR="00823F92">
        <w:rPr>
          <w:lang w:val="en-US"/>
        </w:rPr>
        <w:t xml:space="preserve"> </w:t>
      </w:r>
      <w:r w:rsidRPr="006C4490">
        <w:rPr>
          <w:lang w:val="en-US"/>
        </w:rPr>
        <w:t>experiencin</w:t>
      </w:r>
      <w:r w:rsidR="00823F92" w:rsidRPr="006C4490">
        <w:rPr>
          <w:lang w:val="en-US"/>
        </w:rPr>
        <w:t>g</w:t>
      </w:r>
      <w:r w:rsidR="00823F92">
        <w:rPr>
          <w:lang w:val="en-US"/>
        </w:rPr>
        <w:t xml:space="preserve"> </w:t>
      </w:r>
      <w:r w:rsidRPr="006C4490">
        <w:rPr>
          <w:lang w:val="en-US"/>
        </w:rPr>
        <w:t>mil</w:t>
      </w:r>
      <w:r w:rsidR="00823F92" w:rsidRPr="006C4490">
        <w:rPr>
          <w:lang w:val="en-US"/>
        </w:rPr>
        <w:t>d</w:t>
      </w:r>
      <w:r w:rsidR="00823F92">
        <w:rPr>
          <w:lang w:val="en-US"/>
        </w:rPr>
        <w:t xml:space="preserve"> </w:t>
      </w:r>
      <w:r w:rsidRPr="006C4490">
        <w:rPr>
          <w:lang w:val="en-US"/>
        </w:rPr>
        <w:t>condition</w:t>
      </w:r>
      <w:r w:rsidR="00823F92" w:rsidRPr="006C4490">
        <w:rPr>
          <w:lang w:val="en-US"/>
        </w:rPr>
        <w:t>s</w:t>
      </w:r>
      <w:r w:rsidR="00823F92">
        <w:rPr>
          <w:lang w:val="en-US"/>
        </w:rPr>
        <w:t xml:space="preserve"> </w:t>
      </w:r>
      <w:r w:rsidRPr="006C4490">
        <w:rPr>
          <w:lang w:val="en-US"/>
        </w:rPr>
        <w:t>ca</w:t>
      </w:r>
      <w:r w:rsidR="00823F92" w:rsidRPr="006C4490">
        <w:rPr>
          <w:lang w:val="en-US"/>
        </w:rPr>
        <w:t>n</w:t>
      </w:r>
      <w:r w:rsidR="00823F92">
        <w:rPr>
          <w:lang w:val="en-US"/>
        </w:rPr>
        <w:t xml:space="preserve"> </w:t>
      </w:r>
      <w:r w:rsidRPr="006C4490">
        <w:rPr>
          <w:lang w:val="en-US"/>
        </w:rPr>
        <w:t>generall</w:t>
      </w:r>
      <w:r w:rsidR="00823F92" w:rsidRPr="006C4490">
        <w:rPr>
          <w:lang w:val="en-US"/>
        </w:rPr>
        <w:t>y</w:t>
      </w:r>
      <w:r w:rsidR="00823F92">
        <w:rPr>
          <w:lang w:val="en-US"/>
        </w:rPr>
        <w:t xml:space="preserve"> </w:t>
      </w:r>
      <w:r w:rsidRPr="006C4490">
        <w:rPr>
          <w:lang w:val="en-US"/>
        </w:rPr>
        <w:t>b</w:t>
      </w:r>
      <w:r w:rsidR="00823F92" w:rsidRPr="006C4490">
        <w:rPr>
          <w:lang w:val="en-US"/>
        </w:rPr>
        <w:t>e</w:t>
      </w:r>
      <w:r w:rsidR="00823F92">
        <w:rPr>
          <w:lang w:val="en-US"/>
        </w:rPr>
        <w:t xml:space="preserve"> </w:t>
      </w:r>
      <w:r w:rsidRPr="006C4490">
        <w:rPr>
          <w:lang w:val="en-US"/>
        </w:rPr>
        <w:t>self-manage</w:t>
      </w:r>
      <w:r w:rsidR="00823F92" w:rsidRPr="006C4490">
        <w:rPr>
          <w:lang w:val="en-US"/>
        </w:rPr>
        <w:t>d</w:t>
      </w:r>
      <w:r w:rsidR="00823F92">
        <w:rPr>
          <w:lang w:val="en-US"/>
        </w:rPr>
        <w:t xml:space="preserve"> </w:t>
      </w:r>
      <w:r w:rsidRPr="006C4490">
        <w:rPr>
          <w:lang w:val="en-US"/>
        </w:rPr>
        <w:t>o</w:t>
      </w:r>
      <w:r w:rsidR="00823F92" w:rsidRPr="006C4490">
        <w:rPr>
          <w:lang w:val="en-US"/>
        </w:rPr>
        <w:t>r</w:t>
      </w:r>
      <w:r w:rsidR="00823F92">
        <w:rPr>
          <w:lang w:val="en-US"/>
        </w:rPr>
        <w:t xml:space="preserve"> </w:t>
      </w:r>
      <w:r w:rsidRPr="006C4490">
        <w:rPr>
          <w:lang w:val="en-US"/>
        </w:rPr>
        <w:t>manage</w:t>
      </w:r>
      <w:r w:rsidR="00823F92" w:rsidRPr="006C4490">
        <w:rPr>
          <w:lang w:val="en-US"/>
        </w:rPr>
        <w:t>d</w:t>
      </w:r>
      <w:r w:rsidR="00823F92">
        <w:rPr>
          <w:lang w:val="en-US"/>
        </w:rPr>
        <w:t xml:space="preserve"> </w:t>
      </w:r>
      <w:r w:rsidRPr="006C4490">
        <w:rPr>
          <w:lang w:val="en-US"/>
        </w:rPr>
        <w:t>wit</w:t>
      </w:r>
      <w:r w:rsidR="00823F92" w:rsidRPr="006C4490">
        <w:rPr>
          <w:lang w:val="en-US"/>
        </w:rPr>
        <w:t>h</w:t>
      </w:r>
      <w:r w:rsidR="00823F92">
        <w:rPr>
          <w:lang w:val="en-US"/>
        </w:rPr>
        <w:t xml:space="preserve"> </w:t>
      </w:r>
      <w:r w:rsidRPr="006C4490">
        <w:rPr>
          <w:lang w:val="en-US"/>
        </w:rPr>
        <w:t>lo</w:t>
      </w:r>
      <w:r w:rsidR="00823F92" w:rsidRPr="006C4490">
        <w:rPr>
          <w:lang w:val="en-US"/>
        </w:rPr>
        <w:t>w</w:t>
      </w:r>
      <w:r w:rsidR="00823F92">
        <w:rPr>
          <w:lang w:val="en-US"/>
        </w:rPr>
        <w:t xml:space="preserve"> </w:t>
      </w:r>
      <w:r w:rsidRPr="006C4490">
        <w:rPr>
          <w:lang w:val="en-US"/>
        </w:rPr>
        <w:t>intensit</w:t>
      </w:r>
      <w:r w:rsidR="00823F92" w:rsidRPr="006C4490">
        <w:rPr>
          <w:lang w:val="en-US"/>
        </w:rPr>
        <w:t>y</w:t>
      </w:r>
      <w:r w:rsidR="00823F92">
        <w:rPr>
          <w:lang w:val="en-US"/>
        </w:rPr>
        <w:t xml:space="preserve"> </w:t>
      </w:r>
      <w:r w:rsidRPr="006C4490">
        <w:rPr>
          <w:lang w:val="en-US"/>
        </w:rPr>
        <w:t>service</w:t>
      </w:r>
      <w:r w:rsidR="00823F92" w:rsidRPr="006C4490">
        <w:rPr>
          <w:lang w:val="en-US"/>
        </w:rPr>
        <w:t>s</w:t>
      </w:r>
      <w:r w:rsidR="00823F92">
        <w:rPr>
          <w:lang w:val="en-US"/>
        </w:rPr>
        <w:t xml:space="preserve"> </w:t>
      </w:r>
      <w:r w:rsidRPr="006C4490">
        <w:rPr>
          <w:lang w:val="en-US"/>
        </w:rPr>
        <w:t>i</w:t>
      </w:r>
      <w:r w:rsidR="00823F92" w:rsidRPr="006C4490">
        <w:rPr>
          <w:lang w:val="en-US"/>
        </w:rPr>
        <w:t>n</w:t>
      </w:r>
      <w:r w:rsidR="00823F92">
        <w:rPr>
          <w:lang w:val="en-US"/>
        </w:rPr>
        <w:t xml:space="preserve"> </w:t>
      </w:r>
      <w:r w:rsidRPr="006C4490">
        <w:rPr>
          <w:lang w:val="en-US"/>
        </w:rPr>
        <w:t>primar</w:t>
      </w:r>
      <w:r w:rsidR="00823F92" w:rsidRPr="006C4490">
        <w:rPr>
          <w:lang w:val="en-US"/>
        </w:rPr>
        <w:t>y</w:t>
      </w:r>
      <w:r w:rsidR="00823F92">
        <w:rPr>
          <w:lang w:val="en-US"/>
        </w:rPr>
        <w:t xml:space="preserve"> </w:t>
      </w:r>
      <w:r w:rsidRPr="006C4490">
        <w:rPr>
          <w:lang w:val="en-US"/>
        </w:rPr>
        <w:t>car</w:t>
      </w:r>
      <w:r w:rsidR="00823F92" w:rsidRPr="006C4490">
        <w:rPr>
          <w:lang w:val="en-US"/>
        </w:rPr>
        <w:t>e</w:t>
      </w:r>
      <w:r w:rsidR="00823F92">
        <w:rPr>
          <w:lang w:val="en-US"/>
        </w:rPr>
        <w:t xml:space="preserve"> </w:t>
      </w:r>
      <w:r w:rsidRPr="006C4490">
        <w:rPr>
          <w:lang w:val="en-US"/>
        </w:rPr>
        <w:t>o</w:t>
      </w:r>
      <w:r w:rsidR="00823F92" w:rsidRPr="006C4490">
        <w:rPr>
          <w:lang w:val="en-US"/>
        </w:rPr>
        <w:t>r</w:t>
      </w:r>
      <w:r w:rsidR="00823F92">
        <w:rPr>
          <w:lang w:val="en-US"/>
        </w:rPr>
        <w:t xml:space="preserve"> </w:t>
      </w:r>
      <w:r w:rsidRPr="006C4490">
        <w:rPr>
          <w:lang w:val="en-US"/>
        </w:rPr>
        <w:t>communit</w:t>
      </w:r>
      <w:r w:rsidR="00823F92" w:rsidRPr="006C4490">
        <w:rPr>
          <w:lang w:val="en-US"/>
        </w:rPr>
        <w:t>y</w:t>
      </w:r>
      <w:r w:rsidR="00823F92">
        <w:rPr>
          <w:lang w:val="en-US"/>
        </w:rPr>
        <w:t xml:space="preserve"> </w:t>
      </w:r>
      <w:r w:rsidRPr="006C4490">
        <w:rPr>
          <w:lang w:val="en-US"/>
        </w:rPr>
        <w:t>settings</w:t>
      </w:r>
      <w:r w:rsidR="00823F92" w:rsidRPr="006C4490">
        <w:rPr>
          <w:lang w:val="en-US"/>
        </w:rPr>
        <w:t>.</w:t>
      </w:r>
      <w:r w:rsidR="00823F92">
        <w:rPr>
          <w:lang w:val="en-US"/>
        </w:rPr>
        <w:t xml:space="preserve"> </w:t>
      </w:r>
      <w:r w:rsidRPr="006C4490">
        <w:rPr>
          <w:lang w:val="en-US"/>
        </w:rPr>
        <w:t>Peopl</w:t>
      </w:r>
      <w:r w:rsidR="00823F92" w:rsidRPr="006C4490">
        <w:rPr>
          <w:lang w:val="en-US"/>
        </w:rPr>
        <w:t>e</w:t>
      </w:r>
      <w:r w:rsidR="00823F92">
        <w:rPr>
          <w:lang w:val="en-US"/>
        </w:rPr>
        <w:t xml:space="preserve"> </w:t>
      </w:r>
      <w:r w:rsidRPr="006C4490">
        <w:rPr>
          <w:lang w:val="en-US"/>
        </w:rPr>
        <w:t>experiencin</w:t>
      </w:r>
      <w:r w:rsidR="00823F92" w:rsidRPr="006C4490">
        <w:rPr>
          <w:lang w:val="en-US"/>
        </w:rPr>
        <w:t>g</w:t>
      </w:r>
      <w:r w:rsidR="00823F92">
        <w:rPr>
          <w:lang w:val="en-US"/>
        </w:rPr>
        <w:t xml:space="preserve"> </w:t>
      </w:r>
      <w:r w:rsidRPr="006C4490">
        <w:rPr>
          <w:lang w:val="en-US"/>
        </w:rPr>
        <w:t>moderat</w:t>
      </w:r>
      <w:r w:rsidR="00823F92" w:rsidRPr="006C4490">
        <w:rPr>
          <w:lang w:val="en-US"/>
        </w:rPr>
        <w:t>e</w:t>
      </w:r>
      <w:r w:rsidR="00823F92">
        <w:rPr>
          <w:lang w:val="en-US"/>
        </w:rPr>
        <w:t xml:space="preserve"> </w:t>
      </w:r>
      <w:r w:rsidRPr="006C4490">
        <w:rPr>
          <w:lang w:val="en-US"/>
        </w:rPr>
        <w:t>condition</w:t>
      </w:r>
      <w:r w:rsidR="00823F92" w:rsidRPr="006C4490">
        <w:rPr>
          <w:lang w:val="en-US"/>
        </w:rPr>
        <w:t>s</w:t>
      </w:r>
      <w:r w:rsidR="00823F92">
        <w:rPr>
          <w:lang w:val="en-US"/>
        </w:rPr>
        <w:t xml:space="preserve"> </w:t>
      </w:r>
      <w:r w:rsidRPr="006C4490">
        <w:rPr>
          <w:lang w:val="en-US"/>
        </w:rPr>
        <w:t>typicall</w:t>
      </w:r>
      <w:r w:rsidR="00823F92" w:rsidRPr="006C4490">
        <w:rPr>
          <w:lang w:val="en-US"/>
        </w:rPr>
        <w:t>y</w:t>
      </w:r>
      <w:r w:rsidR="00823F92">
        <w:rPr>
          <w:lang w:val="en-US"/>
        </w:rPr>
        <w:t xml:space="preserve"> </w:t>
      </w:r>
      <w:r w:rsidRPr="006C4490">
        <w:rPr>
          <w:lang w:val="en-US"/>
        </w:rPr>
        <w:t>requir</w:t>
      </w:r>
      <w:r w:rsidR="00823F92" w:rsidRPr="006C4490">
        <w:rPr>
          <w:lang w:val="en-US"/>
        </w:rPr>
        <w:t>e</w:t>
      </w:r>
      <w:r w:rsidR="00823F92">
        <w:rPr>
          <w:lang w:val="en-US"/>
        </w:rPr>
        <w:t xml:space="preserve"> </w:t>
      </w:r>
      <w:r w:rsidRPr="006C4490">
        <w:rPr>
          <w:lang w:val="en-US"/>
        </w:rPr>
        <w:t>specialis</w:t>
      </w:r>
      <w:r w:rsidR="00823F92" w:rsidRPr="006C4490">
        <w:rPr>
          <w:lang w:val="en-US"/>
        </w:rPr>
        <w:t>t</w:t>
      </w:r>
      <w:r w:rsidR="00823F92">
        <w:rPr>
          <w:lang w:val="en-US"/>
        </w:rPr>
        <w:t xml:space="preserve"> </w:t>
      </w:r>
      <w:r w:rsidRPr="006C4490">
        <w:rPr>
          <w:lang w:val="en-US"/>
        </w:rPr>
        <w:t>clinica</w:t>
      </w:r>
      <w:r w:rsidR="00823F92" w:rsidRPr="006C4490">
        <w:rPr>
          <w:lang w:val="en-US"/>
        </w:rPr>
        <w:t>l</w:t>
      </w:r>
      <w:r w:rsidR="00823F92">
        <w:rPr>
          <w:lang w:val="en-US"/>
        </w:rPr>
        <w:t xml:space="preserve"> </w:t>
      </w:r>
      <w:r w:rsidRPr="006C4490">
        <w:rPr>
          <w:lang w:val="en-US"/>
        </w:rPr>
        <w:t>services</w:t>
      </w:r>
      <w:r w:rsidR="00823F92" w:rsidRPr="006C4490">
        <w:rPr>
          <w:lang w:val="en-US"/>
        </w:rPr>
        <w:t>,</w:t>
      </w:r>
      <w:r w:rsidR="00823F92">
        <w:rPr>
          <w:lang w:val="en-US"/>
        </w:rPr>
        <w:t xml:space="preserve"> </w:t>
      </w:r>
      <w:r w:rsidRPr="006C4490">
        <w:rPr>
          <w:lang w:val="en-US"/>
        </w:rPr>
        <w:t>whil</w:t>
      </w:r>
      <w:r w:rsidR="00823F92" w:rsidRPr="006C4490">
        <w:rPr>
          <w:lang w:val="en-US"/>
        </w:rPr>
        <w:t>e</w:t>
      </w:r>
      <w:r w:rsidR="00823F92">
        <w:rPr>
          <w:lang w:val="en-US"/>
        </w:rPr>
        <w:t xml:space="preserve"> </w:t>
      </w:r>
      <w:r w:rsidRPr="006C4490">
        <w:rPr>
          <w:lang w:val="en-US"/>
        </w:rPr>
        <w:t>peopl</w:t>
      </w:r>
      <w:r w:rsidR="00823F92" w:rsidRPr="006C4490">
        <w:rPr>
          <w:lang w:val="en-US"/>
        </w:rPr>
        <w:t>e</w:t>
      </w:r>
      <w:r w:rsidR="00823F92">
        <w:rPr>
          <w:lang w:val="en-US"/>
        </w:rPr>
        <w:t xml:space="preserve"> </w:t>
      </w:r>
      <w:r w:rsidRPr="006C4490">
        <w:rPr>
          <w:lang w:val="en-US"/>
        </w:rPr>
        <w:t>wit</w:t>
      </w:r>
      <w:r w:rsidR="00823F92" w:rsidRPr="006C4490">
        <w:rPr>
          <w:lang w:val="en-US"/>
        </w:rPr>
        <w:t>h</w:t>
      </w:r>
      <w:r w:rsidR="00823F92">
        <w:rPr>
          <w:lang w:val="en-US"/>
        </w:rPr>
        <w:t xml:space="preserve"> </w:t>
      </w:r>
      <w:r w:rsidRPr="006C4490">
        <w:rPr>
          <w:lang w:val="en-US"/>
        </w:rPr>
        <w:t>sever</w:t>
      </w:r>
      <w:r w:rsidR="00823F92" w:rsidRPr="006C4490">
        <w:rPr>
          <w:lang w:val="en-US"/>
        </w:rPr>
        <w:t>e</w:t>
      </w:r>
      <w:r w:rsidR="00823F92">
        <w:rPr>
          <w:lang w:val="en-US"/>
        </w:rPr>
        <w:t xml:space="preserve"> </w:t>
      </w:r>
      <w:r w:rsidRPr="006C4490">
        <w:rPr>
          <w:lang w:val="en-US"/>
        </w:rPr>
        <w:t>menta</w:t>
      </w:r>
      <w:r w:rsidR="00823F92" w:rsidRPr="006C4490">
        <w:rPr>
          <w:lang w:val="en-US"/>
        </w:rPr>
        <w:t>l</w:t>
      </w:r>
      <w:r w:rsidR="00823F92">
        <w:rPr>
          <w:lang w:val="en-US"/>
        </w:rPr>
        <w:t xml:space="preserve"> </w:t>
      </w:r>
      <w:r w:rsidRPr="006C4490">
        <w:rPr>
          <w:lang w:val="en-US"/>
        </w:rPr>
        <w:t>healt</w:t>
      </w:r>
      <w:r w:rsidR="00823F92" w:rsidRPr="006C4490">
        <w:rPr>
          <w:lang w:val="en-US"/>
        </w:rPr>
        <w:t>h</w:t>
      </w:r>
      <w:r w:rsidR="00823F92">
        <w:rPr>
          <w:lang w:val="en-US"/>
        </w:rPr>
        <w:t xml:space="preserve"> </w:t>
      </w:r>
      <w:r w:rsidRPr="006C4490">
        <w:rPr>
          <w:lang w:val="en-US"/>
        </w:rPr>
        <w:t>condition</w:t>
      </w:r>
      <w:r w:rsidR="00823F92" w:rsidRPr="006C4490">
        <w:rPr>
          <w:lang w:val="en-US"/>
        </w:rPr>
        <w:t>s</w:t>
      </w:r>
      <w:r w:rsidR="00823F92">
        <w:rPr>
          <w:lang w:val="en-US"/>
        </w:rPr>
        <w:t xml:space="preserve"> </w:t>
      </w:r>
      <w:r w:rsidRPr="006C4490">
        <w:rPr>
          <w:lang w:val="en-US"/>
        </w:rPr>
        <w:t>requir</w:t>
      </w:r>
      <w:r w:rsidR="00823F92" w:rsidRPr="006C4490">
        <w:rPr>
          <w:lang w:val="en-US"/>
        </w:rPr>
        <w:t>e</w:t>
      </w:r>
      <w:r w:rsidR="00823F92">
        <w:rPr>
          <w:lang w:val="en-US"/>
        </w:rPr>
        <w:t xml:space="preserve"> </w:t>
      </w:r>
      <w:r w:rsidR="00823F92" w:rsidRPr="006C4490">
        <w:rPr>
          <w:lang w:val="en-US"/>
        </w:rPr>
        <w:t>a</w:t>
      </w:r>
      <w:r w:rsidR="00823F92">
        <w:rPr>
          <w:lang w:val="en-US"/>
        </w:rPr>
        <w:t xml:space="preserve"> </w:t>
      </w:r>
      <w:r w:rsidRPr="006C4490">
        <w:rPr>
          <w:lang w:val="en-US"/>
        </w:rPr>
        <w:t>coordinate</w:t>
      </w:r>
      <w:r w:rsidR="00823F92" w:rsidRPr="006C4490">
        <w:rPr>
          <w:lang w:val="en-US"/>
        </w:rPr>
        <w:t>d</w:t>
      </w:r>
      <w:r w:rsidR="00823F92">
        <w:rPr>
          <w:lang w:val="en-US"/>
        </w:rPr>
        <w:t xml:space="preserve"> </w:t>
      </w:r>
      <w:r w:rsidRPr="006C4490">
        <w:rPr>
          <w:lang w:val="en-US"/>
        </w:rPr>
        <w:t>car</w:t>
      </w:r>
      <w:r w:rsidR="00823F92" w:rsidRPr="006C4490">
        <w:rPr>
          <w:lang w:val="en-US"/>
        </w:rPr>
        <w:t>e</w:t>
      </w:r>
      <w:r w:rsidR="00823F92">
        <w:rPr>
          <w:lang w:val="en-US"/>
        </w:rPr>
        <w:t xml:space="preserve"> </w:t>
      </w:r>
      <w:r w:rsidRPr="006C4490">
        <w:rPr>
          <w:lang w:val="en-US"/>
        </w:rPr>
        <w:t>approach</w:t>
      </w:r>
      <w:r w:rsidR="00823F92" w:rsidRPr="006C4490">
        <w:rPr>
          <w:lang w:val="en-US"/>
        </w:rPr>
        <w:t>,</w:t>
      </w:r>
      <w:r w:rsidR="00823F92">
        <w:rPr>
          <w:lang w:val="en-US"/>
        </w:rPr>
        <w:t xml:space="preserve"> </w:t>
      </w:r>
      <w:r w:rsidRPr="006C4490">
        <w:rPr>
          <w:lang w:val="en-US"/>
        </w:rPr>
        <w:t>whic</w:t>
      </w:r>
      <w:r w:rsidR="00823F92" w:rsidRPr="006C4490">
        <w:rPr>
          <w:lang w:val="en-US"/>
        </w:rPr>
        <w:t>h</w:t>
      </w:r>
      <w:r w:rsidR="00823F92">
        <w:rPr>
          <w:lang w:val="en-US"/>
        </w:rPr>
        <w:t xml:space="preserve"> </w:t>
      </w:r>
      <w:r w:rsidRPr="006C4490">
        <w:rPr>
          <w:lang w:val="en-US"/>
        </w:rPr>
        <w:t>ma</w:t>
      </w:r>
      <w:r w:rsidR="00823F92" w:rsidRPr="006C4490">
        <w:rPr>
          <w:lang w:val="en-US"/>
        </w:rPr>
        <w:t>y</w:t>
      </w:r>
      <w:r w:rsidR="00823F92">
        <w:rPr>
          <w:lang w:val="en-US"/>
        </w:rPr>
        <w:t xml:space="preserve"> </w:t>
      </w:r>
      <w:r w:rsidRPr="006C4490">
        <w:rPr>
          <w:lang w:val="en-US"/>
        </w:rPr>
        <w:t>includ</w:t>
      </w:r>
      <w:r w:rsidR="00823F92" w:rsidRPr="006C4490">
        <w:rPr>
          <w:lang w:val="en-US"/>
        </w:rPr>
        <w:t>e</w:t>
      </w:r>
      <w:r w:rsidR="00823F92">
        <w:rPr>
          <w:lang w:val="en-US"/>
        </w:rPr>
        <w:t xml:space="preserve"> </w:t>
      </w:r>
      <w:r w:rsidRPr="006C4490">
        <w:rPr>
          <w:lang w:val="en-US"/>
        </w:rPr>
        <w:t>hospital-base</w:t>
      </w:r>
      <w:r w:rsidR="00823F92" w:rsidRPr="006C4490">
        <w:rPr>
          <w:lang w:val="en-US"/>
        </w:rPr>
        <w:t>d</w:t>
      </w:r>
      <w:r w:rsidR="00823F92">
        <w:rPr>
          <w:lang w:val="en-US"/>
        </w:rPr>
        <w:t xml:space="preserve"> </w:t>
      </w:r>
      <w:r w:rsidRPr="006C4490">
        <w:rPr>
          <w:lang w:val="en-US"/>
        </w:rPr>
        <w:t>care.</w:t>
      </w:r>
      <w:r w:rsidRPr="006C4490">
        <w:rPr>
          <w:rStyle w:val="FootnoteReference"/>
          <w:lang w:val="en-US"/>
        </w:rPr>
        <w:footnoteReference w:id="7"/>
      </w:r>
      <w:r w:rsidRPr="006C4490">
        <w:rPr>
          <w:lang w:val="en-US"/>
        </w:rPr>
        <w:t xml:space="preserve"> </w:t>
      </w:r>
      <w:r w:rsidR="005966BD">
        <w:rPr>
          <w:lang w:val="en-US"/>
        </w:rPr>
        <w:t>Suppor</w:t>
      </w:r>
      <w:r w:rsidR="00823F92">
        <w:rPr>
          <w:lang w:val="en-US"/>
        </w:rPr>
        <w:t xml:space="preserve">t </w:t>
      </w:r>
      <w:r w:rsidR="005966BD">
        <w:rPr>
          <w:lang w:val="en-US"/>
        </w:rPr>
        <w:t>an</w:t>
      </w:r>
      <w:r w:rsidR="00823F92">
        <w:rPr>
          <w:lang w:val="en-US"/>
        </w:rPr>
        <w:t xml:space="preserve">d </w:t>
      </w:r>
      <w:r w:rsidR="005966BD">
        <w:rPr>
          <w:lang w:val="en-US"/>
        </w:rPr>
        <w:t>treatmen</w:t>
      </w:r>
      <w:r w:rsidR="00823F92">
        <w:rPr>
          <w:lang w:val="en-US"/>
        </w:rPr>
        <w:t xml:space="preserve">t </w:t>
      </w:r>
      <w:r>
        <w:rPr>
          <w:lang w:val="en-US"/>
        </w:rPr>
        <w:t>o</w:t>
      </w:r>
      <w:r w:rsidR="00823F92">
        <w:rPr>
          <w:lang w:val="en-US"/>
        </w:rPr>
        <w:t xml:space="preserve">f </w:t>
      </w:r>
      <w:r>
        <w:rPr>
          <w:lang w:val="en-US"/>
        </w:rPr>
        <w:t>varyin</w:t>
      </w:r>
      <w:r w:rsidR="00823F92">
        <w:rPr>
          <w:lang w:val="en-US"/>
        </w:rPr>
        <w:t xml:space="preserve">g </w:t>
      </w:r>
      <w:r>
        <w:rPr>
          <w:lang w:val="en-US"/>
        </w:rPr>
        <w:t>intensit</w:t>
      </w:r>
      <w:r w:rsidR="00823F92">
        <w:rPr>
          <w:lang w:val="en-US"/>
        </w:rPr>
        <w:t xml:space="preserve">y </w:t>
      </w:r>
      <w:r>
        <w:rPr>
          <w:lang w:val="en-US"/>
        </w:rPr>
        <w:t>ma</w:t>
      </w:r>
      <w:r w:rsidR="00823F92">
        <w:rPr>
          <w:lang w:val="en-US"/>
        </w:rPr>
        <w:t xml:space="preserve">y </w:t>
      </w:r>
      <w:r>
        <w:rPr>
          <w:lang w:val="en-US"/>
        </w:rPr>
        <w:t>b</w:t>
      </w:r>
      <w:r w:rsidR="00823F92">
        <w:rPr>
          <w:lang w:val="en-US"/>
        </w:rPr>
        <w:t xml:space="preserve">e </w:t>
      </w:r>
      <w:r>
        <w:rPr>
          <w:lang w:val="en-US"/>
        </w:rPr>
        <w:t>accesse</w:t>
      </w:r>
      <w:r w:rsidR="00823F92">
        <w:rPr>
          <w:lang w:val="en-US"/>
        </w:rPr>
        <w:t xml:space="preserve">d </w:t>
      </w:r>
      <w:r>
        <w:rPr>
          <w:lang w:val="en-US"/>
        </w:rPr>
        <w:t>simultaneously</w:t>
      </w:r>
      <w:r w:rsidR="00823F92">
        <w:rPr>
          <w:lang w:val="en-US"/>
        </w:rPr>
        <w:t xml:space="preserve">, </w:t>
      </w:r>
      <w:r>
        <w:rPr>
          <w:lang w:val="en-US"/>
        </w:rPr>
        <w:t>i</w:t>
      </w:r>
      <w:r w:rsidR="00823F92">
        <w:rPr>
          <w:lang w:val="en-US"/>
        </w:rPr>
        <w:t xml:space="preserve">n </w:t>
      </w:r>
      <w:r>
        <w:rPr>
          <w:lang w:val="en-US"/>
        </w:rPr>
        <w:t>lin</w:t>
      </w:r>
      <w:r w:rsidR="00823F92">
        <w:rPr>
          <w:lang w:val="en-US"/>
        </w:rPr>
        <w:t xml:space="preserve">e </w:t>
      </w:r>
      <w:r>
        <w:rPr>
          <w:lang w:val="en-US"/>
        </w:rPr>
        <w:t>wit</w:t>
      </w:r>
      <w:r w:rsidR="00823F92">
        <w:rPr>
          <w:lang w:val="en-US"/>
        </w:rPr>
        <w:t xml:space="preserve">h </w:t>
      </w:r>
      <w:r>
        <w:rPr>
          <w:lang w:val="en-US"/>
        </w:rPr>
        <w:t>th</w:t>
      </w:r>
      <w:r w:rsidR="00823F92">
        <w:rPr>
          <w:lang w:val="en-US"/>
        </w:rPr>
        <w:t xml:space="preserve">e </w:t>
      </w:r>
      <w:r>
        <w:rPr>
          <w:lang w:val="en-US"/>
        </w:rPr>
        <w:t>individua</w:t>
      </w:r>
      <w:r w:rsidR="00823F92">
        <w:rPr>
          <w:lang w:val="en-US"/>
        </w:rPr>
        <w:t xml:space="preserve">l </w:t>
      </w:r>
      <w:r>
        <w:rPr>
          <w:lang w:val="en-US"/>
        </w:rPr>
        <w:t>need</w:t>
      </w:r>
      <w:r w:rsidR="00823F92">
        <w:rPr>
          <w:lang w:val="en-US"/>
        </w:rPr>
        <w:t xml:space="preserve">s </w:t>
      </w:r>
      <w:r>
        <w:rPr>
          <w:lang w:val="en-US"/>
        </w:rPr>
        <w:t>o</w:t>
      </w:r>
      <w:r w:rsidR="00823F92">
        <w:rPr>
          <w:lang w:val="en-US"/>
        </w:rPr>
        <w:t xml:space="preserve">f </w:t>
      </w:r>
      <w:r>
        <w:rPr>
          <w:lang w:val="en-US"/>
        </w:rPr>
        <w:t>peopl</w:t>
      </w:r>
      <w:r w:rsidR="00823F92">
        <w:rPr>
          <w:lang w:val="en-US"/>
        </w:rPr>
        <w:t xml:space="preserve">e </w:t>
      </w:r>
      <w:r>
        <w:rPr>
          <w:lang w:val="en-US"/>
        </w:rPr>
        <w:t>experiencin</w:t>
      </w:r>
      <w:r w:rsidR="00823F92">
        <w:rPr>
          <w:lang w:val="en-US"/>
        </w:rPr>
        <w:t xml:space="preserve">g </w:t>
      </w:r>
      <w:r>
        <w:rPr>
          <w:lang w:val="en-US"/>
        </w:rPr>
        <w:t>menta</w:t>
      </w:r>
      <w:r w:rsidR="00823F92">
        <w:rPr>
          <w:lang w:val="en-US"/>
        </w:rPr>
        <w:t xml:space="preserve">l </w:t>
      </w:r>
      <w:r>
        <w:rPr>
          <w:lang w:val="en-US"/>
        </w:rPr>
        <w:t>distres</w:t>
      </w:r>
      <w:r w:rsidR="00823F92">
        <w:rPr>
          <w:lang w:val="en-US"/>
        </w:rPr>
        <w:t xml:space="preserve">s </w:t>
      </w:r>
      <w:r>
        <w:rPr>
          <w:lang w:val="en-US"/>
        </w:rPr>
        <w:t>and/o</w:t>
      </w:r>
      <w:r w:rsidR="00823F92">
        <w:rPr>
          <w:lang w:val="en-US"/>
        </w:rPr>
        <w:t xml:space="preserve">r </w:t>
      </w:r>
      <w:r>
        <w:rPr>
          <w:lang w:val="en-US"/>
        </w:rPr>
        <w:t>ill-health</w:t>
      </w:r>
      <w:r w:rsidR="00823F92">
        <w:rPr>
          <w:lang w:val="en-US"/>
        </w:rPr>
        <w:t xml:space="preserve">. </w:t>
      </w:r>
    </w:p>
    <w:p w14:paraId="7725DCE1" w14:textId="7CCD3A24" w:rsidR="00E2278D" w:rsidRPr="000E25B1" w:rsidRDefault="00E2278D" w:rsidP="00E2278D">
      <w:pPr>
        <w:pStyle w:val="Heading3"/>
      </w:pPr>
      <w:r w:rsidRPr="000E25B1">
        <w:t>Impac</w:t>
      </w:r>
      <w:r w:rsidR="00823F92" w:rsidRPr="000E25B1">
        <w:t>t</w:t>
      </w:r>
      <w:r w:rsidR="00823F92">
        <w:t xml:space="preserve"> </w:t>
      </w:r>
      <w:r w:rsidRPr="000E25B1">
        <w:t>o</w:t>
      </w:r>
      <w:r w:rsidR="00823F92" w:rsidRPr="000E25B1">
        <w:t>n</w:t>
      </w:r>
      <w:r w:rsidR="00823F92">
        <w:t xml:space="preserve"> </w:t>
      </w:r>
      <w:r w:rsidRPr="000E25B1">
        <w:t>peopl</w:t>
      </w:r>
      <w:r w:rsidR="00823F92" w:rsidRPr="000E25B1">
        <w:t>e</w:t>
      </w:r>
      <w:r w:rsidR="00823F92">
        <w:t xml:space="preserve"> </w:t>
      </w:r>
      <w:r w:rsidRPr="000E25B1">
        <w:t>experiencin</w:t>
      </w:r>
      <w:r w:rsidR="00823F92" w:rsidRPr="000E25B1">
        <w:t>g</w:t>
      </w:r>
      <w:r w:rsidR="00823F92">
        <w:t xml:space="preserve"> </w:t>
      </w:r>
      <w:r w:rsidRPr="000E25B1">
        <w:t>menta</w:t>
      </w:r>
      <w:r w:rsidR="00823F92" w:rsidRPr="000E25B1">
        <w:t>l</w:t>
      </w:r>
      <w:r w:rsidR="00823F92">
        <w:t xml:space="preserve"> </w:t>
      </w:r>
      <w:r>
        <w:t>distres</w:t>
      </w:r>
      <w:r w:rsidR="00823F92">
        <w:t xml:space="preserve">s </w:t>
      </w:r>
      <w:r>
        <w:t>and/o</w:t>
      </w:r>
      <w:r w:rsidR="00823F92">
        <w:t xml:space="preserve">r </w:t>
      </w:r>
      <w:r w:rsidRPr="000E25B1">
        <w:t>ill-health</w:t>
      </w:r>
      <w:r w:rsidR="00823F92" w:rsidRPr="000E25B1">
        <w:t>,</w:t>
      </w:r>
      <w:r w:rsidR="00823F92">
        <w:t xml:space="preserve"> </w:t>
      </w:r>
      <w:r w:rsidRPr="000E25B1">
        <w:t>familie</w:t>
      </w:r>
      <w:r w:rsidR="00823F92" w:rsidRPr="000E25B1">
        <w:t>s</w:t>
      </w:r>
      <w:r w:rsidR="00823F92">
        <w:t xml:space="preserve"> </w:t>
      </w:r>
      <w:r w:rsidRPr="000E25B1">
        <w:t>an</w:t>
      </w:r>
      <w:r w:rsidR="00823F92" w:rsidRPr="000E25B1">
        <w:t>d</w:t>
      </w:r>
      <w:r w:rsidR="00823F92">
        <w:t xml:space="preserve"> </w:t>
      </w:r>
      <w:r w:rsidRPr="000E25B1">
        <w:t>carer</w:t>
      </w:r>
      <w:r w:rsidR="00823F92" w:rsidRPr="000E25B1">
        <w:t>s</w:t>
      </w:r>
      <w:r w:rsidR="00823F92">
        <w:t xml:space="preserve"> </w:t>
      </w:r>
    </w:p>
    <w:p w14:paraId="02979F60" w14:textId="116C0FE2" w:rsidR="00E2278D" w:rsidRPr="006C4490" w:rsidRDefault="00E2278D" w:rsidP="00E2278D">
      <w:pPr>
        <w:pStyle w:val="BodyText"/>
      </w:pPr>
      <w:r w:rsidRPr="006C4490">
        <w:t>Menta</w:t>
      </w:r>
      <w:r w:rsidR="00823F92" w:rsidRPr="006C4490">
        <w:t>l</w:t>
      </w:r>
      <w:r w:rsidR="00823F92">
        <w:t xml:space="preserve"> </w:t>
      </w:r>
      <w:r>
        <w:t>distres</w:t>
      </w:r>
      <w:r w:rsidR="00823F92">
        <w:t xml:space="preserve">s </w:t>
      </w:r>
      <w:r>
        <w:t>and/o</w:t>
      </w:r>
      <w:r w:rsidR="00823F92">
        <w:t xml:space="preserve">r </w:t>
      </w:r>
      <w:r w:rsidRPr="006C4490">
        <w:t>ill-healt</w:t>
      </w:r>
      <w:r w:rsidR="00823F92" w:rsidRPr="006C4490">
        <w:t>h</w:t>
      </w:r>
      <w:r w:rsidR="00823F92">
        <w:t xml:space="preserve"> </w:t>
      </w:r>
      <w:r w:rsidRPr="006C4490">
        <w:t>ha</w:t>
      </w:r>
      <w:r w:rsidR="00823F92" w:rsidRPr="006C4490">
        <w:t>s</w:t>
      </w:r>
      <w:r w:rsidR="00823F92">
        <w:t xml:space="preserve"> </w:t>
      </w:r>
      <w:r w:rsidRPr="006C4490">
        <w:t>significan</w:t>
      </w:r>
      <w:r w:rsidR="00823F92" w:rsidRPr="006C4490">
        <w:t>t</w:t>
      </w:r>
      <w:r w:rsidR="00823F92">
        <w:t xml:space="preserve"> </w:t>
      </w:r>
      <w:r w:rsidRPr="006C4490">
        <w:t>an</w:t>
      </w:r>
      <w:r w:rsidR="00823F92" w:rsidRPr="006C4490">
        <w:t>d</w:t>
      </w:r>
      <w:r w:rsidR="00823F92">
        <w:t xml:space="preserve"> </w:t>
      </w:r>
      <w:r w:rsidRPr="006C4490">
        <w:t>far-reachin</w:t>
      </w:r>
      <w:r w:rsidR="00823F92" w:rsidRPr="006C4490">
        <w:t>g</w:t>
      </w:r>
      <w:r w:rsidR="00823F92">
        <w:t xml:space="preserve"> </w:t>
      </w:r>
      <w:r w:rsidRPr="006C4490">
        <w:t>impact</w:t>
      </w:r>
      <w:r w:rsidR="00823F92" w:rsidRPr="006C4490">
        <w:t>s</w:t>
      </w:r>
      <w:r w:rsidR="00823F92">
        <w:t xml:space="preserve"> </w:t>
      </w:r>
      <w:r w:rsidRPr="006C4490">
        <w:t>no</w:t>
      </w:r>
      <w:r w:rsidR="00823F92" w:rsidRPr="006C4490">
        <w:t>t</w:t>
      </w:r>
      <w:r w:rsidR="00823F92">
        <w:t xml:space="preserve"> </w:t>
      </w:r>
      <w:r w:rsidRPr="006C4490">
        <w:t>onl</w:t>
      </w:r>
      <w:r w:rsidR="00823F92" w:rsidRPr="006C4490">
        <w:t>y</w:t>
      </w:r>
      <w:r w:rsidR="00823F92">
        <w:t xml:space="preserve"> </w:t>
      </w:r>
      <w:r w:rsidRPr="006C4490">
        <w:t>fo</w:t>
      </w:r>
      <w:r w:rsidR="00823F92" w:rsidRPr="006C4490">
        <w:t>r</w:t>
      </w:r>
      <w:r w:rsidR="00823F92">
        <w:t xml:space="preserve"> </w:t>
      </w:r>
      <w:r w:rsidRPr="006C4490">
        <w:t>individual</w:t>
      </w:r>
      <w:r w:rsidR="00823F92" w:rsidRPr="006C4490">
        <w:t>s</w:t>
      </w:r>
      <w:r w:rsidR="00823F92">
        <w:t xml:space="preserve"> </w:t>
      </w:r>
      <w:r w:rsidRPr="006C4490">
        <w:t>affecte</w:t>
      </w:r>
      <w:r w:rsidR="00823F92" w:rsidRPr="006C4490">
        <w:t>d</w:t>
      </w:r>
      <w:r w:rsidR="00823F92">
        <w:t xml:space="preserve"> </w:t>
      </w:r>
      <w:r w:rsidRPr="006C4490">
        <w:t>bu</w:t>
      </w:r>
      <w:r w:rsidR="00823F92" w:rsidRPr="006C4490">
        <w:t>t</w:t>
      </w:r>
      <w:r w:rsidR="00823F92">
        <w:t xml:space="preserve"> </w:t>
      </w:r>
      <w:r w:rsidRPr="006C4490">
        <w:t>fo</w:t>
      </w:r>
      <w:r w:rsidR="00823F92" w:rsidRPr="006C4490">
        <w:t>r</w:t>
      </w:r>
      <w:r w:rsidR="00823F92">
        <w:t xml:space="preserve"> </w:t>
      </w:r>
      <w:r w:rsidRPr="006C4490">
        <w:t>thei</w:t>
      </w:r>
      <w:r w:rsidR="00823F92" w:rsidRPr="006C4490">
        <w:t>r</w:t>
      </w:r>
      <w:r w:rsidR="00823F92">
        <w:t xml:space="preserve"> </w:t>
      </w:r>
      <w:r w:rsidRPr="006C4490">
        <w:t>families</w:t>
      </w:r>
      <w:r w:rsidR="00823F92">
        <w:t xml:space="preserve">, </w:t>
      </w:r>
      <w:r w:rsidRPr="006C4490">
        <w:t>carers</w:t>
      </w:r>
      <w:r w:rsidR="00823F92" w:rsidRPr="006C4490">
        <w:t>,</w:t>
      </w:r>
      <w:r w:rsidR="00823F92">
        <w:t xml:space="preserve"> </w:t>
      </w:r>
      <w:r>
        <w:t>an</w:t>
      </w:r>
      <w:r w:rsidR="00823F92">
        <w:t xml:space="preserve">d </w:t>
      </w:r>
      <w:r w:rsidRPr="006C4490">
        <w:t>friends</w:t>
      </w:r>
      <w:r w:rsidR="00823F92" w:rsidRPr="006C4490">
        <w:t>,</w:t>
      </w:r>
      <w:r w:rsidR="00823F92">
        <w:t xml:space="preserve"> </w:t>
      </w:r>
      <w:r w:rsidRPr="006C4490">
        <w:t>an</w:t>
      </w:r>
      <w:r w:rsidR="00823F92" w:rsidRPr="006C4490">
        <w:t>d</w:t>
      </w:r>
      <w:r w:rsidR="00823F92">
        <w:t xml:space="preserve"> </w:t>
      </w:r>
      <w:r w:rsidRPr="006C4490">
        <w:t>thos</w:t>
      </w:r>
      <w:r w:rsidR="00823F92" w:rsidRPr="006C4490">
        <w:t>e</w:t>
      </w:r>
      <w:r w:rsidR="00823F92">
        <w:t xml:space="preserve"> </w:t>
      </w:r>
      <w:r w:rsidRPr="006C4490">
        <w:t>wh</w:t>
      </w:r>
      <w:r w:rsidR="00823F92" w:rsidRPr="006C4490">
        <w:t>o</w:t>
      </w:r>
      <w:r w:rsidR="00823F92">
        <w:t xml:space="preserve"> </w:t>
      </w:r>
      <w:r w:rsidRPr="006C4490">
        <w:t>provid</w:t>
      </w:r>
      <w:r w:rsidR="00823F92" w:rsidRPr="006C4490">
        <w:t>e</w:t>
      </w:r>
      <w:r w:rsidR="00823F92">
        <w:t xml:space="preserve"> </w:t>
      </w:r>
      <w:r w:rsidRPr="006C4490">
        <w:t>suppor</w:t>
      </w:r>
      <w:r w:rsidR="00823F92" w:rsidRPr="006C4490">
        <w:t>t</w:t>
      </w:r>
      <w:r w:rsidR="00823F92">
        <w:t xml:space="preserve"> </w:t>
      </w:r>
      <w:r w:rsidRPr="006C4490">
        <w:t>an</w:t>
      </w:r>
      <w:r w:rsidR="00823F92" w:rsidRPr="006C4490">
        <w:t>d</w:t>
      </w:r>
      <w:r w:rsidR="00823F92">
        <w:t xml:space="preserve"> </w:t>
      </w:r>
      <w:r w:rsidRPr="006C4490">
        <w:t>treatment</w:t>
      </w:r>
      <w:r w:rsidR="00823F92" w:rsidRPr="006C4490">
        <w:t>.</w:t>
      </w:r>
      <w:r w:rsidR="00823F92">
        <w:t xml:space="preserve"> </w:t>
      </w:r>
    </w:p>
    <w:p w14:paraId="0DC9CE44" w14:textId="4773CDA9" w:rsidR="00103373" w:rsidRPr="006C4490" w:rsidRDefault="00E2278D" w:rsidP="00E2278D">
      <w:pPr>
        <w:pStyle w:val="BodyText"/>
      </w:pPr>
      <w:r w:rsidRPr="006C4490">
        <w:t>Fo</w:t>
      </w:r>
      <w:r w:rsidR="00823F92" w:rsidRPr="006C4490">
        <w:t>r</w:t>
      </w:r>
      <w:r w:rsidR="00823F92">
        <w:t xml:space="preserve"> </w:t>
      </w:r>
      <w:r w:rsidRPr="006C4490">
        <w:t>peopl</w:t>
      </w:r>
      <w:r w:rsidR="00823F92" w:rsidRPr="006C4490">
        <w:t>e</w:t>
      </w:r>
      <w:r w:rsidR="00823F92">
        <w:t xml:space="preserve"> </w:t>
      </w:r>
      <w:r w:rsidRPr="006C4490">
        <w:t>experiencin</w:t>
      </w:r>
      <w:r w:rsidR="00823F92" w:rsidRPr="006C4490">
        <w:t>g</w:t>
      </w:r>
      <w:r w:rsidR="00823F92">
        <w:t xml:space="preserve"> </w:t>
      </w:r>
      <w:r w:rsidRPr="006C4490">
        <w:t>menta</w:t>
      </w:r>
      <w:r w:rsidR="00823F92" w:rsidRPr="006C4490">
        <w:t>l</w:t>
      </w:r>
      <w:r w:rsidR="00823F92">
        <w:t xml:space="preserve"> </w:t>
      </w:r>
      <w:r>
        <w:t>distres</w:t>
      </w:r>
      <w:r w:rsidR="00823F92">
        <w:t xml:space="preserve">s </w:t>
      </w:r>
      <w:r>
        <w:t>and/o</w:t>
      </w:r>
      <w:r w:rsidR="00823F92">
        <w:t xml:space="preserve">r </w:t>
      </w:r>
      <w:r w:rsidRPr="006C4490">
        <w:t>ill-health</w:t>
      </w:r>
      <w:r w:rsidR="00823F92" w:rsidRPr="006C4490">
        <w:t>,</w:t>
      </w:r>
      <w:r w:rsidR="00823F92">
        <w:t xml:space="preserve"> </w:t>
      </w:r>
      <w:r w:rsidRPr="006C4490">
        <w:t>i</w:t>
      </w:r>
      <w:r w:rsidR="00823F92" w:rsidRPr="006C4490">
        <w:t>t</w:t>
      </w:r>
      <w:r w:rsidR="00823F92">
        <w:t xml:space="preserve"> </w:t>
      </w:r>
      <w:r w:rsidRPr="006C4490">
        <w:t>ca</w:t>
      </w:r>
      <w:r w:rsidR="00823F92" w:rsidRPr="006C4490">
        <w:t>n</w:t>
      </w:r>
      <w:r w:rsidR="00823F92">
        <w:t xml:space="preserve"> </w:t>
      </w:r>
      <w:r w:rsidRPr="006C4490">
        <w:t>affec</w:t>
      </w:r>
      <w:r w:rsidR="00823F92" w:rsidRPr="006C4490">
        <w:t>t</w:t>
      </w:r>
      <w:r w:rsidR="00823F92">
        <w:t xml:space="preserve"> </w:t>
      </w:r>
      <w:r w:rsidRPr="006C4490">
        <w:t>thei</w:t>
      </w:r>
      <w:r w:rsidR="00823F92" w:rsidRPr="006C4490">
        <w:t>r</w:t>
      </w:r>
      <w:r w:rsidR="00823F92">
        <w:t xml:space="preserve"> </w:t>
      </w:r>
      <w:r w:rsidRPr="006C4490">
        <w:t>functionin</w:t>
      </w:r>
      <w:r w:rsidR="00823F92" w:rsidRPr="006C4490">
        <w:t>g</w:t>
      </w:r>
      <w:r w:rsidR="00823F92">
        <w:t xml:space="preserve"> </w:t>
      </w:r>
      <w:r w:rsidRPr="006C4490">
        <w:t>a</w:t>
      </w:r>
      <w:r w:rsidR="00823F92" w:rsidRPr="006C4490">
        <w:t>t</w:t>
      </w:r>
      <w:r w:rsidR="00823F92">
        <w:t xml:space="preserve"> </w:t>
      </w:r>
      <w:r w:rsidRPr="006C4490">
        <w:t>work</w:t>
      </w:r>
      <w:r w:rsidR="00823F92" w:rsidRPr="006C4490">
        <w:t>,</w:t>
      </w:r>
      <w:r w:rsidR="00823F92">
        <w:t xml:space="preserve"> </w:t>
      </w:r>
      <w:r w:rsidRPr="006C4490">
        <w:t>a</w:t>
      </w:r>
      <w:r w:rsidR="00823F92" w:rsidRPr="006C4490">
        <w:t>t</w:t>
      </w:r>
      <w:r w:rsidR="00823F92">
        <w:t xml:space="preserve"> </w:t>
      </w:r>
      <w:r w:rsidRPr="006C4490">
        <w:t>schoo</w:t>
      </w:r>
      <w:r w:rsidR="00823F92" w:rsidRPr="006C4490">
        <w:t>l</w:t>
      </w:r>
      <w:r w:rsidR="00823F92">
        <w:t xml:space="preserve"> </w:t>
      </w:r>
      <w:r w:rsidRPr="006C4490">
        <w:t>an</w:t>
      </w:r>
      <w:r w:rsidR="00823F92" w:rsidRPr="006C4490">
        <w:t>d</w:t>
      </w:r>
      <w:r w:rsidR="00823F92">
        <w:t xml:space="preserve"> </w:t>
      </w:r>
      <w:r w:rsidRPr="006C4490">
        <w:t>i</w:t>
      </w:r>
      <w:r w:rsidR="00823F92" w:rsidRPr="006C4490">
        <w:t>n</w:t>
      </w:r>
      <w:r w:rsidR="00823F92">
        <w:t xml:space="preserve"> </w:t>
      </w:r>
      <w:r w:rsidRPr="006C4490">
        <w:t>socia</w:t>
      </w:r>
      <w:r w:rsidR="00823F92" w:rsidRPr="006C4490">
        <w:t>l</w:t>
      </w:r>
      <w:r w:rsidR="00823F92">
        <w:t xml:space="preserve"> </w:t>
      </w:r>
      <w:r w:rsidRPr="006C4490">
        <w:t>situations</w:t>
      </w:r>
      <w:r w:rsidR="00823F92" w:rsidRPr="006C4490">
        <w:t>.</w:t>
      </w:r>
      <w:r w:rsidR="00823F92">
        <w:t xml:space="preserve"> </w:t>
      </w:r>
      <w:r w:rsidRPr="006C4490">
        <w:t>Th</w:t>
      </w:r>
      <w:r w:rsidR="00823F92" w:rsidRPr="006C4490">
        <w:t>e</w:t>
      </w:r>
      <w:r w:rsidR="00823F92">
        <w:t xml:space="preserve"> </w:t>
      </w:r>
      <w:r w:rsidRPr="006C4490">
        <w:t>onse</w:t>
      </w:r>
      <w:r w:rsidR="00823F92" w:rsidRPr="006C4490">
        <w:t>t</w:t>
      </w:r>
      <w:r w:rsidR="00823F92">
        <w:t xml:space="preserve"> </w:t>
      </w:r>
      <w:r w:rsidRPr="006C4490">
        <w:t>o</w:t>
      </w:r>
      <w:r w:rsidR="00823F92" w:rsidRPr="006C4490">
        <w:t>f</w:t>
      </w:r>
      <w:r w:rsidR="00823F92">
        <w:t xml:space="preserve"> </w:t>
      </w:r>
      <w:r w:rsidRPr="006C4490">
        <w:t>menta</w:t>
      </w:r>
      <w:r w:rsidR="00823F92" w:rsidRPr="006C4490">
        <w:t>l</w:t>
      </w:r>
      <w:r w:rsidR="00823F92">
        <w:t xml:space="preserve"> </w:t>
      </w:r>
      <w:r w:rsidRPr="006C4490">
        <w:t>ill-healt</w:t>
      </w:r>
      <w:r w:rsidR="00823F92" w:rsidRPr="006C4490">
        <w:t>h</w:t>
      </w:r>
      <w:r w:rsidR="00823F92">
        <w:t xml:space="preserve"> </w:t>
      </w:r>
      <w:r w:rsidRPr="006C4490">
        <w:t>earl</w:t>
      </w:r>
      <w:r w:rsidR="00823F92" w:rsidRPr="006C4490">
        <w:t>y</w:t>
      </w:r>
      <w:r w:rsidR="00823F92">
        <w:t xml:space="preserve"> </w:t>
      </w:r>
      <w:r w:rsidRPr="006C4490">
        <w:t>i</w:t>
      </w:r>
      <w:r w:rsidR="00823F92" w:rsidRPr="006C4490">
        <w:t>n</w:t>
      </w:r>
      <w:r w:rsidR="00823F92">
        <w:t xml:space="preserve"> </w:t>
      </w:r>
      <w:r w:rsidRPr="006C4490">
        <w:t>lif</w:t>
      </w:r>
      <w:r w:rsidR="00823F92" w:rsidRPr="006C4490">
        <w:t>e</w:t>
      </w:r>
      <w:r w:rsidR="00823F92">
        <w:t xml:space="preserve"> </w:t>
      </w:r>
      <w:r w:rsidRPr="006C4490">
        <w:t>ca</w:t>
      </w:r>
      <w:r w:rsidR="00823F92" w:rsidRPr="006C4490">
        <w:t>n</w:t>
      </w:r>
      <w:r w:rsidR="00823F92">
        <w:t xml:space="preserve"> </w:t>
      </w:r>
      <w:r w:rsidRPr="006C4490">
        <w:t>preven</w:t>
      </w:r>
      <w:r w:rsidR="00823F92" w:rsidRPr="006C4490">
        <w:t>t</w:t>
      </w:r>
      <w:r w:rsidR="00823F92">
        <w:t xml:space="preserve"> </w:t>
      </w:r>
      <w:r w:rsidRPr="006C4490">
        <w:t>youn</w:t>
      </w:r>
      <w:r w:rsidR="00823F92" w:rsidRPr="006C4490">
        <w:t>g</w:t>
      </w:r>
      <w:r w:rsidR="00823F92">
        <w:t xml:space="preserve"> </w:t>
      </w:r>
      <w:r w:rsidRPr="006C4490">
        <w:t>peopl</w:t>
      </w:r>
      <w:r w:rsidR="00823F92" w:rsidRPr="006C4490">
        <w:t>e</w:t>
      </w:r>
      <w:r w:rsidR="00823F92">
        <w:t xml:space="preserve"> </w:t>
      </w:r>
      <w:r w:rsidRPr="006C4490">
        <w:t>fro</w:t>
      </w:r>
      <w:r w:rsidR="00823F92" w:rsidRPr="006C4490">
        <w:t>m</w:t>
      </w:r>
      <w:r w:rsidR="00823F92">
        <w:t xml:space="preserve"> </w:t>
      </w:r>
      <w:r w:rsidRPr="006C4490">
        <w:t>finishin</w:t>
      </w:r>
      <w:r w:rsidR="00823F92" w:rsidRPr="006C4490">
        <w:t>g</w:t>
      </w:r>
      <w:r w:rsidR="00823F92">
        <w:t xml:space="preserve"> </w:t>
      </w:r>
      <w:r w:rsidRPr="006C4490">
        <w:t>schoo</w:t>
      </w:r>
      <w:r w:rsidR="00823F92" w:rsidRPr="006C4490">
        <w:t>l</w:t>
      </w:r>
      <w:r w:rsidR="00823F92">
        <w:t xml:space="preserve"> </w:t>
      </w:r>
      <w:r w:rsidRPr="006C4490">
        <w:t>o</w:t>
      </w:r>
      <w:r w:rsidR="00823F92" w:rsidRPr="006C4490">
        <w:t>r</w:t>
      </w:r>
      <w:r w:rsidR="00823F92">
        <w:t xml:space="preserve"> </w:t>
      </w:r>
      <w:r w:rsidRPr="006C4490">
        <w:t>successfu</w:t>
      </w:r>
      <w:r w:rsidR="00823F92" w:rsidRPr="006C4490">
        <w:t>l</w:t>
      </w:r>
      <w:r w:rsidR="00823F92">
        <w:t xml:space="preserve"> </w:t>
      </w:r>
      <w:r w:rsidRPr="006C4490">
        <w:t>transitionin</w:t>
      </w:r>
      <w:r w:rsidR="00823F92" w:rsidRPr="006C4490">
        <w:t>g</w:t>
      </w:r>
      <w:r w:rsidR="00823F92">
        <w:t xml:space="preserve"> </w:t>
      </w:r>
      <w:r w:rsidRPr="006C4490">
        <w:t>int</w:t>
      </w:r>
      <w:r w:rsidR="00823F92" w:rsidRPr="006C4490">
        <w:t>o</w:t>
      </w:r>
      <w:r w:rsidR="00823F92">
        <w:t xml:space="preserve"> </w:t>
      </w:r>
      <w:r w:rsidRPr="006C4490">
        <w:t>employment</w:t>
      </w:r>
      <w:r w:rsidR="00823F92" w:rsidRPr="006C4490">
        <w:t>.</w:t>
      </w:r>
      <w:r w:rsidR="00823F92">
        <w:t xml:space="preserve"> </w:t>
      </w:r>
      <w:r w:rsidRPr="006C4490">
        <w:lastRenderedPageBreak/>
        <w:t>I</w:t>
      </w:r>
      <w:r w:rsidR="00823F92" w:rsidRPr="006C4490">
        <w:t>n</w:t>
      </w:r>
      <w:r w:rsidR="00823F92">
        <w:t xml:space="preserve"> </w:t>
      </w:r>
      <w:r w:rsidRPr="006C4490">
        <w:t>th</w:t>
      </w:r>
      <w:r w:rsidR="00823F92" w:rsidRPr="006C4490">
        <w:t>e</w:t>
      </w:r>
      <w:r w:rsidR="00823F92">
        <w:t xml:space="preserve"> </w:t>
      </w:r>
      <w:r w:rsidRPr="006C4490">
        <w:t>workplace</w:t>
      </w:r>
      <w:r w:rsidR="00823F92" w:rsidRPr="006C4490">
        <w:t>,</w:t>
      </w:r>
      <w:r w:rsidR="00823F92">
        <w:t xml:space="preserve"> </w:t>
      </w:r>
      <w:r w:rsidRPr="006C4490">
        <w:t>menta</w:t>
      </w:r>
      <w:r w:rsidR="00823F92" w:rsidRPr="006C4490">
        <w:t>l</w:t>
      </w:r>
      <w:r w:rsidR="00823F92">
        <w:t xml:space="preserve"> </w:t>
      </w:r>
      <w:r w:rsidRPr="006C4490">
        <w:t>ill-healt</w:t>
      </w:r>
      <w:r w:rsidR="00823F92" w:rsidRPr="006C4490">
        <w:t>h</w:t>
      </w:r>
      <w:r w:rsidR="00823F92">
        <w:t xml:space="preserve"> </w:t>
      </w:r>
      <w:r w:rsidRPr="006C4490">
        <w:t>ca</w:t>
      </w:r>
      <w:r w:rsidR="00823F92" w:rsidRPr="006C4490">
        <w:t>n</w:t>
      </w:r>
      <w:r w:rsidR="00823F92">
        <w:t xml:space="preserve"> </w:t>
      </w:r>
      <w:r w:rsidRPr="006C4490">
        <w:t>lowe</w:t>
      </w:r>
      <w:r w:rsidR="00823F92" w:rsidRPr="006C4490">
        <w:t>r</w:t>
      </w:r>
      <w:r w:rsidR="00823F92">
        <w:t xml:space="preserve"> </w:t>
      </w:r>
      <w:r w:rsidRPr="006C4490">
        <w:t>productivity</w:t>
      </w:r>
      <w:r w:rsidR="00823F92" w:rsidRPr="006C4490">
        <w:t>,</w:t>
      </w:r>
      <w:r w:rsidR="00823F92">
        <w:t xml:space="preserve"> </w:t>
      </w:r>
      <w:r w:rsidRPr="006C4490">
        <w:t>reduc</w:t>
      </w:r>
      <w:r w:rsidR="00823F92" w:rsidRPr="006C4490">
        <w:t>e</w:t>
      </w:r>
      <w:r w:rsidR="00823F92">
        <w:t xml:space="preserve"> </w:t>
      </w:r>
      <w:r w:rsidRPr="006C4490">
        <w:t>earning</w:t>
      </w:r>
      <w:r w:rsidR="00823F92" w:rsidRPr="006C4490">
        <w:t>s</w:t>
      </w:r>
      <w:r w:rsidR="00823F92">
        <w:t xml:space="preserve"> </w:t>
      </w:r>
      <w:r w:rsidRPr="006C4490">
        <w:t>an</w:t>
      </w:r>
      <w:r w:rsidR="00823F92" w:rsidRPr="006C4490">
        <w:t>d</w:t>
      </w:r>
      <w:r w:rsidR="00823F92">
        <w:t xml:space="preserve"> </w:t>
      </w:r>
      <w:r w:rsidRPr="006C4490">
        <w:t>decreas</w:t>
      </w:r>
      <w:r w:rsidR="00823F92" w:rsidRPr="006C4490">
        <w:t>e</w:t>
      </w:r>
      <w:r w:rsidR="00823F92">
        <w:t xml:space="preserve"> </w:t>
      </w:r>
      <w:r w:rsidRPr="006C4490">
        <w:t>employmen</w:t>
      </w:r>
      <w:r w:rsidR="00823F92" w:rsidRPr="006C4490">
        <w:t>t</w:t>
      </w:r>
      <w:r w:rsidR="00823F92">
        <w:t xml:space="preserve"> </w:t>
      </w:r>
      <w:r w:rsidRPr="006C4490">
        <w:t>potential</w:t>
      </w:r>
      <w:r w:rsidR="00823F92" w:rsidRPr="006C4490">
        <w:t>.</w:t>
      </w:r>
      <w:r w:rsidR="00823F92">
        <w:t xml:space="preserve"> </w:t>
      </w:r>
      <w:r w:rsidRPr="006C4490">
        <w:t>Thes</w:t>
      </w:r>
      <w:r w:rsidR="00823F92" w:rsidRPr="006C4490">
        <w:t>e</w:t>
      </w:r>
      <w:r w:rsidR="00823F92">
        <w:t xml:space="preserve"> </w:t>
      </w:r>
      <w:r w:rsidRPr="006C4490">
        <w:t>factor</w:t>
      </w:r>
      <w:r w:rsidR="00823F92" w:rsidRPr="006C4490">
        <w:t>s</w:t>
      </w:r>
      <w:r w:rsidR="00823F92">
        <w:t xml:space="preserve"> </w:t>
      </w:r>
      <w:r w:rsidRPr="006C4490">
        <w:t>al</w:t>
      </w:r>
      <w:r w:rsidR="00823F92" w:rsidRPr="006C4490">
        <w:t>l</w:t>
      </w:r>
      <w:r w:rsidR="00823F92">
        <w:t xml:space="preserve"> </w:t>
      </w:r>
      <w:r w:rsidRPr="006C4490">
        <w:t>contribut</w:t>
      </w:r>
      <w:r w:rsidR="00823F92" w:rsidRPr="006C4490">
        <w:t>e</w:t>
      </w:r>
      <w:r w:rsidR="00823F92">
        <w:t xml:space="preserve"> </w:t>
      </w:r>
      <w:r w:rsidRPr="006C4490">
        <w:t>t</w:t>
      </w:r>
      <w:r w:rsidR="00823F92" w:rsidRPr="006C4490">
        <w:t>o</w:t>
      </w:r>
      <w:r w:rsidR="00823F92">
        <w:t xml:space="preserve"> </w:t>
      </w:r>
      <w:r w:rsidRPr="006C4490">
        <w:t>a</w:t>
      </w:r>
      <w:r w:rsidR="00823F92" w:rsidRPr="006C4490">
        <w:t>n</w:t>
      </w:r>
      <w:r w:rsidR="00823F92">
        <w:t xml:space="preserve"> </w:t>
      </w:r>
      <w:r w:rsidRPr="006C4490">
        <w:t>individual’</w:t>
      </w:r>
      <w:r w:rsidR="00823F92" w:rsidRPr="006C4490">
        <w:t>s</w:t>
      </w:r>
      <w:r w:rsidR="00823F92">
        <w:t xml:space="preserve"> </w:t>
      </w:r>
      <w:r w:rsidRPr="006C4490">
        <w:t>increase</w:t>
      </w:r>
      <w:r w:rsidR="00823F92" w:rsidRPr="006C4490">
        <w:t>d</w:t>
      </w:r>
      <w:r w:rsidR="00823F92">
        <w:t xml:space="preserve"> </w:t>
      </w:r>
      <w:r w:rsidRPr="006C4490">
        <w:t>ris</w:t>
      </w:r>
      <w:r w:rsidR="00823F92" w:rsidRPr="006C4490">
        <w:t>k</w:t>
      </w:r>
      <w:r w:rsidR="00823F92">
        <w:t xml:space="preserve"> </w:t>
      </w:r>
      <w:r w:rsidRPr="006C4490">
        <w:t>o</w:t>
      </w:r>
      <w:r w:rsidR="00823F92" w:rsidRPr="006C4490">
        <w:t>f</w:t>
      </w:r>
      <w:r w:rsidR="00823F92">
        <w:t xml:space="preserve"> </w:t>
      </w:r>
      <w:r w:rsidRPr="006C4490">
        <w:t>disadvantage.</w:t>
      </w:r>
      <w:r w:rsidR="00103373" w:rsidRPr="006C4490">
        <w:rPr>
          <w:rStyle w:val="FootnoteReference"/>
        </w:rPr>
        <w:footnoteReference w:id="8"/>
      </w:r>
      <w:r w:rsidR="00103373" w:rsidRPr="006C4490">
        <w:t xml:space="preserve"> </w:t>
      </w:r>
    </w:p>
    <w:p w14:paraId="793139BA" w14:textId="40E841DD" w:rsidR="0005477D" w:rsidRPr="006C4490" w:rsidRDefault="00103373" w:rsidP="0005477D">
      <w:pPr>
        <w:pStyle w:val="BodyText"/>
        <w:rPr>
          <w:lang w:val="en-US"/>
        </w:rPr>
      </w:pPr>
      <w:r w:rsidRPr="006C4490">
        <w:t>Peopl</w:t>
      </w:r>
      <w:r w:rsidR="00823F92" w:rsidRPr="006C4490">
        <w:t>e</w:t>
      </w:r>
      <w:r w:rsidR="00823F92">
        <w:t xml:space="preserve"> </w:t>
      </w:r>
      <w:r w:rsidRPr="006C4490">
        <w:t>wit</w:t>
      </w:r>
      <w:r w:rsidR="00823F92" w:rsidRPr="006C4490">
        <w:t>h</w:t>
      </w:r>
      <w:r w:rsidR="00823F92">
        <w:t xml:space="preserve"> </w:t>
      </w:r>
      <w:r w:rsidRPr="006C4490">
        <w:t>menta</w:t>
      </w:r>
      <w:r w:rsidR="00823F92" w:rsidRPr="006C4490">
        <w:t>l</w:t>
      </w:r>
      <w:r w:rsidR="00823F92">
        <w:t xml:space="preserve"> </w:t>
      </w:r>
      <w:r w:rsidRPr="006C4490">
        <w:t>ill-healt</w:t>
      </w:r>
      <w:r w:rsidR="00823F92" w:rsidRPr="006C4490">
        <w:t>h</w:t>
      </w:r>
      <w:r w:rsidR="00823F92">
        <w:t xml:space="preserve"> </w:t>
      </w:r>
      <w:r w:rsidRPr="006C4490">
        <w:t>ar</w:t>
      </w:r>
      <w:r w:rsidR="00823F92" w:rsidRPr="006C4490">
        <w:t>e</w:t>
      </w:r>
      <w:r w:rsidR="00823F92">
        <w:t xml:space="preserve"> </w:t>
      </w:r>
      <w:r w:rsidRPr="006C4490">
        <w:t>mor</w:t>
      </w:r>
      <w:r w:rsidR="00823F92" w:rsidRPr="006C4490">
        <w:t>e</w:t>
      </w:r>
      <w:r w:rsidR="00823F92">
        <w:t xml:space="preserve"> </w:t>
      </w:r>
      <w:r w:rsidRPr="006C4490">
        <w:t>likel</w:t>
      </w:r>
      <w:r w:rsidR="00823F92" w:rsidRPr="006C4490">
        <w:t>y</w:t>
      </w:r>
      <w:r w:rsidR="00823F92">
        <w:t xml:space="preserve"> </w:t>
      </w:r>
      <w:r w:rsidRPr="006C4490">
        <w:t>t</w:t>
      </w:r>
      <w:r w:rsidR="00823F92" w:rsidRPr="006C4490">
        <w:t>o</w:t>
      </w:r>
      <w:r w:rsidR="00823F92">
        <w:t xml:space="preserve"> </w:t>
      </w:r>
      <w:r w:rsidRPr="006C4490">
        <w:t>experienc</w:t>
      </w:r>
      <w:r w:rsidR="00823F92" w:rsidRPr="006C4490">
        <w:t>e</w:t>
      </w:r>
      <w:r w:rsidR="00823F92">
        <w:t xml:space="preserve"> </w:t>
      </w:r>
      <w:r w:rsidRPr="006C4490">
        <w:t>physica</w:t>
      </w:r>
      <w:r w:rsidR="00823F92" w:rsidRPr="006C4490">
        <w:t>l</w:t>
      </w:r>
      <w:r w:rsidR="00823F92">
        <w:t xml:space="preserve"> </w:t>
      </w:r>
      <w:r w:rsidRPr="006C4490">
        <w:t>healt</w:t>
      </w:r>
      <w:r w:rsidR="00823F92" w:rsidRPr="006C4490">
        <w:t>h</w:t>
      </w:r>
      <w:r w:rsidR="00823F92">
        <w:t xml:space="preserve"> </w:t>
      </w:r>
      <w:r w:rsidRPr="006C4490">
        <w:t>problems</w:t>
      </w:r>
      <w:r w:rsidR="00823F92" w:rsidRPr="006C4490">
        <w:t>,</w:t>
      </w:r>
      <w:r w:rsidR="00823F92">
        <w:t xml:space="preserve"> </w:t>
      </w:r>
      <w:r w:rsidRPr="006C4490">
        <w:t>suc</w:t>
      </w:r>
      <w:r w:rsidR="00823F92" w:rsidRPr="006C4490">
        <w:t>h</w:t>
      </w:r>
      <w:r w:rsidR="00823F92">
        <w:t xml:space="preserve"> </w:t>
      </w:r>
      <w:r w:rsidRPr="006C4490">
        <w:t>a</w:t>
      </w:r>
      <w:r w:rsidR="00823F92" w:rsidRPr="006C4490">
        <w:t>s</w:t>
      </w:r>
      <w:r w:rsidR="00823F92">
        <w:t xml:space="preserve"> </w:t>
      </w:r>
      <w:r w:rsidRPr="006C4490">
        <w:t>obesity</w:t>
      </w:r>
      <w:r w:rsidR="00823F92" w:rsidRPr="006C4490">
        <w:t>,</w:t>
      </w:r>
      <w:r w:rsidR="00823F92">
        <w:t xml:space="preserve"> </w:t>
      </w:r>
      <w:r w:rsidRPr="006C4490">
        <w:t>diabete</w:t>
      </w:r>
      <w:r w:rsidR="00823F92" w:rsidRPr="006C4490">
        <w:t>s</w:t>
      </w:r>
      <w:r w:rsidR="00823F92">
        <w:t xml:space="preserve"> </w:t>
      </w:r>
      <w:r w:rsidRPr="006C4490">
        <w:t>an</w:t>
      </w:r>
      <w:r w:rsidR="00823F92" w:rsidRPr="006C4490">
        <w:t>d</w:t>
      </w:r>
      <w:r w:rsidR="00823F92">
        <w:t xml:space="preserve"> </w:t>
      </w:r>
      <w:r w:rsidRPr="006C4490">
        <w:t>cardiovascula</w:t>
      </w:r>
      <w:r w:rsidR="00823F92" w:rsidRPr="006C4490">
        <w:t>r</w:t>
      </w:r>
      <w:r w:rsidR="00823F92">
        <w:t xml:space="preserve"> </w:t>
      </w:r>
      <w:r w:rsidRPr="006C4490">
        <w:t>diseases</w:t>
      </w:r>
      <w:r w:rsidR="00823F92" w:rsidRPr="006C4490">
        <w:t>,</w:t>
      </w:r>
      <w:r w:rsidR="00823F92">
        <w:t xml:space="preserve"> </w:t>
      </w:r>
      <w:r w:rsidRPr="006C4490">
        <w:t>an</w:t>
      </w:r>
      <w:r w:rsidR="00823F92" w:rsidRPr="006C4490">
        <w:t>d</w:t>
      </w:r>
      <w:r w:rsidR="00823F92">
        <w:t xml:space="preserve"> </w:t>
      </w:r>
      <w:r w:rsidRPr="006C4490">
        <w:t>poore</w:t>
      </w:r>
      <w:r w:rsidR="00823F92" w:rsidRPr="006C4490">
        <w:t>r</w:t>
      </w:r>
      <w:r w:rsidR="00823F92">
        <w:t xml:space="preserve"> </w:t>
      </w:r>
      <w:r w:rsidRPr="006C4490">
        <w:t>qualit</w:t>
      </w:r>
      <w:r w:rsidR="00823F92" w:rsidRPr="006C4490">
        <w:t>y</w:t>
      </w:r>
      <w:r w:rsidR="00823F92">
        <w:t xml:space="preserve"> </w:t>
      </w:r>
      <w:r w:rsidRPr="006C4490">
        <w:t>o</w:t>
      </w:r>
      <w:r w:rsidR="00823F92" w:rsidRPr="006C4490">
        <w:t>f</w:t>
      </w:r>
      <w:r w:rsidR="00823F92">
        <w:t xml:space="preserve"> </w:t>
      </w:r>
      <w:r w:rsidRPr="006C4490">
        <w:t>lif</w:t>
      </w:r>
      <w:r w:rsidR="00823F92" w:rsidRPr="006C4490">
        <w:t>e</w:t>
      </w:r>
      <w:r w:rsidR="00823F92">
        <w:t xml:space="preserve"> </w:t>
      </w:r>
      <w:r w:rsidRPr="006C4490">
        <w:t>throug</w:t>
      </w:r>
      <w:r w:rsidR="00823F92" w:rsidRPr="006C4490">
        <w:t>h</w:t>
      </w:r>
      <w:r w:rsidR="00823F92">
        <w:t xml:space="preserve"> </w:t>
      </w:r>
      <w:r w:rsidRPr="006C4490">
        <w:t>los</w:t>
      </w:r>
      <w:r w:rsidR="00823F92" w:rsidRPr="006C4490">
        <w:t>s</w:t>
      </w:r>
      <w:r w:rsidR="00823F92">
        <w:t xml:space="preserve"> </w:t>
      </w:r>
      <w:r w:rsidRPr="006C4490">
        <w:t>o</w:t>
      </w:r>
      <w:r w:rsidR="00823F92" w:rsidRPr="006C4490">
        <w:t>f</w:t>
      </w:r>
      <w:r w:rsidR="00823F92">
        <w:t xml:space="preserve"> </w:t>
      </w:r>
      <w:r w:rsidRPr="006C4490">
        <w:t>lif</w:t>
      </w:r>
      <w:r w:rsidR="00823F92" w:rsidRPr="006C4490">
        <w:t>e</w:t>
      </w:r>
      <w:r w:rsidR="00823F92">
        <w:t xml:space="preserve"> </w:t>
      </w:r>
      <w:r w:rsidRPr="006C4490">
        <w:t>satisfactio</w:t>
      </w:r>
      <w:r w:rsidR="00823F92" w:rsidRPr="006C4490">
        <w:t>n</w:t>
      </w:r>
      <w:r w:rsidR="00823F92">
        <w:t xml:space="preserve"> </w:t>
      </w:r>
      <w:r w:rsidRPr="006C4490">
        <w:t>an</w:t>
      </w:r>
      <w:r w:rsidR="00823F92" w:rsidRPr="006C4490">
        <w:t>d</w:t>
      </w:r>
      <w:r w:rsidR="00823F92">
        <w:t xml:space="preserve"> </w:t>
      </w:r>
      <w:r w:rsidRPr="006C4490">
        <w:t>opportunities.</w:t>
      </w:r>
      <w:r w:rsidR="003E1F2E">
        <w:rPr>
          <w:rStyle w:val="FootnoteReference"/>
        </w:rPr>
        <w:footnoteReference w:id="9"/>
      </w:r>
      <w:r w:rsidRPr="006C4490">
        <w:t xml:space="preserve"> </w:t>
      </w:r>
      <w:r w:rsidRPr="006C4490">
        <w:rPr>
          <w:lang w:val="en-US"/>
        </w:rPr>
        <w:t>Fo</w:t>
      </w:r>
      <w:r w:rsidR="00823F92" w:rsidRPr="006C4490">
        <w:rPr>
          <w:lang w:val="en-US"/>
        </w:rPr>
        <w:t>r</w:t>
      </w:r>
      <w:r w:rsidR="00823F92">
        <w:rPr>
          <w:lang w:val="en-US"/>
        </w:rPr>
        <w:t xml:space="preserve"> </w:t>
      </w:r>
      <w:r w:rsidRPr="006C4490">
        <w:rPr>
          <w:lang w:val="en-US"/>
        </w:rPr>
        <w:t>thos</w:t>
      </w:r>
      <w:r w:rsidR="00823F92" w:rsidRPr="006C4490">
        <w:rPr>
          <w:lang w:val="en-US"/>
        </w:rPr>
        <w:t>e</w:t>
      </w:r>
      <w:r w:rsidR="00823F92">
        <w:rPr>
          <w:lang w:val="en-US"/>
        </w:rPr>
        <w:t xml:space="preserve"> </w:t>
      </w:r>
      <w:r w:rsidRPr="006C4490">
        <w:rPr>
          <w:lang w:val="en-US"/>
        </w:rPr>
        <w:t>affecte</w:t>
      </w:r>
      <w:r w:rsidR="00823F92" w:rsidRPr="006C4490">
        <w:rPr>
          <w:lang w:val="en-US"/>
        </w:rPr>
        <w:t>d</w:t>
      </w:r>
      <w:r w:rsidR="00823F92">
        <w:rPr>
          <w:lang w:val="en-US"/>
        </w:rPr>
        <w:t xml:space="preserve"> </w:t>
      </w:r>
      <w:r w:rsidRPr="006C4490">
        <w:rPr>
          <w:lang w:val="en-US"/>
        </w:rPr>
        <w:t>b</w:t>
      </w:r>
      <w:r w:rsidR="00823F92" w:rsidRPr="006C4490">
        <w:rPr>
          <w:lang w:val="en-US"/>
        </w:rPr>
        <w:t>y</w:t>
      </w:r>
      <w:r w:rsidR="00823F92">
        <w:rPr>
          <w:lang w:val="en-US"/>
        </w:rPr>
        <w:t xml:space="preserve"> </w:t>
      </w:r>
      <w:r w:rsidRPr="006C4490">
        <w:rPr>
          <w:lang w:val="en-US"/>
        </w:rPr>
        <w:t>sever</w:t>
      </w:r>
      <w:r w:rsidR="00823F92" w:rsidRPr="006C4490">
        <w:rPr>
          <w:lang w:val="en-US"/>
        </w:rPr>
        <w:t>e</w:t>
      </w:r>
      <w:r w:rsidR="00823F92">
        <w:rPr>
          <w:lang w:val="en-US"/>
        </w:rPr>
        <w:t xml:space="preserve"> </w:t>
      </w:r>
      <w:r w:rsidRPr="006C4490">
        <w:rPr>
          <w:lang w:val="en-US"/>
        </w:rPr>
        <w:t>menta</w:t>
      </w:r>
      <w:r w:rsidR="00823F92" w:rsidRPr="006C4490">
        <w:rPr>
          <w:lang w:val="en-US"/>
        </w:rPr>
        <w:t>l</w:t>
      </w:r>
      <w:r w:rsidR="00823F92">
        <w:rPr>
          <w:lang w:val="en-US"/>
        </w:rPr>
        <w:t xml:space="preserve"> </w:t>
      </w:r>
      <w:r w:rsidRPr="006C4490">
        <w:rPr>
          <w:lang w:val="en-US"/>
        </w:rPr>
        <w:t>ill-health</w:t>
      </w:r>
      <w:r w:rsidR="00823F92" w:rsidRPr="006C4490">
        <w:rPr>
          <w:lang w:val="en-US"/>
        </w:rPr>
        <w:t>,</w:t>
      </w:r>
      <w:r w:rsidR="00823F92">
        <w:rPr>
          <w:lang w:val="en-US"/>
        </w:rPr>
        <w:t xml:space="preserve"> </w:t>
      </w:r>
      <w:r w:rsidRPr="006C4490">
        <w:rPr>
          <w:lang w:val="en-US"/>
        </w:rPr>
        <w:t>averag</w:t>
      </w:r>
      <w:r w:rsidR="00823F92" w:rsidRPr="006C4490">
        <w:rPr>
          <w:lang w:val="en-US"/>
        </w:rPr>
        <w:t>e</w:t>
      </w:r>
      <w:r w:rsidR="00823F92">
        <w:rPr>
          <w:lang w:val="en-US"/>
        </w:rPr>
        <w:t xml:space="preserve"> </w:t>
      </w:r>
      <w:r w:rsidRPr="006C4490">
        <w:rPr>
          <w:lang w:val="en-US"/>
        </w:rPr>
        <w:t>lif</w:t>
      </w:r>
      <w:r w:rsidR="00823F92" w:rsidRPr="006C4490">
        <w:rPr>
          <w:lang w:val="en-US"/>
        </w:rPr>
        <w:t>e</w:t>
      </w:r>
      <w:r w:rsidR="00823F92">
        <w:rPr>
          <w:lang w:val="en-US"/>
        </w:rPr>
        <w:t xml:space="preserve"> </w:t>
      </w:r>
      <w:r w:rsidRPr="006C4490">
        <w:rPr>
          <w:lang w:val="en-US"/>
        </w:rPr>
        <w:t>expectanc</w:t>
      </w:r>
      <w:r w:rsidR="00823F92" w:rsidRPr="006C4490">
        <w:rPr>
          <w:lang w:val="en-US"/>
        </w:rPr>
        <w:t>y</w:t>
      </w:r>
      <w:r w:rsidR="00823F92">
        <w:rPr>
          <w:lang w:val="en-US"/>
        </w:rPr>
        <w:t xml:space="preserve"> </w:t>
      </w:r>
      <w:r w:rsidRPr="006C4490">
        <w:rPr>
          <w:lang w:val="en-US"/>
        </w:rPr>
        <w:t>i</w:t>
      </w:r>
      <w:r w:rsidR="00823F92" w:rsidRPr="006C4490">
        <w:rPr>
          <w:lang w:val="en-US"/>
        </w:rPr>
        <w:t>s</w:t>
      </w:r>
      <w:r w:rsidR="00823F92">
        <w:rPr>
          <w:lang w:val="en-US"/>
        </w:rPr>
        <w:t xml:space="preserve"> </w:t>
      </w:r>
      <w:r w:rsidRPr="006C4490">
        <w:rPr>
          <w:lang w:val="en-US"/>
        </w:rPr>
        <w:t>reduced</w:t>
      </w:r>
      <w:r w:rsidR="00823F92" w:rsidRPr="006C4490">
        <w:rPr>
          <w:lang w:val="en-US"/>
        </w:rPr>
        <w:t>,</w:t>
      </w:r>
      <w:r w:rsidR="00823F92">
        <w:rPr>
          <w:lang w:val="en-US"/>
        </w:rPr>
        <w:t xml:space="preserve"> </w:t>
      </w:r>
      <w:r w:rsidRPr="006C4490">
        <w:rPr>
          <w:lang w:val="en-US"/>
        </w:rPr>
        <w:t>du</w:t>
      </w:r>
      <w:r w:rsidR="00823F92" w:rsidRPr="006C4490">
        <w:rPr>
          <w:lang w:val="en-US"/>
        </w:rPr>
        <w:t>e</w:t>
      </w:r>
      <w:r w:rsidR="00823F92">
        <w:rPr>
          <w:lang w:val="en-US"/>
        </w:rPr>
        <w:t xml:space="preserve"> </w:t>
      </w:r>
      <w:r w:rsidRPr="006C4490">
        <w:rPr>
          <w:lang w:val="en-US"/>
        </w:rPr>
        <w:t>mainl</w:t>
      </w:r>
      <w:r w:rsidR="00823F92" w:rsidRPr="006C4490">
        <w:rPr>
          <w:lang w:val="en-US"/>
        </w:rPr>
        <w:t>y</w:t>
      </w:r>
      <w:r w:rsidR="00823F92">
        <w:rPr>
          <w:lang w:val="en-US"/>
        </w:rPr>
        <w:t xml:space="preserve"> </w:t>
      </w:r>
      <w:r w:rsidRPr="006C4490">
        <w:rPr>
          <w:lang w:val="en-US"/>
        </w:rPr>
        <w:t>t</w:t>
      </w:r>
      <w:r w:rsidR="00823F92" w:rsidRPr="006C4490">
        <w:rPr>
          <w:lang w:val="en-US"/>
        </w:rPr>
        <w:t>o</w:t>
      </w:r>
      <w:r w:rsidR="00823F92">
        <w:rPr>
          <w:lang w:val="en-US"/>
        </w:rPr>
        <w:t xml:space="preserve"> </w:t>
      </w:r>
      <w:r w:rsidRPr="006C4490">
        <w:rPr>
          <w:lang w:val="en-US"/>
        </w:rPr>
        <w:t>untreate</w:t>
      </w:r>
      <w:r w:rsidR="00823F92" w:rsidRPr="006C4490">
        <w:rPr>
          <w:lang w:val="en-US"/>
        </w:rPr>
        <w:t>d</w:t>
      </w:r>
      <w:r w:rsidR="00823F92">
        <w:rPr>
          <w:lang w:val="en-US"/>
        </w:rPr>
        <w:t xml:space="preserve"> </w:t>
      </w:r>
      <w:r w:rsidRPr="006C4490">
        <w:rPr>
          <w:lang w:val="en-US"/>
        </w:rPr>
        <w:t>physica</w:t>
      </w:r>
      <w:r w:rsidR="00823F92" w:rsidRPr="006C4490">
        <w:rPr>
          <w:lang w:val="en-US"/>
        </w:rPr>
        <w:t>l</w:t>
      </w:r>
      <w:r w:rsidR="00823F92">
        <w:rPr>
          <w:lang w:val="en-US"/>
        </w:rPr>
        <w:t xml:space="preserve"> </w:t>
      </w:r>
      <w:r w:rsidRPr="006C4490">
        <w:rPr>
          <w:lang w:val="en-US"/>
        </w:rPr>
        <w:t>healt</w:t>
      </w:r>
      <w:r w:rsidR="00823F92" w:rsidRPr="006C4490">
        <w:rPr>
          <w:lang w:val="en-US"/>
        </w:rPr>
        <w:t>h</w:t>
      </w:r>
      <w:r w:rsidR="00823F92">
        <w:rPr>
          <w:lang w:val="en-US"/>
        </w:rPr>
        <w:t xml:space="preserve"> </w:t>
      </w:r>
      <w:r w:rsidRPr="006C4490">
        <w:rPr>
          <w:lang w:val="en-US"/>
        </w:rPr>
        <w:t>conditions.</w:t>
      </w:r>
      <w:r w:rsidRPr="006C4490">
        <w:rPr>
          <w:rStyle w:val="FootnoteReference"/>
          <w:lang w:val="en-US"/>
        </w:rPr>
        <w:footnoteReference w:id="10"/>
      </w:r>
      <w:r w:rsidRPr="006C4490">
        <w:rPr>
          <w:vertAlign w:val="superscript"/>
          <w:lang w:val="en-US"/>
        </w:rPr>
        <w:t>,</w:t>
      </w:r>
      <w:r w:rsidRPr="006C4490">
        <w:rPr>
          <w:rStyle w:val="FootnoteReference"/>
          <w:lang w:val="en-US"/>
        </w:rPr>
        <w:footnoteReference w:id="11"/>
      </w:r>
      <w:r w:rsidRPr="006C4490">
        <w:rPr>
          <w:lang w:val="en-US"/>
        </w:rPr>
        <w:t xml:space="preserve"> </w:t>
      </w:r>
      <w:proofErr w:type="spellStart"/>
      <w:r w:rsidR="0005477D">
        <w:rPr>
          <w:lang w:val="en-US"/>
        </w:rPr>
        <w:t>Carer</w:t>
      </w:r>
      <w:r w:rsidR="00823F92">
        <w:rPr>
          <w:lang w:val="en-US"/>
        </w:rPr>
        <w:t>s</w:t>
      </w:r>
      <w:proofErr w:type="spellEnd"/>
      <w:r w:rsidR="00823F92">
        <w:rPr>
          <w:lang w:val="en-US"/>
        </w:rPr>
        <w:t xml:space="preserve"> </w:t>
      </w:r>
      <w:r w:rsidR="0005477D">
        <w:rPr>
          <w:lang w:val="en-US"/>
        </w:rPr>
        <w:t>als</w:t>
      </w:r>
      <w:r w:rsidR="00823F92">
        <w:rPr>
          <w:lang w:val="en-US"/>
        </w:rPr>
        <w:t xml:space="preserve">o </w:t>
      </w:r>
      <w:r w:rsidR="0005477D">
        <w:rPr>
          <w:lang w:val="en-US"/>
        </w:rPr>
        <w:t>ofte</w:t>
      </w:r>
      <w:r w:rsidR="00823F92">
        <w:rPr>
          <w:lang w:val="en-US"/>
        </w:rPr>
        <w:t xml:space="preserve">n </w:t>
      </w:r>
      <w:r w:rsidR="0005477D">
        <w:rPr>
          <w:lang w:val="en-US"/>
        </w:rPr>
        <w:t>experienc</w:t>
      </w:r>
      <w:r w:rsidR="00823F92">
        <w:rPr>
          <w:lang w:val="en-US"/>
        </w:rPr>
        <w:t xml:space="preserve">e </w:t>
      </w:r>
      <w:r w:rsidR="0005477D" w:rsidRPr="0005477D">
        <w:rPr>
          <w:lang w:val="en-US"/>
        </w:rPr>
        <w:t>psychologica</w:t>
      </w:r>
      <w:r w:rsidR="00823F92" w:rsidRPr="0005477D">
        <w:rPr>
          <w:lang w:val="en-US"/>
        </w:rPr>
        <w:t>l</w:t>
      </w:r>
      <w:r w:rsidR="00823F92">
        <w:rPr>
          <w:lang w:val="en-US"/>
        </w:rPr>
        <w:t xml:space="preserve"> </w:t>
      </w:r>
      <w:r w:rsidR="0005477D" w:rsidRPr="0005477D">
        <w:rPr>
          <w:lang w:val="en-US"/>
        </w:rPr>
        <w:t>distress</w:t>
      </w:r>
      <w:r w:rsidR="00823F92" w:rsidRPr="0005477D">
        <w:rPr>
          <w:lang w:val="en-US"/>
        </w:rPr>
        <w:t>,</w:t>
      </w:r>
      <w:r w:rsidR="00823F92">
        <w:rPr>
          <w:lang w:val="en-US"/>
        </w:rPr>
        <w:t xml:space="preserve"> </w:t>
      </w:r>
      <w:r w:rsidR="0005477D" w:rsidRPr="0005477D">
        <w:rPr>
          <w:lang w:val="en-US"/>
        </w:rPr>
        <w:t>objectiv</w:t>
      </w:r>
      <w:r w:rsidR="00823F92" w:rsidRPr="0005477D">
        <w:rPr>
          <w:lang w:val="en-US"/>
        </w:rPr>
        <w:t>e</w:t>
      </w:r>
      <w:r w:rsidR="00823F92">
        <w:rPr>
          <w:lang w:val="en-US"/>
        </w:rPr>
        <w:t xml:space="preserve"> </w:t>
      </w:r>
      <w:r w:rsidR="0005477D" w:rsidRPr="0005477D">
        <w:rPr>
          <w:lang w:val="en-US"/>
        </w:rPr>
        <w:t>an</w:t>
      </w:r>
      <w:r w:rsidR="00823F92" w:rsidRPr="0005477D">
        <w:rPr>
          <w:lang w:val="en-US"/>
        </w:rPr>
        <w:t>d</w:t>
      </w:r>
      <w:r w:rsidR="00823F92">
        <w:rPr>
          <w:lang w:val="en-US"/>
        </w:rPr>
        <w:t xml:space="preserve"> </w:t>
      </w:r>
      <w:r w:rsidR="0005477D" w:rsidRPr="0005477D">
        <w:rPr>
          <w:lang w:val="en-US"/>
        </w:rPr>
        <w:t>subjectiv</w:t>
      </w:r>
      <w:r w:rsidR="00823F92" w:rsidRPr="0005477D">
        <w:rPr>
          <w:lang w:val="en-US"/>
        </w:rPr>
        <w:t>e</w:t>
      </w:r>
      <w:r w:rsidR="00823F92">
        <w:rPr>
          <w:lang w:val="en-US"/>
        </w:rPr>
        <w:t xml:space="preserve"> </w:t>
      </w:r>
      <w:r w:rsidR="0005477D" w:rsidRPr="0005477D">
        <w:rPr>
          <w:lang w:val="en-US"/>
        </w:rPr>
        <w:t>burden</w:t>
      </w:r>
      <w:r w:rsidR="00823F92" w:rsidRPr="0005477D">
        <w:rPr>
          <w:lang w:val="en-US"/>
        </w:rPr>
        <w:t>,</w:t>
      </w:r>
      <w:r w:rsidR="00823F92">
        <w:rPr>
          <w:lang w:val="en-US"/>
        </w:rPr>
        <w:t xml:space="preserve"> </w:t>
      </w:r>
      <w:r w:rsidR="0005477D" w:rsidRPr="0005477D">
        <w:rPr>
          <w:lang w:val="en-US"/>
        </w:rPr>
        <w:t>an</w:t>
      </w:r>
      <w:r w:rsidR="00823F92" w:rsidRPr="0005477D">
        <w:rPr>
          <w:lang w:val="en-US"/>
        </w:rPr>
        <w:t>d</w:t>
      </w:r>
      <w:r w:rsidR="00823F92">
        <w:rPr>
          <w:lang w:val="en-US"/>
        </w:rPr>
        <w:t xml:space="preserve"> </w:t>
      </w:r>
      <w:r w:rsidR="0005477D" w:rsidRPr="0005477D">
        <w:rPr>
          <w:lang w:val="en-US"/>
        </w:rPr>
        <w:t>poore</w:t>
      </w:r>
      <w:r w:rsidR="00823F92" w:rsidRPr="0005477D">
        <w:rPr>
          <w:lang w:val="en-US"/>
        </w:rPr>
        <w:t>r</w:t>
      </w:r>
      <w:r w:rsidR="00823F92">
        <w:rPr>
          <w:lang w:val="en-US"/>
        </w:rPr>
        <w:t xml:space="preserve"> </w:t>
      </w:r>
      <w:r w:rsidR="0005477D" w:rsidRPr="0005477D">
        <w:rPr>
          <w:lang w:val="en-US"/>
        </w:rPr>
        <w:t>healt</w:t>
      </w:r>
      <w:r w:rsidR="00823F92" w:rsidRPr="0005477D">
        <w:rPr>
          <w:lang w:val="en-US"/>
        </w:rPr>
        <w:t>h</w:t>
      </w:r>
      <w:r w:rsidR="00823F92">
        <w:rPr>
          <w:lang w:val="en-US"/>
        </w:rPr>
        <w:t xml:space="preserve"> </w:t>
      </w:r>
      <w:r w:rsidR="0005477D" w:rsidRPr="0005477D">
        <w:rPr>
          <w:lang w:val="en-US"/>
        </w:rPr>
        <w:t>outcomes</w:t>
      </w:r>
      <w:r w:rsidR="00823F92" w:rsidRPr="0005477D">
        <w:rPr>
          <w:lang w:val="en-US"/>
        </w:rPr>
        <w:t>.</w:t>
      </w:r>
      <w:r w:rsidR="00823F92">
        <w:rPr>
          <w:lang w:val="en-US"/>
        </w:rPr>
        <w:t xml:space="preserve"> </w:t>
      </w:r>
    </w:p>
    <w:p w14:paraId="4B9A1A41" w14:textId="227E63BB" w:rsidR="00103373" w:rsidRPr="00E2278D" w:rsidRDefault="00103373" w:rsidP="00E2278D">
      <w:pPr>
        <w:pStyle w:val="BodyText"/>
      </w:pPr>
      <w:r>
        <w:rPr>
          <w:lang w:val="en-US"/>
        </w:rPr>
        <w:t>Th</w:t>
      </w:r>
      <w:r w:rsidR="00823F92">
        <w:rPr>
          <w:lang w:val="en-US"/>
        </w:rPr>
        <w:t xml:space="preserve">e </w:t>
      </w:r>
      <w:r>
        <w:rPr>
          <w:lang w:val="en-US"/>
        </w:rPr>
        <w:t>flo</w:t>
      </w:r>
      <w:r w:rsidR="00823F92">
        <w:rPr>
          <w:lang w:val="en-US"/>
        </w:rPr>
        <w:t xml:space="preserve">w </w:t>
      </w:r>
      <w:r>
        <w:rPr>
          <w:lang w:val="en-US"/>
        </w:rPr>
        <w:t>o</w:t>
      </w:r>
      <w:r w:rsidR="00823F92">
        <w:rPr>
          <w:lang w:val="en-US"/>
        </w:rPr>
        <w:t xml:space="preserve">n </w:t>
      </w:r>
      <w:r>
        <w:rPr>
          <w:lang w:val="en-US"/>
        </w:rPr>
        <w:t>impact</w:t>
      </w:r>
      <w:r w:rsidR="00823F92">
        <w:rPr>
          <w:lang w:val="en-US"/>
        </w:rPr>
        <w:t xml:space="preserve">s </w:t>
      </w:r>
      <w:r>
        <w:rPr>
          <w:lang w:val="en-US"/>
        </w:rPr>
        <w:t>o</w:t>
      </w:r>
      <w:r w:rsidR="00823F92">
        <w:rPr>
          <w:lang w:val="en-US"/>
        </w:rPr>
        <w:t xml:space="preserve">f </w:t>
      </w:r>
      <w:r>
        <w:rPr>
          <w:lang w:val="en-US"/>
        </w:rPr>
        <w:t>menta</w:t>
      </w:r>
      <w:r w:rsidR="00823F92">
        <w:rPr>
          <w:lang w:val="en-US"/>
        </w:rPr>
        <w:t xml:space="preserve">l </w:t>
      </w:r>
      <w:r>
        <w:rPr>
          <w:lang w:val="en-US"/>
        </w:rPr>
        <w:t>distres</w:t>
      </w:r>
      <w:r w:rsidR="00823F92">
        <w:rPr>
          <w:lang w:val="en-US"/>
        </w:rPr>
        <w:t xml:space="preserve">s </w:t>
      </w:r>
      <w:r>
        <w:rPr>
          <w:lang w:val="en-US"/>
        </w:rPr>
        <w:t>and/o</w:t>
      </w:r>
      <w:r w:rsidR="00823F92">
        <w:rPr>
          <w:lang w:val="en-US"/>
        </w:rPr>
        <w:t xml:space="preserve">r </w:t>
      </w:r>
      <w:r>
        <w:rPr>
          <w:lang w:val="en-US"/>
        </w:rPr>
        <w:t>ill-healt</w:t>
      </w:r>
      <w:r w:rsidR="00823F92">
        <w:rPr>
          <w:lang w:val="en-US"/>
        </w:rPr>
        <w:t xml:space="preserve">h </w:t>
      </w:r>
      <w:r>
        <w:rPr>
          <w:lang w:val="en-US"/>
        </w:rPr>
        <w:t>highligh</w:t>
      </w:r>
      <w:r w:rsidR="00823F92">
        <w:rPr>
          <w:lang w:val="en-US"/>
        </w:rPr>
        <w:t xml:space="preserve">t </w:t>
      </w:r>
      <w:r>
        <w:rPr>
          <w:lang w:val="en-US"/>
        </w:rPr>
        <w:t>th</w:t>
      </w:r>
      <w:r w:rsidR="00823F92">
        <w:rPr>
          <w:lang w:val="en-US"/>
        </w:rPr>
        <w:t xml:space="preserve">e </w:t>
      </w:r>
      <w:r>
        <w:rPr>
          <w:lang w:val="en-US"/>
        </w:rPr>
        <w:t>nee</w:t>
      </w:r>
      <w:r w:rsidR="00823F92">
        <w:rPr>
          <w:lang w:val="en-US"/>
        </w:rPr>
        <w:t xml:space="preserve">d </w:t>
      </w:r>
      <w:r>
        <w:rPr>
          <w:lang w:val="en-US"/>
        </w:rPr>
        <w:t>fo</w:t>
      </w:r>
      <w:r w:rsidR="00823F92">
        <w:rPr>
          <w:lang w:val="en-US"/>
        </w:rPr>
        <w:t xml:space="preserve">r </w:t>
      </w:r>
      <w:r>
        <w:rPr>
          <w:lang w:val="en-US"/>
        </w:rPr>
        <w:t>broade</w:t>
      </w:r>
      <w:r w:rsidR="00823F92">
        <w:rPr>
          <w:lang w:val="en-US"/>
        </w:rPr>
        <w:t xml:space="preserve">r </w:t>
      </w:r>
      <w:r>
        <w:rPr>
          <w:lang w:val="en-US"/>
        </w:rPr>
        <w:t>workforce</w:t>
      </w:r>
      <w:r w:rsidR="00823F92">
        <w:rPr>
          <w:lang w:val="en-US"/>
        </w:rPr>
        <w:t xml:space="preserve">s </w:t>
      </w:r>
      <w:r>
        <w:rPr>
          <w:lang w:val="en-US"/>
        </w:rPr>
        <w:t>(suc</w:t>
      </w:r>
      <w:r w:rsidR="00823F92">
        <w:rPr>
          <w:lang w:val="en-US"/>
        </w:rPr>
        <w:t xml:space="preserve">h </w:t>
      </w:r>
      <w:r>
        <w:rPr>
          <w:lang w:val="en-US"/>
        </w:rPr>
        <w:t>a</w:t>
      </w:r>
      <w:r w:rsidR="00823F92">
        <w:rPr>
          <w:lang w:val="en-US"/>
        </w:rPr>
        <w:t xml:space="preserve">s </w:t>
      </w:r>
      <w:r>
        <w:rPr>
          <w:lang w:val="en-US"/>
        </w:rPr>
        <w:t>socia</w:t>
      </w:r>
      <w:r w:rsidR="00823F92">
        <w:rPr>
          <w:lang w:val="en-US"/>
        </w:rPr>
        <w:t xml:space="preserve">l </w:t>
      </w:r>
      <w:r>
        <w:rPr>
          <w:lang w:val="en-US"/>
        </w:rPr>
        <w:t>service</w:t>
      </w:r>
      <w:r w:rsidR="00823F92">
        <w:rPr>
          <w:lang w:val="en-US"/>
        </w:rPr>
        <w:t xml:space="preserve">s </w:t>
      </w:r>
      <w:r>
        <w:rPr>
          <w:lang w:val="en-US"/>
        </w:rPr>
        <w:t>an</w:t>
      </w:r>
      <w:r w:rsidR="00823F92">
        <w:rPr>
          <w:lang w:val="en-US"/>
        </w:rPr>
        <w:t xml:space="preserve">d </w:t>
      </w:r>
      <w:r>
        <w:rPr>
          <w:lang w:val="en-US"/>
        </w:rPr>
        <w:t>firs</w:t>
      </w:r>
      <w:r w:rsidR="00823F92">
        <w:rPr>
          <w:lang w:val="en-US"/>
        </w:rPr>
        <w:t xml:space="preserve">t </w:t>
      </w:r>
      <w:r>
        <w:rPr>
          <w:lang w:val="en-US"/>
        </w:rPr>
        <w:t>responders) t</w:t>
      </w:r>
      <w:r w:rsidR="00823F92">
        <w:rPr>
          <w:lang w:val="en-US"/>
        </w:rPr>
        <w:t xml:space="preserve">o </w:t>
      </w:r>
      <w:r>
        <w:rPr>
          <w:lang w:val="en-US"/>
        </w:rPr>
        <w:t>hav</w:t>
      </w:r>
      <w:r w:rsidR="00823F92">
        <w:rPr>
          <w:lang w:val="en-US"/>
        </w:rPr>
        <w:t xml:space="preserve">e </w:t>
      </w:r>
      <w:r>
        <w:rPr>
          <w:lang w:val="en-US"/>
        </w:rPr>
        <w:t>th</w:t>
      </w:r>
      <w:r w:rsidR="00823F92">
        <w:rPr>
          <w:lang w:val="en-US"/>
        </w:rPr>
        <w:t xml:space="preserve">e </w:t>
      </w:r>
      <w:r>
        <w:rPr>
          <w:lang w:val="en-US"/>
        </w:rPr>
        <w:t>skill</w:t>
      </w:r>
      <w:r w:rsidR="00823F92">
        <w:rPr>
          <w:lang w:val="en-US"/>
        </w:rPr>
        <w:t xml:space="preserve">s </w:t>
      </w:r>
      <w:r>
        <w:rPr>
          <w:lang w:val="en-US"/>
        </w:rPr>
        <w:t>an</w:t>
      </w:r>
      <w:r w:rsidR="00823F92">
        <w:rPr>
          <w:lang w:val="en-US"/>
        </w:rPr>
        <w:t xml:space="preserve">d </w:t>
      </w:r>
      <w:r>
        <w:rPr>
          <w:lang w:val="en-US"/>
        </w:rPr>
        <w:t>capabilitie</w:t>
      </w:r>
      <w:r w:rsidR="00823F92">
        <w:rPr>
          <w:lang w:val="en-US"/>
        </w:rPr>
        <w:t xml:space="preserve">s </w:t>
      </w:r>
      <w:r>
        <w:rPr>
          <w:lang w:val="en-US"/>
        </w:rPr>
        <w:t>t</w:t>
      </w:r>
      <w:r w:rsidR="00823F92">
        <w:rPr>
          <w:lang w:val="en-US"/>
        </w:rPr>
        <w:t xml:space="preserve">o </w:t>
      </w:r>
      <w:r>
        <w:rPr>
          <w:lang w:val="en-US"/>
        </w:rPr>
        <w:t>suppor</w:t>
      </w:r>
      <w:r w:rsidR="00823F92">
        <w:rPr>
          <w:lang w:val="en-US"/>
        </w:rPr>
        <w:t xml:space="preserve">t </w:t>
      </w:r>
      <w:r>
        <w:rPr>
          <w:lang w:val="en-US"/>
        </w:rPr>
        <w:t>thos</w:t>
      </w:r>
      <w:r w:rsidR="00823F92">
        <w:rPr>
          <w:lang w:val="en-US"/>
        </w:rPr>
        <w:t xml:space="preserve">e </w:t>
      </w:r>
      <w:r>
        <w:rPr>
          <w:lang w:val="en-US"/>
        </w:rPr>
        <w:t>experiencin</w:t>
      </w:r>
      <w:r w:rsidR="00823F92">
        <w:rPr>
          <w:lang w:val="en-US"/>
        </w:rPr>
        <w:t xml:space="preserve">g </w:t>
      </w:r>
      <w:r>
        <w:rPr>
          <w:lang w:val="en-US"/>
        </w:rPr>
        <w:t>menta</w:t>
      </w:r>
      <w:r w:rsidR="00823F92">
        <w:rPr>
          <w:lang w:val="en-US"/>
        </w:rPr>
        <w:t xml:space="preserve">l </w:t>
      </w:r>
      <w:r>
        <w:rPr>
          <w:lang w:val="en-US"/>
        </w:rPr>
        <w:t>distres</w:t>
      </w:r>
      <w:r w:rsidR="00823F92">
        <w:rPr>
          <w:lang w:val="en-US"/>
        </w:rPr>
        <w:t xml:space="preserve">s </w:t>
      </w:r>
      <w:r>
        <w:rPr>
          <w:lang w:val="en-US"/>
        </w:rPr>
        <w:t>and/o</w:t>
      </w:r>
      <w:r w:rsidR="00823F92">
        <w:rPr>
          <w:lang w:val="en-US"/>
        </w:rPr>
        <w:t xml:space="preserve">r </w:t>
      </w:r>
      <w:r>
        <w:rPr>
          <w:lang w:val="en-US"/>
        </w:rPr>
        <w:t>ill-health</w:t>
      </w:r>
      <w:r w:rsidR="00823F92">
        <w:rPr>
          <w:lang w:val="en-US"/>
        </w:rPr>
        <w:t xml:space="preserve">. </w:t>
      </w:r>
    </w:p>
    <w:p w14:paraId="5B62E951" w14:textId="2E683F4A" w:rsidR="00103373" w:rsidRPr="000E25B1" w:rsidRDefault="00103373" w:rsidP="00FE4F8A">
      <w:pPr>
        <w:pStyle w:val="Heading3"/>
      </w:pPr>
      <w:r w:rsidRPr="000E25B1">
        <w:lastRenderedPageBreak/>
        <w:t>Impac</w:t>
      </w:r>
      <w:r w:rsidR="00823F92" w:rsidRPr="000E25B1">
        <w:t>t</w:t>
      </w:r>
      <w:r w:rsidR="00823F92">
        <w:t xml:space="preserve"> </w:t>
      </w:r>
      <w:r w:rsidRPr="000E25B1">
        <w:t>o</w:t>
      </w:r>
      <w:r w:rsidR="00823F92" w:rsidRPr="000E25B1">
        <w:t>f</w:t>
      </w:r>
      <w:r w:rsidR="00823F92">
        <w:t xml:space="preserve"> </w:t>
      </w:r>
      <w:r>
        <w:t>disaster</w:t>
      </w:r>
      <w:r w:rsidR="00823F92">
        <w:t xml:space="preserve">s </w:t>
      </w:r>
      <w:r>
        <w:t>o</w:t>
      </w:r>
      <w:r w:rsidR="00823F92">
        <w:t xml:space="preserve">n </w:t>
      </w:r>
      <w:r>
        <w:t>th</w:t>
      </w:r>
      <w:r w:rsidR="00823F92">
        <w:t xml:space="preserve">e </w:t>
      </w:r>
      <w:r>
        <w:t>menta</w:t>
      </w:r>
      <w:r w:rsidR="00823F92">
        <w:t xml:space="preserve">l </w:t>
      </w:r>
      <w:r>
        <w:t>healt</w:t>
      </w:r>
      <w:r w:rsidR="00823F92">
        <w:t xml:space="preserve">h </w:t>
      </w:r>
      <w:r>
        <w:t>workforce</w:t>
      </w:r>
    </w:p>
    <w:p w14:paraId="7C9DBA17" w14:textId="0AF5ECE9" w:rsidR="00103373" w:rsidRPr="006C4490" w:rsidRDefault="00103373" w:rsidP="00FE4F8A">
      <w:pPr>
        <w:pStyle w:val="BodyText"/>
        <w:keepNext/>
        <w:keepLines/>
        <w:rPr>
          <w:lang w:val="en-US"/>
        </w:rPr>
      </w:pPr>
      <w:r>
        <w:rPr>
          <w:lang w:val="en-US"/>
        </w:rPr>
        <w:t>Disasters</w:t>
      </w:r>
      <w:r w:rsidR="00823F92">
        <w:rPr>
          <w:lang w:val="en-US"/>
        </w:rPr>
        <w:t xml:space="preserve">, </w:t>
      </w:r>
      <w:r>
        <w:rPr>
          <w:lang w:val="en-US"/>
        </w:rPr>
        <w:t>suc</w:t>
      </w:r>
      <w:r w:rsidR="00823F92">
        <w:rPr>
          <w:lang w:val="en-US"/>
        </w:rPr>
        <w:t xml:space="preserve">h </w:t>
      </w:r>
      <w:r>
        <w:rPr>
          <w:lang w:val="en-US"/>
        </w:rPr>
        <w:t>a</w:t>
      </w:r>
      <w:r w:rsidR="00823F92">
        <w:rPr>
          <w:lang w:val="en-US"/>
        </w:rPr>
        <w:t xml:space="preserve">s </w:t>
      </w:r>
      <w:r>
        <w:rPr>
          <w:lang w:val="en-US"/>
        </w:rPr>
        <w:t>th</w:t>
      </w:r>
      <w:r w:rsidR="00823F92">
        <w:rPr>
          <w:lang w:val="en-US"/>
        </w:rPr>
        <w:t xml:space="preserve">e </w:t>
      </w:r>
      <w:r>
        <w:rPr>
          <w:lang w:val="en-US"/>
        </w:rPr>
        <w:t>bushfire</w:t>
      </w:r>
      <w:r w:rsidR="00823F92">
        <w:rPr>
          <w:lang w:val="en-US"/>
        </w:rPr>
        <w:t xml:space="preserve">s </w:t>
      </w:r>
      <w:r>
        <w:rPr>
          <w:lang w:val="en-US"/>
        </w:rPr>
        <w:t>an</w:t>
      </w:r>
      <w:r w:rsidR="00823F92">
        <w:rPr>
          <w:lang w:val="en-US"/>
        </w:rPr>
        <w:t xml:space="preserve">d </w:t>
      </w:r>
      <w:r>
        <w:rPr>
          <w:lang w:val="en-US"/>
        </w:rPr>
        <w:t>COVID-19</w:t>
      </w:r>
      <w:r w:rsidR="00823F92">
        <w:rPr>
          <w:lang w:val="en-US"/>
        </w:rPr>
        <w:t xml:space="preserve">, </w:t>
      </w:r>
      <w:r>
        <w:rPr>
          <w:lang w:val="en-US"/>
        </w:rPr>
        <w:t>significantl</w:t>
      </w:r>
      <w:r w:rsidR="00823F92">
        <w:rPr>
          <w:lang w:val="en-US"/>
        </w:rPr>
        <w:t xml:space="preserve">y </w:t>
      </w:r>
      <w:r>
        <w:rPr>
          <w:lang w:val="en-US"/>
        </w:rPr>
        <w:t>impac</w:t>
      </w:r>
      <w:r w:rsidR="00823F92">
        <w:rPr>
          <w:lang w:val="en-US"/>
        </w:rPr>
        <w:t xml:space="preserve">t </w:t>
      </w:r>
      <w:r w:rsidRPr="006C4490">
        <w:rPr>
          <w:lang w:val="en-US"/>
        </w:rPr>
        <w:t>ou</w:t>
      </w:r>
      <w:r w:rsidR="00823F92" w:rsidRPr="006C4490">
        <w:rPr>
          <w:lang w:val="en-US"/>
        </w:rPr>
        <w:t>r</w:t>
      </w:r>
      <w:r w:rsidR="00823F92">
        <w:rPr>
          <w:lang w:val="en-US"/>
        </w:rPr>
        <w:t xml:space="preserve"> </w:t>
      </w:r>
      <w:r w:rsidRPr="006C4490">
        <w:rPr>
          <w:lang w:val="en-US"/>
        </w:rPr>
        <w:t>live</w:t>
      </w:r>
      <w:r w:rsidR="00823F92" w:rsidRPr="006C4490">
        <w:rPr>
          <w:lang w:val="en-US"/>
        </w:rPr>
        <w:t>s</w:t>
      </w:r>
      <w:r w:rsidR="00823F92">
        <w:rPr>
          <w:lang w:val="en-US"/>
        </w:rPr>
        <w:t xml:space="preserve"> </w:t>
      </w:r>
      <w:r w:rsidRPr="006C4490">
        <w:rPr>
          <w:lang w:val="en-US"/>
        </w:rPr>
        <w:t>an</w:t>
      </w:r>
      <w:r w:rsidR="00823F92" w:rsidRPr="006C4490">
        <w:rPr>
          <w:lang w:val="en-US"/>
        </w:rPr>
        <w:t>d</w:t>
      </w:r>
      <w:r w:rsidR="00823F92">
        <w:rPr>
          <w:lang w:val="en-US"/>
        </w:rPr>
        <w:t xml:space="preserve"> </w:t>
      </w:r>
      <w:r w:rsidRPr="006C4490">
        <w:rPr>
          <w:lang w:val="en-US"/>
        </w:rPr>
        <w:t>greatl</w:t>
      </w:r>
      <w:r w:rsidR="00823F92" w:rsidRPr="006C4490">
        <w:rPr>
          <w:lang w:val="en-US"/>
        </w:rPr>
        <w:t>y</w:t>
      </w:r>
      <w:r w:rsidR="00823F92">
        <w:rPr>
          <w:lang w:val="en-US"/>
        </w:rPr>
        <w:t xml:space="preserve"> </w:t>
      </w:r>
      <w:r w:rsidRPr="006C4490">
        <w:rPr>
          <w:lang w:val="en-US"/>
        </w:rPr>
        <w:t>affec</w:t>
      </w:r>
      <w:r w:rsidR="00823F92" w:rsidRPr="006C4490">
        <w:rPr>
          <w:lang w:val="en-US"/>
        </w:rPr>
        <w:t>t</w:t>
      </w:r>
      <w:r w:rsidR="00823F92">
        <w:rPr>
          <w:lang w:val="en-US"/>
        </w:rPr>
        <w:t xml:space="preserve"> </w:t>
      </w:r>
      <w:r w:rsidRPr="006C4490">
        <w:rPr>
          <w:lang w:val="en-US"/>
        </w:rPr>
        <w:t>th</w:t>
      </w:r>
      <w:r w:rsidR="00823F92" w:rsidRPr="006C4490">
        <w:rPr>
          <w:lang w:val="en-US"/>
        </w:rPr>
        <w:t>e</w:t>
      </w:r>
      <w:r w:rsidR="00823F92">
        <w:rPr>
          <w:lang w:val="en-US"/>
        </w:rPr>
        <w:t xml:space="preserve"> </w:t>
      </w:r>
      <w:r w:rsidRPr="006C4490">
        <w:rPr>
          <w:lang w:val="en-US"/>
        </w:rPr>
        <w:t>menta</w:t>
      </w:r>
      <w:r w:rsidR="00823F92" w:rsidRPr="006C4490">
        <w:rPr>
          <w:lang w:val="en-US"/>
        </w:rPr>
        <w:t>l</w:t>
      </w:r>
      <w:r w:rsidR="00823F92">
        <w:rPr>
          <w:lang w:val="en-US"/>
        </w:rPr>
        <w:t xml:space="preserve"> </w:t>
      </w:r>
      <w:r w:rsidRPr="006C4490">
        <w:rPr>
          <w:lang w:val="en-US"/>
        </w:rPr>
        <w:t>healt</w:t>
      </w:r>
      <w:r w:rsidR="00823F92" w:rsidRPr="006C4490">
        <w:rPr>
          <w:lang w:val="en-US"/>
        </w:rPr>
        <w:t>h</w:t>
      </w:r>
      <w:r w:rsidR="00823F92">
        <w:rPr>
          <w:lang w:val="en-US"/>
        </w:rPr>
        <w:t xml:space="preserve"> </w:t>
      </w:r>
      <w:r w:rsidRPr="006C4490">
        <w:rPr>
          <w:lang w:val="en-US"/>
        </w:rPr>
        <w:t>o</w:t>
      </w:r>
      <w:r w:rsidR="00823F92" w:rsidRPr="006C4490">
        <w:rPr>
          <w:lang w:val="en-US"/>
        </w:rPr>
        <w:t>f</w:t>
      </w:r>
      <w:r w:rsidR="00823F92">
        <w:rPr>
          <w:lang w:val="en-US"/>
        </w:rPr>
        <w:t xml:space="preserve"> </w:t>
      </w:r>
      <w:r w:rsidRPr="006C4490">
        <w:rPr>
          <w:lang w:val="en-US"/>
        </w:rPr>
        <w:t>man</w:t>
      </w:r>
      <w:r w:rsidR="00823F92" w:rsidRPr="006C4490">
        <w:rPr>
          <w:lang w:val="en-US"/>
        </w:rPr>
        <w:t>y</w:t>
      </w:r>
      <w:r w:rsidR="00823F92">
        <w:rPr>
          <w:lang w:val="en-US"/>
        </w:rPr>
        <w:t xml:space="preserve"> </w:t>
      </w:r>
      <w:r w:rsidRPr="006C4490">
        <w:rPr>
          <w:lang w:val="en-US"/>
        </w:rPr>
        <w:t>Australians</w:t>
      </w:r>
      <w:r w:rsidR="00823F92" w:rsidRPr="006C4490">
        <w:rPr>
          <w:lang w:val="en-US"/>
        </w:rPr>
        <w:t>.</w:t>
      </w:r>
      <w:r w:rsidR="00823F92">
        <w:rPr>
          <w:lang w:val="en-US"/>
        </w:rPr>
        <w:t xml:space="preserve"> </w:t>
      </w:r>
      <w:r>
        <w:rPr>
          <w:lang w:val="en-US"/>
        </w:rPr>
        <w:t>Som</w:t>
      </w:r>
      <w:r w:rsidR="00823F92">
        <w:rPr>
          <w:lang w:val="en-US"/>
        </w:rPr>
        <w:t xml:space="preserve">e </w:t>
      </w:r>
      <w:r>
        <w:rPr>
          <w:lang w:val="en-US"/>
        </w:rPr>
        <w:t>o</w:t>
      </w:r>
      <w:r w:rsidR="00823F92">
        <w:rPr>
          <w:lang w:val="en-US"/>
        </w:rPr>
        <w:t xml:space="preserve">f </w:t>
      </w:r>
      <w:r>
        <w:rPr>
          <w:lang w:val="en-US"/>
        </w:rPr>
        <w:t>th</w:t>
      </w:r>
      <w:r w:rsidR="00823F92">
        <w:rPr>
          <w:lang w:val="en-US"/>
        </w:rPr>
        <w:t xml:space="preserve">e </w:t>
      </w:r>
      <w:r>
        <w:rPr>
          <w:lang w:val="en-US"/>
        </w:rPr>
        <w:t>consequence</w:t>
      </w:r>
      <w:r w:rsidR="00823F92">
        <w:rPr>
          <w:lang w:val="en-US"/>
        </w:rPr>
        <w:t xml:space="preserve">s </w:t>
      </w:r>
      <w:r>
        <w:rPr>
          <w:lang w:val="en-US"/>
        </w:rPr>
        <w:t>includ</w:t>
      </w:r>
      <w:r w:rsidR="00823F92">
        <w:rPr>
          <w:lang w:val="en-US"/>
        </w:rPr>
        <w:t xml:space="preserve">e </w:t>
      </w:r>
      <w:r w:rsidRPr="006C4490">
        <w:rPr>
          <w:lang w:val="en-US"/>
        </w:rPr>
        <w:t>loneliness</w:t>
      </w:r>
      <w:r w:rsidR="00823F92" w:rsidRPr="006C4490">
        <w:rPr>
          <w:lang w:val="en-US"/>
        </w:rPr>
        <w:t>,</w:t>
      </w:r>
      <w:r w:rsidR="00823F92">
        <w:rPr>
          <w:lang w:val="en-US"/>
        </w:rPr>
        <w:t xml:space="preserve"> </w:t>
      </w:r>
      <w:r w:rsidRPr="006C4490">
        <w:rPr>
          <w:lang w:val="en-US"/>
        </w:rPr>
        <w:t>increase</w:t>
      </w:r>
      <w:r w:rsidR="00823F92" w:rsidRPr="006C4490">
        <w:rPr>
          <w:lang w:val="en-US"/>
        </w:rPr>
        <w:t>d</w:t>
      </w:r>
      <w:r w:rsidR="00823F92">
        <w:rPr>
          <w:lang w:val="en-US"/>
        </w:rPr>
        <w:t xml:space="preserve"> </w:t>
      </w:r>
      <w:r w:rsidRPr="006C4490">
        <w:rPr>
          <w:lang w:val="en-US"/>
        </w:rPr>
        <w:t>anxiet</w:t>
      </w:r>
      <w:r w:rsidR="00823F92" w:rsidRPr="006C4490">
        <w:rPr>
          <w:lang w:val="en-US"/>
        </w:rPr>
        <w:t>y</w:t>
      </w:r>
      <w:r w:rsidR="00823F92">
        <w:rPr>
          <w:lang w:val="en-US"/>
        </w:rPr>
        <w:t xml:space="preserve"> </w:t>
      </w:r>
      <w:r w:rsidRPr="006C4490">
        <w:rPr>
          <w:lang w:val="en-US"/>
        </w:rPr>
        <w:t>an</w:t>
      </w:r>
      <w:r w:rsidR="00823F92" w:rsidRPr="006C4490">
        <w:rPr>
          <w:lang w:val="en-US"/>
        </w:rPr>
        <w:t>d</w:t>
      </w:r>
      <w:r w:rsidR="00823F92">
        <w:rPr>
          <w:lang w:val="en-US"/>
        </w:rPr>
        <w:t xml:space="preserve"> </w:t>
      </w:r>
      <w:r w:rsidRPr="006C4490">
        <w:rPr>
          <w:lang w:val="en-US"/>
        </w:rPr>
        <w:t>distress</w:t>
      </w:r>
      <w:r w:rsidR="00823F92">
        <w:rPr>
          <w:lang w:val="en-US"/>
        </w:rPr>
        <w:t xml:space="preserve">, </w:t>
      </w:r>
      <w:r w:rsidRPr="006C4490">
        <w:rPr>
          <w:lang w:val="en-US"/>
        </w:rPr>
        <w:t>depression</w:t>
      </w:r>
      <w:r w:rsidR="00823F92" w:rsidRPr="006C4490">
        <w:rPr>
          <w:lang w:val="en-US"/>
        </w:rPr>
        <w:t>,</w:t>
      </w:r>
      <w:r w:rsidR="00823F92">
        <w:rPr>
          <w:lang w:val="en-US"/>
        </w:rPr>
        <w:t xml:space="preserve"> </w:t>
      </w:r>
      <w:r w:rsidRPr="006C4490">
        <w:rPr>
          <w:lang w:val="en-US"/>
        </w:rPr>
        <w:t>poo</w:t>
      </w:r>
      <w:r w:rsidR="00823F92" w:rsidRPr="006C4490">
        <w:rPr>
          <w:lang w:val="en-US"/>
        </w:rPr>
        <w:t>r</w:t>
      </w:r>
      <w:r w:rsidR="00823F92">
        <w:rPr>
          <w:lang w:val="en-US"/>
        </w:rPr>
        <w:t xml:space="preserve"> </w:t>
      </w:r>
      <w:r w:rsidRPr="006C4490">
        <w:rPr>
          <w:lang w:val="en-US"/>
        </w:rPr>
        <w:t>slee</w:t>
      </w:r>
      <w:r w:rsidR="00823F92" w:rsidRPr="006C4490">
        <w:rPr>
          <w:lang w:val="en-US"/>
        </w:rPr>
        <w:t>p</w:t>
      </w:r>
      <w:r w:rsidR="00823F92">
        <w:rPr>
          <w:lang w:val="en-US"/>
        </w:rPr>
        <w:t xml:space="preserve"> </w:t>
      </w:r>
      <w:r w:rsidRPr="006C4490">
        <w:rPr>
          <w:lang w:val="en-US"/>
        </w:rPr>
        <w:t>qualit</w:t>
      </w:r>
      <w:r w:rsidR="00823F92" w:rsidRPr="006C4490">
        <w:rPr>
          <w:lang w:val="en-US"/>
        </w:rPr>
        <w:t>y</w:t>
      </w:r>
      <w:r w:rsidR="00823F92">
        <w:rPr>
          <w:lang w:val="en-US"/>
        </w:rPr>
        <w:t xml:space="preserve"> </w:t>
      </w:r>
      <w:r w:rsidRPr="006C4490">
        <w:rPr>
          <w:lang w:val="en-US"/>
        </w:rPr>
        <w:t>an</w:t>
      </w:r>
      <w:r w:rsidR="00823F92" w:rsidRPr="006C4490">
        <w:rPr>
          <w:lang w:val="en-US"/>
        </w:rPr>
        <w:t>d</w:t>
      </w:r>
      <w:r w:rsidR="00823F92">
        <w:rPr>
          <w:lang w:val="en-US"/>
        </w:rPr>
        <w:t xml:space="preserve"> </w:t>
      </w:r>
      <w:r w:rsidRPr="006C4490">
        <w:rPr>
          <w:lang w:val="en-US"/>
        </w:rPr>
        <w:t>increase</w:t>
      </w:r>
      <w:r w:rsidR="00823F92" w:rsidRPr="006C4490">
        <w:rPr>
          <w:lang w:val="en-US"/>
        </w:rPr>
        <w:t>d</w:t>
      </w:r>
      <w:r w:rsidR="00823F92">
        <w:rPr>
          <w:lang w:val="en-US"/>
        </w:rPr>
        <w:t xml:space="preserve"> </w:t>
      </w:r>
      <w:r w:rsidRPr="006C4490">
        <w:rPr>
          <w:lang w:val="en-US"/>
        </w:rPr>
        <w:t>dru</w:t>
      </w:r>
      <w:r w:rsidR="00823F92" w:rsidRPr="006C4490">
        <w:rPr>
          <w:lang w:val="en-US"/>
        </w:rPr>
        <w:t>g</w:t>
      </w:r>
      <w:r w:rsidR="00823F92">
        <w:rPr>
          <w:lang w:val="en-US"/>
        </w:rPr>
        <w:t xml:space="preserve"> </w:t>
      </w:r>
      <w:r w:rsidRPr="006C4490">
        <w:rPr>
          <w:lang w:val="en-US"/>
        </w:rPr>
        <w:t>o</w:t>
      </w:r>
      <w:r w:rsidR="00823F92" w:rsidRPr="006C4490">
        <w:rPr>
          <w:lang w:val="en-US"/>
        </w:rPr>
        <w:t>r</w:t>
      </w:r>
      <w:r w:rsidR="00823F92">
        <w:rPr>
          <w:lang w:val="en-US"/>
        </w:rPr>
        <w:t xml:space="preserve"> </w:t>
      </w:r>
      <w:r w:rsidRPr="006C4490">
        <w:rPr>
          <w:lang w:val="en-US"/>
        </w:rPr>
        <w:t>alcoho</w:t>
      </w:r>
      <w:r w:rsidR="00823F92" w:rsidRPr="006C4490">
        <w:rPr>
          <w:lang w:val="en-US"/>
        </w:rPr>
        <w:t>l</w:t>
      </w:r>
      <w:r w:rsidR="00823F92">
        <w:rPr>
          <w:lang w:val="en-US"/>
        </w:rPr>
        <w:t xml:space="preserve"> </w:t>
      </w:r>
      <w:r w:rsidRPr="006C4490">
        <w:rPr>
          <w:lang w:val="en-US"/>
        </w:rPr>
        <w:t>consumption</w:t>
      </w:r>
      <w:r w:rsidR="00823F92">
        <w:rPr>
          <w:lang w:val="en-US"/>
        </w:rPr>
        <w:t xml:space="preserve">, </w:t>
      </w:r>
      <w:r>
        <w:rPr>
          <w:lang w:val="en-US"/>
        </w:rPr>
        <w:t>j</w:t>
      </w:r>
      <w:r w:rsidRPr="006C4490">
        <w:rPr>
          <w:lang w:val="en-US"/>
        </w:rPr>
        <w:t>o</w:t>
      </w:r>
      <w:r w:rsidR="00823F92" w:rsidRPr="006C4490">
        <w:rPr>
          <w:lang w:val="en-US"/>
        </w:rPr>
        <w:t>b</w:t>
      </w:r>
      <w:r w:rsidR="00823F92">
        <w:rPr>
          <w:lang w:val="en-US"/>
        </w:rPr>
        <w:t xml:space="preserve"> </w:t>
      </w:r>
      <w:r w:rsidRPr="006C4490">
        <w:rPr>
          <w:lang w:val="en-US"/>
        </w:rPr>
        <w:t>insecurity</w:t>
      </w:r>
      <w:r w:rsidR="00823F92" w:rsidRPr="006C4490">
        <w:rPr>
          <w:lang w:val="en-US"/>
        </w:rPr>
        <w:t>,</w:t>
      </w:r>
      <w:r w:rsidR="00823F92">
        <w:rPr>
          <w:lang w:val="en-US"/>
        </w:rPr>
        <w:t xml:space="preserve"> </w:t>
      </w:r>
      <w:r w:rsidRPr="006C4490">
        <w:rPr>
          <w:lang w:val="en-US"/>
        </w:rPr>
        <w:t>unemploymen</w:t>
      </w:r>
      <w:r w:rsidR="00823F92" w:rsidRPr="006C4490">
        <w:rPr>
          <w:lang w:val="en-US"/>
        </w:rPr>
        <w:t>t</w:t>
      </w:r>
      <w:r w:rsidR="00823F92">
        <w:rPr>
          <w:lang w:val="en-US"/>
        </w:rPr>
        <w:t xml:space="preserve"> </w:t>
      </w:r>
      <w:r w:rsidRPr="006C4490">
        <w:rPr>
          <w:lang w:val="en-US"/>
        </w:rPr>
        <w:t>an</w:t>
      </w:r>
      <w:r w:rsidR="00823F92" w:rsidRPr="006C4490">
        <w:rPr>
          <w:lang w:val="en-US"/>
        </w:rPr>
        <w:t>d</w:t>
      </w:r>
      <w:r w:rsidR="00823F92">
        <w:rPr>
          <w:lang w:val="en-US"/>
        </w:rPr>
        <w:t xml:space="preserve"> </w:t>
      </w:r>
      <w:r w:rsidRPr="006C4490">
        <w:rPr>
          <w:lang w:val="en-US"/>
        </w:rPr>
        <w:t>additiona</w:t>
      </w:r>
      <w:r w:rsidR="00823F92" w:rsidRPr="006C4490">
        <w:rPr>
          <w:lang w:val="en-US"/>
        </w:rPr>
        <w:t>l</w:t>
      </w:r>
      <w:r w:rsidR="00823F92">
        <w:rPr>
          <w:lang w:val="en-US"/>
        </w:rPr>
        <w:t xml:space="preserve"> </w:t>
      </w:r>
      <w:r w:rsidRPr="006C4490">
        <w:rPr>
          <w:lang w:val="en-US"/>
        </w:rPr>
        <w:t>stressors.</w:t>
      </w:r>
      <w:r w:rsidRPr="006C4490">
        <w:rPr>
          <w:rStyle w:val="FootnoteReference"/>
          <w:lang w:val="en-US"/>
        </w:rPr>
        <w:footnoteReference w:id="12"/>
      </w:r>
      <w:r w:rsidRPr="006C4490">
        <w:rPr>
          <w:lang w:val="en-US"/>
        </w:rPr>
        <w:t xml:space="preserve"> </w:t>
      </w:r>
    </w:p>
    <w:p w14:paraId="49F8F340" w14:textId="1CFA69AA" w:rsidR="00103373" w:rsidRPr="006C4490" w:rsidRDefault="00103373" w:rsidP="00FE4F8A">
      <w:pPr>
        <w:pStyle w:val="BodyText"/>
        <w:keepNext/>
        <w:keepLines/>
        <w:rPr>
          <w:lang w:val="en-US"/>
        </w:rPr>
      </w:pPr>
      <w:r>
        <w:rPr>
          <w:lang w:val="en-US"/>
        </w:rPr>
        <w:t>I</w:t>
      </w:r>
      <w:r w:rsidR="00823F92">
        <w:rPr>
          <w:lang w:val="en-US"/>
        </w:rPr>
        <w:t xml:space="preserve">n </w:t>
      </w:r>
      <w:r>
        <w:rPr>
          <w:lang w:val="en-US"/>
        </w:rPr>
        <w:t>turn</w:t>
      </w:r>
      <w:r w:rsidR="00823F92">
        <w:rPr>
          <w:lang w:val="en-US"/>
        </w:rPr>
        <w:t xml:space="preserve">, </w:t>
      </w:r>
      <w:r>
        <w:rPr>
          <w:lang w:val="en-US"/>
        </w:rPr>
        <w:t>thi</w:t>
      </w:r>
      <w:r w:rsidR="00823F92">
        <w:rPr>
          <w:lang w:val="en-US"/>
        </w:rPr>
        <w:t xml:space="preserve">s </w:t>
      </w:r>
      <w:r w:rsidR="005B1F15">
        <w:rPr>
          <w:lang w:val="en-US"/>
        </w:rPr>
        <w:t>generate</w:t>
      </w:r>
      <w:r w:rsidR="00823F92">
        <w:rPr>
          <w:lang w:val="en-US"/>
        </w:rPr>
        <w:t xml:space="preserve">s </w:t>
      </w:r>
      <w:r>
        <w:rPr>
          <w:lang w:val="en-US"/>
        </w:rPr>
        <w:t>a</w:t>
      </w:r>
      <w:r w:rsidR="00823F92">
        <w:rPr>
          <w:lang w:val="en-US"/>
        </w:rPr>
        <w:t xml:space="preserve">n </w:t>
      </w:r>
      <w:r>
        <w:rPr>
          <w:lang w:val="en-US"/>
        </w:rPr>
        <w:t>increas</w:t>
      </w:r>
      <w:r w:rsidR="00823F92">
        <w:rPr>
          <w:lang w:val="en-US"/>
        </w:rPr>
        <w:t xml:space="preserve">e </w:t>
      </w:r>
      <w:r>
        <w:rPr>
          <w:lang w:val="en-US"/>
        </w:rPr>
        <w:t>i</w:t>
      </w:r>
      <w:r w:rsidR="00823F92">
        <w:rPr>
          <w:lang w:val="en-US"/>
        </w:rPr>
        <w:t xml:space="preserve">n </w:t>
      </w:r>
      <w:r>
        <w:rPr>
          <w:lang w:val="en-US"/>
        </w:rPr>
        <w:t>th</w:t>
      </w:r>
      <w:r w:rsidR="00823F92">
        <w:rPr>
          <w:lang w:val="en-US"/>
        </w:rPr>
        <w:t xml:space="preserve">e </w:t>
      </w:r>
      <w:r w:rsidRPr="006C4490">
        <w:rPr>
          <w:lang w:val="en-US"/>
        </w:rPr>
        <w:t>numbe</w:t>
      </w:r>
      <w:r w:rsidR="00823F92" w:rsidRPr="006C4490">
        <w:rPr>
          <w:lang w:val="en-US"/>
        </w:rPr>
        <w:t>r</w:t>
      </w:r>
      <w:r w:rsidR="00823F92">
        <w:rPr>
          <w:lang w:val="en-US"/>
        </w:rPr>
        <w:t xml:space="preserve"> </w:t>
      </w:r>
      <w:r w:rsidRPr="006C4490">
        <w:rPr>
          <w:lang w:val="en-US"/>
        </w:rPr>
        <w:t>o</w:t>
      </w:r>
      <w:r w:rsidR="00823F92" w:rsidRPr="006C4490">
        <w:rPr>
          <w:lang w:val="en-US"/>
        </w:rPr>
        <w:t>f</w:t>
      </w:r>
      <w:r w:rsidR="00823F92">
        <w:rPr>
          <w:lang w:val="en-US"/>
        </w:rPr>
        <w:t xml:space="preserve"> </w:t>
      </w:r>
      <w:r w:rsidRPr="006C4490">
        <w:rPr>
          <w:lang w:val="en-US"/>
        </w:rPr>
        <w:t>peopl</w:t>
      </w:r>
      <w:r w:rsidR="00823F92" w:rsidRPr="006C4490">
        <w:rPr>
          <w:lang w:val="en-US"/>
        </w:rPr>
        <w:t>e</w:t>
      </w:r>
      <w:r w:rsidR="00823F92">
        <w:rPr>
          <w:lang w:val="en-US"/>
        </w:rPr>
        <w:t xml:space="preserve"> </w:t>
      </w:r>
      <w:r w:rsidRPr="006C4490">
        <w:rPr>
          <w:lang w:val="en-US"/>
        </w:rPr>
        <w:t>seekin</w:t>
      </w:r>
      <w:r w:rsidR="00823F92" w:rsidRPr="006C4490">
        <w:rPr>
          <w:lang w:val="en-US"/>
        </w:rPr>
        <w:t>g</w:t>
      </w:r>
      <w:r w:rsidR="00823F92">
        <w:rPr>
          <w:lang w:val="en-US"/>
        </w:rPr>
        <w:t xml:space="preserve"> </w:t>
      </w:r>
      <w:r w:rsidRPr="006C4490">
        <w:rPr>
          <w:lang w:val="en-US"/>
        </w:rPr>
        <w:t>support</w:t>
      </w:r>
      <w:r w:rsidR="00823F92" w:rsidRPr="006C4490">
        <w:rPr>
          <w:lang w:val="en-US"/>
        </w:rPr>
        <w:t>.</w:t>
      </w:r>
      <w:r w:rsidR="00823F92">
        <w:rPr>
          <w:lang w:val="en-US"/>
        </w:rPr>
        <w:t xml:space="preserve"> </w:t>
      </w:r>
      <w:r w:rsidR="005B1F15">
        <w:rPr>
          <w:lang w:val="en-US"/>
        </w:rPr>
        <w:t>A</w:t>
      </w:r>
      <w:r w:rsidR="00823F92">
        <w:rPr>
          <w:lang w:val="en-US"/>
        </w:rPr>
        <w:t xml:space="preserve">s </w:t>
      </w:r>
      <w:r w:rsidR="005B1F15">
        <w:rPr>
          <w:lang w:val="en-US"/>
        </w:rPr>
        <w:t>a</w:t>
      </w:r>
      <w:r w:rsidR="00823F92">
        <w:rPr>
          <w:lang w:val="en-US"/>
        </w:rPr>
        <w:t xml:space="preserve">n </w:t>
      </w:r>
      <w:r w:rsidR="005B1F15">
        <w:rPr>
          <w:lang w:val="en-US"/>
        </w:rPr>
        <w:t>example</w:t>
      </w:r>
      <w:r w:rsidR="00823F92">
        <w:rPr>
          <w:lang w:val="en-US"/>
        </w:rPr>
        <w:t xml:space="preserve">, </w:t>
      </w:r>
      <w:r w:rsidR="005B1F15">
        <w:rPr>
          <w:lang w:val="en-US"/>
        </w:rPr>
        <w:t>durin</w:t>
      </w:r>
      <w:r w:rsidR="00823F92">
        <w:rPr>
          <w:lang w:val="en-US"/>
        </w:rPr>
        <w:t xml:space="preserve">g </w:t>
      </w:r>
      <w:r w:rsidR="005B1F15">
        <w:rPr>
          <w:lang w:val="en-US"/>
        </w:rPr>
        <w:t>th</w:t>
      </w:r>
      <w:r w:rsidR="00823F92">
        <w:rPr>
          <w:lang w:val="en-US"/>
        </w:rPr>
        <w:t xml:space="preserve">e </w:t>
      </w:r>
      <w:r w:rsidR="005B1F15">
        <w:rPr>
          <w:lang w:val="en-US"/>
        </w:rPr>
        <w:t>COVID-1</w:t>
      </w:r>
      <w:r w:rsidR="00823F92">
        <w:rPr>
          <w:lang w:val="en-US"/>
        </w:rPr>
        <w:t xml:space="preserve">9 </w:t>
      </w:r>
      <w:r w:rsidR="005B1F15">
        <w:rPr>
          <w:lang w:val="en-US"/>
        </w:rPr>
        <w:t>pandemic</w:t>
      </w:r>
      <w:r w:rsidR="00823F92" w:rsidRPr="006C4490">
        <w:rPr>
          <w:lang w:val="en-US"/>
        </w:rPr>
        <w:t>,</w:t>
      </w:r>
      <w:r w:rsidR="00823F92">
        <w:rPr>
          <w:lang w:val="en-US"/>
        </w:rPr>
        <w:t xml:space="preserve"> </w:t>
      </w:r>
      <w:r w:rsidRPr="006C4490">
        <w:rPr>
          <w:lang w:val="en-US"/>
        </w:rPr>
        <w:t>ther</w:t>
      </w:r>
      <w:r w:rsidR="00823F92" w:rsidRPr="006C4490">
        <w:rPr>
          <w:lang w:val="en-US"/>
        </w:rPr>
        <w:t>e</w:t>
      </w:r>
      <w:r w:rsidR="00823F92">
        <w:rPr>
          <w:lang w:val="en-US"/>
        </w:rPr>
        <w:t xml:space="preserve"> </w:t>
      </w:r>
      <w:r w:rsidRPr="006C4490">
        <w:rPr>
          <w:lang w:val="en-US"/>
        </w:rPr>
        <w:t>wa</w:t>
      </w:r>
      <w:r w:rsidR="00823F92" w:rsidRPr="006C4490">
        <w:rPr>
          <w:lang w:val="en-US"/>
        </w:rPr>
        <w:t>s</w:t>
      </w:r>
      <w:r w:rsidR="00823F92">
        <w:rPr>
          <w:lang w:val="en-US"/>
        </w:rPr>
        <w:t xml:space="preserve"> </w:t>
      </w:r>
      <w:r w:rsidR="00823F92" w:rsidRPr="006C4490">
        <w:rPr>
          <w:lang w:val="en-US"/>
        </w:rPr>
        <w:t>a</w:t>
      </w:r>
      <w:r w:rsidR="00823F92">
        <w:rPr>
          <w:lang w:val="en-US"/>
        </w:rPr>
        <w:t xml:space="preserve"> </w:t>
      </w:r>
      <w:r w:rsidRPr="006C4490">
        <w:rPr>
          <w:lang w:val="en-US"/>
        </w:rPr>
        <w:t>15% increas</w:t>
      </w:r>
      <w:r w:rsidR="00823F92" w:rsidRPr="006C4490">
        <w:rPr>
          <w:lang w:val="en-US"/>
        </w:rPr>
        <w:t>e</w:t>
      </w:r>
      <w:r w:rsidR="00823F92">
        <w:rPr>
          <w:lang w:val="en-US"/>
        </w:rPr>
        <w:t xml:space="preserve"> </w:t>
      </w:r>
      <w:r w:rsidRPr="006C4490">
        <w:rPr>
          <w:lang w:val="en-US"/>
        </w:rPr>
        <w:t>i</w:t>
      </w:r>
      <w:r w:rsidR="00823F92" w:rsidRPr="006C4490">
        <w:rPr>
          <w:lang w:val="en-US"/>
        </w:rPr>
        <w:t>n</w:t>
      </w:r>
      <w:r w:rsidR="00823F92">
        <w:rPr>
          <w:lang w:val="en-US"/>
        </w:rPr>
        <w:t xml:space="preserve"> </w:t>
      </w:r>
      <w:r w:rsidRPr="006C4490">
        <w:rPr>
          <w:lang w:val="en-US"/>
        </w:rPr>
        <w:t>th</w:t>
      </w:r>
      <w:r w:rsidR="00823F92" w:rsidRPr="006C4490">
        <w:rPr>
          <w:lang w:val="en-US"/>
        </w:rPr>
        <w:t>e</w:t>
      </w:r>
      <w:r w:rsidR="00823F92">
        <w:rPr>
          <w:lang w:val="en-US"/>
        </w:rPr>
        <w:t xml:space="preserve"> </w:t>
      </w:r>
      <w:r w:rsidRPr="006C4490">
        <w:rPr>
          <w:lang w:val="en-US"/>
        </w:rPr>
        <w:t>numbe</w:t>
      </w:r>
      <w:r w:rsidR="00823F92" w:rsidRPr="006C4490">
        <w:rPr>
          <w:lang w:val="en-US"/>
        </w:rPr>
        <w:t>r</w:t>
      </w:r>
      <w:r w:rsidR="00823F92">
        <w:rPr>
          <w:lang w:val="en-US"/>
        </w:rPr>
        <w:t xml:space="preserve"> </w:t>
      </w:r>
      <w:r w:rsidRPr="006C4490">
        <w:rPr>
          <w:lang w:val="en-US"/>
        </w:rPr>
        <w:t>o</w:t>
      </w:r>
      <w:r w:rsidR="00823F92" w:rsidRPr="006C4490">
        <w:rPr>
          <w:lang w:val="en-US"/>
        </w:rPr>
        <w:t>f</w:t>
      </w:r>
      <w:r w:rsidR="00823F92">
        <w:rPr>
          <w:lang w:val="en-US"/>
        </w:rPr>
        <w:t xml:space="preserve"> </w:t>
      </w:r>
      <w:r w:rsidRPr="006C4490">
        <w:rPr>
          <w:lang w:val="en-US"/>
        </w:rPr>
        <w:t>Medicare-</w:t>
      </w:r>
      <w:proofErr w:type="spellStart"/>
      <w:r w:rsidRPr="006C4490">
        <w:rPr>
          <w:lang w:val="en-US"/>
        </w:rPr>
        <w:t>subsidise</w:t>
      </w:r>
      <w:r w:rsidR="00823F92" w:rsidRPr="006C4490">
        <w:rPr>
          <w:lang w:val="en-US"/>
        </w:rPr>
        <w:t>d</w:t>
      </w:r>
      <w:proofErr w:type="spellEnd"/>
      <w:r w:rsidR="00823F92">
        <w:rPr>
          <w:lang w:val="en-US"/>
        </w:rPr>
        <w:t xml:space="preserve"> </w:t>
      </w:r>
      <w:r w:rsidRPr="006C4490">
        <w:rPr>
          <w:lang w:val="en-US"/>
        </w:rPr>
        <w:t>menta</w:t>
      </w:r>
      <w:r w:rsidR="00823F92" w:rsidRPr="006C4490">
        <w:rPr>
          <w:lang w:val="en-US"/>
        </w:rPr>
        <w:t>l</w:t>
      </w:r>
      <w:r w:rsidR="00823F92">
        <w:rPr>
          <w:lang w:val="en-US"/>
        </w:rPr>
        <w:t xml:space="preserve"> </w:t>
      </w:r>
      <w:r w:rsidRPr="006C4490">
        <w:rPr>
          <w:lang w:val="en-US"/>
        </w:rPr>
        <w:t>healt</w:t>
      </w:r>
      <w:r w:rsidR="00823F92" w:rsidRPr="006C4490">
        <w:rPr>
          <w:lang w:val="en-US"/>
        </w:rPr>
        <w:t>h</w:t>
      </w:r>
      <w:r w:rsidR="00823F92">
        <w:rPr>
          <w:lang w:val="en-US"/>
        </w:rPr>
        <w:t xml:space="preserve"> </w:t>
      </w:r>
      <w:r w:rsidRPr="006C4490">
        <w:rPr>
          <w:lang w:val="en-US"/>
        </w:rPr>
        <w:t>service</w:t>
      </w:r>
      <w:r w:rsidR="00823F92" w:rsidRPr="006C4490">
        <w:rPr>
          <w:lang w:val="en-US"/>
        </w:rPr>
        <w:t>s</w:t>
      </w:r>
      <w:r w:rsidR="00823F92">
        <w:rPr>
          <w:lang w:val="en-US"/>
        </w:rPr>
        <w:t xml:space="preserve"> </w:t>
      </w:r>
      <w:r w:rsidRPr="006C4490">
        <w:rPr>
          <w:lang w:val="en-US"/>
        </w:rPr>
        <w:t>delivere</w:t>
      </w:r>
      <w:r w:rsidR="00823F92" w:rsidRPr="006C4490">
        <w:rPr>
          <w:lang w:val="en-US"/>
        </w:rPr>
        <w:t>d</w:t>
      </w:r>
      <w:r w:rsidR="00823F92">
        <w:rPr>
          <w:lang w:val="en-US"/>
        </w:rPr>
        <w:t xml:space="preserve"> </w:t>
      </w:r>
      <w:r w:rsidRPr="006C4490">
        <w:rPr>
          <w:lang w:val="en-US"/>
        </w:rPr>
        <w:t>nationall</w:t>
      </w:r>
      <w:r w:rsidR="00823F92" w:rsidRPr="006C4490">
        <w:rPr>
          <w:lang w:val="en-US"/>
        </w:rPr>
        <w:t>y</w:t>
      </w:r>
      <w:r w:rsidR="00823F92">
        <w:rPr>
          <w:lang w:val="en-US"/>
        </w:rPr>
        <w:t xml:space="preserve"> </w:t>
      </w:r>
      <w:r w:rsidR="005B1F15">
        <w:rPr>
          <w:lang w:val="en-US"/>
        </w:rPr>
        <w:t>fro</w:t>
      </w:r>
      <w:r w:rsidR="00823F92">
        <w:rPr>
          <w:lang w:val="en-US"/>
        </w:rPr>
        <w:t xml:space="preserve">m </w:t>
      </w:r>
      <w:r w:rsidR="005B1F15">
        <w:rPr>
          <w:lang w:val="en-US"/>
        </w:rPr>
        <w:t>Marc</w:t>
      </w:r>
      <w:r w:rsidR="00823F92">
        <w:rPr>
          <w:lang w:val="en-US"/>
        </w:rPr>
        <w:t xml:space="preserve">h </w:t>
      </w:r>
      <w:r w:rsidR="005B1F15">
        <w:rPr>
          <w:lang w:val="en-US"/>
        </w:rPr>
        <w:t>t</w:t>
      </w:r>
      <w:r w:rsidR="00823F92">
        <w:rPr>
          <w:lang w:val="en-US"/>
        </w:rPr>
        <w:t xml:space="preserve">o </w:t>
      </w:r>
      <w:r w:rsidR="005B1F15">
        <w:rPr>
          <w:lang w:val="en-US"/>
        </w:rPr>
        <w:t>Octobe</w:t>
      </w:r>
      <w:r w:rsidR="00823F92">
        <w:rPr>
          <w:lang w:val="en-US"/>
        </w:rPr>
        <w:t xml:space="preserve">r </w:t>
      </w:r>
      <w:r w:rsidR="005B1F15">
        <w:rPr>
          <w:lang w:val="en-US"/>
        </w:rPr>
        <w:t>2020</w:t>
      </w:r>
      <w:r w:rsidRPr="006C4490">
        <w:rPr>
          <w:lang w:val="en-US"/>
        </w:rPr>
        <w:t>.</w:t>
      </w:r>
      <w:r>
        <w:rPr>
          <w:rStyle w:val="FootnoteReference"/>
          <w:lang w:val="en-US"/>
        </w:rPr>
        <w:footnoteReference w:id="13"/>
      </w:r>
      <w:r w:rsidRPr="006C4490">
        <w:rPr>
          <w:lang w:val="en-US"/>
        </w:rPr>
        <w:t xml:space="preserve"> Th</w:t>
      </w:r>
      <w:r w:rsidR="00823F92" w:rsidRPr="006C4490">
        <w:rPr>
          <w:lang w:val="en-US"/>
        </w:rPr>
        <w:t>e</w:t>
      </w:r>
      <w:r w:rsidR="00823F92">
        <w:rPr>
          <w:lang w:val="en-US"/>
        </w:rPr>
        <w:t xml:space="preserve"> </w:t>
      </w:r>
      <w:r w:rsidRPr="006C4490">
        <w:rPr>
          <w:lang w:val="en-US"/>
        </w:rPr>
        <w:t>impac</w:t>
      </w:r>
      <w:r w:rsidR="00823F92" w:rsidRPr="006C4490">
        <w:rPr>
          <w:lang w:val="en-US"/>
        </w:rPr>
        <w:t>t</w:t>
      </w:r>
      <w:r w:rsidR="00823F92">
        <w:rPr>
          <w:lang w:val="en-US"/>
        </w:rPr>
        <w:t xml:space="preserve"> </w:t>
      </w:r>
      <w:r w:rsidRPr="006C4490">
        <w:rPr>
          <w:lang w:val="en-US"/>
        </w:rPr>
        <w:t>wa</w:t>
      </w:r>
      <w:r w:rsidR="00823F92" w:rsidRPr="006C4490">
        <w:rPr>
          <w:lang w:val="en-US"/>
        </w:rPr>
        <w:t>s</w:t>
      </w:r>
      <w:r w:rsidR="00823F92">
        <w:rPr>
          <w:lang w:val="en-US"/>
        </w:rPr>
        <w:t xml:space="preserve"> </w:t>
      </w:r>
      <w:r w:rsidRPr="006C4490">
        <w:rPr>
          <w:lang w:val="en-US"/>
        </w:rPr>
        <w:t>fel</w:t>
      </w:r>
      <w:r w:rsidR="00823F92" w:rsidRPr="006C4490">
        <w:rPr>
          <w:lang w:val="en-US"/>
        </w:rPr>
        <w:t>t</w:t>
      </w:r>
      <w:r w:rsidR="00823F92">
        <w:rPr>
          <w:lang w:val="en-US"/>
        </w:rPr>
        <w:t xml:space="preserve"> </w:t>
      </w:r>
      <w:r w:rsidRPr="006C4490">
        <w:rPr>
          <w:lang w:val="en-US"/>
        </w:rPr>
        <w:t>particularl</w:t>
      </w:r>
      <w:r w:rsidR="00823F92" w:rsidRPr="006C4490">
        <w:rPr>
          <w:lang w:val="en-US"/>
        </w:rPr>
        <w:t>y</w:t>
      </w:r>
      <w:r w:rsidR="00823F92">
        <w:rPr>
          <w:lang w:val="en-US"/>
        </w:rPr>
        <w:t xml:space="preserve"> </w:t>
      </w:r>
      <w:r w:rsidRPr="006C4490">
        <w:rPr>
          <w:lang w:val="en-US"/>
        </w:rPr>
        <w:t>i</w:t>
      </w:r>
      <w:r w:rsidR="00823F92" w:rsidRPr="006C4490">
        <w:rPr>
          <w:lang w:val="en-US"/>
        </w:rPr>
        <w:t>n</w:t>
      </w:r>
      <w:r w:rsidR="00823F92">
        <w:rPr>
          <w:lang w:val="en-US"/>
        </w:rPr>
        <w:t xml:space="preserve"> </w:t>
      </w:r>
      <w:r w:rsidRPr="006C4490">
        <w:rPr>
          <w:lang w:val="en-US"/>
        </w:rPr>
        <w:t>Victoria</w:t>
      </w:r>
      <w:r w:rsidR="00823F92" w:rsidRPr="006C4490">
        <w:rPr>
          <w:lang w:val="en-US"/>
        </w:rPr>
        <w:t>,</w:t>
      </w:r>
      <w:r w:rsidR="00823F92">
        <w:rPr>
          <w:lang w:val="en-US"/>
        </w:rPr>
        <w:t xml:space="preserve"> </w:t>
      </w:r>
      <w:r w:rsidRPr="006C4490">
        <w:rPr>
          <w:lang w:val="en-US"/>
        </w:rPr>
        <w:t>wit</w:t>
      </w:r>
      <w:r w:rsidR="00823F92" w:rsidRPr="006C4490">
        <w:rPr>
          <w:lang w:val="en-US"/>
        </w:rPr>
        <w:t>h</w:t>
      </w:r>
      <w:r w:rsidR="00823F92">
        <w:rPr>
          <w:lang w:val="en-US"/>
        </w:rPr>
        <w:t xml:space="preserve"> </w:t>
      </w:r>
      <w:r w:rsidRPr="006C4490">
        <w:rPr>
          <w:lang w:val="en-US"/>
        </w:rPr>
        <w:t>prolonge</w:t>
      </w:r>
      <w:r w:rsidR="00823F92" w:rsidRPr="006C4490">
        <w:rPr>
          <w:lang w:val="en-US"/>
        </w:rPr>
        <w:t>d</w:t>
      </w:r>
      <w:r w:rsidR="00823F92">
        <w:rPr>
          <w:lang w:val="en-US"/>
        </w:rPr>
        <w:t xml:space="preserve"> </w:t>
      </w:r>
      <w:r w:rsidR="002B6FB4">
        <w:rPr>
          <w:lang w:val="en-US"/>
        </w:rPr>
        <w:t>period</w:t>
      </w:r>
      <w:r w:rsidR="00823F92">
        <w:rPr>
          <w:lang w:val="en-US"/>
        </w:rPr>
        <w:t xml:space="preserve">s </w:t>
      </w:r>
      <w:r w:rsidR="002B6FB4">
        <w:rPr>
          <w:lang w:val="en-US"/>
        </w:rPr>
        <w:t>o</w:t>
      </w:r>
      <w:r w:rsidR="00823F92">
        <w:rPr>
          <w:lang w:val="en-US"/>
        </w:rPr>
        <w:t xml:space="preserve">f </w:t>
      </w:r>
      <w:r w:rsidRPr="006C4490">
        <w:rPr>
          <w:lang w:val="en-US"/>
        </w:rPr>
        <w:t>lockdow</w:t>
      </w:r>
      <w:r w:rsidR="00823F92" w:rsidRPr="006C4490">
        <w:rPr>
          <w:lang w:val="en-US"/>
        </w:rPr>
        <w:t>n</w:t>
      </w:r>
      <w:r w:rsidR="00823F92">
        <w:rPr>
          <w:lang w:val="en-US"/>
        </w:rPr>
        <w:t xml:space="preserve"> </w:t>
      </w:r>
      <w:r w:rsidRPr="006C4490">
        <w:rPr>
          <w:lang w:val="en-US"/>
        </w:rPr>
        <w:t>contributin</w:t>
      </w:r>
      <w:r w:rsidR="00823F92" w:rsidRPr="006C4490">
        <w:rPr>
          <w:lang w:val="en-US"/>
        </w:rPr>
        <w:t>g</w:t>
      </w:r>
      <w:r w:rsidR="00823F92">
        <w:rPr>
          <w:lang w:val="en-US"/>
        </w:rPr>
        <w:t xml:space="preserve"> </w:t>
      </w:r>
      <w:r w:rsidRPr="006C4490">
        <w:rPr>
          <w:lang w:val="en-US"/>
        </w:rPr>
        <w:t>t</w:t>
      </w:r>
      <w:r w:rsidR="00823F92" w:rsidRPr="006C4490">
        <w:rPr>
          <w:lang w:val="en-US"/>
        </w:rPr>
        <w:t>o</w:t>
      </w:r>
      <w:r w:rsidR="00823F92">
        <w:rPr>
          <w:lang w:val="en-US"/>
        </w:rPr>
        <w:t xml:space="preserve"> </w:t>
      </w:r>
      <w:r w:rsidR="00823F92" w:rsidRPr="006C4490">
        <w:rPr>
          <w:lang w:val="en-US"/>
        </w:rPr>
        <w:t>a</w:t>
      </w:r>
      <w:r w:rsidR="00823F92">
        <w:rPr>
          <w:lang w:val="en-US"/>
        </w:rPr>
        <w:t xml:space="preserve"> </w:t>
      </w:r>
      <w:r w:rsidRPr="006C4490">
        <w:rPr>
          <w:lang w:val="en-US"/>
        </w:rPr>
        <w:t>31% increas</w:t>
      </w:r>
      <w:r w:rsidR="00823F92" w:rsidRPr="006C4490">
        <w:rPr>
          <w:lang w:val="en-US"/>
        </w:rPr>
        <w:t>e</w:t>
      </w:r>
      <w:r w:rsidR="00823F92">
        <w:rPr>
          <w:lang w:val="en-US"/>
        </w:rPr>
        <w:t xml:space="preserve"> </w:t>
      </w:r>
      <w:r w:rsidRPr="006C4490">
        <w:rPr>
          <w:lang w:val="en-US"/>
        </w:rPr>
        <w:t>i</w:t>
      </w:r>
      <w:r w:rsidR="00823F92" w:rsidRPr="006C4490">
        <w:rPr>
          <w:lang w:val="en-US"/>
        </w:rPr>
        <w:t>n</w:t>
      </w:r>
      <w:r w:rsidR="00823F92">
        <w:rPr>
          <w:lang w:val="en-US"/>
        </w:rPr>
        <w:t xml:space="preserve"> </w:t>
      </w:r>
      <w:r w:rsidRPr="006C4490">
        <w:rPr>
          <w:lang w:val="en-US"/>
        </w:rPr>
        <w:t>service</w:t>
      </w:r>
      <w:r w:rsidR="00823F92" w:rsidRPr="006C4490">
        <w:rPr>
          <w:lang w:val="en-US"/>
        </w:rPr>
        <w:t>s</w:t>
      </w:r>
      <w:r w:rsidR="00823F92">
        <w:rPr>
          <w:lang w:val="en-US"/>
        </w:rPr>
        <w:t xml:space="preserve"> </w:t>
      </w:r>
      <w:r w:rsidRPr="006C4490">
        <w:rPr>
          <w:lang w:val="en-US"/>
        </w:rPr>
        <w:t>accesse</w:t>
      </w:r>
      <w:r w:rsidR="00823F92" w:rsidRPr="006C4490">
        <w:rPr>
          <w:lang w:val="en-US"/>
        </w:rPr>
        <w:t>d</w:t>
      </w:r>
      <w:r w:rsidR="00823F92">
        <w:rPr>
          <w:lang w:val="en-US"/>
        </w:rPr>
        <w:t xml:space="preserve"> </w:t>
      </w:r>
      <w:r w:rsidRPr="006C4490">
        <w:rPr>
          <w:lang w:val="en-US"/>
        </w:rPr>
        <w:t>betwee</w:t>
      </w:r>
      <w:r w:rsidR="00823F92" w:rsidRPr="006C4490">
        <w:rPr>
          <w:lang w:val="en-US"/>
        </w:rPr>
        <w:t>n</w:t>
      </w:r>
      <w:r w:rsidR="00823F92">
        <w:rPr>
          <w:lang w:val="en-US"/>
        </w:rPr>
        <w:t xml:space="preserve"> </w:t>
      </w:r>
      <w:r w:rsidRPr="006C4490">
        <w:rPr>
          <w:lang w:val="en-US"/>
        </w:rPr>
        <w:t>Septembe</w:t>
      </w:r>
      <w:r w:rsidR="00823F92" w:rsidRPr="006C4490">
        <w:rPr>
          <w:lang w:val="en-US"/>
        </w:rPr>
        <w:t>r</w:t>
      </w:r>
      <w:r w:rsidR="00823F92">
        <w:rPr>
          <w:lang w:val="en-US"/>
        </w:rPr>
        <w:t xml:space="preserve"> </w:t>
      </w:r>
      <w:r w:rsidRPr="006C4490">
        <w:rPr>
          <w:lang w:val="en-US"/>
        </w:rPr>
        <w:t>an</w:t>
      </w:r>
      <w:r w:rsidR="00823F92" w:rsidRPr="006C4490">
        <w:rPr>
          <w:lang w:val="en-US"/>
        </w:rPr>
        <w:t>d</w:t>
      </w:r>
      <w:r w:rsidR="00823F92">
        <w:rPr>
          <w:lang w:val="en-US"/>
        </w:rPr>
        <w:t xml:space="preserve"> </w:t>
      </w:r>
      <w:r w:rsidRPr="006C4490">
        <w:rPr>
          <w:lang w:val="en-US"/>
        </w:rPr>
        <w:t>Octobe</w:t>
      </w:r>
      <w:r w:rsidR="00823F92" w:rsidRPr="006C4490">
        <w:rPr>
          <w:lang w:val="en-US"/>
        </w:rPr>
        <w:t>r</w:t>
      </w:r>
      <w:r w:rsidR="00823F92">
        <w:rPr>
          <w:lang w:val="en-US"/>
        </w:rPr>
        <w:t xml:space="preserve"> </w:t>
      </w:r>
      <w:r w:rsidRPr="006C4490">
        <w:rPr>
          <w:lang w:val="en-US"/>
        </w:rPr>
        <w:t>2020</w:t>
      </w:r>
      <w:r w:rsidR="00823F92" w:rsidRPr="006C4490">
        <w:rPr>
          <w:lang w:val="en-US"/>
        </w:rPr>
        <w:t>.</w:t>
      </w:r>
      <w:r w:rsidR="00823F92">
        <w:rPr>
          <w:lang w:val="en-US"/>
        </w:rPr>
        <w:t xml:space="preserve"> </w:t>
      </w:r>
      <w:r>
        <w:rPr>
          <w:lang w:val="en-US"/>
        </w:rPr>
        <w:t>Thi</w:t>
      </w:r>
      <w:r w:rsidR="00823F92">
        <w:rPr>
          <w:lang w:val="en-US"/>
        </w:rPr>
        <w:t xml:space="preserve">s </w:t>
      </w:r>
      <w:r>
        <w:rPr>
          <w:lang w:val="en-US"/>
        </w:rPr>
        <w:t>highlight</w:t>
      </w:r>
      <w:r w:rsidR="00823F92">
        <w:rPr>
          <w:lang w:val="en-US"/>
        </w:rPr>
        <w:t xml:space="preserve">s </w:t>
      </w:r>
      <w:r>
        <w:rPr>
          <w:lang w:val="en-US"/>
        </w:rPr>
        <w:t>th</w:t>
      </w:r>
      <w:r w:rsidR="00823F92">
        <w:rPr>
          <w:lang w:val="en-US"/>
        </w:rPr>
        <w:t xml:space="preserve">e </w:t>
      </w:r>
      <w:r>
        <w:rPr>
          <w:lang w:val="en-US"/>
        </w:rPr>
        <w:t>nee</w:t>
      </w:r>
      <w:r w:rsidR="00823F92">
        <w:rPr>
          <w:lang w:val="en-US"/>
        </w:rPr>
        <w:t xml:space="preserve">d </w:t>
      </w:r>
      <w:r>
        <w:rPr>
          <w:lang w:val="en-US"/>
        </w:rPr>
        <w:t>fo</w:t>
      </w:r>
      <w:r w:rsidR="00823F92">
        <w:rPr>
          <w:lang w:val="en-US"/>
        </w:rPr>
        <w:t xml:space="preserve">r </w:t>
      </w:r>
      <w:r>
        <w:rPr>
          <w:lang w:val="en-US"/>
        </w:rPr>
        <w:t>th</w:t>
      </w:r>
      <w:r w:rsidR="00823F92">
        <w:rPr>
          <w:lang w:val="en-US"/>
        </w:rPr>
        <w:t xml:space="preserve">e </w:t>
      </w:r>
      <w:r>
        <w:rPr>
          <w:lang w:val="en-US"/>
        </w:rPr>
        <w:t>menta</w:t>
      </w:r>
      <w:r w:rsidR="00823F92">
        <w:rPr>
          <w:lang w:val="en-US"/>
        </w:rPr>
        <w:t xml:space="preserve">l </w:t>
      </w:r>
      <w:r>
        <w:rPr>
          <w:lang w:val="en-US"/>
        </w:rPr>
        <w:t>healt</w:t>
      </w:r>
      <w:r w:rsidR="00823F92">
        <w:rPr>
          <w:lang w:val="en-US"/>
        </w:rPr>
        <w:t xml:space="preserve">h </w:t>
      </w:r>
      <w:r>
        <w:rPr>
          <w:lang w:val="en-US"/>
        </w:rPr>
        <w:t>workforc</w:t>
      </w:r>
      <w:r w:rsidR="00823F92">
        <w:rPr>
          <w:lang w:val="en-US"/>
        </w:rPr>
        <w:t xml:space="preserve">e </w:t>
      </w:r>
      <w:r>
        <w:rPr>
          <w:lang w:val="en-US"/>
        </w:rPr>
        <w:t>t</w:t>
      </w:r>
      <w:r w:rsidR="00823F92">
        <w:rPr>
          <w:lang w:val="en-US"/>
        </w:rPr>
        <w:t xml:space="preserve">o </w:t>
      </w:r>
      <w:r>
        <w:rPr>
          <w:lang w:val="en-US"/>
        </w:rPr>
        <w:t>hav</w:t>
      </w:r>
      <w:r w:rsidR="00823F92">
        <w:rPr>
          <w:lang w:val="en-US"/>
        </w:rPr>
        <w:t xml:space="preserve">e </w:t>
      </w:r>
      <w:r>
        <w:rPr>
          <w:lang w:val="en-US"/>
        </w:rPr>
        <w:t>sufficien</w:t>
      </w:r>
      <w:r w:rsidR="00823F92">
        <w:rPr>
          <w:lang w:val="en-US"/>
        </w:rPr>
        <w:t xml:space="preserve">t </w:t>
      </w:r>
      <w:r>
        <w:rPr>
          <w:lang w:val="en-US"/>
        </w:rPr>
        <w:t>surg</w:t>
      </w:r>
      <w:r w:rsidR="00823F92">
        <w:rPr>
          <w:lang w:val="en-US"/>
        </w:rPr>
        <w:t xml:space="preserve">e </w:t>
      </w:r>
      <w:r>
        <w:rPr>
          <w:lang w:val="en-US"/>
        </w:rPr>
        <w:t>capacit</w:t>
      </w:r>
      <w:r w:rsidR="00823F92">
        <w:rPr>
          <w:lang w:val="en-US"/>
        </w:rPr>
        <w:t xml:space="preserve">y </w:t>
      </w:r>
      <w:r>
        <w:rPr>
          <w:lang w:val="en-US"/>
        </w:rPr>
        <w:t>t</w:t>
      </w:r>
      <w:r w:rsidR="00823F92">
        <w:rPr>
          <w:lang w:val="en-US"/>
        </w:rPr>
        <w:t xml:space="preserve">o </w:t>
      </w:r>
      <w:r>
        <w:rPr>
          <w:lang w:val="en-US"/>
        </w:rPr>
        <w:t>mee</w:t>
      </w:r>
      <w:r w:rsidR="00823F92">
        <w:rPr>
          <w:lang w:val="en-US"/>
        </w:rPr>
        <w:t xml:space="preserve">t </w:t>
      </w:r>
      <w:r w:rsidR="00BE72A9">
        <w:rPr>
          <w:lang w:val="en-US"/>
        </w:rPr>
        <w:t>sudden</w:t>
      </w:r>
      <w:r w:rsidR="00823F92">
        <w:rPr>
          <w:lang w:val="en-US"/>
        </w:rPr>
        <w:t xml:space="preserve">, </w:t>
      </w:r>
      <w:r w:rsidR="00BE72A9">
        <w:rPr>
          <w:lang w:val="en-US"/>
        </w:rPr>
        <w:t>unexpecte</w:t>
      </w:r>
      <w:r w:rsidR="00823F92">
        <w:rPr>
          <w:lang w:val="en-US"/>
        </w:rPr>
        <w:t xml:space="preserve">d </w:t>
      </w:r>
      <w:r w:rsidR="00BE72A9">
        <w:rPr>
          <w:lang w:val="en-US"/>
        </w:rPr>
        <w:t>an</w:t>
      </w:r>
      <w:r w:rsidR="00823F92">
        <w:rPr>
          <w:lang w:val="en-US"/>
        </w:rPr>
        <w:t xml:space="preserve">d </w:t>
      </w:r>
      <w:r w:rsidR="00BE72A9">
        <w:rPr>
          <w:lang w:val="en-US"/>
        </w:rPr>
        <w:t>significan</w:t>
      </w:r>
      <w:r w:rsidR="00823F92">
        <w:rPr>
          <w:lang w:val="en-US"/>
        </w:rPr>
        <w:t xml:space="preserve">t </w:t>
      </w:r>
      <w:r>
        <w:rPr>
          <w:lang w:val="en-US"/>
        </w:rPr>
        <w:t>increase</w:t>
      </w:r>
      <w:r w:rsidR="00823F92">
        <w:rPr>
          <w:lang w:val="en-US"/>
        </w:rPr>
        <w:t xml:space="preserve">s </w:t>
      </w:r>
      <w:r>
        <w:rPr>
          <w:lang w:val="en-US"/>
        </w:rPr>
        <w:t>i</w:t>
      </w:r>
      <w:r w:rsidR="00823F92">
        <w:rPr>
          <w:lang w:val="en-US"/>
        </w:rPr>
        <w:t xml:space="preserve">n </w:t>
      </w:r>
      <w:r>
        <w:rPr>
          <w:lang w:val="en-US"/>
        </w:rPr>
        <w:t>deman</w:t>
      </w:r>
      <w:r w:rsidR="00823F92">
        <w:rPr>
          <w:lang w:val="en-US"/>
        </w:rPr>
        <w:t xml:space="preserve">d </w:t>
      </w:r>
      <w:r w:rsidR="00BE72A9">
        <w:rPr>
          <w:lang w:val="en-US"/>
        </w:rPr>
        <w:t>fo</w:t>
      </w:r>
      <w:r w:rsidR="00823F92">
        <w:rPr>
          <w:lang w:val="en-US"/>
        </w:rPr>
        <w:t xml:space="preserve">r </w:t>
      </w:r>
      <w:r w:rsidR="00BE72A9">
        <w:rPr>
          <w:lang w:val="en-US"/>
        </w:rPr>
        <w:t>menta</w:t>
      </w:r>
      <w:r w:rsidR="00823F92">
        <w:rPr>
          <w:lang w:val="en-US"/>
        </w:rPr>
        <w:t xml:space="preserve">l </w:t>
      </w:r>
      <w:r w:rsidR="00BE72A9">
        <w:rPr>
          <w:lang w:val="en-US"/>
        </w:rPr>
        <w:t>healt</w:t>
      </w:r>
      <w:r w:rsidR="00823F92">
        <w:rPr>
          <w:lang w:val="en-US"/>
        </w:rPr>
        <w:t xml:space="preserve">h </w:t>
      </w:r>
      <w:r w:rsidR="0029726B">
        <w:rPr>
          <w:lang w:val="en-US"/>
        </w:rPr>
        <w:t>suppor</w:t>
      </w:r>
      <w:r w:rsidR="00823F92">
        <w:rPr>
          <w:lang w:val="en-US"/>
        </w:rPr>
        <w:t xml:space="preserve">t </w:t>
      </w:r>
      <w:r w:rsidR="0029726B">
        <w:rPr>
          <w:lang w:val="en-US"/>
        </w:rPr>
        <w:t>an</w:t>
      </w:r>
      <w:r w:rsidR="00823F92">
        <w:rPr>
          <w:lang w:val="en-US"/>
        </w:rPr>
        <w:t xml:space="preserve">d </w:t>
      </w:r>
      <w:r w:rsidR="0029726B">
        <w:rPr>
          <w:lang w:val="en-US"/>
        </w:rPr>
        <w:t>treatment</w:t>
      </w:r>
      <w:r w:rsidR="00823F92">
        <w:rPr>
          <w:lang w:val="en-US"/>
        </w:rPr>
        <w:t xml:space="preserve">. </w:t>
      </w:r>
    </w:p>
    <w:p w14:paraId="5CA9C63D" w14:textId="74CD2EEB" w:rsidR="00103373" w:rsidRPr="0078783E" w:rsidRDefault="00103373" w:rsidP="00822A9C">
      <w:pPr>
        <w:pStyle w:val="Heading2"/>
        <w:rPr>
          <w:bCs/>
          <w:iCs/>
        </w:rPr>
      </w:pPr>
      <w:bookmarkStart w:id="12" w:name="_Toc99018985"/>
      <w:r w:rsidRPr="00A85073">
        <w:t>Polic</w:t>
      </w:r>
      <w:r w:rsidR="00823F92" w:rsidRPr="00A85073">
        <w:t>y</w:t>
      </w:r>
      <w:r w:rsidR="00823F92">
        <w:t xml:space="preserve"> </w:t>
      </w:r>
      <w:r w:rsidRPr="0078783E">
        <w:t>context</w:t>
      </w:r>
      <w:bookmarkEnd w:id="12"/>
    </w:p>
    <w:p w14:paraId="7826FCEE" w14:textId="1F2582CD" w:rsidR="00103373" w:rsidRDefault="00103373" w:rsidP="00822A9C">
      <w:pPr>
        <w:pStyle w:val="BodyText"/>
        <w:rPr>
          <w:lang w:val="en-US"/>
        </w:rPr>
      </w:pPr>
      <w:r w:rsidRPr="006C4490">
        <w:rPr>
          <w:lang w:val="en-US"/>
        </w:rPr>
        <w:t>Thi</w:t>
      </w:r>
      <w:r w:rsidR="00823F92" w:rsidRPr="006C4490">
        <w:rPr>
          <w:lang w:val="en-US"/>
        </w:rPr>
        <w:t>s</w:t>
      </w:r>
      <w:r w:rsidR="00823F92">
        <w:rPr>
          <w:lang w:val="en-US"/>
        </w:rPr>
        <w:t xml:space="preserve"> </w:t>
      </w:r>
      <w:r w:rsidRPr="006C4490">
        <w:rPr>
          <w:lang w:val="en-US"/>
        </w:rPr>
        <w:t>i</w:t>
      </w:r>
      <w:r w:rsidR="00823F92" w:rsidRPr="006C4490">
        <w:rPr>
          <w:lang w:val="en-US"/>
        </w:rPr>
        <w:t>s</w:t>
      </w:r>
      <w:r w:rsidR="00823F92">
        <w:rPr>
          <w:lang w:val="en-US"/>
        </w:rPr>
        <w:t xml:space="preserve"> </w:t>
      </w:r>
      <w:r w:rsidRPr="006C4490">
        <w:rPr>
          <w:lang w:val="en-US"/>
        </w:rPr>
        <w:t>a</w:t>
      </w:r>
      <w:r w:rsidR="00823F92" w:rsidRPr="006C4490">
        <w:rPr>
          <w:lang w:val="en-US"/>
        </w:rPr>
        <w:t>n</w:t>
      </w:r>
      <w:r w:rsidR="00823F92">
        <w:rPr>
          <w:lang w:val="en-US"/>
        </w:rPr>
        <w:t xml:space="preserve"> </w:t>
      </w:r>
      <w:r w:rsidRPr="006C4490">
        <w:rPr>
          <w:lang w:val="en-US"/>
        </w:rPr>
        <w:t>importan</w:t>
      </w:r>
      <w:r w:rsidR="00823F92" w:rsidRPr="006C4490">
        <w:rPr>
          <w:lang w:val="en-US"/>
        </w:rPr>
        <w:t>t</w:t>
      </w:r>
      <w:r w:rsidR="00823F92">
        <w:rPr>
          <w:lang w:val="en-US"/>
        </w:rPr>
        <w:t xml:space="preserve"> </w:t>
      </w:r>
      <w:r w:rsidRPr="006C4490">
        <w:rPr>
          <w:lang w:val="en-US"/>
        </w:rPr>
        <w:t>momen</w:t>
      </w:r>
      <w:r w:rsidR="00823F92" w:rsidRPr="006C4490">
        <w:rPr>
          <w:lang w:val="en-US"/>
        </w:rPr>
        <w:t>t</w:t>
      </w:r>
      <w:r w:rsidR="00823F92">
        <w:rPr>
          <w:lang w:val="en-US"/>
        </w:rPr>
        <w:t xml:space="preserve"> </w:t>
      </w:r>
      <w:r w:rsidRPr="006C4490">
        <w:rPr>
          <w:lang w:val="en-US"/>
        </w:rPr>
        <w:t>o</w:t>
      </w:r>
      <w:r w:rsidR="00823F92" w:rsidRPr="006C4490">
        <w:rPr>
          <w:lang w:val="en-US"/>
        </w:rPr>
        <w:t>f</w:t>
      </w:r>
      <w:r w:rsidR="00823F92">
        <w:rPr>
          <w:lang w:val="en-US"/>
        </w:rPr>
        <w:t xml:space="preserve"> </w:t>
      </w:r>
      <w:r w:rsidRPr="006C4490">
        <w:rPr>
          <w:lang w:val="en-US"/>
        </w:rPr>
        <w:t>refor</w:t>
      </w:r>
      <w:r w:rsidR="00823F92" w:rsidRPr="006C4490">
        <w:rPr>
          <w:lang w:val="en-US"/>
        </w:rPr>
        <w:t>m</w:t>
      </w:r>
      <w:r w:rsidR="00823F92">
        <w:rPr>
          <w:lang w:val="en-US"/>
        </w:rPr>
        <w:t xml:space="preserve"> </w:t>
      </w:r>
      <w:r w:rsidRPr="006C4490">
        <w:rPr>
          <w:lang w:val="en-US"/>
        </w:rPr>
        <w:t>fo</w:t>
      </w:r>
      <w:r w:rsidR="00823F92" w:rsidRPr="006C4490">
        <w:rPr>
          <w:lang w:val="en-US"/>
        </w:rPr>
        <w:t>r</w:t>
      </w:r>
      <w:r w:rsidR="00823F92">
        <w:rPr>
          <w:lang w:val="en-US"/>
        </w:rPr>
        <w:t xml:space="preserve"> </w:t>
      </w:r>
      <w:r w:rsidRPr="006C4490">
        <w:rPr>
          <w:lang w:val="en-US"/>
        </w:rPr>
        <w:t>Australia’</w:t>
      </w:r>
      <w:r w:rsidR="00823F92" w:rsidRPr="006C4490">
        <w:rPr>
          <w:lang w:val="en-US"/>
        </w:rPr>
        <w:t>s</w:t>
      </w:r>
      <w:r w:rsidR="00823F92">
        <w:rPr>
          <w:lang w:val="en-US"/>
        </w:rPr>
        <w:t xml:space="preserve"> </w:t>
      </w:r>
      <w:r w:rsidRPr="006C4490">
        <w:rPr>
          <w:lang w:val="en-US"/>
        </w:rPr>
        <w:t>menta</w:t>
      </w:r>
      <w:r w:rsidR="00823F92" w:rsidRPr="006C4490">
        <w:rPr>
          <w:lang w:val="en-US"/>
        </w:rPr>
        <w:t>l</w:t>
      </w:r>
      <w:r w:rsidR="00823F92">
        <w:rPr>
          <w:lang w:val="en-US"/>
        </w:rPr>
        <w:t xml:space="preserve"> </w:t>
      </w:r>
      <w:r w:rsidRPr="006C4490">
        <w:rPr>
          <w:lang w:val="en-US"/>
        </w:rPr>
        <w:t>healt</w:t>
      </w:r>
      <w:r w:rsidR="00823F92" w:rsidRPr="006C4490">
        <w:rPr>
          <w:lang w:val="en-US"/>
        </w:rPr>
        <w:t>h</w:t>
      </w:r>
      <w:r w:rsidR="00823F92">
        <w:rPr>
          <w:lang w:val="en-US"/>
        </w:rPr>
        <w:t xml:space="preserve"> </w:t>
      </w:r>
      <w:r w:rsidRPr="006C4490">
        <w:rPr>
          <w:lang w:val="en-US"/>
        </w:rPr>
        <w:t>system</w:t>
      </w:r>
      <w:r w:rsidR="00823F92" w:rsidRPr="006C4490">
        <w:rPr>
          <w:lang w:val="en-US"/>
        </w:rPr>
        <w:t>,</w:t>
      </w:r>
      <w:r w:rsidR="00823F92">
        <w:rPr>
          <w:lang w:val="en-US"/>
        </w:rPr>
        <w:t xml:space="preserve"> </w:t>
      </w:r>
      <w:r w:rsidRPr="006C4490">
        <w:rPr>
          <w:lang w:val="en-US"/>
        </w:rPr>
        <w:t>wit</w:t>
      </w:r>
      <w:r w:rsidR="00823F92" w:rsidRPr="006C4490">
        <w:rPr>
          <w:lang w:val="en-US"/>
        </w:rPr>
        <w:t>h</w:t>
      </w:r>
      <w:r w:rsidR="00823F92">
        <w:rPr>
          <w:lang w:val="en-US"/>
        </w:rPr>
        <w:t xml:space="preserve"> </w:t>
      </w:r>
      <w:r w:rsidRPr="006C4490">
        <w:rPr>
          <w:lang w:val="en-US"/>
        </w:rPr>
        <w:t>th</w:t>
      </w:r>
      <w:r w:rsidR="00823F92" w:rsidRPr="006C4490">
        <w:rPr>
          <w:lang w:val="en-US"/>
        </w:rPr>
        <w:t>e</w:t>
      </w:r>
      <w:r w:rsidR="00823F92">
        <w:rPr>
          <w:lang w:val="en-US"/>
        </w:rPr>
        <w:t xml:space="preserve"> </w:t>
      </w:r>
      <w:r w:rsidRPr="006C4490">
        <w:rPr>
          <w:lang w:val="en-US"/>
        </w:rPr>
        <w:t>culminatio</w:t>
      </w:r>
      <w:r w:rsidR="00823F92" w:rsidRPr="006C4490">
        <w:rPr>
          <w:lang w:val="en-US"/>
        </w:rPr>
        <w:t>n</w:t>
      </w:r>
      <w:r w:rsidR="00823F92">
        <w:rPr>
          <w:lang w:val="en-US"/>
        </w:rPr>
        <w:t xml:space="preserve"> </w:t>
      </w:r>
      <w:r w:rsidRPr="006C4490">
        <w:rPr>
          <w:lang w:val="en-US"/>
        </w:rPr>
        <w:t>o</w:t>
      </w:r>
      <w:r w:rsidR="00823F92" w:rsidRPr="006C4490">
        <w:rPr>
          <w:lang w:val="en-US"/>
        </w:rPr>
        <w:t>f</w:t>
      </w:r>
      <w:r w:rsidR="00823F92">
        <w:rPr>
          <w:lang w:val="en-US"/>
        </w:rPr>
        <w:t xml:space="preserve"> </w:t>
      </w:r>
      <w:r w:rsidRPr="006C4490">
        <w:rPr>
          <w:lang w:val="en-US"/>
        </w:rPr>
        <w:t>Roya</w:t>
      </w:r>
      <w:r w:rsidR="00823F92" w:rsidRPr="006C4490">
        <w:rPr>
          <w:lang w:val="en-US"/>
        </w:rPr>
        <w:t>l</w:t>
      </w:r>
      <w:r w:rsidR="00823F92">
        <w:rPr>
          <w:lang w:val="en-US"/>
        </w:rPr>
        <w:t xml:space="preserve"> </w:t>
      </w:r>
      <w:r w:rsidRPr="006C4490">
        <w:rPr>
          <w:lang w:val="en-US"/>
        </w:rPr>
        <w:t>Commissions</w:t>
      </w:r>
      <w:r w:rsidR="00823F92" w:rsidRPr="006C4490">
        <w:rPr>
          <w:lang w:val="en-US"/>
        </w:rPr>
        <w:t>,</w:t>
      </w:r>
      <w:r w:rsidR="00823F92">
        <w:rPr>
          <w:lang w:val="en-US"/>
        </w:rPr>
        <w:t xml:space="preserve"> </w:t>
      </w:r>
      <w:r w:rsidRPr="006C4490">
        <w:rPr>
          <w:lang w:val="en-US"/>
        </w:rPr>
        <w:t>inquirie</w:t>
      </w:r>
      <w:r w:rsidR="00823F92" w:rsidRPr="006C4490">
        <w:rPr>
          <w:lang w:val="en-US"/>
        </w:rPr>
        <w:t>s</w:t>
      </w:r>
      <w:r w:rsidR="00823F92">
        <w:rPr>
          <w:lang w:val="en-US"/>
        </w:rPr>
        <w:t xml:space="preserve"> </w:t>
      </w:r>
      <w:r w:rsidRPr="006C4490">
        <w:rPr>
          <w:lang w:val="en-US"/>
        </w:rPr>
        <w:t>an</w:t>
      </w:r>
      <w:r w:rsidR="00823F92" w:rsidRPr="006C4490">
        <w:rPr>
          <w:lang w:val="en-US"/>
        </w:rPr>
        <w:t>d</w:t>
      </w:r>
      <w:r w:rsidR="00823F92">
        <w:rPr>
          <w:lang w:val="en-US"/>
        </w:rPr>
        <w:t xml:space="preserve"> </w:t>
      </w:r>
      <w:r w:rsidRPr="006C4490">
        <w:rPr>
          <w:lang w:val="en-US"/>
        </w:rPr>
        <w:t>strategies</w:t>
      </w:r>
      <w:r w:rsidR="00823F92" w:rsidRPr="006C4490">
        <w:rPr>
          <w:lang w:val="en-US"/>
        </w:rPr>
        <w:t>.</w:t>
      </w:r>
      <w:r w:rsidR="00823F92">
        <w:rPr>
          <w:lang w:val="en-US"/>
        </w:rPr>
        <w:t xml:space="preserve"> </w:t>
      </w:r>
      <w:r w:rsidRPr="006C4490">
        <w:rPr>
          <w:lang w:val="en-US"/>
        </w:rPr>
        <w:t>Th</w:t>
      </w:r>
      <w:r w:rsidR="00823F92" w:rsidRPr="006C4490">
        <w:rPr>
          <w:lang w:val="en-US"/>
        </w:rPr>
        <w:t>e</w:t>
      </w:r>
      <w:r w:rsidR="00823F92">
        <w:rPr>
          <w:lang w:val="en-US"/>
        </w:rPr>
        <w:t xml:space="preserve"> </w:t>
      </w:r>
      <w:r w:rsidRPr="00FE4F8A">
        <w:rPr>
          <w:lang w:val="en-US"/>
        </w:rPr>
        <w:t>Productivit</w:t>
      </w:r>
      <w:r w:rsidR="00823F92" w:rsidRPr="00FE4F8A">
        <w:rPr>
          <w:lang w:val="en-US"/>
        </w:rPr>
        <w:t xml:space="preserve">y </w:t>
      </w:r>
      <w:r w:rsidRPr="00FE4F8A">
        <w:rPr>
          <w:lang w:val="en-US"/>
        </w:rPr>
        <w:t>Commissio</w:t>
      </w:r>
      <w:r w:rsidR="00823F92" w:rsidRPr="00FE4F8A">
        <w:rPr>
          <w:lang w:val="en-US"/>
        </w:rPr>
        <w:t xml:space="preserve">n </w:t>
      </w:r>
      <w:r w:rsidRPr="00FE4F8A">
        <w:rPr>
          <w:lang w:val="en-US"/>
        </w:rPr>
        <w:t>Inquir</w:t>
      </w:r>
      <w:r w:rsidR="00823F92" w:rsidRPr="00FE4F8A">
        <w:rPr>
          <w:lang w:val="en-US"/>
        </w:rPr>
        <w:t xml:space="preserve">y </w:t>
      </w:r>
      <w:r w:rsidRPr="00FE4F8A">
        <w:rPr>
          <w:lang w:val="en-US"/>
        </w:rPr>
        <w:t>int</w:t>
      </w:r>
      <w:r w:rsidR="00823F92" w:rsidRPr="00FE4F8A">
        <w:rPr>
          <w:lang w:val="en-US"/>
        </w:rPr>
        <w:t xml:space="preserve">o </w:t>
      </w:r>
      <w:r w:rsidRPr="00FE4F8A">
        <w:rPr>
          <w:lang w:val="en-US"/>
        </w:rPr>
        <w:t>Menta</w:t>
      </w:r>
      <w:r w:rsidR="00823F92" w:rsidRPr="00FE4F8A">
        <w:rPr>
          <w:lang w:val="en-US"/>
        </w:rPr>
        <w:t xml:space="preserve">l </w:t>
      </w:r>
      <w:r w:rsidRPr="00FE4F8A">
        <w:rPr>
          <w:lang w:val="en-US"/>
        </w:rPr>
        <w:t>Health</w:t>
      </w:r>
      <w:r w:rsidR="00823F92" w:rsidRPr="00FE4F8A">
        <w:rPr>
          <w:lang w:val="en-US"/>
        </w:rPr>
        <w:t xml:space="preserve">, </w:t>
      </w:r>
      <w:r w:rsidRPr="00FE4F8A">
        <w:rPr>
          <w:lang w:val="en-US"/>
        </w:rPr>
        <w:t>Th</w:t>
      </w:r>
      <w:r w:rsidR="00823F92" w:rsidRPr="00FE4F8A">
        <w:rPr>
          <w:lang w:val="en-US"/>
        </w:rPr>
        <w:t xml:space="preserve">e </w:t>
      </w:r>
      <w:r w:rsidRPr="00FE4F8A">
        <w:rPr>
          <w:lang w:val="en-US"/>
        </w:rPr>
        <w:t>Fift</w:t>
      </w:r>
      <w:r w:rsidR="00823F92" w:rsidRPr="00FE4F8A">
        <w:rPr>
          <w:lang w:val="en-US"/>
        </w:rPr>
        <w:t xml:space="preserve">h </w:t>
      </w:r>
      <w:r w:rsidRPr="00FE4F8A">
        <w:rPr>
          <w:lang w:val="en-US"/>
        </w:rPr>
        <w:t>Nationa</w:t>
      </w:r>
      <w:r w:rsidR="00823F92" w:rsidRPr="00FE4F8A">
        <w:rPr>
          <w:lang w:val="en-US"/>
        </w:rPr>
        <w:t xml:space="preserve">l </w:t>
      </w:r>
      <w:r w:rsidRPr="00FE4F8A">
        <w:rPr>
          <w:lang w:val="en-US"/>
        </w:rPr>
        <w:t>Menta</w:t>
      </w:r>
      <w:r w:rsidR="00823F92" w:rsidRPr="00FE4F8A">
        <w:rPr>
          <w:lang w:val="en-US"/>
        </w:rPr>
        <w:t xml:space="preserve">l </w:t>
      </w:r>
      <w:r w:rsidRPr="00FE4F8A">
        <w:rPr>
          <w:lang w:val="en-US"/>
        </w:rPr>
        <w:t>Healt</w:t>
      </w:r>
      <w:r w:rsidR="00823F92" w:rsidRPr="00FE4F8A">
        <w:rPr>
          <w:lang w:val="en-US"/>
        </w:rPr>
        <w:t xml:space="preserve">h </w:t>
      </w:r>
      <w:r w:rsidRPr="00FE4F8A">
        <w:rPr>
          <w:lang w:val="en-US"/>
        </w:rPr>
        <w:t>an</w:t>
      </w:r>
      <w:r w:rsidR="00823F92" w:rsidRPr="00FE4F8A">
        <w:rPr>
          <w:lang w:val="en-US"/>
        </w:rPr>
        <w:t xml:space="preserve">d </w:t>
      </w:r>
      <w:r w:rsidRPr="00FE4F8A">
        <w:rPr>
          <w:lang w:val="en-US"/>
        </w:rPr>
        <w:t>Suicid</w:t>
      </w:r>
      <w:r w:rsidR="00823F92" w:rsidRPr="00FE4F8A">
        <w:rPr>
          <w:lang w:val="en-US"/>
        </w:rPr>
        <w:t xml:space="preserve">e </w:t>
      </w:r>
      <w:r w:rsidRPr="00FE4F8A">
        <w:rPr>
          <w:lang w:val="en-US"/>
        </w:rPr>
        <w:t>Preventio</w:t>
      </w:r>
      <w:r w:rsidR="00823F92" w:rsidRPr="00FE4F8A">
        <w:rPr>
          <w:lang w:val="en-US"/>
        </w:rPr>
        <w:t xml:space="preserve">n </w:t>
      </w:r>
      <w:r w:rsidRPr="00FE4F8A">
        <w:rPr>
          <w:lang w:val="en-US"/>
        </w:rPr>
        <w:t>Plan</w:t>
      </w:r>
      <w:r w:rsidR="00823F92" w:rsidRPr="00FE4F8A">
        <w:rPr>
          <w:lang w:val="en-US"/>
        </w:rPr>
        <w:t>,</w:t>
      </w:r>
      <w:r w:rsidR="00823F92">
        <w:rPr>
          <w:i/>
          <w:iCs/>
          <w:lang w:val="en-US"/>
        </w:rPr>
        <w:t xml:space="preserve"> </w:t>
      </w:r>
      <w:r>
        <w:rPr>
          <w:lang w:val="en-US"/>
        </w:rPr>
        <w:t>th</w:t>
      </w:r>
      <w:r w:rsidR="00823F92">
        <w:rPr>
          <w:lang w:val="en-US"/>
        </w:rPr>
        <w:t xml:space="preserve">e </w:t>
      </w:r>
      <w:r>
        <w:rPr>
          <w:lang w:val="en-US"/>
        </w:rPr>
        <w:t>fina</w:t>
      </w:r>
      <w:r w:rsidR="00823F92">
        <w:rPr>
          <w:lang w:val="en-US"/>
        </w:rPr>
        <w:t xml:space="preserve">l </w:t>
      </w:r>
      <w:r>
        <w:rPr>
          <w:lang w:val="en-US"/>
        </w:rPr>
        <w:t>advic</w:t>
      </w:r>
      <w:r w:rsidR="00823F92">
        <w:rPr>
          <w:lang w:val="en-US"/>
        </w:rPr>
        <w:t xml:space="preserve">e </w:t>
      </w:r>
      <w:r>
        <w:rPr>
          <w:lang w:val="en-US"/>
        </w:rPr>
        <w:t>fro</w:t>
      </w:r>
      <w:r w:rsidR="00823F92">
        <w:rPr>
          <w:lang w:val="en-US"/>
        </w:rPr>
        <w:t xml:space="preserve">m </w:t>
      </w:r>
      <w:r>
        <w:rPr>
          <w:lang w:val="en-US"/>
        </w:rPr>
        <w:t>th</w:t>
      </w:r>
      <w:r w:rsidR="00823F92">
        <w:rPr>
          <w:lang w:val="en-US"/>
        </w:rPr>
        <w:t xml:space="preserve">e </w:t>
      </w:r>
      <w:r>
        <w:rPr>
          <w:lang w:val="en-US"/>
        </w:rPr>
        <w:t>Nationa</w:t>
      </w:r>
      <w:r w:rsidR="00823F92">
        <w:rPr>
          <w:lang w:val="en-US"/>
        </w:rPr>
        <w:t xml:space="preserve">l </w:t>
      </w:r>
      <w:r>
        <w:rPr>
          <w:lang w:val="en-US"/>
        </w:rPr>
        <w:t>Suicid</w:t>
      </w:r>
      <w:r w:rsidR="00823F92">
        <w:rPr>
          <w:lang w:val="en-US"/>
        </w:rPr>
        <w:t xml:space="preserve">e </w:t>
      </w:r>
      <w:r>
        <w:rPr>
          <w:lang w:val="en-US"/>
        </w:rPr>
        <w:t>Preventio</w:t>
      </w:r>
      <w:r w:rsidR="00823F92">
        <w:rPr>
          <w:lang w:val="en-US"/>
        </w:rPr>
        <w:t xml:space="preserve">n </w:t>
      </w:r>
      <w:r>
        <w:rPr>
          <w:lang w:val="en-US"/>
        </w:rPr>
        <w:t>Advisor</w:t>
      </w:r>
      <w:r w:rsidR="00823F92">
        <w:rPr>
          <w:lang w:val="en-US"/>
        </w:rPr>
        <w:t xml:space="preserve">, </w:t>
      </w:r>
      <w:r w:rsidRPr="006C4490">
        <w:rPr>
          <w:lang w:val="en-US"/>
        </w:rPr>
        <w:t>an</w:t>
      </w:r>
      <w:r w:rsidR="00823F92" w:rsidRPr="006C4490">
        <w:rPr>
          <w:lang w:val="en-US"/>
        </w:rPr>
        <w:t>d</w:t>
      </w:r>
      <w:r w:rsidR="00823F92">
        <w:rPr>
          <w:lang w:val="en-US"/>
        </w:rPr>
        <w:t xml:space="preserve"> </w:t>
      </w:r>
      <w:r>
        <w:rPr>
          <w:lang w:val="en-US"/>
        </w:rPr>
        <w:t>th</w:t>
      </w:r>
      <w:r w:rsidR="00823F92">
        <w:rPr>
          <w:lang w:val="en-US"/>
        </w:rPr>
        <w:t xml:space="preserve">e </w:t>
      </w:r>
      <w:r w:rsidRPr="00FE4F8A">
        <w:rPr>
          <w:lang w:val="en-US"/>
        </w:rPr>
        <w:t>Menta</w:t>
      </w:r>
      <w:r w:rsidR="00823F92" w:rsidRPr="00FE4F8A">
        <w:rPr>
          <w:lang w:val="en-US"/>
        </w:rPr>
        <w:t xml:space="preserve">l </w:t>
      </w:r>
      <w:r w:rsidRPr="00FE4F8A">
        <w:rPr>
          <w:lang w:val="en-US"/>
        </w:rPr>
        <w:t>Healt</w:t>
      </w:r>
      <w:r w:rsidR="00823F92" w:rsidRPr="00FE4F8A">
        <w:rPr>
          <w:lang w:val="en-US"/>
        </w:rPr>
        <w:t xml:space="preserve">h </w:t>
      </w:r>
      <w:r w:rsidRPr="00FE4F8A">
        <w:rPr>
          <w:lang w:val="en-US"/>
        </w:rPr>
        <w:t>an</w:t>
      </w:r>
      <w:r w:rsidR="00823F92" w:rsidRPr="00FE4F8A">
        <w:rPr>
          <w:lang w:val="en-US"/>
        </w:rPr>
        <w:t xml:space="preserve">d </w:t>
      </w:r>
      <w:r w:rsidRPr="00FE4F8A">
        <w:rPr>
          <w:lang w:val="en-US"/>
        </w:rPr>
        <w:t>Suicid</w:t>
      </w:r>
      <w:r w:rsidR="00823F92" w:rsidRPr="00FE4F8A">
        <w:rPr>
          <w:lang w:val="en-US"/>
        </w:rPr>
        <w:t xml:space="preserve">e </w:t>
      </w:r>
      <w:r w:rsidRPr="00FE4F8A">
        <w:rPr>
          <w:lang w:val="en-US"/>
        </w:rPr>
        <w:t>Preventio</w:t>
      </w:r>
      <w:r w:rsidR="00823F92" w:rsidRPr="00FE4F8A">
        <w:rPr>
          <w:lang w:val="en-US"/>
        </w:rPr>
        <w:t xml:space="preserve">n </w:t>
      </w:r>
      <w:r w:rsidRPr="00FE4F8A">
        <w:rPr>
          <w:lang w:val="en-US"/>
        </w:rPr>
        <w:t>- Interi</w:t>
      </w:r>
      <w:r w:rsidR="00823F92" w:rsidRPr="00FE4F8A">
        <w:rPr>
          <w:lang w:val="en-US"/>
        </w:rPr>
        <w:t xml:space="preserve">m </w:t>
      </w:r>
      <w:proofErr w:type="gramStart"/>
      <w:r w:rsidRPr="00FE4F8A">
        <w:rPr>
          <w:lang w:val="en-US"/>
        </w:rPr>
        <w:t>Report</w:t>
      </w:r>
      <w:r w:rsidR="00823F92">
        <w:rPr>
          <w:lang w:val="en-US"/>
        </w:rPr>
        <w:t xml:space="preserve">, </w:t>
      </w:r>
      <w:r>
        <w:rPr>
          <w:lang w:val="en-US"/>
        </w:rPr>
        <w:t>an</w:t>
      </w:r>
      <w:r w:rsidR="00823F92">
        <w:rPr>
          <w:lang w:val="en-US"/>
        </w:rPr>
        <w:t>d</w:t>
      </w:r>
      <w:proofErr w:type="gramEnd"/>
      <w:r w:rsidR="00823F92">
        <w:rPr>
          <w:lang w:val="en-US"/>
        </w:rPr>
        <w:t xml:space="preserve"> </w:t>
      </w:r>
      <w:r w:rsidRPr="006C4490">
        <w:rPr>
          <w:lang w:val="en-US"/>
        </w:rPr>
        <w:t>wil</w:t>
      </w:r>
      <w:r w:rsidR="00823F92" w:rsidRPr="006C4490">
        <w:rPr>
          <w:lang w:val="en-US"/>
        </w:rPr>
        <w:t>l</w:t>
      </w:r>
      <w:r w:rsidR="00823F92">
        <w:rPr>
          <w:lang w:val="en-US"/>
        </w:rPr>
        <w:t xml:space="preserve"> </w:t>
      </w:r>
      <w:r w:rsidRPr="006C4490">
        <w:rPr>
          <w:lang w:val="en-US"/>
        </w:rPr>
        <w:t>guid</w:t>
      </w:r>
      <w:r w:rsidR="00823F92" w:rsidRPr="006C4490">
        <w:rPr>
          <w:lang w:val="en-US"/>
        </w:rPr>
        <w:t>e</w:t>
      </w:r>
      <w:r w:rsidR="00823F92">
        <w:rPr>
          <w:lang w:val="en-US"/>
        </w:rPr>
        <w:t xml:space="preserve"> </w:t>
      </w:r>
      <w:r w:rsidRPr="006C4490">
        <w:rPr>
          <w:lang w:val="en-US"/>
        </w:rPr>
        <w:t>nationa</w:t>
      </w:r>
      <w:r w:rsidR="00823F92" w:rsidRPr="006C4490">
        <w:rPr>
          <w:lang w:val="en-US"/>
        </w:rPr>
        <w:t>l</w:t>
      </w:r>
      <w:r w:rsidR="00823F92">
        <w:rPr>
          <w:lang w:val="en-US"/>
        </w:rPr>
        <w:t xml:space="preserve"> </w:t>
      </w:r>
      <w:r w:rsidRPr="006C4490">
        <w:rPr>
          <w:lang w:val="en-US"/>
        </w:rPr>
        <w:t>directio</w:t>
      </w:r>
      <w:r w:rsidR="00823F92" w:rsidRPr="006C4490">
        <w:rPr>
          <w:lang w:val="en-US"/>
        </w:rPr>
        <w:t>n</w:t>
      </w:r>
      <w:r w:rsidR="00823F92">
        <w:rPr>
          <w:lang w:val="en-US"/>
        </w:rPr>
        <w:t xml:space="preserve"> </w:t>
      </w:r>
      <w:r w:rsidRPr="006C4490">
        <w:rPr>
          <w:lang w:val="en-US"/>
        </w:rPr>
        <w:t>fo</w:t>
      </w:r>
      <w:r w:rsidR="00823F92" w:rsidRPr="006C4490">
        <w:rPr>
          <w:lang w:val="en-US"/>
        </w:rPr>
        <w:t>r</w:t>
      </w:r>
      <w:r w:rsidR="00823F92">
        <w:rPr>
          <w:lang w:val="en-US"/>
        </w:rPr>
        <w:t xml:space="preserve"> </w:t>
      </w:r>
      <w:r>
        <w:rPr>
          <w:lang w:val="en-US"/>
        </w:rPr>
        <w:t>Australia’</w:t>
      </w:r>
      <w:r w:rsidR="00823F92">
        <w:rPr>
          <w:lang w:val="en-US"/>
        </w:rPr>
        <w:t xml:space="preserve">s </w:t>
      </w:r>
      <w:r>
        <w:rPr>
          <w:lang w:val="en-US"/>
        </w:rPr>
        <w:t>menta</w:t>
      </w:r>
      <w:r w:rsidR="00823F92">
        <w:rPr>
          <w:lang w:val="en-US"/>
        </w:rPr>
        <w:t xml:space="preserve">l </w:t>
      </w:r>
      <w:r>
        <w:rPr>
          <w:lang w:val="en-US"/>
        </w:rPr>
        <w:t>healt</w:t>
      </w:r>
      <w:r w:rsidR="00823F92">
        <w:rPr>
          <w:lang w:val="en-US"/>
        </w:rPr>
        <w:t xml:space="preserve">h </w:t>
      </w:r>
      <w:r w:rsidRPr="006C4490">
        <w:rPr>
          <w:lang w:val="en-US"/>
        </w:rPr>
        <w:t>syste</w:t>
      </w:r>
      <w:r w:rsidR="00823F92" w:rsidRPr="006C4490">
        <w:rPr>
          <w:lang w:val="en-US"/>
        </w:rPr>
        <w:t>m</w:t>
      </w:r>
      <w:r w:rsidR="00823F92">
        <w:rPr>
          <w:lang w:val="en-US"/>
        </w:rPr>
        <w:t xml:space="preserve"> </w:t>
      </w:r>
      <w:r w:rsidRPr="006C4490">
        <w:rPr>
          <w:lang w:val="en-US"/>
        </w:rPr>
        <w:t>an</w:t>
      </w:r>
      <w:r w:rsidR="00823F92" w:rsidRPr="006C4490">
        <w:rPr>
          <w:lang w:val="en-US"/>
        </w:rPr>
        <w:t>d</w:t>
      </w:r>
      <w:r w:rsidR="00823F92">
        <w:rPr>
          <w:lang w:val="en-US"/>
        </w:rPr>
        <w:t xml:space="preserve"> </w:t>
      </w:r>
      <w:r w:rsidRPr="006C4490">
        <w:rPr>
          <w:lang w:val="en-US"/>
        </w:rPr>
        <w:t>ha</w:t>
      </w:r>
      <w:r>
        <w:rPr>
          <w:lang w:val="en-US"/>
        </w:rPr>
        <w:t>v</w:t>
      </w:r>
      <w:r w:rsidR="00823F92">
        <w:rPr>
          <w:lang w:val="en-US"/>
        </w:rPr>
        <w:t xml:space="preserve">e </w:t>
      </w:r>
      <w:r w:rsidRPr="006C4490">
        <w:rPr>
          <w:lang w:val="en-US"/>
        </w:rPr>
        <w:t>informe</w:t>
      </w:r>
      <w:r w:rsidR="00823F92" w:rsidRPr="006C4490">
        <w:rPr>
          <w:lang w:val="en-US"/>
        </w:rPr>
        <w:t>d</w:t>
      </w:r>
      <w:r w:rsidR="00823F92">
        <w:rPr>
          <w:lang w:val="en-US"/>
        </w:rPr>
        <w:t xml:space="preserve"> </w:t>
      </w:r>
      <w:r w:rsidRPr="006C4490">
        <w:rPr>
          <w:lang w:val="en-US"/>
        </w:rPr>
        <w:t>th</w:t>
      </w:r>
      <w:r w:rsidR="00823F92" w:rsidRPr="006C4490">
        <w:rPr>
          <w:lang w:val="en-US"/>
        </w:rPr>
        <w:t>e</w:t>
      </w:r>
      <w:r w:rsidR="00823F92">
        <w:rPr>
          <w:lang w:val="en-US"/>
        </w:rPr>
        <w:t xml:space="preserve"> </w:t>
      </w:r>
      <w:r w:rsidRPr="006C4490">
        <w:rPr>
          <w:lang w:val="en-US"/>
        </w:rPr>
        <w:t>developmen</w:t>
      </w:r>
      <w:r w:rsidR="00823F92" w:rsidRPr="006C4490">
        <w:rPr>
          <w:lang w:val="en-US"/>
        </w:rPr>
        <w:t>t</w:t>
      </w:r>
      <w:r w:rsidR="00823F92">
        <w:rPr>
          <w:lang w:val="en-US"/>
        </w:rPr>
        <w:t xml:space="preserve"> </w:t>
      </w:r>
      <w:r w:rsidRPr="006C4490">
        <w:rPr>
          <w:lang w:val="en-US"/>
        </w:rPr>
        <w:t>o</w:t>
      </w:r>
      <w:r w:rsidR="00823F92" w:rsidRPr="006C4490">
        <w:rPr>
          <w:lang w:val="en-US"/>
        </w:rPr>
        <w:t>f</w:t>
      </w:r>
      <w:r w:rsidR="00823F92">
        <w:rPr>
          <w:lang w:val="en-US"/>
        </w:rPr>
        <w:t xml:space="preserve"> </w:t>
      </w:r>
      <w:r w:rsidRPr="006C4490">
        <w:rPr>
          <w:lang w:val="en-US"/>
        </w:rPr>
        <w:t>thi</w:t>
      </w:r>
      <w:r w:rsidR="00823F92" w:rsidRPr="006C4490">
        <w:rPr>
          <w:lang w:val="en-US"/>
        </w:rPr>
        <w:t>s</w:t>
      </w:r>
      <w:r w:rsidR="00823F92">
        <w:rPr>
          <w:lang w:val="en-US"/>
        </w:rPr>
        <w:t xml:space="preserve"> </w:t>
      </w:r>
      <w:r w:rsidRPr="006C4490">
        <w:rPr>
          <w:lang w:val="en-US"/>
        </w:rPr>
        <w:t>Strategy.</w:t>
      </w:r>
    </w:p>
    <w:p w14:paraId="6E38EF81" w14:textId="132CF1BE" w:rsidR="009D21E0" w:rsidRPr="006C4490" w:rsidRDefault="009D21E0" w:rsidP="009D21E0">
      <w:pPr>
        <w:pStyle w:val="BodyText"/>
        <w:rPr>
          <w:lang w:val="en-US"/>
        </w:rPr>
      </w:pPr>
      <w:r>
        <w:rPr>
          <w:lang w:val="en-US"/>
        </w:rPr>
        <w:t>T</w:t>
      </w:r>
      <w:r w:rsidRPr="006C4490">
        <w:rPr>
          <w:lang w:val="en-US"/>
        </w:rPr>
        <w:t>h</w:t>
      </w:r>
      <w:r w:rsidR="00823F92" w:rsidRPr="006C4490">
        <w:rPr>
          <w:lang w:val="en-US"/>
        </w:rPr>
        <w:t>e</w:t>
      </w:r>
      <w:r w:rsidR="00823F92">
        <w:rPr>
          <w:lang w:val="en-US"/>
        </w:rPr>
        <w:t xml:space="preserve"> </w:t>
      </w:r>
      <w:r w:rsidRPr="006C4490">
        <w:rPr>
          <w:lang w:val="en-US"/>
        </w:rPr>
        <w:t>Commonwealt</w:t>
      </w:r>
      <w:r w:rsidR="00823F92" w:rsidRPr="006C4490">
        <w:rPr>
          <w:lang w:val="en-US"/>
        </w:rPr>
        <w:t>h</w:t>
      </w:r>
      <w:r w:rsidR="00823F92">
        <w:rPr>
          <w:lang w:val="en-US"/>
        </w:rPr>
        <w:t xml:space="preserve"> </w:t>
      </w:r>
      <w:r>
        <w:rPr>
          <w:lang w:val="en-US"/>
        </w:rPr>
        <w:t>i</w:t>
      </w:r>
      <w:r w:rsidR="00823F92">
        <w:rPr>
          <w:lang w:val="en-US"/>
        </w:rPr>
        <w:t xml:space="preserve">s </w:t>
      </w:r>
      <w:r>
        <w:rPr>
          <w:lang w:val="en-US"/>
        </w:rPr>
        <w:t>currentl</w:t>
      </w:r>
      <w:r w:rsidR="00823F92">
        <w:rPr>
          <w:lang w:val="en-US"/>
        </w:rPr>
        <w:t xml:space="preserve">y </w:t>
      </w:r>
      <w:r>
        <w:rPr>
          <w:lang w:val="en-US"/>
        </w:rPr>
        <w:t>developin</w:t>
      </w:r>
      <w:r w:rsidR="00823F92">
        <w:rPr>
          <w:lang w:val="en-US"/>
        </w:rPr>
        <w:t xml:space="preserve">g </w:t>
      </w:r>
      <w:r>
        <w:rPr>
          <w:lang w:val="en-US"/>
        </w:rPr>
        <w:t>th</w:t>
      </w:r>
      <w:r w:rsidR="00823F92">
        <w:rPr>
          <w:lang w:val="en-US"/>
        </w:rPr>
        <w:t xml:space="preserve">e </w:t>
      </w:r>
      <w:r w:rsidRPr="006C4490">
        <w:rPr>
          <w:i/>
          <w:iCs/>
          <w:lang w:val="en-US"/>
        </w:rPr>
        <w:t>Visio</w:t>
      </w:r>
      <w:r w:rsidR="00823F92" w:rsidRPr="006C4490">
        <w:rPr>
          <w:i/>
          <w:iCs/>
          <w:lang w:val="en-US"/>
        </w:rPr>
        <w:t>n</w:t>
      </w:r>
      <w:r w:rsidR="00823F92">
        <w:rPr>
          <w:i/>
          <w:iCs/>
          <w:lang w:val="en-US"/>
        </w:rPr>
        <w:t xml:space="preserve"> </w:t>
      </w:r>
      <w:r w:rsidRPr="006C4490">
        <w:rPr>
          <w:i/>
          <w:iCs/>
          <w:lang w:val="en-US"/>
        </w:rPr>
        <w:t>203</w:t>
      </w:r>
      <w:r w:rsidR="00823F92" w:rsidRPr="006C4490">
        <w:rPr>
          <w:i/>
          <w:iCs/>
          <w:lang w:val="en-US"/>
        </w:rPr>
        <w:t>0</w:t>
      </w:r>
      <w:r w:rsidR="00823F92">
        <w:rPr>
          <w:i/>
          <w:iCs/>
          <w:lang w:val="en-US"/>
        </w:rPr>
        <w:t xml:space="preserve"> </w:t>
      </w:r>
      <w:r>
        <w:rPr>
          <w:i/>
          <w:iCs/>
          <w:lang w:val="en-US"/>
        </w:rPr>
        <w:t>Blueprin</w:t>
      </w:r>
      <w:r w:rsidR="00823F92">
        <w:rPr>
          <w:i/>
          <w:iCs/>
          <w:lang w:val="en-US"/>
        </w:rPr>
        <w:t xml:space="preserve">t </w:t>
      </w:r>
      <w:r>
        <w:rPr>
          <w:lang w:val="en-US"/>
        </w:rPr>
        <w:t>whic</w:t>
      </w:r>
      <w:r w:rsidR="00823F92">
        <w:rPr>
          <w:lang w:val="en-US"/>
        </w:rPr>
        <w:t xml:space="preserve">h </w:t>
      </w:r>
      <w:r w:rsidRPr="009D21E0">
        <w:rPr>
          <w:lang w:val="en-US"/>
        </w:rPr>
        <w:t>shape</w:t>
      </w:r>
      <w:r w:rsidR="00823F92" w:rsidRPr="009D21E0">
        <w:rPr>
          <w:lang w:val="en-US"/>
        </w:rPr>
        <w:t>s</w:t>
      </w:r>
      <w:r w:rsidR="00823F92">
        <w:rPr>
          <w:lang w:val="en-US"/>
        </w:rPr>
        <w:t xml:space="preserve"> </w:t>
      </w:r>
      <w:r w:rsidR="00823F92" w:rsidRPr="009D21E0">
        <w:rPr>
          <w:lang w:val="en-US"/>
        </w:rPr>
        <w:t>a</w:t>
      </w:r>
      <w:r w:rsidR="00823F92">
        <w:rPr>
          <w:lang w:val="en-US"/>
        </w:rPr>
        <w:t xml:space="preserve"> </w:t>
      </w:r>
      <w:r w:rsidRPr="009D21E0">
        <w:rPr>
          <w:lang w:val="en-US"/>
        </w:rPr>
        <w:t>nationa</w:t>
      </w:r>
      <w:r w:rsidR="00823F92" w:rsidRPr="009D21E0">
        <w:rPr>
          <w:lang w:val="en-US"/>
        </w:rPr>
        <w:t>l</w:t>
      </w:r>
      <w:r w:rsidR="00823F92">
        <w:rPr>
          <w:lang w:val="en-US"/>
        </w:rPr>
        <w:t xml:space="preserve"> </w:t>
      </w:r>
      <w:r w:rsidRPr="009D21E0">
        <w:rPr>
          <w:lang w:val="en-US"/>
        </w:rPr>
        <w:t>directio</w:t>
      </w:r>
      <w:r w:rsidR="00823F92" w:rsidRPr="009D21E0">
        <w:rPr>
          <w:lang w:val="en-US"/>
        </w:rPr>
        <w:t>n</w:t>
      </w:r>
      <w:r w:rsidR="00823F92">
        <w:rPr>
          <w:lang w:val="en-US"/>
        </w:rPr>
        <w:t xml:space="preserve"> </w:t>
      </w:r>
      <w:r w:rsidRPr="009D21E0">
        <w:rPr>
          <w:lang w:val="en-US"/>
        </w:rPr>
        <w:t>fo</w:t>
      </w:r>
      <w:r w:rsidR="00823F92" w:rsidRPr="009D21E0">
        <w:rPr>
          <w:lang w:val="en-US"/>
        </w:rPr>
        <w:t>r</w:t>
      </w:r>
      <w:r w:rsidR="00823F92">
        <w:rPr>
          <w:lang w:val="en-US"/>
        </w:rPr>
        <w:t xml:space="preserve"> </w:t>
      </w:r>
      <w:r w:rsidRPr="009D21E0">
        <w:rPr>
          <w:lang w:val="en-US"/>
        </w:rPr>
        <w:t>menta</w:t>
      </w:r>
      <w:r w:rsidR="00823F92" w:rsidRPr="009D21E0">
        <w:rPr>
          <w:lang w:val="en-US"/>
        </w:rPr>
        <w:t>l</w:t>
      </w:r>
      <w:r w:rsidR="00823F92">
        <w:rPr>
          <w:lang w:val="en-US"/>
        </w:rPr>
        <w:t xml:space="preserve"> </w:t>
      </w:r>
      <w:r w:rsidRPr="009D21E0">
        <w:rPr>
          <w:lang w:val="en-US"/>
        </w:rPr>
        <w:t>healt</w:t>
      </w:r>
      <w:r w:rsidR="00823F92" w:rsidRPr="009D21E0">
        <w:rPr>
          <w:lang w:val="en-US"/>
        </w:rPr>
        <w:t>h</w:t>
      </w:r>
      <w:r w:rsidR="00823F92">
        <w:rPr>
          <w:lang w:val="en-US"/>
        </w:rPr>
        <w:t xml:space="preserve"> </w:t>
      </w:r>
      <w:r w:rsidRPr="009D21E0">
        <w:rPr>
          <w:lang w:val="en-US"/>
        </w:rPr>
        <w:t>an</w:t>
      </w:r>
      <w:r w:rsidR="00823F92" w:rsidRPr="009D21E0">
        <w:rPr>
          <w:lang w:val="en-US"/>
        </w:rPr>
        <w:t>d</w:t>
      </w:r>
      <w:r w:rsidR="00823F92">
        <w:rPr>
          <w:lang w:val="en-US"/>
        </w:rPr>
        <w:t xml:space="preserve"> </w:t>
      </w:r>
      <w:r w:rsidRPr="009D21E0">
        <w:rPr>
          <w:lang w:val="en-US"/>
        </w:rPr>
        <w:t>wellbeing</w:t>
      </w:r>
      <w:r w:rsidR="00823F92" w:rsidRPr="009D21E0">
        <w:rPr>
          <w:lang w:val="en-US"/>
        </w:rPr>
        <w:t>.</w:t>
      </w:r>
      <w:r w:rsidR="00823F92">
        <w:rPr>
          <w:lang w:val="en-US"/>
        </w:rPr>
        <w:t xml:space="preserve"> </w:t>
      </w:r>
      <w:r w:rsidRPr="009D21E0">
        <w:rPr>
          <w:lang w:val="en-US"/>
        </w:rPr>
        <w:t>Visio</w:t>
      </w:r>
      <w:r w:rsidR="00823F92" w:rsidRPr="009D21E0">
        <w:rPr>
          <w:lang w:val="en-US"/>
        </w:rPr>
        <w:t>n</w:t>
      </w:r>
      <w:r w:rsidR="00823F92">
        <w:rPr>
          <w:lang w:val="en-US"/>
        </w:rPr>
        <w:t xml:space="preserve"> </w:t>
      </w:r>
      <w:r w:rsidRPr="009D21E0">
        <w:rPr>
          <w:lang w:val="en-US"/>
        </w:rPr>
        <w:t>203</w:t>
      </w:r>
      <w:r w:rsidR="00823F92" w:rsidRPr="009D21E0">
        <w:rPr>
          <w:lang w:val="en-US"/>
        </w:rPr>
        <w:t>0</w:t>
      </w:r>
      <w:r w:rsidR="00823F92">
        <w:rPr>
          <w:lang w:val="en-US"/>
        </w:rPr>
        <w:t xml:space="preserve"> </w:t>
      </w:r>
      <w:r w:rsidRPr="009D21E0">
        <w:rPr>
          <w:lang w:val="en-US"/>
        </w:rPr>
        <w:t>wil</w:t>
      </w:r>
      <w:r w:rsidR="00823F92" w:rsidRPr="009D21E0">
        <w:rPr>
          <w:lang w:val="en-US"/>
        </w:rPr>
        <w:t>l</w:t>
      </w:r>
      <w:r w:rsidR="00823F92">
        <w:rPr>
          <w:lang w:val="en-US"/>
        </w:rPr>
        <w:t xml:space="preserve"> </w:t>
      </w:r>
      <w:r w:rsidRPr="009D21E0">
        <w:rPr>
          <w:lang w:val="en-US"/>
        </w:rPr>
        <w:t>b</w:t>
      </w:r>
      <w:r w:rsidR="00823F92" w:rsidRPr="009D21E0">
        <w:rPr>
          <w:lang w:val="en-US"/>
        </w:rPr>
        <w:t>e</w:t>
      </w:r>
      <w:r w:rsidR="00823F92">
        <w:rPr>
          <w:lang w:val="en-US"/>
        </w:rPr>
        <w:t xml:space="preserve"> </w:t>
      </w:r>
      <w:r w:rsidRPr="009D21E0">
        <w:rPr>
          <w:lang w:val="en-US"/>
        </w:rPr>
        <w:t>delivere</w:t>
      </w:r>
      <w:r w:rsidR="00823F92" w:rsidRPr="009D21E0">
        <w:rPr>
          <w:lang w:val="en-US"/>
        </w:rPr>
        <w:t>d</w:t>
      </w:r>
      <w:r w:rsidR="00823F92">
        <w:rPr>
          <w:lang w:val="en-US"/>
        </w:rPr>
        <w:t xml:space="preserve"> </w:t>
      </w:r>
      <w:r w:rsidRPr="009D21E0">
        <w:rPr>
          <w:lang w:val="en-US"/>
        </w:rPr>
        <w:t>throug</w:t>
      </w:r>
      <w:r w:rsidR="00823F92" w:rsidRPr="009D21E0">
        <w:rPr>
          <w:lang w:val="en-US"/>
        </w:rPr>
        <w:t>h</w:t>
      </w:r>
      <w:r w:rsidR="00823F92">
        <w:rPr>
          <w:lang w:val="en-US"/>
        </w:rPr>
        <w:t xml:space="preserve"> </w:t>
      </w:r>
      <w:r w:rsidR="00823F92" w:rsidRPr="009D21E0">
        <w:rPr>
          <w:lang w:val="en-US"/>
        </w:rPr>
        <w:t>a</w:t>
      </w:r>
      <w:r w:rsidR="00823F92">
        <w:rPr>
          <w:lang w:val="en-US"/>
        </w:rPr>
        <w:t xml:space="preserve"> </w:t>
      </w:r>
      <w:r w:rsidRPr="009D21E0">
        <w:rPr>
          <w:lang w:val="en-US"/>
        </w:rPr>
        <w:t>unifie</w:t>
      </w:r>
      <w:r w:rsidR="00823F92" w:rsidRPr="009D21E0">
        <w:rPr>
          <w:lang w:val="en-US"/>
        </w:rPr>
        <w:t>d</w:t>
      </w:r>
      <w:r w:rsidR="00823F92">
        <w:rPr>
          <w:lang w:val="en-US"/>
        </w:rPr>
        <w:t xml:space="preserve"> </w:t>
      </w:r>
      <w:r w:rsidRPr="009D21E0">
        <w:rPr>
          <w:lang w:val="en-US"/>
        </w:rPr>
        <w:t>syste</w:t>
      </w:r>
      <w:r w:rsidR="00823F92" w:rsidRPr="009D21E0">
        <w:rPr>
          <w:lang w:val="en-US"/>
        </w:rPr>
        <w:t>m</w:t>
      </w:r>
      <w:r w:rsidR="00823F92">
        <w:rPr>
          <w:lang w:val="en-US"/>
        </w:rPr>
        <w:t xml:space="preserve"> </w:t>
      </w:r>
      <w:r w:rsidRPr="009D21E0">
        <w:rPr>
          <w:lang w:val="en-US"/>
        </w:rPr>
        <w:t>tha</w:t>
      </w:r>
      <w:r w:rsidR="00823F92" w:rsidRPr="009D21E0">
        <w:rPr>
          <w:lang w:val="en-US"/>
        </w:rPr>
        <w:t>t</w:t>
      </w:r>
      <w:r w:rsidR="00823F92">
        <w:rPr>
          <w:lang w:val="en-US"/>
        </w:rPr>
        <w:t xml:space="preserve"> </w:t>
      </w:r>
      <w:r w:rsidRPr="009D21E0">
        <w:rPr>
          <w:lang w:val="en-US"/>
        </w:rPr>
        <w:t>take</w:t>
      </w:r>
      <w:r w:rsidR="00823F92" w:rsidRPr="009D21E0">
        <w:rPr>
          <w:lang w:val="en-US"/>
        </w:rPr>
        <w:t>s</w:t>
      </w:r>
      <w:r w:rsidR="00823F92">
        <w:rPr>
          <w:lang w:val="en-US"/>
        </w:rPr>
        <w:t xml:space="preserve"> </w:t>
      </w:r>
      <w:r w:rsidR="00823F92" w:rsidRPr="009D21E0">
        <w:rPr>
          <w:lang w:val="en-US"/>
        </w:rPr>
        <w:t>a</w:t>
      </w:r>
      <w:r w:rsidR="00823F92">
        <w:rPr>
          <w:lang w:val="en-US"/>
        </w:rPr>
        <w:t xml:space="preserve"> </w:t>
      </w:r>
      <w:r w:rsidRPr="009D21E0">
        <w:rPr>
          <w:lang w:val="en-US"/>
        </w:rPr>
        <w:t>whole-of-community</w:t>
      </w:r>
      <w:r w:rsidR="00823F92" w:rsidRPr="009D21E0">
        <w:rPr>
          <w:lang w:val="en-US"/>
        </w:rPr>
        <w:t>,</w:t>
      </w:r>
      <w:r w:rsidR="00823F92">
        <w:rPr>
          <w:lang w:val="en-US"/>
        </w:rPr>
        <w:t xml:space="preserve"> </w:t>
      </w:r>
      <w:r w:rsidRPr="009D21E0">
        <w:rPr>
          <w:lang w:val="en-US"/>
        </w:rPr>
        <w:t>whole-of-lif</w:t>
      </w:r>
      <w:r w:rsidR="00823F92" w:rsidRPr="009D21E0">
        <w:rPr>
          <w:lang w:val="en-US"/>
        </w:rPr>
        <w:t>e</w:t>
      </w:r>
      <w:r w:rsidR="00823F92">
        <w:rPr>
          <w:lang w:val="en-US"/>
        </w:rPr>
        <w:t xml:space="preserve"> </w:t>
      </w:r>
      <w:r w:rsidRPr="009D21E0">
        <w:rPr>
          <w:lang w:val="en-US"/>
        </w:rPr>
        <w:t>an</w:t>
      </w:r>
      <w:r w:rsidR="00823F92" w:rsidRPr="009D21E0">
        <w:rPr>
          <w:lang w:val="en-US"/>
        </w:rPr>
        <w:t>d</w:t>
      </w:r>
      <w:r w:rsidR="00823F92">
        <w:rPr>
          <w:lang w:val="en-US"/>
        </w:rPr>
        <w:t xml:space="preserve"> </w:t>
      </w:r>
      <w:r w:rsidRPr="009D21E0">
        <w:rPr>
          <w:lang w:val="en-US"/>
        </w:rPr>
        <w:t>person-</w:t>
      </w:r>
      <w:proofErr w:type="spellStart"/>
      <w:r w:rsidRPr="009D21E0">
        <w:rPr>
          <w:lang w:val="en-US"/>
        </w:rPr>
        <w:t>centre</w:t>
      </w:r>
      <w:r w:rsidR="00823F92" w:rsidRPr="009D21E0">
        <w:rPr>
          <w:lang w:val="en-US"/>
        </w:rPr>
        <w:t>d</w:t>
      </w:r>
      <w:proofErr w:type="spellEnd"/>
      <w:r w:rsidR="00823F92">
        <w:rPr>
          <w:lang w:val="en-US"/>
        </w:rPr>
        <w:t xml:space="preserve"> </w:t>
      </w:r>
      <w:r w:rsidRPr="009D21E0">
        <w:rPr>
          <w:lang w:val="en-US"/>
        </w:rPr>
        <w:t>approac</w:t>
      </w:r>
      <w:r w:rsidR="00823F92" w:rsidRPr="009D21E0">
        <w:rPr>
          <w:lang w:val="en-US"/>
        </w:rPr>
        <w:t>h</w:t>
      </w:r>
      <w:r w:rsidR="00823F92">
        <w:rPr>
          <w:lang w:val="en-US"/>
        </w:rPr>
        <w:t xml:space="preserve"> </w:t>
      </w:r>
      <w:r w:rsidRPr="009D21E0">
        <w:rPr>
          <w:lang w:val="en-US"/>
        </w:rPr>
        <w:t>t</w:t>
      </w:r>
      <w:r w:rsidR="00823F92" w:rsidRPr="009D21E0">
        <w:rPr>
          <w:lang w:val="en-US"/>
        </w:rPr>
        <w:t>o</w:t>
      </w:r>
      <w:r w:rsidR="00823F92">
        <w:rPr>
          <w:lang w:val="en-US"/>
        </w:rPr>
        <w:t xml:space="preserve"> </w:t>
      </w:r>
      <w:r w:rsidRPr="009D21E0">
        <w:rPr>
          <w:lang w:val="en-US"/>
        </w:rPr>
        <w:t>menta</w:t>
      </w:r>
      <w:r w:rsidR="00823F92" w:rsidRPr="009D21E0">
        <w:rPr>
          <w:lang w:val="en-US"/>
        </w:rPr>
        <w:t>l</w:t>
      </w:r>
      <w:r w:rsidR="00823F92">
        <w:rPr>
          <w:lang w:val="en-US"/>
        </w:rPr>
        <w:t xml:space="preserve"> </w:t>
      </w:r>
      <w:r w:rsidRPr="009D21E0">
        <w:rPr>
          <w:lang w:val="en-US"/>
        </w:rPr>
        <w:t>health; providin</w:t>
      </w:r>
      <w:r w:rsidR="00823F92" w:rsidRPr="009D21E0">
        <w:rPr>
          <w:lang w:val="en-US"/>
        </w:rPr>
        <w:t>g</w:t>
      </w:r>
      <w:r w:rsidR="00823F92">
        <w:rPr>
          <w:lang w:val="en-US"/>
        </w:rPr>
        <w:t xml:space="preserve"> </w:t>
      </w:r>
      <w:r w:rsidRPr="009D21E0">
        <w:rPr>
          <w:lang w:val="en-US"/>
        </w:rPr>
        <w:t>easil</w:t>
      </w:r>
      <w:r w:rsidR="00823F92" w:rsidRPr="009D21E0">
        <w:rPr>
          <w:lang w:val="en-US"/>
        </w:rPr>
        <w:t>y</w:t>
      </w:r>
      <w:r w:rsidR="00823F92">
        <w:rPr>
          <w:lang w:val="en-US"/>
        </w:rPr>
        <w:t xml:space="preserve"> </w:t>
      </w:r>
      <w:r w:rsidRPr="009D21E0">
        <w:rPr>
          <w:lang w:val="en-US"/>
        </w:rPr>
        <w:t>navigated</w:t>
      </w:r>
      <w:r w:rsidR="00823F92" w:rsidRPr="009D21E0">
        <w:rPr>
          <w:lang w:val="en-US"/>
        </w:rPr>
        <w:t>,</w:t>
      </w:r>
      <w:r w:rsidR="00823F92">
        <w:rPr>
          <w:lang w:val="en-US"/>
        </w:rPr>
        <w:t xml:space="preserve"> </w:t>
      </w:r>
      <w:r w:rsidRPr="009D21E0">
        <w:rPr>
          <w:lang w:val="en-US"/>
        </w:rPr>
        <w:t>coordinate</w:t>
      </w:r>
      <w:r w:rsidR="00823F92" w:rsidRPr="009D21E0">
        <w:rPr>
          <w:lang w:val="en-US"/>
        </w:rPr>
        <w:t>d</w:t>
      </w:r>
      <w:r w:rsidR="00823F92">
        <w:rPr>
          <w:lang w:val="en-US"/>
        </w:rPr>
        <w:t xml:space="preserve"> </w:t>
      </w:r>
      <w:r w:rsidRPr="009D21E0">
        <w:rPr>
          <w:lang w:val="en-US"/>
        </w:rPr>
        <w:t>an</w:t>
      </w:r>
      <w:r w:rsidR="00823F92" w:rsidRPr="009D21E0">
        <w:rPr>
          <w:lang w:val="en-US"/>
        </w:rPr>
        <w:t>d</w:t>
      </w:r>
      <w:r w:rsidR="00823F92">
        <w:rPr>
          <w:lang w:val="en-US"/>
        </w:rPr>
        <w:t xml:space="preserve"> </w:t>
      </w:r>
      <w:r w:rsidRPr="009D21E0">
        <w:rPr>
          <w:lang w:val="en-US"/>
        </w:rPr>
        <w:t>balance</w:t>
      </w:r>
      <w:r w:rsidR="00823F92" w:rsidRPr="009D21E0">
        <w:rPr>
          <w:lang w:val="en-US"/>
        </w:rPr>
        <w:t>d</w:t>
      </w:r>
      <w:r w:rsidR="00823F92">
        <w:rPr>
          <w:lang w:val="en-US"/>
        </w:rPr>
        <w:t xml:space="preserve"> </w:t>
      </w:r>
      <w:r w:rsidRPr="009D21E0">
        <w:rPr>
          <w:lang w:val="en-US"/>
        </w:rPr>
        <w:t>community-base</w:t>
      </w:r>
      <w:r w:rsidR="00823F92" w:rsidRPr="009D21E0">
        <w:rPr>
          <w:lang w:val="en-US"/>
        </w:rPr>
        <w:t>d</w:t>
      </w:r>
      <w:r w:rsidR="00823F92">
        <w:rPr>
          <w:lang w:val="en-US"/>
        </w:rPr>
        <w:t xml:space="preserve"> </w:t>
      </w:r>
      <w:r w:rsidRPr="009D21E0">
        <w:rPr>
          <w:lang w:val="en-US"/>
        </w:rPr>
        <w:t>service</w:t>
      </w:r>
      <w:r w:rsidR="00823F92" w:rsidRPr="009D21E0">
        <w:rPr>
          <w:lang w:val="en-US"/>
        </w:rPr>
        <w:t>s</w:t>
      </w:r>
      <w:r w:rsidR="00823F92">
        <w:rPr>
          <w:lang w:val="en-US"/>
        </w:rPr>
        <w:t xml:space="preserve"> </w:t>
      </w:r>
      <w:r w:rsidRPr="009D21E0">
        <w:rPr>
          <w:lang w:val="en-US"/>
        </w:rPr>
        <w:t>tha</w:t>
      </w:r>
      <w:r w:rsidR="00823F92" w:rsidRPr="009D21E0">
        <w:rPr>
          <w:lang w:val="en-US"/>
        </w:rPr>
        <w:t>t</w:t>
      </w:r>
      <w:r w:rsidR="00823F92">
        <w:rPr>
          <w:lang w:val="en-US"/>
        </w:rPr>
        <w:t xml:space="preserve"> </w:t>
      </w:r>
      <w:r w:rsidRPr="009D21E0">
        <w:rPr>
          <w:lang w:val="en-US"/>
        </w:rPr>
        <w:t>ar</w:t>
      </w:r>
      <w:r w:rsidR="00823F92" w:rsidRPr="009D21E0">
        <w:rPr>
          <w:lang w:val="en-US"/>
        </w:rPr>
        <w:t>e</w:t>
      </w:r>
      <w:r w:rsidR="00823F92">
        <w:rPr>
          <w:lang w:val="en-US"/>
        </w:rPr>
        <w:t xml:space="preserve"> </w:t>
      </w:r>
      <w:r w:rsidRPr="009D21E0">
        <w:rPr>
          <w:lang w:val="en-US"/>
        </w:rPr>
        <w:t>offere</w:t>
      </w:r>
      <w:r w:rsidR="00823F92" w:rsidRPr="009D21E0">
        <w:rPr>
          <w:lang w:val="en-US"/>
        </w:rPr>
        <w:t>d</w:t>
      </w:r>
      <w:r w:rsidR="00823F92">
        <w:rPr>
          <w:lang w:val="en-US"/>
        </w:rPr>
        <w:t xml:space="preserve"> </w:t>
      </w:r>
      <w:r w:rsidRPr="009D21E0">
        <w:rPr>
          <w:lang w:val="en-US"/>
        </w:rPr>
        <w:t>earl</w:t>
      </w:r>
      <w:r w:rsidR="00823F92" w:rsidRPr="009D21E0">
        <w:rPr>
          <w:lang w:val="en-US"/>
        </w:rPr>
        <w:t>y</w:t>
      </w:r>
      <w:r w:rsidR="00823F92">
        <w:rPr>
          <w:lang w:val="en-US"/>
        </w:rPr>
        <w:t xml:space="preserve"> </w:t>
      </w:r>
      <w:r w:rsidRPr="009D21E0">
        <w:rPr>
          <w:lang w:val="en-US"/>
        </w:rPr>
        <w:t>t</w:t>
      </w:r>
      <w:r w:rsidR="00823F92" w:rsidRPr="009D21E0">
        <w:rPr>
          <w:lang w:val="en-US"/>
        </w:rPr>
        <w:t>o</w:t>
      </w:r>
      <w:r w:rsidR="00823F92">
        <w:rPr>
          <w:lang w:val="en-US"/>
        </w:rPr>
        <w:t xml:space="preserve"> </w:t>
      </w:r>
      <w:r w:rsidRPr="009D21E0">
        <w:rPr>
          <w:lang w:val="en-US"/>
        </w:rPr>
        <w:t>mee</w:t>
      </w:r>
      <w:r w:rsidR="00823F92" w:rsidRPr="009D21E0">
        <w:rPr>
          <w:lang w:val="en-US"/>
        </w:rPr>
        <w:t>t</w:t>
      </w:r>
      <w:r w:rsidR="00823F92">
        <w:rPr>
          <w:lang w:val="en-US"/>
        </w:rPr>
        <w:t xml:space="preserve"> </w:t>
      </w:r>
      <w:r w:rsidRPr="009D21E0">
        <w:rPr>
          <w:lang w:val="en-US"/>
        </w:rPr>
        <w:t>eac</w:t>
      </w:r>
      <w:r w:rsidR="00823F92" w:rsidRPr="009D21E0">
        <w:rPr>
          <w:lang w:val="en-US"/>
        </w:rPr>
        <w:t>h</w:t>
      </w:r>
      <w:r w:rsidR="00823F92">
        <w:rPr>
          <w:lang w:val="en-US"/>
        </w:rPr>
        <w:t xml:space="preserve"> </w:t>
      </w:r>
      <w:r w:rsidRPr="009D21E0">
        <w:rPr>
          <w:lang w:val="en-US"/>
        </w:rPr>
        <w:t>individual'</w:t>
      </w:r>
      <w:r w:rsidR="00823F92" w:rsidRPr="009D21E0">
        <w:rPr>
          <w:lang w:val="en-US"/>
        </w:rPr>
        <w:t>s</w:t>
      </w:r>
      <w:r w:rsidR="00823F92">
        <w:rPr>
          <w:lang w:val="en-US"/>
        </w:rPr>
        <w:t xml:space="preserve"> </w:t>
      </w:r>
      <w:r w:rsidRPr="009D21E0">
        <w:rPr>
          <w:lang w:val="en-US"/>
        </w:rPr>
        <w:t>need</w:t>
      </w:r>
      <w:r w:rsidR="00823F92" w:rsidRPr="009D21E0">
        <w:rPr>
          <w:lang w:val="en-US"/>
        </w:rPr>
        <w:t>s</w:t>
      </w:r>
      <w:r w:rsidR="00823F92">
        <w:rPr>
          <w:lang w:val="en-US"/>
        </w:rPr>
        <w:t xml:space="preserve"> </w:t>
      </w:r>
      <w:r w:rsidRPr="009D21E0">
        <w:rPr>
          <w:lang w:val="en-US"/>
        </w:rPr>
        <w:t>an</w:t>
      </w:r>
      <w:r w:rsidR="00823F92" w:rsidRPr="009D21E0">
        <w:rPr>
          <w:lang w:val="en-US"/>
        </w:rPr>
        <w:t>d</w:t>
      </w:r>
      <w:r w:rsidR="00823F92">
        <w:rPr>
          <w:lang w:val="en-US"/>
        </w:rPr>
        <w:t xml:space="preserve"> </w:t>
      </w:r>
      <w:r w:rsidRPr="009D21E0">
        <w:rPr>
          <w:lang w:val="en-US"/>
        </w:rPr>
        <w:t>preven</w:t>
      </w:r>
      <w:r w:rsidR="00823F92" w:rsidRPr="009D21E0">
        <w:rPr>
          <w:lang w:val="en-US"/>
        </w:rPr>
        <w:t>t</w:t>
      </w:r>
      <w:r w:rsidR="00823F92">
        <w:rPr>
          <w:lang w:val="en-US"/>
        </w:rPr>
        <w:t xml:space="preserve"> </w:t>
      </w:r>
      <w:r w:rsidRPr="009D21E0">
        <w:rPr>
          <w:lang w:val="en-US"/>
        </w:rPr>
        <w:t>escalatin</w:t>
      </w:r>
      <w:r w:rsidR="00823F92" w:rsidRPr="009D21E0">
        <w:rPr>
          <w:lang w:val="en-US"/>
        </w:rPr>
        <w:t>g</w:t>
      </w:r>
      <w:r w:rsidR="00823F92">
        <w:rPr>
          <w:lang w:val="en-US"/>
        </w:rPr>
        <w:t xml:space="preserve"> </w:t>
      </w:r>
      <w:r w:rsidRPr="009D21E0">
        <w:rPr>
          <w:lang w:val="en-US"/>
        </w:rPr>
        <w:t>concerns.</w:t>
      </w:r>
    </w:p>
    <w:p w14:paraId="0AC23073" w14:textId="379245AD" w:rsidR="00103373" w:rsidRDefault="00103373" w:rsidP="00533568">
      <w:pPr>
        <w:pStyle w:val="BodyText"/>
        <w:rPr>
          <w:lang w:val="en-US"/>
        </w:rPr>
      </w:pPr>
      <w:r w:rsidRPr="006C4490">
        <w:rPr>
          <w:lang w:val="en-US"/>
        </w:rPr>
        <w:t>Relate</w:t>
      </w:r>
      <w:r w:rsidR="00823F92" w:rsidRPr="006C4490">
        <w:rPr>
          <w:lang w:val="en-US"/>
        </w:rPr>
        <w:t>d</w:t>
      </w:r>
      <w:r w:rsidR="00823F92">
        <w:rPr>
          <w:lang w:val="en-US"/>
        </w:rPr>
        <w:t xml:space="preserve"> </w:t>
      </w:r>
      <w:r w:rsidRPr="006C4490">
        <w:rPr>
          <w:lang w:val="en-US"/>
        </w:rPr>
        <w:t>workforc</w:t>
      </w:r>
      <w:r w:rsidR="00823F92" w:rsidRPr="006C4490">
        <w:rPr>
          <w:lang w:val="en-US"/>
        </w:rPr>
        <w:t>e</w:t>
      </w:r>
      <w:r w:rsidR="00823F92">
        <w:rPr>
          <w:lang w:val="en-US"/>
        </w:rPr>
        <w:t xml:space="preserve"> </w:t>
      </w:r>
      <w:r w:rsidRPr="006C4490">
        <w:rPr>
          <w:lang w:val="en-US"/>
        </w:rPr>
        <w:t>strategie</w:t>
      </w:r>
      <w:r w:rsidR="00823F92" w:rsidRPr="006C4490">
        <w:rPr>
          <w:lang w:val="en-US"/>
        </w:rPr>
        <w:t>s</w:t>
      </w:r>
      <w:r w:rsidR="00823F92">
        <w:rPr>
          <w:lang w:val="en-US"/>
        </w:rPr>
        <w:t xml:space="preserve"> </w:t>
      </w:r>
      <w:r w:rsidR="00A21637">
        <w:rPr>
          <w:lang w:val="en-US"/>
        </w:rPr>
        <w:t>ar</w:t>
      </w:r>
      <w:r w:rsidR="00823F92">
        <w:rPr>
          <w:lang w:val="en-US"/>
        </w:rPr>
        <w:t xml:space="preserve">e </w:t>
      </w:r>
      <w:r w:rsidRPr="006C4490">
        <w:rPr>
          <w:lang w:val="en-US"/>
        </w:rPr>
        <w:t>bein</w:t>
      </w:r>
      <w:r w:rsidR="00823F92" w:rsidRPr="006C4490">
        <w:rPr>
          <w:lang w:val="en-US"/>
        </w:rPr>
        <w:t>g</w:t>
      </w:r>
      <w:r w:rsidR="00823F92">
        <w:rPr>
          <w:lang w:val="en-US"/>
        </w:rPr>
        <w:t xml:space="preserve"> </w:t>
      </w:r>
      <w:r w:rsidRPr="006C4490">
        <w:rPr>
          <w:lang w:val="en-US"/>
        </w:rPr>
        <w:t>develope</w:t>
      </w:r>
      <w:r w:rsidR="00823F92" w:rsidRPr="006C4490">
        <w:rPr>
          <w:lang w:val="en-US"/>
        </w:rPr>
        <w:t>d</w:t>
      </w:r>
      <w:r w:rsidR="00823F92">
        <w:rPr>
          <w:lang w:val="en-US"/>
        </w:rPr>
        <w:t xml:space="preserve"> </w:t>
      </w:r>
      <w:r w:rsidR="003B46BB">
        <w:rPr>
          <w:lang w:val="en-US"/>
        </w:rPr>
        <w:t>an</w:t>
      </w:r>
      <w:r w:rsidR="00823F92">
        <w:rPr>
          <w:lang w:val="en-US"/>
        </w:rPr>
        <w:t xml:space="preserve">d </w:t>
      </w:r>
      <w:r w:rsidR="003B46BB">
        <w:rPr>
          <w:lang w:val="en-US"/>
        </w:rPr>
        <w:t>implemente</w:t>
      </w:r>
      <w:r w:rsidR="00823F92">
        <w:rPr>
          <w:lang w:val="en-US"/>
        </w:rPr>
        <w:t xml:space="preserve">d </w:t>
      </w:r>
      <w:r w:rsidRPr="006C4490">
        <w:rPr>
          <w:lang w:val="en-US"/>
        </w:rPr>
        <w:t>concurrently</w:t>
      </w:r>
      <w:r w:rsidR="00823F92">
        <w:rPr>
          <w:lang w:val="en-US"/>
        </w:rPr>
        <w:t xml:space="preserve">. </w:t>
      </w:r>
      <w:r w:rsidR="00A21637">
        <w:rPr>
          <w:lang w:val="en-US"/>
        </w:rPr>
        <w:t>Example</w:t>
      </w:r>
      <w:r w:rsidR="00823F92">
        <w:rPr>
          <w:lang w:val="en-US"/>
        </w:rPr>
        <w:t xml:space="preserve">s </w:t>
      </w:r>
      <w:r w:rsidRPr="006C4490">
        <w:rPr>
          <w:lang w:val="en-US"/>
        </w:rPr>
        <w:t>includ</w:t>
      </w:r>
      <w:r w:rsidR="00823F92" w:rsidRPr="006C4490">
        <w:rPr>
          <w:lang w:val="en-US"/>
        </w:rPr>
        <w:t>e</w:t>
      </w:r>
      <w:r w:rsidR="00823F92">
        <w:rPr>
          <w:lang w:val="en-US"/>
        </w:rPr>
        <w:t xml:space="preserve"> </w:t>
      </w:r>
      <w:r w:rsidRPr="006C4490">
        <w:rPr>
          <w:lang w:val="en-US"/>
        </w:rPr>
        <w:t>th</w:t>
      </w:r>
      <w:r w:rsidR="00823F92" w:rsidRPr="006C4490">
        <w:rPr>
          <w:lang w:val="en-US"/>
        </w:rPr>
        <w:t>e</w:t>
      </w:r>
      <w:r w:rsidR="00823F92">
        <w:rPr>
          <w:lang w:val="en-US"/>
        </w:rPr>
        <w:t xml:space="preserve"> </w:t>
      </w:r>
      <w:r w:rsidRPr="00FE4F8A">
        <w:rPr>
          <w:lang w:val="en-US"/>
        </w:rPr>
        <w:t>Nationa</w:t>
      </w:r>
      <w:r w:rsidR="00823F92" w:rsidRPr="00FE4F8A">
        <w:rPr>
          <w:lang w:val="en-US"/>
        </w:rPr>
        <w:t xml:space="preserve">l </w:t>
      </w:r>
      <w:r w:rsidRPr="00FE4F8A">
        <w:rPr>
          <w:lang w:val="en-US"/>
        </w:rPr>
        <w:t>Medica</w:t>
      </w:r>
      <w:r w:rsidR="00823F92" w:rsidRPr="00FE4F8A">
        <w:rPr>
          <w:lang w:val="en-US"/>
        </w:rPr>
        <w:t xml:space="preserve">l </w:t>
      </w:r>
      <w:r w:rsidRPr="00FE4F8A">
        <w:rPr>
          <w:lang w:val="en-US"/>
        </w:rPr>
        <w:t>Workforc</w:t>
      </w:r>
      <w:r w:rsidR="00823F92" w:rsidRPr="00FE4F8A">
        <w:rPr>
          <w:lang w:val="en-US"/>
        </w:rPr>
        <w:t xml:space="preserve">e </w:t>
      </w:r>
      <w:r w:rsidRPr="00FE4F8A">
        <w:rPr>
          <w:lang w:val="en-US"/>
        </w:rPr>
        <w:t>Strategy</w:t>
      </w:r>
      <w:r w:rsidR="00823F92" w:rsidRPr="00FE4F8A">
        <w:rPr>
          <w:lang w:val="en-US"/>
        </w:rPr>
        <w:t xml:space="preserve">, </w:t>
      </w:r>
      <w:r w:rsidRPr="00FE4F8A">
        <w:rPr>
          <w:lang w:val="en-US"/>
        </w:rPr>
        <w:t>Stronge</w:t>
      </w:r>
      <w:r w:rsidR="00823F92" w:rsidRPr="00FE4F8A">
        <w:rPr>
          <w:lang w:val="en-US"/>
        </w:rPr>
        <w:t xml:space="preserve">r </w:t>
      </w:r>
      <w:r w:rsidRPr="00FE4F8A">
        <w:rPr>
          <w:lang w:val="en-US"/>
        </w:rPr>
        <w:t>Rura</w:t>
      </w:r>
      <w:r w:rsidR="00823F92" w:rsidRPr="00FE4F8A">
        <w:rPr>
          <w:lang w:val="en-US"/>
        </w:rPr>
        <w:t xml:space="preserve">l </w:t>
      </w:r>
      <w:r w:rsidRPr="00FE4F8A">
        <w:rPr>
          <w:lang w:val="en-US"/>
        </w:rPr>
        <w:t>Healt</w:t>
      </w:r>
      <w:r w:rsidR="00823F92" w:rsidRPr="00FE4F8A">
        <w:rPr>
          <w:lang w:val="en-US"/>
        </w:rPr>
        <w:t xml:space="preserve">h </w:t>
      </w:r>
      <w:r w:rsidRPr="00FE4F8A">
        <w:rPr>
          <w:lang w:val="en-US"/>
        </w:rPr>
        <w:t>Strategy</w:t>
      </w:r>
      <w:r w:rsidR="00823F92" w:rsidRPr="00FE4F8A">
        <w:rPr>
          <w:lang w:val="en-US"/>
        </w:rPr>
        <w:t xml:space="preserve">, </w:t>
      </w:r>
      <w:r w:rsidRPr="00FE4F8A">
        <w:rPr>
          <w:lang w:val="en-US"/>
        </w:rPr>
        <w:t>Nationa</w:t>
      </w:r>
      <w:r w:rsidR="00823F92" w:rsidRPr="00FE4F8A">
        <w:rPr>
          <w:lang w:val="en-US"/>
        </w:rPr>
        <w:t xml:space="preserve">l </w:t>
      </w:r>
      <w:r w:rsidRPr="00FE4F8A">
        <w:rPr>
          <w:lang w:val="en-US"/>
        </w:rPr>
        <w:t>Aborigina</w:t>
      </w:r>
      <w:r w:rsidR="00823F92" w:rsidRPr="00FE4F8A">
        <w:rPr>
          <w:lang w:val="en-US"/>
        </w:rPr>
        <w:t xml:space="preserve">l </w:t>
      </w:r>
      <w:r w:rsidRPr="00FE4F8A">
        <w:rPr>
          <w:lang w:val="en-US"/>
        </w:rPr>
        <w:t>an</w:t>
      </w:r>
      <w:r w:rsidR="00823F92" w:rsidRPr="00FE4F8A">
        <w:rPr>
          <w:lang w:val="en-US"/>
        </w:rPr>
        <w:t xml:space="preserve">d </w:t>
      </w:r>
      <w:r w:rsidRPr="00FE4F8A">
        <w:rPr>
          <w:lang w:val="en-US"/>
        </w:rPr>
        <w:t>Torre</w:t>
      </w:r>
      <w:r w:rsidR="00823F92" w:rsidRPr="00FE4F8A">
        <w:rPr>
          <w:lang w:val="en-US"/>
        </w:rPr>
        <w:t xml:space="preserve">s </w:t>
      </w:r>
      <w:r w:rsidRPr="00FE4F8A">
        <w:rPr>
          <w:lang w:val="en-US"/>
        </w:rPr>
        <w:t>Strai</w:t>
      </w:r>
      <w:r w:rsidR="00823F92" w:rsidRPr="00FE4F8A">
        <w:rPr>
          <w:lang w:val="en-US"/>
        </w:rPr>
        <w:t xml:space="preserve">t </w:t>
      </w:r>
      <w:r w:rsidRPr="00FE4F8A">
        <w:rPr>
          <w:lang w:val="en-US"/>
        </w:rPr>
        <w:t>Islande</w:t>
      </w:r>
      <w:r w:rsidR="00823F92" w:rsidRPr="00FE4F8A">
        <w:rPr>
          <w:lang w:val="en-US"/>
        </w:rPr>
        <w:t xml:space="preserve">r </w:t>
      </w:r>
      <w:r w:rsidRPr="00FE4F8A">
        <w:rPr>
          <w:lang w:val="en-US"/>
        </w:rPr>
        <w:t>Healt</w:t>
      </w:r>
      <w:r w:rsidR="00823F92" w:rsidRPr="00FE4F8A">
        <w:rPr>
          <w:lang w:val="en-US"/>
        </w:rPr>
        <w:t xml:space="preserve">h </w:t>
      </w:r>
      <w:r w:rsidRPr="00FE4F8A">
        <w:rPr>
          <w:lang w:val="en-US"/>
        </w:rPr>
        <w:t>Workforc</w:t>
      </w:r>
      <w:r w:rsidR="00823F92" w:rsidRPr="00FE4F8A">
        <w:rPr>
          <w:lang w:val="en-US"/>
        </w:rPr>
        <w:t xml:space="preserve">e </w:t>
      </w:r>
      <w:r w:rsidRPr="00FE4F8A">
        <w:rPr>
          <w:lang w:val="en-US"/>
        </w:rPr>
        <w:t>Strategi</w:t>
      </w:r>
      <w:r w:rsidR="00823F92" w:rsidRPr="00FE4F8A">
        <w:rPr>
          <w:lang w:val="en-US"/>
        </w:rPr>
        <w:t xml:space="preserve">c </w:t>
      </w:r>
      <w:r w:rsidRPr="00FE4F8A">
        <w:rPr>
          <w:lang w:val="en-US"/>
        </w:rPr>
        <w:t>Framewor</w:t>
      </w:r>
      <w:r w:rsidR="00823F92" w:rsidRPr="00FE4F8A">
        <w:rPr>
          <w:lang w:val="en-US"/>
        </w:rPr>
        <w:t xml:space="preserve">k </w:t>
      </w:r>
      <w:r w:rsidRPr="00FE4F8A">
        <w:rPr>
          <w:lang w:val="en-US"/>
        </w:rPr>
        <w:t>an</w:t>
      </w:r>
      <w:r w:rsidR="00823F92" w:rsidRPr="00FE4F8A">
        <w:rPr>
          <w:lang w:val="en-US"/>
        </w:rPr>
        <w:t xml:space="preserve">d </w:t>
      </w:r>
      <w:r w:rsidRPr="00FE4F8A">
        <w:rPr>
          <w:lang w:val="en-US"/>
        </w:rPr>
        <w:t>Implementatio</w:t>
      </w:r>
      <w:r w:rsidR="00823F92" w:rsidRPr="00FE4F8A">
        <w:rPr>
          <w:lang w:val="en-US"/>
        </w:rPr>
        <w:t xml:space="preserve">n </w:t>
      </w:r>
      <w:r w:rsidRPr="00FE4F8A">
        <w:rPr>
          <w:lang w:val="en-US"/>
        </w:rPr>
        <w:t>Pla</w:t>
      </w:r>
      <w:r w:rsidR="00823F92" w:rsidRPr="00FE4F8A">
        <w:rPr>
          <w:lang w:val="en-US"/>
        </w:rPr>
        <w:t xml:space="preserve">n </w:t>
      </w:r>
      <w:r w:rsidRPr="00FE4F8A">
        <w:rPr>
          <w:lang w:val="en-US"/>
        </w:rPr>
        <w:t>2021-2031</w:t>
      </w:r>
      <w:r w:rsidR="00823F92" w:rsidRPr="00FE4F8A">
        <w:rPr>
          <w:lang w:val="en-US"/>
        </w:rPr>
        <w:t xml:space="preserve">, </w:t>
      </w:r>
      <w:r w:rsidR="0080445A" w:rsidRPr="00FE4F8A">
        <w:rPr>
          <w:lang w:val="en-US"/>
        </w:rPr>
        <w:t>Primar</w:t>
      </w:r>
      <w:r w:rsidR="00823F92" w:rsidRPr="00FE4F8A">
        <w:rPr>
          <w:lang w:val="en-US"/>
        </w:rPr>
        <w:t xml:space="preserve">y </w:t>
      </w:r>
      <w:r w:rsidR="0080445A" w:rsidRPr="00FE4F8A">
        <w:rPr>
          <w:lang w:val="en-US"/>
        </w:rPr>
        <w:t>Healt</w:t>
      </w:r>
      <w:r w:rsidR="00823F92" w:rsidRPr="00FE4F8A">
        <w:rPr>
          <w:lang w:val="en-US"/>
        </w:rPr>
        <w:t xml:space="preserve">h </w:t>
      </w:r>
      <w:r w:rsidR="0080445A" w:rsidRPr="00FE4F8A">
        <w:rPr>
          <w:lang w:val="en-US"/>
        </w:rPr>
        <w:t>Car</w:t>
      </w:r>
      <w:r w:rsidR="00823F92" w:rsidRPr="00FE4F8A">
        <w:rPr>
          <w:lang w:val="en-US"/>
        </w:rPr>
        <w:t xml:space="preserve">e </w:t>
      </w:r>
      <w:r w:rsidR="0080445A" w:rsidRPr="00FE4F8A">
        <w:rPr>
          <w:lang w:val="en-US"/>
        </w:rPr>
        <w:t>1</w:t>
      </w:r>
      <w:r w:rsidR="00823F92" w:rsidRPr="00FE4F8A">
        <w:rPr>
          <w:lang w:val="en-US"/>
        </w:rPr>
        <w:t xml:space="preserve">0 </w:t>
      </w:r>
      <w:r w:rsidR="0080445A" w:rsidRPr="00FE4F8A">
        <w:rPr>
          <w:lang w:val="en-US"/>
        </w:rPr>
        <w:t>Yea</w:t>
      </w:r>
      <w:r w:rsidR="00823F92" w:rsidRPr="00FE4F8A">
        <w:rPr>
          <w:lang w:val="en-US"/>
        </w:rPr>
        <w:t xml:space="preserve">r </w:t>
      </w:r>
      <w:r w:rsidR="0080445A" w:rsidRPr="00FE4F8A">
        <w:rPr>
          <w:lang w:val="en-US"/>
        </w:rPr>
        <w:t>Pla</w:t>
      </w:r>
      <w:r w:rsidR="00823F92" w:rsidRPr="00FE4F8A">
        <w:rPr>
          <w:lang w:val="en-US"/>
        </w:rPr>
        <w:t>n</w:t>
      </w:r>
      <w:r w:rsidR="00823F92">
        <w:rPr>
          <w:i/>
          <w:iCs/>
          <w:lang w:val="en-US"/>
        </w:rPr>
        <w:t xml:space="preserve"> </w:t>
      </w:r>
      <w:r w:rsidR="00533568" w:rsidRPr="00533568">
        <w:rPr>
          <w:i/>
          <w:iCs/>
          <w:lang w:val="en-US"/>
        </w:rPr>
        <w:t>(</w:t>
      </w:r>
      <w:r w:rsidR="00533568" w:rsidRPr="00FE4F8A">
        <w:rPr>
          <w:lang w:val="en-US"/>
        </w:rPr>
        <w:t>currentl</w:t>
      </w:r>
      <w:r w:rsidR="00823F92" w:rsidRPr="00FE4F8A">
        <w:rPr>
          <w:lang w:val="en-US"/>
        </w:rPr>
        <w:t xml:space="preserve">y </w:t>
      </w:r>
      <w:r w:rsidR="00533568" w:rsidRPr="00FE4F8A">
        <w:rPr>
          <w:lang w:val="en-US"/>
        </w:rPr>
        <w:t>unde</w:t>
      </w:r>
      <w:r w:rsidR="00823F92" w:rsidRPr="00FE4F8A">
        <w:rPr>
          <w:lang w:val="en-US"/>
        </w:rPr>
        <w:t xml:space="preserve">r </w:t>
      </w:r>
      <w:r w:rsidR="00533568" w:rsidRPr="00FE4F8A">
        <w:rPr>
          <w:lang w:val="en-US"/>
        </w:rPr>
        <w:t>developmen</w:t>
      </w:r>
      <w:r w:rsidR="00823F92" w:rsidRPr="00FE4F8A">
        <w:rPr>
          <w:lang w:val="en-US"/>
        </w:rPr>
        <w:t xml:space="preserve">t </w:t>
      </w:r>
      <w:r w:rsidR="00533568" w:rsidRPr="00FE4F8A">
        <w:rPr>
          <w:lang w:val="en-US"/>
        </w:rPr>
        <w:t>an</w:t>
      </w:r>
      <w:r w:rsidR="00823F92" w:rsidRPr="00FE4F8A">
        <w:rPr>
          <w:lang w:val="en-US"/>
        </w:rPr>
        <w:t xml:space="preserve">d </w:t>
      </w:r>
      <w:r w:rsidR="0080445A" w:rsidRPr="00FE4F8A">
        <w:rPr>
          <w:lang w:val="en-US"/>
        </w:rPr>
        <w:t>du</w:t>
      </w:r>
      <w:r w:rsidR="00823F92" w:rsidRPr="00FE4F8A">
        <w:rPr>
          <w:lang w:val="en-US"/>
        </w:rPr>
        <w:t xml:space="preserve">e </w:t>
      </w:r>
      <w:r w:rsidR="0080445A" w:rsidRPr="00FE4F8A">
        <w:rPr>
          <w:lang w:val="en-US"/>
        </w:rPr>
        <w:t>t</w:t>
      </w:r>
      <w:r w:rsidR="00823F92" w:rsidRPr="00FE4F8A">
        <w:rPr>
          <w:lang w:val="en-US"/>
        </w:rPr>
        <w:t xml:space="preserve">o </w:t>
      </w:r>
      <w:r w:rsidR="0080445A" w:rsidRPr="00FE4F8A">
        <w:rPr>
          <w:lang w:val="en-US"/>
        </w:rPr>
        <w:t>b</w:t>
      </w:r>
      <w:r w:rsidR="00823F92" w:rsidRPr="00FE4F8A">
        <w:rPr>
          <w:lang w:val="en-US"/>
        </w:rPr>
        <w:t xml:space="preserve">e </w:t>
      </w:r>
      <w:r w:rsidR="0080445A" w:rsidRPr="00FE4F8A">
        <w:rPr>
          <w:lang w:val="en-US"/>
        </w:rPr>
        <w:t>release</w:t>
      </w:r>
      <w:r w:rsidR="00823F92" w:rsidRPr="00FE4F8A">
        <w:rPr>
          <w:lang w:val="en-US"/>
        </w:rPr>
        <w:t xml:space="preserve">d </w:t>
      </w:r>
      <w:r w:rsidR="0080445A" w:rsidRPr="00FE4F8A">
        <w:rPr>
          <w:lang w:val="en-US"/>
        </w:rPr>
        <w:t>i</w:t>
      </w:r>
      <w:r w:rsidR="00823F92" w:rsidRPr="00FE4F8A">
        <w:rPr>
          <w:lang w:val="en-US"/>
        </w:rPr>
        <w:t xml:space="preserve">n </w:t>
      </w:r>
      <w:r w:rsidR="0080445A" w:rsidRPr="00FE4F8A">
        <w:rPr>
          <w:lang w:val="en-US"/>
        </w:rPr>
        <w:t>2021</w:t>
      </w:r>
      <w:r w:rsidR="00533568" w:rsidRPr="00FE4F8A">
        <w:rPr>
          <w:lang w:val="en-US"/>
        </w:rPr>
        <w:t>)</w:t>
      </w:r>
      <w:r w:rsidR="00823F92" w:rsidRPr="00FE4F8A">
        <w:rPr>
          <w:lang w:val="en-US"/>
        </w:rPr>
        <w:t xml:space="preserve">, </w:t>
      </w:r>
      <w:r w:rsidR="00533568" w:rsidRPr="00FE4F8A">
        <w:rPr>
          <w:lang w:val="en-US"/>
        </w:rPr>
        <w:t>Nationa</w:t>
      </w:r>
      <w:r w:rsidR="00823F92" w:rsidRPr="00FE4F8A">
        <w:rPr>
          <w:lang w:val="en-US"/>
        </w:rPr>
        <w:t xml:space="preserve">l </w:t>
      </w:r>
      <w:r w:rsidR="00533568" w:rsidRPr="00FE4F8A">
        <w:rPr>
          <w:lang w:val="en-US"/>
        </w:rPr>
        <w:t>Digita</w:t>
      </w:r>
      <w:r w:rsidR="00823F92" w:rsidRPr="00FE4F8A">
        <w:rPr>
          <w:lang w:val="en-US"/>
        </w:rPr>
        <w:t xml:space="preserve">l </w:t>
      </w:r>
      <w:r w:rsidR="00533568" w:rsidRPr="00FE4F8A">
        <w:rPr>
          <w:lang w:val="en-US"/>
        </w:rPr>
        <w:t>Healt</w:t>
      </w:r>
      <w:r w:rsidR="00823F92" w:rsidRPr="00FE4F8A">
        <w:rPr>
          <w:lang w:val="en-US"/>
        </w:rPr>
        <w:t xml:space="preserve">h </w:t>
      </w:r>
      <w:r w:rsidR="00533568" w:rsidRPr="00FE4F8A">
        <w:rPr>
          <w:lang w:val="en-US"/>
        </w:rPr>
        <w:lastRenderedPageBreak/>
        <w:t>Strategy</w:t>
      </w:r>
      <w:r w:rsidR="00823F92" w:rsidRPr="00FE4F8A">
        <w:rPr>
          <w:lang w:val="en-US"/>
        </w:rPr>
        <w:t xml:space="preserve">, </w:t>
      </w:r>
      <w:r w:rsidR="00533568" w:rsidRPr="00FE4F8A">
        <w:rPr>
          <w:lang w:val="en-US"/>
        </w:rPr>
        <w:t>Nationa</w:t>
      </w:r>
      <w:r w:rsidR="00823F92" w:rsidRPr="00FE4F8A">
        <w:rPr>
          <w:lang w:val="en-US"/>
        </w:rPr>
        <w:t xml:space="preserve">l </w:t>
      </w:r>
      <w:r w:rsidR="00533568" w:rsidRPr="00FE4F8A">
        <w:rPr>
          <w:lang w:val="en-US"/>
        </w:rPr>
        <w:t>Preventiv</w:t>
      </w:r>
      <w:r w:rsidR="00823F92" w:rsidRPr="00FE4F8A">
        <w:rPr>
          <w:lang w:val="en-US"/>
        </w:rPr>
        <w:t xml:space="preserve">e </w:t>
      </w:r>
      <w:r w:rsidR="00533568" w:rsidRPr="00FE4F8A">
        <w:rPr>
          <w:lang w:val="en-US"/>
        </w:rPr>
        <w:t>Healt</w:t>
      </w:r>
      <w:r w:rsidR="00823F92" w:rsidRPr="00FE4F8A">
        <w:rPr>
          <w:lang w:val="en-US"/>
        </w:rPr>
        <w:t xml:space="preserve">h </w:t>
      </w:r>
      <w:r w:rsidR="00533568" w:rsidRPr="00FE4F8A">
        <w:rPr>
          <w:lang w:val="en-US"/>
        </w:rPr>
        <w:t>Strategy</w:t>
      </w:r>
      <w:r w:rsidR="00823F92" w:rsidRPr="00FE4F8A">
        <w:rPr>
          <w:lang w:val="en-US"/>
        </w:rPr>
        <w:t xml:space="preserve">, </w:t>
      </w:r>
      <w:r w:rsidR="00533568" w:rsidRPr="00FE4F8A">
        <w:rPr>
          <w:lang w:val="en-US"/>
        </w:rPr>
        <w:t>an</w:t>
      </w:r>
      <w:r w:rsidR="00823F92" w:rsidRPr="00FE4F8A">
        <w:rPr>
          <w:lang w:val="en-US"/>
        </w:rPr>
        <w:t xml:space="preserve">d </w:t>
      </w:r>
      <w:proofErr w:type="spellStart"/>
      <w:r w:rsidR="00533568" w:rsidRPr="00FE4F8A">
        <w:rPr>
          <w:lang w:val="en-US"/>
        </w:rPr>
        <w:t>Ahpr</w:t>
      </w:r>
      <w:r w:rsidR="00823F92" w:rsidRPr="00FE4F8A">
        <w:rPr>
          <w:lang w:val="en-US"/>
        </w:rPr>
        <w:t>a</w:t>
      </w:r>
      <w:proofErr w:type="spellEnd"/>
      <w:r w:rsidR="00823F92" w:rsidRPr="00FE4F8A">
        <w:rPr>
          <w:lang w:val="en-US"/>
        </w:rPr>
        <w:t xml:space="preserve"> </w:t>
      </w:r>
      <w:r w:rsidR="00533568" w:rsidRPr="00FE4F8A">
        <w:rPr>
          <w:lang w:val="en-US"/>
        </w:rPr>
        <w:t>2020-2</w:t>
      </w:r>
      <w:r w:rsidR="00823F92" w:rsidRPr="00FE4F8A">
        <w:rPr>
          <w:lang w:val="en-US"/>
        </w:rPr>
        <w:t xml:space="preserve">5 </w:t>
      </w:r>
      <w:r w:rsidR="00533568" w:rsidRPr="00FE4F8A">
        <w:rPr>
          <w:lang w:val="en-US"/>
        </w:rPr>
        <w:t>Nationa</w:t>
      </w:r>
      <w:r w:rsidR="00823F92" w:rsidRPr="00FE4F8A">
        <w:rPr>
          <w:lang w:val="en-US"/>
        </w:rPr>
        <w:t xml:space="preserve">l </w:t>
      </w:r>
      <w:r w:rsidR="00533568" w:rsidRPr="00FE4F8A">
        <w:rPr>
          <w:lang w:val="en-US"/>
        </w:rPr>
        <w:t>Schem</w:t>
      </w:r>
      <w:r w:rsidR="00823F92" w:rsidRPr="00FE4F8A">
        <w:rPr>
          <w:lang w:val="en-US"/>
        </w:rPr>
        <w:t xml:space="preserve">e </w:t>
      </w:r>
      <w:r w:rsidR="00533568" w:rsidRPr="00FE4F8A">
        <w:rPr>
          <w:lang w:val="en-US"/>
        </w:rPr>
        <w:t>Strategy</w:t>
      </w:r>
      <w:r w:rsidR="00823F92" w:rsidRPr="00533568">
        <w:rPr>
          <w:i/>
          <w:iCs/>
          <w:lang w:val="en-US"/>
        </w:rPr>
        <w:t>.</w:t>
      </w:r>
      <w:r w:rsidR="00823F92">
        <w:rPr>
          <w:i/>
          <w:iCs/>
          <w:lang w:val="en-US"/>
        </w:rPr>
        <w:t xml:space="preserve"> </w:t>
      </w:r>
      <w:r w:rsidRPr="006C4490">
        <w:rPr>
          <w:lang w:val="en-US"/>
        </w:rPr>
        <w:t>Ensurin</w:t>
      </w:r>
      <w:r w:rsidR="00823F92" w:rsidRPr="006C4490">
        <w:rPr>
          <w:lang w:val="en-US"/>
        </w:rPr>
        <w:t>g</w:t>
      </w:r>
      <w:r w:rsidR="00823F92">
        <w:rPr>
          <w:lang w:val="en-US"/>
        </w:rPr>
        <w:t xml:space="preserve"> </w:t>
      </w:r>
      <w:r w:rsidRPr="006C4490">
        <w:rPr>
          <w:lang w:val="en-US"/>
        </w:rPr>
        <w:t>alignmen</w:t>
      </w:r>
      <w:r w:rsidR="00823F92" w:rsidRPr="006C4490">
        <w:rPr>
          <w:lang w:val="en-US"/>
        </w:rPr>
        <w:t>t</w:t>
      </w:r>
      <w:r w:rsidR="00823F92">
        <w:rPr>
          <w:lang w:val="en-US"/>
        </w:rPr>
        <w:t xml:space="preserve"> </w:t>
      </w:r>
      <w:r w:rsidRPr="006C4490">
        <w:rPr>
          <w:lang w:val="en-US"/>
        </w:rPr>
        <w:t>acros</w:t>
      </w:r>
      <w:r w:rsidR="00823F92" w:rsidRPr="006C4490">
        <w:rPr>
          <w:lang w:val="en-US"/>
        </w:rPr>
        <w:t>s</w:t>
      </w:r>
      <w:r w:rsidR="00823F92">
        <w:rPr>
          <w:lang w:val="en-US"/>
        </w:rPr>
        <w:t xml:space="preserve"> </w:t>
      </w:r>
      <w:r w:rsidRPr="006C4490">
        <w:rPr>
          <w:lang w:val="en-US"/>
        </w:rPr>
        <w:t>thes</w:t>
      </w:r>
      <w:r w:rsidR="00823F92" w:rsidRPr="006C4490">
        <w:rPr>
          <w:lang w:val="en-US"/>
        </w:rPr>
        <w:t>e</w:t>
      </w:r>
      <w:r w:rsidR="00823F92">
        <w:rPr>
          <w:lang w:val="en-US"/>
        </w:rPr>
        <w:t xml:space="preserve"> </w:t>
      </w:r>
      <w:r w:rsidRPr="006C4490">
        <w:rPr>
          <w:lang w:val="en-US"/>
        </w:rPr>
        <w:t>relate</w:t>
      </w:r>
      <w:r w:rsidR="00823F92" w:rsidRPr="006C4490">
        <w:rPr>
          <w:lang w:val="en-US"/>
        </w:rPr>
        <w:t>d</w:t>
      </w:r>
      <w:r w:rsidR="00823F92">
        <w:rPr>
          <w:lang w:val="en-US"/>
        </w:rPr>
        <w:t xml:space="preserve"> </w:t>
      </w:r>
      <w:r w:rsidRPr="006C4490">
        <w:rPr>
          <w:lang w:val="en-US"/>
        </w:rPr>
        <w:t>strategie</w:t>
      </w:r>
      <w:r w:rsidR="00823F92" w:rsidRPr="006C4490">
        <w:rPr>
          <w:lang w:val="en-US"/>
        </w:rPr>
        <w:t>s</w:t>
      </w:r>
      <w:r w:rsidR="00823F92">
        <w:rPr>
          <w:lang w:val="en-US"/>
        </w:rPr>
        <w:t xml:space="preserve"> </w:t>
      </w:r>
      <w:r w:rsidRPr="006C4490">
        <w:rPr>
          <w:lang w:val="en-US"/>
        </w:rPr>
        <w:t>ha</w:t>
      </w:r>
      <w:r w:rsidR="00823F92" w:rsidRPr="006C4490">
        <w:rPr>
          <w:lang w:val="en-US"/>
        </w:rPr>
        <w:t>s</w:t>
      </w:r>
      <w:r w:rsidR="00823F92">
        <w:rPr>
          <w:lang w:val="en-US"/>
        </w:rPr>
        <w:t xml:space="preserve"> </w:t>
      </w:r>
      <w:r w:rsidRPr="006C4490">
        <w:rPr>
          <w:lang w:val="en-US"/>
        </w:rPr>
        <w:t>bee</w:t>
      </w:r>
      <w:r w:rsidR="00823F92" w:rsidRPr="006C4490">
        <w:rPr>
          <w:lang w:val="en-US"/>
        </w:rPr>
        <w:t>n</w:t>
      </w:r>
      <w:r w:rsidR="00823F92">
        <w:rPr>
          <w:lang w:val="en-US"/>
        </w:rPr>
        <w:t xml:space="preserve"> </w:t>
      </w:r>
      <w:r w:rsidR="00823F92" w:rsidRPr="006C4490">
        <w:rPr>
          <w:lang w:val="en-US"/>
        </w:rPr>
        <w:t>a</w:t>
      </w:r>
      <w:r w:rsidR="00823F92">
        <w:rPr>
          <w:lang w:val="en-US"/>
        </w:rPr>
        <w:t xml:space="preserve"> </w:t>
      </w:r>
      <w:r w:rsidRPr="006C4490">
        <w:rPr>
          <w:lang w:val="en-US"/>
        </w:rPr>
        <w:t>priorit</w:t>
      </w:r>
      <w:r w:rsidR="00823F92" w:rsidRPr="006C4490">
        <w:rPr>
          <w:lang w:val="en-US"/>
        </w:rPr>
        <w:t>y</w:t>
      </w:r>
      <w:r w:rsidR="00823F92">
        <w:rPr>
          <w:lang w:val="en-US"/>
        </w:rPr>
        <w:t xml:space="preserve"> </w:t>
      </w:r>
      <w:r w:rsidRPr="006C4490">
        <w:rPr>
          <w:lang w:val="en-US"/>
        </w:rPr>
        <w:t>throughou</w:t>
      </w:r>
      <w:r w:rsidR="00823F92" w:rsidRPr="006C4490">
        <w:rPr>
          <w:lang w:val="en-US"/>
        </w:rPr>
        <w:t>t</w:t>
      </w:r>
      <w:r w:rsidR="00823F92">
        <w:rPr>
          <w:lang w:val="en-US"/>
        </w:rPr>
        <w:t xml:space="preserve"> </w:t>
      </w:r>
      <w:r w:rsidRPr="006C4490">
        <w:rPr>
          <w:lang w:val="en-US"/>
        </w:rPr>
        <w:t>th</w:t>
      </w:r>
      <w:r w:rsidR="00823F92" w:rsidRPr="006C4490">
        <w:rPr>
          <w:lang w:val="en-US"/>
        </w:rPr>
        <w:t>e</w:t>
      </w:r>
      <w:r w:rsidR="00823F92">
        <w:rPr>
          <w:lang w:val="en-US"/>
        </w:rPr>
        <w:t xml:space="preserve"> </w:t>
      </w:r>
      <w:r w:rsidRPr="006C4490">
        <w:rPr>
          <w:lang w:val="en-US"/>
        </w:rPr>
        <w:t>Strateg</w:t>
      </w:r>
      <w:r w:rsidR="00823F92" w:rsidRPr="006C4490">
        <w:rPr>
          <w:lang w:val="en-US"/>
        </w:rPr>
        <w:t>y</w:t>
      </w:r>
      <w:r w:rsidR="00823F92">
        <w:rPr>
          <w:lang w:val="en-US"/>
        </w:rPr>
        <w:t xml:space="preserve"> </w:t>
      </w:r>
      <w:r w:rsidRPr="006C4490">
        <w:rPr>
          <w:lang w:val="en-US"/>
        </w:rPr>
        <w:t>developmen</w:t>
      </w:r>
      <w:r w:rsidR="00823F92" w:rsidRPr="006C4490">
        <w:rPr>
          <w:lang w:val="en-US"/>
        </w:rPr>
        <w:t>t</w:t>
      </w:r>
      <w:r w:rsidR="00823F92">
        <w:rPr>
          <w:lang w:val="en-US"/>
        </w:rPr>
        <w:t xml:space="preserve"> </w:t>
      </w:r>
      <w:r w:rsidRPr="006C4490">
        <w:rPr>
          <w:lang w:val="en-US"/>
        </w:rPr>
        <w:t>process</w:t>
      </w:r>
      <w:r w:rsidR="00823F92" w:rsidRPr="006C4490">
        <w:rPr>
          <w:lang w:val="en-US"/>
        </w:rPr>
        <w:t>.</w:t>
      </w:r>
      <w:r w:rsidR="00823F92">
        <w:rPr>
          <w:lang w:val="en-US"/>
        </w:rPr>
        <w:t xml:space="preserve"> </w:t>
      </w:r>
    </w:p>
    <w:p w14:paraId="56C9542A" w14:textId="63158DC0" w:rsidR="00103373" w:rsidRPr="004F5465" w:rsidRDefault="00103373" w:rsidP="004F5465">
      <w:pPr>
        <w:pStyle w:val="BodyText"/>
      </w:pPr>
      <w:r>
        <w:t>T</w:t>
      </w:r>
      <w:r w:rsidRPr="003F7D71">
        <w:t>h</w:t>
      </w:r>
      <w:r w:rsidR="00823F92" w:rsidRPr="003F7D71">
        <w:t>e</w:t>
      </w:r>
      <w:r w:rsidR="00823F92">
        <w:t xml:space="preserve"> </w:t>
      </w:r>
      <w:r>
        <w:t>forthcomin</w:t>
      </w:r>
      <w:r w:rsidR="00823F92">
        <w:t xml:space="preserve">g </w:t>
      </w:r>
      <w:r w:rsidRPr="003F7D71">
        <w:t>Nationa</w:t>
      </w:r>
      <w:r w:rsidR="00823F92" w:rsidRPr="003F7D71">
        <w:t>l</w:t>
      </w:r>
      <w:r w:rsidR="00823F92">
        <w:t xml:space="preserve"> </w:t>
      </w:r>
      <w:r w:rsidRPr="003F7D71">
        <w:t>Menta</w:t>
      </w:r>
      <w:r w:rsidR="00823F92" w:rsidRPr="003F7D71">
        <w:t>l</w:t>
      </w:r>
      <w:r w:rsidR="00823F92">
        <w:t xml:space="preserve"> </w:t>
      </w:r>
      <w:r w:rsidRPr="003F7D71">
        <w:t>Healt</w:t>
      </w:r>
      <w:r w:rsidR="00823F92" w:rsidRPr="003F7D71">
        <w:t>h</w:t>
      </w:r>
      <w:r w:rsidR="00823F92">
        <w:t xml:space="preserve"> </w:t>
      </w:r>
      <w:r w:rsidRPr="003F7D71">
        <w:t>an</w:t>
      </w:r>
      <w:r w:rsidR="00823F92" w:rsidRPr="003F7D71">
        <w:t>d</w:t>
      </w:r>
      <w:r w:rsidR="00823F92">
        <w:t xml:space="preserve"> </w:t>
      </w:r>
      <w:r w:rsidRPr="003F7D71">
        <w:t>Suicid</w:t>
      </w:r>
      <w:r w:rsidR="00823F92" w:rsidRPr="003F7D71">
        <w:t>e</w:t>
      </w:r>
      <w:r w:rsidR="00823F92">
        <w:t xml:space="preserve"> </w:t>
      </w:r>
      <w:r w:rsidRPr="003F7D71">
        <w:t>Preventio</w:t>
      </w:r>
      <w:r w:rsidR="00823F92" w:rsidRPr="003F7D71">
        <w:t>n</w:t>
      </w:r>
      <w:r w:rsidR="00823F92">
        <w:t xml:space="preserve"> </w:t>
      </w:r>
      <w:r w:rsidRPr="003F7D71">
        <w:t>Agreemen</w:t>
      </w:r>
      <w:r w:rsidR="00823F92" w:rsidRPr="003F7D71">
        <w:t>t</w:t>
      </w:r>
      <w:r w:rsidR="00823F92">
        <w:t xml:space="preserve"> </w:t>
      </w:r>
      <w:r w:rsidRPr="003F7D71">
        <w:t>(</w:t>
      </w:r>
      <w:r>
        <w:t>th</w:t>
      </w:r>
      <w:r w:rsidR="00823F92">
        <w:t xml:space="preserve">e </w:t>
      </w:r>
      <w:r>
        <w:t>Nationa</w:t>
      </w:r>
      <w:r w:rsidR="00823F92">
        <w:t xml:space="preserve">l </w:t>
      </w:r>
      <w:r>
        <w:t>Agreement</w:t>
      </w:r>
      <w:r w:rsidRPr="003F7D71">
        <w:t xml:space="preserve">) </w:t>
      </w:r>
      <w:r>
        <w:t>wil</w:t>
      </w:r>
      <w:r w:rsidR="00823F92">
        <w:t xml:space="preserve">l </w:t>
      </w:r>
      <w:r>
        <w:t>provid</w:t>
      </w:r>
      <w:r w:rsidR="00823F92">
        <w:t xml:space="preserve">e </w:t>
      </w:r>
      <w:r>
        <w:t>th</w:t>
      </w:r>
      <w:r w:rsidR="00823F92">
        <w:t xml:space="preserve">e </w:t>
      </w:r>
      <w:r w:rsidR="004F5465">
        <w:t>platfor</w:t>
      </w:r>
      <w:r w:rsidR="00823F92">
        <w:t xml:space="preserve">m </w:t>
      </w:r>
      <w:r w:rsidR="004F5465">
        <w:t>fo</w:t>
      </w:r>
      <w:r w:rsidR="00823F92">
        <w:t xml:space="preserve">r </w:t>
      </w:r>
      <w:r w:rsidR="004F5465">
        <w:t>al</w:t>
      </w:r>
      <w:r w:rsidR="00823F92">
        <w:t xml:space="preserve">l </w:t>
      </w:r>
      <w:r w:rsidR="004F5465">
        <w:t>Government</w:t>
      </w:r>
      <w:r w:rsidR="00823F92">
        <w:t xml:space="preserve">s </w:t>
      </w:r>
      <w:r w:rsidR="004F5465">
        <w:t>wor</w:t>
      </w:r>
      <w:r w:rsidR="00823F92">
        <w:t xml:space="preserve">k </w:t>
      </w:r>
      <w:r w:rsidR="004F5465">
        <w:t>togethe</w:t>
      </w:r>
      <w:r w:rsidR="00823F92">
        <w:t xml:space="preserve">r </w:t>
      </w:r>
      <w:r w:rsidR="004F5465">
        <w:t>t</w:t>
      </w:r>
      <w:r w:rsidR="00823F92">
        <w:t xml:space="preserve">o </w:t>
      </w:r>
      <w:r w:rsidR="004F5465">
        <w:t>buil</w:t>
      </w:r>
      <w:r w:rsidR="00823F92">
        <w:t xml:space="preserve">d a </w:t>
      </w:r>
      <w:r w:rsidR="004F5465">
        <w:t>bette</w:t>
      </w:r>
      <w:r w:rsidR="00823F92">
        <w:t>r</w:t>
      </w:r>
      <w:r w:rsidR="00592388">
        <w:t>, more connected and accountable,</w:t>
      </w:r>
      <w:r w:rsidR="00823F92">
        <w:t xml:space="preserve"> </w:t>
      </w:r>
      <w:r w:rsidR="004F5465">
        <w:t>menta</w:t>
      </w:r>
      <w:r w:rsidR="00823F92">
        <w:t xml:space="preserve">l </w:t>
      </w:r>
      <w:r w:rsidR="004F5465">
        <w:t>healt</w:t>
      </w:r>
      <w:r w:rsidR="00823F92">
        <w:t xml:space="preserve">h </w:t>
      </w:r>
      <w:r w:rsidR="004F5465">
        <w:t>an</w:t>
      </w:r>
      <w:r w:rsidR="00823F92">
        <w:t xml:space="preserve">d </w:t>
      </w:r>
      <w:r w:rsidR="004F5465">
        <w:t>suicid</w:t>
      </w:r>
      <w:r w:rsidR="00823F92">
        <w:t xml:space="preserve">e </w:t>
      </w:r>
      <w:r w:rsidR="004F5465">
        <w:t>preventio</w:t>
      </w:r>
      <w:r w:rsidR="00823F92">
        <w:t xml:space="preserve">n </w:t>
      </w:r>
      <w:r w:rsidR="004F5465">
        <w:t>syste</w:t>
      </w:r>
      <w:r w:rsidR="00823F92">
        <w:t xml:space="preserve">m </w:t>
      </w:r>
      <w:r w:rsidR="004F5465">
        <w:t>fo</w:t>
      </w:r>
      <w:r w:rsidR="00823F92">
        <w:t xml:space="preserve">r </w:t>
      </w:r>
      <w:r w:rsidR="004F5465">
        <w:t>al</w:t>
      </w:r>
      <w:r w:rsidR="00823F92">
        <w:t xml:space="preserve">l </w:t>
      </w:r>
      <w:r w:rsidR="004F5465">
        <w:t>Australians</w:t>
      </w:r>
      <w:r w:rsidR="00823F92">
        <w:t>.</w:t>
      </w:r>
      <w:r w:rsidR="00823F92">
        <w:rPr>
          <w:lang w:val="en-US"/>
        </w:rPr>
        <w:t xml:space="preserve"> </w:t>
      </w:r>
    </w:p>
    <w:p w14:paraId="3AEDFB3F" w14:textId="558699E5" w:rsidR="00F84E06" w:rsidRDefault="00F84E06" w:rsidP="00F65ED0">
      <w:pPr>
        <w:pStyle w:val="BodyText"/>
        <w:rPr>
          <w:rFonts w:eastAsiaTheme="majorEastAsia"/>
          <w:b/>
          <w:color w:val="000100"/>
          <w:szCs w:val="24"/>
        </w:rPr>
      </w:pPr>
      <w:r>
        <w:rPr>
          <w:lang w:val="en-US"/>
        </w:rPr>
        <w:t>Thi</w:t>
      </w:r>
      <w:r w:rsidR="00823F92">
        <w:rPr>
          <w:lang w:val="en-US"/>
        </w:rPr>
        <w:t xml:space="preserve">s </w:t>
      </w:r>
      <w:r>
        <w:rPr>
          <w:lang w:val="en-US"/>
        </w:rPr>
        <w:t>Strateg</w:t>
      </w:r>
      <w:r w:rsidR="00823F92">
        <w:rPr>
          <w:lang w:val="en-US"/>
        </w:rPr>
        <w:t xml:space="preserve">y </w:t>
      </w:r>
      <w:r>
        <w:rPr>
          <w:lang w:val="en-US"/>
        </w:rPr>
        <w:t>aim</w:t>
      </w:r>
      <w:r w:rsidR="00823F92">
        <w:rPr>
          <w:lang w:val="en-US"/>
        </w:rPr>
        <w:t xml:space="preserve">s </w:t>
      </w:r>
      <w:r>
        <w:rPr>
          <w:lang w:val="en-US"/>
        </w:rPr>
        <w:t>t</w:t>
      </w:r>
      <w:r w:rsidR="00823F92">
        <w:rPr>
          <w:lang w:val="en-US"/>
        </w:rPr>
        <w:t xml:space="preserve">o </w:t>
      </w:r>
      <w:r>
        <w:rPr>
          <w:lang w:val="en-US"/>
        </w:rPr>
        <w:t>complemen</w:t>
      </w:r>
      <w:r w:rsidR="00823F92">
        <w:rPr>
          <w:lang w:val="en-US"/>
        </w:rPr>
        <w:t xml:space="preserve">t </w:t>
      </w:r>
      <w:r>
        <w:rPr>
          <w:lang w:val="en-US"/>
        </w:rPr>
        <w:t>an</w:t>
      </w:r>
      <w:r w:rsidR="00823F92">
        <w:rPr>
          <w:lang w:val="en-US"/>
        </w:rPr>
        <w:t xml:space="preserve">d </w:t>
      </w:r>
      <w:r>
        <w:rPr>
          <w:lang w:val="en-US"/>
        </w:rPr>
        <w:t>integrat</w:t>
      </w:r>
      <w:r w:rsidR="00823F92">
        <w:rPr>
          <w:lang w:val="en-US"/>
        </w:rPr>
        <w:t xml:space="preserve">e </w:t>
      </w:r>
      <w:r>
        <w:rPr>
          <w:lang w:val="en-US"/>
        </w:rPr>
        <w:t>wit</w:t>
      </w:r>
      <w:r w:rsidR="00823F92">
        <w:rPr>
          <w:lang w:val="en-US"/>
        </w:rPr>
        <w:t xml:space="preserve">h </w:t>
      </w:r>
      <w:r>
        <w:rPr>
          <w:lang w:val="en-US"/>
        </w:rPr>
        <w:t>thes</w:t>
      </w:r>
      <w:r w:rsidR="00823F92">
        <w:rPr>
          <w:lang w:val="en-US"/>
        </w:rPr>
        <w:t xml:space="preserve">e </w:t>
      </w:r>
      <w:r>
        <w:rPr>
          <w:lang w:val="en-US"/>
        </w:rPr>
        <w:t>report</w:t>
      </w:r>
      <w:r w:rsidR="00823F92">
        <w:rPr>
          <w:lang w:val="en-US"/>
        </w:rPr>
        <w:t xml:space="preserve">s </w:t>
      </w:r>
      <w:r>
        <w:rPr>
          <w:lang w:val="en-US"/>
        </w:rPr>
        <w:t>an</w:t>
      </w:r>
      <w:r w:rsidR="00823F92">
        <w:rPr>
          <w:lang w:val="en-US"/>
        </w:rPr>
        <w:t xml:space="preserve">d </w:t>
      </w:r>
      <w:r>
        <w:rPr>
          <w:lang w:val="en-US"/>
        </w:rPr>
        <w:t>inquiries</w:t>
      </w:r>
      <w:r w:rsidR="00823F92">
        <w:rPr>
          <w:lang w:val="en-US"/>
        </w:rPr>
        <w:t xml:space="preserve">, </w:t>
      </w:r>
      <w:r>
        <w:rPr>
          <w:lang w:val="en-US"/>
        </w:rPr>
        <w:t>rathe</w:t>
      </w:r>
      <w:r w:rsidR="00823F92">
        <w:rPr>
          <w:lang w:val="en-US"/>
        </w:rPr>
        <w:t xml:space="preserve">r </w:t>
      </w:r>
      <w:r>
        <w:rPr>
          <w:lang w:val="en-US"/>
        </w:rPr>
        <w:t>tha</w:t>
      </w:r>
      <w:r w:rsidR="00823F92">
        <w:rPr>
          <w:lang w:val="en-US"/>
        </w:rPr>
        <w:t xml:space="preserve">n </w:t>
      </w:r>
      <w:r>
        <w:rPr>
          <w:lang w:val="en-US"/>
        </w:rPr>
        <w:t>duplicatin</w:t>
      </w:r>
      <w:r w:rsidR="00823F92">
        <w:rPr>
          <w:lang w:val="en-US"/>
        </w:rPr>
        <w:t xml:space="preserve">g </w:t>
      </w:r>
      <w:r>
        <w:rPr>
          <w:lang w:val="en-US"/>
        </w:rPr>
        <w:t>thei</w:t>
      </w:r>
      <w:r w:rsidR="00823F92">
        <w:rPr>
          <w:lang w:val="en-US"/>
        </w:rPr>
        <w:t xml:space="preserve">r </w:t>
      </w:r>
      <w:r>
        <w:rPr>
          <w:lang w:val="en-US"/>
        </w:rPr>
        <w:t>content</w:t>
      </w:r>
      <w:r w:rsidR="00823F92">
        <w:rPr>
          <w:lang w:val="en-US"/>
        </w:rPr>
        <w:t xml:space="preserve">. </w:t>
      </w:r>
      <w:r w:rsidR="0070397F">
        <w:rPr>
          <w:lang w:val="en-US"/>
        </w:rPr>
        <w:t>Ther</w:t>
      </w:r>
      <w:r w:rsidR="00823F92">
        <w:rPr>
          <w:lang w:val="en-US"/>
        </w:rPr>
        <w:t xml:space="preserve">e </w:t>
      </w:r>
      <w:r w:rsidR="0070397F">
        <w:rPr>
          <w:lang w:val="en-US"/>
        </w:rPr>
        <w:t>ar</w:t>
      </w:r>
      <w:r w:rsidR="00823F92">
        <w:rPr>
          <w:lang w:val="en-US"/>
        </w:rPr>
        <w:t xml:space="preserve">e </w:t>
      </w:r>
      <w:r w:rsidR="0070397F">
        <w:rPr>
          <w:lang w:val="en-US"/>
        </w:rPr>
        <w:t>othe</w:t>
      </w:r>
      <w:r w:rsidR="00823F92">
        <w:rPr>
          <w:lang w:val="en-US"/>
        </w:rPr>
        <w:t xml:space="preserve">r </w:t>
      </w:r>
      <w:r w:rsidR="0070397F">
        <w:rPr>
          <w:lang w:val="en-US"/>
        </w:rPr>
        <w:t>element</w:t>
      </w:r>
      <w:r w:rsidR="00823F92">
        <w:rPr>
          <w:lang w:val="en-US"/>
        </w:rPr>
        <w:t xml:space="preserve">s </w:t>
      </w:r>
      <w:r w:rsidR="0070397F">
        <w:rPr>
          <w:lang w:val="en-US"/>
        </w:rPr>
        <w:t>o</w:t>
      </w:r>
      <w:r w:rsidR="00823F92">
        <w:rPr>
          <w:lang w:val="en-US"/>
        </w:rPr>
        <w:t xml:space="preserve">f </w:t>
      </w:r>
      <w:r w:rsidR="0070397F">
        <w:rPr>
          <w:lang w:val="en-US"/>
        </w:rPr>
        <w:t>th</w:t>
      </w:r>
      <w:r w:rsidR="00823F92">
        <w:rPr>
          <w:lang w:val="en-US"/>
        </w:rPr>
        <w:t xml:space="preserve">e </w:t>
      </w:r>
      <w:r w:rsidR="0070397F">
        <w:rPr>
          <w:lang w:val="en-US"/>
        </w:rPr>
        <w:t>polic</w:t>
      </w:r>
      <w:r w:rsidR="00823F92">
        <w:rPr>
          <w:lang w:val="en-US"/>
        </w:rPr>
        <w:t xml:space="preserve">y </w:t>
      </w:r>
      <w:r w:rsidR="0070397F">
        <w:rPr>
          <w:lang w:val="en-US"/>
        </w:rPr>
        <w:t>contex</w:t>
      </w:r>
      <w:r w:rsidR="00823F92">
        <w:rPr>
          <w:lang w:val="en-US"/>
        </w:rPr>
        <w:t xml:space="preserve">t </w:t>
      </w:r>
      <w:r w:rsidR="0070397F">
        <w:rPr>
          <w:lang w:val="en-US"/>
        </w:rPr>
        <w:t>– suc</w:t>
      </w:r>
      <w:r w:rsidR="00823F92">
        <w:rPr>
          <w:lang w:val="en-US"/>
        </w:rPr>
        <w:t xml:space="preserve">h </w:t>
      </w:r>
      <w:r w:rsidR="0070397F">
        <w:rPr>
          <w:lang w:val="en-US"/>
        </w:rPr>
        <w:t>a</w:t>
      </w:r>
      <w:r w:rsidR="00823F92">
        <w:rPr>
          <w:lang w:val="en-US"/>
        </w:rPr>
        <w:t xml:space="preserve">s </w:t>
      </w:r>
      <w:r w:rsidR="0070397F">
        <w:rPr>
          <w:lang w:val="en-US"/>
        </w:rPr>
        <w:t>syste</w:t>
      </w:r>
      <w:r w:rsidR="00823F92">
        <w:rPr>
          <w:lang w:val="en-US"/>
        </w:rPr>
        <w:t xml:space="preserve">m </w:t>
      </w:r>
      <w:r w:rsidR="0070397F">
        <w:rPr>
          <w:lang w:val="en-US"/>
        </w:rPr>
        <w:t>refor</w:t>
      </w:r>
      <w:r w:rsidR="00823F92">
        <w:rPr>
          <w:lang w:val="en-US"/>
        </w:rPr>
        <w:t xml:space="preserve">m </w:t>
      </w:r>
      <w:r w:rsidR="0070397F">
        <w:rPr>
          <w:lang w:val="en-US"/>
        </w:rPr>
        <w:t>an</w:t>
      </w:r>
      <w:r w:rsidR="00823F92">
        <w:rPr>
          <w:lang w:val="en-US"/>
        </w:rPr>
        <w:t xml:space="preserve">d </w:t>
      </w:r>
      <w:r w:rsidR="0070397F">
        <w:rPr>
          <w:lang w:val="en-US"/>
        </w:rPr>
        <w:t>fundin</w:t>
      </w:r>
      <w:r w:rsidR="00823F92">
        <w:rPr>
          <w:lang w:val="en-US"/>
        </w:rPr>
        <w:t xml:space="preserve">g </w:t>
      </w:r>
      <w:r w:rsidR="0070397F">
        <w:rPr>
          <w:lang w:val="en-US"/>
        </w:rPr>
        <w:t>arrangement</w:t>
      </w:r>
      <w:r w:rsidR="00823F92">
        <w:rPr>
          <w:lang w:val="en-US"/>
        </w:rPr>
        <w:t xml:space="preserve">s </w:t>
      </w:r>
      <w:r w:rsidR="0070397F">
        <w:rPr>
          <w:lang w:val="en-US"/>
        </w:rPr>
        <w:t>– tha</w:t>
      </w:r>
      <w:r w:rsidR="00823F92">
        <w:rPr>
          <w:lang w:val="en-US"/>
        </w:rPr>
        <w:t xml:space="preserve">t </w:t>
      </w:r>
      <w:r w:rsidR="0070397F">
        <w:rPr>
          <w:lang w:val="en-US"/>
        </w:rPr>
        <w:t>impac</w:t>
      </w:r>
      <w:r w:rsidR="00823F92">
        <w:rPr>
          <w:lang w:val="en-US"/>
        </w:rPr>
        <w:t xml:space="preserve">t </w:t>
      </w:r>
      <w:r w:rsidR="0070397F">
        <w:rPr>
          <w:lang w:val="en-US"/>
        </w:rPr>
        <w:t>o</w:t>
      </w:r>
      <w:r w:rsidR="00823F92">
        <w:rPr>
          <w:lang w:val="en-US"/>
        </w:rPr>
        <w:t xml:space="preserve">n </w:t>
      </w:r>
      <w:r w:rsidR="0070397F">
        <w:rPr>
          <w:lang w:val="en-US"/>
        </w:rPr>
        <w:t>th</w:t>
      </w:r>
      <w:r w:rsidR="00823F92">
        <w:rPr>
          <w:lang w:val="en-US"/>
        </w:rPr>
        <w:t xml:space="preserve">e </w:t>
      </w:r>
      <w:r w:rsidR="0070397F">
        <w:rPr>
          <w:lang w:val="en-US"/>
        </w:rPr>
        <w:t>abilit</w:t>
      </w:r>
      <w:r w:rsidR="00823F92">
        <w:rPr>
          <w:lang w:val="en-US"/>
        </w:rPr>
        <w:t xml:space="preserve">y </w:t>
      </w:r>
      <w:r w:rsidR="0070397F">
        <w:rPr>
          <w:lang w:val="en-US"/>
        </w:rPr>
        <w:t>t</w:t>
      </w:r>
      <w:r w:rsidR="00823F92">
        <w:rPr>
          <w:lang w:val="en-US"/>
        </w:rPr>
        <w:t xml:space="preserve">o </w:t>
      </w:r>
      <w:r w:rsidR="0070397F">
        <w:rPr>
          <w:lang w:val="en-US"/>
        </w:rPr>
        <w:t>attrac</w:t>
      </w:r>
      <w:r w:rsidR="00823F92">
        <w:rPr>
          <w:lang w:val="en-US"/>
        </w:rPr>
        <w:t xml:space="preserve">t </w:t>
      </w:r>
      <w:r w:rsidR="0070397F">
        <w:rPr>
          <w:lang w:val="en-US"/>
        </w:rPr>
        <w:t>an</w:t>
      </w:r>
      <w:r w:rsidR="00823F92">
        <w:rPr>
          <w:lang w:val="en-US"/>
        </w:rPr>
        <w:t xml:space="preserve">d </w:t>
      </w:r>
      <w:r w:rsidR="0070397F">
        <w:rPr>
          <w:lang w:val="en-US"/>
        </w:rPr>
        <w:t>retai</w:t>
      </w:r>
      <w:r w:rsidR="00823F92">
        <w:rPr>
          <w:lang w:val="en-US"/>
        </w:rPr>
        <w:t xml:space="preserve">n </w:t>
      </w:r>
      <w:r w:rsidR="0070397F">
        <w:rPr>
          <w:lang w:val="en-US"/>
        </w:rPr>
        <w:t>th</w:t>
      </w:r>
      <w:r w:rsidR="00823F92">
        <w:rPr>
          <w:lang w:val="en-US"/>
        </w:rPr>
        <w:t xml:space="preserve">e </w:t>
      </w:r>
      <w:r w:rsidR="0070397F">
        <w:rPr>
          <w:lang w:val="en-US"/>
        </w:rPr>
        <w:t>menta</w:t>
      </w:r>
      <w:r w:rsidR="00823F92">
        <w:rPr>
          <w:lang w:val="en-US"/>
        </w:rPr>
        <w:t xml:space="preserve">l </w:t>
      </w:r>
      <w:r w:rsidR="0070397F">
        <w:rPr>
          <w:lang w:val="en-US"/>
        </w:rPr>
        <w:t>healt</w:t>
      </w:r>
      <w:r w:rsidR="00823F92">
        <w:rPr>
          <w:lang w:val="en-US"/>
        </w:rPr>
        <w:t xml:space="preserve">h </w:t>
      </w:r>
      <w:r w:rsidR="0070397F">
        <w:rPr>
          <w:lang w:val="en-US"/>
        </w:rPr>
        <w:t>workforce</w:t>
      </w:r>
      <w:r w:rsidR="00823F92">
        <w:rPr>
          <w:lang w:val="en-US"/>
        </w:rPr>
        <w:t xml:space="preserve">. </w:t>
      </w:r>
      <w:r w:rsidR="00CC335E">
        <w:rPr>
          <w:lang w:val="en-US"/>
        </w:rPr>
        <w:t>Relate</w:t>
      </w:r>
      <w:r w:rsidR="00823F92">
        <w:rPr>
          <w:lang w:val="en-US"/>
        </w:rPr>
        <w:t xml:space="preserve">d </w:t>
      </w:r>
      <w:r w:rsidR="00CC335E">
        <w:rPr>
          <w:lang w:val="en-US"/>
        </w:rPr>
        <w:t>activit</w:t>
      </w:r>
      <w:r w:rsidR="00823F92">
        <w:rPr>
          <w:lang w:val="en-US"/>
        </w:rPr>
        <w:t xml:space="preserve">y </w:t>
      </w:r>
      <w:r w:rsidR="00CC335E">
        <w:rPr>
          <w:lang w:val="en-US"/>
        </w:rPr>
        <w:t>i</w:t>
      </w:r>
      <w:r w:rsidR="00823F92">
        <w:rPr>
          <w:lang w:val="en-US"/>
        </w:rPr>
        <w:t xml:space="preserve">n </w:t>
      </w:r>
      <w:r w:rsidR="00CC335E">
        <w:rPr>
          <w:lang w:val="en-US"/>
        </w:rPr>
        <w:t>thos</w:t>
      </w:r>
      <w:r w:rsidR="00823F92">
        <w:rPr>
          <w:lang w:val="en-US"/>
        </w:rPr>
        <w:t xml:space="preserve">e </w:t>
      </w:r>
      <w:r w:rsidR="00CC335E">
        <w:rPr>
          <w:lang w:val="en-US"/>
        </w:rPr>
        <w:t>space</w:t>
      </w:r>
      <w:r w:rsidR="00823F92">
        <w:rPr>
          <w:lang w:val="en-US"/>
        </w:rPr>
        <w:t xml:space="preserve">s </w:t>
      </w:r>
      <w:r w:rsidR="00CC335E">
        <w:rPr>
          <w:lang w:val="en-US"/>
        </w:rPr>
        <w:t>wil</w:t>
      </w:r>
      <w:r w:rsidR="00823F92">
        <w:rPr>
          <w:lang w:val="en-US"/>
        </w:rPr>
        <w:t xml:space="preserve">l </w:t>
      </w:r>
      <w:r w:rsidR="00CC335E">
        <w:rPr>
          <w:lang w:val="en-US"/>
        </w:rPr>
        <w:t>als</w:t>
      </w:r>
      <w:r w:rsidR="00823F92">
        <w:rPr>
          <w:lang w:val="en-US"/>
        </w:rPr>
        <w:t xml:space="preserve">o </w:t>
      </w:r>
      <w:r w:rsidR="00CC335E">
        <w:rPr>
          <w:lang w:val="en-US"/>
        </w:rPr>
        <w:t>contribut</w:t>
      </w:r>
      <w:r w:rsidR="00823F92">
        <w:rPr>
          <w:lang w:val="en-US"/>
        </w:rPr>
        <w:t xml:space="preserve">e </w:t>
      </w:r>
      <w:r w:rsidR="00CC335E">
        <w:rPr>
          <w:lang w:val="en-US"/>
        </w:rPr>
        <w:t>t</w:t>
      </w:r>
      <w:r w:rsidR="00823F92">
        <w:rPr>
          <w:lang w:val="en-US"/>
        </w:rPr>
        <w:t xml:space="preserve">o </w:t>
      </w:r>
      <w:r w:rsidR="00CC335E">
        <w:rPr>
          <w:lang w:val="en-US"/>
        </w:rPr>
        <w:t>th</w:t>
      </w:r>
      <w:r w:rsidR="00823F92">
        <w:rPr>
          <w:lang w:val="en-US"/>
        </w:rPr>
        <w:t xml:space="preserve">e </w:t>
      </w:r>
      <w:r w:rsidR="00CC335E">
        <w:rPr>
          <w:lang w:val="en-US"/>
        </w:rPr>
        <w:t>effectivenes</w:t>
      </w:r>
      <w:r w:rsidR="00823F92">
        <w:rPr>
          <w:lang w:val="en-US"/>
        </w:rPr>
        <w:t xml:space="preserve">s </w:t>
      </w:r>
      <w:r w:rsidR="00CC335E">
        <w:rPr>
          <w:lang w:val="en-US"/>
        </w:rPr>
        <w:t>o</w:t>
      </w:r>
      <w:r w:rsidR="00823F92">
        <w:rPr>
          <w:lang w:val="en-US"/>
        </w:rPr>
        <w:t xml:space="preserve">f </w:t>
      </w:r>
      <w:r w:rsidR="00CC335E">
        <w:rPr>
          <w:lang w:val="en-US"/>
        </w:rPr>
        <w:t>th</w:t>
      </w:r>
      <w:r w:rsidR="00823F92">
        <w:rPr>
          <w:lang w:val="en-US"/>
        </w:rPr>
        <w:t xml:space="preserve">e </w:t>
      </w:r>
      <w:r w:rsidR="002378A4">
        <w:rPr>
          <w:lang w:val="en-US"/>
        </w:rPr>
        <w:t>S</w:t>
      </w:r>
      <w:r w:rsidR="00CC335E">
        <w:rPr>
          <w:lang w:val="en-US"/>
        </w:rPr>
        <w:t>trategy</w:t>
      </w:r>
      <w:r w:rsidR="00823F92">
        <w:rPr>
          <w:lang w:val="en-US"/>
        </w:rPr>
        <w:t xml:space="preserve">. </w:t>
      </w:r>
    </w:p>
    <w:p w14:paraId="04AEA56E" w14:textId="50372941" w:rsidR="00103373" w:rsidRPr="000E25B1" w:rsidRDefault="00103373" w:rsidP="00C50823">
      <w:pPr>
        <w:pStyle w:val="Heading3"/>
      </w:pPr>
      <w:r w:rsidRPr="000E25B1">
        <w:t>Productivit</w:t>
      </w:r>
      <w:r w:rsidR="00823F92" w:rsidRPr="000E25B1">
        <w:t>y</w:t>
      </w:r>
      <w:r w:rsidR="00823F92">
        <w:t xml:space="preserve"> </w:t>
      </w:r>
      <w:r w:rsidRPr="000E25B1">
        <w:t>Commissio</w:t>
      </w:r>
      <w:r w:rsidR="00823F92" w:rsidRPr="000E25B1">
        <w:t>n</w:t>
      </w:r>
      <w:r w:rsidR="00823F92">
        <w:t xml:space="preserve"> </w:t>
      </w:r>
      <w:r w:rsidRPr="000E25B1">
        <w:t>Inquir</w:t>
      </w:r>
      <w:r w:rsidR="00823F92" w:rsidRPr="000E25B1">
        <w:t>y</w:t>
      </w:r>
      <w:r w:rsidR="00823F92">
        <w:t xml:space="preserve"> </w:t>
      </w:r>
      <w:r w:rsidRPr="000E25B1">
        <w:t>int</w:t>
      </w:r>
      <w:r w:rsidR="00823F92" w:rsidRPr="000E25B1">
        <w:t>o</w:t>
      </w:r>
      <w:r w:rsidR="00823F92">
        <w:t xml:space="preserve"> </w:t>
      </w:r>
      <w:r w:rsidRPr="000E25B1">
        <w:t>Menta</w:t>
      </w:r>
      <w:r w:rsidR="00823F92" w:rsidRPr="000E25B1">
        <w:t>l</w:t>
      </w:r>
      <w:r w:rsidR="00823F92">
        <w:t xml:space="preserve"> </w:t>
      </w:r>
      <w:r w:rsidRPr="000E25B1">
        <w:t>Health</w:t>
      </w:r>
    </w:p>
    <w:p w14:paraId="3B0D1C17" w14:textId="3A1808B9" w:rsidR="00103373" w:rsidRPr="006C4490" w:rsidRDefault="00103373" w:rsidP="002E1777">
      <w:pPr>
        <w:pStyle w:val="BodyText"/>
        <w:rPr>
          <w:lang w:val="en-US"/>
        </w:rPr>
      </w:pPr>
      <w:r w:rsidRPr="006C4490">
        <w:rPr>
          <w:lang w:val="en-US"/>
        </w:rPr>
        <w:t>Th</w:t>
      </w:r>
      <w:r w:rsidR="00823F92" w:rsidRPr="006C4490">
        <w:rPr>
          <w:lang w:val="en-US"/>
        </w:rPr>
        <w:t>e</w:t>
      </w:r>
      <w:r w:rsidR="00823F92">
        <w:rPr>
          <w:lang w:val="en-US"/>
        </w:rPr>
        <w:t xml:space="preserve"> </w:t>
      </w:r>
      <w:r w:rsidRPr="00FE4F8A">
        <w:rPr>
          <w:lang w:val="en-US"/>
        </w:rPr>
        <w:t>Productivit</w:t>
      </w:r>
      <w:r w:rsidR="00823F92" w:rsidRPr="00FE4F8A">
        <w:rPr>
          <w:lang w:val="en-US"/>
        </w:rPr>
        <w:t xml:space="preserve">y </w:t>
      </w:r>
      <w:r w:rsidRPr="00FE4F8A">
        <w:rPr>
          <w:lang w:val="en-US"/>
        </w:rPr>
        <w:t>Commissio</w:t>
      </w:r>
      <w:r w:rsidR="00823F92" w:rsidRPr="00FE4F8A">
        <w:rPr>
          <w:lang w:val="en-US"/>
        </w:rPr>
        <w:t xml:space="preserve">n </w:t>
      </w:r>
      <w:r w:rsidRPr="00FE4F8A">
        <w:rPr>
          <w:lang w:val="en-US"/>
        </w:rPr>
        <w:t>Inquir</w:t>
      </w:r>
      <w:r w:rsidR="00823F92" w:rsidRPr="00FE4F8A">
        <w:rPr>
          <w:lang w:val="en-US"/>
        </w:rPr>
        <w:t xml:space="preserve">y </w:t>
      </w:r>
      <w:r w:rsidRPr="00FE4F8A">
        <w:rPr>
          <w:lang w:val="en-US"/>
        </w:rPr>
        <w:t>int</w:t>
      </w:r>
      <w:r w:rsidR="00823F92" w:rsidRPr="00FE4F8A">
        <w:rPr>
          <w:lang w:val="en-US"/>
        </w:rPr>
        <w:t xml:space="preserve">o </w:t>
      </w:r>
      <w:r w:rsidRPr="00FE4F8A">
        <w:rPr>
          <w:lang w:val="en-US"/>
        </w:rPr>
        <w:t>Menta</w:t>
      </w:r>
      <w:r w:rsidR="00823F92" w:rsidRPr="00FE4F8A">
        <w:rPr>
          <w:lang w:val="en-US"/>
        </w:rPr>
        <w:t xml:space="preserve">l </w:t>
      </w:r>
      <w:r w:rsidRPr="00FE4F8A">
        <w:rPr>
          <w:lang w:val="en-US"/>
        </w:rPr>
        <w:t>Healt</w:t>
      </w:r>
      <w:r w:rsidR="00823F92" w:rsidRPr="00FE4F8A">
        <w:rPr>
          <w:lang w:val="en-US"/>
        </w:rPr>
        <w:t>h</w:t>
      </w:r>
      <w:r w:rsidR="00823F92">
        <w:rPr>
          <w:i/>
          <w:iCs/>
          <w:lang w:val="en-US"/>
        </w:rPr>
        <w:t xml:space="preserve"> </w:t>
      </w:r>
      <w:r w:rsidRPr="006C4490">
        <w:rPr>
          <w:lang w:val="en-US"/>
        </w:rPr>
        <w:t>wa</w:t>
      </w:r>
      <w:r w:rsidR="00823F92" w:rsidRPr="006C4490">
        <w:rPr>
          <w:lang w:val="en-US"/>
        </w:rPr>
        <w:t>s</w:t>
      </w:r>
      <w:r w:rsidR="00823F92">
        <w:rPr>
          <w:lang w:val="en-US"/>
        </w:rPr>
        <w:t xml:space="preserve"> </w:t>
      </w:r>
      <w:r w:rsidRPr="006C4490">
        <w:rPr>
          <w:lang w:val="en-US"/>
        </w:rPr>
        <w:t>establishe</w:t>
      </w:r>
      <w:r w:rsidR="00823F92" w:rsidRPr="006C4490">
        <w:rPr>
          <w:lang w:val="en-US"/>
        </w:rPr>
        <w:t>d</w:t>
      </w:r>
      <w:r w:rsidR="00823F92">
        <w:rPr>
          <w:lang w:val="en-US"/>
        </w:rPr>
        <w:t xml:space="preserve"> </w:t>
      </w:r>
      <w:r w:rsidRPr="006C4490">
        <w:rPr>
          <w:lang w:val="en-US"/>
        </w:rPr>
        <w:t>i</w:t>
      </w:r>
      <w:r w:rsidR="00823F92" w:rsidRPr="006C4490">
        <w:rPr>
          <w:lang w:val="en-US"/>
        </w:rPr>
        <w:t>n</w:t>
      </w:r>
      <w:r w:rsidR="00823F92">
        <w:rPr>
          <w:lang w:val="en-US"/>
        </w:rPr>
        <w:t xml:space="preserve"> </w:t>
      </w:r>
      <w:r w:rsidRPr="006C4490">
        <w:rPr>
          <w:lang w:val="en-US"/>
        </w:rPr>
        <w:t>201</w:t>
      </w:r>
      <w:r w:rsidR="00823F92" w:rsidRPr="006C4490">
        <w:rPr>
          <w:lang w:val="en-US"/>
        </w:rPr>
        <w:t>8</w:t>
      </w:r>
      <w:r w:rsidR="00823F92">
        <w:rPr>
          <w:lang w:val="en-US"/>
        </w:rPr>
        <w:t xml:space="preserve"> </w:t>
      </w:r>
      <w:r w:rsidRPr="006C4490">
        <w:rPr>
          <w:lang w:val="en-US"/>
        </w:rPr>
        <w:t>t</w:t>
      </w:r>
      <w:r w:rsidR="00823F92" w:rsidRPr="006C4490">
        <w:rPr>
          <w:lang w:val="en-US"/>
        </w:rPr>
        <w:t>o</w:t>
      </w:r>
      <w:r w:rsidR="00823F92">
        <w:rPr>
          <w:lang w:val="en-US"/>
        </w:rPr>
        <w:t xml:space="preserve"> </w:t>
      </w:r>
      <w:r w:rsidRPr="006C4490">
        <w:rPr>
          <w:lang w:val="en-US"/>
        </w:rPr>
        <w:t>conside</w:t>
      </w:r>
      <w:r w:rsidR="00823F92" w:rsidRPr="006C4490">
        <w:rPr>
          <w:lang w:val="en-US"/>
        </w:rPr>
        <w:t>r</w:t>
      </w:r>
      <w:r w:rsidR="00823F92">
        <w:rPr>
          <w:lang w:val="en-US"/>
        </w:rPr>
        <w:t xml:space="preserve"> </w:t>
      </w:r>
      <w:r w:rsidRPr="006C4490">
        <w:rPr>
          <w:lang w:val="en-US"/>
        </w:rPr>
        <w:t>ho</w:t>
      </w:r>
      <w:r w:rsidR="00823F92" w:rsidRPr="006C4490">
        <w:rPr>
          <w:lang w:val="en-US"/>
        </w:rPr>
        <w:t>w</w:t>
      </w:r>
      <w:r w:rsidR="00823F92">
        <w:rPr>
          <w:lang w:val="en-US"/>
        </w:rPr>
        <w:t xml:space="preserve"> </w:t>
      </w:r>
      <w:r w:rsidRPr="006C4490">
        <w:rPr>
          <w:lang w:val="en-US"/>
        </w:rPr>
        <w:t>menta</w:t>
      </w:r>
      <w:r w:rsidR="00823F92" w:rsidRPr="006C4490">
        <w:rPr>
          <w:lang w:val="en-US"/>
        </w:rPr>
        <w:t>l</w:t>
      </w:r>
      <w:r w:rsidR="00823F92">
        <w:rPr>
          <w:lang w:val="en-US"/>
        </w:rPr>
        <w:t xml:space="preserve"> </w:t>
      </w:r>
      <w:r w:rsidRPr="006C4490">
        <w:rPr>
          <w:lang w:val="en-US"/>
        </w:rPr>
        <w:t>ill</w:t>
      </w:r>
      <w:r>
        <w:rPr>
          <w:lang w:val="en-US"/>
        </w:rPr>
        <w:t>-healt</w:t>
      </w:r>
      <w:r w:rsidR="00823F92">
        <w:rPr>
          <w:lang w:val="en-US"/>
        </w:rPr>
        <w:t xml:space="preserve">h </w:t>
      </w:r>
      <w:r w:rsidRPr="006C4490">
        <w:rPr>
          <w:lang w:val="en-US"/>
        </w:rPr>
        <w:t>ca</w:t>
      </w:r>
      <w:r w:rsidR="00823F92" w:rsidRPr="006C4490">
        <w:rPr>
          <w:lang w:val="en-US"/>
        </w:rPr>
        <w:t>n</w:t>
      </w:r>
      <w:r w:rsidR="00823F92">
        <w:rPr>
          <w:lang w:val="en-US"/>
        </w:rPr>
        <w:t xml:space="preserve"> </w:t>
      </w:r>
      <w:r w:rsidRPr="006C4490">
        <w:rPr>
          <w:lang w:val="en-US"/>
        </w:rPr>
        <w:t>affec</w:t>
      </w:r>
      <w:r w:rsidR="00823F92" w:rsidRPr="006C4490">
        <w:rPr>
          <w:lang w:val="en-US"/>
        </w:rPr>
        <w:t>t</w:t>
      </w:r>
      <w:r w:rsidR="00823F92">
        <w:rPr>
          <w:lang w:val="en-US"/>
        </w:rPr>
        <w:t xml:space="preserve"> </w:t>
      </w:r>
      <w:r w:rsidRPr="006C4490">
        <w:rPr>
          <w:lang w:val="en-US"/>
        </w:rPr>
        <w:t>al</w:t>
      </w:r>
      <w:r w:rsidR="00823F92" w:rsidRPr="006C4490">
        <w:rPr>
          <w:lang w:val="en-US"/>
        </w:rPr>
        <w:t>l</w:t>
      </w:r>
      <w:r w:rsidR="00823F92">
        <w:rPr>
          <w:lang w:val="en-US"/>
        </w:rPr>
        <w:t xml:space="preserve"> </w:t>
      </w:r>
      <w:r w:rsidRPr="006C4490">
        <w:rPr>
          <w:lang w:val="en-US"/>
        </w:rPr>
        <w:t>aspect</w:t>
      </w:r>
      <w:r w:rsidR="00823F92" w:rsidRPr="006C4490">
        <w:rPr>
          <w:lang w:val="en-US"/>
        </w:rPr>
        <w:t>s</w:t>
      </w:r>
      <w:r w:rsidR="00823F92">
        <w:rPr>
          <w:lang w:val="en-US"/>
        </w:rPr>
        <w:t xml:space="preserve"> </w:t>
      </w:r>
      <w:r w:rsidRPr="006C4490">
        <w:rPr>
          <w:lang w:val="en-US"/>
        </w:rPr>
        <w:t>o</w:t>
      </w:r>
      <w:r w:rsidR="00823F92" w:rsidRPr="006C4490">
        <w:rPr>
          <w:lang w:val="en-US"/>
        </w:rPr>
        <w:t>f</w:t>
      </w:r>
      <w:r w:rsidR="00823F92">
        <w:rPr>
          <w:lang w:val="en-US"/>
        </w:rPr>
        <w:t xml:space="preserve"> </w:t>
      </w:r>
      <w:r w:rsidR="00823F92" w:rsidRPr="006C4490">
        <w:rPr>
          <w:lang w:val="en-US"/>
        </w:rPr>
        <w:t>a</w:t>
      </w:r>
      <w:r w:rsidR="00823F92">
        <w:rPr>
          <w:lang w:val="en-US"/>
        </w:rPr>
        <w:t xml:space="preserve"> </w:t>
      </w:r>
      <w:r w:rsidRPr="006C4490">
        <w:rPr>
          <w:lang w:val="en-US"/>
        </w:rPr>
        <w:t>person’</w:t>
      </w:r>
      <w:r w:rsidR="00823F92" w:rsidRPr="006C4490">
        <w:rPr>
          <w:lang w:val="en-US"/>
        </w:rPr>
        <w:t>s</w:t>
      </w:r>
      <w:r w:rsidR="00823F92">
        <w:rPr>
          <w:lang w:val="en-US"/>
        </w:rPr>
        <w:t xml:space="preserve"> </w:t>
      </w:r>
      <w:r w:rsidRPr="006C4490">
        <w:rPr>
          <w:lang w:val="en-US"/>
        </w:rPr>
        <w:t>qualit</w:t>
      </w:r>
      <w:r w:rsidR="00823F92" w:rsidRPr="006C4490">
        <w:rPr>
          <w:lang w:val="en-US"/>
        </w:rPr>
        <w:t>y</w:t>
      </w:r>
      <w:r w:rsidR="00823F92">
        <w:rPr>
          <w:lang w:val="en-US"/>
        </w:rPr>
        <w:t xml:space="preserve"> </w:t>
      </w:r>
      <w:r w:rsidRPr="006C4490">
        <w:rPr>
          <w:lang w:val="en-US"/>
        </w:rPr>
        <w:t>o</w:t>
      </w:r>
      <w:r w:rsidR="00823F92" w:rsidRPr="006C4490">
        <w:rPr>
          <w:lang w:val="en-US"/>
        </w:rPr>
        <w:t>f</w:t>
      </w:r>
      <w:r w:rsidR="00823F92">
        <w:rPr>
          <w:lang w:val="en-US"/>
        </w:rPr>
        <w:t xml:space="preserve"> </w:t>
      </w:r>
      <w:r w:rsidRPr="006C4490">
        <w:rPr>
          <w:lang w:val="en-US"/>
        </w:rPr>
        <w:t>lif</w:t>
      </w:r>
      <w:r w:rsidR="00823F92" w:rsidRPr="006C4490">
        <w:rPr>
          <w:lang w:val="en-US"/>
        </w:rPr>
        <w:t>e</w:t>
      </w:r>
      <w:r w:rsidR="00823F92">
        <w:rPr>
          <w:lang w:val="en-US"/>
        </w:rPr>
        <w:t xml:space="preserve"> </w:t>
      </w:r>
      <w:r w:rsidRPr="006C4490">
        <w:rPr>
          <w:lang w:val="en-US"/>
        </w:rPr>
        <w:t>includin</w:t>
      </w:r>
      <w:r w:rsidR="00823F92" w:rsidRPr="006C4490">
        <w:rPr>
          <w:lang w:val="en-US"/>
        </w:rPr>
        <w:t>g</w:t>
      </w:r>
      <w:r w:rsidR="00823F92">
        <w:rPr>
          <w:lang w:val="en-US"/>
        </w:rPr>
        <w:t xml:space="preserve"> </w:t>
      </w:r>
      <w:r w:rsidRPr="006C4490">
        <w:rPr>
          <w:lang w:val="en-US"/>
        </w:rPr>
        <w:t>physica</w:t>
      </w:r>
      <w:r w:rsidR="00823F92" w:rsidRPr="006C4490">
        <w:rPr>
          <w:lang w:val="en-US"/>
        </w:rPr>
        <w:t>l</w:t>
      </w:r>
      <w:r w:rsidR="00823F92">
        <w:rPr>
          <w:lang w:val="en-US"/>
        </w:rPr>
        <w:t xml:space="preserve"> </w:t>
      </w:r>
      <w:r w:rsidRPr="006C4490">
        <w:rPr>
          <w:lang w:val="en-US"/>
        </w:rPr>
        <w:t>health</w:t>
      </w:r>
      <w:r w:rsidR="00823F92" w:rsidRPr="006C4490">
        <w:rPr>
          <w:lang w:val="en-US"/>
        </w:rPr>
        <w:t>,</w:t>
      </w:r>
      <w:r w:rsidR="00823F92">
        <w:rPr>
          <w:lang w:val="en-US"/>
        </w:rPr>
        <w:t xml:space="preserve"> </w:t>
      </w:r>
      <w:r w:rsidRPr="006C4490">
        <w:rPr>
          <w:lang w:val="en-US"/>
        </w:rPr>
        <w:t>socia</w:t>
      </w:r>
      <w:r w:rsidR="00823F92" w:rsidRPr="006C4490">
        <w:rPr>
          <w:lang w:val="en-US"/>
        </w:rPr>
        <w:t>l</w:t>
      </w:r>
      <w:r w:rsidR="00823F92">
        <w:rPr>
          <w:lang w:val="en-US"/>
        </w:rPr>
        <w:t xml:space="preserve"> </w:t>
      </w:r>
      <w:r w:rsidRPr="006C4490">
        <w:rPr>
          <w:lang w:val="en-US"/>
        </w:rPr>
        <w:t>participation</w:t>
      </w:r>
      <w:r w:rsidR="00823F92" w:rsidRPr="006C4490">
        <w:rPr>
          <w:lang w:val="en-US"/>
        </w:rPr>
        <w:t>,</w:t>
      </w:r>
      <w:r w:rsidR="00823F92">
        <w:rPr>
          <w:lang w:val="en-US"/>
        </w:rPr>
        <w:t xml:space="preserve"> </w:t>
      </w:r>
      <w:r w:rsidRPr="006C4490">
        <w:rPr>
          <w:lang w:val="en-US"/>
        </w:rPr>
        <w:t>education</w:t>
      </w:r>
      <w:r w:rsidR="00823F92" w:rsidRPr="006C4490">
        <w:rPr>
          <w:lang w:val="en-US"/>
        </w:rPr>
        <w:t>,</w:t>
      </w:r>
      <w:r w:rsidR="00823F92">
        <w:rPr>
          <w:lang w:val="en-US"/>
        </w:rPr>
        <w:t xml:space="preserve"> </w:t>
      </w:r>
      <w:r w:rsidRPr="006C4490">
        <w:rPr>
          <w:lang w:val="en-US"/>
        </w:rPr>
        <w:t>employmen</w:t>
      </w:r>
      <w:r w:rsidR="00823F92" w:rsidRPr="006C4490">
        <w:rPr>
          <w:lang w:val="en-US"/>
        </w:rPr>
        <w:t>t</w:t>
      </w:r>
      <w:r w:rsidR="00823F92">
        <w:rPr>
          <w:lang w:val="en-US"/>
        </w:rPr>
        <w:t xml:space="preserve"> </w:t>
      </w:r>
      <w:r w:rsidRPr="006C4490">
        <w:rPr>
          <w:lang w:val="en-US"/>
        </w:rPr>
        <w:t>an</w:t>
      </w:r>
      <w:r w:rsidR="00823F92" w:rsidRPr="006C4490">
        <w:rPr>
          <w:lang w:val="en-US"/>
        </w:rPr>
        <w:t>d</w:t>
      </w:r>
      <w:r w:rsidR="00823F92">
        <w:rPr>
          <w:lang w:val="en-US"/>
        </w:rPr>
        <w:t xml:space="preserve"> </w:t>
      </w:r>
      <w:r w:rsidRPr="006C4490">
        <w:rPr>
          <w:lang w:val="en-US"/>
        </w:rPr>
        <w:t>financia</w:t>
      </w:r>
      <w:r w:rsidR="00823F92" w:rsidRPr="006C4490">
        <w:rPr>
          <w:lang w:val="en-US"/>
        </w:rPr>
        <w:t>l</w:t>
      </w:r>
      <w:r w:rsidR="00823F92">
        <w:rPr>
          <w:lang w:val="en-US"/>
        </w:rPr>
        <w:t xml:space="preserve"> </w:t>
      </w:r>
      <w:r w:rsidRPr="006C4490">
        <w:rPr>
          <w:lang w:val="en-US"/>
        </w:rPr>
        <w:t>status</w:t>
      </w:r>
      <w:r w:rsidR="00823F92" w:rsidRPr="006C4490">
        <w:rPr>
          <w:lang w:val="en-US"/>
        </w:rPr>
        <w:t>.</w:t>
      </w:r>
      <w:r w:rsidR="00823F92">
        <w:rPr>
          <w:lang w:val="en-US"/>
        </w:rPr>
        <w:t xml:space="preserve"> </w:t>
      </w:r>
      <w:r w:rsidRPr="006C4490">
        <w:rPr>
          <w:lang w:val="en-US"/>
        </w:rPr>
        <w:t>Th</w:t>
      </w:r>
      <w:r w:rsidR="00823F92" w:rsidRPr="006C4490">
        <w:rPr>
          <w:lang w:val="en-US"/>
        </w:rPr>
        <w:t>e</w:t>
      </w:r>
      <w:r w:rsidR="00823F92">
        <w:rPr>
          <w:lang w:val="en-US"/>
        </w:rPr>
        <w:t xml:space="preserve"> </w:t>
      </w:r>
      <w:r>
        <w:rPr>
          <w:lang w:val="en-US"/>
        </w:rPr>
        <w:t>Fina</w:t>
      </w:r>
      <w:r w:rsidR="00823F92">
        <w:rPr>
          <w:lang w:val="en-US"/>
        </w:rPr>
        <w:t xml:space="preserve">l </w:t>
      </w:r>
      <w:r>
        <w:rPr>
          <w:lang w:val="en-US"/>
        </w:rPr>
        <w:t>Repor</w:t>
      </w:r>
      <w:r w:rsidR="00823F92">
        <w:rPr>
          <w:lang w:val="en-US"/>
        </w:rPr>
        <w:t xml:space="preserve">t </w:t>
      </w:r>
      <w:r w:rsidRPr="006C4490">
        <w:rPr>
          <w:lang w:val="en-US"/>
        </w:rPr>
        <w:t>set</w:t>
      </w:r>
      <w:r w:rsidR="00823F92">
        <w:rPr>
          <w:lang w:val="en-US"/>
        </w:rPr>
        <w:t xml:space="preserve">s </w:t>
      </w:r>
      <w:r w:rsidRPr="006C4490">
        <w:rPr>
          <w:lang w:val="en-US"/>
        </w:rPr>
        <w:t>ou</w:t>
      </w:r>
      <w:r w:rsidR="00823F92" w:rsidRPr="006C4490">
        <w:rPr>
          <w:lang w:val="en-US"/>
        </w:rPr>
        <w:t>t</w:t>
      </w:r>
      <w:r w:rsidR="00823F92">
        <w:rPr>
          <w:lang w:val="en-US"/>
        </w:rPr>
        <w:t xml:space="preserve"> </w:t>
      </w:r>
      <w:r w:rsidR="00823F92" w:rsidRPr="006C4490">
        <w:rPr>
          <w:lang w:val="en-US"/>
        </w:rPr>
        <w:t>a</w:t>
      </w:r>
      <w:r w:rsidR="00823F92">
        <w:rPr>
          <w:lang w:val="en-US"/>
        </w:rPr>
        <w:t xml:space="preserve"> </w:t>
      </w:r>
      <w:r w:rsidRPr="006C4490">
        <w:rPr>
          <w:lang w:val="en-US"/>
        </w:rPr>
        <w:t>roadma</w:t>
      </w:r>
      <w:r w:rsidR="00823F92" w:rsidRPr="006C4490">
        <w:rPr>
          <w:lang w:val="en-US"/>
        </w:rPr>
        <w:t>p</w:t>
      </w:r>
      <w:r w:rsidR="00823F92">
        <w:rPr>
          <w:lang w:val="en-US"/>
        </w:rPr>
        <w:t xml:space="preserve"> </w:t>
      </w:r>
      <w:r w:rsidRPr="006C4490">
        <w:rPr>
          <w:lang w:val="en-US"/>
        </w:rPr>
        <w:t>fo</w:t>
      </w:r>
      <w:r w:rsidR="00823F92" w:rsidRPr="006C4490">
        <w:rPr>
          <w:lang w:val="en-US"/>
        </w:rPr>
        <w:t>r</w:t>
      </w:r>
      <w:r w:rsidR="00823F92">
        <w:rPr>
          <w:lang w:val="en-US"/>
        </w:rPr>
        <w:t xml:space="preserve"> </w:t>
      </w:r>
      <w:r w:rsidRPr="006C4490">
        <w:rPr>
          <w:lang w:val="en-US"/>
        </w:rPr>
        <w:t>refor</w:t>
      </w:r>
      <w:r w:rsidR="00823F92" w:rsidRPr="006C4490">
        <w:rPr>
          <w:lang w:val="en-US"/>
        </w:rPr>
        <w:t>m</w:t>
      </w:r>
      <w:r w:rsidR="00823F92">
        <w:rPr>
          <w:lang w:val="en-US"/>
        </w:rPr>
        <w:t xml:space="preserve"> </w:t>
      </w:r>
      <w:r w:rsidRPr="006C4490">
        <w:rPr>
          <w:lang w:val="en-US"/>
        </w:rPr>
        <w:t>t</w:t>
      </w:r>
      <w:r w:rsidR="00823F92" w:rsidRPr="006C4490">
        <w:rPr>
          <w:lang w:val="en-US"/>
        </w:rPr>
        <w:t>o</w:t>
      </w:r>
      <w:r w:rsidR="00823F92">
        <w:rPr>
          <w:lang w:val="en-US"/>
        </w:rPr>
        <w:t xml:space="preserve"> </w:t>
      </w:r>
      <w:r w:rsidRPr="006C4490">
        <w:rPr>
          <w:lang w:val="en-US"/>
        </w:rPr>
        <w:t>creat</w:t>
      </w:r>
      <w:r w:rsidR="00823F92" w:rsidRPr="006C4490">
        <w:rPr>
          <w:lang w:val="en-US"/>
        </w:rPr>
        <w:t>e</w:t>
      </w:r>
      <w:r w:rsidR="00823F92">
        <w:rPr>
          <w:lang w:val="en-US"/>
        </w:rPr>
        <w:t xml:space="preserve"> </w:t>
      </w:r>
      <w:r w:rsidR="00823F92" w:rsidRPr="006C4490">
        <w:rPr>
          <w:lang w:val="en-US"/>
        </w:rPr>
        <w:t>a</w:t>
      </w:r>
      <w:r w:rsidR="00823F92">
        <w:rPr>
          <w:lang w:val="en-US"/>
        </w:rPr>
        <w:t xml:space="preserve"> </w:t>
      </w:r>
      <w:r w:rsidRPr="006C4490">
        <w:rPr>
          <w:lang w:val="en-US"/>
        </w:rPr>
        <w:t>person-</w:t>
      </w:r>
      <w:proofErr w:type="spellStart"/>
      <w:r w:rsidRPr="006C4490">
        <w:rPr>
          <w:lang w:val="en-US"/>
        </w:rPr>
        <w:t>centre</w:t>
      </w:r>
      <w:r w:rsidR="00823F92" w:rsidRPr="006C4490">
        <w:rPr>
          <w:lang w:val="en-US"/>
        </w:rPr>
        <w:t>d</w:t>
      </w:r>
      <w:proofErr w:type="spellEnd"/>
      <w:r w:rsidR="00823F92">
        <w:rPr>
          <w:lang w:val="en-US"/>
        </w:rPr>
        <w:t xml:space="preserve"> </w:t>
      </w:r>
      <w:r w:rsidRPr="006C4490">
        <w:rPr>
          <w:lang w:val="en-US"/>
        </w:rPr>
        <w:t>menta</w:t>
      </w:r>
      <w:r w:rsidR="00823F92" w:rsidRPr="006C4490">
        <w:rPr>
          <w:lang w:val="en-US"/>
        </w:rPr>
        <w:t>l</w:t>
      </w:r>
      <w:r w:rsidR="00823F92">
        <w:rPr>
          <w:lang w:val="en-US"/>
        </w:rPr>
        <w:t xml:space="preserve"> </w:t>
      </w:r>
      <w:r w:rsidRPr="006C4490">
        <w:rPr>
          <w:lang w:val="en-US"/>
        </w:rPr>
        <w:t>healt</w:t>
      </w:r>
      <w:r w:rsidR="00823F92" w:rsidRPr="006C4490">
        <w:rPr>
          <w:lang w:val="en-US"/>
        </w:rPr>
        <w:t>h</w:t>
      </w:r>
      <w:r w:rsidR="00823F92">
        <w:rPr>
          <w:lang w:val="en-US"/>
        </w:rPr>
        <w:t xml:space="preserve"> </w:t>
      </w:r>
      <w:r w:rsidRPr="006C4490">
        <w:rPr>
          <w:lang w:val="en-US"/>
        </w:rPr>
        <w:t>system</w:t>
      </w:r>
      <w:r w:rsidR="00823F92" w:rsidRPr="006C4490">
        <w:rPr>
          <w:lang w:val="en-US"/>
        </w:rPr>
        <w:t>.</w:t>
      </w:r>
      <w:r w:rsidR="00823F92">
        <w:rPr>
          <w:lang w:val="en-US"/>
        </w:rPr>
        <w:t xml:space="preserve"> </w:t>
      </w:r>
      <w:r>
        <w:rPr>
          <w:lang w:val="en-US"/>
        </w:rPr>
        <w:t>I</w:t>
      </w:r>
      <w:r w:rsidR="00823F92">
        <w:rPr>
          <w:lang w:val="en-US"/>
        </w:rPr>
        <w:t xml:space="preserve">n </w:t>
      </w:r>
      <w:r>
        <w:rPr>
          <w:lang w:val="en-US"/>
        </w:rPr>
        <w:t>particular</w:t>
      </w:r>
      <w:r w:rsidR="00823F92">
        <w:rPr>
          <w:lang w:val="en-US"/>
        </w:rPr>
        <w:t xml:space="preserve">, </w:t>
      </w:r>
      <w:r>
        <w:rPr>
          <w:lang w:val="en-US"/>
        </w:rPr>
        <w:t>Recommendatio</w:t>
      </w:r>
      <w:r w:rsidR="00823F92">
        <w:rPr>
          <w:lang w:val="en-US"/>
        </w:rPr>
        <w:t xml:space="preserve">n </w:t>
      </w:r>
      <w:r>
        <w:rPr>
          <w:lang w:val="en-US"/>
        </w:rPr>
        <w:t>1</w:t>
      </w:r>
      <w:r w:rsidR="00823F92">
        <w:rPr>
          <w:lang w:val="en-US"/>
        </w:rPr>
        <w:t xml:space="preserve">6 </w:t>
      </w:r>
      <w:r>
        <w:rPr>
          <w:lang w:val="en-US"/>
        </w:rPr>
        <w:t>detail</w:t>
      </w:r>
      <w:r w:rsidR="00823F92">
        <w:rPr>
          <w:lang w:val="en-US"/>
        </w:rPr>
        <w:t xml:space="preserve">s </w:t>
      </w:r>
      <w:r>
        <w:rPr>
          <w:lang w:val="en-US"/>
        </w:rPr>
        <w:t>suggeste</w:t>
      </w:r>
      <w:r w:rsidR="00823F92">
        <w:rPr>
          <w:lang w:val="en-US"/>
        </w:rPr>
        <w:t xml:space="preserve">d </w:t>
      </w:r>
      <w:r>
        <w:rPr>
          <w:lang w:val="en-US"/>
        </w:rPr>
        <w:t>action</w:t>
      </w:r>
      <w:r w:rsidR="00823F92">
        <w:rPr>
          <w:lang w:val="en-US"/>
        </w:rPr>
        <w:t xml:space="preserve">s </w:t>
      </w:r>
      <w:r>
        <w:rPr>
          <w:lang w:val="en-US"/>
        </w:rPr>
        <w:t>t</w:t>
      </w:r>
      <w:r w:rsidR="00823F92">
        <w:rPr>
          <w:lang w:val="en-US"/>
        </w:rPr>
        <w:t xml:space="preserve">o </w:t>
      </w:r>
      <w:r>
        <w:rPr>
          <w:lang w:val="en-US"/>
        </w:rPr>
        <w:t>increas</w:t>
      </w:r>
      <w:r w:rsidR="00823F92">
        <w:rPr>
          <w:lang w:val="en-US"/>
        </w:rPr>
        <w:t xml:space="preserve">e </w:t>
      </w:r>
      <w:r>
        <w:rPr>
          <w:lang w:val="en-US"/>
        </w:rPr>
        <w:t>th</w:t>
      </w:r>
      <w:r w:rsidR="00823F92">
        <w:rPr>
          <w:lang w:val="en-US"/>
        </w:rPr>
        <w:t xml:space="preserve">e </w:t>
      </w:r>
      <w:r>
        <w:rPr>
          <w:lang w:val="en-US"/>
        </w:rPr>
        <w:t>efficac</w:t>
      </w:r>
      <w:r w:rsidR="00823F92">
        <w:rPr>
          <w:lang w:val="en-US"/>
        </w:rPr>
        <w:t xml:space="preserve">y </w:t>
      </w:r>
      <w:r>
        <w:rPr>
          <w:lang w:val="en-US"/>
        </w:rPr>
        <w:t>o</w:t>
      </w:r>
      <w:r w:rsidR="00823F92">
        <w:rPr>
          <w:lang w:val="en-US"/>
        </w:rPr>
        <w:t xml:space="preserve">f </w:t>
      </w:r>
      <w:r>
        <w:rPr>
          <w:lang w:val="en-US"/>
        </w:rPr>
        <w:t>th</w:t>
      </w:r>
      <w:r w:rsidR="00823F92">
        <w:rPr>
          <w:lang w:val="en-US"/>
        </w:rPr>
        <w:t xml:space="preserve">e </w:t>
      </w:r>
      <w:r>
        <w:rPr>
          <w:lang w:val="en-US"/>
        </w:rPr>
        <w:t>menta</w:t>
      </w:r>
      <w:r w:rsidR="00823F92">
        <w:rPr>
          <w:lang w:val="en-US"/>
        </w:rPr>
        <w:t xml:space="preserve">l </w:t>
      </w:r>
      <w:r>
        <w:rPr>
          <w:lang w:val="en-US"/>
        </w:rPr>
        <w:t>healt</w:t>
      </w:r>
      <w:r w:rsidR="00823F92">
        <w:rPr>
          <w:lang w:val="en-US"/>
        </w:rPr>
        <w:t xml:space="preserve">h </w:t>
      </w:r>
      <w:r>
        <w:rPr>
          <w:lang w:val="en-US"/>
        </w:rPr>
        <w:t>workforce.</w:t>
      </w:r>
    </w:p>
    <w:p w14:paraId="00FB81DD" w14:textId="1D696B15" w:rsidR="00103373" w:rsidRDefault="00103373" w:rsidP="00C50823">
      <w:pPr>
        <w:pStyle w:val="BodyText"/>
        <w:rPr>
          <w:lang w:val="en-US"/>
        </w:rPr>
      </w:pPr>
      <w:r w:rsidRPr="006C4490">
        <w:rPr>
          <w:lang w:val="en-US"/>
        </w:rPr>
        <w:t>Thi</w:t>
      </w:r>
      <w:r w:rsidR="00823F92" w:rsidRPr="006C4490">
        <w:rPr>
          <w:lang w:val="en-US"/>
        </w:rPr>
        <w:t>s</w:t>
      </w:r>
      <w:r w:rsidR="00823F92">
        <w:rPr>
          <w:lang w:val="en-US"/>
        </w:rPr>
        <w:t xml:space="preserve"> </w:t>
      </w:r>
      <w:r w:rsidRPr="006C4490">
        <w:rPr>
          <w:lang w:val="en-US"/>
        </w:rPr>
        <w:t>require</w:t>
      </w:r>
      <w:r w:rsidR="00823F92" w:rsidRPr="006C4490">
        <w:rPr>
          <w:lang w:val="en-US"/>
        </w:rPr>
        <w:t>s</w:t>
      </w:r>
      <w:r w:rsidR="00823F92">
        <w:rPr>
          <w:lang w:val="en-US"/>
        </w:rPr>
        <w:t xml:space="preserve"> </w:t>
      </w:r>
      <w:r w:rsidRPr="006C4490">
        <w:rPr>
          <w:lang w:val="en-US"/>
        </w:rPr>
        <w:t>collaboratio</w:t>
      </w:r>
      <w:r w:rsidR="00823F92" w:rsidRPr="006C4490">
        <w:rPr>
          <w:lang w:val="en-US"/>
        </w:rPr>
        <w:t>n</w:t>
      </w:r>
      <w:r w:rsidR="00823F92">
        <w:rPr>
          <w:lang w:val="en-US"/>
        </w:rPr>
        <w:t xml:space="preserve"> </w:t>
      </w:r>
      <w:r w:rsidRPr="006C4490">
        <w:rPr>
          <w:lang w:val="en-US"/>
        </w:rPr>
        <w:t>betwee</w:t>
      </w:r>
      <w:r w:rsidR="00823F92" w:rsidRPr="006C4490">
        <w:rPr>
          <w:lang w:val="en-US"/>
        </w:rPr>
        <w:t>n</w:t>
      </w:r>
      <w:r w:rsidR="00823F92">
        <w:rPr>
          <w:lang w:val="en-US"/>
        </w:rPr>
        <w:t xml:space="preserve"> </w:t>
      </w:r>
      <w:r w:rsidRPr="006C4490">
        <w:rPr>
          <w:lang w:val="en-US"/>
        </w:rPr>
        <w:t>governments</w:t>
      </w:r>
      <w:r w:rsidR="00823F92" w:rsidRPr="006C4490">
        <w:rPr>
          <w:lang w:val="en-US"/>
        </w:rPr>
        <w:t>,</w:t>
      </w:r>
      <w:r w:rsidR="00823F92">
        <w:rPr>
          <w:lang w:val="en-US"/>
        </w:rPr>
        <w:t xml:space="preserve"> </w:t>
      </w:r>
      <w:r w:rsidRPr="006C4490">
        <w:rPr>
          <w:lang w:val="en-US"/>
        </w:rPr>
        <w:t>consumer</w:t>
      </w:r>
      <w:r w:rsidR="00823F92" w:rsidRPr="006C4490">
        <w:rPr>
          <w:lang w:val="en-US"/>
        </w:rPr>
        <w:t>s</w:t>
      </w:r>
      <w:r w:rsidR="00823F92">
        <w:rPr>
          <w:lang w:val="en-US"/>
        </w:rPr>
        <w:t xml:space="preserve"> </w:t>
      </w:r>
      <w:r w:rsidRPr="006C4490">
        <w:rPr>
          <w:lang w:val="en-US"/>
        </w:rPr>
        <w:t>an</w:t>
      </w:r>
      <w:r w:rsidR="00823F92" w:rsidRPr="006C4490">
        <w:rPr>
          <w:lang w:val="en-US"/>
        </w:rPr>
        <w:t>d</w:t>
      </w:r>
      <w:r w:rsidR="00823F92">
        <w:rPr>
          <w:lang w:val="en-US"/>
        </w:rPr>
        <w:t xml:space="preserve"> </w:t>
      </w:r>
      <w:proofErr w:type="spellStart"/>
      <w:r w:rsidRPr="006C4490">
        <w:rPr>
          <w:lang w:val="en-US"/>
        </w:rPr>
        <w:t>carers</w:t>
      </w:r>
      <w:proofErr w:type="spellEnd"/>
      <w:r w:rsidR="00823F92" w:rsidRPr="006C4490">
        <w:rPr>
          <w:lang w:val="en-US"/>
        </w:rPr>
        <w:t>,</w:t>
      </w:r>
      <w:r w:rsidR="00823F92">
        <w:rPr>
          <w:lang w:val="en-US"/>
        </w:rPr>
        <w:t xml:space="preserve"> </w:t>
      </w:r>
      <w:r w:rsidRPr="006C4490">
        <w:rPr>
          <w:lang w:val="en-US"/>
        </w:rPr>
        <w:t>an</w:t>
      </w:r>
      <w:r w:rsidR="00823F92" w:rsidRPr="006C4490">
        <w:rPr>
          <w:lang w:val="en-US"/>
        </w:rPr>
        <w:t>d</w:t>
      </w:r>
      <w:r w:rsidR="00823F92">
        <w:rPr>
          <w:lang w:val="en-US"/>
        </w:rPr>
        <w:t xml:space="preserve"> </w:t>
      </w:r>
      <w:r w:rsidR="00823F92" w:rsidRPr="006C4490">
        <w:rPr>
          <w:lang w:val="en-US"/>
        </w:rPr>
        <w:t>a</w:t>
      </w:r>
      <w:r w:rsidR="00823F92">
        <w:rPr>
          <w:lang w:val="en-US"/>
        </w:rPr>
        <w:t xml:space="preserve"> </w:t>
      </w:r>
      <w:r w:rsidRPr="006C4490">
        <w:rPr>
          <w:lang w:val="en-US"/>
        </w:rPr>
        <w:t>cross-portfoli</w:t>
      </w:r>
      <w:r w:rsidR="00823F92" w:rsidRPr="006C4490">
        <w:rPr>
          <w:lang w:val="en-US"/>
        </w:rPr>
        <w:t>o</w:t>
      </w:r>
      <w:r w:rsidR="00823F92">
        <w:rPr>
          <w:lang w:val="en-US"/>
        </w:rPr>
        <w:t xml:space="preserve"> </w:t>
      </w:r>
      <w:r w:rsidRPr="006C4490">
        <w:rPr>
          <w:lang w:val="en-US"/>
        </w:rPr>
        <w:t>approac</w:t>
      </w:r>
      <w:r w:rsidR="00823F92" w:rsidRPr="006C4490">
        <w:rPr>
          <w:lang w:val="en-US"/>
        </w:rPr>
        <w:t>h</w:t>
      </w:r>
      <w:r w:rsidR="00823F92">
        <w:rPr>
          <w:lang w:val="en-US"/>
        </w:rPr>
        <w:t xml:space="preserve"> </w:t>
      </w:r>
      <w:r>
        <w:rPr>
          <w:lang w:val="en-US"/>
        </w:rPr>
        <w:t>t</w:t>
      </w:r>
      <w:r w:rsidR="00823F92">
        <w:rPr>
          <w:lang w:val="en-US"/>
        </w:rPr>
        <w:t xml:space="preserve">o </w:t>
      </w:r>
      <w:r>
        <w:rPr>
          <w:lang w:val="en-US"/>
        </w:rPr>
        <w:t>implementation</w:t>
      </w:r>
      <w:r w:rsidR="00823F92" w:rsidRPr="006C4490">
        <w:rPr>
          <w:lang w:val="en-US"/>
        </w:rPr>
        <w:t>.</w:t>
      </w:r>
      <w:r w:rsidR="00823F92">
        <w:rPr>
          <w:lang w:val="en-US"/>
        </w:rPr>
        <w:t xml:space="preserve"> </w:t>
      </w:r>
      <w:r w:rsidRPr="006C4490">
        <w:rPr>
          <w:lang w:val="en-US"/>
        </w:rPr>
        <w:t>Th</w:t>
      </w:r>
      <w:r w:rsidR="00823F92" w:rsidRPr="006C4490">
        <w:rPr>
          <w:lang w:val="en-US"/>
        </w:rPr>
        <w:t>e</w:t>
      </w:r>
      <w:r w:rsidR="00823F92">
        <w:rPr>
          <w:lang w:val="en-US"/>
        </w:rPr>
        <w:t xml:space="preserve"> </w:t>
      </w:r>
      <w:r w:rsidR="00F7762B">
        <w:rPr>
          <w:lang w:val="en-US"/>
        </w:rPr>
        <w:t>Productivit</w:t>
      </w:r>
      <w:r w:rsidR="00823F92">
        <w:rPr>
          <w:lang w:val="en-US"/>
        </w:rPr>
        <w:t xml:space="preserve">y </w:t>
      </w:r>
      <w:r w:rsidRPr="006C4490">
        <w:rPr>
          <w:lang w:val="en-US"/>
        </w:rPr>
        <w:t>Commissio</w:t>
      </w:r>
      <w:r w:rsidR="00823F92" w:rsidRPr="006C4490">
        <w:rPr>
          <w:lang w:val="en-US"/>
        </w:rPr>
        <w:t>n</w:t>
      </w:r>
      <w:r w:rsidR="00823F92">
        <w:rPr>
          <w:lang w:val="en-US"/>
        </w:rPr>
        <w:t xml:space="preserve"> </w:t>
      </w:r>
      <w:r w:rsidRPr="006C4490">
        <w:rPr>
          <w:lang w:val="en-US"/>
        </w:rPr>
        <w:t>acknowledge</w:t>
      </w:r>
      <w:r w:rsidR="00823F92" w:rsidRPr="006C4490">
        <w:rPr>
          <w:lang w:val="en-US"/>
        </w:rPr>
        <w:t>s</w:t>
      </w:r>
      <w:r w:rsidR="00823F92">
        <w:rPr>
          <w:lang w:val="en-US"/>
        </w:rPr>
        <w:t xml:space="preserve"> </w:t>
      </w:r>
      <w:r w:rsidRPr="006C4490">
        <w:rPr>
          <w:lang w:val="en-US"/>
        </w:rPr>
        <w:t>tha</w:t>
      </w:r>
      <w:r w:rsidR="00823F92" w:rsidRPr="006C4490">
        <w:rPr>
          <w:lang w:val="en-US"/>
        </w:rPr>
        <w:t>t</w:t>
      </w:r>
      <w:r w:rsidR="00823F92">
        <w:rPr>
          <w:lang w:val="en-US"/>
        </w:rPr>
        <w:t xml:space="preserve"> </w:t>
      </w:r>
      <w:r w:rsidR="00823F92" w:rsidRPr="006C4490">
        <w:rPr>
          <w:lang w:val="en-US"/>
        </w:rPr>
        <w:t>a</w:t>
      </w:r>
      <w:r w:rsidR="00823F92">
        <w:rPr>
          <w:lang w:val="en-US"/>
        </w:rPr>
        <w:t xml:space="preserve"> </w:t>
      </w:r>
      <w:r w:rsidRPr="006C4490">
        <w:rPr>
          <w:lang w:val="en-US"/>
        </w:rPr>
        <w:t>well-functionin</w:t>
      </w:r>
      <w:r w:rsidR="00823F92" w:rsidRPr="006C4490">
        <w:rPr>
          <w:lang w:val="en-US"/>
        </w:rPr>
        <w:t>g</w:t>
      </w:r>
      <w:r w:rsidR="00823F92">
        <w:rPr>
          <w:lang w:val="en-US"/>
        </w:rPr>
        <w:t xml:space="preserve"> </w:t>
      </w:r>
      <w:r w:rsidRPr="006C4490">
        <w:rPr>
          <w:lang w:val="en-US"/>
        </w:rPr>
        <w:t>menta</w:t>
      </w:r>
      <w:r w:rsidR="00823F92" w:rsidRPr="006C4490">
        <w:rPr>
          <w:lang w:val="en-US"/>
        </w:rPr>
        <w:t>l</w:t>
      </w:r>
      <w:r w:rsidR="00823F92">
        <w:rPr>
          <w:lang w:val="en-US"/>
        </w:rPr>
        <w:t xml:space="preserve"> </w:t>
      </w:r>
      <w:r w:rsidRPr="006C4490">
        <w:rPr>
          <w:lang w:val="en-US"/>
        </w:rPr>
        <w:t>healt</w:t>
      </w:r>
      <w:r w:rsidR="00823F92" w:rsidRPr="006C4490">
        <w:rPr>
          <w:lang w:val="en-US"/>
        </w:rPr>
        <w:t>h</w:t>
      </w:r>
      <w:r w:rsidR="00823F92">
        <w:rPr>
          <w:lang w:val="en-US"/>
        </w:rPr>
        <w:t xml:space="preserve"> </w:t>
      </w:r>
      <w:r w:rsidRPr="006C4490">
        <w:rPr>
          <w:lang w:val="en-US"/>
        </w:rPr>
        <w:t>syste</w:t>
      </w:r>
      <w:r w:rsidR="00823F92" w:rsidRPr="006C4490">
        <w:rPr>
          <w:lang w:val="en-US"/>
        </w:rPr>
        <w:t>m</w:t>
      </w:r>
      <w:r w:rsidR="00823F92">
        <w:rPr>
          <w:lang w:val="en-US"/>
        </w:rPr>
        <w:t xml:space="preserve"> </w:t>
      </w:r>
      <w:r w:rsidRPr="006C4490">
        <w:rPr>
          <w:lang w:val="en-US"/>
        </w:rPr>
        <w:t>depend</w:t>
      </w:r>
      <w:r w:rsidR="00823F92" w:rsidRPr="006C4490">
        <w:rPr>
          <w:lang w:val="en-US"/>
        </w:rPr>
        <w:t>s</w:t>
      </w:r>
      <w:r w:rsidR="00823F92">
        <w:rPr>
          <w:lang w:val="en-US"/>
        </w:rPr>
        <w:t xml:space="preserve"> </w:t>
      </w:r>
      <w:r w:rsidRPr="006C4490">
        <w:rPr>
          <w:lang w:val="en-US"/>
        </w:rPr>
        <w:t>o</w:t>
      </w:r>
      <w:r w:rsidR="00823F92" w:rsidRPr="006C4490">
        <w:rPr>
          <w:lang w:val="en-US"/>
        </w:rPr>
        <w:t>n</w:t>
      </w:r>
      <w:r w:rsidR="00823F92">
        <w:rPr>
          <w:lang w:val="en-US"/>
        </w:rPr>
        <w:t xml:space="preserve"> </w:t>
      </w:r>
      <w:r w:rsidRPr="006C4490">
        <w:rPr>
          <w:lang w:val="en-US"/>
        </w:rPr>
        <w:t>hig</w:t>
      </w:r>
      <w:r w:rsidR="00823F92" w:rsidRPr="006C4490">
        <w:rPr>
          <w:lang w:val="en-US"/>
        </w:rPr>
        <w:t>h</w:t>
      </w:r>
      <w:r w:rsidR="00823F92">
        <w:rPr>
          <w:lang w:val="en-US"/>
        </w:rPr>
        <w:t xml:space="preserve"> </w:t>
      </w:r>
      <w:r w:rsidRPr="006C4490">
        <w:rPr>
          <w:lang w:val="en-US"/>
        </w:rPr>
        <w:t>qualit</w:t>
      </w:r>
      <w:r w:rsidR="00823F92" w:rsidRPr="006C4490">
        <w:rPr>
          <w:lang w:val="en-US"/>
        </w:rPr>
        <w:t>y</w:t>
      </w:r>
      <w:r w:rsidR="00823F92">
        <w:rPr>
          <w:lang w:val="en-US"/>
        </w:rPr>
        <w:t xml:space="preserve"> </w:t>
      </w:r>
      <w:r w:rsidRPr="006C4490">
        <w:rPr>
          <w:lang w:val="en-US"/>
        </w:rPr>
        <w:t>worker</w:t>
      </w:r>
      <w:r w:rsidR="00823F92" w:rsidRPr="006C4490">
        <w:rPr>
          <w:lang w:val="en-US"/>
        </w:rPr>
        <w:t>s</w:t>
      </w:r>
      <w:r w:rsidR="00823F92">
        <w:rPr>
          <w:lang w:val="en-US"/>
        </w:rPr>
        <w:t xml:space="preserve"> </w:t>
      </w:r>
      <w:r w:rsidRPr="006C4490">
        <w:rPr>
          <w:lang w:val="en-US"/>
        </w:rPr>
        <w:t>wit</w:t>
      </w:r>
      <w:r w:rsidR="00823F92" w:rsidRPr="006C4490">
        <w:rPr>
          <w:lang w:val="en-US"/>
        </w:rPr>
        <w:t>h</w:t>
      </w:r>
      <w:r w:rsidR="00823F92">
        <w:rPr>
          <w:lang w:val="en-US"/>
        </w:rPr>
        <w:t xml:space="preserve"> </w:t>
      </w:r>
      <w:r w:rsidRPr="006C4490">
        <w:rPr>
          <w:lang w:val="en-US"/>
        </w:rPr>
        <w:t>th</w:t>
      </w:r>
      <w:r w:rsidR="00823F92" w:rsidRPr="006C4490">
        <w:rPr>
          <w:lang w:val="en-US"/>
        </w:rPr>
        <w:t>e</w:t>
      </w:r>
      <w:r w:rsidR="00823F92">
        <w:rPr>
          <w:lang w:val="en-US"/>
        </w:rPr>
        <w:t xml:space="preserve"> </w:t>
      </w:r>
      <w:r w:rsidRPr="006C4490">
        <w:rPr>
          <w:lang w:val="en-US"/>
        </w:rPr>
        <w:t>righ</w:t>
      </w:r>
      <w:r w:rsidR="00823F92" w:rsidRPr="006C4490">
        <w:rPr>
          <w:lang w:val="en-US"/>
        </w:rPr>
        <w:t>t</w:t>
      </w:r>
      <w:r w:rsidR="00823F92">
        <w:rPr>
          <w:lang w:val="en-US"/>
        </w:rPr>
        <w:t xml:space="preserve"> </w:t>
      </w:r>
      <w:r w:rsidRPr="006C4490">
        <w:rPr>
          <w:lang w:val="en-US"/>
        </w:rPr>
        <w:t>skill</w:t>
      </w:r>
      <w:r w:rsidR="00823F92" w:rsidRPr="006C4490">
        <w:rPr>
          <w:lang w:val="en-US"/>
        </w:rPr>
        <w:t>s</w:t>
      </w:r>
      <w:r w:rsidR="00823F92">
        <w:rPr>
          <w:lang w:val="en-US"/>
        </w:rPr>
        <w:t xml:space="preserve"> </w:t>
      </w:r>
      <w:r w:rsidRPr="006C4490">
        <w:rPr>
          <w:lang w:val="en-US"/>
        </w:rPr>
        <w:t>i</w:t>
      </w:r>
      <w:r w:rsidR="00823F92" w:rsidRPr="006C4490">
        <w:rPr>
          <w:lang w:val="en-US"/>
        </w:rPr>
        <w:t>n</w:t>
      </w:r>
      <w:r w:rsidR="00823F92">
        <w:rPr>
          <w:lang w:val="en-US"/>
        </w:rPr>
        <w:t xml:space="preserve"> </w:t>
      </w:r>
      <w:r w:rsidRPr="006C4490">
        <w:rPr>
          <w:lang w:val="en-US"/>
        </w:rPr>
        <w:t>th</w:t>
      </w:r>
      <w:r w:rsidR="00823F92" w:rsidRPr="006C4490">
        <w:rPr>
          <w:lang w:val="en-US"/>
        </w:rPr>
        <w:t>e</w:t>
      </w:r>
      <w:r w:rsidR="00823F92">
        <w:rPr>
          <w:lang w:val="en-US"/>
        </w:rPr>
        <w:t xml:space="preserve"> </w:t>
      </w:r>
      <w:r w:rsidRPr="006C4490">
        <w:rPr>
          <w:lang w:val="en-US"/>
        </w:rPr>
        <w:t>righ</w:t>
      </w:r>
      <w:r w:rsidR="00823F92" w:rsidRPr="006C4490">
        <w:rPr>
          <w:lang w:val="en-US"/>
        </w:rPr>
        <w:t>t</w:t>
      </w:r>
      <w:r w:rsidR="00823F92">
        <w:rPr>
          <w:lang w:val="en-US"/>
        </w:rPr>
        <w:t xml:space="preserve"> </w:t>
      </w:r>
      <w:r w:rsidRPr="006C4490">
        <w:rPr>
          <w:lang w:val="en-US"/>
        </w:rPr>
        <w:t>place</w:t>
      </w:r>
      <w:r w:rsidR="00823F92" w:rsidRPr="006C4490">
        <w:rPr>
          <w:lang w:val="en-US"/>
        </w:rPr>
        <w:t>s</w:t>
      </w:r>
      <w:r w:rsidR="00823F92">
        <w:rPr>
          <w:lang w:val="en-US"/>
        </w:rPr>
        <w:t xml:space="preserve"> </w:t>
      </w:r>
      <w:r w:rsidR="00F7762B">
        <w:rPr>
          <w:lang w:val="en-US"/>
        </w:rPr>
        <w:t>an</w:t>
      </w:r>
      <w:r w:rsidR="00823F92">
        <w:rPr>
          <w:lang w:val="en-US"/>
        </w:rPr>
        <w:t xml:space="preserve">d </w:t>
      </w:r>
      <w:r w:rsidRPr="006C4490">
        <w:rPr>
          <w:lang w:val="en-US"/>
        </w:rPr>
        <w:t>recommend</w:t>
      </w:r>
      <w:r w:rsidR="00823F92" w:rsidRPr="006C4490">
        <w:rPr>
          <w:lang w:val="en-US"/>
        </w:rPr>
        <w:t>s</w:t>
      </w:r>
      <w:r w:rsidR="00823F92">
        <w:rPr>
          <w:lang w:val="en-US"/>
        </w:rPr>
        <w:t xml:space="preserve"> </w:t>
      </w:r>
      <w:r w:rsidRPr="006C4490">
        <w:rPr>
          <w:lang w:val="en-US"/>
        </w:rPr>
        <w:t>tha</w:t>
      </w:r>
      <w:r w:rsidR="00823F92" w:rsidRPr="006C4490">
        <w:rPr>
          <w:lang w:val="en-US"/>
        </w:rPr>
        <w:t>t</w:t>
      </w:r>
      <w:r w:rsidR="00823F92">
        <w:rPr>
          <w:lang w:val="en-US"/>
        </w:rPr>
        <w:t xml:space="preserve"> </w:t>
      </w:r>
      <w:r w:rsidRPr="006C4490">
        <w:rPr>
          <w:lang w:val="en-US"/>
        </w:rPr>
        <w:t>thi</w:t>
      </w:r>
      <w:r w:rsidR="00823F92" w:rsidRPr="006C4490">
        <w:rPr>
          <w:lang w:val="en-US"/>
        </w:rPr>
        <w:t>s</w:t>
      </w:r>
      <w:r w:rsidR="00823F92">
        <w:rPr>
          <w:lang w:val="en-US"/>
        </w:rPr>
        <w:t xml:space="preserve"> </w:t>
      </w:r>
      <w:r w:rsidRPr="006C4490">
        <w:rPr>
          <w:lang w:val="en-US"/>
        </w:rPr>
        <w:t>Strateg</w:t>
      </w:r>
      <w:r w:rsidR="00823F92" w:rsidRPr="006C4490">
        <w:rPr>
          <w:lang w:val="en-US"/>
        </w:rPr>
        <w:t>y</w:t>
      </w:r>
      <w:r w:rsidR="00823F92">
        <w:rPr>
          <w:lang w:val="en-US"/>
        </w:rPr>
        <w:t xml:space="preserve"> </w:t>
      </w:r>
      <w:r w:rsidRPr="006C4490">
        <w:rPr>
          <w:lang w:val="en-US"/>
        </w:rPr>
        <w:t>align</w:t>
      </w:r>
      <w:r w:rsidR="00823F92" w:rsidRPr="006C4490">
        <w:rPr>
          <w:lang w:val="en-US"/>
        </w:rPr>
        <w:t>s</w:t>
      </w:r>
      <w:r w:rsidR="00823F92">
        <w:rPr>
          <w:lang w:val="en-US"/>
        </w:rPr>
        <w:t xml:space="preserve"> </w:t>
      </w:r>
      <w:r w:rsidRPr="006C4490">
        <w:rPr>
          <w:lang w:val="en-US"/>
        </w:rPr>
        <w:t>th</w:t>
      </w:r>
      <w:r w:rsidR="00823F92" w:rsidRPr="006C4490">
        <w:rPr>
          <w:lang w:val="en-US"/>
        </w:rPr>
        <w:t>e</w:t>
      </w:r>
      <w:r w:rsidR="00823F92">
        <w:rPr>
          <w:lang w:val="en-US"/>
        </w:rPr>
        <w:t xml:space="preserve"> </w:t>
      </w:r>
      <w:r w:rsidRPr="006C4490">
        <w:rPr>
          <w:lang w:val="en-US"/>
        </w:rPr>
        <w:t>skills</w:t>
      </w:r>
      <w:r w:rsidR="00823F92" w:rsidRPr="006C4490">
        <w:rPr>
          <w:lang w:val="en-US"/>
        </w:rPr>
        <w:t>,</w:t>
      </w:r>
      <w:r w:rsidR="00823F92">
        <w:rPr>
          <w:lang w:val="en-US"/>
        </w:rPr>
        <w:t xml:space="preserve"> </w:t>
      </w:r>
      <w:r w:rsidRPr="006C4490">
        <w:rPr>
          <w:lang w:val="en-US"/>
        </w:rPr>
        <w:t>costs</w:t>
      </w:r>
      <w:r w:rsidR="00823F92" w:rsidRPr="006C4490">
        <w:rPr>
          <w:lang w:val="en-US"/>
        </w:rPr>
        <w:t>,</w:t>
      </w:r>
      <w:r w:rsidR="00823F92">
        <w:rPr>
          <w:lang w:val="en-US"/>
        </w:rPr>
        <w:t xml:space="preserve"> </w:t>
      </w:r>
      <w:r w:rsidRPr="006C4490">
        <w:rPr>
          <w:lang w:val="en-US"/>
        </w:rPr>
        <w:t>cultura</w:t>
      </w:r>
      <w:r w:rsidR="00823F92" w:rsidRPr="006C4490">
        <w:rPr>
          <w:lang w:val="en-US"/>
        </w:rPr>
        <w:t>l</w:t>
      </w:r>
      <w:r w:rsidR="00823F92">
        <w:rPr>
          <w:lang w:val="en-US"/>
        </w:rPr>
        <w:t xml:space="preserve"> </w:t>
      </w:r>
      <w:r w:rsidRPr="006C4490">
        <w:rPr>
          <w:lang w:val="en-US"/>
        </w:rPr>
        <w:t>capability</w:t>
      </w:r>
      <w:r w:rsidR="00823F92" w:rsidRPr="006C4490">
        <w:rPr>
          <w:lang w:val="en-US"/>
        </w:rPr>
        <w:t>,</w:t>
      </w:r>
      <w:r w:rsidR="00823F92">
        <w:rPr>
          <w:lang w:val="en-US"/>
        </w:rPr>
        <w:t xml:space="preserve"> </w:t>
      </w:r>
      <w:r w:rsidRPr="006C4490">
        <w:rPr>
          <w:lang w:val="en-US"/>
        </w:rPr>
        <w:t>substitutability</w:t>
      </w:r>
      <w:r w:rsidR="00823F92" w:rsidRPr="006C4490">
        <w:rPr>
          <w:lang w:val="en-US"/>
        </w:rPr>
        <w:t>,</w:t>
      </w:r>
      <w:r w:rsidR="00823F92">
        <w:rPr>
          <w:lang w:val="en-US"/>
        </w:rPr>
        <w:t xml:space="preserve"> </w:t>
      </w:r>
      <w:r w:rsidRPr="006C4490">
        <w:rPr>
          <w:lang w:val="en-US"/>
        </w:rPr>
        <w:t>availabilit</w:t>
      </w:r>
      <w:r w:rsidR="00823F92" w:rsidRPr="006C4490">
        <w:rPr>
          <w:lang w:val="en-US"/>
        </w:rPr>
        <w:t>y</w:t>
      </w:r>
      <w:r w:rsidR="00823F92">
        <w:rPr>
          <w:lang w:val="en-US"/>
        </w:rPr>
        <w:t xml:space="preserve"> </w:t>
      </w:r>
      <w:r w:rsidRPr="006C4490">
        <w:rPr>
          <w:lang w:val="en-US"/>
        </w:rPr>
        <w:t>an</w:t>
      </w:r>
      <w:r w:rsidR="00823F92" w:rsidRPr="006C4490">
        <w:rPr>
          <w:lang w:val="en-US"/>
        </w:rPr>
        <w:t>d</w:t>
      </w:r>
      <w:r w:rsidR="00823F92">
        <w:rPr>
          <w:lang w:val="en-US"/>
        </w:rPr>
        <w:t xml:space="preserve"> </w:t>
      </w:r>
      <w:r w:rsidRPr="006C4490">
        <w:rPr>
          <w:lang w:val="en-US"/>
        </w:rPr>
        <w:t>locatio</w:t>
      </w:r>
      <w:r w:rsidR="00823F92" w:rsidRPr="006C4490">
        <w:rPr>
          <w:lang w:val="en-US"/>
        </w:rPr>
        <w:t>n</w:t>
      </w:r>
      <w:r w:rsidR="00823F92">
        <w:rPr>
          <w:lang w:val="en-US"/>
        </w:rPr>
        <w:t xml:space="preserve"> </w:t>
      </w:r>
      <w:r w:rsidRPr="006C4490">
        <w:rPr>
          <w:lang w:val="en-US"/>
        </w:rPr>
        <w:t>o</w:t>
      </w:r>
      <w:r w:rsidR="00823F92" w:rsidRPr="006C4490">
        <w:rPr>
          <w:lang w:val="en-US"/>
        </w:rPr>
        <w:t>f</w:t>
      </w:r>
      <w:r w:rsidR="00823F92">
        <w:rPr>
          <w:lang w:val="en-US"/>
        </w:rPr>
        <w:t xml:space="preserve"> </w:t>
      </w:r>
      <w:r w:rsidRPr="006C4490">
        <w:rPr>
          <w:lang w:val="en-US"/>
        </w:rPr>
        <w:t>menta</w:t>
      </w:r>
      <w:r w:rsidR="00823F92" w:rsidRPr="006C4490">
        <w:rPr>
          <w:lang w:val="en-US"/>
        </w:rPr>
        <w:t>l</w:t>
      </w:r>
      <w:r w:rsidR="00823F92">
        <w:rPr>
          <w:lang w:val="en-US"/>
        </w:rPr>
        <w:t xml:space="preserve"> </w:t>
      </w:r>
      <w:r w:rsidRPr="006C4490">
        <w:rPr>
          <w:lang w:val="en-US"/>
        </w:rPr>
        <w:t>healt</w:t>
      </w:r>
      <w:r w:rsidR="00823F92" w:rsidRPr="006C4490">
        <w:rPr>
          <w:lang w:val="en-US"/>
        </w:rPr>
        <w:t>h</w:t>
      </w:r>
      <w:r w:rsidR="00823F92">
        <w:rPr>
          <w:lang w:val="en-US"/>
        </w:rPr>
        <w:t xml:space="preserve"> </w:t>
      </w:r>
      <w:r w:rsidRPr="006C4490">
        <w:rPr>
          <w:lang w:val="en-US"/>
        </w:rPr>
        <w:t>professional</w:t>
      </w:r>
      <w:r w:rsidR="00823F92" w:rsidRPr="006C4490">
        <w:rPr>
          <w:lang w:val="en-US"/>
        </w:rPr>
        <w:t>s</w:t>
      </w:r>
      <w:r w:rsidR="00823F92">
        <w:rPr>
          <w:lang w:val="en-US"/>
        </w:rPr>
        <w:t xml:space="preserve"> </w:t>
      </w:r>
      <w:r w:rsidRPr="006C4490">
        <w:rPr>
          <w:lang w:val="en-US"/>
        </w:rPr>
        <w:t>wit</w:t>
      </w:r>
      <w:r w:rsidR="00823F92" w:rsidRPr="006C4490">
        <w:rPr>
          <w:lang w:val="en-US"/>
        </w:rPr>
        <w:t>h</w:t>
      </w:r>
      <w:r w:rsidR="00823F92">
        <w:rPr>
          <w:lang w:val="en-US"/>
        </w:rPr>
        <w:t xml:space="preserve"> </w:t>
      </w:r>
      <w:r w:rsidRPr="006C4490">
        <w:rPr>
          <w:lang w:val="en-US"/>
        </w:rPr>
        <w:t>th</w:t>
      </w:r>
      <w:r w:rsidR="00823F92" w:rsidRPr="006C4490">
        <w:rPr>
          <w:lang w:val="en-US"/>
        </w:rPr>
        <w:t>e</w:t>
      </w:r>
      <w:r w:rsidR="00823F92">
        <w:rPr>
          <w:lang w:val="en-US"/>
        </w:rPr>
        <w:t xml:space="preserve"> </w:t>
      </w:r>
      <w:r w:rsidRPr="006C4490">
        <w:rPr>
          <w:lang w:val="en-US"/>
        </w:rPr>
        <w:t>need</w:t>
      </w:r>
      <w:r w:rsidR="00823F92" w:rsidRPr="006C4490">
        <w:rPr>
          <w:lang w:val="en-US"/>
        </w:rPr>
        <w:t>s</w:t>
      </w:r>
      <w:r w:rsidR="00823F92">
        <w:rPr>
          <w:lang w:val="en-US"/>
        </w:rPr>
        <w:t xml:space="preserve"> </w:t>
      </w:r>
      <w:r w:rsidRPr="006C4490">
        <w:rPr>
          <w:lang w:val="en-US"/>
        </w:rPr>
        <w:t>o</w:t>
      </w:r>
      <w:r w:rsidR="00823F92" w:rsidRPr="006C4490">
        <w:rPr>
          <w:lang w:val="en-US"/>
        </w:rPr>
        <w:t>f</w:t>
      </w:r>
      <w:r w:rsidR="00823F92">
        <w:rPr>
          <w:lang w:val="en-US"/>
        </w:rPr>
        <w:t xml:space="preserve"> </w:t>
      </w:r>
      <w:r w:rsidRPr="006C4490">
        <w:rPr>
          <w:lang w:val="en-US"/>
        </w:rPr>
        <w:t>consumers</w:t>
      </w:r>
      <w:r w:rsidR="00823F92" w:rsidRPr="006C4490">
        <w:rPr>
          <w:lang w:val="en-US"/>
        </w:rPr>
        <w:t>.</w:t>
      </w:r>
      <w:r w:rsidR="00823F92">
        <w:rPr>
          <w:lang w:val="en-US"/>
        </w:rPr>
        <w:t xml:space="preserve"> </w:t>
      </w:r>
    </w:p>
    <w:p w14:paraId="260DF6AA" w14:textId="6589589F" w:rsidR="008146BE" w:rsidRDefault="008146BE" w:rsidP="008146BE">
      <w:pPr>
        <w:pStyle w:val="Heading3"/>
        <w:rPr>
          <w:lang w:val="en-US"/>
        </w:rPr>
      </w:pPr>
      <w:r>
        <w:rPr>
          <w:lang w:val="en-US"/>
        </w:rPr>
        <w:t>Nationa</w:t>
      </w:r>
      <w:r w:rsidR="00823F92">
        <w:rPr>
          <w:lang w:val="en-US"/>
        </w:rPr>
        <w:t xml:space="preserve">l </w:t>
      </w:r>
      <w:r>
        <w:rPr>
          <w:lang w:val="en-US"/>
        </w:rPr>
        <w:t>Suicid</w:t>
      </w:r>
      <w:r w:rsidR="00823F92">
        <w:rPr>
          <w:lang w:val="en-US"/>
        </w:rPr>
        <w:t xml:space="preserve">e </w:t>
      </w:r>
      <w:r>
        <w:rPr>
          <w:lang w:val="en-US"/>
        </w:rPr>
        <w:t>Preventio</w:t>
      </w:r>
      <w:r w:rsidR="00823F92">
        <w:rPr>
          <w:lang w:val="en-US"/>
        </w:rPr>
        <w:t xml:space="preserve">n </w:t>
      </w:r>
      <w:r>
        <w:rPr>
          <w:lang w:val="en-US"/>
        </w:rPr>
        <w:t>Advis</w:t>
      </w:r>
      <w:r w:rsidR="00957A4C">
        <w:rPr>
          <w:lang w:val="en-US"/>
        </w:rPr>
        <w:t>e</w:t>
      </w:r>
      <w:r w:rsidR="00823F92">
        <w:rPr>
          <w:lang w:val="en-US"/>
        </w:rPr>
        <w:t xml:space="preserve">r </w:t>
      </w:r>
      <w:r w:rsidR="00957A4C">
        <w:rPr>
          <w:lang w:val="en-US"/>
        </w:rPr>
        <w:t>– Fina</w:t>
      </w:r>
      <w:r w:rsidR="00823F92">
        <w:rPr>
          <w:lang w:val="en-US"/>
        </w:rPr>
        <w:t xml:space="preserve">l </w:t>
      </w:r>
      <w:r w:rsidR="00957A4C">
        <w:rPr>
          <w:lang w:val="en-US"/>
        </w:rPr>
        <w:t>Advice</w:t>
      </w:r>
    </w:p>
    <w:p w14:paraId="67F58E33" w14:textId="3AA1B59B" w:rsidR="00957A4C" w:rsidRDefault="00270FA9" w:rsidP="00957A4C">
      <w:pPr>
        <w:pStyle w:val="BodyText"/>
        <w:rPr>
          <w:lang w:val="en-US"/>
        </w:rPr>
      </w:pPr>
      <w:r>
        <w:rPr>
          <w:lang w:val="en-US"/>
        </w:rPr>
        <w:t>Th</w:t>
      </w:r>
      <w:r w:rsidR="00823F92">
        <w:rPr>
          <w:lang w:val="en-US"/>
        </w:rPr>
        <w:t xml:space="preserve">e </w:t>
      </w:r>
      <w:r>
        <w:rPr>
          <w:lang w:val="en-US"/>
        </w:rPr>
        <w:t>f</w:t>
      </w:r>
      <w:r w:rsidRPr="00270FA9">
        <w:rPr>
          <w:lang w:val="en-US"/>
        </w:rPr>
        <w:t>irs</w:t>
      </w:r>
      <w:r w:rsidR="00823F92" w:rsidRPr="00270FA9">
        <w:rPr>
          <w:lang w:val="en-US"/>
        </w:rPr>
        <w:t>t</w:t>
      </w:r>
      <w:r w:rsidR="00823F92">
        <w:rPr>
          <w:lang w:val="en-US"/>
        </w:rPr>
        <w:t xml:space="preserve"> </w:t>
      </w:r>
      <w:r w:rsidRPr="00270FA9">
        <w:rPr>
          <w:lang w:val="en-US"/>
        </w:rPr>
        <w:t>Nationa</w:t>
      </w:r>
      <w:r w:rsidR="00823F92" w:rsidRPr="00270FA9">
        <w:rPr>
          <w:lang w:val="en-US"/>
        </w:rPr>
        <w:t>l</w:t>
      </w:r>
      <w:r w:rsidR="00823F92">
        <w:rPr>
          <w:lang w:val="en-US"/>
        </w:rPr>
        <w:t xml:space="preserve"> </w:t>
      </w:r>
      <w:r w:rsidRPr="00270FA9">
        <w:rPr>
          <w:lang w:val="en-US"/>
        </w:rPr>
        <w:t>Suicid</w:t>
      </w:r>
      <w:r w:rsidR="00823F92" w:rsidRPr="00270FA9">
        <w:rPr>
          <w:lang w:val="en-US"/>
        </w:rPr>
        <w:t>e</w:t>
      </w:r>
      <w:r w:rsidR="00823F92">
        <w:rPr>
          <w:lang w:val="en-US"/>
        </w:rPr>
        <w:t xml:space="preserve"> </w:t>
      </w:r>
      <w:r w:rsidRPr="00270FA9">
        <w:rPr>
          <w:lang w:val="en-US"/>
        </w:rPr>
        <w:t>Preventio</w:t>
      </w:r>
      <w:r w:rsidR="00823F92" w:rsidRPr="00270FA9">
        <w:rPr>
          <w:lang w:val="en-US"/>
        </w:rPr>
        <w:t>n</w:t>
      </w:r>
      <w:r w:rsidR="00823F92">
        <w:rPr>
          <w:lang w:val="en-US"/>
        </w:rPr>
        <w:t xml:space="preserve"> </w:t>
      </w:r>
      <w:r w:rsidRPr="00270FA9">
        <w:rPr>
          <w:lang w:val="en-US"/>
        </w:rPr>
        <w:t>Advise</w:t>
      </w:r>
      <w:r w:rsidR="00823F92" w:rsidRPr="00270FA9">
        <w:rPr>
          <w:lang w:val="en-US"/>
        </w:rPr>
        <w:t>r</w:t>
      </w:r>
      <w:r w:rsidR="00823F92">
        <w:rPr>
          <w:lang w:val="en-US"/>
        </w:rPr>
        <w:t xml:space="preserve"> </w:t>
      </w:r>
      <w:r>
        <w:rPr>
          <w:lang w:val="en-US"/>
        </w:rPr>
        <w:t>reporte</w:t>
      </w:r>
      <w:r w:rsidR="00823F92">
        <w:rPr>
          <w:lang w:val="en-US"/>
        </w:rPr>
        <w:t xml:space="preserve">d </w:t>
      </w:r>
      <w:r w:rsidRPr="00270FA9">
        <w:rPr>
          <w:lang w:val="en-US"/>
        </w:rPr>
        <w:t>directl</w:t>
      </w:r>
      <w:r w:rsidR="00823F92" w:rsidRPr="00270FA9">
        <w:rPr>
          <w:lang w:val="en-US"/>
        </w:rPr>
        <w:t>y</w:t>
      </w:r>
      <w:r w:rsidR="00823F92">
        <w:rPr>
          <w:lang w:val="en-US"/>
        </w:rPr>
        <w:t xml:space="preserve"> </w:t>
      </w:r>
      <w:r w:rsidRPr="00270FA9">
        <w:rPr>
          <w:lang w:val="en-US"/>
        </w:rPr>
        <w:t>t</w:t>
      </w:r>
      <w:r w:rsidR="00823F92" w:rsidRPr="00270FA9">
        <w:rPr>
          <w:lang w:val="en-US"/>
        </w:rPr>
        <w:t>o</w:t>
      </w:r>
      <w:r w:rsidR="00823F92">
        <w:rPr>
          <w:lang w:val="en-US"/>
        </w:rPr>
        <w:t xml:space="preserve"> </w:t>
      </w:r>
      <w:r w:rsidRPr="00270FA9">
        <w:rPr>
          <w:lang w:val="en-US"/>
        </w:rPr>
        <w:t>th</w:t>
      </w:r>
      <w:r w:rsidR="00823F92" w:rsidRPr="00270FA9">
        <w:rPr>
          <w:lang w:val="en-US"/>
        </w:rPr>
        <w:t>e</w:t>
      </w:r>
      <w:r w:rsidR="00823F92">
        <w:rPr>
          <w:lang w:val="en-US"/>
        </w:rPr>
        <w:t xml:space="preserve"> </w:t>
      </w:r>
      <w:r w:rsidRPr="00270FA9">
        <w:rPr>
          <w:lang w:val="en-US"/>
        </w:rPr>
        <w:t>Prim</w:t>
      </w:r>
      <w:r w:rsidR="00823F92" w:rsidRPr="00270FA9">
        <w:rPr>
          <w:lang w:val="en-US"/>
        </w:rPr>
        <w:t>e</w:t>
      </w:r>
      <w:r w:rsidR="00823F92">
        <w:rPr>
          <w:lang w:val="en-US"/>
        </w:rPr>
        <w:t xml:space="preserve"> </w:t>
      </w:r>
      <w:r w:rsidRPr="00270FA9">
        <w:rPr>
          <w:lang w:val="en-US"/>
        </w:rPr>
        <w:t>Minister</w:t>
      </w:r>
      <w:r w:rsidR="00823F92">
        <w:rPr>
          <w:lang w:val="en-US"/>
        </w:rPr>
        <w:t xml:space="preserve">, </w:t>
      </w:r>
      <w:r>
        <w:rPr>
          <w:lang w:val="en-US"/>
        </w:rPr>
        <w:t>wit</w:t>
      </w:r>
      <w:r w:rsidR="00823F92">
        <w:rPr>
          <w:lang w:val="en-US"/>
        </w:rPr>
        <w:t xml:space="preserve">h </w:t>
      </w:r>
      <w:r>
        <w:rPr>
          <w:lang w:val="en-US"/>
        </w:rPr>
        <w:t>fina</w:t>
      </w:r>
      <w:r w:rsidR="00823F92">
        <w:rPr>
          <w:lang w:val="en-US"/>
        </w:rPr>
        <w:t xml:space="preserve">l </w:t>
      </w:r>
      <w:r>
        <w:rPr>
          <w:lang w:val="en-US"/>
        </w:rPr>
        <w:t>advic</w:t>
      </w:r>
      <w:r w:rsidR="00823F92">
        <w:rPr>
          <w:lang w:val="en-US"/>
        </w:rPr>
        <w:t xml:space="preserve">e </w:t>
      </w:r>
      <w:r>
        <w:rPr>
          <w:lang w:val="en-US"/>
        </w:rPr>
        <w:t>provide</w:t>
      </w:r>
      <w:r w:rsidR="00823F92">
        <w:rPr>
          <w:lang w:val="en-US"/>
        </w:rPr>
        <w:t xml:space="preserve">d </w:t>
      </w:r>
      <w:r>
        <w:rPr>
          <w:lang w:val="en-US"/>
        </w:rPr>
        <w:t>i</w:t>
      </w:r>
      <w:r w:rsidR="00823F92">
        <w:rPr>
          <w:lang w:val="en-US"/>
        </w:rPr>
        <w:t xml:space="preserve">n </w:t>
      </w:r>
      <w:r>
        <w:rPr>
          <w:lang w:val="en-US"/>
        </w:rPr>
        <w:t>202</w:t>
      </w:r>
      <w:r w:rsidR="00823F92">
        <w:rPr>
          <w:lang w:val="en-US"/>
        </w:rPr>
        <w:t xml:space="preserve">0 </w:t>
      </w:r>
      <w:r>
        <w:rPr>
          <w:lang w:val="en-US"/>
        </w:rPr>
        <w:t>t</w:t>
      </w:r>
      <w:r w:rsidR="00823F92">
        <w:rPr>
          <w:lang w:val="en-US"/>
        </w:rPr>
        <w:t xml:space="preserve">o </w:t>
      </w:r>
      <w:r>
        <w:rPr>
          <w:lang w:val="en-US"/>
        </w:rPr>
        <w:t>driv</w:t>
      </w:r>
      <w:r w:rsidR="00823F92">
        <w:rPr>
          <w:lang w:val="en-US"/>
        </w:rPr>
        <w:t xml:space="preserve">e </w:t>
      </w:r>
      <w:r w:rsidR="00823F92" w:rsidRPr="00270FA9">
        <w:rPr>
          <w:lang w:val="en-US"/>
        </w:rPr>
        <w:t>a</w:t>
      </w:r>
      <w:r w:rsidR="00823F92">
        <w:rPr>
          <w:lang w:val="en-US"/>
        </w:rPr>
        <w:t xml:space="preserve"> </w:t>
      </w:r>
      <w:r w:rsidRPr="00270FA9">
        <w:rPr>
          <w:lang w:val="en-US"/>
        </w:rPr>
        <w:t>whole-of-governmen</w:t>
      </w:r>
      <w:r w:rsidR="00823F92" w:rsidRPr="00270FA9">
        <w:rPr>
          <w:lang w:val="en-US"/>
        </w:rPr>
        <w:t>t</w:t>
      </w:r>
      <w:r w:rsidR="00823F92">
        <w:rPr>
          <w:lang w:val="en-US"/>
        </w:rPr>
        <w:t xml:space="preserve"> </w:t>
      </w:r>
      <w:r w:rsidRPr="00270FA9">
        <w:rPr>
          <w:lang w:val="en-US"/>
        </w:rPr>
        <w:t>nationa</w:t>
      </w:r>
      <w:r w:rsidR="00823F92" w:rsidRPr="00270FA9">
        <w:rPr>
          <w:lang w:val="en-US"/>
        </w:rPr>
        <w:t>l</w:t>
      </w:r>
      <w:r w:rsidR="00823F92">
        <w:rPr>
          <w:lang w:val="en-US"/>
        </w:rPr>
        <w:t xml:space="preserve"> </w:t>
      </w:r>
      <w:r w:rsidRPr="00270FA9">
        <w:rPr>
          <w:lang w:val="en-US"/>
        </w:rPr>
        <w:t>approac</w:t>
      </w:r>
      <w:r w:rsidR="00823F92" w:rsidRPr="00270FA9">
        <w:rPr>
          <w:lang w:val="en-US"/>
        </w:rPr>
        <w:t>h</w:t>
      </w:r>
      <w:r w:rsidR="00823F92">
        <w:rPr>
          <w:lang w:val="en-US"/>
        </w:rPr>
        <w:t xml:space="preserve"> </w:t>
      </w:r>
      <w:r w:rsidRPr="00270FA9">
        <w:rPr>
          <w:lang w:val="en-US"/>
        </w:rPr>
        <w:t>t</w:t>
      </w:r>
      <w:r w:rsidR="00823F92" w:rsidRPr="00270FA9">
        <w:rPr>
          <w:lang w:val="en-US"/>
        </w:rPr>
        <w:t>o</w:t>
      </w:r>
      <w:r w:rsidR="00823F92">
        <w:rPr>
          <w:lang w:val="en-US"/>
        </w:rPr>
        <w:t xml:space="preserve"> </w:t>
      </w:r>
      <w:r w:rsidRPr="00270FA9">
        <w:rPr>
          <w:lang w:val="en-US"/>
        </w:rPr>
        <w:t>suicid</w:t>
      </w:r>
      <w:r w:rsidR="00823F92" w:rsidRPr="00270FA9">
        <w:rPr>
          <w:lang w:val="en-US"/>
        </w:rPr>
        <w:t>e</w:t>
      </w:r>
      <w:r w:rsidR="00823F92">
        <w:rPr>
          <w:lang w:val="en-US"/>
        </w:rPr>
        <w:t xml:space="preserve"> </w:t>
      </w:r>
      <w:r w:rsidRPr="00270FA9">
        <w:rPr>
          <w:lang w:val="en-US"/>
        </w:rPr>
        <w:t>prevention</w:t>
      </w:r>
      <w:r w:rsidR="00823F92" w:rsidRPr="00270FA9">
        <w:rPr>
          <w:lang w:val="en-US"/>
        </w:rPr>
        <w:t>,</w:t>
      </w:r>
      <w:r w:rsidR="00823F92">
        <w:rPr>
          <w:lang w:val="en-US"/>
        </w:rPr>
        <w:t xml:space="preserve"> </w:t>
      </w:r>
      <w:r w:rsidRPr="00270FA9">
        <w:rPr>
          <w:lang w:val="en-US"/>
        </w:rPr>
        <w:t>i</w:t>
      </w:r>
      <w:r w:rsidR="00823F92" w:rsidRPr="00270FA9">
        <w:rPr>
          <w:lang w:val="en-US"/>
        </w:rPr>
        <w:t>n</w:t>
      </w:r>
      <w:r w:rsidR="00823F92">
        <w:rPr>
          <w:lang w:val="en-US"/>
        </w:rPr>
        <w:t xml:space="preserve"> </w:t>
      </w:r>
      <w:r w:rsidRPr="00270FA9">
        <w:rPr>
          <w:lang w:val="en-US"/>
        </w:rPr>
        <w:t>suppor</w:t>
      </w:r>
      <w:r w:rsidR="00823F92" w:rsidRPr="00270FA9">
        <w:rPr>
          <w:lang w:val="en-US"/>
        </w:rPr>
        <w:t>t</w:t>
      </w:r>
      <w:r w:rsidR="00823F92">
        <w:rPr>
          <w:lang w:val="en-US"/>
        </w:rPr>
        <w:t xml:space="preserve"> </w:t>
      </w:r>
      <w:r w:rsidRPr="00270FA9">
        <w:rPr>
          <w:lang w:val="en-US"/>
        </w:rPr>
        <w:t>o</w:t>
      </w:r>
      <w:r w:rsidR="00823F92" w:rsidRPr="00270FA9">
        <w:rPr>
          <w:lang w:val="en-US"/>
        </w:rPr>
        <w:t>f</w:t>
      </w:r>
      <w:r w:rsidR="00823F92">
        <w:rPr>
          <w:lang w:val="en-US"/>
        </w:rPr>
        <w:t xml:space="preserve"> </w:t>
      </w:r>
      <w:r w:rsidRPr="00270FA9">
        <w:rPr>
          <w:lang w:val="en-US"/>
        </w:rPr>
        <w:t>th</w:t>
      </w:r>
      <w:r w:rsidR="00823F92" w:rsidRPr="00270FA9">
        <w:rPr>
          <w:lang w:val="en-US"/>
        </w:rPr>
        <w:t>e</w:t>
      </w:r>
      <w:r w:rsidR="00823F92">
        <w:rPr>
          <w:lang w:val="en-US"/>
        </w:rPr>
        <w:t xml:space="preserve"> </w:t>
      </w:r>
      <w:r w:rsidRPr="00270FA9">
        <w:rPr>
          <w:lang w:val="en-US"/>
        </w:rPr>
        <w:t>Australia</w:t>
      </w:r>
      <w:r w:rsidR="00823F92" w:rsidRPr="00270FA9">
        <w:rPr>
          <w:lang w:val="en-US"/>
        </w:rPr>
        <w:t>n</w:t>
      </w:r>
      <w:r w:rsidR="00823F92">
        <w:rPr>
          <w:lang w:val="en-US"/>
        </w:rPr>
        <w:t xml:space="preserve"> </w:t>
      </w:r>
      <w:r w:rsidRPr="00270FA9">
        <w:rPr>
          <w:lang w:val="en-US"/>
        </w:rPr>
        <w:t>Government’</w:t>
      </w:r>
      <w:r w:rsidR="00823F92" w:rsidRPr="00270FA9">
        <w:rPr>
          <w:lang w:val="en-US"/>
        </w:rPr>
        <w:t>s</w:t>
      </w:r>
      <w:r w:rsidR="00823F92">
        <w:rPr>
          <w:lang w:val="en-US"/>
        </w:rPr>
        <w:t xml:space="preserve"> </w:t>
      </w:r>
      <w:r w:rsidRPr="00270FA9">
        <w:rPr>
          <w:lang w:val="en-US"/>
        </w:rPr>
        <w:t>‘toward</w:t>
      </w:r>
      <w:r w:rsidR="00823F92" w:rsidRPr="00270FA9">
        <w:rPr>
          <w:lang w:val="en-US"/>
        </w:rPr>
        <w:t>s</w:t>
      </w:r>
      <w:r w:rsidR="00823F92">
        <w:rPr>
          <w:lang w:val="en-US"/>
        </w:rPr>
        <w:t xml:space="preserve"> </w:t>
      </w:r>
      <w:r w:rsidRPr="00270FA9">
        <w:rPr>
          <w:lang w:val="en-US"/>
        </w:rPr>
        <w:t>zero’ suicide</w:t>
      </w:r>
      <w:r w:rsidR="00823F92" w:rsidRPr="00270FA9">
        <w:rPr>
          <w:lang w:val="en-US"/>
        </w:rPr>
        <w:t>s</w:t>
      </w:r>
      <w:r w:rsidR="00823F92">
        <w:rPr>
          <w:lang w:val="en-US"/>
        </w:rPr>
        <w:t xml:space="preserve"> </w:t>
      </w:r>
      <w:r w:rsidRPr="00270FA9">
        <w:rPr>
          <w:lang w:val="en-US"/>
        </w:rPr>
        <w:t>goal.</w:t>
      </w:r>
    </w:p>
    <w:p w14:paraId="3A75AAC6" w14:textId="7558B474" w:rsidR="00270FA9" w:rsidRDefault="00270FA9" w:rsidP="00A952D6">
      <w:pPr>
        <w:pStyle w:val="BodyText"/>
        <w:rPr>
          <w:lang w:val="en-US"/>
        </w:rPr>
      </w:pPr>
      <w:r>
        <w:rPr>
          <w:lang w:val="en-US"/>
        </w:rPr>
        <w:t>Th</w:t>
      </w:r>
      <w:r w:rsidR="00823F92">
        <w:rPr>
          <w:lang w:val="en-US"/>
        </w:rPr>
        <w:t xml:space="preserve">e </w:t>
      </w:r>
      <w:r>
        <w:rPr>
          <w:lang w:val="en-US"/>
        </w:rPr>
        <w:t>Fina</w:t>
      </w:r>
      <w:r w:rsidR="00823F92">
        <w:rPr>
          <w:lang w:val="en-US"/>
        </w:rPr>
        <w:t xml:space="preserve">l </w:t>
      </w:r>
      <w:r>
        <w:rPr>
          <w:lang w:val="en-US"/>
        </w:rPr>
        <w:t>Advic</w:t>
      </w:r>
      <w:r w:rsidR="00823F92">
        <w:rPr>
          <w:lang w:val="en-US"/>
        </w:rPr>
        <w:t xml:space="preserve">e </w:t>
      </w:r>
      <w:r w:rsidR="00372803">
        <w:rPr>
          <w:lang w:val="en-US"/>
        </w:rPr>
        <w:t>identifie</w:t>
      </w:r>
      <w:r w:rsidR="00823F92">
        <w:rPr>
          <w:lang w:val="en-US"/>
        </w:rPr>
        <w:t xml:space="preserve">s </w:t>
      </w:r>
      <w:r w:rsidR="00372803">
        <w:rPr>
          <w:lang w:val="en-US"/>
        </w:rPr>
        <w:t>ke</w:t>
      </w:r>
      <w:r w:rsidR="00823F92">
        <w:rPr>
          <w:lang w:val="en-US"/>
        </w:rPr>
        <w:t xml:space="preserve">y </w:t>
      </w:r>
      <w:r w:rsidR="00372803">
        <w:rPr>
          <w:lang w:val="en-US"/>
        </w:rPr>
        <w:t>opportunitie</w:t>
      </w:r>
      <w:r w:rsidR="00823F92">
        <w:rPr>
          <w:lang w:val="en-US"/>
        </w:rPr>
        <w:t xml:space="preserve">s </w:t>
      </w:r>
      <w:r w:rsidR="00372803">
        <w:rPr>
          <w:lang w:val="en-US"/>
        </w:rPr>
        <w:t>t</w:t>
      </w:r>
      <w:r w:rsidR="00823F92">
        <w:rPr>
          <w:lang w:val="en-US"/>
        </w:rPr>
        <w:t xml:space="preserve">o </w:t>
      </w:r>
      <w:r w:rsidR="00A952D6">
        <w:rPr>
          <w:lang w:val="en-US"/>
        </w:rPr>
        <w:t>be</w:t>
      </w:r>
      <w:r w:rsidR="00A952D6" w:rsidRPr="00A952D6">
        <w:rPr>
          <w:lang w:val="en-US"/>
        </w:rPr>
        <w:t>tte</w:t>
      </w:r>
      <w:r w:rsidR="00823F92" w:rsidRPr="00A952D6">
        <w:rPr>
          <w:lang w:val="en-US"/>
        </w:rPr>
        <w:t>r</w:t>
      </w:r>
      <w:r w:rsidR="00823F92">
        <w:rPr>
          <w:lang w:val="en-US"/>
        </w:rPr>
        <w:t xml:space="preserve"> </w:t>
      </w:r>
      <w:r w:rsidR="00A952D6" w:rsidRPr="00A952D6">
        <w:rPr>
          <w:lang w:val="en-US"/>
        </w:rPr>
        <w:t>understan</w:t>
      </w:r>
      <w:r w:rsidR="00823F92" w:rsidRPr="00A952D6">
        <w:rPr>
          <w:lang w:val="en-US"/>
        </w:rPr>
        <w:t>d</w:t>
      </w:r>
      <w:r w:rsidR="00823F92">
        <w:rPr>
          <w:lang w:val="en-US"/>
        </w:rPr>
        <w:t xml:space="preserve"> </w:t>
      </w:r>
      <w:r w:rsidR="00A952D6" w:rsidRPr="00A952D6">
        <w:rPr>
          <w:lang w:val="en-US"/>
        </w:rPr>
        <w:t>th</w:t>
      </w:r>
      <w:r w:rsidR="00823F92" w:rsidRPr="00A952D6">
        <w:rPr>
          <w:lang w:val="en-US"/>
        </w:rPr>
        <w:t>e</w:t>
      </w:r>
      <w:r w:rsidR="00823F92">
        <w:rPr>
          <w:lang w:val="en-US"/>
        </w:rPr>
        <w:t xml:space="preserve"> </w:t>
      </w:r>
      <w:r w:rsidR="00A952D6" w:rsidRPr="00A952D6">
        <w:rPr>
          <w:lang w:val="en-US"/>
        </w:rPr>
        <w:t>factor</w:t>
      </w:r>
      <w:r w:rsidR="00823F92" w:rsidRPr="00A952D6">
        <w:rPr>
          <w:lang w:val="en-US"/>
        </w:rPr>
        <w:t>s</w:t>
      </w:r>
      <w:r w:rsidR="00823F92">
        <w:rPr>
          <w:lang w:val="en-US"/>
        </w:rPr>
        <w:t xml:space="preserve"> </w:t>
      </w:r>
      <w:r w:rsidR="00A952D6" w:rsidRPr="00A952D6">
        <w:rPr>
          <w:lang w:val="en-US"/>
        </w:rPr>
        <w:t>contributin</w:t>
      </w:r>
      <w:r w:rsidR="00823F92" w:rsidRPr="00A952D6">
        <w:rPr>
          <w:lang w:val="en-US"/>
        </w:rPr>
        <w:t>g</w:t>
      </w:r>
      <w:r w:rsidR="00823F92">
        <w:rPr>
          <w:lang w:val="en-US"/>
        </w:rPr>
        <w:t xml:space="preserve"> </w:t>
      </w:r>
      <w:r w:rsidR="00A952D6" w:rsidRPr="00A952D6">
        <w:rPr>
          <w:lang w:val="en-US"/>
        </w:rPr>
        <w:t>t</w:t>
      </w:r>
      <w:r w:rsidR="00823F92" w:rsidRPr="00A952D6">
        <w:rPr>
          <w:lang w:val="en-US"/>
        </w:rPr>
        <w:t>o</w:t>
      </w:r>
      <w:r w:rsidR="00823F92">
        <w:rPr>
          <w:lang w:val="en-US"/>
        </w:rPr>
        <w:t xml:space="preserve"> </w:t>
      </w:r>
      <w:r w:rsidR="00A952D6" w:rsidRPr="00A952D6">
        <w:rPr>
          <w:lang w:val="en-US"/>
        </w:rPr>
        <w:t>suicida</w:t>
      </w:r>
      <w:r w:rsidR="00823F92" w:rsidRPr="00A952D6">
        <w:rPr>
          <w:lang w:val="en-US"/>
        </w:rPr>
        <w:t>l</w:t>
      </w:r>
      <w:r w:rsidR="00823F92">
        <w:rPr>
          <w:lang w:val="en-US"/>
        </w:rPr>
        <w:t xml:space="preserve"> </w:t>
      </w:r>
      <w:r w:rsidR="00A952D6" w:rsidRPr="00A952D6">
        <w:rPr>
          <w:lang w:val="en-US"/>
        </w:rPr>
        <w:t>distres</w:t>
      </w:r>
      <w:r w:rsidR="00823F92" w:rsidRPr="00A952D6">
        <w:rPr>
          <w:lang w:val="en-US"/>
        </w:rPr>
        <w:t>s</w:t>
      </w:r>
      <w:r w:rsidR="00823F92">
        <w:rPr>
          <w:lang w:val="en-US"/>
        </w:rPr>
        <w:t xml:space="preserve"> </w:t>
      </w:r>
      <w:r w:rsidR="00A952D6" w:rsidRPr="00A952D6">
        <w:rPr>
          <w:lang w:val="en-US"/>
        </w:rPr>
        <w:t>an</w:t>
      </w:r>
      <w:r w:rsidR="00823F92" w:rsidRPr="00A952D6">
        <w:rPr>
          <w:lang w:val="en-US"/>
        </w:rPr>
        <w:t>d</w:t>
      </w:r>
      <w:r w:rsidR="00823F92">
        <w:rPr>
          <w:lang w:val="en-US"/>
        </w:rPr>
        <w:t xml:space="preserve"> </w:t>
      </w:r>
      <w:r w:rsidR="00A952D6" w:rsidRPr="00A952D6">
        <w:rPr>
          <w:lang w:val="en-US"/>
        </w:rPr>
        <w:t>suicida</w:t>
      </w:r>
      <w:r w:rsidR="00823F92" w:rsidRPr="00A952D6">
        <w:rPr>
          <w:lang w:val="en-US"/>
        </w:rPr>
        <w:t>l</w:t>
      </w:r>
      <w:r w:rsidR="00823F92">
        <w:rPr>
          <w:lang w:val="en-US"/>
        </w:rPr>
        <w:t xml:space="preserve"> </w:t>
      </w:r>
      <w:r w:rsidR="00A952D6" w:rsidRPr="00A952D6">
        <w:rPr>
          <w:lang w:val="en-US"/>
        </w:rPr>
        <w:t>behaviour</w:t>
      </w:r>
      <w:r w:rsidR="00823F92">
        <w:rPr>
          <w:lang w:val="en-US"/>
        </w:rPr>
        <w:t xml:space="preserve">, </w:t>
      </w:r>
      <w:r w:rsidR="00A952D6">
        <w:rPr>
          <w:lang w:val="en-US"/>
        </w:rPr>
        <w:t>an</w:t>
      </w:r>
      <w:r w:rsidR="00823F92">
        <w:rPr>
          <w:lang w:val="en-US"/>
        </w:rPr>
        <w:t xml:space="preserve">d </w:t>
      </w:r>
      <w:r w:rsidR="00A952D6">
        <w:rPr>
          <w:lang w:val="en-US"/>
        </w:rPr>
        <w:t>th</w:t>
      </w:r>
      <w:r w:rsidR="00823F92">
        <w:rPr>
          <w:lang w:val="en-US"/>
        </w:rPr>
        <w:t xml:space="preserve">e </w:t>
      </w:r>
      <w:r w:rsidR="00A952D6">
        <w:rPr>
          <w:lang w:val="en-US"/>
        </w:rPr>
        <w:t>reform</w:t>
      </w:r>
      <w:r w:rsidR="00823F92">
        <w:rPr>
          <w:lang w:val="en-US"/>
        </w:rPr>
        <w:t xml:space="preserve">s </w:t>
      </w:r>
      <w:r w:rsidR="00A952D6" w:rsidRPr="00A952D6">
        <w:rPr>
          <w:lang w:val="en-US"/>
        </w:rPr>
        <w:t>neede</w:t>
      </w:r>
      <w:r w:rsidR="00823F92" w:rsidRPr="00A952D6">
        <w:rPr>
          <w:lang w:val="en-US"/>
        </w:rPr>
        <w:t>d</w:t>
      </w:r>
      <w:r w:rsidR="00823F92">
        <w:rPr>
          <w:lang w:val="en-US"/>
        </w:rPr>
        <w:t xml:space="preserve"> </w:t>
      </w:r>
      <w:r w:rsidR="00A952D6" w:rsidRPr="00A952D6">
        <w:rPr>
          <w:lang w:val="en-US"/>
        </w:rPr>
        <w:t>t</w:t>
      </w:r>
      <w:r w:rsidR="00823F92" w:rsidRPr="00A952D6">
        <w:rPr>
          <w:lang w:val="en-US"/>
        </w:rPr>
        <w:t>o</w:t>
      </w:r>
      <w:r w:rsidR="00823F92">
        <w:rPr>
          <w:lang w:val="en-US"/>
        </w:rPr>
        <w:t xml:space="preserve"> </w:t>
      </w:r>
      <w:r w:rsidR="00A952D6" w:rsidRPr="00A952D6">
        <w:rPr>
          <w:lang w:val="en-US"/>
        </w:rPr>
        <w:t>delive</w:t>
      </w:r>
      <w:r w:rsidR="00823F92" w:rsidRPr="00A952D6">
        <w:rPr>
          <w:lang w:val="en-US"/>
        </w:rPr>
        <w:t>r</w:t>
      </w:r>
      <w:r w:rsidR="00823F92">
        <w:rPr>
          <w:lang w:val="en-US"/>
        </w:rPr>
        <w:t xml:space="preserve"> </w:t>
      </w:r>
      <w:r w:rsidR="00823F92" w:rsidRPr="00A952D6">
        <w:rPr>
          <w:lang w:val="en-US"/>
        </w:rPr>
        <w:t>a</w:t>
      </w:r>
      <w:r w:rsidR="00823F92">
        <w:rPr>
          <w:lang w:val="en-US"/>
        </w:rPr>
        <w:t xml:space="preserve"> </w:t>
      </w:r>
      <w:r w:rsidR="00A952D6" w:rsidRPr="00A952D6">
        <w:rPr>
          <w:lang w:val="en-US"/>
        </w:rPr>
        <w:t>comprehensiv</w:t>
      </w:r>
      <w:r w:rsidR="00823F92" w:rsidRPr="00A952D6">
        <w:rPr>
          <w:lang w:val="en-US"/>
        </w:rPr>
        <w:t>e</w:t>
      </w:r>
      <w:r w:rsidR="00823F92">
        <w:rPr>
          <w:lang w:val="en-US"/>
        </w:rPr>
        <w:t xml:space="preserve"> </w:t>
      </w:r>
      <w:r w:rsidR="00A952D6" w:rsidRPr="00A952D6">
        <w:rPr>
          <w:lang w:val="en-US"/>
        </w:rPr>
        <w:t>an</w:t>
      </w:r>
      <w:r w:rsidR="00823F92" w:rsidRPr="00A952D6">
        <w:rPr>
          <w:lang w:val="en-US"/>
        </w:rPr>
        <w:t>d</w:t>
      </w:r>
      <w:r w:rsidR="00823F92">
        <w:rPr>
          <w:lang w:val="en-US"/>
        </w:rPr>
        <w:t xml:space="preserve"> </w:t>
      </w:r>
      <w:r w:rsidR="00A952D6" w:rsidRPr="00A952D6">
        <w:rPr>
          <w:lang w:val="en-US"/>
        </w:rPr>
        <w:t>compassion-firs</w:t>
      </w:r>
      <w:r w:rsidR="00823F92" w:rsidRPr="00A952D6">
        <w:rPr>
          <w:lang w:val="en-US"/>
        </w:rPr>
        <w:t>t</w:t>
      </w:r>
      <w:r w:rsidR="00823F92">
        <w:rPr>
          <w:lang w:val="en-US"/>
        </w:rPr>
        <w:t xml:space="preserve"> </w:t>
      </w:r>
      <w:r w:rsidR="00A952D6" w:rsidRPr="00A952D6">
        <w:rPr>
          <w:lang w:val="en-US"/>
        </w:rPr>
        <w:t>approac</w:t>
      </w:r>
      <w:r w:rsidR="00823F92" w:rsidRPr="00A952D6">
        <w:rPr>
          <w:lang w:val="en-US"/>
        </w:rPr>
        <w:t>h</w:t>
      </w:r>
      <w:r w:rsidR="00823F92">
        <w:rPr>
          <w:lang w:val="en-US"/>
        </w:rPr>
        <w:t xml:space="preserve"> </w:t>
      </w:r>
      <w:r w:rsidR="00A952D6" w:rsidRPr="00A952D6">
        <w:rPr>
          <w:lang w:val="en-US"/>
        </w:rPr>
        <w:t>t</w:t>
      </w:r>
      <w:r w:rsidR="00823F92" w:rsidRPr="00A952D6">
        <w:rPr>
          <w:lang w:val="en-US"/>
        </w:rPr>
        <w:t>o</w:t>
      </w:r>
      <w:r w:rsidR="00823F92">
        <w:rPr>
          <w:lang w:val="en-US"/>
        </w:rPr>
        <w:t xml:space="preserve"> </w:t>
      </w:r>
      <w:r w:rsidR="00A952D6" w:rsidRPr="00A952D6">
        <w:rPr>
          <w:lang w:val="en-US"/>
        </w:rPr>
        <w:t>suicid</w:t>
      </w:r>
      <w:r w:rsidR="00823F92" w:rsidRPr="00A952D6">
        <w:rPr>
          <w:lang w:val="en-US"/>
        </w:rPr>
        <w:t>e</w:t>
      </w:r>
      <w:r w:rsidR="00823F92">
        <w:rPr>
          <w:lang w:val="en-US"/>
        </w:rPr>
        <w:t xml:space="preserve"> </w:t>
      </w:r>
      <w:r w:rsidR="00A952D6" w:rsidRPr="00A952D6">
        <w:rPr>
          <w:lang w:val="en-US"/>
        </w:rPr>
        <w:t>prevention</w:t>
      </w:r>
      <w:r w:rsidR="00823F92" w:rsidRPr="00A952D6">
        <w:rPr>
          <w:lang w:val="en-US"/>
        </w:rPr>
        <w:t>.</w:t>
      </w:r>
      <w:r w:rsidR="00823F92">
        <w:rPr>
          <w:lang w:val="en-US"/>
        </w:rPr>
        <w:t xml:space="preserve"> </w:t>
      </w:r>
      <w:r w:rsidR="007F1EE2">
        <w:rPr>
          <w:lang w:val="en-US"/>
        </w:rPr>
        <w:t>Thes</w:t>
      </w:r>
      <w:r w:rsidR="00823F92">
        <w:rPr>
          <w:lang w:val="en-US"/>
        </w:rPr>
        <w:t xml:space="preserve">e </w:t>
      </w:r>
      <w:r w:rsidR="007F1EE2">
        <w:rPr>
          <w:lang w:val="en-US"/>
        </w:rPr>
        <w:t>opportunitie</w:t>
      </w:r>
      <w:r w:rsidR="00823F92">
        <w:rPr>
          <w:lang w:val="en-US"/>
        </w:rPr>
        <w:t xml:space="preserve">s </w:t>
      </w:r>
      <w:r w:rsidR="007F1EE2">
        <w:rPr>
          <w:lang w:val="en-US"/>
        </w:rPr>
        <w:t>includ</w:t>
      </w:r>
      <w:r w:rsidR="00823F92">
        <w:rPr>
          <w:lang w:val="en-US"/>
        </w:rPr>
        <w:t xml:space="preserve">e </w:t>
      </w:r>
      <w:r w:rsidR="007F1EE2">
        <w:rPr>
          <w:lang w:val="en-US"/>
        </w:rPr>
        <w:t>prioritizin</w:t>
      </w:r>
      <w:r w:rsidR="00823F92">
        <w:rPr>
          <w:lang w:val="en-US"/>
        </w:rPr>
        <w:t xml:space="preserve">g </w:t>
      </w:r>
      <w:r w:rsidR="007F1EE2">
        <w:rPr>
          <w:lang w:val="en-US"/>
        </w:rPr>
        <w:t>live</w:t>
      </w:r>
      <w:r w:rsidR="00823F92">
        <w:rPr>
          <w:lang w:val="en-US"/>
        </w:rPr>
        <w:t xml:space="preserve">d </w:t>
      </w:r>
      <w:r w:rsidR="007F1EE2">
        <w:rPr>
          <w:lang w:val="en-US"/>
        </w:rPr>
        <w:t>experienc</w:t>
      </w:r>
      <w:r w:rsidR="00823F92">
        <w:rPr>
          <w:lang w:val="en-US"/>
        </w:rPr>
        <w:t xml:space="preserve">e </w:t>
      </w:r>
      <w:r w:rsidR="007F1EE2">
        <w:rPr>
          <w:lang w:val="en-US"/>
        </w:rPr>
        <w:t>int</w:t>
      </w:r>
      <w:r w:rsidR="00823F92">
        <w:rPr>
          <w:lang w:val="en-US"/>
        </w:rPr>
        <w:t xml:space="preserve">o </w:t>
      </w:r>
      <w:r w:rsidR="007F1EE2">
        <w:rPr>
          <w:lang w:val="en-US"/>
        </w:rPr>
        <w:t>plannin</w:t>
      </w:r>
      <w:r w:rsidR="00823F92">
        <w:rPr>
          <w:lang w:val="en-US"/>
        </w:rPr>
        <w:t xml:space="preserve">g </w:t>
      </w:r>
      <w:r w:rsidR="007F1EE2">
        <w:rPr>
          <w:lang w:val="en-US"/>
        </w:rPr>
        <w:t>an</w:t>
      </w:r>
      <w:r w:rsidR="00823F92">
        <w:rPr>
          <w:lang w:val="en-US"/>
        </w:rPr>
        <w:t xml:space="preserve">d </w:t>
      </w:r>
      <w:r w:rsidR="007F1EE2">
        <w:rPr>
          <w:lang w:val="en-US"/>
        </w:rPr>
        <w:t>delivery</w:t>
      </w:r>
      <w:r w:rsidR="00823F92">
        <w:rPr>
          <w:lang w:val="en-US"/>
        </w:rPr>
        <w:t xml:space="preserve">, </w:t>
      </w:r>
      <w:r w:rsidR="007F1EE2">
        <w:rPr>
          <w:lang w:val="en-US"/>
        </w:rPr>
        <w:t>supportin</w:t>
      </w:r>
      <w:r w:rsidR="00823F92">
        <w:rPr>
          <w:lang w:val="en-US"/>
        </w:rPr>
        <w:t xml:space="preserve">g </w:t>
      </w:r>
      <w:r w:rsidR="007F1EE2">
        <w:rPr>
          <w:lang w:val="en-US"/>
        </w:rPr>
        <w:t>earl</w:t>
      </w:r>
      <w:r w:rsidR="00823F92">
        <w:rPr>
          <w:lang w:val="en-US"/>
        </w:rPr>
        <w:t xml:space="preserve">y </w:t>
      </w:r>
      <w:r w:rsidR="007F1EE2">
        <w:rPr>
          <w:lang w:val="en-US"/>
        </w:rPr>
        <w:t>interventio</w:t>
      </w:r>
      <w:r w:rsidR="00823F92">
        <w:rPr>
          <w:lang w:val="en-US"/>
        </w:rPr>
        <w:t xml:space="preserve">n </w:t>
      </w:r>
      <w:r w:rsidR="007F1EE2">
        <w:rPr>
          <w:lang w:val="en-US"/>
        </w:rPr>
        <w:t>b</w:t>
      </w:r>
      <w:r w:rsidR="00823F92">
        <w:rPr>
          <w:lang w:val="en-US"/>
        </w:rPr>
        <w:t xml:space="preserve">y </w:t>
      </w:r>
      <w:r w:rsidR="007F1EE2">
        <w:rPr>
          <w:lang w:val="en-US"/>
        </w:rPr>
        <w:t>buildin</w:t>
      </w:r>
      <w:r w:rsidR="00823F92">
        <w:rPr>
          <w:lang w:val="en-US"/>
        </w:rPr>
        <w:t xml:space="preserve">g </w:t>
      </w:r>
      <w:r w:rsidR="007F1EE2">
        <w:rPr>
          <w:lang w:val="en-US"/>
        </w:rPr>
        <w:t>workforc</w:t>
      </w:r>
      <w:r w:rsidR="00823F92">
        <w:rPr>
          <w:lang w:val="en-US"/>
        </w:rPr>
        <w:t xml:space="preserve">e </w:t>
      </w:r>
      <w:r w:rsidR="007F1EE2">
        <w:rPr>
          <w:lang w:val="en-US"/>
        </w:rPr>
        <w:t>capability</w:t>
      </w:r>
      <w:r w:rsidR="00823F92">
        <w:rPr>
          <w:lang w:val="en-US"/>
        </w:rPr>
        <w:t xml:space="preserve">, </w:t>
      </w:r>
      <w:r w:rsidR="00DB0A39">
        <w:rPr>
          <w:lang w:val="en-US"/>
        </w:rPr>
        <w:t>co-designin</w:t>
      </w:r>
      <w:r w:rsidR="00823F92">
        <w:rPr>
          <w:lang w:val="en-US"/>
        </w:rPr>
        <w:t xml:space="preserve">g </w:t>
      </w:r>
      <w:r w:rsidR="00DB0A39">
        <w:rPr>
          <w:lang w:val="en-US"/>
        </w:rPr>
        <w:t>effectiv</w:t>
      </w:r>
      <w:r w:rsidR="00823F92">
        <w:rPr>
          <w:lang w:val="en-US"/>
        </w:rPr>
        <w:t xml:space="preserve">e </w:t>
      </w:r>
      <w:r w:rsidR="00DB0A39">
        <w:rPr>
          <w:lang w:val="en-US"/>
        </w:rPr>
        <w:t>interventions</w:t>
      </w:r>
      <w:r w:rsidR="00823F92">
        <w:rPr>
          <w:lang w:val="en-US"/>
        </w:rPr>
        <w:t xml:space="preserve">, </w:t>
      </w:r>
      <w:r w:rsidR="00DB0A39">
        <w:rPr>
          <w:lang w:val="en-US"/>
        </w:rPr>
        <w:lastRenderedPageBreak/>
        <w:t>an</w:t>
      </w:r>
      <w:r w:rsidR="00823F92">
        <w:rPr>
          <w:lang w:val="en-US"/>
        </w:rPr>
        <w:t xml:space="preserve">d </w:t>
      </w:r>
      <w:r w:rsidR="00DB0A39">
        <w:rPr>
          <w:lang w:val="en-US"/>
        </w:rPr>
        <w:t>ensurin</w:t>
      </w:r>
      <w:r w:rsidR="00823F92">
        <w:rPr>
          <w:lang w:val="en-US"/>
        </w:rPr>
        <w:t xml:space="preserve">g </w:t>
      </w:r>
      <w:r w:rsidR="00DB0A39">
        <w:rPr>
          <w:lang w:val="en-US"/>
        </w:rPr>
        <w:t>tha</w:t>
      </w:r>
      <w:r w:rsidR="00823F92">
        <w:rPr>
          <w:lang w:val="en-US"/>
        </w:rPr>
        <w:t xml:space="preserve">t </w:t>
      </w:r>
      <w:r w:rsidR="00DB0A39">
        <w:rPr>
          <w:lang w:val="en-US"/>
        </w:rPr>
        <w:t>governmen</w:t>
      </w:r>
      <w:r w:rsidR="00823F92">
        <w:rPr>
          <w:lang w:val="en-US"/>
        </w:rPr>
        <w:t xml:space="preserve">t </w:t>
      </w:r>
      <w:r w:rsidR="00DB0A39">
        <w:rPr>
          <w:lang w:val="en-US"/>
        </w:rPr>
        <w:t>an</w:t>
      </w:r>
      <w:r w:rsidR="00823F92">
        <w:rPr>
          <w:lang w:val="en-US"/>
        </w:rPr>
        <w:t xml:space="preserve">d </w:t>
      </w:r>
      <w:r w:rsidR="00DB0A39">
        <w:rPr>
          <w:lang w:val="en-US"/>
        </w:rPr>
        <w:t>communit</w:t>
      </w:r>
      <w:r w:rsidR="00823F92">
        <w:rPr>
          <w:lang w:val="en-US"/>
        </w:rPr>
        <w:t xml:space="preserve">y </w:t>
      </w:r>
      <w:r w:rsidR="00DB0A39">
        <w:rPr>
          <w:lang w:val="en-US"/>
        </w:rPr>
        <w:t>service</w:t>
      </w:r>
      <w:r w:rsidR="00823F92">
        <w:rPr>
          <w:lang w:val="en-US"/>
        </w:rPr>
        <w:t xml:space="preserve">s </w:t>
      </w:r>
      <w:r w:rsidR="00DB0A39">
        <w:rPr>
          <w:lang w:val="en-US"/>
        </w:rPr>
        <w:t>hav</w:t>
      </w:r>
      <w:r w:rsidR="00823F92">
        <w:rPr>
          <w:lang w:val="en-US"/>
        </w:rPr>
        <w:t xml:space="preserve">e </w:t>
      </w:r>
      <w:r w:rsidR="00DB0A39">
        <w:rPr>
          <w:lang w:val="en-US"/>
        </w:rPr>
        <w:t>th</w:t>
      </w:r>
      <w:r w:rsidR="00823F92">
        <w:rPr>
          <w:lang w:val="en-US"/>
        </w:rPr>
        <w:t xml:space="preserve">e </w:t>
      </w:r>
      <w:r w:rsidR="00DB0A39">
        <w:rPr>
          <w:lang w:val="en-US"/>
        </w:rPr>
        <w:t>capacit</w:t>
      </w:r>
      <w:r w:rsidR="00823F92">
        <w:rPr>
          <w:lang w:val="en-US"/>
        </w:rPr>
        <w:t xml:space="preserve">y </w:t>
      </w:r>
      <w:r w:rsidR="00DB0A39">
        <w:rPr>
          <w:lang w:val="en-US"/>
        </w:rPr>
        <w:t>t</w:t>
      </w:r>
      <w:r w:rsidR="00823F92">
        <w:rPr>
          <w:lang w:val="en-US"/>
        </w:rPr>
        <w:t xml:space="preserve">o </w:t>
      </w:r>
      <w:r w:rsidR="00DB0A39">
        <w:rPr>
          <w:lang w:val="en-US"/>
        </w:rPr>
        <w:t>provid</w:t>
      </w:r>
      <w:r w:rsidR="00823F92">
        <w:rPr>
          <w:lang w:val="en-US"/>
        </w:rPr>
        <w:t xml:space="preserve">e </w:t>
      </w:r>
      <w:r w:rsidR="00DB0A39">
        <w:rPr>
          <w:lang w:val="en-US"/>
        </w:rPr>
        <w:t>outreac</w:t>
      </w:r>
      <w:r w:rsidR="00823F92">
        <w:rPr>
          <w:lang w:val="en-US"/>
        </w:rPr>
        <w:t xml:space="preserve">h </w:t>
      </w:r>
      <w:r w:rsidR="00DB0A39">
        <w:rPr>
          <w:lang w:val="en-US"/>
        </w:rPr>
        <w:t>an</w:t>
      </w:r>
      <w:r w:rsidR="00823F92">
        <w:rPr>
          <w:lang w:val="en-US"/>
        </w:rPr>
        <w:t xml:space="preserve">d </w:t>
      </w:r>
      <w:r w:rsidR="00DB0A39">
        <w:rPr>
          <w:lang w:val="en-US"/>
        </w:rPr>
        <w:t>support.</w:t>
      </w:r>
    </w:p>
    <w:p w14:paraId="046E1047" w14:textId="66B25347" w:rsidR="00DB0A39" w:rsidRPr="00957A4C" w:rsidRDefault="00DB0A39" w:rsidP="00A952D6">
      <w:pPr>
        <w:pStyle w:val="BodyText"/>
        <w:rPr>
          <w:lang w:val="en-US"/>
        </w:rPr>
      </w:pPr>
      <w:r>
        <w:rPr>
          <w:lang w:val="en-US"/>
        </w:rPr>
        <w:t>Th</w:t>
      </w:r>
      <w:r w:rsidR="00823F92">
        <w:rPr>
          <w:lang w:val="en-US"/>
        </w:rPr>
        <w:t xml:space="preserve">e </w:t>
      </w:r>
      <w:r>
        <w:rPr>
          <w:lang w:val="en-US"/>
        </w:rPr>
        <w:t>Fina</w:t>
      </w:r>
      <w:r w:rsidR="00823F92">
        <w:rPr>
          <w:lang w:val="en-US"/>
        </w:rPr>
        <w:t xml:space="preserve">l </w:t>
      </w:r>
      <w:r>
        <w:rPr>
          <w:lang w:val="en-US"/>
        </w:rPr>
        <w:t>Advic</w:t>
      </w:r>
      <w:r w:rsidR="00823F92">
        <w:rPr>
          <w:lang w:val="en-US"/>
        </w:rPr>
        <w:t xml:space="preserve">e </w:t>
      </w:r>
      <w:proofErr w:type="spellStart"/>
      <w:r>
        <w:rPr>
          <w:lang w:val="en-US"/>
        </w:rPr>
        <w:t>recognise</w:t>
      </w:r>
      <w:r w:rsidR="00823F92">
        <w:rPr>
          <w:lang w:val="en-US"/>
        </w:rPr>
        <w:t>s</w:t>
      </w:r>
      <w:proofErr w:type="spellEnd"/>
      <w:r w:rsidR="00823F92">
        <w:rPr>
          <w:lang w:val="en-US"/>
        </w:rPr>
        <w:t xml:space="preserve"> </w:t>
      </w:r>
      <w:r>
        <w:rPr>
          <w:lang w:val="en-US"/>
        </w:rPr>
        <w:t>th</w:t>
      </w:r>
      <w:r w:rsidR="00823F92">
        <w:rPr>
          <w:lang w:val="en-US"/>
        </w:rPr>
        <w:t xml:space="preserve">e </w:t>
      </w:r>
      <w:r>
        <w:rPr>
          <w:lang w:val="en-US"/>
        </w:rPr>
        <w:t>broa</w:t>
      </w:r>
      <w:r w:rsidR="00823F92">
        <w:rPr>
          <w:lang w:val="en-US"/>
        </w:rPr>
        <w:t xml:space="preserve">d </w:t>
      </w:r>
      <w:r>
        <w:rPr>
          <w:lang w:val="en-US"/>
        </w:rPr>
        <w:t>rang</w:t>
      </w:r>
      <w:r w:rsidR="00823F92">
        <w:rPr>
          <w:lang w:val="en-US"/>
        </w:rPr>
        <w:t xml:space="preserve">e </w:t>
      </w:r>
      <w:r>
        <w:rPr>
          <w:lang w:val="en-US"/>
        </w:rPr>
        <w:t>o</w:t>
      </w:r>
      <w:r w:rsidR="00823F92">
        <w:rPr>
          <w:lang w:val="en-US"/>
        </w:rPr>
        <w:t xml:space="preserve">f </w:t>
      </w:r>
      <w:r>
        <w:rPr>
          <w:lang w:val="en-US"/>
        </w:rPr>
        <w:t>workforce</w:t>
      </w:r>
      <w:r w:rsidR="00823F92">
        <w:rPr>
          <w:lang w:val="en-US"/>
        </w:rPr>
        <w:t xml:space="preserve">s </w:t>
      </w:r>
      <w:r>
        <w:rPr>
          <w:lang w:val="en-US"/>
        </w:rPr>
        <w:t>involve</w:t>
      </w:r>
      <w:r w:rsidR="00823F92">
        <w:rPr>
          <w:lang w:val="en-US"/>
        </w:rPr>
        <w:t xml:space="preserve">d </w:t>
      </w:r>
      <w:r>
        <w:rPr>
          <w:lang w:val="en-US"/>
        </w:rPr>
        <w:t>directl</w:t>
      </w:r>
      <w:r w:rsidR="00823F92">
        <w:rPr>
          <w:lang w:val="en-US"/>
        </w:rPr>
        <w:t xml:space="preserve">y </w:t>
      </w:r>
      <w:r>
        <w:rPr>
          <w:lang w:val="en-US"/>
        </w:rPr>
        <w:t>an</w:t>
      </w:r>
      <w:r w:rsidR="00823F92">
        <w:rPr>
          <w:lang w:val="en-US"/>
        </w:rPr>
        <w:t xml:space="preserve">d </w:t>
      </w:r>
      <w:r>
        <w:rPr>
          <w:lang w:val="en-US"/>
        </w:rPr>
        <w:t>indirectl</w:t>
      </w:r>
      <w:r w:rsidR="00823F92">
        <w:rPr>
          <w:lang w:val="en-US"/>
        </w:rPr>
        <w:t xml:space="preserve">y </w:t>
      </w:r>
      <w:r>
        <w:rPr>
          <w:lang w:val="en-US"/>
        </w:rPr>
        <w:t>i</w:t>
      </w:r>
      <w:r w:rsidR="00823F92">
        <w:rPr>
          <w:lang w:val="en-US"/>
        </w:rPr>
        <w:t xml:space="preserve">n </w:t>
      </w:r>
      <w:r>
        <w:rPr>
          <w:lang w:val="en-US"/>
        </w:rPr>
        <w:t>suicid</w:t>
      </w:r>
      <w:r w:rsidR="00823F92">
        <w:rPr>
          <w:lang w:val="en-US"/>
        </w:rPr>
        <w:t xml:space="preserve">e </w:t>
      </w:r>
      <w:r>
        <w:rPr>
          <w:lang w:val="en-US"/>
        </w:rPr>
        <w:t>prevention</w:t>
      </w:r>
      <w:r w:rsidR="00823F92">
        <w:rPr>
          <w:lang w:val="en-US"/>
        </w:rPr>
        <w:t xml:space="preserve">, </w:t>
      </w:r>
      <w:r w:rsidR="00CE0E03">
        <w:rPr>
          <w:lang w:val="en-US"/>
        </w:rPr>
        <w:t>an</w:t>
      </w:r>
      <w:r w:rsidR="00823F92">
        <w:rPr>
          <w:lang w:val="en-US"/>
        </w:rPr>
        <w:t xml:space="preserve">d </w:t>
      </w:r>
      <w:r w:rsidR="00CE0E03">
        <w:rPr>
          <w:lang w:val="en-US"/>
        </w:rPr>
        <w:t>th</w:t>
      </w:r>
      <w:r w:rsidR="00823F92">
        <w:rPr>
          <w:lang w:val="en-US"/>
        </w:rPr>
        <w:t xml:space="preserve">e </w:t>
      </w:r>
      <w:r w:rsidR="00CE0E03">
        <w:rPr>
          <w:lang w:val="en-US"/>
        </w:rPr>
        <w:t>nee</w:t>
      </w:r>
      <w:r w:rsidR="00823F92">
        <w:rPr>
          <w:lang w:val="en-US"/>
        </w:rPr>
        <w:t xml:space="preserve">d </w:t>
      </w:r>
      <w:r w:rsidR="00CE0E03">
        <w:rPr>
          <w:lang w:val="en-US"/>
        </w:rPr>
        <w:t>t</w:t>
      </w:r>
      <w:r w:rsidR="00823F92">
        <w:rPr>
          <w:lang w:val="en-US"/>
        </w:rPr>
        <w:t xml:space="preserve">o </w:t>
      </w:r>
      <w:r w:rsidR="00CE0E03">
        <w:rPr>
          <w:lang w:val="en-US"/>
        </w:rPr>
        <w:t>buil</w:t>
      </w:r>
      <w:r w:rsidR="00823F92">
        <w:rPr>
          <w:lang w:val="en-US"/>
        </w:rPr>
        <w:t xml:space="preserve">d </w:t>
      </w:r>
      <w:r w:rsidR="00CE0E03">
        <w:rPr>
          <w:lang w:val="en-US"/>
        </w:rPr>
        <w:t>capacity</w:t>
      </w:r>
      <w:r w:rsidR="00823F92">
        <w:rPr>
          <w:lang w:val="en-US"/>
        </w:rPr>
        <w:t xml:space="preserve">. </w:t>
      </w:r>
      <w:r w:rsidR="00CE0E03">
        <w:rPr>
          <w:lang w:val="en-US"/>
        </w:rPr>
        <w:t>Thi</w:t>
      </w:r>
      <w:r w:rsidR="00823F92">
        <w:rPr>
          <w:lang w:val="en-US"/>
        </w:rPr>
        <w:t xml:space="preserve">s </w:t>
      </w:r>
      <w:r w:rsidR="00CE0E03">
        <w:rPr>
          <w:lang w:val="en-US"/>
        </w:rPr>
        <w:t>require</w:t>
      </w:r>
      <w:r w:rsidR="00823F92">
        <w:rPr>
          <w:lang w:val="en-US"/>
        </w:rPr>
        <w:t xml:space="preserve">s </w:t>
      </w:r>
      <w:r w:rsidR="009421FF">
        <w:rPr>
          <w:lang w:val="en-US"/>
        </w:rPr>
        <w:t>includin</w:t>
      </w:r>
      <w:r w:rsidR="00823F92">
        <w:rPr>
          <w:lang w:val="en-US"/>
        </w:rPr>
        <w:t xml:space="preserve">g </w:t>
      </w:r>
      <w:r w:rsidR="009421FF">
        <w:rPr>
          <w:lang w:val="en-US"/>
        </w:rPr>
        <w:t>compassionat</w:t>
      </w:r>
      <w:r w:rsidR="00823F92">
        <w:rPr>
          <w:lang w:val="en-US"/>
        </w:rPr>
        <w:t xml:space="preserve">e </w:t>
      </w:r>
      <w:r w:rsidR="009421FF">
        <w:rPr>
          <w:lang w:val="en-US"/>
        </w:rPr>
        <w:t>respons</w:t>
      </w:r>
      <w:r w:rsidR="00823F92">
        <w:rPr>
          <w:lang w:val="en-US"/>
        </w:rPr>
        <w:t xml:space="preserve">e </w:t>
      </w:r>
      <w:r w:rsidR="009421FF">
        <w:rPr>
          <w:lang w:val="en-US"/>
        </w:rPr>
        <w:t>a</w:t>
      </w:r>
      <w:r w:rsidR="00823F92">
        <w:rPr>
          <w:lang w:val="en-US"/>
        </w:rPr>
        <w:t xml:space="preserve">s a </w:t>
      </w:r>
      <w:r w:rsidR="009421FF">
        <w:rPr>
          <w:lang w:val="en-US"/>
        </w:rPr>
        <w:t>foundatio</w:t>
      </w:r>
      <w:r w:rsidR="00823F92">
        <w:rPr>
          <w:lang w:val="en-US"/>
        </w:rPr>
        <w:t xml:space="preserve">n </w:t>
      </w:r>
      <w:r w:rsidR="009421FF">
        <w:rPr>
          <w:lang w:val="en-US"/>
        </w:rPr>
        <w:t>i</w:t>
      </w:r>
      <w:r w:rsidR="00823F92">
        <w:rPr>
          <w:lang w:val="en-US"/>
        </w:rPr>
        <w:t xml:space="preserve">n </w:t>
      </w:r>
      <w:r w:rsidR="00CE0E03">
        <w:rPr>
          <w:lang w:val="en-US"/>
        </w:rPr>
        <w:t>trainin</w:t>
      </w:r>
      <w:r w:rsidR="00823F92">
        <w:rPr>
          <w:lang w:val="en-US"/>
        </w:rPr>
        <w:t xml:space="preserve">g </w:t>
      </w:r>
      <w:proofErr w:type="gramStart"/>
      <w:r w:rsidR="00CE0E03">
        <w:rPr>
          <w:lang w:val="en-US"/>
        </w:rPr>
        <w:t>packages</w:t>
      </w:r>
      <w:r w:rsidR="00823F92">
        <w:rPr>
          <w:lang w:val="en-US"/>
        </w:rPr>
        <w:t xml:space="preserve">, </w:t>
      </w:r>
      <w:r w:rsidR="009421FF">
        <w:rPr>
          <w:lang w:val="en-US"/>
        </w:rPr>
        <w:t>an</w:t>
      </w:r>
      <w:r w:rsidR="00823F92">
        <w:rPr>
          <w:lang w:val="en-US"/>
        </w:rPr>
        <w:t>d</w:t>
      </w:r>
      <w:proofErr w:type="gramEnd"/>
      <w:r w:rsidR="00823F92">
        <w:rPr>
          <w:lang w:val="en-US"/>
        </w:rPr>
        <w:t xml:space="preserve"> </w:t>
      </w:r>
      <w:r w:rsidR="00284F9C">
        <w:rPr>
          <w:lang w:val="en-US"/>
        </w:rPr>
        <w:t>increasin</w:t>
      </w:r>
      <w:r w:rsidR="00823F92">
        <w:rPr>
          <w:lang w:val="en-US"/>
        </w:rPr>
        <w:t xml:space="preserve">g </w:t>
      </w:r>
      <w:r w:rsidR="00284F9C">
        <w:rPr>
          <w:lang w:val="en-US"/>
        </w:rPr>
        <w:t>trauma-informe</w:t>
      </w:r>
      <w:r w:rsidR="00823F92">
        <w:rPr>
          <w:lang w:val="en-US"/>
        </w:rPr>
        <w:t xml:space="preserve">d </w:t>
      </w:r>
      <w:r w:rsidR="00284F9C">
        <w:rPr>
          <w:lang w:val="en-US"/>
        </w:rPr>
        <w:t>car</w:t>
      </w:r>
      <w:r w:rsidR="00823F92">
        <w:rPr>
          <w:lang w:val="en-US"/>
        </w:rPr>
        <w:t xml:space="preserve">e </w:t>
      </w:r>
      <w:r w:rsidR="00284F9C">
        <w:rPr>
          <w:lang w:val="en-US"/>
        </w:rPr>
        <w:t>skill</w:t>
      </w:r>
      <w:r w:rsidR="00823F92">
        <w:rPr>
          <w:lang w:val="en-US"/>
        </w:rPr>
        <w:t xml:space="preserve">s </w:t>
      </w:r>
      <w:r w:rsidR="00284F9C">
        <w:rPr>
          <w:lang w:val="en-US"/>
        </w:rPr>
        <w:t>acros</w:t>
      </w:r>
      <w:r w:rsidR="00823F92">
        <w:rPr>
          <w:lang w:val="en-US"/>
        </w:rPr>
        <w:t xml:space="preserve">s </w:t>
      </w:r>
      <w:r w:rsidR="00284F9C">
        <w:rPr>
          <w:lang w:val="en-US"/>
        </w:rPr>
        <w:t>th</w:t>
      </w:r>
      <w:r w:rsidR="00823F92">
        <w:rPr>
          <w:lang w:val="en-US"/>
        </w:rPr>
        <w:t xml:space="preserve">e </w:t>
      </w:r>
      <w:r w:rsidR="00284F9C">
        <w:rPr>
          <w:lang w:val="en-US"/>
        </w:rPr>
        <w:t>broadl</w:t>
      </w:r>
      <w:r w:rsidR="00823F92">
        <w:rPr>
          <w:lang w:val="en-US"/>
        </w:rPr>
        <w:t xml:space="preserve">y </w:t>
      </w:r>
      <w:r w:rsidR="00284F9C">
        <w:rPr>
          <w:lang w:val="en-US"/>
        </w:rPr>
        <w:t>define</w:t>
      </w:r>
      <w:r w:rsidR="00823F92">
        <w:rPr>
          <w:lang w:val="en-US"/>
        </w:rPr>
        <w:t xml:space="preserve">d </w:t>
      </w:r>
      <w:r w:rsidR="00284F9C">
        <w:rPr>
          <w:lang w:val="en-US"/>
        </w:rPr>
        <w:t>workforce</w:t>
      </w:r>
      <w:r w:rsidR="00823F92">
        <w:rPr>
          <w:lang w:val="en-US"/>
        </w:rPr>
        <w:t xml:space="preserve">. </w:t>
      </w:r>
    </w:p>
    <w:p w14:paraId="4FFBB0F8" w14:textId="73B8B96C" w:rsidR="001F0ECC" w:rsidRDefault="001E19EB" w:rsidP="001E19EB">
      <w:pPr>
        <w:pStyle w:val="Heading3"/>
      </w:pPr>
      <w:bookmarkStart w:id="13" w:name="_Hlk69576311"/>
      <w:r>
        <w:t>202</w:t>
      </w:r>
      <w:r w:rsidR="00823F92">
        <w:t xml:space="preserve">1 </w:t>
      </w:r>
      <w:r w:rsidR="00B97397">
        <w:t>Australia</w:t>
      </w:r>
      <w:r w:rsidR="00823F92">
        <w:t xml:space="preserve">n </w:t>
      </w:r>
      <w:r w:rsidR="00DF430F">
        <w:t>G</w:t>
      </w:r>
      <w:r w:rsidR="00B97397">
        <w:t>overnmen</w:t>
      </w:r>
      <w:r w:rsidR="00823F92">
        <w:t xml:space="preserve">t </w:t>
      </w:r>
      <w:r w:rsidR="001F0ECC">
        <w:t>budge</w:t>
      </w:r>
      <w:r w:rsidR="00823F92">
        <w:t xml:space="preserve">t </w:t>
      </w:r>
      <w:r w:rsidR="001F0ECC">
        <w:t>commitments</w:t>
      </w:r>
    </w:p>
    <w:p w14:paraId="70A2A3C3" w14:textId="1300453E" w:rsidR="000E3D69" w:rsidRDefault="003567A2" w:rsidP="000E3D69">
      <w:pPr>
        <w:pStyle w:val="BodyText"/>
      </w:pPr>
      <w:r>
        <w:t>Th</w:t>
      </w:r>
      <w:r w:rsidR="00823F92">
        <w:t xml:space="preserve">e </w:t>
      </w:r>
      <w:r w:rsidR="00B97397">
        <w:t>Australia</w:t>
      </w:r>
      <w:r w:rsidR="00823F92">
        <w:t xml:space="preserve">n </w:t>
      </w:r>
      <w:r w:rsidR="00DF430F">
        <w:t>Governmen</w:t>
      </w:r>
      <w:r w:rsidR="00823F92">
        <w:t xml:space="preserve">t </w:t>
      </w:r>
      <w:r>
        <w:t>announce</w:t>
      </w:r>
      <w:r w:rsidR="00823F92">
        <w:t xml:space="preserve">d </w:t>
      </w:r>
      <w:r>
        <w:t>fundin</w:t>
      </w:r>
      <w:r w:rsidR="00823F92">
        <w:t xml:space="preserve">g </w:t>
      </w:r>
      <w:r>
        <w:t>fo</w:t>
      </w:r>
      <w:r w:rsidR="00823F92">
        <w:t xml:space="preserve">r a </w:t>
      </w:r>
      <w:r>
        <w:t>numbe</w:t>
      </w:r>
      <w:r w:rsidR="00823F92">
        <w:t xml:space="preserve">r </w:t>
      </w:r>
      <w:r>
        <w:t>o</w:t>
      </w:r>
      <w:r w:rsidR="00823F92">
        <w:t xml:space="preserve">f </w:t>
      </w:r>
      <w:r>
        <w:t>menta</w:t>
      </w:r>
      <w:r w:rsidR="00823F92">
        <w:t xml:space="preserve">l </w:t>
      </w:r>
      <w:r>
        <w:t>healt</w:t>
      </w:r>
      <w:r w:rsidR="00823F92">
        <w:t xml:space="preserve">h </w:t>
      </w:r>
      <w:r>
        <w:t>workforce-relate</w:t>
      </w:r>
      <w:r w:rsidR="00823F92">
        <w:t xml:space="preserve">d </w:t>
      </w:r>
      <w:r>
        <w:t>initiative</w:t>
      </w:r>
      <w:r w:rsidR="00823F92">
        <w:t xml:space="preserve">s </w:t>
      </w:r>
      <w:r>
        <w:t>aime</w:t>
      </w:r>
      <w:r w:rsidR="00823F92">
        <w:t xml:space="preserve">d </w:t>
      </w:r>
      <w:r>
        <w:t>a</w:t>
      </w:r>
      <w:r w:rsidR="00823F92">
        <w:t xml:space="preserve">t </w:t>
      </w:r>
      <w:r>
        <w:t>improvin</w:t>
      </w:r>
      <w:r w:rsidR="00823F92">
        <w:t xml:space="preserve">g </w:t>
      </w:r>
      <w:r>
        <w:t>acces</w:t>
      </w:r>
      <w:r w:rsidR="00823F92">
        <w:t xml:space="preserve">s </w:t>
      </w:r>
      <w:r>
        <w:t>t</w:t>
      </w:r>
      <w:r w:rsidR="00823F92">
        <w:t xml:space="preserve">o </w:t>
      </w:r>
      <w:r>
        <w:t>service</w:t>
      </w:r>
      <w:r w:rsidR="00823F92">
        <w:t xml:space="preserve">s </w:t>
      </w:r>
      <w:r>
        <w:t>fo</w:t>
      </w:r>
      <w:r w:rsidR="00823F92">
        <w:t xml:space="preserve">r </w:t>
      </w:r>
      <w:r>
        <w:t>thos</w:t>
      </w:r>
      <w:r w:rsidR="00823F92">
        <w:t xml:space="preserve">e </w:t>
      </w:r>
      <w:r>
        <w:t>experiencin</w:t>
      </w:r>
      <w:r w:rsidR="00823F92">
        <w:t xml:space="preserve">g </w:t>
      </w:r>
      <w:r>
        <w:t>menta</w:t>
      </w:r>
      <w:r w:rsidR="00823F92">
        <w:t xml:space="preserve">l </w:t>
      </w:r>
      <w:r>
        <w:t>distres</w:t>
      </w:r>
      <w:r w:rsidR="00823F92">
        <w:t xml:space="preserve">s </w:t>
      </w:r>
      <w:r>
        <w:t>and/o</w:t>
      </w:r>
      <w:r w:rsidR="00823F92">
        <w:t xml:space="preserve">r </w:t>
      </w:r>
      <w:r>
        <w:t>ill-healt</w:t>
      </w:r>
      <w:r w:rsidR="00823F92">
        <w:t xml:space="preserve">h </w:t>
      </w:r>
      <w:r w:rsidR="00CA3C1B">
        <w:t>wher</w:t>
      </w:r>
      <w:r w:rsidR="00823F92">
        <w:t xml:space="preserve">e </w:t>
      </w:r>
      <w:r w:rsidR="00CA3C1B">
        <w:t>an</w:t>
      </w:r>
      <w:r w:rsidR="00823F92">
        <w:t xml:space="preserve">d </w:t>
      </w:r>
      <w:r w:rsidR="00CA3C1B">
        <w:t>whe</w:t>
      </w:r>
      <w:r w:rsidR="00823F92">
        <w:t xml:space="preserve">n </w:t>
      </w:r>
      <w:r w:rsidR="00CA3C1B">
        <w:t>the</w:t>
      </w:r>
      <w:r w:rsidR="00823F92">
        <w:t xml:space="preserve">y </w:t>
      </w:r>
      <w:r w:rsidR="00CA3C1B">
        <w:t>nee</w:t>
      </w:r>
      <w:r w:rsidR="00823F92">
        <w:t xml:space="preserve">d </w:t>
      </w:r>
      <w:r w:rsidR="00CA3C1B">
        <w:t>the</w:t>
      </w:r>
      <w:r w:rsidR="00823F92">
        <w:t xml:space="preserve">m </w:t>
      </w:r>
      <w:r w:rsidR="00C10D37">
        <w:t>a</w:t>
      </w:r>
      <w:r w:rsidR="00823F92">
        <w:t xml:space="preserve">s </w:t>
      </w:r>
      <w:r w:rsidR="00C10D37">
        <w:t>par</w:t>
      </w:r>
      <w:r w:rsidR="00823F92">
        <w:t xml:space="preserve">t </w:t>
      </w:r>
      <w:r w:rsidR="00C10D37">
        <w:t>o</w:t>
      </w:r>
      <w:r w:rsidR="00823F92">
        <w:t xml:space="preserve">f </w:t>
      </w:r>
      <w:r w:rsidR="00C10D37">
        <w:t>th</w:t>
      </w:r>
      <w:r w:rsidR="00823F92">
        <w:t xml:space="preserve">e </w:t>
      </w:r>
      <w:r w:rsidR="00C10D37">
        <w:t>2021-2</w:t>
      </w:r>
      <w:r w:rsidR="00823F92">
        <w:t xml:space="preserve">2 </w:t>
      </w:r>
      <w:r w:rsidR="00C10D37">
        <w:t>budget</w:t>
      </w:r>
      <w:r>
        <w:t>.</w:t>
      </w:r>
      <w:r>
        <w:rPr>
          <w:rStyle w:val="FootnoteReference"/>
        </w:rPr>
        <w:footnoteReference w:id="14"/>
      </w:r>
      <w:r w:rsidR="00CA3C1B">
        <w:t xml:space="preserve"> </w:t>
      </w:r>
    </w:p>
    <w:p w14:paraId="097D7748" w14:textId="1C82E574" w:rsidR="000E3D69" w:rsidRDefault="000E3D69" w:rsidP="000E3D69">
      <w:pPr>
        <w:pStyle w:val="BodyText"/>
      </w:pPr>
      <w:r>
        <w:t>State</w:t>
      </w:r>
      <w:r w:rsidR="00823F92">
        <w:t xml:space="preserve">s </w:t>
      </w:r>
      <w:r>
        <w:t>an</w:t>
      </w:r>
      <w:r w:rsidR="00823F92">
        <w:t xml:space="preserve">d </w:t>
      </w:r>
      <w:r>
        <w:t>Territorie</w:t>
      </w:r>
      <w:r w:rsidR="00823F92">
        <w:t xml:space="preserve">s </w:t>
      </w:r>
      <w:r>
        <w:t>hav</w:t>
      </w:r>
      <w:r w:rsidR="00823F92">
        <w:t xml:space="preserve">e </w:t>
      </w:r>
      <w:r>
        <w:t>als</w:t>
      </w:r>
      <w:r w:rsidR="00823F92">
        <w:t xml:space="preserve">o </w:t>
      </w:r>
      <w:r>
        <w:t>mad</w:t>
      </w:r>
      <w:r w:rsidR="00823F92">
        <w:t xml:space="preserve">e </w:t>
      </w:r>
      <w:r>
        <w:t>commitment</w:t>
      </w:r>
      <w:r w:rsidR="00823F92">
        <w:t xml:space="preserve">s </w:t>
      </w:r>
      <w:r>
        <w:t>t</w:t>
      </w:r>
      <w:r w:rsidR="00823F92">
        <w:t xml:space="preserve">o </w:t>
      </w:r>
      <w:r>
        <w:t>strengthenin</w:t>
      </w:r>
      <w:r w:rsidR="00823F92">
        <w:t xml:space="preserve">g </w:t>
      </w:r>
      <w:r>
        <w:t>th</w:t>
      </w:r>
      <w:r w:rsidR="00823F92">
        <w:t xml:space="preserve">e </w:t>
      </w:r>
      <w:r>
        <w:t>menta</w:t>
      </w:r>
      <w:r w:rsidR="00823F92">
        <w:t xml:space="preserve">l </w:t>
      </w:r>
      <w:r>
        <w:t>healt</w:t>
      </w:r>
      <w:r w:rsidR="00823F92">
        <w:t xml:space="preserve">h </w:t>
      </w:r>
      <w:r>
        <w:t>secto</w:t>
      </w:r>
      <w:r w:rsidR="00823F92">
        <w:t xml:space="preserve">r </w:t>
      </w:r>
      <w:r>
        <w:t>an</w:t>
      </w:r>
      <w:r w:rsidR="00823F92">
        <w:t xml:space="preserve">d </w:t>
      </w:r>
      <w:r>
        <w:t>supportin</w:t>
      </w:r>
      <w:r w:rsidR="00823F92">
        <w:t xml:space="preserve">g </w:t>
      </w:r>
      <w:r>
        <w:t>th</w:t>
      </w:r>
      <w:r w:rsidR="00823F92">
        <w:t xml:space="preserve">e </w:t>
      </w:r>
      <w:r>
        <w:t>menta</w:t>
      </w:r>
      <w:r w:rsidR="00823F92">
        <w:t xml:space="preserve">l </w:t>
      </w:r>
      <w:r>
        <w:t>healt</w:t>
      </w:r>
      <w:r w:rsidR="00823F92">
        <w:t xml:space="preserve">h </w:t>
      </w:r>
      <w:r>
        <w:t>workforce</w:t>
      </w:r>
      <w:r w:rsidR="00823F92">
        <w:t xml:space="preserve">, </w:t>
      </w:r>
      <w:r>
        <w:t>throug</w:t>
      </w:r>
      <w:r w:rsidR="00823F92">
        <w:t xml:space="preserve">h </w:t>
      </w:r>
      <w:r>
        <w:t>thei</w:t>
      </w:r>
      <w:r w:rsidR="00823F92">
        <w:t xml:space="preserve">r </w:t>
      </w:r>
      <w:r>
        <w:t>respectiv</w:t>
      </w:r>
      <w:r w:rsidR="00823F92">
        <w:t xml:space="preserve">e </w:t>
      </w:r>
      <w:r>
        <w:t>budget</w:t>
      </w:r>
      <w:r w:rsidR="00823F92">
        <w:t xml:space="preserve">s </w:t>
      </w:r>
      <w:r>
        <w:t>an</w:t>
      </w:r>
      <w:r w:rsidR="00823F92">
        <w:t xml:space="preserve">d </w:t>
      </w:r>
      <w:r>
        <w:t>priorities</w:t>
      </w:r>
      <w:r w:rsidR="00823F92">
        <w:t xml:space="preserve">. </w:t>
      </w:r>
    </w:p>
    <w:p w14:paraId="4BB1B727" w14:textId="6A4C6B80" w:rsidR="00103373" w:rsidRPr="000E25B1" w:rsidRDefault="00103373" w:rsidP="00C50823">
      <w:pPr>
        <w:pStyle w:val="Heading3"/>
      </w:pPr>
      <w:r w:rsidRPr="000E25B1">
        <w:t>Overvie</w:t>
      </w:r>
      <w:r w:rsidR="00823F92" w:rsidRPr="000E25B1">
        <w:t>w</w:t>
      </w:r>
      <w:r w:rsidR="00823F92">
        <w:t xml:space="preserve"> </w:t>
      </w:r>
      <w:r w:rsidRPr="000E25B1">
        <w:t>o</w:t>
      </w:r>
      <w:r w:rsidR="00823F92" w:rsidRPr="000E25B1">
        <w:t>f</w:t>
      </w:r>
      <w:r w:rsidR="00823F92">
        <w:t xml:space="preserve"> </w:t>
      </w:r>
      <w:r w:rsidR="00844E1D">
        <w:t>s</w:t>
      </w:r>
      <w:r w:rsidR="00844E1D" w:rsidRPr="000E25B1">
        <w:t>tat</w:t>
      </w:r>
      <w:r w:rsidR="00823F92" w:rsidRPr="000E25B1">
        <w:t>e</w:t>
      </w:r>
      <w:r w:rsidR="00823F92">
        <w:t xml:space="preserve"> </w:t>
      </w:r>
      <w:r w:rsidRPr="000E25B1">
        <w:t>an</w:t>
      </w:r>
      <w:r w:rsidR="00823F92" w:rsidRPr="000E25B1">
        <w:t>d</w:t>
      </w:r>
      <w:r w:rsidR="00823F92">
        <w:t xml:space="preserve"> </w:t>
      </w:r>
      <w:r w:rsidR="00844E1D">
        <w:t>t</w:t>
      </w:r>
      <w:r w:rsidRPr="000E25B1">
        <w:t>erritor</w:t>
      </w:r>
      <w:r w:rsidR="00823F92" w:rsidRPr="000E25B1">
        <w:t>y</w:t>
      </w:r>
      <w:r w:rsidR="00823F92">
        <w:t xml:space="preserve"> </w:t>
      </w:r>
      <w:bookmarkEnd w:id="13"/>
      <w:r w:rsidRPr="000E25B1">
        <w:t>menta</w:t>
      </w:r>
      <w:r w:rsidR="00823F92" w:rsidRPr="000E25B1">
        <w:t>l</w:t>
      </w:r>
      <w:r w:rsidR="00823F92">
        <w:t xml:space="preserve"> </w:t>
      </w:r>
      <w:r w:rsidRPr="000E25B1">
        <w:t>healt</w:t>
      </w:r>
      <w:r w:rsidR="00823F92" w:rsidRPr="000E25B1">
        <w:t>h</w:t>
      </w:r>
      <w:r w:rsidR="00823F92">
        <w:t xml:space="preserve"> </w:t>
      </w:r>
      <w:r w:rsidRPr="000E25B1">
        <w:t>plan</w:t>
      </w:r>
      <w:r w:rsidR="00823F92" w:rsidRPr="000E25B1">
        <w:t>s</w:t>
      </w:r>
      <w:r w:rsidR="00823F92">
        <w:t xml:space="preserve"> </w:t>
      </w:r>
      <w:r w:rsidRPr="000E25B1">
        <w:t>an</w:t>
      </w:r>
      <w:r w:rsidR="00823F92" w:rsidRPr="000E25B1">
        <w:t>d</w:t>
      </w:r>
      <w:r w:rsidR="00823F92">
        <w:t xml:space="preserve"> </w:t>
      </w:r>
      <w:r w:rsidRPr="000E25B1">
        <w:t>strategies</w:t>
      </w:r>
    </w:p>
    <w:p w14:paraId="7BCC3206" w14:textId="31135055" w:rsidR="0031079A" w:rsidRDefault="00103373" w:rsidP="00C50823">
      <w:pPr>
        <w:pStyle w:val="BodyText"/>
        <w:rPr>
          <w:lang w:val="en-US"/>
        </w:rPr>
      </w:pPr>
      <w:r w:rsidRPr="006C4490">
        <w:rPr>
          <w:lang w:val="en-US"/>
        </w:rPr>
        <w:t>Th</w:t>
      </w:r>
      <w:r w:rsidR="00823F92" w:rsidRPr="006C4490">
        <w:rPr>
          <w:lang w:val="en-US"/>
        </w:rPr>
        <w:t>e</w:t>
      </w:r>
      <w:r w:rsidR="00823F92">
        <w:rPr>
          <w:lang w:val="en-US"/>
        </w:rPr>
        <w:t xml:space="preserve"> </w:t>
      </w:r>
      <w:r w:rsidRPr="006C4490">
        <w:rPr>
          <w:lang w:val="en-US"/>
        </w:rPr>
        <w:t>Australia</w:t>
      </w:r>
      <w:r w:rsidR="00823F92" w:rsidRPr="006C4490">
        <w:rPr>
          <w:lang w:val="en-US"/>
        </w:rPr>
        <w:t>n</w:t>
      </w:r>
      <w:r w:rsidR="00823F92">
        <w:rPr>
          <w:lang w:val="en-US"/>
        </w:rPr>
        <w:t xml:space="preserve"> </w:t>
      </w:r>
      <w:r w:rsidRPr="006C4490">
        <w:rPr>
          <w:lang w:val="en-US"/>
        </w:rPr>
        <w:t>menta</w:t>
      </w:r>
      <w:r w:rsidR="00823F92" w:rsidRPr="006C4490">
        <w:rPr>
          <w:lang w:val="en-US"/>
        </w:rPr>
        <w:t>l</w:t>
      </w:r>
      <w:r w:rsidR="00823F92">
        <w:rPr>
          <w:lang w:val="en-US"/>
        </w:rPr>
        <w:t xml:space="preserve"> </w:t>
      </w:r>
      <w:r w:rsidRPr="006C4490">
        <w:rPr>
          <w:lang w:val="en-US"/>
        </w:rPr>
        <w:t>healt</w:t>
      </w:r>
      <w:r w:rsidR="00823F92" w:rsidRPr="006C4490">
        <w:rPr>
          <w:lang w:val="en-US"/>
        </w:rPr>
        <w:t>h</w:t>
      </w:r>
      <w:r w:rsidR="00823F92">
        <w:rPr>
          <w:lang w:val="en-US"/>
        </w:rPr>
        <w:t xml:space="preserve"> </w:t>
      </w:r>
      <w:r w:rsidRPr="006C4490">
        <w:rPr>
          <w:lang w:val="en-US"/>
        </w:rPr>
        <w:t>workforc</w:t>
      </w:r>
      <w:r w:rsidR="00823F92" w:rsidRPr="006C4490">
        <w:rPr>
          <w:lang w:val="en-US"/>
        </w:rPr>
        <w:t>e</w:t>
      </w:r>
      <w:r w:rsidR="00823F92">
        <w:rPr>
          <w:lang w:val="en-US"/>
        </w:rPr>
        <w:t xml:space="preserve"> </w:t>
      </w:r>
      <w:r w:rsidRPr="006C4490">
        <w:rPr>
          <w:lang w:val="en-US"/>
        </w:rPr>
        <w:t>polic</w:t>
      </w:r>
      <w:r w:rsidR="00823F92" w:rsidRPr="006C4490">
        <w:rPr>
          <w:lang w:val="en-US"/>
        </w:rPr>
        <w:t>y</w:t>
      </w:r>
      <w:r w:rsidR="00823F92">
        <w:rPr>
          <w:lang w:val="en-US"/>
        </w:rPr>
        <w:t xml:space="preserve"> </w:t>
      </w:r>
      <w:r w:rsidRPr="006C4490">
        <w:rPr>
          <w:lang w:val="en-US"/>
        </w:rPr>
        <w:t>landscap</w:t>
      </w:r>
      <w:r w:rsidR="00823F92" w:rsidRPr="006C4490">
        <w:rPr>
          <w:lang w:val="en-US"/>
        </w:rPr>
        <w:t>e</w:t>
      </w:r>
      <w:r w:rsidR="00823F92">
        <w:rPr>
          <w:lang w:val="en-US"/>
        </w:rPr>
        <w:t xml:space="preserve"> </w:t>
      </w:r>
      <w:r w:rsidRPr="006C4490">
        <w:rPr>
          <w:lang w:val="en-US"/>
        </w:rPr>
        <w:t>i</w:t>
      </w:r>
      <w:r w:rsidR="00823F92" w:rsidRPr="006C4490">
        <w:rPr>
          <w:lang w:val="en-US"/>
        </w:rPr>
        <w:t>s</w:t>
      </w:r>
      <w:r w:rsidR="00823F92">
        <w:rPr>
          <w:lang w:val="en-US"/>
        </w:rPr>
        <w:t xml:space="preserve"> </w:t>
      </w:r>
      <w:r w:rsidRPr="006C4490">
        <w:rPr>
          <w:lang w:val="en-US"/>
        </w:rPr>
        <w:t>comple</w:t>
      </w:r>
      <w:r w:rsidR="00823F92" w:rsidRPr="006C4490">
        <w:rPr>
          <w:lang w:val="en-US"/>
        </w:rPr>
        <w:t>x</w:t>
      </w:r>
      <w:r w:rsidR="00823F92">
        <w:rPr>
          <w:lang w:val="en-US"/>
        </w:rPr>
        <w:t xml:space="preserve"> </w:t>
      </w:r>
      <w:r w:rsidRPr="006C4490">
        <w:rPr>
          <w:lang w:val="en-US"/>
        </w:rPr>
        <w:t>an</w:t>
      </w:r>
      <w:r w:rsidR="00823F92" w:rsidRPr="006C4490">
        <w:rPr>
          <w:lang w:val="en-US"/>
        </w:rPr>
        <w:t>d</w:t>
      </w:r>
      <w:r w:rsidR="00823F92">
        <w:rPr>
          <w:lang w:val="en-US"/>
        </w:rPr>
        <w:t xml:space="preserve"> </w:t>
      </w:r>
      <w:r w:rsidRPr="006C4490">
        <w:rPr>
          <w:lang w:val="en-US"/>
        </w:rPr>
        <w:t>varie</w:t>
      </w:r>
      <w:r w:rsidR="00823F92" w:rsidRPr="006C4490">
        <w:rPr>
          <w:lang w:val="en-US"/>
        </w:rPr>
        <w:t>s</w:t>
      </w:r>
      <w:r w:rsidR="00823F92">
        <w:rPr>
          <w:lang w:val="en-US"/>
        </w:rPr>
        <w:t xml:space="preserve"> </w:t>
      </w:r>
      <w:r w:rsidRPr="006C4490">
        <w:rPr>
          <w:lang w:val="en-US"/>
        </w:rPr>
        <w:t>acros</w:t>
      </w:r>
      <w:r w:rsidR="00823F92" w:rsidRPr="006C4490">
        <w:rPr>
          <w:lang w:val="en-US"/>
        </w:rPr>
        <w:t>s</w:t>
      </w:r>
      <w:r w:rsidR="00823F92">
        <w:rPr>
          <w:lang w:val="en-US"/>
        </w:rPr>
        <w:t xml:space="preserve"> </w:t>
      </w:r>
      <w:r w:rsidRPr="006C4490">
        <w:rPr>
          <w:lang w:val="en-US"/>
        </w:rPr>
        <w:t>jurisdictions</w:t>
      </w:r>
      <w:r w:rsidR="00823F92" w:rsidRPr="006C4490">
        <w:rPr>
          <w:lang w:val="en-US"/>
        </w:rPr>
        <w:t>.</w:t>
      </w:r>
      <w:r w:rsidR="00823F92">
        <w:rPr>
          <w:lang w:val="en-US"/>
        </w:rPr>
        <w:t xml:space="preserve"> </w:t>
      </w:r>
      <w:r w:rsidRPr="006C4490">
        <w:rPr>
          <w:lang w:val="en-US"/>
        </w:rPr>
        <w:t>Thi</w:t>
      </w:r>
      <w:r w:rsidR="00823F92" w:rsidRPr="006C4490">
        <w:rPr>
          <w:lang w:val="en-US"/>
        </w:rPr>
        <w:t>s</w:t>
      </w:r>
      <w:r w:rsidR="00823F92">
        <w:rPr>
          <w:lang w:val="en-US"/>
        </w:rPr>
        <w:t xml:space="preserve"> </w:t>
      </w:r>
      <w:r w:rsidRPr="006C4490">
        <w:rPr>
          <w:lang w:val="en-US"/>
        </w:rPr>
        <w:t>i</w:t>
      </w:r>
      <w:r w:rsidR="00823F92" w:rsidRPr="006C4490">
        <w:rPr>
          <w:lang w:val="en-US"/>
        </w:rPr>
        <w:t>s</w:t>
      </w:r>
      <w:r w:rsidR="00823F92">
        <w:rPr>
          <w:lang w:val="en-US"/>
        </w:rPr>
        <w:t xml:space="preserve"> </w:t>
      </w:r>
      <w:r w:rsidRPr="006C4490">
        <w:rPr>
          <w:lang w:val="en-US"/>
        </w:rPr>
        <w:t>partiall</w:t>
      </w:r>
      <w:r w:rsidR="00823F92" w:rsidRPr="006C4490">
        <w:rPr>
          <w:lang w:val="en-US"/>
        </w:rPr>
        <w:t>y</w:t>
      </w:r>
      <w:r w:rsidR="00823F92">
        <w:rPr>
          <w:lang w:val="en-US"/>
        </w:rPr>
        <w:t xml:space="preserve"> </w:t>
      </w:r>
      <w:r w:rsidRPr="006C4490">
        <w:rPr>
          <w:lang w:val="en-US"/>
        </w:rPr>
        <w:t>relate</w:t>
      </w:r>
      <w:r w:rsidR="00823F92" w:rsidRPr="006C4490">
        <w:rPr>
          <w:lang w:val="en-US"/>
        </w:rPr>
        <w:t>d</w:t>
      </w:r>
      <w:r w:rsidR="00823F92">
        <w:rPr>
          <w:lang w:val="en-US"/>
        </w:rPr>
        <w:t xml:space="preserve"> </w:t>
      </w:r>
      <w:r w:rsidRPr="006C4490">
        <w:rPr>
          <w:lang w:val="en-US"/>
        </w:rPr>
        <w:t>t</w:t>
      </w:r>
      <w:r w:rsidR="00823F92" w:rsidRPr="006C4490">
        <w:rPr>
          <w:lang w:val="en-US"/>
        </w:rPr>
        <w:t>o</w:t>
      </w:r>
      <w:r w:rsidR="00823F92">
        <w:rPr>
          <w:lang w:val="en-US"/>
        </w:rPr>
        <w:t xml:space="preserve"> </w:t>
      </w:r>
      <w:r w:rsidRPr="006C4490">
        <w:rPr>
          <w:lang w:val="en-US"/>
        </w:rPr>
        <w:t>th</w:t>
      </w:r>
      <w:r w:rsidR="00823F92" w:rsidRPr="006C4490">
        <w:rPr>
          <w:lang w:val="en-US"/>
        </w:rPr>
        <w:t>e</w:t>
      </w:r>
      <w:r w:rsidR="00823F92">
        <w:rPr>
          <w:lang w:val="en-US"/>
        </w:rPr>
        <w:t xml:space="preserve"> </w:t>
      </w:r>
      <w:r w:rsidRPr="006C4490">
        <w:rPr>
          <w:lang w:val="en-US"/>
        </w:rPr>
        <w:t>challeng</w:t>
      </w:r>
      <w:r w:rsidR="00823F92" w:rsidRPr="006C4490">
        <w:rPr>
          <w:lang w:val="en-US"/>
        </w:rPr>
        <w:t>e</w:t>
      </w:r>
      <w:r w:rsidR="00823F92">
        <w:rPr>
          <w:lang w:val="en-US"/>
        </w:rPr>
        <w:t xml:space="preserve"> </w:t>
      </w:r>
      <w:r w:rsidRPr="006C4490">
        <w:rPr>
          <w:lang w:val="en-US"/>
        </w:rPr>
        <w:t>o</w:t>
      </w:r>
      <w:r w:rsidR="00823F92" w:rsidRPr="006C4490">
        <w:rPr>
          <w:lang w:val="en-US"/>
        </w:rPr>
        <w:t>f</w:t>
      </w:r>
      <w:r w:rsidR="00823F92">
        <w:rPr>
          <w:lang w:val="en-US"/>
        </w:rPr>
        <w:t xml:space="preserve"> </w:t>
      </w:r>
      <w:r w:rsidRPr="006C4490">
        <w:rPr>
          <w:lang w:val="en-US"/>
        </w:rPr>
        <w:t>definin</w:t>
      </w:r>
      <w:r w:rsidR="00823F92" w:rsidRPr="006C4490">
        <w:rPr>
          <w:lang w:val="en-US"/>
        </w:rPr>
        <w:t>g</w:t>
      </w:r>
      <w:r w:rsidR="00823F92">
        <w:rPr>
          <w:lang w:val="en-US"/>
        </w:rPr>
        <w:t xml:space="preserve"> </w:t>
      </w:r>
      <w:r w:rsidRPr="006C4490">
        <w:rPr>
          <w:lang w:val="en-US"/>
        </w:rPr>
        <w:t>th</w:t>
      </w:r>
      <w:r w:rsidR="00823F92" w:rsidRPr="006C4490">
        <w:rPr>
          <w:lang w:val="en-US"/>
        </w:rPr>
        <w:t>e</w:t>
      </w:r>
      <w:r w:rsidR="00823F92">
        <w:rPr>
          <w:lang w:val="en-US"/>
        </w:rPr>
        <w:t xml:space="preserve"> </w:t>
      </w:r>
      <w:r w:rsidRPr="006C4490">
        <w:rPr>
          <w:lang w:val="en-US"/>
        </w:rPr>
        <w:t>menta</w:t>
      </w:r>
      <w:r w:rsidR="00823F92" w:rsidRPr="006C4490">
        <w:rPr>
          <w:lang w:val="en-US"/>
        </w:rPr>
        <w:t>l</w:t>
      </w:r>
      <w:r w:rsidR="00823F92">
        <w:rPr>
          <w:lang w:val="en-US"/>
        </w:rPr>
        <w:t xml:space="preserve"> </w:t>
      </w:r>
      <w:r w:rsidRPr="006C4490">
        <w:rPr>
          <w:lang w:val="en-US"/>
        </w:rPr>
        <w:t>healt</w:t>
      </w:r>
      <w:r w:rsidR="00823F92" w:rsidRPr="006C4490">
        <w:rPr>
          <w:lang w:val="en-US"/>
        </w:rPr>
        <w:t>h</w:t>
      </w:r>
      <w:r w:rsidR="00823F92">
        <w:rPr>
          <w:lang w:val="en-US"/>
        </w:rPr>
        <w:t xml:space="preserve"> </w:t>
      </w:r>
      <w:r w:rsidRPr="006C4490">
        <w:rPr>
          <w:lang w:val="en-US"/>
        </w:rPr>
        <w:t>workforce</w:t>
      </w:r>
      <w:r w:rsidR="00823F92">
        <w:rPr>
          <w:lang w:val="en-US"/>
        </w:rPr>
        <w:t xml:space="preserve">, </w:t>
      </w:r>
      <w:r w:rsidRPr="006C4490">
        <w:rPr>
          <w:lang w:val="en-US"/>
        </w:rPr>
        <w:t>an</w:t>
      </w:r>
      <w:r w:rsidR="00823F92" w:rsidRPr="006C4490">
        <w:rPr>
          <w:lang w:val="en-US"/>
        </w:rPr>
        <w:t>d</w:t>
      </w:r>
      <w:r w:rsidR="00823F92">
        <w:rPr>
          <w:lang w:val="en-US"/>
        </w:rPr>
        <w:t xml:space="preserve"> </w:t>
      </w:r>
      <w:r w:rsidRPr="006C4490">
        <w:rPr>
          <w:lang w:val="en-US"/>
        </w:rPr>
        <w:t>th</w:t>
      </w:r>
      <w:r w:rsidR="00823F92" w:rsidRPr="006C4490">
        <w:rPr>
          <w:lang w:val="en-US"/>
        </w:rPr>
        <w:t>e</w:t>
      </w:r>
      <w:r w:rsidR="00823F92">
        <w:rPr>
          <w:lang w:val="en-US"/>
        </w:rPr>
        <w:t xml:space="preserve"> </w:t>
      </w:r>
      <w:r w:rsidRPr="006C4490">
        <w:rPr>
          <w:lang w:val="en-US"/>
        </w:rPr>
        <w:t>separatio</w:t>
      </w:r>
      <w:r w:rsidR="00823F92" w:rsidRPr="006C4490">
        <w:rPr>
          <w:lang w:val="en-US"/>
        </w:rPr>
        <w:t>n</w:t>
      </w:r>
      <w:r w:rsidR="00823F92">
        <w:rPr>
          <w:lang w:val="en-US"/>
        </w:rPr>
        <w:t xml:space="preserve"> </w:t>
      </w:r>
      <w:r w:rsidRPr="006C4490">
        <w:rPr>
          <w:lang w:val="en-US"/>
        </w:rPr>
        <w:t>o</w:t>
      </w:r>
      <w:r w:rsidR="00823F92" w:rsidRPr="006C4490">
        <w:rPr>
          <w:lang w:val="en-US"/>
        </w:rPr>
        <w:t>f</w:t>
      </w:r>
      <w:r w:rsidR="00823F92">
        <w:rPr>
          <w:lang w:val="en-US"/>
        </w:rPr>
        <w:t xml:space="preserve"> </w:t>
      </w:r>
      <w:r w:rsidRPr="006C4490">
        <w:rPr>
          <w:lang w:val="en-US"/>
        </w:rPr>
        <w:t>physica</w:t>
      </w:r>
      <w:r w:rsidR="00823F92" w:rsidRPr="006C4490">
        <w:rPr>
          <w:lang w:val="en-US"/>
        </w:rPr>
        <w:t>l</w:t>
      </w:r>
      <w:r w:rsidR="00823F92">
        <w:rPr>
          <w:lang w:val="en-US"/>
        </w:rPr>
        <w:t xml:space="preserve"> </w:t>
      </w:r>
      <w:r w:rsidRPr="006C4490">
        <w:rPr>
          <w:lang w:val="en-US"/>
        </w:rPr>
        <w:t>healt</w:t>
      </w:r>
      <w:r w:rsidR="00823F92" w:rsidRPr="006C4490">
        <w:rPr>
          <w:lang w:val="en-US"/>
        </w:rPr>
        <w:t>h</w:t>
      </w:r>
      <w:r w:rsidR="00823F92">
        <w:rPr>
          <w:lang w:val="en-US"/>
        </w:rPr>
        <w:t xml:space="preserve"> </w:t>
      </w:r>
      <w:r w:rsidRPr="006C4490">
        <w:rPr>
          <w:lang w:val="en-US"/>
        </w:rPr>
        <w:t>an</w:t>
      </w:r>
      <w:r w:rsidR="00823F92" w:rsidRPr="006C4490">
        <w:rPr>
          <w:lang w:val="en-US"/>
        </w:rPr>
        <w:t>d</w:t>
      </w:r>
      <w:r w:rsidR="00823F92">
        <w:rPr>
          <w:lang w:val="en-US"/>
        </w:rPr>
        <w:t xml:space="preserve"> </w:t>
      </w:r>
      <w:r w:rsidRPr="006C4490">
        <w:rPr>
          <w:lang w:val="en-US"/>
        </w:rPr>
        <w:t>menta</w:t>
      </w:r>
      <w:r w:rsidR="00823F92" w:rsidRPr="006C4490">
        <w:rPr>
          <w:lang w:val="en-US"/>
        </w:rPr>
        <w:t>l</w:t>
      </w:r>
      <w:r w:rsidR="00823F92">
        <w:rPr>
          <w:lang w:val="en-US"/>
        </w:rPr>
        <w:t xml:space="preserve"> </w:t>
      </w:r>
      <w:r w:rsidRPr="006C4490">
        <w:rPr>
          <w:lang w:val="en-US"/>
        </w:rPr>
        <w:t>healt</w:t>
      </w:r>
      <w:r w:rsidR="00823F92" w:rsidRPr="006C4490">
        <w:rPr>
          <w:lang w:val="en-US"/>
        </w:rPr>
        <w:t>h</w:t>
      </w:r>
      <w:r w:rsidR="00823F92">
        <w:rPr>
          <w:lang w:val="en-US"/>
        </w:rPr>
        <w:t xml:space="preserve"> </w:t>
      </w:r>
      <w:r w:rsidRPr="006C4490">
        <w:rPr>
          <w:lang w:val="en-US"/>
        </w:rPr>
        <w:t>i</w:t>
      </w:r>
      <w:r w:rsidR="00823F92" w:rsidRPr="006C4490">
        <w:rPr>
          <w:lang w:val="en-US"/>
        </w:rPr>
        <w:t>n</w:t>
      </w:r>
      <w:r w:rsidR="00823F92">
        <w:rPr>
          <w:lang w:val="en-US"/>
        </w:rPr>
        <w:t xml:space="preserve"> </w:t>
      </w:r>
      <w:r w:rsidRPr="006C4490">
        <w:rPr>
          <w:lang w:val="en-US"/>
        </w:rPr>
        <w:t>polic</w:t>
      </w:r>
      <w:r w:rsidR="00823F92" w:rsidRPr="006C4490">
        <w:rPr>
          <w:lang w:val="en-US"/>
        </w:rPr>
        <w:t>y</w:t>
      </w:r>
      <w:r w:rsidR="00823F92">
        <w:rPr>
          <w:lang w:val="en-US"/>
        </w:rPr>
        <w:t xml:space="preserve"> </w:t>
      </w:r>
      <w:r w:rsidRPr="006C4490">
        <w:rPr>
          <w:lang w:val="en-US"/>
        </w:rPr>
        <w:t>an</w:t>
      </w:r>
      <w:r w:rsidR="00823F92" w:rsidRPr="006C4490">
        <w:rPr>
          <w:lang w:val="en-US"/>
        </w:rPr>
        <w:t>d</w:t>
      </w:r>
      <w:r w:rsidR="00823F92">
        <w:rPr>
          <w:lang w:val="en-US"/>
        </w:rPr>
        <w:t xml:space="preserve"> </w:t>
      </w:r>
      <w:r w:rsidRPr="006C4490">
        <w:rPr>
          <w:lang w:val="en-US"/>
        </w:rPr>
        <w:t>fundin</w:t>
      </w:r>
      <w:r w:rsidR="00823F92" w:rsidRPr="006C4490">
        <w:rPr>
          <w:lang w:val="en-US"/>
        </w:rPr>
        <w:t>g</w:t>
      </w:r>
      <w:r w:rsidR="00823F92">
        <w:rPr>
          <w:lang w:val="en-US"/>
        </w:rPr>
        <w:t xml:space="preserve"> </w:t>
      </w:r>
      <w:r w:rsidRPr="006C4490">
        <w:rPr>
          <w:lang w:val="en-US"/>
        </w:rPr>
        <w:t>arrangements</w:t>
      </w:r>
      <w:r w:rsidR="00823F92" w:rsidRPr="006C4490">
        <w:rPr>
          <w:lang w:val="en-US"/>
        </w:rPr>
        <w:t>.</w:t>
      </w:r>
      <w:r w:rsidR="00823F92">
        <w:rPr>
          <w:lang w:val="en-US"/>
        </w:rPr>
        <w:t xml:space="preserve"> </w:t>
      </w:r>
      <w:r w:rsidRPr="008D52B4">
        <w:rPr>
          <w:lang w:val="en-US"/>
        </w:rPr>
        <w:t>Acros</w:t>
      </w:r>
      <w:r w:rsidR="00823F92" w:rsidRPr="008D52B4">
        <w:rPr>
          <w:lang w:val="en-US"/>
        </w:rPr>
        <w:t>s</w:t>
      </w:r>
      <w:r w:rsidR="00823F92">
        <w:rPr>
          <w:lang w:val="en-US"/>
        </w:rPr>
        <w:t xml:space="preserve"> </w:t>
      </w:r>
      <w:r w:rsidRPr="008D52B4">
        <w:rPr>
          <w:lang w:val="en-US"/>
        </w:rPr>
        <w:t>jurisdictions</w:t>
      </w:r>
      <w:r w:rsidR="00823F92" w:rsidRPr="008D52B4">
        <w:rPr>
          <w:lang w:val="en-US"/>
        </w:rPr>
        <w:t>,</w:t>
      </w:r>
      <w:r w:rsidR="00823F92">
        <w:rPr>
          <w:lang w:val="en-US"/>
        </w:rPr>
        <w:t xml:space="preserve"> </w:t>
      </w:r>
      <w:r w:rsidRPr="008D52B4">
        <w:rPr>
          <w:lang w:val="en-US"/>
        </w:rPr>
        <w:t>th</w:t>
      </w:r>
      <w:r w:rsidR="00823F92" w:rsidRPr="008D52B4">
        <w:rPr>
          <w:lang w:val="en-US"/>
        </w:rPr>
        <w:t>e</w:t>
      </w:r>
      <w:r w:rsidR="00823F92">
        <w:rPr>
          <w:lang w:val="en-US"/>
        </w:rPr>
        <w:t xml:space="preserve"> </w:t>
      </w:r>
      <w:r w:rsidRPr="008D52B4">
        <w:rPr>
          <w:lang w:val="en-US"/>
        </w:rPr>
        <w:t>menta</w:t>
      </w:r>
      <w:r w:rsidR="00823F92" w:rsidRPr="008D52B4">
        <w:rPr>
          <w:lang w:val="en-US"/>
        </w:rPr>
        <w:t>l</w:t>
      </w:r>
      <w:r w:rsidR="00823F92">
        <w:rPr>
          <w:lang w:val="en-US"/>
        </w:rPr>
        <w:t xml:space="preserve"> </w:t>
      </w:r>
      <w:r w:rsidRPr="008D52B4">
        <w:rPr>
          <w:lang w:val="en-US"/>
        </w:rPr>
        <w:t>healt</w:t>
      </w:r>
      <w:r w:rsidR="00823F92" w:rsidRPr="008D52B4">
        <w:rPr>
          <w:lang w:val="en-US"/>
        </w:rPr>
        <w:t>h</w:t>
      </w:r>
      <w:r w:rsidR="00823F92">
        <w:rPr>
          <w:lang w:val="en-US"/>
        </w:rPr>
        <w:t xml:space="preserve"> </w:t>
      </w:r>
      <w:r w:rsidRPr="008D52B4">
        <w:rPr>
          <w:lang w:val="en-US"/>
        </w:rPr>
        <w:t>workforc</w:t>
      </w:r>
      <w:r w:rsidR="00823F92" w:rsidRPr="008D52B4">
        <w:rPr>
          <w:lang w:val="en-US"/>
        </w:rPr>
        <w:t>e</w:t>
      </w:r>
      <w:r w:rsidR="00823F92">
        <w:rPr>
          <w:lang w:val="en-US"/>
        </w:rPr>
        <w:t xml:space="preserve"> </w:t>
      </w:r>
      <w:r w:rsidRPr="008D52B4">
        <w:rPr>
          <w:lang w:val="en-US"/>
        </w:rPr>
        <w:t>i</w:t>
      </w:r>
      <w:r w:rsidR="00823F92" w:rsidRPr="008D52B4">
        <w:rPr>
          <w:lang w:val="en-US"/>
        </w:rPr>
        <w:t>s</w:t>
      </w:r>
      <w:r w:rsidR="00823F92">
        <w:rPr>
          <w:lang w:val="en-US"/>
        </w:rPr>
        <w:t xml:space="preserve"> </w:t>
      </w:r>
      <w:proofErr w:type="spellStart"/>
      <w:r w:rsidRPr="008D52B4">
        <w:rPr>
          <w:lang w:val="en-US"/>
        </w:rPr>
        <w:t>categorise</w:t>
      </w:r>
      <w:r w:rsidR="00823F92" w:rsidRPr="008D52B4">
        <w:rPr>
          <w:lang w:val="en-US"/>
        </w:rPr>
        <w:t>d</w:t>
      </w:r>
      <w:proofErr w:type="spellEnd"/>
      <w:r w:rsidR="00823F92">
        <w:rPr>
          <w:lang w:val="en-US"/>
        </w:rPr>
        <w:t xml:space="preserve"> </w:t>
      </w:r>
      <w:r w:rsidRPr="008D52B4">
        <w:rPr>
          <w:lang w:val="en-US"/>
        </w:rPr>
        <w:t>an</w:t>
      </w:r>
      <w:r w:rsidR="00823F92" w:rsidRPr="008D52B4">
        <w:rPr>
          <w:lang w:val="en-US"/>
        </w:rPr>
        <w:t>d</w:t>
      </w:r>
      <w:r w:rsidR="00823F92">
        <w:rPr>
          <w:lang w:val="en-US"/>
        </w:rPr>
        <w:t xml:space="preserve"> </w:t>
      </w:r>
      <w:r w:rsidRPr="008D52B4">
        <w:rPr>
          <w:lang w:val="en-US"/>
        </w:rPr>
        <w:t>define</w:t>
      </w:r>
      <w:r w:rsidR="00823F92" w:rsidRPr="008D52B4">
        <w:rPr>
          <w:lang w:val="en-US"/>
        </w:rPr>
        <w:t>d</w:t>
      </w:r>
      <w:r w:rsidR="00823F92">
        <w:rPr>
          <w:lang w:val="en-US"/>
        </w:rPr>
        <w:t xml:space="preserve"> </w:t>
      </w:r>
      <w:r w:rsidRPr="008D52B4">
        <w:rPr>
          <w:lang w:val="en-US"/>
        </w:rPr>
        <w:t>i</w:t>
      </w:r>
      <w:r w:rsidR="00823F92" w:rsidRPr="008D52B4">
        <w:rPr>
          <w:lang w:val="en-US"/>
        </w:rPr>
        <w:t>n</w:t>
      </w:r>
      <w:r w:rsidR="00823F92">
        <w:rPr>
          <w:lang w:val="en-US"/>
        </w:rPr>
        <w:t xml:space="preserve"> </w:t>
      </w:r>
      <w:r w:rsidR="00823F92" w:rsidRPr="008D52B4">
        <w:rPr>
          <w:lang w:val="en-US"/>
        </w:rPr>
        <w:t>a</w:t>
      </w:r>
      <w:r w:rsidR="00823F92">
        <w:rPr>
          <w:lang w:val="en-US"/>
        </w:rPr>
        <w:t xml:space="preserve"> </w:t>
      </w:r>
      <w:r w:rsidRPr="008D52B4">
        <w:rPr>
          <w:lang w:val="en-US"/>
        </w:rPr>
        <w:t>rang</w:t>
      </w:r>
      <w:r w:rsidR="00823F92" w:rsidRPr="008D52B4">
        <w:rPr>
          <w:lang w:val="en-US"/>
        </w:rPr>
        <w:t>e</w:t>
      </w:r>
      <w:r w:rsidR="00823F92">
        <w:rPr>
          <w:lang w:val="en-US"/>
        </w:rPr>
        <w:t xml:space="preserve"> </w:t>
      </w:r>
      <w:r w:rsidRPr="008D52B4">
        <w:rPr>
          <w:lang w:val="en-US"/>
        </w:rPr>
        <w:t>o</w:t>
      </w:r>
      <w:r w:rsidR="00823F92" w:rsidRPr="008D52B4">
        <w:rPr>
          <w:lang w:val="en-US"/>
        </w:rPr>
        <w:t>f</w:t>
      </w:r>
      <w:r w:rsidR="00823F92">
        <w:rPr>
          <w:lang w:val="en-US"/>
        </w:rPr>
        <w:t xml:space="preserve"> </w:t>
      </w:r>
      <w:r w:rsidRPr="008D52B4">
        <w:rPr>
          <w:lang w:val="en-US"/>
        </w:rPr>
        <w:t>way</w:t>
      </w:r>
      <w:r w:rsidR="00823F92" w:rsidRPr="008D52B4">
        <w:rPr>
          <w:lang w:val="en-US"/>
        </w:rPr>
        <w:t>s</w:t>
      </w:r>
      <w:r w:rsidR="00823F92">
        <w:rPr>
          <w:lang w:val="en-US"/>
        </w:rPr>
        <w:t xml:space="preserve"> </w:t>
      </w:r>
      <w:r w:rsidRPr="008D52B4">
        <w:rPr>
          <w:lang w:val="en-US"/>
        </w:rPr>
        <w:t>with</w:t>
      </w:r>
      <w:r>
        <w:rPr>
          <w:lang w:val="en-US"/>
        </w:rPr>
        <w:t>i</w:t>
      </w:r>
      <w:r w:rsidR="00823F92">
        <w:rPr>
          <w:lang w:val="en-US"/>
        </w:rPr>
        <w:t xml:space="preserve">n </w:t>
      </w:r>
      <w:r w:rsidRPr="008D52B4">
        <w:rPr>
          <w:lang w:val="en-US"/>
        </w:rPr>
        <w:t>polic</w:t>
      </w:r>
      <w:r>
        <w:rPr>
          <w:lang w:val="en-US"/>
        </w:rPr>
        <w:t>ie</w:t>
      </w:r>
      <w:r w:rsidR="00823F92">
        <w:rPr>
          <w:lang w:val="en-US"/>
        </w:rPr>
        <w:t xml:space="preserve">s </w:t>
      </w:r>
      <w:r>
        <w:rPr>
          <w:lang w:val="en-US"/>
        </w:rPr>
        <w:t>an</w:t>
      </w:r>
      <w:r w:rsidR="00823F92">
        <w:rPr>
          <w:lang w:val="en-US"/>
        </w:rPr>
        <w:t xml:space="preserve">d </w:t>
      </w:r>
      <w:r w:rsidRPr="008D52B4">
        <w:rPr>
          <w:lang w:val="en-US"/>
        </w:rPr>
        <w:t>plans</w:t>
      </w:r>
      <w:r>
        <w:rPr>
          <w:lang w:val="en-US"/>
        </w:rPr>
        <w:t>.</w:t>
      </w:r>
    </w:p>
    <w:p w14:paraId="63A81A32" w14:textId="7D265D0E" w:rsidR="00103373" w:rsidRPr="006C4490" w:rsidRDefault="00103373" w:rsidP="00066B02">
      <w:pPr>
        <w:pStyle w:val="BodyText"/>
        <w:rPr>
          <w:lang w:val="en-US"/>
        </w:rPr>
      </w:pPr>
      <w:r w:rsidRPr="006C4490">
        <w:rPr>
          <w:lang w:val="en-US"/>
        </w:rPr>
        <w:t>Al</w:t>
      </w:r>
      <w:r w:rsidR="00823F92" w:rsidRPr="006C4490">
        <w:rPr>
          <w:lang w:val="en-US"/>
        </w:rPr>
        <w:t>l</w:t>
      </w:r>
      <w:r w:rsidR="00823F92">
        <w:rPr>
          <w:lang w:val="en-US"/>
        </w:rPr>
        <w:t xml:space="preserve"> </w:t>
      </w:r>
      <w:r w:rsidRPr="006C4490">
        <w:rPr>
          <w:lang w:val="en-US"/>
        </w:rPr>
        <w:t>jurisdiction</w:t>
      </w:r>
      <w:r w:rsidR="00823F92" w:rsidRPr="006C4490">
        <w:rPr>
          <w:lang w:val="en-US"/>
        </w:rPr>
        <w:t>s</w:t>
      </w:r>
      <w:r w:rsidR="00823F92">
        <w:rPr>
          <w:lang w:val="en-US"/>
        </w:rPr>
        <w:t xml:space="preserve"> </w:t>
      </w:r>
      <w:r w:rsidRPr="006C4490">
        <w:rPr>
          <w:lang w:val="en-US"/>
        </w:rPr>
        <w:t>hav</w:t>
      </w:r>
      <w:r w:rsidR="00823F92" w:rsidRPr="006C4490">
        <w:rPr>
          <w:lang w:val="en-US"/>
        </w:rPr>
        <w:t>e</w:t>
      </w:r>
      <w:r w:rsidR="00823F92">
        <w:rPr>
          <w:lang w:val="en-US"/>
        </w:rPr>
        <w:t xml:space="preserve"> </w:t>
      </w:r>
      <w:r w:rsidRPr="006C4490">
        <w:rPr>
          <w:lang w:val="en-US"/>
        </w:rPr>
        <w:t>a</w:t>
      </w:r>
      <w:r w:rsidR="00823F92" w:rsidRPr="006C4490">
        <w:rPr>
          <w:lang w:val="en-US"/>
        </w:rPr>
        <w:t>n</w:t>
      </w:r>
      <w:r w:rsidR="00823F92">
        <w:rPr>
          <w:lang w:val="en-US"/>
        </w:rPr>
        <w:t xml:space="preserve"> </w:t>
      </w:r>
      <w:r w:rsidRPr="006C4490">
        <w:rPr>
          <w:lang w:val="en-US"/>
        </w:rPr>
        <w:t>overarchin</w:t>
      </w:r>
      <w:r w:rsidR="00823F92" w:rsidRPr="006C4490">
        <w:rPr>
          <w:lang w:val="en-US"/>
        </w:rPr>
        <w:t>g</w:t>
      </w:r>
      <w:r w:rsidR="00823F92">
        <w:rPr>
          <w:lang w:val="en-US"/>
        </w:rPr>
        <w:t xml:space="preserve"> </w:t>
      </w:r>
      <w:r w:rsidRPr="006C4490">
        <w:rPr>
          <w:lang w:val="en-US"/>
        </w:rPr>
        <w:t>menta</w:t>
      </w:r>
      <w:r w:rsidR="00823F92" w:rsidRPr="006C4490">
        <w:rPr>
          <w:lang w:val="en-US"/>
        </w:rPr>
        <w:t>l</w:t>
      </w:r>
      <w:r w:rsidR="00823F92">
        <w:rPr>
          <w:lang w:val="en-US"/>
        </w:rPr>
        <w:t xml:space="preserve"> </w:t>
      </w:r>
      <w:r w:rsidRPr="006C4490">
        <w:rPr>
          <w:lang w:val="en-US"/>
        </w:rPr>
        <w:t>healt</w:t>
      </w:r>
      <w:r w:rsidR="00823F92" w:rsidRPr="006C4490">
        <w:rPr>
          <w:lang w:val="en-US"/>
        </w:rPr>
        <w:t>h</w:t>
      </w:r>
      <w:r w:rsidR="00823F92">
        <w:rPr>
          <w:lang w:val="en-US"/>
        </w:rPr>
        <w:t xml:space="preserve"> </w:t>
      </w:r>
      <w:r w:rsidRPr="006C4490">
        <w:rPr>
          <w:lang w:val="en-US"/>
        </w:rPr>
        <w:t>workforc</w:t>
      </w:r>
      <w:r w:rsidR="00823F92" w:rsidRPr="006C4490">
        <w:rPr>
          <w:lang w:val="en-US"/>
        </w:rPr>
        <w:t>e</w:t>
      </w:r>
      <w:r w:rsidR="00823F92">
        <w:rPr>
          <w:lang w:val="en-US"/>
        </w:rPr>
        <w:t xml:space="preserve"> </w:t>
      </w:r>
      <w:r w:rsidRPr="006C4490">
        <w:rPr>
          <w:lang w:val="en-US"/>
        </w:rPr>
        <w:t>plan.</w:t>
      </w:r>
      <w:r w:rsidR="00CE5880">
        <w:rPr>
          <w:rStyle w:val="FootnoteReference"/>
          <w:lang w:val="en-US"/>
        </w:rPr>
        <w:footnoteReference w:id="15"/>
      </w:r>
      <w:r w:rsidRPr="006C4490">
        <w:rPr>
          <w:lang w:val="en-US"/>
        </w:rPr>
        <w:t xml:space="preserve"> Som</w:t>
      </w:r>
      <w:r w:rsidR="00823F92" w:rsidRPr="006C4490">
        <w:rPr>
          <w:lang w:val="en-US"/>
        </w:rPr>
        <w:t>e</w:t>
      </w:r>
      <w:r w:rsidR="00823F92">
        <w:rPr>
          <w:lang w:val="en-US"/>
        </w:rPr>
        <w:t xml:space="preserve"> </w:t>
      </w:r>
      <w:r>
        <w:rPr>
          <w:lang w:val="en-US"/>
        </w:rPr>
        <w:t>plan</w:t>
      </w:r>
      <w:r w:rsidR="00823F92">
        <w:rPr>
          <w:lang w:val="en-US"/>
        </w:rPr>
        <w:t xml:space="preserve">s </w:t>
      </w:r>
      <w:r>
        <w:rPr>
          <w:lang w:val="en-US"/>
        </w:rPr>
        <w:t>focu</w:t>
      </w:r>
      <w:r w:rsidR="00823F92">
        <w:rPr>
          <w:lang w:val="en-US"/>
        </w:rPr>
        <w:t xml:space="preserve">s </w:t>
      </w:r>
      <w:r>
        <w:rPr>
          <w:lang w:val="en-US"/>
        </w:rPr>
        <w:t>o</w:t>
      </w:r>
      <w:r w:rsidR="00823F92">
        <w:rPr>
          <w:lang w:val="en-US"/>
        </w:rPr>
        <w:t xml:space="preserve">n </w:t>
      </w:r>
      <w:r>
        <w:rPr>
          <w:lang w:val="en-US"/>
        </w:rPr>
        <w:t>th</w:t>
      </w:r>
      <w:r w:rsidR="00823F92">
        <w:rPr>
          <w:lang w:val="en-US"/>
        </w:rPr>
        <w:t xml:space="preserve">e </w:t>
      </w:r>
      <w:r>
        <w:rPr>
          <w:lang w:val="en-US"/>
        </w:rPr>
        <w:t>menta</w:t>
      </w:r>
      <w:r w:rsidR="00823F92">
        <w:rPr>
          <w:lang w:val="en-US"/>
        </w:rPr>
        <w:t xml:space="preserve">l </w:t>
      </w:r>
      <w:r>
        <w:rPr>
          <w:lang w:val="en-US"/>
        </w:rPr>
        <w:t>healt</w:t>
      </w:r>
      <w:r w:rsidR="00823F92">
        <w:rPr>
          <w:lang w:val="en-US"/>
        </w:rPr>
        <w:t xml:space="preserve">h </w:t>
      </w:r>
      <w:r>
        <w:rPr>
          <w:lang w:val="en-US"/>
        </w:rPr>
        <w:t>workforce</w:t>
      </w:r>
      <w:r w:rsidR="00823F92">
        <w:rPr>
          <w:lang w:val="en-US"/>
        </w:rPr>
        <w:t xml:space="preserve">, </w:t>
      </w:r>
      <w:r>
        <w:rPr>
          <w:lang w:val="en-US"/>
        </w:rPr>
        <w:t>whil</w:t>
      </w:r>
      <w:r w:rsidR="00823F92">
        <w:rPr>
          <w:lang w:val="en-US"/>
        </w:rPr>
        <w:t xml:space="preserve">e </w:t>
      </w:r>
      <w:r>
        <w:rPr>
          <w:lang w:val="en-US"/>
        </w:rPr>
        <w:t>other</w:t>
      </w:r>
      <w:r w:rsidR="00823F92">
        <w:rPr>
          <w:lang w:val="en-US"/>
        </w:rPr>
        <w:t xml:space="preserve">s </w:t>
      </w:r>
      <w:r w:rsidRPr="006C4490">
        <w:rPr>
          <w:lang w:val="en-US"/>
        </w:rPr>
        <w:t>ar</w:t>
      </w:r>
      <w:r w:rsidR="00823F92" w:rsidRPr="006C4490">
        <w:rPr>
          <w:lang w:val="en-US"/>
        </w:rPr>
        <w:t>e</w:t>
      </w:r>
      <w:r w:rsidR="00823F92">
        <w:rPr>
          <w:lang w:val="en-US"/>
        </w:rPr>
        <w:t xml:space="preserve"> </w:t>
      </w:r>
      <w:r w:rsidRPr="006C4490">
        <w:rPr>
          <w:lang w:val="en-US"/>
        </w:rPr>
        <w:t>specifi</w:t>
      </w:r>
      <w:r w:rsidR="00823F92" w:rsidRPr="006C4490">
        <w:rPr>
          <w:lang w:val="en-US"/>
        </w:rPr>
        <w:t>c</w:t>
      </w:r>
      <w:r w:rsidR="00823F92">
        <w:rPr>
          <w:lang w:val="en-US"/>
        </w:rPr>
        <w:t xml:space="preserve"> </w:t>
      </w:r>
      <w:r w:rsidRPr="006C4490">
        <w:rPr>
          <w:lang w:val="en-US"/>
        </w:rPr>
        <w:t>t</w:t>
      </w:r>
      <w:r w:rsidR="00823F92" w:rsidRPr="006C4490">
        <w:rPr>
          <w:lang w:val="en-US"/>
        </w:rPr>
        <w:t>o</w:t>
      </w:r>
      <w:r w:rsidR="00823F92">
        <w:rPr>
          <w:lang w:val="en-US"/>
        </w:rPr>
        <w:t xml:space="preserve"> </w:t>
      </w:r>
      <w:r w:rsidRPr="006C4490">
        <w:rPr>
          <w:lang w:val="en-US"/>
        </w:rPr>
        <w:t>th</w:t>
      </w:r>
      <w:r w:rsidR="00823F92" w:rsidRPr="006C4490">
        <w:rPr>
          <w:lang w:val="en-US"/>
        </w:rPr>
        <w:t>e</w:t>
      </w:r>
      <w:r w:rsidR="00823F92">
        <w:rPr>
          <w:lang w:val="en-US"/>
        </w:rPr>
        <w:t xml:space="preserve"> </w:t>
      </w:r>
      <w:r w:rsidRPr="006C4490">
        <w:rPr>
          <w:lang w:val="en-US"/>
        </w:rPr>
        <w:t>suicid</w:t>
      </w:r>
      <w:r w:rsidR="00823F92" w:rsidRPr="006C4490">
        <w:rPr>
          <w:lang w:val="en-US"/>
        </w:rPr>
        <w:t>e</w:t>
      </w:r>
      <w:r w:rsidR="00823F92">
        <w:rPr>
          <w:lang w:val="en-US"/>
        </w:rPr>
        <w:t xml:space="preserve"> </w:t>
      </w:r>
      <w:r w:rsidRPr="006C4490">
        <w:rPr>
          <w:lang w:val="en-US"/>
        </w:rPr>
        <w:t>preventio</w:t>
      </w:r>
      <w:r w:rsidR="00823F92" w:rsidRPr="006C4490">
        <w:rPr>
          <w:lang w:val="en-US"/>
        </w:rPr>
        <w:t>n</w:t>
      </w:r>
      <w:r w:rsidR="00823F92">
        <w:rPr>
          <w:lang w:val="en-US"/>
        </w:rPr>
        <w:t xml:space="preserve"> </w:t>
      </w:r>
      <w:r w:rsidRPr="006C4490">
        <w:rPr>
          <w:lang w:val="en-US"/>
        </w:rPr>
        <w:lastRenderedPageBreak/>
        <w:t>workforc</w:t>
      </w:r>
      <w:r w:rsidR="00823F92" w:rsidRPr="006C4490">
        <w:rPr>
          <w:lang w:val="en-US"/>
        </w:rPr>
        <w:t>e</w:t>
      </w:r>
      <w:r w:rsidR="00823F92">
        <w:rPr>
          <w:lang w:val="en-US"/>
        </w:rPr>
        <w:t xml:space="preserve"> </w:t>
      </w:r>
      <w:r>
        <w:rPr>
          <w:lang w:val="en-US"/>
        </w:rPr>
        <w:t>o</w:t>
      </w:r>
      <w:r w:rsidR="00823F92">
        <w:rPr>
          <w:lang w:val="en-US"/>
        </w:rPr>
        <w:t xml:space="preserve">r </w:t>
      </w:r>
      <w:r w:rsidRPr="006C4490">
        <w:rPr>
          <w:lang w:val="en-US"/>
        </w:rPr>
        <w:t>includ</w:t>
      </w:r>
      <w:r w:rsidR="00823F92" w:rsidRPr="006C4490">
        <w:rPr>
          <w:lang w:val="en-US"/>
        </w:rPr>
        <w:t>e</w:t>
      </w:r>
      <w:r w:rsidR="00823F92">
        <w:rPr>
          <w:lang w:val="en-US"/>
        </w:rPr>
        <w:t xml:space="preserve"> </w:t>
      </w:r>
      <w:r w:rsidRPr="006C4490">
        <w:rPr>
          <w:lang w:val="en-US"/>
        </w:rPr>
        <w:t>relate</w:t>
      </w:r>
      <w:r w:rsidR="00823F92" w:rsidRPr="006C4490">
        <w:rPr>
          <w:lang w:val="en-US"/>
        </w:rPr>
        <w:t>d</w:t>
      </w:r>
      <w:r w:rsidR="00823F92">
        <w:rPr>
          <w:lang w:val="en-US"/>
        </w:rPr>
        <w:t xml:space="preserve"> </w:t>
      </w:r>
      <w:r w:rsidRPr="006C4490">
        <w:rPr>
          <w:lang w:val="en-US"/>
        </w:rPr>
        <w:t>workforces</w:t>
      </w:r>
      <w:r w:rsidR="00823F92">
        <w:rPr>
          <w:lang w:val="en-US"/>
        </w:rPr>
        <w:t xml:space="preserve">, </w:t>
      </w:r>
      <w:r w:rsidRPr="006C4490">
        <w:rPr>
          <w:lang w:val="en-US"/>
        </w:rPr>
        <w:t>suc</w:t>
      </w:r>
      <w:r w:rsidR="00823F92" w:rsidRPr="006C4490">
        <w:rPr>
          <w:lang w:val="en-US"/>
        </w:rPr>
        <w:t>h</w:t>
      </w:r>
      <w:r w:rsidR="00823F92">
        <w:rPr>
          <w:lang w:val="en-US"/>
        </w:rPr>
        <w:t xml:space="preserve"> </w:t>
      </w:r>
      <w:r w:rsidRPr="006C4490">
        <w:rPr>
          <w:lang w:val="en-US"/>
        </w:rPr>
        <w:t>a</w:t>
      </w:r>
      <w:r w:rsidR="00823F92" w:rsidRPr="006C4490">
        <w:rPr>
          <w:lang w:val="en-US"/>
        </w:rPr>
        <w:t>s</w:t>
      </w:r>
      <w:r w:rsidR="00823F92">
        <w:rPr>
          <w:lang w:val="en-US"/>
        </w:rPr>
        <w:t xml:space="preserve"> </w:t>
      </w:r>
      <w:r w:rsidRPr="006C4490">
        <w:rPr>
          <w:lang w:val="en-US"/>
        </w:rPr>
        <w:t>th</w:t>
      </w:r>
      <w:r w:rsidR="00823F92" w:rsidRPr="006C4490">
        <w:rPr>
          <w:lang w:val="en-US"/>
        </w:rPr>
        <w:t>e</w:t>
      </w:r>
      <w:r w:rsidR="00823F92">
        <w:rPr>
          <w:lang w:val="en-US"/>
        </w:rPr>
        <w:t xml:space="preserve"> </w:t>
      </w:r>
      <w:r w:rsidRPr="006C4490">
        <w:rPr>
          <w:lang w:val="en-US"/>
        </w:rPr>
        <w:t>alcoho</w:t>
      </w:r>
      <w:r w:rsidR="00823F92" w:rsidRPr="006C4490">
        <w:rPr>
          <w:lang w:val="en-US"/>
        </w:rPr>
        <w:t>l</w:t>
      </w:r>
      <w:r w:rsidR="00823F92">
        <w:rPr>
          <w:lang w:val="en-US"/>
        </w:rPr>
        <w:t xml:space="preserve"> </w:t>
      </w:r>
      <w:r w:rsidRPr="006C4490">
        <w:rPr>
          <w:lang w:val="en-US"/>
        </w:rPr>
        <w:t>an</w:t>
      </w:r>
      <w:r w:rsidR="00823F92" w:rsidRPr="006C4490">
        <w:rPr>
          <w:lang w:val="en-US"/>
        </w:rPr>
        <w:t>d</w:t>
      </w:r>
      <w:r w:rsidR="00823F92">
        <w:rPr>
          <w:lang w:val="en-US"/>
        </w:rPr>
        <w:t xml:space="preserve"> </w:t>
      </w:r>
      <w:r w:rsidRPr="006C4490">
        <w:rPr>
          <w:lang w:val="en-US"/>
        </w:rPr>
        <w:t>othe</w:t>
      </w:r>
      <w:r w:rsidR="00823F92" w:rsidRPr="006C4490">
        <w:rPr>
          <w:lang w:val="en-US"/>
        </w:rPr>
        <w:t>r</w:t>
      </w:r>
      <w:r w:rsidR="00823F92">
        <w:rPr>
          <w:lang w:val="en-US"/>
        </w:rPr>
        <w:t xml:space="preserve"> </w:t>
      </w:r>
      <w:r w:rsidRPr="006C4490">
        <w:rPr>
          <w:lang w:val="en-US"/>
        </w:rPr>
        <w:t>drug</w:t>
      </w:r>
      <w:r w:rsidR="00823F92" w:rsidRPr="006C4490">
        <w:rPr>
          <w:lang w:val="en-US"/>
        </w:rPr>
        <w:t>s</w:t>
      </w:r>
      <w:r w:rsidR="00823F92">
        <w:rPr>
          <w:lang w:val="en-US"/>
        </w:rPr>
        <w:t xml:space="preserve"> </w:t>
      </w:r>
      <w:r w:rsidRPr="006C4490">
        <w:rPr>
          <w:lang w:val="en-US"/>
        </w:rPr>
        <w:t>workforce</w:t>
      </w:r>
      <w:r w:rsidR="00823F92" w:rsidRPr="006C4490">
        <w:rPr>
          <w:lang w:val="en-US"/>
        </w:rPr>
        <w:t>.</w:t>
      </w:r>
      <w:r w:rsidR="00823F92">
        <w:rPr>
          <w:lang w:val="en-US"/>
        </w:rPr>
        <w:t xml:space="preserve"> </w:t>
      </w:r>
      <w:r w:rsidRPr="006C4490">
        <w:rPr>
          <w:lang w:val="en-US"/>
        </w:rPr>
        <w:t>I</w:t>
      </w:r>
      <w:r w:rsidR="00823F92" w:rsidRPr="006C4490">
        <w:rPr>
          <w:lang w:val="en-US"/>
        </w:rPr>
        <w:t>n</w:t>
      </w:r>
      <w:r w:rsidR="00823F92">
        <w:rPr>
          <w:lang w:val="en-US"/>
        </w:rPr>
        <w:t xml:space="preserve"> </w:t>
      </w:r>
      <w:r w:rsidRPr="006C4490">
        <w:rPr>
          <w:lang w:val="en-US"/>
        </w:rPr>
        <w:t>addition</w:t>
      </w:r>
      <w:r w:rsidR="00823F92" w:rsidRPr="006C4490">
        <w:rPr>
          <w:lang w:val="en-US"/>
        </w:rPr>
        <w:t>,</w:t>
      </w:r>
      <w:r w:rsidR="00823F92">
        <w:rPr>
          <w:lang w:val="en-US"/>
        </w:rPr>
        <w:t xml:space="preserve"> </w:t>
      </w:r>
      <w:r w:rsidRPr="006C4490">
        <w:rPr>
          <w:lang w:val="en-US"/>
        </w:rPr>
        <w:t>som</w:t>
      </w:r>
      <w:r w:rsidR="00823F92" w:rsidRPr="006C4490">
        <w:rPr>
          <w:lang w:val="en-US"/>
        </w:rPr>
        <w:t>e</w:t>
      </w:r>
      <w:r w:rsidR="00823F92">
        <w:rPr>
          <w:lang w:val="en-US"/>
        </w:rPr>
        <w:t xml:space="preserve"> </w:t>
      </w:r>
      <w:r w:rsidRPr="006C4490">
        <w:rPr>
          <w:lang w:val="en-US"/>
        </w:rPr>
        <w:t>jurisdiction</w:t>
      </w:r>
      <w:r w:rsidR="00823F92" w:rsidRPr="006C4490">
        <w:rPr>
          <w:lang w:val="en-US"/>
        </w:rPr>
        <w:t>s</w:t>
      </w:r>
      <w:r w:rsidR="00823F92">
        <w:rPr>
          <w:lang w:val="en-US"/>
        </w:rPr>
        <w:t xml:space="preserve"> </w:t>
      </w:r>
      <w:r w:rsidRPr="006C4490">
        <w:rPr>
          <w:lang w:val="en-US"/>
        </w:rPr>
        <w:t>hav</w:t>
      </w:r>
      <w:r w:rsidR="00823F92" w:rsidRPr="006C4490">
        <w:rPr>
          <w:lang w:val="en-US"/>
        </w:rPr>
        <w:t>e</w:t>
      </w:r>
      <w:r w:rsidR="00823F92">
        <w:rPr>
          <w:lang w:val="en-US"/>
        </w:rPr>
        <w:t xml:space="preserve"> </w:t>
      </w:r>
      <w:r w:rsidRPr="006C4490">
        <w:rPr>
          <w:lang w:val="en-US"/>
        </w:rPr>
        <w:t>develope</w:t>
      </w:r>
      <w:r w:rsidR="00823F92" w:rsidRPr="006C4490">
        <w:rPr>
          <w:lang w:val="en-US"/>
        </w:rPr>
        <w:t>d</w:t>
      </w:r>
      <w:r w:rsidR="00823F92">
        <w:rPr>
          <w:lang w:val="en-US"/>
        </w:rPr>
        <w:t xml:space="preserve"> </w:t>
      </w:r>
      <w:r w:rsidRPr="006C4490">
        <w:rPr>
          <w:lang w:val="en-US"/>
        </w:rPr>
        <w:t>policie</w:t>
      </w:r>
      <w:r w:rsidR="00823F92" w:rsidRPr="006C4490">
        <w:rPr>
          <w:lang w:val="en-US"/>
        </w:rPr>
        <w:t>s</w:t>
      </w:r>
      <w:r w:rsidR="00823F92">
        <w:rPr>
          <w:lang w:val="en-US"/>
        </w:rPr>
        <w:t xml:space="preserve"> </w:t>
      </w:r>
      <w:r w:rsidRPr="006C4490">
        <w:rPr>
          <w:lang w:val="en-US"/>
        </w:rPr>
        <w:t>specifi</w:t>
      </w:r>
      <w:r w:rsidR="00823F92" w:rsidRPr="006C4490">
        <w:rPr>
          <w:lang w:val="en-US"/>
        </w:rPr>
        <w:t>c</w:t>
      </w:r>
      <w:r w:rsidR="00823F92">
        <w:rPr>
          <w:lang w:val="en-US"/>
        </w:rPr>
        <w:t xml:space="preserve"> </w:t>
      </w:r>
      <w:r w:rsidRPr="006C4490">
        <w:rPr>
          <w:lang w:val="en-US"/>
        </w:rPr>
        <w:t>t</w:t>
      </w:r>
      <w:r w:rsidR="00823F92" w:rsidRPr="006C4490">
        <w:rPr>
          <w:lang w:val="en-US"/>
        </w:rPr>
        <w:t>o</w:t>
      </w:r>
      <w:r w:rsidR="00823F92">
        <w:rPr>
          <w:lang w:val="en-US"/>
        </w:rPr>
        <w:t xml:space="preserve"> </w:t>
      </w:r>
      <w:r w:rsidRPr="006C4490">
        <w:rPr>
          <w:lang w:val="en-US"/>
        </w:rPr>
        <w:t>eac</w:t>
      </w:r>
      <w:r w:rsidR="00823F92" w:rsidRPr="006C4490">
        <w:rPr>
          <w:lang w:val="en-US"/>
        </w:rPr>
        <w:t>h</w:t>
      </w:r>
      <w:r w:rsidR="00823F92">
        <w:rPr>
          <w:lang w:val="en-US"/>
        </w:rPr>
        <w:t xml:space="preserve"> </w:t>
      </w:r>
      <w:r w:rsidRPr="006C4490">
        <w:rPr>
          <w:lang w:val="en-US"/>
        </w:rPr>
        <w:t>are</w:t>
      </w:r>
      <w:r w:rsidR="00823F92" w:rsidRPr="006C4490">
        <w:rPr>
          <w:lang w:val="en-US"/>
        </w:rPr>
        <w:t>a</w:t>
      </w:r>
      <w:r w:rsidR="00823F92">
        <w:rPr>
          <w:lang w:val="en-US"/>
        </w:rPr>
        <w:t xml:space="preserve"> </w:t>
      </w:r>
      <w:r w:rsidRPr="006C4490">
        <w:rPr>
          <w:lang w:val="en-US"/>
        </w:rPr>
        <w:t>o</w:t>
      </w:r>
      <w:r w:rsidR="00823F92" w:rsidRPr="006C4490">
        <w:rPr>
          <w:lang w:val="en-US"/>
        </w:rPr>
        <w:t>f</w:t>
      </w:r>
      <w:r w:rsidR="00823F92">
        <w:rPr>
          <w:lang w:val="en-US"/>
        </w:rPr>
        <w:t xml:space="preserve"> </w:t>
      </w:r>
      <w:r w:rsidRPr="006C4490">
        <w:rPr>
          <w:lang w:val="en-US"/>
        </w:rPr>
        <w:t>th</w:t>
      </w:r>
      <w:r w:rsidR="00823F92" w:rsidRPr="006C4490">
        <w:rPr>
          <w:lang w:val="en-US"/>
        </w:rPr>
        <w:t>e</w:t>
      </w:r>
      <w:r w:rsidR="00823F92">
        <w:rPr>
          <w:lang w:val="en-US"/>
        </w:rPr>
        <w:t xml:space="preserve"> </w:t>
      </w:r>
      <w:r w:rsidRPr="006C4490">
        <w:rPr>
          <w:lang w:val="en-US"/>
        </w:rPr>
        <w:t>menta</w:t>
      </w:r>
      <w:r w:rsidR="00823F92" w:rsidRPr="006C4490">
        <w:rPr>
          <w:lang w:val="en-US"/>
        </w:rPr>
        <w:t>l</w:t>
      </w:r>
      <w:r w:rsidR="00823F92">
        <w:rPr>
          <w:lang w:val="en-US"/>
        </w:rPr>
        <w:t xml:space="preserve"> </w:t>
      </w:r>
      <w:r w:rsidRPr="006C4490">
        <w:rPr>
          <w:lang w:val="en-US"/>
        </w:rPr>
        <w:t>healt</w:t>
      </w:r>
      <w:r w:rsidR="00823F92" w:rsidRPr="006C4490">
        <w:rPr>
          <w:lang w:val="en-US"/>
        </w:rPr>
        <w:t>h</w:t>
      </w:r>
      <w:r w:rsidR="00823F92">
        <w:rPr>
          <w:lang w:val="en-US"/>
        </w:rPr>
        <w:t xml:space="preserve"> </w:t>
      </w:r>
      <w:r w:rsidRPr="006C4490">
        <w:rPr>
          <w:lang w:val="en-US"/>
        </w:rPr>
        <w:t>workforce</w:t>
      </w:r>
      <w:r w:rsidR="00823F92" w:rsidRPr="006C4490">
        <w:rPr>
          <w:lang w:val="en-US"/>
        </w:rPr>
        <w:t>,</w:t>
      </w:r>
      <w:r w:rsidR="00823F92">
        <w:rPr>
          <w:lang w:val="en-US"/>
        </w:rPr>
        <w:t xml:space="preserve"> </w:t>
      </w:r>
      <w:r w:rsidRPr="006C4490">
        <w:rPr>
          <w:lang w:val="en-US"/>
        </w:rPr>
        <w:t>suc</w:t>
      </w:r>
      <w:r w:rsidR="00823F92" w:rsidRPr="006C4490">
        <w:rPr>
          <w:lang w:val="en-US"/>
        </w:rPr>
        <w:t>h</w:t>
      </w:r>
      <w:r w:rsidR="00823F92">
        <w:rPr>
          <w:lang w:val="en-US"/>
        </w:rPr>
        <w:t xml:space="preserve"> </w:t>
      </w:r>
      <w:r w:rsidRPr="006C4490">
        <w:rPr>
          <w:lang w:val="en-US"/>
        </w:rPr>
        <w:t>a</w:t>
      </w:r>
      <w:r w:rsidR="00823F92" w:rsidRPr="006C4490">
        <w:rPr>
          <w:lang w:val="en-US"/>
        </w:rPr>
        <w:t>s</w:t>
      </w:r>
      <w:r w:rsidR="00823F92">
        <w:rPr>
          <w:lang w:val="en-US"/>
        </w:rPr>
        <w:t xml:space="preserve"> </w:t>
      </w:r>
      <w:r w:rsidRPr="006C4490">
        <w:rPr>
          <w:lang w:val="en-US"/>
        </w:rPr>
        <w:t>menta</w:t>
      </w:r>
      <w:r w:rsidR="00823F92" w:rsidRPr="006C4490">
        <w:rPr>
          <w:lang w:val="en-US"/>
        </w:rPr>
        <w:t>l</w:t>
      </w:r>
      <w:r w:rsidR="00823F92">
        <w:rPr>
          <w:lang w:val="en-US"/>
        </w:rPr>
        <w:t xml:space="preserve"> </w:t>
      </w:r>
      <w:r w:rsidRPr="006C4490">
        <w:rPr>
          <w:lang w:val="en-US"/>
        </w:rPr>
        <w:t>healt</w:t>
      </w:r>
      <w:r w:rsidR="00823F92" w:rsidRPr="006C4490">
        <w:rPr>
          <w:lang w:val="en-US"/>
        </w:rPr>
        <w:t>h</w:t>
      </w:r>
      <w:r w:rsidR="00823F92">
        <w:rPr>
          <w:lang w:val="en-US"/>
        </w:rPr>
        <w:t xml:space="preserve"> </w:t>
      </w:r>
      <w:r w:rsidRPr="006C4490">
        <w:rPr>
          <w:lang w:val="en-US"/>
        </w:rPr>
        <w:t>nursin</w:t>
      </w:r>
      <w:r w:rsidR="00823F92" w:rsidRPr="006C4490">
        <w:rPr>
          <w:lang w:val="en-US"/>
        </w:rPr>
        <w:t>g</w:t>
      </w:r>
      <w:r w:rsidR="00823F92">
        <w:rPr>
          <w:lang w:val="en-US"/>
        </w:rPr>
        <w:t xml:space="preserve"> </w:t>
      </w:r>
      <w:r w:rsidR="005965C6">
        <w:rPr>
          <w:lang w:val="en-US"/>
        </w:rPr>
        <w:t>an</w:t>
      </w:r>
      <w:r w:rsidR="00823F92">
        <w:rPr>
          <w:lang w:val="en-US"/>
        </w:rPr>
        <w:t xml:space="preserve">d </w:t>
      </w:r>
      <w:r w:rsidR="005965C6">
        <w:rPr>
          <w:lang w:val="en-US"/>
        </w:rPr>
        <w:t>psychiatry</w:t>
      </w:r>
      <w:r w:rsidR="00823F92" w:rsidRPr="006C4490">
        <w:rPr>
          <w:lang w:val="en-US"/>
        </w:rPr>
        <w:t>.</w:t>
      </w:r>
      <w:r w:rsidR="00823F92">
        <w:rPr>
          <w:lang w:val="en-US"/>
        </w:rPr>
        <w:t xml:space="preserve"> </w:t>
      </w:r>
    </w:p>
    <w:p w14:paraId="4AEC8A25" w14:textId="48C8B34B" w:rsidR="00732C95" w:rsidRDefault="00103373" w:rsidP="00C50823">
      <w:pPr>
        <w:pStyle w:val="BodyText"/>
        <w:rPr>
          <w:lang w:val="en-US"/>
        </w:rPr>
      </w:pPr>
      <w:r w:rsidRPr="006C4490">
        <w:rPr>
          <w:lang w:val="en-US"/>
        </w:rPr>
        <w:t>Despit</w:t>
      </w:r>
      <w:r w:rsidR="00823F92" w:rsidRPr="006C4490">
        <w:rPr>
          <w:lang w:val="en-US"/>
        </w:rPr>
        <w:t>e</w:t>
      </w:r>
      <w:r w:rsidR="00823F92">
        <w:rPr>
          <w:lang w:val="en-US"/>
        </w:rPr>
        <w:t xml:space="preserve"> </w:t>
      </w:r>
      <w:r w:rsidRPr="006C4490">
        <w:rPr>
          <w:lang w:val="en-US"/>
        </w:rPr>
        <w:t>th</w:t>
      </w:r>
      <w:r w:rsidR="00823F92" w:rsidRPr="006C4490">
        <w:rPr>
          <w:lang w:val="en-US"/>
        </w:rPr>
        <w:t>e</w:t>
      </w:r>
      <w:r w:rsidR="00823F92">
        <w:rPr>
          <w:lang w:val="en-US"/>
        </w:rPr>
        <w:t xml:space="preserve"> </w:t>
      </w:r>
      <w:r w:rsidRPr="006C4490">
        <w:rPr>
          <w:lang w:val="en-US"/>
        </w:rPr>
        <w:t>complexity</w:t>
      </w:r>
      <w:r w:rsidR="00823F92" w:rsidRPr="006C4490">
        <w:rPr>
          <w:lang w:val="en-US"/>
        </w:rPr>
        <w:t>,</w:t>
      </w:r>
      <w:r w:rsidR="00823F92">
        <w:rPr>
          <w:lang w:val="en-US"/>
        </w:rPr>
        <w:t xml:space="preserve"> </w:t>
      </w:r>
      <w:r w:rsidRPr="006C4490">
        <w:rPr>
          <w:lang w:val="en-US"/>
        </w:rPr>
        <w:t>ther</w:t>
      </w:r>
      <w:r w:rsidR="00823F92" w:rsidRPr="006C4490">
        <w:rPr>
          <w:lang w:val="en-US"/>
        </w:rPr>
        <w:t>e</w:t>
      </w:r>
      <w:r w:rsidR="00823F92">
        <w:rPr>
          <w:lang w:val="en-US"/>
        </w:rPr>
        <w:t xml:space="preserve"> </w:t>
      </w:r>
      <w:r w:rsidRPr="006C4490">
        <w:rPr>
          <w:lang w:val="en-US"/>
        </w:rPr>
        <w:t>ar</w:t>
      </w:r>
      <w:r w:rsidR="00823F92" w:rsidRPr="006C4490">
        <w:rPr>
          <w:lang w:val="en-US"/>
        </w:rPr>
        <w:t>e</w:t>
      </w:r>
      <w:r w:rsidR="00823F92">
        <w:rPr>
          <w:lang w:val="en-US"/>
        </w:rPr>
        <w:t xml:space="preserve"> </w:t>
      </w:r>
      <w:r w:rsidRPr="006C4490">
        <w:rPr>
          <w:lang w:val="en-US"/>
        </w:rPr>
        <w:t>commonalitie</w:t>
      </w:r>
      <w:r w:rsidR="00823F92" w:rsidRPr="006C4490">
        <w:rPr>
          <w:lang w:val="en-US"/>
        </w:rPr>
        <w:t>s</w:t>
      </w:r>
      <w:r w:rsidR="00823F92">
        <w:rPr>
          <w:lang w:val="en-US"/>
        </w:rPr>
        <w:t xml:space="preserve"> </w:t>
      </w:r>
      <w:r w:rsidRPr="006C4490">
        <w:rPr>
          <w:lang w:val="en-US"/>
        </w:rPr>
        <w:t>i</w:t>
      </w:r>
      <w:r w:rsidR="00823F92" w:rsidRPr="006C4490">
        <w:rPr>
          <w:lang w:val="en-US"/>
        </w:rPr>
        <w:t>n</w:t>
      </w:r>
      <w:r w:rsidR="00823F92">
        <w:rPr>
          <w:lang w:val="en-US"/>
        </w:rPr>
        <w:t xml:space="preserve"> </w:t>
      </w:r>
      <w:r w:rsidRPr="006C4490">
        <w:rPr>
          <w:lang w:val="en-US"/>
        </w:rPr>
        <w:t>th</w:t>
      </w:r>
      <w:r w:rsidR="00823F92" w:rsidRPr="006C4490">
        <w:rPr>
          <w:lang w:val="en-US"/>
        </w:rPr>
        <w:t>e</w:t>
      </w:r>
      <w:r w:rsidR="00823F92">
        <w:rPr>
          <w:lang w:val="en-US"/>
        </w:rPr>
        <w:t xml:space="preserve"> </w:t>
      </w:r>
      <w:r w:rsidRPr="006C4490">
        <w:rPr>
          <w:lang w:val="en-US"/>
        </w:rPr>
        <w:t>aim</w:t>
      </w:r>
      <w:r w:rsidR="00823F92" w:rsidRPr="006C4490">
        <w:rPr>
          <w:lang w:val="en-US"/>
        </w:rPr>
        <w:t>s</w:t>
      </w:r>
      <w:r w:rsidR="00823F92">
        <w:rPr>
          <w:lang w:val="en-US"/>
        </w:rPr>
        <w:t xml:space="preserve"> </w:t>
      </w:r>
      <w:r>
        <w:rPr>
          <w:lang w:val="en-US"/>
        </w:rPr>
        <w:t>an</w:t>
      </w:r>
      <w:r w:rsidR="00823F92">
        <w:rPr>
          <w:lang w:val="en-US"/>
        </w:rPr>
        <w:t xml:space="preserve">d </w:t>
      </w:r>
      <w:r>
        <w:rPr>
          <w:lang w:val="en-US"/>
        </w:rPr>
        <w:t>principle</w:t>
      </w:r>
      <w:r w:rsidR="00823F92">
        <w:rPr>
          <w:lang w:val="en-US"/>
        </w:rPr>
        <w:t xml:space="preserve">s </w:t>
      </w:r>
      <w:r w:rsidRPr="006C4490">
        <w:rPr>
          <w:lang w:val="en-US"/>
        </w:rPr>
        <w:t>o</w:t>
      </w:r>
      <w:r w:rsidR="00823F92" w:rsidRPr="006C4490">
        <w:rPr>
          <w:lang w:val="en-US"/>
        </w:rPr>
        <w:t>f</w:t>
      </w:r>
      <w:r w:rsidR="00823F92">
        <w:rPr>
          <w:lang w:val="en-US"/>
        </w:rPr>
        <w:t xml:space="preserve"> </w:t>
      </w:r>
      <w:r w:rsidRPr="006C4490">
        <w:rPr>
          <w:lang w:val="en-US"/>
        </w:rPr>
        <w:t>th</w:t>
      </w:r>
      <w:r w:rsidR="00823F92" w:rsidRPr="006C4490">
        <w:rPr>
          <w:lang w:val="en-US"/>
        </w:rPr>
        <w:t>e</w:t>
      </w:r>
      <w:r w:rsidR="00823F92">
        <w:rPr>
          <w:lang w:val="en-US"/>
        </w:rPr>
        <w:t xml:space="preserve"> </w:t>
      </w:r>
      <w:r w:rsidRPr="006C4490">
        <w:rPr>
          <w:lang w:val="en-US"/>
        </w:rPr>
        <w:t>menta</w:t>
      </w:r>
      <w:r w:rsidR="00823F92" w:rsidRPr="006C4490">
        <w:rPr>
          <w:lang w:val="en-US"/>
        </w:rPr>
        <w:t>l</w:t>
      </w:r>
      <w:r w:rsidR="00823F92">
        <w:rPr>
          <w:lang w:val="en-US"/>
        </w:rPr>
        <w:t xml:space="preserve"> </w:t>
      </w:r>
      <w:r w:rsidRPr="006C4490">
        <w:rPr>
          <w:lang w:val="en-US"/>
        </w:rPr>
        <w:t>healt</w:t>
      </w:r>
      <w:r w:rsidR="00823F92" w:rsidRPr="006C4490">
        <w:rPr>
          <w:lang w:val="en-US"/>
        </w:rPr>
        <w:t>h</w:t>
      </w:r>
      <w:r w:rsidR="00823F92">
        <w:rPr>
          <w:lang w:val="en-US"/>
        </w:rPr>
        <w:t xml:space="preserve"> </w:t>
      </w:r>
      <w:r w:rsidRPr="006C4490">
        <w:rPr>
          <w:lang w:val="en-US"/>
        </w:rPr>
        <w:t>workforc</w:t>
      </w:r>
      <w:r w:rsidR="00823F92" w:rsidRPr="006C4490">
        <w:rPr>
          <w:lang w:val="en-US"/>
        </w:rPr>
        <w:t>e</w:t>
      </w:r>
      <w:r w:rsidR="00823F92">
        <w:rPr>
          <w:lang w:val="en-US"/>
        </w:rPr>
        <w:t xml:space="preserve"> </w:t>
      </w:r>
      <w:r w:rsidRPr="006C4490">
        <w:rPr>
          <w:lang w:val="en-US"/>
        </w:rPr>
        <w:t>strategie</w:t>
      </w:r>
      <w:r w:rsidR="00823F92" w:rsidRPr="006C4490">
        <w:rPr>
          <w:lang w:val="en-US"/>
        </w:rPr>
        <w:t>s</w:t>
      </w:r>
      <w:r w:rsidR="00823F92">
        <w:rPr>
          <w:lang w:val="en-US"/>
        </w:rPr>
        <w:t xml:space="preserve"> </w:t>
      </w:r>
      <w:r w:rsidRPr="006C4490">
        <w:rPr>
          <w:lang w:val="en-US"/>
        </w:rPr>
        <w:t>acros</w:t>
      </w:r>
      <w:r w:rsidR="00823F92" w:rsidRPr="006C4490">
        <w:rPr>
          <w:lang w:val="en-US"/>
        </w:rPr>
        <w:t>s</w:t>
      </w:r>
      <w:r w:rsidR="00823F92">
        <w:rPr>
          <w:lang w:val="en-US"/>
        </w:rPr>
        <w:t xml:space="preserve"> </w:t>
      </w:r>
      <w:r w:rsidRPr="006C4490">
        <w:rPr>
          <w:lang w:val="en-US"/>
        </w:rPr>
        <w:t>jurisdictions</w:t>
      </w:r>
      <w:r w:rsidR="00823F92" w:rsidRPr="006C4490">
        <w:rPr>
          <w:lang w:val="en-US"/>
        </w:rPr>
        <w:t>.</w:t>
      </w:r>
      <w:r w:rsidR="00823F92">
        <w:rPr>
          <w:lang w:val="en-US"/>
        </w:rPr>
        <w:t xml:space="preserve"> </w:t>
      </w:r>
      <w:r>
        <w:rPr>
          <w:lang w:val="en-US"/>
        </w:rPr>
        <w:t>Thes</w:t>
      </w:r>
      <w:r w:rsidR="00823F92">
        <w:rPr>
          <w:lang w:val="en-US"/>
        </w:rPr>
        <w:t xml:space="preserve">e </w:t>
      </w:r>
      <w:r>
        <w:rPr>
          <w:lang w:val="en-US"/>
        </w:rPr>
        <w:t>includ</w:t>
      </w:r>
      <w:r w:rsidR="00823F92">
        <w:rPr>
          <w:lang w:val="en-US"/>
        </w:rPr>
        <w:t xml:space="preserve">e </w:t>
      </w:r>
      <w:r>
        <w:rPr>
          <w:lang w:val="en-US"/>
        </w:rPr>
        <w:t>commitment</w:t>
      </w:r>
      <w:r w:rsidR="00823F92">
        <w:rPr>
          <w:lang w:val="en-US"/>
        </w:rPr>
        <w:t xml:space="preserve">s </w:t>
      </w:r>
      <w:r>
        <w:rPr>
          <w:lang w:val="en-US"/>
        </w:rPr>
        <w:t>t</w:t>
      </w:r>
      <w:r w:rsidR="00823F92">
        <w:rPr>
          <w:lang w:val="en-US"/>
        </w:rPr>
        <w:t xml:space="preserve">o </w:t>
      </w:r>
      <w:r w:rsidR="00732C95" w:rsidRPr="006C4490">
        <w:rPr>
          <w:lang w:val="en-US"/>
        </w:rPr>
        <w:t>sustainable</w:t>
      </w:r>
      <w:r w:rsidR="00823F92" w:rsidRPr="006C4490">
        <w:rPr>
          <w:lang w:val="en-US"/>
        </w:rPr>
        <w:t>,</w:t>
      </w:r>
      <w:r w:rsidR="00823F92">
        <w:rPr>
          <w:lang w:val="en-US"/>
        </w:rPr>
        <w:t xml:space="preserve"> </w:t>
      </w:r>
      <w:r w:rsidR="00732C95" w:rsidRPr="006C4490">
        <w:rPr>
          <w:lang w:val="en-US"/>
        </w:rPr>
        <w:t>accessibl</w:t>
      </w:r>
      <w:r w:rsidR="00823F92" w:rsidRPr="006C4490">
        <w:rPr>
          <w:lang w:val="en-US"/>
        </w:rPr>
        <w:t>e</w:t>
      </w:r>
      <w:r w:rsidR="00823F92">
        <w:rPr>
          <w:lang w:val="en-US"/>
        </w:rPr>
        <w:t xml:space="preserve"> </w:t>
      </w:r>
      <w:r w:rsidR="00732C95" w:rsidRPr="006C4490">
        <w:rPr>
          <w:lang w:val="en-US"/>
        </w:rPr>
        <w:t>an</w:t>
      </w:r>
      <w:r w:rsidR="00823F92" w:rsidRPr="006C4490">
        <w:rPr>
          <w:lang w:val="en-US"/>
        </w:rPr>
        <w:t>d</w:t>
      </w:r>
      <w:r w:rsidR="00823F92">
        <w:rPr>
          <w:lang w:val="en-US"/>
        </w:rPr>
        <w:t xml:space="preserve"> </w:t>
      </w:r>
      <w:r w:rsidR="00732C95" w:rsidRPr="006C4490">
        <w:rPr>
          <w:lang w:val="en-US"/>
        </w:rPr>
        <w:t>equitabl</w:t>
      </w:r>
      <w:r w:rsidR="00823F92" w:rsidRPr="006C4490">
        <w:rPr>
          <w:lang w:val="en-US"/>
        </w:rPr>
        <w:t>e</w:t>
      </w:r>
      <w:r w:rsidR="00823F92">
        <w:rPr>
          <w:lang w:val="en-US"/>
        </w:rPr>
        <w:t xml:space="preserve"> </w:t>
      </w:r>
      <w:r w:rsidR="00732C95" w:rsidRPr="006C4490">
        <w:rPr>
          <w:lang w:val="en-US"/>
        </w:rPr>
        <w:t>servic</w:t>
      </w:r>
      <w:r w:rsidR="00823F92" w:rsidRPr="006C4490">
        <w:rPr>
          <w:lang w:val="en-US"/>
        </w:rPr>
        <w:t>e</w:t>
      </w:r>
      <w:r w:rsidR="00823F92">
        <w:rPr>
          <w:lang w:val="en-US"/>
        </w:rPr>
        <w:t xml:space="preserve"> </w:t>
      </w:r>
      <w:r w:rsidR="00732C95" w:rsidRPr="006C4490">
        <w:rPr>
          <w:lang w:val="en-US"/>
        </w:rPr>
        <w:t>deliver</w:t>
      </w:r>
      <w:r w:rsidR="00823F92" w:rsidRPr="006C4490">
        <w:rPr>
          <w:lang w:val="en-US"/>
        </w:rPr>
        <w:t>y</w:t>
      </w:r>
      <w:r w:rsidR="00823F92">
        <w:rPr>
          <w:lang w:val="en-US"/>
        </w:rPr>
        <w:t xml:space="preserve"> </w:t>
      </w:r>
      <w:r w:rsidR="00732C95">
        <w:rPr>
          <w:lang w:val="en-US"/>
        </w:rPr>
        <w:t>an</w:t>
      </w:r>
      <w:r w:rsidR="00823F92">
        <w:rPr>
          <w:lang w:val="en-US"/>
        </w:rPr>
        <w:t xml:space="preserve">d </w:t>
      </w:r>
      <w:r w:rsidR="00732C95">
        <w:rPr>
          <w:lang w:val="en-US"/>
        </w:rPr>
        <w:t>car</w:t>
      </w:r>
      <w:r w:rsidR="00823F92">
        <w:rPr>
          <w:lang w:val="en-US"/>
        </w:rPr>
        <w:t xml:space="preserve">e </w:t>
      </w:r>
      <w:r w:rsidR="00732C95">
        <w:rPr>
          <w:lang w:val="en-US"/>
        </w:rPr>
        <w:t>tha</w:t>
      </w:r>
      <w:r w:rsidR="00823F92">
        <w:rPr>
          <w:lang w:val="en-US"/>
        </w:rPr>
        <w:t xml:space="preserve">t </w:t>
      </w:r>
      <w:r w:rsidR="00732C95">
        <w:rPr>
          <w:lang w:val="en-US"/>
        </w:rPr>
        <w:t>is:</w:t>
      </w:r>
    </w:p>
    <w:p w14:paraId="7560CFA8" w14:textId="47FA2C63" w:rsidR="00732C95" w:rsidRDefault="00103373" w:rsidP="00732C95">
      <w:pPr>
        <w:pStyle w:val="ListBullet"/>
        <w:rPr>
          <w:lang w:val="en-US"/>
        </w:rPr>
      </w:pPr>
      <w:r w:rsidRPr="006C4490">
        <w:rPr>
          <w:lang w:val="en-US"/>
        </w:rPr>
        <w:t>holisti</w:t>
      </w:r>
      <w:r w:rsidR="00823F92" w:rsidRPr="006C4490">
        <w:rPr>
          <w:lang w:val="en-US"/>
        </w:rPr>
        <w:t>c</w:t>
      </w:r>
      <w:r w:rsidR="00823F92">
        <w:rPr>
          <w:lang w:val="en-US"/>
        </w:rPr>
        <w:t xml:space="preserve"> </w:t>
      </w:r>
      <w:r w:rsidRPr="006C4490">
        <w:rPr>
          <w:lang w:val="en-US"/>
        </w:rPr>
        <w:t>person-</w:t>
      </w:r>
      <w:proofErr w:type="spellStart"/>
      <w:r w:rsidRPr="006C4490">
        <w:rPr>
          <w:lang w:val="en-US"/>
        </w:rPr>
        <w:t>centred</w:t>
      </w:r>
      <w:proofErr w:type="spellEnd"/>
    </w:p>
    <w:p w14:paraId="5CDB0638" w14:textId="7DB819E5" w:rsidR="00732C95" w:rsidRDefault="00103373" w:rsidP="00732C95">
      <w:pPr>
        <w:pStyle w:val="ListBullet"/>
        <w:rPr>
          <w:lang w:val="en-US"/>
        </w:rPr>
      </w:pPr>
      <w:r w:rsidRPr="006C4490">
        <w:rPr>
          <w:lang w:val="en-US"/>
        </w:rPr>
        <w:t>recover</w:t>
      </w:r>
      <w:r w:rsidR="00823F92" w:rsidRPr="006C4490">
        <w:rPr>
          <w:lang w:val="en-US"/>
        </w:rPr>
        <w:t>y</w:t>
      </w:r>
      <w:r w:rsidR="00823F92">
        <w:rPr>
          <w:lang w:val="en-US"/>
        </w:rPr>
        <w:t xml:space="preserve"> </w:t>
      </w:r>
      <w:r w:rsidRPr="006C4490">
        <w:rPr>
          <w:lang w:val="en-US"/>
        </w:rPr>
        <w:t>oriented</w:t>
      </w:r>
    </w:p>
    <w:p w14:paraId="5792094A" w14:textId="7E779EDA" w:rsidR="00732C95" w:rsidRDefault="00103373" w:rsidP="00732C95">
      <w:pPr>
        <w:pStyle w:val="ListBullet"/>
        <w:rPr>
          <w:lang w:val="en-US"/>
        </w:rPr>
      </w:pPr>
      <w:r w:rsidRPr="006C4490">
        <w:rPr>
          <w:lang w:val="en-US"/>
        </w:rPr>
        <w:t>strengths-based</w:t>
      </w:r>
    </w:p>
    <w:p w14:paraId="09945D39" w14:textId="631DD5B4" w:rsidR="00732C95" w:rsidRDefault="00103373" w:rsidP="00732C95">
      <w:pPr>
        <w:pStyle w:val="ListBullet"/>
        <w:rPr>
          <w:lang w:val="en-US"/>
        </w:rPr>
      </w:pPr>
      <w:r w:rsidRPr="006C4490">
        <w:rPr>
          <w:lang w:val="en-US"/>
        </w:rPr>
        <w:t>culturall</w:t>
      </w:r>
      <w:r w:rsidR="00823F92" w:rsidRPr="006C4490">
        <w:rPr>
          <w:lang w:val="en-US"/>
        </w:rPr>
        <w:t>y</w:t>
      </w:r>
      <w:r w:rsidR="00823F92">
        <w:rPr>
          <w:lang w:val="en-US"/>
        </w:rPr>
        <w:t xml:space="preserve"> </w:t>
      </w:r>
      <w:r w:rsidRPr="006C4490">
        <w:rPr>
          <w:lang w:val="en-US"/>
        </w:rPr>
        <w:t>safe</w:t>
      </w:r>
    </w:p>
    <w:p w14:paraId="24E8037C" w14:textId="25E72356" w:rsidR="00732C95" w:rsidRDefault="00103373" w:rsidP="00732C95">
      <w:pPr>
        <w:pStyle w:val="ListBullet"/>
        <w:rPr>
          <w:lang w:val="en-US"/>
        </w:rPr>
      </w:pPr>
      <w:r w:rsidRPr="006C4490">
        <w:rPr>
          <w:lang w:val="en-US"/>
        </w:rPr>
        <w:t>trauma-informed</w:t>
      </w:r>
      <w:r w:rsidR="00823F92" w:rsidRPr="006C4490">
        <w:rPr>
          <w:lang w:val="en-US"/>
        </w:rPr>
        <w:t>.</w:t>
      </w:r>
      <w:r w:rsidR="00823F92">
        <w:rPr>
          <w:lang w:val="en-US"/>
        </w:rPr>
        <w:t xml:space="preserve"> </w:t>
      </w:r>
    </w:p>
    <w:p w14:paraId="0F48E0F1" w14:textId="096C80D1" w:rsidR="00712A5F" w:rsidRDefault="00103373" w:rsidP="003D3540">
      <w:pPr>
        <w:pStyle w:val="BodyText"/>
        <w:rPr>
          <w:lang w:val="en-US"/>
        </w:rPr>
      </w:pPr>
      <w:r w:rsidRPr="00C8043E">
        <w:rPr>
          <w:lang w:val="en-US"/>
        </w:rPr>
        <w:t>Eac</w:t>
      </w:r>
      <w:r w:rsidR="00823F92" w:rsidRPr="00C8043E">
        <w:rPr>
          <w:lang w:val="en-US"/>
        </w:rPr>
        <w:t>h</w:t>
      </w:r>
      <w:r w:rsidR="00823F92">
        <w:rPr>
          <w:lang w:val="en-US"/>
        </w:rPr>
        <w:t xml:space="preserve"> </w:t>
      </w:r>
      <w:r w:rsidRPr="00C8043E">
        <w:rPr>
          <w:lang w:val="en-US"/>
        </w:rPr>
        <w:t>pla</w:t>
      </w:r>
      <w:r w:rsidR="00823F92" w:rsidRPr="00C8043E">
        <w:rPr>
          <w:lang w:val="en-US"/>
        </w:rPr>
        <w:t>n</w:t>
      </w:r>
      <w:r w:rsidR="00823F92">
        <w:rPr>
          <w:lang w:val="en-US"/>
        </w:rPr>
        <w:t xml:space="preserve"> </w:t>
      </w:r>
      <w:r w:rsidRPr="00C8043E">
        <w:rPr>
          <w:lang w:val="en-US"/>
        </w:rPr>
        <w:t>ha</w:t>
      </w:r>
      <w:r w:rsidR="00823F92" w:rsidRPr="00C8043E">
        <w:rPr>
          <w:lang w:val="en-US"/>
        </w:rPr>
        <w:t>s</w:t>
      </w:r>
      <w:r w:rsidR="00823F92">
        <w:rPr>
          <w:lang w:val="en-US"/>
        </w:rPr>
        <w:t xml:space="preserve"> </w:t>
      </w:r>
      <w:r w:rsidRPr="00C8043E">
        <w:rPr>
          <w:lang w:val="en-US"/>
        </w:rPr>
        <w:t>it</w:t>
      </w:r>
      <w:r w:rsidR="00823F92" w:rsidRPr="00C8043E">
        <w:rPr>
          <w:lang w:val="en-US"/>
        </w:rPr>
        <w:t>s</w:t>
      </w:r>
      <w:r w:rsidR="00823F92">
        <w:rPr>
          <w:lang w:val="en-US"/>
        </w:rPr>
        <w:t xml:space="preserve"> </w:t>
      </w:r>
      <w:r w:rsidRPr="00C8043E">
        <w:rPr>
          <w:lang w:val="en-US"/>
        </w:rPr>
        <w:t>ow</w:t>
      </w:r>
      <w:r w:rsidR="00823F92" w:rsidRPr="00C8043E">
        <w:rPr>
          <w:lang w:val="en-US"/>
        </w:rPr>
        <w:t>n</w:t>
      </w:r>
      <w:r w:rsidR="00823F92">
        <w:rPr>
          <w:lang w:val="en-US"/>
        </w:rPr>
        <w:t xml:space="preserve"> </w:t>
      </w:r>
      <w:r>
        <w:rPr>
          <w:lang w:val="en-US"/>
        </w:rPr>
        <w:t>prioritie</w:t>
      </w:r>
      <w:r w:rsidR="00823F92">
        <w:rPr>
          <w:lang w:val="en-US"/>
        </w:rPr>
        <w:t xml:space="preserve">s </w:t>
      </w:r>
      <w:r>
        <w:rPr>
          <w:lang w:val="en-US"/>
        </w:rPr>
        <w:t>o</w:t>
      </w:r>
      <w:r w:rsidR="00823F92">
        <w:rPr>
          <w:lang w:val="en-US"/>
        </w:rPr>
        <w:t xml:space="preserve">r </w:t>
      </w:r>
      <w:r>
        <w:rPr>
          <w:lang w:val="en-US"/>
        </w:rPr>
        <w:t>area</w:t>
      </w:r>
      <w:r w:rsidR="00823F92">
        <w:rPr>
          <w:lang w:val="en-US"/>
        </w:rPr>
        <w:t xml:space="preserve">s </w:t>
      </w:r>
      <w:r>
        <w:rPr>
          <w:lang w:val="en-US"/>
        </w:rPr>
        <w:t>o</w:t>
      </w:r>
      <w:r w:rsidR="00823F92">
        <w:rPr>
          <w:lang w:val="en-US"/>
        </w:rPr>
        <w:t xml:space="preserve">f </w:t>
      </w:r>
      <w:r>
        <w:rPr>
          <w:lang w:val="en-US"/>
        </w:rPr>
        <w:t>focu</w:t>
      </w:r>
      <w:r w:rsidR="00823F92">
        <w:rPr>
          <w:lang w:val="en-US"/>
        </w:rPr>
        <w:t xml:space="preserve">s </w:t>
      </w:r>
      <w:r>
        <w:rPr>
          <w:lang w:val="en-US"/>
        </w:rPr>
        <w:t>fo</w:t>
      </w:r>
      <w:r w:rsidR="00823F92">
        <w:rPr>
          <w:lang w:val="en-US"/>
        </w:rPr>
        <w:t xml:space="preserve">r </w:t>
      </w:r>
      <w:r>
        <w:rPr>
          <w:lang w:val="en-US"/>
        </w:rPr>
        <w:t>achievin</w:t>
      </w:r>
      <w:r w:rsidR="00823F92">
        <w:rPr>
          <w:lang w:val="en-US"/>
        </w:rPr>
        <w:t xml:space="preserve">g </w:t>
      </w:r>
      <w:r>
        <w:rPr>
          <w:lang w:val="en-US"/>
        </w:rPr>
        <w:t>it</w:t>
      </w:r>
      <w:r w:rsidR="00823F92">
        <w:rPr>
          <w:lang w:val="en-US"/>
        </w:rPr>
        <w:t xml:space="preserve">s </w:t>
      </w:r>
      <w:r>
        <w:rPr>
          <w:lang w:val="en-US"/>
        </w:rPr>
        <w:t>vision</w:t>
      </w:r>
      <w:r w:rsidR="00823F92">
        <w:rPr>
          <w:lang w:val="en-US"/>
        </w:rPr>
        <w:t xml:space="preserve">. </w:t>
      </w:r>
      <w:r w:rsidR="00EC239D">
        <w:rPr>
          <w:lang w:val="en-US"/>
        </w:rPr>
        <w:t>Th</w:t>
      </w:r>
      <w:r w:rsidR="00823F92">
        <w:rPr>
          <w:lang w:val="en-US"/>
        </w:rPr>
        <w:t xml:space="preserve">e </w:t>
      </w:r>
      <w:r w:rsidR="00EC239D">
        <w:rPr>
          <w:lang w:val="en-US"/>
        </w:rPr>
        <w:t>followin</w:t>
      </w:r>
      <w:r w:rsidR="00823F92">
        <w:rPr>
          <w:lang w:val="en-US"/>
        </w:rPr>
        <w:t xml:space="preserve">g </w:t>
      </w:r>
      <w:r w:rsidR="00EC239D">
        <w:rPr>
          <w:lang w:val="en-US"/>
        </w:rPr>
        <w:t>tabl</w:t>
      </w:r>
      <w:r w:rsidR="00823F92">
        <w:rPr>
          <w:lang w:val="en-US"/>
        </w:rPr>
        <w:t xml:space="preserve">e </w:t>
      </w:r>
      <w:r w:rsidR="00EC239D">
        <w:rPr>
          <w:lang w:val="en-US"/>
        </w:rPr>
        <w:t>provide</w:t>
      </w:r>
      <w:r w:rsidR="00823F92">
        <w:rPr>
          <w:lang w:val="en-US"/>
        </w:rPr>
        <w:t xml:space="preserve">s a </w:t>
      </w:r>
      <w:r w:rsidR="00EC239D">
        <w:rPr>
          <w:lang w:val="en-US"/>
        </w:rPr>
        <w:t>brie</w:t>
      </w:r>
      <w:r w:rsidR="00823F92">
        <w:rPr>
          <w:lang w:val="en-US"/>
        </w:rPr>
        <w:t xml:space="preserve">f </w:t>
      </w:r>
      <w:r w:rsidR="00EC239D">
        <w:rPr>
          <w:lang w:val="en-US"/>
        </w:rPr>
        <w:t>overvie</w:t>
      </w:r>
      <w:r w:rsidR="00823F92">
        <w:rPr>
          <w:lang w:val="en-US"/>
        </w:rPr>
        <w:t xml:space="preserve">w </w:t>
      </w:r>
      <w:r w:rsidR="00EC239D">
        <w:rPr>
          <w:lang w:val="en-US"/>
        </w:rPr>
        <w:t>o</w:t>
      </w:r>
      <w:r w:rsidR="00823F92">
        <w:rPr>
          <w:lang w:val="en-US"/>
        </w:rPr>
        <w:t xml:space="preserve">f </w:t>
      </w:r>
      <w:r w:rsidR="00EC239D">
        <w:rPr>
          <w:lang w:val="en-US"/>
        </w:rPr>
        <w:t>ke</w:t>
      </w:r>
      <w:r w:rsidR="00823F92">
        <w:rPr>
          <w:lang w:val="en-US"/>
        </w:rPr>
        <w:t xml:space="preserve">y </w:t>
      </w:r>
      <w:r w:rsidR="00EC239D">
        <w:rPr>
          <w:lang w:val="en-US"/>
        </w:rPr>
        <w:t>stat</w:t>
      </w:r>
      <w:r w:rsidR="00823F92">
        <w:rPr>
          <w:lang w:val="en-US"/>
        </w:rPr>
        <w:t xml:space="preserve">e </w:t>
      </w:r>
      <w:r w:rsidR="00EC239D">
        <w:rPr>
          <w:lang w:val="en-US"/>
        </w:rPr>
        <w:t>an</w:t>
      </w:r>
      <w:r w:rsidR="00823F92">
        <w:rPr>
          <w:lang w:val="en-US"/>
        </w:rPr>
        <w:t xml:space="preserve">d </w:t>
      </w:r>
      <w:r w:rsidR="00EC239D">
        <w:rPr>
          <w:lang w:val="en-US"/>
        </w:rPr>
        <w:t>territor</w:t>
      </w:r>
      <w:r w:rsidR="00823F92">
        <w:rPr>
          <w:lang w:val="en-US"/>
        </w:rPr>
        <w:t xml:space="preserve">y </w:t>
      </w:r>
      <w:r w:rsidR="00EC239D">
        <w:rPr>
          <w:lang w:val="en-US"/>
        </w:rPr>
        <w:t>menta</w:t>
      </w:r>
      <w:r w:rsidR="00823F92">
        <w:rPr>
          <w:lang w:val="en-US"/>
        </w:rPr>
        <w:t xml:space="preserve">l </w:t>
      </w:r>
      <w:r w:rsidR="00EC239D">
        <w:rPr>
          <w:lang w:val="en-US"/>
        </w:rPr>
        <w:t>healt</w:t>
      </w:r>
      <w:r w:rsidR="00823F92">
        <w:rPr>
          <w:lang w:val="en-US"/>
        </w:rPr>
        <w:t xml:space="preserve">h </w:t>
      </w:r>
      <w:r w:rsidR="00EC239D">
        <w:rPr>
          <w:lang w:val="en-US"/>
        </w:rPr>
        <w:t>workforc</w:t>
      </w:r>
      <w:r w:rsidR="00823F92">
        <w:rPr>
          <w:lang w:val="en-US"/>
        </w:rPr>
        <w:t xml:space="preserve">e </w:t>
      </w:r>
      <w:r w:rsidR="000C2BF8">
        <w:rPr>
          <w:lang w:val="en-US"/>
        </w:rPr>
        <w:t>strategie</w:t>
      </w:r>
      <w:r w:rsidR="00823F92">
        <w:rPr>
          <w:lang w:val="en-US"/>
        </w:rPr>
        <w:t xml:space="preserve">s </w:t>
      </w:r>
      <w:r w:rsidR="000C2BF8">
        <w:rPr>
          <w:lang w:val="en-US"/>
        </w:rPr>
        <w:t>and/o</w:t>
      </w:r>
      <w:r w:rsidR="00823F92">
        <w:rPr>
          <w:lang w:val="en-US"/>
        </w:rPr>
        <w:t xml:space="preserve">r </w:t>
      </w:r>
      <w:r w:rsidR="000C2BF8">
        <w:rPr>
          <w:lang w:val="en-US"/>
        </w:rPr>
        <w:t>plans.</w:t>
      </w:r>
    </w:p>
    <w:p w14:paraId="5981DCF7" w14:textId="6511BA32" w:rsidR="00686BD3" w:rsidRDefault="00686BD3" w:rsidP="003E7AC0">
      <w:pPr>
        <w:pStyle w:val="Heading4"/>
        <w:rPr>
          <w:lang w:val="en-US"/>
        </w:rPr>
      </w:pPr>
      <w:r w:rsidRPr="00686BD3">
        <w:rPr>
          <w:lang w:val="en-US"/>
        </w:rPr>
        <w:t>New South Wales Strategic Framework and Workforce Plan for Mental Health 2018-2022</w:t>
      </w:r>
    </w:p>
    <w:p w14:paraId="4E6E4753" w14:textId="46B99B26" w:rsidR="00686BD3" w:rsidRPr="00686BD3" w:rsidRDefault="00686BD3" w:rsidP="003E7AC0">
      <w:pPr>
        <w:pStyle w:val="ListBullet"/>
        <w:rPr>
          <w:lang w:val="en-US"/>
        </w:rPr>
      </w:pPr>
      <w:r w:rsidRPr="00686BD3">
        <w:rPr>
          <w:lang w:val="en-US"/>
        </w:rPr>
        <w:t>Holistic, person-</w:t>
      </w:r>
      <w:proofErr w:type="spellStart"/>
      <w:r w:rsidRPr="00686BD3">
        <w:rPr>
          <w:lang w:val="en-US"/>
        </w:rPr>
        <w:t>centred</w:t>
      </w:r>
      <w:proofErr w:type="spellEnd"/>
      <w:r w:rsidRPr="00686BD3">
        <w:rPr>
          <w:lang w:val="en-US"/>
        </w:rPr>
        <w:t xml:space="preserve"> care – recovery-oriented services, deliver holistic care, improve physical health care, increase community-based </w:t>
      </w:r>
    </w:p>
    <w:p w14:paraId="77B31E0E" w14:textId="77777777" w:rsidR="00686BD3" w:rsidRPr="00686BD3" w:rsidRDefault="00686BD3" w:rsidP="003E7AC0">
      <w:pPr>
        <w:pStyle w:val="ListBullet"/>
        <w:rPr>
          <w:lang w:val="en-US"/>
        </w:rPr>
      </w:pPr>
      <w:r w:rsidRPr="00686BD3">
        <w:rPr>
          <w:lang w:val="en-US"/>
        </w:rPr>
        <w:t>Safe, high quality care – improve safety and quality, intervene early for children and young people, strengthen suicide prevention</w:t>
      </w:r>
    </w:p>
    <w:p w14:paraId="22968B53" w14:textId="406E247F" w:rsidR="00686BD3" w:rsidRDefault="00686BD3" w:rsidP="003E7AC0">
      <w:pPr>
        <w:pStyle w:val="ListBullet"/>
        <w:rPr>
          <w:lang w:val="en-US"/>
        </w:rPr>
      </w:pPr>
      <w:r w:rsidRPr="00686BD3">
        <w:rPr>
          <w:lang w:val="en-US"/>
        </w:rPr>
        <w:t xml:space="preserve">Connected care – </w:t>
      </w:r>
      <w:proofErr w:type="spellStart"/>
      <w:r w:rsidRPr="00686BD3">
        <w:rPr>
          <w:lang w:val="en-US"/>
        </w:rPr>
        <w:t>organise</w:t>
      </w:r>
      <w:proofErr w:type="spellEnd"/>
      <w:r w:rsidRPr="00686BD3">
        <w:rPr>
          <w:lang w:val="en-US"/>
        </w:rPr>
        <w:t xml:space="preserve"> local systems of care, improve transition</w:t>
      </w:r>
      <w:r w:rsidRPr="0080251E">
        <w:rPr>
          <w:lang w:val="en-US"/>
        </w:rPr>
        <w:t>s</w:t>
      </w:r>
    </w:p>
    <w:p w14:paraId="2FCB0752" w14:textId="77777777" w:rsidR="0080251E" w:rsidRDefault="0080251E" w:rsidP="0080251E">
      <w:pPr>
        <w:pStyle w:val="Heading4"/>
        <w:rPr>
          <w:lang w:val="en-US"/>
        </w:rPr>
      </w:pPr>
      <w:r w:rsidRPr="0080251E">
        <w:rPr>
          <w:lang w:val="en-US"/>
        </w:rPr>
        <w:t>Northern Territory Mental Health Service Strategic Plan 2015-2021</w:t>
      </w:r>
    </w:p>
    <w:p w14:paraId="09F5FE92" w14:textId="04CFB7CE" w:rsidR="0080251E" w:rsidRPr="0080251E" w:rsidRDefault="0080251E" w:rsidP="0080251E">
      <w:pPr>
        <w:pStyle w:val="ListBullet"/>
        <w:rPr>
          <w:lang w:val="en-US"/>
        </w:rPr>
      </w:pPr>
      <w:r w:rsidRPr="0080251E">
        <w:rPr>
          <w:lang w:val="en-US"/>
        </w:rPr>
        <w:t xml:space="preserve">Planning for a sustainable workforce – workforce planning, career pathways for Aboriginal and Torres Strait Islander staff </w:t>
      </w:r>
    </w:p>
    <w:p w14:paraId="3D33D9C4" w14:textId="77777777" w:rsidR="0080251E" w:rsidRPr="0080251E" w:rsidRDefault="0080251E" w:rsidP="0080251E">
      <w:pPr>
        <w:pStyle w:val="ListBullet"/>
        <w:rPr>
          <w:lang w:val="en-US"/>
        </w:rPr>
      </w:pPr>
      <w:r w:rsidRPr="0080251E">
        <w:rPr>
          <w:lang w:val="en-US"/>
        </w:rPr>
        <w:t xml:space="preserve">Growing skills and capability – training for the mental health workforce and mental health skills for the broader workforce </w:t>
      </w:r>
    </w:p>
    <w:p w14:paraId="5C7AFA2C" w14:textId="799A6F9B" w:rsidR="0080251E" w:rsidRDefault="0080251E" w:rsidP="0080251E">
      <w:pPr>
        <w:pStyle w:val="ListBullet"/>
        <w:rPr>
          <w:lang w:val="en-US"/>
        </w:rPr>
      </w:pPr>
      <w:r w:rsidRPr="0080251E">
        <w:rPr>
          <w:lang w:val="en-US"/>
        </w:rPr>
        <w:t>Providing a rewarding and safe work environment – clinical supervision, work health and safety</w:t>
      </w:r>
    </w:p>
    <w:p w14:paraId="3F4C5571" w14:textId="77777777" w:rsidR="00FF648A" w:rsidRDefault="0080251E" w:rsidP="00FF648A">
      <w:pPr>
        <w:pStyle w:val="Heading4"/>
        <w:rPr>
          <w:lang w:val="en-US"/>
        </w:rPr>
      </w:pPr>
      <w:r w:rsidRPr="0080251E">
        <w:rPr>
          <w:lang w:val="en-US"/>
        </w:rPr>
        <w:lastRenderedPageBreak/>
        <w:t>Queensland Mental Health Alcohol and Other Drug Workforce Development Framework 2016-2021</w:t>
      </w:r>
    </w:p>
    <w:p w14:paraId="367FF27B" w14:textId="53820D7D" w:rsidR="0080251E" w:rsidRPr="0080251E" w:rsidRDefault="0080251E" w:rsidP="00FF648A">
      <w:pPr>
        <w:pStyle w:val="ListBullet"/>
        <w:rPr>
          <w:lang w:val="en-US"/>
        </w:rPr>
      </w:pPr>
      <w:r w:rsidRPr="0080251E">
        <w:rPr>
          <w:lang w:val="en-US"/>
        </w:rPr>
        <w:t>Designing the workforce – core knowledge and skills, flexible workforce operating at its optimal scope of practice, recruitment and retention</w:t>
      </w:r>
    </w:p>
    <w:p w14:paraId="65861FCA" w14:textId="77777777" w:rsidR="0080251E" w:rsidRPr="0080251E" w:rsidRDefault="0080251E" w:rsidP="00FF648A">
      <w:pPr>
        <w:pStyle w:val="ListBullet"/>
        <w:rPr>
          <w:lang w:val="en-US"/>
        </w:rPr>
      </w:pPr>
      <w:r w:rsidRPr="0080251E">
        <w:rPr>
          <w:lang w:val="en-US"/>
        </w:rPr>
        <w:t>Enabling the workforce – flexible workforce practices, workforce planning</w:t>
      </w:r>
    </w:p>
    <w:p w14:paraId="657E70AE" w14:textId="77777777" w:rsidR="0080251E" w:rsidRPr="0080251E" w:rsidRDefault="0080251E" w:rsidP="00FF648A">
      <w:pPr>
        <w:pStyle w:val="ListBullet"/>
        <w:rPr>
          <w:lang w:val="en-US"/>
        </w:rPr>
      </w:pPr>
      <w:r w:rsidRPr="0080251E">
        <w:rPr>
          <w:lang w:val="en-US"/>
        </w:rPr>
        <w:t>Strengthening the workforce – education, training and professional development, leadership, culturally safe care, a well and safe workforce</w:t>
      </w:r>
    </w:p>
    <w:p w14:paraId="509553E2" w14:textId="65A5CDBA" w:rsidR="0080251E" w:rsidRDefault="0080251E" w:rsidP="00FF648A">
      <w:pPr>
        <w:pStyle w:val="ListBullet"/>
        <w:rPr>
          <w:lang w:val="en-US"/>
        </w:rPr>
      </w:pPr>
      <w:r w:rsidRPr="0080251E">
        <w:rPr>
          <w:lang w:val="en-US"/>
        </w:rPr>
        <w:t xml:space="preserve">Keeping connected – partnerships with other care providers, families and </w:t>
      </w:r>
      <w:proofErr w:type="spellStart"/>
      <w:r w:rsidRPr="0080251E">
        <w:rPr>
          <w:lang w:val="en-US"/>
        </w:rPr>
        <w:t>carers</w:t>
      </w:r>
      <w:proofErr w:type="spellEnd"/>
      <w:r w:rsidRPr="0080251E">
        <w:rPr>
          <w:lang w:val="en-US"/>
        </w:rPr>
        <w:t>, training the broader workforce</w:t>
      </w:r>
    </w:p>
    <w:p w14:paraId="0496E72B" w14:textId="77777777" w:rsidR="00FF648A" w:rsidRDefault="0080251E" w:rsidP="00FF648A">
      <w:pPr>
        <w:pStyle w:val="Heading4"/>
        <w:rPr>
          <w:lang w:val="en-US"/>
        </w:rPr>
      </w:pPr>
      <w:r w:rsidRPr="0080251E">
        <w:rPr>
          <w:lang w:val="en-US"/>
        </w:rPr>
        <w:t>South Australia Mental Health Services Plan 2020-2025</w:t>
      </w:r>
    </w:p>
    <w:p w14:paraId="030446B9" w14:textId="656F943D" w:rsidR="0080251E" w:rsidRPr="0080251E" w:rsidRDefault="0080251E" w:rsidP="00FF648A">
      <w:pPr>
        <w:pStyle w:val="ListBullet"/>
        <w:rPr>
          <w:lang w:val="en-US"/>
        </w:rPr>
      </w:pPr>
      <w:proofErr w:type="spellStart"/>
      <w:r w:rsidRPr="0080251E">
        <w:rPr>
          <w:lang w:val="en-US"/>
        </w:rPr>
        <w:t>Personalised</w:t>
      </w:r>
      <w:proofErr w:type="spellEnd"/>
      <w:r w:rsidRPr="0080251E">
        <w:rPr>
          <w:lang w:val="en-US"/>
        </w:rPr>
        <w:t xml:space="preserve"> care and support – partnership with consumers, intervene early for children and young people, culturally safe care</w:t>
      </w:r>
    </w:p>
    <w:p w14:paraId="5619E88B" w14:textId="77777777" w:rsidR="0080251E" w:rsidRPr="0080251E" w:rsidRDefault="0080251E" w:rsidP="00FF648A">
      <w:pPr>
        <w:pStyle w:val="ListBullet"/>
        <w:rPr>
          <w:lang w:val="en-US"/>
        </w:rPr>
      </w:pPr>
      <w:r w:rsidRPr="0080251E">
        <w:rPr>
          <w:lang w:val="en-US"/>
        </w:rPr>
        <w:t>Integrated care – timely and effective care, partnerships with other care providers, improve physical health care</w:t>
      </w:r>
    </w:p>
    <w:p w14:paraId="7B56D023" w14:textId="4B08100D" w:rsidR="0080251E" w:rsidRDefault="0080251E" w:rsidP="00FF648A">
      <w:pPr>
        <w:pStyle w:val="ListBullet"/>
        <w:rPr>
          <w:lang w:val="en-US"/>
        </w:rPr>
      </w:pPr>
      <w:r w:rsidRPr="0080251E">
        <w:rPr>
          <w:lang w:val="en-US"/>
        </w:rPr>
        <w:t>Safe and high quality care – improve safety and quality, promote inclusion and equity, supports for the mental health workforce</w:t>
      </w:r>
    </w:p>
    <w:p w14:paraId="0DF19C8C" w14:textId="77777777" w:rsidR="005C2861" w:rsidRDefault="0080251E" w:rsidP="005C2861">
      <w:pPr>
        <w:pStyle w:val="Heading4"/>
        <w:rPr>
          <w:lang w:val="en-US"/>
        </w:rPr>
      </w:pPr>
      <w:r w:rsidRPr="0080251E">
        <w:rPr>
          <w:lang w:val="en-US"/>
        </w:rPr>
        <w:t>Suicide Prevention Workforce Development and Training Plan for Tasmania (2016-2020)</w:t>
      </w:r>
    </w:p>
    <w:p w14:paraId="0BDDE6D9" w14:textId="58108CAD" w:rsidR="0080251E" w:rsidRPr="0080251E" w:rsidRDefault="0080251E" w:rsidP="005C2861">
      <w:pPr>
        <w:pStyle w:val="ListBullet"/>
        <w:rPr>
          <w:lang w:val="en-US"/>
        </w:rPr>
      </w:pPr>
      <w:r w:rsidRPr="0080251E">
        <w:rPr>
          <w:lang w:val="en-US"/>
        </w:rPr>
        <w:t xml:space="preserve">Strengthening the workforce – education, training and professional development with a focus on suicide prevention </w:t>
      </w:r>
    </w:p>
    <w:p w14:paraId="0CF17227" w14:textId="77777777" w:rsidR="005C2861" w:rsidRDefault="0080251E" w:rsidP="003431FA">
      <w:pPr>
        <w:pStyle w:val="Heading4"/>
        <w:rPr>
          <w:lang w:val="en-US"/>
        </w:rPr>
      </w:pPr>
      <w:r w:rsidRPr="0080251E">
        <w:rPr>
          <w:lang w:val="en-US"/>
        </w:rPr>
        <w:t>Victoria 10-Year Mental Health Plan – Mental Health Workforce Strategy</w:t>
      </w:r>
    </w:p>
    <w:p w14:paraId="68DC7047" w14:textId="35655EC5" w:rsidR="0080251E" w:rsidRPr="0080251E" w:rsidRDefault="0080251E" w:rsidP="003431FA">
      <w:pPr>
        <w:pStyle w:val="ListBullet"/>
        <w:rPr>
          <w:lang w:val="en-US"/>
        </w:rPr>
      </w:pPr>
      <w:r w:rsidRPr="0080251E">
        <w:rPr>
          <w:lang w:val="en-US"/>
        </w:rPr>
        <w:t xml:space="preserve">Workforce availability and skill – professional development, career pathways for Aboriginal and Torres Strait Islander staff, workforce planning </w:t>
      </w:r>
    </w:p>
    <w:p w14:paraId="6BCC4DC6" w14:textId="77777777" w:rsidR="0080251E" w:rsidRPr="0080251E" w:rsidRDefault="0080251E" w:rsidP="003431FA">
      <w:pPr>
        <w:pStyle w:val="ListBullet"/>
        <w:rPr>
          <w:lang w:val="en-US"/>
        </w:rPr>
      </w:pPr>
      <w:r w:rsidRPr="0080251E">
        <w:rPr>
          <w:lang w:val="en-US"/>
        </w:rPr>
        <w:t>Worker safety and satisfaction – organisational supports, work health and safety</w:t>
      </w:r>
    </w:p>
    <w:p w14:paraId="17D09A0C" w14:textId="77777777" w:rsidR="0080251E" w:rsidRPr="0080251E" w:rsidRDefault="0080251E" w:rsidP="003431FA">
      <w:pPr>
        <w:pStyle w:val="ListBullet"/>
        <w:rPr>
          <w:lang w:val="en-US"/>
        </w:rPr>
      </w:pPr>
      <w:r w:rsidRPr="0080251E">
        <w:rPr>
          <w:lang w:val="en-US"/>
        </w:rPr>
        <w:t>Workforce integration – partnerships with other care providers, leadership, coordination</w:t>
      </w:r>
    </w:p>
    <w:p w14:paraId="38B26E3D" w14:textId="77777777" w:rsidR="0080251E" w:rsidRPr="0080251E" w:rsidRDefault="0080251E" w:rsidP="003431FA">
      <w:pPr>
        <w:pStyle w:val="ListBullet"/>
        <w:rPr>
          <w:lang w:val="en-US"/>
        </w:rPr>
      </w:pPr>
      <w:r w:rsidRPr="0080251E">
        <w:rPr>
          <w:lang w:val="en-US"/>
        </w:rPr>
        <w:t xml:space="preserve">Co-design and co-delivery with consumers and </w:t>
      </w:r>
      <w:proofErr w:type="spellStart"/>
      <w:r w:rsidRPr="0080251E">
        <w:rPr>
          <w:lang w:val="en-US"/>
        </w:rPr>
        <w:t>carers</w:t>
      </w:r>
      <w:proofErr w:type="spellEnd"/>
      <w:r w:rsidRPr="0080251E">
        <w:rPr>
          <w:lang w:val="en-US"/>
        </w:rPr>
        <w:t xml:space="preserve"> – expand the lived experience workforce</w:t>
      </w:r>
    </w:p>
    <w:p w14:paraId="718F7755" w14:textId="303BF69F" w:rsidR="0080251E" w:rsidRDefault="0080251E" w:rsidP="003431FA">
      <w:pPr>
        <w:pStyle w:val="ListBullet"/>
        <w:rPr>
          <w:lang w:val="en-US"/>
        </w:rPr>
      </w:pPr>
      <w:r w:rsidRPr="0080251E">
        <w:rPr>
          <w:lang w:val="en-US"/>
        </w:rPr>
        <w:t>Workforce innovation – innovation grants</w:t>
      </w:r>
    </w:p>
    <w:p w14:paraId="01F52188" w14:textId="77777777" w:rsidR="003431FA" w:rsidRDefault="0080251E" w:rsidP="00B549B6">
      <w:pPr>
        <w:pStyle w:val="Heading4"/>
        <w:rPr>
          <w:lang w:val="en-US"/>
        </w:rPr>
      </w:pPr>
      <w:r w:rsidRPr="0080251E">
        <w:rPr>
          <w:lang w:val="en-US"/>
        </w:rPr>
        <w:lastRenderedPageBreak/>
        <w:t>Western Australia Mental Health, Alcohol and Other Drug Workforce Strategic Framework 2020-2025</w:t>
      </w:r>
    </w:p>
    <w:p w14:paraId="1F0C0F37" w14:textId="126D30C8" w:rsidR="0080251E" w:rsidRPr="0080251E" w:rsidRDefault="0080251E" w:rsidP="00B549B6">
      <w:pPr>
        <w:pStyle w:val="ListBullet"/>
        <w:keepNext/>
        <w:keepLines/>
        <w:rPr>
          <w:lang w:val="en-US"/>
        </w:rPr>
      </w:pPr>
      <w:r w:rsidRPr="0080251E">
        <w:rPr>
          <w:lang w:val="en-US"/>
        </w:rPr>
        <w:t>Strengthening the workforce – education, training and professional development, culturally safe care, core competencies</w:t>
      </w:r>
    </w:p>
    <w:p w14:paraId="2CB06EB9" w14:textId="77777777" w:rsidR="0080251E" w:rsidRPr="0080251E" w:rsidRDefault="0080251E" w:rsidP="00B549B6">
      <w:pPr>
        <w:pStyle w:val="ListBullet"/>
        <w:keepNext/>
        <w:keepLines/>
        <w:rPr>
          <w:lang w:val="en-US"/>
        </w:rPr>
      </w:pPr>
      <w:r w:rsidRPr="0080251E">
        <w:rPr>
          <w:lang w:val="en-US"/>
        </w:rPr>
        <w:t xml:space="preserve">Workforce configuration – recruitment and retention, expand the lived experience workforce, career pathways for Aboriginal and Torres Strait Islander staff </w:t>
      </w:r>
    </w:p>
    <w:p w14:paraId="07947C76" w14:textId="77777777" w:rsidR="0080251E" w:rsidRPr="0080251E" w:rsidRDefault="0080251E" w:rsidP="00B549B6">
      <w:pPr>
        <w:pStyle w:val="ListBullet"/>
        <w:keepNext/>
        <w:keepLines/>
        <w:rPr>
          <w:lang w:val="en-US"/>
        </w:rPr>
      </w:pPr>
      <w:r w:rsidRPr="0080251E">
        <w:rPr>
          <w:lang w:val="en-US"/>
        </w:rPr>
        <w:t xml:space="preserve">Workforce innovation – workforce planning, co-design with consumers and </w:t>
      </w:r>
      <w:proofErr w:type="spellStart"/>
      <w:r w:rsidRPr="0080251E">
        <w:rPr>
          <w:lang w:val="en-US"/>
        </w:rPr>
        <w:t>carers</w:t>
      </w:r>
      <w:proofErr w:type="spellEnd"/>
    </w:p>
    <w:p w14:paraId="667778C2" w14:textId="77777777" w:rsidR="0080251E" w:rsidRPr="0080251E" w:rsidRDefault="0080251E" w:rsidP="00B549B6">
      <w:pPr>
        <w:pStyle w:val="ListBullet"/>
        <w:keepNext/>
        <w:keepLines/>
        <w:rPr>
          <w:lang w:val="en-US"/>
        </w:rPr>
      </w:pPr>
      <w:r w:rsidRPr="0080251E">
        <w:rPr>
          <w:lang w:val="en-US"/>
        </w:rPr>
        <w:t>Growing skills and capability – core competencies, equipping the broader workforce with mental health skills</w:t>
      </w:r>
    </w:p>
    <w:p w14:paraId="1E6803E2" w14:textId="106085AB" w:rsidR="0080251E" w:rsidRPr="0080251E" w:rsidRDefault="0080251E" w:rsidP="00B549B6">
      <w:pPr>
        <w:pStyle w:val="ListBullet"/>
        <w:rPr>
          <w:lang w:val="en-US"/>
        </w:rPr>
      </w:pPr>
      <w:r w:rsidRPr="0080251E">
        <w:rPr>
          <w:lang w:val="en-US"/>
        </w:rPr>
        <w:t xml:space="preserve">Workforce data collection – improve consistency, co-design with consumers and </w:t>
      </w:r>
      <w:proofErr w:type="spellStart"/>
      <w:r w:rsidRPr="0080251E">
        <w:rPr>
          <w:lang w:val="en-US"/>
        </w:rPr>
        <w:t>carers</w:t>
      </w:r>
      <w:proofErr w:type="spellEnd"/>
    </w:p>
    <w:p w14:paraId="5DA727AA" w14:textId="77777777" w:rsidR="00712A5F" w:rsidRDefault="00712A5F">
      <w:pPr>
        <w:spacing w:before="0" w:after="160" w:line="259" w:lineRule="auto"/>
        <w:rPr>
          <w:lang w:val="en-US"/>
        </w:rPr>
        <w:sectPr w:rsidR="00712A5F" w:rsidSect="0057448B">
          <w:headerReference w:type="even" r:id="rId32"/>
          <w:footerReference w:type="even" r:id="rId33"/>
          <w:headerReference w:type="first" r:id="rId34"/>
          <w:footerReference w:type="first" r:id="rId35"/>
          <w:pgSz w:w="11906" w:h="16838" w:code="9"/>
          <w:pgMar w:top="1701" w:right="1134" w:bottom="1134" w:left="1418" w:header="454" w:footer="159" w:gutter="0"/>
          <w:cols w:space="708"/>
          <w:docGrid w:linePitch="360"/>
        </w:sectPr>
      </w:pPr>
    </w:p>
    <w:p w14:paraId="18388A2D" w14:textId="0C73F563" w:rsidR="009849EB" w:rsidRPr="009849EB" w:rsidRDefault="009849EB" w:rsidP="009849EB">
      <w:pPr>
        <w:pStyle w:val="Heading1"/>
      </w:pPr>
      <w:bookmarkStart w:id="14" w:name="_Toc99018986"/>
      <w:r w:rsidRPr="009849EB">
        <w:lastRenderedPageBreak/>
        <w:t>Mental Health Workforce</w:t>
      </w:r>
      <w:bookmarkEnd w:id="14"/>
    </w:p>
    <w:p w14:paraId="40F080AD" w14:textId="27CA4C82" w:rsidR="00453F15" w:rsidRPr="006F6D4D" w:rsidRDefault="00453F15" w:rsidP="001F600F">
      <w:pPr>
        <w:pStyle w:val="Heading2"/>
        <w:rPr>
          <w:bCs/>
          <w:iCs/>
        </w:rPr>
      </w:pPr>
      <w:bookmarkStart w:id="15" w:name="_Toc99018987"/>
      <w:r w:rsidRPr="006F6D4D">
        <w:t>Definitio</w:t>
      </w:r>
      <w:r w:rsidR="00823F92" w:rsidRPr="006F6D4D">
        <w:t>n</w:t>
      </w:r>
      <w:r w:rsidR="00823F92">
        <w:t xml:space="preserve"> </w:t>
      </w:r>
      <w:r w:rsidRPr="006F6D4D">
        <w:t>o</w:t>
      </w:r>
      <w:r w:rsidR="00823F92" w:rsidRPr="006F6D4D">
        <w:t>f</w:t>
      </w:r>
      <w:r w:rsidR="00823F92">
        <w:t xml:space="preserve"> </w:t>
      </w:r>
      <w:r w:rsidRPr="006F6D4D">
        <w:t>th</w:t>
      </w:r>
      <w:r w:rsidR="00823F92" w:rsidRPr="006F6D4D">
        <w:t>e</w:t>
      </w:r>
      <w:r w:rsidR="00823F92">
        <w:t xml:space="preserve"> </w:t>
      </w:r>
      <w:r w:rsidRPr="00C96363">
        <w:t>menta</w:t>
      </w:r>
      <w:r w:rsidR="00823F92" w:rsidRPr="00C96363">
        <w:t>l</w:t>
      </w:r>
      <w:r w:rsidR="00823F92">
        <w:t xml:space="preserve"> </w:t>
      </w:r>
      <w:r w:rsidRPr="006F6D4D">
        <w:t>healt</w:t>
      </w:r>
      <w:r w:rsidR="00823F92" w:rsidRPr="006F6D4D">
        <w:t>h</w:t>
      </w:r>
      <w:r w:rsidR="00823F92">
        <w:t xml:space="preserve"> </w:t>
      </w:r>
      <w:r w:rsidRPr="006F6D4D">
        <w:t>workforce</w:t>
      </w:r>
      <w:bookmarkEnd w:id="15"/>
    </w:p>
    <w:p w14:paraId="658541F7" w14:textId="02B9025D" w:rsidR="00453F15" w:rsidRDefault="00453F15" w:rsidP="0041126C">
      <w:pPr>
        <w:pStyle w:val="BodyText"/>
        <w:rPr>
          <w:lang w:val="en-US"/>
        </w:rPr>
      </w:pPr>
      <w:r w:rsidRPr="006C4490">
        <w:rPr>
          <w:lang w:val="en-US"/>
        </w:rPr>
        <w:t>Australia’</w:t>
      </w:r>
      <w:r w:rsidR="00823F92" w:rsidRPr="006C4490">
        <w:rPr>
          <w:lang w:val="en-US"/>
        </w:rPr>
        <w:t>s</w:t>
      </w:r>
      <w:r w:rsidR="00823F92">
        <w:rPr>
          <w:lang w:val="en-US"/>
        </w:rPr>
        <w:t xml:space="preserve"> </w:t>
      </w:r>
      <w:r w:rsidRPr="006C4490">
        <w:rPr>
          <w:lang w:val="en-US"/>
        </w:rPr>
        <w:t>menta</w:t>
      </w:r>
      <w:r w:rsidR="00823F92" w:rsidRPr="006C4490">
        <w:rPr>
          <w:lang w:val="en-US"/>
        </w:rPr>
        <w:t>l</w:t>
      </w:r>
      <w:r w:rsidR="00823F92">
        <w:rPr>
          <w:lang w:val="en-US"/>
        </w:rPr>
        <w:t xml:space="preserve"> </w:t>
      </w:r>
      <w:r w:rsidRPr="006C4490">
        <w:rPr>
          <w:lang w:val="en-US"/>
        </w:rPr>
        <w:t>healt</w:t>
      </w:r>
      <w:r w:rsidR="00823F92" w:rsidRPr="006C4490">
        <w:rPr>
          <w:lang w:val="en-US"/>
        </w:rPr>
        <w:t>h</w:t>
      </w:r>
      <w:r w:rsidR="00823F92">
        <w:rPr>
          <w:lang w:val="en-US"/>
        </w:rPr>
        <w:t xml:space="preserve"> </w:t>
      </w:r>
      <w:r w:rsidRPr="006C4490">
        <w:rPr>
          <w:lang w:val="en-US"/>
        </w:rPr>
        <w:t>workforc</w:t>
      </w:r>
      <w:r w:rsidR="00823F92" w:rsidRPr="006C4490">
        <w:rPr>
          <w:lang w:val="en-US"/>
        </w:rPr>
        <w:t>e</w:t>
      </w:r>
      <w:r w:rsidR="00823F92">
        <w:rPr>
          <w:lang w:val="en-US"/>
        </w:rPr>
        <w:t xml:space="preserve"> </w:t>
      </w:r>
      <w:r w:rsidRPr="006C4490">
        <w:rPr>
          <w:lang w:val="en-US"/>
        </w:rPr>
        <w:t>include</w:t>
      </w:r>
      <w:r w:rsidR="00823F92" w:rsidRPr="006C4490">
        <w:rPr>
          <w:lang w:val="en-US"/>
        </w:rPr>
        <w:t>s</w:t>
      </w:r>
      <w:r w:rsidR="00823F92">
        <w:rPr>
          <w:lang w:val="en-US"/>
        </w:rPr>
        <w:t xml:space="preserve"> a </w:t>
      </w:r>
      <w:r w:rsidR="00CB57FB">
        <w:rPr>
          <w:lang w:val="en-US"/>
        </w:rPr>
        <w:t>divers</w:t>
      </w:r>
      <w:r w:rsidR="00823F92">
        <w:rPr>
          <w:lang w:val="en-US"/>
        </w:rPr>
        <w:t xml:space="preserve">e </w:t>
      </w:r>
      <w:r w:rsidR="00CB57FB">
        <w:rPr>
          <w:lang w:val="en-US"/>
        </w:rPr>
        <w:t>rang</w:t>
      </w:r>
      <w:r w:rsidR="00823F92">
        <w:rPr>
          <w:lang w:val="en-US"/>
        </w:rPr>
        <w:t xml:space="preserve">e </w:t>
      </w:r>
      <w:r w:rsidR="00CB57FB">
        <w:rPr>
          <w:lang w:val="en-US"/>
        </w:rPr>
        <w:t>o</w:t>
      </w:r>
      <w:r w:rsidR="00823F92">
        <w:rPr>
          <w:lang w:val="en-US"/>
        </w:rPr>
        <w:t xml:space="preserve">f </w:t>
      </w:r>
      <w:r w:rsidRPr="006C4490">
        <w:rPr>
          <w:lang w:val="en-US"/>
        </w:rPr>
        <w:t>peopl</w:t>
      </w:r>
      <w:r w:rsidR="00823F92" w:rsidRPr="006C4490">
        <w:rPr>
          <w:lang w:val="en-US"/>
        </w:rPr>
        <w:t>e</w:t>
      </w:r>
      <w:r w:rsidR="00823F92">
        <w:rPr>
          <w:lang w:val="en-US"/>
        </w:rPr>
        <w:t xml:space="preserve"> </w:t>
      </w:r>
      <w:r w:rsidRPr="006C4490">
        <w:rPr>
          <w:lang w:val="en-US"/>
        </w:rPr>
        <w:t>wh</w:t>
      </w:r>
      <w:r w:rsidR="00823F92" w:rsidRPr="006C4490">
        <w:rPr>
          <w:lang w:val="en-US"/>
        </w:rPr>
        <w:t>o</w:t>
      </w:r>
      <w:r w:rsidR="00823F92">
        <w:rPr>
          <w:lang w:val="en-US"/>
        </w:rPr>
        <w:t xml:space="preserve"> </w:t>
      </w:r>
      <w:r w:rsidR="00B26DB5">
        <w:rPr>
          <w:lang w:val="en-US"/>
        </w:rPr>
        <w:t>treat</w:t>
      </w:r>
      <w:r w:rsidR="00823F92">
        <w:rPr>
          <w:lang w:val="en-US"/>
        </w:rPr>
        <w:t xml:space="preserve">, </w:t>
      </w:r>
      <w:r w:rsidRPr="006C4490">
        <w:rPr>
          <w:lang w:val="en-US"/>
        </w:rPr>
        <w:t>interac</w:t>
      </w:r>
      <w:r w:rsidR="00823F92" w:rsidRPr="006C4490">
        <w:rPr>
          <w:lang w:val="en-US"/>
        </w:rPr>
        <w:t>t</w:t>
      </w:r>
      <w:r w:rsidR="00823F92">
        <w:rPr>
          <w:lang w:val="en-US"/>
        </w:rPr>
        <w:t xml:space="preserve"> </w:t>
      </w:r>
      <w:r w:rsidRPr="006C4490">
        <w:rPr>
          <w:lang w:val="en-US"/>
        </w:rPr>
        <w:t>wit</w:t>
      </w:r>
      <w:r w:rsidR="00823F92" w:rsidRPr="006C4490">
        <w:rPr>
          <w:lang w:val="en-US"/>
        </w:rPr>
        <w:t>h</w:t>
      </w:r>
      <w:r w:rsidR="00823F92">
        <w:rPr>
          <w:lang w:val="en-US"/>
        </w:rPr>
        <w:t xml:space="preserve"> </w:t>
      </w:r>
      <w:r w:rsidRPr="006C4490">
        <w:rPr>
          <w:lang w:val="en-US"/>
        </w:rPr>
        <w:t>an</w:t>
      </w:r>
      <w:r w:rsidR="00823F92" w:rsidRPr="006C4490">
        <w:rPr>
          <w:lang w:val="en-US"/>
        </w:rPr>
        <w:t>d</w:t>
      </w:r>
      <w:r w:rsidR="00823F92">
        <w:rPr>
          <w:lang w:val="en-US"/>
        </w:rPr>
        <w:t xml:space="preserve"> </w:t>
      </w:r>
      <w:r w:rsidRPr="006C4490">
        <w:rPr>
          <w:lang w:val="en-US"/>
        </w:rPr>
        <w:t>provid</w:t>
      </w:r>
      <w:r w:rsidR="00823F92" w:rsidRPr="006C4490">
        <w:rPr>
          <w:lang w:val="en-US"/>
        </w:rPr>
        <w:t>e</w:t>
      </w:r>
      <w:r w:rsidR="00823F92">
        <w:rPr>
          <w:lang w:val="en-US"/>
        </w:rPr>
        <w:t xml:space="preserve"> </w:t>
      </w:r>
      <w:r w:rsidRPr="006C4490">
        <w:rPr>
          <w:lang w:val="en-US"/>
        </w:rPr>
        <w:t>suppor</w:t>
      </w:r>
      <w:r w:rsidR="00823F92" w:rsidRPr="006C4490">
        <w:rPr>
          <w:lang w:val="en-US"/>
        </w:rPr>
        <w:t>t</w:t>
      </w:r>
      <w:r w:rsidR="00823F92">
        <w:rPr>
          <w:lang w:val="en-US"/>
        </w:rPr>
        <w:t xml:space="preserve"> </w:t>
      </w:r>
      <w:r w:rsidRPr="006C4490">
        <w:rPr>
          <w:lang w:val="en-US"/>
        </w:rPr>
        <w:t>t</w:t>
      </w:r>
      <w:r w:rsidR="00823F92" w:rsidRPr="006C4490">
        <w:rPr>
          <w:lang w:val="en-US"/>
        </w:rPr>
        <w:t>o</w:t>
      </w:r>
      <w:r w:rsidR="00823F92">
        <w:rPr>
          <w:lang w:val="en-US"/>
        </w:rPr>
        <w:t xml:space="preserve"> </w:t>
      </w:r>
      <w:r w:rsidRPr="006C4490">
        <w:rPr>
          <w:lang w:val="en-US"/>
        </w:rPr>
        <w:t>thos</w:t>
      </w:r>
      <w:r w:rsidR="00823F92" w:rsidRPr="006C4490">
        <w:rPr>
          <w:lang w:val="en-US"/>
        </w:rPr>
        <w:t>e</w:t>
      </w:r>
      <w:r w:rsidR="00823F92">
        <w:rPr>
          <w:lang w:val="en-US"/>
        </w:rPr>
        <w:t xml:space="preserve"> </w:t>
      </w:r>
      <w:r w:rsidRPr="006C4490">
        <w:rPr>
          <w:lang w:val="en-US"/>
        </w:rPr>
        <w:t>experiencin</w:t>
      </w:r>
      <w:r w:rsidR="00823F92" w:rsidRPr="006C4490">
        <w:rPr>
          <w:lang w:val="en-US"/>
        </w:rPr>
        <w:t>g</w:t>
      </w:r>
      <w:r w:rsidR="00823F92">
        <w:rPr>
          <w:lang w:val="en-US"/>
        </w:rPr>
        <w:t xml:space="preserve"> </w:t>
      </w:r>
      <w:r w:rsidRPr="006C4490">
        <w:rPr>
          <w:lang w:val="en-US"/>
        </w:rPr>
        <w:t>menta</w:t>
      </w:r>
      <w:r w:rsidR="00823F92" w:rsidRPr="006C4490">
        <w:rPr>
          <w:lang w:val="en-US"/>
        </w:rPr>
        <w:t>l</w:t>
      </w:r>
      <w:r w:rsidR="00823F92">
        <w:rPr>
          <w:lang w:val="en-US"/>
        </w:rPr>
        <w:t xml:space="preserve"> </w:t>
      </w:r>
      <w:r w:rsidRPr="006C4490">
        <w:rPr>
          <w:lang w:val="en-US"/>
        </w:rPr>
        <w:t>distres</w:t>
      </w:r>
      <w:r w:rsidR="00823F92" w:rsidRPr="006C4490">
        <w:rPr>
          <w:lang w:val="en-US"/>
        </w:rPr>
        <w:t>s</w:t>
      </w:r>
      <w:r w:rsidR="00823F92">
        <w:rPr>
          <w:lang w:val="en-US"/>
        </w:rPr>
        <w:t xml:space="preserve"> </w:t>
      </w:r>
      <w:r w:rsidRPr="006C4490">
        <w:rPr>
          <w:lang w:val="en-US"/>
        </w:rPr>
        <w:t>and/o</w:t>
      </w:r>
      <w:r w:rsidR="00823F92" w:rsidRPr="006C4490">
        <w:rPr>
          <w:lang w:val="en-US"/>
        </w:rPr>
        <w:t>r</w:t>
      </w:r>
      <w:r w:rsidR="00823F92">
        <w:rPr>
          <w:lang w:val="en-US"/>
        </w:rPr>
        <w:t xml:space="preserve"> </w:t>
      </w:r>
      <w:r w:rsidRPr="006C4490">
        <w:rPr>
          <w:lang w:val="en-US"/>
        </w:rPr>
        <w:t>ill-health</w:t>
      </w:r>
      <w:r w:rsidR="00823F92" w:rsidRPr="006C4490">
        <w:rPr>
          <w:lang w:val="en-US"/>
        </w:rPr>
        <w:t>.</w:t>
      </w:r>
      <w:r w:rsidR="00823F92">
        <w:rPr>
          <w:lang w:val="en-US"/>
        </w:rPr>
        <w:t xml:space="preserve"> </w:t>
      </w:r>
    </w:p>
    <w:p w14:paraId="47C9681B" w14:textId="49507F18" w:rsidR="00D76894" w:rsidRPr="00FD505F" w:rsidRDefault="00D76894" w:rsidP="00D76894">
      <w:pPr>
        <w:pStyle w:val="BodyText"/>
        <w:rPr>
          <w:lang w:val="en-US"/>
        </w:rPr>
      </w:pPr>
      <w:r w:rsidRPr="006C4490">
        <w:rPr>
          <w:lang w:val="en-US"/>
        </w:rPr>
        <w:t>Thi</w:t>
      </w:r>
      <w:r w:rsidR="00823F92" w:rsidRPr="006C4490">
        <w:rPr>
          <w:lang w:val="en-US"/>
        </w:rPr>
        <w:t>s</w:t>
      </w:r>
      <w:r w:rsidR="00823F92">
        <w:rPr>
          <w:lang w:val="en-US"/>
        </w:rPr>
        <w:t xml:space="preserve"> </w:t>
      </w:r>
      <w:r w:rsidRPr="006C4490">
        <w:rPr>
          <w:lang w:val="en-US"/>
        </w:rPr>
        <w:t>Strateg</w:t>
      </w:r>
      <w:r w:rsidR="00823F92" w:rsidRPr="006C4490">
        <w:rPr>
          <w:lang w:val="en-US"/>
        </w:rPr>
        <w:t>y</w:t>
      </w:r>
      <w:r w:rsidR="00823F92">
        <w:rPr>
          <w:lang w:val="en-US"/>
        </w:rPr>
        <w:t xml:space="preserve"> </w:t>
      </w:r>
      <w:r w:rsidRPr="006C4490">
        <w:rPr>
          <w:lang w:val="en-US"/>
        </w:rPr>
        <w:t>view</w:t>
      </w:r>
      <w:r w:rsidR="00823F92" w:rsidRPr="006C4490">
        <w:rPr>
          <w:lang w:val="en-US"/>
        </w:rPr>
        <w:t>s</w:t>
      </w:r>
      <w:r w:rsidR="00823F92">
        <w:rPr>
          <w:lang w:val="en-US"/>
        </w:rPr>
        <w:t xml:space="preserve"> </w:t>
      </w:r>
      <w:r w:rsidRPr="006C4490">
        <w:rPr>
          <w:lang w:val="en-US"/>
        </w:rPr>
        <w:t>menta</w:t>
      </w:r>
      <w:r w:rsidR="00823F92" w:rsidRPr="006C4490">
        <w:rPr>
          <w:lang w:val="en-US"/>
        </w:rPr>
        <w:t>l</w:t>
      </w:r>
      <w:r w:rsidR="00823F92">
        <w:rPr>
          <w:lang w:val="en-US"/>
        </w:rPr>
        <w:t xml:space="preserve"> </w:t>
      </w:r>
      <w:r w:rsidRPr="006C4490">
        <w:rPr>
          <w:lang w:val="en-US"/>
        </w:rPr>
        <w:t>healt</w:t>
      </w:r>
      <w:r w:rsidR="00823F92" w:rsidRPr="006C4490">
        <w:rPr>
          <w:lang w:val="en-US"/>
        </w:rPr>
        <w:t>h</w:t>
      </w:r>
      <w:r w:rsidR="00823F92">
        <w:rPr>
          <w:lang w:val="en-US"/>
        </w:rPr>
        <w:t xml:space="preserve"> </w:t>
      </w:r>
      <w:r w:rsidRPr="006C4490">
        <w:rPr>
          <w:lang w:val="en-US"/>
        </w:rPr>
        <w:t>throug</w:t>
      </w:r>
      <w:r w:rsidR="00823F92" w:rsidRPr="006C4490">
        <w:rPr>
          <w:lang w:val="en-US"/>
        </w:rPr>
        <w:t>h</w:t>
      </w:r>
      <w:r w:rsidR="00823F92">
        <w:rPr>
          <w:lang w:val="en-US"/>
        </w:rPr>
        <w:t xml:space="preserve"> </w:t>
      </w:r>
      <w:r w:rsidR="00823F92" w:rsidRPr="006C4490">
        <w:rPr>
          <w:lang w:val="en-US"/>
        </w:rPr>
        <w:t>a</w:t>
      </w:r>
      <w:r w:rsidR="00823F92">
        <w:rPr>
          <w:lang w:val="en-US"/>
        </w:rPr>
        <w:t xml:space="preserve"> </w:t>
      </w:r>
      <w:r w:rsidRPr="006C4490">
        <w:rPr>
          <w:lang w:val="en-US"/>
        </w:rPr>
        <w:t>socia</w:t>
      </w:r>
      <w:r w:rsidR="00823F92" w:rsidRPr="006C4490">
        <w:rPr>
          <w:lang w:val="en-US"/>
        </w:rPr>
        <w:t>l</w:t>
      </w:r>
      <w:r w:rsidR="00823F92">
        <w:rPr>
          <w:lang w:val="en-US"/>
        </w:rPr>
        <w:t xml:space="preserve"> </w:t>
      </w:r>
      <w:r w:rsidRPr="006C4490">
        <w:rPr>
          <w:lang w:val="en-US"/>
        </w:rPr>
        <w:t>an</w:t>
      </w:r>
      <w:r w:rsidR="00823F92" w:rsidRPr="006C4490">
        <w:rPr>
          <w:lang w:val="en-US"/>
        </w:rPr>
        <w:t>d</w:t>
      </w:r>
      <w:r w:rsidR="00823F92">
        <w:rPr>
          <w:lang w:val="en-US"/>
        </w:rPr>
        <w:t xml:space="preserve"> </w:t>
      </w:r>
      <w:r w:rsidRPr="006C4490">
        <w:rPr>
          <w:lang w:val="en-US"/>
        </w:rPr>
        <w:t>emotiona</w:t>
      </w:r>
      <w:r w:rsidR="00823F92" w:rsidRPr="006C4490">
        <w:rPr>
          <w:lang w:val="en-US"/>
        </w:rPr>
        <w:t>l</w:t>
      </w:r>
      <w:r w:rsidR="00823F92">
        <w:rPr>
          <w:lang w:val="en-US"/>
        </w:rPr>
        <w:t xml:space="preserve"> </w:t>
      </w:r>
      <w:r w:rsidRPr="006C4490">
        <w:rPr>
          <w:lang w:val="en-US"/>
        </w:rPr>
        <w:t>wellbein</w:t>
      </w:r>
      <w:r w:rsidR="00823F92" w:rsidRPr="006C4490">
        <w:rPr>
          <w:lang w:val="en-US"/>
        </w:rPr>
        <w:t>g</w:t>
      </w:r>
      <w:r w:rsidR="00823F92">
        <w:rPr>
          <w:lang w:val="en-US"/>
        </w:rPr>
        <w:t xml:space="preserve"> </w:t>
      </w:r>
      <w:r w:rsidRPr="006C4490">
        <w:rPr>
          <w:lang w:val="en-US"/>
        </w:rPr>
        <w:t>len</w:t>
      </w:r>
      <w:r w:rsidR="00823F92" w:rsidRPr="006C4490">
        <w:rPr>
          <w:lang w:val="en-US"/>
        </w:rPr>
        <w:t>s</w:t>
      </w:r>
      <w:r w:rsidR="00823F92">
        <w:rPr>
          <w:lang w:val="en-US"/>
        </w:rPr>
        <w:t xml:space="preserve"> </w:t>
      </w:r>
      <w:r>
        <w:rPr>
          <w:lang w:val="en-US"/>
        </w:rPr>
        <w:t>an</w:t>
      </w:r>
      <w:r w:rsidR="00823F92">
        <w:rPr>
          <w:lang w:val="en-US"/>
        </w:rPr>
        <w:t xml:space="preserve">d </w:t>
      </w:r>
      <w:proofErr w:type="spellStart"/>
      <w:r>
        <w:rPr>
          <w:lang w:val="en-US"/>
        </w:rPr>
        <w:t>conceptualise</w:t>
      </w:r>
      <w:r w:rsidR="00823F92">
        <w:rPr>
          <w:lang w:val="en-US"/>
        </w:rPr>
        <w:t>s</w:t>
      </w:r>
      <w:proofErr w:type="spellEnd"/>
      <w:r w:rsidR="00823F92">
        <w:rPr>
          <w:lang w:val="en-US"/>
        </w:rPr>
        <w:t xml:space="preserve"> </w:t>
      </w:r>
      <w:r>
        <w:rPr>
          <w:lang w:val="en-US"/>
        </w:rPr>
        <w:t>th</w:t>
      </w:r>
      <w:r w:rsidR="00823F92">
        <w:rPr>
          <w:lang w:val="en-US"/>
        </w:rPr>
        <w:t xml:space="preserve">e </w:t>
      </w:r>
      <w:r>
        <w:rPr>
          <w:lang w:val="en-US"/>
        </w:rPr>
        <w:t>menta</w:t>
      </w:r>
      <w:r w:rsidR="00823F92">
        <w:rPr>
          <w:lang w:val="en-US"/>
        </w:rPr>
        <w:t xml:space="preserve">l </w:t>
      </w:r>
      <w:r>
        <w:rPr>
          <w:lang w:val="en-US"/>
        </w:rPr>
        <w:t>healt</w:t>
      </w:r>
      <w:r w:rsidR="00823F92">
        <w:rPr>
          <w:lang w:val="en-US"/>
        </w:rPr>
        <w:t xml:space="preserve">h </w:t>
      </w:r>
      <w:proofErr w:type="gramStart"/>
      <w:r>
        <w:rPr>
          <w:lang w:val="en-US"/>
        </w:rPr>
        <w:t>workforc</w:t>
      </w:r>
      <w:r w:rsidR="00823F92">
        <w:rPr>
          <w:lang w:val="en-US"/>
        </w:rPr>
        <w:t>e</w:t>
      </w:r>
      <w:proofErr w:type="gramEnd"/>
      <w:r w:rsidR="00823F92">
        <w:rPr>
          <w:lang w:val="en-US"/>
        </w:rPr>
        <w:t xml:space="preserve"> </w:t>
      </w:r>
      <w:r>
        <w:rPr>
          <w:lang w:val="en-US"/>
        </w:rPr>
        <w:t>accordingly</w:t>
      </w:r>
      <w:r w:rsidR="00823F92" w:rsidRPr="006C4490">
        <w:rPr>
          <w:lang w:val="en-US"/>
        </w:rPr>
        <w:t>,</w:t>
      </w:r>
      <w:r w:rsidR="00823F92">
        <w:rPr>
          <w:lang w:val="en-US"/>
        </w:rPr>
        <w:t xml:space="preserve"> </w:t>
      </w:r>
      <w:r w:rsidRPr="006C4490">
        <w:rPr>
          <w:lang w:val="en-US"/>
        </w:rPr>
        <w:t>recognisin</w:t>
      </w:r>
      <w:r w:rsidR="00823F92" w:rsidRPr="006C4490">
        <w:rPr>
          <w:lang w:val="en-US"/>
        </w:rPr>
        <w:t>g</w:t>
      </w:r>
      <w:r w:rsidR="00823F92">
        <w:rPr>
          <w:lang w:val="en-US"/>
        </w:rPr>
        <w:t xml:space="preserve"> </w:t>
      </w:r>
      <w:r w:rsidRPr="006C4490">
        <w:rPr>
          <w:lang w:val="en-US"/>
        </w:rPr>
        <w:t>th</w:t>
      </w:r>
      <w:r w:rsidR="00823F92" w:rsidRPr="006C4490">
        <w:rPr>
          <w:lang w:val="en-US"/>
        </w:rPr>
        <w:t>e</w:t>
      </w:r>
      <w:r w:rsidR="00823F92">
        <w:rPr>
          <w:lang w:val="en-US"/>
        </w:rPr>
        <w:t xml:space="preserve"> </w:t>
      </w:r>
      <w:r w:rsidRPr="006C4490">
        <w:rPr>
          <w:lang w:val="en-US"/>
        </w:rPr>
        <w:t>indivisibl</w:t>
      </w:r>
      <w:r w:rsidR="00823F92" w:rsidRPr="006C4490">
        <w:rPr>
          <w:lang w:val="en-US"/>
        </w:rPr>
        <w:t>e</w:t>
      </w:r>
      <w:r w:rsidR="00823F92">
        <w:rPr>
          <w:lang w:val="en-US"/>
        </w:rPr>
        <w:t xml:space="preserve"> </w:t>
      </w:r>
      <w:r w:rsidRPr="006C4490">
        <w:rPr>
          <w:lang w:val="en-US"/>
        </w:rPr>
        <w:t>connectio</w:t>
      </w:r>
      <w:r w:rsidR="00823F92" w:rsidRPr="006C4490">
        <w:rPr>
          <w:lang w:val="en-US"/>
        </w:rPr>
        <w:t>n</w:t>
      </w:r>
      <w:r w:rsidR="00823F92">
        <w:rPr>
          <w:lang w:val="en-US"/>
        </w:rPr>
        <w:t xml:space="preserve"> </w:t>
      </w:r>
      <w:r w:rsidRPr="006C4490">
        <w:rPr>
          <w:lang w:val="en-US"/>
        </w:rPr>
        <w:t>betwee</w:t>
      </w:r>
      <w:r w:rsidR="00823F92" w:rsidRPr="006C4490">
        <w:rPr>
          <w:lang w:val="en-US"/>
        </w:rPr>
        <w:t>n</w:t>
      </w:r>
      <w:r w:rsidR="00823F92">
        <w:rPr>
          <w:lang w:val="en-US"/>
        </w:rPr>
        <w:t xml:space="preserve"> </w:t>
      </w:r>
      <w:r w:rsidRPr="006C4490">
        <w:rPr>
          <w:lang w:val="en-US"/>
        </w:rPr>
        <w:t>people’</w:t>
      </w:r>
      <w:r w:rsidR="00823F92" w:rsidRPr="006C4490">
        <w:rPr>
          <w:lang w:val="en-US"/>
        </w:rPr>
        <w:t>s</w:t>
      </w:r>
      <w:r w:rsidR="00823F92">
        <w:rPr>
          <w:lang w:val="en-US"/>
        </w:rPr>
        <w:t xml:space="preserve"> </w:t>
      </w:r>
      <w:r w:rsidRPr="006C4490">
        <w:rPr>
          <w:lang w:val="en-US"/>
        </w:rPr>
        <w:t>physical</w:t>
      </w:r>
      <w:r w:rsidR="00823F92" w:rsidRPr="006C4490">
        <w:rPr>
          <w:lang w:val="en-US"/>
        </w:rPr>
        <w:t>,</w:t>
      </w:r>
      <w:r w:rsidR="00823F92">
        <w:rPr>
          <w:lang w:val="en-US"/>
        </w:rPr>
        <w:t xml:space="preserve"> </w:t>
      </w:r>
      <w:r>
        <w:rPr>
          <w:lang w:val="en-US"/>
        </w:rPr>
        <w:t>psychological</w:t>
      </w:r>
      <w:r w:rsidR="00823F92">
        <w:rPr>
          <w:lang w:val="en-US"/>
        </w:rPr>
        <w:t xml:space="preserve">, </w:t>
      </w:r>
      <w:r w:rsidRPr="006C4490">
        <w:rPr>
          <w:lang w:val="en-US"/>
        </w:rPr>
        <w:t>social</w:t>
      </w:r>
      <w:r w:rsidR="00823F92" w:rsidRPr="006C4490">
        <w:rPr>
          <w:lang w:val="en-US"/>
        </w:rPr>
        <w:t>,</w:t>
      </w:r>
      <w:r w:rsidR="00823F92">
        <w:rPr>
          <w:lang w:val="en-US"/>
        </w:rPr>
        <w:t xml:space="preserve"> </w:t>
      </w:r>
      <w:r w:rsidRPr="006C4490">
        <w:rPr>
          <w:lang w:val="en-US"/>
        </w:rPr>
        <w:t>emotiona</w:t>
      </w:r>
      <w:r w:rsidR="00823F92" w:rsidRPr="006C4490">
        <w:rPr>
          <w:lang w:val="en-US"/>
        </w:rPr>
        <w:t>l</w:t>
      </w:r>
      <w:r w:rsidR="00823F92">
        <w:rPr>
          <w:lang w:val="en-US"/>
        </w:rPr>
        <w:t xml:space="preserve"> </w:t>
      </w:r>
      <w:r w:rsidRPr="006C4490">
        <w:rPr>
          <w:lang w:val="en-US"/>
        </w:rPr>
        <w:t>an</w:t>
      </w:r>
      <w:r w:rsidR="00823F92" w:rsidRPr="006C4490">
        <w:rPr>
          <w:lang w:val="en-US"/>
        </w:rPr>
        <w:t>d</w:t>
      </w:r>
      <w:r w:rsidR="00823F92">
        <w:rPr>
          <w:lang w:val="en-US"/>
        </w:rPr>
        <w:t xml:space="preserve"> </w:t>
      </w:r>
      <w:r w:rsidRPr="006C4490">
        <w:rPr>
          <w:lang w:val="en-US"/>
        </w:rPr>
        <w:t>cultura</w:t>
      </w:r>
      <w:r w:rsidR="00823F92" w:rsidRPr="006C4490">
        <w:rPr>
          <w:lang w:val="en-US"/>
        </w:rPr>
        <w:t>l</w:t>
      </w:r>
      <w:r w:rsidR="00823F92">
        <w:rPr>
          <w:lang w:val="en-US"/>
        </w:rPr>
        <w:t xml:space="preserve"> </w:t>
      </w:r>
      <w:r w:rsidRPr="006C4490">
        <w:rPr>
          <w:lang w:val="en-US"/>
        </w:rPr>
        <w:t>wellbeing</w:t>
      </w:r>
      <w:r w:rsidR="00823F92" w:rsidRPr="006C4490">
        <w:rPr>
          <w:lang w:val="en-US"/>
        </w:rPr>
        <w:t>.</w:t>
      </w:r>
      <w:r w:rsidR="00823F92">
        <w:rPr>
          <w:lang w:val="en-US"/>
        </w:rPr>
        <w:t xml:space="preserve"> </w:t>
      </w:r>
      <w:r>
        <w:rPr>
          <w:lang w:val="en-US"/>
        </w:rPr>
        <w:t>Thi</w:t>
      </w:r>
      <w:r w:rsidR="00823F92">
        <w:rPr>
          <w:lang w:val="en-US"/>
        </w:rPr>
        <w:t xml:space="preserve">s </w:t>
      </w:r>
      <w:r>
        <w:rPr>
          <w:lang w:val="en-US"/>
        </w:rPr>
        <w:t>approac</w:t>
      </w:r>
      <w:r w:rsidR="00823F92">
        <w:rPr>
          <w:lang w:val="en-US"/>
        </w:rPr>
        <w:t xml:space="preserve">h </w:t>
      </w:r>
      <w:r w:rsidRPr="006C4490">
        <w:rPr>
          <w:lang w:val="en-US"/>
        </w:rPr>
        <w:t>draw</w:t>
      </w:r>
      <w:r w:rsidR="00823F92" w:rsidRPr="006C4490">
        <w:rPr>
          <w:lang w:val="en-US"/>
        </w:rPr>
        <w:t>s</w:t>
      </w:r>
      <w:r w:rsidR="00823F92">
        <w:rPr>
          <w:lang w:val="en-US"/>
        </w:rPr>
        <w:t xml:space="preserve"> </w:t>
      </w:r>
      <w:r w:rsidRPr="006C4490">
        <w:rPr>
          <w:lang w:val="en-US"/>
        </w:rPr>
        <w:t>heavil</w:t>
      </w:r>
      <w:r w:rsidR="00823F92" w:rsidRPr="006C4490">
        <w:rPr>
          <w:lang w:val="en-US"/>
        </w:rPr>
        <w:t>y</w:t>
      </w:r>
      <w:r w:rsidR="00823F92">
        <w:rPr>
          <w:lang w:val="en-US"/>
        </w:rPr>
        <w:t xml:space="preserve"> </w:t>
      </w:r>
      <w:r w:rsidRPr="006C4490">
        <w:rPr>
          <w:lang w:val="en-US"/>
        </w:rPr>
        <w:t>o</w:t>
      </w:r>
      <w:r w:rsidR="00823F92" w:rsidRPr="006C4490">
        <w:rPr>
          <w:lang w:val="en-US"/>
        </w:rPr>
        <w:t>n</w:t>
      </w:r>
      <w:r w:rsidR="00823F92">
        <w:rPr>
          <w:lang w:val="en-US"/>
        </w:rPr>
        <w:t xml:space="preserve"> </w:t>
      </w:r>
      <w:r w:rsidRPr="006C4490">
        <w:rPr>
          <w:lang w:val="en-US"/>
        </w:rPr>
        <w:t>th</w:t>
      </w:r>
      <w:r w:rsidR="00823F92" w:rsidRPr="006C4490">
        <w:rPr>
          <w:lang w:val="en-US"/>
        </w:rPr>
        <w:t>e</w:t>
      </w:r>
      <w:r w:rsidR="00823F92">
        <w:rPr>
          <w:lang w:val="en-US"/>
        </w:rPr>
        <w:t xml:space="preserve"> </w:t>
      </w:r>
      <w:r w:rsidRPr="00FD505F">
        <w:rPr>
          <w:lang w:val="en-US"/>
        </w:rPr>
        <w:t>Nationa</w:t>
      </w:r>
      <w:r w:rsidR="00823F92" w:rsidRPr="00FD505F">
        <w:rPr>
          <w:lang w:val="en-US"/>
        </w:rPr>
        <w:t xml:space="preserve">l </w:t>
      </w:r>
      <w:r w:rsidRPr="00FD505F">
        <w:rPr>
          <w:lang w:val="en-US"/>
        </w:rPr>
        <w:t>Strategi</w:t>
      </w:r>
      <w:r w:rsidR="00823F92" w:rsidRPr="00FD505F">
        <w:rPr>
          <w:lang w:val="en-US"/>
        </w:rPr>
        <w:t xml:space="preserve">c </w:t>
      </w:r>
      <w:r w:rsidRPr="00FD505F">
        <w:rPr>
          <w:lang w:val="en-US"/>
        </w:rPr>
        <w:t>Framewor</w:t>
      </w:r>
      <w:r w:rsidR="00823F92" w:rsidRPr="00FD505F">
        <w:rPr>
          <w:lang w:val="en-US"/>
        </w:rPr>
        <w:t xml:space="preserve">k </w:t>
      </w:r>
      <w:r w:rsidRPr="00FD505F">
        <w:rPr>
          <w:lang w:val="en-US"/>
        </w:rPr>
        <w:t>fo</w:t>
      </w:r>
      <w:r w:rsidR="00823F92" w:rsidRPr="00FD505F">
        <w:rPr>
          <w:lang w:val="en-US"/>
        </w:rPr>
        <w:t xml:space="preserve">r </w:t>
      </w:r>
      <w:r w:rsidRPr="00FD505F">
        <w:rPr>
          <w:lang w:val="en-US"/>
        </w:rPr>
        <w:t>Aborigina</w:t>
      </w:r>
      <w:r w:rsidR="00823F92" w:rsidRPr="00FD505F">
        <w:rPr>
          <w:lang w:val="en-US"/>
        </w:rPr>
        <w:t xml:space="preserve">l </w:t>
      </w:r>
      <w:r w:rsidRPr="00FD505F">
        <w:rPr>
          <w:lang w:val="en-US"/>
        </w:rPr>
        <w:t>an</w:t>
      </w:r>
      <w:r w:rsidR="00823F92" w:rsidRPr="00FD505F">
        <w:rPr>
          <w:lang w:val="en-US"/>
        </w:rPr>
        <w:t xml:space="preserve">d </w:t>
      </w:r>
      <w:r w:rsidRPr="00FD505F">
        <w:rPr>
          <w:lang w:val="en-US"/>
        </w:rPr>
        <w:t>Torre</w:t>
      </w:r>
      <w:r w:rsidR="00823F92" w:rsidRPr="00FD505F">
        <w:rPr>
          <w:lang w:val="en-US"/>
        </w:rPr>
        <w:t xml:space="preserve">s </w:t>
      </w:r>
      <w:r w:rsidRPr="00FD505F">
        <w:rPr>
          <w:lang w:val="en-US"/>
        </w:rPr>
        <w:t>Strai</w:t>
      </w:r>
      <w:r w:rsidR="00823F92" w:rsidRPr="00FD505F">
        <w:rPr>
          <w:lang w:val="en-US"/>
        </w:rPr>
        <w:t xml:space="preserve">t </w:t>
      </w:r>
      <w:r w:rsidRPr="00FD505F">
        <w:rPr>
          <w:lang w:val="en-US"/>
        </w:rPr>
        <w:t>Islande</w:t>
      </w:r>
      <w:r w:rsidR="00823F92" w:rsidRPr="00FD505F">
        <w:rPr>
          <w:lang w:val="en-US"/>
        </w:rPr>
        <w:t xml:space="preserve">r </w:t>
      </w:r>
      <w:r w:rsidRPr="00FD505F">
        <w:rPr>
          <w:lang w:val="en-US"/>
        </w:rPr>
        <w:t>Peoples’ Menta</w:t>
      </w:r>
      <w:r w:rsidR="00823F92" w:rsidRPr="00FD505F">
        <w:rPr>
          <w:lang w:val="en-US"/>
        </w:rPr>
        <w:t xml:space="preserve">l </w:t>
      </w:r>
      <w:r w:rsidRPr="00FD505F">
        <w:rPr>
          <w:lang w:val="en-US"/>
        </w:rPr>
        <w:t>Healt</w:t>
      </w:r>
      <w:r w:rsidR="00823F92" w:rsidRPr="00FD505F">
        <w:rPr>
          <w:lang w:val="en-US"/>
        </w:rPr>
        <w:t xml:space="preserve">h </w:t>
      </w:r>
      <w:r w:rsidRPr="00FD505F">
        <w:rPr>
          <w:lang w:val="en-US"/>
        </w:rPr>
        <w:t>an</w:t>
      </w:r>
      <w:r w:rsidR="00823F92" w:rsidRPr="00FD505F">
        <w:rPr>
          <w:lang w:val="en-US"/>
        </w:rPr>
        <w:t xml:space="preserve">d </w:t>
      </w:r>
      <w:r w:rsidRPr="00FD505F">
        <w:rPr>
          <w:lang w:val="en-US"/>
        </w:rPr>
        <w:t>Socia</w:t>
      </w:r>
      <w:r w:rsidR="00823F92" w:rsidRPr="00FD505F">
        <w:rPr>
          <w:lang w:val="en-US"/>
        </w:rPr>
        <w:t xml:space="preserve">l </w:t>
      </w:r>
      <w:r w:rsidRPr="00FD505F">
        <w:rPr>
          <w:lang w:val="en-US"/>
        </w:rPr>
        <w:t>an</w:t>
      </w:r>
      <w:r w:rsidR="00823F92" w:rsidRPr="00FD505F">
        <w:rPr>
          <w:lang w:val="en-US"/>
        </w:rPr>
        <w:t xml:space="preserve">d </w:t>
      </w:r>
      <w:r w:rsidRPr="00FD505F">
        <w:rPr>
          <w:lang w:val="en-US"/>
        </w:rPr>
        <w:t>Emotiona</w:t>
      </w:r>
      <w:r w:rsidR="00823F92" w:rsidRPr="00FD505F">
        <w:rPr>
          <w:lang w:val="en-US"/>
        </w:rPr>
        <w:t xml:space="preserve">l </w:t>
      </w:r>
      <w:r w:rsidRPr="00FD505F">
        <w:rPr>
          <w:lang w:val="en-US"/>
        </w:rPr>
        <w:t>Wellbein</w:t>
      </w:r>
      <w:r w:rsidR="00823F92" w:rsidRPr="00FD505F">
        <w:rPr>
          <w:lang w:val="en-US"/>
        </w:rPr>
        <w:t xml:space="preserve">g </w:t>
      </w:r>
      <w:r w:rsidRPr="00FD505F">
        <w:rPr>
          <w:lang w:val="en-US"/>
        </w:rPr>
        <w:t>2017-2023</w:t>
      </w:r>
      <w:r w:rsidR="00823F92" w:rsidRPr="00FD505F">
        <w:rPr>
          <w:lang w:val="en-US"/>
        </w:rPr>
        <w:t xml:space="preserve">. </w:t>
      </w:r>
    </w:p>
    <w:p w14:paraId="4AF0A809" w14:textId="0A244573" w:rsidR="00E27792" w:rsidRDefault="00D76894" w:rsidP="00D76894">
      <w:pPr>
        <w:pStyle w:val="BodyText"/>
      </w:pPr>
      <w:r>
        <w:t>Whil</w:t>
      </w:r>
      <w:r w:rsidR="00823F92">
        <w:t xml:space="preserve">e </w:t>
      </w:r>
      <w:r>
        <w:t>th</w:t>
      </w:r>
      <w:r w:rsidR="00823F92">
        <w:t xml:space="preserve">e </w:t>
      </w:r>
      <w:r>
        <w:t>Strateg</w:t>
      </w:r>
      <w:r w:rsidR="00823F92">
        <w:t xml:space="preserve">y </w:t>
      </w:r>
      <w:r w:rsidRPr="002A64F3">
        <w:t>defin</w:t>
      </w:r>
      <w:r>
        <w:t>e</w:t>
      </w:r>
      <w:r w:rsidR="00823F92">
        <w:t xml:space="preserve">s </w:t>
      </w:r>
      <w:r w:rsidRPr="002A64F3">
        <w:t>th</w:t>
      </w:r>
      <w:r w:rsidR="00823F92" w:rsidRPr="002A64F3">
        <w:t>e</w:t>
      </w:r>
      <w:r w:rsidR="00823F92">
        <w:t xml:space="preserve"> </w:t>
      </w:r>
      <w:r w:rsidRPr="002A64F3">
        <w:t>menta</w:t>
      </w:r>
      <w:r w:rsidR="00823F92" w:rsidRPr="002A64F3">
        <w:t>l</w:t>
      </w:r>
      <w:r w:rsidR="00823F92">
        <w:t xml:space="preserve"> </w:t>
      </w:r>
      <w:r w:rsidRPr="002A64F3">
        <w:t>healt</w:t>
      </w:r>
      <w:r w:rsidR="00823F92" w:rsidRPr="002A64F3">
        <w:t>h</w:t>
      </w:r>
      <w:r w:rsidR="00823F92">
        <w:t xml:space="preserve"> </w:t>
      </w:r>
      <w:r w:rsidRPr="002A64F3">
        <w:t>workforc</w:t>
      </w:r>
      <w:r w:rsidR="00823F92" w:rsidRPr="002A64F3">
        <w:t>e</w:t>
      </w:r>
      <w:r w:rsidR="00823F92">
        <w:t xml:space="preserve"> </w:t>
      </w:r>
      <w:r>
        <w:t>broadly</w:t>
      </w:r>
      <w:r w:rsidR="00823F92">
        <w:t xml:space="preserve">, </w:t>
      </w:r>
      <w:r>
        <w:t>i</w:t>
      </w:r>
      <w:r w:rsidR="00823F92">
        <w:t xml:space="preserve">t </w:t>
      </w:r>
      <w:r>
        <w:t>distinguishe</w:t>
      </w:r>
      <w:r w:rsidR="00823F92">
        <w:t xml:space="preserve">s </w:t>
      </w:r>
      <w:r>
        <w:t>between</w:t>
      </w:r>
      <w:r w:rsidR="00E27792">
        <w:t>:</w:t>
      </w:r>
    </w:p>
    <w:p w14:paraId="02E0247C" w14:textId="3AB177E9" w:rsidR="00E27792" w:rsidRDefault="00D76894" w:rsidP="00E27792">
      <w:pPr>
        <w:pStyle w:val="ListBullet"/>
      </w:pPr>
      <w:r>
        <w:t>peopl</w:t>
      </w:r>
      <w:r w:rsidR="00823F92">
        <w:t xml:space="preserve">e </w:t>
      </w:r>
      <w:r>
        <w:t>wh</w:t>
      </w:r>
      <w:r w:rsidR="00823F92">
        <w:t xml:space="preserve">o </w:t>
      </w:r>
      <w:r>
        <w:t>wor</w:t>
      </w:r>
      <w:r w:rsidR="00823F92">
        <w:t xml:space="preserve">k </w:t>
      </w:r>
      <w:r>
        <w:t>exclusivel</w:t>
      </w:r>
      <w:r w:rsidR="00823F92">
        <w:t xml:space="preserve">y </w:t>
      </w:r>
      <w:r>
        <w:t>i</w:t>
      </w:r>
      <w:r w:rsidR="00823F92">
        <w:t xml:space="preserve">n </w:t>
      </w:r>
      <w:r>
        <w:t>th</w:t>
      </w:r>
      <w:r w:rsidR="00823F92">
        <w:t xml:space="preserve">e </w:t>
      </w:r>
      <w:r>
        <w:t>menta</w:t>
      </w:r>
      <w:r w:rsidR="00823F92">
        <w:t xml:space="preserve">l </w:t>
      </w:r>
      <w:r>
        <w:t>healt</w:t>
      </w:r>
      <w:r w:rsidR="00823F92">
        <w:t xml:space="preserve">h </w:t>
      </w:r>
      <w:r>
        <w:t>secto</w:t>
      </w:r>
      <w:r w:rsidR="00823F92">
        <w:t xml:space="preserve">r </w:t>
      </w:r>
      <w:r>
        <w:t>(fo</w:t>
      </w:r>
      <w:r w:rsidR="00823F92">
        <w:t xml:space="preserve">r </w:t>
      </w:r>
      <w:r>
        <w:t>exampl</w:t>
      </w:r>
      <w:r w:rsidR="00823F92">
        <w:t xml:space="preserve">e </w:t>
      </w:r>
      <w:r w:rsidR="00C226A0">
        <w:t>A</w:t>
      </w:r>
      <w:r>
        <w:t>borigina</w:t>
      </w:r>
      <w:r w:rsidR="00823F92">
        <w:t xml:space="preserve">l </w:t>
      </w:r>
      <w:r w:rsidR="00C226A0">
        <w:t>an</w:t>
      </w:r>
      <w:r w:rsidR="00823F92">
        <w:t xml:space="preserve">d </w:t>
      </w:r>
      <w:r w:rsidR="00C226A0">
        <w:t>Torre</w:t>
      </w:r>
      <w:r w:rsidR="00823F92">
        <w:t xml:space="preserve">s </w:t>
      </w:r>
      <w:r w:rsidR="00C226A0">
        <w:t>Strai</w:t>
      </w:r>
      <w:r w:rsidR="00823F92">
        <w:t xml:space="preserve">t </w:t>
      </w:r>
      <w:r w:rsidR="00C226A0">
        <w:t>Islande</w:t>
      </w:r>
      <w:r w:rsidR="00823F92">
        <w:t xml:space="preserve">r </w:t>
      </w:r>
      <w:r>
        <w:t>menta</w:t>
      </w:r>
      <w:r w:rsidR="00823F92">
        <w:t xml:space="preserve">l </w:t>
      </w:r>
      <w:r>
        <w:t>healt</w:t>
      </w:r>
      <w:r w:rsidR="00823F92">
        <w:t xml:space="preserve">h </w:t>
      </w:r>
      <w:r>
        <w:t>workers</w:t>
      </w:r>
      <w:r w:rsidR="00823F92">
        <w:t xml:space="preserve">, </w:t>
      </w:r>
      <w:r>
        <w:t>menta</w:t>
      </w:r>
      <w:r w:rsidR="00823F92">
        <w:t xml:space="preserve">l </w:t>
      </w:r>
      <w:r>
        <w:t>healt</w:t>
      </w:r>
      <w:r w:rsidR="00823F92">
        <w:t xml:space="preserve">h </w:t>
      </w:r>
      <w:r>
        <w:t>nurse</w:t>
      </w:r>
      <w:r w:rsidR="00823F92">
        <w:t xml:space="preserve">s </w:t>
      </w:r>
      <w:r>
        <w:t>an</w:t>
      </w:r>
      <w:r w:rsidR="00823F92">
        <w:t xml:space="preserve">d </w:t>
      </w:r>
      <w:r>
        <w:t>psychiatrists)</w:t>
      </w:r>
    </w:p>
    <w:p w14:paraId="3B3F3A3A" w14:textId="638C1A91" w:rsidR="00DE7270" w:rsidRDefault="00D76894" w:rsidP="009E3512">
      <w:pPr>
        <w:pStyle w:val="ListBullet"/>
      </w:pPr>
      <w:r>
        <w:t>thos</w:t>
      </w:r>
      <w:r w:rsidR="00823F92">
        <w:t xml:space="preserve">e </w:t>
      </w:r>
      <w:r w:rsidRPr="00F529EB">
        <w:t>wh</w:t>
      </w:r>
      <w:r w:rsidR="00823F92" w:rsidRPr="00F529EB">
        <w:t>o</w:t>
      </w:r>
      <w:r w:rsidR="00823F92">
        <w:t xml:space="preserve"> </w:t>
      </w:r>
      <w:r>
        <w:t>wor</w:t>
      </w:r>
      <w:r w:rsidR="00823F92">
        <w:t xml:space="preserve">k </w:t>
      </w:r>
      <w:r>
        <w:t>i</w:t>
      </w:r>
      <w:r w:rsidR="00823F92">
        <w:t xml:space="preserve">n </w:t>
      </w:r>
      <w:r>
        <w:t>othe</w:t>
      </w:r>
      <w:r w:rsidR="00823F92">
        <w:t xml:space="preserve">r </w:t>
      </w:r>
      <w:r>
        <w:t>healt</w:t>
      </w:r>
      <w:r w:rsidR="00823F92">
        <w:t xml:space="preserve">h </w:t>
      </w:r>
      <w:r>
        <w:t>setting</w:t>
      </w:r>
      <w:r w:rsidR="00823F92">
        <w:t xml:space="preserve">s </w:t>
      </w:r>
      <w:r>
        <w:t>wh</w:t>
      </w:r>
      <w:r w:rsidR="00823F92">
        <w:t xml:space="preserve">o </w:t>
      </w:r>
      <w:r>
        <w:t>frequentl</w:t>
      </w:r>
      <w:r w:rsidR="00823F92">
        <w:t xml:space="preserve">y </w:t>
      </w:r>
      <w:r>
        <w:t>treat</w:t>
      </w:r>
      <w:r w:rsidR="00823F92">
        <w:t xml:space="preserve">, </w:t>
      </w:r>
      <w:r>
        <w:t>interac</w:t>
      </w:r>
      <w:r w:rsidR="00823F92">
        <w:t xml:space="preserve">t </w:t>
      </w:r>
      <w:r w:rsidRPr="00021728">
        <w:t>with</w:t>
      </w:r>
      <w:r w:rsidR="00823F92">
        <w:t xml:space="preserve">, </w:t>
      </w:r>
      <w:r>
        <w:t>car</w:t>
      </w:r>
      <w:r w:rsidR="00823F92">
        <w:t xml:space="preserve">e </w:t>
      </w:r>
      <w:r>
        <w:t>an</w:t>
      </w:r>
      <w:r w:rsidR="00823F92">
        <w:t xml:space="preserve">d </w:t>
      </w:r>
      <w:r>
        <w:t>suppor</w:t>
      </w:r>
      <w:r w:rsidR="00823F92">
        <w:t xml:space="preserve">t </w:t>
      </w:r>
      <w:r w:rsidRPr="00F529EB">
        <w:t>peopl</w:t>
      </w:r>
      <w:r w:rsidR="00823F92" w:rsidRPr="00F529EB">
        <w:t>e</w:t>
      </w:r>
      <w:r w:rsidR="00823F92">
        <w:t xml:space="preserve"> </w:t>
      </w:r>
      <w:r w:rsidRPr="00F529EB">
        <w:t>experiencin</w:t>
      </w:r>
      <w:r w:rsidR="00823F92" w:rsidRPr="00F529EB">
        <w:t>g</w:t>
      </w:r>
      <w:r w:rsidR="00823F92">
        <w:t xml:space="preserve"> </w:t>
      </w:r>
      <w:r w:rsidRPr="00F529EB">
        <w:t>menta</w:t>
      </w:r>
      <w:r w:rsidR="00823F92" w:rsidRPr="00F529EB">
        <w:t>l</w:t>
      </w:r>
      <w:r w:rsidR="00823F92">
        <w:t xml:space="preserve"> </w:t>
      </w:r>
      <w:r w:rsidRPr="00F529EB">
        <w:t>distres</w:t>
      </w:r>
      <w:r w:rsidR="00823F92" w:rsidRPr="00F529EB">
        <w:t>s</w:t>
      </w:r>
      <w:r w:rsidR="00823F92">
        <w:t xml:space="preserve"> </w:t>
      </w:r>
      <w:r w:rsidRPr="00F529EB">
        <w:t>and/o</w:t>
      </w:r>
      <w:r w:rsidR="00823F92" w:rsidRPr="00F529EB">
        <w:t>r</w:t>
      </w:r>
      <w:r w:rsidR="00823F92">
        <w:t xml:space="preserve"> </w:t>
      </w:r>
      <w:r w:rsidRPr="00F529EB">
        <w:t>ill-healt</w:t>
      </w:r>
      <w:r w:rsidR="00823F92" w:rsidRPr="00F529EB">
        <w:t>h</w:t>
      </w:r>
      <w:r w:rsidR="00823F92">
        <w:t xml:space="preserve"> </w:t>
      </w:r>
      <w:r>
        <w:t>(fo</w:t>
      </w:r>
      <w:r w:rsidR="00823F92">
        <w:t xml:space="preserve">r </w:t>
      </w:r>
      <w:r>
        <w:t>exampl</w:t>
      </w:r>
      <w:r w:rsidR="00823F92">
        <w:t xml:space="preserve">e </w:t>
      </w:r>
      <w:r>
        <w:t>allie</w:t>
      </w:r>
      <w:r w:rsidR="00823F92">
        <w:t xml:space="preserve">d </w:t>
      </w:r>
      <w:r>
        <w:t>healt</w:t>
      </w:r>
      <w:r w:rsidR="00823F92">
        <w:t xml:space="preserve">h </w:t>
      </w:r>
      <w:r>
        <w:t>professionals</w:t>
      </w:r>
      <w:r w:rsidR="00823F92">
        <w:t xml:space="preserve">, </w:t>
      </w:r>
      <w:r>
        <w:t>genera</w:t>
      </w:r>
      <w:r w:rsidR="00823F92">
        <w:t xml:space="preserve">l </w:t>
      </w:r>
      <w:r>
        <w:t>practitioner</w:t>
      </w:r>
      <w:r w:rsidR="00823F92">
        <w:t xml:space="preserve">s </w:t>
      </w:r>
      <w:r w:rsidR="00C65839">
        <w:t>(GPs)</w:t>
      </w:r>
      <w:r>
        <w:t xml:space="preserve"> an</w:t>
      </w:r>
      <w:r w:rsidR="00823F92">
        <w:t xml:space="preserve">d </w:t>
      </w:r>
      <w:r>
        <w:t>nurses)</w:t>
      </w:r>
      <w:r w:rsidR="00823F92">
        <w:t xml:space="preserve">. </w:t>
      </w:r>
      <w:r w:rsidR="00DE7270">
        <w:rPr>
          <w:rStyle w:val="FootnoteReference"/>
        </w:rPr>
        <w:footnoteReference w:id="16"/>
      </w:r>
    </w:p>
    <w:p w14:paraId="4C5AC350" w14:textId="3C741AED" w:rsidR="003D113B" w:rsidRDefault="003D113B" w:rsidP="003D113B">
      <w:pPr>
        <w:pStyle w:val="BodyText"/>
      </w:pPr>
      <w:r>
        <w:t>I</w:t>
      </w:r>
      <w:r w:rsidR="00823F92">
        <w:t xml:space="preserve">t </w:t>
      </w:r>
      <w:r>
        <w:t>recognise</w:t>
      </w:r>
      <w:r w:rsidR="00823F92">
        <w:t xml:space="preserve">s </w:t>
      </w:r>
      <w:r>
        <w:t>th</w:t>
      </w:r>
      <w:r w:rsidR="00823F92">
        <w:t xml:space="preserve">e </w:t>
      </w:r>
      <w:r>
        <w:t>contributio</w:t>
      </w:r>
      <w:r w:rsidR="00823F92">
        <w:t xml:space="preserve">n </w:t>
      </w:r>
      <w:r>
        <w:t>t</w:t>
      </w:r>
      <w:r w:rsidR="00823F92">
        <w:t xml:space="preserve">o </w:t>
      </w:r>
      <w:r>
        <w:t>suicid</w:t>
      </w:r>
      <w:r w:rsidR="00823F92">
        <w:t xml:space="preserve">e </w:t>
      </w:r>
      <w:r>
        <w:t>preventio</w:t>
      </w:r>
      <w:r w:rsidR="00823F92">
        <w:t xml:space="preserve">n </w:t>
      </w:r>
      <w:r>
        <w:t>an</w:t>
      </w:r>
      <w:r w:rsidR="00823F92">
        <w:t xml:space="preserve">d </w:t>
      </w:r>
      <w:r>
        <w:t>menta</w:t>
      </w:r>
      <w:r w:rsidR="00823F92">
        <w:t xml:space="preserve">l </w:t>
      </w:r>
      <w:r>
        <w:t>healt</w:t>
      </w:r>
      <w:r w:rsidR="00823F92">
        <w:t xml:space="preserve">h </w:t>
      </w:r>
      <w:r>
        <w:t>o</w:t>
      </w:r>
      <w:r w:rsidR="00823F92">
        <w:t xml:space="preserve">f </w:t>
      </w:r>
      <w:r>
        <w:t>peopl</w:t>
      </w:r>
      <w:r w:rsidR="00823F92">
        <w:t xml:space="preserve">e </w:t>
      </w:r>
      <w:r>
        <w:t>workin</w:t>
      </w:r>
      <w:r w:rsidR="00823F92">
        <w:t xml:space="preserve">g </w:t>
      </w:r>
      <w:r>
        <w:t>i</w:t>
      </w:r>
      <w:r w:rsidR="00823F92">
        <w:t xml:space="preserve">n </w:t>
      </w:r>
      <w:r>
        <w:t>othe</w:t>
      </w:r>
      <w:r w:rsidR="00823F92">
        <w:t xml:space="preserve">r </w:t>
      </w:r>
      <w:r>
        <w:t>setting</w:t>
      </w:r>
      <w:r w:rsidR="00823F92">
        <w:t xml:space="preserve">s </w:t>
      </w:r>
      <w:r>
        <w:t>wh</w:t>
      </w:r>
      <w:r w:rsidR="00823F92">
        <w:t xml:space="preserve">o </w:t>
      </w:r>
      <w:r>
        <w:t>ar</w:t>
      </w:r>
      <w:r w:rsidR="00823F92">
        <w:t xml:space="preserve">e </w:t>
      </w:r>
      <w:r>
        <w:t>likel</w:t>
      </w:r>
      <w:r w:rsidR="00823F92">
        <w:t xml:space="preserve">y </w:t>
      </w:r>
      <w:r>
        <w:t>t</w:t>
      </w:r>
      <w:r w:rsidR="00823F92">
        <w:t xml:space="preserve">o </w:t>
      </w:r>
      <w:r>
        <w:t>hav</w:t>
      </w:r>
      <w:r w:rsidR="00823F92">
        <w:t xml:space="preserve">e </w:t>
      </w:r>
      <w:r>
        <w:t>regula</w:t>
      </w:r>
      <w:r w:rsidR="00823F92">
        <w:t xml:space="preserve">r </w:t>
      </w:r>
      <w:r>
        <w:t>contac</w:t>
      </w:r>
      <w:r w:rsidR="00823F92">
        <w:t xml:space="preserve">t </w:t>
      </w:r>
      <w:r w:rsidRPr="003A5A57">
        <w:t>wit</w:t>
      </w:r>
      <w:r w:rsidR="00823F92" w:rsidRPr="003A5A57">
        <w:t>h</w:t>
      </w:r>
      <w:r w:rsidR="00823F92">
        <w:t xml:space="preserve"> </w:t>
      </w:r>
      <w:r w:rsidRPr="00F529EB">
        <w:t>peopl</w:t>
      </w:r>
      <w:r w:rsidR="00823F92" w:rsidRPr="00F529EB">
        <w:t>e</w:t>
      </w:r>
      <w:r w:rsidR="00823F92">
        <w:t xml:space="preserve"> </w:t>
      </w:r>
      <w:r w:rsidRPr="00F529EB">
        <w:t>experiencin</w:t>
      </w:r>
      <w:r w:rsidR="00823F92" w:rsidRPr="00F529EB">
        <w:t>g</w:t>
      </w:r>
      <w:r w:rsidR="00823F92">
        <w:t xml:space="preserve"> </w:t>
      </w:r>
      <w:r>
        <w:t>suicidality</w:t>
      </w:r>
      <w:r w:rsidR="00823F92">
        <w:t xml:space="preserve">, </w:t>
      </w:r>
      <w:r w:rsidRPr="00F529EB">
        <w:t>menta</w:t>
      </w:r>
      <w:r w:rsidR="00823F92" w:rsidRPr="00F529EB">
        <w:t>l</w:t>
      </w:r>
      <w:r w:rsidR="00823F92">
        <w:t xml:space="preserve"> </w:t>
      </w:r>
      <w:r w:rsidRPr="00F529EB">
        <w:t>distres</w:t>
      </w:r>
      <w:r w:rsidR="00823F92" w:rsidRPr="00F529EB">
        <w:t>s</w:t>
      </w:r>
      <w:r w:rsidR="00823F92">
        <w:t xml:space="preserve"> </w:t>
      </w:r>
      <w:r w:rsidRPr="00F529EB">
        <w:t>and/o</w:t>
      </w:r>
      <w:r w:rsidR="00823F92" w:rsidRPr="00F529EB">
        <w:t>r</w:t>
      </w:r>
      <w:r w:rsidR="00823F92">
        <w:t xml:space="preserve"> </w:t>
      </w:r>
      <w:r w:rsidRPr="00F529EB">
        <w:t>ill-healt</w:t>
      </w:r>
      <w:r w:rsidR="00823F92" w:rsidRPr="00F529EB">
        <w:t>h</w:t>
      </w:r>
      <w:r w:rsidR="00823F92">
        <w:t xml:space="preserve"> </w:t>
      </w:r>
      <w:r>
        <w:t>a</w:t>
      </w:r>
      <w:r w:rsidR="00823F92">
        <w:t xml:space="preserve">s </w:t>
      </w:r>
      <w:r>
        <w:t>par</w:t>
      </w:r>
      <w:r w:rsidR="00823F92">
        <w:t xml:space="preserve">t </w:t>
      </w:r>
      <w:r>
        <w:t>o</w:t>
      </w:r>
      <w:r w:rsidR="00823F92">
        <w:t xml:space="preserve">f </w:t>
      </w:r>
      <w:r>
        <w:t>thei</w:t>
      </w:r>
      <w:r w:rsidR="00823F92">
        <w:t xml:space="preserve">r </w:t>
      </w:r>
      <w:r>
        <w:t>rol</w:t>
      </w:r>
      <w:r w:rsidR="00823F92">
        <w:t xml:space="preserve">e </w:t>
      </w:r>
      <w:r>
        <w:t>(fo</w:t>
      </w:r>
      <w:r w:rsidR="00823F92">
        <w:t xml:space="preserve">r </w:t>
      </w:r>
      <w:r>
        <w:t>exampl</w:t>
      </w:r>
      <w:r w:rsidR="00823F92">
        <w:t xml:space="preserve">e </w:t>
      </w:r>
      <w:r>
        <w:t>age</w:t>
      </w:r>
      <w:r w:rsidR="00823F92">
        <w:t xml:space="preserve">d </w:t>
      </w:r>
      <w:r>
        <w:t>car</w:t>
      </w:r>
      <w:r w:rsidR="00823F92">
        <w:t xml:space="preserve">e </w:t>
      </w:r>
      <w:r>
        <w:t>workers</w:t>
      </w:r>
      <w:r w:rsidR="00823F92">
        <w:t xml:space="preserve">, </w:t>
      </w:r>
      <w:r>
        <w:t>educators</w:t>
      </w:r>
      <w:r w:rsidR="00823F92">
        <w:t xml:space="preserve">, </w:t>
      </w:r>
      <w:r>
        <w:t>dru</w:t>
      </w:r>
      <w:r w:rsidR="00823F92">
        <w:t xml:space="preserve">g </w:t>
      </w:r>
      <w:r>
        <w:t>an</w:t>
      </w:r>
      <w:r w:rsidR="00823F92">
        <w:t xml:space="preserve">d </w:t>
      </w:r>
      <w:r>
        <w:t>alcoho</w:t>
      </w:r>
      <w:r w:rsidR="00823F92">
        <w:t xml:space="preserve">l </w:t>
      </w:r>
      <w:r>
        <w:t>workers</w:t>
      </w:r>
      <w:r w:rsidR="00823F92">
        <w:t xml:space="preserve">, </w:t>
      </w:r>
      <w:r>
        <w:t>housin</w:t>
      </w:r>
      <w:r w:rsidR="00823F92">
        <w:t xml:space="preserve">g </w:t>
      </w:r>
      <w:r>
        <w:t>an</w:t>
      </w:r>
      <w:r w:rsidR="00823F92">
        <w:t xml:space="preserve">d </w:t>
      </w:r>
      <w:r>
        <w:t>justic</w:t>
      </w:r>
      <w:r w:rsidR="00823F92">
        <w:t xml:space="preserve">e </w:t>
      </w:r>
      <w:r>
        <w:t>service</w:t>
      </w:r>
      <w:r w:rsidR="00823F92">
        <w:t xml:space="preserve">s </w:t>
      </w:r>
      <w:r>
        <w:t>workers) an</w:t>
      </w:r>
      <w:r w:rsidR="00823F92">
        <w:t xml:space="preserve">d </w:t>
      </w:r>
      <w:r>
        <w:t>th</w:t>
      </w:r>
      <w:r w:rsidR="00823F92">
        <w:t xml:space="preserve">e </w:t>
      </w:r>
      <w:r>
        <w:t>knowledg</w:t>
      </w:r>
      <w:r w:rsidR="00823F92">
        <w:t xml:space="preserve">e </w:t>
      </w:r>
      <w:r>
        <w:t>an</w:t>
      </w:r>
      <w:r w:rsidR="00823F92">
        <w:t xml:space="preserve">d </w:t>
      </w:r>
      <w:r>
        <w:t>skill</w:t>
      </w:r>
      <w:r w:rsidR="00823F92">
        <w:t xml:space="preserve">s </w:t>
      </w:r>
      <w:r>
        <w:t>the</w:t>
      </w:r>
      <w:r w:rsidR="00823F92">
        <w:t xml:space="preserve">y </w:t>
      </w:r>
      <w:r>
        <w:t>nee</w:t>
      </w:r>
      <w:r w:rsidR="00823F92">
        <w:t xml:space="preserve">d </w:t>
      </w:r>
      <w:r>
        <w:t>t</w:t>
      </w:r>
      <w:r w:rsidR="00823F92">
        <w:t xml:space="preserve">o </w:t>
      </w:r>
      <w:r>
        <w:t>suppor</w:t>
      </w:r>
      <w:r w:rsidR="00823F92">
        <w:t xml:space="preserve">t </w:t>
      </w:r>
      <w:r>
        <w:t>thi</w:t>
      </w:r>
      <w:r w:rsidR="00823F92">
        <w:t xml:space="preserve">s </w:t>
      </w:r>
      <w:r>
        <w:t>contribution</w:t>
      </w:r>
      <w:r w:rsidR="00823F92">
        <w:t xml:space="preserve">. </w:t>
      </w:r>
    </w:p>
    <w:p w14:paraId="14ABC0AF" w14:textId="7C15129D" w:rsidR="00D76894" w:rsidRDefault="00DC2C92" w:rsidP="00D76894">
      <w:pPr>
        <w:pStyle w:val="BodyText"/>
      </w:pPr>
      <w:r>
        <w:t>Th</w:t>
      </w:r>
      <w:r w:rsidR="00823F92">
        <w:t xml:space="preserve">e </w:t>
      </w:r>
      <w:r>
        <w:t>menta</w:t>
      </w:r>
      <w:r w:rsidR="00823F92">
        <w:t xml:space="preserve">l </w:t>
      </w:r>
      <w:r>
        <w:t>healt</w:t>
      </w:r>
      <w:r w:rsidR="00823F92">
        <w:t xml:space="preserve">h </w:t>
      </w:r>
      <w:r>
        <w:t>workforc</w:t>
      </w:r>
      <w:r w:rsidR="00823F92">
        <w:t xml:space="preserve">e </w:t>
      </w:r>
      <w:r w:rsidR="00D76894">
        <w:t>overlap</w:t>
      </w:r>
      <w:r w:rsidR="00823F92">
        <w:t xml:space="preserve">s </w:t>
      </w:r>
      <w:r w:rsidR="00D76894">
        <w:t>a</w:t>
      </w:r>
      <w:r w:rsidR="00823F92">
        <w:t xml:space="preserve">t </w:t>
      </w:r>
      <w:r w:rsidR="00D76894">
        <w:t>th</w:t>
      </w:r>
      <w:r w:rsidR="00823F92">
        <w:t xml:space="preserve">e </w:t>
      </w:r>
      <w:r w:rsidR="00D76894">
        <w:t>individua</w:t>
      </w:r>
      <w:r w:rsidR="00823F92">
        <w:t xml:space="preserve">l </w:t>
      </w:r>
      <w:r w:rsidR="00D76894">
        <w:t>an</w:t>
      </w:r>
      <w:r w:rsidR="00823F92">
        <w:t xml:space="preserve">d </w:t>
      </w:r>
      <w:r w:rsidR="00D76894">
        <w:t>occupationa</w:t>
      </w:r>
      <w:r w:rsidR="00823F92">
        <w:t xml:space="preserve">l </w:t>
      </w:r>
      <w:r w:rsidR="00D76894">
        <w:t>level</w:t>
      </w:r>
      <w:r w:rsidR="00823F92">
        <w:t xml:space="preserve">. </w:t>
      </w:r>
      <w:r w:rsidR="00D76894">
        <w:t>Fo</w:t>
      </w:r>
      <w:r w:rsidR="00823F92">
        <w:t xml:space="preserve">r </w:t>
      </w:r>
      <w:r w:rsidR="00D76894">
        <w:t>example</w:t>
      </w:r>
      <w:r w:rsidR="00823F92">
        <w:t xml:space="preserve">, a </w:t>
      </w:r>
      <w:r w:rsidR="00D76894">
        <w:t>nurs</w:t>
      </w:r>
      <w:r w:rsidR="00823F92">
        <w:t xml:space="preserve">e </w:t>
      </w:r>
      <w:r w:rsidR="00D76894">
        <w:t>ma</w:t>
      </w:r>
      <w:r w:rsidR="00823F92">
        <w:t xml:space="preserve">y </w:t>
      </w:r>
      <w:r w:rsidR="00D76894">
        <w:t>wor</w:t>
      </w:r>
      <w:r w:rsidR="00823F92">
        <w:t xml:space="preserve">k </w:t>
      </w:r>
      <w:r w:rsidR="00D76894">
        <w:t>exclusivel</w:t>
      </w:r>
      <w:r w:rsidR="00823F92">
        <w:t xml:space="preserve">y </w:t>
      </w:r>
      <w:r w:rsidR="00D76894">
        <w:t>i</w:t>
      </w:r>
      <w:r w:rsidR="00823F92">
        <w:t xml:space="preserve">n a </w:t>
      </w:r>
      <w:r w:rsidR="00D76894">
        <w:t>menta</w:t>
      </w:r>
      <w:r w:rsidR="00823F92">
        <w:t xml:space="preserve">l </w:t>
      </w:r>
      <w:r w:rsidR="00D76894">
        <w:t>healt</w:t>
      </w:r>
      <w:r w:rsidR="00823F92">
        <w:t xml:space="preserve">h </w:t>
      </w:r>
      <w:r w:rsidR="00D76894">
        <w:t>setting</w:t>
      </w:r>
      <w:r w:rsidR="00823F92">
        <w:t xml:space="preserve">, a </w:t>
      </w:r>
      <w:r w:rsidR="00D76894">
        <w:t>healt</w:t>
      </w:r>
      <w:r w:rsidR="00823F92">
        <w:t xml:space="preserve">h </w:t>
      </w:r>
      <w:r w:rsidR="00D76894">
        <w:t>setting</w:t>
      </w:r>
      <w:r w:rsidR="00823F92">
        <w:t xml:space="preserve">, </w:t>
      </w:r>
      <w:r w:rsidR="00D76894">
        <w:t>o</w:t>
      </w:r>
      <w:r w:rsidR="00823F92">
        <w:t xml:space="preserve">r </w:t>
      </w:r>
      <w:r w:rsidR="00D76894">
        <w:t>i</w:t>
      </w:r>
      <w:r w:rsidR="00823F92">
        <w:t xml:space="preserve">n a </w:t>
      </w:r>
      <w:r w:rsidR="00D76894">
        <w:t>schoo</w:t>
      </w:r>
      <w:r w:rsidR="00823F92">
        <w:t xml:space="preserve">l </w:t>
      </w:r>
      <w:r w:rsidR="00D76894">
        <w:t>– o</w:t>
      </w:r>
      <w:r w:rsidR="00823F92">
        <w:t xml:space="preserve">r </w:t>
      </w:r>
      <w:r w:rsidR="00D76894">
        <w:t>wor</w:t>
      </w:r>
      <w:r w:rsidR="00823F92">
        <w:t xml:space="preserve">k </w:t>
      </w:r>
      <w:r w:rsidR="00D76894">
        <w:t>acros</w:t>
      </w:r>
      <w:r w:rsidR="00823F92">
        <w:t xml:space="preserve">s </w:t>
      </w:r>
      <w:r w:rsidR="00D76894">
        <w:t>al</w:t>
      </w:r>
      <w:r w:rsidR="00823F92">
        <w:t xml:space="preserve">l </w:t>
      </w:r>
      <w:r w:rsidR="00D76894">
        <w:t>thes</w:t>
      </w:r>
      <w:r w:rsidR="00823F92">
        <w:t xml:space="preserve">e </w:t>
      </w:r>
      <w:r w:rsidR="00D76894">
        <w:t>settings</w:t>
      </w:r>
      <w:r w:rsidR="00823F92">
        <w:t xml:space="preserve">. </w:t>
      </w:r>
      <w:r w:rsidR="00D76894">
        <w:t>Thi</w:t>
      </w:r>
      <w:r w:rsidR="00823F92">
        <w:t xml:space="preserve">s </w:t>
      </w:r>
      <w:r w:rsidR="00D76894">
        <w:t>overla</w:t>
      </w:r>
      <w:r w:rsidR="00823F92">
        <w:t xml:space="preserve">p </w:t>
      </w:r>
      <w:r w:rsidR="00D76894">
        <w:t>influence</w:t>
      </w:r>
      <w:r w:rsidR="00823F92">
        <w:t xml:space="preserve">s </w:t>
      </w:r>
      <w:r w:rsidR="00D76894">
        <w:t>th</w:t>
      </w:r>
      <w:r w:rsidR="00823F92">
        <w:t xml:space="preserve">e </w:t>
      </w:r>
      <w:r w:rsidR="00D76894">
        <w:t>wa</w:t>
      </w:r>
      <w:r w:rsidR="00823F92">
        <w:t xml:space="preserve">y </w:t>
      </w:r>
      <w:r w:rsidR="00D76894">
        <w:t>i</w:t>
      </w:r>
      <w:r w:rsidR="00823F92">
        <w:t xml:space="preserve">n </w:t>
      </w:r>
      <w:r w:rsidR="00D76894">
        <w:t>whic</w:t>
      </w:r>
      <w:r w:rsidR="00823F92">
        <w:t xml:space="preserve">h </w:t>
      </w:r>
      <w:r w:rsidR="00D76894">
        <w:t>th</w:t>
      </w:r>
      <w:r w:rsidR="00823F92">
        <w:t xml:space="preserve">e </w:t>
      </w:r>
      <w:r w:rsidR="00D76894">
        <w:t>menta</w:t>
      </w:r>
      <w:r w:rsidR="00823F92">
        <w:t xml:space="preserve">l </w:t>
      </w:r>
      <w:r w:rsidR="00D76894">
        <w:t>healt</w:t>
      </w:r>
      <w:r w:rsidR="00823F92">
        <w:t xml:space="preserve">h </w:t>
      </w:r>
      <w:r w:rsidR="00D76894">
        <w:t>workforc</w:t>
      </w:r>
      <w:r w:rsidR="00823F92">
        <w:t xml:space="preserve">e </w:t>
      </w:r>
      <w:r w:rsidR="00D76894">
        <w:t>need</w:t>
      </w:r>
      <w:r w:rsidR="00823F92">
        <w:t xml:space="preserve">s </w:t>
      </w:r>
      <w:r w:rsidR="00D76894">
        <w:t>t</w:t>
      </w:r>
      <w:r w:rsidR="00823F92">
        <w:t xml:space="preserve">o </w:t>
      </w:r>
      <w:r w:rsidR="00D76894">
        <w:t>b</w:t>
      </w:r>
      <w:r w:rsidR="00823F92">
        <w:t xml:space="preserve">e </w:t>
      </w:r>
      <w:r w:rsidR="00D76894">
        <w:t>considered</w:t>
      </w:r>
      <w:r w:rsidR="00823F92">
        <w:t xml:space="preserve">, </w:t>
      </w:r>
      <w:r w:rsidR="00D76894">
        <w:t>traine</w:t>
      </w:r>
      <w:r w:rsidR="00823F92">
        <w:t xml:space="preserve">d </w:t>
      </w:r>
      <w:r w:rsidR="00D76894">
        <w:t>an</w:t>
      </w:r>
      <w:r w:rsidR="00823F92">
        <w:t xml:space="preserve">d </w:t>
      </w:r>
      <w:r w:rsidR="00D76894">
        <w:t>developed.</w:t>
      </w:r>
    </w:p>
    <w:p w14:paraId="1C0BAA21" w14:textId="2925AFAD" w:rsidR="00D76894" w:rsidRDefault="00D76894" w:rsidP="00D76894">
      <w:pPr>
        <w:pStyle w:val="BodyText"/>
      </w:pPr>
      <w:r>
        <w:lastRenderedPageBreak/>
        <w:t>Th</w:t>
      </w:r>
      <w:r w:rsidR="00823F92">
        <w:t xml:space="preserve">e </w:t>
      </w:r>
      <w:r>
        <w:t>Strateg</w:t>
      </w:r>
      <w:r w:rsidR="00823F92">
        <w:t xml:space="preserve">y </w:t>
      </w:r>
      <w:r>
        <w:t>als</w:t>
      </w:r>
      <w:r w:rsidR="00823F92">
        <w:t xml:space="preserve">o </w:t>
      </w:r>
      <w:r>
        <w:t>recognise</w:t>
      </w:r>
      <w:r w:rsidR="00823F92">
        <w:t xml:space="preserve">s </w:t>
      </w:r>
      <w:r>
        <w:t>th</w:t>
      </w:r>
      <w:r w:rsidR="00823F92">
        <w:t xml:space="preserve">e </w:t>
      </w:r>
      <w:r>
        <w:t>critica</w:t>
      </w:r>
      <w:r w:rsidR="00823F92">
        <w:t xml:space="preserve">l </w:t>
      </w:r>
      <w:r>
        <w:t>rol</w:t>
      </w:r>
      <w:r w:rsidR="00823F92">
        <w:t xml:space="preserve">e </w:t>
      </w:r>
      <w:r>
        <w:t>tha</w:t>
      </w:r>
      <w:r w:rsidR="00823F92">
        <w:t xml:space="preserve">t </w:t>
      </w:r>
      <w:r>
        <w:t>carers</w:t>
      </w:r>
      <w:r w:rsidR="00823F92">
        <w:t xml:space="preserve">, </w:t>
      </w:r>
      <w:r>
        <w:t>family</w:t>
      </w:r>
      <w:r w:rsidR="00823F92">
        <w:t xml:space="preserve">, </w:t>
      </w:r>
      <w:r>
        <w:t>friend</w:t>
      </w:r>
      <w:r w:rsidR="00823F92">
        <w:t xml:space="preserve">s </w:t>
      </w:r>
      <w:r>
        <w:t>an</w:t>
      </w:r>
      <w:r w:rsidR="00823F92">
        <w:t xml:space="preserve">d </w:t>
      </w:r>
      <w:r>
        <w:t>importan</w:t>
      </w:r>
      <w:r w:rsidR="00823F92">
        <w:t xml:space="preserve">t </w:t>
      </w:r>
      <w:r>
        <w:t>other</w:t>
      </w:r>
      <w:r w:rsidR="00823F92">
        <w:t xml:space="preserve">s </w:t>
      </w:r>
      <w:r>
        <w:rPr>
          <w:lang w:val="en-US"/>
        </w:rPr>
        <w:t>pla</w:t>
      </w:r>
      <w:r w:rsidR="00823F92">
        <w:rPr>
          <w:lang w:val="en-US"/>
        </w:rPr>
        <w:t xml:space="preserve">y </w:t>
      </w:r>
      <w:r>
        <w:rPr>
          <w:lang w:val="en-US"/>
        </w:rPr>
        <w:t>i</w:t>
      </w:r>
      <w:r w:rsidR="00823F92">
        <w:rPr>
          <w:lang w:val="en-US"/>
        </w:rPr>
        <w:t xml:space="preserve">n </w:t>
      </w:r>
      <w:r w:rsidRPr="006C4490">
        <w:rPr>
          <w:lang w:val="en-US"/>
        </w:rPr>
        <w:t>support</w:t>
      </w:r>
      <w:r>
        <w:rPr>
          <w:lang w:val="en-US"/>
        </w:rPr>
        <w:t>in</w:t>
      </w:r>
      <w:r w:rsidR="00823F92">
        <w:rPr>
          <w:lang w:val="en-US"/>
        </w:rPr>
        <w:t xml:space="preserve">g </w:t>
      </w:r>
      <w:r w:rsidRPr="006C4490">
        <w:rPr>
          <w:lang w:val="en-US"/>
        </w:rPr>
        <w:t>peopl</w:t>
      </w:r>
      <w:r w:rsidR="00823F92" w:rsidRPr="006C4490">
        <w:rPr>
          <w:lang w:val="en-US"/>
        </w:rPr>
        <w:t>e</w:t>
      </w:r>
      <w:r w:rsidR="00823F92">
        <w:rPr>
          <w:lang w:val="en-US"/>
        </w:rPr>
        <w:t xml:space="preserve"> </w:t>
      </w:r>
      <w:r w:rsidRPr="006C4490">
        <w:rPr>
          <w:lang w:val="en-US"/>
        </w:rPr>
        <w:t>experiencin</w:t>
      </w:r>
      <w:r w:rsidR="00823F92" w:rsidRPr="006C4490">
        <w:rPr>
          <w:lang w:val="en-US"/>
        </w:rPr>
        <w:t>g</w:t>
      </w:r>
      <w:r w:rsidR="00823F92">
        <w:rPr>
          <w:lang w:val="en-US"/>
        </w:rPr>
        <w:t xml:space="preserve"> </w:t>
      </w:r>
      <w:r w:rsidRPr="006C4490">
        <w:rPr>
          <w:lang w:val="en-US"/>
        </w:rPr>
        <w:t>menta</w:t>
      </w:r>
      <w:r w:rsidR="00823F92" w:rsidRPr="006C4490">
        <w:rPr>
          <w:lang w:val="en-US"/>
        </w:rPr>
        <w:t>l</w:t>
      </w:r>
      <w:r w:rsidR="00823F92">
        <w:rPr>
          <w:lang w:val="en-US"/>
        </w:rPr>
        <w:t xml:space="preserve"> </w:t>
      </w:r>
      <w:r w:rsidRPr="006C4490">
        <w:rPr>
          <w:lang w:val="en-US"/>
        </w:rPr>
        <w:t>distres</w:t>
      </w:r>
      <w:r w:rsidR="00823F92" w:rsidRPr="006C4490">
        <w:rPr>
          <w:lang w:val="en-US"/>
        </w:rPr>
        <w:t>s</w:t>
      </w:r>
      <w:r w:rsidR="00823F92">
        <w:rPr>
          <w:lang w:val="en-US"/>
        </w:rPr>
        <w:t xml:space="preserve"> </w:t>
      </w:r>
      <w:r w:rsidRPr="006C4490">
        <w:rPr>
          <w:lang w:val="en-US"/>
        </w:rPr>
        <w:t>and/o</w:t>
      </w:r>
      <w:r w:rsidR="00823F92" w:rsidRPr="006C4490">
        <w:rPr>
          <w:lang w:val="en-US"/>
        </w:rPr>
        <w:t>r</w:t>
      </w:r>
      <w:r w:rsidR="00823F92">
        <w:rPr>
          <w:lang w:val="en-US"/>
        </w:rPr>
        <w:t xml:space="preserve"> </w:t>
      </w:r>
      <w:r w:rsidRPr="006C4490">
        <w:rPr>
          <w:lang w:val="en-US"/>
        </w:rPr>
        <w:t>ill-healt</w:t>
      </w:r>
      <w:r w:rsidR="00823F92" w:rsidRPr="006C4490">
        <w:rPr>
          <w:lang w:val="en-US"/>
        </w:rPr>
        <w:t>h</w:t>
      </w:r>
      <w:r w:rsidR="00823F92">
        <w:rPr>
          <w:lang w:val="en-US"/>
        </w:rPr>
        <w:t xml:space="preserve"> </w:t>
      </w:r>
      <w:r>
        <w:rPr>
          <w:lang w:val="en-US"/>
        </w:rPr>
        <w:t>i</w:t>
      </w:r>
      <w:r w:rsidR="00823F92">
        <w:rPr>
          <w:lang w:val="en-US"/>
        </w:rPr>
        <w:t xml:space="preserve">n </w:t>
      </w:r>
      <w:r>
        <w:rPr>
          <w:lang w:val="en-US"/>
        </w:rPr>
        <w:t>thei</w:t>
      </w:r>
      <w:r w:rsidR="00823F92">
        <w:rPr>
          <w:lang w:val="en-US"/>
        </w:rPr>
        <w:t xml:space="preserve">r </w:t>
      </w:r>
      <w:r>
        <w:rPr>
          <w:lang w:val="en-US"/>
        </w:rPr>
        <w:t>recovery</w:t>
      </w:r>
      <w:r w:rsidR="00823F92">
        <w:t xml:space="preserve">. </w:t>
      </w:r>
    </w:p>
    <w:p w14:paraId="6742CCE2" w14:textId="3BDE4454" w:rsidR="00DC2C92" w:rsidRDefault="00DC2C92" w:rsidP="0049099B">
      <w:pPr>
        <w:pStyle w:val="Heading3nonumber"/>
        <w:keepNext/>
      </w:pPr>
      <w:r>
        <w:t>Siz</w:t>
      </w:r>
      <w:r w:rsidR="00823F92">
        <w:t xml:space="preserve">e </w:t>
      </w:r>
      <w:r>
        <w:t>an</w:t>
      </w:r>
      <w:r w:rsidR="00823F92">
        <w:t xml:space="preserve">d </w:t>
      </w:r>
      <w:r>
        <w:t>distribution</w:t>
      </w:r>
    </w:p>
    <w:p w14:paraId="460E2947" w14:textId="25B23319" w:rsidR="00053DD7" w:rsidRDefault="00453F15" w:rsidP="00E45B23">
      <w:pPr>
        <w:pStyle w:val="BodyText"/>
      </w:pPr>
      <w:r w:rsidRPr="006C4490">
        <w:t>Th</w:t>
      </w:r>
      <w:r w:rsidR="00823F92">
        <w:t xml:space="preserve">e </w:t>
      </w:r>
      <w:r w:rsidRPr="006C4490">
        <w:t>diversit</w:t>
      </w:r>
      <w:r w:rsidR="00823F92" w:rsidRPr="006C4490">
        <w:t>y</w:t>
      </w:r>
      <w:r w:rsidR="00823F92">
        <w:t xml:space="preserve"> </w:t>
      </w:r>
      <w:r w:rsidRPr="006C4490">
        <w:t>o</w:t>
      </w:r>
      <w:r w:rsidR="00823F92" w:rsidRPr="006C4490">
        <w:t>f</w:t>
      </w:r>
      <w:r w:rsidR="00823F92">
        <w:t xml:space="preserve"> </w:t>
      </w:r>
      <w:r w:rsidRPr="006C4490">
        <w:t>th</w:t>
      </w:r>
      <w:r w:rsidR="00823F92" w:rsidRPr="006C4490">
        <w:t>e</w:t>
      </w:r>
      <w:r w:rsidR="00823F92">
        <w:t xml:space="preserve"> </w:t>
      </w:r>
      <w:r w:rsidRPr="006C4490">
        <w:t>menta</w:t>
      </w:r>
      <w:r w:rsidR="00823F92" w:rsidRPr="006C4490">
        <w:t>l</w:t>
      </w:r>
      <w:r w:rsidR="00823F92">
        <w:t xml:space="preserve"> </w:t>
      </w:r>
      <w:r w:rsidRPr="006C4490">
        <w:t>healt</w:t>
      </w:r>
      <w:r w:rsidR="00823F92" w:rsidRPr="006C4490">
        <w:t>h</w:t>
      </w:r>
      <w:r w:rsidR="00823F92">
        <w:t xml:space="preserve"> </w:t>
      </w:r>
      <w:r w:rsidRPr="006C4490">
        <w:t>workforc</w:t>
      </w:r>
      <w:r w:rsidR="00823F92" w:rsidRPr="006C4490">
        <w:t>e</w:t>
      </w:r>
      <w:r w:rsidR="00823F92">
        <w:t xml:space="preserve"> </w:t>
      </w:r>
      <w:r w:rsidRPr="006C4490">
        <w:t>make</w:t>
      </w:r>
      <w:r w:rsidR="00823F92" w:rsidRPr="006C4490">
        <w:t>s</w:t>
      </w:r>
      <w:r w:rsidR="00823F92">
        <w:t xml:space="preserve"> </w:t>
      </w:r>
      <w:r w:rsidRPr="006C4490">
        <w:t>i</w:t>
      </w:r>
      <w:r w:rsidR="00823F92" w:rsidRPr="006C4490">
        <w:t>t</w:t>
      </w:r>
      <w:r w:rsidR="00823F92">
        <w:t xml:space="preserve"> </w:t>
      </w:r>
      <w:r w:rsidRPr="006C4490">
        <w:t>difficul</w:t>
      </w:r>
      <w:r w:rsidR="00823F92" w:rsidRPr="006C4490">
        <w:t>t</w:t>
      </w:r>
      <w:r w:rsidR="00823F92">
        <w:t xml:space="preserve"> </w:t>
      </w:r>
      <w:r w:rsidRPr="006C4490">
        <w:t>t</w:t>
      </w:r>
      <w:r w:rsidR="00823F92" w:rsidRPr="006C4490">
        <w:t>o</w:t>
      </w:r>
      <w:r w:rsidR="00823F92">
        <w:t xml:space="preserve"> </w:t>
      </w:r>
      <w:r w:rsidRPr="006C4490">
        <w:t>estimat</w:t>
      </w:r>
      <w:r w:rsidR="00823F92" w:rsidRPr="006C4490">
        <w:t>e</w:t>
      </w:r>
      <w:r w:rsidR="00823F92">
        <w:t xml:space="preserve"> </w:t>
      </w:r>
      <w:r w:rsidRPr="006C4490">
        <w:t>th</w:t>
      </w:r>
      <w:r w:rsidR="00823F92" w:rsidRPr="006C4490">
        <w:t>e</w:t>
      </w:r>
      <w:r w:rsidR="00823F92">
        <w:t xml:space="preserve"> </w:t>
      </w:r>
      <w:r w:rsidRPr="006C4490">
        <w:t>curren</w:t>
      </w:r>
      <w:r w:rsidR="00823F92" w:rsidRPr="006C4490">
        <w:t>t</w:t>
      </w:r>
      <w:r w:rsidR="00823F92">
        <w:t xml:space="preserve"> </w:t>
      </w:r>
      <w:r w:rsidRPr="006C4490">
        <w:t>siz</w:t>
      </w:r>
      <w:r w:rsidR="00823F92" w:rsidRPr="006C4490">
        <w:t>e</w:t>
      </w:r>
      <w:r w:rsidR="00823F92">
        <w:t xml:space="preserve"> </w:t>
      </w:r>
      <w:r w:rsidRPr="006C4490">
        <w:t>an</w:t>
      </w:r>
      <w:r w:rsidR="00823F92" w:rsidRPr="006C4490">
        <w:t>d</w:t>
      </w:r>
      <w:r w:rsidR="00823F92">
        <w:t xml:space="preserve"> </w:t>
      </w:r>
      <w:r w:rsidRPr="006C4490">
        <w:t>distribution</w:t>
      </w:r>
      <w:r w:rsidR="00823F92" w:rsidRPr="006C4490">
        <w:t>.</w:t>
      </w:r>
      <w:r w:rsidR="00823F92">
        <w:t xml:space="preserve"> </w:t>
      </w:r>
      <w:r w:rsidR="00612331" w:rsidRPr="006C4490">
        <w:t>Th</w:t>
      </w:r>
      <w:r w:rsidR="00823F92">
        <w:t xml:space="preserve">e </w:t>
      </w:r>
      <w:r w:rsidR="00612331">
        <w:t>lac</w:t>
      </w:r>
      <w:r w:rsidR="00823F92">
        <w:t xml:space="preserve">k </w:t>
      </w:r>
      <w:r w:rsidR="00612331">
        <w:t>o</w:t>
      </w:r>
      <w:r w:rsidR="00823F92">
        <w:t xml:space="preserve">f </w:t>
      </w:r>
      <w:r w:rsidR="00612331">
        <w:t>reliabl</w:t>
      </w:r>
      <w:r w:rsidR="00823F92">
        <w:t xml:space="preserve">e </w:t>
      </w:r>
      <w:r w:rsidR="00612331">
        <w:t>dat</w:t>
      </w:r>
      <w:r w:rsidR="00823F92">
        <w:t xml:space="preserve">a </w:t>
      </w:r>
      <w:r w:rsidR="00462970">
        <w:t>abou</w:t>
      </w:r>
      <w:r w:rsidR="00823F92">
        <w:t xml:space="preserve">t </w:t>
      </w:r>
      <w:r w:rsidR="00462970">
        <w:t>th</w:t>
      </w:r>
      <w:r w:rsidR="00823F92">
        <w:t xml:space="preserve">e </w:t>
      </w:r>
      <w:r w:rsidR="00612331">
        <w:t>menta</w:t>
      </w:r>
      <w:r w:rsidR="00823F92">
        <w:t xml:space="preserve">l </w:t>
      </w:r>
      <w:r w:rsidR="00612331">
        <w:t>healt</w:t>
      </w:r>
      <w:r w:rsidR="00823F92">
        <w:t xml:space="preserve">h </w:t>
      </w:r>
      <w:r w:rsidR="00612331">
        <w:t>workforc</w:t>
      </w:r>
      <w:r w:rsidR="00823F92">
        <w:t xml:space="preserve">e </w:t>
      </w:r>
      <w:r w:rsidRPr="006C4490">
        <w:t>i</w:t>
      </w:r>
      <w:r w:rsidR="00823F92" w:rsidRPr="006C4490">
        <w:t>s</w:t>
      </w:r>
      <w:r w:rsidR="00823F92">
        <w:t xml:space="preserve"> </w:t>
      </w:r>
      <w:r w:rsidR="00462970">
        <w:t>hindere</w:t>
      </w:r>
      <w:r w:rsidR="00823F92">
        <w:t xml:space="preserve">d </w:t>
      </w:r>
      <w:r w:rsidRPr="006C4490">
        <w:t>by</w:t>
      </w:r>
      <w:r w:rsidR="00053DD7">
        <w:t>:</w:t>
      </w:r>
    </w:p>
    <w:p w14:paraId="5716F33A" w14:textId="428A74CF" w:rsidR="00053DD7" w:rsidRDefault="00453F15" w:rsidP="00053DD7">
      <w:pPr>
        <w:pStyle w:val="ListBullet"/>
      </w:pPr>
      <w:r w:rsidRPr="006C4490">
        <w:t>differen</w:t>
      </w:r>
      <w:r w:rsidR="00823F92" w:rsidRPr="006C4490">
        <w:t>t</w:t>
      </w:r>
      <w:r w:rsidR="00823F92">
        <w:t xml:space="preserve"> </w:t>
      </w:r>
      <w:r w:rsidRPr="006C4490">
        <w:t>registratio</w:t>
      </w:r>
      <w:r w:rsidR="00823F92" w:rsidRPr="006C4490">
        <w:t>n</w:t>
      </w:r>
      <w:r w:rsidR="00823F92">
        <w:t xml:space="preserve"> </w:t>
      </w:r>
      <w:r w:rsidRPr="006C4490">
        <w:t>requirement</w:t>
      </w:r>
      <w:r w:rsidR="00823F92" w:rsidRPr="006C4490">
        <w:t>s</w:t>
      </w:r>
      <w:r w:rsidR="00823F92">
        <w:t xml:space="preserve"> </w:t>
      </w:r>
      <w:r w:rsidR="00462970">
        <w:t>acros</w:t>
      </w:r>
      <w:r w:rsidR="00823F92">
        <w:t xml:space="preserve">s </w:t>
      </w:r>
      <w:r w:rsidR="00462970">
        <w:t>occupations</w:t>
      </w:r>
    </w:p>
    <w:p w14:paraId="09C5312C" w14:textId="0BC38A22" w:rsidR="00053DD7" w:rsidRDefault="0083198F" w:rsidP="00053DD7">
      <w:pPr>
        <w:pStyle w:val="ListBullet"/>
      </w:pPr>
      <w:r>
        <w:t>differen</w:t>
      </w:r>
      <w:r w:rsidR="00823F92">
        <w:t xml:space="preserve">t </w:t>
      </w:r>
      <w:r>
        <w:t>fundin</w:t>
      </w:r>
      <w:r w:rsidR="00823F92">
        <w:t xml:space="preserve">g </w:t>
      </w:r>
      <w:r w:rsidR="008C7ABB">
        <w:t>source</w:t>
      </w:r>
      <w:r w:rsidR="00823F92">
        <w:t xml:space="preserve">s </w:t>
      </w:r>
      <w:r w:rsidR="008C7ABB">
        <w:t>an</w:t>
      </w:r>
      <w:r w:rsidR="00823F92">
        <w:t xml:space="preserve">d </w:t>
      </w:r>
      <w:r>
        <w:t>arrangement</w:t>
      </w:r>
      <w:r w:rsidR="00823F92">
        <w:t xml:space="preserve">s </w:t>
      </w:r>
      <w:r>
        <w:t>fo</w:t>
      </w:r>
      <w:r w:rsidR="00823F92">
        <w:t xml:space="preserve">r </w:t>
      </w:r>
      <w:r w:rsidR="00453F15" w:rsidRPr="006C4490">
        <w:t>provisio</w:t>
      </w:r>
      <w:r w:rsidR="00823F92" w:rsidRPr="006C4490">
        <w:t>n</w:t>
      </w:r>
      <w:r w:rsidR="00823F92">
        <w:t xml:space="preserve"> </w:t>
      </w:r>
      <w:r w:rsidR="00453F15" w:rsidRPr="006C4490">
        <w:t>o</w:t>
      </w:r>
      <w:r w:rsidR="00823F92" w:rsidRPr="006C4490">
        <w:t>f</w:t>
      </w:r>
      <w:r w:rsidR="00823F92">
        <w:t xml:space="preserve"> </w:t>
      </w:r>
      <w:r w:rsidR="00453F15" w:rsidRPr="006C4490">
        <w:t>service</w:t>
      </w:r>
      <w:r w:rsidR="00823F92" w:rsidRPr="006C4490">
        <w:t>s</w:t>
      </w:r>
      <w:r w:rsidR="00823F92">
        <w:t xml:space="preserve"> </w:t>
      </w:r>
      <w:r w:rsidR="00453F15" w:rsidRPr="006C4490">
        <w:t>acros</w:t>
      </w:r>
      <w:r w:rsidR="00823F92" w:rsidRPr="006C4490">
        <w:t>s</w:t>
      </w:r>
      <w:r w:rsidR="00823F92">
        <w:t xml:space="preserve"> </w:t>
      </w:r>
      <w:r w:rsidR="00453F15" w:rsidRPr="006C4490">
        <w:t>settings</w:t>
      </w:r>
    </w:p>
    <w:p w14:paraId="51D13429" w14:textId="5ADB7DC1" w:rsidR="001E2A84" w:rsidRDefault="001E2A84" w:rsidP="00F45DC7">
      <w:pPr>
        <w:pStyle w:val="ListBullet"/>
      </w:pPr>
      <w:r>
        <w:t>differen</w:t>
      </w:r>
      <w:r w:rsidR="00823F92">
        <w:t xml:space="preserve">t </w:t>
      </w:r>
      <w:r>
        <w:t>reportin</w:t>
      </w:r>
      <w:r w:rsidR="00823F92">
        <w:t xml:space="preserve">g </w:t>
      </w:r>
      <w:r>
        <w:t>requirements</w:t>
      </w:r>
      <w:r w:rsidR="00823F92" w:rsidRPr="006C4490">
        <w:t>.</w:t>
      </w:r>
      <w:r w:rsidR="00823F92">
        <w:t xml:space="preserve"> </w:t>
      </w:r>
    </w:p>
    <w:p w14:paraId="7CE50592" w14:textId="291907CA" w:rsidR="00453F15" w:rsidRPr="006C4490" w:rsidRDefault="00453F15" w:rsidP="00E45B23">
      <w:pPr>
        <w:pStyle w:val="BodyText"/>
      </w:pPr>
      <w:r w:rsidRPr="006C4490">
        <w:t>Th</w:t>
      </w:r>
      <w:r w:rsidR="00823F92" w:rsidRPr="006C4490">
        <w:t>e</w:t>
      </w:r>
      <w:r w:rsidR="00823F92">
        <w:t xml:space="preserve"> </w:t>
      </w:r>
      <w:r w:rsidRPr="006C4490">
        <w:t>menta</w:t>
      </w:r>
      <w:r w:rsidR="00823F92" w:rsidRPr="006C4490">
        <w:t>l</w:t>
      </w:r>
      <w:r w:rsidR="00823F92">
        <w:t xml:space="preserve"> </w:t>
      </w:r>
      <w:r w:rsidRPr="006C4490">
        <w:t>healt</w:t>
      </w:r>
      <w:r w:rsidR="00823F92" w:rsidRPr="006C4490">
        <w:t>h</w:t>
      </w:r>
      <w:r w:rsidR="00823F92">
        <w:t xml:space="preserve"> </w:t>
      </w:r>
      <w:r w:rsidRPr="006C4490">
        <w:t>workforc</w:t>
      </w:r>
      <w:r w:rsidR="00823F92" w:rsidRPr="006C4490">
        <w:t>e</w:t>
      </w:r>
      <w:r w:rsidR="00823F92">
        <w:t xml:space="preserve"> </w:t>
      </w:r>
      <w:r w:rsidRPr="006C4490">
        <w:t>i</w:t>
      </w:r>
      <w:r w:rsidR="00823F92" w:rsidRPr="006C4490">
        <w:t>s</w:t>
      </w:r>
      <w:r w:rsidR="00823F92">
        <w:t xml:space="preserve"> </w:t>
      </w:r>
      <w:r w:rsidRPr="006C4490">
        <w:t>estimate</w:t>
      </w:r>
      <w:r w:rsidR="00823F92" w:rsidRPr="006C4490">
        <w:t>d</w:t>
      </w:r>
      <w:r w:rsidR="00823F92">
        <w:t xml:space="preserve"> </w:t>
      </w:r>
      <w:r w:rsidRPr="006C4490">
        <w:t>a</w:t>
      </w:r>
      <w:r w:rsidR="00823F92" w:rsidRPr="006C4490">
        <w:t>t</w:t>
      </w:r>
      <w:r w:rsidR="00823F92">
        <w:t xml:space="preserve"> </w:t>
      </w:r>
      <w:r w:rsidR="003D48B0">
        <w:t>39,19</w:t>
      </w:r>
      <w:r w:rsidR="00823F92">
        <w:t xml:space="preserve">0 </w:t>
      </w:r>
      <w:r w:rsidRPr="006C4490">
        <w:t>ful</w:t>
      </w:r>
      <w:r w:rsidR="00823F92" w:rsidRPr="006C4490">
        <w:t>l</w:t>
      </w:r>
      <w:r w:rsidR="00823F92">
        <w:t xml:space="preserve"> </w:t>
      </w:r>
      <w:r w:rsidRPr="006C4490">
        <w:t>tim</w:t>
      </w:r>
      <w:r w:rsidR="00823F92" w:rsidRPr="006C4490">
        <w:t>e</w:t>
      </w:r>
      <w:r w:rsidR="00823F92">
        <w:t xml:space="preserve"> </w:t>
      </w:r>
      <w:r w:rsidRPr="006C4490">
        <w:t>equivalen</w:t>
      </w:r>
      <w:r w:rsidR="00823F92" w:rsidRPr="006C4490">
        <w:t>t</w:t>
      </w:r>
      <w:r w:rsidR="00823F92">
        <w:t xml:space="preserve"> </w:t>
      </w:r>
      <w:r w:rsidRPr="006C4490">
        <w:t>(FTE)</w:t>
      </w:r>
      <w:r w:rsidR="00823F92" w:rsidRPr="006C4490">
        <w:t>,</w:t>
      </w:r>
      <w:r w:rsidR="00823F92">
        <w:t xml:space="preserve"> </w:t>
      </w:r>
      <w:r w:rsidRPr="006C4490">
        <w:t>base</w:t>
      </w:r>
      <w:r w:rsidR="00823F92" w:rsidRPr="006C4490">
        <w:t>d</w:t>
      </w:r>
      <w:r w:rsidR="00823F92">
        <w:t xml:space="preserve"> </w:t>
      </w:r>
      <w:r w:rsidRPr="006C4490">
        <w:t>o</w:t>
      </w:r>
      <w:r w:rsidR="00823F92" w:rsidRPr="006C4490">
        <w:t>n</w:t>
      </w:r>
      <w:r w:rsidR="00823F92">
        <w:t xml:space="preserve"> a </w:t>
      </w:r>
      <w:r w:rsidR="00003627">
        <w:t>relativel</w:t>
      </w:r>
      <w:r w:rsidR="00823F92">
        <w:t xml:space="preserve">y </w:t>
      </w:r>
      <w:r w:rsidR="00003627">
        <w:t>narro</w:t>
      </w:r>
      <w:r w:rsidR="00823F92">
        <w:t xml:space="preserve">w </w:t>
      </w:r>
      <w:r w:rsidR="00003627">
        <w:t>definitio</w:t>
      </w:r>
      <w:r w:rsidR="00823F92">
        <w:t xml:space="preserve">n </w:t>
      </w:r>
      <w:r w:rsidR="00003627">
        <w:t>o</w:t>
      </w:r>
      <w:r w:rsidR="00823F92">
        <w:t xml:space="preserve">f </w:t>
      </w:r>
      <w:r w:rsidR="00003627">
        <w:t>th</w:t>
      </w:r>
      <w:r w:rsidR="00823F92">
        <w:t xml:space="preserve">e </w:t>
      </w:r>
      <w:r w:rsidR="00003627">
        <w:t>workforc</w:t>
      </w:r>
      <w:r w:rsidR="00823F92">
        <w:t xml:space="preserve">e </w:t>
      </w:r>
      <w:r w:rsidR="00003627">
        <w:t>usin</w:t>
      </w:r>
      <w:r w:rsidR="00823F92">
        <w:t xml:space="preserve">g </w:t>
      </w:r>
      <w:r w:rsidRPr="006C4490">
        <w:t>availabl</w:t>
      </w:r>
      <w:r w:rsidR="00823F92" w:rsidRPr="006C4490">
        <w:t>e</w:t>
      </w:r>
      <w:r w:rsidR="00823F92">
        <w:t xml:space="preserve"> </w:t>
      </w:r>
      <w:r w:rsidRPr="006C4490">
        <w:t>dat</w:t>
      </w:r>
      <w:r w:rsidR="00823F92" w:rsidRPr="006C4490">
        <w:t>a</w:t>
      </w:r>
      <w:r w:rsidR="00823F92">
        <w:t xml:space="preserve"> </w:t>
      </w:r>
      <w:r w:rsidRPr="006C4490">
        <w:t>fro</w:t>
      </w:r>
      <w:r w:rsidR="00823F92" w:rsidRPr="006C4490">
        <w:t>m</w:t>
      </w:r>
      <w:r w:rsidR="00823F92">
        <w:t xml:space="preserve"> </w:t>
      </w:r>
      <w:r w:rsidRPr="006C4490">
        <w:t>th</w:t>
      </w:r>
      <w:r w:rsidR="00823F92" w:rsidRPr="006C4490">
        <w:t>e</w:t>
      </w:r>
      <w:r w:rsidR="00823F92">
        <w:t xml:space="preserve"> </w:t>
      </w:r>
      <w:r w:rsidRPr="006C4490">
        <w:t>Nationa</w:t>
      </w:r>
      <w:r w:rsidR="00823F92" w:rsidRPr="006C4490">
        <w:t>l</w:t>
      </w:r>
      <w:r w:rsidR="00823F92">
        <w:t xml:space="preserve"> </w:t>
      </w:r>
      <w:r w:rsidRPr="006C4490">
        <w:t>Healt</w:t>
      </w:r>
      <w:r w:rsidR="00823F92" w:rsidRPr="006C4490">
        <w:t>h</w:t>
      </w:r>
      <w:r w:rsidR="00823F92">
        <w:t xml:space="preserve"> </w:t>
      </w:r>
      <w:r w:rsidRPr="006C4490">
        <w:t>Workforc</w:t>
      </w:r>
      <w:r w:rsidR="00823F92" w:rsidRPr="006C4490">
        <w:t>e</w:t>
      </w:r>
      <w:r w:rsidR="00823F92">
        <w:t xml:space="preserve"> </w:t>
      </w:r>
      <w:r w:rsidRPr="006C4490">
        <w:t>Datase</w:t>
      </w:r>
      <w:r w:rsidR="00823F92" w:rsidRPr="006C4490">
        <w:t>t</w:t>
      </w:r>
      <w:r w:rsidR="00823F92">
        <w:t xml:space="preserve"> </w:t>
      </w:r>
      <w:r w:rsidRPr="006C4490">
        <w:t>(NHWD).</w:t>
      </w:r>
      <w:r w:rsidRPr="006C4490">
        <w:rPr>
          <w:rStyle w:val="FootnoteReference"/>
        </w:rPr>
        <w:footnoteReference w:id="17"/>
      </w:r>
      <w:r w:rsidRPr="006C4490">
        <w:t xml:space="preserve"> </w:t>
      </w:r>
      <w:proofErr w:type="gramStart"/>
      <w:r w:rsidRPr="006C4490">
        <w:t>Takin</w:t>
      </w:r>
      <w:r w:rsidR="00823F92" w:rsidRPr="006C4490">
        <w:t>g</w:t>
      </w:r>
      <w:r w:rsidR="00823F92">
        <w:t xml:space="preserve"> </w:t>
      </w:r>
      <w:r w:rsidRPr="006C4490">
        <w:t>int</w:t>
      </w:r>
      <w:r w:rsidR="00823F92" w:rsidRPr="006C4490">
        <w:t>o</w:t>
      </w:r>
      <w:r w:rsidR="00823F92">
        <w:t xml:space="preserve"> </w:t>
      </w:r>
      <w:r w:rsidRPr="006C4490">
        <w:t>accoun</w:t>
      </w:r>
      <w:r w:rsidR="00823F92" w:rsidRPr="006C4490">
        <w:t>t</w:t>
      </w:r>
      <w:proofErr w:type="gramEnd"/>
      <w:r w:rsidR="00823F92">
        <w:t xml:space="preserve"> </w:t>
      </w:r>
      <w:r w:rsidR="00D711DD" w:rsidRPr="00D711DD">
        <w:t>broade</w:t>
      </w:r>
      <w:r w:rsidR="00823F92" w:rsidRPr="00D711DD">
        <w:t>r</w:t>
      </w:r>
      <w:r w:rsidR="00823F92">
        <w:t xml:space="preserve"> </w:t>
      </w:r>
      <w:r w:rsidR="00D711DD" w:rsidRPr="00D711DD">
        <w:t>rang</w:t>
      </w:r>
      <w:r w:rsidR="00823F92" w:rsidRPr="00D711DD">
        <w:t>e</w:t>
      </w:r>
      <w:r w:rsidR="00823F92">
        <w:t xml:space="preserve"> </w:t>
      </w:r>
      <w:r w:rsidR="00D711DD" w:rsidRPr="00D711DD">
        <w:t>o</w:t>
      </w:r>
      <w:r w:rsidR="00823F92" w:rsidRPr="00D711DD">
        <w:t>f</w:t>
      </w:r>
      <w:r w:rsidR="00823F92">
        <w:t xml:space="preserve"> </w:t>
      </w:r>
      <w:r w:rsidR="00D711DD" w:rsidRPr="00D711DD">
        <w:t>workforc</w:t>
      </w:r>
      <w:r w:rsidR="00823F92" w:rsidRPr="00D711DD">
        <w:t>e</w:t>
      </w:r>
      <w:r w:rsidR="00823F92">
        <w:t xml:space="preserve"> </w:t>
      </w:r>
      <w:r w:rsidR="00D711DD" w:rsidRPr="00D711DD">
        <w:t>types</w:t>
      </w:r>
      <w:r w:rsidR="00823F92">
        <w:t xml:space="preserve">, </w:t>
      </w:r>
      <w:r w:rsidR="00D711DD">
        <w:t>includin</w:t>
      </w:r>
      <w:r w:rsidR="00823F92">
        <w:t xml:space="preserve">g </w:t>
      </w:r>
      <w:r w:rsidR="001B03FB" w:rsidRPr="008B5F7E">
        <w:t>vocationall</w:t>
      </w:r>
      <w:r w:rsidR="00823F92" w:rsidRPr="008B5F7E">
        <w:t>y</w:t>
      </w:r>
      <w:r w:rsidR="00823F92">
        <w:t xml:space="preserve"> </w:t>
      </w:r>
      <w:r w:rsidR="001B03FB" w:rsidRPr="008B5F7E">
        <w:t>qualifie</w:t>
      </w:r>
      <w:r w:rsidR="00823F92" w:rsidRPr="008B5F7E">
        <w:t>d</w:t>
      </w:r>
      <w:r w:rsidR="00823F92">
        <w:t xml:space="preserve"> </w:t>
      </w:r>
      <w:r w:rsidR="001B03FB" w:rsidRPr="008B5F7E">
        <w:t>menta</w:t>
      </w:r>
      <w:r w:rsidR="00823F92" w:rsidRPr="008B5F7E">
        <w:t>l</w:t>
      </w:r>
      <w:r w:rsidR="00823F92">
        <w:t xml:space="preserve"> </w:t>
      </w:r>
      <w:r w:rsidR="001B03FB" w:rsidRPr="008B5F7E">
        <w:t>healt</w:t>
      </w:r>
      <w:r w:rsidR="00823F92" w:rsidRPr="008B5F7E">
        <w:t>h</w:t>
      </w:r>
      <w:r w:rsidR="00823F92">
        <w:t xml:space="preserve"> </w:t>
      </w:r>
      <w:r w:rsidR="001B03FB" w:rsidRPr="008B5F7E">
        <w:t>worker</w:t>
      </w:r>
      <w:r w:rsidR="00823F92" w:rsidRPr="008B5F7E">
        <w:t>s</w:t>
      </w:r>
      <w:r w:rsidR="00823F92">
        <w:t xml:space="preserve"> </w:t>
      </w:r>
      <w:r w:rsidR="001B03FB">
        <w:t>an</w:t>
      </w:r>
      <w:r w:rsidR="00823F92">
        <w:t xml:space="preserve">d </w:t>
      </w:r>
      <w:r w:rsidR="007D0CE1">
        <w:t>live</w:t>
      </w:r>
      <w:r w:rsidR="00823F92">
        <w:t xml:space="preserve">d </w:t>
      </w:r>
      <w:r w:rsidR="007D0CE1">
        <w:t>experienc</w:t>
      </w:r>
      <w:r w:rsidR="00823F92">
        <w:t xml:space="preserve">e </w:t>
      </w:r>
      <w:r w:rsidR="007D0CE1">
        <w:t>(</w:t>
      </w:r>
      <w:r w:rsidR="001B03FB">
        <w:t>peer</w:t>
      </w:r>
      <w:r w:rsidR="007D0CE1">
        <w:t>)</w:t>
      </w:r>
      <w:r w:rsidR="001B03FB">
        <w:t xml:space="preserve"> workers</w:t>
      </w:r>
      <w:r w:rsidR="00823F92" w:rsidRPr="006C4490">
        <w:t>,</w:t>
      </w:r>
      <w:r w:rsidR="00823F92">
        <w:t xml:space="preserve"> </w:t>
      </w:r>
      <w:r w:rsidR="001B03FB">
        <w:t>th</w:t>
      </w:r>
      <w:r w:rsidR="00823F92">
        <w:t xml:space="preserve">e </w:t>
      </w:r>
      <w:r w:rsidR="001B03FB">
        <w:t>bes</w:t>
      </w:r>
      <w:r w:rsidR="00823F92">
        <w:t xml:space="preserve">t </w:t>
      </w:r>
      <w:r w:rsidR="001B03FB">
        <w:t>estimat</w:t>
      </w:r>
      <w:r w:rsidR="00823F92">
        <w:t xml:space="preserve">e </w:t>
      </w:r>
      <w:r w:rsidR="001B03FB">
        <w:t>FT</w:t>
      </w:r>
      <w:r w:rsidR="00823F92">
        <w:t xml:space="preserve">E </w:t>
      </w:r>
      <w:r w:rsidR="001B03FB">
        <w:t>increase</w:t>
      </w:r>
      <w:r w:rsidR="00823F92">
        <w:t xml:space="preserve">s </w:t>
      </w:r>
      <w:r w:rsidR="001B03FB">
        <w:t>t</w:t>
      </w:r>
      <w:r w:rsidR="00823F92">
        <w:t xml:space="preserve">o </w:t>
      </w:r>
      <w:r w:rsidR="001B03FB">
        <w:t>50,518</w:t>
      </w:r>
      <w:r w:rsidR="00823F92">
        <w:t xml:space="preserve">. </w:t>
      </w:r>
      <w:r w:rsidR="007D0CE1" w:rsidRPr="007D0CE1">
        <w:t>Missin</w:t>
      </w:r>
      <w:r w:rsidR="00823F92" w:rsidRPr="007D0CE1">
        <w:t>g</w:t>
      </w:r>
      <w:r w:rsidR="00823F92">
        <w:t xml:space="preserve"> </w:t>
      </w:r>
      <w:r w:rsidR="007D0CE1" w:rsidRPr="007D0CE1">
        <w:t>nationa</w:t>
      </w:r>
      <w:r w:rsidR="00823F92" w:rsidRPr="007D0CE1">
        <w:t>l</w:t>
      </w:r>
      <w:r w:rsidR="00823F92">
        <w:t xml:space="preserve"> </w:t>
      </w:r>
      <w:r w:rsidR="007D0CE1" w:rsidRPr="007D0CE1">
        <w:t>workforc</w:t>
      </w:r>
      <w:r w:rsidR="00823F92" w:rsidRPr="007D0CE1">
        <w:t>e</w:t>
      </w:r>
      <w:r w:rsidR="00823F92">
        <w:t xml:space="preserve"> </w:t>
      </w:r>
      <w:r w:rsidR="007D0CE1" w:rsidRPr="007D0CE1">
        <w:t>suppl</w:t>
      </w:r>
      <w:r w:rsidR="00823F92" w:rsidRPr="007D0CE1">
        <w:t>y</w:t>
      </w:r>
      <w:r w:rsidR="00823F92">
        <w:t xml:space="preserve"> </w:t>
      </w:r>
      <w:r w:rsidR="007D0CE1" w:rsidRPr="007D0CE1">
        <w:t>dat</w:t>
      </w:r>
      <w:r w:rsidR="00823F92" w:rsidRPr="007D0CE1">
        <w:t>a</w:t>
      </w:r>
      <w:r w:rsidR="00823F92">
        <w:t xml:space="preserve"> </w:t>
      </w:r>
      <w:r w:rsidR="007D0CE1" w:rsidRPr="007D0CE1">
        <w:t>fo</w:t>
      </w:r>
      <w:r w:rsidR="00823F92" w:rsidRPr="007D0CE1">
        <w:t>r</w:t>
      </w:r>
      <w:r w:rsidR="00823F92">
        <w:t xml:space="preserve"> </w:t>
      </w:r>
      <w:r w:rsidR="007D0CE1" w:rsidRPr="007D0CE1">
        <w:t>jurisdictional-funde</w:t>
      </w:r>
      <w:r w:rsidR="00823F92" w:rsidRPr="007D0CE1">
        <w:t>d</w:t>
      </w:r>
      <w:r w:rsidR="00823F92">
        <w:t xml:space="preserve"> </w:t>
      </w:r>
      <w:r w:rsidR="007D0CE1" w:rsidRPr="007D0CE1">
        <w:t>psychosocia</w:t>
      </w:r>
      <w:r w:rsidR="00823F92" w:rsidRPr="007D0CE1">
        <w:t>l</w:t>
      </w:r>
      <w:r w:rsidR="00823F92">
        <w:t xml:space="preserve"> </w:t>
      </w:r>
      <w:r w:rsidR="007D0CE1" w:rsidRPr="007D0CE1">
        <w:t>suppor</w:t>
      </w:r>
      <w:r w:rsidR="00823F92" w:rsidRPr="007D0CE1">
        <w:t>t</w:t>
      </w:r>
      <w:r w:rsidR="00823F92">
        <w:t xml:space="preserve"> </w:t>
      </w:r>
      <w:r w:rsidR="007D0CE1" w:rsidRPr="007D0CE1">
        <w:t>service</w:t>
      </w:r>
      <w:r w:rsidR="00823F92" w:rsidRPr="007D0CE1">
        <w:t>s</w:t>
      </w:r>
      <w:r w:rsidR="00823F92">
        <w:t xml:space="preserve"> </w:t>
      </w:r>
      <w:r w:rsidR="007D0CE1" w:rsidRPr="007D0CE1">
        <w:t>an</w:t>
      </w:r>
      <w:r w:rsidR="00823F92" w:rsidRPr="007D0CE1">
        <w:t>d</w:t>
      </w:r>
      <w:r w:rsidR="00823F92">
        <w:t xml:space="preserve"> </w:t>
      </w:r>
      <w:r w:rsidR="007D0CE1" w:rsidRPr="007D0CE1">
        <w:t>PHN-funde</w:t>
      </w:r>
      <w:r w:rsidR="00823F92" w:rsidRPr="007D0CE1">
        <w:t>d</w:t>
      </w:r>
      <w:r w:rsidR="00823F92">
        <w:t xml:space="preserve"> </w:t>
      </w:r>
      <w:r w:rsidR="007D0CE1" w:rsidRPr="007D0CE1">
        <w:t>menta</w:t>
      </w:r>
      <w:r w:rsidR="00823F92" w:rsidRPr="007D0CE1">
        <w:t>l</w:t>
      </w:r>
      <w:r w:rsidR="00823F92">
        <w:t xml:space="preserve"> </w:t>
      </w:r>
      <w:r w:rsidR="007D0CE1" w:rsidRPr="007D0CE1">
        <w:t>healt</w:t>
      </w:r>
      <w:r w:rsidR="00823F92" w:rsidRPr="007D0CE1">
        <w:t>h</w:t>
      </w:r>
      <w:r w:rsidR="00823F92">
        <w:t xml:space="preserve"> </w:t>
      </w:r>
      <w:r w:rsidR="007D0CE1" w:rsidRPr="007D0CE1">
        <w:t>service</w:t>
      </w:r>
      <w:r w:rsidR="00823F92" w:rsidRPr="007D0CE1">
        <w:t>s</w:t>
      </w:r>
      <w:r w:rsidR="00823F92">
        <w:t xml:space="preserve"> </w:t>
      </w:r>
      <w:r w:rsidR="007D0CE1" w:rsidRPr="007D0CE1">
        <w:t>sugges</w:t>
      </w:r>
      <w:r w:rsidR="00823F92" w:rsidRPr="007D0CE1">
        <w:t>t</w:t>
      </w:r>
      <w:r w:rsidR="00823F92">
        <w:t xml:space="preserve"> </w:t>
      </w:r>
      <w:r w:rsidRPr="006C4490">
        <w:t>th</w:t>
      </w:r>
      <w:r w:rsidR="00823F92" w:rsidRPr="006C4490">
        <w:t>e</w:t>
      </w:r>
      <w:r w:rsidR="00823F92">
        <w:t xml:space="preserve"> </w:t>
      </w:r>
      <w:r w:rsidRPr="006C4490">
        <w:t>tru</w:t>
      </w:r>
      <w:r w:rsidR="00823F92" w:rsidRPr="006C4490">
        <w:t>e</w:t>
      </w:r>
      <w:r w:rsidR="00823F92">
        <w:t xml:space="preserve"> </w:t>
      </w:r>
      <w:r w:rsidRPr="006C4490">
        <w:t>siz</w:t>
      </w:r>
      <w:r w:rsidR="00823F92" w:rsidRPr="006C4490">
        <w:t>e</w:t>
      </w:r>
      <w:r w:rsidR="00823F92">
        <w:t xml:space="preserve"> </w:t>
      </w:r>
      <w:r w:rsidRPr="006C4490">
        <w:t>o</w:t>
      </w:r>
      <w:r w:rsidR="00823F92" w:rsidRPr="006C4490">
        <w:t>f</w:t>
      </w:r>
      <w:r w:rsidR="00823F92">
        <w:t xml:space="preserve"> </w:t>
      </w:r>
      <w:r w:rsidRPr="006C4490">
        <w:t>th</w:t>
      </w:r>
      <w:r w:rsidR="00823F92" w:rsidRPr="006C4490">
        <w:t>e</w:t>
      </w:r>
      <w:r w:rsidR="00823F92">
        <w:t xml:space="preserve"> </w:t>
      </w:r>
      <w:r w:rsidRPr="006C4490">
        <w:t>workforc</w:t>
      </w:r>
      <w:r w:rsidR="00823F92" w:rsidRPr="006C4490">
        <w:t>e</w:t>
      </w:r>
      <w:r w:rsidR="00823F92">
        <w:t xml:space="preserve"> </w:t>
      </w:r>
      <w:r w:rsidRPr="006C4490">
        <w:t>i</w:t>
      </w:r>
      <w:r w:rsidR="00823F92" w:rsidRPr="006C4490">
        <w:t>s</w:t>
      </w:r>
      <w:r w:rsidR="00823F92">
        <w:t xml:space="preserve"> </w:t>
      </w:r>
      <w:r w:rsidRPr="006C4490">
        <w:t>likel</w:t>
      </w:r>
      <w:r w:rsidR="00823F92" w:rsidRPr="006C4490">
        <w:t>y</w:t>
      </w:r>
      <w:r w:rsidR="00823F92">
        <w:t xml:space="preserve"> </w:t>
      </w:r>
      <w:r w:rsidRPr="006C4490">
        <w:t>t</w:t>
      </w:r>
      <w:r w:rsidR="00823F92" w:rsidRPr="006C4490">
        <w:t>o</w:t>
      </w:r>
      <w:r w:rsidR="00823F92">
        <w:t xml:space="preserve"> </w:t>
      </w:r>
      <w:r w:rsidRPr="006C4490">
        <w:t>b</w:t>
      </w:r>
      <w:r w:rsidR="00823F92" w:rsidRPr="006C4490">
        <w:t>e</w:t>
      </w:r>
      <w:r w:rsidR="00823F92">
        <w:t xml:space="preserve"> </w:t>
      </w:r>
      <w:r w:rsidR="00264142">
        <w:t>somewha</w:t>
      </w:r>
      <w:r w:rsidR="00823F92">
        <w:t xml:space="preserve">t </w:t>
      </w:r>
      <w:r w:rsidRPr="006C4490">
        <w:t>large</w:t>
      </w:r>
      <w:r w:rsidR="00823F92" w:rsidRPr="006C4490">
        <w:t>r</w:t>
      </w:r>
      <w:r w:rsidR="00823F92">
        <w:t xml:space="preserve"> </w:t>
      </w:r>
      <w:r w:rsidRPr="006C4490">
        <w:t>tha</w:t>
      </w:r>
      <w:r w:rsidR="00823F92" w:rsidRPr="006C4490">
        <w:t>n</w:t>
      </w:r>
      <w:r w:rsidR="00823F92">
        <w:t xml:space="preserve"> </w:t>
      </w:r>
      <w:r w:rsidRPr="006C4490">
        <w:t>that</w:t>
      </w:r>
      <w:r w:rsidR="00823F92" w:rsidRPr="006C4490">
        <w:t>.</w:t>
      </w:r>
      <w:r w:rsidR="00823F92">
        <w:t xml:space="preserve"> </w:t>
      </w:r>
    </w:p>
    <w:p w14:paraId="01B2BCD5" w14:textId="6FAB6781" w:rsidR="00453F15" w:rsidRDefault="000E4329" w:rsidP="00364B3D">
      <w:pPr>
        <w:pStyle w:val="BodyText"/>
      </w:pPr>
      <w:r>
        <w:t>T</w:t>
      </w:r>
      <w:r w:rsidR="00453F15" w:rsidRPr="006C4490">
        <w:t>h</w:t>
      </w:r>
      <w:r w:rsidR="00823F92">
        <w:t xml:space="preserve">e </w:t>
      </w:r>
      <w:r w:rsidR="00453F15">
        <w:t>curren</w:t>
      </w:r>
      <w:r w:rsidR="00823F92">
        <w:t xml:space="preserve">t </w:t>
      </w:r>
      <w:r w:rsidR="00541419">
        <w:t>workforc</w:t>
      </w:r>
      <w:r w:rsidR="00823F92">
        <w:t xml:space="preserve">e </w:t>
      </w:r>
      <w:r w:rsidR="00453F15" w:rsidRPr="006C4490">
        <w:t>i</w:t>
      </w:r>
      <w:r w:rsidR="00823F92" w:rsidRPr="006C4490">
        <w:t>s</w:t>
      </w:r>
      <w:r w:rsidR="00823F92">
        <w:t xml:space="preserve"> </w:t>
      </w:r>
      <w:r w:rsidR="00453F15" w:rsidRPr="006C4490">
        <w:t>significantl</w:t>
      </w:r>
      <w:r w:rsidR="00823F92" w:rsidRPr="006C4490">
        <w:t>y</w:t>
      </w:r>
      <w:r w:rsidR="00823F92">
        <w:t xml:space="preserve"> </w:t>
      </w:r>
      <w:r w:rsidR="00453F15" w:rsidRPr="006C4490">
        <w:t>belo</w:t>
      </w:r>
      <w:r w:rsidR="00823F92" w:rsidRPr="006C4490">
        <w:t>w</w:t>
      </w:r>
      <w:r w:rsidR="00823F92">
        <w:t xml:space="preserve"> </w:t>
      </w:r>
      <w:r w:rsidR="00453F15" w:rsidRPr="006C4490">
        <w:t>th</w:t>
      </w:r>
      <w:r w:rsidR="00823F92" w:rsidRPr="006C4490">
        <w:t>e</w:t>
      </w:r>
      <w:r w:rsidR="00823F92">
        <w:t xml:space="preserve"> </w:t>
      </w:r>
      <w:r w:rsidR="00D62C16">
        <w:t>201</w:t>
      </w:r>
      <w:r w:rsidR="00823F92">
        <w:t xml:space="preserve">9 </w:t>
      </w:r>
      <w:r w:rsidR="00453F15" w:rsidRPr="006C4490">
        <w:t>Nationa</w:t>
      </w:r>
      <w:r w:rsidR="00823F92" w:rsidRPr="006C4490">
        <w:t>l</w:t>
      </w:r>
      <w:r w:rsidR="00823F92">
        <w:t xml:space="preserve"> </w:t>
      </w:r>
      <w:r w:rsidR="00453F15" w:rsidRPr="006C4490">
        <w:t>Menta</w:t>
      </w:r>
      <w:r w:rsidR="00823F92" w:rsidRPr="006C4490">
        <w:t>l</w:t>
      </w:r>
      <w:r w:rsidR="00823F92">
        <w:t xml:space="preserve"> </w:t>
      </w:r>
      <w:r w:rsidR="00453F15" w:rsidRPr="006C4490">
        <w:t>Healt</w:t>
      </w:r>
      <w:r w:rsidR="00823F92" w:rsidRPr="006C4490">
        <w:t>h</w:t>
      </w:r>
      <w:r w:rsidR="00823F92">
        <w:t xml:space="preserve"> </w:t>
      </w:r>
      <w:r w:rsidR="00453F15" w:rsidRPr="006C4490">
        <w:t>Servic</w:t>
      </w:r>
      <w:r w:rsidR="00823F92" w:rsidRPr="006C4490">
        <w:t>e</w:t>
      </w:r>
      <w:r w:rsidR="00823F92">
        <w:t xml:space="preserve"> </w:t>
      </w:r>
      <w:r w:rsidR="00453F15" w:rsidRPr="006C4490">
        <w:t>Plannin</w:t>
      </w:r>
      <w:r w:rsidR="00823F92" w:rsidRPr="006C4490">
        <w:t>g</w:t>
      </w:r>
      <w:r w:rsidR="00823F92">
        <w:t xml:space="preserve"> </w:t>
      </w:r>
      <w:r w:rsidR="00453F15" w:rsidRPr="006C4490">
        <w:t>Framewor</w:t>
      </w:r>
      <w:r w:rsidR="00823F92" w:rsidRPr="006C4490">
        <w:t>k</w:t>
      </w:r>
      <w:r w:rsidR="00823F92">
        <w:t xml:space="preserve"> </w:t>
      </w:r>
      <w:r w:rsidR="00453F15" w:rsidRPr="006C4490">
        <w:t>(NMHSPF) targe</w:t>
      </w:r>
      <w:r w:rsidR="00823F92" w:rsidRPr="006C4490">
        <w:t>t</w:t>
      </w:r>
      <w:r w:rsidR="00823F92">
        <w:t xml:space="preserve"> </w:t>
      </w:r>
      <w:r w:rsidR="00453F15" w:rsidRPr="006C4490">
        <w:t>o</w:t>
      </w:r>
      <w:r w:rsidR="00823F92" w:rsidRPr="006C4490">
        <w:t>f</w:t>
      </w:r>
      <w:r w:rsidR="00823F92">
        <w:t xml:space="preserve"> </w:t>
      </w:r>
      <w:r w:rsidR="008B5F7E">
        <w:t>74,25</w:t>
      </w:r>
      <w:r w:rsidR="00823F92">
        <w:t xml:space="preserve">2 </w:t>
      </w:r>
      <w:r w:rsidR="00453F15" w:rsidRPr="006C4490">
        <w:t>FT</w:t>
      </w:r>
      <w:r w:rsidR="00823F92" w:rsidRPr="006C4490">
        <w:t>E</w:t>
      </w:r>
      <w:r w:rsidR="00823F92">
        <w:t xml:space="preserve"> </w:t>
      </w:r>
      <w:r w:rsidR="00453F15" w:rsidRPr="006C4490">
        <w:t>menta</w:t>
      </w:r>
      <w:r w:rsidR="00823F92" w:rsidRPr="006C4490">
        <w:t>l</w:t>
      </w:r>
      <w:r w:rsidR="00823F92">
        <w:t xml:space="preserve"> </w:t>
      </w:r>
      <w:r w:rsidR="00453F15" w:rsidRPr="006C4490">
        <w:t>healt</w:t>
      </w:r>
      <w:r w:rsidR="00823F92" w:rsidRPr="006C4490">
        <w:t>h</w:t>
      </w:r>
      <w:r w:rsidR="00823F92">
        <w:t xml:space="preserve"> </w:t>
      </w:r>
      <w:r w:rsidR="00453F15" w:rsidRPr="006C4490">
        <w:t>staf</w:t>
      </w:r>
      <w:r w:rsidR="00823F92" w:rsidRPr="006C4490">
        <w:t>f</w:t>
      </w:r>
      <w:r w:rsidR="00823F92">
        <w:t xml:space="preserve"> </w:t>
      </w:r>
      <w:r w:rsidR="00453F15" w:rsidRPr="006C4490">
        <w:t>nationally</w:t>
      </w:r>
      <w:r w:rsidR="00823F92" w:rsidRPr="006C4490">
        <w:t>.</w:t>
      </w:r>
      <w:r w:rsidR="00823F92">
        <w:t xml:space="preserve"> </w:t>
      </w:r>
      <w:r w:rsidR="008B5F7E">
        <w:t>Thi</w:t>
      </w:r>
      <w:r w:rsidR="00823F92">
        <w:t xml:space="preserve">s </w:t>
      </w:r>
      <w:r w:rsidR="008B5F7E">
        <w:t>targe</w:t>
      </w:r>
      <w:r w:rsidR="00823F92">
        <w:t xml:space="preserve">t </w:t>
      </w:r>
      <w:r w:rsidR="008B5F7E">
        <w:t>include</w:t>
      </w:r>
      <w:r w:rsidR="00823F92">
        <w:t xml:space="preserve">s </w:t>
      </w:r>
      <w:r w:rsidR="008B5F7E" w:rsidRPr="008B5F7E">
        <w:t>53% tertiar</w:t>
      </w:r>
      <w:r w:rsidR="00823F92" w:rsidRPr="008B5F7E">
        <w:t>y</w:t>
      </w:r>
      <w:r w:rsidR="00823F92">
        <w:t xml:space="preserve"> </w:t>
      </w:r>
      <w:r w:rsidR="008B5F7E" w:rsidRPr="008B5F7E">
        <w:t>qualifie</w:t>
      </w:r>
      <w:r w:rsidR="00823F92" w:rsidRPr="008B5F7E">
        <w:t>d</w:t>
      </w:r>
      <w:r w:rsidR="00823F92">
        <w:t xml:space="preserve"> </w:t>
      </w:r>
      <w:r w:rsidR="008B5F7E" w:rsidRPr="008B5F7E">
        <w:t>professionals</w:t>
      </w:r>
      <w:r w:rsidR="00823F92" w:rsidRPr="008B5F7E">
        <w:t>,</w:t>
      </w:r>
      <w:r w:rsidR="00823F92">
        <w:t xml:space="preserve"> </w:t>
      </w:r>
      <w:r w:rsidR="008B5F7E" w:rsidRPr="008B5F7E">
        <w:t>29% vocationall</w:t>
      </w:r>
      <w:r w:rsidR="00823F92" w:rsidRPr="008B5F7E">
        <w:t>y</w:t>
      </w:r>
      <w:r w:rsidR="00823F92">
        <w:t xml:space="preserve"> </w:t>
      </w:r>
      <w:r w:rsidR="008B5F7E" w:rsidRPr="008B5F7E">
        <w:t>qualifie</w:t>
      </w:r>
      <w:r w:rsidR="00823F92" w:rsidRPr="008B5F7E">
        <w:t>d</w:t>
      </w:r>
      <w:r w:rsidR="00823F92">
        <w:t xml:space="preserve"> </w:t>
      </w:r>
      <w:r w:rsidR="008B5F7E" w:rsidRPr="008B5F7E">
        <w:t>menta</w:t>
      </w:r>
      <w:r w:rsidR="00823F92" w:rsidRPr="008B5F7E">
        <w:t>l</w:t>
      </w:r>
      <w:r w:rsidR="00823F92">
        <w:t xml:space="preserve"> </w:t>
      </w:r>
      <w:r w:rsidR="008B5F7E" w:rsidRPr="008B5F7E">
        <w:t>healt</w:t>
      </w:r>
      <w:r w:rsidR="00823F92" w:rsidRPr="008B5F7E">
        <w:t>h</w:t>
      </w:r>
      <w:r w:rsidR="00823F92">
        <w:t xml:space="preserve"> </w:t>
      </w:r>
      <w:r w:rsidR="008B5F7E" w:rsidRPr="008B5F7E">
        <w:t>workers</w:t>
      </w:r>
      <w:r w:rsidR="00823F92" w:rsidRPr="008B5F7E">
        <w:t>,</w:t>
      </w:r>
      <w:r w:rsidR="00823F92">
        <w:t xml:space="preserve"> </w:t>
      </w:r>
      <w:r w:rsidR="008B5F7E" w:rsidRPr="008B5F7E">
        <w:t>12% medica</w:t>
      </w:r>
      <w:r w:rsidR="00823F92" w:rsidRPr="008B5F7E">
        <w:t>l</w:t>
      </w:r>
      <w:r w:rsidR="00823F92">
        <w:t xml:space="preserve"> </w:t>
      </w:r>
      <w:r w:rsidR="008B5F7E" w:rsidRPr="008B5F7E">
        <w:t>professional</w:t>
      </w:r>
      <w:r w:rsidR="00823F92" w:rsidRPr="008B5F7E">
        <w:t>s</w:t>
      </w:r>
      <w:r w:rsidR="00823F92">
        <w:t xml:space="preserve"> </w:t>
      </w:r>
      <w:r w:rsidR="008B5F7E" w:rsidRPr="008B5F7E">
        <w:t>an</w:t>
      </w:r>
      <w:r w:rsidR="00823F92" w:rsidRPr="008B5F7E">
        <w:t>d</w:t>
      </w:r>
      <w:r w:rsidR="00823F92">
        <w:t xml:space="preserve"> </w:t>
      </w:r>
      <w:r w:rsidR="008B5F7E" w:rsidRPr="008B5F7E">
        <w:t>6% pee</w:t>
      </w:r>
      <w:r w:rsidR="00823F92" w:rsidRPr="008B5F7E">
        <w:t>r</w:t>
      </w:r>
      <w:r w:rsidR="00823F92">
        <w:t xml:space="preserve"> </w:t>
      </w:r>
      <w:r w:rsidR="008B5F7E" w:rsidRPr="008B5F7E">
        <w:t>workers</w:t>
      </w:r>
      <w:r w:rsidR="00823F92" w:rsidRPr="008B5F7E">
        <w:t>.</w:t>
      </w:r>
      <w:r w:rsidR="00823F92">
        <w:t xml:space="preserve"> </w:t>
      </w:r>
      <w:r w:rsidR="00453F15" w:rsidRPr="006C4490">
        <w:t>Ther</w:t>
      </w:r>
      <w:r w:rsidR="00823F92" w:rsidRPr="006C4490">
        <w:t>e</w:t>
      </w:r>
      <w:r w:rsidR="00823F92">
        <w:t xml:space="preserve"> </w:t>
      </w:r>
      <w:r w:rsidR="00453F15" w:rsidRPr="006C4490">
        <w:t>i</w:t>
      </w:r>
      <w:r w:rsidR="00823F92" w:rsidRPr="006C4490">
        <w:t>s</w:t>
      </w:r>
      <w:r w:rsidR="00823F92">
        <w:t xml:space="preserve"> </w:t>
      </w:r>
      <w:r w:rsidR="00823F92" w:rsidRPr="006C4490">
        <w:t>a</w:t>
      </w:r>
      <w:r w:rsidR="00823F92">
        <w:t xml:space="preserve"> </w:t>
      </w:r>
      <w:r w:rsidR="00453F15" w:rsidRPr="006C4490">
        <w:t>moderat</w:t>
      </w:r>
      <w:r w:rsidR="00823F92" w:rsidRPr="006C4490">
        <w:t>e</w:t>
      </w:r>
      <w:r w:rsidR="00823F92">
        <w:t xml:space="preserve"> </w:t>
      </w:r>
      <w:r w:rsidR="00453F15" w:rsidRPr="006C4490">
        <w:t>under-provisio</w:t>
      </w:r>
      <w:r w:rsidR="00823F92" w:rsidRPr="006C4490">
        <w:t>n</w:t>
      </w:r>
      <w:r w:rsidR="00823F92">
        <w:t xml:space="preserve"> </w:t>
      </w:r>
      <w:r w:rsidR="00453F15" w:rsidRPr="006C4490">
        <w:t>i</w:t>
      </w:r>
      <w:r w:rsidR="00823F92" w:rsidRPr="006C4490">
        <w:t>n</w:t>
      </w:r>
      <w:r w:rsidR="00823F92">
        <w:t xml:space="preserve"> </w:t>
      </w:r>
      <w:r w:rsidR="00453F15" w:rsidRPr="006C4490">
        <w:t>workforc</w:t>
      </w:r>
      <w:r w:rsidR="00823F92" w:rsidRPr="006C4490">
        <w:t>e</w:t>
      </w:r>
      <w:r w:rsidR="00823F92">
        <w:t xml:space="preserve"> </w:t>
      </w:r>
      <w:r w:rsidR="00453F15" w:rsidRPr="006C4490">
        <w:t>acros</w:t>
      </w:r>
      <w:r w:rsidR="00823F92" w:rsidRPr="006C4490">
        <w:t>s</w:t>
      </w:r>
      <w:r w:rsidR="00823F92">
        <w:t xml:space="preserve"> </w:t>
      </w:r>
      <w:r w:rsidR="00453F15" w:rsidRPr="006C4490">
        <w:t>nearl</w:t>
      </w:r>
      <w:r w:rsidR="00823F92" w:rsidRPr="006C4490">
        <w:t>y</w:t>
      </w:r>
      <w:r w:rsidR="00823F92">
        <w:t xml:space="preserve"> </w:t>
      </w:r>
      <w:r w:rsidR="00453F15" w:rsidRPr="006C4490">
        <w:t>al</w:t>
      </w:r>
      <w:r w:rsidR="00823F92" w:rsidRPr="006C4490">
        <w:t>l</w:t>
      </w:r>
      <w:r w:rsidR="00823F92">
        <w:t xml:space="preserve"> </w:t>
      </w:r>
      <w:r w:rsidR="00453F15" w:rsidRPr="006C4490">
        <w:t>workforc</w:t>
      </w:r>
      <w:r w:rsidR="00823F92" w:rsidRPr="006C4490">
        <w:t>e</w:t>
      </w:r>
      <w:r w:rsidR="00823F92">
        <w:t xml:space="preserve"> </w:t>
      </w:r>
      <w:r w:rsidR="00453F15" w:rsidRPr="006C4490">
        <w:t>group</w:t>
      </w:r>
      <w:r w:rsidR="00823F92" w:rsidRPr="006C4490">
        <w:t>s</w:t>
      </w:r>
      <w:r w:rsidR="00823F92">
        <w:t xml:space="preserve"> </w:t>
      </w:r>
      <w:r w:rsidR="00453F15" w:rsidRPr="006C4490">
        <w:t>(</w:t>
      </w:r>
      <w:r w:rsidR="008B5F7E">
        <w:t>68</w:t>
      </w:r>
      <w:r w:rsidR="00453F15" w:rsidRPr="006C4490">
        <w:t>% averag</w:t>
      </w:r>
      <w:r w:rsidR="00823F92" w:rsidRPr="006C4490">
        <w:t>e</w:t>
      </w:r>
      <w:r w:rsidR="00823F92">
        <w:t xml:space="preserve"> </w:t>
      </w:r>
      <w:r w:rsidR="00453F15" w:rsidRPr="006C4490">
        <w:t>o</w:t>
      </w:r>
      <w:r w:rsidR="00823F92" w:rsidRPr="006C4490">
        <w:t>f</w:t>
      </w:r>
      <w:r w:rsidR="00823F92">
        <w:t xml:space="preserve"> </w:t>
      </w:r>
      <w:r w:rsidR="00453F15" w:rsidRPr="006C4490">
        <w:t>NMHSP</w:t>
      </w:r>
      <w:r w:rsidR="00823F92" w:rsidRPr="006C4490">
        <w:t>F</w:t>
      </w:r>
      <w:r w:rsidR="00823F92">
        <w:t xml:space="preserve"> </w:t>
      </w:r>
      <w:r w:rsidR="00453F15" w:rsidRPr="006C4490">
        <w:t>targe</w:t>
      </w:r>
      <w:r w:rsidR="00823F92" w:rsidRPr="006C4490">
        <w:t>t</w:t>
      </w:r>
      <w:r w:rsidR="00823F92">
        <w:t xml:space="preserve"> </w:t>
      </w:r>
      <w:r w:rsidR="00453F15" w:rsidRPr="006C4490">
        <w:t>reached)</w:t>
      </w:r>
      <w:r w:rsidR="00823F92" w:rsidRPr="006C4490">
        <w:t>.</w:t>
      </w:r>
      <w:r w:rsidR="00823F92">
        <w:t xml:space="preserve"> </w:t>
      </w:r>
      <w:r w:rsidR="00453F15" w:rsidRPr="006C4490">
        <w:t>Th</w:t>
      </w:r>
      <w:r w:rsidR="00823F92" w:rsidRPr="006C4490">
        <w:t>e</w:t>
      </w:r>
      <w:r w:rsidR="00823F92">
        <w:t xml:space="preserve"> </w:t>
      </w:r>
      <w:r w:rsidR="00453F15" w:rsidRPr="006C4490">
        <w:t>deman</w:t>
      </w:r>
      <w:r w:rsidR="00823F92" w:rsidRPr="006C4490">
        <w:t>d</w:t>
      </w:r>
      <w:r w:rsidR="00823F92">
        <w:t xml:space="preserve"> </w:t>
      </w:r>
      <w:r w:rsidR="00453F15" w:rsidRPr="006C4490">
        <w:t>fo</w:t>
      </w:r>
      <w:r w:rsidR="00823F92" w:rsidRPr="006C4490">
        <w:t>r</w:t>
      </w:r>
      <w:r w:rsidR="00823F92">
        <w:t xml:space="preserve"> </w:t>
      </w:r>
      <w:r w:rsidR="00453F15" w:rsidRPr="006C4490">
        <w:t>menta</w:t>
      </w:r>
      <w:r w:rsidR="00823F92" w:rsidRPr="006C4490">
        <w:t>l</w:t>
      </w:r>
      <w:r w:rsidR="00823F92">
        <w:t xml:space="preserve"> </w:t>
      </w:r>
      <w:r w:rsidR="00453F15" w:rsidRPr="006C4490">
        <w:t>healt</w:t>
      </w:r>
      <w:r w:rsidR="00823F92" w:rsidRPr="006C4490">
        <w:t>h</w:t>
      </w:r>
      <w:r w:rsidR="00823F92">
        <w:t xml:space="preserve"> </w:t>
      </w:r>
      <w:r w:rsidR="00453F15" w:rsidRPr="006C4490">
        <w:t>car</w:t>
      </w:r>
      <w:r w:rsidR="00823F92" w:rsidRPr="006C4490">
        <w:t>e</w:t>
      </w:r>
      <w:r w:rsidR="00823F92">
        <w:t xml:space="preserve"> </w:t>
      </w:r>
      <w:r w:rsidR="00453F15" w:rsidRPr="006C4490">
        <w:t>i</w:t>
      </w:r>
      <w:r w:rsidR="00823F92" w:rsidRPr="006C4490">
        <w:t>s</w:t>
      </w:r>
      <w:r w:rsidR="00823F92">
        <w:t xml:space="preserve"> </w:t>
      </w:r>
      <w:r w:rsidR="00453F15" w:rsidRPr="006C4490">
        <w:t>expecte</w:t>
      </w:r>
      <w:r w:rsidR="00823F92" w:rsidRPr="006C4490">
        <w:t>d</w:t>
      </w:r>
      <w:r w:rsidR="00823F92">
        <w:t xml:space="preserve"> </w:t>
      </w:r>
      <w:r w:rsidR="00453F15" w:rsidRPr="006C4490">
        <w:t>t</w:t>
      </w:r>
      <w:r w:rsidR="00823F92" w:rsidRPr="006C4490">
        <w:t>o</w:t>
      </w:r>
      <w:r w:rsidR="00823F92">
        <w:t xml:space="preserve"> </w:t>
      </w:r>
      <w:r w:rsidR="00453F15" w:rsidRPr="006C4490">
        <w:t>gro</w:t>
      </w:r>
      <w:r w:rsidR="00823F92" w:rsidRPr="006C4490">
        <w:t>w</w:t>
      </w:r>
      <w:r w:rsidR="00823F92">
        <w:t xml:space="preserve"> </w:t>
      </w:r>
      <w:r w:rsidR="00453F15" w:rsidRPr="006C4490">
        <w:t>considerabl</w:t>
      </w:r>
      <w:r w:rsidR="00823F92" w:rsidRPr="006C4490">
        <w:t>y</w:t>
      </w:r>
      <w:r w:rsidR="00823F92">
        <w:t xml:space="preserve"> </w:t>
      </w:r>
      <w:r w:rsidR="00453F15" w:rsidRPr="006C4490">
        <w:t>ove</w:t>
      </w:r>
      <w:r w:rsidR="00823F92" w:rsidRPr="006C4490">
        <w:t>r</w:t>
      </w:r>
      <w:r w:rsidR="00823F92">
        <w:t xml:space="preserve"> </w:t>
      </w:r>
      <w:r w:rsidR="00453F15" w:rsidRPr="006C4490">
        <w:t>th</w:t>
      </w:r>
      <w:r w:rsidR="00823F92" w:rsidRPr="006C4490">
        <w:t>e</w:t>
      </w:r>
      <w:r w:rsidR="00823F92">
        <w:t xml:space="preserve"> </w:t>
      </w:r>
      <w:r w:rsidR="00453F15" w:rsidRPr="006C4490">
        <w:t>nex</w:t>
      </w:r>
      <w:r w:rsidR="00823F92" w:rsidRPr="006C4490">
        <w:t>t</w:t>
      </w:r>
      <w:r w:rsidR="00823F92">
        <w:t xml:space="preserve"> </w:t>
      </w:r>
      <w:r w:rsidR="00453F15" w:rsidRPr="006C4490">
        <w:t>te</w:t>
      </w:r>
      <w:r w:rsidR="00823F92" w:rsidRPr="006C4490">
        <w:t>n</w:t>
      </w:r>
      <w:r w:rsidR="00823F92">
        <w:t xml:space="preserve"> </w:t>
      </w:r>
      <w:r w:rsidR="00453F15" w:rsidRPr="006C4490">
        <w:t>years</w:t>
      </w:r>
      <w:r w:rsidR="00823F92" w:rsidRPr="006C4490">
        <w:t>,</w:t>
      </w:r>
      <w:r w:rsidR="00823F92">
        <w:t xml:space="preserve"> </w:t>
      </w:r>
      <w:r w:rsidR="00453F15" w:rsidRPr="006C4490">
        <w:t>wit</w:t>
      </w:r>
      <w:r w:rsidR="00823F92" w:rsidRPr="006C4490">
        <w:t>h</w:t>
      </w:r>
      <w:r w:rsidR="00823F92">
        <w:t xml:space="preserve"> </w:t>
      </w:r>
      <w:r w:rsidR="00823F92" w:rsidRPr="006C4490">
        <w:t>a</w:t>
      </w:r>
      <w:r w:rsidR="00823F92">
        <w:t xml:space="preserve"> </w:t>
      </w:r>
      <w:r w:rsidR="00453F15" w:rsidRPr="006C4490">
        <w:t>NMHSP</w:t>
      </w:r>
      <w:r w:rsidR="00823F92" w:rsidRPr="006C4490">
        <w:t>F</w:t>
      </w:r>
      <w:r w:rsidR="00823F92">
        <w:t xml:space="preserve"> </w:t>
      </w:r>
      <w:r w:rsidR="00923EBB">
        <w:t>workforc</w:t>
      </w:r>
      <w:r w:rsidR="00823F92">
        <w:t xml:space="preserve">e </w:t>
      </w:r>
      <w:r w:rsidR="00453F15" w:rsidRPr="006C4490">
        <w:t>targe</w:t>
      </w:r>
      <w:r w:rsidR="00823F92" w:rsidRPr="006C4490">
        <w:t>t</w:t>
      </w:r>
      <w:r w:rsidR="00823F92">
        <w:t xml:space="preserve"> </w:t>
      </w:r>
      <w:r w:rsidR="00453F15" w:rsidRPr="006C4490">
        <w:t>o</w:t>
      </w:r>
      <w:r w:rsidR="00823F92" w:rsidRPr="006C4490">
        <w:t>f</w:t>
      </w:r>
      <w:r w:rsidR="00823F92">
        <w:t xml:space="preserve"> </w:t>
      </w:r>
      <w:r w:rsidR="008B5F7E">
        <w:t>87,64</w:t>
      </w:r>
      <w:r w:rsidR="00823F92">
        <w:t xml:space="preserve">5 </w:t>
      </w:r>
      <w:r w:rsidR="008B5F7E">
        <w:t>FT</w:t>
      </w:r>
      <w:r w:rsidR="00823F92">
        <w:t xml:space="preserve">E </w:t>
      </w:r>
      <w:r w:rsidR="00453F15" w:rsidRPr="006C4490">
        <w:t>b</w:t>
      </w:r>
      <w:r w:rsidR="00823F92" w:rsidRPr="006C4490">
        <w:t>y</w:t>
      </w:r>
      <w:r w:rsidR="00823F92">
        <w:t xml:space="preserve"> </w:t>
      </w:r>
      <w:r w:rsidR="00453F15" w:rsidRPr="006C4490">
        <w:t>203</w:t>
      </w:r>
      <w:r w:rsidR="00823F92" w:rsidRPr="006C4490">
        <w:t>0</w:t>
      </w:r>
      <w:r w:rsidR="00823F92">
        <w:t xml:space="preserve"> </w:t>
      </w:r>
      <w:r w:rsidR="00E64E21">
        <w:t>whic</w:t>
      </w:r>
      <w:r w:rsidR="00823F92">
        <w:t xml:space="preserve">h </w:t>
      </w:r>
      <w:r w:rsidR="00E64E21">
        <w:t>highlight</w:t>
      </w:r>
      <w:r w:rsidR="00823F92">
        <w:t xml:space="preserve">s </w:t>
      </w:r>
      <w:r w:rsidR="00E64E21">
        <w:t>th</w:t>
      </w:r>
      <w:r w:rsidR="00823F92">
        <w:t xml:space="preserve">e </w:t>
      </w:r>
      <w:r w:rsidR="00E64E21">
        <w:t>significanc</w:t>
      </w:r>
      <w:r w:rsidR="00823F92">
        <w:t xml:space="preserve">e </w:t>
      </w:r>
      <w:r w:rsidR="00E64E21">
        <w:t>o</w:t>
      </w:r>
      <w:r w:rsidR="00823F92">
        <w:t xml:space="preserve">f </w:t>
      </w:r>
      <w:r w:rsidR="00E64E21">
        <w:t>curren</w:t>
      </w:r>
      <w:r w:rsidR="00823F92">
        <w:t xml:space="preserve">t </w:t>
      </w:r>
      <w:r w:rsidR="00E64E21">
        <w:t>suppl</w:t>
      </w:r>
      <w:r w:rsidR="00823F92">
        <w:t xml:space="preserve">y </w:t>
      </w:r>
      <w:r w:rsidR="00E64E21">
        <w:t>issues</w:t>
      </w:r>
      <w:r w:rsidR="00823F92" w:rsidRPr="006C4490">
        <w:t>.</w:t>
      </w:r>
      <w:r w:rsidR="00823F92">
        <w:t xml:space="preserve"> </w:t>
      </w:r>
    </w:p>
    <w:p w14:paraId="4102E2C3" w14:textId="62D5F837" w:rsidR="00453F15" w:rsidRDefault="00453F15" w:rsidP="00364B3D">
      <w:pPr>
        <w:pStyle w:val="BodyText"/>
      </w:pPr>
      <w:r w:rsidRPr="006C4490">
        <w:t>Base</w:t>
      </w:r>
      <w:r w:rsidR="00823F92" w:rsidRPr="006C4490">
        <w:t>d</w:t>
      </w:r>
      <w:r w:rsidR="00823F92">
        <w:t xml:space="preserve"> </w:t>
      </w:r>
      <w:r w:rsidRPr="006C4490">
        <w:t>o</w:t>
      </w:r>
      <w:r w:rsidR="00823F92" w:rsidRPr="006C4490">
        <w:t>n</w:t>
      </w:r>
      <w:r w:rsidR="00823F92">
        <w:t xml:space="preserve"> </w:t>
      </w:r>
      <w:r w:rsidRPr="006C4490">
        <w:t>th</w:t>
      </w:r>
      <w:r w:rsidR="00823F92" w:rsidRPr="006C4490">
        <w:t>e</w:t>
      </w:r>
      <w:r w:rsidR="00823F92">
        <w:t xml:space="preserve"> </w:t>
      </w:r>
      <w:r w:rsidRPr="006C4490">
        <w:t>Modifie</w:t>
      </w:r>
      <w:r w:rsidR="00823F92" w:rsidRPr="006C4490">
        <w:t>d</w:t>
      </w:r>
      <w:r w:rsidR="00823F92">
        <w:t xml:space="preserve"> </w:t>
      </w:r>
      <w:r w:rsidRPr="006C4490">
        <w:t>Monas</w:t>
      </w:r>
      <w:r w:rsidR="00823F92" w:rsidRPr="006C4490">
        <w:t>h</w:t>
      </w:r>
      <w:r w:rsidR="00823F92">
        <w:t xml:space="preserve"> </w:t>
      </w:r>
      <w:r w:rsidRPr="006C4490">
        <w:t>Mode</w:t>
      </w:r>
      <w:r w:rsidR="00823F92" w:rsidRPr="006C4490">
        <w:t>l</w:t>
      </w:r>
      <w:r w:rsidR="00823F92">
        <w:t xml:space="preserve"> </w:t>
      </w:r>
      <w:r w:rsidRPr="006C4490">
        <w:t>(MMM)</w:t>
      </w:r>
      <w:r w:rsidR="00823F92" w:rsidRPr="006C4490">
        <w:t>,</w:t>
      </w:r>
      <w:r w:rsidR="00823F92">
        <w:t xml:space="preserve"> </w:t>
      </w:r>
      <w:r w:rsidRPr="006C4490">
        <w:t>suppl</w:t>
      </w:r>
      <w:r w:rsidR="00823F92" w:rsidRPr="006C4490">
        <w:t>y</w:t>
      </w:r>
      <w:r w:rsidR="00823F92">
        <w:t xml:space="preserve"> </w:t>
      </w:r>
      <w:r w:rsidR="003D48B0">
        <w:t>trend</w:t>
      </w:r>
      <w:r w:rsidR="00823F92">
        <w:t xml:space="preserve">s </w:t>
      </w:r>
      <w:r w:rsidR="003D48B0">
        <w:t>var</w:t>
      </w:r>
      <w:r w:rsidR="00823F92">
        <w:t xml:space="preserve">y </w:t>
      </w:r>
      <w:r w:rsidR="003D48B0">
        <w:t>acros</w:t>
      </w:r>
      <w:r w:rsidR="00823F92">
        <w:t xml:space="preserve">s </w:t>
      </w:r>
      <w:r w:rsidR="00F12ED4">
        <w:t>occupations</w:t>
      </w:r>
      <w:r w:rsidR="00823F92" w:rsidRPr="006C4490">
        <w:t>.</w:t>
      </w:r>
      <w:r w:rsidR="00823F92">
        <w:t xml:space="preserve"> </w:t>
      </w:r>
      <w:r w:rsidR="00C10B2C" w:rsidRPr="00C10B2C">
        <w:t>Fo</w:t>
      </w:r>
      <w:r w:rsidR="00823F92" w:rsidRPr="00C10B2C">
        <w:t>r</w:t>
      </w:r>
      <w:r w:rsidR="00823F92">
        <w:t xml:space="preserve"> </w:t>
      </w:r>
      <w:r w:rsidR="00C10B2C" w:rsidRPr="00C10B2C">
        <w:t>som</w:t>
      </w:r>
      <w:r w:rsidR="00823F92" w:rsidRPr="00C10B2C">
        <w:t>e</w:t>
      </w:r>
      <w:r w:rsidR="00823F92">
        <w:t xml:space="preserve"> </w:t>
      </w:r>
      <w:r w:rsidR="00C10B2C" w:rsidRPr="00C10B2C">
        <w:t>sector</w:t>
      </w:r>
      <w:r w:rsidR="00823F92" w:rsidRPr="00C10B2C">
        <w:t>s</w:t>
      </w:r>
      <w:r w:rsidR="00823F92">
        <w:t xml:space="preserve"> </w:t>
      </w:r>
      <w:r w:rsidR="00C10B2C" w:rsidRPr="00C10B2C">
        <w:t>ther</w:t>
      </w:r>
      <w:r w:rsidR="00823F92" w:rsidRPr="00C10B2C">
        <w:t>e</w:t>
      </w:r>
      <w:r w:rsidR="00823F92">
        <w:t xml:space="preserve"> </w:t>
      </w:r>
      <w:r w:rsidR="00C10B2C" w:rsidRPr="00C10B2C">
        <w:t>i</w:t>
      </w:r>
      <w:r w:rsidR="00823F92" w:rsidRPr="00C10B2C">
        <w:t>s</w:t>
      </w:r>
      <w:r w:rsidR="00823F92">
        <w:t xml:space="preserve"> </w:t>
      </w:r>
      <w:r w:rsidR="00C10B2C" w:rsidRPr="00C10B2C">
        <w:t>a</w:t>
      </w:r>
      <w:r w:rsidR="00823F92" w:rsidRPr="00C10B2C">
        <w:t>n</w:t>
      </w:r>
      <w:r w:rsidR="00823F92">
        <w:t xml:space="preserve"> </w:t>
      </w:r>
      <w:r w:rsidR="00C10B2C" w:rsidRPr="00C10B2C">
        <w:t>apparen</w:t>
      </w:r>
      <w:r w:rsidR="00823F92" w:rsidRPr="00C10B2C">
        <w:t>t</w:t>
      </w:r>
      <w:r w:rsidR="00823F92">
        <w:t xml:space="preserve"> </w:t>
      </w:r>
      <w:r w:rsidR="00C10B2C" w:rsidRPr="00C10B2C">
        <w:t>oversuppl</w:t>
      </w:r>
      <w:r w:rsidR="00823F92" w:rsidRPr="00C10B2C">
        <w:t>y</w:t>
      </w:r>
      <w:r w:rsidR="00823F92">
        <w:t xml:space="preserve"> </w:t>
      </w:r>
      <w:r w:rsidR="00C10B2C" w:rsidRPr="00C10B2C">
        <w:t>i</w:t>
      </w:r>
      <w:r w:rsidR="00823F92" w:rsidRPr="00C10B2C">
        <w:t>n</w:t>
      </w:r>
      <w:r w:rsidR="00823F92">
        <w:t xml:space="preserve"> </w:t>
      </w:r>
      <w:r w:rsidR="00C10B2C" w:rsidRPr="00C10B2C">
        <w:t>urba</w:t>
      </w:r>
      <w:r w:rsidR="00823F92" w:rsidRPr="00C10B2C">
        <w:t>n</w:t>
      </w:r>
      <w:r w:rsidR="00823F92">
        <w:t xml:space="preserve"> </w:t>
      </w:r>
      <w:r w:rsidR="00C10B2C" w:rsidRPr="00C10B2C">
        <w:t>area</w:t>
      </w:r>
      <w:r w:rsidR="00823F92" w:rsidRPr="00C10B2C">
        <w:t>s</w:t>
      </w:r>
      <w:r w:rsidR="00823F92">
        <w:t xml:space="preserve"> </w:t>
      </w:r>
      <w:r w:rsidR="00C10B2C" w:rsidRPr="00C10B2C">
        <w:t>(registere</w:t>
      </w:r>
      <w:r w:rsidR="00823F92" w:rsidRPr="00C10B2C">
        <w:t>d</w:t>
      </w:r>
      <w:r w:rsidR="00823F92">
        <w:t xml:space="preserve"> </w:t>
      </w:r>
      <w:r w:rsidR="00C10B2C" w:rsidRPr="00C10B2C">
        <w:t>nurse</w:t>
      </w:r>
      <w:r w:rsidR="00823F92" w:rsidRPr="00C10B2C">
        <w:t>s</w:t>
      </w:r>
      <w:r w:rsidR="00823F92">
        <w:t xml:space="preserve"> </w:t>
      </w:r>
      <w:r w:rsidR="00C10B2C" w:rsidRPr="00C10B2C">
        <w:t>an</w:t>
      </w:r>
      <w:r w:rsidR="00823F92" w:rsidRPr="00C10B2C">
        <w:t>d</w:t>
      </w:r>
      <w:r w:rsidR="00823F92">
        <w:t xml:space="preserve"> </w:t>
      </w:r>
      <w:r w:rsidR="00C10B2C" w:rsidRPr="00C10B2C">
        <w:t>enrolle</w:t>
      </w:r>
      <w:r w:rsidR="00823F92" w:rsidRPr="00C10B2C">
        <w:t>d</w:t>
      </w:r>
      <w:r w:rsidR="00823F92">
        <w:t xml:space="preserve"> </w:t>
      </w:r>
      <w:r w:rsidR="00C10B2C" w:rsidRPr="00C10B2C">
        <w:t>nurses)</w:t>
      </w:r>
      <w:r w:rsidR="00823F92" w:rsidRPr="00C10B2C">
        <w:t>,</w:t>
      </w:r>
      <w:r w:rsidR="00823F92">
        <w:t xml:space="preserve"> </w:t>
      </w:r>
      <w:r w:rsidR="00C10B2C" w:rsidRPr="00C10B2C">
        <w:t>wherea</w:t>
      </w:r>
      <w:r w:rsidR="00823F92" w:rsidRPr="00C10B2C">
        <w:t>s</w:t>
      </w:r>
      <w:r w:rsidR="00823F92">
        <w:t xml:space="preserve"> </w:t>
      </w:r>
      <w:r w:rsidR="00C10B2C" w:rsidRPr="00C10B2C">
        <w:t>other</w:t>
      </w:r>
      <w:r w:rsidR="00823F92" w:rsidRPr="00C10B2C">
        <w:t>s</w:t>
      </w:r>
      <w:r w:rsidR="00823F92">
        <w:t xml:space="preserve"> </w:t>
      </w:r>
      <w:r w:rsidR="00C10B2C" w:rsidRPr="00C10B2C">
        <w:t>indicat</w:t>
      </w:r>
      <w:r w:rsidR="00823F92" w:rsidRPr="00C10B2C">
        <w:t>e</w:t>
      </w:r>
      <w:r w:rsidR="00823F92">
        <w:t xml:space="preserve"> </w:t>
      </w:r>
      <w:r w:rsidR="00C10B2C" w:rsidRPr="00C10B2C">
        <w:t>deficit</w:t>
      </w:r>
      <w:r w:rsidR="00823F92" w:rsidRPr="00C10B2C">
        <w:t>s</w:t>
      </w:r>
      <w:r w:rsidR="00823F92">
        <w:t xml:space="preserve"> </w:t>
      </w:r>
      <w:r w:rsidR="00C10B2C" w:rsidRPr="00C10B2C">
        <w:t>(psychiatrists</w:t>
      </w:r>
      <w:r w:rsidR="00823F92" w:rsidRPr="00C10B2C">
        <w:t>,</w:t>
      </w:r>
      <w:r w:rsidR="00823F92">
        <w:t xml:space="preserve"> </w:t>
      </w:r>
      <w:r w:rsidR="00C10B2C" w:rsidRPr="00C10B2C">
        <w:t>psychologist</w:t>
      </w:r>
      <w:r w:rsidR="00823F92" w:rsidRPr="00C10B2C">
        <w:t>s</w:t>
      </w:r>
      <w:r w:rsidR="00823F92">
        <w:t xml:space="preserve"> </w:t>
      </w:r>
      <w:r w:rsidR="00C10B2C" w:rsidRPr="00C10B2C">
        <w:t>an</w:t>
      </w:r>
      <w:r w:rsidR="00823F92" w:rsidRPr="00C10B2C">
        <w:t>d</w:t>
      </w:r>
      <w:r w:rsidR="00823F92">
        <w:t xml:space="preserve"> </w:t>
      </w:r>
      <w:r w:rsidR="00C10B2C" w:rsidRPr="00C10B2C">
        <w:t>Aborigina</w:t>
      </w:r>
      <w:r w:rsidR="00823F92" w:rsidRPr="00C10B2C">
        <w:t>l</w:t>
      </w:r>
      <w:r w:rsidR="00823F92">
        <w:t xml:space="preserve"> </w:t>
      </w:r>
      <w:r w:rsidR="00C10B2C" w:rsidRPr="00C10B2C">
        <w:t>an</w:t>
      </w:r>
      <w:r w:rsidR="00823F92" w:rsidRPr="00C10B2C">
        <w:t>d</w:t>
      </w:r>
      <w:r w:rsidR="00823F92">
        <w:t xml:space="preserve"> </w:t>
      </w:r>
      <w:r w:rsidR="00C10B2C" w:rsidRPr="00C10B2C">
        <w:t>Torre</w:t>
      </w:r>
      <w:r w:rsidR="00823F92" w:rsidRPr="00C10B2C">
        <w:t>s</w:t>
      </w:r>
      <w:r w:rsidR="00823F92">
        <w:t xml:space="preserve"> </w:t>
      </w:r>
      <w:r w:rsidR="00C10B2C" w:rsidRPr="00C10B2C">
        <w:t>Strai</w:t>
      </w:r>
      <w:r w:rsidR="00823F92" w:rsidRPr="00C10B2C">
        <w:t>t</w:t>
      </w:r>
      <w:r w:rsidR="00823F92">
        <w:t xml:space="preserve"> </w:t>
      </w:r>
      <w:r w:rsidR="00C10B2C" w:rsidRPr="00C10B2C">
        <w:t>Islande</w:t>
      </w:r>
      <w:r w:rsidR="00823F92" w:rsidRPr="00C10B2C">
        <w:t>r</w:t>
      </w:r>
      <w:r w:rsidR="00823F92">
        <w:t xml:space="preserve"> </w:t>
      </w:r>
      <w:r w:rsidR="00C10B2C" w:rsidRPr="00C10B2C">
        <w:t>menta</w:t>
      </w:r>
      <w:r w:rsidR="00823F92" w:rsidRPr="00C10B2C">
        <w:t>l</w:t>
      </w:r>
      <w:r w:rsidR="00823F92">
        <w:t xml:space="preserve"> </w:t>
      </w:r>
      <w:r w:rsidR="00C10B2C" w:rsidRPr="00C10B2C">
        <w:t>healt</w:t>
      </w:r>
      <w:r w:rsidR="00823F92" w:rsidRPr="00C10B2C">
        <w:t>h</w:t>
      </w:r>
      <w:r w:rsidR="00823F92">
        <w:t xml:space="preserve"> </w:t>
      </w:r>
      <w:r w:rsidR="00C10B2C" w:rsidRPr="00C10B2C">
        <w:t>workers)</w:t>
      </w:r>
      <w:r w:rsidR="00823F92" w:rsidRPr="00C10B2C">
        <w:t>.</w:t>
      </w:r>
      <w:r w:rsidR="00823F92">
        <w:t xml:space="preserve"> </w:t>
      </w:r>
      <w:r w:rsidR="00C10B2C" w:rsidRPr="00C10B2C">
        <w:t>Whil</w:t>
      </w:r>
      <w:r w:rsidR="00823F92" w:rsidRPr="00C10B2C">
        <w:t>e</w:t>
      </w:r>
      <w:r w:rsidR="00823F92">
        <w:t xml:space="preserve"> </w:t>
      </w:r>
      <w:r w:rsidR="00C10B2C" w:rsidRPr="00C10B2C">
        <w:t>workforc</w:t>
      </w:r>
      <w:r w:rsidR="00823F92" w:rsidRPr="00C10B2C">
        <w:t>e</w:t>
      </w:r>
      <w:r w:rsidR="00823F92">
        <w:t xml:space="preserve"> </w:t>
      </w:r>
      <w:r w:rsidR="00C10B2C" w:rsidRPr="00C10B2C">
        <w:t>shortage</w:t>
      </w:r>
      <w:r w:rsidR="00823F92" w:rsidRPr="00C10B2C">
        <w:t>s</w:t>
      </w:r>
      <w:r w:rsidR="00823F92">
        <w:t xml:space="preserve"> </w:t>
      </w:r>
      <w:r w:rsidR="00C10B2C" w:rsidRPr="00C10B2C">
        <w:t>ar</w:t>
      </w:r>
      <w:r w:rsidR="00823F92" w:rsidRPr="00C10B2C">
        <w:t>e</w:t>
      </w:r>
      <w:r w:rsidR="00823F92">
        <w:t xml:space="preserve"> </w:t>
      </w:r>
      <w:r w:rsidR="00C10B2C" w:rsidRPr="00C10B2C">
        <w:t>mos</w:t>
      </w:r>
      <w:r w:rsidR="00823F92" w:rsidRPr="00C10B2C">
        <w:t>t</w:t>
      </w:r>
      <w:r w:rsidR="00823F92">
        <w:t xml:space="preserve"> </w:t>
      </w:r>
      <w:r w:rsidR="00C10B2C" w:rsidRPr="00C10B2C">
        <w:t>consistentl</w:t>
      </w:r>
      <w:r w:rsidR="00823F92" w:rsidRPr="00C10B2C">
        <w:t>y</w:t>
      </w:r>
      <w:r w:rsidR="00823F92">
        <w:t xml:space="preserve"> </w:t>
      </w:r>
      <w:r w:rsidR="00C10B2C" w:rsidRPr="00C10B2C">
        <w:t>see</w:t>
      </w:r>
      <w:r w:rsidR="00823F92" w:rsidRPr="00C10B2C">
        <w:t>n</w:t>
      </w:r>
      <w:r w:rsidR="00823F92">
        <w:t xml:space="preserve"> </w:t>
      </w:r>
      <w:r w:rsidR="00C10B2C" w:rsidRPr="00C10B2C">
        <w:t>i</w:t>
      </w:r>
      <w:r w:rsidR="00823F92" w:rsidRPr="00C10B2C">
        <w:t>n</w:t>
      </w:r>
      <w:r w:rsidR="00823F92">
        <w:t xml:space="preserve"> </w:t>
      </w:r>
      <w:r w:rsidR="00C10B2C" w:rsidRPr="00C10B2C">
        <w:t>remot</w:t>
      </w:r>
      <w:r w:rsidR="00823F92" w:rsidRPr="00C10B2C">
        <w:t>e</w:t>
      </w:r>
      <w:r w:rsidR="00823F92">
        <w:t xml:space="preserve"> </w:t>
      </w:r>
      <w:r w:rsidR="00C10B2C" w:rsidRPr="00C10B2C">
        <w:t>an</w:t>
      </w:r>
      <w:r w:rsidR="00823F92" w:rsidRPr="00C10B2C">
        <w:t>d</w:t>
      </w:r>
      <w:r w:rsidR="00823F92">
        <w:t xml:space="preserve"> </w:t>
      </w:r>
      <w:r w:rsidR="00C10B2C" w:rsidRPr="00C10B2C">
        <w:t>ver</w:t>
      </w:r>
      <w:r w:rsidR="00823F92" w:rsidRPr="00C10B2C">
        <w:t>y</w:t>
      </w:r>
      <w:r w:rsidR="00823F92">
        <w:t xml:space="preserve"> </w:t>
      </w:r>
      <w:r w:rsidR="00C10B2C" w:rsidRPr="00C10B2C">
        <w:t>remot</w:t>
      </w:r>
      <w:r w:rsidR="00823F92" w:rsidRPr="00C10B2C">
        <w:t>e</w:t>
      </w:r>
      <w:r w:rsidR="00823F92">
        <w:t xml:space="preserve"> </w:t>
      </w:r>
      <w:r w:rsidR="00C10B2C" w:rsidRPr="00C10B2C">
        <w:t>areas</w:t>
      </w:r>
      <w:r w:rsidR="00823F92" w:rsidRPr="00C10B2C">
        <w:t>,</w:t>
      </w:r>
      <w:r w:rsidR="00823F92">
        <w:t xml:space="preserve"> </w:t>
      </w:r>
      <w:r w:rsidR="00C10B2C" w:rsidRPr="00C10B2C">
        <w:t>som</w:t>
      </w:r>
      <w:r w:rsidR="00823F92" w:rsidRPr="00C10B2C">
        <w:t>e</w:t>
      </w:r>
      <w:r w:rsidR="00823F92">
        <w:t xml:space="preserve"> </w:t>
      </w:r>
      <w:r w:rsidR="00C10B2C" w:rsidRPr="00C10B2C">
        <w:t>workforc</w:t>
      </w:r>
      <w:r w:rsidR="00823F92" w:rsidRPr="00C10B2C">
        <w:t>e</w:t>
      </w:r>
      <w:r w:rsidR="00823F92">
        <w:t xml:space="preserve"> </w:t>
      </w:r>
      <w:r w:rsidR="00C10B2C" w:rsidRPr="00C10B2C">
        <w:t>type</w:t>
      </w:r>
      <w:r w:rsidR="00823F92" w:rsidRPr="00C10B2C">
        <w:t>s</w:t>
      </w:r>
      <w:r w:rsidR="00823F92">
        <w:t xml:space="preserve"> </w:t>
      </w:r>
      <w:r w:rsidR="00C10B2C" w:rsidRPr="00C10B2C">
        <w:t>me</w:t>
      </w:r>
      <w:r w:rsidR="00823F92" w:rsidRPr="00C10B2C">
        <w:t>t</w:t>
      </w:r>
      <w:r w:rsidR="00823F92">
        <w:t xml:space="preserve"> </w:t>
      </w:r>
      <w:r w:rsidR="00C10B2C" w:rsidRPr="00C10B2C">
        <w:t>o</w:t>
      </w:r>
      <w:r w:rsidR="00823F92" w:rsidRPr="00C10B2C">
        <w:t>r</w:t>
      </w:r>
      <w:r w:rsidR="00823F92">
        <w:t xml:space="preserve"> </w:t>
      </w:r>
      <w:r w:rsidR="00C10B2C" w:rsidRPr="00C10B2C">
        <w:t>exceede</w:t>
      </w:r>
      <w:r w:rsidR="00823F92" w:rsidRPr="00C10B2C">
        <w:t>d</w:t>
      </w:r>
      <w:r w:rsidR="00823F92">
        <w:t xml:space="preserve"> </w:t>
      </w:r>
      <w:r w:rsidR="00C10B2C" w:rsidRPr="00C10B2C">
        <w:t>NMHSP</w:t>
      </w:r>
      <w:r w:rsidR="00823F92" w:rsidRPr="00C10B2C">
        <w:t>F</w:t>
      </w:r>
      <w:r w:rsidR="00823F92">
        <w:t xml:space="preserve"> </w:t>
      </w:r>
      <w:r w:rsidR="00C10B2C" w:rsidRPr="00C10B2C">
        <w:t>target</w:t>
      </w:r>
      <w:r w:rsidR="00823F92" w:rsidRPr="00C10B2C">
        <w:t>s</w:t>
      </w:r>
      <w:r w:rsidR="00823F92">
        <w:t xml:space="preserve"> </w:t>
      </w:r>
      <w:r w:rsidR="00C10B2C" w:rsidRPr="00C10B2C">
        <w:t>i</w:t>
      </w:r>
      <w:r w:rsidR="00823F92" w:rsidRPr="00C10B2C">
        <w:t>n</w:t>
      </w:r>
      <w:r w:rsidR="00823F92">
        <w:t xml:space="preserve"> </w:t>
      </w:r>
      <w:r w:rsidR="00C10B2C" w:rsidRPr="00C10B2C">
        <w:t>thes</w:t>
      </w:r>
      <w:r w:rsidR="00823F92" w:rsidRPr="00C10B2C">
        <w:t>e</w:t>
      </w:r>
      <w:r w:rsidR="00823F92">
        <w:t xml:space="preserve"> </w:t>
      </w:r>
      <w:r w:rsidR="00C10B2C" w:rsidRPr="00C10B2C">
        <w:t>region</w:t>
      </w:r>
      <w:r w:rsidR="00823F92" w:rsidRPr="00C10B2C">
        <w:t>s</w:t>
      </w:r>
      <w:r w:rsidR="00823F92">
        <w:t xml:space="preserve"> </w:t>
      </w:r>
      <w:r w:rsidR="00C10B2C" w:rsidRPr="00C10B2C">
        <w:t>(Aborigina</w:t>
      </w:r>
      <w:r w:rsidR="00823F92" w:rsidRPr="00C10B2C">
        <w:t>l</w:t>
      </w:r>
      <w:r w:rsidR="00823F92">
        <w:t xml:space="preserve"> </w:t>
      </w:r>
      <w:r w:rsidR="00C10B2C" w:rsidRPr="00C10B2C">
        <w:t>an</w:t>
      </w:r>
      <w:r w:rsidR="00823F92" w:rsidRPr="00C10B2C">
        <w:t>d</w:t>
      </w:r>
      <w:r w:rsidR="00823F92">
        <w:t xml:space="preserve"> </w:t>
      </w:r>
      <w:r w:rsidR="00C10B2C" w:rsidRPr="00C10B2C">
        <w:t>Torre</w:t>
      </w:r>
      <w:r w:rsidR="00823F92" w:rsidRPr="00C10B2C">
        <w:t>s</w:t>
      </w:r>
      <w:r w:rsidR="00823F92">
        <w:t xml:space="preserve"> </w:t>
      </w:r>
      <w:r w:rsidR="00C10B2C" w:rsidRPr="00C10B2C">
        <w:t>Strai</w:t>
      </w:r>
      <w:r w:rsidR="00823F92" w:rsidRPr="00C10B2C">
        <w:t>t</w:t>
      </w:r>
      <w:r w:rsidR="00823F92">
        <w:t xml:space="preserve"> </w:t>
      </w:r>
      <w:r w:rsidR="00C10B2C" w:rsidRPr="00C10B2C">
        <w:t>Islande</w:t>
      </w:r>
      <w:r w:rsidR="00823F92" w:rsidRPr="00C10B2C">
        <w:t>r</w:t>
      </w:r>
      <w:r w:rsidR="00823F92">
        <w:t xml:space="preserve"> </w:t>
      </w:r>
      <w:r w:rsidR="00C10B2C" w:rsidRPr="00C10B2C">
        <w:t>menta</w:t>
      </w:r>
      <w:r w:rsidR="00823F92" w:rsidRPr="00C10B2C">
        <w:t>l</w:t>
      </w:r>
      <w:r w:rsidR="00823F92">
        <w:t xml:space="preserve"> </w:t>
      </w:r>
      <w:r w:rsidR="00C10B2C" w:rsidRPr="00C10B2C">
        <w:t>healt</w:t>
      </w:r>
      <w:r w:rsidR="00823F92" w:rsidRPr="00C10B2C">
        <w:t>h</w:t>
      </w:r>
      <w:r w:rsidR="00823F92">
        <w:t xml:space="preserve"> </w:t>
      </w:r>
      <w:r w:rsidR="00C10B2C" w:rsidRPr="00C10B2C">
        <w:t>workers)</w:t>
      </w:r>
      <w:r w:rsidR="00823F92" w:rsidRPr="00C10B2C">
        <w:t>.</w:t>
      </w:r>
      <w:r w:rsidR="00823F92">
        <w:t xml:space="preserve"> </w:t>
      </w:r>
      <w:r w:rsidR="00C10B2C" w:rsidRPr="00C10B2C">
        <w:t>Workforc</w:t>
      </w:r>
      <w:r w:rsidR="00823F92" w:rsidRPr="00C10B2C">
        <w:t>e</w:t>
      </w:r>
      <w:r w:rsidR="00823F92">
        <w:t xml:space="preserve"> </w:t>
      </w:r>
      <w:r w:rsidR="00C10B2C" w:rsidRPr="00C10B2C">
        <w:t>shortage</w:t>
      </w:r>
      <w:r w:rsidR="00823F92" w:rsidRPr="00C10B2C">
        <w:t>s</w:t>
      </w:r>
      <w:r w:rsidR="00823F92">
        <w:t xml:space="preserve"> </w:t>
      </w:r>
      <w:r w:rsidR="00C10B2C" w:rsidRPr="00C10B2C">
        <w:t>i</w:t>
      </w:r>
      <w:r w:rsidR="00823F92" w:rsidRPr="00C10B2C">
        <w:t>n</w:t>
      </w:r>
      <w:r w:rsidR="00823F92">
        <w:t xml:space="preserve"> </w:t>
      </w:r>
      <w:r w:rsidR="00C10B2C" w:rsidRPr="00C10B2C">
        <w:t>rura</w:t>
      </w:r>
      <w:r w:rsidR="00823F92" w:rsidRPr="00C10B2C">
        <w:t>l</w:t>
      </w:r>
      <w:r w:rsidR="00823F92">
        <w:t xml:space="preserve"> </w:t>
      </w:r>
      <w:r w:rsidR="00C10B2C" w:rsidRPr="00C10B2C">
        <w:t>area</w:t>
      </w:r>
      <w:r w:rsidR="00823F92" w:rsidRPr="00C10B2C">
        <w:t>s</w:t>
      </w:r>
      <w:r w:rsidR="00823F92">
        <w:t xml:space="preserve"> </w:t>
      </w:r>
      <w:r w:rsidR="00C10B2C" w:rsidRPr="00C10B2C">
        <w:t>ma</w:t>
      </w:r>
      <w:r w:rsidR="00823F92" w:rsidRPr="00C10B2C">
        <w:t>y</w:t>
      </w:r>
      <w:r w:rsidR="00823F92">
        <w:t xml:space="preserve"> </w:t>
      </w:r>
      <w:r w:rsidR="00C10B2C" w:rsidRPr="00C10B2C">
        <w:t>sometime</w:t>
      </w:r>
      <w:r w:rsidR="00823F92" w:rsidRPr="00C10B2C">
        <w:t>s</w:t>
      </w:r>
      <w:r w:rsidR="00823F92">
        <w:t xml:space="preserve"> </w:t>
      </w:r>
      <w:r w:rsidR="00C10B2C" w:rsidRPr="00C10B2C">
        <w:t>resul</w:t>
      </w:r>
      <w:r w:rsidR="00823F92" w:rsidRPr="00C10B2C">
        <w:t>t</w:t>
      </w:r>
      <w:r w:rsidR="00823F92">
        <w:t xml:space="preserve"> </w:t>
      </w:r>
      <w:r w:rsidR="00C10B2C" w:rsidRPr="00C10B2C">
        <w:t>fro</w:t>
      </w:r>
      <w:r w:rsidR="00823F92" w:rsidRPr="00C10B2C">
        <w:t>m</w:t>
      </w:r>
      <w:r w:rsidR="00823F92">
        <w:t xml:space="preserve"> </w:t>
      </w:r>
      <w:r w:rsidR="00C10B2C" w:rsidRPr="00C10B2C">
        <w:lastRenderedPageBreak/>
        <w:t>clusterin</w:t>
      </w:r>
      <w:r w:rsidR="00823F92" w:rsidRPr="00C10B2C">
        <w:t>g</w:t>
      </w:r>
      <w:r w:rsidR="00823F92">
        <w:t xml:space="preserve"> </w:t>
      </w:r>
      <w:r w:rsidR="00C10B2C" w:rsidRPr="00C10B2C">
        <w:t>o</w:t>
      </w:r>
      <w:r w:rsidR="00823F92" w:rsidRPr="00C10B2C">
        <w:t>f</w:t>
      </w:r>
      <w:r w:rsidR="00823F92">
        <w:t xml:space="preserve"> </w:t>
      </w:r>
      <w:r w:rsidR="00C10B2C" w:rsidRPr="00C10B2C">
        <w:t>availabl</w:t>
      </w:r>
      <w:r w:rsidR="00823F92" w:rsidRPr="00C10B2C">
        <w:t>e</w:t>
      </w:r>
      <w:r w:rsidR="00823F92">
        <w:t xml:space="preserve"> </w:t>
      </w:r>
      <w:r w:rsidR="00C10B2C" w:rsidRPr="00C10B2C">
        <w:t>workforc</w:t>
      </w:r>
      <w:r w:rsidR="00823F92" w:rsidRPr="00C10B2C">
        <w:t>e</w:t>
      </w:r>
      <w:r w:rsidR="00823F92">
        <w:t xml:space="preserve"> </w:t>
      </w:r>
      <w:r w:rsidR="00C10B2C" w:rsidRPr="00C10B2C">
        <w:t>i</w:t>
      </w:r>
      <w:r w:rsidR="00823F92" w:rsidRPr="00C10B2C">
        <w:t>n</w:t>
      </w:r>
      <w:r w:rsidR="00823F92">
        <w:t xml:space="preserve"> </w:t>
      </w:r>
      <w:r w:rsidR="00C10B2C" w:rsidRPr="00C10B2C">
        <w:t>large</w:t>
      </w:r>
      <w:r w:rsidR="00823F92" w:rsidRPr="00C10B2C">
        <w:t>r</w:t>
      </w:r>
      <w:r w:rsidR="00823F92">
        <w:t xml:space="preserve"> </w:t>
      </w:r>
      <w:r w:rsidR="00C10B2C" w:rsidRPr="00C10B2C">
        <w:t>regiona</w:t>
      </w:r>
      <w:r w:rsidR="00823F92" w:rsidRPr="00C10B2C">
        <w:t>l</w:t>
      </w:r>
      <w:r w:rsidR="00823F92">
        <w:t xml:space="preserve"> </w:t>
      </w:r>
      <w:r w:rsidR="00C10B2C" w:rsidRPr="00C10B2C">
        <w:t>town</w:t>
      </w:r>
      <w:r w:rsidR="00823F92" w:rsidRPr="00C10B2C">
        <w:t>s</w:t>
      </w:r>
      <w:r w:rsidR="00823F92">
        <w:t xml:space="preserve"> </w:t>
      </w:r>
      <w:r w:rsidR="00C10B2C" w:rsidRPr="00C10B2C">
        <w:t>an</w:t>
      </w:r>
      <w:r w:rsidR="00823F92" w:rsidRPr="00C10B2C">
        <w:t>d</w:t>
      </w:r>
      <w:r w:rsidR="00823F92">
        <w:t xml:space="preserve"> </w:t>
      </w:r>
      <w:r w:rsidR="00C10B2C" w:rsidRPr="00C10B2C">
        <w:t>cities</w:t>
      </w:r>
      <w:r w:rsidR="00823F92" w:rsidRPr="00C10B2C">
        <w:t>,</w:t>
      </w:r>
      <w:r w:rsidR="00823F92">
        <w:t xml:space="preserve"> </w:t>
      </w:r>
      <w:r w:rsidR="00C10B2C" w:rsidRPr="00C10B2C">
        <w:t>requirin</w:t>
      </w:r>
      <w:r w:rsidR="00823F92" w:rsidRPr="00C10B2C">
        <w:t>g</w:t>
      </w:r>
      <w:r w:rsidR="00823F92">
        <w:t xml:space="preserve"> </w:t>
      </w:r>
      <w:r w:rsidR="00C10B2C" w:rsidRPr="00C10B2C">
        <w:t>consumer</w:t>
      </w:r>
      <w:r w:rsidR="00823F92" w:rsidRPr="00C10B2C">
        <w:t>s</w:t>
      </w:r>
      <w:r w:rsidR="00823F92">
        <w:t xml:space="preserve"> </w:t>
      </w:r>
      <w:r w:rsidR="00C10B2C" w:rsidRPr="00C10B2C">
        <w:t>t</w:t>
      </w:r>
      <w:r w:rsidR="00823F92" w:rsidRPr="00C10B2C">
        <w:t>o</w:t>
      </w:r>
      <w:r w:rsidR="00823F92">
        <w:t xml:space="preserve"> </w:t>
      </w:r>
      <w:r w:rsidR="00C10B2C" w:rsidRPr="00C10B2C">
        <w:t>trave</w:t>
      </w:r>
      <w:r w:rsidR="00823F92" w:rsidRPr="00C10B2C">
        <w:t>l</w:t>
      </w:r>
      <w:r w:rsidR="00823F92">
        <w:t xml:space="preserve"> </w:t>
      </w:r>
      <w:r w:rsidR="00C10B2C" w:rsidRPr="00C10B2C">
        <w:t>t</w:t>
      </w:r>
      <w:r w:rsidR="00823F92" w:rsidRPr="00C10B2C">
        <w:t>o</w:t>
      </w:r>
      <w:r w:rsidR="00823F92">
        <w:t xml:space="preserve"> </w:t>
      </w:r>
      <w:r w:rsidR="00C10B2C" w:rsidRPr="00C10B2C">
        <w:t>acces</w:t>
      </w:r>
      <w:r w:rsidR="00823F92" w:rsidRPr="00C10B2C">
        <w:t>s</w:t>
      </w:r>
      <w:r w:rsidR="00823F92">
        <w:t xml:space="preserve"> </w:t>
      </w:r>
      <w:r w:rsidR="00C10B2C" w:rsidRPr="00C10B2C">
        <w:t>services.</w:t>
      </w:r>
    </w:p>
    <w:p w14:paraId="32193B13" w14:textId="055DA389" w:rsidR="001157A6" w:rsidRDefault="001157A6" w:rsidP="00364B3D">
      <w:pPr>
        <w:pStyle w:val="BodyText"/>
      </w:pPr>
      <w:r w:rsidRPr="001157A6">
        <w:t>Th</w:t>
      </w:r>
      <w:r w:rsidR="00823F92" w:rsidRPr="001157A6">
        <w:t>e</w:t>
      </w:r>
      <w:r w:rsidR="00823F92">
        <w:t xml:space="preserve"> </w:t>
      </w:r>
      <w:r w:rsidRPr="001157A6">
        <w:t>menta</w:t>
      </w:r>
      <w:r w:rsidR="00823F92" w:rsidRPr="001157A6">
        <w:t>l</w:t>
      </w:r>
      <w:r w:rsidR="00823F92">
        <w:t xml:space="preserve"> </w:t>
      </w:r>
      <w:r w:rsidRPr="001157A6">
        <w:t>healt</w:t>
      </w:r>
      <w:r w:rsidR="00823F92" w:rsidRPr="001157A6">
        <w:t>h</w:t>
      </w:r>
      <w:r w:rsidR="00823F92">
        <w:t xml:space="preserve"> </w:t>
      </w:r>
      <w:r w:rsidRPr="001157A6">
        <w:t>workforc</w:t>
      </w:r>
      <w:r w:rsidR="00823F92" w:rsidRPr="001157A6">
        <w:t>e</w:t>
      </w:r>
      <w:r w:rsidR="00823F92">
        <w:t xml:space="preserve"> </w:t>
      </w:r>
      <w:r>
        <w:t>operate</w:t>
      </w:r>
      <w:r w:rsidR="00823F92">
        <w:t xml:space="preserve">s </w:t>
      </w:r>
      <w:r>
        <w:t>i</w:t>
      </w:r>
      <w:r w:rsidR="00823F92">
        <w:t xml:space="preserve">n </w:t>
      </w:r>
      <w:r w:rsidRPr="001157A6">
        <w:t>divers</w:t>
      </w:r>
      <w:r w:rsidR="00823F92" w:rsidRPr="001157A6">
        <w:t>e</w:t>
      </w:r>
      <w:r w:rsidR="00823F92">
        <w:t xml:space="preserve"> </w:t>
      </w:r>
      <w:r w:rsidRPr="001157A6">
        <w:t>settings</w:t>
      </w:r>
      <w:r w:rsidR="00823F92">
        <w:t xml:space="preserve">, </w:t>
      </w:r>
      <w:r>
        <w:t>includin</w:t>
      </w:r>
      <w:r w:rsidR="00823F92">
        <w:t xml:space="preserve">g </w:t>
      </w:r>
      <w:r w:rsidRPr="001157A6">
        <w:t>publi</w:t>
      </w:r>
      <w:r w:rsidR="00823F92" w:rsidRPr="001157A6">
        <w:t>c</w:t>
      </w:r>
      <w:r w:rsidR="00823F92">
        <w:t xml:space="preserve"> </w:t>
      </w:r>
      <w:r w:rsidRPr="001157A6">
        <w:t>an</w:t>
      </w:r>
      <w:r w:rsidR="00823F92" w:rsidRPr="001157A6">
        <w:t>d</w:t>
      </w:r>
      <w:r w:rsidR="00823F92">
        <w:t xml:space="preserve"> </w:t>
      </w:r>
      <w:r w:rsidRPr="001157A6">
        <w:t>privat</w:t>
      </w:r>
      <w:r w:rsidR="00823F92" w:rsidRPr="001157A6">
        <w:t>e</w:t>
      </w:r>
      <w:r w:rsidR="00823F92">
        <w:t xml:space="preserve"> </w:t>
      </w:r>
      <w:r w:rsidRPr="001157A6">
        <w:t>practic</w:t>
      </w:r>
      <w:r w:rsidR="00823F92" w:rsidRPr="001157A6">
        <w:t>e</w:t>
      </w:r>
      <w:r w:rsidR="00823F92">
        <w:t xml:space="preserve"> </w:t>
      </w:r>
      <w:r w:rsidRPr="001157A6">
        <w:t>an</w:t>
      </w:r>
      <w:r w:rsidR="00823F92" w:rsidRPr="001157A6">
        <w:t>d</w:t>
      </w:r>
      <w:r w:rsidR="00823F92">
        <w:t xml:space="preserve"> </w:t>
      </w:r>
      <w:r w:rsidRPr="001157A6">
        <w:t>withi</w:t>
      </w:r>
      <w:r w:rsidR="00823F92" w:rsidRPr="001157A6">
        <w:t>n</w:t>
      </w:r>
      <w:r w:rsidR="00823F92">
        <w:t xml:space="preserve"> </w:t>
      </w:r>
      <w:r w:rsidRPr="001157A6">
        <w:t>th</w:t>
      </w:r>
      <w:r w:rsidR="00823F92" w:rsidRPr="001157A6">
        <w:t>e</w:t>
      </w:r>
      <w:r w:rsidR="00823F92">
        <w:t xml:space="preserve"> </w:t>
      </w:r>
      <w:r w:rsidRPr="001157A6">
        <w:t>communit</w:t>
      </w:r>
      <w:r w:rsidR="00823F92" w:rsidRPr="001157A6">
        <w:t>y</w:t>
      </w:r>
      <w:r w:rsidR="00823F92">
        <w:t xml:space="preserve"> </w:t>
      </w:r>
      <w:r w:rsidRPr="001157A6">
        <w:t>setting</w:t>
      </w:r>
      <w:r w:rsidR="00823F92" w:rsidRPr="001157A6">
        <w:t>.</w:t>
      </w:r>
      <w:r w:rsidR="00823F92">
        <w:t xml:space="preserve"> </w:t>
      </w:r>
      <w:r>
        <w:t>Som</w:t>
      </w:r>
      <w:r w:rsidR="00823F92">
        <w:t xml:space="preserve">e </w:t>
      </w:r>
      <w:r>
        <w:t>worker</w:t>
      </w:r>
      <w:r w:rsidR="00823F92">
        <w:t xml:space="preserve">s </w:t>
      </w:r>
      <w:r w:rsidRPr="001157A6">
        <w:t>ar</w:t>
      </w:r>
      <w:r w:rsidR="00823F92" w:rsidRPr="001157A6">
        <w:t>e</w:t>
      </w:r>
      <w:r w:rsidR="00823F92">
        <w:t xml:space="preserve"> </w:t>
      </w:r>
      <w:r w:rsidRPr="001157A6">
        <w:t>self-employed</w:t>
      </w:r>
      <w:r w:rsidR="00823F92" w:rsidRPr="001157A6">
        <w:t>,</w:t>
      </w:r>
      <w:r w:rsidR="00823F92">
        <w:t xml:space="preserve"> </w:t>
      </w:r>
      <w:r>
        <w:t>an</w:t>
      </w:r>
      <w:r w:rsidR="00823F92">
        <w:t xml:space="preserve">d </w:t>
      </w:r>
      <w:r>
        <w:t>ma</w:t>
      </w:r>
      <w:r w:rsidR="00823F92">
        <w:t xml:space="preserve">y </w:t>
      </w:r>
      <w:r>
        <w:t>b</w:t>
      </w:r>
      <w:r w:rsidR="00823F92">
        <w:t xml:space="preserve">e </w:t>
      </w:r>
      <w:r w:rsidRPr="001157A6">
        <w:t>i</w:t>
      </w:r>
      <w:r w:rsidR="00823F92" w:rsidRPr="001157A6">
        <w:t>n</w:t>
      </w:r>
      <w:r w:rsidR="00823F92">
        <w:t xml:space="preserve"> </w:t>
      </w:r>
      <w:r w:rsidRPr="001157A6">
        <w:t>sol</w:t>
      </w:r>
      <w:r w:rsidR="00823F92" w:rsidRPr="001157A6">
        <w:t>o</w:t>
      </w:r>
      <w:r w:rsidR="00823F92">
        <w:t xml:space="preserve"> </w:t>
      </w:r>
      <w:r w:rsidRPr="001157A6">
        <w:t>practice</w:t>
      </w:r>
      <w:r w:rsidR="00823F92">
        <w:t xml:space="preserve">, </w:t>
      </w:r>
      <w:r>
        <w:t>wher</w:t>
      </w:r>
      <w:r w:rsidR="00823F92">
        <w:t xml:space="preserve">e </w:t>
      </w:r>
      <w:r>
        <w:t>other</w:t>
      </w:r>
      <w:r w:rsidR="00823F92">
        <w:t xml:space="preserve">s </w:t>
      </w:r>
      <w:r>
        <w:t>wor</w:t>
      </w:r>
      <w:r w:rsidR="00823F92">
        <w:t xml:space="preserve">k </w:t>
      </w:r>
      <w:r>
        <w:t>fo</w:t>
      </w:r>
      <w:r w:rsidR="00823F92">
        <w:t xml:space="preserve">r </w:t>
      </w:r>
      <w:r>
        <w:t>servic</w:t>
      </w:r>
      <w:r w:rsidR="00823F92">
        <w:t xml:space="preserve">e </w:t>
      </w:r>
      <w:r>
        <w:t>provider</w:t>
      </w:r>
      <w:r w:rsidR="00823F92">
        <w:t xml:space="preserve">s </w:t>
      </w:r>
      <w:r>
        <w:t>o</w:t>
      </w:r>
      <w:r w:rsidR="00823F92">
        <w:t xml:space="preserve">f </w:t>
      </w:r>
      <w:r>
        <w:t>varyin</w:t>
      </w:r>
      <w:r w:rsidR="00823F92">
        <w:t xml:space="preserve">g </w:t>
      </w:r>
      <w:r>
        <w:t>sizes</w:t>
      </w:r>
      <w:r w:rsidRPr="001157A6">
        <w:t>.</w:t>
      </w:r>
    </w:p>
    <w:p w14:paraId="23AA4914" w14:textId="31137864" w:rsidR="00453F15" w:rsidRPr="000E25B1" w:rsidRDefault="00453F15" w:rsidP="003E4810">
      <w:pPr>
        <w:pStyle w:val="Heading3"/>
      </w:pPr>
      <w:r w:rsidRPr="000E25B1">
        <w:t>Aborigina</w:t>
      </w:r>
      <w:r w:rsidR="00823F92" w:rsidRPr="000E25B1">
        <w:t>l</w:t>
      </w:r>
      <w:r w:rsidR="00823F92">
        <w:t xml:space="preserve"> </w:t>
      </w:r>
      <w:r w:rsidRPr="000E25B1">
        <w:t>an</w:t>
      </w:r>
      <w:r w:rsidR="00823F92" w:rsidRPr="000E25B1">
        <w:t>d</w:t>
      </w:r>
      <w:r w:rsidR="00823F92">
        <w:t xml:space="preserve"> </w:t>
      </w:r>
      <w:r w:rsidRPr="000E25B1">
        <w:t>Torre</w:t>
      </w:r>
      <w:r w:rsidR="00823F92" w:rsidRPr="000E25B1">
        <w:t>s</w:t>
      </w:r>
      <w:r w:rsidR="00823F92">
        <w:t xml:space="preserve"> </w:t>
      </w:r>
      <w:r w:rsidRPr="000E25B1">
        <w:t>Strai</w:t>
      </w:r>
      <w:r w:rsidR="00823F92" w:rsidRPr="000E25B1">
        <w:t>t</w:t>
      </w:r>
      <w:r w:rsidR="00823F92">
        <w:t xml:space="preserve"> </w:t>
      </w:r>
      <w:r w:rsidRPr="000E25B1">
        <w:t>Islande</w:t>
      </w:r>
      <w:r w:rsidR="00823F92" w:rsidRPr="000E25B1">
        <w:t>r</w:t>
      </w:r>
      <w:r w:rsidR="00823F92">
        <w:t xml:space="preserve"> </w:t>
      </w:r>
      <w:r w:rsidR="00F12ED4">
        <w:t>h</w:t>
      </w:r>
      <w:r w:rsidRPr="000E25B1">
        <w:t>ealt</w:t>
      </w:r>
      <w:r w:rsidR="00823F92" w:rsidRPr="000E25B1">
        <w:t>h</w:t>
      </w:r>
      <w:r w:rsidR="00823F92">
        <w:t xml:space="preserve"> </w:t>
      </w:r>
      <w:r w:rsidR="00F12ED4">
        <w:t>p</w:t>
      </w:r>
      <w:r w:rsidRPr="000E25B1">
        <w:t>ractitioners</w:t>
      </w:r>
      <w:r w:rsidR="00823F92">
        <w:t xml:space="preserve">, </w:t>
      </w:r>
      <w:r w:rsidR="00F12ED4">
        <w:t>w</w:t>
      </w:r>
      <w:r w:rsidRPr="000E25B1">
        <w:t>orker</w:t>
      </w:r>
      <w:r w:rsidR="00823F92" w:rsidRPr="000E25B1">
        <w:t>s</w:t>
      </w:r>
      <w:r w:rsidR="00823F92">
        <w:t xml:space="preserve"> </w:t>
      </w:r>
      <w:r w:rsidR="00E22C92">
        <w:t>an</w:t>
      </w:r>
      <w:r w:rsidR="00823F92">
        <w:t xml:space="preserve">d </w:t>
      </w:r>
      <w:r w:rsidR="00F12ED4">
        <w:t>m</w:t>
      </w:r>
      <w:r w:rsidR="00E22C92">
        <w:t>enta</w:t>
      </w:r>
      <w:r w:rsidR="00823F92">
        <w:t xml:space="preserve">l </w:t>
      </w:r>
      <w:r w:rsidR="00F12ED4">
        <w:t>h</w:t>
      </w:r>
      <w:r w:rsidR="00E22C92">
        <w:t>ealt</w:t>
      </w:r>
      <w:r w:rsidR="00823F92">
        <w:t xml:space="preserve">h </w:t>
      </w:r>
      <w:r w:rsidR="00F12ED4">
        <w:t>w</w:t>
      </w:r>
      <w:r w:rsidR="00E22C92">
        <w:t>orkers</w:t>
      </w:r>
    </w:p>
    <w:p w14:paraId="25714AC1" w14:textId="7895E351" w:rsidR="0071418F" w:rsidRDefault="0071418F" w:rsidP="003E4810">
      <w:pPr>
        <w:pStyle w:val="BodyText"/>
        <w:rPr>
          <w:lang w:val="en-US"/>
        </w:rPr>
      </w:pPr>
      <w:r w:rsidRPr="00564F22">
        <w:rPr>
          <w:lang w:val="en-US"/>
        </w:rPr>
        <w:t>Role:</w:t>
      </w:r>
      <w:r>
        <w:rPr>
          <w:b/>
          <w:bCs/>
          <w:lang w:val="en-US"/>
        </w:rPr>
        <w:t xml:space="preserve"> </w:t>
      </w:r>
      <w:r w:rsidR="00453F15" w:rsidRPr="006C4490">
        <w:rPr>
          <w:lang w:val="en-US"/>
        </w:rPr>
        <w:t>Aborigina</w:t>
      </w:r>
      <w:r w:rsidR="00823F92" w:rsidRPr="006C4490">
        <w:rPr>
          <w:lang w:val="en-US"/>
        </w:rPr>
        <w:t>l</w:t>
      </w:r>
      <w:r w:rsidR="00823F92">
        <w:rPr>
          <w:lang w:val="en-US"/>
        </w:rPr>
        <w:t xml:space="preserve"> </w:t>
      </w:r>
      <w:r w:rsidR="00453F15" w:rsidRPr="006C4490">
        <w:rPr>
          <w:lang w:val="en-US"/>
        </w:rPr>
        <w:t>an</w:t>
      </w:r>
      <w:r w:rsidR="00823F92" w:rsidRPr="006C4490">
        <w:rPr>
          <w:lang w:val="en-US"/>
        </w:rPr>
        <w:t>d</w:t>
      </w:r>
      <w:r w:rsidR="00823F92">
        <w:rPr>
          <w:lang w:val="en-US"/>
        </w:rPr>
        <w:t xml:space="preserve"> </w:t>
      </w:r>
      <w:r w:rsidR="00453F15" w:rsidRPr="006C4490">
        <w:rPr>
          <w:lang w:val="en-US"/>
        </w:rPr>
        <w:t>Torre</w:t>
      </w:r>
      <w:r w:rsidR="00823F92" w:rsidRPr="006C4490">
        <w:rPr>
          <w:lang w:val="en-US"/>
        </w:rPr>
        <w:t>s</w:t>
      </w:r>
      <w:r w:rsidR="00823F92">
        <w:rPr>
          <w:lang w:val="en-US"/>
        </w:rPr>
        <w:t xml:space="preserve"> </w:t>
      </w:r>
      <w:r w:rsidR="00453F15" w:rsidRPr="006C4490">
        <w:rPr>
          <w:lang w:val="en-US"/>
        </w:rPr>
        <w:t>Strai</w:t>
      </w:r>
      <w:r w:rsidR="00823F92" w:rsidRPr="006C4490">
        <w:rPr>
          <w:lang w:val="en-US"/>
        </w:rPr>
        <w:t>t</w:t>
      </w:r>
      <w:r w:rsidR="00823F92">
        <w:rPr>
          <w:lang w:val="en-US"/>
        </w:rPr>
        <w:t xml:space="preserve"> </w:t>
      </w:r>
      <w:r w:rsidR="00453F15" w:rsidRPr="006C4490">
        <w:rPr>
          <w:lang w:val="en-US"/>
        </w:rPr>
        <w:t>Islande</w:t>
      </w:r>
      <w:r w:rsidR="00823F92" w:rsidRPr="006C4490">
        <w:rPr>
          <w:lang w:val="en-US"/>
        </w:rPr>
        <w:t>r</w:t>
      </w:r>
      <w:r w:rsidR="00823F92">
        <w:rPr>
          <w:lang w:val="en-US"/>
        </w:rPr>
        <w:t xml:space="preserve"> </w:t>
      </w:r>
      <w:r w:rsidR="00453F15">
        <w:rPr>
          <w:lang w:val="en-US"/>
        </w:rPr>
        <w:t>h</w:t>
      </w:r>
      <w:r w:rsidR="00453F15" w:rsidRPr="006C4490">
        <w:rPr>
          <w:lang w:val="en-US"/>
        </w:rPr>
        <w:t>ealt</w:t>
      </w:r>
      <w:r w:rsidR="00823F92" w:rsidRPr="006C4490">
        <w:rPr>
          <w:lang w:val="en-US"/>
        </w:rPr>
        <w:t>h</w:t>
      </w:r>
      <w:r w:rsidR="00823F92">
        <w:rPr>
          <w:lang w:val="en-US"/>
        </w:rPr>
        <w:t xml:space="preserve"> </w:t>
      </w:r>
      <w:r w:rsidR="00453F15">
        <w:rPr>
          <w:lang w:val="en-US"/>
        </w:rPr>
        <w:t>w</w:t>
      </w:r>
      <w:r w:rsidR="00453F15" w:rsidRPr="006C4490">
        <w:rPr>
          <w:lang w:val="en-US"/>
        </w:rPr>
        <w:t>orker</w:t>
      </w:r>
      <w:r w:rsidR="00823F92" w:rsidRPr="006C4490">
        <w:rPr>
          <w:lang w:val="en-US"/>
        </w:rPr>
        <w:t>s</w:t>
      </w:r>
      <w:r w:rsidR="00823F92">
        <w:rPr>
          <w:lang w:val="en-US"/>
        </w:rPr>
        <w:t xml:space="preserve"> </w:t>
      </w:r>
      <w:r w:rsidR="00453F15" w:rsidRPr="006C4490">
        <w:rPr>
          <w:lang w:val="en-US"/>
        </w:rPr>
        <w:t>an</w:t>
      </w:r>
      <w:r w:rsidR="00823F92" w:rsidRPr="006C4490">
        <w:rPr>
          <w:lang w:val="en-US"/>
        </w:rPr>
        <w:t>d</w:t>
      </w:r>
      <w:r w:rsidR="00823F92">
        <w:rPr>
          <w:lang w:val="en-US"/>
        </w:rPr>
        <w:t xml:space="preserve"> </w:t>
      </w:r>
      <w:r w:rsidR="00453F15">
        <w:rPr>
          <w:lang w:val="en-US"/>
        </w:rPr>
        <w:t>h</w:t>
      </w:r>
      <w:r w:rsidR="00453F15" w:rsidRPr="006C4490">
        <w:rPr>
          <w:lang w:val="en-US"/>
        </w:rPr>
        <w:t>ealt</w:t>
      </w:r>
      <w:r w:rsidR="00823F92" w:rsidRPr="006C4490">
        <w:rPr>
          <w:lang w:val="en-US"/>
        </w:rPr>
        <w:t>h</w:t>
      </w:r>
      <w:r w:rsidR="00823F92">
        <w:rPr>
          <w:lang w:val="en-US"/>
        </w:rPr>
        <w:t xml:space="preserve"> </w:t>
      </w:r>
      <w:r w:rsidR="00453F15">
        <w:rPr>
          <w:lang w:val="en-US"/>
        </w:rPr>
        <w:t>p</w:t>
      </w:r>
      <w:r w:rsidR="00453F15" w:rsidRPr="006C4490">
        <w:rPr>
          <w:lang w:val="en-US"/>
        </w:rPr>
        <w:t>ractitioner</w:t>
      </w:r>
      <w:r w:rsidR="00823F92" w:rsidRPr="006C4490">
        <w:rPr>
          <w:lang w:val="en-US"/>
        </w:rPr>
        <w:t>s</w:t>
      </w:r>
      <w:r w:rsidR="00823F92">
        <w:rPr>
          <w:lang w:val="en-US"/>
        </w:rPr>
        <w:t xml:space="preserve"> </w:t>
      </w:r>
      <w:r w:rsidR="00453F15" w:rsidRPr="006C4490">
        <w:rPr>
          <w:lang w:val="en-US"/>
        </w:rPr>
        <w:t>ar</w:t>
      </w:r>
      <w:r w:rsidR="00823F92" w:rsidRPr="006C4490">
        <w:rPr>
          <w:lang w:val="en-US"/>
        </w:rPr>
        <w:t>e</w:t>
      </w:r>
      <w:r w:rsidR="00823F92">
        <w:rPr>
          <w:lang w:val="en-US"/>
        </w:rPr>
        <w:t xml:space="preserve"> </w:t>
      </w:r>
      <w:r w:rsidR="00453F15" w:rsidRPr="006C4490">
        <w:rPr>
          <w:lang w:val="en-US"/>
        </w:rPr>
        <w:t>tw</w:t>
      </w:r>
      <w:r w:rsidR="00823F92" w:rsidRPr="006C4490">
        <w:rPr>
          <w:lang w:val="en-US"/>
        </w:rPr>
        <w:t>o</w:t>
      </w:r>
      <w:r w:rsidR="00823F92">
        <w:rPr>
          <w:lang w:val="en-US"/>
        </w:rPr>
        <w:t xml:space="preserve"> </w:t>
      </w:r>
      <w:r w:rsidR="00453F15" w:rsidRPr="006C4490">
        <w:rPr>
          <w:lang w:val="en-US"/>
        </w:rPr>
        <w:t>role</w:t>
      </w:r>
      <w:r w:rsidR="00823F92" w:rsidRPr="006C4490">
        <w:rPr>
          <w:lang w:val="en-US"/>
        </w:rPr>
        <w:t>s</w:t>
      </w:r>
      <w:r w:rsidR="00823F92">
        <w:rPr>
          <w:lang w:val="en-US"/>
        </w:rPr>
        <w:t xml:space="preserve"> </w:t>
      </w:r>
      <w:r w:rsidR="00453F15" w:rsidRPr="006C4490">
        <w:rPr>
          <w:lang w:val="en-US"/>
        </w:rPr>
        <w:t>wit</w:t>
      </w:r>
      <w:r w:rsidR="00823F92" w:rsidRPr="006C4490">
        <w:rPr>
          <w:lang w:val="en-US"/>
        </w:rPr>
        <w:t>h</w:t>
      </w:r>
      <w:r w:rsidR="00823F92">
        <w:rPr>
          <w:lang w:val="en-US"/>
        </w:rPr>
        <w:t xml:space="preserve"> </w:t>
      </w:r>
      <w:r w:rsidR="00453F15" w:rsidRPr="006C4490">
        <w:rPr>
          <w:lang w:val="en-US"/>
        </w:rPr>
        <w:t>distinc</w:t>
      </w:r>
      <w:r w:rsidR="00823F92" w:rsidRPr="006C4490">
        <w:rPr>
          <w:lang w:val="en-US"/>
        </w:rPr>
        <w:t>t</w:t>
      </w:r>
      <w:r w:rsidR="00823F92">
        <w:rPr>
          <w:lang w:val="en-US"/>
        </w:rPr>
        <w:t xml:space="preserve"> </w:t>
      </w:r>
      <w:r w:rsidR="00453F15" w:rsidRPr="006C4490">
        <w:rPr>
          <w:lang w:val="en-US"/>
        </w:rPr>
        <w:t>trainin</w:t>
      </w:r>
      <w:r w:rsidR="00823F92" w:rsidRPr="006C4490">
        <w:rPr>
          <w:lang w:val="en-US"/>
        </w:rPr>
        <w:t>g</w:t>
      </w:r>
      <w:r w:rsidR="00823F92">
        <w:rPr>
          <w:lang w:val="en-US"/>
        </w:rPr>
        <w:t xml:space="preserve"> </w:t>
      </w:r>
      <w:r w:rsidR="00453F15" w:rsidRPr="006C4490">
        <w:rPr>
          <w:lang w:val="en-US"/>
        </w:rPr>
        <w:t>an</w:t>
      </w:r>
      <w:r w:rsidR="00823F92" w:rsidRPr="006C4490">
        <w:rPr>
          <w:lang w:val="en-US"/>
        </w:rPr>
        <w:t>d</w:t>
      </w:r>
      <w:r w:rsidR="00823F92">
        <w:rPr>
          <w:lang w:val="en-US"/>
        </w:rPr>
        <w:t xml:space="preserve"> </w:t>
      </w:r>
      <w:r w:rsidR="00453F15" w:rsidRPr="006C4490">
        <w:rPr>
          <w:lang w:val="en-US"/>
        </w:rPr>
        <w:t>registratio</w:t>
      </w:r>
      <w:r w:rsidR="00823F92" w:rsidRPr="006C4490">
        <w:rPr>
          <w:lang w:val="en-US"/>
        </w:rPr>
        <w:t>n</w:t>
      </w:r>
      <w:r w:rsidR="00823F92">
        <w:rPr>
          <w:lang w:val="en-US"/>
        </w:rPr>
        <w:t xml:space="preserve"> </w:t>
      </w:r>
      <w:r w:rsidR="00453F15" w:rsidRPr="006C4490">
        <w:rPr>
          <w:lang w:val="en-US"/>
        </w:rPr>
        <w:t>requirements</w:t>
      </w:r>
      <w:r w:rsidR="00823F92" w:rsidRPr="006C4490">
        <w:rPr>
          <w:lang w:val="en-US"/>
        </w:rPr>
        <w:t>.</w:t>
      </w:r>
      <w:r w:rsidR="00823F92">
        <w:rPr>
          <w:lang w:val="en-US"/>
        </w:rPr>
        <w:t xml:space="preserve"> </w:t>
      </w:r>
      <w:r w:rsidR="00453F15" w:rsidRPr="006C4490">
        <w:rPr>
          <w:lang w:val="en-US"/>
        </w:rPr>
        <w:t>Bot</w:t>
      </w:r>
      <w:r w:rsidR="00823F92" w:rsidRPr="006C4490">
        <w:rPr>
          <w:lang w:val="en-US"/>
        </w:rPr>
        <w:t>h</w:t>
      </w:r>
      <w:r w:rsidR="00823F92">
        <w:rPr>
          <w:lang w:val="en-US"/>
        </w:rPr>
        <w:t xml:space="preserve"> </w:t>
      </w:r>
      <w:r w:rsidR="00453F15" w:rsidRPr="006C4490">
        <w:rPr>
          <w:lang w:val="en-US"/>
        </w:rPr>
        <w:t>provid</w:t>
      </w:r>
      <w:r w:rsidR="00823F92" w:rsidRPr="006C4490">
        <w:rPr>
          <w:lang w:val="en-US"/>
        </w:rPr>
        <w:t>e</w:t>
      </w:r>
      <w:r w:rsidR="00823F92">
        <w:rPr>
          <w:lang w:val="en-US"/>
        </w:rPr>
        <w:t xml:space="preserve"> </w:t>
      </w:r>
      <w:r w:rsidR="00823F92" w:rsidRPr="006C4490">
        <w:rPr>
          <w:lang w:val="en-US"/>
        </w:rPr>
        <w:t>a</w:t>
      </w:r>
      <w:r w:rsidR="00823F92">
        <w:rPr>
          <w:lang w:val="en-US"/>
        </w:rPr>
        <w:t xml:space="preserve"> </w:t>
      </w:r>
      <w:r w:rsidR="00453F15" w:rsidRPr="006C4490">
        <w:rPr>
          <w:lang w:val="en-US"/>
        </w:rPr>
        <w:t>rang</w:t>
      </w:r>
      <w:r w:rsidR="00823F92" w:rsidRPr="006C4490">
        <w:rPr>
          <w:lang w:val="en-US"/>
        </w:rPr>
        <w:t>e</w:t>
      </w:r>
      <w:r w:rsidR="00823F92">
        <w:rPr>
          <w:lang w:val="en-US"/>
        </w:rPr>
        <w:t xml:space="preserve"> </w:t>
      </w:r>
      <w:r w:rsidR="00453F15" w:rsidRPr="006C4490">
        <w:rPr>
          <w:lang w:val="en-US"/>
        </w:rPr>
        <w:t>o</w:t>
      </w:r>
      <w:r w:rsidR="00823F92" w:rsidRPr="006C4490">
        <w:rPr>
          <w:lang w:val="en-US"/>
        </w:rPr>
        <w:t>f</w:t>
      </w:r>
      <w:r w:rsidR="00823F92">
        <w:rPr>
          <w:lang w:val="en-US"/>
        </w:rPr>
        <w:t xml:space="preserve"> </w:t>
      </w:r>
      <w:r w:rsidR="00453F15" w:rsidRPr="006C4490">
        <w:rPr>
          <w:lang w:val="en-US"/>
        </w:rPr>
        <w:t>clinica</w:t>
      </w:r>
      <w:r w:rsidR="00823F92" w:rsidRPr="006C4490">
        <w:rPr>
          <w:lang w:val="en-US"/>
        </w:rPr>
        <w:t>l</w:t>
      </w:r>
      <w:r w:rsidR="00823F92">
        <w:rPr>
          <w:lang w:val="en-US"/>
        </w:rPr>
        <w:t xml:space="preserve"> </w:t>
      </w:r>
      <w:r w:rsidR="00453F15" w:rsidRPr="006C4490">
        <w:rPr>
          <w:lang w:val="en-US"/>
        </w:rPr>
        <w:t>an</w:t>
      </w:r>
      <w:r w:rsidR="00823F92" w:rsidRPr="006C4490">
        <w:rPr>
          <w:lang w:val="en-US"/>
        </w:rPr>
        <w:t>d</w:t>
      </w:r>
      <w:r w:rsidR="00823F92">
        <w:rPr>
          <w:lang w:val="en-US"/>
        </w:rPr>
        <w:t xml:space="preserve"> </w:t>
      </w:r>
      <w:r w:rsidR="00453F15" w:rsidRPr="006C4490">
        <w:rPr>
          <w:lang w:val="en-US"/>
        </w:rPr>
        <w:t>primar</w:t>
      </w:r>
      <w:r w:rsidR="00823F92" w:rsidRPr="006C4490">
        <w:rPr>
          <w:lang w:val="en-US"/>
        </w:rPr>
        <w:t>y</w:t>
      </w:r>
      <w:r w:rsidR="00823F92">
        <w:rPr>
          <w:lang w:val="en-US"/>
        </w:rPr>
        <w:t xml:space="preserve"> </w:t>
      </w:r>
      <w:r w:rsidR="00453F15" w:rsidRPr="006C4490">
        <w:rPr>
          <w:lang w:val="en-US"/>
        </w:rPr>
        <w:t>care</w:t>
      </w:r>
      <w:r w:rsidR="00823F92">
        <w:rPr>
          <w:lang w:val="en-US"/>
        </w:rPr>
        <w:t xml:space="preserve">, </w:t>
      </w:r>
      <w:r>
        <w:rPr>
          <w:lang w:val="en-US"/>
        </w:rPr>
        <w:t>contributin</w:t>
      </w:r>
      <w:r w:rsidR="00823F92">
        <w:rPr>
          <w:lang w:val="en-US"/>
        </w:rPr>
        <w:t xml:space="preserve">g </w:t>
      </w:r>
      <w:r w:rsidRPr="0071418F">
        <w:rPr>
          <w:lang w:val="en-US"/>
        </w:rPr>
        <w:t>expertis</w:t>
      </w:r>
      <w:r w:rsidR="00823F92" w:rsidRPr="0071418F">
        <w:rPr>
          <w:lang w:val="en-US"/>
        </w:rPr>
        <w:t>e</w:t>
      </w:r>
      <w:r w:rsidR="00823F92">
        <w:rPr>
          <w:lang w:val="en-US"/>
        </w:rPr>
        <w:t xml:space="preserve"> </w:t>
      </w:r>
      <w:r w:rsidRPr="0071418F">
        <w:rPr>
          <w:lang w:val="en-US"/>
        </w:rPr>
        <w:t>i</w:t>
      </w:r>
      <w:r w:rsidR="00823F92" w:rsidRPr="0071418F">
        <w:rPr>
          <w:lang w:val="en-US"/>
        </w:rPr>
        <w:t>n</w:t>
      </w:r>
      <w:r w:rsidR="00823F92">
        <w:rPr>
          <w:lang w:val="en-US"/>
        </w:rPr>
        <w:t xml:space="preserve"> </w:t>
      </w:r>
      <w:r w:rsidRPr="0071418F">
        <w:rPr>
          <w:lang w:val="en-US"/>
        </w:rPr>
        <w:t>cultura</w:t>
      </w:r>
      <w:r w:rsidR="00823F92" w:rsidRPr="0071418F">
        <w:rPr>
          <w:lang w:val="en-US"/>
        </w:rPr>
        <w:t>l</w:t>
      </w:r>
      <w:r w:rsidR="00823F92">
        <w:rPr>
          <w:lang w:val="en-US"/>
        </w:rPr>
        <w:t xml:space="preserve"> </w:t>
      </w:r>
      <w:r w:rsidRPr="0071418F">
        <w:rPr>
          <w:lang w:val="en-US"/>
        </w:rPr>
        <w:t>safet</w:t>
      </w:r>
      <w:r w:rsidR="00823F92" w:rsidRPr="0071418F">
        <w:rPr>
          <w:lang w:val="en-US"/>
        </w:rPr>
        <w:t>y</w:t>
      </w:r>
      <w:r w:rsidR="00823F92">
        <w:rPr>
          <w:lang w:val="en-US"/>
        </w:rPr>
        <w:t xml:space="preserve"> </w:t>
      </w:r>
      <w:r w:rsidRPr="0071418F">
        <w:rPr>
          <w:lang w:val="en-US"/>
        </w:rPr>
        <w:t>an</w:t>
      </w:r>
      <w:r w:rsidR="00823F92" w:rsidRPr="0071418F">
        <w:rPr>
          <w:lang w:val="en-US"/>
        </w:rPr>
        <w:t>d</w:t>
      </w:r>
      <w:r w:rsidR="00823F92">
        <w:rPr>
          <w:lang w:val="en-US"/>
        </w:rPr>
        <w:t xml:space="preserve"> </w:t>
      </w:r>
      <w:r w:rsidRPr="0071418F">
        <w:rPr>
          <w:lang w:val="en-US"/>
        </w:rPr>
        <w:t>socia</w:t>
      </w:r>
      <w:r w:rsidR="00823F92" w:rsidRPr="0071418F">
        <w:rPr>
          <w:lang w:val="en-US"/>
        </w:rPr>
        <w:t>l</w:t>
      </w:r>
      <w:r w:rsidR="00823F92">
        <w:rPr>
          <w:lang w:val="en-US"/>
        </w:rPr>
        <w:t xml:space="preserve"> </w:t>
      </w:r>
      <w:r w:rsidRPr="0071418F">
        <w:rPr>
          <w:lang w:val="en-US"/>
        </w:rPr>
        <w:t>an</w:t>
      </w:r>
      <w:r w:rsidR="00823F92" w:rsidRPr="0071418F">
        <w:rPr>
          <w:lang w:val="en-US"/>
        </w:rPr>
        <w:t>d</w:t>
      </w:r>
      <w:r w:rsidR="00823F92">
        <w:rPr>
          <w:lang w:val="en-US"/>
        </w:rPr>
        <w:t xml:space="preserve"> </w:t>
      </w:r>
      <w:r>
        <w:rPr>
          <w:lang w:val="en-US"/>
        </w:rPr>
        <w:t>emotiona</w:t>
      </w:r>
      <w:r w:rsidR="00823F92">
        <w:rPr>
          <w:lang w:val="en-US"/>
        </w:rPr>
        <w:t xml:space="preserve">l </w:t>
      </w:r>
      <w:r w:rsidRPr="0071418F">
        <w:rPr>
          <w:lang w:val="en-US"/>
        </w:rPr>
        <w:t>wellbeing</w:t>
      </w:r>
      <w:r w:rsidR="00823F92">
        <w:rPr>
          <w:lang w:val="en-US"/>
        </w:rPr>
        <w:t xml:space="preserve">. </w:t>
      </w:r>
      <w:r w:rsidR="00BB7083">
        <w:rPr>
          <w:lang w:val="en-US"/>
        </w:rPr>
        <w:t>Aborigina</w:t>
      </w:r>
      <w:r w:rsidR="00823F92">
        <w:rPr>
          <w:lang w:val="en-US"/>
        </w:rPr>
        <w:t xml:space="preserve">l </w:t>
      </w:r>
      <w:r w:rsidR="00BB7083">
        <w:rPr>
          <w:lang w:val="en-US"/>
        </w:rPr>
        <w:t>an</w:t>
      </w:r>
      <w:r w:rsidR="00823F92">
        <w:rPr>
          <w:lang w:val="en-US"/>
        </w:rPr>
        <w:t xml:space="preserve">d </w:t>
      </w:r>
      <w:r w:rsidR="00BB7083">
        <w:rPr>
          <w:lang w:val="en-US"/>
        </w:rPr>
        <w:t>Torre</w:t>
      </w:r>
      <w:r w:rsidR="00823F92">
        <w:rPr>
          <w:lang w:val="en-US"/>
        </w:rPr>
        <w:t xml:space="preserve">s </w:t>
      </w:r>
      <w:r w:rsidR="00BB7083">
        <w:rPr>
          <w:lang w:val="en-US"/>
        </w:rPr>
        <w:t>Strai</w:t>
      </w:r>
      <w:r w:rsidR="00823F92">
        <w:rPr>
          <w:lang w:val="en-US"/>
        </w:rPr>
        <w:t xml:space="preserve">t </w:t>
      </w:r>
      <w:r w:rsidR="00BB7083">
        <w:rPr>
          <w:lang w:val="en-US"/>
        </w:rPr>
        <w:t>Islande</w:t>
      </w:r>
      <w:r w:rsidR="00823F92">
        <w:rPr>
          <w:lang w:val="en-US"/>
        </w:rPr>
        <w:t xml:space="preserve">r </w:t>
      </w:r>
      <w:r w:rsidR="002868E6">
        <w:rPr>
          <w:lang w:val="en-US"/>
        </w:rPr>
        <w:t>m</w:t>
      </w:r>
      <w:r w:rsidR="00BB7083">
        <w:rPr>
          <w:lang w:val="en-US"/>
        </w:rPr>
        <w:t>enta</w:t>
      </w:r>
      <w:r w:rsidR="00823F92">
        <w:rPr>
          <w:lang w:val="en-US"/>
        </w:rPr>
        <w:t xml:space="preserve">l </w:t>
      </w:r>
      <w:r w:rsidR="002868E6">
        <w:rPr>
          <w:lang w:val="en-US"/>
        </w:rPr>
        <w:t>h</w:t>
      </w:r>
      <w:r w:rsidR="00BB7083">
        <w:rPr>
          <w:lang w:val="en-US"/>
        </w:rPr>
        <w:t>ealt</w:t>
      </w:r>
      <w:r w:rsidR="00823F92">
        <w:rPr>
          <w:lang w:val="en-US"/>
        </w:rPr>
        <w:t xml:space="preserve">h </w:t>
      </w:r>
      <w:r w:rsidR="002868E6">
        <w:rPr>
          <w:lang w:val="en-US"/>
        </w:rPr>
        <w:t>w</w:t>
      </w:r>
      <w:r w:rsidR="00BB7083">
        <w:rPr>
          <w:lang w:val="en-US"/>
        </w:rPr>
        <w:t>orker</w:t>
      </w:r>
      <w:r w:rsidR="00823F92">
        <w:rPr>
          <w:lang w:val="en-US"/>
        </w:rPr>
        <w:t xml:space="preserve">s </w:t>
      </w:r>
      <w:r w:rsidR="00BB7083">
        <w:rPr>
          <w:lang w:val="en-US"/>
        </w:rPr>
        <w:t>operat</w:t>
      </w:r>
      <w:r w:rsidR="00823F92">
        <w:rPr>
          <w:lang w:val="en-US"/>
        </w:rPr>
        <w:t xml:space="preserve">e </w:t>
      </w:r>
      <w:r w:rsidR="00BB7083">
        <w:rPr>
          <w:lang w:val="en-US"/>
        </w:rPr>
        <w:t>acros</w:t>
      </w:r>
      <w:r w:rsidR="00823F92">
        <w:rPr>
          <w:lang w:val="en-US"/>
        </w:rPr>
        <w:t xml:space="preserve">s </w:t>
      </w:r>
      <w:r w:rsidR="00BB7083">
        <w:rPr>
          <w:lang w:val="en-US"/>
        </w:rPr>
        <w:t>th</w:t>
      </w:r>
      <w:r w:rsidR="00823F92">
        <w:rPr>
          <w:lang w:val="en-US"/>
        </w:rPr>
        <w:t xml:space="preserve">e </w:t>
      </w:r>
      <w:r w:rsidR="00BB7083">
        <w:rPr>
          <w:lang w:val="en-US"/>
        </w:rPr>
        <w:t>menta</w:t>
      </w:r>
      <w:r w:rsidR="00823F92">
        <w:rPr>
          <w:lang w:val="en-US"/>
        </w:rPr>
        <w:t xml:space="preserve">l </w:t>
      </w:r>
      <w:r w:rsidR="00BB7083">
        <w:rPr>
          <w:lang w:val="en-US"/>
        </w:rPr>
        <w:t>healt</w:t>
      </w:r>
      <w:r w:rsidR="00823F92">
        <w:rPr>
          <w:lang w:val="en-US"/>
        </w:rPr>
        <w:t xml:space="preserve">h </w:t>
      </w:r>
      <w:r w:rsidR="00BB7083">
        <w:rPr>
          <w:lang w:val="en-US"/>
        </w:rPr>
        <w:t>sector</w:t>
      </w:r>
      <w:r w:rsidR="00823F92">
        <w:rPr>
          <w:lang w:val="en-US"/>
        </w:rPr>
        <w:t xml:space="preserve">. </w:t>
      </w:r>
    </w:p>
    <w:p w14:paraId="56C2411B" w14:textId="306AD060" w:rsidR="00453F15" w:rsidRDefault="0071418F" w:rsidP="003E4810">
      <w:pPr>
        <w:pStyle w:val="BodyText"/>
        <w:rPr>
          <w:lang w:val="en-US"/>
        </w:rPr>
      </w:pPr>
      <w:r w:rsidRPr="00564F22">
        <w:rPr>
          <w:lang w:val="en-US"/>
        </w:rPr>
        <w:t>Setting:</w:t>
      </w:r>
      <w:r>
        <w:rPr>
          <w:b/>
          <w:bCs/>
          <w:lang w:val="en-US"/>
        </w:rPr>
        <w:t xml:space="preserve"> </w:t>
      </w:r>
      <w:r>
        <w:rPr>
          <w:lang w:val="en-US"/>
        </w:rPr>
        <w:t>P</w:t>
      </w:r>
      <w:r w:rsidR="00453F15" w:rsidRPr="006C4490">
        <w:rPr>
          <w:lang w:val="en-US"/>
        </w:rPr>
        <w:t>redominatel</w:t>
      </w:r>
      <w:r w:rsidR="00823F92" w:rsidRPr="006C4490">
        <w:rPr>
          <w:lang w:val="en-US"/>
        </w:rPr>
        <w:t>y</w:t>
      </w:r>
      <w:r w:rsidR="00823F92">
        <w:rPr>
          <w:lang w:val="en-US"/>
        </w:rPr>
        <w:t xml:space="preserve"> </w:t>
      </w:r>
      <w:r>
        <w:rPr>
          <w:lang w:val="en-US"/>
        </w:rPr>
        <w:t>employe</w:t>
      </w:r>
      <w:r w:rsidR="00823F92">
        <w:rPr>
          <w:lang w:val="en-US"/>
        </w:rPr>
        <w:t xml:space="preserve">d </w:t>
      </w:r>
      <w:r w:rsidR="00453F15" w:rsidRPr="006C4490">
        <w:rPr>
          <w:lang w:val="en-US"/>
        </w:rPr>
        <w:t>throug</w:t>
      </w:r>
      <w:r w:rsidR="00823F92" w:rsidRPr="006C4490">
        <w:rPr>
          <w:lang w:val="en-US"/>
        </w:rPr>
        <w:t>h</w:t>
      </w:r>
      <w:r w:rsidR="00823F92">
        <w:rPr>
          <w:lang w:val="en-US"/>
        </w:rPr>
        <w:t xml:space="preserve"> </w:t>
      </w:r>
      <w:r w:rsidR="00453F15" w:rsidRPr="006C4490">
        <w:rPr>
          <w:lang w:val="en-US"/>
        </w:rPr>
        <w:t>Aborigina</w:t>
      </w:r>
      <w:r w:rsidR="00823F92" w:rsidRPr="006C4490">
        <w:rPr>
          <w:lang w:val="en-US"/>
        </w:rPr>
        <w:t>l</w:t>
      </w:r>
      <w:r w:rsidR="00823F92">
        <w:rPr>
          <w:lang w:val="en-US"/>
        </w:rPr>
        <w:t xml:space="preserve"> </w:t>
      </w:r>
      <w:r w:rsidR="00453F15" w:rsidRPr="006C4490">
        <w:rPr>
          <w:lang w:val="en-US"/>
        </w:rPr>
        <w:t>Communit</w:t>
      </w:r>
      <w:r w:rsidR="00823F92" w:rsidRPr="006C4490">
        <w:rPr>
          <w:lang w:val="en-US"/>
        </w:rPr>
        <w:t>y</w:t>
      </w:r>
      <w:r w:rsidR="00823F92">
        <w:rPr>
          <w:lang w:val="en-US"/>
        </w:rPr>
        <w:t xml:space="preserve"> </w:t>
      </w:r>
      <w:r w:rsidR="00453F15" w:rsidRPr="006C4490">
        <w:rPr>
          <w:lang w:val="en-US"/>
        </w:rPr>
        <w:t>Controlle</w:t>
      </w:r>
      <w:r w:rsidR="00823F92" w:rsidRPr="006C4490">
        <w:rPr>
          <w:lang w:val="en-US"/>
        </w:rPr>
        <w:t>d</w:t>
      </w:r>
      <w:r w:rsidR="00823F92">
        <w:rPr>
          <w:lang w:val="en-US"/>
        </w:rPr>
        <w:t xml:space="preserve"> </w:t>
      </w:r>
      <w:r w:rsidR="00453F15" w:rsidRPr="006C4490">
        <w:rPr>
          <w:lang w:val="en-US"/>
        </w:rPr>
        <w:t>Healt</w:t>
      </w:r>
      <w:r w:rsidR="00823F92" w:rsidRPr="006C4490">
        <w:rPr>
          <w:lang w:val="en-US"/>
        </w:rPr>
        <w:t>h</w:t>
      </w:r>
      <w:r w:rsidR="00823F92">
        <w:rPr>
          <w:lang w:val="en-US"/>
        </w:rPr>
        <w:t xml:space="preserve"> </w:t>
      </w:r>
      <w:r w:rsidR="00453F15" w:rsidRPr="006C4490">
        <w:rPr>
          <w:lang w:val="en-US"/>
        </w:rPr>
        <w:t>Service</w:t>
      </w:r>
      <w:r w:rsidR="00823F92" w:rsidRPr="006C4490">
        <w:rPr>
          <w:lang w:val="en-US"/>
        </w:rPr>
        <w:t>s</w:t>
      </w:r>
      <w:r w:rsidR="00823F92">
        <w:rPr>
          <w:lang w:val="en-US"/>
        </w:rPr>
        <w:t xml:space="preserve"> </w:t>
      </w:r>
      <w:r w:rsidR="00453F15" w:rsidRPr="006C4490">
        <w:rPr>
          <w:lang w:val="en-US"/>
        </w:rPr>
        <w:t>(ACCHS)</w:t>
      </w:r>
      <w:r w:rsidR="00823F92" w:rsidRPr="006C4490">
        <w:rPr>
          <w:lang w:val="en-US"/>
        </w:rPr>
        <w:t>.</w:t>
      </w:r>
      <w:r w:rsidR="00823F92">
        <w:rPr>
          <w:lang w:val="en-US"/>
        </w:rPr>
        <w:t xml:space="preserve"> </w:t>
      </w:r>
    </w:p>
    <w:p w14:paraId="75489587" w14:textId="2AD3810A" w:rsidR="00453F15" w:rsidRDefault="0071418F" w:rsidP="003E4810">
      <w:pPr>
        <w:pStyle w:val="BodyText"/>
        <w:rPr>
          <w:lang w:val="en-US"/>
        </w:rPr>
      </w:pPr>
      <w:r w:rsidRPr="009245F1">
        <w:rPr>
          <w:lang w:val="en-US"/>
        </w:rPr>
        <w:t>Training:</w:t>
      </w:r>
      <w:r>
        <w:rPr>
          <w:b/>
          <w:bCs/>
          <w:lang w:val="en-US"/>
        </w:rPr>
        <w:t xml:space="preserve"> </w:t>
      </w:r>
      <w:r w:rsidR="000E51CB">
        <w:rPr>
          <w:lang w:val="en-US"/>
        </w:rPr>
        <w:t>Aborigina</w:t>
      </w:r>
      <w:r w:rsidR="00823F92">
        <w:rPr>
          <w:lang w:val="en-US"/>
        </w:rPr>
        <w:t xml:space="preserve">l </w:t>
      </w:r>
      <w:r w:rsidR="000E51CB">
        <w:rPr>
          <w:lang w:val="en-US"/>
        </w:rPr>
        <w:t>an</w:t>
      </w:r>
      <w:r w:rsidR="00823F92">
        <w:rPr>
          <w:lang w:val="en-US"/>
        </w:rPr>
        <w:t xml:space="preserve">d </w:t>
      </w:r>
      <w:r w:rsidR="000E51CB">
        <w:rPr>
          <w:lang w:val="en-US"/>
        </w:rPr>
        <w:t>Torre</w:t>
      </w:r>
      <w:r w:rsidR="00823F92">
        <w:rPr>
          <w:lang w:val="en-US"/>
        </w:rPr>
        <w:t xml:space="preserve">s </w:t>
      </w:r>
      <w:r w:rsidR="000E51CB">
        <w:rPr>
          <w:lang w:val="en-US"/>
        </w:rPr>
        <w:t>Strai</w:t>
      </w:r>
      <w:r w:rsidR="00823F92">
        <w:rPr>
          <w:lang w:val="en-US"/>
        </w:rPr>
        <w:t xml:space="preserve">t </w:t>
      </w:r>
      <w:r w:rsidR="000E51CB">
        <w:rPr>
          <w:lang w:val="en-US"/>
        </w:rPr>
        <w:t>Islande</w:t>
      </w:r>
      <w:r w:rsidR="00823F92">
        <w:rPr>
          <w:lang w:val="en-US"/>
        </w:rPr>
        <w:t xml:space="preserve">r </w:t>
      </w:r>
      <w:r w:rsidR="000E51CB">
        <w:rPr>
          <w:lang w:val="en-US"/>
        </w:rPr>
        <w:t>h</w:t>
      </w:r>
      <w:r w:rsidR="000E51CB" w:rsidRPr="00362A3D">
        <w:rPr>
          <w:lang w:val="en-US"/>
        </w:rPr>
        <w:t>ealt</w:t>
      </w:r>
      <w:r w:rsidR="00823F92" w:rsidRPr="00362A3D">
        <w:rPr>
          <w:lang w:val="en-US"/>
        </w:rPr>
        <w:t>h</w:t>
      </w:r>
      <w:r w:rsidR="00823F92">
        <w:rPr>
          <w:lang w:val="en-US"/>
        </w:rPr>
        <w:t xml:space="preserve"> </w:t>
      </w:r>
      <w:r w:rsidR="000E51CB">
        <w:rPr>
          <w:lang w:val="en-US"/>
        </w:rPr>
        <w:t>p</w:t>
      </w:r>
      <w:r w:rsidR="000E51CB" w:rsidRPr="00362A3D">
        <w:rPr>
          <w:lang w:val="en-US"/>
        </w:rPr>
        <w:t>ractitioner</w:t>
      </w:r>
      <w:r w:rsidR="00823F92" w:rsidRPr="00362A3D">
        <w:rPr>
          <w:lang w:val="en-US"/>
        </w:rPr>
        <w:t>s</w:t>
      </w:r>
      <w:r w:rsidR="00823F92">
        <w:rPr>
          <w:lang w:val="en-US"/>
        </w:rPr>
        <w:t xml:space="preserve"> </w:t>
      </w:r>
      <w:r w:rsidR="000E51CB" w:rsidRPr="00362A3D">
        <w:rPr>
          <w:lang w:val="en-US"/>
        </w:rPr>
        <w:t>mus</w:t>
      </w:r>
      <w:r w:rsidR="00823F92" w:rsidRPr="00362A3D">
        <w:rPr>
          <w:lang w:val="en-US"/>
        </w:rPr>
        <w:t>t</w:t>
      </w:r>
      <w:r w:rsidR="00823F92">
        <w:rPr>
          <w:lang w:val="en-US"/>
        </w:rPr>
        <w:t xml:space="preserve"> </w:t>
      </w:r>
      <w:r w:rsidR="000E51CB" w:rsidRPr="00362A3D">
        <w:rPr>
          <w:lang w:val="en-US"/>
        </w:rPr>
        <w:t>hav</w:t>
      </w:r>
      <w:r w:rsidR="00823F92" w:rsidRPr="00362A3D">
        <w:rPr>
          <w:lang w:val="en-US"/>
        </w:rPr>
        <w:t>e</w:t>
      </w:r>
      <w:r w:rsidR="00823F92">
        <w:rPr>
          <w:lang w:val="en-US"/>
        </w:rPr>
        <w:t xml:space="preserve"> </w:t>
      </w:r>
      <w:r w:rsidR="00823F92" w:rsidRPr="00362A3D">
        <w:rPr>
          <w:lang w:val="en-US"/>
        </w:rPr>
        <w:t>a</w:t>
      </w:r>
      <w:r w:rsidR="00823F92">
        <w:rPr>
          <w:lang w:val="en-US"/>
        </w:rPr>
        <w:t xml:space="preserve"> </w:t>
      </w:r>
      <w:r w:rsidR="000E51CB" w:rsidRPr="00362A3D">
        <w:rPr>
          <w:lang w:val="en-US"/>
        </w:rPr>
        <w:t>minimu</w:t>
      </w:r>
      <w:r w:rsidR="00823F92" w:rsidRPr="00362A3D">
        <w:rPr>
          <w:lang w:val="en-US"/>
        </w:rPr>
        <w:t>m</w:t>
      </w:r>
      <w:r w:rsidR="00823F92">
        <w:rPr>
          <w:lang w:val="en-US"/>
        </w:rPr>
        <w:t xml:space="preserve"> </w:t>
      </w:r>
      <w:r w:rsidR="000E51CB" w:rsidRPr="00362A3D">
        <w:rPr>
          <w:lang w:val="en-US"/>
        </w:rPr>
        <w:t>Certificat</w:t>
      </w:r>
      <w:r w:rsidR="00823F92" w:rsidRPr="00362A3D">
        <w:rPr>
          <w:lang w:val="en-US"/>
        </w:rPr>
        <w:t>e</w:t>
      </w:r>
      <w:r w:rsidR="00823F92">
        <w:rPr>
          <w:lang w:val="en-US"/>
        </w:rPr>
        <w:t xml:space="preserve"> </w:t>
      </w:r>
      <w:r w:rsidR="000E51CB" w:rsidRPr="00362A3D">
        <w:rPr>
          <w:lang w:val="en-US"/>
        </w:rPr>
        <w:t>I</w:t>
      </w:r>
      <w:r w:rsidR="00823F92" w:rsidRPr="00362A3D">
        <w:rPr>
          <w:lang w:val="en-US"/>
        </w:rPr>
        <w:t>V</w:t>
      </w:r>
      <w:r w:rsidR="00823F92">
        <w:rPr>
          <w:lang w:val="en-US"/>
        </w:rPr>
        <w:t xml:space="preserve"> </w:t>
      </w:r>
      <w:r w:rsidR="000E51CB" w:rsidRPr="00362A3D">
        <w:rPr>
          <w:lang w:val="en-US"/>
        </w:rPr>
        <w:t>qualification</w:t>
      </w:r>
      <w:r w:rsidR="00823F92">
        <w:rPr>
          <w:lang w:val="en-US"/>
        </w:rPr>
        <w:t xml:space="preserve">, </w:t>
      </w:r>
      <w:r w:rsidR="000E51CB">
        <w:rPr>
          <w:lang w:val="en-US"/>
        </w:rPr>
        <w:t>whic</w:t>
      </w:r>
      <w:r w:rsidR="00823F92">
        <w:rPr>
          <w:lang w:val="en-US"/>
        </w:rPr>
        <w:t xml:space="preserve">h </w:t>
      </w:r>
      <w:r w:rsidR="000E51CB">
        <w:rPr>
          <w:lang w:val="en-US"/>
        </w:rPr>
        <w:t>i</w:t>
      </w:r>
      <w:r w:rsidR="00823F92">
        <w:rPr>
          <w:lang w:val="en-US"/>
        </w:rPr>
        <w:t xml:space="preserve">s </w:t>
      </w:r>
      <w:r w:rsidR="000E51CB">
        <w:rPr>
          <w:lang w:val="en-US"/>
        </w:rPr>
        <w:t>a</w:t>
      </w:r>
      <w:r w:rsidR="00823F92">
        <w:rPr>
          <w:lang w:val="en-US"/>
        </w:rPr>
        <w:t xml:space="preserve">n </w:t>
      </w:r>
      <w:r w:rsidR="000E51CB">
        <w:rPr>
          <w:lang w:val="en-US"/>
        </w:rPr>
        <w:t>averag</w:t>
      </w:r>
      <w:r w:rsidR="00823F92">
        <w:rPr>
          <w:lang w:val="en-US"/>
        </w:rPr>
        <w:t xml:space="preserve">e </w:t>
      </w:r>
      <w:r w:rsidR="000E51CB">
        <w:rPr>
          <w:lang w:val="en-US"/>
        </w:rPr>
        <w:t>o</w:t>
      </w:r>
      <w:r w:rsidR="00823F92">
        <w:rPr>
          <w:lang w:val="en-US"/>
        </w:rPr>
        <w:t xml:space="preserve">f </w:t>
      </w:r>
      <w:r w:rsidR="000E51CB">
        <w:rPr>
          <w:lang w:val="en-US"/>
        </w:rPr>
        <w:t>tw</w:t>
      </w:r>
      <w:r w:rsidR="00823F92">
        <w:rPr>
          <w:lang w:val="en-US"/>
        </w:rPr>
        <w:t xml:space="preserve">o </w:t>
      </w:r>
      <w:r w:rsidR="000E51CB">
        <w:rPr>
          <w:lang w:val="en-US"/>
        </w:rPr>
        <w:t>year</w:t>
      </w:r>
      <w:r w:rsidR="00823F92">
        <w:rPr>
          <w:lang w:val="en-US"/>
        </w:rPr>
        <w:t xml:space="preserve">s </w:t>
      </w:r>
      <w:r w:rsidR="000E51CB">
        <w:rPr>
          <w:lang w:val="en-US"/>
        </w:rPr>
        <w:t>o</w:t>
      </w:r>
      <w:r w:rsidR="00823F92">
        <w:rPr>
          <w:lang w:val="en-US"/>
        </w:rPr>
        <w:t xml:space="preserve">f </w:t>
      </w:r>
      <w:r w:rsidR="000E51CB">
        <w:rPr>
          <w:lang w:val="en-US"/>
        </w:rPr>
        <w:t>training</w:t>
      </w:r>
      <w:r w:rsidR="00823F92">
        <w:rPr>
          <w:lang w:val="en-US"/>
        </w:rPr>
        <w:t xml:space="preserve">. </w:t>
      </w:r>
      <w:r w:rsidR="00453F15">
        <w:rPr>
          <w:lang w:val="en-US"/>
        </w:rPr>
        <w:t>Aborigina</w:t>
      </w:r>
      <w:r w:rsidR="00823F92">
        <w:rPr>
          <w:lang w:val="en-US"/>
        </w:rPr>
        <w:t xml:space="preserve">l </w:t>
      </w:r>
      <w:r w:rsidR="00453F15">
        <w:rPr>
          <w:lang w:val="en-US"/>
        </w:rPr>
        <w:t>an</w:t>
      </w:r>
      <w:r w:rsidR="00823F92">
        <w:rPr>
          <w:lang w:val="en-US"/>
        </w:rPr>
        <w:t xml:space="preserve">d </w:t>
      </w:r>
      <w:r w:rsidR="00453F15">
        <w:rPr>
          <w:lang w:val="en-US"/>
        </w:rPr>
        <w:t>Torre</w:t>
      </w:r>
      <w:r w:rsidR="00823F92">
        <w:rPr>
          <w:lang w:val="en-US"/>
        </w:rPr>
        <w:t xml:space="preserve">s </w:t>
      </w:r>
      <w:r w:rsidR="00453F15">
        <w:rPr>
          <w:lang w:val="en-US"/>
        </w:rPr>
        <w:t>Strai</w:t>
      </w:r>
      <w:r w:rsidR="00823F92">
        <w:rPr>
          <w:lang w:val="en-US"/>
        </w:rPr>
        <w:t xml:space="preserve">t </w:t>
      </w:r>
      <w:r w:rsidR="00453F15">
        <w:rPr>
          <w:lang w:val="en-US"/>
        </w:rPr>
        <w:t>Islande</w:t>
      </w:r>
      <w:r w:rsidR="00823F92">
        <w:rPr>
          <w:lang w:val="en-US"/>
        </w:rPr>
        <w:t xml:space="preserve">r </w:t>
      </w:r>
      <w:r w:rsidR="00453F15">
        <w:rPr>
          <w:lang w:val="en-US"/>
        </w:rPr>
        <w:t>h</w:t>
      </w:r>
      <w:r w:rsidR="00453F15" w:rsidRPr="00362A3D">
        <w:rPr>
          <w:lang w:val="en-US"/>
        </w:rPr>
        <w:t>ealt</w:t>
      </w:r>
      <w:r w:rsidR="00823F92" w:rsidRPr="00362A3D">
        <w:rPr>
          <w:lang w:val="en-US"/>
        </w:rPr>
        <w:t>h</w:t>
      </w:r>
      <w:r w:rsidR="00823F92">
        <w:rPr>
          <w:lang w:val="en-US"/>
        </w:rPr>
        <w:t xml:space="preserve"> </w:t>
      </w:r>
      <w:r w:rsidR="00453F15">
        <w:rPr>
          <w:lang w:val="en-US"/>
        </w:rPr>
        <w:t>w</w:t>
      </w:r>
      <w:r w:rsidR="00453F15" w:rsidRPr="00362A3D">
        <w:rPr>
          <w:lang w:val="en-US"/>
        </w:rPr>
        <w:t>orker</w:t>
      </w:r>
      <w:r w:rsidR="00823F92" w:rsidRPr="00362A3D">
        <w:rPr>
          <w:lang w:val="en-US"/>
        </w:rPr>
        <w:t>s</w:t>
      </w:r>
      <w:r w:rsidR="00823F92">
        <w:rPr>
          <w:lang w:val="en-US"/>
        </w:rPr>
        <w:t xml:space="preserve"> </w:t>
      </w:r>
      <w:r w:rsidR="00453F15" w:rsidRPr="00362A3D">
        <w:rPr>
          <w:lang w:val="en-US"/>
        </w:rPr>
        <w:t>generall</w:t>
      </w:r>
      <w:r w:rsidR="00823F92" w:rsidRPr="00362A3D">
        <w:rPr>
          <w:lang w:val="en-US"/>
        </w:rPr>
        <w:t>y</w:t>
      </w:r>
      <w:r w:rsidR="00823F92">
        <w:rPr>
          <w:lang w:val="en-US"/>
        </w:rPr>
        <w:t xml:space="preserve"> </w:t>
      </w:r>
      <w:r w:rsidR="00453F15" w:rsidRPr="00362A3D">
        <w:rPr>
          <w:lang w:val="en-US"/>
        </w:rPr>
        <w:t>hol</w:t>
      </w:r>
      <w:r w:rsidR="00823F92" w:rsidRPr="00362A3D">
        <w:rPr>
          <w:lang w:val="en-US"/>
        </w:rPr>
        <w:t>d</w:t>
      </w:r>
      <w:r w:rsidR="00823F92">
        <w:rPr>
          <w:lang w:val="en-US"/>
        </w:rPr>
        <w:t xml:space="preserve"> </w:t>
      </w:r>
      <w:r w:rsidR="00823F92" w:rsidRPr="00362A3D">
        <w:rPr>
          <w:lang w:val="en-US"/>
        </w:rPr>
        <w:t>a</w:t>
      </w:r>
      <w:r w:rsidR="00823F92">
        <w:rPr>
          <w:lang w:val="en-US"/>
        </w:rPr>
        <w:t xml:space="preserve"> </w:t>
      </w:r>
      <w:r w:rsidR="00453F15" w:rsidRPr="00362A3D">
        <w:rPr>
          <w:lang w:val="en-US"/>
        </w:rPr>
        <w:t>Certificat</w:t>
      </w:r>
      <w:r w:rsidR="00823F92" w:rsidRPr="00362A3D">
        <w:rPr>
          <w:lang w:val="en-US"/>
        </w:rPr>
        <w:t>e</w:t>
      </w:r>
      <w:r w:rsidR="00823F92">
        <w:rPr>
          <w:lang w:val="en-US"/>
        </w:rPr>
        <w:t xml:space="preserve"> </w:t>
      </w:r>
      <w:r w:rsidR="00453F15" w:rsidRPr="00362A3D">
        <w:rPr>
          <w:lang w:val="en-US"/>
        </w:rPr>
        <w:t>II</w:t>
      </w:r>
      <w:r w:rsidR="00823F92" w:rsidRPr="00362A3D">
        <w:rPr>
          <w:lang w:val="en-US"/>
        </w:rPr>
        <w:t>I</w:t>
      </w:r>
      <w:r w:rsidR="00823F92">
        <w:rPr>
          <w:lang w:val="en-US"/>
        </w:rPr>
        <w:t xml:space="preserve"> </w:t>
      </w:r>
      <w:r w:rsidR="00453F15" w:rsidRPr="00362A3D">
        <w:rPr>
          <w:lang w:val="en-US"/>
        </w:rPr>
        <w:t>qualificatio</w:t>
      </w:r>
      <w:r w:rsidR="00823F92" w:rsidRPr="00362A3D">
        <w:rPr>
          <w:lang w:val="en-US"/>
        </w:rPr>
        <w:t>n</w:t>
      </w:r>
      <w:r w:rsidR="00823F92">
        <w:rPr>
          <w:lang w:val="en-US"/>
        </w:rPr>
        <w:t xml:space="preserve"> </w:t>
      </w:r>
      <w:r w:rsidR="00453F15" w:rsidRPr="00362A3D">
        <w:rPr>
          <w:lang w:val="en-US"/>
        </w:rPr>
        <w:t>i</w:t>
      </w:r>
      <w:r w:rsidR="00823F92" w:rsidRPr="00362A3D">
        <w:rPr>
          <w:lang w:val="en-US"/>
        </w:rPr>
        <w:t>n</w:t>
      </w:r>
      <w:r w:rsidR="00823F92">
        <w:rPr>
          <w:lang w:val="en-US"/>
        </w:rPr>
        <w:t xml:space="preserve"> </w:t>
      </w:r>
      <w:r w:rsidR="00453F15" w:rsidRPr="00362A3D">
        <w:rPr>
          <w:lang w:val="en-US"/>
        </w:rPr>
        <w:t>th</w:t>
      </w:r>
      <w:r w:rsidR="00823F92" w:rsidRPr="00362A3D">
        <w:rPr>
          <w:lang w:val="en-US"/>
        </w:rPr>
        <w:t>e</w:t>
      </w:r>
      <w:r w:rsidR="00823F92">
        <w:rPr>
          <w:lang w:val="en-US"/>
        </w:rPr>
        <w:t xml:space="preserve"> </w:t>
      </w:r>
      <w:r w:rsidR="00453F15" w:rsidRPr="00362A3D">
        <w:rPr>
          <w:lang w:val="en-US"/>
        </w:rPr>
        <w:t>fiel</w:t>
      </w:r>
      <w:r w:rsidR="00823F92" w:rsidRPr="00362A3D">
        <w:rPr>
          <w:lang w:val="en-US"/>
        </w:rPr>
        <w:t>d</w:t>
      </w:r>
      <w:r w:rsidR="00823F92">
        <w:rPr>
          <w:lang w:val="en-US"/>
        </w:rPr>
        <w:t xml:space="preserve"> </w:t>
      </w:r>
      <w:r w:rsidR="00453F15" w:rsidRPr="00362A3D">
        <w:rPr>
          <w:lang w:val="en-US"/>
        </w:rPr>
        <w:t>o</w:t>
      </w:r>
      <w:r w:rsidR="00823F92" w:rsidRPr="00362A3D">
        <w:rPr>
          <w:lang w:val="en-US"/>
        </w:rPr>
        <w:t>f</w:t>
      </w:r>
      <w:r w:rsidR="00823F92">
        <w:rPr>
          <w:lang w:val="en-US"/>
        </w:rPr>
        <w:t xml:space="preserve"> </w:t>
      </w:r>
      <w:r w:rsidR="00453F15" w:rsidRPr="00362A3D">
        <w:rPr>
          <w:lang w:val="en-US"/>
        </w:rPr>
        <w:t>primar</w:t>
      </w:r>
      <w:r w:rsidR="00823F92" w:rsidRPr="00362A3D">
        <w:rPr>
          <w:lang w:val="en-US"/>
        </w:rPr>
        <w:t>y</w:t>
      </w:r>
      <w:r w:rsidR="00823F92">
        <w:rPr>
          <w:lang w:val="en-US"/>
        </w:rPr>
        <w:t xml:space="preserve"> </w:t>
      </w:r>
      <w:r w:rsidR="00453F15" w:rsidRPr="00362A3D">
        <w:rPr>
          <w:lang w:val="en-US"/>
        </w:rPr>
        <w:t>healt</w:t>
      </w:r>
      <w:r w:rsidR="00823F92" w:rsidRPr="00362A3D">
        <w:rPr>
          <w:lang w:val="en-US"/>
        </w:rPr>
        <w:t>h</w:t>
      </w:r>
      <w:r w:rsidR="00823F92">
        <w:rPr>
          <w:lang w:val="en-US"/>
        </w:rPr>
        <w:t xml:space="preserve"> </w:t>
      </w:r>
      <w:r w:rsidR="00453F15" w:rsidRPr="00362A3D">
        <w:rPr>
          <w:lang w:val="en-US"/>
        </w:rPr>
        <w:t>car</w:t>
      </w:r>
      <w:r w:rsidR="00823F92" w:rsidRPr="00362A3D">
        <w:rPr>
          <w:lang w:val="en-US"/>
        </w:rPr>
        <w:t>e</w:t>
      </w:r>
      <w:r w:rsidR="00823F92">
        <w:rPr>
          <w:lang w:val="en-US"/>
        </w:rPr>
        <w:t xml:space="preserve"> </w:t>
      </w:r>
      <w:r w:rsidR="00453F15" w:rsidRPr="00362A3D">
        <w:rPr>
          <w:lang w:val="en-US"/>
        </w:rPr>
        <w:t>o</w:t>
      </w:r>
      <w:r w:rsidR="00823F92" w:rsidRPr="00362A3D">
        <w:rPr>
          <w:lang w:val="en-US"/>
        </w:rPr>
        <w:t>r</w:t>
      </w:r>
      <w:r w:rsidR="00823F92">
        <w:rPr>
          <w:lang w:val="en-US"/>
        </w:rPr>
        <w:t xml:space="preserve"> </w:t>
      </w:r>
      <w:r w:rsidR="00453F15" w:rsidRPr="00362A3D">
        <w:rPr>
          <w:lang w:val="en-US"/>
        </w:rPr>
        <w:t>clinica</w:t>
      </w:r>
      <w:r w:rsidR="00823F92" w:rsidRPr="00362A3D">
        <w:rPr>
          <w:lang w:val="en-US"/>
        </w:rPr>
        <w:t>l</w:t>
      </w:r>
      <w:r w:rsidR="00823F92">
        <w:rPr>
          <w:lang w:val="en-US"/>
        </w:rPr>
        <w:t xml:space="preserve"> </w:t>
      </w:r>
      <w:r w:rsidR="00453F15" w:rsidRPr="00362A3D">
        <w:rPr>
          <w:lang w:val="en-US"/>
        </w:rPr>
        <w:t>practice</w:t>
      </w:r>
      <w:r w:rsidR="00823F92" w:rsidRPr="00362A3D">
        <w:rPr>
          <w:lang w:val="en-US"/>
        </w:rPr>
        <w:t>,</w:t>
      </w:r>
      <w:r w:rsidR="00823F92">
        <w:rPr>
          <w:lang w:val="en-US"/>
        </w:rPr>
        <w:t xml:space="preserve"> </w:t>
      </w:r>
      <w:r w:rsidR="00453F15" w:rsidRPr="00362A3D">
        <w:rPr>
          <w:lang w:val="en-US"/>
        </w:rPr>
        <w:t>bu</w:t>
      </w:r>
      <w:r w:rsidR="00823F92" w:rsidRPr="00362A3D">
        <w:rPr>
          <w:lang w:val="en-US"/>
        </w:rPr>
        <w:t>t</w:t>
      </w:r>
      <w:r w:rsidR="00823F92">
        <w:rPr>
          <w:lang w:val="en-US"/>
        </w:rPr>
        <w:t xml:space="preserve"> </w:t>
      </w:r>
      <w:r w:rsidR="00453F15" w:rsidRPr="00362A3D">
        <w:rPr>
          <w:lang w:val="en-US"/>
        </w:rPr>
        <w:t>ther</w:t>
      </w:r>
      <w:r w:rsidR="00823F92" w:rsidRPr="00362A3D">
        <w:rPr>
          <w:lang w:val="en-US"/>
        </w:rPr>
        <w:t>e</w:t>
      </w:r>
      <w:r w:rsidR="00823F92">
        <w:rPr>
          <w:lang w:val="en-US"/>
        </w:rPr>
        <w:t xml:space="preserve"> </w:t>
      </w:r>
      <w:r w:rsidR="00453F15" w:rsidRPr="00362A3D">
        <w:rPr>
          <w:lang w:val="en-US"/>
        </w:rPr>
        <w:t>i</w:t>
      </w:r>
      <w:r w:rsidR="00823F92" w:rsidRPr="00362A3D">
        <w:rPr>
          <w:lang w:val="en-US"/>
        </w:rPr>
        <w:t>s</w:t>
      </w:r>
      <w:r w:rsidR="00823F92">
        <w:rPr>
          <w:lang w:val="en-US"/>
        </w:rPr>
        <w:t xml:space="preserve"> </w:t>
      </w:r>
      <w:r w:rsidR="00453F15" w:rsidRPr="00362A3D">
        <w:rPr>
          <w:lang w:val="en-US"/>
        </w:rPr>
        <w:t>n</w:t>
      </w:r>
      <w:r w:rsidR="00823F92" w:rsidRPr="00362A3D">
        <w:rPr>
          <w:lang w:val="en-US"/>
        </w:rPr>
        <w:t>o</w:t>
      </w:r>
      <w:r w:rsidR="00823F92">
        <w:rPr>
          <w:lang w:val="en-US"/>
        </w:rPr>
        <w:t xml:space="preserve"> </w:t>
      </w:r>
      <w:r w:rsidR="00453F15" w:rsidRPr="00362A3D">
        <w:rPr>
          <w:lang w:val="en-US"/>
        </w:rPr>
        <w:t>nationa</w:t>
      </w:r>
      <w:r w:rsidR="00823F92" w:rsidRPr="00362A3D">
        <w:rPr>
          <w:lang w:val="en-US"/>
        </w:rPr>
        <w:t>l</w:t>
      </w:r>
      <w:r w:rsidR="00823F92">
        <w:rPr>
          <w:lang w:val="en-US"/>
        </w:rPr>
        <w:t xml:space="preserve"> </w:t>
      </w:r>
      <w:r w:rsidR="00453F15" w:rsidRPr="00362A3D">
        <w:rPr>
          <w:lang w:val="en-US"/>
        </w:rPr>
        <w:t>requiremen</w:t>
      </w:r>
      <w:r w:rsidR="00823F92" w:rsidRPr="00362A3D">
        <w:rPr>
          <w:lang w:val="en-US"/>
        </w:rPr>
        <w:t>t</w:t>
      </w:r>
      <w:r w:rsidR="00823F92">
        <w:rPr>
          <w:lang w:val="en-US"/>
        </w:rPr>
        <w:t xml:space="preserve"> </w:t>
      </w:r>
      <w:r w:rsidR="00453F15" w:rsidRPr="00362A3D">
        <w:rPr>
          <w:lang w:val="en-US"/>
        </w:rPr>
        <w:t>t</w:t>
      </w:r>
      <w:r w:rsidR="00823F92" w:rsidRPr="00362A3D">
        <w:rPr>
          <w:lang w:val="en-US"/>
        </w:rPr>
        <w:t>o</w:t>
      </w:r>
      <w:r w:rsidR="00823F92">
        <w:rPr>
          <w:lang w:val="en-US"/>
        </w:rPr>
        <w:t xml:space="preserve"> </w:t>
      </w:r>
      <w:r w:rsidR="00453F15" w:rsidRPr="00362A3D">
        <w:rPr>
          <w:lang w:val="en-US"/>
        </w:rPr>
        <w:t>hol</w:t>
      </w:r>
      <w:r w:rsidR="00823F92" w:rsidRPr="00362A3D">
        <w:rPr>
          <w:lang w:val="en-US"/>
        </w:rPr>
        <w:t>d</w:t>
      </w:r>
      <w:r w:rsidR="00823F92">
        <w:rPr>
          <w:lang w:val="en-US"/>
        </w:rPr>
        <w:t xml:space="preserve"> </w:t>
      </w:r>
      <w:r w:rsidR="00453F15" w:rsidRPr="00362A3D">
        <w:rPr>
          <w:lang w:val="en-US"/>
        </w:rPr>
        <w:t>thi</w:t>
      </w:r>
      <w:r w:rsidR="00823F92" w:rsidRPr="00362A3D">
        <w:rPr>
          <w:lang w:val="en-US"/>
        </w:rPr>
        <w:t>s</w:t>
      </w:r>
      <w:r w:rsidR="00823F92">
        <w:rPr>
          <w:lang w:val="en-US"/>
        </w:rPr>
        <w:t xml:space="preserve"> </w:t>
      </w:r>
      <w:r w:rsidR="00453F15" w:rsidRPr="00362A3D">
        <w:rPr>
          <w:lang w:val="en-US"/>
        </w:rPr>
        <w:t>i</w:t>
      </w:r>
      <w:r w:rsidR="00823F92" w:rsidRPr="00362A3D">
        <w:rPr>
          <w:lang w:val="en-US"/>
        </w:rPr>
        <w:t>n</w:t>
      </w:r>
      <w:r w:rsidR="00823F92">
        <w:rPr>
          <w:lang w:val="en-US"/>
        </w:rPr>
        <w:t xml:space="preserve"> </w:t>
      </w:r>
      <w:r w:rsidR="00453F15" w:rsidRPr="00362A3D">
        <w:rPr>
          <w:lang w:val="en-US"/>
        </w:rPr>
        <w:t>orde</w:t>
      </w:r>
      <w:r w:rsidR="00823F92" w:rsidRPr="00362A3D">
        <w:rPr>
          <w:lang w:val="en-US"/>
        </w:rPr>
        <w:t>r</w:t>
      </w:r>
      <w:r w:rsidR="00823F92">
        <w:rPr>
          <w:lang w:val="en-US"/>
        </w:rPr>
        <w:t xml:space="preserve"> </w:t>
      </w:r>
      <w:r w:rsidR="00453F15" w:rsidRPr="00362A3D">
        <w:rPr>
          <w:lang w:val="en-US"/>
        </w:rPr>
        <w:t>t</w:t>
      </w:r>
      <w:r w:rsidR="00823F92" w:rsidRPr="00362A3D">
        <w:rPr>
          <w:lang w:val="en-US"/>
        </w:rPr>
        <w:t>o</w:t>
      </w:r>
      <w:r w:rsidR="00823F92">
        <w:rPr>
          <w:lang w:val="en-US"/>
        </w:rPr>
        <w:t xml:space="preserve"> </w:t>
      </w:r>
      <w:r w:rsidR="00453F15" w:rsidRPr="00362A3D">
        <w:rPr>
          <w:lang w:val="en-US"/>
        </w:rPr>
        <w:t>practice</w:t>
      </w:r>
      <w:r w:rsidR="00823F92" w:rsidRPr="00362A3D">
        <w:rPr>
          <w:lang w:val="en-US"/>
        </w:rPr>
        <w:t>.</w:t>
      </w:r>
      <w:r w:rsidR="00823F92">
        <w:rPr>
          <w:lang w:val="en-US"/>
        </w:rPr>
        <w:t xml:space="preserve"> </w:t>
      </w:r>
      <w:r w:rsidR="0052280F">
        <w:rPr>
          <w:lang w:val="en-US"/>
        </w:rPr>
        <w:t>Ther</w:t>
      </w:r>
      <w:r w:rsidR="00823F92">
        <w:rPr>
          <w:lang w:val="en-US"/>
        </w:rPr>
        <w:t xml:space="preserve">e </w:t>
      </w:r>
      <w:r w:rsidR="0052280F">
        <w:rPr>
          <w:lang w:val="en-US"/>
        </w:rPr>
        <w:t>ar</w:t>
      </w:r>
      <w:r w:rsidR="00823F92">
        <w:rPr>
          <w:lang w:val="en-US"/>
        </w:rPr>
        <w:t xml:space="preserve">e </w:t>
      </w:r>
      <w:r w:rsidR="0052280F">
        <w:rPr>
          <w:lang w:val="en-US"/>
        </w:rPr>
        <w:t>n</w:t>
      </w:r>
      <w:r w:rsidR="00823F92">
        <w:rPr>
          <w:lang w:val="en-US"/>
        </w:rPr>
        <w:t xml:space="preserve">o </w:t>
      </w:r>
      <w:r w:rsidR="0052280F">
        <w:rPr>
          <w:lang w:val="en-US"/>
        </w:rPr>
        <w:t>consisten</w:t>
      </w:r>
      <w:r w:rsidR="00823F92">
        <w:rPr>
          <w:lang w:val="en-US"/>
        </w:rPr>
        <w:t xml:space="preserve">t </w:t>
      </w:r>
      <w:r w:rsidR="0052280F">
        <w:rPr>
          <w:lang w:val="en-US"/>
        </w:rPr>
        <w:t>trainin</w:t>
      </w:r>
      <w:r w:rsidR="00823F92">
        <w:rPr>
          <w:lang w:val="en-US"/>
        </w:rPr>
        <w:t xml:space="preserve">g </w:t>
      </w:r>
      <w:r w:rsidR="0052280F">
        <w:rPr>
          <w:lang w:val="en-US"/>
        </w:rPr>
        <w:t>requirement</w:t>
      </w:r>
      <w:r w:rsidR="00823F92">
        <w:rPr>
          <w:lang w:val="en-US"/>
        </w:rPr>
        <w:t xml:space="preserve">s </w:t>
      </w:r>
      <w:r w:rsidR="0052280F">
        <w:rPr>
          <w:lang w:val="en-US"/>
        </w:rPr>
        <w:t>fo</w:t>
      </w:r>
      <w:r w:rsidR="00823F92">
        <w:rPr>
          <w:lang w:val="en-US"/>
        </w:rPr>
        <w:t xml:space="preserve">r </w:t>
      </w:r>
      <w:r w:rsidR="0052280F">
        <w:rPr>
          <w:lang w:val="en-US"/>
        </w:rPr>
        <w:t>Aborigina</w:t>
      </w:r>
      <w:r w:rsidR="00823F92">
        <w:rPr>
          <w:lang w:val="en-US"/>
        </w:rPr>
        <w:t xml:space="preserve">l </w:t>
      </w:r>
      <w:r w:rsidR="0052280F">
        <w:rPr>
          <w:lang w:val="en-US"/>
        </w:rPr>
        <w:t>an</w:t>
      </w:r>
      <w:r w:rsidR="00823F92">
        <w:rPr>
          <w:lang w:val="en-US"/>
        </w:rPr>
        <w:t xml:space="preserve">d </w:t>
      </w:r>
      <w:r w:rsidR="0052280F">
        <w:rPr>
          <w:lang w:val="en-US"/>
        </w:rPr>
        <w:t>Torre</w:t>
      </w:r>
      <w:r w:rsidR="00823F92">
        <w:rPr>
          <w:lang w:val="en-US"/>
        </w:rPr>
        <w:t xml:space="preserve">s </w:t>
      </w:r>
      <w:r w:rsidR="0052280F">
        <w:rPr>
          <w:lang w:val="en-US"/>
        </w:rPr>
        <w:t>Strai</w:t>
      </w:r>
      <w:r w:rsidR="00823F92">
        <w:rPr>
          <w:lang w:val="en-US"/>
        </w:rPr>
        <w:t xml:space="preserve">t </w:t>
      </w:r>
      <w:r w:rsidR="0052280F">
        <w:rPr>
          <w:lang w:val="en-US"/>
        </w:rPr>
        <w:t>Islande</w:t>
      </w:r>
      <w:r w:rsidR="00823F92">
        <w:rPr>
          <w:lang w:val="en-US"/>
        </w:rPr>
        <w:t xml:space="preserve">r </w:t>
      </w:r>
      <w:r w:rsidR="0052280F">
        <w:rPr>
          <w:lang w:val="en-US"/>
        </w:rPr>
        <w:t>menta</w:t>
      </w:r>
      <w:r w:rsidR="00823F92">
        <w:rPr>
          <w:lang w:val="en-US"/>
        </w:rPr>
        <w:t xml:space="preserve">l </w:t>
      </w:r>
      <w:r w:rsidR="0052280F">
        <w:rPr>
          <w:lang w:val="en-US"/>
        </w:rPr>
        <w:t>healt</w:t>
      </w:r>
      <w:r w:rsidR="00823F92">
        <w:rPr>
          <w:lang w:val="en-US"/>
        </w:rPr>
        <w:t xml:space="preserve">h </w:t>
      </w:r>
      <w:r w:rsidR="0052280F">
        <w:rPr>
          <w:lang w:val="en-US"/>
        </w:rPr>
        <w:t>workers</w:t>
      </w:r>
      <w:r w:rsidR="00823F92">
        <w:rPr>
          <w:lang w:val="en-US"/>
        </w:rPr>
        <w:t xml:space="preserve">. </w:t>
      </w:r>
    </w:p>
    <w:p w14:paraId="0B26FE14" w14:textId="46CC3048" w:rsidR="000C0FA5" w:rsidRPr="00342CC6" w:rsidRDefault="000C0FA5" w:rsidP="003E4810">
      <w:pPr>
        <w:pStyle w:val="BodyText"/>
        <w:rPr>
          <w:lang w:val="en-US"/>
        </w:rPr>
      </w:pPr>
      <w:r w:rsidRPr="009245F1">
        <w:rPr>
          <w:lang w:val="en-US"/>
        </w:rPr>
        <w:t>Regulation:</w:t>
      </w:r>
      <w:r>
        <w:rPr>
          <w:b/>
          <w:bCs/>
          <w:lang w:val="en-US"/>
        </w:rPr>
        <w:t xml:space="preserve"> </w:t>
      </w:r>
      <w:r>
        <w:rPr>
          <w:lang w:val="en-US"/>
        </w:rPr>
        <w:t>Aborigina</w:t>
      </w:r>
      <w:r w:rsidR="00823F92">
        <w:rPr>
          <w:lang w:val="en-US"/>
        </w:rPr>
        <w:t xml:space="preserve">l </w:t>
      </w:r>
      <w:r>
        <w:rPr>
          <w:lang w:val="en-US"/>
        </w:rPr>
        <w:t>an</w:t>
      </w:r>
      <w:r w:rsidR="00823F92">
        <w:rPr>
          <w:lang w:val="en-US"/>
        </w:rPr>
        <w:t xml:space="preserve">d </w:t>
      </w:r>
      <w:r>
        <w:rPr>
          <w:lang w:val="en-US"/>
        </w:rPr>
        <w:t>Torre</w:t>
      </w:r>
      <w:r w:rsidR="00823F92">
        <w:rPr>
          <w:lang w:val="en-US"/>
        </w:rPr>
        <w:t xml:space="preserve">s </w:t>
      </w:r>
      <w:r>
        <w:rPr>
          <w:lang w:val="en-US"/>
        </w:rPr>
        <w:t>Strai</w:t>
      </w:r>
      <w:r w:rsidR="00823F92">
        <w:rPr>
          <w:lang w:val="en-US"/>
        </w:rPr>
        <w:t xml:space="preserve">t </w:t>
      </w:r>
      <w:r>
        <w:rPr>
          <w:lang w:val="en-US"/>
        </w:rPr>
        <w:t>Islande</w:t>
      </w:r>
      <w:r w:rsidR="00823F92">
        <w:rPr>
          <w:lang w:val="en-US"/>
        </w:rPr>
        <w:t xml:space="preserve">r </w:t>
      </w:r>
      <w:r>
        <w:rPr>
          <w:lang w:val="en-US"/>
        </w:rPr>
        <w:t>h</w:t>
      </w:r>
      <w:r w:rsidRPr="00362A3D">
        <w:rPr>
          <w:lang w:val="en-US"/>
        </w:rPr>
        <w:t>ealt</w:t>
      </w:r>
      <w:r w:rsidR="00823F92" w:rsidRPr="00362A3D">
        <w:rPr>
          <w:lang w:val="en-US"/>
        </w:rPr>
        <w:t>h</w:t>
      </w:r>
      <w:r w:rsidR="00823F92">
        <w:rPr>
          <w:lang w:val="en-US"/>
        </w:rPr>
        <w:t xml:space="preserve"> </w:t>
      </w:r>
      <w:r>
        <w:rPr>
          <w:lang w:val="en-US"/>
        </w:rPr>
        <w:t>p</w:t>
      </w:r>
      <w:r w:rsidRPr="00362A3D">
        <w:rPr>
          <w:lang w:val="en-US"/>
        </w:rPr>
        <w:t>ractitioner</w:t>
      </w:r>
      <w:r w:rsidR="00823F92" w:rsidRPr="00362A3D">
        <w:rPr>
          <w:lang w:val="en-US"/>
        </w:rPr>
        <w:t>s</w:t>
      </w:r>
      <w:r w:rsidR="00823F92">
        <w:rPr>
          <w:lang w:val="en-US"/>
        </w:rPr>
        <w:t xml:space="preserve"> </w:t>
      </w:r>
      <w:r w:rsidRPr="00362A3D">
        <w:rPr>
          <w:lang w:val="en-US"/>
        </w:rPr>
        <w:t>ar</w:t>
      </w:r>
      <w:r w:rsidR="00823F92" w:rsidRPr="00362A3D">
        <w:rPr>
          <w:lang w:val="en-US"/>
        </w:rPr>
        <w:t>e</w:t>
      </w:r>
      <w:r w:rsidR="00823F92">
        <w:rPr>
          <w:lang w:val="en-US"/>
        </w:rPr>
        <w:t xml:space="preserve"> </w:t>
      </w:r>
      <w:r w:rsidRPr="00362A3D">
        <w:rPr>
          <w:lang w:val="en-US"/>
        </w:rPr>
        <w:t>registere</w:t>
      </w:r>
      <w:r w:rsidR="00823F92" w:rsidRPr="00362A3D">
        <w:rPr>
          <w:lang w:val="en-US"/>
        </w:rPr>
        <w:t>d</w:t>
      </w:r>
      <w:r w:rsidR="00823F92">
        <w:rPr>
          <w:lang w:val="en-US"/>
        </w:rPr>
        <w:t xml:space="preserve"> </w:t>
      </w:r>
      <w:r w:rsidRPr="00362A3D">
        <w:rPr>
          <w:lang w:val="en-US"/>
        </w:rPr>
        <w:t>unde</w:t>
      </w:r>
      <w:r w:rsidR="00823F92" w:rsidRPr="00362A3D">
        <w:rPr>
          <w:lang w:val="en-US"/>
        </w:rPr>
        <w:t>r</w:t>
      </w:r>
      <w:r w:rsidR="00823F92">
        <w:rPr>
          <w:lang w:val="en-US"/>
        </w:rPr>
        <w:t xml:space="preserve"> </w:t>
      </w:r>
      <w:r w:rsidR="00821D5E" w:rsidRPr="00821D5E">
        <w:rPr>
          <w:lang w:val="en-US"/>
        </w:rPr>
        <w:t>Aborigina</w:t>
      </w:r>
      <w:r w:rsidR="00823F92" w:rsidRPr="00821D5E">
        <w:rPr>
          <w:lang w:val="en-US"/>
        </w:rPr>
        <w:t>l</w:t>
      </w:r>
      <w:r w:rsidR="00823F92">
        <w:rPr>
          <w:lang w:val="en-US"/>
        </w:rPr>
        <w:t xml:space="preserve"> </w:t>
      </w:r>
      <w:r w:rsidR="00821D5E" w:rsidRPr="00821D5E">
        <w:rPr>
          <w:lang w:val="en-US"/>
        </w:rPr>
        <w:t>an</w:t>
      </w:r>
      <w:r w:rsidR="00823F92" w:rsidRPr="00821D5E">
        <w:rPr>
          <w:lang w:val="en-US"/>
        </w:rPr>
        <w:t>d</w:t>
      </w:r>
      <w:r w:rsidR="00823F92">
        <w:rPr>
          <w:lang w:val="en-US"/>
        </w:rPr>
        <w:t xml:space="preserve"> </w:t>
      </w:r>
      <w:r w:rsidR="00821D5E" w:rsidRPr="00821D5E">
        <w:rPr>
          <w:lang w:val="en-US"/>
        </w:rPr>
        <w:t>Torre</w:t>
      </w:r>
      <w:r w:rsidR="00823F92" w:rsidRPr="00821D5E">
        <w:rPr>
          <w:lang w:val="en-US"/>
        </w:rPr>
        <w:t>s</w:t>
      </w:r>
      <w:r w:rsidR="00823F92">
        <w:rPr>
          <w:lang w:val="en-US"/>
        </w:rPr>
        <w:t xml:space="preserve"> </w:t>
      </w:r>
      <w:r w:rsidR="00821D5E" w:rsidRPr="00821D5E">
        <w:rPr>
          <w:lang w:val="en-US"/>
        </w:rPr>
        <w:t>Strai</w:t>
      </w:r>
      <w:r w:rsidR="00823F92" w:rsidRPr="00821D5E">
        <w:rPr>
          <w:lang w:val="en-US"/>
        </w:rPr>
        <w:t>t</w:t>
      </w:r>
      <w:r w:rsidR="00823F92">
        <w:rPr>
          <w:lang w:val="en-US"/>
        </w:rPr>
        <w:t xml:space="preserve"> </w:t>
      </w:r>
      <w:r w:rsidR="00821D5E" w:rsidRPr="00821D5E">
        <w:rPr>
          <w:lang w:val="en-US"/>
        </w:rPr>
        <w:t>Islande</w:t>
      </w:r>
      <w:r w:rsidR="00823F92" w:rsidRPr="00821D5E">
        <w:rPr>
          <w:lang w:val="en-US"/>
        </w:rPr>
        <w:t>r</w:t>
      </w:r>
      <w:r w:rsidR="00823F92">
        <w:rPr>
          <w:lang w:val="en-US"/>
        </w:rPr>
        <w:t xml:space="preserve"> </w:t>
      </w:r>
      <w:r w:rsidR="00821D5E" w:rsidRPr="00821D5E">
        <w:rPr>
          <w:lang w:val="en-US"/>
        </w:rPr>
        <w:t>Healt</w:t>
      </w:r>
      <w:r w:rsidR="00823F92" w:rsidRPr="00821D5E">
        <w:rPr>
          <w:lang w:val="en-US"/>
        </w:rPr>
        <w:t>h</w:t>
      </w:r>
      <w:r w:rsidR="00823F92">
        <w:rPr>
          <w:lang w:val="en-US"/>
        </w:rPr>
        <w:t xml:space="preserve"> </w:t>
      </w:r>
      <w:r w:rsidR="00821D5E" w:rsidRPr="00821D5E">
        <w:rPr>
          <w:lang w:val="en-US"/>
        </w:rPr>
        <w:t>Practic</w:t>
      </w:r>
      <w:r w:rsidR="00823F92" w:rsidRPr="00821D5E">
        <w:rPr>
          <w:lang w:val="en-US"/>
        </w:rPr>
        <w:t>e</w:t>
      </w:r>
      <w:r w:rsidR="00823F92">
        <w:rPr>
          <w:lang w:val="en-US"/>
        </w:rPr>
        <w:t xml:space="preserve"> </w:t>
      </w:r>
      <w:r w:rsidR="00821D5E" w:rsidRPr="00821D5E">
        <w:rPr>
          <w:lang w:val="en-US"/>
        </w:rPr>
        <w:t>Boar</w:t>
      </w:r>
      <w:r w:rsidR="00823F92" w:rsidRPr="00821D5E">
        <w:rPr>
          <w:lang w:val="en-US"/>
        </w:rPr>
        <w:t>d</w:t>
      </w:r>
      <w:r w:rsidR="00823F92">
        <w:rPr>
          <w:lang w:val="en-US"/>
        </w:rPr>
        <w:t xml:space="preserve"> </w:t>
      </w:r>
      <w:r w:rsidR="00821D5E" w:rsidRPr="00821D5E">
        <w:rPr>
          <w:lang w:val="en-US"/>
        </w:rPr>
        <w:t>o</w:t>
      </w:r>
      <w:r w:rsidR="00823F92" w:rsidRPr="00821D5E">
        <w:rPr>
          <w:lang w:val="en-US"/>
        </w:rPr>
        <w:t>f</w:t>
      </w:r>
      <w:r w:rsidR="00823F92">
        <w:rPr>
          <w:lang w:val="en-US"/>
        </w:rPr>
        <w:t xml:space="preserve"> </w:t>
      </w:r>
      <w:r w:rsidR="00821D5E" w:rsidRPr="00821D5E">
        <w:rPr>
          <w:lang w:val="en-US"/>
        </w:rPr>
        <w:t>Australia</w:t>
      </w:r>
      <w:r w:rsidR="00823F92">
        <w:rPr>
          <w:lang w:val="en-US"/>
        </w:rPr>
        <w:t xml:space="preserve">, </w:t>
      </w:r>
      <w:r w:rsidR="00821D5E">
        <w:rPr>
          <w:lang w:val="en-US"/>
        </w:rPr>
        <w:t>supporte</w:t>
      </w:r>
      <w:r w:rsidR="00823F92">
        <w:rPr>
          <w:lang w:val="en-US"/>
        </w:rPr>
        <w:t xml:space="preserve">d </w:t>
      </w:r>
      <w:r w:rsidR="00821D5E">
        <w:rPr>
          <w:lang w:val="en-US"/>
        </w:rPr>
        <w:t>b</w:t>
      </w:r>
      <w:r w:rsidR="00823F92">
        <w:rPr>
          <w:lang w:val="en-US"/>
        </w:rPr>
        <w:t xml:space="preserve">y </w:t>
      </w:r>
      <w:r w:rsidR="00821D5E">
        <w:rPr>
          <w:lang w:val="en-US"/>
        </w:rPr>
        <w:t>th</w:t>
      </w:r>
      <w:r w:rsidR="00823F92" w:rsidRPr="00362A3D">
        <w:rPr>
          <w:lang w:val="en-US"/>
        </w:rPr>
        <w:t>e</w:t>
      </w:r>
      <w:r w:rsidR="00823F92">
        <w:rPr>
          <w:lang w:val="en-US"/>
        </w:rPr>
        <w:t xml:space="preserve"> </w:t>
      </w:r>
      <w:r w:rsidRPr="00362A3D">
        <w:rPr>
          <w:lang w:val="en-US"/>
        </w:rPr>
        <w:t>Australia</w:t>
      </w:r>
      <w:r w:rsidR="00823F92" w:rsidRPr="00362A3D">
        <w:rPr>
          <w:lang w:val="en-US"/>
        </w:rPr>
        <w:t>n</w:t>
      </w:r>
      <w:r w:rsidR="00823F92">
        <w:rPr>
          <w:lang w:val="en-US"/>
        </w:rPr>
        <w:t xml:space="preserve"> </w:t>
      </w:r>
      <w:r w:rsidRPr="00362A3D">
        <w:rPr>
          <w:lang w:val="en-US"/>
        </w:rPr>
        <w:t>Healt</w:t>
      </w:r>
      <w:r w:rsidR="00823F92" w:rsidRPr="00362A3D">
        <w:rPr>
          <w:lang w:val="en-US"/>
        </w:rPr>
        <w:t>h</w:t>
      </w:r>
      <w:r w:rsidR="00823F92">
        <w:rPr>
          <w:lang w:val="en-US"/>
        </w:rPr>
        <w:t xml:space="preserve"> </w:t>
      </w:r>
      <w:r w:rsidRPr="00362A3D">
        <w:rPr>
          <w:lang w:val="en-US"/>
        </w:rPr>
        <w:t>Practitione</w:t>
      </w:r>
      <w:r w:rsidR="00823F92" w:rsidRPr="00362A3D">
        <w:rPr>
          <w:lang w:val="en-US"/>
        </w:rPr>
        <w:t>r</w:t>
      </w:r>
      <w:r w:rsidR="00823F92">
        <w:rPr>
          <w:lang w:val="en-US"/>
        </w:rPr>
        <w:t xml:space="preserve"> </w:t>
      </w:r>
      <w:r w:rsidRPr="00362A3D">
        <w:rPr>
          <w:lang w:val="en-US"/>
        </w:rPr>
        <w:t>Regulatio</w:t>
      </w:r>
      <w:r w:rsidR="00823F92" w:rsidRPr="00362A3D">
        <w:rPr>
          <w:lang w:val="en-US"/>
        </w:rPr>
        <w:t>n</w:t>
      </w:r>
      <w:r w:rsidR="00823F92">
        <w:rPr>
          <w:lang w:val="en-US"/>
        </w:rPr>
        <w:t xml:space="preserve"> </w:t>
      </w:r>
      <w:r w:rsidRPr="00362A3D">
        <w:rPr>
          <w:lang w:val="en-US"/>
        </w:rPr>
        <w:t>Agenc</w:t>
      </w:r>
      <w:r w:rsidR="00823F92" w:rsidRPr="00362A3D">
        <w:rPr>
          <w:lang w:val="en-US"/>
        </w:rPr>
        <w:t>y</w:t>
      </w:r>
      <w:r w:rsidR="00823F92">
        <w:rPr>
          <w:lang w:val="en-US"/>
        </w:rPr>
        <w:t xml:space="preserve"> </w:t>
      </w:r>
      <w:r w:rsidRPr="00362A3D">
        <w:rPr>
          <w:lang w:val="en-US"/>
        </w:rPr>
        <w:t>(</w:t>
      </w:r>
      <w:proofErr w:type="spellStart"/>
      <w:r w:rsidRPr="00362A3D">
        <w:rPr>
          <w:lang w:val="en-US"/>
        </w:rPr>
        <w:t>A</w:t>
      </w:r>
      <w:r w:rsidR="003D36B4">
        <w:rPr>
          <w:lang w:val="en-US"/>
        </w:rPr>
        <w:t>hpra</w:t>
      </w:r>
      <w:proofErr w:type="spellEnd"/>
      <w:r w:rsidRPr="00362A3D">
        <w:rPr>
          <w:lang w:val="en-US"/>
        </w:rPr>
        <w:t>)</w:t>
      </w:r>
      <w:r w:rsidR="00823F92">
        <w:rPr>
          <w:lang w:val="en-US"/>
        </w:rPr>
        <w:t xml:space="preserve">. </w:t>
      </w:r>
      <w:r w:rsidR="00821D5E">
        <w:rPr>
          <w:lang w:val="en-US"/>
        </w:rPr>
        <w:t>Th</w:t>
      </w:r>
      <w:r w:rsidR="00823F92">
        <w:rPr>
          <w:lang w:val="en-US"/>
        </w:rPr>
        <w:t xml:space="preserve">e </w:t>
      </w:r>
      <w:r w:rsidR="00821D5E">
        <w:rPr>
          <w:lang w:val="en-US"/>
        </w:rPr>
        <w:t>othe</w:t>
      </w:r>
      <w:r w:rsidR="00823F92">
        <w:rPr>
          <w:lang w:val="en-US"/>
        </w:rPr>
        <w:t xml:space="preserve">r </w:t>
      </w:r>
      <w:r w:rsidR="00821D5E">
        <w:rPr>
          <w:lang w:val="en-US"/>
        </w:rPr>
        <w:t>role</w:t>
      </w:r>
      <w:r w:rsidR="00823F92">
        <w:rPr>
          <w:lang w:val="en-US"/>
        </w:rPr>
        <w:t xml:space="preserve">s </w:t>
      </w:r>
      <w:r w:rsidR="00821D5E">
        <w:rPr>
          <w:lang w:val="en-US"/>
        </w:rPr>
        <w:t>ar</w:t>
      </w:r>
      <w:r w:rsidR="00823F92">
        <w:rPr>
          <w:lang w:val="en-US"/>
        </w:rPr>
        <w:t xml:space="preserve">e </w:t>
      </w:r>
      <w:r w:rsidR="00821D5E">
        <w:rPr>
          <w:lang w:val="en-US"/>
        </w:rPr>
        <w:t>no</w:t>
      </w:r>
      <w:r w:rsidR="00823F92">
        <w:rPr>
          <w:lang w:val="en-US"/>
        </w:rPr>
        <w:t xml:space="preserve">t </w:t>
      </w:r>
      <w:r w:rsidR="00821D5E">
        <w:rPr>
          <w:lang w:val="en-US"/>
        </w:rPr>
        <w:t>regulated</w:t>
      </w:r>
      <w:r w:rsidR="00823F92">
        <w:rPr>
          <w:lang w:val="en-US"/>
        </w:rPr>
        <w:t xml:space="preserve">. </w:t>
      </w:r>
    </w:p>
    <w:p w14:paraId="7C9D4B62" w14:textId="6C0BD39F" w:rsidR="00453F15" w:rsidRPr="006C4490" w:rsidRDefault="0071418F" w:rsidP="003E4810">
      <w:pPr>
        <w:pStyle w:val="BodyText"/>
        <w:rPr>
          <w:lang w:val="en-US"/>
        </w:rPr>
      </w:pPr>
      <w:r w:rsidRPr="009245F1">
        <w:rPr>
          <w:lang w:val="en-US"/>
        </w:rPr>
        <w:t>Supply:</w:t>
      </w:r>
      <w:r>
        <w:rPr>
          <w:b/>
          <w:bCs/>
          <w:lang w:val="en-US"/>
        </w:rPr>
        <w:t xml:space="preserve"> </w:t>
      </w:r>
      <w:r w:rsidR="00453F15" w:rsidRPr="006C4490">
        <w:rPr>
          <w:lang w:val="en-US"/>
        </w:rPr>
        <w:t>On</w:t>
      </w:r>
      <w:r w:rsidR="00823F92" w:rsidRPr="006C4490">
        <w:rPr>
          <w:lang w:val="en-US"/>
        </w:rPr>
        <w:t>e</w:t>
      </w:r>
      <w:r w:rsidR="00823F92">
        <w:rPr>
          <w:lang w:val="en-US"/>
        </w:rPr>
        <w:t xml:space="preserve"> </w:t>
      </w:r>
      <w:r w:rsidR="00453F15" w:rsidRPr="006C4490">
        <w:rPr>
          <w:lang w:val="en-US"/>
        </w:rPr>
        <w:t>o</w:t>
      </w:r>
      <w:r w:rsidR="00823F92" w:rsidRPr="006C4490">
        <w:rPr>
          <w:lang w:val="en-US"/>
        </w:rPr>
        <w:t>f</w:t>
      </w:r>
      <w:r w:rsidR="00823F92">
        <w:rPr>
          <w:lang w:val="en-US"/>
        </w:rPr>
        <w:t xml:space="preserve"> </w:t>
      </w:r>
      <w:r w:rsidR="00453F15" w:rsidRPr="006C4490">
        <w:rPr>
          <w:lang w:val="en-US"/>
        </w:rPr>
        <w:t>th</w:t>
      </w:r>
      <w:r w:rsidR="00823F92" w:rsidRPr="006C4490">
        <w:rPr>
          <w:lang w:val="en-US"/>
        </w:rPr>
        <w:t>e</w:t>
      </w:r>
      <w:r w:rsidR="00823F92">
        <w:rPr>
          <w:lang w:val="en-US"/>
        </w:rPr>
        <w:t xml:space="preserve"> </w:t>
      </w:r>
      <w:r w:rsidR="00453F15" w:rsidRPr="006C4490">
        <w:rPr>
          <w:lang w:val="en-US"/>
        </w:rPr>
        <w:t>larges</w:t>
      </w:r>
      <w:r w:rsidR="00823F92" w:rsidRPr="006C4490">
        <w:rPr>
          <w:lang w:val="en-US"/>
        </w:rPr>
        <w:t>t</w:t>
      </w:r>
      <w:r w:rsidR="00823F92">
        <w:rPr>
          <w:lang w:val="en-US"/>
        </w:rPr>
        <w:t xml:space="preserve"> </w:t>
      </w:r>
      <w:r w:rsidR="00453F15" w:rsidRPr="006C4490">
        <w:rPr>
          <w:lang w:val="en-US"/>
        </w:rPr>
        <w:t>shortage</w:t>
      </w:r>
      <w:r w:rsidR="00823F92" w:rsidRPr="006C4490">
        <w:rPr>
          <w:lang w:val="en-US"/>
        </w:rPr>
        <w:t>s</w:t>
      </w:r>
      <w:r w:rsidR="00823F92">
        <w:rPr>
          <w:lang w:val="en-US"/>
        </w:rPr>
        <w:t xml:space="preserve"> </w:t>
      </w:r>
      <w:r w:rsidR="00453F15">
        <w:rPr>
          <w:lang w:val="en-US"/>
        </w:rPr>
        <w:t>i</w:t>
      </w:r>
      <w:r w:rsidR="00823F92">
        <w:rPr>
          <w:lang w:val="en-US"/>
        </w:rPr>
        <w:t xml:space="preserve">n </w:t>
      </w:r>
      <w:r w:rsidR="00453F15" w:rsidRPr="006C4490">
        <w:rPr>
          <w:lang w:val="en-US"/>
        </w:rPr>
        <w:t>th</w:t>
      </w:r>
      <w:r w:rsidR="00823F92" w:rsidRPr="006C4490">
        <w:rPr>
          <w:lang w:val="en-US"/>
        </w:rPr>
        <w:t>e</w:t>
      </w:r>
      <w:r w:rsidR="00823F92">
        <w:rPr>
          <w:lang w:val="en-US"/>
        </w:rPr>
        <w:t xml:space="preserve"> </w:t>
      </w:r>
      <w:r w:rsidR="00453F15" w:rsidRPr="006C4490">
        <w:rPr>
          <w:lang w:val="en-US"/>
        </w:rPr>
        <w:t>menta</w:t>
      </w:r>
      <w:r w:rsidR="00823F92" w:rsidRPr="006C4490">
        <w:rPr>
          <w:lang w:val="en-US"/>
        </w:rPr>
        <w:t>l</w:t>
      </w:r>
      <w:r w:rsidR="00823F92">
        <w:rPr>
          <w:lang w:val="en-US"/>
        </w:rPr>
        <w:t xml:space="preserve"> </w:t>
      </w:r>
      <w:r w:rsidR="00453F15" w:rsidRPr="006C4490">
        <w:rPr>
          <w:lang w:val="en-US"/>
        </w:rPr>
        <w:t>healt</w:t>
      </w:r>
      <w:r w:rsidR="00823F92" w:rsidRPr="006C4490">
        <w:rPr>
          <w:lang w:val="en-US"/>
        </w:rPr>
        <w:t>h</w:t>
      </w:r>
      <w:r w:rsidR="00823F92">
        <w:rPr>
          <w:lang w:val="en-US"/>
        </w:rPr>
        <w:t xml:space="preserve"> </w:t>
      </w:r>
      <w:r w:rsidR="00453F15" w:rsidRPr="006C4490">
        <w:rPr>
          <w:lang w:val="en-US"/>
        </w:rPr>
        <w:t>workforc</w:t>
      </w:r>
      <w:r w:rsidR="00823F92" w:rsidRPr="006C4490">
        <w:rPr>
          <w:lang w:val="en-US"/>
        </w:rPr>
        <w:t>e</w:t>
      </w:r>
      <w:r w:rsidR="00823F92">
        <w:rPr>
          <w:lang w:val="en-US"/>
        </w:rPr>
        <w:t xml:space="preserve"> </w:t>
      </w:r>
      <w:r w:rsidR="00453F15" w:rsidRPr="006C4490">
        <w:rPr>
          <w:lang w:val="en-US"/>
        </w:rPr>
        <w:t>i</w:t>
      </w:r>
      <w:r w:rsidR="00823F92" w:rsidRPr="006C4490">
        <w:rPr>
          <w:lang w:val="en-US"/>
        </w:rPr>
        <w:t>s</w:t>
      </w:r>
      <w:r w:rsidR="00823F92">
        <w:rPr>
          <w:lang w:val="en-US"/>
        </w:rPr>
        <w:t xml:space="preserve"> </w:t>
      </w:r>
      <w:r w:rsidR="00453F15" w:rsidRPr="006C4490">
        <w:rPr>
          <w:lang w:val="en-US"/>
        </w:rPr>
        <w:t>Aborigina</w:t>
      </w:r>
      <w:r w:rsidR="00823F92" w:rsidRPr="006C4490">
        <w:rPr>
          <w:lang w:val="en-US"/>
        </w:rPr>
        <w:t>l</w:t>
      </w:r>
      <w:r w:rsidR="00823F92">
        <w:rPr>
          <w:lang w:val="en-US"/>
        </w:rPr>
        <w:t xml:space="preserve"> </w:t>
      </w:r>
      <w:r w:rsidR="00453F15" w:rsidRPr="006C4490">
        <w:rPr>
          <w:lang w:val="en-US"/>
        </w:rPr>
        <w:t>an</w:t>
      </w:r>
      <w:r w:rsidR="00823F92" w:rsidRPr="006C4490">
        <w:rPr>
          <w:lang w:val="en-US"/>
        </w:rPr>
        <w:t>d</w:t>
      </w:r>
      <w:r w:rsidR="00823F92">
        <w:rPr>
          <w:lang w:val="en-US"/>
        </w:rPr>
        <w:t xml:space="preserve"> </w:t>
      </w:r>
      <w:r w:rsidR="00453F15" w:rsidRPr="006C4490">
        <w:rPr>
          <w:lang w:val="en-US"/>
        </w:rPr>
        <w:t>Torre</w:t>
      </w:r>
      <w:r w:rsidR="00823F92" w:rsidRPr="006C4490">
        <w:rPr>
          <w:lang w:val="en-US"/>
        </w:rPr>
        <w:t>s</w:t>
      </w:r>
      <w:r w:rsidR="00823F92">
        <w:rPr>
          <w:lang w:val="en-US"/>
        </w:rPr>
        <w:t xml:space="preserve"> </w:t>
      </w:r>
      <w:r w:rsidR="00453F15" w:rsidRPr="006C4490">
        <w:rPr>
          <w:lang w:val="en-US"/>
        </w:rPr>
        <w:t>Strai</w:t>
      </w:r>
      <w:r w:rsidR="00823F92" w:rsidRPr="006C4490">
        <w:rPr>
          <w:lang w:val="en-US"/>
        </w:rPr>
        <w:t>t</w:t>
      </w:r>
      <w:r w:rsidR="00823F92">
        <w:rPr>
          <w:lang w:val="en-US"/>
        </w:rPr>
        <w:t xml:space="preserve"> </w:t>
      </w:r>
      <w:r w:rsidR="00453F15" w:rsidRPr="006C4490">
        <w:rPr>
          <w:lang w:val="en-US"/>
        </w:rPr>
        <w:t>Islande</w:t>
      </w:r>
      <w:r w:rsidR="00823F92" w:rsidRPr="006C4490">
        <w:rPr>
          <w:lang w:val="en-US"/>
        </w:rPr>
        <w:t>r</w:t>
      </w:r>
      <w:r w:rsidR="00823F92">
        <w:rPr>
          <w:lang w:val="en-US"/>
        </w:rPr>
        <w:t xml:space="preserve"> </w:t>
      </w:r>
      <w:r w:rsidR="00453F15">
        <w:rPr>
          <w:lang w:val="en-US"/>
        </w:rPr>
        <w:t>m</w:t>
      </w:r>
      <w:r w:rsidR="00453F15" w:rsidRPr="006C4490">
        <w:rPr>
          <w:lang w:val="en-US"/>
        </w:rPr>
        <w:t>enta</w:t>
      </w:r>
      <w:r w:rsidR="00823F92" w:rsidRPr="006C4490">
        <w:rPr>
          <w:lang w:val="en-US"/>
        </w:rPr>
        <w:t>l</w:t>
      </w:r>
      <w:r w:rsidR="00823F92">
        <w:rPr>
          <w:lang w:val="en-US"/>
        </w:rPr>
        <w:t xml:space="preserve"> </w:t>
      </w:r>
      <w:r w:rsidR="00453F15">
        <w:rPr>
          <w:lang w:val="en-US"/>
        </w:rPr>
        <w:t>h</w:t>
      </w:r>
      <w:r w:rsidR="00453F15" w:rsidRPr="006C4490">
        <w:rPr>
          <w:lang w:val="en-US"/>
        </w:rPr>
        <w:t>ealt</w:t>
      </w:r>
      <w:r w:rsidR="00823F92" w:rsidRPr="006C4490">
        <w:rPr>
          <w:lang w:val="en-US"/>
        </w:rPr>
        <w:t>h</w:t>
      </w:r>
      <w:r w:rsidR="00823F92">
        <w:rPr>
          <w:lang w:val="en-US"/>
        </w:rPr>
        <w:t xml:space="preserve"> </w:t>
      </w:r>
      <w:r w:rsidR="00453F15">
        <w:rPr>
          <w:lang w:val="en-US"/>
        </w:rPr>
        <w:t>w</w:t>
      </w:r>
      <w:r w:rsidR="00453F15" w:rsidRPr="006C4490">
        <w:rPr>
          <w:lang w:val="en-US"/>
        </w:rPr>
        <w:t>orkers</w:t>
      </w:r>
      <w:r w:rsidR="00823F92" w:rsidRPr="006C4490">
        <w:rPr>
          <w:lang w:val="en-US"/>
        </w:rPr>
        <w:t>,</w:t>
      </w:r>
      <w:r w:rsidR="00823F92">
        <w:rPr>
          <w:lang w:val="en-US"/>
        </w:rPr>
        <w:t xml:space="preserve"> </w:t>
      </w:r>
      <w:r w:rsidR="00453F15" w:rsidRPr="006C4490">
        <w:rPr>
          <w:lang w:val="en-US"/>
        </w:rPr>
        <w:t>estimate</w:t>
      </w:r>
      <w:r w:rsidR="00823F92" w:rsidRPr="006C4490">
        <w:rPr>
          <w:lang w:val="en-US"/>
        </w:rPr>
        <w:t>d</w:t>
      </w:r>
      <w:r w:rsidR="00823F92">
        <w:rPr>
          <w:lang w:val="en-US"/>
        </w:rPr>
        <w:t xml:space="preserve"> </w:t>
      </w:r>
      <w:r w:rsidR="00453F15" w:rsidRPr="006C4490">
        <w:rPr>
          <w:lang w:val="en-US"/>
        </w:rPr>
        <w:t>a</w:t>
      </w:r>
      <w:r w:rsidR="00823F92" w:rsidRPr="006C4490">
        <w:rPr>
          <w:lang w:val="en-US"/>
        </w:rPr>
        <w:t>t</w:t>
      </w:r>
      <w:r w:rsidR="00823F92">
        <w:rPr>
          <w:lang w:val="en-US"/>
        </w:rPr>
        <w:t xml:space="preserve"> </w:t>
      </w:r>
      <w:r w:rsidR="00453F15" w:rsidRPr="006C4490">
        <w:rPr>
          <w:lang w:val="en-US"/>
        </w:rPr>
        <w:t>5</w:t>
      </w:r>
      <w:r w:rsidR="00823F92" w:rsidRPr="006C4490">
        <w:rPr>
          <w:lang w:val="en-US"/>
        </w:rPr>
        <w:t>3</w:t>
      </w:r>
      <w:r w:rsidR="00823F92">
        <w:rPr>
          <w:lang w:val="en-US"/>
        </w:rPr>
        <w:t xml:space="preserve"> </w:t>
      </w:r>
      <w:r w:rsidR="00453F15" w:rsidRPr="006C4490">
        <w:rPr>
          <w:lang w:val="en-US"/>
        </w:rPr>
        <w:t>FT</w:t>
      </w:r>
      <w:r w:rsidR="00823F92" w:rsidRPr="006C4490">
        <w:rPr>
          <w:lang w:val="en-US"/>
        </w:rPr>
        <w:t>E</w:t>
      </w:r>
      <w:r w:rsidR="00823F92">
        <w:rPr>
          <w:lang w:val="en-US"/>
        </w:rPr>
        <w:t xml:space="preserve"> </w:t>
      </w:r>
      <w:r w:rsidR="00453F15" w:rsidRPr="006C4490">
        <w:rPr>
          <w:lang w:val="en-US"/>
        </w:rPr>
        <w:t>(</w:t>
      </w:r>
      <w:r w:rsidR="00453F15" w:rsidRPr="00C70095">
        <w:rPr>
          <w:lang w:val="en-US"/>
        </w:rPr>
        <w:t>37% o</w:t>
      </w:r>
      <w:r w:rsidR="00823F92" w:rsidRPr="00C70095">
        <w:rPr>
          <w:lang w:val="en-US"/>
        </w:rPr>
        <w:t>f</w:t>
      </w:r>
      <w:r w:rsidR="00823F92">
        <w:rPr>
          <w:lang w:val="en-US"/>
        </w:rPr>
        <w:t xml:space="preserve"> </w:t>
      </w:r>
      <w:r w:rsidR="00453F15" w:rsidRPr="00C70095">
        <w:rPr>
          <w:lang w:val="en-US"/>
        </w:rPr>
        <w:t>th</w:t>
      </w:r>
      <w:r w:rsidR="00823F92" w:rsidRPr="00C70095">
        <w:rPr>
          <w:lang w:val="en-US"/>
        </w:rPr>
        <w:t>e</w:t>
      </w:r>
      <w:r w:rsidR="00823F92">
        <w:rPr>
          <w:lang w:val="en-US"/>
        </w:rPr>
        <w:t xml:space="preserve"> </w:t>
      </w:r>
      <w:r w:rsidR="00453F15" w:rsidRPr="00C70095">
        <w:rPr>
          <w:lang w:val="en-US"/>
        </w:rPr>
        <w:t>NMHSP</w:t>
      </w:r>
      <w:r w:rsidR="00823F92" w:rsidRPr="00C70095">
        <w:rPr>
          <w:lang w:val="en-US"/>
        </w:rPr>
        <w:t>F</w:t>
      </w:r>
      <w:r w:rsidR="00823F92">
        <w:rPr>
          <w:lang w:val="en-US"/>
        </w:rPr>
        <w:t xml:space="preserve"> </w:t>
      </w:r>
      <w:r w:rsidR="00453F15" w:rsidRPr="00C70095">
        <w:rPr>
          <w:lang w:val="en-US"/>
        </w:rPr>
        <w:t>targe</w:t>
      </w:r>
      <w:r w:rsidR="00823F92" w:rsidRPr="00C70095">
        <w:rPr>
          <w:lang w:val="en-US"/>
        </w:rPr>
        <w:t>t</w:t>
      </w:r>
      <w:r w:rsidR="00823F92">
        <w:rPr>
          <w:lang w:val="en-US"/>
        </w:rPr>
        <w:t xml:space="preserve"> </w:t>
      </w:r>
      <w:r w:rsidR="00453F15" w:rsidRPr="00C70095">
        <w:rPr>
          <w:lang w:val="en-US"/>
        </w:rPr>
        <w:t>reached</w:t>
      </w:r>
      <w:r w:rsidR="00453F15" w:rsidRPr="006C4490">
        <w:rPr>
          <w:lang w:val="en-US"/>
        </w:rPr>
        <w:t>)</w:t>
      </w:r>
      <w:r w:rsidR="00823F92" w:rsidRPr="006C4490">
        <w:rPr>
          <w:lang w:val="en-US"/>
        </w:rPr>
        <w:t>.</w:t>
      </w:r>
      <w:r w:rsidR="00823F92">
        <w:rPr>
          <w:lang w:val="en-US"/>
        </w:rPr>
        <w:t xml:space="preserve"> </w:t>
      </w:r>
      <w:r w:rsidR="00453F15" w:rsidRPr="006C4490">
        <w:rPr>
          <w:lang w:val="en-US"/>
        </w:rPr>
        <w:t>A</w:t>
      </w:r>
      <w:r w:rsidR="00823F92" w:rsidRPr="006C4490">
        <w:rPr>
          <w:lang w:val="en-US"/>
        </w:rPr>
        <w:t>n</w:t>
      </w:r>
      <w:r w:rsidR="00823F92">
        <w:rPr>
          <w:lang w:val="en-US"/>
        </w:rPr>
        <w:t xml:space="preserve"> </w:t>
      </w:r>
      <w:r w:rsidR="00453F15" w:rsidRPr="006C4490">
        <w:rPr>
          <w:lang w:val="en-US"/>
        </w:rPr>
        <w:t>agein</w:t>
      </w:r>
      <w:r w:rsidR="00823F92" w:rsidRPr="006C4490">
        <w:rPr>
          <w:lang w:val="en-US"/>
        </w:rPr>
        <w:t>g</w:t>
      </w:r>
      <w:r w:rsidR="00823F92">
        <w:rPr>
          <w:lang w:val="en-US"/>
        </w:rPr>
        <w:t xml:space="preserve"> </w:t>
      </w:r>
      <w:r w:rsidR="00453F15" w:rsidRPr="006C4490">
        <w:rPr>
          <w:lang w:val="en-US"/>
        </w:rPr>
        <w:t>workforc</w:t>
      </w:r>
      <w:r w:rsidR="00823F92" w:rsidRPr="006C4490">
        <w:rPr>
          <w:lang w:val="en-US"/>
        </w:rPr>
        <w:t>e</w:t>
      </w:r>
      <w:r w:rsidR="00823F92">
        <w:rPr>
          <w:lang w:val="en-US"/>
        </w:rPr>
        <w:t xml:space="preserve"> </w:t>
      </w:r>
      <w:r w:rsidR="00453F15" w:rsidRPr="006C4490">
        <w:rPr>
          <w:lang w:val="en-US"/>
        </w:rPr>
        <w:t>i</w:t>
      </w:r>
      <w:r w:rsidR="00823F92" w:rsidRPr="006C4490">
        <w:rPr>
          <w:lang w:val="en-US"/>
        </w:rPr>
        <w:t>s</w:t>
      </w:r>
      <w:r w:rsidR="00823F92">
        <w:rPr>
          <w:lang w:val="en-US"/>
        </w:rPr>
        <w:t xml:space="preserve"> </w:t>
      </w:r>
      <w:r w:rsidR="00453F15" w:rsidRPr="006C4490">
        <w:rPr>
          <w:lang w:val="en-US"/>
        </w:rPr>
        <w:t>contributin</w:t>
      </w:r>
      <w:r w:rsidR="00823F92" w:rsidRPr="006C4490">
        <w:rPr>
          <w:lang w:val="en-US"/>
        </w:rPr>
        <w:t>g</w:t>
      </w:r>
      <w:r w:rsidR="00823F92">
        <w:rPr>
          <w:lang w:val="en-US"/>
        </w:rPr>
        <w:t xml:space="preserve"> </w:t>
      </w:r>
      <w:r w:rsidR="00453F15" w:rsidRPr="006C4490">
        <w:rPr>
          <w:lang w:val="en-US"/>
        </w:rPr>
        <w:t>t</w:t>
      </w:r>
      <w:r w:rsidR="00823F92" w:rsidRPr="006C4490">
        <w:rPr>
          <w:lang w:val="en-US"/>
        </w:rPr>
        <w:t>o</w:t>
      </w:r>
      <w:r w:rsidR="00823F92">
        <w:rPr>
          <w:lang w:val="en-US"/>
        </w:rPr>
        <w:t xml:space="preserve"> </w:t>
      </w:r>
      <w:r w:rsidR="00453F15" w:rsidRPr="006C4490">
        <w:rPr>
          <w:lang w:val="en-US"/>
        </w:rPr>
        <w:t>thi</w:t>
      </w:r>
      <w:r w:rsidR="00823F92" w:rsidRPr="006C4490">
        <w:rPr>
          <w:lang w:val="en-US"/>
        </w:rPr>
        <w:t>s</w:t>
      </w:r>
      <w:r w:rsidR="00823F92">
        <w:rPr>
          <w:lang w:val="en-US"/>
        </w:rPr>
        <w:t xml:space="preserve"> </w:t>
      </w:r>
      <w:r w:rsidR="00453F15" w:rsidRPr="006C4490">
        <w:rPr>
          <w:lang w:val="en-US"/>
        </w:rPr>
        <w:t>shortag</w:t>
      </w:r>
      <w:r w:rsidR="00823F92" w:rsidRPr="006C4490">
        <w:rPr>
          <w:lang w:val="en-US"/>
        </w:rPr>
        <w:t>e</w:t>
      </w:r>
      <w:r w:rsidR="00823F92">
        <w:rPr>
          <w:lang w:val="en-US"/>
        </w:rPr>
        <w:t xml:space="preserve"> </w:t>
      </w:r>
      <w:r w:rsidR="00453F15">
        <w:rPr>
          <w:lang w:val="en-US"/>
        </w:rPr>
        <w:t>wit</w:t>
      </w:r>
      <w:r w:rsidR="00823F92">
        <w:rPr>
          <w:lang w:val="en-US"/>
        </w:rPr>
        <w:t xml:space="preserve">h </w:t>
      </w:r>
      <w:r w:rsidR="00453F15">
        <w:rPr>
          <w:lang w:val="en-US"/>
        </w:rPr>
        <w:t>t</w:t>
      </w:r>
      <w:r w:rsidR="00453F15" w:rsidRPr="006C4490">
        <w:rPr>
          <w:lang w:val="en-US"/>
        </w:rPr>
        <w:t>h</w:t>
      </w:r>
      <w:r w:rsidR="00823F92" w:rsidRPr="006C4490">
        <w:rPr>
          <w:lang w:val="en-US"/>
        </w:rPr>
        <w:t>e</w:t>
      </w:r>
      <w:r w:rsidR="00823F92">
        <w:rPr>
          <w:lang w:val="en-US"/>
        </w:rPr>
        <w:t xml:space="preserve"> </w:t>
      </w:r>
      <w:r w:rsidR="00453F15" w:rsidRPr="006C4490">
        <w:rPr>
          <w:lang w:val="en-US"/>
        </w:rPr>
        <w:t>averag</w:t>
      </w:r>
      <w:r w:rsidR="00823F92" w:rsidRPr="006C4490">
        <w:rPr>
          <w:lang w:val="en-US"/>
        </w:rPr>
        <w:t>e</w:t>
      </w:r>
      <w:r w:rsidR="00823F92">
        <w:rPr>
          <w:lang w:val="en-US"/>
        </w:rPr>
        <w:t xml:space="preserve"> </w:t>
      </w:r>
      <w:r w:rsidR="00453F15" w:rsidRPr="006C4490">
        <w:rPr>
          <w:lang w:val="en-US"/>
        </w:rPr>
        <w:t>ag</w:t>
      </w:r>
      <w:r w:rsidR="00823F92" w:rsidRPr="006C4490">
        <w:rPr>
          <w:lang w:val="en-US"/>
        </w:rPr>
        <w:t>e</w:t>
      </w:r>
      <w:r w:rsidR="00823F92">
        <w:rPr>
          <w:lang w:val="en-US"/>
        </w:rPr>
        <w:t xml:space="preserve"> </w:t>
      </w:r>
      <w:r w:rsidR="00453F15" w:rsidRPr="006C4490">
        <w:rPr>
          <w:lang w:val="en-US"/>
        </w:rPr>
        <w:t>o</w:t>
      </w:r>
      <w:r w:rsidR="00823F92" w:rsidRPr="006C4490">
        <w:rPr>
          <w:lang w:val="en-US"/>
        </w:rPr>
        <w:t>f</w:t>
      </w:r>
      <w:r w:rsidR="00823F92">
        <w:rPr>
          <w:lang w:val="en-US"/>
        </w:rPr>
        <w:t xml:space="preserve"> </w:t>
      </w:r>
      <w:r w:rsidR="00453F15">
        <w:rPr>
          <w:lang w:val="en-US"/>
        </w:rPr>
        <w:t>h</w:t>
      </w:r>
      <w:r w:rsidR="00453F15" w:rsidRPr="006C4490">
        <w:rPr>
          <w:lang w:val="en-US"/>
        </w:rPr>
        <w:t>ealt</w:t>
      </w:r>
      <w:r w:rsidR="00823F92" w:rsidRPr="006C4490">
        <w:rPr>
          <w:lang w:val="en-US"/>
        </w:rPr>
        <w:t>h</w:t>
      </w:r>
      <w:r w:rsidR="00823F92">
        <w:rPr>
          <w:lang w:val="en-US"/>
        </w:rPr>
        <w:t xml:space="preserve"> </w:t>
      </w:r>
      <w:r w:rsidR="00453F15">
        <w:rPr>
          <w:lang w:val="en-US"/>
        </w:rPr>
        <w:t>p</w:t>
      </w:r>
      <w:r w:rsidR="00453F15" w:rsidRPr="006C4490">
        <w:rPr>
          <w:lang w:val="en-US"/>
        </w:rPr>
        <w:t>ractitioner</w:t>
      </w:r>
      <w:r w:rsidR="00823F92" w:rsidRPr="006C4490">
        <w:rPr>
          <w:lang w:val="en-US"/>
        </w:rPr>
        <w:t>s</w:t>
      </w:r>
      <w:r w:rsidR="00823F92">
        <w:rPr>
          <w:lang w:val="en-US"/>
        </w:rPr>
        <w:t xml:space="preserve"> </w:t>
      </w:r>
      <w:r w:rsidR="00453F15" w:rsidRPr="006C4490">
        <w:rPr>
          <w:lang w:val="en-US"/>
        </w:rPr>
        <w:t>an</w:t>
      </w:r>
      <w:r w:rsidR="00823F92" w:rsidRPr="006C4490">
        <w:rPr>
          <w:lang w:val="en-US"/>
        </w:rPr>
        <w:t>d</w:t>
      </w:r>
      <w:r w:rsidR="00823F92">
        <w:rPr>
          <w:lang w:val="en-US"/>
        </w:rPr>
        <w:t xml:space="preserve"> </w:t>
      </w:r>
      <w:r w:rsidR="00453F15">
        <w:rPr>
          <w:lang w:val="en-US"/>
        </w:rPr>
        <w:t>h</w:t>
      </w:r>
      <w:r w:rsidR="00453F15" w:rsidRPr="006C4490">
        <w:rPr>
          <w:lang w:val="en-US"/>
        </w:rPr>
        <w:t>ealt</w:t>
      </w:r>
      <w:r w:rsidR="00823F92" w:rsidRPr="006C4490">
        <w:rPr>
          <w:lang w:val="en-US"/>
        </w:rPr>
        <w:t>h</w:t>
      </w:r>
      <w:r w:rsidR="00823F92">
        <w:rPr>
          <w:lang w:val="en-US"/>
        </w:rPr>
        <w:t xml:space="preserve"> </w:t>
      </w:r>
      <w:r w:rsidR="00453F15" w:rsidRPr="006C4490">
        <w:rPr>
          <w:lang w:val="en-US"/>
        </w:rPr>
        <w:t>worker</w:t>
      </w:r>
      <w:r w:rsidR="00823F92" w:rsidRPr="006C4490">
        <w:rPr>
          <w:lang w:val="en-US"/>
        </w:rPr>
        <w:t>s</w:t>
      </w:r>
      <w:r w:rsidR="00823F92">
        <w:rPr>
          <w:lang w:val="en-US"/>
        </w:rPr>
        <w:t xml:space="preserve"> </w:t>
      </w:r>
      <w:r w:rsidR="00453F15" w:rsidRPr="006C4490">
        <w:rPr>
          <w:lang w:val="en-US"/>
        </w:rPr>
        <w:t>i</w:t>
      </w:r>
      <w:r w:rsidR="00823F92" w:rsidRPr="006C4490">
        <w:rPr>
          <w:lang w:val="en-US"/>
        </w:rPr>
        <w:t>s</w:t>
      </w:r>
      <w:r w:rsidR="00823F92">
        <w:rPr>
          <w:lang w:val="en-US"/>
        </w:rPr>
        <w:t xml:space="preserve"> </w:t>
      </w:r>
      <w:r w:rsidR="00453F15" w:rsidRPr="006C4490">
        <w:rPr>
          <w:lang w:val="en-US"/>
        </w:rPr>
        <w:t>4</w:t>
      </w:r>
      <w:r w:rsidR="00823F92" w:rsidRPr="006C4490">
        <w:rPr>
          <w:lang w:val="en-US"/>
        </w:rPr>
        <w:t>5</w:t>
      </w:r>
      <w:r w:rsidR="00823F92">
        <w:rPr>
          <w:lang w:val="en-US"/>
        </w:rPr>
        <w:t xml:space="preserve"> </w:t>
      </w:r>
      <w:r w:rsidR="00453F15" w:rsidRPr="006C4490">
        <w:rPr>
          <w:lang w:val="en-US"/>
        </w:rPr>
        <w:t>an</w:t>
      </w:r>
      <w:r w:rsidR="00823F92" w:rsidRPr="006C4490">
        <w:rPr>
          <w:lang w:val="en-US"/>
        </w:rPr>
        <w:t>d</w:t>
      </w:r>
      <w:r w:rsidR="00823F92">
        <w:rPr>
          <w:lang w:val="en-US"/>
        </w:rPr>
        <w:t xml:space="preserve"> </w:t>
      </w:r>
      <w:r w:rsidR="00453F15" w:rsidRPr="006C4490">
        <w:rPr>
          <w:lang w:val="en-US"/>
        </w:rPr>
        <w:t>4</w:t>
      </w:r>
      <w:r w:rsidR="00823F92" w:rsidRPr="006C4490">
        <w:rPr>
          <w:lang w:val="en-US"/>
        </w:rPr>
        <w:t>2</w:t>
      </w:r>
      <w:r w:rsidR="00823F92">
        <w:rPr>
          <w:lang w:val="en-US"/>
        </w:rPr>
        <w:t xml:space="preserve"> </w:t>
      </w:r>
      <w:r w:rsidR="00453F15" w:rsidRPr="006C4490">
        <w:rPr>
          <w:lang w:val="en-US"/>
        </w:rPr>
        <w:t>years</w:t>
      </w:r>
      <w:r w:rsidR="00823F92">
        <w:rPr>
          <w:lang w:val="en-US"/>
        </w:rPr>
        <w:t xml:space="preserve">, </w:t>
      </w:r>
      <w:r w:rsidR="00453F15" w:rsidRPr="006C4490">
        <w:rPr>
          <w:lang w:val="en-US"/>
        </w:rPr>
        <w:t>respectively</w:t>
      </w:r>
      <w:r w:rsidR="00823F92" w:rsidRPr="006C4490">
        <w:rPr>
          <w:lang w:val="en-US"/>
        </w:rPr>
        <w:t>.</w:t>
      </w:r>
      <w:r w:rsidR="00823F92">
        <w:rPr>
          <w:lang w:val="en-US"/>
        </w:rPr>
        <w:t xml:space="preserve"> </w:t>
      </w:r>
      <w:r w:rsidR="00492675" w:rsidRPr="00492675">
        <w:rPr>
          <w:lang w:val="en-US"/>
        </w:rPr>
        <w:t>Th</w:t>
      </w:r>
      <w:r w:rsidR="00823F92" w:rsidRPr="00492675">
        <w:rPr>
          <w:lang w:val="en-US"/>
        </w:rPr>
        <w:t>e</w:t>
      </w:r>
      <w:r w:rsidR="00823F92">
        <w:rPr>
          <w:lang w:val="en-US"/>
        </w:rPr>
        <w:t xml:space="preserve"> </w:t>
      </w:r>
      <w:r w:rsidR="00492675" w:rsidRPr="00492675">
        <w:rPr>
          <w:lang w:val="en-US"/>
        </w:rPr>
        <w:t>estimate</w:t>
      </w:r>
      <w:r w:rsidR="00823F92" w:rsidRPr="00492675">
        <w:rPr>
          <w:lang w:val="en-US"/>
        </w:rPr>
        <w:t>d</w:t>
      </w:r>
      <w:r w:rsidR="00823F92">
        <w:rPr>
          <w:lang w:val="en-US"/>
        </w:rPr>
        <w:t xml:space="preserve"> </w:t>
      </w:r>
      <w:r w:rsidR="00492675" w:rsidRPr="00492675">
        <w:rPr>
          <w:lang w:val="en-US"/>
        </w:rPr>
        <w:t>suppl</w:t>
      </w:r>
      <w:r w:rsidR="00823F92" w:rsidRPr="00492675">
        <w:rPr>
          <w:lang w:val="en-US"/>
        </w:rPr>
        <w:t>y</w:t>
      </w:r>
      <w:r w:rsidR="00823F92">
        <w:rPr>
          <w:lang w:val="en-US"/>
        </w:rPr>
        <w:t xml:space="preserve"> </w:t>
      </w:r>
      <w:r w:rsidR="00492675" w:rsidRPr="00492675">
        <w:rPr>
          <w:lang w:val="en-US"/>
        </w:rPr>
        <w:t>o</w:t>
      </w:r>
      <w:r w:rsidR="00823F92" w:rsidRPr="00492675">
        <w:rPr>
          <w:lang w:val="en-US"/>
        </w:rPr>
        <w:t>f</w:t>
      </w:r>
      <w:r w:rsidR="00823F92">
        <w:rPr>
          <w:lang w:val="en-US"/>
        </w:rPr>
        <w:t xml:space="preserve"> </w:t>
      </w:r>
      <w:r w:rsidR="00492675">
        <w:rPr>
          <w:lang w:val="en-US"/>
        </w:rPr>
        <w:t>Aborigina</w:t>
      </w:r>
      <w:r w:rsidR="00823F92">
        <w:rPr>
          <w:lang w:val="en-US"/>
        </w:rPr>
        <w:t xml:space="preserve">l </w:t>
      </w:r>
      <w:r w:rsidR="00492675">
        <w:rPr>
          <w:lang w:val="en-US"/>
        </w:rPr>
        <w:t>an</w:t>
      </w:r>
      <w:r w:rsidR="00823F92">
        <w:rPr>
          <w:lang w:val="en-US"/>
        </w:rPr>
        <w:t xml:space="preserve">d </w:t>
      </w:r>
      <w:r w:rsidR="00492675">
        <w:rPr>
          <w:lang w:val="en-US"/>
        </w:rPr>
        <w:t>Torre</w:t>
      </w:r>
      <w:r w:rsidR="00823F92" w:rsidRPr="00492675">
        <w:rPr>
          <w:lang w:val="en-US"/>
        </w:rPr>
        <w:t>s</w:t>
      </w:r>
      <w:r w:rsidR="00823F92">
        <w:rPr>
          <w:lang w:val="en-US"/>
        </w:rPr>
        <w:t xml:space="preserve"> </w:t>
      </w:r>
      <w:r w:rsidR="00492675">
        <w:rPr>
          <w:lang w:val="en-US"/>
        </w:rPr>
        <w:t>Strai</w:t>
      </w:r>
      <w:r w:rsidR="00823F92">
        <w:rPr>
          <w:lang w:val="en-US"/>
        </w:rPr>
        <w:t xml:space="preserve">t </w:t>
      </w:r>
      <w:r w:rsidR="00492675">
        <w:rPr>
          <w:lang w:val="en-US"/>
        </w:rPr>
        <w:t>Islande</w:t>
      </w:r>
      <w:r w:rsidR="00823F92">
        <w:rPr>
          <w:lang w:val="en-US"/>
        </w:rPr>
        <w:t xml:space="preserve">r </w:t>
      </w:r>
      <w:r w:rsidR="00492675" w:rsidRPr="00492675">
        <w:rPr>
          <w:lang w:val="en-US"/>
        </w:rPr>
        <w:t>menta</w:t>
      </w:r>
      <w:r w:rsidR="00823F92" w:rsidRPr="00492675">
        <w:rPr>
          <w:lang w:val="en-US"/>
        </w:rPr>
        <w:t>l</w:t>
      </w:r>
      <w:r w:rsidR="00823F92">
        <w:rPr>
          <w:lang w:val="en-US"/>
        </w:rPr>
        <w:t xml:space="preserve"> </w:t>
      </w:r>
      <w:r w:rsidR="00492675" w:rsidRPr="00492675">
        <w:rPr>
          <w:lang w:val="en-US"/>
        </w:rPr>
        <w:t>healt</w:t>
      </w:r>
      <w:r w:rsidR="00823F92" w:rsidRPr="00492675">
        <w:rPr>
          <w:lang w:val="en-US"/>
        </w:rPr>
        <w:t>h</w:t>
      </w:r>
      <w:r w:rsidR="00823F92">
        <w:rPr>
          <w:lang w:val="en-US"/>
        </w:rPr>
        <w:t xml:space="preserve"> </w:t>
      </w:r>
      <w:r w:rsidR="00492675" w:rsidRPr="00492675">
        <w:rPr>
          <w:lang w:val="en-US"/>
        </w:rPr>
        <w:t>worker</w:t>
      </w:r>
      <w:r w:rsidR="00823F92" w:rsidRPr="00492675">
        <w:rPr>
          <w:lang w:val="en-US"/>
        </w:rPr>
        <w:t>s</w:t>
      </w:r>
      <w:r w:rsidR="00823F92">
        <w:rPr>
          <w:lang w:val="en-US"/>
        </w:rPr>
        <w:t xml:space="preserve"> </w:t>
      </w:r>
      <w:r w:rsidR="00492675" w:rsidRPr="00492675">
        <w:rPr>
          <w:lang w:val="en-US"/>
        </w:rPr>
        <w:t>doe</w:t>
      </w:r>
      <w:r w:rsidR="00823F92" w:rsidRPr="00492675">
        <w:rPr>
          <w:lang w:val="en-US"/>
        </w:rPr>
        <w:t>s</w:t>
      </w:r>
      <w:r w:rsidR="00823F92">
        <w:rPr>
          <w:lang w:val="en-US"/>
        </w:rPr>
        <w:t xml:space="preserve"> </w:t>
      </w:r>
      <w:r w:rsidR="00492675" w:rsidRPr="00492675">
        <w:rPr>
          <w:lang w:val="en-US"/>
        </w:rPr>
        <w:t>no</w:t>
      </w:r>
      <w:r w:rsidR="00823F92" w:rsidRPr="00492675">
        <w:rPr>
          <w:lang w:val="en-US"/>
        </w:rPr>
        <w:t>t</w:t>
      </w:r>
      <w:r w:rsidR="00823F92">
        <w:rPr>
          <w:lang w:val="en-US"/>
        </w:rPr>
        <w:t xml:space="preserve"> </w:t>
      </w:r>
      <w:r w:rsidR="00492675" w:rsidRPr="00492675">
        <w:rPr>
          <w:lang w:val="en-US"/>
        </w:rPr>
        <w:t>mee</w:t>
      </w:r>
      <w:r w:rsidR="00823F92" w:rsidRPr="00492675">
        <w:rPr>
          <w:lang w:val="en-US"/>
        </w:rPr>
        <w:t>t</w:t>
      </w:r>
      <w:r w:rsidR="00823F92">
        <w:rPr>
          <w:lang w:val="en-US"/>
        </w:rPr>
        <w:t xml:space="preserve"> </w:t>
      </w:r>
      <w:r w:rsidR="00492675" w:rsidRPr="00492675">
        <w:rPr>
          <w:lang w:val="en-US"/>
        </w:rPr>
        <w:t>NMHSP</w:t>
      </w:r>
      <w:r w:rsidR="00823F92" w:rsidRPr="00492675">
        <w:rPr>
          <w:lang w:val="en-US"/>
        </w:rPr>
        <w:t>F</w:t>
      </w:r>
      <w:r w:rsidR="00823F92">
        <w:rPr>
          <w:lang w:val="en-US"/>
        </w:rPr>
        <w:t xml:space="preserve"> </w:t>
      </w:r>
      <w:r w:rsidR="00492675" w:rsidRPr="00492675">
        <w:rPr>
          <w:lang w:val="en-US"/>
        </w:rPr>
        <w:t>target</w:t>
      </w:r>
      <w:r w:rsidR="00823F92" w:rsidRPr="00492675">
        <w:rPr>
          <w:lang w:val="en-US"/>
        </w:rPr>
        <w:t>s</w:t>
      </w:r>
      <w:r w:rsidR="00823F92">
        <w:rPr>
          <w:lang w:val="en-US"/>
        </w:rPr>
        <w:t xml:space="preserve"> </w:t>
      </w:r>
      <w:r w:rsidR="00492675" w:rsidRPr="00492675">
        <w:rPr>
          <w:lang w:val="en-US"/>
        </w:rPr>
        <w:t>i</w:t>
      </w:r>
      <w:r w:rsidR="00823F92" w:rsidRPr="00492675">
        <w:rPr>
          <w:lang w:val="en-US"/>
        </w:rPr>
        <w:t>n</w:t>
      </w:r>
      <w:r w:rsidR="00823F92">
        <w:rPr>
          <w:lang w:val="en-US"/>
        </w:rPr>
        <w:t xml:space="preserve"> </w:t>
      </w:r>
      <w:r w:rsidR="00492675" w:rsidRPr="00492675">
        <w:rPr>
          <w:lang w:val="en-US"/>
        </w:rPr>
        <w:t>mos</w:t>
      </w:r>
      <w:r w:rsidR="00823F92" w:rsidRPr="00492675">
        <w:rPr>
          <w:lang w:val="en-US"/>
        </w:rPr>
        <w:t>t</w:t>
      </w:r>
      <w:r w:rsidR="00823F92">
        <w:rPr>
          <w:lang w:val="en-US"/>
        </w:rPr>
        <w:t xml:space="preserve"> </w:t>
      </w:r>
      <w:r w:rsidR="00492675" w:rsidRPr="00492675">
        <w:rPr>
          <w:lang w:val="en-US"/>
        </w:rPr>
        <w:t>region</w:t>
      </w:r>
      <w:r w:rsidR="00823F92" w:rsidRPr="00492675">
        <w:rPr>
          <w:lang w:val="en-US"/>
        </w:rPr>
        <w:t>s</w:t>
      </w:r>
      <w:r w:rsidR="00823F92">
        <w:rPr>
          <w:lang w:val="en-US"/>
        </w:rPr>
        <w:t xml:space="preserve"> </w:t>
      </w:r>
      <w:r w:rsidR="00492675" w:rsidRPr="00492675">
        <w:rPr>
          <w:lang w:val="en-US"/>
        </w:rPr>
        <w:t>(MMM1-5)</w:t>
      </w:r>
      <w:r w:rsidR="00823F92" w:rsidRPr="00492675">
        <w:rPr>
          <w:lang w:val="en-US"/>
        </w:rPr>
        <w:t>.</w:t>
      </w:r>
      <w:r w:rsidR="00823F92">
        <w:rPr>
          <w:lang w:val="en-US"/>
        </w:rPr>
        <w:t xml:space="preserve"> </w:t>
      </w:r>
      <w:r w:rsidR="00492675" w:rsidRPr="00492675">
        <w:rPr>
          <w:lang w:val="en-US"/>
        </w:rPr>
        <w:t>However</w:t>
      </w:r>
      <w:r w:rsidR="00823F92" w:rsidRPr="00492675">
        <w:rPr>
          <w:lang w:val="en-US"/>
        </w:rPr>
        <w:t>,</w:t>
      </w:r>
      <w:r w:rsidR="00823F92">
        <w:rPr>
          <w:lang w:val="en-US"/>
        </w:rPr>
        <w:t xml:space="preserve"> </w:t>
      </w:r>
      <w:r w:rsidR="00492675" w:rsidRPr="00492675">
        <w:rPr>
          <w:lang w:val="en-US"/>
        </w:rPr>
        <w:t>a</w:t>
      </w:r>
      <w:r w:rsidR="00823F92" w:rsidRPr="00492675">
        <w:rPr>
          <w:lang w:val="en-US"/>
        </w:rPr>
        <w:t>s</w:t>
      </w:r>
      <w:r w:rsidR="00823F92">
        <w:rPr>
          <w:lang w:val="en-US"/>
        </w:rPr>
        <w:t xml:space="preserve"> </w:t>
      </w:r>
      <w:r w:rsidR="00492675" w:rsidRPr="00492675">
        <w:rPr>
          <w:lang w:val="en-US"/>
        </w:rPr>
        <w:t>ruralit</w:t>
      </w:r>
      <w:r w:rsidR="00823F92" w:rsidRPr="00492675">
        <w:rPr>
          <w:lang w:val="en-US"/>
        </w:rPr>
        <w:t>y</w:t>
      </w:r>
      <w:r w:rsidR="00823F92">
        <w:rPr>
          <w:lang w:val="en-US"/>
        </w:rPr>
        <w:t xml:space="preserve"> </w:t>
      </w:r>
      <w:r w:rsidR="00492675" w:rsidRPr="00492675">
        <w:rPr>
          <w:lang w:val="en-US"/>
        </w:rPr>
        <w:t>increases</w:t>
      </w:r>
      <w:r w:rsidR="00823F92" w:rsidRPr="00492675">
        <w:rPr>
          <w:lang w:val="en-US"/>
        </w:rPr>
        <w:t>,</w:t>
      </w:r>
      <w:r w:rsidR="00823F92">
        <w:rPr>
          <w:lang w:val="en-US"/>
        </w:rPr>
        <w:t xml:space="preserve"> </w:t>
      </w:r>
      <w:r w:rsidR="00492675" w:rsidRPr="00492675">
        <w:rPr>
          <w:lang w:val="en-US"/>
        </w:rPr>
        <w:t>th</w:t>
      </w:r>
      <w:r w:rsidR="00823F92" w:rsidRPr="00492675">
        <w:rPr>
          <w:lang w:val="en-US"/>
        </w:rPr>
        <w:t>e</w:t>
      </w:r>
      <w:r w:rsidR="00823F92">
        <w:rPr>
          <w:lang w:val="en-US"/>
        </w:rPr>
        <w:t xml:space="preserve"> </w:t>
      </w:r>
      <w:r w:rsidR="00492675" w:rsidRPr="00492675">
        <w:rPr>
          <w:lang w:val="en-US"/>
        </w:rPr>
        <w:t>availabilit</w:t>
      </w:r>
      <w:r w:rsidR="00823F92" w:rsidRPr="00492675">
        <w:rPr>
          <w:lang w:val="en-US"/>
        </w:rPr>
        <w:t>y</w:t>
      </w:r>
      <w:r w:rsidR="00823F92">
        <w:rPr>
          <w:lang w:val="en-US"/>
        </w:rPr>
        <w:t xml:space="preserve"> </w:t>
      </w:r>
      <w:r w:rsidR="00492675" w:rsidRPr="00492675">
        <w:rPr>
          <w:lang w:val="en-US"/>
        </w:rPr>
        <w:t>o</w:t>
      </w:r>
      <w:r w:rsidR="00823F92" w:rsidRPr="00492675">
        <w:rPr>
          <w:lang w:val="en-US"/>
        </w:rPr>
        <w:t>f</w:t>
      </w:r>
      <w:r w:rsidR="00823F92">
        <w:rPr>
          <w:lang w:val="en-US"/>
        </w:rPr>
        <w:t xml:space="preserve"> </w:t>
      </w:r>
      <w:r w:rsidR="00492675">
        <w:rPr>
          <w:lang w:val="en-US"/>
        </w:rPr>
        <w:t>Aborigina</w:t>
      </w:r>
      <w:r w:rsidR="00823F92">
        <w:rPr>
          <w:lang w:val="en-US"/>
        </w:rPr>
        <w:t xml:space="preserve">l </w:t>
      </w:r>
      <w:r w:rsidR="00492675">
        <w:rPr>
          <w:lang w:val="en-US"/>
        </w:rPr>
        <w:t>an</w:t>
      </w:r>
      <w:r w:rsidR="00823F92">
        <w:rPr>
          <w:lang w:val="en-US"/>
        </w:rPr>
        <w:t xml:space="preserve">d </w:t>
      </w:r>
      <w:r w:rsidR="00492675">
        <w:rPr>
          <w:lang w:val="en-US"/>
        </w:rPr>
        <w:t>Torre</w:t>
      </w:r>
      <w:r w:rsidR="00823F92" w:rsidRPr="00492675">
        <w:rPr>
          <w:lang w:val="en-US"/>
        </w:rPr>
        <w:t>s</w:t>
      </w:r>
      <w:r w:rsidR="00823F92">
        <w:rPr>
          <w:lang w:val="en-US"/>
        </w:rPr>
        <w:t xml:space="preserve"> </w:t>
      </w:r>
      <w:r w:rsidR="00492675">
        <w:rPr>
          <w:lang w:val="en-US"/>
        </w:rPr>
        <w:t>Strai</w:t>
      </w:r>
      <w:r w:rsidR="00823F92">
        <w:rPr>
          <w:lang w:val="en-US"/>
        </w:rPr>
        <w:t xml:space="preserve">t </w:t>
      </w:r>
      <w:r w:rsidR="00492675">
        <w:rPr>
          <w:lang w:val="en-US"/>
        </w:rPr>
        <w:t>Islande</w:t>
      </w:r>
      <w:r w:rsidR="00823F92">
        <w:rPr>
          <w:lang w:val="en-US"/>
        </w:rPr>
        <w:t xml:space="preserve">r </w:t>
      </w:r>
      <w:r w:rsidR="00492675" w:rsidRPr="00492675">
        <w:rPr>
          <w:lang w:val="en-US"/>
        </w:rPr>
        <w:t>menta</w:t>
      </w:r>
      <w:r w:rsidR="00823F92" w:rsidRPr="00492675">
        <w:rPr>
          <w:lang w:val="en-US"/>
        </w:rPr>
        <w:t>l</w:t>
      </w:r>
      <w:r w:rsidR="00823F92">
        <w:rPr>
          <w:lang w:val="en-US"/>
        </w:rPr>
        <w:t xml:space="preserve"> </w:t>
      </w:r>
      <w:r w:rsidR="00492675" w:rsidRPr="00492675">
        <w:rPr>
          <w:lang w:val="en-US"/>
        </w:rPr>
        <w:t>healt</w:t>
      </w:r>
      <w:r w:rsidR="00823F92" w:rsidRPr="00492675">
        <w:rPr>
          <w:lang w:val="en-US"/>
        </w:rPr>
        <w:t>h</w:t>
      </w:r>
      <w:r w:rsidR="00823F92">
        <w:rPr>
          <w:lang w:val="en-US"/>
        </w:rPr>
        <w:t xml:space="preserve"> </w:t>
      </w:r>
      <w:r w:rsidR="00492675" w:rsidRPr="00492675">
        <w:rPr>
          <w:lang w:val="en-US"/>
        </w:rPr>
        <w:t>worker</w:t>
      </w:r>
      <w:r w:rsidR="00823F92" w:rsidRPr="00492675">
        <w:rPr>
          <w:lang w:val="en-US"/>
        </w:rPr>
        <w:t>s</w:t>
      </w:r>
      <w:r w:rsidR="00823F92">
        <w:rPr>
          <w:lang w:val="en-US"/>
        </w:rPr>
        <w:t xml:space="preserve"> </w:t>
      </w:r>
      <w:r w:rsidR="00492675" w:rsidRPr="00492675">
        <w:rPr>
          <w:lang w:val="en-US"/>
        </w:rPr>
        <w:t>meet</w:t>
      </w:r>
      <w:r w:rsidR="00823F92" w:rsidRPr="00492675">
        <w:rPr>
          <w:lang w:val="en-US"/>
        </w:rPr>
        <w:t>s</w:t>
      </w:r>
      <w:r w:rsidR="00823F92">
        <w:rPr>
          <w:lang w:val="en-US"/>
        </w:rPr>
        <w:t xml:space="preserve"> </w:t>
      </w:r>
      <w:r w:rsidR="00492675" w:rsidRPr="00492675">
        <w:rPr>
          <w:lang w:val="en-US"/>
        </w:rPr>
        <w:t>o</w:t>
      </w:r>
      <w:r w:rsidR="00823F92" w:rsidRPr="00492675">
        <w:rPr>
          <w:lang w:val="en-US"/>
        </w:rPr>
        <w:t>r</w:t>
      </w:r>
      <w:r w:rsidR="00823F92">
        <w:rPr>
          <w:lang w:val="en-US"/>
        </w:rPr>
        <w:t xml:space="preserve"> </w:t>
      </w:r>
      <w:r w:rsidR="00492675" w:rsidRPr="00492675">
        <w:rPr>
          <w:lang w:val="en-US"/>
        </w:rPr>
        <w:t>exceed</w:t>
      </w:r>
      <w:r w:rsidR="00823F92" w:rsidRPr="00492675">
        <w:rPr>
          <w:lang w:val="en-US"/>
        </w:rPr>
        <w:t>s</w:t>
      </w:r>
      <w:r w:rsidR="00823F92">
        <w:rPr>
          <w:lang w:val="en-US"/>
        </w:rPr>
        <w:t xml:space="preserve"> </w:t>
      </w:r>
      <w:r w:rsidR="00492675" w:rsidRPr="00492675">
        <w:rPr>
          <w:lang w:val="en-US"/>
        </w:rPr>
        <w:t>NMHSP</w:t>
      </w:r>
      <w:r w:rsidR="00823F92" w:rsidRPr="00492675">
        <w:rPr>
          <w:lang w:val="en-US"/>
        </w:rPr>
        <w:t>F</w:t>
      </w:r>
      <w:r w:rsidR="00823F92">
        <w:rPr>
          <w:lang w:val="en-US"/>
        </w:rPr>
        <w:t xml:space="preserve"> </w:t>
      </w:r>
      <w:r w:rsidR="00492675" w:rsidRPr="00492675">
        <w:rPr>
          <w:lang w:val="en-US"/>
        </w:rPr>
        <w:t>target</w:t>
      </w:r>
      <w:r w:rsidR="00823F92" w:rsidRPr="00492675">
        <w:rPr>
          <w:lang w:val="en-US"/>
        </w:rPr>
        <w:t>s</w:t>
      </w:r>
      <w:r w:rsidR="00823F92">
        <w:rPr>
          <w:lang w:val="en-US"/>
        </w:rPr>
        <w:t xml:space="preserve"> </w:t>
      </w:r>
      <w:r w:rsidR="00492675" w:rsidRPr="00492675">
        <w:rPr>
          <w:lang w:val="en-US"/>
        </w:rPr>
        <w:t>(e.g.</w:t>
      </w:r>
      <w:r w:rsidR="00823F92" w:rsidRPr="00492675">
        <w:rPr>
          <w:lang w:val="en-US"/>
        </w:rPr>
        <w:t>,</w:t>
      </w:r>
      <w:r w:rsidR="00823F92">
        <w:rPr>
          <w:lang w:val="en-US"/>
        </w:rPr>
        <w:t xml:space="preserve"> </w:t>
      </w:r>
      <w:r w:rsidR="00492675" w:rsidRPr="00492675">
        <w:rPr>
          <w:lang w:val="en-US"/>
        </w:rPr>
        <w:t>MMM6-7).</w:t>
      </w:r>
    </w:p>
    <w:p w14:paraId="3961EBCF" w14:textId="0DD3B5D4" w:rsidR="00453F15" w:rsidRPr="000E25B1" w:rsidRDefault="00453F15" w:rsidP="009245F1">
      <w:pPr>
        <w:pStyle w:val="Heading3"/>
      </w:pPr>
      <w:r w:rsidRPr="000E25B1">
        <w:lastRenderedPageBreak/>
        <w:t>Counsellor</w:t>
      </w:r>
      <w:r w:rsidR="00823F92" w:rsidRPr="000E25B1">
        <w:t>s</w:t>
      </w:r>
      <w:r w:rsidR="00823F92">
        <w:t xml:space="preserve"> </w:t>
      </w:r>
      <w:r w:rsidRPr="000E25B1">
        <w:t>an</w:t>
      </w:r>
      <w:r w:rsidR="00823F92" w:rsidRPr="000E25B1">
        <w:t>d</w:t>
      </w:r>
      <w:r w:rsidR="00823F92">
        <w:t xml:space="preserve"> </w:t>
      </w:r>
      <w:r>
        <w:t>p</w:t>
      </w:r>
      <w:r w:rsidRPr="000E25B1">
        <w:t>sychotherapists</w:t>
      </w:r>
    </w:p>
    <w:p w14:paraId="07B04702" w14:textId="5238F3BF" w:rsidR="005137B8" w:rsidRDefault="005137B8" w:rsidP="009245F1">
      <w:pPr>
        <w:pStyle w:val="BodyText"/>
        <w:keepNext/>
        <w:keepLines/>
        <w:rPr>
          <w:lang w:val="en-US"/>
        </w:rPr>
      </w:pPr>
      <w:r>
        <w:rPr>
          <w:b/>
          <w:bCs/>
          <w:lang w:val="en-US"/>
        </w:rPr>
        <w:t>Role:</w:t>
      </w:r>
      <w:r w:rsidRPr="005137B8">
        <w:rPr>
          <w:lang w:val="en-US"/>
        </w:rPr>
        <w:t xml:space="preserve"> </w:t>
      </w:r>
      <w:r w:rsidR="00897F89" w:rsidRPr="00897F89">
        <w:rPr>
          <w:lang w:val="en-US"/>
        </w:rPr>
        <w:t>Counsellor</w:t>
      </w:r>
      <w:r w:rsidR="00823F92" w:rsidRPr="00897F89">
        <w:rPr>
          <w:lang w:val="en-US"/>
        </w:rPr>
        <w:t>s</w:t>
      </w:r>
      <w:r w:rsidR="00823F92">
        <w:rPr>
          <w:lang w:val="en-US"/>
        </w:rPr>
        <w:t xml:space="preserve"> </w:t>
      </w:r>
      <w:r w:rsidR="00897F89" w:rsidRPr="00897F89">
        <w:rPr>
          <w:lang w:val="en-US"/>
        </w:rPr>
        <w:t>an</w:t>
      </w:r>
      <w:r w:rsidR="00823F92" w:rsidRPr="00897F89">
        <w:rPr>
          <w:lang w:val="en-US"/>
        </w:rPr>
        <w:t>d</w:t>
      </w:r>
      <w:r w:rsidR="00823F92">
        <w:rPr>
          <w:lang w:val="en-US"/>
        </w:rPr>
        <w:t xml:space="preserve"> </w:t>
      </w:r>
      <w:r w:rsidR="00897F89" w:rsidRPr="00897F89">
        <w:rPr>
          <w:lang w:val="en-US"/>
        </w:rPr>
        <w:t>psychotherapist</w:t>
      </w:r>
      <w:r w:rsidR="00823F92" w:rsidRPr="00897F89">
        <w:rPr>
          <w:lang w:val="en-US"/>
        </w:rPr>
        <w:t>s</w:t>
      </w:r>
      <w:r w:rsidR="00823F92">
        <w:rPr>
          <w:lang w:val="en-US"/>
        </w:rPr>
        <w:t xml:space="preserve"> </w:t>
      </w:r>
      <w:r w:rsidR="00897F89" w:rsidRPr="00897F89">
        <w:rPr>
          <w:lang w:val="en-US"/>
        </w:rPr>
        <w:t>delive</w:t>
      </w:r>
      <w:r w:rsidR="00823F92" w:rsidRPr="00897F89">
        <w:rPr>
          <w:lang w:val="en-US"/>
        </w:rPr>
        <w:t>r</w:t>
      </w:r>
      <w:r w:rsidR="00823F92">
        <w:rPr>
          <w:lang w:val="en-US"/>
        </w:rPr>
        <w:t xml:space="preserve"> </w:t>
      </w:r>
      <w:r w:rsidR="00823F92" w:rsidRPr="00897F89">
        <w:rPr>
          <w:lang w:val="en-US"/>
        </w:rPr>
        <w:t>a</w:t>
      </w:r>
      <w:r w:rsidR="00823F92">
        <w:rPr>
          <w:lang w:val="en-US"/>
        </w:rPr>
        <w:t xml:space="preserve"> </w:t>
      </w:r>
      <w:r w:rsidR="00897F89" w:rsidRPr="00897F89">
        <w:rPr>
          <w:lang w:val="en-US"/>
        </w:rPr>
        <w:t>rang</w:t>
      </w:r>
      <w:r w:rsidR="00823F92" w:rsidRPr="00897F89">
        <w:rPr>
          <w:lang w:val="en-US"/>
        </w:rPr>
        <w:t>e</w:t>
      </w:r>
      <w:r w:rsidR="00823F92">
        <w:rPr>
          <w:lang w:val="en-US"/>
        </w:rPr>
        <w:t xml:space="preserve"> </w:t>
      </w:r>
      <w:r w:rsidR="00897F89" w:rsidRPr="00897F89">
        <w:rPr>
          <w:lang w:val="en-US"/>
        </w:rPr>
        <w:t>o</w:t>
      </w:r>
      <w:r w:rsidR="00823F92" w:rsidRPr="00897F89">
        <w:rPr>
          <w:lang w:val="en-US"/>
        </w:rPr>
        <w:t>f</w:t>
      </w:r>
      <w:r w:rsidR="00823F92">
        <w:rPr>
          <w:lang w:val="en-US"/>
        </w:rPr>
        <w:t xml:space="preserve"> </w:t>
      </w:r>
      <w:r w:rsidR="00897F89" w:rsidRPr="00897F89">
        <w:rPr>
          <w:lang w:val="en-US"/>
        </w:rPr>
        <w:t>talkin</w:t>
      </w:r>
      <w:r w:rsidR="00823F92" w:rsidRPr="00897F89">
        <w:rPr>
          <w:lang w:val="en-US"/>
        </w:rPr>
        <w:t>g</w:t>
      </w:r>
      <w:r w:rsidR="00823F92">
        <w:rPr>
          <w:lang w:val="en-US"/>
        </w:rPr>
        <w:t xml:space="preserve"> </w:t>
      </w:r>
      <w:r w:rsidR="00897F89" w:rsidRPr="00897F89">
        <w:rPr>
          <w:lang w:val="en-US"/>
        </w:rPr>
        <w:t>therapies</w:t>
      </w:r>
      <w:r w:rsidR="00823F92" w:rsidRPr="00897F89">
        <w:rPr>
          <w:lang w:val="en-US"/>
        </w:rPr>
        <w:t>,</w:t>
      </w:r>
      <w:r w:rsidR="00823F92">
        <w:rPr>
          <w:lang w:val="en-US"/>
        </w:rPr>
        <w:t xml:space="preserve"> </w:t>
      </w:r>
      <w:r w:rsidR="00897F89" w:rsidRPr="00897F89">
        <w:rPr>
          <w:lang w:val="en-US"/>
        </w:rPr>
        <w:t>whic</w:t>
      </w:r>
      <w:r w:rsidR="00823F92" w:rsidRPr="00897F89">
        <w:rPr>
          <w:lang w:val="en-US"/>
        </w:rPr>
        <w:t>h</w:t>
      </w:r>
      <w:r w:rsidR="00823F92">
        <w:rPr>
          <w:lang w:val="en-US"/>
        </w:rPr>
        <w:t xml:space="preserve"> </w:t>
      </w:r>
      <w:r w:rsidR="00897F89" w:rsidRPr="00897F89">
        <w:rPr>
          <w:lang w:val="en-US"/>
        </w:rPr>
        <w:t>facilitat</w:t>
      </w:r>
      <w:r w:rsidR="00823F92" w:rsidRPr="00897F89">
        <w:rPr>
          <w:lang w:val="en-US"/>
        </w:rPr>
        <w:t>e</w:t>
      </w:r>
      <w:r w:rsidR="00823F92">
        <w:rPr>
          <w:lang w:val="en-US"/>
        </w:rPr>
        <w:t xml:space="preserve"> </w:t>
      </w:r>
      <w:r w:rsidR="00897F89" w:rsidRPr="00897F89">
        <w:rPr>
          <w:lang w:val="en-US"/>
        </w:rPr>
        <w:t>chang</w:t>
      </w:r>
      <w:r w:rsidR="00823F92" w:rsidRPr="00897F89">
        <w:rPr>
          <w:lang w:val="en-US"/>
        </w:rPr>
        <w:t>e</w:t>
      </w:r>
      <w:r w:rsidR="00823F92">
        <w:rPr>
          <w:lang w:val="en-US"/>
        </w:rPr>
        <w:t xml:space="preserve"> </w:t>
      </w:r>
      <w:r w:rsidR="00897F89" w:rsidRPr="00897F89">
        <w:rPr>
          <w:lang w:val="en-US"/>
        </w:rPr>
        <w:t>an</w:t>
      </w:r>
      <w:r w:rsidR="00823F92" w:rsidRPr="00897F89">
        <w:rPr>
          <w:lang w:val="en-US"/>
        </w:rPr>
        <w:t>d</w:t>
      </w:r>
      <w:r w:rsidR="00823F92">
        <w:rPr>
          <w:lang w:val="en-US"/>
        </w:rPr>
        <w:t xml:space="preserve"> </w:t>
      </w:r>
      <w:r w:rsidR="00897F89" w:rsidRPr="00897F89">
        <w:rPr>
          <w:lang w:val="en-US"/>
        </w:rPr>
        <w:t>enhanc</w:t>
      </w:r>
      <w:r w:rsidR="00823F92" w:rsidRPr="00897F89">
        <w:rPr>
          <w:lang w:val="en-US"/>
        </w:rPr>
        <w:t>e</w:t>
      </w:r>
      <w:r w:rsidR="00823F92">
        <w:rPr>
          <w:lang w:val="en-US"/>
        </w:rPr>
        <w:t xml:space="preserve"> </w:t>
      </w:r>
      <w:r w:rsidR="00897F89" w:rsidRPr="00897F89">
        <w:rPr>
          <w:lang w:val="en-US"/>
        </w:rPr>
        <w:t>self-awareness</w:t>
      </w:r>
      <w:r w:rsidR="00823F92" w:rsidRPr="00897F89">
        <w:rPr>
          <w:lang w:val="en-US"/>
        </w:rPr>
        <w:t>,</w:t>
      </w:r>
      <w:r w:rsidR="00823F92">
        <w:rPr>
          <w:lang w:val="en-US"/>
        </w:rPr>
        <w:t xml:space="preserve"> </w:t>
      </w:r>
      <w:r w:rsidR="00897F89" w:rsidRPr="00897F89">
        <w:rPr>
          <w:lang w:val="en-US"/>
        </w:rPr>
        <w:t>a</w:t>
      </w:r>
      <w:r w:rsidR="00823F92" w:rsidRPr="00897F89">
        <w:rPr>
          <w:lang w:val="en-US"/>
        </w:rPr>
        <w:t>s</w:t>
      </w:r>
      <w:r w:rsidR="00823F92">
        <w:rPr>
          <w:lang w:val="en-US"/>
        </w:rPr>
        <w:t xml:space="preserve"> </w:t>
      </w:r>
      <w:r w:rsidR="00897F89" w:rsidRPr="00897F89">
        <w:rPr>
          <w:lang w:val="en-US"/>
        </w:rPr>
        <w:t>wel</w:t>
      </w:r>
      <w:r w:rsidR="00823F92" w:rsidRPr="00897F89">
        <w:rPr>
          <w:lang w:val="en-US"/>
        </w:rPr>
        <w:t>l</w:t>
      </w:r>
      <w:r w:rsidR="00823F92">
        <w:rPr>
          <w:lang w:val="en-US"/>
        </w:rPr>
        <w:t xml:space="preserve"> </w:t>
      </w:r>
      <w:r w:rsidR="00897F89" w:rsidRPr="00897F89">
        <w:rPr>
          <w:lang w:val="en-US"/>
        </w:rPr>
        <w:t>a</w:t>
      </w:r>
      <w:r w:rsidR="00823F92" w:rsidRPr="00897F89">
        <w:rPr>
          <w:lang w:val="en-US"/>
        </w:rPr>
        <w:t>s</w:t>
      </w:r>
      <w:r w:rsidR="00823F92">
        <w:rPr>
          <w:lang w:val="en-US"/>
        </w:rPr>
        <w:t xml:space="preserve"> </w:t>
      </w:r>
      <w:r w:rsidR="00897F89" w:rsidRPr="00897F89">
        <w:rPr>
          <w:lang w:val="en-US"/>
        </w:rPr>
        <w:t>treatmen</w:t>
      </w:r>
      <w:r w:rsidR="00823F92" w:rsidRPr="00897F89">
        <w:rPr>
          <w:lang w:val="en-US"/>
        </w:rPr>
        <w:t>t</w:t>
      </w:r>
      <w:r w:rsidR="00823F92">
        <w:rPr>
          <w:lang w:val="en-US"/>
        </w:rPr>
        <w:t xml:space="preserve"> </w:t>
      </w:r>
      <w:r w:rsidR="00897F89" w:rsidRPr="00897F89">
        <w:rPr>
          <w:lang w:val="en-US"/>
        </w:rPr>
        <w:t>fo</w:t>
      </w:r>
      <w:r w:rsidR="00823F92" w:rsidRPr="00897F89">
        <w:rPr>
          <w:lang w:val="en-US"/>
        </w:rPr>
        <w:t>r</w:t>
      </w:r>
      <w:r w:rsidR="00823F92">
        <w:rPr>
          <w:lang w:val="en-US"/>
        </w:rPr>
        <w:t xml:space="preserve"> </w:t>
      </w:r>
      <w:r w:rsidR="00897F89" w:rsidRPr="00897F89">
        <w:rPr>
          <w:lang w:val="en-US"/>
        </w:rPr>
        <w:t>trauma</w:t>
      </w:r>
      <w:r w:rsidR="00823F92" w:rsidRPr="00897F89">
        <w:rPr>
          <w:lang w:val="en-US"/>
        </w:rPr>
        <w:t>.</w:t>
      </w:r>
      <w:r w:rsidR="00823F92">
        <w:rPr>
          <w:lang w:val="en-US"/>
        </w:rPr>
        <w:t xml:space="preserve"> </w:t>
      </w:r>
      <w:r w:rsidR="00897F89" w:rsidRPr="00897F89">
        <w:rPr>
          <w:lang w:val="en-US"/>
        </w:rPr>
        <w:t>Counsellor</w:t>
      </w:r>
      <w:r w:rsidR="00823F92" w:rsidRPr="00897F89">
        <w:rPr>
          <w:lang w:val="en-US"/>
        </w:rPr>
        <w:t>s</w:t>
      </w:r>
      <w:r w:rsidR="00823F92">
        <w:rPr>
          <w:lang w:val="en-US"/>
        </w:rPr>
        <w:t xml:space="preserve"> </w:t>
      </w:r>
      <w:r w:rsidR="00897F89" w:rsidRPr="00897F89">
        <w:rPr>
          <w:lang w:val="en-US"/>
        </w:rPr>
        <w:t>als</w:t>
      </w:r>
      <w:r w:rsidR="00823F92" w:rsidRPr="00897F89">
        <w:rPr>
          <w:lang w:val="en-US"/>
        </w:rPr>
        <w:t>o</w:t>
      </w:r>
      <w:r w:rsidR="00823F92">
        <w:rPr>
          <w:lang w:val="en-US"/>
        </w:rPr>
        <w:t xml:space="preserve"> </w:t>
      </w:r>
      <w:r w:rsidR="00897F89" w:rsidRPr="00897F89">
        <w:rPr>
          <w:lang w:val="en-US"/>
        </w:rPr>
        <w:t>conduc</w:t>
      </w:r>
      <w:r w:rsidR="00823F92" w:rsidRPr="00897F89">
        <w:rPr>
          <w:lang w:val="en-US"/>
        </w:rPr>
        <w:t>t</w:t>
      </w:r>
      <w:r w:rsidR="00823F92">
        <w:rPr>
          <w:lang w:val="en-US"/>
        </w:rPr>
        <w:t xml:space="preserve"> </w:t>
      </w:r>
      <w:r w:rsidR="00897F89" w:rsidRPr="00897F89">
        <w:rPr>
          <w:lang w:val="en-US"/>
        </w:rPr>
        <w:t>othe</w:t>
      </w:r>
      <w:r w:rsidR="00823F92" w:rsidRPr="00897F89">
        <w:rPr>
          <w:lang w:val="en-US"/>
        </w:rPr>
        <w:t>r</w:t>
      </w:r>
      <w:r w:rsidR="00823F92">
        <w:rPr>
          <w:lang w:val="en-US"/>
        </w:rPr>
        <w:t xml:space="preserve"> </w:t>
      </w:r>
      <w:r w:rsidR="00897F89" w:rsidRPr="00897F89">
        <w:rPr>
          <w:lang w:val="en-US"/>
        </w:rPr>
        <w:t>therapeuti</w:t>
      </w:r>
      <w:r w:rsidR="00823F92" w:rsidRPr="00897F89">
        <w:rPr>
          <w:lang w:val="en-US"/>
        </w:rPr>
        <w:t>c</w:t>
      </w:r>
      <w:r w:rsidR="00823F92">
        <w:rPr>
          <w:lang w:val="en-US"/>
        </w:rPr>
        <w:t xml:space="preserve"> </w:t>
      </w:r>
      <w:r w:rsidR="00897F89" w:rsidRPr="00897F89">
        <w:rPr>
          <w:lang w:val="en-US"/>
        </w:rPr>
        <w:t>activities</w:t>
      </w:r>
      <w:r w:rsidR="00823F92" w:rsidRPr="00897F89">
        <w:rPr>
          <w:lang w:val="en-US"/>
        </w:rPr>
        <w:t>,</w:t>
      </w:r>
      <w:r w:rsidR="00823F92">
        <w:rPr>
          <w:lang w:val="en-US"/>
        </w:rPr>
        <w:t xml:space="preserve"> </w:t>
      </w:r>
      <w:r w:rsidR="00897F89" w:rsidRPr="00897F89">
        <w:rPr>
          <w:lang w:val="en-US"/>
        </w:rPr>
        <w:t>suc</w:t>
      </w:r>
      <w:r w:rsidR="00823F92" w:rsidRPr="00897F89">
        <w:rPr>
          <w:lang w:val="en-US"/>
        </w:rPr>
        <w:t>h</w:t>
      </w:r>
      <w:r w:rsidR="00823F92">
        <w:rPr>
          <w:lang w:val="en-US"/>
        </w:rPr>
        <w:t xml:space="preserve"> </w:t>
      </w:r>
      <w:r w:rsidR="00897F89" w:rsidRPr="00897F89">
        <w:rPr>
          <w:lang w:val="en-US"/>
        </w:rPr>
        <w:t>a</w:t>
      </w:r>
      <w:r w:rsidR="00823F92" w:rsidRPr="00897F89">
        <w:rPr>
          <w:lang w:val="en-US"/>
        </w:rPr>
        <w:t>s</w:t>
      </w:r>
      <w:r w:rsidR="00823F92">
        <w:rPr>
          <w:lang w:val="en-US"/>
        </w:rPr>
        <w:t xml:space="preserve"> </w:t>
      </w:r>
      <w:r w:rsidR="00897F89" w:rsidRPr="00897F89">
        <w:rPr>
          <w:lang w:val="en-US"/>
        </w:rPr>
        <w:t>intak</w:t>
      </w:r>
      <w:r w:rsidR="00823F92" w:rsidRPr="00897F89">
        <w:rPr>
          <w:lang w:val="en-US"/>
        </w:rPr>
        <w:t>e</w:t>
      </w:r>
      <w:r w:rsidR="00823F92">
        <w:rPr>
          <w:lang w:val="en-US"/>
        </w:rPr>
        <w:t xml:space="preserve"> </w:t>
      </w:r>
      <w:r w:rsidR="00897F89" w:rsidRPr="00897F89">
        <w:rPr>
          <w:lang w:val="en-US"/>
        </w:rPr>
        <w:t>interview</w:t>
      </w:r>
      <w:r w:rsidR="00823F92" w:rsidRPr="00897F89">
        <w:rPr>
          <w:lang w:val="en-US"/>
        </w:rPr>
        <w:t>s</w:t>
      </w:r>
      <w:r w:rsidR="00823F92">
        <w:rPr>
          <w:lang w:val="en-US"/>
        </w:rPr>
        <w:t xml:space="preserve"> </w:t>
      </w:r>
      <w:r w:rsidR="00897F89" w:rsidRPr="00897F89">
        <w:rPr>
          <w:lang w:val="en-US"/>
        </w:rPr>
        <w:t>an</w:t>
      </w:r>
      <w:r w:rsidR="00823F92" w:rsidRPr="00897F89">
        <w:rPr>
          <w:lang w:val="en-US"/>
        </w:rPr>
        <w:t>d</w:t>
      </w:r>
      <w:r w:rsidR="00823F92">
        <w:rPr>
          <w:lang w:val="en-US"/>
        </w:rPr>
        <w:t xml:space="preserve"> </w:t>
      </w:r>
      <w:r w:rsidR="00897F89" w:rsidRPr="00897F89">
        <w:rPr>
          <w:lang w:val="en-US"/>
        </w:rPr>
        <w:t>liaisin</w:t>
      </w:r>
      <w:r w:rsidR="00823F92" w:rsidRPr="00897F89">
        <w:rPr>
          <w:lang w:val="en-US"/>
        </w:rPr>
        <w:t>g</w:t>
      </w:r>
      <w:r w:rsidR="00823F92">
        <w:rPr>
          <w:lang w:val="en-US"/>
        </w:rPr>
        <w:t xml:space="preserve"> </w:t>
      </w:r>
      <w:r w:rsidR="00897F89" w:rsidRPr="00897F89">
        <w:rPr>
          <w:lang w:val="en-US"/>
        </w:rPr>
        <w:t>wit</w:t>
      </w:r>
      <w:r w:rsidR="00823F92" w:rsidRPr="00897F89">
        <w:rPr>
          <w:lang w:val="en-US"/>
        </w:rPr>
        <w:t>h</w:t>
      </w:r>
      <w:r w:rsidR="00823F92">
        <w:rPr>
          <w:lang w:val="en-US"/>
        </w:rPr>
        <w:t xml:space="preserve"> </w:t>
      </w:r>
      <w:r w:rsidR="00897F89" w:rsidRPr="00897F89">
        <w:rPr>
          <w:lang w:val="en-US"/>
        </w:rPr>
        <w:t>referra</w:t>
      </w:r>
      <w:r w:rsidR="00823F92" w:rsidRPr="00897F89">
        <w:rPr>
          <w:lang w:val="en-US"/>
        </w:rPr>
        <w:t>l</w:t>
      </w:r>
      <w:r w:rsidR="00823F92">
        <w:rPr>
          <w:lang w:val="en-US"/>
        </w:rPr>
        <w:t xml:space="preserve"> </w:t>
      </w:r>
      <w:r w:rsidR="00897F89" w:rsidRPr="00897F89">
        <w:rPr>
          <w:lang w:val="en-US"/>
        </w:rPr>
        <w:t>agencies.</w:t>
      </w:r>
    </w:p>
    <w:p w14:paraId="2F6CD92D" w14:textId="7F7BBED3" w:rsidR="005137B8" w:rsidRDefault="005137B8" w:rsidP="009E7C31">
      <w:pPr>
        <w:pStyle w:val="BodyText"/>
        <w:rPr>
          <w:b/>
          <w:bCs/>
          <w:lang w:val="en-US"/>
        </w:rPr>
      </w:pPr>
      <w:r w:rsidRPr="009245F1">
        <w:rPr>
          <w:lang w:val="en-US"/>
        </w:rPr>
        <w:t>Setting:</w:t>
      </w:r>
      <w:r>
        <w:rPr>
          <w:b/>
          <w:bCs/>
          <w:lang w:val="en-US"/>
        </w:rPr>
        <w:t xml:space="preserve"> </w:t>
      </w:r>
      <w:r w:rsidRPr="006C4490">
        <w:rPr>
          <w:lang w:val="en-US"/>
        </w:rPr>
        <w:t>Mos</w:t>
      </w:r>
      <w:r w:rsidR="00823F92" w:rsidRPr="006C4490">
        <w:rPr>
          <w:lang w:val="en-US"/>
        </w:rPr>
        <w:t>t</w:t>
      </w:r>
      <w:r w:rsidR="00823F92">
        <w:rPr>
          <w:lang w:val="en-US"/>
        </w:rPr>
        <w:t xml:space="preserve"> </w:t>
      </w:r>
      <w:r w:rsidRPr="006C4490">
        <w:rPr>
          <w:lang w:val="en-US"/>
        </w:rPr>
        <w:t>counsellor</w:t>
      </w:r>
      <w:r w:rsidR="00823F92" w:rsidRPr="006C4490">
        <w:rPr>
          <w:lang w:val="en-US"/>
        </w:rPr>
        <w:t>s</w:t>
      </w:r>
      <w:r w:rsidR="00823F92">
        <w:rPr>
          <w:lang w:val="en-US"/>
        </w:rPr>
        <w:t xml:space="preserve"> </w:t>
      </w:r>
      <w:r w:rsidRPr="006C4490">
        <w:rPr>
          <w:lang w:val="en-US"/>
        </w:rPr>
        <w:t>an</w:t>
      </w:r>
      <w:r w:rsidR="00823F92" w:rsidRPr="006C4490">
        <w:rPr>
          <w:lang w:val="en-US"/>
        </w:rPr>
        <w:t>d</w:t>
      </w:r>
      <w:r w:rsidR="00823F92">
        <w:rPr>
          <w:lang w:val="en-US"/>
        </w:rPr>
        <w:t xml:space="preserve"> </w:t>
      </w:r>
      <w:r w:rsidRPr="006C4490">
        <w:rPr>
          <w:lang w:val="en-US"/>
        </w:rPr>
        <w:t>psychotherapist</w:t>
      </w:r>
      <w:r w:rsidR="00823F92" w:rsidRPr="006C4490">
        <w:rPr>
          <w:lang w:val="en-US"/>
        </w:rPr>
        <w:t>s</w:t>
      </w:r>
      <w:r w:rsidR="00823F92">
        <w:rPr>
          <w:lang w:val="en-US"/>
        </w:rPr>
        <w:t xml:space="preserve"> </w:t>
      </w:r>
      <w:r w:rsidRPr="006C4490">
        <w:rPr>
          <w:lang w:val="en-US"/>
        </w:rPr>
        <w:t>wor</w:t>
      </w:r>
      <w:r w:rsidR="00823F92" w:rsidRPr="006C4490">
        <w:rPr>
          <w:lang w:val="en-US"/>
        </w:rPr>
        <w:t>k</w:t>
      </w:r>
      <w:r w:rsidR="00823F92">
        <w:rPr>
          <w:lang w:val="en-US"/>
        </w:rPr>
        <w:t xml:space="preserve"> </w:t>
      </w:r>
      <w:r w:rsidRPr="006C4490">
        <w:rPr>
          <w:lang w:val="en-US"/>
        </w:rPr>
        <w:t>i</w:t>
      </w:r>
      <w:r w:rsidR="00823F92" w:rsidRPr="006C4490">
        <w:rPr>
          <w:lang w:val="en-US"/>
        </w:rPr>
        <w:t>n</w:t>
      </w:r>
      <w:r w:rsidR="00823F92">
        <w:rPr>
          <w:lang w:val="en-US"/>
        </w:rPr>
        <w:t xml:space="preserve"> </w:t>
      </w:r>
      <w:r w:rsidRPr="006C4490">
        <w:rPr>
          <w:lang w:val="en-US"/>
        </w:rPr>
        <w:t>privat</w:t>
      </w:r>
      <w:r w:rsidR="00823F92" w:rsidRPr="006C4490">
        <w:rPr>
          <w:lang w:val="en-US"/>
        </w:rPr>
        <w:t>e</w:t>
      </w:r>
      <w:r w:rsidR="00823F92">
        <w:rPr>
          <w:lang w:val="en-US"/>
        </w:rPr>
        <w:t xml:space="preserve"> </w:t>
      </w:r>
      <w:r w:rsidRPr="006C4490">
        <w:rPr>
          <w:lang w:val="en-US"/>
        </w:rPr>
        <w:t>settings.</w:t>
      </w:r>
    </w:p>
    <w:p w14:paraId="68F2BA0B" w14:textId="2E4ECD50" w:rsidR="005137B8" w:rsidRPr="009245F1" w:rsidRDefault="005137B8" w:rsidP="005137B8">
      <w:pPr>
        <w:pStyle w:val="BodyText"/>
        <w:rPr>
          <w:lang w:val="en-US"/>
        </w:rPr>
      </w:pPr>
      <w:r>
        <w:rPr>
          <w:b/>
          <w:bCs/>
          <w:lang w:val="en-US"/>
        </w:rPr>
        <w:t xml:space="preserve">Training: </w:t>
      </w:r>
      <w:r>
        <w:rPr>
          <w:lang w:val="en-US"/>
        </w:rPr>
        <w:t>C</w:t>
      </w:r>
      <w:r w:rsidRPr="00D57442">
        <w:rPr>
          <w:lang w:val="en-US"/>
        </w:rPr>
        <w:t>ounsellor</w:t>
      </w:r>
      <w:r w:rsidR="00823F92" w:rsidRPr="00D57442">
        <w:rPr>
          <w:lang w:val="en-US"/>
        </w:rPr>
        <w:t>s</w:t>
      </w:r>
      <w:r w:rsidR="00823F92">
        <w:rPr>
          <w:lang w:val="en-US"/>
        </w:rPr>
        <w:t xml:space="preserve"> </w:t>
      </w:r>
      <w:r w:rsidRPr="00D57442">
        <w:rPr>
          <w:lang w:val="en-US"/>
        </w:rPr>
        <w:t>an</w:t>
      </w:r>
      <w:r w:rsidR="00823F92" w:rsidRPr="00D57442">
        <w:rPr>
          <w:lang w:val="en-US"/>
        </w:rPr>
        <w:t>d</w:t>
      </w:r>
      <w:r w:rsidR="00823F92">
        <w:rPr>
          <w:lang w:val="en-US"/>
        </w:rPr>
        <w:t xml:space="preserve"> </w:t>
      </w:r>
      <w:r>
        <w:rPr>
          <w:lang w:val="en-US"/>
        </w:rPr>
        <w:t>p</w:t>
      </w:r>
      <w:r w:rsidRPr="00D57442">
        <w:rPr>
          <w:lang w:val="en-US"/>
        </w:rPr>
        <w:t>sychotherapist</w:t>
      </w:r>
      <w:r w:rsidR="00823F92" w:rsidRPr="00D57442">
        <w:rPr>
          <w:lang w:val="en-US"/>
        </w:rPr>
        <w:t>s</w:t>
      </w:r>
      <w:r w:rsidR="00823F92">
        <w:rPr>
          <w:lang w:val="en-US"/>
        </w:rPr>
        <w:t xml:space="preserve"> </w:t>
      </w:r>
      <w:r w:rsidRPr="00D57442">
        <w:rPr>
          <w:lang w:val="en-US"/>
        </w:rPr>
        <w:t>registere</w:t>
      </w:r>
      <w:r w:rsidR="00823F92" w:rsidRPr="00D57442">
        <w:rPr>
          <w:lang w:val="en-US"/>
        </w:rPr>
        <w:t>d</w:t>
      </w:r>
      <w:r w:rsidR="00823F92">
        <w:rPr>
          <w:lang w:val="en-US"/>
        </w:rPr>
        <w:t xml:space="preserve"> </w:t>
      </w:r>
      <w:r w:rsidRPr="00D57442">
        <w:rPr>
          <w:lang w:val="en-US"/>
        </w:rPr>
        <w:t>wit</w:t>
      </w:r>
      <w:r w:rsidR="00823F92" w:rsidRPr="00D57442">
        <w:rPr>
          <w:lang w:val="en-US"/>
        </w:rPr>
        <w:t>h</w:t>
      </w:r>
      <w:r w:rsidR="00823F92">
        <w:rPr>
          <w:lang w:val="en-US"/>
        </w:rPr>
        <w:t xml:space="preserve"> </w:t>
      </w:r>
      <w:r w:rsidRPr="00D57442">
        <w:rPr>
          <w:lang w:val="en-US"/>
        </w:rPr>
        <w:t>th</w:t>
      </w:r>
      <w:r w:rsidR="00823F92" w:rsidRPr="00D57442">
        <w:rPr>
          <w:lang w:val="en-US"/>
        </w:rPr>
        <w:t>e</w:t>
      </w:r>
      <w:r w:rsidR="00823F92">
        <w:rPr>
          <w:lang w:val="en-US"/>
        </w:rPr>
        <w:t xml:space="preserve"> </w:t>
      </w:r>
      <w:r w:rsidRPr="00D57442">
        <w:rPr>
          <w:lang w:val="en-US"/>
        </w:rPr>
        <w:t>Psychotherap</w:t>
      </w:r>
      <w:r w:rsidR="00823F92" w:rsidRPr="00D57442">
        <w:rPr>
          <w:lang w:val="en-US"/>
        </w:rPr>
        <w:t>y</w:t>
      </w:r>
      <w:r w:rsidR="00823F92">
        <w:rPr>
          <w:lang w:val="en-US"/>
        </w:rPr>
        <w:t xml:space="preserve"> </w:t>
      </w:r>
      <w:r w:rsidRPr="00D57442">
        <w:rPr>
          <w:lang w:val="en-US"/>
        </w:rPr>
        <w:t>an</w:t>
      </w:r>
      <w:r w:rsidR="00823F92" w:rsidRPr="00D57442">
        <w:rPr>
          <w:lang w:val="en-US"/>
        </w:rPr>
        <w:t>d</w:t>
      </w:r>
      <w:r w:rsidR="00823F92">
        <w:rPr>
          <w:lang w:val="en-US"/>
        </w:rPr>
        <w:t xml:space="preserve"> </w:t>
      </w:r>
      <w:r w:rsidRPr="00D57442">
        <w:rPr>
          <w:lang w:val="en-US"/>
        </w:rPr>
        <w:t>Counsellin</w:t>
      </w:r>
      <w:r w:rsidR="00823F92" w:rsidRPr="00D57442">
        <w:rPr>
          <w:lang w:val="en-US"/>
        </w:rPr>
        <w:t>g</w:t>
      </w:r>
      <w:r w:rsidR="00823F92">
        <w:rPr>
          <w:lang w:val="en-US"/>
        </w:rPr>
        <w:t xml:space="preserve"> </w:t>
      </w:r>
      <w:r w:rsidRPr="00D57442">
        <w:rPr>
          <w:lang w:val="en-US"/>
        </w:rPr>
        <w:t>Federatio</w:t>
      </w:r>
      <w:r w:rsidR="00823F92" w:rsidRPr="00D57442">
        <w:rPr>
          <w:lang w:val="en-US"/>
        </w:rPr>
        <w:t>n</w:t>
      </w:r>
      <w:r w:rsidR="00823F92">
        <w:rPr>
          <w:lang w:val="en-US"/>
        </w:rPr>
        <w:t xml:space="preserve"> </w:t>
      </w:r>
      <w:r w:rsidRPr="00D57442">
        <w:rPr>
          <w:lang w:val="en-US"/>
        </w:rPr>
        <w:t>o</w:t>
      </w:r>
      <w:r w:rsidR="00823F92" w:rsidRPr="00D57442">
        <w:rPr>
          <w:lang w:val="en-US"/>
        </w:rPr>
        <w:t>f</w:t>
      </w:r>
      <w:r w:rsidR="00823F92">
        <w:rPr>
          <w:lang w:val="en-US"/>
        </w:rPr>
        <w:t xml:space="preserve"> </w:t>
      </w:r>
      <w:r w:rsidRPr="00D57442">
        <w:rPr>
          <w:lang w:val="en-US"/>
        </w:rPr>
        <w:t>Australi</w:t>
      </w:r>
      <w:r w:rsidR="00823F92" w:rsidRPr="00D57442">
        <w:rPr>
          <w:lang w:val="en-US"/>
        </w:rPr>
        <w:t>a</w:t>
      </w:r>
      <w:r w:rsidR="00823F92">
        <w:rPr>
          <w:lang w:val="en-US"/>
        </w:rPr>
        <w:t xml:space="preserve"> </w:t>
      </w:r>
      <w:r w:rsidRPr="00D57442">
        <w:rPr>
          <w:lang w:val="en-US"/>
        </w:rPr>
        <w:t>(PACFA) o</w:t>
      </w:r>
      <w:r w:rsidR="00823F92" w:rsidRPr="00D57442">
        <w:rPr>
          <w:lang w:val="en-US"/>
        </w:rPr>
        <w:t>r</w:t>
      </w:r>
      <w:r w:rsidR="00823F92">
        <w:rPr>
          <w:lang w:val="en-US"/>
        </w:rPr>
        <w:t xml:space="preserve"> </w:t>
      </w:r>
      <w:r w:rsidRPr="00D57442">
        <w:rPr>
          <w:lang w:val="en-US"/>
        </w:rPr>
        <w:t>th</w:t>
      </w:r>
      <w:r w:rsidR="00823F92" w:rsidRPr="00D57442">
        <w:rPr>
          <w:lang w:val="en-US"/>
        </w:rPr>
        <w:t>e</w:t>
      </w:r>
      <w:r w:rsidR="00823F92">
        <w:rPr>
          <w:lang w:val="en-US"/>
        </w:rPr>
        <w:t xml:space="preserve"> </w:t>
      </w:r>
      <w:r w:rsidRPr="00D57442">
        <w:rPr>
          <w:lang w:val="en-US"/>
        </w:rPr>
        <w:t>Australia</w:t>
      </w:r>
      <w:r w:rsidR="00823F92" w:rsidRPr="00D57442">
        <w:rPr>
          <w:lang w:val="en-US"/>
        </w:rPr>
        <w:t>n</w:t>
      </w:r>
      <w:r w:rsidR="00823F92">
        <w:rPr>
          <w:lang w:val="en-US"/>
        </w:rPr>
        <w:t xml:space="preserve"> </w:t>
      </w:r>
      <w:r w:rsidRPr="00D57442">
        <w:rPr>
          <w:lang w:val="en-US"/>
        </w:rPr>
        <w:t>Counsellin</w:t>
      </w:r>
      <w:r w:rsidR="00823F92" w:rsidRPr="00D57442">
        <w:rPr>
          <w:lang w:val="en-US"/>
        </w:rPr>
        <w:t>g</w:t>
      </w:r>
      <w:r w:rsidR="00823F92">
        <w:rPr>
          <w:lang w:val="en-US"/>
        </w:rPr>
        <w:t xml:space="preserve"> </w:t>
      </w:r>
      <w:r w:rsidRPr="00D57442">
        <w:rPr>
          <w:lang w:val="en-US"/>
        </w:rPr>
        <w:t>Associatio</w:t>
      </w:r>
      <w:r w:rsidR="00823F92" w:rsidRPr="00D57442">
        <w:rPr>
          <w:lang w:val="en-US"/>
        </w:rPr>
        <w:t>n</w:t>
      </w:r>
      <w:r w:rsidR="00823F92">
        <w:rPr>
          <w:lang w:val="en-US"/>
        </w:rPr>
        <w:t xml:space="preserve"> </w:t>
      </w:r>
      <w:r w:rsidRPr="00D57442">
        <w:rPr>
          <w:lang w:val="en-US"/>
        </w:rPr>
        <w:t>(ACA) mus</w:t>
      </w:r>
      <w:r w:rsidR="00823F92" w:rsidRPr="00D57442">
        <w:rPr>
          <w:lang w:val="en-US"/>
        </w:rPr>
        <w:t>t</w:t>
      </w:r>
      <w:r w:rsidR="00823F92">
        <w:rPr>
          <w:lang w:val="en-US"/>
        </w:rPr>
        <w:t xml:space="preserve"> </w:t>
      </w:r>
      <w:r w:rsidRPr="00D57442">
        <w:rPr>
          <w:lang w:val="en-US"/>
        </w:rPr>
        <w:t>hav</w:t>
      </w:r>
      <w:r w:rsidR="00823F92" w:rsidRPr="00D57442">
        <w:rPr>
          <w:lang w:val="en-US"/>
        </w:rPr>
        <w:t>e</w:t>
      </w:r>
      <w:r w:rsidR="00823F92">
        <w:rPr>
          <w:lang w:val="en-US"/>
        </w:rPr>
        <w:t xml:space="preserve"> </w:t>
      </w:r>
      <w:r w:rsidRPr="00D57442">
        <w:rPr>
          <w:lang w:val="en-US"/>
        </w:rPr>
        <w:t>complete</w:t>
      </w:r>
      <w:r w:rsidR="00823F92" w:rsidRPr="00D57442">
        <w:rPr>
          <w:lang w:val="en-US"/>
        </w:rPr>
        <w:t>d</w:t>
      </w:r>
      <w:r w:rsidR="00823F92">
        <w:rPr>
          <w:lang w:val="en-US"/>
        </w:rPr>
        <w:t xml:space="preserve"> </w:t>
      </w:r>
      <w:r w:rsidRPr="00D57442">
        <w:rPr>
          <w:lang w:val="en-US"/>
        </w:rPr>
        <w:t>a</w:t>
      </w:r>
      <w:r w:rsidR="00823F92" w:rsidRPr="00D57442">
        <w:rPr>
          <w:lang w:val="en-US"/>
        </w:rPr>
        <w:t>n</w:t>
      </w:r>
      <w:r w:rsidR="00823F92">
        <w:rPr>
          <w:lang w:val="en-US"/>
        </w:rPr>
        <w:t xml:space="preserve"> </w:t>
      </w:r>
      <w:r w:rsidRPr="00D57442">
        <w:rPr>
          <w:lang w:val="en-US"/>
        </w:rPr>
        <w:t>accredite</w:t>
      </w:r>
      <w:r w:rsidR="00823F92" w:rsidRPr="00D57442">
        <w:rPr>
          <w:lang w:val="en-US"/>
        </w:rPr>
        <w:t>d</w:t>
      </w:r>
      <w:r w:rsidR="00823F92">
        <w:rPr>
          <w:lang w:val="en-US"/>
        </w:rPr>
        <w:t xml:space="preserve"> </w:t>
      </w:r>
      <w:r>
        <w:rPr>
          <w:lang w:val="en-US"/>
        </w:rPr>
        <w:t>d</w:t>
      </w:r>
      <w:r w:rsidRPr="00D57442">
        <w:rPr>
          <w:lang w:val="en-US"/>
        </w:rPr>
        <w:t>iploma</w:t>
      </w:r>
      <w:r w:rsidR="00823F92" w:rsidRPr="00D57442">
        <w:rPr>
          <w:lang w:val="en-US"/>
        </w:rPr>
        <w:t>,</w:t>
      </w:r>
      <w:r w:rsidR="00823F92">
        <w:rPr>
          <w:lang w:val="en-US"/>
        </w:rPr>
        <w:t xml:space="preserve"> </w:t>
      </w:r>
      <w:proofErr w:type="gramStart"/>
      <w:r>
        <w:rPr>
          <w:lang w:val="en-US"/>
        </w:rPr>
        <w:t>b</w:t>
      </w:r>
      <w:r w:rsidRPr="00D57442">
        <w:rPr>
          <w:lang w:val="en-US"/>
        </w:rPr>
        <w:t>achelo</w:t>
      </w:r>
      <w:r w:rsidR="00823F92" w:rsidRPr="00D57442">
        <w:rPr>
          <w:lang w:val="en-US"/>
        </w:rPr>
        <w:t>r</w:t>
      </w:r>
      <w:proofErr w:type="gramEnd"/>
      <w:r w:rsidR="00823F92">
        <w:rPr>
          <w:lang w:val="en-US"/>
        </w:rPr>
        <w:t xml:space="preserve"> </w:t>
      </w:r>
      <w:r w:rsidRPr="00D57442">
        <w:rPr>
          <w:lang w:val="en-US"/>
        </w:rPr>
        <w:t>o</w:t>
      </w:r>
      <w:r w:rsidR="00823F92" w:rsidRPr="00D57442">
        <w:rPr>
          <w:lang w:val="en-US"/>
        </w:rPr>
        <w:t>r</w:t>
      </w:r>
      <w:r w:rsidR="00823F92">
        <w:rPr>
          <w:lang w:val="en-US"/>
        </w:rPr>
        <w:t xml:space="preserve"> </w:t>
      </w:r>
      <w:r w:rsidRPr="00D57442">
        <w:rPr>
          <w:lang w:val="en-US"/>
        </w:rPr>
        <w:t>postgraduat</w:t>
      </w:r>
      <w:r w:rsidR="00823F92" w:rsidRPr="00D57442">
        <w:rPr>
          <w:lang w:val="en-US"/>
        </w:rPr>
        <w:t>e</w:t>
      </w:r>
      <w:r w:rsidR="00823F92">
        <w:rPr>
          <w:lang w:val="en-US"/>
        </w:rPr>
        <w:t xml:space="preserve"> </w:t>
      </w:r>
      <w:r w:rsidRPr="009245F1">
        <w:rPr>
          <w:lang w:val="en-US"/>
        </w:rPr>
        <w:t>qualification</w:t>
      </w:r>
      <w:r w:rsidR="00823F92" w:rsidRPr="009245F1">
        <w:rPr>
          <w:lang w:val="en-US"/>
        </w:rPr>
        <w:t xml:space="preserve">. </w:t>
      </w:r>
      <w:r w:rsidRPr="009245F1">
        <w:rPr>
          <w:lang w:val="en-US"/>
        </w:rPr>
        <w:t>Trainin</w:t>
      </w:r>
      <w:r w:rsidR="00823F92" w:rsidRPr="009245F1">
        <w:rPr>
          <w:lang w:val="en-US"/>
        </w:rPr>
        <w:t xml:space="preserve">g </w:t>
      </w:r>
      <w:r w:rsidRPr="009245F1">
        <w:rPr>
          <w:lang w:val="en-US"/>
        </w:rPr>
        <w:t>take</w:t>
      </w:r>
      <w:r w:rsidR="00823F92" w:rsidRPr="009245F1">
        <w:rPr>
          <w:lang w:val="en-US"/>
        </w:rPr>
        <w:t xml:space="preserve">s </w:t>
      </w:r>
      <w:r w:rsidRPr="009245F1">
        <w:rPr>
          <w:lang w:val="en-US"/>
        </w:rPr>
        <w:t>fou</w:t>
      </w:r>
      <w:r w:rsidR="00823F92" w:rsidRPr="009245F1">
        <w:rPr>
          <w:lang w:val="en-US"/>
        </w:rPr>
        <w:t xml:space="preserve">r </w:t>
      </w:r>
      <w:r w:rsidRPr="009245F1">
        <w:rPr>
          <w:lang w:val="en-US"/>
        </w:rPr>
        <w:t>year</w:t>
      </w:r>
      <w:r w:rsidR="00823F92" w:rsidRPr="009245F1">
        <w:rPr>
          <w:lang w:val="en-US"/>
        </w:rPr>
        <w:t xml:space="preserve">s </w:t>
      </w:r>
      <w:r w:rsidRPr="009245F1">
        <w:rPr>
          <w:lang w:val="en-US"/>
        </w:rPr>
        <w:t>o</w:t>
      </w:r>
      <w:r w:rsidR="00823F92" w:rsidRPr="009245F1">
        <w:rPr>
          <w:lang w:val="en-US"/>
        </w:rPr>
        <w:t xml:space="preserve">n </w:t>
      </w:r>
      <w:r w:rsidRPr="009245F1">
        <w:rPr>
          <w:lang w:val="en-US"/>
        </w:rPr>
        <w:t>average</w:t>
      </w:r>
      <w:r w:rsidR="00823F92" w:rsidRPr="009245F1">
        <w:rPr>
          <w:lang w:val="en-US"/>
        </w:rPr>
        <w:t xml:space="preserve">. </w:t>
      </w:r>
    </w:p>
    <w:p w14:paraId="3F68889B" w14:textId="716E179A" w:rsidR="00821D5E" w:rsidRPr="00342CC6" w:rsidRDefault="00821D5E" w:rsidP="005137B8">
      <w:pPr>
        <w:pStyle w:val="BodyText"/>
        <w:rPr>
          <w:lang w:val="en-US"/>
        </w:rPr>
      </w:pPr>
      <w:r w:rsidRPr="009245F1">
        <w:rPr>
          <w:lang w:val="en-US"/>
        </w:rPr>
        <w:t>Regulat</w:t>
      </w:r>
      <w:r w:rsidR="00F65ED0" w:rsidRPr="009245F1">
        <w:rPr>
          <w:lang w:val="en-US"/>
        </w:rPr>
        <w:t>ion</w:t>
      </w:r>
      <w:r>
        <w:rPr>
          <w:b/>
          <w:bCs/>
          <w:lang w:val="en-US"/>
        </w:rPr>
        <w:t xml:space="preserve">: </w:t>
      </w:r>
      <w:r>
        <w:rPr>
          <w:lang w:val="en-US"/>
        </w:rPr>
        <w:t>Counsellor</w:t>
      </w:r>
      <w:r w:rsidR="00823F92">
        <w:rPr>
          <w:lang w:val="en-US"/>
        </w:rPr>
        <w:t xml:space="preserve">s </w:t>
      </w:r>
      <w:r>
        <w:rPr>
          <w:lang w:val="en-US"/>
        </w:rPr>
        <w:t>an</w:t>
      </w:r>
      <w:r w:rsidR="00823F92">
        <w:rPr>
          <w:lang w:val="en-US"/>
        </w:rPr>
        <w:t xml:space="preserve">d </w:t>
      </w:r>
      <w:r>
        <w:rPr>
          <w:lang w:val="en-US"/>
        </w:rPr>
        <w:t>psychotherapist</w:t>
      </w:r>
      <w:r w:rsidR="00823F92">
        <w:rPr>
          <w:lang w:val="en-US"/>
        </w:rPr>
        <w:t xml:space="preserve">s </w:t>
      </w:r>
      <w:r>
        <w:rPr>
          <w:lang w:val="en-US"/>
        </w:rPr>
        <w:t>ar</w:t>
      </w:r>
      <w:r w:rsidR="00823F92">
        <w:rPr>
          <w:lang w:val="en-US"/>
        </w:rPr>
        <w:t xml:space="preserve">e </w:t>
      </w:r>
      <w:r>
        <w:rPr>
          <w:lang w:val="en-US"/>
        </w:rPr>
        <w:t>self-regulate</w:t>
      </w:r>
      <w:r w:rsidR="00823F92">
        <w:rPr>
          <w:lang w:val="en-US"/>
        </w:rPr>
        <w:t xml:space="preserve">d </w:t>
      </w:r>
      <w:r>
        <w:rPr>
          <w:lang w:val="en-US"/>
        </w:rPr>
        <w:t>throug</w:t>
      </w:r>
      <w:r w:rsidR="00823F92">
        <w:rPr>
          <w:lang w:val="en-US"/>
        </w:rPr>
        <w:t xml:space="preserve">h </w:t>
      </w:r>
      <w:r>
        <w:rPr>
          <w:lang w:val="en-US"/>
        </w:rPr>
        <w:t>PACF</w:t>
      </w:r>
      <w:r w:rsidR="00823F92">
        <w:rPr>
          <w:lang w:val="en-US"/>
        </w:rPr>
        <w:t xml:space="preserve">A </w:t>
      </w:r>
      <w:r>
        <w:rPr>
          <w:lang w:val="en-US"/>
        </w:rPr>
        <w:t>an</w:t>
      </w:r>
      <w:r w:rsidR="00823F92">
        <w:rPr>
          <w:lang w:val="en-US"/>
        </w:rPr>
        <w:t xml:space="preserve">d </w:t>
      </w:r>
      <w:r>
        <w:rPr>
          <w:lang w:val="en-US"/>
        </w:rPr>
        <w:t>th</w:t>
      </w:r>
      <w:r w:rsidR="00823F92">
        <w:rPr>
          <w:lang w:val="en-US"/>
        </w:rPr>
        <w:t xml:space="preserve">e </w:t>
      </w:r>
      <w:r>
        <w:rPr>
          <w:lang w:val="en-US"/>
        </w:rPr>
        <w:t>ACA.</w:t>
      </w:r>
    </w:p>
    <w:p w14:paraId="0972C42E" w14:textId="149766B1" w:rsidR="00FA7A82" w:rsidRDefault="005137B8" w:rsidP="0052280F">
      <w:pPr>
        <w:pStyle w:val="BodyText"/>
        <w:rPr>
          <w:lang w:val="en-US"/>
        </w:rPr>
      </w:pPr>
      <w:r w:rsidRPr="009245F1">
        <w:rPr>
          <w:lang w:val="en-US"/>
        </w:rPr>
        <w:t>Supply:</w:t>
      </w:r>
      <w:r>
        <w:rPr>
          <w:b/>
          <w:bCs/>
          <w:lang w:val="en-US"/>
        </w:rPr>
        <w:t xml:space="preserve"> </w:t>
      </w:r>
      <w:r w:rsidR="00453F15" w:rsidRPr="006C4490">
        <w:rPr>
          <w:lang w:val="en-US"/>
        </w:rPr>
        <w:t>Ther</w:t>
      </w:r>
      <w:r w:rsidR="00823F92" w:rsidRPr="006C4490">
        <w:rPr>
          <w:lang w:val="en-US"/>
        </w:rPr>
        <w:t>e</w:t>
      </w:r>
      <w:r w:rsidR="00823F92">
        <w:rPr>
          <w:lang w:val="en-US"/>
        </w:rPr>
        <w:t xml:space="preserve"> </w:t>
      </w:r>
      <w:r w:rsidR="00453F15" w:rsidRPr="006C4490">
        <w:rPr>
          <w:lang w:val="en-US"/>
        </w:rPr>
        <w:t>i</w:t>
      </w:r>
      <w:r w:rsidR="00823F92" w:rsidRPr="006C4490">
        <w:rPr>
          <w:lang w:val="en-US"/>
        </w:rPr>
        <w:t>s</w:t>
      </w:r>
      <w:r w:rsidR="00823F92">
        <w:rPr>
          <w:lang w:val="en-US"/>
        </w:rPr>
        <w:t xml:space="preserve"> </w:t>
      </w:r>
      <w:r w:rsidR="00453F15" w:rsidRPr="006C4490">
        <w:rPr>
          <w:lang w:val="en-US"/>
        </w:rPr>
        <w:t>n</w:t>
      </w:r>
      <w:r w:rsidR="00823F92" w:rsidRPr="006C4490">
        <w:rPr>
          <w:lang w:val="en-US"/>
        </w:rPr>
        <w:t>o</w:t>
      </w:r>
      <w:r w:rsidR="00823F92">
        <w:rPr>
          <w:lang w:val="en-US"/>
        </w:rPr>
        <w:t xml:space="preserve"> </w:t>
      </w:r>
      <w:r w:rsidR="00453F15" w:rsidRPr="006C4490">
        <w:rPr>
          <w:lang w:val="en-US"/>
        </w:rPr>
        <w:t>nationa</w:t>
      </w:r>
      <w:r w:rsidR="00823F92" w:rsidRPr="006C4490">
        <w:rPr>
          <w:lang w:val="en-US"/>
        </w:rPr>
        <w:t>l</w:t>
      </w:r>
      <w:r w:rsidR="00823F92">
        <w:rPr>
          <w:lang w:val="en-US"/>
        </w:rPr>
        <w:t xml:space="preserve"> </w:t>
      </w:r>
      <w:proofErr w:type="spellStart"/>
      <w:r w:rsidR="00453F15" w:rsidRPr="006C4490">
        <w:rPr>
          <w:lang w:val="en-US"/>
        </w:rPr>
        <w:t>standardise</w:t>
      </w:r>
      <w:r w:rsidR="00823F92" w:rsidRPr="006C4490">
        <w:rPr>
          <w:lang w:val="en-US"/>
        </w:rPr>
        <w:t>d</w:t>
      </w:r>
      <w:proofErr w:type="spellEnd"/>
      <w:r w:rsidR="00823F92">
        <w:rPr>
          <w:lang w:val="en-US"/>
        </w:rPr>
        <w:t xml:space="preserve"> </w:t>
      </w:r>
      <w:r w:rsidR="00453F15" w:rsidRPr="006C4490">
        <w:rPr>
          <w:lang w:val="en-US"/>
        </w:rPr>
        <w:t>dat</w:t>
      </w:r>
      <w:r w:rsidR="00823F92" w:rsidRPr="006C4490">
        <w:rPr>
          <w:lang w:val="en-US"/>
        </w:rPr>
        <w:t>a</w:t>
      </w:r>
      <w:r w:rsidR="00823F92">
        <w:rPr>
          <w:lang w:val="en-US"/>
        </w:rPr>
        <w:t xml:space="preserve"> </w:t>
      </w:r>
      <w:r w:rsidR="00453F15" w:rsidRPr="006C4490">
        <w:rPr>
          <w:lang w:val="en-US"/>
        </w:rPr>
        <w:t>se</w:t>
      </w:r>
      <w:r w:rsidR="00823F92" w:rsidRPr="006C4490">
        <w:rPr>
          <w:lang w:val="en-US"/>
        </w:rPr>
        <w:t>t</w:t>
      </w:r>
      <w:r w:rsidR="00823F92">
        <w:rPr>
          <w:lang w:val="en-US"/>
        </w:rPr>
        <w:t xml:space="preserve"> </w:t>
      </w:r>
      <w:r w:rsidR="00453F15" w:rsidRPr="006C4490">
        <w:rPr>
          <w:lang w:val="en-US"/>
        </w:rPr>
        <w:t>o</w:t>
      </w:r>
      <w:r w:rsidR="00823F92" w:rsidRPr="006C4490">
        <w:rPr>
          <w:lang w:val="en-US"/>
        </w:rPr>
        <w:t>n</w:t>
      </w:r>
      <w:r w:rsidR="00823F92">
        <w:rPr>
          <w:lang w:val="en-US"/>
        </w:rPr>
        <w:t xml:space="preserve"> </w:t>
      </w:r>
      <w:r w:rsidR="00453F15" w:rsidRPr="006C4490">
        <w:rPr>
          <w:lang w:val="en-US"/>
        </w:rPr>
        <w:t>th</w:t>
      </w:r>
      <w:r w:rsidR="00823F92" w:rsidRPr="006C4490">
        <w:rPr>
          <w:lang w:val="en-US"/>
        </w:rPr>
        <w:t>e</w:t>
      </w:r>
      <w:r w:rsidR="00823F92">
        <w:rPr>
          <w:lang w:val="en-US"/>
        </w:rPr>
        <w:t xml:space="preserve"> </w:t>
      </w:r>
      <w:r w:rsidR="00453F15" w:rsidRPr="006C4490">
        <w:rPr>
          <w:lang w:val="en-US"/>
        </w:rPr>
        <w:t>counsellin</w:t>
      </w:r>
      <w:r w:rsidR="00823F92" w:rsidRPr="006C4490">
        <w:rPr>
          <w:lang w:val="en-US"/>
        </w:rPr>
        <w:t>g</w:t>
      </w:r>
      <w:r w:rsidR="00823F92">
        <w:rPr>
          <w:lang w:val="en-US"/>
        </w:rPr>
        <w:t xml:space="preserve"> </w:t>
      </w:r>
      <w:r w:rsidR="00453F15" w:rsidRPr="006C4490">
        <w:rPr>
          <w:lang w:val="en-US"/>
        </w:rPr>
        <w:t>an</w:t>
      </w:r>
      <w:r w:rsidR="00823F92" w:rsidRPr="006C4490">
        <w:rPr>
          <w:lang w:val="en-US"/>
        </w:rPr>
        <w:t>d</w:t>
      </w:r>
      <w:r w:rsidR="00823F92">
        <w:rPr>
          <w:lang w:val="en-US"/>
        </w:rPr>
        <w:t xml:space="preserve"> </w:t>
      </w:r>
      <w:r w:rsidR="00453F15" w:rsidRPr="006C4490">
        <w:rPr>
          <w:lang w:val="en-US"/>
        </w:rPr>
        <w:t>psychotherap</w:t>
      </w:r>
      <w:r w:rsidR="00823F92" w:rsidRPr="006C4490">
        <w:rPr>
          <w:lang w:val="en-US"/>
        </w:rPr>
        <w:t>y</w:t>
      </w:r>
      <w:r w:rsidR="00823F92">
        <w:rPr>
          <w:lang w:val="en-US"/>
        </w:rPr>
        <w:t xml:space="preserve"> </w:t>
      </w:r>
      <w:r w:rsidR="00453F15" w:rsidRPr="006C4490">
        <w:rPr>
          <w:lang w:val="en-US"/>
        </w:rPr>
        <w:t>workforce</w:t>
      </w:r>
      <w:r w:rsidR="00823F92" w:rsidRPr="006C4490">
        <w:rPr>
          <w:lang w:val="en-US"/>
        </w:rPr>
        <w:t>,</w:t>
      </w:r>
      <w:r w:rsidR="00823F92">
        <w:rPr>
          <w:lang w:val="en-US"/>
        </w:rPr>
        <w:t xml:space="preserve"> </w:t>
      </w:r>
      <w:r w:rsidR="00453F15" w:rsidRPr="006C4490">
        <w:rPr>
          <w:lang w:val="en-US"/>
        </w:rPr>
        <w:t>whic</w:t>
      </w:r>
      <w:r w:rsidR="00823F92" w:rsidRPr="006C4490">
        <w:rPr>
          <w:lang w:val="en-US"/>
        </w:rPr>
        <w:t>h</w:t>
      </w:r>
      <w:r w:rsidR="00823F92">
        <w:rPr>
          <w:lang w:val="en-US"/>
        </w:rPr>
        <w:t xml:space="preserve"> </w:t>
      </w:r>
      <w:r w:rsidR="00453F15" w:rsidRPr="006C4490">
        <w:rPr>
          <w:lang w:val="en-US"/>
        </w:rPr>
        <w:t>make</w:t>
      </w:r>
      <w:r w:rsidR="00823F92" w:rsidRPr="006C4490">
        <w:rPr>
          <w:lang w:val="en-US"/>
        </w:rPr>
        <w:t>s</w:t>
      </w:r>
      <w:r w:rsidR="00823F92">
        <w:rPr>
          <w:lang w:val="en-US"/>
        </w:rPr>
        <w:t xml:space="preserve"> </w:t>
      </w:r>
      <w:r w:rsidR="00453F15" w:rsidRPr="006C4490">
        <w:rPr>
          <w:lang w:val="en-US"/>
        </w:rPr>
        <w:t>i</w:t>
      </w:r>
      <w:r w:rsidR="00823F92" w:rsidRPr="006C4490">
        <w:rPr>
          <w:lang w:val="en-US"/>
        </w:rPr>
        <w:t>t</w:t>
      </w:r>
      <w:r w:rsidR="00823F92">
        <w:rPr>
          <w:lang w:val="en-US"/>
        </w:rPr>
        <w:t xml:space="preserve"> </w:t>
      </w:r>
      <w:r w:rsidR="00453F15" w:rsidRPr="006C4490">
        <w:rPr>
          <w:lang w:val="en-US"/>
        </w:rPr>
        <w:t>challengin</w:t>
      </w:r>
      <w:r w:rsidR="00823F92" w:rsidRPr="006C4490">
        <w:rPr>
          <w:lang w:val="en-US"/>
        </w:rPr>
        <w:t>g</w:t>
      </w:r>
      <w:r w:rsidR="00823F92">
        <w:rPr>
          <w:lang w:val="en-US"/>
        </w:rPr>
        <w:t xml:space="preserve"> </w:t>
      </w:r>
      <w:r w:rsidR="00453F15" w:rsidRPr="006C4490">
        <w:rPr>
          <w:lang w:val="en-US"/>
        </w:rPr>
        <w:t>t</w:t>
      </w:r>
      <w:r w:rsidR="00823F92" w:rsidRPr="006C4490">
        <w:rPr>
          <w:lang w:val="en-US"/>
        </w:rPr>
        <w:t>o</w:t>
      </w:r>
      <w:r w:rsidR="00823F92">
        <w:rPr>
          <w:lang w:val="en-US"/>
        </w:rPr>
        <w:t xml:space="preserve"> </w:t>
      </w:r>
      <w:r w:rsidR="00453F15" w:rsidRPr="006C4490">
        <w:rPr>
          <w:lang w:val="en-US"/>
        </w:rPr>
        <w:t>estimat</w:t>
      </w:r>
      <w:r w:rsidR="00823F92" w:rsidRPr="006C4490">
        <w:rPr>
          <w:lang w:val="en-US"/>
        </w:rPr>
        <w:t>e</w:t>
      </w:r>
      <w:r w:rsidR="00823F92">
        <w:rPr>
          <w:lang w:val="en-US"/>
        </w:rPr>
        <w:t xml:space="preserve"> </w:t>
      </w:r>
      <w:r w:rsidR="00453F15" w:rsidRPr="006C4490">
        <w:rPr>
          <w:lang w:val="en-US"/>
        </w:rPr>
        <w:t>th</w:t>
      </w:r>
      <w:r w:rsidR="00823F92" w:rsidRPr="006C4490">
        <w:rPr>
          <w:lang w:val="en-US"/>
        </w:rPr>
        <w:t>e</w:t>
      </w:r>
      <w:r w:rsidR="00823F92">
        <w:rPr>
          <w:lang w:val="en-US"/>
        </w:rPr>
        <w:t xml:space="preserve"> </w:t>
      </w:r>
      <w:r w:rsidR="00453F15" w:rsidRPr="006C4490">
        <w:rPr>
          <w:lang w:val="en-US"/>
        </w:rPr>
        <w:t>size</w:t>
      </w:r>
      <w:r w:rsidR="00823F92">
        <w:rPr>
          <w:lang w:val="en-US"/>
        </w:rPr>
        <w:t xml:space="preserve">, </w:t>
      </w:r>
      <w:r w:rsidR="00765BB2">
        <w:rPr>
          <w:lang w:val="en-US"/>
        </w:rPr>
        <w:t>distributio</w:t>
      </w:r>
      <w:r w:rsidR="00823F92">
        <w:rPr>
          <w:lang w:val="en-US"/>
        </w:rPr>
        <w:t xml:space="preserve">n </w:t>
      </w:r>
      <w:r w:rsidR="00453F15">
        <w:rPr>
          <w:lang w:val="en-US"/>
        </w:rPr>
        <w:t>o</w:t>
      </w:r>
      <w:r w:rsidR="00823F92">
        <w:rPr>
          <w:lang w:val="en-US"/>
        </w:rPr>
        <w:t xml:space="preserve">r </w:t>
      </w:r>
      <w:r w:rsidR="00765BB2">
        <w:rPr>
          <w:lang w:val="en-US"/>
        </w:rPr>
        <w:t>sufficienc</w:t>
      </w:r>
      <w:r w:rsidR="00823F92">
        <w:rPr>
          <w:lang w:val="en-US"/>
        </w:rPr>
        <w:t xml:space="preserve">y </w:t>
      </w:r>
      <w:r w:rsidR="00765BB2">
        <w:rPr>
          <w:lang w:val="en-US"/>
        </w:rPr>
        <w:t>o</w:t>
      </w:r>
      <w:r w:rsidR="00823F92">
        <w:rPr>
          <w:lang w:val="en-US"/>
        </w:rPr>
        <w:t xml:space="preserve">f </w:t>
      </w:r>
      <w:r>
        <w:rPr>
          <w:lang w:val="en-US"/>
        </w:rPr>
        <w:t>suppl</w:t>
      </w:r>
      <w:r w:rsidR="00823F92">
        <w:rPr>
          <w:lang w:val="en-US"/>
        </w:rPr>
        <w:t xml:space="preserve">y </w:t>
      </w:r>
      <w:r w:rsidR="00453F15" w:rsidRPr="006C4490">
        <w:rPr>
          <w:lang w:val="en-US"/>
        </w:rPr>
        <w:t>o</w:t>
      </w:r>
      <w:r w:rsidR="00823F92" w:rsidRPr="006C4490">
        <w:rPr>
          <w:lang w:val="en-US"/>
        </w:rPr>
        <w:t>f</w:t>
      </w:r>
      <w:r w:rsidR="00823F92">
        <w:rPr>
          <w:lang w:val="en-US"/>
        </w:rPr>
        <w:t xml:space="preserve"> </w:t>
      </w:r>
      <w:r w:rsidR="00765BB2" w:rsidRPr="006C4490">
        <w:rPr>
          <w:lang w:val="en-US"/>
        </w:rPr>
        <w:t>th</w:t>
      </w:r>
      <w:r w:rsidR="00765BB2">
        <w:rPr>
          <w:lang w:val="en-US"/>
        </w:rPr>
        <w:t>i</w:t>
      </w:r>
      <w:r w:rsidR="00823F92">
        <w:rPr>
          <w:lang w:val="en-US"/>
        </w:rPr>
        <w:t xml:space="preserve">s </w:t>
      </w:r>
      <w:r w:rsidR="00453F15" w:rsidRPr="006C4490">
        <w:rPr>
          <w:lang w:val="en-US"/>
        </w:rPr>
        <w:t>workforce.</w:t>
      </w:r>
    </w:p>
    <w:p w14:paraId="6B4D900F" w14:textId="432F523D" w:rsidR="00453F15" w:rsidRDefault="00453F15" w:rsidP="001F600F">
      <w:pPr>
        <w:pStyle w:val="Heading3"/>
      </w:pPr>
      <w:r w:rsidRPr="000E25B1">
        <w:t>Dietitians</w:t>
      </w:r>
    </w:p>
    <w:p w14:paraId="2CD9B70A" w14:textId="33FFF131" w:rsidR="00D273F7" w:rsidRDefault="005137B8" w:rsidP="00D273F7">
      <w:pPr>
        <w:pStyle w:val="BodyText"/>
      </w:pPr>
      <w:r w:rsidRPr="009245F1">
        <w:rPr>
          <w:lang w:val="en-US"/>
        </w:rPr>
        <w:t>Role:</w:t>
      </w:r>
      <w:r w:rsidR="00D273F7" w:rsidRPr="009245F1">
        <w:t xml:space="preserve"> </w:t>
      </w:r>
      <w:r w:rsidR="00DF4FD0">
        <w:t>D</w:t>
      </w:r>
      <w:r w:rsidR="00D273F7" w:rsidRPr="006C4490">
        <w:t>ietitian</w:t>
      </w:r>
      <w:r w:rsidR="00823F92" w:rsidRPr="006C4490">
        <w:t>s</w:t>
      </w:r>
      <w:r w:rsidR="00823F92">
        <w:t xml:space="preserve"> </w:t>
      </w:r>
      <w:r w:rsidR="00D273F7" w:rsidRPr="006C4490">
        <w:t>provid</w:t>
      </w:r>
      <w:r w:rsidR="00823F92" w:rsidRPr="006C4490">
        <w:t>e</w:t>
      </w:r>
      <w:r w:rsidR="00823F92">
        <w:t xml:space="preserve"> </w:t>
      </w:r>
      <w:r w:rsidR="00D273F7" w:rsidRPr="006C4490">
        <w:t>consumer-focuse</w:t>
      </w:r>
      <w:r w:rsidR="00823F92" w:rsidRPr="006C4490">
        <w:t>d</w:t>
      </w:r>
      <w:r w:rsidR="00823F92">
        <w:t xml:space="preserve"> </w:t>
      </w:r>
      <w:r w:rsidR="00D273F7" w:rsidRPr="006C4490">
        <w:t>nutritio</w:t>
      </w:r>
      <w:r w:rsidR="00823F92" w:rsidRPr="006C4490">
        <w:t>n</w:t>
      </w:r>
      <w:r w:rsidR="00823F92">
        <w:t xml:space="preserve"> </w:t>
      </w:r>
      <w:r w:rsidR="00D273F7" w:rsidRPr="006C4490">
        <w:t>service</w:t>
      </w:r>
      <w:r w:rsidR="00823F92" w:rsidRPr="006C4490">
        <w:t>s</w:t>
      </w:r>
      <w:r w:rsidR="00823F92">
        <w:t xml:space="preserve"> </w:t>
      </w:r>
      <w:r w:rsidR="00D273F7" w:rsidRPr="006C4490">
        <w:t>t</w:t>
      </w:r>
      <w:r w:rsidR="00823F92" w:rsidRPr="006C4490">
        <w:t>o</w:t>
      </w:r>
      <w:r w:rsidR="00823F92">
        <w:t xml:space="preserve"> </w:t>
      </w:r>
      <w:r w:rsidR="00D273F7" w:rsidRPr="006C4490">
        <w:t>addres</w:t>
      </w:r>
      <w:r w:rsidR="00823F92" w:rsidRPr="006C4490">
        <w:t>s</w:t>
      </w:r>
      <w:r w:rsidR="00823F92">
        <w:t xml:space="preserve"> </w:t>
      </w:r>
      <w:r w:rsidR="00D273F7" w:rsidRPr="006C4490">
        <w:t>th</w:t>
      </w:r>
      <w:r w:rsidR="00823F92" w:rsidRPr="006C4490">
        <w:t>e</w:t>
      </w:r>
      <w:r w:rsidR="00823F92">
        <w:t xml:space="preserve"> </w:t>
      </w:r>
      <w:r w:rsidR="00D273F7" w:rsidRPr="006C4490">
        <w:t>menta</w:t>
      </w:r>
      <w:r w:rsidR="00823F92" w:rsidRPr="006C4490">
        <w:t>l</w:t>
      </w:r>
      <w:r w:rsidR="00823F92">
        <w:t xml:space="preserve"> </w:t>
      </w:r>
      <w:r w:rsidR="00D273F7" w:rsidRPr="006C4490">
        <w:t>an</w:t>
      </w:r>
      <w:r w:rsidR="00823F92" w:rsidRPr="006C4490">
        <w:t>d</w:t>
      </w:r>
      <w:r w:rsidR="00823F92">
        <w:t xml:space="preserve"> </w:t>
      </w:r>
      <w:r w:rsidR="00D273F7" w:rsidRPr="006C4490">
        <w:t>physica</w:t>
      </w:r>
      <w:r w:rsidR="00823F92" w:rsidRPr="006C4490">
        <w:t>l</w:t>
      </w:r>
      <w:r w:rsidR="00823F92">
        <w:t xml:space="preserve"> </w:t>
      </w:r>
      <w:r w:rsidR="00D273F7" w:rsidRPr="006C4490">
        <w:t>healt</w:t>
      </w:r>
      <w:r w:rsidR="00823F92" w:rsidRPr="006C4490">
        <w:t>h</w:t>
      </w:r>
      <w:r w:rsidR="00823F92">
        <w:t xml:space="preserve"> </w:t>
      </w:r>
      <w:r w:rsidR="00D273F7" w:rsidRPr="006C4490">
        <w:t>need</w:t>
      </w:r>
      <w:r w:rsidR="00823F92" w:rsidRPr="006C4490">
        <w:t>s</w:t>
      </w:r>
      <w:r w:rsidR="00823F92">
        <w:t xml:space="preserve"> </w:t>
      </w:r>
      <w:r w:rsidR="00D273F7" w:rsidRPr="006C4490">
        <w:t>o</w:t>
      </w:r>
      <w:r w:rsidR="00823F92" w:rsidRPr="006C4490">
        <w:t>f</w:t>
      </w:r>
      <w:r w:rsidR="00823F92">
        <w:t xml:space="preserve"> </w:t>
      </w:r>
      <w:r w:rsidR="00D273F7" w:rsidRPr="006C4490">
        <w:t>individual</w:t>
      </w:r>
      <w:r w:rsidR="00823F92" w:rsidRPr="006C4490">
        <w:t>s</w:t>
      </w:r>
      <w:r w:rsidR="00823F92">
        <w:t xml:space="preserve"> </w:t>
      </w:r>
      <w:r w:rsidR="00D273F7" w:rsidRPr="006C4490">
        <w:t>an</w:t>
      </w:r>
      <w:r w:rsidR="00823F92" w:rsidRPr="006C4490">
        <w:t>d</w:t>
      </w:r>
      <w:r w:rsidR="00823F92">
        <w:t xml:space="preserve"> </w:t>
      </w:r>
      <w:r w:rsidR="00D273F7" w:rsidRPr="006C4490">
        <w:t>populatio</w:t>
      </w:r>
      <w:r w:rsidR="00823F92" w:rsidRPr="006C4490">
        <w:t>n</w:t>
      </w:r>
      <w:r w:rsidR="00823F92">
        <w:t xml:space="preserve"> </w:t>
      </w:r>
      <w:r w:rsidR="00D273F7" w:rsidRPr="006C4490">
        <w:t>groups</w:t>
      </w:r>
      <w:r w:rsidR="00823F92" w:rsidRPr="006C4490">
        <w:t>.</w:t>
      </w:r>
      <w:r w:rsidR="00823F92">
        <w:t xml:space="preserve"> </w:t>
      </w:r>
      <w:r w:rsidR="00A74B3A">
        <w:t>Dietitian</w:t>
      </w:r>
      <w:r w:rsidR="00823F92">
        <w:t xml:space="preserve">s </w:t>
      </w:r>
      <w:r w:rsidR="00A74B3A">
        <w:t>pla</w:t>
      </w:r>
      <w:r w:rsidR="00823F92">
        <w:t xml:space="preserve">y </w:t>
      </w:r>
      <w:r w:rsidR="00A74B3A">
        <w:t>a</w:t>
      </w:r>
      <w:r w:rsidR="00823F92">
        <w:t xml:space="preserve">n </w:t>
      </w:r>
      <w:r w:rsidR="00A74B3A">
        <w:t>importan</w:t>
      </w:r>
      <w:r w:rsidR="00823F92">
        <w:t xml:space="preserve">t </w:t>
      </w:r>
      <w:r w:rsidR="00A74B3A">
        <w:t>rol</w:t>
      </w:r>
      <w:r w:rsidR="00823F92">
        <w:t xml:space="preserve">e </w:t>
      </w:r>
      <w:r w:rsidR="00A74B3A">
        <w:t>i</w:t>
      </w:r>
      <w:r w:rsidR="00823F92">
        <w:t xml:space="preserve">n </w:t>
      </w:r>
      <w:r w:rsidR="00A74B3A">
        <w:t>th</w:t>
      </w:r>
      <w:r w:rsidR="00823F92">
        <w:t xml:space="preserve">e </w:t>
      </w:r>
      <w:r w:rsidR="00A74B3A">
        <w:t>treatmen</w:t>
      </w:r>
      <w:r w:rsidR="00823F92">
        <w:t xml:space="preserve">t </w:t>
      </w:r>
      <w:r w:rsidR="00A74B3A">
        <w:t>o</w:t>
      </w:r>
      <w:r w:rsidR="00823F92">
        <w:t xml:space="preserve">f </w:t>
      </w:r>
      <w:r w:rsidR="00A74B3A">
        <w:t>peopl</w:t>
      </w:r>
      <w:r w:rsidR="00823F92">
        <w:t xml:space="preserve">e </w:t>
      </w:r>
      <w:r w:rsidR="00A74B3A">
        <w:t>wit</w:t>
      </w:r>
      <w:r w:rsidR="00823F92">
        <w:t xml:space="preserve">h </w:t>
      </w:r>
      <w:r w:rsidR="00A74B3A">
        <w:t>eatin</w:t>
      </w:r>
      <w:r w:rsidR="00823F92">
        <w:t xml:space="preserve">g </w:t>
      </w:r>
      <w:r w:rsidR="00A74B3A">
        <w:t>disorders.</w:t>
      </w:r>
    </w:p>
    <w:p w14:paraId="3661D093" w14:textId="74EC87A7" w:rsidR="005137B8" w:rsidRDefault="005137B8" w:rsidP="005137B8">
      <w:pPr>
        <w:pStyle w:val="BodyText"/>
        <w:rPr>
          <w:b/>
          <w:bCs/>
          <w:lang w:val="en-US"/>
        </w:rPr>
      </w:pPr>
      <w:r w:rsidRPr="009245F1">
        <w:rPr>
          <w:lang w:val="en-US"/>
        </w:rPr>
        <w:t>Setting:</w:t>
      </w:r>
      <w:r>
        <w:rPr>
          <w:b/>
          <w:bCs/>
          <w:lang w:val="en-US"/>
        </w:rPr>
        <w:t xml:space="preserve"> </w:t>
      </w:r>
      <w:r w:rsidR="00D273F7" w:rsidRPr="006C4490">
        <w:t>Dietitian</w:t>
      </w:r>
      <w:r w:rsidR="00823F92" w:rsidRPr="006C4490">
        <w:t>s</w:t>
      </w:r>
      <w:r w:rsidR="00823F92">
        <w:t xml:space="preserve"> </w:t>
      </w:r>
      <w:r w:rsidR="00D273F7" w:rsidRPr="006C4490">
        <w:t>wor</w:t>
      </w:r>
      <w:r w:rsidR="00823F92" w:rsidRPr="006C4490">
        <w:t>k</w:t>
      </w:r>
      <w:r w:rsidR="00823F92">
        <w:t xml:space="preserve"> </w:t>
      </w:r>
      <w:r w:rsidR="00D273F7" w:rsidRPr="006C4490">
        <w:t>primaril</w:t>
      </w:r>
      <w:r w:rsidR="00823F92" w:rsidRPr="006C4490">
        <w:t>y</w:t>
      </w:r>
      <w:r w:rsidR="00823F92">
        <w:t xml:space="preserve"> </w:t>
      </w:r>
      <w:r w:rsidR="00D273F7" w:rsidRPr="006C4490">
        <w:t>i</w:t>
      </w:r>
      <w:r w:rsidR="00823F92" w:rsidRPr="006C4490">
        <w:t>n</w:t>
      </w:r>
      <w:r w:rsidR="00823F92">
        <w:t xml:space="preserve"> </w:t>
      </w:r>
      <w:r w:rsidR="00D273F7" w:rsidRPr="006C4490">
        <w:t>publi</w:t>
      </w:r>
      <w:r w:rsidR="00823F92" w:rsidRPr="006C4490">
        <w:t>c</w:t>
      </w:r>
      <w:r w:rsidR="00823F92">
        <w:t xml:space="preserve"> </w:t>
      </w:r>
      <w:r w:rsidR="00D273F7" w:rsidRPr="006C4490">
        <w:t>an</w:t>
      </w:r>
      <w:r w:rsidR="00823F92" w:rsidRPr="006C4490">
        <w:t>d</w:t>
      </w:r>
      <w:r w:rsidR="00823F92">
        <w:t xml:space="preserve"> </w:t>
      </w:r>
      <w:r w:rsidR="00D273F7" w:rsidRPr="006C4490">
        <w:t>communit</w:t>
      </w:r>
      <w:r w:rsidR="00823F92" w:rsidRPr="006C4490">
        <w:t>y</w:t>
      </w:r>
      <w:r w:rsidR="00823F92">
        <w:t xml:space="preserve"> </w:t>
      </w:r>
      <w:r w:rsidR="00D273F7" w:rsidRPr="006C4490">
        <w:t>settings.</w:t>
      </w:r>
    </w:p>
    <w:p w14:paraId="49DE92DC" w14:textId="270BD69D" w:rsidR="00D273F7" w:rsidRDefault="005137B8" w:rsidP="00D273F7">
      <w:pPr>
        <w:pStyle w:val="BodyText"/>
      </w:pPr>
      <w:r w:rsidRPr="009245F1">
        <w:rPr>
          <w:lang w:val="en-US"/>
        </w:rPr>
        <w:t>Training:</w:t>
      </w:r>
      <w:r w:rsidR="00D273F7" w:rsidRPr="008F11DF">
        <w:t xml:space="preserve"> Dietitian</w:t>
      </w:r>
      <w:r w:rsidR="00823F92" w:rsidRPr="008F11DF">
        <w:t>s</w:t>
      </w:r>
      <w:r w:rsidR="00823F92">
        <w:t xml:space="preserve"> </w:t>
      </w:r>
      <w:r w:rsidR="00D273F7" w:rsidRPr="008F11DF">
        <w:t>mus</w:t>
      </w:r>
      <w:r w:rsidR="00823F92" w:rsidRPr="008F11DF">
        <w:t>t</w:t>
      </w:r>
      <w:r w:rsidR="00823F92">
        <w:t xml:space="preserve"> </w:t>
      </w:r>
      <w:r w:rsidR="00D273F7" w:rsidRPr="008F11DF">
        <w:t>hav</w:t>
      </w:r>
      <w:r w:rsidR="00823F92" w:rsidRPr="008F11DF">
        <w:t>e</w:t>
      </w:r>
      <w:r w:rsidR="00823F92">
        <w:t xml:space="preserve"> </w:t>
      </w:r>
      <w:r w:rsidR="00823F92" w:rsidRPr="008F11DF">
        <w:t>a</w:t>
      </w:r>
      <w:r w:rsidR="00823F92">
        <w:t xml:space="preserve"> </w:t>
      </w:r>
      <w:r w:rsidR="00D273F7" w:rsidRPr="008F11DF">
        <w:t>bachelo</w:t>
      </w:r>
      <w:r w:rsidR="00823F92" w:rsidRPr="008F11DF">
        <w:t>r</w:t>
      </w:r>
      <w:r w:rsidR="00823F92">
        <w:t xml:space="preserve"> </w:t>
      </w:r>
      <w:r w:rsidR="00D273F7" w:rsidRPr="008F11DF">
        <w:t>o</w:t>
      </w:r>
      <w:r w:rsidR="00823F92" w:rsidRPr="008F11DF">
        <w:t>r</w:t>
      </w:r>
      <w:r w:rsidR="00823F92">
        <w:t xml:space="preserve"> </w:t>
      </w:r>
      <w:proofErr w:type="spellStart"/>
      <w:proofErr w:type="gramStart"/>
      <w:r w:rsidR="00D273F7" w:rsidRPr="008F11DF">
        <w:t>master</w:t>
      </w:r>
      <w:r w:rsidR="00823F92" w:rsidRPr="008F11DF">
        <w:t>s</w:t>
      </w:r>
      <w:proofErr w:type="spellEnd"/>
      <w:proofErr w:type="gramEnd"/>
      <w:r w:rsidR="00823F92">
        <w:t xml:space="preserve"> </w:t>
      </w:r>
      <w:r w:rsidR="00D273F7" w:rsidRPr="008F11DF">
        <w:t>degre</w:t>
      </w:r>
      <w:r w:rsidR="00823F92" w:rsidRPr="008F11DF">
        <w:t>e</w:t>
      </w:r>
      <w:r w:rsidR="00823F92">
        <w:t xml:space="preserve"> </w:t>
      </w:r>
      <w:r w:rsidR="00D273F7" w:rsidRPr="008F11DF">
        <w:t>i</w:t>
      </w:r>
      <w:r w:rsidR="00823F92" w:rsidRPr="008F11DF">
        <w:t>n</w:t>
      </w:r>
      <w:r w:rsidR="00823F92">
        <w:t xml:space="preserve"> </w:t>
      </w:r>
      <w:r w:rsidR="00D273F7" w:rsidRPr="008F11DF">
        <w:t>dietetics</w:t>
      </w:r>
      <w:r w:rsidR="00823F92" w:rsidRPr="008F11DF">
        <w:t>.</w:t>
      </w:r>
      <w:r w:rsidR="00823F92">
        <w:t xml:space="preserve"> </w:t>
      </w:r>
      <w:r w:rsidR="00D273F7" w:rsidRPr="008F11DF">
        <w:t>Trainin</w:t>
      </w:r>
      <w:r w:rsidR="00823F92" w:rsidRPr="008F11DF">
        <w:t>g</w:t>
      </w:r>
      <w:r w:rsidR="00823F92">
        <w:t xml:space="preserve"> </w:t>
      </w:r>
      <w:r w:rsidR="00D273F7" w:rsidRPr="008F11DF">
        <w:t>takes</w:t>
      </w:r>
      <w:r w:rsidR="00823F92" w:rsidRPr="008F11DF">
        <w:t>,</w:t>
      </w:r>
      <w:r w:rsidR="00823F92">
        <w:t xml:space="preserve"> </w:t>
      </w:r>
      <w:r w:rsidR="00D273F7" w:rsidRPr="008F11DF">
        <w:t>o</w:t>
      </w:r>
      <w:r w:rsidR="00823F92" w:rsidRPr="008F11DF">
        <w:t>n</w:t>
      </w:r>
      <w:r w:rsidR="00823F92">
        <w:t xml:space="preserve"> </w:t>
      </w:r>
      <w:r w:rsidR="00D273F7" w:rsidRPr="008F11DF">
        <w:t>average</w:t>
      </w:r>
      <w:r w:rsidR="00823F92" w:rsidRPr="008F11DF">
        <w:t>,</w:t>
      </w:r>
      <w:r w:rsidR="00823F92">
        <w:t xml:space="preserve"> </w:t>
      </w:r>
      <w:r w:rsidR="00D273F7">
        <w:t>fou</w:t>
      </w:r>
      <w:r w:rsidR="00823F92">
        <w:t xml:space="preserve">r </w:t>
      </w:r>
      <w:r w:rsidR="00D273F7" w:rsidRPr="008F11DF">
        <w:t>year</w:t>
      </w:r>
      <w:r w:rsidR="00823F92" w:rsidRPr="008F11DF">
        <w:t>s</w:t>
      </w:r>
      <w:r w:rsidR="00823F92">
        <w:t xml:space="preserve"> </w:t>
      </w:r>
      <w:r w:rsidR="00D273F7" w:rsidRPr="008F11DF">
        <w:t>t</w:t>
      </w:r>
      <w:r w:rsidR="00823F92" w:rsidRPr="008F11DF">
        <w:t>o</w:t>
      </w:r>
      <w:r w:rsidR="00823F92">
        <w:t xml:space="preserve"> </w:t>
      </w:r>
      <w:r w:rsidR="00D273F7" w:rsidRPr="008F11DF">
        <w:t>complete</w:t>
      </w:r>
      <w:r w:rsidR="00823F92" w:rsidRPr="008F11DF">
        <w:t>.</w:t>
      </w:r>
      <w:r w:rsidR="00823F92">
        <w:t xml:space="preserve"> </w:t>
      </w:r>
    </w:p>
    <w:p w14:paraId="71E8FFEE" w14:textId="4ED273C6" w:rsidR="00DF4FD0" w:rsidRPr="00342CC6" w:rsidRDefault="00DF4FD0" w:rsidP="00D273F7">
      <w:pPr>
        <w:pStyle w:val="BodyText"/>
      </w:pPr>
      <w:r w:rsidRPr="009245F1">
        <w:t>Regulation:</w:t>
      </w:r>
      <w:r>
        <w:rPr>
          <w:b/>
          <w:bCs/>
        </w:rPr>
        <w:t xml:space="preserve"> </w:t>
      </w:r>
      <w:r w:rsidRPr="008F11DF">
        <w:t>Dietitian</w:t>
      </w:r>
      <w:r w:rsidR="00823F92" w:rsidRPr="008F11DF">
        <w:t>s</w:t>
      </w:r>
      <w:r w:rsidR="00823F92">
        <w:t xml:space="preserve"> </w:t>
      </w:r>
      <w:r w:rsidRPr="008F11DF">
        <w:t>ar</w:t>
      </w:r>
      <w:r w:rsidR="00823F92" w:rsidRPr="008F11DF">
        <w:t>e</w:t>
      </w:r>
      <w:r w:rsidR="00823F92">
        <w:t xml:space="preserve"> </w:t>
      </w:r>
      <w:r>
        <w:t>self-</w:t>
      </w:r>
      <w:r w:rsidRPr="008F11DF">
        <w:t>regulate</w:t>
      </w:r>
      <w:r w:rsidR="00823F92" w:rsidRPr="008F11DF">
        <w:t>d</w:t>
      </w:r>
      <w:r w:rsidR="00823F92">
        <w:t xml:space="preserve"> </w:t>
      </w:r>
      <w:r w:rsidRPr="008F11DF">
        <w:t>throug</w:t>
      </w:r>
      <w:r w:rsidR="00823F92" w:rsidRPr="008F11DF">
        <w:t>h</w:t>
      </w:r>
      <w:r w:rsidR="00823F92">
        <w:t xml:space="preserve"> </w:t>
      </w:r>
      <w:r w:rsidRPr="008F11DF">
        <w:t>Dietitian</w:t>
      </w:r>
      <w:r w:rsidR="00823F92" w:rsidRPr="008F11DF">
        <w:t>s</w:t>
      </w:r>
      <w:r w:rsidR="00823F92">
        <w:t xml:space="preserve"> </w:t>
      </w:r>
      <w:r w:rsidRPr="008F11DF">
        <w:t>Australia</w:t>
      </w:r>
      <w:r>
        <w:t>.</w:t>
      </w:r>
    </w:p>
    <w:p w14:paraId="29453CC6" w14:textId="1DACB54B" w:rsidR="00D273F7" w:rsidRPr="006C4490" w:rsidRDefault="005137B8" w:rsidP="00D273F7">
      <w:pPr>
        <w:pStyle w:val="BodyText"/>
        <w:rPr>
          <w:lang w:val="en-US"/>
        </w:rPr>
      </w:pPr>
      <w:r w:rsidRPr="009245F1">
        <w:rPr>
          <w:lang w:val="en-US"/>
        </w:rPr>
        <w:t>Supply:</w:t>
      </w:r>
      <w:r>
        <w:rPr>
          <w:b/>
          <w:bCs/>
          <w:lang w:val="en-US"/>
        </w:rPr>
        <w:t xml:space="preserve"> </w:t>
      </w:r>
      <w:r w:rsidR="00D273F7" w:rsidRPr="006C4490">
        <w:rPr>
          <w:lang w:val="en-US"/>
        </w:rPr>
        <w:t>Ther</w:t>
      </w:r>
      <w:r w:rsidR="00823F92" w:rsidRPr="006C4490">
        <w:rPr>
          <w:lang w:val="en-US"/>
        </w:rPr>
        <w:t>e</w:t>
      </w:r>
      <w:r w:rsidR="00823F92">
        <w:rPr>
          <w:lang w:val="en-US"/>
        </w:rPr>
        <w:t xml:space="preserve"> </w:t>
      </w:r>
      <w:r w:rsidR="00D273F7" w:rsidRPr="006C4490">
        <w:rPr>
          <w:lang w:val="en-US"/>
        </w:rPr>
        <w:t>i</w:t>
      </w:r>
      <w:r w:rsidR="00823F92" w:rsidRPr="006C4490">
        <w:rPr>
          <w:lang w:val="en-US"/>
        </w:rPr>
        <w:t>s</w:t>
      </w:r>
      <w:r w:rsidR="00823F92">
        <w:rPr>
          <w:lang w:val="en-US"/>
        </w:rPr>
        <w:t xml:space="preserve"> </w:t>
      </w:r>
      <w:r w:rsidR="00D273F7" w:rsidRPr="006C4490">
        <w:rPr>
          <w:lang w:val="en-US"/>
        </w:rPr>
        <w:t>n</w:t>
      </w:r>
      <w:r w:rsidR="00823F92" w:rsidRPr="006C4490">
        <w:rPr>
          <w:lang w:val="en-US"/>
        </w:rPr>
        <w:t>o</w:t>
      </w:r>
      <w:r w:rsidR="00823F92">
        <w:rPr>
          <w:lang w:val="en-US"/>
        </w:rPr>
        <w:t xml:space="preserve"> </w:t>
      </w:r>
      <w:r w:rsidR="00D273F7" w:rsidRPr="006C4490">
        <w:rPr>
          <w:lang w:val="en-US"/>
        </w:rPr>
        <w:t>nationa</w:t>
      </w:r>
      <w:r w:rsidR="00823F92" w:rsidRPr="006C4490">
        <w:rPr>
          <w:lang w:val="en-US"/>
        </w:rPr>
        <w:t>l</w:t>
      </w:r>
      <w:r w:rsidR="00823F92">
        <w:rPr>
          <w:lang w:val="en-US"/>
        </w:rPr>
        <w:t xml:space="preserve"> </w:t>
      </w:r>
      <w:proofErr w:type="spellStart"/>
      <w:r w:rsidR="00D273F7" w:rsidRPr="006C4490">
        <w:rPr>
          <w:lang w:val="en-US"/>
        </w:rPr>
        <w:t>standardise</w:t>
      </w:r>
      <w:r w:rsidR="00823F92" w:rsidRPr="006C4490">
        <w:rPr>
          <w:lang w:val="en-US"/>
        </w:rPr>
        <w:t>d</w:t>
      </w:r>
      <w:proofErr w:type="spellEnd"/>
      <w:r w:rsidR="00823F92">
        <w:rPr>
          <w:lang w:val="en-US"/>
        </w:rPr>
        <w:t xml:space="preserve"> </w:t>
      </w:r>
      <w:r w:rsidR="00D273F7" w:rsidRPr="006C4490">
        <w:rPr>
          <w:lang w:val="en-US"/>
        </w:rPr>
        <w:t>dat</w:t>
      </w:r>
      <w:r w:rsidR="00823F92" w:rsidRPr="006C4490">
        <w:rPr>
          <w:lang w:val="en-US"/>
        </w:rPr>
        <w:t>a</w:t>
      </w:r>
      <w:r w:rsidR="00823F92">
        <w:rPr>
          <w:lang w:val="en-US"/>
        </w:rPr>
        <w:t xml:space="preserve"> </w:t>
      </w:r>
      <w:r w:rsidR="00D273F7" w:rsidRPr="006C4490">
        <w:rPr>
          <w:lang w:val="en-US"/>
        </w:rPr>
        <w:t>se</w:t>
      </w:r>
      <w:r w:rsidR="00823F92" w:rsidRPr="006C4490">
        <w:rPr>
          <w:lang w:val="en-US"/>
        </w:rPr>
        <w:t>t</w:t>
      </w:r>
      <w:r w:rsidR="00823F92">
        <w:rPr>
          <w:lang w:val="en-US"/>
        </w:rPr>
        <w:t xml:space="preserve"> </w:t>
      </w:r>
      <w:r w:rsidR="00D273F7" w:rsidRPr="006C4490">
        <w:rPr>
          <w:lang w:val="en-US"/>
        </w:rPr>
        <w:t>o</w:t>
      </w:r>
      <w:r w:rsidR="00823F92" w:rsidRPr="006C4490">
        <w:rPr>
          <w:lang w:val="en-US"/>
        </w:rPr>
        <w:t>n</w:t>
      </w:r>
      <w:r w:rsidR="00823F92">
        <w:rPr>
          <w:lang w:val="en-US"/>
        </w:rPr>
        <w:t xml:space="preserve"> </w:t>
      </w:r>
      <w:r w:rsidR="00D273F7" w:rsidRPr="006C4490">
        <w:rPr>
          <w:lang w:val="en-US"/>
        </w:rPr>
        <w:t>th</w:t>
      </w:r>
      <w:r w:rsidR="00823F92" w:rsidRPr="006C4490">
        <w:rPr>
          <w:lang w:val="en-US"/>
        </w:rPr>
        <w:t>e</w:t>
      </w:r>
      <w:r w:rsidR="00823F92">
        <w:rPr>
          <w:lang w:val="en-US"/>
        </w:rPr>
        <w:t xml:space="preserve"> </w:t>
      </w:r>
      <w:proofErr w:type="spellStart"/>
      <w:r w:rsidR="00AA71D5">
        <w:rPr>
          <w:lang w:val="en-US"/>
        </w:rPr>
        <w:t>diateti</w:t>
      </w:r>
      <w:r w:rsidR="00823F92">
        <w:rPr>
          <w:lang w:val="en-US"/>
        </w:rPr>
        <w:t>c</w:t>
      </w:r>
      <w:proofErr w:type="spellEnd"/>
      <w:r w:rsidR="00823F92">
        <w:rPr>
          <w:lang w:val="en-US"/>
        </w:rPr>
        <w:t xml:space="preserve"> </w:t>
      </w:r>
      <w:r w:rsidR="00D273F7" w:rsidRPr="006C4490">
        <w:rPr>
          <w:lang w:val="en-US"/>
        </w:rPr>
        <w:t>workforce</w:t>
      </w:r>
      <w:r w:rsidR="00823F92">
        <w:rPr>
          <w:lang w:val="en-US"/>
        </w:rPr>
        <w:t xml:space="preserve">, </w:t>
      </w:r>
      <w:r w:rsidR="00A74B3A" w:rsidRPr="006C4490">
        <w:rPr>
          <w:lang w:val="en-US"/>
        </w:rPr>
        <w:t>whic</w:t>
      </w:r>
      <w:r w:rsidR="00823F92" w:rsidRPr="006C4490">
        <w:rPr>
          <w:lang w:val="en-US"/>
        </w:rPr>
        <w:t>h</w:t>
      </w:r>
      <w:r w:rsidR="00823F92">
        <w:rPr>
          <w:lang w:val="en-US"/>
        </w:rPr>
        <w:t xml:space="preserve"> </w:t>
      </w:r>
      <w:r w:rsidR="00A74B3A" w:rsidRPr="006C4490">
        <w:rPr>
          <w:lang w:val="en-US"/>
        </w:rPr>
        <w:t>make</w:t>
      </w:r>
      <w:r w:rsidR="00823F92" w:rsidRPr="006C4490">
        <w:rPr>
          <w:lang w:val="en-US"/>
        </w:rPr>
        <w:t>s</w:t>
      </w:r>
      <w:r w:rsidR="00823F92">
        <w:rPr>
          <w:lang w:val="en-US"/>
        </w:rPr>
        <w:t xml:space="preserve"> </w:t>
      </w:r>
      <w:r w:rsidR="00A74B3A" w:rsidRPr="006C4490">
        <w:rPr>
          <w:lang w:val="en-US"/>
        </w:rPr>
        <w:t>i</w:t>
      </w:r>
      <w:r w:rsidR="00823F92" w:rsidRPr="006C4490">
        <w:rPr>
          <w:lang w:val="en-US"/>
        </w:rPr>
        <w:t>t</w:t>
      </w:r>
      <w:r w:rsidR="00823F92">
        <w:rPr>
          <w:lang w:val="en-US"/>
        </w:rPr>
        <w:t xml:space="preserve"> </w:t>
      </w:r>
      <w:r w:rsidR="00A74B3A" w:rsidRPr="006C4490">
        <w:rPr>
          <w:lang w:val="en-US"/>
        </w:rPr>
        <w:t>challengin</w:t>
      </w:r>
      <w:r w:rsidR="00823F92" w:rsidRPr="006C4490">
        <w:rPr>
          <w:lang w:val="en-US"/>
        </w:rPr>
        <w:t>g</w:t>
      </w:r>
      <w:r w:rsidR="00823F92">
        <w:rPr>
          <w:lang w:val="en-US"/>
        </w:rPr>
        <w:t xml:space="preserve"> </w:t>
      </w:r>
      <w:r w:rsidR="00A74B3A" w:rsidRPr="006C4490">
        <w:rPr>
          <w:lang w:val="en-US"/>
        </w:rPr>
        <w:t>t</w:t>
      </w:r>
      <w:r w:rsidR="00823F92" w:rsidRPr="006C4490">
        <w:rPr>
          <w:lang w:val="en-US"/>
        </w:rPr>
        <w:t>o</w:t>
      </w:r>
      <w:r w:rsidR="00823F92">
        <w:rPr>
          <w:lang w:val="en-US"/>
        </w:rPr>
        <w:t xml:space="preserve"> </w:t>
      </w:r>
      <w:r w:rsidR="00A74B3A" w:rsidRPr="006C4490">
        <w:rPr>
          <w:lang w:val="en-US"/>
        </w:rPr>
        <w:t>estimat</w:t>
      </w:r>
      <w:r w:rsidR="00823F92" w:rsidRPr="006C4490">
        <w:rPr>
          <w:lang w:val="en-US"/>
        </w:rPr>
        <w:t>e</w:t>
      </w:r>
      <w:r w:rsidR="00823F92">
        <w:rPr>
          <w:lang w:val="en-US"/>
        </w:rPr>
        <w:t xml:space="preserve"> </w:t>
      </w:r>
      <w:r w:rsidR="00A74B3A" w:rsidRPr="006C4490">
        <w:rPr>
          <w:lang w:val="en-US"/>
        </w:rPr>
        <w:t>th</w:t>
      </w:r>
      <w:r w:rsidR="00823F92" w:rsidRPr="006C4490">
        <w:rPr>
          <w:lang w:val="en-US"/>
        </w:rPr>
        <w:t>e</w:t>
      </w:r>
      <w:r w:rsidR="00823F92">
        <w:rPr>
          <w:lang w:val="en-US"/>
        </w:rPr>
        <w:t xml:space="preserve"> </w:t>
      </w:r>
      <w:r w:rsidR="00A74B3A" w:rsidRPr="006C4490">
        <w:rPr>
          <w:lang w:val="en-US"/>
        </w:rPr>
        <w:t>size</w:t>
      </w:r>
      <w:r w:rsidR="00823F92">
        <w:rPr>
          <w:lang w:val="en-US"/>
        </w:rPr>
        <w:t xml:space="preserve">, </w:t>
      </w:r>
      <w:r w:rsidR="00A74B3A">
        <w:rPr>
          <w:lang w:val="en-US"/>
        </w:rPr>
        <w:t>distributio</w:t>
      </w:r>
      <w:r w:rsidR="00823F92">
        <w:rPr>
          <w:lang w:val="en-US"/>
        </w:rPr>
        <w:t xml:space="preserve">n </w:t>
      </w:r>
      <w:r w:rsidR="00A74B3A">
        <w:rPr>
          <w:lang w:val="en-US"/>
        </w:rPr>
        <w:t>o</w:t>
      </w:r>
      <w:r w:rsidR="00823F92">
        <w:rPr>
          <w:lang w:val="en-US"/>
        </w:rPr>
        <w:t xml:space="preserve">r </w:t>
      </w:r>
      <w:r w:rsidR="00A74B3A">
        <w:rPr>
          <w:lang w:val="en-US"/>
        </w:rPr>
        <w:t>sufficienc</w:t>
      </w:r>
      <w:r w:rsidR="00823F92">
        <w:rPr>
          <w:lang w:val="en-US"/>
        </w:rPr>
        <w:t xml:space="preserve">y </w:t>
      </w:r>
      <w:r w:rsidR="00A74B3A">
        <w:rPr>
          <w:lang w:val="en-US"/>
        </w:rPr>
        <w:t>o</w:t>
      </w:r>
      <w:r w:rsidR="00823F92">
        <w:rPr>
          <w:lang w:val="en-US"/>
        </w:rPr>
        <w:t xml:space="preserve">f </w:t>
      </w:r>
      <w:r w:rsidR="00A74B3A">
        <w:rPr>
          <w:lang w:val="en-US"/>
        </w:rPr>
        <w:t>suppl</w:t>
      </w:r>
      <w:r w:rsidR="00823F92">
        <w:rPr>
          <w:lang w:val="en-US"/>
        </w:rPr>
        <w:t xml:space="preserve">y </w:t>
      </w:r>
      <w:r w:rsidR="00A74B3A" w:rsidRPr="006C4490">
        <w:rPr>
          <w:lang w:val="en-US"/>
        </w:rPr>
        <w:t>o</w:t>
      </w:r>
      <w:r w:rsidR="00823F92" w:rsidRPr="006C4490">
        <w:rPr>
          <w:lang w:val="en-US"/>
        </w:rPr>
        <w:t>f</w:t>
      </w:r>
      <w:r w:rsidR="00823F92">
        <w:rPr>
          <w:lang w:val="en-US"/>
        </w:rPr>
        <w:t xml:space="preserve"> </w:t>
      </w:r>
      <w:r w:rsidR="00A74B3A" w:rsidRPr="006C4490">
        <w:rPr>
          <w:lang w:val="en-US"/>
        </w:rPr>
        <w:t>th</w:t>
      </w:r>
      <w:r w:rsidR="00A74B3A">
        <w:rPr>
          <w:lang w:val="en-US"/>
        </w:rPr>
        <w:t>i</w:t>
      </w:r>
      <w:r w:rsidR="00823F92">
        <w:rPr>
          <w:lang w:val="en-US"/>
        </w:rPr>
        <w:t xml:space="preserve">s </w:t>
      </w:r>
      <w:r w:rsidR="00A74B3A" w:rsidRPr="006C4490">
        <w:rPr>
          <w:lang w:val="en-US"/>
        </w:rPr>
        <w:t>workforce</w:t>
      </w:r>
      <w:r w:rsidR="00D273F7" w:rsidRPr="006C4490">
        <w:rPr>
          <w:lang w:val="en-US"/>
        </w:rPr>
        <w:t>.</w:t>
      </w:r>
    </w:p>
    <w:p w14:paraId="195C78B2" w14:textId="0D923676" w:rsidR="00453F15" w:rsidRDefault="00453F15" w:rsidP="00CF05FC">
      <w:pPr>
        <w:pStyle w:val="Heading3"/>
      </w:pPr>
      <w:r w:rsidRPr="000E25B1">
        <w:t>Genera</w:t>
      </w:r>
      <w:r w:rsidR="00823F92" w:rsidRPr="000E25B1">
        <w:t>l</w:t>
      </w:r>
      <w:r w:rsidR="00823F92">
        <w:t xml:space="preserve"> </w:t>
      </w:r>
      <w:r>
        <w:t>p</w:t>
      </w:r>
      <w:r w:rsidRPr="000E25B1">
        <w:t>ractitioner</w:t>
      </w:r>
      <w:r w:rsidR="00823F92" w:rsidRPr="000E25B1">
        <w:t>s</w:t>
      </w:r>
      <w:r w:rsidR="00823F92">
        <w:t xml:space="preserve"> </w:t>
      </w:r>
    </w:p>
    <w:p w14:paraId="5A3F1693" w14:textId="199669C1" w:rsidR="00D273F7" w:rsidRDefault="005137B8" w:rsidP="00D273F7">
      <w:pPr>
        <w:pStyle w:val="BodyText"/>
        <w:rPr>
          <w:lang w:val="en-US"/>
        </w:rPr>
      </w:pPr>
      <w:r w:rsidRPr="009245F1">
        <w:rPr>
          <w:lang w:val="en-US"/>
        </w:rPr>
        <w:t>Role:</w:t>
      </w:r>
      <w:r w:rsidR="00D273F7" w:rsidRPr="00D273F7">
        <w:rPr>
          <w:lang w:val="en-US"/>
        </w:rPr>
        <w:t xml:space="preserve"> </w:t>
      </w:r>
      <w:r w:rsidR="00C65839">
        <w:rPr>
          <w:lang w:val="en-US"/>
        </w:rPr>
        <w:t>GP</w:t>
      </w:r>
      <w:r w:rsidR="00823F92">
        <w:rPr>
          <w:lang w:val="en-US"/>
        </w:rPr>
        <w:t xml:space="preserve">s </w:t>
      </w:r>
      <w:r w:rsidR="00D273F7" w:rsidRPr="006C4490">
        <w:rPr>
          <w:lang w:val="en-US"/>
        </w:rPr>
        <w:t>provid</w:t>
      </w:r>
      <w:r w:rsidR="00823F92" w:rsidRPr="006C4490">
        <w:rPr>
          <w:lang w:val="en-US"/>
        </w:rPr>
        <w:t>e</w:t>
      </w:r>
      <w:r w:rsidR="00823F92">
        <w:rPr>
          <w:lang w:val="en-US"/>
        </w:rPr>
        <w:t xml:space="preserve"> </w:t>
      </w:r>
      <w:r w:rsidR="00D273F7" w:rsidRPr="006C4490">
        <w:rPr>
          <w:lang w:val="en-US"/>
        </w:rPr>
        <w:t>primar</w:t>
      </w:r>
      <w:r w:rsidR="00823F92" w:rsidRPr="006C4490">
        <w:rPr>
          <w:lang w:val="en-US"/>
        </w:rPr>
        <w:t>y</w:t>
      </w:r>
      <w:r w:rsidR="00823F92">
        <w:rPr>
          <w:lang w:val="en-US"/>
        </w:rPr>
        <w:t xml:space="preserve"> </w:t>
      </w:r>
      <w:r w:rsidR="00D273F7" w:rsidRPr="006C4490">
        <w:rPr>
          <w:lang w:val="en-US"/>
        </w:rPr>
        <w:t>car</w:t>
      </w:r>
      <w:r w:rsidR="00823F92" w:rsidRPr="006C4490">
        <w:rPr>
          <w:lang w:val="en-US"/>
        </w:rPr>
        <w:t>e</w:t>
      </w:r>
      <w:r w:rsidR="00823F92">
        <w:rPr>
          <w:lang w:val="en-US"/>
        </w:rPr>
        <w:t xml:space="preserve"> </w:t>
      </w:r>
      <w:r w:rsidR="00D273F7" w:rsidRPr="006C4490">
        <w:rPr>
          <w:lang w:val="en-US"/>
        </w:rPr>
        <w:t>an</w:t>
      </w:r>
      <w:r w:rsidR="00823F92" w:rsidRPr="006C4490">
        <w:rPr>
          <w:lang w:val="en-US"/>
        </w:rPr>
        <w:t>d</w:t>
      </w:r>
      <w:r w:rsidR="00823F92">
        <w:rPr>
          <w:lang w:val="en-US"/>
        </w:rPr>
        <w:t xml:space="preserve"> </w:t>
      </w:r>
      <w:r w:rsidR="00D273F7" w:rsidRPr="006C4490">
        <w:rPr>
          <w:lang w:val="en-US"/>
        </w:rPr>
        <w:t>ar</w:t>
      </w:r>
      <w:r w:rsidR="00823F92" w:rsidRPr="006C4490">
        <w:rPr>
          <w:lang w:val="en-US"/>
        </w:rPr>
        <w:t>e</w:t>
      </w:r>
      <w:r w:rsidR="00823F92">
        <w:rPr>
          <w:lang w:val="en-US"/>
        </w:rPr>
        <w:t xml:space="preserve"> </w:t>
      </w:r>
      <w:r w:rsidR="00D273F7" w:rsidRPr="006C4490">
        <w:rPr>
          <w:lang w:val="en-US"/>
        </w:rPr>
        <w:t>ofte</w:t>
      </w:r>
      <w:r w:rsidR="00823F92" w:rsidRPr="006C4490">
        <w:rPr>
          <w:lang w:val="en-US"/>
        </w:rPr>
        <w:t>n</w:t>
      </w:r>
      <w:r w:rsidR="00823F92">
        <w:rPr>
          <w:lang w:val="en-US"/>
        </w:rPr>
        <w:t xml:space="preserve"> </w:t>
      </w:r>
      <w:r w:rsidR="00D273F7" w:rsidRPr="006C4490">
        <w:rPr>
          <w:lang w:val="en-US"/>
        </w:rPr>
        <w:t>th</w:t>
      </w:r>
      <w:r w:rsidR="00823F92" w:rsidRPr="006C4490">
        <w:rPr>
          <w:lang w:val="en-US"/>
        </w:rPr>
        <w:t>e</w:t>
      </w:r>
      <w:r w:rsidR="00823F92">
        <w:rPr>
          <w:lang w:val="en-US"/>
        </w:rPr>
        <w:t xml:space="preserve"> </w:t>
      </w:r>
      <w:r w:rsidR="00D273F7" w:rsidRPr="006C4490">
        <w:rPr>
          <w:lang w:val="en-US"/>
        </w:rPr>
        <w:t>firs</w:t>
      </w:r>
      <w:r w:rsidR="00823F92" w:rsidRPr="006C4490">
        <w:rPr>
          <w:lang w:val="en-US"/>
        </w:rPr>
        <w:t>t</w:t>
      </w:r>
      <w:r w:rsidR="00823F92">
        <w:rPr>
          <w:lang w:val="en-US"/>
        </w:rPr>
        <w:t xml:space="preserve"> </w:t>
      </w:r>
      <w:r w:rsidR="00D273F7" w:rsidRPr="006C4490">
        <w:rPr>
          <w:lang w:val="en-US"/>
        </w:rPr>
        <w:t>poin</w:t>
      </w:r>
      <w:r w:rsidR="00823F92" w:rsidRPr="006C4490">
        <w:rPr>
          <w:lang w:val="en-US"/>
        </w:rPr>
        <w:t>t</w:t>
      </w:r>
      <w:r w:rsidR="00823F92">
        <w:rPr>
          <w:lang w:val="en-US"/>
        </w:rPr>
        <w:t xml:space="preserve"> </w:t>
      </w:r>
      <w:r w:rsidR="00D273F7" w:rsidRPr="006C4490">
        <w:rPr>
          <w:lang w:val="en-US"/>
        </w:rPr>
        <w:t>o</w:t>
      </w:r>
      <w:r w:rsidR="00823F92" w:rsidRPr="006C4490">
        <w:rPr>
          <w:lang w:val="en-US"/>
        </w:rPr>
        <w:t>f</w:t>
      </w:r>
      <w:r w:rsidR="00823F92">
        <w:rPr>
          <w:lang w:val="en-US"/>
        </w:rPr>
        <w:t xml:space="preserve"> </w:t>
      </w:r>
      <w:r w:rsidR="00D273F7" w:rsidRPr="006C4490">
        <w:rPr>
          <w:lang w:val="en-US"/>
        </w:rPr>
        <w:t>contac</w:t>
      </w:r>
      <w:r w:rsidR="00823F92" w:rsidRPr="006C4490">
        <w:rPr>
          <w:lang w:val="en-US"/>
        </w:rPr>
        <w:t>t</w:t>
      </w:r>
      <w:r w:rsidR="00823F92">
        <w:rPr>
          <w:lang w:val="en-US"/>
        </w:rPr>
        <w:t xml:space="preserve"> </w:t>
      </w:r>
      <w:r w:rsidR="00D273F7" w:rsidRPr="006C4490">
        <w:rPr>
          <w:lang w:val="en-US"/>
        </w:rPr>
        <w:t>fo</w:t>
      </w:r>
      <w:r w:rsidR="00823F92" w:rsidRPr="006C4490">
        <w:rPr>
          <w:lang w:val="en-US"/>
        </w:rPr>
        <w:t>r</w:t>
      </w:r>
      <w:r w:rsidR="00823F92">
        <w:rPr>
          <w:lang w:val="en-US"/>
        </w:rPr>
        <w:t xml:space="preserve"> </w:t>
      </w:r>
      <w:r w:rsidR="00D273F7" w:rsidRPr="006C4490">
        <w:rPr>
          <w:lang w:val="en-US"/>
        </w:rPr>
        <w:t>someon</w:t>
      </w:r>
      <w:r w:rsidR="00823F92" w:rsidRPr="006C4490">
        <w:rPr>
          <w:lang w:val="en-US"/>
        </w:rPr>
        <w:t>e</w:t>
      </w:r>
      <w:r w:rsidR="00823F92">
        <w:rPr>
          <w:lang w:val="en-US"/>
        </w:rPr>
        <w:t xml:space="preserve"> </w:t>
      </w:r>
      <w:r w:rsidR="00D273F7" w:rsidRPr="006C4490">
        <w:rPr>
          <w:lang w:val="en-US"/>
        </w:rPr>
        <w:t>experiencin</w:t>
      </w:r>
      <w:r w:rsidR="00823F92" w:rsidRPr="006C4490">
        <w:rPr>
          <w:lang w:val="en-US"/>
        </w:rPr>
        <w:t>g</w:t>
      </w:r>
      <w:r w:rsidR="00823F92">
        <w:rPr>
          <w:lang w:val="en-US"/>
        </w:rPr>
        <w:t xml:space="preserve"> </w:t>
      </w:r>
      <w:r w:rsidR="00D273F7" w:rsidRPr="006C4490">
        <w:rPr>
          <w:lang w:val="en-US"/>
        </w:rPr>
        <w:t>menta</w:t>
      </w:r>
      <w:r w:rsidR="00823F92" w:rsidRPr="006C4490">
        <w:rPr>
          <w:lang w:val="en-US"/>
        </w:rPr>
        <w:t>l</w:t>
      </w:r>
      <w:r w:rsidR="00823F92">
        <w:rPr>
          <w:lang w:val="en-US"/>
        </w:rPr>
        <w:t xml:space="preserve"> </w:t>
      </w:r>
      <w:r w:rsidR="00D273F7" w:rsidRPr="006C4490">
        <w:rPr>
          <w:lang w:val="en-US"/>
        </w:rPr>
        <w:t>distres</w:t>
      </w:r>
      <w:r w:rsidR="00823F92" w:rsidRPr="006C4490">
        <w:rPr>
          <w:lang w:val="en-US"/>
        </w:rPr>
        <w:t>s</w:t>
      </w:r>
      <w:r w:rsidR="00823F92">
        <w:rPr>
          <w:lang w:val="en-US"/>
        </w:rPr>
        <w:t xml:space="preserve"> </w:t>
      </w:r>
      <w:r w:rsidR="00D273F7" w:rsidRPr="006C4490">
        <w:rPr>
          <w:lang w:val="en-US"/>
        </w:rPr>
        <w:t>and/o</w:t>
      </w:r>
      <w:r w:rsidR="00823F92" w:rsidRPr="006C4490">
        <w:rPr>
          <w:lang w:val="en-US"/>
        </w:rPr>
        <w:t>r</w:t>
      </w:r>
      <w:r w:rsidR="00823F92">
        <w:rPr>
          <w:lang w:val="en-US"/>
        </w:rPr>
        <w:t xml:space="preserve"> </w:t>
      </w:r>
      <w:r w:rsidR="00D273F7" w:rsidRPr="006C4490">
        <w:rPr>
          <w:lang w:val="en-US"/>
        </w:rPr>
        <w:t>ill-health</w:t>
      </w:r>
      <w:r w:rsidR="00823F92" w:rsidRPr="006C4490">
        <w:rPr>
          <w:lang w:val="en-US"/>
        </w:rPr>
        <w:t>.</w:t>
      </w:r>
      <w:r w:rsidR="00823F92">
        <w:rPr>
          <w:lang w:val="en-US"/>
        </w:rPr>
        <w:t xml:space="preserve"> </w:t>
      </w:r>
      <w:r w:rsidR="00375731" w:rsidRPr="00375731">
        <w:rPr>
          <w:lang w:val="en-US"/>
        </w:rPr>
        <w:t>GP</w:t>
      </w:r>
      <w:r w:rsidR="00823F92" w:rsidRPr="00375731">
        <w:rPr>
          <w:lang w:val="en-US"/>
        </w:rPr>
        <w:t>s</w:t>
      </w:r>
      <w:r w:rsidR="00823F92">
        <w:rPr>
          <w:lang w:val="en-US"/>
        </w:rPr>
        <w:t xml:space="preserve"> </w:t>
      </w:r>
      <w:r w:rsidR="00375731" w:rsidRPr="00375731">
        <w:rPr>
          <w:lang w:val="en-US"/>
        </w:rPr>
        <w:t>diagnos</w:t>
      </w:r>
      <w:r w:rsidR="00823F92" w:rsidRPr="00375731">
        <w:rPr>
          <w:lang w:val="en-US"/>
        </w:rPr>
        <w:t>e</w:t>
      </w:r>
      <w:r w:rsidR="00823F92">
        <w:rPr>
          <w:lang w:val="en-US"/>
        </w:rPr>
        <w:t xml:space="preserve"> </w:t>
      </w:r>
      <w:r w:rsidR="00375731" w:rsidRPr="00375731">
        <w:rPr>
          <w:lang w:val="en-US"/>
        </w:rPr>
        <w:t>an</w:t>
      </w:r>
      <w:r w:rsidR="00823F92" w:rsidRPr="00375731">
        <w:rPr>
          <w:lang w:val="en-US"/>
        </w:rPr>
        <w:t>d</w:t>
      </w:r>
      <w:r w:rsidR="00823F92">
        <w:rPr>
          <w:lang w:val="en-US"/>
        </w:rPr>
        <w:t xml:space="preserve"> </w:t>
      </w:r>
      <w:r w:rsidR="00375731" w:rsidRPr="00375731">
        <w:rPr>
          <w:lang w:val="en-US"/>
        </w:rPr>
        <w:t>trea</w:t>
      </w:r>
      <w:r w:rsidR="00823F92" w:rsidRPr="00375731">
        <w:rPr>
          <w:lang w:val="en-US"/>
        </w:rPr>
        <w:t>t</w:t>
      </w:r>
      <w:r w:rsidR="00823F92">
        <w:rPr>
          <w:lang w:val="en-US"/>
        </w:rPr>
        <w:t xml:space="preserve"> </w:t>
      </w:r>
      <w:r w:rsidR="00375731" w:rsidRPr="00375731">
        <w:rPr>
          <w:lang w:val="en-US"/>
        </w:rPr>
        <w:t>peopl</w:t>
      </w:r>
      <w:r w:rsidR="00823F92" w:rsidRPr="00375731">
        <w:rPr>
          <w:lang w:val="en-US"/>
        </w:rPr>
        <w:t>e</w:t>
      </w:r>
      <w:r w:rsidR="00823F92">
        <w:rPr>
          <w:lang w:val="en-US"/>
        </w:rPr>
        <w:t xml:space="preserve"> </w:t>
      </w:r>
      <w:r w:rsidR="00375731" w:rsidRPr="00375731">
        <w:rPr>
          <w:lang w:val="en-US"/>
        </w:rPr>
        <w:t>wit</w:t>
      </w:r>
      <w:r w:rsidR="00823F92" w:rsidRPr="00375731">
        <w:rPr>
          <w:lang w:val="en-US"/>
        </w:rPr>
        <w:t>h</w:t>
      </w:r>
      <w:r w:rsidR="00823F92">
        <w:rPr>
          <w:lang w:val="en-US"/>
        </w:rPr>
        <w:t xml:space="preserve"> </w:t>
      </w:r>
      <w:r w:rsidR="00375731" w:rsidRPr="00375731">
        <w:rPr>
          <w:lang w:val="en-US"/>
        </w:rPr>
        <w:t>menta</w:t>
      </w:r>
      <w:r w:rsidR="00823F92" w:rsidRPr="00375731">
        <w:rPr>
          <w:lang w:val="en-US"/>
        </w:rPr>
        <w:t>l</w:t>
      </w:r>
      <w:r w:rsidR="00823F92">
        <w:rPr>
          <w:lang w:val="en-US"/>
        </w:rPr>
        <w:t xml:space="preserve"> </w:t>
      </w:r>
      <w:r w:rsidR="00375731">
        <w:rPr>
          <w:lang w:val="en-US"/>
        </w:rPr>
        <w:t>illness</w:t>
      </w:r>
      <w:r w:rsidR="00823F92">
        <w:rPr>
          <w:lang w:val="en-US"/>
        </w:rPr>
        <w:t xml:space="preserve">, </w:t>
      </w:r>
      <w:r w:rsidR="00375731" w:rsidRPr="00375731">
        <w:rPr>
          <w:lang w:val="en-US"/>
        </w:rPr>
        <w:t>hav</w:t>
      </w:r>
      <w:r w:rsidR="00823F92" w:rsidRPr="00375731">
        <w:rPr>
          <w:lang w:val="en-US"/>
        </w:rPr>
        <w:t>e</w:t>
      </w:r>
      <w:r w:rsidR="00823F92">
        <w:rPr>
          <w:lang w:val="en-US"/>
        </w:rPr>
        <w:t xml:space="preserve"> </w:t>
      </w:r>
      <w:r w:rsidR="00823F92" w:rsidRPr="00375731">
        <w:rPr>
          <w:lang w:val="en-US"/>
        </w:rPr>
        <w:t>a</w:t>
      </w:r>
      <w:r w:rsidR="00823F92">
        <w:rPr>
          <w:lang w:val="en-US"/>
        </w:rPr>
        <w:t xml:space="preserve"> </w:t>
      </w:r>
      <w:r w:rsidR="00375731" w:rsidRPr="00375731">
        <w:rPr>
          <w:lang w:val="en-US"/>
        </w:rPr>
        <w:t>rol</w:t>
      </w:r>
      <w:r w:rsidR="00823F92" w:rsidRPr="00375731">
        <w:rPr>
          <w:lang w:val="en-US"/>
        </w:rPr>
        <w:t>e</w:t>
      </w:r>
      <w:r w:rsidR="00823F92">
        <w:rPr>
          <w:lang w:val="en-US"/>
        </w:rPr>
        <w:t xml:space="preserve"> </w:t>
      </w:r>
      <w:r w:rsidR="00375731" w:rsidRPr="00375731">
        <w:rPr>
          <w:lang w:val="en-US"/>
        </w:rPr>
        <w:t>i</w:t>
      </w:r>
      <w:r w:rsidR="00823F92" w:rsidRPr="00375731">
        <w:rPr>
          <w:lang w:val="en-US"/>
        </w:rPr>
        <w:t>n</w:t>
      </w:r>
      <w:r w:rsidR="00823F92">
        <w:rPr>
          <w:lang w:val="en-US"/>
        </w:rPr>
        <w:t xml:space="preserve"> </w:t>
      </w:r>
      <w:r w:rsidR="00375731" w:rsidRPr="00375731">
        <w:rPr>
          <w:lang w:val="en-US"/>
        </w:rPr>
        <w:t>makin</w:t>
      </w:r>
      <w:r w:rsidR="00823F92" w:rsidRPr="00375731">
        <w:rPr>
          <w:lang w:val="en-US"/>
        </w:rPr>
        <w:t>g</w:t>
      </w:r>
      <w:r w:rsidR="00823F92">
        <w:rPr>
          <w:lang w:val="en-US"/>
        </w:rPr>
        <w:t xml:space="preserve"> </w:t>
      </w:r>
      <w:r w:rsidR="00375731" w:rsidRPr="00375731">
        <w:rPr>
          <w:lang w:val="en-US"/>
        </w:rPr>
        <w:t>referral</w:t>
      </w:r>
      <w:r w:rsidR="00823F92" w:rsidRPr="00375731">
        <w:rPr>
          <w:lang w:val="en-US"/>
        </w:rPr>
        <w:t>s</w:t>
      </w:r>
      <w:r w:rsidR="00823F92">
        <w:rPr>
          <w:lang w:val="en-US"/>
        </w:rPr>
        <w:t xml:space="preserve"> </w:t>
      </w:r>
      <w:r w:rsidR="00375731" w:rsidRPr="00375731">
        <w:rPr>
          <w:lang w:val="en-US"/>
        </w:rPr>
        <w:t>t</w:t>
      </w:r>
      <w:r w:rsidR="00823F92" w:rsidRPr="00375731">
        <w:rPr>
          <w:lang w:val="en-US"/>
        </w:rPr>
        <w:t>o</w:t>
      </w:r>
      <w:r w:rsidR="00823F92">
        <w:rPr>
          <w:lang w:val="en-US"/>
        </w:rPr>
        <w:t xml:space="preserve"> </w:t>
      </w:r>
      <w:r w:rsidR="00375731" w:rsidRPr="00375731">
        <w:rPr>
          <w:lang w:val="en-US"/>
        </w:rPr>
        <w:t>specialis</w:t>
      </w:r>
      <w:r w:rsidR="00823F92" w:rsidRPr="00375731">
        <w:rPr>
          <w:lang w:val="en-US"/>
        </w:rPr>
        <w:t>t</w:t>
      </w:r>
      <w:r w:rsidR="00823F92">
        <w:rPr>
          <w:lang w:val="en-US"/>
        </w:rPr>
        <w:t xml:space="preserve"> </w:t>
      </w:r>
      <w:r w:rsidR="00375731" w:rsidRPr="00375731">
        <w:rPr>
          <w:lang w:val="en-US"/>
        </w:rPr>
        <w:t>menta</w:t>
      </w:r>
      <w:r w:rsidR="00823F92" w:rsidRPr="00375731">
        <w:rPr>
          <w:lang w:val="en-US"/>
        </w:rPr>
        <w:t>l</w:t>
      </w:r>
      <w:r w:rsidR="00823F92">
        <w:rPr>
          <w:lang w:val="en-US"/>
        </w:rPr>
        <w:t xml:space="preserve"> </w:t>
      </w:r>
      <w:r w:rsidR="00375731" w:rsidRPr="00375731">
        <w:rPr>
          <w:lang w:val="en-US"/>
        </w:rPr>
        <w:t>healt</w:t>
      </w:r>
      <w:r w:rsidR="00823F92" w:rsidRPr="00375731">
        <w:rPr>
          <w:lang w:val="en-US"/>
        </w:rPr>
        <w:t>h</w:t>
      </w:r>
      <w:r w:rsidR="00823F92">
        <w:rPr>
          <w:lang w:val="en-US"/>
        </w:rPr>
        <w:t xml:space="preserve"> </w:t>
      </w:r>
      <w:r w:rsidR="00375731" w:rsidRPr="00375731">
        <w:rPr>
          <w:lang w:val="en-US"/>
        </w:rPr>
        <w:t>service</w:t>
      </w:r>
      <w:r w:rsidR="00823F92" w:rsidRPr="00375731">
        <w:rPr>
          <w:lang w:val="en-US"/>
        </w:rPr>
        <w:t>s</w:t>
      </w:r>
      <w:r w:rsidR="00823F92">
        <w:rPr>
          <w:lang w:val="en-US"/>
        </w:rPr>
        <w:t xml:space="preserve"> </w:t>
      </w:r>
      <w:r w:rsidR="00375731" w:rsidRPr="00375731">
        <w:rPr>
          <w:lang w:val="en-US"/>
        </w:rPr>
        <w:t>an</w:t>
      </w:r>
      <w:r w:rsidR="00823F92" w:rsidRPr="00375731">
        <w:rPr>
          <w:lang w:val="en-US"/>
        </w:rPr>
        <w:t>d</w:t>
      </w:r>
      <w:r w:rsidR="00823F92">
        <w:rPr>
          <w:lang w:val="en-US"/>
        </w:rPr>
        <w:t xml:space="preserve"> </w:t>
      </w:r>
      <w:r w:rsidR="00375731" w:rsidRPr="00375731">
        <w:rPr>
          <w:lang w:val="en-US"/>
        </w:rPr>
        <w:t>ma</w:t>
      </w:r>
      <w:r w:rsidR="00823F92" w:rsidRPr="00375731">
        <w:rPr>
          <w:lang w:val="en-US"/>
        </w:rPr>
        <w:t>y</w:t>
      </w:r>
      <w:r w:rsidR="00823F92">
        <w:rPr>
          <w:lang w:val="en-US"/>
        </w:rPr>
        <w:t xml:space="preserve"> </w:t>
      </w:r>
      <w:r w:rsidR="00375731" w:rsidRPr="00375731">
        <w:rPr>
          <w:lang w:val="en-US"/>
        </w:rPr>
        <w:t>provid</w:t>
      </w:r>
      <w:r w:rsidR="00823F92" w:rsidRPr="00375731">
        <w:rPr>
          <w:lang w:val="en-US"/>
        </w:rPr>
        <w:t>e</w:t>
      </w:r>
      <w:r w:rsidR="00823F92">
        <w:rPr>
          <w:lang w:val="en-US"/>
        </w:rPr>
        <w:t xml:space="preserve"> </w:t>
      </w:r>
      <w:r w:rsidR="00375731" w:rsidRPr="00375731">
        <w:rPr>
          <w:lang w:val="en-US"/>
        </w:rPr>
        <w:t>low-intensit</w:t>
      </w:r>
      <w:r w:rsidR="00823F92" w:rsidRPr="00375731">
        <w:rPr>
          <w:lang w:val="en-US"/>
        </w:rPr>
        <w:t>y</w:t>
      </w:r>
      <w:r w:rsidR="00823F92">
        <w:rPr>
          <w:lang w:val="en-US"/>
        </w:rPr>
        <w:t xml:space="preserve"> </w:t>
      </w:r>
      <w:r w:rsidR="00375731" w:rsidRPr="00375731">
        <w:rPr>
          <w:lang w:val="en-US"/>
        </w:rPr>
        <w:t>psychologica</w:t>
      </w:r>
      <w:r w:rsidR="00823F92" w:rsidRPr="00375731">
        <w:rPr>
          <w:lang w:val="en-US"/>
        </w:rPr>
        <w:t>l</w:t>
      </w:r>
      <w:r w:rsidR="00823F92">
        <w:rPr>
          <w:lang w:val="en-US"/>
        </w:rPr>
        <w:t xml:space="preserve"> </w:t>
      </w:r>
      <w:r w:rsidR="00375731" w:rsidRPr="00375731">
        <w:rPr>
          <w:lang w:val="en-US"/>
        </w:rPr>
        <w:t>therapies.</w:t>
      </w:r>
    </w:p>
    <w:p w14:paraId="336B08E3" w14:textId="739C815B" w:rsidR="005137B8" w:rsidRDefault="005137B8" w:rsidP="005137B8">
      <w:pPr>
        <w:pStyle w:val="BodyText"/>
        <w:rPr>
          <w:b/>
          <w:bCs/>
          <w:lang w:val="en-US"/>
        </w:rPr>
      </w:pPr>
      <w:r w:rsidRPr="009245F1">
        <w:rPr>
          <w:lang w:val="en-US"/>
        </w:rPr>
        <w:t>Setting:</w:t>
      </w:r>
      <w:r>
        <w:rPr>
          <w:b/>
          <w:bCs/>
          <w:lang w:val="en-US"/>
        </w:rPr>
        <w:t xml:space="preserve"> </w:t>
      </w:r>
      <w:r w:rsidR="00D273F7" w:rsidRPr="006C4490">
        <w:rPr>
          <w:lang w:val="en-US"/>
        </w:rPr>
        <w:t>Mos</w:t>
      </w:r>
      <w:r w:rsidR="00823F92" w:rsidRPr="006C4490">
        <w:rPr>
          <w:lang w:val="en-US"/>
        </w:rPr>
        <w:t>t</w:t>
      </w:r>
      <w:r w:rsidR="00823F92">
        <w:rPr>
          <w:lang w:val="en-US"/>
        </w:rPr>
        <w:t xml:space="preserve"> </w:t>
      </w:r>
      <w:r w:rsidR="00D273F7" w:rsidRPr="006C4490">
        <w:rPr>
          <w:lang w:val="en-US"/>
        </w:rPr>
        <w:t>GP</w:t>
      </w:r>
      <w:r w:rsidR="00823F92" w:rsidRPr="006C4490">
        <w:rPr>
          <w:lang w:val="en-US"/>
        </w:rPr>
        <w:t>s</w:t>
      </w:r>
      <w:r w:rsidR="00823F92">
        <w:rPr>
          <w:lang w:val="en-US"/>
        </w:rPr>
        <w:t xml:space="preserve"> </w:t>
      </w:r>
      <w:r w:rsidR="00D273F7" w:rsidRPr="006C4490">
        <w:rPr>
          <w:lang w:val="en-US"/>
        </w:rPr>
        <w:t>wor</w:t>
      </w:r>
      <w:r w:rsidR="00823F92" w:rsidRPr="006C4490">
        <w:rPr>
          <w:lang w:val="en-US"/>
        </w:rPr>
        <w:t>k</w:t>
      </w:r>
      <w:r w:rsidR="00823F92">
        <w:rPr>
          <w:lang w:val="en-US"/>
        </w:rPr>
        <w:t xml:space="preserve"> </w:t>
      </w:r>
      <w:r w:rsidR="00D273F7" w:rsidRPr="006C4490">
        <w:rPr>
          <w:lang w:val="en-US"/>
        </w:rPr>
        <w:t>i</w:t>
      </w:r>
      <w:r w:rsidR="00823F92" w:rsidRPr="006C4490">
        <w:rPr>
          <w:lang w:val="en-US"/>
        </w:rPr>
        <w:t>n</w:t>
      </w:r>
      <w:r w:rsidR="00823F92">
        <w:rPr>
          <w:lang w:val="en-US"/>
        </w:rPr>
        <w:t xml:space="preserve"> </w:t>
      </w:r>
      <w:r w:rsidR="00D273F7" w:rsidRPr="006C4490">
        <w:rPr>
          <w:lang w:val="en-US"/>
        </w:rPr>
        <w:t>th</w:t>
      </w:r>
      <w:r w:rsidR="00823F92" w:rsidRPr="006C4490">
        <w:rPr>
          <w:lang w:val="en-US"/>
        </w:rPr>
        <w:t>e</w:t>
      </w:r>
      <w:r w:rsidR="00823F92">
        <w:rPr>
          <w:lang w:val="en-US"/>
        </w:rPr>
        <w:t xml:space="preserve"> </w:t>
      </w:r>
      <w:r w:rsidR="00D273F7" w:rsidRPr="006C4490">
        <w:rPr>
          <w:lang w:val="en-US"/>
        </w:rPr>
        <w:t>privat</w:t>
      </w:r>
      <w:r w:rsidR="00823F92" w:rsidRPr="006C4490">
        <w:rPr>
          <w:lang w:val="en-US"/>
        </w:rPr>
        <w:t>e</w:t>
      </w:r>
      <w:r w:rsidR="00823F92">
        <w:rPr>
          <w:lang w:val="en-US"/>
        </w:rPr>
        <w:t xml:space="preserve"> </w:t>
      </w:r>
      <w:r w:rsidR="00D273F7" w:rsidRPr="006C4490">
        <w:rPr>
          <w:lang w:val="en-US"/>
        </w:rPr>
        <w:t>secto</w:t>
      </w:r>
      <w:r w:rsidR="00823F92" w:rsidRPr="006C4490">
        <w:rPr>
          <w:lang w:val="en-US"/>
        </w:rPr>
        <w:t>r</w:t>
      </w:r>
      <w:r w:rsidR="00823F92">
        <w:rPr>
          <w:lang w:val="en-US"/>
        </w:rPr>
        <w:t xml:space="preserve"> </w:t>
      </w:r>
      <w:r w:rsidR="00D273F7" w:rsidRPr="006C4490">
        <w:rPr>
          <w:lang w:val="en-US"/>
        </w:rPr>
        <w:t>i</w:t>
      </w:r>
      <w:r w:rsidR="00823F92" w:rsidRPr="006C4490">
        <w:rPr>
          <w:lang w:val="en-US"/>
        </w:rPr>
        <w:t>n</w:t>
      </w:r>
      <w:r w:rsidR="00823F92">
        <w:rPr>
          <w:lang w:val="en-US"/>
        </w:rPr>
        <w:t xml:space="preserve"> </w:t>
      </w:r>
      <w:r w:rsidR="00D273F7" w:rsidRPr="006C4490">
        <w:rPr>
          <w:lang w:val="en-US"/>
        </w:rPr>
        <w:t>grou</w:t>
      </w:r>
      <w:r w:rsidR="00823F92" w:rsidRPr="006C4490">
        <w:rPr>
          <w:lang w:val="en-US"/>
        </w:rPr>
        <w:t>p</w:t>
      </w:r>
      <w:r w:rsidR="00823F92">
        <w:rPr>
          <w:lang w:val="en-US"/>
        </w:rPr>
        <w:t xml:space="preserve"> </w:t>
      </w:r>
      <w:r w:rsidR="00D273F7" w:rsidRPr="006C4490">
        <w:rPr>
          <w:lang w:val="en-US"/>
        </w:rPr>
        <w:t>practices.</w:t>
      </w:r>
    </w:p>
    <w:p w14:paraId="58579E40" w14:textId="1318B82C" w:rsidR="004555DB" w:rsidRDefault="005137B8" w:rsidP="004555DB">
      <w:pPr>
        <w:pStyle w:val="BodyText"/>
        <w:rPr>
          <w:lang w:val="en-US"/>
        </w:rPr>
      </w:pPr>
      <w:r w:rsidRPr="009245F1">
        <w:rPr>
          <w:lang w:val="en-US"/>
        </w:rPr>
        <w:lastRenderedPageBreak/>
        <w:t>Training:</w:t>
      </w:r>
      <w:r>
        <w:rPr>
          <w:b/>
          <w:bCs/>
          <w:lang w:val="en-US"/>
        </w:rPr>
        <w:t xml:space="preserve"> </w:t>
      </w:r>
      <w:r w:rsidR="004555DB" w:rsidRPr="00B13F76">
        <w:rPr>
          <w:lang w:val="en-US"/>
        </w:rPr>
        <w:t>GP</w:t>
      </w:r>
      <w:r w:rsidR="00823F92" w:rsidRPr="00B13F76">
        <w:rPr>
          <w:lang w:val="en-US"/>
        </w:rPr>
        <w:t>s</w:t>
      </w:r>
      <w:r w:rsidR="00823F92">
        <w:rPr>
          <w:lang w:val="en-US"/>
        </w:rPr>
        <w:t xml:space="preserve"> </w:t>
      </w:r>
      <w:r w:rsidR="004555DB" w:rsidRPr="00B13F76">
        <w:rPr>
          <w:lang w:val="en-US"/>
        </w:rPr>
        <w:t>undertak</w:t>
      </w:r>
      <w:r w:rsidR="00823F92" w:rsidRPr="00B13F76">
        <w:rPr>
          <w:lang w:val="en-US"/>
        </w:rPr>
        <w:t>e</w:t>
      </w:r>
      <w:r w:rsidR="00823F92">
        <w:rPr>
          <w:lang w:val="en-US"/>
        </w:rPr>
        <w:t xml:space="preserve"> </w:t>
      </w:r>
      <w:r w:rsidR="00823F92" w:rsidRPr="00B13F76">
        <w:rPr>
          <w:lang w:val="en-US"/>
        </w:rPr>
        <w:t>a</w:t>
      </w:r>
      <w:r w:rsidR="00823F92">
        <w:rPr>
          <w:lang w:val="en-US"/>
        </w:rPr>
        <w:t xml:space="preserve"> </w:t>
      </w:r>
      <w:proofErr w:type="gramStart"/>
      <w:r w:rsidR="004555DB" w:rsidRPr="00B13F76">
        <w:rPr>
          <w:lang w:val="en-US"/>
        </w:rPr>
        <w:t>bachelo</w:t>
      </w:r>
      <w:r w:rsidR="00823F92" w:rsidRPr="00B13F76">
        <w:rPr>
          <w:lang w:val="en-US"/>
        </w:rPr>
        <w:t>r</w:t>
      </w:r>
      <w:proofErr w:type="gramEnd"/>
      <w:r w:rsidR="00823F92">
        <w:rPr>
          <w:lang w:val="en-US"/>
        </w:rPr>
        <w:t xml:space="preserve"> </w:t>
      </w:r>
      <w:r w:rsidR="004555DB" w:rsidRPr="00B13F76">
        <w:rPr>
          <w:lang w:val="en-US"/>
        </w:rPr>
        <w:t>degre</w:t>
      </w:r>
      <w:r w:rsidR="00823F92" w:rsidRPr="00B13F76">
        <w:rPr>
          <w:lang w:val="en-US"/>
        </w:rPr>
        <w:t>e</w:t>
      </w:r>
      <w:r w:rsidR="00823F92">
        <w:rPr>
          <w:lang w:val="en-US"/>
        </w:rPr>
        <w:t xml:space="preserve"> </w:t>
      </w:r>
      <w:r w:rsidR="004555DB" w:rsidRPr="00B13F76">
        <w:rPr>
          <w:lang w:val="en-US"/>
        </w:rPr>
        <w:t>an</w:t>
      </w:r>
      <w:r w:rsidR="00823F92" w:rsidRPr="00B13F76">
        <w:rPr>
          <w:lang w:val="en-US"/>
        </w:rPr>
        <w:t>d</w:t>
      </w:r>
      <w:r w:rsidR="00823F92">
        <w:rPr>
          <w:lang w:val="en-US"/>
        </w:rPr>
        <w:t xml:space="preserve"> </w:t>
      </w:r>
      <w:r w:rsidR="004555DB" w:rsidRPr="00B13F76">
        <w:rPr>
          <w:lang w:val="en-US"/>
        </w:rPr>
        <w:t>postgraduat</w:t>
      </w:r>
      <w:r w:rsidR="00823F92" w:rsidRPr="00B13F76">
        <w:rPr>
          <w:lang w:val="en-US"/>
        </w:rPr>
        <w:t>e</w:t>
      </w:r>
      <w:r w:rsidR="00823F92">
        <w:rPr>
          <w:lang w:val="en-US"/>
        </w:rPr>
        <w:t xml:space="preserve"> </w:t>
      </w:r>
      <w:r w:rsidR="004555DB" w:rsidRPr="00B13F76">
        <w:rPr>
          <w:lang w:val="en-US"/>
        </w:rPr>
        <w:t>degre</w:t>
      </w:r>
      <w:r w:rsidR="00823F92" w:rsidRPr="00B13F76">
        <w:rPr>
          <w:lang w:val="en-US"/>
        </w:rPr>
        <w:t>e</w:t>
      </w:r>
      <w:r w:rsidR="00823F92">
        <w:rPr>
          <w:lang w:val="en-US"/>
        </w:rPr>
        <w:t xml:space="preserve"> </w:t>
      </w:r>
      <w:r w:rsidR="004555DB" w:rsidRPr="00B13F76">
        <w:rPr>
          <w:lang w:val="en-US"/>
        </w:rPr>
        <w:t>i</w:t>
      </w:r>
      <w:r w:rsidR="00823F92" w:rsidRPr="00B13F76">
        <w:rPr>
          <w:lang w:val="en-US"/>
        </w:rPr>
        <w:t>n</w:t>
      </w:r>
      <w:r w:rsidR="00823F92">
        <w:rPr>
          <w:lang w:val="en-US"/>
        </w:rPr>
        <w:t xml:space="preserve"> </w:t>
      </w:r>
      <w:r w:rsidR="004555DB" w:rsidRPr="00B13F76">
        <w:rPr>
          <w:lang w:val="en-US"/>
        </w:rPr>
        <w:t>medicine</w:t>
      </w:r>
      <w:r w:rsidR="00823F92" w:rsidRPr="00B13F76">
        <w:rPr>
          <w:lang w:val="en-US"/>
        </w:rPr>
        <w:t>,</w:t>
      </w:r>
      <w:r w:rsidR="00823F92">
        <w:rPr>
          <w:lang w:val="en-US"/>
        </w:rPr>
        <w:t xml:space="preserve"> </w:t>
      </w:r>
      <w:r w:rsidR="004555DB">
        <w:rPr>
          <w:lang w:val="en-US"/>
        </w:rPr>
        <w:t>a</w:t>
      </w:r>
      <w:r w:rsidR="00823F92">
        <w:rPr>
          <w:lang w:val="en-US"/>
        </w:rPr>
        <w:t xml:space="preserve">n </w:t>
      </w:r>
      <w:r w:rsidR="004555DB" w:rsidRPr="00B13F76">
        <w:rPr>
          <w:lang w:val="en-US"/>
        </w:rPr>
        <w:t>internshi</w:t>
      </w:r>
      <w:r w:rsidR="00823F92" w:rsidRPr="00B13F76">
        <w:rPr>
          <w:lang w:val="en-US"/>
        </w:rPr>
        <w:t>p</w:t>
      </w:r>
      <w:r w:rsidR="00823F92">
        <w:rPr>
          <w:lang w:val="en-US"/>
        </w:rPr>
        <w:t xml:space="preserve"> </w:t>
      </w:r>
      <w:r w:rsidR="004555DB" w:rsidRPr="00B13F76">
        <w:rPr>
          <w:lang w:val="en-US"/>
        </w:rPr>
        <w:t>an</w:t>
      </w:r>
      <w:r w:rsidR="00823F92" w:rsidRPr="00B13F76">
        <w:rPr>
          <w:lang w:val="en-US"/>
        </w:rPr>
        <w:t>d</w:t>
      </w:r>
      <w:r w:rsidR="00823F92">
        <w:rPr>
          <w:lang w:val="en-US"/>
        </w:rPr>
        <w:t xml:space="preserve"> </w:t>
      </w:r>
      <w:r w:rsidR="004555DB" w:rsidRPr="00B13F76">
        <w:rPr>
          <w:lang w:val="en-US"/>
        </w:rPr>
        <w:t>specialis</w:t>
      </w:r>
      <w:r w:rsidR="00823F92" w:rsidRPr="00B13F76">
        <w:rPr>
          <w:lang w:val="en-US"/>
        </w:rPr>
        <w:t>t</w:t>
      </w:r>
      <w:r w:rsidR="00823F92">
        <w:rPr>
          <w:lang w:val="en-US"/>
        </w:rPr>
        <w:t xml:space="preserve"> </w:t>
      </w:r>
      <w:r w:rsidR="004555DB" w:rsidRPr="00B13F76">
        <w:rPr>
          <w:lang w:val="en-US"/>
        </w:rPr>
        <w:t>genera</w:t>
      </w:r>
      <w:r w:rsidR="00823F92" w:rsidRPr="00B13F76">
        <w:rPr>
          <w:lang w:val="en-US"/>
        </w:rPr>
        <w:t>l</w:t>
      </w:r>
      <w:r w:rsidR="00823F92">
        <w:rPr>
          <w:lang w:val="en-US"/>
        </w:rPr>
        <w:t xml:space="preserve"> </w:t>
      </w:r>
      <w:r w:rsidR="004555DB" w:rsidRPr="00B13F76">
        <w:rPr>
          <w:lang w:val="en-US"/>
        </w:rPr>
        <w:t>practic</w:t>
      </w:r>
      <w:r w:rsidR="00823F92" w:rsidRPr="00B13F76">
        <w:rPr>
          <w:lang w:val="en-US"/>
        </w:rPr>
        <w:t>e</w:t>
      </w:r>
      <w:r w:rsidR="00823F92">
        <w:rPr>
          <w:lang w:val="en-US"/>
        </w:rPr>
        <w:t xml:space="preserve"> </w:t>
      </w:r>
      <w:r w:rsidR="004555DB" w:rsidRPr="00B13F76">
        <w:rPr>
          <w:lang w:val="en-US"/>
        </w:rPr>
        <w:t>vocationa</w:t>
      </w:r>
      <w:r w:rsidR="00823F92" w:rsidRPr="00B13F76">
        <w:rPr>
          <w:lang w:val="en-US"/>
        </w:rPr>
        <w:t>l</w:t>
      </w:r>
      <w:r w:rsidR="00823F92">
        <w:rPr>
          <w:lang w:val="en-US"/>
        </w:rPr>
        <w:t xml:space="preserve"> </w:t>
      </w:r>
      <w:r w:rsidR="004555DB" w:rsidRPr="00B13F76">
        <w:rPr>
          <w:lang w:val="en-US"/>
        </w:rPr>
        <w:t>training</w:t>
      </w:r>
      <w:r w:rsidR="00823F92" w:rsidRPr="00B13F76">
        <w:rPr>
          <w:lang w:val="en-US"/>
        </w:rPr>
        <w:t>.</w:t>
      </w:r>
      <w:r w:rsidR="00823F92">
        <w:rPr>
          <w:lang w:val="en-US"/>
        </w:rPr>
        <w:t xml:space="preserve"> </w:t>
      </w:r>
      <w:r w:rsidR="004555DB" w:rsidRPr="00B13F76">
        <w:rPr>
          <w:lang w:val="en-US"/>
        </w:rPr>
        <w:t>Th</w:t>
      </w:r>
      <w:r w:rsidR="00823F92" w:rsidRPr="00B13F76">
        <w:rPr>
          <w:lang w:val="en-US"/>
        </w:rPr>
        <w:t>e</w:t>
      </w:r>
      <w:r w:rsidR="00823F92">
        <w:rPr>
          <w:lang w:val="en-US"/>
        </w:rPr>
        <w:t xml:space="preserve"> </w:t>
      </w:r>
      <w:r w:rsidR="004555DB" w:rsidRPr="00B13F76">
        <w:rPr>
          <w:lang w:val="en-US"/>
        </w:rPr>
        <w:t>lengt</w:t>
      </w:r>
      <w:r w:rsidR="00823F92" w:rsidRPr="00B13F76">
        <w:rPr>
          <w:lang w:val="en-US"/>
        </w:rPr>
        <w:t>h</w:t>
      </w:r>
      <w:r w:rsidR="00823F92">
        <w:rPr>
          <w:lang w:val="en-US"/>
        </w:rPr>
        <w:t xml:space="preserve"> </w:t>
      </w:r>
      <w:r w:rsidR="004555DB" w:rsidRPr="00B13F76">
        <w:rPr>
          <w:lang w:val="en-US"/>
        </w:rPr>
        <w:t>o</w:t>
      </w:r>
      <w:r w:rsidR="00823F92" w:rsidRPr="00B13F76">
        <w:rPr>
          <w:lang w:val="en-US"/>
        </w:rPr>
        <w:t>f</w:t>
      </w:r>
      <w:r w:rsidR="00823F92">
        <w:rPr>
          <w:lang w:val="en-US"/>
        </w:rPr>
        <w:t xml:space="preserve"> </w:t>
      </w:r>
      <w:r w:rsidR="004555DB" w:rsidRPr="00B13F76">
        <w:rPr>
          <w:lang w:val="en-US"/>
        </w:rPr>
        <w:t>trainin</w:t>
      </w:r>
      <w:r w:rsidR="00823F92" w:rsidRPr="00B13F76">
        <w:rPr>
          <w:lang w:val="en-US"/>
        </w:rPr>
        <w:t>g</w:t>
      </w:r>
      <w:r w:rsidR="00823F92">
        <w:rPr>
          <w:lang w:val="en-US"/>
        </w:rPr>
        <w:t xml:space="preserve"> </w:t>
      </w:r>
      <w:r w:rsidR="004555DB" w:rsidRPr="00B13F76">
        <w:rPr>
          <w:lang w:val="en-US"/>
        </w:rPr>
        <w:t>t</w:t>
      </w:r>
      <w:r w:rsidR="00823F92" w:rsidRPr="00B13F76">
        <w:rPr>
          <w:lang w:val="en-US"/>
        </w:rPr>
        <w:t>o</w:t>
      </w:r>
      <w:r w:rsidR="00823F92">
        <w:rPr>
          <w:lang w:val="en-US"/>
        </w:rPr>
        <w:t xml:space="preserve"> </w:t>
      </w:r>
      <w:r w:rsidR="004555DB" w:rsidRPr="00B13F76">
        <w:rPr>
          <w:lang w:val="en-US"/>
        </w:rPr>
        <w:t>becom</w:t>
      </w:r>
      <w:r w:rsidR="00823F92" w:rsidRPr="00B13F76">
        <w:rPr>
          <w:lang w:val="en-US"/>
        </w:rPr>
        <w:t>e</w:t>
      </w:r>
      <w:r w:rsidR="00823F92">
        <w:rPr>
          <w:lang w:val="en-US"/>
        </w:rPr>
        <w:t xml:space="preserve"> </w:t>
      </w:r>
      <w:r w:rsidR="00823F92" w:rsidRPr="00B13F76">
        <w:rPr>
          <w:lang w:val="en-US"/>
        </w:rPr>
        <w:t>a</w:t>
      </w:r>
      <w:r w:rsidR="00823F92">
        <w:rPr>
          <w:lang w:val="en-US"/>
        </w:rPr>
        <w:t xml:space="preserve"> </w:t>
      </w:r>
      <w:r w:rsidR="004555DB" w:rsidRPr="00B13F76">
        <w:rPr>
          <w:lang w:val="en-US"/>
        </w:rPr>
        <w:t>G</w:t>
      </w:r>
      <w:r w:rsidR="00823F92" w:rsidRPr="00B13F76">
        <w:rPr>
          <w:lang w:val="en-US"/>
        </w:rPr>
        <w:t>P</w:t>
      </w:r>
      <w:r w:rsidR="00823F92">
        <w:rPr>
          <w:lang w:val="en-US"/>
        </w:rPr>
        <w:t xml:space="preserve"> </w:t>
      </w:r>
      <w:r w:rsidR="004555DB" w:rsidRPr="00B13F76">
        <w:rPr>
          <w:lang w:val="en-US"/>
        </w:rPr>
        <w:t>i</w:t>
      </w:r>
      <w:r w:rsidR="00823F92" w:rsidRPr="00B13F76">
        <w:rPr>
          <w:lang w:val="en-US"/>
        </w:rPr>
        <w:t>s</w:t>
      </w:r>
      <w:r w:rsidR="00823F92">
        <w:rPr>
          <w:lang w:val="en-US"/>
        </w:rPr>
        <w:t xml:space="preserve"> </w:t>
      </w:r>
      <w:r w:rsidR="004555DB">
        <w:rPr>
          <w:lang w:val="en-US"/>
        </w:rPr>
        <w:t>eigh</w:t>
      </w:r>
      <w:r w:rsidR="00823F92">
        <w:rPr>
          <w:lang w:val="en-US"/>
        </w:rPr>
        <w:t xml:space="preserve">t </w:t>
      </w:r>
      <w:r w:rsidR="004555DB" w:rsidRPr="00B13F76">
        <w:rPr>
          <w:lang w:val="en-US"/>
        </w:rPr>
        <w:t>year</w:t>
      </w:r>
      <w:r w:rsidR="00823F92" w:rsidRPr="00B13F76">
        <w:rPr>
          <w:lang w:val="en-US"/>
        </w:rPr>
        <w:t>s</w:t>
      </w:r>
      <w:r w:rsidR="00823F92">
        <w:rPr>
          <w:lang w:val="en-US"/>
        </w:rPr>
        <w:t xml:space="preserve"> </w:t>
      </w:r>
      <w:r w:rsidR="004555DB" w:rsidRPr="00B13F76">
        <w:rPr>
          <w:lang w:val="en-US"/>
        </w:rPr>
        <w:t>o</w:t>
      </w:r>
      <w:r w:rsidR="00823F92" w:rsidRPr="00B13F76">
        <w:rPr>
          <w:lang w:val="en-US"/>
        </w:rPr>
        <w:t>n</w:t>
      </w:r>
      <w:r w:rsidR="00823F92">
        <w:rPr>
          <w:lang w:val="en-US"/>
        </w:rPr>
        <w:t xml:space="preserve"> </w:t>
      </w:r>
      <w:r w:rsidR="004555DB" w:rsidRPr="00B13F76">
        <w:rPr>
          <w:lang w:val="en-US"/>
        </w:rPr>
        <w:t>average</w:t>
      </w:r>
      <w:r w:rsidR="00823F92" w:rsidRPr="00B13F76">
        <w:rPr>
          <w:lang w:val="en-US"/>
        </w:rPr>
        <w:t>.</w:t>
      </w:r>
      <w:r w:rsidR="00823F92">
        <w:rPr>
          <w:lang w:val="en-US"/>
        </w:rPr>
        <w:t xml:space="preserve"> </w:t>
      </w:r>
      <w:r w:rsidR="004555DB">
        <w:rPr>
          <w:lang w:val="en-US"/>
        </w:rPr>
        <w:t>Furthe</w:t>
      </w:r>
      <w:r w:rsidR="00823F92">
        <w:rPr>
          <w:lang w:val="en-US"/>
        </w:rPr>
        <w:t xml:space="preserve">r </w:t>
      </w:r>
      <w:r w:rsidR="004555DB">
        <w:rPr>
          <w:lang w:val="en-US"/>
        </w:rPr>
        <w:t>a</w:t>
      </w:r>
      <w:r w:rsidR="004555DB" w:rsidRPr="00B13F76">
        <w:rPr>
          <w:lang w:val="en-US"/>
        </w:rPr>
        <w:t>ccredite</w:t>
      </w:r>
      <w:r w:rsidR="00823F92" w:rsidRPr="00B13F76">
        <w:rPr>
          <w:lang w:val="en-US"/>
        </w:rPr>
        <w:t>d</w:t>
      </w:r>
      <w:r w:rsidR="00823F92">
        <w:rPr>
          <w:lang w:val="en-US"/>
        </w:rPr>
        <w:t xml:space="preserve"> </w:t>
      </w:r>
      <w:r w:rsidR="004555DB" w:rsidRPr="00B13F76">
        <w:rPr>
          <w:lang w:val="en-US"/>
        </w:rPr>
        <w:t>menta</w:t>
      </w:r>
      <w:r w:rsidR="00823F92" w:rsidRPr="00B13F76">
        <w:rPr>
          <w:lang w:val="en-US"/>
        </w:rPr>
        <w:t>l</w:t>
      </w:r>
      <w:r w:rsidR="00823F92">
        <w:rPr>
          <w:lang w:val="en-US"/>
        </w:rPr>
        <w:t xml:space="preserve"> </w:t>
      </w:r>
      <w:r w:rsidR="004555DB" w:rsidRPr="00B13F76">
        <w:rPr>
          <w:lang w:val="en-US"/>
        </w:rPr>
        <w:t>healt</w:t>
      </w:r>
      <w:r w:rsidR="00823F92" w:rsidRPr="00B13F76">
        <w:rPr>
          <w:lang w:val="en-US"/>
        </w:rPr>
        <w:t>h</w:t>
      </w:r>
      <w:r w:rsidR="00823F92">
        <w:rPr>
          <w:lang w:val="en-US"/>
        </w:rPr>
        <w:t xml:space="preserve"> </w:t>
      </w:r>
      <w:r w:rsidR="004555DB" w:rsidRPr="00B13F76">
        <w:rPr>
          <w:lang w:val="en-US"/>
        </w:rPr>
        <w:t>trainin</w:t>
      </w:r>
      <w:r w:rsidR="00823F92" w:rsidRPr="00B13F76">
        <w:rPr>
          <w:lang w:val="en-US"/>
        </w:rPr>
        <w:t>g</w:t>
      </w:r>
      <w:r w:rsidR="00823F92">
        <w:rPr>
          <w:lang w:val="en-US"/>
        </w:rPr>
        <w:t xml:space="preserve"> </w:t>
      </w:r>
      <w:r w:rsidR="004555DB" w:rsidRPr="00B13F76">
        <w:rPr>
          <w:lang w:val="en-US"/>
        </w:rPr>
        <w:t>i</w:t>
      </w:r>
      <w:r w:rsidR="00823F92" w:rsidRPr="00B13F76">
        <w:rPr>
          <w:lang w:val="en-US"/>
        </w:rPr>
        <w:t>s</w:t>
      </w:r>
      <w:r w:rsidR="00823F92">
        <w:rPr>
          <w:lang w:val="en-US"/>
        </w:rPr>
        <w:t xml:space="preserve"> </w:t>
      </w:r>
      <w:r w:rsidR="004555DB">
        <w:rPr>
          <w:lang w:val="en-US"/>
        </w:rPr>
        <w:t>require</w:t>
      </w:r>
      <w:r w:rsidR="00823F92">
        <w:rPr>
          <w:lang w:val="en-US"/>
        </w:rPr>
        <w:t xml:space="preserve">d </w:t>
      </w:r>
      <w:r w:rsidR="004555DB" w:rsidRPr="00B13F76">
        <w:rPr>
          <w:lang w:val="en-US"/>
        </w:rPr>
        <w:t>fo</w:t>
      </w:r>
      <w:r w:rsidR="00823F92" w:rsidRPr="00B13F76">
        <w:rPr>
          <w:lang w:val="en-US"/>
        </w:rPr>
        <w:t>r</w:t>
      </w:r>
      <w:r w:rsidR="00823F92">
        <w:rPr>
          <w:lang w:val="en-US"/>
        </w:rPr>
        <w:t xml:space="preserve"> </w:t>
      </w:r>
      <w:r w:rsidR="004555DB" w:rsidRPr="00B13F76">
        <w:rPr>
          <w:lang w:val="en-US"/>
        </w:rPr>
        <w:t>GP</w:t>
      </w:r>
      <w:r w:rsidR="00823F92" w:rsidRPr="00B13F76">
        <w:rPr>
          <w:lang w:val="en-US"/>
        </w:rPr>
        <w:t>s</w:t>
      </w:r>
      <w:r w:rsidR="00823F92">
        <w:rPr>
          <w:lang w:val="en-US"/>
        </w:rPr>
        <w:t xml:space="preserve"> </w:t>
      </w:r>
      <w:r w:rsidR="004555DB" w:rsidRPr="00B13F76">
        <w:rPr>
          <w:lang w:val="en-US"/>
        </w:rPr>
        <w:t>t</w:t>
      </w:r>
      <w:r w:rsidR="00823F92" w:rsidRPr="00B13F76">
        <w:rPr>
          <w:lang w:val="en-US"/>
        </w:rPr>
        <w:t>o</w:t>
      </w:r>
      <w:r w:rsidR="00823F92">
        <w:rPr>
          <w:lang w:val="en-US"/>
        </w:rPr>
        <w:t xml:space="preserve"> </w:t>
      </w:r>
      <w:r w:rsidR="004555DB" w:rsidRPr="00B13F76">
        <w:rPr>
          <w:lang w:val="en-US"/>
        </w:rPr>
        <w:t>provid</w:t>
      </w:r>
      <w:r w:rsidR="00823F92" w:rsidRPr="00B13F76">
        <w:rPr>
          <w:lang w:val="en-US"/>
        </w:rPr>
        <w:t>e</w:t>
      </w:r>
      <w:r w:rsidR="00823F92">
        <w:rPr>
          <w:lang w:val="en-US"/>
        </w:rPr>
        <w:t xml:space="preserve"> </w:t>
      </w:r>
      <w:r w:rsidR="004555DB" w:rsidRPr="00B13F76">
        <w:rPr>
          <w:lang w:val="en-US"/>
        </w:rPr>
        <w:t>service</w:t>
      </w:r>
      <w:r w:rsidR="00823F92" w:rsidRPr="00B13F76">
        <w:rPr>
          <w:lang w:val="en-US"/>
        </w:rPr>
        <w:t>s</w:t>
      </w:r>
      <w:r w:rsidR="00823F92">
        <w:rPr>
          <w:lang w:val="en-US"/>
        </w:rPr>
        <w:t xml:space="preserve"> </w:t>
      </w:r>
      <w:r w:rsidR="004555DB" w:rsidRPr="00B13F76">
        <w:rPr>
          <w:lang w:val="en-US"/>
        </w:rPr>
        <w:t>unde</w:t>
      </w:r>
      <w:r w:rsidR="00823F92" w:rsidRPr="00B13F76">
        <w:rPr>
          <w:lang w:val="en-US"/>
        </w:rPr>
        <w:t>r</w:t>
      </w:r>
      <w:r w:rsidR="00823F92">
        <w:rPr>
          <w:lang w:val="en-US"/>
        </w:rPr>
        <w:t xml:space="preserve"> </w:t>
      </w:r>
      <w:r w:rsidR="004555DB" w:rsidRPr="00B13F76">
        <w:rPr>
          <w:lang w:val="en-US"/>
        </w:rPr>
        <w:t>th</w:t>
      </w:r>
      <w:r w:rsidR="00823F92" w:rsidRPr="00B13F76">
        <w:rPr>
          <w:lang w:val="en-US"/>
        </w:rPr>
        <w:t>e</w:t>
      </w:r>
      <w:r w:rsidR="00823F92">
        <w:rPr>
          <w:lang w:val="en-US"/>
        </w:rPr>
        <w:t xml:space="preserve"> </w:t>
      </w:r>
      <w:r w:rsidR="004555DB" w:rsidRPr="00075F11">
        <w:rPr>
          <w:lang w:val="en-US"/>
        </w:rPr>
        <w:t>Medicar</w:t>
      </w:r>
      <w:r w:rsidR="00823F92" w:rsidRPr="00075F11">
        <w:rPr>
          <w:lang w:val="en-US"/>
        </w:rPr>
        <w:t>e</w:t>
      </w:r>
      <w:r w:rsidR="00823F92">
        <w:rPr>
          <w:lang w:val="en-US"/>
        </w:rPr>
        <w:t xml:space="preserve"> </w:t>
      </w:r>
      <w:r w:rsidR="004555DB" w:rsidRPr="00075F11">
        <w:rPr>
          <w:lang w:val="en-US"/>
        </w:rPr>
        <w:t>Benefit</w:t>
      </w:r>
      <w:r w:rsidR="00823F92" w:rsidRPr="00075F11">
        <w:rPr>
          <w:lang w:val="en-US"/>
        </w:rPr>
        <w:t>s</w:t>
      </w:r>
      <w:r w:rsidR="00823F92">
        <w:rPr>
          <w:lang w:val="en-US"/>
        </w:rPr>
        <w:t xml:space="preserve"> </w:t>
      </w:r>
      <w:r w:rsidR="004555DB" w:rsidRPr="00075F11">
        <w:rPr>
          <w:lang w:val="en-US"/>
        </w:rPr>
        <w:t>Schedul</w:t>
      </w:r>
      <w:r w:rsidR="00823F92" w:rsidRPr="00075F11">
        <w:rPr>
          <w:lang w:val="en-US"/>
        </w:rPr>
        <w:t>e</w:t>
      </w:r>
      <w:r w:rsidR="00823F92">
        <w:rPr>
          <w:lang w:val="en-US"/>
        </w:rPr>
        <w:t xml:space="preserve"> </w:t>
      </w:r>
      <w:r w:rsidR="004555DB">
        <w:rPr>
          <w:lang w:val="en-US"/>
        </w:rPr>
        <w:t>(M</w:t>
      </w:r>
      <w:r w:rsidR="004555DB" w:rsidRPr="00B13F76">
        <w:rPr>
          <w:lang w:val="en-US"/>
        </w:rPr>
        <w:t>BS</w:t>
      </w:r>
      <w:r w:rsidR="004555DB">
        <w:rPr>
          <w:lang w:val="en-US"/>
        </w:rPr>
        <w:t>)</w:t>
      </w:r>
      <w:r w:rsidR="00823F92" w:rsidRPr="00B13F76">
        <w:rPr>
          <w:lang w:val="en-US"/>
        </w:rPr>
        <w:t>.</w:t>
      </w:r>
      <w:r w:rsidR="00823F92">
        <w:rPr>
          <w:lang w:val="en-US"/>
        </w:rPr>
        <w:t xml:space="preserve"> </w:t>
      </w:r>
    </w:p>
    <w:p w14:paraId="5FD189BE" w14:textId="43C7D576" w:rsidR="004205B4" w:rsidRPr="00342CC6" w:rsidRDefault="004205B4" w:rsidP="004555DB">
      <w:pPr>
        <w:pStyle w:val="BodyText"/>
        <w:rPr>
          <w:lang w:val="en-US"/>
        </w:rPr>
      </w:pPr>
      <w:r w:rsidRPr="009245F1">
        <w:rPr>
          <w:lang w:val="en-US"/>
        </w:rPr>
        <w:t xml:space="preserve">Regulation: </w:t>
      </w:r>
      <w:r w:rsidR="009E5A4E">
        <w:rPr>
          <w:lang w:val="en-US"/>
        </w:rPr>
        <w:t>GP</w:t>
      </w:r>
      <w:r w:rsidR="00823F92">
        <w:rPr>
          <w:lang w:val="en-US"/>
        </w:rPr>
        <w:t xml:space="preserve">s </w:t>
      </w:r>
      <w:r w:rsidR="009E5A4E" w:rsidRPr="00362A3D">
        <w:rPr>
          <w:lang w:val="en-US"/>
        </w:rPr>
        <w:t>ar</w:t>
      </w:r>
      <w:r w:rsidR="00823F92" w:rsidRPr="00362A3D">
        <w:rPr>
          <w:lang w:val="en-US"/>
        </w:rPr>
        <w:t>e</w:t>
      </w:r>
      <w:r w:rsidR="00823F92">
        <w:rPr>
          <w:lang w:val="en-US"/>
        </w:rPr>
        <w:t xml:space="preserve"> </w:t>
      </w:r>
      <w:r w:rsidR="009E5A4E" w:rsidRPr="00362A3D">
        <w:rPr>
          <w:lang w:val="en-US"/>
        </w:rPr>
        <w:t>registere</w:t>
      </w:r>
      <w:r w:rsidR="00823F92" w:rsidRPr="00362A3D">
        <w:rPr>
          <w:lang w:val="en-US"/>
        </w:rPr>
        <w:t>d</w:t>
      </w:r>
      <w:r w:rsidR="00823F92">
        <w:rPr>
          <w:lang w:val="en-US"/>
        </w:rPr>
        <w:t xml:space="preserve"> </w:t>
      </w:r>
      <w:r w:rsidR="009E5A4E" w:rsidRPr="00362A3D">
        <w:rPr>
          <w:lang w:val="en-US"/>
        </w:rPr>
        <w:t>unde</w:t>
      </w:r>
      <w:r w:rsidR="00823F92" w:rsidRPr="00362A3D">
        <w:rPr>
          <w:lang w:val="en-US"/>
        </w:rPr>
        <w:t>r</w:t>
      </w:r>
      <w:r w:rsidR="00823F92">
        <w:rPr>
          <w:lang w:val="en-US"/>
        </w:rPr>
        <w:t xml:space="preserve"> </w:t>
      </w:r>
      <w:r w:rsidR="009E5A4E">
        <w:rPr>
          <w:lang w:val="en-US"/>
        </w:rPr>
        <w:t>Medica</w:t>
      </w:r>
      <w:r w:rsidR="00823F92">
        <w:rPr>
          <w:lang w:val="en-US"/>
        </w:rPr>
        <w:t xml:space="preserve">l </w:t>
      </w:r>
      <w:r w:rsidR="009E5A4E" w:rsidRPr="00821D5E">
        <w:rPr>
          <w:lang w:val="en-US"/>
        </w:rPr>
        <w:t>Boar</w:t>
      </w:r>
      <w:r w:rsidR="00823F92" w:rsidRPr="00821D5E">
        <w:rPr>
          <w:lang w:val="en-US"/>
        </w:rPr>
        <w:t>d</w:t>
      </w:r>
      <w:r w:rsidR="00823F92">
        <w:rPr>
          <w:lang w:val="en-US"/>
        </w:rPr>
        <w:t xml:space="preserve"> </w:t>
      </w:r>
      <w:r w:rsidR="009E5A4E" w:rsidRPr="00821D5E">
        <w:rPr>
          <w:lang w:val="en-US"/>
        </w:rPr>
        <w:t>o</w:t>
      </w:r>
      <w:r w:rsidR="00823F92" w:rsidRPr="00821D5E">
        <w:rPr>
          <w:lang w:val="en-US"/>
        </w:rPr>
        <w:t>f</w:t>
      </w:r>
      <w:r w:rsidR="00823F92">
        <w:rPr>
          <w:lang w:val="en-US"/>
        </w:rPr>
        <w:t xml:space="preserve"> </w:t>
      </w:r>
      <w:r w:rsidR="009E5A4E" w:rsidRPr="00821D5E">
        <w:rPr>
          <w:lang w:val="en-US"/>
        </w:rPr>
        <w:t>Australia</w:t>
      </w:r>
      <w:r w:rsidR="00823F92">
        <w:rPr>
          <w:lang w:val="en-US"/>
        </w:rPr>
        <w:t xml:space="preserve">, </w:t>
      </w:r>
      <w:r w:rsidR="009E5A4E">
        <w:rPr>
          <w:lang w:val="en-US"/>
        </w:rPr>
        <w:t>supporte</w:t>
      </w:r>
      <w:r w:rsidR="00823F92">
        <w:rPr>
          <w:lang w:val="en-US"/>
        </w:rPr>
        <w:t xml:space="preserve">d </w:t>
      </w:r>
      <w:r w:rsidR="009E5A4E">
        <w:rPr>
          <w:lang w:val="en-US"/>
        </w:rPr>
        <w:t>b</w:t>
      </w:r>
      <w:r w:rsidR="00823F92">
        <w:rPr>
          <w:lang w:val="en-US"/>
        </w:rPr>
        <w:t xml:space="preserve">y </w:t>
      </w:r>
      <w:proofErr w:type="spellStart"/>
      <w:r w:rsidR="009E5A4E">
        <w:rPr>
          <w:lang w:val="en-US"/>
        </w:rPr>
        <w:t>A</w:t>
      </w:r>
      <w:r w:rsidR="002C647A">
        <w:rPr>
          <w:lang w:val="en-US"/>
        </w:rPr>
        <w:t>hpra</w:t>
      </w:r>
      <w:proofErr w:type="spellEnd"/>
      <w:r w:rsidR="009E5A4E">
        <w:rPr>
          <w:lang w:val="en-US"/>
        </w:rPr>
        <w:t>.</w:t>
      </w:r>
    </w:p>
    <w:p w14:paraId="1BA5DDD6" w14:textId="645E3C9D" w:rsidR="00453F15" w:rsidRPr="006C4490" w:rsidRDefault="005137B8" w:rsidP="00CF05FC">
      <w:pPr>
        <w:pStyle w:val="BodyText"/>
        <w:rPr>
          <w:lang w:val="en-US"/>
        </w:rPr>
      </w:pPr>
      <w:r w:rsidRPr="009245F1">
        <w:rPr>
          <w:lang w:val="en-US"/>
        </w:rPr>
        <w:t>Supply:</w:t>
      </w:r>
      <w:r>
        <w:rPr>
          <w:b/>
          <w:bCs/>
          <w:lang w:val="en-US"/>
        </w:rPr>
        <w:t xml:space="preserve"> </w:t>
      </w:r>
      <w:r w:rsidR="008A7E12">
        <w:t>Th</w:t>
      </w:r>
      <w:r w:rsidR="00823F92">
        <w:t xml:space="preserve">e </w:t>
      </w:r>
      <w:r w:rsidR="008A7E12">
        <w:t>bes</w:t>
      </w:r>
      <w:r w:rsidR="00823F92">
        <w:t xml:space="preserve">t </w:t>
      </w:r>
      <w:r w:rsidR="008A7E12">
        <w:t>estimat</w:t>
      </w:r>
      <w:r w:rsidR="00823F92">
        <w:t xml:space="preserve">e </w:t>
      </w:r>
      <w:r w:rsidR="008A7E12">
        <w:t>o</w:t>
      </w:r>
      <w:r w:rsidR="00823F92">
        <w:t xml:space="preserve">f </w:t>
      </w:r>
      <w:r w:rsidR="00453F15" w:rsidRPr="001B03FB">
        <w:t>GP</w:t>
      </w:r>
      <w:r w:rsidR="00823F92" w:rsidRPr="001B03FB">
        <w:t>s</w:t>
      </w:r>
      <w:r w:rsidR="00823F92">
        <w:t xml:space="preserve"> </w:t>
      </w:r>
      <w:r w:rsidR="00453F15" w:rsidRPr="006C4490">
        <w:t>providin</w:t>
      </w:r>
      <w:r w:rsidR="00823F92" w:rsidRPr="006C4490">
        <w:t>g</w:t>
      </w:r>
      <w:r w:rsidR="00823F92">
        <w:t xml:space="preserve"> </w:t>
      </w:r>
      <w:r w:rsidR="008A7E12">
        <w:t>menta</w:t>
      </w:r>
      <w:r w:rsidR="00823F92">
        <w:t xml:space="preserve">l </w:t>
      </w:r>
      <w:r w:rsidR="00453F15" w:rsidRPr="006C4490">
        <w:t>healt</w:t>
      </w:r>
      <w:r w:rsidR="00823F92" w:rsidRPr="006C4490">
        <w:t>h</w:t>
      </w:r>
      <w:r w:rsidR="00823F92">
        <w:t xml:space="preserve"> </w:t>
      </w:r>
      <w:r w:rsidR="00453F15" w:rsidRPr="006C4490">
        <w:t>car</w:t>
      </w:r>
      <w:r w:rsidR="00823F92" w:rsidRPr="006C4490">
        <w:t>e</w:t>
      </w:r>
      <w:r w:rsidR="00823F92">
        <w:t xml:space="preserve"> </w:t>
      </w:r>
      <w:r w:rsidR="008A7E12">
        <w:t>i</w:t>
      </w:r>
      <w:r w:rsidR="00823F92">
        <w:t xml:space="preserve">s </w:t>
      </w:r>
      <w:r w:rsidR="008A7E12" w:rsidRPr="001B03FB">
        <w:t>1,72</w:t>
      </w:r>
      <w:r w:rsidR="00823F92" w:rsidRPr="001B03FB">
        <w:t>8</w:t>
      </w:r>
      <w:r w:rsidR="00823F92">
        <w:t xml:space="preserve"> </w:t>
      </w:r>
      <w:r w:rsidR="008A7E12">
        <w:t>FTE</w:t>
      </w:r>
      <w:r w:rsidR="00823F92">
        <w:t xml:space="preserve">, </w:t>
      </w:r>
      <w:r w:rsidR="00A403B2">
        <w:t>calculate</w:t>
      </w:r>
      <w:r w:rsidR="00823F92">
        <w:t xml:space="preserve">d </w:t>
      </w:r>
      <w:r w:rsidR="00A403B2">
        <w:t>a</w:t>
      </w:r>
      <w:r w:rsidR="00823F92">
        <w:t xml:space="preserve">s a </w:t>
      </w:r>
      <w:r w:rsidR="00A403B2">
        <w:t>mid-poin</w:t>
      </w:r>
      <w:r w:rsidR="00823F92">
        <w:t xml:space="preserve">t </w:t>
      </w:r>
      <w:r w:rsidR="00A403B2">
        <w:t>betwee</w:t>
      </w:r>
      <w:r w:rsidR="00823F92">
        <w:t xml:space="preserve">n </w:t>
      </w:r>
      <w:r w:rsidR="00B955EF" w:rsidRPr="00B955EF">
        <w:t>NHW</w:t>
      </w:r>
      <w:r w:rsidR="00823F92" w:rsidRPr="00B955EF">
        <w:t>D</w:t>
      </w:r>
      <w:r w:rsidR="00823F92">
        <w:t xml:space="preserve"> </w:t>
      </w:r>
      <w:r w:rsidR="00B955EF">
        <w:t>FT</w:t>
      </w:r>
      <w:r w:rsidR="00823F92">
        <w:t xml:space="preserve">E </w:t>
      </w:r>
      <w:r w:rsidR="00B955EF">
        <w:t>(</w:t>
      </w:r>
      <w:r w:rsidR="000173D6">
        <w:t>2,41</w:t>
      </w:r>
      <w:r w:rsidR="00823F92">
        <w:t xml:space="preserve">5 </w:t>
      </w:r>
      <w:r w:rsidR="000173D6">
        <w:t xml:space="preserve">FTE) </w:t>
      </w:r>
      <w:r w:rsidR="00B955EF" w:rsidRPr="00B955EF">
        <w:t>an</w:t>
      </w:r>
      <w:r w:rsidR="00823F92" w:rsidRPr="00B955EF">
        <w:t>d</w:t>
      </w:r>
      <w:r w:rsidR="00823F92">
        <w:t xml:space="preserve"> </w:t>
      </w:r>
      <w:r w:rsidR="000173D6">
        <w:t>FT</w:t>
      </w:r>
      <w:r w:rsidR="00823F92">
        <w:t xml:space="preserve">E </w:t>
      </w:r>
      <w:r w:rsidR="000173D6">
        <w:t>fro</w:t>
      </w:r>
      <w:r w:rsidR="00823F92">
        <w:t xml:space="preserve">m </w:t>
      </w:r>
      <w:r w:rsidR="000173D6">
        <w:t>administrativ</w:t>
      </w:r>
      <w:r w:rsidR="00823F92">
        <w:t xml:space="preserve">e </w:t>
      </w:r>
      <w:r w:rsidR="000173D6">
        <w:t>dat</w:t>
      </w:r>
      <w:r w:rsidR="00823F92">
        <w:t xml:space="preserve">a </w:t>
      </w:r>
      <w:r w:rsidR="000173D6">
        <w:t>(1,04</w:t>
      </w:r>
      <w:r w:rsidR="00823F92">
        <w:t xml:space="preserve">2 </w:t>
      </w:r>
      <w:r w:rsidR="000173D6">
        <w:t>FTE)</w:t>
      </w:r>
      <w:r w:rsidR="00823F92" w:rsidRPr="006C4490">
        <w:t>.</w:t>
      </w:r>
      <w:r w:rsidR="00823F92">
        <w:t xml:space="preserve"> </w:t>
      </w:r>
      <w:r w:rsidR="00453F15" w:rsidRPr="006C4490">
        <w:t>Thi</w:t>
      </w:r>
      <w:r w:rsidR="00823F92" w:rsidRPr="006C4490">
        <w:t>s</w:t>
      </w:r>
      <w:r w:rsidR="00823F92">
        <w:t xml:space="preserve"> </w:t>
      </w:r>
      <w:r w:rsidR="00453F15" w:rsidRPr="006C4490">
        <w:t>i</w:t>
      </w:r>
      <w:r w:rsidR="00823F92" w:rsidRPr="006C4490">
        <w:t>s</w:t>
      </w:r>
      <w:r w:rsidR="00823F92">
        <w:t xml:space="preserve"> </w:t>
      </w:r>
      <w:r w:rsidR="00C76E9C">
        <w:t>jus</w:t>
      </w:r>
      <w:r w:rsidR="00823F92">
        <w:t xml:space="preserve">t </w:t>
      </w:r>
      <w:r w:rsidR="00C76E9C">
        <w:t>ove</w:t>
      </w:r>
      <w:r w:rsidR="00823F92">
        <w:t xml:space="preserve">r </w:t>
      </w:r>
      <w:r w:rsidR="00C76E9C">
        <w:t>hal</w:t>
      </w:r>
      <w:r w:rsidR="00823F92">
        <w:t xml:space="preserve">f </w:t>
      </w:r>
      <w:r w:rsidR="00453F15" w:rsidRPr="006C4490">
        <w:rPr>
          <w:lang w:val="en-US"/>
        </w:rPr>
        <w:t>(</w:t>
      </w:r>
      <w:r w:rsidR="00C70095">
        <w:rPr>
          <w:lang w:val="en-US"/>
        </w:rPr>
        <w:t>56</w:t>
      </w:r>
      <w:r w:rsidR="00453F15" w:rsidRPr="00C70095">
        <w:rPr>
          <w:lang w:val="en-US"/>
        </w:rPr>
        <w:t>%</w:t>
      </w:r>
      <w:r w:rsidR="00C76E9C">
        <w:rPr>
          <w:lang w:val="en-US"/>
        </w:rPr>
        <w:t>)</w:t>
      </w:r>
      <w:r w:rsidR="00453F15" w:rsidRPr="00C70095">
        <w:rPr>
          <w:lang w:val="en-US"/>
        </w:rPr>
        <w:t xml:space="preserve"> o</w:t>
      </w:r>
      <w:r w:rsidR="00823F92" w:rsidRPr="00C70095">
        <w:rPr>
          <w:lang w:val="en-US"/>
        </w:rPr>
        <w:t>f</w:t>
      </w:r>
      <w:r w:rsidR="00823F92">
        <w:rPr>
          <w:lang w:val="en-US"/>
        </w:rPr>
        <w:t xml:space="preserve"> </w:t>
      </w:r>
      <w:r w:rsidR="00453F15" w:rsidRPr="00C70095">
        <w:rPr>
          <w:lang w:val="en-US"/>
        </w:rPr>
        <w:t>th</w:t>
      </w:r>
      <w:r w:rsidR="00823F92" w:rsidRPr="00C70095">
        <w:rPr>
          <w:lang w:val="en-US"/>
        </w:rPr>
        <w:t>e</w:t>
      </w:r>
      <w:r w:rsidR="00823F92">
        <w:rPr>
          <w:lang w:val="en-US"/>
        </w:rPr>
        <w:t xml:space="preserve"> </w:t>
      </w:r>
      <w:r w:rsidR="00453F15" w:rsidRPr="00C70095">
        <w:rPr>
          <w:lang w:val="en-US"/>
        </w:rPr>
        <w:t>NMHSP</w:t>
      </w:r>
      <w:r w:rsidR="00823F92" w:rsidRPr="00C70095">
        <w:rPr>
          <w:lang w:val="en-US"/>
        </w:rPr>
        <w:t>F</w:t>
      </w:r>
      <w:r w:rsidR="00823F92">
        <w:rPr>
          <w:lang w:val="en-US"/>
        </w:rPr>
        <w:t xml:space="preserve"> </w:t>
      </w:r>
      <w:r w:rsidR="00453F15" w:rsidRPr="00C70095">
        <w:rPr>
          <w:lang w:val="en-US"/>
        </w:rPr>
        <w:t>targe</w:t>
      </w:r>
      <w:r w:rsidR="00823F92" w:rsidRPr="00C70095">
        <w:rPr>
          <w:lang w:val="en-US"/>
        </w:rPr>
        <w:t>t</w:t>
      </w:r>
      <w:r w:rsidR="00823F92">
        <w:rPr>
          <w:lang w:val="en-US"/>
        </w:rPr>
        <w:t xml:space="preserve"> </w:t>
      </w:r>
      <w:r w:rsidR="00453F15" w:rsidRPr="00C70095">
        <w:rPr>
          <w:lang w:val="en-US"/>
        </w:rPr>
        <w:t>reached</w:t>
      </w:r>
      <w:r w:rsidR="00823F92" w:rsidRPr="006C4490">
        <w:t>.</w:t>
      </w:r>
      <w:r w:rsidR="00823F92">
        <w:t xml:space="preserve"> </w:t>
      </w:r>
      <w:r w:rsidR="00453F15">
        <w:t>Factor</w:t>
      </w:r>
      <w:r w:rsidR="00823F92">
        <w:t xml:space="preserve">s </w:t>
      </w:r>
      <w:r w:rsidR="00453F15">
        <w:t>tha</w:t>
      </w:r>
      <w:r w:rsidR="00823F92">
        <w:t xml:space="preserve">t </w:t>
      </w:r>
      <w:r w:rsidR="00453F15">
        <w:t>contribut</w:t>
      </w:r>
      <w:r w:rsidR="00823F92">
        <w:t xml:space="preserve">e </w:t>
      </w:r>
      <w:r w:rsidR="00453F15">
        <w:t>t</w:t>
      </w:r>
      <w:r w:rsidR="00823F92">
        <w:t xml:space="preserve">o </w:t>
      </w:r>
      <w:r w:rsidR="00453F15">
        <w:t>th</w:t>
      </w:r>
      <w:r w:rsidR="00823F92">
        <w:t xml:space="preserve">e </w:t>
      </w:r>
      <w:r w:rsidR="00453F15">
        <w:t>shortag</w:t>
      </w:r>
      <w:r w:rsidR="00823F92">
        <w:t xml:space="preserve">e </w:t>
      </w:r>
      <w:r w:rsidR="00453F15" w:rsidRPr="006C4490">
        <w:t>includ</w:t>
      </w:r>
      <w:r w:rsidR="00823F92" w:rsidRPr="006C4490">
        <w:t>e</w:t>
      </w:r>
      <w:r w:rsidR="00823F92">
        <w:t xml:space="preserve"> </w:t>
      </w:r>
      <w:r w:rsidR="00453F15" w:rsidRPr="006C4490">
        <w:t>a</w:t>
      </w:r>
      <w:r w:rsidR="00823F92" w:rsidRPr="006C4490">
        <w:t>n</w:t>
      </w:r>
      <w:r w:rsidR="00823F92">
        <w:t xml:space="preserve"> </w:t>
      </w:r>
      <w:r w:rsidR="00453F15" w:rsidRPr="006C4490">
        <w:t>agein</w:t>
      </w:r>
      <w:r w:rsidR="00823F92" w:rsidRPr="006C4490">
        <w:t>g</w:t>
      </w:r>
      <w:r w:rsidR="00823F92">
        <w:t xml:space="preserve"> </w:t>
      </w:r>
      <w:r w:rsidR="00453F15" w:rsidRPr="006C4490">
        <w:t>workforc</w:t>
      </w:r>
      <w:r w:rsidR="00823F92" w:rsidRPr="006C4490">
        <w:t>e</w:t>
      </w:r>
      <w:r w:rsidR="00823F92">
        <w:t xml:space="preserve"> </w:t>
      </w:r>
      <w:r w:rsidR="00453F15" w:rsidRPr="006C4490">
        <w:t>(averag</w:t>
      </w:r>
      <w:r w:rsidR="00823F92" w:rsidRPr="006C4490">
        <w:t>e</w:t>
      </w:r>
      <w:r w:rsidR="00823F92">
        <w:t xml:space="preserve"> </w:t>
      </w:r>
      <w:r w:rsidR="00453F15" w:rsidRPr="006C4490">
        <w:t>ag</w:t>
      </w:r>
      <w:r w:rsidR="00823F92" w:rsidRPr="006C4490">
        <w:t>e</w:t>
      </w:r>
      <w:r w:rsidR="00823F92">
        <w:t xml:space="preserve"> </w:t>
      </w:r>
      <w:r w:rsidR="00453F15" w:rsidRPr="006C4490">
        <w:t>o</w:t>
      </w:r>
      <w:r w:rsidR="00823F92" w:rsidRPr="006C4490">
        <w:t>f</w:t>
      </w:r>
      <w:r w:rsidR="00823F92">
        <w:t xml:space="preserve"> </w:t>
      </w:r>
      <w:r w:rsidR="00453F15" w:rsidRPr="006C4490">
        <w:t>5</w:t>
      </w:r>
      <w:r w:rsidR="00823F92" w:rsidRPr="006C4490">
        <w:t>1</w:t>
      </w:r>
      <w:r w:rsidR="00823F92">
        <w:t xml:space="preserve"> </w:t>
      </w:r>
      <w:r w:rsidR="00453F15" w:rsidRPr="006C4490">
        <w:t>years)</w:t>
      </w:r>
      <w:r w:rsidR="00823F92" w:rsidRPr="006C4490">
        <w:t>,</w:t>
      </w:r>
      <w:r w:rsidR="00823F92">
        <w:t xml:space="preserve"> a </w:t>
      </w:r>
      <w:r w:rsidR="00453F15" w:rsidRPr="006C4490">
        <w:t>lac</w:t>
      </w:r>
      <w:r w:rsidR="00823F92" w:rsidRPr="006C4490">
        <w:t>k</w:t>
      </w:r>
      <w:r w:rsidR="00823F92">
        <w:t xml:space="preserve"> </w:t>
      </w:r>
      <w:r w:rsidR="00453F15" w:rsidRPr="006C4490">
        <w:t>o</w:t>
      </w:r>
      <w:r w:rsidR="00823F92" w:rsidRPr="006C4490">
        <w:t>f</w:t>
      </w:r>
      <w:r w:rsidR="00823F92">
        <w:t xml:space="preserve"> </w:t>
      </w:r>
      <w:r w:rsidR="00453F15" w:rsidRPr="006C4490">
        <w:t>Australia</w:t>
      </w:r>
      <w:r w:rsidR="00823F92" w:rsidRPr="006C4490">
        <w:t>n</w:t>
      </w:r>
      <w:r w:rsidR="00823F92">
        <w:t xml:space="preserve"> </w:t>
      </w:r>
      <w:r w:rsidR="00453F15" w:rsidRPr="006C4490">
        <w:t>traine</w:t>
      </w:r>
      <w:r w:rsidR="00823F92" w:rsidRPr="006C4490">
        <w:t>d</w:t>
      </w:r>
      <w:r w:rsidR="00823F92">
        <w:t xml:space="preserve"> </w:t>
      </w:r>
      <w:r w:rsidR="00453F15" w:rsidRPr="006C4490">
        <w:t>graduate</w:t>
      </w:r>
      <w:r w:rsidR="00823F92" w:rsidRPr="006C4490">
        <w:t>s</w:t>
      </w:r>
      <w:r w:rsidR="00823F92">
        <w:t xml:space="preserve"> </w:t>
      </w:r>
      <w:r w:rsidR="00453F15" w:rsidRPr="006C4490">
        <w:t>an</w:t>
      </w:r>
      <w:r w:rsidR="00823F92" w:rsidRPr="006C4490">
        <w:t>d</w:t>
      </w:r>
      <w:r w:rsidR="00823F92">
        <w:t xml:space="preserve"> </w:t>
      </w:r>
      <w:r w:rsidR="00453F15" w:rsidRPr="006C4490">
        <w:t>restriction</w:t>
      </w:r>
      <w:r w:rsidR="00823F92" w:rsidRPr="006C4490">
        <w:t>s</w:t>
      </w:r>
      <w:r w:rsidR="00823F92">
        <w:t xml:space="preserve"> </w:t>
      </w:r>
      <w:r w:rsidR="00453F15" w:rsidRPr="006C4490">
        <w:t>o</w:t>
      </w:r>
      <w:r w:rsidR="00823F92" w:rsidRPr="006C4490">
        <w:t>n</w:t>
      </w:r>
      <w:r w:rsidR="00823F92">
        <w:t xml:space="preserve"> </w:t>
      </w:r>
      <w:r w:rsidR="00453F15" w:rsidRPr="006C4490">
        <w:t>acces</w:t>
      </w:r>
      <w:r w:rsidR="00823F92" w:rsidRPr="006C4490">
        <w:t>s</w:t>
      </w:r>
      <w:r w:rsidR="00823F92">
        <w:t xml:space="preserve"> </w:t>
      </w:r>
      <w:r w:rsidR="00453F15" w:rsidRPr="006C4490">
        <w:t>t</w:t>
      </w:r>
      <w:r w:rsidR="00823F92" w:rsidRPr="006C4490">
        <w:t>o</w:t>
      </w:r>
      <w:r w:rsidR="00823F92">
        <w:t xml:space="preserve"> </w:t>
      </w:r>
      <w:r w:rsidR="00453F15" w:rsidRPr="006C4490">
        <w:t>oversea</w:t>
      </w:r>
      <w:r w:rsidR="00823F92" w:rsidRPr="006C4490">
        <w:t>s</w:t>
      </w:r>
      <w:r w:rsidR="00823F92">
        <w:t xml:space="preserve"> </w:t>
      </w:r>
      <w:r w:rsidR="00453F15" w:rsidRPr="006C4490">
        <w:t>traine</w:t>
      </w:r>
      <w:r w:rsidR="00823F92" w:rsidRPr="006C4490">
        <w:t>d</w:t>
      </w:r>
      <w:r w:rsidR="00823F92">
        <w:t xml:space="preserve"> </w:t>
      </w:r>
      <w:r w:rsidR="00453F15" w:rsidRPr="006C4490">
        <w:t>GP</w:t>
      </w:r>
      <w:r w:rsidR="00823F92" w:rsidRPr="006C4490">
        <w:t>s</w:t>
      </w:r>
      <w:r w:rsidR="00823F92">
        <w:t xml:space="preserve"> </w:t>
      </w:r>
      <w:r w:rsidR="00453F15" w:rsidRPr="006C4490">
        <w:t>du</w:t>
      </w:r>
      <w:r w:rsidR="00823F92" w:rsidRPr="006C4490">
        <w:t>e</w:t>
      </w:r>
      <w:r w:rsidR="00823F92">
        <w:t xml:space="preserve"> </w:t>
      </w:r>
      <w:r w:rsidR="00453F15" w:rsidRPr="006C4490">
        <w:t>t</w:t>
      </w:r>
      <w:r w:rsidR="00823F92" w:rsidRPr="006C4490">
        <w:t>o</w:t>
      </w:r>
      <w:r w:rsidR="00823F92">
        <w:t xml:space="preserve"> </w:t>
      </w:r>
      <w:r w:rsidR="00453F15" w:rsidRPr="006C4490">
        <w:t>th</w:t>
      </w:r>
      <w:r w:rsidR="00823F92" w:rsidRPr="006C4490">
        <w:t>e</w:t>
      </w:r>
      <w:r w:rsidR="00823F92">
        <w:t xml:space="preserve"> </w:t>
      </w:r>
      <w:r w:rsidR="00453F15" w:rsidRPr="006C4490">
        <w:t>impac</w:t>
      </w:r>
      <w:r w:rsidR="00823F92" w:rsidRPr="006C4490">
        <w:t>t</w:t>
      </w:r>
      <w:r w:rsidR="00823F92">
        <w:t xml:space="preserve"> </w:t>
      </w:r>
      <w:r w:rsidR="00453F15" w:rsidRPr="006C4490">
        <w:t>o</w:t>
      </w:r>
      <w:r w:rsidR="00823F92" w:rsidRPr="006C4490">
        <w:t>f</w:t>
      </w:r>
      <w:r w:rsidR="00823F92">
        <w:t xml:space="preserve"> </w:t>
      </w:r>
      <w:r w:rsidR="00453F15" w:rsidRPr="006C4490">
        <w:t>polic</w:t>
      </w:r>
      <w:r w:rsidR="00823F92" w:rsidRPr="006C4490">
        <w:t>y</w:t>
      </w:r>
      <w:r w:rsidR="00823F92">
        <w:t xml:space="preserve"> </w:t>
      </w:r>
      <w:r w:rsidR="00453F15" w:rsidRPr="006C4490">
        <w:t>change</w:t>
      </w:r>
      <w:r w:rsidR="00823F92" w:rsidRPr="006C4490">
        <w:t>s</w:t>
      </w:r>
      <w:r w:rsidR="00823F92">
        <w:t xml:space="preserve"> </w:t>
      </w:r>
      <w:r w:rsidR="00453F15" w:rsidRPr="006C4490">
        <w:t>an</w:t>
      </w:r>
      <w:r w:rsidR="00823F92" w:rsidRPr="006C4490">
        <w:t>d</w:t>
      </w:r>
      <w:r w:rsidR="00823F92">
        <w:t xml:space="preserve"> </w:t>
      </w:r>
      <w:r w:rsidR="00453F15" w:rsidRPr="006C4490">
        <w:t>th</w:t>
      </w:r>
      <w:r w:rsidR="00823F92" w:rsidRPr="006C4490">
        <w:t>e</w:t>
      </w:r>
      <w:r w:rsidR="00823F92">
        <w:t xml:space="preserve"> </w:t>
      </w:r>
      <w:r w:rsidR="00453F15" w:rsidRPr="006C4490">
        <w:t>COVID-1</w:t>
      </w:r>
      <w:r w:rsidR="00823F92" w:rsidRPr="006C4490">
        <w:t>9</w:t>
      </w:r>
      <w:r w:rsidR="00823F92">
        <w:t xml:space="preserve"> </w:t>
      </w:r>
      <w:r w:rsidR="00453F15" w:rsidRPr="006C4490">
        <w:t>pandemic</w:t>
      </w:r>
      <w:r w:rsidR="00823F92" w:rsidRPr="006C4490">
        <w:t>.</w:t>
      </w:r>
      <w:r w:rsidR="00823F92">
        <w:t xml:space="preserve"> </w:t>
      </w:r>
      <w:r w:rsidR="00453F15" w:rsidRPr="00F05F51">
        <w:t>I</w:t>
      </w:r>
      <w:r w:rsidR="00823F92" w:rsidRPr="00F05F51">
        <w:t>n</w:t>
      </w:r>
      <w:r w:rsidR="00823F92">
        <w:t xml:space="preserve"> </w:t>
      </w:r>
      <w:r w:rsidR="00453F15" w:rsidRPr="00F05F51">
        <w:t>term</w:t>
      </w:r>
      <w:r w:rsidR="00823F92" w:rsidRPr="00F05F51">
        <w:t>s</w:t>
      </w:r>
      <w:r w:rsidR="00823F92">
        <w:t xml:space="preserve"> </w:t>
      </w:r>
      <w:r w:rsidR="00453F15" w:rsidRPr="00F05F51">
        <w:t>o</w:t>
      </w:r>
      <w:r w:rsidR="00823F92" w:rsidRPr="00F05F51">
        <w:t>f</w:t>
      </w:r>
      <w:r w:rsidR="00823F92">
        <w:t xml:space="preserve"> </w:t>
      </w:r>
      <w:r w:rsidR="00453F15" w:rsidRPr="00F05F51">
        <w:t>distribution</w:t>
      </w:r>
      <w:r w:rsidR="00823F92" w:rsidRPr="00F05F51">
        <w:t>,</w:t>
      </w:r>
      <w:r w:rsidR="00823F92">
        <w:t xml:space="preserve"> </w:t>
      </w:r>
      <w:r w:rsidR="001D339C">
        <w:t>u</w:t>
      </w:r>
      <w:r w:rsidR="001D339C" w:rsidRPr="001D339C">
        <w:t>ppe</w:t>
      </w:r>
      <w:r w:rsidR="00823F92" w:rsidRPr="001D339C">
        <w:t>r</w:t>
      </w:r>
      <w:r w:rsidR="00823F92">
        <w:t xml:space="preserve"> </w:t>
      </w:r>
      <w:r w:rsidR="001D339C" w:rsidRPr="001D339C">
        <w:t>estimate</w:t>
      </w:r>
      <w:r w:rsidR="00823F92" w:rsidRPr="001D339C">
        <w:t>s</w:t>
      </w:r>
      <w:r w:rsidR="00823F92">
        <w:t xml:space="preserve"> </w:t>
      </w:r>
      <w:r w:rsidR="00882CC5">
        <w:t>o</w:t>
      </w:r>
      <w:r w:rsidR="00823F92">
        <w:t xml:space="preserve">f </w:t>
      </w:r>
      <w:r w:rsidR="00453F15" w:rsidRPr="00F05F51">
        <w:t>GP</w:t>
      </w:r>
      <w:r w:rsidR="00823F92" w:rsidRPr="00F05F51">
        <w:t>s</w:t>
      </w:r>
      <w:r w:rsidR="00823F92">
        <w:t xml:space="preserve"> </w:t>
      </w:r>
      <w:r w:rsidR="00882CC5">
        <w:t>FT</w:t>
      </w:r>
      <w:r w:rsidR="00823F92">
        <w:t xml:space="preserve">E </w:t>
      </w:r>
      <w:r w:rsidR="00882CC5">
        <w:t>base</w:t>
      </w:r>
      <w:r w:rsidR="00823F92">
        <w:t xml:space="preserve">d </w:t>
      </w:r>
      <w:r w:rsidR="00882CC5">
        <w:t>o</w:t>
      </w:r>
      <w:r w:rsidR="00823F92">
        <w:t xml:space="preserve">n </w:t>
      </w:r>
      <w:r w:rsidR="00882CC5">
        <w:t>NHW</w:t>
      </w:r>
      <w:r w:rsidR="00823F92">
        <w:t xml:space="preserve">D </w:t>
      </w:r>
      <w:r w:rsidR="00882CC5">
        <w:t>dat</w:t>
      </w:r>
      <w:r w:rsidR="00823F92">
        <w:t xml:space="preserve">a </w:t>
      </w:r>
      <w:r w:rsidR="00453F15" w:rsidRPr="00F05F51">
        <w:t>ar</w:t>
      </w:r>
      <w:r w:rsidR="00823F92" w:rsidRPr="00F05F51">
        <w:t>e</w:t>
      </w:r>
      <w:r w:rsidR="00823F92">
        <w:t xml:space="preserve"> </w:t>
      </w:r>
      <w:r w:rsidR="00453F15" w:rsidRPr="00F05F51">
        <w:t>largel</w:t>
      </w:r>
      <w:r w:rsidR="00823F92" w:rsidRPr="00F05F51">
        <w:t>y</w:t>
      </w:r>
      <w:r w:rsidR="00823F92">
        <w:t xml:space="preserve"> </w:t>
      </w:r>
      <w:r w:rsidR="00453F15" w:rsidRPr="00F05F51">
        <w:t>consisten</w:t>
      </w:r>
      <w:r w:rsidR="00823F92" w:rsidRPr="00F05F51">
        <w:t>t</w:t>
      </w:r>
      <w:r w:rsidR="00823F92">
        <w:t xml:space="preserve"> </w:t>
      </w:r>
      <w:r w:rsidR="00453F15" w:rsidRPr="00F05F51">
        <w:t>wit</w:t>
      </w:r>
      <w:r w:rsidR="00823F92" w:rsidRPr="00F05F51">
        <w:t>h</w:t>
      </w:r>
      <w:r w:rsidR="00823F92">
        <w:t xml:space="preserve"> </w:t>
      </w:r>
      <w:r w:rsidR="00453F15" w:rsidRPr="00F05F51">
        <w:t>NMHSP</w:t>
      </w:r>
      <w:r w:rsidR="00823F92" w:rsidRPr="00F05F51">
        <w:t>F</w:t>
      </w:r>
      <w:r w:rsidR="00823F92">
        <w:t xml:space="preserve"> </w:t>
      </w:r>
      <w:r w:rsidR="00453F15" w:rsidRPr="00F05F51">
        <w:t>target</w:t>
      </w:r>
      <w:r w:rsidR="00823F92" w:rsidRPr="00F05F51">
        <w:t>s</w:t>
      </w:r>
      <w:r w:rsidR="00823F92">
        <w:t xml:space="preserve"> </w:t>
      </w:r>
      <w:r w:rsidR="00453F15" w:rsidRPr="00F05F51">
        <w:t>fo</w:t>
      </w:r>
      <w:r w:rsidR="00823F92" w:rsidRPr="00F05F51">
        <w:t>r</w:t>
      </w:r>
      <w:r w:rsidR="00823F92">
        <w:t xml:space="preserve"> </w:t>
      </w:r>
      <w:r w:rsidR="00453F15" w:rsidRPr="00F05F51">
        <w:t>al</w:t>
      </w:r>
      <w:r w:rsidR="00823F92" w:rsidRPr="00F05F51">
        <w:t>l</w:t>
      </w:r>
      <w:r w:rsidR="00823F92">
        <w:t xml:space="preserve"> </w:t>
      </w:r>
      <w:r w:rsidR="00453F15" w:rsidRPr="00F05F51">
        <w:t>MM</w:t>
      </w:r>
      <w:r w:rsidR="00823F92" w:rsidRPr="00F05F51">
        <w:t>M</w:t>
      </w:r>
      <w:r w:rsidR="00823F92">
        <w:t xml:space="preserve"> </w:t>
      </w:r>
      <w:r w:rsidR="00453F15" w:rsidRPr="00F05F51">
        <w:t>regions</w:t>
      </w:r>
      <w:r w:rsidR="00823F92" w:rsidRPr="001D339C">
        <w:t>.</w:t>
      </w:r>
      <w:r w:rsidR="00823F92">
        <w:t xml:space="preserve"> </w:t>
      </w:r>
      <w:r w:rsidR="001D339C" w:rsidRPr="001D339C">
        <w:t>I</w:t>
      </w:r>
      <w:r w:rsidR="00823F92" w:rsidRPr="001D339C">
        <w:t>n</w:t>
      </w:r>
      <w:r w:rsidR="00823F92">
        <w:t xml:space="preserve"> </w:t>
      </w:r>
      <w:r w:rsidR="001D339C" w:rsidRPr="001D339C">
        <w:t>contrast</w:t>
      </w:r>
      <w:r w:rsidR="00823F92" w:rsidRPr="001D339C">
        <w:t>,</w:t>
      </w:r>
      <w:r w:rsidR="00823F92">
        <w:t xml:space="preserve"> </w:t>
      </w:r>
      <w:r w:rsidR="001D339C" w:rsidRPr="001D339C">
        <w:t>lowe</w:t>
      </w:r>
      <w:r w:rsidR="00823F92" w:rsidRPr="001D339C">
        <w:t>r</w:t>
      </w:r>
      <w:r w:rsidR="00823F92">
        <w:t xml:space="preserve"> </w:t>
      </w:r>
      <w:r w:rsidR="001D339C" w:rsidRPr="001D339C">
        <w:t>estimate</w:t>
      </w:r>
      <w:r w:rsidR="00823F92" w:rsidRPr="001D339C">
        <w:t>s</w:t>
      </w:r>
      <w:r w:rsidR="00823F92">
        <w:t xml:space="preserve"> </w:t>
      </w:r>
      <w:r w:rsidR="001D339C" w:rsidRPr="001D339C">
        <w:t>base</w:t>
      </w:r>
      <w:r w:rsidR="00823F92" w:rsidRPr="001D339C">
        <w:t>d</w:t>
      </w:r>
      <w:r w:rsidR="00823F92">
        <w:t xml:space="preserve"> </w:t>
      </w:r>
      <w:r w:rsidR="001D339C" w:rsidRPr="001D339C">
        <w:t>o</w:t>
      </w:r>
      <w:r w:rsidR="00823F92" w:rsidRPr="001D339C">
        <w:t>n</w:t>
      </w:r>
      <w:r w:rsidR="00823F92">
        <w:t xml:space="preserve"> </w:t>
      </w:r>
      <w:r w:rsidR="00C361DC">
        <w:t>administrativ</w:t>
      </w:r>
      <w:r w:rsidR="00823F92">
        <w:t xml:space="preserve">e </w:t>
      </w:r>
      <w:r w:rsidR="00C361DC">
        <w:t>dat</w:t>
      </w:r>
      <w:r w:rsidR="00823F92">
        <w:t xml:space="preserve">a </w:t>
      </w:r>
      <w:r w:rsidR="001D339C" w:rsidRPr="001D339C">
        <w:t>demonstrat</w:t>
      </w:r>
      <w:r w:rsidR="00823F92" w:rsidRPr="001D339C">
        <w:t>e</w:t>
      </w:r>
      <w:r w:rsidR="00823F92">
        <w:t xml:space="preserve"> </w:t>
      </w:r>
      <w:r w:rsidR="00823F92" w:rsidRPr="001D339C">
        <w:t>a</w:t>
      </w:r>
      <w:r w:rsidR="00823F92">
        <w:t xml:space="preserve"> </w:t>
      </w:r>
      <w:r w:rsidR="001D339C" w:rsidRPr="001D339C">
        <w:t>larg</w:t>
      </w:r>
      <w:r w:rsidR="00823F92" w:rsidRPr="001D339C">
        <w:t>e</w:t>
      </w:r>
      <w:r w:rsidR="00823F92">
        <w:t xml:space="preserve"> </w:t>
      </w:r>
      <w:r w:rsidR="001D339C" w:rsidRPr="001D339C">
        <w:t>defici</w:t>
      </w:r>
      <w:r w:rsidR="00823F92" w:rsidRPr="001D339C">
        <w:t>t</w:t>
      </w:r>
      <w:r w:rsidR="00823F92">
        <w:t xml:space="preserve"> </w:t>
      </w:r>
      <w:r w:rsidR="001D339C" w:rsidRPr="001D339C">
        <w:t>acros</w:t>
      </w:r>
      <w:r w:rsidR="00823F92" w:rsidRPr="001D339C">
        <w:t>s</w:t>
      </w:r>
      <w:r w:rsidR="00823F92">
        <w:t xml:space="preserve"> </w:t>
      </w:r>
      <w:r w:rsidR="001D339C" w:rsidRPr="001D339C">
        <w:t>al</w:t>
      </w:r>
      <w:r w:rsidR="00823F92" w:rsidRPr="001D339C">
        <w:t>l</w:t>
      </w:r>
      <w:r w:rsidR="00823F92">
        <w:t xml:space="preserve"> </w:t>
      </w:r>
      <w:r w:rsidR="001D339C" w:rsidRPr="001D339C">
        <w:t>regions</w:t>
      </w:r>
      <w:r w:rsidR="00823F92" w:rsidRPr="001D339C">
        <w:t>,</w:t>
      </w:r>
      <w:r w:rsidR="00823F92">
        <w:t xml:space="preserve"> </w:t>
      </w:r>
      <w:r w:rsidR="001D339C" w:rsidRPr="001D339C">
        <w:t>whic</w:t>
      </w:r>
      <w:r w:rsidR="00823F92" w:rsidRPr="001D339C">
        <w:t>h</w:t>
      </w:r>
      <w:r w:rsidR="00823F92">
        <w:t xml:space="preserve"> </w:t>
      </w:r>
      <w:r w:rsidR="001D339C" w:rsidRPr="001D339C">
        <w:t>i</w:t>
      </w:r>
      <w:r w:rsidR="00823F92" w:rsidRPr="001D339C">
        <w:t>s</w:t>
      </w:r>
      <w:r w:rsidR="00823F92">
        <w:t xml:space="preserve"> </w:t>
      </w:r>
      <w:r w:rsidR="001D339C" w:rsidRPr="001D339C">
        <w:t>mor</w:t>
      </w:r>
      <w:r w:rsidR="00823F92" w:rsidRPr="001D339C">
        <w:t>e</w:t>
      </w:r>
      <w:r w:rsidR="00823F92">
        <w:t xml:space="preserve"> </w:t>
      </w:r>
      <w:r w:rsidR="001D339C" w:rsidRPr="001D339C">
        <w:t>pronounce</w:t>
      </w:r>
      <w:r w:rsidR="00823F92" w:rsidRPr="001D339C">
        <w:t>d</w:t>
      </w:r>
      <w:r w:rsidR="00823F92">
        <w:t xml:space="preserve"> </w:t>
      </w:r>
      <w:r w:rsidR="001D339C" w:rsidRPr="001D339C">
        <w:t>i</w:t>
      </w:r>
      <w:r w:rsidR="00823F92" w:rsidRPr="001D339C">
        <w:t>n</w:t>
      </w:r>
      <w:r w:rsidR="00823F92">
        <w:t xml:space="preserve"> </w:t>
      </w:r>
      <w:r w:rsidR="001A143B">
        <w:t>remot</w:t>
      </w:r>
      <w:r w:rsidR="00823F92">
        <w:t xml:space="preserve">e </w:t>
      </w:r>
      <w:r w:rsidR="001A143B">
        <w:t>area</w:t>
      </w:r>
      <w:r w:rsidR="00823F92">
        <w:t xml:space="preserve">s </w:t>
      </w:r>
      <w:r w:rsidR="001A143B">
        <w:t>(</w:t>
      </w:r>
      <w:r w:rsidR="001D339C" w:rsidRPr="001D339C">
        <w:t>MMM6-7</w:t>
      </w:r>
      <w:r w:rsidR="001A143B">
        <w:t>)</w:t>
      </w:r>
      <w:r w:rsidR="00453F15">
        <w:t>.</w:t>
      </w:r>
    </w:p>
    <w:p w14:paraId="453C10B1" w14:textId="55B25FBB" w:rsidR="00453F15" w:rsidRDefault="00453F15" w:rsidP="00667079">
      <w:pPr>
        <w:pStyle w:val="Heading3"/>
      </w:pPr>
      <w:r w:rsidRPr="000E25B1">
        <w:t>Live</w:t>
      </w:r>
      <w:r w:rsidR="00823F92" w:rsidRPr="000E25B1">
        <w:t>d</w:t>
      </w:r>
      <w:r w:rsidR="00823F92">
        <w:t xml:space="preserve"> </w:t>
      </w:r>
      <w:r>
        <w:t>e</w:t>
      </w:r>
      <w:r w:rsidRPr="000E25B1">
        <w:t>xperienc</w:t>
      </w:r>
      <w:r w:rsidR="00823F92" w:rsidRPr="000E25B1">
        <w:t>e</w:t>
      </w:r>
      <w:r w:rsidR="00823F92">
        <w:t xml:space="preserve"> </w:t>
      </w:r>
      <w:r w:rsidRPr="000E25B1">
        <w:t>(</w:t>
      </w:r>
      <w:r w:rsidR="00353C25">
        <w:t>p</w:t>
      </w:r>
      <w:r w:rsidRPr="000E25B1">
        <w:t xml:space="preserve">eer) </w:t>
      </w:r>
      <w:r>
        <w:t>w</w:t>
      </w:r>
      <w:r w:rsidRPr="000E25B1">
        <w:t>orkers</w:t>
      </w:r>
    </w:p>
    <w:p w14:paraId="3C488B63" w14:textId="1E3056B9" w:rsidR="002525AE" w:rsidRDefault="005137B8" w:rsidP="002525AE">
      <w:pPr>
        <w:pStyle w:val="BodyText"/>
      </w:pPr>
      <w:r w:rsidRPr="009245F1">
        <w:rPr>
          <w:lang w:val="en-US"/>
        </w:rPr>
        <w:t>Role:</w:t>
      </w:r>
      <w:r w:rsidR="002525AE" w:rsidRPr="002525AE">
        <w:t xml:space="preserve"> </w:t>
      </w:r>
      <w:r w:rsidR="002525AE" w:rsidRPr="006C4490">
        <w:t>Live</w:t>
      </w:r>
      <w:r w:rsidR="00823F92" w:rsidRPr="006C4490">
        <w:t>d</w:t>
      </w:r>
      <w:r w:rsidR="00823F92">
        <w:t xml:space="preserve"> </w:t>
      </w:r>
      <w:r w:rsidR="002525AE">
        <w:t>e</w:t>
      </w:r>
      <w:r w:rsidR="002525AE" w:rsidRPr="006C4490">
        <w:t>xperienc</w:t>
      </w:r>
      <w:r w:rsidR="00823F92" w:rsidRPr="006C4490">
        <w:t>e</w:t>
      </w:r>
      <w:r w:rsidR="00823F92">
        <w:t xml:space="preserve"> </w:t>
      </w:r>
      <w:r w:rsidR="002525AE" w:rsidRPr="006C4490">
        <w:t>(</w:t>
      </w:r>
      <w:r w:rsidR="002525AE">
        <w:t>p</w:t>
      </w:r>
      <w:r w:rsidR="002525AE" w:rsidRPr="006C4490">
        <w:t xml:space="preserve">eer) </w:t>
      </w:r>
      <w:r w:rsidR="002525AE">
        <w:t>w</w:t>
      </w:r>
      <w:r w:rsidR="002525AE" w:rsidRPr="006C4490">
        <w:t>orker</w:t>
      </w:r>
      <w:r w:rsidR="00823F92" w:rsidRPr="006C4490">
        <w:t>s</w:t>
      </w:r>
      <w:r w:rsidR="00823F92">
        <w:t xml:space="preserve"> </w:t>
      </w:r>
      <w:r w:rsidR="002525AE" w:rsidRPr="006C4490">
        <w:t>ar</w:t>
      </w:r>
      <w:r w:rsidR="00823F92" w:rsidRPr="006C4490">
        <w:t>e</w:t>
      </w:r>
      <w:r w:rsidR="00823F92">
        <w:t xml:space="preserve"> </w:t>
      </w:r>
      <w:r w:rsidR="002525AE">
        <w:t>a</w:t>
      </w:r>
      <w:r w:rsidR="00823F92">
        <w:t xml:space="preserve">n </w:t>
      </w:r>
      <w:r w:rsidR="002525AE">
        <w:t>emergin</w:t>
      </w:r>
      <w:r w:rsidR="00823F92">
        <w:t xml:space="preserve">g </w:t>
      </w:r>
      <w:r w:rsidR="002525AE">
        <w:t>workforce</w:t>
      </w:r>
      <w:r w:rsidR="00823F92" w:rsidRPr="006C4490">
        <w:t>.</w:t>
      </w:r>
      <w:r w:rsidR="00823F92">
        <w:t xml:space="preserve"> </w:t>
      </w:r>
      <w:r w:rsidR="002525AE" w:rsidRPr="006C4490">
        <w:t>Thi</w:t>
      </w:r>
      <w:r w:rsidR="00823F92" w:rsidRPr="006C4490">
        <w:t>s</w:t>
      </w:r>
      <w:r w:rsidR="00823F92">
        <w:t xml:space="preserve"> </w:t>
      </w:r>
      <w:r w:rsidR="002525AE" w:rsidRPr="006C4490">
        <w:t>include</w:t>
      </w:r>
      <w:r w:rsidR="00823F92" w:rsidRPr="006C4490">
        <w:t>s</w:t>
      </w:r>
      <w:r w:rsidR="00823F92">
        <w:t xml:space="preserve"> </w:t>
      </w:r>
      <w:r w:rsidR="002525AE" w:rsidRPr="006C4490">
        <w:t>consume</w:t>
      </w:r>
      <w:r w:rsidR="00823F92" w:rsidRPr="006C4490">
        <w:t>r</w:t>
      </w:r>
      <w:r w:rsidR="00823F92">
        <w:t xml:space="preserve"> </w:t>
      </w:r>
      <w:r w:rsidR="002525AE" w:rsidRPr="006C4490">
        <w:t>pee</w:t>
      </w:r>
      <w:r w:rsidR="00823F92" w:rsidRPr="006C4490">
        <w:t>r</w:t>
      </w:r>
      <w:r w:rsidR="00823F92">
        <w:t xml:space="preserve"> </w:t>
      </w:r>
      <w:r w:rsidR="002525AE" w:rsidRPr="006C4490">
        <w:t>worker</w:t>
      </w:r>
      <w:r w:rsidR="00823F92" w:rsidRPr="006C4490">
        <w:t>s</w:t>
      </w:r>
      <w:r w:rsidR="00823F92">
        <w:t xml:space="preserve"> </w:t>
      </w:r>
      <w:r w:rsidR="002525AE" w:rsidRPr="006C4490">
        <w:t>an</w:t>
      </w:r>
      <w:r w:rsidR="00823F92" w:rsidRPr="006C4490">
        <w:t>d</w:t>
      </w:r>
      <w:r w:rsidR="00823F92">
        <w:t xml:space="preserve"> </w:t>
      </w:r>
      <w:r w:rsidR="002525AE" w:rsidRPr="006C4490">
        <w:t>care</w:t>
      </w:r>
      <w:r w:rsidR="00823F92" w:rsidRPr="006C4490">
        <w:t>r</w:t>
      </w:r>
      <w:r w:rsidR="00823F92">
        <w:t xml:space="preserve"> </w:t>
      </w:r>
      <w:r w:rsidR="002525AE" w:rsidRPr="006C4490">
        <w:t>pee</w:t>
      </w:r>
      <w:r w:rsidR="00823F92" w:rsidRPr="006C4490">
        <w:t>r</w:t>
      </w:r>
      <w:r w:rsidR="00823F92">
        <w:t xml:space="preserve"> </w:t>
      </w:r>
      <w:r w:rsidR="002525AE" w:rsidRPr="006C4490">
        <w:t>workers</w:t>
      </w:r>
      <w:r w:rsidR="00823F92" w:rsidRPr="006C4490">
        <w:t>.</w:t>
      </w:r>
      <w:r w:rsidR="00823F92">
        <w:t xml:space="preserve"> </w:t>
      </w:r>
      <w:r w:rsidR="002525AE">
        <w:t>Live</w:t>
      </w:r>
      <w:r w:rsidR="00823F92">
        <w:t xml:space="preserve">d </w:t>
      </w:r>
      <w:r w:rsidR="002525AE">
        <w:t>experienc</w:t>
      </w:r>
      <w:r w:rsidR="00823F92">
        <w:t xml:space="preserve">e </w:t>
      </w:r>
      <w:r w:rsidR="002525AE">
        <w:t>(p</w:t>
      </w:r>
      <w:r w:rsidR="002525AE" w:rsidRPr="002C1A01">
        <w:t>eer</w:t>
      </w:r>
      <w:r w:rsidR="002525AE">
        <w:t>)</w:t>
      </w:r>
      <w:r w:rsidR="002525AE" w:rsidRPr="002C1A01">
        <w:t xml:space="preserve"> </w:t>
      </w:r>
      <w:r w:rsidR="002525AE">
        <w:t>w</w:t>
      </w:r>
      <w:r w:rsidR="002525AE" w:rsidRPr="002C1A01">
        <w:t>orker</w:t>
      </w:r>
      <w:r w:rsidR="00823F92" w:rsidRPr="002C1A01">
        <w:t>s</w:t>
      </w:r>
      <w:r w:rsidR="00823F92">
        <w:t xml:space="preserve"> </w:t>
      </w:r>
      <w:r w:rsidR="002525AE" w:rsidRPr="002C1A01">
        <w:t>ar</w:t>
      </w:r>
      <w:r w:rsidR="00823F92" w:rsidRPr="002C1A01">
        <w:t>e</w:t>
      </w:r>
      <w:r w:rsidR="00823F92">
        <w:t xml:space="preserve"> </w:t>
      </w:r>
      <w:r w:rsidR="002525AE" w:rsidRPr="002C1A01">
        <w:t>employe</w:t>
      </w:r>
      <w:r w:rsidR="00823F92" w:rsidRPr="002C1A01">
        <w:t>d</w:t>
      </w:r>
      <w:r w:rsidR="00823F92">
        <w:t xml:space="preserve"> </w:t>
      </w:r>
      <w:r w:rsidR="002525AE" w:rsidRPr="002C1A01">
        <w:t>o</w:t>
      </w:r>
      <w:r w:rsidR="00823F92" w:rsidRPr="002C1A01">
        <w:t>n</w:t>
      </w:r>
      <w:r w:rsidR="00823F92">
        <w:t xml:space="preserve"> </w:t>
      </w:r>
      <w:r w:rsidR="002525AE" w:rsidRPr="002C1A01">
        <w:t>th</w:t>
      </w:r>
      <w:r w:rsidR="00823F92" w:rsidRPr="002C1A01">
        <w:t>e</w:t>
      </w:r>
      <w:r w:rsidR="00823F92">
        <w:t xml:space="preserve"> </w:t>
      </w:r>
      <w:r w:rsidR="002525AE" w:rsidRPr="002C1A01">
        <w:t>basi</w:t>
      </w:r>
      <w:r w:rsidR="00823F92" w:rsidRPr="002C1A01">
        <w:t>s</w:t>
      </w:r>
      <w:r w:rsidR="00823F92">
        <w:t xml:space="preserve"> </w:t>
      </w:r>
      <w:r w:rsidR="002525AE" w:rsidRPr="002C1A01">
        <w:t>o</w:t>
      </w:r>
      <w:r w:rsidR="00823F92" w:rsidRPr="002C1A01">
        <w:t>f</w:t>
      </w:r>
      <w:r w:rsidR="00823F92">
        <w:t xml:space="preserve"> </w:t>
      </w:r>
      <w:r w:rsidR="002525AE" w:rsidRPr="002C1A01">
        <w:t>thei</w:t>
      </w:r>
      <w:r w:rsidR="00823F92" w:rsidRPr="002C1A01">
        <w:t>r</w:t>
      </w:r>
      <w:r w:rsidR="00823F92">
        <w:t xml:space="preserve"> </w:t>
      </w:r>
      <w:r w:rsidR="002525AE" w:rsidRPr="002C1A01">
        <w:t>persona</w:t>
      </w:r>
      <w:r w:rsidR="00823F92" w:rsidRPr="002C1A01">
        <w:t>l</w:t>
      </w:r>
      <w:r w:rsidR="00823F92">
        <w:t xml:space="preserve"> </w:t>
      </w:r>
      <w:r w:rsidR="002525AE" w:rsidRPr="002C1A01">
        <w:t>experienc</w:t>
      </w:r>
      <w:r w:rsidR="00823F92" w:rsidRPr="002C1A01">
        <w:t>e</w:t>
      </w:r>
      <w:r w:rsidR="00823F92">
        <w:t xml:space="preserve"> </w:t>
      </w:r>
      <w:r w:rsidR="002525AE" w:rsidRPr="00AB594B">
        <w:t>o</w:t>
      </w:r>
      <w:r w:rsidR="00823F92" w:rsidRPr="00AB594B">
        <w:t>f</w:t>
      </w:r>
      <w:r w:rsidR="00823F92">
        <w:t xml:space="preserve"> </w:t>
      </w:r>
      <w:r w:rsidR="002525AE" w:rsidRPr="00AB594B">
        <w:t>menta</w:t>
      </w:r>
      <w:r w:rsidR="00823F92" w:rsidRPr="00AB594B">
        <w:t>l</w:t>
      </w:r>
      <w:r w:rsidR="00823F92">
        <w:t xml:space="preserve"> </w:t>
      </w:r>
      <w:r w:rsidR="002525AE" w:rsidRPr="00AB594B">
        <w:t>illnes</w:t>
      </w:r>
      <w:r w:rsidR="00823F92" w:rsidRPr="00AB594B">
        <w:t>s</w:t>
      </w:r>
      <w:r w:rsidR="00823F92">
        <w:t xml:space="preserve"> </w:t>
      </w:r>
      <w:r w:rsidR="002525AE" w:rsidRPr="00AB594B">
        <w:t>includin</w:t>
      </w:r>
      <w:r w:rsidR="00823F92" w:rsidRPr="00AB594B">
        <w:t>g</w:t>
      </w:r>
      <w:r w:rsidR="00823F92">
        <w:t xml:space="preserve"> </w:t>
      </w:r>
      <w:r w:rsidR="002525AE" w:rsidRPr="00AB594B">
        <w:t>thei</w:t>
      </w:r>
      <w:r w:rsidR="00823F92" w:rsidRPr="00AB594B">
        <w:t>r</w:t>
      </w:r>
      <w:r w:rsidR="00823F92">
        <w:t xml:space="preserve"> </w:t>
      </w:r>
      <w:r w:rsidR="002525AE" w:rsidRPr="00AB594B">
        <w:t>experienc</w:t>
      </w:r>
      <w:r w:rsidR="00823F92" w:rsidRPr="00AB594B">
        <w:t>e</w:t>
      </w:r>
      <w:r w:rsidR="00823F92">
        <w:t xml:space="preserve"> </w:t>
      </w:r>
      <w:r w:rsidR="002525AE" w:rsidRPr="00AB594B">
        <w:t>o</w:t>
      </w:r>
      <w:r w:rsidR="00823F92" w:rsidRPr="00AB594B">
        <w:t>f</w:t>
      </w:r>
      <w:r w:rsidR="00823F92">
        <w:t xml:space="preserve"> </w:t>
      </w:r>
      <w:r w:rsidR="002525AE" w:rsidRPr="00AB594B">
        <w:t>seekin</w:t>
      </w:r>
      <w:r w:rsidR="00823F92" w:rsidRPr="00AB594B">
        <w:t>g</w:t>
      </w:r>
      <w:r w:rsidR="00823F92">
        <w:t xml:space="preserve"> </w:t>
      </w:r>
      <w:r w:rsidR="002525AE" w:rsidRPr="00AB594B">
        <w:t>car</w:t>
      </w:r>
      <w:r w:rsidR="00823F92" w:rsidRPr="00AB594B">
        <w:t>e</w:t>
      </w:r>
      <w:r w:rsidR="00823F92">
        <w:t xml:space="preserve"> </w:t>
      </w:r>
      <w:r w:rsidR="002525AE" w:rsidRPr="00AB594B">
        <w:t>an</w:t>
      </w:r>
      <w:r w:rsidR="00823F92" w:rsidRPr="00AB594B">
        <w:t>d</w:t>
      </w:r>
      <w:r w:rsidR="00823F92">
        <w:t xml:space="preserve"> </w:t>
      </w:r>
      <w:r w:rsidR="002525AE" w:rsidRPr="00AB594B">
        <w:t>treatment</w:t>
      </w:r>
      <w:r w:rsidR="00823F92" w:rsidRPr="00AB594B">
        <w:t>,</w:t>
      </w:r>
      <w:r w:rsidR="00823F92">
        <w:t xml:space="preserve"> </w:t>
      </w:r>
      <w:r w:rsidR="002525AE" w:rsidRPr="00AB594B">
        <w:t>o</w:t>
      </w:r>
      <w:r w:rsidR="00823F92" w:rsidRPr="00AB594B">
        <w:t>r</w:t>
      </w:r>
      <w:r w:rsidR="00823F92">
        <w:t xml:space="preserve"> </w:t>
      </w:r>
      <w:r w:rsidR="002525AE" w:rsidRPr="00AB594B">
        <w:t>o</w:t>
      </w:r>
      <w:r w:rsidR="00823F92" w:rsidRPr="00AB594B">
        <w:t>f</w:t>
      </w:r>
      <w:r w:rsidR="00823F92">
        <w:t xml:space="preserve"> </w:t>
      </w:r>
      <w:r w:rsidR="002525AE" w:rsidRPr="00AB594B">
        <w:t>havin</w:t>
      </w:r>
      <w:r w:rsidR="00823F92" w:rsidRPr="00AB594B">
        <w:t>g</w:t>
      </w:r>
      <w:r w:rsidR="00823F92">
        <w:t xml:space="preserve"> </w:t>
      </w:r>
      <w:r w:rsidR="002525AE" w:rsidRPr="00AB594B">
        <w:t>care</w:t>
      </w:r>
      <w:r w:rsidR="00823F92" w:rsidRPr="00AB594B">
        <w:t>d</w:t>
      </w:r>
      <w:r w:rsidR="00823F92">
        <w:t xml:space="preserve"> </w:t>
      </w:r>
      <w:r w:rsidR="002525AE" w:rsidRPr="00AB594B">
        <w:t>fo</w:t>
      </w:r>
      <w:r w:rsidR="00823F92" w:rsidRPr="00AB594B">
        <w:t>r</w:t>
      </w:r>
      <w:r w:rsidR="00823F92">
        <w:t xml:space="preserve"> </w:t>
      </w:r>
      <w:r w:rsidR="00823F92" w:rsidRPr="00AB594B">
        <w:t>a</w:t>
      </w:r>
      <w:r w:rsidR="00823F92">
        <w:t xml:space="preserve"> </w:t>
      </w:r>
      <w:r w:rsidR="002525AE" w:rsidRPr="00AB594B">
        <w:t>perso</w:t>
      </w:r>
      <w:r w:rsidR="00823F92" w:rsidRPr="00AB594B">
        <w:t>n</w:t>
      </w:r>
      <w:r w:rsidR="00823F92">
        <w:t xml:space="preserve"> </w:t>
      </w:r>
      <w:r w:rsidR="002525AE" w:rsidRPr="00AB594B">
        <w:t>wit</w:t>
      </w:r>
      <w:r w:rsidR="00823F92" w:rsidRPr="00AB594B">
        <w:t>h</w:t>
      </w:r>
      <w:r w:rsidR="00823F92">
        <w:t xml:space="preserve"> </w:t>
      </w:r>
      <w:r w:rsidR="00823F92" w:rsidRPr="00AB594B">
        <w:t>a</w:t>
      </w:r>
      <w:r w:rsidR="00823F92">
        <w:t xml:space="preserve"> </w:t>
      </w:r>
      <w:r w:rsidR="002525AE" w:rsidRPr="00AB594B">
        <w:t>menta</w:t>
      </w:r>
      <w:r w:rsidR="00823F92" w:rsidRPr="00AB594B">
        <w:t>l</w:t>
      </w:r>
      <w:r w:rsidR="00823F92">
        <w:t xml:space="preserve"> </w:t>
      </w:r>
      <w:r w:rsidR="002525AE" w:rsidRPr="00AB594B">
        <w:t>illness</w:t>
      </w:r>
      <w:r w:rsidR="00823F92" w:rsidRPr="00AB594B">
        <w:t>.</w:t>
      </w:r>
      <w:r w:rsidR="00823F92">
        <w:t xml:space="preserve"> </w:t>
      </w:r>
    </w:p>
    <w:p w14:paraId="5151D33D" w14:textId="0F1965FE" w:rsidR="005137B8" w:rsidRDefault="005137B8" w:rsidP="005137B8">
      <w:pPr>
        <w:pStyle w:val="BodyText"/>
        <w:rPr>
          <w:b/>
          <w:bCs/>
          <w:lang w:val="en-US"/>
        </w:rPr>
      </w:pPr>
      <w:r w:rsidRPr="009245F1">
        <w:rPr>
          <w:lang w:val="en-US"/>
        </w:rPr>
        <w:t>Setting:</w:t>
      </w:r>
      <w:r>
        <w:rPr>
          <w:b/>
          <w:bCs/>
          <w:lang w:val="en-US"/>
        </w:rPr>
        <w:t xml:space="preserve"> </w:t>
      </w:r>
      <w:r w:rsidR="002525AE" w:rsidRPr="006C4490">
        <w:t>Mos</w:t>
      </w:r>
      <w:r w:rsidR="00823F92" w:rsidRPr="006C4490">
        <w:t>t</w:t>
      </w:r>
      <w:r w:rsidR="00823F92">
        <w:t xml:space="preserve"> </w:t>
      </w:r>
      <w:r w:rsidR="002525AE" w:rsidRPr="006C4490">
        <w:t>wor</w:t>
      </w:r>
      <w:r w:rsidR="00823F92" w:rsidRPr="006C4490">
        <w:t>k</w:t>
      </w:r>
      <w:r w:rsidR="00823F92">
        <w:t xml:space="preserve"> </w:t>
      </w:r>
      <w:r w:rsidR="002525AE" w:rsidRPr="006C4490">
        <w:t>i</w:t>
      </w:r>
      <w:r w:rsidR="00823F92" w:rsidRPr="006C4490">
        <w:t>n</w:t>
      </w:r>
      <w:r w:rsidR="00823F92">
        <w:t xml:space="preserve"> </w:t>
      </w:r>
      <w:r w:rsidR="002525AE">
        <w:t>publi</w:t>
      </w:r>
      <w:r w:rsidR="00823F92">
        <w:t xml:space="preserve">c </w:t>
      </w:r>
      <w:r w:rsidR="002525AE">
        <w:t>settings</w:t>
      </w:r>
      <w:r w:rsidR="00823F92">
        <w:t xml:space="preserve">. </w:t>
      </w:r>
    </w:p>
    <w:p w14:paraId="4775B291" w14:textId="78D10DD2" w:rsidR="002525AE" w:rsidRDefault="005137B8" w:rsidP="002525AE">
      <w:pPr>
        <w:pStyle w:val="BodyText"/>
      </w:pPr>
      <w:r w:rsidRPr="009245F1">
        <w:rPr>
          <w:lang w:val="en-US"/>
        </w:rPr>
        <w:t>Training:</w:t>
      </w:r>
      <w:r>
        <w:rPr>
          <w:b/>
          <w:bCs/>
          <w:lang w:val="en-US"/>
        </w:rPr>
        <w:t xml:space="preserve"> </w:t>
      </w:r>
      <w:r w:rsidR="002525AE" w:rsidRPr="002C1A01">
        <w:t>Ther</w:t>
      </w:r>
      <w:r w:rsidR="00823F92" w:rsidRPr="002C1A01">
        <w:t>e</w:t>
      </w:r>
      <w:r w:rsidR="00823F92">
        <w:t xml:space="preserve"> </w:t>
      </w:r>
      <w:r w:rsidR="002525AE" w:rsidRPr="002C1A01">
        <w:t>i</w:t>
      </w:r>
      <w:r w:rsidR="00823F92" w:rsidRPr="002C1A01">
        <w:t>s</w:t>
      </w:r>
      <w:r w:rsidR="00823F92">
        <w:t xml:space="preserve"> </w:t>
      </w:r>
      <w:r w:rsidR="002525AE" w:rsidRPr="002C1A01">
        <w:t>currentl</w:t>
      </w:r>
      <w:r w:rsidR="00823F92" w:rsidRPr="002C1A01">
        <w:t>y</w:t>
      </w:r>
      <w:r w:rsidR="00823F92">
        <w:t xml:space="preserve"> </w:t>
      </w:r>
      <w:r w:rsidR="002525AE" w:rsidRPr="002C1A01">
        <w:t>n</w:t>
      </w:r>
      <w:r w:rsidR="00823F92" w:rsidRPr="002C1A01">
        <w:t>o</w:t>
      </w:r>
      <w:r w:rsidR="00823F92">
        <w:t xml:space="preserve"> </w:t>
      </w:r>
      <w:r w:rsidR="002525AE" w:rsidRPr="002C1A01">
        <w:t>mandator</w:t>
      </w:r>
      <w:r w:rsidR="00823F92" w:rsidRPr="002C1A01">
        <w:t>y</w:t>
      </w:r>
      <w:r w:rsidR="00823F92">
        <w:t xml:space="preserve"> </w:t>
      </w:r>
      <w:r w:rsidR="002525AE" w:rsidRPr="002C1A01">
        <w:t>qualificatio</w:t>
      </w:r>
      <w:r w:rsidR="00823F92" w:rsidRPr="002C1A01">
        <w:t>n</w:t>
      </w:r>
      <w:r w:rsidR="00823F92">
        <w:t xml:space="preserve"> </w:t>
      </w:r>
      <w:r w:rsidR="002525AE" w:rsidRPr="002C1A01">
        <w:t>require</w:t>
      </w:r>
      <w:r w:rsidR="00823F92" w:rsidRPr="002C1A01">
        <w:t>d</w:t>
      </w:r>
      <w:r w:rsidR="00823F92">
        <w:t xml:space="preserve"> </w:t>
      </w:r>
      <w:r w:rsidR="002525AE" w:rsidRPr="002C1A01">
        <w:t>t</w:t>
      </w:r>
      <w:r w:rsidR="00823F92" w:rsidRPr="002C1A01">
        <w:t>o</w:t>
      </w:r>
      <w:r w:rsidR="00823F92">
        <w:t xml:space="preserve"> </w:t>
      </w:r>
      <w:r w:rsidR="002525AE" w:rsidRPr="002C1A01">
        <w:t>b</w:t>
      </w:r>
      <w:r w:rsidR="00823F92" w:rsidRPr="002C1A01">
        <w:t>e</w:t>
      </w:r>
      <w:r w:rsidR="00823F92">
        <w:t xml:space="preserve"> </w:t>
      </w:r>
      <w:r w:rsidR="002525AE" w:rsidRPr="002C1A01">
        <w:t>employe</w:t>
      </w:r>
      <w:r w:rsidR="00823F92" w:rsidRPr="002C1A01">
        <w:t>d</w:t>
      </w:r>
      <w:r w:rsidR="00823F92">
        <w:t xml:space="preserve"> </w:t>
      </w:r>
      <w:r w:rsidR="002525AE" w:rsidRPr="002C1A01">
        <w:t>a</w:t>
      </w:r>
      <w:r w:rsidR="00823F92" w:rsidRPr="002C1A01">
        <w:t>s</w:t>
      </w:r>
      <w:r w:rsidR="00823F92">
        <w:t xml:space="preserve"> </w:t>
      </w:r>
      <w:r w:rsidR="00823F92" w:rsidRPr="002C1A01">
        <w:t>a</w:t>
      </w:r>
      <w:r w:rsidR="00823F92">
        <w:t xml:space="preserve"> </w:t>
      </w:r>
      <w:r w:rsidR="00353C25">
        <w:t>live</w:t>
      </w:r>
      <w:r w:rsidR="00823F92">
        <w:t xml:space="preserve">d </w:t>
      </w:r>
      <w:r w:rsidR="00353C25">
        <w:t>experienc</w:t>
      </w:r>
      <w:r w:rsidR="00823F92">
        <w:t xml:space="preserve">e </w:t>
      </w:r>
      <w:r w:rsidR="00353C25">
        <w:t>(</w:t>
      </w:r>
      <w:r w:rsidR="002525AE">
        <w:t>peer</w:t>
      </w:r>
      <w:r w:rsidR="00353C25">
        <w:t>)</w:t>
      </w:r>
      <w:r w:rsidR="002525AE">
        <w:t xml:space="preserve"> worker</w:t>
      </w:r>
      <w:r w:rsidR="00823F92" w:rsidRPr="002C1A01">
        <w:t>,</w:t>
      </w:r>
      <w:r w:rsidR="00823F92">
        <w:t xml:space="preserve"> </w:t>
      </w:r>
      <w:r w:rsidR="002525AE" w:rsidRPr="002C1A01">
        <w:t>thoug</w:t>
      </w:r>
      <w:r w:rsidR="00823F92" w:rsidRPr="002C1A01">
        <w:t>h</w:t>
      </w:r>
      <w:r w:rsidR="00823F92">
        <w:t xml:space="preserve"> </w:t>
      </w:r>
      <w:r w:rsidR="002525AE" w:rsidRPr="002C1A01">
        <w:t>ther</w:t>
      </w:r>
      <w:r w:rsidR="00823F92" w:rsidRPr="002C1A01">
        <w:t>e</w:t>
      </w:r>
      <w:r w:rsidR="00823F92">
        <w:t xml:space="preserve"> </w:t>
      </w:r>
      <w:r w:rsidR="002525AE" w:rsidRPr="002C1A01">
        <w:t>i</w:t>
      </w:r>
      <w:r w:rsidR="00823F92" w:rsidRPr="002C1A01">
        <w:t>s</w:t>
      </w:r>
      <w:r w:rsidR="00823F92">
        <w:t xml:space="preserve"> </w:t>
      </w:r>
      <w:r w:rsidR="00823F92" w:rsidRPr="002C1A01">
        <w:t>a</w:t>
      </w:r>
      <w:r w:rsidR="00823F92">
        <w:t xml:space="preserve"> </w:t>
      </w:r>
      <w:r w:rsidR="002525AE" w:rsidRPr="002C1A01">
        <w:t>nationall</w:t>
      </w:r>
      <w:r w:rsidR="00823F92" w:rsidRPr="002C1A01">
        <w:t>y</w:t>
      </w:r>
      <w:r w:rsidR="00823F92">
        <w:t xml:space="preserve"> </w:t>
      </w:r>
      <w:r w:rsidR="002525AE" w:rsidRPr="002C1A01">
        <w:t>recognise</w:t>
      </w:r>
      <w:r w:rsidR="00823F92" w:rsidRPr="002C1A01">
        <w:t>d</w:t>
      </w:r>
      <w:r w:rsidR="00823F92">
        <w:t xml:space="preserve"> </w:t>
      </w:r>
      <w:r w:rsidR="002525AE" w:rsidRPr="002C1A01">
        <w:t>Certificat</w:t>
      </w:r>
      <w:r w:rsidR="00823F92" w:rsidRPr="002C1A01">
        <w:t>e</w:t>
      </w:r>
      <w:r w:rsidR="00823F92">
        <w:t xml:space="preserve"> </w:t>
      </w:r>
      <w:r w:rsidR="002525AE" w:rsidRPr="002C1A01">
        <w:t>I</w:t>
      </w:r>
      <w:r w:rsidR="00823F92" w:rsidRPr="002C1A01">
        <w:t>V</w:t>
      </w:r>
      <w:r w:rsidR="00823F92">
        <w:t xml:space="preserve"> </w:t>
      </w:r>
      <w:r w:rsidR="002525AE" w:rsidRPr="002C1A01">
        <w:t>i</w:t>
      </w:r>
      <w:r w:rsidR="00823F92" w:rsidRPr="002C1A01">
        <w:t>n</w:t>
      </w:r>
      <w:r w:rsidR="00823F92">
        <w:t xml:space="preserve"> </w:t>
      </w:r>
      <w:r w:rsidR="002525AE" w:rsidRPr="002C1A01">
        <w:t>Menta</w:t>
      </w:r>
      <w:r w:rsidR="00823F92" w:rsidRPr="002C1A01">
        <w:t>l</w:t>
      </w:r>
      <w:r w:rsidR="00823F92">
        <w:t xml:space="preserve"> </w:t>
      </w:r>
      <w:r w:rsidR="002525AE" w:rsidRPr="002C1A01">
        <w:t>Healt</w:t>
      </w:r>
      <w:r w:rsidR="00823F92" w:rsidRPr="002C1A01">
        <w:t>h</w:t>
      </w:r>
      <w:r w:rsidR="00823F92">
        <w:t xml:space="preserve"> </w:t>
      </w:r>
      <w:r w:rsidR="002525AE" w:rsidRPr="002C1A01">
        <w:t>Pee</w:t>
      </w:r>
      <w:r w:rsidR="00823F92" w:rsidRPr="002C1A01">
        <w:t>r</w:t>
      </w:r>
      <w:r w:rsidR="00823F92">
        <w:t xml:space="preserve"> </w:t>
      </w:r>
      <w:r w:rsidR="002525AE" w:rsidRPr="002C1A01">
        <w:t>Work</w:t>
      </w:r>
      <w:r w:rsidR="00823F92" w:rsidRPr="002C1A01">
        <w:t>.</w:t>
      </w:r>
      <w:r w:rsidR="00823F92">
        <w:t xml:space="preserve"> </w:t>
      </w:r>
    </w:p>
    <w:p w14:paraId="5AAFE17F" w14:textId="571F545C" w:rsidR="00353C25" w:rsidRPr="00342CC6" w:rsidRDefault="00353C25" w:rsidP="002525AE">
      <w:pPr>
        <w:pStyle w:val="BodyText"/>
      </w:pPr>
      <w:r w:rsidRPr="009245F1">
        <w:t>Regulation:</w:t>
      </w:r>
      <w:r>
        <w:rPr>
          <w:b/>
          <w:bCs/>
        </w:rPr>
        <w:t xml:space="preserve"> </w:t>
      </w:r>
      <w:r>
        <w:t>Live</w:t>
      </w:r>
      <w:r w:rsidR="00823F92">
        <w:t xml:space="preserve">d </w:t>
      </w:r>
      <w:r>
        <w:t>experienc</w:t>
      </w:r>
      <w:r w:rsidR="00823F92">
        <w:t xml:space="preserve">e </w:t>
      </w:r>
      <w:r>
        <w:t>(peer) worker</w:t>
      </w:r>
      <w:r w:rsidR="00823F92">
        <w:t xml:space="preserve">s </w:t>
      </w:r>
      <w:r>
        <w:t>ar</w:t>
      </w:r>
      <w:r w:rsidR="00823F92">
        <w:t xml:space="preserve">e </w:t>
      </w:r>
      <w:r>
        <w:t>currentl</w:t>
      </w:r>
      <w:r w:rsidR="00823F92">
        <w:t xml:space="preserve">y </w:t>
      </w:r>
      <w:r>
        <w:t>unregulated</w:t>
      </w:r>
      <w:r w:rsidR="00823F92">
        <w:t xml:space="preserve">. </w:t>
      </w:r>
    </w:p>
    <w:p w14:paraId="31CB54DF" w14:textId="71C69937" w:rsidR="002525AE" w:rsidRPr="006C4490" w:rsidRDefault="005137B8" w:rsidP="002525AE">
      <w:pPr>
        <w:pStyle w:val="BodyText"/>
        <w:rPr>
          <w:lang w:val="en-US"/>
        </w:rPr>
      </w:pPr>
      <w:r w:rsidRPr="009245F1">
        <w:rPr>
          <w:lang w:val="en-US"/>
        </w:rPr>
        <w:t>Supply:</w:t>
      </w:r>
      <w:r>
        <w:rPr>
          <w:b/>
          <w:bCs/>
          <w:lang w:val="en-US"/>
        </w:rPr>
        <w:t xml:space="preserve"> </w:t>
      </w:r>
      <w:r w:rsidR="00C76E9C" w:rsidRPr="006D2538">
        <w:rPr>
          <w:lang w:val="en-US"/>
        </w:rPr>
        <w:t>Th</w:t>
      </w:r>
      <w:r w:rsidR="00823F92" w:rsidRPr="006D2538">
        <w:rPr>
          <w:lang w:val="en-US"/>
        </w:rPr>
        <w:t>e</w:t>
      </w:r>
      <w:r w:rsidR="00823F92">
        <w:rPr>
          <w:lang w:val="en-US"/>
        </w:rPr>
        <w:t xml:space="preserve"> </w:t>
      </w:r>
      <w:r w:rsidR="00C76E9C" w:rsidRPr="006D2538">
        <w:rPr>
          <w:lang w:val="en-US"/>
        </w:rPr>
        <w:t>larges</w:t>
      </w:r>
      <w:r w:rsidR="00823F92" w:rsidRPr="006D2538">
        <w:rPr>
          <w:lang w:val="en-US"/>
        </w:rPr>
        <w:t>t</w:t>
      </w:r>
      <w:r w:rsidR="00823F92">
        <w:rPr>
          <w:lang w:val="en-US"/>
        </w:rPr>
        <w:t xml:space="preserve"> </w:t>
      </w:r>
      <w:r w:rsidR="00C76E9C" w:rsidRPr="006D2538">
        <w:rPr>
          <w:lang w:val="en-US"/>
        </w:rPr>
        <w:t>relativ</w:t>
      </w:r>
      <w:r w:rsidR="00823F92" w:rsidRPr="006D2538">
        <w:rPr>
          <w:lang w:val="en-US"/>
        </w:rPr>
        <w:t>e</w:t>
      </w:r>
      <w:r w:rsidR="00823F92">
        <w:rPr>
          <w:lang w:val="en-US"/>
        </w:rPr>
        <w:t xml:space="preserve"> </w:t>
      </w:r>
      <w:r w:rsidR="00C76E9C" w:rsidRPr="006D2538">
        <w:rPr>
          <w:lang w:val="en-US"/>
        </w:rPr>
        <w:t>gap</w:t>
      </w:r>
      <w:r w:rsidR="00823F92" w:rsidRPr="006D2538">
        <w:rPr>
          <w:lang w:val="en-US"/>
        </w:rPr>
        <w:t>s</w:t>
      </w:r>
      <w:r w:rsidR="00823F92">
        <w:rPr>
          <w:lang w:val="en-US"/>
        </w:rPr>
        <w:t xml:space="preserve"> </w:t>
      </w:r>
      <w:r w:rsidR="00485D90">
        <w:rPr>
          <w:lang w:val="en-US"/>
        </w:rPr>
        <w:t>i</w:t>
      </w:r>
      <w:r w:rsidR="00823F92">
        <w:rPr>
          <w:lang w:val="en-US"/>
        </w:rPr>
        <w:t xml:space="preserve">n </w:t>
      </w:r>
      <w:r w:rsidR="00485D90">
        <w:rPr>
          <w:lang w:val="en-US"/>
        </w:rPr>
        <w:t>menta</w:t>
      </w:r>
      <w:r w:rsidR="00823F92">
        <w:rPr>
          <w:lang w:val="en-US"/>
        </w:rPr>
        <w:t xml:space="preserve">l </w:t>
      </w:r>
      <w:r w:rsidR="00485D90">
        <w:rPr>
          <w:lang w:val="en-US"/>
        </w:rPr>
        <w:t>healt</w:t>
      </w:r>
      <w:r w:rsidR="00823F92">
        <w:rPr>
          <w:lang w:val="en-US"/>
        </w:rPr>
        <w:t xml:space="preserve">h </w:t>
      </w:r>
      <w:r w:rsidR="00485D90">
        <w:rPr>
          <w:lang w:val="en-US"/>
        </w:rPr>
        <w:t>workforc</w:t>
      </w:r>
      <w:r w:rsidR="00823F92">
        <w:rPr>
          <w:lang w:val="en-US"/>
        </w:rPr>
        <w:t xml:space="preserve">e </w:t>
      </w:r>
      <w:r w:rsidR="00485D90">
        <w:rPr>
          <w:lang w:val="en-US"/>
        </w:rPr>
        <w:t>suppl</w:t>
      </w:r>
      <w:r w:rsidR="00823F92">
        <w:rPr>
          <w:lang w:val="en-US"/>
        </w:rPr>
        <w:t xml:space="preserve">y </w:t>
      </w:r>
      <w:r w:rsidR="00D21D93">
        <w:rPr>
          <w:lang w:val="en-US"/>
        </w:rPr>
        <w:t>i</w:t>
      </w:r>
      <w:r w:rsidR="00823F92">
        <w:rPr>
          <w:lang w:val="en-US"/>
        </w:rPr>
        <w:t xml:space="preserve">s </w:t>
      </w:r>
      <w:r w:rsidR="00D21D93">
        <w:rPr>
          <w:lang w:val="en-US"/>
        </w:rPr>
        <w:t>i</w:t>
      </w:r>
      <w:r w:rsidR="00823F92">
        <w:rPr>
          <w:lang w:val="en-US"/>
        </w:rPr>
        <w:t xml:space="preserve">n </w:t>
      </w:r>
      <w:r w:rsidR="00C76E9C">
        <w:rPr>
          <w:lang w:val="en-US"/>
        </w:rPr>
        <w:t>live</w:t>
      </w:r>
      <w:r w:rsidR="00823F92">
        <w:rPr>
          <w:lang w:val="en-US"/>
        </w:rPr>
        <w:t xml:space="preserve">d </w:t>
      </w:r>
      <w:r w:rsidR="00C76E9C">
        <w:rPr>
          <w:lang w:val="en-US"/>
        </w:rPr>
        <w:t>experienc</w:t>
      </w:r>
      <w:r w:rsidR="00823F92">
        <w:rPr>
          <w:lang w:val="en-US"/>
        </w:rPr>
        <w:t xml:space="preserve">e </w:t>
      </w:r>
      <w:r w:rsidR="006804C3">
        <w:rPr>
          <w:lang w:val="en-US"/>
        </w:rPr>
        <w:t xml:space="preserve">(peer) </w:t>
      </w:r>
      <w:r w:rsidR="00C76E9C" w:rsidRPr="006D2538">
        <w:rPr>
          <w:lang w:val="en-US"/>
        </w:rPr>
        <w:t>worker</w:t>
      </w:r>
      <w:r w:rsidR="00823F92" w:rsidRPr="006D2538">
        <w:rPr>
          <w:lang w:val="en-US"/>
        </w:rPr>
        <w:t>s</w:t>
      </w:r>
      <w:r w:rsidR="00823F92">
        <w:rPr>
          <w:lang w:val="en-US"/>
        </w:rPr>
        <w:t xml:space="preserve"> </w:t>
      </w:r>
      <w:r w:rsidR="00C76E9C" w:rsidRPr="006D2538">
        <w:rPr>
          <w:lang w:val="en-US"/>
        </w:rPr>
        <w:t>(5% an</w:t>
      </w:r>
      <w:r w:rsidR="00823F92" w:rsidRPr="006D2538">
        <w:rPr>
          <w:lang w:val="en-US"/>
        </w:rPr>
        <w:t>d</w:t>
      </w:r>
      <w:r w:rsidR="00823F92">
        <w:rPr>
          <w:lang w:val="en-US"/>
        </w:rPr>
        <w:t xml:space="preserve"> </w:t>
      </w:r>
      <w:r w:rsidR="00C76E9C" w:rsidRPr="006D2538">
        <w:rPr>
          <w:lang w:val="en-US"/>
        </w:rPr>
        <w:t>14% o</w:t>
      </w:r>
      <w:r w:rsidR="00823F92" w:rsidRPr="006D2538">
        <w:rPr>
          <w:lang w:val="en-US"/>
        </w:rPr>
        <w:t>f</w:t>
      </w:r>
      <w:r w:rsidR="00823F92">
        <w:rPr>
          <w:lang w:val="en-US"/>
        </w:rPr>
        <w:t xml:space="preserve"> </w:t>
      </w:r>
      <w:r w:rsidR="00C76E9C" w:rsidRPr="006D2538">
        <w:rPr>
          <w:lang w:val="en-US"/>
        </w:rPr>
        <w:t>th</w:t>
      </w:r>
      <w:r w:rsidR="00823F92" w:rsidRPr="006D2538">
        <w:rPr>
          <w:lang w:val="en-US"/>
        </w:rPr>
        <w:t>e</w:t>
      </w:r>
      <w:r w:rsidR="00823F92">
        <w:rPr>
          <w:lang w:val="en-US"/>
        </w:rPr>
        <w:t xml:space="preserve"> </w:t>
      </w:r>
      <w:r w:rsidR="00C76E9C" w:rsidRPr="006D2538">
        <w:rPr>
          <w:lang w:val="en-US"/>
        </w:rPr>
        <w:t>NMHSP</w:t>
      </w:r>
      <w:r w:rsidR="00823F92" w:rsidRPr="006D2538">
        <w:rPr>
          <w:lang w:val="en-US"/>
        </w:rPr>
        <w:t>F</w:t>
      </w:r>
      <w:r w:rsidR="00823F92">
        <w:rPr>
          <w:lang w:val="en-US"/>
        </w:rPr>
        <w:t xml:space="preserve"> </w:t>
      </w:r>
      <w:r w:rsidR="00C76E9C" w:rsidRPr="006D2538">
        <w:rPr>
          <w:lang w:val="en-US"/>
        </w:rPr>
        <w:t>targe</w:t>
      </w:r>
      <w:r w:rsidR="00823F92" w:rsidRPr="006D2538">
        <w:rPr>
          <w:lang w:val="en-US"/>
        </w:rPr>
        <w:t>t</w:t>
      </w:r>
      <w:r w:rsidR="00823F92">
        <w:rPr>
          <w:lang w:val="en-US"/>
        </w:rPr>
        <w:t xml:space="preserve"> </w:t>
      </w:r>
      <w:r w:rsidR="00D27363">
        <w:rPr>
          <w:lang w:val="en-US"/>
        </w:rPr>
        <w:t>fo</w:t>
      </w:r>
      <w:r w:rsidR="00823F92">
        <w:rPr>
          <w:lang w:val="en-US"/>
        </w:rPr>
        <w:t xml:space="preserve">r </w:t>
      </w:r>
      <w:r w:rsidR="00D27363">
        <w:rPr>
          <w:lang w:val="en-US"/>
        </w:rPr>
        <w:t>consume</w:t>
      </w:r>
      <w:r w:rsidR="00823F92">
        <w:rPr>
          <w:lang w:val="en-US"/>
        </w:rPr>
        <w:t xml:space="preserve">r </w:t>
      </w:r>
      <w:r w:rsidR="00D27363">
        <w:rPr>
          <w:lang w:val="en-US"/>
        </w:rPr>
        <w:t>an</w:t>
      </w:r>
      <w:r w:rsidR="00823F92">
        <w:rPr>
          <w:lang w:val="en-US"/>
        </w:rPr>
        <w:t xml:space="preserve">d </w:t>
      </w:r>
      <w:proofErr w:type="spellStart"/>
      <w:r w:rsidR="00D27363">
        <w:rPr>
          <w:lang w:val="en-US"/>
        </w:rPr>
        <w:t>carer</w:t>
      </w:r>
      <w:r w:rsidR="00823F92">
        <w:rPr>
          <w:lang w:val="en-US"/>
        </w:rPr>
        <w:t>s</w:t>
      </w:r>
      <w:proofErr w:type="spellEnd"/>
      <w:r w:rsidR="00823F92">
        <w:rPr>
          <w:lang w:val="en-US"/>
        </w:rPr>
        <w:t xml:space="preserve"> </w:t>
      </w:r>
      <w:r w:rsidR="00C76E9C" w:rsidRPr="006D2538">
        <w:rPr>
          <w:lang w:val="en-US"/>
        </w:rPr>
        <w:t>respectively)</w:t>
      </w:r>
      <w:r w:rsidR="00823F92" w:rsidRPr="00330931">
        <w:rPr>
          <w:lang w:val="en-US"/>
        </w:rPr>
        <w:t>.</w:t>
      </w:r>
      <w:r w:rsidR="00823F92">
        <w:rPr>
          <w:lang w:val="en-US"/>
        </w:rPr>
        <w:t xml:space="preserve"> </w:t>
      </w:r>
      <w:r w:rsidR="00330931" w:rsidRPr="00330931">
        <w:rPr>
          <w:lang w:val="en-US"/>
        </w:rPr>
        <w:t>Th</w:t>
      </w:r>
      <w:r w:rsidR="00823F92" w:rsidRPr="00330931">
        <w:rPr>
          <w:lang w:val="en-US"/>
        </w:rPr>
        <w:t>e</w:t>
      </w:r>
      <w:r w:rsidR="00823F92">
        <w:rPr>
          <w:lang w:val="en-US"/>
        </w:rPr>
        <w:t xml:space="preserve"> </w:t>
      </w:r>
      <w:r w:rsidR="00330931" w:rsidRPr="00330931">
        <w:rPr>
          <w:lang w:val="en-US"/>
        </w:rPr>
        <w:t>201</w:t>
      </w:r>
      <w:r w:rsidR="00823F92" w:rsidRPr="00330931">
        <w:rPr>
          <w:lang w:val="en-US"/>
        </w:rPr>
        <w:t>9</w:t>
      </w:r>
      <w:r w:rsidR="00823F92">
        <w:rPr>
          <w:lang w:val="en-US"/>
        </w:rPr>
        <w:t xml:space="preserve"> </w:t>
      </w:r>
      <w:r w:rsidR="00330931" w:rsidRPr="00330931">
        <w:rPr>
          <w:lang w:val="en-US"/>
        </w:rPr>
        <w:t>NMHSP</w:t>
      </w:r>
      <w:r w:rsidR="00823F92" w:rsidRPr="00330931">
        <w:rPr>
          <w:lang w:val="en-US"/>
        </w:rPr>
        <w:t>F</w:t>
      </w:r>
      <w:r w:rsidR="00823F92">
        <w:rPr>
          <w:lang w:val="en-US"/>
        </w:rPr>
        <w:t xml:space="preserve"> </w:t>
      </w:r>
      <w:r w:rsidR="00330931" w:rsidRPr="00330931">
        <w:rPr>
          <w:lang w:val="en-US"/>
        </w:rPr>
        <w:t>targe</w:t>
      </w:r>
      <w:r w:rsidR="00823F92" w:rsidRPr="00330931">
        <w:rPr>
          <w:lang w:val="en-US"/>
        </w:rPr>
        <w:t>t</w:t>
      </w:r>
      <w:r w:rsidR="00823F92">
        <w:rPr>
          <w:lang w:val="en-US"/>
        </w:rPr>
        <w:t xml:space="preserve"> </w:t>
      </w:r>
      <w:r w:rsidR="00330931" w:rsidRPr="00330931">
        <w:rPr>
          <w:lang w:val="en-US"/>
        </w:rPr>
        <w:t>fo</w:t>
      </w:r>
      <w:r w:rsidR="00823F92" w:rsidRPr="00330931">
        <w:rPr>
          <w:lang w:val="en-US"/>
        </w:rPr>
        <w:t>r</w:t>
      </w:r>
      <w:r w:rsidR="00823F92">
        <w:rPr>
          <w:lang w:val="en-US"/>
        </w:rPr>
        <w:t xml:space="preserve"> </w:t>
      </w:r>
      <w:r w:rsidR="00330931" w:rsidRPr="00330931">
        <w:rPr>
          <w:lang w:val="en-US"/>
        </w:rPr>
        <w:t>pee</w:t>
      </w:r>
      <w:r w:rsidR="00823F92" w:rsidRPr="00330931">
        <w:rPr>
          <w:lang w:val="en-US"/>
        </w:rPr>
        <w:t>r</w:t>
      </w:r>
      <w:r w:rsidR="00823F92">
        <w:rPr>
          <w:lang w:val="en-US"/>
        </w:rPr>
        <w:t xml:space="preserve"> </w:t>
      </w:r>
      <w:r w:rsidR="00330931" w:rsidRPr="00330931">
        <w:rPr>
          <w:lang w:val="en-US"/>
        </w:rPr>
        <w:t>worker</w:t>
      </w:r>
      <w:r w:rsidR="00823F92" w:rsidRPr="00330931">
        <w:rPr>
          <w:lang w:val="en-US"/>
        </w:rPr>
        <w:t>s</w:t>
      </w:r>
      <w:r w:rsidR="00823F92">
        <w:rPr>
          <w:lang w:val="en-US"/>
        </w:rPr>
        <w:t xml:space="preserve"> </w:t>
      </w:r>
      <w:r w:rsidR="00330931" w:rsidRPr="00330931">
        <w:rPr>
          <w:lang w:val="en-US"/>
        </w:rPr>
        <w:t>i</w:t>
      </w:r>
      <w:r w:rsidR="00823F92" w:rsidRPr="00330931">
        <w:rPr>
          <w:lang w:val="en-US"/>
        </w:rPr>
        <w:t>s</w:t>
      </w:r>
      <w:r w:rsidR="00823F92">
        <w:rPr>
          <w:lang w:val="en-US"/>
        </w:rPr>
        <w:t xml:space="preserve"> </w:t>
      </w:r>
      <w:r w:rsidR="00330931" w:rsidRPr="00330931">
        <w:rPr>
          <w:lang w:val="en-US"/>
        </w:rPr>
        <w:t>4,23</w:t>
      </w:r>
      <w:r w:rsidR="00823F92" w:rsidRPr="00330931">
        <w:rPr>
          <w:lang w:val="en-US"/>
        </w:rPr>
        <w:t>8</w:t>
      </w:r>
      <w:r w:rsidR="00823F92">
        <w:rPr>
          <w:lang w:val="en-US"/>
        </w:rPr>
        <w:t xml:space="preserve"> </w:t>
      </w:r>
      <w:r w:rsidR="00330931" w:rsidRPr="00330931">
        <w:rPr>
          <w:lang w:val="en-US"/>
        </w:rPr>
        <w:t>an</w:t>
      </w:r>
      <w:r w:rsidR="00823F92" w:rsidRPr="00330931">
        <w:rPr>
          <w:lang w:val="en-US"/>
        </w:rPr>
        <w:t>d</w:t>
      </w:r>
      <w:r w:rsidR="00823F92">
        <w:rPr>
          <w:lang w:val="en-US"/>
        </w:rPr>
        <w:t xml:space="preserve"> </w:t>
      </w:r>
      <w:r w:rsidR="00330931" w:rsidRPr="00330931">
        <w:rPr>
          <w:lang w:val="en-US"/>
        </w:rPr>
        <w:t>t</w:t>
      </w:r>
      <w:r w:rsidR="002525AE" w:rsidRPr="00330931">
        <w:t>her</w:t>
      </w:r>
      <w:r w:rsidR="00823F92" w:rsidRPr="00330931">
        <w:t>e</w:t>
      </w:r>
      <w:r w:rsidR="00823F92">
        <w:t xml:space="preserve"> </w:t>
      </w:r>
      <w:r w:rsidR="002525AE" w:rsidRPr="00330931">
        <w:t>ar</w:t>
      </w:r>
      <w:r w:rsidR="00823F92" w:rsidRPr="00330931">
        <w:t>e</w:t>
      </w:r>
      <w:r w:rsidR="00823F92">
        <w:t xml:space="preserve"> </w:t>
      </w:r>
      <w:r w:rsidR="002525AE" w:rsidRPr="00330931">
        <w:t>currentl</w:t>
      </w:r>
      <w:r w:rsidR="00823F92" w:rsidRPr="00330931">
        <w:t>y</w:t>
      </w:r>
      <w:r w:rsidR="00823F92">
        <w:t xml:space="preserve"> </w:t>
      </w:r>
      <w:r w:rsidR="00FC62FB" w:rsidRPr="00330931">
        <w:t>a</w:t>
      </w:r>
      <w:r w:rsidR="00823F92" w:rsidRPr="00330931">
        <w:t>n</w:t>
      </w:r>
      <w:r w:rsidR="00823F92">
        <w:t xml:space="preserve"> </w:t>
      </w:r>
      <w:r w:rsidR="00FC62FB" w:rsidRPr="00330931">
        <w:t>estimate</w:t>
      </w:r>
      <w:r w:rsidR="00823F92" w:rsidRPr="00330931">
        <w:t>d</w:t>
      </w:r>
      <w:r w:rsidR="00823F92">
        <w:t xml:space="preserve"> </w:t>
      </w:r>
      <w:r w:rsidR="008E1E86">
        <w:t>26</w:t>
      </w:r>
      <w:r w:rsidR="00823F92">
        <w:t xml:space="preserve">4 </w:t>
      </w:r>
      <w:r w:rsidR="002525AE" w:rsidRPr="006C4490">
        <w:t>FT</w:t>
      </w:r>
      <w:r w:rsidR="00823F92" w:rsidRPr="006C4490">
        <w:t>E</w:t>
      </w:r>
      <w:r w:rsidR="00823F92">
        <w:t xml:space="preserve"> </w:t>
      </w:r>
      <w:r w:rsidR="002525AE">
        <w:t>live</w:t>
      </w:r>
      <w:r w:rsidR="00823F92">
        <w:t xml:space="preserve">d </w:t>
      </w:r>
      <w:r w:rsidR="002525AE">
        <w:t>experienc</w:t>
      </w:r>
      <w:r w:rsidR="00823F92">
        <w:t xml:space="preserve">e </w:t>
      </w:r>
      <w:r w:rsidR="002525AE">
        <w:t>(peer) worker</w:t>
      </w:r>
      <w:r w:rsidR="00823F92">
        <w:t xml:space="preserve">s </w:t>
      </w:r>
      <w:r w:rsidR="00D21D93">
        <w:t xml:space="preserve">– </w:t>
      </w:r>
      <w:r w:rsidR="00C76E9C">
        <w:t>18</w:t>
      </w:r>
      <w:r w:rsidR="00823F92">
        <w:t xml:space="preserve">4 </w:t>
      </w:r>
      <w:r w:rsidR="00C76E9C">
        <w:t>consume</w:t>
      </w:r>
      <w:r w:rsidR="00823F92">
        <w:t xml:space="preserve">r </w:t>
      </w:r>
      <w:r w:rsidR="00C76E9C">
        <w:t>an</w:t>
      </w:r>
      <w:r w:rsidR="00823F92">
        <w:t xml:space="preserve">d </w:t>
      </w:r>
      <w:r w:rsidR="00C76E9C">
        <w:t>7</w:t>
      </w:r>
      <w:r w:rsidR="00823F92">
        <w:t xml:space="preserve">9 </w:t>
      </w:r>
      <w:r w:rsidR="00C76E9C">
        <w:t>care</w:t>
      </w:r>
      <w:r w:rsidR="00823F92">
        <w:t xml:space="preserve">r </w:t>
      </w:r>
      <w:r w:rsidR="00C76E9C">
        <w:t>pee</w:t>
      </w:r>
      <w:r w:rsidR="00823F92">
        <w:t xml:space="preserve">r </w:t>
      </w:r>
      <w:r w:rsidR="00C76E9C">
        <w:t>workers</w:t>
      </w:r>
      <w:r w:rsidR="00823F92" w:rsidRPr="006C4490">
        <w:t>.</w:t>
      </w:r>
      <w:r w:rsidR="00823F92">
        <w:t xml:space="preserve"> </w:t>
      </w:r>
      <w:r w:rsidR="002525AE" w:rsidRPr="00C76E9C">
        <w:t>Live</w:t>
      </w:r>
      <w:r w:rsidR="00823F92" w:rsidRPr="00C76E9C">
        <w:t>d</w:t>
      </w:r>
      <w:r w:rsidR="00823F92">
        <w:t xml:space="preserve"> </w:t>
      </w:r>
      <w:r w:rsidR="002525AE" w:rsidRPr="00C76E9C">
        <w:t>experienc</w:t>
      </w:r>
      <w:r w:rsidR="00823F92" w:rsidRPr="00C76E9C">
        <w:t>e</w:t>
      </w:r>
      <w:r w:rsidR="00823F92">
        <w:t xml:space="preserve"> </w:t>
      </w:r>
      <w:r w:rsidR="002525AE" w:rsidRPr="00C76E9C">
        <w:t>(peer) worker</w:t>
      </w:r>
      <w:r w:rsidR="00823F92" w:rsidRPr="00C76E9C">
        <w:t>s</w:t>
      </w:r>
      <w:r w:rsidR="00823F92">
        <w:t xml:space="preserve"> </w:t>
      </w:r>
      <w:r w:rsidR="002525AE" w:rsidRPr="00C76E9C">
        <w:t>ar</w:t>
      </w:r>
      <w:r w:rsidR="00823F92" w:rsidRPr="00C76E9C">
        <w:t>e</w:t>
      </w:r>
      <w:r w:rsidR="00823F92">
        <w:t xml:space="preserve"> </w:t>
      </w:r>
      <w:r w:rsidR="002525AE" w:rsidRPr="00C76E9C">
        <w:t>a</w:t>
      </w:r>
      <w:r w:rsidR="00823F92" w:rsidRPr="00C76E9C">
        <w:t>n</w:t>
      </w:r>
      <w:r w:rsidR="00823F92">
        <w:t xml:space="preserve"> </w:t>
      </w:r>
      <w:r w:rsidR="002525AE" w:rsidRPr="00C76E9C">
        <w:t>emergin</w:t>
      </w:r>
      <w:r w:rsidR="00823F92" w:rsidRPr="00C76E9C">
        <w:t>g</w:t>
      </w:r>
      <w:r w:rsidR="00823F92">
        <w:t xml:space="preserve"> </w:t>
      </w:r>
      <w:r w:rsidR="002525AE" w:rsidRPr="00C76E9C">
        <w:t>workforc</w:t>
      </w:r>
      <w:r w:rsidR="00823F92" w:rsidRPr="00C76E9C">
        <w:t>e</w:t>
      </w:r>
      <w:r w:rsidR="00823F92">
        <w:t xml:space="preserve"> </w:t>
      </w:r>
      <w:r w:rsidR="002525AE" w:rsidRPr="00C76E9C">
        <w:t>an</w:t>
      </w:r>
      <w:r w:rsidR="00823F92" w:rsidRPr="00C76E9C">
        <w:t>d</w:t>
      </w:r>
      <w:r w:rsidR="00823F92">
        <w:t xml:space="preserve"> </w:t>
      </w:r>
      <w:r w:rsidR="00C76E9C">
        <w:t>i</w:t>
      </w:r>
      <w:r w:rsidR="00823F92">
        <w:t xml:space="preserve">s </w:t>
      </w:r>
      <w:r w:rsidR="002525AE" w:rsidRPr="00C76E9C">
        <w:t>expecte</w:t>
      </w:r>
      <w:r w:rsidR="00823F92" w:rsidRPr="00C76E9C">
        <w:t>d</w:t>
      </w:r>
      <w:r w:rsidR="00823F92">
        <w:t xml:space="preserve"> </w:t>
      </w:r>
      <w:r w:rsidR="002525AE" w:rsidRPr="00C76E9C">
        <w:t>t</w:t>
      </w:r>
      <w:r w:rsidR="00823F92" w:rsidRPr="00C76E9C">
        <w:t>o</w:t>
      </w:r>
      <w:r w:rsidR="00823F92">
        <w:t xml:space="preserve"> </w:t>
      </w:r>
      <w:r w:rsidR="002525AE" w:rsidRPr="00C76E9C">
        <w:t>gro</w:t>
      </w:r>
      <w:r w:rsidR="00823F92" w:rsidRPr="00C76E9C">
        <w:t>w</w:t>
      </w:r>
      <w:r w:rsidR="00823F92">
        <w:t xml:space="preserve"> </w:t>
      </w:r>
      <w:r w:rsidR="002525AE" w:rsidRPr="00C76E9C">
        <w:t>wit</w:t>
      </w:r>
      <w:r w:rsidR="00823F92" w:rsidRPr="00C76E9C">
        <w:t>h</w:t>
      </w:r>
      <w:r w:rsidR="00823F92">
        <w:t xml:space="preserve"> </w:t>
      </w:r>
      <w:r w:rsidR="002525AE" w:rsidRPr="00C76E9C">
        <w:t>increase</w:t>
      </w:r>
      <w:r w:rsidR="00823F92" w:rsidRPr="00C76E9C">
        <w:t>d</w:t>
      </w:r>
      <w:r w:rsidR="00823F92">
        <w:t xml:space="preserve"> </w:t>
      </w:r>
      <w:r w:rsidR="002525AE" w:rsidRPr="00C76E9C">
        <w:t>recognitio</w:t>
      </w:r>
      <w:r w:rsidR="00823F92" w:rsidRPr="00C76E9C">
        <w:t>n</w:t>
      </w:r>
      <w:r w:rsidR="00823F92">
        <w:t xml:space="preserve"> </w:t>
      </w:r>
      <w:r w:rsidR="003A54CF" w:rsidRPr="00C76E9C">
        <w:t>o</w:t>
      </w:r>
      <w:r w:rsidR="00823F92" w:rsidRPr="00C76E9C">
        <w:t>f</w:t>
      </w:r>
      <w:r w:rsidR="00823F92">
        <w:t xml:space="preserve"> </w:t>
      </w:r>
      <w:r w:rsidR="003A54CF" w:rsidRPr="00C76E9C">
        <w:t>th</w:t>
      </w:r>
      <w:r w:rsidR="00823F92" w:rsidRPr="00C76E9C">
        <w:t>e</w:t>
      </w:r>
      <w:r w:rsidR="00823F92">
        <w:t xml:space="preserve"> </w:t>
      </w:r>
      <w:r w:rsidR="002525AE" w:rsidRPr="00C76E9C">
        <w:t>valu</w:t>
      </w:r>
      <w:r w:rsidR="00823F92" w:rsidRPr="00C76E9C">
        <w:t>e</w:t>
      </w:r>
      <w:r w:rsidR="00823F92">
        <w:t xml:space="preserve"> </w:t>
      </w:r>
      <w:r w:rsidR="002525AE" w:rsidRPr="00C76E9C">
        <w:t>o</w:t>
      </w:r>
      <w:r w:rsidR="00823F92" w:rsidRPr="00C76E9C">
        <w:t>f</w:t>
      </w:r>
      <w:r w:rsidR="00823F92">
        <w:t xml:space="preserve"> </w:t>
      </w:r>
      <w:r w:rsidR="002525AE" w:rsidRPr="00C76E9C">
        <w:t>th</w:t>
      </w:r>
      <w:r w:rsidR="00823F92" w:rsidRPr="00C76E9C">
        <w:t>e</w:t>
      </w:r>
      <w:r w:rsidR="00823F92">
        <w:t xml:space="preserve"> </w:t>
      </w:r>
      <w:r w:rsidR="00F932F5">
        <w:t>occupation</w:t>
      </w:r>
      <w:r w:rsidR="00823F92" w:rsidRPr="00C76E9C">
        <w:t>.</w:t>
      </w:r>
      <w:r w:rsidR="00823F92">
        <w:t xml:space="preserve"> </w:t>
      </w:r>
    </w:p>
    <w:p w14:paraId="08E16C58" w14:textId="544BE68B" w:rsidR="00453F15" w:rsidRDefault="00453F15" w:rsidP="009245F1">
      <w:pPr>
        <w:pStyle w:val="Heading3"/>
      </w:pPr>
      <w:r w:rsidRPr="000E25B1">
        <w:lastRenderedPageBreak/>
        <w:t>Nurses</w:t>
      </w:r>
      <w:r w:rsidR="00823F92">
        <w:t xml:space="preserve">, </w:t>
      </w:r>
      <w:r w:rsidR="00BF3CBC">
        <w:t>nurs</w:t>
      </w:r>
      <w:r w:rsidR="00823F92">
        <w:t xml:space="preserve">e </w:t>
      </w:r>
      <w:r w:rsidR="00371BDA">
        <w:t>practitioner</w:t>
      </w:r>
      <w:r w:rsidR="00823F92">
        <w:t xml:space="preserve">s </w:t>
      </w:r>
      <w:r>
        <w:t>an</w:t>
      </w:r>
      <w:r w:rsidR="00823F92">
        <w:t xml:space="preserve">d </w:t>
      </w:r>
      <w:r w:rsidRPr="00C96363">
        <w:t>menta</w:t>
      </w:r>
      <w:r w:rsidR="00823F92" w:rsidRPr="00C96363">
        <w:t>l</w:t>
      </w:r>
      <w:r w:rsidR="00823F92">
        <w:t xml:space="preserve"> </w:t>
      </w:r>
      <w:r>
        <w:t>healt</w:t>
      </w:r>
      <w:r w:rsidR="00823F92">
        <w:t xml:space="preserve">h </w:t>
      </w:r>
      <w:r>
        <w:t>nurses</w:t>
      </w:r>
    </w:p>
    <w:p w14:paraId="0B067073" w14:textId="571B24C4" w:rsidR="005137B8" w:rsidRDefault="005137B8" w:rsidP="009245F1">
      <w:pPr>
        <w:pStyle w:val="BodyText"/>
        <w:keepNext/>
        <w:keepLines/>
        <w:rPr>
          <w:b/>
          <w:bCs/>
          <w:lang w:val="en-US"/>
        </w:rPr>
      </w:pPr>
      <w:r w:rsidRPr="009245F1">
        <w:rPr>
          <w:lang w:val="en-US"/>
        </w:rPr>
        <w:t>Role:</w:t>
      </w:r>
      <w:r w:rsidR="00130FA5" w:rsidRPr="00130FA5">
        <w:rPr>
          <w:lang w:val="en-US"/>
        </w:rPr>
        <w:t xml:space="preserve"> </w:t>
      </w:r>
      <w:r w:rsidR="00130FA5" w:rsidRPr="006C4490">
        <w:rPr>
          <w:lang w:val="en-US"/>
        </w:rPr>
        <w:t>Th</w:t>
      </w:r>
      <w:r w:rsidR="00823F92" w:rsidRPr="006C4490">
        <w:rPr>
          <w:lang w:val="en-US"/>
        </w:rPr>
        <w:t>e</w:t>
      </w:r>
      <w:r w:rsidR="00823F92">
        <w:rPr>
          <w:lang w:val="en-US"/>
        </w:rPr>
        <w:t xml:space="preserve"> </w:t>
      </w:r>
      <w:r w:rsidR="00130FA5" w:rsidRPr="006C4490">
        <w:rPr>
          <w:lang w:val="en-US"/>
        </w:rPr>
        <w:t>nursin</w:t>
      </w:r>
      <w:r w:rsidR="00823F92" w:rsidRPr="006C4490">
        <w:rPr>
          <w:lang w:val="en-US"/>
        </w:rPr>
        <w:t>g</w:t>
      </w:r>
      <w:r w:rsidR="00823F92">
        <w:rPr>
          <w:lang w:val="en-US"/>
        </w:rPr>
        <w:t xml:space="preserve"> </w:t>
      </w:r>
      <w:r w:rsidR="00130FA5" w:rsidRPr="006C4490">
        <w:rPr>
          <w:lang w:val="en-US"/>
        </w:rPr>
        <w:t>workforc</w:t>
      </w:r>
      <w:r w:rsidR="00823F92" w:rsidRPr="006C4490">
        <w:rPr>
          <w:lang w:val="en-US"/>
        </w:rPr>
        <w:t>e</w:t>
      </w:r>
      <w:r w:rsidR="00823F92">
        <w:rPr>
          <w:lang w:val="en-US"/>
        </w:rPr>
        <w:t xml:space="preserve"> </w:t>
      </w:r>
      <w:r w:rsidR="00130FA5" w:rsidRPr="006C4490">
        <w:rPr>
          <w:lang w:val="en-US"/>
        </w:rPr>
        <w:t>comprise</w:t>
      </w:r>
      <w:r w:rsidR="00823F92">
        <w:rPr>
          <w:lang w:val="en-US"/>
        </w:rPr>
        <w:t xml:space="preserve">s </w:t>
      </w:r>
      <w:r w:rsidR="00130FA5" w:rsidRPr="006C4490">
        <w:rPr>
          <w:lang w:val="en-US"/>
        </w:rPr>
        <w:t>registere</w:t>
      </w:r>
      <w:r w:rsidR="00823F92" w:rsidRPr="006C4490">
        <w:rPr>
          <w:lang w:val="en-US"/>
        </w:rPr>
        <w:t>d</w:t>
      </w:r>
      <w:r w:rsidR="00823F92">
        <w:rPr>
          <w:lang w:val="en-US"/>
        </w:rPr>
        <w:t xml:space="preserve"> </w:t>
      </w:r>
      <w:r w:rsidR="00130FA5" w:rsidRPr="006C4490">
        <w:rPr>
          <w:lang w:val="en-US"/>
        </w:rPr>
        <w:t>nurses</w:t>
      </w:r>
      <w:r w:rsidR="00823F92" w:rsidRPr="006C4490">
        <w:rPr>
          <w:lang w:val="en-US"/>
        </w:rPr>
        <w:t>,</w:t>
      </w:r>
      <w:r w:rsidR="00823F92">
        <w:rPr>
          <w:lang w:val="en-US"/>
        </w:rPr>
        <w:t xml:space="preserve"> </w:t>
      </w:r>
      <w:r w:rsidR="00BF3CBC" w:rsidRPr="006C4490">
        <w:rPr>
          <w:lang w:val="en-US"/>
        </w:rPr>
        <w:t>enrolle</w:t>
      </w:r>
      <w:r w:rsidR="00823F92" w:rsidRPr="006C4490">
        <w:rPr>
          <w:lang w:val="en-US"/>
        </w:rPr>
        <w:t>d</w:t>
      </w:r>
      <w:r w:rsidR="00823F92">
        <w:rPr>
          <w:lang w:val="en-US"/>
        </w:rPr>
        <w:t xml:space="preserve"> </w:t>
      </w:r>
      <w:r w:rsidR="00BF3CBC" w:rsidRPr="006C4490">
        <w:rPr>
          <w:lang w:val="en-US"/>
        </w:rPr>
        <w:t>nurses</w:t>
      </w:r>
      <w:r w:rsidR="00823F92">
        <w:rPr>
          <w:lang w:val="en-US"/>
        </w:rPr>
        <w:t xml:space="preserve">, </w:t>
      </w:r>
      <w:r w:rsidR="0033174F">
        <w:rPr>
          <w:lang w:val="en-US"/>
        </w:rPr>
        <w:t>nurs</w:t>
      </w:r>
      <w:r w:rsidR="00823F92">
        <w:rPr>
          <w:lang w:val="en-US"/>
        </w:rPr>
        <w:t xml:space="preserve">e </w:t>
      </w:r>
      <w:r w:rsidR="0033174F">
        <w:rPr>
          <w:lang w:val="en-US"/>
        </w:rPr>
        <w:t>practitioners</w:t>
      </w:r>
      <w:r w:rsidR="00823F92">
        <w:rPr>
          <w:lang w:val="en-US"/>
        </w:rPr>
        <w:t xml:space="preserve">, </w:t>
      </w:r>
      <w:r w:rsidR="00130FA5" w:rsidRPr="006C4490">
        <w:rPr>
          <w:lang w:val="en-US"/>
        </w:rPr>
        <w:t>an</w:t>
      </w:r>
      <w:r w:rsidR="00823F92" w:rsidRPr="006C4490">
        <w:rPr>
          <w:lang w:val="en-US"/>
        </w:rPr>
        <w:t>d</w:t>
      </w:r>
      <w:r w:rsidR="00823F92">
        <w:rPr>
          <w:lang w:val="en-US"/>
        </w:rPr>
        <w:t xml:space="preserve"> </w:t>
      </w:r>
      <w:r w:rsidR="00130FA5" w:rsidRPr="006C4490">
        <w:rPr>
          <w:lang w:val="en-US"/>
        </w:rPr>
        <w:t>credentialle</w:t>
      </w:r>
      <w:r w:rsidR="00823F92" w:rsidRPr="006C4490">
        <w:rPr>
          <w:lang w:val="en-US"/>
        </w:rPr>
        <w:t>d</w:t>
      </w:r>
      <w:r w:rsidR="00823F92">
        <w:rPr>
          <w:lang w:val="en-US"/>
        </w:rPr>
        <w:t xml:space="preserve"> </w:t>
      </w:r>
      <w:r w:rsidR="00130FA5" w:rsidRPr="006C4490">
        <w:rPr>
          <w:lang w:val="en-US"/>
        </w:rPr>
        <w:t>menta</w:t>
      </w:r>
      <w:r w:rsidR="00823F92" w:rsidRPr="006C4490">
        <w:rPr>
          <w:lang w:val="en-US"/>
        </w:rPr>
        <w:t>l</w:t>
      </w:r>
      <w:r w:rsidR="00823F92">
        <w:rPr>
          <w:lang w:val="en-US"/>
        </w:rPr>
        <w:t xml:space="preserve"> </w:t>
      </w:r>
      <w:r w:rsidR="00130FA5" w:rsidRPr="006C4490">
        <w:rPr>
          <w:lang w:val="en-US"/>
        </w:rPr>
        <w:t>healt</w:t>
      </w:r>
      <w:r w:rsidR="00823F92" w:rsidRPr="006C4490">
        <w:rPr>
          <w:lang w:val="en-US"/>
        </w:rPr>
        <w:t>h</w:t>
      </w:r>
      <w:r w:rsidR="00823F92">
        <w:rPr>
          <w:lang w:val="en-US"/>
        </w:rPr>
        <w:t xml:space="preserve"> </w:t>
      </w:r>
      <w:r w:rsidR="00130FA5" w:rsidRPr="006C4490">
        <w:rPr>
          <w:lang w:val="en-US"/>
        </w:rPr>
        <w:t>nurses</w:t>
      </w:r>
      <w:r w:rsidR="00823F92" w:rsidRPr="006C4490">
        <w:rPr>
          <w:lang w:val="en-US"/>
        </w:rPr>
        <w:t>.</w:t>
      </w:r>
      <w:r w:rsidR="00823F92">
        <w:rPr>
          <w:lang w:val="en-US"/>
        </w:rPr>
        <w:t xml:space="preserve"> </w:t>
      </w:r>
      <w:r w:rsidR="00130FA5" w:rsidRPr="006C4490">
        <w:rPr>
          <w:lang w:val="en-US"/>
        </w:rPr>
        <w:t>Th</w:t>
      </w:r>
      <w:r w:rsidR="00823F92" w:rsidRPr="006C4490">
        <w:rPr>
          <w:lang w:val="en-US"/>
        </w:rPr>
        <w:t>e</w:t>
      </w:r>
      <w:r w:rsidR="00823F92">
        <w:rPr>
          <w:lang w:val="en-US"/>
        </w:rPr>
        <w:t xml:space="preserve"> </w:t>
      </w:r>
      <w:r w:rsidR="00130FA5" w:rsidRPr="006C4490">
        <w:rPr>
          <w:lang w:val="en-US"/>
        </w:rPr>
        <w:t>nursin</w:t>
      </w:r>
      <w:r w:rsidR="00823F92" w:rsidRPr="006C4490">
        <w:rPr>
          <w:lang w:val="en-US"/>
        </w:rPr>
        <w:t>g</w:t>
      </w:r>
      <w:r w:rsidR="00823F92">
        <w:rPr>
          <w:lang w:val="en-US"/>
        </w:rPr>
        <w:t xml:space="preserve"> </w:t>
      </w:r>
      <w:r w:rsidR="00130FA5" w:rsidRPr="006C4490">
        <w:rPr>
          <w:lang w:val="en-US"/>
        </w:rPr>
        <w:t>workforc</w:t>
      </w:r>
      <w:r w:rsidR="00823F92" w:rsidRPr="006C4490">
        <w:rPr>
          <w:lang w:val="en-US"/>
        </w:rPr>
        <w:t>e</w:t>
      </w:r>
      <w:r w:rsidR="00823F92">
        <w:rPr>
          <w:lang w:val="en-US"/>
        </w:rPr>
        <w:t xml:space="preserve"> </w:t>
      </w:r>
      <w:r w:rsidR="00130FA5" w:rsidRPr="006C4490">
        <w:rPr>
          <w:lang w:val="en-US"/>
        </w:rPr>
        <w:t>regularl</w:t>
      </w:r>
      <w:r w:rsidR="00823F92" w:rsidRPr="006C4490">
        <w:rPr>
          <w:lang w:val="en-US"/>
        </w:rPr>
        <w:t>y</w:t>
      </w:r>
      <w:r w:rsidR="00823F92">
        <w:rPr>
          <w:lang w:val="en-US"/>
        </w:rPr>
        <w:t xml:space="preserve"> </w:t>
      </w:r>
      <w:r w:rsidR="00130FA5" w:rsidRPr="006C4490">
        <w:rPr>
          <w:lang w:val="en-US"/>
        </w:rPr>
        <w:t>interact</w:t>
      </w:r>
      <w:r w:rsidR="00823F92" w:rsidRPr="006C4490">
        <w:rPr>
          <w:lang w:val="en-US"/>
        </w:rPr>
        <w:t>s</w:t>
      </w:r>
      <w:r w:rsidR="00823F92">
        <w:rPr>
          <w:lang w:val="en-US"/>
        </w:rPr>
        <w:t xml:space="preserve"> </w:t>
      </w:r>
      <w:r w:rsidR="00130FA5" w:rsidRPr="006C4490">
        <w:rPr>
          <w:lang w:val="en-US"/>
        </w:rPr>
        <w:t>wit</w:t>
      </w:r>
      <w:r w:rsidR="00823F92" w:rsidRPr="006C4490">
        <w:rPr>
          <w:lang w:val="en-US"/>
        </w:rPr>
        <w:t>h</w:t>
      </w:r>
      <w:r w:rsidR="00823F92">
        <w:rPr>
          <w:lang w:val="en-US"/>
        </w:rPr>
        <w:t xml:space="preserve"> </w:t>
      </w:r>
      <w:r w:rsidR="00130FA5" w:rsidRPr="006C4490">
        <w:rPr>
          <w:lang w:val="en-US"/>
        </w:rPr>
        <w:t>an</w:t>
      </w:r>
      <w:r w:rsidR="00823F92" w:rsidRPr="006C4490">
        <w:rPr>
          <w:lang w:val="en-US"/>
        </w:rPr>
        <w:t>d</w:t>
      </w:r>
      <w:r w:rsidR="00823F92">
        <w:rPr>
          <w:lang w:val="en-US"/>
        </w:rPr>
        <w:t xml:space="preserve"> </w:t>
      </w:r>
      <w:r w:rsidR="00130FA5" w:rsidRPr="006C4490">
        <w:rPr>
          <w:lang w:val="en-US"/>
        </w:rPr>
        <w:t>support</w:t>
      </w:r>
      <w:r w:rsidR="00823F92" w:rsidRPr="006C4490">
        <w:rPr>
          <w:lang w:val="en-US"/>
        </w:rPr>
        <w:t>s</w:t>
      </w:r>
      <w:r w:rsidR="00823F92">
        <w:rPr>
          <w:lang w:val="en-US"/>
        </w:rPr>
        <w:t xml:space="preserve"> </w:t>
      </w:r>
      <w:r w:rsidR="00130FA5" w:rsidRPr="006C4490">
        <w:rPr>
          <w:lang w:val="en-US"/>
        </w:rPr>
        <w:t>peopl</w:t>
      </w:r>
      <w:r w:rsidR="00823F92" w:rsidRPr="006C4490">
        <w:rPr>
          <w:lang w:val="en-US"/>
        </w:rPr>
        <w:t>e</w:t>
      </w:r>
      <w:r w:rsidR="00823F92">
        <w:rPr>
          <w:lang w:val="en-US"/>
        </w:rPr>
        <w:t xml:space="preserve"> </w:t>
      </w:r>
      <w:r w:rsidR="00130FA5" w:rsidRPr="006C4490">
        <w:rPr>
          <w:lang w:val="en-US"/>
        </w:rPr>
        <w:t>experiencin</w:t>
      </w:r>
      <w:r w:rsidR="00823F92" w:rsidRPr="006C4490">
        <w:rPr>
          <w:lang w:val="en-US"/>
        </w:rPr>
        <w:t>g</w:t>
      </w:r>
      <w:r w:rsidR="00823F92">
        <w:rPr>
          <w:lang w:val="en-US"/>
        </w:rPr>
        <w:t xml:space="preserve"> </w:t>
      </w:r>
      <w:r w:rsidR="00130FA5" w:rsidRPr="006C4490">
        <w:rPr>
          <w:lang w:val="en-US"/>
        </w:rPr>
        <w:t>menta</w:t>
      </w:r>
      <w:r w:rsidR="00823F92" w:rsidRPr="006C4490">
        <w:rPr>
          <w:lang w:val="en-US"/>
        </w:rPr>
        <w:t>l</w:t>
      </w:r>
      <w:r w:rsidR="00823F92">
        <w:rPr>
          <w:lang w:val="en-US"/>
        </w:rPr>
        <w:t xml:space="preserve"> </w:t>
      </w:r>
      <w:r w:rsidR="00130FA5" w:rsidRPr="006C4490">
        <w:rPr>
          <w:lang w:val="en-US"/>
        </w:rPr>
        <w:t>distres</w:t>
      </w:r>
      <w:r w:rsidR="00823F92" w:rsidRPr="006C4490">
        <w:rPr>
          <w:lang w:val="en-US"/>
        </w:rPr>
        <w:t>s</w:t>
      </w:r>
      <w:r w:rsidR="00823F92">
        <w:rPr>
          <w:lang w:val="en-US"/>
        </w:rPr>
        <w:t xml:space="preserve"> </w:t>
      </w:r>
      <w:r w:rsidR="00130FA5" w:rsidRPr="006C4490">
        <w:rPr>
          <w:lang w:val="en-US"/>
        </w:rPr>
        <w:t>and/o</w:t>
      </w:r>
      <w:r w:rsidR="00823F92" w:rsidRPr="006C4490">
        <w:rPr>
          <w:lang w:val="en-US"/>
        </w:rPr>
        <w:t>r</w:t>
      </w:r>
      <w:r w:rsidR="00823F92">
        <w:rPr>
          <w:lang w:val="en-US"/>
        </w:rPr>
        <w:t xml:space="preserve"> </w:t>
      </w:r>
      <w:r w:rsidR="00130FA5" w:rsidRPr="006C4490">
        <w:rPr>
          <w:lang w:val="en-US"/>
        </w:rPr>
        <w:t>ill-health</w:t>
      </w:r>
      <w:r w:rsidR="00823F92" w:rsidRPr="006C4490">
        <w:rPr>
          <w:lang w:val="en-US"/>
        </w:rPr>
        <w:t>,</w:t>
      </w:r>
      <w:r w:rsidR="00823F92">
        <w:rPr>
          <w:lang w:val="en-US"/>
        </w:rPr>
        <w:t xml:space="preserve"> </w:t>
      </w:r>
      <w:r w:rsidR="00130FA5" w:rsidRPr="006C4490">
        <w:rPr>
          <w:lang w:val="en-US"/>
        </w:rPr>
        <w:t>whethe</w:t>
      </w:r>
      <w:r w:rsidR="00823F92" w:rsidRPr="006C4490">
        <w:rPr>
          <w:lang w:val="en-US"/>
        </w:rPr>
        <w:t>r</w:t>
      </w:r>
      <w:r w:rsidR="00823F92">
        <w:rPr>
          <w:lang w:val="en-US"/>
        </w:rPr>
        <w:t xml:space="preserve"> </w:t>
      </w:r>
      <w:r w:rsidR="00130FA5" w:rsidRPr="006C4490">
        <w:rPr>
          <w:lang w:val="en-US"/>
        </w:rPr>
        <w:t>the</w:t>
      </w:r>
      <w:r w:rsidR="00823F92" w:rsidRPr="006C4490">
        <w:rPr>
          <w:lang w:val="en-US"/>
        </w:rPr>
        <w:t>y</w:t>
      </w:r>
      <w:r w:rsidR="00823F92">
        <w:rPr>
          <w:lang w:val="en-US"/>
        </w:rPr>
        <w:t xml:space="preserve"> </w:t>
      </w:r>
      <w:r w:rsidR="00130FA5" w:rsidRPr="006C4490">
        <w:rPr>
          <w:lang w:val="en-US"/>
        </w:rPr>
        <w:t>wor</w:t>
      </w:r>
      <w:r w:rsidR="00823F92" w:rsidRPr="006C4490">
        <w:rPr>
          <w:lang w:val="en-US"/>
        </w:rPr>
        <w:t>k</w:t>
      </w:r>
      <w:r w:rsidR="00823F92">
        <w:rPr>
          <w:lang w:val="en-US"/>
        </w:rPr>
        <w:t xml:space="preserve"> </w:t>
      </w:r>
      <w:r w:rsidR="00130FA5" w:rsidRPr="006C4490">
        <w:rPr>
          <w:lang w:val="en-US"/>
        </w:rPr>
        <w:t>i</w:t>
      </w:r>
      <w:r w:rsidR="00823F92" w:rsidRPr="006C4490">
        <w:rPr>
          <w:lang w:val="en-US"/>
        </w:rPr>
        <w:t>n</w:t>
      </w:r>
      <w:r w:rsidR="00823F92">
        <w:rPr>
          <w:lang w:val="en-US"/>
        </w:rPr>
        <w:t xml:space="preserve"> </w:t>
      </w:r>
      <w:proofErr w:type="spellStart"/>
      <w:r w:rsidR="00130FA5" w:rsidRPr="006C4490">
        <w:rPr>
          <w:lang w:val="en-US"/>
        </w:rPr>
        <w:t>specialise</w:t>
      </w:r>
      <w:r w:rsidR="00823F92" w:rsidRPr="006C4490">
        <w:rPr>
          <w:lang w:val="en-US"/>
        </w:rPr>
        <w:t>d</w:t>
      </w:r>
      <w:proofErr w:type="spellEnd"/>
      <w:r w:rsidR="00823F92">
        <w:rPr>
          <w:lang w:val="en-US"/>
        </w:rPr>
        <w:t xml:space="preserve"> </w:t>
      </w:r>
      <w:r w:rsidR="00130FA5" w:rsidRPr="006C4490">
        <w:rPr>
          <w:lang w:val="en-US"/>
        </w:rPr>
        <w:t>menta</w:t>
      </w:r>
      <w:r w:rsidR="00823F92" w:rsidRPr="006C4490">
        <w:rPr>
          <w:lang w:val="en-US"/>
        </w:rPr>
        <w:t>l</w:t>
      </w:r>
      <w:r w:rsidR="00823F92">
        <w:rPr>
          <w:lang w:val="en-US"/>
        </w:rPr>
        <w:t xml:space="preserve"> </w:t>
      </w:r>
      <w:r w:rsidR="00130FA5" w:rsidRPr="006C4490">
        <w:rPr>
          <w:lang w:val="en-US"/>
        </w:rPr>
        <w:t>healt</w:t>
      </w:r>
      <w:r w:rsidR="00823F92" w:rsidRPr="006C4490">
        <w:rPr>
          <w:lang w:val="en-US"/>
        </w:rPr>
        <w:t>h</w:t>
      </w:r>
      <w:r w:rsidR="00823F92">
        <w:rPr>
          <w:lang w:val="en-US"/>
        </w:rPr>
        <w:t xml:space="preserve"> </w:t>
      </w:r>
      <w:r w:rsidR="00130FA5" w:rsidRPr="006C4490">
        <w:rPr>
          <w:lang w:val="en-US"/>
        </w:rPr>
        <w:t>setting</w:t>
      </w:r>
      <w:r w:rsidR="00823F92" w:rsidRPr="006C4490">
        <w:rPr>
          <w:lang w:val="en-US"/>
        </w:rPr>
        <w:t>s</w:t>
      </w:r>
      <w:r w:rsidR="00823F92">
        <w:rPr>
          <w:lang w:val="en-US"/>
        </w:rPr>
        <w:t xml:space="preserve"> </w:t>
      </w:r>
      <w:r w:rsidR="00130FA5" w:rsidRPr="006C4490">
        <w:rPr>
          <w:lang w:val="en-US"/>
        </w:rPr>
        <w:t>o</w:t>
      </w:r>
      <w:r w:rsidR="00823F92" w:rsidRPr="006C4490">
        <w:rPr>
          <w:lang w:val="en-US"/>
        </w:rPr>
        <w:t>r</w:t>
      </w:r>
      <w:r w:rsidR="00823F92">
        <w:rPr>
          <w:lang w:val="en-US"/>
        </w:rPr>
        <w:t xml:space="preserve"> </w:t>
      </w:r>
      <w:r w:rsidR="00130FA5" w:rsidRPr="006C4490">
        <w:rPr>
          <w:lang w:val="en-US"/>
        </w:rPr>
        <w:t>not.</w:t>
      </w:r>
    </w:p>
    <w:p w14:paraId="00333EDB" w14:textId="56D55AC7" w:rsidR="00130FA5" w:rsidRPr="00003486" w:rsidRDefault="005137B8" w:rsidP="009245F1">
      <w:pPr>
        <w:pStyle w:val="BodyText"/>
        <w:keepNext/>
        <w:keepLines/>
        <w:rPr>
          <w:lang w:val="en-US"/>
        </w:rPr>
      </w:pPr>
      <w:r w:rsidRPr="009245F1">
        <w:rPr>
          <w:lang w:val="en-US"/>
        </w:rPr>
        <w:t>Setting:</w:t>
      </w:r>
      <w:r>
        <w:rPr>
          <w:b/>
          <w:bCs/>
          <w:lang w:val="en-US"/>
        </w:rPr>
        <w:t xml:space="preserve"> </w:t>
      </w:r>
      <w:r w:rsidR="00BF3CBC" w:rsidRPr="00830EBA">
        <w:rPr>
          <w:lang w:val="en-US"/>
        </w:rPr>
        <w:t>Registere</w:t>
      </w:r>
      <w:r w:rsidR="00823F92" w:rsidRPr="00830EBA">
        <w:rPr>
          <w:lang w:val="en-US"/>
        </w:rPr>
        <w:t>d</w:t>
      </w:r>
      <w:r w:rsidR="00823F92">
        <w:rPr>
          <w:lang w:val="en-US"/>
        </w:rPr>
        <w:t xml:space="preserve"> </w:t>
      </w:r>
      <w:r w:rsidR="00A4165F">
        <w:rPr>
          <w:lang w:val="en-US"/>
        </w:rPr>
        <w:t>a</w:t>
      </w:r>
      <w:r w:rsidR="00823F92">
        <w:rPr>
          <w:lang w:val="en-US"/>
        </w:rPr>
        <w:t xml:space="preserve">n </w:t>
      </w:r>
      <w:r w:rsidR="00BF3CBC" w:rsidRPr="00830EBA">
        <w:rPr>
          <w:lang w:val="en-US"/>
        </w:rPr>
        <w:t>enrolle</w:t>
      </w:r>
      <w:r w:rsidR="00823F92" w:rsidRPr="00830EBA">
        <w:rPr>
          <w:lang w:val="en-US"/>
        </w:rPr>
        <w:t>d</w:t>
      </w:r>
      <w:r w:rsidR="00823F92">
        <w:rPr>
          <w:lang w:val="en-US"/>
        </w:rPr>
        <w:t xml:space="preserve"> </w:t>
      </w:r>
      <w:r w:rsidR="00BF3CBC" w:rsidRPr="00830EBA">
        <w:rPr>
          <w:lang w:val="en-US"/>
        </w:rPr>
        <w:t>nurse</w:t>
      </w:r>
      <w:r w:rsidR="00823F92" w:rsidRPr="00830EBA">
        <w:rPr>
          <w:lang w:val="en-US"/>
        </w:rPr>
        <w:t>s</w:t>
      </w:r>
      <w:r w:rsidR="00823F92">
        <w:rPr>
          <w:lang w:val="en-US"/>
        </w:rPr>
        <w:t xml:space="preserve"> </w:t>
      </w:r>
      <w:r w:rsidR="00A4165F">
        <w:rPr>
          <w:lang w:val="en-US"/>
        </w:rPr>
        <w:t>an</w:t>
      </w:r>
      <w:r w:rsidR="00823F92">
        <w:rPr>
          <w:lang w:val="en-US"/>
        </w:rPr>
        <w:t xml:space="preserve">d </w:t>
      </w:r>
      <w:r w:rsidR="00A4165F">
        <w:rPr>
          <w:lang w:val="en-US"/>
        </w:rPr>
        <w:t>nurs</w:t>
      </w:r>
      <w:r w:rsidR="00823F92">
        <w:rPr>
          <w:lang w:val="en-US"/>
        </w:rPr>
        <w:t xml:space="preserve">e </w:t>
      </w:r>
      <w:r w:rsidR="00A4165F">
        <w:rPr>
          <w:lang w:val="en-US"/>
        </w:rPr>
        <w:t>practitioner</w:t>
      </w:r>
      <w:r w:rsidR="00823F92">
        <w:rPr>
          <w:lang w:val="en-US"/>
        </w:rPr>
        <w:t xml:space="preserve">s </w:t>
      </w:r>
      <w:r w:rsidR="00BF3CBC" w:rsidRPr="00830EBA">
        <w:rPr>
          <w:lang w:val="en-US"/>
        </w:rPr>
        <w:t>wor</w:t>
      </w:r>
      <w:r w:rsidR="00823F92" w:rsidRPr="00830EBA">
        <w:rPr>
          <w:lang w:val="en-US"/>
        </w:rPr>
        <w:t>k</w:t>
      </w:r>
      <w:r w:rsidR="00823F92">
        <w:rPr>
          <w:lang w:val="en-US"/>
        </w:rPr>
        <w:t xml:space="preserve"> </w:t>
      </w:r>
      <w:r w:rsidR="00BF3CBC" w:rsidRPr="00830EBA">
        <w:rPr>
          <w:lang w:val="en-US"/>
        </w:rPr>
        <w:t>acros</w:t>
      </w:r>
      <w:r w:rsidR="00823F92" w:rsidRPr="00830EBA">
        <w:rPr>
          <w:lang w:val="en-US"/>
        </w:rPr>
        <w:t>s</w:t>
      </w:r>
      <w:r w:rsidR="00823F92">
        <w:rPr>
          <w:lang w:val="en-US"/>
        </w:rPr>
        <w:t xml:space="preserve"> </w:t>
      </w:r>
      <w:r w:rsidR="00823F92" w:rsidRPr="00830EBA">
        <w:rPr>
          <w:lang w:val="en-US"/>
        </w:rPr>
        <w:t>a</w:t>
      </w:r>
      <w:r w:rsidR="00823F92">
        <w:rPr>
          <w:lang w:val="en-US"/>
        </w:rPr>
        <w:t xml:space="preserve"> </w:t>
      </w:r>
      <w:r w:rsidR="00BF3CBC" w:rsidRPr="00830EBA">
        <w:rPr>
          <w:lang w:val="en-US"/>
        </w:rPr>
        <w:t>wid</w:t>
      </w:r>
      <w:r w:rsidR="00823F92" w:rsidRPr="00830EBA">
        <w:rPr>
          <w:lang w:val="en-US"/>
        </w:rPr>
        <w:t>e</w:t>
      </w:r>
      <w:r w:rsidR="00823F92">
        <w:rPr>
          <w:lang w:val="en-US"/>
        </w:rPr>
        <w:t xml:space="preserve"> </w:t>
      </w:r>
      <w:r w:rsidR="00BF3CBC" w:rsidRPr="00830EBA">
        <w:rPr>
          <w:lang w:val="en-US"/>
        </w:rPr>
        <w:t>variet</w:t>
      </w:r>
      <w:r w:rsidR="00823F92" w:rsidRPr="00830EBA">
        <w:rPr>
          <w:lang w:val="en-US"/>
        </w:rPr>
        <w:t>y</w:t>
      </w:r>
      <w:r w:rsidR="00823F92">
        <w:rPr>
          <w:lang w:val="en-US"/>
        </w:rPr>
        <w:t xml:space="preserve"> </w:t>
      </w:r>
      <w:r w:rsidR="00BF3CBC" w:rsidRPr="00830EBA">
        <w:rPr>
          <w:lang w:val="en-US"/>
        </w:rPr>
        <w:t>o</w:t>
      </w:r>
      <w:r w:rsidR="00823F92" w:rsidRPr="00830EBA">
        <w:rPr>
          <w:lang w:val="en-US"/>
        </w:rPr>
        <w:t>f</w:t>
      </w:r>
      <w:r w:rsidR="00823F92">
        <w:rPr>
          <w:lang w:val="en-US"/>
        </w:rPr>
        <w:t xml:space="preserve"> </w:t>
      </w:r>
      <w:r w:rsidR="00BF3CBC" w:rsidRPr="00830EBA">
        <w:rPr>
          <w:lang w:val="en-US"/>
        </w:rPr>
        <w:t>setting</w:t>
      </w:r>
      <w:r w:rsidR="00823F92" w:rsidRPr="00830EBA">
        <w:rPr>
          <w:lang w:val="en-US"/>
        </w:rPr>
        <w:t>s</w:t>
      </w:r>
      <w:r w:rsidR="00823F92">
        <w:rPr>
          <w:lang w:val="en-US"/>
        </w:rPr>
        <w:t xml:space="preserve"> </w:t>
      </w:r>
      <w:r w:rsidR="00BF3CBC" w:rsidRPr="00830EBA">
        <w:rPr>
          <w:lang w:val="en-US"/>
        </w:rPr>
        <w:t>includ</w:t>
      </w:r>
      <w:r w:rsidR="00823F92" w:rsidRPr="00830EBA">
        <w:rPr>
          <w:lang w:val="en-US"/>
        </w:rPr>
        <w:t>e</w:t>
      </w:r>
      <w:r w:rsidR="00823F92">
        <w:rPr>
          <w:lang w:val="en-US"/>
        </w:rPr>
        <w:t xml:space="preserve"> </w:t>
      </w:r>
      <w:r w:rsidR="00BF3CBC" w:rsidRPr="00830EBA">
        <w:rPr>
          <w:lang w:val="en-US"/>
        </w:rPr>
        <w:t>public</w:t>
      </w:r>
      <w:r w:rsidR="00823F92">
        <w:rPr>
          <w:lang w:val="en-US"/>
        </w:rPr>
        <w:t xml:space="preserve">, </w:t>
      </w:r>
      <w:r w:rsidR="00A4165F">
        <w:rPr>
          <w:lang w:val="en-US"/>
        </w:rPr>
        <w:t>communit</w:t>
      </w:r>
      <w:r w:rsidR="00823F92">
        <w:rPr>
          <w:lang w:val="en-US"/>
        </w:rPr>
        <w:t xml:space="preserve">y </w:t>
      </w:r>
      <w:r w:rsidR="00A4165F">
        <w:rPr>
          <w:lang w:val="en-US"/>
        </w:rPr>
        <w:t>an</w:t>
      </w:r>
      <w:r w:rsidR="00823F92">
        <w:rPr>
          <w:lang w:val="en-US"/>
        </w:rPr>
        <w:t xml:space="preserve">d </w:t>
      </w:r>
      <w:r w:rsidR="00BF3CBC" w:rsidRPr="00830EBA">
        <w:rPr>
          <w:lang w:val="en-US"/>
        </w:rPr>
        <w:t>privat</w:t>
      </w:r>
      <w:r w:rsidR="00823F92" w:rsidRPr="00830EBA">
        <w:rPr>
          <w:lang w:val="en-US"/>
        </w:rPr>
        <w:t>e</w:t>
      </w:r>
      <w:r w:rsidR="00823F92">
        <w:rPr>
          <w:lang w:val="en-US"/>
        </w:rPr>
        <w:t xml:space="preserve"> </w:t>
      </w:r>
      <w:r w:rsidR="00BF3CBC" w:rsidRPr="00830EBA">
        <w:rPr>
          <w:lang w:val="en-US"/>
        </w:rPr>
        <w:t>settings</w:t>
      </w:r>
      <w:r w:rsidR="00823F92" w:rsidRPr="00830EBA">
        <w:rPr>
          <w:lang w:val="en-US"/>
        </w:rPr>
        <w:t>.</w:t>
      </w:r>
      <w:r w:rsidR="00823F92">
        <w:rPr>
          <w:lang w:val="en-US"/>
        </w:rPr>
        <w:t xml:space="preserve"> </w:t>
      </w:r>
      <w:r w:rsidR="00130FA5">
        <w:rPr>
          <w:lang w:val="en-US"/>
        </w:rPr>
        <w:t>Mos</w:t>
      </w:r>
      <w:r w:rsidR="00823F92">
        <w:rPr>
          <w:lang w:val="en-US"/>
        </w:rPr>
        <w:t xml:space="preserve">t </w:t>
      </w:r>
      <w:r w:rsidR="00130FA5" w:rsidRPr="006C6204">
        <w:rPr>
          <w:lang w:val="en-US"/>
        </w:rPr>
        <w:t>menta</w:t>
      </w:r>
      <w:r w:rsidR="00823F92" w:rsidRPr="006C6204">
        <w:rPr>
          <w:lang w:val="en-US"/>
        </w:rPr>
        <w:t>l</w:t>
      </w:r>
      <w:r w:rsidR="00823F92">
        <w:rPr>
          <w:lang w:val="en-US"/>
        </w:rPr>
        <w:t xml:space="preserve"> </w:t>
      </w:r>
      <w:r w:rsidR="00130FA5" w:rsidRPr="006C6204">
        <w:rPr>
          <w:lang w:val="en-US"/>
        </w:rPr>
        <w:t>healt</w:t>
      </w:r>
      <w:r w:rsidR="00823F92" w:rsidRPr="006C6204">
        <w:rPr>
          <w:lang w:val="en-US"/>
        </w:rPr>
        <w:t>h</w:t>
      </w:r>
      <w:r w:rsidR="00823F92">
        <w:rPr>
          <w:lang w:val="en-US"/>
        </w:rPr>
        <w:t xml:space="preserve"> </w:t>
      </w:r>
      <w:r w:rsidR="00130FA5" w:rsidRPr="006C6204">
        <w:rPr>
          <w:lang w:val="en-US"/>
        </w:rPr>
        <w:t>nurse</w:t>
      </w:r>
      <w:r w:rsidR="00823F92">
        <w:rPr>
          <w:lang w:val="en-US"/>
        </w:rPr>
        <w:t xml:space="preserve">s </w:t>
      </w:r>
      <w:r w:rsidR="00130FA5" w:rsidRPr="006C6204">
        <w:rPr>
          <w:lang w:val="en-US"/>
        </w:rPr>
        <w:t>wor</w:t>
      </w:r>
      <w:r w:rsidR="00823F92" w:rsidRPr="006C6204">
        <w:rPr>
          <w:lang w:val="en-US"/>
        </w:rPr>
        <w:t>k</w:t>
      </w:r>
      <w:r w:rsidR="00823F92">
        <w:rPr>
          <w:lang w:val="en-US"/>
        </w:rPr>
        <w:t xml:space="preserve"> </w:t>
      </w:r>
      <w:r w:rsidR="00130FA5">
        <w:rPr>
          <w:lang w:val="en-US"/>
        </w:rPr>
        <w:t>i</w:t>
      </w:r>
      <w:r w:rsidR="00823F92">
        <w:rPr>
          <w:lang w:val="en-US"/>
        </w:rPr>
        <w:t xml:space="preserve">n </w:t>
      </w:r>
      <w:r w:rsidR="00130FA5">
        <w:rPr>
          <w:lang w:val="en-US"/>
        </w:rPr>
        <w:t>publi</w:t>
      </w:r>
      <w:r w:rsidR="00823F92">
        <w:rPr>
          <w:lang w:val="en-US"/>
        </w:rPr>
        <w:t xml:space="preserve">c </w:t>
      </w:r>
      <w:r w:rsidR="00130FA5">
        <w:rPr>
          <w:lang w:val="en-US"/>
        </w:rPr>
        <w:t>settings</w:t>
      </w:r>
      <w:r w:rsidR="00823F92">
        <w:rPr>
          <w:lang w:val="en-US"/>
        </w:rPr>
        <w:t xml:space="preserve">. </w:t>
      </w:r>
    </w:p>
    <w:p w14:paraId="703A76C3" w14:textId="22FFCAD8" w:rsidR="0033174F" w:rsidRDefault="005137B8" w:rsidP="0033174F">
      <w:pPr>
        <w:pStyle w:val="BodyText"/>
        <w:rPr>
          <w:lang w:val="en-US"/>
        </w:rPr>
      </w:pPr>
      <w:r w:rsidRPr="009245F1">
        <w:rPr>
          <w:lang w:val="en-US"/>
        </w:rPr>
        <w:t>Training:</w:t>
      </w:r>
      <w:r>
        <w:rPr>
          <w:b/>
          <w:bCs/>
          <w:lang w:val="en-US"/>
        </w:rPr>
        <w:t xml:space="preserve"> </w:t>
      </w:r>
      <w:r w:rsidR="0033174F" w:rsidRPr="00515587">
        <w:rPr>
          <w:lang w:val="en-US"/>
        </w:rPr>
        <w:t>Enrolle</w:t>
      </w:r>
      <w:r w:rsidR="00823F92" w:rsidRPr="00515587">
        <w:rPr>
          <w:lang w:val="en-US"/>
        </w:rPr>
        <w:t>d</w:t>
      </w:r>
      <w:r w:rsidR="00823F92">
        <w:rPr>
          <w:lang w:val="en-US"/>
        </w:rPr>
        <w:t xml:space="preserve"> </w:t>
      </w:r>
      <w:r w:rsidR="0033174F" w:rsidRPr="00515587">
        <w:rPr>
          <w:lang w:val="en-US"/>
        </w:rPr>
        <w:t>Nurse</w:t>
      </w:r>
      <w:r w:rsidR="00823F92" w:rsidRPr="00515587">
        <w:rPr>
          <w:lang w:val="en-US"/>
        </w:rPr>
        <w:t>s</w:t>
      </w:r>
      <w:r w:rsidR="00823F92">
        <w:rPr>
          <w:lang w:val="en-US"/>
        </w:rPr>
        <w:t xml:space="preserve"> </w:t>
      </w:r>
      <w:r w:rsidR="0033174F" w:rsidRPr="00515587">
        <w:rPr>
          <w:lang w:val="en-US"/>
        </w:rPr>
        <w:t>mus</w:t>
      </w:r>
      <w:r w:rsidR="00823F92" w:rsidRPr="00515587">
        <w:rPr>
          <w:lang w:val="en-US"/>
        </w:rPr>
        <w:t>t</w:t>
      </w:r>
      <w:r w:rsidR="00823F92">
        <w:rPr>
          <w:lang w:val="en-US"/>
        </w:rPr>
        <w:t xml:space="preserve"> </w:t>
      </w:r>
      <w:r w:rsidR="0033174F" w:rsidRPr="00515587">
        <w:rPr>
          <w:lang w:val="en-US"/>
        </w:rPr>
        <w:t>complet</w:t>
      </w:r>
      <w:r w:rsidR="00823F92" w:rsidRPr="00515587">
        <w:rPr>
          <w:lang w:val="en-US"/>
        </w:rPr>
        <w:t>e</w:t>
      </w:r>
      <w:r w:rsidR="00823F92">
        <w:rPr>
          <w:lang w:val="en-US"/>
        </w:rPr>
        <w:t xml:space="preserve"> </w:t>
      </w:r>
      <w:r w:rsidR="00823F92" w:rsidRPr="00515587">
        <w:rPr>
          <w:lang w:val="en-US"/>
        </w:rPr>
        <w:t>a</w:t>
      </w:r>
      <w:r w:rsidR="00823F92">
        <w:rPr>
          <w:lang w:val="en-US"/>
        </w:rPr>
        <w:t xml:space="preserve"> </w:t>
      </w:r>
      <w:r w:rsidR="0033174F" w:rsidRPr="00515587">
        <w:rPr>
          <w:lang w:val="en-US"/>
        </w:rPr>
        <w:t>minimu</w:t>
      </w:r>
      <w:r w:rsidR="00823F92" w:rsidRPr="00515587">
        <w:rPr>
          <w:lang w:val="en-US"/>
        </w:rPr>
        <w:t>m</w:t>
      </w:r>
      <w:r w:rsidR="00823F92">
        <w:rPr>
          <w:lang w:val="en-US"/>
        </w:rPr>
        <w:t xml:space="preserve"> </w:t>
      </w:r>
      <w:r w:rsidR="0033174F" w:rsidRPr="00515587">
        <w:rPr>
          <w:lang w:val="en-US"/>
        </w:rPr>
        <w:t>Diplom</w:t>
      </w:r>
      <w:r w:rsidR="00823F92" w:rsidRPr="00515587">
        <w:rPr>
          <w:lang w:val="en-US"/>
        </w:rPr>
        <w:t>a</w:t>
      </w:r>
      <w:r w:rsidR="00823F92">
        <w:rPr>
          <w:lang w:val="en-US"/>
        </w:rPr>
        <w:t xml:space="preserve"> </w:t>
      </w:r>
      <w:r w:rsidR="0033174F" w:rsidRPr="00515587">
        <w:rPr>
          <w:lang w:val="en-US"/>
        </w:rPr>
        <w:t>o</w:t>
      </w:r>
      <w:r w:rsidR="00823F92" w:rsidRPr="00515587">
        <w:rPr>
          <w:lang w:val="en-US"/>
        </w:rPr>
        <w:t>f</w:t>
      </w:r>
      <w:r w:rsidR="00823F92">
        <w:rPr>
          <w:lang w:val="en-US"/>
        </w:rPr>
        <w:t xml:space="preserve"> </w:t>
      </w:r>
      <w:r w:rsidR="0033174F" w:rsidRPr="00515587">
        <w:rPr>
          <w:lang w:val="en-US"/>
        </w:rPr>
        <w:t>Nursin</w:t>
      </w:r>
      <w:r w:rsidR="00823F92" w:rsidRPr="00515587">
        <w:rPr>
          <w:lang w:val="en-US"/>
        </w:rPr>
        <w:t>g</w:t>
      </w:r>
      <w:r w:rsidR="00823F92">
        <w:rPr>
          <w:lang w:val="en-US"/>
        </w:rPr>
        <w:t xml:space="preserve"> </w:t>
      </w:r>
      <w:r w:rsidR="0033174F" w:rsidRPr="00515587">
        <w:rPr>
          <w:lang w:val="en-US"/>
        </w:rPr>
        <w:t>(1.</w:t>
      </w:r>
      <w:r w:rsidR="00823F92" w:rsidRPr="00515587">
        <w:rPr>
          <w:lang w:val="en-US"/>
        </w:rPr>
        <w:t>5</w:t>
      </w:r>
      <w:r w:rsidR="00823F92">
        <w:rPr>
          <w:lang w:val="en-US"/>
        </w:rPr>
        <w:t xml:space="preserve"> </w:t>
      </w:r>
      <w:r w:rsidR="0033174F" w:rsidRPr="00515587">
        <w:rPr>
          <w:lang w:val="en-US"/>
        </w:rPr>
        <w:t>years) an</w:t>
      </w:r>
      <w:r w:rsidR="00823F92" w:rsidRPr="00515587">
        <w:rPr>
          <w:lang w:val="en-US"/>
        </w:rPr>
        <w:t>d</w:t>
      </w:r>
      <w:r w:rsidR="00823F92">
        <w:rPr>
          <w:lang w:val="en-US"/>
        </w:rPr>
        <w:t xml:space="preserve"> </w:t>
      </w:r>
      <w:r w:rsidR="0033174F" w:rsidRPr="00515587">
        <w:rPr>
          <w:lang w:val="en-US"/>
        </w:rPr>
        <w:t>Registere</w:t>
      </w:r>
      <w:r w:rsidR="00823F92" w:rsidRPr="00515587">
        <w:rPr>
          <w:lang w:val="en-US"/>
        </w:rPr>
        <w:t>d</w:t>
      </w:r>
      <w:r w:rsidR="00823F92">
        <w:rPr>
          <w:lang w:val="en-US"/>
        </w:rPr>
        <w:t xml:space="preserve"> </w:t>
      </w:r>
      <w:r w:rsidR="0033174F" w:rsidRPr="00515587">
        <w:rPr>
          <w:lang w:val="en-US"/>
        </w:rPr>
        <w:t>Nurse</w:t>
      </w:r>
      <w:r w:rsidR="00823F92" w:rsidRPr="00515587">
        <w:rPr>
          <w:lang w:val="en-US"/>
        </w:rPr>
        <w:t>s</w:t>
      </w:r>
      <w:r w:rsidR="00823F92">
        <w:rPr>
          <w:lang w:val="en-US"/>
        </w:rPr>
        <w:t xml:space="preserve"> </w:t>
      </w:r>
      <w:r w:rsidR="00823F92" w:rsidRPr="00515587">
        <w:rPr>
          <w:lang w:val="en-US"/>
        </w:rPr>
        <w:t>a</w:t>
      </w:r>
      <w:r w:rsidR="00823F92">
        <w:rPr>
          <w:lang w:val="en-US"/>
        </w:rPr>
        <w:t xml:space="preserve"> </w:t>
      </w:r>
      <w:r w:rsidR="0033174F" w:rsidRPr="00515587">
        <w:rPr>
          <w:lang w:val="en-US"/>
        </w:rPr>
        <w:t>minimu</w:t>
      </w:r>
      <w:r w:rsidR="00823F92" w:rsidRPr="00515587">
        <w:rPr>
          <w:lang w:val="en-US"/>
        </w:rPr>
        <w:t>m</w:t>
      </w:r>
      <w:r w:rsidR="00823F92">
        <w:rPr>
          <w:lang w:val="en-US"/>
        </w:rPr>
        <w:t xml:space="preserve"> </w:t>
      </w:r>
      <w:r w:rsidR="0033174F" w:rsidRPr="00515587">
        <w:rPr>
          <w:lang w:val="en-US"/>
        </w:rPr>
        <w:t>Bachelo</w:t>
      </w:r>
      <w:r w:rsidR="00823F92" w:rsidRPr="00515587">
        <w:rPr>
          <w:lang w:val="en-US"/>
        </w:rPr>
        <w:t>r</w:t>
      </w:r>
      <w:r w:rsidR="00823F92">
        <w:rPr>
          <w:lang w:val="en-US"/>
        </w:rPr>
        <w:t xml:space="preserve"> </w:t>
      </w:r>
      <w:r w:rsidR="0033174F" w:rsidRPr="00515587">
        <w:rPr>
          <w:lang w:val="en-US"/>
        </w:rPr>
        <w:t>o</w:t>
      </w:r>
      <w:r w:rsidR="00823F92" w:rsidRPr="00515587">
        <w:rPr>
          <w:lang w:val="en-US"/>
        </w:rPr>
        <w:t>f</w:t>
      </w:r>
      <w:r w:rsidR="00823F92">
        <w:rPr>
          <w:lang w:val="en-US"/>
        </w:rPr>
        <w:t xml:space="preserve"> </w:t>
      </w:r>
      <w:r w:rsidR="0033174F" w:rsidRPr="00515587">
        <w:rPr>
          <w:lang w:val="en-US"/>
        </w:rPr>
        <w:t>Nursin</w:t>
      </w:r>
      <w:r w:rsidR="00823F92" w:rsidRPr="00515587">
        <w:rPr>
          <w:lang w:val="en-US"/>
        </w:rPr>
        <w:t>g</w:t>
      </w:r>
      <w:r w:rsidR="00823F92">
        <w:rPr>
          <w:lang w:val="en-US"/>
        </w:rPr>
        <w:t xml:space="preserve"> </w:t>
      </w:r>
      <w:r w:rsidR="0033174F" w:rsidRPr="00515587">
        <w:rPr>
          <w:lang w:val="en-US"/>
        </w:rPr>
        <w:t>(</w:t>
      </w:r>
      <w:r w:rsidR="00823F92" w:rsidRPr="00515587">
        <w:rPr>
          <w:lang w:val="en-US"/>
        </w:rPr>
        <w:t>3</w:t>
      </w:r>
      <w:r w:rsidR="00823F92">
        <w:rPr>
          <w:lang w:val="en-US"/>
        </w:rPr>
        <w:t xml:space="preserve"> </w:t>
      </w:r>
      <w:r w:rsidR="0033174F" w:rsidRPr="00515587">
        <w:rPr>
          <w:lang w:val="en-US"/>
        </w:rPr>
        <w:t>years)</w:t>
      </w:r>
      <w:r w:rsidR="00823F92" w:rsidRPr="00515587">
        <w:rPr>
          <w:lang w:val="en-US"/>
        </w:rPr>
        <w:t>.</w:t>
      </w:r>
      <w:r w:rsidR="00823F92">
        <w:rPr>
          <w:lang w:val="en-US"/>
        </w:rPr>
        <w:t xml:space="preserve"> </w:t>
      </w:r>
      <w:r w:rsidR="0033174F">
        <w:rPr>
          <w:lang w:val="en-US"/>
        </w:rPr>
        <w:t>Nurs</w:t>
      </w:r>
      <w:r w:rsidR="00823F92">
        <w:rPr>
          <w:lang w:val="en-US"/>
        </w:rPr>
        <w:t xml:space="preserve">e </w:t>
      </w:r>
      <w:r w:rsidR="0033174F">
        <w:rPr>
          <w:lang w:val="en-US"/>
        </w:rPr>
        <w:t>Practitioner</w:t>
      </w:r>
      <w:r w:rsidR="00823F92">
        <w:rPr>
          <w:lang w:val="en-US"/>
        </w:rPr>
        <w:t xml:space="preserve">s </w:t>
      </w:r>
      <w:r w:rsidR="0033174F">
        <w:rPr>
          <w:lang w:val="en-US"/>
        </w:rPr>
        <w:t>mus</w:t>
      </w:r>
      <w:r w:rsidR="00823F92">
        <w:rPr>
          <w:lang w:val="en-US"/>
        </w:rPr>
        <w:t xml:space="preserve">t </w:t>
      </w:r>
      <w:r w:rsidR="0033174F">
        <w:rPr>
          <w:lang w:val="en-US"/>
        </w:rPr>
        <w:t>complet</w:t>
      </w:r>
      <w:r w:rsidR="00823F92">
        <w:rPr>
          <w:lang w:val="en-US"/>
        </w:rPr>
        <w:t xml:space="preserve">e a </w:t>
      </w:r>
      <w:r w:rsidR="006065BC">
        <w:rPr>
          <w:lang w:val="en-US"/>
        </w:rPr>
        <w:t>master</w:t>
      </w:r>
      <w:r w:rsidR="00292E56">
        <w:rPr>
          <w:lang w:val="en-US"/>
        </w:rPr>
        <w:t>’</w:t>
      </w:r>
      <w:r w:rsidR="00823F92">
        <w:rPr>
          <w:lang w:val="en-US"/>
        </w:rPr>
        <w:t xml:space="preserve">s </w:t>
      </w:r>
      <w:r w:rsidR="0033174F">
        <w:rPr>
          <w:lang w:val="en-US"/>
        </w:rPr>
        <w:t>qualification</w:t>
      </w:r>
      <w:r w:rsidR="00823F92">
        <w:rPr>
          <w:lang w:val="en-US"/>
        </w:rPr>
        <w:t xml:space="preserve">. </w:t>
      </w:r>
      <w:r w:rsidR="0033174F" w:rsidRPr="00515587">
        <w:rPr>
          <w:lang w:val="en-US"/>
        </w:rPr>
        <w:t>Currently</w:t>
      </w:r>
      <w:r w:rsidR="00823F92" w:rsidRPr="00515587">
        <w:rPr>
          <w:lang w:val="en-US"/>
        </w:rPr>
        <w:t>,</w:t>
      </w:r>
      <w:r w:rsidR="00823F92">
        <w:rPr>
          <w:lang w:val="en-US"/>
        </w:rPr>
        <w:t xml:space="preserve"> </w:t>
      </w:r>
      <w:r w:rsidR="0033174F" w:rsidRPr="00515587">
        <w:rPr>
          <w:lang w:val="en-US"/>
        </w:rPr>
        <w:t>ther</w:t>
      </w:r>
      <w:r w:rsidR="00823F92" w:rsidRPr="00515587">
        <w:rPr>
          <w:lang w:val="en-US"/>
        </w:rPr>
        <w:t>e</w:t>
      </w:r>
      <w:r w:rsidR="00823F92">
        <w:rPr>
          <w:lang w:val="en-US"/>
        </w:rPr>
        <w:t xml:space="preserve"> </w:t>
      </w:r>
      <w:r w:rsidR="0033174F" w:rsidRPr="00515587">
        <w:rPr>
          <w:lang w:val="en-US"/>
        </w:rPr>
        <w:t>i</w:t>
      </w:r>
      <w:r w:rsidR="00823F92" w:rsidRPr="00515587">
        <w:rPr>
          <w:lang w:val="en-US"/>
        </w:rPr>
        <w:t>s</w:t>
      </w:r>
      <w:r w:rsidR="00823F92">
        <w:rPr>
          <w:lang w:val="en-US"/>
        </w:rPr>
        <w:t xml:space="preserve"> </w:t>
      </w:r>
      <w:r w:rsidR="0033174F" w:rsidRPr="00515587">
        <w:rPr>
          <w:lang w:val="en-US"/>
        </w:rPr>
        <w:t>n</w:t>
      </w:r>
      <w:r w:rsidR="00823F92" w:rsidRPr="00515587">
        <w:rPr>
          <w:lang w:val="en-US"/>
        </w:rPr>
        <w:t>o</w:t>
      </w:r>
      <w:r w:rsidR="00823F92">
        <w:rPr>
          <w:lang w:val="en-US"/>
        </w:rPr>
        <w:t xml:space="preserve"> </w:t>
      </w:r>
      <w:r w:rsidR="0033174F" w:rsidRPr="00515587">
        <w:rPr>
          <w:lang w:val="en-US"/>
        </w:rPr>
        <w:t>direc</w:t>
      </w:r>
      <w:r w:rsidR="00823F92" w:rsidRPr="00515587">
        <w:rPr>
          <w:lang w:val="en-US"/>
        </w:rPr>
        <w:t>t</w:t>
      </w:r>
      <w:r w:rsidR="00823F92">
        <w:rPr>
          <w:lang w:val="en-US"/>
        </w:rPr>
        <w:t xml:space="preserve"> </w:t>
      </w:r>
      <w:r w:rsidR="0033174F" w:rsidRPr="00515587">
        <w:rPr>
          <w:lang w:val="en-US"/>
        </w:rPr>
        <w:t>entr</w:t>
      </w:r>
      <w:r w:rsidR="00823F92" w:rsidRPr="00515587">
        <w:rPr>
          <w:lang w:val="en-US"/>
        </w:rPr>
        <w:t>y</w:t>
      </w:r>
      <w:r w:rsidR="00823F92">
        <w:rPr>
          <w:lang w:val="en-US"/>
        </w:rPr>
        <w:t xml:space="preserve"> </w:t>
      </w:r>
      <w:r w:rsidR="0033174F" w:rsidRPr="00515587">
        <w:rPr>
          <w:lang w:val="en-US"/>
        </w:rPr>
        <w:t>undergraduat</w:t>
      </w:r>
      <w:r w:rsidR="00823F92" w:rsidRPr="00515587">
        <w:rPr>
          <w:lang w:val="en-US"/>
        </w:rPr>
        <w:t>e</w:t>
      </w:r>
      <w:r w:rsidR="00823F92">
        <w:rPr>
          <w:lang w:val="en-US"/>
        </w:rPr>
        <w:t xml:space="preserve"> </w:t>
      </w:r>
      <w:r w:rsidR="0033174F" w:rsidRPr="00515587">
        <w:rPr>
          <w:lang w:val="en-US"/>
        </w:rPr>
        <w:t>degre</w:t>
      </w:r>
      <w:r w:rsidR="00823F92" w:rsidRPr="00515587">
        <w:rPr>
          <w:lang w:val="en-US"/>
        </w:rPr>
        <w:t>e</w:t>
      </w:r>
      <w:r w:rsidR="00823F92">
        <w:rPr>
          <w:lang w:val="en-US"/>
        </w:rPr>
        <w:t xml:space="preserve"> </w:t>
      </w:r>
      <w:r w:rsidR="0033174F" w:rsidRPr="00515587">
        <w:rPr>
          <w:lang w:val="en-US"/>
        </w:rPr>
        <w:t>i</w:t>
      </w:r>
      <w:r w:rsidR="00823F92" w:rsidRPr="00515587">
        <w:rPr>
          <w:lang w:val="en-US"/>
        </w:rPr>
        <w:t>n</w:t>
      </w:r>
      <w:r w:rsidR="00823F92">
        <w:rPr>
          <w:lang w:val="en-US"/>
        </w:rPr>
        <w:t xml:space="preserve"> </w:t>
      </w:r>
      <w:r w:rsidR="0033174F" w:rsidRPr="00515587">
        <w:rPr>
          <w:lang w:val="en-US"/>
        </w:rPr>
        <w:t>menta</w:t>
      </w:r>
      <w:r w:rsidR="00823F92" w:rsidRPr="00515587">
        <w:rPr>
          <w:lang w:val="en-US"/>
        </w:rPr>
        <w:t>l</w:t>
      </w:r>
      <w:r w:rsidR="00823F92">
        <w:rPr>
          <w:lang w:val="en-US"/>
        </w:rPr>
        <w:t xml:space="preserve"> </w:t>
      </w:r>
      <w:r w:rsidR="0033174F" w:rsidRPr="00515587">
        <w:rPr>
          <w:lang w:val="en-US"/>
        </w:rPr>
        <w:t>healt</w:t>
      </w:r>
      <w:r w:rsidR="00823F92" w:rsidRPr="00515587">
        <w:rPr>
          <w:lang w:val="en-US"/>
        </w:rPr>
        <w:t>h</w:t>
      </w:r>
      <w:r w:rsidR="00823F92">
        <w:rPr>
          <w:lang w:val="en-US"/>
        </w:rPr>
        <w:t xml:space="preserve"> </w:t>
      </w:r>
      <w:r w:rsidR="0033174F" w:rsidRPr="00515587">
        <w:rPr>
          <w:lang w:val="en-US"/>
        </w:rPr>
        <w:t>nursing</w:t>
      </w:r>
      <w:r w:rsidR="00823F92" w:rsidRPr="00515587">
        <w:rPr>
          <w:lang w:val="en-US"/>
        </w:rPr>
        <w:t>.</w:t>
      </w:r>
      <w:r w:rsidR="00823F92">
        <w:rPr>
          <w:lang w:val="en-US"/>
        </w:rPr>
        <w:t xml:space="preserve"> </w:t>
      </w:r>
      <w:r w:rsidR="0033174F" w:rsidRPr="00515587">
        <w:rPr>
          <w:lang w:val="en-US"/>
        </w:rPr>
        <w:t>T</w:t>
      </w:r>
      <w:r w:rsidR="00823F92" w:rsidRPr="00515587">
        <w:rPr>
          <w:lang w:val="en-US"/>
        </w:rPr>
        <w:t>o</w:t>
      </w:r>
      <w:r w:rsidR="00823F92">
        <w:rPr>
          <w:lang w:val="en-US"/>
        </w:rPr>
        <w:t xml:space="preserve"> </w:t>
      </w:r>
      <w:r w:rsidR="0033174F" w:rsidRPr="00515587">
        <w:rPr>
          <w:lang w:val="en-US"/>
        </w:rPr>
        <w:t>b</w:t>
      </w:r>
      <w:r w:rsidR="00823F92" w:rsidRPr="00515587">
        <w:rPr>
          <w:lang w:val="en-US"/>
        </w:rPr>
        <w:t>e</w:t>
      </w:r>
      <w:r w:rsidR="00823F92">
        <w:rPr>
          <w:lang w:val="en-US"/>
        </w:rPr>
        <w:t xml:space="preserve"> </w:t>
      </w:r>
      <w:r w:rsidR="0033174F" w:rsidRPr="00515587">
        <w:rPr>
          <w:lang w:val="en-US"/>
        </w:rPr>
        <w:t>credentialle</w:t>
      </w:r>
      <w:r w:rsidR="00823F92" w:rsidRPr="00515587">
        <w:rPr>
          <w:lang w:val="en-US"/>
        </w:rPr>
        <w:t>d</w:t>
      </w:r>
      <w:r w:rsidR="00823F92">
        <w:rPr>
          <w:lang w:val="en-US"/>
        </w:rPr>
        <w:t xml:space="preserve"> </w:t>
      </w:r>
      <w:r w:rsidR="0033174F" w:rsidRPr="00515587">
        <w:rPr>
          <w:lang w:val="en-US"/>
        </w:rPr>
        <w:t>wit</w:t>
      </w:r>
      <w:r w:rsidR="00823F92" w:rsidRPr="00515587">
        <w:rPr>
          <w:lang w:val="en-US"/>
        </w:rPr>
        <w:t>h</w:t>
      </w:r>
      <w:r w:rsidR="00823F92">
        <w:rPr>
          <w:lang w:val="en-US"/>
        </w:rPr>
        <w:t xml:space="preserve"> </w:t>
      </w:r>
      <w:r w:rsidR="0033174F" w:rsidRPr="00515587">
        <w:rPr>
          <w:lang w:val="en-US"/>
        </w:rPr>
        <w:t>th</w:t>
      </w:r>
      <w:r w:rsidR="00823F92" w:rsidRPr="00515587">
        <w:rPr>
          <w:lang w:val="en-US"/>
        </w:rPr>
        <w:t>e</w:t>
      </w:r>
      <w:r w:rsidR="00823F92">
        <w:rPr>
          <w:lang w:val="en-US"/>
        </w:rPr>
        <w:t xml:space="preserve"> </w:t>
      </w:r>
      <w:r w:rsidR="0033174F" w:rsidRPr="00515587">
        <w:rPr>
          <w:lang w:val="en-US"/>
        </w:rPr>
        <w:t>Australia</w:t>
      </w:r>
      <w:r w:rsidR="00823F92" w:rsidRPr="00515587">
        <w:rPr>
          <w:lang w:val="en-US"/>
        </w:rPr>
        <w:t>n</w:t>
      </w:r>
      <w:r w:rsidR="00823F92">
        <w:rPr>
          <w:lang w:val="en-US"/>
        </w:rPr>
        <w:t xml:space="preserve"> </w:t>
      </w:r>
      <w:r w:rsidR="0033174F" w:rsidRPr="00515587">
        <w:rPr>
          <w:lang w:val="en-US"/>
        </w:rPr>
        <w:t>Colleg</w:t>
      </w:r>
      <w:r w:rsidR="00823F92" w:rsidRPr="00515587">
        <w:rPr>
          <w:lang w:val="en-US"/>
        </w:rPr>
        <w:t>e</w:t>
      </w:r>
      <w:r w:rsidR="00823F92">
        <w:rPr>
          <w:lang w:val="en-US"/>
        </w:rPr>
        <w:t xml:space="preserve"> </w:t>
      </w:r>
      <w:r w:rsidR="0033174F" w:rsidRPr="00515587">
        <w:rPr>
          <w:lang w:val="en-US"/>
        </w:rPr>
        <w:t>o</w:t>
      </w:r>
      <w:r w:rsidR="00823F92" w:rsidRPr="00515587">
        <w:rPr>
          <w:lang w:val="en-US"/>
        </w:rPr>
        <w:t>f</w:t>
      </w:r>
      <w:r w:rsidR="00823F92">
        <w:rPr>
          <w:lang w:val="en-US"/>
        </w:rPr>
        <w:t xml:space="preserve"> </w:t>
      </w:r>
      <w:r w:rsidR="0033174F" w:rsidRPr="00515587">
        <w:rPr>
          <w:lang w:val="en-US"/>
        </w:rPr>
        <w:t>Menta</w:t>
      </w:r>
      <w:r w:rsidR="00823F92" w:rsidRPr="00515587">
        <w:rPr>
          <w:lang w:val="en-US"/>
        </w:rPr>
        <w:t>l</w:t>
      </w:r>
      <w:r w:rsidR="00823F92">
        <w:rPr>
          <w:lang w:val="en-US"/>
        </w:rPr>
        <w:t xml:space="preserve"> </w:t>
      </w:r>
      <w:r w:rsidR="0033174F" w:rsidRPr="00515587">
        <w:rPr>
          <w:lang w:val="en-US"/>
        </w:rPr>
        <w:t>Healt</w:t>
      </w:r>
      <w:r w:rsidR="00823F92" w:rsidRPr="00515587">
        <w:rPr>
          <w:lang w:val="en-US"/>
        </w:rPr>
        <w:t>h</w:t>
      </w:r>
      <w:r w:rsidR="00823F92">
        <w:rPr>
          <w:lang w:val="en-US"/>
        </w:rPr>
        <w:t xml:space="preserve"> </w:t>
      </w:r>
      <w:r w:rsidR="0033174F" w:rsidRPr="00515587">
        <w:rPr>
          <w:lang w:val="en-US"/>
        </w:rPr>
        <w:t>Nurses</w:t>
      </w:r>
      <w:r w:rsidR="00823F92" w:rsidRPr="00515587">
        <w:rPr>
          <w:lang w:val="en-US"/>
        </w:rPr>
        <w:t>,</w:t>
      </w:r>
      <w:r w:rsidR="00823F92">
        <w:rPr>
          <w:lang w:val="en-US"/>
        </w:rPr>
        <w:t xml:space="preserve"> </w:t>
      </w:r>
      <w:r w:rsidR="00292E56">
        <w:rPr>
          <w:lang w:val="en-US"/>
        </w:rPr>
        <w:t>m</w:t>
      </w:r>
      <w:r w:rsidR="00292E56" w:rsidRPr="00515587">
        <w:rPr>
          <w:lang w:val="en-US"/>
        </w:rPr>
        <w:t>enta</w:t>
      </w:r>
      <w:r w:rsidR="00823F92" w:rsidRPr="00515587">
        <w:rPr>
          <w:lang w:val="en-US"/>
        </w:rPr>
        <w:t>l</w:t>
      </w:r>
      <w:r w:rsidR="00823F92">
        <w:rPr>
          <w:lang w:val="en-US"/>
        </w:rPr>
        <w:t xml:space="preserve"> </w:t>
      </w:r>
      <w:r w:rsidR="00292E56">
        <w:rPr>
          <w:lang w:val="en-US"/>
        </w:rPr>
        <w:t>h</w:t>
      </w:r>
      <w:r w:rsidR="00292E56" w:rsidRPr="00515587">
        <w:rPr>
          <w:lang w:val="en-US"/>
        </w:rPr>
        <w:t>ealt</w:t>
      </w:r>
      <w:r w:rsidR="00823F92" w:rsidRPr="00515587">
        <w:rPr>
          <w:lang w:val="en-US"/>
        </w:rPr>
        <w:t>h</w:t>
      </w:r>
      <w:r w:rsidR="00823F92">
        <w:rPr>
          <w:lang w:val="en-US"/>
        </w:rPr>
        <w:t xml:space="preserve"> </w:t>
      </w:r>
      <w:r w:rsidR="00292E56">
        <w:rPr>
          <w:lang w:val="en-US"/>
        </w:rPr>
        <w:t>n</w:t>
      </w:r>
      <w:r w:rsidR="00292E56" w:rsidRPr="00515587">
        <w:rPr>
          <w:lang w:val="en-US"/>
        </w:rPr>
        <w:t>urse</w:t>
      </w:r>
      <w:r w:rsidR="00823F92" w:rsidRPr="00515587">
        <w:rPr>
          <w:lang w:val="en-US"/>
        </w:rPr>
        <w:t>s</w:t>
      </w:r>
      <w:r w:rsidR="00823F92">
        <w:rPr>
          <w:lang w:val="en-US"/>
        </w:rPr>
        <w:t xml:space="preserve"> </w:t>
      </w:r>
      <w:r w:rsidR="0033174F" w:rsidRPr="00515587">
        <w:rPr>
          <w:lang w:val="en-US"/>
        </w:rPr>
        <w:t>mus</w:t>
      </w:r>
      <w:r w:rsidR="00823F92" w:rsidRPr="00515587">
        <w:rPr>
          <w:lang w:val="en-US"/>
        </w:rPr>
        <w:t>t</w:t>
      </w:r>
      <w:r w:rsidR="00823F92">
        <w:rPr>
          <w:lang w:val="en-US"/>
        </w:rPr>
        <w:t xml:space="preserve"> </w:t>
      </w:r>
      <w:r w:rsidR="0033174F" w:rsidRPr="00515587">
        <w:rPr>
          <w:lang w:val="en-US"/>
        </w:rPr>
        <w:t>complet</w:t>
      </w:r>
      <w:r w:rsidR="00823F92" w:rsidRPr="00515587">
        <w:rPr>
          <w:lang w:val="en-US"/>
        </w:rPr>
        <w:t>e</w:t>
      </w:r>
      <w:r w:rsidR="00823F92">
        <w:rPr>
          <w:lang w:val="en-US"/>
        </w:rPr>
        <w:t xml:space="preserve"> </w:t>
      </w:r>
      <w:r w:rsidR="0033174F" w:rsidRPr="00515587">
        <w:rPr>
          <w:lang w:val="en-US"/>
        </w:rPr>
        <w:t>a</w:t>
      </w:r>
      <w:r w:rsidR="00823F92" w:rsidRPr="00515587">
        <w:rPr>
          <w:lang w:val="en-US"/>
        </w:rPr>
        <w:t>n</w:t>
      </w:r>
      <w:r w:rsidR="00823F92">
        <w:rPr>
          <w:lang w:val="en-US"/>
        </w:rPr>
        <w:t xml:space="preserve"> </w:t>
      </w:r>
      <w:r w:rsidR="0033174F" w:rsidRPr="00515587">
        <w:rPr>
          <w:lang w:val="en-US"/>
        </w:rPr>
        <w:t>additiona</w:t>
      </w:r>
      <w:r w:rsidR="00823F92" w:rsidRPr="00515587">
        <w:rPr>
          <w:lang w:val="en-US"/>
        </w:rPr>
        <w:t>l</w:t>
      </w:r>
      <w:r w:rsidR="00823F92">
        <w:rPr>
          <w:lang w:val="en-US"/>
        </w:rPr>
        <w:t xml:space="preserve"> </w:t>
      </w:r>
      <w:r w:rsidR="0033174F" w:rsidRPr="00515587">
        <w:rPr>
          <w:lang w:val="en-US"/>
        </w:rPr>
        <w:t>graduat</w:t>
      </w:r>
      <w:r w:rsidR="00823F92" w:rsidRPr="00515587">
        <w:rPr>
          <w:lang w:val="en-US"/>
        </w:rPr>
        <w:t>e</w:t>
      </w:r>
      <w:r w:rsidR="00823F92">
        <w:rPr>
          <w:lang w:val="en-US"/>
        </w:rPr>
        <w:t xml:space="preserve"> </w:t>
      </w:r>
      <w:r w:rsidR="0033174F" w:rsidRPr="00515587">
        <w:rPr>
          <w:lang w:val="en-US"/>
        </w:rPr>
        <w:t>diplom</w:t>
      </w:r>
      <w:r w:rsidR="00823F92" w:rsidRPr="00515587">
        <w:rPr>
          <w:lang w:val="en-US"/>
        </w:rPr>
        <w:t>a</w:t>
      </w:r>
      <w:r w:rsidR="00823F92">
        <w:rPr>
          <w:lang w:val="en-US"/>
        </w:rPr>
        <w:t xml:space="preserve"> </w:t>
      </w:r>
      <w:r w:rsidR="0033174F" w:rsidRPr="00515587">
        <w:rPr>
          <w:lang w:val="en-US"/>
        </w:rPr>
        <w:t>o</w:t>
      </w:r>
      <w:r w:rsidR="00823F92" w:rsidRPr="00515587">
        <w:rPr>
          <w:lang w:val="en-US"/>
        </w:rPr>
        <w:t>r</w:t>
      </w:r>
      <w:r w:rsidR="00823F92">
        <w:rPr>
          <w:lang w:val="en-US"/>
        </w:rPr>
        <w:t xml:space="preserve"> </w:t>
      </w:r>
      <w:r w:rsidR="0033174F" w:rsidRPr="00515587">
        <w:rPr>
          <w:lang w:val="en-US"/>
        </w:rPr>
        <w:t>master’</w:t>
      </w:r>
      <w:r w:rsidR="00823F92" w:rsidRPr="00515587">
        <w:rPr>
          <w:lang w:val="en-US"/>
        </w:rPr>
        <w:t>s</w:t>
      </w:r>
      <w:r w:rsidR="00823F92">
        <w:rPr>
          <w:lang w:val="en-US"/>
        </w:rPr>
        <w:t xml:space="preserve"> </w:t>
      </w:r>
      <w:r w:rsidR="0033174F" w:rsidRPr="00515587">
        <w:rPr>
          <w:lang w:val="en-US"/>
        </w:rPr>
        <w:t>degree.</w:t>
      </w:r>
    </w:p>
    <w:p w14:paraId="36113E9F" w14:textId="5882325A" w:rsidR="006F1758" w:rsidRPr="00342CC6" w:rsidRDefault="006F1758" w:rsidP="0033174F">
      <w:pPr>
        <w:pStyle w:val="BodyText"/>
        <w:rPr>
          <w:highlight w:val="yellow"/>
          <w:lang w:val="en-US"/>
        </w:rPr>
      </w:pPr>
      <w:r w:rsidRPr="009245F1">
        <w:rPr>
          <w:lang w:val="en-US"/>
        </w:rPr>
        <w:t>Regulation:</w:t>
      </w:r>
      <w:r>
        <w:rPr>
          <w:b/>
          <w:bCs/>
          <w:lang w:val="en-US"/>
        </w:rPr>
        <w:t xml:space="preserve"> </w:t>
      </w:r>
      <w:r w:rsidR="009F3104">
        <w:rPr>
          <w:lang w:val="en-US"/>
        </w:rPr>
        <w:t>Th</w:t>
      </w:r>
      <w:r w:rsidR="00823F92">
        <w:rPr>
          <w:lang w:val="en-US"/>
        </w:rPr>
        <w:t xml:space="preserve">e </w:t>
      </w:r>
      <w:r w:rsidR="009F3104">
        <w:rPr>
          <w:lang w:val="en-US"/>
        </w:rPr>
        <w:t>nursin</w:t>
      </w:r>
      <w:r w:rsidR="00823F92">
        <w:rPr>
          <w:lang w:val="en-US"/>
        </w:rPr>
        <w:t xml:space="preserve">g </w:t>
      </w:r>
      <w:r w:rsidR="009F3104">
        <w:rPr>
          <w:lang w:val="en-US"/>
        </w:rPr>
        <w:t>workforc</w:t>
      </w:r>
      <w:r w:rsidR="00823F92">
        <w:rPr>
          <w:lang w:val="en-US"/>
        </w:rPr>
        <w:t xml:space="preserve">e </w:t>
      </w:r>
      <w:r w:rsidR="009F3104">
        <w:rPr>
          <w:lang w:val="en-US"/>
        </w:rPr>
        <w:t>i</w:t>
      </w:r>
      <w:r w:rsidR="00823F92">
        <w:rPr>
          <w:lang w:val="en-US"/>
        </w:rPr>
        <w:t xml:space="preserve">s </w:t>
      </w:r>
      <w:r w:rsidR="009F3104">
        <w:rPr>
          <w:lang w:val="en-US"/>
        </w:rPr>
        <w:t>regulate</w:t>
      </w:r>
      <w:r w:rsidR="00823F92">
        <w:rPr>
          <w:lang w:val="en-US"/>
        </w:rPr>
        <w:t xml:space="preserve">d </w:t>
      </w:r>
      <w:r w:rsidR="009F3104">
        <w:rPr>
          <w:lang w:val="en-US"/>
        </w:rPr>
        <w:t>throug</w:t>
      </w:r>
      <w:r w:rsidR="00823F92">
        <w:rPr>
          <w:lang w:val="en-US"/>
        </w:rPr>
        <w:t xml:space="preserve">h </w:t>
      </w:r>
      <w:r w:rsidR="009F3104">
        <w:rPr>
          <w:lang w:val="en-US"/>
        </w:rPr>
        <w:t>th</w:t>
      </w:r>
      <w:r w:rsidR="00823F92">
        <w:rPr>
          <w:lang w:val="en-US"/>
        </w:rPr>
        <w:t xml:space="preserve">e </w:t>
      </w:r>
      <w:r w:rsidR="009F3104" w:rsidRPr="009F3104">
        <w:rPr>
          <w:lang w:val="en-US"/>
        </w:rPr>
        <w:t>Nursin</w:t>
      </w:r>
      <w:r w:rsidR="00823F92" w:rsidRPr="009F3104">
        <w:rPr>
          <w:lang w:val="en-US"/>
        </w:rPr>
        <w:t>g</w:t>
      </w:r>
      <w:r w:rsidR="00823F92">
        <w:rPr>
          <w:lang w:val="en-US"/>
        </w:rPr>
        <w:t xml:space="preserve"> </w:t>
      </w:r>
      <w:r w:rsidR="009F3104" w:rsidRPr="009F3104">
        <w:rPr>
          <w:lang w:val="en-US"/>
        </w:rPr>
        <w:t>an</w:t>
      </w:r>
      <w:r w:rsidR="00823F92" w:rsidRPr="009F3104">
        <w:rPr>
          <w:lang w:val="en-US"/>
        </w:rPr>
        <w:t>d</w:t>
      </w:r>
      <w:r w:rsidR="00823F92">
        <w:rPr>
          <w:lang w:val="en-US"/>
        </w:rPr>
        <w:t xml:space="preserve"> </w:t>
      </w:r>
      <w:r w:rsidR="009F3104" w:rsidRPr="009F3104">
        <w:rPr>
          <w:lang w:val="en-US"/>
        </w:rPr>
        <w:t>Midwifer</w:t>
      </w:r>
      <w:r w:rsidR="00823F92" w:rsidRPr="009F3104">
        <w:rPr>
          <w:lang w:val="en-US"/>
        </w:rPr>
        <w:t>y</w:t>
      </w:r>
      <w:r w:rsidR="00823F92">
        <w:rPr>
          <w:lang w:val="en-US"/>
        </w:rPr>
        <w:t xml:space="preserve"> </w:t>
      </w:r>
      <w:r w:rsidR="009F3104" w:rsidRPr="009F3104">
        <w:rPr>
          <w:lang w:val="en-US"/>
        </w:rPr>
        <w:t>Boar</w:t>
      </w:r>
      <w:r w:rsidR="00823F92" w:rsidRPr="009F3104">
        <w:rPr>
          <w:lang w:val="en-US"/>
        </w:rPr>
        <w:t>d</w:t>
      </w:r>
      <w:r w:rsidR="00823F92">
        <w:rPr>
          <w:lang w:val="en-US"/>
        </w:rPr>
        <w:t xml:space="preserve"> </w:t>
      </w:r>
      <w:r w:rsidR="009F3104" w:rsidRPr="009F3104">
        <w:rPr>
          <w:lang w:val="en-US"/>
        </w:rPr>
        <w:t>o</w:t>
      </w:r>
      <w:r w:rsidR="00823F92" w:rsidRPr="009F3104">
        <w:rPr>
          <w:lang w:val="en-US"/>
        </w:rPr>
        <w:t>f</w:t>
      </w:r>
      <w:r w:rsidR="00823F92">
        <w:rPr>
          <w:lang w:val="en-US"/>
        </w:rPr>
        <w:t xml:space="preserve"> </w:t>
      </w:r>
      <w:r w:rsidR="009F3104" w:rsidRPr="009F3104">
        <w:rPr>
          <w:lang w:val="en-US"/>
        </w:rPr>
        <w:t>Australia</w:t>
      </w:r>
      <w:r w:rsidR="00823F92">
        <w:rPr>
          <w:lang w:val="en-US"/>
        </w:rPr>
        <w:t xml:space="preserve">, </w:t>
      </w:r>
      <w:r w:rsidR="009F3104">
        <w:rPr>
          <w:lang w:val="en-US"/>
        </w:rPr>
        <w:t>supporte</w:t>
      </w:r>
      <w:r w:rsidR="00823F92">
        <w:rPr>
          <w:lang w:val="en-US"/>
        </w:rPr>
        <w:t xml:space="preserve">d </w:t>
      </w:r>
      <w:r w:rsidR="009F3104">
        <w:rPr>
          <w:lang w:val="en-US"/>
        </w:rPr>
        <w:t>b</w:t>
      </w:r>
      <w:r w:rsidR="00823F92">
        <w:rPr>
          <w:lang w:val="en-US"/>
        </w:rPr>
        <w:t xml:space="preserve">y </w:t>
      </w:r>
      <w:r w:rsidR="009F3104">
        <w:rPr>
          <w:lang w:val="en-US"/>
        </w:rPr>
        <w:t>AHRPA</w:t>
      </w:r>
      <w:r w:rsidR="00823F92">
        <w:rPr>
          <w:lang w:val="en-US"/>
        </w:rPr>
        <w:t xml:space="preserve">. </w:t>
      </w:r>
    </w:p>
    <w:p w14:paraId="2BE2F1D7" w14:textId="13F3668D" w:rsidR="00453F15" w:rsidRPr="006C4490" w:rsidRDefault="005137B8" w:rsidP="00185565">
      <w:pPr>
        <w:pStyle w:val="BodyText"/>
        <w:rPr>
          <w:lang w:val="en-US"/>
        </w:rPr>
      </w:pPr>
      <w:r w:rsidRPr="009245F1">
        <w:rPr>
          <w:lang w:val="en-US"/>
        </w:rPr>
        <w:t>Supply:</w:t>
      </w:r>
      <w:r>
        <w:rPr>
          <w:b/>
          <w:bCs/>
          <w:lang w:val="en-US"/>
        </w:rPr>
        <w:t xml:space="preserve"> </w:t>
      </w:r>
      <w:r w:rsidR="00453F15" w:rsidRPr="006C4490">
        <w:rPr>
          <w:lang w:val="en-US"/>
        </w:rPr>
        <w:t>Nurse</w:t>
      </w:r>
      <w:r w:rsidR="00823F92" w:rsidRPr="006C4490">
        <w:rPr>
          <w:lang w:val="en-US"/>
        </w:rPr>
        <w:t>s</w:t>
      </w:r>
      <w:r w:rsidR="00823F92">
        <w:rPr>
          <w:lang w:val="en-US"/>
        </w:rPr>
        <w:t xml:space="preserve"> </w:t>
      </w:r>
      <w:r w:rsidR="00453F15" w:rsidRPr="006C4490">
        <w:rPr>
          <w:lang w:val="en-US"/>
        </w:rPr>
        <w:t>compris</w:t>
      </w:r>
      <w:r w:rsidR="00823F92" w:rsidRPr="006C4490">
        <w:rPr>
          <w:lang w:val="en-US"/>
        </w:rPr>
        <w:t>e</w:t>
      </w:r>
      <w:r w:rsidR="00823F92">
        <w:rPr>
          <w:lang w:val="en-US"/>
        </w:rPr>
        <w:t xml:space="preserve"> </w:t>
      </w:r>
      <w:r w:rsidR="00453F15" w:rsidRPr="006C4490">
        <w:rPr>
          <w:lang w:val="en-US"/>
        </w:rPr>
        <w:t>th</w:t>
      </w:r>
      <w:r w:rsidR="00823F92" w:rsidRPr="006C4490">
        <w:rPr>
          <w:lang w:val="en-US"/>
        </w:rPr>
        <w:t>e</w:t>
      </w:r>
      <w:r w:rsidR="00823F92">
        <w:rPr>
          <w:lang w:val="en-US"/>
        </w:rPr>
        <w:t xml:space="preserve"> </w:t>
      </w:r>
      <w:r w:rsidR="00453F15" w:rsidRPr="006C4490">
        <w:rPr>
          <w:lang w:val="en-US"/>
        </w:rPr>
        <w:t>larges</w:t>
      </w:r>
      <w:r w:rsidR="00823F92" w:rsidRPr="006C4490">
        <w:rPr>
          <w:lang w:val="en-US"/>
        </w:rPr>
        <w:t>t</w:t>
      </w:r>
      <w:r w:rsidR="00823F92">
        <w:rPr>
          <w:lang w:val="en-US"/>
        </w:rPr>
        <w:t xml:space="preserve"> </w:t>
      </w:r>
      <w:r w:rsidR="00453F15" w:rsidRPr="006C4490">
        <w:rPr>
          <w:lang w:val="en-US"/>
        </w:rPr>
        <w:t>segmen</w:t>
      </w:r>
      <w:r w:rsidR="00823F92" w:rsidRPr="006C4490">
        <w:rPr>
          <w:lang w:val="en-US"/>
        </w:rPr>
        <w:t>t</w:t>
      </w:r>
      <w:r w:rsidR="00823F92">
        <w:rPr>
          <w:lang w:val="en-US"/>
        </w:rPr>
        <w:t xml:space="preserve"> </w:t>
      </w:r>
      <w:r w:rsidR="00453F15" w:rsidRPr="006C4490">
        <w:rPr>
          <w:lang w:val="en-US"/>
        </w:rPr>
        <w:t>o</w:t>
      </w:r>
      <w:r w:rsidR="00823F92" w:rsidRPr="006C4490">
        <w:rPr>
          <w:lang w:val="en-US"/>
        </w:rPr>
        <w:t>f</w:t>
      </w:r>
      <w:r w:rsidR="00823F92">
        <w:rPr>
          <w:lang w:val="en-US"/>
        </w:rPr>
        <w:t xml:space="preserve"> </w:t>
      </w:r>
      <w:r w:rsidR="00453F15" w:rsidRPr="006C4490">
        <w:rPr>
          <w:lang w:val="en-US"/>
        </w:rPr>
        <w:t>th</w:t>
      </w:r>
      <w:r w:rsidR="00823F92" w:rsidRPr="006C4490">
        <w:rPr>
          <w:lang w:val="en-US"/>
        </w:rPr>
        <w:t>e</w:t>
      </w:r>
      <w:r w:rsidR="00823F92">
        <w:rPr>
          <w:lang w:val="en-US"/>
        </w:rPr>
        <w:t xml:space="preserve"> </w:t>
      </w:r>
      <w:r w:rsidR="00453F15" w:rsidRPr="006C4490">
        <w:rPr>
          <w:lang w:val="en-US"/>
        </w:rPr>
        <w:t>menta</w:t>
      </w:r>
      <w:r w:rsidR="00823F92" w:rsidRPr="006C4490">
        <w:rPr>
          <w:lang w:val="en-US"/>
        </w:rPr>
        <w:t>l</w:t>
      </w:r>
      <w:r w:rsidR="00823F92">
        <w:rPr>
          <w:lang w:val="en-US"/>
        </w:rPr>
        <w:t xml:space="preserve"> </w:t>
      </w:r>
      <w:r w:rsidR="00453F15" w:rsidRPr="006C4490">
        <w:rPr>
          <w:lang w:val="en-US"/>
        </w:rPr>
        <w:t>healt</w:t>
      </w:r>
      <w:r w:rsidR="00823F92" w:rsidRPr="006C4490">
        <w:rPr>
          <w:lang w:val="en-US"/>
        </w:rPr>
        <w:t>h</w:t>
      </w:r>
      <w:r w:rsidR="00823F92">
        <w:rPr>
          <w:lang w:val="en-US"/>
        </w:rPr>
        <w:t xml:space="preserve"> </w:t>
      </w:r>
      <w:r w:rsidR="00453F15" w:rsidRPr="006C4490">
        <w:rPr>
          <w:lang w:val="en-US"/>
        </w:rPr>
        <w:t>workforc</w:t>
      </w:r>
      <w:r w:rsidR="00823F92" w:rsidRPr="006C4490">
        <w:rPr>
          <w:lang w:val="en-US"/>
        </w:rPr>
        <w:t>e</w:t>
      </w:r>
      <w:r w:rsidR="00823F92">
        <w:rPr>
          <w:lang w:val="en-US"/>
        </w:rPr>
        <w:t xml:space="preserve"> </w:t>
      </w:r>
      <w:r w:rsidR="00453F15" w:rsidRPr="006C4490">
        <w:rPr>
          <w:lang w:val="en-US"/>
        </w:rPr>
        <w:t>an</w:t>
      </w:r>
      <w:r w:rsidR="00823F92" w:rsidRPr="006C4490">
        <w:rPr>
          <w:lang w:val="en-US"/>
        </w:rPr>
        <w:t>d</w:t>
      </w:r>
      <w:r w:rsidR="00823F92">
        <w:rPr>
          <w:lang w:val="en-US"/>
        </w:rPr>
        <w:t xml:space="preserve"> </w:t>
      </w:r>
      <w:r w:rsidR="00453F15" w:rsidRPr="006C4490">
        <w:rPr>
          <w:lang w:val="en-US"/>
        </w:rPr>
        <w:t>includ</w:t>
      </w:r>
      <w:r w:rsidR="00823F92" w:rsidRPr="006C4490">
        <w:rPr>
          <w:lang w:val="en-US"/>
        </w:rPr>
        <w:t>e</w:t>
      </w:r>
      <w:r w:rsidR="00823F92">
        <w:rPr>
          <w:lang w:val="en-US"/>
        </w:rPr>
        <w:t xml:space="preserve"> </w:t>
      </w:r>
      <w:r w:rsidR="00015BCA">
        <w:rPr>
          <w:lang w:val="en-US"/>
        </w:rPr>
        <w:t>15,69</w:t>
      </w:r>
      <w:r w:rsidR="00823F92">
        <w:rPr>
          <w:lang w:val="en-US"/>
        </w:rPr>
        <w:t xml:space="preserve">0 </w:t>
      </w:r>
      <w:r w:rsidR="00453F15" w:rsidRPr="006C4490">
        <w:rPr>
          <w:lang w:val="en-US"/>
        </w:rPr>
        <w:t>FT</w:t>
      </w:r>
      <w:r w:rsidR="00823F92" w:rsidRPr="006C4490">
        <w:rPr>
          <w:lang w:val="en-US"/>
        </w:rPr>
        <w:t>E</w:t>
      </w:r>
      <w:r w:rsidR="00823F92">
        <w:rPr>
          <w:lang w:val="en-US"/>
        </w:rPr>
        <w:t xml:space="preserve"> </w:t>
      </w:r>
      <w:r w:rsidR="00453F15" w:rsidRPr="006C4490">
        <w:rPr>
          <w:lang w:val="en-US"/>
        </w:rPr>
        <w:t>registere</w:t>
      </w:r>
      <w:r w:rsidR="00823F92" w:rsidRPr="006C4490">
        <w:rPr>
          <w:lang w:val="en-US"/>
        </w:rPr>
        <w:t>d</w:t>
      </w:r>
      <w:r w:rsidR="00823F92">
        <w:rPr>
          <w:lang w:val="en-US"/>
        </w:rPr>
        <w:t xml:space="preserve"> </w:t>
      </w:r>
      <w:r w:rsidR="00453F15" w:rsidRPr="006C4490">
        <w:rPr>
          <w:lang w:val="en-US"/>
        </w:rPr>
        <w:t>nurses</w:t>
      </w:r>
      <w:r w:rsidR="00A4211E">
        <w:rPr>
          <w:rStyle w:val="FootnoteReference"/>
          <w:lang w:val="en-US"/>
        </w:rPr>
        <w:footnoteReference w:id="18"/>
      </w:r>
      <w:r w:rsidR="00453F15" w:rsidRPr="006C4490">
        <w:rPr>
          <w:lang w:val="en-US"/>
        </w:rPr>
        <w:t xml:space="preserve"> an</w:t>
      </w:r>
      <w:r w:rsidR="00823F92" w:rsidRPr="006C4490">
        <w:rPr>
          <w:lang w:val="en-US"/>
        </w:rPr>
        <w:t>d</w:t>
      </w:r>
      <w:r w:rsidR="00823F92">
        <w:rPr>
          <w:lang w:val="en-US"/>
        </w:rPr>
        <w:t xml:space="preserve"> </w:t>
      </w:r>
      <w:r w:rsidR="00015BCA">
        <w:rPr>
          <w:lang w:val="en-US"/>
        </w:rPr>
        <w:t>2,60</w:t>
      </w:r>
      <w:r w:rsidR="00823F92">
        <w:rPr>
          <w:lang w:val="en-US"/>
        </w:rPr>
        <w:t xml:space="preserve">3 </w:t>
      </w:r>
      <w:r w:rsidR="00453F15" w:rsidRPr="006C4490">
        <w:rPr>
          <w:lang w:val="en-US"/>
        </w:rPr>
        <w:t>FT</w:t>
      </w:r>
      <w:r w:rsidR="00823F92" w:rsidRPr="006C4490">
        <w:rPr>
          <w:lang w:val="en-US"/>
        </w:rPr>
        <w:t>E</w:t>
      </w:r>
      <w:r w:rsidR="00823F92">
        <w:rPr>
          <w:lang w:val="en-US"/>
        </w:rPr>
        <w:t xml:space="preserve"> </w:t>
      </w:r>
      <w:r w:rsidR="00453F15" w:rsidRPr="006C4490">
        <w:rPr>
          <w:lang w:val="en-US"/>
        </w:rPr>
        <w:t>enrolle</w:t>
      </w:r>
      <w:r w:rsidR="00823F92" w:rsidRPr="006C4490">
        <w:rPr>
          <w:lang w:val="en-US"/>
        </w:rPr>
        <w:t>d</w:t>
      </w:r>
      <w:r w:rsidR="00823F92">
        <w:rPr>
          <w:lang w:val="en-US"/>
        </w:rPr>
        <w:t xml:space="preserve"> </w:t>
      </w:r>
      <w:r w:rsidR="00453F15" w:rsidRPr="006C4490">
        <w:rPr>
          <w:lang w:val="en-US"/>
        </w:rPr>
        <w:t>nurses</w:t>
      </w:r>
      <w:r w:rsidR="00823F92" w:rsidRPr="006C4490">
        <w:rPr>
          <w:lang w:val="en-US"/>
        </w:rPr>
        <w:t>.</w:t>
      </w:r>
      <w:r w:rsidR="00823F92">
        <w:rPr>
          <w:lang w:val="en-US"/>
        </w:rPr>
        <w:t xml:space="preserve"> </w:t>
      </w:r>
      <w:r w:rsidR="00453F15" w:rsidRPr="006C4490">
        <w:rPr>
          <w:lang w:val="en-US"/>
        </w:rPr>
        <w:t>Ther</w:t>
      </w:r>
      <w:r w:rsidR="00823F92" w:rsidRPr="006C4490">
        <w:rPr>
          <w:lang w:val="en-US"/>
        </w:rPr>
        <w:t>e</w:t>
      </w:r>
      <w:r w:rsidR="00823F92">
        <w:rPr>
          <w:lang w:val="en-US"/>
        </w:rPr>
        <w:t xml:space="preserve"> </w:t>
      </w:r>
      <w:r w:rsidR="00453F15" w:rsidRPr="006C4490">
        <w:rPr>
          <w:lang w:val="en-US"/>
        </w:rPr>
        <w:t>i</w:t>
      </w:r>
      <w:r w:rsidR="00823F92" w:rsidRPr="006C4490">
        <w:rPr>
          <w:lang w:val="en-US"/>
        </w:rPr>
        <w:t>s</w:t>
      </w:r>
      <w:r w:rsidR="00823F92">
        <w:rPr>
          <w:lang w:val="en-US"/>
        </w:rPr>
        <w:t xml:space="preserve"> </w:t>
      </w:r>
      <w:r w:rsidR="00453F15">
        <w:rPr>
          <w:lang w:val="en-US"/>
        </w:rPr>
        <w:t>currentl</w:t>
      </w:r>
      <w:r w:rsidR="00823F92">
        <w:rPr>
          <w:lang w:val="en-US"/>
        </w:rPr>
        <w:t xml:space="preserve">y </w:t>
      </w:r>
      <w:r w:rsidR="00823F92" w:rsidRPr="006C4490">
        <w:rPr>
          <w:lang w:val="en-US"/>
        </w:rPr>
        <w:t>a</w:t>
      </w:r>
      <w:r w:rsidR="00823F92">
        <w:rPr>
          <w:lang w:val="en-US"/>
        </w:rPr>
        <w:t xml:space="preserve"> </w:t>
      </w:r>
      <w:r w:rsidR="00453F15" w:rsidRPr="006C4490">
        <w:rPr>
          <w:lang w:val="en-US"/>
        </w:rPr>
        <w:t>significan</w:t>
      </w:r>
      <w:r w:rsidR="00823F92" w:rsidRPr="006C4490">
        <w:rPr>
          <w:lang w:val="en-US"/>
        </w:rPr>
        <w:t>t</w:t>
      </w:r>
      <w:r w:rsidR="00823F92">
        <w:rPr>
          <w:lang w:val="en-US"/>
        </w:rPr>
        <w:t xml:space="preserve"> </w:t>
      </w:r>
      <w:r w:rsidR="00453F15" w:rsidRPr="006C4490">
        <w:rPr>
          <w:lang w:val="en-US"/>
        </w:rPr>
        <w:t>oversuppl</w:t>
      </w:r>
      <w:r w:rsidR="00823F92" w:rsidRPr="006C4490">
        <w:rPr>
          <w:lang w:val="en-US"/>
        </w:rPr>
        <w:t>y</w:t>
      </w:r>
      <w:r w:rsidR="00823F92">
        <w:rPr>
          <w:lang w:val="en-US"/>
        </w:rPr>
        <w:t xml:space="preserve"> </w:t>
      </w:r>
      <w:r w:rsidR="00453F15" w:rsidRPr="006C4490">
        <w:rPr>
          <w:lang w:val="en-US"/>
        </w:rPr>
        <w:t>o</w:t>
      </w:r>
      <w:r w:rsidR="00823F92" w:rsidRPr="006C4490">
        <w:rPr>
          <w:lang w:val="en-US"/>
        </w:rPr>
        <w:t>f</w:t>
      </w:r>
      <w:r w:rsidR="00823F92">
        <w:rPr>
          <w:lang w:val="en-US"/>
        </w:rPr>
        <w:t xml:space="preserve"> </w:t>
      </w:r>
      <w:r w:rsidR="00453F15" w:rsidRPr="006C4490">
        <w:rPr>
          <w:lang w:val="en-US"/>
        </w:rPr>
        <w:t>enrolle</w:t>
      </w:r>
      <w:r w:rsidR="00823F92" w:rsidRPr="006C4490">
        <w:rPr>
          <w:lang w:val="en-US"/>
        </w:rPr>
        <w:t>d</w:t>
      </w:r>
      <w:r w:rsidR="00823F92">
        <w:rPr>
          <w:lang w:val="en-US"/>
        </w:rPr>
        <w:t xml:space="preserve"> </w:t>
      </w:r>
      <w:r w:rsidR="00453F15" w:rsidRPr="006C4490">
        <w:rPr>
          <w:lang w:val="en-US"/>
        </w:rPr>
        <w:t>nurse</w:t>
      </w:r>
      <w:r w:rsidR="00823F92" w:rsidRPr="006C4490">
        <w:rPr>
          <w:lang w:val="en-US"/>
        </w:rPr>
        <w:t>s</w:t>
      </w:r>
      <w:r w:rsidR="00823F92">
        <w:rPr>
          <w:lang w:val="en-US"/>
        </w:rPr>
        <w:t xml:space="preserve"> </w:t>
      </w:r>
      <w:r w:rsidR="00453F15" w:rsidRPr="006C4490">
        <w:rPr>
          <w:lang w:val="en-US"/>
        </w:rPr>
        <w:t>i</w:t>
      </w:r>
      <w:r w:rsidR="00823F92" w:rsidRPr="006C4490">
        <w:rPr>
          <w:lang w:val="en-US"/>
        </w:rPr>
        <w:t>n</w:t>
      </w:r>
      <w:r w:rsidR="00823F92">
        <w:rPr>
          <w:lang w:val="en-US"/>
        </w:rPr>
        <w:t xml:space="preserve"> </w:t>
      </w:r>
      <w:r w:rsidR="00453F15" w:rsidRPr="006C4490">
        <w:rPr>
          <w:lang w:val="en-US"/>
        </w:rPr>
        <w:t>menta</w:t>
      </w:r>
      <w:r w:rsidR="00823F92" w:rsidRPr="006C4490">
        <w:rPr>
          <w:lang w:val="en-US"/>
        </w:rPr>
        <w:t>l</w:t>
      </w:r>
      <w:r w:rsidR="00823F92">
        <w:rPr>
          <w:lang w:val="en-US"/>
        </w:rPr>
        <w:t xml:space="preserve"> </w:t>
      </w:r>
      <w:r w:rsidR="00453F15" w:rsidRPr="006C4490">
        <w:rPr>
          <w:lang w:val="en-US"/>
        </w:rPr>
        <w:t>healt</w:t>
      </w:r>
      <w:r w:rsidR="00823F92" w:rsidRPr="006C4490">
        <w:rPr>
          <w:lang w:val="en-US"/>
        </w:rPr>
        <w:t>h</w:t>
      </w:r>
      <w:r w:rsidR="00823F92">
        <w:rPr>
          <w:lang w:val="en-US"/>
        </w:rPr>
        <w:t xml:space="preserve"> </w:t>
      </w:r>
      <w:r w:rsidR="00453F15" w:rsidRPr="006C4490">
        <w:rPr>
          <w:lang w:val="en-US"/>
        </w:rPr>
        <w:t>bu</w:t>
      </w:r>
      <w:r w:rsidR="00823F92" w:rsidRPr="006C4490">
        <w:rPr>
          <w:lang w:val="en-US"/>
        </w:rPr>
        <w:t>t</w:t>
      </w:r>
      <w:r w:rsidR="00823F92">
        <w:rPr>
          <w:lang w:val="en-US"/>
        </w:rPr>
        <w:t xml:space="preserve"> </w:t>
      </w:r>
      <w:r w:rsidR="00823F92" w:rsidRPr="006C4490">
        <w:rPr>
          <w:lang w:val="en-US"/>
        </w:rPr>
        <w:t>a</w:t>
      </w:r>
      <w:r w:rsidR="00823F92">
        <w:rPr>
          <w:lang w:val="en-US"/>
        </w:rPr>
        <w:t xml:space="preserve"> </w:t>
      </w:r>
      <w:r w:rsidR="00453F15" w:rsidRPr="00C70095">
        <w:rPr>
          <w:lang w:val="en-US"/>
        </w:rPr>
        <w:t>shortag</w:t>
      </w:r>
      <w:r w:rsidR="00823F92" w:rsidRPr="00C70095">
        <w:rPr>
          <w:lang w:val="en-US"/>
        </w:rPr>
        <w:t>e</w:t>
      </w:r>
      <w:r w:rsidR="00823F92">
        <w:rPr>
          <w:lang w:val="en-US"/>
        </w:rPr>
        <w:t xml:space="preserve"> </w:t>
      </w:r>
      <w:r w:rsidR="00453F15" w:rsidRPr="00C70095">
        <w:rPr>
          <w:lang w:val="en-US"/>
        </w:rPr>
        <w:t>o</w:t>
      </w:r>
      <w:r w:rsidR="00823F92" w:rsidRPr="00C70095">
        <w:rPr>
          <w:lang w:val="en-US"/>
        </w:rPr>
        <w:t>f</w:t>
      </w:r>
      <w:r w:rsidR="00823F92">
        <w:rPr>
          <w:lang w:val="en-US"/>
        </w:rPr>
        <w:t xml:space="preserve"> </w:t>
      </w:r>
      <w:r w:rsidR="00453F15" w:rsidRPr="00C70095">
        <w:rPr>
          <w:lang w:val="en-US"/>
        </w:rPr>
        <w:t>registere</w:t>
      </w:r>
      <w:r w:rsidR="00823F92" w:rsidRPr="00C70095">
        <w:rPr>
          <w:lang w:val="en-US"/>
        </w:rPr>
        <w:t>d</w:t>
      </w:r>
      <w:r w:rsidR="00823F92">
        <w:rPr>
          <w:lang w:val="en-US"/>
        </w:rPr>
        <w:t xml:space="preserve"> </w:t>
      </w:r>
      <w:r w:rsidR="00453F15" w:rsidRPr="00C70095">
        <w:rPr>
          <w:lang w:val="en-US"/>
        </w:rPr>
        <w:t>nurse</w:t>
      </w:r>
      <w:r w:rsidR="00823F92" w:rsidRPr="00C70095">
        <w:rPr>
          <w:lang w:val="en-US"/>
        </w:rPr>
        <w:t>s</w:t>
      </w:r>
      <w:r w:rsidR="00823F92">
        <w:rPr>
          <w:lang w:val="en-US"/>
        </w:rPr>
        <w:t xml:space="preserve"> </w:t>
      </w:r>
      <w:r w:rsidR="00453F15" w:rsidRPr="00C70095">
        <w:rPr>
          <w:lang w:val="en-US"/>
        </w:rPr>
        <w:t>(</w:t>
      </w:r>
      <w:r w:rsidR="00C70095" w:rsidRPr="00885F62">
        <w:rPr>
          <w:lang w:val="en-US"/>
        </w:rPr>
        <w:t>184</w:t>
      </w:r>
      <w:r w:rsidR="00453F15" w:rsidRPr="00C70095">
        <w:rPr>
          <w:lang w:val="en-US"/>
        </w:rPr>
        <w:t>% an</w:t>
      </w:r>
      <w:r w:rsidR="00823F92" w:rsidRPr="00C70095">
        <w:rPr>
          <w:lang w:val="en-US"/>
        </w:rPr>
        <w:t>d</w:t>
      </w:r>
      <w:r w:rsidR="00823F92">
        <w:rPr>
          <w:lang w:val="en-US"/>
        </w:rPr>
        <w:t xml:space="preserve"> </w:t>
      </w:r>
      <w:r w:rsidR="00C70095" w:rsidRPr="00C70095">
        <w:rPr>
          <w:lang w:val="en-US"/>
        </w:rPr>
        <w:t>75</w:t>
      </w:r>
      <w:r w:rsidR="00453F15" w:rsidRPr="00C70095">
        <w:rPr>
          <w:lang w:val="en-US"/>
        </w:rPr>
        <w:t>% o</w:t>
      </w:r>
      <w:r w:rsidR="00823F92" w:rsidRPr="00C70095">
        <w:rPr>
          <w:lang w:val="en-US"/>
        </w:rPr>
        <w:t>f</w:t>
      </w:r>
      <w:r w:rsidR="00823F92">
        <w:rPr>
          <w:lang w:val="en-US"/>
        </w:rPr>
        <w:t xml:space="preserve"> </w:t>
      </w:r>
      <w:r w:rsidR="00453F15" w:rsidRPr="00C70095">
        <w:rPr>
          <w:lang w:val="en-US"/>
        </w:rPr>
        <w:t>th</w:t>
      </w:r>
      <w:r w:rsidR="00823F92" w:rsidRPr="00C70095">
        <w:rPr>
          <w:lang w:val="en-US"/>
        </w:rPr>
        <w:t>e</w:t>
      </w:r>
      <w:r w:rsidR="00823F92">
        <w:rPr>
          <w:lang w:val="en-US"/>
        </w:rPr>
        <w:t xml:space="preserve"> </w:t>
      </w:r>
      <w:r w:rsidR="00453F15" w:rsidRPr="00C70095">
        <w:rPr>
          <w:lang w:val="en-US"/>
        </w:rPr>
        <w:t>NMHSP</w:t>
      </w:r>
      <w:r w:rsidR="00823F92" w:rsidRPr="00C70095">
        <w:rPr>
          <w:lang w:val="en-US"/>
        </w:rPr>
        <w:t>F</w:t>
      </w:r>
      <w:r w:rsidR="00823F92">
        <w:rPr>
          <w:lang w:val="en-US"/>
        </w:rPr>
        <w:t xml:space="preserve"> </w:t>
      </w:r>
      <w:r w:rsidR="00453F15" w:rsidRPr="00C70095">
        <w:rPr>
          <w:lang w:val="en-US"/>
        </w:rPr>
        <w:t>targe</w:t>
      </w:r>
      <w:r w:rsidR="00823F92" w:rsidRPr="00C70095">
        <w:rPr>
          <w:lang w:val="en-US"/>
        </w:rPr>
        <w:t>t</w:t>
      </w:r>
      <w:r w:rsidR="00823F92">
        <w:rPr>
          <w:lang w:val="en-US"/>
        </w:rPr>
        <w:t xml:space="preserve"> </w:t>
      </w:r>
      <w:r w:rsidR="00453F15" w:rsidRPr="00C70095">
        <w:rPr>
          <w:lang w:val="en-US"/>
        </w:rPr>
        <w:t>reached</w:t>
      </w:r>
      <w:r w:rsidR="00823F92" w:rsidRPr="00C70095">
        <w:rPr>
          <w:lang w:val="en-US"/>
        </w:rPr>
        <w:t>,</w:t>
      </w:r>
      <w:r w:rsidR="00823F92">
        <w:rPr>
          <w:lang w:val="en-US"/>
        </w:rPr>
        <w:t xml:space="preserve"> </w:t>
      </w:r>
      <w:r w:rsidR="00453F15" w:rsidRPr="00C70095">
        <w:rPr>
          <w:lang w:val="en-US"/>
        </w:rPr>
        <w:t>respectively)</w:t>
      </w:r>
      <w:r w:rsidR="00823F92" w:rsidRPr="00C70095">
        <w:rPr>
          <w:lang w:val="en-US"/>
        </w:rPr>
        <w:t>.</w:t>
      </w:r>
      <w:r w:rsidR="00823F92">
        <w:rPr>
          <w:lang w:val="en-US"/>
        </w:rPr>
        <w:t xml:space="preserve"> </w:t>
      </w:r>
      <w:r w:rsidR="00453F15" w:rsidRPr="00885F62">
        <w:rPr>
          <w:lang w:val="en-US"/>
        </w:rPr>
        <w:t>Distributio</w:t>
      </w:r>
      <w:r w:rsidR="00823F92" w:rsidRPr="00885F62">
        <w:rPr>
          <w:lang w:val="en-US"/>
        </w:rPr>
        <w:t>n</w:t>
      </w:r>
      <w:r w:rsidR="00823F92">
        <w:rPr>
          <w:lang w:val="en-US"/>
        </w:rPr>
        <w:t xml:space="preserve"> </w:t>
      </w:r>
      <w:r w:rsidR="00453F15" w:rsidRPr="00885F62">
        <w:rPr>
          <w:lang w:val="en-US"/>
        </w:rPr>
        <w:t>o</w:t>
      </w:r>
      <w:r w:rsidR="00823F92" w:rsidRPr="00885F62">
        <w:rPr>
          <w:lang w:val="en-US"/>
        </w:rPr>
        <w:t>f</w:t>
      </w:r>
      <w:r w:rsidR="00823F92">
        <w:rPr>
          <w:lang w:val="en-US"/>
        </w:rPr>
        <w:t xml:space="preserve"> </w:t>
      </w:r>
      <w:r w:rsidR="00453F15" w:rsidRPr="00885F62">
        <w:rPr>
          <w:lang w:val="en-US"/>
        </w:rPr>
        <w:t>th</w:t>
      </w:r>
      <w:r w:rsidR="00823F92" w:rsidRPr="00885F62">
        <w:rPr>
          <w:lang w:val="en-US"/>
        </w:rPr>
        <w:t>e</w:t>
      </w:r>
      <w:r w:rsidR="00823F92">
        <w:rPr>
          <w:lang w:val="en-US"/>
        </w:rPr>
        <w:t xml:space="preserve"> </w:t>
      </w:r>
      <w:r w:rsidR="00453F15" w:rsidRPr="00885F62">
        <w:rPr>
          <w:lang w:val="en-US"/>
        </w:rPr>
        <w:t>nursin</w:t>
      </w:r>
      <w:r w:rsidR="00823F92" w:rsidRPr="00885F62">
        <w:rPr>
          <w:lang w:val="en-US"/>
        </w:rPr>
        <w:t>g</w:t>
      </w:r>
      <w:r w:rsidR="00823F92">
        <w:rPr>
          <w:lang w:val="en-US"/>
        </w:rPr>
        <w:t xml:space="preserve"> </w:t>
      </w:r>
      <w:r w:rsidR="00453F15" w:rsidRPr="00885F62">
        <w:rPr>
          <w:lang w:val="en-US"/>
        </w:rPr>
        <w:t>workforc</w:t>
      </w:r>
      <w:r w:rsidR="00823F92" w:rsidRPr="00885F62">
        <w:rPr>
          <w:lang w:val="en-US"/>
        </w:rPr>
        <w:t>e</w:t>
      </w:r>
      <w:r w:rsidR="00823F92">
        <w:rPr>
          <w:lang w:val="en-US"/>
        </w:rPr>
        <w:t xml:space="preserve"> </w:t>
      </w:r>
      <w:r w:rsidR="00453F15" w:rsidRPr="00885F62">
        <w:rPr>
          <w:lang w:val="en-US"/>
        </w:rPr>
        <w:t>varie</w:t>
      </w:r>
      <w:r w:rsidR="00823F92" w:rsidRPr="00885F62">
        <w:rPr>
          <w:lang w:val="en-US"/>
        </w:rPr>
        <w:t>s</w:t>
      </w:r>
      <w:r w:rsidR="00823F92">
        <w:rPr>
          <w:lang w:val="en-US"/>
        </w:rPr>
        <w:t xml:space="preserve"> </w:t>
      </w:r>
      <w:r w:rsidR="00453F15" w:rsidRPr="00885F62">
        <w:rPr>
          <w:lang w:val="en-US"/>
        </w:rPr>
        <w:t>acros</w:t>
      </w:r>
      <w:r w:rsidR="00823F92" w:rsidRPr="00885F62">
        <w:rPr>
          <w:lang w:val="en-US"/>
        </w:rPr>
        <w:t>s</w:t>
      </w:r>
      <w:r w:rsidR="00823F92">
        <w:rPr>
          <w:lang w:val="en-US"/>
        </w:rPr>
        <w:t xml:space="preserve"> </w:t>
      </w:r>
      <w:r w:rsidR="00453F15" w:rsidRPr="00885F62">
        <w:rPr>
          <w:lang w:val="en-US"/>
        </w:rPr>
        <w:t>regions</w:t>
      </w:r>
      <w:r w:rsidR="00823F92" w:rsidRPr="00885F62">
        <w:rPr>
          <w:lang w:val="en-US"/>
        </w:rPr>
        <w:t>,</w:t>
      </w:r>
      <w:r w:rsidR="00823F92">
        <w:rPr>
          <w:lang w:val="en-US"/>
        </w:rPr>
        <w:t xml:space="preserve"> </w:t>
      </w:r>
      <w:r w:rsidR="00453F15" w:rsidRPr="00885F62">
        <w:rPr>
          <w:lang w:val="en-US"/>
        </w:rPr>
        <w:t>wit</w:t>
      </w:r>
      <w:r w:rsidR="00823F92" w:rsidRPr="00885F62">
        <w:rPr>
          <w:lang w:val="en-US"/>
        </w:rPr>
        <w:t>h</w:t>
      </w:r>
      <w:r w:rsidR="00823F92">
        <w:rPr>
          <w:lang w:val="en-US"/>
        </w:rPr>
        <w:t xml:space="preserve"> </w:t>
      </w:r>
      <w:r w:rsidR="00823F92" w:rsidRPr="00670280">
        <w:rPr>
          <w:lang w:val="en-US"/>
        </w:rPr>
        <w:t>a</w:t>
      </w:r>
      <w:r w:rsidR="00823F92">
        <w:rPr>
          <w:lang w:val="en-US"/>
        </w:rPr>
        <w:t xml:space="preserve"> </w:t>
      </w:r>
      <w:r w:rsidR="00453F15" w:rsidRPr="00670280">
        <w:rPr>
          <w:lang w:val="en-US"/>
        </w:rPr>
        <w:t>sligh</w:t>
      </w:r>
      <w:r w:rsidR="00823F92" w:rsidRPr="00670280">
        <w:rPr>
          <w:lang w:val="en-US"/>
        </w:rPr>
        <w:t>t</w:t>
      </w:r>
      <w:r w:rsidR="00823F92">
        <w:rPr>
          <w:lang w:val="en-US"/>
        </w:rPr>
        <w:t xml:space="preserve"> </w:t>
      </w:r>
      <w:r w:rsidR="00453F15" w:rsidRPr="00670280">
        <w:rPr>
          <w:lang w:val="en-US"/>
        </w:rPr>
        <w:t>oversuppl</w:t>
      </w:r>
      <w:r w:rsidR="00823F92" w:rsidRPr="00670280">
        <w:rPr>
          <w:lang w:val="en-US"/>
        </w:rPr>
        <w:t>y</w:t>
      </w:r>
      <w:r w:rsidR="00823F92">
        <w:rPr>
          <w:lang w:val="en-US"/>
        </w:rPr>
        <w:t xml:space="preserve"> </w:t>
      </w:r>
      <w:r w:rsidR="00453F15" w:rsidRPr="00670280">
        <w:rPr>
          <w:lang w:val="en-US"/>
        </w:rPr>
        <w:t>o</w:t>
      </w:r>
      <w:r w:rsidR="00823F92" w:rsidRPr="00670280">
        <w:rPr>
          <w:lang w:val="en-US"/>
        </w:rPr>
        <w:t>f</w:t>
      </w:r>
      <w:r w:rsidR="00823F92">
        <w:rPr>
          <w:lang w:val="en-US"/>
        </w:rPr>
        <w:t xml:space="preserve"> </w:t>
      </w:r>
      <w:r w:rsidR="00453F15" w:rsidRPr="00670280">
        <w:rPr>
          <w:lang w:val="en-US"/>
        </w:rPr>
        <w:t>registere</w:t>
      </w:r>
      <w:r w:rsidR="00823F92" w:rsidRPr="00670280">
        <w:rPr>
          <w:lang w:val="en-US"/>
        </w:rPr>
        <w:t>d</w:t>
      </w:r>
      <w:r w:rsidR="00823F92">
        <w:rPr>
          <w:lang w:val="en-US"/>
        </w:rPr>
        <w:t xml:space="preserve"> </w:t>
      </w:r>
      <w:r w:rsidR="00453F15" w:rsidRPr="00670280">
        <w:rPr>
          <w:lang w:val="en-US"/>
        </w:rPr>
        <w:t>nurse</w:t>
      </w:r>
      <w:r w:rsidR="00823F92" w:rsidRPr="00670280">
        <w:rPr>
          <w:lang w:val="en-US"/>
        </w:rPr>
        <w:t>s</w:t>
      </w:r>
      <w:r w:rsidR="00823F92">
        <w:rPr>
          <w:lang w:val="en-US"/>
        </w:rPr>
        <w:t xml:space="preserve"> </w:t>
      </w:r>
      <w:r w:rsidR="00453F15" w:rsidRPr="00670280">
        <w:rPr>
          <w:lang w:val="en-US"/>
        </w:rPr>
        <w:t>i</w:t>
      </w:r>
      <w:r w:rsidR="00823F92" w:rsidRPr="00670280">
        <w:rPr>
          <w:lang w:val="en-US"/>
        </w:rPr>
        <w:t>n</w:t>
      </w:r>
      <w:r w:rsidR="00823F92">
        <w:rPr>
          <w:lang w:val="en-US"/>
        </w:rPr>
        <w:t xml:space="preserve"> </w:t>
      </w:r>
      <w:r w:rsidR="00453F15" w:rsidRPr="00670280">
        <w:rPr>
          <w:lang w:val="en-US"/>
        </w:rPr>
        <w:t>MMM</w:t>
      </w:r>
      <w:r w:rsidR="00823F92" w:rsidRPr="00670280">
        <w:rPr>
          <w:lang w:val="en-US"/>
        </w:rPr>
        <w:t>3</w:t>
      </w:r>
      <w:r w:rsidR="00823F92">
        <w:rPr>
          <w:lang w:val="en-US"/>
        </w:rPr>
        <w:t xml:space="preserve"> </w:t>
      </w:r>
      <w:r w:rsidR="00453F15" w:rsidRPr="00670280">
        <w:rPr>
          <w:lang w:val="en-US"/>
        </w:rPr>
        <w:t>region</w:t>
      </w:r>
      <w:r w:rsidR="00823F92" w:rsidRPr="00670280">
        <w:rPr>
          <w:lang w:val="en-US"/>
        </w:rPr>
        <w:t>s</w:t>
      </w:r>
      <w:r w:rsidR="00823F92">
        <w:rPr>
          <w:lang w:val="en-US"/>
        </w:rPr>
        <w:t xml:space="preserve"> </w:t>
      </w:r>
      <w:r w:rsidR="00453F15" w:rsidRPr="00670280">
        <w:rPr>
          <w:lang w:val="en-US"/>
        </w:rPr>
        <w:t>followe</w:t>
      </w:r>
      <w:r w:rsidR="00823F92" w:rsidRPr="00670280">
        <w:rPr>
          <w:lang w:val="en-US"/>
        </w:rPr>
        <w:t>d</w:t>
      </w:r>
      <w:r w:rsidR="00823F92">
        <w:rPr>
          <w:lang w:val="en-US"/>
        </w:rPr>
        <w:t xml:space="preserve"> </w:t>
      </w:r>
      <w:r w:rsidR="00453F15" w:rsidRPr="00670280">
        <w:rPr>
          <w:lang w:val="en-US"/>
        </w:rPr>
        <w:t>b</w:t>
      </w:r>
      <w:r w:rsidR="00823F92" w:rsidRPr="00670280">
        <w:rPr>
          <w:lang w:val="en-US"/>
        </w:rPr>
        <w:t>y</w:t>
      </w:r>
      <w:r w:rsidR="00823F92">
        <w:rPr>
          <w:lang w:val="en-US"/>
        </w:rPr>
        <w:t xml:space="preserve"> </w:t>
      </w:r>
      <w:r w:rsidR="00453F15" w:rsidRPr="00670280">
        <w:rPr>
          <w:lang w:val="en-US"/>
        </w:rPr>
        <w:t>notabl</w:t>
      </w:r>
      <w:r w:rsidR="00823F92" w:rsidRPr="00670280">
        <w:rPr>
          <w:lang w:val="en-US"/>
        </w:rPr>
        <w:t>e</w:t>
      </w:r>
      <w:r w:rsidR="00823F92">
        <w:rPr>
          <w:lang w:val="en-US"/>
        </w:rPr>
        <w:t xml:space="preserve"> </w:t>
      </w:r>
      <w:r w:rsidR="00453F15" w:rsidRPr="00330931">
        <w:rPr>
          <w:lang w:val="en-US"/>
        </w:rPr>
        <w:t>deficit</w:t>
      </w:r>
      <w:r w:rsidR="00823F92" w:rsidRPr="00330931">
        <w:rPr>
          <w:lang w:val="en-US"/>
        </w:rPr>
        <w:t>s</w:t>
      </w:r>
      <w:r w:rsidR="00823F92">
        <w:rPr>
          <w:lang w:val="en-US"/>
        </w:rPr>
        <w:t xml:space="preserve"> </w:t>
      </w:r>
      <w:r w:rsidR="00453F15" w:rsidRPr="00330931">
        <w:rPr>
          <w:lang w:val="en-US"/>
        </w:rPr>
        <w:t>i</w:t>
      </w:r>
      <w:r w:rsidR="00823F92" w:rsidRPr="00330931">
        <w:rPr>
          <w:lang w:val="en-US"/>
        </w:rPr>
        <w:t>n</w:t>
      </w:r>
      <w:r w:rsidR="00823F92">
        <w:rPr>
          <w:lang w:val="en-US"/>
        </w:rPr>
        <w:t xml:space="preserve"> </w:t>
      </w:r>
      <w:r w:rsidR="00453F15" w:rsidRPr="00330931">
        <w:rPr>
          <w:lang w:val="en-US"/>
        </w:rPr>
        <w:t>remainin</w:t>
      </w:r>
      <w:r w:rsidR="00823F92" w:rsidRPr="00330931">
        <w:rPr>
          <w:lang w:val="en-US"/>
        </w:rPr>
        <w:t>g</w:t>
      </w:r>
      <w:r w:rsidR="00823F92">
        <w:rPr>
          <w:lang w:val="en-US"/>
        </w:rPr>
        <w:t xml:space="preserve"> </w:t>
      </w:r>
      <w:r w:rsidR="00453F15" w:rsidRPr="00330931">
        <w:rPr>
          <w:lang w:val="en-US"/>
        </w:rPr>
        <w:t>rura</w:t>
      </w:r>
      <w:r w:rsidR="00823F92" w:rsidRPr="00330931">
        <w:rPr>
          <w:lang w:val="en-US"/>
        </w:rPr>
        <w:t>l</w:t>
      </w:r>
      <w:r w:rsidR="00823F92">
        <w:rPr>
          <w:lang w:val="en-US"/>
        </w:rPr>
        <w:t xml:space="preserve"> </w:t>
      </w:r>
      <w:r w:rsidR="00453F15" w:rsidRPr="00330931">
        <w:rPr>
          <w:lang w:val="en-US"/>
        </w:rPr>
        <w:t>regions</w:t>
      </w:r>
      <w:r w:rsidR="00823F92" w:rsidRPr="00330931">
        <w:rPr>
          <w:lang w:val="en-US"/>
        </w:rPr>
        <w:t>.</w:t>
      </w:r>
      <w:r w:rsidR="00823F92">
        <w:rPr>
          <w:lang w:val="en-US"/>
        </w:rPr>
        <w:t xml:space="preserve"> </w:t>
      </w:r>
      <w:r w:rsidR="00453F15" w:rsidRPr="00330931">
        <w:rPr>
          <w:lang w:val="en-US"/>
        </w:rPr>
        <w:t>Fo</w:t>
      </w:r>
      <w:r w:rsidR="00823F92" w:rsidRPr="00330931">
        <w:rPr>
          <w:lang w:val="en-US"/>
        </w:rPr>
        <w:t>r</w:t>
      </w:r>
      <w:r w:rsidR="00823F92">
        <w:rPr>
          <w:lang w:val="en-US"/>
        </w:rPr>
        <w:t xml:space="preserve"> </w:t>
      </w:r>
      <w:r w:rsidR="00453F15" w:rsidRPr="00330931">
        <w:rPr>
          <w:lang w:val="en-US"/>
        </w:rPr>
        <w:t>enrolle</w:t>
      </w:r>
      <w:r w:rsidR="00823F92" w:rsidRPr="00330931">
        <w:rPr>
          <w:lang w:val="en-US"/>
        </w:rPr>
        <w:t>d</w:t>
      </w:r>
      <w:r w:rsidR="00823F92">
        <w:rPr>
          <w:lang w:val="en-US"/>
        </w:rPr>
        <w:t xml:space="preserve"> </w:t>
      </w:r>
      <w:r w:rsidR="00453F15" w:rsidRPr="00330931">
        <w:rPr>
          <w:lang w:val="en-US"/>
        </w:rPr>
        <w:t>nurses</w:t>
      </w:r>
      <w:r w:rsidR="00823F92" w:rsidRPr="00330931">
        <w:rPr>
          <w:lang w:val="en-US"/>
        </w:rPr>
        <w:t>,</w:t>
      </w:r>
      <w:r w:rsidR="00823F92">
        <w:rPr>
          <w:lang w:val="en-US"/>
        </w:rPr>
        <w:t xml:space="preserve"> </w:t>
      </w:r>
      <w:r w:rsidR="00453F15" w:rsidRPr="00330931">
        <w:rPr>
          <w:lang w:val="en-US"/>
        </w:rPr>
        <w:t>ther</w:t>
      </w:r>
      <w:r w:rsidR="00823F92" w:rsidRPr="00330931">
        <w:rPr>
          <w:lang w:val="en-US"/>
        </w:rPr>
        <w:t>e</w:t>
      </w:r>
      <w:r w:rsidR="00823F92">
        <w:rPr>
          <w:lang w:val="en-US"/>
        </w:rPr>
        <w:t xml:space="preserve"> </w:t>
      </w:r>
      <w:r w:rsidR="00453F15" w:rsidRPr="00330931">
        <w:rPr>
          <w:lang w:val="en-US"/>
        </w:rPr>
        <w:t>i</w:t>
      </w:r>
      <w:r w:rsidR="00823F92" w:rsidRPr="00330931">
        <w:rPr>
          <w:lang w:val="en-US"/>
        </w:rPr>
        <w:t>s</w:t>
      </w:r>
      <w:r w:rsidR="00823F92">
        <w:rPr>
          <w:lang w:val="en-US"/>
        </w:rPr>
        <w:t xml:space="preserve"> </w:t>
      </w:r>
      <w:r w:rsidR="00453F15" w:rsidRPr="00330931">
        <w:rPr>
          <w:lang w:val="en-US"/>
        </w:rPr>
        <w:t>als</w:t>
      </w:r>
      <w:r w:rsidR="00823F92" w:rsidRPr="00330931">
        <w:rPr>
          <w:lang w:val="en-US"/>
        </w:rPr>
        <w:t>o</w:t>
      </w:r>
      <w:r w:rsidR="00823F92">
        <w:rPr>
          <w:lang w:val="en-US"/>
        </w:rPr>
        <w:t xml:space="preserve"> </w:t>
      </w:r>
      <w:r w:rsidR="00453F15" w:rsidRPr="00330931">
        <w:rPr>
          <w:lang w:val="en-US"/>
        </w:rPr>
        <w:t>a</w:t>
      </w:r>
      <w:r w:rsidR="00823F92" w:rsidRPr="00330931">
        <w:rPr>
          <w:lang w:val="en-US"/>
        </w:rPr>
        <w:t>n</w:t>
      </w:r>
      <w:r w:rsidR="00823F92">
        <w:rPr>
          <w:lang w:val="en-US"/>
        </w:rPr>
        <w:t xml:space="preserve"> </w:t>
      </w:r>
      <w:r w:rsidR="00453F15" w:rsidRPr="00330931">
        <w:rPr>
          <w:lang w:val="en-US"/>
        </w:rPr>
        <w:t>apparen</w:t>
      </w:r>
      <w:r w:rsidR="00823F92" w:rsidRPr="00330931">
        <w:rPr>
          <w:lang w:val="en-US"/>
        </w:rPr>
        <w:t>t</w:t>
      </w:r>
      <w:r w:rsidR="00823F92">
        <w:rPr>
          <w:lang w:val="en-US"/>
        </w:rPr>
        <w:t xml:space="preserve"> </w:t>
      </w:r>
      <w:r w:rsidR="00453F15" w:rsidRPr="00330931">
        <w:rPr>
          <w:lang w:val="en-US"/>
        </w:rPr>
        <w:t>oversuppl</w:t>
      </w:r>
      <w:r w:rsidR="00823F92" w:rsidRPr="00330931">
        <w:rPr>
          <w:lang w:val="en-US"/>
        </w:rPr>
        <w:t>y</w:t>
      </w:r>
      <w:r w:rsidR="00823F92">
        <w:rPr>
          <w:lang w:val="en-US"/>
        </w:rPr>
        <w:t xml:space="preserve"> </w:t>
      </w:r>
      <w:r w:rsidR="00453F15" w:rsidRPr="00330931">
        <w:rPr>
          <w:lang w:val="en-US"/>
        </w:rPr>
        <w:t>o</w:t>
      </w:r>
      <w:r w:rsidR="00823F92" w:rsidRPr="00330931">
        <w:rPr>
          <w:lang w:val="en-US"/>
        </w:rPr>
        <w:t>f</w:t>
      </w:r>
      <w:r w:rsidR="00823F92">
        <w:rPr>
          <w:lang w:val="en-US"/>
        </w:rPr>
        <w:t xml:space="preserve"> </w:t>
      </w:r>
      <w:r w:rsidR="00453F15" w:rsidRPr="00330931">
        <w:rPr>
          <w:lang w:val="en-US"/>
        </w:rPr>
        <w:t>enrolle</w:t>
      </w:r>
      <w:r w:rsidR="00823F92" w:rsidRPr="00330931">
        <w:rPr>
          <w:lang w:val="en-US"/>
        </w:rPr>
        <w:t>d</w:t>
      </w:r>
      <w:r w:rsidR="00823F92">
        <w:rPr>
          <w:lang w:val="en-US"/>
        </w:rPr>
        <w:t xml:space="preserve"> </w:t>
      </w:r>
      <w:r w:rsidR="00453F15" w:rsidRPr="00330931">
        <w:rPr>
          <w:lang w:val="en-US"/>
        </w:rPr>
        <w:t>nurse</w:t>
      </w:r>
      <w:r w:rsidR="00823F92" w:rsidRPr="00330931">
        <w:rPr>
          <w:lang w:val="en-US"/>
        </w:rPr>
        <w:t>s</w:t>
      </w:r>
      <w:r w:rsidR="00823F92">
        <w:rPr>
          <w:lang w:val="en-US"/>
        </w:rPr>
        <w:t xml:space="preserve"> </w:t>
      </w:r>
      <w:r w:rsidR="00453F15" w:rsidRPr="00330931">
        <w:rPr>
          <w:lang w:val="en-US"/>
        </w:rPr>
        <w:t>i</w:t>
      </w:r>
      <w:r w:rsidR="00823F92" w:rsidRPr="00330931">
        <w:rPr>
          <w:lang w:val="en-US"/>
        </w:rPr>
        <w:t>n</w:t>
      </w:r>
      <w:r w:rsidR="00823F92">
        <w:rPr>
          <w:lang w:val="en-US"/>
        </w:rPr>
        <w:t xml:space="preserve"> </w:t>
      </w:r>
      <w:r w:rsidR="00453F15" w:rsidRPr="00885F62">
        <w:rPr>
          <w:lang w:val="en-US"/>
        </w:rPr>
        <w:t>MMM</w:t>
      </w:r>
      <w:r w:rsidR="00D5306F" w:rsidRPr="00885F62">
        <w:rPr>
          <w:lang w:val="en-US"/>
        </w:rPr>
        <w:t>1-</w:t>
      </w:r>
      <w:r w:rsidR="00823F92" w:rsidRPr="00885F62">
        <w:rPr>
          <w:lang w:val="en-US"/>
        </w:rPr>
        <w:t>3</w:t>
      </w:r>
      <w:r w:rsidR="00823F92">
        <w:rPr>
          <w:lang w:val="en-US"/>
        </w:rPr>
        <w:t xml:space="preserve"> </w:t>
      </w:r>
      <w:r w:rsidR="00D76ACE" w:rsidRPr="00885F62">
        <w:rPr>
          <w:lang w:val="en-US"/>
        </w:rPr>
        <w:t>region</w:t>
      </w:r>
      <w:r w:rsidR="00823F92" w:rsidRPr="00885F62">
        <w:rPr>
          <w:lang w:val="en-US"/>
        </w:rPr>
        <w:t>s</w:t>
      </w:r>
      <w:r w:rsidR="00823F92">
        <w:rPr>
          <w:lang w:val="en-US"/>
        </w:rPr>
        <w:t xml:space="preserve"> </w:t>
      </w:r>
      <w:r w:rsidR="00D76ACE" w:rsidRPr="00885F62">
        <w:rPr>
          <w:lang w:val="en-US"/>
        </w:rPr>
        <w:t>bu</w:t>
      </w:r>
      <w:r w:rsidR="00823F92" w:rsidRPr="00885F62">
        <w:rPr>
          <w:lang w:val="en-US"/>
        </w:rPr>
        <w:t>t</w:t>
      </w:r>
      <w:r w:rsidR="00823F92">
        <w:rPr>
          <w:lang w:val="en-US"/>
        </w:rPr>
        <w:t xml:space="preserve"> </w:t>
      </w:r>
      <w:r w:rsidR="00885F62" w:rsidRPr="00885F62">
        <w:rPr>
          <w:lang w:val="en-US"/>
        </w:rPr>
        <w:t>pronounce</w:t>
      </w:r>
      <w:r w:rsidR="00823F92" w:rsidRPr="00885F62">
        <w:rPr>
          <w:lang w:val="en-US"/>
        </w:rPr>
        <w:t>d</w:t>
      </w:r>
      <w:r w:rsidR="00823F92">
        <w:rPr>
          <w:lang w:val="en-US"/>
        </w:rPr>
        <w:t xml:space="preserve"> </w:t>
      </w:r>
      <w:r w:rsidR="00885F62" w:rsidRPr="00885F62">
        <w:rPr>
          <w:lang w:val="en-US"/>
        </w:rPr>
        <w:t>shortage</w:t>
      </w:r>
      <w:r w:rsidR="00823F92" w:rsidRPr="00885F62">
        <w:rPr>
          <w:lang w:val="en-US"/>
        </w:rPr>
        <w:t>s</w:t>
      </w:r>
      <w:r w:rsidR="00823F92">
        <w:rPr>
          <w:lang w:val="en-US"/>
        </w:rPr>
        <w:t xml:space="preserve"> </w:t>
      </w:r>
      <w:r w:rsidR="00885F62" w:rsidRPr="00885F62">
        <w:rPr>
          <w:lang w:val="en-US"/>
        </w:rPr>
        <w:t>i</w:t>
      </w:r>
      <w:r w:rsidR="00823F92" w:rsidRPr="00885F62">
        <w:rPr>
          <w:lang w:val="en-US"/>
        </w:rPr>
        <w:t>n</w:t>
      </w:r>
      <w:r w:rsidR="00823F92">
        <w:rPr>
          <w:lang w:val="en-US"/>
        </w:rPr>
        <w:t xml:space="preserve"> </w:t>
      </w:r>
      <w:r w:rsidR="00885F62" w:rsidRPr="00885F62">
        <w:rPr>
          <w:lang w:val="en-US"/>
        </w:rPr>
        <w:t>FT</w:t>
      </w:r>
      <w:r w:rsidR="00823F92" w:rsidRPr="00885F62">
        <w:rPr>
          <w:lang w:val="en-US"/>
        </w:rPr>
        <w:t>E</w:t>
      </w:r>
      <w:r w:rsidR="00823F92">
        <w:rPr>
          <w:lang w:val="en-US"/>
        </w:rPr>
        <w:t xml:space="preserve"> </w:t>
      </w:r>
      <w:r w:rsidR="00885F62" w:rsidRPr="00885F62">
        <w:rPr>
          <w:lang w:val="en-US"/>
        </w:rPr>
        <w:t>availabilit</w:t>
      </w:r>
      <w:r w:rsidR="00823F92" w:rsidRPr="00885F62">
        <w:rPr>
          <w:lang w:val="en-US"/>
        </w:rPr>
        <w:t>y</w:t>
      </w:r>
      <w:r w:rsidR="00823F92">
        <w:rPr>
          <w:lang w:val="en-US"/>
        </w:rPr>
        <w:t xml:space="preserve"> </w:t>
      </w:r>
      <w:r w:rsidR="00885F62" w:rsidRPr="00885F62">
        <w:rPr>
          <w:lang w:val="en-US"/>
        </w:rPr>
        <w:t>a</w:t>
      </w:r>
      <w:r w:rsidR="00823F92" w:rsidRPr="00885F62">
        <w:rPr>
          <w:lang w:val="en-US"/>
        </w:rPr>
        <w:t>s</w:t>
      </w:r>
      <w:r w:rsidR="00823F92">
        <w:rPr>
          <w:lang w:val="en-US"/>
        </w:rPr>
        <w:t xml:space="preserve"> </w:t>
      </w:r>
      <w:r w:rsidR="00885F62" w:rsidRPr="00885F62">
        <w:rPr>
          <w:lang w:val="en-US"/>
        </w:rPr>
        <w:t>ruralit</w:t>
      </w:r>
      <w:r w:rsidR="00823F92" w:rsidRPr="00885F62">
        <w:rPr>
          <w:lang w:val="en-US"/>
        </w:rPr>
        <w:t>y</w:t>
      </w:r>
      <w:r w:rsidR="00823F92">
        <w:rPr>
          <w:lang w:val="en-US"/>
        </w:rPr>
        <w:t xml:space="preserve"> </w:t>
      </w:r>
      <w:r w:rsidR="00885F62" w:rsidRPr="00885F62">
        <w:rPr>
          <w:lang w:val="en-US"/>
        </w:rPr>
        <w:t>increases</w:t>
      </w:r>
      <w:r w:rsidR="00823F92" w:rsidRPr="00885F62">
        <w:rPr>
          <w:lang w:val="en-US"/>
        </w:rPr>
        <w:t>.</w:t>
      </w:r>
      <w:r w:rsidR="00823F92">
        <w:rPr>
          <w:lang w:val="en-US"/>
        </w:rPr>
        <w:t xml:space="preserve"> </w:t>
      </w:r>
      <w:r w:rsidR="00185565" w:rsidRPr="00885F62">
        <w:t>Ther</w:t>
      </w:r>
      <w:r w:rsidR="00823F92" w:rsidRPr="00885F62">
        <w:t>e</w:t>
      </w:r>
      <w:r w:rsidR="00823F92">
        <w:t xml:space="preserve"> </w:t>
      </w:r>
      <w:r w:rsidR="00185565" w:rsidRPr="00885F62">
        <w:t>i</w:t>
      </w:r>
      <w:r w:rsidR="00823F92" w:rsidRPr="00885F62">
        <w:t>s</w:t>
      </w:r>
      <w:r w:rsidR="00823F92">
        <w:t xml:space="preserve"> </w:t>
      </w:r>
      <w:r w:rsidR="00823F92" w:rsidRPr="00885F62">
        <w:t>a</w:t>
      </w:r>
      <w:r w:rsidR="00823F92">
        <w:t xml:space="preserve"> </w:t>
      </w:r>
      <w:r w:rsidR="00185565" w:rsidRPr="00885F62">
        <w:t>projecte</w:t>
      </w:r>
      <w:r w:rsidR="00823F92" w:rsidRPr="00885F62">
        <w:t>d</w:t>
      </w:r>
      <w:r w:rsidR="00823F92">
        <w:t xml:space="preserve"> </w:t>
      </w:r>
      <w:r w:rsidR="00185565" w:rsidRPr="00885F62">
        <w:t>shortfal</w:t>
      </w:r>
      <w:r w:rsidR="00823F92" w:rsidRPr="00885F62">
        <w:t>l</w:t>
      </w:r>
      <w:r w:rsidR="00823F92">
        <w:t xml:space="preserve"> </w:t>
      </w:r>
      <w:r w:rsidR="00185565" w:rsidRPr="00885F62">
        <w:t>o</w:t>
      </w:r>
      <w:r w:rsidR="00823F92" w:rsidRPr="00885F62">
        <w:t>f</w:t>
      </w:r>
      <w:r w:rsidR="00823F92">
        <w:t xml:space="preserve"> </w:t>
      </w:r>
      <w:r w:rsidR="00185565" w:rsidRPr="00885F62">
        <w:t>menta</w:t>
      </w:r>
      <w:r w:rsidR="00823F92" w:rsidRPr="00885F62">
        <w:t>l</w:t>
      </w:r>
      <w:r w:rsidR="00823F92">
        <w:t xml:space="preserve"> </w:t>
      </w:r>
      <w:r w:rsidR="00185565" w:rsidRPr="00885F62">
        <w:t>healt</w:t>
      </w:r>
      <w:r w:rsidR="00823F92" w:rsidRPr="00885F62">
        <w:t>h</w:t>
      </w:r>
      <w:r w:rsidR="00823F92">
        <w:t xml:space="preserve"> </w:t>
      </w:r>
      <w:r w:rsidR="00185565" w:rsidRPr="00885F62">
        <w:t>nurse</w:t>
      </w:r>
      <w:r w:rsidR="00823F92" w:rsidRPr="00885F62">
        <w:t>s</w:t>
      </w:r>
      <w:r w:rsidR="00823F92">
        <w:t xml:space="preserve"> </w:t>
      </w:r>
      <w:r w:rsidR="00185565" w:rsidRPr="00885F62">
        <w:t>o</w:t>
      </w:r>
      <w:r w:rsidR="00823F92" w:rsidRPr="00885F62">
        <w:t>f</w:t>
      </w:r>
      <w:r w:rsidR="00823F92">
        <w:t xml:space="preserve"> </w:t>
      </w:r>
      <w:r w:rsidR="00185565" w:rsidRPr="00885F62">
        <w:rPr>
          <w:lang w:val="en-US"/>
        </w:rPr>
        <w:t>betwee</w:t>
      </w:r>
      <w:r w:rsidR="00823F92" w:rsidRPr="00885F62">
        <w:rPr>
          <w:lang w:val="en-US"/>
        </w:rPr>
        <w:t>n</w:t>
      </w:r>
      <w:r w:rsidR="00823F92">
        <w:rPr>
          <w:lang w:val="en-US"/>
        </w:rPr>
        <w:t xml:space="preserve"> </w:t>
      </w:r>
      <w:r w:rsidR="00185565" w:rsidRPr="00885F62">
        <w:rPr>
          <w:lang w:val="en-US"/>
        </w:rPr>
        <w:t>11,50</w:t>
      </w:r>
      <w:r w:rsidR="00823F92" w:rsidRPr="00885F62">
        <w:rPr>
          <w:lang w:val="en-US"/>
        </w:rPr>
        <w:t>0</w:t>
      </w:r>
      <w:r w:rsidR="00823F92">
        <w:rPr>
          <w:lang w:val="en-US"/>
        </w:rPr>
        <w:t xml:space="preserve"> </w:t>
      </w:r>
      <w:r w:rsidR="00185565" w:rsidRPr="00885F62">
        <w:rPr>
          <w:lang w:val="en-US"/>
        </w:rPr>
        <w:t>an</w:t>
      </w:r>
      <w:r w:rsidR="00823F92" w:rsidRPr="00885F62">
        <w:rPr>
          <w:lang w:val="en-US"/>
        </w:rPr>
        <w:t>d</w:t>
      </w:r>
      <w:r w:rsidR="00823F92">
        <w:rPr>
          <w:lang w:val="en-US"/>
        </w:rPr>
        <w:t xml:space="preserve"> </w:t>
      </w:r>
      <w:r w:rsidR="00185565" w:rsidRPr="00885F62">
        <w:rPr>
          <w:lang w:val="en-US"/>
        </w:rPr>
        <w:t>18,50</w:t>
      </w:r>
      <w:r w:rsidR="00823F92" w:rsidRPr="00885F62">
        <w:rPr>
          <w:lang w:val="en-US"/>
        </w:rPr>
        <w:t>0</w:t>
      </w:r>
      <w:r w:rsidR="00823F92">
        <w:rPr>
          <w:lang w:val="en-US"/>
        </w:rPr>
        <w:t xml:space="preserve"> </w:t>
      </w:r>
      <w:r w:rsidR="00185565" w:rsidRPr="00885F62">
        <w:rPr>
          <w:lang w:val="en-US"/>
        </w:rPr>
        <w:t>b</w:t>
      </w:r>
      <w:r w:rsidR="00823F92" w:rsidRPr="00885F62">
        <w:rPr>
          <w:lang w:val="en-US"/>
        </w:rPr>
        <w:t>y</w:t>
      </w:r>
      <w:r w:rsidR="00823F92">
        <w:rPr>
          <w:lang w:val="en-US"/>
        </w:rPr>
        <w:t xml:space="preserve"> </w:t>
      </w:r>
      <w:r w:rsidR="00185565" w:rsidRPr="00885F62">
        <w:rPr>
          <w:lang w:val="en-US"/>
        </w:rPr>
        <w:t>2030.</w:t>
      </w:r>
      <w:r w:rsidR="00185565" w:rsidRPr="00885F62">
        <w:rPr>
          <w:rStyle w:val="FootnoteReference"/>
          <w:lang w:val="en-US"/>
        </w:rPr>
        <w:footnoteReference w:id="19"/>
      </w:r>
    </w:p>
    <w:p w14:paraId="3C6486D1" w14:textId="00F84D8D" w:rsidR="00453F15" w:rsidRDefault="00453F15" w:rsidP="009245F1">
      <w:pPr>
        <w:pStyle w:val="Heading3"/>
      </w:pPr>
      <w:r w:rsidRPr="000E25B1">
        <w:lastRenderedPageBreak/>
        <w:t>Occupationa</w:t>
      </w:r>
      <w:r w:rsidR="00823F92" w:rsidRPr="000E25B1">
        <w:t>l</w:t>
      </w:r>
      <w:r w:rsidR="00823F92">
        <w:t xml:space="preserve"> </w:t>
      </w:r>
      <w:r>
        <w:t>t</w:t>
      </w:r>
      <w:r w:rsidRPr="000E25B1">
        <w:t>herapist</w:t>
      </w:r>
      <w:r w:rsidR="00823F92" w:rsidRPr="000E25B1">
        <w:t>s</w:t>
      </w:r>
      <w:r w:rsidR="00823F92">
        <w:t xml:space="preserve"> </w:t>
      </w:r>
    </w:p>
    <w:p w14:paraId="7EFE1176" w14:textId="612EDCF0" w:rsidR="00F52B90" w:rsidRDefault="005137B8" w:rsidP="009245F1">
      <w:pPr>
        <w:pStyle w:val="BodyText"/>
        <w:keepNext/>
        <w:keepLines/>
        <w:rPr>
          <w:lang w:val="en-US"/>
        </w:rPr>
      </w:pPr>
      <w:r w:rsidRPr="009245F1">
        <w:rPr>
          <w:lang w:val="en-US"/>
        </w:rPr>
        <w:t>Role:</w:t>
      </w:r>
      <w:r w:rsidR="00F52B90" w:rsidRPr="00F52B90">
        <w:rPr>
          <w:lang w:val="en-US"/>
        </w:rPr>
        <w:t xml:space="preserve"> </w:t>
      </w:r>
      <w:r w:rsidR="00F52B90" w:rsidRPr="006C4490">
        <w:rPr>
          <w:lang w:val="en-US"/>
        </w:rPr>
        <w:t>Occupationa</w:t>
      </w:r>
      <w:r w:rsidR="00823F92" w:rsidRPr="006C4490">
        <w:rPr>
          <w:lang w:val="en-US"/>
        </w:rPr>
        <w:t>l</w:t>
      </w:r>
      <w:r w:rsidR="00823F92">
        <w:rPr>
          <w:lang w:val="en-US"/>
        </w:rPr>
        <w:t xml:space="preserve"> </w:t>
      </w:r>
      <w:r w:rsidR="00F52B90">
        <w:rPr>
          <w:lang w:val="en-US"/>
        </w:rPr>
        <w:t>t</w:t>
      </w:r>
      <w:r w:rsidR="00F52B90" w:rsidRPr="006C4490">
        <w:rPr>
          <w:lang w:val="en-US"/>
        </w:rPr>
        <w:t>herapist</w:t>
      </w:r>
      <w:r w:rsidR="00823F92" w:rsidRPr="006C4490">
        <w:rPr>
          <w:lang w:val="en-US"/>
        </w:rPr>
        <w:t>s</w:t>
      </w:r>
      <w:r w:rsidR="00823F92">
        <w:rPr>
          <w:lang w:val="en-US"/>
        </w:rPr>
        <w:t xml:space="preserve"> </w:t>
      </w:r>
      <w:r w:rsidR="00F52B90" w:rsidRPr="006C4490">
        <w:rPr>
          <w:lang w:val="en-US"/>
        </w:rPr>
        <w:t>provid</w:t>
      </w:r>
      <w:r w:rsidR="00823F92" w:rsidRPr="006C4490">
        <w:rPr>
          <w:lang w:val="en-US"/>
        </w:rPr>
        <w:t>e</w:t>
      </w:r>
      <w:r w:rsidR="00823F92">
        <w:rPr>
          <w:lang w:val="en-US"/>
        </w:rPr>
        <w:t xml:space="preserve"> </w:t>
      </w:r>
      <w:r w:rsidR="00F52B90" w:rsidRPr="001C0019">
        <w:t>behaviourally</w:t>
      </w:r>
      <w:r w:rsidR="00F52B90" w:rsidRPr="006C4490">
        <w:rPr>
          <w:lang w:val="en-US"/>
        </w:rPr>
        <w:t>-oriente</w:t>
      </w:r>
      <w:r w:rsidR="00823F92" w:rsidRPr="006C4490">
        <w:rPr>
          <w:lang w:val="en-US"/>
        </w:rPr>
        <w:t>d</w:t>
      </w:r>
      <w:r w:rsidR="00823F92">
        <w:rPr>
          <w:lang w:val="en-US"/>
        </w:rPr>
        <w:t xml:space="preserve"> </w:t>
      </w:r>
      <w:r w:rsidR="00F52B90" w:rsidRPr="006C4490">
        <w:rPr>
          <w:lang w:val="en-US"/>
        </w:rPr>
        <w:t>an</w:t>
      </w:r>
      <w:r w:rsidR="00823F92" w:rsidRPr="006C4490">
        <w:rPr>
          <w:lang w:val="en-US"/>
        </w:rPr>
        <w:t>d</w:t>
      </w:r>
      <w:r w:rsidR="00823F92">
        <w:rPr>
          <w:lang w:val="en-US"/>
        </w:rPr>
        <w:t xml:space="preserve"> </w:t>
      </w:r>
      <w:r w:rsidR="00F52B90" w:rsidRPr="006C4490">
        <w:rPr>
          <w:lang w:val="en-US"/>
        </w:rPr>
        <w:t>goal-directe</w:t>
      </w:r>
      <w:r w:rsidR="00823F92" w:rsidRPr="006C4490">
        <w:rPr>
          <w:lang w:val="en-US"/>
        </w:rPr>
        <w:t>d</w:t>
      </w:r>
      <w:r w:rsidR="00823F92">
        <w:rPr>
          <w:lang w:val="en-US"/>
        </w:rPr>
        <w:t xml:space="preserve"> </w:t>
      </w:r>
      <w:r w:rsidR="00F52B90" w:rsidRPr="006C4490">
        <w:rPr>
          <w:lang w:val="en-US"/>
        </w:rPr>
        <w:t>service</w:t>
      </w:r>
      <w:r w:rsidR="00823F92" w:rsidRPr="006C4490">
        <w:rPr>
          <w:lang w:val="en-US"/>
        </w:rPr>
        <w:t>s</w:t>
      </w:r>
      <w:r w:rsidR="00823F92">
        <w:rPr>
          <w:lang w:val="en-US"/>
        </w:rPr>
        <w:t xml:space="preserve"> </w:t>
      </w:r>
      <w:r w:rsidR="00F52B90" w:rsidRPr="006C4490">
        <w:rPr>
          <w:lang w:val="en-US"/>
        </w:rPr>
        <w:t>t</w:t>
      </w:r>
      <w:r w:rsidR="00823F92" w:rsidRPr="006C4490">
        <w:rPr>
          <w:lang w:val="en-US"/>
        </w:rPr>
        <w:t>o</w:t>
      </w:r>
      <w:r w:rsidR="00823F92">
        <w:rPr>
          <w:lang w:val="en-US"/>
        </w:rPr>
        <w:t xml:space="preserve"> </w:t>
      </w:r>
      <w:r w:rsidR="00F52B90" w:rsidRPr="006C4490">
        <w:rPr>
          <w:lang w:val="en-US"/>
        </w:rPr>
        <w:t>assis</w:t>
      </w:r>
      <w:r w:rsidR="00823F92" w:rsidRPr="006C4490">
        <w:rPr>
          <w:lang w:val="en-US"/>
        </w:rPr>
        <w:t>t</w:t>
      </w:r>
      <w:r w:rsidR="00823F92">
        <w:rPr>
          <w:lang w:val="en-US"/>
        </w:rPr>
        <w:t xml:space="preserve"> </w:t>
      </w:r>
      <w:r w:rsidR="00F52B90" w:rsidRPr="006C4490">
        <w:rPr>
          <w:lang w:val="en-US"/>
        </w:rPr>
        <w:t>peopl</w:t>
      </w:r>
      <w:r w:rsidR="00823F92" w:rsidRPr="006C4490">
        <w:rPr>
          <w:lang w:val="en-US"/>
        </w:rPr>
        <w:t>e</w:t>
      </w:r>
      <w:r w:rsidR="00823F92">
        <w:rPr>
          <w:lang w:val="en-US"/>
        </w:rPr>
        <w:t xml:space="preserve"> </w:t>
      </w:r>
      <w:r w:rsidR="00F52B90" w:rsidRPr="006C4490">
        <w:rPr>
          <w:lang w:val="en-US"/>
        </w:rPr>
        <w:t>wit</w:t>
      </w:r>
      <w:r w:rsidR="00823F92" w:rsidRPr="006C4490">
        <w:rPr>
          <w:lang w:val="en-US"/>
        </w:rPr>
        <w:t>h</w:t>
      </w:r>
      <w:r w:rsidR="00823F92">
        <w:rPr>
          <w:lang w:val="en-US"/>
        </w:rPr>
        <w:t xml:space="preserve"> </w:t>
      </w:r>
      <w:r w:rsidR="00F52B90" w:rsidRPr="006C4490">
        <w:rPr>
          <w:lang w:val="en-US"/>
        </w:rPr>
        <w:t>dail</w:t>
      </w:r>
      <w:r w:rsidR="00823F92" w:rsidRPr="006C4490">
        <w:rPr>
          <w:lang w:val="en-US"/>
        </w:rPr>
        <w:t>y</w:t>
      </w:r>
      <w:r w:rsidR="00823F92">
        <w:rPr>
          <w:lang w:val="en-US"/>
        </w:rPr>
        <w:t xml:space="preserve"> </w:t>
      </w:r>
      <w:r w:rsidR="00F52B90" w:rsidRPr="006C4490">
        <w:rPr>
          <w:lang w:val="en-US"/>
        </w:rPr>
        <w:t>livin</w:t>
      </w:r>
      <w:r w:rsidR="00823F92" w:rsidRPr="006C4490">
        <w:rPr>
          <w:lang w:val="en-US"/>
        </w:rPr>
        <w:t>g</w:t>
      </w:r>
      <w:r w:rsidR="00823F92">
        <w:rPr>
          <w:lang w:val="en-US"/>
        </w:rPr>
        <w:t xml:space="preserve"> </w:t>
      </w:r>
      <w:r w:rsidR="00F52B90" w:rsidRPr="006C4490">
        <w:rPr>
          <w:lang w:val="en-US"/>
        </w:rPr>
        <w:t>an</w:t>
      </w:r>
      <w:r w:rsidR="00823F92" w:rsidRPr="006C4490">
        <w:rPr>
          <w:lang w:val="en-US"/>
        </w:rPr>
        <w:t>d</w:t>
      </w:r>
      <w:r w:rsidR="00823F92">
        <w:rPr>
          <w:lang w:val="en-US"/>
        </w:rPr>
        <w:t xml:space="preserve"> </w:t>
      </w:r>
      <w:r w:rsidR="00F52B90" w:rsidRPr="006C4490">
        <w:rPr>
          <w:lang w:val="en-US"/>
        </w:rPr>
        <w:t>wor</w:t>
      </w:r>
      <w:r w:rsidR="00823F92" w:rsidRPr="006C4490">
        <w:rPr>
          <w:lang w:val="en-US"/>
        </w:rPr>
        <w:t>k</w:t>
      </w:r>
      <w:r w:rsidR="00823F92">
        <w:rPr>
          <w:lang w:val="en-US"/>
        </w:rPr>
        <w:t xml:space="preserve"> </w:t>
      </w:r>
      <w:r w:rsidR="00F52B90" w:rsidRPr="006C4490">
        <w:rPr>
          <w:lang w:val="en-US"/>
        </w:rPr>
        <w:t>skills</w:t>
      </w:r>
      <w:r w:rsidR="00823F92" w:rsidRPr="006C4490">
        <w:rPr>
          <w:lang w:val="en-US"/>
        </w:rPr>
        <w:t>.</w:t>
      </w:r>
      <w:r w:rsidR="00823F92">
        <w:rPr>
          <w:lang w:val="en-US"/>
        </w:rPr>
        <w:t xml:space="preserve"> </w:t>
      </w:r>
      <w:r w:rsidR="00F52B90" w:rsidRPr="006C4490">
        <w:rPr>
          <w:lang w:val="en-US"/>
        </w:rPr>
        <w:t>Ther</w:t>
      </w:r>
      <w:r w:rsidR="00823F92" w:rsidRPr="006C4490">
        <w:rPr>
          <w:lang w:val="en-US"/>
        </w:rPr>
        <w:t>e</w:t>
      </w:r>
      <w:r w:rsidR="00823F92">
        <w:rPr>
          <w:lang w:val="en-US"/>
        </w:rPr>
        <w:t xml:space="preserve"> </w:t>
      </w:r>
      <w:r w:rsidR="00F52B90" w:rsidRPr="006C4490">
        <w:rPr>
          <w:lang w:val="en-US"/>
        </w:rPr>
        <w:t>ar</w:t>
      </w:r>
      <w:r w:rsidR="00823F92" w:rsidRPr="006C4490">
        <w:rPr>
          <w:lang w:val="en-US"/>
        </w:rPr>
        <w:t>e</w:t>
      </w:r>
      <w:r w:rsidR="00823F92">
        <w:rPr>
          <w:lang w:val="en-US"/>
        </w:rPr>
        <w:t xml:space="preserve"> </w:t>
      </w:r>
      <w:proofErr w:type="spellStart"/>
      <w:r w:rsidR="00F52B90" w:rsidRPr="006C4490">
        <w:rPr>
          <w:lang w:val="en-US"/>
        </w:rPr>
        <w:t>specialise</w:t>
      </w:r>
      <w:r w:rsidR="00823F92" w:rsidRPr="006C4490">
        <w:rPr>
          <w:lang w:val="en-US"/>
        </w:rPr>
        <w:t>d</w:t>
      </w:r>
      <w:proofErr w:type="spellEnd"/>
      <w:r w:rsidR="00823F92">
        <w:rPr>
          <w:lang w:val="en-US"/>
        </w:rPr>
        <w:t xml:space="preserve"> </w:t>
      </w:r>
      <w:r w:rsidR="00F52B90" w:rsidRPr="006C4490">
        <w:rPr>
          <w:lang w:val="en-US"/>
        </w:rPr>
        <w:t>Menta</w:t>
      </w:r>
      <w:r w:rsidR="00823F92" w:rsidRPr="006C4490">
        <w:rPr>
          <w:lang w:val="en-US"/>
        </w:rPr>
        <w:t>l</w:t>
      </w:r>
      <w:r w:rsidR="00823F92">
        <w:rPr>
          <w:lang w:val="en-US"/>
        </w:rPr>
        <w:t xml:space="preserve"> </w:t>
      </w:r>
      <w:r w:rsidR="00F52B90" w:rsidRPr="006C4490">
        <w:rPr>
          <w:lang w:val="en-US"/>
        </w:rPr>
        <w:t>Healt</w:t>
      </w:r>
      <w:r w:rsidR="00823F92" w:rsidRPr="006C4490">
        <w:rPr>
          <w:lang w:val="en-US"/>
        </w:rPr>
        <w:t>h</w:t>
      </w:r>
      <w:r w:rsidR="00823F92">
        <w:rPr>
          <w:lang w:val="en-US"/>
        </w:rPr>
        <w:t xml:space="preserve"> </w:t>
      </w:r>
      <w:r w:rsidR="00F52B90">
        <w:rPr>
          <w:lang w:val="en-US"/>
        </w:rPr>
        <w:t>occupationa</w:t>
      </w:r>
      <w:r w:rsidR="00823F92">
        <w:rPr>
          <w:lang w:val="en-US"/>
        </w:rPr>
        <w:t xml:space="preserve">l </w:t>
      </w:r>
      <w:r w:rsidR="00F52B90">
        <w:rPr>
          <w:lang w:val="en-US"/>
        </w:rPr>
        <w:t>therapists</w:t>
      </w:r>
      <w:r w:rsidR="00823F92" w:rsidRPr="006C4490">
        <w:rPr>
          <w:lang w:val="en-US"/>
        </w:rPr>
        <w:t>,</w:t>
      </w:r>
      <w:r w:rsidR="00823F92">
        <w:rPr>
          <w:lang w:val="en-US"/>
        </w:rPr>
        <w:t xml:space="preserve"> </w:t>
      </w:r>
      <w:r w:rsidR="00F52B90" w:rsidRPr="006C4490">
        <w:rPr>
          <w:lang w:val="en-US"/>
        </w:rPr>
        <w:t>wh</w:t>
      </w:r>
      <w:r w:rsidR="00823F92" w:rsidRPr="006C4490">
        <w:rPr>
          <w:lang w:val="en-US"/>
        </w:rPr>
        <w:t>o</w:t>
      </w:r>
      <w:r w:rsidR="00823F92">
        <w:rPr>
          <w:lang w:val="en-US"/>
        </w:rPr>
        <w:t xml:space="preserve"> </w:t>
      </w:r>
      <w:r w:rsidR="00F52B90" w:rsidRPr="006C4490">
        <w:rPr>
          <w:lang w:val="en-US"/>
        </w:rPr>
        <w:t>assis</w:t>
      </w:r>
      <w:r w:rsidR="00823F92" w:rsidRPr="006C4490">
        <w:rPr>
          <w:lang w:val="en-US"/>
        </w:rPr>
        <w:t>t</w:t>
      </w:r>
      <w:r w:rsidR="00823F92">
        <w:rPr>
          <w:lang w:val="en-US"/>
        </w:rPr>
        <w:t xml:space="preserve"> </w:t>
      </w:r>
      <w:r w:rsidR="00F52B90" w:rsidRPr="006C4490">
        <w:rPr>
          <w:lang w:val="en-US"/>
        </w:rPr>
        <w:t>peopl</w:t>
      </w:r>
      <w:r w:rsidR="00823F92" w:rsidRPr="006C4490">
        <w:rPr>
          <w:lang w:val="en-US"/>
        </w:rPr>
        <w:t>e</w:t>
      </w:r>
      <w:r w:rsidR="00823F92">
        <w:rPr>
          <w:lang w:val="en-US"/>
        </w:rPr>
        <w:t xml:space="preserve"> </w:t>
      </w:r>
      <w:r w:rsidR="00F52B90" w:rsidRPr="006C4490">
        <w:rPr>
          <w:lang w:val="en-US"/>
        </w:rPr>
        <w:t>wh</w:t>
      </w:r>
      <w:r w:rsidR="00823F92" w:rsidRPr="006C4490">
        <w:rPr>
          <w:lang w:val="en-US"/>
        </w:rPr>
        <w:t>o</w:t>
      </w:r>
      <w:r w:rsidR="00823F92">
        <w:rPr>
          <w:lang w:val="en-US"/>
        </w:rPr>
        <w:t xml:space="preserve"> </w:t>
      </w:r>
      <w:r w:rsidR="00F52B90" w:rsidRPr="006C4490">
        <w:rPr>
          <w:lang w:val="en-US"/>
        </w:rPr>
        <w:t>ar</w:t>
      </w:r>
      <w:r w:rsidR="00823F92" w:rsidRPr="006C4490">
        <w:rPr>
          <w:lang w:val="en-US"/>
        </w:rPr>
        <w:t>e</w:t>
      </w:r>
      <w:r w:rsidR="00823F92">
        <w:rPr>
          <w:lang w:val="en-US"/>
        </w:rPr>
        <w:t xml:space="preserve"> </w:t>
      </w:r>
      <w:r w:rsidR="00F52B90" w:rsidRPr="006C4490">
        <w:rPr>
          <w:lang w:val="en-US"/>
        </w:rPr>
        <w:t>strugglin</w:t>
      </w:r>
      <w:r w:rsidR="00823F92" w:rsidRPr="006C4490">
        <w:rPr>
          <w:lang w:val="en-US"/>
        </w:rPr>
        <w:t>g</w:t>
      </w:r>
      <w:r w:rsidR="00823F92">
        <w:rPr>
          <w:lang w:val="en-US"/>
        </w:rPr>
        <w:t xml:space="preserve"> </w:t>
      </w:r>
      <w:r w:rsidR="00F52B90" w:rsidRPr="006C4490">
        <w:rPr>
          <w:lang w:val="en-US"/>
        </w:rPr>
        <w:t>wit</w:t>
      </w:r>
      <w:r w:rsidR="00823F92" w:rsidRPr="006C4490">
        <w:rPr>
          <w:lang w:val="en-US"/>
        </w:rPr>
        <w:t>h</w:t>
      </w:r>
      <w:r w:rsidR="00823F92">
        <w:rPr>
          <w:lang w:val="en-US"/>
        </w:rPr>
        <w:t xml:space="preserve"> </w:t>
      </w:r>
      <w:r w:rsidR="00F52B90" w:rsidRPr="006C4490">
        <w:rPr>
          <w:lang w:val="en-US"/>
        </w:rPr>
        <w:t>menta</w:t>
      </w:r>
      <w:r w:rsidR="00823F92" w:rsidRPr="006C4490">
        <w:rPr>
          <w:lang w:val="en-US"/>
        </w:rPr>
        <w:t>l</w:t>
      </w:r>
      <w:r w:rsidR="00823F92">
        <w:rPr>
          <w:lang w:val="en-US"/>
        </w:rPr>
        <w:t xml:space="preserve"> </w:t>
      </w:r>
      <w:r w:rsidR="00F52B90" w:rsidRPr="006C4490">
        <w:rPr>
          <w:lang w:val="en-US"/>
        </w:rPr>
        <w:t>distres</w:t>
      </w:r>
      <w:r w:rsidR="00823F92" w:rsidRPr="006C4490">
        <w:rPr>
          <w:lang w:val="en-US"/>
        </w:rPr>
        <w:t>s</w:t>
      </w:r>
      <w:r w:rsidR="00823F92">
        <w:rPr>
          <w:lang w:val="en-US"/>
        </w:rPr>
        <w:t xml:space="preserve"> </w:t>
      </w:r>
      <w:r w:rsidR="00F52B90" w:rsidRPr="006C4490">
        <w:rPr>
          <w:lang w:val="en-US"/>
        </w:rPr>
        <w:t>and/o</w:t>
      </w:r>
      <w:r w:rsidR="00823F92" w:rsidRPr="006C4490">
        <w:rPr>
          <w:lang w:val="en-US"/>
        </w:rPr>
        <w:t>r</w:t>
      </w:r>
      <w:r w:rsidR="00823F92">
        <w:rPr>
          <w:lang w:val="en-US"/>
        </w:rPr>
        <w:t xml:space="preserve"> </w:t>
      </w:r>
      <w:r w:rsidR="00F52B90" w:rsidRPr="006C4490">
        <w:rPr>
          <w:lang w:val="en-US"/>
        </w:rPr>
        <w:t>ill</w:t>
      </w:r>
      <w:r w:rsidR="00F52B90">
        <w:rPr>
          <w:lang w:val="en-US"/>
        </w:rPr>
        <w:t>-health</w:t>
      </w:r>
      <w:r w:rsidR="00823F92" w:rsidRPr="006C4490">
        <w:rPr>
          <w:lang w:val="en-US"/>
        </w:rPr>
        <w:t>.</w:t>
      </w:r>
      <w:r w:rsidR="00823F92">
        <w:rPr>
          <w:lang w:val="en-US"/>
        </w:rPr>
        <w:t xml:space="preserve"> </w:t>
      </w:r>
    </w:p>
    <w:p w14:paraId="6588CF57" w14:textId="57305131" w:rsidR="005137B8" w:rsidRDefault="005137B8" w:rsidP="009245F1">
      <w:pPr>
        <w:pStyle w:val="BodyText"/>
        <w:keepNext/>
        <w:keepLines/>
        <w:rPr>
          <w:b/>
          <w:bCs/>
          <w:lang w:val="en-US"/>
        </w:rPr>
      </w:pPr>
      <w:r w:rsidRPr="009245F1">
        <w:rPr>
          <w:lang w:val="en-US"/>
        </w:rPr>
        <w:t xml:space="preserve">Setting: </w:t>
      </w:r>
      <w:r w:rsidR="007413CF">
        <w:rPr>
          <w:lang w:val="en-US"/>
        </w:rPr>
        <w:t>O</w:t>
      </w:r>
      <w:r w:rsidR="00F52B90">
        <w:rPr>
          <w:lang w:val="en-US"/>
        </w:rPr>
        <w:t>ccupationa</w:t>
      </w:r>
      <w:r w:rsidR="00823F92">
        <w:rPr>
          <w:lang w:val="en-US"/>
        </w:rPr>
        <w:t xml:space="preserve">l </w:t>
      </w:r>
      <w:r w:rsidR="00F52B90">
        <w:rPr>
          <w:lang w:val="en-US"/>
        </w:rPr>
        <w:t>therapist</w:t>
      </w:r>
      <w:r w:rsidR="00823F92">
        <w:rPr>
          <w:lang w:val="en-US"/>
        </w:rPr>
        <w:t xml:space="preserve">s </w:t>
      </w:r>
      <w:r w:rsidR="007413CF">
        <w:rPr>
          <w:lang w:val="en-US"/>
        </w:rPr>
        <w:t>ar</w:t>
      </w:r>
      <w:r w:rsidR="00823F92">
        <w:rPr>
          <w:lang w:val="en-US"/>
        </w:rPr>
        <w:t xml:space="preserve">e </w:t>
      </w:r>
      <w:r w:rsidR="007413CF">
        <w:rPr>
          <w:lang w:val="en-US"/>
        </w:rPr>
        <w:t>relativel</w:t>
      </w:r>
      <w:r w:rsidR="00823F92">
        <w:rPr>
          <w:lang w:val="en-US"/>
        </w:rPr>
        <w:t xml:space="preserve">y </w:t>
      </w:r>
      <w:r w:rsidR="007413CF">
        <w:rPr>
          <w:lang w:val="en-US"/>
        </w:rPr>
        <w:t>evenl</w:t>
      </w:r>
      <w:r w:rsidR="00823F92">
        <w:rPr>
          <w:lang w:val="en-US"/>
        </w:rPr>
        <w:t xml:space="preserve">y </w:t>
      </w:r>
      <w:r w:rsidR="007413CF">
        <w:rPr>
          <w:lang w:val="en-US"/>
        </w:rPr>
        <w:t>spli</w:t>
      </w:r>
      <w:r w:rsidR="00823F92">
        <w:rPr>
          <w:lang w:val="en-US"/>
        </w:rPr>
        <w:t xml:space="preserve">t </w:t>
      </w:r>
      <w:r w:rsidR="007413CF">
        <w:rPr>
          <w:lang w:val="en-US"/>
        </w:rPr>
        <w:t>acros</w:t>
      </w:r>
      <w:r w:rsidR="00823F92">
        <w:rPr>
          <w:lang w:val="en-US"/>
        </w:rPr>
        <w:t xml:space="preserve">s </w:t>
      </w:r>
      <w:r w:rsidR="007413CF">
        <w:rPr>
          <w:lang w:val="en-US"/>
        </w:rPr>
        <w:t>publi</w:t>
      </w:r>
      <w:r w:rsidR="00823F92">
        <w:rPr>
          <w:lang w:val="en-US"/>
        </w:rPr>
        <w:t xml:space="preserve">c </w:t>
      </w:r>
      <w:r w:rsidR="007413CF">
        <w:rPr>
          <w:lang w:val="en-US"/>
        </w:rPr>
        <w:t>an</w:t>
      </w:r>
      <w:r w:rsidR="00823F92">
        <w:rPr>
          <w:lang w:val="en-US"/>
        </w:rPr>
        <w:t xml:space="preserve">d </w:t>
      </w:r>
      <w:r w:rsidR="007413CF">
        <w:rPr>
          <w:lang w:val="en-US"/>
        </w:rPr>
        <w:t>privat</w:t>
      </w:r>
      <w:r w:rsidR="00823F92">
        <w:rPr>
          <w:lang w:val="en-US"/>
        </w:rPr>
        <w:t xml:space="preserve">e </w:t>
      </w:r>
      <w:r w:rsidR="007413CF">
        <w:rPr>
          <w:lang w:val="en-US"/>
        </w:rPr>
        <w:t>settings</w:t>
      </w:r>
      <w:r w:rsidR="00F52B90" w:rsidRPr="006C4490">
        <w:rPr>
          <w:lang w:val="en-US"/>
        </w:rPr>
        <w:t>.</w:t>
      </w:r>
    </w:p>
    <w:p w14:paraId="7C21FA55" w14:textId="228CBCAF" w:rsidR="00F52B90" w:rsidRPr="009245F1" w:rsidRDefault="005137B8" w:rsidP="00F52B90">
      <w:pPr>
        <w:pStyle w:val="BodyText"/>
        <w:rPr>
          <w:lang w:val="en-US"/>
        </w:rPr>
      </w:pPr>
      <w:r w:rsidRPr="009245F1">
        <w:rPr>
          <w:lang w:val="en-US"/>
        </w:rPr>
        <w:t>Training:</w:t>
      </w:r>
      <w:r>
        <w:rPr>
          <w:b/>
          <w:bCs/>
          <w:lang w:val="en-US"/>
        </w:rPr>
        <w:t xml:space="preserve"> </w:t>
      </w:r>
      <w:r w:rsidR="00F52B90">
        <w:rPr>
          <w:lang w:val="en-US"/>
        </w:rPr>
        <w:t>Occupationa</w:t>
      </w:r>
      <w:r w:rsidR="00823F92">
        <w:rPr>
          <w:lang w:val="en-US"/>
        </w:rPr>
        <w:t xml:space="preserve">l </w:t>
      </w:r>
      <w:r w:rsidR="00F52B90">
        <w:rPr>
          <w:lang w:val="en-US"/>
        </w:rPr>
        <w:t>therapist</w:t>
      </w:r>
      <w:r w:rsidR="00823F92">
        <w:rPr>
          <w:lang w:val="en-US"/>
        </w:rPr>
        <w:t xml:space="preserve">s </w:t>
      </w:r>
      <w:r w:rsidR="00F52B90" w:rsidRPr="00E606C6">
        <w:rPr>
          <w:lang w:val="en-US"/>
        </w:rPr>
        <w:t>mus</w:t>
      </w:r>
      <w:r w:rsidR="00823F92" w:rsidRPr="00E606C6">
        <w:rPr>
          <w:lang w:val="en-US"/>
        </w:rPr>
        <w:t>t</w:t>
      </w:r>
      <w:r w:rsidR="00823F92">
        <w:rPr>
          <w:lang w:val="en-US"/>
        </w:rPr>
        <w:t xml:space="preserve"> </w:t>
      </w:r>
      <w:r w:rsidR="00F52B90" w:rsidRPr="00E606C6">
        <w:rPr>
          <w:lang w:val="en-US"/>
        </w:rPr>
        <w:t>complet</w:t>
      </w:r>
      <w:r w:rsidR="00823F92" w:rsidRPr="00E606C6">
        <w:rPr>
          <w:lang w:val="en-US"/>
        </w:rPr>
        <w:t>e</w:t>
      </w:r>
      <w:r w:rsidR="00823F92">
        <w:rPr>
          <w:lang w:val="en-US"/>
        </w:rPr>
        <w:t xml:space="preserve"> </w:t>
      </w:r>
      <w:r w:rsidR="00B3212D" w:rsidRPr="00B3212D">
        <w:rPr>
          <w:lang w:val="en-US"/>
        </w:rPr>
        <w:t>a</w:t>
      </w:r>
      <w:r w:rsidR="00823F92" w:rsidRPr="00B3212D">
        <w:rPr>
          <w:lang w:val="en-US"/>
        </w:rPr>
        <w:t>n</w:t>
      </w:r>
      <w:r w:rsidR="00823F92">
        <w:rPr>
          <w:lang w:val="en-US"/>
        </w:rPr>
        <w:t xml:space="preserve"> </w:t>
      </w:r>
      <w:r w:rsidR="00B3212D" w:rsidRPr="00B3212D">
        <w:rPr>
          <w:lang w:val="en-US"/>
        </w:rPr>
        <w:t>entr</w:t>
      </w:r>
      <w:r w:rsidR="00823F92" w:rsidRPr="00B3212D">
        <w:rPr>
          <w:lang w:val="en-US"/>
        </w:rPr>
        <w:t>y</w:t>
      </w:r>
      <w:r w:rsidR="00823F92">
        <w:rPr>
          <w:lang w:val="en-US"/>
        </w:rPr>
        <w:t xml:space="preserve"> </w:t>
      </w:r>
      <w:r w:rsidR="00B3212D" w:rsidRPr="00B3212D">
        <w:rPr>
          <w:lang w:val="en-US"/>
        </w:rPr>
        <w:t>leve</w:t>
      </w:r>
      <w:r w:rsidR="00823F92" w:rsidRPr="00B3212D">
        <w:rPr>
          <w:lang w:val="en-US"/>
        </w:rPr>
        <w:t>l</w:t>
      </w:r>
      <w:r w:rsidR="00823F92">
        <w:rPr>
          <w:lang w:val="en-US"/>
        </w:rPr>
        <w:t xml:space="preserve"> </w:t>
      </w:r>
      <w:r w:rsidR="00B3212D" w:rsidRPr="00B3212D">
        <w:rPr>
          <w:lang w:val="en-US"/>
        </w:rPr>
        <w:t>cours</w:t>
      </w:r>
      <w:r w:rsidR="00823F92" w:rsidRPr="00B3212D">
        <w:rPr>
          <w:lang w:val="en-US"/>
        </w:rPr>
        <w:t>e</w:t>
      </w:r>
      <w:r w:rsidR="00823F92">
        <w:rPr>
          <w:lang w:val="en-US"/>
        </w:rPr>
        <w:t xml:space="preserve"> </w:t>
      </w:r>
      <w:r w:rsidR="00B3212D" w:rsidRPr="00B3212D">
        <w:rPr>
          <w:lang w:val="en-US"/>
        </w:rPr>
        <w:t>(Bachelor</w:t>
      </w:r>
      <w:r w:rsidR="00823F92" w:rsidRPr="00B3212D">
        <w:rPr>
          <w:lang w:val="en-US"/>
        </w:rPr>
        <w:t>,</w:t>
      </w:r>
      <w:r w:rsidR="00823F92">
        <w:rPr>
          <w:lang w:val="en-US"/>
        </w:rPr>
        <w:t xml:space="preserve"> </w:t>
      </w:r>
      <w:r w:rsidR="00B3212D" w:rsidRPr="00B3212D">
        <w:rPr>
          <w:lang w:val="en-US"/>
        </w:rPr>
        <w:t>Bachelo</w:t>
      </w:r>
      <w:r w:rsidR="00823F92" w:rsidRPr="00B3212D">
        <w:rPr>
          <w:lang w:val="en-US"/>
        </w:rPr>
        <w:t>r</w:t>
      </w:r>
      <w:r w:rsidR="00823F92">
        <w:rPr>
          <w:lang w:val="en-US"/>
        </w:rPr>
        <w:t xml:space="preserve"> </w:t>
      </w:r>
      <w:proofErr w:type="spellStart"/>
      <w:r w:rsidR="00B3212D" w:rsidRPr="00B3212D">
        <w:rPr>
          <w:lang w:val="en-US"/>
        </w:rPr>
        <w:t>Honour</w:t>
      </w:r>
      <w:r w:rsidR="00823F92" w:rsidRPr="00B3212D">
        <w:rPr>
          <w:lang w:val="en-US"/>
        </w:rPr>
        <w:t>s</w:t>
      </w:r>
      <w:proofErr w:type="spellEnd"/>
      <w:r w:rsidR="00823F92">
        <w:rPr>
          <w:lang w:val="en-US"/>
        </w:rPr>
        <w:t xml:space="preserve"> </w:t>
      </w:r>
      <w:r w:rsidR="00B3212D" w:rsidRPr="00B3212D">
        <w:rPr>
          <w:lang w:val="en-US"/>
        </w:rPr>
        <w:t>o</w:t>
      </w:r>
      <w:r w:rsidR="00823F92" w:rsidRPr="00B3212D">
        <w:rPr>
          <w:lang w:val="en-US"/>
        </w:rPr>
        <w:t>r</w:t>
      </w:r>
      <w:r w:rsidR="00823F92">
        <w:rPr>
          <w:lang w:val="en-US"/>
        </w:rPr>
        <w:t xml:space="preserve"> </w:t>
      </w:r>
      <w:proofErr w:type="gramStart"/>
      <w:r w:rsidR="00B3212D" w:rsidRPr="00B3212D">
        <w:rPr>
          <w:lang w:val="en-US"/>
        </w:rPr>
        <w:t>Master</w:t>
      </w:r>
      <w:r w:rsidR="00823F92" w:rsidRPr="00B3212D">
        <w:rPr>
          <w:lang w:val="en-US"/>
        </w:rPr>
        <w:t>s</w:t>
      </w:r>
      <w:proofErr w:type="gramEnd"/>
      <w:r w:rsidR="00823F92">
        <w:rPr>
          <w:lang w:val="en-US"/>
        </w:rPr>
        <w:t xml:space="preserve"> </w:t>
      </w:r>
      <w:r w:rsidR="00B3212D" w:rsidRPr="00B3212D">
        <w:rPr>
          <w:lang w:val="en-US"/>
        </w:rPr>
        <w:t>entr</w:t>
      </w:r>
      <w:r w:rsidR="00823F92" w:rsidRPr="00B3212D">
        <w:rPr>
          <w:lang w:val="en-US"/>
        </w:rPr>
        <w:t>y</w:t>
      </w:r>
      <w:r w:rsidR="00823F92">
        <w:rPr>
          <w:lang w:val="en-US"/>
        </w:rPr>
        <w:t xml:space="preserve"> </w:t>
      </w:r>
      <w:r w:rsidR="00B3212D" w:rsidRPr="00B3212D">
        <w:rPr>
          <w:lang w:val="en-US"/>
        </w:rPr>
        <w:t>level)</w:t>
      </w:r>
      <w:r w:rsidR="00823F92" w:rsidRPr="00E606C6">
        <w:rPr>
          <w:lang w:val="en-US"/>
        </w:rPr>
        <w:t>.</w:t>
      </w:r>
      <w:r w:rsidR="00823F92">
        <w:rPr>
          <w:lang w:val="en-US"/>
        </w:rPr>
        <w:t xml:space="preserve"> </w:t>
      </w:r>
      <w:r w:rsidR="00F52B90">
        <w:rPr>
          <w:lang w:val="en-US"/>
        </w:rPr>
        <w:t>Accredite</w:t>
      </w:r>
      <w:r w:rsidR="00823F92">
        <w:rPr>
          <w:lang w:val="en-US"/>
        </w:rPr>
        <w:t xml:space="preserve">d </w:t>
      </w:r>
      <w:r w:rsidR="00F52B90" w:rsidRPr="00E606C6">
        <w:rPr>
          <w:lang w:val="en-US"/>
        </w:rPr>
        <w:t>Menta</w:t>
      </w:r>
      <w:r w:rsidR="00823F92" w:rsidRPr="00E606C6">
        <w:rPr>
          <w:lang w:val="en-US"/>
        </w:rPr>
        <w:t>l</w:t>
      </w:r>
      <w:r w:rsidR="00823F92">
        <w:rPr>
          <w:lang w:val="en-US"/>
        </w:rPr>
        <w:t xml:space="preserve"> </w:t>
      </w:r>
      <w:r w:rsidR="00F52B90" w:rsidRPr="00E606C6">
        <w:rPr>
          <w:lang w:val="en-US"/>
        </w:rPr>
        <w:t>Healt</w:t>
      </w:r>
      <w:r w:rsidR="00823F92" w:rsidRPr="00E606C6">
        <w:rPr>
          <w:lang w:val="en-US"/>
        </w:rPr>
        <w:t>h</w:t>
      </w:r>
      <w:r w:rsidR="00823F92">
        <w:rPr>
          <w:lang w:val="en-US"/>
        </w:rPr>
        <w:t xml:space="preserve"> </w:t>
      </w:r>
      <w:r w:rsidR="00F52B90">
        <w:rPr>
          <w:lang w:val="en-US"/>
        </w:rPr>
        <w:t>o</w:t>
      </w:r>
      <w:r w:rsidR="00F52B90" w:rsidRPr="00E606C6">
        <w:rPr>
          <w:lang w:val="en-US"/>
        </w:rPr>
        <w:t>ccupationa</w:t>
      </w:r>
      <w:r w:rsidR="00823F92" w:rsidRPr="00E606C6">
        <w:rPr>
          <w:lang w:val="en-US"/>
        </w:rPr>
        <w:t>l</w:t>
      </w:r>
      <w:r w:rsidR="00823F92">
        <w:rPr>
          <w:lang w:val="en-US"/>
        </w:rPr>
        <w:t xml:space="preserve"> </w:t>
      </w:r>
      <w:r w:rsidR="00F52B90">
        <w:rPr>
          <w:lang w:val="en-US"/>
        </w:rPr>
        <w:t>t</w:t>
      </w:r>
      <w:r w:rsidR="00F52B90" w:rsidRPr="00E606C6">
        <w:rPr>
          <w:lang w:val="en-US"/>
        </w:rPr>
        <w:t>herapist</w:t>
      </w:r>
      <w:r w:rsidR="00823F92" w:rsidRPr="00E606C6">
        <w:rPr>
          <w:lang w:val="en-US"/>
        </w:rPr>
        <w:t>s</w:t>
      </w:r>
      <w:r w:rsidR="00823F92">
        <w:rPr>
          <w:lang w:val="en-US"/>
        </w:rPr>
        <w:t xml:space="preserve"> </w:t>
      </w:r>
      <w:r w:rsidR="00F52B90" w:rsidRPr="00E606C6">
        <w:rPr>
          <w:lang w:val="en-US"/>
        </w:rPr>
        <w:t>ar</w:t>
      </w:r>
      <w:r w:rsidR="00823F92" w:rsidRPr="00E606C6">
        <w:rPr>
          <w:lang w:val="en-US"/>
        </w:rPr>
        <w:t>e</w:t>
      </w:r>
      <w:r w:rsidR="00823F92">
        <w:rPr>
          <w:lang w:val="en-US"/>
        </w:rPr>
        <w:t xml:space="preserve"> </w:t>
      </w:r>
      <w:r w:rsidR="00F52B90" w:rsidRPr="00E606C6">
        <w:rPr>
          <w:lang w:val="en-US"/>
        </w:rPr>
        <w:t>no</w:t>
      </w:r>
      <w:r w:rsidR="00823F92" w:rsidRPr="00E606C6">
        <w:rPr>
          <w:lang w:val="en-US"/>
        </w:rPr>
        <w:t>t</w:t>
      </w:r>
      <w:r w:rsidR="00823F92">
        <w:rPr>
          <w:lang w:val="en-US"/>
        </w:rPr>
        <w:t xml:space="preserve"> </w:t>
      </w:r>
      <w:r w:rsidR="00F52B90" w:rsidRPr="00E606C6">
        <w:rPr>
          <w:lang w:val="en-US"/>
        </w:rPr>
        <w:t>require</w:t>
      </w:r>
      <w:r w:rsidR="00823F92" w:rsidRPr="00E606C6">
        <w:rPr>
          <w:lang w:val="en-US"/>
        </w:rPr>
        <w:t>d</w:t>
      </w:r>
      <w:r w:rsidR="00823F92">
        <w:rPr>
          <w:lang w:val="en-US"/>
        </w:rPr>
        <w:t xml:space="preserve"> </w:t>
      </w:r>
      <w:r w:rsidR="00F52B90" w:rsidRPr="00E606C6">
        <w:rPr>
          <w:lang w:val="en-US"/>
        </w:rPr>
        <w:t>t</w:t>
      </w:r>
      <w:r w:rsidR="00823F92" w:rsidRPr="00E606C6">
        <w:rPr>
          <w:lang w:val="en-US"/>
        </w:rPr>
        <w:t>o</w:t>
      </w:r>
      <w:r w:rsidR="00823F92">
        <w:rPr>
          <w:lang w:val="en-US"/>
        </w:rPr>
        <w:t xml:space="preserve"> </w:t>
      </w:r>
      <w:r w:rsidR="00F52B90" w:rsidRPr="00E606C6">
        <w:rPr>
          <w:lang w:val="en-US"/>
        </w:rPr>
        <w:t>complet</w:t>
      </w:r>
      <w:r w:rsidR="00823F92" w:rsidRPr="00E606C6">
        <w:rPr>
          <w:lang w:val="en-US"/>
        </w:rPr>
        <w:t>e</w:t>
      </w:r>
      <w:r w:rsidR="00823F92">
        <w:rPr>
          <w:lang w:val="en-US"/>
        </w:rPr>
        <w:t xml:space="preserve"> </w:t>
      </w:r>
      <w:r w:rsidR="00F52B90" w:rsidRPr="00E606C6">
        <w:rPr>
          <w:lang w:val="en-US"/>
        </w:rPr>
        <w:t>an</w:t>
      </w:r>
      <w:r w:rsidR="00823F92" w:rsidRPr="00E606C6">
        <w:rPr>
          <w:lang w:val="en-US"/>
        </w:rPr>
        <w:t>y</w:t>
      </w:r>
      <w:r w:rsidR="00823F92">
        <w:rPr>
          <w:lang w:val="en-US"/>
        </w:rPr>
        <w:t xml:space="preserve"> </w:t>
      </w:r>
      <w:r w:rsidR="00F52B90" w:rsidRPr="00E606C6">
        <w:rPr>
          <w:lang w:val="en-US"/>
        </w:rPr>
        <w:t>additiona</w:t>
      </w:r>
      <w:r w:rsidR="00823F92" w:rsidRPr="00E606C6">
        <w:rPr>
          <w:lang w:val="en-US"/>
        </w:rPr>
        <w:t>l</w:t>
      </w:r>
      <w:r w:rsidR="00823F92">
        <w:rPr>
          <w:lang w:val="en-US"/>
        </w:rPr>
        <w:t xml:space="preserve"> </w:t>
      </w:r>
      <w:r w:rsidR="00F52B90" w:rsidRPr="00E606C6">
        <w:rPr>
          <w:lang w:val="en-US"/>
        </w:rPr>
        <w:t>training</w:t>
      </w:r>
      <w:r w:rsidR="00823F92" w:rsidRPr="00E606C6">
        <w:rPr>
          <w:lang w:val="en-US"/>
        </w:rPr>
        <w:t>,</w:t>
      </w:r>
      <w:r w:rsidR="00823F92">
        <w:rPr>
          <w:lang w:val="en-US"/>
        </w:rPr>
        <w:t xml:space="preserve"> </w:t>
      </w:r>
      <w:r w:rsidR="00F52B90" w:rsidRPr="00E606C6">
        <w:rPr>
          <w:lang w:val="en-US"/>
        </w:rPr>
        <w:t>unles</w:t>
      </w:r>
      <w:r w:rsidR="00823F92" w:rsidRPr="00E606C6">
        <w:rPr>
          <w:lang w:val="en-US"/>
        </w:rPr>
        <w:t>s</w:t>
      </w:r>
      <w:r w:rsidR="00823F92">
        <w:rPr>
          <w:lang w:val="en-US"/>
        </w:rPr>
        <w:t xml:space="preserve"> </w:t>
      </w:r>
      <w:r w:rsidR="00F52B90" w:rsidRPr="00E606C6">
        <w:rPr>
          <w:lang w:val="en-US"/>
        </w:rPr>
        <w:t>deliverin</w:t>
      </w:r>
      <w:r w:rsidR="00823F92" w:rsidRPr="00E606C6">
        <w:rPr>
          <w:lang w:val="en-US"/>
        </w:rPr>
        <w:t>g</w:t>
      </w:r>
      <w:r w:rsidR="00823F92">
        <w:rPr>
          <w:lang w:val="en-US"/>
        </w:rPr>
        <w:t xml:space="preserve"> </w:t>
      </w:r>
      <w:r w:rsidR="00F52B90" w:rsidRPr="009245F1">
        <w:rPr>
          <w:lang w:val="en-US"/>
        </w:rPr>
        <w:t>service</w:t>
      </w:r>
      <w:r w:rsidR="00823F92" w:rsidRPr="009245F1">
        <w:rPr>
          <w:lang w:val="en-US"/>
        </w:rPr>
        <w:t xml:space="preserve">s </w:t>
      </w:r>
      <w:r w:rsidR="00F52B90" w:rsidRPr="009245F1">
        <w:rPr>
          <w:lang w:val="en-US"/>
        </w:rPr>
        <w:t>unde</w:t>
      </w:r>
      <w:r w:rsidR="00823F92" w:rsidRPr="009245F1">
        <w:rPr>
          <w:lang w:val="en-US"/>
        </w:rPr>
        <w:t xml:space="preserve">r </w:t>
      </w:r>
      <w:r w:rsidR="00F52B90" w:rsidRPr="009245F1">
        <w:rPr>
          <w:lang w:val="en-US"/>
        </w:rPr>
        <w:t>th</w:t>
      </w:r>
      <w:r w:rsidR="00823F92" w:rsidRPr="009245F1">
        <w:rPr>
          <w:lang w:val="en-US"/>
        </w:rPr>
        <w:t xml:space="preserve">e </w:t>
      </w:r>
      <w:r w:rsidR="00F52B90" w:rsidRPr="009245F1">
        <w:rPr>
          <w:lang w:val="en-US"/>
        </w:rPr>
        <w:t>Bette</w:t>
      </w:r>
      <w:r w:rsidR="00823F92" w:rsidRPr="009245F1">
        <w:rPr>
          <w:lang w:val="en-US"/>
        </w:rPr>
        <w:t xml:space="preserve">r </w:t>
      </w:r>
      <w:r w:rsidR="00F52B90" w:rsidRPr="009245F1">
        <w:rPr>
          <w:lang w:val="en-US"/>
        </w:rPr>
        <w:t>Acces</w:t>
      </w:r>
      <w:r w:rsidR="00823F92" w:rsidRPr="009245F1">
        <w:rPr>
          <w:lang w:val="en-US"/>
        </w:rPr>
        <w:t xml:space="preserve">s </w:t>
      </w:r>
      <w:r w:rsidR="00F52B90" w:rsidRPr="009245F1">
        <w:rPr>
          <w:lang w:val="en-US"/>
        </w:rPr>
        <w:t>program.</w:t>
      </w:r>
    </w:p>
    <w:p w14:paraId="4DC7EF51" w14:textId="0EEFD204" w:rsidR="00D76ACE" w:rsidRPr="00342CC6" w:rsidRDefault="00D76ACE" w:rsidP="00F52B90">
      <w:pPr>
        <w:pStyle w:val="BodyText"/>
        <w:rPr>
          <w:lang w:val="en-US"/>
        </w:rPr>
      </w:pPr>
      <w:r w:rsidRPr="009245F1">
        <w:rPr>
          <w:lang w:val="en-US"/>
        </w:rPr>
        <w:t>Regulation:</w:t>
      </w:r>
      <w:r>
        <w:rPr>
          <w:b/>
          <w:bCs/>
          <w:lang w:val="en-US"/>
        </w:rPr>
        <w:t xml:space="preserve"> </w:t>
      </w:r>
      <w:r>
        <w:rPr>
          <w:lang w:val="en-US"/>
        </w:rPr>
        <w:t>Occupationa</w:t>
      </w:r>
      <w:r w:rsidR="00823F92">
        <w:rPr>
          <w:lang w:val="en-US"/>
        </w:rPr>
        <w:t xml:space="preserve">l </w:t>
      </w:r>
      <w:r>
        <w:rPr>
          <w:lang w:val="en-US"/>
        </w:rPr>
        <w:t>therapist</w:t>
      </w:r>
      <w:r w:rsidR="00823F92">
        <w:rPr>
          <w:lang w:val="en-US"/>
        </w:rPr>
        <w:t xml:space="preserve">s </w:t>
      </w:r>
      <w:r>
        <w:rPr>
          <w:lang w:val="en-US"/>
        </w:rPr>
        <w:t>ar</w:t>
      </w:r>
      <w:r w:rsidR="00823F92">
        <w:rPr>
          <w:lang w:val="en-US"/>
        </w:rPr>
        <w:t xml:space="preserve">e </w:t>
      </w:r>
      <w:r w:rsidR="00DC5728">
        <w:rPr>
          <w:lang w:val="en-US"/>
        </w:rPr>
        <w:t>regulate</w:t>
      </w:r>
      <w:r w:rsidR="00823F92">
        <w:rPr>
          <w:lang w:val="en-US"/>
        </w:rPr>
        <w:t xml:space="preserve">d </w:t>
      </w:r>
      <w:r w:rsidR="00DC5728">
        <w:rPr>
          <w:lang w:val="en-US"/>
        </w:rPr>
        <w:t>throug</w:t>
      </w:r>
      <w:r w:rsidR="00823F92">
        <w:rPr>
          <w:lang w:val="en-US"/>
        </w:rPr>
        <w:t xml:space="preserve">h </w:t>
      </w:r>
      <w:r w:rsidR="00DC5728">
        <w:rPr>
          <w:lang w:val="en-US"/>
        </w:rPr>
        <w:t>th</w:t>
      </w:r>
      <w:r w:rsidR="00823F92">
        <w:rPr>
          <w:lang w:val="en-US"/>
        </w:rPr>
        <w:t xml:space="preserve">e </w:t>
      </w:r>
      <w:r w:rsidR="00DC5728" w:rsidRPr="00DC5728">
        <w:rPr>
          <w:lang w:val="en-US"/>
        </w:rPr>
        <w:t>Occupationa</w:t>
      </w:r>
      <w:r w:rsidR="00823F92" w:rsidRPr="00DC5728">
        <w:rPr>
          <w:lang w:val="en-US"/>
        </w:rPr>
        <w:t>l</w:t>
      </w:r>
      <w:r w:rsidR="00823F92">
        <w:rPr>
          <w:lang w:val="en-US"/>
        </w:rPr>
        <w:t xml:space="preserve"> </w:t>
      </w:r>
      <w:r w:rsidR="00DC5728" w:rsidRPr="00DC5728">
        <w:rPr>
          <w:lang w:val="en-US"/>
        </w:rPr>
        <w:t>Therap</w:t>
      </w:r>
      <w:r w:rsidR="00823F92" w:rsidRPr="00DC5728">
        <w:rPr>
          <w:lang w:val="en-US"/>
        </w:rPr>
        <w:t>y</w:t>
      </w:r>
      <w:r w:rsidR="00823F92">
        <w:rPr>
          <w:lang w:val="en-US"/>
        </w:rPr>
        <w:t xml:space="preserve"> </w:t>
      </w:r>
      <w:r w:rsidR="00DC5728" w:rsidRPr="00DC5728">
        <w:rPr>
          <w:lang w:val="en-US"/>
        </w:rPr>
        <w:t>Boar</w:t>
      </w:r>
      <w:r w:rsidR="00823F92" w:rsidRPr="00DC5728">
        <w:rPr>
          <w:lang w:val="en-US"/>
        </w:rPr>
        <w:t>d</w:t>
      </w:r>
      <w:r w:rsidR="00823F92">
        <w:rPr>
          <w:lang w:val="en-US"/>
        </w:rPr>
        <w:t xml:space="preserve"> </w:t>
      </w:r>
      <w:r w:rsidR="00DC5728" w:rsidRPr="00DC5728">
        <w:rPr>
          <w:lang w:val="en-US"/>
        </w:rPr>
        <w:t>o</w:t>
      </w:r>
      <w:r w:rsidR="00823F92" w:rsidRPr="00DC5728">
        <w:rPr>
          <w:lang w:val="en-US"/>
        </w:rPr>
        <w:t>f</w:t>
      </w:r>
      <w:r w:rsidR="00823F92">
        <w:rPr>
          <w:lang w:val="en-US"/>
        </w:rPr>
        <w:t xml:space="preserve"> </w:t>
      </w:r>
      <w:r w:rsidR="00DC5728" w:rsidRPr="00DC5728">
        <w:rPr>
          <w:lang w:val="en-US"/>
        </w:rPr>
        <w:t>Australia</w:t>
      </w:r>
      <w:r w:rsidR="00823F92">
        <w:rPr>
          <w:lang w:val="en-US"/>
        </w:rPr>
        <w:t xml:space="preserve">, </w:t>
      </w:r>
      <w:r w:rsidR="00DC5728">
        <w:rPr>
          <w:lang w:val="en-US"/>
        </w:rPr>
        <w:t>supporte</w:t>
      </w:r>
      <w:r w:rsidR="00823F92">
        <w:rPr>
          <w:lang w:val="en-US"/>
        </w:rPr>
        <w:t xml:space="preserve">d </w:t>
      </w:r>
      <w:r w:rsidR="00DC5728">
        <w:rPr>
          <w:lang w:val="en-US"/>
        </w:rPr>
        <w:t>b</w:t>
      </w:r>
      <w:r w:rsidR="00823F92">
        <w:rPr>
          <w:lang w:val="en-US"/>
        </w:rPr>
        <w:t xml:space="preserve">y </w:t>
      </w:r>
      <w:r w:rsidR="00DC5728">
        <w:rPr>
          <w:lang w:val="en-US"/>
        </w:rPr>
        <w:t>AHPRA</w:t>
      </w:r>
      <w:r w:rsidR="00823F92">
        <w:rPr>
          <w:lang w:val="en-US"/>
        </w:rPr>
        <w:t xml:space="preserve">. </w:t>
      </w:r>
    </w:p>
    <w:p w14:paraId="53CA851C" w14:textId="6E2EE917" w:rsidR="00453F15" w:rsidRPr="006C4490" w:rsidRDefault="005137B8" w:rsidP="006E4B7F">
      <w:pPr>
        <w:pStyle w:val="BodyText"/>
        <w:rPr>
          <w:lang w:val="en-US"/>
        </w:rPr>
      </w:pPr>
      <w:r w:rsidRPr="009245F1">
        <w:rPr>
          <w:lang w:val="en-US"/>
        </w:rPr>
        <w:t>Supply:</w:t>
      </w:r>
      <w:r>
        <w:rPr>
          <w:b/>
          <w:bCs/>
          <w:lang w:val="en-US"/>
        </w:rPr>
        <w:t xml:space="preserve"> </w:t>
      </w:r>
      <w:r w:rsidR="00453F15" w:rsidRPr="00302E3C">
        <w:rPr>
          <w:lang w:val="en-US"/>
        </w:rPr>
        <w:t>Ther</w:t>
      </w:r>
      <w:r w:rsidR="00823F92" w:rsidRPr="00302E3C">
        <w:rPr>
          <w:lang w:val="en-US"/>
        </w:rPr>
        <w:t>e</w:t>
      </w:r>
      <w:r w:rsidR="00823F92">
        <w:rPr>
          <w:lang w:val="en-US"/>
        </w:rPr>
        <w:t xml:space="preserve"> </w:t>
      </w:r>
      <w:r w:rsidR="00453F15" w:rsidRPr="00302E3C">
        <w:rPr>
          <w:lang w:val="en-US"/>
        </w:rPr>
        <w:t>ar</w:t>
      </w:r>
      <w:r w:rsidR="00823F92" w:rsidRPr="00302E3C">
        <w:rPr>
          <w:lang w:val="en-US"/>
        </w:rPr>
        <w:t>e</w:t>
      </w:r>
      <w:r w:rsidR="00823F92">
        <w:rPr>
          <w:lang w:val="en-US"/>
        </w:rPr>
        <w:t xml:space="preserve"> </w:t>
      </w:r>
      <w:r w:rsidR="00453F15" w:rsidRPr="00302E3C">
        <w:rPr>
          <w:lang w:val="en-US"/>
        </w:rPr>
        <w:t>1,73</w:t>
      </w:r>
      <w:r w:rsidR="00823F92" w:rsidRPr="00302E3C">
        <w:rPr>
          <w:lang w:val="en-US"/>
        </w:rPr>
        <w:t>8</w:t>
      </w:r>
      <w:r w:rsidR="00823F92">
        <w:rPr>
          <w:lang w:val="en-US"/>
        </w:rPr>
        <w:t xml:space="preserve"> </w:t>
      </w:r>
      <w:r w:rsidR="00453F15" w:rsidRPr="00302E3C">
        <w:rPr>
          <w:lang w:val="en-US"/>
        </w:rPr>
        <w:t>FT</w:t>
      </w:r>
      <w:r w:rsidR="00823F92" w:rsidRPr="00302E3C">
        <w:rPr>
          <w:lang w:val="en-US"/>
        </w:rPr>
        <w:t>E</w:t>
      </w:r>
      <w:r w:rsidR="00823F92">
        <w:rPr>
          <w:lang w:val="en-US"/>
        </w:rPr>
        <w:t xml:space="preserve"> </w:t>
      </w:r>
      <w:r w:rsidR="00453F15" w:rsidRPr="00302E3C">
        <w:rPr>
          <w:lang w:val="en-US"/>
        </w:rPr>
        <w:t>occupationa</w:t>
      </w:r>
      <w:r w:rsidR="00823F92" w:rsidRPr="00302E3C">
        <w:rPr>
          <w:lang w:val="en-US"/>
        </w:rPr>
        <w:t>l</w:t>
      </w:r>
      <w:r w:rsidR="00823F92">
        <w:rPr>
          <w:lang w:val="en-US"/>
        </w:rPr>
        <w:t xml:space="preserve"> </w:t>
      </w:r>
      <w:r w:rsidR="00453F15" w:rsidRPr="00302E3C">
        <w:rPr>
          <w:lang w:val="en-US"/>
        </w:rPr>
        <w:t>therapist</w:t>
      </w:r>
      <w:r w:rsidR="00823F92" w:rsidRPr="00302E3C">
        <w:rPr>
          <w:lang w:val="en-US"/>
        </w:rPr>
        <w:t>s</w:t>
      </w:r>
      <w:r w:rsidR="00823F92">
        <w:rPr>
          <w:lang w:val="en-US"/>
        </w:rPr>
        <w:t xml:space="preserve"> </w:t>
      </w:r>
      <w:r w:rsidR="00453F15" w:rsidRPr="00302E3C">
        <w:rPr>
          <w:lang w:val="en-US"/>
        </w:rPr>
        <w:t>providin</w:t>
      </w:r>
      <w:r w:rsidR="00823F92" w:rsidRPr="00302E3C">
        <w:rPr>
          <w:lang w:val="en-US"/>
        </w:rPr>
        <w:t>g</w:t>
      </w:r>
      <w:r w:rsidR="00823F92">
        <w:rPr>
          <w:lang w:val="en-US"/>
        </w:rPr>
        <w:t xml:space="preserve"> </w:t>
      </w:r>
      <w:r w:rsidR="00453F15" w:rsidRPr="00302E3C">
        <w:rPr>
          <w:lang w:val="en-US"/>
        </w:rPr>
        <w:t>menta</w:t>
      </w:r>
      <w:r w:rsidR="00823F92" w:rsidRPr="00302E3C">
        <w:rPr>
          <w:lang w:val="en-US"/>
        </w:rPr>
        <w:t>l</w:t>
      </w:r>
      <w:r w:rsidR="00823F92">
        <w:rPr>
          <w:lang w:val="en-US"/>
        </w:rPr>
        <w:t xml:space="preserve"> </w:t>
      </w:r>
      <w:r w:rsidR="00453F15" w:rsidRPr="00302E3C">
        <w:rPr>
          <w:lang w:val="en-US"/>
        </w:rPr>
        <w:t>healt</w:t>
      </w:r>
      <w:r w:rsidR="00823F92" w:rsidRPr="00302E3C">
        <w:rPr>
          <w:lang w:val="en-US"/>
        </w:rPr>
        <w:t>h</w:t>
      </w:r>
      <w:r w:rsidR="00823F92">
        <w:rPr>
          <w:lang w:val="en-US"/>
        </w:rPr>
        <w:t xml:space="preserve"> </w:t>
      </w:r>
      <w:r w:rsidR="00453F15" w:rsidRPr="00302E3C">
        <w:rPr>
          <w:lang w:val="en-US"/>
        </w:rPr>
        <w:t>care.</w:t>
      </w:r>
      <w:r w:rsidR="00394AB1">
        <w:rPr>
          <w:rStyle w:val="FootnoteReference"/>
          <w:lang w:val="en-US"/>
        </w:rPr>
        <w:footnoteReference w:id="20"/>
      </w:r>
      <w:r w:rsidR="00453F15" w:rsidRPr="00302E3C">
        <w:rPr>
          <w:lang w:val="en-US"/>
        </w:rPr>
        <w:t xml:space="preserve"> Whil</w:t>
      </w:r>
      <w:r w:rsidR="00823F92" w:rsidRPr="00302E3C">
        <w:rPr>
          <w:lang w:val="en-US"/>
        </w:rPr>
        <w:t>e</w:t>
      </w:r>
      <w:r w:rsidR="00823F92">
        <w:rPr>
          <w:lang w:val="en-US"/>
        </w:rPr>
        <w:t xml:space="preserve"> </w:t>
      </w:r>
      <w:r w:rsidR="00453F15" w:rsidRPr="00302E3C">
        <w:rPr>
          <w:lang w:val="en-US"/>
        </w:rPr>
        <w:t>ther</w:t>
      </w:r>
      <w:r w:rsidR="00823F92" w:rsidRPr="00302E3C">
        <w:rPr>
          <w:lang w:val="en-US"/>
        </w:rPr>
        <w:t>e</w:t>
      </w:r>
      <w:r w:rsidR="00823F92">
        <w:rPr>
          <w:lang w:val="en-US"/>
        </w:rPr>
        <w:t xml:space="preserve"> </w:t>
      </w:r>
      <w:r w:rsidR="00453F15" w:rsidRPr="00302E3C">
        <w:rPr>
          <w:lang w:val="en-US"/>
        </w:rPr>
        <w:t>i</w:t>
      </w:r>
      <w:r w:rsidR="00823F92" w:rsidRPr="00302E3C">
        <w:rPr>
          <w:lang w:val="en-US"/>
        </w:rPr>
        <w:t>s</w:t>
      </w:r>
      <w:r w:rsidR="00823F92">
        <w:rPr>
          <w:lang w:val="en-US"/>
        </w:rPr>
        <w:t xml:space="preserve"> </w:t>
      </w:r>
      <w:r w:rsidR="00823F92" w:rsidRPr="00302E3C">
        <w:rPr>
          <w:lang w:val="en-US"/>
        </w:rPr>
        <w:t>a</w:t>
      </w:r>
      <w:r w:rsidR="00823F92">
        <w:rPr>
          <w:lang w:val="en-US"/>
        </w:rPr>
        <w:t xml:space="preserve"> </w:t>
      </w:r>
      <w:r w:rsidR="00453F15" w:rsidRPr="00302E3C">
        <w:rPr>
          <w:lang w:val="en-US"/>
        </w:rPr>
        <w:t>shortage</w:t>
      </w:r>
      <w:r w:rsidR="00823F92" w:rsidRPr="00302E3C">
        <w:rPr>
          <w:lang w:val="en-US"/>
        </w:rPr>
        <w:t>,</w:t>
      </w:r>
      <w:r w:rsidR="00823F92">
        <w:rPr>
          <w:lang w:val="en-US"/>
        </w:rPr>
        <w:t xml:space="preserve"> </w:t>
      </w:r>
      <w:r w:rsidR="00453F15" w:rsidRPr="00302E3C">
        <w:rPr>
          <w:lang w:val="en-US"/>
        </w:rPr>
        <w:t>th</w:t>
      </w:r>
      <w:r w:rsidR="00823F92" w:rsidRPr="00302E3C">
        <w:rPr>
          <w:lang w:val="en-US"/>
        </w:rPr>
        <w:t>e</w:t>
      </w:r>
      <w:r w:rsidR="00823F92">
        <w:rPr>
          <w:lang w:val="en-US"/>
        </w:rPr>
        <w:t xml:space="preserve"> </w:t>
      </w:r>
      <w:r w:rsidR="00453F15" w:rsidRPr="00302E3C">
        <w:rPr>
          <w:lang w:val="en-US"/>
        </w:rPr>
        <w:t>shortfal</w:t>
      </w:r>
      <w:r w:rsidR="00823F92" w:rsidRPr="00302E3C">
        <w:rPr>
          <w:lang w:val="en-US"/>
        </w:rPr>
        <w:t>l</w:t>
      </w:r>
      <w:r w:rsidR="00823F92">
        <w:rPr>
          <w:lang w:val="en-US"/>
        </w:rPr>
        <w:t xml:space="preserve"> </w:t>
      </w:r>
      <w:r w:rsidR="00453F15" w:rsidRPr="00302E3C">
        <w:rPr>
          <w:lang w:val="en-US"/>
        </w:rPr>
        <w:t>i</w:t>
      </w:r>
      <w:r w:rsidR="00823F92" w:rsidRPr="00302E3C">
        <w:rPr>
          <w:lang w:val="en-US"/>
        </w:rPr>
        <w:t>s</w:t>
      </w:r>
      <w:r w:rsidR="00823F92">
        <w:rPr>
          <w:lang w:val="en-US"/>
        </w:rPr>
        <w:t xml:space="preserve"> </w:t>
      </w:r>
      <w:r w:rsidR="00453F15" w:rsidRPr="00302E3C">
        <w:rPr>
          <w:lang w:val="en-US"/>
        </w:rPr>
        <w:t>no</w:t>
      </w:r>
      <w:r w:rsidR="00823F92" w:rsidRPr="00302E3C">
        <w:rPr>
          <w:lang w:val="en-US"/>
        </w:rPr>
        <w:t>t</w:t>
      </w:r>
      <w:r w:rsidR="00823F92">
        <w:rPr>
          <w:lang w:val="en-US"/>
        </w:rPr>
        <w:t xml:space="preserve"> </w:t>
      </w:r>
      <w:r w:rsidR="00453F15" w:rsidRPr="00302E3C">
        <w:rPr>
          <w:lang w:val="en-US"/>
        </w:rPr>
        <w:t>significantl</w:t>
      </w:r>
      <w:r w:rsidR="00823F92" w:rsidRPr="00302E3C">
        <w:rPr>
          <w:lang w:val="en-US"/>
        </w:rPr>
        <w:t>y</w:t>
      </w:r>
      <w:r w:rsidR="00823F92">
        <w:rPr>
          <w:lang w:val="en-US"/>
        </w:rPr>
        <w:t xml:space="preserve"> </w:t>
      </w:r>
      <w:r w:rsidR="00453F15" w:rsidRPr="00302E3C">
        <w:rPr>
          <w:lang w:val="en-US"/>
        </w:rPr>
        <w:t>belo</w:t>
      </w:r>
      <w:r w:rsidR="00823F92" w:rsidRPr="00302E3C">
        <w:rPr>
          <w:lang w:val="en-US"/>
        </w:rPr>
        <w:t>w</w:t>
      </w:r>
      <w:r w:rsidR="00823F92">
        <w:rPr>
          <w:lang w:val="en-US"/>
        </w:rPr>
        <w:t xml:space="preserve"> </w:t>
      </w:r>
      <w:r w:rsidR="00453F15" w:rsidRPr="00302E3C">
        <w:rPr>
          <w:lang w:val="en-US"/>
        </w:rPr>
        <w:t>require</w:t>
      </w:r>
      <w:r w:rsidR="00823F92" w:rsidRPr="00302E3C">
        <w:rPr>
          <w:lang w:val="en-US"/>
        </w:rPr>
        <w:t>d</w:t>
      </w:r>
      <w:r w:rsidR="00823F92">
        <w:rPr>
          <w:lang w:val="en-US"/>
        </w:rPr>
        <w:t xml:space="preserve"> </w:t>
      </w:r>
      <w:r w:rsidR="00453F15" w:rsidRPr="00302E3C">
        <w:rPr>
          <w:lang w:val="en-US"/>
        </w:rPr>
        <w:t>level</w:t>
      </w:r>
      <w:r w:rsidR="00823F92" w:rsidRPr="00302E3C">
        <w:rPr>
          <w:lang w:val="en-US"/>
        </w:rPr>
        <w:t>s</w:t>
      </w:r>
      <w:r w:rsidR="00823F92">
        <w:rPr>
          <w:lang w:val="en-US"/>
        </w:rPr>
        <w:t xml:space="preserve"> </w:t>
      </w:r>
      <w:r w:rsidR="00453F15" w:rsidRPr="00302E3C">
        <w:rPr>
          <w:lang w:val="en-US"/>
        </w:rPr>
        <w:t>(76% o</w:t>
      </w:r>
      <w:r w:rsidR="00823F92" w:rsidRPr="00302E3C">
        <w:rPr>
          <w:lang w:val="en-US"/>
        </w:rPr>
        <w:t>f</w:t>
      </w:r>
      <w:r w:rsidR="00823F92">
        <w:rPr>
          <w:lang w:val="en-US"/>
        </w:rPr>
        <w:t xml:space="preserve"> </w:t>
      </w:r>
      <w:r w:rsidR="00453F15" w:rsidRPr="00302E3C">
        <w:rPr>
          <w:lang w:val="en-US"/>
        </w:rPr>
        <w:t>th</w:t>
      </w:r>
      <w:r w:rsidR="00823F92" w:rsidRPr="00302E3C">
        <w:rPr>
          <w:lang w:val="en-US"/>
        </w:rPr>
        <w:t>e</w:t>
      </w:r>
      <w:r w:rsidR="00823F92">
        <w:rPr>
          <w:lang w:val="en-US"/>
        </w:rPr>
        <w:t xml:space="preserve"> </w:t>
      </w:r>
      <w:r w:rsidR="00453F15" w:rsidRPr="00302E3C">
        <w:rPr>
          <w:lang w:val="en-US"/>
        </w:rPr>
        <w:t>NMHSP</w:t>
      </w:r>
      <w:r w:rsidR="00823F92" w:rsidRPr="00302E3C">
        <w:rPr>
          <w:lang w:val="en-US"/>
        </w:rPr>
        <w:t>F</w:t>
      </w:r>
      <w:r w:rsidR="00823F92">
        <w:rPr>
          <w:lang w:val="en-US"/>
        </w:rPr>
        <w:t xml:space="preserve"> </w:t>
      </w:r>
      <w:r w:rsidR="00453F15" w:rsidRPr="00302E3C">
        <w:rPr>
          <w:lang w:val="en-US"/>
        </w:rPr>
        <w:t>targe</w:t>
      </w:r>
      <w:r w:rsidR="00823F92" w:rsidRPr="00302E3C">
        <w:rPr>
          <w:lang w:val="en-US"/>
        </w:rPr>
        <w:t>t</w:t>
      </w:r>
      <w:r w:rsidR="00823F92">
        <w:rPr>
          <w:lang w:val="en-US"/>
        </w:rPr>
        <w:t xml:space="preserve"> </w:t>
      </w:r>
      <w:r w:rsidR="00453F15" w:rsidRPr="00302E3C">
        <w:rPr>
          <w:lang w:val="en-US"/>
        </w:rPr>
        <w:t>reached) an</w:t>
      </w:r>
      <w:r w:rsidR="00823F92" w:rsidRPr="006D2538">
        <w:rPr>
          <w:lang w:val="en-US"/>
        </w:rPr>
        <w:t>d</w:t>
      </w:r>
      <w:r w:rsidR="00823F92">
        <w:rPr>
          <w:lang w:val="en-US"/>
        </w:rPr>
        <w:t xml:space="preserve"> </w:t>
      </w:r>
      <w:r w:rsidR="00453F15" w:rsidRPr="006D2538">
        <w:rPr>
          <w:lang w:val="en-US"/>
        </w:rPr>
        <w:t>th</w:t>
      </w:r>
      <w:r w:rsidR="00823F92" w:rsidRPr="006D2538">
        <w:rPr>
          <w:lang w:val="en-US"/>
        </w:rPr>
        <w:t>e</w:t>
      </w:r>
      <w:r w:rsidR="00823F92">
        <w:rPr>
          <w:lang w:val="en-US"/>
        </w:rPr>
        <w:t xml:space="preserve"> </w:t>
      </w:r>
      <w:r w:rsidR="00367B86">
        <w:rPr>
          <w:lang w:val="en-US"/>
        </w:rPr>
        <w:t>occupationa</w:t>
      </w:r>
      <w:r w:rsidR="00823F92">
        <w:rPr>
          <w:lang w:val="en-US"/>
        </w:rPr>
        <w:t xml:space="preserve">l </w:t>
      </w:r>
      <w:r w:rsidR="00367B86">
        <w:rPr>
          <w:lang w:val="en-US"/>
        </w:rPr>
        <w:t>therap</w:t>
      </w:r>
      <w:r w:rsidR="00823F92">
        <w:rPr>
          <w:lang w:val="en-US"/>
        </w:rPr>
        <w:t xml:space="preserve">y </w:t>
      </w:r>
      <w:r w:rsidR="00453F15" w:rsidRPr="006D2538">
        <w:rPr>
          <w:lang w:val="en-US"/>
        </w:rPr>
        <w:t>workforc</w:t>
      </w:r>
      <w:r w:rsidR="00823F92" w:rsidRPr="006D2538">
        <w:rPr>
          <w:lang w:val="en-US"/>
        </w:rPr>
        <w:t>e</w:t>
      </w:r>
      <w:r w:rsidR="00823F92">
        <w:rPr>
          <w:lang w:val="en-US"/>
        </w:rPr>
        <w:t xml:space="preserve"> </w:t>
      </w:r>
      <w:r w:rsidR="00453F15" w:rsidRPr="006D2538">
        <w:rPr>
          <w:lang w:val="en-US"/>
        </w:rPr>
        <w:t>i</w:t>
      </w:r>
      <w:r w:rsidR="00823F92" w:rsidRPr="006D2538">
        <w:rPr>
          <w:lang w:val="en-US"/>
        </w:rPr>
        <w:t>s</w:t>
      </w:r>
      <w:r w:rsidR="00823F92">
        <w:rPr>
          <w:lang w:val="en-US"/>
        </w:rPr>
        <w:t xml:space="preserve"> </w:t>
      </w:r>
      <w:r w:rsidR="00453F15" w:rsidRPr="006D2538">
        <w:rPr>
          <w:lang w:val="en-US"/>
        </w:rPr>
        <w:t>relativel</w:t>
      </w:r>
      <w:r w:rsidR="00823F92" w:rsidRPr="006D2538">
        <w:rPr>
          <w:lang w:val="en-US"/>
        </w:rPr>
        <w:t>y</w:t>
      </w:r>
      <w:r w:rsidR="00823F92">
        <w:rPr>
          <w:lang w:val="en-US"/>
        </w:rPr>
        <w:t xml:space="preserve"> </w:t>
      </w:r>
      <w:r w:rsidR="00453F15" w:rsidRPr="006D2538">
        <w:rPr>
          <w:lang w:val="en-US"/>
        </w:rPr>
        <w:t>youn</w:t>
      </w:r>
      <w:r w:rsidR="00823F92" w:rsidRPr="006D2538">
        <w:rPr>
          <w:lang w:val="en-US"/>
        </w:rPr>
        <w:t>g</w:t>
      </w:r>
      <w:r w:rsidR="00823F92">
        <w:rPr>
          <w:lang w:val="en-US"/>
        </w:rPr>
        <w:t xml:space="preserve"> </w:t>
      </w:r>
      <w:r w:rsidR="00453F15" w:rsidRPr="006D2538">
        <w:rPr>
          <w:lang w:val="en-US"/>
        </w:rPr>
        <w:t>(averag</w:t>
      </w:r>
      <w:r w:rsidR="00823F92" w:rsidRPr="006D2538">
        <w:rPr>
          <w:lang w:val="en-US"/>
        </w:rPr>
        <w:t>e</w:t>
      </w:r>
      <w:r w:rsidR="00823F92">
        <w:rPr>
          <w:lang w:val="en-US"/>
        </w:rPr>
        <w:t xml:space="preserve"> </w:t>
      </w:r>
      <w:r w:rsidR="00453F15" w:rsidRPr="006D2538">
        <w:rPr>
          <w:lang w:val="en-US"/>
        </w:rPr>
        <w:t>ag</w:t>
      </w:r>
      <w:r w:rsidR="00823F92" w:rsidRPr="006D2538">
        <w:rPr>
          <w:lang w:val="en-US"/>
        </w:rPr>
        <w:t>e</w:t>
      </w:r>
      <w:r w:rsidR="00823F92">
        <w:rPr>
          <w:lang w:val="en-US"/>
        </w:rPr>
        <w:t xml:space="preserve"> </w:t>
      </w:r>
      <w:r w:rsidR="00453F15" w:rsidRPr="006D2538">
        <w:rPr>
          <w:lang w:val="en-US"/>
        </w:rPr>
        <w:t>o</w:t>
      </w:r>
      <w:r w:rsidR="00823F92" w:rsidRPr="006D2538">
        <w:rPr>
          <w:lang w:val="en-US"/>
        </w:rPr>
        <w:t>f</w:t>
      </w:r>
      <w:r w:rsidR="00823F92">
        <w:rPr>
          <w:lang w:val="en-US"/>
        </w:rPr>
        <w:t xml:space="preserve"> </w:t>
      </w:r>
      <w:r w:rsidR="00453F15" w:rsidRPr="006D2538">
        <w:rPr>
          <w:lang w:val="en-US"/>
        </w:rPr>
        <w:t>3</w:t>
      </w:r>
      <w:r w:rsidR="00823F92" w:rsidRPr="006D2538">
        <w:rPr>
          <w:lang w:val="en-US"/>
        </w:rPr>
        <w:t>7</w:t>
      </w:r>
      <w:r w:rsidR="00823F92">
        <w:rPr>
          <w:lang w:val="en-US"/>
        </w:rPr>
        <w:t xml:space="preserve"> </w:t>
      </w:r>
      <w:r w:rsidR="00453F15" w:rsidRPr="006D2538">
        <w:rPr>
          <w:lang w:val="en-US"/>
        </w:rPr>
        <w:t>years)</w:t>
      </w:r>
      <w:r w:rsidR="00823F92" w:rsidRPr="006D2538">
        <w:rPr>
          <w:lang w:val="en-US"/>
        </w:rPr>
        <w:t>.</w:t>
      </w:r>
      <w:r w:rsidR="00823F92">
        <w:rPr>
          <w:lang w:val="en-US"/>
        </w:rPr>
        <w:t xml:space="preserve"> </w:t>
      </w:r>
      <w:r w:rsidR="00453F15" w:rsidRPr="006D2538">
        <w:rPr>
          <w:lang w:val="en-US"/>
        </w:rPr>
        <w:t>Distributio</w:t>
      </w:r>
      <w:r w:rsidR="00823F92" w:rsidRPr="006D2538">
        <w:rPr>
          <w:lang w:val="en-US"/>
        </w:rPr>
        <w:t>n</w:t>
      </w:r>
      <w:r w:rsidR="00823F92">
        <w:rPr>
          <w:lang w:val="en-US"/>
        </w:rPr>
        <w:t xml:space="preserve"> </w:t>
      </w:r>
      <w:r w:rsidR="00453F15" w:rsidRPr="006D2538">
        <w:rPr>
          <w:lang w:val="en-US"/>
        </w:rPr>
        <w:t>i</w:t>
      </w:r>
      <w:r w:rsidR="00823F92" w:rsidRPr="006D2538">
        <w:rPr>
          <w:lang w:val="en-US"/>
        </w:rPr>
        <w:t>s</w:t>
      </w:r>
      <w:r w:rsidR="00823F92">
        <w:rPr>
          <w:lang w:val="en-US"/>
        </w:rPr>
        <w:t xml:space="preserve"> </w:t>
      </w:r>
      <w:r w:rsidR="00453F15" w:rsidRPr="006D2538">
        <w:rPr>
          <w:lang w:val="en-US"/>
        </w:rPr>
        <w:t>als</w:t>
      </w:r>
      <w:r w:rsidR="00823F92" w:rsidRPr="006D2538">
        <w:rPr>
          <w:lang w:val="en-US"/>
        </w:rPr>
        <w:t>o</w:t>
      </w:r>
      <w:r w:rsidR="00823F92">
        <w:rPr>
          <w:lang w:val="en-US"/>
        </w:rPr>
        <w:t xml:space="preserve"> </w:t>
      </w:r>
      <w:r w:rsidR="00453F15" w:rsidRPr="006D2538">
        <w:rPr>
          <w:lang w:val="en-US"/>
        </w:rPr>
        <w:t>relativel</w:t>
      </w:r>
      <w:r w:rsidR="00823F92" w:rsidRPr="006D2538">
        <w:rPr>
          <w:lang w:val="en-US"/>
        </w:rPr>
        <w:t>y</w:t>
      </w:r>
      <w:r w:rsidR="00823F92">
        <w:rPr>
          <w:lang w:val="en-US"/>
        </w:rPr>
        <w:t xml:space="preserve"> </w:t>
      </w:r>
      <w:r w:rsidR="00453F15" w:rsidRPr="006D2538">
        <w:rPr>
          <w:lang w:val="en-US"/>
        </w:rPr>
        <w:t>wel</w:t>
      </w:r>
      <w:r w:rsidR="00823F92" w:rsidRPr="006D2538">
        <w:rPr>
          <w:lang w:val="en-US"/>
        </w:rPr>
        <w:t>l</w:t>
      </w:r>
      <w:r w:rsidR="00823F92">
        <w:rPr>
          <w:lang w:val="en-US"/>
        </w:rPr>
        <w:t xml:space="preserve"> </w:t>
      </w:r>
      <w:r w:rsidR="00453F15" w:rsidRPr="006D2538">
        <w:rPr>
          <w:lang w:val="en-US"/>
        </w:rPr>
        <w:t>aligne</w:t>
      </w:r>
      <w:r w:rsidR="00823F92" w:rsidRPr="006D2538">
        <w:rPr>
          <w:lang w:val="en-US"/>
        </w:rPr>
        <w:t>d</w:t>
      </w:r>
      <w:r w:rsidR="00823F92">
        <w:rPr>
          <w:lang w:val="en-US"/>
        </w:rPr>
        <w:t xml:space="preserve"> </w:t>
      </w:r>
      <w:r w:rsidR="00453F15" w:rsidRPr="006D2538">
        <w:rPr>
          <w:lang w:val="en-US"/>
        </w:rPr>
        <w:t>wit</w:t>
      </w:r>
      <w:r w:rsidR="00823F92" w:rsidRPr="006D2538">
        <w:rPr>
          <w:lang w:val="en-US"/>
        </w:rPr>
        <w:t>h</w:t>
      </w:r>
      <w:r w:rsidR="00823F92">
        <w:rPr>
          <w:lang w:val="en-US"/>
        </w:rPr>
        <w:t xml:space="preserve"> </w:t>
      </w:r>
      <w:r w:rsidR="00453F15" w:rsidRPr="006D2538">
        <w:rPr>
          <w:lang w:val="en-US"/>
        </w:rPr>
        <w:t>NMHSP</w:t>
      </w:r>
      <w:r w:rsidR="00823F92" w:rsidRPr="006D2538">
        <w:rPr>
          <w:lang w:val="en-US"/>
        </w:rPr>
        <w:t>F</w:t>
      </w:r>
      <w:r w:rsidR="00823F92">
        <w:rPr>
          <w:lang w:val="en-US"/>
        </w:rPr>
        <w:t xml:space="preserve"> </w:t>
      </w:r>
      <w:r w:rsidR="00453F15" w:rsidRPr="006D2538">
        <w:rPr>
          <w:lang w:val="en-US"/>
        </w:rPr>
        <w:t>targets</w:t>
      </w:r>
      <w:r w:rsidR="00823F92" w:rsidRPr="00302E3C">
        <w:rPr>
          <w:lang w:val="en-US"/>
        </w:rPr>
        <w:t>.</w:t>
      </w:r>
      <w:r w:rsidR="00823F92">
        <w:rPr>
          <w:lang w:val="en-US"/>
        </w:rPr>
        <w:t xml:space="preserve"> </w:t>
      </w:r>
    </w:p>
    <w:p w14:paraId="035F1511" w14:textId="5CD3E14A" w:rsidR="00453F15" w:rsidRDefault="00453F15" w:rsidP="006E4B7F">
      <w:pPr>
        <w:pStyle w:val="Heading3"/>
      </w:pPr>
      <w:r w:rsidRPr="000E25B1">
        <w:t>Psychiatrists</w:t>
      </w:r>
    </w:p>
    <w:p w14:paraId="48B6DBF8" w14:textId="12238DFA" w:rsidR="005137B8" w:rsidRPr="00F47FC7" w:rsidRDefault="005137B8" w:rsidP="005137B8">
      <w:pPr>
        <w:pStyle w:val="BodyText"/>
        <w:rPr>
          <w:lang w:val="en-US"/>
        </w:rPr>
      </w:pPr>
      <w:r w:rsidRPr="009245F1">
        <w:rPr>
          <w:lang w:val="en-US"/>
        </w:rPr>
        <w:t>Role:</w:t>
      </w:r>
      <w:r w:rsidR="00F47FC7" w:rsidRPr="00F47FC7">
        <w:rPr>
          <w:lang w:val="en-US"/>
        </w:rPr>
        <w:t xml:space="preserve"> </w:t>
      </w:r>
      <w:r w:rsidR="00F47FC7" w:rsidRPr="006C4490">
        <w:rPr>
          <w:lang w:val="en-US"/>
        </w:rPr>
        <w:t>Psychiatrist</w:t>
      </w:r>
      <w:r w:rsidR="00823F92" w:rsidRPr="006C4490">
        <w:rPr>
          <w:lang w:val="en-US"/>
        </w:rPr>
        <w:t>s</w:t>
      </w:r>
      <w:r w:rsidR="00823F92">
        <w:rPr>
          <w:lang w:val="en-US"/>
        </w:rPr>
        <w:t xml:space="preserve"> </w:t>
      </w:r>
      <w:r w:rsidR="00F47FC7" w:rsidRPr="006C4490">
        <w:rPr>
          <w:lang w:val="en-US"/>
        </w:rPr>
        <w:t>ar</w:t>
      </w:r>
      <w:r w:rsidR="00823F92" w:rsidRPr="006C4490">
        <w:rPr>
          <w:lang w:val="en-US"/>
        </w:rPr>
        <w:t>e</w:t>
      </w:r>
      <w:r w:rsidR="00823F92">
        <w:rPr>
          <w:lang w:val="en-US"/>
        </w:rPr>
        <w:t xml:space="preserve"> </w:t>
      </w:r>
      <w:r w:rsidR="00F47FC7" w:rsidRPr="006C4490">
        <w:rPr>
          <w:lang w:val="en-US"/>
        </w:rPr>
        <w:t>medica</w:t>
      </w:r>
      <w:r w:rsidR="00823F92" w:rsidRPr="006C4490">
        <w:rPr>
          <w:lang w:val="en-US"/>
        </w:rPr>
        <w:t>l</w:t>
      </w:r>
      <w:r w:rsidR="00823F92">
        <w:rPr>
          <w:lang w:val="en-US"/>
        </w:rPr>
        <w:t xml:space="preserve"> </w:t>
      </w:r>
      <w:r w:rsidR="00F47FC7" w:rsidRPr="006C4490">
        <w:rPr>
          <w:lang w:val="en-US"/>
        </w:rPr>
        <w:t>practitioner</w:t>
      </w:r>
      <w:r w:rsidR="00823F92" w:rsidRPr="006C4490">
        <w:rPr>
          <w:lang w:val="en-US"/>
        </w:rPr>
        <w:t>s</w:t>
      </w:r>
      <w:r w:rsidR="00823F92">
        <w:rPr>
          <w:lang w:val="en-US"/>
        </w:rPr>
        <w:t xml:space="preserve"> </w:t>
      </w:r>
      <w:proofErr w:type="spellStart"/>
      <w:r w:rsidR="00F47FC7" w:rsidRPr="006C4490">
        <w:rPr>
          <w:lang w:val="en-US"/>
        </w:rPr>
        <w:t>specialisin</w:t>
      </w:r>
      <w:r w:rsidR="00823F92" w:rsidRPr="006C4490">
        <w:rPr>
          <w:lang w:val="en-US"/>
        </w:rPr>
        <w:t>g</w:t>
      </w:r>
      <w:proofErr w:type="spellEnd"/>
      <w:r w:rsidR="00823F92">
        <w:rPr>
          <w:lang w:val="en-US"/>
        </w:rPr>
        <w:t xml:space="preserve"> </w:t>
      </w:r>
      <w:r w:rsidR="00F47FC7" w:rsidRPr="006C4490">
        <w:rPr>
          <w:lang w:val="en-US"/>
        </w:rPr>
        <w:t>i</w:t>
      </w:r>
      <w:r w:rsidR="00823F92" w:rsidRPr="006C4490">
        <w:rPr>
          <w:lang w:val="en-US"/>
        </w:rPr>
        <w:t>n</w:t>
      </w:r>
      <w:r w:rsidR="00823F92">
        <w:rPr>
          <w:lang w:val="en-US"/>
        </w:rPr>
        <w:t xml:space="preserve"> </w:t>
      </w:r>
      <w:r w:rsidR="00F47FC7" w:rsidRPr="006C4490">
        <w:rPr>
          <w:lang w:val="en-US"/>
        </w:rPr>
        <w:t>th</w:t>
      </w:r>
      <w:r w:rsidR="00823F92" w:rsidRPr="006C4490">
        <w:rPr>
          <w:lang w:val="en-US"/>
        </w:rPr>
        <w:t>e</w:t>
      </w:r>
      <w:r w:rsidR="00823F92">
        <w:rPr>
          <w:lang w:val="en-US"/>
        </w:rPr>
        <w:t xml:space="preserve"> </w:t>
      </w:r>
      <w:r w:rsidR="00F47FC7" w:rsidRPr="006C4490">
        <w:rPr>
          <w:lang w:val="en-US"/>
        </w:rPr>
        <w:t>diagnosi</w:t>
      </w:r>
      <w:r w:rsidR="00823F92" w:rsidRPr="006C4490">
        <w:rPr>
          <w:lang w:val="en-US"/>
        </w:rPr>
        <w:t>s</w:t>
      </w:r>
      <w:r w:rsidR="00823F92">
        <w:rPr>
          <w:lang w:val="en-US"/>
        </w:rPr>
        <w:t xml:space="preserve"> </w:t>
      </w:r>
      <w:r w:rsidR="00F47FC7" w:rsidRPr="006C4490">
        <w:rPr>
          <w:lang w:val="en-US"/>
        </w:rPr>
        <w:t>an</w:t>
      </w:r>
      <w:r w:rsidR="00823F92" w:rsidRPr="006C4490">
        <w:rPr>
          <w:lang w:val="en-US"/>
        </w:rPr>
        <w:t>d</w:t>
      </w:r>
      <w:r w:rsidR="00823F92">
        <w:rPr>
          <w:lang w:val="en-US"/>
        </w:rPr>
        <w:t xml:space="preserve"> </w:t>
      </w:r>
      <w:r w:rsidR="00F47FC7" w:rsidRPr="006C4490">
        <w:rPr>
          <w:lang w:val="en-US"/>
        </w:rPr>
        <w:t>managemen</w:t>
      </w:r>
      <w:r w:rsidR="00823F92" w:rsidRPr="006C4490">
        <w:rPr>
          <w:lang w:val="en-US"/>
        </w:rPr>
        <w:t>t</w:t>
      </w:r>
      <w:r w:rsidR="00823F92">
        <w:rPr>
          <w:lang w:val="en-US"/>
        </w:rPr>
        <w:t xml:space="preserve"> </w:t>
      </w:r>
      <w:r w:rsidR="00F47FC7" w:rsidRPr="006C4490">
        <w:rPr>
          <w:lang w:val="en-US"/>
        </w:rPr>
        <w:t>o</w:t>
      </w:r>
      <w:r w:rsidR="00823F92" w:rsidRPr="006C4490">
        <w:rPr>
          <w:lang w:val="en-US"/>
        </w:rPr>
        <w:t>f</w:t>
      </w:r>
      <w:r w:rsidR="00823F92">
        <w:rPr>
          <w:lang w:val="en-US"/>
        </w:rPr>
        <w:t xml:space="preserve"> </w:t>
      </w:r>
      <w:r w:rsidR="00F47FC7" w:rsidRPr="006C4490">
        <w:rPr>
          <w:lang w:val="en-US"/>
        </w:rPr>
        <w:t>menta</w:t>
      </w:r>
      <w:r w:rsidR="00823F92" w:rsidRPr="006C4490">
        <w:rPr>
          <w:lang w:val="en-US"/>
        </w:rPr>
        <w:t>l</w:t>
      </w:r>
      <w:r w:rsidR="00823F92">
        <w:rPr>
          <w:lang w:val="en-US"/>
        </w:rPr>
        <w:t xml:space="preserve"> </w:t>
      </w:r>
      <w:r w:rsidR="00F47FC7" w:rsidRPr="0071779B">
        <w:rPr>
          <w:lang w:val="en-US"/>
        </w:rPr>
        <w:t>ill</w:t>
      </w:r>
      <w:r w:rsidR="00F47FC7">
        <w:rPr>
          <w:lang w:val="en-US"/>
        </w:rPr>
        <w:t>-healt</w:t>
      </w:r>
      <w:r w:rsidR="00823F92">
        <w:rPr>
          <w:lang w:val="en-US"/>
        </w:rPr>
        <w:t xml:space="preserve">h </w:t>
      </w:r>
      <w:r w:rsidR="00F47FC7" w:rsidRPr="006C4490">
        <w:rPr>
          <w:lang w:val="en-US"/>
        </w:rPr>
        <w:t>wh</w:t>
      </w:r>
      <w:r w:rsidR="00823F92" w:rsidRPr="006C4490">
        <w:rPr>
          <w:lang w:val="en-US"/>
        </w:rPr>
        <w:t>o</w:t>
      </w:r>
      <w:r w:rsidR="00823F92">
        <w:rPr>
          <w:lang w:val="en-US"/>
        </w:rPr>
        <w:t xml:space="preserve"> </w:t>
      </w:r>
      <w:r w:rsidR="00F47FC7" w:rsidRPr="006C4490">
        <w:rPr>
          <w:lang w:val="en-US"/>
        </w:rPr>
        <w:t>generall</w:t>
      </w:r>
      <w:r w:rsidR="00823F92" w:rsidRPr="006C4490">
        <w:rPr>
          <w:lang w:val="en-US"/>
        </w:rPr>
        <w:t>y</w:t>
      </w:r>
      <w:r w:rsidR="00823F92">
        <w:rPr>
          <w:lang w:val="en-US"/>
        </w:rPr>
        <w:t xml:space="preserve"> </w:t>
      </w:r>
      <w:r w:rsidR="00F47FC7" w:rsidRPr="006C4490">
        <w:rPr>
          <w:lang w:val="en-US"/>
        </w:rPr>
        <w:t>trea</w:t>
      </w:r>
      <w:r w:rsidR="00823F92" w:rsidRPr="006C4490">
        <w:rPr>
          <w:lang w:val="en-US"/>
        </w:rPr>
        <w:t>t</w:t>
      </w:r>
      <w:r w:rsidR="00823F92">
        <w:rPr>
          <w:lang w:val="en-US"/>
        </w:rPr>
        <w:t xml:space="preserve"> </w:t>
      </w:r>
      <w:r w:rsidR="00F47FC7" w:rsidRPr="006C4490">
        <w:rPr>
          <w:lang w:val="en-US"/>
        </w:rPr>
        <w:t>peopl</w:t>
      </w:r>
      <w:r w:rsidR="00823F92" w:rsidRPr="006C4490">
        <w:rPr>
          <w:lang w:val="en-US"/>
        </w:rPr>
        <w:t>e</w:t>
      </w:r>
      <w:r w:rsidR="00823F92">
        <w:rPr>
          <w:lang w:val="en-US"/>
        </w:rPr>
        <w:t xml:space="preserve"> </w:t>
      </w:r>
      <w:r w:rsidR="00F47FC7" w:rsidRPr="006C4490">
        <w:rPr>
          <w:lang w:val="en-US"/>
        </w:rPr>
        <w:t>wit</w:t>
      </w:r>
      <w:r w:rsidR="00823F92" w:rsidRPr="006C4490">
        <w:rPr>
          <w:lang w:val="en-US"/>
        </w:rPr>
        <w:t>h</w:t>
      </w:r>
      <w:r w:rsidR="00823F92">
        <w:rPr>
          <w:lang w:val="en-US"/>
        </w:rPr>
        <w:t xml:space="preserve"> </w:t>
      </w:r>
      <w:r w:rsidR="00F47FC7" w:rsidRPr="006C4490">
        <w:rPr>
          <w:lang w:val="en-US"/>
        </w:rPr>
        <w:t>mor</w:t>
      </w:r>
      <w:r w:rsidR="00823F92" w:rsidRPr="006C4490">
        <w:rPr>
          <w:lang w:val="en-US"/>
        </w:rPr>
        <w:t>e</w:t>
      </w:r>
      <w:r w:rsidR="00823F92">
        <w:rPr>
          <w:lang w:val="en-US"/>
        </w:rPr>
        <w:t xml:space="preserve"> </w:t>
      </w:r>
      <w:r w:rsidR="00F47FC7" w:rsidRPr="006C4490">
        <w:rPr>
          <w:lang w:val="en-US"/>
        </w:rPr>
        <w:t>sever</w:t>
      </w:r>
      <w:r w:rsidR="00823F92" w:rsidRPr="006C4490">
        <w:rPr>
          <w:lang w:val="en-US"/>
        </w:rPr>
        <w:t>e</w:t>
      </w:r>
      <w:r w:rsidR="00823F92">
        <w:rPr>
          <w:lang w:val="en-US"/>
        </w:rPr>
        <w:t xml:space="preserve"> </w:t>
      </w:r>
      <w:r w:rsidR="00F47FC7" w:rsidRPr="006C4490">
        <w:rPr>
          <w:lang w:val="en-US"/>
        </w:rPr>
        <w:t>menta</w:t>
      </w:r>
      <w:r w:rsidR="00823F92" w:rsidRPr="006C4490">
        <w:rPr>
          <w:lang w:val="en-US"/>
        </w:rPr>
        <w:t>l</w:t>
      </w:r>
      <w:r w:rsidR="00823F92">
        <w:rPr>
          <w:lang w:val="en-US"/>
        </w:rPr>
        <w:t xml:space="preserve"> </w:t>
      </w:r>
      <w:r w:rsidR="00F47FC7">
        <w:rPr>
          <w:lang w:val="en-US"/>
        </w:rPr>
        <w:t>healt</w:t>
      </w:r>
      <w:r w:rsidR="00823F92">
        <w:rPr>
          <w:lang w:val="en-US"/>
        </w:rPr>
        <w:t xml:space="preserve">h </w:t>
      </w:r>
      <w:r w:rsidR="00F47FC7">
        <w:rPr>
          <w:lang w:val="en-US"/>
        </w:rPr>
        <w:t>conditions</w:t>
      </w:r>
      <w:r w:rsidR="00823F92" w:rsidRPr="006C4490">
        <w:rPr>
          <w:lang w:val="en-US"/>
        </w:rPr>
        <w:t>.</w:t>
      </w:r>
      <w:r w:rsidR="00823F92">
        <w:rPr>
          <w:lang w:val="en-US"/>
        </w:rPr>
        <w:t xml:space="preserve"> </w:t>
      </w:r>
    </w:p>
    <w:p w14:paraId="2A21A059" w14:textId="064F326D" w:rsidR="005137B8" w:rsidRDefault="005137B8" w:rsidP="005137B8">
      <w:pPr>
        <w:pStyle w:val="BodyText"/>
        <w:rPr>
          <w:b/>
          <w:bCs/>
          <w:lang w:val="en-US"/>
        </w:rPr>
      </w:pPr>
      <w:r w:rsidRPr="009245F1">
        <w:rPr>
          <w:lang w:val="en-US"/>
        </w:rPr>
        <w:t>Setting:</w:t>
      </w:r>
      <w:r>
        <w:rPr>
          <w:b/>
          <w:bCs/>
          <w:lang w:val="en-US"/>
        </w:rPr>
        <w:t xml:space="preserve"> </w:t>
      </w:r>
      <w:r w:rsidR="00F47FC7" w:rsidRPr="006C4490">
        <w:rPr>
          <w:lang w:val="en-US"/>
        </w:rPr>
        <w:t>Mos</w:t>
      </w:r>
      <w:r w:rsidR="00823F92" w:rsidRPr="006C4490">
        <w:rPr>
          <w:lang w:val="en-US"/>
        </w:rPr>
        <w:t>t</w:t>
      </w:r>
      <w:r w:rsidR="00823F92">
        <w:rPr>
          <w:lang w:val="en-US"/>
        </w:rPr>
        <w:t xml:space="preserve"> </w:t>
      </w:r>
      <w:r w:rsidR="00F47FC7" w:rsidRPr="006C4490">
        <w:rPr>
          <w:lang w:val="en-US"/>
        </w:rPr>
        <w:t>psychiatrist</w:t>
      </w:r>
      <w:r w:rsidR="00823F92" w:rsidRPr="006C4490">
        <w:rPr>
          <w:lang w:val="en-US"/>
        </w:rPr>
        <w:t>s</w:t>
      </w:r>
      <w:r w:rsidR="00823F92">
        <w:rPr>
          <w:lang w:val="en-US"/>
        </w:rPr>
        <w:t xml:space="preserve"> </w:t>
      </w:r>
      <w:r w:rsidR="00F47FC7" w:rsidRPr="006C4490">
        <w:rPr>
          <w:lang w:val="en-US"/>
        </w:rPr>
        <w:t>wor</w:t>
      </w:r>
      <w:r w:rsidR="00823F92" w:rsidRPr="006C4490">
        <w:rPr>
          <w:lang w:val="en-US"/>
        </w:rPr>
        <w:t>k</w:t>
      </w:r>
      <w:r w:rsidR="00823F92">
        <w:rPr>
          <w:lang w:val="en-US"/>
        </w:rPr>
        <w:t xml:space="preserve"> </w:t>
      </w:r>
      <w:r w:rsidR="00F47FC7" w:rsidRPr="006C4490">
        <w:rPr>
          <w:lang w:val="en-US"/>
        </w:rPr>
        <w:t>i</w:t>
      </w:r>
      <w:r w:rsidR="00823F92" w:rsidRPr="006C4490">
        <w:rPr>
          <w:lang w:val="en-US"/>
        </w:rPr>
        <w:t>n</w:t>
      </w:r>
      <w:r w:rsidR="00823F92">
        <w:rPr>
          <w:lang w:val="en-US"/>
        </w:rPr>
        <w:t xml:space="preserve"> </w:t>
      </w:r>
      <w:r w:rsidR="00F47FC7">
        <w:rPr>
          <w:lang w:val="en-US"/>
        </w:rPr>
        <w:t>privat</w:t>
      </w:r>
      <w:r w:rsidR="00823F92">
        <w:rPr>
          <w:lang w:val="en-US"/>
        </w:rPr>
        <w:t xml:space="preserve">e </w:t>
      </w:r>
      <w:r w:rsidR="00F47FC7">
        <w:rPr>
          <w:lang w:val="en-US"/>
        </w:rPr>
        <w:t>settings</w:t>
      </w:r>
      <w:r w:rsidR="00F47FC7" w:rsidRPr="006C4490">
        <w:rPr>
          <w:lang w:val="en-US"/>
        </w:rPr>
        <w:t>.</w:t>
      </w:r>
    </w:p>
    <w:p w14:paraId="67113558" w14:textId="50566291" w:rsidR="005137B8" w:rsidRDefault="005137B8" w:rsidP="005137B8">
      <w:pPr>
        <w:pStyle w:val="BodyText"/>
        <w:rPr>
          <w:lang w:val="en-US"/>
        </w:rPr>
      </w:pPr>
      <w:r w:rsidRPr="009245F1">
        <w:rPr>
          <w:lang w:val="en-US"/>
        </w:rPr>
        <w:t>Training</w:t>
      </w:r>
      <w:r>
        <w:rPr>
          <w:b/>
          <w:bCs/>
          <w:lang w:val="en-US"/>
        </w:rPr>
        <w:t xml:space="preserve">: </w:t>
      </w:r>
      <w:r w:rsidR="003C767F" w:rsidRPr="00482E3D">
        <w:rPr>
          <w:lang w:val="en-US"/>
        </w:rPr>
        <w:t>Psychiatrist</w:t>
      </w:r>
      <w:r w:rsidR="00823F92" w:rsidRPr="00482E3D">
        <w:rPr>
          <w:lang w:val="en-US"/>
        </w:rPr>
        <w:t>s</w:t>
      </w:r>
      <w:r w:rsidR="00823F92">
        <w:rPr>
          <w:lang w:val="en-US"/>
        </w:rPr>
        <w:t xml:space="preserve"> </w:t>
      </w:r>
      <w:r w:rsidR="003C767F" w:rsidRPr="00482E3D">
        <w:rPr>
          <w:lang w:val="en-US"/>
        </w:rPr>
        <w:t>undertak</w:t>
      </w:r>
      <w:r w:rsidR="00823F92" w:rsidRPr="00482E3D">
        <w:rPr>
          <w:lang w:val="en-US"/>
        </w:rPr>
        <w:t>e</w:t>
      </w:r>
      <w:r w:rsidR="00823F92">
        <w:rPr>
          <w:lang w:val="en-US"/>
        </w:rPr>
        <w:t xml:space="preserve"> </w:t>
      </w:r>
      <w:r w:rsidR="00823F92" w:rsidRPr="00482E3D">
        <w:rPr>
          <w:lang w:val="en-US"/>
        </w:rPr>
        <w:t>a</w:t>
      </w:r>
      <w:r w:rsidR="00823F92">
        <w:rPr>
          <w:lang w:val="en-US"/>
        </w:rPr>
        <w:t xml:space="preserve"> </w:t>
      </w:r>
      <w:proofErr w:type="gramStart"/>
      <w:r w:rsidR="003C767F" w:rsidRPr="00482E3D">
        <w:rPr>
          <w:lang w:val="en-US"/>
        </w:rPr>
        <w:t>bachelo</w:t>
      </w:r>
      <w:r w:rsidR="00823F92" w:rsidRPr="00482E3D">
        <w:rPr>
          <w:lang w:val="en-US"/>
        </w:rPr>
        <w:t>r</w:t>
      </w:r>
      <w:proofErr w:type="gramEnd"/>
      <w:r w:rsidR="00823F92">
        <w:rPr>
          <w:lang w:val="en-US"/>
        </w:rPr>
        <w:t xml:space="preserve"> </w:t>
      </w:r>
      <w:r w:rsidR="003C767F" w:rsidRPr="00482E3D">
        <w:rPr>
          <w:lang w:val="en-US"/>
        </w:rPr>
        <w:t>degree</w:t>
      </w:r>
      <w:r w:rsidR="00823F92">
        <w:rPr>
          <w:lang w:val="en-US"/>
        </w:rPr>
        <w:t xml:space="preserve">, a </w:t>
      </w:r>
      <w:r w:rsidR="003C767F" w:rsidRPr="00482E3D">
        <w:rPr>
          <w:lang w:val="en-US"/>
        </w:rPr>
        <w:t>postgraduat</w:t>
      </w:r>
      <w:r w:rsidR="00823F92" w:rsidRPr="00482E3D">
        <w:rPr>
          <w:lang w:val="en-US"/>
        </w:rPr>
        <w:t>e</w:t>
      </w:r>
      <w:r w:rsidR="00823F92">
        <w:rPr>
          <w:lang w:val="en-US"/>
        </w:rPr>
        <w:t xml:space="preserve"> </w:t>
      </w:r>
      <w:r w:rsidR="003C767F" w:rsidRPr="00482E3D">
        <w:rPr>
          <w:lang w:val="en-US"/>
        </w:rPr>
        <w:t>degre</w:t>
      </w:r>
      <w:r w:rsidR="00823F92" w:rsidRPr="00482E3D">
        <w:rPr>
          <w:lang w:val="en-US"/>
        </w:rPr>
        <w:t>e</w:t>
      </w:r>
      <w:r w:rsidR="00823F92">
        <w:rPr>
          <w:lang w:val="en-US"/>
        </w:rPr>
        <w:t xml:space="preserve"> </w:t>
      </w:r>
      <w:r w:rsidR="003C767F" w:rsidRPr="00482E3D">
        <w:rPr>
          <w:lang w:val="en-US"/>
        </w:rPr>
        <w:t>i</w:t>
      </w:r>
      <w:r w:rsidR="00823F92" w:rsidRPr="00482E3D">
        <w:rPr>
          <w:lang w:val="en-US"/>
        </w:rPr>
        <w:t>n</w:t>
      </w:r>
      <w:r w:rsidR="00823F92">
        <w:rPr>
          <w:lang w:val="en-US"/>
        </w:rPr>
        <w:t xml:space="preserve"> </w:t>
      </w:r>
      <w:r w:rsidR="003C767F" w:rsidRPr="00482E3D">
        <w:rPr>
          <w:lang w:val="en-US"/>
        </w:rPr>
        <w:t>medicine</w:t>
      </w:r>
      <w:r w:rsidR="00823F92" w:rsidRPr="00482E3D">
        <w:rPr>
          <w:lang w:val="en-US"/>
        </w:rPr>
        <w:t>,</w:t>
      </w:r>
      <w:r w:rsidR="00823F92">
        <w:rPr>
          <w:lang w:val="en-US"/>
        </w:rPr>
        <w:t xml:space="preserve"> </w:t>
      </w:r>
      <w:r w:rsidR="003C767F" w:rsidRPr="00482E3D">
        <w:rPr>
          <w:lang w:val="en-US"/>
        </w:rPr>
        <w:t>followe</w:t>
      </w:r>
      <w:r w:rsidR="00823F92" w:rsidRPr="00482E3D">
        <w:rPr>
          <w:lang w:val="en-US"/>
        </w:rPr>
        <w:t>d</w:t>
      </w:r>
      <w:r w:rsidR="00823F92">
        <w:rPr>
          <w:lang w:val="en-US"/>
        </w:rPr>
        <w:t xml:space="preserve"> </w:t>
      </w:r>
      <w:r w:rsidR="003C767F" w:rsidRPr="00482E3D">
        <w:rPr>
          <w:lang w:val="en-US"/>
        </w:rPr>
        <w:t>b</w:t>
      </w:r>
      <w:r w:rsidR="00823F92" w:rsidRPr="00482E3D">
        <w:rPr>
          <w:lang w:val="en-US"/>
        </w:rPr>
        <w:t>y</w:t>
      </w:r>
      <w:r w:rsidR="00823F92">
        <w:rPr>
          <w:lang w:val="en-US"/>
        </w:rPr>
        <w:t xml:space="preserve"> </w:t>
      </w:r>
      <w:r w:rsidR="003C767F" w:rsidRPr="00482E3D">
        <w:rPr>
          <w:lang w:val="en-US"/>
        </w:rPr>
        <w:t>specialis</w:t>
      </w:r>
      <w:r w:rsidR="00823F92" w:rsidRPr="00482E3D">
        <w:rPr>
          <w:lang w:val="en-US"/>
        </w:rPr>
        <w:t>t</w:t>
      </w:r>
      <w:r w:rsidR="00823F92">
        <w:rPr>
          <w:lang w:val="en-US"/>
        </w:rPr>
        <w:t xml:space="preserve"> </w:t>
      </w:r>
      <w:r w:rsidR="003C767F" w:rsidRPr="00482E3D">
        <w:rPr>
          <w:lang w:val="en-US"/>
        </w:rPr>
        <w:t>trainin</w:t>
      </w:r>
      <w:r w:rsidR="00823F92" w:rsidRPr="00482E3D">
        <w:rPr>
          <w:lang w:val="en-US"/>
        </w:rPr>
        <w:t>g</w:t>
      </w:r>
      <w:r w:rsidR="00823F92">
        <w:rPr>
          <w:lang w:val="en-US"/>
        </w:rPr>
        <w:t xml:space="preserve"> </w:t>
      </w:r>
      <w:r w:rsidR="003C767F" w:rsidRPr="00482E3D">
        <w:rPr>
          <w:lang w:val="en-US"/>
        </w:rPr>
        <w:t>i</w:t>
      </w:r>
      <w:r w:rsidR="00823F92" w:rsidRPr="00482E3D">
        <w:rPr>
          <w:lang w:val="en-US"/>
        </w:rPr>
        <w:t>n</w:t>
      </w:r>
      <w:r w:rsidR="00823F92">
        <w:rPr>
          <w:lang w:val="en-US"/>
        </w:rPr>
        <w:t xml:space="preserve"> </w:t>
      </w:r>
      <w:r w:rsidR="003C767F" w:rsidRPr="00482E3D">
        <w:rPr>
          <w:lang w:val="en-US"/>
        </w:rPr>
        <w:t>psychiatr</w:t>
      </w:r>
      <w:r w:rsidR="00823F92" w:rsidRPr="00482E3D">
        <w:rPr>
          <w:lang w:val="en-US"/>
        </w:rPr>
        <w:t>y</w:t>
      </w:r>
      <w:r w:rsidR="00823F92">
        <w:rPr>
          <w:lang w:val="en-US"/>
        </w:rPr>
        <w:t xml:space="preserve"> </w:t>
      </w:r>
      <w:r w:rsidR="003C767F" w:rsidRPr="00482E3D">
        <w:rPr>
          <w:lang w:val="en-US"/>
        </w:rPr>
        <w:t>wit</w:t>
      </w:r>
      <w:r w:rsidR="00823F92" w:rsidRPr="00482E3D">
        <w:rPr>
          <w:lang w:val="en-US"/>
        </w:rPr>
        <w:t>h</w:t>
      </w:r>
      <w:r w:rsidR="00823F92">
        <w:rPr>
          <w:lang w:val="en-US"/>
        </w:rPr>
        <w:t xml:space="preserve"> </w:t>
      </w:r>
      <w:r w:rsidR="003C767F" w:rsidRPr="00482E3D">
        <w:rPr>
          <w:lang w:val="en-US"/>
        </w:rPr>
        <w:t>th</w:t>
      </w:r>
      <w:r w:rsidR="00823F92" w:rsidRPr="00482E3D">
        <w:rPr>
          <w:lang w:val="en-US"/>
        </w:rPr>
        <w:t>e</w:t>
      </w:r>
      <w:r w:rsidR="00823F92">
        <w:rPr>
          <w:lang w:val="en-US"/>
        </w:rPr>
        <w:t xml:space="preserve"> </w:t>
      </w:r>
      <w:r w:rsidR="003C767F" w:rsidRPr="00482E3D">
        <w:rPr>
          <w:lang w:val="en-US"/>
        </w:rPr>
        <w:t>Roya</w:t>
      </w:r>
      <w:r w:rsidR="00823F92" w:rsidRPr="00482E3D">
        <w:rPr>
          <w:lang w:val="en-US"/>
        </w:rPr>
        <w:t>l</w:t>
      </w:r>
      <w:r w:rsidR="00823F92">
        <w:rPr>
          <w:lang w:val="en-US"/>
        </w:rPr>
        <w:t xml:space="preserve"> </w:t>
      </w:r>
      <w:r w:rsidR="003C767F" w:rsidRPr="00482E3D">
        <w:rPr>
          <w:lang w:val="en-US"/>
        </w:rPr>
        <w:t>Australia</w:t>
      </w:r>
      <w:r w:rsidR="00823F92" w:rsidRPr="00482E3D">
        <w:rPr>
          <w:lang w:val="en-US"/>
        </w:rPr>
        <w:t>n</w:t>
      </w:r>
      <w:r w:rsidR="00823F92">
        <w:rPr>
          <w:lang w:val="en-US"/>
        </w:rPr>
        <w:t xml:space="preserve"> </w:t>
      </w:r>
      <w:r w:rsidR="003C767F" w:rsidRPr="00482E3D">
        <w:rPr>
          <w:lang w:val="en-US"/>
        </w:rPr>
        <w:t>an</w:t>
      </w:r>
      <w:r w:rsidR="00823F92" w:rsidRPr="00482E3D">
        <w:rPr>
          <w:lang w:val="en-US"/>
        </w:rPr>
        <w:t>d</w:t>
      </w:r>
      <w:r w:rsidR="00823F92">
        <w:rPr>
          <w:lang w:val="en-US"/>
        </w:rPr>
        <w:t xml:space="preserve"> </w:t>
      </w:r>
      <w:r w:rsidR="003C767F" w:rsidRPr="00482E3D">
        <w:rPr>
          <w:lang w:val="en-US"/>
        </w:rPr>
        <w:t>Ne</w:t>
      </w:r>
      <w:r w:rsidR="00823F92" w:rsidRPr="00482E3D">
        <w:rPr>
          <w:lang w:val="en-US"/>
        </w:rPr>
        <w:t>w</w:t>
      </w:r>
      <w:r w:rsidR="00823F92">
        <w:rPr>
          <w:lang w:val="en-US"/>
        </w:rPr>
        <w:t xml:space="preserve"> </w:t>
      </w:r>
      <w:r w:rsidR="003C767F" w:rsidRPr="00482E3D">
        <w:rPr>
          <w:lang w:val="en-US"/>
        </w:rPr>
        <w:t>Zealan</w:t>
      </w:r>
      <w:r w:rsidR="00823F92" w:rsidRPr="00482E3D">
        <w:rPr>
          <w:lang w:val="en-US"/>
        </w:rPr>
        <w:t>d</w:t>
      </w:r>
      <w:r w:rsidR="00823F92">
        <w:rPr>
          <w:lang w:val="en-US"/>
        </w:rPr>
        <w:t xml:space="preserve"> </w:t>
      </w:r>
      <w:r w:rsidR="003C767F" w:rsidRPr="00482E3D">
        <w:rPr>
          <w:lang w:val="en-US"/>
        </w:rPr>
        <w:t>Colleg</w:t>
      </w:r>
      <w:r w:rsidR="00823F92" w:rsidRPr="00482E3D">
        <w:rPr>
          <w:lang w:val="en-US"/>
        </w:rPr>
        <w:t>e</w:t>
      </w:r>
      <w:r w:rsidR="00823F92">
        <w:rPr>
          <w:lang w:val="en-US"/>
        </w:rPr>
        <w:t xml:space="preserve"> </w:t>
      </w:r>
      <w:r w:rsidR="003C767F" w:rsidRPr="00482E3D">
        <w:rPr>
          <w:lang w:val="en-US"/>
        </w:rPr>
        <w:t>o</w:t>
      </w:r>
      <w:r w:rsidR="00823F92" w:rsidRPr="00482E3D">
        <w:rPr>
          <w:lang w:val="en-US"/>
        </w:rPr>
        <w:t>f</w:t>
      </w:r>
      <w:r w:rsidR="00823F92">
        <w:rPr>
          <w:lang w:val="en-US"/>
        </w:rPr>
        <w:t xml:space="preserve"> </w:t>
      </w:r>
      <w:r w:rsidR="003C767F" w:rsidRPr="00482E3D">
        <w:rPr>
          <w:lang w:val="en-US"/>
        </w:rPr>
        <w:t>Psychiatrist</w:t>
      </w:r>
      <w:r w:rsidR="00823F92" w:rsidRPr="00482E3D">
        <w:rPr>
          <w:lang w:val="en-US"/>
        </w:rPr>
        <w:t>s</w:t>
      </w:r>
      <w:r w:rsidR="00823F92">
        <w:rPr>
          <w:lang w:val="en-US"/>
        </w:rPr>
        <w:t xml:space="preserve"> </w:t>
      </w:r>
      <w:r w:rsidR="003C767F" w:rsidRPr="00482E3D">
        <w:rPr>
          <w:lang w:val="en-US"/>
        </w:rPr>
        <w:t>(RANZCP)</w:t>
      </w:r>
      <w:r w:rsidR="00823F92" w:rsidRPr="00482E3D">
        <w:rPr>
          <w:lang w:val="en-US"/>
        </w:rPr>
        <w:t>.</w:t>
      </w:r>
      <w:r w:rsidR="00823F92">
        <w:rPr>
          <w:lang w:val="en-US"/>
        </w:rPr>
        <w:t xml:space="preserve"> </w:t>
      </w:r>
      <w:r w:rsidR="003C767F" w:rsidRPr="00482E3D">
        <w:rPr>
          <w:lang w:val="en-US"/>
        </w:rPr>
        <w:t>Th</w:t>
      </w:r>
      <w:r w:rsidR="00823F92" w:rsidRPr="00482E3D">
        <w:rPr>
          <w:lang w:val="en-US"/>
        </w:rPr>
        <w:t>e</w:t>
      </w:r>
      <w:r w:rsidR="00823F92">
        <w:rPr>
          <w:lang w:val="en-US"/>
        </w:rPr>
        <w:t xml:space="preserve"> </w:t>
      </w:r>
      <w:r w:rsidR="003C767F" w:rsidRPr="00482E3D">
        <w:rPr>
          <w:lang w:val="en-US"/>
        </w:rPr>
        <w:t>trainin</w:t>
      </w:r>
      <w:r w:rsidR="00823F92" w:rsidRPr="00482E3D">
        <w:rPr>
          <w:lang w:val="en-US"/>
        </w:rPr>
        <w:t>g</w:t>
      </w:r>
      <w:r w:rsidR="00823F92">
        <w:rPr>
          <w:lang w:val="en-US"/>
        </w:rPr>
        <w:t xml:space="preserve"> </w:t>
      </w:r>
      <w:r w:rsidR="003C767F" w:rsidRPr="00482E3D">
        <w:rPr>
          <w:lang w:val="en-US"/>
        </w:rPr>
        <w:t>pathwa</w:t>
      </w:r>
      <w:r w:rsidR="00823F92" w:rsidRPr="00482E3D">
        <w:rPr>
          <w:lang w:val="en-US"/>
        </w:rPr>
        <w:t>y</w:t>
      </w:r>
      <w:r w:rsidR="00823F92">
        <w:rPr>
          <w:lang w:val="en-US"/>
        </w:rPr>
        <w:t xml:space="preserve"> </w:t>
      </w:r>
      <w:r w:rsidR="003C767F" w:rsidRPr="00482E3D">
        <w:rPr>
          <w:lang w:val="en-US"/>
        </w:rPr>
        <w:t>take</w:t>
      </w:r>
      <w:r w:rsidR="00823F92" w:rsidRPr="00482E3D">
        <w:rPr>
          <w:lang w:val="en-US"/>
        </w:rPr>
        <w:t>s</w:t>
      </w:r>
      <w:r w:rsidR="00823F92">
        <w:rPr>
          <w:lang w:val="en-US"/>
        </w:rPr>
        <w:t xml:space="preserve"> </w:t>
      </w:r>
      <w:r w:rsidR="00823F92" w:rsidRPr="00482E3D">
        <w:rPr>
          <w:lang w:val="en-US"/>
        </w:rPr>
        <w:t>a</w:t>
      </w:r>
      <w:r w:rsidR="00823F92">
        <w:rPr>
          <w:lang w:val="en-US"/>
        </w:rPr>
        <w:t xml:space="preserve"> </w:t>
      </w:r>
      <w:r w:rsidR="003C767F" w:rsidRPr="00482E3D">
        <w:rPr>
          <w:lang w:val="en-US"/>
        </w:rPr>
        <w:t>minimu</w:t>
      </w:r>
      <w:r w:rsidR="00823F92" w:rsidRPr="00482E3D">
        <w:rPr>
          <w:lang w:val="en-US"/>
        </w:rPr>
        <w:t>m</w:t>
      </w:r>
      <w:r w:rsidR="00823F92">
        <w:rPr>
          <w:lang w:val="en-US"/>
        </w:rPr>
        <w:t xml:space="preserve"> </w:t>
      </w:r>
      <w:r w:rsidR="003C767F" w:rsidRPr="00482E3D">
        <w:rPr>
          <w:lang w:val="en-US"/>
        </w:rPr>
        <w:t>o</w:t>
      </w:r>
      <w:r w:rsidR="00823F92" w:rsidRPr="00482E3D">
        <w:rPr>
          <w:lang w:val="en-US"/>
        </w:rPr>
        <w:t>f</w:t>
      </w:r>
      <w:r w:rsidR="00823F92">
        <w:rPr>
          <w:lang w:val="en-US"/>
        </w:rPr>
        <w:t xml:space="preserve"> </w:t>
      </w:r>
      <w:r w:rsidR="003C767F" w:rsidRPr="00482E3D">
        <w:rPr>
          <w:lang w:val="en-US"/>
        </w:rPr>
        <w:t>1</w:t>
      </w:r>
      <w:r w:rsidR="00823F92" w:rsidRPr="00482E3D">
        <w:rPr>
          <w:lang w:val="en-US"/>
        </w:rPr>
        <w:t>1</w:t>
      </w:r>
      <w:r w:rsidR="00823F92">
        <w:rPr>
          <w:lang w:val="en-US"/>
        </w:rPr>
        <w:t xml:space="preserve"> </w:t>
      </w:r>
      <w:r w:rsidR="003C767F" w:rsidRPr="00482E3D">
        <w:rPr>
          <w:lang w:val="en-US"/>
        </w:rPr>
        <w:t>year</w:t>
      </w:r>
      <w:r w:rsidR="00823F92" w:rsidRPr="00482E3D">
        <w:rPr>
          <w:lang w:val="en-US"/>
        </w:rPr>
        <w:t>s</w:t>
      </w:r>
      <w:r w:rsidR="00823F92">
        <w:rPr>
          <w:lang w:val="en-US"/>
        </w:rPr>
        <w:t xml:space="preserve"> </w:t>
      </w:r>
      <w:r w:rsidR="003C767F" w:rsidRPr="00482E3D">
        <w:rPr>
          <w:lang w:val="en-US"/>
        </w:rPr>
        <w:t>t</w:t>
      </w:r>
      <w:r w:rsidR="00823F92" w:rsidRPr="00482E3D">
        <w:rPr>
          <w:lang w:val="en-US"/>
        </w:rPr>
        <w:t>o</w:t>
      </w:r>
      <w:r w:rsidR="00823F92">
        <w:rPr>
          <w:lang w:val="en-US"/>
        </w:rPr>
        <w:t xml:space="preserve"> </w:t>
      </w:r>
      <w:r w:rsidR="003C767F" w:rsidRPr="00482E3D">
        <w:rPr>
          <w:lang w:val="en-US"/>
        </w:rPr>
        <w:t>complete.</w:t>
      </w:r>
    </w:p>
    <w:p w14:paraId="05948A3D" w14:textId="2DC1A5B3" w:rsidR="00DC5728" w:rsidRPr="00342CC6" w:rsidRDefault="00DC5728" w:rsidP="005137B8">
      <w:pPr>
        <w:pStyle w:val="BodyText"/>
        <w:rPr>
          <w:lang w:val="en-US"/>
        </w:rPr>
      </w:pPr>
      <w:r w:rsidRPr="009245F1">
        <w:rPr>
          <w:lang w:val="en-US"/>
        </w:rPr>
        <w:t>Regulation:</w:t>
      </w:r>
      <w:r>
        <w:rPr>
          <w:b/>
          <w:bCs/>
          <w:lang w:val="en-US"/>
        </w:rPr>
        <w:t xml:space="preserve"> </w:t>
      </w:r>
      <w:r w:rsidR="00531BF7">
        <w:rPr>
          <w:lang w:val="en-US"/>
        </w:rPr>
        <w:t>Psychiatrist</w:t>
      </w:r>
      <w:r w:rsidR="00823F92">
        <w:rPr>
          <w:lang w:val="en-US"/>
        </w:rPr>
        <w:t xml:space="preserve">s </w:t>
      </w:r>
      <w:r w:rsidR="00531BF7" w:rsidRPr="00362A3D">
        <w:rPr>
          <w:lang w:val="en-US"/>
        </w:rPr>
        <w:t>ar</w:t>
      </w:r>
      <w:r w:rsidR="00823F92" w:rsidRPr="00362A3D">
        <w:rPr>
          <w:lang w:val="en-US"/>
        </w:rPr>
        <w:t>e</w:t>
      </w:r>
      <w:r w:rsidR="00823F92">
        <w:rPr>
          <w:lang w:val="en-US"/>
        </w:rPr>
        <w:t xml:space="preserve"> </w:t>
      </w:r>
      <w:r w:rsidR="00531BF7" w:rsidRPr="00362A3D">
        <w:rPr>
          <w:lang w:val="en-US"/>
        </w:rPr>
        <w:t>registere</w:t>
      </w:r>
      <w:r w:rsidR="00823F92" w:rsidRPr="00362A3D">
        <w:rPr>
          <w:lang w:val="en-US"/>
        </w:rPr>
        <w:t>d</w:t>
      </w:r>
      <w:r w:rsidR="00823F92">
        <w:rPr>
          <w:lang w:val="en-US"/>
        </w:rPr>
        <w:t xml:space="preserve"> </w:t>
      </w:r>
      <w:r w:rsidR="00531BF7" w:rsidRPr="00362A3D">
        <w:rPr>
          <w:lang w:val="en-US"/>
        </w:rPr>
        <w:t>unde</w:t>
      </w:r>
      <w:r w:rsidR="00823F92" w:rsidRPr="00362A3D">
        <w:rPr>
          <w:lang w:val="en-US"/>
        </w:rPr>
        <w:t>r</w:t>
      </w:r>
      <w:r w:rsidR="00823F92">
        <w:rPr>
          <w:lang w:val="en-US"/>
        </w:rPr>
        <w:t xml:space="preserve"> </w:t>
      </w:r>
      <w:r w:rsidR="00531BF7">
        <w:rPr>
          <w:lang w:val="en-US"/>
        </w:rPr>
        <w:t>Medica</w:t>
      </w:r>
      <w:r w:rsidR="00823F92">
        <w:rPr>
          <w:lang w:val="en-US"/>
        </w:rPr>
        <w:t xml:space="preserve">l </w:t>
      </w:r>
      <w:r w:rsidR="00531BF7" w:rsidRPr="00821D5E">
        <w:rPr>
          <w:lang w:val="en-US"/>
        </w:rPr>
        <w:t>Boar</w:t>
      </w:r>
      <w:r w:rsidR="00823F92" w:rsidRPr="00821D5E">
        <w:rPr>
          <w:lang w:val="en-US"/>
        </w:rPr>
        <w:t>d</w:t>
      </w:r>
      <w:r w:rsidR="00823F92">
        <w:rPr>
          <w:lang w:val="en-US"/>
        </w:rPr>
        <w:t xml:space="preserve"> </w:t>
      </w:r>
      <w:r w:rsidR="00531BF7" w:rsidRPr="00821D5E">
        <w:rPr>
          <w:lang w:val="en-US"/>
        </w:rPr>
        <w:t>o</w:t>
      </w:r>
      <w:r w:rsidR="00823F92" w:rsidRPr="00821D5E">
        <w:rPr>
          <w:lang w:val="en-US"/>
        </w:rPr>
        <w:t>f</w:t>
      </w:r>
      <w:r w:rsidR="00823F92">
        <w:rPr>
          <w:lang w:val="en-US"/>
        </w:rPr>
        <w:t xml:space="preserve"> </w:t>
      </w:r>
      <w:r w:rsidR="00531BF7" w:rsidRPr="00821D5E">
        <w:rPr>
          <w:lang w:val="en-US"/>
        </w:rPr>
        <w:t>Australia</w:t>
      </w:r>
      <w:r w:rsidR="00823F92">
        <w:rPr>
          <w:lang w:val="en-US"/>
        </w:rPr>
        <w:t xml:space="preserve">, </w:t>
      </w:r>
      <w:r w:rsidR="00531BF7">
        <w:rPr>
          <w:lang w:val="en-US"/>
        </w:rPr>
        <w:t>supporte</w:t>
      </w:r>
      <w:r w:rsidR="00823F92">
        <w:rPr>
          <w:lang w:val="en-US"/>
        </w:rPr>
        <w:t xml:space="preserve">d </w:t>
      </w:r>
      <w:r w:rsidR="00531BF7">
        <w:rPr>
          <w:lang w:val="en-US"/>
        </w:rPr>
        <w:t>b</w:t>
      </w:r>
      <w:r w:rsidR="00823F92">
        <w:rPr>
          <w:lang w:val="en-US"/>
        </w:rPr>
        <w:t xml:space="preserve">y </w:t>
      </w:r>
      <w:r w:rsidR="00531BF7">
        <w:rPr>
          <w:lang w:val="en-US"/>
        </w:rPr>
        <w:t>AHPRA.</w:t>
      </w:r>
    </w:p>
    <w:p w14:paraId="031E22B4" w14:textId="38447083" w:rsidR="00453F15" w:rsidRPr="006C4490" w:rsidRDefault="005137B8" w:rsidP="006E4B7F">
      <w:pPr>
        <w:pStyle w:val="BodyText"/>
        <w:rPr>
          <w:lang w:val="en-US"/>
        </w:rPr>
      </w:pPr>
      <w:r w:rsidRPr="009245F1">
        <w:rPr>
          <w:lang w:val="en-US"/>
        </w:rPr>
        <w:lastRenderedPageBreak/>
        <w:t>Supply:</w:t>
      </w:r>
      <w:r>
        <w:rPr>
          <w:b/>
          <w:bCs/>
          <w:lang w:val="en-US"/>
        </w:rPr>
        <w:t xml:space="preserve"> </w:t>
      </w:r>
      <w:r w:rsidR="00453F15" w:rsidRPr="006C4490">
        <w:rPr>
          <w:lang w:val="en-US"/>
        </w:rPr>
        <w:t>Ther</w:t>
      </w:r>
      <w:r w:rsidR="00823F92" w:rsidRPr="006C4490">
        <w:rPr>
          <w:lang w:val="en-US"/>
        </w:rPr>
        <w:t>e</w:t>
      </w:r>
      <w:r w:rsidR="00823F92">
        <w:rPr>
          <w:lang w:val="en-US"/>
        </w:rPr>
        <w:t xml:space="preserve"> </w:t>
      </w:r>
      <w:r w:rsidR="00453F15" w:rsidRPr="006C4490">
        <w:rPr>
          <w:lang w:val="en-US"/>
        </w:rPr>
        <w:t>i</w:t>
      </w:r>
      <w:r w:rsidR="00823F92" w:rsidRPr="006C4490">
        <w:rPr>
          <w:lang w:val="en-US"/>
        </w:rPr>
        <w:t>s</w:t>
      </w:r>
      <w:r w:rsidR="00823F92">
        <w:rPr>
          <w:lang w:val="en-US"/>
        </w:rPr>
        <w:t xml:space="preserve"> </w:t>
      </w:r>
      <w:r w:rsidR="00823F92" w:rsidRPr="006C4490">
        <w:rPr>
          <w:lang w:val="en-US"/>
        </w:rPr>
        <w:t>a</w:t>
      </w:r>
      <w:r w:rsidR="00823F92">
        <w:rPr>
          <w:lang w:val="en-US"/>
        </w:rPr>
        <w:t xml:space="preserve"> </w:t>
      </w:r>
      <w:r w:rsidR="00453F15" w:rsidRPr="006C4490">
        <w:rPr>
          <w:lang w:val="en-US"/>
        </w:rPr>
        <w:t>critica</w:t>
      </w:r>
      <w:r w:rsidR="00823F92" w:rsidRPr="006C4490">
        <w:rPr>
          <w:lang w:val="en-US"/>
        </w:rPr>
        <w:t>l</w:t>
      </w:r>
      <w:r w:rsidR="00823F92">
        <w:rPr>
          <w:lang w:val="en-US"/>
        </w:rPr>
        <w:t xml:space="preserve"> </w:t>
      </w:r>
      <w:r w:rsidR="00453F15" w:rsidRPr="006C4490">
        <w:rPr>
          <w:lang w:val="en-US"/>
        </w:rPr>
        <w:t>shortag</w:t>
      </w:r>
      <w:r w:rsidR="00823F92" w:rsidRPr="006C4490">
        <w:rPr>
          <w:lang w:val="en-US"/>
        </w:rPr>
        <w:t>e</w:t>
      </w:r>
      <w:r w:rsidR="00823F92">
        <w:rPr>
          <w:lang w:val="en-US"/>
        </w:rPr>
        <w:t xml:space="preserve"> </w:t>
      </w:r>
      <w:r w:rsidR="00453F15" w:rsidRPr="006C4490">
        <w:rPr>
          <w:lang w:val="en-US"/>
        </w:rPr>
        <w:t>o</w:t>
      </w:r>
      <w:r w:rsidR="00823F92" w:rsidRPr="006C4490">
        <w:rPr>
          <w:lang w:val="en-US"/>
        </w:rPr>
        <w:t>f</w:t>
      </w:r>
      <w:r w:rsidR="00823F92">
        <w:rPr>
          <w:lang w:val="en-US"/>
        </w:rPr>
        <w:t xml:space="preserve"> </w:t>
      </w:r>
      <w:r w:rsidR="00453F15" w:rsidRPr="006C4490">
        <w:rPr>
          <w:lang w:val="en-US"/>
        </w:rPr>
        <w:t>psychiatri</w:t>
      </w:r>
      <w:r w:rsidR="00453F15" w:rsidRPr="00C70095">
        <w:rPr>
          <w:lang w:val="en-US"/>
        </w:rPr>
        <w:t>st</w:t>
      </w:r>
      <w:r w:rsidR="00823F92" w:rsidRPr="00C70095">
        <w:rPr>
          <w:lang w:val="en-US"/>
        </w:rPr>
        <w:t>s</w:t>
      </w:r>
      <w:r w:rsidR="00823F92">
        <w:rPr>
          <w:lang w:val="en-US"/>
        </w:rPr>
        <w:t xml:space="preserve"> </w:t>
      </w:r>
      <w:r w:rsidR="00453F15" w:rsidRPr="00C70095">
        <w:rPr>
          <w:lang w:val="en-US"/>
        </w:rPr>
        <w:t>(</w:t>
      </w:r>
      <w:r w:rsidR="00C70095" w:rsidRPr="00C70095">
        <w:rPr>
          <w:lang w:val="en-US"/>
        </w:rPr>
        <w:t>66</w:t>
      </w:r>
      <w:r w:rsidR="00371BDA" w:rsidRPr="00C70095">
        <w:rPr>
          <w:lang w:val="en-US"/>
        </w:rPr>
        <w:t>%</w:t>
      </w:r>
      <w:r w:rsidR="00453F15" w:rsidRPr="00C70095">
        <w:rPr>
          <w:lang w:val="en-US"/>
        </w:rPr>
        <w:t xml:space="preserve"> o</w:t>
      </w:r>
      <w:r w:rsidR="00823F92" w:rsidRPr="00C70095">
        <w:rPr>
          <w:lang w:val="en-US"/>
        </w:rPr>
        <w:t>f</w:t>
      </w:r>
      <w:r w:rsidR="00823F92">
        <w:rPr>
          <w:lang w:val="en-US"/>
        </w:rPr>
        <w:t xml:space="preserve"> </w:t>
      </w:r>
      <w:r w:rsidR="00453F15" w:rsidRPr="00C70095">
        <w:rPr>
          <w:lang w:val="en-US"/>
        </w:rPr>
        <w:t>th</w:t>
      </w:r>
      <w:r w:rsidR="00823F92" w:rsidRPr="00C70095">
        <w:rPr>
          <w:lang w:val="en-US"/>
        </w:rPr>
        <w:t>e</w:t>
      </w:r>
      <w:r w:rsidR="00823F92">
        <w:rPr>
          <w:lang w:val="en-US"/>
        </w:rPr>
        <w:t xml:space="preserve"> </w:t>
      </w:r>
      <w:r w:rsidR="00453F15" w:rsidRPr="00C70095">
        <w:rPr>
          <w:lang w:val="en-US"/>
        </w:rPr>
        <w:t>NMHSP</w:t>
      </w:r>
      <w:r w:rsidR="00823F92" w:rsidRPr="00C70095">
        <w:rPr>
          <w:lang w:val="en-US"/>
        </w:rPr>
        <w:t>F</w:t>
      </w:r>
      <w:r w:rsidR="00823F92">
        <w:rPr>
          <w:lang w:val="en-US"/>
        </w:rPr>
        <w:t xml:space="preserve"> </w:t>
      </w:r>
      <w:r w:rsidR="00453F15" w:rsidRPr="00C70095">
        <w:rPr>
          <w:lang w:val="en-US"/>
        </w:rPr>
        <w:t>targe</w:t>
      </w:r>
      <w:r w:rsidR="00823F92" w:rsidRPr="00C70095">
        <w:rPr>
          <w:lang w:val="en-US"/>
        </w:rPr>
        <w:t>t</w:t>
      </w:r>
      <w:r w:rsidR="00823F92">
        <w:rPr>
          <w:lang w:val="en-US"/>
        </w:rPr>
        <w:t xml:space="preserve"> </w:t>
      </w:r>
      <w:r w:rsidR="00453F15" w:rsidRPr="00C70095">
        <w:rPr>
          <w:lang w:val="en-US"/>
        </w:rPr>
        <w:t>reached</w:t>
      </w:r>
      <w:r w:rsidR="00453F15" w:rsidRPr="006C4490">
        <w:rPr>
          <w:lang w:val="en-US"/>
        </w:rPr>
        <w:t>)</w:t>
      </w:r>
      <w:r w:rsidR="00823F92" w:rsidRPr="006C4490">
        <w:rPr>
          <w:lang w:val="en-US"/>
        </w:rPr>
        <w:t>.</w:t>
      </w:r>
      <w:r w:rsidR="00823F92">
        <w:rPr>
          <w:lang w:val="en-US"/>
        </w:rPr>
        <w:t xml:space="preserve"> </w:t>
      </w:r>
      <w:r w:rsidR="00453F15" w:rsidRPr="006C4490">
        <w:rPr>
          <w:lang w:val="en-US"/>
        </w:rPr>
        <w:t>Th</w:t>
      </w:r>
      <w:r w:rsidR="00823F92" w:rsidRPr="006C4490">
        <w:rPr>
          <w:lang w:val="en-US"/>
        </w:rPr>
        <w:t>e</w:t>
      </w:r>
      <w:r w:rsidR="00823F92">
        <w:rPr>
          <w:lang w:val="en-US"/>
        </w:rPr>
        <w:t xml:space="preserve"> </w:t>
      </w:r>
      <w:r w:rsidR="00453F15" w:rsidRPr="006C4490">
        <w:rPr>
          <w:lang w:val="en-US"/>
        </w:rPr>
        <w:t>curren</w:t>
      </w:r>
      <w:r w:rsidR="00823F92" w:rsidRPr="006C4490">
        <w:rPr>
          <w:lang w:val="en-US"/>
        </w:rPr>
        <w:t>t</w:t>
      </w:r>
      <w:r w:rsidR="00823F92">
        <w:rPr>
          <w:lang w:val="en-US"/>
        </w:rPr>
        <w:t xml:space="preserve"> </w:t>
      </w:r>
      <w:r w:rsidR="00453F15" w:rsidRPr="006C4490">
        <w:rPr>
          <w:lang w:val="en-US"/>
        </w:rPr>
        <w:t>workforc</w:t>
      </w:r>
      <w:r w:rsidR="00823F92" w:rsidRPr="006C4490">
        <w:rPr>
          <w:lang w:val="en-US"/>
        </w:rPr>
        <w:t>e</w:t>
      </w:r>
      <w:r w:rsidR="00823F92">
        <w:rPr>
          <w:lang w:val="en-US"/>
        </w:rPr>
        <w:t xml:space="preserve"> </w:t>
      </w:r>
      <w:r w:rsidR="00453F15" w:rsidRPr="006C4490">
        <w:rPr>
          <w:lang w:val="en-US"/>
        </w:rPr>
        <w:t>i</w:t>
      </w:r>
      <w:r w:rsidR="00823F92" w:rsidRPr="006C4490">
        <w:rPr>
          <w:lang w:val="en-US"/>
        </w:rPr>
        <w:t>s</w:t>
      </w:r>
      <w:r w:rsidR="00823F92">
        <w:rPr>
          <w:lang w:val="en-US"/>
        </w:rPr>
        <w:t xml:space="preserve"> </w:t>
      </w:r>
      <w:r w:rsidR="00046696">
        <w:rPr>
          <w:lang w:val="en-US"/>
        </w:rPr>
        <w:t>estimate</w:t>
      </w:r>
      <w:r w:rsidR="00823F92">
        <w:rPr>
          <w:lang w:val="en-US"/>
        </w:rPr>
        <w:t xml:space="preserve">d </w:t>
      </w:r>
      <w:r w:rsidR="00046696">
        <w:rPr>
          <w:lang w:val="en-US"/>
        </w:rPr>
        <w:t>a</w:t>
      </w:r>
      <w:r w:rsidR="00823F92">
        <w:rPr>
          <w:lang w:val="en-US"/>
        </w:rPr>
        <w:t xml:space="preserve">t </w:t>
      </w:r>
      <w:r w:rsidR="00015BCA">
        <w:rPr>
          <w:lang w:val="en-US"/>
        </w:rPr>
        <w:t>2,31</w:t>
      </w:r>
      <w:r w:rsidR="00823F92">
        <w:rPr>
          <w:lang w:val="en-US"/>
        </w:rPr>
        <w:t xml:space="preserve">0 </w:t>
      </w:r>
      <w:r w:rsidR="00453F15" w:rsidRPr="006C4490">
        <w:rPr>
          <w:lang w:val="en-US"/>
        </w:rPr>
        <w:t>FTE</w:t>
      </w:r>
      <w:r w:rsidR="00823F92" w:rsidRPr="006C4490">
        <w:rPr>
          <w:lang w:val="en-US"/>
        </w:rPr>
        <w:t>.</w:t>
      </w:r>
      <w:r w:rsidR="00823F92">
        <w:rPr>
          <w:lang w:val="en-US"/>
        </w:rPr>
        <w:t xml:space="preserve"> </w:t>
      </w:r>
      <w:r w:rsidR="00453F15" w:rsidRPr="006C4490">
        <w:rPr>
          <w:lang w:val="en-US"/>
        </w:rPr>
        <w:t>Shortfall</w:t>
      </w:r>
      <w:r w:rsidR="00823F92" w:rsidRPr="006C4490">
        <w:rPr>
          <w:lang w:val="en-US"/>
        </w:rPr>
        <w:t>s</w:t>
      </w:r>
      <w:r w:rsidR="00823F92">
        <w:rPr>
          <w:lang w:val="en-US"/>
        </w:rPr>
        <w:t xml:space="preserve"> </w:t>
      </w:r>
      <w:r w:rsidR="00453F15" w:rsidRPr="006C4490">
        <w:rPr>
          <w:lang w:val="en-US"/>
        </w:rPr>
        <w:t>ar</w:t>
      </w:r>
      <w:r w:rsidR="00823F92" w:rsidRPr="006C4490">
        <w:rPr>
          <w:lang w:val="en-US"/>
        </w:rPr>
        <w:t>e</w:t>
      </w:r>
      <w:r w:rsidR="00823F92">
        <w:rPr>
          <w:lang w:val="en-US"/>
        </w:rPr>
        <w:t xml:space="preserve"> </w:t>
      </w:r>
      <w:r w:rsidR="00453F15" w:rsidRPr="006C4490">
        <w:rPr>
          <w:lang w:val="en-US"/>
        </w:rPr>
        <w:t>particularl</w:t>
      </w:r>
      <w:r w:rsidR="00823F92" w:rsidRPr="006C4490">
        <w:rPr>
          <w:lang w:val="en-US"/>
        </w:rPr>
        <w:t>y</w:t>
      </w:r>
      <w:r w:rsidR="00823F92">
        <w:rPr>
          <w:lang w:val="en-US"/>
        </w:rPr>
        <w:t xml:space="preserve"> </w:t>
      </w:r>
      <w:r w:rsidR="00453F15" w:rsidRPr="006C4490">
        <w:rPr>
          <w:lang w:val="en-US"/>
        </w:rPr>
        <w:t>eviden</w:t>
      </w:r>
      <w:r w:rsidR="00823F92" w:rsidRPr="006C4490">
        <w:rPr>
          <w:lang w:val="en-US"/>
        </w:rPr>
        <w:t>t</w:t>
      </w:r>
      <w:r w:rsidR="00823F92">
        <w:rPr>
          <w:lang w:val="en-US"/>
        </w:rPr>
        <w:t xml:space="preserve"> </w:t>
      </w:r>
      <w:r w:rsidR="00453F15" w:rsidRPr="006C4490">
        <w:rPr>
          <w:lang w:val="en-US"/>
        </w:rPr>
        <w:t>i</w:t>
      </w:r>
      <w:r w:rsidR="00823F92" w:rsidRPr="006C4490">
        <w:rPr>
          <w:lang w:val="en-US"/>
        </w:rPr>
        <w:t>n</w:t>
      </w:r>
      <w:r w:rsidR="00823F92">
        <w:rPr>
          <w:lang w:val="en-US"/>
        </w:rPr>
        <w:t xml:space="preserve"> </w:t>
      </w:r>
      <w:r w:rsidR="00453F15" w:rsidRPr="006C4490">
        <w:rPr>
          <w:lang w:val="en-US"/>
        </w:rPr>
        <w:t>specifi</w:t>
      </w:r>
      <w:r w:rsidR="00823F92" w:rsidRPr="006C4490">
        <w:rPr>
          <w:lang w:val="en-US"/>
        </w:rPr>
        <w:t>c</w:t>
      </w:r>
      <w:r w:rsidR="00823F92">
        <w:rPr>
          <w:lang w:val="en-US"/>
        </w:rPr>
        <w:t xml:space="preserve"> </w:t>
      </w:r>
      <w:r w:rsidR="00453F15" w:rsidRPr="006C4490">
        <w:rPr>
          <w:lang w:val="en-US"/>
        </w:rPr>
        <w:t>sub-specialties</w:t>
      </w:r>
      <w:r w:rsidR="00823F92" w:rsidRPr="006C4490">
        <w:rPr>
          <w:lang w:val="en-US"/>
        </w:rPr>
        <w:t>,</w:t>
      </w:r>
      <w:r w:rsidR="00823F92">
        <w:rPr>
          <w:lang w:val="en-US"/>
        </w:rPr>
        <w:t xml:space="preserve"> </w:t>
      </w:r>
      <w:r w:rsidR="00453F15" w:rsidRPr="006C4490">
        <w:rPr>
          <w:lang w:val="en-US"/>
        </w:rPr>
        <w:t>suc</w:t>
      </w:r>
      <w:r w:rsidR="00823F92" w:rsidRPr="006C4490">
        <w:rPr>
          <w:lang w:val="en-US"/>
        </w:rPr>
        <w:t>h</w:t>
      </w:r>
      <w:r w:rsidR="00823F92">
        <w:rPr>
          <w:lang w:val="en-US"/>
        </w:rPr>
        <w:t xml:space="preserve"> </w:t>
      </w:r>
      <w:r w:rsidR="00453F15" w:rsidRPr="006C4490">
        <w:rPr>
          <w:lang w:val="en-US"/>
        </w:rPr>
        <w:t>a</w:t>
      </w:r>
      <w:r w:rsidR="00823F92" w:rsidRPr="006C4490">
        <w:rPr>
          <w:lang w:val="en-US"/>
        </w:rPr>
        <w:t>s</w:t>
      </w:r>
      <w:r w:rsidR="00823F92">
        <w:rPr>
          <w:lang w:val="en-US"/>
        </w:rPr>
        <w:t xml:space="preserve"> </w:t>
      </w:r>
      <w:r w:rsidR="00453F15" w:rsidRPr="006C4490">
        <w:rPr>
          <w:lang w:val="en-US"/>
        </w:rPr>
        <w:t>chil</w:t>
      </w:r>
      <w:r w:rsidR="00823F92" w:rsidRPr="006C4490">
        <w:rPr>
          <w:lang w:val="en-US"/>
        </w:rPr>
        <w:t>d</w:t>
      </w:r>
      <w:r w:rsidR="00823F92">
        <w:rPr>
          <w:lang w:val="en-US"/>
        </w:rPr>
        <w:t xml:space="preserve"> </w:t>
      </w:r>
      <w:r w:rsidR="00453F15" w:rsidRPr="006C4490">
        <w:rPr>
          <w:lang w:val="en-US"/>
        </w:rPr>
        <w:t>an</w:t>
      </w:r>
      <w:r w:rsidR="00823F92" w:rsidRPr="006C4490">
        <w:rPr>
          <w:lang w:val="en-US"/>
        </w:rPr>
        <w:t>d</w:t>
      </w:r>
      <w:r w:rsidR="00823F92">
        <w:rPr>
          <w:lang w:val="en-US"/>
        </w:rPr>
        <w:t xml:space="preserve"> </w:t>
      </w:r>
      <w:r w:rsidR="00453F15" w:rsidRPr="006C4490">
        <w:rPr>
          <w:lang w:val="en-US"/>
        </w:rPr>
        <w:t>adolescent</w:t>
      </w:r>
      <w:r w:rsidR="00823F92" w:rsidRPr="006C4490">
        <w:rPr>
          <w:lang w:val="en-US"/>
        </w:rPr>
        <w:t>,</w:t>
      </w:r>
      <w:r w:rsidR="00823F92">
        <w:rPr>
          <w:lang w:val="en-US"/>
        </w:rPr>
        <w:t xml:space="preserve"> </w:t>
      </w:r>
      <w:r w:rsidR="00453F15" w:rsidRPr="006C4490">
        <w:rPr>
          <w:lang w:val="en-US"/>
        </w:rPr>
        <w:t>an</w:t>
      </w:r>
      <w:r w:rsidR="00823F92" w:rsidRPr="006C4490">
        <w:rPr>
          <w:lang w:val="en-US"/>
        </w:rPr>
        <w:t>d</w:t>
      </w:r>
      <w:r w:rsidR="00823F92">
        <w:rPr>
          <w:lang w:val="en-US"/>
        </w:rPr>
        <w:t xml:space="preserve"> </w:t>
      </w:r>
      <w:r w:rsidR="00453F15" w:rsidRPr="006C4490">
        <w:rPr>
          <w:lang w:val="en-US"/>
        </w:rPr>
        <w:t>settings</w:t>
      </w:r>
      <w:r w:rsidR="00823F92" w:rsidRPr="006C4490">
        <w:rPr>
          <w:lang w:val="en-US"/>
        </w:rPr>
        <w:t>,</w:t>
      </w:r>
      <w:r w:rsidR="00823F92">
        <w:rPr>
          <w:lang w:val="en-US"/>
        </w:rPr>
        <w:t xml:space="preserve"> </w:t>
      </w:r>
      <w:r w:rsidR="00453F15" w:rsidRPr="006C4490">
        <w:rPr>
          <w:lang w:val="en-US"/>
        </w:rPr>
        <w:t>suc</w:t>
      </w:r>
      <w:r w:rsidR="00823F92" w:rsidRPr="006C4490">
        <w:rPr>
          <w:lang w:val="en-US"/>
        </w:rPr>
        <w:t>h</w:t>
      </w:r>
      <w:r w:rsidR="00823F92">
        <w:rPr>
          <w:lang w:val="en-US"/>
        </w:rPr>
        <w:t xml:space="preserve"> </w:t>
      </w:r>
      <w:r w:rsidR="00453F15" w:rsidRPr="006C4490">
        <w:rPr>
          <w:lang w:val="en-US"/>
        </w:rPr>
        <w:t>a</w:t>
      </w:r>
      <w:r w:rsidR="00823F92" w:rsidRPr="006C4490">
        <w:rPr>
          <w:lang w:val="en-US"/>
        </w:rPr>
        <w:t>s</w:t>
      </w:r>
      <w:r w:rsidR="00823F92">
        <w:rPr>
          <w:lang w:val="en-US"/>
        </w:rPr>
        <w:t xml:space="preserve"> </w:t>
      </w:r>
      <w:r w:rsidR="00453F15" w:rsidRPr="006C4490">
        <w:rPr>
          <w:lang w:val="en-US"/>
        </w:rPr>
        <w:t>inpatien</w:t>
      </w:r>
      <w:r w:rsidR="00823F92" w:rsidRPr="006C4490">
        <w:rPr>
          <w:lang w:val="en-US"/>
        </w:rPr>
        <w:t>t</w:t>
      </w:r>
      <w:r w:rsidR="00823F92">
        <w:rPr>
          <w:lang w:val="en-US"/>
        </w:rPr>
        <w:t xml:space="preserve"> </w:t>
      </w:r>
      <w:r w:rsidR="00453F15" w:rsidRPr="006C4490">
        <w:rPr>
          <w:lang w:val="en-US"/>
        </w:rPr>
        <w:t>unit</w:t>
      </w:r>
      <w:r w:rsidR="00823F92" w:rsidRPr="006C4490">
        <w:rPr>
          <w:lang w:val="en-US"/>
        </w:rPr>
        <w:t>s</w:t>
      </w:r>
      <w:r w:rsidR="00823F92">
        <w:rPr>
          <w:lang w:val="en-US"/>
        </w:rPr>
        <w:t xml:space="preserve"> </w:t>
      </w:r>
      <w:r w:rsidR="00453F15" w:rsidRPr="006C4490">
        <w:rPr>
          <w:lang w:val="en-US"/>
        </w:rPr>
        <w:t>an</w:t>
      </w:r>
      <w:r w:rsidR="00823F92" w:rsidRPr="006C4490">
        <w:rPr>
          <w:lang w:val="en-US"/>
        </w:rPr>
        <w:t>d</w:t>
      </w:r>
      <w:r w:rsidR="00823F92">
        <w:rPr>
          <w:lang w:val="en-US"/>
        </w:rPr>
        <w:t xml:space="preserve"> </w:t>
      </w:r>
      <w:r w:rsidR="00453F15" w:rsidRPr="006C4490">
        <w:rPr>
          <w:lang w:val="en-US"/>
        </w:rPr>
        <w:t>emergenc</w:t>
      </w:r>
      <w:r w:rsidR="00823F92" w:rsidRPr="006C4490">
        <w:rPr>
          <w:lang w:val="en-US"/>
        </w:rPr>
        <w:t>y</w:t>
      </w:r>
      <w:r w:rsidR="00823F92">
        <w:rPr>
          <w:lang w:val="en-US"/>
        </w:rPr>
        <w:t xml:space="preserve"> </w:t>
      </w:r>
      <w:r w:rsidR="00453F15" w:rsidRPr="006C4490">
        <w:rPr>
          <w:lang w:val="en-US"/>
        </w:rPr>
        <w:t>departments</w:t>
      </w:r>
      <w:r w:rsidR="00823F92" w:rsidRPr="006C4490">
        <w:rPr>
          <w:lang w:val="en-US"/>
        </w:rPr>
        <w:t>.</w:t>
      </w:r>
      <w:r w:rsidR="00823F92">
        <w:rPr>
          <w:lang w:val="en-US"/>
        </w:rPr>
        <w:t xml:space="preserve"> </w:t>
      </w:r>
      <w:r w:rsidR="00453F15" w:rsidRPr="006C4490">
        <w:rPr>
          <w:lang w:val="en-US"/>
        </w:rPr>
        <w:t>A</w:t>
      </w:r>
      <w:r w:rsidR="00823F92" w:rsidRPr="006C4490">
        <w:rPr>
          <w:lang w:val="en-US"/>
        </w:rPr>
        <w:t>n</w:t>
      </w:r>
      <w:r w:rsidR="00823F92">
        <w:rPr>
          <w:lang w:val="en-US"/>
        </w:rPr>
        <w:t xml:space="preserve"> </w:t>
      </w:r>
      <w:r w:rsidR="00453F15" w:rsidRPr="006C4490">
        <w:rPr>
          <w:lang w:val="en-US"/>
        </w:rPr>
        <w:t>agein</w:t>
      </w:r>
      <w:r w:rsidR="00823F92" w:rsidRPr="006C4490">
        <w:rPr>
          <w:lang w:val="en-US"/>
        </w:rPr>
        <w:t>g</w:t>
      </w:r>
      <w:r w:rsidR="00823F92">
        <w:rPr>
          <w:lang w:val="en-US"/>
        </w:rPr>
        <w:t xml:space="preserve"> </w:t>
      </w:r>
      <w:r w:rsidR="00453F15" w:rsidRPr="006C4490">
        <w:rPr>
          <w:lang w:val="en-US"/>
        </w:rPr>
        <w:t>workforc</w:t>
      </w:r>
      <w:r w:rsidR="00823F92" w:rsidRPr="006C4490">
        <w:rPr>
          <w:lang w:val="en-US"/>
        </w:rPr>
        <w:t>e</w:t>
      </w:r>
      <w:r w:rsidR="00823F92">
        <w:rPr>
          <w:lang w:val="en-US"/>
        </w:rPr>
        <w:t xml:space="preserve"> </w:t>
      </w:r>
      <w:r w:rsidR="00453F15" w:rsidRPr="006C4490">
        <w:rPr>
          <w:lang w:val="en-US"/>
        </w:rPr>
        <w:t>(averag</w:t>
      </w:r>
      <w:r w:rsidR="00823F92" w:rsidRPr="006C4490">
        <w:rPr>
          <w:lang w:val="en-US"/>
        </w:rPr>
        <w:t>e</w:t>
      </w:r>
      <w:r w:rsidR="00823F92">
        <w:rPr>
          <w:lang w:val="en-US"/>
        </w:rPr>
        <w:t xml:space="preserve"> </w:t>
      </w:r>
      <w:r w:rsidR="00453F15" w:rsidRPr="006C4490">
        <w:rPr>
          <w:lang w:val="en-US"/>
        </w:rPr>
        <w:t>ag</w:t>
      </w:r>
      <w:r w:rsidR="00823F92" w:rsidRPr="006C4490">
        <w:rPr>
          <w:lang w:val="en-US"/>
        </w:rPr>
        <w:t>e</w:t>
      </w:r>
      <w:r w:rsidR="00823F92">
        <w:rPr>
          <w:lang w:val="en-US"/>
        </w:rPr>
        <w:t xml:space="preserve"> </w:t>
      </w:r>
      <w:r w:rsidR="00453F15" w:rsidRPr="006C4490">
        <w:rPr>
          <w:lang w:val="en-US"/>
        </w:rPr>
        <w:t>o</w:t>
      </w:r>
      <w:r w:rsidR="00823F92" w:rsidRPr="006C4490">
        <w:rPr>
          <w:lang w:val="en-US"/>
        </w:rPr>
        <w:t>f</w:t>
      </w:r>
      <w:r w:rsidR="00823F92">
        <w:rPr>
          <w:lang w:val="en-US"/>
        </w:rPr>
        <w:t xml:space="preserve"> </w:t>
      </w:r>
      <w:r w:rsidR="00453F15" w:rsidRPr="006C4490">
        <w:rPr>
          <w:lang w:val="en-US"/>
        </w:rPr>
        <w:t>5</w:t>
      </w:r>
      <w:r w:rsidR="00823F92" w:rsidRPr="006C4490">
        <w:rPr>
          <w:lang w:val="en-US"/>
        </w:rPr>
        <w:t>3</w:t>
      </w:r>
      <w:r w:rsidR="00823F92">
        <w:rPr>
          <w:lang w:val="en-US"/>
        </w:rPr>
        <w:t xml:space="preserve"> </w:t>
      </w:r>
      <w:r w:rsidR="00453F15" w:rsidRPr="006C4490">
        <w:rPr>
          <w:lang w:val="en-US"/>
        </w:rPr>
        <w:t>years) an</w:t>
      </w:r>
      <w:r w:rsidR="00823F92" w:rsidRPr="006C4490">
        <w:rPr>
          <w:lang w:val="en-US"/>
        </w:rPr>
        <w:t>d</w:t>
      </w:r>
      <w:r w:rsidR="00823F92">
        <w:rPr>
          <w:lang w:val="en-US"/>
        </w:rPr>
        <w:t xml:space="preserve"> </w:t>
      </w:r>
      <w:r w:rsidR="00453F15" w:rsidRPr="006C4490">
        <w:rPr>
          <w:lang w:val="en-US"/>
        </w:rPr>
        <w:t>tim</w:t>
      </w:r>
      <w:r w:rsidR="00823F92" w:rsidRPr="006C4490">
        <w:rPr>
          <w:lang w:val="en-US"/>
        </w:rPr>
        <w:t>e</w:t>
      </w:r>
      <w:r w:rsidR="00823F92">
        <w:rPr>
          <w:lang w:val="en-US"/>
        </w:rPr>
        <w:t xml:space="preserve"> </w:t>
      </w:r>
      <w:r w:rsidR="00453F15" w:rsidRPr="006C4490">
        <w:rPr>
          <w:lang w:val="en-US"/>
        </w:rPr>
        <w:t>la</w:t>
      </w:r>
      <w:r w:rsidR="00823F92" w:rsidRPr="006C4490">
        <w:rPr>
          <w:lang w:val="en-US"/>
        </w:rPr>
        <w:t>g</w:t>
      </w:r>
      <w:r w:rsidR="00823F92">
        <w:rPr>
          <w:lang w:val="en-US"/>
        </w:rPr>
        <w:t xml:space="preserve"> </w:t>
      </w:r>
      <w:r w:rsidR="00453F15" w:rsidRPr="006C4490">
        <w:rPr>
          <w:lang w:val="en-US"/>
        </w:rPr>
        <w:t>t</w:t>
      </w:r>
      <w:r w:rsidR="00823F92" w:rsidRPr="006C4490">
        <w:rPr>
          <w:lang w:val="en-US"/>
        </w:rPr>
        <w:t>o</w:t>
      </w:r>
      <w:r w:rsidR="00823F92">
        <w:rPr>
          <w:lang w:val="en-US"/>
        </w:rPr>
        <w:t xml:space="preserve"> </w:t>
      </w:r>
      <w:r w:rsidR="00453F15" w:rsidRPr="006C4490">
        <w:rPr>
          <w:lang w:val="en-US"/>
        </w:rPr>
        <w:t>increas</w:t>
      </w:r>
      <w:r w:rsidR="00823F92" w:rsidRPr="006C4490">
        <w:rPr>
          <w:lang w:val="en-US"/>
        </w:rPr>
        <w:t>e</w:t>
      </w:r>
      <w:r w:rsidR="00823F92">
        <w:rPr>
          <w:lang w:val="en-US"/>
        </w:rPr>
        <w:t xml:space="preserve"> </w:t>
      </w:r>
      <w:r w:rsidR="00453F15" w:rsidRPr="006C4490">
        <w:rPr>
          <w:lang w:val="en-US"/>
        </w:rPr>
        <w:t>suppl</w:t>
      </w:r>
      <w:r w:rsidR="00823F92" w:rsidRPr="006C4490">
        <w:rPr>
          <w:lang w:val="en-US"/>
        </w:rPr>
        <w:t>y</w:t>
      </w:r>
      <w:r w:rsidR="00823F92">
        <w:rPr>
          <w:lang w:val="en-US"/>
        </w:rPr>
        <w:t xml:space="preserve"> </w:t>
      </w:r>
      <w:r w:rsidR="00453F15" w:rsidRPr="006C4490">
        <w:rPr>
          <w:lang w:val="en-US"/>
        </w:rPr>
        <w:t>du</w:t>
      </w:r>
      <w:r w:rsidR="00823F92" w:rsidRPr="006C4490">
        <w:rPr>
          <w:lang w:val="en-US"/>
        </w:rPr>
        <w:t>e</w:t>
      </w:r>
      <w:r w:rsidR="00823F92">
        <w:rPr>
          <w:lang w:val="en-US"/>
        </w:rPr>
        <w:t xml:space="preserve"> </w:t>
      </w:r>
      <w:r w:rsidR="00453F15" w:rsidRPr="006C4490">
        <w:rPr>
          <w:lang w:val="en-US"/>
        </w:rPr>
        <w:t>t</w:t>
      </w:r>
      <w:r w:rsidR="00823F92" w:rsidRPr="006C4490">
        <w:rPr>
          <w:lang w:val="en-US"/>
        </w:rPr>
        <w:t>o</w:t>
      </w:r>
      <w:r w:rsidR="00823F92">
        <w:rPr>
          <w:lang w:val="en-US"/>
        </w:rPr>
        <w:t xml:space="preserve"> </w:t>
      </w:r>
      <w:r w:rsidR="00453F15" w:rsidRPr="006C4490">
        <w:rPr>
          <w:lang w:val="en-US"/>
        </w:rPr>
        <w:t>lengt</w:t>
      </w:r>
      <w:r w:rsidR="00823F92" w:rsidRPr="006C4490">
        <w:rPr>
          <w:lang w:val="en-US"/>
        </w:rPr>
        <w:t>h</w:t>
      </w:r>
      <w:r w:rsidR="00823F92">
        <w:rPr>
          <w:lang w:val="en-US"/>
        </w:rPr>
        <w:t xml:space="preserve"> </w:t>
      </w:r>
      <w:r w:rsidR="00453F15" w:rsidRPr="006C4490">
        <w:rPr>
          <w:lang w:val="en-US"/>
        </w:rPr>
        <w:t>o</w:t>
      </w:r>
      <w:r w:rsidR="00823F92" w:rsidRPr="006C4490">
        <w:rPr>
          <w:lang w:val="en-US"/>
        </w:rPr>
        <w:t>f</w:t>
      </w:r>
      <w:r w:rsidR="00823F92">
        <w:rPr>
          <w:lang w:val="en-US"/>
        </w:rPr>
        <w:t xml:space="preserve"> </w:t>
      </w:r>
      <w:r w:rsidR="00453F15" w:rsidRPr="006C4490">
        <w:rPr>
          <w:lang w:val="en-US"/>
        </w:rPr>
        <w:t>trainin</w:t>
      </w:r>
      <w:r w:rsidR="00823F92" w:rsidRPr="006C4490">
        <w:rPr>
          <w:lang w:val="en-US"/>
        </w:rPr>
        <w:t>g</w:t>
      </w:r>
      <w:r w:rsidR="00823F92">
        <w:rPr>
          <w:lang w:val="en-US"/>
        </w:rPr>
        <w:t xml:space="preserve"> </w:t>
      </w:r>
      <w:r w:rsidR="00453F15" w:rsidRPr="006C4490">
        <w:rPr>
          <w:lang w:val="en-US"/>
        </w:rPr>
        <w:t>ar</w:t>
      </w:r>
      <w:r w:rsidR="00823F92" w:rsidRPr="006C4490">
        <w:rPr>
          <w:lang w:val="en-US"/>
        </w:rPr>
        <w:t>e</w:t>
      </w:r>
      <w:r w:rsidR="00823F92">
        <w:rPr>
          <w:lang w:val="en-US"/>
        </w:rPr>
        <w:t xml:space="preserve"> </w:t>
      </w:r>
      <w:r w:rsidR="00453F15" w:rsidRPr="006C4490">
        <w:rPr>
          <w:lang w:val="en-US"/>
        </w:rPr>
        <w:t>contributin</w:t>
      </w:r>
      <w:r w:rsidR="00823F92" w:rsidRPr="006C4490">
        <w:rPr>
          <w:lang w:val="en-US"/>
        </w:rPr>
        <w:t>g</w:t>
      </w:r>
      <w:r w:rsidR="00823F92">
        <w:rPr>
          <w:lang w:val="en-US"/>
        </w:rPr>
        <w:t xml:space="preserve"> </w:t>
      </w:r>
      <w:r w:rsidR="00453F15" w:rsidRPr="006C4490">
        <w:rPr>
          <w:lang w:val="en-US"/>
        </w:rPr>
        <w:t>t</w:t>
      </w:r>
      <w:r w:rsidR="00823F92" w:rsidRPr="006C4490">
        <w:rPr>
          <w:lang w:val="en-US"/>
        </w:rPr>
        <w:t>o</w:t>
      </w:r>
      <w:r w:rsidR="00823F92">
        <w:rPr>
          <w:lang w:val="en-US"/>
        </w:rPr>
        <w:t xml:space="preserve"> </w:t>
      </w:r>
      <w:r w:rsidR="00453F15" w:rsidRPr="006C4490">
        <w:rPr>
          <w:lang w:val="en-US"/>
        </w:rPr>
        <w:t>th</w:t>
      </w:r>
      <w:r w:rsidR="00823F92" w:rsidRPr="006C4490">
        <w:rPr>
          <w:lang w:val="en-US"/>
        </w:rPr>
        <w:t>e</w:t>
      </w:r>
      <w:r w:rsidR="00823F92">
        <w:rPr>
          <w:lang w:val="en-US"/>
        </w:rPr>
        <w:t xml:space="preserve"> </w:t>
      </w:r>
      <w:r w:rsidR="00453F15" w:rsidRPr="006C4490">
        <w:rPr>
          <w:lang w:val="en-US"/>
        </w:rPr>
        <w:t>shortage</w:t>
      </w:r>
      <w:r w:rsidR="00823F92" w:rsidRPr="006C4490">
        <w:rPr>
          <w:lang w:val="en-US"/>
        </w:rPr>
        <w:t>.</w:t>
      </w:r>
      <w:r w:rsidR="00823F92">
        <w:rPr>
          <w:lang w:val="en-US"/>
        </w:rPr>
        <w:t xml:space="preserve"> </w:t>
      </w:r>
      <w:r w:rsidR="00453F15" w:rsidRPr="006C4490">
        <w:rPr>
          <w:lang w:val="en-US"/>
        </w:rPr>
        <w:t>Ther</w:t>
      </w:r>
      <w:r w:rsidR="00823F92" w:rsidRPr="006C4490">
        <w:rPr>
          <w:lang w:val="en-US"/>
        </w:rPr>
        <w:t>e</w:t>
      </w:r>
      <w:r w:rsidR="00823F92">
        <w:rPr>
          <w:lang w:val="en-US"/>
        </w:rPr>
        <w:t xml:space="preserve"> </w:t>
      </w:r>
      <w:r w:rsidR="00453F15" w:rsidRPr="006C4490">
        <w:rPr>
          <w:lang w:val="en-US"/>
        </w:rPr>
        <w:t>i</w:t>
      </w:r>
      <w:r w:rsidR="00823F92" w:rsidRPr="006C4490">
        <w:rPr>
          <w:lang w:val="en-US"/>
        </w:rPr>
        <w:t>s</w:t>
      </w:r>
      <w:r w:rsidR="00823F92">
        <w:rPr>
          <w:lang w:val="en-US"/>
        </w:rPr>
        <w:t xml:space="preserve"> </w:t>
      </w:r>
      <w:r w:rsidR="00823F92" w:rsidRPr="006C4490">
        <w:rPr>
          <w:lang w:val="en-US"/>
        </w:rPr>
        <w:t>a</w:t>
      </w:r>
      <w:r w:rsidR="00823F92">
        <w:rPr>
          <w:lang w:val="en-US"/>
        </w:rPr>
        <w:t xml:space="preserve"> </w:t>
      </w:r>
      <w:r w:rsidR="00453F15" w:rsidRPr="006C4490">
        <w:rPr>
          <w:lang w:val="en-US"/>
        </w:rPr>
        <w:t>significan</w:t>
      </w:r>
      <w:r w:rsidR="00823F92" w:rsidRPr="006C4490">
        <w:rPr>
          <w:lang w:val="en-US"/>
        </w:rPr>
        <w:t>t</w:t>
      </w:r>
      <w:r w:rsidR="00823F92">
        <w:rPr>
          <w:lang w:val="en-US"/>
        </w:rPr>
        <w:t xml:space="preserve"> </w:t>
      </w:r>
      <w:r w:rsidR="00453F15" w:rsidRPr="006C4490">
        <w:rPr>
          <w:lang w:val="en-US"/>
        </w:rPr>
        <w:t>relianc</w:t>
      </w:r>
      <w:r w:rsidR="00823F92" w:rsidRPr="006C4490">
        <w:rPr>
          <w:lang w:val="en-US"/>
        </w:rPr>
        <w:t>e</w:t>
      </w:r>
      <w:r w:rsidR="00823F92">
        <w:rPr>
          <w:lang w:val="en-US"/>
        </w:rPr>
        <w:t xml:space="preserve"> </w:t>
      </w:r>
      <w:r w:rsidR="00453F15" w:rsidRPr="006C4490">
        <w:rPr>
          <w:lang w:val="en-US"/>
        </w:rPr>
        <w:t>o</w:t>
      </w:r>
      <w:r w:rsidR="00823F92" w:rsidRPr="006C4490">
        <w:rPr>
          <w:lang w:val="en-US"/>
        </w:rPr>
        <w:t>n</w:t>
      </w:r>
      <w:r w:rsidR="00823F92">
        <w:rPr>
          <w:lang w:val="en-US"/>
        </w:rPr>
        <w:t xml:space="preserve"> </w:t>
      </w:r>
      <w:r w:rsidR="00453F15" w:rsidRPr="006C4490">
        <w:rPr>
          <w:lang w:val="en-US"/>
        </w:rPr>
        <w:t>overseas-traine</w:t>
      </w:r>
      <w:r w:rsidR="00823F92" w:rsidRPr="006C4490">
        <w:rPr>
          <w:lang w:val="en-US"/>
        </w:rPr>
        <w:t>d</w:t>
      </w:r>
      <w:r w:rsidR="00823F92">
        <w:rPr>
          <w:lang w:val="en-US"/>
        </w:rPr>
        <w:t xml:space="preserve"> </w:t>
      </w:r>
      <w:r w:rsidR="00453F15" w:rsidRPr="006C4490">
        <w:rPr>
          <w:lang w:val="en-US"/>
        </w:rPr>
        <w:t>psychiatrist</w:t>
      </w:r>
      <w:r w:rsidR="00823F92" w:rsidRPr="006C4490">
        <w:rPr>
          <w:lang w:val="en-US"/>
        </w:rPr>
        <w:t>s</w:t>
      </w:r>
      <w:r w:rsidR="00823F92">
        <w:rPr>
          <w:lang w:val="en-US"/>
        </w:rPr>
        <w:t xml:space="preserve"> </w:t>
      </w:r>
      <w:r w:rsidR="00453F15" w:rsidRPr="006C4490">
        <w:rPr>
          <w:lang w:val="en-US"/>
        </w:rPr>
        <w:t>t</w:t>
      </w:r>
      <w:r w:rsidR="00823F92" w:rsidRPr="006C4490">
        <w:rPr>
          <w:lang w:val="en-US"/>
        </w:rPr>
        <w:t>o</w:t>
      </w:r>
      <w:r w:rsidR="00823F92">
        <w:rPr>
          <w:lang w:val="en-US"/>
        </w:rPr>
        <w:t xml:space="preserve"> </w:t>
      </w:r>
      <w:r w:rsidR="00453F15" w:rsidRPr="006C4490">
        <w:rPr>
          <w:lang w:val="en-US"/>
        </w:rPr>
        <w:t>mee</w:t>
      </w:r>
      <w:r w:rsidR="00823F92" w:rsidRPr="006C4490">
        <w:rPr>
          <w:lang w:val="en-US"/>
        </w:rPr>
        <w:t>t</w:t>
      </w:r>
      <w:r w:rsidR="00823F92">
        <w:rPr>
          <w:lang w:val="en-US"/>
        </w:rPr>
        <w:t xml:space="preserve"> </w:t>
      </w:r>
      <w:r w:rsidR="00453F15" w:rsidRPr="006C4490">
        <w:rPr>
          <w:lang w:val="en-US"/>
        </w:rPr>
        <w:t>demand</w:t>
      </w:r>
      <w:r w:rsidR="00823F92">
        <w:rPr>
          <w:lang w:val="en-US"/>
        </w:rPr>
        <w:t xml:space="preserve">, </w:t>
      </w:r>
      <w:r w:rsidR="000E2EC3">
        <w:rPr>
          <w:lang w:val="en-US"/>
        </w:rPr>
        <w:t>whic</w:t>
      </w:r>
      <w:r w:rsidR="00823F92">
        <w:rPr>
          <w:lang w:val="en-US"/>
        </w:rPr>
        <w:t xml:space="preserve">h </w:t>
      </w:r>
      <w:r w:rsidR="000E2EC3">
        <w:rPr>
          <w:lang w:val="en-US"/>
        </w:rPr>
        <w:t>ha</w:t>
      </w:r>
      <w:r w:rsidR="00823F92">
        <w:rPr>
          <w:lang w:val="en-US"/>
        </w:rPr>
        <w:t xml:space="preserve">s </w:t>
      </w:r>
      <w:r w:rsidR="000E2EC3">
        <w:rPr>
          <w:lang w:val="en-US"/>
        </w:rPr>
        <w:t>bee</w:t>
      </w:r>
      <w:r w:rsidR="00823F92">
        <w:rPr>
          <w:lang w:val="en-US"/>
        </w:rPr>
        <w:t xml:space="preserve">n </w:t>
      </w:r>
      <w:r w:rsidR="000E2EC3">
        <w:rPr>
          <w:lang w:val="en-US"/>
        </w:rPr>
        <w:t>disrupte</w:t>
      </w:r>
      <w:r w:rsidR="00823F92">
        <w:rPr>
          <w:lang w:val="en-US"/>
        </w:rPr>
        <w:t xml:space="preserve">d </w:t>
      </w:r>
      <w:r w:rsidR="000E2EC3">
        <w:rPr>
          <w:lang w:val="en-US"/>
        </w:rPr>
        <w:t>b</w:t>
      </w:r>
      <w:r w:rsidR="00823F92">
        <w:rPr>
          <w:lang w:val="en-US"/>
        </w:rPr>
        <w:t xml:space="preserve">y </w:t>
      </w:r>
      <w:r w:rsidR="000E2EC3">
        <w:rPr>
          <w:lang w:val="en-US"/>
        </w:rPr>
        <w:t>COVID-19</w:t>
      </w:r>
      <w:r w:rsidR="00823F92" w:rsidRPr="006C4490">
        <w:rPr>
          <w:lang w:val="en-US"/>
        </w:rPr>
        <w:t>.</w:t>
      </w:r>
      <w:r w:rsidR="00823F92">
        <w:rPr>
          <w:lang w:val="en-US"/>
        </w:rPr>
        <w:t xml:space="preserve"> </w:t>
      </w:r>
      <w:r w:rsidR="00453F15" w:rsidRPr="009469A8">
        <w:rPr>
          <w:lang w:val="en-US"/>
        </w:rPr>
        <w:t>Ther</w:t>
      </w:r>
      <w:r w:rsidR="00823F92" w:rsidRPr="009469A8">
        <w:rPr>
          <w:lang w:val="en-US"/>
        </w:rPr>
        <w:t>e</w:t>
      </w:r>
      <w:r w:rsidR="00823F92">
        <w:rPr>
          <w:lang w:val="en-US"/>
        </w:rPr>
        <w:t xml:space="preserve"> </w:t>
      </w:r>
      <w:r w:rsidR="00453F15" w:rsidRPr="009469A8">
        <w:rPr>
          <w:lang w:val="en-US"/>
        </w:rPr>
        <w:t>i</w:t>
      </w:r>
      <w:r w:rsidR="00823F92" w:rsidRPr="009469A8">
        <w:rPr>
          <w:lang w:val="en-US"/>
        </w:rPr>
        <w:t>s</w:t>
      </w:r>
      <w:r w:rsidR="00823F92">
        <w:rPr>
          <w:lang w:val="en-US"/>
        </w:rPr>
        <w:t xml:space="preserve"> </w:t>
      </w:r>
      <w:r w:rsidR="00823F92" w:rsidRPr="009469A8">
        <w:rPr>
          <w:lang w:val="en-US"/>
        </w:rPr>
        <w:t>a</w:t>
      </w:r>
      <w:r w:rsidR="00823F92">
        <w:rPr>
          <w:lang w:val="en-US"/>
        </w:rPr>
        <w:t xml:space="preserve"> </w:t>
      </w:r>
      <w:r w:rsidR="00453F15" w:rsidRPr="00E00C05">
        <w:rPr>
          <w:lang w:val="en-US"/>
        </w:rPr>
        <w:t>consisten</w:t>
      </w:r>
      <w:r w:rsidR="00823F92" w:rsidRPr="00E00C05">
        <w:rPr>
          <w:lang w:val="en-US"/>
        </w:rPr>
        <w:t>t</w:t>
      </w:r>
      <w:r w:rsidR="00823F92">
        <w:rPr>
          <w:lang w:val="en-US"/>
        </w:rPr>
        <w:t xml:space="preserve"> </w:t>
      </w:r>
      <w:r w:rsidR="00453F15" w:rsidRPr="00E00C05">
        <w:rPr>
          <w:lang w:val="en-US"/>
        </w:rPr>
        <w:t>defici</w:t>
      </w:r>
      <w:r w:rsidR="00823F92" w:rsidRPr="00E00C05">
        <w:rPr>
          <w:lang w:val="en-US"/>
        </w:rPr>
        <w:t>t</w:t>
      </w:r>
      <w:r w:rsidR="00823F92">
        <w:rPr>
          <w:lang w:val="en-US"/>
        </w:rPr>
        <w:t xml:space="preserve"> </w:t>
      </w:r>
      <w:r w:rsidR="00453F15" w:rsidRPr="00E00C05">
        <w:rPr>
          <w:lang w:val="en-US"/>
        </w:rPr>
        <w:t>i</w:t>
      </w:r>
      <w:r w:rsidR="00823F92" w:rsidRPr="00E00C05">
        <w:rPr>
          <w:lang w:val="en-US"/>
        </w:rPr>
        <w:t>n</w:t>
      </w:r>
      <w:r w:rsidR="00823F92">
        <w:rPr>
          <w:lang w:val="en-US"/>
        </w:rPr>
        <w:t xml:space="preserve"> </w:t>
      </w:r>
      <w:r w:rsidR="00453F15" w:rsidRPr="00E00C05">
        <w:rPr>
          <w:lang w:val="en-US"/>
        </w:rPr>
        <w:t>psychiatrist</w:t>
      </w:r>
      <w:r w:rsidR="00823F92" w:rsidRPr="00E00C05">
        <w:rPr>
          <w:lang w:val="en-US"/>
        </w:rPr>
        <w:t>s</w:t>
      </w:r>
      <w:r w:rsidR="00823F92">
        <w:rPr>
          <w:lang w:val="en-US"/>
        </w:rPr>
        <w:t xml:space="preserve"> </w:t>
      </w:r>
      <w:r w:rsidR="00453F15" w:rsidRPr="00E00C05">
        <w:rPr>
          <w:lang w:val="en-US"/>
        </w:rPr>
        <w:t>acros</w:t>
      </w:r>
      <w:r w:rsidR="00823F92" w:rsidRPr="00E00C05">
        <w:rPr>
          <w:lang w:val="en-US"/>
        </w:rPr>
        <w:t>s</w:t>
      </w:r>
      <w:r w:rsidR="00823F92">
        <w:rPr>
          <w:lang w:val="en-US"/>
        </w:rPr>
        <w:t xml:space="preserve"> </w:t>
      </w:r>
      <w:r w:rsidR="00453F15" w:rsidRPr="00E00C05">
        <w:rPr>
          <w:lang w:val="en-US"/>
        </w:rPr>
        <w:t>al</w:t>
      </w:r>
      <w:r w:rsidR="00823F92" w:rsidRPr="00E00C05">
        <w:rPr>
          <w:lang w:val="en-US"/>
        </w:rPr>
        <w:t>l</w:t>
      </w:r>
      <w:r w:rsidR="00823F92">
        <w:rPr>
          <w:lang w:val="en-US"/>
        </w:rPr>
        <w:t xml:space="preserve"> </w:t>
      </w:r>
      <w:r w:rsidR="00453F15" w:rsidRPr="00E00C05">
        <w:rPr>
          <w:lang w:val="en-US"/>
        </w:rPr>
        <w:t>MM</w:t>
      </w:r>
      <w:r w:rsidR="00823F92" w:rsidRPr="00E00C05">
        <w:rPr>
          <w:lang w:val="en-US"/>
        </w:rPr>
        <w:t>M</w:t>
      </w:r>
      <w:r w:rsidR="00823F92">
        <w:rPr>
          <w:lang w:val="en-US"/>
        </w:rPr>
        <w:t xml:space="preserve"> </w:t>
      </w:r>
      <w:r w:rsidR="00453F15" w:rsidRPr="00E00C05">
        <w:rPr>
          <w:lang w:val="en-US"/>
        </w:rPr>
        <w:t>re</w:t>
      </w:r>
      <w:r w:rsidR="00453F15" w:rsidRPr="00670280">
        <w:rPr>
          <w:lang w:val="en-US"/>
        </w:rPr>
        <w:t>gions</w:t>
      </w:r>
      <w:r w:rsidR="00823F92" w:rsidRPr="00670280">
        <w:rPr>
          <w:lang w:val="en-US"/>
        </w:rPr>
        <w:t>,</w:t>
      </w:r>
      <w:r w:rsidR="00823F92">
        <w:rPr>
          <w:lang w:val="en-US"/>
        </w:rPr>
        <w:t xml:space="preserve"> </w:t>
      </w:r>
      <w:r w:rsidR="00453F15" w:rsidRPr="00670280">
        <w:rPr>
          <w:lang w:val="en-US"/>
        </w:rPr>
        <w:t>whe</w:t>
      </w:r>
      <w:r w:rsidR="00823F92" w:rsidRPr="00670280">
        <w:rPr>
          <w:lang w:val="en-US"/>
        </w:rPr>
        <w:t>n</w:t>
      </w:r>
      <w:r w:rsidR="00823F92">
        <w:rPr>
          <w:lang w:val="en-US"/>
        </w:rPr>
        <w:t xml:space="preserve"> </w:t>
      </w:r>
      <w:r w:rsidR="00453F15" w:rsidRPr="00670280">
        <w:rPr>
          <w:lang w:val="en-US"/>
        </w:rPr>
        <w:t>compare</w:t>
      </w:r>
      <w:r w:rsidR="00823F92" w:rsidRPr="00670280">
        <w:rPr>
          <w:lang w:val="en-US"/>
        </w:rPr>
        <w:t>d</w:t>
      </w:r>
      <w:r w:rsidR="00823F92">
        <w:rPr>
          <w:lang w:val="en-US"/>
        </w:rPr>
        <w:t xml:space="preserve"> </w:t>
      </w:r>
      <w:r w:rsidR="00453F15" w:rsidRPr="00670280">
        <w:rPr>
          <w:lang w:val="en-US"/>
        </w:rPr>
        <w:t>t</w:t>
      </w:r>
      <w:r w:rsidR="00823F92" w:rsidRPr="00670280">
        <w:rPr>
          <w:lang w:val="en-US"/>
        </w:rPr>
        <w:t>o</w:t>
      </w:r>
      <w:r w:rsidR="00823F92">
        <w:rPr>
          <w:lang w:val="en-US"/>
        </w:rPr>
        <w:t xml:space="preserve"> </w:t>
      </w:r>
      <w:r w:rsidR="00453F15" w:rsidRPr="00670280">
        <w:rPr>
          <w:lang w:val="en-US"/>
        </w:rPr>
        <w:t>NMHSP</w:t>
      </w:r>
      <w:r w:rsidR="00823F92" w:rsidRPr="00670280">
        <w:rPr>
          <w:lang w:val="en-US"/>
        </w:rPr>
        <w:t>F</w:t>
      </w:r>
      <w:r w:rsidR="00823F92">
        <w:rPr>
          <w:lang w:val="en-US"/>
        </w:rPr>
        <w:t xml:space="preserve"> </w:t>
      </w:r>
      <w:r w:rsidR="00453F15" w:rsidRPr="00670280">
        <w:rPr>
          <w:lang w:val="en-US"/>
        </w:rPr>
        <w:t>workforc</w:t>
      </w:r>
      <w:r w:rsidR="00823F92" w:rsidRPr="00670280">
        <w:rPr>
          <w:lang w:val="en-US"/>
        </w:rPr>
        <w:t>e</w:t>
      </w:r>
      <w:r w:rsidR="00823F92">
        <w:rPr>
          <w:lang w:val="en-US"/>
        </w:rPr>
        <w:t xml:space="preserve"> </w:t>
      </w:r>
      <w:r w:rsidR="00453F15" w:rsidRPr="00670280">
        <w:rPr>
          <w:lang w:val="en-US"/>
        </w:rPr>
        <w:t>targets</w:t>
      </w:r>
      <w:r w:rsidR="00823F92" w:rsidRPr="00670280">
        <w:rPr>
          <w:lang w:val="en-US"/>
        </w:rPr>
        <w:t>,</w:t>
      </w:r>
      <w:r w:rsidR="00823F92">
        <w:rPr>
          <w:lang w:val="en-US"/>
        </w:rPr>
        <w:t xml:space="preserve"> </w:t>
      </w:r>
      <w:r w:rsidR="00453F15" w:rsidRPr="00670280">
        <w:rPr>
          <w:lang w:val="en-US"/>
        </w:rPr>
        <w:t>an</w:t>
      </w:r>
      <w:r w:rsidR="00823F92" w:rsidRPr="00670280">
        <w:rPr>
          <w:lang w:val="en-US"/>
        </w:rPr>
        <w:t>d</w:t>
      </w:r>
      <w:r w:rsidR="00823F92">
        <w:rPr>
          <w:lang w:val="en-US"/>
        </w:rPr>
        <w:t xml:space="preserve"> </w:t>
      </w:r>
      <w:r w:rsidR="00453F15" w:rsidRPr="003C00BA">
        <w:rPr>
          <w:lang w:val="en-US"/>
        </w:rPr>
        <w:t>thes</w:t>
      </w:r>
      <w:r w:rsidR="00823F92" w:rsidRPr="003C00BA">
        <w:rPr>
          <w:lang w:val="en-US"/>
        </w:rPr>
        <w:t>e</w:t>
      </w:r>
      <w:r w:rsidR="00823F92">
        <w:rPr>
          <w:lang w:val="en-US"/>
        </w:rPr>
        <w:t xml:space="preserve"> </w:t>
      </w:r>
      <w:r w:rsidR="00453F15" w:rsidRPr="003C00BA">
        <w:rPr>
          <w:lang w:val="en-US"/>
        </w:rPr>
        <w:t>deficit</w:t>
      </w:r>
      <w:r w:rsidR="00823F92" w:rsidRPr="003C00BA">
        <w:rPr>
          <w:lang w:val="en-US"/>
        </w:rPr>
        <w:t>s</w:t>
      </w:r>
      <w:r w:rsidR="00823F92">
        <w:rPr>
          <w:lang w:val="en-US"/>
        </w:rPr>
        <w:t xml:space="preserve"> </w:t>
      </w:r>
      <w:r w:rsidR="00453F15" w:rsidRPr="003C00BA">
        <w:rPr>
          <w:lang w:val="en-US"/>
        </w:rPr>
        <w:t>ar</w:t>
      </w:r>
      <w:r w:rsidR="00823F92" w:rsidRPr="003C00BA">
        <w:rPr>
          <w:lang w:val="en-US"/>
        </w:rPr>
        <w:t>e</w:t>
      </w:r>
      <w:r w:rsidR="00823F92">
        <w:rPr>
          <w:lang w:val="en-US"/>
        </w:rPr>
        <w:t xml:space="preserve"> </w:t>
      </w:r>
      <w:r w:rsidR="00453F15" w:rsidRPr="003C00BA">
        <w:rPr>
          <w:lang w:val="en-US"/>
        </w:rPr>
        <w:t>mor</w:t>
      </w:r>
      <w:r w:rsidR="00823F92" w:rsidRPr="003C00BA">
        <w:rPr>
          <w:lang w:val="en-US"/>
        </w:rPr>
        <w:t>e</w:t>
      </w:r>
      <w:r w:rsidR="00823F92">
        <w:rPr>
          <w:lang w:val="en-US"/>
        </w:rPr>
        <w:t xml:space="preserve"> </w:t>
      </w:r>
      <w:r w:rsidR="00453F15" w:rsidRPr="003C00BA">
        <w:rPr>
          <w:lang w:val="en-US"/>
        </w:rPr>
        <w:t>pronounce</w:t>
      </w:r>
      <w:r w:rsidR="00823F92" w:rsidRPr="003C00BA">
        <w:rPr>
          <w:lang w:val="en-US"/>
        </w:rPr>
        <w:t>d</w:t>
      </w:r>
      <w:r w:rsidR="00823F92">
        <w:rPr>
          <w:lang w:val="en-US"/>
        </w:rPr>
        <w:t xml:space="preserve"> </w:t>
      </w:r>
      <w:r w:rsidR="00453F15" w:rsidRPr="003C00BA">
        <w:rPr>
          <w:lang w:val="en-US"/>
        </w:rPr>
        <w:t>i</w:t>
      </w:r>
      <w:r w:rsidR="00823F92" w:rsidRPr="003C00BA">
        <w:rPr>
          <w:lang w:val="en-US"/>
        </w:rPr>
        <w:t>n</w:t>
      </w:r>
      <w:r w:rsidR="00823F92">
        <w:rPr>
          <w:lang w:val="en-US"/>
        </w:rPr>
        <w:t xml:space="preserve"> </w:t>
      </w:r>
      <w:r w:rsidR="009469A8" w:rsidRPr="009469A8">
        <w:rPr>
          <w:lang w:val="en-US"/>
        </w:rPr>
        <w:t>MMM6-</w:t>
      </w:r>
      <w:r w:rsidR="00823F92" w:rsidRPr="009469A8">
        <w:rPr>
          <w:lang w:val="en-US"/>
        </w:rPr>
        <w:t>7</w:t>
      </w:r>
      <w:r w:rsidR="00823F92">
        <w:rPr>
          <w:lang w:val="en-US"/>
        </w:rPr>
        <w:t xml:space="preserve"> </w:t>
      </w:r>
      <w:r w:rsidR="009469A8" w:rsidRPr="009469A8">
        <w:rPr>
          <w:lang w:val="en-US"/>
        </w:rPr>
        <w:t>regions</w:t>
      </w:r>
      <w:r w:rsidR="00453F15" w:rsidRPr="009469A8">
        <w:rPr>
          <w:lang w:val="en-US"/>
        </w:rPr>
        <w:t>.</w:t>
      </w:r>
    </w:p>
    <w:p w14:paraId="36260FC9" w14:textId="12B6FDCD" w:rsidR="00453F15" w:rsidRDefault="00453F15" w:rsidP="006E4B7F">
      <w:pPr>
        <w:pStyle w:val="Heading3"/>
      </w:pPr>
      <w:r w:rsidRPr="000E25B1">
        <w:t>Psychologists</w:t>
      </w:r>
    </w:p>
    <w:p w14:paraId="42802FF1" w14:textId="73157BE6" w:rsidR="00D442CC" w:rsidRDefault="005137B8" w:rsidP="00D442CC">
      <w:pPr>
        <w:pStyle w:val="BodyText"/>
        <w:rPr>
          <w:lang w:val="en-US"/>
        </w:rPr>
      </w:pPr>
      <w:r w:rsidRPr="009245F1">
        <w:rPr>
          <w:lang w:val="en-US"/>
        </w:rPr>
        <w:t>Role:</w:t>
      </w:r>
      <w:r w:rsidR="00D442CC" w:rsidRPr="00D442CC">
        <w:rPr>
          <w:lang w:val="en-US"/>
        </w:rPr>
        <w:t xml:space="preserve"> </w:t>
      </w:r>
      <w:r w:rsidR="00D442CC" w:rsidRPr="006C4490">
        <w:rPr>
          <w:lang w:val="en-US"/>
        </w:rPr>
        <w:t>Psychologist</w:t>
      </w:r>
      <w:r w:rsidR="00823F92" w:rsidRPr="006C4490">
        <w:rPr>
          <w:lang w:val="en-US"/>
        </w:rPr>
        <w:t>s</w:t>
      </w:r>
      <w:r w:rsidR="00823F92">
        <w:rPr>
          <w:lang w:val="en-US"/>
        </w:rPr>
        <w:t xml:space="preserve"> </w:t>
      </w:r>
      <w:r w:rsidR="00D442CC" w:rsidRPr="006C4490">
        <w:rPr>
          <w:lang w:val="en-US"/>
        </w:rPr>
        <w:t>provid</w:t>
      </w:r>
      <w:r w:rsidR="00823F92" w:rsidRPr="006C4490">
        <w:rPr>
          <w:lang w:val="en-US"/>
        </w:rPr>
        <w:t>e</w:t>
      </w:r>
      <w:r w:rsidR="00823F92">
        <w:rPr>
          <w:lang w:val="en-US"/>
        </w:rPr>
        <w:t xml:space="preserve"> </w:t>
      </w:r>
      <w:r w:rsidR="00D442CC" w:rsidRPr="006C4490">
        <w:rPr>
          <w:lang w:val="en-US"/>
        </w:rPr>
        <w:t>assessment</w:t>
      </w:r>
      <w:r w:rsidR="00823F92" w:rsidRPr="006C4490">
        <w:rPr>
          <w:lang w:val="en-US"/>
        </w:rPr>
        <w:t>,</w:t>
      </w:r>
      <w:r w:rsidR="00823F92">
        <w:rPr>
          <w:lang w:val="en-US"/>
        </w:rPr>
        <w:t xml:space="preserve"> </w:t>
      </w:r>
      <w:r w:rsidR="00D442CC" w:rsidRPr="006C4490">
        <w:rPr>
          <w:lang w:val="en-US"/>
        </w:rPr>
        <w:t>diagnosi</w:t>
      </w:r>
      <w:r w:rsidR="00823F92" w:rsidRPr="006C4490">
        <w:rPr>
          <w:lang w:val="en-US"/>
        </w:rPr>
        <w:t>s</w:t>
      </w:r>
      <w:r w:rsidR="00823F92">
        <w:rPr>
          <w:lang w:val="en-US"/>
        </w:rPr>
        <w:t xml:space="preserve"> </w:t>
      </w:r>
      <w:r w:rsidR="00D442CC" w:rsidRPr="006C4490">
        <w:rPr>
          <w:lang w:val="en-US"/>
        </w:rPr>
        <w:t>an</w:t>
      </w:r>
      <w:r w:rsidR="00823F92" w:rsidRPr="006C4490">
        <w:rPr>
          <w:lang w:val="en-US"/>
        </w:rPr>
        <w:t>d</w:t>
      </w:r>
      <w:r w:rsidR="00823F92">
        <w:rPr>
          <w:lang w:val="en-US"/>
        </w:rPr>
        <w:t xml:space="preserve"> </w:t>
      </w:r>
      <w:r w:rsidR="00D442CC" w:rsidRPr="006C4490">
        <w:rPr>
          <w:lang w:val="en-US"/>
        </w:rPr>
        <w:t>treatmen</w:t>
      </w:r>
      <w:r w:rsidR="00823F92" w:rsidRPr="006C4490">
        <w:rPr>
          <w:lang w:val="en-US"/>
        </w:rPr>
        <w:t>t</w:t>
      </w:r>
      <w:r w:rsidR="00823F92">
        <w:rPr>
          <w:lang w:val="en-US"/>
        </w:rPr>
        <w:t xml:space="preserve"> </w:t>
      </w:r>
      <w:r w:rsidR="00D442CC" w:rsidRPr="006C4490">
        <w:rPr>
          <w:lang w:val="en-US"/>
        </w:rPr>
        <w:t>t</w:t>
      </w:r>
      <w:r w:rsidR="00823F92" w:rsidRPr="006C4490">
        <w:rPr>
          <w:lang w:val="en-US"/>
        </w:rPr>
        <w:t>o</w:t>
      </w:r>
      <w:r w:rsidR="00823F92">
        <w:rPr>
          <w:lang w:val="en-US"/>
        </w:rPr>
        <w:t xml:space="preserve"> </w:t>
      </w:r>
      <w:r w:rsidR="00D442CC" w:rsidRPr="006C4490">
        <w:rPr>
          <w:lang w:val="en-US"/>
        </w:rPr>
        <w:t>assis</w:t>
      </w:r>
      <w:r w:rsidR="00823F92" w:rsidRPr="006C4490">
        <w:rPr>
          <w:lang w:val="en-US"/>
        </w:rPr>
        <w:t>t</w:t>
      </w:r>
      <w:r w:rsidR="00823F92">
        <w:rPr>
          <w:lang w:val="en-US"/>
        </w:rPr>
        <w:t xml:space="preserve"> </w:t>
      </w:r>
      <w:r w:rsidR="00D442CC" w:rsidRPr="006C4490">
        <w:rPr>
          <w:lang w:val="en-US"/>
        </w:rPr>
        <w:t>peopl</w:t>
      </w:r>
      <w:r w:rsidR="00823F92" w:rsidRPr="006C4490">
        <w:rPr>
          <w:lang w:val="en-US"/>
        </w:rPr>
        <w:t>e</w:t>
      </w:r>
      <w:r w:rsidR="00823F92">
        <w:rPr>
          <w:lang w:val="en-US"/>
        </w:rPr>
        <w:t xml:space="preserve"> </w:t>
      </w:r>
      <w:r w:rsidR="00D442CC" w:rsidRPr="006C4490">
        <w:rPr>
          <w:lang w:val="en-US"/>
        </w:rPr>
        <w:t>experiencin</w:t>
      </w:r>
      <w:r w:rsidR="00823F92" w:rsidRPr="006C4490">
        <w:rPr>
          <w:lang w:val="en-US"/>
        </w:rPr>
        <w:t>g</w:t>
      </w:r>
      <w:r w:rsidR="00823F92">
        <w:rPr>
          <w:lang w:val="en-US"/>
        </w:rPr>
        <w:t xml:space="preserve"> </w:t>
      </w:r>
      <w:r w:rsidR="00D442CC" w:rsidRPr="006C4490">
        <w:rPr>
          <w:lang w:val="en-US"/>
        </w:rPr>
        <w:t>menta</w:t>
      </w:r>
      <w:r w:rsidR="00823F92" w:rsidRPr="006C4490">
        <w:rPr>
          <w:lang w:val="en-US"/>
        </w:rPr>
        <w:t>l</w:t>
      </w:r>
      <w:r w:rsidR="00823F92">
        <w:rPr>
          <w:lang w:val="en-US"/>
        </w:rPr>
        <w:t xml:space="preserve"> </w:t>
      </w:r>
      <w:r w:rsidR="00D442CC" w:rsidRPr="006C4490">
        <w:rPr>
          <w:lang w:val="en-US"/>
        </w:rPr>
        <w:t>distres</w:t>
      </w:r>
      <w:r w:rsidR="00823F92" w:rsidRPr="006C4490">
        <w:rPr>
          <w:lang w:val="en-US"/>
        </w:rPr>
        <w:t>s</w:t>
      </w:r>
      <w:r w:rsidR="00823F92">
        <w:rPr>
          <w:lang w:val="en-US"/>
        </w:rPr>
        <w:t xml:space="preserve"> </w:t>
      </w:r>
      <w:r w:rsidR="00D442CC" w:rsidRPr="006C4490">
        <w:rPr>
          <w:lang w:val="en-US"/>
        </w:rPr>
        <w:t>and/o</w:t>
      </w:r>
      <w:r w:rsidR="00823F92" w:rsidRPr="006C4490">
        <w:rPr>
          <w:lang w:val="en-US"/>
        </w:rPr>
        <w:t>r</w:t>
      </w:r>
      <w:r w:rsidR="00823F92">
        <w:rPr>
          <w:lang w:val="en-US"/>
        </w:rPr>
        <w:t xml:space="preserve"> </w:t>
      </w:r>
      <w:r w:rsidR="00D442CC" w:rsidRPr="006C4490">
        <w:rPr>
          <w:lang w:val="en-US"/>
        </w:rPr>
        <w:t>ill-health</w:t>
      </w:r>
      <w:r w:rsidR="00823F92" w:rsidRPr="006C4490">
        <w:rPr>
          <w:lang w:val="en-US"/>
        </w:rPr>
        <w:t>.</w:t>
      </w:r>
      <w:r w:rsidR="00823F92">
        <w:rPr>
          <w:lang w:val="en-US"/>
        </w:rPr>
        <w:t xml:space="preserve"> </w:t>
      </w:r>
    </w:p>
    <w:p w14:paraId="699D54BD" w14:textId="4CA65C6A" w:rsidR="005137B8" w:rsidRPr="00D442CC" w:rsidRDefault="005137B8" w:rsidP="005137B8">
      <w:pPr>
        <w:pStyle w:val="BodyText"/>
        <w:rPr>
          <w:lang w:val="en-US"/>
        </w:rPr>
      </w:pPr>
      <w:r w:rsidRPr="009245F1">
        <w:rPr>
          <w:lang w:val="en-US"/>
        </w:rPr>
        <w:t>Setting:</w:t>
      </w:r>
      <w:r>
        <w:rPr>
          <w:b/>
          <w:bCs/>
          <w:lang w:val="en-US"/>
        </w:rPr>
        <w:t xml:space="preserve"> </w:t>
      </w:r>
      <w:r w:rsidR="00C847CF">
        <w:rPr>
          <w:lang w:val="en-US"/>
        </w:rPr>
        <w:t>Mos</w:t>
      </w:r>
      <w:r w:rsidR="00823F92">
        <w:rPr>
          <w:lang w:val="en-US"/>
        </w:rPr>
        <w:t xml:space="preserve">t </w:t>
      </w:r>
      <w:r w:rsidR="00C847CF">
        <w:rPr>
          <w:lang w:val="en-US"/>
        </w:rPr>
        <w:t>psychologist</w:t>
      </w:r>
      <w:r w:rsidR="00823F92">
        <w:rPr>
          <w:lang w:val="en-US"/>
        </w:rPr>
        <w:t xml:space="preserve">s </w:t>
      </w:r>
      <w:r w:rsidR="00C847CF" w:rsidRPr="006C4490">
        <w:rPr>
          <w:lang w:val="en-US"/>
        </w:rPr>
        <w:t>workin</w:t>
      </w:r>
      <w:r w:rsidR="00823F92" w:rsidRPr="006C4490">
        <w:rPr>
          <w:lang w:val="en-US"/>
        </w:rPr>
        <w:t>g</w:t>
      </w:r>
      <w:r w:rsidR="00823F92">
        <w:rPr>
          <w:lang w:val="en-US"/>
        </w:rPr>
        <w:t xml:space="preserve"> </w:t>
      </w:r>
      <w:r w:rsidR="00C847CF" w:rsidRPr="006C4490">
        <w:rPr>
          <w:lang w:val="en-US"/>
        </w:rPr>
        <w:t>i</w:t>
      </w:r>
      <w:r w:rsidR="00823F92" w:rsidRPr="006C4490">
        <w:rPr>
          <w:lang w:val="en-US"/>
        </w:rPr>
        <w:t>n</w:t>
      </w:r>
      <w:r w:rsidR="00823F92">
        <w:rPr>
          <w:lang w:val="en-US"/>
        </w:rPr>
        <w:t xml:space="preserve"> </w:t>
      </w:r>
      <w:r w:rsidR="00C847CF" w:rsidRPr="006C4490">
        <w:rPr>
          <w:lang w:val="en-US"/>
        </w:rPr>
        <w:t>privat</w:t>
      </w:r>
      <w:r w:rsidR="00823F92" w:rsidRPr="006C4490">
        <w:rPr>
          <w:lang w:val="en-US"/>
        </w:rPr>
        <w:t>e</w:t>
      </w:r>
      <w:r w:rsidR="00823F92">
        <w:rPr>
          <w:lang w:val="en-US"/>
        </w:rPr>
        <w:t xml:space="preserve"> </w:t>
      </w:r>
      <w:r w:rsidR="00C847CF" w:rsidRPr="006C4490">
        <w:rPr>
          <w:lang w:val="en-US"/>
        </w:rPr>
        <w:t>settings.</w:t>
      </w:r>
    </w:p>
    <w:p w14:paraId="356B6288" w14:textId="7A9D9A6A" w:rsidR="00253162" w:rsidRDefault="005137B8" w:rsidP="00253162">
      <w:pPr>
        <w:pStyle w:val="BodyText"/>
        <w:rPr>
          <w:lang w:val="en-US"/>
        </w:rPr>
      </w:pPr>
      <w:r w:rsidRPr="009245F1">
        <w:rPr>
          <w:lang w:val="en-US"/>
        </w:rPr>
        <w:t>Training:</w:t>
      </w:r>
      <w:r>
        <w:rPr>
          <w:b/>
          <w:bCs/>
          <w:lang w:val="en-US"/>
        </w:rPr>
        <w:t xml:space="preserve"> </w:t>
      </w:r>
      <w:r w:rsidR="00A26008" w:rsidRPr="0001105C">
        <w:rPr>
          <w:lang w:val="en-US"/>
        </w:rPr>
        <w:t>Th</w:t>
      </w:r>
      <w:r w:rsidR="00823F92" w:rsidRPr="0001105C">
        <w:rPr>
          <w:lang w:val="en-US"/>
        </w:rPr>
        <w:t>e</w:t>
      </w:r>
      <w:r w:rsidR="00823F92">
        <w:rPr>
          <w:lang w:val="en-US"/>
        </w:rPr>
        <w:t xml:space="preserve"> </w:t>
      </w:r>
      <w:r w:rsidR="00A26008" w:rsidRPr="0001105C">
        <w:rPr>
          <w:lang w:val="en-US"/>
        </w:rPr>
        <w:t>minimu</w:t>
      </w:r>
      <w:r w:rsidR="00823F92" w:rsidRPr="0001105C">
        <w:rPr>
          <w:lang w:val="en-US"/>
        </w:rPr>
        <w:t>m</w:t>
      </w:r>
      <w:r w:rsidR="00823F92">
        <w:rPr>
          <w:lang w:val="en-US"/>
        </w:rPr>
        <w:t xml:space="preserve"> </w:t>
      </w:r>
      <w:r w:rsidR="00A26008" w:rsidRPr="0001105C">
        <w:rPr>
          <w:lang w:val="en-US"/>
        </w:rPr>
        <w:t>trainin</w:t>
      </w:r>
      <w:r w:rsidR="00823F92" w:rsidRPr="0001105C">
        <w:rPr>
          <w:lang w:val="en-US"/>
        </w:rPr>
        <w:t>g</w:t>
      </w:r>
      <w:r w:rsidR="00823F92">
        <w:rPr>
          <w:lang w:val="en-US"/>
        </w:rPr>
        <w:t xml:space="preserve"> </w:t>
      </w:r>
      <w:r w:rsidR="00A26008" w:rsidRPr="0001105C">
        <w:rPr>
          <w:lang w:val="en-US"/>
        </w:rPr>
        <w:t>requirement</w:t>
      </w:r>
      <w:r w:rsidR="00823F92" w:rsidRPr="0001105C">
        <w:rPr>
          <w:lang w:val="en-US"/>
        </w:rPr>
        <w:t>s</w:t>
      </w:r>
      <w:r w:rsidR="00823F92">
        <w:rPr>
          <w:lang w:val="en-US"/>
        </w:rPr>
        <w:t xml:space="preserve"> </w:t>
      </w:r>
      <w:r w:rsidR="00A26008" w:rsidRPr="0001105C">
        <w:rPr>
          <w:lang w:val="en-US"/>
        </w:rPr>
        <w:t>ar</w:t>
      </w:r>
      <w:r w:rsidR="00823F92" w:rsidRPr="0001105C">
        <w:rPr>
          <w:lang w:val="en-US"/>
        </w:rPr>
        <w:t>e</w:t>
      </w:r>
      <w:r w:rsidR="00823F92">
        <w:rPr>
          <w:lang w:val="en-US"/>
        </w:rPr>
        <w:t xml:space="preserve"> </w:t>
      </w:r>
      <w:r w:rsidR="00823F92" w:rsidRPr="0001105C">
        <w:rPr>
          <w:lang w:val="en-US"/>
        </w:rPr>
        <w:t>a</w:t>
      </w:r>
      <w:r w:rsidR="00823F92">
        <w:rPr>
          <w:lang w:val="en-US"/>
        </w:rPr>
        <w:t xml:space="preserve"> </w:t>
      </w:r>
      <w:r w:rsidR="00A26008" w:rsidRPr="0001105C">
        <w:rPr>
          <w:lang w:val="en-US"/>
        </w:rPr>
        <w:t>Bachelo</w:t>
      </w:r>
      <w:r w:rsidR="00823F92" w:rsidRPr="0001105C">
        <w:rPr>
          <w:lang w:val="en-US"/>
        </w:rPr>
        <w:t>r</w:t>
      </w:r>
      <w:r w:rsidR="00823F92">
        <w:rPr>
          <w:lang w:val="en-US"/>
        </w:rPr>
        <w:t xml:space="preserve"> </w:t>
      </w:r>
      <w:r w:rsidR="00A26008" w:rsidRPr="0001105C">
        <w:rPr>
          <w:lang w:val="en-US"/>
        </w:rPr>
        <w:t>o</w:t>
      </w:r>
      <w:r w:rsidR="00823F92" w:rsidRPr="0001105C">
        <w:rPr>
          <w:lang w:val="en-US"/>
        </w:rPr>
        <w:t>f</w:t>
      </w:r>
      <w:r w:rsidR="00823F92">
        <w:rPr>
          <w:lang w:val="en-US"/>
        </w:rPr>
        <w:t xml:space="preserve"> </w:t>
      </w:r>
      <w:r w:rsidR="00A26008" w:rsidRPr="0001105C">
        <w:rPr>
          <w:lang w:val="en-US"/>
        </w:rPr>
        <w:t>Psycholog</w:t>
      </w:r>
      <w:r w:rsidR="00823F92" w:rsidRPr="0001105C">
        <w:rPr>
          <w:lang w:val="en-US"/>
        </w:rPr>
        <w:t>y</w:t>
      </w:r>
      <w:r w:rsidR="00823F92">
        <w:rPr>
          <w:lang w:val="en-US"/>
        </w:rPr>
        <w:t xml:space="preserve"> </w:t>
      </w:r>
      <w:r w:rsidR="00A26008" w:rsidRPr="0001105C">
        <w:rPr>
          <w:lang w:val="en-US"/>
        </w:rPr>
        <w:t>o</w:t>
      </w:r>
      <w:r w:rsidR="00823F92" w:rsidRPr="0001105C">
        <w:rPr>
          <w:lang w:val="en-US"/>
        </w:rPr>
        <w:t>r</w:t>
      </w:r>
      <w:r w:rsidR="00823F92">
        <w:rPr>
          <w:lang w:val="en-US"/>
        </w:rPr>
        <w:t xml:space="preserve"> </w:t>
      </w:r>
      <w:r w:rsidR="00A26008" w:rsidRPr="0001105C">
        <w:rPr>
          <w:lang w:val="en-US"/>
        </w:rPr>
        <w:t>degre</w:t>
      </w:r>
      <w:r w:rsidR="00823F92" w:rsidRPr="0001105C">
        <w:rPr>
          <w:lang w:val="en-US"/>
        </w:rPr>
        <w:t>e</w:t>
      </w:r>
      <w:r w:rsidR="00823F92">
        <w:rPr>
          <w:lang w:val="en-US"/>
        </w:rPr>
        <w:t xml:space="preserve"> </w:t>
      </w:r>
      <w:r w:rsidR="00A26008" w:rsidRPr="0001105C">
        <w:rPr>
          <w:lang w:val="en-US"/>
        </w:rPr>
        <w:t>wit</w:t>
      </w:r>
      <w:r w:rsidR="00823F92" w:rsidRPr="0001105C">
        <w:rPr>
          <w:lang w:val="en-US"/>
        </w:rPr>
        <w:t>h</w:t>
      </w:r>
      <w:r w:rsidR="00823F92">
        <w:rPr>
          <w:lang w:val="en-US"/>
        </w:rPr>
        <w:t xml:space="preserve"> </w:t>
      </w:r>
      <w:r w:rsidR="00823F92" w:rsidRPr="0001105C">
        <w:rPr>
          <w:lang w:val="en-US"/>
        </w:rPr>
        <w:t>a</w:t>
      </w:r>
      <w:r w:rsidR="00823F92">
        <w:rPr>
          <w:lang w:val="en-US"/>
        </w:rPr>
        <w:t xml:space="preserve"> </w:t>
      </w:r>
      <w:r w:rsidR="00A26008" w:rsidRPr="0001105C">
        <w:rPr>
          <w:lang w:val="en-US"/>
        </w:rPr>
        <w:t>majo</w:t>
      </w:r>
      <w:r w:rsidR="00823F92" w:rsidRPr="0001105C">
        <w:rPr>
          <w:lang w:val="en-US"/>
        </w:rPr>
        <w:t>r</w:t>
      </w:r>
      <w:r w:rsidR="00823F92">
        <w:rPr>
          <w:lang w:val="en-US"/>
        </w:rPr>
        <w:t xml:space="preserve"> </w:t>
      </w:r>
      <w:r w:rsidR="00A26008" w:rsidRPr="0001105C">
        <w:rPr>
          <w:lang w:val="en-US"/>
        </w:rPr>
        <w:t>i</w:t>
      </w:r>
      <w:r w:rsidR="00823F92" w:rsidRPr="0001105C">
        <w:rPr>
          <w:lang w:val="en-US"/>
        </w:rPr>
        <w:t>n</w:t>
      </w:r>
      <w:r w:rsidR="00823F92">
        <w:rPr>
          <w:lang w:val="en-US"/>
        </w:rPr>
        <w:t xml:space="preserve"> </w:t>
      </w:r>
      <w:r w:rsidR="00A26008" w:rsidRPr="0001105C">
        <w:rPr>
          <w:lang w:val="en-US"/>
        </w:rPr>
        <w:t>psycholog</w:t>
      </w:r>
      <w:r w:rsidR="00823F92" w:rsidRPr="0001105C">
        <w:rPr>
          <w:lang w:val="en-US"/>
        </w:rPr>
        <w:t>y</w:t>
      </w:r>
      <w:r w:rsidR="00823F92">
        <w:rPr>
          <w:lang w:val="en-US"/>
        </w:rPr>
        <w:t xml:space="preserve"> </w:t>
      </w:r>
      <w:r w:rsidR="00A26008" w:rsidRPr="0001105C">
        <w:rPr>
          <w:lang w:val="en-US"/>
        </w:rPr>
        <w:t>an</w:t>
      </w:r>
      <w:r w:rsidR="00823F92" w:rsidRPr="0001105C">
        <w:rPr>
          <w:lang w:val="en-US"/>
        </w:rPr>
        <w:t>d</w:t>
      </w:r>
      <w:r w:rsidR="00823F92">
        <w:rPr>
          <w:lang w:val="en-US"/>
        </w:rPr>
        <w:t xml:space="preserve"> </w:t>
      </w:r>
      <w:r w:rsidR="00823F92" w:rsidRPr="0001105C">
        <w:rPr>
          <w:lang w:val="en-US"/>
        </w:rPr>
        <w:t>a</w:t>
      </w:r>
      <w:r w:rsidR="00823F92">
        <w:rPr>
          <w:lang w:val="en-US"/>
        </w:rPr>
        <w:t xml:space="preserve"> </w:t>
      </w:r>
      <w:r w:rsidR="00A26008" w:rsidRPr="0001105C">
        <w:rPr>
          <w:lang w:val="en-US"/>
        </w:rPr>
        <w:t>fourth-yea</w:t>
      </w:r>
      <w:r w:rsidR="00823F92" w:rsidRPr="0001105C">
        <w:rPr>
          <w:lang w:val="en-US"/>
        </w:rPr>
        <w:t>r</w:t>
      </w:r>
      <w:r w:rsidR="00823F92">
        <w:rPr>
          <w:lang w:val="en-US"/>
        </w:rPr>
        <w:t xml:space="preserve"> </w:t>
      </w:r>
      <w:proofErr w:type="spellStart"/>
      <w:r w:rsidR="00BC69A5">
        <w:rPr>
          <w:lang w:val="en-US"/>
        </w:rPr>
        <w:t>h</w:t>
      </w:r>
      <w:r w:rsidR="00BC69A5" w:rsidRPr="0001105C">
        <w:rPr>
          <w:lang w:val="en-US"/>
        </w:rPr>
        <w:t>onour</w:t>
      </w:r>
      <w:r w:rsidR="00823F92" w:rsidRPr="0001105C">
        <w:rPr>
          <w:lang w:val="en-US"/>
        </w:rPr>
        <w:t>s</w:t>
      </w:r>
      <w:proofErr w:type="spellEnd"/>
      <w:r w:rsidR="00823F92">
        <w:rPr>
          <w:lang w:val="en-US"/>
        </w:rPr>
        <w:t xml:space="preserve"> </w:t>
      </w:r>
      <w:r w:rsidR="00A26008">
        <w:rPr>
          <w:lang w:val="en-US"/>
        </w:rPr>
        <w:t>(</w:t>
      </w:r>
      <w:r w:rsidR="00A26008" w:rsidRPr="0001105C">
        <w:rPr>
          <w:lang w:val="en-US"/>
        </w:rPr>
        <w:t>o</w:t>
      </w:r>
      <w:r w:rsidR="00823F92" w:rsidRPr="0001105C">
        <w:rPr>
          <w:lang w:val="en-US"/>
        </w:rPr>
        <w:t>r</w:t>
      </w:r>
      <w:r w:rsidR="00823F92">
        <w:rPr>
          <w:lang w:val="en-US"/>
        </w:rPr>
        <w:t xml:space="preserve"> </w:t>
      </w:r>
      <w:r w:rsidR="00A26008" w:rsidRPr="0001105C">
        <w:rPr>
          <w:lang w:val="en-US"/>
        </w:rPr>
        <w:t>post-graduat</w:t>
      </w:r>
      <w:r w:rsidR="00823F92" w:rsidRPr="0001105C">
        <w:rPr>
          <w:lang w:val="en-US"/>
        </w:rPr>
        <w:t>e</w:t>
      </w:r>
      <w:r w:rsidR="00823F92">
        <w:rPr>
          <w:lang w:val="en-US"/>
        </w:rPr>
        <w:t xml:space="preserve"> </w:t>
      </w:r>
      <w:r w:rsidR="00A26008" w:rsidRPr="0001105C">
        <w:rPr>
          <w:lang w:val="en-US"/>
        </w:rPr>
        <w:t>diploma</w:t>
      </w:r>
      <w:r w:rsidR="00A26008">
        <w:rPr>
          <w:lang w:val="en-US"/>
        </w:rPr>
        <w:t>)</w:t>
      </w:r>
      <w:r w:rsidR="00823F92">
        <w:rPr>
          <w:lang w:val="en-US"/>
        </w:rPr>
        <w:t xml:space="preserve">, </w:t>
      </w:r>
      <w:r w:rsidR="00A26008">
        <w:rPr>
          <w:lang w:val="en-US"/>
        </w:rPr>
        <w:t>followe</w:t>
      </w:r>
      <w:r w:rsidR="00823F92">
        <w:rPr>
          <w:lang w:val="en-US"/>
        </w:rPr>
        <w:t xml:space="preserve">d </w:t>
      </w:r>
      <w:r w:rsidR="00A26008">
        <w:rPr>
          <w:lang w:val="en-US"/>
        </w:rPr>
        <w:t>b</w:t>
      </w:r>
      <w:r w:rsidR="00823F92">
        <w:rPr>
          <w:lang w:val="en-US"/>
        </w:rPr>
        <w:t xml:space="preserve">y a 1 </w:t>
      </w:r>
      <w:r w:rsidR="00A26008">
        <w:rPr>
          <w:lang w:val="en-US"/>
        </w:rPr>
        <w:t>yea</w:t>
      </w:r>
      <w:r w:rsidR="00823F92">
        <w:rPr>
          <w:lang w:val="en-US"/>
        </w:rPr>
        <w:t xml:space="preserve">r </w:t>
      </w:r>
      <w:r w:rsidR="00A26008">
        <w:rPr>
          <w:lang w:val="en-US"/>
        </w:rPr>
        <w:t>master</w:t>
      </w:r>
      <w:r w:rsidR="00BC69A5">
        <w:rPr>
          <w:lang w:val="en-US"/>
        </w:rPr>
        <w:t>’</w:t>
      </w:r>
      <w:r w:rsidR="00823F92">
        <w:rPr>
          <w:lang w:val="en-US"/>
        </w:rPr>
        <w:t xml:space="preserve">s </w:t>
      </w:r>
      <w:r w:rsidR="00A26008">
        <w:rPr>
          <w:lang w:val="en-US"/>
        </w:rPr>
        <w:t>an</w:t>
      </w:r>
      <w:r w:rsidR="00823F92">
        <w:rPr>
          <w:lang w:val="en-US"/>
        </w:rPr>
        <w:t xml:space="preserve">d 1 </w:t>
      </w:r>
      <w:r w:rsidR="00A26008">
        <w:rPr>
          <w:lang w:val="en-US"/>
        </w:rPr>
        <w:t>yea</w:t>
      </w:r>
      <w:r w:rsidR="00823F92">
        <w:rPr>
          <w:lang w:val="en-US"/>
        </w:rPr>
        <w:t xml:space="preserve">r </w:t>
      </w:r>
      <w:r w:rsidR="00A26008">
        <w:rPr>
          <w:lang w:val="en-US"/>
        </w:rPr>
        <w:t>o</w:t>
      </w:r>
      <w:r w:rsidR="00823F92">
        <w:rPr>
          <w:lang w:val="en-US"/>
        </w:rPr>
        <w:t xml:space="preserve">f </w:t>
      </w:r>
      <w:r w:rsidR="00A26008">
        <w:rPr>
          <w:lang w:val="en-US"/>
        </w:rPr>
        <w:t>supervise</w:t>
      </w:r>
      <w:r w:rsidR="00823F92">
        <w:rPr>
          <w:lang w:val="en-US"/>
        </w:rPr>
        <w:t xml:space="preserve">d </w:t>
      </w:r>
      <w:r w:rsidR="00A26008">
        <w:rPr>
          <w:lang w:val="en-US"/>
        </w:rPr>
        <w:t>practic</w:t>
      </w:r>
      <w:r w:rsidR="00823F92">
        <w:rPr>
          <w:lang w:val="en-US"/>
        </w:rPr>
        <w:t xml:space="preserve">e </w:t>
      </w:r>
      <w:r w:rsidR="00A26008">
        <w:rPr>
          <w:lang w:val="en-US"/>
        </w:rPr>
        <w:t>(</w:t>
      </w:r>
      <w:r w:rsidR="00823F92">
        <w:rPr>
          <w:lang w:val="en-US"/>
        </w:rPr>
        <w:t xml:space="preserve">6 </w:t>
      </w:r>
      <w:r w:rsidR="00A26008">
        <w:rPr>
          <w:lang w:val="en-US"/>
        </w:rPr>
        <w:t>year</w:t>
      </w:r>
      <w:r w:rsidR="00823F92">
        <w:rPr>
          <w:lang w:val="en-US"/>
        </w:rPr>
        <w:t xml:space="preserve">s </w:t>
      </w:r>
      <w:r w:rsidR="00A26008">
        <w:rPr>
          <w:lang w:val="en-US"/>
        </w:rPr>
        <w:t>total)</w:t>
      </w:r>
      <w:r w:rsidR="00823F92">
        <w:rPr>
          <w:lang w:val="en-US"/>
        </w:rPr>
        <w:t xml:space="preserve">. </w:t>
      </w:r>
      <w:r w:rsidR="0015451B">
        <w:rPr>
          <w:lang w:val="en-US"/>
        </w:rPr>
        <w:t>AHPR</w:t>
      </w:r>
      <w:r w:rsidR="00823F92">
        <w:rPr>
          <w:lang w:val="en-US"/>
        </w:rPr>
        <w:t xml:space="preserve">A </w:t>
      </w:r>
      <w:r w:rsidR="0015451B">
        <w:rPr>
          <w:lang w:val="en-US"/>
        </w:rPr>
        <w:t>Endorse</w:t>
      </w:r>
      <w:r w:rsidR="00823F92">
        <w:rPr>
          <w:lang w:val="en-US"/>
        </w:rPr>
        <w:t xml:space="preserve">d </w:t>
      </w:r>
      <w:r w:rsidR="00253162" w:rsidRPr="00253162">
        <w:rPr>
          <w:lang w:val="en-US"/>
        </w:rPr>
        <w:t>Clinica</w:t>
      </w:r>
      <w:r w:rsidR="00823F92" w:rsidRPr="00253162">
        <w:rPr>
          <w:lang w:val="en-US"/>
        </w:rPr>
        <w:t>l</w:t>
      </w:r>
      <w:r w:rsidR="00823F92">
        <w:rPr>
          <w:lang w:val="en-US"/>
        </w:rPr>
        <w:t xml:space="preserve"> </w:t>
      </w:r>
      <w:r w:rsidR="00253162" w:rsidRPr="00253162">
        <w:rPr>
          <w:lang w:val="en-US"/>
        </w:rPr>
        <w:t>psychologist</w:t>
      </w:r>
      <w:r w:rsidR="00823F92" w:rsidRPr="00253162">
        <w:rPr>
          <w:lang w:val="en-US"/>
        </w:rPr>
        <w:t>s</w:t>
      </w:r>
      <w:r w:rsidR="00823F92">
        <w:rPr>
          <w:lang w:val="en-US"/>
        </w:rPr>
        <w:t xml:space="preserve"> </w:t>
      </w:r>
      <w:r w:rsidR="00253162" w:rsidRPr="00253162">
        <w:rPr>
          <w:lang w:val="en-US"/>
        </w:rPr>
        <w:t>an</w:t>
      </w:r>
      <w:r w:rsidR="00823F92" w:rsidRPr="00253162">
        <w:rPr>
          <w:lang w:val="en-US"/>
        </w:rPr>
        <w:t>d</w:t>
      </w:r>
      <w:r w:rsidR="00823F92">
        <w:rPr>
          <w:lang w:val="en-US"/>
        </w:rPr>
        <w:t xml:space="preserve"> </w:t>
      </w:r>
      <w:r w:rsidR="00253162" w:rsidRPr="00253162">
        <w:rPr>
          <w:lang w:val="en-US"/>
        </w:rPr>
        <w:t>Counsellin</w:t>
      </w:r>
      <w:r w:rsidR="00823F92" w:rsidRPr="00253162">
        <w:rPr>
          <w:lang w:val="en-US"/>
        </w:rPr>
        <w:t>g</w:t>
      </w:r>
      <w:r w:rsidR="00823F92">
        <w:rPr>
          <w:lang w:val="en-US"/>
        </w:rPr>
        <w:t xml:space="preserve"> </w:t>
      </w:r>
      <w:r w:rsidR="00253162" w:rsidRPr="00253162">
        <w:rPr>
          <w:lang w:val="en-US"/>
        </w:rPr>
        <w:t>psychologist</w:t>
      </w:r>
      <w:r w:rsidR="00823F92" w:rsidRPr="00253162">
        <w:rPr>
          <w:lang w:val="en-US"/>
        </w:rPr>
        <w:t>s</w:t>
      </w:r>
      <w:r w:rsidR="00823F92">
        <w:rPr>
          <w:lang w:val="en-US"/>
        </w:rPr>
        <w:t xml:space="preserve"> </w:t>
      </w:r>
      <w:r w:rsidR="00253162" w:rsidRPr="00253162">
        <w:rPr>
          <w:lang w:val="en-US"/>
        </w:rPr>
        <w:t>requir</w:t>
      </w:r>
      <w:r w:rsidR="00823F92" w:rsidRPr="00253162">
        <w:rPr>
          <w:lang w:val="en-US"/>
        </w:rPr>
        <w:t>e</w:t>
      </w:r>
      <w:r w:rsidR="00823F92">
        <w:rPr>
          <w:lang w:val="en-US"/>
        </w:rPr>
        <w:t xml:space="preserve"> </w:t>
      </w:r>
      <w:r w:rsidR="00823F92" w:rsidRPr="00253162">
        <w:rPr>
          <w:lang w:val="en-US"/>
        </w:rPr>
        <w:t>a</w:t>
      </w:r>
      <w:r w:rsidR="00823F92">
        <w:rPr>
          <w:lang w:val="en-US"/>
        </w:rPr>
        <w:t xml:space="preserve"> </w:t>
      </w:r>
      <w:r w:rsidR="00253162" w:rsidRPr="00253162">
        <w:rPr>
          <w:lang w:val="en-US"/>
        </w:rPr>
        <w:t>furthe</w:t>
      </w:r>
      <w:r w:rsidR="00823F92" w:rsidRPr="00253162">
        <w:rPr>
          <w:lang w:val="en-US"/>
        </w:rPr>
        <w:t>r</w:t>
      </w:r>
      <w:r w:rsidR="00823F92">
        <w:rPr>
          <w:lang w:val="en-US"/>
        </w:rPr>
        <w:t xml:space="preserve"> </w:t>
      </w:r>
      <w:proofErr w:type="gramStart"/>
      <w:r w:rsidR="00823F92" w:rsidRPr="00253162">
        <w:rPr>
          <w:lang w:val="en-US"/>
        </w:rPr>
        <w:t>2</w:t>
      </w:r>
      <w:r w:rsidR="00823F92">
        <w:rPr>
          <w:lang w:val="en-US"/>
        </w:rPr>
        <w:t xml:space="preserve"> </w:t>
      </w:r>
      <w:r w:rsidR="00253162" w:rsidRPr="00253162">
        <w:rPr>
          <w:lang w:val="en-US"/>
        </w:rPr>
        <w:t>yea</w:t>
      </w:r>
      <w:r w:rsidR="00823F92" w:rsidRPr="00253162">
        <w:rPr>
          <w:lang w:val="en-US"/>
        </w:rPr>
        <w:t>r</w:t>
      </w:r>
      <w:proofErr w:type="gramEnd"/>
      <w:r w:rsidR="00823F92">
        <w:rPr>
          <w:lang w:val="en-US"/>
        </w:rPr>
        <w:t xml:space="preserve"> </w:t>
      </w:r>
      <w:r w:rsidR="00253162" w:rsidRPr="00253162">
        <w:rPr>
          <w:lang w:val="en-US"/>
        </w:rPr>
        <w:t>Master’</w:t>
      </w:r>
      <w:r w:rsidR="00823F92" w:rsidRPr="00253162">
        <w:rPr>
          <w:lang w:val="en-US"/>
        </w:rPr>
        <w:t>s</w:t>
      </w:r>
      <w:r w:rsidR="00823F92">
        <w:rPr>
          <w:lang w:val="en-US"/>
        </w:rPr>
        <w:t xml:space="preserve"> </w:t>
      </w:r>
      <w:r w:rsidR="00253162" w:rsidRPr="00253162">
        <w:rPr>
          <w:lang w:val="en-US"/>
        </w:rPr>
        <w:t>degre</w:t>
      </w:r>
      <w:r w:rsidR="00823F92" w:rsidRPr="00253162">
        <w:rPr>
          <w:lang w:val="en-US"/>
        </w:rPr>
        <w:t>e</w:t>
      </w:r>
      <w:r w:rsidR="00823F92">
        <w:rPr>
          <w:lang w:val="en-US"/>
        </w:rPr>
        <w:t xml:space="preserve"> </w:t>
      </w:r>
      <w:r w:rsidR="00253162" w:rsidRPr="00253162">
        <w:rPr>
          <w:lang w:val="en-US"/>
        </w:rPr>
        <w:t>qualificatio</w:t>
      </w:r>
      <w:r w:rsidR="00823F92" w:rsidRPr="00253162">
        <w:rPr>
          <w:lang w:val="en-US"/>
        </w:rPr>
        <w:t>n</w:t>
      </w:r>
      <w:r w:rsidR="00823F92">
        <w:rPr>
          <w:lang w:val="en-US"/>
        </w:rPr>
        <w:t xml:space="preserve"> </w:t>
      </w:r>
      <w:r w:rsidR="00253162" w:rsidRPr="00253162">
        <w:rPr>
          <w:lang w:val="en-US"/>
        </w:rPr>
        <w:t>i</w:t>
      </w:r>
      <w:r w:rsidR="00823F92" w:rsidRPr="00253162">
        <w:rPr>
          <w:lang w:val="en-US"/>
        </w:rPr>
        <w:t>n</w:t>
      </w:r>
      <w:r w:rsidR="00823F92">
        <w:rPr>
          <w:lang w:val="en-US"/>
        </w:rPr>
        <w:t xml:space="preserve"> </w:t>
      </w:r>
      <w:r w:rsidR="00253162" w:rsidRPr="00253162">
        <w:rPr>
          <w:lang w:val="en-US"/>
        </w:rPr>
        <w:t>thei</w:t>
      </w:r>
      <w:r w:rsidR="00823F92" w:rsidRPr="00253162">
        <w:rPr>
          <w:lang w:val="en-US"/>
        </w:rPr>
        <w:t>r</w:t>
      </w:r>
      <w:r w:rsidR="00823F92">
        <w:rPr>
          <w:lang w:val="en-US"/>
        </w:rPr>
        <w:t xml:space="preserve"> </w:t>
      </w:r>
      <w:r w:rsidR="00253162" w:rsidRPr="00253162">
        <w:rPr>
          <w:lang w:val="en-US"/>
        </w:rPr>
        <w:t>specifi</w:t>
      </w:r>
      <w:r w:rsidR="00823F92" w:rsidRPr="00253162">
        <w:rPr>
          <w:lang w:val="en-US"/>
        </w:rPr>
        <w:t>c</w:t>
      </w:r>
      <w:r w:rsidR="00823F92">
        <w:rPr>
          <w:lang w:val="en-US"/>
        </w:rPr>
        <w:t xml:space="preserve"> </w:t>
      </w:r>
      <w:r w:rsidR="00253162" w:rsidRPr="00253162">
        <w:rPr>
          <w:lang w:val="en-US"/>
        </w:rPr>
        <w:t>are</w:t>
      </w:r>
      <w:r w:rsidR="00823F92" w:rsidRPr="00253162">
        <w:rPr>
          <w:lang w:val="en-US"/>
        </w:rPr>
        <w:t>a</w:t>
      </w:r>
      <w:r w:rsidR="00823F92">
        <w:rPr>
          <w:lang w:val="en-US"/>
        </w:rPr>
        <w:t xml:space="preserve"> </w:t>
      </w:r>
      <w:r w:rsidR="00253162" w:rsidRPr="00253162">
        <w:rPr>
          <w:lang w:val="en-US"/>
        </w:rPr>
        <w:t>o</w:t>
      </w:r>
      <w:r w:rsidR="00823F92" w:rsidRPr="00253162">
        <w:rPr>
          <w:lang w:val="en-US"/>
        </w:rPr>
        <w:t>f</w:t>
      </w:r>
      <w:r w:rsidR="00823F92">
        <w:rPr>
          <w:lang w:val="en-US"/>
        </w:rPr>
        <w:t xml:space="preserve"> </w:t>
      </w:r>
      <w:r w:rsidR="00253162" w:rsidRPr="00253162">
        <w:rPr>
          <w:lang w:val="en-US"/>
        </w:rPr>
        <w:t>practic</w:t>
      </w:r>
      <w:r w:rsidR="00823F92" w:rsidRPr="00253162">
        <w:rPr>
          <w:lang w:val="en-US"/>
        </w:rPr>
        <w:t>e</w:t>
      </w:r>
      <w:r w:rsidR="00823F92">
        <w:rPr>
          <w:lang w:val="en-US"/>
        </w:rPr>
        <w:t xml:space="preserve"> </w:t>
      </w:r>
      <w:r w:rsidR="00253162" w:rsidRPr="00253162">
        <w:rPr>
          <w:lang w:val="en-US"/>
        </w:rPr>
        <w:t>an</w:t>
      </w:r>
      <w:r w:rsidR="00823F92" w:rsidRPr="00253162">
        <w:rPr>
          <w:lang w:val="en-US"/>
        </w:rPr>
        <w:t>d</w:t>
      </w:r>
      <w:r w:rsidR="00823F92">
        <w:rPr>
          <w:lang w:val="en-US"/>
        </w:rPr>
        <w:t xml:space="preserve"> </w:t>
      </w:r>
      <w:r w:rsidR="00823F92" w:rsidRPr="00253162">
        <w:rPr>
          <w:lang w:val="en-US"/>
        </w:rPr>
        <w:t>a</w:t>
      </w:r>
      <w:r w:rsidR="00823F92">
        <w:rPr>
          <w:lang w:val="en-US"/>
        </w:rPr>
        <w:t xml:space="preserve"> </w:t>
      </w:r>
      <w:r w:rsidR="00823F92" w:rsidRPr="00253162">
        <w:rPr>
          <w:lang w:val="en-US"/>
        </w:rPr>
        <w:t>2</w:t>
      </w:r>
      <w:r w:rsidR="00823F92">
        <w:rPr>
          <w:lang w:val="en-US"/>
        </w:rPr>
        <w:t xml:space="preserve"> </w:t>
      </w:r>
      <w:r w:rsidR="00253162" w:rsidRPr="00253162">
        <w:rPr>
          <w:lang w:val="en-US"/>
        </w:rPr>
        <w:t>yea</w:t>
      </w:r>
      <w:r w:rsidR="00823F92" w:rsidRPr="00253162">
        <w:rPr>
          <w:lang w:val="en-US"/>
        </w:rPr>
        <w:t>r</w:t>
      </w:r>
      <w:r w:rsidR="00823F92">
        <w:rPr>
          <w:lang w:val="en-US"/>
        </w:rPr>
        <w:t xml:space="preserve"> </w:t>
      </w:r>
      <w:r w:rsidR="00253162" w:rsidRPr="00253162">
        <w:rPr>
          <w:lang w:val="en-US"/>
        </w:rPr>
        <w:t>regulate</w:t>
      </w:r>
      <w:r w:rsidR="00823F92" w:rsidRPr="00253162">
        <w:rPr>
          <w:lang w:val="en-US"/>
        </w:rPr>
        <w:t>d</w:t>
      </w:r>
      <w:r w:rsidR="00823F92">
        <w:rPr>
          <w:lang w:val="en-US"/>
        </w:rPr>
        <w:t xml:space="preserve"> </w:t>
      </w:r>
      <w:r w:rsidR="00253162" w:rsidRPr="00253162">
        <w:rPr>
          <w:lang w:val="en-US"/>
        </w:rPr>
        <w:t>registra</w:t>
      </w:r>
      <w:r w:rsidR="00823F92" w:rsidRPr="00253162">
        <w:rPr>
          <w:lang w:val="en-US"/>
        </w:rPr>
        <w:t>r</w:t>
      </w:r>
      <w:r w:rsidR="00823F92">
        <w:rPr>
          <w:lang w:val="en-US"/>
        </w:rPr>
        <w:t xml:space="preserve"> </w:t>
      </w:r>
      <w:r w:rsidR="00253162" w:rsidRPr="00253162">
        <w:rPr>
          <w:lang w:val="en-US"/>
        </w:rPr>
        <w:t>progra</w:t>
      </w:r>
      <w:r w:rsidR="00823F92" w:rsidRPr="00253162">
        <w:rPr>
          <w:lang w:val="en-US"/>
        </w:rPr>
        <w:t>m</w:t>
      </w:r>
      <w:r w:rsidR="00823F92">
        <w:rPr>
          <w:lang w:val="en-US"/>
        </w:rPr>
        <w:t xml:space="preserve"> </w:t>
      </w:r>
      <w:r w:rsidR="00253162" w:rsidRPr="00253162">
        <w:rPr>
          <w:lang w:val="en-US"/>
        </w:rPr>
        <w:t>i</w:t>
      </w:r>
      <w:r w:rsidR="00823F92" w:rsidRPr="00253162">
        <w:rPr>
          <w:lang w:val="en-US"/>
        </w:rPr>
        <w:t>n</w:t>
      </w:r>
      <w:r w:rsidR="00823F92">
        <w:rPr>
          <w:lang w:val="en-US"/>
        </w:rPr>
        <w:t xml:space="preserve"> </w:t>
      </w:r>
      <w:r w:rsidR="00253162" w:rsidRPr="00253162">
        <w:rPr>
          <w:lang w:val="en-US"/>
        </w:rPr>
        <w:t>th</w:t>
      </w:r>
      <w:r w:rsidR="00823F92" w:rsidRPr="00253162">
        <w:rPr>
          <w:lang w:val="en-US"/>
        </w:rPr>
        <w:t>e</w:t>
      </w:r>
      <w:r w:rsidR="00823F92">
        <w:rPr>
          <w:lang w:val="en-US"/>
        </w:rPr>
        <w:t xml:space="preserve"> </w:t>
      </w:r>
      <w:r w:rsidR="00253162" w:rsidRPr="00253162">
        <w:rPr>
          <w:lang w:val="en-US"/>
        </w:rPr>
        <w:t>relevan</w:t>
      </w:r>
      <w:r w:rsidR="00823F92" w:rsidRPr="00253162">
        <w:rPr>
          <w:lang w:val="en-US"/>
        </w:rPr>
        <w:t>t</w:t>
      </w:r>
      <w:r w:rsidR="00823F92">
        <w:rPr>
          <w:lang w:val="en-US"/>
        </w:rPr>
        <w:t xml:space="preserve"> </w:t>
      </w:r>
      <w:r w:rsidR="00253162" w:rsidRPr="00253162">
        <w:rPr>
          <w:lang w:val="en-US"/>
        </w:rPr>
        <w:t>are</w:t>
      </w:r>
      <w:r w:rsidR="00823F92" w:rsidRPr="00253162">
        <w:rPr>
          <w:lang w:val="en-US"/>
        </w:rPr>
        <w:t>a</w:t>
      </w:r>
      <w:r w:rsidR="00823F92">
        <w:rPr>
          <w:lang w:val="en-US"/>
        </w:rPr>
        <w:t xml:space="preserve"> </w:t>
      </w:r>
      <w:r w:rsidR="00253162" w:rsidRPr="00253162">
        <w:rPr>
          <w:lang w:val="en-US"/>
        </w:rPr>
        <w:t>o</w:t>
      </w:r>
      <w:r w:rsidR="00823F92" w:rsidRPr="00253162">
        <w:rPr>
          <w:lang w:val="en-US"/>
        </w:rPr>
        <w:t>f</w:t>
      </w:r>
      <w:r w:rsidR="00823F92">
        <w:rPr>
          <w:lang w:val="en-US"/>
        </w:rPr>
        <w:t xml:space="preserve"> </w:t>
      </w:r>
      <w:r w:rsidR="00253162" w:rsidRPr="00253162">
        <w:rPr>
          <w:lang w:val="en-US"/>
        </w:rPr>
        <w:t>practic</w:t>
      </w:r>
      <w:r w:rsidR="00823F92" w:rsidRPr="00253162">
        <w:rPr>
          <w:lang w:val="en-US"/>
        </w:rPr>
        <w:t>e</w:t>
      </w:r>
      <w:r w:rsidR="00823F92">
        <w:rPr>
          <w:lang w:val="en-US"/>
        </w:rPr>
        <w:t xml:space="preserve"> </w:t>
      </w:r>
      <w:r w:rsidR="00253162" w:rsidRPr="00253162">
        <w:rPr>
          <w:lang w:val="en-US"/>
        </w:rPr>
        <w:t>(</w:t>
      </w:r>
      <w:r w:rsidR="00823F92" w:rsidRPr="00253162">
        <w:rPr>
          <w:lang w:val="en-US"/>
        </w:rPr>
        <w:t>8</w:t>
      </w:r>
      <w:r w:rsidR="00823F92">
        <w:rPr>
          <w:lang w:val="en-US"/>
        </w:rPr>
        <w:t xml:space="preserve"> </w:t>
      </w:r>
      <w:r w:rsidR="00253162" w:rsidRPr="00253162">
        <w:rPr>
          <w:lang w:val="en-US"/>
        </w:rPr>
        <w:t>year</w:t>
      </w:r>
      <w:r w:rsidR="00823F92" w:rsidRPr="00253162">
        <w:rPr>
          <w:lang w:val="en-US"/>
        </w:rPr>
        <w:t>s</w:t>
      </w:r>
      <w:r w:rsidR="00823F92">
        <w:rPr>
          <w:lang w:val="en-US"/>
        </w:rPr>
        <w:t xml:space="preserve"> </w:t>
      </w:r>
      <w:r w:rsidR="00253162" w:rsidRPr="00253162">
        <w:rPr>
          <w:lang w:val="en-US"/>
        </w:rPr>
        <w:t>total)</w:t>
      </w:r>
      <w:r w:rsidR="00823F92" w:rsidRPr="00253162">
        <w:rPr>
          <w:lang w:val="en-US"/>
        </w:rPr>
        <w:t>.</w:t>
      </w:r>
      <w:r w:rsidR="00823F92">
        <w:rPr>
          <w:lang w:val="en-US"/>
        </w:rPr>
        <w:t xml:space="preserve"> </w:t>
      </w:r>
    </w:p>
    <w:p w14:paraId="4FD0F91E" w14:textId="31D83A26" w:rsidR="0051022C" w:rsidRPr="00342CC6" w:rsidRDefault="0051022C" w:rsidP="00253162">
      <w:pPr>
        <w:pStyle w:val="BodyText"/>
        <w:rPr>
          <w:lang w:val="en-US"/>
        </w:rPr>
      </w:pPr>
      <w:r w:rsidRPr="009245F1">
        <w:rPr>
          <w:lang w:val="en-US"/>
        </w:rPr>
        <w:t>Regulation:</w:t>
      </w:r>
      <w:r>
        <w:rPr>
          <w:b/>
          <w:bCs/>
          <w:lang w:val="en-US"/>
        </w:rPr>
        <w:t xml:space="preserve"> </w:t>
      </w:r>
      <w:r>
        <w:rPr>
          <w:lang w:val="en-US"/>
        </w:rPr>
        <w:t>Psychologist</w:t>
      </w:r>
      <w:r w:rsidR="00823F92">
        <w:rPr>
          <w:lang w:val="en-US"/>
        </w:rPr>
        <w:t xml:space="preserve">s </w:t>
      </w:r>
      <w:r>
        <w:rPr>
          <w:lang w:val="en-US"/>
        </w:rPr>
        <w:t>ar</w:t>
      </w:r>
      <w:r w:rsidR="00823F92">
        <w:rPr>
          <w:lang w:val="en-US"/>
        </w:rPr>
        <w:t xml:space="preserve">e </w:t>
      </w:r>
      <w:r>
        <w:rPr>
          <w:lang w:val="en-US"/>
        </w:rPr>
        <w:t>registere</w:t>
      </w:r>
      <w:r w:rsidR="00823F92">
        <w:rPr>
          <w:lang w:val="en-US"/>
        </w:rPr>
        <w:t xml:space="preserve">d </w:t>
      </w:r>
      <w:r>
        <w:rPr>
          <w:lang w:val="en-US"/>
        </w:rPr>
        <w:t>throug</w:t>
      </w:r>
      <w:r w:rsidR="00823F92">
        <w:rPr>
          <w:lang w:val="en-US"/>
        </w:rPr>
        <w:t xml:space="preserve">h </w:t>
      </w:r>
      <w:r>
        <w:rPr>
          <w:lang w:val="en-US"/>
        </w:rPr>
        <w:t>th</w:t>
      </w:r>
      <w:r w:rsidR="00823F92">
        <w:rPr>
          <w:lang w:val="en-US"/>
        </w:rPr>
        <w:t xml:space="preserve">e </w:t>
      </w:r>
      <w:r w:rsidRPr="0051022C">
        <w:rPr>
          <w:lang w:val="en-US"/>
        </w:rPr>
        <w:t>Psycholog</w:t>
      </w:r>
      <w:r w:rsidR="00823F92" w:rsidRPr="0051022C">
        <w:rPr>
          <w:lang w:val="en-US"/>
        </w:rPr>
        <w:t>y</w:t>
      </w:r>
      <w:r w:rsidR="00823F92">
        <w:rPr>
          <w:lang w:val="en-US"/>
        </w:rPr>
        <w:t xml:space="preserve"> </w:t>
      </w:r>
      <w:r w:rsidRPr="0051022C">
        <w:rPr>
          <w:lang w:val="en-US"/>
        </w:rPr>
        <w:t>Boar</w:t>
      </w:r>
      <w:r w:rsidR="00823F92" w:rsidRPr="0051022C">
        <w:rPr>
          <w:lang w:val="en-US"/>
        </w:rPr>
        <w:t>d</w:t>
      </w:r>
      <w:r w:rsidR="00823F92">
        <w:rPr>
          <w:lang w:val="en-US"/>
        </w:rPr>
        <w:t xml:space="preserve"> </w:t>
      </w:r>
      <w:r w:rsidRPr="0051022C">
        <w:rPr>
          <w:lang w:val="en-US"/>
        </w:rPr>
        <w:t>o</w:t>
      </w:r>
      <w:r w:rsidR="00823F92" w:rsidRPr="0051022C">
        <w:rPr>
          <w:lang w:val="en-US"/>
        </w:rPr>
        <w:t>f</w:t>
      </w:r>
      <w:r w:rsidR="00823F92">
        <w:rPr>
          <w:lang w:val="en-US"/>
        </w:rPr>
        <w:t xml:space="preserve"> </w:t>
      </w:r>
      <w:r w:rsidRPr="0051022C">
        <w:rPr>
          <w:lang w:val="en-US"/>
        </w:rPr>
        <w:t>Australia</w:t>
      </w:r>
      <w:r w:rsidR="00823F92">
        <w:rPr>
          <w:lang w:val="en-US"/>
        </w:rPr>
        <w:t xml:space="preserve">, </w:t>
      </w:r>
      <w:r>
        <w:rPr>
          <w:lang w:val="en-US"/>
        </w:rPr>
        <w:t>supporte</w:t>
      </w:r>
      <w:r w:rsidR="00823F92">
        <w:rPr>
          <w:lang w:val="en-US"/>
        </w:rPr>
        <w:t xml:space="preserve">d </w:t>
      </w:r>
      <w:r>
        <w:rPr>
          <w:lang w:val="en-US"/>
        </w:rPr>
        <w:t>b</w:t>
      </w:r>
      <w:r w:rsidR="00823F92">
        <w:rPr>
          <w:lang w:val="en-US"/>
        </w:rPr>
        <w:t xml:space="preserve">y </w:t>
      </w:r>
      <w:r>
        <w:rPr>
          <w:lang w:val="en-US"/>
        </w:rPr>
        <w:t>AHPRA</w:t>
      </w:r>
      <w:r w:rsidR="00823F92">
        <w:rPr>
          <w:lang w:val="en-US"/>
        </w:rPr>
        <w:t xml:space="preserve">. </w:t>
      </w:r>
    </w:p>
    <w:p w14:paraId="63A4E9C0" w14:textId="2484DC14" w:rsidR="00453F15" w:rsidRDefault="005137B8" w:rsidP="00253162">
      <w:pPr>
        <w:pStyle w:val="BodyText"/>
        <w:rPr>
          <w:lang w:val="en-US"/>
        </w:rPr>
      </w:pPr>
      <w:r w:rsidRPr="009245F1">
        <w:rPr>
          <w:lang w:val="en-US"/>
        </w:rPr>
        <w:t>Supply:</w:t>
      </w:r>
      <w:r>
        <w:rPr>
          <w:b/>
          <w:bCs/>
          <w:lang w:val="en-US"/>
        </w:rPr>
        <w:t xml:space="preserve"> </w:t>
      </w:r>
      <w:r w:rsidR="00A73CD2" w:rsidRPr="008C3DC4">
        <w:rPr>
          <w:lang w:val="en-US"/>
        </w:rPr>
        <w:t>I</w:t>
      </w:r>
      <w:r w:rsidR="00823F92" w:rsidRPr="008C3DC4">
        <w:rPr>
          <w:lang w:val="en-US"/>
        </w:rPr>
        <w:t>n</w:t>
      </w:r>
      <w:r w:rsidR="00823F92">
        <w:rPr>
          <w:lang w:val="en-US"/>
        </w:rPr>
        <w:t xml:space="preserve"> </w:t>
      </w:r>
      <w:r w:rsidR="00A73CD2" w:rsidRPr="008C3DC4">
        <w:rPr>
          <w:lang w:val="en-US"/>
        </w:rPr>
        <w:t>term</w:t>
      </w:r>
      <w:r w:rsidR="00823F92" w:rsidRPr="008C3DC4">
        <w:rPr>
          <w:lang w:val="en-US"/>
        </w:rPr>
        <w:t>s</w:t>
      </w:r>
      <w:r w:rsidR="00823F92">
        <w:rPr>
          <w:lang w:val="en-US"/>
        </w:rPr>
        <w:t xml:space="preserve"> </w:t>
      </w:r>
      <w:r w:rsidR="00A73CD2" w:rsidRPr="008C3DC4">
        <w:rPr>
          <w:lang w:val="en-US"/>
        </w:rPr>
        <w:t>o</w:t>
      </w:r>
      <w:r w:rsidR="00823F92" w:rsidRPr="008C3DC4">
        <w:rPr>
          <w:lang w:val="en-US"/>
        </w:rPr>
        <w:t>f</w:t>
      </w:r>
      <w:r w:rsidR="00823F92">
        <w:rPr>
          <w:lang w:val="en-US"/>
        </w:rPr>
        <w:t xml:space="preserve"> </w:t>
      </w:r>
      <w:r w:rsidR="00A73CD2" w:rsidRPr="008C3DC4">
        <w:rPr>
          <w:lang w:val="en-US"/>
        </w:rPr>
        <w:t>absolut</w:t>
      </w:r>
      <w:r w:rsidR="00823F92" w:rsidRPr="008C3DC4">
        <w:rPr>
          <w:lang w:val="en-US"/>
        </w:rPr>
        <w:t>e</w:t>
      </w:r>
      <w:r w:rsidR="00823F92">
        <w:rPr>
          <w:lang w:val="en-US"/>
        </w:rPr>
        <w:t xml:space="preserve"> </w:t>
      </w:r>
      <w:r w:rsidR="00A73CD2" w:rsidRPr="008C3DC4">
        <w:rPr>
          <w:lang w:val="en-US"/>
        </w:rPr>
        <w:t>workforc</w:t>
      </w:r>
      <w:r w:rsidR="00823F92" w:rsidRPr="008C3DC4">
        <w:rPr>
          <w:lang w:val="en-US"/>
        </w:rPr>
        <w:t>e</w:t>
      </w:r>
      <w:r w:rsidR="00823F92">
        <w:rPr>
          <w:lang w:val="en-US"/>
        </w:rPr>
        <w:t xml:space="preserve"> </w:t>
      </w:r>
      <w:r w:rsidR="00A73CD2" w:rsidRPr="008C3DC4">
        <w:rPr>
          <w:lang w:val="en-US"/>
        </w:rPr>
        <w:t>gaps</w:t>
      </w:r>
      <w:r w:rsidR="00823F92" w:rsidRPr="008C3DC4">
        <w:rPr>
          <w:lang w:val="en-US"/>
        </w:rPr>
        <w:t>,</w:t>
      </w:r>
      <w:r w:rsidR="00823F92">
        <w:rPr>
          <w:lang w:val="en-US"/>
        </w:rPr>
        <w:t xml:space="preserve"> </w:t>
      </w:r>
      <w:r w:rsidR="00A73CD2" w:rsidRPr="008C3DC4">
        <w:rPr>
          <w:lang w:val="en-US"/>
        </w:rPr>
        <w:t>th</w:t>
      </w:r>
      <w:r w:rsidR="00823F92" w:rsidRPr="008C3DC4">
        <w:rPr>
          <w:lang w:val="en-US"/>
        </w:rPr>
        <w:t>e</w:t>
      </w:r>
      <w:r w:rsidR="00823F92">
        <w:rPr>
          <w:lang w:val="en-US"/>
        </w:rPr>
        <w:t xml:space="preserve"> </w:t>
      </w:r>
      <w:r w:rsidR="00A73CD2" w:rsidRPr="008C3DC4">
        <w:rPr>
          <w:lang w:val="en-US"/>
        </w:rPr>
        <w:t>larges</w:t>
      </w:r>
      <w:r w:rsidR="00823F92" w:rsidRPr="008C3DC4">
        <w:rPr>
          <w:lang w:val="en-US"/>
        </w:rPr>
        <w:t>t</w:t>
      </w:r>
      <w:r w:rsidR="00823F92">
        <w:rPr>
          <w:lang w:val="en-US"/>
        </w:rPr>
        <w:t xml:space="preserve"> </w:t>
      </w:r>
      <w:r w:rsidR="00A73CD2" w:rsidRPr="008C3DC4">
        <w:rPr>
          <w:lang w:val="en-US"/>
        </w:rPr>
        <w:t>shortfal</w:t>
      </w:r>
      <w:r w:rsidR="00823F92" w:rsidRPr="008C3DC4">
        <w:rPr>
          <w:lang w:val="en-US"/>
        </w:rPr>
        <w:t>l</w:t>
      </w:r>
      <w:r w:rsidR="00823F92">
        <w:rPr>
          <w:lang w:val="en-US"/>
        </w:rPr>
        <w:t xml:space="preserve"> </w:t>
      </w:r>
      <w:r w:rsidR="00633841" w:rsidRPr="00633841">
        <w:rPr>
          <w:lang w:val="en-US"/>
        </w:rPr>
        <w:t>compare</w:t>
      </w:r>
      <w:r w:rsidR="00823F92" w:rsidRPr="00633841">
        <w:rPr>
          <w:lang w:val="en-US"/>
        </w:rPr>
        <w:t>d</w:t>
      </w:r>
      <w:r w:rsidR="00823F92">
        <w:rPr>
          <w:lang w:val="en-US"/>
        </w:rPr>
        <w:t xml:space="preserve"> </w:t>
      </w:r>
      <w:r w:rsidR="00633841" w:rsidRPr="00633841">
        <w:rPr>
          <w:lang w:val="en-US"/>
        </w:rPr>
        <w:t>t</w:t>
      </w:r>
      <w:r w:rsidR="00823F92" w:rsidRPr="00633841">
        <w:rPr>
          <w:lang w:val="en-US"/>
        </w:rPr>
        <w:t>o</w:t>
      </w:r>
      <w:r w:rsidR="00823F92">
        <w:rPr>
          <w:lang w:val="en-US"/>
        </w:rPr>
        <w:t xml:space="preserve"> </w:t>
      </w:r>
      <w:r w:rsidR="00633841" w:rsidRPr="00633841">
        <w:rPr>
          <w:lang w:val="en-US"/>
        </w:rPr>
        <w:t>th</w:t>
      </w:r>
      <w:r w:rsidR="00823F92" w:rsidRPr="00633841">
        <w:rPr>
          <w:lang w:val="en-US"/>
        </w:rPr>
        <w:t>e</w:t>
      </w:r>
      <w:r w:rsidR="00823F92">
        <w:rPr>
          <w:lang w:val="en-US"/>
        </w:rPr>
        <w:t xml:space="preserve"> </w:t>
      </w:r>
      <w:r w:rsidR="00633841" w:rsidRPr="00633841">
        <w:rPr>
          <w:lang w:val="en-US"/>
        </w:rPr>
        <w:t>NMHSP</w:t>
      </w:r>
      <w:r w:rsidR="00823F92" w:rsidRPr="00633841">
        <w:rPr>
          <w:lang w:val="en-US"/>
        </w:rPr>
        <w:t>F</w:t>
      </w:r>
      <w:r w:rsidR="00823F92">
        <w:rPr>
          <w:lang w:val="en-US"/>
        </w:rPr>
        <w:t xml:space="preserve"> </w:t>
      </w:r>
      <w:r w:rsidR="00633841" w:rsidRPr="00633841">
        <w:rPr>
          <w:lang w:val="en-US"/>
        </w:rPr>
        <w:t>workforc</w:t>
      </w:r>
      <w:r w:rsidR="00823F92" w:rsidRPr="00633841">
        <w:rPr>
          <w:lang w:val="en-US"/>
        </w:rPr>
        <w:t>e</w:t>
      </w:r>
      <w:r w:rsidR="00823F92">
        <w:rPr>
          <w:lang w:val="en-US"/>
        </w:rPr>
        <w:t xml:space="preserve"> </w:t>
      </w:r>
      <w:r w:rsidR="00633841" w:rsidRPr="00633841">
        <w:rPr>
          <w:lang w:val="en-US"/>
        </w:rPr>
        <w:t>target</w:t>
      </w:r>
      <w:r w:rsidR="00823F92" w:rsidRPr="00633841">
        <w:rPr>
          <w:lang w:val="en-US"/>
        </w:rPr>
        <w:t>s</w:t>
      </w:r>
      <w:r w:rsidR="00823F92">
        <w:rPr>
          <w:lang w:val="en-US"/>
        </w:rPr>
        <w:t xml:space="preserve"> </w:t>
      </w:r>
      <w:r w:rsidR="00A73CD2" w:rsidRPr="008C3DC4">
        <w:rPr>
          <w:lang w:val="en-US"/>
        </w:rPr>
        <w:t>i</w:t>
      </w:r>
      <w:r w:rsidR="00823F92" w:rsidRPr="008C3DC4">
        <w:rPr>
          <w:lang w:val="en-US"/>
        </w:rPr>
        <w:t>s</w:t>
      </w:r>
      <w:r w:rsidR="00823F92">
        <w:rPr>
          <w:lang w:val="en-US"/>
        </w:rPr>
        <w:t xml:space="preserve"> </w:t>
      </w:r>
      <w:r w:rsidR="00A73CD2" w:rsidRPr="008C3DC4">
        <w:rPr>
          <w:lang w:val="en-US"/>
        </w:rPr>
        <w:t>fo</w:t>
      </w:r>
      <w:r w:rsidR="00823F92" w:rsidRPr="008C3DC4">
        <w:rPr>
          <w:lang w:val="en-US"/>
        </w:rPr>
        <w:t>r</w:t>
      </w:r>
      <w:r w:rsidR="00823F92">
        <w:rPr>
          <w:lang w:val="en-US"/>
        </w:rPr>
        <w:t xml:space="preserve"> </w:t>
      </w:r>
      <w:r w:rsidR="00A73CD2" w:rsidRPr="008C3DC4">
        <w:rPr>
          <w:lang w:val="en-US"/>
        </w:rPr>
        <w:t>psychologist</w:t>
      </w:r>
      <w:r w:rsidR="00823F92" w:rsidRPr="008C3DC4">
        <w:rPr>
          <w:lang w:val="en-US"/>
        </w:rPr>
        <w:t>s</w:t>
      </w:r>
      <w:r w:rsidR="00823F92">
        <w:rPr>
          <w:lang w:val="en-US"/>
        </w:rPr>
        <w:t xml:space="preserve"> </w:t>
      </w:r>
      <w:r w:rsidR="00A73CD2" w:rsidRPr="008C3DC4">
        <w:rPr>
          <w:lang w:val="en-US"/>
        </w:rPr>
        <w:t>(7,78</w:t>
      </w:r>
      <w:r w:rsidR="00823F92" w:rsidRPr="008C3DC4">
        <w:rPr>
          <w:lang w:val="en-US"/>
        </w:rPr>
        <w:t>7</w:t>
      </w:r>
      <w:r w:rsidR="00823F92">
        <w:rPr>
          <w:lang w:val="en-US"/>
        </w:rPr>
        <w:t xml:space="preserve"> </w:t>
      </w:r>
      <w:r w:rsidR="00A73CD2" w:rsidRPr="008C3DC4">
        <w:rPr>
          <w:lang w:val="en-US"/>
        </w:rPr>
        <w:t>FT</w:t>
      </w:r>
      <w:r w:rsidR="00823F92" w:rsidRPr="008C3DC4">
        <w:rPr>
          <w:lang w:val="en-US"/>
        </w:rPr>
        <w:t>E</w:t>
      </w:r>
      <w:r w:rsidR="00823F92">
        <w:rPr>
          <w:lang w:val="en-US"/>
        </w:rPr>
        <w:t xml:space="preserve"> </w:t>
      </w:r>
      <w:r w:rsidR="00A73CD2" w:rsidRPr="008C3DC4">
        <w:rPr>
          <w:lang w:val="en-US"/>
        </w:rPr>
        <w:t>gap)</w:t>
      </w:r>
      <w:r w:rsidR="00823F92" w:rsidRPr="008C3DC4">
        <w:rPr>
          <w:lang w:val="en-US"/>
        </w:rPr>
        <w:t>.</w:t>
      </w:r>
      <w:r w:rsidR="00823F92">
        <w:rPr>
          <w:lang w:val="en-US"/>
        </w:rPr>
        <w:t xml:space="preserve"> </w:t>
      </w:r>
      <w:r w:rsidR="00D078F2">
        <w:rPr>
          <w:lang w:val="en-US"/>
        </w:rPr>
        <w:t>Th</w:t>
      </w:r>
      <w:r w:rsidR="00823F92">
        <w:rPr>
          <w:lang w:val="en-US"/>
        </w:rPr>
        <w:t xml:space="preserve">e </w:t>
      </w:r>
      <w:r w:rsidR="00D078F2">
        <w:rPr>
          <w:lang w:val="en-US"/>
        </w:rPr>
        <w:t>curren</w:t>
      </w:r>
      <w:r w:rsidR="00823F92">
        <w:rPr>
          <w:lang w:val="en-US"/>
        </w:rPr>
        <w:t xml:space="preserve">t </w:t>
      </w:r>
      <w:r w:rsidR="00D078F2">
        <w:rPr>
          <w:lang w:val="en-US"/>
        </w:rPr>
        <w:t>estimate</w:t>
      </w:r>
      <w:r w:rsidR="00823F92">
        <w:rPr>
          <w:lang w:val="en-US"/>
        </w:rPr>
        <w:t xml:space="preserve">d </w:t>
      </w:r>
      <w:r w:rsidR="00D078F2">
        <w:rPr>
          <w:lang w:val="en-US"/>
        </w:rPr>
        <w:t>suppl</w:t>
      </w:r>
      <w:r w:rsidR="00823F92">
        <w:rPr>
          <w:lang w:val="en-US"/>
        </w:rPr>
        <w:t xml:space="preserve">y </w:t>
      </w:r>
      <w:r w:rsidR="00D078F2">
        <w:rPr>
          <w:lang w:val="en-US"/>
        </w:rPr>
        <w:t>o</w:t>
      </w:r>
      <w:r w:rsidR="00823F92">
        <w:rPr>
          <w:lang w:val="en-US"/>
        </w:rPr>
        <w:t xml:space="preserve">f </w:t>
      </w:r>
      <w:r w:rsidR="00C72531" w:rsidRPr="00525BD7">
        <w:rPr>
          <w:lang w:val="en-US"/>
        </w:rPr>
        <w:t>psychologist</w:t>
      </w:r>
      <w:r w:rsidR="00823F92" w:rsidRPr="00525BD7">
        <w:rPr>
          <w:lang w:val="en-US"/>
        </w:rPr>
        <w:t>s</w:t>
      </w:r>
      <w:r w:rsidR="00823F92">
        <w:rPr>
          <w:lang w:val="en-US"/>
        </w:rPr>
        <w:t xml:space="preserve"> </w:t>
      </w:r>
      <w:r w:rsidR="00D93005">
        <w:rPr>
          <w:lang w:val="en-US"/>
        </w:rPr>
        <w:t>i</w:t>
      </w:r>
      <w:r w:rsidR="00823F92">
        <w:rPr>
          <w:lang w:val="en-US"/>
        </w:rPr>
        <w:t xml:space="preserve">s </w:t>
      </w:r>
      <w:r w:rsidR="00D078F2" w:rsidRPr="00D078F2">
        <w:rPr>
          <w:lang w:val="en-US"/>
        </w:rPr>
        <w:t>4,22</w:t>
      </w:r>
      <w:r w:rsidR="00823F92" w:rsidRPr="00D078F2">
        <w:rPr>
          <w:lang w:val="en-US"/>
        </w:rPr>
        <w:t>7</w:t>
      </w:r>
      <w:r w:rsidR="00823F92">
        <w:rPr>
          <w:lang w:val="en-US"/>
        </w:rPr>
        <w:t xml:space="preserve"> </w:t>
      </w:r>
      <w:r w:rsidR="00D078F2" w:rsidRPr="00D078F2">
        <w:rPr>
          <w:lang w:val="en-US"/>
        </w:rPr>
        <w:t>FTE</w:t>
      </w:r>
      <w:r w:rsidR="00823F92">
        <w:rPr>
          <w:lang w:val="en-US"/>
        </w:rPr>
        <w:t xml:space="preserve">, </w:t>
      </w:r>
      <w:r w:rsidR="00525BD7">
        <w:rPr>
          <w:lang w:val="en-US"/>
        </w:rPr>
        <w:t>reach</w:t>
      </w:r>
      <w:r w:rsidR="00D078F2">
        <w:rPr>
          <w:lang w:val="en-US"/>
        </w:rPr>
        <w:t>in</w:t>
      </w:r>
      <w:r w:rsidR="00823F92">
        <w:rPr>
          <w:lang w:val="en-US"/>
        </w:rPr>
        <w:t xml:space="preserve">g </w:t>
      </w:r>
      <w:r w:rsidR="00525BD7">
        <w:rPr>
          <w:lang w:val="en-US"/>
        </w:rPr>
        <w:t>onl</w:t>
      </w:r>
      <w:r w:rsidR="00823F92">
        <w:rPr>
          <w:lang w:val="en-US"/>
        </w:rPr>
        <w:t xml:space="preserve">y </w:t>
      </w:r>
      <w:r w:rsidR="00C72531" w:rsidRPr="00525BD7">
        <w:rPr>
          <w:lang w:val="en-US"/>
        </w:rPr>
        <w:t>35% o</w:t>
      </w:r>
      <w:r w:rsidR="00823F92" w:rsidRPr="00525BD7">
        <w:rPr>
          <w:lang w:val="en-US"/>
        </w:rPr>
        <w:t>f</w:t>
      </w:r>
      <w:r w:rsidR="00823F92">
        <w:rPr>
          <w:lang w:val="en-US"/>
        </w:rPr>
        <w:t xml:space="preserve"> </w:t>
      </w:r>
      <w:r w:rsidR="00C72531" w:rsidRPr="00525BD7">
        <w:rPr>
          <w:lang w:val="en-US"/>
        </w:rPr>
        <w:t>th</w:t>
      </w:r>
      <w:r w:rsidR="00823F92" w:rsidRPr="00525BD7">
        <w:rPr>
          <w:lang w:val="en-US"/>
        </w:rPr>
        <w:t>e</w:t>
      </w:r>
      <w:r w:rsidR="00823F92">
        <w:rPr>
          <w:lang w:val="en-US"/>
        </w:rPr>
        <w:t xml:space="preserve"> </w:t>
      </w:r>
      <w:r w:rsidR="00C72531" w:rsidRPr="00525BD7">
        <w:rPr>
          <w:lang w:val="en-US"/>
        </w:rPr>
        <w:t>NMHSP</w:t>
      </w:r>
      <w:r w:rsidR="00823F92" w:rsidRPr="00525BD7">
        <w:rPr>
          <w:lang w:val="en-US"/>
        </w:rPr>
        <w:t>F</w:t>
      </w:r>
      <w:r w:rsidR="00823F92">
        <w:rPr>
          <w:lang w:val="en-US"/>
        </w:rPr>
        <w:t xml:space="preserve"> </w:t>
      </w:r>
      <w:r w:rsidR="00C72531" w:rsidRPr="00525BD7">
        <w:rPr>
          <w:lang w:val="en-US"/>
        </w:rPr>
        <w:t>target</w:t>
      </w:r>
      <w:r w:rsidR="00823F92">
        <w:rPr>
          <w:lang w:val="en-US"/>
        </w:rPr>
        <w:t xml:space="preserve">. </w:t>
      </w:r>
      <w:r w:rsidR="00453F15" w:rsidRPr="008C3DC4">
        <w:rPr>
          <w:lang w:val="en-US"/>
        </w:rPr>
        <w:t>Th</w:t>
      </w:r>
      <w:r w:rsidR="00823F92">
        <w:rPr>
          <w:lang w:val="en-US"/>
        </w:rPr>
        <w:t xml:space="preserve">e </w:t>
      </w:r>
      <w:r w:rsidR="006C0D70">
        <w:rPr>
          <w:lang w:val="en-US"/>
        </w:rPr>
        <w:t>under</w:t>
      </w:r>
      <w:r w:rsidR="00453F15" w:rsidRPr="006C0D70">
        <w:rPr>
          <w:lang w:val="en-US"/>
        </w:rPr>
        <w:t>suppl</w:t>
      </w:r>
      <w:r w:rsidR="00823F92" w:rsidRPr="006C0D70">
        <w:rPr>
          <w:lang w:val="en-US"/>
        </w:rPr>
        <w:t>y</w:t>
      </w:r>
      <w:r w:rsidR="00823F92">
        <w:rPr>
          <w:lang w:val="en-US"/>
        </w:rPr>
        <w:t xml:space="preserve"> </w:t>
      </w:r>
      <w:r w:rsidR="00453F15" w:rsidRPr="006C0D70">
        <w:rPr>
          <w:lang w:val="en-US"/>
        </w:rPr>
        <w:t>i</w:t>
      </w:r>
      <w:r w:rsidR="00823F92" w:rsidRPr="006C0D70">
        <w:rPr>
          <w:lang w:val="en-US"/>
        </w:rPr>
        <w:t>s</w:t>
      </w:r>
      <w:r w:rsidR="00823F92">
        <w:rPr>
          <w:lang w:val="en-US"/>
        </w:rPr>
        <w:t xml:space="preserve"> </w:t>
      </w:r>
      <w:r w:rsidR="006C0D70" w:rsidRPr="006C0D70">
        <w:rPr>
          <w:lang w:val="en-US"/>
        </w:rPr>
        <w:t>acros</w:t>
      </w:r>
      <w:r w:rsidR="00823F92" w:rsidRPr="006C0D70">
        <w:rPr>
          <w:lang w:val="en-US"/>
        </w:rPr>
        <w:t>s</w:t>
      </w:r>
      <w:r w:rsidR="00823F92">
        <w:rPr>
          <w:lang w:val="en-US"/>
        </w:rPr>
        <w:t xml:space="preserve"> </w:t>
      </w:r>
      <w:r w:rsidR="006C0D70" w:rsidRPr="006C0D70">
        <w:rPr>
          <w:lang w:val="en-US"/>
        </w:rPr>
        <w:t>al</w:t>
      </w:r>
      <w:r w:rsidR="00823F92" w:rsidRPr="006C0D70">
        <w:rPr>
          <w:lang w:val="en-US"/>
        </w:rPr>
        <w:t>l</w:t>
      </w:r>
      <w:r w:rsidR="00823F92">
        <w:rPr>
          <w:lang w:val="en-US"/>
        </w:rPr>
        <w:t xml:space="preserve"> </w:t>
      </w:r>
      <w:r w:rsidR="006C0D70" w:rsidRPr="006C0D70">
        <w:rPr>
          <w:lang w:val="en-US"/>
        </w:rPr>
        <w:t>MM</w:t>
      </w:r>
      <w:r w:rsidR="00823F92" w:rsidRPr="006C0D70">
        <w:rPr>
          <w:lang w:val="en-US"/>
        </w:rPr>
        <w:t>M</w:t>
      </w:r>
      <w:r w:rsidR="00823F92">
        <w:rPr>
          <w:lang w:val="en-US"/>
        </w:rPr>
        <w:t xml:space="preserve"> </w:t>
      </w:r>
      <w:r w:rsidR="006C0D70" w:rsidRPr="006C0D70">
        <w:rPr>
          <w:lang w:val="en-US"/>
        </w:rPr>
        <w:t>regions</w:t>
      </w:r>
      <w:r w:rsidR="00823F92" w:rsidRPr="006C0D70">
        <w:rPr>
          <w:lang w:val="en-US"/>
        </w:rPr>
        <w:t>,</w:t>
      </w:r>
      <w:r w:rsidR="00823F92">
        <w:rPr>
          <w:lang w:val="en-US"/>
        </w:rPr>
        <w:t xml:space="preserve"> </w:t>
      </w:r>
      <w:r w:rsidR="006C0D70" w:rsidRPr="006C0D70">
        <w:rPr>
          <w:lang w:val="en-US"/>
        </w:rPr>
        <w:t>wit</w:t>
      </w:r>
      <w:r w:rsidR="00823F92" w:rsidRPr="006C0D70">
        <w:rPr>
          <w:lang w:val="en-US"/>
        </w:rPr>
        <w:t>h</w:t>
      </w:r>
      <w:r w:rsidR="00823F92">
        <w:rPr>
          <w:lang w:val="en-US"/>
        </w:rPr>
        <w:t xml:space="preserve"> </w:t>
      </w:r>
      <w:r w:rsidR="006C0D70" w:rsidRPr="006C0D70">
        <w:rPr>
          <w:lang w:val="en-US"/>
        </w:rPr>
        <w:t>deficit</w:t>
      </w:r>
      <w:r w:rsidR="00823F92" w:rsidRPr="006C0D70">
        <w:rPr>
          <w:lang w:val="en-US"/>
        </w:rPr>
        <w:t>s</w:t>
      </w:r>
      <w:r w:rsidR="00823F92">
        <w:rPr>
          <w:lang w:val="en-US"/>
        </w:rPr>
        <w:t xml:space="preserve"> </w:t>
      </w:r>
      <w:r w:rsidR="006C0D70" w:rsidRPr="006C0D70">
        <w:rPr>
          <w:lang w:val="en-US"/>
        </w:rPr>
        <w:t>mor</w:t>
      </w:r>
      <w:r w:rsidR="00823F92" w:rsidRPr="006C0D70">
        <w:rPr>
          <w:lang w:val="en-US"/>
        </w:rPr>
        <w:t>e</w:t>
      </w:r>
      <w:r w:rsidR="00823F92">
        <w:rPr>
          <w:lang w:val="en-US"/>
        </w:rPr>
        <w:t xml:space="preserve"> </w:t>
      </w:r>
      <w:r w:rsidR="006C0D70" w:rsidRPr="006C0D70">
        <w:rPr>
          <w:lang w:val="en-US"/>
        </w:rPr>
        <w:t>pronounce</w:t>
      </w:r>
      <w:r w:rsidR="00823F92" w:rsidRPr="006C0D70">
        <w:rPr>
          <w:lang w:val="en-US"/>
        </w:rPr>
        <w:t>d</w:t>
      </w:r>
      <w:r w:rsidR="00823F92">
        <w:rPr>
          <w:lang w:val="en-US"/>
        </w:rPr>
        <w:t xml:space="preserve"> </w:t>
      </w:r>
      <w:r w:rsidR="006C0D70" w:rsidRPr="006C0D70">
        <w:rPr>
          <w:lang w:val="en-US"/>
        </w:rPr>
        <w:t>i</w:t>
      </w:r>
      <w:r w:rsidR="00823F92" w:rsidRPr="006C0D70">
        <w:rPr>
          <w:lang w:val="en-US"/>
        </w:rPr>
        <w:t>n</w:t>
      </w:r>
      <w:r w:rsidR="00823F92">
        <w:rPr>
          <w:lang w:val="en-US"/>
        </w:rPr>
        <w:t xml:space="preserve"> </w:t>
      </w:r>
      <w:r w:rsidR="006C0D70" w:rsidRPr="006C0D70">
        <w:rPr>
          <w:lang w:val="en-US"/>
        </w:rPr>
        <w:t>rura</w:t>
      </w:r>
      <w:r w:rsidR="00823F92" w:rsidRPr="006C0D70">
        <w:rPr>
          <w:lang w:val="en-US"/>
        </w:rPr>
        <w:t>l</w:t>
      </w:r>
      <w:r w:rsidR="00823F92">
        <w:rPr>
          <w:lang w:val="en-US"/>
        </w:rPr>
        <w:t xml:space="preserve"> </w:t>
      </w:r>
      <w:r w:rsidR="006C0D70" w:rsidRPr="006C0D70">
        <w:rPr>
          <w:lang w:val="en-US"/>
        </w:rPr>
        <w:t>region</w:t>
      </w:r>
      <w:r w:rsidR="00823F92" w:rsidRPr="006C0D70">
        <w:rPr>
          <w:lang w:val="en-US"/>
        </w:rPr>
        <w:t>s</w:t>
      </w:r>
      <w:r w:rsidR="00823F92">
        <w:rPr>
          <w:lang w:val="en-US"/>
        </w:rPr>
        <w:t xml:space="preserve"> </w:t>
      </w:r>
      <w:r w:rsidR="006C0D70" w:rsidRPr="006C0D70">
        <w:rPr>
          <w:lang w:val="en-US"/>
        </w:rPr>
        <w:t>(MMM6-7)</w:t>
      </w:r>
      <w:r w:rsidR="00823F92" w:rsidRPr="006C0D70">
        <w:rPr>
          <w:lang w:val="en-US"/>
        </w:rPr>
        <w:t>.</w:t>
      </w:r>
      <w:r w:rsidR="00823F92">
        <w:rPr>
          <w:lang w:val="en-US"/>
        </w:rPr>
        <w:t xml:space="preserve"> </w:t>
      </w:r>
    </w:p>
    <w:p w14:paraId="2D2AE2A9" w14:textId="4ED84236" w:rsidR="006F1758" w:rsidRDefault="006F1758" w:rsidP="006F1758">
      <w:pPr>
        <w:pStyle w:val="Heading3"/>
      </w:pPr>
      <w:r>
        <w:t>Psychosocia</w:t>
      </w:r>
      <w:r w:rsidR="00823F92">
        <w:t xml:space="preserve">l </w:t>
      </w:r>
      <w:r>
        <w:t>suppor</w:t>
      </w:r>
      <w:r w:rsidR="00823F92">
        <w:t xml:space="preserve">t </w:t>
      </w:r>
      <w:r>
        <w:t>workers</w:t>
      </w:r>
    </w:p>
    <w:p w14:paraId="61462F41" w14:textId="14A5E4E7" w:rsidR="006F1758" w:rsidRDefault="006F1758" w:rsidP="006F1758">
      <w:pPr>
        <w:pStyle w:val="BodyText"/>
        <w:rPr>
          <w:lang w:val="en-US"/>
        </w:rPr>
      </w:pPr>
      <w:r w:rsidRPr="009245F1">
        <w:rPr>
          <w:lang w:val="en-US"/>
        </w:rPr>
        <w:t>Role:</w:t>
      </w:r>
      <w:r>
        <w:rPr>
          <w:b/>
          <w:bCs/>
          <w:lang w:val="en-US"/>
        </w:rPr>
        <w:t xml:space="preserve"> </w:t>
      </w:r>
      <w:r w:rsidR="0051022C" w:rsidRPr="0051022C">
        <w:rPr>
          <w:lang w:val="en-US"/>
        </w:rPr>
        <w:t>Psychosocia</w:t>
      </w:r>
      <w:r w:rsidR="00823F92" w:rsidRPr="0051022C">
        <w:rPr>
          <w:lang w:val="en-US"/>
        </w:rPr>
        <w:t>l</w:t>
      </w:r>
      <w:r w:rsidR="00823F92">
        <w:rPr>
          <w:lang w:val="en-US"/>
        </w:rPr>
        <w:t xml:space="preserve"> </w:t>
      </w:r>
      <w:r w:rsidR="0051022C" w:rsidRPr="0051022C">
        <w:rPr>
          <w:lang w:val="en-US"/>
        </w:rPr>
        <w:t>suppor</w:t>
      </w:r>
      <w:r w:rsidR="00823F92" w:rsidRPr="0051022C">
        <w:rPr>
          <w:lang w:val="en-US"/>
        </w:rPr>
        <w:t>t</w:t>
      </w:r>
      <w:r w:rsidR="00823F92">
        <w:rPr>
          <w:lang w:val="en-US"/>
        </w:rPr>
        <w:t xml:space="preserve"> </w:t>
      </w:r>
      <w:r w:rsidR="0051022C" w:rsidRPr="0051022C">
        <w:rPr>
          <w:lang w:val="en-US"/>
        </w:rPr>
        <w:t>worker</w:t>
      </w:r>
      <w:r w:rsidR="00823F92" w:rsidRPr="0051022C">
        <w:rPr>
          <w:lang w:val="en-US"/>
        </w:rPr>
        <w:t>s</w:t>
      </w:r>
      <w:r w:rsidR="00823F92">
        <w:rPr>
          <w:lang w:val="en-US"/>
        </w:rPr>
        <w:t xml:space="preserve"> </w:t>
      </w:r>
      <w:r w:rsidRPr="006C4490">
        <w:rPr>
          <w:lang w:val="en-US"/>
        </w:rPr>
        <w:t>delive</w:t>
      </w:r>
      <w:r w:rsidR="00823F92" w:rsidRPr="006C4490">
        <w:rPr>
          <w:lang w:val="en-US"/>
        </w:rPr>
        <w:t>r</w:t>
      </w:r>
      <w:r w:rsidR="00823F92">
        <w:rPr>
          <w:lang w:val="en-US"/>
        </w:rPr>
        <w:t xml:space="preserve"> </w:t>
      </w:r>
      <w:r w:rsidR="00823F92" w:rsidRPr="006C4490">
        <w:rPr>
          <w:lang w:val="en-US"/>
        </w:rPr>
        <w:t>a</w:t>
      </w:r>
      <w:r w:rsidR="00823F92">
        <w:rPr>
          <w:lang w:val="en-US"/>
        </w:rPr>
        <w:t xml:space="preserve"> </w:t>
      </w:r>
      <w:r w:rsidRPr="006C4490">
        <w:rPr>
          <w:lang w:val="en-US"/>
        </w:rPr>
        <w:t>rang</w:t>
      </w:r>
      <w:r w:rsidR="00823F92" w:rsidRPr="006C4490">
        <w:rPr>
          <w:lang w:val="en-US"/>
        </w:rPr>
        <w:t>e</w:t>
      </w:r>
      <w:r w:rsidR="00823F92">
        <w:rPr>
          <w:lang w:val="en-US"/>
        </w:rPr>
        <w:t xml:space="preserve"> </w:t>
      </w:r>
      <w:r w:rsidRPr="006C4490">
        <w:rPr>
          <w:lang w:val="en-US"/>
        </w:rPr>
        <w:t>o</w:t>
      </w:r>
      <w:r w:rsidR="00823F92" w:rsidRPr="006C4490">
        <w:rPr>
          <w:lang w:val="en-US"/>
        </w:rPr>
        <w:t>f</w:t>
      </w:r>
      <w:r w:rsidR="00823F92">
        <w:rPr>
          <w:lang w:val="en-US"/>
        </w:rPr>
        <w:t xml:space="preserve"> </w:t>
      </w:r>
      <w:r w:rsidRPr="006C4490">
        <w:rPr>
          <w:lang w:val="en-US"/>
        </w:rPr>
        <w:t>psychosocia</w:t>
      </w:r>
      <w:r w:rsidR="00823F92" w:rsidRPr="006C4490">
        <w:rPr>
          <w:lang w:val="en-US"/>
        </w:rPr>
        <w:t>l</w:t>
      </w:r>
      <w:r w:rsidR="00823F92">
        <w:rPr>
          <w:lang w:val="en-US"/>
        </w:rPr>
        <w:t xml:space="preserve"> </w:t>
      </w:r>
      <w:r w:rsidRPr="006C4490">
        <w:rPr>
          <w:lang w:val="en-US"/>
        </w:rPr>
        <w:t>suppor</w:t>
      </w:r>
      <w:r w:rsidR="00823F92" w:rsidRPr="006C4490">
        <w:rPr>
          <w:lang w:val="en-US"/>
        </w:rPr>
        <w:t>t</w:t>
      </w:r>
      <w:r w:rsidR="00823F92">
        <w:rPr>
          <w:lang w:val="en-US"/>
        </w:rPr>
        <w:t xml:space="preserve"> </w:t>
      </w:r>
      <w:r w:rsidRPr="006C4490">
        <w:rPr>
          <w:lang w:val="en-US"/>
        </w:rPr>
        <w:t>service</w:t>
      </w:r>
      <w:r w:rsidR="00823F92" w:rsidRPr="006C4490">
        <w:rPr>
          <w:lang w:val="en-US"/>
        </w:rPr>
        <w:t>s</w:t>
      </w:r>
      <w:r w:rsidR="00823F92">
        <w:rPr>
          <w:lang w:val="en-US"/>
        </w:rPr>
        <w:t xml:space="preserve"> </w:t>
      </w:r>
      <w:r w:rsidRPr="006C4490">
        <w:rPr>
          <w:lang w:val="en-US"/>
        </w:rPr>
        <w:t>t</w:t>
      </w:r>
      <w:r w:rsidR="00823F92" w:rsidRPr="006C4490">
        <w:rPr>
          <w:lang w:val="en-US"/>
        </w:rPr>
        <w:t>o</w:t>
      </w:r>
      <w:r w:rsidR="00823F92">
        <w:rPr>
          <w:lang w:val="en-US"/>
        </w:rPr>
        <w:t xml:space="preserve"> </w:t>
      </w:r>
      <w:r w:rsidRPr="006C4490">
        <w:rPr>
          <w:lang w:val="en-US"/>
        </w:rPr>
        <w:t>assis</w:t>
      </w:r>
      <w:r w:rsidR="00823F92" w:rsidRPr="006C4490">
        <w:rPr>
          <w:lang w:val="en-US"/>
        </w:rPr>
        <w:t>t</w:t>
      </w:r>
      <w:r w:rsidR="00823F92">
        <w:rPr>
          <w:lang w:val="en-US"/>
        </w:rPr>
        <w:t xml:space="preserve"> </w:t>
      </w:r>
      <w:r w:rsidRPr="006C4490">
        <w:rPr>
          <w:lang w:val="en-US"/>
        </w:rPr>
        <w:t>peopl</w:t>
      </w:r>
      <w:r w:rsidR="00823F92" w:rsidRPr="006C4490">
        <w:rPr>
          <w:lang w:val="en-US"/>
        </w:rPr>
        <w:t>e</w:t>
      </w:r>
      <w:r w:rsidR="00823F92">
        <w:rPr>
          <w:lang w:val="en-US"/>
        </w:rPr>
        <w:t xml:space="preserve"> </w:t>
      </w:r>
      <w:r w:rsidRPr="006C4490">
        <w:rPr>
          <w:lang w:val="en-US"/>
        </w:rPr>
        <w:t>experiencin</w:t>
      </w:r>
      <w:r w:rsidR="00823F92" w:rsidRPr="006C4490">
        <w:rPr>
          <w:lang w:val="en-US"/>
        </w:rPr>
        <w:t>g</w:t>
      </w:r>
      <w:r w:rsidR="00823F92">
        <w:rPr>
          <w:lang w:val="en-US"/>
        </w:rPr>
        <w:t xml:space="preserve"> </w:t>
      </w:r>
      <w:r w:rsidRPr="006C4490">
        <w:rPr>
          <w:lang w:val="en-US"/>
        </w:rPr>
        <w:t>menta</w:t>
      </w:r>
      <w:r w:rsidR="00823F92" w:rsidRPr="006C4490">
        <w:rPr>
          <w:lang w:val="en-US"/>
        </w:rPr>
        <w:t>l</w:t>
      </w:r>
      <w:r w:rsidR="00823F92">
        <w:rPr>
          <w:lang w:val="en-US"/>
        </w:rPr>
        <w:t xml:space="preserve"> </w:t>
      </w:r>
      <w:r w:rsidRPr="006C4490">
        <w:rPr>
          <w:lang w:val="en-US"/>
        </w:rPr>
        <w:t>distres</w:t>
      </w:r>
      <w:r w:rsidR="00823F92" w:rsidRPr="006C4490">
        <w:rPr>
          <w:lang w:val="en-US"/>
        </w:rPr>
        <w:t>s</w:t>
      </w:r>
      <w:r w:rsidR="00823F92">
        <w:rPr>
          <w:lang w:val="en-US"/>
        </w:rPr>
        <w:t xml:space="preserve"> </w:t>
      </w:r>
      <w:r w:rsidRPr="006C4490">
        <w:rPr>
          <w:lang w:val="en-US"/>
        </w:rPr>
        <w:t>and/o</w:t>
      </w:r>
      <w:r w:rsidR="00823F92" w:rsidRPr="006C4490">
        <w:rPr>
          <w:lang w:val="en-US"/>
        </w:rPr>
        <w:t>r</w:t>
      </w:r>
      <w:r w:rsidR="00823F92">
        <w:rPr>
          <w:lang w:val="en-US"/>
        </w:rPr>
        <w:t xml:space="preserve"> </w:t>
      </w:r>
      <w:r w:rsidRPr="006C4490">
        <w:rPr>
          <w:lang w:val="en-US"/>
        </w:rPr>
        <w:t>ill-health</w:t>
      </w:r>
      <w:r w:rsidR="00823F92" w:rsidRPr="006C4490">
        <w:rPr>
          <w:lang w:val="en-US"/>
        </w:rPr>
        <w:t>,</w:t>
      </w:r>
      <w:r w:rsidR="00823F92">
        <w:rPr>
          <w:lang w:val="en-US"/>
        </w:rPr>
        <w:t xml:space="preserve"> </w:t>
      </w:r>
      <w:r w:rsidRPr="006C4490">
        <w:rPr>
          <w:lang w:val="en-US"/>
        </w:rPr>
        <w:t>includin</w:t>
      </w:r>
      <w:r w:rsidR="00823F92" w:rsidRPr="006C4490">
        <w:rPr>
          <w:lang w:val="en-US"/>
        </w:rPr>
        <w:t>g</w:t>
      </w:r>
      <w:r w:rsidR="00823F92">
        <w:rPr>
          <w:lang w:val="en-US"/>
        </w:rPr>
        <w:t xml:space="preserve"> </w:t>
      </w:r>
      <w:r w:rsidRPr="006C4490">
        <w:rPr>
          <w:lang w:val="en-US"/>
        </w:rPr>
        <w:t>assessment</w:t>
      </w:r>
      <w:r w:rsidR="00823F92" w:rsidRPr="006C4490">
        <w:rPr>
          <w:lang w:val="en-US"/>
        </w:rPr>
        <w:t>s</w:t>
      </w:r>
      <w:r w:rsidR="00823F92">
        <w:rPr>
          <w:lang w:val="en-US"/>
        </w:rPr>
        <w:t xml:space="preserve"> </w:t>
      </w:r>
      <w:r w:rsidRPr="006C4490">
        <w:rPr>
          <w:lang w:val="en-US"/>
        </w:rPr>
        <w:t>an</w:t>
      </w:r>
      <w:r w:rsidR="00823F92" w:rsidRPr="006C4490">
        <w:rPr>
          <w:lang w:val="en-US"/>
        </w:rPr>
        <w:t>d</w:t>
      </w:r>
      <w:r w:rsidR="00823F92">
        <w:rPr>
          <w:lang w:val="en-US"/>
        </w:rPr>
        <w:t xml:space="preserve"> </w:t>
      </w:r>
      <w:r w:rsidRPr="006C4490">
        <w:rPr>
          <w:lang w:val="en-US"/>
        </w:rPr>
        <w:t>counselling</w:t>
      </w:r>
      <w:r w:rsidR="00823F92" w:rsidRPr="006C4490">
        <w:rPr>
          <w:lang w:val="en-US"/>
        </w:rPr>
        <w:t>,</w:t>
      </w:r>
      <w:r w:rsidR="00823F92">
        <w:rPr>
          <w:lang w:val="en-US"/>
        </w:rPr>
        <w:t xml:space="preserve"> </w:t>
      </w:r>
      <w:r w:rsidRPr="006C4490">
        <w:rPr>
          <w:lang w:val="en-US"/>
        </w:rPr>
        <w:t>developin</w:t>
      </w:r>
      <w:r w:rsidR="00823F92" w:rsidRPr="006C4490">
        <w:rPr>
          <w:lang w:val="en-US"/>
        </w:rPr>
        <w:t>g</w:t>
      </w:r>
      <w:r w:rsidR="00823F92">
        <w:rPr>
          <w:lang w:val="en-US"/>
        </w:rPr>
        <w:t xml:space="preserve"> </w:t>
      </w:r>
      <w:r w:rsidRPr="006C4490">
        <w:rPr>
          <w:lang w:val="en-US"/>
        </w:rPr>
        <w:t>treatmen</w:t>
      </w:r>
      <w:r w:rsidR="00823F92" w:rsidRPr="006C4490">
        <w:rPr>
          <w:lang w:val="en-US"/>
        </w:rPr>
        <w:t>t</w:t>
      </w:r>
      <w:r w:rsidR="00823F92">
        <w:rPr>
          <w:lang w:val="en-US"/>
        </w:rPr>
        <w:t xml:space="preserve"> </w:t>
      </w:r>
      <w:r w:rsidRPr="006C4490">
        <w:rPr>
          <w:lang w:val="en-US"/>
        </w:rPr>
        <w:t>plans</w:t>
      </w:r>
      <w:r w:rsidR="00823F92" w:rsidRPr="006C4490">
        <w:rPr>
          <w:lang w:val="en-US"/>
        </w:rPr>
        <w:t>,</w:t>
      </w:r>
      <w:r w:rsidR="00823F92">
        <w:rPr>
          <w:lang w:val="en-US"/>
        </w:rPr>
        <w:t xml:space="preserve"> </w:t>
      </w:r>
      <w:r w:rsidRPr="006C4490">
        <w:rPr>
          <w:lang w:val="en-US"/>
        </w:rPr>
        <w:t>car</w:t>
      </w:r>
      <w:r w:rsidR="00823F92" w:rsidRPr="006C4490">
        <w:rPr>
          <w:lang w:val="en-US"/>
        </w:rPr>
        <w:t>e</w:t>
      </w:r>
      <w:r w:rsidR="00823F92">
        <w:rPr>
          <w:lang w:val="en-US"/>
        </w:rPr>
        <w:t xml:space="preserve"> </w:t>
      </w:r>
      <w:r w:rsidRPr="006C4490">
        <w:rPr>
          <w:lang w:val="en-US"/>
        </w:rPr>
        <w:t>coordination</w:t>
      </w:r>
      <w:r w:rsidR="00823F92" w:rsidRPr="006C4490">
        <w:rPr>
          <w:lang w:val="en-US"/>
        </w:rPr>
        <w:t>,</w:t>
      </w:r>
      <w:r w:rsidR="00823F92">
        <w:rPr>
          <w:lang w:val="en-US"/>
        </w:rPr>
        <w:t xml:space="preserve"> </w:t>
      </w:r>
      <w:r w:rsidRPr="006C4490">
        <w:rPr>
          <w:lang w:val="en-US"/>
        </w:rPr>
        <w:t>cas</w:t>
      </w:r>
      <w:r w:rsidR="00823F92" w:rsidRPr="006C4490">
        <w:rPr>
          <w:lang w:val="en-US"/>
        </w:rPr>
        <w:t>e</w:t>
      </w:r>
      <w:r w:rsidR="00823F92">
        <w:rPr>
          <w:lang w:val="en-US"/>
        </w:rPr>
        <w:t xml:space="preserve"> </w:t>
      </w:r>
      <w:r w:rsidRPr="006C4490">
        <w:rPr>
          <w:lang w:val="en-US"/>
        </w:rPr>
        <w:t>management</w:t>
      </w:r>
      <w:r w:rsidR="00823F92" w:rsidRPr="006C4490">
        <w:rPr>
          <w:lang w:val="en-US"/>
        </w:rPr>
        <w:t>,</w:t>
      </w:r>
      <w:r w:rsidR="00823F92">
        <w:rPr>
          <w:lang w:val="en-US"/>
        </w:rPr>
        <w:t xml:space="preserve"> </w:t>
      </w:r>
      <w:r w:rsidRPr="006C4490">
        <w:rPr>
          <w:lang w:val="en-US"/>
        </w:rPr>
        <w:t>providin</w:t>
      </w:r>
      <w:r w:rsidR="00823F92" w:rsidRPr="006C4490">
        <w:rPr>
          <w:lang w:val="en-US"/>
        </w:rPr>
        <w:t>g</w:t>
      </w:r>
      <w:r w:rsidR="00823F92">
        <w:rPr>
          <w:lang w:val="en-US"/>
        </w:rPr>
        <w:t xml:space="preserve"> </w:t>
      </w:r>
      <w:r w:rsidRPr="006C4490">
        <w:rPr>
          <w:lang w:val="en-US"/>
        </w:rPr>
        <w:t>referrals</w:t>
      </w:r>
      <w:r w:rsidR="00823F92" w:rsidRPr="006C4490">
        <w:rPr>
          <w:lang w:val="en-US"/>
        </w:rPr>
        <w:t>,</w:t>
      </w:r>
      <w:r w:rsidR="00823F92">
        <w:rPr>
          <w:lang w:val="en-US"/>
        </w:rPr>
        <w:t xml:space="preserve"> </w:t>
      </w:r>
      <w:r w:rsidRPr="006C4490">
        <w:rPr>
          <w:lang w:val="en-US"/>
        </w:rPr>
        <w:t>an</w:t>
      </w:r>
      <w:r w:rsidR="00823F92" w:rsidRPr="006C4490">
        <w:rPr>
          <w:lang w:val="en-US"/>
        </w:rPr>
        <w:t>d</w:t>
      </w:r>
      <w:r w:rsidR="00823F92">
        <w:rPr>
          <w:lang w:val="en-US"/>
        </w:rPr>
        <w:t xml:space="preserve"> </w:t>
      </w:r>
      <w:r w:rsidRPr="006C4490">
        <w:rPr>
          <w:lang w:val="en-US"/>
        </w:rPr>
        <w:t>progres</w:t>
      </w:r>
      <w:r w:rsidR="00823F92" w:rsidRPr="006C4490">
        <w:rPr>
          <w:lang w:val="en-US"/>
        </w:rPr>
        <w:t>s</w:t>
      </w:r>
      <w:r w:rsidR="00823F92">
        <w:rPr>
          <w:lang w:val="en-US"/>
        </w:rPr>
        <w:t xml:space="preserve"> </w:t>
      </w:r>
      <w:r w:rsidRPr="006C4490">
        <w:rPr>
          <w:lang w:val="en-US"/>
        </w:rPr>
        <w:t>monitoring</w:t>
      </w:r>
      <w:r w:rsidR="00823F92" w:rsidRPr="006C4490">
        <w:rPr>
          <w:lang w:val="en-US"/>
        </w:rPr>
        <w:t>.</w:t>
      </w:r>
      <w:r w:rsidR="00823F92">
        <w:rPr>
          <w:lang w:val="en-US"/>
        </w:rPr>
        <w:t xml:space="preserve"> </w:t>
      </w:r>
    </w:p>
    <w:p w14:paraId="5C8FC3DA" w14:textId="56A558B6" w:rsidR="006F1758" w:rsidRDefault="006F1758" w:rsidP="006F1758">
      <w:pPr>
        <w:pStyle w:val="BodyText"/>
        <w:rPr>
          <w:b/>
          <w:bCs/>
          <w:lang w:val="en-US"/>
        </w:rPr>
      </w:pPr>
      <w:r w:rsidRPr="009245F1">
        <w:rPr>
          <w:lang w:val="en-US"/>
        </w:rPr>
        <w:t xml:space="preserve">Setting: </w:t>
      </w:r>
      <w:r w:rsidRPr="006C4490">
        <w:rPr>
          <w:lang w:val="en-US"/>
        </w:rPr>
        <w:t>Mos</w:t>
      </w:r>
      <w:r w:rsidR="00823F92" w:rsidRPr="006C4490">
        <w:rPr>
          <w:lang w:val="en-US"/>
        </w:rPr>
        <w:t>t</w:t>
      </w:r>
      <w:r w:rsidR="00823F92">
        <w:rPr>
          <w:lang w:val="en-US"/>
        </w:rPr>
        <w:t xml:space="preserve"> </w:t>
      </w:r>
      <w:r w:rsidRPr="006C4490">
        <w:rPr>
          <w:lang w:val="en-US"/>
        </w:rPr>
        <w:t>ar</w:t>
      </w:r>
      <w:r w:rsidR="00823F92" w:rsidRPr="006C4490">
        <w:rPr>
          <w:lang w:val="en-US"/>
        </w:rPr>
        <w:t>e</w:t>
      </w:r>
      <w:r w:rsidR="00823F92">
        <w:rPr>
          <w:lang w:val="en-US"/>
        </w:rPr>
        <w:t xml:space="preserve"> </w:t>
      </w:r>
      <w:r w:rsidRPr="006C4490">
        <w:rPr>
          <w:lang w:val="en-US"/>
        </w:rPr>
        <w:t>employe</w:t>
      </w:r>
      <w:r w:rsidR="00823F92" w:rsidRPr="006C4490">
        <w:rPr>
          <w:lang w:val="en-US"/>
        </w:rPr>
        <w:t>d</w:t>
      </w:r>
      <w:r w:rsidR="00823F92">
        <w:rPr>
          <w:lang w:val="en-US"/>
        </w:rPr>
        <w:t xml:space="preserve"> </w:t>
      </w:r>
      <w:r w:rsidRPr="006C4490">
        <w:rPr>
          <w:lang w:val="en-US"/>
        </w:rPr>
        <w:t>i</w:t>
      </w:r>
      <w:r w:rsidR="00823F92" w:rsidRPr="006C4490">
        <w:rPr>
          <w:lang w:val="en-US"/>
        </w:rPr>
        <w:t>n</w:t>
      </w:r>
      <w:r w:rsidR="00823F92">
        <w:rPr>
          <w:lang w:val="en-US"/>
        </w:rPr>
        <w:t xml:space="preserve"> </w:t>
      </w:r>
      <w:r>
        <w:rPr>
          <w:lang w:val="en-US"/>
        </w:rPr>
        <w:t>publi</w:t>
      </w:r>
      <w:r w:rsidR="00823F92">
        <w:rPr>
          <w:lang w:val="en-US"/>
        </w:rPr>
        <w:t xml:space="preserve">c </w:t>
      </w:r>
      <w:r w:rsidRPr="006C4490">
        <w:rPr>
          <w:lang w:val="en-US"/>
        </w:rPr>
        <w:t>settings.</w:t>
      </w:r>
    </w:p>
    <w:p w14:paraId="125969F9" w14:textId="27C1F045" w:rsidR="006F1758" w:rsidRDefault="006F1758" w:rsidP="006F1758">
      <w:pPr>
        <w:pStyle w:val="BodyText"/>
        <w:rPr>
          <w:lang w:val="en-US"/>
        </w:rPr>
      </w:pPr>
      <w:r w:rsidRPr="009245F1">
        <w:rPr>
          <w:lang w:val="en-US"/>
        </w:rPr>
        <w:t>Training:</w:t>
      </w:r>
      <w:r>
        <w:rPr>
          <w:b/>
          <w:bCs/>
          <w:lang w:val="en-US"/>
        </w:rPr>
        <w:t xml:space="preserve"> </w:t>
      </w:r>
      <w:r w:rsidRPr="006C4490">
        <w:rPr>
          <w:lang w:val="en-US"/>
        </w:rPr>
        <w:t>Ther</w:t>
      </w:r>
      <w:r w:rsidR="00823F92" w:rsidRPr="006C4490">
        <w:rPr>
          <w:lang w:val="en-US"/>
        </w:rPr>
        <w:t>e</w:t>
      </w:r>
      <w:r w:rsidR="00823F92">
        <w:rPr>
          <w:lang w:val="en-US"/>
        </w:rPr>
        <w:t xml:space="preserve"> </w:t>
      </w:r>
      <w:r w:rsidRPr="006C4490">
        <w:rPr>
          <w:lang w:val="en-US"/>
        </w:rPr>
        <w:t>i</w:t>
      </w:r>
      <w:r w:rsidR="00823F92" w:rsidRPr="006C4490">
        <w:rPr>
          <w:lang w:val="en-US"/>
        </w:rPr>
        <w:t>s</w:t>
      </w:r>
      <w:r w:rsidR="00823F92">
        <w:rPr>
          <w:lang w:val="en-US"/>
        </w:rPr>
        <w:t xml:space="preserve"> </w:t>
      </w:r>
      <w:r w:rsidRPr="00DA28B6">
        <w:rPr>
          <w:lang w:val="en-US"/>
        </w:rPr>
        <w:t>n</w:t>
      </w:r>
      <w:r w:rsidR="00823F92" w:rsidRPr="00DA28B6">
        <w:rPr>
          <w:lang w:val="en-US"/>
        </w:rPr>
        <w:t>o</w:t>
      </w:r>
      <w:r w:rsidR="00823F92">
        <w:rPr>
          <w:lang w:val="en-US"/>
        </w:rPr>
        <w:t xml:space="preserve"> </w:t>
      </w:r>
      <w:r w:rsidRPr="00DA28B6">
        <w:rPr>
          <w:lang w:val="en-US"/>
        </w:rPr>
        <w:t>minimu</w:t>
      </w:r>
      <w:r w:rsidR="00823F92" w:rsidRPr="00DA28B6">
        <w:rPr>
          <w:lang w:val="en-US"/>
        </w:rPr>
        <w:t>m</w:t>
      </w:r>
      <w:r w:rsidR="00823F92">
        <w:rPr>
          <w:lang w:val="en-US"/>
        </w:rPr>
        <w:t xml:space="preserve"> </w:t>
      </w:r>
      <w:r w:rsidRPr="00DA28B6">
        <w:rPr>
          <w:lang w:val="en-US"/>
        </w:rPr>
        <w:t>qualificatio</w:t>
      </w:r>
      <w:r w:rsidR="00823F92" w:rsidRPr="00DA28B6">
        <w:rPr>
          <w:lang w:val="en-US"/>
        </w:rPr>
        <w:t>n</w:t>
      </w:r>
      <w:r w:rsidR="00823F92">
        <w:rPr>
          <w:lang w:val="en-US"/>
        </w:rPr>
        <w:t xml:space="preserve"> </w:t>
      </w:r>
      <w:r w:rsidRPr="00DA28B6">
        <w:rPr>
          <w:lang w:val="en-US"/>
        </w:rPr>
        <w:t>fo</w:t>
      </w:r>
      <w:r w:rsidR="00823F92" w:rsidRPr="00DA28B6">
        <w:rPr>
          <w:lang w:val="en-US"/>
        </w:rPr>
        <w:t>r</w:t>
      </w:r>
      <w:r w:rsidR="00823F92">
        <w:rPr>
          <w:lang w:val="en-US"/>
        </w:rPr>
        <w:t xml:space="preserve"> </w:t>
      </w:r>
      <w:r w:rsidR="0051022C">
        <w:rPr>
          <w:lang w:val="en-US"/>
        </w:rPr>
        <w:t>psychosocia</w:t>
      </w:r>
      <w:r w:rsidR="00823F92">
        <w:rPr>
          <w:lang w:val="en-US"/>
        </w:rPr>
        <w:t xml:space="preserve">l </w:t>
      </w:r>
      <w:r w:rsidR="0051022C">
        <w:rPr>
          <w:lang w:val="en-US"/>
        </w:rPr>
        <w:t>suppor</w:t>
      </w:r>
      <w:r w:rsidR="00823F92">
        <w:rPr>
          <w:lang w:val="en-US"/>
        </w:rPr>
        <w:t xml:space="preserve">t </w:t>
      </w:r>
      <w:r w:rsidR="0051022C">
        <w:rPr>
          <w:lang w:val="en-US"/>
        </w:rPr>
        <w:t>workers</w:t>
      </w:r>
      <w:r w:rsidR="00823F92">
        <w:rPr>
          <w:lang w:val="en-US"/>
        </w:rPr>
        <w:t xml:space="preserve">. </w:t>
      </w:r>
      <w:r>
        <w:rPr>
          <w:lang w:val="en-US"/>
        </w:rPr>
        <w:t>However</w:t>
      </w:r>
      <w:r w:rsidR="00823F92">
        <w:rPr>
          <w:lang w:val="en-US"/>
        </w:rPr>
        <w:t xml:space="preserve">, </w:t>
      </w:r>
      <w:r>
        <w:rPr>
          <w:lang w:val="en-US"/>
        </w:rPr>
        <w:t>thi</w:t>
      </w:r>
      <w:r w:rsidR="00823F92">
        <w:rPr>
          <w:lang w:val="en-US"/>
        </w:rPr>
        <w:t xml:space="preserve">s </w:t>
      </w:r>
      <w:r>
        <w:rPr>
          <w:lang w:val="en-US"/>
        </w:rPr>
        <w:t>occupatio</w:t>
      </w:r>
      <w:r w:rsidR="00823F92">
        <w:rPr>
          <w:lang w:val="en-US"/>
        </w:rPr>
        <w:t xml:space="preserve">n </w:t>
      </w:r>
      <w:r>
        <w:rPr>
          <w:lang w:val="en-US"/>
        </w:rPr>
        <w:t>ofte</w:t>
      </w:r>
      <w:r w:rsidR="00823F92">
        <w:rPr>
          <w:lang w:val="en-US"/>
        </w:rPr>
        <w:t xml:space="preserve">n </w:t>
      </w:r>
      <w:r>
        <w:rPr>
          <w:lang w:val="en-US"/>
        </w:rPr>
        <w:t>include</w:t>
      </w:r>
      <w:r w:rsidR="00823F92">
        <w:rPr>
          <w:lang w:val="en-US"/>
        </w:rPr>
        <w:t xml:space="preserve">s </w:t>
      </w:r>
      <w:r>
        <w:rPr>
          <w:lang w:val="en-US"/>
        </w:rPr>
        <w:t>thos</w:t>
      </w:r>
      <w:r w:rsidR="00823F92">
        <w:rPr>
          <w:lang w:val="en-US"/>
        </w:rPr>
        <w:t xml:space="preserve">e </w:t>
      </w:r>
      <w:r>
        <w:rPr>
          <w:lang w:val="en-US"/>
        </w:rPr>
        <w:t>wh</w:t>
      </w:r>
      <w:r w:rsidR="00823F92">
        <w:rPr>
          <w:lang w:val="en-US"/>
        </w:rPr>
        <w:t xml:space="preserve">o </w:t>
      </w:r>
      <w:r>
        <w:rPr>
          <w:lang w:val="en-US"/>
        </w:rPr>
        <w:t>hav</w:t>
      </w:r>
      <w:r w:rsidR="00823F92">
        <w:rPr>
          <w:lang w:val="en-US"/>
        </w:rPr>
        <w:t xml:space="preserve">e </w:t>
      </w:r>
      <w:r>
        <w:rPr>
          <w:lang w:val="en-US"/>
        </w:rPr>
        <w:t>complete</w:t>
      </w:r>
      <w:r w:rsidR="00823F92">
        <w:rPr>
          <w:lang w:val="en-US"/>
        </w:rPr>
        <w:t xml:space="preserve">d </w:t>
      </w:r>
      <w:r>
        <w:rPr>
          <w:lang w:val="en-US"/>
        </w:rPr>
        <w:t>vocationa</w:t>
      </w:r>
      <w:r w:rsidR="00823F92">
        <w:rPr>
          <w:lang w:val="en-US"/>
        </w:rPr>
        <w:t xml:space="preserve">l </w:t>
      </w:r>
      <w:r>
        <w:rPr>
          <w:lang w:val="en-US"/>
        </w:rPr>
        <w:t>trainin</w:t>
      </w:r>
      <w:r w:rsidR="00823F92">
        <w:rPr>
          <w:lang w:val="en-US"/>
        </w:rPr>
        <w:t xml:space="preserve">g </w:t>
      </w:r>
      <w:r>
        <w:rPr>
          <w:lang w:val="en-US"/>
        </w:rPr>
        <w:t>(suc</w:t>
      </w:r>
      <w:r w:rsidR="00823F92">
        <w:rPr>
          <w:lang w:val="en-US"/>
        </w:rPr>
        <w:t xml:space="preserve">h </w:t>
      </w:r>
      <w:r>
        <w:rPr>
          <w:lang w:val="en-US"/>
        </w:rPr>
        <w:t>a</w:t>
      </w:r>
      <w:r w:rsidR="00823F92">
        <w:rPr>
          <w:lang w:val="en-US"/>
        </w:rPr>
        <w:t xml:space="preserve">s </w:t>
      </w:r>
      <w:r>
        <w:rPr>
          <w:lang w:val="en-US"/>
        </w:rPr>
        <w:t>th</w:t>
      </w:r>
      <w:r w:rsidR="00823F92">
        <w:rPr>
          <w:lang w:val="en-US"/>
        </w:rPr>
        <w:t xml:space="preserve">e </w:t>
      </w:r>
      <w:r>
        <w:rPr>
          <w:lang w:val="en-US"/>
        </w:rPr>
        <w:t>Certificat</w:t>
      </w:r>
      <w:r w:rsidR="00823F92">
        <w:rPr>
          <w:lang w:val="en-US"/>
        </w:rPr>
        <w:t xml:space="preserve">e </w:t>
      </w:r>
      <w:r>
        <w:rPr>
          <w:lang w:val="en-US"/>
        </w:rPr>
        <w:t>I</w:t>
      </w:r>
      <w:r w:rsidR="00823F92">
        <w:rPr>
          <w:lang w:val="en-US"/>
        </w:rPr>
        <w:t xml:space="preserve">V </w:t>
      </w:r>
      <w:r>
        <w:rPr>
          <w:lang w:val="en-US"/>
        </w:rPr>
        <w:t>i</w:t>
      </w:r>
      <w:r w:rsidR="00823F92">
        <w:rPr>
          <w:lang w:val="en-US"/>
        </w:rPr>
        <w:t xml:space="preserve">n </w:t>
      </w:r>
      <w:r>
        <w:rPr>
          <w:lang w:val="en-US"/>
        </w:rPr>
        <w:t>Menta</w:t>
      </w:r>
      <w:r w:rsidR="00823F92">
        <w:rPr>
          <w:lang w:val="en-US"/>
        </w:rPr>
        <w:t xml:space="preserve">l </w:t>
      </w:r>
      <w:r>
        <w:rPr>
          <w:lang w:val="en-US"/>
        </w:rPr>
        <w:t>Health)</w:t>
      </w:r>
      <w:r w:rsidR="00823F92">
        <w:rPr>
          <w:lang w:val="en-US"/>
        </w:rPr>
        <w:t xml:space="preserve">. </w:t>
      </w:r>
    </w:p>
    <w:p w14:paraId="13996047" w14:textId="31C6EBC0" w:rsidR="0051022C" w:rsidRPr="002C647A" w:rsidRDefault="0051022C" w:rsidP="006F1758">
      <w:pPr>
        <w:pStyle w:val="BodyText"/>
        <w:rPr>
          <w:lang w:val="en-US"/>
        </w:rPr>
      </w:pPr>
      <w:r w:rsidRPr="009245F1">
        <w:rPr>
          <w:lang w:val="en-US"/>
        </w:rPr>
        <w:lastRenderedPageBreak/>
        <w:t xml:space="preserve">Regulation: </w:t>
      </w:r>
      <w:r>
        <w:rPr>
          <w:lang w:val="en-US"/>
        </w:rPr>
        <w:t>Psychosocia</w:t>
      </w:r>
      <w:r w:rsidR="00823F92">
        <w:rPr>
          <w:lang w:val="en-US"/>
        </w:rPr>
        <w:t xml:space="preserve">l </w:t>
      </w:r>
      <w:r>
        <w:rPr>
          <w:lang w:val="en-US"/>
        </w:rPr>
        <w:t>suppor</w:t>
      </w:r>
      <w:r w:rsidR="00823F92">
        <w:rPr>
          <w:lang w:val="en-US"/>
        </w:rPr>
        <w:t xml:space="preserve">t </w:t>
      </w:r>
      <w:r>
        <w:rPr>
          <w:lang w:val="en-US"/>
        </w:rPr>
        <w:t>worker</w:t>
      </w:r>
      <w:r w:rsidR="00823F92">
        <w:rPr>
          <w:lang w:val="en-US"/>
        </w:rPr>
        <w:t xml:space="preserve">s </w:t>
      </w:r>
      <w:r>
        <w:rPr>
          <w:lang w:val="en-US"/>
        </w:rPr>
        <w:t>ar</w:t>
      </w:r>
      <w:r w:rsidR="00823F92">
        <w:rPr>
          <w:lang w:val="en-US"/>
        </w:rPr>
        <w:t xml:space="preserve">e </w:t>
      </w:r>
      <w:r>
        <w:rPr>
          <w:lang w:val="en-US"/>
        </w:rPr>
        <w:t>currentl</w:t>
      </w:r>
      <w:r w:rsidR="00823F92">
        <w:rPr>
          <w:lang w:val="en-US"/>
        </w:rPr>
        <w:t xml:space="preserve">y </w:t>
      </w:r>
      <w:r>
        <w:rPr>
          <w:lang w:val="en-US"/>
        </w:rPr>
        <w:t>unregulated</w:t>
      </w:r>
      <w:r w:rsidR="00823F92">
        <w:rPr>
          <w:lang w:val="en-US"/>
        </w:rPr>
        <w:t xml:space="preserve">. </w:t>
      </w:r>
    </w:p>
    <w:p w14:paraId="0B433EE4" w14:textId="3870E71D" w:rsidR="006F1758" w:rsidRPr="006C4490" w:rsidRDefault="006F1758" w:rsidP="006F1758">
      <w:pPr>
        <w:pStyle w:val="BodyText"/>
        <w:rPr>
          <w:lang w:val="en-US"/>
        </w:rPr>
      </w:pPr>
      <w:r w:rsidRPr="009245F1">
        <w:rPr>
          <w:lang w:val="en-US"/>
        </w:rPr>
        <w:t>Supply:</w:t>
      </w:r>
      <w:r>
        <w:rPr>
          <w:b/>
          <w:bCs/>
          <w:lang w:val="en-US"/>
        </w:rPr>
        <w:t xml:space="preserve"> </w:t>
      </w:r>
      <w:r>
        <w:t>Th</w:t>
      </w:r>
      <w:r w:rsidR="00823F92">
        <w:t xml:space="preserve">e </w:t>
      </w:r>
      <w:r>
        <w:t>bes</w:t>
      </w:r>
      <w:r w:rsidR="00823F92">
        <w:t xml:space="preserve">t </w:t>
      </w:r>
      <w:r>
        <w:t>estimat</w:t>
      </w:r>
      <w:r w:rsidR="00823F92">
        <w:t xml:space="preserve">e </w:t>
      </w:r>
      <w:r>
        <w:t>o</w:t>
      </w:r>
      <w:r w:rsidR="00823F92">
        <w:t xml:space="preserve">f </w:t>
      </w:r>
      <w:r>
        <w:t>FT</w:t>
      </w:r>
      <w:r w:rsidR="00823F92">
        <w:t xml:space="preserve">E </w:t>
      </w:r>
      <w:r>
        <w:t>staf</w:t>
      </w:r>
      <w:r w:rsidR="00823F92">
        <w:t xml:space="preserve">f </w:t>
      </w:r>
      <w:r>
        <w:t>fo</w:t>
      </w:r>
      <w:r w:rsidR="00823F92">
        <w:t xml:space="preserve">r </w:t>
      </w:r>
      <w:r>
        <w:t>vocationall</w:t>
      </w:r>
      <w:r w:rsidR="00823F92">
        <w:t xml:space="preserve">y </w:t>
      </w:r>
      <w:r>
        <w:t>qualifie</w:t>
      </w:r>
      <w:r w:rsidR="00823F92">
        <w:t xml:space="preserve">d </w:t>
      </w:r>
      <w:r w:rsidR="0051022C">
        <w:rPr>
          <w:lang w:val="en-US"/>
        </w:rPr>
        <w:t>psychosocia</w:t>
      </w:r>
      <w:r w:rsidR="00823F92">
        <w:rPr>
          <w:lang w:val="en-US"/>
        </w:rPr>
        <w:t xml:space="preserve">l </w:t>
      </w:r>
      <w:r w:rsidR="0051022C">
        <w:rPr>
          <w:lang w:val="en-US"/>
        </w:rPr>
        <w:t>suppor</w:t>
      </w:r>
      <w:r w:rsidR="00823F92">
        <w:rPr>
          <w:lang w:val="en-US"/>
        </w:rPr>
        <w:t xml:space="preserve">t </w:t>
      </w:r>
      <w:r w:rsidR="0051022C">
        <w:rPr>
          <w:lang w:val="en-US"/>
        </w:rPr>
        <w:t>worker</w:t>
      </w:r>
      <w:r w:rsidR="00823F92">
        <w:rPr>
          <w:lang w:val="en-US"/>
        </w:rPr>
        <w:t xml:space="preserve">s </w:t>
      </w:r>
      <w:r>
        <w:t>i</w:t>
      </w:r>
      <w:r w:rsidR="00823F92">
        <w:t xml:space="preserve">s </w:t>
      </w:r>
      <w:r>
        <w:t>base</w:t>
      </w:r>
      <w:r w:rsidR="00823F92">
        <w:t xml:space="preserve">d </w:t>
      </w:r>
      <w:r>
        <w:t>o</w:t>
      </w:r>
      <w:r w:rsidR="00823F92">
        <w:t xml:space="preserve">n </w:t>
      </w:r>
      <w:r>
        <w:t>analysi</w:t>
      </w:r>
      <w:r w:rsidR="00823F92">
        <w:t xml:space="preserve">s </w:t>
      </w:r>
      <w:r>
        <w:t>o</w:t>
      </w:r>
      <w:r w:rsidR="00823F92">
        <w:t xml:space="preserve">f </w:t>
      </w:r>
      <w:r>
        <w:t>NDI</w:t>
      </w:r>
      <w:r w:rsidR="00823F92">
        <w:t xml:space="preserve">S </w:t>
      </w:r>
      <w:r>
        <w:t>payment</w:t>
      </w:r>
      <w:r w:rsidR="00823F92">
        <w:t xml:space="preserve">s </w:t>
      </w:r>
      <w:r>
        <w:t>data</w:t>
      </w:r>
      <w:r w:rsidR="00823F92">
        <w:t xml:space="preserve">. </w:t>
      </w:r>
      <w:r>
        <w:rPr>
          <w:lang w:val="en-US"/>
        </w:rPr>
        <w:t>Thi</w:t>
      </w:r>
      <w:r w:rsidR="00823F92">
        <w:rPr>
          <w:lang w:val="en-US"/>
        </w:rPr>
        <w:t xml:space="preserve">s </w:t>
      </w:r>
      <w:r>
        <w:rPr>
          <w:lang w:val="en-US"/>
        </w:rPr>
        <w:t>give</w:t>
      </w:r>
      <w:r w:rsidR="00823F92">
        <w:rPr>
          <w:lang w:val="en-US"/>
        </w:rPr>
        <w:t xml:space="preserve">s </w:t>
      </w:r>
      <w:r>
        <w:rPr>
          <w:lang w:val="en-US"/>
        </w:rPr>
        <w:t>a</w:t>
      </w:r>
      <w:r w:rsidR="00823F92">
        <w:rPr>
          <w:lang w:val="en-US"/>
        </w:rPr>
        <w:t xml:space="preserve">n </w:t>
      </w:r>
      <w:r>
        <w:rPr>
          <w:lang w:val="en-US"/>
        </w:rPr>
        <w:t>estimat</w:t>
      </w:r>
      <w:r w:rsidR="00823F92">
        <w:rPr>
          <w:lang w:val="en-US"/>
        </w:rPr>
        <w:t xml:space="preserve">e </w:t>
      </w:r>
      <w:r>
        <w:rPr>
          <w:lang w:val="en-US"/>
        </w:rPr>
        <w:t>o</w:t>
      </w:r>
      <w:r w:rsidR="00823F92">
        <w:rPr>
          <w:lang w:val="en-US"/>
        </w:rPr>
        <w:t xml:space="preserve">f </w:t>
      </w:r>
      <w:r>
        <w:rPr>
          <w:lang w:val="en-US"/>
        </w:rPr>
        <w:t>17,48</w:t>
      </w:r>
      <w:r w:rsidR="00823F92">
        <w:rPr>
          <w:lang w:val="en-US"/>
        </w:rPr>
        <w:t xml:space="preserve">6 </w:t>
      </w:r>
      <w:r>
        <w:rPr>
          <w:lang w:val="en-US"/>
        </w:rPr>
        <w:t>FT</w:t>
      </w:r>
      <w:r w:rsidR="00823F92">
        <w:rPr>
          <w:lang w:val="en-US"/>
        </w:rPr>
        <w:t xml:space="preserve">E </w:t>
      </w:r>
      <w:r>
        <w:rPr>
          <w:lang w:val="en-US"/>
        </w:rPr>
        <w:t>vocationall</w:t>
      </w:r>
      <w:r w:rsidR="00823F92">
        <w:rPr>
          <w:lang w:val="en-US"/>
        </w:rPr>
        <w:t xml:space="preserve">y </w:t>
      </w:r>
      <w:r>
        <w:rPr>
          <w:lang w:val="en-US"/>
        </w:rPr>
        <w:t>qualifie</w:t>
      </w:r>
      <w:r w:rsidR="00823F92">
        <w:rPr>
          <w:lang w:val="en-US"/>
        </w:rPr>
        <w:t xml:space="preserve">d </w:t>
      </w:r>
      <w:r w:rsidR="0051022C">
        <w:rPr>
          <w:lang w:val="en-US"/>
        </w:rPr>
        <w:t>psychosocia</w:t>
      </w:r>
      <w:r w:rsidR="00823F92">
        <w:rPr>
          <w:lang w:val="en-US"/>
        </w:rPr>
        <w:t xml:space="preserve">l </w:t>
      </w:r>
      <w:r w:rsidR="0051022C">
        <w:rPr>
          <w:lang w:val="en-US"/>
        </w:rPr>
        <w:t>suppor</w:t>
      </w:r>
      <w:r w:rsidR="00823F92">
        <w:rPr>
          <w:lang w:val="en-US"/>
        </w:rPr>
        <w:t xml:space="preserve">t </w:t>
      </w:r>
      <w:r w:rsidR="0051022C">
        <w:rPr>
          <w:lang w:val="en-US"/>
        </w:rPr>
        <w:t>worker</w:t>
      </w:r>
      <w:r w:rsidR="00823F92">
        <w:rPr>
          <w:lang w:val="en-US"/>
        </w:rPr>
        <w:t xml:space="preserve">s </w:t>
      </w:r>
      <w:r>
        <w:rPr>
          <w:lang w:val="en-US"/>
        </w:rPr>
        <w:t>(95% o</w:t>
      </w:r>
      <w:r w:rsidR="00823F92">
        <w:rPr>
          <w:lang w:val="en-US"/>
        </w:rPr>
        <w:t xml:space="preserve">f </w:t>
      </w:r>
      <w:r w:rsidRPr="00C70095">
        <w:rPr>
          <w:lang w:val="en-US"/>
        </w:rPr>
        <w:t>NMHSP</w:t>
      </w:r>
      <w:r w:rsidR="00823F92" w:rsidRPr="00C70095">
        <w:rPr>
          <w:lang w:val="en-US"/>
        </w:rPr>
        <w:t>F</w:t>
      </w:r>
      <w:r w:rsidR="00823F92">
        <w:rPr>
          <w:lang w:val="en-US"/>
        </w:rPr>
        <w:t xml:space="preserve"> </w:t>
      </w:r>
      <w:r w:rsidRPr="00C70095">
        <w:rPr>
          <w:lang w:val="en-US"/>
        </w:rPr>
        <w:t>targe</w:t>
      </w:r>
      <w:r w:rsidR="00823F92" w:rsidRPr="00C70095">
        <w:rPr>
          <w:lang w:val="en-US"/>
        </w:rPr>
        <w:t>t</w:t>
      </w:r>
      <w:r w:rsidR="00823F92">
        <w:rPr>
          <w:lang w:val="en-US"/>
        </w:rPr>
        <w:t xml:space="preserve"> </w:t>
      </w:r>
      <w:r w:rsidRPr="00C70095">
        <w:rPr>
          <w:lang w:val="en-US"/>
        </w:rPr>
        <w:t>reached</w:t>
      </w:r>
      <w:r>
        <w:rPr>
          <w:lang w:val="en-US"/>
        </w:rPr>
        <w:t>)</w:t>
      </w:r>
      <w:r w:rsidR="00823F92" w:rsidRPr="006C4490">
        <w:rPr>
          <w:lang w:val="en-US"/>
        </w:rPr>
        <w:t>.</w:t>
      </w:r>
      <w:r w:rsidR="00823F92">
        <w:rPr>
          <w:lang w:val="en-US"/>
        </w:rPr>
        <w:t xml:space="preserve"> </w:t>
      </w:r>
      <w:r w:rsidRPr="00302E3C">
        <w:rPr>
          <w:lang w:val="en-US"/>
        </w:rPr>
        <w:t>I</w:t>
      </w:r>
      <w:r w:rsidR="00823F92" w:rsidRPr="00302E3C">
        <w:rPr>
          <w:lang w:val="en-US"/>
        </w:rPr>
        <w:t>t</w:t>
      </w:r>
      <w:r w:rsidR="00823F92">
        <w:rPr>
          <w:lang w:val="en-US"/>
        </w:rPr>
        <w:t xml:space="preserve"> </w:t>
      </w:r>
      <w:r w:rsidRPr="00302E3C">
        <w:rPr>
          <w:lang w:val="en-US"/>
        </w:rPr>
        <w:t>i</w:t>
      </w:r>
      <w:r w:rsidR="00823F92" w:rsidRPr="00302E3C">
        <w:rPr>
          <w:lang w:val="en-US"/>
        </w:rPr>
        <w:t>s</w:t>
      </w:r>
      <w:r w:rsidR="00823F92">
        <w:rPr>
          <w:lang w:val="en-US"/>
        </w:rPr>
        <w:t xml:space="preserve"> </w:t>
      </w:r>
      <w:r w:rsidRPr="00302E3C">
        <w:rPr>
          <w:lang w:val="en-US"/>
        </w:rPr>
        <w:t>importan</w:t>
      </w:r>
      <w:r w:rsidR="00823F92" w:rsidRPr="00302E3C">
        <w:rPr>
          <w:lang w:val="en-US"/>
        </w:rPr>
        <w:t>t</w:t>
      </w:r>
      <w:r w:rsidR="00823F92">
        <w:rPr>
          <w:lang w:val="en-US"/>
        </w:rPr>
        <w:t xml:space="preserve"> </w:t>
      </w:r>
      <w:r w:rsidRPr="00302E3C">
        <w:rPr>
          <w:lang w:val="en-US"/>
        </w:rPr>
        <w:t>t</w:t>
      </w:r>
      <w:r w:rsidR="00823F92" w:rsidRPr="00302E3C">
        <w:rPr>
          <w:lang w:val="en-US"/>
        </w:rPr>
        <w:t>o</w:t>
      </w:r>
      <w:r w:rsidR="00823F92">
        <w:rPr>
          <w:lang w:val="en-US"/>
        </w:rPr>
        <w:t xml:space="preserve"> </w:t>
      </w:r>
      <w:r w:rsidRPr="00302E3C">
        <w:rPr>
          <w:lang w:val="en-US"/>
        </w:rPr>
        <w:t>not</w:t>
      </w:r>
      <w:r w:rsidR="00823F92" w:rsidRPr="00302E3C">
        <w:rPr>
          <w:lang w:val="en-US"/>
        </w:rPr>
        <w:t>e</w:t>
      </w:r>
      <w:r w:rsidR="00823F92">
        <w:rPr>
          <w:lang w:val="en-US"/>
        </w:rPr>
        <w:t xml:space="preserve"> </w:t>
      </w:r>
      <w:r w:rsidRPr="00302E3C">
        <w:rPr>
          <w:lang w:val="en-US"/>
        </w:rPr>
        <w:t>thi</w:t>
      </w:r>
      <w:r w:rsidR="00823F92" w:rsidRPr="00302E3C">
        <w:rPr>
          <w:lang w:val="en-US"/>
        </w:rPr>
        <w:t>s</w:t>
      </w:r>
      <w:r w:rsidR="00823F92">
        <w:rPr>
          <w:lang w:val="en-US"/>
        </w:rPr>
        <w:t xml:space="preserve"> </w:t>
      </w:r>
      <w:r w:rsidRPr="00302E3C">
        <w:rPr>
          <w:lang w:val="en-US"/>
        </w:rPr>
        <w:t>FT</w:t>
      </w:r>
      <w:r w:rsidR="00823F92" w:rsidRPr="00302E3C">
        <w:rPr>
          <w:lang w:val="en-US"/>
        </w:rPr>
        <w:t>E</w:t>
      </w:r>
      <w:r w:rsidR="00823F92">
        <w:rPr>
          <w:lang w:val="en-US"/>
        </w:rPr>
        <w:t xml:space="preserve"> </w:t>
      </w:r>
      <w:r w:rsidRPr="00302E3C">
        <w:rPr>
          <w:lang w:val="en-US"/>
        </w:rPr>
        <w:t>estimat</w:t>
      </w:r>
      <w:r w:rsidR="00823F92" w:rsidRPr="00302E3C">
        <w:rPr>
          <w:lang w:val="en-US"/>
        </w:rPr>
        <w:t>e</w:t>
      </w:r>
      <w:r w:rsidR="00823F92">
        <w:rPr>
          <w:lang w:val="en-US"/>
        </w:rPr>
        <w:t xml:space="preserve"> </w:t>
      </w:r>
      <w:r w:rsidRPr="00302E3C">
        <w:rPr>
          <w:lang w:val="en-US"/>
        </w:rPr>
        <w:t>ma</w:t>
      </w:r>
      <w:r w:rsidR="00823F92" w:rsidRPr="00302E3C">
        <w:rPr>
          <w:lang w:val="en-US"/>
        </w:rPr>
        <w:t>y</w:t>
      </w:r>
      <w:r w:rsidR="00823F92">
        <w:rPr>
          <w:lang w:val="en-US"/>
        </w:rPr>
        <w:t xml:space="preserve"> </w:t>
      </w:r>
      <w:r w:rsidRPr="00302E3C">
        <w:rPr>
          <w:lang w:val="en-US"/>
        </w:rPr>
        <w:t>b</w:t>
      </w:r>
      <w:r w:rsidR="00823F92" w:rsidRPr="00302E3C">
        <w:rPr>
          <w:lang w:val="en-US"/>
        </w:rPr>
        <w:t>e</w:t>
      </w:r>
      <w:r w:rsidR="00823F92">
        <w:rPr>
          <w:lang w:val="en-US"/>
        </w:rPr>
        <w:t xml:space="preserve"> </w:t>
      </w:r>
      <w:r w:rsidRPr="00302E3C">
        <w:rPr>
          <w:lang w:val="en-US"/>
        </w:rPr>
        <w:t>a</w:t>
      </w:r>
      <w:r w:rsidR="00823F92" w:rsidRPr="00302E3C">
        <w:rPr>
          <w:lang w:val="en-US"/>
        </w:rPr>
        <w:t>n</w:t>
      </w:r>
      <w:r w:rsidR="00823F92">
        <w:rPr>
          <w:lang w:val="en-US"/>
        </w:rPr>
        <w:t xml:space="preserve"> </w:t>
      </w:r>
      <w:r w:rsidRPr="00302E3C">
        <w:rPr>
          <w:lang w:val="en-US"/>
        </w:rPr>
        <w:t>overestimate</w:t>
      </w:r>
      <w:r w:rsidR="00823F92" w:rsidRPr="00302E3C">
        <w:rPr>
          <w:lang w:val="en-US"/>
        </w:rPr>
        <w:t>,</w:t>
      </w:r>
      <w:r w:rsidR="00823F92">
        <w:rPr>
          <w:lang w:val="en-US"/>
        </w:rPr>
        <w:t xml:space="preserve"> </w:t>
      </w:r>
      <w:r w:rsidRPr="00302E3C">
        <w:rPr>
          <w:lang w:val="en-US"/>
        </w:rPr>
        <w:t>includin</w:t>
      </w:r>
      <w:r w:rsidR="00823F92" w:rsidRPr="00302E3C">
        <w:rPr>
          <w:lang w:val="en-US"/>
        </w:rPr>
        <w:t>g</w:t>
      </w:r>
      <w:r w:rsidR="00823F92">
        <w:rPr>
          <w:lang w:val="en-US"/>
        </w:rPr>
        <w:t xml:space="preserve"> </w:t>
      </w:r>
      <w:r>
        <w:rPr>
          <w:lang w:val="en-US"/>
        </w:rPr>
        <w:t>othe</w:t>
      </w:r>
      <w:r w:rsidR="00823F92">
        <w:rPr>
          <w:lang w:val="en-US"/>
        </w:rPr>
        <w:t xml:space="preserve">r </w:t>
      </w:r>
      <w:r w:rsidR="000B5C5D">
        <w:rPr>
          <w:lang w:val="en-US"/>
        </w:rPr>
        <w:t>occupation</w:t>
      </w:r>
      <w:r w:rsidR="00823F92">
        <w:rPr>
          <w:lang w:val="en-US"/>
        </w:rPr>
        <w:t xml:space="preserve">s </w:t>
      </w:r>
      <w:r>
        <w:rPr>
          <w:lang w:val="en-US"/>
        </w:rPr>
        <w:t>(suc</w:t>
      </w:r>
      <w:r w:rsidR="00823F92">
        <w:rPr>
          <w:lang w:val="en-US"/>
        </w:rPr>
        <w:t xml:space="preserve">h </w:t>
      </w:r>
      <w:r>
        <w:rPr>
          <w:lang w:val="en-US"/>
        </w:rPr>
        <w:t>a</w:t>
      </w:r>
      <w:r w:rsidR="00823F92">
        <w:rPr>
          <w:lang w:val="en-US"/>
        </w:rPr>
        <w:t xml:space="preserve">s </w:t>
      </w:r>
      <w:r w:rsidRPr="00302E3C">
        <w:rPr>
          <w:lang w:val="en-US"/>
        </w:rPr>
        <w:t>allie</w:t>
      </w:r>
      <w:r w:rsidR="00823F92" w:rsidRPr="00302E3C">
        <w:rPr>
          <w:lang w:val="en-US"/>
        </w:rPr>
        <w:t>d</w:t>
      </w:r>
      <w:r w:rsidR="00823F92">
        <w:rPr>
          <w:lang w:val="en-US"/>
        </w:rPr>
        <w:t xml:space="preserve"> </w:t>
      </w:r>
      <w:r w:rsidRPr="00302E3C">
        <w:rPr>
          <w:lang w:val="en-US"/>
        </w:rPr>
        <w:t>health</w:t>
      </w:r>
      <w:r w:rsidR="00823F92" w:rsidRPr="00302E3C">
        <w:rPr>
          <w:lang w:val="en-US"/>
        </w:rPr>
        <w:t>,</w:t>
      </w:r>
      <w:r w:rsidR="00823F92">
        <w:rPr>
          <w:lang w:val="en-US"/>
        </w:rPr>
        <w:t xml:space="preserve"> </w:t>
      </w:r>
      <w:r w:rsidRPr="00302E3C">
        <w:rPr>
          <w:lang w:val="en-US"/>
        </w:rPr>
        <w:t>medica</w:t>
      </w:r>
      <w:r w:rsidR="00823F92" w:rsidRPr="00302E3C">
        <w:rPr>
          <w:lang w:val="en-US"/>
        </w:rPr>
        <w:t>l</w:t>
      </w:r>
      <w:r w:rsidR="00823F92">
        <w:rPr>
          <w:lang w:val="en-US"/>
        </w:rPr>
        <w:t xml:space="preserve"> </w:t>
      </w:r>
      <w:r w:rsidRPr="00302E3C">
        <w:rPr>
          <w:lang w:val="en-US"/>
        </w:rPr>
        <w:t>o</w:t>
      </w:r>
      <w:r w:rsidR="00823F92" w:rsidRPr="00302E3C">
        <w:rPr>
          <w:lang w:val="en-US"/>
        </w:rPr>
        <w:t>r</w:t>
      </w:r>
      <w:r w:rsidR="00823F92">
        <w:rPr>
          <w:lang w:val="en-US"/>
        </w:rPr>
        <w:t xml:space="preserve"> </w:t>
      </w:r>
      <w:r w:rsidRPr="00302E3C">
        <w:rPr>
          <w:lang w:val="en-US"/>
        </w:rPr>
        <w:t>pee</w:t>
      </w:r>
      <w:r w:rsidR="00823F92" w:rsidRPr="00302E3C">
        <w:rPr>
          <w:lang w:val="en-US"/>
        </w:rPr>
        <w:t>r</w:t>
      </w:r>
      <w:r w:rsidR="00823F92">
        <w:rPr>
          <w:lang w:val="en-US"/>
        </w:rPr>
        <w:t xml:space="preserve"> </w:t>
      </w:r>
      <w:r w:rsidRPr="00302E3C">
        <w:rPr>
          <w:lang w:val="en-US"/>
        </w:rPr>
        <w:t>workers</w:t>
      </w:r>
      <w:r>
        <w:rPr>
          <w:lang w:val="en-US"/>
        </w:rPr>
        <w:t>)</w:t>
      </w:r>
      <w:r w:rsidRPr="00302E3C">
        <w:rPr>
          <w:lang w:val="en-US"/>
        </w:rPr>
        <w:t xml:space="preserve"> a</w:t>
      </w:r>
      <w:r w:rsidR="00823F92" w:rsidRPr="00302E3C">
        <w:rPr>
          <w:lang w:val="en-US"/>
        </w:rPr>
        <w:t>s</w:t>
      </w:r>
      <w:r w:rsidR="00823F92">
        <w:rPr>
          <w:lang w:val="en-US"/>
        </w:rPr>
        <w:t xml:space="preserve"> </w:t>
      </w:r>
      <w:r w:rsidRPr="00302E3C">
        <w:rPr>
          <w:lang w:val="en-US"/>
        </w:rPr>
        <w:t>provide</w:t>
      </w:r>
      <w:r w:rsidR="00823F92" w:rsidRPr="00302E3C">
        <w:rPr>
          <w:lang w:val="en-US"/>
        </w:rPr>
        <w:t>r</w:t>
      </w:r>
      <w:r w:rsidR="00823F92">
        <w:rPr>
          <w:lang w:val="en-US"/>
        </w:rPr>
        <w:t xml:space="preserve"> </w:t>
      </w:r>
      <w:r w:rsidRPr="00302E3C">
        <w:rPr>
          <w:lang w:val="en-US"/>
        </w:rPr>
        <w:t>typ</w:t>
      </w:r>
      <w:r w:rsidR="00823F92" w:rsidRPr="00302E3C">
        <w:rPr>
          <w:lang w:val="en-US"/>
        </w:rPr>
        <w:t>e</w:t>
      </w:r>
      <w:r w:rsidR="00823F92">
        <w:rPr>
          <w:lang w:val="en-US"/>
        </w:rPr>
        <w:t xml:space="preserve"> </w:t>
      </w:r>
      <w:r>
        <w:rPr>
          <w:lang w:val="en-US"/>
        </w:rPr>
        <w:t>dat</w:t>
      </w:r>
      <w:r w:rsidR="00823F92">
        <w:rPr>
          <w:lang w:val="en-US"/>
        </w:rPr>
        <w:t xml:space="preserve">a </w:t>
      </w:r>
      <w:r w:rsidRPr="00302E3C">
        <w:rPr>
          <w:lang w:val="en-US"/>
        </w:rPr>
        <w:t>wa</w:t>
      </w:r>
      <w:r w:rsidR="00823F92" w:rsidRPr="00302E3C">
        <w:rPr>
          <w:lang w:val="en-US"/>
        </w:rPr>
        <w:t>s</w:t>
      </w:r>
      <w:r w:rsidR="00823F92">
        <w:rPr>
          <w:lang w:val="en-US"/>
        </w:rPr>
        <w:t xml:space="preserve"> </w:t>
      </w:r>
      <w:r w:rsidRPr="00302E3C">
        <w:rPr>
          <w:lang w:val="en-US"/>
        </w:rPr>
        <w:t>no</w:t>
      </w:r>
      <w:r w:rsidR="00823F92" w:rsidRPr="00302E3C">
        <w:rPr>
          <w:lang w:val="en-US"/>
        </w:rPr>
        <w:t>t</w:t>
      </w:r>
      <w:r w:rsidR="00823F92">
        <w:rPr>
          <w:lang w:val="en-US"/>
        </w:rPr>
        <w:t xml:space="preserve"> </w:t>
      </w:r>
      <w:r w:rsidRPr="00302E3C">
        <w:rPr>
          <w:lang w:val="en-US"/>
        </w:rPr>
        <w:t>available.</w:t>
      </w:r>
    </w:p>
    <w:p w14:paraId="2B715D37" w14:textId="736D52EC" w:rsidR="00453F15" w:rsidRDefault="00453F15" w:rsidP="00860EF5">
      <w:pPr>
        <w:pStyle w:val="Heading3"/>
      </w:pPr>
      <w:r w:rsidRPr="000E25B1">
        <w:t>Socia</w:t>
      </w:r>
      <w:r w:rsidR="00823F92" w:rsidRPr="000E25B1">
        <w:t>l</w:t>
      </w:r>
      <w:r w:rsidR="00823F92">
        <w:t xml:space="preserve"> </w:t>
      </w:r>
      <w:r>
        <w:t>w</w:t>
      </w:r>
      <w:r w:rsidRPr="000E25B1">
        <w:t>orkers</w:t>
      </w:r>
    </w:p>
    <w:p w14:paraId="0FCD8D7B" w14:textId="1FEE80A6" w:rsidR="005137B8" w:rsidRPr="00B270EB" w:rsidRDefault="005137B8" w:rsidP="005137B8">
      <w:pPr>
        <w:pStyle w:val="BodyText"/>
        <w:rPr>
          <w:lang w:val="en-US"/>
        </w:rPr>
      </w:pPr>
      <w:r w:rsidRPr="009245F1">
        <w:rPr>
          <w:lang w:val="en-US"/>
        </w:rPr>
        <w:t>Role:</w:t>
      </w:r>
      <w:r w:rsidR="00B270EB" w:rsidRPr="00B270EB">
        <w:rPr>
          <w:lang w:val="en-US"/>
        </w:rPr>
        <w:t xml:space="preserve"> </w:t>
      </w:r>
      <w:r w:rsidR="00B270EB" w:rsidRPr="006C4490">
        <w:rPr>
          <w:lang w:val="en-US"/>
        </w:rPr>
        <w:t>Socia</w:t>
      </w:r>
      <w:r w:rsidR="00823F92" w:rsidRPr="006C4490">
        <w:rPr>
          <w:lang w:val="en-US"/>
        </w:rPr>
        <w:t>l</w:t>
      </w:r>
      <w:r w:rsidR="00823F92">
        <w:rPr>
          <w:lang w:val="en-US"/>
        </w:rPr>
        <w:t xml:space="preserve"> </w:t>
      </w:r>
      <w:r w:rsidR="00B270EB">
        <w:rPr>
          <w:lang w:val="en-US"/>
        </w:rPr>
        <w:t>w</w:t>
      </w:r>
      <w:r w:rsidR="00B270EB" w:rsidRPr="006C4490">
        <w:rPr>
          <w:lang w:val="en-US"/>
        </w:rPr>
        <w:t>orker</w:t>
      </w:r>
      <w:r w:rsidR="00823F92" w:rsidRPr="006C4490">
        <w:rPr>
          <w:lang w:val="en-US"/>
        </w:rPr>
        <w:t>s</w:t>
      </w:r>
      <w:r w:rsidR="00823F92">
        <w:rPr>
          <w:lang w:val="en-US"/>
        </w:rPr>
        <w:t xml:space="preserve"> </w:t>
      </w:r>
      <w:r w:rsidR="00B270EB" w:rsidRPr="006C4490">
        <w:rPr>
          <w:lang w:val="en-US"/>
        </w:rPr>
        <w:t>offe</w:t>
      </w:r>
      <w:r w:rsidR="00823F92" w:rsidRPr="006C4490">
        <w:rPr>
          <w:lang w:val="en-US"/>
        </w:rPr>
        <w:t>r</w:t>
      </w:r>
      <w:r w:rsidR="00823F92">
        <w:rPr>
          <w:lang w:val="en-US"/>
        </w:rPr>
        <w:t xml:space="preserve"> </w:t>
      </w:r>
      <w:r w:rsidR="00B270EB" w:rsidRPr="006C4490">
        <w:rPr>
          <w:lang w:val="en-US"/>
        </w:rPr>
        <w:t>counsellin</w:t>
      </w:r>
      <w:r w:rsidR="00823F92" w:rsidRPr="006C4490">
        <w:rPr>
          <w:lang w:val="en-US"/>
        </w:rPr>
        <w:t>g</w:t>
      </w:r>
      <w:r w:rsidR="00823F92">
        <w:rPr>
          <w:lang w:val="en-US"/>
        </w:rPr>
        <w:t xml:space="preserve"> </w:t>
      </w:r>
      <w:r w:rsidR="00B270EB" w:rsidRPr="006C4490">
        <w:rPr>
          <w:lang w:val="en-US"/>
        </w:rPr>
        <w:t>support</w:t>
      </w:r>
      <w:r w:rsidR="00823F92" w:rsidRPr="006C4490">
        <w:rPr>
          <w:lang w:val="en-US"/>
        </w:rPr>
        <w:t>,</w:t>
      </w:r>
      <w:r w:rsidR="00823F92">
        <w:rPr>
          <w:lang w:val="en-US"/>
        </w:rPr>
        <w:t xml:space="preserve"> </w:t>
      </w:r>
      <w:r w:rsidR="00B270EB" w:rsidRPr="006C4490">
        <w:rPr>
          <w:lang w:val="en-US"/>
        </w:rPr>
        <w:t>communit</w:t>
      </w:r>
      <w:r w:rsidR="00823F92" w:rsidRPr="006C4490">
        <w:rPr>
          <w:lang w:val="en-US"/>
        </w:rPr>
        <w:t>y</w:t>
      </w:r>
      <w:r w:rsidR="00823F92">
        <w:rPr>
          <w:lang w:val="en-US"/>
        </w:rPr>
        <w:t xml:space="preserve"> </w:t>
      </w:r>
      <w:r w:rsidR="00B270EB" w:rsidRPr="006C4490">
        <w:rPr>
          <w:lang w:val="en-US"/>
        </w:rPr>
        <w:t>engagemen</w:t>
      </w:r>
      <w:r w:rsidR="00823F92" w:rsidRPr="006C4490">
        <w:rPr>
          <w:lang w:val="en-US"/>
        </w:rPr>
        <w:t>t</w:t>
      </w:r>
      <w:r w:rsidR="00823F92">
        <w:rPr>
          <w:lang w:val="en-US"/>
        </w:rPr>
        <w:t xml:space="preserve"> </w:t>
      </w:r>
      <w:r w:rsidR="00B270EB" w:rsidRPr="006C4490">
        <w:rPr>
          <w:lang w:val="en-US"/>
        </w:rPr>
        <w:t>an</w:t>
      </w:r>
      <w:r w:rsidR="00823F92" w:rsidRPr="006C4490">
        <w:rPr>
          <w:lang w:val="en-US"/>
        </w:rPr>
        <w:t>d</w:t>
      </w:r>
      <w:r w:rsidR="00823F92">
        <w:rPr>
          <w:lang w:val="en-US"/>
        </w:rPr>
        <w:t xml:space="preserve"> </w:t>
      </w:r>
      <w:r w:rsidR="00B270EB" w:rsidRPr="006C4490">
        <w:rPr>
          <w:lang w:val="en-US"/>
        </w:rPr>
        <w:t>clinica</w:t>
      </w:r>
      <w:r w:rsidR="00823F92" w:rsidRPr="006C4490">
        <w:rPr>
          <w:lang w:val="en-US"/>
        </w:rPr>
        <w:t>l</w:t>
      </w:r>
      <w:r w:rsidR="00823F92">
        <w:rPr>
          <w:lang w:val="en-US"/>
        </w:rPr>
        <w:t xml:space="preserve"> </w:t>
      </w:r>
      <w:r w:rsidR="00B270EB" w:rsidRPr="006C4490">
        <w:rPr>
          <w:lang w:val="en-US"/>
        </w:rPr>
        <w:t>service</w:t>
      </w:r>
      <w:r w:rsidR="00823F92" w:rsidRPr="006C4490">
        <w:rPr>
          <w:lang w:val="en-US"/>
        </w:rPr>
        <w:t>s</w:t>
      </w:r>
      <w:r w:rsidR="00823F92">
        <w:rPr>
          <w:lang w:val="en-US"/>
        </w:rPr>
        <w:t xml:space="preserve"> </w:t>
      </w:r>
      <w:proofErr w:type="spellStart"/>
      <w:r w:rsidR="00B270EB" w:rsidRPr="006C4490">
        <w:rPr>
          <w:lang w:val="en-US"/>
        </w:rPr>
        <w:t>utilisin</w:t>
      </w:r>
      <w:r w:rsidR="00823F92" w:rsidRPr="006C4490">
        <w:rPr>
          <w:lang w:val="en-US"/>
        </w:rPr>
        <w:t>g</w:t>
      </w:r>
      <w:proofErr w:type="spellEnd"/>
      <w:r w:rsidR="00823F92">
        <w:rPr>
          <w:lang w:val="en-US"/>
        </w:rPr>
        <w:t xml:space="preserve"> </w:t>
      </w:r>
      <w:r w:rsidR="00823F92" w:rsidRPr="006C4490">
        <w:rPr>
          <w:lang w:val="en-US"/>
        </w:rPr>
        <w:t>a</w:t>
      </w:r>
      <w:r w:rsidR="00823F92">
        <w:rPr>
          <w:lang w:val="en-US"/>
        </w:rPr>
        <w:t xml:space="preserve"> </w:t>
      </w:r>
      <w:r w:rsidR="00B270EB" w:rsidRPr="006C4490">
        <w:rPr>
          <w:lang w:val="en-US"/>
        </w:rPr>
        <w:t>rang</w:t>
      </w:r>
      <w:r w:rsidR="00823F92" w:rsidRPr="006C4490">
        <w:rPr>
          <w:lang w:val="en-US"/>
        </w:rPr>
        <w:t>e</w:t>
      </w:r>
      <w:r w:rsidR="00823F92">
        <w:rPr>
          <w:lang w:val="en-US"/>
        </w:rPr>
        <w:t xml:space="preserve"> </w:t>
      </w:r>
      <w:r w:rsidR="00B270EB" w:rsidRPr="006C4490">
        <w:rPr>
          <w:lang w:val="en-US"/>
        </w:rPr>
        <w:t>o</w:t>
      </w:r>
      <w:r w:rsidR="00823F92" w:rsidRPr="006C4490">
        <w:rPr>
          <w:lang w:val="en-US"/>
        </w:rPr>
        <w:t>f</w:t>
      </w:r>
      <w:r w:rsidR="00823F92">
        <w:rPr>
          <w:lang w:val="en-US"/>
        </w:rPr>
        <w:t xml:space="preserve"> </w:t>
      </w:r>
      <w:r w:rsidR="00B270EB" w:rsidRPr="006C4490">
        <w:rPr>
          <w:lang w:val="en-US"/>
        </w:rPr>
        <w:t>evidence-base</w:t>
      </w:r>
      <w:r w:rsidR="00823F92" w:rsidRPr="006C4490">
        <w:rPr>
          <w:lang w:val="en-US"/>
        </w:rPr>
        <w:t>d</w:t>
      </w:r>
      <w:r w:rsidR="00823F92">
        <w:rPr>
          <w:lang w:val="en-US"/>
        </w:rPr>
        <w:t xml:space="preserve"> </w:t>
      </w:r>
      <w:r w:rsidR="00B270EB" w:rsidRPr="006C4490">
        <w:rPr>
          <w:lang w:val="en-US"/>
        </w:rPr>
        <w:t>strategie</w:t>
      </w:r>
      <w:r w:rsidR="00823F92" w:rsidRPr="006C4490">
        <w:rPr>
          <w:lang w:val="en-US"/>
        </w:rPr>
        <w:t>s</w:t>
      </w:r>
      <w:r w:rsidR="00823F92">
        <w:rPr>
          <w:lang w:val="en-US"/>
        </w:rPr>
        <w:t xml:space="preserve"> </w:t>
      </w:r>
      <w:r w:rsidR="00B270EB" w:rsidRPr="006C4490">
        <w:rPr>
          <w:lang w:val="en-US"/>
        </w:rPr>
        <w:t>t</w:t>
      </w:r>
      <w:r w:rsidR="00823F92" w:rsidRPr="006C4490">
        <w:rPr>
          <w:lang w:val="en-US"/>
        </w:rPr>
        <w:t>o</w:t>
      </w:r>
      <w:r w:rsidR="00823F92">
        <w:rPr>
          <w:lang w:val="en-US"/>
        </w:rPr>
        <w:t xml:space="preserve"> </w:t>
      </w:r>
      <w:r w:rsidR="00B270EB" w:rsidRPr="006C4490">
        <w:rPr>
          <w:lang w:val="en-US"/>
        </w:rPr>
        <w:t>assis</w:t>
      </w:r>
      <w:r w:rsidR="00823F92" w:rsidRPr="006C4490">
        <w:rPr>
          <w:lang w:val="en-US"/>
        </w:rPr>
        <w:t>t</w:t>
      </w:r>
      <w:r w:rsidR="00823F92">
        <w:rPr>
          <w:lang w:val="en-US"/>
        </w:rPr>
        <w:t xml:space="preserve"> </w:t>
      </w:r>
      <w:r w:rsidR="00B270EB" w:rsidRPr="006C4490">
        <w:rPr>
          <w:lang w:val="en-US"/>
        </w:rPr>
        <w:t>peopl</w:t>
      </w:r>
      <w:r w:rsidR="00823F92" w:rsidRPr="006C4490">
        <w:rPr>
          <w:lang w:val="en-US"/>
        </w:rPr>
        <w:t>e</w:t>
      </w:r>
      <w:r w:rsidR="00823F92">
        <w:rPr>
          <w:lang w:val="en-US"/>
        </w:rPr>
        <w:t xml:space="preserve"> </w:t>
      </w:r>
      <w:r w:rsidR="00B270EB">
        <w:rPr>
          <w:lang w:val="en-US"/>
        </w:rPr>
        <w:t>experiencin</w:t>
      </w:r>
      <w:r w:rsidR="00823F92">
        <w:rPr>
          <w:lang w:val="en-US"/>
        </w:rPr>
        <w:t xml:space="preserve">g </w:t>
      </w:r>
      <w:r w:rsidR="00B270EB" w:rsidRPr="006C4490">
        <w:rPr>
          <w:lang w:val="en-US"/>
        </w:rPr>
        <w:t>menta</w:t>
      </w:r>
      <w:r w:rsidR="00823F92" w:rsidRPr="006C4490">
        <w:rPr>
          <w:lang w:val="en-US"/>
        </w:rPr>
        <w:t>l</w:t>
      </w:r>
      <w:r w:rsidR="00823F92">
        <w:rPr>
          <w:lang w:val="en-US"/>
        </w:rPr>
        <w:t xml:space="preserve"> </w:t>
      </w:r>
      <w:r w:rsidR="00B270EB">
        <w:rPr>
          <w:lang w:val="en-US"/>
        </w:rPr>
        <w:t>distres</w:t>
      </w:r>
      <w:r w:rsidR="00823F92">
        <w:rPr>
          <w:lang w:val="en-US"/>
        </w:rPr>
        <w:t xml:space="preserve">s </w:t>
      </w:r>
      <w:r w:rsidR="00B270EB">
        <w:rPr>
          <w:lang w:val="en-US"/>
        </w:rPr>
        <w:t>and/o</w:t>
      </w:r>
      <w:r w:rsidR="00823F92">
        <w:rPr>
          <w:lang w:val="en-US"/>
        </w:rPr>
        <w:t xml:space="preserve">r </w:t>
      </w:r>
      <w:r w:rsidR="00B270EB" w:rsidRPr="006C4490">
        <w:rPr>
          <w:lang w:val="en-US"/>
        </w:rPr>
        <w:t>ill-health</w:t>
      </w:r>
      <w:r w:rsidR="00823F92" w:rsidRPr="006C4490">
        <w:rPr>
          <w:lang w:val="en-US"/>
        </w:rPr>
        <w:t>.</w:t>
      </w:r>
      <w:r w:rsidR="00823F92">
        <w:rPr>
          <w:lang w:val="en-US"/>
        </w:rPr>
        <w:t xml:space="preserve"> </w:t>
      </w:r>
      <w:r w:rsidR="00B270EB" w:rsidRPr="006C4490">
        <w:rPr>
          <w:lang w:val="en-US"/>
        </w:rPr>
        <w:t>Ther</w:t>
      </w:r>
      <w:r w:rsidR="00823F92" w:rsidRPr="006C4490">
        <w:rPr>
          <w:lang w:val="en-US"/>
        </w:rPr>
        <w:t>e</w:t>
      </w:r>
      <w:r w:rsidR="00823F92">
        <w:rPr>
          <w:lang w:val="en-US"/>
        </w:rPr>
        <w:t xml:space="preserve"> </w:t>
      </w:r>
      <w:r w:rsidR="00B270EB" w:rsidRPr="006C4490">
        <w:rPr>
          <w:lang w:val="en-US"/>
        </w:rPr>
        <w:t>ar</w:t>
      </w:r>
      <w:r w:rsidR="00823F92" w:rsidRPr="006C4490">
        <w:rPr>
          <w:lang w:val="en-US"/>
        </w:rPr>
        <w:t>e</w:t>
      </w:r>
      <w:r w:rsidR="00823F92">
        <w:rPr>
          <w:lang w:val="en-US"/>
        </w:rPr>
        <w:t xml:space="preserve"> </w:t>
      </w:r>
      <w:r w:rsidR="00B270EB" w:rsidRPr="006C4490">
        <w:rPr>
          <w:lang w:val="en-US"/>
        </w:rPr>
        <w:t>als</w:t>
      </w:r>
      <w:r w:rsidR="00823F92" w:rsidRPr="006C4490">
        <w:rPr>
          <w:lang w:val="en-US"/>
        </w:rPr>
        <w:t>o</w:t>
      </w:r>
      <w:r w:rsidR="00823F92">
        <w:rPr>
          <w:lang w:val="en-US"/>
        </w:rPr>
        <w:t xml:space="preserve"> </w:t>
      </w:r>
      <w:r w:rsidR="00B270EB">
        <w:rPr>
          <w:lang w:val="en-US"/>
        </w:rPr>
        <w:t>a</w:t>
      </w:r>
      <w:r w:rsidR="00B270EB" w:rsidRPr="006C4490">
        <w:rPr>
          <w:lang w:val="en-US"/>
        </w:rPr>
        <w:t>ccredite</w:t>
      </w:r>
      <w:r w:rsidR="00823F92" w:rsidRPr="006C4490">
        <w:rPr>
          <w:lang w:val="en-US"/>
        </w:rPr>
        <w:t>d</w:t>
      </w:r>
      <w:r w:rsidR="00823F92">
        <w:rPr>
          <w:lang w:val="en-US"/>
        </w:rPr>
        <w:t xml:space="preserve"> </w:t>
      </w:r>
      <w:r w:rsidR="00B270EB">
        <w:rPr>
          <w:lang w:val="en-US"/>
        </w:rPr>
        <w:t>m</w:t>
      </w:r>
      <w:r w:rsidR="00B270EB" w:rsidRPr="006C4490">
        <w:rPr>
          <w:lang w:val="en-US"/>
        </w:rPr>
        <w:t>enta</w:t>
      </w:r>
      <w:r w:rsidR="00823F92" w:rsidRPr="006C4490">
        <w:rPr>
          <w:lang w:val="en-US"/>
        </w:rPr>
        <w:t>l</w:t>
      </w:r>
      <w:r w:rsidR="00823F92">
        <w:rPr>
          <w:lang w:val="en-US"/>
        </w:rPr>
        <w:t xml:space="preserve"> </w:t>
      </w:r>
      <w:r w:rsidR="00B270EB">
        <w:rPr>
          <w:lang w:val="en-US"/>
        </w:rPr>
        <w:t>h</w:t>
      </w:r>
      <w:r w:rsidR="00B270EB" w:rsidRPr="006C4490">
        <w:rPr>
          <w:lang w:val="en-US"/>
        </w:rPr>
        <w:t>ealt</w:t>
      </w:r>
      <w:r w:rsidR="00823F92" w:rsidRPr="006C4490">
        <w:rPr>
          <w:lang w:val="en-US"/>
        </w:rPr>
        <w:t>h</w:t>
      </w:r>
      <w:r w:rsidR="00823F92">
        <w:rPr>
          <w:lang w:val="en-US"/>
        </w:rPr>
        <w:t xml:space="preserve"> </w:t>
      </w:r>
      <w:r w:rsidR="00B270EB">
        <w:rPr>
          <w:lang w:val="en-US"/>
        </w:rPr>
        <w:t>s</w:t>
      </w:r>
      <w:r w:rsidR="00B270EB" w:rsidRPr="006C4490">
        <w:rPr>
          <w:lang w:val="en-US"/>
        </w:rPr>
        <w:t>ocia</w:t>
      </w:r>
      <w:r w:rsidR="00823F92" w:rsidRPr="006C4490">
        <w:rPr>
          <w:lang w:val="en-US"/>
        </w:rPr>
        <w:t>l</w:t>
      </w:r>
      <w:r w:rsidR="00823F92">
        <w:rPr>
          <w:lang w:val="en-US"/>
        </w:rPr>
        <w:t xml:space="preserve"> </w:t>
      </w:r>
      <w:r w:rsidR="00B270EB">
        <w:rPr>
          <w:lang w:val="en-US"/>
        </w:rPr>
        <w:t>w</w:t>
      </w:r>
      <w:r w:rsidR="00B270EB" w:rsidRPr="006C4490">
        <w:rPr>
          <w:lang w:val="en-US"/>
        </w:rPr>
        <w:t>orkers</w:t>
      </w:r>
      <w:r w:rsidR="00823F92" w:rsidRPr="006C4490">
        <w:rPr>
          <w:lang w:val="en-US"/>
        </w:rPr>
        <w:t>,</w:t>
      </w:r>
      <w:r w:rsidR="00823F92">
        <w:rPr>
          <w:lang w:val="en-US"/>
        </w:rPr>
        <w:t xml:space="preserve"> </w:t>
      </w:r>
      <w:r w:rsidR="00B270EB" w:rsidRPr="006C4490">
        <w:rPr>
          <w:lang w:val="en-US"/>
        </w:rPr>
        <w:t>wh</w:t>
      </w:r>
      <w:r w:rsidR="00823F92" w:rsidRPr="006C4490">
        <w:rPr>
          <w:lang w:val="en-US"/>
        </w:rPr>
        <w:t>o</w:t>
      </w:r>
      <w:r w:rsidR="00823F92">
        <w:rPr>
          <w:lang w:val="en-US"/>
        </w:rPr>
        <w:t xml:space="preserve"> </w:t>
      </w:r>
      <w:r w:rsidR="00B270EB" w:rsidRPr="006C4490">
        <w:rPr>
          <w:lang w:val="en-US"/>
        </w:rPr>
        <w:t>ar</w:t>
      </w:r>
      <w:r w:rsidR="00823F92" w:rsidRPr="006C4490">
        <w:rPr>
          <w:lang w:val="en-US"/>
        </w:rPr>
        <w:t>e</w:t>
      </w:r>
      <w:r w:rsidR="00823F92">
        <w:rPr>
          <w:lang w:val="en-US"/>
        </w:rPr>
        <w:t xml:space="preserve"> </w:t>
      </w:r>
      <w:proofErr w:type="spellStart"/>
      <w:r w:rsidR="00B270EB" w:rsidRPr="006C4490">
        <w:rPr>
          <w:lang w:val="en-US"/>
        </w:rPr>
        <w:t>recognise</w:t>
      </w:r>
      <w:r w:rsidR="00823F92" w:rsidRPr="006C4490">
        <w:rPr>
          <w:lang w:val="en-US"/>
        </w:rPr>
        <w:t>d</w:t>
      </w:r>
      <w:proofErr w:type="spellEnd"/>
      <w:r w:rsidR="00823F92">
        <w:rPr>
          <w:lang w:val="en-US"/>
        </w:rPr>
        <w:t xml:space="preserve"> </w:t>
      </w:r>
      <w:r w:rsidR="00B270EB" w:rsidRPr="006C4490">
        <w:rPr>
          <w:lang w:val="en-US"/>
        </w:rPr>
        <w:t>provider</w:t>
      </w:r>
      <w:r w:rsidR="00823F92" w:rsidRPr="006C4490">
        <w:rPr>
          <w:lang w:val="en-US"/>
        </w:rPr>
        <w:t>s</w:t>
      </w:r>
      <w:r w:rsidR="00823F92">
        <w:rPr>
          <w:lang w:val="en-US"/>
        </w:rPr>
        <w:t xml:space="preserve"> </w:t>
      </w:r>
      <w:r w:rsidR="00B270EB" w:rsidRPr="006C4490">
        <w:rPr>
          <w:lang w:val="en-US"/>
        </w:rPr>
        <w:t>throug</w:t>
      </w:r>
      <w:r w:rsidR="00823F92" w:rsidRPr="006C4490">
        <w:rPr>
          <w:lang w:val="en-US"/>
        </w:rPr>
        <w:t>h</w:t>
      </w:r>
      <w:r w:rsidR="00823F92">
        <w:rPr>
          <w:lang w:val="en-US"/>
        </w:rPr>
        <w:t xml:space="preserve"> </w:t>
      </w:r>
      <w:r w:rsidR="00B270EB" w:rsidRPr="006C4490">
        <w:rPr>
          <w:lang w:val="en-US"/>
        </w:rPr>
        <w:t>th</w:t>
      </w:r>
      <w:r w:rsidR="00823F92" w:rsidRPr="006C4490">
        <w:rPr>
          <w:lang w:val="en-US"/>
        </w:rPr>
        <w:t>e</w:t>
      </w:r>
      <w:r w:rsidR="00823F92">
        <w:rPr>
          <w:lang w:val="en-US"/>
        </w:rPr>
        <w:t xml:space="preserve"> </w:t>
      </w:r>
      <w:r w:rsidR="00B270EB" w:rsidRPr="006C4490">
        <w:rPr>
          <w:lang w:val="en-US"/>
        </w:rPr>
        <w:t>Bette</w:t>
      </w:r>
      <w:r w:rsidR="00823F92" w:rsidRPr="006C4490">
        <w:rPr>
          <w:lang w:val="en-US"/>
        </w:rPr>
        <w:t>r</w:t>
      </w:r>
      <w:r w:rsidR="00823F92">
        <w:rPr>
          <w:lang w:val="en-US"/>
        </w:rPr>
        <w:t xml:space="preserve"> </w:t>
      </w:r>
      <w:r w:rsidR="00B270EB" w:rsidRPr="006C4490">
        <w:rPr>
          <w:lang w:val="en-US"/>
        </w:rPr>
        <w:t>Acces</w:t>
      </w:r>
      <w:r w:rsidR="00823F92" w:rsidRPr="006C4490">
        <w:rPr>
          <w:lang w:val="en-US"/>
        </w:rPr>
        <w:t>s</w:t>
      </w:r>
      <w:r w:rsidR="00823F92">
        <w:rPr>
          <w:lang w:val="en-US"/>
        </w:rPr>
        <w:t xml:space="preserve"> </w:t>
      </w:r>
      <w:r w:rsidR="00B270EB" w:rsidRPr="006C4490">
        <w:rPr>
          <w:lang w:val="en-US"/>
        </w:rPr>
        <w:t>program</w:t>
      </w:r>
      <w:r w:rsidR="00823F92" w:rsidRPr="006C4490">
        <w:rPr>
          <w:lang w:val="en-US"/>
        </w:rPr>
        <w:t>.</w:t>
      </w:r>
      <w:r w:rsidR="00823F92">
        <w:rPr>
          <w:lang w:val="en-US"/>
        </w:rPr>
        <w:t xml:space="preserve"> </w:t>
      </w:r>
    </w:p>
    <w:p w14:paraId="5BB9504B" w14:textId="603B536B" w:rsidR="005137B8" w:rsidRPr="002B44F4" w:rsidRDefault="005137B8" w:rsidP="005137B8">
      <w:pPr>
        <w:pStyle w:val="BodyText"/>
        <w:rPr>
          <w:lang w:val="en-US"/>
        </w:rPr>
      </w:pPr>
      <w:r w:rsidRPr="009245F1">
        <w:rPr>
          <w:lang w:val="en-US"/>
        </w:rPr>
        <w:t>Setting:</w:t>
      </w:r>
      <w:r>
        <w:rPr>
          <w:b/>
          <w:bCs/>
          <w:lang w:val="en-US"/>
        </w:rPr>
        <w:t xml:space="preserve"> </w:t>
      </w:r>
      <w:r w:rsidR="002B44F4">
        <w:rPr>
          <w:lang w:val="en-US"/>
        </w:rPr>
        <w:t>Mos</w:t>
      </w:r>
      <w:r w:rsidR="00823F92">
        <w:rPr>
          <w:lang w:val="en-US"/>
        </w:rPr>
        <w:t xml:space="preserve">t </w:t>
      </w:r>
      <w:r w:rsidR="002B44F4">
        <w:rPr>
          <w:lang w:val="en-US"/>
        </w:rPr>
        <w:t>socia</w:t>
      </w:r>
      <w:r w:rsidR="00823F92">
        <w:rPr>
          <w:lang w:val="en-US"/>
        </w:rPr>
        <w:t xml:space="preserve">l </w:t>
      </w:r>
      <w:r w:rsidR="002B44F4">
        <w:rPr>
          <w:lang w:val="en-US"/>
        </w:rPr>
        <w:t>worker</w:t>
      </w:r>
      <w:r w:rsidR="00823F92">
        <w:rPr>
          <w:lang w:val="en-US"/>
        </w:rPr>
        <w:t xml:space="preserve">s </w:t>
      </w:r>
      <w:r w:rsidR="002B44F4">
        <w:rPr>
          <w:lang w:val="en-US"/>
        </w:rPr>
        <w:t>wor</w:t>
      </w:r>
      <w:r w:rsidR="00823F92">
        <w:rPr>
          <w:lang w:val="en-US"/>
        </w:rPr>
        <w:t xml:space="preserve">k </w:t>
      </w:r>
      <w:r w:rsidR="002B44F4">
        <w:rPr>
          <w:lang w:val="en-US"/>
        </w:rPr>
        <w:t>i</w:t>
      </w:r>
      <w:r w:rsidR="00823F92">
        <w:rPr>
          <w:lang w:val="en-US"/>
        </w:rPr>
        <w:t xml:space="preserve">n </w:t>
      </w:r>
      <w:r w:rsidR="002B44F4">
        <w:rPr>
          <w:lang w:val="en-US"/>
        </w:rPr>
        <w:t>publi</w:t>
      </w:r>
      <w:r w:rsidR="00823F92">
        <w:rPr>
          <w:lang w:val="en-US"/>
        </w:rPr>
        <w:t xml:space="preserve">c </w:t>
      </w:r>
      <w:r w:rsidR="002B44F4">
        <w:rPr>
          <w:lang w:val="en-US"/>
        </w:rPr>
        <w:t>settings</w:t>
      </w:r>
      <w:r w:rsidR="00823F92">
        <w:rPr>
          <w:lang w:val="en-US"/>
        </w:rPr>
        <w:t xml:space="preserve">. </w:t>
      </w:r>
    </w:p>
    <w:p w14:paraId="6F4A3851" w14:textId="7C4CDCF8" w:rsidR="005137B8" w:rsidRDefault="005137B8" w:rsidP="005137B8">
      <w:pPr>
        <w:pStyle w:val="BodyText"/>
        <w:rPr>
          <w:lang w:val="en-US"/>
        </w:rPr>
      </w:pPr>
      <w:r w:rsidRPr="009245F1">
        <w:rPr>
          <w:lang w:val="en-US"/>
        </w:rPr>
        <w:t>Training:</w:t>
      </w:r>
      <w:r>
        <w:rPr>
          <w:b/>
          <w:bCs/>
          <w:lang w:val="en-US"/>
        </w:rPr>
        <w:t xml:space="preserve"> </w:t>
      </w:r>
      <w:r w:rsidR="00B270EB" w:rsidRPr="00AD4BF2">
        <w:rPr>
          <w:lang w:val="en-US"/>
        </w:rPr>
        <w:t>Socia</w:t>
      </w:r>
      <w:r w:rsidR="00823F92" w:rsidRPr="00AD4BF2">
        <w:rPr>
          <w:lang w:val="en-US"/>
        </w:rPr>
        <w:t>l</w:t>
      </w:r>
      <w:r w:rsidR="00823F92">
        <w:rPr>
          <w:lang w:val="en-US"/>
        </w:rPr>
        <w:t xml:space="preserve"> </w:t>
      </w:r>
      <w:r w:rsidR="00B270EB">
        <w:rPr>
          <w:lang w:val="en-US"/>
        </w:rPr>
        <w:t>w</w:t>
      </w:r>
      <w:r w:rsidR="00B270EB" w:rsidRPr="00AD4BF2">
        <w:rPr>
          <w:lang w:val="en-US"/>
        </w:rPr>
        <w:t>orker</w:t>
      </w:r>
      <w:r w:rsidR="00823F92" w:rsidRPr="00AD4BF2">
        <w:rPr>
          <w:lang w:val="en-US"/>
        </w:rPr>
        <w:t>s</w:t>
      </w:r>
      <w:r w:rsidR="00823F92">
        <w:rPr>
          <w:lang w:val="en-US"/>
        </w:rPr>
        <w:t xml:space="preserve"> </w:t>
      </w:r>
      <w:r w:rsidR="00B270EB" w:rsidRPr="00AD4BF2">
        <w:rPr>
          <w:lang w:val="en-US"/>
        </w:rPr>
        <w:t>mus</w:t>
      </w:r>
      <w:r w:rsidR="00823F92" w:rsidRPr="00AD4BF2">
        <w:rPr>
          <w:lang w:val="en-US"/>
        </w:rPr>
        <w:t>t</w:t>
      </w:r>
      <w:r w:rsidR="00823F92">
        <w:rPr>
          <w:lang w:val="en-US"/>
        </w:rPr>
        <w:t xml:space="preserve"> </w:t>
      </w:r>
      <w:r w:rsidR="00B270EB" w:rsidRPr="00AD4BF2">
        <w:rPr>
          <w:lang w:val="en-US"/>
        </w:rPr>
        <w:t>complet</w:t>
      </w:r>
      <w:r w:rsidR="00823F92" w:rsidRPr="00AD4BF2">
        <w:rPr>
          <w:lang w:val="en-US"/>
        </w:rPr>
        <w:t>e</w:t>
      </w:r>
      <w:r w:rsidR="00823F92">
        <w:rPr>
          <w:lang w:val="en-US"/>
        </w:rPr>
        <w:t xml:space="preserve"> </w:t>
      </w:r>
      <w:r w:rsidR="00823F92" w:rsidRPr="00AD4BF2">
        <w:rPr>
          <w:lang w:val="en-US"/>
        </w:rPr>
        <w:t>a</w:t>
      </w:r>
      <w:r w:rsidR="00823F92">
        <w:rPr>
          <w:lang w:val="en-US"/>
        </w:rPr>
        <w:t xml:space="preserve"> </w:t>
      </w:r>
      <w:r w:rsidR="00B270EB" w:rsidRPr="00AD4BF2">
        <w:rPr>
          <w:lang w:val="en-US"/>
        </w:rPr>
        <w:t>minimu</w:t>
      </w:r>
      <w:r w:rsidR="00823F92" w:rsidRPr="00AD4BF2">
        <w:rPr>
          <w:lang w:val="en-US"/>
        </w:rPr>
        <w:t>m</w:t>
      </w:r>
      <w:r w:rsidR="00823F92">
        <w:rPr>
          <w:lang w:val="en-US"/>
        </w:rPr>
        <w:t xml:space="preserve"> </w:t>
      </w:r>
      <w:r w:rsidR="00B270EB" w:rsidRPr="00AD4BF2">
        <w:rPr>
          <w:lang w:val="en-US"/>
        </w:rPr>
        <w:t>Bachelo</w:t>
      </w:r>
      <w:r w:rsidR="00823F92" w:rsidRPr="00AD4BF2">
        <w:rPr>
          <w:lang w:val="en-US"/>
        </w:rPr>
        <w:t>r</w:t>
      </w:r>
      <w:r w:rsidR="00823F92">
        <w:rPr>
          <w:lang w:val="en-US"/>
        </w:rPr>
        <w:t xml:space="preserve"> </w:t>
      </w:r>
      <w:r w:rsidR="00B270EB" w:rsidRPr="00AD4BF2">
        <w:rPr>
          <w:lang w:val="en-US"/>
        </w:rPr>
        <w:t>o</w:t>
      </w:r>
      <w:r w:rsidR="00823F92" w:rsidRPr="00AD4BF2">
        <w:rPr>
          <w:lang w:val="en-US"/>
        </w:rPr>
        <w:t>f</w:t>
      </w:r>
      <w:r w:rsidR="00823F92">
        <w:rPr>
          <w:lang w:val="en-US"/>
        </w:rPr>
        <w:t xml:space="preserve"> </w:t>
      </w:r>
      <w:r w:rsidR="00B270EB" w:rsidRPr="00AD4BF2">
        <w:rPr>
          <w:lang w:val="en-US"/>
        </w:rPr>
        <w:t>Socia</w:t>
      </w:r>
      <w:r w:rsidR="00823F92" w:rsidRPr="00AD4BF2">
        <w:rPr>
          <w:lang w:val="en-US"/>
        </w:rPr>
        <w:t>l</w:t>
      </w:r>
      <w:r w:rsidR="00823F92">
        <w:rPr>
          <w:lang w:val="en-US"/>
        </w:rPr>
        <w:t xml:space="preserve"> </w:t>
      </w:r>
      <w:r w:rsidR="00B270EB" w:rsidRPr="00AD4BF2">
        <w:rPr>
          <w:lang w:val="en-US"/>
        </w:rPr>
        <w:t>Work</w:t>
      </w:r>
      <w:r w:rsidR="00823F92" w:rsidRPr="00AD4BF2">
        <w:rPr>
          <w:lang w:val="en-US"/>
        </w:rPr>
        <w:t>,</w:t>
      </w:r>
      <w:r w:rsidR="00823F92">
        <w:rPr>
          <w:lang w:val="en-US"/>
        </w:rPr>
        <w:t xml:space="preserve"> </w:t>
      </w:r>
      <w:r w:rsidR="00B270EB" w:rsidRPr="00AD4BF2">
        <w:rPr>
          <w:lang w:val="en-US"/>
        </w:rPr>
        <w:t>generall</w:t>
      </w:r>
      <w:r w:rsidR="00823F92" w:rsidRPr="00AD4BF2">
        <w:rPr>
          <w:lang w:val="en-US"/>
        </w:rPr>
        <w:t>y</w:t>
      </w:r>
      <w:r w:rsidR="00823F92">
        <w:rPr>
          <w:lang w:val="en-US"/>
        </w:rPr>
        <w:t xml:space="preserve"> </w:t>
      </w:r>
      <w:r w:rsidR="00B270EB">
        <w:rPr>
          <w:lang w:val="en-US"/>
        </w:rPr>
        <w:t>fou</w:t>
      </w:r>
      <w:r w:rsidR="00823F92">
        <w:rPr>
          <w:lang w:val="en-US"/>
        </w:rPr>
        <w:t xml:space="preserve">r </w:t>
      </w:r>
      <w:r w:rsidR="00B270EB" w:rsidRPr="00AD4BF2">
        <w:rPr>
          <w:lang w:val="en-US"/>
        </w:rPr>
        <w:t>years</w:t>
      </w:r>
      <w:r w:rsidR="00823F92" w:rsidRPr="00AD4BF2">
        <w:rPr>
          <w:lang w:val="en-US"/>
        </w:rPr>
        <w:t>.</w:t>
      </w:r>
      <w:r w:rsidR="00823F92">
        <w:rPr>
          <w:lang w:val="en-US"/>
        </w:rPr>
        <w:t xml:space="preserve"> </w:t>
      </w:r>
      <w:r w:rsidR="00B270EB">
        <w:rPr>
          <w:lang w:val="en-US"/>
        </w:rPr>
        <w:t>Accredite</w:t>
      </w:r>
      <w:r w:rsidR="00823F92">
        <w:rPr>
          <w:lang w:val="en-US"/>
        </w:rPr>
        <w:t xml:space="preserve">d </w:t>
      </w:r>
      <w:r w:rsidR="00B270EB" w:rsidRPr="00AD4BF2">
        <w:rPr>
          <w:lang w:val="en-US"/>
        </w:rPr>
        <w:t>Menta</w:t>
      </w:r>
      <w:r w:rsidR="00823F92" w:rsidRPr="00AD4BF2">
        <w:rPr>
          <w:lang w:val="en-US"/>
        </w:rPr>
        <w:t>l</w:t>
      </w:r>
      <w:r w:rsidR="00823F92">
        <w:rPr>
          <w:lang w:val="en-US"/>
        </w:rPr>
        <w:t xml:space="preserve"> </w:t>
      </w:r>
      <w:r w:rsidR="00B270EB" w:rsidRPr="00AD4BF2">
        <w:rPr>
          <w:lang w:val="en-US"/>
        </w:rPr>
        <w:t>Healt</w:t>
      </w:r>
      <w:r w:rsidR="00823F92" w:rsidRPr="00AD4BF2">
        <w:rPr>
          <w:lang w:val="en-US"/>
        </w:rPr>
        <w:t>h</w:t>
      </w:r>
      <w:r w:rsidR="00823F92">
        <w:rPr>
          <w:lang w:val="en-US"/>
        </w:rPr>
        <w:t xml:space="preserve"> </w:t>
      </w:r>
      <w:r w:rsidR="00B270EB" w:rsidRPr="00AD4BF2">
        <w:rPr>
          <w:lang w:val="en-US"/>
        </w:rPr>
        <w:t>Socia</w:t>
      </w:r>
      <w:r w:rsidR="00823F92" w:rsidRPr="00AD4BF2">
        <w:rPr>
          <w:lang w:val="en-US"/>
        </w:rPr>
        <w:t>l</w:t>
      </w:r>
      <w:r w:rsidR="00823F92">
        <w:rPr>
          <w:lang w:val="en-US"/>
        </w:rPr>
        <w:t xml:space="preserve"> </w:t>
      </w:r>
      <w:r w:rsidR="00B270EB" w:rsidRPr="00AD4BF2">
        <w:rPr>
          <w:lang w:val="en-US"/>
        </w:rPr>
        <w:t>Worker</w:t>
      </w:r>
      <w:r w:rsidR="00823F92" w:rsidRPr="00AD4BF2">
        <w:rPr>
          <w:lang w:val="en-US"/>
        </w:rPr>
        <w:t>s</w:t>
      </w:r>
      <w:r w:rsidR="00823F92">
        <w:rPr>
          <w:lang w:val="en-US"/>
        </w:rPr>
        <w:t xml:space="preserve"> </w:t>
      </w:r>
      <w:r w:rsidR="00B270EB" w:rsidRPr="00AD4BF2">
        <w:rPr>
          <w:lang w:val="en-US"/>
        </w:rPr>
        <w:t>mus</w:t>
      </w:r>
      <w:r w:rsidR="00823F92" w:rsidRPr="00AD4BF2">
        <w:rPr>
          <w:lang w:val="en-US"/>
        </w:rPr>
        <w:t>t</w:t>
      </w:r>
      <w:r w:rsidR="00823F92">
        <w:rPr>
          <w:lang w:val="en-US"/>
        </w:rPr>
        <w:t xml:space="preserve"> </w:t>
      </w:r>
      <w:r w:rsidR="00B270EB" w:rsidRPr="00AD4BF2">
        <w:rPr>
          <w:lang w:val="en-US"/>
        </w:rPr>
        <w:t>hav</w:t>
      </w:r>
      <w:r w:rsidR="00823F92" w:rsidRPr="00AD4BF2">
        <w:rPr>
          <w:lang w:val="en-US"/>
        </w:rPr>
        <w:t>e</w:t>
      </w:r>
      <w:r w:rsidR="00823F92">
        <w:rPr>
          <w:lang w:val="en-US"/>
        </w:rPr>
        <w:t xml:space="preserve"> </w:t>
      </w:r>
      <w:r w:rsidR="00B270EB" w:rsidRPr="00AD4BF2">
        <w:rPr>
          <w:lang w:val="en-US"/>
        </w:rPr>
        <w:t>receive</w:t>
      </w:r>
      <w:r w:rsidR="00823F92" w:rsidRPr="00AD4BF2">
        <w:rPr>
          <w:lang w:val="en-US"/>
        </w:rPr>
        <w:t>d</w:t>
      </w:r>
      <w:r w:rsidR="00823F92">
        <w:rPr>
          <w:lang w:val="en-US"/>
        </w:rPr>
        <w:t xml:space="preserve"> </w:t>
      </w:r>
      <w:r w:rsidR="00B270EB" w:rsidRPr="00AD4BF2">
        <w:rPr>
          <w:lang w:val="en-US"/>
        </w:rPr>
        <w:t>a</w:t>
      </w:r>
      <w:r w:rsidR="00823F92" w:rsidRPr="00AD4BF2">
        <w:rPr>
          <w:lang w:val="en-US"/>
        </w:rPr>
        <w:t>t</w:t>
      </w:r>
      <w:r w:rsidR="00823F92">
        <w:rPr>
          <w:lang w:val="en-US"/>
        </w:rPr>
        <w:t xml:space="preserve"> </w:t>
      </w:r>
      <w:r w:rsidR="00B270EB" w:rsidRPr="00AD4BF2">
        <w:rPr>
          <w:lang w:val="en-US"/>
        </w:rPr>
        <w:t>leas</w:t>
      </w:r>
      <w:r w:rsidR="00823F92" w:rsidRPr="00AD4BF2">
        <w:rPr>
          <w:lang w:val="en-US"/>
        </w:rPr>
        <w:t>t</w:t>
      </w:r>
      <w:r w:rsidR="00823F92">
        <w:rPr>
          <w:lang w:val="en-US"/>
        </w:rPr>
        <w:t xml:space="preserve"> </w:t>
      </w:r>
      <w:r w:rsidR="00B270EB" w:rsidRPr="00AD4BF2">
        <w:rPr>
          <w:lang w:val="en-US"/>
        </w:rPr>
        <w:t>tw</w:t>
      </w:r>
      <w:r w:rsidR="00823F92" w:rsidRPr="00AD4BF2">
        <w:rPr>
          <w:lang w:val="en-US"/>
        </w:rPr>
        <w:t>o</w:t>
      </w:r>
      <w:r w:rsidR="00823F92">
        <w:rPr>
          <w:lang w:val="en-US"/>
        </w:rPr>
        <w:t xml:space="preserve"> </w:t>
      </w:r>
      <w:r w:rsidR="00B270EB" w:rsidRPr="00AD4BF2">
        <w:rPr>
          <w:lang w:val="en-US"/>
        </w:rPr>
        <w:t>year</w:t>
      </w:r>
      <w:r w:rsidR="00823F92" w:rsidRPr="00AD4BF2">
        <w:rPr>
          <w:lang w:val="en-US"/>
        </w:rPr>
        <w:t>s</w:t>
      </w:r>
      <w:r w:rsidR="00823F92">
        <w:rPr>
          <w:lang w:val="en-US"/>
        </w:rPr>
        <w:t xml:space="preserve"> </w:t>
      </w:r>
      <w:r w:rsidR="00B270EB" w:rsidRPr="00AD4BF2">
        <w:rPr>
          <w:lang w:val="en-US"/>
        </w:rPr>
        <w:t>post-qualifyin</w:t>
      </w:r>
      <w:r w:rsidR="00823F92" w:rsidRPr="00AD4BF2">
        <w:rPr>
          <w:lang w:val="en-US"/>
        </w:rPr>
        <w:t>g</w:t>
      </w:r>
      <w:r w:rsidR="00823F92">
        <w:rPr>
          <w:lang w:val="en-US"/>
        </w:rPr>
        <w:t xml:space="preserve"> </w:t>
      </w:r>
      <w:r w:rsidR="00B270EB" w:rsidRPr="00AD4BF2">
        <w:rPr>
          <w:lang w:val="en-US"/>
        </w:rPr>
        <w:t>supervisio</w:t>
      </w:r>
      <w:r w:rsidR="00823F92" w:rsidRPr="00AD4BF2">
        <w:rPr>
          <w:lang w:val="en-US"/>
        </w:rPr>
        <w:t>n</w:t>
      </w:r>
      <w:r w:rsidR="00823F92">
        <w:rPr>
          <w:lang w:val="en-US"/>
        </w:rPr>
        <w:t xml:space="preserve"> </w:t>
      </w:r>
      <w:r w:rsidR="00B270EB" w:rsidRPr="00AD4BF2">
        <w:rPr>
          <w:lang w:val="en-US"/>
        </w:rPr>
        <w:t>i</w:t>
      </w:r>
      <w:r w:rsidR="00823F92" w:rsidRPr="00AD4BF2">
        <w:rPr>
          <w:lang w:val="en-US"/>
        </w:rPr>
        <w:t>n</w:t>
      </w:r>
      <w:r w:rsidR="00823F92">
        <w:rPr>
          <w:lang w:val="en-US"/>
        </w:rPr>
        <w:t xml:space="preserve"> </w:t>
      </w:r>
      <w:r w:rsidR="00823F92" w:rsidRPr="00AD4BF2">
        <w:rPr>
          <w:lang w:val="en-US"/>
        </w:rPr>
        <w:t>a</w:t>
      </w:r>
      <w:r w:rsidR="00823F92">
        <w:rPr>
          <w:lang w:val="en-US"/>
        </w:rPr>
        <w:t xml:space="preserve"> </w:t>
      </w:r>
      <w:r w:rsidR="00B270EB" w:rsidRPr="00AD4BF2">
        <w:rPr>
          <w:lang w:val="en-US"/>
        </w:rPr>
        <w:t>menta</w:t>
      </w:r>
      <w:r w:rsidR="00823F92" w:rsidRPr="00AD4BF2">
        <w:rPr>
          <w:lang w:val="en-US"/>
        </w:rPr>
        <w:t>l</w:t>
      </w:r>
      <w:r w:rsidR="00823F92">
        <w:rPr>
          <w:lang w:val="en-US"/>
        </w:rPr>
        <w:t xml:space="preserve"> </w:t>
      </w:r>
      <w:r w:rsidR="00B270EB" w:rsidRPr="00AD4BF2">
        <w:rPr>
          <w:lang w:val="en-US"/>
        </w:rPr>
        <w:t>health</w:t>
      </w:r>
      <w:r w:rsidR="00B270EB">
        <w:rPr>
          <w:lang w:val="en-US"/>
        </w:rPr>
        <w:t>.</w:t>
      </w:r>
    </w:p>
    <w:p w14:paraId="0C270D21" w14:textId="7429D666" w:rsidR="0051022C" w:rsidRPr="00342CC6" w:rsidRDefault="0051022C" w:rsidP="005137B8">
      <w:pPr>
        <w:pStyle w:val="BodyText"/>
        <w:rPr>
          <w:lang w:val="en-US"/>
        </w:rPr>
      </w:pPr>
      <w:r w:rsidRPr="009245F1">
        <w:rPr>
          <w:lang w:val="en-US"/>
        </w:rPr>
        <w:t>Regulation:</w:t>
      </w:r>
      <w:r>
        <w:rPr>
          <w:b/>
          <w:bCs/>
          <w:lang w:val="en-US"/>
        </w:rPr>
        <w:t xml:space="preserve"> </w:t>
      </w:r>
      <w:r>
        <w:rPr>
          <w:lang w:val="en-US"/>
        </w:rPr>
        <w:t>Socia</w:t>
      </w:r>
      <w:r w:rsidR="00823F92">
        <w:rPr>
          <w:lang w:val="en-US"/>
        </w:rPr>
        <w:t xml:space="preserve">l </w:t>
      </w:r>
      <w:r>
        <w:rPr>
          <w:lang w:val="en-US"/>
        </w:rPr>
        <w:t>worker</w:t>
      </w:r>
      <w:r w:rsidR="00823F92">
        <w:rPr>
          <w:lang w:val="en-US"/>
        </w:rPr>
        <w:t xml:space="preserve">s </w:t>
      </w:r>
      <w:r>
        <w:rPr>
          <w:lang w:val="en-US"/>
        </w:rPr>
        <w:t>ar</w:t>
      </w:r>
      <w:r w:rsidR="00823F92">
        <w:rPr>
          <w:lang w:val="en-US"/>
        </w:rPr>
        <w:t xml:space="preserve">e </w:t>
      </w:r>
      <w:r w:rsidR="00AB245D" w:rsidRPr="00AD4BF2">
        <w:rPr>
          <w:lang w:val="en-US"/>
        </w:rPr>
        <w:t>self-regulate</w:t>
      </w:r>
      <w:r w:rsidR="00823F92" w:rsidRPr="00AD4BF2">
        <w:rPr>
          <w:lang w:val="en-US"/>
        </w:rPr>
        <w:t>d</w:t>
      </w:r>
      <w:r w:rsidR="00823F92">
        <w:rPr>
          <w:lang w:val="en-US"/>
        </w:rPr>
        <w:t xml:space="preserve"> </w:t>
      </w:r>
      <w:r w:rsidR="00AB245D" w:rsidRPr="00AD4BF2">
        <w:rPr>
          <w:lang w:val="en-US"/>
        </w:rPr>
        <w:t>an</w:t>
      </w:r>
      <w:r w:rsidR="00823F92" w:rsidRPr="00AD4BF2">
        <w:rPr>
          <w:lang w:val="en-US"/>
        </w:rPr>
        <w:t>d</w:t>
      </w:r>
      <w:r w:rsidR="00823F92">
        <w:rPr>
          <w:lang w:val="en-US"/>
        </w:rPr>
        <w:t xml:space="preserve"> </w:t>
      </w:r>
      <w:r w:rsidR="00AB245D" w:rsidRPr="00AD4BF2">
        <w:rPr>
          <w:lang w:val="en-US"/>
        </w:rPr>
        <w:t>accredite</w:t>
      </w:r>
      <w:r w:rsidR="00823F92" w:rsidRPr="00AD4BF2">
        <w:rPr>
          <w:lang w:val="en-US"/>
        </w:rPr>
        <w:t>d</w:t>
      </w:r>
      <w:r w:rsidR="00823F92">
        <w:rPr>
          <w:lang w:val="en-US"/>
        </w:rPr>
        <w:t xml:space="preserve"> </w:t>
      </w:r>
      <w:r w:rsidR="00AB245D" w:rsidRPr="00AD4BF2">
        <w:rPr>
          <w:lang w:val="en-US"/>
        </w:rPr>
        <w:t>b</w:t>
      </w:r>
      <w:r w:rsidR="00823F92" w:rsidRPr="00AD4BF2">
        <w:rPr>
          <w:lang w:val="en-US"/>
        </w:rPr>
        <w:t>y</w:t>
      </w:r>
      <w:r w:rsidR="00823F92">
        <w:rPr>
          <w:lang w:val="en-US"/>
        </w:rPr>
        <w:t xml:space="preserve"> </w:t>
      </w:r>
      <w:r w:rsidR="00AB245D" w:rsidRPr="00AD4BF2">
        <w:rPr>
          <w:lang w:val="en-US"/>
        </w:rPr>
        <w:t>th</w:t>
      </w:r>
      <w:r w:rsidR="00823F92" w:rsidRPr="00AD4BF2">
        <w:rPr>
          <w:lang w:val="en-US"/>
        </w:rPr>
        <w:t>e</w:t>
      </w:r>
      <w:r w:rsidR="00823F92">
        <w:rPr>
          <w:lang w:val="en-US"/>
        </w:rPr>
        <w:t xml:space="preserve"> </w:t>
      </w:r>
      <w:r w:rsidR="00AB245D" w:rsidRPr="00AD4BF2">
        <w:rPr>
          <w:lang w:val="en-US"/>
        </w:rPr>
        <w:t>Australia</w:t>
      </w:r>
      <w:r w:rsidR="00823F92" w:rsidRPr="00AD4BF2">
        <w:rPr>
          <w:lang w:val="en-US"/>
        </w:rPr>
        <w:t>n</w:t>
      </w:r>
      <w:r w:rsidR="00823F92">
        <w:rPr>
          <w:lang w:val="en-US"/>
        </w:rPr>
        <w:t xml:space="preserve"> </w:t>
      </w:r>
      <w:r w:rsidR="00AB245D" w:rsidRPr="00AD4BF2">
        <w:rPr>
          <w:lang w:val="en-US"/>
        </w:rPr>
        <w:t>Associatio</w:t>
      </w:r>
      <w:r w:rsidR="00823F92" w:rsidRPr="00AD4BF2">
        <w:rPr>
          <w:lang w:val="en-US"/>
        </w:rPr>
        <w:t>n</w:t>
      </w:r>
      <w:r w:rsidR="00823F92">
        <w:rPr>
          <w:lang w:val="en-US"/>
        </w:rPr>
        <w:t xml:space="preserve"> </w:t>
      </w:r>
      <w:r w:rsidR="00AB245D" w:rsidRPr="00AD4BF2">
        <w:rPr>
          <w:lang w:val="en-US"/>
        </w:rPr>
        <w:t>o</w:t>
      </w:r>
      <w:r w:rsidR="00823F92" w:rsidRPr="00AD4BF2">
        <w:rPr>
          <w:lang w:val="en-US"/>
        </w:rPr>
        <w:t>f</w:t>
      </w:r>
      <w:r w:rsidR="00823F92">
        <w:rPr>
          <w:lang w:val="en-US"/>
        </w:rPr>
        <w:t xml:space="preserve"> </w:t>
      </w:r>
      <w:r w:rsidR="00AB245D" w:rsidRPr="00AD4BF2">
        <w:rPr>
          <w:lang w:val="en-US"/>
        </w:rPr>
        <w:t>Socia</w:t>
      </w:r>
      <w:r w:rsidR="00823F92" w:rsidRPr="00AD4BF2">
        <w:rPr>
          <w:lang w:val="en-US"/>
        </w:rPr>
        <w:t>l</w:t>
      </w:r>
      <w:r w:rsidR="00823F92">
        <w:rPr>
          <w:lang w:val="en-US"/>
        </w:rPr>
        <w:t xml:space="preserve"> </w:t>
      </w:r>
      <w:r w:rsidR="00AB245D" w:rsidRPr="00AD4BF2">
        <w:rPr>
          <w:lang w:val="en-US"/>
        </w:rPr>
        <w:t>Worker</w:t>
      </w:r>
      <w:r w:rsidR="00823F92" w:rsidRPr="00AD4BF2">
        <w:rPr>
          <w:lang w:val="en-US"/>
        </w:rPr>
        <w:t>s</w:t>
      </w:r>
      <w:r w:rsidR="00823F92">
        <w:rPr>
          <w:lang w:val="en-US"/>
        </w:rPr>
        <w:t xml:space="preserve"> </w:t>
      </w:r>
      <w:r w:rsidR="00AB245D" w:rsidRPr="00AD4BF2">
        <w:rPr>
          <w:lang w:val="en-US"/>
        </w:rPr>
        <w:t>(AASW).</w:t>
      </w:r>
    </w:p>
    <w:p w14:paraId="40B4F69E" w14:textId="4DD4E456" w:rsidR="00453F15" w:rsidRDefault="005137B8" w:rsidP="00860EF5">
      <w:pPr>
        <w:pStyle w:val="BodyText"/>
        <w:rPr>
          <w:lang w:val="en-US"/>
        </w:rPr>
      </w:pPr>
      <w:r w:rsidRPr="009245F1">
        <w:rPr>
          <w:lang w:val="en-US"/>
        </w:rPr>
        <w:t>Supply:</w:t>
      </w:r>
      <w:r>
        <w:rPr>
          <w:b/>
          <w:bCs/>
          <w:lang w:val="en-US"/>
        </w:rPr>
        <w:t xml:space="preserve"> </w:t>
      </w:r>
      <w:r w:rsidR="00453F15" w:rsidRPr="006C4490">
        <w:rPr>
          <w:lang w:val="en-US"/>
        </w:rPr>
        <w:t>Ther</w:t>
      </w:r>
      <w:r w:rsidR="00823F92" w:rsidRPr="006C4490">
        <w:rPr>
          <w:lang w:val="en-US"/>
        </w:rPr>
        <w:t>e</w:t>
      </w:r>
      <w:r w:rsidR="00823F92">
        <w:rPr>
          <w:lang w:val="en-US"/>
        </w:rPr>
        <w:t xml:space="preserve"> </w:t>
      </w:r>
      <w:r w:rsidR="00453F15" w:rsidRPr="006C4490">
        <w:rPr>
          <w:lang w:val="en-US"/>
        </w:rPr>
        <w:t>ar</w:t>
      </w:r>
      <w:r w:rsidR="00823F92" w:rsidRPr="006C4490">
        <w:rPr>
          <w:lang w:val="en-US"/>
        </w:rPr>
        <w:t>e</w:t>
      </w:r>
      <w:r w:rsidR="00823F92">
        <w:rPr>
          <w:lang w:val="en-US"/>
        </w:rPr>
        <w:t xml:space="preserve"> </w:t>
      </w:r>
      <w:r w:rsidR="00453F15" w:rsidRPr="006C4490">
        <w:rPr>
          <w:lang w:val="en-US"/>
        </w:rPr>
        <w:t>n</w:t>
      </w:r>
      <w:r w:rsidR="00823F92" w:rsidRPr="006C4490">
        <w:rPr>
          <w:lang w:val="en-US"/>
        </w:rPr>
        <w:t>o</w:t>
      </w:r>
      <w:r w:rsidR="00823F92">
        <w:rPr>
          <w:lang w:val="en-US"/>
        </w:rPr>
        <w:t xml:space="preserve"> </w:t>
      </w:r>
      <w:r w:rsidR="00453F15" w:rsidRPr="006C4490">
        <w:rPr>
          <w:lang w:val="en-US"/>
        </w:rPr>
        <w:t>nationa</w:t>
      </w:r>
      <w:r w:rsidR="00823F92" w:rsidRPr="006C4490">
        <w:rPr>
          <w:lang w:val="en-US"/>
        </w:rPr>
        <w:t>l</w:t>
      </w:r>
      <w:r w:rsidR="00823F92">
        <w:rPr>
          <w:lang w:val="en-US"/>
        </w:rPr>
        <w:t xml:space="preserve"> </w:t>
      </w:r>
      <w:r w:rsidR="00453F15" w:rsidRPr="006C4490">
        <w:rPr>
          <w:lang w:val="en-US"/>
        </w:rPr>
        <w:t>FT</w:t>
      </w:r>
      <w:r w:rsidR="00823F92" w:rsidRPr="006C4490">
        <w:rPr>
          <w:lang w:val="en-US"/>
        </w:rPr>
        <w:t>E</w:t>
      </w:r>
      <w:r w:rsidR="00823F92">
        <w:rPr>
          <w:lang w:val="en-US"/>
        </w:rPr>
        <w:t xml:space="preserve"> </w:t>
      </w:r>
      <w:r w:rsidR="00453F15" w:rsidRPr="006C4490">
        <w:rPr>
          <w:lang w:val="en-US"/>
        </w:rPr>
        <w:t>count</w:t>
      </w:r>
      <w:r w:rsidR="00823F92" w:rsidRPr="006C4490">
        <w:rPr>
          <w:lang w:val="en-US"/>
        </w:rPr>
        <w:t>s</w:t>
      </w:r>
      <w:r w:rsidR="00823F92">
        <w:rPr>
          <w:lang w:val="en-US"/>
        </w:rPr>
        <w:t xml:space="preserve"> </w:t>
      </w:r>
      <w:r w:rsidR="00453F15" w:rsidRPr="006C4490">
        <w:rPr>
          <w:lang w:val="en-US"/>
        </w:rPr>
        <w:t>fo</w:t>
      </w:r>
      <w:r w:rsidR="00823F92" w:rsidRPr="006C4490">
        <w:rPr>
          <w:lang w:val="en-US"/>
        </w:rPr>
        <w:t>r</w:t>
      </w:r>
      <w:r w:rsidR="00823F92">
        <w:rPr>
          <w:lang w:val="en-US"/>
        </w:rPr>
        <w:t xml:space="preserve"> </w:t>
      </w:r>
      <w:r w:rsidR="00453F15" w:rsidRPr="006C4490">
        <w:rPr>
          <w:lang w:val="en-US"/>
        </w:rPr>
        <w:t>th</w:t>
      </w:r>
      <w:r w:rsidR="00823F92" w:rsidRPr="006C4490">
        <w:rPr>
          <w:lang w:val="en-US"/>
        </w:rPr>
        <w:t>e</w:t>
      </w:r>
      <w:r w:rsidR="00823F92">
        <w:rPr>
          <w:lang w:val="en-US"/>
        </w:rPr>
        <w:t xml:space="preserve"> </w:t>
      </w:r>
      <w:r w:rsidR="00453F15" w:rsidRPr="006C4490">
        <w:rPr>
          <w:lang w:val="en-US"/>
        </w:rPr>
        <w:t>suppl</w:t>
      </w:r>
      <w:r w:rsidR="00823F92" w:rsidRPr="006C4490">
        <w:rPr>
          <w:lang w:val="en-US"/>
        </w:rPr>
        <w:t>y</w:t>
      </w:r>
      <w:r w:rsidR="00823F92">
        <w:rPr>
          <w:lang w:val="en-US"/>
        </w:rPr>
        <w:t xml:space="preserve"> </w:t>
      </w:r>
      <w:r w:rsidR="00453F15" w:rsidRPr="006C4490">
        <w:rPr>
          <w:lang w:val="en-US"/>
        </w:rPr>
        <w:t>o</w:t>
      </w:r>
      <w:r w:rsidR="00823F92" w:rsidRPr="006C4490">
        <w:rPr>
          <w:lang w:val="en-US"/>
        </w:rPr>
        <w:t>f</w:t>
      </w:r>
      <w:r w:rsidR="00823F92">
        <w:rPr>
          <w:lang w:val="en-US"/>
        </w:rPr>
        <w:t xml:space="preserve"> </w:t>
      </w:r>
      <w:r w:rsidR="00453F15" w:rsidRPr="006C4490">
        <w:rPr>
          <w:lang w:val="en-US"/>
        </w:rPr>
        <w:t>socia</w:t>
      </w:r>
      <w:r w:rsidR="00823F92" w:rsidRPr="006C4490">
        <w:rPr>
          <w:lang w:val="en-US"/>
        </w:rPr>
        <w:t>l</w:t>
      </w:r>
      <w:r w:rsidR="00823F92">
        <w:rPr>
          <w:lang w:val="en-US"/>
        </w:rPr>
        <w:t xml:space="preserve"> </w:t>
      </w:r>
      <w:r w:rsidR="00453F15" w:rsidRPr="006C4490">
        <w:rPr>
          <w:lang w:val="en-US"/>
        </w:rPr>
        <w:t>workers</w:t>
      </w:r>
      <w:r w:rsidR="00823F92" w:rsidRPr="006C4490">
        <w:rPr>
          <w:lang w:val="en-US"/>
        </w:rPr>
        <w:t>.</w:t>
      </w:r>
      <w:r w:rsidR="00823F92">
        <w:rPr>
          <w:lang w:val="en-US"/>
        </w:rPr>
        <w:t xml:space="preserve"> </w:t>
      </w:r>
      <w:r w:rsidR="00453F15" w:rsidRPr="006C0D70">
        <w:rPr>
          <w:lang w:val="en-US"/>
        </w:rPr>
        <w:t>Base</w:t>
      </w:r>
      <w:r w:rsidR="00823F92" w:rsidRPr="006C0D70">
        <w:rPr>
          <w:lang w:val="en-US"/>
        </w:rPr>
        <w:t>d</w:t>
      </w:r>
      <w:r w:rsidR="00823F92">
        <w:rPr>
          <w:lang w:val="en-US"/>
        </w:rPr>
        <w:t xml:space="preserve"> </w:t>
      </w:r>
      <w:r w:rsidR="00453F15" w:rsidRPr="006C0D70">
        <w:rPr>
          <w:lang w:val="en-US"/>
        </w:rPr>
        <w:t>o</w:t>
      </w:r>
      <w:r w:rsidR="00823F92" w:rsidRPr="006C0D70">
        <w:rPr>
          <w:lang w:val="en-US"/>
        </w:rPr>
        <w:t>n</w:t>
      </w:r>
      <w:r w:rsidR="00823F92">
        <w:rPr>
          <w:lang w:val="en-US"/>
        </w:rPr>
        <w:t xml:space="preserve"> </w:t>
      </w:r>
      <w:r w:rsidR="00453F15" w:rsidRPr="006C0D70">
        <w:rPr>
          <w:lang w:val="en-US"/>
        </w:rPr>
        <w:t>th</w:t>
      </w:r>
      <w:r w:rsidR="00823F92" w:rsidRPr="006C0D70">
        <w:rPr>
          <w:lang w:val="en-US"/>
        </w:rPr>
        <w:t>e</w:t>
      </w:r>
      <w:r w:rsidR="00823F92">
        <w:rPr>
          <w:lang w:val="en-US"/>
        </w:rPr>
        <w:t xml:space="preserve"> </w:t>
      </w:r>
      <w:r w:rsidR="00453F15" w:rsidRPr="006C0D70">
        <w:rPr>
          <w:lang w:val="en-US"/>
        </w:rPr>
        <w:t>Menta</w:t>
      </w:r>
      <w:r w:rsidR="00823F92" w:rsidRPr="006C0D70">
        <w:rPr>
          <w:lang w:val="en-US"/>
        </w:rPr>
        <w:t>l</w:t>
      </w:r>
      <w:r w:rsidR="00823F92">
        <w:rPr>
          <w:lang w:val="en-US"/>
        </w:rPr>
        <w:t xml:space="preserve"> </w:t>
      </w:r>
      <w:r w:rsidR="00453F15" w:rsidRPr="006C0D70">
        <w:rPr>
          <w:lang w:val="en-US"/>
        </w:rPr>
        <w:t>Healt</w:t>
      </w:r>
      <w:r w:rsidR="00823F92" w:rsidRPr="006C0D70">
        <w:rPr>
          <w:lang w:val="en-US"/>
        </w:rPr>
        <w:t>h</w:t>
      </w:r>
      <w:r w:rsidR="00823F92">
        <w:rPr>
          <w:lang w:val="en-US"/>
        </w:rPr>
        <w:t xml:space="preserve"> </w:t>
      </w:r>
      <w:r w:rsidR="00453F15" w:rsidRPr="006C0D70">
        <w:rPr>
          <w:lang w:val="en-US"/>
        </w:rPr>
        <w:t>Establishment</w:t>
      </w:r>
      <w:r w:rsidR="00823F92" w:rsidRPr="006C0D70">
        <w:rPr>
          <w:lang w:val="en-US"/>
        </w:rPr>
        <w:t>s</w:t>
      </w:r>
      <w:r w:rsidR="00823F92">
        <w:rPr>
          <w:lang w:val="en-US"/>
        </w:rPr>
        <w:t xml:space="preserve"> </w:t>
      </w:r>
      <w:r w:rsidR="00453F15" w:rsidRPr="006C0D70">
        <w:rPr>
          <w:lang w:val="en-US"/>
        </w:rPr>
        <w:t>Nationa</w:t>
      </w:r>
      <w:r w:rsidR="00823F92" w:rsidRPr="006C0D70">
        <w:rPr>
          <w:lang w:val="en-US"/>
        </w:rPr>
        <w:t>l</w:t>
      </w:r>
      <w:r w:rsidR="00823F92">
        <w:rPr>
          <w:lang w:val="en-US"/>
        </w:rPr>
        <w:t xml:space="preserve"> </w:t>
      </w:r>
      <w:r w:rsidR="00453F15" w:rsidRPr="006C0D70">
        <w:rPr>
          <w:lang w:val="en-US"/>
        </w:rPr>
        <w:t>Minimu</w:t>
      </w:r>
      <w:r w:rsidR="00823F92" w:rsidRPr="006C0D70">
        <w:rPr>
          <w:lang w:val="en-US"/>
        </w:rPr>
        <w:t>m</w:t>
      </w:r>
      <w:r w:rsidR="00823F92">
        <w:rPr>
          <w:lang w:val="en-US"/>
        </w:rPr>
        <w:t xml:space="preserve"> </w:t>
      </w:r>
      <w:r w:rsidR="00453F15" w:rsidRPr="006C0D70">
        <w:rPr>
          <w:lang w:val="en-US"/>
        </w:rPr>
        <w:t>Dat</w:t>
      </w:r>
      <w:r w:rsidR="00823F92" w:rsidRPr="006C0D70">
        <w:rPr>
          <w:lang w:val="en-US"/>
        </w:rPr>
        <w:t>a</w:t>
      </w:r>
      <w:r w:rsidR="00823F92">
        <w:rPr>
          <w:lang w:val="en-US"/>
        </w:rPr>
        <w:t xml:space="preserve"> </w:t>
      </w:r>
      <w:r w:rsidR="00453F15" w:rsidRPr="006C0D70">
        <w:rPr>
          <w:lang w:val="en-US"/>
        </w:rPr>
        <w:t>Se</w:t>
      </w:r>
      <w:r w:rsidR="00823F92" w:rsidRPr="006C0D70">
        <w:rPr>
          <w:lang w:val="en-US"/>
        </w:rPr>
        <w:t>t</w:t>
      </w:r>
      <w:r w:rsidR="00823F92">
        <w:rPr>
          <w:lang w:val="en-US"/>
        </w:rPr>
        <w:t xml:space="preserve"> </w:t>
      </w:r>
      <w:r w:rsidR="00453F15" w:rsidRPr="006C0D70">
        <w:rPr>
          <w:lang w:val="en-US"/>
        </w:rPr>
        <w:t>(MH</w:t>
      </w:r>
      <w:r w:rsidR="00823F92" w:rsidRPr="006C0D70">
        <w:rPr>
          <w:lang w:val="en-US"/>
        </w:rPr>
        <w:t>E</w:t>
      </w:r>
      <w:r w:rsidR="00823F92">
        <w:rPr>
          <w:lang w:val="en-US"/>
        </w:rPr>
        <w:t xml:space="preserve"> </w:t>
      </w:r>
      <w:r w:rsidR="00453F15" w:rsidRPr="006C0D70">
        <w:rPr>
          <w:lang w:val="en-US"/>
        </w:rPr>
        <w:t>NMDS)</w:t>
      </w:r>
      <w:r w:rsidR="00823F92" w:rsidRPr="006C0D70">
        <w:rPr>
          <w:lang w:val="en-US"/>
        </w:rPr>
        <w:t>,</w:t>
      </w:r>
      <w:r w:rsidR="00823F92">
        <w:rPr>
          <w:lang w:val="en-US"/>
        </w:rPr>
        <w:t xml:space="preserve"> </w:t>
      </w:r>
      <w:r w:rsidR="00453F15" w:rsidRPr="006C0D70">
        <w:rPr>
          <w:lang w:val="en-US"/>
        </w:rPr>
        <w:t>ther</w:t>
      </w:r>
      <w:r w:rsidR="00823F92" w:rsidRPr="006C0D70">
        <w:rPr>
          <w:lang w:val="en-US"/>
        </w:rPr>
        <w:t>e</w:t>
      </w:r>
      <w:r w:rsidR="00823F92">
        <w:rPr>
          <w:lang w:val="en-US"/>
        </w:rPr>
        <w:t xml:space="preserve"> </w:t>
      </w:r>
      <w:r w:rsidR="00453F15" w:rsidRPr="006C0D70">
        <w:rPr>
          <w:lang w:val="en-US"/>
        </w:rPr>
        <w:t>ar</w:t>
      </w:r>
      <w:r w:rsidR="00823F92" w:rsidRPr="006C0D70">
        <w:rPr>
          <w:lang w:val="en-US"/>
        </w:rPr>
        <w:t>e</w:t>
      </w:r>
      <w:r w:rsidR="00823F92">
        <w:rPr>
          <w:lang w:val="en-US"/>
        </w:rPr>
        <w:t xml:space="preserve"> </w:t>
      </w:r>
      <w:r w:rsidR="00453F15" w:rsidRPr="006C0D70">
        <w:rPr>
          <w:lang w:val="en-US"/>
        </w:rPr>
        <w:t>2,40</w:t>
      </w:r>
      <w:r w:rsidR="00823F92" w:rsidRPr="006C0D70">
        <w:rPr>
          <w:lang w:val="en-US"/>
        </w:rPr>
        <w:t>1</w:t>
      </w:r>
      <w:r w:rsidR="00823F92">
        <w:rPr>
          <w:lang w:val="en-US"/>
        </w:rPr>
        <w:t xml:space="preserve"> </w:t>
      </w:r>
      <w:r w:rsidR="00453F15" w:rsidRPr="006C0D70">
        <w:rPr>
          <w:lang w:val="en-US"/>
        </w:rPr>
        <w:t>FT</w:t>
      </w:r>
      <w:r w:rsidR="00823F92" w:rsidRPr="006C0D70">
        <w:rPr>
          <w:lang w:val="en-US"/>
        </w:rPr>
        <w:t>E</w:t>
      </w:r>
      <w:r w:rsidR="00823F92">
        <w:rPr>
          <w:lang w:val="en-US"/>
        </w:rPr>
        <w:t xml:space="preserve"> </w:t>
      </w:r>
      <w:r w:rsidR="00453F15" w:rsidRPr="006C0D70">
        <w:rPr>
          <w:lang w:val="en-US"/>
        </w:rPr>
        <w:t>socia</w:t>
      </w:r>
      <w:r w:rsidR="00823F92" w:rsidRPr="006C0D70">
        <w:rPr>
          <w:lang w:val="en-US"/>
        </w:rPr>
        <w:t>l</w:t>
      </w:r>
      <w:r w:rsidR="00823F92">
        <w:rPr>
          <w:lang w:val="en-US"/>
        </w:rPr>
        <w:t xml:space="preserve"> </w:t>
      </w:r>
      <w:r w:rsidR="00453F15" w:rsidRPr="006C0D70">
        <w:rPr>
          <w:lang w:val="en-US"/>
        </w:rPr>
        <w:t>worker</w:t>
      </w:r>
      <w:r w:rsidR="00823F92" w:rsidRPr="006C0D70">
        <w:rPr>
          <w:lang w:val="en-US"/>
        </w:rPr>
        <w:t>s</w:t>
      </w:r>
      <w:r w:rsidR="00823F92">
        <w:rPr>
          <w:lang w:val="en-US"/>
        </w:rPr>
        <w:t xml:space="preserve"> </w:t>
      </w:r>
      <w:r w:rsidR="00453F15" w:rsidRPr="006C0D70">
        <w:rPr>
          <w:lang w:val="en-US"/>
        </w:rPr>
        <w:t>i</w:t>
      </w:r>
      <w:r w:rsidR="00823F92" w:rsidRPr="006C0D70">
        <w:rPr>
          <w:lang w:val="en-US"/>
        </w:rPr>
        <w:t>n</w:t>
      </w:r>
      <w:r w:rsidR="00823F92">
        <w:rPr>
          <w:lang w:val="en-US"/>
        </w:rPr>
        <w:t xml:space="preserve"> </w:t>
      </w:r>
      <w:r w:rsidR="00453F15" w:rsidRPr="006C0D70">
        <w:rPr>
          <w:lang w:val="en-US"/>
        </w:rPr>
        <w:t>stat</w:t>
      </w:r>
      <w:r w:rsidR="00823F92" w:rsidRPr="006C0D70">
        <w:rPr>
          <w:lang w:val="en-US"/>
        </w:rPr>
        <w:t>e</w:t>
      </w:r>
      <w:r w:rsidR="00823F92">
        <w:rPr>
          <w:lang w:val="en-US"/>
        </w:rPr>
        <w:t xml:space="preserve"> </w:t>
      </w:r>
      <w:r w:rsidR="00453F15" w:rsidRPr="006C0D70">
        <w:rPr>
          <w:lang w:val="en-US"/>
        </w:rPr>
        <w:t>an</w:t>
      </w:r>
      <w:r w:rsidR="00823F92" w:rsidRPr="006C0D70">
        <w:rPr>
          <w:lang w:val="en-US"/>
        </w:rPr>
        <w:t>d</w:t>
      </w:r>
      <w:r w:rsidR="00823F92">
        <w:rPr>
          <w:lang w:val="en-US"/>
        </w:rPr>
        <w:t xml:space="preserve"> </w:t>
      </w:r>
      <w:r w:rsidR="00453F15" w:rsidRPr="006C0D70">
        <w:rPr>
          <w:lang w:val="en-US"/>
        </w:rPr>
        <w:t>territory-funde</w:t>
      </w:r>
      <w:r w:rsidR="00823F92" w:rsidRPr="006C0D70">
        <w:rPr>
          <w:lang w:val="en-US"/>
        </w:rPr>
        <w:t>d</w:t>
      </w:r>
      <w:r w:rsidR="00823F92">
        <w:rPr>
          <w:lang w:val="en-US"/>
        </w:rPr>
        <w:t xml:space="preserve"> </w:t>
      </w:r>
      <w:r w:rsidR="00453F15" w:rsidRPr="006C0D70">
        <w:rPr>
          <w:lang w:val="en-US"/>
        </w:rPr>
        <w:t>inpatien</w:t>
      </w:r>
      <w:r w:rsidR="00823F92" w:rsidRPr="006C0D70">
        <w:rPr>
          <w:lang w:val="en-US"/>
        </w:rPr>
        <w:t>t</w:t>
      </w:r>
      <w:r w:rsidR="00823F92">
        <w:rPr>
          <w:lang w:val="en-US"/>
        </w:rPr>
        <w:t xml:space="preserve"> </w:t>
      </w:r>
      <w:r w:rsidR="00453F15" w:rsidRPr="006C0D70">
        <w:rPr>
          <w:lang w:val="en-US"/>
        </w:rPr>
        <w:t>an</w:t>
      </w:r>
      <w:r w:rsidR="00823F92" w:rsidRPr="006C0D70">
        <w:rPr>
          <w:lang w:val="en-US"/>
        </w:rPr>
        <w:t>d</w:t>
      </w:r>
      <w:r w:rsidR="00823F92">
        <w:rPr>
          <w:lang w:val="en-US"/>
        </w:rPr>
        <w:t xml:space="preserve"> </w:t>
      </w:r>
      <w:r w:rsidR="00453F15" w:rsidRPr="006C0D70">
        <w:rPr>
          <w:lang w:val="en-US"/>
        </w:rPr>
        <w:t>communit</w:t>
      </w:r>
      <w:r w:rsidR="00823F92" w:rsidRPr="006C0D70">
        <w:rPr>
          <w:lang w:val="en-US"/>
        </w:rPr>
        <w:t>y</w:t>
      </w:r>
      <w:r w:rsidR="00823F92">
        <w:rPr>
          <w:lang w:val="en-US"/>
        </w:rPr>
        <w:t xml:space="preserve"> </w:t>
      </w:r>
      <w:r w:rsidR="00453F15" w:rsidRPr="006C0D70">
        <w:rPr>
          <w:lang w:val="en-US"/>
        </w:rPr>
        <w:t>setting</w:t>
      </w:r>
      <w:r w:rsidR="00823F92" w:rsidRPr="006C0D70">
        <w:rPr>
          <w:lang w:val="en-US"/>
        </w:rPr>
        <w:t>,</w:t>
      </w:r>
      <w:r w:rsidR="00823F92">
        <w:rPr>
          <w:lang w:val="en-US"/>
        </w:rPr>
        <w:t xml:space="preserve"> </w:t>
      </w:r>
      <w:r w:rsidR="00453F15" w:rsidRPr="006C0D70">
        <w:rPr>
          <w:lang w:val="en-US"/>
        </w:rPr>
        <w:t>whic</w:t>
      </w:r>
      <w:r w:rsidR="00823F92" w:rsidRPr="006C0D70">
        <w:rPr>
          <w:lang w:val="en-US"/>
        </w:rPr>
        <w:t>h</w:t>
      </w:r>
      <w:r w:rsidR="00823F92">
        <w:rPr>
          <w:lang w:val="en-US"/>
        </w:rPr>
        <w:t xml:space="preserve"> </w:t>
      </w:r>
      <w:r w:rsidR="00453F15" w:rsidRPr="006C0D70">
        <w:rPr>
          <w:lang w:val="en-US"/>
        </w:rPr>
        <w:t>i</w:t>
      </w:r>
      <w:r w:rsidR="00823F92" w:rsidRPr="006C0D70">
        <w:rPr>
          <w:lang w:val="en-US"/>
        </w:rPr>
        <w:t>s</w:t>
      </w:r>
      <w:r w:rsidR="00823F92">
        <w:rPr>
          <w:lang w:val="en-US"/>
        </w:rPr>
        <w:t xml:space="preserve"> </w:t>
      </w:r>
      <w:r w:rsidR="00453F15" w:rsidRPr="006C0D70">
        <w:rPr>
          <w:lang w:val="en-US"/>
        </w:rPr>
        <w:t>abov</w:t>
      </w:r>
      <w:r w:rsidR="00823F92" w:rsidRPr="006C0D70">
        <w:rPr>
          <w:lang w:val="en-US"/>
        </w:rPr>
        <w:t>e</w:t>
      </w:r>
      <w:r w:rsidR="00823F92">
        <w:rPr>
          <w:lang w:val="en-US"/>
        </w:rPr>
        <w:t xml:space="preserve"> </w:t>
      </w:r>
      <w:r w:rsidR="00453F15" w:rsidRPr="006C0D70">
        <w:rPr>
          <w:lang w:val="en-US"/>
        </w:rPr>
        <w:t>se</w:t>
      </w:r>
      <w:r w:rsidR="00823F92" w:rsidRPr="006C0D70">
        <w:rPr>
          <w:lang w:val="en-US"/>
        </w:rPr>
        <w:t>t</w:t>
      </w:r>
      <w:r w:rsidR="00823F92">
        <w:rPr>
          <w:lang w:val="en-US"/>
        </w:rPr>
        <w:t xml:space="preserve"> </w:t>
      </w:r>
      <w:r w:rsidR="00453F15" w:rsidRPr="006C0D70">
        <w:rPr>
          <w:lang w:val="en-US"/>
        </w:rPr>
        <w:t>level</w:t>
      </w:r>
      <w:r w:rsidR="00823F92" w:rsidRPr="006C0D70">
        <w:rPr>
          <w:lang w:val="en-US"/>
        </w:rPr>
        <w:t>s</w:t>
      </w:r>
      <w:r w:rsidR="00823F92">
        <w:rPr>
          <w:lang w:val="en-US"/>
        </w:rPr>
        <w:t xml:space="preserve"> </w:t>
      </w:r>
      <w:r w:rsidR="00453F15" w:rsidRPr="006C0D70">
        <w:rPr>
          <w:lang w:val="en-US"/>
        </w:rPr>
        <w:t>(115% o</w:t>
      </w:r>
      <w:r w:rsidR="00823F92" w:rsidRPr="006C0D70">
        <w:rPr>
          <w:lang w:val="en-US"/>
        </w:rPr>
        <w:t>f</w:t>
      </w:r>
      <w:r w:rsidR="00823F92">
        <w:rPr>
          <w:lang w:val="en-US"/>
        </w:rPr>
        <w:t xml:space="preserve"> </w:t>
      </w:r>
      <w:r w:rsidR="00453F15" w:rsidRPr="006C0D70">
        <w:rPr>
          <w:lang w:val="en-US"/>
        </w:rPr>
        <w:t>th</w:t>
      </w:r>
      <w:r w:rsidR="00823F92" w:rsidRPr="006C0D70">
        <w:rPr>
          <w:lang w:val="en-US"/>
        </w:rPr>
        <w:t>e</w:t>
      </w:r>
      <w:r w:rsidR="00823F92">
        <w:rPr>
          <w:lang w:val="en-US"/>
        </w:rPr>
        <w:t xml:space="preserve"> </w:t>
      </w:r>
      <w:r w:rsidR="00453F15" w:rsidRPr="006C0D70">
        <w:rPr>
          <w:lang w:val="en-US"/>
        </w:rPr>
        <w:t>NMHSP</w:t>
      </w:r>
      <w:r w:rsidR="00823F92" w:rsidRPr="006C0D70">
        <w:rPr>
          <w:lang w:val="en-US"/>
        </w:rPr>
        <w:t>F</w:t>
      </w:r>
      <w:r w:rsidR="00823F92">
        <w:rPr>
          <w:lang w:val="en-US"/>
        </w:rPr>
        <w:t xml:space="preserve"> </w:t>
      </w:r>
      <w:r w:rsidR="00453F15" w:rsidRPr="006C0D70">
        <w:rPr>
          <w:lang w:val="en-US"/>
        </w:rPr>
        <w:t>targe</w:t>
      </w:r>
      <w:r w:rsidR="00823F92" w:rsidRPr="006C0D70">
        <w:rPr>
          <w:lang w:val="en-US"/>
        </w:rPr>
        <w:t>t</w:t>
      </w:r>
      <w:r w:rsidR="00823F92">
        <w:rPr>
          <w:lang w:val="en-US"/>
        </w:rPr>
        <w:t xml:space="preserve"> </w:t>
      </w:r>
      <w:r w:rsidR="00453F15" w:rsidRPr="006C0D70">
        <w:rPr>
          <w:lang w:val="en-US"/>
        </w:rPr>
        <w:t>reached).</w:t>
      </w:r>
      <w:r w:rsidR="00394AB1">
        <w:rPr>
          <w:rStyle w:val="FootnoteReference"/>
          <w:lang w:val="en-US"/>
        </w:rPr>
        <w:footnoteReference w:id="21"/>
      </w:r>
    </w:p>
    <w:p w14:paraId="7965E037" w14:textId="4DCC782C" w:rsidR="00453F15" w:rsidRDefault="00453F15" w:rsidP="009245F1">
      <w:pPr>
        <w:pStyle w:val="Heading3"/>
      </w:pPr>
      <w:r w:rsidRPr="000E25B1">
        <w:lastRenderedPageBreak/>
        <w:t>Speec</w:t>
      </w:r>
      <w:r w:rsidR="00823F92" w:rsidRPr="000E25B1">
        <w:t>h</w:t>
      </w:r>
      <w:r w:rsidR="00823F92">
        <w:t xml:space="preserve"> </w:t>
      </w:r>
      <w:r>
        <w:t>p</w:t>
      </w:r>
      <w:r w:rsidRPr="000E25B1">
        <w:t>athologists</w:t>
      </w:r>
    </w:p>
    <w:p w14:paraId="51C07F00" w14:textId="7F2FDB26" w:rsidR="002B44F4" w:rsidRDefault="005137B8" w:rsidP="009245F1">
      <w:pPr>
        <w:pStyle w:val="BodyText"/>
        <w:keepNext/>
        <w:keepLines/>
        <w:rPr>
          <w:lang w:val="en-US"/>
        </w:rPr>
      </w:pPr>
      <w:r w:rsidRPr="009245F1">
        <w:rPr>
          <w:lang w:val="en-US"/>
        </w:rPr>
        <w:t>Role:</w:t>
      </w:r>
      <w:r w:rsidR="002B44F4" w:rsidRPr="002B44F4">
        <w:rPr>
          <w:lang w:val="en-US"/>
        </w:rPr>
        <w:t xml:space="preserve"> </w:t>
      </w:r>
      <w:r w:rsidR="002B44F4" w:rsidRPr="006C4490">
        <w:rPr>
          <w:lang w:val="en-US"/>
        </w:rPr>
        <w:t>Speec</w:t>
      </w:r>
      <w:r w:rsidR="00823F92" w:rsidRPr="006C4490">
        <w:rPr>
          <w:lang w:val="en-US"/>
        </w:rPr>
        <w:t>h</w:t>
      </w:r>
      <w:r w:rsidR="00823F92">
        <w:rPr>
          <w:lang w:val="en-US"/>
        </w:rPr>
        <w:t xml:space="preserve"> </w:t>
      </w:r>
      <w:r w:rsidR="002B44F4">
        <w:rPr>
          <w:lang w:val="en-US"/>
        </w:rPr>
        <w:t>p</w:t>
      </w:r>
      <w:r w:rsidR="002B44F4" w:rsidRPr="006C4490">
        <w:rPr>
          <w:lang w:val="en-US"/>
        </w:rPr>
        <w:t>athologist</w:t>
      </w:r>
      <w:r w:rsidR="00823F92" w:rsidRPr="006C4490">
        <w:rPr>
          <w:lang w:val="en-US"/>
        </w:rPr>
        <w:t>s</w:t>
      </w:r>
      <w:r w:rsidR="00823F92">
        <w:rPr>
          <w:lang w:val="en-US"/>
        </w:rPr>
        <w:t xml:space="preserve"> </w:t>
      </w:r>
      <w:r w:rsidR="002B44F4" w:rsidRPr="006C4490">
        <w:rPr>
          <w:lang w:val="en-US"/>
        </w:rPr>
        <w:t>provid</w:t>
      </w:r>
      <w:r w:rsidR="00823F92" w:rsidRPr="006C4490">
        <w:rPr>
          <w:lang w:val="en-US"/>
        </w:rPr>
        <w:t>e</w:t>
      </w:r>
      <w:r w:rsidR="00823F92">
        <w:rPr>
          <w:lang w:val="en-US"/>
        </w:rPr>
        <w:t xml:space="preserve"> </w:t>
      </w:r>
      <w:r w:rsidR="002B44F4">
        <w:rPr>
          <w:lang w:val="en-US"/>
        </w:rPr>
        <w:t>suppor</w:t>
      </w:r>
      <w:r w:rsidR="00823F92">
        <w:rPr>
          <w:lang w:val="en-US"/>
        </w:rPr>
        <w:t xml:space="preserve">t </w:t>
      </w:r>
      <w:r w:rsidR="002B44F4">
        <w:rPr>
          <w:lang w:val="en-US"/>
        </w:rPr>
        <w:t>t</w:t>
      </w:r>
      <w:r w:rsidR="00823F92">
        <w:rPr>
          <w:lang w:val="en-US"/>
        </w:rPr>
        <w:t xml:space="preserve">o </w:t>
      </w:r>
      <w:r w:rsidR="002B44F4">
        <w:rPr>
          <w:lang w:val="en-US"/>
        </w:rPr>
        <w:t>peopl</w:t>
      </w:r>
      <w:r w:rsidR="00823F92">
        <w:rPr>
          <w:lang w:val="en-US"/>
        </w:rPr>
        <w:t xml:space="preserve">e </w:t>
      </w:r>
      <w:r w:rsidR="002B44F4">
        <w:rPr>
          <w:lang w:val="en-US"/>
        </w:rPr>
        <w:t>throug</w:t>
      </w:r>
      <w:r w:rsidR="00823F92">
        <w:rPr>
          <w:lang w:val="en-US"/>
        </w:rPr>
        <w:t xml:space="preserve">h </w:t>
      </w:r>
      <w:r w:rsidR="002B44F4" w:rsidRPr="006C4490">
        <w:rPr>
          <w:lang w:val="en-US"/>
        </w:rPr>
        <w:t>earl</w:t>
      </w:r>
      <w:r w:rsidR="00823F92" w:rsidRPr="006C4490">
        <w:rPr>
          <w:lang w:val="en-US"/>
        </w:rPr>
        <w:t>y</w:t>
      </w:r>
      <w:r w:rsidR="00823F92">
        <w:rPr>
          <w:lang w:val="en-US"/>
        </w:rPr>
        <w:t xml:space="preserve"> </w:t>
      </w:r>
      <w:r w:rsidR="002B44F4" w:rsidRPr="006C4490">
        <w:rPr>
          <w:lang w:val="en-US"/>
        </w:rPr>
        <w:t>identification</w:t>
      </w:r>
      <w:r w:rsidR="00823F92" w:rsidRPr="006C4490">
        <w:rPr>
          <w:lang w:val="en-US"/>
        </w:rPr>
        <w:t>,</w:t>
      </w:r>
      <w:r w:rsidR="00823F92">
        <w:rPr>
          <w:lang w:val="en-US"/>
        </w:rPr>
        <w:t xml:space="preserve"> </w:t>
      </w:r>
      <w:r w:rsidR="002B44F4" w:rsidRPr="006C4490">
        <w:rPr>
          <w:lang w:val="en-US"/>
        </w:rPr>
        <w:t>assessmen</w:t>
      </w:r>
      <w:r w:rsidR="00823F92" w:rsidRPr="006C4490">
        <w:rPr>
          <w:lang w:val="en-US"/>
        </w:rPr>
        <w:t>t</w:t>
      </w:r>
      <w:r w:rsidR="00823F92">
        <w:rPr>
          <w:lang w:val="en-US"/>
        </w:rPr>
        <w:t xml:space="preserve"> </w:t>
      </w:r>
      <w:r w:rsidR="002B44F4" w:rsidRPr="006C4490">
        <w:rPr>
          <w:lang w:val="en-US"/>
        </w:rPr>
        <w:t>an</w:t>
      </w:r>
      <w:r w:rsidR="00823F92" w:rsidRPr="006C4490">
        <w:rPr>
          <w:lang w:val="en-US"/>
        </w:rPr>
        <w:t>d</w:t>
      </w:r>
      <w:r w:rsidR="00823F92">
        <w:rPr>
          <w:lang w:val="en-US"/>
        </w:rPr>
        <w:t xml:space="preserve"> </w:t>
      </w:r>
      <w:r w:rsidR="002B44F4" w:rsidRPr="006C4490">
        <w:rPr>
          <w:lang w:val="en-US"/>
        </w:rPr>
        <w:t>treatmen</w:t>
      </w:r>
      <w:r w:rsidR="00823F92" w:rsidRPr="006C4490">
        <w:rPr>
          <w:lang w:val="en-US"/>
        </w:rPr>
        <w:t>t</w:t>
      </w:r>
      <w:r w:rsidR="00823F92">
        <w:rPr>
          <w:lang w:val="en-US"/>
        </w:rPr>
        <w:t xml:space="preserve"> </w:t>
      </w:r>
      <w:r w:rsidR="002B44F4" w:rsidRPr="006C4490">
        <w:rPr>
          <w:lang w:val="en-US"/>
        </w:rPr>
        <w:t>o</w:t>
      </w:r>
      <w:r w:rsidR="00823F92" w:rsidRPr="006C4490">
        <w:rPr>
          <w:lang w:val="en-US"/>
        </w:rPr>
        <w:t>f</w:t>
      </w:r>
      <w:r w:rsidR="00823F92">
        <w:rPr>
          <w:lang w:val="en-US"/>
        </w:rPr>
        <w:t xml:space="preserve"> </w:t>
      </w:r>
      <w:r w:rsidR="002B44F4" w:rsidRPr="006C4490">
        <w:rPr>
          <w:lang w:val="en-US"/>
        </w:rPr>
        <w:t>communicatio</w:t>
      </w:r>
      <w:r w:rsidR="00823F92" w:rsidRPr="006C4490">
        <w:rPr>
          <w:lang w:val="en-US"/>
        </w:rPr>
        <w:t>n</w:t>
      </w:r>
      <w:r w:rsidR="00823F92">
        <w:rPr>
          <w:lang w:val="en-US"/>
        </w:rPr>
        <w:t xml:space="preserve"> </w:t>
      </w:r>
      <w:r w:rsidR="002B44F4" w:rsidRPr="006C4490">
        <w:rPr>
          <w:lang w:val="en-US"/>
        </w:rPr>
        <w:t>and/o</w:t>
      </w:r>
      <w:r w:rsidR="00823F92" w:rsidRPr="006C4490">
        <w:rPr>
          <w:lang w:val="en-US"/>
        </w:rPr>
        <w:t>r</w:t>
      </w:r>
      <w:r w:rsidR="00823F92">
        <w:rPr>
          <w:lang w:val="en-US"/>
        </w:rPr>
        <w:t xml:space="preserve"> </w:t>
      </w:r>
      <w:r w:rsidR="002B44F4" w:rsidRPr="006C4490">
        <w:rPr>
          <w:lang w:val="en-US"/>
        </w:rPr>
        <w:t>swallowin</w:t>
      </w:r>
      <w:r w:rsidR="00823F92" w:rsidRPr="006C4490">
        <w:rPr>
          <w:lang w:val="en-US"/>
        </w:rPr>
        <w:t>g</w:t>
      </w:r>
      <w:r w:rsidR="00823F92">
        <w:rPr>
          <w:lang w:val="en-US"/>
        </w:rPr>
        <w:t xml:space="preserve"> </w:t>
      </w:r>
      <w:r w:rsidR="002B44F4" w:rsidRPr="006C4490">
        <w:rPr>
          <w:lang w:val="en-US"/>
        </w:rPr>
        <w:t>difficultie</w:t>
      </w:r>
      <w:r w:rsidR="00823F92" w:rsidRPr="006C4490">
        <w:rPr>
          <w:lang w:val="en-US"/>
        </w:rPr>
        <w:t>s</w:t>
      </w:r>
      <w:r w:rsidR="00823F92">
        <w:rPr>
          <w:lang w:val="en-US"/>
        </w:rPr>
        <w:t xml:space="preserve"> </w:t>
      </w:r>
      <w:r w:rsidR="002B44F4" w:rsidRPr="006C4490">
        <w:rPr>
          <w:lang w:val="en-US"/>
        </w:rPr>
        <w:t>associate</w:t>
      </w:r>
      <w:r w:rsidR="00823F92" w:rsidRPr="006C4490">
        <w:rPr>
          <w:lang w:val="en-US"/>
        </w:rPr>
        <w:t>d</w:t>
      </w:r>
      <w:r w:rsidR="00823F92">
        <w:rPr>
          <w:lang w:val="en-US"/>
        </w:rPr>
        <w:t xml:space="preserve"> </w:t>
      </w:r>
      <w:r w:rsidR="002B44F4" w:rsidRPr="006C4490">
        <w:rPr>
          <w:lang w:val="en-US"/>
        </w:rPr>
        <w:t>wit</w:t>
      </w:r>
      <w:r w:rsidR="00823F92" w:rsidRPr="006C4490">
        <w:rPr>
          <w:lang w:val="en-US"/>
        </w:rPr>
        <w:t>h</w:t>
      </w:r>
      <w:r w:rsidR="00823F92">
        <w:rPr>
          <w:lang w:val="en-US"/>
        </w:rPr>
        <w:t xml:space="preserve"> </w:t>
      </w:r>
      <w:r w:rsidR="002B44F4" w:rsidRPr="006C4490">
        <w:rPr>
          <w:lang w:val="en-US"/>
        </w:rPr>
        <w:t>menta</w:t>
      </w:r>
      <w:r w:rsidR="00823F92" w:rsidRPr="006C4490">
        <w:rPr>
          <w:lang w:val="en-US"/>
        </w:rPr>
        <w:t>l</w:t>
      </w:r>
      <w:r w:rsidR="00823F92">
        <w:rPr>
          <w:lang w:val="en-US"/>
        </w:rPr>
        <w:t xml:space="preserve"> </w:t>
      </w:r>
      <w:r w:rsidR="002B44F4" w:rsidRPr="006C4490">
        <w:rPr>
          <w:lang w:val="en-US"/>
        </w:rPr>
        <w:t>ill-health</w:t>
      </w:r>
      <w:r w:rsidR="00823F92" w:rsidRPr="006C4490">
        <w:rPr>
          <w:lang w:val="en-US"/>
        </w:rPr>
        <w:t>.</w:t>
      </w:r>
      <w:r w:rsidR="00823F92">
        <w:rPr>
          <w:lang w:val="en-US"/>
        </w:rPr>
        <w:t xml:space="preserve"> </w:t>
      </w:r>
    </w:p>
    <w:p w14:paraId="1E7B35ED" w14:textId="2A091D81" w:rsidR="005137B8" w:rsidRDefault="005137B8" w:rsidP="009245F1">
      <w:pPr>
        <w:pStyle w:val="BodyText"/>
        <w:keepNext/>
        <w:keepLines/>
        <w:rPr>
          <w:b/>
          <w:bCs/>
          <w:lang w:val="en-US"/>
        </w:rPr>
      </w:pPr>
      <w:r w:rsidRPr="009245F1">
        <w:rPr>
          <w:lang w:val="en-US"/>
        </w:rPr>
        <w:t>Setting:</w:t>
      </w:r>
      <w:r>
        <w:rPr>
          <w:b/>
          <w:bCs/>
          <w:lang w:val="en-US"/>
        </w:rPr>
        <w:t xml:space="preserve"> </w:t>
      </w:r>
      <w:r w:rsidR="00F04F65">
        <w:rPr>
          <w:lang w:val="en-US"/>
        </w:rPr>
        <w:t>Dat</w:t>
      </w:r>
      <w:r w:rsidR="00823F92">
        <w:rPr>
          <w:lang w:val="en-US"/>
        </w:rPr>
        <w:t xml:space="preserve">a </w:t>
      </w:r>
      <w:r w:rsidR="00F04F65">
        <w:rPr>
          <w:lang w:val="en-US"/>
        </w:rPr>
        <w:t>wer</w:t>
      </w:r>
      <w:r w:rsidR="00823F92">
        <w:rPr>
          <w:lang w:val="en-US"/>
        </w:rPr>
        <w:t xml:space="preserve">e </w:t>
      </w:r>
      <w:r w:rsidR="00F04F65">
        <w:rPr>
          <w:lang w:val="en-US"/>
        </w:rPr>
        <w:t>no</w:t>
      </w:r>
      <w:r w:rsidR="00823F92">
        <w:rPr>
          <w:lang w:val="en-US"/>
        </w:rPr>
        <w:t xml:space="preserve">t </w:t>
      </w:r>
      <w:r w:rsidR="00F04F65">
        <w:rPr>
          <w:lang w:val="en-US"/>
        </w:rPr>
        <w:t>availabl</w:t>
      </w:r>
      <w:r w:rsidR="00823F92">
        <w:rPr>
          <w:lang w:val="en-US"/>
        </w:rPr>
        <w:t xml:space="preserve">e </w:t>
      </w:r>
      <w:r w:rsidR="00F04F65">
        <w:rPr>
          <w:lang w:val="en-US"/>
        </w:rPr>
        <w:t>o</w:t>
      </w:r>
      <w:r w:rsidR="00823F92">
        <w:rPr>
          <w:lang w:val="en-US"/>
        </w:rPr>
        <w:t xml:space="preserve">n </w:t>
      </w:r>
      <w:r w:rsidR="00F04F65">
        <w:rPr>
          <w:lang w:val="en-US"/>
        </w:rPr>
        <w:t>speec</w:t>
      </w:r>
      <w:r w:rsidR="00823F92">
        <w:rPr>
          <w:lang w:val="en-US"/>
        </w:rPr>
        <w:t xml:space="preserve">h </w:t>
      </w:r>
      <w:r w:rsidR="00F04F65">
        <w:rPr>
          <w:lang w:val="en-US"/>
        </w:rPr>
        <w:t>pathologists</w:t>
      </w:r>
      <w:r w:rsidR="00823F92">
        <w:rPr>
          <w:lang w:val="en-US"/>
        </w:rPr>
        <w:t xml:space="preserve">. </w:t>
      </w:r>
    </w:p>
    <w:p w14:paraId="243EE272" w14:textId="7189463B" w:rsidR="00F04F65" w:rsidRDefault="005137B8" w:rsidP="009245F1">
      <w:pPr>
        <w:pStyle w:val="BodyText"/>
        <w:keepNext/>
        <w:keepLines/>
        <w:rPr>
          <w:lang w:val="en-US"/>
        </w:rPr>
      </w:pPr>
      <w:r w:rsidRPr="009245F1">
        <w:rPr>
          <w:lang w:val="en-US"/>
        </w:rPr>
        <w:t>Training:</w:t>
      </w:r>
      <w:r>
        <w:rPr>
          <w:b/>
          <w:bCs/>
          <w:lang w:val="en-US"/>
        </w:rPr>
        <w:t xml:space="preserve"> </w:t>
      </w:r>
      <w:r w:rsidR="00AB245D">
        <w:rPr>
          <w:lang w:val="en-US"/>
        </w:rPr>
        <w:t>Speec</w:t>
      </w:r>
      <w:r w:rsidR="00823F92">
        <w:rPr>
          <w:lang w:val="en-US"/>
        </w:rPr>
        <w:t xml:space="preserve">h </w:t>
      </w:r>
      <w:r w:rsidR="00AB245D">
        <w:rPr>
          <w:lang w:val="en-US"/>
        </w:rPr>
        <w:t>pathologist</w:t>
      </w:r>
      <w:r w:rsidR="00823F92">
        <w:rPr>
          <w:lang w:val="en-US"/>
        </w:rPr>
        <w:t xml:space="preserve">s </w:t>
      </w:r>
      <w:r w:rsidR="00F04F65" w:rsidRPr="00B039EE">
        <w:rPr>
          <w:lang w:val="en-US"/>
        </w:rPr>
        <w:t>mus</w:t>
      </w:r>
      <w:r w:rsidR="00823F92" w:rsidRPr="00B039EE">
        <w:rPr>
          <w:lang w:val="en-US"/>
        </w:rPr>
        <w:t>t</w:t>
      </w:r>
      <w:r w:rsidR="00823F92">
        <w:rPr>
          <w:lang w:val="en-US"/>
        </w:rPr>
        <w:t xml:space="preserve"> </w:t>
      </w:r>
      <w:r w:rsidR="00F04F65" w:rsidRPr="00B039EE">
        <w:rPr>
          <w:lang w:val="en-US"/>
        </w:rPr>
        <w:t>complet</w:t>
      </w:r>
      <w:r w:rsidR="00823F92" w:rsidRPr="00B039EE">
        <w:rPr>
          <w:lang w:val="en-US"/>
        </w:rPr>
        <w:t>e</w:t>
      </w:r>
      <w:r w:rsidR="00823F92">
        <w:rPr>
          <w:lang w:val="en-US"/>
        </w:rPr>
        <w:t xml:space="preserve"> </w:t>
      </w:r>
      <w:r w:rsidR="00823F92" w:rsidRPr="00B039EE">
        <w:rPr>
          <w:lang w:val="en-US"/>
        </w:rPr>
        <w:t>a</w:t>
      </w:r>
      <w:r w:rsidR="00823F92">
        <w:rPr>
          <w:lang w:val="en-US"/>
        </w:rPr>
        <w:t xml:space="preserve"> </w:t>
      </w:r>
      <w:r w:rsidR="00F04F65" w:rsidRPr="00B039EE">
        <w:rPr>
          <w:lang w:val="en-US"/>
        </w:rPr>
        <w:t>minimu</w:t>
      </w:r>
      <w:r w:rsidR="00823F92" w:rsidRPr="00B039EE">
        <w:rPr>
          <w:lang w:val="en-US"/>
        </w:rPr>
        <w:t>m</w:t>
      </w:r>
      <w:r w:rsidR="00823F92">
        <w:rPr>
          <w:lang w:val="en-US"/>
        </w:rPr>
        <w:t xml:space="preserve"> </w:t>
      </w:r>
      <w:r w:rsidR="00F04F65">
        <w:rPr>
          <w:lang w:val="en-US"/>
        </w:rPr>
        <w:t>four-yea</w:t>
      </w:r>
      <w:r w:rsidR="00823F92">
        <w:rPr>
          <w:lang w:val="en-US"/>
        </w:rPr>
        <w:t xml:space="preserve">r </w:t>
      </w:r>
      <w:proofErr w:type="gramStart"/>
      <w:r w:rsidR="00F04F65" w:rsidRPr="00B039EE">
        <w:rPr>
          <w:lang w:val="en-US"/>
        </w:rPr>
        <w:t>bachelo</w:t>
      </w:r>
      <w:r w:rsidR="00823F92" w:rsidRPr="00B039EE">
        <w:rPr>
          <w:lang w:val="en-US"/>
        </w:rPr>
        <w:t>r</w:t>
      </w:r>
      <w:proofErr w:type="gramEnd"/>
      <w:r w:rsidR="00823F92">
        <w:rPr>
          <w:lang w:val="en-US"/>
        </w:rPr>
        <w:t xml:space="preserve"> </w:t>
      </w:r>
      <w:r w:rsidR="00F04F65" w:rsidRPr="00B039EE">
        <w:rPr>
          <w:lang w:val="en-US"/>
        </w:rPr>
        <w:t>degree</w:t>
      </w:r>
      <w:r w:rsidR="00823F92">
        <w:rPr>
          <w:lang w:val="en-US"/>
        </w:rPr>
        <w:t xml:space="preserve">. </w:t>
      </w:r>
    </w:p>
    <w:p w14:paraId="31F45835" w14:textId="1378A3D5" w:rsidR="00AB245D" w:rsidRPr="00342CC6" w:rsidRDefault="00AB245D" w:rsidP="009245F1">
      <w:pPr>
        <w:pStyle w:val="BodyText"/>
        <w:keepNext/>
        <w:keepLines/>
        <w:rPr>
          <w:lang w:val="en-US"/>
        </w:rPr>
      </w:pPr>
      <w:r w:rsidRPr="009245F1">
        <w:rPr>
          <w:lang w:val="en-US"/>
        </w:rPr>
        <w:t>Regulation:</w:t>
      </w:r>
      <w:r>
        <w:rPr>
          <w:b/>
          <w:bCs/>
          <w:lang w:val="en-US"/>
        </w:rPr>
        <w:t xml:space="preserve"> </w:t>
      </w:r>
      <w:r w:rsidRPr="00B039EE">
        <w:rPr>
          <w:lang w:val="en-US"/>
        </w:rPr>
        <w:t>Speec</w:t>
      </w:r>
      <w:r w:rsidR="00823F92" w:rsidRPr="00B039EE">
        <w:rPr>
          <w:lang w:val="en-US"/>
        </w:rPr>
        <w:t>h</w:t>
      </w:r>
      <w:r w:rsidR="00823F92">
        <w:rPr>
          <w:lang w:val="en-US"/>
        </w:rPr>
        <w:t xml:space="preserve"> </w:t>
      </w:r>
      <w:r>
        <w:rPr>
          <w:lang w:val="en-US"/>
        </w:rPr>
        <w:t>p</w:t>
      </w:r>
      <w:r w:rsidRPr="00B039EE">
        <w:rPr>
          <w:lang w:val="en-US"/>
        </w:rPr>
        <w:t>atholog</w:t>
      </w:r>
      <w:r w:rsidR="00823F92" w:rsidRPr="00B039EE">
        <w:rPr>
          <w:lang w:val="en-US"/>
        </w:rPr>
        <w:t>y</w:t>
      </w:r>
      <w:r w:rsidR="00823F92">
        <w:rPr>
          <w:lang w:val="en-US"/>
        </w:rPr>
        <w:t xml:space="preserve"> </w:t>
      </w:r>
      <w:r>
        <w:rPr>
          <w:lang w:val="en-US"/>
        </w:rPr>
        <w:t>i</w:t>
      </w:r>
      <w:r w:rsidR="00823F92">
        <w:rPr>
          <w:lang w:val="en-US"/>
        </w:rPr>
        <w:t xml:space="preserve">s a </w:t>
      </w:r>
      <w:r w:rsidRPr="00B039EE">
        <w:rPr>
          <w:lang w:val="en-US"/>
        </w:rPr>
        <w:t>self-regulate</w:t>
      </w:r>
      <w:r w:rsidR="00823F92" w:rsidRPr="00B039EE">
        <w:rPr>
          <w:lang w:val="en-US"/>
        </w:rPr>
        <w:t>d</w:t>
      </w:r>
      <w:r w:rsidR="00823F92">
        <w:rPr>
          <w:lang w:val="en-US"/>
        </w:rPr>
        <w:t xml:space="preserve"> </w:t>
      </w:r>
      <w:r w:rsidRPr="00B039EE">
        <w:rPr>
          <w:lang w:val="en-US"/>
        </w:rPr>
        <w:t>professio</w:t>
      </w:r>
      <w:r w:rsidR="00823F92" w:rsidRPr="00B039EE">
        <w:rPr>
          <w:lang w:val="en-US"/>
        </w:rPr>
        <w:t>n</w:t>
      </w:r>
      <w:r w:rsidR="00823F92">
        <w:rPr>
          <w:lang w:val="en-US"/>
        </w:rPr>
        <w:t xml:space="preserve"> </w:t>
      </w:r>
      <w:r w:rsidRPr="00B039EE">
        <w:rPr>
          <w:lang w:val="en-US"/>
        </w:rPr>
        <w:t>throug</w:t>
      </w:r>
      <w:r w:rsidR="00823F92" w:rsidRPr="00B039EE">
        <w:rPr>
          <w:lang w:val="en-US"/>
        </w:rPr>
        <w:t>h</w:t>
      </w:r>
      <w:r w:rsidR="00823F92">
        <w:rPr>
          <w:lang w:val="en-US"/>
        </w:rPr>
        <w:t xml:space="preserve"> </w:t>
      </w:r>
      <w:r w:rsidRPr="00B039EE">
        <w:rPr>
          <w:lang w:val="en-US"/>
        </w:rPr>
        <w:t>Speec</w:t>
      </w:r>
      <w:r w:rsidR="00823F92" w:rsidRPr="00B039EE">
        <w:rPr>
          <w:lang w:val="en-US"/>
        </w:rPr>
        <w:t>h</w:t>
      </w:r>
      <w:r w:rsidR="00823F92">
        <w:rPr>
          <w:lang w:val="en-US"/>
        </w:rPr>
        <w:t xml:space="preserve"> </w:t>
      </w:r>
      <w:r w:rsidRPr="00B039EE">
        <w:rPr>
          <w:lang w:val="en-US"/>
        </w:rPr>
        <w:t>Patholog</w:t>
      </w:r>
      <w:r w:rsidR="00823F92" w:rsidRPr="00B039EE">
        <w:rPr>
          <w:lang w:val="en-US"/>
        </w:rPr>
        <w:t>y</w:t>
      </w:r>
      <w:r w:rsidR="00823F92">
        <w:rPr>
          <w:lang w:val="en-US"/>
        </w:rPr>
        <w:t xml:space="preserve"> </w:t>
      </w:r>
      <w:r w:rsidRPr="00B039EE">
        <w:rPr>
          <w:lang w:val="en-US"/>
        </w:rPr>
        <w:t>Australia</w:t>
      </w:r>
      <w:r>
        <w:rPr>
          <w:lang w:val="en-US"/>
        </w:rPr>
        <w:t>.</w:t>
      </w:r>
    </w:p>
    <w:p w14:paraId="1049581A" w14:textId="654400D3" w:rsidR="00453F15" w:rsidRDefault="005137B8" w:rsidP="0069382D">
      <w:pPr>
        <w:pStyle w:val="BodyText"/>
      </w:pPr>
      <w:r w:rsidRPr="009245F1">
        <w:rPr>
          <w:lang w:val="en-US"/>
        </w:rPr>
        <w:t>Supply:</w:t>
      </w:r>
      <w:r>
        <w:rPr>
          <w:b/>
          <w:bCs/>
          <w:lang w:val="en-US"/>
        </w:rPr>
        <w:t xml:space="preserve"> </w:t>
      </w:r>
      <w:r w:rsidR="00F04F65" w:rsidRPr="006C4490">
        <w:rPr>
          <w:lang w:val="en-US"/>
        </w:rPr>
        <w:t>Ther</w:t>
      </w:r>
      <w:r w:rsidR="00823F92" w:rsidRPr="006C4490">
        <w:rPr>
          <w:lang w:val="en-US"/>
        </w:rPr>
        <w:t>e</w:t>
      </w:r>
      <w:r w:rsidR="00823F92">
        <w:rPr>
          <w:lang w:val="en-US"/>
        </w:rPr>
        <w:t xml:space="preserve"> </w:t>
      </w:r>
      <w:r w:rsidR="00F04F65" w:rsidRPr="006C4490">
        <w:rPr>
          <w:lang w:val="en-US"/>
        </w:rPr>
        <w:t>i</w:t>
      </w:r>
      <w:r w:rsidR="00823F92" w:rsidRPr="006C4490">
        <w:rPr>
          <w:lang w:val="en-US"/>
        </w:rPr>
        <w:t>s</w:t>
      </w:r>
      <w:r w:rsidR="00823F92">
        <w:rPr>
          <w:lang w:val="en-US"/>
        </w:rPr>
        <w:t xml:space="preserve"> </w:t>
      </w:r>
      <w:r w:rsidR="00F04F65" w:rsidRPr="006C4490">
        <w:rPr>
          <w:lang w:val="en-US"/>
        </w:rPr>
        <w:t>n</w:t>
      </w:r>
      <w:r w:rsidR="00823F92" w:rsidRPr="006C4490">
        <w:rPr>
          <w:lang w:val="en-US"/>
        </w:rPr>
        <w:t>o</w:t>
      </w:r>
      <w:r w:rsidR="00823F92">
        <w:rPr>
          <w:lang w:val="en-US"/>
        </w:rPr>
        <w:t xml:space="preserve"> </w:t>
      </w:r>
      <w:r w:rsidR="00F04F65" w:rsidRPr="006C4490">
        <w:rPr>
          <w:lang w:val="en-US"/>
        </w:rPr>
        <w:t>nationa</w:t>
      </w:r>
      <w:r w:rsidR="00823F92" w:rsidRPr="006C4490">
        <w:rPr>
          <w:lang w:val="en-US"/>
        </w:rPr>
        <w:t>l</w:t>
      </w:r>
      <w:r w:rsidR="00823F92">
        <w:rPr>
          <w:lang w:val="en-US"/>
        </w:rPr>
        <w:t xml:space="preserve"> </w:t>
      </w:r>
      <w:proofErr w:type="spellStart"/>
      <w:r w:rsidR="00F04F65" w:rsidRPr="006C4490">
        <w:rPr>
          <w:lang w:val="en-US"/>
        </w:rPr>
        <w:t>standardise</w:t>
      </w:r>
      <w:r w:rsidR="00823F92" w:rsidRPr="006C4490">
        <w:rPr>
          <w:lang w:val="en-US"/>
        </w:rPr>
        <w:t>d</w:t>
      </w:r>
      <w:proofErr w:type="spellEnd"/>
      <w:r w:rsidR="00823F92">
        <w:rPr>
          <w:lang w:val="en-US"/>
        </w:rPr>
        <w:t xml:space="preserve"> </w:t>
      </w:r>
      <w:r w:rsidR="00F04F65" w:rsidRPr="006C4490">
        <w:rPr>
          <w:lang w:val="en-US"/>
        </w:rPr>
        <w:t>dat</w:t>
      </w:r>
      <w:r w:rsidR="00823F92" w:rsidRPr="006C4490">
        <w:rPr>
          <w:lang w:val="en-US"/>
        </w:rPr>
        <w:t>a</w:t>
      </w:r>
      <w:r w:rsidR="00823F92">
        <w:rPr>
          <w:lang w:val="en-US"/>
        </w:rPr>
        <w:t xml:space="preserve"> </w:t>
      </w:r>
      <w:r w:rsidR="00F04F65" w:rsidRPr="006C4490">
        <w:rPr>
          <w:lang w:val="en-US"/>
        </w:rPr>
        <w:t>se</w:t>
      </w:r>
      <w:r w:rsidR="00823F92" w:rsidRPr="006C4490">
        <w:rPr>
          <w:lang w:val="en-US"/>
        </w:rPr>
        <w:t>t</w:t>
      </w:r>
      <w:r w:rsidR="00823F92">
        <w:rPr>
          <w:lang w:val="en-US"/>
        </w:rPr>
        <w:t xml:space="preserve"> </w:t>
      </w:r>
      <w:r w:rsidR="00F04F65" w:rsidRPr="006C4490">
        <w:rPr>
          <w:lang w:val="en-US"/>
        </w:rPr>
        <w:t>o</w:t>
      </w:r>
      <w:r w:rsidR="00823F92" w:rsidRPr="006C4490">
        <w:rPr>
          <w:lang w:val="en-US"/>
        </w:rPr>
        <w:t>n</w:t>
      </w:r>
      <w:r w:rsidR="00823F92">
        <w:rPr>
          <w:lang w:val="en-US"/>
        </w:rPr>
        <w:t xml:space="preserve"> </w:t>
      </w:r>
      <w:r w:rsidR="00F04F65" w:rsidRPr="006C4490">
        <w:rPr>
          <w:lang w:val="en-US"/>
        </w:rPr>
        <w:t>th</w:t>
      </w:r>
      <w:r w:rsidR="00823F92" w:rsidRPr="006C4490">
        <w:rPr>
          <w:lang w:val="en-US"/>
        </w:rPr>
        <w:t>e</w:t>
      </w:r>
      <w:r w:rsidR="00823F92">
        <w:rPr>
          <w:lang w:val="en-US"/>
        </w:rPr>
        <w:t xml:space="preserve"> </w:t>
      </w:r>
      <w:r w:rsidR="00F04F65" w:rsidRPr="006C4490">
        <w:rPr>
          <w:lang w:val="en-US"/>
        </w:rPr>
        <w:t>suppl</w:t>
      </w:r>
      <w:r w:rsidR="00823F92" w:rsidRPr="006C4490">
        <w:rPr>
          <w:lang w:val="en-US"/>
        </w:rPr>
        <w:t>y</w:t>
      </w:r>
      <w:r w:rsidR="00823F92">
        <w:rPr>
          <w:lang w:val="en-US"/>
        </w:rPr>
        <w:t xml:space="preserve"> </w:t>
      </w:r>
      <w:r w:rsidR="00F04F65" w:rsidRPr="006C4490">
        <w:rPr>
          <w:lang w:val="en-US"/>
        </w:rPr>
        <w:t>o</w:t>
      </w:r>
      <w:r w:rsidR="00823F92" w:rsidRPr="006C4490">
        <w:rPr>
          <w:lang w:val="en-US"/>
        </w:rPr>
        <w:t>f</w:t>
      </w:r>
      <w:r w:rsidR="00823F92">
        <w:rPr>
          <w:lang w:val="en-US"/>
        </w:rPr>
        <w:t xml:space="preserve"> </w:t>
      </w:r>
      <w:r w:rsidR="00F04F65" w:rsidRPr="006C4490">
        <w:rPr>
          <w:lang w:val="en-US"/>
        </w:rPr>
        <w:t>speec</w:t>
      </w:r>
      <w:r w:rsidR="00823F92" w:rsidRPr="006C4490">
        <w:rPr>
          <w:lang w:val="en-US"/>
        </w:rPr>
        <w:t>h</w:t>
      </w:r>
      <w:r w:rsidR="00823F92">
        <w:rPr>
          <w:lang w:val="en-US"/>
        </w:rPr>
        <w:t xml:space="preserve"> </w:t>
      </w:r>
      <w:r w:rsidR="00F04F65" w:rsidRPr="006C4490">
        <w:rPr>
          <w:lang w:val="en-US"/>
        </w:rPr>
        <w:t>pathologists.</w:t>
      </w:r>
    </w:p>
    <w:p w14:paraId="1A7D4C60" w14:textId="77777777" w:rsidR="00453F15" w:rsidRDefault="00453F15" w:rsidP="0069382D">
      <w:pPr>
        <w:pStyle w:val="BodyText"/>
        <w:sectPr w:rsidR="00453F15" w:rsidSect="0057448B">
          <w:headerReference w:type="even" r:id="rId36"/>
          <w:footerReference w:type="even" r:id="rId37"/>
          <w:footerReference w:type="default" r:id="rId38"/>
          <w:headerReference w:type="first" r:id="rId39"/>
          <w:footerReference w:type="first" r:id="rId40"/>
          <w:pgSz w:w="11906" w:h="16838" w:code="9"/>
          <w:pgMar w:top="1701" w:right="1134" w:bottom="1134" w:left="1418" w:header="454" w:footer="159" w:gutter="0"/>
          <w:cols w:space="708"/>
          <w:docGrid w:linePitch="360"/>
        </w:sectPr>
      </w:pPr>
    </w:p>
    <w:p w14:paraId="193BB2C6" w14:textId="3B32E7DF" w:rsidR="009245F1" w:rsidRPr="009245F1" w:rsidRDefault="009245F1" w:rsidP="00B33E0D">
      <w:pPr>
        <w:pStyle w:val="Heading1"/>
      </w:pPr>
      <w:bookmarkStart w:id="16" w:name="_Toc99018988"/>
      <w:r w:rsidRPr="009245F1">
        <w:lastRenderedPageBreak/>
        <w:t>Common workforce challenges</w:t>
      </w:r>
      <w:bookmarkEnd w:id="16"/>
    </w:p>
    <w:p w14:paraId="5F5901A4" w14:textId="18019858" w:rsidR="00453F15" w:rsidRDefault="00453F15" w:rsidP="00B33E0D">
      <w:pPr>
        <w:pStyle w:val="BodyText"/>
        <w:tabs>
          <w:tab w:val="left" w:pos="2694"/>
        </w:tabs>
      </w:pPr>
      <w:r>
        <w:t>Th</w:t>
      </w:r>
      <w:r w:rsidR="00823F92">
        <w:t xml:space="preserve">e </w:t>
      </w:r>
      <w:r>
        <w:t>menta</w:t>
      </w:r>
      <w:r w:rsidR="00823F92">
        <w:t xml:space="preserve">l </w:t>
      </w:r>
      <w:r>
        <w:t>healt</w:t>
      </w:r>
      <w:r w:rsidR="00823F92">
        <w:t xml:space="preserve">h </w:t>
      </w:r>
      <w:r>
        <w:t>workforc</w:t>
      </w:r>
      <w:r w:rsidR="00823F92">
        <w:t xml:space="preserve">e </w:t>
      </w:r>
      <w:r>
        <w:t>i</w:t>
      </w:r>
      <w:r w:rsidR="00823F92">
        <w:t xml:space="preserve">s </w:t>
      </w:r>
      <w:r>
        <w:t>critica</w:t>
      </w:r>
      <w:r w:rsidR="00823F92">
        <w:t xml:space="preserve">l </w:t>
      </w:r>
      <w:r>
        <w:t>t</w:t>
      </w:r>
      <w:r w:rsidR="00823F92">
        <w:t xml:space="preserve">o </w:t>
      </w:r>
      <w:r w:rsidR="00AB245D">
        <w:t>achievin</w:t>
      </w:r>
      <w:r w:rsidR="00823F92">
        <w:t xml:space="preserve">g a </w:t>
      </w:r>
      <w:r>
        <w:t>hig</w:t>
      </w:r>
      <w:r w:rsidR="00823F92">
        <w:t xml:space="preserve">h </w:t>
      </w:r>
      <w:r>
        <w:t>qualit</w:t>
      </w:r>
      <w:r w:rsidR="00823F92">
        <w:t xml:space="preserve">y </w:t>
      </w:r>
      <w:r>
        <w:t>menta</w:t>
      </w:r>
      <w:r w:rsidR="00823F92">
        <w:t xml:space="preserve">l </w:t>
      </w:r>
      <w:r>
        <w:t>healt</w:t>
      </w:r>
      <w:r w:rsidR="00823F92">
        <w:t xml:space="preserve">h </w:t>
      </w:r>
      <w:r>
        <w:t>syste</w:t>
      </w:r>
      <w:r w:rsidR="00823F92">
        <w:t xml:space="preserve">m </w:t>
      </w:r>
      <w:r w:rsidR="00AB245D">
        <w:t>tha</w:t>
      </w:r>
      <w:r w:rsidR="00823F92">
        <w:t xml:space="preserve">t </w:t>
      </w:r>
      <w:r>
        <w:t>deliver</w:t>
      </w:r>
      <w:r w:rsidR="00823F92">
        <w:t xml:space="preserve">s </w:t>
      </w:r>
      <w:r>
        <w:t>th</w:t>
      </w:r>
      <w:r w:rsidR="00823F92">
        <w:t xml:space="preserve">e </w:t>
      </w:r>
      <w:r w:rsidR="00AB245D">
        <w:t>suppor</w:t>
      </w:r>
      <w:r w:rsidR="00823F92">
        <w:t xml:space="preserve">t </w:t>
      </w:r>
      <w:r w:rsidR="00AB245D">
        <w:t>an</w:t>
      </w:r>
      <w:r w:rsidR="00823F92">
        <w:t xml:space="preserve">d </w:t>
      </w:r>
      <w:r w:rsidR="00AB245D">
        <w:t>treatmen</w:t>
      </w:r>
      <w:r w:rsidR="00823F92">
        <w:t xml:space="preserve">t </w:t>
      </w:r>
      <w:r>
        <w:t>tha</w:t>
      </w:r>
      <w:r w:rsidR="00823F92">
        <w:t xml:space="preserve">t </w:t>
      </w:r>
      <w:r>
        <w:t>peopl</w:t>
      </w:r>
      <w:r w:rsidR="00823F92">
        <w:t xml:space="preserve">e </w:t>
      </w:r>
      <w:r>
        <w:t>experiencin</w:t>
      </w:r>
      <w:r w:rsidR="00823F92">
        <w:t xml:space="preserve">g </w:t>
      </w:r>
      <w:r>
        <w:t>menta</w:t>
      </w:r>
      <w:r w:rsidR="00823F92">
        <w:t xml:space="preserve">l </w:t>
      </w:r>
      <w:r>
        <w:t>distres</w:t>
      </w:r>
      <w:r w:rsidR="00823F92">
        <w:t xml:space="preserve">s </w:t>
      </w:r>
      <w:r>
        <w:t>and/o</w:t>
      </w:r>
      <w:r w:rsidR="00823F92">
        <w:t xml:space="preserve">r </w:t>
      </w:r>
      <w:r>
        <w:t>ill-health</w:t>
      </w:r>
      <w:r w:rsidR="00823F92">
        <w:t xml:space="preserve">, </w:t>
      </w:r>
      <w:r>
        <w:t>thei</w:t>
      </w:r>
      <w:r w:rsidR="00823F92">
        <w:t xml:space="preserve">r </w:t>
      </w:r>
      <w:proofErr w:type="spellStart"/>
      <w:r>
        <w:t>carer</w:t>
      </w:r>
      <w:r w:rsidR="00823F92">
        <w:t>s</w:t>
      </w:r>
      <w:proofErr w:type="spellEnd"/>
      <w:r w:rsidR="00823F92">
        <w:t xml:space="preserve"> </w:t>
      </w:r>
      <w:r>
        <w:t>an</w:t>
      </w:r>
      <w:r w:rsidR="00823F92">
        <w:t xml:space="preserve">d </w:t>
      </w:r>
      <w:r>
        <w:t>familie</w:t>
      </w:r>
      <w:r w:rsidR="00823F92">
        <w:t xml:space="preserve">s </w:t>
      </w:r>
      <w:r>
        <w:t>requir</w:t>
      </w:r>
      <w:r w:rsidR="00823F92">
        <w:t xml:space="preserve">e </w:t>
      </w:r>
      <w:r>
        <w:t>– whe</w:t>
      </w:r>
      <w:r w:rsidR="00823F92">
        <w:t xml:space="preserve">n </w:t>
      </w:r>
      <w:r>
        <w:t>an</w:t>
      </w:r>
      <w:r w:rsidR="00823F92">
        <w:t xml:space="preserve">d </w:t>
      </w:r>
      <w:r>
        <w:t>wher</w:t>
      </w:r>
      <w:r w:rsidR="00823F92">
        <w:t xml:space="preserve">e </w:t>
      </w:r>
      <w:r>
        <w:t>the</w:t>
      </w:r>
      <w:r w:rsidR="00823F92">
        <w:t xml:space="preserve">y </w:t>
      </w:r>
      <w:r>
        <w:t>nee</w:t>
      </w:r>
      <w:r w:rsidR="00823F92">
        <w:t xml:space="preserve">d </w:t>
      </w:r>
      <w:r>
        <w:t>it</w:t>
      </w:r>
      <w:r w:rsidR="00823F92">
        <w:t xml:space="preserve">. </w:t>
      </w:r>
      <w:r>
        <w:t>Th</w:t>
      </w:r>
      <w:r w:rsidR="00823F92">
        <w:t xml:space="preserve">e </w:t>
      </w:r>
      <w:r>
        <w:t>menta</w:t>
      </w:r>
      <w:r w:rsidR="00823F92">
        <w:t xml:space="preserve">l </w:t>
      </w:r>
      <w:r>
        <w:t>healt</w:t>
      </w:r>
      <w:r w:rsidR="00823F92">
        <w:t xml:space="preserve">h </w:t>
      </w:r>
      <w:r>
        <w:t>workforc</w:t>
      </w:r>
      <w:r w:rsidR="00823F92">
        <w:t xml:space="preserve">e </w:t>
      </w:r>
      <w:r>
        <w:t>mus</w:t>
      </w:r>
      <w:r w:rsidR="00823F92">
        <w:t xml:space="preserve">t </w:t>
      </w:r>
      <w:r>
        <w:t>b</w:t>
      </w:r>
      <w:r w:rsidR="00823F92">
        <w:t xml:space="preserve">e </w:t>
      </w:r>
      <w:r>
        <w:t>availabl</w:t>
      </w:r>
      <w:r w:rsidR="00823F92">
        <w:t xml:space="preserve">e </w:t>
      </w:r>
      <w:r>
        <w:t>i</w:t>
      </w:r>
      <w:r w:rsidR="00823F92">
        <w:t xml:space="preserve">n </w:t>
      </w:r>
      <w:r>
        <w:t>sufficien</w:t>
      </w:r>
      <w:r w:rsidR="00823F92">
        <w:t xml:space="preserve">t </w:t>
      </w:r>
      <w:r>
        <w:t>number</w:t>
      </w:r>
      <w:r w:rsidR="00823F92">
        <w:t xml:space="preserve">s </w:t>
      </w:r>
      <w:r>
        <w:t>an</w:t>
      </w:r>
      <w:r w:rsidR="00823F92">
        <w:t xml:space="preserve">d </w:t>
      </w:r>
      <w:r>
        <w:t>appropriatel</w:t>
      </w:r>
      <w:r w:rsidR="00823F92">
        <w:t xml:space="preserve">y </w:t>
      </w:r>
      <w:r>
        <w:t>traine</w:t>
      </w:r>
      <w:r w:rsidR="00823F92">
        <w:t xml:space="preserve">d </w:t>
      </w:r>
      <w:r>
        <w:t>– bot</w:t>
      </w:r>
      <w:r w:rsidR="00823F92">
        <w:t xml:space="preserve">h </w:t>
      </w:r>
      <w:r>
        <w:t>pre-servic</w:t>
      </w:r>
      <w:r w:rsidR="00823F92">
        <w:t xml:space="preserve">e </w:t>
      </w:r>
      <w:r>
        <w:t>an</w:t>
      </w:r>
      <w:r w:rsidR="00823F92">
        <w:t xml:space="preserve">d </w:t>
      </w:r>
      <w:r>
        <w:t>throug</w:t>
      </w:r>
      <w:r w:rsidR="00823F92">
        <w:t xml:space="preserve">h </w:t>
      </w:r>
      <w:r>
        <w:t>continuin</w:t>
      </w:r>
      <w:r w:rsidR="00823F92">
        <w:t xml:space="preserve">g </w:t>
      </w:r>
      <w:r>
        <w:t>professiona</w:t>
      </w:r>
      <w:r w:rsidR="00823F92">
        <w:t xml:space="preserve">l </w:t>
      </w:r>
      <w:r>
        <w:t>developmen</w:t>
      </w:r>
      <w:r w:rsidR="00823F92">
        <w:t xml:space="preserve">t </w:t>
      </w:r>
      <w:r>
        <w:t>– i</w:t>
      </w:r>
      <w:r w:rsidR="00823F92">
        <w:t xml:space="preserve">f </w:t>
      </w:r>
      <w:r>
        <w:t>i</w:t>
      </w:r>
      <w:r w:rsidR="00823F92">
        <w:t xml:space="preserve">t </w:t>
      </w:r>
      <w:r>
        <w:t>i</w:t>
      </w:r>
      <w:r w:rsidR="00823F92">
        <w:t xml:space="preserve">s </w:t>
      </w:r>
      <w:r>
        <w:t>t</w:t>
      </w:r>
      <w:r w:rsidR="00823F92">
        <w:t xml:space="preserve">o </w:t>
      </w:r>
      <w:r>
        <w:t>fulfi</w:t>
      </w:r>
      <w:r w:rsidR="00823F92">
        <w:t xml:space="preserve">l </w:t>
      </w:r>
      <w:r>
        <w:t>thi</w:t>
      </w:r>
      <w:r w:rsidR="00823F92">
        <w:t xml:space="preserve">s </w:t>
      </w:r>
      <w:r>
        <w:t>critica</w:t>
      </w:r>
      <w:r w:rsidR="00823F92">
        <w:t xml:space="preserve">l </w:t>
      </w:r>
      <w:r>
        <w:t>rol</w:t>
      </w:r>
      <w:r w:rsidR="00823F92">
        <w:t xml:space="preserve">e </w:t>
      </w:r>
      <w:r>
        <w:t>t</w:t>
      </w:r>
      <w:r w:rsidR="00823F92">
        <w:t xml:space="preserve">o </w:t>
      </w:r>
      <w:r>
        <w:t>th</w:t>
      </w:r>
      <w:r w:rsidR="00823F92">
        <w:t xml:space="preserve">e </w:t>
      </w:r>
      <w:r>
        <w:t>standar</w:t>
      </w:r>
      <w:r w:rsidR="00823F92">
        <w:t xml:space="preserve">d </w:t>
      </w:r>
      <w:r>
        <w:t>required</w:t>
      </w:r>
      <w:r w:rsidR="00823F92">
        <w:t xml:space="preserve">. </w:t>
      </w:r>
    </w:p>
    <w:p w14:paraId="74A0CA31" w14:textId="0A4B279F" w:rsidR="00453F15" w:rsidRDefault="00453F15" w:rsidP="003B4A14">
      <w:pPr>
        <w:pStyle w:val="BodyText"/>
      </w:pPr>
      <w:r>
        <w:t>T</w:t>
      </w:r>
      <w:r w:rsidRPr="006C4490">
        <w:t>her</w:t>
      </w:r>
      <w:r w:rsidR="00823F92" w:rsidRPr="006C4490">
        <w:t>e</w:t>
      </w:r>
      <w:r w:rsidR="00823F92">
        <w:t xml:space="preserve"> </w:t>
      </w:r>
      <w:r w:rsidRPr="006C4490">
        <w:t>ar</w:t>
      </w:r>
      <w:r w:rsidR="00823F92" w:rsidRPr="006C4490">
        <w:t>e</w:t>
      </w:r>
      <w:r w:rsidR="00823F92">
        <w:t xml:space="preserve"> </w:t>
      </w:r>
      <w:r w:rsidRPr="006C4490">
        <w:t>wid</w:t>
      </w:r>
      <w:r w:rsidR="00823F92" w:rsidRPr="006C4490">
        <w:t>e</w:t>
      </w:r>
      <w:r w:rsidR="00823F92">
        <w:t xml:space="preserve"> </w:t>
      </w:r>
      <w:r w:rsidRPr="006C4490">
        <w:t>rangin</w:t>
      </w:r>
      <w:r w:rsidR="00823F92" w:rsidRPr="006C4490">
        <w:t>g</w:t>
      </w:r>
      <w:r w:rsidR="00823F92">
        <w:t xml:space="preserve"> </w:t>
      </w:r>
      <w:r w:rsidRPr="006C4490">
        <w:t>issue</w:t>
      </w:r>
      <w:r w:rsidR="00823F92" w:rsidRPr="006C4490">
        <w:t>s</w:t>
      </w:r>
      <w:r w:rsidR="00823F92">
        <w:t xml:space="preserve"> </w:t>
      </w:r>
      <w:r>
        <w:t>tha</w:t>
      </w:r>
      <w:r w:rsidR="00823F92">
        <w:t xml:space="preserve">t </w:t>
      </w:r>
      <w:r w:rsidRPr="006C4490">
        <w:t>affec</w:t>
      </w:r>
      <w:r w:rsidR="00823F92" w:rsidRPr="006C4490">
        <w:t>t</w:t>
      </w:r>
      <w:r w:rsidR="00823F92">
        <w:t xml:space="preserve"> </w:t>
      </w:r>
      <w:r w:rsidRPr="006C4490">
        <w:t>th</w:t>
      </w:r>
      <w:r w:rsidR="00823F92" w:rsidRPr="006C4490">
        <w:t>e</w:t>
      </w:r>
      <w:r w:rsidR="00823F92">
        <w:t xml:space="preserve"> </w:t>
      </w:r>
      <w:r w:rsidRPr="006C4490">
        <w:t>menta</w:t>
      </w:r>
      <w:r w:rsidR="00823F92" w:rsidRPr="006C4490">
        <w:t>l</w:t>
      </w:r>
      <w:r w:rsidR="00823F92">
        <w:t xml:space="preserve"> </w:t>
      </w:r>
      <w:r w:rsidRPr="006C4490">
        <w:t>healt</w:t>
      </w:r>
      <w:r w:rsidR="00823F92" w:rsidRPr="006C4490">
        <w:t>h</w:t>
      </w:r>
      <w:r w:rsidR="00823F92">
        <w:t xml:space="preserve"> </w:t>
      </w:r>
      <w:r w:rsidRPr="006C4490">
        <w:t>workforce</w:t>
      </w:r>
      <w:r w:rsidR="00823F92" w:rsidRPr="006C4490">
        <w:t>,</w:t>
      </w:r>
      <w:r w:rsidR="00823F92">
        <w:t xml:space="preserve"> </w:t>
      </w:r>
      <w:r>
        <w:t>commonl</w:t>
      </w:r>
      <w:r w:rsidR="00823F92">
        <w:t xml:space="preserve">y </w:t>
      </w:r>
      <w:r>
        <w:t>identifie</w:t>
      </w:r>
      <w:r w:rsidR="00823F92">
        <w:t xml:space="preserve">d </w:t>
      </w:r>
      <w:r>
        <w:t>throug</w:t>
      </w:r>
      <w:r w:rsidR="00823F92">
        <w:t xml:space="preserve">h </w:t>
      </w:r>
      <w:r>
        <w:t>commissions</w:t>
      </w:r>
      <w:r w:rsidR="00823F92">
        <w:t xml:space="preserve">, </w:t>
      </w:r>
      <w:r>
        <w:t>inquirie</w:t>
      </w:r>
      <w:r w:rsidR="00823F92">
        <w:t xml:space="preserve">s </w:t>
      </w:r>
      <w:r>
        <w:t>an</w:t>
      </w:r>
      <w:r w:rsidR="00823F92">
        <w:t xml:space="preserve">d </w:t>
      </w:r>
      <w:r>
        <w:t>research</w:t>
      </w:r>
      <w:r w:rsidR="00823F92">
        <w:t xml:space="preserve">. </w:t>
      </w:r>
      <w:r w:rsidR="00F04F65">
        <w:t>Thi</w:t>
      </w:r>
      <w:r w:rsidR="00823F92">
        <w:t xml:space="preserve">s </w:t>
      </w:r>
      <w:r w:rsidR="00F04F65">
        <w:t>chapte</w:t>
      </w:r>
      <w:r w:rsidR="00823F92">
        <w:t xml:space="preserve">r </w:t>
      </w:r>
      <w:r w:rsidR="00F04F65">
        <w:t>outline</w:t>
      </w:r>
      <w:r w:rsidR="00823F92">
        <w:t xml:space="preserve">s </w:t>
      </w:r>
      <w:r w:rsidR="00F04F65">
        <w:t>th</w:t>
      </w:r>
      <w:r w:rsidR="00823F92">
        <w:t xml:space="preserve">e </w:t>
      </w:r>
      <w:r w:rsidR="00F04F65">
        <w:t>ke</w:t>
      </w:r>
      <w:r w:rsidR="00823F92">
        <w:t xml:space="preserve">y </w:t>
      </w:r>
      <w:r w:rsidR="00F04F65">
        <w:t>issue</w:t>
      </w:r>
      <w:r w:rsidR="00823F92">
        <w:t xml:space="preserve">s </w:t>
      </w:r>
      <w:r w:rsidR="004E2C7E">
        <w:t>commo</w:t>
      </w:r>
      <w:r w:rsidR="00823F92">
        <w:t xml:space="preserve">n </w:t>
      </w:r>
      <w:r w:rsidR="004E2C7E">
        <w:t>t</w:t>
      </w:r>
      <w:r w:rsidR="00823F92">
        <w:t xml:space="preserve">o </w:t>
      </w:r>
      <w:r w:rsidR="000B5C5D">
        <w:t>occupation</w:t>
      </w:r>
      <w:r w:rsidR="00823F92">
        <w:t xml:space="preserve">s </w:t>
      </w:r>
      <w:r w:rsidR="004E2C7E">
        <w:t>i</w:t>
      </w:r>
      <w:r w:rsidR="00823F92">
        <w:t xml:space="preserve">n </w:t>
      </w:r>
      <w:r w:rsidR="004E2C7E">
        <w:t>th</w:t>
      </w:r>
      <w:r w:rsidR="00823F92">
        <w:t xml:space="preserve">e </w:t>
      </w:r>
      <w:r w:rsidR="004E2C7E">
        <w:t>menta</w:t>
      </w:r>
      <w:r w:rsidR="00823F92">
        <w:t xml:space="preserve">l </w:t>
      </w:r>
      <w:r w:rsidR="004E2C7E">
        <w:t>healt</w:t>
      </w:r>
      <w:r w:rsidR="00823F92">
        <w:t xml:space="preserve">h </w:t>
      </w:r>
      <w:r w:rsidR="004E2C7E">
        <w:t>workforce</w:t>
      </w:r>
      <w:r w:rsidR="00823F92">
        <w:t xml:space="preserve">. </w:t>
      </w:r>
      <w:r w:rsidR="0081061A">
        <w:t>Thi</w:t>
      </w:r>
      <w:r w:rsidR="00823F92">
        <w:t xml:space="preserve">s </w:t>
      </w:r>
      <w:r w:rsidR="0081061A">
        <w:t>chapte</w:t>
      </w:r>
      <w:r w:rsidR="00823F92">
        <w:t xml:space="preserve">r </w:t>
      </w:r>
      <w:r w:rsidR="0081061A">
        <w:t>draw</w:t>
      </w:r>
      <w:r w:rsidR="00823F92">
        <w:t xml:space="preserve">s </w:t>
      </w:r>
      <w:r w:rsidR="0081061A">
        <w:t>o</w:t>
      </w:r>
      <w:r w:rsidR="00823F92">
        <w:t xml:space="preserve">n </w:t>
      </w:r>
      <w:r w:rsidR="0081061A">
        <w:t>evidenc</w:t>
      </w:r>
      <w:r w:rsidR="00823F92">
        <w:t xml:space="preserve">e </w:t>
      </w:r>
      <w:r w:rsidR="0081061A">
        <w:t>collecte</w:t>
      </w:r>
      <w:r w:rsidR="00823F92">
        <w:t xml:space="preserve">d </w:t>
      </w:r>
      <w:r w:rsidR="00F04F65">
        <w:t>throug</w:t>
      </w:r>
      <w:r w:rsidR="00823F92">
        <w:t xml:space="preserve">h </w:t>
      </w:r>
      <w:r w:rsidR="00F04F65">
        <w:t>th</w:t>
      </w:r>
      <w:r w:rsidR="00823F92">
        <w:t xml:space="preserve">e </w:t>
      </w:r>
      <w:r w:rsidR="00F04F65">
        <w:t>literatur</w:t>
      </w:r>
      <w:r w:rsidR="00823F92">
        <w:t xml:space="preserve">e </w:t>
      </w:r>
      <w:r w:rsidR="00F04F65">
        <w:t>review</w:t>
      </w:r>
      <w:r w:rsidR="00823F92">
        <w:t xml:space="preserve">, </w:t>
      </w:r>
      <w:r w:rsidR="00F04F65">
        <w:t>dat</w:t>
      </w:r>
      <w:r w:rsidR="00823F92">
        <w:t xml:space="preserve">a </w:t>
      </w:r>
      <w:r w:rsidR="00F04F65">
        <w:t>analysi</w:t>
      </w:r>
      <w:r w:rsidR="00823F92">
        <w:t xml:space="preserve">s </w:t>
      </w:r>
      <w:r w:rsidR="00F04F65">
        <w:t>an</w:t>
      </w:r>
      <w:r w:rsidR="00823F92">
        <w:t xml:space="preserve">d </w:t>
      </w:r>
      <w:r w:rsidR="00F04F65">
        <w:t>consultation</w:t>
      </w:r>
      <w:r w:rsidR="00823F92">
        <w:t xml:space="preserve">s </w:t>
      </w:r>
      <w:r w:rsidR="00F04F65">
        <w:t>undertake</w:t>
      </w:r>
      <w:r w:rsidR="00823F92">
        <w:t xml:space="preserve">n </w:t>
      </w:r>
      <w:r w:rsidR="00F04F65">
        <w:t>b</w:t>
      </w:r>
      <w:r w:rsidR="00823F92">
        <w:t xml:space="preserve">y </w:t>
      </w:r>
      <w:r w:rsidR="00F04F65">
        <w:t>th</w:t>
      </w:r>
      <w:r w:rsidR="00823F92">
        <w:t xml:space="preserve">e </w:t>
      </w:r>
      <w:r w:rsidR="00F04F65">
        <w:t>Taskforc</w:t>
      </w:r>
      <w:r w:rsidR="00823F92">
        <w:t xml:space="preserve">e </w:t>
      </w:r>
      <w:r w:rsidR="00F04F65">
        <w:t>t</w:t>
      </w:r>
      <w:r w:rsidR="00823F92">
        <w:t xml:space="preserve">o </w:t>
      </w:r>
      <w:r w:rsidR="00F04F65">
        <w:t>date</w:t>
      </w:r>
      <w:r w:rsidR="00793B38">
        <w:t>.</w:t>
      </w:r>
    </w:p>
    <w:p w14:paraId="41CB033F" w14:textId="1B81FB84" w:rsidR="00790842" w:rsidRDefault="00790842" w:rsidP="00790842">
      <w:pPr>
        <w:pStyle w:val="Heading2"/>
      </w:pPr>
      <w:bookmarkStart w:id="17" w:name="_Toc99018989"/>
      <w:r>
        <w:t>Attracti</w:t>
      </w:r>
      <w:r w:rsidR="005D1AB4">
        <w:t>venes</w:t>
      </w:r>
      <w:r w:rsidR="00823F92">
        <w:t xml:space="preserve">s </w:t>
      </w:r>
      <w:r w:rsidR="001F46CE">
        <w:t>an</w:t>
      </w:r>
      <w:r w:rsidR="00823F92">
        <w:t xml:space="preserve">d </w:t>
      </w:r>
      <w:r w:rsidR="001F46CE">
        <w:t>awarenes</w:t>
      </w:r>
      <w:r w:rsidR="00823F92">
        <w:t xml:space="preserve">s </w:t>
      </w:r>
      <w:r w:rsidR="005D1AB4">
        <w:t>o</w:t>
      </w:r>
      <w:r w:rsidR="00823F92">
        <w:t xml:space="preserve">f </w:t>
      </w:r>
      <w:r w:rsidR="005D1AB4">
        <w:t>career</w:t>
      </w:r>
      <w:r w:rsidR="00823F92">
        <w:t xml:space="preserve">s </w:t>
      </w:r>
      <w:r w:rsidR="005D1AB4">
        <w:t>i</w:t>
      </w:r>
      <w:r w:rsidR="00823F92">
        <w:t xml:space="preserve">n </w:t>
      </w:r>
      <w:r w:rsidR="005D1AB4">
        <w:t>menta</w:t>
      </w:r>
      <w:r w:rsidR="00823F92">
        <w:t xml:space="preserve">l </w:t>
      </w:r>
      <w:r w:rsidR="005D1AB4">
        <w:t>health</w:t>
      </w:r>
      <w:bookmarkEnd w:id="17"/>
    </w:p>
    <w:p w14:paraId="24487223" w14:textId="3287B6C1" w:rsidR="00790842" w:rsidRPr="000E25B1" w:rsidRDefault="00790842" w:rsidP="00B33E0D">
      <w:pPr>
        <w:pStyle w:val="Heading3nonumber"/>
        <w:keepNext/>
      </w:pPr>
      <w:r w:rsidRPr="000E25B1">
        <w:t>Awarenes</w:t>
      </w:r>
      <w:r w:rsidR="00823F92" w:rsidRPr="000E25B1">
        <w:t>s</w:t>
      </w:r>
      <w:r w:rsidR="00823F92">
        <w:t xml:space="preserve"> </w:t>
      </w:r>
      <w:r>
        <w:t>o</w:t>
      </w:r>
      <w:r w:rsidR="00823F92">
        <w:t xml:space="preserve">f </w:t>
      </w:r>
      <w:r>
        <w:t>menta</w:t>
      </w:r>
      <w:r w:rsidR="00823F92">
        <w:t xml:space="preserve">l </w:t>
      </w:r>
      <w:r>
        <w:t>healt</w:t>
      </w:r>
      <w:r w:rsidR="00823F92">
        <w:t xml:space="preserve">h </w:t>
      </w:r>
      <w:r>
        <w:t>a</w:t>
      </w:r>
      <w:r w:rsidR="00823F92">
        <w:t xml:space="preserve">s </w:t>
      </w:r>
      <w:r>
        <w:t>a</w:t>
      </w:r>
      <w:r w:rsidR="00823F92">
        <w:t xml:space="preserve">n </w:t>
      </w:r>
      <w:r w:rsidR="00822934">
        <w:t>attractiv</w:t>
      </w:r>
      <w:r w:rsidR="00823F92">
        <w:t xml:space="preserve">e </w:t>
      </w:r>
      <w:r>
        <w:t>career</w:t>
      </w:r>
    </w:p>
    <w:p w14:paraId="5C6E9F6D" w14:textId="208AB867" w:rsidR="00765DEF" w:rsidRDefault="00F34F3D">
      <w:pPr>
        <w:pStyle w:val="BodyText"/>
        <w:rPr>
          <w:sz w:val="20"/>
          <w:szCs w:val="20"/>
        </w:rPr>
      </w:pPr>
      <w:r>
        <w:rPr>
          <w:lang w:val="en-US"/>
        </w:rPr>
        <w:t>Whil</w:t>
      </w:r>
      <w:r w:rsidR="00823F92">
        <w:rPr>
          <w:lang w:val="en-US"/>
        </w:rPr>
        <w:t xml:space="preserve">e </w:t>
      </w:r>
      <w:r>
        <w:rPr>
          <w:lang w:val="en-US"/>
        </w:rPr>
        <w:t>enrolment</w:t>
      </w:r>
      <w:r w:rsidR="00823F92">
        <w:rPr>
          <w:lang w:val="en-US"/>
        </w:rPr>
        <w:t xml:space="preserve">s </w:t>
      </w:r>
      <w:r>
        <w:rPr>
          <w:lang w:val="en-US"/>
        </w:rPr>
        <w:t>i</w:t>
      </w:r>
      <w:r w:rsidR="00823F92">
        <w:rPr>
          <w:lang w:val="en-US"/>
        </w:rPr>
        <w:t xml:space="preserve">n </w:t>
      </w:r>
      <w:r>
        <w:rPr>
          <w:lang w:val="en-US"/>
        </w:rPr>
        <w:t>educatio</w:t>
      </w:r>
      <w:r w:rsidR="00823F92">
        <w:rPr>
          <w:lang w:val="en-US"/>
        </w:rPr>
        <w:t xml:space="preserve">n </w:t>
      </w:r>
      <w:r>
        <w:rPr>
          <w:lang w:val="en-US"/>
        </w:rPr>
        <w:t>an</w:t>
      </w:r>
      <w:r w:rsidR="00823F92">
        <w:rPr>
          <w:lang w:val="en-US"/>
        </w:rPr>
        <w:t xml:space="preserve">d </w:t>
      </w:r>
      <w:r>
        <w:rPr>
          <w:lang w:val="en-US"/>
        </w:rPr>
        <w:t>trainin</w:t>
      </w:r>
      <w:r w:rsidR="00823F92">
        <w:rPr>
          <w:lang w:val="en-US"/>
        </w:rPr>
        <w:t xml:space="preserve">g </w:t>
      </w:r>
      <w:r>
        <w:rPr>
          <w:lang w:val="en-US"/>
        </w:rPr>
        <w:t>program</w:t>
      </w:r>
      <w:r w:rsidR="00823F92">
        <w:rPr>
          <w:lang w:val="en-US"/>
        </w:rPr>
        <w:t xml:space="preserve">s </w:t>
      </w:r>
      <w:r>
        <w:rPr>
          <w:lang w:val="en-US"/>
        </w:rPr>
        <w:t>tha</w:t>
      </w:r>
      <w:r w:rsidR="00823F92">
        <w:rPr>
          <w:lang w:val="en-US"/>
        </w:rPr>
        <w:t xml:space="preserve">t </w:t>
      </w:r>
      <w:r>
        <w:rPr>
          <w:lang w:val="en-US"/>
        </w:rPr>
        <w:t>ca</w:t>
      </w:r>
      <w:r w:rsidR="00823F92">
        <w:rPr>
          <w:lang w:val="en-US"/>
        </w:rPr>
        <w:t xml:space="preserve">n </w:t>
      </w:r>
      <w:r>
        <w:rPr>
          <w:lang w:val="en-US"/>
        </w:rPr>
        <w:t>lea</w:t>
      </w:r>
      <w:r w:rsidR="00823F92">
        <w:rPr>
          <w:lang w:val="en-US"/>
        </w:rPr>
        <w:t xml:space="preserve">d </w:t>
      </w:r>
      <w:r>
        <w:rPr>
          <w:lang w:val="en-US"/>
        </w:rPr>
        <w:t>t</w:t>
      </w:r>
      <w:r w:rsidR="00823F92">
        <w:rPr>
          <w:lang w:val="en-US"/>
        </w:rPr>
        <w:t xml:space="preserve">o </w:t>
      </w:r>
      <w:r>
        <w:rPr>
          <w:lang w:val="en-US"/>
        </w:rPr>
        <w:t>employmen</w:t>
      </w:r>
      <w:r w:rsidR="00823F92">
        <w:rPr>
          <w:lang w:val="en-US"/>
        </w:rPr>
        <w:t xml:space="preserve">t </w:t>
      </w:r>
      <w:r>
        <w:rPr>
          <w:lang w:val="en-US"/>
        </w:rPr>
        <w:t>i</w:t>
      </w:r>
      <w:r w:rsidR="00823F92">
        <w:rPr>
          <w:lang w:val="en-US"/>
        </w:rPr>
        <w:t xml:space="preserve">n </w:t>
      </w:r>
      <w:r>
        <w:rPr>
          <w:lang w:val="en-US"/>
        </w:rPr>
        <w:t>menta</w:t>
      </w:r>
      <w:r w:rsidR="00823F92">
        <w:rPr>
          <w:lang w:val="en-US"/>
        </w:rPr>
        <w:t xml:space="preserve">l </w:t>
      </w:r>
      <w:r>
        <w:rPr>
          <w:lang w:val="en-US"/>
        </w:rPr>
        <w:t>healt</w:t>
      </w:r>
      <w:r w:rsidR="00823F92">
        <w:rPr>
          <w:lang w:val="en-US"/>
        </w:rPr>
        <w:t xml:space="preserve">h </w:t>
      </w:r>
      <w:r w:rsidR="0054344D">
        <w:rPr>
          <w:lang w:val="en-US"/>
        </w:rPr>
        <w:t>hav</w:t>
      </w:r>
      <w:r w:rsidR="00823F92">
        <w:rPr>
          <w:lang w:val="en-US"/>
        </w:rPr>
        <w:t xml:space="preserve">e </w:t>
      </w:r>
      <w:r w:rsidR="0054344D">
        <w:rPr>
          <w:lang w:val="en-US"/>
        </w:rPr>
        <w:t>generall</w:t>
      </w:r>
      <w:r w:rsidR="00823F92">
        <w:rPr>
          <w:lang w:val="en-US"/>
        </w:rPr>
        <w:t xml:space="preserve">y </w:t>
      </w:r>
      <w:r w:rsidR="0054344D">
        <w:rPr>
          <w:lang w:val="en-US"/>
        </w:rPr>
        <w:t>bee</w:t>
      </w:r>
      <w:r w:rsidR="00823F92">
        <w:rPr>
          <w:lang w:val="en-US"/>
        </w:rPr>
        <w:t xml:space="preserve">n </w:t>
      </w:r>
      <w:r w:rsidR="0054344D">
        <w:rPr>
          <w:lang w:val="en-US"/>
        </w:rPr>
        <w:t>increasin</w:t>
      </w:r>
      <w:r w:rsidR="00823F92">
        <w:rPr>
          <w:lang w:val="en-US"/>
        </w:rPr>
        <w:t xml:space="preserve">g </w:t>
      </w:r>
      <w:r w:rsidR="0054344D">
        <w:rPr>
          <w:lang w:val="en-US"/>
        </w:rPr>
        <w:t>ove</w:t>
      </w:r>
      <w:r w:rsidR="00823F92">
        <w:rPr>
          <w:lang w:val="en-US"/>
        </w:rPr>
        <w:t xml:space="preserve">r </w:t>
      </w:r>
      <w:r w:rsidR="0054344D">
        <w:rPr>
          <w:lang w:val="en-US"/>
        </w:rPr>
        <w:t>time</w:t>
      </w:r>
      <w:r w:rsidR="00823F92">
        <w:rPr>
          <w:lang w:val="en-US"/>
        </w:rPr>
        <w:t xml:space="preserve">, </w:t>
      </w:r>
      <w:r w:rsidR="00342CC6">
        <w:rPr>
          <w:lang w:val="en-US"/>
        </w:rPr>
        <w:t>existin</w:t>
      </w:r>
      <w:r w:rsidR="00823F92">
        <w:rPr>
          <w:lang w:val="en-US"/>
        </w:rPr>
        <w:t xml:space="preserve">g </w:t>
      </w:r>
      <w:r w:rsidR="00227BCF" w:rsidRPr="002B5B63">
        <w:rPr>
          <w:lang w:val="en-US"/>
        </w:rPr>
        <w:t>workforc</w:t>
      </w:r>
      <w:r w:rsidR="00823F92" w:rsidRPr="002B5B63">
        <w:rPr>
          <w:lang w:val="en-US"/>
        </w:rPr>
        <w:t>e</w:t>
      </w:r>
      <w:r w:rsidR="00823F92">
        <w:rPr>
          <w:lang w:val="en-US"/>
        </w:rPr>
        <w:t xml:space="preserve"> </w:t>
      </w:r>
      <w:r w:rsidR="00227BCF" w:rsidRPr="002B5B63">
        <w:rPr>
          <w:lang w:val="en-US"/>
        </w:rPr>
        <w:t>shortage</w:t>
      </w:r>
      <w:r w:rsidR="00823F92" w:rsidRPr="002B5B63">
        <w:rPr>
          <w:lang w:val="en-US"/>
        </w:rPr>
        <w:t>s</w:t>
      </w:r>
      <w:r w:rsidR="00823F92">
        <w:rPr>
          <w:lang w:val="en-US"/>
        </w:rPr>
        <w:t xml:space="preserve"> </w:t>
      </w:r>
      <w:r w:rsidR="00227BCF" w:rsidRPr="002B5B63">
        <w:rPr>
          <w:lang w:val="en-US"/>
        </w:rPr>
        <w:t>ar</w:t>
      </w:r>
      <w:r w:rsidR="00823F92" w:rsidRPr="002B5B63">
        <w:rPr>
          <w:lang w:val="en-US"/>
        </w:rPr>
        <w:t>e</w:t>
      </w:r>
      <w:r w:rsidR="00823F92">
        <w:rPr>
          <w:lang w:val="en-US"/>
        </w:rPr>
        <w:t xml:space="preserve"> </w:t>
      </w:r>
      <w:r w:rsidR="00227BCF" w:rsidRPr="002B5B63">
        <w:rPr>
          <w:lang w:val="en-US"/>
        </w:rPr>
        <w:t>likel</w:t>
      </w:r>
      <w:r w:rsidR="00823F92" w:rsidRPr="002B5B63">
        <w:rPr>
          <w:lang w:val="en-US"/>
        </w:rPr>
        <w:t>y</w:t>
      </w:r>
      <w:r w:rsidR="00823F92">
        <w:rPr>
          <w:lang w:val="en-US"/>
        </w:rPr>
        <w:t xml:space="preserve"> </w:t>
      </w:r>
      <w:r w:rsidR="00227BCF" w:rsidRPr="002B5B63">
        <w:rPr>
          <w:lang w:val="en-US"/>
        </w:rPr>
        <w:t>t</w:t>
      </w:r>
      <w:r w:rsidR="00823F92" w:rsidRPr="002B5B63">
        <w:rPr>
          <w:lang w:val="en-US"/>
        </w:rPr>
        <w:t>o</w:t>
      </w:r>
      <w:r w:rsidR="00823F92">
        <w:rPr>
          <w:lang w:val="en-US"/>
        </w:rPr>
        <w:t xml:space="preserve"> </w:t>
      </w:r>
      <w:r w:rsidR="00227BCF" w:rsidRPr="002B5B63">
        <w:rPr>
          <w:lang w:val="en-US"/>
        </w:rPr>
        <w:t>b</w:t>
      </w:r>
      <w:r w:rsidR="00823F92" w:rsidRPr="002B5B63">
        <w:rPr>
          <w:lang w:val="en-US"/>
        </w:rPr>
        <w:t>e</w:t>
      </w:r>
      <w:r w:rsidR="00823F92">
        <w:rPr>
          <w:lang w:val="en-US"/>
        </w:rPr>
        <w:t xml:space="preserve"> </w:t>
      </w:r>
      <w:r w:rsidR="00227BCF" w:rsidRPr="002B5B63">
        <w:rPr>
          <w:lang w:val="en-US"/>
        </w:rPr>
        <w:t>exacerbate</w:t>
      </w:r>
      <w:r w:rsidR="00823F92" w:rsidRPr="002B5B63">
        <w:rPr>
          <w:lang w:val="en-US"/>
        </w:rPr>
        <w:t>d</w:t>
      </w:r>
      <w:r w:rsidR="00823F92">
        <w:rPr>
          <w:lang w:val="en-US"/>
        </w:rPr>
        <w:t xml:space="preserve"> </w:t>
      </w:r>
      <w:r w:rsidR="00227BCF" w:rsidRPr="002B5B63">
        <w:rPr>
          <w:lang w:val="en-US"/>
        </w:rPr>
        <w:t>b</w:t>
      </w:r>
      <w:r w:rsidR="00823F92" w:rsidRPr="002B5B63">
        <w:rPr>
          <w:lang w:val="en-US"/>
        </w:rPr>
        <w:t>y</w:t>
      </w:r>
      <w:r w:rsidR="00823F92">
        <w:rPr>
          <w:lang w:val="en-US"/>
        </w:rPr>
        <w:t xml:space="preserve"> </w:t>
      </w:r>
      <w:r w:rsidR="00227BCF" w:rsidRPr="002B5B63">
        <w:rPr>
          <w:lang w:val="en-US"/>
        </w:rPr>
        <w:t>increasin</w:t>
      </w:r>
      <w:r w:rsidR="00823F92" w:rsidRPr="002B5B63">
        <w:rPr>
          <w:lang w:val="en-US"/>
        </w:rPr>
        <w:t>g</w:t>
      </w:r>
      <w:r w:rsidR="00823F92">
        <w:rPr>
          <w:lang w:val="en-US"/>
        </w:rPr>
        <w:t xml:space="preserve"> </w:t>
      </w:r>
      <w:r w:rsidR="00227BCF" w:rsidRPr="002B5B63">
        <w:rPr>
          <w:lang w:val="en-US"/>
        </w:rPr>
        <w:t>deman</w:t>
      </w:r>
      <w:r w:rsidR="00823F92" w:rsidRPr="002B5B63">
        <w:rPr>
          <w:lang w:val="en-US"/>
        </w:rPr>
        <w:t>d</w:t>
      </w:r>
      <w:r w:rsidR="00823F92">
        <w:rPr>
          <w:lang w:val="en-US"/>
        </w:rPr>
        <w:t xml:space="preserve"> </w:t>
      </w:r>
      <w:r w:rsidR="00227BCF" w:rsidRPr="002B5B63">
        <w:rPr>
          <w:lang w:val="en-US"/>
        </w:rPr>
        <w:t>fo</w:t>
      </w:r>
      <w:r w:rsidR="00823F92" w:rsidRPr="002B5B63">
        <w:rPr>
          <w:lang w:val="en-US"/>
        </w:rPr>
        <w:t>r</w:t>
      </w:r>
      <w:r w:rsidR="00823F92">
        <w:rPr>
          <w:lang w:val="en-US"/>
        </w:rPr>
        <w:t xml:space="preserve"> </w:t>
      </w:r>
      <w:r w:rsidR="00227BCF" w:rsidRPr="002B5B63">
        <w:rPr>
          <w:lang w:val="en-US"/>
        </w:rPr>
        <w:t>menta</w:t>
      </w:r>
      <w:r w:rsidR="00823F92" w:rsidRPr="002B5B63">
        <w:rPr>
          <w:lang w:val="en-US"/>
        </w:rPr>
        <w:t>l</w:t>
      </w:r>
      <w:r w:rsidR="00823F92">
        <w:rPr>
          <w:lang w:val="en-US"/>
        </w:rPr>
        <w:t xml:space="preserve"> </w:t>
      </w:r>
      <w:r w:rsidR="00227BCF" w:rsidRPr="002B5B63">
        <w:rPr>
          <w:lang w:val="en-US"/>
        </w:rPr>
        <w:t>healt</w:t>
      </w:r>
      <w:r w:rsidR="00823F92" w:rsidRPr="002B5B63">
        <w:rPr>
          <w:lang w:val="en-US"/>
        </w:rPr>
        <w:t>h</w:t>
      </w:r>
      <w:r w:rsidR="00823F92">
        <w:rPr>
          <w:lang w:val="en-US"/>
        </w:rPr>
        <w:t xml:space="preserve"> </w:t>
      </w:r>
      <w:r w:rsidR="00227BCF" w:rsidRPr="002B5B63">
        <w:rPr>
          <w:lang w:val="en-US"/>
        </w:rPr>
        <w:t>services</w:t>
      </w:r>
      <w:r w:rsidR="00227BCF">
        <w:rPr>
          <w:lang w:val="en-US"/>
        </w:rPr>
        <w:t>.</w:t>
      </w:r>
      <w:r w:rsidR="002A1767">
        <w:rPr>
          <w:rStyle w:val="FootnoteReference"/>
          <w:lang w:val="en-US"/>
        </w:rPr>
        <w:footnoteReference w:id="22"/>
      </w:r>
      <w:r w:rsidR="00227BCF">
        <w:rPr>
          <w:lang w:val="en-US"/>
        </w:rPr>
        <w:t xml:space="preserve"> Thi</w:t>
      </w:r>
      <w:r w:rsidR="00823F92">
        <w:rPr>
          <w:lang w:val="en-US"/>
        </w:rPr>
        <w:t xml:space="preserve">s </w:t>
      </w:r>
      <w:r w:rsidR="00227BCF" w:rsidRPr="002B5B63">
        <w:rPr>
          <w:lang w:val="en-US"/>
        </w:rPr>
        <w:t>wil</w:t>
      </w:r>
      <w:r w:rsidR="00823F92" w:rsidRPr="002B5B63">
        <w:rPr>
          <w:lang w:val="en-US"/>
        </w:rPr>
        <w:t>l</w:t>
      </w:r>
      <w:r w:rsidR="00823F92">
        <w:rPr>
          <w:lang w:val="en-US"/>
        </w:rPr>
        <w:t xml:space="preserve"> </w:t>
      </w:r>
      <w:r w:rsidR="00227BCF" w:rsidRPr="002B5B63">
        <w:rPr>
          <w:lang w:val="en-US"/>
        </w:rPr>
        <w:t>necessitat</w:t>
      </w:r>
      <w:r w:rsidR="00823F92" w:rsidRPr="002B5B63">
        <w:rPr>
          <w:lang w:val="en-US"/>
        </w:rPr>
        <w:t>e</w:t>
      </w:r>
      <w:r w:rsidR="00823F92">
        <w:rPr>
          <w:lang w:val="en-US"/>
        </w:rPr>
        <w:t xml:space="preserve"> </w:t>
      </w:r>
      <w:r w:rsidR="00227BCF" w:rsidRPr="002B5B63">
        <w:rPr>
          <w:lang w:val="en-US"/>
        </w:rPr>
        <w:t>furthe</w:t>
      </w:r>
      <w:r w:rsidR="00823F92" w:rsidRPr="002B5B63">
        <w:rPr>
          <w:lang w:val="en-US"/>
        </w:rPr>
        <w:t>r</w:t>
      </w:r>
      <w:r w:rsidR="00823F92">
        <w:rPr>
          <w:lang w:val="en-US"/>
        </w:rPr>
        <w:t xml:space="preserve"> </w:t>
      </w:r>
      <w:r w:rsidR="00227BCF" w:rsidRPr="002B5B63">
        <w:rPr>
          <w:lang w:val="en-US"/>
        </w:rPr>
        <w:t>investmen</w:t>
      </w:r>
      <w:r w:rsidR="00823F92" w:rsidRPr="002B5B63">
        <w:rPr>
          <w:lang w:val="en-US"/>
        </w:rPr>
        <w:t>t</w:t>
      </w:r>
      <w:r w:rsidR="00823F92">
        <w:rPr>
          <w:lang w:val="en-US"/>
        </w:rPr>
        <w:t xml:space="preserve"> </w:t>
      </w:r>
      <w:r w:rsidR="00227BCF" w:rsidRPr="002B5B63">
        <w:rPr>
          <w:lang w:val="en-US"/>
        </w:rPr>
        <w:t>i</w:t>
      </w:r>
      <w:r w:rsidR="00823F92" w:rsidRPr="002B5B63">
        <w:rPr>
          <w:lang w:val="en-US"/>
        </w:rPr>
        <w:t>n</w:t>
      </w:r>
      <w:r w:rsidR="00823F92">
        <w:rPr>
          <w:lang w:val="en-US"/>
        </w:rPr>
        <w:t xml:space="preserve"> </w:t>
      </w:r>
      <w:r w:rsidR="00227BCF" w:rsidRPr="002B5B63">
        <w:rPr>
          <w:lang w:val="en-US"/>
        </w:rPr>
        <w:t>th</w:t>
      </w:r>
      <w:r w:rsidR="00823F92" w:rsidRPr="002B5B63">
        <w:rPr>
          <w:lang w:val="en-US"/>
        </w:rPr>
        <w:t>e</w:t>
      </w:r>
      <w:r w:rsidR="00823F92">
        <w:rPr>
          <w:lang w:val="en-US"/>
        </w:rPr>
        <w:t xml:space="preserve"> </w:t>
      </w:r>
      <w:r w:rsidR="00227BCF" w:rsidRPr="002B5B63">
        <w:rPr>
          <w:lang w:val="en-US"/>
        </w:rPr>
        <w:t>trainin</w:t>
      </w:r>
      <w:r w:rsidR="00823F92" w:rsidRPr="002B5B63">
        <w:rPr>
          <w:lang w:val="en-US"/>
        </w:rPr>
        <w:t>g</w:t>
      </w:r>
      <w:r w:rsidR="00823F92">
        <w:rPr>
          <w:lang w:val="en-US"/>
        </w:rPr>
        <w:t xml:space="preserve"> </w:t>
      </w:r>
      <w:r w:rsidR="00227BCF" w:rsidRPr="002B5B63">
        <w:rPr>
          <w:lang w:val="en-US"/>
        </w:rPr>
        <w:t>syste</w:t>
      </w:r>
      <w:r w:rsidR="00823F92" w:rsidRPr="002B5B63">
        <w:rPr>
          <w:lang w:val="en-US"/>
        </w:rPr>
        <w:t>m</w:t>
      </w:r>
      <w:r w:rsidR="00823F92">
        <w:rPr>
          <w:lang w:val="en-US"/>
        </w:rPr>
        <w:t xml:space="preserve"> </w:t>
      </w:r>
      <w:r w:rsidR="00227BCF" w:rsidRPr="002B5B63">
        <w:rPr>
          <w:lang w:val="en-US"/>
        </w:rPr>
        <w:t>t</w:t>
      </w:r>
      <w:r w:rsidR="00823F92" w:rsidRPr="002B5B63">
        <w:rPr>
          <w:lang w:val="en-US"/>
        </w:rPr>
        <w:t>o</w:t>
      </w:r>
      <w:r w:rsidR="00823F92">
        <w:rPr>
          <w:lang w:val="en-US"/>
        </w:rPr>
        <w:t xml:space="preserve"> </w:t>
      </w:r>
      <w:r w:rsidR="00227BCF" w:rsidRPr="002B5B63">
        <w:rPr>
          <w:lang w:val="en-US"/>
        </w:rPr>
        <w:t>suppor</w:t>
      </w:r>
      <w:r w:rsidR="00823F92" w:rsidRPr="002B5B63">
        <w:rPr>
          <w:lang w:val="en-US"/>
        </w:rPr>
        <w:t>t</w:t>
      </w:r>
      <w:r w:rsidR="00823F92">
        <w:rPr>
          <w:lang w:val="en-US"/>
        </w:rPr>
        <w:t xml:space="preserve"> </w:t>
      </w:r>
      <w:r w:rsidR="00227BCF" w:rsidRPr="002B5B63">
        <w:rPr>
          <w:lang w:val="en-US"/>
        </w:rPr>
        <w:t>increase</w:t>
      </w:r>
      <w:r w:rsidR="00823F92" w:rsidRPr="002B5B63">
        <w:rPr>
          <w:lang w:val="en-US"/>
        </w:rPr>
        <w:t>d</w:t>
      </w:r>
      <w:r w:rsidR="00823F92">
        <w:rPr>
          <w:lang w:val="en-US"/>
        </w:rPr>
        <w:t xml:space="preserve"> </w:t>
      </w:r>
      <w:r w:rsidR="00227BCF" w:rsidRPr="002B5B63">
        <w:rPr>
          <w:lang w:val="en-US"/>
        </w:rPr>
        <w:t>suppl</w:t>
      </w:r>
      <w:r w:rsidR="00823F92" w:rsidRPr="002B5B63">
        <w:rPr>
          <w:lang w:val="en-US"/>
        </w:rPr>
        <w:t>y</w:t>
      </w:r>
      <w:r w:rsidR="00823F92">
        <w:rPr>
          <w:lang w:val="en-US"/>
        </w:rPr>
        <w:t xml:space="preserve"> </w:t>
      </w:r>
      <w:r w:rsidR="00227BCF" w:rsidRPr="002B5B63">
        <w:rPr>
          <w:lang w:val="en-US"/>
        </w:rPr>
        <w:t>fo</w:t>
      </w:r>
      <w:r w:rsidR="00823F92" w:rsidRPr="002B5B63">
        <w:rPr>
          <w:lang w:val="en-US"/>
        </w:rPr>
        <w:t>r</w:t>
      </w:r>
      <w:r w:rsidR="00823F92">
        <w:rPr>
          <w:lang w:val="en-US"/>
        </w:rPr>
        <w:t xml:space="preserve"> </w:t>
      </w:r>
      <w:r w:rsidR="00227BCF" w:rsidRPr="002B5B63">
        <w:rPr>
          <w:lang w:val="en-US"/>
        </w:rPr>
        <w:t>mos</w:t>
      </w:r>
      <w:r w:rsidR="00823F92" w:rsidRPr="002B5B63">
        <w:rPr>
          <w:lang w:val="en-US"/>
        </w:rPr>
        <w:t>t</w:t>
      </w:r>
      <w:r w:rsidR="00823F92">
        <w:rPr>
          <w:lang w:val="en-US"/>
        </w:rPr>
        <w:t xml:space="preserve"> </w:t>
      </w:r>
      <w:r w:rsidR="00227BCF" w:rsidRPr="002B5B63">
        <w:rPr>
          <w:lang w:val="en-US"/>
        </w:rPr>
        <w:t>professiona</w:t>
      </w:r>
      <w:r w:rsidR="00823F92" w:rsidRPr="002B5B63">
        <w:rPr>
          <w:lang w:val="en-US"/>
        </w:rPr>
        <w:t>l</w:t>
      </w:r>
      <w:r w:rsidR="00823F92">
        <w:rPr>
          <w:lang w:val="en-US"/>
        </w:rPr>
        <w:t xml:space="preserve"> </w:t>
      </w:r>
      <w:r w:rsidR="00227BCF" w:rsidRPr="002B5B63">
        <w:rPr>
          <w:lang w:val="en-US"/>
        </w:rPr>
        <w:t>an</w:t>
      </w:r>
      <w:r w:rsidR="00823F92" w:rsidRPr="002B5B63">
        <w:rPr>
          <w:lang w:val="en-US"/>
        </w:rPr>
        <w:t>d</w:t>
      </w:r>
      <w:r w:rsidR="00823F92">
        <w:rPr>
          <w:lang w:val="en-US"/>
        </w:rPr>
        <w:t xml:space="preserve"> </w:t>
      </w:r>
      <w:r w:rsidR="000B5C5D">
        <w:rPr>
          <w:lang w:val="en-US"/>
        </w:rPr>
        <w:t>occupations</w:t>
      </w:r>
      <w:r w:rsidR="00227BCF" w:rsidRPr="002B5B63">
        <w:rPr>
          <w:lang w:val="en-US"/>
        </w:rPr>
        <w:t>.</w:t>
      </w:r>
    </w:p>
    <w:p w14:paraId="241815A4" w14:textId="761A0B0C" w:rsidR="000D128A" w:rsidRDefault="000D128A" w:rsidP="000D128A">
      <w:pPr>
        <w:pStyle w:val="BodyText"/>
        <w:rPr>
          <w:sz w:val="20"/>
          <w:szCs w:val="20"/>
        </w:rPr>
      </w:pPr>
      <w:r w:rsidRPr="008F4246">
        <w:t>Educatio</w:t>
      </w:r>
      <w:r w:rsidR="00823F92" w:rsidRPr="008F4246">
        <w:t>n</w:t>
      </w:r>
      <w:r w:rsidR="00823F92">
        <w:t xml:space="preserve"> </w:t>
      </w:r>
      <w:r w:rsidRPr="008F4246">
        <w:t>provider</w:t>
      </w:r>
      <w:r w:rsidR="00823F92" w:rsidRPr="008F4246">
        <w:t>s</w:t>
      </w:r>
      <w:r w:rsidR="00823F92">
        <w:t xml:space="preserve"> </w:t>
      </w:r>
      <w:r w:rsidRPr="008F4246">
        <w:t>ar</w:t>
      </w:r>
      <w:r w:rsidR="00823F92" w:rsidRPr="008F4246">
        <w:t>e</w:t>
      </w:r>
      <w:r w:rsidR="00823F92">
        <w:t xml:space="preserve"> </w:t>
      </w:r>
      <w:r w:rsidRPr="008F4246">
        <w:t>hesitan</w:t>
      </w:r>
      <w:r w:rsidR="00823F92" w:rsidRPr="008F4246">
        <w:t>t</w:t>
      </w:r>
      <w:r w:rsidR="00823F92">
        <w:t xml:space="preserve"> </w:t>
      </w:r>
      <w:r w:rsidRPr="008F4246">
        <w:t>t</w:t>
      </w:r>
      <w:r w:rsidR="00823F92" w:rsidRPr="008F4246">
        <w:t>o</w:t>
      </w:r>
      <w:r w:rsidR="00823F92">
        <w:t xml:space="preserve"> </w:t>
      </w:r>
      <w:r w:rsidRPr="008F4246">
        <w:t>scal</w:t>
      </w:r>
      <w:r w:rsidR="00823F92" w:rsidRPr="008F4246">
        <w:t>e</w:t>
      </w:r>
      <w:r w:rsidR="00823F92">
        <w:t xml:space="preserve"> </w:t>
      </w:r>
      <w:r w:rsidRPr="008F4246">
        <w:t>u</w:t>
      </w:r>
      <w:r w:rsidR="00823F92" w:rsidRPr="008F4246">
        <w:t>p</w:t>
      </w:r>
      <w:r w:rsidR="00823F92">
        <w:t xml:space="preserve"> </w:t>
      </w:r>
      <w:r w:rsidRPr="008F4246">
        <w:t>trainin</w:t>
      </w:r>
      <w:r w:rsidR="00823F92" w:rsidRPr="008F4246">
        <w:t>g</w:t>
      </w:r>
      <w:r w:rsidR="00823F92">
        <w:t xml:space="preserve"> </w:t>
      </w:r>
      <w:r w:rsidRPr="008F4246">
        <w:t>deliver</w:t>
      </w:r>
      <w:r w:rsidR="00823F92" w:rsidRPr="008F4246">
        <w:t>y</w:t>
      </w:r>
      <w:r w:rsidR="00823F92">
        <w:t xml:space="preserve"> </w:t>
      </w:r>
      <w:r w:rsidRPr="008F4246">
        <w:t>withou</w:t>
      </w:r>
      <w:r w:rsidR="00823F92" w:rsidRPr="008F4246">
        <w:t>t</w:t>
      </w:r>
      <w:r w:rsidR="00823F92">
        <w:t xml:space="preserve"> </w:t>
      </w:r>
      <w:r w:rsidRPr="008F4246">
        <w:t>clea</w:t>
      </w:r>
      <w:r w:rsidR="00823F92" w:rsidRPr="008F4246">
        <w:t>r</w:t>
      </w:r>
      <w:r w:rsidR="00823F92">
        <w:t xml:space="preserve"> </w:t>
      </w:r>
      <w:r w:rsidRPr="008F4246">
        <w:t>evidenc</w:t>
      </w:r>
      <w:r w:rsidR="00823F92" w:rsidRPr="008F4246">
        <w:t>e</w:t>
      </w:r>
      <w:r w:rsidR="00823F92">
        <w:t xml:space="preserve"> </w:t>
      </w:r>
      <w:r w:rsidRPr="008F4246">
        <w:t>o</w:t>
      </w:r>
      <w:r w:rsidR="00823F92" w:rsidRPr="008F4246">
        <w:t>f</w:t>
      </w:r>
      <w:r w:rsidR="00823F92">
        <w:t xml:space="preserve"> </w:t>
      </w:r>
      <w:r w:rsidRPr="008F4246">
        <w:t>deman</w:t>
      </w:r>
      <w:r w:rsidR="00823F92" w:rsidRPr="008F4246">
        <w:t>d</w:t>
      </w:r>
      <w:r w:rsidR="00823F92">
        <w:t xml:space="preserve"> </w:t>
      </w:r>
      <w:r>
        <w:t>fo</w:t>
      </w:r>
      <w:r w:rsidR="00823F92">
        <w:t xml:space="preserve">r </w:t>
      </w:r>
      <w:r>
        <w:t>places</w:t>
      </w:r>
      <w:r w:rsidR="00823F92">
        <w:t xml:space="preserve">. </w:t>
      </w:r>
      <w:r>
        <w:t>Provider</w:t>
      </w:r>
      <w:r w:rsidR="00823F92">
        <w:t xml:space="preserve">s </w:t>
      </w:r>
      <w:r>
        <w:t>ar</w:t>
      </w:r>
      <w:r w:rsidR="00823F92">
        <w:t xml:space="preserve">e </w:t>
      </w:r>
      <w:r>
        <w:t>unlikel</w:t>
      </w:r>
      <w:r w:rsidR="00823F92">
        <w:t xml:space="preserve">y </w:t>
      </w:r>
      <w:r>
        <w:t>t</w:t>
      </w:r>
      <w:r w:rsidR="00823F92">
        <w:t xml:space="preserve">o </w:t>
      </w:r>
      <w:r>
        <w:t>expan</w:t>
      </w:r>
      <w:r w:rsidR="00823F92">
        <w:t xml:space="preserve">d </w:t>
      </w:r>
      <w:r>
        <w:t>o</w:t>
      </w:r>
      <w:r w:rsidR="00823F92">
        <w:t xml:space="preserve">r </w:t>
      </w:r>
      <w:r>
        <w:t>diversif</w:t>
      </w:r>
      <w:r w:rsidR="00823F92">
        <w:t xml:space="preserve">y </w:t>
      </w:r>
      <w:r>
        <w:t>thei</w:t>
      </w:r>
      <w:r w:rsidR="00823F92">
        <w:t xml:space="preserve">r </w:t>
      </w:r>
      <w:r>
        <w:t>curren</w:t>
      </w:r>
      <w:r w:rsidR="00823F92">
        <w:t xml:space="preserve">t </w:t>
      </w:r>
      <w:r>
        <w:t>offering</w:t>
      </w:r>
      <w:r w:rsidR="00823F92">
        <w:t xml:space="preserve">s </w:t>
      </w:r>
      <w:r>
        <w:t>withou</w:t>
      </w:r>
      <w:r w:rsidR="00823F92">
        <w:t xml:space="preserve">t </w:t>
      </w:r>
      <w:r>
        <w:t>clea</w:t>
      </w:r>
      <w:r w:rsidR="00823F92">
        <w:t xml:space="preserve">r </w:t>
      </w:r>
      <w:r>
        <w:t>marke</w:t>
      </w:r>
      <w:r w:rsidR="00823F92">
        <w:t xml:space="preserve">t </w:t>
      </w:r>
      <w:r>
        <w:t>signal</w:t>
      </w:r>
      <w:r w:rsidR="00823F92">
        <w:t xml:space="preserve">s </w:t>
      </w:r>
      <w:r>
        <w:t>tha</w:t>
      </w:r>
      <w:r w:rsidR="00823F92">
        <w:t xml:space="preserve">t </w:t>
      </w:r>
      <w:r>
        <w:t>sufficien</w:t>
      </w:r>
      <w:r w:rsidR="00823F92">
        <w:t xml:space="preserve">t </w:t>
      </w:r>
      <w:r>
        <w:t>student</w:t>
      </w:r>
      <w:r w:rsidR="00823F92">
        <w:t xml:space="preserve">s </w:t>
      </w:r>
      <w:r>
        <w:t>wil</w:t>
      </w:r>
      <w:r w:rsidR="00823F92">
        <w:t xml:space="preserve">l </w:t>
      </w:r>
      <w:r>
        <w:t>enro</w:t>
      </w:r>
      <w:r w:rsidR="00823F92">
        <w:t xml:space="preserve">l </w:t>
      </w:r>
      <w:r>
        <w:t>t</w:t>
      </w:r>
      <w:r w:rsidR="00823F92">
        <w:t xml:space="preserve">o </w:t>
      </w:r>
      <w:r>
        <w:t>mak</w:t>
      </w:r>
      <w:r w:rsidR="00823F92">
        <w:t xml:space="preserve">e </w:t>
      </w:r>
      <w:r>
        <w:t>course</w:t>
      </w:r>
      <w:r w:rsidR="00823F92">
        <w:t xml:space="preserve">s </w:t>
      </w:r>
      <w:r>
        <w:t>viable</w:t>
      </w:r>
      <w:r w:rsidR="00823F92">
        <w:t xml:space="preserve">. </w:t>
      </w:r>
    </w:p>
    <w:p w14:paraId="2D038801" w14:textId="2BE14EE2" w:rsidR="00227BCF" w:rsidRDefault="00227BCF" w:rsidP="00790842">
      <w:pPr>
        <w:pStyle w:val="BodyText"/>
      </w:pPr>
      <w:r w:rsidRPr="006C4490">
        <w:rPr>
          <w:lang w:val="en-US"/>
        </w:rPr>
        <w:t>Th</w:t>
      </w:r>
      <w:r w:rsidR="00823F92" w:rsidRPr="006C4490">
        <w:rPr>
          <w:lang w:val="en-US"/>
        </w:rPr>
        <w:t>e</w:t>
      </w:r>
      <w:r w:rsidR="00823F92">
        <w:rPr>
          <w:lang w:val="en-US"/>
        </w:rPr>
        <w:t xml:space="preserve"> </w:t>
      </w:r>
      <w:r w:rsidRPr="006C4490">
        <w:rPr>
          <w:lang w:val="en-US"/>
        </w:rPr>
        <w:t>limite</w:t>
      </w:r>
      <w:r w:rsidR="00823F92" w:rsidRPr="006C4490">
        <w:rPr>
          <w:lang w:val="en-US"/>
        </w:rPr>
        <w:t>d</w:t>
      </w:r>
      <w:r w:rsidR="00823F92">
        <w:rPr>
          <w:lang w:val="en-US"/>
        </w:rPr>
        <w:t xml:space="preserve"> </w:t>
      </w:r>
      <w:r w:rsidRPr="006C4490">
        <w:rPr>
          <w:lang w:val="en-US"/>
        </w:rPr>
        <w:t>awarenes</w:t>
      </w:r>
      <w:r w:rsidR="00823F92" w:rsidRPr="006C4490">
        <w:rPr>
          <w:lang w:val="en-US"/>
        </w:rPr>
        <w:t>s</w:t>
      </w:r>
      <w:r w:rsidR="00823F92">
        <w:rPr>
          <w:lang w:val="en-US"/>
        </w:rPr>
        <w:t xml:space="preserve"> </w:t>
      </w:r>
      <w:r w:rsidRPr="006C4490">
        <w:rPr>
          <w:lang w:val="en-US"/>
        </w:rPr>
        <w:t>o</w:t>
      </w:r>
      <w:r w:rsidR="00823F92" w:rsidRPr="006C4490">
        <w:rPr>
          <w:lang w:val="en-US"/>
        </w:rPr>
        <w:t>f</w:t>
      </w:r>
      <w:r w:rsidR="00823F92">
        <w:rPr>
          <w:lang w:val="en-US"/>
        </w:rPr>
        <w:t xml:space="preserve"> </w:t>
      </w:r>
      <w:r w:rsidRPr="006C4490">
        <w:rPr>
          <w:lang w:val="en-US"/>
        </w:rPr>
        <w:t>caree</w:t>
      </w:r>
      <w:r w:rsidR="00823F92" w:rsidRPr="006C4490">
        <w:rPr>
          <w:lang w:val="en-US"/>
        </w:rPr>
        <w:t>r</w:t>
      </w:r>
      <w:r w:rsidR="00823F92">
        <w:rPr>
          <w:lang w:val="en-US"/>
        </w:rPr>
        <w:t xml:space="preserve"> </w:t>
      </w:r>
      <w:r w:rsidRPr="006C4490">
        <w:rPr>
          <w:lang w:val="en-US"/>
        </w:rPr>
        <w:t>opportunitie</w:t>
      </w:r>
      <w:r w:rsidR="00823F92" w:rsidRPr="006C4490">
        <w:rPr>
          <w:lang w:val="en-US"/>
        </w:rPr>
        <w:t>s</w:t>
      </w:r>
      <w:r w:rsidR="00823F92">
        <w:rPr>
          <w:lang w:val="en-US"/>
        </w:rPr>
        <w:t xml:space="preserve"> </w:t>
      </w:r>
      <w:r w:rsidRPr="006C4490">
        <w:rPr>
          <w:lang w:val="en-US"/>
        </w:rPr>
        <w:t>an</w:t>
      </w:r>
      <w:r w:rsidR="00823F92" w:rsidRPr="006C4490">
        <w:rPr>
          <w:lang w:val="en-US"/>
        </w:rPr>
        <w:t>d</w:t>
      </w:r>
      <w:r w:rsidR="00823F92">
        <w:rPr>
          <w:lang w:val="en-US"/>
        </w:rPr>
        <w:t xml:space="preserve"> </w:t>
      </w:r>
      <w:r w:rsidRPr="006C4490">
        <w:rPr>
          <w:lang w:val="en-US"/>
        </w:rPr>
        <w:t>associate</w:t>
      </w:r>
      <w:r w:rsidR="00823F92" w:rsidRPr="006C4490">
        <w:rPr>
          <w:lang w:val="en-US"/>
        </w:rPr>
        <w:t>d</w:t>
      </w:r>
      <w:r w:rsidR="00823F92">
        <w:rPr>
          <w:lang w:val="en-US"/>
        </w:rPr>
        <w:t xml:space="preserve"> </w:t>
      </w:r>
      <w:r w:rsidRPr="006C4490">
        <w:rPr>
          <w:lang w:val="en-US"/>
        </w:rPr>
        <w:t>trainin</w:t>
      </w:r>
      <w:r w:rsidR="00823F92" w:rsidRPr="006C4490">
        <w:rPr>
          <w:lang w:val="en-US"/>
        </w:rPr>
        <w:t>g</w:t>
      </w:r>
      <w:r w:rsidR="00823F92">
        <w:rPr>
          <w:lang w:val="en-US"/>
        </w:rPr>
        <w:t xml:space="preserve"> </w:t>
      </w:r>
      <w:r w:rsidRPr="006C4490">
        <w:rPr>
          <w:lang w:val="en-US"/>
        </w:rPr>
        <w:t>pathway</w:t>
      </w:r>
      <w:r w:rsidR="00823F92" w:rsidRPr="006C4490">
        <w:rPr>
          <w:lang w:val="en-US"/>
        </w:rPr>
        <w:t>s</w:t>
      </w:r>
      <w:r w:rsidR="00823F92">
        <w:rPr>
          <w:lang w:val="en-US"/>
        </w:rPr>
        <w:t xml:space="preserve"> </w:t>
      </w:r>
      <w:r w:rsidRPr="006C4490">
        <w:rPr>
          <w:lang w:val="en-US"/>
        </w:rPr>
        <w:t>i</w:t>
      </w:r>
      <w:r w:rsidR="00823F92" w:rsidRPr="006C4490">
        <w:rPr>
          <w:lang w:val="en-US"/>
        </w:rPr>
        <w:t>n</w:t>
      </w:r>
      <w:r w:rsidR="00823F92">
        <w:rPr>
          <w:lang w:val="en-US"/>
        </w:rPr>
        <w:t xml:space="preserve"> </w:t>
      </w:r>
      <w:r w:rsidRPr="006C4490">
        <w:rPr>
          <w:lang w:val="en-US"/>
        </w:rPr>
        <w:t>th</w:t>
      </w:r>
      <w:r w:rsidR="00823F92" w:rsidRPr="006C4490">
        <w:rPr>
          <w:lang w:val="en-US"/>
        </w:rPr>
        <w:t>e</w:t>
      </w:r>
      <w:r w:rsidR="00823F92">
        <w:rPr>
          <w:lang w:val="en-US"/>
        </w:rPr>
        <w:t xml:space="preserve"> </w:t>
      </w:r>
      <w:r w:rsidRPr="006C4490">
        <w:rPr>
          <w:lang w:val="en-US"/>
        </w:rPr>
        <w:t>menta</w:t>
      </w:r>
      <w:r w:rsidR="00823F92" w:rsidRPr="006C4490">
        <w:rPr>
          <w:lang w:val="en-US"/>
        </w:rPr>
        <w:t>l</w:t>
      </w:r>
      <w:r w:rsidR="00823F92">
        <w:rPr>
          <w:lang w:val="en-US"/>
        </w:rPr>
        <w:t xml:space="preserve"> </w:t>
      </w:r>
      <w:r w:rsidRPr="006C4490">
        <w:rPr>
          <w:lang w:val="en-US"/>
        </w:rPr>
        <w:t>healt</w:t>
      </w:r>
      <w:r w:rsidR="00823F92" w:rsidRPr="006C4490">
        <w:rPr>
          <w:lang w:val="en-US"/>
        </w:rPr>
        <w:t>h</w:t>
      </w:r>
      <w:r w:rsidR="00823F92">
        <w:rPr>
          <w:lang w:val="en-US"/>
        </w:rPr>
        <w:t xml:space="preserve"> </w:t>
      </w:r>
      <w:r w:rsidRPr="006C4490">
        <w:rPr>
          <w:lang w:val="en-US"/>
        </w:rPr>
        <w:t>secto</w:t>
      </w:r>
      <w:r w:rsidR="00823F92" w:rsidRPr="006C4490">
        <w:rPr>
          <w:lang w:val="en-US"/>
        </w:rPr>
        <w:t>r</w:t>
      </w:r>
      <w:r w:rsidR="00823F92">
        <w:rPr>
          <w:lang w:val="en-US"/>
        </w:rPr>
        <w:t xml:space="preserve"> </w:t>
      </w:r>
      <w:r w:rsidRPr="006C4490">
        <w:rPr>
          <w:lang w:val="en-US"/>
        </w:rPr>
        <w:t>impact</w:t>
      </w:r>
      <w:r w:rsidR="00823F92" w:rsidRPr="006C4490">
        <w:rPr>
          <w:lang w:val="en-US"/>
        </w:rPr>
        <w:t>s</w:t>
      </w:r>
      <w:r w:rsidR="00823F92">
        <w:rPr>
          <w:lang w:val="en-US"/>
        </w:rPr>
        <w:t xml:space="preserve"> </w:t>
      </w:r>
      <w:r w:rsidRPr="006C4490">
        <w:rPr>
          <w:lang w:val="en-US"/>
        </w:rPr>
        <w:t>th</w:t>
      </w:r>
      <w:r w:rsidR="00823F92" w:rsidRPr="006C4490">
        <w:rPr>
          <w:lang w:val="en-US"/>
        </w:rPr>
        <w:t>e</w:t>
      </w:r>
      <w:r w:rsidR="00823F92">
        <w:rPr>
          <w:lang w:val="en-US"/>
        </w:rPr>
        <w:t xml:space="preserve"> </w:t>
      </w:r>
      <w:r w:rsidRPr="006C4490">
        <w:rPr>
          <w:lang w:val="en-US"/>
        </w:rPr>
        <w:t>abilit</w:t>
      </w:r>
      <w:r w:rsidR="00823F92" w:rsidRPr="006C4490">
        <w:rPr>
          <w:lang w:val="en-US"/>
        </w:rPr>
        <w:t>y</w:t>
      </w:r>
      <w:r w:rsidR="00823F92">
        <w:rPr>
          <w:lang w:val="en-US"/>
        </w:rPr>
        <w:t xml:space="preserve"> </w:t>
      </w:r>
      <w:r w:rsidRPr="006C4490">
        <w:rPr>
          <w:lang w:val="en-US"/>
        </w:rPr>
        <w:t>t</w:t>
      </w:r>
      <w:r w:rsidR="00823F92" w:rsidRPr="006C4490">
        <w:rPr>
          <w:lang w:val="en-US"/>
        </w:rPr>
        <w:t>o</w:t>
      </w:r>
      <w:r w:rsidR="00823F92">
        <w:rPr>
          <w:lang w:val="en-US"/>
        </w:rPr>
        <w:t xml:space="preserve"> </w:t>
      </w:r>
      <w:r w:rsidRPr="006C4490">
        <w:rPr>
          <w:lang w:val="en-US"/>
        </w:rPr>
        <w:t>attrac</w:t>
      </w:r>
      <w:r w:rsidR="00823F92" w:rsidRPr="006C4490">
        <w:rPr>
          <w:lang w:val="en-US"/>
        </w:rPr>
        <w:t>t</w:t>
      </w:r>
      <w:r w:rsidR="00823F92">
        <w:rPr>
          <w:lang w:val="en-US"/>
        </w:rPr>
        <w:t xml:space="preserve"> </w:t>
      </w:r>
      <w:r w:rsidRPr="006C4490">
        <w:rPr>
          <w:lang w:val="en-US"/>
        </w:rPr>
        <w:t>student</w:t>
      </w:r>
      <w:r w:rsidR="00823F92" w:rsidRPr="006C4490">
        <w:rPr>
          <w:lang w:val="en-US"/>
        </w:rPr>
        <w:t>s</w:t>
      </w:r>
      <w:r w:rsidR="00823F92">
        <w:rPr>
          <w:lang w:val="en-US"/>
        </w:rPr>
        <w:t xml:space="preserve"> </w:t>
      </w:r>
      <w:r w:rsidRPr="006C4490">
        <w:rPr>
          <w:lang w:val="en-US"/>
        </w:rPr>
        <w:t>int</w:t>
      </w:r>
      <w:r w:rsidR="00823F92" w:rsidRPr="006C4490">
        <w:rPr>
          <w:lang w:val="en-US"/>
        </w:rPr>
        <w:t>o</w:t>
      </w:r>
      <w:r w:rsidR="00823F92">
        <w:rPr>
          <w:lang w:val="en-US"/>
        </w:rPr>
        <w:t xml:space="preserve"> </w:t>
      </w:r>
      <w:r>
        <w:rPr>
          <w:lang w:val="en-US"/>
        </w:rPr>
        <w:t>som</w:t>
      </w:r>
      <w:r w:rsidR="00823F92">
        <w:rPr>
          <w:lang w:val="en-US"/>
        </w:rPr>
        <w:t xml:space="preserve">e </w:t>
      </w:r>
      <w:r>
        <w:rPr>
          <w:lang w:val="en-US"/>
        </w:rPr>
        <w:t>menta</w:t>
      </w:r>
      <w:r w:rsidR="00823F92">
        <w:rPr>
          <w:lang w:val="en-US"/>
        </w:rPr>
        <w:t xml:space="preserve">l </w:t>
      </w:r>
      <w:r>
        <w:rPr>
          <w:lang w:val="en-US"/>
        </w:rPr>
        <w:t>healt</w:t>
      </w:r>
      <w:r w:rsidR="00823F92">
        <w:rPr>
          <w:lang w:val="en-US"/>
        </w:rPr>
        <w:t xml:space="preserve">h </w:t>
      </w:r>
      <w:r w:rsidRPr="006C4490">
        <w:rPr>
          <w:lang w:val="en-US"/>
        </w:rPr>
        <w:t>trainin</w:t>
      </w:r>
      <w:r w:rsidR="00823F92" w:rsidRPr="006C4490">
        <w:rPr>
          <w:lang w:val="en-US"/>
        </w:rPr>
        <w:t>g</w:t>
      </w:r>
      <w:r w:rsidR="00823F92">
        <w:rPr>
          <w:lang w:val="en-US"/>
        </w:rPr>
        <w:t xml:space="preserve"> </w:t>
      </w:r>
      <w:r>
        <w:rPr>
          <w:lang w:val="en-US"/>
        </w:rPr>
        <w:t>programs</w:t>
      </w:r>
      <w:r w:rsidR="00823F92">
        <w:rPr>
          <w:lang w:val="en-US"/>
        </w:rPr>
        <w:t xml:space="preserve">, </w:t>
      </w:r>
      <w:r w:rsidR="005D7A17">
        <w:rPr>
          <w:lang w:val="en-US"/>
        </w:rPr>
        <w:t>whic</w:t>
      </w:r>
      <w:r w:rsidR="00823F92">
        <w:rPr>
          <w:lang w:val="en-US"/>
        </w:rPr>
        <w:t xml:space="preserve">h </w:t>
      </w:r>
      <w:r w:rsidR="005D7A17">
        <w:rPr>
          <w:lang w:val="en-US"/>
        </w:rPr>
        <w:t>mean</w:t>
      </w:r>
      <w:r w:rsidR="00823F92">
        <w:rPr>
          <w:lang w:val="en-US"/>
        </w:rPr>
        <w:t xml:space="preserve">s </w:t>
      </w:r>
      <w:r w:rsidR="005D7A17">
        <w:rPr>
          <w:lang w:val="en-US"/>
        </w:rPr>
        <w:t>thes</w:t>
      </w:r>
      <w:r w:rsidR="00823F92">
        <w:rPr>
          <w:lang w:val="en-US"/>
        </w:rPr>
        <w:t xml:space="preserve">e </w:t>
      </w:r>
      <w:r w:rsidR="005D7A17">
        <w:rPr>
          <w:lang w:val="en-US"/>
        </w:rPr>
        <w:t>visibl</w:t>
      </w:r>
      <w:r w:rsidR="00823F92">
        <w:rPr>
          <w:lang w:val="en-US"/>
        </w:rPr>
        <w:t xml:space="preserve">e </w:t>
      </w:r>
      <w:r w:rsidR="005D7A17">
        <w:rPr>
          <w:lang w:val="en-US"/>
        </w:rPr>
        <w:t>marke</w:t>
      </w:r>
      <w:r w:rsidR="00823F92">
        <w:rPr>
          <w:lang w:val="en-US"/>
        </w:rPr>
        <w:t xml:space="preserve">t </w:t>
      </w:r>
      <w:r w:rsidR="005D7A17">
        <w:rPr>
          <w:lang w:val="en-US"/>
        </w:rPr>
        <w:t>signal</w:t>
      </w:r>
      <w:r w:rsidR="00823F92">
        <w:rPr>
          <w:lang w:val="en-US"/>
        </w:rPr>
        <w:t xml:space="preserve">s </w:t>
      </w:r>
      <w:r w:rsidR="005D7A17">
        <w:rPr>
          <w:lang w:val="en-US"/>
        </w:rPr>
        <w:t>ar</w:t>
      </w:r>
      <w:r w:rsidR="00823F92">
        <w:rPr>
          <w:lang w:val="en-US"/>
        </w:rPr>
        <w:t xml:space="preserve">e </w:t>
      </w:r>
      <w:r w:rsidR="005D7A17">
        <w:rPr>
          <w:lang w:val="en-US"/>
        </w:rPr>
        <w:t>no</w:t>
      </w:r>
      <w:r w:rsidR="00823F92">
        <w:rPr>
          <w:lang w:val="en-US"/>
        </w:rPr>
        <w:t xml:space="preserve">t </w:t>
      </w:r>
      <w:r w:rsidR="005D7A17">
        <w:rPr>
          <w:lang w:val="en-US"/>
        </w:rPr>
        <w:t>alway</w:t>
      </w:r>
      <w:r w:rsidR="00823F92">
        <w:rPr>
          <w:lang w:val="en-US"/>
        </w:rPr>
        <w:t xml:space="preserve">s </w:t>
      </w:r>
      <w:r w:rsidR="005D7A17">
        <w:rPr>
          <w:lang w:val="en-US"/>
        </w:rPr>
        <w:t>present</w:t>
      </w:r>
      <w:r w:rsidRPr="006C4490">
        <w:rPr>
          <w:lang w:val="en-US"/>
        </w:rPr>
        <w:t>.</w:t>
      </w:r>
    </w:p>
    <w:p w14:paraId="24D22FF8" w14:textId="2DC9AF04" w:rsidR="00790842" w:rsidRDefault="00790842" w:rsidP="00790842">
      <w:pPr>
        <w:pStyle w:val="BodyText"/>
      </w:pPr>
      <w:r w:rsidRPr="006C4490">
        <w:lastRenderedPageBreak/>
        <w:t>Ther</w:t>
      </w:r>
      <w:r w:rsidR="00823F92" w:rsidRPr="006C4490">
        <w:t>e</w:t>
      </w:r>
      <w:r w:rsidR="00823F92">
        <w:t xml:space="preserve"> </w:t>
      </w:r>
      <w:r w:rsidRPr="006C4490">
        <w:t>i</w:t>
      </w:r>
      <w:r w:rsidR="00823F92" w:rsidRPr="006C4490">
        <w:t>s</w:t>
      </w:r>
      <w:r w:rsidR="00823F92">
        <w:t xml:space="preserve"> </w:t>
      </w:r>
      <w:r w:rsidR="00823F92" w:rsidRPr="006C4490">
        <w:t>a</w:t>
      </w:r>
      <w:r w:rsidR="00823F92">
        <w:t xml:space="preserve"> </w:t>
      </w:r>
      <w:r w:rsidRPr="006C4490">
        <w:t>nee</w:t>
      </w:r>
      <w:r w:rsidR="00823F92" w:rsidRPr="006C4490">
        <w:t>d</w:t>
      </w:r>
      <w:r w:rsidR="00823F92">
        <w:t xml:space="preserve"> </w:t>
      </w:r>
      <w:r w:rsidRPr="006C4490">
        <w:t>t</w:t>
      </w:r>
      <w:r w:rsidR="00823F92" w:rsidRPr="006C4490">
        <w:t>o</w:t>
      </w:r>
      <w:r w:rsidR="00823F92">
        <w:t xml:space="preserve"> </w:t>
      </w:r>
      <w:r w:rsidRPr="006C4490">
        <w:t>marke</w:t>
      </w:r>
      <w:r w:rsidR="00823F92" w:rsidRPr="006C4490">
        <w:t>t</w:t>
      </w:r>
      <w:r w:rsidR="00823F92">
        <w:t xml:space="preserve"> </w:t>
      </w:r>
      <w:r w:rsidRPr="006C4490">
        <w:t>menta</w:t>
      </w:r>
      <w:r w:rsidR="00823F92" w:rsidRPr="006C4490">
        <w:t>l</w:t>
      </w:r>
      <w:r w:rsidR="00823F92">
        <w:t xml:space="preserve"> </w:t>
      </w:r>
      <w:r w:rsidRPr="006C4490">
        <w:t>healt</w:t>
      </w:r>
      <w:r w:rsidR="00823F92" w:rsidRPr="006C4490">
        <w:t>h</w:t>
      </w:r>
      <w:r w:rsidR="00823F92">
        <w:t xml:space="preserve"> </w:t>
      </w:r>
      <w:r w:rsidRPr="006C4490">
        <w:t>a</w:t>
      </w:r>
      <w:r w:rsidR="00823F92" w:rsidRPr="006C4490">
        <w:t>s</w:t>
      </w:r>
      <w:r w:rsidR="00823F92">
        <w:t xml:space="preserve"> </w:t>
      </w:r>
      <w:r w:rsidRPr="006C4490">
        <w:t>a</w:t>
      </w:r>
      <w:r w:rsidR="00823F92" w:rsidRPr="006C4490">
        <w:t>n</w:t>
      </w:r>
      <w:r w:rsidR="00823F92">
        <w:t xml:space="preserve"> </w:t>
      </w:r>
      <w:r w:rsidRPr="006C4490">
        <w:t>attractiv</w:t>
      </w:r>
      <w:r w:rsidR="00823F92" w:rsidRPr="006C4490">
        <w:t>e</w:t>
      </w:r>
      <w:r w:rsidR="00823F92">
        <w:t xml:space="preserve"> </w:t>
      </w:r>
      <w:r w:rsidRPr="006C4490">
        <w:t>caree</w:t>
      </w:r>
      <w:r w:rsidR="00823F92" w:rsidRPr="006C4490">
        <w:t>r</w:t>
      </w:r>
      <w:r w:rsidR="00823F92">
        <w:t xml:space="preserve"> </w:t>
      </w:r>
      <w:r w:rsidRPr="006C4490">
        <w:t>choic</w:t>
      </w:r>
      <w:r w:rsidR="00823F92" w:rsidRPr="006C4490">
        <w:t>e</w:t>
      </w:r>
      <w:r w:rsidR="00823F92">
        <w:t xml:space="preserve"> </w:t>
      </w:r>
      <w:r w:rsidRPr="006C4490">
        <w:t>fo</w:t>
      </w:r>
      <w:r w:rsidR="00823F92" w:rsidRPr="006C4490">
        <w:t>r</w:t>
      </w:r>
      <w:r w:rsidR="00823F92">
        <w:t xml:space="preserve"> </w:t>
      </w:r>
      <w:r w:rsidRPr="006C4490">
        <w:t>secondar</w:t>
      </w:r>
      <w:r w:rsidR="00823F92" w:rsidRPr="006C4490">
        <w:t>y</w:t>
      </w:r>
      <w:r w:rsidR="00823F92">
        <w:t xml:space="preserve"> </w:t>
      </w:r>
      <w:r w:rsidRPr="006C4490">
        <w:t>schoo</w:t>
      </w:r>
      <w:r w:rsidR="00823F92" w:rsidRPr="006C4490">
        <w:t>l</w:t>
      </w:r>
      <w:r w:rsidR="00823F92">
        <w:t xml:space="preserve"> </w:t>
      </w:r>
      <w:r w:rsidRPr="006C4490">
        <w:t>students</w:t>
      </w:r>
      <w:r w:rsidR="00823F92" w:rsidRPr="006C4490">
        <w:t>,</w:t>
      </w:r>
      <w:r w:rsidR="00823F92">
        <w:t xml:space="preserve"> </w:t>
      </w:r>
      <w:r w:rsidRPr="006C4490">
        <w:t>undergraduates</w:t>
      </w:r>
      <w:r w:rsidR="00823F92" w:rsidRPr="006C4490">
        <w:t>,</w:t>
      </w:r>
      <w:r w:rsidR="00823F92">
        <w:t xml:space="preserve"> </w:t>
      </w:r>
      <w:r w:rsidRPr="006C4490">
        <w:t>graduate</w:t>
      </w:r>
      <w:r w:rsidR="00823F92" w:rsidRPr="006C4490">
        <w:t>s</w:t>
      </w:r>
      <w:r w:rsidR="00823F92">
        <w:t xml:space="preserve"> </w:t>
      </w:r>
      <w:r w:rsidRPr="006C4490">
        <w:t>an</w:t>
      </w:r>
      <w:r w:rsidR="00823F92" w:rsidRPr="006C4490">
        <w:t>d</w:t>
      </w:r>
      <w:r w:rsidR="00823F92">
        <w:t xml:space="preserve"> </w:t>
      </w:r>
      <w:r w:rsidRPr="006C4490">
        <w:t>th</w:t>
      </w:r>
      <w:r w:rsidR="00823F92" w:rsidRPr="006C4490">
        <w:t>e</w:t>
      </w:r>
      <w:r w:rsidR="00823F92">
        <w:t xml:space="preserve"> </w:t>
      </w:r>
      <w:r w:rsidRPr="006C4490">
        <w:t>existin</w:t>
      </w:r>
      <w:r w:rsidR="00823F92" w:rsidRPr="006C4490">
        <w:t>g</w:t>
      </w:r>
      <w:r w:rsidR="00823F92">
        <w:t xml:space="preserve"> </w:t>
      </w:r>
      <w:r w:rsidRPr="006C4490">
        <w:t>healt</w:t>
      </w:r>
      <w:r w:rsidR="00823F92" w:rsidRPr="006C4490">
        <w:t>h</w:t>
      </w:r>
      <w:r w:rsidR="00823F92">
        <w:t xml:space="preserve"> </w:t>
      </w:r>
      <w:r w:rsidRPr="006C4490">
        <w:t>workforc</w:t>
      </w:r>
      <w:r w:rsidR="00823F92" w:rsidRPr="006C4490">
        <w:t>e</w:t>
      </w:r>
      <w:r w:rsidR="00823F92">
        <w:t xml:space="preserve"> </w:t>
      </w:r>
      <w:r>
        <w:t>t</w:t>
      </w:r>
      <w:r w:rsidR="00823F92">
        <w:t xml:space="preserve">o </w:t>
      </w:r>
      <w:r>
        <w:t>hel</w:t>
      </w:r>
      <w:r w:rsidR="00823F92">
        <w:t xml:space="preserve">p </w:t>
      </w:r>
      <w:r>
        <w:t>buil</w:t>
      </w:r>
      <w:r w:rsidR="00823F92">
        <w:t xml:space="preserve">d </w:t>
      </w:r>
      <w:r>
        <w:t>deman</w:t>
      </w:r>
      <w:r w:rsidR="00823F92">
        <w:t xml:space="preserve">d </w:t>
      </w:r>
      <w:r>
        <w:t>fo</w:t>
      </w:r>
      <w:r w:rsidR="00823F92">
        <w:t xml:space="preserve">r </w:t>
      </w:r>
      <w:r>
        <w:t>associate</w:t>
      </w:r>
      <w:r w:rsidR="00823F92">
        <w:t xml:space="preserve">d </w:t>
      </w:r>
      <w:r>
        <w:t>trainin</w:t>
      </w:r>
      <w:r w:rsidR="00823F92">
        <w:t xml:space="preserve">g </w:t>
      </w:r>
      <w:r>
        <w:t>programs</w:t>
      </w:r>
      <w:r w:rsidR="00823F92" w:rsidRPr="006C4490">
        <w:t>.</w:t>
      </w:r>
      <w:r w:rsidR="00823F92">
        <w:t xml:space="preserve"> </w:t>
      </w:r>
      <w:r>
        <w:t>Increasin</w:t>
      </w:r>
      <w:r w:rsidR="00823F92">
        <w:t xml:space="preserve">g </w:t>
      </w:r>
      <w:r w:rsidRPr="006C4490">
        <w:t>awarenes</w:t>
      </w:r>
      <w:r w:rsidR="00823F92" w:rsidRPr="006C4490">
        <w:t>s</w:t>
      </w:r>
      <w:r w:rsidR="00823F92">
        <w:t xml:space="preserve"> </w:t>
      </w:r>
      <w:r w:rsidRPr="006C4490">
        <w:t>o</w:t>
      </w:r>
      <w:r w:rsidR="00823F92" w:rsidRPr="006C4490">
        <w:t>f</w:t>
      </w:r>
      <w:r w:rsidR="00823F92">
        <w:t xml:space="preserve"> </w:t>
      </w:r>
      <w:r w:rsidRPr="006C4490">
        <w:t>menta</w:t>
      </w:r>
      <w:r w:rsidR="00823F92" w:rsidRPr="006C4490">
        <w:t>l</w:t>
      </w:r>
      <w:r w:rsidR="00823F92">
        <w:t xml:space="preserve"> </w:t>
      </w:r>
      <w:r w:rsidRPr="006C4490">
        <w:t>healt</w:t>
      </w:r>
      <w:r w:rsidR="00823F92" w:rsidRPr="006C4490">
        <w:t>h</w:t>
      </w:r>
      <w:r w:rsidR="00823F92">
        <w:t xml:space="preserve"> </w:t>
      </w:r>
      <w:r w:rsidRPr="006C4490">
        <w:t>career</w:t>
      </w:r>
      <w:r w:rsidR="00823F92" w:rsidRPr="006C4490">
        <w:t>s</w:t>
      </w:r>
      <w:r w:rsidR="00823F92">
        <w:t xml:space="preserve"> </w:t>
      </w:r>
      <w:r w:rsidRPr="006C4490">
        <w:t>shoul</w:t>
      </w:r>
      <w:r w:rsidR="00823F92" w:rsidRPr="006C4490">
        <w:t>d</w:t>
      </w:r>
      <w:r w:rsidR="00823F92">
        <w:t xml:space="preserve"> </w:t>
      </w:r>
      <w:r w:rsidRPr="006C4490">
        <w:t>occu</w:t>
      </w:r>
      <w:r w:rsidR="00823F92" w:rsidRPr="006C4490">
        <w:t>r</w:t>
      </w:r>
      <w:r w:rsidR="00823F92">
        <w:t xml:space="preserve"> </w:t>
      </w:r>
      <w:r w:rsidRPr="006C4490">
        <w:t>a</w:t>
      </w:r>
      <w:r w:rsidR="00823F92" w:rsidRPr="006C4490">
        <w:t>s</w:t>
      </w:r>
      <w:r w:rsidR="00823F92">
        <w:t xml:space="preserve"> </w:t>
      </w:r>
      <w:r w:rsidRPr="006C4490">
        <w:t>earl</w:t>
      </w:r>
      <w:r w:rsidR="00823F92" w:rsidRPr="006C4490">
        <w:t>y</w:t>
      </w:r>
      <w:r w:rsidR="00823F92">
        <w:t xml:space="preserve"> </w:t>
      </w:r>
      <w:r w:rsidRPr="006C4490">
        <w:t>a</w:t>
      </w:r>
      <w:r w:rsidR="00823F92" w:rsidRPr="006C4490">
        <w:t>s</w:t>
      </w:r>
      <w:r w:rsidR="00823F92">
        <w:t xml:space="preserve"> </w:t>
      </w:r>
      <w:r w:rsidRPr="006C4490">
        <w:t>possibl</w:t>
      </w:r>
      <w:r w:rsidR="00823F92" w:rsidRPr="006C4490">
        <w:t>e</w:t>
      </w:r>
      <w:r w:rsidR="00823F92">
        <w:t xml:space="preserve"> </w:t>
      </w:r>
      <w:r w:rsidRPr="006C4490">
        <w:t>t</w:t>
      </w:r>
      <w:r w:rsidR="00823F92" w:rsidRPr="006C4490">
        <w:t>o</w:t>
      </w:r>
      <w:r w:rsidR="00823F92">
        <w:t xml:space="preserve"> </w:t>
      </w:r>
      <w:r w:rsidRPr="006C4490">
        <w:t>hel</w:t>
      </w:r>
      <w:r w:rsidR="00823F92" w:rsidRPr="006C4490">
        <w:t>p</w:t>
      </w:r>
      <w:r w:rsidR="00823F92">
        <w:t xml:space="preserve"> </w:t>
      </w:r>
      <w:r w:rsidRPr="006C4490">
        <w:t>maximis</w:t>
      </w:r>
      <w:r w:rsidR="00823F92" w:rsidRPr="006C4490">
        <w:t>e</w:t>
      </w:r>
      <w:r w:rsidR="00823F92">
        <w:t xml:space="preserve"> </w:t>
      </w:r>
      <w:r w:rsidRPr="006C4490">
        <w:t>th</w:t>
      </w:r>
      <w:r w:rsidR="00823F92" w:rsidRPr="006C4490">
        <w:t>e</w:t>
      </w:r>
      <w:r w:rsidR="00823F92">
        <w:t xml:space="preserve"> </w:t>
      </w:r>
      <w:r w:rsidRPr="006C4490">
        <w:t>visibilit</w:t>
      </w:r>
      <w:r w:rsidR="00823F92" w:rsidRPr="006C4490">
        <w:t>y</w:t>
      </w:r>
      <w:r w:rsidR="00823F92">
        <w:t xml:space="preserve"> </w:t>
      </w:r>
      <w:r w:rsidRPr="006C4490">
        <w:t>fo</w:t>
      </w:r>
      <w:r w:rsidR="00823F92" w:rsidRPr="006C4490">
        <w:t>r</w:t>
      </w:r>
      <w:r w:rsidR="00823F92">
        <w:t xml:space="preserve"> </w:t>
      </w:r>
      <w:r w:rsidRPr="006C4490">
        <w:t>potentia</w:t>
      </w:r>
      <w:r w:rsidR="00823F92" w:rsidRPr="006C4490">
        <w:t>l</w:t>
      </w:r>
      <w:r w:rsidR="00823F92">
        <w:t xml:space="preserve"> </w:t>
      </w:r>
      <w:r w:rsidRPr="006C4490">
        <w:t>students.</w:t>
      </w:r>
      <w:r w:rsidRPr="006C4490">
        <w:rPr>
          <w:rStyle w:val="FootnoteReference"/>
          <w:sz w:val="20"/>
          <w:szCs w:val="20"/>
        </w:rPr>
        <w:footnoteReference w:id="23"/>
      </w:r>
    </w:p>
    <w:p w14:paraId="44B25183" w14:textId="3C8C3004" w:rsidR="00F8237F" w:rsidRPr="000327DA" w:rsidRDefault="00F8237F" w:rsidP="00F8237F">
      <w:pPr>
        <w:pStyle w:val="BodyText"/>
      </w:pPr>
      <w:r>
        <w:t>Man</w:t>
      </w:r>
      <w:r w:rsidR="00823F92">
        <w:t xml:space="preserve">y </w:t>
      </w:r>
      <w:r>
        <w:t>o</w:t>
      </w:r>
      <w:r w:rsidR="00823F92">
        <w:t xml:space="preserve">f </w:t>
      </w:r>
      <w:r>
        <w:t>th</w:t>
      </w:r>
      <w:r w:rsidR="00823F92">
        <w:t xml:space="preserve">e </w:t>
      </w:r>
      <w:r>
        <w:t>issue</w:t>
      </w:r>
      <w:r w:rsidR="00823F92">
        <w:t xml:space="preserve">s </w:t>
      </w:r>
      <w:r>
        <w:t>tha</w:t>
      </w:r>
      <w:r w:rsidR="00823F92">
        <w:t xml:space="preserve">t </w:t>
      </w:r>
      <w:r>
        <w:t>impac</w:t>
      </w:r>
      <w:r w:rsidR="00823F92">
        <w:t xml:space="preserve">t </w:t>
      </w:r>
      <w:r>
        <w:t>upo</w:t>
      </w:r>
      <w:r w:rsidR="00823F92">
        <w:t xml:space="preserve">n </w:t>
      </w:r>
      <w:r>
        <w:t>th</w:t>
      </w:r>
      <w:r w:rsidR="00823F92">
        <w:t xml:space="preserve">e </w:t>
      </w:r>
      <w:r>
        <w:t>attractivenes</w:t>
      </w:r>
      <w:r w:rsidR="00823F92">
        <w:t xml:space="preserve">s </w:t>
      </w:r>
      <w:r>
        <w:t>o</w:t>
      </w:r>
      <w:r w:rsidR="00823F92">
        <w:t xml:space="preserve">f </w:t>
      </w:r>
      <w:r>
        <w:t>career</w:t>
      </w:r>
      <w:r w:rsidR="00823F92">
        <w:t xml:space="preserve">s </w:t>
      </w:r>
      <w:r>
        <w:t>i</w:t>
      </w:r>
      <w:r w:rsidR="00823F92">
        <w:t xml:space="preserve">n </w:t>
      </w:r>
      <w:r>
        <w:t>menta</w:t>
      </w:r>
      <w:r w:rsidR="00823F92">
        <w:t xml:space="preserve">l </w:t>
      </w:r>
      <w:r>
        <w:t>healt</w:t>
      </w:r>
      <w:r w:rsidR="00823F92">
        <w:t xml:space="preserve">h </w:t>
      </w:r>
      <w:r>
        <w:t>ar</w:t>
      </w:r>
      <w:r w:rsidR="00823F92">
        <w:t xml:space="preserve">e </w:t>
      </w:r>
      <w:r>
        <w:t>discusse</w:t>
      </w:r>
      <w:r w:rsidR="00823F92">
        <w:t xml:space="preserve">d </w:t>
      </w:r>
      <w:r>
        <w:t>i</w:t>
      </w:r>
      <w:r w:rsidR="00823F92">
        <w:t xml:space="preserve">n </w:t>
      </w:r>
      <w:r>
        <w:t>th</w:t>
      </w:r>
      <w:r w:rsidR="00823F92">
        <w:t xml:space="preserve">e </w:t>
      </w:r>
      <w:r>
        <w:t>section</w:t>
      </w:r>
      <w:r w:rsidR="00823F92">
        <w:t xml:space="preserve">s </w:t>
      </w:r>
      <w:r>
        <w:t>tha</w:t>
      </w:r>
      <w:r w:rsidR="00823F92">
        <w:t xml:space="preserve">t </w:t>
      </w:r>
      <w:r>
        <w:t>follow</w:t>
      </w:r>
      <w:r w:rsidR="00823F92">
        <w:t xml:space="preserve">. </w:t>
      </w:r>
      <w:r w:rsidR="00342CC6">
        <w:t>I</w:t>
      </w:r>
      <w:r w:rsidR="00823F92">
        <w:t xml:space="preserve">t </w:t>
      </w:r>
      <w:r>
        <w:t>i</w:t>
      </w:r>
      <w:r w:rsidR="00823F92">
        <w:t xml:space="preserve">s </w:t>
      </w:r>
      <w:r>
        <w:t>critica</w:t>
      </w:r>
      <w:r w:rsidR="00823F92">
        <w:t xml:space="preserve">l </w:t>
      </w:r>
      <w:r>
        <w:t>t</w:t>
      </w:r>
      <w:r w:rsidR="00823F92">
        <w:t xml:space="preserve">o </w:t>
      </w:r>
      <w:r>
        <w:t>not</w:t>
      </w:r>
      <w:r w:rsidR="00823F92">
        <w:t xml:space="preserve">e </w:t>
      </w:r>
      <w:r>
        <w:t>tha</w:t>
      </w:r>
      <w:r w:rsidR="00823F92">
        <w:t xml:space="preserve">t </w:t>
      </w:r>
      <w:r>
        <w:t>increasin</w:t>
      </w:r>
      <w:r w:rsidR="00823F92">
        <w:t xml:space="preserve">g </w:t>
      </w:r>
      <w:r>
        <w:t>awarenes</w:t>
      </w:r>
      <w:r w:rsidR="00823F92">
        <w:t xml:space="preserve">s </w:t>
      </w:r>
      <w:r>
        <w:t>o</w:t>
      </w:r>
      <w:r w:rsidR="00823F92">
        <w:t xml:space="preserve">f </w:t>
      </w:r>
      <w:r>
        <w:t>caree</w:t>
      </w:r>
      <w:r w:rsidR="00823F92">
        <w:t xml:space="preserve">r </w:t>
      </w:r>
      <w:r>
        <w:t>opportunitie</w:t>
      </w:r>
      <w:r w:rsidR="00823F92">
        <w:t xml:space="preserve">s </w:t>
      </w:r>
      <w:r>
        <w:t>i</w:t>
      </w:r>
      <w:r w:rsidR="00823F92">
        <w:t xml:space="preserve">n </w:t>
      </w:r>
      <w:r>
        <w:t>menta</w:t>
      </w:r>
      <w:r w:rsidR="00823F92">
        <w:t xml:space="preserve">l </w:t>
      </w:r>
      <w:r>
        <w:t>healt</w:t>
      </w:r>
      <w:r w:rsidR="00823F92">
        <w:t xml:space="preserve">h </w:t>
      </w:r>
      <w:r>
        <w:t>i</w:t>
      </w:r>
      <w:r w:rsidR="00823F92">
        <w:t xml:space="preserve">s </w:t>
      </w:r>
      <w:r>
        <w:t>no</w:t>
      </w:r>
      <w:r w:rsidR="00823F92">
        <w:t xml:space="preserve">t </w:t>
      </w:r>
      <w:r>
        <w:t>sufficien</w:t>
      </w:r>
      <w:r w:rsidR="00823F92">
        <w:t xml:space="preserve">t </w:t>
      </w:r>
      <w:r w:rsidR="00342CC6">
        <w:t>t</w:t>
      </w:r>
      <w:r w:rsidR="00823F92">
        <w:t xml:space="preserve">o </w:t>
      </w:r>
      <w:r w:rsidR="00342CC6">
        <w:t>addres</w:t>
      </w:r>
      <w:r w:rsidR="00823F92">
        <w:t xml:space="preserve">s </w:t>
      </w:r>
      <w:r w:rsidR="00342CC6">
        <w:t>th</w:t>
      </w:r>
      <w:r w:rsidR="00823F92">
        <w:t xml:space="preserve">e </w:t>
      </w:r>
      <w:r w:rsidR="00342CC6">
        <w:t>curren</w:t>
      </w:r>
      <w:r w:rsidR="00823F92">
        <w:t xml:space="preserve">t </w:t>
      </w:r>
      <w:r w:rsidR="00342CC6">
        <w:t>workforc</w:t>
      </w:r>
      <w:r w:rsidR="00823F92">
        <w:t xml:space="preserve">e </w:t>
      </w:r>
      <w:r w:rsidR="00342CC6">
        <w:t>shortages</w:t>
      </w:r>
      <w:r>
        <w:t>.</w:t>
      </w:r>
    </w:p>
    <w:p w14:paraId="2E8710A4" w14:textId="77777777" w:rsidR="00790842" w:rsidRPr="000E25B1" w:rsidRDefault="00790842" w:rsidP="005A62C6">
      <w:pPr>
        <w:pStyle w:val="Heading3nonumber"/>
        <w:keepNext/>
      </w:pPr>
      <w:r w:rsidRPr="000E25B1">
        <w:t>Stigma</w:t>
      </w:r>
    </w:p>
    <w:p w14:paraId="1D053871" w14:textId="437FB5C7" w:rsidR="00680111" w:rsidRDefault="00790842" w:rsidP="00790842">
      <w:pPr>
        <w:pStyle w:val="BodyText"/>
        <w:rPr>
          <w:lang w:val="en-US"/>
        </w:rPr>
      </w:pPr>
      <w:r w:rsidRPr="006C4490">
        <w:rPr>
          <w:lang w:val="en-US"/>
        </w:rPr>
        <w:t>Ther</w:t>
      </w:r>
      <w:r w:rsidR="00823F92" w:rsidRPr="006C4490">
        <w:rPr>
          <w:lang w:val="en-US"/>
        </w:rPr>
        <w:t>e</w:t>
      </w:r>
      <w:r w:rsidR="00823F92">
        <w:rPr>
          <w:lang w:val="en-US"/>
        </w:rPr>
        <w:t xml:space="preserve"> </w:t>
      </w:r>
      <w:r w:rsidRPr="006C4490">
        <w:rPr>
          <w:lang w:val="en-US"/>
        </w:rPr>
        <w:t>ar</w:t>
      </w:r>
      <w:r w:rsidR="00823F92" w:rsidRPr="006C4490">
        <w:rPr>
          <w:lang w:val="en-US"/>
        </w:rPr>
        <w:t>e</w:t>
      </w:r>
      <w:r w:rsidR="00823F92">
        <w:rPr>
          <w:lang w:val="en-US"/>
        </w:rPr>
        <w:t xml:space="preserve"> </w:t>
      </w:r>
      <w:r w:rsidRPr="006C4490">
        <w:rPr>
          <w:lang w:val="en-US"/>
        </w:rPr>
        <w:t>widesprea</w:t>
      </w:r>
      <w:r w:rsidR="00823F92" w:rsidRPr="006C4490">
        <w:rPr>
          <w:lang w:val="en-US"/>
        </w:rPr>
        <w:t>d</w:t>
      </w:r>
      <w:r w:rsidR="00823F92">
        <w:rPr>
          <w:lang w:val="en-US"/>
        </w:rPr>
        <w:t xml:space="preserve"> </w:t>
      </w:r>
      <w:r w:rsidRPr="006C4490">
        <w:rPr>
          <w:lang w:val="en-US"/>
        </w:rPr>
        <w:t>negativ</w:t>
      </w:r>
      <w:r w:rsidR="00823F92" w:rsidRPr="006C4490">
        <w:rPr>
          <w:lang w:val="en-US"/>
        </w:rPr>
        <w:t>e</w:t>
      </w:r>
      <w:r w:rsidR="00823F92">
        <w:rPr>
          <w:lang w:val="en-US"/>
        </w:rPr>
        <w:t xml:space="preserve"> </w:t>
      </w:r>
      <w:r w:rsidRPr="006C4490">
        <w:rPr>
          <w:lang w:val="en-US"/>
        </w:rPr>
        <w:t>perception</w:t>
      </w:r>
      <w:r w:rsidR="00823F92" w:rsidRPr="006C4490">
        <w:rPr>
          <w:lang w:val="en-US"/>
        </w:rPr>
        <w:t>s</w:t>
      </w:r>
      <w:r w:rsidR="00823F92">
        <w:rPr>
          <w:lang w:val="en-US"/>
        </w:rPr>
        <w:t xml:space="preserve"> </w:t>
      </w:r>
      <w:r w:rsidRPr="006C4490">
        <w:rPr>
          <w:lang w:val="en-US"/>
        </w:rPr>
        <w:t>o</w:t>
      </w:r>
      <w:r w:rsidR="00823F92" w:rsidRPr="006C4490">
        <w:rPr>
          <w:lang w:val="en-US"/>
        </w:rPr>
        <w:t>f</w:t>
      </w:r>
      <w:r w:rsidR="00823F92">
        <w:rPr>
          <w:lang w:val="en-US"/>
        </w:rPr>
        <w:t xml:space="preserve"> </w:t>
      </w:r>
      <w:r w:rsidRPr="006C4490">
        <w:rPr>
          <w:lang w:val="en-US"/>
        </w:rPr>
        <w:t>workin</w:t>
      </w:r>
      <w:r w:rsidR="00823F92" w:rsidRPr="006C4490">
        <w:rPr>
          <w:lang w:val="en-US"/>
        </w:rPr>
        <w:t>g</w:t>
      </w:r>
      <w:r w:rsidR="00823F92">
        <w:rPr>
          <w:lang w:val="en-US"/>
        </w:rPr>
        <w:t xml:space="preserve"> </w:t>
      </w:r>
      <w:r w:rsidRPr="006C4490">
        <w:rPr>
          <w:lang w:val="en-US"/>
        </w:rPr>
        <w:t>i</w:t>
      </w:r>
      <w:r w:rsidR="00823F92" w:rsidRPr="006C4490">
        <w:rPr>
          <w:lang w:val="en-US"/>
        </w:rPr>
        <w:t>n</w:t>
      </w:r>
      <w:r w:rsidR="00823F92">
        <w:rPr>
          <w:lang w:val="en-US"/>
        </w:rPr>
        <w:t xml:space="preserve"> </w:t>
      </w:r>
      <w:r w:rsidRPr="006C4490">
        <w:rPr>
          <w:lang w:val="en-US"/>
        </w:rPr>
        <w:t>th</w:t>
      </w:r>
      <w:r w:rsidR="00823F92" w:rsidRPr="006C4490">
        <w:rPr>
          <w:lang w:val="en-US"/>
        </w:rPr>
        <w:t>e</w:t>
      </w:r>
      <w:r w:rsidR="00823F92">
        <w:rPr>
          <w:lang w:val="en-US"/>
        </w:rPr>
        <w:t xml:space="preserve"> </w:t>
      </w:r>
      <w:r w:rsidRPr="006C4490">
        <w:rPr>
          <w:lang w:val="en-US"/>
        </w:rPr>
        <w:t>menta</w:t>
      </w:r>
      <w:r w:rsidR="00823F92" w:rsidRPr="006C4490">
        <w:rPr>
          <w:lang w:val="en-US"/>
        </w:rPr>
        <w:t>l</w:t>
      </w:r>
      <w:r w:rsidR="00823F92">
        <w:rPr>
          <w:lang w:val="en-US"/>
        </w:rPr>
        <w:t xml:space="preserve"> </w:t>
      </w:r>
      <w:r w:rsidRPr="006C4490">
        <w:rPr>
          <w:lang w:val="en-US"/>
        </w:rPr>
        <w:t>healt</w:t>
      </w:r>
      <w:r w:rsidR="00823F92" w:rsidRPr="006C4490">
        <w:rPr>
          <w:lang w:val="en-US"/>
        </w:rPr>
        <w:t>h</w:t>
      </w:r>
      <w:r w:rsidR="00823F92">
        <w:rPr>
          <w:lang w:val="en-US"/>
        </w:rPr>
        <w:t xml:space="preserve"> </w:t>
      </w:r>
      <w:r w:rsidRPr="006C4490">
        <w:rPr>
          <w:lang w:val="en-US"/>
        </w:rPr>
        <w:t>tha</w:t>
      </w:r>
      <w:r w:rsidR="00823F92" w:rsidRPr="006C4490">
        <w:rPr>
          <w:lang w:val="en-US"/>
        </w:rPr>
        <w:t>t</w:t>
      </w:r>
      <w:r w:rsidR="00823F92">
        <w:rPr>
          <w:lang w:val="en-US"/>
        </w:rPr>
        <w:t xml:space="preserve"> </w:t>
      </w:r>
      <w:r w:rsidRPr="006C4490">
        <w:rPr>
          <w:lang w:val="en-US"/>
        </w:rPr>
        <w:t>reduc</w:t>
      </w:r>
      <w:r w:rsidR="00823F92" w:rsidRPr="006C4490">
        <w:rPr>
          <w:lang w:val="en-US"/>
        </w:rPr>
        <w:t>e</w:t>
      </w:r>
      <w:r w:rsidR="00823F92">
        <w:rPr>
          <w:lang w:val="en-US"/>
        </w:rPr>
        <w:t xml:space="preserve"> </w:t>
      </w:r>
      <w:r w:rsidRPr="006C4490">
        <w:rPr>
          <w:lang w:val="en-US"/>
        </w:rPr>
        <w:t>th</w:t>
      </w:r>
      <w:r w:rsidR="00823F92" w:rsidRPr="006C4490">
        <w:rPr>
          <w:lang w:val="en-US"/>
        </w:rPr>
        <w:t>e</w:t>
      </w:r>
      <w:r w:rsidR="00823F92">
        <w:rPr>
          <w:lang w:val="en-US"/>
        </w:rPr>
        <w:t xml:space="preserve"> </w:t>
      </w:r>
      <w:r w:rsidRPr="006C4490">
        <w:rPr>
          <w:lang w:val="en-US"/>
        </w:rPr>
        <w:t>attractivenes</w:t>
      </w:r>
      <w:r w:rsidR="00823F92" w:rsidRPr="006C4490">
        <w:rPr>
          <w:lang w:val="en-US"/>
        </w:rPr>
        <w:t>s</w:t>
      </w:r>
      <w:r w:rsidR="00823F92">
        <w:rPr>
          <w:lang w:val="en-US"/>
        </w:rPr>
        <w:t xml:space="preserve"> </w:t>
      </w:r>
      <w:r w:rsidRPr="006C4490">
        <w:rPr>
          <w:lang w:val="en-US"/>
        </w:rPr>
        <w:t>o</w:t>
      </w:r>
      <w:r w:rsidR="00823F92" w:rsidRPr="006C4490">
        <w:rPr>
          <w:lang w:val="en-US"/>
        </w:rPr>
        <w:t>f</w:t>
      </w:r>
      <w:r w:rsidR="00823F92">
        <w:rPr>
          <w:lang w:val="en-US"/>
        </w:rPr>
        <w:t xml:space="preserve"> </w:t>
      </w:r>
      <w:r w:rsidR="00342CC6">
        <w:rPr>
          <w:lang w:val="en-US"/>
        </w:rPr>
        <w:t>enterin</w:t>
      </w:r>
      <w:r w:rsidR="00823F92">
        <w:rPr>
          <w:lang w:val="en-US"/>
        </w:rPr>
        <w:t xml:space="preserve">g </w:t>
      </w:r>
      <w:r w:rsidR="00342CC6">
        <w:rPr>
          <w:lang w:val="en-US"/>
        </w:rPr>
        <w:t>th</w:t>
      </w:r>
      <w:r w:rsidR="00823F92">
        <w:rPr>
          <w:lang w:val="en-US"/>
        </w:rPr>
        <w:t xml:space="preserve">e </w:t>
      </w:r>
      <w:r w:rsidR="00342CC6">
        <w:rPr>
          <w:lang w:val="en-US"/>
        </w:rPr>
        <w:t>sector</w:t>
      </w:r>
      <w:r w:rsidR="00823F92" w:rsidRPr="006C4490">
        <w:rPr>
          <w:lang w:val="en-US"/>
        </w:rPr>
        <w:t>.</w:t>
      </w:r>
      <w:r w:rsidR="00823F92">
        <w:rPr>
          <w:lang w:val="en-US"/>
        </w:rPr>
        <w:t xml:space="preserve"> </w:t>
      </w:r>
      <w:r w:rsidR="00680111">
        <w:rPr>
          <w:lang w:val="en-US"/>
        </w:rPr>
        <w:t>Th</w:t>
      </w:r>
      <w:r w:rsidR="00823F92">
        <w:rPr>
          <w:lang w:val="en-US"/>
        </w:rPr>
        <w:t xml:space="preserve">e </w:t>
      </w:r>
      <w:r w:rsidR="00680111">
        <w:rPr>
          <w:lang w:val="en-US"/>
        </w:rPr>
        <w:t>driver</w:t>
      </w:r>
      <w:r w:rsidR="00823F92">
        <w:rPr>
          <w:lang w:val="en-US"/>
        </w:rPr>
        <w:t xml:space="preserve">s </w:t>
      </w:r>
      <w:r w:rsidR="00680111">
        <w:rPr>
          <w:lang w:val="en-US"/>
        </w:rPr>
        <w:t>o</w:t>
      </w:r>
      <w:r w:rsidR="00823F92">
        <w:rPr>
          <w:lang w:val="en-US"/>
        </w:rPr>
        <w:t xml:space="preserve">f </w:t>
      </w:r>
      <w:r w:rsidR="00680111">
        <w:rPr>
          <w:lang w:val="en-US"/>
        </w:rPr>
        <w:t>thi</w:t>
      </w:r>
      <w:r w:rsidR="00823F92">
        <w:rPr>
          <w:lang w:val="en-US"/>
        </w:rPr>
        <w:t xml:space="preserve">s </w:t>
      </w:r>
      <w:r w:rsidR="00680111">
        <w:rPr>
          <w:lang w:val="en-US"/>
        </w:rPr>
        <w:t>stigm</w:t>
      </w:r>
      <w:r w:rsidR="00823F92">
        <w:rPr>
          <w:lang w:val="en-US"/>
        </w:rPr>
        <w:t xml:space="preserve">a </w:t>
      </w:r>
      <w:r w:rsidR="00680111">
        <w:rPr>
          <w:lang w:val="en-US"/>
        </w:rPr>
        <w:t>vary</w:t>
      </w:r>
      <w:r w:rsidR="00823F92">
        <w:rPr>
          <w:lang w:val="en-US"/>
        </w:rPr>
        <w:t xml:space="preserve">, </w:t>
      </w:r>
      <w:r w:rsidR="00680111">
        <w:rPr>
          <w:lang w:val="en-US"/>
        </w:rPr>
        <w:t>bu</w:t>
      </w:r>
      <w:r w:rsidR="00823F92">
        <w:rPr>
          <w:lang w:val="en-US"/>
        </w:rPr>
        <w:t xml:space="preserve">t </w:t>
      </w:r>
      <w:r w:rsidR="00680111">
        <w:rPr>
          <w:lang w:val="en-US"/>
        </w:rPr>
        <w:t>t</w:t>
      </w:r>
      <w:r>
        <w:rPr>
          <w:lang w:val="en-US"/>
        </w:rPr>
        <w:t>h</w:t>
      </w:r>
      <w:r w:rsidR="00823F92">
        <w:rPr>
          <w:lang w:val="en-US"/>
        </w:rPr>
        <w:t xml:space="preserve">e </w:t>
      </w:r>
      <w:r>
        <w:rPr>
          <w:lang w:val="en-US"/>
        </w:rPr>
        <w:t>qualit</w:t>
      </w:r>
      <w:r w:rsidR="00823F92">
        <w:rPr>
          <w:lang w:val="en-US"/>
        </w:rPr>
        <w:t xml:space="preserve">y </w:t>
      </w:r>
      <w:r>
        <w:rPr>
          <w:lang w:val="en-US"/>
        </w:rPr>
        <w:t>o</w:t>
      </w:r>
      <w:r w:rsidR="00823F92">
        <w:rPr>
          <w:lang w:val="en-US"/>
        </w:rPr>
        <w:t xml:space="preserve">f </w:t>
      </w:r>
      <w:r>
        <w:rPr>
          <w:lang w:val="en-US"/>
        </w:rPr>
        <w:t>placement</w:t>
      </w:r>
      <w:r w:rsidR="00823F92">
        <w:rPr>
          <w:lang w:val="en-US"/>
        </w:rPr>
        <w:t xml:space="preserve">s </w:t>
      </w:r>
      <w:r w:rsidR="00342CC6">
        <w:rPr>
          <w:lang w:val="en-US"/>
        </w:rPr>
        <w:t>contribute</w:t>
      </w:r>
      <w:r w:rsidR="00823F92">
        <w:rPr>
          <w:lang w:val="en-US"/>
        </w:rPr>
        <w:t xml:space="preserve">s </w:t>
      </w:r>
      <w:r w:rsidR="00342CC6">
        <w:rPr>
          <w:lang w:val="en-US"/>
        </w:rPr>
        <w:t>t</w:t>
      </w:r>
      <w:r w:rsidR="00823F92">
        <w:rPr>
          <w:lang w:val="en-US"/>
        </w:rPr>
        <w:t xml:space="preserve">o </w:t>
      </w:r>
      <w:r w:rsidR="00342CC6">
        <w:rPr>
          <w:lang w:val="en-US"/>
        </w:rPr>
        <w:t>th</w:t>
      </w:r>
      <w:r w:rsidR="00823F92">
        <w:rPr>
          <w:lang w:val="en-US"/>
        </w:rPr>
        <w:t xml:space="preserve">e </w:t>
      </w:r>
      <w:r w:rsidR="00342CC6">
        <w:rPr>
          <w:lang w:val="en-US"/>
        </w:rPr>
        <w:t>negativ</w:t>
      </w:r>
      <w:r w:rsidR="00823F92">
        <w:rPr>
          <w:lang w:val="en-US"/>
        </w:rPr>
        <w:t xml:space="preserve">e </w:t>
      </w:r>
      <w:r w:rsidR="00342CC6">
        <w:rPr>
          <w:lang w:val="en-US"/>
        </w:rPr>
        <w:t>perception</w:t>
      </w:r>
      <w:r w:rsidR="00823F92">
        <w:rPr>
          <w:lang w:val="en-US"/>
        </w:rPr>
        <w:t xml:space="preserve">s </w:t>
      </w:r>
      <w:r w:rsidR="00342CC6">
        <w:rPr>
          <w:lang w:val="en-US"/>
        </w:rPr>
        <w:t>o</w:t>
      </w:r>
      <w:r w:rsidR="00823F92">
        <w:rPr>
          <w:lang w:val="en-US"/>
        </w:rPr>
        <w:t xml:space="preserve">f </w:t>
      </w:r>
      <w:r w:rsidR="00342CC6">
        <w:rPr>
          <w:lang w:val="en-US"/>
        </w:rPr>
        <w:t>th</w:t>
      </w:r>
      <w:r w:rsidR="00823F92">
        <w:rPr>
          <w:lang w:val="en-US"/>
        </w:rPr>
        <w:t xml:space="preserve">e </w:t>
      </w:r>
      <w:r w:rsidR="00342CC6">
        <w:rPr>
          <w:lang w:val="en-US"/>
        </w:rPr>
        <w:t>sector</w:t>
      </w:r>
      <w:r w:rsidR="00823F92">
        <w:rPr>
          <w:lang w:val="en-US"/>
        </w:rPr>
        <w:t xml:space="preserve">. </w:t>
      </w:r>
    </w:p>
    <w:p w14:paraId="5246A971" w14:textId="60770045" w:rsidR="000B5C5D" w:rsidRDefault="00790842" w:rsidP="00790842">
      <w:pPr>
        <w:pStyle w:val="BodyText"/>
        <w:rPr>
          <w:lang w:val="en-US"/>
        </w:rPr>
      </w:pPr>
      <w:r>
        <w:rPr>
          <w:lang w:val="en-US"/>
        </w:rPr>
        <w:t>Th</w:t>
      </w:r>
      <w:r w:rsidR="00823F92">
        <w:rPr>
          <w:lang w:val="en-US"/>
        </w:rPr>
        <w:t xml:space="preserve">e </w:t>
      </w:r>
      <w:r>
        <w:rPr>
          <w:lang w:val="en-US"/>
        </w:rPr>
        <w:t>issue</w:t>
      </w:r>
      <w:r w:rsidR="00823F92">
        <w:rPr>
          <w:lang w:val="en-US"/>
        </w:rPr>
        <w:t xml:space="preserve">s </w:t>
      </w:r>
      <w:r>
        <w:rPr>
          <w:lang w:val="en-US"/>
        </w:rPr>
        <w:t>associate</w:t>
      </w:r>
      <w:r w:rsidR="00823F92">
        <w:rPr>
          <w:lang w:val="en-US"/>
        </w:rPr>
        <w:t xml:space="preserve">d </w:t>
      </w:r>
      <w:r>
        <w:rPr>
          <w:lang w:val="en-US"/>
        </w:rPr>
        <w:t>wit</w:t>
      </w:r>
      <w:r w:rsidR="00823F92">
        <w:rPr>
          <w:lang w:val="en-US"/>
        </w:rPr>
        <w:t xml:space="preserve">h </w:t>
      </w:r>
      <w:r>
        <w:rPr>
          <w:lang w:val="en-US"/>
        </w:rPr>
        <w:t>placement</w:t>
      </w:r>
      <w:r w:rsidR="00823F92">
        <w:rPr>
          <w:lang w:val="en-US"/>
        </w:rPr>
        <w:t xml:space="preserve">s </w:t>
      </w:r>
      <w:r>
        <w:rPr>
          <w:lang w:val="en-US"/>
        </w:rPr>
        <w:t>var</w:t>
      </w:r>
      <w:r w:rsidR="00823F92">
        <w:rPr>
          <w:lang w:val="en-US"/>
        </w:rPr>
        <w:t xml:space="preserve">y </w:t>
      </w:r>
      <w:r w:rsidR="00680111">
        <w:rPr>
          <w:lang w:val="en-US"/>
        </w:rPr>
        <w:t>betwee</w:t>
      </w:r>
      <w:r w:rsidR="00823F92">
        <w:rPr>
          <w:lang w:val="en-US"/>
        </w:rPr>
        <w:t xml:space="preserve">n </w:t>
      </w:r>
      <w:r w:rsidR="00680111">
        <w:rPr>
          <w:lang w:val="en-US"/>
        </w:rPr>
        <w:t>occupations</w:t>
      </w:r>
      <w:r w:rsidR="00823F92">
        <w:rPr>
          <w:lang w:val="en-US"/>
        </w:rPr>
        <w:t xml:space="preserve">. </w:t>
      </w:r>
      <w:r>
        <w:rPr>
          <w:lang w:val="en-US"/>
        </w:rPr>
        <w:t>Fo</w:t>
      </w:r>
      <w:r w:rsidR="00823F92">
        <w:rPr>
          <w:lang w:val="en-US"/>
        </w:rPr>
        <w:t xml:space="preserve">r </w:t>
      </w:r>
      <w:r w:rsidR="000B5C5D">
        <w:rPr>
          <w:lang w:val="en-US"/>
        </w:rPr>
        <w:t>som</w:t>
      </w:r>
      <w:r w:rsidR="00823F92">
        <w:rPr>
          <w:lang w:val="en-US"/>
        </w:rPr>
        <w:t xml:space="preserve">e </w:t>
      </w:r>
      <w:r>
        <w:rPr>
          <w:lang w:val="en-US"/>
        </w:rPr>
        <w:t>occupation</w:t>
      </w:r>
      <w:r w:rsidR="000B5C5D">
        <w:rPr>
          <w:lang w:val="en-US"/>
        </w:rPr>
        <w:t>s</w:t>
      </w:r>
      <w:r w:rsidR="00823F92">
        <w:rPr>
          <w:lang w:val="en-US"/>
        </w:rPr>
        <w:t xml:space="preserve">, </w:t>
      </w:r>
      <w:r>
        <w:rPr>
          <w:lang w:val="en-US"/>
        </w:rPr>
        <w:t>placement</w:t>
      </w:r>
      <w:r w:rsidR="00823F92">
        <w:rPr>
          <w:lang w:val="en-US"/>
        </w:rPr>
        <w:t xml:space="preserve">s </w:t>
      </w:r>
      <w:r>
        <w:rPr>
          <w:lang w:val="en-US"/>
        </w:rPr>
        <w:t>ar</w:t>
      </w:r>
      <w:r w:rsidR="00823F92">
        <w:rPr>
          <w:lang w:val="en-US"/>
        </w:rPr>
        <w:t xml:space="preserve">e </w:t>
      </w:r>
      <w:r>
        <w:rPr>
          <w:lang w:val="en-US"/>
        </w:rPr>
        <w:t>ofte</w:t>
      </w:r>
      <w:r w:rsidR="00823F92">
        <w:rPr>
          <w:lang w:val="en-US"/>
        </w:rPr>
        <w:t xml:space="preserve">n </w:t>
      </w:r>
      <w:r>
        <w:rPr>
          <w:lang w:val="en-US"/>
        </w:rPr>
        <w:t>i</w:t>
      </w:r>
      <w:r w:rsidR="00823F92">
        <w:rPr>
          <w:lang w:val="en-US"/>
        </w:rPr>
        <w:t xml:space="preserve">n </w:t>
      </w:r>
      <w:r>
        <w:rPr>
          <w:lang w:val="en-US"/>
        </w:rPr>
        <w:t>acut</w:t>
      </w:r>
      <w:r w:rsidR="00823F92">
        <w:rPr>
          <w:lang w:val="en-US"/>
        </w:rPr>
        <w:t xml:space="preserve">e </w:t>
      </w:r>
      <w:r>
        <w:rPr>
          <w:lang w:val="en-US"/>
        </w:rPr>
        <w:t>o</w:t>
      </w:r>
      <w:r w:rsidR="00823F92">
        <w:rPr>
          <w:lang w:val="en-US"/>
        </w:rPr>
        <w:t xml:space="preserve">r </w:t>
      </w:r>
      <w:r>
        <w:rPr>
          <w:lang w:val="en-US"/>
        </w:rPr>
        <w:t>hig</w:t>
      </w:r>
      <w:r w:rsidR="00823F92">
        <w:rPr>
          <w:lang w:val="en-US"/>
        </w:rPr>
        <w:t xml:space="preserve">h </w:t>
      </w:r>
      <w:r>
        <w:rPr>
          <w:lang w:val="en-US"/>
        </w:rPr>
        <w:t>intensit</w:t>
      </w:r>
      <w:r w:rsidR="00823F92">
        <w:rPr>
          <w:lang w:val="en-US"/>
        </w:rPr>
        <w:t xml:space="preserve">y </w:t>
      </w:r>
      <w:r>
        <w:rPr>
          <w:lang w:val="en-US"/>
        </w:rPr>
        <w:t>setting</w:t>
      </w:r>
      <w:r w:rsidR="00823F92">
        <w:rPr>
          <w:lang w:val="en-US"/>
        </w:rPr>
        <w:t xml:space="preserve">s </w:t>
      </w:r>
      <w:r>
        <w:rPr>
          <w:lang w:val="en-US"/>
        </w:rPr>
        <w:t>whic</w:t>
      </w:r>
      <w:r w:rsidR="00823F92">
        <w:rPr>
          <w:lang w:val="en-US"/>
        </w:rPr>
        <w:t xml:space="preserve">h </w:t>
      </w:r>
      <w:r>
        <w:rPr>
          <w:lang w:val="en-US"/>
        </w:rPr>
        <w:t>d</w:t>
      </w:r>
      <w:r w:rsidR="00823F92">
        <w:rPr>
          <w:lang w:val="en-US"/>
        </w:rPr>
        <w:t xml:space="preserve">o </w:t>
      </w:r>
      <w:r>
        <w:rPr>
          <w:lang w:val="en-US"/>
        </w:rPr>
        <w:t>no</w:t>
      </w:r>
      <w:r w:rsidR="00823F92">
        <w:rPr>
          <w:lang w:val="en-US"/>
        </w:rPr>
        <w:t xml:space="preserve">t </w:t>
      </w:r>
      <w:r>
        <w:rPr>
          <w:lang w:val="en-US"/>
        </w:rPr>
        <w:t>provid</w:t>
      </w:r>
      <w:r w:rsidR="00823F92">
        <w:rPr>
          <w:lang w:val="en-US"/>
        </w:rPr>
        <w:t xml:space="preserve">e </w:t>
      </w:r>
      <w:r w:rsidR="00342CC6">
        <w:rPr>
          <w:lang w:val="en-US"/>
        </w:rPr>
        <w:t>exposur</w:t>
      </w:r>
      <w:r w:rsidR="00823F92">
        <w:rPr>
          <w:lang w:val="en-US"/>
        </w:rPr>
        <w:t xml:space="preserve">e </w:t>
      </w:r>
      <w:r w:rsidR="00342CC6">
        <w:rPr>
          <w:lang w:val="en-US"/>
        </w:rPr>
        <w:t>t</w:t>
      </w:r>
      <w:r w:rsidR="00823F92">
        <w:rPr>
          <w:lang w:val="en-US"/>
        </w:rPr>
        <w:t xml:space="preserve">o </w:t>
      </w:r>
      <w:r>
        <w:rPr>
          <w:lang w:val="en-US"/>
        </w:rPr>
        <w:t>th</w:t>
      </w:r>
      <w:r w:rsidR="00823F92">
        <w:rPr>
          <w:lang w:val="en-US"/>
        </w:rPr>
        <w:t xml:space="preserve">e </w:t>
      </w:r>
      <w:r>
        <w:rPr>
          <w:lang w:val="en-US"/>
        </w:rPr>
        <w:t>breadt</w:t>
      </w:r>
      <w:r w:rsidR="00823F92">
        <w:rPr>
          <w:lang w:val="en-US"/>
        </w:rPr>
        <w:t xml:space="preserve">h </w:t>
      </w:r>
      <w:r>
        <w:rPr>
          <w:lang w:val="en-US"/>
        </w:rPr>
        <w:t>o</w:t>
      </w:r>
      <w:r w:rsidR="00823F92">
        <w:rPr>
          <w:lang w:val="en-US"/>
        </w:rPr>
        <w:t xml:space="preserve">f </w:t>
      </w:r>
      <w:r>
        <w:rPr>
          <w:lang w:val="en-US"/>
        </w:rPr>
        <w:t>menta</w:t>
      </w:r>
      <w:r w:rsidR="00823F92">
        <w:rPr>
          <w:lang w:val="en-US"/>
        </w:rPr>
        <w:t xml:space="preserve">l </w:t>
      </w:r>
      <w:r>
        <w:rPr>
          <w:lang w:val="en-US"/>
        </w:rPr>
        <w:t>healt</w:t>
      </w:r>
      <w:r w:rsidR="00823F92">
        <w:rPr>
          <w:lang w:val="en-US"/>
        </w:rPr>
        <w:t xml:space="preserve">h </w:t>
      </w:r>
      <w:r>
        <w:rPr>
          <w:lang w:val="en-US"/>
        </w:rPr>
        <w:t>relate</w:t>
      </w:r>
      <w:r w:rsidR="00823F92">
        <w:rPr>
          <w:lang w:val="en-US"/>
        </w:rPr>
        <w:t xml:space="preserve">d </w:t>
      </w:r>
      <w:r>
        <w:rPr>
          <w:lang w:val="en-US"/>
        </w:rPr>
        <w:t>setting</w:t>
      </w:r>
      <w:r w:rsidR="00823F92">
        <w:rPr>
          <w:lang w:val="en-US"/>
        </w:rPr>
        <w:t xml:space="preserve">s </w:t>
      </w:r>
      <w:r w:rsidR="00B53784">
        <w:rPr>
          <w:lang w:val="en-US"/>
        </w:rPr>
        <w:t>(includin</w:t>
      </w:r>
      <w:r w:rsidR="00823F92">
        <w:rPr>
          <w:lang w:val="en-US"/>
        </w:rPr>
        <w:t xml:space="preserve">g </w:t>
      </w:r>
      <w:r w:rsidR="00B53784">
        <w:rPr>
          <w:lang w:val="en-US"/>
        </w:rPr>
        <w:t>privat</w:t>
      </w:r>
      <w:r w:rsidR="00823F92">
        <w:rPr>
          <w:lang w:val="en-US"/>
        </w:rPr>
        <w:t xml:space="preserve">e </w:t>
      </w:r>
      <w:r w:rsidR="00B53784">
        <w:rPr>
          <w:lang w:val="en-US"/>
        </w:rPr>
        <w:t>an</w:t>
      </w:r>
      <w:r w:rsidR="00823F92">
        <w:rPr>
          <w:lang w:val="en-US"/>
        </w:rPr>
        <w:t xml:space="preserve">d </w:t>
      </w:r>
      <w:r w:rsidR="00B53784">
        <w:rPr>
          <w:lang w:val="en-US"/>
        </w:rPr>
        <w:t>communit</w:t>
      </w:r>
      <w:r w:rsidR="00823F92">
        <w:rPr>
          <w:lang w:val="en-US"/>
        </w:rPr>
        <w:t xml:space="preserve">y </w:t>
      </w:r>
      <w:r w:rsidR="00B53784">
        <w:rPr>
          <w:lang w:val="en-US"/>
        </w:rPr>
        <w:t>settings)</w:t>
      </w:r>
      <w:r w:rsidR="00823F92">
        <w:rPr>
          <w:lang w:val="en-US"/>
        </w:rPr>
        <w:t xml:space="preserve">. </w:t>
      </w:r>
      <w:r w:rsidR="000B5C5D">
        <w:rPr>
          <w:lang w:val="en-US"/>
        </w:rPr>
        <w:t>Thi</w:t>
      </w:r>
      <w:r w:rsidR="00823F92">
        <w:rPr>
          <w:lang w:val="en-US"/>
        </w:rPr>
        <w:t xml:space="preserve">s </w:t>
      </w:r>
      <w:r w:rsidR="000B5C5D">
        <w:rPr>
          <w:lang w:val="en-US"/>
        </w:rPr>
        <w:t>i</w:t>
      </w:r>
      <w:r w:rsidR="00823F92">
        <w:rPr>
          <w:lang w:val="en-US"/>
        </w:rPr>
        <w:t xml:space="preserve">s </w:t>
      </w:r>
      <w:r w:rsidR="000B5C5D">
        <w:rPr>
          <w:lang w:val="en-US"/>
        </w:rPr>
        <w:t>particularl</w:t>
      </w:r>
      <w:r w:rsidR="00823F92">
        <w:rPr>
          <w:lang w:val="en-US"/>
        </w:rPr>
        <w:t xml:space="preserve">y </w:t>
      </w:r>
      <w:r w:rsidR="000B5C5D">
        <w:rPr>
          <w:lang w:val="en-US"/>
        </w:rPr>
        <w:t>relevan</w:t>
      </w:r>
      <w:r w:rsidR="00823F92">
        <w:rPr>
          <w:lang w:val="en-US"/>
        </w:rPr>
        <w:t xml:space="preserve">t </w:t>
      </w:r>
      <w:r w:rsidR="000B5C5D">
        <w:rPr>
          <w:lang w:val="en-US"/>
        </w:rPr>
        <w:t>fo</w:t>
      </w:r>
      <w:r w:rsidR="00823F92">
        <w:rPr>
          <w:lang w:val="en-US"/>
        </w:rPr>
        <w:t xml:space="preserve">r </w:t>
      </w:r>
      <w:r w:rsidR="005753AD">
        <w:rPr>
          <w:lang w:val="en-US"/>
        </w:rPr>
        <w:t>GPs</w:t>
      </w:r>
      <w:r w:rsidR="00823F92">
        <w:rPr>
          <w:lang w:val="en-US"/>
        </w:rPr>
        <w:t xml:space="preserve">, </w:t>
      </w:r>
      <w:r w:rsidR="000B5C5D">
        <w:rPr>
          <w:lang w:val="en-US"/>
        </w:rPr>
        <w:t>nurses</w:t>
      </w:r>
      <w:r w:rsidR="00823F92">
        <w:rPr>
          <w:lang w:val="en-US"/>
        </w:rPr>
        <w:t xml:space="preserve">, </w:t>
      </w:r>
      <w:r w:rsidR="005753AD">
        <w:rPr>
          <w:lang w:val="en-US"/>
        </w:rPr>
        <w:t>occupationa</w:t>
      </w:r>
      <w:r w:rsidR="00823F92">
        <w:rPr>
          <w:lang w:val="en-US"/>
        </w:rPr>
        <w:t xml:space="preserve">l </w:t>
      </w:r>
      <w:r w:rsidR="005753AD">
        <w:rPr>
          <w:lang w:val="en-US"/>
        </w:rPr>
        <w:t>therapists</w:t>
      </w:r>
      <w:r w:rsidR="00823F92">
        <w:rPr>
          <w:lang w:val="en-US"/>
        </w:rPr>
        <w:t xml:space="preserve">, </w:t>
      </w:r>
      <w:r w:rsidR="000B5C5D">
        <w:rPr>
          <w:lang w:val="en-US"/>
        </w:rPr>
        <w:t>psychiatrist</w:t>
      </w:r>
      <w:r w:rsidR="00823F92">
        <w:rPr>
          <w:lang w:val="en-US"/>
        </w:rPr>
        <w:t xml:space="preserve">s </w:t>
      </w:r>
      <w:r w:rsidR="000B5C5D">
        <w:rPr>
          <w:lang w:val="en-US"/>
        </w:rPr>
        <w:t>an</w:t>
      </w:r>
      <w:r w:rsidR="00823F92">
        <w:rPr>
          <w:lang w:val="en-US"/>
        </w:rPr>
        <w:t xml:space="preserve">d </w:t>
      </w:r>
      <w:r w:rsidR="005753AD">
        <w:rPr>
          <w:lang w:val="en-US"/>
        </w:rPr>
        <w:t>socia</w:t>
      </w:r>
      <w:r w:rsidR="00823F92">
        <w:rPr>
          <w:lang w:val="en-US"/>
        </w:rPr>
        <w:t xml:space="preserve">l </w:t>
      </w:r>
      <w:r w:rsidR="005753AD">
        <w:rPr>
          <w:lang w:val="en-US"/>
        </w:rPr>
        <w:t>workers</w:t>
      </w:r>
      <w:r w:rsidR="000B5C5D">
        <w:rPr>
          <w:lang w:val="en-US"/>
        </w:rPr>
        <w:t>.</w:t>
      </w:r>
      <w:r w:rsidR="005753AD">
        <w:rPr>
          <w:rStyle w:val="FootnoteReference"/>
          <w:lang w:val="en-US"/>
        </w:rPr>
        <w:footnoteReference w:id="24"/>
      </w:r>
      <w:r w:rsidR="000B5C5D">
        <w:rPr>
          <w:lang w:val="en-US"/>
        </w:rPr>
        <w:t xml:space="preserve"> </w:t>
      </w:r>
      <w:r>
        <w:rPr>
          <w:lang w:val="en-US"/>
        </w:rPr>
        <w:t>Fo</w:t>
      </w:r>
      <w:r w:rsidR="00823F92">
        <w:rPr>
          <w:lang w:val="en-US"/>
        </w:rPr>
        <w:t xml:space="preserve">r </w:t>
      </w:r>
      <w:r w:rsidR="000B5C5D">
        <w:rPr>
          <w:lang w:val="en-US"/>
        </w:rPr>
        <w:t>othe</w:t>
      </w:r>
      <w:r w:rsidR="00823F92">
        <w:rPr>
          <w:lang w:val="en-US"/>
        </w:rPr>
        <w:t xml:space="preserve">r </w:t>
      </w:r>
      <w:r w:rsidR="000B5C5D">
        <w:rPr>
          <w:lang w:val="en-US"/>
        </w:rPr>
        <w:t>occupations</w:t>
      </w:r>
      <w:r w:rsidR="00823F92">
        <w:rPr>
          <w:lang w:val="en-US"/>
        </w:rPr>
        <w:t xml:space="preserve">, </w:t>
      </w:r>
      <w:r>
        <w:rPr>
          <w:lang w:val="en-US"/>
        </w:rPr>
        <w:t>ther</w:t>
      </w:r>
      <w:r w:rsidR="00823F92">
        <w:rPr>
          <w:lang w:val="en-US"/>
        </w:rPr>
        <w:t xml:space="preserve">e </w:t>
      </w:r>
      <w:r>
        <w:rPr>
          <w:lang w:val="en-US"/>
        </w:rPr>
        <w:t>i</w:t>
      </w:r>
      <w:r w:rsidR="00823F92">
        <w:rPr>
          <w:lang w:val="en-US"/>
        </w:rPr>
        <w:t xml:space="preserve">s </w:t>
      </w:r>
      <w:r>
        <w:rPr>
          <w:lang w:val="en-US"/>
        </w:rPr>
        <w:t>ofte</w:t>
      </w:r>
      <w:r w:rsidR="00823F92">
        <w:rPr>
          <w:lang w:val="en-US"/>
        </w:rPr>
        <w:t xml:space="preserve">n </w:t>
      </w:r>
      <w:r>
        <w:rPr>
          <w:lang w:val="en-US"/>
        </w:rPr>
        <w:t>limite</w:t>
      </w:r>
      <w:r w:rsidR="00823F92">
        <w:rPr>
          <w:lang w:val="en-US"/>
        </w:rPr>
        <w:t xml:space="preserve">d </w:t>
      </w:r>
      <w:r>
        <w:rPr>
          <w:lang w:val="en-US"/>
        </w:rPr>
        <w:t>acces</w:t>
      </w:r>
      <w:r w:rsidR="00823F92">
        <w:rPr>
          <w:lang w:val="en-US"/>
        </w:rPr>
        <w:t xml:space="preserve">s </w:t>
      </w:r>
      <w:r>
        <w:rPr>
          <w:lang w:val="en-US"/>
        </w:rPr>
        <w:t>t</w:t>
      </w:r>
      <w:r w:rsidR="00823F92">
        <w:rPr>
          <w:lang w:val="en-US"/>
        </w:rPr>
        <w:t xml:space="preserve">o </w:t>
      </w:r>
      <w:r>
        <w:rPr>
          <w:lang w:val="en-US"/>
        </w:rPr>
        <w:t>placement</w:t>
      </w:r>
      <w:r w:rsidR="00823F92">
        <w:rPr>
          <w:lang w:val="en-US"/>
        </w:rPr>
        <w:t xml:space="preserve">s </w:t>
      </w:r>
      <w:r>
        <w:rPr>
          <w:lang w:val="en-US"/>
        </w:rPr>
        <w:t>i</w:t>
      </w:r>
      <w:r w:rsidR="00823F92">
        <w:rPr>
          <w:lang w:val="en-US"/>
        </w:rPr>
        <w:t xml:space="preserve">n </w:t>
      </w:r>
      <w:r>
        <w:rPr>
          <w:lang w:val="en-US"/>
        </w:rPr>
        <w:t>an</w:t>
      </w:r>
      <w:r w:rsidR="00823F92">
        <w:rPr>
          <w:lang w:val="en-US"/>
        </w:rPr>
        <w:t xml:space="preserve">y </w:t>
      </w:r>
      <w:r>
        <w:rPr>
          <w:lang w:val="en-US"/>
        </w:rPr>
        <w:t>menta</w:t>
      </w:r>
      <w:r w:rsidR="00823F92">
        <w:rPr>
          <w:lang w:val="en-US"/>
        </w:rPr>
        <w:t xml:space="preserve">l </w:t>
      </w:r>
      <w:r>
        <w:rPr>
          <w:lang w:val="en-US"/>
        </w:rPr>
        <w:t>healt</w:t>
      </w:r>
      <w:r w:rsidR="00823F92">
        <w:rPr>
          <w:lang w:val="en-US"/>
        </w:rPr>
        <w:t xml:space="preserve">h </w:t>
      </w:r>
      <w:r>
        <w:rPr>
          <w:lang w:val="en-US"/>
        </w:rPr>
        <w:t>settin</w:t>
      </w:r>
      <w:r w:rsidR="00823F92">
        <w:rPr>
          <w:lang w:val="en-US"/>
        </w:rPr>
        <w:t xml:space="preserve">g </w:t>
      </w:r>
      <w:r>
        <w:rPr>
          <w:lang w:val="en-US"/>
        </w:rPr>
        <w:t>– wit</w:t>
      </w:r>
      <w:r w:rsidR="00823F92">
        <w:rPr>
          <w:lang w:val="en-US"/>
        </w:rPr>
        <w:t xml:space="preserve">h </w:t>
      </w:r>
      <w:r>
        <w:rPr>
          <w:lang w:val="en-US"/>
        </w:rPr>
        <w:t>placement</w:t>
      </w:r>
      <w:r w:rsidR="00823F92">
        <w:rPr>
          <w:lang w:val="en-US"/>
        </w:rPr>
        <w:t xml:space="preserve">s </w:t>
      </w:r>
      <w:r>
        <w:rPr>
          <w:lang w:val="en-US"/>
        </w:rPr>
        <w:t>generall</w:t>
      </w:r>
      <w:r w:rsidR="00823F92">
        <w:rPr>
          <w:lang w:val="en-US"/>
        </w:rPr>
        <w:t xml:space="preserve">y </w:t>
      </w:r>
      <w:r>
        <w:rPr>
          <w:lang w:val="en-US"/>
        </w:rPr>
        <w:t>hoste</w:t>
      </w:r>
      <w:r w:rsidR="00823F92">
        <w:rPr>
          <w:lang w:val="en-US"/>
        </w:rPr>
        <w:t xml:space="preserve">d </w:t>
      </w:r>
      <w:r>
        <w:rPr>
          <w:lang w:val="en-US"/>
        </w:rPr>
        <w:t>i</w:t>
      </w:r>
      <w:r w:rsidR="00823F92">
        <w:rPr>
          <w:lang w:val="en-US"/>
        </w:rPr>
        <w:t xml:space="preserve">n </w:t>
      </w:r>
      <w:r w:rsidR="00B53784">
        <w:rPr>
          <w:lang w:val="en-US"/>
        </w:rPr>
        <w:t>broade</w:t>
      </w:r>
      <w:r w:rsidR="00823F92">
        <w:rPr>
          <w:lang w:val="en-US"/>
        </w:rPr>
        <w:t xml:space="preserve">r </w:t>
      </w:r>
      <w:r>
        <w:rPr>
          <w:lang w:val="en-US"/>
        </w:rPr>
        <w:t>healt</w:t>
      </w:r>
      <w:r w:rsidR="00823F92">
        <w:rPr>
          <w:lang w:val="en-US"/>
        </w:rPr>
        <w:t xml:space="preserve">h </w:t>
      </w:r>
      <w:r>
        <w:rPr>
          <w:lang w:val="en-US"/>
        </w:rPr>
        <w:t>settings</w:t>
      </w:r>
      <w:r w:rsidR="00823F92">
        <w:rPr>
          <w:lang w:val="en-US"/>
        </w:rPr>
        <w:t xml:space="preserve">. </w:t>
      </w:r>
      <w:r>
        <w:rPr>
          <w:lang w:val="en-US"/>
        </w:rPr>
        <w:t>Thi</w:t>
      </w:r>
      <w:r w:rsidR="00823F92">
        <w:rPr>
          <w:lang w:val="en-US"/>
        </w:rPr>
        <w:t xml:space="preserve">s </w:t>
      </w:r>
      <w:r>
        <w:rPr>
          <w:lang w:val="en-US"/>
        </w:rPr>
        <w:t>reduce</w:t>
      </w:r>
      <w:r w:rsidR="00823F92">
        <w:rPr>
          <w:lang w:val="en-US"/>
        </w:rPr>
        <w:t xml:space="preserve">s </w:t>
      </w:r>
      <w:r>
        <w:rPr>
          <w:lang w:val="en-US"/>
        </w:rPr>
        <w:t>th</w:t>
      </w:r>
      <w:r w:rsidR="00823F92">
        <w:rPr>
          <w:lang w:val="en-US"/>
        </w:rPr>
        <w:t xml:space="preserve">e </w:t>
      </w:r>
      <w:r>
        <w:rPr>
          <w:lang w:val="en-US"/>
        </w:rPr>
        <w:t>visibilit</w:t>
      </w:r>
      <w:r w:rsidR="00823F92">
        <w:rPr>
          <w:lang w:val="en-US"/>
        </w:rPr>
        <w:t xml:space="preserve">y </w:t>
      </w:r>
      <w:r>
        <w:rPr>
          <w:lang w:val="en-US"/>
        </w:rPr>
        <w:t>o</w:t>
      </w:r>
      <w:r w:rsidR="00823F92">
        <w:rPr>
          <w:lang w:val="en-US"/>
        </w:rPr>
        <w:t xml:space="preserve">f </w:t>
      </w:r>
      <w:r>
        <w:rPr>
          <w:lang w:val="en-US"/>
        </w:rPr>
        <w:t>menta</w:t>
      </w:r>
      <w:r w:rsidR="00823F92">
        <w:rPr>
          <w:lang w:val="en-US"/>
        </w:rPr>
        <w:t xml:space="preserve">l </w:t>
      </w:r>
      <w:r>
        <w:rPr>
          <w:lang w:val="en-US"/>
        </w:rPr>
        <w:t>healt</w:t>
      </w:r>
      <w:r w:rsidR="00823F92">
        <w:rPr>
          <w:lang w:val="en-US"/>
        </w:rPr>
        <w:t xml:space="preserve">h </w:t>
      </w:r>
      <w:r>
        <w:rPr>
          <w:lang w:val="en-US"/>
        </w:rPr>
        <w:t>a</w:t>
      </w:r>
      <w:r w:rsidR="00823F92">
        <w:rPr>
          <w:lang w:val="en-US"/>
        </w:rPr>
        <w:t xml:space="preserve">s a </w:t>
      </w:r>
      <w:r>
        <w:rPr>
          <w:lang w:val="en-US"/>
        </w:rPr>
        <w:t>potentia</w:t>
      </w:r>
      <w:r w:rsidR="00823F92">
        <w:rPr>
          <w:lang w:val="en-US"/>
        </w:rPr>
        <w:t xml:space="preserve">l </w:t>
      </w:r>
      <w:r>
        <w:rPr>
          <w:lang w:val="en-US"/>
        </w:rPr>
        <w:t>pathway</w:t>
      </w:r>
      <w:r w:rsidR="00823F92">
        <w:rPr>
          <w:lang w:val="en-US"/>
        </w:rPr>
        <w:t xml:space="preserve">. </w:t>
      </w:r>
    </w:p>
    <w:p w14:paraId="033085EE" w14:textId="7CCB6CE5" w:rsidR="00453F15" w:rsidRDefault="00453F15" w:rsidP="003B4A14">
      <w:pPr>
        <w:pStyle w:val="Heading2"/>
      </w:pPr>
      <w:bookmarkStart w:id="18" w:name="_Toc99018990"/>
      <w:r>
        <w:t>Workforc</w:t>
      </w:r>
      <w:r w:rsidR="00823F92">
        <w:t xml:space="preserve">e </w:t>
      </w:r>
      <w:r>
        <w:t>data</w:t>
      </w:r>
      <w:bookmarkEnd w:id="18"/>
    </w:p>
    <w:p w14:paraId="6FA7D935" w14:textId="15D88C93" w:rsidR="00453F15" w:rsidRPr="002E63D2" w:rsidRDefault="00453F15" w:rsidP="005A62C6">
      <w:pPr>
        <w:pStyle w:val="Heading3nonumber"/>
        <w:keepNext/>
      </w:pPr>
      <w:r>
        <w:t>Lac</w:t>
      </w:r>
      <w:r w:rsidR="00823F92">
        <w:t xml:space="preserve">k </w:t>
      </w:r>
      <w:r>
        <w:t>o</w:t>
      </w:r>
      <w:r w:rsidR="00823F92">
        <w:t xml:space="preserve">f </w:t>
      </w:r>
      <w:r>
        <w:t>data</w:t>
      </w:r>
    </w:p>
    <w:p w14:paraId="23A492BF" w14:textId="7D878249" w:rsidR="004B2164" w:rsidRDefault="00453F15" w:rsidP="004B2164">
      <w:pPr>
        <w:pStyle w:val="BodyText"/>
      </w:pPr>
      <w:r w:rsidRPr="006C4490">
        <w:t>Ther</w:t>
      </w:r>
      <w:r w:rsidR="00823F92" w:rsidRPr="006C4490">
        <w:t>e</w:t>
      </w:r>
      <w:r w:rsidR="00823F92">
        <w:t xml:space="preserve"> </w:t>
      </w:r>
      <w:r w:rsidRPr="006C4490">
        <w:t>i</w:t>
      </w:r>
      <w:r w:rsidR="00823F92" w:rsidRPr="006C4490">
        <w:t>s</w:t>
      </w:r>
      <w:r w:rsidR="00823F92">
        <w:t xml:space="preserve"> </w:t>
      </w:r>
      <w:r w:rsidRPr="006C4490">
        <w:t>a</w:t>
      </w:r>
      <w:r w:rsidR="00823F92" w:rsidRPr="006C4490">
        <w:t>n</w:t>
      </w:r>
      <w:r w:rsidR="00823F92">
        <w:t xml:space="preserve"> </w:t>
      </w:r>
      <w:r w:rsidRPr="006C4490">
        <w:t>acknowledge</w:t>
      </w:r>
      <w:r w:rsidR="00823F92" w:rsidRPr="006C4490">
        <w:t>d</w:t>
      </w:r>
      <w:r w:rsidR="00823F92">
        <w:t xml:space="preserve"> </w:t>
      </w:r>
      <w:r w:rsidRPr="006C4490">
        <w:t>lac</w:t>
      </w:r>
      <w:r w:rsidR="00823F92" w:rsidRPr="006C4490">
        <w:t>k</w:t>
      </w:r>
      <w:r w:rsidR="00823F92">
        <w:t xml:space="preserve"> </w:t>
      </w:r>
      <w:r w:rsidRPr="006C4490">
        <w:t>o</w:t>
      </w:r>
      <w:r w:rsidR="00823F92" w:rsidRPr="006C4490">
        <w:t>f</w:t>
      </w:r>
      <w:r w:rsidR="00823F92">
        <w:t xml:space="preserve"> </w:t>
      </w:r>
      <w:r w:rsidRPr="006C4490">
        <w:t>comprehensiv</w:t>
      </w:r>
      <w:r w:rsidR="00823F92" w:rsidRPr="006C4490">
        <w:t>e</w:t>
      </w:r>
      <w:r w:rsidR="00823F92">
        <w:t xml:space="preserve"> </w:t>
      </w:r>
      <w:r w:rsidRPr="006C4490">
        <w:t>dat</w:t>
      </w:r>
      <w:r w:rsidR="00823F92" w:rsidRPr="006C4490">
        <w:t>a</w:t>
      </w:r>
      <w:r w:rsidR="00823F92">
        <w:t xml:space="preserve"> </w:t>
      </w:r>
      <w:r w:rsidRPr="006C4490">
        <w:t>abou</w:t>
      </w:r>
      <w:r w:rsidR="00823F92" w:rsidRPr="006C4490">
        <w:t>t</w:t>
      </w:r>
      <w:r w:rsidR="00823F92">
        <w:t xml:space="preserve"> </w:t>
      </w:r>
      <w:r w:rsidRPr="006C4490">
        <w:t>th</w:t>
      </w:r>
      <w:r w:rsidR="00823F92" w:rsidRPr="006C4490">
        <w:t>e</w:t>
      </w:r>
      <w:r w:rsidR="00823F92">
        <w:t xml:space="preserve"> </w:t>
      </w:r>
      <w:r w:rsidRPr="006C4490">
        <w:t>menta</w:t>
      </w:r>
      <w:r w:rsidR="00823F92" w:rsidRPr="006C4490">
        <w:t>l</w:t>
      </w:r>
      <w:r w:rsidR="00823F92">
        <w:t xml:space="preserve"> </w:t>
      </w:r>
      <w:r w:rsidRPr="006C4490">
        <w:t>healt</w:t>
      </w:r>
      <w:r w:rsidR="00823F92" w:rsidRPr="006C4490">
        <w:t>h</w:t>
      </w:r>
      <w:r w:rsidR="00823F92">
        <w:t xml:space="preserve"> </w:t>
      </w:r>
      <w:r w:rsidRPr="006C4490">
        <w:t>workforc</w:t>
      </w:r>
      <w:r w:rsidR="00823F92" w:rsidRPr="006C4490">
        <w:t>e</w:t>
      </w:r>
      <w:r w:rsidR="00823F92">
        <w:t xml:space="preserve"> </w:t>
      </w:r>
      <w:r w:rsidRPr="006C4490">
        <w:t>tha</w:t>
      </w:r>
      <w:r w:rsidR="00823F92" w:rsidRPr="006C4490">
        <w:t>t</w:t>
      </w:r>
      <w:r w:rsidR="00823F92">
        <w:t xml:space="preserve"> </w:t>
      </w:r>
      <w:r w:rsidRPr="006C4490">
        <w:t>impede</w:t>
      </w:r>
      <w:r w:rsidR="00823F92" w:rsidRPr="006C4490">
        <w:t>s</w:t>
      </w:r>
      <w:r w:rsidR="00823F92">
        <w:t xml:space="preserve"> </w:t>
      </w:r>
      <w:r w:rsidRPr="006C4490">
        <w:t>workforc</w:t>
      </w:r>
      <w:r w:rsidR="00823F92" w:rsidRPr="006C4490">
        <w:t>e</w:t>
      </w:r>
      <w:r w:rsidR="00823F92">
        <w:t xml:space="preserve"> </w:t>
      </w:r>
      <w:r w:rsidRPr="006C4490">
        <w:t>planning</w:t>
      </w:r>
      <w:r w:rsidR="00823F92" w:rsidRPr="006C4490">
        <w:t>.</w:t>
      </w:r>
      <w:r w:rsidR="00823F92">
        <w:t xml:space="preserve"> </w:t>
      </w:r>
      <w:r w:rsidRPr="006C4490">
        <w:t>Thi</w:t>
      </w:r>
      <w:r w:rsidR="00823F92" w:rsidRPr="006C4490">
        <w:t>s</w:t>
      </w:r>
      <w:r w:rsidR="00823F92">
        <w:t xml:space="preserve"> </w:t>
      </w:r>
      <w:r w:rsidRPr="006C4490">
        <w:t>i</w:t>
      </w:r>
      <w:r w:rsidR="00823F92" w:rsidRPr="006C4490">
        <w:t>s</w:t>
      </w:r>
      <w:r w:rsidR="00823F92">
        <w:t xml:space="preserve"> </w:t>
      </w:r>
      <w:r w:rsidRPr="006C4490">
        <w:t>particularl</w:t>
      </w:r>
      <w:r w:rsidR="00823F92" w:rsidRPr="006C4490">
        <w:t>y</w:t>
      </w:r>
      <w:r w:rsidR="00823F92">
        <w:t xml:space="preserve"> </w:t>
      </w:r>
      <w:r w:rsidRPr="006C4490">
        <w:t>apparen</w:t>
      </w:r>
      <w:r w:rsidR="00823F92" w:rsidRPr="006C4490">
        <w:t>t</w:t>
      </w:r>
      <w:r w:rsidR="00823F92">
        <w:t xml:space="preserve"> </w:t>
      </w:r>
      <w:r w:rsidRPr="006C4490">
        <w:t>fo</w:t>
      </w:r>
      <w:r w:rsidR="00823F92" w:rsidRPr="006C4490">
        <w:t>r</w:t>
      </w:r>
      <w:r w:rsidR="00823F92">
        <w:t xml:space="preserve"> </w:t>
      </w:r>
      <w:r w:rsidR="00CF618A">
        <w:t>occupation</w:t>
      </w:r>
      <w:r w:rsidR="00823F92">
        <w:t xml:space="preserve">s </w:t>
      </w:r>
      <w:r w:rsidR="00CF618A">
        <w:t>tha</w:t>
      </w:r>
      <w:r w:rsidR="00823F92">
        <w:t xml:space="preserve">t </w:t>
      </w:r>
      <w:r w:rsidR="009125CF">
        <w:t>ar</w:t>
      </w:r>
      <w:r w:rsidR="00823F92">
        <w:t xml:space="preserve">e </w:t>
      </w:r>
      <w:r w:rsidR="009125CF">
        <w:t>no</w:t>
      </w:r>
      <w:r w:rsidR="00823F92">
        <w:t xml:space="preserve">t </w:t>
      </w:r>
      <w:r w:rsidR="009125CF">
        <w:t>regulate</w:t>
      </w:r>
      <w:r w:rsidR="00823F92">
        <w:t xml:space="preserve">d </w:t>
      </w:r>
      <w:r w:rsidR="009125CF">
        <w:t>unde</w:t>
      </w:r>
      <w:r w:rsidR="00823F92">
        <w:t xml:space="preserve">r </w:t>
      </w:r>
      <w:r w:rsidR="009125CF">
        <w:t>AHPR</w:t>
      </w:r>
      <w:r w:rsidR="00823F92">
        <w:t xml:space="preserve">A </w:t>
      </w:r>
      <w:r w:rsidR="000F6865">
        <w:t>(includin</w:t>
      </w:r>
      <w:r w:rsidR="00823F92">
        <w:t xml:space="preserve">g </w:t>
      </w:r>
      <w:r w:rsidR="000F6865">
        <w:t>self-regulate</w:t>
      </w:r>
      <w:r w:rsidR="00823F92">
        <w:t xml:space="preserve">d </w:t>
      </w:r>
      <w:r w:rsidR="000F6865">
        <w:t>o</w:t>
      </w:r>
      <w:r w:rsidR="00823F92">
        <w:t xml:space="preserve">r </w:t>
      </w:r>
      <w:r w:rsidR="000F6865">
        <w:t>unregulate</w:t>
      </w:r>
      <w:r w:rsidR="00823F92">
        <w:t xml:space="preserve">d </w:t>
      </w:r>
      <w:r w:rsidR="000F6865">
        <w:t>professions)</w:t>
      </w:r>
      <w:r w:rsidR="00823F92">
        <w:t xml:space="preserve">, </w:t>
      </w:r>
      <w:r w:rsidRPr="006C4490">
        <w:t>th</w:t>
      </w:r>
      <w:r w:rsidR="00823F92" w:rsidRPr="006C4490">
        <w:t>e</w:t>
      </w:r>
      <w:r w:rsidR="00823F92">
        <w:t xml:space="preserve"> </w:t>
      </w:r>
      <w:r w:rsidRPr="006C4490">
        <w:t>communit</w:t>
      </w:r>
      <w:r w:rsidR="00823F92" w:rsidRPr="006C4490">
        <w:t>y</w:t>
      </w:r>
      <w:r w:rsidR="00823F92">
        <w:t xml:space="preserve"> </w:t>
      </w:r>
      <w:r w:rsidRPr="006C4490">
        <w:t>manage</w:t>
      </w:r>
      <w:r w:rsidR="00823F92" w:rsidRPr="006C4490">
        <w:t>d</w:t>
      </w:r>
      <w:r w:rsidR="00823F92">
        <w:t xml:space="preserve"> </w:t>
      </w:r>
      <w:r w:rsidRPr="006C4490">
        <w:t>secto</w:t>
      </w:r>
      <w:r w:rsidR="00823F92" w:rsidRPr="006C4490">
        <w:t>r</w:t>
      </w:r>
      <w:r w:rsidR="00823F92">
        <w:t xml:space="preserve"> </w:t>
      </w:r>
      <w:r>
        <w:t>workforc</w:t>
      </w:r>
      <w:r w:rsidR="00823F92">
        <w:t xml:space="preserve">e </w:t>
      </w:r>
      <w:r w:rsidR="009125CF">
        <w:t>wher</w:t>
      </w:r>
      <w:r w:rsidR="00823F92">
        <w:t xml:space="preserve">e </w:t>
      </w:r>
      <w:r w:rsidR="009125CF">
        <w:t>nationall</w:t>
      </w:r>
      <w:r w:rsidR="00823F92">
        <w:t xml:space="preserve">y </w:t>
      </w:r>
      <w:r w:rsidR="009125CF">
        <w:t>consisten</w:t>
      </w:r>
      <w:r w:rsidR="00823F92">
        <w:t xml:space="preserve">t </w:t>
      </w:r>
      <w:r w:rsidR="009125CF">
        <w:t>dat</w:t>
      </w:r>
      <w:r w:rsidR="00823F92">
        <w:t xml:space="preserve">a </w:t>
      </w:r>
      <w:r w:rsidR="009125CF">
        <w:t>regardin</w:t>
      </w:r>
      <w:r w:rsidR="00823F92">
        <w:t xml:space="preserve">g </w:t>
      </w:r>
      <w:r w:rsidR="009125CF">
        <w:t>workforc</w:t>
      </w:r>
      <w:r w:rsidR="00823F92">
        <w:t xml:space="preserve">e </w:t>
      </w:r>
      <w:r>
        <w:t>siz</w:t>
      </w:r>
      <w:r w:rsidR="00823F92">
        <w:t xml:space="preserve">e </w:t>
      </w:r>
      <w:r>
        <w:t>an</w:t>
      </w:r>
      <w:r w:rsidR="00823F92">
        <w:t xml:space="preserve">d </w:t>
      </w:r>
      <w:r>
        <w:t>compositio</w:t>
      </w:r>
      <w:r w:rsidR="00823F92">
        <w:t xml:space="preserve">n </w:t>
      </w:r>
      <w:r>
        <w:t>b</w:t>
      </w:r>
      <w:r w:rsidR="00823F92">
        <w:t xml:space="preserve">y </w:t>
      </w:r>
      <w:r>
        <w:t>occupatio</w:t>
      </w:r>
      <w:r w:rsidR="00823F92">
        <w:t xml:space="preserve">n </w:t>
      </w:r>
      <w:r w:rsidR="00D83F9B">
        <w:t>ar</w:t>
      </w:r>
      <w:r w:rsidR="00823F92">
        <w:t xml:space="preserve">e </w:t>
      </w:r>
      <w:r w:rsidR="00D83F9B">
        <w:t>no</w:t>
      </w:r>
      <w:r w:rsidR="00823F92">
        <w:t xml:space="preserve">t </w:t>
      </w:r>
      <w:r w:rsidR="00D83F9B">
        <w:t>available</w:t>
      </w:r>
      <w:r w:rsidRPr="006C4490">
        <w:t>.</w:t>
      </w:r>
      <w:r w:rsidRPr="006C4490">
        <w:rPr>
          <w:rStyle w:val="FootnoteReference"/>
        </w:rPr>
        <w:footnoteReference w:id="25"/>
      </w:r>
      <w:r w:rsidR="003E15C4">
        <w:t xml:space="preserve"> </w:t>
      </w:r>
      <w:r w:rsidR="006B4D62">
        <w:t>Ther</w:t>
      </w:r>
      <w:r w:rsidR="00823F92">
        <w:t xml:space="preserve">e </w:t>
      </w:r>
      <w:r w:rsidR="00C44F6A">
        <w:t>ar</w:t>
      </w:r>
      <w:r w:rsidR="00823F92">
        <w:t xml:space="preserve">e </w:t>
      </w:r>
      <w:r w:rsidR="006B4D62">
        <w:t>als</w:t>
      </w:r>
      <w:r w:rsidR="00823F92">
        <w:t xml:space="preserve">o </w:t>
      </w:r>
      <w:r w:rsidR="006B4D62">
        <w:t>difficultie</w:t>
      </w:r>
      <w:r w:rsidR="00823F92">
        <w:t xml:space="preserve">s </w:t>
      </w:r>
      <w:r w:rsidR="006B4D62">
        <w:t>i</w:t>
      </w:r>
      <w:r w:rsidR="00823F92">
        <w:t xml:space="preserve">n </w:t>
      </w:r>
      <w:r w:rsidR="006B4D62">
        <w:t>accessin</w:t>
      </w:r>
      <w:r w:rsidR="00823F92">
        <w:t xml:space="preserve">g </w:t>
      </w:r>
      <w:r w:rsidR="006B4D62">
        <w:t>dat</w:t>
      </w:r>
      <w:r w:rsidR="00823F92">
        <w:t xml:space="preserve">a </w:t>
      </w:r>
      <w:r w:rsidR="006B4D62">
        <w:t>o</w:t>
      </w:r>
      <w:r w:rsidR="00823F92">
        <w:t xml:space="preserve">n </w:t>
      </w:r>
      <w:r w:rsidR="006B4D62">
        <w:t>th</w:t>
      </w:r>
      <w:r w:rsidR="00823F92">
        <w:t xml:space="preserve">e </w:t>
      </w:r>
      <w:r w:rsidR="006B4D62">
        <w:t>siz</w:t>
      </w:r>
      <w:r w:rsidR="00823F92">
        <w:t xml:space="preserve">e </w:t>
      </w:r>
      <w:r w:rsidR="006B4D62">
        <w:t>o</w:t>
      </w:r>
      <w:r w:rsidR="00823F92">
        <w:t xml:space="preserve">f </w:t>
      </w:r>
      <w:r w:rsidR="006B4D62">
        <w:t>th</w:t>
      </w:r>
      <w:r w:rsidR="00823F92">
        <w:t xml:space="preserve">e </w:t>
      </w:r>
      <w:r w:rsidR="006B4D62">
        <w:t>Aborigina</w:t>
      </w:r>
      <w:r w:rsidR="00823F92">
        <w:t xml:space="preserve">l </w:t>
      </w:r>
      <w:r w:rsidR="006B4D62">
        <w:t>an</w:t>
      </w:r>
      <w:r w:rsidR="00823F92">
        <w:t xml:space="preserve">d </w:t>
      </w:r>
      <w:r w:rsidR="006B4D62">
        <w:t>Torre</w:t>
      </w:r>
      <w:r w:rsidR="00823F92">
        <w:t xml:space="preserve">s </w:t>
      </w:r>
      <w:r w:rsidR="006B4D62">
        <w:t>Strai</w:t>
      </w:r>
      <w:r w:rsidR="00823F92">
        <w:t xml:space="preserve">t </w:t>
      </w:r>
      <w:r w:rsidR="006B4D62">
        <w:t>Islande</w:t>
      </w:r>
      <w:r w:rsidR="00823F92">
        <w:t xml:space="preserve">r </w:t>
      </w:r>
      <w:r w:rsidR="006B4D62">
        <w:t>workforce</w:t>
      </w:r>
      <w:r w:rsidR="00823F92">
        <w:t xml:space="preserve">, </w:t>
      </w:r>
      <w:r w:rsidR="00F30E27">
        <w:t>wit</w:t>
      </w:r>
      <w:r w:rsidR="00823F92">
        <w:t xml:space="preserve">h </w:t>
      </w:r>
      <w:r w:rsidR="00F30E27">
        <w:t>limite</w:t>
      </w:r>
      <w:r w:rsidR="00823F92">
        <w:t xml:space="preserve">d </w:t>
      </w:r>
      <w:r w:rsidR="00F30E27">
        <w:t>distinctio</w:t>
      </w:r>
      <w:r w:rsidR="00823F92">
        <w:t xml:space="preserve">n </w:t>
      </w:r>
      <w:r w:rsidR="00F30E27">
        <w:t>i</w:t>
      </w:r>
      <w:r w:rsidR="00823F92">
        <w:t xml:space="preserve">n </w:t>
      </w:r>
      <w:r w:rsidR="00F30E27">
        <w:t>th</w:t>
      </w:r>
      <w:r w:rsidR="00823F92">
        <w:t xml:space="preserve">e </w:t>
      </w:r>
      <w:r w:rsidR="00F30E27">
        <w:t>dat</w:t>
      </w:r>
      <w:r w:rsidR="00823F92">
        <w:t xml:space="preserve">a </w:t>
      </w:r>
      <w:r w:rsidR="00F30E27">
        <w:t>betwee</w:t>
      </w:r>
      <w:r w:rsidR="00823F92">
        <w:t xml:space="preserve">n </w:t>
      </w:r>
      <w:r w:rsidR="00F30E27" w:rsidRPr="00F30E27">
        <w:t>worker</w:t>
      </w:r>
      <w:r w:rsidR="00823F92" w:rsidRPr="00F30E27">
        <w:t>s</w:t>
      </w:r>
      <w:r w:rsidR="00823F92">
        <w:t xml:space="preserve"> </w:t>
      </w:r>
      <w:r w:rsidR="00F30E27" w:rsidRPr="00F30E27">
        <w:t>whos</w:t>
      </w:r>
      <w:r w:rsidR="00823F92" w:rsidRPr="00F30E27">
        <w:t>e</w:t>
      </w:r>
      <w:r w:rsidR="00823F92">
        <w:t xml:space="preserve"> </w:t>
      </w:r>
      <w:r w:rsidR="00F30E27" w:rsidRPr="00F30E27">
        <w:t>primar</w:t>
      </w:r>
      <w:r w:rsidR="00823F92" w:rsidRPr="00F30E27">
        <w:t>y</w:t>
      </w:r>
      <w:r w:rsidR="00823F92">
        <w:t xml:space="preserve"> </w:t>
      </w:r>
      <w:r w:rsidR="00F30E27" w:rsidRPr="00F30E27">
        <w:t>rol</w:t>
      </w:r>
      <w:r w:rsidR="00823F92" w:rsidRPr="00F30E27">
        <w:t>e</w:t>
      </w:r>
      <w:r w:rsidR="00823F92">
        <w:t xml:space="preserve"> </w:t>
      </w:r>
      <w:r w:rsidR="00F30E27" w:rsidRPr="00F30E27">
        <w:t>i</w:t>
      </w:r>
      <w:r w:rsidR="00823F92" w:rsidRPr="00F30E27">
        <w:t>s</w:t>
      </w:r>
      <w:r w:rsidR="00823F92">
        <w:t xml:space="preserve"> </w:t>
      </w:r>
      <w:r w:rsidR="00F30E27" w:rsidRPr="00F30E27">
        <w:t>t</w:t>
      </w:r>
      <w:r w:rsidR="00823F92" w:rsidRPr="00F30E27">
        <w:t>o</w:t>
      </w:r>
      <w:r w:rsidR="00823F92">
        <w:t xml:space="preserve"> </w:t>
      </w:r>
      <w:r w:rsidR="00F30E27" w:rsidRPr="00F30E27">
        <w:t>provid</w:t>
      </w:r>
      <w:r w:rsidR="00823F92" w:rsidRPr="00F30E27">
        <w:t>e</w:t>
      </w:r>
      <w:r w:rsidR="00823F92">
        <w:t xml:space="preserve"> </w:t>
      </w:r>
      <w:r w:rsidR="00F30E27" w:rsidRPr="00F30E27">
        <w:t>menta</w:t>
      </w:r>
      <w:r w:rsidR="00823F92" w:rsidRPr="00F30E27">
        <w:t>l</w:t>
      </w:r>
      <w:r w:rsidR="00823F92">
        <w:t xml:space="preserve"> </w:t>
      </w:r>
      <w:r w:rsidR="00F30E27" w:rsidRPr="00F30E27">
        <w:t>healt</w:t>
      </w:r>
      <w:r w:rsidR="00823F92" w:rsidRPr="00F30E27">
        <w:t>h</w:t>
      </w:r>
      <w:r w:rsidR="00823F92">
        <w:t xml:space="preserve"> </w:t>
      </w:r>
      <w:r w:rsidR="00F30E27" w:rsidRPr="00F30E27">
        <w:t>car</w:t>
      </w:r>
      <w:r w:rsidR="00823F92" w:rsidRPr="00F30E27">
        <w:t>e</w:t>
      </w:r>
      <w:r w:rsidR="00823F92">
        <w:t xml:space="preserve"> </w:t>
      </w:r>
      <w:r w:rsidR="00F30E27" w:rsidRPr="00F30E27">
        <w:t>versu</w:t>
      </w:r>
      <w:r w:rsidR="00823F92" w:rsidRPr="00F30E27">
        <w:t>s</w:t>
      </w:r>
      <w:r w:rsidR="00823F92">
        <w:t xml:space="preserve"> </w:t>
      </w:r>
      <w:r w:rsidR="00F30E27" w:rsidRPr="00F30E27">
        <w:t>othe</w:t>
      </w:r>
      <w:r w:rsidR="00823F92" w:rsidRPr="00F30E27">
        <w:t>r</w:t>
      </w:r>
      <w:r w:rsidR="00823F92">
        <w:t xml:space="preserve"> </w:t>
      </w:r>
      <w:r w:rsidR="00F30E27" w:rsidRPr="00F30E27">
        <w:t>care</w:t>
      </w:r>
      <w:r w:rsidR="00823F92" w:rsidRPr="00F30E27">
        <w:t>,</w:t>
      </w:r>
      <w:r w:rsidR="00823F92">
        <w:t xml:space="preserve"> </w:t>
      </w:r>
      <w:r w:rsidR="00F30E27" w:rsidRPr="00F30E27">
        <w:t>a</w:t>
      </w:r>
      <w:r w:rsidR="00823F92" w:rsidRPr="00F30E27">
        <w:t>s</w:t>
      </w:r>
      <w:r w:rsidR="00823F92">
        <w:t xml:space="preserve"> </w:t>
      </w:r>
      <w:r w:rsidR="00F30E27" w:rsidRPr="00F30E27">
        <w:t>wel</w:t>
      </w:r>
      <w:r w:rsidR="00823F92" w:rsidRPr="00F30E27">
        <w:t>l</w:t>
      </w:r>
      <w:r w:rsidR="00823F92">
        <w:t xml:space="preserve"> </w:t>
      </w:r>
      <w:r w:rsidR="00F30E27" w:rsidRPr="00F30E27">
        <w:t>a</w:t>
      </w:r>
      <w:r w:rsidR="00823F92" w:rsidRPr="00F30E27">
        <w:t>s</w:t>
      </w:r>
      <w:r w:rsidR="00823F92">
        <w:t xml:space="preserve"> </w:t>
      </w:r>
      <w:r w:rsidR="00F30E27" w:rsidRPr="00F30E27">
        <w:t>clinician</w:t>
      </w:r>
      <w:r w:rsidR="00823F92" w:rsidRPr="00F30E27">
        <w:t>s</w:t>
      </w:r>
      <w:r w:rsidR="00823F92">
        <w:t xml:space="preserve"> </w:t>
      </w:r>
      <w:r w:rsidR="00F30E27" w:rsidRPr="00F30E27">
        <w:t>workin</w:t>
      </w:r>
      <w:r w:rsidR="00823F92" w:rsidRPr="00F30E27">
        <w:t>g</w:t>
      </w:r>
      <w:r w:rsidR="00823F92">
        <w:t xml:space="preserve"> </w:t>
      </w:r>
      <w:r w:rsidR="00F30E27" w:rsidRPr="00F30E27">
        <w:t>i</w:t>
      </w:r>
      <w:r w:rsidR="00823F92" w:rsidRPr="00F30E27">
        <w:t>n</w:t>
      </w:r>
      <w:r w:rsidR="00823F92">
        <w:t xml:space="preserve"> </w:t>
      </w:r>
      <w:r w:rsidR="00F30E27" w:rsidRPr="00F30E27">
        <w:lastRenderedPageBreak/>
        <w:t>Indigenous-specifie</w:t>
      </w:r>
      <w:r w:rsidR="00823F92" w:rsidRPr="00F30E27">
        <w:t>d</w:t>
      </w:r>
      <w:r w:rsidR="00823F92">
        <w:t xml:space="preserve"> </w:t>
      </w:r>
      <w:r w:rsidR="00F30E27" w:rsidRPr="00F30E27">
        <w:t>roles</w:t>
      </w:r>
      <w:r w:rsidR="00823F92" w:rsidRPr="00F30E27">
        <w:t>.</w:t>
      </w:r>
      <w:r w:rsidR="00823F92">
        <w:t xml:space="preserve"> </w:t>
      </w:r>
      <w:r w:rsidR="001C2D7A">
        <w:t>The</w:t>
      </w:r>
      <w:r w:rsidR="00823F92">
        <w:t xml:space="preserve"> </w:t>
      </w:r>
      <w:r w:rsidR="004B2164">
        <w:t>source</w:t>
      </w:r>
      <w:r w:rsidR="00823F92">
        <w:t xml:space="preserve">s </w:t>
      </w:r>
      <w:r w:rsidR="004B2164">
        <w:t>o</w:t>
      </w:r>
      <w:r w:rsidR="00823F92">
        <w:t xml:space="preserve">f </w:t>
      </w:r>
      <w:r w:rsidR="004B2164">
        <w:t>dat</w:t>
      </w:r>
      <w:r w:rsidR="00823F92">
        <w:t xml:space="preserve">a </w:t>
      </w:r>
      <w:r w:rsidR="004B2164">
        <w:t>fo</w:t>
      </w:r>
      <w:r w:rsidR="00823F92">
        <w:t xml:space="preserve">r </w:t>
      </w:r>
      <w:r w:rsidR="004B2164">
        <w:t>ke</w:t>
      </w:r>
      <w:r w:rsidR="00823F92">
        <w:t xml:space="preserve">y </w:t>
      </w:r>
      <w:r w:rsidR="004B2164">
        <w:t>occupations</w:t>
      </w:r>
      <w:r w:rsidR="001C2D7A">
        <w:t xml:space="preserve"> are summarised below</w:t>
      </w:r>
      <w:r w:rsidR="00AA7555">
        <w:t>:</w:t>
      </w:r>
    </w:p>
    <w:p w14:paraId="4D647AC6" w14:textId="10FF2139" w:rsidR="00DC538D" w:rsidRDefault="00DC538D" w:rsidP="00AA7555">
      <w:pPr>
        <w:pStyle w:val="ListBullet"/>
      </w:pPr>
      <w:r>
        <w:t>Aboriginal Health Practitioners</w:t>
      </w:r>
      <w:r w:rsidR="00A7211E">
        <w:t xml:space="preserve">: </w:t>
      </w:r>
      <w:r w:rsidR="00AA7555">
        <w:t xml:space="preserve"> </w:t>
      </w:r>
      <w:r>
        <w:t>National Board supported by AHPRA</w:t>
      </w:r>
    </w:p>
    <w:p w14:paraId="22C6CEC8" w14:textId="4CD3613C" w:rsidR="00DC538D" w:rsidRDefault="00DC538D" w:rsidP="00AA7555">
      <w:pPr>
        <w:pStyle w:val="ListBullet"/>
      </w:pPr>
      <w:r>
        <w:t>Aboriginal Health Workers</w:t>
      </w:r>
      <w:r w:rsidR="00A7211E">
        <w:t xml:space="preserve">: </w:t>
      </w:r>
      <w:r w:rsidR="007B62A9">
        <w:t>–</w:t>
      </w:r>
    </w:p>
    <w:p w14:paraId="3FF781C2" w14:textId="07BAC7F4" w:rsidR="00DC538D" w:rsidRDefault="00DC538D" w:rsidP="00AA7555">
      <w:pPr>
        <w:pStyle w:val="ListBullet"/>
      </w:pPr>
      <w:r>
        <w:t>Aboriginal Mental Health Workers</w:t>
      </w:r>
      <w:r w:rsidR="00A7211E">
        <w:t xml:space="preserve">:  </w:t>
      </w:r>
      <w:r w:rsidR="002F0D35">
        <w:t>–</w:t>
      </w:r>
    </w:p>
    <w:p w14:paraId="1539C4AC" w14:textId="58563770" w:rsidR="00DC538D" w:rsidRDefault="00DC538D" w:rsidP="00AA7555">
      <w:pPr>
        <w:pStyle w:val="ListBullet"/>
      </w:pPr>
      <w:r>
        <w:t>Counsellors and psychotherapists</w:t>
      </w:r>
      <w:r w:rsidR="002F0D35">
        <w:t xml:space="preserve">: </w:t>
      </w:r>
      <w:r>
        <w:t>Peak bodies</w:t>
      </w:r>
    </w:p>
    <w:p w14:paraId="643AC21D" w14:textId="65657F6A" w:rsidR="00DC538D" w:rsidRDefault="00DC538D" w:rsidP="00AA7555">
      <w:pPr>
        <w:pStyle w:val="ListBullet"/>
      </w:pPr>
      <w:r>
        <w:t>Dietitians</w:t>
      </w:r>
      <w:r w:rsidR="002F0D35">
        <w:t>:</w:t>
      </w:r>
      <w:r>
        <w:t xml:space="preserve"> Peak body</w:t>
      </w:r>
    </w:p>
    <w:p w14:paraId="3D35C540" w14:textId="075ABC34" w:rsidR="00DC538D" w:rsidRDefault="00DC538D" w:rsidP="00AA7555">
      <w:pPr>
        <w:pStyle w:val="ListBullet"/>
      </w:pPr>
      <w:r>
        <w:t>Enrolled Nurses</w:t>
      </w:r>
      <w:r w:rsidR="002F0D35">
        <w:t xml:space="preserve">: </w:t>
      </w:r>
      <w:r>
        <w:t>National Board supported by AHPRA</w:t>
      </w:r>
    </w:p>
    <w:p w14:paraId="52DD059C" w14:textId="021C7767" w:rsidR="00DC538D" w:rsidRDefault="00DC538D" w:rsidP="00AA7555">
      <w:pPr>
        <w:pStyle w:val="ListBullet"/>
      </w:pPr>
      <w:r>
        <w:t>General Practitioners</w:t>
      </w:r>
      <w:r w:rsidR="002F0D35">
        <w:t xml:space="preserve">: </w:t>
      </w:r>
      <w:r>
        <w:t>National Board supported by AHPRA; RANZCGP</w:t>
      </w:r>
    </w:p>
    <w:p w14:paraId="042D17F4" w14:textId="63B957A4" w:rsidR="00DC538D" w:rsidRDefault="00DC538D" w:rsidP="00AA7555">
      <w:pPr>
        <w:pStyle w:val="ListBullet"/>
      </w:pPr>
      <w:r>
        <w:t>Lived Experience (Peer) Workers</w:t>
      </w:r>
      <w:r w:rsidR="002F0D35">
        <w:t>:  –</w:t>
      </w:r>
    </w:p>
    <w:p w14:paraId="50FC9CCB" w14:textId="77777777" w:rsidR="00DC538D" w:rsidRDefault="00DC538D" w:rsidP="00AA7555">
      <w:pPr>
        <w:pStyle w:val="ListBullet"/>
      </w:pPr>
      <w:r>
        <w:t>Mental Health Nurses</w:t>
      </w:r>
      <w:r>
        <w:tab/>
        <w:t>National Board supported by AHPRA; Peak body</w:t>
      </w:r>
    </w:p>
    <w:p w14:paraId="0617F795" w14:textId="10F15F0E" w:rsidR="00DC538D" w:rsidRDefault="00DC538D" w:rsidP="00AA7555">
      <w:pPr>
        <w:pStyle w:val="ListBullet"/>
      </w:pPr>
      <w:r>
        <w:t>Nurse Practitioners</w:t>
      </w:r>
      <w:r w:rsidR="002F0D35">
        <w:t xml:space="preserve">: </w:t>
      </w:r>
      <w:r>
        <w:t>National Board supported by AHPRA</w:t>
      </w:r>
    </w:p>
    <w:p w14:paraId="6081CED1" w14:textId="03F2732B" w:rsidR="00DC538D" w:rsidRDefault="00DC538D" w:rsidP="00AA7555">
      <w:pPr>
        <w:pStyle w:val="ListBullet"/>
      </w:pPr>
      <w:r>
        <w:t>Occupational Therapists</w:t>
      </w:r>
      <w:r w:rsidR="002F0D35">
        <w:t xml:space="preserve">: </w:t>
      </w:r>
      <w:r>
        <w:t>National Board supported by AHPRA</w:t>
      </w:r>
    </w:p>
    <w:p w14:paraId="6EE810E6" w14:textId="2EA9628A" w:rsidR="00DC538D" w:rsidRDefault="00DC538D" w:rsidP="00AA7555">
      <w:pPr>
        <w:pStyle w:val="ListBullet"/>
      </w:pPr>
      <w:r>
        <w:t>Psychiatrists</w:t>
      </w:r>
      <w:r w:rsidR="002F0D35">
        <w:t xml:space="preserve">: </w:t>
      </w:r>
      <w:r>
        <w:t>National Board supported by AHPRA; RANZCP</w:t>
      </w:r>
    </w:p>
    <w:p w14:paraId="57DD33C0" w14:textId="3BE5201C" w:rsidR="00DC538D" w:rsidRDefault="00DC538D" w:rsidP="00AA7555">
      <w:pPr>
        <w:pStyle w:val="ListBullet"/>
      </w:pPr>
      <w:r>
        <w:t>Psychologists</w:t>
      </w:r>
      <w:r w:rsidR="002F0D35">
        <w:t xml:space="preserve">: </w:t>
      </w:r>
      <w:r>
        <w:t>National Board supported by AHPRA</w:t>
      </w:r>
    </w:p>
    <w:p w14:paraId="5C1731AD" w14:textId="2068422D" w:rsidR="00DC538D" w:rsidRDefault="00DC538D" w:rsidP="00AA7555">
      <w:pPr>
        <w:pStyle w:val="ListBullet"/>
      </w:pPr>
      <w:r>
        <w:t>Psychosocial Support Workers</w:t>
      </w:r>
      <w:r w:rsidR="002F0D35">
        <w:t>:  –</w:t>
      </w:r>
    </w:p>
    <w:p w14:paraId="00D9AD64" w14:textId="01C85394" w:rsidR="00DC538D" w:rsidRDefault="00DC538D" w:rsidP="00AA7555">
      <w:pPr>
        <w:pStyle w:val="ListBullet"/>
      </w:pPr>
      <w:r>
        <w:t>Registered Nurses</w:t>
      </w:r>
      <w:r w:rsidR="002F0D35">
        <w:t xml:space="preserve">: </w:t>
      </w:r>
      <w:r>
        <w:t>National Board supported by AHPRA</w:t>
      </w:r>
    </w:p>
    <w:p w14:paraId="39DD8C40" w14:textId="5EC8EC66" w:rsidR="00DC538D" w:rsidRDefault="00DC538D" w:rsidP="00AA7555">
      <w:pPr>
        <w:pStyle w:val="ListBullet"/>
      </w:pPr>
      <w:r>
        <w:t>Social Workers</w:t>
      </w:r>
      <w:r w:rsidR="002F0D35">
        <w:t xml:space="preserve">: </w:t>
      </w:r>
      <w:r>
        <w:t>Peak body</w:t>
      </w:r>
    </w:p>
    <w:p w14:paraId="753AC488" w14:textId="7C2DD249" w:rsidR="00DC538D" w:rsidRDefault="00DC538D" w:rsidP="00AA7555">
      <w:pPr>
        <w:pStyle w:val="ListBullet"/>
      </w:pPr>
      <w:r>
        <w:t>Speech Pathologists</w:t>
      </w:r>
      <w:r w:rsidR="002F0D35">
        <w:t xml:space="preserve">: </w:t>
      </w:r>
      <w:r>
        <w:t>Peak body</w:t>
      </w:r>
    </w:p>
    <w:p w14:paraId="300F397E" w14:textId="1D1688EA" w:rsidR="008C75A9" w:rsidRDefault="003E15C4" w:rsidP="008C75A9">
      <w:pPr>
        <w:pStyle w:val="BodyText"/>
      </w:pPr>
      <w:r>
        <w:t>Ther</w:t>
      </w:r>
      <w:r w:rsidR="00823F92">
        <w:t xml:space="preserve">e </w:t>
      </w:r>
      <w:r>
        <w:t>i</w:t>
      </w:r>
      <w:r w:rsidR="00823F92">
        <w:t xml:space="preserve">s </w:t>
      </w:r>
      <w:r>
        <w:t>n</w:t>
      </w:r>
      <w:r w:rsidR="00823F92">
        <w:t xml:space="preserve">o </w:t>
      </w:r>
      <w:r w:rsidR="00453F15" w:rsidRPr="006C4490">
        <w:t>nationall</w:t>
      </w:r>
      <w:r w:rsidR="00823F92" w:rsidRPr="006C4490">
        <w:t>y</w:t>
      </w:r>
      <w:r w:rsidR="00823F92">
        <w:t xml:space="preserve"> </w:t>
      </w:r>
      <w:r w:rsidR="00453F15" w:rsidRPr="006C4490">
        <w:t>consisten</w:t>
      </w:r>
      <w:r w:rsidR="00823F92" w:rsidRPr="006C4490">
        <w:t>t</w:t>
      </w:r>
      <w:r w:rsidR="00823F92">
        <w:t xml:space="preserve"> </w:t>
      </w:r>
      <w:r w:rsidR="00453F15" w:rsidRPr="006C4490">
        <w:t>approac</w:t>
      </w:r>
      <w:r w:rsidR="00823F92" w:rsidRPr="006C4490">
        <w:t>h</w:t>
      </w:r>
      <w:r w:rsidR="00823F92">
        <w:t xml:space="preserve"> </w:t>
      </w:r>
      <w:r w:rsidR="00453F15" w:rsidRPr="006C4490">
        <w:t>t</w:t>
      </w:r>
      <w:r w:rsidR="00823F92" w:rsidRPr="006C4490">
        <w:t>o</w:t>
      </w:r>
      <w:r w:rsidR="00823F92">
        <w:t xml:space="preserve"> </w:t>
      </w:r>
      <w:r w:rsidR="00453F15" w:rsidRPr="006C4490">
        <w:t>dat</w:t>
      </w:r>
      <w:r w:rsidR="00823F92" w:rsidRPr="006C4490">
        <w:t>a</w:t>
      </w:r>
      <w:r w:rsidR="00823F92">
        <w:t xml:space="preserve"> </w:t>
      </w:r>
      <w:r w:rsidR="00453F15" w:rsidRPr="006C4490">
        <w:t>tha</w:t>
      </w:r>
      <w:r w:rsidR="00823F92" w:rsidRPr="006C4490">
        <w:t>t</w:t>
      </w:r>
      <w:r w:rsidR="00823F92">
        <w:t xml:space="preserve"> </w:t>
      </w:r>
      <w:r>
        <w:t>align</w:t>
      </w:r>
      <w:r w:rsidR="00823F92">
        <w:t xml:space="preserve">s </w:t>
      </w:r>
      <w:r>
        <w:t>t</w:t>
      </w:r>
      <w:r w:rsidR="00823F92">
        <w:t xml:space="preserve">o </w:t>
      </w:r>
      <w:r w:rsidR="00453F15" w:rsidRPr="006C4490">
        <w:t>th</w:t>
      </w:r>
      <w:r w:rsidR="00823F92" w:rsidRPr="006C4490">
        <w:t>e</w:t>
      </w:r>
      <w:r w:rsidR="00823F92">
        <w:t xml:space="preserve"> </w:t>
      </w:r>
      <w:r w:rsidR="00453F15" w:rsidRPr="006C4490">
        <w:t>broa</w:t>
      </w:r>
      <w:r w:rsidR="00823F92" w:rsidRPr="006C4490">
        <w:t>d</w:t>
      </w:r>
      <w:r w:rsidR="00823F92">
        <w:t xml:space="preserve"> </w:t>
      </w:r>
      <w:r w:rsidR="00453F15" w:rsidRPr="006C4490">
        <w:t>definitio</w:t>
      </w:r>
      <w:r w:rsidR="00823F92" w:rsidRPr="006C4490">
        <w:t>n</w:t>
      </w:r>
      <w:r w:rsidR="00823F92">
        <w:t xml:space="preserve"> </w:t>
      </w:r>
      <w:r w:rsidR="00453F15" w:rsidRPr="006C4490">
        <w:t>o</w:t>
      </w:r>
      <w:r w:rsidR="00823F92" w:rsidRPr="006C4490">
        <w:t>f</w:t>
      </w:r>
      <w:r w:rsidR="00823F92">
        <w:t xml:space="preserve"> </w:t>
      </w:r>
      <w:r w:rsidR="00453F15" w:rsidRPr="006C4490">
        <w:t>menta</w:t>
      </w:r>
      <w:r w:rsidR="00823F92" w:rsidRPr="006C4490">
        <w:t>l</w:t>
      </w:r>
      <w:r w:rsidR="00823F92">
        <w:t xml:space="preserve"> </w:t>
      </w:r>
      <w:r w:rsidR="00453F15" w:rsidRPr="006C4490">
        <w:t>healt</w:t>
      </w:r>
      <w:r w:rsidR="00823F92" w:rsidRPr="006C4490">
        <w:t>h</w:t>
      </w:r>
      <w:r w:rsidR="00823F92">
        <w:t xml:space="preserve"> </w:t>
      </w:r>
      <w:r w:rsidR="00453F15" w:rsidRPr="006C4490">
        <w:t>workforc</w:t>
      </w:r>
      <w:r w:rsidR="00823F92" w:rsidRPr="006C4490">
        <w:t>e</w:t>
      </w:r>
      <w:r w:rsidR="00823F92">
        <w:t xml:space="preserve"> </w:t>
      </w:r>
      <w:r w:rsidR="00453F15" w:rsidRPr="006C4490">
        <w:t>acros</w:t>
      </w:r>
      <w:r w:rsidR="00823F92" w:rsidRPr="006C4490">
        <w:t>s</w:t>
      </w:r>
      <w:r w:rsidR="00823F92">
        <w:t xml:space="preserve"> </w:t>
      </w:r>
      <w:r w:rsidR="00453F15" w:rsidRPr="006C4490">
        <w:t>al</w:t>
      </w:r>
      <w:r w:rsidR="00823F92" w:rsidRPr="006C4490">
        <w:t>l</w:t>
      </w:r>
      <w:r w:rsidR="00823F92">
        <w:t xml:space="preserve"> </w:t>
      </w:r>
      <w:r w:rsidR="00453F15" w:rsidRPr="006C4490">
        <w:t>servic</w:t>
      </w:r>
      <w:r w:rsidR="00823F92" w:rsidRPr="006C4490">
        <w:t>e</w:t>
      </w:r>
      <w:r w:rsidR="00823F92">
        <w:t xml:space="preserve"> </w:t>
      </w:r>
      <w:r w:rsidR="00453F15" w:rsidRPr="006C4490">
        <w:t>settings</w:t>
      </w:r>
      <w:r w:rsidR="00823F92">
        <w:t xml:space="preserve">. </w:t>
      </w:r>
      <w:r w:rsidR="008C75A9">
        <w:t>Thi</w:t>
      </w:r>
      <w:r w:rsidR="00823F92">
        <w:t xml:space="preserve">s </w:t>
      </w:r>
      <w:r w:rsidR="008C75A9">
        <w:t>i</w:t>
      </w:r>
      <w:r w:rsidR="00823F92">
        <w:t xml:space="preserve">s </w:t>
      </w:r>
      <w:r w:rsidR="008C75A9">
        <w:t>a</w:t>
      </w:r>
      <w:r w:rsidR="00823F92">
        <w:t xml:space="preserve">n </w:t>
      </w:r>
      <w:r w:rsidR="008C75A9">
        <w:t>importan</w:t>
      </w:r>
      <w:r w:rsidR="00823F92">
        <w:t xml:space="preserve">t </w:t>
      </w:r>
      <w:r w:rsidR="008C75A9">
        <w:t>ga</w:t>
      </w:r>
      <w:r w:rsidR="00823F92">
        <w:t xml:space="preserve">p </w:t>
      </w:r>
      <w:r w:rsidR="008C75A9">
        <w:t>i</w:t>
      </w:r>
      <w:r w:rsidR="00823F92">
        <w:t xml:space="preserve">n </w:t>
      </w:r>
      <w:r w:rsidR="008C75A9">
        <w:t>understandin</w:t>
      </w:r>
      <w:r w:rsidR="00823F92">
        <w:t xml:space="preserve">g </w:t>
      </w:r>
      <w:r w:rsidR="008C75A9">
        <w:t>th</w:t>
      </w:r>
      <w:r w:rsidR="00823F92">
        <w:t xml:space="preserve">e </w:t>
      </w:r>
      <w:r w:rsidR="008C75A9">
        <w:t>rang</w:t>
      </w:r>
      <w:r w:rsidR="00823F92">
        <w:t xml:space="preserve">e </w:t>
      </w:r>
      <w:r w:rsidR="008C75A9">
        <w:t>o</w:t>
      </w:r>
      <w:r w:rsidR="00823F92">
        <w:t xml:space="preserve">f </w:t>
      </w:r>
      <w:r w:rsidR="008C75A9">
        <w:t>occupation</w:t>
      </w:r>
      <w:r w:rsidR="00823F92">
        <w:t xml:space="preserve">s </w:t>
      </w:r>
      <w:r w:rsidR="008C75A9">
        <w:t>availabl</w:t>
      </w:r>
      <w:r w:rsidR="00823F92">
        <w:t xml:space="preserve">e </w:t>
      </w:r>
      <w:r w:rsidR="008C75A9">
        <w:t>t</w:t>
      </w:r>
      <w:r w:rsidR="00823F92">
        <w:t xml:space="preserve">o </w:t>
      </w:r>
      <w:r w:rsidR="008C75A9">
        <w:t>suppor</w:t>
      </w:r>
      <w:r w:rsidR="00823F92">
        <w:t xml:space="preserve">t </w:t>
      </w:r>
      <w:r w:rsidR="008C75A9">
        <w:t>peopl</w:t>
      </w:r>
      <w:r w:rsidR="00823F92">
        <w:t xml:space="preserve">e </w:t>
      </w:r>
      <w:r w:rsidR="008C75A9">
        <w:t>wit</w:t>
      </w:r>
      <w:r w:rsidR="00823F92">
        <w:t xml:space="preserve">h </w:t>
      </w:r>
      <w:r w:rsidR="008C75A9">
        <w:t>menta</w:t>
      </w:r>
      <w:r w:rsidR="00823F92">
        <w:t xml:space="preserve">l </w:t>
      </w:r>
      <w:r w:rsidR="008C75A9">
        <w:t>illness</w:t>
      </w:r>
      <w:r w:rsidR="00823F92">
        <w:t xml:space="preserve">, </w:t>
      </w:r>
      <w:r w:rsidR="008C75A9">
        <w:t>includin</w:t>
      </w:r>
      <w:r w:rsidR="00823F92">
        <w:t xml:space="preserve">g </w:t>
      </w:r>
      <w:r w:rsidR="008C75A9">
        <w:t>thei</w:t>
      </w:r>
      <w:r w:rsidR="00823F92">
        <w:t xml:space="preserve">r </w:t>
      </w:r>
      <w:r w:rsidR="008C75A9">
        <w:t>distributio</w:t>
      </w:r>
      <w:r w:rsidR="00823F92">
        <w:t xml:space="preserve">n </w:t>
      </w:r>
      <w:r w:rsidR="008C75A9">
        <w:t>an</w:t>
      </w:r>
      <w:r w:rsidR="00823F92">
        <w:t xml:space="preserve">d </w:t>
      </w:r>
      <w:r w:rsidR="008C75A9">
        <w:t>size</w:t>
      </w:r>
      <w:r w:rsidR="00823F92">
        <w:t xml:space="preserve">. </w:t>
      </w:r>
    </w:p>
    <w:p w14:paraId="72D17967" w14:textId="735AEB3C" w:rsidR="00E25A10" w:rsidRDefault="00E25A10" w:rsidP="008C75A9">
      <w:pPr>
        <w:pStyle w:val="BodyText"/>
      </w:pPr>
      <w:r>
        <w:t>Thes</w:t>
      </w:r>
      <w:r w:rsidR="00823F92">
        <w:t xml:space="preserve">e </w:t>
      </w:r>
      <w:r>
        <w:t>challenge</w:t>
      </w:r>
      <w:r w:rsidR="00823F92">
        <w:t xml:space="preserve">s </w:t>
      </w:r>
      <w:r>
        <w:t>ar</w:t>
      </w:r>
      <w:r w:rsidR="00823F92">
        <w:t xml:space="preserve">e </w:t>
      </w:r>
      <w:r>
        <w:t>compounde</w:t>
      </w:r>
      <w:r w:rsidR="00823F92">
        <w:t xml:space="preserve">d </w:t>
      </w:r>
      <w:r>
        <w:t>fo</w:t>
      </w:r>
      <w:r w:rsidR="00823F92">
        <w:t xml:space="preserve">r </w:t>
      </w:r>
      <w:r>
        <w:t>thos</w:t>
      </w:r>
      <w:r w:rsidR="00823F92">
        <w:t xml:space="preserve">e </w:t>
      </w:r>
      <w:r>
        <w:t>wh</w:t>
      </w:r>
      <w:r w:rsidR="00823F92">
        <w:t xml:space="preserve">o </w:t>
      </w:r>
      <w:r>
        <w:t>wor</w:t>
      </w:r>
      <w:r w:rsidR="00823F92">
        <w:t xml:space="preserve">k </w:t>
      </w:r>
      <w:r>
        <w:t>acros</w:t>
      </w:r>
      <w:r w:rsidR="00823F92">
        <w:t xml:space="preserve">s </w:t>
      </w:r>
      <w:r w:rsidR="007F0ABB">
        <w:t>sector</w:t>
      </w:r>
      <w:r w:rsidR="00823F92">
        <w:t xml:space="preserve">s </w:t>
      </w:r>
      <w:r w:rsidR="007F0ABB">
        <w:t>an</w:t>
      </w:r>
      <w:r w:rsidR="00823F92">
        <w:t xml:space="preserve">d </w:t>
      </w:r>
      <w:r>
        <w:t>settings</w:t>
      </w:r>
      <w:r w:rsidR="00823F92">
        <w:t xml:space="preserve">, </w:t>
      </w:r>
      <w:r>
        <w:t>particularl</w:t>
      </w:r>
      <w:r w:rsidR="00823F92">
        <w:t xml:space="preserve">y </w:t>
      </w:r>
      <w:r>
        <w:t>a</w:t>
      </w:r>
      <w:r w:rsidR="00823F92">
        <w:t xml:space="preserve">s </w:t>
      </w:r>
      <w:r>
        <w:t>market</w:t>
      </w:r>
      <w:r w:rsidR="00823F92">
        <w:t xml:space="preserve">s </w:t>
      </w:r>
      <w:r>
        <w:t>develo</w:t>
      </w:r>
      <w:r w:rsidR="00823F92">
        <w:t xml:space="preserve">p </w:t>
      </w:r>
      <w:r>
        <w:t>(</w:t>
      </w:r>
      <w:r w:rsidR="007F0ABB">
        <w:t>suc</w:t>
      </w:r>
      <w:r w:rsidR="00823F92">
        <w:t xml:space="preserve">h </w:t>
      </w:r>
      <w:r w:rsidR="007F0ABB">
        <w:t>a</w:t>
      </w:r>
      <w:r w:rsidR="00823F92">
        <w:t xml:space="preserve">s </w:t>
      </w:r>
      <w:r>
        <w:t>th</w:t>
      </w:r>
      <w:r w:rsidR="00823F92">
        <w:t xml:space="preserve">e </w:t>
      </w:r>
      <w:r>
        <w:t>NDIS</w:t>
      </w:r>
      <w:r w:rsidR="00823F92">
        <w:t xml:space="preserve">, </w:t>
      </w:r>
      <w:r w:rsidR="00B97FEB">
        <w:t>whic</w:t>
      </w:r>
      <w:r w:rsidR="00823F92">
        <w:t xml:space="preserve">h </w:t>
      </w:r>
      <w:r w:rsidR="00B97FEB">
        <w:t>create</w:t>
      </w:r>
      <w:r w:rsidR="00823F92">
        <w:t xml:space="preserve">s </w:t>
      </w:r>
      <w:r w:rsidR="00B97FEB">
        <w:t>differen</w:t>
      </w:r>
      <w:r w:rsidR="00823F92">
        <w:t xml:space="preserve">t </w:t>
      </w:r>
      <w:r w:rsidR="00B97FEB">
        <w:t>employmen</w:t>
      </w:r>
      <w:r w:rsidR="00823F92">
        <w:t xml:space="preserve">t </w:t>
      </w:r>
      <w:r w:rsidR="00B97FEB">
        <w:t>patterns</w:t>
      </w:r>
      <w:r>
        <w:t>)</w:t>
      </w:r>
      <w:r w:rsidR="00823F92">
        <w:t xml:space="preserve">. </w:t>
      </w:r>
      <w:r w:rsidR="007F0ABB">
        <w:t>Som</w:t>
      </w:r>
      <w:r w:rsidR="00823F92">
        <w:t xml:space="preserve">e </w:t>
      </w:r>
      <w:r w:rsidR="007F0ABB">
        <w:t>occupation</w:t>
      </w:r>
      <w:r w:rsidR="00823F92">
        <w:t xml:space="preserve">s </w:t>
      </w:r>
      <w:r w:rsidR="007F0ABB">
        <w:t>wor</w:t>
      </w:r>
      <w:r w:rsidR="00823F92">
        <w:t xml:space="preserve">k </w:t>
      </w:r>
      <w:r w:rsidR="007F0ABB">
        <w:t>acros</w:t>
      </w:r>
      <w:r w:rsidR="00823F92">
        <w:t xml:space="preserve">s </w:t>
      </w:r>
      <w:r w:rsidR="007F0ABB">
        <w:t>sector</w:t>
      </w:r>
      <w:r w:rsidR="00823F92">
        <w:t xml:space="preserve">s </w:t>
      </w:r>
      <w:r w:rsidR="007F0ABB">
        <w:t>(holdin</w:t>
      </w:r>
      <w:r w:rsidR="00823F92">
        <w:t xml:space="preserve">g </w:t>
      </w:r>
      <w:r w:rsidR="007F0ABB">
        <w:t>roles</w:t>
      </w:r>
      <w:r w:rsidR="00823F92">
        <w:t xml:space="preserve">, </w:t>
      </w:r>
      <w:r w:rsidR="007F0ABB">
        <w:t>fo</w:t>
      </w:r>
      <w:r w:rsidR="00823F92">
        <w:t xml:space="preserve">r </w:t>
      </w:r>
      <w:r w:rsidR="007F0ABB">
        <w:t>example</w:t>
      </w:r>
      <w:r w:rsidR="00823F92">
        <w:t xml:space="preserve">, </w:t>
      </w:r>
      <w:r w:rsidR="007F0ABB">
        <w:t>i</w:t>
      </w:r>
      <w:r w:rsidR="00823F92">
        <w:t xml:space="preserve">n </w:t>
      </w:r>
      <w:r w:rsidR="007F0ABB">
        <w:t>age</w:t>
      </w:r>
      <w:r w:rsidR="00823F92">
        <w:t xml:space="preserve">d </w:t>
      </w:r>
      <w:r w:rsidR="007F0ABB">
        <w:t>care</w:t>
      </w:r>
      <w:r w:rsidR="00823F92">
        <w:t xml:space="preserve">, </w:t>
      </w:r>
      <w:r w:rsidR="007F0ABB">
        <w:t>menta</w:t>
      </w:r>
      <w:r w:rsidR="00823F92">
        <w:t xml:space="preserve">l </w:t>
      </w:r>
      <w:r w:rsidR="007F0ABB">
        <w:t>healt</w:t>
      </w:r>
      <w:r w:rsidR="00823F92">
        <w:t xml:space="preserve">h </w:t>
      </w:r>
      <w:r w:rsidR="007F0ABB">
        <w:t>an</w:t>
      </w:r>
      <w:r w:rsidR="00823F92">
        <w:t xml:space="preserve">d </w:t>
      </w:r>
      <w:r w:rsidR="007F0ABB">
        <w:t>disability)</w:t>
      </w:r>
      <w:r w:rsidR="00B97FEB">
        <w:t xml:space="preserve"> an</w:t>
      </w:r>
      <w:r w:rsidR="00823F92">
        <w:t xml:space="preserve">d </w:t>
      </w:r>
      <w:r w:rsidR="00B97FEB">
        <w:t>i</w:t>
      </w:r>
      <w:r w:rsidR="00823F92">
        <w:t xml:space="preserve">n a </w:t>
      </w:r>
      <w:r w:rsidR="00B97FEB">
        <w:t>combinatio</w:t>
      </w:r>
      <w:r w:rsidR="00823F92">
        <w:t xml:space="preserve">n </w:t>
      </w:r>
      <w:r w:rsidR="00B97FEB">
        <w:t>o</w:t>
      </w:r>
      <w:r w:rsidR="00823F92">
        <w:t xml:space="preserve">f </w:t>
      </w:r>
      <w:r w:rsidR="00B97FEB">
        <w:t>communit</w:t>
      </w:r>
      <w:r w:rsidR="00823F92">
        <w:t xml:space="preserve">y </w:t>
      </w:r>
      <w:r w:rsidR="00B97FEB">
        <w:t>an</w:t>
      </w:r>
      <w:r w:rsidR="00823F92">
        <w:t xml:space="preserve">d </w:t>
      </w:r>
      <w:r w:rsidR="00B97FEB">
        <w:t>publi</w:t>
      </w:r>
      <w:r w:rsidR="00823F92">
        <w:t xml:space="preserve">c </w:t>
      </w:r>
      <w:r w:rsidR="00B97FEB">
        <w:t>settings</w:t>
      </w:r>
      <w:r w:rsidR="00823F92">
        <w:t xml:space="preserve">. </w:t>
      </w:r>
      <w:r w:rsidR="00B97FEB">
        <w:t>Thi</w:t>
      </w:r>
      <w:r w:rsidR="00823F92">
        <w:t xml:space="preserve">s </w:t>
      </w:r>
      <w:r w:rsidR="00B97FEB">
        <w:t>ca</w:t>
      </w:r>
      <w:r w:rsidR="00823F92">
        <w:t xml:space="preserve">n </w:t>
      </w:r>
      <w:r w:rsidR="00B97FEB">
        <w:t>lea</w:t>
      </w:r>
      <w:r w:rsidR="00823F92">
        <w:t xml:space="preserve">d </w:t>
      </w:r>
      <w:r w:rsidR="00B97FEB">
        <w:t>t</w:t>
      </w:r>
      <w:r w:rsidR="00823F92">
        <w:t xml:space="preserve">o </w:t>
      </w:r>
      <w:r w:rsidR="00B97FEB">
        <w:t>inaccurat</w:t>
      </w:r>
      <w:r w:rsidR="00823F92">
        <w:t xml:space="preserve">e </w:t>
      </w:r>
      <w:r w:rsidR="00B97FEB">
        <w:t>dat</w:t>
      </w:r>
      <w:r w:rsidR="00823F92">
        <w:t xml:space="preserve">a </w:t>
      </w:r>
      <w:r w:rsidR="00B97FEB">
        <w:t>o</w:t>
      </w:r>
      <w:r w:rsidR="00823F92">
        <w:t xml:space="preserve">n </w:t>
      </w:r>
      <w:r w:rsidR="00B97FEB">
        <w:t>th</w:t>
      </w:r>
      <w:r w:rsidR="00823F92">
        <w:t xml:space="preserve">e </w:t>
      </w:r>
      <w:r w:rsidR="00B97FEB">
        <w:t>numbe</w:t>
      </w:r>
      <w:r w:rsidR="00823F92">
        <w:t xml:space="preserve">r </w:t>
      </w:r>
      <w:r w:rsidR="00B97FEB">
        <w:t>o</w:t>
      </w:r>
      <w:r w:rsidR="00823F92">
        <w:t xml:space="preserve">f </w:t>
      </w:r>
      <w:r w:rsidR="00B97FEB">
        <w:t>th</w:t>
      </w:r>
      <w:r w:rsidR="00823F92">
        <w:t xml:space="preserve">e </w:t>
      </w:r>
      <w:r w:rsidR="00B97FEB">
        <w:t>individual</w:t>
      </w:r>
      <w:r w:rsidR="00823F92">
        <w:t xml:space="preserve">s </w:t>
      </w:r>
      <w:r w:rsidR="00B97FEB">
        <w:t>availabl</w:t>
      </w:r>
      <w:r w:rsidR="00823F92">
        <w:t xml:space="preserve">e </w:t>
      </w:r>
      <w:r w:rsidR="00B97FEB">
        <w:t>t</w:t>
      </w:r>
      <w:r w:rsidR="00823F92">
        <w:t xml:space="preserve">o </w:t>
      </w:r>
      <w:r w:rsidR="00B97FEB">
        <w:t>provid</w:t>
      </w:r>
      <w:r w:rsidR="00823F92">
        <w:t xml:space="preserve">e </w:t>
      </w:r>
      <w:r w:rsidR="00B97FEB">
        <w:t>treatment</w:t>
      </w:r>
      <w:r w:rsidR="00823F92">
        <w:t xml:space="preserve">, </w:t>
      </w:r>
      <w:r w:rsidR="00B97FEB">
        <w:t>suppor</w:t>
      </w:r>
      <w:r w:rsidR="00823F92">
        <w:t xml:space="preserve">t </w:t>
      </w:r>
      <w:r w:rsidR="00B97FEB">
        <w:t>an</w:t>
      </w:r>
      <w:r w:rsidR="00823F92">
        <w:t xml:space="preserve">d </w:t>
      </w:r>
      <w:r w:rsidR="00B97FEB">
        <w:t>care</w:t>
      </w:r>
      <w:r w:rsidR="00823F92">
        <w:t xml:space="preserve">. </w:t>
      </w:r>
    </w:p>
    <w:p w14:paraId="2E1CA790" w14:textId="472D63F6" w:rsidR="00504F06" w:rsidRDefault="008C17D4" w:rsidP="002F0D35">
      <w:pPr>
        <w:pStyle w:val="BodyText"/>
        <w:keepNext/>
        <w:keepLines/>
      </w:pPr>
      <w:r>
        <w:lastRenderedPageBreak/>
        <w:t>Th</w:t>
      </w:r>
      <w:r w:rsidR="00823F92">
        <w:t xml:space="preserve">e </w:t>
      </w:r>
      <w:r>
        <w:t>exten</w:t>
      </w:r>
      <w:r w:rsidR="00823F92">
        <w:t xml:space="preserve">t </w:t>
      </w:r>
      <w:r>
        <w:t>t</w:t>
      </w:r>
      <w:r w:rsidR="00823F92">
        <w:t xml:space="preserve">o </w:t>
      </w:r>
      <w:r>
        <w:t>whic</w:t>
      </w:r>
      <w:r w:rsidR="00823F92">
        <w:t xml:space="preserve">h </w:t>
      </w:r>
      <w:r>
        <w:t>n</w:t>
      </w:r>
      <w:r w:rsidRPr="008C17D4">
        <w:t>ationa</w:t>
      </w:r>
      <w:r w:rsidR="00823F92" w:rsidRPr="008C17D4">
        <w:t>l</w:t>
      </w:r>
      <w:r w:rsidR="00823F92">
        <w:t xml:space="preserve"> </w:t>
      </w:r>
      <w:r w:rsidRPr="008C17D4">
        <w:t>plannin</w:t>
      </w:r>
      <w:r w:rsidR="00823F92" w:rsidRPr="008C17D4">
        <w:t>g</w:t>
      </w:r>
      <w:r w:rsidR="00823F92">
        <w:t xml:space="preserve"> </w:t>
      </w:r>
      <w:r w:rsidRPr="008C17D4">
        <w:t>processe</w:t>
      </w:r>
      <w:r w:rsidR="00823F92" w:rsidRPr="008C17D4">
        <w:t>s</w:t>
      </w:r>
      <w:r w:rsidR="00823F92">
        <w:t xml:space="preserve"> </w:t>
      </w:r>
      <w:r>
        <w:t>ar</w:t>
      </w:r>
      <w:r w:rsidR="00823F92">
        <w:t xml:space="preserve">e </w:t>
      </w:r>
      <w:r w:rsidRPr="008C17D4">
        <w:t>linke</w:t>
      </w:r>
      <w:r w:rsidR="00823F92" w:rsidRPr="008C17D4">
        <w:t>d</w:t>
      </w:r>
      <w:r w:rsidR="00823F92">
        <w:t xml:space="preserve"> </w:t>
      </w:r>
      <w:r w:rsidRPr="008C17D4">
        <w:t>t</w:t>
      </w:r>
      <w:r w:rsidR="00823F92" w:rsidRPr="008C17D4">
        <w:t>o</w:t>
      </w:r>
      <w:r w:rsidR="00823F92">
        <w:t xml:space="preserve"> </w:t>
      </w:r>
      <w:r w:rsidRPr="008C17D4">
        <w:t>loca</w:t>
      </w:r>
      <w:r w:rsidR="00823F92" w:rsidRPr="008C17D4">
        <w:t>l</w:t>
      </w:r>
      <w:r w:rsidR="00823F92">
        <w:t xml:space="preserve"> </w:t>
      </w:r>
      <w:r w:rsidRPr="008C17D4">
        <w:t>plannin</w:t>
      </w:r>
      <w:r w:rsidR="00823F92" w:rsidRPr="008C17D4">
        <w:t>g</w:t>
      </w:r>
      <w:r w:rsidR="00823F92">
        <w:t xml:space="preserve"> </w:t>
      </w:r>
      <w:r>
        <w:t>i</w:t>
      </w:r>
      <w:r w:rsidR="00823F92">
        <w:t xml:space="preserve">s </w:t>
      </w:r>
      <w:r>
        <w:t>limited</w:t>
      </w:r>
      <w:r w:rsidR="00823F92">
        <w:t xml:space="preserve">. </w:t>
      </w:r>
      <w:r>
        <w:t>Consultation</w:t>
      </w:r>
      <w:r w:rsidR="00823F92">
        <w:t xml:space="preserve">s </w:t>
      </w:r>
      <w:r>
        <w:t>identifie</w:t>
      </w:r>
      <w:r w:rsidR="00823F92">
        <w:t xml:space="preserve">d </w:t>
      </w:r>
      <w:r>
        <w:t>th</w:t>
      </w:r>
      <w:r w:rsidR="00823F92">
        <w:t xml:space="preserve">e </w:t>
      </w:r>
      <w:r>
        <w:t>nee</w:t>
      </w:r>
      <w:r w:rsidR="00823F92">
        <w:t xml:space="preserve">d </w:t>
      </w:r>
      <w:r>
        <w:t>fo</w:t>
      </w:r>
      <w:r w:rsidR="00823F92">
        <w:t xml:space="preserve">r a </w:t>
      </w:r>
      <w:r>
        <w:t>locally-le</w:t>
      </w:r>
      <w:r w:rsidR="00823F92">
        <w:t xml:space="preserve">d </w:t>
      </w:r>
      <w:r>
        <w:t>process</w:t>
      </w:r>
      <w:r w:rsidR="00823F92">
        <w:t xml:space="preserve">, </w:t>
      </w:r>
      <w:r>
        <w:t>contributin</w:t>
      </w:r>
      <w:r w:rsidR="00823F92">
        <w:t xml:space="preserve">g </w:t>
      </w:r>
      <w:r>
        <w:t>understandin</w:t>
      </w:r>
      <w:r w:rsidR="00823F92">
        <w:t xml:space="preserve">g </w:t>
      </w:r>
      <w:r>
        <w:t>o</w:t>
      </w:r>
      <w:r w:rsidR="00823F92">
        <w:t xml:space="preserve">f </w:t>
      </w:r>
      <w:r>
        <w:t>loca</w:t>
      </w:r>
      <w:r w:rsidR="00823F92">
        <w:t xml:space="preserve">l </w:t>
      </w:r>
      <w:r>
        <w:t>issues</w:t>
      </w:r>
      <w:r w:rsidR="00823F92">
        <w:t xml:space="preserve">, </w:t>
      </w:r>
      <w:r w:rsidRPr="008C17D4">
        <w:t>t</w:t>
      </w:r>
      <w:r w:rsidR="00823F92" w:rsidRPr="008C17D4">
        <w:t>o</w:t>
      </w:r>
      <w:r w:rsidR="00823F92">
        <w:t xml:space="preserve"> </w:t>
      </w:r>
      <w:r w:rsidRPr="008C17D4">
        <w:t>ensur</w:t>
      </w:r>
      <w:r w:rsidR="00823F92" w:rsidRPr="008C17D4">
        <w:t>e</w:t>
      </w:r>
      <w:r w:rsidR="00823F92">
        <w:t xml:space="preserve"> </w:t>
      </w:r>
      <w:r w:rsidRPr="008C17D4">
        <w:t>al</w:t>
      </w:r>
      <w:r w:rsidR="00823F92" w:rsidRPr="008C17D4">
        <w:t>l</w:t>
      </w:r>
      <w:r w:rsidR="00823F92">
        <w:t xml:space="preserve"> </w:t>
      </w:r>
      <w:r w:rsidRPr="008C17D4">
        <w:t>issue</w:t>
      </w:r>
      <w:r w:rsidR="00823F92" w:rsidRPr="008C17D4">
        <w:t>s</w:t>
      </w:r>
      <w:r w:rsidR="00823F92">
        <w:t xml:space="preserve"> </w:t>
      </w:r>
      <w:r w:rsidRPr="008C17D4">
        <w:t>ar</w:t>
      </w:r>
      <w:r w:rsidR="00823F92" w:rsidRPr="008C17D4">
        <w:t>e</w:t>
      </w:r>
      <w:r w:rsidR="00823F92">
        <w:t xml:space="preserve"> </w:t>
      </w:r>
      <w:r w:rsidRPr="008C17D4">
        <w:t>identifie</w:t>
      </w:r>
      <w:r w:rsidR="00823F92" w:rsidRPr="008C17D4">
        <w:t>d</w:t>
      </w:r>
      <w:r w:rsidR="00823F92">
        <w:t xml:space="preserve"> </w:t>
      </w:r>
      <w:r w:rsidRPr="008C17D4">
        <w:t>an</w:t>
      </w:r>
      <w:r w:rsidR="00823F92" w:rsidRPr="008C17D4">
        <w:t>d</w:t>
      </w:r>
      <w:r w:rsidR="00823F92">
        <w:t xml:space="preserve"> </w:t>
      </w:r>
      <w:r w:rsidRPr="008C17D4">
        <w:t>suitabl</w:t>
      </w:r>
      <w:r w:rsidR="00823F92" w:rsidRPr="008C17D4">
        <w:t>e</w:t>
      </w:r>
      <w:r w:rsidR="00823F92">
        <w:t xml:space="preserve"> </w:t>
      </w:r>
      <w:r w:rsidRPr="008C17D4">
        <w:t>strategie</w:t>
      </w:r>
      <w:r w:rsidR="00823F92" w:rsidRPr="008C17D4">
        <w:t>s</w:t>
      </w:r>
      <w:r w:rsidR="00823F92">
        <w:t xml:space="preserve"> </w:t>
      </w:r>
      <w:r w:rsidRPr="008C17D4">
        <w:t>ar</w:t>
      </w:r>
      <w:r w:rsidR="00823F92" w:rsidRPr="008C17D4">
        <w:t>e</w:t>
      </w:r>
      <w:r w:rsidR="00823F92">
        <w:t xml:space="preserve"> </w:t>
      </w:r>
      <w:r w:rsidRPr="008C17D4">
        <w:t>develope</w:t>
      </w:r>
      <w:r w:rsidR="00823F92" w:rsidRPr="008C17D4">
        <w:t>d</w:t>
      </w:r>
      <w:r w:rsidR="00823F92">
        <w:t xml:space="preserve"> </w:t>
      </w:r>
      <w:r w:rsidRPr="008C17D4">
        <w:t>fo</w:t>
      </w:r>
      <w:r w:rsidR="00823F92" w:rsidRPr="008C17D4">
        <w:t>r</w:t>
      </w:r>
      <w:r w:rsidR="00823F92">
        <w:t xml:space="preserve"> </w:t>
      </w:r>
      <w:r w:rsidRPr="008C17D4">
        <w:t>al</w:t>
      </w:r>
      <w:r w:rsidR="00823F92" w:rsidRPr="008C17D4">
        <w:t>l</w:t>
      </w:r>
      <w:r w:rsidR="00823F92">
        <w:t xml:space="preserve"> </w:t>
      </w:r>
      <w:r w:rsidRPr="008C17D4">
        <w:t>type</w:t>
      </w:r>
      <w:r w:rsidR="00823F92" w:rsidRPr="008C17D4">
        <w:t>s</w:t>
      </w:r>
      <w:r w:rsidR="00823F92">
        <w:t xml:space="preserve"> </w:t>
      </w:r>
      <w:r w:rsidRPr="008C17D4">
        <w:t>o</w:t>
      </w:r>
      <w:r w:rsidR="00823F92" w:rsidRPr="008C17D4">
        <w:t>f</w:t>
      </w:r>
      <w:r w:rsidR="00823F92">
        <w:t xml:space="preserve"> </w:t>
      </w:r>
      <w:r>
        <w:t>occupation</w:t>
      </w:r>
      <w:r w:rsidR="00823F92">
        <w:t xml:space="preserve">s </w:t>
      </w:r>
      <w:r w:rsidRPr="008C17D4">
        <w:t>an</w:t>
      </w:r>
      <w:r w:rsidR="00823F92" w:rsidRPr="008C17D4">
        <w:t>d</w:t>
      </w:r>
      <w:r w:rsidR="00823F92">
        <w:t xml:space="preserve"> </w:t>
      </w:r>
      <w:r w:rsidRPr="008C17D4">
        <w:t>settings</w:t>
      </w:r>
      <w:r w:rsidR="00823F92" w:rsidRPr="008C17D4">
        <w:t>.</w:t>
      </w:r>
      <w:r w:rsidR="00823F92">
        <w:t xml:space="preserve"> </w:t>
      </w:r>
      <w:r w:rsidR="00504F06">
        <w:t>Collaboratio</w:t>
      </w:r>
      <w:r w:rsidR="00823F92">
        <w:t xml:space="preserve">n </w:t>
      </w:r>
      <w:r w:rsidR="00504F06">
        <w:t>betwee</w:t>
      </w:r>
      <w:r w:rsidR="00823F92">
        <w:t xml:space="preserve">n </w:t>
      </w:r>
      <w:r w:rsidR="00504F06">
        <w:t>government</w:t>
      </w:r>
      <w:r w:rsidR="00823F92">
        <w:t xml:space="preserve">, </w:t>
      </w:r>
      <w:r w:rsidR="00504F06">
        <w:t>professiona</w:t>
      </w:r>
      <w:r w:rsidR="00823F92">
        <w:t xml:space="preserve">l </w:t>
      </w:r>
      <w:r w:rsidR="00504F06">
        <w:t>bodies</w:t>
      </w:r>
      <w:r w:rsidR="00823F92">
        <w:t xml:space="preserve">, </w:t>
      </w:r>
      <w:r w:rsidR="00504F06">
        <w:t>an</w:t>
      </w:r>
      <w:r w:rsidR="00823F92">
        <w:t xml:space="preserve">d </w:t>
      </w:r>
      <w:r w:rsidR="00504F06">
        <w:t>industr</w:t>
      </w:r>
      <w:r w:rsidR="00823F92">
        <w:t xml:space="preserve">y </w:t>
      </w:r>
      <w:r w:rsidR="00504F06">
        <w:t>stakeholder</w:t>
      </w:r>
      <w:r w:rsidR="00823F92">
        <w:t xml:space="preserve">s </w:t>
      </w:r>
      <w:r w:rsidR="00504F06">
        <w:t>varie</w:t>
      </w:r>
      <w:r w:rsidR="00823F92">
        <w:t xml:space="preserve">s </w:t>
      </w:r>
      <w:r w:rsidR="00504F06">
        <w:t>acros</w:t>
      </w:r>
      <w:r w:rsidR="00823F92">
        <w:t xml:space="preserve">s </w:t>
      </w:r>
      <w:r w:rsidR="00504F06">
        <w:t>setting</w:t>
      </w:r>
      <w:r w:rsidR="00823F92">
        <w:t xml:space="preserve">s </w:t>
      </w:r>
      <w:r w:rsidR="00504F06">
        <w:t>an</w:t>
      </w:r>
      <w:r w:rsidR="00823F92">
        <w:t xml:space="preserve">d </w:t>
      </w:r>
      <w:r w:rsidR="00504F06">
        <w:t>occupations</w:t>
      </w:r>
      <w:r w:rsidR="00823F92">
        <w:t xml:space="preserve">. </w:t>
      </w:r>
      <w:r w:rsidR="00504F06">
        <w:t>Feedbac</w:t>
      </w:r>
      <w:r w:rsidR="00823F92">
        <w:t xml:space="preserve">k </w:t>
      </w:r>
      <w:r w:rsidR="00504F06">
        <w:t>fro</w:t>
      </w:r>
      <w:r w:rsidR="00823F92">
        <w:t xml:space="preserve">m </w:t>
      </w:r>
      <w:r w:rsidR="00504F06">
        <w:t>stakeholder</w:t>
      </w:r>
      <w:r w:rsidR="00823F92">
        <w:t xml:space="preserve">s </w:t>
      </w:r>
      <w:r w:rsidR="00504F06">
        <w:t>indicate</w:t>
      </w:r>
      <w:r w:rsidR="00823F92">
        <w:t xml:space="preserve">d </w:t>
      </w:r>
      <w:r w:rsidR="00504F06">
        <w:t>ther</w:t>
      </w:r>
      <w:r w:rsidR="00823F92">
        <w:t xml:space="preserve">e </w:t>
      </w:r>
      <w:r w:rsidR="00504F06">
        <w:t>i</w:t>
      </w:r>
      <w:r w:rsidR="00823F92">
        <w:t xml:space="preserve">s </w:t>
      </w:r>
      <w:r w:rsidR="00504F06">
        <w:t>ofte</w:t>
      </w:r>
      <w:r w:rsidR="00823F92">
        <w:t xml:space="preserve">n </w:t>
      </w:r>
      <w:r w:rsidR="00504F06">
        <w:t>limite</w:t>
      </w:r>
      <w:r w:rsidR="00823F92">
        <w:t xml:space="preserve">d </w:t>
      </w:r>
      <w:r w:rsidR="00504F06">
        <w:t>share</w:t>
      </w:r>
      <w:r w:rsidR="00823F92">
        <w:t xml:space="preserve">d </w:t>
      </w:r>
      <w:r w:rsidR="00504F06">
        <w:t>understandin</w:t>
      </w:r>
      <w:r w:rsidR="00823F92">
        <w:t xml:space="preserve">g </w:t>
      </w:r>
      <w:r w:rsidR="00504F06">
        <w:t>o</w:t>
      </w:r>
      <w:r w:rsidR="00823F92">
        <w:t xml:space="preserve">f </w:t>
      </w:r>
      <w:r w:rsidR="00504F06">
        <w:t>trainin</w:t>
      </w:r>
      <w:r w:rsidR="00823F92">
        <w:t xml:space="preserve">g </w:t>
      </w:r>
      <w:r w:rsidR="00504F06">
        <w:t>pipelines</w:t>
      </w:r>
      <w:r w:rsidR="00823F92">
        <w:t xml:space="preserve">, </w:t>
      </w:r>
      <w:r w:rsidR="00504F06">
        <w:t>workforc</w:t>
      </w:r>
      <w:r w:rsidR="00823F92">
        <w:t xml:space="preserve">e </w:t>
      </w:r>
      <w:r w:rsidR="00504F06">
        <w:t>need</w:t>
      </w:r>
      <w:r w:rsidR="00823F92">
        <w:t xml:space="preserve">s </w:t>
      </w:r>
      <w:r w:rsidR="00504F06">
        <w:t>an</w:t>
      </w:r>
      <w:r w:rsidR="00823F92">
        <w:t xml:space="preserve">d </w:t>
      </w:r>
      <w:r w:rsidR="00504F06">
        <w:t>supports</w:t>
      </w:r>
      <w:r w:rsidR="00823F92">
        <w:t xml:space="preserve">. </w:t>
      </w:r>
    </w:p>
    <w:p w14:paraId="4E5FEAEA" w14:textId="7409172B" w:rsidR="00453F15" w:rsidRDefault="00453F15" w:rsidP="003B4A14">
      <w:pPr>
        <w:pStyle w:val="Heading2"/>
      </w:pPr>
      <w:bookmarkStart w:id="19" w:name="_Toc99018991"/>
      <w:r>
        <w:t>Utilisation</w:t>
      </w:r>
      <w:bookmarkEnd w:id="19"/>
    </w:p>
    <w:p w14:paraId="48F6A1DF" w14:textId="57A3D940" w:rsidR="00453F15" w:rsidRDefault="00483CBB" w:rsidP="002F0D35">
      <w:pPr>
        <w:pStyle w:val="Heading3nonumber"/>
        <w:keepNext/>
      </w:pPr>
      <w:r>
        <w:t>Clearl</w:t>
      </w:r>
      <w:r w:rsidR="00823F92">
        <w:t xml:space="preserve">y </w:t>
      </w:r>
      <w:r w:rsidR="00453F15">
        <w:t>define</w:t>
      </w:r>
      <w:r w:rsidR="00823F92">
        <w:t xml:space="preserve">d </w:t>
      </w:r>
      <w:r w:rsidR="00453F15">
        <w:t>competencie</w:t>
      </w:r>
      <w:r w:rsidR="00823F92">
        <w:t xml:space="preserve">s </w:t>
      </w:r>
      <w:r w:rsidR="00EF6F7C">
        <w:t>cor</w:t>
      </w:r>
      <w:r w:rsidR="00823F92">
        <w:t xml:space="preserve">e </w:t>
      </w:r>
      <w:r w:rsidR="00EF6F7C">
        <w:t>competencies</w:t>
      </w:r>
    </w:p>
    <w:p w14:paraId="38ACC646" w14:textId="068B6DDF" w:rsidR="00453F15" w:rsidRDefault="00453F15" w:rsidP="002C3620">
      <w:pPr>
        <w:pStyle w:val="BodyText"/>
      </w:pPr>
      <w:r w:rsidRPr="006C4490">
        <w:t>Consumer</w:t>
      </w:r>
      <w:r w:rsidR="00823F92" w:rsidRPr="006C4490">
        <w:t>s</w:t>
      </w:r>
      <w:r w:rsidR="00823F92">
        <w:t xml:space="preserve"> </w:t>
      </w:r>
      <w:r w:rsidRPr="006C4490">
        <w:t>an</w:t>
      </w:r>
      <w:r w:rsidR="00823F92" w:rsidRPr="006C4490">
        <w:t>d</w:t>
      </w:r>
      <w:r w:rsidR="00823F92">
        <w:t xml:space="preserve"> </w:t>
      </w:r>
      <w:r w:rsidRPr="006C4490">
        <w:t>carer</w:t>
      </w:r>
      <w:r w:rsidR="00823F92" w:rsidRPr="006C4490">
        <w:t>s</w:t>
      </w:r>
      <w:r w:rsidR="00823F92">
        <w:t xml:space="preserve"> </w:t>
      </w:r>
      <w:r w:rsidRPr="006C4490">
        <w:t>requir</w:t>
      </w:r>
      <w:r w:rsidR="00823F92" w:rsidRPr="006C4490">
        <w:t>e</w:t>
      </w:r>
      <w:r w:rsidR="00823F92">
        <w:t xml:space="preserve"> </w:t>
      </w:r>
      <w:r w:rsidRPr="006C4490">
        <w:t>acces</w:t>
      </w:r>
      <w:r w:rsidR="00823F92" w:rsidRPr="006C4490">
        <w:t>s</w:t>
      </w:r>
      <w:r w:rsidR="00823F92">
        <w:t xml:space="preserve"> </w:t>
      </w:r>
      <w:r w:rsidRPr="006C4490">
        <w:t>t</w:t>
      </w:r>
      <w:r w:rsidR="00823F92" w:rsidRPr="006C4490">
        <w:t>o</w:t>
      </w:r>
      <w:r w:rsidR="00823F92">
        <w:t xml:space="preserve"> </w:t>
      </w:r>
      <w:r w:rsidRPr="006C4490">
        <w:t>safe</w:t>
      </w:r>
      <w:r w:rsidR="00823F92">
        <w:t xml:space="preserve">, </w:t>
      </w:r>
      <w:r w:rsidRPr="006C4490">
        <w:t>hig</w:t>
      </w:r>
      <w:r w:rsidR="00823F92" w:rsidRPr="006C4490">
        <w:t>h</w:t>
      </w:r>
      <w:r w:rsidR="00823F92">
        <w:t xml:space="preserve"> </w:t>
      </w:r>
      <w:r w:rsidRPr="006C4490">
        <w:t>qualit</w:t>
      </w:r>
      <w:r w:rsidR="00823F92" w:rsidRPr="006C4490">
        <w:t>y</w:t>
      </w:r>
      <w:r w:rsidR="00823F92">
        <w:t xml:space="preserve"> </w:t>
      </w:r>
      <w:r w:rsidR="00A0427A">
        <w:t>treatment</w:t>
      </w:r>
      <w:r w:rsidR="00823F92">
        <w:t xml:space="preserve">, </w:t>
      </w:r>
      <w:r w:rsidR="00A0427A">
        <w:t>car</w:t>
      </w:r>
      <w:r w:rsidR="00823F92">
        <w:t xml:space="preserve">e </w:t>
      </w:r>
      <w:r w:rsidR="00A0427A">
        <w:t>an</w:t>
      </w:r>
      <w:r w:rsidR="00823F92">
        <w:t xml:space="preserve">d </w:t>
      </w:r>
      <w:r w:rsidR="00A0427A">
        <w:t>support</w:t>
      </w:r>
      <w:r w:rsidR="00823F92" w:rsidRPr="006C4490">
        <w:t>,</w:t>
      </w:r>
      <w:r w:rsidR="00823F92">
        <w:t xml:space="preserve"> </w:t>
      </w:r>
      <w:r w:rsidRPr="006C4490">
        <w:t>delivere</w:t>
      </w:r>
      <w:r w:rsidR="00823F92" w:rsidRPr="006C4490">
        <w:t>d</w:t>
      </w:r>
      <w:r w:rsidR="00823F92">
        <w:t xml:space="preserve"> </w:t>
      </w:r>
      <w:r w:rsidRPr="006C4490">
        <w:t>b</w:t>
      </w:r>
      <w:r w:rsidR="00823F92" w:rsidRPr="006C4490">
        <w:t>y</w:t>
      </w:r>
      <w:r w:rsidR="00823F92">
        <w:t xml:space="preserve"> </w:t>
      </w:r>
      <w:r w:rsidRPr="006C4490">
        <w:t>skille</w:t>
      </w:r>
      <w:r w:rsidR="00823F92" w:rsidRPr="006C4490">
        <w:t>d</w:t>
      </w:r>
      <w:r w:rsidR="00823F92">
        <w:t xml:space="preserve"> </w:t>
      </w:r>
      <w:r w:rsidRPr="006C4490">
        <w:t>worker</w:t>
      </w:r>
      <w:r w:rsidR="00823F92" w:rsidRPr="006C4490">
        <w:t>s</w:t>
      </w:r>
      <w:r w:rsidR="00823F92">
        <w:t xml:space="preserve"> </w:t>
      </w:r>
      <w:r w:rsidRPr="006C4490">
        <w:t>fro</w:t>
      </w:r>
      <w:r w:rsidR="00823F92" w:rsidRPr="006C4490">
        <w:t>m</w:t>
      </w:r>
      <w:r w:rsidR="00823F92">
        <w:t xml:space="preserve"> </w:t>
      </w:r>
      <w:r w:rsidR="00823F92" w:rsidRPr="006C4490">
        <w:t>a</w:t>
      </w:r>
      <w:r w:rsidR="00823F92">
        <w:t xml:space="preserve"> </w:t>
      </w:r>
      <w:r w:rsidRPr="006C4490">
        <w:t>broa</w:t>
      </w:r>
      <w:r w:rsidR="00823F92" w:rsidRPr="006C4490">
        <w:t>d</w:t>
      </w:r>
      <w:r w:rsidR="00823F92">
        <w:t xml:space="preserve"> </w:t>
      </w:r>
      <w:r w:rsidRPr="006C4490">
        <w:t>rang</w:t>
      </w:r>
      <w:r w:rsidR="00823F92" w:rsidRPr="006C4490">
        <w:t>e</w:t>
      </w:r>
      <w:r w:rsidR="00823F92">
        <w:t xml:space="preserve"> </w:t>
      </w:r>
      <w:r w:rsidRPr="006C4490">
        <w:t>o</w:t>
      </w:r>
      <w:r w:rsidR="00823F92" w:rsidRPr="006C4490">
        <w:t>f</w:t>
      </w:r>
      <w:r w:rsidR="00823F92">
        <w:t xml:space="preserve"> </w:t>
      </w:r>
      <w:r w:rsidR="000B5C5D">
        <w:t>occupation</w:t>
      </w:r>
      <w:r w:rsidR="00823F92">
        <w:t xml:space="preserve">s </w:t>
      </w:r>
      <w:r w:rsidRPr="006C4490">
        <w:t>i</w:t>
      </w:r>
      <w:r w:rsidR="00823F92" w:rsidRPr="006C4490">
        <w:t>n</w:t>
      </w:r>
      <w:r w:rsidR="00823F92">
        <w:t xml:space="preserve"> </w:t>
      </w:r>
      <w:r>
        <w:t>divers</w:t>
      </w:r>
      <w:r w:rsidR="00823F92">
        <w:t xml:space="preserve">e </w:t>
      </w:r>
      <w:r w:rsidRPr="006C4490">
        <w:t>servic</w:t>
      </w:r>
      <w:r w:rsidR="00823F92" w:rsidRPr="006C4490">
        <w:t>e</w:t>
      </w:r>
      <w:r w:rsidR="00823F92">
        <w:t xml:space="preserve"> </w:t>
      </w:r>
      <w:r w:rsidRPr="006C4490">
        <w:t>settings</w:t>
      </w:r>
      <w:r w:rsidR="00823F92" w:rsidRPr="006C4490">
        <w:t>.</w:t>
      </w:r>
      <w:r w:rsidR="00823F92">
        <w:t xml:space="preserve"> </w:t>
      </w:r>
      <w:r w:rsidR="00672B7C">
        <w:t>Th</w:t>
      </w:r>
      <w:r w:rsidR="00823F92">
        <w:t xml:space="preserve">e </w:t>
      </w:r>
      <w:r w:rsidR="00672B7C">
        <w:t>consultation</w:t>
      </w:r>
      <w:r w:rsidR="00823F92">
        <w:t xml:space="preserve">s </w:t>
      </w:r>
      <w:r w:rsidR="00672B7C">
        <w:t>hel</w:t>
      </w:r>
      <w:r w:rsidR="00823F92">
        <w:t xml:space="preserve">d </w:t>
      </w:r>
      <w:r w:rsidR="009530A5">
        <w:t>b</w:t>
      </w:r>
      <w:r w:rsidR="00823F92">
        <w:t xml:space="preserve">y </w:t>
      </w:r>
      <w:r w:rsidR="00672B7C">
        <w:t>th</w:t>
      </w:r>
      <w:r w:rsidR="00823F92">
        <w:t xml:space="preserve">e </w:t>
      </w:r>
      <w:r w:rsidR="00672B7C">
        <w:t>Taskforc</w:t>
      </w:r>
      <w:r w:rsidR="00823F92">
        <w:t xml:space="preserve">e </w:t>
      </w:r>
      <w:r w:rsidR="00672B7C">
        <w:t>identifie</w:t>
      </w:r>
      <w:r w:rsidR="00823F92">
        <w:t xml:space="preserve">d </w:t>
      </w:r>
      <w:r w:rsidR="00672B7C">
        <w:t>tha</w:t>
      </w:r>
      <w:r w:rsidR="00823F92">
        <w:t xml:space="preserve">t </w:t>
      </w:r>
      <w:r w:rsidRPr="006C4490">
        <w:t>ther</w:t>
      </w:r>
      <w:r w:rsidR="00823F92" w:rsidRPr="006C4490">
        <w:t>e</w:t>
      </w:r>
      <w:r w:rsidR="00823F92">
        <w:t xml:space="preserve"> </w:t>
      </w:r>
      <w:r w:rsidRPr="006C4490">
        <w:t>i</w:t>
      </w:r>
      <w:r w:rsidR="00823F92" w:rsidRPr="006C4490">
        <w:t>s</w:t>
      </w:r>
      <w:r w:rsidR="00823F92">
        <w:t xml:space="preserve"> </w:t>
      </w:r>
      <w:r w:rsidRPr="006C4490">
        <w:t>grea</w:t>
      </w:r>
      <w:r w:rsidR="00823F92" w:rsidRPr="006C4490">
        <w:t>t</w:t>
      </w:r>
      <w:r w:rsidR="00823F92">
        <w:t xml:space="preserve"> </w:t>
      </w:r>
      <w:r w:rsidRPr="006C4490">
        <w:t>variatio</w:t>
      </w:r>
      <w:r w:rsidR="00823F92" w:rsidRPr="006C4490">
        <w:t>n</w:t>
      </w:r>
      <w:r w:rsidR="00823F92">
        <w:t xml:space="preserve"> </w:t>
      </w:r>
      <w:r w:rsidRPr="006C4490">
        <w:t>i</w:t>
      </w:r>
      <w:r w:rsidR="00823F92" w:rsidRPr="006C4490">
        <w:t>n</w:t>
      </w:r>
      <w:r w:rsidR="00823F92">
        <w:t xml:space="preserve"> </w:t>
      </w:r>
      <w:r w:rsidRPr="006C4490">
        <w:t>th</w:t>
      </w:r>
      <w:r w:rsidR="00823F92" w:rsidRPr="006C4490">
        <w:t>e</w:t>
      </w:r>
      <w:r w:rsidR="00823F92">
        <w:t xml:space="preserve"> </w:t>
      </w:r>
      <w:r w:rsidRPr="006C4490">
        <w:t>knowledge</w:t>
      </w:r>
      <w:r w:rsidR="00823F92" w:rsidRPr="006C4490">
        <w:t>,</w:t>
      </w:r>
      <w:r w:rsidR="00823F92">
        <w:t xml:space="preserve"> </w:t>
      </w:r>
      <w:r w:rsidRPr="006C4490">
        <w:t>skill</w:t>
      </w:r>
      <w:r w:rsidR="00823F92" w:rsidRPr="006C4490">
        <w:t>s</w:t>
      </w:r>
      <w:r w:rsidR="00823F92">
        <w:t xml:space="preserve"> </w:t>
      </w:r>
      <w:r w:rsidRPr="006C4490">
        <w:t>an</w:t>
      </w:r>
      <w:r w:rsidR="00823F92" w:rsidRPr="006C4490">
        <w:t>d</w:t>
      </w:r>
      <w:r w:rsidR="00823F92">
        <w:t xml:space="preserve"> </w:t>
      </w:r>
      <w:r>
        <w:t>behaviour</w:t>
      </w:r>
      <w:r w:rsidR="00823F92">
        <w:t xml:space="preserve">s </w:t>
      </w:r>
      <w:r>
        <w:t>tha</w:t>
      </w:r>
      <w:r w:rsidR="00823F92">
        <w:t xml:space="preserve">t </w:t>
      </w:r>
      <w:r>
        <w:t>regulator</w:t>
      </w:r>
      <w:r w:rsidR="00823F92">
        <w:t xml:space="preserve">s </w:t>
      </w:r>
      <w:r>
        <w:t>an</w:t>
      </w:r>
      <w:r w:rsidR="00823F92">
        <w:t xml:space="preserve">d </w:t>
      </w:r>
      <w:r>
        <w:t>employer</w:t>
      </w:r>
      <w:r w:rsidR="00823F92">
        <w:t xml:space="preserve">s </w:t>
      </w:r>
      <w:r w:rsidRPr="006C4490">
        <w:t>requir</w:t>
      </w:r>
      <w:r w:rsidR="00823F92" w:rsidRPr="006C4490">
        <w:t>e</w:t>
      </w:r>
      <w:r w:rsidR="00823F92">
        <w:t xml:space="preserve"> </w:t>
      </w:r>
      <w:r>
        <w:t>o</w:t>
      </w:r>
      <w:r w:rsidR="00823F92">
        <w:t xml:space="preserve">f </w:t>
      </w:r>
      <w:r>
        <w:t>th</w:t>
      </w:r>
      <w:r w:rsidR="00823F92">
        <w:t xml:space="preserve">e </w:t>
      </w:r>
      <w:r w:rsidR="000B5C5D">
        <w:t>occupation</w:t>
      </w:r>
      <w:r w:rsidR="00823F92">
        <w:t xml:space="preserve">s </w:t>
      </w:r>
      <w:r w:rsidRPr="006C4490">
        <w:t>i</w:t>
      </w:r>
      <w:r w:rsidR="00823F92" w:rsidRPr="006C4490">
        <w:t>n</w:t>
      </w:r>
      <w:r w:rsidR="00823F92">
        <w:t xml:space="preserve"> </w:t>
      </w:r>
      <w:r w:rsidRPr="006C4490">
        <w:t>th</w:t>
      </w:r>
      <w:r w:rsidR="00823F92" w:rsidRPr="006C4490">
        <w:t>e</w:t>
      </w:r>
      <w:r w:rsidR="00823F92">
        <w:t xml:space="preserve"> </w:t>
      </w:r>
      <w:r w:rsidRPr="006C4490">
        <w:t>menta</w:t>
      </w:r>
      <w:r w:rsidR="00823F92" w:rsidRPr="006C4490">
        <w:t>l</w:t>
      </w:r>
      <w:r w:rsidR="00823F92">
        <w:t xml:space="preserve"> </w:t>
      </w:r>
      <w:r w:rsidRPr="006C4490">
        <w:t>healt</w:t>
      </w:r>
      <w:r w:rsidR="00823F92" w:rsidRPr="006C4490">
        <w:t>h</w:t>
      </w:r>
      <w:r w:rsidR="00823F92">
        <w:t xml:space="preserve"> </w:t>
      </w:r>
      <w:r w:rsidRPr="006C4490">
        <w:t>sector</w:t>
      </w:r>
      <w:r w:rsidR="00823F92" w:rsidRPr="006C4490">
        <w:t>.</w:t>
      </w:r>
      <w:r w:rsidR="00823F92">
        <w:t xml:space="preserve"> </w:t>
      </w:r>
      <w:r w:rsidR="00C82DF9">
        <w:t>Som</w:t>
      </w:r>
      <w:r w:rsidR="00823F92">
        <w:t xml:space="preserve">e </w:t>
      </w:r>
      <w:r w:rsidR="00C82DF9">
        <w:t>occupation</w:t>
      </w:r>
      <w:r w:rsidR="00823F92">
        <w:t xml:space="preserve">s </w:t>
      </w:r>
      <w:r w:rsidR="00C82DF9">
        <w:t>hav</w:t>
      </w:r>
      <w:r w:rsidR="00823F92">
        <w:t xml:space="preserve">e </w:t>
      </w:r>
      <w:r w:rsidR="00C82DF9">
        <w:t>clearl</w:t>
      </w:r>
      <w:r w:rsidR="00823F92">
        <w:t xml:space="preserve">y </w:t>
      </w:r>
      <w:r w:rsidR="00C82DF9">
        <w:t>define</w:t>
      </w:r>
      <w:r w:rsidR="00823F92">
        <w:t xml:space="preserve">d </w:t>
      </w:r>
      <w:r w:rsidR="00C82DF9">
        <w:t>competencies</w:t>
      </w:r>
      <w:r w:rsidR="00823F92">
        <w:t xml:space="preserve">, </w:t>
      </w:r>
      <w:r w:rsidR="00C82DF9">
        <w:t>wherea</w:t>
      </w:r>
      <w:r w:rsidR="00823F92">
        <w:t xml:space="preserve">s </w:t>
      </w:r>
      <w:r w:rsidR="00C82DF9">
        <w:t>other</w:t>
      </w:r>
      <w:r w:rsidR="00823F92">
        <w:t xml:space="preserve">s </w:t>
      </w:r>
      <w:r w:rsidR="00C82DF9">
        <w:t>hav</w:t>
      </w:r>
      <w:r w:rsidR="00823F92">
        <w:t xml:space="preserve">e </w:t>
      </w:r>
      <w:r w:rsidR="00C82DF9">
        <w:t>limite</w:t>
      </w:r>
      <w:r w:rsidR="00823F92">
        <w:t xml:space="preserve">d </w:t>
      </w:r>
      <w:r w:rsidR="00C82DF9">
        <w:t>nationa</w:t>
      </w:r>
      <w:r w:rsidR="00823F92">
        <w:t xml:space="preserve">l </w:t>
      </w:r>
      <w:r w:rsidR="00C82DF9">
        <w:t>consistency</w:t>
      </w:r>
      <w:r w:rsidR="00823F92">
        <w:t xml:space="preserve">. </w:t>
      </w:r>
    </w:p>
    <w:p w14:paraId="20DF7A35" w14:textId="7D8221D4" w:rsidR="00C82DF9" w:rsidRPr="006C4490" w:rsidRDefault="00EF6F7C" w:rsidP="002C3620">
      <w:pPr>
        <w:pStyle w:val="BodyText"/>
      </w:pPr>
      <w:r>
        <w:t>T</w:t>
      </w:r>
      <w:r w:rsidR="00C82DF9">
        <w:t>her</w:t>
      </w:r>
      <w:r w:rsidR="00823F92">
        <w:t xml:space="preserve">e </w:t>
      </w:r>
      <w:r w:rsidR="00C82DF9">
        <w:t>i</w:t>
      </w:r>
      <w:r w:rsidR="00823F92">
        <w:t xml:space="preserve">s </w:t>
      </w:r>
      <w:r w:rsidR="00C82DF9">
        <w:t>n</w:t>
      </w:r>
      <w:r w:rsidR="00823F92">
        <w:t xml:space="preserve">o </w:t>
      </w:r>
      <w:r w:rsidR="00C82DF9">
        <w:t>clea</w:t>
      </w:r>
      <w:r w:rsidR="00823F92">
        <w:t xml:space="preserve">r </w:t>
      </w:r>
      <w:r w:rsidR="00C82DF9">
        <w:t>competenc</w:t>
      </w:r>
      <w:r w:rsidR="00823F92">
        <w:t xml:space="preserve">y </w:t>
      </w:r>
      <w:r w:rsidR="00C82DF9">
        <w:t>framewor</w:t>
      </w:r>
      <w:r w:rsidR="00823F92">
        <w:t xml:space="preserve">k </w:t>
      </w:r>
      <w:r w:rsidR="00C82DF9">
        <w:t>tha</w:t>
      </w:r>
      <w:r w:rsidR="00823F92">
        <w:t xml:space="preserve">t </w:t>
      </w:r>
      <w:r w:rsidR="00C82DF9">
        <w:t>clarifie</w:t>
      </w:r>
      <w:r w:rsidR="00823F92">
        <w:t xml:space="preserve">s </w:t>
      </w:r>
      <w:r w:rsidR="00C82DF9">
        <w:t>th</w:t>
      </w:r>
      <w:r w:rsidR="00823F92">
        <w:t xml:space="preserve">e </w:t>
      </w:r>
      <w:r>
        <w:t>cor</w:t>
      </w:r>
      <w:r w:rsidR="00823F92">
        <w:t xml:space="preserve">e </w:t>
      </w:r>
      <w:r w:rsidR="00C82DF9">
        <w:t>knowledge</w:t>
      </w:r>
      <w:r w:rsidR="00823F92">
        <w:t xml:space="preserve">, </w:t>
      </w:r>
      <w:r w:rsidR="00C82DF9">
        <w:t>skill</w:t>
      </w:r>
      <w:r w:rsidR="00823F92">
        <w:t xml:space="preserve">s </w:t>
      </w:r>
      <w:r w:rsidR="00C82DF9">
        <w:t>an</w:t>
      </w:r>
      <w:r w:rsidR="00823F92">
        <w:t xml:space="preserve">d </w:t>
      </w:r>
      <w:r w:rsidR="00C82DF9">
        <w:t>attitude</w:t>
      </w:r>
      <w:r w:rsidR="00823F92">
        <w:t xml:space="preserve">s </w:t>
      </w:r>
      <w:r w:rsidR="00C82DF9">
        <w:t>require</w:t>
      </w:r>
      <w:r w:rsidR="00823F92">
        <w:t xml:space="preserve">d </w:t>
      </w:r>
      <w:r w:rsidR="0012496D">
        <w:t>t</w:t>
      </w:r>
      <w:r w:rsidR="00823F92">
        <w:t xml:space="preserve">o </w:t>
      </w:r>
      <w:r w:rsidR="0012496D">
        <w:t>delive</w:t>
      </w:r>
      <w:r w:rsidR="00823F92">
        <w:t xml:space="preserve">r </w:t>
      </w:r>
      <w:r w:rsidR="0012496D">
        <w:t>differen</w:t>
      </w:r>
      <w:r w:rsidR="00823F92">
        <w:t xml:space="preserve">t </w:t>
      </w:r>
      <w:r w:rsidR="0012496D">
        <w:t>form</w:t>
      </w:r>
      <w:r w:rsidR="00823F92">
        <w:t xml:space="preserve">s </w:t>
      </w:r>
      <w:r w:rsidR="0012496D">
        <w:t>o</w:t>
      </w:r>
      <w:r w:rsidR="00823F92">
        <w:t xml:space="preserve">f </w:t>
      </w:r>
      <w:r w:rsidR="0012496D">
        <w:t>suppor</w:t>
      </w:r>
      <w:r w:rsidR="00823F92">
        <w:t xml:space="preserve">t </w:t>
      </w:r>
      <w:r w:rsidR="0012496D">
        <w:t>an</w:t>
      </w:r>
      <w:r w:rsidR="00823F92">
        <w:t xml:space="preserve">d </w:t>
      </w:r>
      <w:r w:rsidR="0012496D">
        <w:t>treatmen</w:t>
      </w:r>
      <w:r w:rsidR="00823F92">
        <w:t xml:space="preserve">t </w:t>
      </w:r>
      <w:r>
        <w:t>i</w:t>
      </w:r>
      <w:r w:rsidR="00823F92">
        <w:t xml:space="preserve">n </w:t>
      </w:r>
      <w:r>
        <w:t>th</w:t>
      </w:r>
      <w:r w:rsidR="00823F92">
        <w:t xml:space="preserve">e </w:t>
      </w:r>
      <w:r>
        <w:t>menta</w:t>
      </w:r>
      <w:r w:rsidR="00823F92">
        <w:t xml:space="preserve">l </w:t>
      </w:r>
      <w:r>
        <w:t>healt</w:t>
      </w:r>
      <w:r w:rsidR="00823F92">
        <w:t xml:space="preserve">h </w:t>
      </w:r>
      <w:r>
        <w:t>sector</w:t>
      </w:r>
      <w:r w:rsidR="00823F92">
        <w:t xml:space="preserve">. </w:t>
      </w:r>
      <w:r w:rsidR="0012496D">
        <w:t>Thi</w:t>
      </w:r>
      <w:r w:rsidR="00823F92">
        <w:t xml:space="preserve">s </w:t>
      </w:r>
      <w:r w:rsidR="0012496D">
        <w:t>make</w:t>
      </w:r>
      <w:r w:rsidR="00823F92">
        <w:t xml:space="preserve">s </w:t>
      </w:r>
      <w:r w:rsidR="0012496D">
        <w:t>i</w:t>
      </w:r>
      <w:r w:rsidR="00823F92">
        <w:t xml:space="preserve">t </w:t>
      </w:r>
      <w:r w:rsidR="0012496D">
        <w:t>difficul</w:t>
      </w:r>
      <w:r w:rsidR="00823F92">
        <w:t xml:space="preserve">t </w:t>
      </w:r>
      <w:r w:rsidR="0012496D">
        <w:t>t</w:t>
      </w:r>
      <w:r w:rsidR="00823F92">
        <w:t xml:space="preserve">o </w:t>
      </w:r>
      <w:r w:rsidR="0012496D">
        <w:t>understan</w:t>
      </w:r>
      <w:r w:rsidR="00823F92">
        <w:t xml:space="preserve">d </w:t>
      </w:r>
      <w:r w:rsidR="0012496D">
        <w:t>th</w:t>
      </w:r>
      <w:r w:rsidR="00823F92">
        <w:t xml:space="preserve">e </w:t>
      </w:r>
      <w:r w:rsidR="0012496D">
        <w:t>competencie</w:t>
      </w:r>
      <w:r w:rsidR="00823F92">
        <w:t xml:space="preserve">s </w:t>
      </w:r>
      <w:r w:rsidR="0012496D">
        <w:t>tha</w:t>
      </w:r>
      <w:r w:rsidR="00823F92">
        <w:t xml:space="preserve">t </w:t>
      </w:r>
      <w:r w:rsidR="001B7C23">
        <w:t>ar</w:t>
      </w:r>
      <w:r w:rsidR="00823F92">
        <w:t xml:space="preserve">e </w:t>
      </w:r>
      <w:r w:rsidR="0012496D">
        <w:t>share</w:t>
      </w:r>
      <w:r w:rsidR="00823F92">
        <w:t xml:space="preserve">d </w:t>
      </w:r>
      <w:r w:rsidR="0012496D">
        <w:t>acros</w:t>
      </w:r>
      <w:r w:rsidR="00823F92">
        <w:t xml:space="preserve">s </w:t>
      </w:r>
      <w:r w:rsidR="0012496D">
        <w:t>discipline</w:t>
      </w:r>
      <w:r w:rsidR="00823F92">
        <w:t xml:space="preserve">s </w:t>
      </w:r>
      <w:r w:rsidR="001B7C23">
        <w:t>an</w:t>
      </w:r>
      <w:r w:rsidR="00823F92">
        <w:t xml:space="preserve">d </w:t>
      </w:r>
      <w:r w:rsidR="001B7C23">
        <w:t>require</w:t>
      </w:r>
      <w:r w:rsidR="00823F92">
        <w:t xml:space="preserve">d </w:t>
      </w:r>
      <w:r w:rsidR="001B7C23">
        <w:t>fo</w:t>
      </w:r>
      <w:r w:rsidR="00823F92">
        <w:t xml:space="preserve">r </w:t>
      </w:r>
      <w:r w:rsidR="001B7C23">
        <w:t>al</w:t>
      </w:r>
      <w:r w:rsidR="00823F92">
        <w:t xml:space="preserve">l </w:t>
      </w:r>
      <w:r w:rsidR="001B7C23">
        <w:t>wor</w:t>
      </w:r>
      <w:r w:rsidR="00823F92">
        <w:t xml:space="preserve">k </w:t>
      </w:r>
      <w:r w:rsidR="001B7C23">
        <w:t>i</w:t>
      </w:r>
      <w:r w:rsidR="00823F92">
        <w:t xml:space="preserve">n </w:t>
      </w:r>
      <w:r w:rsidR="001B7C23">
        <w:t>th</w:t>
      </w:r>
      <w:r w:rsidR="00823F92">
        <w:t xml:space="preserve">e </w:t>
      </w:r>
      <w:r w:rsidR="001B7C23">
        <w:t>menta</w:t>
      </w:r>
      <w:r w:rsidR="00823F92">
        <w:t xml:space="preserve">l </w:t>
      </w:r>
      <w:r w:rsidR="001B7C23">
        <w:t>healt</w:t>
      </w:r>
      <w:r w:rsidR="00823F92">
        <w:t xml:space="preserve">h </w:t>
      </w:r>
      <w:r w:rsidR="001B7C23">
        <w:t>sector</w:t>
      </w:r>
      <w:r w:rsidR="00823F92">
        <w:t xml:space="preserve">, </w:t>
      </w:r>
      <w:r w:rsidR="001B7C23">
        <w:t>o</w:t>
      </w:r>
      <w:r w:rsidR="00823F92">
        <w:t xml:space="preserve">r </w:t>
      </w:r>
      <w:r w:rsidR="001B7C23">
        <w:t>thos</w:t>
      </w:r>
      <w:r w:rsidR="00823F92">
        <w:t xml:space="preserve">e </w:t>
      </w:r>
      <w:r w:rsidR="001B7C23">
        <w:t>tha</w:t>
      </w:r>
      <w:r w:rsidR="00823F92">
        <w:t xml:space="preserve">t </w:t>
      </w:r>
      <w:r w:rsidR="001B7C23">
        <w:t>ar</w:t>
      </w:r>
      <w:r w:rsidR="00823F92">
        <w:t xml:space="preserve">e </w:t>
      </w:r>
      <w:r w:rsidR="001B7C23">
        <w:t>discipline-specifi</w:t>
      </w:r>
      <w:r w:rsidR="00823F92">
        <w:t xml:space="preserve">c </w:t>
      </w:r>
      <w:r w:rsidR="001B7C23">
        <w:t>an</w:t>
      </w:r>
      <w:r w:rsidR="00823F92">
        <w:t xml:space="preserve">d </w:t>
      </w:r>
      <w:r w:rsidR="001B7C23">
        <w:t>wil</w:t>
      </w:r>
      <w:r w:rsidR="00823F92">
        <w:t xml:space="preserve">l </w:t>
      </w:r>
      <w:r w:rsidR="001B7C23">
        <w:t>depen</w:t>
      </w:r>
      <w:r w:rsidR="00823F92">
        <w:t xml:space="preserve">d </w:t>
      </w:r>
      <w:r w:rsidR="001B7C23">
        <w:t>o</w:t>
      </w:r>
      <w:r w:rsidR="00823F92">
        <w:t xml:space="preserve">n </w:t>
      </w:r>
      <w:r w:rsidR="001B7C23">
        <w:t>th</w:t>
      </w:r>
      <w:r w:rsidR="00823F92">
        <w:t xml:space="preserve">e </w:t>
      </w:r>
      <w:r w:rsidR="001B7C23">
        <w:t>occupatio</w:t>
      </w:r>
      <w:r w:rsidR="00823F92">
        <w:t xml:space="preserve">n </w:t>
      </w:r>
      <w:r w:rsidR="001B7C23">
        <w:t>itself</w:t>
      </w:r>
      <w:r w:rsidR="00823F92">
        <w:t xml:space="preserve">. </w:t>
      </w:r>
    </w:p>
    <w:p w14:paraId="2E771A97" w14:textId="21BA2CA1" w:rsidR="00453F15" w:rsidRPr="000E25B1" w:rsidRDefault="00E958F7" w:rsidP="002F0D35">
      <w:pPr>
        <w:pStyle w:val="Heading3nonumber"/>
        <w:keepNext/>
      </w:pPr>
      <w:r>
        <w:t>C</w:t>
      </w:r>
      <w:r w:rsidR="00453F15" w:rsidRPr="000E25B1">
        <w:t>ompetencie</w:t>
      </w:r>
      <w:r w:rsidR="00823F92" w:rsidRPr="000E25B1">
        <w:t>s</w:t>
      </w:r>
      <w:r w:rsidR="00823F92">
        <w:t xml:space="preserve"> </w:t>
      </w:r>
      <w:r w:rsidR="00453F15">
        <w:t>fo</w:t>
      </w:r>
      <w:r w:rsidR="00823F92">
        <w:t xml:space="preserve">r </w:t>
      </w:r>
      <w:r w:rsidR="00453F15">
        <w:t>th</w:t>
      </w:r>
      <w:r w:rsidR="00823F92">
        <w:t xml:space="preserve">e </w:t>
      </w:r>
      <w:r w:rsidR="00453F15">
        <w:t>broade</w:t>
      </w:r>
      <w:r w:rsidR="00823F92">
        <w:t xml:space="preserve">r </w:t>
      </w:r>
      <w:r w:rsidR="00453F15">
        <w:t>menta</w:t>
      </w:r>
      <w:r w:rsidR="00823F92">
        <w:t xml:space="preserve">l </w:t>
      </w:r>
      <w:r w:rsidR="00453F15">
        <w:t>healt</w:t>
      </w:r>
      <w:r w:rsidR="00823F92">
        <w:t xml:space="preserve">h </w:t>
      </w:r>
      <w:r w:rsidR="00453F15">
        <w:t>workforce</w:t>
      </w:r>
    </w:p>
    <w:p w14:paraId="2A43D0D3" w14:textId="421E4F45" w:rsidR="00453F15" w:rsidRDefault="00453F15" w:rsidP="002C3620">
      <w:pPr>
        <w:pStyle w:val="BodyText"/>
      </w:pPr>
      <w:r>
        <w:t>Ther</w:t>
      </w:r>
      <w:r w:rsidR="00823F92">
        <w:t xml:space="preserve">e </w:t>
      </w:r>
      <w:r>
        <w:t>ar</w:t>
      </w:r>
      <w:r w:rsidR="00823F92">
        <w:t xml:space="preserve">e </w:t>
      </w:r>
      <w:r>
        <w:t>othe</w:t>
      </w:r>
      <w:r w:rsidR="00823F92">
        <w:t xml:space="preserve">r </w:t>
      </w:r>
      <w:r w:rsidR="008C398A">
        <w:t>occupation</w:t>
      </w:r>
      <w:r w:rsidR="00823F92">
        <w:t xml:space="preserve">s </w:t>
      </w:r>
      <w:r>
        <w:t>wh</w:t>
      </w:r>
      <w:r w:rsidR="00823F92">
        <w:t xml:space="preserve">o </w:t>
      </w:r>
      <w:r w:rsidRPr="006755EB">
        <w:t>regularl</w:t>
      </w:r>
      <w:r w:rsidR="00823F92" w:rsidRPr="006755EB">
        <w:t>y</w:t>
      </w:r>
      <w:r w:rsidR="00823F92">
        <w:t xml:space="preserve"> </w:t>
      </w:r>
      <w:r w:rsidR="00E958F7">
        <w:t>interac</w:t>
      </w:r>
      <w:r w:rsidR="00823F92">
        <w:t xml:space="preserve">t </w:t>
      </w:r>
      <w:r w:rsidRPr="006755EB">
        <w:t>wit</w:t>
      </w:r>
      <w:r w:rsidR="00823F92" w:rsidRPr="006755EB">
        <w:t>h</w:t>
      </w:r>
      <w:r w:rsidR="00823F92">
        <w:t xml:space="preserve"> </w:t>
      </w:r>
      <w:r w:rsidRPr="006755EB">
        <w:t>peopl</w:t>
      </w:r>
      <w:r w:rsidR="00823F92" w:rsidRPr="006755EB">
        <w:t>e</w:t>
      </w:r>
      <w:r w:rsidR="00823F92">
        <w:t xml:space="preserve"> </w:t>
      </w:r>
      <w:r w:rsidRPr="006755EB">
        <w:t>experiencin</w:t>
      </w:r>
      <w:r w:rsidR="00823F92" w:rsidRPr="006755EB">
        <w:t>g</w:t>
      </w:r>
      <w:r w:rsidR="00823F92">
        <w:t xml:space="preserve"> </w:t>
      </w:r>
      <w:r w:rsidRPr="006755EB">
        <w:t>menta</w:t>
      </w:r>
      <w:r w:rsidR="00823F92" w:rsidRPr="006755EB">
        <w:t>l</w:t>
      </w:r>
      <w:r w:rsidR="00823F92">
        <w:t xml:space="preserve"> </w:t>
      </w:r>
      <w:r w:rsidR="00E958F7">
        <w:t>distres</w:t>
      </w:r>
      <w:r w:rsidR="00823F92">
        <w:t xml:space="preserve">s </w:t>
      </w:r>
      <w:r w:rsidR="00E958F7">
        <w:t>and/o</w:t>
      </w:r>
      <w:r w:rsidR="00823F92">
        <w:t xml:space="preserve">r </w:t>
      </w:r>
      <w:r w:rsidRPr="006755EB">
        <w:t>ill</w:t>
      </w:r>
      <w:r w:rsidR="00E958F7">
        <w:t>-</w:t>
      </w:r>
      <w:r w:rsidRPr="006755EB">
        <w:t>healt</w:t>
      </w:r>
      <w:r w:rsidR="00823F92" w:rsidRPr="006755EB">
        <w:t>h</w:t>
      </w:r>
      <w:r w:rsidR="00823F92">
        <w:t xml:space="preserve"> </w:t>
      </w:r>
      <w:r w:rsidR="008C398A">
        <w:t>outsid</w:t>
      </w:r>
      <w:r w:rsidR="00823F92">
        <w:t xml:space="preserve">e </w:t>
      </w:r>
      <w:r w:rsidR="008C398A">
        <w:t>o</w:t>
      </w:r>
      <w:r w:rsidR="00823F92">
        <w:t xml:space="preserve">f </w:t>
      </w:r>
      <w:r w:rsidR="008C398A">
        <w:t>healt</w:t>
      </w:r>
      <w:r w:rsidR="00823F92">
        <w:t xml:space="preserve">h </w:t>
      </w:r>
      <w:r w:rsidR="008C398A">
        <w:t>o</w:t>
      </w:r>
      <w:r w:rsidR="00823F92">
        <w:t xml:space="preserve">r </w:t>
      </w:r>
      <w:r w:rsidR="008C398A">
        <w:t>menta</w:t>
      </w:r>
      <w:r w:rsidR="00823F92">
        <w:t xml:space="preserve">l </w:t>
      </w:r>
      <w:r w:rsidR="008C398A">
        <w:t>healt</w:t>
      </w:r>
      <w:r w:rsidR="00823F92">
        <w:t xml:space="preserve">h </w:t>
      </w:r>
      <w:r w:rsidR="008C398A">
        <w:t>settings</w:t>
      </w:r>
      <w:r w:rsidR="00823F92" w:rsidRPr="00A13EAE">
        <w:t>.</w:t>
      </w:r>
      <w:r w:rsidR="00823F92">
        <w:t xml:space="preserve"> </w:t>
      </w:r>
      <w:r w:rsidRPr="00A13EAE">
        <w:t>Example</w:t>
      </w:r>
      <w:r w:rsidR="00823F92" w:rsidRPr="00A13EAE">
        <w:t>s</w:t>
      </w:r>
      <w:r w:rsidR="00823F92">
        <w:t xml:space="preserve"> </w:t>
      </w:r>
      <w:r w:rsidRPr="00A13EAE">
        <w:t>her</w:t>
      </w:r>
      <w:r w:rsidR="00823F92" w:rsidRPr="00A13EAE">
        <w:t>e</w:t>
      </w:r>
      <w:r w:rsidR="00823F92">
        <w:t xml:space="preserve"> </w:t>
      </w:r>
      <w:r w:rsidRPr="00A13EAE">
        <w:t>includ</w:t>
      </w:r>
      <w:r w:rsidR="00823F92" w:rsidRPr="00A13EAE">
        <w:t>e</w:t>
      </w:r>
      <w:r w:rsidR="00823F92">
        <w:t xml:space="preserve"> </w:t>
      </w:r>
      <w:r w:rsidRPr="00A13EAE">
        <w:t>age</w:t>
      </w:r>
      <w:r w:rsidR="00823F92" w:rsidRPr="00A13EAE">
        <w:t>d</w:t>
      </w:r>
      <w:r w:rsidR="00823F92">
        <w:t xml:space="preserve"> </w:t>
      </w:r>
      <w:r w:rsidRPr="00A13EAE">
        <w:t>car</w:t>
      </w:r>
      <w:r w:rsidR="00823F92" w:rsidRPr="00A13EAE">
        <w:t>e</w:t>
      </w:r>
      <w:r w:rsidR="00823F92">
        <w:t xml:space="preserve"> </w:t>
      </w:r>
      <w:r w:rsidR="00E958F7">
        <w:t>workers</w:t>
      </w:r>
      <w:r w:rsidR="00823F92" w:rsidRPr="00A13EAE">
        <w:t>,</w:t>
      </w:r>
      <w:r w:rsidR="00823F92">
        <w:t xml:space="preserve"> </w:t>
      </w:r>
      <w:r w:rsidRPr="00A13EAE">
        <w:t>disabilit</w:t>
      </w:r>
      <w:r w:rsidR="00823F92" w:rsidRPr="00A13EAE">
        <w:t>y</w:t>
      </w:r>
      <w:r w:rsidR="00823F92">
        <w:t xml:space="preserve"> </w:t>
      </w:r>
      <w:r w:rsidR="00E958F7">
        <w:t>workers</w:t>
      </w:r>
      <w:r w:rsidR="00823F92" w:rsidRPr="00A13EAE">
        <w:t>,</w:t>
      </w:r>
      <w:r w:rsidR="00823F92">
        <w:t xml:space="preserve"> </w:t>
      </w:r>
      <w:r w:rsidRPr="00A13EAE">
        <w:t>educatio</w:t>
      </w:r>
      <w:r w:rsidR="00823F92" w:rsidRPr="00A13EAE">
        <w:t>n</w:t>
      </w:r>
      <w:r w:rsidR="00823F92">
        <w:t xml:space="preserve"> </w:t>
      </w:r>
      <w:r w:rsidR="00371E40">
        <w:t>worker</w:t>
      </w:r>
      <w:r w:rsidR="00823F92">
        <w:t xml:space="preserve">s </w:t>
      </w:r>
      <w:r w:rsidRPr="00A13EAE">
        <w:t>an</w:t>
      </w:r>
      <w:r w:rsidR="00823F92" w:rsidRPr="00A13EAE">
        <w:t>d</w:t>
      </w:r>
      <w:r w:rsidR="00823F92">
        <w:t xml:space="preserve"> </w:t>
      </w:r>
      <w:r w:rsidRPr="00A13EAE">
        <w:t>firs</w:t>
      </w:r>
      <w:r w:rsidR="00823F92" w:rsidRPr="00A13EAE">
        <w:t>t</w:t>
      </w:r>
      <w:r w:rsidR="00823F92">
        <w:t xml:space="preserve"> </w:t>
      </w:r>
      <w:r w:rsidRPr="00A13EAE">
        <w:t>responders</w:t>
      </w:r>
      <w:r w:rsidR="00823F92" w:rsidRPr="00A13EAE">
        <w:t>.</w:t>
      </w:r>
      <w:r w:rsidR="00823F92">
        <w:t xml:space="preserve"> </w:t>
      </w:r>
      <w:r w:rsidRPr="00A13EAE">
        <w:t>Thes</w:t>
      </w:r>
      <w:r w:rsidR="00823F92" w:rsidRPr="00A13EAE">
        <w:t>e</w:t>
      </w:r>
      <w:r w:rsidR="00823F92">
        <w:t xml:space="preserve"> </w:t>
      </w:r>
      <w:r w:rsidRPr="00A13EAE">
        <w:t>workforce</w:t>
      </w:r>
      <w:r w:rsidR="00823F92" w:rsidRPr="00A13EAE">
        <w:t>s</w:t>
      </w:r>
      <w:r w:rsidR="00823F92">
        <w:t xml:space="preserve"> </w:t>
      </w:r>
      <w:r w:rsidRPr="00A13EAE">
        <w:t>hav</w:t>
      </w:r>
      <w:r w:rsidR="00823F92" w:rsidRPr="00A13EAE">
        <w:t>e</w:t>
      </w:r>
      <w:r w:rsidR="00823F92">
        <w:t xml:space="preserve"> </w:t>
      </w:r>
      <w:r w:rsidRPr="00A13EAE">
        <w:t>a</w:t>
      </w:r>
      <w:r w:rsidR="00823F92" w:rsidRPr="00A13EAE">
        <w:t>n</w:t>
      </w:r>
      <w:r w:rsidR="00823F92">
        <w:t xml:space="preserve"> </w:t>
      </w:r>
      <w:r w:rsidRPr="00A13EAE">
        <w:t>importan</w:t>
      </w:r>
      <w:r w:rsidR="00823F92" w:rsidRPr="00A13EAE">
        <w:t>t</w:t>
      </w:r>
      <w:r w:rsidR="00823F92">
        <w:t xml:space="preserve"> </w:t>
      </w:r>
      <w:r w:rsidRPr="00A13EAE">
        <w:t>rol</w:t>
      </w:r>
      <w:r w:rsidR="00823F92" w:rsidRPr="00A13EAE">
        <w:t>e</w:t>
      </w:r>
      <w:r w:rsidR="00823F92">
        <w:t xml:space="preserve"> </w:t>
      </w:r>
      <w:r w:rsidRPr="00A13EAE">
        <w:t>t</w:t>
      </w:r>
      <w:r w:rsidR="00823F92" w:rsidRPr="00A13EAE">
        <w:t>o</w:t>
      </w:r>
      <w:r w:rsidR="00823F92">
        <w:t xml:space="preserve"> </w:t>
      </w:r>
      <w:r w:rsidRPr="00A13EAE">
        <w:t>pla</w:t>
      </w:r>
      <w:r w:rsidR="00823F92" w:rsidRPr="00A13EAE">
        <w:t>y</w:t>
      </w:r>
      <w:r w:rsidR="00823F92">
        <w:t xml:space="preserve"> </w:t>
      </w:r>
      <w:r w:rsidRPr="00A13EAE">
        <w:t>i</w:t>
      </w:r>
      <w:r w:rsidR="00823F92" w:rsidRPr="00A13EAE">
        <w:t>n</w:t>
      </w:r>
      <w:r w:rsidR="00823F92">
        <w:t xml:space="preserve"> </w:t>
      </w:r>
      <w:r w:rsidRPr="00A13EAE">
        <w:t>identifyin</w:t>
      </w:r>
      <w:r w:rsidR="00823F92" w:rsidRPr="00A13EAE">
        <w:t>g</w:t>
      </w:r>
      <w:r w:rsidR="00823F92">
        <w:t xml:space="preserve"> </w:t>
      </w:r>
      <w:r w:rsidRPr="00A13EAE">
        <w:t>wher</w:t>
      </w:r>
      <w:r w:rsidR="00823F92" w:rsidRPr="00A13EAE">
        <w:t>e</w:t>
      </w:r>
      <w:r w:rsidR="00823F92">
        <w:t xml:space="preserve"> </w:t>
      </w:r>
      <w:r w:rsidRPr="00A13EAE">
        <w:t>earl</w:t>
      </w:r>
      <w:r w:rsidR="00823F92" w:rsidRPr="00A13EAE">
        <w:t>y</w:t>
      </w:r>
      <w:r w:rsidR="00823F92">
        <w:t xml:space="preserve"> </w:t>
      </w:r>
      <w:r w:rsidRPr="00A13EAE">
        <w:t>interventio</w:t>
      </w:r>
      <w:r w:rsidR="00823F92" w:rsidRPr="00A13EAE">
        <w:t>n</w:t>
      </w:r>
      <w:r w:rsidR="00823F92">
        <w:t xml:space="preserve"> </w:t>
      </w:r>
      <w:r w:rsidRPr="00A13EAE">
        <w:t>i</w:t>
      </w:r>
      <w:r w:rsidR="00823F92" w:rsidRPr="00A13EAE">
        <w:t>s</w:t>
      </w:r>
      <w:r w:rsidR="00823F92">
        <w:t xml:space="preserve"> </w:t>
      </w:r>
      <w:r w:rsidRPr="00A13EAE">
        <w:t>require</w:t>
      </w:r>
      <w:r w:rsidR="00823F92" w:rsidRPr="00A13EAE">
        <w:t>d</w:t>
      </w:r>
      <w:r w:rsidR="00823F92">
        <w:t xml:space="preserve"> </w:t>
      </w:r>
      <w:r w:rsidRPr="00A13EAE">
        <w:t>(fo</w:t>
      </w:r>
      <w:r w:rsidR="00823F92" w:rsidRPr="00A13EAE">
        <w:t>r</w:t>
      </w:r>
      <w:r w:rsidR="00823F92">
        <w:t xml:space="preserve"> </w:t>
      </w:r>
      <w:r w:rsidRPr="00A13EAE">
        <w:t>example</w:t>
      </w:r>
      <w:r w:rsidR="00823F92" w:rsidRPr="00A13EAE">
        <w:t>,</w:t>
      </w:r>
      <w:r w:rsidR="00823F92">
        <w:t xml:space="preserve"> </w:t>
      </w:r>
      <w:r w:rsidRPr="00A13EAE">
        <w:t>i</w:t>
      </w:r>
      <w:r w:rsidR="00823F92" w:rsidRPr="00A13EAE">
        <w:t>n</w:t>
      </w:r>
      <w:r w:rsidR="00823F92">
        <w:t xml:space="preserve"> </w:t>
      </w:r>
      <w:r w:rsidRPr="00A13EAE">
        <w:t>educationa</w:t>
      </w:r>
      <w:r w:rsidR="00823F92" w:rsidRPr="00A13EAE">
        <w:t>l</w:t>
      </w:r>
      <w:r w:rsidR="00823F92">
        <w:t xml:space="preserve"> </w:t>
      </w:r>
      <w:r w:rsidRPr="00A13EAE">
        <w:t>settings) o</w:t>
      </w:r>
      <w:r w:rsidR="00823F92" w:rsidRPr="00A13EAE">
        <w:t>r</w:t>
      </w:r>
      <w:r w:rsidR="00823F92">
        <w:t xml:space="preserve"> </w:t>
      </w:r>
      <w:r w:rsidRPr="00A13EAE">
        <w:t>respondin</w:t>
      </w:r>
      <w:r w:rsidR="00823F92" w:rsidRPr="00A13EAE">
        <w:t>g</w:t>
      </w:r>
      <w:r w:rsidR="00823F92">
        <w:t xml:space="preserve"> </w:t>
      </w:r>
      <w:r w:rsidRPr="00A13EAE">
        <w:t>safel</w:t>
      </w:r>
      <w:r w:rsidR="00823F92" w:rsidRPr="00A13EAE">
        <w:t>y</w:t>
      </w:r>
      <w:r w:rsidR="00823F92">
        <w:t xml:space="preserve"> </w:t>
      </w:r>
      <w:r w:rsidRPr="00A13EAE">
        <w:t>an</w:t>
      </w:r>
      <w:r w:rsidR="00823F92" w:rsidRPr="00A13EAE">
        <w:t>d</w:t>
      </w:r>
      <w:r w:rsidR="00823F92">
        <w:t xml:space="preserve"> </w:t>
      </w:r>
      <w:r w:rsidRPr="00A13EAE">
        <w:t>compassionatel</w:t>
      </w:r>
      <w:r w:rsidR="00823F92" w:rsidRPr="00A13EAE">
        <w:t>y</w:t>
      </w:r>
      <w:r w:rsidR="00823F92">
        <w:t xml:space="preserve"> </w:t>
      </w:r>
      <w:r w:rsidRPr="00A13EAE">
        <w:t>t</w:t>
      </w:r>
      <w:r w:rsidR="00823F92" w:rsidRPr="00A13EAE">
        <w:t>o</w:t>
      </w:r>
      <w:r w:rsidR="00823F92">
        <w:t xml:space="preserve"> </w:t>
      </w:r>
      <w:r w:rsidRPr="00A13EAE">
        <w:t>thos</w:t>
      </w:r>
      <w:r w:rsidR="00823F92" w:rsidRPr="00A13EAE">
        <w:t>e</w:t>
      </w:r>
      <w:r w:rsidR="00823F92">
        <w:t xml:space="preserve"> </w:t>
      </w:r>
      <w:r w:rsidRPr="00A13EAE">
        <w:t>experiencin</w:t>
      </w:r>
      <w:r w:rsidR="00823F92" w:rsidRPr="00A13EAE">
        <w:t>g</w:t>
      </w:r>
      <w:r w:rsidR="00823F92">
        <w:t xml:space="preserve"> </w:t>
      </w:r>
      <w:r w:rsidRPr="00A13EAE">
        <w:t>menta</w:t>
      </w:r>
      <w:r w:rsidR="00823F92" w:rsidRPr="00A13EAE">
        <w:t>l</w:t>
      </w:r>
      <w:r w:rsidR="00823F92">
        <w:t xml:space="preserve"> </w:t>
      </w:r>
      <w:r w:rsidRPr="00A13EAE">
        <w:t>ill-healt</w:t>
      </w:r>
      <w:r w:rsidR="00823F92" w:rsidRPr="00A13EAE">
        <w:t>h</w:t>
      </w:r>
      <w:r w:rsidR="00823F92">
        <w:t xml:space="preserve"> </w:t>
      </w:r>
      <w:r w:rsidRPr="00A13EAE">
        <w:t>(fo</w:t>
      </w:r>
      <w:r w:rsidR="00823F92" w:rsidRPr="00A13EAE">
        <w:t>r</w:t>
      </w:r>
      <w:r w:rsidR="00823F92">
        <w:t xml:space="preserve"> </w:t>
      </w:r>
      <w:r w:rsidRPr="00A13EAE">
        <w:t>example</w:t>
      </w:r>
      <w:r w:rsidR="00823F92" w:rsidRPr="00A13EAE">
        <w:t>,</w:t>
      </w:r>
      <w:r w:rsidR="00823F92">
        <w:t xml:space="preserve"> </w:t>
      </w:r>
      <w:r w:rsidRPr="00A13EAE">
        <w:t>i</w:t>
      </w:r>
      <w:r w:rsidR="00823F92" w:rsidRPr="00A13EAE">
        <w:t>n</w:t>
      </w:r>
      <w:r w:rsidR="00823F92">
        <w:t xml:space="preserve"> </w:t>
      </w:r>
      <w:r w:rsidRPr="00A13EAE">
        <w:t>policin</w:t>
      </w:r>
      <w:r w:rsidR="00823F92" w:rsidRPr="00A13EAE">
        <w:t>g</w:t>
      </w:r>
      <w:r w:rsidR="00823F92">
        <w:t xml:space="preserve"> </w:t>
      </w:r>
      <w:r w:rsidRPr="00A13EAE">
        <w:t>an</w:t>
      </w:r>
      <w:r w:rsidR="00823F92" w:rsidRPr="00A13EAE">
        <w:t>d</w:t>
      </w:r>
      <w:r w:rsidR="00823F92">
        <w:t xml:space="preserve"> </w:t>
      </w:r>
      <w:r w:rsidRPr="00A13EAE">
        <w:t>justice</w:t>
      </w:r>
      <w:r w:rsidR="00823F92">
        <w:t xml:space="preserve">, </w:t>
      </w:r>
      <w:r>
        <w:t>materna</w:t>
      </w:r>
      <w:r w:rsidR="00823F92">
        <w:t xml:space="preserve">l </w:t>
      </w:r>
      <w:r>
        <w:t>an</w:t>
      </w:r>
      <w:r w:rsidR="00823F92">
        <w:t xml:space="preserve">d </w:t>
      </w:r>
      <w:r>
        <w:t>chil</w:t>
      </w:r>
      <w:r w:rsidR="00823F92">
        <w:t xml:space="preserve">d </w:t>
      </w:r>
      <w:r>
        <w:t>health</w:t>
      </w:r>
      <w:r w:rsidRPr="00A13EAE">
        <w:t>)</w:t>
      </w:r>
      <w:r w:rsidR="00823F92" w:rsidRPr="00A13EAE">
        <w:t>.</w:t>
      </w:r>
      <w:r w:rsidR="00823F92">
        <w:t xml:space="preserve"> </w:t>
      </w:r>
    </w:p>
    <w:p w14:paraId="06AEEA73" w14:textId="09F36D6B" w:rsidR="00453F15" w:rsidRDefault="00453F15" w:rsidP="002C3620">
      <w:pPr>
        <w:pStyle w:val="BodyText"/>
      </w:pPr>
      <w:r>
        <w:t>Ther</w:t>
      </w:r>
      <w:r w:rsidR="00823F92">
        <w:t xml:space="preserve">e </w:t>
      </w:r>
      <w:r w:rsidR="00DD0092">
        <w:t>ar</w:t>
      </w:r>
      <w:r w:rsidR="00823F92">
        <w:t xml:space="preserve">e </w:t>
      </w:r>
      <w:r w:rsidR="00DD0092">
        <w:t>n</w:t>
      </w:r>
      <w:r w:rsidR="00823F92">
        <w:t xml:space="preserve">o </w:t>
      </w:r>
      <w:r w:rsidR="00DD0092">
        <w:t>agree</w:t>
      </w:r>
      <w:r w:rsidR="00823F92">
        <w:t xml:space="preserve">d </w:t>
      </w:r>
      <w:r>
        <w:t>cor</w:t>
      </w:r>
      <w:r w:rsidR="00823F92">
        <w:t xml:space="preserve">e </w:t>
      </w:r>
      <w:r w:rsidR="005D3221">
        <w:t>competencie</w:t>
      </w:r>
      <w:r w:rsidR="00823F92">
        <w:t xml:space="preserve">s </w:t>
      </w:r>
      <w:r>
        <w:t>fo</w:t>
      </w:r>
      <w:r w:rsidR="00823F92">
        <w:t xml:space="preserve">r </w:t>
      </w:r>
      <w:r>
        <w:t>thi</w:t>
      </w:r>
      <w:r w:rsidR="00823F92">
        <w:t xml:space="preserve">s </w:t>
      </w:r>
      <w:r>
        <w:t>broade</w:t>
      </w:r>
      <w:r w:rsidR="00823F92">
        <w:t xml:space="preserve">r </w:t>
      </w:r>
      <w:r>
        <w:t>workforc</w:t>
      </w:r>
      <w:r w:rsidR="00823F92">
        <w:t xml:space="preserve">e </w:t>
      </w:r>
      <w:r>
        <w:t>t</w:t>
      </w:r>
      <w:r w:rsidR="00823F92">
        <w:t xml:space="preserve">o </w:t>
      </w:r>
      <w:r>
        <w:t>suppor</w:t>
      </w:r>
      <w:r w:rsidR="00823F92">
        <w:t xml:space="preserve">t </w:t>
      </w:r>
      <w:r>
        <w:t>th</w:t>
      </w:r>
      <w:r w:rsidR="00823F92">
        <w:t xml:space="preserve">e </w:t>
      </w:r>
      <w:r>
        <w:t>developmen</w:t>
      </w:r>
      <w:r w:rsidR="00823F92">
        <w:t xml:space="preserve">t </w:t>
      </w:r>
      <w:r>
        <w:t>o</w:t>
      </w:r>
      <w:r w:rsidR="00823F92">
        <w:t xml:space="preserve">f </w:t>
      </w:r>
      <w:r>
        <w:t>basi</w:t>
      </w:r>
      <w:r w:rsidR="00823F92">
        <w:t xml:space="preserve">c </w:t>
      </w:r>
      <w:r>
        <w:t>menta</w:t>
      </w:r>
      <w:r w:rsidR="00823F92">
        <w:t xml:space="preserve">l </w:t>
      </w:r>
      <w:r>
        <w:t>healt</w:t>
      </w:r>
      <w:r w:rsidR="00823F92">
        <w:t xml:space="preserve">h </w:t>
      </w:r>
      <w:r>
        <w:t>literac</w:t>
      </w:r>
      <w:r w:rsidR="00823F92">
        <w:t xml:space="preserve">y </w:t>
      </w:r>
      <w:r>
        <w:t>an</w:t>
      </w:r>
      <w:r w:rsidR="00823F92">
        <w:t xml:space="preserve">d </w:t>
      </w:r>
      <w:r>
        <w:t>skill</w:t>
      </w:r>
      <w:r w:rsidR="00823F92">
        <w:t xml:space="preserve">s </w:t>
      </w:r>
      <w:r>
        <w:t>withi</w:t>
      </w:r>
      <w:r w:rsidR="00823F92">
        <w:t xml:space="preserve">n </w:t>
      </w:r>
      <w:r>
        <w:t>th</w:t>
      </w:r>
      <w:r w:rsidR="00823F92">
        <w:t xml:space="preserve">e </w:t>
      </w:r>
      <w:r>
        <w:t>community</w:t>
      </w:r>
      <w:r w:rsidR="00823F92">
        <w:t xml:space="preserve">. </w:t>
      </w:r>
      <w:r>
        <w:t>Thi</w:t>
      </w:r>
      <w:r w:rsidR="00823F92">
        <w:t xml:space="preserve">s </w:t>
      </w:r>
      <w:r w:rsidR="000A1E3B">
        <w:t>mean</w:t>
      </w:r>
      <w:r w:rsidR="00823F92">
        <w:t xml:space="preserve">s </w:t>
      </w:r>
      <w:r w:rsidR="000A1E3B">
        <w:t>ther</w:t>
      </w:r>
      <w:r w:rsidR="00823F92">
        <w:t xml:space="preserve">e </w:t>
      </w:r>
      <w:r w:rsidR="000A1E3B">
        <w:t>ar</w:t>
      </w:r>
      <w:r w:rsidR="00823F92">
        <w:t xml:space="preserve">e </w:t>
      </w:r>
      <w:r w:rsidR="000A1E3B">
        <w:t>skil</w:t>
      </w:r>
      <w:r w:rsidR="00823F92">
        <w:t xml:space="preserve">l </w:t>
      </w:r>
      <w:r w:rsidR="000A1E3B">
        <w:t>gap</w:t>
      </w:r>
      <w:r w:rsidR="00823F92">
        <w:t xml:space="preserve">s </w:t>
      </w:r>
      <w:r w:rsidR="000A1E3B">
        <w:t>i</w:t>
      </w:r>
      <w:r w:rsidR="00823F92">
        <w:t xml:space="preserve">n </w:t>
      </w:r>
      <w:r w:rsidR="000A1E3B">
        <w:t>th</w:t>
      </w:r>
      <w:r w:rsidR="00823F92">
        <w:t xml:space="preserve">e </w:t>
      </w:r>
      <w:r w:rsidR="000A1E3B">
        <w:t>abilit</w:t>
      </w:r>
      <w:r w:rsidR="00823F92">
        <w:t xml:space="preserve">y </w:t>
      </w:r>
      <w:r w:rsidR="000A1E3B">
        <w:t>t</w:t>
      </w:r>
      <w:r w:rsidR="00823F92">
        <w:t xml:space="preserve">o </w:t>
      </w:r>
      <w:r w:rsidR="000A1E3B">
        <w:t>identif</w:t>
      </w:r>
      <w:r w:rsidR="00823F92">
        <w:t xml:space="preserve">y </w:t>
      </w:r>
      <w:r>
        <w:t>sign</w:t>
      </w:r>
      <w:r w:rsidR="00823F92">
        <w:t xml:space="preserve">s </w:t>
      </w:r>
      <w:r>
        <w:t>tha</w:t>
      </w:r>
      <w:r w:rsidR="00823F92">
        <w:t xml:space="preserve">t </w:t>
      </w:r>
      <w:r>
        <w:t>referra</w:t>
      </w:r>
      <w:r w:rsidR="00823F92">
        <w:t xml:space="preserve">l </w:t>
      </w:r>
      <w:r>
        <w:t>t</w:t>
      </w:r>
      <w:r w:rsidR="00823F92">
        <w:t xml:space="preserve">o </w:t>
      </w:r>
      <w:r>
        <w:t>service</w:t>
      </w:r>
      <w:r w:rsidR="00823F92">
        <w:t xml:space="preserve">s </w:t>
      </w:r>
      <w:r>
        <w:t>i</w:t>
      </w:r>
      <w:r w:rsidR="00823F92">
        <w:t xml:space="preserve">s </w:t>
      </w:r>
      <w:r>
        <w:t>required</w:t>
      </w:r>
      <w:r w:rsidR="00823F92">
        <w:t xml:space="preserve">, </w:t>
      </w:r>
      <w:r>
        <w:t>o</w:t>
      </w:r>
      <w:r w:rsidR="00823F92">
        <w:t xml:space="preserve">r </w:t>
      </w:r>
      <w:r>
        <w:t>t</w:t>
      </w:r>
      <w:r w:rsidR="00823F92">
        <w:t xml:space="preserve">o </w:t>
      </w:r>
      <w:r>
        <w:t>safel</w:t>
      </w:r>
      <w:r w:rsidR="00823F92">
        <w:t xml:space="preserve">y </w:t>
      </w:r>
      <w:r>
        <w:t>interac</w:t>
      </w:r>
      <w:r w:rsidR="00823F92">
        <w:t xml:space="preserve">t </w:t>
      </w:r>
      <w:r>
        <w:t>wit</w:t>
      </w:r>
      <w:r w:rsidR="00823F92">
        <w:t xml:space="preserve">h </w:t>
      </w:r>
      <w:r>
        <w:t>peopl</w:t>
      </w:r>
      <w:r w:rsidR="00823F92">
        <w:t xml:space="preserve">e </w:t>
      </w:r>
      <w:r>
        <w:t>experiencin</w:t>
      </w:r>
      <w:r w:rsidR="00823F92">
        <w:t xml:space="preserve">g </w:t>
      </w:r>
      <w:r>
        <w:t>menta</w:t>
      </w:r>
      <w:r w:rsidR="00823F92">
        <w:t xml:space="preserve">l </w:t>
      </w:r>
      <w:r>
        <w:t>distres</w:t>
      </w:r>
      <w:r w:rsidR="00823F92">
        <w:t xml:space="preserve">s </w:t>
      </w:r>
      <w:r>
        <w:t>and/o</w:t>
      </w:r>
      <w:r w:rsidR="00823F92">
        <w:t xml:space="preserve">r </w:t>
      </w:r>
      <w:r>
        <w:t>ill-health</w:t>
      </w:r>
      <w:r w:rsidR="00823F92">
        <w:t xml:space="preserve">, </w:t>
      </w:r>
      <w:r>
        <w:t>a</w:t>
      </w:r>
      <w:r w:rsidR="00823F92">
        <w:t xml:space="preserve">s </w:t>
      </w:r>
      <w:r>
        <w:t>appropriat</w:t>
      </w:r>
      <w:r w:rsidR="00823F92">
        <w:t xml:space="preserve">e </w:t>
      </w:r>
      <w:r>
        <w:t>t</w:t>
      </w:r>
      <w:r w:rsidR="00823F92">
        <w:t xml:space="preserve">o </w:t>
      </w:r>
      <w:r>
        <w:t>thei</w:t>
      </w:r>
      <w:r w:rsidR="00823F92">
        <w:t xml:space="preserve">r </w:t>
      </w:r>
      <w:r>
        <w:t>role</w:t>
      </w:r>
      <w:r w:rsidR="00823F92">
        <w:t xml:space="preserve">. </w:t>
      </w:r>
    </w:p>
    <w:p w14:paraId="7F64EF4D" w14:textId="0557BF28" w:rsidR="00453F15" w:rsidRPr="000E25B1" w:rsidRDefault="00453F15" w:rsidP="002F0D35">
      <w:pPr>
        <w:pStyle w:val="Heading3nonumber"/>
        <w:keepNext/>
      </w:pPr>
      <w:r w:rsidRPr="000E25B1">
        <w:lastRenderedPageBreak/>
        <w:t>Consisten</w:t>
      </w:r>
      <w:r w:rsidR="00823F92" w:rsidRPr="000E25B1">
        <w:t>t</w:t>
      </w:r>
      <w:r w:rsidR="00823F92">
        <w:t xml:space="preserve"> </w:t>
      </w:r>
      <w:r w:rsidRPr="000E25B1">
        <w:t>scope</w:t>
      </w:r>
      <w:r w:rsidR="00823F92" w:rsidRPr="000E25B1">
        <w:t>s</w:t>
      </w:r>
      <w:r w:rsidR="00823F92">
        <w:t xml:space="preserve"> </w:t>
      </w:r>
      <w:r w:rsidRPr="000E25B1">
        <w:t>o</w:t>
      </w:r>
      <w:r w:rsidR="00823F92" w:rsidRPr="000E25B1">
        <w:t>f</w:t>
      </w:r>
      <w:r w:rsidR="00823F92">
        <w:t xml:space="preserve"> </w:t>
      </w:r>
      <w:r w:rsidRPr="000E25B1">
        <w:t>practic</w:t>
      </w:r>
      <w:r w:rsidR="00823F92" w:rsidRPr="000E25B1">
        <w:t>e</w:t>
      </w:r>
      <w:r w:rsidR="00823F92">
        <w:t xml:space="preserve"> </w:t>
      </w:r>
    </w:p>
    <w:p w14:paraId="0BB3D5CD" w14:textId="73B76987" w:rsidR="00084DE2" w:rsidRDefault="00ED7BB9" w:rsidP="002C3620">
      <w:pPr>
        <w:pStyle w:val="BodyText"/>
      </w:pPr>
      <w:r>
        <w:t>N</w:t>
      </w:r>
      <w:r w:rsidR="00453F15">
        <w:t>ationall</w:t>
      </w:r>
      <w:r w:rsidR="00823F92">
        <w:t xml:space="preserve">y </w:t>
      </w:r>
      <w:r w:rsidR="00453F15">
        <w:t>consistent</w:t>
      </w:r>
      <w:r w:rsidR="00823F92">
        <w:t xml:space="preserve">, </w:t>
      </w:r>
      <w:r w:rsidR="00453F15" w:rsidRPr="006C4490">
        <w:t>clearl</w:t>
      </w:r>
      <w:r w:rsidR="00823F92" w:rsidRPr="006C4490">
        <w:t>y</w:t>
      </w:r>
      <w:r w:rsidR="00823F92">
        <w:t xml:space="preserve"> </w:t>
      </w:r>
      <w:r w:rsidR="00453F15" w:rsidRPr="006C4490">
        <w:t>documente</w:t>
      </w:r>
      <w:r w:rsidR="00823F92" w:rsidRPr="006C4490">
        <w:t>d</w:t>
      </w:r>
      <w:r w:rsidR="00823F92">
        <w:t xml:space="preserve"> </w:t>
      </w:r>
      <w:r w:rsidR="00453F15" w:rsidRPr="006C4490">
        <w:t>scope</w:t>
      </w:r>
      <w:r w:rsidR="00823F92" w:rsidRPr="006C4490">
        <w:t>s</w:t>
      </w:r>
      <w:r w:rsidR="00823F92">
        <w:t xml:space="preserve"> </w:t>
      </w:r>
      <w:r w:rsidR="00453F15" w:rsidRPr="006C4490">
        <w:t>o</w:t>
      </w:r>
      <w:r w:rsidR="00823F92" w:rsidRPr="006C4490">
        <w:t>f</w:t>
      </w:r>
      <w:r w:rsidR="00823F92">
        <w:t xml:space="preserve"> </w:t>
      </w:r>
      <w:r w:rsidR="00453F15" w:rsidRPr="006C4490">
        <w:t>practic</w:t>
      </w:r>
      <w:r w:rsidR="00823F92" w:rsidRPr="006C4490">
        <w:t>e</w:t>
      </w:r>
      <w:r w:rsidR="00823F92">
        <w:t xml:space="preserve"> </w:t>
      </w:r>
      <w:r>
        <w:t>var</w:t>
      </w:r>
      <w:r w:rsidR="00823F92">
        <w:t xml:space="preserve">y </w:t>
      </w:r>
      <w:r w:rsidR="00453F15" w:rsidRPr="006C4490">
        <w:t>acros</w:t>
      </w:r>
      <w:r w:rsidR="00823F92" w:rsidRPr="006C4490">
        <w:t>s</w:t>
      </w:r>
      <w:r w:rsidR="00823F92">
        <w:t xml:space="preserve"> </w:t>
      </w:r>
      <w:r w:rsidR="00453F15" w:rsidRPr="006C4490">
        <w:t>th</w:t>
      </w:r>
      <w:r w:rsidR="00823F92" w:rsidRPr="006C4490">
        <w:t>e</w:t>
      </w:r>
      <w:r w:rsidR="00823F92">
        <w:t xml:space="preserve"> </w:t>
      </w:r>
      <w:r w:rsidR="000B5C5D">
        <w:t>occupation</w:t>
      </w:r>
      <w:r w:rsidR="00823F92">
        <w:t xml:space="preserve">s </w:t>
      </w:r>
      <w:r w:rsidR="00453F15" w:rsidRPr="006C4490">
        <w:t>i</w:t>
      </w:r>
      <w:r w:rsidR="00823F92" w:rsidRPr="006C4490">
        <w:t>n</w:t>
      </w:r>
      <w:r w:rsidR="00823F92">
        <w:t xml:space="preserve"> </w:t>
      </w:r>
      <w:r w:rsidR="00453F15" w:rsidRPr="006C4490">
        <w:t>th</w:t>
      </w:r>
      <w:r w:rsidR="00823F92" w:rsidRPr="006C4490">
        <w:t>e</w:t>
      </w:r>
      <w:r w:rsidR="00823F92">
        <w:t xml:space="preserve"> </w:t>
      </w:r>
      <w:r w:rsidR="00084DE2">
        <w:t>broadl</w:t>
      </w:r>
      <w:r w:rsidR="00823F92">
        <w:t xml:space="preserve">y </w:t>
      </w:r>
      <w:r w:rsidR="00084DE2">
        <w:t>define</w:t>
      </w:r>
      <w:r w:rsidR="00823F92">
        <w:t xml:space="preserve">d </w:t>
      </w:r>
      <w:r w:rsidR="00084DE2">
        <w:t>menta</w:t>
      </w:r>
      <w:r w:rsidR="00823F92">
        <w:t xml:space="preserve">l </w:t>
      </w:r>
      <w:r w:rsidR="00084DE2">
        <w:t>healt</w:t>
      </w:r>
      <w:r w:rsidR="00823F92">
        <w:t xml:space="preserve">h </w:t>
      </w:r>
      <w:r w:rsidR="00084DE2">
        <w:t>workforce</w:t>
      </w:r>
      <w:r w:rsidR="00823F92">
        <w:t xml:space="preserve">. </w:t>
      </w:r>
      <w:r w:rsidR="00084DE2">
        <w:t>Whil</w:t>
      </w:r>
      <w:r w:rsidR="00823F92">
        <w:t xml:space="preserve">e </w:t>
      </w:r>
      <w:r w:rsidR="00084DE2">
        <w:t>som</w:t>
      </w:r>
      <w:r w:rsidR="00823F92">
        <w:t xml:space="preserve">e </w:t>
      </w:r>
      <w:r w:rsidR="00084DE2">
        <w:t>occupation</w:t>
      </w:r>
      <w:r w:rsidR="00823F92">
        <w:t xml:space="preserve">s </w:t>
      </w:r>
      <w:r w:rsidR="00084DE2">
        <w:t>(suc</w:t>
      </w:r>
      <w:r w:rsidR="00823F92">
        <w:t xml:space="preserve">h </w:t>
      </w:r>
      <w:r w:rsidR="00084DE2">
        <w:t>a</w:t>
      </w:r>
      <w:r w:rsidR="00823F92">
        <w:t xml:space="preserve">s </w:t>
      </w:r>
      <w:r w:rsidR="00084DE2">
        <w:t>GPs</w:t>
      </w:r>
      <w:r w:rsidR="00823F92">
        <w:t xml:space="preserve">, </w:t>
      </w:r>
      <w:r w:rsidR="00084DE2">
        <w:t>nurse</w:t>
      </w:r>
      <w:r w:rsidR="00823F92">
        <w:t xml:space="preserve">s </w:t>
      </w:r>
      <w:r w:rsidR="00084DE2">
        <w:t>an</w:t>
      </w:r>
      <w:r w:rsidR="00823F92">
        <w:t xml:space="preserve">d </w:t>
      </w:r>
      <w:r w:rsidR="00084DE2">
        <w:t>psychologists) hav</w:t>
      </w:r>
      <w:r w:rsidR="00823F92">
        <w:t xml:space="preserve">e </w:t>
      </w:r>
      <w:r w:rsidR="00084DE2">
        <w:t>documente</w:t>
      </w:r>
      <w:r w:rsidR="00823F92">
        <w:t xml:space="preserve">d </w:t>
      </w:r>
      <w:r w:rsidR="00084DE2">
        <w:t>an</w:t>
      </w:r>
      <w:r w:rsidR="00823F92">
        <w:t xml:space="preserve">d </w:t>
      </w:r>
      <w:r w:rsidR="00084DE2">
        <w:t>nationa</w:t>
      </w:r>
      <w:r w:rsidR="00823F92">
        <w:t xml:space="preserve">l </w:t>
      </w:r>
      <w:r w:rsidR="00084DE2">
        <w:t>scopes</w:t>
      </w:r>
      <w:r w:rsidR="00823F92">
        <w:t xml:space="preserve">, </w:t>
      </w:r>
      <w:r w:rsidR="00084DE2">
        <w:t>man</w:t>
      </w:r>
      <w:r w:rsidR="00823F92">
        <w:t xml:space="preserve">y </w:t>
      </w:r>
      <w:r w:rsidR="00084DE2">
        <w:t>othe</w:t>
      </w:r>
      <w:r w:rsidR="00823F92">
        <w:t xml:space="preserve">r </w:t>
      </w:r>
      <w:r w:rsidR="00084DE2">
        <w:t>occupation</w:t>
      </w:r>
      <w:r w:rsidR="00823F92">
        <w:t xml:space="preserve">s </w:t>
      </w:r>
      <w:r w:rsidR="00084DE2">
        <w:t>d</w:t>
      </w:r>
      <w:r w:rsidR="00823F92">
        <w:t xml:space="preserve">o </w:t>
      </w:r>
      <w:r w:rsidR="00084DE2">
        <w:t>no</w:t>
      </w:r>
      <w:r w:rsidR="00823F92">
        <w:t xml:space="preserve">t </w:t>
      </w:r>
      <w:r w:rsidR="00084DE2">
        <w:t>– particularl</w:t>
      </w:r>
      <w:r w:rsidR="00823F92">
        <w:t xml:space="preserve">y </w:t>
      </w:r>
      <w:r w:rsidR="00084DE2">
        <w:t>emergin</w:t>
      </w:r>
      <w:r w:rsidR="00823F92">
        <w:t xml:space="preserve">g </w:t>
      </w:r>
      <w:r w:rsidR="000F6409">
        <w:t>an</w:t>
      </w:r>
      <w:r w:rsidR="00823F92">
        <w:t xml:space="preserve">d </w:t>
      </w:r>
      <w:r w:rsidR="000E257E">
        <w:t>self-regulate</w:t>
      </w:r>
      <w:r w:rsidR="00823F92">
        <w:t xml:space="preserve">d </w:t>
      </w:r>
      <w:r w:rsidR="000F6409">
        <w:t>occupation</w:t>
      </w:r>
      <w:r w:rsidR="00823F92">
        <w:t xml:space="preserve">s </w:t>
      </w:r>
      <w:r w:rsidR="00084DE2">
        <w:t>o</w:t>
      </w:r>
      <w:r w:rsidR="00823F92">
        <w:t xml:space="preserve">r </w:t>
      </w:r>
      <w:r w:rsidR="00084DE2">
        <w:t>th</w:t>
      </w:r>
      <w:r w:rsidR="00823F92">
        <w:t xml:space="preserve">e </w:t>
      </w:r>
      <w:r w:rsidR="00D4453D">
        <w:t>socia</w:t>
      </w:r>
      <w:r w:rsidR="00823F92">
        <w:t xml:space="preserve">l </w:t>
      </w:r>
      <w:r w:rsidR="00D4453D">
        <w:t>an</w:t>
      </w:r>
      <w:r w:rsidR="00823F92">
        <w:t xml:space="preserve">d </w:t>
      </w:r>
      <w:r w:rsidR="00D4453D">
        <w:t>emotiona</w:t>
      </w:r>
      <w:r w:rsidR="00823F92">
        <w:t xml:space="preserve">l </w:t>
      </w:r>
      <w:r w:rsidR="00D4453D">
        <w:t>wellbein</w:t>
      </w:r>
      <w:r w:rsidR="00823F92">
        <w:t xml:space="preserve">g </w:t>
      </w:r>
      <w:r w:rsidR="00D4453D">
        <w:t>workforce</w:t>
      </w:r>
      <w:r w:rsidR="00823F92">
        <w:t xml:space="preserve">. </w:t>
      </w:r>
    </w:p>
    <w:p w14:paraId="73BD20E5" w14:textId="30EE959A" w:rsidR="00B421CA" w:rsidRPr="006C4490" w:rsidRDefault="00B421CA" w:rsidP="00B421CA">
      <w:pPr>
        <w:pStyle w:val="BodyText"/>
      </w:pPr>
      <w:r>
        <w:t>Th</w:t>
      </w:r>
      <w:r w:rsidR="00823F92">
        <w:t xml:space="preserve">e </w:t>
      </w:r>
      <w:r>
        <w:t>lac</w:t>
      </w:r>
      <w:r w:rsidR="00823F92">
        <w:t xml:space="preserve">k </w:t>
      </w:r>
      <w:r>
        <w:t>o</w:t>
      </w:r>
      <w:r w:rsidR="00823F92">
        <w:t xml:space="preserve">f </w:t>
      </w:r>
      <w:r>
        <w:t>clea</w:t>
      </w:r>
      <w:r w:rsidR="00823F92">
        <w:t xml:space="preserve">r </w:t>
      </w:r>
      <w:r>
        <w:t>scope</w:t>
      </w:r>
      <w:r w:rsidR="00823F92">
        <w:t xml:space="preserve">s </w:t>
      </w:r>
      <w:r>
        <w:t>o</w:t>
      </w:r>
      <w:r w:rsidR="00823F92">
        <w:t xml:space="preserve">f </w:t>
      </w:r>
      <w:r>
        <w:t>practic</w:t>
      </w:r>
      <w:r w:rsidR="00823F92">
        <w:t xml:space="preserve">e </w:t>
      </w:r>
      <w:r w:rsidRPr="006C4490">
        <w:t>create</w:t>
      </w:r>
      <w:r w:rsidR="00823F92" w:rsidRPr="006C4490">
        <w:t>s</w:t>
      </w:r>
      <w:r w:rsidR="00823F92">
        <w:t xml:space="preserve"> </w:t>
      </w:r>
      <w:r w:rsidRPr="006C4490">
        <w:t>confusio</w:t>
      </w:r>
      <w:r w:rsidR="00823F92" w:rsidRPr="006C4490">
        <w:t>n</w:t>
      </w:r>
      <w:r w:rsidR="00823F92">
        <w:t xml:space="preserve"> </w:t>
      </w:r>
      <w:r w:rsidRPr="006C4490">
        <w:t>abou</w:t>
      </w:r>
      <w:r w:rsidR="00823F92" w:rsidRPr="006C4490">
        <w:t>t</w:t>
      </w:r>
      <w:r w:rsidR="00823F92">
        <w:t xml:space="preserve"> </w:t>
      </w:r>
      <w:r w:rsidRPr="006C4490">
        <w:t>wh</w:t>
      </w:r>
      <w:r w:rsidR="00823F92" w:rsidRPr="006C4490">
        <w:t>o</w:t>
      </w:r>
      <w:r w:rsidR="00823F92">
        <w:t xml:space="preserve"> </w:t>
      </w:r>
      <w:r w:rsidRPr="006C4490">
        <w:t>i</w:t>
      </w:r>
      <w:r w:rsidR="00823F92" w:rsidRPr="006C4490">
        <w:t>s</w:t>
      </w:r>
      <w:r w:rsidR="00823F92">
        <w:t xml:space="preserve"> </w:t>
      </w:r>
      <w:r w:rsidRPr="006C4490">
        <w:t>abl</w:t>
      </w:r>
      <w:r w:rsidR="00823F92" w:rsidRPr="006C4490">
        <w:t>e</w:t>
      </w:r>
      <w:r w:rsidR="00823F92">
        <w:t xml:space="preserve"> </w:t>
      </w:r>
      <w:r w:rsidRPr="006C4490">
        <w:t>t</w:t>
      </w:r>
      <w:r w:rsidR="00823F92" w:rsidRPr="006C4490">
        <w:t>o</w:t>
      </w:r>
      <w:r w:rsidR="00823F92">
        <w:t xml:space="preserve"> </w:t>
      </w:r>
      <w:r w:rsidRPr="006C4490">
        <w:t>perfor</w:t>
      </w:r>
      <w:r w:rsidR="00823F92" w:rsidRPr="006C4490">
        <w:t>m</w:t>
      </w:r>
      <w:r w:rsidR="00823F92">
        <w:t xml:space="preserve"> </w:t>
      </w:r>
      <w:r w:rsidRPr="006C4490">
        <w:t>wha</w:t>
      </w:r>
      <w:r w:rsidR="00823F92" w:rsidRPr="006C4490">
        <w:t>t</w:t>
      </w:r>
      <w:r w:rsidR="00823F92">
        <w:t xml:space="preserve"> </w:t>
      </w:r>
      <w:r w:rsidRPr="006C4490">
        <w:t>rol</w:t>
      </w:r>
      <w:r w:rsidR="00823F92" w:rsidRPr="006C4490">
        <w:t>e</w:t>
      </w:r>
      <w:r w:rsidR="00823F92">
        <w:t xml:space="preserve"> </w:t>
      </w:r>
      <w:r w:rsidRPr="006C4490">
        <w:t>i</w:t>
      </w:r>
      <w:r w:rsidR="00823F92" w:rsidRPr="006C4490">
        <w:t>n</w:t>
      </w:r>
      <w:r w:rsidR="00823F92">
        <w:t xml:space="preserve"> </w:t>
      </w:r>
      <w:r w:rsidRPr="006C4490">
        <w:t>whic</w:t>
      </w:r>
      <w:r w:rsidR="00823F92" w:rsidRPr="006C4490">
        <w:t>h</w:t>
      </w:r>
      <w:r w:rsidR="00823F92">
        <w:t xml:space="preserve"> </w:t>
      </w:r>
      <w:r w:rsidRPr="006C4490">
        <w:t>settings</w:t>
      </w:r>
      <w:r w:rsidR="00823F92">
        <w:t xml:space="preserve">, </w:t>
      </w:r>
      <w:r>
        <w:t>particularl</w:t>
      </w:r>
      <w:r w:rsidR="00823F92">
        <w:t xml:space="preserve">y </w:t>
      </w:r>
      <w:r>
        <w:t>whe</w:t>
      </w:r>
      <w:r w:rsidR="00823F92">
        <w:t xml:space="preserve">n </w:t>
      </w:r>
      <w:r>
        <w:t>workin</w:t>
      </w:r>
      <w:r w:rsidR="00823F92">
        <w:t xml:space="preserve">g </w:t>
      </w:r>
      <w:r>
        <w:t>i</w:t>
      </w:r>
      <w:r w:rsidR="00823F92">
        <w:t xml:space="preserve">n </w:t>
      </w:r>
      <w:r>
        <w:t>multidisciplinar</w:t>
      </w:r>
      <w:r w:rsidR="00823F92">
        <w:t xml:space="preserve">y </w:t>
      </w:r>
      <w:r>
        <w:t>teams</w:t>
      </w:r>
      <w:r w:rsidR="00823F92" w:rsidRPr="006C4490">
        <w:t>.</w:t>
      </w:r>
      <w:r w:rsidR="00823F92">
        <w:t xml:space="preserve"> </w:t>
      </w:r>
      <w:r>
        <w:t>Thi</w:t>
      </w:r>
      <w:r w:rsidR="00823F92">
        <w:t xml:space="preserve">s </w:t>
      </w:r>
      <w:r>
        <w:t>lac</w:t>
      </w:r>
      <w:r w:rsidR="00823F92">
        <w:t xml:space="preserve">k </w:t>
      </w:r>
      <w:r>
        <w:t>o</w:t>
      </w:r>
      <w:r w:rsidR="00823F92">
        <w:t xml:space="preserve">f </w:t>
      </w:r>
      <w:r>
        <w:t>consistenc</w:t>
      </w:r>
      <w:r w:rsidR="00823F92">
        <w:t xml:space="preserve">y </w:t>
      </w:r>
      <w:r>
        <w:t>raise</w:t>
      </w:r>
      <w:r w:rsidR="00823F92">
        <w:t xml:space="preserve">s </w:t>
      </w:r>
      <w:r>
        <w:t>barrier</w:t>
      </w:r>
      <w:r w:rsidR="00823F92">
        <w:t xml:space="preserve">s </w:t>
      </w:r>
      <w:r>
        <w:t>wit</w:t>
      </w:r>
      <w:r w:rsidR="00823F92">
        <w:t xml:space="preserve">h </w:t>
      </w:r>
      <w:r>
        <w:t>respec</w:t>
      </w:r>
      <w:r w:rsidR="00823F92">
        <w:t xml:space="preserve">t </w:t>
      </w:r>
      <w:r>
        <w:t>t</w:t>
      </w:r>
      <w:r w:rsidR="00823F92">
        <w:t xml:space="preserve">o </w:t>
      </w:r>
      <w:r>
        <w:t>utilisatio</w:t>
      </w:r>
      <w:r w:rsidR="00823F92">
        <w:t xml:space="preserve">n </w:t>
      </w:r>
      <w:r>
        <w:t>o</w:t>
      </w:r>
      <w:r w:rsidR="00823F92">
        <w:t xml:space="preserve">f </w:t>
      </w:r>
      <w:r>
        <w:t>som</w:t>
      </w:r>
      <w:r w:rsidR="00823F92">
        <w:t xml:space="preserve">e </w:t>
      </w:r>
      <w:r>
        <w:t>occupations</w:t>
      </w:r>
      <w:r w:rsidR="00823F92">
        <w:t xml:space="preserve">, </w:t>
      </w:r>
      <w:r w:rsidR="00C427F8">
        <w:t>a</w:t>
      </w:r>
      <w:r w:rsidR="00823F92">
        <w:t xml:space="preserve">s </w:t>
      </w:r>
      <w:r w:rsidR="00C427F8">
        <w:t>worker</w:t>
      </w:r>
      <w:r w:rsidR="00823F92">
        <w:t xml:space="preserve">s </w:t>
      </w:r>
      <w:r w:rsidR="00C427F8">
        <w:t>aren’</w:t>
      </w:r>
      <w:r w:rsidR="00823F92">
        <w:t xml:space="preserve">t </w:t>
      </w:r>
      <w:r w:rsidR="00C427F8">
        <w:t>abl</w:t>
      </w:r>
      <w:r w:rsidR="00823F92">
        <w:t xml:space="preserve">e </w:t>
      </w:r>
      <w:r w:rsidR="00C427F8">
        <w:t>t</w:t>
      </w:r>
      <w:r w:rsidR="00823F92">
        <w:t xml:space="preserve">o </w:t>
      </w:r>
      <w:r w:rsidR="00C427F8">
        <w:t>operat</w:t>
      </w:r>
      <w:r w:rsidR="00823F92">
        <w:t xml:space="preserve">e </w:t>
      </w:r>
      <w:r w:rsidR="00C427F8">
        <w:t>t</w:t>
      </w:r>
      <w:r w:rsidR="00823F92">
        <w:t xml:space="preserve">o </w:t>
      </w:r>
      <w:r w:rsidR="00C427F8">
        <w:t>thei</w:t>
      </w:r>
      <w:r w:rsidR="00823F92">
        <w:t xml:space="preserve">r </w:t>
      </w:r>
      <w:r w:rsidR="00C427F8">
        <w:t>ful</w:t>
      </w:r>
      <w:r w:rsidR="00823F92">
        <w:t xml:space="preserve">l </w:t>
      </w:r>
      <w:r w:rsidR="00C427F8">
        <w:t>scop</w:t>
      </w:r>
      <w:r w:rsidR="00823F92">
        <w:t xml:space="preserve">e </w:t>
      </w:r>
      <w:r w:rsidR="00C427F8">
        <w:t>o</w:t>
      </w:r>
      <w:r w:rsidR="00823F92">
        <w:t xml:space="preserve">f </w:t>
      </w:r>
      <w:r w:rsidR="00C427F8">
        <w:t>practice</w:t>
      </w:r>
      <w:r w:rsidR="00823F92">
        <w:t xml:space="preserve">. </w:t>
      </w:r>
      <w:r w:rsidR="00C427F8">
        <w:t>Thi</w:t>
      </w:r>
      <w:r w:rsidR="00823F92">
        <w:t xml:space="preserve">s </w:t>
      </w:r>
      <w:r w:rsidR="00C427F8">
        <w:t>create</w:t>
      </w:r>
      <w:r w:rsidR="00823F92">
        <w:t xml:space="preserve">s </w:t>
      </w:r>
      <w:r w:rsidR="00C427F8">
        <w:t>additiona</w:t>
      </w:r>
      <w:r w:rsidR="00823F92">
        <w:t xml:space="preserve">l </w:t>
      </w:r>
      <w:r w:rsidR="00C427F8">
        <w:t>challenge</w:t>
      </w:r>
      <w:r w:rsidR="00823F92">
        <w:t xml:space="preserve">s </w:t>
      </w:r>
      <w:r w:rsidR="00C369F0">
        <w:t>fo</w:t>
      </w:r>
      <w:r w:rsidR="00823F92">
        <w:t xml:space="preserve">r </w:t>
      </w:r>
      <w:r w:rsidR="00C369F0">
        <w:t>emergin</w:t>
      </w:r>
      <w:r w:rsidR="00823F92">
        <w:t xml:space="preserve">g </w:t>
      </w:r>
      <w:r w:rsidR="00C369F0">
        <w:t>workforces</w:t>
      </w:r>
      <w:r w:rsidR="00823F92">
        <w:t xml:space="preserve">, </w:t>
      </w:r>
      <w:r w:rsidR="00C369F0">
        <w:t>wher</w:t>
      </w:r>
      <w:r w:rsidR="00823F92">
        <w:t xml:space="preserve">e </w:t>
      </w:r>
      <w:r w:rsidR="00C369F0">
        <w:t>ther</w:t>
      </w:r>
      <w:r w:rsidR="00823F92">
        <w:t xml:space="preserve">e </w:t>
      </w:r>
      <w:r w:rsidR="00C369F0">
        <w:t>i</w:t>
      </w:r>
      <w:r w:rsidR="00823F92">
        <w:t xml:space="preserve">s </w:t>
      </w:r>
      <w:r w:rsidR="00C369F0">
        <w:t>limite</w:t>
      </w:r>
      <w:r w:rsidR="00823F92">
        <w:t xml:space="preserve">d </w:t>
      </w:r>
      <w:r w:rsidR="00C369F0">
        <w:t>understandin</w:t>
      </w:r>
      <w:r w:rsidR="00823F92">
        <w:t xml:space="preserve">g </w:t>
      </w:r>
      <w:r w:rsidR="00C369F0">
        <w:t>o</w:t>
      </w:r>
      <w:r w:rsidR="00823F92">
        <w:t xml:space="preserve">f </w:t>
      </w:r>
      <w:r w:rsidR="00C369F0">
        <w:t>thei</w:t>
      </w:r>
      <w:r w:rsidR="00823F92">
        <w:t xml:space="preserve">r </w:t>
      </w:r>
      <w:r w:rsidR="00C369F0">
        <w:t>knowledge</w:t>
      </w:r>
      <w:r w:rsidR="00823F92">
        <w:t xml:space="preserve">, </w:t>
      </w:r>
      <w:r w:rsidR="00C369F0">
        <w:t>skill</w:t>
      </w:r>
      <w:r w:rsidR="00823F92">
        <w:t xml:space="preserve">s </w:t>
      </w:r>
      <w:r w:rsidR="00C369F0">
        <w:t>an</w:t>
      </w:r>
      <w:r w:rsidR="00823F92">
        <w:t xml:space="preserve">d </w:t>
      </w:r>
      <w:r w:rsidR="00C369F0">
        <w:t>possibl</w:t>
      </w:r>
      <w:r w:rsidR="00823F92">
        <w:t xml:space="preserve">e </w:t>
      </w:r>
      <w:r w:rsidR="00C369F0">
        <w:t>role</w:t>
      </w:r>
      <w:r w:rsidR="00823F92">
        <w:t xml:space="preserve">. </w:t>
      </w:r>
    </w:p>
    <w:p w14:paraId="7BF6599B" w14:textId="4D388759" w:rsidR="00D16D77" w:rsidRDefault="00C07C50" w:rsidP="002C3620">
      <w:pPr>
        <w:pStyle w:val="BodyText"/>
      </w:pPr>
      <w:r>
        <w:t>A</w:t>
      </w:r>
      <w:r w:rsidR="00823F92">
        <w:t xml:space="preserve"> </w:t>
      </w:r>
      <w:r w:rsidR="00ED7BB9">
        <w:t>summar</w:t>
      </w:r>
      <w:r w:rsidR="00823F92">
        <w:t xml:space="preserve">y </w:t>
      </w:r>
      <w:r w:rsidR="00ED7BB9">
        <w:t>o</w:t>
      </w:r>
      <w:r w:rsidR="00823F92">
        <w:t xml:space="preserve">f </w:t>
      </w:r>
      <w:r w:rsidR="00CE13C2">
        <w:t>current</w:t>
      </w:r>
      <w:r w:rsidR="00823F92">
        <w:t xml:space="preserve">, </w:t>
      </w:r>
      <w:r w:rsidR="00CE13C2">
        <w:t>nationall</w:t>
      </w:r>
      <w:r w:rsidR="00823F92">
        <w:t xml:space="preserve">y </w:t>
      </w:r>
      <w:r w:rsidR="00CE13C2">
        <w:t>consisten</w:t>
      </w:r>
      <w:r w:rsidR="00823F92">
        <w:t xml:space="preserve">t </w:t>
      </w:r>
      <w:r w:rsidR="00D16D77">
        <w:t>scope</w:t>
      </w:r>
      <w:r w:rsidR="00823F92">
        <w:t xml:space="preserve">s </w:t>
      </w:r>
      <w:r w:rsidR="00D16D77">
        <w:t>o</w:t>
      </w:r>
      <w:r w:rsidR="00823F92">
        <w:t xml:space="preserve">f </w:t>
      </w:r>
      <w:r w:rsidR="00D16D77">
        <w:t>practic</w:t>
      </w:r>
      <w:r w:rsidR="00823F92">
        <w:t xml:space="preserve">e </w:t>
      </w:r>
      <w:r w:rsidR="00D16D77">
        <w:t>fo</w:t>
      </w:r>
      <w:r w:rsidR="00823F92">
        <w:t xml:space="preserve">r </w:t>
      </w:r>
      <w:r w:rsidR="00D16D77">
        <w:t>ke</w:t>
      </w:r>
      <w:r w:rsidR="00823F92">
        <w:t xml:space="preserve">y </w:t>
      </w:r>
      <w:r w:rsidR="00D16D77">
        <w:t>occupation</w:t>
      </w:r>
      <w:r w:rsidR="00823F92">
        <w:t xml:space="preserve">s </w:t>
      </w:r>
      <w:r w:rsidR="00D16D77">
        <w:t>i</w:t>
      </w:r>
      <w:r w:rsidR="00823F92">
        <w:t xml:space="preserve">n </w:t>
      </w:r>
      <w:r w:rsidR="00D16D77">
        <w:t>th</w:t>
      </w:r>
      <w:r w:rsidR="00823F92">
        <w:t xml:space="preserve">e </w:t>
      </w:r>
      <w:r w:rsidR="00D16D77">
        <w:t>menta</w:t>
      </w:r>
      <w:r w:rsidR="00823F92">
        <w:t xml:space="preserve">l </w:t>
      </w:r>
      <w:r w:rsidR="00D16D77">
        <w:t>healt</w:t>
      </w:r>
      <w:r w:rsidR="00823F92">
        <w:t xml:space="preserve">h </w:t>
      </w:r>
      <w:r w:rsidR="00D16D77">
        <w:t>workforce</w:t>
      </w:r>
      <w:r>
        <w:t xml:space="preserve"> is provided below:</w:t>
      </w:r>
    </w:p>
    <w:p w14:paraId="70A8B115" w14:textId="15FA28AE" w:rsidR="00C07C50" w:rsidRDefault="00C07C50" w:rsidP="00D2794A">
      <w:pPr>
        <w:pStyle w:val="ListBullet"/>
      </w:pPr>
      <w:r>
        <w:t>Aboriginal Health Practitioners</w:t>
      </w:r>
      <w:r w:rsidR="00D2794A">
        <w:t xml:space="preserve">: </w:t>
      </w:r>
      <w:r>
        <w:t>Existing national scope of practice</w:t>
      </w:r>
    </w:p>
    <w:p w14:paraId="129E547D" w14:textId="24548624" w:rsidR="00C07C50" w:rsidRDefault="00C07C50" w:rsidP="00D2794A">
      <w:pPr>
        <w:pStyle w:val="ListBullet"/>
      </w:pPr>
      <w:r>
        <w:t>Aboriginal Health Workers</w:t>
      </w:r>
      <w:r w:rsidR="00D2794A">
        <w:t xml:space="preserve">: </w:t>
      </w:r>
      <w:r>
        <w:t>No national scope of practice</w:t>
      </w:r>
    </w:p>
    <w:p w14:paraId="5F1BFB93" w14:textId="088FDBC0" w:rsidR="00C07C50" w:rsidRDefault="00C07C50" w:rsidP="00D2794A">
      <w:pPr>
        <w:pStyle w:val="ListBullet"/>
      </w:pPr>
      <w:r>
        <w:t>Aboriginal Mental Health Workers</w:t>
      </w:r>
      <w:r w:rsidR="00D2794A">
        <w:t xml:space="preserve">: </w:t>
      </w:r>
      <w:r>
        <w:t>No national scope of practice</w:t>
      </w:r>
    </w:p>
    <w:p w14:paraId="4F8F3122" w14:textId="7633EE6B" w:rsidR="00C07C50" w:rsidRDefault="00C07C50" w:rsidP="00D2794A">
      <w:pPr>
        <w:pStyle w:val="ListBullet"/>
      </w:pPr>
      <w:r>
        <w:t>Counsellors and psychotherapists</w:t>
      </w:r>
      <w:r w:rsidR="00D2794A">
        <w:t xml:space="preserve">: </w:t>
      </w:r>
      <w:r>
        <w:t>Existing national scope of practice</w:t>
      </w:r>
    </w:p>
    <w:p w14:paraId="435CD36C" w14:textId="78575123" w:rsidR="00C07C50" w:rsidRDefault="00C07C50" w:rsidP="00D2794A">
      <w:pPr>
        <w:pStyle w:val="ListBullet"/>
      </w:pPr>
      <w:r>
        <w:t>Dietitians</w:t>
      </w:r>
      <w:r w:rsidR="00D2794A">
        <w:t xml:space="preserve">: </w:t>
      </w:r>
      <w:r>
        <w:t>Existing national scope of practice</w:t>
      </w:r>
    </w:p>
    <w:p w14:paraId="5B27A98E" w14:textId="05AB675D" w:rsidR="00C07C50" w:rsidRDefault="00C07C50" w:rsidP="00D2794A">
      <w:pPr>
        <w:pStyle w:val="ListBullet"/>
      </w:pPr>
      <w:r>
        <w:t>Enrolled Nurses</w:t>
      </w:r>
      <w:r w:rsidR="00D2794A">
        <w:t xml:space="preserve">: </w:t>
      </w:r>
      <w:r>
        <w:t>Existing national scope of practice</w:t>
      </w:r>
    </w:p>
    <w:p w14:paraId="1BA085D4" w14:textId="77777777" w:rsidR="00C07C50" w:rsidRDefault="00C07C50" w:rsidP="00D2794A">
      <w:pPr>
        <w:pStyle w:val="ListBullet"/>
      </w:pPr>
      <w:r>
        <w:t>General Practitioners</w:t>
      </w:r>
      <w:r>
        <w:tab/>
        <w:t>Existing national scope of practice</w:t>
      </w:r>
    </w:p>
    <w:p w14:paraId="783AD64D" w14:textId="40F6821B" w:rsidR="00C07C50" w:rsidRDefault="00C07C50" w:rsidP="00D2794A">
      <w:pPr>
        <w:pStyle w:val="ListBullet"/>
      </w:pPr>
      <w:r>
        <w:t>Lived Experience (Peer) Workers</w:t>
      </w:r>
      <w:r w:rsidR="00D2794A">
        <w:t xml:space="preserve">: </w:t>
      </w:r>
      <w:r>
        <w:t>No national scope of practice</w:t>
      </w:r>
    </w:p>
    <w:p w14:paraId="043C4256" w14:textId="6E8263D9" w:rsidR="00C07C50" w:rsidRDefault="00C07C50" w:rsidP="00D2794A">
      <w:pPr>
        <w:pStyle w:val="ListBullet"/>
      </w:pPr>
      <w:r>
        <w:t>Mental Health Nurses</w:t>
      </w:r>
      <w:r w:rsidR="00D2794A">
        <w:t xml:space="preserve">: </w:t>
      </w:r>
      <w:r>
        <w:t>Existing national scope of practice</w:t>
      </w:r>
    </w:p>
    <w:p w14:paraId="16C9822F" w14:textId="1D0382AD" w:rsidR="00C07C50" w:rsidRDefault="00C07C50" w:rsidP="00D2794A">
      <w:pPr>
        <w:pStyle w:val="ListBullet"/>
      </w:pPr>
      <w:r>
        <w:t>Nurse Practitioners</w:t>
      </w:r>
      <w:r w:rsidR="00D2794A">
        <w:t xml:space="preserve">: </w:t>
      </w:r>
      <w:r>
        <w:t>Existing national scope of practice</w:t>
      </w:r>
    </w:p>
    <w:p w14:paraId="4B940D9B" w14:textId="13C9EF3A" w:rsidR="00C07C50" w:rsidRDefault="00C07C50" w:rsidP="00D2794A">
      <w:pPr>
        <w:pStyle w:val="ListBullet"/>
      </w:pPr>
      <w:r>
        <w:t>Occupational Therapists</w:t>
      </w:r>
      <w:r w:rsidR="00D2794A">
        <w:t xml:space="preserve">: </w:t>
      </w:r>
      <w:r>
        <w:t>national scope of practice</w:t>
      </w:r>
    </w:p>
    <w:p w14:paraId="09DAC68F" w14:textId="1220009B" w:rsidR="00C07C50" w:rsidRDefault="00C07C50" w:rsidP="00D2794A">
      <w:pPr>
        <w:pStyle w:val="ListBullet"/>
      </w:pPr>
      <w:r>
        <w:t>Psychiatrists</w:t>
      </w:r>
      <w:r w:rsidR="00D2794A">
        <w:t xml:space="preserve">: </w:t>
      </w:r>
      <w:r>
        <w:t>Existing national scope of practice</w:t>
      </w:r>
    </w:p>
    <w:p w14:paraId="290007DC" w14:textId="2B48FE5E" w:rsidR="00C07C50" w:rsidRDefault="00C07C50" w:rsidP="00D2794A">
      <w:pPr>
        <w:pStyle w:val="ListBullet"/>
      </w:pPr>
      <w:r>
        <w:t>Psychologists</w:t>
      </w:r>
      <w:r w:rsidR="00D2794A">
        <w:t xml:space="preserve">: </w:t>
      </w:r>
      <w:r>
        <w:t>Existing national scope of practice</w:t>
      </w:r>
    </w:p>
    <w:p w14:paraId="013A4756" w14:textId="5550BC53" w:rsidR="00C07C50" w:rsidRDefault="00C07C50" w:rsidP="00D2794A">
      <w:pPr>
        <w:pStyle w:val="ListBullet"/>
      </w:pPr>
      <w:r>
        <w:t>Psychosocial Support Workers</w:t>
      </w:r>
      <w:r w:rsidR="00D2794A">
        <w:t xml:space="preserve">: </w:t>
      </w:r>
      <w:r>
        <w:t>No national scope of practice</w:t>
      </w:r>
    </w:p>
    <w:p w14:paraId="33CF5B80" w14:textId="0E1A91F3" w:rsidR="00C07C50" w:rsidRDefault="00C07C50" w:rsidP="00D2794A">
      <w:pPr>
        <w:pStyle w:val="ListBullet"/>
      </w:pPr>
      <w:r>
        <w:t>Registered Nurses</w:t>
      </w:r>
      <w:r w:rsidR="00D2794A">
        <w:t xml:space="preserve">: </w:t>
      </w:r>
      <w:r>
        <w:t>Existing national scope of practice</w:t>
      </w:r>
    </w:p>
    <w:p w14:paraId="34F60C40" w14:textId="27CD420B" w:rsidR="00C07C50" w:rsidRDefault="00C07C50" w:rsidP="00D2794A">
      <w:pPr>
        <w:pStyle w:val="ListBullet"/>
      </w:pPr>
      <w:r>
        <w:t>Social Workers</w:t>
      </w:r>
      <w:r w:rsidR="00D2794A">
        <w:t xml:space="preserve">: </w:t>
      </w:r>
      <w:r>
        <w:t>Existing national scope of practice</w:t>
      </w:r>
    </w:p>
    <w:p w14:paraId="0CAD45F7" w14:textId="1A0C0802" w:rsidR="00C07C50" w:rsidRDefault="00C07C50" w:rsidP="00D2794A">
      <w:pPr>
        <w:pStyle w:val="ListBullet"/>
      </w:pPr>
      <w:r>
        <w:t>Speech Pathologists</w:t>
      </w:r>
      <w:r w:rsidR="00D2794A">
        <w:t xml:space="preserve">: </w:t>
      </w:r>
      <w:r>
        <w:t>Existing national scope of practice</w:t>
      </w:r>
    </w:p>
    <w:p w14:paraId="6E22C1F1" w14:textId="4A4A4074" w:rsidR="00453F15" w:rsidRPr="005B2E27" w:rsidRDefault="00453F15" w:rsidP="00D2794A">
      <w:pPr>
        <w:pStyle w:val="Heading3nonumber"/>
        <w:keepNext/>
        <w:rPr>
          <w:bCs/>
        </w:rPr>
      </w:pPr>
      <w:r w:rsidRPr="005B2E27">
        <w:lastRenderedPageBreak/>
        <w:t>Occupationa</w:t>
      </w:r>
      <w:r w:rsidR="00823F92" w:rsidRPr="005B2E27">
        <w:t>l</w:t>
      </w:r>
      <w:r w:rsidR="00823F92">
        <w:t xml:space="preserve"> </w:t>
      </w:r>
      <w:r w:rsidRPr="005B2E27">
        <w:t>regulation</w:t>
      </w:r>
    </w:p>
    <w:p w14:paraId="0E5D98FF" w14:textId="7D2D65C4" w:rsidR="00882CF7" w:rsidRDefault="00453F15" w:rsidP="009B459A">
      <w:pPr>
        <w:pStyle w:val="BodyText"/>
      </w:pPr>
      <w:r>
        <w:t>T</w:t>
      </w:r>
      <w:r w:rsidRPr="006C4490">
        <w:t>h</w:t>
      </w:r>
      <w:r w:rsidR="00823F92" w:rsidRPr="006C4490">
        <w:t>e</w:t>
      </w:r>
      <w:r w:rsidR="00823F92">
        <w:t xml:space="preserve"> </w:t>
      </w:r>
      <w:r w:rsidRPr="006C4490">
        <w:t>qualit</w:t>
      </w:r>
      <w:r w:rsidR="00823F92" w:rsidRPr="006C4490">
        <w:t>y</w:t>
      </w:r>
      <w:r w:rsidR="00823F92">
        <w:t xml:space="preserve"> </w:t>
      </w:r>
      <w:r w:rsidRPr="006C4490">
        <w:t>o</w:t>
      </w:r>
      <w:r w:rsidR="00823F92" w:rsidRPr="006C4490">
        <w:t>f</w:t>
      </w:r>
      <w:r w:rsidR="00823F92">
        <w:t xml:space="preserve"> </w:t>
      </w:r>
      <w:r w:rsidRPr="006C4490">
        <w:t>car</w:t>
      </w:r>
      <w:r w:rsidR="00823F92" w:rsidRPr="006C4490">
        <w:t>e</w:t>
      </w:r>
      <w:r w:rsidR="00823F92">
        <w:t xml:space="preserve"> </w:t>
      </w:r>
      <w:r w:rsidRPr="006C4490">
        <w:t>an</w:t>
      </w:r>
      <w:r w:rsidR="00823F92" w:rsidRPr="006C4490">
        <w:t>d</w:t>
      </w:r>
      <w:r w:rsidR="00823F92">
        <w:t xml:space="preserve"> </w:t>
      </w:r>
      <w:r w:rsidRPr="006C4490">
        <w:t>safet</w:t>
      </w:r>
      <w:r w:rsidR="00823F92" w:rsidRPr="006C4490">
        <w:t>y</w:t>
      </w:r>
      <w:r w:rsidR="00823F92">
        <w:t xml:space="preserve"> </w:t>
      </w:r>
      <w:r w:rsidRPr="006C4490">
        <w:t>o</w:t>
      </w:r>
      <w:r w:rsidR="00823F92" w:rsidRPr="006C4490">
        <w:t>f</w:t>
      </w:r>
      <w:r w:rsidR="00823F92">
        <w:t xml:space="preserve"> </w:t>
      </w:r>
      <w:r w:rsidRPr="006C4490">
        <w:t>consumer</w:t>
      </w:r>
      <w:r w:rsidR="00823F92" w:rsidRPr="006C4490">
        <w:t>s</w:t>
      </w:r>
      <w:r w:rsidR="00823F92">
        <w:t xml:space="preserve"> </w:t>
      </w:r>
      <w:r w:rsidRPr="006C4490">
        <w:t>i</w:t>
      </w:r>
      <w:r w:rsidR="00823F92" w:rsidRPr="006C4490">
        <w:t>s</w:t>
      </w:r>
      <w:r w:rsidR="00823F92">
        <w:t xml:space="preserve"> </w:t>
      </w:r>
      <w:r w:rsidRPr="006C4490">
        <w:t>underpinne</w:t>
      </w:r>
      <w:r w:rsidR="00823F92" w:rsidRPr="006C4490">
        <w:t>d</w:t>
      </w:r>
      <w:r w:rsidR="00823F92">
        <w:t xml:space="preserve"> </w:t>
      </w:r>
      <w:r w:rsidRPr="006C4490">
        <w:t>b</w:t>
      </w:r>
      <w:r w:rsidR="00823F92" w:rsidRPr="006C4490">
        <w:t>y</w:t>
      </w:r>
      <w:r w:rsidR="00823F92">
        <w:t xml:space="preserve"> </w:t>
      </w:r>
      <w:r w:rsidRPr="006C4490">
        <w:t>effectiv</w:t>
      </w:r>
      <w:r w:rsidR="00823F92" w:rsidRPr="006C4490">
        <w:t>e</w:t>
      </w:r>
      <w:r w:rsidR="00823F92">
        <w:t xml:space="preserve"> </w:t>
      </w:r>
      <w:r>
        <w:t>regulator</w:t>
      </w:r>
      <w:r w:rsidR="00823F92">
        <w:t xml:space="preserve">y </w:t>
      </w:r>
      <w:r>
        <w:t>arrangements</w:t>
      </w:r>
      <w:r w:rsidR="00823F92" w:rsidRPr="006C4490">
        <w:t>.</w:t>
      </w:r>
      <w:r w:rsidR="00823F92">
        <w:t xml:space="preserve"> </w:t>
      </w:r>
    </w:p>
    <w:p w14:paraId="2E717498" w14:textId="3F361827" w:rsidR="00C369F0" w:rsidRDefault="00453F15" w:rsidP="009B459A">
      <w:pPr>
        <w:pStyle w:val="BodyText"/>
      </w:pPr>
      <w:r w:rsidRPr="006C4490">
        <w:t>Th</w:t>
      </w:r>
      <w:r w:rsidR="00823F92" w:rsidRPr="006C4490">
        <w:t>e</w:t>
      </w:r>
      <w:r w:rsidR="00823F92">
        <w:t xml:space="preserve"> </w:t>
      </w:r>
      <w:r w:rsidRPr="006C4490">
        <w:t>curren</w:t>
      </w:r>
      <w:r w:rsidR="00823F92" w:rsidRPr="006C4490">
        <w:t>t</w:t>
      </w:r>
      <w:r w:rsidR="00823F92">
        <w:t xml:space="preserve"> </w:t>
      </w:r>
      <w:r w:rsidRPr="006C4490">
        <w:t>arrangement</w:t>
      </w:r>
      <w:r w:rsidR="00823F92" w:rsidRPr="006C4490">
        <w:t>s</w:t>
      </w:r>
      <w:r w:rsidR="00823F92">
        <w:t xml:space="preserve"> </w:t>
      </w:r>
      <w:r w:rsidRPr="006C4490">
        <w:t>fo</w:t>
      </w:r>
      <w:r w:rsidR="00823F92" w:rsidRPr="006C4490">
        <w:t>r</w:t>
      </w:r>
      <w:r w:rsidR="00823F92">
        <w:t xml:space="preserve"> </w:t>
      </w:r>
      <w:r>
        <w:t>regulatin</w:t>
      </w:r>
      <w:r w:rsidR="00823F92">
        <w:t xml:space="preserve">g </w:t>
      </w:r>
      <w:r>
        <w:t>th</w:t>
      </w:r>
      <w:r w:rsidR="00823F92">
        <w:t xml:space="preserve">e </w:t>
      </w:r>
      <w:r>
        <w:t>occupation</w:t>
      </w:r>
      <w:r w:rsidR="00823F92">
        <w:t xml:space="preserve">s </w:t>
      </w:r>
      <w:r>
        <w:t>tha</w:t>
      </w:r>
      <w:r w:rsidR="00823F92">
        <w:t xml:space="preserve">t </w:t>
      </w:r>
      <w:r>
        <w:t>constitut</w:t>
      </w:r>
      <w:r w:rsidR="00823F92">
        <w:t xml:space="preserve">e </w:t>
      </w:r>
      <w:r>
        <w:t>th</w:t>
      </w:r>
      <w:r w:rsidR="00823F92">
        <w:t xml:space="preserve">e </w:t>
      </w:r>
      <w:r>
        <w:t>menta</w:t>
      </w:r>
      <w:r w:rsidR="00823F92">
        <w:t xml:space="preserve">l </w:t>
      </w:r>
      <w:r>
        <w:t>healt</w:t>
      </w:r>
      <w:r w:rsidR="00823F92">
        <w:t xml:space="preserve">h </w:t>
      </w:r>
      <w:r>
        <w:t>workforc</w:t>
      </w:r>
      <w:r w:rsidR="00823F92">
        <w:t xml:space="preserve">e </w:t>
      </w:r>
      <w:r w:rsidRPr="006C4490">
        <w:t>hav</w:t>
      </w:r>
      <w:r w:rsidR="00823F92" w:rsidRPr="006C4490">
        <w:t>e</w:t>
      </w:r>
      <w:r w:rsidR="00823F92">
        <w:t xml:space="preserve"> </w:t>
      </w:r>
      <w:r w:rsidRPr="006C4490">
        <w:t>evolve</w:t>
      </w:r>
      <w:r w:rsidR="00823F92" w:rsidRPr="006C4490">
        <w:t>d</w:t>
      </w:r>
      <w:r w:rsidR="00823F92">
        <w:t xml:space="preserve"> </w:t>
      </w:r>
      <w:r w:rsidRPr="006C4490">
        <w:t>ove</w:t>
      </w:r>
      <w:r w:rsidR="00823F92" w:rsidRPr="006C4490">
        <w:t>r</w:t>
      </w:r>
      <w:r w:rsidR="00823F92">
        <w:t xml:space="preserve"> </w:t>
      </w:r>
      <w:r w:rsidRPr="006C4490">
        <w:t>time</w:t>
      </w:r>
      <w:r w:rsidR="00823F92" w:rsidRPr="006C4490">
        <w:t>.</w:t>
      </w:r>
      <w:r w:rsidR="00823F92">
        <w:t xml:space="preserve"> </w:t>
      </w:r>
      <w:r>
        <w:t>Som</w:t>
      </w:r>
      <w:r w:rsidR="00823F92">
        <w:t xml:space="preserve">e </w:t>
      </w:r>
      <w:r>
        <w:t>occupation</w:t>
      </w:r>
      <w:r w:rsidR="00823F92">
        <w:t xml:space="preserve">s </w:t>
      </w:r>
      <w:r>
        <w:t>hav</w:t>
      </w:r>
      <w:r w:rsidR="00823F92">
        <w:t xml:space="preserve">e </w:t>
      </w:r>
      <w:r>
        <w:t>long-established</w:t>
      </w:r>
      <w:r w:rsidR="00823F92">
        <w:t xml:space="preserve">, </w:t>
      </w:r>
      <w:r>
        <w:t>matur</w:t>
      </w:r>
      <w:r w:rsidR="00823F92">
        <w:t xml:space="preserve">e </w:t>
      </w:r>
      <w:r>
        <w:t>regulatory</w:t>
      </w:r>
      <w:r w:rsidR="00823F92">
        <w:t xml:space="preserve">. </w:t>
      </w:r>
      <w:r w:rsidR="00001DE0">
        <w:rPr>
          <w:lang w:val="en-US"/>
        </w:rPr>
        <w:t>Th</w:t>
      </w:r>
      <w:r w:rsidR="00823F92">
        <w:rPr>
          <w:lang w:val="en-US"/>
        </w:rPr>
        <w:t xml:space="preserve">e </w:t>
      </w:r>
      <w:r w:rsidR="00001DE0">
        <w:rPr>
          <w:lang w:val="en-US"/>
        </w:rPr>
        <w:t>Australia</w:t>
      </w:r>
      <w:r w:rsidR="00823F92">
        <w:rPr>
          <w:lang w:val="en-US"/>
        </w:rPr>
        <w:t xml:space="preserve">n </w:t>
      </w:r>
      <w:r w:rsidR="00001DE0">
        <w:rPr>
          <w:lang w:val="en-US"/>
        </w:rPr>
        <w:t>Healt</w:t>
      </w:r>
      <w:r w:rsidR="00823F92">
        <w:rPr>
          <w:lang w:val="en-US"/>
        </w:rPr>
        <w:t xml:space="preserve">h </w:t>
      </w:r>
      <w:r w:rsidR="00001DE0">
        <w:rPr>
          <w:lang w:val="en-US"/>
        </w:rPr>
        <w:t>Practitioner</w:t>
      </w:r>
      <w:r w:rsidR="00823F92">
        <w:rPr>
          <w:lang w:val="en-US"/>
        </w:rPr>
        <w:t xml:space="preserve">s </w:t>
      </w:r>
      <w:r w:rsidR="00001DE0">
        <w:rPr>
          <w:lang w:val="en-US"/>
        </w:rPr>
        <w:t>Registratio</w:t>
      </w:r>
      <w:r w:rsidR="00823F92">
        <w:rPr>
          <w:lang w:val="en-US"/>
        </w:rPr>
        <w:t xml:space="preserve">n </w:t>
      </w:r>
      <w:r w:rsidR="00001DE0">
        <w:rPr>
          <w:lang w:val="en-US"/>
        </w:rPr>
        <w:t>Agenc</w:t>
      </w:r>
      <w:r w:rsidR="00823F92">
        <w:rPr>
          <w:lang w:val="en-US"/>
        </w:rPr>
        <w:t xml:space="preserve">y </w:t>
      </w:r>
      <w:r w:rsidR="00001DE0">
        <w:rPr>
          <w:lang w:val="en-US"/>
        </w:rPr>
        <w:t>(AHPRA) regulate</w:t>
      </w:r>
      <w:r w:rsidR="00823F92">
        <w:rPr>
          <w:lang w:val="en-US"/>
        </w:rPr>
        <w:t xml:space="preserve">s a </w:t>
      </w:r>
      <w:r w:rsidR="00001DE0">
        <w:rPr>
          <w:lang w:val="en-US"/>
        </w:rPr>
        <w:t>rang</w:t>
      </w:r>
      <w:r w:rsidR="00823F92">
        <w:rPr>
          <w:lang w:val="en-US"/>
        </w:rPr>
        <w:t xml:space="preserve">e </w:t>
      </w:r>
      <w:r w:rsidR="00001DE0">
        <w:rPr>
          <w:lang w:val="en-US"/>
        </w:rPr>
        <w:t>o</w:t>
      </w:r>
      <w:r w:rsidR="00823F92">
        <w:rPr>
          <w:lang w:val="en-US"/>
        </w:rPr>
        <w:t xml:space="preserve">f </w:t>
      </w:r>
      <w:r w:rsidR="00001DE0">
        <w:rPr>
          <w:lang w:val="en-US"/>
        </w:rPr>
        <w:t>occupation</w:t>
      </w:r>
      <w:r w:rsidR="00823F92">
        <w:rPr>
          <w:lang w:val="en-US"/>
        </w:rPr>
        <w:t xml:space="preserve">s </w:t>
      </w:r>
      <w:r w:rsidR="00C369F0">
        <w:rPr>
          <w:lang w:val="en-US"/>
        </w:rPr>
        <w:t>an</w:t>
      </w:r>
      <w:r w:rsidR="00823F92">
        <w:rPr>
          <w:lang w:val="en-US"/>
        </w:rPr>
        <w:t xml:space="preserve">d </w:t>
      </w:r>
      <w:r w:rsidR="00C369F0">
        <w:rPr>
          <w:lang w:val="en-US"/>
        </w:rPr>
        <w:t>regulator</w:t>
      </w:r>
      <w:r w:rsidR="00823F92">
        <w:rPr>
          <w:lang w:val="en-US"/>
        </w:rPr>
        <w:t xml:space="preserve">y </w:t>
      </w:r>
      <w:r w:rsidR="00001DE0">
        <w:rPr>
          <w:lang w:val="en-US"/>
        </w:rPr>
        <w:t>arrangement</w:t>
      </w:r>
      <w:r w:rsidR="00823F92">
        <w:rPr>
          <w:lang w:val="en-US"/>
        </w:rPr>
        <w:t xml:space="preserve">s </w:t>
      </w:r>
      <w:r w:rsidR="00001DE0">
        <w:rPr>
          <w:lang w:val="en-US"/>
        </w:rPr>
        <w:t>includ</w:t>
      </w:r>
      <w:r w:rsidR="00823F92">
        <w:rPr>
          <w:lang w:val="en-US"/>
        </w:rPr>
        <w:t xml:space="preserve">e </w:t>
      </w:r>
      <w:r w:rsidR="00001DE0">
        <w:rPr>
          <w:lang w:val="en-US"/>
        </w:rPr>
        <w:t>code</w:t>
      </w:r>
      <w:r w:rsidR="00823F92">
        <w:rPr>
          <w:lang w:val="en-US"/>
        </w:rPr>
        <w:t xml:space="preserve">s </w:t>
      </w:r>
      <w:r w:rsidR="00001DE0">
        <w:rPr>
          <w:lang w:val="en-US"/>
        </w:rPr>
        <w:t>o</w:t>
      </w:r>
      <w:r w:rsidR="00823F92">
        <w:rPr>
          <w:lang w:val="en-US"/>
        </w:rPr>
        <w:t xml:space="preserve">f </w:t>
      </w:r>
      <w:r w:rsidR="00001DE0">
        <w:rPr>
          <w:lang w:val="en-US"/>
        </w:rPr>
        <w:t>conduct</w:t>
      </w:r>
      <w:r w:rsidR="00823F92">
        <w:rPr>
          <w:lang w:val="en-US"/>
        </w:rPr>
        <w:t xml:space="preserve">, </w:t>
      </w:r>
      <w:r w:rsidR="00001DE0">
        <w:rPr>
          <w:lang w:val="en-US"/>
        </w:rPr>
        <w:t>ethics</w:t>
      </w:r>
      <w:r w:rsidR="00823F92">
        <w:rPr>
          <w:lang w:val="en-US"/>
        </w:rPr>
        <w:t xml:space="preserve">, </w:t>
      </w:r>
      <w:r w:rsidR="00001DE0">
        <w:rPr>
          <w:lang w:val="en-US"/>
        </w:rPr>
        <w:t>continuin</w:t>
      </w:r>
      <w:r w:rsidR="00823F92">
        <w:rPr>
          <w:lang w:val="en-US"/>
        </w:rPr>
        <w:t xml:space="preserve">g </w:t>
      </w:r>
      <w:r w:rsidR="00001DE0">
        <w:rPr>
          <w:lang w:val="en-US"/>
        </w:rPr>
        <w:t>professiona</w:t>
      </w:r>
      <w:r w:rsidR="00823F92">
        <w:rPr>
          <w:lang w:val="en-US"/>
        </w:rPr>
        <w:t xml:space="preserve">l </w:t>
      </w:r>
      <w:r w:rsidR="00001DE0">
        <w:rPr>
          <w:lang w:val="en-US"/>
        </w:rPr>
        <w:t>developmen</w:t>
      </w:r>
      <w:r w:rsidR="00823F92">
        <w:rPr>
          <w:lang w:val="en-US"/>
        </w:rPr>
        <w:t xml:space="preserve">t </w:t>
      </w:r>
      <w:r w:rsidR="00001DE0">
        <w:rPr>
          <w:lang w:val="en-US"/>
        </w:rPr>
        <w:t>an</w:t>
      </w:r>
      <w:r w:rsidR="00823F92">
        <w:rPr>
          <w:lang w:val="en-US"/>
        </w:rPr>
        <w:t xml:space="preserve">d </w:t>
      </w:r>
      <w:r w:rsidR="00001DE0">
        <w:rPr>
          <w:lang w:val="en-US"/>
        </w:rPr>
        <w:t>registratio</w:t>
      </w:r>
      <w:r w:rsidR="00823F92">
        <w:rPr>
          <w:lang w:val="en-US"/>
        </w:rPr>
        <w:t xml:space="preserve">n </w:t>
      </w:r>
      <w:r w:rsidR="00001DE0">
        <w:rPr>
          <w:lang w:val="en-US"/>
        </w:rPr>
        <w:t>components</w:t>
      </w:r>
      <w:r w:rsidR="00823F92">
        <w:rPr>
          <w:lang w:val="en-US"/>
        </w:rPr>
        <w:t xml:space="preserve">. </w:t>
      </w:r>
      <w:r>
        <w:t>Ther</w:t>
      </w:r>
      <w:r w:rsidR="00823F92">
        <w:t xml:space="preserve">e </w:t>
      </w:r>
      <w:r w:rsidR="00077A7C">
        <w:t>ar</w:t>
      </w:r>
      <w:r w:rsidR="00823F92">
        <w:t xml:space="preserve">e </w:t>
      </w:r>
      <w:r w:rsidR="00077A7C">
        <w:t>n</w:t>
      </w:r>
      <w:r w:rsidR="00823F92">
        <w:t xml:space="preserve">o </w:t>
      </w:r>
      <w:r>
        <w:t>regulator</w:t>
      </w:r>
      <w:r w:rsidR="00823F92">
        <w:t xml:space="preserve">y </w:t>
      </w:r>
      <w:r>
        <w:t>arrangement</w:t>
      </w:r>
      <w:r w:rsidR="00823F92">
        <w:t xml:space="preserve">s </w:t>
      </w:r>
      <w:r>
        <w:t>i</w:t>
      </w:r>
      <w:r w:rsidR="00823F92">
        <w:t xml:space="preserve">n </w:t>
      </w:r>
      <w:r>
        <w:t>plac</w:t>
      </w:r>
      <w:r w:rsidR="00823F92">
        <w:t xml:space="preserve">e </w:t>
      </w:r>
      <w:r>
        <w:t>fo</w:t>
      </w:r>
      <w:r w:rsidR="00823F92">
        <w:t xml:space="preserve">r </w:t>
      </w:r>
      <w:r>
        <w:t>emergin</w:t>
      </w:r>
      <w:r w:rsidR="00823F92">
        <w:t xml:space="preserve">g </w:t>
      </w:r>
      <w:r>
        <w:t>occupations</w:t>
      </w:r>
      <w:r w:rsidR="00823F92">
        <w:t xml:space="preserve">. </w:t>
      </w:r>
    </w:p>
    <w:p w14:paraId="28C8BA8E" w14:textId="77777777" w:rsidR="00D2794A" w:rsidRDefault="004B1355" w:rsidP="009B459A">
      <w:pPr>
        <w:pStyle w:val="BodyText"/>
      </w:pPr>
      <w:r>
        <w:t>Th</w:t>
      </w:r>
      <w:r w:rsidR="00823F92">
        <w:t xml:space="preserve">e </w:t>
      </w:r>
      <w:r>
        <w:t>variatio</w:t>
      </w:r>
      <w:r w:rsidR="00823F92">
        <w:t xml:space="preserve">n </w:t>
      </w:r>
      <w:r>
        <w:t>i</w:t>
      </w:r>
      <w:r w:rsidR="00823F92">
        <w:t xml:space="preserve">n </w:t>
      </w:r>
      <w:r>
        <w:t>regulatio</w:t>
      </w:r>
      <w:r w:rsidR="00823F92">
        <w:t xml:space="preserve">n </w:t>
      </w:r>
      <w:r>
        <w:t>acros</w:t>
      </w:r>
      <w:r w:rsidR="00823F92">
        <w:t xml:space="preserve">s </w:t>
      </w:r>
      <w:r>
        <w:t>occupation</w:t>
      </w:r>
      <w:r w:rsidR="00823F92">
        <w:t xml:space="preserve">s </w:t>
      </w:r>
      <w:r>
        <w:t>create</w:t>
      </w:r>
      <w:r w:rsidR="00823F92">
        <w:t xml:space="preserve">s </w:t>
      </w:r>
      <w:r>
        <w:t>issue</w:t>
      </w:r>
      <w:r w:rsidR="00823F92">
        <w:t xml:space="preserve">s </w:t>
      </w:r>
      <w:r>
        <w:t>i</w:t>
      </w:r>
      <w:r w:rsidR="00823F92">
        <w:t xml:space="preserve">n </w:t>
      </w:r>
      <w:r>
        <w:t>workforc</w:t>
      </w:r>
      <w:r w:rsidR="00823F92">
        <w:t xml:space="preserve">e </w:t>
      </w:r>
      <w:r>
        <w:t>utilisatio</w:t>
      </w:r>
      <w:r w:rsidR="00823F92">
        <w:t xml:space="preserve">n </w:t>
      </w:r>
      <w:r>
        <w:t>(relate</w:t>
      </w:r>
      <w:r w:rsidR="00823F92">
        <w:t xml:space="preserve">d </w:t>
      </w:r>
      <w:r>
        <w:t>t</w:t>
      </w:r>
      <w:r w:rsidR="00823F92">
        <w:t xml:space="preserve">o </w:t>
      </w:r>
      <w:r>
        <w:t>scope</w:t>
      </w:r>
      <w:r w:rsidR="00823F92">
        <w:t xml:space="preserve">s </w:t>
      </w:r>
      <w:r>
        <w:t>o</w:t>
      </w:r>
      <w:r w:rsidR="00823F92">
        <w:t xml:space="preserve">f </w:t>
      </w:r>
      <w:r>
        <w:t>practice) an</w:t>
      </w:r>
      <w:r w:rsidR="00823F92">
        <w:t xml:space="preserve">d </w:t>
      </w:r>
      <w:r w:rsidR="00882CF7">
        <w:t>ensurin</w:t>
      </w:r>
      <w:r w:rsidR="00823F92">
        <w:t xml:space="preserve">g </w:t>
      </w:r>
      <w:r w:rsidR="0030429A">
        <w:t>consume</w:t>
      </w:r>
      <w:r w:rsidR="00823F92">
        <w:t xml:space="preserve">r </w:t>
      </w:r>
      <w:r w:rsidR="00453F15">
        <w:t>safet</w:t>
      </w:r>
      <w:r w:rsidR="00823F92">
        <w:t xml:space="preserve">y </w:t>
      </w:r>
      <w:r w:rsidR="00453F15">
        <w:t>an</w:t>
      </w:r>
      <w:r w:rsidR="00823F92">
        <w:t xml:space="preserve">d </w:t>
      </w:r>
      <w:r w:rsidR="00882CF7">
        <w:t>qualit</w:t>
      </w:r>
      <w:r w:rsidR="00823F92">
        <w:t xml:space="preserve">y </w:t>
      </w:r>
      <w:r w:rsidR="00882CF7">
        <w:t>o</w:t>
      </w:r>
      <w:r w:rsidR="00823F92">
        <w:t xml:space="preserve">f </w:t>
      </w:r>
      <w:r w:rsidR="00882CF7">
        <w:t>care</w:t>
      </w:r>
      <w:r w:rsidR="00D2794A">
        <w:t>:</w:t>
      </w:r>
    </w:p>
    <w:p w14:paraId="4681210F" w14:textId="1FE37E2B" w:rsidR="00D2794A" w:rsidRDefault="00D2794A" w:rsidP="005867A1">
      <w:pPr>
        <w:pStyle w:val="ListBullet"/>
      </w:pPr>
      <w:r>
        <w:t>AHPRA regulated (through National Boards)</w:t>
      </w:r>
      <w:r w:rsidR="005867A1">
        <w:t xml:space="preserve">: </w:t>
      </w:r>
      <w:r>
        <w:t>Aboriginal and Torres Strait Islander health practitioners, medical practitioners, nurses, occupational therapists, physiotherapists, psychiatrists, psychologists</w:t>
      </w:r>
    </w:p>
    <w:p w14:paraId="62DE123E" w14:textId="7168871F" w:rsidR="00D2794A" w:rsidRDefault="00D2794A" w:rsidP="005867A1">
      <w:pPr>
        <w:pStyle w:val="ListBullet"/>
      </w:pPr>
      <w:r>
        <w:t>Self-regulated</w:t>
      </w:r>
      <w:r w:rsidR="005867A1">
        <w:t xml:space="preserve">: </w:t>
      </w:r>
      <w:r>
        <w:t>Counsellors and psychotherapists, dietitians, social workers, speech pathologists</w:t>
      </w:r>
    </w:p>
    <w:p w14:paraId="46771F2E" w14:textId="7DC88226" w:rsidR="00453F15" w:rsidRDefault="00D2794A" w:rsidP="005867A1">
      <w:pPr>
        <w:pStyle w:val="ListBullet"/>
      </w:pPr>
      <w:r>
        <w:t>Unregulated</w:t>
      </w:r>
      <w:r w:rsidR="005867A1">
        <w:t xml:space="preserve">: </w:t>
      </w:r>
      <w:r>
        <w:t>Aboriginal and Torres Strait Islander health workers and mental health workers, lived experience (peer) workers, psychosocial support workers</w:t>
      </w:r>
    </w:p>
    <w:p w14:paraId="384C5DAA" w14:textId="58EBBADE" w:rsidR="00453F15" w:rsidRDefault="00453F15" w:rsidP="007276D8">
      <w:pPr>
        <w:pStyle w:val="Heading2"/>
      </w:pPr>
      <w:bookmarkStart w:id="20" w:name="_Toc99018992"/>
      <w:r>
        <w:t>Skills</w:t>
      </w:r>
      <w:bookmarkEnd w:id="20"/>
    </w:p>
    <w:p w14:paraId="216B2F7D" w14:textId="4E8E63E5" w:rsidR="00453F15" w:rsidRPr="000E25B1" w:rsidRDefault="00453F15" w:rsidP="005867A1">
      <w:pPr>
        <w:pStyle w:val="Heading3nonumber"/>
        <w:keepNext/>
      </w:pPr>
      <w:r w:rsidRPr="000E25B1">
        <w:t>C</w:t>
      </w:r>
      <w:r>
        <w:t>ontemporar</w:t>
      </w:r>
      <w:r w:rsidR="00823F92">
        <w:t xml:space="preserve">y </w:t>
      </w:r>
      <w:r>
        <w:t>c</w:t>
      </w:r>
      <w:r w:rsidRPr="000E25B1">
        <w:t>apabilit</w:t>
      </w:r>
      <w:r w:rsidR="00823F92" w:rsidRPr="000E25B1">
        <w:t>y</w:t>
      </w:r>
      <w:r w:rsidR="00823F92">
        <w:t xml:space="preserve"> </w:t>
      </w:r>
      <w:r w:rsidRPr="000E25B1">
        <w:t>needs</w:t>
      </w:r>
    </w:p>
    <w:p w14:paraId="44A1447D" w14:textId="3B3B2253" w:rsidR="000E5692" w:rsidRDefault="00453F15" w:rsidP="009F2C0F">
      <w:pPr>
        <w:pStyle w:val="BodyText"/>
      </w:pPr>
      <w:r w:rsidRPr="006C4490">
        <w:t>Th</w:t>
      </w:r>
      <w:r w:rsidR="00823F92" w:rsidRPr="006C4490">
        <w:t>e</w:t>
      </w:r>
      <w:r w:rsidR="00823F92">
        <w:t xml:space="preserve"> </w:t>
      </w:r>
      <w:r w:rsidRPr="006C4490">
        <w:t>changin</w:t>
      </w:r>
      <w:r w:rsidR="00823F92" w:rsidRPr="006C4490">
        <w:t>g</w:t>
      </w:r>
      <w:r w:rsidR="00823F92">
        <w:t xml:space="preserve"> </w:t>
      </w:r>
      <w:r w:rsidRPr="006C4490">
        <w:t>need</w:t>
      </w:r>
      <w:r w:rsidR="00823F92" w:rsidRPr="006C4490">
        <w:t>s</w:t>
      </w:r>
      <w:r w:rsidR="00823F92">
        <w:t xml:space="preserve"> </w:t>
      </w:r>
      <w:r w:rsidRPr="006C4490">
        <w:t>an</w:t>
      </w:r>
      <w:r w:rsidR="00823F92" w:rsidRPr="006C4490">
        <w:t>d</w:t>
      </w:r>
      <w:r w:rsidR="00823F92">
        <w:t xml:space="preserve"> </w:t>
      </w:r>
      <w:r w:rsidRPr="006C4490">
        <w:t>expectation</w:t>
      </w:r>
      <w:r w:rsidR="00823F92" w:rsidRPr="006C4490">
        <w:t>s</w:t>
      </w:r>
      <w:r w:rsidR="00823F92">
        <w:t xml:space="preserve"> </w:t>
      </w:r>
      <w:r w:rsidRPr="006C4490">
        <w:t>o</w:t>
      </w:r>
      <w:r w:rsidR="00823F92" w:rsidRPr="006C4490">
        <w:t>f</w:t>
      </w:r>
      <w:r w:rsidR="00823F92">
        <w:t xml:space="preserve"> </w:t>
      </w:r>
      <w:r w:rsidRPr="006C4490">
        <w:t>consumers</w:t>
      </w:r>
      <w:r w:rsidR="00823F92" w:rsidRPr="006C4490">
        <w:t>,</w:t>
      </w:r>
      <w:r w:rsidR="00823F92">
        <w:t xml:space="preserve"> </w:t>
      </w:r>
      <w:r w:rsidRPr="006C4490">
        <w:t>thei</w:t>
      </w:r>
      <w:r w:rsidR="00823F92" w:rsidRPr="006C4490">
        <w:t>r</w:t>
      </w:r>
      <w:r w:rsidR="00823F92">
        <w:t xml:space="preserve"> </w:t>
      </w:r>
      <w:proofErr w:type="spellStart"/>
      <w:r w:rsidRPr="006C4490">
        <w:t>carer</w:t>
      </w:r>
      <w:r w:rsidR="00823F92" w:rsidRPr="006C4490">
        <w:t>s</w:t>
      </w:r>
      <w:proofErr w:type="spellEnd"/>
      <w:r w:rsidR="00823F92">
        <w:t xml:space="preserve"> </w:t>
      </w:r>
      <w:r w:rsidRPr="006C4490">
        <w:t>an</w:t>
      </w:r>
      <w:r w:rsidR="00823F92" w:rsidRPr="006C4490">
        <w:t>d</w:t>
      </w:r>
      <w:r w:rsidR="00823F92">
        <w:t xml:space="preserve"> </w:t>
      </w:r>
      <w:r w:rsidRPr="006C4490">
        <w:t>families</w:t>
      </w:r>
      <w:r w:rsidR="00823F92" w:rsidRPr="006C4490">
        <w:t>,</w:t>
      </w:r>
      <w:r w:rsidR="00823F92">
        <w:t xml:space="preserve"> </w:t>
      </w:r>
      <w:r w:rsidRPr="006C4490">
        <w:t>alongsid</w:t>
      </w:r>
      <w:r w:rsidR="00823F92" w:rsidRPr="006C4490">
        <w:t>e</w:t>
      </w:r>
      <w:r w:rsidR="00823F92">
        <w:t xml:space="preserve"> </w:t>
      </w:r>
      <w:r w:rsidRPr="006C4490">
        <w:t>th</w:t>
      </w:r>
      <w:r w:rsidR="00823F92" w:rsidRPr="006C4490">
        <w:t>e</w:t>
      </w:r>
      <w:r w:rsidR="00823F92">
        <w:t xml:space="preserve"> </w:t>
      </w:r>
      <w:r w:rsidRPr="006C4490">
        <w:t>complexit</w:t>
      </w:r>
      <w:r w:rsidR="00823F92" w:rsidRPr="006C4490">
        <w:t>y</w:t>
      </w:r>
      <w:r w:rsidR="00823F92">
        <w:t xml:space="preserve"> </w:t>
      </w:r>
      <w:r w:rsidRPr="006C4490">
        <w:t>an</w:t>
      </w:r>
      <w:r w:rsidR="00823F92" w:rsidRPr="006C4490">
        <w:t>d</w:t>
      </w:r>
      <w:r w:rsidR="00823F92">
        <w:t xml:space="preserve"> </w:t>
      </w:r>
      <w:r w:rsidRPr="006C4490">
        <w:t>co-occurrenc</w:t>
      </w:r>
      <w:r w:rsidR="00823F92" w:rsidRPr="006C4490">
        <w:t>e</w:t>
      </w:r>
      <w:r w:rsidR="00823F92">
        <w:t xml:space="preserve"> </w:t>
      </w:r>
      <w:r w:rsidRPr="006C4490">
        <w:t>o</w:t>
      </w:r>
      <w:r w:rsidR="00823F92" w:rsidRPr="006C4490">
        <w:t>f</w:t>
      </w:r>
      <w:r w:rsidR="00823F92">
        <w:t xml:space="preserve"> </w:t>
      </w:r>
      <w:r w:rsidRPr="006C4490">
        <w:t>conditions</w:t>
      </w:r>
      <w:r w:rsidR="00823F92" w:rsidRPr="006C4490">
        <w:t>,</w:t>
      </w:r>
      <w:r w:rsidR="00823F92">
        <w:t xml:space="preserve"> </w:t>
      </w:r>
      <w:r w:rsidRPr="006C4490">
        <w:t>ha</w:t>
      </w:r>
      <w:r w:rsidR="00823F92" w:rsidRPr="006C4490">
        <w:t>s</w:t>
      </w:r>
      <w:r w:rsidR="00823F92">
        <w:t xml:space="preserve"> </w:t>
      </w:r>
      <w:r>
        <w:t>increase</w:t>
      </w:r>
      <w:r w:rsidR="00823F92">
        <w:t xml:space="preserve">d </w:t>
      </w:r>
      <w:r>
        <w:t>th</w:t>
      </w:r>
      <w:r w:rsidR="00823F92">
        <w:t xml:space="preserve">e </w:t>
      </w:r>
      <w:r>
        <w:t>knowledge</w:t>
      </w:r>
      <w:r w:rsidR="00823F92">
        <w:t xml:space="preserve">, </w:t>
      </w:r>
      <w:r>
        <w:t>skill</w:t>
      </w:r>
      <w:r w:rsidR="00823F92">
        <w:t xml:space="preserve">s </w:t>
      </w:r>
      <w:r>
        <w:t>an</w:t>
      </w:r>
      <w:r w:rsidR="00823F92">
        <w:t xml:space="preserve">d </w:t>
      </w:r>
      <w:r>
        <w:t>behaviour</w:t>
      </w:r>
      <w:r w:rsidR="00823F92">
        <w:t xml:space="preserve">s </w:t>
      </w:r>
      <w:r>
        <w:t>require</w:t>
      </w:r>
      <w:r w:rsidR="00823F92">
        <w:t xml:space="preserve">d </w:t>
      </w:r>
      <w:r>
        <w:t>o</w:t>
      </w:r>
      <w:r w:rsidR="00823F92">
        <w:t xml:space="preserve">f </w:t>
      </w:r>
      <w:r w:rsidRPr="006C4490">
        <w:t>bot</w:t>
      </w:r>
      <w:r w:rsidR="00823F92" w:rsidRPr="006C4490">
        <w:t>h</w:t>
      </w:r>
      <w:r w:rsidR="00823F92">
        <w:t xml:space="preserve"> </w:t>
      </w:r>
      <w:r w:rsidRPr="006C4490">
        <w:t>ne</w:t>
      </w:r>
      <w:r w:rsidR="00823F92" w:rsidRPr="006C4490">
        <w:t>w</w:t>
      </w:r>
      <w:r w:rsidR="00823F92">
        <w:t xml:space="preserve"> </w:t>
      </w:r>
      <w:r w:rsidRPr="006C4490">
        <w:t>graduate</w:t>
      </w:r>
      <w:r w:rsidR="00823F92" w:rsidRPr="006C4490">
        <w:t>s</w:t>
      </w:r>
      <w:r w:rsidR="00823F92">
        <w:t xml:space="preserve"> </w:t>
      </w:r>
      <w:r w:rsidRPr="006C4490">
        <w:t>an</w:t>
      </w:r>
      <w:r w:rsidR="00823F92" w:rsidRPr="006C4490">
        <w:t>d</w:t>
      </w:r>
      <w:r w:rsidR="00823F92">
        <w:t xml:space="preserve"> </w:t>
      </w:r>
      <w:r w:rsidRPr="006C4490">
        <w:t>th</w:t>
      </w:r>
      <w:r w:rsidR="00823F92" w:rsidRPr="006C4490">
        <w:t>e</w:t>
      </w:r>
      <w:r w:rsidR="00823F92">
        <w:t xml:space="preserve"> </w:t>
      </w:r>
      <w:r w:rsidRPr="006C4490">
        <w:t>existin</w:t>
      </w:r>
      <w:r w:rsidR="00823F92" w:rsidRPr="006C4490">
        <w:t>g</w:t>
      </w:r>
      <w:r w:rsidR="00823F92">
        <w:t xml:space="preserve"> </w:t>
      </w:r>
      <w:r w:rsidRPr="006C4490">
        <w:t>workforce</w:t>
      </w:r>
      <w:r w:rsidR="00823F92" w:rsidRPr="006C4490">
        <w:t>.</w:t>
      </w:r>
      <w:r w:rsidR="00823F92">
        <w:t xml:space="preserve"> </w:t>
      </w:r>
    </w:p>
    <w:p w14:paraId="3A46B3EF" w14:textId="047B3EAC" w:rsidR="00453F15" w:rsidRPr="006C4490" w:rsidRDefault="00453F15" w:rsidP="009F2C0F">
      <w:pPr>
        <w:pStyle w:val="BodyText"/>
      </w:pPr>
      <w:r>
        <w:t>Althoug</w:t>
      </w:r>
      <w:r w:rsidR="00823F92">
        <w:t xml:space="preserve">h </w:t>
      </w:r>
      <w:r>
        <w:t>regulator</w:t>
      </w:r>
      <w:r w:rsidR="00823F92">
        <w:t xml:space="preserve">y </w:t>
      </w:r>
      <w:r>
        <w:t>bodie</w:t>
      </w:r>
      <w:r w:rsidR="00823F92">
        <w:t xml:space="preserve">s </w:t>
      </w:r>
      <w:r>
        <w:t>se</w:t>
      </w:r>
      <w:r w:rsidR="00823F92">
        <w:t xml:space="preserve">t </w:t>
      </w:r>
      <w:r>
        <w:t>th</w:t>
      </w:r>
      <w:r w:rsidR="00823F92">
        <w:t xml:space="preserve">e </w:t>
      </w:r>
      <w:r w:rsidR="000E5692">
        <w:t>educatio</w:t>
      </w:r>
      <w:r w:rsidR="00823F92">
        <w:t xml:space="preserve">n </w:t>
      </w:r>
      <w:r w:rsidR="000E5692">
        <w:t>an</w:t>
      </w:r>
      <w:r w:rsidR="00823F92">
        <w:t xml:space="preserve">d </w:t>
      </w:r>
      <w:r w:rsidR="000E5692">
        <w:t>trainin</w:t>
      </w:r>
      <w:r w:rsidR="00823F92">
        <w:t xml:space="preserve">g </w:t>
      </w:r>
      <w:r>
        <w:t>standard</w:t>
      </w:r>
      <w:r w:rsidR="00823F92">
        <w:t xml:space="preserve">s </w:t>
      </w:r>
      <w:r>
        <w:t>fo</w:t>
      </w:r>
      <w:r w:rsidR="00823F92">
        <w:t xml:space="preserve">r </w:t>
      </w:r>
      <w:r>
        <w:t>man</w:t>
      </w:r>
      <w:r w:rsidR="00823F92">
        <w:t xml:space="preserve">y </w:t>
      </w:r>
      <w:r w:rsidR="000B5C5D">
        <w:t>occupations</w:t>
      </w:r>
      <w:r w:rsidR="00823F92">
        <w:t xml:space="preserve">, </w:t>
      </w:r>
      <w:r w:rsidR="000053E2">
        <w:t>t</w:t>
      </w:r>
      <w:r>
        <w:t>her</w:t>
      </w:r>
      <w:r w:rsidR="00823F92">
        <w:t xml:space="preserve">e </w:t>
      </w:r>
      <w:r>
        <w:t>ar</w:t>
      </w:r>
      <w:r w:rsidR="00823F92">
        <w:t xml:space="preserve">e </w:t>
      </w:r>
      <w:r>
        <w:t>als</w:t>
      </w:r>
      <w:r w:rsidR="00823F92">
        <w:t xml:space="preserve">o </w:t>
      </w:r>
      <w:r>
        <w:t>specifi</w:t>
      </w:r>
      <w:r w:rsidR="00823F92">
        <w:t xml:space="preserve">c </w:t>
      </w:r>
      <w:r>
        <w:t>capabilit</w:t>
      </w:r>
      <w:r w:rsidR="00823F92">
        <w:t xml:space="preserve">y </w:t>
      </w:r>
      <w:r>
        <w:t>gap</w:t>
      </w:r>
      <w:r w:rsidR="00823F92">
        <w:t xml:space="preserve">s </w:t>
      </w:r>
      <w:r>
        <w:t>tha</w:t>
      </w:r>
      <w:r w:rsidR="00823F92">
        <w:t xml:space="preserve">t </w:t>
      </w:r>
      <w:r>
        <w:t>nee</w:t>
      </w:r>
      <w:r w:rsidR="00823F92">
        <w:t xml:space="preserve">d </w:t>
      </w:r>
      <w:r>
        <w:t>t</w:t>
      </w:r>
      <w:r w:rsidR="00823F92">
        <w:t xml:space="preserve">o </w:t>
      </w:r>
      <w:r>
        <w:t>b</w:t>
      </w:r>
      <w:r w:rsidR="00823F92">
        <w:t xml:space="preserve">e </w:t>
      </w:r>
      <w:r>
        <w:t>acknowledge</w:t>
      </w:r>
      <w:r w:rsidR="00823F92">
        <w:t xml:space="preserve">d </w:t>
      </w:r>
      <w:r>
        <w:t>withi</w:t>
      </w:r>
      <w:r w:rsidR="00823F92">
        <w:t xml:space="preserve">n </w:t>
      </w:r>
      <w:r>
        <w:t>th</w:t>
      </w:r>
      <w:r w:rsidR="00823F92">
        <w:t xml:space="preserve">e </w:t>
      </w:r>
      <w:r>
        <w:t>cor</w:t>
      </w:r>
      <w:r w:rsidR="00823F92">
        <w:t xml:space="preserve">e </w:t>
      </w:r>
      <w:r>
        <w:t>competencie</w:t>
      </w:r>
      <w:r w:rsidR="00823F92">
        <w:t xml:space="preserve">s </w:t>
      </w:r>
      <w:r>
        <w:t>an</w:t>
      </w:r>
      <w:r w:rsidR="00823F92">
        <w:t xml:space="preserve">d </w:t>
      </w:r>
      <w:r>
        <w:t>embedde</w:t>
      </w:r>
      <w:r w:rsidR="00823F92">
        <w:t xml:space="preserve">d </w:t>
      </w:r>
      <w:r>
        <w:t>i</w:t>
      </w:r>
      <w:r w:rsidR="00823F92">
        <w:t xml:space="preserve">n </w:t>
      </w:r>
      <w:r>
        <w:t>pre-servic</w:t>
      </w:r>
      <w:r w:rsidR="00823F92">
        <w:t xml:space="preserve">e </w:t>
      </w:r>
      <w:r>
        <w:t>training</w:t>
      </w:r>
      <w:r w:rsidR="00823F92">
        <w:t xml:space="preserve">, </w:t>
      </w:r>
      <w:r w:rsidR="000E5692">
        <w:t>a</w:t>
      </w:r>
      <w:r w:rsidR="00823F92">
        <w:t xml:space="preserve">s </w:t>
      </w:r>
      <w:r w:rsidR="000E5692">
        <w:t>note</w:t>
      </w:r>
      <w:r w:rsidR="00823F92">
        <w:t xml:space="preserve">d </w:t>
      </w:r>
      <w:r w:rsidR="000E5692">
        <w:t>throug</w:t>
      </w:r>
      <w:r w:rsidR="00823F92">
        <w:t xml:space="preserve">h </w:t>
      </w:r>
      <w:r w:rsidR="000E5692">
        <w:t>recen</w:t>
      </w:r>
      <w:r w:rsidR="00823F92">
        <w:t xml:space="preserve">t </w:t>
      </w:r>
      <w:r w:rsidR="000E5692">
        <w:t>inquirie</w:t>
      </w:r>
      <w:r w:rsidR="00823F92">
        <w:t xml:space="preserve">s </w:t>
      </w:r>
      <w:r w:rsidR="000E5692">
        <w:t>an</w:t>
      </w:r>
      <w:r w:rsidR="00823F92">
        <w:t xml:space="preserve">d </w:t>
      </w:r>
      <w:r w:rsidR="000E5692">
        <w:t>commissions</w:t>
      </w:r>
      <w:r w:rsidR="00823F92">
        <w:t xml:space="preserve">. </w:t>
      </w:r>
      <w:r>
        <w:t>Thes</w:t>
      </w:r>
      <w:r w:rsidR="00823F92">
        <w:t xml:space="preserve">e </w:t>
      </w:r>
      <w:r>
        <w:t>includ</w:t>
      </w:r>
      <w:r w:rsidR="00823F92">
        <w:t xml:space="preserve">e </w:t>
      </w:r>
      <w:r w:rsidRPr="006C4490">
        <w:t>th</w:t>
      </w:r>
      <w:r w:rsidR="00823F92" w:rsidRPr="006C4490">
        <w:t>e</w:t>
      </w:r>
      <w:r w:rsidR="00823F92">
        <w:t xml:space="preserve"> </w:t>
      </w:r>
      <w:r w:rsidRPr="006C4490">
        <w:t>developmen</w:t>
      </w:r>
      <w:r w:rsidR="00823F92" w:rsidRPr="006C4490">
        <w:t>t</w:t>
      </w:r>
      <w:r w:rsidR="00823F92">
        <w:t xml:space="preserve"> </w:t>
      </w:r>
      <w:r w:rsidRPr="006C4490">
        <w:t>o</w:t>
      </w:r>
      <w:r w:rsidR="00823F92" w:rsidRPr="006C4490">
        <w:t>f</w:t>
      </w:r>
      <w:r w:rsidR="00823F92">
        <w:t xml:space="preserve"> </w:t>
      </w:r>
      <w:r w:rsidRPr="006C4490">
        <w:t>th</w:t>
      </w:r>
      <w:r w:rsidR="00823F92" w:rsidRPr="006C4490">
        <w:t>e</w:t>
      </w:r>
      <w:r w:rsidR="00823F92">
        <w:t xml:space="preserve"> </w:t>
      </w:r>
      <w:r w:rsidRPr="006C4490">
        <w:t>skill</w:t>
      </w:r>
      <w:r w:rsidR="00823F92" w:rsidRPr="006C4490">
        <w:t>s</w:t>
      </w:r>
      <w:r w:rsidR="00823F92">
        <w:t xml:space="preserve"> </w:t>
      </w:r>
      <w:r w:rsidRPr="006C4490">
        <w:t>consumer</w:t>
      </w:r>
      <w:r w:rsidR="00823F92" w:rsidRPr="006C4490">
        <w:t>s</w:t>
      </w:r>
      <w:r w:rsidR="00823F92">
        <w:t xml:space="preserve"> </w:t>
      </w:r>
      <w:r w:rsidRPr="006C4490">
        <w:t>value</w:t>
      </w:r>
      <w:r w:rsidR="00823F92" w:rsidRPr="006C4490">
        <w:t>,</w:t>
      </w:r>
      <w:r w:rsidR="00823F92">
        <w:t xml:space="preserve"> </w:t>
      </w:r>
      <w:r w:rsidRPr="006C4490">
        <w:t>including:</w:t>
      </w:r>
    </w:p>
    <w:p w14:paraId="4571BBEE" w14:textId="3100E794" w:rsidR="00453F15" w:rsidRPr="006C4490" w:rsidRDefault="00453F15" w:rsidP="00705129">
      <w:pPr>
        <w:pStyle w:val="ListBullet"/>
      </w:pPr>
      <w:r w:rsidRPr="006C4490">
        <w:t>empath</w:t>
      </w:r>
      <w:r w:rsidR="00823F92" w:rsidRPr="006C4490">
        <w:t>y</w:t>
      </w:r>
      <w:r w:rsidR="00823F92">
        <w:t xml:space="preserve"> </w:t>
      </w:r>
      <w:r w:rsidRPr="006C4490">
        <w:t>an</w:t>
      </w:r>
      <w:r w:rsidR="00823F92" w:rsidRPr="006C4490">
        <w:t>d</w:t>
      </w:r>
      <w:r w:rsidR="00823F92">
        <w:t xml:space="preserve"> </w:t>
      </w:r>
      <w:r w:rsidRPr="006C4490">
        <w:t>servic</w:t>
      </w:r>
      <w:r w:rsidR="00823F92" w:rsidRPr="006C4490">
        <w:t>e</w:t>
      </w:r>
      <w:r w:rsidR="00823F92">
        <w:t xml:space="preserve"> </w:t>
      </w:r>
      <w:r w:rsidRPr="006C4490">
        <w:t>navigatio</w:t>
      </w:r>
      <w:r w:rsidR="00823F92" w:rsidRPr="006C4490">
        <w:t>n</w:t>
      </w:r>
      <w:r w:rsidR="00823F92">
        <w:t xml:space="preserve"> </w:t>
      </w:r>
      <w:r w:rsidRPr="006C4490">
        <w:t>abilities</w:t>
      </w:r>
      <w:r w:rsidRPr="0074269F">
        <w:rPr>
          <w:rStyle w:val="FootnoteReference"/>
          <w:sz w:val="20"/>
          <w:szCs w:val="20"/>
        </w:rPr>
        <w:footnoteReference w:id="26"/>
      </w:r>
      <w:r w:rsidRPr="0074269F">
        <w:rPr>
          <w:rStyle w:val="FootnoteReference"/>
          <w:sz w:val="20"/>
          <w:szCs w:val="20"/>
        </w:rPr>
        <w:t xml:space="preserve"> </w:t>
      </w:r>
    </w:p>
    <w:p w14:paraId="374366B6" w14:textId="11FD08F7" w:rsidR="00453F15" w:rsidRDefault="00453F15" w:rsidP="00705129">
      <w:pPr>
        <w:pStyle w:val="ListBullet"/>
      </w:pPr>
      <w:r w:rsidRPr="006C4490">
        <w:t>deliver</w:t>
      </w:r>
      <w:r w:rsidR="00823F92" w:rsidRPr="006C4490">
        <w:t>y</w:t>
      </w:r>
      <w:r w:rsidR="00823F92">
        <w:t xml:space="preserve"> </w:t>
      </w:r>
      <w:r w:rsidRPr="006C4490">
        <w:t>o</w:t>
      </w:r>
      <w:r w:rsidR="00823F92" w:rsidRPr="006C4490">
        <w:t>f</w:t>
      </w:r>
      <w:r w:rsidR="00823F92">
        <w:t xml:space="preserve"> </w:t>
      </w:r>
      <w:r w:rsidRPr="006C4490">
        <w:t>inclusiv</w:t>
      </w:r>
      <w:r w:rsidR="00823F92" w:rsidRPr="006C4490">
        <w:t>e</w:t>
      </w:r>
      <w:r w:rsidR="00823F92">
        <w:t xml:space="preserve"> </w:t>
      </w:r>
      <w:r w:rsidRPr="006C4490">
        <w:t>an</w:t>
      </w:r>
      <w:r w:rsidR="00823F92" w:rsidRPr="006C4490">
        <w:t>d</w:t>
      </w:r>
      <w:r w:rsidR="00823F92">
        <w:t xml:space="preserve"> </w:t>
      </w:r>
      <w:r w:rsidRPr="006C4490">
        <w:t>culturall</w:t>
      </w:r>
      <w:r w:rsidR="00823F92" w:rsidRPr="006C4490">
        <w:t>y</w:t>
      </w:r>
      <w:r w:rsidR="00823F92">
        <w:t xml:space="preserve"> </w:t>
      </w:r>
      <w:r w:rsidRPr="006C4490">
        <w:t>saf</w:t>
      </w:r>
      <w:r w:rsidR="00823F92" w:rsidRPr="006C4490">
        <w:t>e</w:t>
      </w:r>
      <w:r w:rsidR="00823F92">
        <w:t xml:space="preserve"> </w:t>
      </w:r>
      <w:r w:rsidRPr="006C4490">
        <w:t>service</w:t>
      </w:r>
      <w:r w:rsidR="00823F92" w:rsidRPr="006C4490">
        <w:t>s</w:t>
      </w:r>
      <w:r w:rsidR="00823F92">
        <w:t xml:space="preserve"> </w:t>
      </w:r>
      <w:r w:rsidRPr="006C4490">
        <w:t>includin</w:t>
      </w:r>
      <w:r w:rsidR="00823F92" w:rsidRPr="006C4490">
        <w:t>g</w:t>
      </w:r>
      <w:r w:rsidR="00823F92">
        <w:t xml:space="preserve"> </w:t>
      </w:r>
      <w:r w:rsidRPr="006C4490">
        <w:t>fo</w:t>
      </w:r>
      <w:r w:rsidR="00823F92" w:rsidRPr="006C4490">
        <w:t>r</w:t>
      </w:r>
      <w:r w:rsidR="00823F92">
        <w:t xml:space="preserve"> </w:t>
      </w:r>
      <w:r w:rsidRPr="006C4490">
        <w:t>Aborigina</w:t>
      </w:r>
      <w:r w:rsidR="00823F92" w:rsidRPr="006C4490">
        <w:t>l</w:t>
      </w:r>
      <w:r w:rsidR="00823F92">
        <w:t xml:space="preserve"> </w:t>
      </w:r>
      <w:r w:rsidRPr="006C4490">
        <w:t>an</w:t>
      </w:r>
      <w:r w:rsidR="00823F92" w:rsidRPr="006C4490">
        <w:t>d</w:t>
      </w:r>
      <w:r w:rsidR="00823F92">
        <w:t xml:space="preserve"> </w:t>
      </w:r>
      <w:r w:rsidRPr="006C4490">
        <w:t>Torre</w:t>
      </w:r>
      <w:r w:rsidR="00823F92" w:rsidRPr="006C4490">
        <w:t>s</w:t>
      </w:r>
      <w:r w:rsidR="00823F92">
        <w:t xml:space="preserve"> </w:t>
      </w:r>
      <w:r w:rsidRPr="006C4490">
        <w:t>Strai</w:t>
      </w:r>
      <w:r w:rsidR="00823F92" w:rsidRPr="006C4490">
        <w:t>t</w:t>
      </w:r>
      <w:r w:rsidR="00823F92">
        <w:t xml:space="preserve"> </w:t>
      </w:r>
      <w:r w:rsidRPr="006C4490">
        <w:t>Islande</w:t>
      </w:r>
      <w:r w:rsidR="00823F92" w:rsidRPr="006C4490">
        <w:t>r</w:t>
      </w:r>
      <w:r w:rsidR="00823F92">
        <w:t xml:space="preserve"> </w:t>
      </w:r>
      <w:r w:rsidRPr="006C4490">
        <w:t>peoples</w:t>
      </w:r>
      <w:r w:rsidR="00823F92" w:rsidRPr="006C4490">
        <w:t>,</w:t>
      </w:r>
      <w:r w:rsidR="00823F92">
        <w:t xml:space="preserve"> </w:t>
      </w:r>
      <w:r w:rsidRPr="006C4490">
        <w:t>LGBTIQ+ an</w:t>
      </w:r>
      <w:r w:rsidR="00823F92" w:rsidRPr="006C4490">
        <w:t>d</w:t>
      </w:r>
      <w:r w:rsidR="00823F92">
        <w:t xml:space="preserve"> </w:t>
      </w:r>
      <w:r w:rsidRPr="006C4490">
        <w:t>culturall</w:t>
      </w:r>
      <w:r w:rsidR="00823F92" w:rsidRPr="006C4490">
        <w:t>y</w:t>
      </w:r>
      <w:r w:rsidR="00823F92">
        <w:t xml:space="preserve"> </w:t>
      </w:r>
      <w:r w:rsidRPr="006C4490">
        <w:t>an</w:t>
      </w:r>
      <w:r w:rsidR="00823F92" w:rsidRPr="006C4490">
        <w:t>d</w:t>
      </w:r>
      <w:r w:rsidR="00823F92">
        <w:t xml:space="preserve"> </w:t>
      </w:r>
      <w:r w:rsidRPr="006C4490">
        <w:t>linguisticall</w:t>
      </w:r>
      <w:r w:rsidR="00823F92" w:rsidRPr="006C4490">
        <w:t>y</w:t>
      </w:r>
      <w:r w:rsidR="00823F92">
        <w:t xml:space="preserve"> </w:t>
      </w:r>
      <w:r w:rsidRPr="006C4490">
        <w:t>divers</w:t>
      </w:r>
      <w:r w:rsidR="00823F92" w:rsidRPr="006C4490">
        <w:t>e</w:t>
      </w:r>
      <w:r w:rsidR="00823F92">
        <w:t xml:space="preserve"> </w:t>
      </w:r>
      <w:r w:rsidRPr="006C4490">
        <w:t>communities</w:t>
      </w:r>
      <w:r w:rsidR="00823F92" w:rsidRPr="006C4490">
        <w:t>.</w:t>
      </w:r>
      <w:r w:rsidR="00823F92">
        <w:t xml:space="preserve"> </w:t>
      </w:r>
    </w:p>
    <w:p w14:paraId="7014181F" w14:textId="7FEED20B" w:rsidR="00073407" w:rsidRPr="006C4490" w:rsidRDefault="00073407" w:rsidP="00073407">
      <w:pPr>
        <w:pStyle w:val="BodyText"/>
      </w:pPr>
      <w:r>
        <w:lastRenderedPageBreak/>
        <w:t>Ther</w:t>
      </w:r>
      <w:r w:rsidR="00823F92">
        <w:t xml:space="preserve">e </w:t>
      </w:r>
      <w:r>
        <w:t>i</w:t>
      </w:r>
      <w:r w:rsidR="00823F92">
        <w:t xml:space="preserve">s </w:t>
      </w:r>
      <w:r>
        <w:t>als</w:t>
      </w:r>
      <w:r w:rsidR="00823F92">
        <w:t xml:space="preserve">o a </w:t>
      </w:r>
      <w:r>
        <w:t>nee</w:t>
      </w:r>
      <w:r w:rsidR="00823F92">
        <w:t xml:space="preserve">d </w:t>
      </w:r>
      <w:r>
        <w:t>fo</w:t>
      </w:r>
      <w:r w:rsidR="00823F92">
        <w:t xml:space="preserve">r </w:t>
      </w:r>
      <w:r>
        <w:t>th</w:t>
      </w:r>
      <w:r w:rsidR="00823F92">
        <w:t xml:space="preserve">e </w:t>
      </w:r>
      <w:r>
        <w:t>menta</w:t>
      </w:r>
      <w:r w:rsidR="00823F92">
        <w:t xml:space="preserve">l </w:t>
      </w:r>
      <w:r>
        <w:t>healt</w:t>
      </w:r>
      <w:r w:rsidR="00823F92">
        <w:t xml:space="preserve">h </w:t>
      </w:r>
      <w:r>
        <w:t>workforc</w:t>
      </w:r>
      <w:r w:rsidR="00823F92">
        <w:t xml:space="preserve">e </w:t>
      </w:r>
      <w:r>
        <w:t>t</w:t>
      </w:r>
      <w:r w:rsidR="00823F92">
        <w:t xml:space="preserve">o </w:t>
      </w:r>
      <w:r>
        <w:t>hav</w:t>
      </w:r>
      <w:r w:rsidR="00823F92">
        <w:t xml:space="preserve">e </w:t>
      </w:r>
      <w:r>
        <w:t>knowledg</w:t>
      </w:r>
      <w:r w:rsidR="00823F92">
        <w:t xml:space="preserve">e </w:t>
      </w:r>
      <w:r>
        <w:t>o</w:t>
      </w:r>
      <w:r w:rsidR="00823F92">
        <w:t xml:space="preserve">f </w:t>
      </w:r>
      <w:r w:rsidRPr="00073407">
        <w:t>co-occurrin</w:t>
      </w:r>
      <w:r w:rsidR="00823F92" w:rsidRPr="00073407">
        <w:t>g</w:t>
      </w:r>
      <w:r w:rsidR="00823F92">
        <w:t xml:space="preserve"> </w:t>
      </w:r>
      <w:r w:rsidRPr="00073407">
        <w:t>neurodevelopmenta</w:t>
      </w:r>
      <w:r w:rsidR="00823F92" w:rsidRPr="00073407">
        <w:t>l</w:t>
      </w:r>
      <w:r w:rsidR="00823F92">
        <w:t xml:space="preserve"> </w:t>
      </w:r>
      <w:r w:rsidRPr="00073407">
        <w:t>disorders</w:t>
      </w:r>
      <w:r w:rsidR="00823F92" w:rsidRPr="00073407">
        <w:t>.</w:t>
      </w:r>
      <w:r w:rsidR="00823F92">
        <w:t xml:space="preserve"> </w:t>
      </w:r>
      <w:r w:rsidR="00B54D02">
        <w:t>Thes</w:t>
      </w:r>
      <w:r w:rsidR="00823F92">
        <w:t xml:space="preserve">e </w:t>
      </w:r>
      <w:r w:rsidR="00B54D02">
        <w:t>skill</w:t>
      </w:r>
      <w:r w:rsidR="00823F92">
        <w:t xml:space="preserve">s </w:t>
      </w:r>
      <w:r w:rsidR="00B54D02">
        <w:t>ar</w:t>
      </w:r>
      <w:r w:rsidR="00823F92">
        <w:t xml:space="preserve">e </w:t>
      </w:r>
      <w:r w:rsidR="00B54D02">
        <w:t>necessar</w:t>
      </w:r>
      <w:r w:rsidR="00823F92">
        <w:t xml:space="preserve">y </w:t>
      </w:r>
      <w:r w:rsidR="00B54D02">
        <w:t>fo</w:t>
      </w:r>
      <w:r w:rsidR="00823F92">
        <w:t xml:space="preserve">r </w:t>
      </w:r>
      <w:r w:rsidRPr="00073407">
        <w:t>th</w:t>
      </w:r>
      <w:r w:rsidR="00823F92" w:rsidRPr="00073407">
        <w:t>e</w:t>
      </w:r>
      <w:r w:rsidR="00823F92">
        <w:t xml:space="preserve"> </w:t>
      </w:r>
      <w:r w:rsidRPr="00073407">
        <w:t>menta</w:t>
      </w:r>
      <w:r w:rsidR="00823F92" w:rsidRPr="00073407">
        <w:t>l</w:t>
      </w:r>
      <w:r w:rsidR="00823F92">
        <w:t xml:space="preserve"> </w:t>
      </w:r>
      <w:r w:rsidRPr="00073407">
        <w:t>healt</w:t>
      </w:r>
      <w:r w:rsidR="00823F92" w:rsidRPr="00073407">
        <w:t>h</w:t>
      </w:r>
      <w:r w:rsidR="00823F92">
        <w:t xml:space="preserve"> </w:t>
      </w:r>
      <w:r w:rsidRPr="00073407">
        <w:t>workforc</w:t>
      </w:r>
      <w:r w:rsidR="00823F92" w:rsidRPr="00073407">
        <w:t>e</w:t>
      </w:r>
      <w:r w:rsidR="00823F92">
        <w:t xml:space="preserve"> </w:t>
      </w:r>
      <w:r w:rsidRPr="00073407">
        <w:t>t</w:t>
      </w:r>
      <w:r w:rsidR="00823F92" w:rsidRPr="00073407">
        <w:t>o</w:t>
      </w:r>
      <w:r w:rsidR="00823F92">
        <w:t xml:space="preserve"> </w:t>
      </w:r>
      <w:r w:rsidRPr="00073407">
        <w:t>recognis</w:t>
      </w:r>
      <w:r w:rsidR="00823F92" w:rsidRPr="00073407">
        <w:t>e</w:t>
      </w:r>
      <w:r w:rsidR="00823F92">
        <w:t xml:space="preserve"> </w:t>
      </w:r>
      <w:r w:rsidRPr="00073407">
        <w:t>an</w:t>
      </w:r>
      <w:r w:rsidR="00823F92" w:rsidRPr="00073407">
        <w:t>d</w:t>
      </w:r>
      <w:r w:rsidR="00823F92">
        <w:t xml:space="preserve"> </w:t>
      </w:r>
      <w:r w:rsidRPr="00073407">
        <w:t>respon</w:t>
      </w:r>
      <w:r w:rsidR="00823F92" w:rsidRPr="00073407">
        <w:t>d</w:t>
      </w:r>
      <w:r w:rsidR="00823F92">
        <w:t xml:space="preserve"> </w:t>
      </w:r>
      <w:r w:rsidRPr="00073407">
        <w:t>t</w:t>
      </w:r>
      <w:r w:rsidR="00823F92" w:rsidRPr="00073407">
        <w:t>o</w:t>
      </w:r>
      <w:r w:rsidR="00823F92">
        <w:t xml:space="preserve"> </w:t>
      </w:r>
      <w:r w:rsidRPr="00073407">
        <w:t>co-occurrin</w:t>
      </w:r>
      <w:r w:rsidR="00823F92" w:rsidRPr="00073407">
        <w:t>g</w:t>
      </w:r>
      <w:r w:rsidR="00823F92">
        <w:t xml:space="preserve"> </w:t>
      </w:r>
      <w:r w:rsidRPr="00073407">
        <w:t>conditions</w:t>
      </w:r>
      <w:r w:rsidR="00823F92">
        <w:t xml:space="preserve">, </w:t>
      </w:r>
      <w:r w:rsidR="0058443F">
        <w:t>ensurin</w:t>
      </w:r>
      <w:r w:rsidR="00823F92">
        <w:t xml:space="preserve">g </w:t>
      </w:r>
      <w:r w:rsidR="0058443F">
        <w:t>a</w:t>
      </w:r>
      <w:r w:rsidRPr="00073407">
        <w:t>dequat</w:t>
      </w:r>
      <w:r w:rsidR="00823F92" w:rsidRPr="00073407">
        <w:t>e</w:t>
      </w:r>
      <w:r w:rsidR="00823F92">
        <w:t xml:space="preserve"> </w:t>
      </w:r>
      <w:r w:rsidRPr="00073407">
        <w:t>treatmen</w:t>
      </w:r>
      <w:r w:rsidR="00823F92" w:rsidRPr="00073407">
        <w:t>t</w:t>
      </w:r>
      <w:r w:rsidR="00823F92">
        <w:t xml:space="preserve"> </w:t>
      </w:r>
      <w:r w:rsidRPr="00073407">
        <w:t>response</w:t>
      </w:r>
      <w:r w:rsidR="0058443F">
        <w:t>s</w:t>
      </w:r>
      <w:r w:rsidRPr="00073407">
        <w:t>.</w:t>
      </w:r>
    </w:p>
    <w:p w14:paraId="122587EA" w14:textId="30C26FB1" w:rsidR="00453F15" w:rsidRDefault="00453F15" w:rsidP="008D57D0">
      <w:pPr>
        <w:pStyle w:val="Heading3nonumber"/>
        <w:keepNext/>
      </w:pPr>
      <w:r>
        <w:t>Skill</w:t>
      </w:r>
      <w:r w:rsidR="00823F92">
        <w:t xml:space="preserve">s </w:t>
      </w:r>
      <w:r>
        <w:t>fo</w:t>
      </w:r>
      <w:r w:rsidR="00823F92">
        <w:t xml:space="preserve">r </w:t>
      </w:r>
      <w:r>
        <w:t>th</w:t>
      </w:r>
      <w:r w:rsidR="00823F92">
        <w:t xml:space="preserve">e </w:t>
      </w:r>
      <w:r>
        <w:t>generalis</w:t>
      </w:r>
      <w:r w:rsidR="00823F92">
        <w:t xml:space="preserve">t </w:t>
      </w:r>
      <w:r>
        <w:t>menta</w:t>
      </w:r>
      <w:r w:rsidR="00823F92">
        <w:t xml:space="preserve">l </w:t>
      </w:r>
      <w:r>
        <w:t>healt</w:t>
      </w:r>
      <w:r w:rsidR="00823F92">
        <w:t xml:space="preserve">h </w:t>
      </w:r>
      <w:r>
        <w:t>workforce</w:t>
      </w:r>
    </w:p>
    <w:p w14:paraId="44DBCA8A" w14:textId="36EBC22B" w:rsidR="00453F15" w:rsidRDefault="00453F15" w:rsidP="00F513D9">
      <w:pPr>
        <w:pStyle w:val="BodyText"/>
        <w:rPr>
          <w:lang w:val="en-US"/>
        </w:rPr>
      </w:pPr>
      <w:r>
        <w:rPr>
          <w:lang w:val="en-US"/>
        </w:rPr>
        <w:t>G</w:t>
      </w:r>
      <w:r w:rsidRPr="00F31567">
        <w:rPr>
          <w:lang w:val="en-US"/>
        </w:rPr>
        <w:t>ive</w:t>
      </w:r>
      <w:r w:rsidR="00823F92" w:rsidRPr="00F31567">
        <w:rPr>
          <w:lang w:val="en-US"/>
        </w:rPr>
        <w:t>n</w:t>
      </w:r>
      <w:r w:rsidR="00823F92">
        <w:rPr>
          <w:lang w:val="en-US"/>
        </w:rPr>
        <w:t xml:space="preserve"> </w:t>
      </w:r>
      <w:r w:rsidRPr="00F31567">
        <w:rPr>
          <w:lang w:val="en-US"/>
        </w:rPr>
        <w:t>th</w:t>
      </w:r>
      <w:r w:rsidR="00823F92" w:rsidRPr="00F31567">
        <w:rPr>
          <w:lang w:val="en-US"/>
        </w:rPr>
        <w:t>e</w:t>
      </w:r>
      <w:r w:rsidR="00823F92">
        <w:rPr>
          <w:lang w:val="en-US"/>
        </w:rPr>
        <w:t xml:space="preserve"> </w:t>
      </w:r>
      <w:r w:rsidRPr="00F31567">
        <w:rPr>
          <w:lang w:val="en-US"/>
        </w:rPr>
        <w:t>broa</w:t>
      </w:r>
      <w:r w:rsidR="00823F92" w:rsidRPr="00F31567">
        <w:rPr>
          <w:lang w:val="en-US"/>
        </w:rPr>
        <w:t>d</w:t>
      </w:r>
      <w:r w:rsidR="00823F92">
        <w:rPr>
          <w:lang w:val="en-US"/>
        </w:rPr>
        <w:t xml:space="preserve"> </w:t>
      </w:r>
      <w:r w:rsidRPr="00F31567">
        <w:rPr>
          <w:lang w:val="en-US"/>
        </w:rPr>
        <w:t>definitio</w:t>
      </w:r>
      <w:r w:rsidR="00823F92" w:rsidRPr="00F31567">
        <w:rPr>
          <w:lang w:val="en-US"/>
        </w:rPr>
        <w:t>n</w:t>
      </w:r>
      <w:r w:rsidR="00823F92">
        <w:rPr>
          <w:lang w:val="en-US"/>
        </w:rPr>
        <w:t xml:space="preserve"> </w:t>
      </w:r>
      <w:r w:rsidRPr="00F31567">
        <w:rPr>
          <w:lang w:val="en-US"/>
        </w:rPr>
        <w:t>o</w:t>
      </w:r>
      <w:r w:rsidR="00823F92" w:rsidRPr="00F31567">
        <w:rPr>
          <w:lang w:val="en-US"/>
        </w:rPr>
        <w:t>f</w:t>
      </w:r>
      <w:r w:rsidR="00823F92">
        <w:rPr>
          <w:lang w:val="en-US"/>
        </w:rPr>
        <w:t xml:space="preserve"> </w:t>
      </w:r>
      <w:r w:rsidRPr="00F31567">
        <w:rPr>
          <w:lang w:val="en-US"/>
        </w:rPr>
        <w:t>th</w:t>
      </w:r>
      <w:r w:rsidR="00823F92" w:rsidRPr="00F31567">
        <w:rPr>
          <w:lang w:val="en-US"/>
        </w:rPr>
        <w:t>e</w:t>
      </w:r>
      <w:r w:rsidR="00823F92">
        <w:rPr>
          <w:lang w:val="en-US"/>
        </w:rPr>
        <w:t xml:space="preserve"> </w:t>
      </w:r>
      <w:r w:rsidRPr="00F31567">
        <w:rPr>
          <w:lang w:val="en-US"/>
        </w:rPr>
        <w:t>menta</w:t>
      </w:r>
      <w:r w:rsidR="00823F92" w:rsidRPr="00F31567">
        <w:rPr>
          <w:lang w:val="en-US"/>
        </w:rPr>
        <w:t>l</w:t>
      </w:r>
      <w:r w:rsidR="00823F92">
        <w:rPr>
          <w:lang w:val="en-US"/>
        </w:rPr>
        <w:t xml:space="preserve"> </w:t>
      </w:r>
      <w:r w:rsidRPr="00F31567">
        <w:rPr>
          <w:lang w:val="en-US"/>
        </w:rPr>
        <w:t>healt</w:t>
      </w:r>
      <w:r w:rsidR="00823F92" w:rsidRPr="00F31567">
        <w:rPr>
          <w:lang w:val="en-US"/>
        </w:rPr>
        <w:t>h</w:t>
      </w:r>
      <w:r w:rsidR="00823F92">
        <w:rPr>
          <w:lang w:val="en-US"/>
        </w:rPr>
        <w:t xml:space="preserve"> </w:t>
      </w:r>
      <w:r w:rsidRPr="00F31567">
        <w:rPr>
          <w:lang w:val="en-US"/>
        </w:rPr>
        <w:t>workforc</w:t>
      </w:r>
      <w:r w:rsidR="00823F92" w:rsidRPr="00F31567">
        <w:rPr>
          <w:lang w:val="en-US"/>
        </w:rPr>
        <w:t>e</w:t>
      </w:r>
      <w:r w:rsidR="00823F92">
        <w:rPr>
          <w:lang w:val="en-US"/>
        </w:rPr>
        <w:t xml:space="preserve"> </w:t>
      </w:r>
      <w:r w:rsidRPr="00F31567">
        <w:rPr>
          <w:lang w:val="en-US"/>
        </w:rPr>
        <w:t>an</w:t>
      </w:r>
      <w:r w:rsidR="00823F92" w:rsidRPr="00F31567">
        <w:rPr>
          <w:lang w:val="en-US"/>
        </w:rPr>
        <w:t>d</w:t>
      </w:r>
      <w:r w:rsidR="00823F92">
        <w:rPr>
          <w:lang w:val="en-US"/>
        </w:rPr>
        <w:t xml:space="preserve"> </w:t>
      </w:r>
      <w:r w:rsidRPr="00F31567">
        <w:rPr>
          <w:lang w:val="en-US"/>
        </w:rPr>
        <w:t>recognisin</w:t>
      </w:r>
      <w:r w:rsidR="00823F92" w:rsidRPr="00F31567">
        <w:rPr>
          <w:lang w:val="en-US"/>
        </w:rPr>
        <w:t>g</w:t>
      </w:r>
      <w:r w:rsidR="00823F92">
        <w:rPr>
          <w:lang w:val="en-US"/>
        </w:rPr>
        <w:t xml:space="preserve"> </w:t>
      </w:r>
      <w:r w:rsidRPr="00F31567">
        <w:rPr>
          <w:lang w:val="en-US"/>
        </w:rPr>
        <w:t>tha</w:t>
      </w:r>
      <w:r w:rsidR="00823F92" w:rsidRPr="00F31567">
        <w:rPr>
          <w:lang w:val="en-US"/>
        </w:rPr>
        <w:t>t</w:t>
      </w:r>
      <w:r w:rsidR="00823F92">
        <w:rPr>
          <w:lang w:val="en-US"/>
        </w:rPr>
        <w:t xml:space="preserve"> </w:t>
      </w:r>
      <w:r w:rsidRPr="00F31567">
        <w:rPr>
          <w:lang w:val="en-US"/>
        </w:rPr>
        <w:t>man</w:t>
      </w:r>
      <w:r w:rsidR="00823F92" w:rsidRPr="00F31567">
        <w:rPr>
          <w:lang w:val="en-US"/>
        </w:rPr>
        <w:t>y</w:t>
      </w:r>
      <w:r w:rsidR="00823F92">
        <w:rPr>
          <w:lang w:val="en-US"/>
        </w:rPr>
        <w:t xml:space="preserve"> </w:t>
      </w:r>
      <w:r w:rsidRPr="00F31567">
        <w:rPr>
          <w:lang w:val="en-US"/>
        </w:rPr>
        <w:t>graduate</w:t>
      </w:r>
      <w:r w:rsidR="00823F92" w:rsidRPr="00F31567">
        <w:rPr>
          <w:lang w:val="en-US"/>
        </w:rPr>
        <w:t>s</w:t>
      </w:r>
      <w:r w:rsidR="00823F92">
        <w:rPr>
          <w:lang w:val="en-US"/>
        </w:rPr>
        <w:t xml:space="preserve"> </w:t>
      </w:r>
      <w:r w:rsidRPr="00F31567">
        <w:rPr>
          <w:lang w:val="en-US"/>
        </w:rPr>
        <w:t>wil</w:t>
      </w:r>
      <w:r w:rsidR="00823F92" w:rsidRPr="00F31567">
        <w:rPr>
          <w:lang w:val="en-US"/>
        </w:rPr>
        <w:t>l</w:t>
      </w:r>
      <w:r w:rsidR="00823F92">
        <w:rPr>
          <w:lang w:val="en-US"/>
        </w:rPr>
        <w:t xml:space="preserve"> </w:t>
      </w:r>
      <w:r w:rsidRPr="00F31567">
        <w:rPr>
          <w:lang w:val="en-US"/>
        </w:rPr>
        <w:t>no</w:t>
      </w:r>
      <w:r w:rsidR="00823F92" w:rsidRPr="00F31567">
        <w:rPr>
          <w:lang w:val="en-US"/>
        </w:rPr>
        <w:t>t</w:t>
      </w:r>
      <w:r w:rsidR="00823F92">
        <w:rPr>
          <w:lang w:val="en-US"/>
        </w:rPr>
        <w:t xml:space="preserve"> </w:t>
      </w:r>
      <w:r w:rsidRPr="00F31567">
        <w:rPr>
          <w:lang w:val="en-US"/>
        </w:rPr>
        <w:t>wor</w:t>
      </w:r>
      <w:r w:rsidR="00823F92" w:rsidRPr="00F31567">
        <w:rPr>
          <w:lang w:val="en-US"/>
        </w:rPr>
        <w:t>k</w:t>
      </w:r>
      <w:r w:rsidR="00823F92">
        <w:rPr>
          <w:lang w:val="en-US"/>
        </w:rPr>
        <w:t xml:space="preserve"> </w:t>
      </w:r>
      <w:r w:rsidRPr="00F31567">
        <w:rPr>
          <w:lang w:val="en-US"/>
        </w:rPr>
        <w:t>i</w:t>
      </w:r>
      <w:r w:rsidR="00823F92" w:rsidRPr="00F31567">
        <w:rPr>
          <w:lang w:val="en-US"/>
        </w:rPr>
        <w:t>n</w:t>
      </w:r>
      <w:r w:rsidR="00823F92">
        <w:rPr>
          <w:lang w:val="en-US"/>
        </w:rPr>
        <w:t xml:space="preserve"> </w:t>
      </w:r>
      <w:r w:rsidRPr="00F31567">
        <w:rPr>
          <w:lang w:val="en-US"/>
        </w:rPr>
        <w:t>th</w:t>
      </w:r>
      <w:r w:rsidR="00823F92" w:rsidRPr="00F31567">
        <w:rPr>
          <w:lang w:val="en-US"/>
        </w:rPr>
        <w:t>e</w:t>
      </w:r>
      <w:r w:rsidR="00823F92">
        <w:rPr>
          <w:lang w:val="en-US"/>
        </w:rPr>
        <w:t xml:space="preserve"> </w:t>
      </w:r>
      <w:r w:rsidRPr="00F31567">
        <w:rPr>
          <w:lang w:val="en-US"/>
        </w:rPr>
        <w:t>menta</w:t>
      </w:r>
      <w:r w:rsidR="00823F92" w:rsidRPr="00F31567">
        <w:rPr>
          <w:lang w:val="en-US"/>
        </w:rPr>
        <w:t>l</w:t>
      </w:r>
      <w:r w:rsidR="00823F92">
        <w:rPr>
          <w:lang w:val="en-US"/>
        </w:rPr>
        <w:t xml:space="preserve"> </w:t>
      </w:r>
      <w:r w:rsidRPr="00F31567">
        <w:rPr>
          <w:lang w:val="en-US"/>
        </w:rPr>
        <w:t>healt</w:t>
      </w:r>
      <w:r w:rsidR="00823F92" w:rsidRPr="00F31567">
        <w:rPr>
          <w:lang w:val="en-US"/>
        </w:rPr>
        <w:t>h</w:t>
      </w:r>
      <w:r w:rsidR="00823F92">
        <w:rPr>
          <w:lang w:val="en-US"/>
        </w:rPr>
        <w:t xml:space="preserve"> </w:t>
      </w:r>
      <w:r w:rsidRPr="00F31567">
        <w:rPr>
          <w:lang w:val="en-US"/>
        </w:rPr>
        <w:t>sector</w:t>
      </w:r>
      <w:r w:rsidR="00823F92" w:rsidRPr="00F31567">
        <w:rPr>
          <w:lang w:val="en-US"/>
        </w:rPr>
        <w:t>,</w:t>
      </w:r>
      <w:r w:rsidR="00823F92">
        <w:rPr>
          <w:lang w:val="en-US"/>
        </w:rPr>
        <w:t xml:space="preserve"> </w:t>
      </w:r>
      <w:r w:rsidRPr="00F31567">
        <w:rPr>
          <w:lang w:val="en-US"/>
        </w:rPr>
        <w:t>program</w:t>
      </w:r>
      <w:r w:rsidR="00823F92" w:rsidRPr="00F31567">
        <w:rPr>
          <w:lang w:val="en-US"/>
        </w:rPr>
        <w:t>s</w:t>
      </w:r>
      <w:r w:rsidR="00823F92">
        <w:rPr>
          <w:lang w:val="en-US"/>
        </w:rPr>
        <w:t xml:space="preserve"> </w:t>
      </w:r>
      <w:r w:rsidRPr="00F31567">
        <w:rPr>
          <w:lang w:val="en-US"/>
        </w:rPr>
        <w:t>outsid</w:t>
      </w:r>
      <w:r w:rsidR="00823F92" w:rsidRPr="00F31567">
        <w:rPr>
          <w:lang w:val="en-US"/>
        </w:rPr>
        <w:t>e</w:t>
      </w:r>
      <w:r w:rsidR="00823F92">
        <w:rPr>
          <w:lang w:val="en-US"/>
        </w:rPr>
        <w:t xml:space="preserve"> </w:t>
      </w:r>
      <w:r w:rsidRPr="00F31567">
        <w:rPr>
          <w:lang w:val="en-US"/>
        </w:rPr>
        <w:t>thos</w:t>
      </w:r>
      <w:r w:rsidR="00823F92" w:rsidRPr="00F31567">
        <w:rPr>
          <w:lang w:val="en-US"/>
        </w:rPr>
        <w:t>e</w:t>
      </w:r>
      <w:r w:rsidR="00823F92">
        <w:rPr>
          <w:lang w:val="en-US"/>
        </w:rPr>
        <w:t xml:space="preserve"> </w:t>
      </w:r>
      <w:r w:rsidRPr="00F31567">
        <w:rPr>
          <w:lang w:val="en-US"/>
        </w:rPr>
        <w:t>tha</w:t>
      </w:r>
      <w:r w:rsidR="00823F92" w:rsidRPr="00F31567">
        <w:rPr>
          <w:lang w:val="en-US"/>
        </w:rPr>
        <w:t>t</w:t>
      </w:r>
      <w:r w:rsidR="00823F92">
        <w:rPr>
          <w:lang w:val="en-US"/>
        </w:rPr>
        <w:t xml:space="preserve"> </w:t>
      </w:r>
      <w:r>
        <w:rPr>
          <w:lang w:val="en-US"/>
        </w:rPr>
        <w:t>trai</w:t>
      </w:r>
      <w:r w:rsidR="00823F92">
        <w:rPr>
          <w:lang w:val="en-US"/>
        </w:rPr>
        <w:t xml:space="preserve">n </w:t>
      </w:r>
      <w:r>
        <w:rPr>
          <w:lang w:val="en-US"/>
        </w:rPr>
        <w:t>graduate</w:t>
      </w:r>
      <w:r w:rsidR="00823F92">
        <w:rPr>
          <w:lang w:val="en-US"/>
        </w:rPr>
        <w:t xml:space="preserve">s </w:t>
      </w:r>
      <w:r w:rsidRPr="00F31567">
        <w:rPr>
          <w:lang w:val="en-US"/>
        </w:rPr>
        <w:t>specificall</w:t>
      </w:r>
      <w:r w:rsidR="00823F92" w:rsidRPr="00F31567">
        <w:rPr>
          <w:lang w:val="en-US"/>
        </w:rPr>
        <w:t>y</w:t>
      </w:r>
      <w:r w:rsidR="00823F92">
        <w:rPr>
          <w:lang w:val="en-US"/>
        </w:rPr>
        <w:t xml:space="preserve"> </w:t>
      </w:r>
      <w:r>
        <w:rPr>
          <w:lang w:val="en-US"/>
        </w:rPr>
        <w:t>fo</w:t>
      </w:r>
      <w:r w:rsidR="00823F92">
        <w:rPr>
          <w:lang w:val="en-US"/>
        </w:rPr>
        <w:t xml:space="preserve">r </w:t>
      </w:r>
      <w:r w:rsidRPr="00F31567">
        <w:rPr>
          <w:lang w:val="en-US"/>
        </w:rPr>
        <w:t>menta</w:t>
      </w:r>
      <w:r w:rsidR="00823F92" w:rsidRPr="00F31567">
        <w:rPr>
          <w:lang w:val="en-US"/>
        </w:rPr>
        <w:t>l</w:t>
      </w:r>
      <w:r w:rsidR="00823F92">
        <w:rPr>
          <w:lang w:val="en-US"/>
        </w:rPr>
        <w:t xml:space="preserve"> </w:t>
      </w:r>
      <w:r w:rsidRPr="00F31567">
        <w:rPr>
          <w:lang w:val="en-US"/>
        </w:rPr>
        <w:t>healt</w:t>
      </w:r>
      <w:r w:rsidR="00823F92" w:rsidRPr="00F31567">
        <w:rPr>
          <w:lang w:val="en-US"/>
        </w:rPr>
        <w:t>h</w:t>
      </w:r>
      <w:r w:rsidR="00823F92">
        <w:rPr>
          <w:lang w:val="en-US"/>
        </w:rPr>
        <w:t xml:space="preserve"> </w:t>
      </w:r>
      <w:r>
        <w:rPr>
          <w:lang w:val="en-US"/>
        </w:rPr>
        <w:t>role</w:t>
      </w:r>
      <w:r w:rsidR="00823F92">
        <w:rPr>
          <w:lang w:val="en-US"/>
        </w:rPr>
        <w:t xml:space="preserve">s </w:t>
      </w:r>
      <w:r w:rsidRPr="00F31567">
        <w:rPr>
          <w:lang w:val="en-US"/>
        </w:rPr>
        <w:t>ar</w:t>
      </w:r>
      <w:r w:rsidR="00823F92" w:rsidRPr="00F31567">
        <w:rPr>
          <w:lang w:val="en-US"/>
        </w:rPr>
        <w:t>e</w:t>
      </w:r>
      <w:r w:rsidR="00823F92">
        <w:rPr>
          <w:lang w:val="en-US"/>
        </w:rPr>
        <w:t xml:space="preserve"> </w:t>
      </w:r>
      <w:r w:rsidRPr="00F31567">
        <w:rPr>
          <w:lang w:val="en-US"/>
        </w:rPr>
        <w:t>ofte</w:t>
      </w:r>
      <w:r w:rsidR="00823F92" w:rsidRPr="00F31567">
        <w:rPr>
          <w:lang w:val="en-US"/>
        </w:rPr>
        <w:t>n</w:t>
      </w:r>
      <w:r w:rsidR="00823F92">
        <w:rPr>
          <w:lang w:val="en-US"/>
        </w:rPr>
        <w:t xml:space="preserve"> </w:t>
      </w:r>
      <w:r w:rsidRPr="00F31567">
        <w:rPr>
          <w:lang w:val="en-US"/>
        </w:rPr>
        <w:t>designe</w:t>
      </w:r>
      <w:r w:rsidR="00823F92" w:rsidRPr="00F31567">
        <w:rPr>
          <w:lang w:val="en-US"/>
        </w:rPr>
        <w:t>d</w:t>
      </w:r>
      <w:r w:rsidR="00823F92">
        <w:rPr>
          <w:lang w:val="en-US"/>
        </w:rPr>
        <w:t xml:space="preserve"> </w:t>
      </w:r>
      <w:r w:rsidRPr="00F31567">
        <w:rPr>
          <w:lang w:val="en-US"/>
        </w:rPr>
        <w:t>wit</w:t>
      </w:r>
      <w:r w:rsidR="00823F92" w:rsidRPr="00F31567">
        <w:rPr>
          <w:lang w:val="en-US"/>
        </w:rPr>
        <w:t>h</w:t>
      </w:r>
      <w:r w:rsidR="00823F92">
        <w:rPr>
          <w:lang w:val="en-US"/>
        </w:rPr>
        <w:t xml:space="preserve"> </w:t>
      </w:r>
      <w:r w:rsidRPr="00F31567">
        <w:rPr>
          <w:lang w:val="en-US"/>
        </w:rPr>
        <w:t>littl</w:t>
      </w:r>
      <w:r w:rsidR="00823F92" w:rsidRPr="00F31567">
        <w:rPr>
          <w:lang w:val="en-US"/>
        </w:rPr>
        <w:t>e</w:t>
      </w:r>
      <w:r w:rsidR="00823F92">
        <w:rPr>
          <w:lang w:val="en-US"/>
        </w:rPr>
        <w:t xml:space="preserve"> </w:t>
      </w:r>
      <w:r w:rsidRPr="00F31567">
        <w:rPr>
          <w:lang w:val="en-US"/>
        </w:rPr>
        <w:t>menta</w:t>
      </w:r>
      <w:r w:rsidR="00823F92" w:rsidRPr="00F31567">
        <w:rPr>
          <w:lang w:val="en-US"/>
        </w:rPr>
        <w:t>l</w:t>
      </w:r>
      <w:r w:rsidR="00823F92">
        <w:rPr>
          <w:lang w:val="en-US"/>
        </w:rPr>
        <w:t xml:space="preserve"> </w:t>
      </w:r>
      <w:r w:rsidRPr="00F31567">
        <w:rPr>
          <w:lang w:val="en-US"/>
        </w:rPr>
        <w:t>healt</w:t>
      </w:r>
      <w:r w:rsidR="00823F92" w:rsidRPr="00F31567">
        <w:rPr>
          <w:lang w:val="en-US"/>
        </w:rPr>
        <w:t>h</w:t>
      </w:r>
      <w:r w:rsidR="00823F92">
        <w:rPr>
          <w:lang w:val="en-US"/>
        </w:rPr>
        <w:t xml:space="preserve"> </w:t>
      </w:r>
      <w:r w:rsidRPr="00F31567">
        <w:rPr>
          <w:lang w:val="en-US"/>
        </w:rPr>
        <w:t>content</w:t>
      </w:r>
      <w:r w:rsidR="00823F92" w:rsidRPr="00F31567">
        <w:rPr>
          <w:lang w:val="en-US"/>
        </w:rPr>
        <w:t>.</w:t>
      </w:r>
      <w:r w:rsidR="00823F92">
        <w:rPr>
          <w:lang w:val="en-US"/>
        </w:rPr>
        <w:t xml:space="preserve"> </w:t>
      </w:r>
    </w:p>
    <w:p w14:paraId="3EF5E241" w14:textId="1CEB4E8F" w:rsidR="00453F15" w:rsidRDefault="00453F15" w:rsidP="00F513D9">
      <w:pPr>
        <w:pStyle w:val="BodyText"/>
        <w:rPr>
          <w:lang w:val="en-US"/>
        </w:rPr>
      </w:pPr>
      <w:r w:rsidRPr="00D6651C">
        <w:rPr>
          <w:lang w:val="en-US"/>
        </w:rPr>
        <w:t>Th</w:t>
      </w:r>
      <w:r>
        <w:rPr>
          <w:lang w:val="en-US"/>
        </w:rPr>
        <w:t>i</w:t>
      </w:r>
      <w:r w:rsidR="00823F92">
        <w:rPr>
          <w:lang w:val="en-US"/>
        </w:rPr>
        <w:t xml:space="preserve">s </w:t>
      </w:r>
      <w:r w:rsidRPr="00D6651C">
        <w:rPr>
          <w:lang w:val="en-US"/>
        </w:rPr>
        <w:t>limite</w:t>
      </w:r>
      <w:r w:rsidR="00823F92" w:rsidRPr="00D6651C">
        <w:rPr>
          <w:lang w:val="en-US"/>
        </w:rPr>
        <w:t>d</w:t>
      </w:r>
      <w:r w:rsidR="00823F92">
        <w:rPr>
          <w:lang w:val="en-US"/>
        </w:rPr>
        <w:t xml:space="preserve"> </w:t>
      </w:r>
      <w:r w:rsidRPr="00D6651C">
        <w:rPr>
          <w:lang w:val="en-US"/>
        </w:rPr>
        <w:t>coverag</w:t>
      </w:r>
      <w:r w:rsidR="00823F92" w:rsidRPr="00D6651C">
        <w:rPr>
          <w:lang w:val="en-US"/>
        </w:rPr>
        <w:t>e</w:t>
      </w:r>
      <w:r w:rsidR="00823F92">
        <w:rPr>
          <w:lang w:val="en-US"/>
        </w:rPr>
        <w:t xml:space="preserve"> </w:t>
      </w:r>
      <w:r w:rsidRPr="00D6651C">
        <w:rPr>
          <w:lang w:val="en-US"/>
        </w:rPr>
        <w:t>o</w:t>
      </w:r>
      <w:r w:rsidR="00823F92" w:rsidRPr="00D6651C">
        <w:rPr>
          <w:lang w:val="en-US"/>
        </w:rPr>
        <w:t>f</w:t>
      </w:r>
      <w:r w:rsidR="00823F92">
        <w:rPr>
          <w:lang w:val="en-US"/>
        </w:rPr>
        <w:t xml:space="preserve"> </w:t>
      </w:r>
      <w:r w:rsidRPr="00D6651C">
        <w:rPr>
          <w:lang w:val="en-US"/>
        </w:rPr>
        <w:t>menta</w:t>
      </w:r>
      <w:r w:rsidR="00823F92" w:rsidRPr="00D6651C">
        <w:rPr>
          <w:lang w:val="en-US"/>
        </w:rPr>
        <w:t>l</w:t>
      </w:r>
      <w:r w:rsidR="00823F92">
        <w:rPr>
          <w:lang w:val="en-US"/>
        </w:rPr>
        <w:t xml:space="preserve"> </w:t>
      </w:r>
      <w:r w:rsidRPr="00D6651C">
        <w:rPr>
          <w:lang w:val="en-US"/>
        </w:rPr>
        <w:t>healt</w:t>
      </w:r>
      <w:r w:rsidR="00823F92" w:rsidRPr="00D6651C">
        <w:rPr>
          <w:lang w:val="en-US"/>
        </w:rPr>
        <w:t>h</w:t>
      </w:r>
      <w:r w:rsidR="00823F92">
        <w:rPr>
          <w:lang w:val="en-US"/>
        </w:rPr>
        <w:t xml:space="preserve"> </w:t>
      </w:r>
      <w:r w:rsidRPr="00D6651C">
        <w:rPr>
          <w:lang w:val="en-US"/>
        </w:rPr>
        <w:t>a</w:t>
      </w:r>
      <w:r w:rsidR="00823F92" w:rsidRPr="00D6651C">
        <w:rPr>
          <w:lang w:val="en-US"/>
        </w:rPr>
        <w:t>t</w:t>
      </w:r>
      <w:r w:rsidR="00823F92">
        <w:rPr>
          <w:lang w:val="en-US"/>
        </w:rPr>
        <w:t xml:space="preserve"> </w:t>
      </w:r>
      <w:r w:rsidRPr="00D6651C">
        <w:rPr>
          <w:lang w:val="en-US"/>
        </w:rPr>
        <w:t>th</w:t>
      </w:r>
      <w:r w:rsidR="00823F92" w:rsidRPr="00D6651C">
        <w:rPr>
          <w:lang w:val="en-US"/>
        </w:rPr>
        <w:t>e</w:t>
      </w:r>
      <w:r w:rsidR="00823F92">
        <w:rPr>
          <w:lang w:val="en-US"/>
        </w:rPr>
        <w:t xml:space="preserve"> </w:t>
      </w:r>
      <w:r w:rsidRPr="00D6651C">
        <w:rPr>
          <w:lang w:val="en-US"/>
        </w:rPr>
        <w:t>undergraduat</w:t>
      </w:r>
      <w:r w:rsidR="00823F92" w:rsidRPr="00D6651C">
        <w:rPr>
          <w:lang w:val="en-US"/>
        </w:rPr>
        <w:t>e</w:t>
      </w:r>
      <w:r w:rsidR="00823F92">
        <w:rPr>
          <w:lang w:val="en-US"/>
        </w:rPr>
        <w:t xml:space="preserve"> </w:t>
      </w:r>
      <w:r w:rsidRPr="00D6651C">
        <w:rPr>
          <w:lang w:val="en-US"/>
        </w:rPr>
        <w:t>leve</w:t>
      </w:r>
      <w:r w:rsidR="00823F92" w:rsidRPr="00D6651C">
        <w:rPr>
          <w:lang w:val="en-US"/>
        </w:rPr>
        <w:t>l</w:t>
      </w:r>
      <w:r w:rsidR="00823F92">
        <w:rPr>
          <w:lang w:val="en-US"/>
        </w:rPr>
        <w:t xml:space="preserve"> </w:t>
      </w:r>
      <w:r w:rsidRPr="00D6651C">
        <w:rPr>
          <w:lang w:val="en-US"/>
        </w:rPr>
        <w:t>fo</w:t>
      </w:r>
      <w:r w:rsidR="00823F92" w:rsidRPr="00D6651C">
        <w:rPr>
          <w:lang w:val="en-US"/>
        </w:rPr>
        <w:t>r</w:t>
      </w:r>
      <w:r w:rsidR="00823F92">
        <w:rPr>
          <w:lang w:val="en-US"/>
        </w:rPr>
        <w:t xml:space="preserve"> </w:t>
      </w:r>
      <w:r w:rsidRPr="00D6651C">
        <w:rPr>
          <w:lang w:val="en-US"/>
        </w:rPr>
        <w:t>som</w:t>
      </w:r>
      <w:r w:rsidR="00823F92" w:rsidRPr="00D6651C">
        <w:rPr>
          <w:lang w:val="en-US"/>
        </w:rPr>
        <w:t>e</w:t>
      </w:r>
      <w:r w:rsidR="00823F92">
        <w:rPr>
          <w:lang w:val="en-US"/>
        </w:rPr>
        <w:t xml:space="preserve"> </w:t>
      </w:r>
      <w:r w:rsidR="000B5C5D">
        <w:rPr>
          <w:lang w:val="en-US"/>
        </w:rPr>
        <w:t>occupation</w:t>
      </w:r>
      <w:r w:rsidR="00823F92">
        <w:rPr>
          <w:lang w:val="en-US"/>
        </w:rPr>
        <w:t xml:space="preserve">s </w:t>
      </w:r>
      <w:r w:rsidRPr="00D6651C">
        <w:rPr>
          <w:lang w:val="en-US"/>
        </w:rPr>
        <w:t>(suc</w:t>
      </w:r>
      <w:r w:rsidR="00823F92" w:rsidRPr="00D6651C">
        <w:rPr>
          <w:lang w:val="en-US"/>
        </w:rPr>
        <w:t>h</w:t>
      </w:r>
      <w:r w:rsidR="00823F92">
        <w:rPr>
          <w:lang w:val="en-US"/>
        </w:rPr>
        <w:t xml:space="preserve"> </w:t>
      </w:r>
      <w:r w:rsidRPr="00D6651C">
        <w:rPr>
          <w:lang w:val="en-US"/>
        </w:rPr>
        <w:t>a</w:t>
      </w:r>
      <w:r w:rsidR="00823F92" w:rsidRPr="00D6651C">
        <w:rPr>
          <w:lang w:val="en-US"/>
        </w:rPr>
        <w:t>s</w:t>
      </w:r>
      <w:r w:rsidR="00823F92">
        <w:rPr>
          <w:lang w:val="en-US"/>
        </w:rPr>
        <w:t xml:space="preserve"> </w:t>
      </w:r>
      <w:r w:rsidRPr="00D6651C">
        <w:rPr>
          <w:lang w:val="en-US"/>
        </w:rPr>
        <w:t>nursin</w:t>
      </w:r>
      <w:r w:rsidR="00823F92" w:rsidRPr="00D6651C">
        <w:rPr>
          <w:lang w:val="en-US"/>
        </w:rPr>
        <w:t>g</w:t>
      </w:r>
      <w:r w:rsidR="00823F92">
        <w:rPr>
          <w:lang w:val="en-US"/>
        </w:rPr>
        <w:t xml:space="preserve"> </w:t>
      </w:r>
      <w:r w:rsidRPr="00D6651C">
        <w:rPr>
          <w:lang w:val="en-US"/>
        </w:rPr>
        <w:t>an</w:t>
      </w:r>
      <w:r w:rsidR="00823F92" w:rsidRPr="00D6651C">
        <w:rPr>
          <w:lang w:val="en-US"/>
        </w:rPr>
        <w:t>d</w:t>
      </w:r>
      <w:r w:rsidR="00823F92">
        <w:rPr>
          <w:lang w:val="en-US"/>
        </w:rPr>
        <w:t xml:space="preserve"> </w:t>
      </w:r>
      <w:r w:rsidRPr="00D6651C">
        <w:rPr>
          <w:lang w:val="en-US"/>
        </w:rPr>
        <w:t>genera</w:t>
      </w:r>
      <w:r w:rsidR="00823F92" w:rsidRPr="00D6651C">
        <w:rPr>
          <w:lang w:val="en-US"/>
        </w:rPr>
        <w:t>l</w:t>
      </w:r>
      <w:r w:rsidR="00823F92">
        <w:rPr>
          <w:lang w:val="en-US"/>
        </w:rPr>
        <w:t xml:space="preserve"> </w:t>
      </w:r>
      <w:r w:rsidRPr="00D6651C">
        <w:rPr>
          <w:lang w:val="en-US"/>
        </w:rPr>
        <w:t>practice) an</w:t>
      </w:r>
      <w:r w:rsidR="00823F92" w:rsidRPr="00D6651C">
        <w:rPr>
          <w:lang w:val="en-US"/>
        </w:rPr>
        <w:t>d</w:t>
      </w:r>
      <w:r w:rsidR="00823F92">
        <w:rPr>
          <w:lang w:val="en-US"/>
        </w:rPr>
        <w:t xml:space="preserve"> </w:t>
      </w:r>
      <w:r w:rsidRPr="00D6651C">
        <w:rPr>
          <w:lang w:val="en-US"/>
        </w:rPr>
        <w:t>th</w:t>
      </w:r>
      <w:r w:rsidR="00823F92" w:rsidRPr="00D6651C">
        <w:rPr>
          <w:lang w:val="en-US"/>
        </w:rPr>
        <w:t>e</w:t>
      </w:r>
      <w:r w:rsidR="00823F92">
        <w:rPr>
          <w:lang w:val="en-US"/>
        </w:rPr>
        <w:t xml:space="preserve"> </w:t>
      </w:r>
      <w:r w:rsidRPr="00D6651C">
        <w:rPr>
          <w:lang w:val="en-US"/>
        </w:rPr>
        <w:t>absenc</w:t>
      </w:r>
      <w:r w:rsidR="00823F92" w:rsidRPr="00D6651C">
        <w:rPr>
          <w:lang w:val="en-US"/>
        </w:rPr>
        <w:t>e</w:t>
      </w:r>
      <w:r w:rsidR="00823F92">
        <w:rPr>
          <w:lang w:val="en-US"/>
        </w:rPr>
        <w:t xml:space="preserve"> </w:t>
      </w:r>
      <w:r w:rsidRPr="00D6651C">
        <w:rPr>
          <w:lang w:val="en-US"/>
        </w:rPr>
        <w:t>o</w:t>
      </w:r>
      <w:r w:rsidR="00823F92" w:rsidRPr="00D6651C">
        <w:rPr>
          <w:lang w:val="en-US"/>
        </w:rPr>
        <w:t>f</w:t>
      </w:r>
      <w:r w:rsidR="00823F92">
        <w:rPr>
          <w:lang w:val="en-US"/>
        </w:rPr>
        <w:t xml:space="preserve"> </w:t>
      </w:r>
      <w:r w:rsidR="006012AE">
        <w:rPr>
          <w:lang w:val="en-US"/>
        </w:rPr>
        <w:t>undergraduat</w:t>
      </w:r>
      <w:r w:rsidR="00823F92">
        <w:rPr>
          <w:lang w:val="en-US"/>
        </w:rPr>
        <w:t xml:space="preserve">e </w:t>
      </w:r>
      <w:r w:rsidRPr="00D6651C">
        <w:rPr>
          <w:lang w:val="en-US"/>
        </w:rPr>
        <w:t>menta</w:t>
      </w:r>
      <w:r w:rsidR="00823F92" w:rsidRPr="00D6651C">
        <w:rPr>
          <w:lang w:val="en-US"/>
        </w:rPr>
        <w:t>l</w:t>
      </w:r>
      <w:r w:rsidR="00823F92">
        <w:rPr>
          <w:lang w:val="en-US"/>
        </w:rPr>
        <w:t xml:space="preserve"> </w:t>
      </w:r>
      <w:r w:rsidRPr="00D6651C">
        <w:rPr>
          <w:lang w:val="en-US"/>
        </w:rPr>
        <w:t>healt</w:t>
      </w:r>
      <w:r w:rsidR="00823F92" w:rsidRPr="00D6651C">
        <w:rPr>
          <w:lang w:val="en-US"/>
        </w:rPr>
        <w:t>h</w:t>
      </w:r>
      <w:r w:rsidR="00823F92">
        <w:rPr>
          <w:lang w:val="en-US"/>
        </w:rPr>
        <w:t xml:space="preserve"> </w:t>
      </w:r>
      <w:r w:rsidRPr="00D6651C">
        <w:rPr>
          <w:lang w:val="en-US"/>
        </w:rPr>
        <w:t>specialisation</w:t>
      </w:r>
      <w:r w:rsidR="00823F92" w:rsidRPr="00D6651C">
        <w:rPr>
          <w:lang w:val="en-US"/>
        </w:rPr>
        <w:t>s</w:t>
      </w:r>
      <w:r w:rsidR="00823F92">
        <w:rPr>
          <w:lang w:val="en-US"/>
        </w:rPr>
        <w:t xml:space="preserve"> </w:t>
      </w:r>
      <w:r w:rsidRPr="00D6651C">
        <w:rPr>
          <w:lang w:val="en-US"/>
        </w:rPr>
        <w:t>(includin</w:t>
      </w:r>
      <w:r w:rsidR="00823F92" w:rsidRPr="00D6651C">
        <w:rPr>
          <w:lang w:val="en-US"/>
        </w:rPr>
        <w:t>g</w:t>
      </w:r>
      <w:r w:rsidR="00823F92">
        <w:rPr>
          <w:lang w:val="en-US"/>
        </w:rPr>
        <w:t xml:space="preserve"> </w:t>
      </w:r>
      <w:r w:rsidRPr="00D6651C">
        <w:rPr>
          <w:lang w:val="en-US"/>
        </w:rPr>
        <w:t>fo</w:t>
      </w:r>
      <w:r w:rsidR="00823F92" w:rsidRPr="00D6651C">
        <w:rPr>
          <w:lang w:val="en-US"/>
        </w:rPr>
        <w:t>r</w:t>
      </w:r>
      <w:r w:rsidR="00823F92">
        <w:rPr>
          <w:lang w:val="en-US"/>
        </w:rPr>
        <w:t xml:space="preserve"> </w:t>
      </w:r>
      <w:r w:rsidR="000819EA">
        <w:rPr>
          <w:lang w:val="en-US"/>
        </w:rPr>
        <w:t>o</w:t>
      </w:r>
      <w:r>
        <w:rPr>
          <w:lang w:val="en-US"/>
        </w:rPr>
        <w:t>ccupationa</w:t>
      </w:r>
      <w:r w:rsidR="00823F92">
        <w:rPr>
          <w:lang w:val="en-US"/>
        </w:rPr>
        <w:t xml:space="preserve">l </w:t>
      </w:r>
      <w:r>
        <w:rPr>
          <w:lang w:val="en-US"/>
        </w:rPr>
        <w:t>therapist</w:t>
      </w:r>
      <w:r w:rsidR="00823F92">
        <w:rPr>
          <w:lang w:val="en-US"/>
        </w:rPr>
        <w:t xml:space="preserve">s </w:t>
      </w:r>
      <w:r w:rsidRPr="00D6651C">
        <w:rPr>
          <w:lang w:val="en-US"/>
        </w:rPr>
        <w:t>an</w:t>
      </w:r>
      <w:r w:rsidR="00823F92" w:rsidRPr="00D6651C">
        <w:rPr>
          <w:lang w:val="en-US"/>
        </w:rPr>
        <w:t>d</w:t>
      </w:r>
      <w:r w:rsidR="00823F92">
        <w:rPr>
          <w:lang w:val="en-US"/>
        </w:rPr>
        <w:t xml:space="preserve"> </w:t>
      </w:r>
      <w:r w:rsidRPr="00D6651C">
        <w:rPr>
          <w:lang w:val="en-US"/>
        </w:rPr>
        <w:t>speec</w:t>
      </w:r>
      <w:r w:rsidR="00823F92" w:rsidRPr="00D6651C">
        <w:rPr>
          <w:lang w:val="en-US"/>
        </w:rPr>
        <w:t>h</w:t>
      </w:r>
      <w:r w:rsidR="00823F92">
        <w:rPr>
          <w:lang w:val="en-US"/>
        </w:rPr>
        <w:t xml:space="preserve"> </w:t>
      </w:r>
      <w:r w:rsidRPr="00D6651C">
        <w:rPr>
          <w:lang w:val="en-US"/>
        </w:rPr>
        <w:t>pathologists) create</w:t>
      </w:r>
      <w:r w:rsidR="00823F92" w:rsidRPr="00D6651C">
        <w:rPr>
          <w:lang w:val="en-US"/>
        </w:rPr>
        <w:t>s</w:t>
      </w:r>
      <w:r w:rsidR="00823F92">
        <w:rPr>
          <w:lang w:val="en-US"/>
        </w:rPr>
        <w:t xml:space="preserve"> </w:t>
      </w:r>
      <w:r w:rsidRPr="00D6651C">
        <w:rPr>
          <w:lang w:val="en-US"/>
        </w:rPr>
        <w:t>skil</w:t>
      </w:r>
      <w:r w:rsidR="00823F92" w:rsidRPr="00D6651C">
        <w:rPr>
          <w:lang w:val="en-US"/>
        </w:rPr>
        <w:t>l</w:t>
      </w:r>
      <w:r w:rsidR="00823F92">
        <w:rPr>
          <w:lang w:val="en-US"/>
        </w:rPr>
        <w:t xml:space="preserve"> </w:t>
      </w:r>
      <w:r w:rsidRPr="00D6651C">
        <w:rPr>
          <w:lang w:val="en-US"/>
        </w:rPr>
        <w:t>gap</w:t>
      </w:r>
      <w:r w:rsidR="00823F92" w:rsidRPr="00D6651C">
        <w:rPr>
          <w:lang w:val="en-US"/>
        </w:rPr>
        <w:t>s</w:t>
      </w:r>
      <w:r w:rsidR="00823F92">
        <w:rPr>
          <w:lang w:val="en-US"/>
        </w:rPr>
        <w:t xml:space="preserve"> </w:t>
      </w:r>
      <w:r>
        <w:rPr>
          <w:lang w:val="en-US"/>
        </w:rPr>
        <w:t>fo</w:t>
      </w:r>
      <w:r w:rsidR="00823F92">
        <w:rPr>
          <w:lang w:val="en-US"/>
        </w:rPr>
        <w:t xml:space="preserve">r </w:t>
      </w:r>
      <w:r>
        <w:rPr>
          <w:lang w:val="en-US"/>
        </w:rPr>
        <w:t>th</w:t>
      </w:r>
      <w:r w:rsidR="00823F92">
        <w:rPr>
          <w:lang w:val="en-US"/>
        </w:rPr>
        <w:t xml:space="preserve">e </w:t>
      </w:r>
      <w:r>
        <w:rPr>
          <w:lang w:val="en-US"/>
        </w:rPr>
        <w:t>generalis</w:t>
      </w:r>
      <w:r w:rsidR="00823F92">
        <w:rPr>
          <w:lang w:val="en-US"/>
        </w:rPr>
        <w:t xml:space="preserve">t </w:t>
      </w:r>
      <w:r>
        <w:rPr>
          <w:lang w:val="en-US"/>
        </w:rPr>
        <w:t>workforc</w:t>
      </w:r>
      <w:r w:rsidR="00823F92">
        <w:rPr>
          <w:lang w:val="en-US"/>
        </w:rPr>
        <w:t xml:space="preserve">e </w:t>
      </w:r>
      <w:r>
        <w:rPr>
          <w:lang w:val="en-US"/>
        </w:rPr>
        <w:t>wh</w:t>
      </w:r>
      <w:r w:rsidR="00823F92">
        <w:rPr>
          <w:lang w:val="en-US"/>
        </w:rPr>
        <w:t xml:space="preserve">o </w:t>
      </w:r>
      <w:r>
        <w:rPr>
          <w:lang w:val="en-US"/>
        </w:rPr>
        <w:t>ma</w:t>
      </w:r>
      <w:r w:rsidR="00823F92">
        <w:rPr>
          <w:lang w:val="en-US"/>
        </w:rPr>
        <w:t xml:space="preserve">y </w:t>
      </w:r>
      <w:r>
        <w:rPr>
          <w:lang w:val="en-US"/>
        </w:rPr>
        <w:t>ente</w:t>
      </w:r>
      <w:r w:rsidR="00823F92">
        <w:rPr>
          <w:lang w:val="en-US"/>
        </w:rPr>
        <w:t xml:space="preserve">r </w:t>
      </w:r>
      <w:r>
        <w:rPr>
          <w:lang w:val="en-US"/>
        </w:rPr>
        <w:t>int</w:t>
      </w:r>
      <w:r w:rsidR="00823F92">
        <w:rPr>
          <w:lang w:val="en-US"/>
        </w:rPr>
        <w:t xml:space="preserve">o </w:t>
      </w:r>
      <w:r>
        <w:rPr>
          <w:lang w:val="en-US"/>
        </w:rPr>
        <w:t>th</w:t>
      </w:r>
      <w:r w:rsidR="00823F92">
        <w:rPr>
          <w:lang w:val="en-US"/>
        </w:rPr>
        <w:t xml:space="preserve">e </w:t>
      </w:r>
      <w:r>
        <w:rPr>
          <w:lang w:val="en-US"/>
        </w:rPr>
        <w:t>menta</w:t>
      </w:r>
      <w:r w:rsidR="00823F92">
        <w:rPr>
          <w:lang w:val="en-US"/>
        </w:rPr>
        <w:t xml:space="preserve">l </w:t>
      </w:r>
      <w:r>
        <w:rPr>
          <w:lang w:val="en-US"/>
        </w:rPr>
        <w:t>healt</w:t>
      </w:r>
      <w:r w:rsidR="00823F92">
        <w:rPr>
          <w:lang w:val="en-US"/>
        </w:rPr>
        <w:t xml:space="preserve">h </w:t>
      </w:r>
      <w:r>
        <w:rPr>
          <w:lang w:val="en-US"/>
        </w:rPr>
        <w:t>sector</w:t>
      </w:r>
      <w:r w:rsidR="00823F92">
        <w:rPr>
          <w:lang w:val="en-US"/>
        </w:rPr>
        <w:t xml:space="preserve">. </w:t>
      </w:r>
    </w:p>
    <w:p w14:paraId="17599E28" w14:textId="533A4141" w:rsidR="00453F15" w:rsidRPr="00F31567" w:rsidRDefault="00453F15" w:rsidP="008D57D0">
      <w:pPr>
        <w:pStyle w:val="Heading3nonumber"/>
        <w:keepNext/>
      </w:pPr>
      <w:r>
        <w:t>Skill</w:t>
      </w:r>
      <w:r w:rsidR="00823F92">
        <w:t xml:space="preserve">s </w:t>
      </w:r>
      <w:r>
        <w:t>fo</w:t>
      </w:r>
      <w:r w:rsidR="00823F92">
        <w:t xml:space="preserve">r </w:t>
      </w:r>
      <w:r>
        <w:t>th</w:t>
      </w:r>
      <w:r w:rsidR="00823F92">
        <w:t xml:space="preserve">e </w:t>
      </w:r>
      <w:r>
        <w:t>broade</w:t>
      </w:r>
      <w:r w:rsidR="00823F92">
        <w:t xml:space="preserve">r </w:t>
      </w:r>
      <w:r>
        <w:t>menta</w:t>
      </w:r>
      <w:r w:rsidR="00823F92">
        <w:t xml:space="preserve">l </w:t>
      </w:r>
      <w:r>
        <w:t>healt</w:t>
      </w:r>
      <w:r w:rsidR="00823F92">
        <w:t xml:space="preserve">h </w:t>
      </w:r>
      <w:r>
        <w:t>workforce</w:t>
      </w:r>
    </w:p>
    <w:p w14:paraId="641527E4" w14:textId="36C5407E" w:rsidR="00453F15" w:rsidRDefault="00453F15" w:rsidP="00B84C75">
      <w:pPr>
        <w:pStyle w:val="BodyText"/>
        <w:rPr>
          <w:lang w:val="en-US"/>
        </w:rPr>
      </w:pPr>
      <w:r>
        <w:rPr>
          <w:lang w:val="en-US"/>
        </w:rPr>
        <w:t>Ther</w:t>
      </w:r>
      <w:r w:rsidR="00823F92">
        <w:rPr>
          <w:lang w:val="en-US"/>
        </w:rPr>
        <w:t xml:space="preserve">e </w:t>
      </w:r>
      <w:r>
        <w:rPr>
          <w:lang w:val="en-US"/>
        </w:rPr>
        <w:t>ha</w:t>
      </w:r>
      <w:r w:rsidR="00823F92">
        <w:rPr>
          <w:lang w:val="en-US"/>
        </w:rPr>
        <w:t xml:space="preserve">s </w:t>
      </w:r>
      <w:r>
        <w:rPr>
          <w:lang w:val="en-US"/>
        </w:rPr>
        <w:t>bee</w:t>
      </w:r>
      <w:r w:rsidR="00823F92">
        <w:rPr>
          <w:lang w:val="en-US"/>
        </w:rPr>
        <w:t xml:space="preserve">n </w:t>
      </w:r>
      <w:r>
        <w:rPr>
          <w:lang w:val="en-US"/>
        </w:rPr>
        <w:t>limite</w:t>
      </w:r>
      <w:r w:rsidR="00823F92">
        <w:rPr>
          <w:lang w:val="en-US"/>
        </w:rPr>
        <w:t xml:space="preserve">d </w:t>
      </w:r>
      <w:r>
        <w:rPr>
          <w:lang w:val="en-US"/>
        </w:rPr>
        <w:t>recognitio</w:t>
      </w:r>
      <w:r w:rsidR="00823F92">
        <w:rPr>
          <w:lang w:val="en-US"/>
        </w:rPr>
        <w:t xml:space="preserve">n </w:t>
      </w:r>
      <w:r>
        <w:rPr>
          <w:lang w:val="en-US"/>
        </w:rPr>
        <w:t>historicall</w:t>
      </w:r>
      <w:r w:rsidR="00823F92">
        <w:rPr>
          <w:lang w:val="en-US"/>
        </w:rPr>
        <w:t xml:space="preserve">y </w:t>
      </w:r>
      <w:r>
        <w:rPr>
          <w:lang w:val="en-US"/>
        </w:rPr>
        <w:t>o</w:t>
      </w:r>
      <w:r w:rsidR="00823F92">
        <w:rPr>
          <w:lang w:val="en-US"/>
        </w:rPr>
        <w:t xml:space="preserve">f </w:t>
      </w:r>
      <w:r>
        <w:rPr>
          <w:lang w:val="en-US"/>
        </w:rPr>
        <w:t>th</w:t>
      </w:r>
      <w:r w:rsidR="00823F92">
        <w:rPr>
          <w:lang w:val="en-US"/>
        </w:rPr>
        <w:t xml:space="preserve">e </w:t>
      </w:r>
      <w:r>
        <w:rPr>
          <w:lang w:val="en-US"/>
        </w:rPr>
        <w:t>rol</w:t>
      </w:r>
      <w:r w:rsidR="00823F92">
        <w:rPr>
          <w:lang w:val="en-US"/>
        </w:rPr>
        <w:t xml:space="preserve">e </w:t>
      </w:r>
      <w:r>
        <w:rPr>
          <w:lang w:val="en-US"/>
        </w:rPr>
        <w:t>tha</w:t>
      </w:r>
      <w:r w:rsidR="00823F92">
        <w:rPr>
          <w:lang w:val="en-US"/>
        </w:rPr>
        <w:t xml:space="preserve">t </w:t>
      </w:r>
      <w:r>
        <w:rPr>
          <w:lang w:val="en-US"/>
        </w:rPr>
        <w:t>th</w:t>
      </w:r>
      <w:r w:rsidR="00823F92">
        <w:rPr>
          <w:lang w:val="en-US"/>
        </w:rPr>
        <w:t xml:space="preserve">e </w:t>
      </w:r>
      <w:r>
        <w:rPr>
          <w:lang w:val="en-US"/>
        </w:rPr>
        <w:t>broade</w:t>
      </w:r>
      <w:r w:rsidR="00823F92">
        <w:rPr>
          <w:lang w:val="en-US"/>
        </w:rPr>
        <w:t xml:space="preserve">r </w:t>
      </w:r>
      <w:r>
        <w:rPr>
          <w:lang w:val="en-US"/>
        </w:rPr>
        <w:t>workforc</w:t>
      </w:r>
      <w:r w:rsidR="00823F92">
        <w:rPr>
          <w:lang w:val="en-US"/>
        </w:rPr>
        <w:t xml:space="preserve">e </w:t>
      </w:r>
      <w:r>
        <w:rPr>
          <w:lang w:val="en-US"/>
        </w:rPr>
        <w:t>ca</w:t>
      </w:r>
      <w:r w:rsidR="00823F92">
        <w:rPr>
          <w:lang w:val="en-US"/>
        </w:rPr>
        <w:t xml:space="preserve">n </w:t>
      </w:r>
      <w:r>
        <w:rPr>
          <w:lang w:val="en-US"/>
        </w:rPr>
        <w:t>pla</w:t>
      </w:r>
      <w:r w:rsidR="00823F92">
        <w:rPr>
          <w:lang w:val="en-US"/>
        </w:rPr>
        <w:t xml:space="preserve">y </w:t>
      </w:r>
      <w:r>
        <w:rPr>
          <w:lang w:val="en-US"/>
        </w:rPr>
        <w:t>i</w:t>
      </w:r>
      <w:r w:rsidR="00823F92">
        <w:rPr>
          <w:lang w:val="en-US"/>
        </w:rPr>
        <w:t xml:space="preserve">n </w:t>
      </w:r>
      <w:r>
        <w:rPr>
          <w:lang w:val="en-US"/>
        </w:rPr>
        <w:t>supportin</w:t>
      </w:r>
      <w:r w:rsidR="00823F92">
        <w:rPr>
          <w:lang w:val="en-US"/>
        </w:rPr>
        <w:t xml:space="preserve">g </w:t>
      </w:r>
      <w:r>
        <w:rPr>
          <w:lang w:val="en-US"/>
        </w:rPr>
        <w:t>th</w:t>
      </w:r>
      <w:r w:rsidR="00823F92">
        <w:rPr>
          <w:lang w:val="en-US"/>
        </w:rPr>
        <w:t xml:space="preserve">e </w:t>
      </w:r>
      <w:r>
        <w:rPr>
          <w:lang w:val="en-US"/>
        </w:rPr>
        <w:t>menta</w:t>
      </w:r>
      <w:r w:rsidR="00823F92">
        <w:rPr>
          <w:lang w:val="en-US"/>
        </w:rPr>
        <w:t xml:space="preserve">l </w:t>
      </w:r>
      <w:r>
        <w:rPr>
          <w:lang w:val="en-US"/>
        </w:rPr>
        <w:t>wellbein</w:t>
      </w:r>
      <w:r w:rsidR="00823F92">
        <w:rPr>
          <w:lang w:val="en-US"/>
        </w:rPr>
        <w:t xml:space="preserve">g </w:t>
      </w:r>
      <w:r>
        <w:rPr>
          <w:lang w:val="en-US"/>
        </w:rPr>
        <w:t>o</w:t>
      </w:r>
      <w:r w:rsidR="00823F92">
        <w:rPr>
          <w:lang w:val="en-US"/>
        </w:rPr>
        <w:t xml:space="preserve">f </w:t>
      </w:r>
      <w:r>
        <w:rPr>
          <w:lang w:val="en-US"/>
        </w:rPr>
        <w:t>Australians</w:t>
      </w:r>
      <w:r w:rsidR="00823F92">
        <w:rPr>
          <w:lang w:val="en-US"/>
        </w:rPr>
        <w:t xml:space="preserve">, </w:t>
      </w:r>
      <w:r>
        <w:rPr>
          <w:lang w:val="en-US"/>
        </w:rPr>
        <w:t>whic</w:t>
      </w:r>
      <w:r w:rsidR="00823F92">
        <w:rPr>
          <w:lang w:val="en-US"/>
        </w:rPr>
        <w:t xml:space="preserve">h </w:t>
      </w:r>
      <w:r>
        <w:rPr>
          <w:lang w:val="en-US"/>
        </w:rPr>
        <w:t>mean</w:t>
      </w:r>
      <w:r w:rsidR="00823F92">
        <w:rPr>
          <w:lang w:val="en-US"/>
        </w:rPr>
        <w:t xml:space="preserve">s </w:t>
      </w:r>
      <w:r>
        <w:rPr>
          <w:lang w:val="en-US"/>
        </w:rPr>
        <w:t>ther</w:t>
      </w:r>
      <w:r w:rsidR="00823F92">
        <w:rPr>
          <w:lang w:val="en-US"/>
        </w:rPr>
        <w:t xml:space="preserve">e </w:t>
      </w:r>
      <w:r>
        <w:rPr>
          <w:lang w:val="en-US"/>
        </w:rPr>
        <w:t>i</w:t>
      </w:r>
      <w:r w:rsidR="00823F92">
        <w:rPr>
          <w:lang w:val="en-US"/>
        </w:rPr>
        <w:t xml:space="preserve">s </w:t>
      </w:r>
      <w:r>
        <w:rPr>
          <w:lang w:val="en-US"/>
        </w:rPr>
        <w:t>littl</w:t>
      </w:r>
      <w:r w:rsidR="00823F92">
        <w:rPr>
          <w:lang w:val="en-US"/>
        </w:rPr>
        <w:t xml:space="preserve">e </w:t>
      </w:r>
      <w:r>
        <w:rPr>
          <w:lang w:val="en-US"/>
        </w:rPr>
        <w:t>focu</w:t>
      </w:r>
      <w:r w:rsidR="00823F92">
        <w:rPr>
          <w:lang w:val="en-US"/>
        </w:rPr>
        <w:t xml:space="preserve">s </w:t>
      </w:r>
      <w:r>
        <w:rPr>
          <w:lang w:val="en-US"/>
        </w:rPr>
        <w:t>o</w:t>
      </w:r>
      <w:r w:rsidR="00823F92">
        <w:rPr>
          <w:lang w:val="en-US"/>
        </w:rPr>
        <w:t xml:space="preserve">n </w:t>
      </w:r>
      <w:r>
        <w:rPr>
          <w:lang w:val="en-US"/>
        </w:rPr>
        <w:t>menta</w:t>
      </w:r>
      <w:r w:rsidR="00823F92">
        <w:rPr>
          <w:lang w:val="en-US"/>
        </w:rPr>
        <w:t xml:space="preserve">l </w:t>
      </w:r>
      <w:r>
        <w:rPr>
          <w:lang w:val="en-US"/>
        </w:rPr>
        <w:t>healt</w:t>
      </w:r>
      <w:r w:rsidR="00823F92">
        <w:rPr>
          <w:lang w:val="en-US"/>
        </w:rPr>
        <w:t xml:space="preserve">h </w:t>
      </w:r>
      <w:r>
        <w:rPr>
          <w:lang w:val="en-US"/>
        </w:rPr>
        <w:t>withi</w:t>
      </w:r>
      <w:r w:rsidR="00823F92">
        <w:rPr>
          <w:lang w:val="en-US"/>
        </w:rPr>
        <w:t xml:space="preserve">n </w:t>
      </w:r>
      <w:r>
        <w:rPr>
          <w:lang w:val="en-US"/>
        </w:rPr>
        <w:t>training</w:t>
      </w:r>
      <w:r w:rsidR="00823F92">
        <w:rPr>
          <w:lang w:val="en-US"/>
        </w:rPr>
        <w:t xml:space="preserve">. </w:t>
      </w:r>
    </w:p>
    <w:p w14:paraId="1AA83AFC" w14:textId="6D610A5E" w:rsidR="00453F15" w:rsidRDefault="00453F15" w:rsidP="00B84C75">
      <w:pPr>
        <w:pStyle w:val="BodyText"/>
        <w:rPr>
          <w:lang w:val="en-US"/>
        </w:rPr>
      </w:pPr>
      <w:r>
        <w:rPr>
          <w:lang w:val="en-US"/>
        </w:rPr>
        <w:t>Thi</w:t>
      </w:r>
      <w:r w:rsidR="00823F92">
        <w:rPr>
          <w:lang w:val="en-US"/>
        </w:rPr>
        <w:t xml:space="preserve">s </w:t>
      </w:r>
      <w:r>
        <w:rPr>
          <w:lang w:val="en-US"/>
        </w:rPr>
        <w:t>mean</w:t>
      </w:r>
      <w:r w:rsidR="00823F92">
        <w:rPr>
          <w:lang w:val="en-US"/>
        </w:rPr>
        <w:t xml:space="preserve">s </w:t>
      </w:r>
      <w:r>
        <w:rPr>
          <w:lang w:val="en-US"/>
        </w:rPr>
        <w:t>tha</w:t>
      </w:r>
      <w:r w:rsidR="00823F92">
        <w:rPr>
          <w:lang w:val="en-US"/>
        </w:rPr>
        <w:t xml:space="preserve">t </w:t>
      </w:r>
      <w:r>
        <w:rPr>
          <w:lang w:val="en-US"/>
        </w:rPr>
        <w:t>man</w:t>
      </w:r>
      <w:r w:rsidR="00823F92">
        <w:rPr>
          <w:lang w:val="en-US"/>
        </w:rPr>
        <w:t xml:space="preserve">y </w:t>
      </w:r>
      <w:r>
        <w:rPr>
          <w:lang w:val="en-US"/>
        </w:rPr>
        <w:t>worker</w:t>
      </w:r>
      <w:r w:rsidR="00823F92">
        <w:rPr>
          <w:lang w:val="en-US"/>
        </w:rPr>
        <w:t xml:space="preserve">s </w:t>
      </w:r>
      <w:r>
        <w:rPr>
          <w:lang w:val="en-US"/>
        </w:rPr>
        <w:t>wh</w:t>
      </w:r>
      <w:r w:rsidR="00823F92">
        <w:rPr>
          <w:lang w:val="en-US"/>
        </w:rPr>
        <w:t xml:space="preserve">o </w:t>
      </w:r>
      <w:r>
        <w:rPr>
          <w:lang w:val="en-US"/>
        </w:rPr>
        <w:t>interac</w:t>
      </w:r>
      <w:r w:rsidR="00823F92">
        <w:rPr>
          <w:lang w:val="en-US"/>
        </w:rPr>
        <w:t xml:space="preserve">t </w:t>
      </w:r>
      <w:r>
        <w:rPr>
          <w:lang w:val="en-US"/>
        </w:rPr>
        <w:t>wit</w:t>
      </w:r>
      <w:r w:rsidR="00823F92">
        <w:rPr>
          <w:lang w:val="en-US"/>
        </w:rPr>
        <w:t xml:space="preserve">h </w:t>
      </w:r>
      <w:r>
        <w:rPr>
          <w:lang w:val="en-US"/>
        </w:rPr>
        <w:t>peopl</w:t>
      </w:r>
      <w:r w:rsidR="00823F92">
        <w:rPr>
          <w:lang w:val="en-US"/>
        </w:rPr>
        <w:t xml:space="preserve">e </w:t>
      </w:r>
      <w:r>
        <w:rPr>
          <w:lang w:val="en-US"/>
        </w:rPr>
        <w:t>experiencin</w:t>
      </w:r>
      <w:r w:rsidR="00823F92">
        <w:rPr>
          <w:lang w:val="en-US"/>
        </w:rPr>
        <w:t xml:space="preserve">g </w:t>
      </w:r>
      <w:r>
        <w:rPr>
          <w:lang w:val="en-US"/>
        </w:rPr>
        <w:t>menta</w:t>
      </w:r>
      <w:r w:rsidR="00823F92">
        <w:rPr>
          <w:lang w:val="en-US"/>
        </w:rPr>
        <w:t xml:space="preserve">l </w:t>
      </w:r>
      <w:r>
        <w:rPr>
          <w:lang w:val="en-US"/>
        </w:rPr>
        <w:t>distres</w:t>
      </w:r>
      <w:r w:rsidR="00823F92">
        <w:rPr>
          <w:lang w:val="en-US"/>
        </w:rPr>
        <w:t xml:space="preserve">s </w:t>
      </w:r>
      <w:r>
        <w:rPr>
          <w:lang w:val="en-US"/>
        </w:rPr>
        <w:t>and/o</w:t>
      </w:r>
      <w:r w:rsidR="00823F92">
        <w:rPr>
          <w:lang w:val="en-US"/>
        </w:rPr>
        <w:t xml:space="preserve">r </w:t>
      </w:r>
      <w:r>
        <w:rPr>
          <w:lang w:val="en-US"/>
        </w:rPr>
        <w:t>ill-healt</w:t>
      </w:r>
      <w:r w:rsidR="00823F92">
        <w:rPr>
          <w:lang w:val="en-US"/>
        </w:rPr>
        <w:t xml:space="preserve">h </w:t>
      </w:r>
      <w:r>
        <w:rPr>
          <w:lang w:val="en-US"/>
        </w:rPr>
        <w:t>d</w:t>
      </w:r>
      <w:r w:rsidR="00823F92">
        <w:rPr>
          <w:lang w:val="en-US"/>
        </w:rPr>
        <w:t xml:space="preserve">o </w:t>
      </w:r>
      <w:r>
        <w:rPr>
          <w:lang w:val="en-US"/>
        </w:rPr>
        <w:t>no</w:t>
      </w:r>
      <w:r w:rsidR="00823F92">
        <w:rPr>
          <w:lang w:val="en-US"/>
        </w:rPr>
        <w:t xml:space="preserve">t </w:t>
      </w:r>
      <w:r w:rsidR="00F635B3">
        <w:rPr>
          <w:lang w:val="en-US"/>
        </w:rPr>
        <w:t>alway</w:t>
      </w:r>
      <w:r w:rsidR="00823F92">
        <w:rPr>
          <w:lang w:val="en-US"/>
        </w:rPr>
        <w:t xml:space="preserve">s </w:t>
      </w:r>
      <w:r>
        <w:rPr>
          <w:lang w:val="en-US"/>
        </w:rPr>
        <w:t>hav</w:t>
      </w:r>
      <w:r w:rsidR="00823F92">
        <w:rPr>
          <w:lang w:val="en-US"/>
        </w:rPr>
        <w:t xml:space="preserve">e </w:t>
      </w:r>
      <w:r>
        <w:rPr>
          <w:lang w:val="en-US"/>
        </w:rPr>
        <w:t>th</w:t>
      </w:r>
      <w:r w:rsidR="00823F92">
        <w:rPr>
          <w:lang w:val="en-US"/>
        </w:rPr>
        <w:t xml:space="preserve">e </w:t>
      </w:r>
      <w:r w:rsidR="005B6FFD">
        <w:rPr>
          <w:lang w:val="en-US"/>
        </w:rPr>
        <w:t>menta</w:t>
      </w:r>
      <w:r w:rsidR="00823F92">
        <w:rPr>
          <w:lang w:val="en-US"/>
        </w:rPr>
        <w:t xml:space="preserve">l </w:t>
      </w:r>
      <w:r w:rsidR="005B6FFD">
        <w:rPr>
          <w:lang w:val="en-US"/>
        </w:rPr>
        <w:t>healt</w:t>
      </w:r>
      <w:r w:rsidR="00823F92">
        <w:rPr>
          <w:lang w:val="en-US"/>
        </w:rPr>
        <w:t xml:space="preserve">h </w:t>
      </w:r>
      <w:r>
        <w:rPr>
          <w:lang w:val="en-US"/>
        </w:rPr>
        <w:t>literac</w:t>
      </w:r>
      <w:r w:rsidR="00823F92">
        <w:rPr>
          <w:lang w:val="en-US"/>
        </w:rPr>
        <w:t xml:space="preserve">y </w:t>
      </w:r>
      <w:r>
        <w:rPr>
          <w:lang w:val="en-US"/>
        </w:rPr>
        <w:t>o</w:t>
      </w:r>
      <w:r w:rsidR="00823F92">
        <w:rPr>
          <w:lang w:val="en-US"/>
        </w:rPr>
        <w:t xml:space="preserve">r </w:t>
      </w:r>
      <w:r>
        <w:rPr>
          <w:lang w:val="en-US"/>
        </w:rPr>
        <w:t>skill</w:t>
      </w:r>
      <w:r w:rsidR="00823F92">
        <w:rPr>
          <w:lang w:val="en-US"/>
        </w:rPr>
        <w:t xml:space="preserve">s </w:t>
      </w:r>
      <w:r>
        <w:rPr>
          <w:lang w:val="en-US"/>
        </w:rPr>
        <w:t>t</w:t>
      </w:r>
      <w:r w:rsidR="00823F92">
        <w:rPr>
          <w:lang w:val="en-US"/>
        </w:rPr>
        <w:t xml:space="preserve">o </w:t>
      </w:r>
      <w:r w:rsidR="00B006AF">
        <w:rPr>
          <w:lang w:val="en-US"/>
        </w:rPr>
        <w:t>appropriatel</w:t>
      </w:r>
      <w:r w:rsidR="00823F92">
        <w:rPr>
          <w:lang w:val="en-US"/>
        </w:rPr>
        <w:t xml:space="preserve">y </w:t>
      </w:r>
      <w:r>
        <w:rPr>
          <w:lang w:val="en-US"/>
        </w:rPr>
        <w:t>car</w:t>
      </w:r>
      <w:r w:rsidR="00823F92">
        <w:rPr>
          <w:lang w:val="en-US"/>
        </w:rPr>
        <w:t xml:space="preserve">e </w:t>
      </w:r>
      <w:r>
        <w:rPr>
          <w:lang w:val="en-US"/>
        </w:rPr>
        <w:t>for</w:t>
      </w:r>
      <w:r w:rsidR="00823F92">
        <w:rPr>
          <w:lang w:val="en-US"/>
        </w:rPr>
        <w:t xml:space="preserve">, </w:t>
      </w:r>
      <w:r>
        <w:rPr>
          <w:lang w:val="en-US"/>
        </w:rPr>
        <w:t>suppor</w:t>
      </w:r>
      <w:r w:rsidR="00823F92">
        <w:rPr>
          <w:lang w:val="en-US"/>
        </w:rPr>
        <w:t xml:space="preserve">t </w:t>
      </w:r>
      <w:r w:rsidR="00B006AF">
        <w:rPr>
          <w:lang w:val="en-US"/>
        </w:rPr>
        <w:t>an</w:t>
      </w:r>
      <w:r w:rsidR="00823F92">
        <w:rPr>
          <w:lang w:val="en-US"/>
        </w:rPr>
        <w:t xml:space="preserve">d </w:t>
      </w:r>
      <w:r w:rsidR="00B006AF">
        <w:rPr>
          <w:lang w:val="en-US"/>
        </w:rPr>
        <w:t>refe</w:t>
      </w:r>
      <w:r w:rsidR="00823F92">
        <w:rPr>
          <w:lang w:val="en-US"/>
        </w:rPr>
        <w:t xml:space="preserve">r </w:t>
      </w:r>
      <w:r w:rsidR="00B006AF">
        <w:rPr>
          <w:lang w:val="en-US"/>
        </w:rPr>
        <w:t>o</w:t>
      </w:r>
      <w:r w:rsidR="00823F92">
        <w:rPr>
          <w:lang w:val="en-US"/>
        </w:rPr>
        <w:t xml:space="preserve">n </w:t>
      </w:r>
      <w:r>
        <w:rPr>
          <w:lang w:val="en-US"/>
        </w:rPr>
        <w:t>thos</w:t>
      </w:r>
      <w:r w:rsidR="00823F92">
        <w:rPr>
          <w:lang w:val="en-US"/>
        </w:rPr>
        <w:t xml:space="preserve">e </w:t>
      </w:r>
      <w:r>
        <w:rPr>
          <w:lang w:val="en-US"/>
        </w:rPr>
        <w:t>the</w:t>
      </w:r>
      <w:r w:rsidR="00823F92">
        <w:rPr>
          <w:lang w:val="en-US"/>
        </w:rPr>
        <w:t xml:space="preserve">y </w:t>
      </w:r>
      <w:r>
        <w:rPr>
          <w:lang w:val="en-US"/>
        </w:rPr>
        <w:t>com</w:t>
      </w:r>
      <w:r w:rsidR="00823F92">
        <w:rPr>
          <w:lang w:val="en-US"/>
        </w:rPr>
        <w:t xml:space="preserve">e </w:t>
      </w:r>
      <w:r>
        <w:rPr>
          <w:lang w:val="en-US"/>
        </w:rPr>
        <w:t>int</w:t>
      </w:r>
      <w:r w:rsidR="00823F92">
        <w:rPr>
          <w:lang w:val="en-US"/>
        </w:rPr>
        <w:t xml:space="preserve">o </w:t>
      </w:r>
      <w:r>
        <w:rPr>
          <w:lang w:val="en-US"/>
        </w:rPr>
        <w:t>contac</w:t>
      </w:r>
      <w:r w:rsidR="00823F92">
        <w:rPr>
          <w:lang w:val="en-US"/>
        </w:rPr>
        <w:t xml:space="preserve">t </w:t>
      </w:r>
      <w:r>
        <w:rPr>
          <w:lang w:val="en-US"/>
        </w:rPr>
        <w:t>with</w:t>
      </w:r>
      <w:r w:rsidR="00823F92">
        <w:rPr>
          <w:lang w:val="en-US"/>
        </w:rPr>
        <w:t xml:space="preserve">. </w:t>
      </w:r>
      <w:r>
        <w:rPr>
          <w:lang w:val="en-US"/>
        </w:rPr>
        <w:t>A</w:t>
      </w:r>
      <w:r w:rsidR="00823F92">
        <w:rPr>
          <w:lang w:val="en-US"/>
        </w:rPr>
        <w:t xml:space="preserve">s a </w:t>
      </w:r>
      <w:r>
        <w:rPr>
          <w:lang w:val="en-US"/>
        </w:rPr>
        <w:t>consequence</w:t>
      </w:r>
      <w:r w:rsidR="00823F92">
        <w:rPr>
          <w:lang w:val="en-US"/>
        </w:rPr>
        <w:t xml:space="preserve">, </w:t>
      </w:r>
      <w:r>
        <w:rPr>
          <w:lang w:val="en-US"/>
        </w:rPr>
        <w:t>importan</w:t>
      </w:r>
      <w:r w:rsidR="00823F92">
        <w:rPr>
          <w:lang w:val="en-US"/>
        </w:rPr>
        <w:t xml:space="preserve">t </w:t>
      </w:r>
      <w:r>
        <w:rPr>
          <w:lang w:val="en-US"/>
        </w:rPr>
        <w:t>preventativ</w:t>
      </w:r>
      <w:r w:rsidR="00823F92">
        <w:rPr>
          <w:lang w:val="en-US"/>
        </w:rPr>
        <w:t xml:space="preserve">e </w:t>
      </w:r>
      <w:r>
        <w:rPr>
          <w:lang w:val="en-US"/>
        </w:rPr>
        <w:t>o</w:t>
      </w:r>
      <w:r w:rsidR="00823F92">
        <w:rPr>
          <w:lang w:val="en-US"/>
        </w:rPr>
        <w:t xml:space="preserve">r </w:t>
      </w:r>
      <w:r>
        <w:rPr>
          <w:lang w:val="en-US"/>
        </w:rPr>
        <w:t>earl</w:t>
      </w:r>
      <w:r w:rsidR="00823F92">
        <w:rPr>
          <w:lang w:val="en-US"/>
        </w:rPr>
        <w:t xml:space="preserve">y </w:t>
      </w:r>
      <w:r>
        <w:rPr>
          <w:lang w:val="en-US"/>
        </w:rPr>
        <w:t>interventio</w:t>
      </w:r>
      <w:r w:rsidR="00823F92">
        <w:rPr>
          <w:lang w:val="en-US"/>
        </w:rPr>
        <w:t xml:space="preserve">n </w:t>
      </w:r>
      <w:r>
        <w:rPr>
          <w:lang w:val="en-US"/>
        </w:rPr>
        <w:t>opportunitie</w:t>
      </w:r>
      <w:r w:rsidR="00823F92">
        <w:rPr>
          <w:lang w:val="en-US"/>
        </w:rPr>
        <w:t xml:space="preserve">s </w:t>
      </w:r>
      <w:r>
        <w:rPr>
          <w:lang w:val="en-US"/>
        </w:rPr>
        <w:t>ar</w:t>
      </w:r>
      <w:r w:rsidR="00823F92">
        <w:rPr>
          <w:lang w:val="en-US"/>
        </w:rPr>
        <w:t xml:space="preserve">e </w:t>
      </w:r>
      <w:r>
        <w:rPr>
          <w:lang w:val="en-US"/>
        </w:rPr>
        <w:t>los</w:t>
      </w:r>
      <w:r w:rsidR="00823F92">
        <w:rPr>
          <w:lang w:val="en-US"/>
        </w:rPr>
        <w:t xml:space="preserve">t </w:t>
      </w:r>
      <w:r>
        <w:rPr>
          <w:lang w:val="en-US"/>
        </w:rPr>
        <w:t>whic</w:t>
      </w:r>
      <w:r w:rsidR="00823F92">
        <w:rPr>
          <w:lang w:val="en-US"/>
        </w:rPr>
        <w:t xml:space="preserve">h </w:t>
      </w:r>
      <w:r>
        <w:rPr>
          <w:lang w:val="en-US"/>
        </w:rPr>
        <w:t>ma</w:t>
      </w:r>
      <w:r w:rsidR="00823F92">
        <w:rPr>
          <w:lang w:val="en-US"/>
        </w:rPr>
        <w:t xml:space="preserve">y </w:t>
      </w:r>
      <w:r>
        <w:rPr>
          <w:lang w:val="en-US"/>
        </w:rPr>
        <w:t>resul</w:t>
      </w:r>
      <w:r w:rsidR="00823F92">
        <w:rPr>
          <w:lang w:val="en-US"/>
        </w:rPr>
        <w:t xml:space="preserve">t </w:t>
      </w:r>
      <w:r>
        <w:rPr>
          <w:lang w:val="en-US"/>
        </w:rPr>
        <w:t>i</w:t>
      </w:r>
      <w:r w:rsidR="00823F92">
        <w:rPr>
          <w:lang w:val="en-US"/>
        </w:rPr>
        <w:t xml:space="preserve">n </w:t>
      </w:r>
      <w:r>
        <w:rPr>
          <w:lang w:val="en-US"/>
        </w:rPr>
        <w:t>wors</w:t>
      </w:r>
      <w:r w:rsidR="00823F92">
        <w:rPr>
          <w:lang w:val="en-US"/>
        </w:rPr>
        <w:t xml:space="preserve">e </w:t>
      </w:r>
      <w:r>
        <w:rPr>
          <w:lang w:val="en-US"/>
        </w:rPr>
        <w:t>outcome</w:t>
      </w:r>
      <w:r w:rsidR="00823F92">
        <w:rPr>
          <w:lang w:val="en-US"/>
        </w:rPr>
        <w:t xml:space="preserve">s </w:t>
      </w:r>
      <w:r>
        <w:rPr>
          <w:lang w:val="en-US"/>
        </w:rPr>
        <w:t>fo</w:t>
      </w:r>
      <w:r w:rsidR="00823F92">
        <w:rPr>
          <w:lang w:val="en-US"/>
        </w:rPr>
        <w:t xml:space="preserve">r </w:t>
      </w:r>
      <w:r>
        <w:rPr>
          <w:lang w:val="en-US"/>
        </w:rPr>
        <w:t>consumer</w:t>
      </w:r>
      <w:r w:rsidR="00823F92">
        <w:rPr>
          <w:lang w:val="en-US"/>
        </w:rPr>
        <w:t xml:space="preserve">s </w:t>
      </w:r>
      <w:r>
        <w:rPr>
          <w:lang w:val="en-US"/>
        </w:rPr>
        <w:t>an</w:t>
      </w:r>
      <w:r w:rsidR="00823F92">
        <w:rPr>
          <w:lang w:val="en-US"/>
        </w:rPr>
        <w:t xml:space="preserve">d </w:t>
      </w:r>
      <w:proofErr w:type="spellStart"/>
      <w:r>
        <w:rPr>
          <w:lang w:val="en-US"/>
        </w:rPr>
        <w:t>carers</w:t>
      </w:r>
      <w:proofErr w:type="spellEnd"/>
      <w:r w:rsidR="00823F92">
        <w:rPr>
          <w:lang w:val="en-US"/>
        </w:rPr>
        <w:t xml:space="preserve">. </w:t>
      </w:r>
    </w:p>
    <w:p w14:paraId="6343D2F0" w14:textId="51C766DA" w:rsidR="00453F15" w:rsidRDefault="00453F15" w:rsidP="008D57D0">
      <w:pPr>
        <w:pStyle w:val="Heading3nonumber"/>
        <w:keepNext/>
      </w:pPr>
      <w:r>
        <w:t>Lo</w:t>
      </w:r>
      <w:r w:rsidR="00823F92">
        <w:t xml:space="preserve">w </w:t>
      </w:r>
      <w:r>
        <w:t>completio</w:t>
      </w:r>
      <w:r w:rsidR="00823F92">
        <w:t xml:space="preserve">n </w:t>
      </w:r>
      <w:r>
        <w:t>rates</w:t>
      </w:r>
    </w:p>
    <w:p w14:paraId="1E2BEC79" w14:textId="0DC0A326" w:rsidR="00F635B3" w:rsidRDefault="00453F15" w:rsidP="00ED778E">
      <w:pPr>
        <w:pStyle w:val="BodyText"/>
        <w:rPr>
          <w:lang w:val="en-US"/>
        </w:rPr>
      </w:pPr>
      <w:r w:rsidRPr="00541607">
        <w:rPr>
          <w:lang w:val="en-US"/>
        </w:rPr>
        <w:t>Buildin</w:t>
      </w:r>
      <w:r w:rsidR="00823F92" w:rsidRPr="00541607">
        <w:rPr>
          <w:lang w:val="en-US"/>
        </w:rPr>
        <w:t>g</w:t>
      </w:r>
      <w:r w:rsidR="00823F92">
        <w:rPr>
          <w:lang w:val="en-US"/>
        </w:rPr>
        <w:t xml:space="preserve"> </w:t>
      </w:r>
      <w:r w:rsidRPr="00541607">
        <w:rPr>
          <w:lang w:val="en-US"/>
        </w:rPr>
        <w:t>th</w:t>
      </w:r>
      <w:r w:rsidR="00823F92" w:rsidRPr="00541607">
        <w:rPr>
          <w:lang w:val="en-US"/>
        </w:rPr>
        <w:t>e</w:t>
      </w:r>
      <w:r w:rsidR="00823F92">
        <w:rPr>
          <w:lang w:val="en-US"/>
        </w:rPr>
        <w:t xml:space="preserve"> </w:t>
      </w:r>
      <w:r w:rsidRPr="00541607">
        <w:rPr>
          <w:lang w:val="en-US"/>
        </w:rPr>
        <w:t>menta</w:t>
      </w:r>
      <w:r w:rsidR="00823F92" w:rsidRPr="00541607">
        <w:rPr>
          <w:lang w:val="en-US"/>
        </w:rPr>
        <w:t>l</w:t>
      </w:r>
      <w:r w:rsidR="00823F92">
        <w:rPr>
          <w:lang w:val="en-US"/>
        </w:rPr>
        <w:t xml:space="preserve"> </w:t>
      </w:r>
      <w:r w:rsidRPr="00541607">
        <w:rPr>
          <w:lang w:val="en-US"/>
        </w:rPr>
        <w:t>healt</w:t>
      </w:r>
      <w:r w:rsidR="00823F92" w:rsidRPr="00541607">
        <w:rPr>
          <w:lang w:val="en-US"/>
        </w:rPr>
        <w:t>h</w:t>
      </w:r>
      <w:r w:rsidR="00823F92">
        <w:rPr>
          <w:lang w:val="en-US"/>
        </w:rPr>
        <w:t xml:space="preserve"> </w:t>
      </w:r>
      <w:r w:rsidRPr="00541607">
        <w:rPr>
          <w:lang w:val="en-US"/>
        </w:rPr>
        <w:t>workforc</w:t>
      </w:r>
      <w:r w:rsidR="00823F92" w:rsidRPr="00541607">
        <w:rPr>
          <w:lang w:val="en-US"/>
        </w:rPr>
        <w:t>e</w:t>
      </w:r>
      <w:r w:rsidR="00823F92">
        <w:rPr>
          <w:lang w:val="en-US"/>
        </w:rPr>
        <w:t xml:space="preserve"> </w:t>
      </w:r>
      <w:r w:rsidRPr="00541607">
        <w:rPr>
          <w:lang w:val="en-US"/>
        </w:rPr>
        <w:t>pipelin</w:t>
      </w:r>
      <w:r w:rsidR="00823F92" w:rsidRPr="00541607">
        <w:rPr>
          <w:lang w:val="en-US"/>
        </w:rPr>
        <w:t>e</w:t>
      </w:r>
      <w:r w:rsidR="00823F92">
        <w:rPr>
          <w:lang w:val="en-US"/>
        </w:rPr>
        <w:t xml:space="preserve"> </w:t>
      </w:r>
      <w:r w:rsidRPr="00541607">
        <w:rPr>
          <w:lang w:val="en-US"/>
        </w:rPr>
        <w:t>begin</w:t>
      </w:r>
      <w:r w:rsidR="00823F92" w:rsidRPr="00541607">
        <w:rPr>
          <w:lang w:val="en-US"/>
        </w:rPr>
        <w:t>s</w:t>
      </w:r>
      <w:r w:rsidR="00823F92">
        <w:rPr>
          <w:lang w:val="en-US"/>
        </w:rPr>
        <w:t xml:space="preserve"> </w:t>
      </w:r>
      <w:r w:rsidRPr="00541607">
        <w:rPr>
          <w:lang w:val="en-US"/>
        </w:rPr>
        <w:t>wit</w:t>
      </w:r>
      <w:r w:rsidR="00823F92" w:rsidRPr="00541607">
        <w:rPr>
          <w:lang w:val="en-US"/>
        </w:rPr>
        <w:t>h</w:t>
      </w:r>
      <w:r w:rsidR="00823F92">
        <w:rPr>
          <w:lang w:val="en-US"/>
        </w:rPr>
        <w:t xml:space="preserve"> </w:t>
      </w:r>
      <w:r w:rsidRPr="00541607">
        <w:rPr>
          <w:lang w:val="en-US"/>
        </w:rPr>
        <w:t>entr</w:t>
      </w:r>
      <w:r w:rsidR="00823F92" w:rsidRPr="00541607">
        <w:rPr>
          <w:lang w:val="en-US"/>
        </w:rPr>
        <w:t>y</w:t>
      </w:r>
      <w:r w:rsidR="00823F92">
        <w:rPr>
          <w:lang w:val="en-US"/>
        </w:rPr>
        <w:t xml:space="preserve"> </w:t>
      </w:r>
      <w:r w:rsidRPr="00541607">
        <w:rPr>
          <w:lang w:val="en-US"/>
        </w:rPr>
        <w:t>leve</w:t>
      </w:r>
      <w:r w:rsidR="00823F92" w:rsidRPr="00541607">
        <w:rPr>
          <w:lang w:val="en-US"/>
        </w:rPr>
        <w:t>l</w:t>
      </w:r>
      <w:r w:rsidR="00823F92">
        <w:rPr>
          <w:lang w:val="en-US"/>
        </w:rPr>
        <w:t xml:space="preserve"> </w:t>
      </w:r>
      <w:r w:rsidRPr="00541607">
        <w:rPr>
          <w:lang w:val="en-US"/>
        </w:rPr>
        <w:t>training</w:t>
      </w:r>
      <w:r w:rsidR="00823F92">
        <w:rPr>
          <w:lang w:val="en-US"/>
        </w:rPr>
        <w:t xml:space="preserve">. </w:t>
      </w:r>
      <w:r w:rsidRPr="00E84167">
        <w:rPr>
          <w:lang w:val="en-US"/>
        </w:rPr>
        <w:t>Lo</w:t>
      </w:r>
      <w:r w:rsidR="00823F92" w:rsidRPr="00E84167">
        <w:rPr>
          <w:lang w:val="en-US"/>
        </w:rPr>
        <w:t>w</w:t>
      </w:r>
      <w:r w:rsidR="00823F92">
        <w:rPr>
          <w:lang w:val="en-US"/>
        </w:rPr>
        <w:t xml:space="preserve"> </w:t>
      </w:r>
      <w:r w:rsidRPr="00E84167">
        <w:rPr>
          <w:lang w:val="en-US"/>
        </w:rPr>
        <w:t>completio</w:t>
      </w:r>
      <w:r w:rsidR="00823F92" w:rsidRPr="00E84167">
        <w:rPr>
          <w:lang w:val="en-US"/>
        </w:rPr>
        <w:t>n</w:t>
      </w:r>
      <w:r w:rsidR="00823F92">
        <w:rPr>
          <w:lang w:val="en-US"/>
        </w:rPr>
        <w:t xml:space="preserve"> </w:t>
      </w:r>
      <w:r w:rsidRPr="00E84167">
        <w:rPr>
          <w:lang w:val="en-US"/>
        </w:rPr>
        <w:t>rate</w:t>
      </w:r>
      <w:r w:rsidR="00823F92" w:rsidRPr="00E84167">
        <w:rPr>
          <w:lang w:val="en-US"/>
        </w:rPr>
        <w:t>s</w:t>
      </w:r>
      <w:r w:rsidR="00823F92">
        <w:rPr>
          <w:lang w:val="en-US"/>
        </w:rPr>
        <w:t xml:space="preserve"> </w:t>
      </w:r>
      <w:r>
        <w:rPr>
          <w:lang w:val="en-US"/>
        </w:rPr>
        <w:t>ar</w:t>
      </w:r>
      <w:r w:rsidR="00823F92">
        <w:rPr>
          <w:lang w:val="en-US"/>
        </w:rPr>
        <w:t xml:space="preserve">e </w:t>
      </w:r>
      <w:r>
        <w:rPr>
          <w:lang w:val="en-US"/>
        </w:rPr>
        <w:t>experience</w:t>
      </w:r>
      <w:r w:rsidR="00823F92">
        <w:rPr>
          <w:lang w:val="en-US"/>
        </w:rPr>
        <w:t xml:space="preserve">d </w:t>
      </w:r>
      <w:r>
        <w:rPr>
          <w:lang w:val="en-US"/>
        </w:rPr>
        <w:t>i</w:t>
      </w:r>
      <w:r w:rsidR="00823F92">
        <w:rPr>
          <w:lang w:val="en-US"/>
        </w:rPr>
        <w:t xml:space="preserve">n </w:t>
      </w:r>
      <w:r>
        <w:rPr>
          <w:lang w:val="en-US"/>
        </w:rPr>
        <w:t>course</w:t>
      </w:r>
      <w:r w:rsidR="00823F92">
        <w:rPr>
          <w:lang w:val="en-US"/>
        </w:rPr>
        <w:t xml:space="preserve">s </w:t>
      </w:r>
      <w:r>
        <w:rPr>
          <w:lang w:val="en-US"/>
        </w:rPr>
        <w:t>tha</w:t>
      </w:r>
      <w:r w:rsidR="00823F92">
        <w:rPr>
          <w:lang w:val="en-US"/>
        </w:rPr>
        <w:t xml:space="preserve">t </w:t>
      </w:r>
      <w:r>
        <w:rPr>
          <w:lang w:val="en-US"/>
        </w:rPr>
        <w:t>trai</w:t>
      </w:r>
      <w:r w:rsidR="00823F92">
        <w:rPr>
          <w:lang w:val="en-US"/>
        </w:rPr>
        <w:t xml:space="preserve">n </w:t>
      </w:r>
      <w:r w:rsidRPr="00E84167">
        <w:rPr>
          <w:lang w:val="en-US"/>
        </w:rPr>
        <w:t>Aborigina</w:t>
      </w:r>
      <w:r w:rsidR="00823F92" w:rsidRPr="00E84167">
        <w:rPr>
          <w:lang w:val="en-US"/>
        </w:rPr>
        <w:t>l</w:t>
      </w:r>
      <w:r w:rsidR="00823F92">
        <w:rPr>
          <w:lang w:val="en-US"/>
        </w:rPr>
        <w:t xml:space="preserve"> </w:t>
      </w:r>
      <w:r w:rsidRPr="00E84167">
        <w:rPr>
          <w:lang w:val="en-US"/>
        </w:rPr>
        <w:t>an</w:t>
      </w:r>
      <w:r w:rsidR="00823F92" w:rsidRPr="00E84167">
        <w:rPr>
          <w:lang w:val="en-US"/>
        </w:rPr>
        <w:t>d</w:t>
      </w:r>
      <w:r w:rsidR="00823F92">
        <w:rPr>
          <w:lang w:val="en-US"/>
        </w:rPr>
        <w:t xml:space="preserve"> </w:t>
      </w:r>
      <w:r w:rsidRPr="00E84167">
        <w:rPr>
          <w:lang w:val="en-US"/>
        </w:rPr>
        <w:t>Torre</w:t>
      </w:r>
      <w:r w:rsidR="00823F92" w:rsidRPr="00E84167">
        <w:rPr>
          <w:lang w:val="en-US"/>
        </w:rPr>
        <w:t>s</w:t>
      </w:r>
      <w:r w:rsidR="00823F92">
        <w:rPr>
          <w:lang w:val="en-US"/>
        </w:rPr>
        <w:t xml:space="preserve"> </w:t>
      </w:r>
      <w:r w:rsidRPr="00E84167">
        <w:rPr>
          <w:lang w:val="en-US"/>
        </w:rPr>
        <w:t>Strai</w:t>
      </w:r>
      <w:r w:rsidR="00823F92" w:rsidRPr="00E84167">
        <w:rPr>
          <w:lang w:val="en-US"/>
        </w:rPr>
        <w:t>t</w:t>
      </w:r>
      <w:r w:rsidR="00823F92">
        <w:rPr>
          <w:lang w:val="en-US"/>
        </w:rPr>
        <w:t xml:space="preserve"> </w:t>
      </w:r>
      <w:r w:rsidRPr="00E84167">
        <w:rPr>
          <w:lang w:val="en-US"/>
        </w:rPr>
        <w:t>Islande</w:t>
      </w:r>
      <w:r w:rsidR="00823F92" w:rsidRPr="00E84167">
        <w:rPr>
          <w:lang w:val="en-US"/>
        </w:rPr>
        <w:t>r</w:t>
      </w:r>
      <w:r w:rsidR="00823F92">
        <w:rPr>
          <w:lang w:val="en-US"/>
        </w:rPr>
        <w:t xml:space="preserve"> </w:t>
      </w:r>
      <w:r>
        <w:rPr>
          <w:lang w:val="en-US"/>
        </w:rPr>
        <w:t>h</w:t>
      </w:r>
      <w:r w:rsidRPr="00E84167">
        <w:rPr>
          <w:lang w:val="en-US"/>
        </w:rPr>
        <w:t>ealt</w:t>
      </w:r>
      <w:r w:rsidR="00823F92" w:rsidRPr="00E84167">
        <w:rPr>
          <w:lang w:val="en-US"/>
        </w:rPr>
        <w:t>h</w:t>
      </w:r>
      <w:r w:rsidR="00823F92">
        <w:rPr>
          <w:lang w:val="en-US"/>
        </w:rPr>
        <w:t xml:space="preserve"> </w:t>
      </w:r>
      <w:r>
        <w:rPr>
          <w:lang w:val="en-US"/>
        </w:rPr>
        <w:t>an</w:t>
      </w:r>
      <w:r w:rsidR="00823F92">
        <w:rPr>
          <w:lang w:val="en-US"/>
        </w:rPr>
        <w:t xml:space="preserve">d </w:t>
      </w:r>
      <w:r>
        <w:rPr>
          <w:lang w:val="en-US"/>
        </w:rPr>
        <w:t>menta</w:t>
      </w:r>
      <w:r w:rsidR="00823F92">
        <w:rPr>
          <w:lang w:val="en-US"/>
        </w:rPr>
        <w:t xml:space="preserve">l </w:t>
      </w:r>
      <w:r>
        <w:rPr>
          <w:lang w:val="en-US"/>
        </w:rPr>
        <w:t>healt</w:t>
      </w:r>
      <w:r w:rsidR="00823F92">
        <w:rPr>
          <w:lang w:val="en-US"/>
        </w:rPr>
        <w:t xml:space="preserve">h </w:t>
      </w:r>
      <w:r>
        <w:rPr>
          <w:lang w:val="en-US"/>
        </w:rPr>
        <w:t>w</w:t>
      </w:r>
      <w:r w:rsidRPr="00E84167">
        <w:rPr>
          <w:lang w:val="en-US"/>
        </w:rPr>
        <w:t>orkers</w:t>
      </w:r>
      <w:r w:rsidR="00823F92" w:rsidRPr="00E84167">
        <w:rPr>
          <w:lang w:val="en-US"/>
        </w:rPr>
        <w:t>,</w:t>
      </w:r>
      <w:r w:rsidR="00823F92">
        <w:rPr>
          <w:lang w:val="en-US"/>
        </w:rPr>
        <w:t xml:space="preserve"> </w:t>
      </w:r>
      <w:r>
        <w:rPr>
          <w:lang w:val="en-US"/>
        </w:rPr>
        <w:t>l</w:t>
      </w:r>
      <w:r w:rsidRPr="00E84167">
        <w:rPr>
          <w:lang w:val="en-US"/>
        </w:rPr>
        <w:t>ive</w:t>
      </w:r>
      <w:r w:rsidR="00823F92" w:rsidRPr="00E84167">
        <w:rPr>
          <w:lang w:val="en-US"/>
        </w:rPr>
        <w:t>d</w:t>
      </w:r>
      <w:r w:rsidR="00823F92">
        <w:rPr>
          <w:lang w:val="en-US"/>
        </w:rPr>
        <w:t xml:space="preserve"> </w:t>
      </w:r>
      <w:r>
        <w:rPr>
          <w:lang w:val="en-US"/>
        </w:rPr>
        <w:t>e</w:t>
      </w:r>
      <w:r w:rsidRPr="00E84167">
        <w:rPr>
          <w:lang w:val="en-US"/>
        </w:rPr>
        <w:t>xperienc</w:t>
      </w:r>
      <w:r w:rsidR="00823F92" w:rsidRPr="00E84167">
        <w:rPr>
          <w:lang w:val="en-US"/>
        </w:rPr>
        <w:t>e</w:t>
      </w:r>
      <w:r w:rsidR="00823F92">
        <w:rPr>
          <w:lang w:val="en-US"/>
        </w:rPr>
        <w:t xml:space="preserve"> </w:t>
      </w:r>
      <w:r w:rsidRPr="00E84167">
        <w:rPr>
          <w:lang w:val="en-US"/>
        </w:rPr>
        <w:t>(</w:t>
      </w:r>
      <w:r>
        <w:rPr>
          <w:lang w:val="en-US"/>
        </w:rPr>
        <w:t>p</w:t>
      </w:r>
      <w:r w:rsidRPr="00E84167">
        <w:rPr>
          <w:lang w:val="en-US"/>
        </w:rPr>
        <w:t xml:space="preserve">eer) </w:t>
      </w:r>
      <w:r>
        <w:rPr>
          <w:lang w:val="en-US"/>
        </w:rPr>
        <w:t>w</w:t>
      </w:r>
      <w:r w:rsidRPr="00E84167">
        <w:rPr>
          <w:lang w:val="en-US"/>
        </w:rPr>
        <w:t>orkers</w:t>
      </w:r>
      <w:r w:rsidR="00823F92" w:rsidRPr="00E84167">
        <w:rPr>
          <w:lang w:val="en-US"/>
        </w:rPr>
        <w:t>,</w:t>
      </w:r>
      <w:r w:rsidR="00823F92">
        <w:rPr>
          <w:lang w:val="en-US"/>
        </w:rPr>
        <w:t xml:space="preserve"> </w:t>
      </w:r>
      <w:r w:rsidRPr="00E84167">
        <w:rPr>
          <w:lang w:val="en-US"/>
        </w:rPr>
        <w:t>an</w:t>
      </w:r>
      <w:r w:rsidR="00823F92" w:rsidRPr="00E84167">
        <w:rPr>
          <w:lang w:val="en-US"/>
        </w:rPr>
        <w:t>d</w:t>
      </w:r>
      <w:r w:rsidR="00823F92">
        <w:rPr>
          <w:lang w:val="en-US"/>
        </w:rPr>
        <w:t xml:space="preserve"> </w:t>
      </w:r>
      <w:r w:rsidR="000C3A70">
        <w:rPr>
          <w:lang w:val="en-US"/>
        </w:rPr>
        <w:t>psychosocia</w:t>
      </w:r>
      <w:r w:rsidR="00823F92">
        <w:rPr>
          <w:lang w:val="en-US"/>
        </w:rPr>
        <w:t xml:space="preserve">l </w:t>
      </w:r>
      <w:r w:rsidR="000C3A70">
        <w:rPr>
          <w:lang w:val="en-US"/>
        </w:rPr>
        <w:t>suppor</w:t>
      </w:r>
      <w:r w:rsidR="00823F92">
        <w:rPr>
          <w:lang w:val="en-US"/>
        </w:rPr>
        <w:t xml:space="preserve">t </w:t>
      </w:r>
      <w:r w:rsidR="000C3A70">
        <w:rPr>
          <w:lang w:val="en-US"/>
        </w:rPr>
        <w:t>workers</w:t>
      </w:r>
      <w:r w:rsidRPr="00E84167">
        <w:rPr>
          <w:lang w:val="en-US"/>
        </w:rPr>
        <w:t>.</w:t>
      </w:r>
      <w:r w:rsidR="00F635B3">
        <w:rPr>
          <w:rStyle w:val="FootnoteReference"/>
          <w:lang w:val="en-US"/>
        </w:rPr>
        <w:footnoteReference w:id="27"/>
      </w:r>
      <w:r w:rsidRPr="00E84167">
        <w:rPr>
          <w:lang w:val="en-US"/>
        </w:rPr>
        <w:t xml:space="preserve"> </w:t>
      </w:r>
    </w:p>
    <w:p w14:paraId="1F2190D4" w14:textId="33D4B8D7" w:rsidR="00453F15" w:rsidRDefault="00453F15" w:rsidP="00ED778E">
      <w:pPr>
        <w:pStyle w:val="BodyText"/>
        <w:rPr>
          <w:lang w:val="en-US"/>
        </w:rPr>
      </w:pPr>
      <w:r w:rsidRPr="00E84167">
        <w:rPr>
          <w:lang w:val="en-US"/>
        </w:rPr>
        <w:t>Barrier</w:t>
      </w:r>
      <w:r w:rsidR="00823F92" w:rsidRPr="00E84167">
        <w:rPr>
          <w:lang w:val="en-US"/>
        </w:rPr>
        <w:t>s</w:t>
      </w:r>
      <w:r w:rsidR="00823F92">
        <w:rPr>
          <w:lang w:val="en-US"/>
        </w:rPr>
        <w:t xml:space="preserve"> </w:t>
      </w:r>
      <w:r w:rsidRPr="00E84167">
        <w:rPr>
          <w:lang w:val="en-US"/>
        </w:rPr>
        <w:t>t</w:t>
      </w:r>
      <w:r w:rsidR="00823F92" w:rsidRPr="00E84167">
        <w:rPr>
          <w:lang w:val="en-US"/>
        </w:rPr>
        <w:t>o</w:t>
      </w:r>
      <w:r w:rsidR="00823F92">
        <w:rPr>
          <w:lang w:val="en-US"/>
        </w:rPr>
        <w:t xml:space="preserve"> </w:t>
      </w:r>
      <w:r w:rsidRPr="00E84167">
        <w:rPr>
          <w:lang w:val="en-US"/>
        </w:rPr>
        <w:t>completio</w:t>
      </w:r>
      <w:r w:rsidR="00823F92" w:rsidRPr="00E84167">
        <w:rPr>
          <w:lang w:val="en-US"/>
        </w:rPr>
        <w:t>n</w:t>
      </w:r>
      <w:r w:rsidR="00823F92">
        <w:rPr>
          <w:lang w:val="en-US"/>
        </w:rPr>
        <w:t xml:space="preserve"> </w:t>
      </w:r>
      <w:r w:rsidRPr="00E84167">
        <w:rPr>
          <w:lang w:val="en-US"/>
        </w:rPr>
        <w:t>fo</w:t>
      </w:r>
      <w:r w:rsidR="00823F92" w:rsidRPr="00E84167">
        <w:rPr>
          <w:lang w:val="en-US"/>
        </w:rPr>
        <w:t>r</w:t>
      </w:r>
      <w:r w:rsidR="00823F92">
        <w:rPr>
          <w:lang w:val="en-US"/>
        </w:rPr>
        <w:t xml:space="preserve"> </w:t>
      </w:r>
      <w:r w:rsidRPr="00E84167">
        <w:rPr>
          <w:lang w:val="en-US"/>
        </w:rPr>
        <w:t>thes</w:t>
      </w:r>
      <w:r w:rsidR="00823F92" w:rsidRPr="00E84167">
        <w:rPr>
          <w:lang w:val="en-US"/>
        </w:rPr>
        <w:t>e</w:t>
      </w:r>
      <w:r w:rsidR="00823F92">
        <w:rPr>
          <w:lang w:val="en-US"/>
        </w:rPr>
        <w:t xml:space="preserve"> </w:t>
      </w:r>
      <w:r w:rsidRPr="00E84167">
        <w:rPr>
          <w:lang w:val="en-US"/>
        </w:rPr>
        <w:t>group</w:t>
      </w:r>
      <w:r w:rsidR="00823F92" w:rsidRPr="00E84167">
        <w:rPr>
          <w:lang w:val="en-US"/>
        </w:rPr>
        <w:t>s</w:t>
      </w:r>
      <w:r w:rsidR="00823F92">
        <w:rPr>
          <w:lang w:val="en-US"/>
        </w:rPr>
        <w:t xml:space="preserve"> </w:t>
      </w:r>
      <w:r w:rsidRPr="00E84167">
        <w:rPr>
          <w:lang w:val="en-US"/>
        </w:rPr>
        <w:t>includ</w:t>
      </w:r>
      <w:r w:rsidR="00823F92" w:rsidRPr="00E84167">
        <w:rPr>
          <w:lang w:val="en-US"/>
        </w:rPr>
        <w:t>e</w:t>
      </w:r>
      <w:r w:rsidR="00823F92">
        <w:rPr>
          <w:lang w:val="en-US"/>
        </w:rPr>
        <w:t xml:space="preserve"> </w:t>
      </w:r>
      <w:r w:rsidRPr="00E84167">
        <w:rPr>
          <w:lang w:val="en-US"/>
        </w:rPr>
        <w:t>financia</w:t>
      </w:r>
      <w:r w:rsidR="00823F92" w:rsidRPr="00E84167">
        <w:rPr>
          <w:lang w:val="en-US"/>
        </w:rPr>
        <w:t>l</w:t>
      </w:r>
      <w:r w:rsidR="00823F92">
        <w:rPr>
          <w:lang w:val="en-US"/>
        </w:rPr>
        <w:t xml:space="preserve"> </w:t>
      </w:r>
      <w:r w:rsidRPr="00E84167">
        <w:rPr>
          <w:lang w:val="en-US"/>
        </w:rPr>
        <w:t>pressure</w:t>
      </w:r>
      <w:r w:rsidR="00823F92" w:rsidRPr="00E84167">
        <w:rPr>
          <w:lang w:val="en-US"/>
        </w:rPr>
        <w:t>s</w:t>
      </w:r>
      <w:r w:rsidR="00823F92">
        <w:rPr>
          <w:lang w:val="en-US"/>
        </w:rPr>
        <w:t xml:space="preserve"> </w:t>
      </w:r>
      <w:r w:rsidRPr="00E84167">
        <w:rPr>
          <w:lang w:val="en-US"/>
        </w:rPr>
        <w:t>(fo</w:t>
      </w:r>
      <w:r w:rsidR="00823F92" w:rsidRPr="00E84167">
        <w:rPr>
          <w:lang w:val="en-US"/>
        </w:rPr>
        <w:t>r</w:t>
      </w:r>
      <w:r w:rsidR="00823F92">
        <w:rPr>
          <w:lang w:val="en-US"/>
        </w:rPr>
        <w:t xml:space="preserve"> </w:t>
      </w:r>
      <w:r w:rsidRPr="00E84167">
        <w:rPr>
          <w:lang w:val="en-US"/>
        </w:rPr>
        <w:t>example</w:t>
      </w:r>
      <w:r w:rsidR="00823F92" w:rsidRPr="00E84167">
        <w:rPr>
          <w:lang w:val="en-US"/>
        </w:rPr>
        <w:t>,</w:t>
      </w:r>
      <w:r w:rsidR="00823F92">
        <w:rPr>
          <w:lang w:val="en-US"/>
        </w:rPr>
        <w:t xml:space="preserve"> </w:t>
      </w:r>
      <w:r w:rsidRPr="00E84167">
        <w:rPr>
          <w:lang w:val="en-US"/>
        </w:rPr>
        <w:t>incom</w:t>
      </w:r>
      <w:r w:rsidR="00823F92" w:rsidRPr="00E84167">
        <w:rPr>
          <w:lang w:val="en-US"/>
        </w:rPr>
        <w:t>e</w:t>
      </w:r>
      <w:r w:rsidR="00823F92">
        <w:rPr>
          <w:lang w:val="en-US"/>
        </w:rPr>
        <w:t xml:space="preserve"> </w:t>
      </w:r>
      <w:r w:rsidRPr="00E84167">
        <w:rPr>
          <w:lang w:val="en-US"/>
        </w:rPr>
        <w:t>foregon</w:t>
      </w:r>
      <w:r w:rsidR="00823F92" w:rsidRPr="00E84167">
        <w:rPr>
          <w:lang w:val="en-US"/>
        </w:rPr>
        <w:t>e</w:t>
      </w:r>
      <w:r w:rsidR="00823F92">
        <w:rPr>
          <w:lang w:val="en-US"/>
        </w:rPr>
        <w:t xml:space="preserve"> </w:t>
      </w:r>
      <w:r w:rsidRPr="00E84167">
        <w:rPr>
          <w:lang w:val="en-US"/>
        </w:rPr>
        <w:t>du</w:t>
      </w:r>
      <w:r w:rsidR="00823F92" w:rsidRPr="00E84167">
        <w:rPr>
          <w:lang w:val="en-US"/>
        </w:rPr>
        <w:t>e</w:t>
      </w:r>
      <w:r w:rsidR="00823F92">
        <w:rPr>
          <w:lang w:val="en-US"/>
        </w:rPr>
        <w:t xml:space="preserve"> </w:t>
      </w:r>
      <w:r w:rsidRPr="00E84167">
        <w:rPr>
          <w:lang w:val="en-US"/>
        </w:rPr>
        <w:t>t</w:t>
      </w:r>
      <w:r w:rsidR="00823F92" w:rsidRPr="00E84167">
        <w:rPr>
          <w:lang w:val="en-US"/>
        </w:rPr>
        <w:t>o</w:t>
      </w:r>
      <w:r w:rsidR="00823F92">
        <w:rPr>
          <w:lang w:val="en-US"/>
        </w:rPr>
        <w:t xml:space="preserve"> </w:t>
      </w:r>
      <w:r w:rsidRPr="00E84167">
        <w:rPr>
          <w:lang w:val="en-US"/>
        </w:rPr>
        <w:t>participatio</w:t>
      </w:r>
      <w:r w:rsidR="00823F92" w:rsidRPr="00E84167">
        <w:rPr>
          <w:lang w:val="en-US"/>
        </w:rPr>
        <w:t>n</w:t>
      </w:r>
      <w:r w:rsidR="00823F92">
        <w:rPr>
          <w:lang w:val="en-US"/>
        </w:rPr>
        <w:t xml:space="preserve"> </w:t>
      </w:r>
      <w:r w:rsidRPr="00E84167">
        <w:rPr>
          <w:lang w:val="en-US"/>
        </w:rPr>
        <w:t>i</w:t>
      </w:r>
      <w:r w:rsidR="00823F92" w:rsidRPr="00E84167">
        <w:rPr>
          <w:lang w:val="en-US"/>
        </w:rPr>
        <w:t>n</w:t>
      </w:r>
      <w:r w:rsidR="00823F92">
        <w:rPr>
          <w:lang w:val="en-US"/>
        </w:rPr>
        <w:t xml:space="preserve"> </w:t>
      </w:r>
      <w:r w:rsidRPr="00E84167">
        <w:rPr>
          <w:lang w:val="en-US"/>
        </w:rPr>
        <w:t>training)</w:t>
      </w:r>
      <w:r w:rsidR="00823F92" w:rsidRPr="00E84167">
        <w:rPr>
          <w:lang w:val="en-US"/>
        </w:rPr>
        <w:t>,</w:t>
      </w:r>
      <w:r w:rsidR="00823F92">
        <w:rPr>
          <w:lang w:val="en-US"/>
        </w:rPr>
        <w:t xml:space="preserve"> </w:t>
      </w:r>
      <w:r w:rsidRPr="00E84167">
        <w:rPr>
          <w:lang w:val="en-US"/>
        </w:rPr>
        <w:t>persona</w:t>
      </w:r>
      <w:r w:rsidR="00823F92" w:rsidRPr="00E84167">
        <w:rPr>
          <w:lang w:val="en-US"/>
        </w:rPr>
        <w:t>l</w:t>
      </w:r>
      <w:r w:rsidR="00823F92">
        <w:rPr>
          <w:lang w:val="en-US"/>
        </w:rPr>
        <w:t xml:space="preserve"> </w:t>
      </w:r>
      <w:r w:rsidRPr="00E84167">
        <w:rPr>
          <w:lang w:val="en-US"/>
        </w:rPr>
        <w:t>circumstance</w:t>
      </w:r>
      <w:r w:rsidR="00823F92" w:rsidRPr="00E84167">
        <w:rPr>
          <w:lang w:val="en-US"/>
        </w:rPr>
        <w:t>s</w:t>
      </w:r>
      <w:r w:rsidR="00823F92">
        <w:rPr>
          <w:lang w:val="en-US"/>
        </w:rPr>
        <w:t xml:space="preserve"> </w:t>
      </w:r>
      <w:r w:rsidRPr="00E84167">
        <w:rPr>
          <w:lang w:val="en-US"/>
        </w:rPr>
        <w:t>(suc</w:t>
      </w:r>
      <w:r w:rsidR="00823F92" w:rsidRPr="00E84167">
        <w:rPr>
          <w:lang w:val="en-US"/>
        </w:rPr>
        <w:t>h</w:t>
      </w:r>
      <w:r w:rsidR="00823F92">
        <w:rPr>
          <w:lang w:val="en-US"/>
        </w:rPr>
        <w:t xml:space="preserve"> </w:t>
      </w:r>
      <w:r w:rsidRPr="00E84167">
        <w:rPr>
          <w:lang w:val="en-US"/>
        </w:rPr>
        <w:t>a</w:t>
      </w:r>
      <w:r w:rsidR="00823F92" w:rsidRPr="00E84167">
        <w:rPr>
          <w:lang w:val="en-US"/>
        </w:rPr>
        <w:t>s</w:t>
      </w:r>
      <w:r w:rsidR="00823F92">
        <w:rPr>
          <w:lang w:val="en-US"/>
        </w:rPr>
        <w:t xml:space="preserve"> </w:t>
      </w:r>
      <w:r w:rsidRPr="00E84167">
        <w:rPr>
          <w:lang w:val="en-US"/>
        </w:rPr>
        <w:t>carin</w:t>
      </w:r>
      <w:r w:rsidR="00823F92" w:rsidRPr="00E84167">
        <w:rPr>
          <w:lang w:val="en-US"/>
        </w:rPr>
        <w:t>g</w:t>
      </w:r>
      <w:r w:rsidR="00823F92">
        <w:rPr>
          <w:lang w:val="en-US"/>
        </w:rPr>
        <w:t xml:space="preserve"> </w:t>
      </w:r>
      <w:r w:rsidRPr="00E84167">
        <w:rPr>
          <w:lang w:val="en-US"/>
        </w:rPr>
        <w:t>responsibilities) an</w:t>
      </w:r>
      <w:r w:rsidR="00823F92" w:rsidRPr="00E84167">
        <w:rPr>
          <w:lang w:val="en-US"/>
        </w:rPr>
        <w:t>d</w:t>
      </w:r>
      <w:r w:rsidR="00823F92">
        <w:rPr>
          <w:lang w:val="en-US"/>
        </w:rPr>
        <w:t xml:space="preserve"> </w:t>
      </w:r>
      <w:r w:rsidRPr="00E84167">
        <w:rPr>
          <w:lang w:val="en-US"/>
        </w:rPr>
        <w:t>difficult</w:t>
      </w:r>
      <w:r w:rsidR="00823F92" w:rsidRPr="00E84167">
        <w:rPr>
          <w:lang w:val="en-US"/>
        </w:rPr>
        <w:t>y</w:t>
      </w:r>
      <w:r w:rsidR="00823F92">
        <w:rPr>
          <w:lang w:val="en-US"/>
        </w:rPr>
        <w:t xml:space="preserve"> </w:t>
      </w:r>
      <w:r w:rsidRPr="00E84167">
        <w:rPr>
          <w:lang w:val="en-US"/>
        </w:rPr>
        <w:t>i</w:t>
      </w:r>
      <w:r w:rsidR="00823F92" w:rsidRPr="00E84167">
        <w:rPr>
          <w:lang w:val="en-US"/>
        </w:rPr>
        <w:t>n</w:t>
      </w:r>
      <w:r w:rsidR="00823F92">
        <w:rPr>
          <w:lang w:val="en-US"/>
        </w:rPr>
        <w:t xml:space="preserve"> </w:t>
      </w:r>
      <w:r w:rsidRPr="00E84167">
        <w:rPr>
          <w:lang w:val="en-US"/>
        </w:rPr>
        <w:t>attendin</w:t>
      </w:r>
      <w:r w:rsidR="00823F92" w:rsidRPr="00E84167">
        <w:rPr>
          <w:lang w:val="en-US"/>
        </w:rPr>
        <w:t>g</w:t>
      </w:r>
      <w:r w:rsidR="00823F92">
        <w:rPr>
          <w:lang w:val="en-US"/>
        </w:rPr>
        <w:t xml:space="preserve"> </w:t>
      </w:r>
      <w:r w:rsidRPr="00E84167">
        <w:rPr>
          <w:lang w:val="en-US"/>
        </w:rPr>
        <w:t>face-to-fac</w:t>
      </w:r>
      <w:r w:rsidR="00823F92" w:rsidRPr="00E84167">
        <w:rPr>
          <w:lang w:val="en-US"/>
        </w:rPr>
        <w:t>e</w:t>
      </w:r>
      <w:r w:rsidR="00823F92">
        <w:rPr>
          <w:lang w:val="en-US"/>
        </w:rPr>
        <w:t xml:space="preserve"> </w:t>
      </w:r>
      <w:r w:rsidRPr="00E84167">
        <w:rPr>
          <w:lang w:val="en-US"/>
        </w:rPr>
        <w:t>trainin</w:t>
      </w:r>
      <w:r w:rsidR="00823F92" w:rsidRPr="00E84167">
        <w:rPr>
          <w:lang w:val="en-US"/>
        </w:rPr>
        <w:t>g</w:t>
      </w:r>
      <w:r w:rsidR="00823F92">
        <w:rPr>
          <w:lang w:val="en-US"/>
        </w:rPr>
        <w:t xml:space="preserve"> </w:t>
      </w:r>
      <w:r w:rsidRPr="00E84167">
        <w:rPr>
          <w:lang w:val="en-US"/>
        </w:rPr>
        <w:t>(du</w:t>
      </w:r>
      <w:r w:rsidR="00823F92" w:rsidRPr="00E84167">
        <w:rPr>
          <w:lang w:val="en-US"/>
        </w:rPr>
        <w:t>e</w:t>
      </w:r>
      <w:r w:rsidR="00823F92">
        <w:rPr>
          <w:lang w:val="en-US"/>
        </w:rPr>
        <w:t xml:space="preserve"> </w:t>
      </w:r>
      <w:r w:rsidRPr="00E84167">
        <w:rPr>
          <w:lang w:val="en-US"/>
        </w:rPr>
        <w:t>t</w:t>
      </w:r>
      <w:r w:rsidR="00823F92" w:rsidRPr="00E84167">
        <w:rPr>
          <w:lang w:val="en-US"/>
        </w:rPr>
        <w:t>o</w:t>
      </w:r>
      <w:r w:rsidR="00823F92">
        <w:rPr>
          <w:lang w:val="en-US"/>
        </w:rPr>
        <w:t xml:space="preserve"> </w:t>
      </w:r>
      <w:r w:rsidRPr="00E84167">
        <w:rPr>
          <w:lang w:val="en-US"/>
        </w:rPr>
        <w:t>trave</w:t>
      </w:r>
      <w:r w:rsidR="00823F92" w:rsidRPr="00E84167">
        <w:rPr>
          <w:lang w:val="en-US"/>
        </w:rPr>
        <w:t>l</w:t>
      </w:r>
      <w:r w:rsidR="00823F92">
        <w:rPr>
          <w:lang w:val="en-US"/>
        </w:rPr>
        <w:t xml:space="preserve"> </w:t>
      </w:r>
      <w:r w:rsidRPr="00E84167">
        <w:rPr>
          <w:lang w:val="en-US"/>
        </w:rPr>
        <w:t>tim</w:t>
      </w:r>
      <w:r w:rsidR="00823F92" w:rsidRPr="00E84167">
        <w:rPr>
          <w:lang w:val="en-US"/>
        </w:rPr>
        <w:t>e</w:t>
      </w:r>
      <w:r w:rsidR="00823F92">
        <w:rPr>
          <w:lang w:val="en-US"/>
        </w:rPr>
        <w:t xml:space="preserve"> </w:t>
      </w:r>
      <w:r w:rsidRPr="00E84167">
        <w:rPr>
          <w:lang w:val="en-US"/>
        </w:rPr>
        <w:t>an</w:t>
      </w:r>
      <w:r w:rsidR="00823F92" w:rsidRPr="00E84167">
        <w:rPr>
          <w:lang w:val="en-US"/>
        </w:rPr>
        <w:t>d</w:t>
      </w:r>
      <w:r w:rsidR="00823F92">
        <w:rPr>
          <w:lang w:val="en-US"/>
        </w:rPr>
        <w:t xml:space="preserve"> </w:t>
      </w:r>
      <w:r w:rsidRPr="00E84167">
        <w:rPr>
          <w:lang w:val="en-US"/>
        </w:rPr>
        <w:t>costs)</w:t>
      </w:r>
      <w:r w:rsidR="00823F92" w:rsidRPr="00E84167">
        <w:rPr>
          <w:lang w:val="en-US"/>
        </w:rPr>
        <w:t>.</w:t>
      </w:r>
      <w:r w:rsidR="00823F92">
        <w:rPr>
          <w:lang w:val="en-US"/>
        </w:rPr>
        <w:t xml:space="preserve"> </w:t>
      </w:r>
    </w:p>
    <w:p w14:paraId="3E12F48C" w14:textId="729C337D" w:rsidR="00DE14F8" w:rsidRDefault="00DE14F8" w:rsidP="008D57D0">
      <w:pPr>
        <w:pStyle w:val="Heading3nonumber"/>
        <w:keepNext/>
      </w:pPr>
      <w:r>
        <w:lastRenderedPageBreak/>
        <w:t>Skill</w:t>
      </w:r>
      <w:r w:rsidR="00823F92">
        <w:t xml:space="preserve">s </w:t>
      </w:r>
      <w:r>
        <w:t>fo</w:t>
      </w:r>
      <w:r w:rsidR="00823F92">
        <w:t xml:space="preserve">r </w:t>
      </w:r>
      <w:r>
        <w:t>supervision</w:t>
      </w:r>
    </w:p>
    <w:p w14:paraId="759554E4" w14:textId="4752AA45" w:rsidR="00DE14F8" w:rsidRDefault="00F532C2" w:rsidP="00DE14F8">
      <w:pPr>
        <w:pStyle w:val="BodyText"/>
      </w:pPr>
      <w:r>
        <w:t>Placement</w:t>
      </w:r>
      <w:r w:rsidR="00823F92">
        <w:t xml:space="preserve">s </w:t>
      </w:r>
      <w:r>
        <w:t>pla</w:t>
      </w:r>
      <w:r w:rsidR="00823F92">
        <w:t xml:space="preserve">y </w:t>
      </w:r>
      <w:r>
        <w:t>a</w:t>
      </w:r>
      <w:r w:rsidR="00823F92">
        <w:t xml:space="preserve">n </w:t>
      </w:r>
      <w:r>
        <w:t>importan</w:t>
      </w:r>
      <w:r w:rsidR="00823F92">
        <w:t xml:space="preserve">t </w:t>
      </w:r>
      <w:r>
        <w:t>rol</w:t>
      </w:r>
      <w:r w:rsidR="00823F92">
        <w:t xml:space="preserve">e </w:t>
      </w:r>
      <w:r>
        <w:t>i</w:t>
      </w:r>
      <w:r w:rsidR="00823F92">
        <w:t xml:space="preserve">n </w:t>
      </w:r>
      <w:r>
        <w:t>th</w:t>
      </w:r>
      <w:r w:rsidR="00823F92">
        <w:t xml:space="preserve">e </w:t>
      </w:r>
      <w:r>
        <w:t>attractivenes</w:t>
      </w:r>
      <w:r w:rsidR="00823F92">
        <w:t xml:space="preserve">s </w:t>
      </w:r>
      <w:r>
        <w:t>o</w:t>
      </w:r>
      <w:r w:rsidR="00823F92">
        <w:t xml:space="preserve">f </w:t>
      </w:r>
      <w:r>
        <w:t>th</w:t>
      </w:r>
      <w:r w:rsidR="00823F92">
        <w:t xml:space="preserve">e </w:t>
      </w:r>
      <w:r>
        <w:t>menta</w:t>
      </w:r>
      <w:r w:rsidR="00823F92">
        <w:t xml:space="preserve">l </w:t>
      </w:r>
      <w:r>
        <w:t>healt</w:t>
      </w:r>
      <w:r w:rsidR="00823F92">
        <w:t xml:space="preserve">h </w:t>
      </w:r>
      <w:r>
        <w:t>sector</w:t>
      </w:r>
      <w:r w:rsidR="00823F92">
        <w:t xml:space="preserve">. </w:t>
      </w:r>
      <w:r>
        <w:t>Poo</w:t>
      </w:r>
      <w:r w:rsidR="00823F92">
        <w:t xml:space="preserve">r </w:t>
      </w:r>
      <w:r>
        <w:t>qualit</w:t>
      </w:r>
      <w:r w:rsidR="00823F92">
        <w:t xml:space="preserve">y </w:t>
      </w:r>
      <w:r>
        <w:t>placement</w:t>
      </w:r>
      <w:r w:rsidR="00823F92">
        <w:t xml:space="preserve">s </w:t>
      </w:r>
      <w:r>
        <w:t>aris</w:t>
      </w:r>
      <w:r w:rsidR="00823F92">
        <w:t xml:space="preserve">e </w:t>
      </w:r>
      <w:r>
        <w:t>whe</w:t>
      </w:r>
      <w:r w:rsidR="00823F92">
        <w:t xml:space="preserve">n </w:t>
      </w:r>
      <w:r>
        <w:t>student</w:t>
      </w:r>
      <w:r w:rsidR="00823F92">
        <w:t xml:space="preserve">s </w:t>
      </w:r>
      <w:r>
        <w:t>receiv</w:t>
      </w:r>
      <w:r w:rsidR="00823F92">
        <w:t xml:space="preserve">e </w:t>
      </w:r>
      <w:r>
        <w:t>insufficien</w:t>
      </w:r>
      <w:r w:rsidR="00823F92">
        <w:t xml:space="preserve">t </w:t>
      </w:r>
      <w:r>
        <w:t>supervisio</w:t>
      </w:r>
      <w:r w:rsidR="00823F92">
        <w:t xml:space="preserve">n </w:t>
      </w:r>
      <w:r>
        <w:t>an</w:t>
      </w:r>
      <w:r w:rsidR="00823F92">
        <w:t xml:space="preserve">d </w:t>
      </w:r>
      <w:r>
        <w:t>support</w:t>
      </w:r>
      <w:r w:rsidR="00823F92">
        <w:t xml:space="preserve">, </w:t>
      </w:r>
      <w:r>
        <w:t>whic</w:t>
      </w:r>
      <w:r w:rsidR="00823F92">
        <w:t xml:space="preserve">h </w:t>
      </w:r>
      <w:r>
        <w:t>ca</w:t>
      </w:r>
      <w:r w:rsidR="00823F92">
        <w:t xml:space="preserve">n </w:t>
      </w:r>
      <w:r>
        <w:t>b</w:t>
      </w:r>
      <w:r w:rsidR="00823F92">
        <w:t xml:space="preserve">e </w:t>
      </w:r>
      <w:r>
        <w:t>drive</w:t>
      </w:r>
      <w:r w:rsidR="00823F92">
        <w:t xml:space="preserve">n </w:t>
      </w:r>
      <w:r>
        <w:t>b</w:t>
      </w:r>
      <w:r w:rsidR="00823F92">
        <w:t xml:space="preserve">y </w:t>
      </w:r>
      <w:r>
        <w:t>supervisor</w:t>
      </w:r>
      <w:r w:rsidR="00823F92">
        <w:t xml:space="preserve">s </w:t>
      </w:r>
      <w:r>
        <w:t>havin</w:t>
      </w:r>
      <w:r w:rsidR="00823F92">
        <w:t xml:space="preserve">g </w:t>
      </w:r>
      <w:r>
        <w:t>poo</w:t>
      </w:r>
      <w:r w:rsidR="00823F92">
        <w:t xml:space="preserve">r </w:t>
      </w:r>
      <w:r>
        <w:t>supervisor</w:t>
      </w:r>
      <w:r w:rsidR="00823F92">
        <w:t xml:space="preserve">y </w:t>
      </w:r>
      <w:r>
        <w:t>skill</w:t>
      </w:r>
      <w:r w:rsidR="00823F92">
        <w:t xml:space="preserve">s </w:t>
      </w:r>
      <w:r>
        <w:t>o</w:t>
      </w:r>
      <w:r w:rsidR="00823F92">
        <w:t xml:space="preserve">r </w:t>
      </w:r>
      <w:r>
        <w:t>insufficien</w:t>
      </w:r>
      <w:r w:rsidR="00823F92">
        <w:t xml:space="preserve">t </w:t>
      </w:r>
      <w:r>
        <w:t>tim</w:t>
      </w:r>
      <w:r w:rsidR="00823F92">
        <w:t xml:space="preserve">e </w:t>
      </w:r>
      <w:r>
        <w:t>t</w:t>
      </w:r>
      <w:r w:rsidR="00823F92">
        <w:t xml:space="preserve">o </w:t>
      </w:r>
      <w:r>
        <w:t>devot</w:t>
      </w:r>
      <w:r w:rsidR="00823F92">
        <w:t xml:space="preserve">e </w:t>
      </w:r>
      <w:r>
        <w:t>t</w:t>
      </w:r>
      <w:r w:rsidR="00823F92">
        <w:t xml:space="preserve">o </w:t>
      </w:r>
      <w:r>
        <w:t>plannin</w:t>
      </w:r>
      <w:r w:rsidR="00823F92">
        <w:t xml:space="preserve">g </w:t>
      </w:r>
      <w:r>
        <w:t>fo</w:t>
      </w:r>
      <w:r w:rsidR="00823F92">
        <w:t xml:space="preserve">r </w:t>
      </w:r>
      <w:r>
        <w:t>an</w:t>
      </w:r>
      <w:r w:rsidR="00823F92">
        <w:t xml:space="preserve">d </w:t>
      </w:r>
      <w:r>
        <w:t>supportin</w:t>
      </w:r>
      <w:r w:rsidR="00823F92">
        <w:t xml:space="preserve">g </w:t>
      </w:r>
      <w:r>
        <w:t>student</w:t>
      </w:r>
      <w:r w:rsidR="00823F92">
        <w:t xml:space="preserve">s </w:t>
      </w:r>
      <w:r>
        <w:t>i</w:t>
      </w:r>
      <w:r w:rsidR="00823F92">
        <w:t xml:space="preserve">n </w:t>
      </w:r>
      <w:r>
        <w:t>thei</w:t>
      </w:r>
      <w:r w:rsidR="00823F92">
        <w:t xml:space="preserve">r </w:t>
      </w:r>
      <w:r>
        <w:t>placement</w:t>
      </w:r>
      <w:r w:rsidR="00823F92">
        <w:t xml:space="preserve">. </w:t>
      </w:r>
    </w:p>
    <w:p w14:paraId="5052E6B8" w14:textId="21DCE37C" w:rsidR="003864DE" w:rsidRDefault="003864DE" w:rsidP="00DE14F8">
      <w:pPr>
        <w:pStyle w:val="BodyText"/>
      </w:pPr>
      <w:r>
        <w:t>Supervis</w:t>
      </w:r>
      <w:r w:rsidR="005B6578">
        <w:t>io</w:t>
      </w:r>
      <w:r w:rsidR="00823F92">
        <w:t xml:space="preserve">n </w:t>
      </w:r>
      <w:r w:rsidR="005B6578">
        <w:t>require</w:t>
      </w:r>
      <w:r w:rsidR="00823F92">
        <w:t xml:space="preserve">s a </w:t>
      </w:r>
      <w:r w:rsidR="005B6578">
        <w:t>differen</w:t>
      </w:r>
      <w:r w:rsidR="00823F92">
        <w:t xml:space="preserve">t </w:t>
      </w:r>
      <w:r w:rsidR="005B6578">
        <w:t>skil</w:t>
      </w:r>
      <w:r w:rsidR="00823F92">
        <w:t xml:space="preserve">l </w:t>
      </w:r>
      <w:r w:rsidR="005B6578">
        <w:t>se</w:t>
      </w:r>
      <w:r w:rsidR="00823F92">
        <w:t xml:space="preserve">t </w:t>
      </w:r>
      <w:r w:rsidR="005B6578">
        <w:t>t</w:t>
      </w:r>
      <w:r w:rsidR="00823F92">
        <w:t xml:space="preserve">o </w:t>
      </w:r>
      <w:r w:rsidR="005B6578">
        <w:t>deliverin</w:t>
      </w:r>
      <w:r w:rsidR="00823F92">
        <w:t xml:space="preserve">g </w:t>
      </w:r>
      <w:r w:rsidR="005B6578">
        <w:t>treatment</w:t>
      </w:r>
      <w:r w:rsidR="00823F92">
        <w:t xml:space="preserve">, </w:t>
      </w:r>
      <w:r w:rsidR="005B6578">
        <w:t>car</w:t>
      </w:r>
      <w:r w:rsidR="00823F92">
        <w:t xml:space="preserve">e </w:t>
      </w:r>
      <w:r w:rsidR="005B6578">
        <w:t>an</w:t>
      </w:r>
      <w:r w:rsidR="00823F92">
        <w:t xml:space="preserve">d </w:t>
      </w:r>
      <w:r w:rsidR="005B6578">
        <w:t>support</w:t>
      </w:r>
      <w:r w:rsidR="00823F92">
        <w:t xml:space="preserve">. </w:t>
      </w:r>
      <w:r w:rsidR="004110C6">
        <w:t>Ther</w:t>
      </w:r>
      <w:r w:rsidR="00823F92">
        <w:t xml:space="preserve">e </w:t>
      </w:r>
      <w:r w:rsidR="004110C6">
        <w:t>i</w:t>
      </w:r>
      <w:r w:rsidR="00823F92">
        <w:t xml:space="preserve">s a </w:t>
      </w:r>
      <w:r w:rsidR="004110C6">
        <w:t>nee</w:t>
      </w:r>
      <w:r w:rsidR="00823F92">
        <w:t xml:space="preserve">d </w:t>
      </w:r>
      <w:r w:rsidR="004110C6">
        <w:t>t</w:t>
      </w:r>
      <w:r w:rsidR="00823F92">
        <w:t xml:space="preserve">o </w:t>
      </w:r>
      <w:r w:rsidR="004110C6">
        <w:t>ensur</w:t>
      </w:r>
      <w:r w:rsidR="00823F92">
        <w:t xml:space="preserve">e </w:t>
      </w:r>
      <w:r w:rsidR="004110C6">
        <w:t>thos</w:t>
      </w:r>
      <w:r w:rsidR="00823F92">
        <w:t xml:space="preserve">e </w:t>
      </w:r>
      <w:r w:rsidR="004110C6">
        <w:t>responsibl</w:t>
      </w:r>
      <w:r w:rsidR="00823F92">
        <w:t xml:space="preserve">e </w:t>
      </w:r>
      <w:r w:rsidR="004110C6">
        <w:t>fo</w:t>
      </w:r>
      <w:r w:rsidR="00823F92">
        <w:t xml:space="preserve">r </w:t>
      </w:r>
      <w:r w:rsidR="004110C6">
        <w:t>facilitatin</w:t>
      </w:r>
      <w:r w:rsidR="00823F92">
        <w:t xml:space="preserve">g </w:t>
      </w:r>
      <w:r w:rsidR="004110C6">
        <w:t>placement</w:t>
      </w:r>
      <w:r w:rsidR="00823F92">
        <w:t xml:space="preserve">s </w:t>
      </w:r>
      <w:r w:rsidR="004110C6">
        <w:t>hav</w:t>
      </w:r>
      <w:r w:rsidR="00823F92">
        <w:t xml:space="preserve">e </w:t>
      </w:r>
      <w:r w:rsidR="004110C6">
        <w:t>th</w:t>
      </w:r>
      <w:r w:rsidR="00823F92">
        <w:t xml:space="preserve">e </w:t>
      </w:r>
      <w:r w:rsidR="004110C6">
        <w:t>knowledge</w:t>
      </w:r>
      <w:r w:rsidR="00823F92">
        <w:t xml:space="preserve">, </w:t>
      </w:r>
      <w:r w:rsidR="004110C6">
        <w:t>skill</w:t>
      </w:r>
      <w:r w:rsidR="00823F92">
        <w:t xml:space="preserve">s </w:t>
      </w:r>
      <w:r w:rsidR="004110C6">
        <w:t>an</w:t>
      </w:r>
      <w:r w:rsidR="00823F92">
        <w:t xml:space="preserve">d </w:t>
      </w:r>
      <w:r w:rsidR="004110C6">
        <w:t>attitude</w:t>
      </w:r>
      <w:r w:rsidR="00823F92">
        <w:t xml:space="preserve">s </w:t>
      </w:r>
      <w:r w:rsidR="004110C6">
        <w:t>require</w:t>
      </w:r>
      <w:r w:rsidR="00823F92">
        <w:t xml:space="preserve">d </w:t>
      </w:r>
      <w:r w:rsidR="004110C6">
        <w:t>t</w:t>
      </w:r>
      <w:r w:rsidR="00823F92">
        <w:t xml:space="preserve">o </w:t>
      </w:r>
      <w:r w:rsidR="004110C6">
        <w:t>improv</w:t>
      </w:r>
      <w:r w:rsidR="00823F92">
        <w:t xml:space="preserve">e </w:t>
      </w:r>
      <w:r w:rsidR="004110C6">
        <w:t>th</w:t>
      </w:r>
      <w:r w:rsidR="00823F92">
        <w:t xml:space="preserve">e </w:t>
      </w:r>
      <w:r w:rsidR="004110C6">
        <w:t>educationa</w:t>
      </w:r>
      <w:r w:rsidR="00823F92">
        <w:t xml:space="preserve">l </w:t>
      </w:r>
      <w:r w:rsidR="004110C6">
        <w:t>experienc</w:t>
      </w:r>
      <w:r w:rsidR="00823F92">
        <w:t xml:space="preserve">e </w:t>
      </w:r>
      <w:r w:rsidR="004110C6">
        <w:t>fo</w:t>
      </w:r>
      <w:r w:rsidR="00823F92">
        <w:t xml:space="preserve">r </w:t>
      </w:r>
      <w:r w:rsidR="004110C6">
        <w:t>students</w:t>
      </w:r>
      <w:r w:rsidR="00823F92">
        <w:t xml:space="preserve">. </w:t>
      </w:r>
    </w:p>
    <w:p w14:paraId="14E5A9B4" w14:textId="1D259DD9" w:rsidR="00494DD0" w:rsidRPr="00DE14F8" w:rsidRDefault="00494DD0" w:rsidP="00DE14F8">
      <w:pPr>
        <w:pStyle w:val="BodyText"/>
      </w:pPr>
      <w:r>
        <w:t>A</w:t>
      </w:r>
      <w:r w:rsidR="00823F92">
        <w:t xml:space="preserve">s </w:t>
      </w:r>
      <w:r>
        <w:t>a</w:t>
      </w:r>
      <w:r w:rsidR="00823F92">
        <w:t xml:space="preserve">n </w:t>
      </w:r>
      <w:r>
        <w:t>example</w:t>
      </w:r>
      <w:r w:rsidR="00823F92">
        <w:t xml:space="preserve">, </w:t>
      </w:r>
      <w:r w:rsidR="00D50FA7">
        <w:t>psychiatr</w:t>
      </w:r>
      <w:r w:rsidR="00823F92">
        <w:t xml:space="preserve">y </w:t>
      </w:r>
      <w:r w:rsidR="00D50FA7">
        <w:t>s</w:t>
      </w:r>
      <w:r w:rsidR="00D50FA7" w:rsidRPr="00D50FA7">
        <w:t>upervisor</w:t>
      </w:r>
      <w:r w:rsidR="00823F92" w:rsidRPr="00D50FA7">
        <w:t>s</w:t>
      </w:r>
      <w:r w:rsidR="00823F92">
        <w:t xml:space="preserve"> </w:t>
      </w:r>
      <w:r w:rsidR="00D50FA7" w:rsidRPr="00D50FA7">
        <w:t>repor</w:t>
      </w:r>
      <w:r w:rsidR="00823F92" w:rsidRPr="00D50FA7">
        <w:t>t</w:t>
      </w:r>
      <w:r w:rsidR="00823F92">
        <w:t xml:space="preserve"> </w:t>
      </w:r>
      <w:r w:rsidR="00D50FA7" w:rsidRPr="00D50FA7">
        <w:t>ther</w:t>
      </w:r>
      <w:r w:rsidR="00823F92" w:rsidRPr="00D50FA7">
        <w:t>e</w:t>
      </w:r>
      <w:r w:rsidR="00823F92">
        <w:t xml:space="preserve"> </w:t>
      </w:r>
      <w:r w:rsidR="00D50FA7" w:rsidRPr="00D50FA7">
        <w:t>ar</w:t>
      </w:r>
      <w:r w:rsidR="00823F92" w:rsidRPr="00D50FA7">
        <w:t>e</w:t>
      </w:r>
      <w:r w:rsidR="00823F92">
        <w:t xml:space="preserve"> </w:t>
      </w:r>
      <w:r w:rsidR="00D50FA7" w:rsidRPr="00D50FA7">
        <w:t>increasin</w:t>
      </w:r>
      <w:r w:rsidR="00823F92" w:rsidRPr="00D50FA7">
        <w:t>g</w:t>
      </w:r>
      <w:r w:rsidR="00823F92">
        <w:t xml:space="preserve"> </w:t>
      </w:r>
      <w:r w:rsidR="00D50FA7" w:rsidRPr="00D50FA7">
        <w:t>demand</w:t>
      </w:r>
      <w:r w:rsidR="00823F92" w:rsidRPr="00D50FA7">
        <w:t>s</w:t>
      </w:r>
      <w:r w:rsidR="00823F92">
        <w:t xml:space="preserve"> </w:t>
      </w:r>
      <w:r w:rsidR="00D50FA7" w:rsidRPr="00D50FA7">
        <w:t>o</w:t>
      </w:r>
      <w:r w:rsidR="00823F92" w:rsidRPr="00D50FA7">
        <w:t>n</w:t>
      </w:r>
      <w:r w:rsidR="00823F92">
        <w:t xml:space="preserve"> </w:t>
      </w:r>
      <w:r w:rsidR="00D50FA7" w:rsidRPr="00D50FA7">
        <w:t>the</w:t>
      </w:r>
      <w:r w:rsidR="00823F92" w:rsidRPr="00D50FA7">
        <w:t>m</w:t>
      </w:r>
      <w:r w:rsidR="00823F92">
        <w:t xml:space="preserve"> </w:t>
      </w:r>
      <w:r w:rsidR="00D50FA7" w:rsidRPr="00D50FA7">
        <w:t>fo</w:t>
      </w:r>
      <w:r w:rsidR="00823F92" w:rsidRPr="00D50FA7">
        <w:t>r</w:t>
      </w:r>
      <w:r w:rsidR="00823F92">
        <w:t xml:space="preserve"> </w:t>
      </w:r>
      <w:r w:rsidR="00D50FA7" w:rsidRPr="00D50FA7">
        <w:t>servic</w:t>
      </w:r>
      <w:r w:rsidR="00823F92" w:rsidRPr="00D50FA7">
        <w:t>e</w:t>
      </w:r>
      <w:r w:rsidR="00823F92">
        <w:t xml:space="preserve"> </w:t>
      </w:r>
      <w:r w:rsidR="00D50FA7" w:rsidRPr="00D50FA7">
        <w:t>deliver</w:t>
      </w:r>
      <w:r w:rsidR="00823F92" w:rsidRPr="00D50FA7">
        <w:t>y</w:t>
      </w:r>
      <w:r w:rsidR="00823F92">
        <w:t xml:space="preserve"> </w:t>
      </w:r>
      <w:r w:rsidR="00D50FA7" w:rsidRPr="00D50FA7">
        <w:t>whic</w:t>
      </w:r>
      <w:r w:rsidR="00823F92" w:rsidRPr="00D50FA7">
        <w:t>h</w:t>
      </w:r>
      <w:r w:rsidR="00823F92">
        <w:t xml:space="preserve"> </w:t>
      </w:r>
      <w:r w:rsidR="00D50FA7" w:rsidRPr="00D50FA7">
        <w:t>impact</w:t>
      </w:r>
      <w:r w:rsidR="00823F92" w:rsidRPr="00D50FA7">
        <w:t>s</w:t>
      </w:r>
      <w:r w:rsidR="00823F92">
        <w:t xml:space="preserve"> </w:t>
      </w:r>
      <w:r w:rsidR="00D50FA7" w:rsidRPr="00D50FA7">
        <w:t>o</w:t>
      </w:r>
      <w:r w:rsidR="00823F92" w:rsidRPr="00D50FA7">
        <w:t>n</w:t>
      </w:r>
      <w:r w:rsidR="00823F92">
        <w:t xml:space="preserve"> </w:t>
      </w:r>
      <w:r w:rsidR="00D50FA7" w:rsidRPr="00D50FA7">
        <w:t>thei</w:t>
      </w:r>
      <w:r w:rsidR="00823F92" w:rsidRPr="00D50FA7">
        <w:t>r</w:t>
      </w:r>
      <w:r w:rsidR="00823F92">
        <w:t xml:space="preserve"> </w:t>
      </w:r>
      <w:r w:rsidR="00D50FA7" w:rsidRPr="00D50FA7">
        <w:t>capacit</w:t>
      </w:r>
      <w:r w:rsidR="00823F92" w:rsidRPr="00D50FA7">
        <w:t>y</w:t>
      </w:r>
      <w:r w:rsidR="00823F92">
        <w:t xml:space="preserve"> </w:t>
      </w:r>
      <w:r w:rsidR="00D50FA7" w:rsidRPr="00D50FA7">
        <w:t>t</w:t>
      </w:r>
      <w:r w:rsidR="00823F92" w:rsidRPr="00D50FA7">
        <w:t>o</w:t>
      </w:r>
      <w:r w:rsidR="00823F92">
        <w:t xml:space="preserve"> </w:t>
      </w:r>
      <w:r w:rsidR="00D50FA7" w:rsidRPr="00D50FA7">
        <w:t>provid</w:t>
      </w:r>
      <w:r w:rsidR="00823F92" w:rsidRPr="00D50FA7">
        <w:t>e</w:t>
      </w:r>
      <w:r w:rsidR="00823F92">
        <w:t xml:space="preserve"> </w:t>
      </w:r>
      <w:r w:rsidR="00D50FA7" w:rsidRPr="00D50FA7">
        <w:t>appropriat</w:t>
      </w:r>
      <w:r w:rsidR="00823F92" w:rsidRPr="00D50FA7">
        <w:t>e</w:t>
      </w:r>
      <w:r w:rsidR="00823F92">
        <w:t xml:space="preserve"> </w:t>
      </w:r>
      <w:r w:rsidR="00D50FA7" w:rsidRPr="00D50FA7">
        <w:t>an</w:t>
      </w:r>
      <w:r w:rsidR="00823F92" w:rsidRPr="00D50FA7">
        <w:t>d</w:t>
      </w:r>
      <w:r w:rsidR="00823F92">
        <w:t xml:space="preserve"> </w:t>
      </w:r>
      <w:r w:rsidR="00D50FA7" w:rsidRPr="00D50FA7">
        <w:t>adequat</w:t>
      </w:r>
      <w:r w:rsidR="00823F92" w:rsidRPr="00D50FA7">
        <w:t>e</w:t>
      </w:r>
      <w:r w:rsidR="00823F92">
        <w:t xml:space="preserve"> </w:t>
      </w:r>
      <w:r w:rsidR="00D50FA7" w:rsidRPr="00D50FA7">
        <w:t>supervisio</w:t>
      </w:r>
      <w:r w:rsidR="00823F92" w:rsidRPr="00D50FA7">
        <w:t>n</w:t>
      </w:r>
      <w:r w:rsidR="00823F92">
        <w:t xml:space="preserve"> </w:t>
      </w:r>
      <w:r w:rsidR="00D50FA7" w:rsidRPr="00D50FA7">
        <w:t>t</w:t>
      </w:r>
      <w:r w:rsidR="00823F92" w:rsidRPr="00D50FA7">
        <w:t>o</w:t>
      </w:r>
      <w:r w:rsidR="00823F92">
        <w:t xml:space="preserve"> </w:t>
      </w:r>
      <w:r w:rsidR="00D50FA7" w:rsidRPr="00D50FA7">
        <w:t>mee</w:t>
      </w:r>
      <w:r w:rsidR="00823F92" w:rsidRPr="00D50FA7">
        <w:t>t</w:t>
      </w:r>
      <w:r w:rsidR="00823F92">
        <w:t xml:space="preserve"> </w:t>
      </w:r>
      <w:r w:rsidR="00D50FA7" w:rsidRPr="00D50FA7">
        <w:t>th</w:t>
      </w:r>
      <w:r w:rsidR="00823F92" w:rsidRPr="00D50FA7">
        <w:t>e</w:t>
      </w:r>
      <w:r w:rsidR="00823F92">
        <w:t xml:space="preserve"> </w:t>
      </w:r>
      <w:r w:rsidR="00D50FA7" w:rsidRPr="00D50FA7">
        <w:t>accreditatio</w:t>
      </w:r>
      <w:r w:rsidR="00823F92" w:rsidRPr="00D50FA7">
        <w:t>n</w:t>
      </w:r>
      <w:r w:rsidR="00823F92">
        <w:t xml:space="preserve"> </w:t>
      </w:r>
      <w:r w:rsidR="00D50FA7" w:rsidRPr="00D50FA7">
        <w:t>standard</w:t>
      </w:r>
      <w:r w:rsidR="00823F92" w:rsidRPr="00D50FA7">
        <w:t>s</w:t>
      </w:r>
      <w:r w:rsidR="00823F92">
        <w:t xml:space="preserve"> </w:t>
      </w:r>
      <w:r w:rsidR="00D50FA7" w:rsidRPr="00D50FA7">
        <w:t>o</w:t>
      </w:r>
      <w:r w:rsidR="00823F92" w:rsidRPr="00D50FA7">
        <w:t>f</w:t>
      </w:r>
      <w:r w:rsidR="00823F92">
        <w:t xml:space="preserve"> </w:t>
      </w:r>
      <w:r w:rsidR="00D50FA7" w:rsidRPr="00D50FA7">
        <w:t>th</w:t>
      </w:r>
      <w:r w:rsidR="00823F92" w:rsidRPr="00D50FA7">
        <w:t>e</w:t>
      </w:r>
      <w:r w:rsidR="00823F92">
        <w:t xml:space="preserve"> </w:t>
      </w:r>
      <w:r w:rsidR="00D50FA7" w:rsidRPr="00D50FA7">
        <w:t>RANZC</w:t>
      </w:r>
      <w:r w:rsidR="00823F92" w:rsidRPr="00D50FA7">
        <w:t>P</w:t>
      </w:r>
      <w:r w:rsidR="00823F92">
        <w:t xml:space="preserve"> </w:t>
      </w:r>
      <w:r w:rsidR="00D50FA7" w:rsidRPr="00D50FA7">
        <w:t>Fellowshi</w:t>
      </w:r>
      <w:r w:rsidR="00823F92" w:rsidRPr="00D50FA7">
        <w:t>p</w:t>
      </w:r>
      <w:r w:rsidR="00823F92">
        <w:t xml:space="preserve"> </w:t>
      </w:r>
      <w:r w:rsidR="00D50FA7" w:rsidRPr="00D50FA7">
        <w:t>program</w:t>
      </w:r>
      <w:r w:rsidR="00823F92" w:rsidRPr="00D50FA7">
        <w:t>.</w:t>
      </w:r>
      <w:r w:rsidR="00823F92">
        <w:t xml:space="preserve"> </w:t>
      </w:r>
      <w:r w:rsidR="00D50FA7" w:rsidRPr="00D50FA7">
        <w:t>Thi</w:t>
      </w:r>
      <w:r w:rsidR="00823F92" w:rsidRPr="00D50FA7">
        <w:t>s</w:t>
      </w:r>
      <w:r w:rsidR="00823F92">
        <w:t xml:space="preserve"> </w:t>
      </w:r>
      <w:r w:rsidR="00D50FA7" w:rsidRPr="00D50FA7">
        <w:t>i</w:t>
      </w:r>
      <w:r w:rsidR="00823F92" w:rsidRPr="00D50FA7">
        <w:t>s</w:t>
      </w:r>
      <w:r w:rsidR="00823F92">
        <w:t xml:space="preserve"> </w:t>
      </w:r>
      <w:r w:rsidR="00D50FA7" w:rsidRPr="00D50FA7">
        <w:t>havin</w:t>
      </w:r>
      <w:r w:rsidR="00823F92" w:rsidRPr="00D50FA7">
        <w:t>g</w:t>
      </w:r>
      <w:r w:rsidR="00823F92">
        <w:t xml:space="preserve"> </w:t>
      </w:r>
      <w:r w:rsidR="00D50FA7" w:rsidRPr="00D50FA7">
        <w:t>significan</w:t>
      </w:r>
      <w:r w:rsidR="00823F92" w:rsidRPr="00D50FA7">
        <w:t>t</w:t>
      </w:r>
      <w:r w:rsidR="00823F92">
        <w:t xml:space="preserve"> </w:t>
      </w:r>
      <w:r w:rsidR="00D50FA7" w:rsidRPr="00D50FA7">
        <w:t>flow-o</w:t>
      </w:r>
      <w:r w:rsidR="00823F92" w:rsidRPr="00D50FA7">
        <w:t>n</w:t>
      </w:r>
      <w:r w:rsidR="00823F92">
        <w:t xml:space="preserve"> </w:t>
      </w:r>
      <w:r w:rsidR="00D50FA7" w:rsidRPr="00D50FA7">
        <w:t>effect</w:t>
      </w:r>
      <w:r w:rsidR="00823F92" w:rsidRPr="00D50FA7">
        <w:t>s</w:t>
      </w:r>
      <w:r w:rsidR="00823F92">
        <w:t xml:space="preserve"> </w:t>
      </w:r>
      <w:r w:rsidR="00D50FA7" w:rsidRPr="00D50FA7">
        <w:t>o</w:t>
      </w:r>
      <w:r w:rsidR="00823F92" w:rsidRPr="00D50FA7">
        <w:t>n</w:t>
      </w:r>
      <w:r w:rsidR="00823F92">
        <w:t xml:space="preserve"> </w:t>
      </w:r>
      <w:r w:rsidR="00D50FA7" w:rsidRPr="00D50FA7">
        <w:t>th</w:t>
      </w:r>
      <w:r w:rsidR="00823F92" w:rsidRPr="00D50FA7">
        <w:t>e</w:t>
      </w:r>
      <w:r w:rsidR="00823F92">
        <w:t xml:space="preserve"> </w:t>
      </w:r>
      <w:r w:rsidR="00D50FA7" w:rsidRPr="00D50FA7">
        <w:t>menta</w:t>
      </w:r>
      <w:r w:rsidR="00823F92" w:rsidRPr="00D50FA7">
        <w:t>l</w:t>
      </w:r>
      <w:r w:rsidR="00823F92">
        <w:t xml:space="preserve"> </w:t>
      </w:r>
      <w:r w:rsidR="00D50FA7" w:rsidRPr="00D50FA7">
        <w:t>healt</w:t>
      </w:r>
      <w:r w:rsidR="00823F92" w:rsidRPr="00D50FA7">
        <w:t>h</w:t>
      </w:r>
      <w:r w:rsidR="00823F92">
        <w:t xml:space="preserve"> </w:t>
      </w:r>
      <w:r w:rsidR="00D50FA7" w:rsidRPr="00D50FA7">
        <w:t>an</w:t>
      </w:r>
      <w:r w:rsidR="00823F92" w:rsidRPr="00D50FA7">
        <w:t>d</w:t>
      </w:r>
      <w:r w:rsidR="00823F92">
        <w:t xml:space="preserve"> </w:t>
      </w:r>
      <w:r w:rsidR="00D50FA7" w:rsidRPr="00D50FA7">
        <w:t>resilienc</w:t>
      </w:r>
      <w:r w:rsidR="00823F92" w:rsidRPr="00D50FA7">
        <w:t>e</w:t>
      </w:r>
      <w:r w:rsidR="00823F92">
        <w:t xml:space="preserve"> </w:t>
      </w:r>
      <w:r w:rsidR="00D50FA7" w:rsidRPr="00D50FA7">
        <w:t>o</w:t>
      </w:r>
      <w:r w:rsidR="00823F92" w:rsidRPr="00D50FA7">
        <w:t>f</w:t>
      </w:r>
      <w:r w:rsidR="00823F92">
        <w:t xml:space="preserve"> </w:t>
      </w:r>
      <w:r w:rsidR="00D50FA7" w:rsidRPr="00D50FA7">
        <w:t>supervisor</w:t>
      </w:r>
      <w:r w:rsidR="00823F92" w:rsidRPr="00D50FA7">
        <w:t>s</w:t>
      </w:r>
      <w:r w:rsidR="00823F92">
        <w:t xml:space="preserve"> </w:t>
      </w:r>
      <w:r w:rsidR="00D50FA7" w:rsidRPr="00D50FA7">
        <w:t>a</w:t>
      </w:r>
      <w:r w:rsidR="00823F92" w:rsidRPr="00D50FA7">
        <w:t>s</w:t>
      </w:r>
      <w:r w:rsidR="00823F92">
        <w:t xml:space="preserve"> </w:t>
      </w:r>
      <w:r w:rsidR="00D50FA7" w:rsidRPr="00D50FA7">
        <w:t>wel</w:t>
      </w:r>
      <w:r w:rsidR="00823F92" w:rsidRPr="00D50FA7">
        <w:t>l</w:t>
      </w:r>
      <w:r w:rsidR="00823F92">
        <w:t xml:space="preserve"> </w:t>
      </w:r>
      <w:r w:rsidR="00D50FA7" w:rsidRPr="00D50FA7">
        <w:t>a</w:t>
      </w:r>
      <w:r w:rsidR="00823F92" w:rsidRPr="00D50FA7">
        <w:t>s</w:t>
      </w:r>
      <w:r w:rsidR="00823F92">
        <w:t xml:space="preserve"> </w:t>
      </w:r>
      <w:r w:rsidR="00D50FA7" w:rsidRPr="00D50FA7">
        <w:t>thei</w:t>
      </w:r>
      <w:r w:rsidR="00823F92" w:rsidRPr="00D50FA7">
        <w:t>r</w:t>
      </w:r>
      <w:r w:rsidR="00823F92">
        <w:t xml:space="preserve"> </w:t>
      </w:r>
      <w:r w:rsidR="00D50FA7" w:rsidRPr="00D50FA7">
        <w:t>capacit</w:t>
      </w:r>
      <w:r w:rsidR="00823F92" w:rsidRPr="00D50FA7">
        <w:t>y</w:t>
      </w:r>
      <w:r w:rsidR="00823F92">
        <w:t xml:space="preserve"> </w:t>
      </w:r>
      <w:r w:rsidR="00D50FA7" w:rsidRPr="00D50FA7">
        <w:t>t</w:t>
      </w:r>
      <w:r w:rsidR="00823F92" w:rsidRPr="00D50FA7">
        <w:t>o</w:t>
      </w:r>
      <w:r w:rsidR="00823F92">
        <w:t xml:space="preserve"> </w:t>
      </w:r>
      <w:r w:rsidR="00D50FA7" w:rsidRPr="00D50FA7">
        <w:t>undertak</w:t>
      </w:r>
      <w:r w:rsidR="00823F92" w:rsidRPr="00D50FA7">
        <w:t>e</w:t>
      </w:r>
      <w:r w:rsidR="00823F92">
        <w:t xml:space="preserve"> </w:t>
      </w:r>
      <w:r w:rsidR="00D50FA7" w:rsidRPr="00D50FA7">
        <w:t>trainin</w:t>
      </w:r>
      <w:r w:rsidR="00823F92" w:rsidRPr="00D50FA7">
        <w:t>g</w:t>
      </w:r>
      <w:r w:rsidR="00823F92">
        <w:t xml:space="preserve"> </w:t>
      </w:r>
      <w:r w:rsidR="00D50FA7" w:rsidRPr="00D50FA7">
        <w:t>t</w:t>
      </w:r>
      <w:r w:rsidR="00823F92" w:rsidRPr="00D50FA7">
        <w:t>o</w:t>
      </w:r>
      <w:r w:rsidR="00823F92">
        <w:t xml:space="preserve"> </w:t>
      </w:r>
      <w:r w:rsidR="00D50FA7" w:rsidRPr="00D50FA7">
        <w:t>enhanc</w:t>
      </w:r>
      <w:r w:rsidR="00823F92" w:rsidRPr="00D50FA7">
        <w:t>e</w:t>
      </w:r>
      <w:r w:rsidR="00823F92">
        <w:t xml:space="preserve"> </w:t>
      </w:r>
      <w:r w:rsidR="00D50FA7" w:rsidRPr="00D50FA7">
        <w:t>thei</w:t>
      </w:r>
      <w:r w:rsidR="00823F92" w:rsidRPr="00D50FA7">
        <w:t>r</w:t>
      </w:r>
      <w:r w:rsidR="00823F92">
        <w:t xml:space="preserve"> </w:t>
      </w:r>
      <w:r w:rsidR="00D50FA7" w:rsidRPr="00D50FA7">
        <w:t>supervision</w:t>
      </w:r>
      <w:r w:rsidR="00823F92" w:rsidRPr="00D50FA7">
        <w:t>.</w:t>
      </w:r>
      <w:r w:rsidR="00823F92">
        <w:t xml:space="preserve"> </w:t>
      </w:r>
    </w:p>
    <w:p w14:paraId="795C99B8" w14:textId="77D69BD4" w:rsidR="00453F15" w:rsidRDefault="006C164C" w:rsidP="009C64ED">
      <w:pPr>
        <w:pStyle w:val="Heading2"/>
      </w:pPr>
      <w:bookmarkStart w:id="21" w:name="_Toc99018993"/>
      <w:r>
        <w:t>Workforc</w:t>
      </w:r>
      <w:r w:rsidR="00823F92">
        <w:t xml:space="preserve">e </w:t>
      </w:r>
      <w:r>
        <w:t>r</w:t>
      </w:r>
      <w:r w:rsidR="00453F15">
        <w:t>etention</w:t>
      </w:r>
      <w:bookmarkEnd w:id="21"/>
    </w:p>
    <w:p w14:paraId="79FB6F3F" w14:textId="56B1911C" w:rsidR="00453F15" w:rsidRPr="000E25B1" w:rsidRDefault="00453F15" w:rsidP="008D57D0">
      <w:pPr>
        <w:pStyle w:val="Heading3nonumber"/>
        <w:keepNext/>
      </w:pPr>
      <w:r w:rsidRPr="000E25B1">
        <w:t>Negativ</w:t>
      </w:r>
      <w:r w:rsidR="00823F92" w:rsidRPr="000E25B1">
        <w:t>e</w:t>
      </w:r>
      <w:r w:rsidR="00823F92">
        <w:t xml:space="preserve"> </w:t>
      </w:r>
      <w:r w:rsidRPr="000E25B1">
        <w:t>perceptions</w:t>
      </w:r>
    </w:p>
    <w:p w14:paraId="3DE7C79C" w14:textId="581217AF" w:rsidR="00453F15" w:rsidRDefault="00453F15" w:rsidP="007F29E7">
      <w:pPr>
        <w:pStyle w:val="BodyText"/>
      </w:pPr>
      <w:r w:rsidRPr="006C4490">
        <w:t>Negativ</w:t>
      </w:r>
      <w:r w:rsidR="00823F92" w:rsidRPr="006C4490">
        <w:t>e</w:t>
      </w:r>
      <w:r w:rsidR="00823F92">
        <w:t xml:space="preserve"> </w:t>
      </w:r>
      <w:r w:rsidRPr="006C4490">
        <w:t>perception</w:t>
      </w:r>
      <w:r w:rsidR="00823F92" w:rsidRPr="006C4490">
        <w:t>s</w:t>
      </w:r>
      <w:r w:rsidR="00823F92">
        <w:t xml:space="preserve"> </w:t>
      </w:r>
      <w:r w:rsidRPr="006C4490">
        <w:t>o</w:t>
      </w:r>
      <w:r w:rsidR="00823F92" w:rsidRPr="006C4490">
        <w:t>f</w:t>
      </w:r>
      <w:r w:rsidR="00823F92">
        <w:t xml:space="preserve"> </w:t>
      </w:r>
      <w:r w:rsidRPr="006C4490">
        <w:t>th</w:t>
      </w:r>
      <w:r w:rsidR="00823F92" w:rsidRPr="006C4490">
        <w:t>e</w:t>
      </w:r>
      <w:r w:rsidR="00823F92">
        <w:t xml:space="preserve"> </w:t>
      </w:r>
      <w:r w:rsidRPr="006C4490">
        <w:t>menta</w:t>
      </w:r>
      <w:r w:rsidR="00823F92" w:rsidRPr="006C4490">
        <w:t>l</w:t>
      </w:r>
      <w:r w:rsidR="00823F92">
        <w:t xml:space="preserve"> </w:t>
      </w:r>
      <w:r w:rsidRPr="006C4490">
        <w:t>healt</w:t>
      </w:r>
      <w:r w:rsidR="00823F92" w:rsidRPr="006C4490">
        <w:t>h</w:t>
      </w:r>
      <w:r w:rsidR="00823F92">
        <w:t xml:space="preserve"> </w:t>
      </w:r>
      <w:r w:rsidRPr="006C4490">
        <w:t>secto</w:t>
      </w:r>
      <w:r w:rsidR="00823F92" w:rsidRPr="006C4490">
        <w:t>r</w:t>
      </w:r>
      <w:r w:rsidR="00823F92">
        <w:t xml:space="preserve"> </w:t>
      </w:r>
      <w:r>
        <w:t>acros</w:t>
      </w:r>
      <w:r w:rsidR="00823F92">
        <w:t xml:space="preserve">s </w:t>
      </w:r>
      <w:r>
        <w:t>th</w:t>
      </w:r>
      <w:r w:rsidR="00823F92">
        <w:t xml:space="preserve">e </w:t>
      </w:r>
      <w:r>
        <w:t>communit</w:t>
      </w:r>
      <w:r w:rsidR="00823F92">
        <w:t xml:space="preserve">y </w:t>
      </w:r>
      <w:r>
        <w:t>broadl</w:t>
      </w:r>
      <w:r w:rsidR="00823F92">
        <w:t xml:space="preserve">y </w:t>
      </w:r>
      <w:r>
        <w:t>ar</w:t>
      </w:r>
      <w:r w:rsidR="00823F92">
        <w:t xml:space="preserve">e </w:t>
      </w:r>
      <w:r>
        <w:t>reinforce</w:t>
      </w:r>
      <w:r w:rsidR="00823F92">
        <w:t xml:space="preserve">d </w:t>
      </w:r>
      <w:r>
        <w:t>i</w:t>
      </w:r>
      <w:r w:rsidR="00823F92">
        <w:t xml:space="preserve">f </w:t>
      </w:r>
      <w:r>
        <w:t>student</w:t>
      </w:r>
      <w:r w:rsidR="00823F92">
        <w:t xml:space="preserve">s </w:t>
      </w:r>
      <w:r>
        <w:t>i</w:t>
      </w:r>
      <w:r w:rsidR="00823F92">
        <w:t xml:space="preserve">n </w:t>
      </w:r>
      <w:r>
        <w:t>pre-servic</w:t>
      </w:r>
      <w:r w:rsidR="00823F92">
        <w:t xml:space="preserve">e </w:t>
      </w:r>
      <w:r>
        <w:t>trainin</w:t>
      </w:r>
      <w:r w:rsidR="00823F92">
        <w:t xml:space="preserve">g </w:t>
      </w:r>
      <w:r>
        <w:t>experienc</w:t>
      </w:r>
      <w:r w:rsidR="00823F92">
        <w:t xml:space="preserve">e </w:t>
      </w:r>
      <w:r w:rsidRPr="006C4490">
        <w:t>poo</w:t>
      </w:r>
      <w:r w:rsidR="00823F92" w:rsidRPr="006C4490">
        <w:t>r</w:t>
      </w:r>
      <w:r w:rsidR="00823F92">
        <w:t xml:space="preserve"> </w:t>
      </w:r>
      <w:r w:rsidRPr="006C4490">
        <w:t>qualit</w:t>
      </w:r>
      <w:r w:rsidR="00823F92" w:rsidRPr="006C4490">
        <w:t>y</w:t>
      </w:r>
      <w:r w:rsidR="00823F92">
        <w:t xml:space="preserve"> </w:t>
      </w:r>
      <w:r w:rsidRPr="006C4490">
        <w:t>placements</w:t>
      </w:r>
      <w:r w:rsidR="00823F92">
        <w:t xml:space="preserve">. </w:t>
      </w:r>
    </w:p>
    <w:p w14:paraId="18AD2D99" w14:textId="0BA55EE5" w:rsidR="00453F15" w:rsidRDefault="00453F15" w:rsidP="007F29E7">
      <w:pPr>
        <w:pStyle w:val="BodyText"/>
      </w:pPr>
      <w:r>
        <w:t>Beyon</w:t>
      </w:r>
      <w:r w:rsidR="00823F92">
        <w:t xml:space="preserve">d </w:t>
      </w:r>
      <w:r>
        <w:t>th</w:t>
      </w:r>
      <w:r w:rsidR="00823F92">
        <w:t xml:space="preserve">e </w:t>
      </w:r>
      <w:r>
        <w:t>pre-servic</w:t>
      </w:r>
      <w:r w:rsidR="00823F92">
        <w:t xml:space="preserve">e </w:t>
      </w:r>
      <w:r>
        <w:t>experiences</w:t>
      </w:r>
      <w:r w:rsidR="00823F92">
        <w:t xml:space="preserve">, </w:t>
      </w:r>
      <w:r>
        <w:t>ther</w:t>
      </w:r>
      <w:r w:rsidR="00823F92">
        <w:t xml:space="preserve">e </w:t>
      </w:r>
      <w:r>
        <w:t>ar</w:t>
      </w:r>
      <w:r w:rsidR="00823F92">
        <w:t xml:space="preserve">e </w:t>
      </w:r>
      <w:r>
        <w:t>othe</w:t>
      </w:r>
      <w:r w:rsidR="00823F92">
        <w:t xml:space="preserve">r </w:t>
      </w:r>
      <w:r>
        <w:t>factor</w:t>
      </w:r>
      <w:r w:rsidR="00823F92">
        <w:t xml:space="preserve">s </w:t>
      </w:r>
      <w:r>
        <w:t>tha</w:t>
      </w:r>
      <w:r w:rsidR="00823F92">
        <w:t xml:space="preserve">t </w:t>
      </w:r>
      <w:r>
        <w:t>driv</w:t>
      </w:r>
      <w:r w:rsidR="00823F92">
        <w:t xml:space="preserve">e </w:t>
      </w:r>
      <w:r>
        <w:t>negativ</w:t>
      </w:r>
      <w:r w:rsidR="00823F92">
        <w:t xml:space="preserve">e </w:t>
      </w:r>
      <w:r>
        <w:t>perceptions</w:t>
      </w:r>
      <w:r w:rsidR="00823F92">
        <w:t xml:space="preserve">. </w:t>
      </w:r>
      <w:r>
        <w:t>Menta</w:t>
      </w:r>
      <w:r w:rsidR="00823F92">
        <w:t xml:space="preserve">l </w:t>
      </w:r>
      <w:r>
        <w:t>healt</w:t>
      </w:r>
      <w:r w:rsidR="00823F92">
        <w:t xml:space="preserve">h </w:t>
      </w:r>
      <w:r>
        <w:t>i</w:t>
      </w:r>
      <w:r w:rsidR="00823F92">
        <w:t xml:space="preserve">s </w:t>
      </w:r>
      <w:r w:rsidR="00641A90">
        <w:t>ofte</w:t>
      </w:r>
      <w:r w:rsidR="00823F92">
        <w:t xml:space="preserve">n </w:t>
      </w:r>
      <w:r>
        <w:t>see</w:t>
      </w:r>
      <w:r w:rsidR="00823F92">
        <w:t xml:space="preserve">n </w:t>
      </w:r>
      <w:r>
        <w:t>t</w:t>
      </w:r>
      <w:r w:rsidR="00823F92">
        <w:t xml:space="preserve">o </w:t>
      </w:r>
      <w:r>
        <w:t>b</w:t>
      </w:r>
      <w:r w:rsidR="00823F92">
        <w:t xml:space="preserve">e </w:t>
      </w:r>
      <w:r>
        <w:t>les</w:t>
      </w:r>
      <w:r w:rsidR="00823F92">
        <w:t xml:space="preserve">s </w:t>
      </w:r>
      <w:r>
        <w:t>prestigiou</w:t>
      </w:r>
      <w:r w:rsidR="00823F92">
        <w:t xml:space="preserve">s </w:t>
      </w:r>
      <w:r>
        <w:t>tha</w:t>
      </w:r>
      <w:r w:rsidR="00823F92">
        <w:t xml:space="preserve">n </w:t>
      </w:r>
      <w:r>
        <w:t>othe</w:t>
      </w:r>
      <w:r w:rsidR="00823F92">
        <w:t xml:space="preserve">r </w:t>
      </w:r>
      <w:r>
        <w:t>healt</w:t>
      </w:r>
      <w:r w:rsidR="00823F92">
        <w:t xml:space="preserve">h </w:t>
      </w:r>
      <w:r w:rsidR="00F16EF2">
        <w:t>settings</w:t>
      </w:r>
      <w:r w:rsidR="00823F92">
        <w:t xml:space="preserve">. </w:t>
      </w:r>
      <w:r>
        <w:t>Th</w:t>
      </w:r>
      <w:r w:rsidR="00823F92">
        <w:t xml:space="preserve">e </w:t>
      </w:r>
      <w:r>
        <w:t>ongoin</w:t>
      </w:r>
      <w:r w:rsidR="00823F92">
        <w:t xml:space="preserve">g </w:t>
      </w:r>
      <w:r>
        <w:t>stigm</w:t>
      </w:r>
      <w:r w:rsidR="00823F92">
        <w:t xml:space="preserve">a </w:t>
      </w:r>
      <w:r>
        <w:t>relatin</w:t>
      </w:r>
      <w:r w:rsidR="00823F92">
        <w:t xml:space="preserve">g </w:t>
      </w:r>
      <w:r>
        <w:t>t</w:t>
      </w:r>
      <w:r w:rsidR="00823F92">
        <w:t xml:space="preserve">o </w:t>
      </w:r>
      <w:r>
        <w:t>menta</w:t>
      </w:r>
      <w:r w:rsidR="00823F92">
        <w:t xml:space="preserve">l </w:t>
      </w:r>
      <w:r>
        <w:t>healt</w:t>
      </w:r>
      <w:r w:rsidR="00823F92">
        <w:t xml:space="preserve">h </w:t>
      </w:r>
      <w:r>
        <w:t>impact</w:t>
      </w:r>
      <w:r w:rsidR="00823F92">
        <w:t xml:space="preserve">s </w:t>
      </w:r>
      <w:r>
        <w:t>no</w:t>
      </w:r>
      <w:r w:rsidR="00823F92">
        <w:t xml:space="preserve">t </w:t>
      </w:r>
      <w:r>
        <w:t>jus</w:t>
      </w:r>
      <w:r w:rsidR="00823F92">
        <w:t xml:space="preserve">t </w:t>
      </w:r>
      <w:r>
        <w:t>o</w:t>
      </w:r>
      <w:r w:rsidR="00823F92">
        <w:t xml:space="preserve">n </w:t>
      </w:r>
      <w:r>
        <w:t>attitude</w:t>
      </w:r>
      <w:r w:rsidR="00823F92">
        <w:t xml:space="preserve">s </w:t>
      </w:r>
      <w:r>
        <w:t>towar</w:t>
      </w:r>
      <w:r w:rsidR="00823F92">
        <w:t xml:space="preserve">d </w:t>
      </w:r>
      <w:r>
        <w:t>consumer</w:t>
      </w:r>
      <w:r w:rsidR="00823F92">
        <w:t xml:space="preserve">s </w:t>
      </w:r>
      <w:r>
        <w:t>an</w:t>
      </w:r>
      <w:r w:rsidR="00823F92">
        <w:t xml:space="preserve">d </w:t>
      </w:r>
      <w:r>
        <w:t>carers</w:t>
      </w:r>
      <w:r w:rsidR="00823F92">
        <w:t xml:space="preserve">, </w:t>
      </w:r>
      <w:r>
        <w:t>bu</w:t>
      </w:r>
      <w:r w:rsidR="00823F92">
        <w:t xml:space="preserve">t </w:t>
      </w:r>
      <w:r>
        <w:t>als</w:t>
      </w:r>
      <w:r w:rsidR="00823F92">
        <w:t xml:space="preserve">o </w:t>
      </w:r>
      <w:r>
        <w:t>graduates’ willingnes</w:t>
      </w:r>
      <w:r w:rsidR="00823F92">
        <w:t xml:space="preserve">s </w:t>
      </w:r>
      <w:r>
        <w:t>t</w:t>
      </w:r>
      <w:r w:rsidR="00823F92">
        <w:t xml:space="preserve">o </w:t>
      </w:r>
      <w:r>
        <w:t>wor</w:t>
      </w:r>
      <w:r w:rsidR="00823F92">
        <w:t xml:space="preserve">k </w:t>
      </w:r>
      <w:r>
        <w:t>i</w:t>
      </w:r>
      <w:r w:rsidR="00823F92">
        <w:t xml:space="preserve">n </w:t>
      </w:r>
      <w:r>
        <w:t>th</w:t>
      </w:r>
      <w:r w:rsidR="00823F92">
        <w:t xml:space="preserve">e </w:t>
      </w:r>
      <w:r>
        <w:t>sector</w:t>
      </w:r>
      <w:r w:rsidR="00823F92">
        <w:t xml:space="preserve">. </w:t>
      </w:r>
    </w:p>
    <w:p w14:paraId="7FE19218" w14:textId="78117F63" w:rsidR="00453F15" w:rsidRDefault="00453F15" w:rsidP="007F29E7">
      <w:pPr>
        <w:pStyle w:val="BodyText"/>
      </w:pPr>
      <w:r>
        <w:t>Observation</w:t>
      </w:r>
      <w:r w:rsidR="00823F92">
        <w:t xml:space="preserve">s </w:t>
      </w:r>
      <w:r>
        <w:t>o</w:t>
      </w:r>
      <w:r w:rsidR="00823F92">
        <w:t xml:space="preserve">f </w:t>
      </w:r>
      <w:r>
        <w:t>under-resourcin</w:t>
      </w:r>
      <w:r w:rsidR="00823F92">
        <w:t xml:space="preserve">g </w:t>
      </w:r>
      <w:r>
        <w:t>an</w:t>
      </w:r>
      <w:r w:rsidR="00823F92">
        <w:t xml:space="preserve">d </w:t>
      </w:r>
      <w:r>
        <w:t>overwork</w:t>
      </w:r>
      <w:r w:rsidR="00823F92">
        <w:t xml:space="preserve">, </w:t>
      </w:r>
      <w:r>
        <w:t>particularl</w:t>
      </w:r>
      <w:r w:rsidR="00823F92">
        <w:t xml:space="preserve">y </w:t>
      </w:r>
      <w:r>
        <w:t>i</w:t>
      </w:r>
      <w:r w:rsidR="00823F92">
        <w:t xml:space="preserve">n </w:t>
      </w:r>
      <w:r>
        <w:t>publi</w:t>
      </w:r>
      <w:r w:rsidR="00823F92">
        <w:t xml:space="preserve">c </w:t>
      </w:r>
      <w:r>
        <w:t>settings</w:t>
      </w:r>
      <w:r w:rsidR="00823F92">
        <w:t xml:space="preserve">, </w:t>
      </w:r>
      <w:r>
        <w:t>mak</w:t>
      </w:r>
      <w:r w:rsidR="00823F92">
        <w:t xml:space="preserve">e </w:t>
      </w:r>
      <w:r>
        <w:t>menta</w:t>
      </w:r>
      <w:r w:rsidR="00823F92">
        <w:t xml:space="preserve">l </w:t>
      </w:r>
      <w:r>
        <w:t>healt</w:t>
      </w:r>
      <w:r w:rsidR="00823F92">
        <w:t xml:space="preserve">h </w:t>
      </w:r>
      <w:r>
        <w:t>role</w:t>
      </w:r>
      <w:r w:rsidR="00823F92">
        <w:t xml:space="preserve">s </w:t>
      </w:r>
      <w:r>
        <w:t>unappealin</w:t>
      </w:r>
      <w:r w:rsidR="00823F92">
        <w:t xml:space="preserve">g </w:t>
      </w:r>
      <w:r>
        <w:t>whe</w:t>
      </w:r>
      <w:r w:rsidR="00823F92">
        <w:t xml:space="preserve">n </w:t>
      </w:r>
      <w:r>
        <w:t>othe</w:t>
      </w:r>
      <w:r w:rsidR="00823F92">
        <w:t xml:space="preserve">r </w:t>
      </w:r>
      <w:r>
        <w:t>sector</w:t>
      </w:r>
      <w:r w:rsidR="00823F92">
        <w:t xml:space="preserve">s </w:t>
      </w:r>
      <w:r>
        <w:t>ma</w:t>
      </w:r>
      <w:r w:rsidR="00823F92">
        <w:t xml:space="preserve">y </w:t>
      </w:r>
      <w:r>
        <w:t>hav</w:t>
      </w:r>
      <w:r w:rsidR="00823F92">
        <w:t xml:space="preserve">e </w:t>
      </w:r>
      <w:r>
        <w:t>bette</w:t>
      </w:r>
      <w:r w:rsidR="00823F92">
        <w:t xml:space="preserve">r </w:t>
      </w:r>
      <w:r>
        <w:t>conditions</w:t>
      </w:r>
      <w:r w:rsidR="00823F92">
        <w:t xml:space="preserve">. </w:t>
      </w:r>
      <w:r w:rsidR="001C3D74" w:rsidRPr="001C3D74">
        <w:t>Unsuitabl</w:t>
      </w:r>
      <w:r w:rsidR="00823F92" w:rsidRPr="001C3D74">
        <w:t>e</w:t>
      </w:r>
      <w:r w:rsidR="00823F92">
        <w:t xml:space="preserve"> </w:t>
      </w:r>
      <w:r w:rsidR="001C3D74" w:rsidRPr="001C3D74">
        <w:t>physica</w:t>
      </w:r>
      <w:r w:rsidR="00823F92" w:rsidRPr="001C3D74">
        <w:t>l</w:t>
      </w:r>
      <w:r w:rsidR="00823F92">
        <w:t xml:space="preserve"> </w:t>
      </w:r>
      <w:r w:rsidR="001C3D74" w:rsidRPr="001C3D74">
        <w:t>infrastructur</w:t>
      </w:r>
      <w:r w:rsidR="00823F92" w:rsidRPr="001C3D74">
        <w:t>e</w:t>
      </w:r>
      <w:r w:rsidR="00823F92">
        <w:t xml:space="preserve"> </w:t>
      </w:r>
      <w:r w:rsidR="001C3D74" w:rsidRPr="001C3D74">
        <w:t>ca</w:t>
      </w:r>
      <w:r w:rsidR="00823F92" w:rsidRPr="001C3D74">
        <w:t>n</w:t>
      </w:r>
      <w:r w:rsidR="00823F92">
        <w:t xml:space="preserve"> </w:t>
      </w:r>
      <w:r w:rsidR="001C3D74" w:rsidRPr="001C3D74">
        <w:t>limi</w:t>
      </w:r>
      <w:r w:rsidR="00823F92" w:rsidRPr="001C3D74">
        <w:t>t</w:t>
      </w:r>
      <w:r w:rsidR="00823F92">
        <w:t xml:space="preserve"> </w:t>
      </w:r>
      <w:r w:rsidR="001C3D74" w:rsidRPr="001C3D74">
        <w:t>th</w:t>
      </w:r>
      <w:r w:rsidR="00823F92" w:rsidRPr="001C3D74">
        <w:t>e</w:t>
      </w:r>
      <w:r w:rsidR="00823F92">
        <w:t xml:space="preserve"> </w:t>
      </w:r>
      <w:r w:rsidR="001C3D74" w:rsidRPr="001C3D74">
        <w:t>wa</w:t>
      </w:r>
      <w:r w:rsidR="00823F92" w:rsidRPr="001C3D74">
        <w:t>y</w:t>
      </w:r>
      <w:r w:rsidR="00823F92">
        <w:t xml:space="preserve"> </w:t>
      </w:r>
      <w:r w:rsidR="001C3D74" w:rsidRPr="001C3D74">
        <w:t>i</w:t>
      </w:r>
      <w:r w:rsidR="00823F92" w:rsidRPr="001C3D74">
        <w:t>n</w:t>
      </w:r>
      <w:r w:rsidR="00823F92">
        <w:t xml:space="preserve"> </w:t>
      </w:r>
      <w:r w:rsidR="001C3D74" w:rsidRPr="001C3D74">
        <w:t>whic</w:t>
      </w:r>
      <w:r w:rsidR="00823F92" w:rsidRPr="001C3D74">
        <w:t>h</w:t>
      </w:r>
      <w:r w:rsidR="00823F92">
        <w:t xml:space="preserve"> </w:t>
      </w:r>
      <w:r w:rsidR="001C3D74" w:rsidRPr="001C3D74">
        <w:t>suppor</w:t>
      </w:r>
      <w:r w:rsidR="00823F92" w:rsidRPr="001C3D74">
        <w:t>t</w:t>
      </w:r>
      <w:r w:rsidR="00823F92">
        <w:t xml:space="preserve"> </w:t>
      </w:r>
      <w:r w:rsidR="001C3D74" w:rsidRPr="001C3D74">
        <w:t>an</w:t>
      </w:r>
      <w:r w:rsidR="00823F92" w:rsidRPr="001C3D74">
        <w:t>d</w:t>
      </w:r>
      <w:r w:rsidR="00823F92">
        <w:t xml:space="preserve"> </w:t>
      </w:r>
      <w:r w:rsidR="001C3D74" w:rsidRPr="001C3D74">
        <w:t>treatmen</w:t>
      </w:r>
      <w:r w:rsidR="00823F92" w:rsidRPr="001C3D74">
        <w:t>t</w:t>
      </w:r>
      <w:r w:rsidR="00823F92">
        <w:t xml:space="preserve"> </w:t>
      </w:r>
      <w:r w:rsidR="001C3D74" w:rsidRPr="001C3D74">
        <w:t>ar</w:t>
      </w:r>
      <w:r w:rsidR="00823F92" w:rsidRPr="001C3D74">
        <w:t>e</w:t>
      </w:r>
      <w:r w:rsidR="00823F92">
        <w:t xml:space="preserve"> </w:t>
      </w:r>
      <w:r w:rsidR="001C3D74" w:rsidRPr="001C3D74">
        <w:t>provided</w:t>
      </w:r>
      <w:r w:rsidR="00823F92" w:rsidRPr="001C3D74">
        <w:t>,</w:t>
      </w:r>
      <w:r w:rsidR="00823F92">
        <w:t xml:space="preserve"> </w:t>
      </w:r>
      <w:r w:rsidR="001C3D74" w:rsidRPr="001C3D74">
        <w:t>particularl</w:t>
      </w:r>
      <w:r w:rsidR="00823F92" w:rsidRPr="001C3D74">
        <w:t>y</w:t>
      </w:r>
      <w:r w:rsidR="00823F92">
        <w:t xml:space="preserve"> </w:t>
      </w:r>
      <w:r w:rsidR="001C3D74" w:rsidRPr="001C3D74">
        <w:t>i</w:t>
      </w:r>
      <w:r w:rsidR="00823F92" w:rsidRPr="001C3D74">
        <w:t>n</w:t>
      </w:r>
      <w:r w:rsidR="00823F92">
        <w:t xml:space="preserve"> </w:t>
      </w:r>
      <w:r w:rsidR="001C3D74" w:rsidRPr="001C3D74">
        <w:t>rura</w:t>
      </w:r>
      <w:r w:rsidR="00823F92" w:rsidRPr="001C3D74">
        <w:t>l</w:t>
      </w:r>
      <w:r w:rsidR="00823F92">
        <w:t xml:space="preserve"> </w:t>
      </w:r>
      <w:r w:rsidR="001C3D74" w:rsidRPr="001C3D74">
        <w:t>communities</w:t>
      </w:r>
      <w:r w:rsidR="00823F92" w:rsidRPr="001C3D74">
        <w:t>.</w:t>
      </w:r>
      <w:r w:rsidR="00823F92">
        <w:t xml:space="preserve"> </w:t>
      </w:r>
      <w:r w:rsidR="001C3D74" w:rsidRPr="001C3D74">
        <w:t>Thes</w:t>
      </w:r>
      <w:r w:rsidR="00823F92" w:rsidRPr="001C3D74">
        <w:t>e</w:t>
      </w:r>
      <w:r w:rsidR="00823F92">
        <w:t xml:space="preserve"> </w:t>
      </w:r>
      <w:r w:rsidR="001C3D74" w:rsidRPr="001C3D74">
        <w:t>issue</w:t>
      </w:r>
      <w:r w:rsidR="00823F92" w:rsidRPr="001C3D74">
        <w:t>s</w:t>
      </w:r>
      <w:r w:rsidR="00823F92">
        <w:t xml:space="preserve"> </w:t>
      </w:r>
      <w:r w:rsidR="001C3D74" w:rsidRPr="001C3D74">
        <w:t>ar</w:t>
      </w:r>
      <w:r w:rsidR="00823F92" w:rsidRPr="001C3D74">
        <w:t>e</w:t>
      </w:r>
      <w:r w:rsidR="00823F92">
        <w:t xml:space="preserve"> </w:t>
      </w:r>
      <w:r w:rsidR="001C3D74" w:rsidRPr="001C3D74">
        <w:t>no</w:t>
      </w:r>
      <w:r w:rsidR="00823F92" w:rsidRPr="001C3D74">
        <w:t>t</w:t>
      </w:r>
      <w:r w:rsidR="00823F92">
        <w:t xml:space="preserve"> </w:t>
      </w:r>
      <w:r w:rsidR="001C3D74" w:rsidRPr="001C3D74">
        <w:t>experience</w:t>
      </w:r>
      <w:r w:rsidR="00823F92" w:rsidRPr="001C3D74">
        <w:t>d</w:t>
      </w:r>
      <w:r w:rsidR="00823F92">
        <w:t xml:space="preserve"> </w:t>
      </w:r>
      <w:r w:rsidR="001C3D74" w:rsidRPr="001C3D74">
        <w:t>universall</w:t>
      </w:r>
      <w:r w:rsidR="00823F92" w:rsidRPr="001C3D74">
        <w:t>y</w:t>
      </w:r>
      <w:r w:rsidR="00823F92">
        <w:t xml:space="preserve"> </w:t>
      </w:r>
      <w:r w:rsidR="001C3D74" w:rsidRPr="001C3D74">
        <w:t>acros</w:t>
      </w:r>
      <w:r w:rsidR="00823F92" w:rsidRPr="001C3D74">
        <w:t>s</w:t>
      </w:r>
      <w:r w:rsidR="00823F92">
        <w:t xml:space="preserve"> </w:t>
      </w:r>
      <w:r w:rsidR="001C3D74" w:rsidRPr="001C3D74">
        <w:t>settings</w:t>
      </w:r>
      <w:r w:rsidR="00823F92" w:rsidRPr="001C3D74">
        <w:t>,</w:t>
      </w:r>
      <w:r w:rsidR="00823F92">
        <w:t xml:space="preserve"> </w:t>
      </w:r>
      <w:r w:rsidR="001C3D74" w:rsidRPr="001C3D74">
        <w:t>no</w:t>
      </w:r>
      <w:r w:rsidR="00823F92" w:rsidRPr="001C3D74">
        <w:t>r</w:t>
      </w:r>
      <w:r w:rsidR="00823F92">
        <w:t xml:space="preserve"> </w:t>
      </w:r>
      <w:r w:rsidR="001C3D74" w:rsidRPr="001C3D74">
        <w:t>ar</w:t>
      </w:r>
      <w:r w:rsidR="00823F92" w:rsidRPr="001C3D74">
        <w:t>e</w:t>
      </w:r>
      <w:r w:rsidR="00823F92">
        <w:t xml:space="preserve"> </w:t>
      </w:r>
      <w:r w:rsidR="001C3D74" w:rsidRPr="001C3D74">
        <w:t>the</w:t>
      </w:r>
      <w:r w:rsidR="00823F92" w:rsidRPr="001C3D74">
        <w:t>y</w:t>
      </w:r>
      <w:r w:rsidR="00823F92">
        <w:t xml:space="preserve"> </w:t>
      </w:r>
      <w:r w:rsidR="001C3D74" w:rsidRPr="001C3D74">
        <w:t>uniqu</w:t>
      </w:r>
      <w:r w:rsidR="00823F92" w:rsidRPr="001C3D74">
        <w:t>e</w:t>
      </w:r>
      <w:r w:rsidR="00823F92">
        <w:t xml:space="preserve"> </w:t>
      </w:r>
      <w:r w:rsidR="001C3D74" w:rsidRPr="001C3D74">
        <w:t>t</w:t>
      </w:r>
      <w:r w:rsidR="00823F92" w:rsidRPr="001C3D74">
        <w:t>o</w:t>
      </w:r>
      <w:r w:rsidR="00823F92">
        <w:t xml:space="preserve"> </w:t>
      </w:r>
      <w:r w:rsidR="001C3D74" w:rsidRPr="001C3D74">
        <w:t>th</w:t>
      </w:r>
      <w:r w:rsidR="00823F92" w:rsidRPr="001C3D74">
        <w:t>e</w:t>
      </w:r>
      <w:r w:rsidR="00823F92">
        <w:t xml:space="preserve"> </w:t>
      </w:r>
      <w:r w:rsidR="001C3D74" w:rsidRPr="001C3D74">
        <w:t>menta</w:t>
      </w:r>
      <w:r w:rsidR="00823F92" w:rsidRPr="001C3D74">
        <w:t>l</w:t>
      </w:r>
      <w:r w:rsidR="00823F92">
        <w:t xml:space="preserve"> </w:t>
      </w:r>
      <w:r w:rsidR="001C3D74" w:rsidRPr="001C3D74">
        <w:t>healt</w:t>
      </w:r>
      <w:r w:rsidR="00823F92" w:rsidRPr="001C3D74">
        <w:t>h</w:t>
      </w:r>
      <w:r w:rsidR="00823F92">
        <w:t xml:space="preserve"> </w:t>
      </w:r>
      <w:r w:rsidR="001C3D74" w:rsidRPr="001C3D74">
        <w:t>sector</w:t>
      </w:r>
      <w:r w:rsidR="00823F92" w:rsidRPr="001C3D74">
        <w:t>,</w:t>
      </w:r>
      <w:r w:rsidR="00823F92">
        <w:t xml:space="preserve"> </w:t>
      </w:r>
      <w:r w:rsidR="001C3D74" w:rsidRPr="001C3D74">
        <w:t>bu</w:t>
      </w:r>
      <w:r w:rsidR="00823F92" w:rsidRPr="001C3D74">
        <w:t>t</w:t>
      </w:r>
      <w:r w:rsidR="00823F92">
        <w:t xml:space="preserve"> </w:t>
      </w:r>
      <w:r w:rsidR="001C3D74" w:rsidRPr="001C3D74">
        <w:t>d</w:t>
      </w:r>
      <w:r w:rsidR="00823F92" w:rsidRPr="001C3D74">
        <w:t>o</w:t>
      </w:r>
      <w:r w:rsidR="00823F92">
        <w:t xml:space="preserve"> </w:t>
      </w:r>
      <w:r w:rsidR="001C3D74" w:rsidRPr="001C3D74">
        <w:t>nee</w:t>
      </w:r>
      <w:r w:rsidR="00823F92" w:rsidRPr="001C3D74">
        <w:t>d</w:t>
      </w:r>
      <w:r w:rsidR="00823F92">
        <w:t xml:space="preserve"> </w:t>
      </w:r>
      <w:r w:rsidR="001C3D74" w:rsidRPr="001C3D74">
        <w:t>t</w:t>
      </w:r>
      <w:r w:rsidR="00823F92" w:rsidRPr="001C3D74">
        <w:t>o</w:t>
      </w:r>
      <w:r w:rsidR="00823F92">
        <w:t xml:space="preserve"> </w:t>
      </w:r>
      <w:r w:rsidR="001C3D74" w:rsidRPr="001C3D74">
        <w:t>b</w:t>
      </w:r>
      <w:r w:rsidR="00823F92" w:rsidRPr="001C3D74">
        <w:t>e</w:t>
      </w:r>
      <w:r w:rsidR="00823F92">
        <w:t xml:space="preserve"> </w:t>
      </w:r>
      <w:r w:rsidR="001C3D74" w:rsidRPr="001C3D74">
        <w:t>addresse</w:t>
      </w:r>
      <w:r w:rsidR="00823F92" w:rsidRPr="001C3D74">
        <w:t>d</w:t>
      </w:r>
      <w:r w:rsidR="00823F92">
        <w:t xml:space="preserve"> </w:t>
      </w:r>
      <w:r w:rsidR="001C3D74" w:rsidRPr="001C3D74">
        <w:t>t</w:t>
      </w:r>
      <w:r w:rsidR="00823F92" w:rsidRPr="001C3D74">
        <w:t>o</w:t>
      </w:r>
      <w:r w:rsidR="00823F92">
        <w:t xml:space="preserve"> </w:t>
      </w:r>
      <w:r w:rsidR="001C3D74" w:rsidRPr="001C3D74">
        <w:t>improv</w:t>
      </w:r>
      <w:r w:rsidR="00823F92" w:rsidRPr="001C3D74">
        <w:t>e</w:t>
      </w:r>
      <w:r w:rsidR="00823F92">
        <w:t xml:space="preserve"> </w:t>
      </w:r>
      <w:r w:rsidR="001C3D74" w:rsidRPr="001C3D74">
        <w:t>retention.</w:t>
      </w:r>
    </w:p>
    <w:p w14:paraId="476A9583" w14:textId="6A526D82" w:rsidR="00453F15" w:rsidRPr="000E25B1" w:rsidRDefault="00453F15" w:rsidP="008D57D0">
      <w:pPr>
        <w:pStyle w:val="Heading3nonumber"/>
        <w:keepNext/>
      </w:pPr>
      <w:r>
        <w:t>Employmen</w:t>
      </w:r>
      <w:r w:rsidR="00823F92">
        <w:t xml:space="preserve">t </w:t>
      </w:r>
      <w:r>
        <w:t>c</w:t>
      </w:r>
      <w:r w:rsidRPr="000E25B1">
        <w:t>onditions</w:t>
      </w:r>
    </w:p>
    <w:p w14:paraId="5EF690F7" w14:textId="38ADC186" w:rsidR="00453F15" w:rsidRDefault="00453F15" w:rsidP="007F29E7">
      <w:pPr>
        <w:pStyle w:val="BodyText"/>
        <w:rPr>
          <w:b/>
        </w:rPr>
      </w:pPr>
      <w:r>
        <w:t>Employmen</w:t>
      </w:r>
      <w:r w:rsidR="00823F92">
        <w:t xml:space="preserve">t </w:t>
      </w:r>
      <w:r>
        <w:t>c</w:t>
      </w:r>
      <w:r w:rsidRPr="009277BD">
        <w:t>ondition</w:t>
      </w:r>
      <w:r w:rsidR="00823F92" w:rsidRPr="009277BD">
        <w:t>s</w:t>
      </w:r>
      <w:r w:rsidR="00823F92">
        <w:t xml:space="preserve"> </w:t>
      </w:r>
      <w:r w:rsidRPr="009277BD">
        <w:t>var</w:t>
      </w:r>
      <w:r w:rsidR="00823F92" w:rsidRPr="009277BD">
        <w:t>y</w:t>
      </w:r>
      <w:r w:rsidR="00823F92">
        <w:t xml:space="preserve"> </w:t>
      </w:r>
      <w:r w:rsidRPr="009277BD">
        <w:t>considerabl</w:t>
      </w:r>
      <w:r w:rsidR="00823F92" w:rsidRPr="009277BD">
        <w:t>y</w:t>
      </w:r>
      <w:r w:rsidR="00823F92">
        <w:t xml:space="preserve"> </w:t>
      </w:r>
      <w:r w:rsidRPr="009277BD">
        <w:t>acros</w:t>
      </w:r>
      <w:r w:rsidR="00823F92" w:rsidRPr="009277BD">
        <w:t>s</w:t>
      </w:r>
      <w:r w:rsidR="00823F92">
        <w:t xml:space="preserve"> </w:t>
      </w:r>
      <w:r>
        <w:t>occupation</w:t>
      </w:r>
      <w:r w:rsidR="00823F92">
        <w:t xml:space="preserve">s </w:t>
      </w:r>
      <w:r>
        <w:t>an</w:t>
      </w:r>
      <w:r w:rsidR="00823F92">
        <w:t xml:space="preserve">d </w:t>
      </w:r>
      <w:r>
        <w:t>employer</w:t>
      </w:r>
      <w:r w:rsidR="00823F92">
        <w:t xml:space="preserve">s </w:t>
      </w:r>
      <w:r w:rsidRPr="009277BD">
        <w:t>i</w:t>
      </w:r>
      <w:r w:rsidR="00823F92" w:rsidRPr="009277BD">
        <w:t>n</w:t>
      </w:r>
      <w:r w:rsidR="00823F92">
        <w:t xml:space="preserve"> </w:t>
      </w:r>
      <w:r w:rsidRPr="009277BD">
        <w:t>th</w:t>
      </w:r>
      <w:r w:rsidR="00823F92" w:rsidRPr="009277BD">
        <w:t>e</w:t>
      </w:r>
      <w:r w:rsidR="00823F92">
        <w:t xml:space="preserve"> </w:t>
      </w:r>
      <w:r>
        <w:t>menta</w:t>
      </w:r>
      <w:r w:rsidR="00823F92">
        <w:t xml:space="preserve">l </w:t>
      </w:r>
      <w:r>
        <w:t>healt</w:t>
      </w:r>
      <w:r w:rsidR="00823F92">
        <w:t xml:space="preserve">h </w:t>
      </w:r>
      <w:r w:rsidRPr="009277BD">
        <w:t>secto</w:t>
      </w:r>
      <w:r w:rsidR="00823F92" w:rsidRPr="009277BD">
        <w:t>r</w:t>
      </w:r>
      <w:r w:rsidR="00823F92">
        <w:t xml:space="preserve"> </w:t>
      </w:r>
      <w:r w:rsidRPr="009277BD">
        <w:t>i</w:t>
      </w:r>
      <w:r w:rsidR="00823F92" w:rsidRPr="009277BD">
        <w:t>n</w:t>
      </w:r>
      <w:r w:rsidR="00823F92">
        <w:t xml:space="preserve"> </w:t>
      </w:r>
      <w:r w:rsidRPr="009277BD">
        <w:t>term</w:t>
      </w:r>
      <w:r w:rsidR="00823F92" w:rsidRPr="009277BD">
        <w:t>s</w:t>
      </w:r>
      <w:r w:rsidR="00823F92">
        <w:t xml:space="preserve"> </w:t>
      </w:r>
      <w:r w:rsidRPr="009277BD">
        <w:t>o</w:t>
      </w:r>
      <w:r w:rsidR="00823F92" w:rsidRPr="009277BD">
        <w:t>f</w:t>
      </w:r>
      <w:r w:rsidR="00823F92">
        <w:t xml:space="preserve"> </w:t>
      </w:r>
      <w:r w:rsidRPr="009277BD">
        <w:t>remuneratio</w:t>
      </w:r>
      <w:r w:rsidR="00823F92" w:rsidRPr="009277BD">
        <w:t>n</w:t>
      </w:r>
      <w:r w:rsidR="00823F92">
        <w:t xml:space="preserve"> </w:t>
      </w:r>
      <w:r w:rsidRPr="009277BD">
        <w:t>an</w:t>
      </w:r>
      <w:r w:rsidR="00823F92" w:rsidRPr="009277BD">
        <w:t>d</w:t>
      </w:r>
      <w:r w:rsidR="00823F92">
        <w:t xml:space="preserve"> </w:t>
      </w:r>
      <w:r w:rsidRPr="009277BD">
        <w:t>employmen</w:t>
      </w:r>
      <w:r w:rsidR="00823F92" w:rsidRPr="009277BD">
        <w:t>t</w:t>
      </w:r>
      <w:r w:rsidR="00823F92">
        <w:t xml:space="preserve"> </w:t>
      </w:r>
      <w:r w:rsidRPr="009277BD">
        <w:t>stability</w:t>
      </w:r>
      <w:r w:rsidR="00823F92" w:rsidRPr="009277BD">
        <w:t>.</w:t>
      </w:r>
      <w:r w:rsidR="00823F92">
        <w:t xml:space="preserve"> </w:t>
      </w:r>
    </w:p>
    <w:p w14:paraId="14474293" w14:textId="6DB2B87E" w:rsidR="000C3A70" w:rsidRDefault="00453F15" w:rsidP="007F29E7">
      <w:pPr>
        <w:pStyle w:val="BodyText"/>
      </w:pPr>
      <w:r>
        <w:t>Th</w:t>
      </w:r>
      <w:r w:rsidR="00823F92">
        <w:t xml:space="preserve">e </w:t>
      </w:r>
      <w:r>
        <w:t>driver</w:t>
      </w:r>
      <w:r w:rsidR="00823F92">
        <w:t xml:space="preserve">s </w:t>
      </w:r>
      <w:r>
        <w:t>fo</w:t>
      </w:r>
      <w:r w:rsidR="00823F92">
        <w:t xml:space="preserve">r </w:t>
      </w:r>
      <w:r>
        <w:t>thi</w:t>
      </w:r>
      <w:r w:rsidR="00823F92">
        <w:t xml:space="preserve">s </w:t>
      </w:r>
      <w:r>
        <w:t>variatio</w:t>
      </w:r>
      <w:r w:rsidR="00823F92">
        <w:t xml:space="preserve">n </w:t>
      </w:r>
      <w:r>
        <w:t>ar</w:t>
      </w:r>
      <w:r w:rsidR="00823F92">
        <w:t xml:space="preserve">e </w:t>
      </w:r>
      <w:r>
        <w:t>multi-faceted</w:t>
      </w:r>
      <w:r w:rsidR="00823F92">
        <w:t xml:space="preserve">. </w:t>
      </w:r>
      <w:r>
        <w:t>Industria</w:t>
      </w:r>
      <w:r w:rsidR="00823F92">
        <w:t xml:space="preserve">l </w:t>
      </w:r>
      <w:r>
        <w:t>award</w:t>
      </w:r>
      <w:r w:rsidR="00823F92">
        <w:t xml:space="preserve">s </w:t>
      </w:r>
      <w:r>
        <w:t>diffe</w:t>
      </w:r>
      <w:r w:rsidR="00823F92">
        <w:t xml:space="preserve">r </w:t>
      </w:r>
      <w:r>
        <w:t>acros</w:t>
      </w:r>
      <w:r w:rsidR="00823F92">
        <w:t xml:space="preserve">s </w:t>
      </w:r>
      <w:r>
        <w:t>sector</w:t>
      </w:r>
      <w:r w:rsidR="00823F92">
        <w:t xml:space="preserve">s </w:t>
      </w:r>
      <w:r>
        <w:t>an</w:t>
      </w:r>
      <w:r w:rsidR="00823F92">
        <w:t xml:space="preserve">d </w:t>
      </w:r>
      <w:r>
        <w:t>setting</w:t>
      </w:r>
      <w:r w:rsidR="00823F92">
        <w:t xml:space="preserve">s </w:t>
      </w:r>
      <w:r>
        <w:t>(fo</w:t>
      </w:r>
      <w:r w:rsidR="00823F92">
        <w:t xml:space="preserve">r </w:t>
      </w:r>
      <w:r>
        <w:t>exampl</w:t>
      </w:r>
      <w:r w:rsidR="00823F92">
        <w:t xml:space="preserve">e </w:t>
      </w:r>
      <w:r>
        <w:t>betwee</w:t>
      </w:r>
      <w:r w:rsidR="00823F92">
        <w:t xml:space="preserve">n </w:t>
      </w:r>
      <w:r>
        <w:t>disabilit</w:t>
      </w:r>
      <w:r w:rsidR="00823F92">
        <w:t xml:space="preserve">y </w:t>
      </w:r>
      <w:r>
        <w:t>an</w:t>
      </w:r>
      <w:r w:rsidR="00823F92">
        <w:t xml:space="preserve">d </w:t>
      </w:r>
      <w:r>
        <w:t>menta</w:t>
      </w:r>
      <w:r w:rsidR="00823F92">
        <w:t xml:space="preserve">l </w:t>
      </w:r>
      <w:r>
        <w:t>health</w:t>
      </w:r>
      <w:r w:rsidR="00823F92">
        <w:t xml:space="preserve">, </w:t>
      </w:r>
      <w:r>
        <w:t>an</w:t>
      </w:r>
      <w:r w:rsidR="00823F92">
        <w:t xml:space="preserve">d </w:t>
      </w:r>
      <w:r>
        <w:t>betwee</w:t>
      </w:r>
      <w:r w:rsidR="00823F92">
        <w:t xml:space="preserve">n </w:t>
      </w:r>
      <w:r>
        <w:t>th</w:t>
      </w:r>
      <w:r w:rsidR="00823F92">
        <w:t xml:space="preserve">e </w:t>
      </w:r>
      <w:r>
        <w:t>communit</w:t>
      </w:r>
      <w:r w:rsidR="00823F92">
        <w:t xml:space="preserve">y </w:t>
      </w:r>
      <w:r>
        <w:t>an</w:t>
      </w:r>
      <w:r w:rsidR="00823F92">
        <w:t xml:space="preserve">d </w:t>
      </w:r>
      <w:r>
        <w:t>publi</w:t>
      </w:r>
      <w:r w:rsidR="00823F92">
        <w:t xml:space="preserve">c </w:t>
      </w:r>
      <w:r>
        <w:t>sector)</w:t>
      </w:r>
      <w:r w:rsidR="00823F92">
        <w:t xml:space="preserve">. </w:t>
      </w:r>
      <w:r>
        <w:t>Th</w:t>
      </w:r>
      <w:r w:rsidR="00823F92">
        <w:t xml:space="preserve">e </w:t>
      </w:r>
      <w:r>
        <w:t>structur</w:t>
      </w:r>
      <w:r w:rsidR="00823F92">
        <w:t xml:space="preserve">e </w:t>
      </w:r>
      <w:r>
        <w:t>o</w:t>
      </w:r>
      <w:r w:rsidR="00823F92">
        <w:t xml:space="preserve">f </w:t>
      </w:r>
      <w:r>
        <w:t>pa</w:t>
      </w:r>
      <w:r w:rsidR="00823F92">
        <w:t xml:space="preserve">y </w:t>
      </w:r>
      <w:r>
        <w:t>rate</w:t>
      </w:r>
      <w:r w:rsidR="00823F92">
        <w:t xml:space="preserve">s </w:t>
      </w:r>
      <w:r>
        <w:t>se</w:t>
      </w:r>
      <w:r w:rsidR="00823F92">
        <w:t xml:space="preserve">t </w:t>
      </w:r>
      <w:r>
        <w:t>b</w:t>
      </w:r>
      <w:r w:rsidR="00823F92">
        <w:t xml:space="preserve">y </w:t>
      </w:r>
      <w:r>
        <w:t>Stat</w:t>
      </w:r>
      <w:r w:rsidR="00823F92">
        <w:t xml:space="preserve">e </w:t>
      </w:r>
      <w:r>
        <w:t>an</w:t>
      </w:r>
      <w:r w:rsidR="00823F92">
        <w:t xml:space="preserve">d </w:t>
      </w:r>
      <w:r>
        <w:t>Territor</w:t>
      </w:r>
      <w:r w:rsidR="00823F92">
        <w:t xml:space="preserve">y </w:t>
      </w:r>
      <w:r>
        <w:t>government</w:t>
      </w:r>
      <w:r w:rsidR="00823F92">
        <w:t xml:space="preserve">s </w:t>
      </w:r>
      <w:r>
        <w:t>mean</w:t>
      </w:r>
      <w:r w:rsidR="00823F92">
        <w:t xml:space="preserve">s </w:t>
      </w:r>
      <w:r>
        <w:t>ther</w:t>
      </w:r>
      <w:r w:rsidR="00823F92">
        <w:t xml:space="preserve">e </w:t>
      </w:r>
      <w:r>
        <w:t>ar</w:t>
      </w:r>
      <w:r w:rsidR="00823F92">
        <w:t xml:space="preserve">e </w:t>
      </w:r>
      <w:r>
        <w:t>ofte</w:t>
      </w:r>
      <w:r w:rsidR="00823F92">
        <w:t xml:space="preserve">n </w:t>
      </w:r>
      <w:r>
        <w:t>limite</w:t>
      </w:r>
      <w:r w:rsidR="00823F92">
        <w:t xml:space="preserve">d </w:t>
      </w:r>
      <w:r>
        <w:t>progressio</w:t>
      </w:r>
      <w:r w:rsidR="00823F92">
        <w:t xml:space="preserve">n </w:t>
      </w:r>
      <w:r>
        <w:t>point</w:t>
      </w:r>
      <w:r w:rsidR="00823F92">
        <w:t xml:space="preserve">s </w:t>
      </w:r>
      <w:r>
        <w:t>availabl</w:t>
      </w:r>
      <w:r w:rsidR="00823F92">
        <w:t xml:space="preserve">e </w:t>
      </w:r>
      <w:r>
        <w:t>alongsid</w:t>
      </w:r>
      <w:r w:rsidR="00823F92">
        <w:t xml:space="preserve">e </w:t>
      </w:r>
      <w:r>
        <w:lastRenderedPageBreak/>
        <w:t>experienc</w:t>
      </w:r>
      <w:r w:rsidR="00823F92">
        <w:t xml:space="preserve">e </w:t>
      </w:r>
      <w:r>
        <w:t>an</w:t>
      </w:r>
      <w:r w:rsidR="00823F92">
        <w:t xml:space="preserve">d </w:t>
      </w:r>
      <w:r>
        <w:t>acces</w:t>
      </w:r>
      <w:r w:rsidR="00823F92">
        <w:t xml:space="preserve">s </w:t>
      </w:r>
      <w:r>
        <w:t>t</w:t>
      </w:r>
      <w:r w:rsidR="00823F92">
        <w:t xml:space="preserve">o </w:t>
      </w:r>
      <w:r>
        <w:t>penalt</w:t>
      </w:r>
      <w:r w:rsidR="00823F92">
        <w:t xml:space="preserve">y </w:t>
      </w:r>
      <w:r>
        <w:t>rate</w:t>
      </w:r>
      <w:r w:rsidR="00823F92">
        <w:t xml:space="preserve">s </w:t>
      </w:r>
      <w:r>
        <w:t>ma</w:t>
      </w:r>
      <w:r w:rsidR="00823F92">
        <w:t xml:space="preserve">y </w:t>
      </w:r>
      <w:r>
        <w:t>var</w:t>
      </w:r>
      <w:r w:rsidR="00823F92">
        <w:t xml:space="preserve">y </w:t>
      </w:r>
      <w:r>
        <w:t>acros</w:t>
      </w:r>
      <w:r w:rsidR="00823F92">
        <w:t xml:space="preserve">s </w:t>
      </w:r>
      <w:r>
        <w:t>location</w:t>
      </w:r>
      <w:r w:rsidR="00823F92">
        <w:t xml:space="preserve">s </w:t>
      </w:r>
      <w:r>
        <w:t>o</w:t>
      </w:r>
      <w:r w:rsidR="00823F92">
        <w:t xml:space="preserve">r </w:t>
      </w:r>
      <w:r>
        <w:t>contexts</w:t>
      </w:r>
      <w:r w:rsidR="00823F92">
        <w:t xml:space="preserve">, </w:t>
      </w:r>
      <w:r>
        <w:t>bot</w:t>
      </w:r>
      <w:r w:rsidR="00823F92">
        <w:t xml:space="preserve">h </w:t>
      </w:r>
      <w:r>
        <w:t>o</w:t>
      </w:r>
      <w:r w:rsidR="00823F92">
        <w:t xml:space="preserve">f </w:t>
      </w:r>
      <w:r>
        <w:t>whic</w:t>
      </w:r>
      <w:r w:rsidR="00823F92">
        <w:t xml:space="preserve">h </w:t>
      </w:r>
      <w:r>
        <w:t>impac</w:t>
      </w:r>
      <w:r w:rsidR="00823F92">
        <w:t xml:space="preserve">t </w:t>
      </w:r>
      <w:r>
        <w:t>o</w:t>
      </w:r>
      <w:r w:rsidR="00823F92">
        <w:t xml:space="preserve">n </w:t>
      </w:r>
      <w:r>
        <w:t>potentia</w:t>
      </w:r>
      <w:r w:rsidR="00823F92">
        <w:t xml:space="preserve">l </w:t>
      </w:r>
      <w:r>
        <w:t>incom</w:t>
      </w:r>
      <w:r w:rsidR="00823F92">
        <w:t xml:space="preserve">e </w:t>
      </w:r>
      <w:r>
        <w:t>fo</w:t>
      </w:r>
      <w:r w:rsidR="00823F92">
        <w:t xml:space="preserve">r </w:t>
      </w:r>
      <w:r>
        <w:t>workers</w:t>
      </w:r>
      <w:r w:rsidR="00823F92">
        <w:t xml:space="preserve">. </w:t>
      </w:r>
    </w:p>
    <w:p w14:paraId="110C75CD" w14:textId="7C87F0C9" w:rsidR="00F05ECE" w:rsidRDefault="00453F15" w:rsidP="007F29E7">
      <w:pPr>
        <w:pStyle w:val="BodyText"/>
      </w:pPr>
      <w:r>
        <w:t>Shor</w:t>
      </w:r>
      <w:r w:rsidR="00823F92">
        <w:t xml:space="preserve">t </w:t>
      </w:r>
      <w:r>
        <w:t>fundin</w:t>
      </w:r>
      <w:r w:rsidR="00823F92">
        <w:t xml:space="preserve">g </w:t>
      </w:r>
      <w:r>
        <w:t>cycles</w:t>
      </w:r>
      <w:r w:rsidR="00823F92">
        <w:t xml:space="preserve">, </w:t>
      </w:r>
      <w:r>
        <w:t>particularl</w:t>
      </w:r>
      <w:r w:rsidR="00823F92">
        <w:t xml:space="preserve">y </w:t>
      </w:r>
      <w:r>
        <w:t>fo</w:t>
      </w:r>
      <w:r w:rsidR="00823F92">
        <w:t xml:space="preserve">r </w:t>
      </w:r>
      <w:r>
        <w:t>th</w:t>
      </w:r>
      <w:r w:rsidR="00823F92">
        <w:t xml:space="preserve">e </w:t>
      </w:r>
      <w:r>
        <w:t>communit</w:t>
      </w:r>
      <w:r w:rsidR="00823F92">
        <w:t xml:space="preserve">y </w:t>
      </w:r>
      <w:r>
        <w:t>sector</w:t>
      </w:r>
      <w:r w:rsidR="00823F92">
        <w:t xml:space="preserve">, </w:t>
      </w:r>
      <w:r>
        <w:t>reduc</w:t>
      </w:r>
      <w:r w:rsidR="00823F92">
        <w:t xml:space="preserve">e </w:t>
      </w:r>
      <w:r>
        <w:t>th</w:t>
      </w:r>
      <w:r w:rsidR="00823F92">
        <w:t xml:space="preserve">e </w:t>
      </w:r>
      <w:r>
        <w:t>lengt</w:t>
      </w:r>
      <w:r w:rsidR="00823F92">
        <w:t xml:space="preserve">h </w:t>
      </w:r>
      <w:r>
        <w:t>o</w:t>
      </w:r>
      <w:r w:rsidR="00823F92">
        <w:t xml:space="preserve">f </w:t>
      </w:r>
      <w:r>
        <w:t>contrac</w:t>
      </w:r>
      <w:r w:rsidR="00823F92">
        <w:t xml:space="preserve">t </w:t>
      </w:r>
      <w:r>
        <w:t>an</w:t>
      </w:r>
      <w:r w:rsidR="00823F92">
        <w:t xml:space="preserve">d </w:t>
      </w:r>
      <w:r>
        <w:t>contribut</w:t>
      </w:r>
      <w:r w:rsidR="00823F92">
        <w:t xml:space="preserve">e </w:t>
      </w:r>
      <w:r>
        <w:t>t</w:t>
      </w:r>
      <w:r w:rsidR="00823F92">
        <w:t xml:space="preserve">o </w:t>
      </w:r>
      <w:r>
        <w:t>employmen</w:t>
      </w:r>
      <w:r w:rsidR="00823F92">
        <w:t xml:space="preserve">t </w:t>
      </w:r>
      <w:r>
        <w:t>instability</w:t>
      </w:r>
      <w:r w:rsidR="00823F92">
        <w:t xml:space="preserve">. </w:t>
      </w:r>
      <w:r w:rsidR="00F05ECE" w:rsidRPr="00B743B3">
        <w:t>Ther</w:t>
      </w:r>
      <w:r w:rsidR="00823F92" w:rsidRPr="00B743B3">
        <w:t>e</w:t>
      </w:r>
      <w:r w:rsidR="00823F92">
        <w:t xml:space="preserve"> </w:t>
      </w:r>
      <w:r w:rsidR="00F05ECE" w:rsidRPr="00B743B3">
        <w:t>i</w:t>
      </w:r>
      <w:r w:rsidR="00823F92" w:rsidRPr="00B743B3">
        <w:t>s</w:t>
      </w:r>
      <w:r w:rsidR="00823F92">
        <w:t xml:space="preserve"> </w:t>
      </w:r>
      <w:r w:rsidR="00F05ECE">
        <w:t>als</w:t>
      </w:r>
      <w:r w:rsidR="00823F92">
        <w:t xml:space="preserve">o </w:t>
      </w:r>
      <w:r w:rsidR="00F05ECE" w:rsidRPr="00B743B3">
        <w:t>stron</w:t>
      </w:r>
      <w:r w:rsidR="00823F92" w:rsidRPr="00B743B3">
        <w:t>g</w:t>
      </w:r>
      <w:r w:rsidR="00823F92">
        <w:t xml:space="preserve"> </w:t>
      </w:r>
      <w:r w:rsidR="00F05ECE" w:rsidRPr="00B743B3">
        <w:t>competitio</w:t>
      </w:r>
      <w:r w:rsidR="00823F92" w:rsidRPr="00B743B3">
        <w:t>n</w:t>
      </w:r>
      <w:r w:rsidR="00823F92">
        <w:t xml:space="preserve"> </w:t>
      </w:r>
      <w:r w:rsidR="00F05ECE" w:rsidRPr="00B743B3">
        <w:t>fo</w:t>
      </w:r>
      <w:r w:rsidR="00823F92" w:rsidRPr="00B743B3">
        <w:t>r</w:t>
      </w:r>
      <w:r w:rsidR="00823F92">
        <w:t xml:space="preserve"> </w:t>
      </w:r>
      <w:r w:rsidR="00F05ECE" w:rsidRPr="00B743B3">
        <w:t>employee</w:t>
      </w:r>
      <w:r w:rsidR="00823F92" w:rsidRPr="00B743B3">
        <w:t>s</w:t>
      </w:r>
      <w:r w:rsidR="00823F92">
        <w:t xml:space="preserve"> </w:t>
      </w:r>
      <w:r w:rsidR="00F05ECE" w:rsidRPr="00B743B3">
        <w:t>betwee</w:t>
      </w:r>
      <w:r w:rsidR="00823F92" w:rsidRPr="00B743B3">
        <w:t>n</w:t>
      </w:r>
      <w:r w:rsidR="00823F92">
        <w:t xml:space="preserve"> </w:t>
      </w:r>
      <w:r w:rsidR="00F05ECE" w:rsidRPr="00B743B3">
        <w:t>communit</w:t>
      </w:r>
      <w:r w:rsidR="00823F92" w:rsidRPr="00B743B3">
        <w:t>y</w:t>
      </w:r>
      <w:r w:rsidR="00823F92">
        <w:t xml:space="preserve"> </w:t>
      </w:r>
      <w:r w:rsidR="00F05ECE" w:rsidRPr="00B743B3">
        <w:t>menta</w:t>
      </w:r>
      <w:r w:rsidR="00823F92" w:rsidRPr="00B743B3">
        <w:t>l</w:t>
      </w:r>
      <w:r w:rsidR="00823F92">
        <w:t xml:space="preserve"> </w:t>
      </w:r>
      <w:r w:rsidR="00F05ECE" w:rsidRPr="00B743B3">
        <w:t>healt</w:t>
      </w:r>
      <w:r w:rsidR="00823F92" w:rsidRPr="00B743B3">
        <w:t>h</w:t>
      </w:r>
      <w:r w:rsidR="00823F92">
        <w:t xml:space="preserve"> </w:t>
      </w:r>
      <w:r w:rsidR="00F05ECE" w:rsidRPr="00B743B3">
        <w:t>providers</w:t>
      </w:r>
      <w:r w:rsidR="00823F92" w:rsidRPr="00B743B3">
        <w:t>,</w:t>
      </w:r>
      <w:r w:rsidR="00823F92">
        <w:t xml:space="preserve"> </w:t>
      </w:r>
      <w:r w:rsidR="00F05ECE" w:rsidRPr="00B743B3">
        <w:t>publi</w:t>
      </w:r>
      <w:r w:rsidR="00823F92" w:rsidRPr="00B743B3">
        <w:t>c</w:t>
      </w:r>
      <w:r w:rsidR="00823F92">
        <w:t xml:space="preserve"> </w:t>
      </w:r>
      <w:r w:rsidR="00F05ECE" w:rsidRPr="00B743B3">
        <w:t>an</w:t>
      </w:r>
      <w:r w:rsidR="00823F92" w:rsidRPr="00B743B3">
        <w:t>d</w:t>
      </w:r>
      <w:r w:rsidR="00823F92">
        <w:t xml:space="preserve"> </w:t>
      </w:r>
      <w:r w:rsidR="00F05ECE" w:rsidRPr="00B743B3">
        <w:t>privat</w:t>
      </w:r>
      <w:r w:rsidR="00823F92" w:rsidRPr="00B743B3">
        <w:t>e</w:t>
      </w:r>
      <w:r w:rsidR="00823F92">
        <w:t xml:space="preserve"> </w:t>
      </w:r>
      <w:r w:rsidR="00F05ECE" w:rsidRPr="00B743B3">
        <w:t>menta</w:t>
      </w:r>
      <w:r w:rsidR="00823F92" w:rsidRPr="00B743B3">
        <w:t>l</w:t>
      </w:r>
      <w:r w:rsidR="00823F92">
        <w:t xml:space="preserve"> </w:t>
      </w:r>
      <w:r w:rsidR="00F05ECE" w:rsidRPr="00B743B3">
        <w:t>healt</w:t>
      </w:r>
      <w:r w:rsidR="00823F92" w:rsidRPr="00B743B3">
        <w:t>h</w:t>
      </w:r>
      <w:r w:rsidR="00823F92">
        <w:t xml:space="preserve"> </w:t>
      </w:r>
      <w:r w:rsidR="00F05ECE" w:rsidRPr="00B743B3">
        <w:t>servic</w:t>
      </w:r>
      <w:r w:rsidR="00823F92" w:rsidRPr="00B743B3">
        <w:t>e</w:t>
      </w:r>
      <w:r w:rsidR="00823F92">
        <w:t xml:space="preserve"> </w:t>
      </w:r>
      <w:r w:rsidR="00F05ECE" w:rsidRPr="00B743B3">
        <w:t>provider</w:t>
      </w:r>
      <w:r w:rsidR="00823F92" w:rsidRPr="00B743B3">
        <w:t>s</w:t>
      </w:r>
      <w:r w:rsidR="00823F92">
        <w:t xml:space="preserve"> </w:t>
      </w:r>
      <w:r w:rsidR="00F05ECE" w:rsidRPr="00B743B3">
        <w:t>an</w:t>
      </w:r>
      <w:r w:rsidR="00823F92" w:rsidRPr="00B743B3">
        <w:t>d</w:t>
      </w:r>
      <w:r w:rsidR="00823F92">
        <w:t xml:space="preserve"> </w:t>
      </w:r>
      <w:r w:rsidR="00F05ECE" w:rsidRPr="00B743B3">
        <w:t>reflectin</w:t>
      </w:r>
      <w:r w:rsidR="00823F92" w:rsidRPr="00B743B3">
        <w:t>g</w:t>
      </w:r>
      <w:r w:rsidR="00823F92">
        <w:t xml:space="preserve"> </w:t>
      </w:r>
      <w:r w:rsidR="00F05ECE" w:rsidRPr="00B743B3">
        <w:t>th</w:t>
      </w:r>
      <w:r w:rsidR="00823F92" w:rsidRPr="00B743B3">
        <w:t>e</w:t>
      </w:r>
      <w:r w:rsidR="00823F92">
        <w:t xml:space="preserve"> </w:t>
      </w:r>
      <w:r w:rsidR="00F05ECE" w:rsidRPr="00B743B3">
        <w:t>differen</w:t>
      </w:r>
      <w:r w:rsidR="00823F92" w:rsidRPr="00B743B3">
        <w:t>t</w:t>
      </w:r>
      <w:r w:rsidR="00823F92">
        <w:t xml:space="preserve"> </w:t>
      </w:r>
      <w:r w:rsidR="00F05ECE" w:rsidRPr="00B743B3">
        <w:t>pa</w:t>
      </w:r>
      <w:r w:rsidR="00823F92" w:rsidRPr="00B743B3">
        <w:t>y</w:t>
      </w:r>
      <w:r w:rsidR="00823F92">
        <w:t xml:space="preserve"> </w:t>
      </w:r>
      <w:r w:rsidR="00F05ECE" w:rsidRPr="00B743B3">
        <w:t>scale</w:t>
      </w:r>
      <w:r w:rsidR="00823F92" w:rsidRPr="00B743B3">
        <w:t>s</w:t>
      </w:r>
      <w:r w:rsidR="00823F92">
        <w:t xml:space="preserve"> </w:t>
      </w:r>
      <w:r w:rsidR="00F05ECE" w:rsidRPr="00B743B3">
        <w:t>tha</w:t>
      </w:r>
      <w:r w:rsidR="00823F92" w:rsidRPr="00B743B3">
        <w:t>t</w:t>
      </w:r>
      <w:r w:rsidR="00823F92">
        <w:t xml:space="preserve"> </w:t>
      </w:r>
      <w:r w:rsidR="00F05ECE" w:rsidRPr="00B743B3">
        <w:t>appl</w:t>
      </w:r>
      <w:r w:rsidR="00823F92" w:rsidRPr="00B743B3">
        <w:t>y</w:t>
      </w:r>
      <w:r w:rsidR="00823F92">
        <w:t xml:space="preserve"> </w:t>
      </w:r>
      <w:r w:rsidR="00F05ECE" w:rsidRPr="00B743B3">
        <w:t>t</w:t>
      </w:r>
      <w:r w:rsidR="00823F92" w:rsidRPr="00B743B3">
        <w:t>o</w:t>
      </w:r>
      <w:r w:rsidR="00823F92">
        <w:t xml:space="preserve"> </w:t>
      </w:r>
      <w:r w:rsidR="00F05ECE" w:rsidRPr="00B743B3">
        <w:t>each.</w:t>
      </w:r>
      <w:r w:rsidR="00F05ECE" w:rsidRPr="00950B7D">
        <w:rPr>
          <w:rStyle w:val="FootnoteReference"/>
          <w:sz w:val="20"/>
          <w:szCs w:val="20"/>
        </w:rPr>
        <w:footnoteReference w:id="28"/>
      </w:r>
    </w:p>
    <w:p w14:paraId="5281B54F" w14:textId="41343C77" w:rsidR="00F05ECE" w:rsidRPr="0060494B" w:rsidRDefault="00F05ECE" w:rsidP="008D57D0">
      <w:pPr>
        <w:pStyle w:val="Heading3nonumber"/>
        <w:keepNext/>
      </w:pPr>
      <w:r w:rsidRPr="0060494B">
        <w:t>Viabilit</w:t>
      </w:r>
      <w:r w:rsidR="00823F92" w:rsidRPr="0060494B">
        <w:t>y</w:t>
      </w:r>
      <w:r w:rsidR="00823F92">
        <w:t xml:space="preserve"> </w:t>
      </w:r>
      <w:r w:rsidRPr="0060494B">
        <w:t>o</w:t>
      </w:r>
      <w:r w:rsidR="00823F92" w:rsidRPr="0060494B">
        <w:t>f</w:t>
      </w:r>
      <w:r w:rsidR="00823F92">
        <w:t xml:space="preserve"> </w:t>
      </w:r>
      <w:r w:rsidRPr="0060494B">
        <w:t>privat</w:t>
      </w:r>
      <w:r w:rsidR="00823F92" w:rsidRPr="0060494B">
        <w:t>e</w:t>
      </w:r>
      <w:r w:rsidR="00823F92">
        <w:t xml:space="preserve"> </w:t>
      </w:r>
      <w:r w:rsidRPr="0060494B">
        <w:t>practice</w:t>
      </w:r>
    </w:p>
    <w:p w14:paraId="412838F4" w14:textId="21D3EC9D" w:rsidR="00B92C0D" w:rsidRPr="0060494B" w:rsidRDefault="00B92C0D" w:rsidP="00B92C0D">
      <w:pPr>
        <w:pStyle w:val="BodyText"/>
      </w:pPr>
      <w:r w:rsidRPr="0060494B">
        <w:t>Ther</w:t>
      </w:r>
      <w:r w:rsidR="00823F92" w:rsidRPr="0060494B">
        <w:t>e</w:t>
      </w:r>
      <w:r w:rsidR="00823F92">
        <w:t xml:space="preserve"> </w:t>
      </w:r>
      <w:r w:rsidRPr="0060494B">
        <w:t>ar</w:t>
      </w:r>
      <w:r w:rsidR="00823F92" w:rsidRPr="0060494B">
        <w:t>e</w:t>
      </w:r>
      <w:r w:rsidR="00823F92">
        <w:t xml:space="preserve"> </w:t>
      </w:r>
      <w:r w:rsidRPr="0060494B">
        <w:t>divers</w:t>
      </w:r>
      <w:r w:rsidR="00823F92" w:rsidRPr="0060494B">
        <w:t>e</w:t>
      </w:r>
      <w:r w:rsidR="00823F92">
        <w:t xml:space="preserve"> </w:t>
      </w:r>
      <w:r w:rsidRPr="0060494B">
        <w:t>factor</w:t>
      </w:r>
      <w:r w:rsidR="00823F92" w:rsidRPr="0060494B">
        <w:t>s</w:t>
      </w:r>
      <w:r w:rsidR="00823F92">
        <w:t xml:space="preserve"> </w:t>
      </w:r>
      <w:r w:rsidRPr="0060494B">
        <w:t>tha</w:t>
      </w:r>
      <w:r w:rsidR="00823F92" w:rsidRPr="0060494B">
        <w:t>t</w:t>
      </w:r>
      <w:r w:rsidR="00823F92">
        <w:t xml:space="preserve"> </w:t>
      </w:r>
      <w:r w:rsidRPr="0060494B">
        <w:t>influenc</w:t>
      </w:r>
      <w:r w:rsidR="00823F92" w:rsidRPr="0060494B">
        <w:t>e</w:t>
      </w:r>
      <w:r w:rsidR="00823F92">
        <w:t xml:space="preserve"> </w:t>
      </w:r>
      <w:r w:rsidRPr="0060494B">
        <w:t>th</w:t>
      </w:r>
      <w:r w:rsidR="00823F92" w:rsidRPr="0060494B">
        <w:t>e</w:t>
      </w:r>
      <w:r w:rsidR="00823F92">
        <w:t xml:space="preserve"> </w:t>
      </w:r>
      <w:r w:rsidRPr="0060494B">
        <w:t>viabilit</w:t>
      </w:r>
      <w:r w:rsidR="00823F92" w:rsidRPr="0060494B">
        <w:t>y</w:t>
      </w:r>
      <w:r w:rsidR="00823F92">
        <w:t xml:space="preserve"> </w:t>
      </w:r>
      <w:r w:rsidRPr="0060494B">
        <w:t>o</w:t>
      </w:r>
      <w:r w:rsidR="00823F92" w:rsidRPr="0060494B">
        <w:t>f</w:t>
      </w:r>
      <w:r w:rsidR="00823F92">
        <w:t xml:space="preserve"> </w:t>
      </w:r>
      <w:r w:rsidRPr="0060494B">
        <w:t>privat</w:t>
      </w:r>
      <w:r w:rsidR="00823F92" w:rsidRPr="0060494B">
        <w:t>e</w:t>
      </w:r>
      <w:r w:rsidR="00823F92">
        <w:t xml:space="preserve"> </w:t>
      </w:r>
      <w:r w:rsidRPr="0060494B">
        <w:t>practice</w:t>
      </w:r>
      <w:r w:rsidR="00823F92" w:rsidRPr="0060494B">
        <w:t>,</w:t>
      </w:r>
      <w:r w:rsidR="00823F92">
        <w:t xml:space="preserve"> </w:t>
      </w:r>
      <w:r w:rsidRPr="0060494B">
        <w:t>includin</w:t>
      </w:r>
      <w:r w:rsidR="00823F92" w:rsidRPr="0060494B">
        <w:t>g</w:t>
      </w:r>
      <w:r w:rsidR="00823F92">
        <w:t xml:space="preserve"> </w:t>
      </w:r>
      <w:r w:rsidRPr="0060494B">
        <w:t>th</w:t>
      </w:r>
      <w:r w:rsidR="00823F92" w:rsidRPr="0060494B">
        <w:t>e</w:t>
      </w:r>
      <w:r w:rsidR="00823F92">
        <w:t xml:space="preserve"> </w:t>
      </w:r>
      <w:r w:rsidRPr="0060494B">
        <w:t>leve</w:t>
      </w:r>
      <w:r w:rsidR="00823F92" w:rsidRPr="0060494B">
        <w:t>l</w:t>
      </w:r>
      <w:r w:rsidR="00823F92">
        <w:t xml:space="preserve"> </w:t>
      </w:r>
      <w:r w:rsidRPr="0060494B">
        <w:t>o</w:t>
      </w:r>
      <w:r w:rsidR="00823F92" w:rsidRPr="0060494B">
        <w:t>f</w:t>
      </w:r>
      <w:r w:rsidR="00823F92">
        <w:t xml:space="preserve"> </w:t>
      </w:r>
      <w:r w:rsidRPr="0060494B">
        <w:t>awarenes</w:t>
      </w:r>
      <w:r w:rsidR="00823F92" w:rsidRPr="0060494B">
        <w:t>s</w:t>
      </w:r>
      <w:r w:rsidR="00823F92">
        <w:t xml:space="preserve"> </w:t>
      </w:r>
      <w:r w:rsidRPr="0060494B">
        <w:t>o</w:t>
      </w:r>
      <w:r w:rsidR="00823F92" w:rsidRPr="0060494B">
        <w:t>f</w:t>
      </w:r>
      <w:r w:rsidR="00823F92">
        <w:t xml:space="preserve"> </w:t>
      </w:r>
      <w:r w:rsidRPr="0060494B">
        <w:t>roles</w:t>
      </w:r>
      <w:r w:rsidR="00823F92" w:rsidRPr="0060494B">
        <w:t>,</w:t>
      </w:r>
      <w:r w:rsidR="00823F92">
        <w:t xml:space="preserve"> </w:t>
      </w:r>
      <w:r w:rsidRPr="0060494B">
        <w:t>th</w:t>
      </w:r>
      <w:r w:rsidR="00823F92" w:rsidRPr="0060494B">
        <w:t>e</w:t>
      </w:r>
      <w:r w:rsidR="00823F92">
        <w:t xml:space="preserve"> </w:t>
      </w:r>
      <w:r w:rsidRPr="0060494B">
        <w:t>natur</w:t>
      </w:r>
      <w:r w:rsidR="00823F92" w:rsidRPr="0060494B">
        <w:t>e</w:t>
      </w:r>
      <w:r w:rsidR="00823F92">
        <w:t xml:space="preserve"> </w:t>
      </w:r>
      <w:r w:rsidRPr="0060494B">
        <w:t>o</w:t>
      </w:r>
      <w:r w:rsidR="00823F92" w:rsidRPr="0060494B">
        <w:t>f</w:t>
      </w:r>
      <w:r w:rsidR="00823F92">
        <w:t xml:space="preserve"> </w:t>
      </w:r>
      <w:r w:rsidRPr="0060494B">
        <w:t>fundin</w:t>
      </w:r>
      <w:r w:rsidR="00823F92" w:rsidRPr="0060494B">
        <w:t>g</w:t>
      </w:r>
      <w:r w:rsidR="00823F92">
        <w:t xml:space="preserve"> </w:t>
      </w:r>
      <w:r w:rsidRPr="0060494B">
        <w:t>arrangements</w:t>
      </w:r>
      <w:r w:rsidR="00823F92" w:rsidRPr="0060494B">
        <w:t>,</w:t>
      </w:r>
      <w:r w:rsidR="00823F92">
        <w:t xml:space="preserve"> </w:t>
      </w:r>
      <w:r w:rsidRPr="0060494B">
        <w:t>an</w:t>
      </w:r>
      <w:r w:rsidR="00823F92" w:rsidRPr="0060494B">
        <w:t>d</w:t>
      </w:r>
      <w:r w:rsidR="00823F92">
        <w:t xml:space="preserve"> </w:t>
      </w:r>
      <w:r w:rsidRPr="0060494B">
        <w:t>th</w:t>
      </w:r>
      <w:r w:rsidR="00823F92" w:rsidRPr="0060494B">
        <w:t>e</w:t>
      </w:r>
      <w:r w:rsidR="00823F92">
        <w:t xml:space="preserve"> </w:t>
      </w:r>
      <w:r w:rsidRPr="0060494B">
        <w:t>scal</w:t>
      </w:r>
      <w:r w:rsidR="00823F92" w:rsidRPr="0060494B">
        <w:t>e</w:t>
      </w:r>
      <w:r w:rsidR="00823F92">
        <w:t xml:space="preserve"> </w:t>
      </w:r>
      <w:r w:rsidRPr="0060494B">
        <w:t>o</w:t>
      </w:r>
      <w:r w:rsidR="00823F92" w:rsidRPr="0060494B">
        <w:t>f</w:t>
      </w:r>
      <w:r w:rsidR="00823F92">
        <w:t xml:space="preserve"> </w:t>
      </w:r>
      <w:r w:rsidRPr="0060494B">
        <w:t>th</w:t>
      </w:r>
      <w:r w:rsidR="00823F92" w:rsidRPr="0060494B">
        <w:t>e</w:t>
      </w:r>
      <w:r w:rsidR="00823F92">
        <w:t xml:space="preserve"> </w:t>
      </w:r>
      <w:r w:rsidRPr="0060494B">
        <w:t>market</w:t>
      </w:r>
      <w:r w:rsidR="00823F92" w:rsidRPr="0060494B">
        <w:t>.</w:t>
      </w:r>
      <w:r w:rsidR="00823F92">
        <w:t xml:space="preserve"> </w:t>
      </w:r>
      <w:r w:rsidRPr="0060494B">
        <w:t>Whe</w:t>
      </w:r>
      <w:r w:rsidR="00823F92" w:rsidRPr="0060494B">
        <w:t>n</w:t>
      </w:r>
      <w:r w:rsidR="00823F92">
        <w:t xml:space="preserve"> </w:t>
      </w:r>
      <w:r w:rsidRPr="0060494B">
        <w:t>combined</w:t>
      </w:r>
      <w:r w:rsidR="00823F92" w:rsidRPr="0060494B">
        <w:t>,</w:t>
      </w:r>
      <w:r w:rsidR="00823F92">
        <w:t xml:space="preserve"> </w:t>
      </w:r>
      <w:r w:rsidRPr="0060494B">
        <w:t>thes</w:t>
      </w:r>
      <w:r w:rsidR="00823F92" w:rsidRPr="0060494B">
        <w:t>e</w:t>
      </w:r>
      <w:r w:rsidR="00823F92">
        <w:t xml:space="preserve"> </w:t>
      </w:r>
      <w:r w:rsidRPr="0060494B">
        <w:t>factor</w:t>
      </w:r>
      <w:r w:rsidR="00823F92" w:rsidRPr="0060494B">
        <w:t>s</w:t>
      </w:r>
      <w:r w:rsidR="00823F92">
        <w:t xml:space="preserve"> </w:t>
      </w:r>
      <w:r w:rsidRPr="0060494B">
        <w:t>limi</w:t>
      </w:r>
      <w:r w:rsidR="00823F92" w:rsidRPr="0060494B">
        <w:t>t</w:t>
      </w:r>
      <w:r w:rsidR="00823F92">
        <w:t xml:space="preserve"> </w:t>
      </w:r>
      <w:r w:rsidRPr="0060494B">
        <w:t>th</w:t>
      </w:r>
      <w:r w:rsidR="00823F92" w:rsidRPr="0060494B">
        <w:t>e</w:t>
      </w:r>
      <w:r w:rsidR="00823F92">
        <w:t xml:space="preserve"> </w:t>
      </w:r>
      <w:r w:rsidRPr="0060494B">
        <w:t>viabilit</w:t>
      </w:r>
      <w:r w:rsidR="00823F92" w:rsidRPr="0060494B">
        <w:t>y</w:t>
      </w:r>
      <w:r w:rsidR="00823F92">
        <w:t xml:space="preserve"> </w:t>
      </w:r>
      <w:r w:rsidRPr="0060494B">
        <w:t>o</w:t>
      </w:r>
      <w:r w:rsidR="00823F92" w:rsidRPr="0060494B">
        <w:t>f</w:t>
      </w:r>
      <w:r w:rsidR="00823F92">
        <w:t xml:space="preserve"> </w:t>
      </w:r>
      <w:r w:rsidRPr="0060494B">
        <w:t>privat</w:t>
      </w:r>
      <w:r w:rsidR="00823F92" w:rsidRPr="0060494B">
        <w:t>e</w:t>
      </w:r>
      <w:r w:rsidR="00823F92">
        <w:t xml:space="preserve"> </w:t>
      </w:r>
      <w:r w:rsidRPr="0060494B">
        <w:t>practic</w:t>
      </w:r>
      <w:r w:rsidR="00823F92" w:rsidRPr="0060494B">
        <w:t>e</w:t>
      </w:r>
      <w:r w:rsidR="00823F92">
        <w:t xml:space="preserve"> </w:t>
      </w:r>
      <w:r w:rsidRPr="0060494B">
        <w:t>fo</w:t>
      </w:r>
      <w:r w:rsidR="00823F92" w:rsidRPr="0060494B">
        <w:t>r</w:t>
      </w:r>
      <w:r w:rsidR="00823F92">
        <w:t xml:space="preserve"> </w:t>
      </w:r>
      <w:r w:rsidRPr="0060494B">
        <w:t>role</w:t>
      </w:r>
      <w:r w:rsidR="00823F92" w:rsidRPr="0060494B">
        <w:t>s</w:t>
      </w:r>
      <w:r w:rsidR="00823F92">
        <w:t xml:space="preserve"> </w:t>
      </w:r>
      <w:r w:rsidRPr="0060494B">
        <w:t>includin</w:t>
      </w:r>
      <w:r w:rsidR="00823F92" w:rsidRPr="0060494B">
        <w:t>g</w:t>
      </w:r>
      <w:r w:rsidR="00823F92">
        <w:t xml:space="preserve"> </w:t>
      </w:r>
      <w:r w:rsidR="000C3A70">
        <w:t>c</w:t>
      </w:r>
      <w:r w:rsidRPr="0060494B">
        <w:t>ounsellor</w:t>
      </w:r>
      <w:r w:rsidR="00823F92" w:rsidRPr="0060494B">
        <w:t>s</w:t>
      </w:r>
      <w:r w:rsidR="00823F92">
        <w:t xml:space="preserve"> </w:t>
      </w:r>
      <w:r w:rsidRPr="0060494B">
        <w:t>an</w:t>
      </w:r>
      <w:r w:rsidR="00823F92" w:rsidRPr="0060494B">
        <w:t>d</w:t>
      </w:r>
      <w:r w:rsidR="00823F92">
        <w:t xml:space="preserve"> </w:t>
      </w:r>
      <w:r w:rsidR="000C3A70">
        <w:t>p</w:t>
      </w:r>
      <w:r w:rsidRPr="0060494B">
        <w:t>sychotherapists</w:t>
      </w:r>
      <w:r w:rsidR="00823F92" w:rsidRPr="0060494B">
        <w:t>,</w:t>
      </w:r>
      <w:r w:rsidR="00823F92">
        <w:t xml:space="preserve"> </w:t>
      </w:r>
      <w:r w:rsidR="000C3A70">
        <w:t>m</w:t>
      </w:r>
      <w:r w:rsidRPr="0060494B">
        <w:t>enta</w:t>
      </w:r>
      <w:r w:rsidR="00823F92" w:rsidRPr="0060494B">
        <w:t>l</w:t>
      </w:r>
      <w:r w:rsidR="00823F92">
        <w:t xml:space="preserve"> </w:t>
      </w:r>
      <w:r w:rsidR="000C3A70">
        <w:t>h</w:t>
      </w:r>
      <w:r w:rsidRPr="0060494B">
        <w:t>ealt</w:t>
      </w:r>
      <w:r w:rsidR="00823F92" w:rsidRPr="0060494B">
        <w:t>h</w:t>
      </w:r>
      <w:r w:rsidR="00823F92">
        <w:t xml:space="preserve"> </w:t>
      </w:r>
      <w:r w:rsidR="000C3A70">
        <w:t>n</w:t>
      </w:r>
      <w:r w:rsidRPr="0060494B">
        <w:t>urses</w:t>
      </w:r>
      <w:r w:rsidR="00823F92" w:rsidRPr="0060494B">
        <w:t>,</w:t>
      </w:r>
      <w:r w:rsidR="00823F92">
        <w:t xml:space="preserve"> </w:t>
      </w:r>
      <w:r w:rsidR="000C3A70">
        <w:t>o</w:t>
      </w:r>
      <w:r w:rsidRPr="0060494B">
        <w:t>ccupationa</w:t>
      </w:r>
      <w:r w:rsidR="00823F92" w:rsidRPr="0060494B">
        <w:t>l</w:t>
      </w:r>
      <w:r w:rsidR="00823F92">
        <w:t xml:space="preserve"> </w:t>
      </w:r>
      <w:r w:rsidR="000C3A70">
        <w:t>t</w:t>
      </w:r>
      <w:r w:rsidRPr="0060494B">
        <w:t>herapist</w:t>
      </w:r>
      <w:r w:rsidR="00823F92" w:rsidRPr="0060494B">
        <w:t>s</w:t>
      </w:r>
      <w:r w:rsidR="00823F92">
        <w:t xml:space="preserve"> </w:t>
      </w:r>
      <w:r w:rsidRPr="0060494B">
        <w:t>an</w:t>
      </w:r>
      <w:r w:rsidR="00823F92" w:rsidRPr="0060494B">
        <w:t>d</w:t>
      </w:r>
      <w:r w:rsidR="00823F92">
        <w:t xml:space="preserve"> </w:t>
      </w:r>
      <w:r w:rsidRPr="0060494B">
        <w:t>th</w:t>
      </w:r>
      <w:r w:rsidR="00823F92" w:rsidRPr="0060494B">
        <w:t>e</w:t>
      </w:r>
      <w:r w:rsidR="00823F92">
        <w:t xml:space="preserve"> </w:t>
      </w:r>
      <w:r w:rsidRPr="0060494B">
        <w:t>vocationall</w:t>
      </w:r>
      <w:r w:rsidR="00823F92" w:rsidRPr="0060494B">
        <w:t>y</w:t>
      </w:r>
      <w:r w:rsidR="00823F92">
        <w:t xml:space="preserve"> </w:t>
      </w:r>
      <w:r w:rsidRPr="0060494B">
        <w:t>traine</w:t>
      </w:r>
      <w:r w:rsidR="00823F92" w:rsidRPr="0060494B">
        <w:t>d</w:t>
      </w:r>
      <w:r w:rsidR="00823F92">
        <w:t xml:space="preserve"> </w:t>
      </w:r>
      <w:r w:rsidRPr="0060494B">
        <w:t>workforc</w:t>
      </w:r>
      <w:r w:rsidR="00823F92" w:rsidRPr="0060494B">
        <w:t>e</w:t>
      </w:r>
      <w:r w:rsidR="00823F92">
        <w:t xml:space="preserve"> </w:t>
      </w:r>
      <w:r w:rsidRPr="0060494B">
        <w:t>i</w:t>
      </w:r>
      <w:r w:rsidR="00823F92" w:rsidRPr="0060494B">
        <w:t>n</w:t>
      </w:r>
      <w:r w:rsidR="00823F92">
        <w:t xml:space="preserve"> </w:t>
      </w:r>
      <w:r w:rsidRPr="0060494B">
        <w:t>particular.</w:t>
      </w:r>
    </w:p>
    <w:p w14:paraId="3F1DCDCB" w14:textId="0D27E7F2" w:rsidR="00B92C0D" w:rsidRDefault="00B92C0D" w:rsidP="00B92C0D">
      <w:pPr>
        <w:pStyle w:val="BodyText"/>
      </w:pPr>
      <w:r w:rsidRPr="0060494B">
        <w:t>Curren</w:t>
      </w:r>
      <w:r w:rsidR="00823F92" w:rsidRPr="0060494B">
        <w:t>t</w:t>
      </w:r>
      <w:r w:rsidR="00823F92">
        <w:t xml:space="preserve"> </w:t>
      </w:r>
      <w:r w:rsidRPr="0060494B">
        <w:t>Medica</w:t>
      </w:r>
      <w:r w:rsidR="00823F92" w:rsidRPr="0060494B">
        <w:t>l</w:t>
      </w:r>
      <w:r w:rsidR="00823F92">
        <w:t xml:space="preserve"> </w:t>
      </w:r>
      <w:r w:rsidRPr="0060494B">
        <w:t>Benefit</w:t>
      </w:r>
      <w:r w:rsidR="00823F92" w:rsidRPr="0060494B">
        <w:t>s</w:t>
      </w:r>
      <w:r w:rsidR="00823F92">
        <w:t xml:space="preserve"> </w:t>
      </w:r>
      <w:r w:rsidRPr="0060494B">
        <w:t>Schem</w:t>
      </w:r>
      <w:r w:rsidR="00823F92" w:rsidRPr="0060494B">
        <w:t>e</w:t>
      </w:r>
      <w:r w:rsidR="00823F92">
        <w:t xml:space="preserve"> </w:t>
      </w:r>
      <w:r w:rsidRPr="0060494B">
        <w:t>(MBS) setting</w:t>
      </w:r>
      <w:r w:rsidR="00823F92" w:rsidRPr="0060494B">
        <w:t>s</w:t>
      </w:r>
      <w:r w:rsidR="00823F92">
        <w:t xml:space="preserve"> </w:t>
      </w:r>
      <w:r w:rsidRPr="0060494B">
        <w:t>d</w:t>
      </w:r>
      <w:r w:rsidR="00823F92" w:rsidRPr="0060494B">
        <w:t>o</w:t>
      </w:r>
      <w:r w:rsidR="00823F92">
        <w:t xml:space="preserve"> </w:t>
      </w:r>
      <w:r w:rsidRPr="0060494B">
        <w:t>no</w:t>
      </w:r>
      <w:r w:rsidR="00823F92" w:rsidRPr="0060494B">
        <w:t>t</w:t>
      </w:r>
      <w:r w:rsidR="00823F92">
        <w:t xml:space="preserve"> </w:t>
      </w:r>
      <w:r w:rsidRPr="0060494B">
        <w:t>encourag</w:t>
      </w:r>
      <w:r w:rsidR="00823F92" w:rsidRPr="0060494B">
        <w:t>e</w:t>
      </w:r>
      <w:r w:rsidR="00823F92">
        <w:t xml:space="preserve"> </w:t>
      </w:r>
      <w:r w:rsidRPr="0060494B">
        <w:t>GP</w:t>
      </w:r>
      <w:r w:rsidR="00823F92" w:rsidRPr="0060494B">
        <w:t>s</w:t>
      </w:r>
      <w:r w:rsidR="00823F92">
        <w:t xml:space="preserve"> </w:t>
      </w:r>
      <w:r w:rsidRPr="0060494B">
        <w:t>t</w:t>
      </w:r>
      <w:r w:rsidR="00823F92" w:rsidRPr="0060494B">
        <w:t>o</w:t>
      </w:r>
      <w:r w:rsidR="00823F92">
        <w:t xml:space="preserve"> </w:t>
      </w:r>
      <w:r w:rsidRPr="0060494B">
        <w:t>specialis</w:t>
      </w:r>
      <w:r w:rsidR="00823F92" w:rsidRPr="0060494B">
        <w:t>e</w:t>
      </w:r>
      <w:r w:rsidR="00823F92">
        <w:t xml:space="preserve"> </w:t>
      </w:r>
      <w:r w:rsidRPr="0060494B">
        <w:t>i</w:t>
      </w:r>
      <w:r w:rsidR="00823F92" w:rsidRPr="0060494B">
        <w:t>n</w:t>
      </w:r>
      <w:r w:rsidR="00823F92">
        <w:t xml:space="preserve"> </w:t>
      </w:r>
      <w:r w:rsidRPr="0060494B">
        <w:t>menta</w:t>
      </w:r>
      <w:r w:rsidR="00823F92" w:rsidRPr="0060494B">
        <w:t>l</w:t>
      </w:r>
      <w:r w:rsidR="00823F92">
        <w:t xml:space="preserve"> </w:t>
      </w:r>
      <w:r w:rsidRPr="0060494B">
        <w:t>healt</w:t>
      </w:r>
      <w:r w:rsidR="00823F92" w:rsidRPr="0060494B">
        <w:t>h</w:t>
      </w:r>
      <w:r w:rsidR="00823F92">
        <w:t xml:space="preserve"> </w:t>
      </w:r>
      <w:r w:rsidRPr="0060494B">
        <w:t>a</w:t>
      </w:r>
      <w:r w:rsidR="00823F92" w:rsidRPr="0060494B">
        <w:t>s</w:t>
      </w:r>
      <w:r w:rsidR="00823F92">
        <w:t xml:space="preserve"> </w:t>
      </w:r>
      <w:r w:rsidRPr="0060494B">
        <w:t>th</w:t>
      </w:r>
      <w:r w:rsidR="00823F92" w:rsidRPr="0060494B">
        <w:t>e</w:t>
      </w:r>
      <w:r w:rsidR="00823F92">
        <w:t xml:space="preserve"> </w:t>
      </w:r>
      <w:r w:rsidRPr="0060494B">
        <w:t>rebate</w:t>
      </w:r>
      <w:r w:rsidR="00823F92" w:rsidRPr="0060494B">
        <w:t>s</w:t>
      </w:r>
      <w:r w:rsidR="00823F92">
        <w:t xml:space="preserve"> </w:t>
      </w:r>
      <w:r w:rsidRPr="0060494B">
        <w:t>fo</w:t>
      </w:r>
      <w:r w:rsidR="00823F92" w:rsidRPr="0060494B">
        <w:t>r</w:t>
      </w:r>
      <w:r w:rsidR="00823F92">
        <w:t xml:space="preserve"> </w:t>
      </w:r>
      <w:r w:rsidRPr="0060494B">
        <w:t>man</w:t>
      </w:r>
      <w:r w:rsidR="00823F92" w:rsidRPr="0060494B">
        <w:t>y</w:t>
      </w:r>
      <w:r w:rsidR="00823F92">
        <w:t xml:space="preserve"> </w:t>
      </w:r>
      <w:r w:rsidRPr="0060494B">
        <w:t>menta</w:t>
      </w:r>
      <w:r w:rsidR="00823F92" w:rsidRPr="0060494B">
        <w:t>l</w:t>
      </w:r>
      <w:r w:rsidR="00823F92">
        <w:t xml:space="preserve"> </w:t>
      </w:r>
      <w:r w:rsidRPr="0060494B">
        <w:t>healt</w:t>
      </w:r>
      <w:r w:rsidR="00823F92" w:rsidRPr="0060494B">
        <w:t>h</w:t>
      </w:r>
      <w:r w:rsidR="00823F92">
        <w:t xml:space="preserve"> </w:t>
      </w:r>
      <w:r w:rsidRPr="0060494B">
        <w:t>consultation</w:t>
      </w:r>
      <w:r w:rsidR="00823F92" w:rsidRPr="0060494B">
        <w:t>s</w:t>
      </w:r>
      <w:r w:rsidR="00823F92">
        <w:t xml:space="preserve"> </w:t>
      </w:r>
      <w:r w:rsidRPr="0060494B">
        <w:t>ar</w:t>
      </w:r>
      <w:r w:rsidR="00823F92" w:rsidRPr="0060494B">
        <w:t>e</w:t>
      </w:r>
      <w:r w:rsidR="00823F92">
        <w:t xml:space="preserve"> </w:t>
      </w:r>
      <w:r w:rsidRPr="0060494B">
        <w:t>les</w:t>
      </w:r>
      <w:r w:rsidR="00823F92" w:rsidRPr="0060494B">
        <w:t>s</w:t>
      </w:r>
      <w:r w:rsidR="00823F92">
        <w:t xml:space="preserve"> </w:t>
      </w:r>
      <w:r w:rsidRPr="0060494B">
        <w:t>tha</w:t>
      </w:r>
      <w:r w:rsidR="00823F92" w:rsidRPr="0060494B">
        <w:t>n</w:t>
      </w:r>
      <w:r w:rsidR="00823F92">
        <w:t xml:space="preserve"> </w:t>
      </w:r>
      <w:r w:rsidRPr="0060494B">
        <w:t>th</w:t>
      </w:r>
      <w:r w:rsidR="00823F92" w:rsidRPr="0060494B">
        <w:t>e</w:t>
      </w:r>
      <w:r w:rsidR="00823F92">
        <w:t xml:space="preserve"> </w:t>
      </w:r>
      <w:r w:rsidRPr="0060494B">
        <w:t>rebate</w:t>
      </w:r>
      <w:r w:rsidR="00823F92" w:rsidRPr="0060494B">
        <w:t>s</w:t>
      </w:r>
      <w:r w:rsidR="00823F92">
        <w:t xml:space="preserve"> </w:t>
      </w:r>
      <w:r w:rsidRPr="0060494B">
        <w:t>fo</w:t>
      </w:r>
      <w:r w:rsidR="00823F92" w:rsidRPr="0060494B">
        <w:t>r</w:t>
      </w:r>
      <w:r w:rsidR="00823F92">
        <w:t xml:space="preserve"> </w:t>
      </w:r>
      <w:r w:rsidRPr="0060494B">
        <w:t>othe</w:t>
      </w:r>
      <w:r w:rsidR="00823F92" w:rsidRPr="0060494B">
        <w:t>r</w:t>
      </w:r>
      <w:r w:rsidR="00823F92">
        <w:t xml:space="preserve"> </w:t>
      </w:r>
      <w:r w:rsidRPr="0060494B">
        <w:t>services</w:t>
      </w:r>
      <w:r w:rsidR="00823F92" w:rsidRPr="0060494B">
        <w:t>,</w:t>
      </w:r>
      <w:r w:rsidR="00823F92">
        <w:t xml:space="preserve"> </w:t>
      </w:r>
      <w:r w:rsidRPr="0060494B">
        <w:t>despit</w:t>
      </w:r>
      <w:r w:rsidR="00823F92" w:rsidRPr="0060494B">
        <w:t>e</w:t>
      </w:r>
      <w:r w:rsidR="00823F92">
        <w:t xml:space="preserve"> </w:t>
      </w:r>
      <w:r w:rsidRPr="0060494B">
        <w:t>th</w:t>
      </w:r>
      <w:r w:rsidR="00823F92" w:rsidRPr="0060494B">
        <w:t>e</w:t>
      </w:r>
      <w:r w:rsidR="00823F92">
        <w:t xml:space="preserve"> </w:t>
      </w:r>
      <w:r w:rsidRPr="0060494B">
        <w:t>increase</w:t>
      </w:r>
      <w:r w:rsidR="00823F92" w:rsidRPr="0060494B">
        <w:t>d</w:t>
      </w:r>
      <w:r w:rsidR="00823F92">
        <w:t xml:space="preserve"> </w:t>
      </w:r>
      <w:r w:rsidRPr="0060494B">
        <w:t>tim</w:t>
      </w:r>
      <w:r w:rsidR="00823F92" w:rsidRPr="0060494B">
        <w:t>e</w:t>
      </w:r>
      <w:r w:rsidR="00823F92">
        <w:t xml:space="preserve"> </w:t>
      </w:r>
      <w:r w:rsidRPr="0060494B">
        <w:t>require</w:t>
      </w:r>
      <w:r w:rsidR="00823F92" w:rsidRPr="0060494B">
        <w:t>d</w:t>
      </w:r>
      <w:r w:rsidR="00823F92">
        <w:t xml:space="preserve"> </w:t>
      </w:r>
      <w:r w:rsidRPr="0060494B">
        <w:t>t</w:t>
      </w:r>
      <w:r w:rsidR="00823F92" w:rsidRPr="0060494B">
        <w:t>o</w:t>
      </w:r>
      <w:r w:rsidR="00823F92">
        <w:t xml:space="preserve"> </w:t>
      </w:r>
      <w:r>
        <w:t>delive</w:t>
      </w:r>
      <w:r w:rsidR="00823F92">
        <w:t xml:space="preserve">r </w:t>
      </w:r>
      <w:r>
        <w:t>them</w:t>
      </w:r>
      <w:r w:rsidR="00823F92">
        <w:t xml:space="preserve">. </w:t>
      </w:r>
    </w:p>
    <w:p w14:paraId="79424AB9" w14:textId="77777777" w:rsidR="00453F15" w:rsidRPr="000E25B1" w:rsidRDefault="00453F15" w:rsidP="008D57D0">
      <w:pPr>
        <w:pStyle w:val="Heading3nonumber"/>
        <w:keepNext/>
      </w:pPr>
      <w:r w:rsidRPr="000E25B1">
        <w:t>Supervision</w:t>
      </w:r>
    </w:p>
    <w:p w14:paraId="7F398F1E" w14:textId="281C77F9" w:rsidR="00453F15" w:rsidRPr="00052EE6" w:rsidRDefault="00453F15" w:rsidP="007F29E7">
      <w:pPr>
        <w:pStyle w:val="BodyText"/>
        <w:rPr>
          <w:b/>
        </w:rPr>
      </w:pPr>
      <w:r>
        <w:t>Supervisio</w:t>
      </w:r>
      <w:r w:rsidR="00823F92">
        <w:t xml:space="preserve">n </w:t>
      </w:r>
      <w:r>
        <w:t>i</w:t>
      </w:r>
      <w:r w:rsidR="00823F92">
        <w:t xml:space="preserve">s </w:t>
      </w:r>
      <w:r>
        <w:t>a</w:t>
      </w:r>
      <w:r w:rsidR="00823F92">
        <w:t xml:space="preserve">n </w:t>
      </w:r>
      <w:r>
        <w:t>essentia</w:t>
      </w:r>
      <w:r w:rsidR="00823F92">
        <w:t xml:space="preserve">l </w:t>
      </w:r>
      <w:r>
        <w:t>par</w:t>
      </w:r>
      <w:r w:rsidR="00823F92">
        <w:t xml:space="preserve">t </w:t>
      </w:r>
      <w:r>
        <w:t>o</w:t>
      </w:r>
      <w:r w:rsidR="00823F92">
        <w:t xml:space="preserve">f </w:t>
      </w:r>
      <w:r>
        <w:t>practic</w:t>
      </w:r>
      <w:r w:rsidR="00823F92">
        <w:t xml:space="preserve">e </w:t>
      </w:r>
      <w:r>
        <w:t>improvemen</w:t>
      </w:r>
      <w:r w:rsidR="00823F92">
        <w:t xml:space="preserve">t </w:t>
      </w:r>
      <w:r>
        <w:t>fo</w:t>
      </w:r>
      <w:r w:rsidR="00823F92">
        <w:t xml:space="preserve">r </w:t>
      </w:r>
      <w:r>
        <w:t>th</w:t>
      </w:r>
      <w:r w:rsidR="00823F92">
        <w:t xml:space="preserve">e </w:t>
      </w:r>
      <w:r>
        <w:t>menta</w:t>
      </w:r>
      <w:r w:rsidR="00823F92">
        <w:t xml:space="preserve">l </w:t>
      </w:r>
      <w:r>
        <w:t>healt</w:t>
      </w:r>
      <w:r w:rsidR="00823F92">
        <w:t xml:space="preserve">h </w:t>
      </w:r>
      <w:r>
        <w:t>workforce</w:t>
      </w:r>
      <w:r w:rsidR="00823F92">
        <w:t xml:space="preserve">. </w:t>
      </w:r>
      <w:r w:rsidRPr="00052EE6">
        <w:t>Th</w:t>
      </w:r>
      <w:r w:rsidR="00823F92" w:rsidRPr="00052EE6">
        <w:t>e</w:t>
      </w:r>
      <w:r w:rsidR="00823F92">
        <w:t xml:space="preserve"> </w:t>
      </w:r>
      <w:r w:rsidRPr="00052EE6">
        <w:t>lac</w:t>
      </w:r>
      <w:r w:rsidR="00823F92" w:rsidRPr="00052EE6">
        <w:t>k</w:t>
      </w:r>
      <w:r w:rsidR="00823F92">
        <w:t xml:space="preserve"> </w:t>
      </w:r>
      <w:r w:rsidRPr="00052EE6">
        <w:t>o</w:t>
      </w:r>
      <w:r w:rsidR="00823F92" w:rsidRPr="00052EE6">
        <w:t>f</w:t>
      </w:r>
      <w:r w:rsidR="00823F92">
        <w:t xml:space="preserve"> </w:t>
      </w:r>
      <w:r w:rsidRPr="00052EE6">
        <w:t>acces</w:t>
      </w:r>
      <w:r w:rsidR="00823F92" w:rsidRPr="00052EE6">
        <w:t>s</w:t>
      </w:r>
      <w:r w:rsidR="00823F92">
        <w:t xml:space="preserve"> </w:t>
      </w:r>
      <w:r w:rsidRPr="00052EE6">
        <w:t>t</w:t>
      </w:r>
      <w:r w:rsidR="00823F92" w:rsidRPr="00052EE6">
        <w:t>o</w:t>
      </w:r>
      <w:r w:rsidR="00823F92">
        <w:t xml:space="preserve"> </w:t>
      </w:r>
      <w:r w:rsidRPr="00052EE6">
        <w:t>qualit</w:t>
      </w:r>
      <w:r w:rsidR="00823F92" w:rsidRPr="00052EE6">
        <w:t>y</w:t>
      </w:r>
      <w:r w:rsidR="00823F92">
        <w:t xml:space="preserve"> </w:t>
      </w:r>
      <w:r w:rsidRPr="00052EE6">
        <w:t>supervisio</w:t>
      </w:r>
      <w:r w:rsidR="00823F92" w:rsidRPr="00052EE6">
        <w:t>n</w:t>
      </w:r>
      <w:r w:rsidR="00823F92">
        <w:t xml:space="preserve"> </w:t>
      </w:r>
      <w:r w:rsidRPr="00052EE6">
        <w:t>impact</w:t>
      </w:r>
      <w:r w:rsidR="00823F92" w:rsidRPr="00052EE6">
        <w:t>s</w:t>
      </w:r>
      <w:r w:rsidR="00823F92">
        <w:t xml:space="preserve"> </w:t>
      </w:r>
      <w:r w:rsidRPr="00052EE6">
        <w:t>o</w:t>
      </w:r>
      <w:r w:rsidR="00823F92" w:rsidRPr="00052EE6">
        <w:t>n</w:t>
      </w:r>
      <w:r w:rsidR="00823F92">
        <w:t xml:space="preserve"> </w:t>
      </w:r>
      <w:r w:rsidRPr="00052EE6">
        <w:t>employe</w:t>
      </w:r>
      <w:r w:rsidR="00823F92" w:rsidRPr="00052EE6">
        <w:t>e</w:t>
      </w:r>
      <w:r w:rsidR="00823F92">
        <w:t xml:space="preserve"> </w:t>
      </w:r>
      <w:r w:rsidRPr="00052EE6">
        <w:t>satisfactio</w:t>
      </w:r>
      <w:r w:rsidR="00823F92" w:rsidRPr="00052EE6">
        <w:t>n</w:t>
      </w:r>
      <w:r w:rsidR="00823F92">
        <w:t xml:space="preserve"> </w:t>
      </w:r>
      <w:r w:rsidRPr="00052EE6">
        <w:t>an</w:t>
      </w:r>
      <w:r w:rsidR="00823F92" w:rsidRPr="00052EE6">
        <w:t>d</w:t>
      </w:r>
      <w:r w:rsidR="00823F92">
        <w:t xml:space="preserve"> </w:t>
      </w:r>
      <w:r w:rsidRPr="00052EE6">
        <w:t>willingnes</w:t>
      </w:r>
      <w:r w:rsidR="00823F92" w:rsidRPr="00052EE6">
        <w:t>s</w:t>
      </w:r>
      <w:r w:rsidR="00823F92">
        <w:t xml:space="preserve"> </w:t>
      </w:r>
      <w:r w:rsidRPr="00052EE6">
        <w:t>t</w:t>
      </w:r>
      <w:r w:rsidR="00823F92" w:rsidRPr="00052EE6">
        <w:t>o</w:t>
      </w:r>
      <w:r w:rsidR="00823F92">
        <w:t xml:space="preserve"> </w:t>
      </w:r>
      <w:r w:rsidRPr="00052EE6">
        <w:t>sta</w:t>
      </w:r>
      <w:r w:rsidR="00823F92" w:rsidRPr="00052EE6">
        <w:t>y</w:t>
      </w:r>
      <w:r w:rsidR="00823F92">
        <w:t xml:space="preserve"> </w:t>
      </w:r>
      <w:r w:rsidRPr="00052EE6">
        <w:t>withi</w:t>
      </w:r>
      <w:r w:rsidR="00823F92" w:rsidRPr="00052EE6">
        <w:t>n</w:t>
      </w:r>
      <w:r w:rsidR="00823F92">
        <w:t xml:space="preserve"> </w:t>
      </w:r>
      <w:r w:rsidRPr="00052EE6">
        <w:t>th</w:t>
      </w:r>
      <w:r w:rsidR="00823F92" w:rsidRPr="00052EE6">
        <w:t>e</w:t>
      </w:r>
      <w:r w:rsidR="00823F92">
        <w:t xml:space="preserve"> </w:t>
      </w:r>
      <w:r w:rsidRPr="00052EE6">
        <w:t>menta</w:t>
      </w:r>
      <w:r w:rsidR="00823F92" w:rsidRPr="00052EE6">
        <w:t>l</w:t>
      </w:r>
      <w:r w:rsidR="00823F92">
        <w:t xml:space="preserve"> </w:t>
      </w:r>
      <w:r w:rsidRPr="00052EE6">
        <w:t>healt</w:t>
      </w:r>
      <w:r w:rsidR="00823F92" w:rsidRPr="00052EE6">
        <w:t>h</w:t>
      </w:r>
      <w:r w:rsidR="00823F92">
        <w:t xml:space="preserve"> </w:t>
      </w:r>
      <w:r w:rsidRPr="00052EE6">
        <w:t>sector</w:t>
      </w:r>
      <w:r w:rsidR="00823F92" w:rsidRPr="00052EE6">
        <w:t>.</w:t>
      </w:r>
      <w:r w:rsidR="00823F92">
        <w:t xml:space="preserve"> </w:t>
      </w:r>
    </w:p>
    <w:p w14:paraId="7E98B42A" w14:textId="625C4A28" w:rsidR="006B6069" w:rsidRDefault="00453F15" w:rsidP="007F29E7">
      <w:pPr>
        <w:pStyle w:val="BodyText"/>
      </w:pPr>
      <w:r w:rsidRPr="00052EE6">
        <w:t>Fo</w:t>
      </w:r>
      <w:r w:rsidR="00823F92" w:rsidRPr="00052EE6">
        <w:t>r</w:t>
      </w:r>
      <w:r w:rsidR="00823F92">
        <w:t xml:space="preserve"> </w:t>
      </w:r>
      <w:r w:rsidRPr="00052EE6">
        <w:t>som</w:t>
      </w:r>
      <w:r w:rsidR="00823F92" w:rsidRPr="00052EE6">
        <w:t>e</w:t>
      </w:r>
      <w:r w:rsidR="00823F92">
        <w:t xml:space="preserve"> </w:t>
      </w:r>
      <w:r w:rsidRPr="00052EE6">
        <w:t>group</w:t>
      </w:r>
      <w:r w:rsidR="00823F92" w:rsidRPr="00052EE6">
        <w:t>s</w:t>
      </w:r>
      <w:r w:rsidR="00823F92">
        <w:t xml:space="preserve"> </w:t>
      </w:r>
      <w:r w:rsidRPr="00052EE6">
        <w:t>(suc</w:t>
      </w:r>
      <w:r w:rsidR="00823F92" w:rsidRPr="00052EE6">
        <w:t>h</w:t>
      </w:r>
      <w:r w:rsidR="00823F92">
        <w:t xml:space="preserve"> </w:t>
      </w:r>
      <w:r w:rsidRPr="00052EE6">
        <w:t>a</w:t>
      </w:r>
      <w:r w:rsidR="00823F92" w:rsidRPr="00052EE6">
        <w:t>s</w:t>
      </w:r>
      <w:r w:rsidR="00823F92">
        <w:t xml:space="preserve"> </w:t>
      </w:r>
      <w:r w:rsidRPr="00052EE6">
        <w:t>occupationa</w:t>
      </w:r>
      <w:r w:rsidR="00823F92" w:rsidRPr="00052EE6">
        <w:t>l</w:t>
      </w:r>
      <w:r w:rsidR="00823F92">
        <w:t xml:space="preserve"> </w:t>
      </w:r>
      <w:r w:rsidRPr="00052EE6">
        <w:t>therapist</w:t>
      </w:r>
      <w:r w:rsidR="00823F92" w:rsidRPr="00052EE6">
        <w:t>s</w:t>
      </w:r>
      <w:r w:rsidR="00823F92">
        <w:t xml:space="preserve"> </w:t>
      </w:r>
      <w:r w:rsidRPr="00052EE6">
        <w:t>an</w:t>
      </w:r>
      <w:r w:rsidR="00823F92" w:rsidRPr="00052EE6">
        <w:t>d</w:t>
      </w:r>
      <w:r w:rsidR="00823F92">
        <w:t xml:space="preserve"> </w:t>
      </w:r>
      <w:r w:rsidRPr="00052EE6">
        <w:t>socia</w:t>
      </w:r>
      <w:r w:rsidR="00823F92" w:rsidRPr="00052EE6">
        <w:t>l</w:t>
      </w:r>
      <w:r w:rsidR="00823F92">
        <w:t xml:space="preserve"> </w:t>
      </w:r>
      <w:r w:rsidRPr="00052EE6">
        <w:t>workers) ther</w:t>
      </w:r>
      <w:r w:rsidR="00823F92" w:rsidRPr="00052EE6">
        <w:t>e</w:t>
      </w:r>
      <w:r w:rsidR="00823F92">
        <w:t xml:space="preserve"> </w:t>
      </w:r>
      <w:r w:rsidRPr="00052EE6">
        <w:t>i</w:t>
      </w:r>
      <w:r w:rsidR="00823F92" w:rsidRPr="00052EE6">
        <w:t>s</w:t>
      </w:r>
      <w:r w:rsidR="00823F92">
        <w:t xml:space="preserve"> </w:t>
      </w:r>
      <w:r w:rsidRPr="00052EE6">
        <w:t>difficult</w:t>
      </w:r>
      <w:r w:rsidR="00823F92" w:rsidRPr="00052EE6">
        <w:t>y</w:t>
      </w:r>
      <w:r w:rsidR="00823F92">
        <w:t xml:space="preserve"> </w:t>
      </w:r>
      <w:r w:rsidRPr="00052EE6">
        <w:t>accessin</w:t>
      </w:r>
      <w:r w:rsidR="00823F92" w:rsidRPr="00052EE6">
        <w:t>g</w:t>
      </w:r>
      <w:r w:rsidR="00823F92">
        <w:t xml:space="preserve"> </w:t>
      </w:r>
      <w:r w:rsidRPr="00052EE6">
        <w:t>discipline-specifi</w:t>
      </w:r>
      <w:r w:rsidR="00823F92" w:rsidRPr="00052EE6">
        <w:t>c</w:t>
      </w:r>
      <w:r w:rsidR="00823F92">
        <w:t xml:space="preserve"> </w:t>
      </w:r>
      <w:r w:rsidRPr="00052EE6">
        <w:t>supervisio</w:t>
      </w:r>
      <w:r w:rsidR="00823F92" w:rsidRPr="00052EE6">
        <w:t>n</w:t>
      </w:r>
      <w:r w:rsidR="00823F92">
        <w:t xml:space="preserve"> </w:t>
      </w:r>
      <w:r w:rsidR="001179F7">
        <w:t>withi</w:t>
      </w:r>
      <w:r w:rsidR="00823F92">
        <w:t xml:space="preserve">n </w:t>
      </w:r>
      <w:r w:rsidR="001179F7">
        <w:t>menta</w:t>
      </w:r>
      <w:r w:rsidR="00823F92">
        <w:t xml:space="preserve">l </w:t>
      </w:r>
      <w:r w:rsidR="001179F7">
        <w:t>healt</w:t>
      </w:r>
      <w:r w:rsidR="00823F92">
        <w:t xml:space="preserve">h </w:t>
      </w:r>
      <w:r w:rsidR="001179F7">
        <w:t>settings</w:t>
      </w:r>
      <w:r w:rsidR="00823F92" w:rsidRPr="00052EE6">
        <w:t>,</w:t>
      </w:r>
      <w:r w:rsidR="00823F92">
        <w:t xml:space="preserve"> </w:t>
      </w:r>
      <w:r w:rsidRPr="00052EE6">
        <w:t>whe</w:t>
      </w:r>
      <w:r w:rsidR="00823F92" w:rsidRPr="00052EE6">
        <w:t>n</w:t>
      </w:r>
      <w:r w:rsidR="00823F92">
        <w:t xml:space="preserve"> </w:t>
      </w:r>
      <w:r w:rsidRPr="00052EE6">
        <w:t>car</w:t>
      </w:r>
      <w:r w:rsidR="00823F92" w:rsidRPr="00052EE6">
        <w:t>e</w:t>
      </w:r>
      <w:r w:rsidR="00823F92">
        <w:t xml:space="preserve"> </w:t>
      </w:r>
      <w:r w:rsidRPr="00052EE6">
        <w:t>tea</w:t>
      </w:r>
      <w:r w:rsidR="00823F92" w:rsidRPr="00052EE6">
        <w:t>m</w:t>
      </w:r>
      <w:r w:rsidR="00823F92">
        <w:t xml:space="preserve"> </w:t>
      </w:r>
      <w:r w:rsidRPr="00052EE6">
        <w:t>structure</w:t>
      </w:r>
      <w:r w:rsidR="00823F92" w:rsidRPr="00052EE6">
        <w:t>s</w:t>
      </w:r>
      <w:r w:rsidR="00823F92">
        <w:t xml:space="preserve"> </w:t>
      </w:r>
      <w:r w:rsidRPr="00052EE6">
        <w:t>an</w:t>
      </w:r>
      <w:r w:rsidR="00823F92" w:rsidRPr="00052EE6">
        <w:t>d</w:t>
      </w:r>
      <w:r w:rsidR="00823F92">
        <w:t xml:space="preserve"> </w:t>
      </w:r>
      <w:r w:rsidRPr="00052EE6">
        <w:t>role</w:t>
      </w:r>
      <w:r w:rsidR="00823F92" w:rsidRPr="00052EE6">
        <w:t>s</w:t>
      </w:r>
      <w:r w:rsidR="00823F92">
        <w:t xml:space="preserve"> </w:t>
      </w:r>
      <w:r w:rsidRPr="00052EE6">
        <w:t>ar</w:t>
      </w:r>
      <w:r w:rsidR="00823F92" w:rsidRPr="00052EE6">
        <w:t>e</w:t>
      </w:r>
      <w:r w:rsidR="00823F92">
        <w:t xml:space="preserve"> </w:t>
      </w:r>
      <w:r w:rsidRPr="00052EE6">
        <w:t>mor</w:t>
      </w:r>
      <w:r w:rsidR="00823F92" w:rsidRPr="00052EE6">
        <w:t>e</w:t>
      </w:r>
      <w:r w:rsidR="00823F92">
        <w:t xml:space="preserve"> </w:t>
      </w:r>
      <w:r w:rsidRPr="00052EE6">
        <w:t>generalis</w:t>
      </w:r>
      <w:r w:rsidR="00823F92" w:rsidRPr="00052EE6">
        <w:t>t</w:t>
      </w:r>
      <w:r w:rsidR="00823F92">
        <w:t xml:space="preserve"> </w:t>
      </w:r>
      <w:r w:rsidRPr="00052EE6">
        <w:t>i</w:t>
      </w:r>
      <w:r w:rsidR="00823F92" w:rsidRPr="00052EE6">
        <w:t>n</w:t>
      </w:r>
      <w:r w:rsidR="00823F92">
        <w:t xml:space="preserve"> </w:t>
      </w:r>
      <w:r w:rsidRPr="00052EE6">
        <w:t>nature</w:t>
      </w:r>
      <w:r w:rsidR="00823F92" w:rsidRPr="00052EE6">
        <w:t>.</w:t>
      </w:r>
      <w:r w:rsidR="00823F92">
        <w:t xml:space="preserve"> </w:t>
      </w:r>
      <w:r w:rsidRPr="00052EE6">
        <w:t>Fo</w:t>
      </w:r>
      <w:r w:rsidR="00823F92" w:rsidRPr="00052EE6">
        <w:t>r</w:t>
      </w:r>
      <w:r w:rsidR="00823F92">
        <w:t xml:space="preserve"> </w:t>
      </w:r>
      <w:r w:rsidRPr="00052EE6">
        <w:t>othe</w:t>
      </w:r>
      <w:r w:rsidR="00823F92" w:rsidRPr="00052EE6">
        <w:t>r</w:t>
      </w:r>
      <w:r w:rsidR="00823F92">
        <w:t xml:space="preserve"> </w:t>
      </w:r>
      <w:r w:rsidRPr="00052EE6">
        <w:t>group</w:t>
      </w:r>
      <w:r w:rsidR="00823F92" w:rsidRPr="00052EE6">
        <w:t>s</w:t>
      </w:r>
      <w:r w:rsidR="00823F92">
        <w:t xml:space="preserve"> </w:t>
      </w:r>
      <w:r w:rsidRPr="00052EE6">
        <w:t>(suc</w:t>
      </w:r>
      <w:r w:rsidR="00823F92" w:rsidRPr="00052EE6">
        <w:t>h</w:t>
      </w:r>
      <w:r w:rsidR="00823F92">
        <w:t xml:space="preserve"> </w:t>
      </w:r>
      <w:r w:rsidRPr="00052EE6">
        <w:t>a</w:t>
      </w:r>
      <w:r w:rsidR="00823F92" w:rsidRPr="00052EE6">
        <w:t>s</w:t>
      </w:r>
      <w:r w:rsidR="00823F92">
        <w:t xml:space="preserve"> </w:t>
      </w:r>
      <w:r>
        <w:t>l</w:t>
      </w:r>
      <w:r w:rsidRPr="00052EE6">
        <w:t>ive</w:t>
      </w:r>
      <w:r w:rsidR="00823F92" w:rsidRPr="00052EE6">
        <w:t>d</w:t>
      </w:r>
      <w:r w:rsidR="00823F92">
        <w:t xml:space="preserve"> </w:t>
      </w:r>
      <w:r>
        <w:t>e</w:t>
      </w:r>
      <w:r w:rsidRPr="00052EE6">
        <w:t>xperienc</w:t>
      </w:r>
      <w:r w:rsidR="00823F92" w:rsidRPr="00052EE6">
        <w:t>e</w:t>
      </w:r>
      <w:r w:rsidR="00823F92">
        <w:t xml:space="preserve"> </w:t>
      </w:r>
      <w:r w:rsidRPr="00052EE6">
        <w:t>(</w:t>
      </w:r>
      <w:r>
        <w:t>p</w:t>
      </w:r>
      <w:r w:rsidRPr="00052EE6">
        <w:t>eer) an</w:t>
      </w:r>
      <w:r w:rsidR="00823F92" w:rsidRPr="00052EE6">
        <w:t>d</w:t>
      </w:r>
      <w:r w:rsidR="00823F92">
        <w:t xml:space="preserve"> </w:t>
      </w:r>
      <w:r w:rsidR="006B6069">
        <w:t>psychosocia</w:t>
      </w:r>
      <w:r w:rsidR="00823F92">
        <w:t xml:space="preserve">l </w:t>
      </w:r>
      <w:r w:rsidR="006B6069">
        <w:t>suppor</w:t>
      </w:r>
      <w:r w:rsidR="00823F92">
        <w:t xml:space="preserve">t </w:t>
      </w:r>
      <w:r w:rsidR="006B6069">
        <w:t>workers</w:t>
      </w:r>
      <w:r w:rsidRPr="00052EE6">
        <w:t>) ther</w:t>
      </w:r>
      <w:r w:rsidR="00823F92" w:rsidRPr="00052EE6">
        <w:t>e</w:t>
      </w:r>
      <w:r w:rsidR="00823F92">
        <w:t xml:space="preserve"> </w:t>
      </w:r>
      <w:r w:rsidRPr="00052EE6">
        <w:t>i</w:t>
      </w:r>
      <w:r w:rsidR="00823F92" w:rsidRPr="00052EE6">
        <w:t>s</w:t>
      </w:r>
      <w:r w:rsidR="00823F92">
        <w:t xml:space="preserve"> </w:t>
      </w:r>
      <w:r w:rsidRPr="00052EE6">
        <w:t>limite</w:t>
      </w:r>
      <w:r w:rsidR="00823F92" w:rsidRPr="00052EE6">
        <w:t>d</w:t>
      </w:r>
      <w:r w:rsidR="00823F92">
        <w:t xml:space="preserve"> </w:t>
      </w:r>
      <w:r w:rsidRPr="00052EE6">
        <w:t>acces</w:t>
      </w:r>
      <w:r w:rsidR="00823F92" w:rsidRPr="00052EE6">
        <w:t>s</w:t>
      </w:r>
      <w:r w:rsidR="00823F92">
        <w:t xml:space="preserve"> </w:t>
      </w:r>
      <w:r w:rsidRPr="00052EE6">
        <w:t>t</w:t>
      </w:r>
      <w:r w:rsidR="00823F92" w:rsidRPr="00052EE6">
        <w:t>o</w:t>
      </w:r>
      <w:r w:rsidR="00823F92">
        <w:t xml:space="preserve"> </w:t>
      </w:r>
      <w:r w:rsidRPr="00052EE6">
        <w:t>supervisio</w:t>
      </w:r>
      <w:r w:rsidR="00823F92" w:rsidRPr="00052EE6">
        <w:t>n</w:t>
      </w:r>
      <w:r w:rsidR="00823F92">
        <w:t xml:space="preserve"> </w:t>
      </w:r>
      <w:r w:rsidRPr="00052EE6">
        <w:t>o</w:t>
      </w:r>
      <w:r w:rsidR="00823F92" w:rsidRPr="00052EE6">
        <w:t>f</w:t>
      </w:r>
      <w:r w:rsidR="00823F92">
        <w:t xml:space="preserve"> </w:t>
      </w:r>
      <w:r w:rsidRPr="00052EE6">
        <w:t>an</w:t>
      </w:r>
      <w:r w:rsidR="00823F92" w:rsidRPr="00052EE6">
        <w:t>y</w:t>
      </w:r>
      <w:r w:rsidR="00823F92">
        <w:t xml:space="preserve"> </w:t>
      </w:r>
      <w:r w:rsidRPr="00052EE6">
        <w:t>natur</w:t>
      </w:r>
      <w:r w:rsidR="00823F92" w:rsidRPr="00052EE6">
        <w:t>e</w:t>
      </w:r>
      <w:r w:rsidR="00823F92">
        <w:t xml:space="preserve"> </w:t>
      </w:r>
      <w:r w:rsidRPr="00052EE6">
        <w:t>withi</w:t>
      </w:r>
      <w:r w:rsidR="00823F92" w:rsidRPr="00052EE6">
        <w:t>n</w:t>
      </w:r>
      <w:r w:rsidR="00823F92">
        <w:t xml:space="preserve"> </w:t>
      </w:r>
      <w:r w:rsidRPr="00052EE6">
        <w:t>thei</w:t>
      </w:r>
      <w:r w:rsidR="00823F92" w:rsidRPr="00052EE6">
        <w:t>r</w:t>
      </w:r>
      <w:r w:rsidR="00823F92">
        <w:t xml:space="preserve"> </w:t>
      </w:r>
      <w:r w:rsidRPr="00052EE6">
        <w:t>practice</w:t>
      </w:r>
      <w:r w:rsidR="00823F92" w:rsidRPr="00052EE6">
        <w:t>.</w:t>
      </w:r>
      <w:r w:rsidR="00823F92">
        <w:t xml:space="preserve"> </w:t>
      </w:r>
    </w:p>
    <w:p w14:paraId="5E347219" w14:textId="3B3777E7" w:rsidR="00453F15" w:rsidRDefault="00453F15" w:rsidP="007F29E7">
      <w:pPr>
        <w:pStyle w:val="BodyText"/>
        <w:rPr>
          <w:b/>
        </w:rPr>
      </w:pPr>
      <w:r w:rsidRPr="00052EE6">
        <w:t>Supervisio</w:t>
      </w:r>
      <w:r w:rsidR="00823F92" w:rsidRPr="00052EE6">
        <w:t>n</w:t>
      </w:r>
      <w:r w:rsidR="00823F92">
        <w:t xml:space="preserve"> </w:t>
      </w:r>
      <w:r w:rsidRPr="00052EE6">
        <w:t>fo</w:t>
      </w:r>
      <w:r w:rsidR="00823F92" w:rsidRPr="00052EE6">
        <w:t>r</w:t>
      </w:r>
      <w:r w:rsidR="00823F92">
        <w:t xml:space="preserve"> </w:t>
      </w:r>
      <w:r w:rsidRPr="00052EE6">
        <w:t>th</w:t>
      </w:r>
      <w:r w:rsidR="00823F92" w:rsidRPr="00052EE6">
        <w:t>e</w:t>
      </w:r>
      <w:r w:rsidR="00823F92">
        <w:t xml:space="preserve"> </w:t>
      </w:r>
      <w:r w:rsidRPr="00052EE6">
        <w:t>psychiatr</w:t>
      </w:r>
      <w:r w:rsidR="00823F92" w:rsidRPr="00052EE6">
        <w:t>y</w:t>
      </w:r>
      <w:r w:rsidR="00823F92">
        <w:t xml:space="preserve"> </w:t>
      </w:r>
      <w:r w:rsidRPr="00052EE6">
        <w:t>workforc</w:t>
      </w:r>
      <w:r w:rsidR="00823F92" w:rsidRPr="00052EE6">
        <w:t>e</w:t>
      </w:r>
      <w:r w:rsidR="00823F92">
        <w:t xml:space="preserve"> </w:t>
      </w:r>
      <w:r w:rsidRPr="00052EE6">
        <w:t>i</w:t>
      </w:r>
      <w:r w:rsidR="00823F92" w:rsidRPr="00052EE6">
        <w:t>s</w:t>
      </w:r>
      <w:r w:rsidR="00823F92">
        <w:t xml:space="preserve"> </w:t>
      </w:r>
      <w:r w:rsidRPr="00052EE6">
        <w:t>als</w:t>
      </w:r>
      <w:r w:rsidR="00823F92" w:rsidRPr="00052EE6">
        <w:t>o</w:t>
      </w:r>
      <w:r w:rsidR="00823F92">
        <w:t xml:space="preserve"> </w:t>
      </w:r>
      <w:r w:rsidRPr="00052EE6">
        <w:t>challenging</w:t>
      </w:r>
      <w:r w:rsidR="00823F92" w:rsidRPr="00052EE6">
        <w:t>,</w:t>
      </w:r>
      <w:r w:rsidR="00823F92">
        <w:t xml:space="preserve"> </w:t>
      </w:r>
      <w:r w:rsidRPr="00052EE6">
        <w:t>wit</w:t>
      </w:r>
      <w:r w:rsidR="00823F92" w:rsidRPr="00052EE6">
        <w:t>h</w:t>
      </w:r>
      <w:r w:rsidR="00823F92">
        <w:t xml:space="preserve"> </w:t>
      </w:r>
      <w:r w:rsidRPr="00052EE6">
        <w:t>difficultie</w:t>
      </w:r>
      <w:r w:rsidR="00823F92" w:rsidRPr="00052EE6">
        <w:t>s</w:t>
      </w:r>
      <w:r w:rsidR="00823F92">
        <w:t xml:space="preserve"> </w:t>
      </w:r>
      <w:r w:rsidRPr="00052EE6">
        <w:t>i</w:t>
      </w:r>
      <w:r w:rsidR="00823F92" w:rsidRPr="00052EE6">
        <w:t>n</w:t>
      </w:r>
      <w:r w:rsidR="00823F92">
        <w:t xml:space="preserve"> </w:t>
      </w:r>
      <w:r w:rsidRPr="00052EE6">
        <w:t>accessin</w:t>
      </w:r>
      <w:r w:rsidR="00823F92" w:rsidRPr="00052EE6">
        <w:t>g</w:t>
      </w:r>
      <w:r w:rsidR="00823F92">
        <w:t xml:space="preserve"> </w:t>
      </w:r>
      <w:r w:rsidRPr="00052EE6">
        <w:t>sufficien</w:t>
      </w:r>
      <w:r w:rsidR="00823F92" w:rsidRPr="00052EE6">
        <w:t>t</w:t>
      </w:r>
      <w:r w:rsidR="00823F92">
        <w:t xml:space="preserve"> </w:t>
      </w:r>
      <w:r w:rsidRPr="00052EE6">
        <w:t>supervisor</w:t>
      </w:r>
      <w:r w:rsidR="00823F92" w:rsidRPr="00052EE6">
        <w:t>s</w:t>
      </w:r>
      <w:r w:rsidR="00823F92">
        <w:t xml:space="preserve"> </w:t>
      </w:r>
      <w:r w:rsidRPr="00052EE6">
        <w:t>t</w:t>
      </w:r>
      <w:r w:rsidR="00823F92" w:rsidRPr="00052EE6">
        <w:t>o</w:t>
      </w:r>
      <w:r w:rsidR="00823F92">
        <w:t xml:space="preserve"> </w:t>
      </w:r>
      <w:r w:rsidRPr="00052EE6">
        <w:t>suppor</w:t>
      </w:r>
      <w:r w:rsidR="00823F92" w:rsidRPr="00052EE6">
        <w:t>t</w:t>
      </w:r>
      <w:r w:rsidR="00823F92">
        <w:t xml:space="preserve"> </w:t>
      </w:r>
      <w:r w:rsidRPr="00052EE6">
        <w:t>increase</w:t>
      </w:r>
      <w:r w:rsidR="00823F92" w:rsidRPr="00052EE6">
        <w:t>d</w:t>
      </w:r>
      <w:r w:rsidR="00823F92">
        <w:t xml:space="preserve"> </w:t>
      </w:r>
      <w:r w:rsidRPr="00052EE6">
        <w:t>number</w:t>
      </w:r>
      <w:r w:rsidR="00823F92" w:rsidRPr="00052EE6">
        <w:t>s</w:t>
      </w:r>
      <w:r w:rsidR="00823F92">
        <w:t xml:space="preserve"> </w:t>
      </w:r>
      <w:r w:rsidRPr="00052EE6">
        <w:t>o</w:t>
      </w:r>
      <w:r w:rsidR="00823F92" w:rsidRPr="00052EE6">
        <w:t>f</w:t>
      </w:r>
      <w:r w:rsidR="00823F92">
        <w:t xml:space="preserve"> </w:t>
      </w:r>
      <w:r w:rsidRPr="00052EE6">
        <w:t>psychiatrists</w:t>
      </w:r>
      <w:r w:rsidR="00823F92" w:rsidRPr="00052EE6">
        <w:t>.</w:t>
      </w:r>
      <w:r w:rsidR="00823F92">
        <w:t xml:space="preserve"> </w:t>
      </w:r>
      <w:r w:rsidRPr="00052EE6">
        <w:t>Rura</w:t>
      </w:r>
      <w:r w:rsidR="00823F92" w:rsidRPr="00052EE6">
        <w:t>l</w:t>
      </w:r>
      <w:r w:rsidR="00823F92">
        <w:t xml:space="preserve"> </w:t>
      </w:r>
      <w:r w:rsidRPr="00052EE6">
        <w:t>an</w:t>
      </w:r>
      <w:r w:rsidR="00823F92" w:rsidRPr="00052EE6">
        <w:t>d</w:t>
      </w:r>
      <w:r w:rsidR="00823F92">
        <w:t xml:space="preserve"> </w:t>
      </w:r>
      <w:r w:rsidRPr="00052EE6">
        <w:t>remot</w:t>
      </w:r>
      <w:r w:rsidR="00823F92" w:rsidRPr="00052EE6">
        <w:t>e</w:t>
      </w:r>
      <w:r w:rsidR="00823F92">
        <w:t xml:space="preserve"> </w:t>
      </w:r>
      <w:r w:rsidRPr="00052EE6">
        <w:t>area</w:t>
      </w:r>
      <w:r w:rsidR="00823F92" w:rsidRPr="00052EE6">
        <w:t>s</w:t>
      </w:r>
      <w:r w:rsidR="00823F92">
        <w:t xml:space="preserve"> </w:t>
      </w:r>
      <w:r w:rsidRPr="00052EE6">
        <w:t>experienc</w:t>
      </w:r>
      <w:r w:rsidR="00823F92" w:rsidRPr="00052EE6">
        <w:t>e</w:t>
      </w:r>
      <w:r w:rsidR="00823F92">
        <w:t xml:space="preserve"> </w:t>
      </w:r>
      <w:r w:rsidRPr="00052EE6">
        <w:t>greate</w:t>
      </w:r>
      <w:r w:rsidR="00823F92" w:rsidRPr="00052EE6">
        <w:t>r</w:t>
      </w:r>
      <w:r w:rsidR="00823F92">
        <w:t xml:space="preserve"> </w:t>
      </w:r>
      <w:r w:rsidRPr="00052EE6">
        <w:t>challenges</w:t>
      </w:r>
      <w:r w:rsidR="00823F92" w:rsidRPr="00052EE6">
        <w:t>,</w:t>
      </w:r>
      <w:r w:rsidR="00823F92">
        <w:t xml:space="preserve"> </w:t>
      </w:r>
      <w:r w:rsidRPr="00052EE6">
        <w:t>wit</w:t>
      </w:r>
      <w:r w:rsidR="00823F92" w:rsidRPr="00052EE6">
        <w:t>h</w:t>
      </w:r>
      <w:r w:rsidR="00823F92">
        <w:t xml:space="preserve"> </w:t>
      </w:r>
      <w:r w:rsidRPr="00052EE6">
        <w:t>restriction</w:t>
      </w:r>
      <w:r w:rsidR="00823F92" w:rsidRPr="00052EE6">
        <w:t>s</w:t>
      </w:r>
      <w:r w:rsidR="00823F92">
        <w:t xml:space="preserve"> </w:t>
      </w:r>
      <w:r w:rsidRPr="00052EE6">
        <w:t>o</w:t>
      </w:r>
      <w:r w:rsidR="00823F92" w:rsidRPr="00052EE6">
        <w:t>n</w:t>
      </w:r>
      <w:r w:rsidR="00823F92">
        <w:t xml:space="preserve"> </w:t>
      </w:r>
      <w:r w:rsidRPr="00052EE6">
        <w:t>th</w:t>
      </w:r>
      <w:r w:rsidR="00823F92" w:rsidRPr="00052EE6">
        <w:t>e</w:t>
      </w:r>
      <w:r w:rsidR="00823F92">
        <w:t xml:space="preserve"> </w:t>
      </w:r>
      <w:r w:rsidRPr="00052EE6">
        <w:t>us</w:t>
      </w:r>
      <w:r w:rsidR="00823F92" w:rsidRPr="00052EE6">
        <w:t>e</w:t>
      </w:r>
      <w:r w:rsidR="00823F92">
        <w:t xml:space="preserve"> </w:t>
      </w:r>
      <w:r w:rsidRPr="00052EE6">
        <w:t>o</w:t>
      </w:r>
      <w:r w:rsidR="00823F92" w:rsidRPr="00052EE6">
        <w:t>f</w:t>
      </w:r>
      <w:r w:rsidR="00823F92">
        <w:t xml:space="preserve"> </w:t>
      </w:r>
      <w:r w:rsidRPr="00052EE6">
        <w:t>remot</w:t>
      </w:r>
      <w:r w:rsidR="00823F92" w:rsidRPr="00052EE6">
        <w:t>e</w:t>
      </w:r>
      <w:r w:rsidR="00823F92">
        <w:t xml:space="preserve"> </w:t>
      </w:r>
      <w:r w:rsidRPr="00052EE6">
        <w:t>supervisio</w:t>
      </w:r>
      <w:r w:rsidR="00823F92" w:rsidRPr="00052EE6">
        <w:t>n</w:t>
      </w:r>
      <w:r w:rsidR="00823F92">
        <w:t xml:space="preserve"> </w:t>
      </w:r>
      <w:r w:rsidRPr="00052EE6">
        <w:t>limitin</w:t>
      </w:r>
      <w:r w:rsidR="00823F92" w:rsidRPr="00052EE6">
        <w:t>g</w:t>
      </w:r>
      <w:r w:rsidR="00823F92">
        <w:t xml:space="preserve"> </w:t>
      </w:r>
      <w:r w:rsidRPr="00052EE6">
        <w:t>acces</w:t>
      </w:r>
      <w:r w:rsidR="00823F92" w:rsidRPr="00052EE6">
        <w:t>s</w:t>
      </w:r>
      <w:r w:rsidR="00823F92">
        <w:t xml:space="preserve"> </w:t>
      </w:r>
      <w:r w:rsidRPr="00052EE6">
        <w:t>t</w:t>
      </w:r>
      <w:r w:rsidR="00823F92" w:rsidRPr="00052EE6">
        <w:t>o</w:t>
      </w:r>
      <w:r w:rsidR="00823F92">
        <w:t xml:space="preserve"> </w:t>
      </w:r>
      <w:r w:rsidRPr="00052EE6">
        <w:t>potentia</w:t>
      </w:r>
      <w:r w:rsidR="00823F92" w:rsidRPr="00052EE6">
        <w:t>l</w:t>
      </w:r>
      <w:r w:rsidR="00823F92">
        <w:t xml:space="preserve"> </w:t>
      </w:r>
      <w:r w:rsidRPr="00052EE6">
        <w:t>supervisor</w:t>
      </w:r>
      <w:r w:rsidR="00823F92" w:rsidRPr="00052EE6">
        <w:t>s</w:t>
      </w:r>
      <w:r w:rsidR="00823F92">
        <w:t xml:space="preserve"> </w:t>
      </w:r>
      <w:r w:rsidRPr="00052EE6">
        <w:t>wh</w:t>
      </w:r>
      <w:r w:rsidR="00823F92" w:rsidRPr="00052EE6">
        <w:t>o</w:t>
      </w:r>
      <w:r w:rsidR="00823F92">
        <w:t xml:space="preserve"> </w:t>
      </w:r>
      <w:r w:rsidRPr="00052EE6">
        <w:t>ma</w:t>
      </w:r>
      <w:r w:rsidR="00823F92" w:rsidRPr="00052EE6">
        <w:t>y</w:t>
      </w:r>
      <w:r w:rsidR="00823F92">
        <w:t xml:space="preserve"> </w:t>
      </w:r>
      <w:r w:rsidRPr="00052EE6">
        <w:t>b</w:t>
      </w:r>
      <w:r w:rsidR="00823F92" w:rsidRPr="00052EE6">
        <w:t>e</w:t>
      </w:r>
      <w:r w:rsidR="00823F92">
        <w:t xml:space="preserve"> </w:t>
      </w:r>
      <w:r w:rsidRPr="00052EE6">
        <w:t>base</w:t>
      </w:r>
      <w:r w:rsidR="00823F92" w:rsidRPr="00052EE6">
        <w:t>d</w:t>
      </w:r>
      <w:r w:rsidR="00823F92">
        <w:t xml:space="preserve"> </w:t>
      </w:r>
      <w:r w:rsidRPr="00052EE6">
        <w:t>i</w:t>
      </w:r>
      <w:r w:rsidR="00823F92" w:rsidRPr="00052EE6">
        <w:t>n</w:t>
      </w:r>
      <w:r w:rsidR="00823F92">
        <w:t xml:space="preserve"> </w:t>
      </w:r>
      <w:r w:rsidRPr="00052EE6">
        <w:t>mor</w:t>
      </w:r>
      <w:r w:rsidR="00823F92" w:rsidRPr="00052EE6">
        <w:t>e</w:t>
      </w:r>
      <w:r w:rsidR="00823F92">
        <w:t xml:space="preserve"> </w:t>
      </w:r>
      <w:r w:rsidRPr="00052EE6">
        <w:t>metropolita</w:t>
      </w:r>
      <w:r w:rsidR="00823F92" w:rsidRPr="00052EE6">
        <w:t>n</w:t>
      </w:r>
      <w:r w:rsidR="00823F92">
        <w:t xml:space="preserve"> </w:t>
      </w:r>
      <w:r w:rsidRPr="00052EE6">
        <w:t>areas.</w:t>
      </w:r>
    </w:p>
    <w:p w14:paraId="28A83529" w14:textId="508EE858" w:rsidR="00453F15" w:rsidRPr="000E25B1" w:rsidRDefault="00453F15" w:rsidP="008D57D0">
      <w:pPr>
        <w:pStyle w:val="Heading3nonumber"/>
        <w:keepNext/>
        <w:keepLines/>
      </w:pPr>
      <w:r w:rsidRPr="000E25B1">
        <w:lastRenderedPageBreak/>
        <w:t>Professiona</w:t>
      </w:r>
      <w:r w:rsidR="00823F92" w:rsidRPr="000E25B1">
        <w:t>l</w:t>
      </w:r>
      <w:r w:rsidR="00823F92">
        <w:t xml:space="preserve"> </w:t>
      </w:r>
      <w:r w:rsidRPr="000E25B1">
        <w:t>development</w:t>
      </w:r>
    </w:p>
    <w:p w14:paraId="580C2FFF" w14:textId="7CBED00A" w:rsidR="00453F15" w:rsidRDefault="00453F15" w:rsidP="008D57D0">
      <w:pPr>
        <w:pStyle w:val="BodyText"/>
        <w:keepNext/>
        <w:keepLines/>
        <w:rPr>
          <w:lang w:val="en-US"/>
        </w:rPr>
      </w:pPr>
      <w:r w:rsidRPr="002444D1">
        <w:rPr>
          <w:lang w:val="en-US"/>
        </w:rPr>
        <w:t>Curren</w:t>
      </w:r>
      <w:r w:rsidR="00823F92" w:rsidRPr="002444D1">
        <w:rPr>
          <w:lang w:val="en-US"/>
        </w:rPr>
        <w:t>t</w:t>
      </w:r>
      <w:r w:rsidR="00823F92">
        <w:rPr>
          <w:lang w:val="en-US"/>
        </w:rPr>
        <w:t xml:space="preserve"> </w:t>
      </w:r>
      <w:r w:rsidRPr="002444D1">
        <w:rPr>
          <w:lang w:val="en-US"/>
        </w:rPr>
        <w:t>servic</w:t>
      </w:r>
      <w:r w:rsidR="00823F92" w:rsidRPr="002444D1">
        <w:rPr>
          <w:lang w:val="en-US"/>
        </w:rPr>
        <w:t>e</w:t>
      </w:r>
      <w:r w:rsidR="00823F92">
        <w:rPr>
          <w:lang w:val="en-US"/>
        </w:rPr>
        <w:t xml:space="preserve"> </w:t>
      </w:r>
      <w:r w:rsidRPr="002444D1">
        <w:rPr>
          <w:lang w:val="en-US"/>
        </w:rPr>
        <w:t>deliver</w:t>
      </w:r>
      <w:r w:rsidR="00823F92" w:rsidRPr="002444D1">
        <w:rPr>
          <w:lang w:val="en-US"/>
        </w:rPr>
        <w:t>y</w:t>
      </w:r>
      <w:r w:rsidR="00823F92">
        <w:rPr>
          <w:lang w:val="en-US"/>
        </w:rPr>
        <w:t xml:space="preserve"> </w:t>
      </w:r>
      <w:r w:rsidRPr="002444D1">
        <w:rPr>
          <w:lang w:val="en-US"/>
        </w:rPr>
        <w:t>contract</w:t>
      </w:r>
      <w:r w:rsidR="00823F92" w:rsidRPr="002444D1">
        <w:rPr>
          <w:lang w:val="en-US"/>
        </w:rPr>
        <w:t>s</w:t>
      </w:r>
      <w:r w:rsidR="00823F92">
        <w:rPr>
          <w:lang w:val="en-US"/>
        </w:rPr>
        <w:t xml:space="preserve"> </w:t>
      </w:r>
      <w:r w:rsidRPr="002444D1">
        <w:rPr>
          <w:lang w:val="en-US"/>
        </w:rPr>
        <w:t>limi</w:t>
      </w:r>
      <w:r w:rsidR="00823F92" w:rsidRPr="002444D1">
        <w:rPr>
          <w:lang w:val="en-US"/>
        </w:rPr>
        <w:t>t</w:t>
      </w:r>
      <w:r w:rsidR="00823F92">
        <w:rPr>
          <w:lang w:val="en-US"/>
        </w:rPr>
        <w:t xml:space="preserve"> </w:t>
      </w:r>
      <w:r w:rsidRPr="002444D1">
        <w:rPr>
          <w:lang w:val="en-US"/>
        </w:rPr>
        <w:t>acces</w:t>
      </w:r>
      <w:r w:rsidR="00823F92" w:rsidRPr="002444D1">
        <w:rPr>
          <w:lang w:val="en-US"/>
        </w:rPr>
        <w:t>s</w:t>
      </w:r>
      <w:r w:rsidR="00823F92">
        <w:rPr>
          <w:lang w:val="en-US"/>
        </w:rPr>
        <w:t xml:space="preserve"> </w:t>
      </w:r>
      <w:r w:rsidRPr="002444D1">
        <w:rPr>
          <w:lang w:val="en-US"/>
        </w:rPr>
        <w:t>t</w:t>
      </w:r>
      <w:r w:rsidR="00823F92" w:rsidRPr="002444D1">
        <w:rPr>
          <w:lang w:val="en-US"/>
        </w:rPr>
        <w:t>o</w:t>
      </w:r>
      <w:r w:rsidR="00823F92">
        <w:rPr>
          <w:lang w:val="en-US"/>
        </w:rPr>
        <w:t xml:space="preserve"> </w:t>
      </w:r>
      <w:r>
        <w:rPr>
          <w:lang w:val="en-US"/>
        </w:rPr>
        <w:t>continuin</w:t>
      </w:r>
      <w:r w:rsidR="00823F92">
        <w:rPr>
          <w:lang w:val="en-US"/>
        </w:rPr>
        <w:t xml:space="preserve">g </w:t>
      </w:r>
      <w:r>
        <w:rPr>
          <w:lang w:val="en-US"/>
        </w:rPr>
        <w:t>professiona</w:t>
      </w:r>
      <w:r w:rsidR="00823F92">
        <w:rPr>
          <w:lang w:val="en-US"/>
        </w:rPr>
        <w:t xml:space="preserve">l </w:t>
      </w:r>
      <w:r>
        <w:rPr>
          <w:lang w:val="en-US"/>
        </w:rPr>
        <w:t>developmen</w:t>
      </w:r>
      <w:r w:rsidR="00823F92">
        <w:rPr>
          <w:lang w:val="en-US"/>
        </w:rPr>
        <w:t xml:space="preserve">t </w:t>
      </w:r>
      <w:r>
        <w:rPr>
          <w:lang w:val="en-US"/>
        </w:rPr>
        <w:t>(</w:t>
      </w:r>
      <w:r w:rsidRPr="002444D1">
        <w:rPr>
          <w:lang w:val="en-US"/>
        </w:rPr>
        <w:t>CPD</w:t>
      </w:r>
      <w:r>
        <w:rPr>
          <w:lang w:val="en-US"/>
        </w:rPr>
        <w:t>)</w:t>
      </w:r>
      <w:r w:rsidRPr="002444D1">
        <w:rPr>
          <w:lang w:val="en-US"/>
        </w:rPr>
        <w:t xml:space="preserve"> a</w:t>
      </w:r>
      <w:r w:rsidR="00823F92" w:rsidRPr="002444D1">
        <w:rPr>
          <w:lang w:val="en-US"/>
        </w:rPr>
        <w:t>s</w:t>
      </w:r>
      <w:r w:rsidR="00823F92">
        <w:rPr>
          <w:lang w:val="en-US"/>
        </w:rPr>
        <w:t xml:space="preserve"> </w:t>
      </w:r>
      <w:r w:rsidRPr="002444D1">
        <w:rPr>
          <w:lang w:val="en-US"/>
        </w:rPr>
        <w:t>the</w:t>
      </w:r>
      <w:r w:rsidR="00823F92" w:rsidRPr="002444D1">
        <w:rPr>
          <w:lang w:val="en-US"/>
        </w:rPr>
        <w:t>y</w:t>
      </w:r>
      <w:r w:rsidR="00823F92">
        <w:rPr>
          <w:lang w:val="en-US"/>
        </w:rPr>
        <w:t xml:space="preserve"> </w:t>
      </w:r>
      <w:r w:rsidRPr="002444D1">
        <w:rPr>
          <w:lang w:val="en-US"/>
        </w:rPr>
        <w:t>d</w:t>
      </w:r>
      <w:r w:rsidR="00823F92" w:rsidRPr="002444D1">
        <w:rPr>
          <w:lang w:val="en-US"/>
        </w:rPr>
        <w:t>o</w:t>
      </w:r>
      <w:r w:rsidR="00823F92">
        <w:rPr>
          <w:lang w:val="en-US"/>
        </w:rPr>
        <w:t xml:space="preserve"> </w:t>
      </w:r>
      <w:r w:rsidRPr="002444D1">
        <w:rPr>
          <w:lang w:val="en-US"/>
        </w:rPr>
        <w:t>no</w:t>
      </w:r>
      <w:r w:rsidR="00823F92" w:rsidRPr="002444D1">
        <w:rPr>
          <w:lang w:val="en-US"/>
        </w:rPr>
        <w:t>t</w:t>
      </w:r>
      <w:r w:rsidR="00823F92">
        <w:rPr>
          <w:lang w:val="en-US"/>
        </w:rPr>
        <w:t xml:space="preserve"> </w:t>
      </w:r>
      <w:r w:rsidRPr="002444D1">
        <w:rPr>
          <w:lang w:val="en-US"/>
        </w:rPr>
        <w:t>includ</w:t>
      </w:r>
      <w:r w:rsidR="00823F92" w:rsidRPr="002444D1">
        <w:rPr>
          <w:lang w:val="en-US"/>
        </w:rPr>
        <w:t>e</w:t>
      </w:r>
      <w:r w:rsidR="00823F92">
        <w:rPr>
          <w:lang w:val="en-US"/>
        </w:rPr>
        <w:t xml:space="preserve"> </w:t>
      </w:r>
      <w:r w:rsidRPr="002444D1">
        <w:rPr>
          <w:lang w:val="en-US"/>
        </w:rPr>
        <w:t>fundin</w:t>
      </w:r>
      <w:r w:rsidR="00823F92" w:rsidRPr="002444D1">
        <w:rPr>
          <w:lang w:val="en-US"/>
        </w:rPr>
        <w:t>g</w:t>
      </w:r>
      <w:r w:rsidR="00823F92">
        <w:rPr>
          <w:lang w:val="en-US"/>
        </w:rPr>
        <w:t xml:space="preserve"> </w:t>
      </w:r>
      <w:r>
        <w:rPr>
          <w:lang w:val="en-US"/>
        </w:rPr>
        <w:t>for</w:t>
      </w:r>
      <w:r w:rsidR="00823F92" w:rsidRPr="002444D1">
        <w:rPr>
          <w:lang w:val="en-US"/>
        </w:rPr>
        <w:t>,</w:t>
      </w:r>
      <w:r w:rsidR="00823F92">
        <w:rPr>
          <w:lang w:val="en-US"/>
        </w:rPr>
        <w:t xml:space="preserve"> </w:t>
      </w:r>
      <w:r w:rsidRPr="002444D1">
        <w:rPr>
          <w:lang w:val="en-US"/>
        </w:rPr>
        <w:t>no</w:t>
      </w:r>
      <w:r w:rsidR="00823F92" w:rsidRPr="002444D1">
        <w:rPr>
          <w:lang w:val="en-US"/>
        </w:rPr>
        <w:t>r</w:t>
      </w:r>
      <w:r w:rsidR="00823F92">
        <w:rPr>
          <w:lang w:val="en-US"/>
        </w:rPr>
        <w:t xml:space="preserve"> </w:t>
      </w:r>
      <w:r w:rsidRPr="002444D1">
        <w:rPr>
          <w:lang w:val="en-US"/>
        </w:rPr>
        <w:t>allo</w:t>
      </w:r>
      <w:r w:rsidR="00823F92" w:rsidRPr="002444D1">
        <w:rPr>
          <w:lang w:val="en-US"/>
        </w:rPr>
        <w:t>w</w:t>
      </w:r>
      <w:r w:rsidR="00823F92">
        <w:rPr>
          <w:lang w:val="en-US"/>
        </w:rPr>
        <w:t xml:space="preserve"> </w:t>
      </w:r>
      <w:r w:rsidRPr="002444D1">
        <w:rPr>
          <w:lang w:val="en-US"/>
        </w:rPr>
        <w:t>provider</w:t>
      </w:r>
      <w:r w:rsidR="00823F92" w:rsidRPr="002444D1">
        <w:rPr>
          <w:lang w:val="en-US"/>
        </w:rPr>
        <w:t>s</w:t>
      </w:r>
      <w:r w:rsidR="00823F92">
        <w:rPr>
          <w:lang w:val="en-US"/>
        </w:rPr>
        <w:t xml:space="preserve"> </w:t>
      </w:r>
      <w:r w:rsidRPr="002444D1">
        <w:rPr>
          <w:lang w:val="en-US"/>
        </w:rPr>
        <w:t>t</w:t>
      </w:r>
      <w:r w:rsidR="00823F92" w:rsidRPr="002444D1">
        <w:rPr>
          <w:lang w:val="en-US"/>
        </w:rPr>
        <w:t>o</w:t>
      </w:r>
      <w:r w:rsidR="00823F92">
        <w:rPr>
          <w:lang w:val="en-US"/>
        </w:rPr>
        <w:t xml:space="preserve"> </w:t>
      </w:r>
      <w:r w:rsidRPr="002444D1">
        <w:rPr>
          <w:lang w:val="en-US"/>
        </w:rPr>
        <w:t>releas</w:t>
      </w:r>
      <w:r w:rsidR="00823F92" w:rsidRPr="002444D1">
        <w:rPr>
          <w:lang w:val="en-US"/>
        </w:rPr>
        <w:t>e</w:t>
      </w:r>
      <w:r w:rsidR="00823F92">
        <w:rPr>
          <w:lang w:val="en-US"/>
        </w:rPr>
        <w:t xml:space="preserve"> </w:t>
      </w:r>
      <w:r w:rsidRPr="002444D1">
        <w:rPr>
          <w:lang w:val="en-US"/>
        </w:rPr>
        <w:t>staf</w:t>
      </w:r>
      <w:r w:rsidR="00823F92" w:rsidRPr="002444D1">
        <w:rPr>
          <w:lang w:val="en-US"/>
        </w:rPr>
        <w:t>f</w:t>
      </w:r>
      <w:r w:rsidR="00823F92">
        <w:rPr>
          <w:lang w:val="en-US"/>
        </w:rPr>
        <w:t xml:space="preserve"> </w:t>
      </w:r>
      <w:r w:rsidRPr="002444D1">
        <w:rPr>
          <w:lang w:val="en-US"/>
        </w:rPr>
        <w:t>for</w:t>
      </w:r>
      <w:r w:rsidR="00823F92">
        <w:rPr>
          <w:lang w:val="en-US"/>
        </w:rPr>
        <w:t xml:space="preserve">, </w:t>
      </w:r>
      <w:r w:rsidRPr="002444D1">
        <w:rPr>
          <w:lang w:val="en-US"/>
        </w:rPr>
        <w:t>trainin</w:t>
      </w:r>
      <w:r w:rsidR="00823F92" w:rsidRPr="002444D1">
        <w:rPr>
          <w:lang w:val="en-US"/>
        </w:rPr>
        <w:t>g</w:t>
      </w:r>
      <w:r w:rsidR="00823F92">
        <w:rPr>
          <w:lang w:val="en-US"/>
        </w:rPr>
        <w:t xml:space="preserve"> </w:t>
      </w:r>
      <w:r w:rsidRPr="002444D1">
        <w:rPr>
          <w:lang w:val="en-US"/>
        </w:rPr>
        <w:t>an</w:t>
      </w:r>
      <w:r w:rsidR="00823F92" w:rsidRPr="002444D1">
        <w:rPr>
          <w:lang w:val="en-US"/>
        </w:rPr>
        <w:t>d</w:t>
      </w:r>
      <w:r w:rsidR="00823F92">
        <w:rPr>
          <w:lang w:val="en-US"/>
        </w:rPr>
        <w:t xml:space="preserve"> </w:t>
      </w:r>
      <w:r w:rsidRPr="002444D1">
        <w:rPr>
          <w:lang w:val="en-US"/>
        </w:rPr>
        <w:t>professiona</w:t>
      </w:r>
      <w:r w:rsidR="00823F92" w:rsidRPr="002444D1">
        <w:rPr>
          <w:lang w:val="en-US"/>
        </w:rPr>
        <w:t>l</w:t>
      </w:r>
      <w:r w:rsidR="00823F92">
        <w:rPr>
          <w:lang w:val="en-US"/>
        </w:rPr>
        <w:t xml:space="preserve"> </w:t>
      </w:r>
      <w:r w:rsidRPr="002444D1">
        <w:rPr>
          <w:lang w:val="en-US"/>
        </w:rPr>
        <w:t>development</w:t>
      </w:r>
      <w:r w:rsidR="00823F92" w:rsidRPr="002444D1">
        <w:rPr>
          <w:lang w:val="en-US"/>
        </w:rPr>
        <w:t>.</w:t>
      </w:r>
      <w:r w:rsidR="00823F92">
        <w:rPr>
          <w:lang w:val="en-US"/>
        </w:rPr>
        <w:t xml:space="preserve"> </w:t>
      </w:r>
      <w:r>
        <w:rPr>
          <w:lang w:val="en-US"/>
        </w:rPr>
        <w:t>Acces</w:t>
      </w:r>
      <w:r w:rsidR="00823F92">
        <w:rPr>
          <w:lang w:val="en-US"/>
        </w:rPr>
        <w:t xml:space="preserve">s </w:t>
      </w:r>
      <w:r>
        <w:rPr>
          <w:lang w:val="en-US"/>
        </w:rPr>
        <w:t>t</w:t>
      </w:r>
      <w:r w:rsidR="00823F92">
        <w:rPr>
          <w:lang w:val="en-US"/>
        </w:rPr>
        <w:t xml:space="preserve">o </w:t>
      </w:r>
      <w:r>
        <w:rPr>
          <w:lang w:val="en-US"/>
        </w:rPr>
        <w:t>professiona</w:t>
      </w:r>
      <w:r w:rsidR="00823F92">
        <w:rPr>
          <w:lang w:val="en-US"/>
        </w:rPr>
        <w:t xml:space="preserve">l </w:t>
      </w:r>
      <w:r>
        <w:rPr>
          <w:lang w:val="en-US"/>
        </w:rPr>
        <w:t>developmen</w:t>
      </w:r>
      <w:r w:rsidR="00823F92">
        <w:rPr>
          <w:lang w:val="en-US"/>
        </w:rPr>
        <w:t xml:space="preserve">t </w:t>
      </w:r>
      <w:r>
        <w:rPr>
          <w:lang w:val="en-US"/>
        </w:rPr>
        <w:t>activitie</w:t>
      </w:r>
      <w:r w:rsidR="00823F92">
        <w:rPr>
          <w:lang w:val="en-US"/>
        </w:rPr>
        <w:t xml:space="preserve">s </w:t>
      </w:r>
      <w:r>
        <w:rPr>
          <w:lang w:val="en-US"/>
        </w:rPr>
        <w:t>i</w:t>
      </w:r>
      <w:r w:rsidR="00823F92">
        <w:rPr>
          <w:lang w:val="en-US"/>
        </w:rPr>
        <w:t xml:space="preserve">s </w:t>
      </w:r>
      <w:r>
        <w:rPr>
          <w:lang w:val="en-US"/>
        </w:rPr>
        <w:t>als</w:t>
      </w:r>
      <w:r w:rsidR="00823F92">
        <w:rPr>
          <w:lang w:val="en-US"/>
        </w:rPr>
        <w:t xml:space="preserve">o </w:t>
      </w:r>
      <w:r>
        <w:rPr>
          <w:lang w:val="en-US"/>
        </w:rPr>
        <w:t>challengin</w:t>
      </w:r>
      <w:r w:rsidR="00823F92">
        <w:rPr>
          <w:lang w:val="en-US"/>
        </w:rPr>
        <w:t xml:space="preserve">g </w:t>
      </w:r>
      <w:r>
        <w:rPr>
          <w:lang w:val="en-US"/>
        </w:rPr>
        <w:t>i</w:t>
      </w:r>
      <w:r w:rsidR="00823F92">
        <w:rPr>
          <w:lang w:val="en-US"/>
        </w:rPr>
        <w:t xml:space="preserve">n </w:t>
      </w:r>
      <w:r>
        <w:rPr>
          <w:lang w:val="en-US"/>
        </w:rPr>
        <w:t>rura</w:t>
      </w:r>
      <w:r w:rsidR="00823F92">
        <w:rPr>
          <w:lang w:val="en-US"/>
        </w:rPr>
        <w:t xml:space="preserve">l </w:t>
      </w:r>
      <w:r>
        <w:rPr>
          <w:lang w:val="en-US"/>
        </w:rPr>
        <w:t>an</w:t>
      </w:r>
      <w:r w:rsidR="00823F92">
        <w:rPr>
          <w:lang w:val="en-US"/>
        </w:rPr>
        <w:t xml:space="preserve">d </w:t>
      </w:r>
      <w:r>
        <w:rPr>
          <w:lang w:val="en-US"/>
        </w:rPr>
        <w:t>remot</w:t>
      </w:r>
      <w:r w:rsidR="00823F92">
        <w:rPr>
          <w:lang w:val="en-US"/>
        </w:rPr>
        <w:t xml:space="preserve">e </w:t>
      </w:r>
      <w:r>
        <w:rPr>
          <w:lang w:val="en-US"/>
        </w:rPr>
        <w:t>locations</w:t>
      </w:r>
      <w:r w:rsidR="00823F92">
        <w:rPr>
          <w:lang w:val="en-US"/>
        </w:rPr>
        <w:t xml:space="preserve">, </w:t>
      </w:r>
      <w:r>
        <w:rPr>
          <w:lang w:val="en-US"/>
        </w:rPr>
        <w:t>wher</w:t>
      </w:r>
      <w:r w:rsidR="00823F92">
        <w:rPr>
          <w:lang w:val="en-US"/>
        </w:rPr>
        <w:t xml:space="preserve">e </w:t>
      </w:r>
      <w:r>
        <w:rPr>
          <w:lang w:val="en-US"/>
        </w:rPr>
        <w:t>ther</w:t>
      </w:r>
      <w:r w:rsidR="00823F92">
        <w:rPr>
          <w:lang w:val="en-US"/>
        </w:rPr>
        <w:t xml:space="preserve">e </w:t>
      </w:r>
      <w:r>
        <w:rPr>
          <w:lang w:val="en-US"/>
        </w:rPr>
        <w:t>ar</w:t>
      </w:r>
      <w:r w:rsidR="00823F92">
        <w:rPr>
          <w:lang w:val="en-US"/>
        </w:rPr>
        <w:t xml:space="preserve">e </w:t>
      </w:r>
      <w:r>
        <w:rPr>
          <w:lang w:val="en-US"/>
        </w:rPr>
        <w:t>fe</w:t>
      </w:r>
      <w:r w:rsidR="00823F92">
        <w:rPr>
          <w:lang w:val="en-US"/>
        </w:rPr>
        <w:t xml:space="preserve">w </w:t>
      </w:r>
      <w:r>
        <w:rPr>
          <w:lang w:val="en-US"/>
        </w:rPr>
        <w:t>locall</w:t>
      </w:r>
      <w:r w:rsidR="00823F92">
        <w:rPr>
          <w:lang w:val="en-US"/>
        </w:rPr>
        <w:t xml:space="preserve">y </w:t>
      </w:r>
      <w:r>
        <w:rPr>
          <w:lang w:val="en-US"/>
        </w:rPr>
        <w:t>base</w:t>
      </w:r>
      <w:r w:rsidR="00823F92">
        <w:rPr>
          <w:lang w:val="en-US"/>
        </w:rPr>
        <w:t xml:space="preserve">d </w:t>
      </w:r>
      <w:r>
        <w:rPr>
          <w:lang w:val="en-US"/>
        </w:rPr>
        <w:t>opportunities</w:t>
      </w:r>
      <w:r w:rsidR="00823F92">
        <w:rPr>
          <w:lang w:val="en-US"/>
        </w:rPr>
        <w:t xml:space="preserve">. </w:t>
      </w:r>
    </w:p>
    <w:p w14:paraId="669A3C20" w14:textId="000DBFED" w:rsidR="00453F15" w:rsidRDefault="00453F15" w:rsidP="007F29E7">
      <w:pPr>
        <w:pStyle w:val="BodyText"/>
        <w:rPr>
          <w:lang w:val="en-US"/>
        </w:rPr>
      </w:pPr>
      <w:r w:rsidRPr="002444D1">
        <w:rPr>
          <w:lang w:val="en-US"/>
        </w:rPr>
        <w:t>Th</w:t>
      </w:r>
      <w:r w:rsidR="00823F92" w:rsidRPr="002444D1">
        <w:rPr>
          <w:lang w:val="en-US"/>
        </w:rPr>
        <w:t>e</w:t>
      </w:r>
      <w:r w:rsidR="00823F92">
        <w:rPr>
          <w:lang w:val="en-US"/>
        </w:rPr>
        <w:t xml:space="preserve"> </w:t>
      </w:r>
      <w:r w:rsidRPr="002444D1">
        <w:rPr>
          <w:lang w:val="en-US"/>
        </w:rPr>
        <w:t>lac</w:t>
      </w:r>
      <w:r w:rsidR="00823F92" w:rsidRPr="002444D1">
        <w:rPr>
          <w:lang w:val="en-US"/>
        </w:rPr>
        <w:t>k</w:t>
      </w:r>
      <w:r w:rsidR="00823F92">
        <w:rPr>
          <w:lang w:val="en-US"/>
        </w:rPr>
        <w:t xml:space="preserve"> </w:t>
      </w:r>
      <w:r w:rsidRPr="002444D1">
        <w:rPr>
          <w:lang w:val="en-US"/>
        </w:rPr>
        <w:t>o</w:t>
      </w:r>
      <w:r w:rsidR="00823F92" w:rsidRPr="002444D1">
        <w:rPr>
          <w:lang w:val="en-US"/>
        </w:rPr>
        <w:t>f</w:t>
      </w:r>
      <w:r w:rsidR="00823F92">
        <w:rPr>
          <w:lang w:val="en-US"/>
        </w:rPr>
        <w:t xml:space="preserve"> </w:t>
      </w:r>
      <w:r w:rsidRPr="002444D1">
        <w:rPr>
          <w:lang w:val="en-US"/>
        </w:rPr>
        <w:t>acces</w:t>
      </w:r>
      <w:r w:rsidR="00823F92" w:rsidRPr="002444D1">
        <w:rPr>
          <w:lang w:val="en-US"/>
        </w:rPr>
        <w:t>s</w:t>
      </w:r>
      <w:r w:rsidR="00823F92">
        <w:rPr>
          <w:lang w:val="en-US"/>
        </w:rPr>
        <w:t xml:space="preserve"> </w:t>
      </w:r>
      <w:r w:rsidRPr="002444D1">
        <w:rPr>
          <w:lang w:val="en-US"/>
        </w:rPr>
        <w:t>t</w:t>
      </w:r>
      <w:r w:rsidR="00823F92" w:rsidRPr="002444D1">
        <w:rPr>
          <w:lang w:val="en-US"/>
        </w:rPr>
        <w:t>o</w:t>
      </w:r>
      <w:r w:rsidR="00823F92">
        <w:rPr>
          <w:lang w:val="en-US"/>
        </w:rPr>
        <w:t xml:space="preserve"> </w:t>
      </w:r>
      <w:r w:rsidRPr="002444D1">
        <w:rPr>
          <w:lang w:val="en-US"/>
        </w:rPr>
        <w:t>developmen</w:t>
      </w:r>
      <w:r w:rsidR="00823F92" w:rsidRPr="002444D1">
        <w:rPr>
          <w:lang w:val="en-US"/>
        </w:rPr>
        <w:t>t</w:t>
      </w:r>
      <w:r w:rsidR="00823F92">
        <w:rPr>
          <w:lang w:val="en-US"/>
        </w:rPr>
        <w:t xml:space="preserve"> </w:t>
      </w:r>
      <w:r w:rsidRPr="002444D1">
        <w:rPr>
          <w:lang w:val="en-US"/>
        </w:rPr>
        <w:t>an</w:t>
      </w:r>
      <w:r w:rsidR="00823F92" w:rsidRPr="002444D1">
        <w:rPr>
          <w:lang w:val="en-US"/>
        </w:rPr>
        <w:t>d</w:t>
      </w:r>
      <w:r w:rsidR="00823F92">
        <w:rPr>
          <w:lang w:val="en-US"/>
        </w:rPr>
        <w:t xml:space="preserve"> </w:t>
      </w:r>
      <w:r w:rsidRPr="002444D1">
        <w:rPr>
          <w:lang w:val="en-US"/>
        </w:rPr>
        <w:t>upskillin</w:t>
      </w:r>
      <w:r w:rsidR="00823F92" w:rsidRPr="002444D1">
        <w:rPr>
          <w:lang w:val="en-US"/>
        </w:rPr>
        <w:t>g</w:t>
      </w:r>
      <w:r w:rsidR="00823F92">
        <w:rPr>
          <w:lang w:val="en-US"/>
        </w:rPr>
        <w:t xml:space="preserve"> </w:t>
      </w:r>
      <w:r w:rsidRPr="002444D1">
        <w:rPr>
          <w:lang w:val="en-US"/>
        </w:rPr>
        <w:t>reduce</w:t>
      </w:r>
      <w:r w:rsidR="00823F92" w:rsidRPr="002444D1">
        <w:rPr>
          <w:lang w:val="en-US"/>
        </w:rPr>
        <w:t>s</w:t>
      </w:r>
      <w:r w:rsidR="00823F92">
        <w:rPr>
          <w:lang w:val="en-US"/>
        </w:rPr>
        <w:t xml:space="preserve"> </w:t>
      </w:r>
      <w:r w:rsidRPr="002444D1">
        <w:rPr>
          <w:lang w:val="en-US"/>
        </w:rPr>
        <w:t>caree</w:t>
      </w:r>
      <w:r w:rsidR="00823F92" w:rsidRPr="002444D1">
        <w:rPr>
          <w:lang w:val="en-US"/>
        </w:rPr>
        <w:t>r</w:t>
      </w:r>
      <w:r w:rsidR="00823F92">
        <w:rPr>
          <w:lang w:val="en-US"/>
        </w:rPr>
        <w:t xml:space="preserve"> </w:t>
      </w:r>
      <w:r w:rsidRPr="002444D1">
        <w:rPr>
          <w:lang w:val="en-US"/>
        </w:rPr>
        <w:t>satisfactio</w:t>
      </w:r>
      <w:r w:rsidR="00823F92" w:rsidRPr="002444D1">
        <w:rPr>
          <w:lang w:val="en-US"/>
        </w:rPr>
        <w:t>n</w:t>
      </w:r>
      <w:r w:rsidR="00823F92">
        <w:rPr>
          <w:lang w:val="en-US"/>
        </w:rPr>
        <w:t xml:space="preserve"> </w:t>
      </w:r>
      <w:r w:rsidRPr="002444D1">
        <w:rPr>
          <w:lang w:val="en-US"/>
        </w:rPr>
        <w:t>an</w:t>
      </w:r>
      <w:r w:rsidR="00823F92" w:rsidRPr="002444D1">
        <w:rPr>
          <w:lang w:val="en-US"/>
        </w:rPr>
        <w:t>d</w:t>
      </w:r>
      <w:r w:rsidR="00823F92">
        <w:rPr>
          <w:lang w:val="en-US"/>
        </w:rPr>
        <w:t xml:space="preserve"> </w:t>
      </w:r>
      <w:r w:rsidRPr="002444D1">
        <w:rPr>
          <w:lang w:val="en-US"/>
        </w:rPr>
        <w:t>lead</w:t>
      </w:r>
      <w:r w:rsidR="00823F92" w:rsidRPr="002444D1">
        <w:rPr>
          <w:lang w:val="en-US"/>
        </w:rPr>
        <w:t>s</w:t>
      </w:r>
      <w:r w:rsidR="00823F92">
        <w:rPr>
          <w:lang w:val="en-US"/>
        </w:rPr>
        <w:t xml:space="preserve"> </w:t>
      </w:r>
      <w:r w:rsidRPr="002444D1">
        <w:rPr>
          <w:lang w:val="en-US"/>
        </w:rPr>
        <w:t>t</w:t>
      </w:r>
      <w:r w:rsidR="00823F92" w:rsidRPr="002444D1">
        <w:rPr>
          <w:lang w:val="en-US"/>
        </w:rPr>
        <w:t>o</w:t>
      </w:r>
      <w:r w:rsidR="00823F92">
        <w:rPr>
          <w:lang w:val="en-US"/>
        </w:rPr>
        <w:t xml:space="preserve"> </w:t>
      </w:r>
      <w:r w:rsidRPr="002444D1">
        <w:rPr>
          <w:lang w:val="en-US"/>
        </w:rPr>
        <w:t>disengagement</w:t>
      </w:r>
      <w:r w:rsidR="00823F92" w:rsidRPr="002444D1">
        <w:rPr>
          <w:lang w:val="en-US"/>
        </w:rPr>
        <w:t>.</w:t>
      </w:r>
      <w:r w:rsidR="00823F92">
        <w:rPr>
          <w:lang w:val="en-US"/>
        </w:rPr>
        <w:t xml:space="preserve"> </w:t>
      </w:r>
      <w:r>
        <w:rPr>
          <w:lang w:val="en-US"/>
        </w:rPr>
        <w:t>I</w:t>
      </w:r>
      <w:r w:rsidR="00823F92">
        <w:rPr>
          <w:lang w:val="en-US"/>
        </w:rPr>
        <w:t xml:space="preserve">t </w:t>
      </w:r>
      <w:r>
        <w:rPr>
          <w:lang w:val="en-US"/>
        </w:rPr>
        <w:t>als</w:t>
      </w:r>
      <w:r w:rsidR="00823F92">
        <w:rPr>
          <w:lang w:val="en-US"/>
        </w:rPr>
        <w:t xml:space="preserve">o </w:t>
      </w:r>
      <w:r>
        <w:rPr>
          <w:lang w:val="en-US"/>
        </w:rPr>
        <w:t>impact</w:t>
      </w:r>
      <w:r w:rsidR="00823F92">
        <w:rPr>
          <w:lang w:val="en-US"/>
        </w:rPr>
        <w:t xml:space="preserve">s </w:t>
      </w:r>
      <w:r>
        <w:rPr>
          <w:lang w:val="en-US"/>
        </w:rPr>
        <w:t>o</w:t>
      </w:r>
      <w:r w:rsidR="00823F92">
        <w:rPr>
          <w:lang w:val="en-US"/>
        </w:rPr>
        <w:t xml:space="preserve">n </w:t>
      </w:r>
      <w:r>
        <w:rPr>
          <w:lang w:val="en-US"/>
        </w:rPr>
        <w:t>th</w:t>
      </w:r>
      <w:r w:rsidR="00823F92">
        <w:rPr>
          <w:lang w:val="en-US"/>
        </w:rPr>
        <w:t xml:space="preserve">e </w:t>
      </w:r>
      <w:r>
        <w:rPr>
          <w:lang w:val="en-US"/>
        </w:rPr>
        <w:t>capabilit</w:t>
      </w:r>
      <w:r w:rsidR="00823F92">
        <w:rPr>
          <w:lang w:val="en-US"/>
        </w:rPr>
        <w:t xml:space="preserve">y </w:t>
      </w:r>
      <w:r>
        <w:rPr>
          <w:lang w:val="en-US"/>
        </w:rPr>
        <w:t>level</w:t>
      </w:r>
      <w:r w:rsidR="00823F92">
        <w:rPr>
          <w:lang w:val="en-US"/>
        </w:rPr>
        <w:t xml:space="preserve">s </w:t>
      </w:r>
      <w:r>
        <w:rPr>
          <w:lang w:val="en-US"/>
        </w:rPr>
        <w:t>o</w:t>
      </w:r>
      <w:r w:rsidR="00823F92">
        <w:rPr>
          <w:lang w:val="en-US"/>
        </w:rPr>
        <w:t xml:space="preserve">f </w:t>
      </w:r>
      <w:r>
        <w:rPr>
          <w:lang w:val="en-US"/>
        </w:rPr>
        <w:t>th</w:t>
      </w:r>
      <w:r w:rsidR="00823F92">
        <w:rPr>
          <w:lang w:val="en-US"/>
        </w:rPr>
        <w:t xml:space="preserve">e </w:t>
      </w:r>
      <w:r>
        <w:rPr>
          <w:lang w:val="en-US"/>
        </w:rPr>
        <w:t>workforce</w:t>
      </w:r>
      <w:r w:rsidR="00823F92">
        <w:rPr>
          <w:lang w:val="en-US"/>
        </w:rPr>
        <w:t xml:space="preserve">, </w:t>
      </w:r>
      <w:r>
        <w:rPr>
          <w:lang w:val="en-US"/>
        </w:rPr>
        <w:t>wit</w:t>
      </w:r>
      <w:r w:rsidR="00823F92">
        <w:rPr>
          <w:lang w:val="en-US"/>
        </w:rPr>
        <w:t xml:space="preserve">h </w:t>
      </w:r>
      <w:r>
        <w:rPr>
          <w:lang w:val="en-US"/>
        </w:rPr>
        <w:t>reduce</w:t>
      </w:r>
      <w:r w:rsidR="00823F92">
        <w:rPr>
          <w:lang w:val="en-US"/>
        </w:rPr>
        <w:t xml:space="preserve">d </w:t>
      </w:r>
      <w:r>
        <w:rPr>
          <w:lang w:val="en-US"/>
        </w:rPr>
        <w:t>exposur</w:t>
      </w:r>
      <w:r w:rsidR="00823F92">
        <w:rPr>
          <w:lang w:val="en-US"/>
        </w:rPr>
        <w:t xml:space="preserve">e </w:t>
      </w:r>
      <w:r>
        <w:rPr>
          <w:lang w:val="en-US"/>
        </w:rPr>
        <w:t>t</w:t>
      </w:r>
      <w:r w:rsidR="00823F92">
        <w:rPr>
          <w:lang w:val="en-US"/>
        </w:rPr>
        <w:t xml:space="preserve">o </w:t>
      </w:r>
      <w:r>
        <w:rPr>
          <w:lang w:val="en-US"/>
        </w:rPr>
        <w:t>contemporar</w:t>
      </w:r>
      <w:r w:rsidR="00823F92">
        <w:rPr>
          <w:lang w:val="en-US"/>
        </w:rPr>
        <w:t xml:space="preserve">y </w:t>
      </w:r>
      <w:r>
        <w:rPr>
          <w:lang w:val="en-US"/>
        </w:rPr>
        <w:t>practice</w:t>
      </w:r>
      <w:r w:rsidR="00823F92">
        <w:rPr>
          <w:lang w:val="en-US"/>
        </w:rPr>
        <w:t xml:space="preserve">, </w:t>
      </w:r>
      <w:r>
        <w:rPr>
          <w:lang w:val="en-US"/>
        </w:rPr>
        <w:t>reflectio</w:t>
      </w:r>
      <w:r w:rsidR="00823F92">
        <w:rPr>
          <w:lang w:val="en-US"/>
        </w:rPr>
        <w:t xml:space="preserve">n </w:t>
      </w:r>
      <w:r>
        <w:rPr>
          <w:lang w:val="en-US"/>
        </w:rPr>
        <w:t>an</w:t>
      </w:r>
      <w:r w:rsidR="00823F92">
        <w:rPr>
          <w:lang w:val="en-US"/>
        </w:rPr>
        <w:t xml:space="preserve">d </w:t>
      </w:r>
      <w:r>
        <w:rPr>
          <w:lang w:val="en-US"/>
        </w:rPr>
        <w:t>networkin</w:t>
      </w:r>
      <w:r w:rsidR="00823F92">
        <w:rPr>
          <w:lang w:val="en-US"/>
        </w:rPr>
        <w:t xml:space="preserve">g </w:t>
      </w:r>
      <w:r>
        <w:rPr>
          <w:lang w:val="en-US"/>
        </w:rPr>
        <w:t>opportunitie</w:t>
      </w:r>
      <w:r w:rsidR="00823F92">
        <w:rPr>
          <w:lang w:val="en-US"/>
        </w:rPr>
        <w:t xml:space="preserve">s </w:t>
      </w:r>
      <w:r>
        <w:rPr>
          <w:lang w:val="en-US"/>
        </w:rPr>
        <w:t>tha</w:t>
      </w:r>
      <w:r w:rsidR="00823F92">
        <w:rPr>
          <w:lang w:val="en-US"/>
        </w:rPr>
        <w:t xml:space="preserve">t </w:t>
      </w:r>
      <w:r>
        <w:rPr>
          <w:lang w:val="en-US"/>
        </w:rPr>
        <w:t>hel</w:t>
      </w:r>
      <w:r w:rsidR="00823F92">
        <w:rPr>
          <w:lang w:val="en-US"/>
        </w:rPr>
        <w:t xml:space="preserve">p </w:t>
      </w:r>
      <w:r>
        <w:rPr>
          <w:lang w:val="en-US"/>
        </w:rPr>
        <w:t>t</w:t>
      </w:r>
      <w:r w:rsidR="00823F92">
        <w:rPr>
          <w:lang w:val="en-US"/>
        </w:rPr>
        <w:t xml:space="preserve">o </w:t>
      </w:r>
      <w:r>
        <w:rPr>
          <w:lang w:val="en-US"/>
        </w:rPr>
        <w:t>buil</w:t>
      </w:r>
      <w:r w:rsidR="00823F92">
        <w:rPr>
          <w:lang w:val="en-US"/>
        </w:rPr>
        <w:t xml:space="preserve">d </w:t>
      </w:r>
      <w:r>
        <w:rPr>
          <w:lang w:val="en-US"/>
        </w:rPr>
        <w:t>professiona</w:t>
      </w:r>
      <w:r w:rsidR="00823F92">
        <w:rPr>
          <w:lang w:val="en-US"/>
        </w:rPr>
        <w:t xml:space="preserve">l </w:t>
      </w:r>
      <w:r>
        <w:rPr>
          <w:lang w:val="en-US"/>
        </w:rPr>
        <w:t>an</w:t>
      </w:r>
      <w:r w:rsidR="00823F92">
        <w:rPr>
          <w:lang w:val="en-US"/>
        </w:rPr>
        <w:t xml:space="preserve">d </w:t>
      </w:r>
      <w:r>
        <w:rPr>
          <w:lang w:val="en-US"/>
        </w:rPr>
        <w:t>informe</w:t>
      </w:r>
      <w:r w:rsidR="00823F92">
        <w:rPr>
          <w:lang w:val="en-US"/>
        </w:rPr>
        <w:t xml:space="preserve">d </w:t>
      </w:r>
      <w:r>
        <w:rPr>
          <w:lang w:val="en-US"/>
        </w:rPr>
        <w:t>approaches</w:t>
      </w:r>
      <w:r w:rsidR="00823F92">
        <w:rPr>
          <w:lang w:val="en-US"/>
        </w:rPr>
        <w:t xml:space="preserve">. </w:t>
      </w:r>
      <w:r>
        <w:rPr>
          <w:lang w:val="en-US"/>
        </w:rPr>
        <w:t>Withou</w:t>
      </w:r>
      <w:r w:rsidR="00823F92">
        <w:rPr>
          <w:lang w:val="en-US"/>
        </w:rPr>
        <w:t xml:space="preserve">t </w:t>
      </w:r>
      <w:r>
        <w:rPr>
          <w:lang w:val="en-US"/>
        </w:rPr>
        <w:t>ongoin</w:t>
      </w:r>
      <w:r w:rsidR="00823F92">
        <w:rPr>
          <w:lang w:val="en-US"/>
        </w:rPr>
        <w:t xml:space="preserve">g </w:t>
      </w:r>
      <w:r>
        <w:rPr>
          <w:lang w:val="en-US"/>
        </w:rPr>
        <w:t>development</w:t>
      </w:r>
      <w:r w:rsidR="00823F92">
        <w:rPr>
          <w:lang w:val="en-US"/>
        </w:rPr>
        <w:t xml:space="preserve">, </w:t>
      </w:r>
      <w:r>
        <w:rPr>
          <w:lang w:val="en-US"/>
        </w:rPr>
        <w:t>th</w:t>
      </w:r>
      <w:r w:rsidR="00823F92">
        <w:rPr>
          <w:lang w:val="en-US"/>
        </w:rPr>
        <w:t xml:space="preserve">e </w:t>
      </w:r>
      <w:r>
        <w:rPr>
          <w:lang w:val="en-US"/>
        </w:rPr>
        <w:t>workforc</w:t>
      </w:r>
      <w:r w:rsidR="00823F92">
        <w:rPr>
          <w:lang w:val="en-US"/>
        </w:rPr>
        <w:t xml:space="preserve">e </w:t>
      </w:r>
      <w:r>
        <w:rPr>
          <w:lang w:val="en-US"/>
        </w:rPr>
        <w:t>risk</w:t>
      </w:r>
      <w:r w:rsidR="00823F92">
        <w:rPr>
          <w:lang w:val="en-US"/>
        </w:rPr>
        <w:t xml:space="preserve">s </w:t>
      </w:r>
      <w:r>
        <w:rPr>
          <w:lang w:val="en-US"/>
        </w:rPr>
        <w:t>losin</w:t>
      </w:r>
      <w:r w:rsidR="00823F92">
        <w:rPr>
          <w:lang w:val="en-US"/>
        </w:rPr>
        <w:t xml:space="preserve">g </w:t>
      </w:r>
      <w:r>
        <w:rPr>
          <w:lang w:val="en-US"/>
        </w:rPr>
        <w:t>th</w:t>
      </w:r>
      <w:r w:rsidR="00823F92">
        <w:rPr>
          <w:lang w:val="en-US"/>
        </w:rPr>
        <w:t xml:space="preserve">e </w:t>
      </w:r>
      <w:r>
        <w:rPr>
          <w:lang w:val="en-US"/>
        </w:rPr>
        <w:t>knowledg</w:t>
      </w:r>
      <w:r w:rsidR="00823F92">
        <w:rPr>
          <w:lang w:val="en-US"/>
        </w:rPr>
        <w:t xml:space="preserve">e </w:t>
      </w:r>
      <w:r>
        <w:rPr>
          <w:lang w:val="en-US"/>
        </w:rPr>
        <w:t>an</w:t>
      </w:r>
      <w:r w:rsidR="00823F92">
        <w:rPr>
          <w:lang w:val="en-US"/>
        </w:rPr>
        <w:t xml:space="preserve">d </w:t>
      </w:r>
      <w:r>
        <w:rPr>
          <w:lang w:val="en-US"/>
        </w:rPr>
        <w:t>skil</w:t>
      </w:r>
      <w:r w:rsidR="00823F92">
        <w:rPr>
          <w:lang w:val="en-US"/>
        </w:rPr>
        <w:t xml:space="preserve">l </w:t>
      </w:r>
      <w:r>
        <w:rPr>
          <w:lang w:val="en-US"/>
        </w:rPr>
        <w:t>currenc</w:t>
      </w:r>
      <w:r w:rsidR="00823F92">
        <w:rPr>
          <w:lang w:val="en-US"/>
        </w:rPr>
        <w:t xml:space="preserve">y </w:t>
      </w:r>
      <w:r>
        <w:rPr>
          <w:lang w:val="en-US"/>
        </w:rPr>
        <w:t>tha</w:t>
      </w:r>
      <w:r w:rsidR="00823F92">
        <w:rPr>
          <w:lang w:val="en-US"/>
        </w:rPr>
        <w:t xml:space="preserve">t </w:t>
      </w:r>
      <w:r>
        <w:rPr>
          <w:lang w:val="en-US"/>
        </w:rPr>
        <w:t>i</w:t>
      </w:r>
      <w:r w:rsidR="00823F92">
        <w:rPr>
          <w:lang w:val="en-US"/>
        </w:rPr>
        <w:t xml:space="preserve">s </w:t>
      </w:r>
      <w:r>
        <w:rPr>
          <w:lang w:val="en-US"/>
        </w:rPr>
        <w:t>essentia</w:t>
      </w:r>
      <w:r w:rsidR="00823F92">
        <w:rPr>
          <w:lang w:val="en-US"/>
        </w:rPr>
        <w:t xml:space="preserve">l </w:t>
      </w:r>
      <w:r>
        <w:rPr>
          <w:lang w:val="en-US"/>
        </w:rPr>
        <w:t>t</w:t>
      </w:r>
      <w:r w:rsidR="00823F92">
        <w:rPr>
          <w:lang w:val="en-US"/>
        </w:rPr>
        <w:t xml:space="preserve">o </w:t>
      </w:r>
      <w:r>
        <w:rPr>
          <w:lang w:val="en-US"/>
        </w:rPr>
        <w:t>ensurin</w:t>
      </w:r>
      <w:r w:rsidR="00823F92">
        <w:rPr>
          <w:lang w:val="en-US"/>
        </w:rPr>
        <w:t xml:space="preserve">g </w:t>
      </w:r>
      <w:r>
        <w:rPr>
          <w:lang w:val="en-US"/>
        </w:rPr>
        <w:t>positiv</w:t>
      </w:r>
      <w:r w:rsidR="00823F92">
        <w:rPr>
          <w:lang w:val="en-US"/>
        </w:rPr>
        <w:t xml:space="preserve">e </w:t>
      </w:r>
      <w:r>
        <w:rPr>
          <w:lang w:val="en-US"/>
        </w:rPr>
        <w:t>outcome</w:t>
      </w:r>
      <w:r w:rsidR="00823F92">
        <w:rPr>
          <w:lang w:val="en-US"/>
        </w:rPr>
        <w:t xml:space="preserve">s </w:t>
      </w:r>
      <w:r>
        <w:rPr>
          <w:lang w:val="en-US"/>
        </w:rPr>
        <w:t>fo</w:t>
      </w:r>
      <w:r w:rsidR="00823F92">
        <w:rPr>
          <w:lang w:val="en-US"/>
        </w:rPr>
        <w:t xml:space="preserve">r </w:t>
      </w:r>
      <w:proofErr w:type="spellStart"/>
      <w:r>
        <w:rPr>
          <w:lang w:val="en-US"/>
        </w:rPr>
        <w:t>carer</w:t>
      </w:r>
      <w:r w:rsidR="00823F92">
        <w:rPr>
          <w:lang w:val="en-US"/>
        </w:rPr>
        <w:t>s</w:t>
      </w:r>
      <w:proofErr w:type="spellEnd"/>
      <w:r w:rsidR="00823F92">
        <w:rPr>
          <w:lang w:val="en-US"/>
        </w:rPr>
        <w:t xml:space="preserve"> </w:t>
      </w:r>
      <w:r>
        <w:rPr>
          <w:lang w:val="en-US"/>
        </w:rPr>
        <w:t>an</w:t>
      </w:r>
      <w:r w:rsidR="00823F92">
        <w:rPr>
          <w:lang w:val="en-US"/>
        </w:rPr>
        <w:t xml:space="preserve">d </w:t>
      </w:r>
      <w:r>
        <w:rPr>
          <w:lang w:val="en-US"/>
        </w:rPr>
        <w:t>consumers</w:t>
      </w:r>
      <w:r w:rsidR="00823F92">
        <w:rPr>
          <w:lang w:val="en-US"/>
        </w:rPr>
        <w:t xml:space="preserve">. </w:t>
      </w:r>
    </w:p>
    <w:p w14:paraId="46018672" w14:textId="65D5C9A9" w:rsidR="00453F15" w:rsidRDefault="00453F15" w:rsidP="007F29E7">
      <w:pPr>
        <w:pStyle w:val="BodyText"/>
        <w:rPr>
          <w:lang w:val="en-US"/>
        </w:rPr>
      </w:pPr>
      <w:r>
        <w:rPr>
          <w:lang w:val="en-US"/>
        </w:rPr>
        <w:t>Organisation</w:t>
      </w:r>
      <w:r w:rsidR="00823F92">
        <w:rPr>
          <w:lang w:val="en-US"/>
        </w:rPr>
        <w:t xml:space="preserve">s </w:t>
      </w:r>
      <w:r>
        <w:rPr>
          <w:lang w:val="en-US"/>
        </w:rPr>
        <w:t>an</w:t>
      </w:r>
      <w:r w:rsidR="00823F92">
        <w:rPr>
          <w:lang w:val="en-US"/>
        </w:rPr>
        <w:t xml:space="preserve">d </w:t>
      </w:r>
      <w:r>
        <w:rPr>
          <w:lang w:val="en-US"/>
        </w:rPr>
        <w:t>pea</w:t>
      </w:r>
      <w:r w:rsidR="00823F92">
        <w:rPr>
          <w:lang w:val="en-US"/>
        </w:rPr>
        <w:t xml:space="preserve">k </w:t>
      </w:r>
      <w:r>
        <w:rPr>
          <w:lang w:val="en-US"/>
        </w:rPr>
        <w:t>bodie</w:t>
      </w:r>
      <w:r w:rsidR="00823F92">
        <w:rPr>
          <w:lang w:val="en-US"/>
        </w:rPr>
        <w:t xml:space="preserve">s </w:t>
      </w:r>
      <w:r>
        <w:rPr>
          <w:lang w:val="en-US"/>
        </w:rPr>
        <w:t>consulte</w:t>
      </w:r>
      <w:r w:rsidR="00823F92">
        <w:rPr>
          <w:lang w:val="en-US"/>
        </w:rPr>
        <w:t xml:space="preserve">d </w:t>
      </w:r>
      <w:r>
        <w:rPr>
          <w:lang w:val="en-US"/>
        </w:rPr>
        <w:t>i</w:t>
      </w:r>
      <w:r w:rsidR="00823F92">
        <w:rPr>
          <w:lang w:val="en-US"/>
        </w:rPr>
        <w:t xml:space="preserve">n </w:t>
      </w:r>
      <w:r>
        <w:rPr>
          <w:lang w:val="en-US"/>
        </w:rPr>
        <w:t>th</w:t>
      </w:r>
      <w:r w:rsidR="00823F92">
        <w:rPr>
          <w:lang w:val="en-US"/>
        </w:rPr>
        <w:t xml:space="preserve">e </w:t>
      </w:r>
      <w:r>
        <w:rPr>
          <w:lang w:val="en-US"/>
        </w:rPr>
        <w:t>developmen</w:t>
      </w:r>
      <w:r w:rsidR="00823F92">
        <w:rPr>
          <w:lang w:val="en-US"/>
        </w:rPr>
        <w:t xml:space="preserve">t </w:t>
      </w:r>
      <w:r>
        <w:rPr>
          <w:lang w:val="en-US"/>
        </w:rPr>
        <w:t>o</w:t>
      </w:r>
      <w:r w:rsidR="00823F92">
        <w:rPr>
          <w:lang w:val="en-US"/>
        </w:rPr>
        <w:t xml:space="preserve">f </w:t>
      </w:r>
      <w:r>
        <w:rPr>
          <w:lang w:val="en-US"/>
        </w:rPr>
        <w:t>thi</w:t>
      </w:r>
      <w:r w:rsidR="00823F92">
        <w:rPr>
          <w:lang w:val="en-US"/>
        </w:rPr>
        <w:t xml:space="preserve">s </w:t>
      </w:r>
      <w:r>
        <w:rPr>
          <w:lang w:val="en-US"/>
        </w:rPr>
        <w:t>Strateg</w:t>
      </w:r>
      <w:r w:rsidR="00823F92">
        <w:rPr>
          <w:lang w:val="en-US"/>
        </w:rPr>
        <w:t xml:space="preserve">y </w:t>
      </w:r>
      <w:r>
        <w:rPr>
          <w:lang w:val="en-US"/>
        </w:rPr>
        <w:t>reporte</w:t>
      </w:r>
      <w:r w:rsidR="00823F92">
        <w:rPr>
          <w:lang w:val="en-US"/>
        </w:rPr>
        <w:t xml:space="preserve">d </w:t>
      </w:r>
      <w:r>
        <w:rPr>
          <w:lang w:val="en-US"/>
        </w:rPr>
        <w:t>difficult</w:t>
      </w:r>
      <w:r w:rsidR="00823F92">
        <w:rPr>
          <w:lang w:val="en-US"/>
        </w:rPr>
        <w:t xml:space="preserve">y </w:t>
      </w:r>
      <w:r>
        <w:rPr>
          <w:lang w:val="en-US"/>
        </w:rPr>
        <w:t>i</w:t>
      </w:r>
      <w:r w:rsidR="00823F92">
        <w:rPr>
          <w:lang w:val="en-US"/>
        </w:rPr>
        <w:t xml:space="preserve">n </w:t>
      </w:r>
      <w:r>
        <w:rPr>
          <w:lang w:val="en-US"/>
        </w:rPr>
        <w:t>accessin</w:t>
      </w:r>
      <w:r w:rsidR="00823F92">
        <w:rPr>
          <w:lang w:val="en-US"/>
        </w:rPr>
        <w:t xml:space="preserve">g </w:t>
      </w:r>
      <w:r>
        <w:rPr>
          <w:lang w:val="en-US"/>
        </w:rPr>
        <w:t>informatio</w:t>
      </w:r>
      <w:r w:rsidR="00823F92">
        <w:rPr>
          <w:lang w:val="en-US"/>
        </w:rPr>
        <w:t xml:space="preserve">n </w:t>
      </w:r>
      <w:r>
        <w:rPr>
          <w:lang w:val="en-US"/>
        </w:rPr>
        <w:t>o</w:t>
      </w:r>
      <w:r w:rsidR="00823F92">
        <w:rPr>
          <w:lang w:val="en-US"/>
        </w:rPr>
        <w:t xml:space="preserve">n </w:t>
      </w:r>
      <w:r>
        <w:rPr>
          <w:lang w:val="en-US"/>
        </w:rPr>
        <w:t>availabl</w:t>
      </w:r>
      <w:r w:rsidR="00823F92">
        <w:rPr>
          <w:lang w:val="en-US"/>
        </w:rPr>
        <w:t xml:space="preserve">e </w:t>
      </w:r>
      <w:r>
        <w:rPr>
          <w:lang w:val="en-US"/>
        </w:rPr>
        <w:t>professiona</w:t>
      </w:r>
      <w:r w:rsidR="00823F92">
        <w:rPr>
          <w:lang w:val="en-US"/>
        </w:rPr>
        <w:t xml:space="preserve">l </w:t>
      </w:r>
      <w:r>
        <w:rPr>
          <w:lang w:val="en-US"/>
        </w:rPr>
        <w:t>developmen</w:t>
      </w:r>
      <w:r w:rsidR="00823F92">
        <w:rPr>
          <w:lang w:val="en-US"/>
        </w:rPr>
        <w:t xml:space="preserve">t </w:t>
      </w:r>
      <w:r>
        <w:rPr>
          <w:lang w:val="en-US"/>
        </w:rPr>
        <w:t>opportunities</w:t>
      </w:r>
      <w:r w:rsidR="00823F92">
        <w:rPr>
          <w:lang w:val="en-US"/>
        </w:rPr>
        <w:t xml:space="preserve">, </w:t>
      </w:r>
      <w:r>
        <w:rPr>
          <w:lang w:val="en-US"/>
        </w:rPr>
        <w:t>notin</w:t>
      </w:r>
      <w:r w:rsidR="00823F92">
        <w:rPr>
          <w:lang w:val="en-US"/>
        </w:rPr>
        <w:t xml:space="preserve">g </w:t>
      </w:r>
      <w:r>
        <w:rPr>
          <w:lang w:val="en-US"/>
        </w:rPr>
        <w:t>th</w:t>
      </w:r>
      <w:r w:rsidR="00823F92">
        <w:rPr>
          <w:lang w:val="en-US"/>
        </w:rPr>
        <w:t xml:space="preserve">e </w:t>
      </w:r>
      <w:r>
        <w:rPr>
          <w:lang w:val="en-US"/>
        </w:rPr>
        <w:t>lac</w:t>
      </w:r>
      <w:r w:rsidR="00823F92">
        <w:rPr>
          <w:lang w:val="en-US"/>
        </w:rPr>
        <w:t xml:space="preserve">k </w:t>
      </w:r>
      <w:r>
        <w:rPr>
          <w:lang w:val="en-US"/>
        </w:rPr>
        <w:t>o</w:t>
      </w:r>
      <w:r w:rsidR="00823F92">
        <w:rPr>
          <w:lang w:val="en-US"/>
        </w:rPr>
        <w:t xml:space="preserve">f a </w:t>
      </w:r>
      <w:r>
        <w:rPr>
          <w:lang w:val="en-US"/>
        </w:rPr>
        <w:t>consisten</w:t>
      </w:r>
      <w:r w:rsidR="00823F92">
        <w:rPr>
          <w:lang w:val="en-US"/>
        </w:rPr>
        <w:t xml:space="preserve">t </w:t>
      </w:r>
      <w:r>
        <w:rPr>
          <w:lang w:val="en-US"/>
        </w:rPr>
        <w:t>an</w:t>
      </w:r>
      <w:r w:rsidR="00823F92">
        <w:rPr>
          <w:lang w:val="en-US"/>
        </w:rPr>
        <w:t xml:space="preserve">d </w:t>
      </w:r>
      <w:proofErr w:type="spellStart"/>
      <w:r>
        <w:rPr>
          <w:lang w:val="en-US"/>
        </w:rPr>
        <w:t>centralise</w:t>
      </w:r>
      <w:r w:rsidR="00823F92">
        <w:rPr>
          <w:lang w:val="en-US"/>
        </w:rPr>
        <w:t>d</w:t>
      </w:r>
      <w:proofErr w:type="spellEnd"/>
      <w:r w:rsidR="00823F92">
        <w:rPr>
          <w:lang w:val="en-US"/>
        </w:rPr>
        <w:t xml:space="preserve"> </w:t>
      </w:r>
      <w:r>
        <w:rPr>
          <w:lang w:val="en-US"/>
        </w:rPr>
        <w:t>sourc</w:t>
      </w:r>
      <w:r w:rsidR="00823F92">
        <w:rPr>
          <w:lang w:val="en-US"/>
        </w:rPr>
        <w:t xml:space="preserve">e </w:t>
      </w:r>
      <w:r>
        <w:rPr>
          <w:lang w:val="en-US"/>
        </w:rPr>
        <w:t>o</w:t>
      </w:r>
      <w:r w:rsidR="00823F92">
        <w:rPr>
          <w:lang w:val="en-US"/>
        </w:rPr>
        <w:t xml:space="preserve">f </w:t>
      </w:r>
      <w:r>
        <w:rPr>
          <w:lang w:val="en-US"/>
        </w:rPr>
        <w:t>hig</w:t>
      </w:r>
      <w:r w:rsidR="00823F92">
        <w:rPr>
          <w:lang w:val="en-US"/>
        </w:rPr>
        <w:t xml:space="preserve">h </w:t>
      </w:r>
      <w:r>
        <w:rPr>
          <w:lang w:val="en-US"/>
        </w:rPr>
        <w:t>qualit</w:t>
      </w:r>
      <w:r w:rsidR="00823F92">
        <w:rPr>
          <w:lang w:val="en-US"/>
        </w:rPr>
        <w:t xml:space="preserve">y </w:t>
      </w:r>
      <w:r>
        <w:rPr>
          <w:lang w:val="en-US"/>
        </w:rPr>
        <w:t>trainin</w:t>
      </w:r>
      <w:r w:rsidR="00823F92">
        <w:rPr>
          <w:lang w:val="en-US"/>
        </w:rPr>
        <w:t xml:space="preserve">g </w:t>
      </w:r>
      <w:r>
        <w:rPr>
          <w:lang w:val="en-US"/>
        </w:rPr>
        <w:t>activitie</w:t>
      </w:r>
      <w:r w:rsidR="00823F92">
        <w:rPr>
          <w:lang w:val="en-US"/>
        </w:rPr>
        <w:t xml:space="preserve">s </w:t>
      </w:r>
      <w:r>
        <w:rPr>
          <w:lang w:val="en-US"/>
        </w:rPr>
        <w:t>tha</w:t>
      </w:r>
      <w:r w:rsidR="00823F92">
        <w:rPr>
          <w:lang w:val="en-US"/>
        </w:rPr>
        <w:t xml:space="preserve">t </w:t>
      </w:r>
      <w:r>
        <w:rPr>
          <w:lang w:val="en-US"/>
        </w:rPr>
        <w:t>coul</w:t>
      </w:r>
      <w:r w:rsidR="00823F92">
        <w:rPr>
          <w:lang w:val="en-US"/>
        </w:rPr>
        <w:t xml:space="preserve">d </w:t>
      </w:r>
      <w:r>
        <w:rPr>
          <w:lang w:val="en-US"/>
        </w:rPr>
        <w:t>b</w:t>
      </w:r>
      <w:r w:rsidR="00823F92">
        <w:rPr>
          <w:lang w:val="en-US"/>
        </w:rPr>
        <w:t xml:space="preserve">e </w:t>
      </w:r>
      <w:r>
        <w:rPr>
          <w:lang w:val="en-US"/>
        </w:rPr>
        <w:t>recommende</w:t>
      </w:r>
      <w:r w:rsidR="00823F92">
        <w:rPr>
          <w:lang w:val="en-US"/>
        </w:rPr>
        <w:t xml:space="preserve">d </w:t>
      </w:r>
      <w:r>
        <w:rPr>
          <w:lang w:val="en-US"/>
        </w:rPr>
        <w:t>fo</w:t>
      </w:r>
      <w:r w:rsidR="00823F92">
        <w:rPr>
          <w:lang w:val="en-US"/>
        </w:rPr>
        <w:t xml:space="preserve">r </w:t>
      </w:r>
      <w:r>
        <w:rPr>
          <w:lang w:val="en-US"/>
        </w:rPr>
        <w:t>thei</w:t>
      </w:r>
      <w:r w:rsidR="00823F92">
        <w:rPr>
          <w:lang w:val="en-US"/>
        </w:rPr>
        <w:t xml:space="preserve">r </w:t>
      </w:r>
      <w:r>
        <w:rPr>
          <w:lang w:val="en-US"/>
        </w:rPr>
        <w:t>staff</w:t>
      </w:r>
      <w:r w:rsidR="00823F92">
        <w:rPr>
          <w:lang w:val="en-US"/>
        </w:rPr>
        <w:t xml:space="preserve">. </w:t>
      </w:r>
    </w:p>
    <w:p w14:paraId="75884FB1" w14:textId="09782BBE" w:rsidR="00453F15" w:rsidRPr="000E25B1" w:rsidRDefault="00453F15" w:rsidP="008D57D0">
      <w:pPr>
        <w:pStyle w:val="Heading3nonumber"/>
        <w:keepNext/>
      </w:pPr>
      <w:r>
        <w:t>Caree</w:t>
      </w:r>
      <w:r w:rsidR="00823F92">
        <w:t xml:space="preserve">r </w:t>
      </w:r>
      <w:r>
        <w:t>p</w:t>
      </w:r>
      <w:r w:rsidRPr="000E25B1">
        <w:t>rogression</w:t>
      </w:r>
    </w:p>
    <w:p w14:paraId="096623B4" w14:textId="5A0949E0" w:rsidR="00453F15" w:rsidRPr="00C20405" w:rsidRDefault="00453F15" w:rsidP="007F29E7">
      <w:pPr>
        <w:pStyle w:val="BodyText"/>
        <w:rPr>
          <w:lang w:val="en-US"/>
        </w:rPr>
      </w:pPr>
      <w:r w:rsidRPr="00C20405">
        <w:rPr>
          <w:lang w:val="en-US"/>
        </w:rPr>
        <w:t>Acces</w:t>
      </w:r>
      <w:r w:rsidR="00823F92" w:rsidRPr="00C20405">
        <w:rPr>
          <w:lang w:val="en-US"/>
        </w:rPr>
        <w:t>s</w:t>
      </w:r>
      <w:r w:rsidR="00823F92">
        <w:rPr>
          <w:lang w:val="en-US"/>
        </w:rPr>
        <w:t xml:space="preserve"> </w:t>
      </w:r>
      <w:r w:rsidRPr="00C20405">
        <w:rPr>
          <w:lang w:val="en-US"/>
        </w:rPr>
        <w:t>t</w:t>
      </w:r>
      <w:r w:rsidR="00823F92" w:rsidRPr="00C20405">
        <w:rPr>
          <w:lang w:val="en-US"/>
        </w:rPr>
        <w:t>o</w:t>
      </w:r>
      <w:r w:rsidR="00823F92">
        <w:rPr>
          <w:lang w:val="en-US"/>
        </w:rPr>
        <w:t xml:space="preserve"> </w:t>
      </w:r>
      <w:r w:rsidRPr="00C20405">
        <w:rPr>
          <w:lang w:val="en-US"/>
        </w:rPr>
        <w:t>opportunitie</w:t>
      </w:r>
      <w:r w:rsidR="00823F92" w:rsidRPr="00C20405">
        <w:rPr>
          <w:lang w:val="en-US"/>
        </w:rPr>
        <w:t>s</w:t>
      </w:r>
      <w:r w:rsidR="00823F92">
        <w:rPr>
          <w:lang w:val="en-US"/>
        </w:rPr>
        <w:t xml:space="preserve"> </w:t>
      </w:r>
      <w:r w:rsidRPr="00C20405">
        <w:rPr>
          <w:lang w:val="en-US"/>
        </w:rPr>
        <w:t>fo</w:t>
      </w:r>
      <w:r w:rsidR="00823F92" w:rsidRPr="00C20405">
        <w:rPr>
          <w:lang w:val="en-US"/>
        </w:rPr>
        <w:t>r</w:t>
      </w:r>
      <w:r w:rsidR="00823F92">
        <w:rPr>
          <w:lang w:val="en-US"/>
        </w:rPr>
        <w:t xml:space="preserve"> </w:t>
      </w:r>
      <w:r w:rsidRPr="00C20405">
        <w:rPr>
          <w:lang w:val="en-US"/>
        </w:rPr>
        <w:t>progressio</w:t>
      </w:r>
      <w:r w:rsidR="00823F92" w:rsidRPr="00C20405">
        <w:rPr>
          <w:lang w:val="en-US"/>
        </w:rPr>
        <w:t>n</w:t>
      </w:r>
      <w:r w:rsidR="00823F92">
        <w:rPr>
          <w:lang w:val="en-US"/>
        </w:rPr>
        <w:t xml:space="preserve"> </w:t>
      </w:r>
      <w:r w:rsidRPr="00C20405">
        <w:rPr>
          <w:lang w:val="en-US"/>
        </w:rPr>
        <w:t>i</w:t>
      </w:r>
      <w:r w:rsidR="00823F92" w:rsidRPr="00C20405">
        <w:rPr>
          <w:lang w:val="en-US"/>
        </w:rPr>
        <w:t>n</w:t>
      </w:r>
      <w:r w:rsidR="00823F92">
        <w:rPr>
          <w:lang w:val="en-US"/>
        </w:rPr>
        <w:t xml:space="preserve"> </w:t>
      </w:r>
      <w:r w:rsidRPr="00C20405">
        <w:rPr>
          <w:lang w:val="en-US"/>
        </w:rPr>
        <w:t>level</w:t>
      </w:r>
      <w:r w:rsidR="00823F92" w:rsidRPr="00C20405">
        <w:rPr>
          <w:lang w:val="en-US"/>
        </w:rPr>
        <w:t>,</w:t>
      </w:r>
      <w:r w:rsidR="00823F92">
        <w:rPr>
          <w:lang w:val="en-US"/>
        </w:rPr>
        <w:t xml:space="preserve"> </w:t>
      </w:r>
      <w:r w:rsidRPr="00C20405">
        <w:rPr>
          <w:lang w:val="en-US"/>
        </w:rPr>
        <w:t>rol</w:t>
      </w:r>
      <w:r w:rsidR="00823F92" w:rsidRPr="00C20405">
        <w:rPr>
          <w:lang w:val="en-US"/>
        </w:rPr>
        <w:t>e</w:t>
      </w:r>
      <w:r w:rsidR="00823F92">
        <w:rPr>
          <w:lang w:val="en-US"/>
        </w:rPr>
        <w:t xml:space="preserve"> </w:t>
      </w:r>
      <w:r w:rsidRPr="00C20405">
        <w:rPr>
          <w:lang w:val="en-US"/>
        </w:rPr>
        <w:t>an</w:t>
      </w:r>
      <w:r w:rsidR="00823F92" w:rsidRPr="00C20405">
        <w:rPr>
          <w:lang w:val="en-US"/>
        </w:rPr>
        <w:t>d</w:t>
      </w:r>
      <w:r w:rsidR="00823F92">
        <w:rPr>
          <w:lang w:val="en-US"/>
        </w:rPr>
        <w:t xml:space="preserve"> </w:t>
      </w:r>
      <w:r w:rsidRPr="00C20405">
        <w:rPr>
          <w:lang w:val="en-US"/>
        </w:rPr>
        <w:t>responsibilit</w:t>
      </w:r>
      <w:r w:rsidR="00823F92" w:rsidRPr="00C20405">
        <w:rPr>
          <w:lang w:val="en-US"/>
        </w:rPr>
        <w:t>y</w:t>
      </w:r>
      <w:r w:rsidR="00823F92">
        <w:rPr>
          <w:lang w:val="en-US"/>
        </w:rPr>
        <w:t xml:space="preserve"> </w:t>
      </w:r>
      <w:r w:rsidRPr="00C20405">
        <w:rPr>
          <w:lang w:val="en-US"/>
        </w:rPr>
        <w:t>i</w:t>
      </w:r>
      <w:r w:rsidR="00823F92" w:rsidRPr="00C20405">
        <w:rPr>
          <w:lang w:val="en-US"/>
        </w:rPr>
        <w:t>s</w:t>
      </w:r>
      <w:r w:rsidR="00823F92">
        <w:rPr>
          <w:lang w:val="en-US"/>
        </w:rPr>
        <w:t xml:space="preserve"> </w:t>
      </w:r>
      <w:r w:rsidRPr="00C20405">
        <w:rPr>
          <w:lang w:val="en-US"/>
        </w:rPr>
        <w:t>a</w:t>
      </w:r>
      <w:r w:rsidR="00823F92" w:rsidRPr="00C20405">
        <w:rPr>
          <w:lang w:val="en-US"/>
        </w:rPr>
        <w:t>n</w:t>
      </w:r>
      <w:r w:rsidR="00823F92">
        <w:rPr>
          <w:lang w:val="en-US"/>
        </w:rPr>
        <w:t xml:space="preserve"> </w:t>
      </w:r>
      <w:r w:rsidRPr="00C20405">
        <w:rPr>
          <w:lang w:val="en-US"/>
        </w:rPr>
        <w:t>importan</w:t>
      </w:r>
      <w:r w:rsidR="00823F92" w:rsidRPr="00C20405">
        <w:rPr>
          <w:lang w:val="en-US"/>
        </w:rPr>
        <w:t>t</w:t>
      </w:r>
      <w:r w:rsidR="00823F92">
        <w:rPr>
          <w:lang w:val="en-US"/>
        </w:rPr>
        <w:t xml:space="preserve"> </w:t>
      </w:r>
      <w:r w:rsidRPr="00C20405">
        <w:rPr>
          <w:lang w:val="en-US"/>
        </w:rPr>
        <w:t>contributo</w:t>
      </w:r>
      <w:r w:rsidR="00823F92" w:rsidRPr="00C20405">
        <w:rPr>
          <w:lang w:val="en-US"/>
        </w:rPr>
        <w:t>r</w:t>
      </w:r>
      <w:r w:rsidR="00823F92">
        <w:rPr>
          <w:lang w:val="en-US"/>
        </w:rPr>
        <w:t xml:space="preserve"> </w:t>
      </w:r>
      <w:r w:rsidRPr="00C20405">
        <w:rPr>
          <w:lang w:val="en-US"/>
        </w:rPr>
        <w:t>t</w:t>
      </w:r>
      <w:r w:rsidR="00823F92" w:rsidRPr="00C20405">
        <w:rPr>
          <w:lang w:val="en-US"/>
        </w:rPr>
        <w:t>o</w:t>
      </w:r>
      <w:r w:rsidR="00823F92">
        <w:rPr>
          <w:lang w:val="en-US"/>
        </w:rPr>
        <w:t xml:space="preserve"> </w:t>
      </w:r>
      <w:r w:rsidRPr="00C20405">
        <w:rPr>
          <w:lang w:val="en-US"/>
        </w:rPr>
        <w:t>caree</w:t>
      </w:r>
      <w:r w:rsidR="00823F92" w:rsidRPr="00C20405">
        <w:rPr>
          <w:lang w:val="en-US"/>
        </w:rPr>
        <w:t>r</w:t>
      </w:r>
      <w:r w:rsidR="00823F92">
        <w:rPr>
          <w:lang w:val="en-US"/>
        </w:rPr>
        <w:t xml:space="preserve"> </w:t>
      </w:r>
      <w:r w:rsidRPr="00C20405">
        <w:rPr>
          <w:lang w:val="en-US"/>
        </w:rPr>
        <w:t>satisfactio</w:t>
      </w:r>
      <w:r w:rsidR="00823F92" w:rsidRPr="00C20405">
        <w:rPr>
          <w:lang w:val="en-US"/>
        </w:rPr>
        <w:t>n</w:t>
      </w:r>
      <w:r w:rsidR="00823F92">
        <w:rPr>
          <w:lang w:val="en-US"/>
        </w:rPr>
        <w:t xml:space="preserve"> </w:t>
      </w:r>
      <w:r w:rsidRPr="00C20405">
        <w:rPr>
          <w:lang w:val="en-US"/>
        </w:rPr>
        <w:t>an</w:t>
      </w:r>
      <w:r w:rsidR="00823F92" w:rsidRPr="00C20405">
        <w:rPr>
          <w:lang w:val="en-US"/>
        </w:rPr>
        <w:t>d</w:t>
      </w:r>
      <w:r w:rsidR="00823F92">
        <w:rPr>
          <w:lang w:val="en-US"/>
        </w:rPr>
        <w:t xml:space="preserve"> </w:t>
      </w:r>
      <w:r w:rsidRPr="00C20405">
        <w:rPr>
          <w:lang w:val="en-US"/>
        </w:rPr>
        <w:t>retentions</w:t>
      </w:r>
      <w:r w:rsidR="00823F92" w:rsidRPr="00C20405">
        <w:rPr>
          <w:lang w:val="en-US"/>
        </w:rPr>
        <w:t>.</w:t>
      </w:r>
      <w:r w:rsidR="00823F92">
        <w:rPr>
          <w:lang w:val="en-US"/>
        </w:rPr>
        <w:t xml:space="preserve"> </w:t>
      </w:r>
      <w:r w:rsidRPr="00C20405">
        <w:rPr>
          <w:lang w:val="en-US"/>
        </w:rPr>
        <w:t>Th</w:t>
      </w:r>
      <w:r w:rsidR="00823F92" w:rsidRPr="00C20405">
        <w:rPr>
          <w:lang w:val="en-US"/>
        </w:rPr>
        <w:t>e</w:t>
      </w:r>
      <w:r w:rsidR="00823F92">
        <w:rPr>
          <w:lang w:val="en-US"/>
        </w:rPr>
        <w:t xml:space="preserve"> </w:t>
      </w:r>
      <w:r w:rsidRPr="00C20405">
        <w:rPr>
          <w:lang w:val="en-US"/>
        </w:rPr>
        <w:t>lac</w:t>
      </w:r>
      <w:r w:rsidR="00823F92" w:rsidRPr="00C20405">
        <w:rPr>
          <w:lang w:val="en-US"/>
        </w:rPr>
        <w:t>k</w:t>
      </w:r>
      <w:r w:rsidR="00823F92">
        <w:rPr>
          <w:lang w:val="en-US"/>
        </w:rPr>
        <w:t xml:space="preserve"> </w:t>
      </w:r>
      <w:r w:rsidRPr="00C20405">
        <w:rPr>
          <w:lang w:val="en-US"/>
        </w:rPr>
        <w:t>o</w:t>
      </w:r>
      <w:r w:rsidR="00823F92" w:rsidRPr="00C20405">
        <w:rPr>
          <w:lang w:val="en-US"/>
        </w:rPr>
        <w:t>f</w:t>
      </w:r>
      <w:r w:rsidR="00823F92">
        <w:rPr>
          <w:lang w:val="en-US"/>
        </w:rPr>
        <w:t xml:space="preserve"> </w:t>
      </w:r>
      <w:r w:rsidRPr="00C20405">
        <w:rPr>
          <w:lang w:val="en-US"/>
        </w:rPr>
        <w:t>caree</w:t>
      </w:r>
      <w:r w:rsidR="00823F92" w:rsidRPr="00C20405">
        <w:rPr>
          <w:lang w:val="en-US"/>
        </w:rPr>
        <w:t>r</w:t>
      </w:r>
      <w:r w:rsidR="00823F92">
        <w:rPr>
          <w:lang w:val="en-US"/>
        </w:rPr>
        <w:t xml:space="preserve"> </w:t>
      </w:r>
      <w:r w:rsidRPr="00C20405">
        <w:rPr>
          <w:lang w:val="en-US"/>
        </w:rPr>
        <w:t>progressio</w:t>
      </w:r>
      <w:r w:rsidR="00823F92" w:rsidRPr="00C20405">
        <w:rPr>
          <w:lang w:val="en-US"/>
        </w:rPr>
        <w:t>n</w:t>
      </w:r>
      <w:r w:rsidR="00823F92">
        <w:rPr>
          <w:lang w:val="en-US"/>
        </w:rPr>
        <w:t xml:space="preserve"> </w:t>
      </w:r>
      <w:r w:rsidRPr="00C20405">
        <w:rPr>
          <w:lang w:val="en-US"/>
        </w:rPr>
        <w:t>opportunitie</w:t>
      </w:r>
      <w:r w:rsidR="00823F92" w:rsidRPr="00C20405">
        <w:rPr>
          <w:lang w:val="en-US"/>
        </w:rPr>
        <w:t>s</w:t>
      </w:r>
      <w:r w:rsidR="00823F92">
        <w:rPr>
          <w:lang w:val="en-US"/>
        </w:rPr>
        <w:t xml:space="preserve"> </w:t>
      </w:r>
      <w:r w:rsidRPr="00C20405">
        <w:rPr>
          <w:lang w:val="en-US"/>
        </w:rPr>
        <w:t>decrease</w:t>
      </w:r>
      <w:r w:rsidR="00823F92" w:rsidRPr="00C20405">
        <w:rPr>
          <w:lang w:val="en-US"/>
        </w:rPr>
        <w:t>s</w:t>
      </w:r>
      <w:r w:rsidR="00823F92">
        <w:rPr>
          <w:lang w:val="en-US"/>
        </w:rPr>
        <w:t xml:space="preserve"> </w:t>
      </w:r>
      <w:r w:rsidRPr="00C20405">
        <w:rPr>
          <w:lang w:val="en-US"/>
        </w:rPr>
        <w:t>th</w:t>
      </w:r>
      <w:r w:rsidR="00823F92" w:rsidRPr="00C20405">
        <w:rPr>
          <w:lang w:val="en-US"/>
        </w:rPr>
        <w:t>e</w:t>
      </w:r>
      <w:r w:rsidR="00823F92">
        <w:rPr>
          <w:lang w:val="en-US"/>
        </w:rPr>
        <w:t xml:space="preserve"> </w:t>
      </w:r>
      <w:r w:rsidRPr="00C20405">
        <w:rPr>
          <w:lang w:val="en-US"/>
        </w:rPr>
        <w:t>attractivenes</w:t>
      </w:r>
      <w:r w:rsidR="00823F92" w:rsidRPr="00C20405">
        <w:rPr>
          <w:lang w:val="en-US"/>
        </w:rPr>
        <w:t>s</w:t>
      </w:r>
      <w:r w:rsidR="00823F92">
        <w:rPr>
          <w:lang w:val="en-US"/>
        </w:rPr>
        <w:t xml:space="preserve"> </w:t>
      </w:r>
      <w:r w:rsidRPr="00C20405">
        <w:rPr>
          <w:lang w:val="en-US"/>
        </w:rPr>
        <w:t>o</w:t>
      </w:r>
      <w:r w:rsidR="00823F92" w:rsidRPr="00C20405">
        <w:rPr>
          <w:lang w:val="en-US"/>
        </w:rPr>
        <w:t>f</w:t>
      </w:r>
      <w:r w:rsidR="00823F92">
        <w:rPr>
          <w:lang w:val="en-US"/>
        </w:rPr>
        <w:t xml:space="preserve"> </w:t>
      </w:r>
      <w:r w:rsidRPr="00C20405">
        <w:rPr>
          <w:lang w:val="en-US"/>
        </w:rPr>
        <w:t>employmen</w:t>
      </w:r>
      <w:r w:rsidR="00823F92" w:rsidRPr="00C20405">
        <w:rPr>
          <w:lang w:val="en-US"/>
        </w:rPr>
        <w:t>t</w:t>
      </w:r>
      <w:r w:rsidR="00823F92">
        <w:rPr>
          <w:lang w:val="en-US"/>
        </w:rPr>
        <w:t xml:space="preserve"> </w:t>
      </w:r>
      <w:r w:rsidRPr="00C20405">
        <w:rPr>
          <w:lang w:val="en-US"/>
        </w:rPr>
        <w:t>t</w:t>
      </w:r>
      <w:r w:rsidR="00823F92" w:rsidRPr="00C20405">
        <w:rPr>
          <w:lang w:val="en-US"/>
        </w:rPr>
        <w:t>o</w:t>
      </w:r>
      <w:r w:rsidR="00823F92">
        <w:rPr>
          <w:lang w:val="en-US"/>
        </w:rPr>
        <w:t xml:space="preserve"> </w:t>
      </w:r>
      <w:r w:rsidRPr="00C20405">
        <w:rPr>
          <w:lang w:val="en-US"/>
        </w:rPr>
        <w:t>som</w:t>
      </w:r>
      <w:r w:rsidR="00823F92" w:rsidRPr="00C20405">
        <w:rPr>
          <w:lang w:val="en-US"/>
        </w:rPr>
        <w:t>e</w:t>
      </w:r>
      <w:r w:rsidR="00823F92">
        <w:rPr>
          <w:lang w:val="en-US"/>
        </w:rPr>
        <w:t xml:space="preserve"> </w:t>
      </w:r>
      <w:r w:rsidR="000B5C5D">
        <w:rPr>
          <w:lang w:val="en-US"/>
        </w:rPr>
        <w:t>occupation</w:t>
      </w:r>
      <w:r w:rsidR="00823F92">
        <w:rPr>
          <w:lang w:val="en-US"/>
        </w:rPr>
        <w:t xml:space="preserve">s </w:t>
      </w:r>
      <w:r w:rsidRPr="00C20405">
        <w:rPr>
          <w:lang w:val="en-US"/>
        </w:rPr>
        <w:t>withi</w:t>
      </w:r>
      <w:r w:rsidR="00823F92" w:rsidRPr="00C20405">
        <w:rPr>
          <w:lang w:val="en-US"/>
        </w:rPr>
        <w:t>n</w:t>
      </w:r>
      <w:r w:rsidR="00823F92">
        <w:rPr>
          <w:lang w:val="en-US"/>
        </w:rPr>
        <w:t xml:space="preserve"> </w:t>
      </w:r>
      <w:r w:rsidRPr="00C20405">
        <w:rPr>
          <w:lang w:val="en-US"/>
        </w:rPr>
        <w:t>th</w:t>
      </w:r>
      <w:r w:rsidR="00823F92" w:rsidRPr="00C20405">
        <w:rPr>
          <w:lang w:val="en-US"/>
        </w:rPr>
        <w:t>e</w:t>
      </w:r>
      <w:r w:rsidR="00823F92">
        <w:rPr>
          <w:lang w:val="en-US"/>
        </w:rPr>
        <w:t xml:space="preserve"> </w:t>
      </w:r>
      <w:r w:rsidRPr="00C20405">
        <w:rPr>
          <w:lang w:val="en-US"/>
        </w:rPr>
        <w:t>menta</w:t>
      </w:r>
      <w:r w:rsidR="00823F92" w:rsidRPr="00C20405">
        <w:rPr>
          <w:lang w:val="en-US"/>
        </w:rPr>
        <w:t>l</w:t>
      </w:r>
      <w:r w:rsidR="00823F92">
        <w:rPr>
          <w:lang w:val="en-US"/>
        </w:rPr>
        <w:t xml:space="preserve"> </w:t>
      </w:r>
      <w:r w:rsidRPr="00C20405">
        <w:rPr>
          <w:lang w:val="en-US"/>
        </w:rPr>
        <w:t>healt</w:t>
      </w:r>
      <w:r w:rsidR="00823F92" w:rsidRPr="00C20405">
        <w:rPr>
          <w:lang w:val="en-US"/>
        </w:rPr>
        <w:t>h</w:t>
      </w:r>
      <w:r w:rsidR="00823F92">
        <w:rPr>
          <w:lang w:val="en-US"/>
        </w:rPr>
        <w:t xml:space="preserve"> </w:t>
      </w:r>
      <w:r w:rsidRPr="00C20405">
        <w:rPr>
          <w:lang w:val="en-US"/>
        </w:rPr>
        <w:t>sector</w:t>
      </w:r>
      <w:r w:rsidR="00823F92" w:rsidRPr="00C20405">
        <w:rPr>
          <w:lang w:val="en-US"/>
        </w:rPr>
        <w:t>,</w:t>
      </w:r>
      <w:r w:rsidR="00823F92">
        <w:rPr>
          <w:lang w:val="en-US"/>
        </w:rPr>
        <w:t xml:space="preserve"> </w:t>
      </w:r>
      <w:r w:rsidRPr="00C20405">
        <w:rPr>
          <w:lang w:val="en-US"/>
        </w:rPr>
        <w:t>thei</w:t>
      </w:r>
      <w:r w:rsidR="00823F92" w:rsidRPr="00C20405">
        <w:rPr>
          <w:lang w:val="en-US"/>
        </w:rPr>
        <w:t>r</w:t>
      </w:r>
      <w:r w:rsidR="00823F92">
        <w:rPr>
          <w:lang w:val="en-US"/>
        </w:rPr>
        <w:t xml:space="preserve"> </w:t>
      </w:r>
      <w:r w:rsidRPr="00C20405">
        <w:rPr>
          <w:lang w:val="en-US"/>
        </w:rPr>
        <w:t>satisfactio</w:t>
      </w:r>
      <w:r w:rsidR="00823F92" w:rsidRPr="00C20405">
        <w:rPr>
          <w:lang w:val="en-US"/>
        </w:rPr>
        <w:t>n</w:t>
      </w:r>
      <w:r w:rsidR="00823F92">
        <w:rPr>
          <w:lang w:val="en-US"/>
        </w:rPr>
        <w:t xml:space="preserve"> </w:t>
      </w:r>
      <w:r w:rsidRPr="00C20405">
        <w:rPr>
          <w:lang w:val="en-US"/>
        </w:rPr>
        <w:t>a</w:t>
      </w:r>
      <w:r w:rsidR="00823F92" w:rsidRPr="00C20405">
        <w:rPr>
          <w:lang w:val="en-US"/>
        </w:rPr>
        <w:t>t</w:t>
      </w:r>
      <w:r w:rsidR="00823F92">
        <w:rPr>
          <w:lang w:val="en-US"/>
        </w:rPr>
        <w:t xml:space="preserve"> </w:t>
      </w:r>
      <w:r w:rsidRPr="00C20405">
        <w:rPr>
          <w:lang w:val="en-US"/>
        </w:rPr>
        <w:t>wor</w:t>
      </w:r>
      <w:r w:rsidR="00823F92" w:rsidRPr="00C20405">
        <w:rPr>
          <w:lang w:val="en-US"/>
        </w:rPr>
        <w:t>k</w:t>
      </w:r>
      <w:r w:rsidR="00823F92">
        <w:rPr>
          <w:lang w:val="en-US"/>
        </w:rPr>
        <w:t xml:space="preserve"> </w:t>
      </w:r>
      <w:r w:rsidRPr="00C20405">
        <w:rPr>
          <w:lang w:val="en-US"/>
        </w:rPr>
        <w:t>an</w:t>
      </w:r>
      <w:r w:rsidR="00823F92" w:rsidRPr="00C20405">
        <w:rPr>
          <w:lang w:val="en-US"/>
        </w:rPr>
        <w:t>d</w:t>
      </w:r>
      <w:r w:rsidR="00823F92">
        <w:rPr>
          <w:lang w:val="en-US"/>
        </w:rPr>
        <w:t xml:space="preserve"> </w:t>
      </w:r>
      <w:r w:rsidRPr="00C20405">
        <w:rPr>
          <w:lang w:val="en-US"/>
        </w:rPr>
        <w:t>consequentl</w:t>
      </w:r>
      <w:r w:rsidR="00823F92" w:rsidRPr="00C20405">
        <w:rPr>
          <w:lang w:val="en-US"/>
        </w:rPr>
        <w:t>y</w:t>
      </w:r>
      <w:r w:rsidR="00823F92">
        <w:rPr>
          <w:lang w:val="en-US"/>
        </w:rPr>
        <w:t xml:space="preserve"> </w:t>
      </w:r>
      <w:r w:rsidRPr="00C20405">
        <w:rPr>
          <w:lang w:val="en-US"/>
        </w:rPr>
        <w:t>th</w:t>
      </w:r>
      <w:r w:rsidR="00823F92" w:rsidRPr="00C20405">
        <w:rPr>
          <w:lang w:val="en-US"/>
        </w:rPr>
        <w:t>e</w:t>
      </w:r>
      <w:r w:rsidR="00823F92">
        <w:rPr>
          <w:lang w:val="en-US"/>
        </w:rPr>
        <w:t xml:space="preserve"> </w:t>
      </w:r>
      <w:r w:rsidRPr="00C20405">
        <w:rPr>
          <w:lang w:val="en-US"/>
        </w:rPr>
        <w:t>level</w:t>
      </w:r>
      <w:r w:rsidR="00823F92" w:rsidRPr="00C20405">
        <w:rPr>
          <w:lang w:val="en-US"/>
        </w:rPr>
        <w:t>s</w:t>
      </w:r>
      <w:r w:rsidR="00823F92">
        <w:rPr>
          <w:lang w:val="en-US"/>
        </w:rPr>
        <w:t xml:space="preserve"> </w:t>
      </w:r>
      <w:r w:rsidRPr="00C20405">
        <w:rPr>
          <w:lang w:val="en-US"/>
        </w:rPr>
        <w:t>o</w:t>
      </w:r>
      <w:r w:rsidR="00823F92" w:rsidRPr="00C20405">
        <w:rPr>
          <w:lang w:val="en-US"/>
        </w:rPr>
        <w:t>f</w:t>
      </w:r>
      <w:r w:rsidR="00823F92">
        <w:rPr>
          <w:lang w:val="en-US"/>
        </w:rPr>
        <w:t xml:space="preserve"> </w:t>
      </w:r>
      <w:r w:rsidRPr="00C20405">
        <w:rPr>
          <w:lang w:val="en-US"/>
        </w:rPr>
        <w:t>staf</w:t>
      </w:r>
      <w:r w:rsidR="00823F92" w:rsidRPr="00C20405">
        <w:rPr>
          <w:lang w:val="en-US"/>
        </w:rPr>
        <w:t>f</w:t>
      </w:r>
      <w:r w:rsidR="00823F92">
        <w:rPr>
          <w:lang w:val="en-US"/>
        </w:rPr>
        <w:t xml:space="preserve"> </w:t>
      </w:r>
      <w:r w:rsidRPr="00C20405">
        <w:rPr>
          <w:lang w:val="en-US"/>
        </w:rPr>
        <w:t>retention.</w:t>
      </w:r>
    </w:p>
    <w:p w14:paraId="19B8BE86" w14:textId="6E84AE3D" w:rsidR="005562DF" w:rsidRDefault="00453F15" w:rsidP="007F29E7">
      <w:pPr>
        <w:pStyle w:val="BodyText"/>
        <w:rPr>
          <w:lang w:val="en-US"/>
        </w:rPr>
      </w:pPr>
      <w:r w:rsidRPr="00C20405">
        <w:rPr>
          <w:lang w:val="en-US"/>
        </w:rPr>
        <w:t>Som</w:t>
      </w:r>
      <w:r w:rsidR="00823F92" w:rsidRPr="00C20405">
        <w:rPr>
          <w:lang w:val="en-US"/>
        </w:rPr>
        <w:t>e</w:t>
      </w:r>
      <w:r w:rsidR="00823F92">
        <w:rPr>
          <w:lang w:val="en-US"/>
        </w:rPr>
        <w:t xml:space="preserve"> </w:t>
      </w:r>
      <w:r w:rsidRPr="00C20405">
        <w:rPr>
          <w:lang w:val="en-US"/>
        </w:rPr>
        <w:t>occupation</w:t>
      </w:r>
      <w:r w:rsidR="00823F92" w:rsidRPr="00C20405">
        <w:rPr>
          <w:lang w:val="en-US"/>
        </w:rPr>
        <w:t>s</w:t>
      </w:r>
      <w:r w:rsidR="00823F92">
        <w:rPr>
          <w:lang w:val="en-US"/>
        </w:rPr>
        <w:t xml:space="preserve"> </w:t>
      </w:r>
      <w:r w:rsidRPr="00C20405">
        <w:rPr>
          <w:lang w:val="en-US"/>
        </w:rPr>
        <w:t>hav</w:t>
      </w:r>
      <w:r w:rsidR="00823F92" w:rsidRPr="00C20405">
        <w:rPr>
          <w:lang w:val="en-US"/>
        </w:rPr>
        <w:t>e</w:t>
      </w:r>
      <w:r w:rsidR="00823F92">
        <w:rPr>
          <w:lang w:val="en-US"/>
        </w:rPr>
        <w:t xml:space="preserve"> </w:t>
      </w:r>
      <w:r w:rsidRPr="00C20405">
        <w:rPr>
          <w:lang w:val="en-US"/>
        </w:rPr>
        <w:t>flat</w:t>
      </w:r>
      <w:r w:rsidR="00823F92" w:rsidRPr="00C20405">
        <w:rPr>
          <w:lang w:val="en-US"/>
        </w:rPr>
        <w:t>,</w:t>
      </w:r>
      <w:r w:rsidR="00823F92">
        <w:rPr>
          <w:lang w:val="en-US"/>
        </w:rPr>
        <w:t xml:space="preserve"> </w:t>
      </w:r>
      <w:r w:rsidRPr="00C20405">
        <w:rPr>
          <w:lang w:val="en-US"/>
        </w:rPr>
        <w:t>inconsisten</w:t>
      </w:r>
      <w:r w:rsidR="00823F92" w:rsidRPr="00C20405">
        <w:rPr>
          <w:lang w:val="en-US"/>
        </w:rPr>
        <w:t>t</w:t>
      </w:r>
      <w:r w:rsidR="00823F92">
        <w:rPr>
          <w:lang w:val="en-US"/>
        </w:rPr>
        <w:t xml:space="preserve"> </w:t>
      </w:r>
      <w:r w:rsidRPr="00C20405">
        <w:rPr>
          <w:lang w:val="en-US"/>
        </w:rPr>
        <w:t>o</w:t>
      </w:r>
      <w:r w:rsidR="00823F92" w:rsidRPr="00C20405">
        <w:rPr>
          <w:lang w:val="en-US"/>
        </w:rPr>
        <w:t>r</w:t>
      </w:r>
      <w:r w:rsidR="00823F92">
        <w:rPr>
          <w:lang w:val="en-US"/>
        </w:rPr>
        <w:t xml:space="preserve"> </w:t>
      </w:r>
      <w:r w:rsidRPr="00C20405">
        <w:rPr>
          <w:lang w:val="en-US"/>
        </w:rPr>
        <w:t>poorl</w:t>
      </w:r>
      <w:r w:rsidR="00823F92" w:rsidRPr="00C20405">
        <w:rPr>
          <w:lang w:val="en-US"/>
        </w:rPr>
        <w:t>y</w:t>
      </w:r>
      <w:r w:rsidR="00823F92">
        <w:rPr>
          <w:lang w:val="en-US"/>
        </w:rPr>
        <w:t xml:space="preserve"> </w:t>
      </w:r>
      <w:r w:rsidRPr="00C20405">
        <w:rPr>
          <w:lang w:val="en-US"/>
        </w:rPr>
        <w:t>define</w:t>
      </w:r>
      <w:r w:rsidR="00823F92" w:rsidRPr="00C20405">
        <w:rPr>
          <w:lang w:val="en-US"/>
        </w:rPr>
        <w:t>d</w:t>
      </w:r>
      <w:r w:rsidR="00823F92">
        <w:rPr>
          <w:lang w:val="en-US"/>
        </w:rPr>
        <w:t xml:space="preserve"> </w:t>
      </w:r>
      <w:r w:rsidRPr="00C20405">
        <w:rPr>
          <w:lang w:val="en-US"/>
        </w:rPr>
        <w:t>caree</w:t>
      </w:r>
      <w:r w:rsidR="00823F92" w:rsidRPr="00C20405">
        <w:rPr>
          <w:lang w:val="en-US"/>
        </w:rPr>
        <w:t>r</w:t>
      </w:r>
      <w:r w:rsidR="00823F92">
        <w:rPr>
          <w:lang w:val="en-US"/>
        </w:rPr>
        <w:t xml:space="preserve"> </w:t>
      </w:r>
      <w:r w:rsidRPr="00C20405">
        <w:rPr>
          <w:lang w:val="en-US"/>
        </w:rPr>
        <w:t>structure</w:t>
      </w:r>
      <w:r w:rsidR="00823F92" w:rsidRPr="00C20405">
        <w:rPr>
          <w:lang w:val="en-US"/>
        </w:rPr>
        <w:t>s</w:t>
      </w:r>
      <w:r w:rsidR="00823F92">
        <w:rPr>
          <w:lang w:val="en-US"/>
        </w:rPr>
        <w:t xml:space="preserve"> </w:t>
      </w:r>
      <w:r w:rsidRPr="00C20405">
        <w:rPr>
          <w:lang w:val="en-US"/>
        </w:rPr>
        <w:t>withi</w:t>
      </w:r>
      <w:r w:rsidR="00823F92" w:rsidRPr="00C20405">
        <w:rPr>
          <w:lang w:val="en-US"/>
        </w:rPr>
        <w:t>n</w:t>
      </w:r>
      <w:r w:rsidR="00823F92">
        <w:rPr>
          <w:lang w:val="en-US"/>
        </w:rPr>
        <w:t xml:space="preserve"> </w:t>
      </w:r>
      <w:r w:rsidRPr="00C20405">
        <w:rPr>
          <w:lang w:val="en-US"/>
        </w:rPr>
        <w:t>menta</w:t>
      </w:r>
      <w:r w:rsidR="00823F92" w:rsidRPr="00C20405">
        <w:rPr>
          <w:lang w:val="en-US"/>
        </w:rPr>
        <w:t>l</w:t>
      </w:r>
      <w:r w:rsidR="00823F92">
        <w:rPr>
          <w:lang w:val="en-US"/>
        </w:rPr>
        <w:t xml:space="preserve"> </w:t>
      </w:r>
      <w:r w:rsidRPr="00C20405">
        <w:rPr>
          <w:lang w:val="en-US"/>
        </w:rPr>
        <w:t>health</w:t>
      </w:r>
      <w:r w:rsidR="00823F92" w:rsidRPr="00C20405">
        <w:rPr>
          <w:lang w:val="en-US"/>
        </w:rPr>
        <w:t>,</w:t>
      </w:r>
      <w:r w:rsidR="00823F92">
        <w:rPr>
          <w:lang w:val="en-US"/>
        </w:rPr>
        <w:t xml:space="preserve"> </w:t>
      </w:r>
      <w:r w:rsidRPr="00C20405">
        <w:rPr>
          <w:lang w:val="en-US"/>
        </w:rPr>
        <w:t>resultin</w:t>
      </w:r>
      <w:r w:rsidR="00823F92" w:rsidRPr="00C20405">
        <w:rPr>
          <w:lang w:val="en-US"/>
        </w:rPr>
        <w:t>g</w:t>
      </w:r>
      <w:r w:rsidR="00823F92">
        <w:rPr>
          <w:lang w:val="en-US"/>
        </w:rPr>
        <w:t xml:space="preserve"> </w:t>
      </w:r>
      <w:r w:rsidRPr="00C20405">
        <w:rPr>
          <w:lang w:val="en-US"/>
        </w:rPr>
        <w:t>i</w:t>
      </w:r>
      <w:r w:rsidR="00823F92" w:rsidRPr="00C20405">
        <w:rPr>
          <w:lang w:val="en-US"/>
        </w:rPr>
        <w:t>n</w:t>
      </w:r>
      <w:r w:rsidR="00823F92">
        <w:rPr>
          <w:lang w:val="en-US"/>
        </w:rPr>
        <w:t xml:space="preserve"> </w:t>
      </w:r>
      <w:r w:rsidRPr="00C20405">
        <w:rPr>
          <w:lang w:val="en-US"/>
        </w:rPr>
        <w:t>limite</w:t>
      </w:r>
      <w:r w:rsidR="00823F92" w:rsidRPr="00C20405">
        <w:rPr>
          <w:lang w:val="en-US"/>
        </w:rPr>
        <w:t>d</w:t>
      </w:r>
      <w:r w:rsidR="00823F92">
        <w:rPr>
          <w:lang w:val="en-US"/>
        </w:rPr>
        <w:t xml:space="preserve"> </w:t>
      </w:r>
      <w:r w:rsidRPr="00C20405">
        <w:rPr>
          <w:lang w:val="en-US"/>
        </w:rPr>
        <w:t>opportunitie</w:t>
      </w:r>
      <w:r w:rsidR="00823F92" w:rsidRPr="00C20405">
        <w:rPr>
          <w:lang w:val="en-US"/>
        </w:rPr>
        <w:t>s</w:t>
      </w:r>
      <w:r w:rsidR="00823F92">
        <w:rPr>
          <w:lang w:val="en-US"/>
        </w:rPr>
        <w:t xml:space="preserve"> </w:t>
      </w:r>
      <w:r w:rsidRPr="00C20405">
        <w:rPr>
          <w:lang w:val="en-US"/>
        </w:rPr>
        <w:t>fo</w:t>
      </w:r>
      <w:r w:rsidR="00823F92" w:rsidRPr="00C20405">
        <w:rPr>
          <w:lang w:val="en-US"/>
        </w:rPr>
        <w:t>r</w:t>
      </w:r>
      <w:r w:rsidR="00823F92">
        <w:rPr>
          <w:lang w:val="en-US"/>
        </w:rPr>
        <w:t xml:space="preserve"> </w:t>
      </w:r>
      <w:r w:rsidRPr="00C20405">
        <w:rPr>
          <w:lang w:val="en-US"/>
        </w:rPr>
        <w:t>caree</w:t>
      </w:r>
      <w:r w:rsidR="00823F92" w:rsidRPr="00C20405">
        <w:rPr>
          <w:lang w:val="en-US"/>
        </w:rPr>
        <w:t>r</w:t>
      </w:r>
      <w:r w:rsidR="00823F92">
        <w:rPr>
          <w:lang w:val="en-US"/>
        </w:rPr>
        <w:t xml:space="preserve"> </w:t>
      </w:r>
      <w:r w:rsidRPr="00C20405">
        <w:rPr>
          <w:lang w:val="en-US"/>
        </w:rPr>
        <w:t>progressio</w:t>
      </w:r>
      <w:r w:rsidR="00823F92" w:rsidRPr="00C20405">
        <w:rPr>
          <w:lang w:val="en-US"/>
        </w:rPr>
        <w:t>n</w:t>
      </w:r>
      <w:r w:rsidR="00823F92">
        <w:rPr>
          <w:lang w:val="en-US"/>
        </w:rPr>
        <w:t xml:space="preserve"> </w:t>
      </w:r>
      <w:r w:rsidRPr="00C20405">
        <w:rPr>
          <w:lang w:val="en-US"/>
        </w:rPr>
        <w:t>(fo</w:t>
      </w:r>
      <w:r w:rsidR="00823F92" w:rsidRPr="00C20405">
        <w:rPr>
          <w:lang w:val="en-US"/>
        </w:rPr>
        <w:t>r</w:t>
      </w:r>
      <w:r w:rsidR="00823F92">
        <w:rPr>
          <w:lang w:val="en-US"/>
        </w:rPr>
        <w:t xml:space="preserve"> </w:t>
      </w:r>
      <w:r w:rsidRPr="00C20405">
        <w:rPr>
          <w:lang w:val="en-US"/>
        </w:rPr>
        <w:t>example</w:t>
      </w:r>
      <w:r w:rsidR="00823F92" w:rsidRPr="00C20405">
        <w:rPr>
          <w:lang w:val="en-US"/>
        </w:rPr>
        <w:t>,</w:t>
      </w:r>
      <w:r w:rsidR="00823F92">
        <w:rPr>
          <w:lang w:val="en-US"/>
        </w:rPr>
        <w:t xml:space="preserve"> </w:t>
      </w:r>
      <w:r w:rsidRPr="00C20405">
        <w:rPr>
          <w:lang w:val="en-US"/>
        </w:rPr>
        <w:t>fo</w:t>
      </w:r>
      <w:r w:rsidR="00823F92" w:rsidRPr="00C20405">
        <w:rPr>
          <w:lang w:val="en-US"/>
        </w:rPr>
        <w:t>r</w:t>
      </w:r>
      <w:r w:rsidR="00823F92">
        <w:rPr>
          <w:lang w:val="en-US"/>
        </w:rPr>
        <w:t xml:space="preserve"> </w:t>
      </w:r>
      <w:r w:rsidRPr="00C20405">
        <w:rPr>
          <w:lang w:val="en-US"/>
        </w:rPr>
        <w:t>Aborigina</w:t>
      </w:r>
      <w:r w:rsidR="00823F92" w:rsidRPr="00C20405">
        <w:rPr>
          <w:lang w:val="en-US"/>
        </w:rPr>
        <w:t>l</w:t>
      </w:r>
      <w:r w:rsidR="00823F92">
        <w:rPr>
          <w:lang w:val="en-US"/>
        </w:rPr>
        <w:t xml:space="preserve"> </w:t>
      </w:r>
      <w:r w:rsidRPr="00C20405">
        <w:rPr>
          <w:lang w:val="en-US"/>
        </w:rPr>
        <w:t>an</w:t>
      </w:r>
      <w:r w:rsidR="00823F92" w:rsidRPr="00C20405">
        <w:rPr>
          <w:lang w:val="en-US"/>
        </w:rPr>
        <w:t>d</w:t>
      </w:r>
      <w:r w:rsidR="00823F92">
        <w:rPr>
          <w:lang w:val="en-US"/>
        </w:rPr>
        <w:t xml:space="preserve"> </w:t>
      </w:r>
      <w:r w:rsidRPr="00C20405">
        <w:rPr>
          <w:lang w:val="en-US"/>
        </w:rPr>
        <w:t>Torre</w:t>
      </w:r>
      <w:r w:rsidR="00823F92" w:rsidRPr="00C20405">
        <w:rPr>
          <w:lang w:val="en-US"/>
        </w:rPr>
        <w:t>s</w:t>
      </w:r>
      <w:r w:rsidR="00823F92">
        <w:rPr>
          <w:lang w:val="en-US"/>
        </w:rPr>
        <w:t xml:space="preserve"> </w:t>
      </w:r>
      <w:r w:rsidRPr="00C20405">
        <w:rPr>
          <w:lang w:val="en-US"/>
        </w:rPr>
        <w:t>Strai</w:t>
      </w:r>
      <w:r w:rsidR="00823F92" w:rsidRPr="00C20405">
        <w:rPr>
          <w:lang w:val="en-US"/>
        </w:rPr>
        <w:t>t</w:t>
      </w:r>
      <w:r w:rsidR="00823F92">
        <w:rPr>
          <w:lang w:val="en-US"/>
        </w:rPr>
        <w:t xml:space="preserve"> </w:t>
      </w:r>
      <w:r w:rsidRPr="00C20405">
        <w:rPr>
          <w:lang w:val="en-US"/>
        </w:rPr>
        <w:t>Islande</w:t>
      </w:r>
      <w:r w:rsidR="00823F92" w:rsidRPr="00C20405">
        <w:rPr>
          <w:lang w:val="en-US"/>
        </w:rPr>
        <w:t>r</w:t>
      </w:r>
      <w:r w:rsidR="00823F92">
        <w:rPr>
          <w:lang w:val="en-US"/>
        </w:rPr>
        <w:t xml:space="preserve"> </w:t>
      </w:r>
      <w:r w:rsidRPr="00C20405">
        <w:rPr>
          <w:lang w:val="en-US"/>
        </w:rPr>
        <w:t>healt</w:t>
      </w:r>
      <w:r w:rsidR="00823F92" w:rsidRPr="00C20405">
        <w:rPr>
          <w:lang w:val="en-US"/>
        </w:rPr>
        <w:t>h</w:t>
      </w:r>
      <w:r w:rsidR="00823F92">
        <w:rPr>
          <w:lang w:val="en-US"/>
        </w:rPr>
        <w:t xml:space="preserve"> </w:t>
      </w:r>
      <w:r>
        <w:rPr>
          <w:lang w:val="en-US"/>
        </w:rPr>
        <w:t>an</w:t>
      </w:r>
      <w:r w:rsidR="00823F92">
        <w:rPr>
          <w:lang w:val="en-US"/>
        </w:rPr>
        <w:t xml:space="preserve">d </w:t>
      </w:r>
      <w:r>
        <w:rPr>
          <w:lang w:val="en-US"/>
        </w:rPr>
        <w:t>menta</w:t>
      </w:r>
      <w:r w:rsidR="00823F92">
        <w:rPr>
          <w:lang w:val="en-US"/>
        </w:rPr>
        <w:t xml:space="preserve">l </w:t>
      </w:r>
      <w:r>
        <w:rPr>
          <w:lang w:val="en-US"/>
        </w:rPr>
        <w:t>healt</w:t>
      </w:r>
      <w:r w:rsidR="00823F92">
        <w:rPr>
          <w:lang w:val="en-US"/>
        </w:rPr>
        <w:t xml:space="preserve">h </w:t>
      </w:r>
      <w:r w:rsidRPr="00C20405">
        <w:rPr>
          <w:lang w:val="en-US"/>
        </w:rPr>
        <w:t>workers</w:t>
      </w:r>
      <w:r w:rsidR="00823F92" w:rsidRPr="00C20405">
        <w:rPr>
          <w:lang w:val="en-US"/>
        </w:rPr>
        <w:t>,</w:t>
      </w:r>
      <w:r w:rsidR="00823F92">
        <w:rPr>
          <w:lang w:val="en-US"/>
        </w:rPr>
        <w:t xml:space="preserve"> </w:t>
      </w:r>
      <w:r w:rsidRPr="00C20405">
        <w:rPr>
          <w:lang w:val="en-US"/>
        </w:rPr>
        <w:t>live</w:t>
      </w:r>
      <w:r w:rsidR="00823F92" w:rsidRPr="00C20405">
        <w:rPr>
          <w:lang w:val="en-US"/>
        </w:rPr>
        <w:t>d</w:t>
      </w:r>
      <w:r w:rsidR="00823F92">
        <w:rPr>
          <w:lang w:val="en-US"/>
        </w:rPr>
        <w:t xml:space="preserve"> </w:t>
      </w:r>
      <w:r w:rsidRPr="00C20405">
        <w:rPr>
          <w:lang w:val="en-US"/>
        </w:rPr>
        <w:t>experienc</w:t>
      </w:r>
      <w:r w:rsidR="00823F92" w:rsidRPr="00C20405">
        <w:rPr>
          <w:lang w:val="en-US"/>
        </w:rPr>
        <w:t>e</w:t>
      </w:r>
      <w:r w:rsidR="00823F92">
        <w:rPr>
          <w:lang w:val="en-US"/>
        </w:rPr>
        <w:t xml:space="preserve"> </w:t>
      </w:r>
      <w:r w:rsidRPr="00C20405">
        <w:rPr>
          <w:lang w:val="en-US"/>
        </w:rPr>
        <w:t>(peer) workers</w:t>
      </w:r>
      <w:r w:rsidR="00823F92" w:rsidRPr="00C20405">
        <w:rPr>
          <w:lang w:val="en-US"/>
        </w:rPr>
        <w:t>,</w:t>
      </w:r>
      <w:r w:rsidR="00823F92">
        <w:rPr>
          <w:lang w:val="en-US"/>
        </w:rPr>
        <w:t xml:space="preserve"> </w:t>
      </w:r>
      <w:r w:rsidRPr="00C20405">
        <w:rPr>
          <w:lang w:val="en-US"/>
        </w:rPr>
        <w:t>occupationa</w:t>
      </w:r>
      <w:r w:rsidR="00823F92" w:rsidRPr="00C20405">
        <w:rPr>
          <w:lang w:val="en-US"/>
        </w:rPr>
        <w:t>l</w:t>
      </w:r>
      <w:r w:rsidR="00823F92">
        <w:rPr>
          <w:lang w:val="en-US"/>
        </w:rPr>
        <w:t xml:space="preserve"> </w:t>
      </w:r>
      <w:r w:rsidRPr="00C20405">
        <w:rPr>
          <w:lang w:val="en-US"/>
        </w:rPr>
        <w:t>therapists</w:t>
      </w:r>
      <w:r w:rsidR="00823F92" w:rsidRPr="00C20405">
        <w:rPr>
          <w:lang w:val="en-US"/>
        </w:rPr>
        <w:t>,</w:t>
      </w:r>
      <w:r w:rsidR="00823F92">
        <w:rPr>
          <w:lang w:val="en-US"/>
        </w:rPr>
        <w:t xml:space="preserve"> </w:t>
      </w:r>
      <w:r w:rsidRPr="00C20405">
        <w:rPr>
          <w:lang w:val="en-US"/>
        </w:rPr>
        <w:t>an</w:t>
      </w:r>
      <w:r w:rsidR="00823F92" w:rsidRPr="00C20405">
        <w:rPr>
          <w:lang w:val="en-US"/>
        </w:rPr>
        <w:t>d</w:t>
      </w:r>
      <w:r w:rsidR="00823F92">
        <w:rPr>
          <w:lang w:val="en-US"/>
        </w:rPr>
        <w:t xml:space="preserve"> </w:t>
      </w:r>
      <w:r w:rsidRPr="00C20405">
        <w:rPr>
          <w:lang w:val="en-US"/>
        </w:rPr>
        <w:t>socia</w:t>
      </w:r>
      <w:r w:rsidR="00823F92" w:rsidRPr="00C20405">
        <w:rPr>
          <w:lang w:val="en-US"/>
        </w:rPr>
        <w:t>l</w:t>
      </w:r>
      <w:r w:rsidR="00823F92">
        <w:rPr>
          <w:lang w:val="en-US"/>
        </w:rPr>
        <w:t xml:space="preserve"> </w:t>
      </w:r>
      <w:r w:rsidRPr="00C20405">
        <w:rPr>
          <w:lang w:val="en-US"/>
        </w:rPr>
        <w:t>workers)</w:t>
      </w:r>
      <w:r w:rsidR="00823F92" w:rsidRPr="00C20405">
        <w:rPr>
          <w:lang w:val="en-US"/>
        </w:rPr>
        <w:t>.</w:t>
      </w:r>
      <w:r w:rsidR="00823F92">
        <w:rPr>
          <w:lang w:val="en-US"/>
        </w:rPr>
        <w:t xml:space="preserve"> </w:t>
      </w:r>
    </w:p>
    <w:p w14:paraId="2E74612C" w14:textId="1253778E" w:rsidR="00453F15" w:rsidRPr="00C20405" w:rsidRDefault="00453F15" w:rsidP="007F29E7">
      <w:pPr>
        <w:pStyle w:val="BodyText"/>
        <w:rPr>
          <w:lang w:val="en-US"/>
        </w:rPr>
      </w:pPr>
      <w:r w:rsidRPr="00C20405">
        <w:rPr>
          <w:lang w:val="en-US"/>
        </w:rPr>
        <w:t>Th</w:t>
      </w:r>
      <w:r w:rsidR="00823F92" w:rsidRPr="00C20405">
        <w:rPr>
          <w:lang w:val="en-US"/>
        </w:rPr>
        <w:t>e</w:t>
      </w:r>
      <w:r w:rsidR="00823F92">
        <w:rPr>
          <w:lang w:val="en-US"/>
        </w:rPr>
        <w:t xml:space="preserve"> </w:t>
      </w:r>
      <w:r w:rsidRPr="00C20405">
        <w:rPr>
          <w:lang w:val="en-US"/>
        </w:rPr>
        <w:t>siz</w:t>
      </w:r>
      <w:r w:rsidR="00823F92" w:rsidRPr="00C20405">
        <w:rPr>
          <w:lang w:val="en-US"/>
        </w:rPr>
        <w:t>e</w:t>
      </w:r>
      <w:r w:rsidR="00823F92">
        <w:rPr>
          <w:lang w:val="en-US"/>
        </w:rPr>
        <w:t xml:space="preserve"> </w:t>
      </w:r>
      <w:r w:rsidRPr="00C20405">
        <w:rPr>
          <w:lang w:val="en-US"/>
        </w:rPr>
        <w:t>o</w:t>
      </w:r>
      <w:r w:rsidR="00823F92" w:rsidRPr="00C20405">
        <w:rPr>
          <w:lang w:val="en-US"/>
        </w:rPr>
        <w:t>f</w:t>
      </w:r>
      <w:r w:rsidR="00823F92">
        <w:rPr>
          <w:lang w:val="en-US"/>
        </w:rPr>
        <w:t xml:space="preserve"> </w:t>
      </w:r>
      <w:r w:rsidRPr="00C20405">
        <w:rPr>
          <w:lang w:val="en-US"/>
        </w:rPr>
        <w:t>servic</w:t>
      </w:r>
      <w:r w:rsidR="00823F92" w:rsidRPr="00C20405">
        <w:rPr>
          <w:lang w:val="en-US"/>
        </w:rPr>
        <w:t>e</w:t>
      </w:r>
      <w:r w:rsidR="00823F92">
        <w:rPr>
          <w:lang w:val="en-US"/>
        </w:rPr>
        <w:t xml:space="preserve"> </w:t>
      </w:r>
      <w:r w:rsidRPr="00C20405">
        <w:rPr>
          <w:lang w:val="en-US"/>
        </w:rPr>
        <w:t>providers</w:t>
      </w:r>
      <w:r w:rsidR="00823F92" w:rsidRPr="00C20405">
        <w:rPr>
          <w:lang w:val="en-US"/>
        </w:rPr>
        <w:t>,</w:t>
      </w:r>
      <w:r w:rsidR="00823F92">
        <w:rPr>
          <w:lang w:val="en-US"/>
        </w:rPr>
        <w:t xml:space="preserve"> </w:t>
      </w:r>
      <w:r w:rsidRPr="00C20405">
        <w:rPr>
          <w:lang w:val="en-US"/>
        </w:rPr>
        <w:t>structur</w:t>
      </w:r>
      <w:r w:rsidR="00823F92" w:rsidRPr="00C20405">
        <w:rPr>
          <w:lang w:val="en-US"/>
        </w:rPr>
        <w:t>e</w:t>
      </w:r>
      <w:r w:rsidR="00823F92">
        <w:rPr>
          <w:lang w:val="en-US"/>
        </w:rPr>
        <w:t xml:space="preserve"> </w:t>
      </w:r>
      <w:r w:rsidRPr="00C20405">
        <w:rPr>
          <w:lang w:val="en-US"/>
        </w:rPr>
        <w:t>o</w:t>
      </w:r>
      <w:r w:rsidR="00823F92" w:rsidRPr="00C20405">
        <w:rPr>
          <w:lang w:val="en-US"/>
        </w:rPr>
        <w:t>f</w:t>
      </w:r>
      <w:r w:rsidR="00823F92">
        <w:rPr>
          <w:lang w:val="en-US"/>
        </w:rPr>
        <w:t xml:space="preserve"> </w:t>
      </w:r>
      <w:r w:rsidRPr="00C20405">
        <w:rPr>
          <w:lang w:val="en-US"/>
        </w:rPr>
        <w:t>car</w:t>
      </w:r>
      <w:r w:rsidR="00823F92" w:rsidRPr="00C20405">
        <w:rPr>
          <w:lang w:val="en-US"/>
        </w:rPr>
        <w:t>e</w:t>
      </w:r>
      <w:r w:rsidR="00823F92">
        <w:rPr>
          <w:lang w:val="en-US"/>
        </w:rPr>
        <w:t xml:space="preserve"> </w:t>
      </w:r>
      <w:r w:rsidRPr="00C20405">
        <w:rPr>
          <w:lang w:val="en-US"/>
        </w:rPr>
        <w:t>team</w:t>
      </w:r>
      <w:r w:rsidR="00823F92" w:rsidRPr="00C20405">
        <w:rPr>
          <w:lang w:val="en-US"/>
        </w:rPr>
        <w:t>s</w:t>
      </w:r>
      <w:r w:rsidR="00823F92">
        <w:rPr>
          <w:lang w:val="en-US"/>
        </w:rPr>
        <w:t xml:space="preserve"> </w:t>
      </w:r>
      <w:r w:rsidRPr="00C20405">
        <w:rPr>
          <w:lang w:val="en-US"/>
        </w:rPr>
        <w:t>an</w:t>
      </w:r>
      <w:r w:rsidR="00823F92" w:rsidRPr="00C20405">
        <w:rPr>
          <w:lang w:val="en-US"/>
        </w:rPr>
        <w:t>d</w:t>
      </w:r>
      <w:r w:rsidR="00823F92">
        <w:rPr>
          <w:lang w:val="en-US"/>
        </w:rPr>
        <w:t xml:space="preserve"> </w:t>
      </w:r>
      <w:r w:rsidRPr="00C20405">
        <w:rPr>
          <w:lang w:val="en-US"/>
        </w:rPr>
        <w:t>servic</w:t>
      </w:r>
      <w:r w:rsidR="00823F92" w:rsidRPr="00C20405">
        <w:rPr>
          <w:lang w:val="en-US"/>
        </w:rPr>
        <w:t>e</w:t>
      </w:r>
      <w:r w:rsidR="00823F92">
        <w:rPr>
          <w:lang w:val="en-US"/>
        </w:rPr>
        <w:t xml:space="preserve"> </w:t>
      </w:r>
      <w:r w:rsidRPr="00C20405">
        <w:rPr>
          <w:lang w:val="en-US"/>
        </w:rPr>
        <w:t>deliver</w:t>
      </w:r>
      <w:r w:rsidR="00823F92" w:rsidRPr="00C20405">
        <w:rPr>
          <w:lang w:val="en-US"/>
        </w:rPr>
        <w:t>y</w:t>
      </w:r>
      <w:r w:rsidR="00823F92">
        <w:rPr>
          <w:lang w:val="en-US"/>
        </w:rPr>
        <w:t xml:space="preserve"> </w:t>
      </w:r>
      <w:r w:rsidRPr="00C20405">
        <w:rPr>
          <w:lang w:val="en-US"/>
        </w:rPr>
        <w:t>model</w:t>
      </w:r>
      <w:r w:rsidR="00823F92" w:rsidRPr="00C20405">
        <w:rPr>
          <w:lang w:val="en-US"/>
        </w:rPr>
        <w:t>s</w:t>
      </w:r>
      <w:r w:rsidR="00823F92">
        <w:rPr>
          <w:lang w:val="en-US"/>
        </w:rPr>
        <w:t xml:space="preserve"> </w:t>
      </w:r>
      <w:r w:rsidRPr="00C20405">
        <w:rPr>
          <w:lang w:val="en-US"/>
        </w:rPr>
        <w:t>ma</w:t>
      </w:r>
      <w:r w:rsidR="00823F92" w:rsidRPr="00C20405">
        <w:rPr>
          <w:lang w:val="en-US"/>
        </w:rPr>
        <w:t>y</w:t>
      </w:r>
      <w:r w:rsidR="00823F92">
        <w:rPr>
          <w:lang w:val="en-US"/>
        </w:rPr>
        <w:t xml:space="preserve"> </w:t>
      </w:r>
      <w:r w:rsidRPr="00C20405">
        <w:rPr>
          <w:lang w:val="en-US"/>
        </w:rPr>
        <w:t>limi</w:t>
      </w:r>
      <w:r w:rsidR="00823F92" w:rsidRPr="00C20405">
        <w:rPr>
          <w:lang w:val="en-US"/>
        </w:rPr>
        <w:t>t</w:t>
      </w:r>
      <w:r w:rsidR="00823F92">
        <w:rPr>
          <w:lang w:val="en-US"/>
        </w:rPr>
        <w:t xml:space="preserve"> </w:t>
      </w:r>
      <w:r w:rsidRPr="00C20405">
        <w:rPr>
          <w:lang w:val="en-US"/>
        </w:rPr>
        <w:t>th</w:t>
      </w:r>
      <w:r w:rsidR="00823F92" w:rsidRPr="00C20405">
        <w:rPr>
          <w:lang w:val="en-US"/>
        </w:rPr>
        <w:t>e</w:t>
      </w:r>
      <w:r w:rsidR="00823F92">
        <w:rPr>
          <w:lang w:val="en-US"/>
        </w:rPr>
        <w:t xml:space="preserve"> </w:t>
      </w:r>
      <w:r w:rsidRPr="00C20405">
        <w:rPr>
          <w:lang w:val="en-US"/>
        </w:rPr>
        <w:t>numbe</w:t>
      </w:r>
      <w:r w:rsidR="00823F92" w:rsidRPr="00C20405">
        <w:rPr>
          <w:lang w:val="en-US"/>
        </w:rPr>
        <w:t>r</w:t>
      </w:r>
      <w:r w:rsidR="00823F92">
        <w:rPr>
          <w:lang w:val="en-US"/>
        </w:rPr>
        <w:t xml:space="preserve"> </w:t>
      </w:r>
      <w:r w:rsidRPr="00C20405">
        <w:rPr>
          <w:lang w:val="en-US"/>
        </w:rPr>
        <w:t>o</w:t>
      </w:r>
      <w:r w:rsidR="00823F92" w:rsidRPr="00C20405">
        <w:rPr>
          <w:lang w:val="en-US"/>
        </w:rPr>
        <w:t>f</w:t>
      </w:r>
      <w:r w:rsidR="00823F92">
        <w:rPr>
          <w:lang w:val="en-US"/>
        </w:rPr>
        <w:t xml:space="preserve"> </w:t>
      </w:r>
      <w:r w:rsidRPr="00C20405">
        <w:rPr>
          <w:lang w:val="en-US"/>
        </w:rPr>
        <w:t>discipline-specifi</w:t>
      </w:r>
      <w:r w:rsidR="00823F92" w:rsidRPr="00C20405">
        <w:rPr>
          <w:lang w:val="en-US"/>
        </w:rPr>
        <w:t>c</w:t>
      </w:r>
      <w:r w:rsidR="00823F92">
        <w:rPr>
          <w:lang w:val="en-US"/>
        </w:rPr>
        <w:t xml:space="preserve"> </w:t>
      </w:r>
      <w:r w:rsidRPr="00C20405">
        <w:rPr>
          <w:lang w:val="en-US"/>
        </w:rPr>
        <w:t>role</w:t>
      </w:r>
      <w:r w:rsidR="00823F92" w:rsidRPr="00C20405">
        <w:rPr>
          <w:lang w:val="en-US"/>
        </w:rPr>
        <w:t>s</w:t>
      </w:r>
      <w:r w:rsidR="00823F92">
        <w:rPr>
          <w:lang w:val="en-US"/>
        </w:rPr>
        <w:t xml:space="preserve"> </w:t>
      </w:r>
      <w:r w:rsidRPr="00C20405">
        <w:rPr>
          <w:lang w:val="en-US"/>
        </w:rPr>
        <w:t>int</w:t>
      </w:r>
      <w:r w:rsidR="00823F92" w:rsidRPr="00C20405">
        <w:rPr>
          <w:lang w:val="en-US"/>
        </w:rPr>
        <w:t>o</w:t>
      </w:r>
      <w:r w:rsidR="00823F92">
        <w:rPr>
          <w:lang w:val="en-US"/>
        </w:rPr>
        <w:t xml:space="preserve"> </w:t>
      </w:r>
      <w:r w:rsidRPr="00C20405">
        <w:rPr>
          <w:lang w:val="en-US"/>
        </w:rPr>
        <w:t>whic</w:t>
      </w:r>
      <w:r w:rsidR="00823F92" w:rsidRPr="00C20405">
        <w:rPr>
          <w:lang w:val="en-US"/>
        </w:rPr>
        <w:t>h</w:t>
      </w:r>
      <w:r w:rsidR="00823F92">
        <w:rPr>
          <w:lang w:val="en-US"/>
        </w:rPr>
        <w:t xml:space="preserve"> </w:t>
      </w:r>
      <w:r w:rsidR="00FE693C">
        <w:rPr>
          <w:lang w:val="en-US"/>
        </w:rPr>
        <w:t>individual</w:t>
      </w:r>
      <w:r w:rsidR="00823F92">
        <w:rPr>
          <w:lang w:val="en-US"/>
        </w:rPr>
        <w:t xml:space="preserve">s </w:t>
      </w:r>
      <w:r w:rsidRPr="00C20405">
        <w:rPr>
          <w:lang w:val="en-US"/>
        </w:rPr>
        <w:t>ca</w:t>
      </w:r>
      <w:r w:rsidR="00823F92" w:rsidRPr="00C20405">
        <w:rPr>
          <w:lang w:val="en-US"/>
        </w:rPr>
        <w:t>n</w:t>
      </w:r>
      <w:r w:rsidR="00823F92">
        <w:rPr>
          <w:lang w:val="en-US"/>
        </w:rPr>
        <w:t xml:space="preserve"> </w:t>
      </w:r>
      <w:r w:rsidRPr="00C20405">
        <w:rPr>
          <w:lang w:val="en-US"/>
        </w:rPr>
        <w:t>progress</w:t>
      </w:r>
      <w:r w:rsidR="00823F92" w:rsidRPr="00C20405">
        <w:rPr>
          <w:lang w:val="en-US"/>
        </w:rPr>
        <w:t>.</w:t>
      </w:r>
      <w:r w:rsidR="00823F92">
        <w:rPr>
          <w:lang w:val="en-US"/>
        </w:rPr>
        <w:t xml:space="preserve"> </w:t>
      </w:r>
      <w:r w:rsidRPr="00C20405">
        <w:rPr>
          <w:lang w:val="en-US"/>
        </w:rPr>
        <w:t>Thi</w:t>
      </w:r>
      <w:r w:rsidR="00823F92" w:rsidRPr="00C20405">
        <w:rPr>
          <w:lang w:val="en-US"/>
        </w:rPr>
        <w:t>s</w:t>
      </w:r>
      <w:r w:rsidR="00823F92">
        <w:rPr>
          <w:lang w:val="en-US"/>
        </w:rPr>
        <w:t xml:space="preserve"> </w:t>
      </w:r>
      <w:r w:rsidRPr="00C20405">
        <w:rPr>
          <w:lang w:val="en-US"/>
        </w:rPr>
        <w:t>increase</w:t>
      </w:r>
      <w:r w:rsidR="00823F92" w:rsidRPr="00C20405">
        <w:rPr>
          <w:lang w:val="en-US"/>
        </w:rPr>
        <w:t>s</w:t>
      </w:r>
      <w:r w:rsidR="00823F92">
        <w:rPr>
          <w:lang w:val="en-US"/>
        </w:rPr>
        <w:t xml:space="preserve"> </w:t>
      </w:r>
      <w:r w:rsidRPr="00C20405">
        <w:rPr>
          <w:lang w:val="en-US"/>
        </w:rPr>
        <w:t>th</w:t>
      </w:r>
      <w:r w:rsidR="00823F92" w:rsidRPr="00C20405">
        <w:rPr>
          <w:lang w:val="en-US"/>
        </w:rPr>
        <w:t>e</w:t>
      </w:r>
      <w:r w:rsidR="00823F92">
        <w:rPr>
          <w:lang w:val="en-US"/>
        </w:rPr>
        <w:t xml:space="preserve"> </w:t>
      </w:r>
      <w:r w:rsidRPr="00C20405">
        <w:rPr>
          <w:lang w:val="en-US"/>
        </w:rPr>
        <w:t>attractivenes</w:t>
      </w:r>
      <w:r w:rsidR="00823F92" w:rsidRPr="00C20405">
        <w:rPr>
          <w:lang w:val="en-US"/>
        </w:rPr>
        <w:t>s</w:t>
      </w:r>
      <w:r w:rsidR="00823F92">
        <w:rPr>
          <w:lang w:val="en-US"/>
        </w:rPr>
        <w:t xml:space="preserve"> </w:t>
      </w:r>
      <w:r w:rsidRPr="00C20405">
        <w:rPr>
          <w:lang w:val="en-US"/>
        </w:rPr>
        <w:t>o</w:t>
      </w:r>
      <w:r w:rsidR="00823F92" w:rsidRPr="00C20405">
        <w:rPr>
          <w:lang w:val="en-US"/>
        </w:rPr>
        <w:t>f</w:t>
      </w:r>
      <w:r w:rsidR="00823F92">
        <w:rPr>
          <w:lang w:val="en-US"/>
        </w:rPr>
        <w:t xml:space="preserve"> </w:t>
      </w:r>
      <w:r w:rsidRPr="00C20405">
        <w:rPr>
          <w:lang w:val="en-US"/>
        </w:rPr>
        <w:t>wor</w:t>
      </w:r>
      <w:r w:rsidR="00823F92" w:rsidRPr="00C20405">
        <w:rPr>
          <w:lang w:val="en-US"/>
        </w:rPr>
        <w:t>k</w:t>
      </w:r>
      <w:r w:rsidR="00823F92">
        <w:rPr>
          <w:lang w:val="en-US"/>
        </w:rPr>
        <w:t xml:space="preserve"> </w:t>
      </w:r>
      <w:r w:rsidRPr="00C20405">
        <w:rPr>
          <w:lang w:val="en-US"/>
        </w:rPr>
        <w:t>outsid</w:t>
      </w:r>
      <w:r w:rsidR="00823F92" w:rsidRPr="00C20405">
        <w:rPr>
          <w:lang w:val="en-US"/>
        </w:rPr>
        <w:t>e</w:t>
      </w:r>
      <w:r w:rsidR="00823F92">
        <w:rPr>
          <w:lang w:val="en-US"/>
        </w:rPr>
        <w:t xml:space="preserve"> </w:t>
      </w:r>
      <w:r w:rsidRPr="00C20405">
        <w:rPr>
          <w:lang w:val="en-US"/>
        </w:rPr>
        <w:t>th</w:t>
      </w:r>
      <w:r w:rsidR="00823F92" w:rsidRPr="00C20405">
        <w:rPr>
          <w:lang w:val="en-US"/>
        </w:rPr>
        <w:t>e</w:t>
      </w:r>
      <w:r w:rsidR="00823F92">
        <w:rPr>
          <w:lang w:val="en-US"/>
        </w:rPr>
        <w:t xml:space="preserve"> </w:t>
      </w:r>
      <w:r w:rsidRPr="00C20405">
        <w:rPr>
          <w:lang w:val="en-US"/>
        </w:rPr>
        <w:t>menta</w:t>
      </w:r>
      <w:r w:rsidR="00823F92" w:rsidRPr="00C20405">
        <w:rPr>
          <w:lang w:val="en-US"/>
        </w:rPr>
        <w:t>l</w:t>
      </w:r>
      <w:r w:rsidR="00823F92">
        <w:rPr>
          <w:lang w:val="en-US"/>
        </w:rPr>
        <w:t xml:space="preserve"> </w:t>
      </w:r>
      <w:r w:rsidRPr="00C20405">
        <w:rPr>
          <w:lang w:val="en-US"/>
        </w:rPr>
        <w:t>healt</w:t>
      </w:r>
      <w:r w:rsidR="00823F92" w:rsidRPr="00C20405">
        <w:rPr>
          <w:lang w:val="en-US"/>
        </w:rPr>
        <w:t>h</w:t>
      </w:r>
      <w:r w:rsidR="00823F92">
        <w:rPr>
          <w:lang w:val="en-US"/>
        </w:rPr>
        <w:t xml:space="preserve"> </w:t>
      </w:r>
      <w:r w:rsidRPr="00C20405">
        <w:rPr>
          <w:lang w:val="en-US"/>
        </w:rPr>
        <w:t>secto</w:t>
      </w:r>
      <w:r w:rsidR="00823F92" w:rsidRPr="00C20405">
        <w:rPr>
          <w:lang w:val="en-US"/>
        </w:rPr>
        <w:t>r</w:t>
      </w:r>
      <w:r w:rsidR="00823F92">
        <w:rPr>
          <w:lang w:val="en-US"/>
        </w:rPr>
        <w:t xml:space="preserve"> </w:t>
      </w:r>
      <w:r w:rsidRPr="00C20405">
        <w:rPr>
          <w:lang w:val="en-US"/>
        </w:rPr>
        <w:t>perceive</w:t>
      </w:r>
      <w:r w:rsidR="00823F92" w:rsidRPr="00C20405">
        <w:rPr>
          <w:lang w:val="en-US"/>
        </w:rPr>
        <w:t>d</w:t>
      </w:r>
      <w:r w:rsidR="00823F92">
        <w:rPr>
          <w:lang w:val="en-US"/>
        </w:rPr>
        <w:t xml:space="preserve"> </w:t>
      </w:r>
      <w:r w:rsidRPr="00C20405">
        <w:rPr>
          <w:lang w:val="en-US"/>
        </w:rPr>
        <w:t>a</w:t>
      </w:r>
      <w:r w:rsidR="00823F92" w:rsidRPr="00C20405">
        <w:rPr>
          <w:lang w:val="en-US"/>
        </w:rPr>
        <w:t>s</w:t>
      </w:r>
      <w:r w:rsidR="00823F92">
        <w:rPr>
          <w:lang w:val="en-US"/>
        </w:rPr>
        <w:t xml:space="preserve"> </w:t>
      </w:r>
      <w:r w:rsidRPr="00C20405">
        <w:rPr>
          <w:lang w:val="en-US"/>
        </w:rPr>
        <w:t>havin</w:t>
      </w:r>
      <w:r w:rsidR="00823F92" w:rsidRPr="00C20405">
        <w:rPr>
          <w:lang w:val="en-US"/>
        </w:rPr>
        <w:t>g</w:t>
      </w:r>
      <w:r w:rsidR="00823F92">
        <w:rPr>
          <w:lang w:val="en-US"/>
        </w:rPr>
        <w:t xml:space="preserve"> </w:t>
      </w:r>
      <w:r w:rsidRPr="00C20405">
        <w:rPr>
          <w:lang w:val="en-US"/>
        </w:rPr>
        <w:t>greate</w:t>
      </w:r>
      <w:r w:rsidR="00823F92" w:rsidRPr="00C20405">
        <w:rPr>
          <w:lang w:val="en-US"/>
        </w:rPr>
        <w:t>r</w:t>
      </w:r>
      <w:r w:rsidR="00823F92">
        <w:rPr>
          <w:lang w:val="en-US"/>
        </w:rPr>
        <w:t xml:space="preserve"> </w:t>
      </w:r>
      <w:r w:rsidRPr="00C20405">
        <w:rPr>
          <w:lang w:val="en-US"/>
        </w:rPr>
        <w:t>opportunitie</w:t>
      </w:r>
      <w:r w:rsidR="00823F92" w:rsidRPr="00C20405">
        <w:rPr>
          <w:lang w:val="en-US"/>
        </w:rPr>
        <w:t>s</w:t>
      </w:r>
      <w:r w:rsidR="00823F92">
        <w:rPr>
          <w:lang w:val="en-US"/>
        </w:rPr>
        <w:t xml:space="preserve"> </w:t>
      </w:r>
      <w:r w:rsidRPr="00C20405">
        <w:rPr>
          <w:lang w:val="en-US"/>
        </w:rPr>
        <w:t>fo</w:t>
      </w:r>
      <w:r w:rsidR="00823F92" w:rsidRPr="00C20405">
        <w:rPr>
          <w:lang w:val="en-US"/>
        </w:rPr>
        <w:t>r</w:t>
      </w:r>
      <w:r w:rsidR="00823F92">
        <w:rPr>
          <w:lang w:val="en-US"/>
        </w:rPr>
        <w:t xml:space="preserve"> </w:t>
      </w:r>
      <w:r w:rsidRPr="00C20405">
        <w:rPr>
          <w:lang w:val="en-US"/>
        </w:rPr>
        <w:t>progression</w:t>
      </w:r>
      <w:r w:rsidR="00823F92" w:rsidRPr="00C20405">
        <w:rPr>
          <w:lang w:val="en-US"/>
        </w:rPr>
        <w:t>.</w:t>
      </w:r>
      <w:r w:rsidR="00823F92">
        <w:rPr>
          <w:lang w:val="en-US"/>
        </w:rPr>
        <w:t xml:space="preserve"> </w:t>
      </w:r>
    </w:p>
    <w:p w14:paraId="13ACF81E" w14:textId="6AB8D7EE" w:rsidR="00453F15" w:rsidRPr="000E25B1" w:rsidRDefault="00453F15" w:rsidP="008D57D0">
      <w:pPr>
        <w:pStyle w:val="Heading3nonumber"/>
        <w:keepNext/>
      </w:pPr>
      <w:r>
        <w:t>Jo</w:t>
      </w:r>
      <w:r w:rsidR="00823F92">
        <w:t xml:space="preserve">b </w:t>
      </w:r>
      <w:r>
        <w:t>satisfaction</w:t>
      </w:r>
    </w:p>
    <w:p w14:paraId="6DB757A2" w14:textId="0B1AC1EE" w:rsidR="00453F15" w:rsidRDefault="00453F15" w:rsidP="00CC4291">
      <w:pPr>
        <w:pStyle w:val="BodyText"/>
      </w:pPr>
      <w:r>
        <w:t>Th</w:t>
      </w:r>
      <w:r w:rsidR="00823F92">
        <w:t xml:space="preserve">e </w:t>
      </w:r>
      <w:r>
        <w:t>abilit</w:t>
      </w:r>
      <w:r w:rsidR="00823F92">
        <w:t xml:space="preserve">y </w:t>
      </w:r>
      <w:r>
        <w:t>t</w:t>
      </w:r>
      <w:r w:rsidR="00823F92">
        <w:t xml:space="preserve">o </w:t>
      </w:r>
      <w:r>
        <w:t>operat</w:t>
      </w:r>
      <w:r w:rsidR="00823F92">
        <w:t xml:space="preserve">e </w:t>
      </w:r>
      <w:r>
        <w:t>t</w:t>
      </w:r>
      <w:r w:rsidR="00823F92">
        <w:t xml:space="preserve">o </w:t>
      </w:r>
      <w:r>
        <w:t>th</w:t>
      </w:r>
      <w:r w:rsidR="00823F92">
        <w:t xml:space="preserve">e </w:t>
      </w:r>
      <w:r>
        <w:t>optima</w:t>
      </w:r>
      <w:r w:rsidR="00823F92">
        <w:t xml:space="preserve">l </w:t>
      </w:r>
      <w:r>
        <w:t>scop</w:t>
      </w:r>
      <w:r w:rsidR="00823F92">
        <w:t xml:space="preserve">e </w:t>
      </w:r>
      <w:r>
        <w:t>o</w:t>
      </w:r>
      <w:r w:rsidR="00823F92">
        <w:t xml:space="preserve">f </w:t>
      </w:r>
      <w:r>
        <w:t>practic</w:t>
      </w:r>
      <w:r w:rsidR="00823F92">
        <w:t xml:space="preserve">e </w:t>
      </w:r>
      <w:r>
        <w:t>help</w:t>
      </w:r>
      <w:r w:rsidR="00823F92">
        <w:t xml:space="preserve">s </w:t>
      </w:r>
      <w:r>
        <w:t>t</w:t>
      </w:r>
      <w:r w:rsidR="00823F92">
        <w:t xml:space="preserve">o </w:t>
      </w:r>
      <w:r>
        <w:t>increas</w:t>
      </w:r>
      <w:r w:rsidR="00823F92">
        <w:t xml:space="preserve">e </w:t>
      </w:r>
      <w:r>
        <w:t>jo</w:t>
      </w:r>
      <w:r w:rsidR="00823F92">
        <w:t xml:space="preserve">b </w:t>
      </w:r>
      <w:r>
        <w:t>satisfactio</w:t>
      </w:r>
      <w:r w:rsidR="00823F92">
        <w:t xml:space="preserve">n </w:t>
      </w:r>
      <w:r>
        <w:t>an</w:t>
      </w:r>
      <w:r w:rsidR="00823F92">
        <w:t xml:space="preserve">d </w:t>
      </w:r>
      <w:r>
        <w:t>retai</w:t>
      </w:r>
      <w:r w:rsidR="00823F92">
        <w:t xml:space="preserve">n </w:t>
      </w:r>
      <w:r>
        <w:t>worker</w:t>
      </w:r>
      <w:r w:rsidR="00823F92">
        <w:t xml:space="preserve">s </w:t>
      </w:r>
      <w:r>
        <w:t>withi</w:t>
      </w:r>
      <w:r w:rsidR="00823F92">
        <w:t xml:space="preserve">n </w:t>
      </w:r>
      <w:r>
        <w:t>th</w:t>
      </w:r>
      <w:r w:rsidR="00823F92">
        <w:t xml:space="preserve">e </w:t>
      </w:r>
      <w:r>
        <w:t>menta</w:t>
      </w:r>
      <w:r w:rsidR="00823F92">
        <w:t xml:space="preserve">l </w:t>
      </w:r>
      <w:r>
        <w:t>healt</w:t>
      </w:r>
      <w:r w:rsidR="00823F92">
        <w:t xml:space="preserve">h </w:t>
      </w:r>
      <w:r>
        <w:t>sector</w:t>
      </w:r>
      <w:r w:rsidR="00823F92">
        <w:t xml:space="preserve">. </w:t>
      </w:r>
      <w:r>
        <w:t>Ther</w:t>
      </w:r>
      <w:r w:rsidR="00823F92">
        <w:t xml:space="preserve">e </w:t>
      </w:r>
      <w:r>
        <w:t>ar</w:t>
      </w:r>
      <w:r w:rsidR="00823F92">
        <w:t xml:space="preserve">e </w:t>
      </w:r>
      <w:r>
        <w:t>consisten</w:t>
      </w:r>
      <w:r w:rsidR="00823F92">
        <w:t xml:space="preserve">t </w:t>
      </w:r>
      <w:r>
        <w:t>issue</w:t>
      </w:r>
      <w:r w:rsidR="00823F92">
        <w:t xml:space="preserve">s </w:t>
      </w:r>
      <w:r>
        <w:t>wit</w:t>
      </w:r>
      <w:r w:rsidR="00823F92">
        <w:t xml:space="preserve">h </w:t>
      </w:r>
      <w:r>
        <w:t>workin</w:t>
      </w:r>
      <w:r w:rsidR="00823F92">
        <w:t xml:space="preserve">g </w:t>
      </w:r>
      <w:r>
        <w:t>t</w:t>
      </w:r>
      <w:r w:rsidR="00823F92">
        <w:t xml:space="preserve">o </w:t>
      </w:r>
      <w:r>
        <w:t>to</w:t>
      </w:r>
      <w:r w:rsidR="00823F92">
        <w:t xml:space="preserve">p </w:t>
      </w:r>
      <w:r>
        <w:t>o</w:t>
      </w:r>
      <w:r w:rsidR="00823F92">
        <w:t xml:space="preserve">f </w:t>
      </w:r>
      <w:r>
        <w:t>scop</w:t>
      </w:r>
      <w:r w:rsidR="00823F92">
        <w:t xml:space="preserve">e </w:t>
      </w:r>
      <w:r>
        <w:t>acros</w:t>
      </w:r>
      <w:r w:rsidR="00823F92">
        <w:t xml:space="preserve">s </w:t>
      </w:r>
      <w:r>
        <w:t>th</w:t>
      </w:r>
      <w:r w:rsidR="00823F92">
        <w:t xml:space="preserve">e </w:t>
      </w:r>
      <w:r>
        <w:t>workforce</w:t>
      </w:r>
      <w:r w:rsidR="00823F92">
        <w:t xml:space="preserve">, </w:t>
      </w:r>
      <w:r>
        <w:t>indicativ</w:t>
      </w:r>
      <w:r w:rsidR="00823F92">
        <w:t xml:space="preserve">e </w:t>
      </w:r>
      <w:r>
        <w:t>o</w:t>
      </w:r>
      <w:r w:rsidR="00823F92">
        <w:t xml:space="preserve">f </w:t>
      </w:r>
      <w:r>
        <w:t>widesprea</w:t>
      </w:r>
      <w:r w:rsidR="00823F92">
        <w:t xml:space="preserve">d </w:t>
      </w:r>
      <w:r>
        <w:t>issue</w:t>
      </w:r>
      <w:r w:rsidR="00823F92">
        <w:t xml:space="preserve">s </w:t>
      </w:r>
      <w:r>
        <w:t>i</w:t>
      </w:r>
      <w:r w:rsidR="00823F92">
        <w:t xml:space="preserve">n </w:t>
      </w:r>
      <w:r>
        <w:t>rol</w:t>
      </w:r>
      <w:r w:rsidR="00823F92">
        <w:t xml:space="preserve">e </w:t>
      </w:r>
      <w:r>
        <w:t>desig</w:t>
      </w:r>
      <w:r w:rsidR="00823F92">
        <w:t xml:space="preserve">n </w:t>
      </w:r>
      <w:r w:rsidR="00CF7025">
        <w:t>an</w:t>
      </w:r>
      <w:r w:rsidR="00823F92">
        <w:t xml:space="preserve">d </w:t>
      </w:r>
      <w:r w:rsidR="00CF7025">
        <w:t>linke</w:t>
      </w:r>
      <w:r w:rsidR="00823F92">
        <w:t xml:space="preserve">d </w:t>
      </w:r>
      <w:r w:rsidR="00CF7025">
        <w:t>t</w:t>
      </w:r>
      <w:r w:rsidR="00823F92">
        <w:t xml:space="preserve">o </w:t>
      </w:r>
      <w:r w:rsidR="00CF7025">
        <w:t>th</w:t>
      </w:r>
      <w:r w:rsidR="00823F92">
        <w:t xml:space="preserve">e </w:t>
      </w:r>
      <w:r w:rsidR="00CF7025">
        <w:t>earlie</w:t>
      </w:r>
      <w:r w:rsidR="00823F92">
        <w:t xml:space="preserve">r </w:t>
      </w:r>
      <w:r w:rsidR="00CF7025">
        <w:t>poin</w:t>
      </w:r>
      <w:r w:rsidR="00823F92">
        <w:t xml:space="preserve">t </w:t>
      </w:r>
      <w:r w:rsidR="00CF7025">
        <w:t>regardin</w:t>
      </w:r>
      <w:r w:rsidR="00823F92">
        <w:t xml:space="preserve">g </w:t>
      </w:r>
      <w:r w:rsidR="00CF7025">
        <w:t>scope</w:t>
      </w:r>
      <w:r w:rsidR="00823F92">
        <w:t xml:space="preserve">s </w:t>
      </w:r>
      <w:r w:rsidR="00CF7025">
        <w:t>o</w:t>
      </w:r>
      <w:r w:rsidR="00823F92">
        <w:t xml:space="preserve">f </w:t>
      </w:r>
      <w:r w:rsidR="00CF7025">
        <w:t>practice</w:t>
      </w:r>
      <w:r w:rsidR="00823F92">
        <w:t xml:space="preserve">. </w:t>
      </w:r>
    </w:p>
    <w:p w14:paraId="2DA9DFA8" w14:textId="4B40AFBE" w:rsidR="00453F15" w:rsidRDefault="00453F15" w:rsidP="00CC4291">
      <w:pPr>
        <w:pStyle w:val="BodyText"/>
      </w:pPr>
      <w:r>
        <w:lastRenderedPageBreak/>
        <w:t>Fo</w:t>
      </w:r>
      <w:r w:rsidR="00823F92">
        <w:t xml:space="preserve">r </w:t>
      </w:r>
      <w:r>
        <w:t>generalis</w:t>
      </w:r>
      <w:r w:rsidR="00823F92">
        <w:t xml:space="preserve">t </w:t>
      </w:r>
      <w:r>
        <w:t>roles</w:t>
      </w:r>
      <w:r w:rsidR="00823F92">
        <w:t xml:space="preserve">, </w:t>
      </w:r>
      <w:r>
        <w:t>ther</w:t>
      </w:r>
      <w:r w:rsidR="00823F92">
        <w:t xml:space="preserve">e </w:t>
      </w:r>
      <w:r>
        <w:t>i</w:t>
      </w:r>
      <w:r w:rsidR="00823F92">
        <w:t xml:space="preserve">s </w:t>
      </w:r>
      <w:r>
        <w:t>ofte</w:t>
      </w:r>
      <w:r w:rsidR="00823F92">
        <w:t xml:space="preserve">n a </w:t>
      </w:r>
      <w:r w:rsidRPr="00AF653A">
        <w:t>misalignmen</w:t>
      </w:r>
      <w:r w:rsidR="00823F92" w:rsidRPr="00AF653A">
        <w:t>t</w:t>
      </w:r>
      <w:r w:rsidR="00823F92">
        <w:t xml:space="preserve"> </w:t>
      </w:r>
      <w:r w:rsidRPr="00AF653A">
        <w:t>betwee</w:t>
      </w:r>
      <w:r w:rsidR="00823F92" w:rsidRPr="00AF653A">
        <w:t>n</w:t>
      </w:r>
      <w:r w:rsidR="00823F92">
        <w:t xml:space="preserve"> </w:t>
      </w:r>
      <w:r>
        <w:t>th</w:t>
      </w:r>
      <w:r w:rsidR="00823F92">
        <w:t xml:space="preserve">e </w:t>
      </w:r>
      <w:r>
        <w:t>mor</w:t>
      </w:r>
      <w:r w:rsidR="00823F92">
        <w:t xml:space="preserve">e </w:t>
      </w:r>
      <w:r>
        <w:t>specialise</w:t>
      </w:r>
      <w:r w:rsidR="00823F92">
        <w:t xml:space="preserve">d </w:t>
      </w:r>
      <w:r>
        <w:t>pre-servic</w:t>
      </w:r>
      <w:r w:rsidR="00823F92">
        <w:t xml:space="preserve">e </w:t>
      </w:r>
      <w:r w:rsidRPr="00AF653A">
        <w:t>trainin</w:t>
      </w:r>
      <w:r w:rsidR="00823F92" w:rsidRPr="00AF653A">
        <w:t>g</w:t>
      </w:r>
      <w:r w:rsidR="00823F92">
        <w:t xml:space="preserve"> </w:t>
      </w:r>
      <w:r>
        <w:t>tha</w:t>
      </w:r>
      <w:r w:rsidR="00823F92">
        <w:t xml:space="preserve">t </w:t>
      </w:r>
      <w:r>
        <w:t>graduate</w:t>
      </w:r>
      <w:r w:rsidR="00823F92">
        <w:t xml:space="preserve">s </w:t>
      </w:r>
      <w:r>
        <w:t>hav</w:t>
      </w:r>
      <w:r w:rsidR="00823F92">
        <w:t xml:space="preserve">e </w:t>
      </w:r>
      <w:r>
        <w:t>complete</w:t>
      </w:r>
      <w:r w:rsidR="00823F92">
        <w:t xml:space="preserve">d </w:t>
      </w:r>
      <w:r w:rsidRPr="00AF653A">
        <w:t>an</w:t>
      </w:r>
      <w:r w:rsidR="00823F92" w:rsidRPr="00AF653A">
        <w:t>d</w:t>
      </w:r>
      <w:r w:rsidR="00823F92">
        <w:t xml:space="preserve"> </w:t>
      </w:r>
      <w:r>
        <w:t>th</w:t>
      </w:r>
      <w:r w:rsidR="00823F92">
        <w:t xml:space="preserve">e </w:t>
      </w:r>
      <w:r>
        <w:t>resultan</w:t>
      </w:r>
      <w:r w:rsidR="00823F92">
        <w:t xml:space="preserve">t </w:t>
      </w:r>
      <w:r>
        <w:t>rol</w:t>
      </w:r>
      <w:r w:rsidR="00823F92">
        <w:t xml:space="preserve">e </w:t>
      </w:r>
      <w:r>
        <w:t>whic</w:t>
      </w:r>
      <w:r w:rsidR="00823F92">
        <w:t xml:space="preserve">h </w:t>
      </w:r>
      <w:r>
        <w:t>doesn’</w:t>
      </w:r>
      <w:r w:rsidR="00823F92">
        <w:t xml:space="preserve">t </w:t>
      </w:r>
      <w:r>
        <w:t>allo</w:t>
      </w:r>
      <w:r w:rsidR="00823F92">
        <w:t xml:space="preserve">w </w:t>
      </w:r>
      <w:r>
        <w:t>fo</w:t>
      </w:r>
      <w:r w:rsidR="00823F92">
        <w:t xml:space="preserve">r </w:t>
      </w:r>
      <w:r>
        <w:t>th</w:t>
      </w:r>
      <w:r w:rsidR="00823F92">
        <w:t xml:space="preserve">e </w:t>
      </w:r>
      <w:r>
        <w:t>applicatio</w:t>
      </w:r>
      <w:r w:rsidR="00823F92">
        <w:t xml:space="preserve">n </w:t>
      </w:r>
      <w:r>
        <w:t>o</w:t>
      </w:r>
      <w:r w:rsidR="00823F92">
        <w:t xml:space="preserve">f </w:t>
      </w:r>
      <w:r>
        <w:t>suc</w:t>
      </w:r>
      <w:r w:rsidR="00823F92">
        <w:t xml:space="preserve">h </w:t>
      </w:r>
      <w:r>
        <w:t>expertise</w:t>
      </w:r>
      <w:r w:rsidR="00823F92">
        <w:t xml:space="preserve">. </w:t>
      </w:r>
      <w:r>
        <w:t>Thi</w:t>
      </w:r>
      <w:r w:rsidR="00823F92">
        <w:t xml:space="preserve">s </w:t>
      </w:r>
      <w:r w:rsidRPr="00AF653A">
        <w:t>disconnec</w:t>
      </w:r>
      <w:r w:rsidR="00823F92" w:rsidRPr="00AF653A">
        <w:t>t</w:t>
      </w:r>
      <w:r w:rsidR="00823F92">
        <w:t xml:space="preserve"> </w:t>
      </w:r>
      <w:r w:rsidRPr="00AF653A">
        <w:t>betwee</w:t>
      </w:r>
      <w:r w:rsidR="00823F92" w:rsidRPr="00AF653A">
        <w:t>n</w:t>
      </w:r>
      <w:r w:rsidR="00823F92">
        <w:t xml:space="preserve"> </w:t>
      </w:r>
      <w:r w:rsidRPr="00AF653A">
        <w:t>th</w:t>
      </w:r>
      <w:r w:rsidR="00823F92" w:rsidRPr="00AF653A">
        <w:t>e</w:t>
      </w:r>
      <w:r w:rsidR="00823F92">
        <w:t xml:space="preserve"> </w:t>
      </w:r>
      <w:r w:rsidRPr="00AF653A">
        <w:t>discipline-specifi</w:t>
      </w:r>
      <w:r w:rsidR="00823F92" w:rsidRPr="00AF653A">
        <w:t>c</w:t>
      </w:r>
      <w:r w:rsidR="00823F92">
        <w:t xml:space="preserve"> </w:t>
      </w:r>
      <w:r w:rsidRPr="00AF653A">
        <w:t>trainin</w:t>
      </w:r>
      <w:r w:rsidR="00823F92" w:rsidRPr="00AF653A">
        <w:t>g</w:t>
      </w:r>
      <w:r w:rsidR="00823F92">
        <w:t xml:space="preserve"> </w:t>
      </w:r>
      <w:r w:rsidRPr="00AF653A">
        <w:t>an</w:t>
      </w:r>
      <w:r w:rsidR="00823F92" w:rsidRPr="00AF653A">
        <w:t>d</w:t>
      </w:r>
      <w:r w:rsidR="00823F92">
        <w:t xml:space="preserve"> </w:t>
      </w:r>
      <w:r w:rsidRPr="00AF653A">
        <w:t>th</w:t>
      </w:r>
      <w:r w:rsidR="00823F92" w:rsidRPr="00AF653A">
        <w:t>e</w:t>
      </w:r>
      <w:r w:rsidR="00823F92">
        <w:t xml:space="preserve"> </w:t>
      </w:r>
      <w:r>
        <w:t>jo</w:t>
      </w:r>
      <w:r w:rsidR="00823F92">
        <w:t xml:space="preserve">b </w:t>
      </w:r>
      <w:r w:rsidRPr="00AF653A">
        <w:t>role</w:t>
      </w:r>
      <w:r w:rsidR="00823F92" w:rsidRPr="00AF653A">
        <w:t>s</w:t>
      </w:r>
      <w:r w:rsidR="00823F92">
        <w:t xml:space="preserve"> </w:t>
      </w:r>
      <w:r w:rsidRPr="006C4490">
        <w:t>impede</w:t>
      </w:r>
      <w:r w:rsidR="00823F92" w:rsidRPr="006C4490">
        <w:t>s</w:t>
      </w:r>
      <w:r w:rsidR="00823F92">
        <w:t xml:space="preserve"> </w:t>
      </w:r>
      <w:r w:rsidRPr="006C4490">
        <w:t>attractio</w:t>
      </w:r>
      <w:r w:rsidR="00823F92" w:rsidRPr="006C4490">
        <w:t>n</w:t>
      </w:r>
      <w:r w:rsidR="00823F92">
        <w:t xml:space="preserve"> </w:t>
      </w:r>
      <w:r>
        <w:t>t</w:t>
      </w:r>
      <w:r w:rsidR="00823F92">
        <w:t xml:space="preserve">o </w:t>
      </w:r>
      <w:r w:rsidRPr="006C4490">
        <w:t>an</w:t>
      </w:r>
      <w:r w:rsidR="00823F92" w:rsidRPr="006C4490">
        <w:t>d</w:t>
      </w:r>
      <w:r w:rsidR="00823F92">
        <w:t xml:space="preserve"> </w:t>
      </w:r>
      <w:r w:rsidRPr="006C4490">
        <w:t>retentio</w:t>
      </w:r>
      <w:r w:rsidR="00823F92" w:rsidRPr="006C4490">
        <w:t>n</w:t>
      </w:r>
      <w:r w:rsidR="00823F92">
        <w:t xml:space="preserve"> </w:t>
      </w:r>
      <w:r w:rsidRPr="006C4490">
        <w:t>i</w:t>
      </w:r>
      <w:r w:rsidR="00823F92" w:rsidRPr="006C4490">
        <w:t>n</w:t>
      </w:r>
      <w:r w:rsidR="00823F92">
        <w:t xml:space="preserve"> </w:t>
      </w:r>
      <w:r w:rsidRPr="006C4490">
        <w:t>th</w:t>
      </w:r>
      <w:r w:rsidR="00823F92" w:rsidRPr="006C4490">
        <w:t>e</w:t>
      </w:r>
      <w:r w:rsidR="00823F92">
        <w:t xml:space="preserve"> </w:t>
      </w:r>
      <w:r w:rsidRPr="006C4490">
        <w:t>sector</w:t>
      </w:r>
      <w:r w:rsidR="00823F92" w:rsidRPr="006C4490">
        <w:t>.</w:t>
      </w:r>
      <w:r w:rsidR="00823F92">
        <w:t xml:space="preserve"> </w:t>
      </w:r>
      <w:r w:rsidRPr="006C4490">
        <w:t>Th</w:t>
      </w:r>
      <w:r w:rsidR="00823F92" w:rsidRPr="006C4490">
        <w:t>e</w:t>
      </w:r>
      <w:r w:rsidR="00823F92">
        <w:t xml:space="preserve"> </w:t>
      </w:r>
      <w:r w:rsidRPr="006C4490">
        <w:t>mos</w:t>
      </w:r>
      <w:r w:rsidR="00823F92" w:rsidRPr="006C4490">
        <w:t>t</w:t>
      </w:r>
      <w:r w:rsidR="00823F92">
        <w:t xml:space="preserve"> </w:t>
      </w:r>
      <w:r w:rsidRPr="006C4490">
        <w:t>significantl</w:t>
      </w:r>
      <w:r w:rsidR="00823F92" w:rsidRPr="006C4490">
        <w:t>y</w:t>
      </w:r>
      <w:r w:rsidR="00823F92">
        <w:t xml:space="preserve"> </w:t>
      </w:r>
      <w:r w:rsidRPr="006C4490">
        <w:t>impacte</w:t>
      </w:r>
      <w:r w:rsidR="00823F92" w:rsidRPr="006C4490">
        <w:t>d</w:t>
      </w:r>
      <w:r w:rsidR="00823F92">
        <w:t xml:space="preserve"> </w:t>
      </w:r>
      <w:r w:rsidRPr="006C4490">
        <w:t>cohor</w:t>
      </w:r>
      <w:r w:rsidR="00823F92" w:rsidRPr="006C4490">
        <w:t>t</w:t>
      </w:r>
      <w:r w:rsidR="00823F92">
        <w:t xml:space="preserve"> </w:t>
      </w:r>
      <w:r w:rsidRPr="006C4490">
        <w:t>i</w:t>
      </w:r>
      <w:r w:rsidR="00823F92" w:rsidRPr="006C4490">
        <w:t>s</w:t>
      </w:r>
      <w:r w:rsidR="00823F92">
        <w:t xml:space="preserve"> </w:t>
      </w:r>
      <w:r w:rsidRPr="006C4490">
        <w:t>th</w:t>
      </w:r>
      <w:r w:rsidR="00823F92" w:rsidRPr="006C4490">
        <w:t>e</w:t>
      </w:r>
      <w:r w:rsidR="00823F92">
        <w:t xml:space="preserve"> </w:t>
      </w:r>
      <w:r w:rsidRPr="006C4490">
        <w:t>tertiar</w:t>
      </w:r>
      <w:r w:rsidR="00823F92" w:rsidRPr="006C4490">
        <w:t>y</w:t>
      </w:r>
      <w:r w:rsidR="00823F92">
        <w:t xml:space="preserve"> </w:t>
      </w:r>
      <w:r w:rsidRPr="006C4490">
        <w:t>qualifie</w:t>
      </w:r>
      <w:r w:rsidR="00823F92" w:rsidRPr="006C4490">
        <w:t>d</w:t>
      </w:r>
      <w:r w:rsidR="00823F92">
        <w:t xml:space="preserve"> </w:t>
      </w:r>
      <w:r w:rsidRPr="006C4490">
        <w:t>workforc</w:t>
      </w:r>
      <w:r w:rsidR="00823F92" w:rsidRPr="006C4490">
        <w:t>e</w:t>
      </w:r>
      <w:r w:rsidR="00823F92">
        <w:t xml:space="preserve"> </w:t>
      </w:r>
      <w:r w:rsidRPr="006C4490">
        <w:t>includin</w:t>
      </w:r>
      <w:r w:rsidR="00823F92" w:rsidRPr="006C4490">
        <w:t>g</w:t>
      </w:r>
      <w:r w:rsidR="00823F92">
        <w:t xml:space="preserve"> </w:t>
      </w:r>
      <w:r>
        <w:t>occupationa</w:t>
      </w:r>
      <w:r w:rsidR="00823F92">
        <w:t xml:space="preserve">l </w:t>
      </w:r>
      <w:r>
        <w:t>therapists</w:t>
      </w:r>
      <w:r w:rsidR="00823F92" w:rsidRPr="006C4490">
        <w:t>,</w:t>
      </w:r>
      <w:r w:rsidR="00823F92">
        <w:t xml:space="preserve"> </w:t>
      </w:r>
      <w:r>
        <w:t>p</w:t>
      </w:r>
      <w:r w:rsidRPr="006C4490">
        <w:t>sychologist</w:t>
      </w:r>
      <w:r w:rsidR="00823F92" w:rsidRPr="006C4490">
        <w:t>s</w:t>
      </w:r>
      <w:r w:rsidR="00823F92">
        <w:t xml:space="preserve"> </w:t>
      </w:r>
      <w:r w:rsidRPr="006C4490">
        <w:t>an</w:t>
      </w:r>
      <w:r w:rsidR="00823F92" w:rsidRPr="006C4490">
        <w:t>d</w:t>
      </w:r>
      <w:r w:rsidR="00823F92">
        <w:t xml:space="preserve"> </w:t>
      </w:r>
      <w:r>
        <w:t>s</w:t>
      </w:r>
      <w:r w:rsidRPr="006C4490">
        <w:t>ocia</w:t>
      </w:r>
      <w:r w:rsidR="00823F92" w:rsidRPr="006C4490">
        <w:t>l</w:t>
      </w:r>
      <w:r w:rsidR="00823F92">
        <w:t xml:space="preserve"> </w:t>
      </w:r>
      <w:r>
        <w:t>w</w:t>
      </w:r>
      <w:r w:rsidRPr="006C4490">
        <w:t>orker</w:t>
      </w:r>
      <w:r w:rsidR="00823F92" w:rsidRPr="006C4490">
        <w:t>s</w:t>
      </w:r>
      <w:r w:rsidR="00823F92">
        <w:t xml:space="preserve"> </w:t>
      </w:r>
      <w:r w:rsidRPr="006C4490">
        <w:t>wh</w:t>
      </w:r>
      <w:r w:rsidR="00823F92" w:rsidRPr="006C4490">
        <w:t>o</w:t>
      </w:r>
      <w:r w:rsidR="00823F92">
        <w:t xml:space="preserve"> </w:t>
      </w:r>
      <w:r w:rsidRPr="006C4490">
        <w:t>ar</w:t>
      </w:r>
      <w:r w:rsidR="00823F92" w:rsidRPr="006C4490">
        <w:t>e</w:t>
      </w:r>
      <w:r w:rsidR="00823F92">
        <w:t xml:space="preserve"> </w:t>
      </w:r>
      <w:r w:rsidRPr="006C4490">
        <w:t>ofte</w:t>
      </w:r>
      <w:r w:rsidR="00823F92" w:rsidRPr="006C4490">
        <w:t>n</w:t>
      </w:r>
      <w:r w:rsidR="00823F92">
        <w:t xml:space="preserve"> </w:t>
      </w:r>
      <w:r w:rsidRPr="006C4490">
        <w:t>employe</w:t>
      </w:r>
      <w:r w:rsidR="00823F92" w:rsidRPr="006C4490">
        <w:t>d</w:t>
      </w:r>
      <w:r w:rsidR="00823F92">
        <w:t xml:space="preserve"> </w:t>
      </w:r>
      <w:r w:rsidRPr="006C4490">
        <w:t>i</w:t>
      </w:r>
      <w:r w:rsidR="00823F92" w:rsidRPr="006C4490">
        <w:t>n</w:t>
      </w:r>
      <w:r w:rsidR="00823F92">
        <w:t xml:space="preserve"> </w:t>
      </w:r>
      <w:r w:rsidRPr="006C4490">
        <w:t>role</w:t>
      </w:r>
      <w:r w:rsidR="00823F92" w:rsidRPr="006C4490">
        <w:t>s</w:t>
      </w:r>
      <w:r w:rsidR="00823F92">
        <w:t xml:space="preserve"> </w:t>
      </w:r>
      <w:r w:rsidRPr="006C4490">
        <w:t>wher</w:t>
      </w:r>
      <w:r w:rsidR="00823F92" w:rsidRPr="006C4490">
        <w:t>e</w:t>
      </w:r>
      <w:r w:rsidR="00823F92">
        <w:t xml:space="preserve"> </w:t>
      </w:r>
      <w:r w:rsidRPr="006C4490">
        <w:t>thei</w:t>
      </w:r>
      <w:r w:rsidR="00823F92" w:rsidRPr="006C4490">
        <w:t>r</w:t>
      </w:r>
      <w:r w:rsidR="00823F92">
        <w:t xml:space="preserve"> </w:t>
      </w:r>
      <w:r w:rsidRPr="006C4490">
        <w:t>particula</w:t>
      </w:r>
      <w:r w:rsidR="00823F92" w:rsidRPr="006C4490">
        <w:t>r</w:t>
      </w:r>
      <w:r w:rsidR="00823F92">
        <w:t xml:space="preserve"> </w:t>
      </w:r>
      <w:r w:rsidRPr="006C4490">
        <w:t>knowledg</w:t>
      </w:r>
      <w:r w:rsidR="00823F92" w:rsidRPr="006C4490">
        <w:t>e</w:t>
      </w:r>
      <w:r w:rsidR="00823F92">
        <w:t xml:space="preserve"> </w:t>
      </w:r>
      <w:r w:rsidRPr="006C4490">
        <w:t>an</w:t>
      </w:r>
      <w:r w:rsidR="00823F92" w:rsidRPr="006C4490">
        <w:t>d</w:t>
      </w:r>
      <w:r w:rsidR="00823F92">
        <w:t xml:space="preserve"> </w:t>
      </w:r>
      <w:r w:rsidRPr="006C4490">
        <w:t>skill</w:t>
      </w:r>
      <w:r w:rsidR="00823F92" w:rsidRPr="006C4490">
        <w:t>s</w:t>
      </w:r>
      <w:r w:rsidR="00823F92">
        <w:t xml:space="preserve"> </w:t>
      </w:r>
      <w:r w:rsidRPr="006C4490">
        <w:t>ar</w:t>
      </w:r>
      <w:r w:rsidR="00823F92" w:rsidRPr="006C4490">
        <w:t>e</w:t>
      </w:r>
      <w:r w:rsidR="00823F92">
        <w:t xml:space="preserve"> </w:t>
      </w:r>
      <w:r w:rsidRPr="006C4490">
        <w:t>utilise</w:t>
      </w:r>
      <w:r w:rsidR="00823F92" w:rsidRPr="006C4490">
        <w:t>d</w:t>
      </w:r>
      <w:r w:rsidR="00823F92">
        <w:t xml:space="preserve"> </w:t>
      </w:r>
      <w:r>
        <w:t>t</w:t>
      </w:r>
      <w:r w:rsidR="00823F92">
        <w:t xml:space="preserve">o a </w:t>
      </w:r>
      <w:r>
        <w:t>ver</w:t>
      </w:r>
      <w:r w:rsidR="00823F92">
        <w:t xml:space="preserve">y </w:t>
      </w:r>
      <w:r>
        <w:t>limite</w:t>
      </w:r>
      <w:r w:rsidR="00823F92">
        <w:t xml:space="preserve">d </w:t>
      </w:r>
      <w:r>
        <w:t>extent</w:t>
      </w:r>
      <w:r w:rsidR="00823F92" w:rsidRPr="006C4490">
        <w:t>.</w:t>
      </w:r>
      <w:r w:rsidR="00823F92">
        <w:t xml:space="preserve"> </w:t>
      </w:r>
      <w:r w:rsidRPr="006C4490">
        <w:t>Th</w:t>
      </w:r>
      <w:r w:rsidR="00823F92" w:rsidRPr="006C4490">
        <w:t>e</w:t>
      </w:r>
      <w:r w:rsidR="00823F92">
        <w:t xml:space="preserve"> </w:t>
      </w:r>
      <w:r w:rsidRPr="006C4490">
        <w:t>poo</w:t>
      </w:r>
      <w:r w:rsidR="00823F92" w:rsidRPr="006C4490">
        <w:t>r</w:t>
      </w:r>
      <w:r w:rsidR="00823F92">
        <w:t xml:space="preserve"> </w:t>
      </w:r>
      <w:r w:rsidRPr="006C4490">
        <w:t>alignmen</w:t>
      </w:r>
      <w:r w:rsidR="00823F92" w:rsidRPr="006C4490">
        <w:t>t</w:t>
      </w:r>
      <w:r w:rsidR="00823F92">
        <w:t xml:space="preserve"> </w:t>
      </w:r>
      <w:r w:rsidRPr="006C4490">
        <w:t>betwee</w:t>
      </w:r>
      <w:r w:rsidR="00823F92" w:rsidRPr="006C4490">
        <w:t>n</w:t>
      </w:r>
      <w:r w:rsidR="00823F92">
        <w:t xml:space="preserve"> </w:t>
      </w:r>
      <w:r w:rsidRPr="006C4490">
        <w:t>trainin</w:t>
      </w:r>
      <w:r w:rsidR="00823F92" w:rsidRPr="006C4490">
        <w:t>g</w:t>
      </w:r>
      <w:r w:rsidR="00823F92">
        <w:t xml:space="preserve"> </w:t>
      </w:r>
      <w:r w:rsidRPr="006C4490">
        <w:t>an</w:t>
      </w:r>
      <w:r w:rsidR="00823F92" w:rsidRPr="006C4490">
        <w:t>d</w:t>
      </w:r>
      <w:r w:rsidR="00823F92">
        <w:t xml:space="preserve"> </w:t>
      </w:r>
      <w:r>
        <w:t>jo</w:t>
      </w:r>
      <w:r w:rsidR="00823F92">
        <w:t xml:space="preserve">b </w:t>
      </w:r>
      <w:r w:rsidRPr="006C4490">
        <w:t>rol</w:t>
      </w:r>
      <w:r w:rsidR="00823F92" w:rsidRPr="006C4490">
        <w:t>e</w:t>
      </w:r>
      <w:r w:rsidR="00823F92">
        <w:t xml:space="preserve"> </w:t>
      </w:r>
      <w:r w:rsidRPr="006C4490">
        <w:t>exacerbate</w:t>
      </w:r>
      <w:r w:rsidR="00823F92" w:rsidRPr="006C4490">
        <w:t>s</w:t>
      </w:r>
      <w:r w:rsidR="00823F92">
        <w:t xml:space="preserve"> </w:t>
      </w:r>
      <w:r w:rsidRPr="006C4490">
        <w:t>th</w:t>
      </w:r>
      <w:r w:rsidR="00823F92" w:rsidRPr="006C4490">
        <w:t>e</w:t>
      </w:r>
      <w:r w:rsidR="00823F92">
        <w:t xml:space="preserve"> </w:t>
      </w:r>
      <w:r>
        <w:t>issue</w:t>
      </w:r>
      <w:r w:rsidR="00823F92">
        <w:t xml:space="preserve">s </w:t>
      </w:r>
      <w:r>
        <w:t>associate</w:t>
      </w:r>
      <w:r w:rsidR="00823F92">
        <w:t xml:space="preserve">d </w:t>
      </w:r>
      <w:r>
        <w:t>wit</w:t>
      </w:r>
      <w:r w:rsidR="00823F92">
        <w:t xml:space="preserve">h </w:t>
      </w:r>
      <w:r w:rsidRPr="006C4490">
        <w:t>lac</w:t>
      </w:r>
      <w:r w:rsidR="00823F92" w:rsidRPr="006C4490">
        <w:t>k</w:t>
      </w:r>
      <w:r w:rsidR="00823F92">
        <w:t xml:space="preserve"> </w:t>
      </w:r>
      <w:r w:rsidRPr="006C4490">
        <w:t>o</w:t>
      </w:r>
      <w:r w:rsidR="00823F92" w:rsidRPr="006C4490">
        <w:t>f</w:t>
      </w:r>
      <w:r w:rsidR="00823F92">
        <w:t xml:space="preserve"> </w:t>
      </w:r>
      <w:r w:rsidRPr="006C4490">
        <w:t>caree</w:t>
      </w:r>
      <w:r w:rsidR="00823F92" w:rsidRPr="006C4490">
        <w:t>r</w:t>
      </w:r>
      <w:r w:rsidR="00823F92">
        <w:t xml:space="preserve"> </w:t>
      </w:r>
      <w:r w:rsidRPr="006C4490">
        <w:t>progressio</w:t>
      </w:r>
      <w:r w:rsidR="00823F92" w:rsidRPr="006C4490">
        <w:t>n</w:t>
      </w:r>
      <w:r w:rsidR="00823F92">
        <w:t xml:space="preserve"> </w:t>
      </w:r>
      <w:r>
        <w:t>an</w:t>
      </w:r>
      <w:r w:rsidR="00823F92">
        <w:t xml:space="preserve">d </w:t>
      </w:r>
      <w:r w:rsidRPr="006C4490">
        <w:t>acces</w:t>
      </w:r>
      <w:r w:rsidR="00823F92" w:rsidRPr="006C4490">
        <w:t>s</w:t>
      </w:r>
      <w:r w:rsidR="00823F92">
        <w:t xml:space="preserve"> </w:t>
      </w:r>
      <w:r w:rsidRPr="006C4490">
        <w:t>t</w:t>
      </w:r>
      <w:r w:rsidR="00823F92" w:rsidRPr="006C4490">
        <w:t>o</w:t>
      </w:r>
      <w:r w:rsidR="00823F92">
        <w:t xml:space="preserve"> </w:t>
      </w:r>
      <w:r w:rsidRPr="006C4490">
        <w:t>supervision</w:t>
      </w:r>
      <w:r w:rsidR="00823F92">
        <w:t xml:space="preserve">, </w:t>
      </w:r>
      <w:r>
        <w:t>impactin</w:t>
      </w:r>
      <w:r w:rsidR="00823F92">
        <w:t xml:space="preserve">g </w:t>
      </w:r>
      <w:r>
        <w:t>negativel</w:t>
      </w:r>
      <w:r w:rsidR="00823F92">
        <w:t xml:space="preserve">y </w:t>
      </w:r>
      <w:r>
        <w:t>o</w:t>
      </w:r>
      <w:r w:rsidR="00823F92">
        <w:t xml:space="preserve">n </w:t>
      </w:r>
      <w:r>
        <w:t>jo</w:t>
      </w:r>
      <w:r w:rsidR="00823F92">
        <w:t xml:space="preserve">b </w:t>
      </w:r>
      <w:r w:rsidRPr="006C4490">
        <w:t>satisfaction</w:t>
      </w:r>
      <w:r w:rsidR="00823F92" w:rsidRPr="006C4490">
        <w:t>.</w:t>
      </w:r>
      <w:r w:rsidR="00823F92">
        <w:t xml:space="preserve"> </w:t>
      </w:r>
    </w:p>
    <w:p w14:paraId="41C3033C" w14:textId="11F3B229" w:rsidR="00453F15" w:rsidRPr="00464EC1" w:rsidRDefault="00453F15" w:rsidP="008D57D0">
      <w:pPr>
        <w:pStyle w:val="Heading3nonumber"/>
        <w:keepNext/>
      </w:pPr>
      <w:r w:rsidRPr="00464EC1">
        <w:t>Employmen</w:t>
      </w:r>
      <w:r w:rsidR="00823F92" w:rsidRPr="00464EC1">
        <w:t>t</w:t>
      </w:r>
      <w:r w:rsidR="00823F92">
        <w:t xml:space="preserve"> </w:t>
      </w:r>
      <w:r w:rsidRPr="00464EC1">
        <w:t>security</w:t>
      </w:r>
    </w:p>
    <w:p w14:paraId="715FF946" w14:textId="1D212CA8" w:rsidR="00453F15" w:rsidRDefault="00453F15" w:rsidP="0075153F">
      <w:pPr>
        <w:pStyle w:val="BodyText"/>
      </w:pPr>
      <w:r>
        <w:t>Ther</w:t>
      </w:r>
      <w:r w:rsidR="00823F92">
        <w:t xml:space="preserve">e </w:t>
      </w:r>
      <w:r>
        <w:t>i</w:t>
      </w:r>
      <w:r w:rsidR="00823F92">
        <w:t xml:space="preserve">s a </w:t>
      </w:r>
      <w:r w:rsidRPr="006C4490">
        <w:t>hig</w:t>
      </w:r>
      <w:r w:rsidR="00823F92" w:rsidRPr="006C4490">
        <w:t>h</w:t>
      </w:r>
      <w:r w:rsidR="00823F92">
        <w:t xml:space="preserve"> </w:t>
      </w:r>
      <w:r w:rsidRPr="006C4490">
        <w:t>proportio</w:t>
      </w:r>
      <w:r w:rsidR="00823F92" w:rsidRPr="006C4490">
        <w:t>n</w:t>
      </w:r>
      <w:r w:rsidR="00823F92">
        <w:t xml:space="preserve"> </w:t>
      </w:r>
      <w:r w:rsidRPr="006C4490">
        <w:t>o</w:t>
      </w:r>
      <w:r w:rsidR="00823F92" w:rsidRPr="006C4490">
        <w:t>f</w:t>
      </w:r>
      <w:r w:rsidR="00823F92">
        <w:t xml:space="preserve"> </w:t>
      </w:r>
      <w:r w:rsidRPr="006C4490">
        <w:t>short-ter</w:t>
      </w:r>
      <w:r w:rsidR="00823F92" w:rsidRPr="006C4490">
        <w:t>m</w:t>
      </w:r>
      <w:r w:rsidR="00823F92">
        <w:t xml:space="preserve"> </w:t>
      </w:r>
      <w:r w:rsidRPr="006C4490">
        <w:t>contrac</w:t>
      </w:r>
      <w:r w:rsidR="00823F92" w:rsidRPr="006C4490">
        <w:t>t</w:t>
      </w:r>
      <w:r w:rsidR="00823F92">
        <w:t xml:space="preserve"> </w:t>
      </w:r>
      <w:r w:rsidRPr="006C4490">
        <w:t>position</w:t>
      </w:r>
      <w:r w:rsidR="00823F92" w:rsidRPr="006C4490">
        <w:t>s</w:t>
      </w:r>
      <w:r w:rsidR="00823F92">
        <w:t xml:space="preserve"> </w:t>
      </w:r>
      <w:r>
        <w:t>i</w:t>
      </w:r>
      <w:r w:rsidR="00823F92">
        <w:t xml:space="preserve">n </w:t>
      </w:r>
      <w:r>
        <w:t>th</w:t>
      </w:r>
      <w:r w:rsidR="00823F92">
        <w:t xml:space="preserve">e </w:t>
      </w:r>
      <w:r>
        <w:t>menta</w:t>
      </w:r>
      <w:r w:rsidR="00823F92">
        <w:t xml:space="preserve">l </w:t>
      </w:r>
      <w:r>
        <w:t>healt</w:t>
      </w:r>
      <w:r w:rsidR="00823F92">
        <w:t xml:space="preserve">h </w:t>
      </w:r>
      <w:r>
        <w:t>sector</w:t>
      </w:r>
      <w:r w:rsidR="00823F92">
        <w:t xml:space="preserve">, </w:t>
      </w:r>
      <w:r w:rsidRPr="006C4490">
        <w:t>particularl</w:t>
      </w:r>
      <w:r w:rsidR="00823F92" w:rsidRPr="006C4490">
        <w:t>y</w:t>
      </w:r>
      <w:r w:rsidR="00823F92">
        <w:t xml:space="preserve"> </w:t>
      </w:r>
      <w:r w:rsidRPr="006C4490">
        <w:t>i</w:t>
      </w:r>
      <w:r w:rsidR="00823F92" w:rsidRPr="006C4490">
        <w:t>n</w:t>
      </w:r>
      <w:r w:rsidR="00823F92">
        <w:t xml:space="preserve"> </w:t>
      </w:r>
      <w:r w:rsidRPr="006C4490">
        <w:t>communit</w:t>
      </w:r>
      <w:r w:rsidR="00823F92" w:rsidRPr="006C4490">
        <w:t>y</w:t>
      </w:r>
      <w:r w:rsidR="00823F92">
        <w:t xml:space="preserve"> </w:t>
      </w:r>
      <w:r w:rsidRPr="006C4490">
        <w:t>base</w:t>
      </w:r>
      <w:r w:rsidR="00823F92" w:rsidRPr="006C4490">
        <w:t>d</w:t>
      </w:r>
      <w:r w:rsidR="00823F92">
        <w:t xml:space="preserve"> </w:t>
      </w:r>
      <w:r w:rsidRPr="006C4490">
        <w:t>menta</w:t>
      </w:r>
      <w:r w:rsidR="00823F92" w:rsidRPr="006C4490">
        <w:t>l</w:t>
      </w:r>
      <w:r w:rsidR="00823F92">
        <w:t xml:space="preserve"> </w:t>
      </w:r>
      <w:r w:rsidRPr="006C4490">
        <w:t>healt</w:t>
      </w:r>
      <w:r w:rsidR="00823F92" w:rsidRPr="006C4490">
        <w:t>h</w:t>
      </w:r>
      <w:r w:rsidR="00823F92">
        <w:t xml:space="preserve"> </w:t>
      </w:r>
      <w:r w:rsidRPr="006C4490">
        <w:t>services</w:t>
      </w:r>
      <w:r w:rsidR="00823F92" w:rsidRPr="006C4490">
        <w:t>.</w:t>
      </w:r>
      <w:r w:rsidR="00823F92">
        <w:t xml:space="preserve"> </w:t>
      </w:r>
    </w:p>
    <w:p w14:paraId="09EAE287" w14:textId="084DEC8D" w:rsidR="00453F15" w:rsidRDefault="00453F15" w:rsidP="0075153F">
      <w:pPr>
        <w:pStyle w:val="BodyText"/>
      </w:pPr>
      <w:r>
        <w:t>Thi</w:t>
      </w:r>
      <w:r w:rsidR="00823F92">
        <w:t xml:space="preserve">s </w:t>
      </w:r>
      <w:r>
        <w:t>produce</w:t>
      </w:r>
      <w:r w:rsidR="00823F92">
        <w:t xml:space="preserve">s </w:t>
      </w:r>
      <w:r>
        <w:t>employmen</w:t>
      </w:r>
      <w:r w:rsidR="00823F92">
        <w:t xml:space="preserve">t </w:t>
      </w:r>
      <w:r>
        <w:t>instabilit</w:t>
      </w:r>
      <w:r w:rsidR="00823F92">
        <w:t xml:space="preserve">y </w:t>
      </w:r>
      <w:r>
        <w:t>fo</w:t>
      </w:r>
      <w:r w:rsidR="00823F92">
        <w:t xml:space="preserve">r </w:t>
      </w:r>
      <w:r>
        <w:t>worker</w:t>
      </w:r>
      <w:r w:rsidR="00823F92">
        <w:t xml:space="preserve">s </w:t>
      </w:r>
      <w:r>
        <w:t>tha</w:t>
      </w:r>
      <w:r w:rsidR="00823F92">
        <w:t xml:space="preserve">t </w:t>
      </w:r>
      <w:r>
        <w:t>encourage</w:t>
      </w:r>
      <w:r w:rsidR="00823F92">
        <w:t xml:space="preserve">s </w:t>
      </w:r>
      <w:r>
        <w:t>the</w:t>
      </w:r>
      <w:r w:rsidR="00823F92">
        <w:t xml:space="preserve">m </w:t>
      </w:r>
      <w:r>
        <w:t>t</w:t>
      </w:r>
      <w:r w:rsidR="00823F92">
        <w:t xml:space="preserve">o </w:t>
      </w:r>
      <w:r>
        <w:t>conside</w:t>
      </w:r>
      <w:r w:rsidR="00823F92">
        <w:t xml:space="preserve">r </w:t>
      </w:r>
      <w:r>
        <w:t>seekin</w:t>
      </w:r>
      <w:r w:rsidR="00823F92">
        <w:t xml:space="preserve">g </w:t>
      </w:r>
      <w:r>
        <w:t>alternativ</w:t>
      </w:r>
      <w:r w:rsidR="00823F92">
        <w:t xml:space="preserve">e </w:t>
      </w:r>
      <w:r>
        <w:t>employmen</w:t>
      </w:r>
      <w:r w:rsidR="00823F92">
        <w:t xml:space="preserve">t </w:t>
      </w:r>
      <w:r>
        <w:t>i</w:t>
      </w:r>
      <w:r w:rsidR="00823F92">
        <w:t xml:space="preserve">n </w:t>
      </w:r>
      <w:r>
        <w:t>othe</w:t>
      </w:r>
      <w:r w:rsidR="00823F92">
        <w:t xml:space="preserve">r </w:t>
      </w:r>
      <w:r>
        <w:t>area</w:t>
      </w:r>
      <w:r w:rsidR="00823F92">
        <w:t xml:space="preserve">s </w:t>
      </w:r>
      <w:r>
        <w:t>o</w:t>
      </w:r>
      <w:r w:rsidR="00823F92">
        <w:t xml:space="preserve">f </w:t>
      </w:r>
      <w:r>
        <w:t>th</w:t>
      </w:r>
      <w:r w:rsidR="00823F92">
        <w:t xml:space="preserve">e </w:t>
      </w:r>
      <w:r>
        <w:t>secto</w:t>
      </w:r>
      <w:r w:rsidR="00823F92">
        <w:t xml:space="preserve">r </w:t>
      </w:r>
      <w:r>
        <w:t>o</w:t>
      </w:r>
      <w:r w:rsidR="00823F92">
        <w:t xml:space="preserve">r </w:t>
      </w:r>
      <w:r>
        <w:t>outsid</w:t>
      </w:r>
      <w:r w:rsidR="00823F92">
        <w:t xml:space="preserve">e </w:t>
      </w:r>
      <w:r>
        <w:t>it</w:t>
      </w:r>
      <w:r w:rsidR="00823F92">
        <w:t xml:space="preserve">. </w:t>
      </w:r>
      <w:r>
        <w:t>I</w:t>
      </w:r>
      <w:r w:rsidR="00823F92">
        <w:t xml:space="preserve">n </w:t>
      </w:r>
      <w:r>
        <w:t>turn</w:t>
      </w:r>
      <w:r w:rsidR="00823F92">
        <w:t xml:space="preserve">, </w:t>
      </w:r>
      <w:r>
        <w:t>thi</w:t>
      </w:r>
      <w:r w:rsidR="00823F92">
        <w:t xml:space="preserve">s </w:t>
      </w:r>
      <w:r>
        <w:t>generate</w:t>
      </w:r>
      <w:r w:rsidR="00823F92">
        <w:t xml:space="preserve">s </w:t>
      </w:r>
      <w:r>
        <w:t>issue</w:t>
      </w:r>
      <w:r w:rsidR="00823F92">
        <w:t xml:space="preserve">s </w:t>
      </w:r>
      <w:r>
        <w:t>fo</w:t>
      </w:r>
      <w:r w:rsidR="00823F92">
        <w:t xml:space="preserve">r </w:t>
      </w:r>
      <w:r>
        <w:t>consumer</w:t>
      </w:r>
      <w:r w:rsidR="00823F92">
        <w:t xml:space="preserve">s </w:t>
      </w:r>
      <w:r>
        <w:t>an</w:t>
      </w:r>
      <w:r w:rsidR="00823F92">
        <w:t xml:space="preserve">d </w:t>
      </w:r>
      <w:r>
        <w:t>carer</w:t>
      </w:r>
      <w:r w:rsidR="00823F92">
        <w:t xml:space="preserve">s </w:t>
      </w:r>
      <w:r>
        <w:t>arisin</w:t>
      </w:r>
      <w:r w:rsidR="00823F92">
        <w:t xml:space="preserve">g </w:t>
      </w:r>
      <w:r>
        <w:t>fro</w:t>
      </w:r>
      <w:r w:rsidR="00823F92">
        <w:t xml:space="preserve">m a </w:t>
      </w:r>
      <w:r>
        <w:t>lac</w:t>
      </w:r>
      <w:r w:rsidR="00823F92">
        <w:t xml:space="preserve">k </w:t>
      </w:r>
      <w:r>
        <w:t>o</w:t>
      </w:r>
      <w:r w:rsidR="00823F92">
        <w:t xml:space="preserve">f </w:t>
      </w:r>
      <w:r>
        <w:t>continuit</w:t>
      </w:r>
      <w:r w:rsidR="00823F92">
        <w:t xml:space="preserve">y </w:t>
      </w:r>
      <w:r>
        <w:t>o</w:t>
      </w:r>
      <w:r w:rsidR="00823F92">
        <w:t xml:space="preserve">f </w:t>
      </w:r>
      <w:r>
        <w:t>care</w:t>
      </w:r>
      <w:r w:rsidR="00823F92">
        <w:t xml:space="preserve">, </w:t>
      </w:r>
      <w:r>
        <w:t>an</w:t>
      </w:r>
      <w:r w:rsidR="00823F92">
        <w:t xml:space="preserve">d </w:t>
      </w:r>
      <w:r>
        <w:t>creatin</w:t>
      </w:r>
      <w:r w:rsidR="00823F92">
        <w:t xml:space="preserve">g </w:t>
      </w:r>
      <w:r>
        <w:t>difficultie</w:t>
      </w:r>
      <w:r w:rsidR="00823F92">
        <w:t xml:space="preserve">s </w:t>
      </w:r>
      <w:r>
        <w:t>fo</w:t>
      </w:r>
      <w:r w:rsidR="00823F92">
        <w:t xml:space="preserve">r </w:t>
      </w:r>
      <w:r>
        <w:t>servic</w:t>
      </w:r>
      <w:r w:rsidR="00823F92">
        <w:t xml:space="preserve">e </w:t>
      </w:r>
      <w:r>
        <w:t>provider</w:t>
      </w:r>
      <w:r w:rsidR="00823F92">
        <w:t xml:space="preserve">s </w:t>
      </w:r>
      <w:r>
        <w:t>i</w:t>
      </w:r>
      <w:r w:rsidR="00823F92">
        <w:t xml:space="preserve">n </w:t>
      </w:r>
      <w:r>
        <w:t>maintainin</w:t>
      </w:r>
      <w:r w:rsidR="00823F92">
        <w:t xml:space="preserve">g </w:t>
      </w:r>
      <w:r>
        <w:t>hig</w:t>
      </w:r>
      <w:r w:rsidR="00823F92">
        <w:t xml:space="preserve">h </w:t>
      </w:r>
      <w:r>
        <w:t>qualit</w:t>
      </w:r>
      <w:r w:rsidR="00823F92">
        <w:t xml:space="preserve">y </w:t>
      </w:r>
      <w:r>
        <w:t>workforces</w:t>
      </w:r>
      <w:r w:rsidR="00823F92">
        <w:t xml:space="preserve">. </w:t>
      </w:r>
    </w:p>
    <w:p w14:paraId="2829B994" w14:textId="098F1D02" w:rsidR="00453F15" w:rsidRPr="000E25B1" w:rsidRDefault="00453F15" w:rsidP="008D57D0">
      <w:pPr>
        <w:pStyle w:val="Heading3nonumber"/>
        <w:keepNext/>
      </w:pPr>
      <w:r>
        <w:t>Workplac</w:t>
      </w:r>
      <w:r w:rsidR="00823F92">
        <w:t xml:space="preserve">e </w:t>
      </w:r>
      <w:r>
        <w:t>culture</w:t>
      </w:r>
    </w:p>
    <w:p w14:paraId="63C12D2B" w14:textId="128F7E10" w:rsidR="00453F15" w:rsidRDefault="00823F92" w:rsidP="0075153F">
      <w:pPr>
        <w:pStyle w:val="BodyText"/>
      </w:pPr>
      <w:r>
        <w:t xml:space="preserve">A </w:t>
      </w:r>
      <w:r w:rsidR="00453F15">
        <w:t>resilien</w:t>
      </w:r>
      <w:r>
        <w:t xml:space="preserve">t </w:t>
      </w:r>
      <w:r w:rsidR="00453F15">
        <w:t>menta</w:t>
      </w:r>
      <w:r>
        <w:t xml:space="preserve">l </w:t>
      </w:r>
      <w:r w:rsidR="00453F15">
        <w:t>healt</w:t>
      </w:r>
      <w:r>
        <w:t xml:space="preserve">h </w:t>
      </w:r>
      <w:r w:rsidR="00453F15">
        <w:t>workforc</w:t>
      </w:r>
      <w:r>
        <w:t xml:space="preserve">e </w:t>
      </w:r>
      <w:r w:rsidR="00453F15">
        <w:t>require</w:t>
      </w:r>
      <w:r>
        <w:t xml:space="preserve">s a </w:t>
      </w:r>
      <w:r w:rsidR="00453F15">
        <w:t>supportin</w:t>
      </w:r>
      <w:r>
        <w:t xml:space="preserve">g </w:t>
      </w:r>
      <w:r w:rsidR="00453F15">
        <w:t>workplac</w:t>
      </w:r>
      <w:r>
        <w:t xml:space="preserve">e </w:t>
      </w:r>
      <w:r w:rsidR="00453F15">
        <w:t>culture</w:t>
      </w:r>
      <w:r>
        <w:t xml:space="preserve">, </w:t>
      </w:r>
      <w:r w:rsidR="00453F15">
        <w:t>fre</w:t>
      </w:r>
      <w:r>
        <w:t xml:space="preserve">e </w:t>
      </w:r>
      <w:r w:rsidR="00453F15">
        <w:t>fro</w:t>
      </w:r>
      <w:r>
        <w:t xml:space="preserve">m </w:t>
      </w:r>
      <w:r w:rsidR="00453F15">
        <w:t>burnout</w:t>
      </w:r>
      <w:r>
        <w:t xml:space="preserve">, </w:t>
      </w:r>
      <w:r w:rsidR="00453F15">
        <w:t>hig</w:t>
      </w:r>
      <w:r>
        <w:t xml:space="preserve">h </w:t>
      </w:r>
      <w:r w:rsidR="00453F15">
        <w:t>stres</w:t>
      </w:r>
      <w:r>
        <w:t xml:space="preserve">s </w:t>
      </w:r>
      <w:r w:rsidR="00453F15">
        <w:t>an</w:t>
      </w:r>
      <w:r>
        <w:t xml:space="preserve">d </w:t>
      </w:r>
      <w:r w:rsidR="00453F15">
        <w:t>fatigue</w:t>
      </w:r>
      <w:r>
        <w:t xml:space="preserve">. </w:t>
      </w:r>
    </w:p>
    <w:p w14:paraId="04EEB2A0" w14:textId="70E790A1" w:rsidR="00453F15" w:rsidRDefault="00453F15" w:rsidP="0075153F">
      <w:pPr>
        <w:pStyle w:val="BodyText"/>
      </w:pPr>
      <w:r w:rsidRPr="00932747">
        <w:t>Workplac</w:t>
      </w:r>
      <w:r w:rsidR="00823F92" w:rsidRPr="00932747">
        <w:t>e</w:t>
      </w:r>
      <w:r w:rsidR="00823F92">
        <w:t xml:space="preserve"> </w:t>
      </w:r>
      <w:r w:rsidRPr="00932747">
        <w:t>cultur</w:t>
      </w:r>
      <w:r w:rsidR="00823F92" w:rsidRPr="00932747">
        <w:t>e</w:t>
      </w:r>
      <w:r w:rsidR="00823F92">
        <w:t xml:space="preserve"> </w:t>
      </w:r>
      <w:r w:rsidRPr="00932747">
        <w:t>i</w:t>
      </w:r>
      <w:r w:rsidR="00823F92" w:rsidRPr="00932747">
        <w:t>n</w:t>
      </w:r>
      <w:r w:rsidR="00823F92">
        <w:t xml:space="preserve"> </w:t>
      </w:r>
      <w:r w:rsidRPr="00932747">
        <w:t>th</w:t>
      </w:r>
      <w:r w:rsidR="00823F92" w:rsidRPr="00932747">
        <w:t>e</w:t>
      </w:r>
      <w:r w:rsidR="00823F92">
        <w:t xml:space="preserve"> </w:t>
      </w:r>
      <w:r w:rsidRPr="00932747">
        <w:t>menta</w:t>
      </w:r>
      <w:r w:rsidR="00823F92" w:rsidRPr="00932747">
        <w:t>l</w:t>
      </w:r>
      <w:r w:rsidR="00823F92">
        <w:t xml:space="preserve"> </w:t>
      </w:r>
      <w:r w:rsidRPr="00932747">
        <w:t>healt</w:t>
      </w:r>
      <w:r w:rsidR="00823F92" w:rsidRPr="00932747">
        <w:t>h</w:t>
      </w:r>
      <w:r w:rsidR="00823F92">
        <w:t xml:space="preserve"> </w:t>
      </w:r>
      <w:r w:rsidRPr="00932747">
        <w:t>secto</w:t>
      </w:r>
      <w:r w:rsidR="00823F92" w:rsidRPr="00932747">
        <w:t>r</w:t>
      </w:r>
      <w:r w:rsidR="00823F92">
        <w:t xml:space="preserve"> </w:t>
      </w:r>
      <w:r w:rsidRPr="00932747">
        <w:t>i</w:t>
      </w:r>
      <w:r w:rsidR="00823F92" w:rsidRPr="00932747">
        <w:t>s</w:t>
      </w:r>
      <w:r w:rsidR="00823F92">
        <w:t xml:space="preserve"> </w:t>
      </w:r>
      <w:r w:rsidRPr="00932747">
        <w:t>consistentl</w:t>
      </w:r>
      <w:r w:rsidR="00823F92" w:rsidRPr="00932747">
        <w:t>y</w:t>
      </w:r>
      <w:r w:rsidR="00823F92">
        <w:t xml:space="preserve"> </w:t>
      </w:r>
      <w:r w:rsidRPr="00932747">
        <w:t>identifie</w:t>
      </w:r>
      <w:r w:rsidR="00823F92" w:rsidRPr="00932747">
        <w:t>d</w:t>
      </w:r>
      <w:r w:rsidR="00823F92">
        <w:t xml:space="preserve"> </w:t>
      </w:r>
      <w:r w:rsidRPr="00932747">
        <w:t>a</w:t>
      </w:r>
      <w:r w:rsidR="00823F92" w:rsidRPr="00932747">
        <w:t>s</w:t>
      </w:r>
      <w:r w:rsidR="00823F92">
        <w:t xml:space="preserve"> </w:t>
      </w:r>
      <w:r w:rsidR="00823F92" w:rsidRPr="00932747">
        <w:t>a</w:t>
      </w:r>
      <w:r w:rsidR="00823F92">
        <w:t xml:space="preserve"> </w:t>
      </w:r>
      <w:r w:rsidRPr="00932747">
        <w:t>challenge</w:t>
      </w:r>
      <w:r w:rsidR="00823F92" w:rsidRPr="00932747">
        <w:t>.</w:t>
      </w:r>
      <w:r w:rsidR="00823F92">
        <w:t xml:space="preserve"> </w:t>
      </w:r>
      <w:r w:rsidR="00734D3D" w:rsidRPr="001C3D74">
        <w:t>Fatigu</w:t>
      </w:r>
      <w:r w:rsidR="00823F92" w:rsidRPr="001C3D74">
        <w:t>e</w:t>
      </w:r>
      <w:r w:rsidR="00823F92">
        <w:t xml:space="preserve"> </w:t>
      </w:r>
      <w:r w:rsidR="00734D3D" w:rsidRPr="001C3D74">
        <w:t>an</w:t>
      </w:r>
      <w:r w:rsidR="00823F92" w:rsidRPr="001C3D74">
        <w:t>d</w:t>
      </w:r>
      <w:r w:rsidR="00823F92">
        <w:t xml:space="preserve"> </w:t>
      </w:r>
      <w:r w:rsidR="00734D3D" w:rsidRPr="001C3D74">
        <w:t>burnou</w:t>
      </w:r>
      <w:r w:rsidR="00823F92" w:rsidRPr="001C3D74">
        <w:t>t</w:t>
      </w:r>
      <w:r w:rsidR="00823F92">
        <w:t xml:space="preserve"> </w:t>
      </w:r>
      <w:r w:rsidR="00734D3D" w:rsidRPr="001C3D74">
        <w:t>wer</w:t>
      </w:r>
      <w:r w:rsidR="00823F92" w:rsidRPr="001C3D74">
        <w:t>e</w:t>
      </w:r>
      <w:r w:rsidR="00823F92">
        <w:t xml:space="preserve"> </w:t>
      </w:r>
      <w:r w:rsidR="00734D3D" w:rsidRPr="001C3D74">
        <w:t>reporte</w:t>
      </w:r>
      <w:r w:rsidR="00823F92" w:rsidRPr="001C3D74">
        <w:t>d</w:t>
      </w:r>
      <w:r w:rsidR="00823F92">
        <w:t xml:space="preserve"> </w:t>
      </w:r>
      <w:r w:rsidR="00734D3D" w:rsidRPr="001C3D74">
        <w:t>t</w:t>
      </w:r>
      <w:r w:rsidR="00823F92" w:rsidRPr="001C3D74">
        <w:t>o</w:t>
      </w:r>
      <w:r w:rsidR="00823F92">
        <w:t xml:space="preserve"> </w:t>
      </w:r>
      <w:r w:rsidR="00734D3D" w:rsidRPr="001C3D74">
        <w:t>b</w:t>
      </w:r>
      <w:r w:rsidR="00823F92" w:rsidRPr="001C3D74">
        <w:t>e</w:t>
      </w:r>
      <w:r w:rsidR="00823F92">
        <w:t xml:space="preserve"> </w:t>
      </w:r>
      <w:r w:rsidR="00734D3D" w:rsidRPr="001C3D74">
        <w:t>hig</w:t>
      </w:r>
      <w:r w:rsidR="00823F92" w:rsidRPr="001C3D74">
        <w:t>h</w:t>
      </w:r>
      <w:r w:rsidR="00823F92">
        <w:t xml:space="preserve"> </w:t>
      </w:r>
      <w:r w:rsidR="00734D3D" w:rsidRPr="001C3D74">
        <w:t>throug</w:t>
      </w:r>
      <w:r w:rsidR="00823F92" w:rsidRPr="001C3D74">
        <w:t>h</w:t>
      </w:r>
      <w:r w:rsidR="00823F92">
        <w:t xml:space="preserve"> </w:t>
      </w:r>
      <w:r w:rsidR="00734D3D" w:rsidRPr="001C3D74">
        <w:t>stakeholde</w:t>
      </w:r>
      <w:r w:rsidR="00823F92" w:rsidRPr="001C3D74">
        <w:t>r</w:t>
      </w:r>
      <w:r w:rsidR="00823F92">
        <w:t xml:space="preserve"> </w:t>
      </w:r>
      <w:r w:rsidR="00734D3D" w:rsidRPr="001C3D74">
        <w:t>consultation</w:t>
      </w:r>
      <w:r w:rsidR="00823F92" w:rsidRPr="001C3D74">
        <w:t>s</w:t>
      </w:r>
      <w:r w:rsidR="00823F92">
        <w:t xml:space="preserve"> </w:t>
      </w:r>
      <w:r w:rsidR="00734D3D" w:rsidRPr="001C3D74">
        <w:t>a</w:t>
      </w:r>
      <w:r w:rsidR="00823F92" w:rsidRPr="001C3D74">
        <w:t>s</w:t>
      </w:r>
      <w:r w:rsidR="00823F92">
        <w:t xml:space="preserve"> </w:t>
      </w:r>
      <w:r w:rsidR="00823F92" w:rsidRPr="001C3D74">
        <w:t>a</w:t>
      </w:r>
      <w:r w:rsidR="00823F92">
        <w:t xml:space="preserve"> </w:t>
      </w:r>
      <w:r w:rsidR="00734D3D" w:rsidRPr="001C3D74">
        <w:t>produc</w:t>
      </w:r>
      <w:r w:rsidR="00823F92" w:rsidRPr="001C3D74">
        <w:t>t</w:t>
      </w:r>
      <w:r w:rsidR="00823F92">
        <w:t xml:space="preserve"> </w:t>
      </w:r>
      <w:r w:rsidR="00734D3D" w:rsidRPr="001C3D74">
        <w:t>o</w:t>
      </w:r>
      <w:r w:rsidR="00823F92" w:rsidRPr="001C3D74">
        <w:t>f</w:t>
      </w:r>
      <w:r w:rsidR="00823F92">
        <w:t xml:space="preserve"> </w:t>
      </w:r>
      <w:r w:rsidR="00734D3D" w:rsidRPr="001C3D74">
        <w:t>workloa</w:t>
      </w:r>
      <w:r w:rsidR="00823F92" w:rsidRPr="001C3D74">
        <w:t>d</w:t>
      </w:r>
      <w:r w:rsidR="00823F92">
        <w:t xml:space="preserve"> </w:t>
      </w:r>
      <w:r w:rsidR="00734D3D" w:rsidRPr="001C3D74">
        <w:t>levels</w:t>
      </w:r>
      <w:r w:rsidR="00823F92" w:rsidRPr="001C3D74">
        <w:t>.</w:t>
      </w:r>
      <w:r w:rsidR="00823F92">
        <w:t xml:space="preserve"> </w:t>
      </w:r>
      <w:r w:rsidRPr="00932747">
        <w:t>Thes</w:t>
      </w:r>
      <w:r w:rsidR="00823F92" w:rsidRPr="00932747">
        <w:t>e</w:t>
      </w:r>
      <w:r w:rsidR="00823F92">
        <w:t xml:space="preserve"> </w:t>
      </w:r>
      <w:r w:rsidRPr="00932747">
        <w:t>factor</w:t>
      </w:r>
      <w:r w:rsidR="00823F92" w:rsidRPr="00932747">
        <w:t>s</w:t>
      </w:r>
      <w:r w:rsidR="00823F92">
        <w:t xml:space="preserve"> </w:t>
      </w:r>
      <w:r w:rsidRPr="00932747">
        <w:t>contribut</w:t>
      </w:r>
      <w:r w:rsidR="00823F92" w:rsidRPr="00932747">
        <w:t>e</w:t>
      </w:r>
      <w:r w:rsidR="00823F92">
        <w:t xml:space="preserve"> </w:t>
      </w:r>
      <w:r w:rsidRPr="00932747">
        <w:t>t</w:t>
      </w:r>
      <w:r w:rsidR="00823F92" w:rsidRPr="00932747">
        <w:t>o</w:t>
      </w:r>
      <w:r w:rsidR="00823F92">
        <w:t xml:space="preserve"> </w:t>
      </w:r>
      <w:r w:rsidRPr="00932747">
        <w:t>attritio</w:t>
      </w:r>
      <w:r w:rsidR="00823F92" w:rsidRPr="00932747">
        <w:t>n</w:t>
      </w:r>
      <w:r w:rsidR="00823F92">
        <w:t xml:space="preserve"> </w:t>
      </w:r>
      <w:r w:rsidRPr="00932747">
        <w:t>acros</w:t>
      </w:r>
      <w:r w:rsidR="00823F92" w:rsidRPr="00932747">
        <w:t>s</w:t>
      </w:r>
      <w:r w:rsidR="00823F92">
        <w:t xml:space="preserve"> </w:t>
      </w:r>
      <w:r w:rsidRPr="00932747">
        <w:t>th</w:t>
      </w:r>
      <w:r w:rsidR="00823F92" w:rsidRPr="00932747">
        <w:t>e</w:t>
      </w:r>
      <w:r w:rsidR="00823F92">
        <w:t xml:space="preserve"> </w:t>
      </w:r>
      <w:r w:rsidRPr="00932747">
        <w:t>boar</w:t>
      </w:r>
      <w:r w:rsidR="00823F92" w:rsidRPr="00932747">
        <w:t>d</w:t>
      </w:r>
      <w:r w:rsidR="00823F92">
        <w:t xml:space="preserve"> </w:t>
      </w:r>
      <w:r w:rsidRPr="00932747">
        <w:t>an</w:t>
      </w:r>
      <w:r w:rsidR="00823F92" w:rsidRPr="00932747">
        <w:t>d</w:t>
      </w:r>
      <w:r w:rsidR="00823F92">
        <w:t xml:space="preserve"> </w:t>
      </w:r>
      <w:r w:rsidRPr="00932747">
        <w:t>impac</w:t>
      </w:r>
      <w:r w:rsidR="00823F92" w:rsidRPr="00932747">
        <w:t>t</w:t>
      </w:r>
      <w:r w:rsidR="00823F92">
        <w:t xml:space="preserve"> </w:t>
      </w:r>
      <w:r w:rsidRPr="00932747">
        <w:t>eve</w:t>
      </w:r>
      <w:r w:rsidR="00823F92" w:rsidRPr="00932747">
        <w:t>n</w:t>
      </w:r>
      <w:r w:rsidR="00823F92">
        <w:t xml:space="preserve"> </w:t>
      </w:r>
      <w:r w:rsidRPr="00932747">
        <w:t>mor</w:t>
      </w:r>
      <w:r w:rsidR="00823F92" w:rsidRPr="00932747">
        <w:t>e</w:t>
      </w:r>
      <w:r w:rsidR="00823F92">
        <w:t xml:space="preserve"> </w:t>
      </w:r>
      <w:r w:rsidRPr="00932747">
        <w:t>strongl</w:t>
      </w:r>
      <w:r w:rsidR="00823F92" w:rsidRPr="00932747">
        <w:t>y</w:t>
      </w:r>
      <w:r w:rsidR="00823F92">
        <w:t xml:space="preserve"> </w:t>
      </w:r>
      <w:r w:rsidRPr="00932747">
        <w:t>o</w:t>
      </w:r>
      <w:r w:rsidR="00823F92" w:rsidRPr="00932747">
        <w:t>n</w:t>
      </w:r>
      <w:r w:rsidR="00823F92">
        <w:t xml:space="preserve"> </w:t>
      </w:r>
      <w:r w:rsidRPr="00932747">
        <w:t>regiona</w:t>
      </w:r>
      <w:r w:rsidR="00823F92" w:rsidRPr="00932747">
        <w:t>l</w:t>
      </w:r>
      <w:r w:rsidR="00823F92">
        <w:t xml:space="preserve"> </w:t>
      </w:r>
      <w:r w:rsidRPr="00932747">
        <w:t>an</w:t>
      </w:r>
      <w:r w:rsidR="00823F92" w:rsidRPr="00932747">
        <w:t>d</w:t>
      </w:r>
      <w:r w:rsidR="00823F92">
        <w:t xml:space="preserve"> </w:t>
      </w:r>
      <w:r w:rsidRPr="00932747">
        <w:t>remot</w:t>
      </w:r>
      <w:r w:rsidR="00823F92" w:rsidRPr="00932747">
        <w:t>e</w:t>
      </w:r>
      <w:r w:rsidR="00823F92">
        <w:t xml:space="preserve"> </w:t>
      </w:r>
      <w:r w:rsidRPr="00932747">
        <w:t>workforce</w:t>
      </w:r>
      <w:r w:rsidR="00823F92" w:rsidRPr="00932747">
        <w:t>s</w:t>
      </w:r>
      <w:r w:rsidR="00823F92">
        <w:t xml:space="preserve"> </w:t>
      </w:r>
      <w:r w:rsidRPr="00932747">
        <w:t>wher</w:t>
      </w:r>
      <w:r w:rsidR="00823F92" w:rsidRPr="00932747">
        <w:t>e</w:t>
      </w:r>
      <w:r w:rsidR="00823F92">
        <w:t xml:space="preserve"> </w:t>
      </w:r>
      <w:r w:rsidRPr="00932747">
        <w:t>man</w:t>
      </w:r>
      <w:r w:rsidR="00823F92" w:rsidRPr="00932747">
        <w:t>y</w:t>
      </w:r>
      <w:r w:rsidR="00823F92">
        <w:t xml:space="preserve"> </w:t>
      </w:r>
      <w:r w:rsidRPr="00932747">
        <w:t>o</w:t>
      </w:r>
      <w:r w:rsidR="00823F92" w:rsidRPr="00932747">
        <w:t>f</w:t>
      </w:r>
      <w:r w:rsidR="00823F92">
        <w:t xml:space="preserve"> </w:t>
      </w:r>
      <w:r w:rsidRPr="00932747">
        <w:t>th</w:t>
      </w:r>
      <w:r w:rsidR="00823F92" w:rsidRPr="00932747">
        <w:t>e</w:t>
      </w:r>
      <w:r w:rsidR="00823F92">
        <w:t xml:space="preserve"> </w:t>
      </w:r>
      <w:r w:rsidRPr="00932747">
        <w:t>issue</w:t>
      </w:r>
      <w:r w:rsidR="00823F92" w:rsidRPr="00932747">
        <w:t>s</w:t>
      </w:r>
      <w:r w:rsidR="00823F92">
        <w:t xml:space="preserve"> </w:t>
      </w:r>
      <w:r w:rsidRPr="00932747">
        <w:t>discusse</w:t>
      </w:r>
      <w:r w:rsidR="00823F92" w:rsidRPr="00932747">
        <w:t>d</w:t>
      </w:r>
      <w:r w:rsidR="00823F92">
        <w:t xml:space="preserve"> </w:t>
      </w:r>
      <w:r w:rsidRPr="00932747">
        <w:t>previousl</w:t>
      </w:r>
      <w:r w:rsidR="00823F92" w:rsidRPr="00932747">
        <w:t>y</w:t>
      </w:r>
      <w:r w:rsidR="00823F92">
        <w:t xml:space="preserve"> </w:t>
      </w:r>
      <w:r w:rsidRPr="00932747">
        <w:t>ar</w:t>
      </w:r>
      <w:r w:rsidR="00823F92" w:rsidRPr="00932747">
        <w:t>e</w:t>
      </w:r>
      <w:r w:rsidR="00823F92">
        <w:t xml:space="preserve"> </w:t>
      </w:r>
      <w:r w:rsidRPr="00932747">
        <w:t>exacerbated</w:t>
      </w:r>
      <w:r w:rsidR="00823F92" w:rsidRPr="00932747">
        <w:t>.</w:t>
      </w:r>
      <w:r w:rsidR="00823F92">
        <w:t xml:space="preserve"> </w:t>
      </w:r>
    </w:p>
    <w:p w14:paraId="50A4F8DB" w14:textId="77777777" w:rsidR="00453F15" w:rsidRPr="000E25B1" w:rsidRDefault="00453F15" w:rsidP="008D57D0">
      <w:pPr>
        <w:pStyle w:val="Heading3nonumber"/>
        <w:keepNext/>
      </w:pPr>
      <w:r w:rsidRPr="000E25B1">
        <w:t>Safety</w:t>
      </w:r>
    </w:p>
    <w:p w14:paraId="63EBD83A" w14:textId="478F6286" w:rsidR="00453F15" w:rsidRDefault="00453F15" w:rsidP="0075153F">
      <w:pPr>
        <w:pStyle w:val="BodyText"/>
      </w:pPr>
      <w:r>
        <w:t>Workplac</w:t>
      </w:r>
      <w:r w:rsidR="00823F92">
        <w:t xml:space="preserve">e </w:t>
      </w:r>
      <w:r>
        <w:t>violenc</w:t>
      </w:r>
      <w:r w:rsidR="00823F92">
        <w:t xml:space="preserve">e </w:t>
      </w:r>
      <w:r>
        <w:t>an</w:t>
      </w:r>
      <w:r w:rsidR="00823F92">
        <w:t xml:space="preserve">d </w:t>
      </w:r>
      <w:r>
        <w:t>har</w:t>
      </w:r>
      <w:r w:rsidR="00823F92">
        <w:t xml:space="preserve">m </w:t>
      </w:r>
      <w:r>
        <w:t>i</w:t>
      </w:r>
      <w:r w:rsidR="00823F92">
        <w:t xml:space="preserve">s </w:t>
      </w:r>
      <w:r>
        <w:t>significan</w:t>
      </w:r>
      <w:r w:rsidR="00823F92">
        <w:t xml:space="preserve">t </w:t>
      </w:r>
      <w:r>
        <w:t>i</w:t>
      </w:r>
      <w:r w:rsidR="00823F92">
        <w:t xml:space="preserve">n </w:t>
      </w:r>
      <w:r>
        <w:t>menta</w:t>
      </w:r>
      <w:r w:rsidR="00823F92">
        <w:t xml:space="preserve">l </w:t>
      </w:r>
      <w:r>
        <w:t>healt</w:t>
      </w:r>
      <w:r w:rsidR="00823F92">
        <w:t xml:space="preserve">h </w:t>
      </w:r>
      <w:r>
        <w:t>settings</w:t>
      </w:r>
      <w:r w:rsidR="00823F92">
        <w:t xml:space="preserve">. </w:t>
      </w:r>
      <w:r w:rsidRPr="00FD4F1B">
        <w:t>Researc</w:t>
      </w:r>
      <w:r w:rsidR="00823F92" w:rsidRPr="00FD4F1B">
        <w:t>h</w:t>
      </w:r>
      <w:r w:rsidR="00823F92">
        <w:t xml:space="preserve"> </w:t>
      </w:r>
      <w:r w:rsidRPr="00FD4F1B">
        <w:t>indicate</w:t>
      </w:r>
      <w:r w:rsidR="00823F92" w:rsidRPr="00FD4F1B">
        <w:t>s</w:t>
      </w:r>
      <w:r w:rsidR="00823F92">
        <w:t xml:space="preserve"> </w:t>
      </w:r>
      <w:r w:rsidRPr="00FD4F1B">
        <w:t>tha</w:t>
      </w:r>
      <w:r w:rsidR="00823F92" w:rsidRPr="00FD4F1B">
        <w:t>t</w:t>
      </w:r>
      <w:r w:rsidR="00823F92">
        <w:t xml:space="preserve"> </w:t>
      </w:r>
      <w:r w:rsidRPr="00FD4F1B">
        <w:t>ther</w:t>
      </w:r>
      <w:r w:rsidR="00823F92" w:rsidRPr="00FD4F1B">
        <w:t>e</w:t>
      </w:r>
      <w:r w:rsidR="00823F92">
        <w:t xml:space="preserve"> </w:t>
      </w:r>
      <w:r w:rsidRPr="00FD4F1B">
        <w:t>i</w:t>
      </w:r>
      <w:r w:rsidR="00823F92" w:rsidRPr="00FD4F1B">
        <w:t>s</w:t>
      </w:r>
      <w:r w:rsidR="00823F92">
        <w:t xml:space="preserve"> </w:t>
      </w:r>
      <w:r w:rsidR="00823F92" w:rsidRPr="00FD4F1B">
        <w:t>a</w:t>
      </w:r>
      <w:r w:rsidR="00823F92">
        <w:t xml:space="preserve"> </w:t>
      </w:r>
      <w:r w:rsidRPr="00FD4F1B">
        <w:t>highe</w:t>
      </w:r>
      <w:r w:rsidR="00823F92" w:rsidRPr="00FD4F1B">
        <w:t>r</w:t>
      </w:r>
      <w:r w:rsidR="00823F92">
        <w:t xml:space="preserve"> </w:t>
      </w:r>
      <w:r w:rsidRPr="00FD4F1B">
        <w:t>frequenc</w:t>
      </w:r>
      <w:r w:rsidR="00823F92" w:rsidRPr="00FD4F1B">
        <w:t>y</w:t>
      </w:r>
      <w:r w:rsidR="00823F92">
        <w:t xml:space="preserve"> </w:t>
      </w:r>
      <w:r w:rsidRPr="00FD4F1B">
        <w:t>o</w:t>
      </w:r>
      <w:r w:rsidR="00823F92" w:rsidRPr="00FD4F1B">
        <w:t>f</w:t>
      </w:r>
      <w:r w:rsidR="00823F92">
        <w:t xml:space="preserve"> </w:t>
      </w:r>
      <w:r w:rsidRPr="00FD4F1B">
        <w:t>exposur</w:t>
      </w:r>
      <w:r w:rsidR="00823F92" w:rsidRPr="00FD4F1B">
        <w:t>e</w:t>
      </w:r>
      <w:r w:rsidR="00823F92">
        <w:t xml:space="preserve"> </w:t>
      </w:r>
      <w:r w:rsidRPr="00FD4F1B">
        <w:t>t</w:t>
      </w:r>
      <w:r w:rsidR="00823F92" w:rsidRPr="00FD4F1B">
        <w:t>o</w:t>
      </w:r>
      <w:r w:rsidR="00823F92">
        <w:t xml:space="preserve"> </w:t>
      </w:r>
      <w:r w:rsidRPr="00FD4F1B">
        <w:t>workplac</w:t>
      </w:r>
      <w:r w:rsidR="00823F92" w:rsidRPr="00FD4F1B">
        <w:t>e</w:t>
      </w:r>
      <w:r w:rsidR="00823F92">
        <w:t xml:space="preserve"> </w:t>
      </w:r>
      <w:r w:rsidRPr="00FD4F1B">
        <w:t>violenc</w:t>
      </w:r>
      <w:r w:rsidR="00823F92" w:rsidRPr="00FD4F1B">
        <w:t>e</w:t>
      </w:r>
      <w:r w:rsidR="00823F92">
        <w:t xml:space="preserve"> </w:t>
      </w:r>
      <w:r w:rsidRPr="00FD4F1B">
        <w:t>i</w:t>
      </w:r>
      <w:r w:rsidR="00823F92" w:rsidRPr="00FD4F1B">
        <w:t>n</w:t>
      </w:r>
      <w:r w:rsidR="00823F92">
        <w:t xml:space="preserve"> </w:t>
      </w:r>
      <w:r w:rsidRPr="00FD4F1B">
        <w:t>healt</w:t>
      </w:r>
      <w:r w:rsidR="00823F92" w:rsidRPr="00FD4F1B">
        <w:t>h</w:t>
      </w:r>
      <w:r w:rsidR="00823F92">
        <w:t xml:space="preserve"> </w:t>
      </w:r>
      <w:r w:rsidRPr="00FD4F1B">
        <w:t>servic</w:t>
      </w:r>
      <w:r w:rsidR="00823F92" w:rsidRPr="00FD4F1B">
        <w:t>e</w:t>
      </w:r>
      <w:r w:rsidR="00823F92">
        <w:t xml:space="preserve"> </w:t>
      </w:r>
      <w:r w:rsidRPr="00FD4F1B">
        <w:t>setting</w:t>
      </w:r>
      <w:r w:rsidR="00823F92" w:rsidRPr="00FD4F1B">
        <w:t>s</w:t>
      </w:r>
      <w:r w:rsidR="00823F92">
        <w:t xml:space="preserve"> </w:t>
      </w:r>
      <w:r w:rsidRPr="00FD4F1B">
        <w:t>tha</w:t>
      </w:r>
      <w:r w:rsidR="00823F92" w:rsidRPr="00FD4F1B">
        <w:t>n</w:t>
      </w:r>
      <w:r w:rsidR="00823F92">
        <w:t xml:space="preserve"> </w:t>
      </w:r>
      <w:r w:rsidRPr="00FD4F1B">
        <w:t>i</w:t>
      </w:r>
      <w:r w:rsidR="00823F92" w:rsidRPr="00FD4F1B">
        <w:t>n</w:t>
      </w:r>
      <w:r w:rsidR="00823F92">
        <w:t xml:space="preserve"> </w:t>
      </w:r>
      <w:r w:rsidRPr="00FD4F1B">
        <w:t>othe</w:t>
      </w:r>
      <w:r w:rsidR="00823F92" w:rsidRPr="00FD4F1B">
        <w:t>r</w:t>
      </w:r>
      <w:r w:rsidR="00823F92">
        <w:t xml:space="preserve"> </w:t>
      </w:r>
      <w:r w:rsidRPr="00FD4F1B">
        <w:t>workplace</w:t>
      </w:r>
      <w:r>
        <w:t>s</w:t>
      </w:r>
      <w:r w:rsidR="00823F92">
        <w:t xml:space="preserve">, </w:t>
      </w:r>
      <w:r>
        <w:t>thoug</w:t>
      </w:r>
      <w:r w:rsidR="00823F92">
        <w:t xml:space="preserve">h </w:t>
      </w:r>
      <w:r>
        <w:t>ther</w:t>
      </w:r>
      <w:r w:rsidR="00823F92">
        <w:t xml:space="preserve">e </w:t>
      </w:r>
      <w:r>
        <w:t>i</w:t>
      </w:r>
      <w:r w:rsidR="00823F92">
        <w:t xml:space="preserve">s </w:t>
      </w:r>
      <w:r>
        <w:t>limite</w:t>
      </w:r>
      <w:r w:rsidR="00823F92">
        <w:t xml:space="preserve">d </w:t>
      </w:r>
      <w:r>
        <w:t>dat</w:t>
      </w:r>
      <w:r w:rsidR="00823F92">
        <w:t xml:space="preserve">a </w:t>
      </w:r>
      <w:r>
        <w:t>availabl</w:t>
      </w:r>
      <w:r w:rsidR="00823F92">
        <w:t xml:space="preserve">e </w:t>
      </w:r>
      <w:r>
        <w:t>specificall</w:t>
      </w:r>
      <w:r w:rsidR="00823F92">
        <w:t xml:space="preserve">y </w:t>
      </w:r>
      <w:r>
        <w:t>o</w:t>
      </w:r>
      <w:r w:rsidR="00823F92">
        <w:t xml:space="preserve">n </w:t>
      </w:r>
      <w:r>
        <w:t>menta</w:t>
      </w:r>
      <w:r w:rsidR="00823F92">
        <w:t xml:space="preserve">l </w:t>
      </w:r>
      <w:r>
        <w:t>healt</w:t>
      </w:r>
      <w:r w:rsidR="00823F92">
        <w:t xml:space="preserve">h </w:t>
      </w:r>
      <w:r>
        <w:t>servic</w:t>
      </w:r>
      <w:r w:rsidR="00823F92">
        <w:t xml:space="preserve">e </w:t>
      </w:r>
      <w:r>
        <w:t>settings</w:t>
      </w:r>
      <w:r w:rsidRPr="00FD4F1B">
        <w:t>.</w:t>
      </w:r>
      <w:r w:rsidRPr="00FD4F1B">
        <w:rPr>
          <w:rStyle w:val="FootnoteReference"/>
        </w:rPr>
        <w:footnoteReference w:id="29"/>
      </w:r>
      <w:r w:rsidRPr="00FD4F1B">
        <w:rPr>
          <w:rStyle w:val="FootnoteReference"/>
        </w:rPr>
        <w:t xml:space="preserve"> </w:t>
      </w:r>
      <w:r>
        <w:t xml:space="preserve"> </w:t>
      </w:r>
    </w:p>
    <w:p w14:paraId="69D30DC6" w14:textId="2D85C526" w:rsidR="00453F15" w:rsidRDefault="00453F15" w:rsidP="0075153F">
      <w:pPr>
        <w:pStyle w:val="BodyText"/>
        <w:rPr>
          <w:lang w:val="en-US"/>
        </w:rPr>
      </w:pPr>
      <w:r w:rsidRPr="006C4490">
        <w:rPr>
          <w:lang w:val="en-US"/>
        </w:rPr>
        <w:t>Th</w:t>
      </w:r>
      <w:r w:rsidR="00823F92" w:rsidRPr="006C4490">
        <w:rPr>
          <w:lang w:val="en-US"/>
        </w:rPr>
        <w:t>e</w:t>
      </w:r>
      <w:r w:rsidR="00823F92">
        <w:rPr>
          <w:lang w:val="en-US"/>
        </w:rPr>
        <w:t xml:space="preserve"> </w:t>
      </w:r>
      <w:r w:rsidRPr="006C4490">
        <w:rPr>
          <w:lang w:val="en-US"/>
        </w:rPr>
        <w:t>stres</w:t>
      </w:r>
      <w:r w:rsidR="00823F92" w:rsidRPr="006C4490">
        <w:rPr>
          <w:lang w:val="en-US"/>
        </w:rPr>
        <w:t>s</w:t>
      </w:r>
      <w:r w:rsidR="00823F92">
        <w:rPr>
          <w:lang w:val="en-US"/>
        </w:rPr>
        <w:t xml:space="preserve"> </w:t>
      </w:r>
      <w:r>
        <w:rPr>
          <w:lang w:val="en-US"/>
        </w:rPr>
        <w:t>o</w:t>
      </w:r>
      <w:r w:rsidR="00823F92">
        <w:rPr>
          <w:lang w:val="en-US"/>
        </w:rPr>
        <w:t xml:space="preserve">f </w:t>
      </w:r>
      <w:r w:rsidRPr="006C4490">
        <w:rPr>
          <w:lang w:val="en-US"/>
        </w:rPr>
        <w:t>workplac</w:t>
      </w:r>
      <w:r w:rsidR="00823F92" w:rsidRPr="006C4490">
        <w:rPr>
          <w:lang w:val="en-US"/>
        </w:rPr>
        <w:t>e</w:t>
      </w:r>
      <w:r w:rsidR="00823F92">
        <w:rPr>
          <w:lang w:val="en-US"/>
        </w:rPr>
        <w:t xml:space="preserve"> </w:t>
      </w:r>
      <w:r w:rsidRPr="006C4490">
        <w:rPr>
          <w:lang w:val="en-US"/>
        </w:rPr>
        <w:t>violence</w:t>
      </w:r>
      <w:r w:rsidR="00823F92" w:rsidRPr="006C4490">
        <w:rPr>
          <w:lang w:val="en-US"/>
        </w:rPr>
        <w:t>,</w:t>
      </w:r>
      <w:r w:rsidR="00823F92">
        <w:rPr>
          <w:lang w:val="en-US"/>
        </w:rPr>
        <w:t xml:space="preserve"> </w:t>
      </w:r>
      <w:r w:rsidRPr="006C4490">
        <w:rPr>
          <w:lang w:val="en-US"/>
        </w:rPr>
        <w:t>physica</w:t>
      </w:r>
      <w:r w:rsidR="00823F92" w:rsidRPr="006C4490">
        <w:rPr>
          <w:lang w:val="en-US"/>
        </w:rPr>
        <w:t>l</w:t>
      </w:r>
      <w:r w:rsidR="00823F92">
        <w:rPr>
          <w:lang w:val="en-US"/>
        </w:rPr>
        <w:t xml:space="preserve"> </w:t>
      </w:r>
      <w:r w:rsidRPr="006C4490">
        <w:rPr>
          <w:lang w:val="en-US"/>
        </w:rPr>
        <w:t>an</w:t>
      </w:r>
      <w:r w:rsidR="00823F92" w:rsidRPr="006C4490">
        <w:rPr>
          <w:lang w:val="en-US"/>
        </w:rPr>
        <w:t>d</w:t>
      </w:r>
      <w:r w:rsidR="00823F92">
        <w:rPr>
          <w:lang w:val="en-US"/>
        </w:rPr>
        <w:t xml:space="preserve"> </w:t>
      </w:r>
      <w:r w:rsidRPr="006C4490">
        <w:rPr>
          <w:lang w:val="en-US"/>
        </w:rPr>
        <w:t>verba</w:t>
      </w:r>
      <w:r w:rsidR="00823F92" w:rsidRPr="006C4490">
        <w:rPr>
          <w:lang w:val="en-US"/>
        </w:rPr>
        <w:t>l</w:t>
      </w:r>
      <w:r w:rsidR="00823F92">
        <w:rPr>
          <w:lang w:val="en-US"/>
        </w:rPr>
        <w:t xml:space="preserve"> </w:t>
      </w:r>
      <w:r w:rsidRPr="006C4490">
        <w:rPr>
          <w:lang w:val="en-US"/>
        </w:rPr>
        <w:t>abus</w:t>
      </w:r>
      <w:r w:rsidR="00823F92" w:rsidRPr="006C4490">
        <w:rPr>
          <w:lang w:val="en-US"/>
        </w:rPr>
        <w:t>e</w:t>
      </w:r>
      <w:r w:rsidR="00823F92">
        <w:rPr>
          <w:lang w:val="en-US"/>
        </w:rPr>
        <w:t xml:space="preserve"> </w:t>
      </w:r>
      <w:r w:rsidRPr="006C4490">
        <w:rPr>
          <w:lang w:val="en-US"/>
        </w:rPr>
        <w:t>an</w:t>
      </w:r>
      <w:r w:rsidR="00823F92" w:rsidRPr="006C4490">
        <w:rPr>
          <w:lang w:val="en-US"/>
        </w:rPr>
        <w:t>d</w:t>
      </w:r>
      <w:r w:rsidR="00823F92">
        <w:rPr>
          <w:lang w:val="en-US"/>
        </w:rPr>
        <w:t xml:space="preserve"> </w:t>
      </w:r>
      <w:r w:rsidRPr="006C4490">
        <w:rPr>
          <w:lang w:val="en-US"/>
        </w:rPr>
        <w:t>aggressio</w:t>
      </w:r>
      <w:r w:rsidR="00823F92" w:rsidRPr="006C4490">
        <w:rPr>
          <w:lang w:val="en-US"/>
        </w:rPr>
        <w:t>n</w:t>
      </w:r>
      <w:r w:rsidR="00823F92">
        <w:rPr>
          <w:lang w:val="en-US"/>
        </w:rPr>
        <w:t xml:space="preserve"> </w:t>
      </w:r>
      <w:r w:rsidRPr="006C4490">
        <w:rPr>
          <w:lang w:val="en-US"/>
        </w:rPr>
        <w:t>fro</w:t>
      </w:r>
      <w:r w:rsidR="00823F92" w:rsidRPr="006C4490">
        <w:rPr>
          <w:lang w:val="en-US"/>
        </w:rPr>
        <w:t>m</w:t>
      </w:r>
      <w:r w:rsidR="00823F92">
        <w:rPr>
          <w:lang w:val="en-US"/>
        </w:rPr>
        <w:t xml:space="preserve"> </w:t>
      </w:r>
      <w:r w:rsidRPr="006C4490">
        <w:rPr>
          <w:lang w:val="en-US"/>
        </w:rPr>
        <w:t>patient</w:t>
      </w:r>
      <w:r w:rsidR="00823F92" w:rsidRPr="006C4490">
        <w:rPr>
          <w:lang w:val="en-US"/>
        </w:rPr>
        <w:t>s</w:t>
      </w:r>
      <w:r w:rsidR="00823F92">
        <w:rPr>
          <w:lang w:val="en-US"/>
        </w:rPr>
        <w:t xml:space="preserve"> </w:t>
      </w:r>
      <w:r>
        <w:rPr>
          <w:lang w:val="en-US"/>
        </w:rPr>
        <w:t>ha</w:t>
      </w:r>
      <w:r w:rsidR="00823F92">
        <w:rPr>
          <w:lang w:val="en-US"/>
        </w:rPr>
        <w:t xml:space="preserve">s a </w:t>
      </w:r>
      <w:r>
        <w:rPr>
          <w:lang w:val="en-US"/>
        </w:rPr>
        <w:t>negativ</w:t>
      </w:r>
      <w:r w:rsidR="00823F92">
        <w:rPr>
          <w:lang w:val="en-US"/>
        </w:rPr>
        <w:t xml:space="preserve">e </w:t>
      </w:r>
      <w:r>
        <w:rPr>
          <w:lang w:val="en-US"/>
        </w:rPr>
        <w:t>impac</w:t>
      </w:r>
      <w:r w:rsidR="00823F92">
        <w:rPr>
          <w:lang w:val="en-US"/>
        </w:rPr>
        <w:t xml:space="preserve">t </w:t>
      </w:r>
      <w:r>
        <w:rPr>
          <w:lang w:val="en-US"/>
        </w:rPr>
        <w:t>o</w:t>
      </w:r>
      <w:r w:rsidR="00823F92">
        <w:rPr>
          <w:lang w:val="en-US"/>
        </w:rPr>
        <w:t xml:space="preserve">n </w:t>
      </w:r>
      <w:r>
        <w:rPr>
          <w:lang w:val="en-US"/>
        </w:rPr>
        <w:t>th</w:t>
      </w:r>
      <w:r w:rsidR="00823F92">
        <w:rPr>
          <w:lang w:val="en-US"/>
        </w:rPr>
        <w:t xml:space="preserve">e </w:t>
      </w:r>
      <w:r>
        <w:rPr>
          <w:lang w:val="en-US"/>
        </w:rPr>
        <w:t>menta</w:t>
      </w:r>
      <w:r w:rsidR="00823F92">
        <w:rPr>
          <w:lang w:val="en-US"/>
        </w:rPr>
        <w:t xml:space="preserve">l </w:t>
      </w:r>
      <w:r>
        <w:rPr>
          <w:lang w:val="en-US"/>
        </w:rPr>
        <w:t>healt</w:t>
      </w:r>
      <w:r w:rsidR="00823F92">
        <w:rPr>
          <w:lang w:val="en-US"/>
        </w:rPr>
        <w:t xml:space="preserve">h </w:t>
      </w:r>
      <w:r>
        <w:rPr>
          <w:lang w:val="en-US"/>
        </w:rPr>
        <w:t>workforce</w:t>
      </w:r>
      <w:r w:rsidR="00823F92">
        <w:rPr>
          <w:lang w:val="en-US"/>
        </w:rPr>
        <w:t xml:space="preserve">, </w:t>
      </w:r>
      <w:r>
        <w:rPr>
          <w:lang w:val="en-US"/>
        </w:rPr>
        <w:t>increasin</w:t>
      </w:r>
      <w:r w:rsidR="00823F92">
        <w:rPr>
          <w:lang w:val="en-US"/>
        </w:rPr>
        <w:t xml:space="preserve">g </w:t>
      </w:r>
      <w:r>
        <w:rPr>
          <w:lang w:val="en-US"/>
        </w:rPr>
        <w:t>stres</w:t>
      </w:r>
      <w:r w:rsidR="00823F92">
        <w:rPr>
          <w:lang w:val="en-US"/>
        </w:rPr>
        <w:t xml:space="preserve">s </w:t>
      </w:r>
      <w:r>
        <w:rPr>
          <w:lang w:val="en-US"/>
        </w:rPr>
        <w:t>an</w:t>
      </w:r>
      <w:r w:rsidR="00823F92">
        <w:rPr>
          <w:lang w:val="en-US"/>
        </w:rPr>
        <w:t xml:space="preserve">d </w:t>
      </w:r>
      <w:r>
        <w:rPr>
          <w:lang w:val="en-US"/>
        </w:rPr>
        <w:t>burnout</w:t>
      </w:r>
      <w:r w:rsidRPr="006C4490">
        <w:rPr>
          <w:rStyle w:val="FootnoteReference"/>
          <w:lang w:val="en-US"/>
        </w:rPr>
        <w:footnoteReference w:id="30"/>
      </w:r>
      <w:r w:rsidR="00823F92">
        <w:rPr>
          <w:lang w:val="en-US"/>
        </w:rPr>
        <w:t xml:space="preserve">, </w:t>
      </w:r>
      <w:r>
        <w:rPr>
          <w:lang w:val="en-US"/>
        </w:rPr>
        <w:t>an</w:t>
      </w:r>
      <w:r w:rsidR="00823F92">
        <w:rPr>
          <w:lang w:val="en-US"/>
        </w:rPr>
        <w:t xml:space="preserve">d </w:t>
      </w:r>
      <w:r>
        <w:rPr>
          <w:lang w:val="en-US"/>
        </w:rPr>
        <w:t>diminishin</w:t>
      </w:r>
      <w:r w:rsidR="00823F92">
        <w:rPr>
          <w:lang w:val="en-US"/>
        </w:rPr>
        <w:t xml:space="preserve">g </w:t>
      </w:r>
      <w:r>
        <w:rPr>
          <w:lang w:val="en-US"/>
        </w:rPr>
        <w:t>th</w:t>
      </w:r>
      <w:r w:rsidR="00823F92">
        <w:rPr>
          <w:lang w:val="en-US"/>
        </w:rPr>
        <w:t xml:space="preserve">e </w:t>
      </w:r>
      <w:r>
        <w:rPr>
          <w:lang w:val="en-US"/>
        </w:rPr>
        <w:t>attractivenes</w:t>
      </w:r>
      <w:r w:rsidR="00823F92">
        <w:rPr>
          <w:lang w:val="en-US"/>
        </w:rPr>
        <w:t xml:space="preserve">s </w:t>
      </w:r>
      <w:r>
        <w:rPr>
          <w:lang w:val="en-US"/>
        </w:rPr>
        <w:t>o</w:t>
      </w:r>
      <w:r w:rsidR="00823F92">
        <w:rPr>
          <w:lang w:val="en-US"/>
        </w:rPr>
        <w:t xml:space="preserve">f </w:t>
      </w:r>
      <w:r>
        <w:rPr>
          <w:lang w:val="en-US"/>
        </w:rPr>
        <w:t>workin</w:t>
      </w:r>
      <w:r w:rsidR="00823F92">
        <w:rPr>
          <w:lang w:val="en-US"/>
        </w:rPr>
        <w:t xml:space="preserve">g </w:t>
      </w:r>
      <w:r>
        <w:rPr>
          <w:lang w:val="en-US"/>
        </w:rPr>
        <w:t>i</w:t>
      </w:r>
      <w:r w:rsidR="00823F92">
        <w:rPr>
          <w:lang w:val="en-US"/>
        </w:rPr>
        <w:t xml:space="preserve">n </w:t>
      </w:r>
      <w:r>
        <w:rPr>
          <w:lang w:val="en-US"/>
        </w:rPr>
        <w:t>th</w:t>
      </w:r>
      <w:r w:rsidR="00823F92">
        <w:rPr>
          <w:lang w:val="en-US"/>
        </w:rPr>
        <w:t xml:space="preserve">e </w:t>
      </w:r>
      <w:r>
        <w:rPr>
          <w:lang w:val="en-US"/>
        </w:rPr>
        <w:t>sector</w:t>
      </w:r>
      <w:r w:rsidR="00823F92">
        <w:rPr>
          <w:lang w:val="en-US"/>
        </w:rPr>
        <w:t xml:space="preserve">. </w:t>
      </w:r>
    </w:p>
    <w:p w14:paraId="60C44390" w14:textId="5EC3EF24" w:rsidR="00453F15" w:rsidRDefault="00453F15" w:rsidP="0075153F">
      <w:pPr>
        <w:pStyle w:val="BodyText"/>
        <w:rPr>
          <w:lang w:val="en-US"/>
        </w:rPr>
      </w:pPr>
      <w:r w:rsidRPr="00FD4F1B">
        <w:lastRenderedPageBreak/>
        <w:t>Ensurin</w:t>
      </w:r>
      <w:r w:rsidR="00823F92" w:rsidRPr="00FD4F1B">
        <w:t>g</w:t>
      </w:r>
      <w:r w:rsidR="00823F92">
        <w:t xml:space="preserve"> </w:t>
      </w:r>
      <w:r w:rsidRPr="00FD4F1B">
        <w:t>workplac</w:t>
      </w:r>
      <w:r w:rsidR="00823F92" w:rsidRPr="00FD4F1B">
        <w:t>e</w:t>
      </w:r>
      <w:r w:rsidR="00823F92">
        <w:t xml:space="preserve"> </w:t>
      </w:r>
      <w:r w:rsidRPr="00FD4F1B">
        <w:t>healt</w:t>
      </w:r>
      <w:r w:rsidR="00823F92" w:rsidRPr="00FD4F1B">
        <w:t>h</w:t>
      </w:r>
      <w:r w:rsidR="00823F92">
        <w:t xml:space="preserve"> </w:t>
      </w:r>
      <w:r w:rsidRPr="00FD4F1B">
        <w:t>an</w:t>
      </w:r>
      <w:r w:rsidR="00823F92" w:rsidRPr="00FD4F1B">
        <w:t>d</w:t>
      </w:r>
      <w:r w:rsidR="00823F92">
        <w:t xml:space="preserve"> </w:t>
      </w:r>
      <w:r w:rsidRPr="00FD4F1B">
        <w:t>safet</w:t>
      </w:r>
      <w:r w:rsidR="00823F92" w:rsidRPr="00FD4F1B">
        <w:t>y</w:t>
      </w:r>
      <w:r w:rsidR="00823F92">
        <w:t xml:space="preserve"> </w:t>
      </w:r>
      <w:r>
        <w:t>throug</w:t>
      </w:r>
      <w:r w:rsidR="00823F92">
        <w:t xml:space="preserve">h </w:t>
      </w:r>
      <w:r>
        <w:t>appropriat</w:t>
      </w:r>
      <w:r w:rsidR="00823F92">
        <w:t xml:space="preserve">e </w:t>
      </w:r>
      <w:r>
        <w:t>staffin</w:t>
      </w:r>
      <w:r w:rsidR="00823F92">
        <w:t xml:space="preserve">g </w:t>
      </w:r>
      <w:r>
        <w:t>levels</w:t>
      </w:r>
      <w:r w:rsidR="00823F92">
        <w:t xml:space="preserve">, </w:t>
      </w:r>
      <w:r>
        <w:t>supervisor</w:t>
      </w:r>
      <w:r w:rsidR="00823F92">
        <w:t xml:space="preserve">y </w:t>
      </w:r>
      <w:r>
        <w:t>arrangement</w:t>
      </w:r>
      <w:r w:rsidR="00823F92">
        <w:t xml:space="preserve">s </w:t>
      </w:r>
      <w:r>
        <w:t>an</w:t>
      </w:r>
      <w:r w:rsidR="00823F92">
        <w:t xml:space="preserve">d </w:t>
      </w:r>
      <w:r>
        <w:t>suppor</w:t>
      </w:r>
      <w:r w:rsidR="00823F92">
        <w:t xml:space="preserve">t </w:t>
      </w:r>
      <w:r w:rsidRPr="00FD4F1B">
        <w:t>i</w:t>
      </w:r>
      <w:r w:rsidR="00823F92" w:rsidRPr="00FD4F1B">
        <w:t>s</w:t>
      </w:r>
      <w:r w:rsidR="00823F92">
        <w:t xml:space="preserve"> </w:t>
      </w:r>
      <w:r w:rsidRPr="00FD4F1B">
        <w:t>a</w:t>
      </w:r>
      <w:r w:rsidR="00823F92" w:rsidRPr="00FD4F1B">
        <w:t>n</w:t>
      </w:r>
      <w:r w:rsidR="00823F92">
        <w:t xml:space="preserve"> </w:t>
      </w:r>
      <w:r w:rsidRPr="00FD4F1B">
        <w:t>importan</w:t>
      </w:r>
      <w:r w:rsidR="00823F92" w:rsidRPr="00FD4F1B">
        <w:t>t</w:t>
      </w:r>
      <w:r w:rsidR="00823F92">
        <w:t xml:space="preserve"> </w:t>
      </w:r>
      <w:r w:rsidRPr="00FD4F1B">
        <w:t>par</w:t>
      </w:r>
      <w:r w:rsidR="00823F92" w:rsidRPr="00FD4F1B">
        <w:t>t</w:t>
      </w:r>
      <w:r w:rsidR="00823F92">
        <w:t xml:space="preserve"> </w:t>
      </w:r>
      <w:r w:rsidRPr="00FD4F1B">
        <w:t>o</w:t>
      </w:r>
      <w:r w:rsidR="00823F92" w:rsidRPr="00FD4F1B">
        <w:t>f</w:t>
      </w:r>
      <w:r w:rsidR="00823F92">
        <w:t xml:space="preserve"> </w:t>
      </w:r>
      <w:r w:rsidRPr="00FD4F1B">
        <w:t>enhancin</w:t>
      </w:r>
      <w:r w:rsidR="00823F92" w:rsidRPr="00FD4F1B">
        <w:t>g</w:t>
      </w:r>
      <w:r w:rsidR="00823F92">
        <w:t xml:space="preserve"> </w:t>
      </w:r>
      <w:r w:rsidRPr="00FD4F1B">
        <w:t>worke</w:t>
      </w:r>
      <w:r w:rsidR="00823F92" w:rsidRPr="00FD4F1B">
        <w:t>r</w:t>
      </w:r>
      <w:r w:rsidR="00823F92">
        <w:t xml:space="preserve"> </w:t>
      </w:r>
      <w:r w:rsidRPr="00FD4F1B">
        <w:t>wellbeing.</w:t>
      </w:r>
    </w:p>
    <w:p w14:paraId="44763FEE" w14:textId="4CCA2F40" w:rsidR="002A152B" w:rsidRDefault="002A152B" w:rsidP="008D57D0">
      <w:pPr>
        <w:pStyle w:val="Heading3nonumber"/>
        <w:keepNext/>
      </w:pPr>
      <w:r>
        <w:t>Rura</w:t>
      </w:r>
      <w:r w:rsidR="00823F92">
        <w:t xml:space="preserve">l </w:t>
      </w:r>
      <w:r>
        <w:t>an</w:t>
      </w:r>
      <w:r w:rsidR="00823F92">
        <w:t xml:space="preserve">d </w:t>
      </w:r>
      <w:r>
        <w:t>remot</w:t>
      </w:r>
      <w:r w:rsidR="00823F92">
        <w:t xml:space="preserve">e </w:t>
      </w:r>
      <w:r>
        <w:t>contexts</w:t>
      </w:r>
    </w:p>
    <w:p w14:paraId="1F0F3AA2" w14:textId="3DFF029A" w:rsidR="002A152B" w:rsidRDefault="002A152B" w:rsidP="002A152B">
      <w:pPr>
        <w:pStyle w:val="BodyText"/>
      </w:pPr>
      <w:r w:rsidRPr="006C4490">
        <w:t>Recruitmen</w:t>
      </w:r>
      <w:r w:rsidR="00823F92" w:rsidRPr="006C4490">
        <w:t>t</w:t>
      </w:r>
      <w:r w:rsidR="00823F92">
        <w:t xml:space="preserve"> </w:t>
      </w:r>
      <w:r>
        <w:t>int</w:t>
      </w:r>
      <w:r w:rsidR="00823F92">
        <w:t xml:space="preserve">o </w:t>
      </w:r>
      <w:r>
        <w:t>th</w:t>
      </w:r>
      <w:r w:rsidR="00823F92">
        <w:t xml:space="preserve">e </w:t>
      </w:r>
      <w:r>
        <w:t>menta</w:t>
      </w:r>
      <w:r w:rsidR="00823F92">
        <w:t xml:space="preserve">l </w:t>
      </w:r>
      <w:r>
        <w:t>healt</w:t>
      </w:r>
      <w:r w:rsidR="00823F92">
        <w:t xml:space="preserve">h </w:t>
      </w:r>
      <w:r>
        <w:t>secto</w:t>
      </w:r>
      <w:r w:rsidR="00823F92">
        <w:t xml:space="preserve">r </w:t>
      </w:r>
      <w:r w:rsidRPr="006C4490">
        <w:t>withi</w:t>
      </w:r>
      <w:r w:rsidR="00823F92" w:rsidRPr="006C4490">
        <w:t>n</w:t>
      </w:r>
      <w:r w:rsidR="00823F92">
        <w:t xml:space="preserve"> </w:t>
      </w:r>
      <w:r w:rsidRPr="006C4490">
        <w:t>rura</w:t>
      </w:r>
      <w:r w:rsidR="00823F92" w:rsidRPr="006C4490">
        <w:t>l</w:t>
      </w:r>
      <w:r w:rsidR="00823F92">
        <w:t xml:space="preserve"> </w:t>
      </w:r>
      <w:r w:rsidRPr="006C4490">
        <w:t>an</w:t>
      </w:r>
      <w:r w:rsidR="00823F92" w:rsidRPr="006C4490">
        <w:t>d</w:t>
      </w:r>
      <w:r w:rsidR="00823F92">
        <w:t xml:space="preserve"> </w:t>
      </w:r>
      <w:r w:rsidRPr="006C4490">
        <w:t>remot</w:t>
      </w:r>
      <w:r w:rsidR="00823F92" w:rsidRPr="006C4490">
        <w:t>e</w:t>
      </w:r>
      <w:r w:rsidR="00823F92">
        <w:t xml:space="preserve"> </w:t>
      </w:r>
      <w:r w:rsidRPr="006C4490">
        <w:t>location</w:t>
      </w:r>
      <w:r w:rsidR="00823F92" w:rsidRPr="006C4490">
        <w:t>s</w:t>
      </w:r>
      <w:r w:rsidR="00823F92">
        <w:t xml:space="preserve"> </w:t>
      </w:r>
      <w:r w:rsidRPr="006C4490">
        <w:t>pose</w:t>
      </w:r>
      <w:r w:rsidR="00823F92" w:rsidRPr="006C4490">
        <w:t>s</w:t>
      </w:r>
      <w:r w:rsidR="00823F92">
        <w:t xml:space="preserve"> </w:t>
      </w:r>
      <w:r w:rsidRPr="006C4490">
        <w:t>additiona</w:t>
      </w:r>
      <w:r w:rsidR="00823F92" w:rsidRPr="006C4490">
        <w:t>l</w:t>
      </w:r>
      <w:r w:rsidR="00823F92">
        <w:t xml:space="preserve"> </w:t>
      </w:r>
      <w:r w:rsidRPr="006C4490">
        <w:t>challenges</w:t>
      </w:r>
      <w:r w:rsidR="00823F92" w:rsidRPr="006C4490">
        <w:t>.</w:t>
      </w:r>
      <w:r w:rsidR="00823F92">
        <w:t xml:space="preserve"> </w:t>
      </w:r>
      <w:r>
        <w:t>Thoug</w:t>
      </w:r>
      <w:r w:rsidR="00823F92">
        <w:t xml:space="preserve">h </w:t>
      </w:r>
      <w:r>
        <w:t>th</w:t>
      </w:r>
      <w:r w:rsidR="00823F92">
        <w:t xml:space="preserve">e </w:t>
      </w:r>
      <w:r>
        <w:t>idea</w:t>
      </w:r>
      <w:r w:rsidR="00823F92">
        <w:t xml:space="preserve">l </w:t>
      </w:r>
      <w:r>
        <w:t>solutio</w:t>
      </w:r>
      <w:r w:rsidR="00823F92">
        <w:t xml:space="preserve">n </w:t>
      </w:r>
      <w:r>
        <w:t>t</w:t>
      </w:r>
      <w:r w:rsidR="00823F92">
        <w:t xml:space="preserve">o </w:t>
      </w:r>
      <w:r>
        <w:t>developin</w:t>
      </w:r>
      <w:r w:rsidR="00823F92">
        <w:t xml:space="preserve">g </w:t>
      </w:r>
      <w:r>
        <w:t>th</w:t>
      </w:r>
      <w:r w:rsidR="00823F92">
        <w:t xml:space="preserve">e </w:t>
      </w:r>
      <w:r>
        <w:t>loca</w:t>
      </w:r>
      <w:r w:rsidR="00823F92">
        <w:t xml:space="preserve">l </w:t>
      </w:r>
      <w:r>
        <w:t>workforc</w:t>
      </w:r>
      <w:r w:rsidR="00823F92">
        <w:t xml:space="preserve">e </w:t>
      </w:r>
      <w:r>
        <w:t>i</w:t>
      </w:r>
      <w:r w:rsidR="00823F92">
        <w:t xml:space="preserve">s </w:t>
      </w:r>
      <w:r>
        <w:t>t</w:t>
      </w:r>
      <w:r w:rsidR="00823F92">
        <w:t xml:space="preserve">o </w:t>
      </w:r>
      <w:r>
        <w:t>attrac</w:t>
      </w:r>
      <w:r w:rsidR="00823F92">
        <w:t xml:space="preserve">t </w:t>
      </w:r>
      <w:r>
        <w:t>an</w:t>
      </w:r>
      <w:r w:rsidR="00823F92">
        <w:t xml:space="preserve">d </w:t>
      </w:r>
      <w:r>
        <w:t>trai</w:t>
      </w:r>
      <w:r w:rsidR="00823F92">
        <w:t xml:space="preserve">n </w:t>
      </w:r>
      <w:r>
        <w:t>loca</w:t>
      </w:r>
      <w:r w:rsidR="00823F92">
        <w:t xml:space="preserve">l </w:t>
      </w:r>
      <w:r>
        <w:t>people</w:t>
      </w:r>
      <w:r w:rsidR="00823F92">
        <w:t xml:space="preserve">, </w:t>
      </w:r>
      <w:r>
        <w:t>place-base</w:t>
      </w:r>
      <w:r w:rsidR="00823F92">
        <w:t xml:space="preserve">d </w:t>
      </w:r>
      <w:r>
        <w:t>approache</w:t>
      </w:r>
      <w:r w:rsidR="00823F92">
        <w:t xml:space="preserve">s </w:t>
      </w:r>
      <w:r>
        <w:t>ar</w:t>
      </w:r>
      <w:r w:rsidR="00823F92">
        <w:t xml:space="preserve">e </w:t>
      </w:r>
      <w:r>
        <w:t>limite</w:t>
      </w:r>
      <w:r w:rsidR="00823F92">
        <w:t xml:space="preserve">d </w:t>
      </w:r>
      <w:r>
        <w:t>du</w:t>
      </w:r>
      <w:r w:rsidR="00823F92">
        <w:t xml:space="preserve">e </w:t>
      </w:r>
      <w:r>
        <w:t>t</w:t>
      </w:r>
      <w:r w:rsidR="00823F92">
        <w:t xml:space="preserve">o </w:t>
      </w:r>
      <w:r>
        <w:t>th</w:t>
      </w:r>
      <w:r w:rsidR="00823F92">
        <w:t xml:space="preserve">e </w:t>
      </w:r>
      <w:r>
        <w:t>attractivenes</w:t>
      </w:r>
      <w:r w:rsidR="00823F92">
        <w:t xml:space="preserve">s </w:t>
      </w:r>
      <w:r>
        <w:t>o</w:t>
      </w:r>
      <w:r w:rsidR="00823F92">
        <w:t xml:space="preserve">f </w:t>
      </w:r>
      <w:r>
        <w:t>th</w:t>
      </w:r>
      <w:r w:rsidR="00823F92">
        <w:t xml:space="preserve">e </w:t>
      </w:r>
      <w:r>
        <w:t>secto</w:t>
      </w:r>
      <w:r w:rsidR="00823F92">
        <w:t xml:space="preserve">r </w:t>
      </w:r>
      <w:r>
        <w:t>an</w:t>
      </w:r>
      <w:r w:rsidR="00823F92">
        <w:t xml:space="preserve">d </w:t>
      </w:r>
      <w:r>
        <w:t>availabilit</w:t>
      </w:r>
      <w:r w:rsidR="00823F92">
        <w:t xml:space="preserve">y </w:t>
      </w:r>
      <w:r>
        <w:t>o</w:t>
      </w:r>
      <w:r w:rsidR="00823F92">
        <w:t xml:space="preserve">f </w:t>
      </w:r>
      <w:r>
        <w:t>trainin</w:t>
      </w:r>
      <w:r w:rsidR="00823F92">
        <w:t xml:space="preserve">g </w:t>
      </w:r>
      <w:r>
        <w:t>opportunities</w:t>
      </w:r>
      <w:r w:rsidR="00823F92">
        <w:t xml:space="preserve">. </w:t>
      </w:r>
    </w:p>
    <w:p w14:paraId="26490DAE" w14:textId="66FDE35E" w:rsidR="002A152B" w:rsidRPr="00B905B9" w:rsidRDefault="002A152B" w:rsidP="002A152B">
      <w:pPr>
        <w:pStyle w:val="BodyText"/>
      </w:pPr>
      <w:r>
        <w:t>Failin</w:t>
      </w:r>
      <w:r w:rsidR="00823F92">
        <w:t xml:space="preserve">g </w:t>
      </w:r>
      <w:r>
        <w:t>th</w:t>
      </w:r>
      <w:r w:rsidR="00823F92">
        <w:t xml:space="preserve">e </w:t>
      </w:r>
      <w:r>
        <w:t>developmen</w:t>
      </w:r>
      <w:r w:rsidR="00823F92">
        <w:t xml:space="preserve">t </w:t>
      </w:r>
      <w:r>
        <w:t>o</w:t>
      </w:r>
      <w:r w:rsidR="00823F92">
        <w:t xml:space="preserve">f </w:t>
      </w:r>
      <w:r>
        <w:t>locall</w:t>
      </w:r>
      <w:r w:rsidR="00823F92">
        <w:t xml:space="preserve">y </w:t>
      </w:r>
      <w:r>
        <w:t>base</w:t>
      </w:r>
      <w:r w:rsidR="00823F92">
        <w:t xml:space="preserve">d </w:t>
      </w:r>
      <w:r>
        <w:t>workforces</w:t>
      </w:r>
      <w:r w:rsidR="00823F92">
        <w:t xml:space="preserve">, </w:t>
      </w:r>
      <w:r>
        <w:t>th</w:t>
      </w:r>
      <w:r w:rsidR="00823F92">
        <w:t xml:space="preserve">e </w:t>
      </w:r>
      <w:r>
        <w:t>n</w:t>
      </w:r>
      <w:r w:rsidRPr="00B905B9">
        <w:t>ex</w:t>
      </w:r>
      <w:r w:rsidR="00823F92" w:rsidRPr="00B905B9">
        <w:t>t</w:t>
      </w:r>
      <w:r w:rsidR="00823F92">
        <w:t xml:space="preserve"> </w:t>
      </w:r>
      <w:r w:rsidRPr="00B905B9">
        <w:t>bes</w:t>
      </w:r>
      <w:r w:rsidR="00823F92" w:rsidRPr="00B905B9">
        <w:t>t</w:t>
      </w:r>
      <w:r w:rsidR="00823F92">
        <w:t xml:space="preserve"> </w:t>
      </w:r>
      <w:r w:rsidRPr="00B905B9">
        <w:t>optio</w:t>
      </w:r>
      <w:r w:rsidR="00823F92" w:rsidRPr="00B905B9">
        <w:t>n</w:t>
      </w:r>
      <w:r w:rsidR="00823F92">
        <w:t xml:space="preserve"> </w:t>
      </w:r>
      <w:r w:rsidRPr="00B905B9">
        <w:t>i</w:t>
      </w:r>
      <w:r w:rsidR="00823F92" w:rsidRPr="00B905B9">
        <w:t>s</w:t>
      </w:r>
      <w:r w:rsidR="00823F92">
        <w:t xml:space="preserve"> </w:t>
      </w:r>
      <w:r w:rsidRPr="00B905B9">
        <w:t>t</w:t>
      </w:r>
      <w:r w:rsidR="00823F92" w:rsidRPr="00B905B9">
        <w:t>o</w:t>
      </w:r>
      <w:r w:rsidR="00823F92">
        <w:t xml:space="preserve"> </w:t>
      </w:r>
      <w:r w:rsidRPr="00B905B9">
        <w:t>attrac</w:t>
      </w:r>
      <w:r w:rsidR="00823F92" w:rsidRPr="00B905B9">
        <w:t>t</w:t>
      </w:r>
      <w:r w:rsidR="00823F92">
        <w:t xml:space="preserve"> </w:t>
      </w:r>
      <w:r w:rsidRPr="00B905B9">
        <w:t>permanen</w:t>
      </w:r>
      <w:r w:rsidR="00823F92" w:rsidRPr="00B905B9">
        <w:t>t</w:t>
      </w:r>
      <w:r w:rsidR="00823F92">
        <w:t xml:space="preserve"> </w:t>
      </w:r>
      <w:r w:rsidRPr="00B905B9">
        <w:t>staf</w:t>
      </w:r>
      <w:r w:rsidR="00823F92" w:rsidRPr="00B905B9">
        <w:t>f</w:t>
      </w:r>
      <w:r w:rsidR="00823F92">
        <w:t xml:space="preserve"> </w:t>
      </w:r>
      <w:r w:rsidRPr="00B905B9">
        <w:t>t</w:t>
      </w:r>
      <w:r w:rsidR="00823F92" w:rsidRPr="00B905B9">
        <w:t>o</w:t>
      </w:r>
      <w:r w:rsidR="00823F92">
        <w:t xml:space="preserve"> </w:t>
      </w:r>
      <w:r w:rsidRPr="00B905B9">
        <w:t>rura</w:t>
      </w:r>
      <w:r w:rsidR="00823F92" w:rsidRPr="00B905B9">
        <w:t>l</w:t>
      </w:r>
      <w:r w:rsidR="00823F92">
        <w:t xml:space="preserve"> </w:t>
      </w:r>
      <w:r w:rsidRPr="00B905B9">
        <w:t>an</w:t>
      </w:r>
      <w:r w:rsidR="00823F92" w:rsidRPr="00B905B9">
        <w:t>d</w:t>
      </w:r>
      <w:r w:rsidR="00823F92">
        <w:t xml:space="preserve"> </w:t>
      </w:r>
      <w:r w:rsidRPr="00B905B9">
        <w:t>remot</w:t>
      </w:r>
      <w:r w:rsidR="00823F92" w:rsidRPr="00B905B9">
        <w:t>e</w:t>
      </w:r>
      <w:r w:rsidR="00823F92">
        <w:t xml:space="preserve"> </w:t>
      </w:r>
      <w:r w:rsidRPr="00B905B9">
        <w:t>area</w:t>
      </w:r>
      <w:r w:rsidR="00823F92" w:rsidRPr="00B905B9">
        <w:t>s</w:t>
      </w:r>
      <w:r w:rsidR="00823F92">
        <w:t xml:space="preserve"> </w:t>
      </w:r>
      <w:r>
        <w:t>i</w:t>
      </w:r>
      <w:r w:rsidR="00823F92">
        <w:t xml:space="preserve">n </w:t>
      </w:r>
      <w:r>
        <w:t>orde</w:t>
      </w:r>
      <w:r w:rsidR="00823F92">
        <w:t xml:space="preserve">r </w:t>
      </w:r>
      <w:r>
        <w:t>t</w:t>
      </w:r>
      <w:r w:rsidR="00823F92">
        <w:t xml:space="preserve">o </w:t>
      </w:r>
      <w:r>
        <w:t>provid</w:t>
      </w:r>
      <w:r w:rsidR="00823F92">
        <w:t xml:space="preserve">e </w:t>
      </w:r>
      <w:r>
        <w:t>continuit</w:t>
      </w:r>
      <w:r w:rsidR="00823F92">
        <w:t xml:space="preserve">y </w:t>
      </w:r>
      <w:r>
        <w:t>o</w:t>
      </w:r>
      <w:r w:rsidR="00823F92">
        <w:t xml:space="preserve">f </w:t>
      </w:r>
      <w:r>
        <w:t>car</w:t>
      </w:r>
      <w:r w:rsidR="00823F92">
        <w:t xml:space="preserve">e </w:t>
      </w:r>
      <w:r>
        <w:t>t</w:t>
      </w:r>
      <w:r w:rsidR="00823F92">
        <w:t xml:space="preserve">o </w:t>
      </w:r>
      <w:r>
        <w:t>peopl</w:t>
      </w:r>
      <w:r w:rsidR="00823F92">
        <w:t xml:space="preserve">e </w:t>
      </w:r>
      <w:r>
        <w:t>experiencin</w:t>
      </w:r>
      <w:r w:rsidR="00823F92">
        <w:t xml:space="preserve">g </w:t>
      </w:r>
      <w:r>
        <w:t>menta</w:t>
      </w:r>
      <w:r w:rsidR="00823F92">
        <w:t xml:space="preserve">l </w:t>
      </w:r>
      <w:r>
        <w:t>distres</w:t>
      </w:r>
      <w:r w:rsidR="00823F92">
        <w:t xml:space="preserve">s </w:t>
      </w:r>
      <w:r>
        <w:t>and/o</w:t>
      </w:r>
      <w:r w:rsidR="00823F92">
        <w:t xml:space="preserve">r </w:t>
      </w:r>
      <w:r>
        <w:t>ill-health</w:t>
      </w:r>
      <w:r w:rsidR="00823F92">
        <w:t xml:space="preserve">. </w:t>
      </w:r>
      <w:r>
        <w:t>Commo</w:t>
      </w:r>
      <w:r w:rsidR="00823F92">
        <w:t xml:space="preserve">n </w:t>
      </w:r>
      <w:r>
        <w:t>practic</w:t>
      </w:r>
      <w:r w:rsidR="00823F92">
        <w:t xml:space="preserve">e </w:t>
      </w:r>
      <w:r>
        <w:t>i</w:t>
      </w:r>
      <w:r w:rsidR="00823F92">
        <w:t xml:space="preserve">s </w:t>
      </w:r>
      <w:r>
        <w:t>t</w:t>
      </w:r>
      <w:r w:rsidR="00823F92">
        <w:t xml:space="preserve">o </w:t>
      </w:r>
      <w:r>
        <w:t>incentivis</w:t>
      </w:r>
      <w:r w:rsidR="00823F92">
        <w:t xml:space="preserve">e </w:t>
      </w:r>
      <w:r>
        <w:t>th</w:t>
      </w:r>
      <w:r w:rsidR="00823F92">
        <w:t xml:space="preserve">e </w:t>
      </w:r>
      <w:r w:rsidRPr="00B905B9">
        <w:t>us</w:t>
      </w:r>
      <w:r w:rsidR="00823F92" w:rsidRPr="00B905B9">
        <w:t>e</w:t>
      </w:r>
      <w:r w:rsidR="00823F92">
        <w:t xml:space="preserve"> </w:t>
      </w:r>
      <w:r w:rsidRPr="00B905B9">
        <w:t>o</w:t>
      </w:r>
      <w:r w:rsidR="00823F92" w:rsidRPr="00B905B9">
        <w:t>f</w:t>
      </w:r>
      <w:r w:rsidR="00823F92">
        <w:t xml:space="preserve"> </w:t>
      </w:r>
      <w:r w:rsidRPr="00B905B9">
        <w:t>locums</w:t>
      </w:r>
      <w:r w:rsidR="00823F92" w:rsidRPr="00B905B9">
        <w:t>,</w:t>
      </w:r>
      <w:r w:rsidR="00823F92">
        <w:t xml:space="preserve"> </w:t>
      </w:r>
      <w:r w:rsidRPr="00B905B9">
        <w:t>whic</w:t>
      </w:r>
      <w:r w:rsidR="00823F92" w:rsidRPr="00B905B9">
        <w:t>h</w:t>
      </w:r>
      <w:r w:rsidR="00823F92">
        <w:t xml:space="preserve"> </w:t>
      </w:r>
      <w:r w:rsidRPr="00B905B9">
        <w:t>impact</w:t>
      </w:r>
      <w:r w:rsidR="00823F92">
        <w:t xml:space="preserve">s </w:t>
      </w:r>
      <w:r w:rsidRPr="00B905B9">
        <w:t>negativel</w:t>
      </w:r>
      <w:r w:rsidR="00823F92" w:rsidRPr="00B905B9">
        <w:t>y</w:t>
      </w:r>
      <w:r w:rsidR="00823F92">
        <w:t xml:space="preserve"> </w:t>
      </w:r>
      <w:r w:rsidRPr="00B905B9">
        <w:t>o</w:t>
      </w:r>
      <w:r w:rsidR="00823F92" w:rsidRPr="00B905B9">
        <w:t>n</w:t>
      </w:r>
      <w:r w:rsidR="00823F92">
        <w:t xml:space="preserve"> </w:t>
      </w:r>
      <w:r>
        <w:t>communit</w:t>
      </w:r>
      <w:r w:rsidR="00823F92">
        <w:t xml:space="preserve">y </w:t>
      </w:r>
      <w:r>
        <w:t>an</w:t>
      </w:r>
      <w:r w:rsidR="00823F92">
        <w:t xml:space="preserve">d </w:t>
      </w:r>
      <w:r>
        <w:t>outcomes</w:t>
      </w:r>
      <w:r w:rsidR="00823F92" w:rsidRPr="00B905B9">
        <w:t>.</w:t>
      </w:r>
      <w:r w:rsidR="00823F92">
        <w:t xml:space="preserve"> </w:t>
      </w:r>
      <w:r>
        <w:t>Ther</w:t>
      </w:r>
      <w:r w:rsidR="00823F92">
        <w:t xml:space="preserve">e </w:t>
      </w:r>
      <w:r>
        <w:t>i</w:t>
      </w:r>
      <w:r w:rsidR="00823F92">
        <w:t xml:space="preserve">s a </w:t>
      </w:r>
      <w:r>
        <w:t>n</w:t>
      </w:r>
      <w:r w:rsidRPr="00B905B9">
        <w:t>ee</w:t>
      </w:r>
      <w:r w:rsidR="00823F92" w:rsidRPr="00B905B9">
        <w:t>d</w:t>
      </w:r>
      <w:r w:rsidR="00823F92">
        <w:t xml:space="preserve"> </w:t>
      </w:r>
      <w:r w:rsidRPr="00B905B9">
        <w:t>t</w:t>
      </w:r>
      <w:r w:rsidR="00823F92" w:rsidRPr="00B905B9">
        <w:t>o</w:t>
      </w:r>
      <w:r w:rsidR="00823F92">
        <w:t xml:space="preserve"> </w:t>
      </w:r>
      <w:r w:rsidRPr="00B905B9">
        <w:t>conside</w:t>
      </w:r>
      <w:r w:rsidR="00823F92" w:rsidRPr="00B905B9">
        <w:t>r</w:t>
      </w:r>
      <w:r w:rsidR="00823F92">
        <w:t xml:space="preserve"> </w:t>
      </w:r>
      <w:r w:rsidRPr="00B905B9">
        <w:t>flexibl</w:t>
      </w:r>
      <w:r w:rsidR="00823F92" w:rsidRPr="00B905B9">
        <w:t>e</w:t>
      </w:r>
      <w:r w:rsidR="00823F92">
        <w:t xml:space="preserve"> </w:t>
      </w:r>
      <w:r w:rsidRPr="00B905B9">
        <w:t>servic</w:t>
      </w:r>
      <w:r w:rsidR="00823F92" w:rsidRPr="00B905B9">
        <w:t>e</w:t>
      </w:r>
      <w:r w:rsidR="00823F92">
        <w:t xml:space="preserve"> </w:t>
      </w:r>
      <w:r w:rsidRPr="00B905B9">
        <w:t>model</w:t>
      </w:r>
      <w:r w:rsidR="00823F92" w:rsidRPr="00B905B9">
        <w:t>s</w:t>
      </w:r>
      <w:r w:rsidR="00823F92">
        <w:t xml:space="preserve"> </w:t>
      </w:r>
      <w:r w:rsidRPr="00B905B9">
        <w:t>tha</w:t>
      </w:r>
      <w:r w:rsidR="00823F92" w:rsidRPr="00B905B9">
        <w:t>t</w:t>
      </w:r>
      <w:r w:rsidR="00823F92">
        <w:t xml:space="preserve"> </w:t>
      </w:r>
      <w:r w:rsidRPr="00B905B9">
        <w:t>buil</w:t>
      </w:r>
      <w:r w:rsidR="00823F92" w:rsidRPr="00B905B9">
        <w:t>d</w:t>
      </w:r>
      <w:r w:rsidR="00823F92">
        <w:t xml:space="preserve"> </w:t>
      </w:r>
      <w:r w:rsidRPr="00B905B9">
        <w:t>o</w:t>
      </w:r>
      <w:r w:rsidR="00823F92" w:rsidRPr="00B905B9">
        <w:t>n</w:t>
      </w:r>
      <w:r w:rsidR="00823F92">
        <w:t xml:space="preserve"> </w:t>
      </w:r>
      <w:r w:rsidRPr="00B905B9">
        <w:t>loca</w:t>
      </w:r>
      <w:r w:rsidR="00823F92" w:rsidRPr="00B905B9">
        <w:t>l</w:t>
      </w:r>
      <w:r w:rsidR="00823F92">
        <w:t xml:space="preserve"> </w:t>
      </w:r>
      <w:r w:rsidRPr="00B905B9">
        <w:t>servic</w:t>
      </w:r>
      <w:r w:rsidR="00823F92" w:rsidRPr="00B905B9">
        <w:t>e</w:t>
      </w:r>
      <w:r w:rsidR="00823F92">
        <w:t xml:space="preserve"> </w:t>
      </w:r>
      <w:r w:rsidRPr="00B905B9">
        <w:t>strengths</w:t>
      </w:r>
      <w:r w:rsidR="00823F92" w:rsidRPr="00B905B9">
        <w:t>,</w:t>
      </w:r>
      <w:r w:rsidR="00823F92">
        <w:t xml:space="preserve"> </w:t>
      </w:r>
      <w:r w:rsidRPr="00B905B9">
        <w:t>conside</w:t>
      </w:r>
      <w:r w:rsidR="00823F92" w:rsidRPr="00B905B9">
        <w:t>r</w:t>
      </w:r>
      <w:r w:rsidR="00823F92">
        <w:t xml:space="preserve"> </w:t>
      </w:r>
      <w:r w:rsidRPr="00B905B9">
        <w:t>innovativ</w:t>
      </w:r>
      <w:r w:rsidR="00823F92" w:rsidRPr="00B905B9">
        <w:t>e</w:t>
      </w:r>
      <w:r w:rsidR="00823F92">
        <w:t xml:space="preserve"> </w:t>
      </w:r>
      <w:r w:rsidRPr="00B905B9">
        <w:t>approache</w:t>
      </w:r>
      <w:r w:rsidR="00823F92" w:rsidRPr="00B905B9">
        <w:t>s</w:t>
      </w:r>
      <w:r w:rsidR="00823F92">
        <w:t xml:space="preserve"> </w:t>
      </w:r>
      <w:r w:rsidRPr="00B905B9">
        <w:t>t</w:t>
      </w:r>
      <w:r w:rsidR="00823F92" w:rsidRPr="00B905B9">
        <w:t>o</w:t>
      </w:r>
      <w:r w:rsidR="00823F92">
        <w:t xml:space="preserve"> </w:t>
      </w:r>
      <w:r w:rsidRPr="00B905B9">
        <w:t>supervision</w:t>
      </w:r>
      <w:r w:rsidR="00823F92" w:rsidRPr="00B905B9">
        <w:t>,</w:t>
      </w:r>
      <w:r w:rsidR="00823F92">
        <w:t xml:space="preserve"> </w:t>
      </w:r>
      <w:r>
        <w:t>an</w:t>
      </w:r>
      <w:r w:rsidR="00823F92">
        <w:t xml:space="preserve">d </w:t>
      </w:r>
      <w:r>
        <w:t>foste</w:t>
      </w:r>
      <w:r w:rsidR="00823F92">
        <w:t xml:space="preserve">r </w:t>
      </w:r>
      <w:r w:rsidRPr="00B905B9">
        <w:t>specialis</w:t>
      </w:r>
      <w:r>
        <w:t>e</w:t>
      </w:r>
      <w:r w:rsidR="00823F92">
        <w:t xml:space="preserve">d </w:t>
      </w:r>
      <w:r w:rsidRPr="00B905B9">
        <w:t>generalis</w:t>
      </w:r>
      <w:r w:rsidR="00823F92" w:rsidRPr="00B905B9">
        <w:t>t</w:t>
      </w:r>
      <w:r w:rsidR="00823F92">
        <w:t xml:space="preserve"> </w:t>
      </w:r>
      <w:r w:rsidRPr="00B905B9">
        <w:t>model</w:t>
      </w:r>
      <w:r w:rsidR="00823F92" w:rsidRPr="00B905B9">
        <w:t>s</w:t>
      </w:r>
      <w:r w:rsidR="00823F92">
        <w:t xml:space="preserve"> </w:t>
      </w:r>
      <w:r>
        <w:t>o</w:t>
      </w:r>
      <w:r w:rsidR="00823F92">
        <w:t xml:space="preserve">f </w:t>
      </w:r>
      <w:r>
        <w:t>treatment</w:t>
      </w:r>
      <w:r w:rsidR="00823F92">
        <w:t xml:space="preserve">, </w:t>
      </w:r>
      <w:r>
        <w:t>car</w:t>
      </w:r>
      <w:r w:rsidR="00823F92">
        <w:t xml:space="preserve">e </w:t>
      </w:r>
      <w:r>
        <w:t>an</w:t>
      </w:r>
      <w:r w:rsidR="00823F92">
        <w:t xml:space="preserve">d </w:t>
      </w:r>
      <w:r>
        <w:t>support</w:t>
      </w:r>
      <w:r w:rsidR="00823F92">
        <w:t xml:space="preserve">. </w:t>
      </w:r>
    </w:p>
    <w:p w14:paraId="6B9E531D" w14:textId="76C1DED8" w:rsidR="002A152B" w:rsidRDefault="002A152B" w:rsidP="008D57D0">
      <w:pPr>
        <w:pStyle w:val="Heading3nonumber"/>
        <w:keepNext/>
      </w:pPr>
      <w:r>
        <w:t>Servic</w:t>
      </w:r>
      <w:r w:rsidR="00823F92">
        <w:t xml:space="preserve">e </w:t>
      </w:r>
      <w:r>
        <w:t>settings</w:t>
      </w:r>
    </w:p>
    <w:p w14:paraId="33E77087" w14:textId="6F0B2E1D" w:rsidR="002A152B" w:rsidRDefault="002A152B" w:rsidP="002A152B">
      <w:pPr>
        <w:pStyle w:val="BodyText"/>
      </w:pPr>
      <w:r w:rsidRPr="00FF5EDD">
        <w:t>Publi</w:t>
      </w:r>
      <w:r w:rsidR="00823F92" w:rsidRPr="00FF5EDD">
        <w:t>c</w:t>
      </w:r>
      <w:r w:rsidR="00823F92">
        <w:t xml:space="preserve"> </w:t>
      </w:r>
      <w:r w:rsidRPr="00FF5EDD">
        <w:t>an</w:t>
      </w:r>
      <w:r w:rsidR="00823F92" w:rsidRPr="00FF5EDD">
        <w:t>d</w:t>
      </w:r>
      <w:r w:rsidR="00823F92">
        <w:t xml:space="preserve"> </w:t>
      </w:r>
      <w:r w:rsidRPr="00FF5EDD">
        <w:t>community-base</w:t>
      </w:r>
      <w:r w:rsidR="00823F92" w:rsidRPr="00FF5EDD">
        <w:t>d</w:t>
      </w:r>
      <w:r w:rsidR="00823F92">
        <w:t xml:space="preserve"> </w:t>
      </w:r>
      <w:r w:rsidRPr="00FF5EDD">
        <w:t>setting</w:t>
      </w:r>
      <w:r w:rsidR="00823F92" w:rsidRPr="00FF5EDD">
        <w:t>s</w:t>
      </w:r>
      <w:r w:rsidR="00823F92">
        <w:t xml:space="preserve"> </w:t>
      </w:r>
      <w:r>
        <w:t>hav</w:t>
      </w:r>
      <w:r w:rsidR="00823F92">
        <w:t xml:space="preserve">e </w:t>
      </w:r>
      <w:r>
        <w:t>greate</w:t>
      </w:r>
      <w:r w:rsidR="00823F92">
        <w:t xml:space="preserve">r </w:t>
      </w:r>
      <w:r>
        <w:t>difficult</w:t>
      </w:r>
      <w:r w:rsidR="00823F92">
        <w:t xml:space="preserve">y </w:t>
      </w:r>
      <w:r>
        <w:t>tha</w:t>
      </w:r>
      <w:r w:rsidR="00823F92">
        <w:t xml:space="preserve">n </w:t>
      </w:r>
      <w:r>
        <w:t>privat</w:t>
      </w:r>
      <w:r w:rsidR="00823F92">
        <w:t xml:space="preserve">e </w:t>
      </w:r>
      <w:r>
        <w:t>service</w:t>
      </w:r>
      <w:r w:rsidR="00823F92">
        <w:t xml:space="preserve">s </w:t>
      </w:r>
      <w:r>
        <w:t>experienc</w:t>
      </w:r>
      <w:r w:rsidR="00823F92">
        <w:t xml:space="preserve">e </w:t>
      </w:r>
      <w:r>
        <w:t>attractin</w:t>
      </w:r>
      <w:r w:rsidR="00823F92">
        <w:t xml:space="preserve">g </w:t>
      </w:r>
      <w:r>
        <w:t>an</w:t>
      </w:r>
      <w:r w:rsidR="00823F92">
        <w:t xml:space="preserve">d </w:t>
      </w:r>
      <w:r>
        <w:t>r</w:t>
      </w:r>
      <w:r w:rsidRPr="00FF5EDD">
        <w:t>etain</w:t>
      </w:r>
      <w:r>
        <w:t>in</w:t>
      </w:r>
      <w:r w:rsidR="00823F92">
        <w:t xml:space="preserve">g </w:t>
      </w:r>
      <w:r>
        <w:t>staf</w:t>
      </w:r>
      <w:r w:rsidR="00823F92">
        <w:t xml:space="preserve">f </w:t>
      </w:r>
      <w:r>
        <w:t>i</w:t>
      </w:r>
      <w:r w:rsidR="00823F92">
        <w:t xml:space="preserve">n </w:t>
      </w:r>
      <w:r w:rsidRPr="00FF5EDD">
        <w:t>mos</w:t>
      </w:r>
      <w:r w:rsidR="00823F92" w:rsidRPr="00FF5EDD">
        <w:t>t</w:t>
      </w:r>
      <w:r w:rsidR="00823F92">
        <w:t xml:space="preserve"> </w:t>
      </w:r>
      <w:r w:rsidRPr="00FF5EDD">
        <w:t>role</w:t>
      </w:r>
      <w:r w:rsidR="00823F92" w:rsidRPr="00FF5EDD">
        <w:t>s</w:t>
      </w:r>
      <w:r w:rsidR="00823F92">
        <w:t xml:space="preserve"> </w:t>
      </w:r>
      <w:r w:rsidRPr="00FF5EDD">
        <w:t>du</w:t>
      </w:r>
      <w:r w:rsidR="00823F92" w:rsidRPr="00FF5EDD">
        <w:t>e</w:t>
      </w:r>
      <w:r w:rsidR="00823F92">
        <w:t xml:space="preserve"> </w:t>
      </w:r>
      <w:r w:rsidRPr="00FF5EDD">
        <w:t>t</w:t>
      </w:r>
      <w:r w:rsidR="00823F92" w:rsidRPr="00FF5EDD">
        <w:t>o</w:t>
      </w:r>
      <w:r w:rsidR="00823F92">
        <w:t xml:space="preserve"> a </w:t>
      </w:r>
      <w:r>
        <w:t>numbe</w:t>
      </w:r>
      <w:r w:rsidR="00823F92">
        <w:t xml:space="preserve">r </w:t>
      </w:r>
      <w:r>
        <w:t>o</w:t>
      </w:r>
      <w:r w:rsidR="00823F92">
        <w:t xml:space="preserve">f </w:t>
      </w:r>
      <w:r>
        <w:t>factors</w:t>
      </w:r>
      <w:r w:rsidR="00823F92" w:rsidRPr="00FF5EDD">
        <w:t>.</w:t>
      </w:r>
      <w:r w:rsidR="00823F92">
        <w:t xml:space="preserve"> </w:t>
      </w:r>
      <w:r w:rsidRPr="008C202C">
        <w:t>Publi</w:t>
      </w:r>
      <w:r w:rsidR="00823F92" w:rsidRPr="008C202C">
        <w:t>c</w:t>
      </w:r>
      <w:r w:rsidR="00823F92">
        <w:t xml:space="preserve"> </w:t>
      </w:r>
      <w:r w:rsidRPr="008C202C">
        <w:t>menta</w:t>
      </w:r>
      <w:r w:rsidR="00823F92" w:rsidRPr="008C202C">
        <w:t>l</w:t>
      </w:r>
      <w:r w:rsidR="00823F92">
        <w:t xml:space="preserve"> </w:t>
      </w:r>
      <w:r w:rsidRPr="008C202C">
        <w:t>healt</w:t>
      </w:r>
      <w:r w:rsidR="00823F92" w:rsidRPr="008C202C">
        <w:t>h</w:t>
      </w:r>
      <w:r w:rsidR="00823F92">
        <w:t xml:space="preserve"> </w:t>
      </w:r>
      <w:r w:rsidRPr="008C202C">
        <w:t>an</w:t>
      </w:r>
      <w:r w:rsidR="00823F92" w:rsidRPr="008C202C">
        <w:t>d</w:t>
      </w:r>
      <w:r w:rsidR="00823F92">
        <w:t xml:space="preserve"> </w:t>
      </w:r>
      <w:r w:rsidRPr="008C202C">
        <w:t>community-base</w:t>
      </w:r>
      <w:r w:rsidR="00823F92" w:rsidRPr="008C202C">
        <w:t>d</w:t>
      </w:r>
      <w:r w:rsidR="00823F92">
        <w:t xml:space="preserve"> </w:t>
      </w:r>
      <w:r w:rsidRPr="008C202C">
        <w:t>service</w:t>
      </w:r>
      <w:r w:rsidR="00823F92" w:rsidRPr="008C202C">
        <w:t>s</w:t>
      </w:r>
      <w:r w:rsidR="00823F92">
        <w:t xml:space="preserve"> </w:t>
      </w:r>
      <w:r w:rsidRPr="008C202C">
        <w:t>ar</w:t>
      </w:r>
      <w:r w:rsidR="00823F92" w:rsidRPr="008C202C">
        <w:t>e</w:t>
      </w:r>
      <w:r w:rsidR="00823F92">
        <w:t xml:space="preserve"> </w:t>
      </w:r>
      <w:r w:rsidRPr="008C202C">
        <w:t>mos</w:t>
      </w:r>
      <w:r w:rsidR="00823F92" w:rsidRPr="008C202C">
        <w:t>t</w:t>
      </w:r>
      <w:r w:rsidR="00823F92">
        <w:t xml:space="preserve"> </w:t>
      </w:r>
      <w:r w:rsidRPr="008C202C">
        <w:t>heavil</w:t>
      </w:r>
      <w:r w:rsidR="00823F92" w:rsidRPr="008C202C">
        <w:t>y</w:t>
      </w:r>
      <w:r w:rsidR="00823F92">
        <w:t xml:space="preserve"> </w:t>
      </w:r>
      <w:r w:rsidRPr="008C202C">
        <w:t>affecte</w:t>
      </w:r>
      <w:r w:rsidR="00823F92" w:rsidRPr="008C202C">
        <w:t>d</w:t>
      </w:r>
      <w:r w:rsidR="00823F92">
        <w:t xml:space="preserve"> </w:t>
      </w:r>
      <w:r w:rsidRPr="008C202C">
        <w:t>b</w:t>
      </w:r>
      <w:r w:rsidR="00823F92" w:rsidRPr="008C202C">
        <w:t>y</w:t>
      </w:r>
      <w:r w:rsidR="00823F92">
        <w:t xml:space="preserve"> </w:t>
      </w:r>
      <w:r>
        <w:t>systemi</w:t>
      </w:r>
      <w:r w:rsidR="00823F92">
        <w:t xml:space="preserve">c </w:t>
      </w:r>
      <w:r w:rsidRPr="008C202C">
        <w:t>underfunding</w:t>
      </w:r>
      <w:r w:rsidR="00823F92" w:rsidRPr="008C202C">
        <w:t>,</w:t>
      </w:r>
      <w:r w:rsidR="00823F92">
        <w:t xml:space="preserve"> </w:t>
      </w:r>
      <w:r w:rsidRPr="008C202C">
        <w:t>whic</w:t>
      </w:r>
      <w:r w:rsidR="00823F92" w:rsidRPr="008C202C">
        <w:t>h</w:t>
      </w:r>
      <w:r w:rsidR="00823F92">
        <w:t xml:space="preserve"> </w:t>
      </w:r>
      <w:r w:rsidRPr="008C202C">
        <w:t>create</w:t>
      </w:r>
      <w:r w:rsidR="00823F92" w:rsidRPr="008C202C">
        <w:t>s</w:t>
      </w:r>
      <w:r w:rsidR="00823F92">
        <w:t xml:space="preserve"> </w:t>
      </w:r>
      <w:r w:rsidRPr="008C202C">
        <w:t>environment</w:t>
      </w:r>
      <w:r w:rsidR="00823F92" w:rsidRPr="008C202C">
        <w:t>s</w:t>
      </w:r>
      <w:r w:rsidR="00823F92">
        <w:t xml:space="preserve"> </w:t>
      </w:r>
      <w:r w:rsidRPr="008C202C">
        <w:t>wit</w:t>
      </w:r>
      <w:r w:rsidR="00823F92" w:rsidRPr="008C202C">
        <w:t>h</w:t>
      </w:r>
      <w:r w:rsidR="00823F92">
        <w:t xml:space="preserve"> </w:t>
      </w:r>
      <w:r w:rsidRPr="008C202C">
        <w:t>hig</w:t>
      </w:r>
      <w:r w:rsidR="00823F92" w:rsidRPr="008C202C">
        <w:t>h</w:t>
      </w:r>
      <w:r w:rsidR="00823F92">
        <w:t xml:space="preserve"> </w:t>
      </w:r>
      <w:r w:rsidRPr="008C202C">
        <w:t>workload</w:t>
      </w:r>
      <w:r w:rsidR="00823F92" w:rsidRPr="008C202C">
        <w:t>s</w:t>
      </w:r>
      <w:r w:rsidR="00823F92">
        <w:t xml:space="preserve"> </w:t>
      </w:r>
      <w:r w:rsidRPr="008C202C">
        <w:t>an</w:t>
      </w:r>
      <w:r w:rsidR="00823F92" w:rsidRPr="008C202C">
        <w:t>d</w:t>
      </w:r>
      <w:r w:rsidR="00823F92">
        <w:t xml:space="preserve"> </w:t>
      </w:r>
      <w:r w:rsidRPr="008C202C">
        <w:t>fe</w:t>
      </w:r>
      <w:r w:rsidR="00823F92" w:rsidRPr="008C202C">
        <w:t>w</w:t>
      </w:r>
      <w:r w:rsidR="00823F92">
        <w:t xml:space="preserve"> </w:t>
      </w:r>
      <w:r w:rsidRPr="008C202C">
        <w:t>support</w:t>
      </w:r>
      <w:r w:rsidR="00823F92" w:rsidRPr="008C202C">
        <w:t>s</w:t>
      </w:r>
      <w:r w:rsidR="00823F92">
        <w:t xml:space="preserve"> </w:t>
      </w:r>
      <w:r w:rsidRPr="008C202C">
        <w:t>fo</w:t>
      </w:r>
      <w:r w:rsidR="00823F92" w:rsidRPr="008C202C">
        <w:t>r</w:t>
      </w:r>
      <w:r w:rsidR="00823F92">
        <w:t xml:space="preserve"> </w:t>
      </w:r>
      <w:r w:rsidRPr="008C202C">
        <w:t>th</w:t>
      </w:r>
      <w:r w:rsidR="00823F92" w:rsidRPr="008C202C">
        <w:t>e</w:t>
      </w:r>
      <w:r w:rsidR="00823F92">
        <w:t xml:space="preserve"> </w:t>
      </w:r>
      <w:r w:rsidRPr="008C202C">
        <w:t>workforce</w:t>
      </w:r>
      <w:r w:rsidR="00823F92" w:rsidRPr="008C202C">
        <w:t>.</w:t>
      </w:r>
      <w:r w:rsidR="00823F92">
        <w:t xml:space="preserve"> </w:t>
      </w:r>
    </w:p>
    <w:p w14:paraId="50D4C196" w14:textId="72B817D1" w:rsidR="002A152B" w:rsidRDefault="002A152B" w:rsidP="002A152B">
      <w:pPr>
        <w:pStyle w:val="BodyText"/>
      </w:pPr>
      <w:r w:rsidRPr="00FF5EDD">
        <w:t>Poo</w:t>
      </w:r>
      <w:r w:rsidR="00823F92" w:rsidRPr="00FF5EDD">
        <w:t>r</w:t>
      </w:r>
      <w:r w:rsidR="00823F92">
        <w:t xml:space="preserve"> </w:t>
      </w:r>
      <w:r w:rsidRPr="00FF5EDD">
        <w:t>remuneratio</w:t>
      </w:r>
      <w:r w:rsidR="00823F92" w:rsidRPr="00FF5EDD">
        <w:t>n</w:t>
      </w:r>
      <w:r w:rsidR="00823F92">
        <w:t xml:space="preserve"> </w:t>
      </w:r>
      <w:r w:rsidRPr="00FF5EDD">
        <w:t>an</w:t>
      </w:r>
      <w:r w:rsidR="00823F92" w:rsidRPr="00FF5EDD">
        <w:t>d</w:t>
      </w:r>
      <w:r w:rsidR="00823F92">
        <w:t xml:space="preserve"> </w:t>
      </w:r>
      <w:r w:rsidRPr="00FF5EDD">
        <w:t>lowe</w:t>
      </w:r>
      <w:r w:rsidR="00823F92" w:rsidRPr="00FF5EDD">
        <w:t>r</w:t>
      </w:r>
      <w:r w:rsidR="00823F92">
        <w:t xml:space="preserve"> </w:t>
      </w:r>
      <w:r w:rsidRPr="00FF5EDD">
        <w:t>wage</w:t>
      </w:r>
      <w:r w:rsidR="00823F92" w:rsidRPr="00FF5EDD">
        <w:t>s</w:t>
      </w:r>
      <w:r w:rsidR="00823F92">
        <w:t xml:space="preserve"> </w:t>
      </w:r>
      <w:r w:rsidRPr="00FF5EDD">
        <w:t>o</w:t>
      </w:r>
      <w:r w:rsidR="00823F92" w:rsidRPr="00FF5EDD">
        <w:t>f</w:t>
      </w:r>
      <w:r w:rsidR="00823F92">
        <w:t xml:space="preserve"> </w:t>
      </w:r>
      <w:r w:rsidRPr="00FF5EDD">
        <w:t>worker</w:t>
      </w:r>
      <w:r w:rsidR="00823F92" w:rsidRPr="00FF5EDD">
        <w:t>s</w:t>
      </w:r>
      <w:r w:rsidR="00823F92">
        <w:t xml:space="preserve"> </w:t>
      </w:r>
      <w:r w:rsidRPr="00FF5EDD">
        <w:t>i</w:t>
      </w:r>
      <w:r w:rsidR="00823F92" w:rsidRPr="00FF5EDD">
        <w:t>n</w:t>
      </w:r>
      <w:r w:rsidR="00823F92">
        <w:t xml:space="preserve"> </w:t>
      </w:r>
      <w:r w:rsidRPr="00FF5EDD">
        <w:t>th</w:t>
      </w:r>
      <w:r w:rsidR="00823F92" w:rsidRPr="00FF5EDD">
        <w:t>e</w:t>
      </w:r>
      <w:r w:rsidR="00823F92">
        <w:t xml:space="preserve"> </w:t>
      </w:r>
      <w:r w:rsidRPr="00FF5EDD">
        <w:t>communit</w:t>
      </w:r>
      <w:r w:rsidR="00823F92" w:rsidRPr="00FF5EDD">
        <w:t>y</w:t>
      </w:r>
      <w:r w:rsidR="00823F92">
        <w:t xml:space="preserve"> </w:t>
      </w:r>
      <w:r w:rsidRPr="00FF5EDD">
        <w:t>menta</w:t>
      </w:r>
      <w:r w:rsidR="00823F92" w:rsidRPr="00FF5EDD">
        <w:t>l</w:t>
      </w:r>
      <w:r w:rsidR="00823F92">
        <w:t xml:space="preserve"> </w:t>
      </w:r>
      <w:r w:rsidRPr="00FF5EDD">
        <w:t>healt</w:t>
      </w:r>
      <w:r w:rsidR="00823F92" w:rsidRPr="00FF5EDD">
        <w:t>h</w:t>
      </w:r>
      <w:r w:rsidR="00823F92">
        <w:t xml:space="preserve"> </w:t>
      </w:r>
      <w:r w:rsidRPr="00FF5EDD">
        <w:t>sector</w:t>
      </w:r>
      <w:r w:rsidR="00823F92" w:rsidRPr="00FF5EDD">
        <w:t>,</w:t>
      </w:r>
      <w:r w:rsidR="00823F92">
        <w:t xml:space="preserve"> </w:t>
      </w:r>
      <w:r w:rsidRPr="00FF5EDD">
        <w:t>compare</w:t>
      </w:r>
      <w:r w:rsidR="00823F92" w:rsidRPr="00FF5EDD">
        <w:t>d</w:t>
      </w:r>
      <w:r w:rsidR="00823F92">
        <w:t xml:space="preserve"> </w:t>
      </w:r>
      <w:r w:rsidRPr="00FF5EDD">
        <w:t>t</w:t>
      </w:r>
      <w:r w:rsidR="00823F92" w:rsidRPr="00FF5EDD">
        <w:t>o</w:t>
      </w:r>
      <w:r w:rsidR="00823F92">
        <w:t xml:space="preserve"> </w:t>
      </w:r>
      <w:r w:rsidRPr="00FF5EDD">
        <w:t>thos</w:t>
      </w:r>
      <w:r w:rsidR="00823F92" w:rsidRPr="00FF5EDD">
        <w:t>e</w:t>
      </w:r>
      <w:r w:rsidR="00823F92">
        <w:t xml:space="preserve"> </w:t>
      </w:r>
      <w:r w:rsidRPr="00FF5EDD">
        <w:t>performin</w:t>
      </w:r>
      <w:r w:rsidR="00823F92" w:rsidRPr="00FF5EDD">
        <w:t>g</w:t>
      </w:r>
      <w:r w:rsidR="00823F92">
        <w:t xml:space="preserve"> </w:t>
      </w:r>
      <w:r w:rsidRPr="00FF5EDD">
        <w:t>simila</w:t>
      </w:r>
      <w:r w:rsidR="00823F92" w:rsidRPr="00FF5EDD">
        <w:t>r</w:t>
      </w:r>
      <w:r w:rsidR="00823F92">
        <w:t xml:space="preserve"> </w:t>
      </w:r>
      <w:r w:rsidRPr="00FF5EDD">
        <w:t>role</w:t>
      </w:r>
      <w:r w:rsidR="00823F92" w:rsidRPr="00FF5EDD">
        <w:t>s</w:t>
      </w:r>
      <w:r w:rsidR="00823F92">
        <w:t xml:space="preserve"> </w:t>
      </w:r>
      <w:r w:rsidRPr="00FF5EDD">
        <w:t>i</w:t>
      </w:r>
      <w:r w:rsidR="00823F92" w:rsidRPr="00FF5EDD">
        <w:t>n</w:t>
      </w:r>
      <w:r w:rsidR="00823F92">
        <w:t xml:space="preserve"> </w:t>
      </w:r>
      <w:r w:rsidRPr="00FF5EDD">
        <w:t>th</w:t>
      </w:r>
      <w:r w:rsidR="00823F92" w:rsidRPr="00FF5EDD">
        <w:t>e</w:t>
      </w:r>
      <w:r w:rsidR="00823F92">
        <w:t xml:space="preserve"> </w:t>
      </w:r>
      <w:r w:rsidRPr="00FF5EDD">
        <w:t>publi</w:t>
      </w:r>
      <w:r w:rsidR="00823F92" w:rsidRPr="00FF5EDD">
        <w:t>c</w:t>
      </w:r>
      <w:r w:rsidR="00823F92">
        <w:t xml:space="preserve"> </w:t>
      </w:r>
      <w:r>
        <w:t>o</w:t>
      </w:r>
      <w:r w:rsidR="00823F92">
        <w:t xml:space="preserve">r </w:t>
      </w:r>
      <w:r>
        <w:t>privat</w:t>
      </w:r>
      <w:r w:rsidR="00823F92">
        <w:t xml:space="preserve">e </w:t>
      </w:r>
      <w:r w:rsidRPr="00FF5EDD">
        <w:t>sector</w:t>
      </w:r>
      <w:r w:rsidR="00823F92" w:rsidRPr="00FF5EDD">
        <w:t>,</w:t>
      </w:r>
      <w:r w:rsidR="00823F92">
        <w:t xml:space="preserve"> </w:t>
      </w:r>
      <w:r w:rsidRPr="00FF5EDD">
        <w:t>result</w:t>
      </w:r>
      <w:r w:rsidR="00823F92" w:rsidRPr="00FF5EDD">
        <w:t>s</w:t>
      </w:r>
      <w:r w:rsidR="00823F92">
        <w:t xml:space="preserve"> </w:t>
      </w:r>
      <w:r w:rsidRPr="00FF5EDD">
        <w:t>i</w:t>
      </w:r>
      <w:r w:rsidR="00823F92" w:rsidRPr="00FF5EDD">
        <w:t>n</w:t>
      </w:r>
      <w:r w:rsidR="00823F92">
        <w:t xml:space="preserve"> </w:t>
      </w:r>
      <w:r w:rsidRPr="00FF5EDD">
        <w:t>high</w:t>
      </w:r>
      <w:r>
        <w:t>e</w:t>
      </w:r>
      <w:r w:rsidR="00823F92">
        <w:t xml:space="preserve">r </w:t>
      </w:r>
      <w:r w:rsidRPr="00FF5EDD">
        <w:t>staf</w:t>
      </w:r>
      <w:r w:rsidR="00823F92" w:rsidRPr="00FF5EDD">
        <w:t>f</w:t>
      </w:r>
      <w:r w:rsidR="00823F92">
        <w:t xml:space="preserve"> </w:t>
      </w:r>
      <w:r w:rsidRPr="00FF5EDD">
        <w:t>turnove</w:t>
      </w:r>
      <w:r w:rsidR="00823F92" w:rsidRPr="00FF5EDD">
        <w:t>r</w:t>
      </w:r>
      <w:r w:rsidR="00823F92">
        <w:t xml:space="preserve"> </w:t>
      </w:r>
      <w:r w:rsidRPr="00FF5EDD">
        <w:t>i</w:t>
      </w:r>
      <w:r w:rsidR="00823F92" w:rsidRPr="00FF5EDD">
        <w:t>n</w:t>
      </w:r>
      <w:r w:rsidR="00823F92">
        <w:t xml:space="preserve"> </w:t>
      </w:r>
      <w:r w:rsidRPr="00FF5EDD">
        <w:t>thi</w:t>
      </w:r>
      <w:r w:rsidR="00823F92" w:rsidRPr="00FF5EDD">
        <w:t>s</w:t>
      </w:r>
      <w:r w:rsidR="00823F92">
        <w:t xml:space="preserve"> </w:t>
      </w:r>
      <w:r w:rsidRPr="00FF5EDD">
        <w:t>sector</w:t>
      </w:r>
      <w:r w:rsidR="00823F92">
        <w:t xml:space="preserve">. </w:t>
      </w:r>
      <w:r>
        <w:t>Thi</w:t>
      </w:r>
      <w:r w:rsidR="00823F92">
        <w:t xml:space="preserve">s </w:t>
      </w:r>
      <w:r w:rsidRPr="008C202C">
        <w:t>i</w:t>
      </w:r>
      <w:r w:rsidR="00823F92" w:rsidRPr="008C202C">
        <w:t>s</w:t>
      </w:r>
      <w:r w:rsidR="00823F92">
        <w:t xml:space="preserve"> </w:t>
      </w:r>
      <w:r w:rsidRPr="008C202C">
        <w:t>exacerbate</w:t>
      </w:r>
      <w:r w:rsidR="00823F92" w:rsidRPr="008C202C">
        <w:t>d</w:t>
      </w:r>
      <w:r w:rsidR="00823F92">
        <w:t xml:space="preserve"> </w:t>
      </w:r>
      <w:r w:rsidRPr="008C202C">
        <w:t>i</w:t>
      </w:r>
      <w:r w:rsidR="00823F92" w:rsidRPr="008C202C">
        <w:t>n</w:t>
      </w:r>
      <w:r w:rsidR="00823F92">
        <w:t xml:space="preserve"> </w:t>
      </w:r>
      <w:r w:rsidRPr="008C202C">
        <w:t>rura</w:t>
      </w:r>
      <w:r w:rsidR="00823F92" w:rsidRPr="008C202C">
        <w:t>l</w:t>
      </w:r>
      <w:r w:rsidR="00823F92">
        <w:t xml:space="preserve"> </w:t>
      </w:r>
      <w:r w:rsidRPr="008C202C">
        <w:t>an</w:t>
      </w:r>
      <w:r w:rsidR="00823F92" w:rsidRPr="008C202C">
        <w:t>d</w:t>
      </w:r>
      <w:r w:rsidR="00823F92">
        <w:t xml:space="preserve"> </w:t>
      </w:r>
      <w:r w:rsidRPr="008C202C">
        <w:t>remot</w:t>
      </w:r>
      <w:r w:rsidR="00823F92" w:rsidRPr="008C202C">
        <w:t>e</w:t>
      </w:r>
      <w:r w:rsidR="00823F92">
        <w:t xml:space="preserve"> </w:t>
      </w:r>
      <w:r w:rsidRPr="008C202C">
        <w:t>contexts</w:t>
      </w:r>
      <w:r w:rsidR="00823F92" w:rsidRPr="008C202C">
        <w:t>.</w:t>
      </w:r>
      <w:r w:rsidR="00823F92">
        <w:t xml:space="preserve"> </w:t>
      </w:r>
      <w:r w:rsidRPr="00FF5EDD">
        <w:t>Give</w:t>
      </w:r>
      <w:r w:rsidR="00823F92" w:rsidRPr="00FF5EDD">
        <w:t>n</w:t>
      </w:r>
      <w:r w:rsidR="00823F92">
        <w:t xml:space="preserve"> </w:t>
      </w:r>
      <w:r>
        <w:t>th</w:t>
      </w:r>
      <w:r w:rsidR="00823F92">
        <w:t xml:space="preserve">e </w:t>
      </w:r>
      <w:r>
        <w:t>forecas</w:t>
      </w:r>
      <w:r w:rsidR="00823F92">
        <w:t xml:space="preserve">t </w:t>
      </w:r>
      <w:r w:rsidRPr="00FF5EDD">
        <w:t>increasin</w:t>
      </w:r>
      <w:r w:rsidR="00823F92" w:rsidRPr="00FF5EDD">
        <w:t>g</w:t>
      </w:r>
      <w:r w:rsidR="00823F92">
        <w:t xml:space="preserve"> </w:t>
      </w:r>
      <w:r w:rsidRPr="00FF5EDD">
        <w:t>relianc</w:t>
      </w:r>
      <w:r w:rsidR="00823F92" w:rsidRPr="00FF5EDD">
        <w:t>e</w:t>
      </w:r>
      <w:r w:rsidR="00823F92">
        <w:t xml:space="preserve"> </w:t>
      </w:r>
      <w:r w:rsidRPr="00FF5EDD">
        <w:t>o</w:t>
      </w:r>
      <w:r w:rsidR="00823F92" w:rsidRPr="00FF5EDD">
        <w:t>n</w:t>
      </w:r>
      <w:r w:rsidR="00823F92">
        <w:t xml:space="preserve"> </w:t>
      </w:r>
      <w:r w:rsidRPr="00FF5EDD">
        <w:t>th</w:t>
      </w:r>
      <w:r w:rsidR="00823F92" w:rsidRPr="00FF5EDD">
        <w:t>e</w:t>
      </w:r>
      <w:r w:rsidR="00823F92">
        <w:t xml:space="preserve"> </w:t>
      </w:r>
      <w:r w:rsidRPr="00FF5EDD">
        <w:t>communit</w:t>
      </w:r>
      <w:r w:rsidR="00823F92" w:rsidRPr="00FF5EDD">
        <w:t>y</w:t>
      </w:r>
      <w:r w:rsidR="00823F92">
        <w:t xml:space="preserve"> </w:t>
      </w:r>
      <w:r w:rsidRPr="00FF5EDD">
        <w:t>sector</w:t>
      </w:r>
      <w:r w:rsidR="00823F92" w:rsidRPr="00FF5EDD">
        <w:t>,</w:t>
      </w:r>
      <w:r w:rsidR="00823F92">
        <w:t xml:space="preserve"> </w:t>
      </w:r>
      <w:r>
        <w:t>ther</w:t>
      </w:r>
      <w:r w:rsidR="00823F92">
        <w:t xml:space="preserve">e </w:t>
      </w:r>
      <w:r>
        <w:t>i</w:t>
      </w:r>
      <w:r w:rsidR="00823F92">
        <w:t xml:space="preserve">s a </w:t>
      </w:r>
      <w:r w:rsidRPr="00FF5EDD">
        <w:t>nee</w:t>
      </w:r>
      <w:r w:rsidR="00823F92" w:rsidRPr="00FF5EDD">
        <w:t>d</w:t>
      </w:r>
      <w:r w:rsidR="00823F92">
        <w:t xml:space="preserve"> </w:t>
      </w:r>
      <w:r w:rsidRPr="00FF5EDD">
        <w:t>t</w:t>
      </w:r>
      <w:r w:rsidR="00823F92" w:rsidRPr="00FF5EDD">
        <w:t>o</w:t>
      </w:r>
      <w:r w:rsidR="00823F92">
        <w:t xml:space="preserve"> </w:t>
      </w:r>
      <w:r w:rsidRPr="00FF5EDD">
        <w:t>increas</w:t>
      </w:r>
      <w:r w:rsidR="00823F92" w:rsidRPr="00FF5EDD">
        <w:t>e</w:t>
      </w:r>
      <w:r w:rsidR="00823F92">
        <w:t xml:space="preserve"> </w:t>
      </w:r>
      <w:r w:rsidRPr="00FF5EDD">
        <w:t>i</w:t>
      </w:r>
      <w:r w:rsidR="00823F92" w:rsidRPr="00FF5EDD">
        <w:t>n</w:t>
      </w:r>
      <w:r w:rsidR="00823F92">
        <w:t xml:space="preserve"> </w:t>
      </w:r>
      <w:r w:rsidRPr="00FF5EDD">
        <w:t>siz</w:t>
      </w:r>
      <w:r w:rsidR="00823F92" w:rsidRPr="00FF5EDD">
        <w:t>e</w:t>
      </w:r>
      <w:r w:rsidR="00823F92">
        <w:t xml:space="preserve"> </w:t>
      </w:r>
      <w:r w:rsidRPr="00FF5EDD">
        <w:t>an</w:t>
      </w:r>
      <w:r w:rsidR="00823F92" w:rsidRPr="00FF5EDD">
        <w:t>d</w:t>
      </w:r>
      <w:r w:rsidR="00823F92">
        <w:t xml:space="preserve"> </w:t>
      </w:r>
      <w:r w:rsidRPr="00FF5EDD">
        <w:t>diversif</w:t>
      </w:r>
      <w:r w:rsidR="00823F92" w:rsidRPr="00FF5EDD">
        <w:t>y</w:t>
      </w:r>
      <w:r w:rsidR="00823F92">
        <w:t xml:space="preserve"> </w:t>
      </w:r>
      <w:r w:rsidRPr="00FF5EDD">
        <w:t>i</w:t>
      </w:r>
      <w:r w:rsidR="00823F92" w:rsidRPr="00FF5EDD">
        <w:t>n</w:t>
      </w:r>
      <w:r w:rsidR="00823F92">
        <w:t xml:space="preserve"> </w:t>
      </w:r>
      <w:r w:rsidRPr="00FF5EDD">
        <w:t>skill</w:t>
      </w:r>
      <w:r w:rsidR="00823F92" w:rsidRPr="00FF5EDD">
        <w:t>s</w:t>
      </w:r>
      <w:r w:rsidR="00823F92">
        <w:t xml:space="preserve"> </w:t>
      </w:r>
      <w:r w:rsidRPr="00FF5EDD">
        <w:t>t</w:t>
      </w:r>
      <w:r w:rsidR="00823F92" w:rsidRPr="00FF5EDD">
        <w:t>o</w:t>
      </w:r>
      <w:r w:rsidR="00823F92">
        <w:t xml:space="preserve"> </w:t>
      </w:r>
      <w:r w:rsidRPr="00FF5EDD">
        <w:t>mee</w:t>
      </w:r>
      <w:r w:rsidR="00823F92" w:rsidRPr="00FF5EDD">
        <w:t>t</w:t>
      </w:r>
      <w:r w:rsidR="00823F92">
        <w:t xml:space="preserve"> </w:t>
      </w:r>
      <w:r w:rsidRPr="00FF5EDD">
        <w:t>servic</w:t>
      </w:r>
      <w:r w:rsidR="00823F92" w:rsidRPr="00FF5EDD">
        <w:t>e</w:t>
      </w:r>
      <w:r w:rsidR="00823F92">
        <w:t xml:space="preserve"> </w:t>
      </w:r>
      <w:r w:rsidRPr="00FF5EDD">
        <w:t>demand</w:t>
      </w:r>
      <w:r w:rsidR="00823F92" w:rsidRPr="00FF5EDD">
        <w:t>.</w:t>
      </w:r>
      <w:r w:rsidR="00823F92">
        <w:t xml:space="preserve"> </w:t>
      </w:r>
    </w:p>
    <w:p w14:paraId="0D136978" w14:textId="11F76A52" w:rsidR="002A152B" w:rsidRPr="00FF5EDD" w:rsidRDefault="002A152B" w:rsidP="002A152B">
      <w:pPr>
        <w:pStyle w:val="BodyText"/>
      </w:pPr>
      <w:r>
        <w:t>Th</w:t>
      </w:r>
      <w:r w:rsidR="00823F92">
        <w:t xml:space="preserve">e </w:t>
      </w:r>
      <w:r>
        <w:t>publi</w:t>
      </w:r>
      <w:r w:rsidR="00823F92">
        <w:t xml:space="preserve">c </w:t>
      </w:r>
      <w:r>
        <w:t>/ privat</w:t>
      </w:r>
      <w:r w:rsidR="00823F92">
        <w:t xml:space="preserve">e </w:t>
      </w:r>
      <w:r>
        <w:t>divid</w:t>
      </w:r>
      <w:r w:rsidR="00823F92">
        <w:t xml:space="preserve">e </w:t>
      </w:r>
      <w:r>
        <w:t>als</w:t>
      </w:r>
      <w:r w:rsidR="00823F92">
        <w:t xml:space="preserve">o </w:t>
      </w:r>
      <w:r>
        <w:t>impact</w:t>
      </w:r>
      <w:r w:rsidR="00823F92">
        <w:t xml:space="preserve">s </w:t>
      </w:r>
      <w:r>
        <w:t>heavil</w:t>
      </w:r>
      <w:r w:rsidR="00823F92">
        <w:t xml:space="preserve">y </w:t>
      </w:r>
      <w:r>
        <w:t>o</w:t>
      </w:r>
      <w:r w:rsidR="00823F92">
        <w:t xml:space="preserve">n </w:t>
      </w:r>
      <w:r>
        <w:t>psychiatr</w:t>
      </w:r>
      <w:r w:rsidR="00823F92">
        <w:t xml:space="preserve">y </w:t>
      </w:r>
      <w:r>
        <w:t>an</w:t>
      </w:r>
      <w:r w:rsidR="00823F92">
        <w:t xml:space="preserve">d </w:t>
      </w:r>
      <w:r>
        <w:t>psychology</w:t>
      </w:r>
      <w:r w:rsidR="00823F92">
        <w:t xml:space="preserve">, </w:t>
      </w:r>
      <w:r>
        <w:t>wit</w:t>
      </w:r>
      <w:r w:rsidR="00823F92">
        <w:t xml:space="preserve">h </w:t>
      </w:r>
      <w:r>
        <w:t>grea</w:t>
      </w:r>
      <w:r w:rsidR="00823F92">
        <w:t xml:space="preserve">t </w:t>
      </w:r>
      <w:r>
        <w:t>difficult</w:t>
      </w:r>
      <w:r w:rsidR="00823F92">
        <w:t xml:space="preserve">y </w:t>
      </w:r>
      <w:r>
        <w:t>attractin</w:t>
      </w:r>
      <w:r w:rsidR="00823F92">
        <w:t xml:space="preserve">g </w:t>
      </w:r>
      <w:r>
        <w:t>thes</w:t>
      </w:r>
      <w:r w:rsidR="00823F92">
        <w:t xml:space="preserve">e </w:t>
      </w:r>
      <w:r>
        <w:t>workforce</w:t>
      </w:r>
      <w:r w:rsidR="00823F92">
        <w:t xml:space="preserve">s </w:t>
      </w:r>
      <w:r>
        <w:t>int</w:t>
      </w:r>
      <w:r w:rsidR="00823F92">
        <w:t xml:space="preserve">o </w:t>
      </w:r>
      <w:r>
        <w:t>publi</w:t>
      </w:r>
      <w:r w:rsidR="00823F92">
        <w:t xml:space="preserve">c </w:t>
      </w:r>
      <w:r>
        <w:t>contexts</w:t>
      </w:r>
      <w:r w:rsidR="00823F92">
        <w:t xml:space="preserve">. </w:t>
      </w:r>
      <w:r>
        <w:t>Privat</w:t>
      </w:r>
      <w:r w:rsidR="00823F92">
        <w:t xml:space="preserve">e </w:t>
      </w:r>
      <w:r>
        <w:t>setting</w:t>
      </w:r>
      <w:r w:rsidR="00823F92">
        <w:t xml:space="preserve">s </w:t>
      </w:r>
      <w:r>
        <w:t>ar</w:t>
      </w:r>
      <w:r w:rsidR="00823F92">
        <w:t xml:space="preserve">e </w:t>
      </w:r>
      <w:r>
        <w:t>see</w:t>
      </w:r>
      <w:r w:rsidR="00823F92">
        <w:t xml:space="preserve">n </w:t>
      </w:r>
      <w:r>
        <w:t>t</w:t>
      </w:r>
      <w:r w:rsidR="00823F92">
        <w:t xml:space="preserve">o </w:t>
      </w:r>
      <w:r>
        <w:t>offe</w:t>
      </w:r>
      <w:r w:rsidR="00823F92">
        <w:t xml:space="preserve">r </w:t>
      </w:r>
      <w:r>
        <w:t>highe</w:t>
      </w:r>
      <w:r w:rsidR="00823F92">
        <w:t xml:space="preserve">r </w:t>
      </w:r>
      <w:r>
        <w:t>potentia</w:t>
      </w:r>
      <w:r w:rsidR="00823F92">
        <w:t xml:space="preserve">l </w:t>
      </w:r>
      <w:r>
        <w:t>incomes</w:t>
      </w:r>
      <w:r w:rsidR="00823F92">
        <w:t xml:space="preserve">, </w:t>
      </w:r>
      <w:r>
        <w:t>increase</w:t>
      </w:r>
      <w:r w:rsidR="00823F92">
        <w:t xml:space="preserve">d </w:t>
      </w:r>
      <w:r>
        <w:t>prestige</w:t>
      </w:r>
      <w:r w:rsidR="00823F92">
        <w:t xml:space="preserve">, a </w:t>
      </w:r>
      <w:r>
        <w:t>lowe</w:t>
      </w:r>
      <w:r w:rsidR="00823F92">
        <w:t xml:space="preserve">r </w:t>
      </w:r>
      <w:r>
        <w:t>acuit</w:t>
      </w:r>
      <w:r w:rsidR="00823F92">
        <w:t xml:space="preserve">y </w:t>
      </w:r>
      <w:r>
        <w:t>o</w:t>
      </w:r>
      <w:r w:rsidR="00823F92">
        <w:t xml:space="preserve">f </w:t>
      </w:r>
      <w:r>
        <w:t>patients</w:t>
      </w:r>
      <w:r w:rsidR="00823F92">
        <w:t xml:space="preserve">, </w:t>
      </w:r>
      <w:r>
        <w:t>an</w:t>
      </w:r>
      <w:r w:rsidR="00823F92">
        <w:t xml:space="preserve">d </w:t>
      </w:r>
      <w:r>
        <w:t>improve</w:t>
      </w:r>
      <w:r w:rsidR="00823F92">
        <w:t xml:space="preserve">d </w:t>
      </w:r>
      <w:r>
        <w:t>safet</w:t>
      </w:r>
      <w:r w:rsidR="00823F92">
        <w:t xml:space="preserve">y </w:t>
      </w:r>
      <w:r>
        <w:t>fo</w:t>
      </w:r>
      <w:r w:rsidR="00823F92">
        <w:t xml:space="preserve">r </w:t>
      </w:r>
      <w:r>
        <w:t>practitioners</w:t>
      </w:r>
      <w:r w:rsidR="00823F92">
        <w:t xml:space="preserve">. </w:t>
      </w:r>
      <w:r>
        <w:t>Collectively</w:t>
      </w:r>
      <w:r w:rsidR="00823F92">
        <w:t xml:space="preserve">, </w:t>
      </w:r>
      <w:r>
        <w:t>thes</w:t>
      </w:r>
      <w:r w:rsidR="00823F92">
        <w:t xml:space="preserve">e </w:t>
      </w:r>
      <w:r>
        <w:t>improve</w:t>
      </w:r>
      <w:r w:rsidR="00823F92">
        <w:t xml:space="preserve">d </w:t>
      </w:r>
      <w:r>
        <w:t>condition</w:t>
      </w:r>
      <w:r w:rsidR="00823F92">
        <w:t xml:space="preserve">s </w:t>
      </w:r>
      <w:r>
        <w:t>ar</w:t>
      </w:r>
      <w:r w:rsidR="00823F92">
        <w:t xml:space="preserve">e </w:t>
      </w:r>
      <w:r>
        <w:t>als</w:t>
      </w:r>
      <w:r w:rsidR="00823F92">
        <w:t xml:space="preserve">o </w:t>
      </w:r>
      <w:r>
        <w:t>see</w:t>
      </w:r>
      <w:r w:rsidR="00823F92">
        <w:t xml:space="preserve">n </w:t>
      </w:r>
      <w:r>
        <w:t>t</w:t>
      </w:r>
      <w:r w:rsidR="00823F92">
        <w:t xml:space="preserve">o </w:t>
      </w:r>
      <w:r>
        <w:t>improv</w:t>
      </w:r>
      <w:r w:rsidR="00823F92">
        <w:t xml:space="preserve">e </w:t>
      </w:r>
      <w:r>
        <w:t>th</w:t>
      </w:r>
      <w:r w:rsidR="00823F92">
        <w:t xml:space="preserve">e </w:t>
      </w:r>
      <w:r>
        <w:t>wellbein</w:t>
      </w:r>
      <w:r w:rsidR="00823F92">
        <w:t xml:space="preserve">g </w:t>
      </w:r>
      <w:r>
        <w:t>o</w:t>
      </w:r>
      <w:r w:rsidR="00823F92">
        <w:t xml:space="preserve">f </w:t>
      </w:r>
      <w:r>
        <w:t>th</w:t>
      </w:r>
      <w:r w:rsidR="00823F92">
        <w:t xml:space="preserve">e </w:t>
      </w:r>
      <w:r>
        <w:t>psychiatr</w:t>
      </w:r>
      <w:r w:rsidR="00823F92">
        <w:t xml:space="preserve">y </w:t>
      </w:r>
      <w:r>
        <w:t>an</w:t>
      </w:r>
      <w:r w:rsidR="00823F92">
        <w:t xml:space="preserve">d </w:t>
      </w:r>
      <w:r>
        <w:t>psycholog</w:t>
      </w:r>
      <w:r w:rsidR="00823F92">
        <w:t xml:space="preserve">y </w:t>
      </w:r>
      <w:r>
        <w:t>workforce</w:t>
      </w:r>
      <w:r w:rsidR="00823F92">
        <w:t xml:space="preserve">. </w:t>
      </w:r>
    </w:p>
    <w:p w14:paraId="3C2A0AD6" w14:textId="4E22B61A" w:rsidR="00453F15" w:rsidRDefault="006A66CF" w:rsidP="009C64ED">
      <w:pPr>
        <w:pStyle w:val="Heading2"/>
      </w:pPr>
      <w:bookmarkStart w:id="22" w:name="_Toc99018994"/>
      <w:r>
        <w:lastRenderedPageBreak/>
        <w:t>Deployment</w:t>
      </w:r>
      <w:bookmarkEnd w:id="22"/>
    </w:p>
    <w:p w14:paraId="5FD3FF26" w14:textId="6BA4CD20" w:rsidR="00453F15" w:rsidRPr="000E25B1" w:rsidRDefault="00453F15" w:rsidP="008D57D0">
      <w:pPr>
        <w:pStyle w:val="Heading3nonumber"/>
        <w:keepNext/>
      </w:pPr>
      <w:r w:rsidRPr="000E25B1">
        <w:t>Rura</w:t>
      </w:r>
      <w:r w:rsidR="00823F92" w:rsidRPr="000E25B1">
        <w:t>l</w:t>
      </w:r>
      <w:r w:rsidR="00823F92">
        <w:t xml:space="preserve"> </w:t>
      </w:r>
      <w:r w:rsidRPr="000E25B1">
        <w:t>an</w:t>
      </w:r>
      <w:r w:rsidR="00823F92" w:rsidRPr="000E25B1">
        <w:t>d</w:t>
      </w:r>
      <w:r w:rsidR="00823F92">
        <w:t xml:space="preserve"> </w:t>
      </w:r>
      <w:r w:rsidRPr="000E25B1">
        <w:t>remot</w:t>
      </w:r>
      <w:r w:rsidR="00823F92" w:rsidRPr="000E25B1">
        <w:t>e</w:t>
      </w:r>
      <w:r w:rsidR="00823F92">
        <w:t xml:space="preserve"> </w:t>
      </w:r>
      <w:r>
        <w:t>trainin</w:t>
      </w:r>
      <w:r w:rsidR="00823F92">
        <w:t xml:space="preserve">g </w:t>
      </w:r>
      <w:r>
        <w:t>availability</w:t>
      </w:r>
    </w:p>
    <w:p w14:paraId="62F04EF0" w14:textId="709DDFB8" w:rsidR="00453F15" w:rsidRDefault="00453F15" w:rsidP="00A94B1F">
      <w:pPr>
        <w:pStyle w:val="BodyText"/>
        <w:rPr>
          <w:lang w:val="en-US"/>
        </w:rPr>
      </w:pPr>
      <w:r w:rsidRPr="006C4490">
        <w:t>Th</w:t>
      </w:r>
      <w:r w:rsidR="00823F92" w:rsidRPr="006C4490">
        <w:t>e</w:t>
      </w:r>
      <w:r w:rsidR="00823F92">
        <w:t xml:space="preserve"> </w:t>
      </w:r>
      <w:r w:rsidRPr="006C4490">
        <w:t>limite</w:t>
      </w:r>
      <w:r w:rsidR="00823F92" w:rsidRPr="006C4490">
        <w:t>d</w:t>
      </w:r>
      <w:r w:rsidR="00823F92">
        <w:t xml:space="preserve"> </w:t>
      </w:r>
      <w:r w:rsidRPr="006C4490">
        <w:rPr>
          <w:lang w:val="en-US"/>
        </w:rPr>
        <w:t>availabilit</w:t>
      </w:r>
      <w:r w:rsidR="00823F92" w:rsidRPr="006C4490">
        <w:rPr>
          <w:lang w:val="en-US"/>
        </w:rPr>
        <w:t>y</w:t>
      </w:r>
      <w:r w:rsidR="00823F92">
        <w:rPr>
          <w:lang w:val="en-US"/>
        </w:rPr>
        <w:t xml:space="preserve"> </w:t>
      </w:r>
      <w:r w:rsidRPr="006C4490">
        <w:rPr>
          <w:lang w:val="en-US"/>
        </w:rPr>
        <w:t>o</w:t>
      </w:r>
      <w:r w:rsidR="00823F92" w:rsidRPr="006C4490">
        <w:rPr>
          <w:lang w:val="en-US"/>
        </w:rPr>
        <w:t>f</w:t>
      </w:r>
      <w:r w:rsidR="00823F92">
        <w:rPr>
          <w:lang w:val="en-US"/>
        </w:rPr>
        <w:t xml:space="preserve"> </w:t>
      </w:r>
      <w:r w:rsidRPr="006C4490">
        <w:rPr>
          <w:lang w:val="en-US"/>
        </w:rPr>
        <w:t>locally-base</w:t>
      </w:r>
      <w:r w:rsidR="00823F92" w:rsidRPr="006C4490">
        <w:rPr>
          <w:lang w:val="en-US"/>
        </w:rPr>
        <w:t>d</w:t>
      </w:r>
      <w:r w:rsidR="00823F92">
        <w:rPr>
          <w:lang w:val="en-US"/>
        </w:rPr>
        <w:t xml:space="preserve"> </w:t>
      </w:r>
      <w:r>
        <w:rPr>
          <w:lang w:val="en-US"/>
        </w:rPr>
        <w:t>vocationa</w:t>
      </w:r>
      <w:r w:rsidR="00823F92">
        <w:rPr>
          <w:lang w:val="en-US"/>
        </w:rPr>
        <w:t xml:space="preserve">l </w:t>
      </w:r>
      <w:r>
        <w:rPr>
          <w:lang w:val="en-US"/>
        </w:rPr>
        <w:t>an</w:t>
      </w:r>
      <w:r w:rsidR="00823F92">
        <w:rPr>
          <w:lang w:val="en-US"/>
        </w:rPr>
        <w:t xml:space="preserve">d </w:t>
      </w:r>
      <w:r>
        <w:rPr>
          <w:lang w:val="en-US"/>
        </w:rPr>
        <w:t>tertiar</w:t>
      </w:r>
      <w:r w:rsidR="00823F92">
        <w:rPr>
          <w:lang w:val="en-US"/>
        </w:rPr>
        <w:t xml:space="preserve">y </w:t>
      </w:r>
      <w:r w:rsidRPr="006C4490">
        <w:rPr>
          <w:lang w:val="en-US"/>
        </w:rPr>
        <w:t>course</w:t>
      </w:r>
      <w:r w:rsidR="00823F92" w:rsidRPr="006C4490">
        <w:rPr>
          <w:lang w:val="en-US"/>
        </w:rPr>
        <w:t>s</w:t>
      </w:r>
      <w:r w:rsidR="00823F92">
        <w:rPr>
          <w:lang w:val="en-US"/>
        </w:rPr>
        <w:t xml:space="preserve"> </w:t>
      </w:r>
      <w:r w:rsidRPr="006C4490">
        <w:rPr>
          <w:lang w:val="en-US"/>
        </w:rPr>
        <w:t>i</w:t>
      </w:r>
      <w:r w:rsidR="00823F92" w:rsidRPr="006C4490">
        <w:rPr>
          <w:lang w:val="en-US"/>
        </w:rPr>
        <w:t>n</w:t>
      </w:r>
      <w:r w:rsidR="00823F92">
        <w:rPr>
          <w:lang w:val="en-US"/>
        </w:rPr>
        <w:t xml:space="preserve"> </w:t>
      </w:r>
      <w:r w:rsidRPr="006C4490">
        <w:rPr>
          <w:lang w:val="en-US"/>
        </w:rPr>
        <w:t>rura</w:t>
      </w:r>
      <w:r w:rsidR="00823F92" w:rsidRPr="006C4490">
        <w:rPr>
          <w:lang w:val="en-US"/>
        </w:rPr>
        <w:t>l</w:t>
      </w:r>
      <w:r w:rsidR="00823F92">
        <w:rPr>
          <w:lang w:val="en-US"/>
        </w:rPr>
        <w:t xml:space="preserve"> </w:t>
      </w:r>
      <w:r w:rsidRPr="006C4490">
        <w:rPr>
          <w:lang w:val="en-US"/>
        </w:rPr>
        <w:t>an</w:t>
      </w:r>
      <w:r w:rsidR="00823F92" w:rsidRPr="006C4490">
        <w:rPr>
          <w:lang w:val="en-US"/>
        </w:rPr>
        <w:t>d</w:t>
      </w:r>
      <w:r w:rsidR="00823F92">
        <w:rPr>
          <w:lang w:val="en-US"/>
        </w:rPr>
        <w:t xml:space="preserve"> </w:t>
      </w:r>
      <w:r w:rsidRPr="006C4490">
        <w:rPr>
          <w:lang w:val="en-US"/>
        </w:rPr>
        <w:t>remot</w:t>
      </w:r>
      <w:r w:rsidR="00823F92" w:rsidRPr="006C4490">
        <w:rPr>
          <w:lang w:val="en-US"/>
        </w:rPr>
        <w:t>e</w:t>
      </w:r>
      <w:r w:rsidR="00823F92">
        <w:rPr>
          <w:lang w:val="en-US"/>
        </w:rPr>
        <w:t xml:space="preserve"> </w:t>
      </w:r>
      <w:r w:rsidRPr="006C4490">
        <w:rPr>
          <w:lang w:val="en-US"/>
        </w:rPr>
        <w:t>area</w:t>
      </w:r>
      <w:r w:rsidR="00823F92" w:rsidRPr="006C4490">
        <w:rPr>
          <w:lang w:val="en-US"/>
        </w:rPr>
        <w:t>s</w:t>
      </w:r>
      <w:r w:rsidR="00823F92">
        <w:rPr>
          <w:lang w:val="en-US"/>
        </w:rPr>
        <w:t xml:space="preserve"> </w:t>
      </w:r>
      <w:r w:rsidRPr="006C4490">
        <w:rPr>
          <w:lang w:val="en-US"/>
        </w:rPr>
        <w:t>affect</w:t>
      </w:r>
      <w:r w:rsidR="00823F92" w:rsidRPr="006C4490">
        <w:rPr>
          <w:lang w:val="en-US"/>
        </w:rPr>
        <w:t>s</w:t>
      </w:r>
      <w:r w:rsidR="00823F92">
        <w:rPr>
          <w:lang w:val="en-US"/>
        </w:rPr>
        <w:t xml:space="preserve"> </w:t>
      </w:r>
      <w:r w:rsidRPr="006C4490">
        <w:rPr>
          <w:lang w:val="en-US"/>
        </w:rPr>
        <w:t>th</w:t>
      </w:r>
      <w:r w:rsidR="00823F92" w:rsidRPr="006C4490">
        <w:rPr>
          <w:lang w:val="en-US"/>
        </w:rPr>
        <w:t>e</w:t>
      </w:r>
      <w:r w:rsidR="00823F92">
        <w:rPr>
          <w:lang w:val="en-US"/>
        </w:rPr>
        <w:t xml:space="preserve"> </w:t>
      </w:r>
      <w:r w:rsidRPr="006C4490">
        <w:rPr>
          <w:lang w:val="en-US"/>
        </w:rPr>
        <w:t>attractio</w:t>
      </w:r>
      <w:r w:rsidR="00823F92" w:rsidRPr="006C4490">
        <w:rPr>
          <w:lang w:val="en-US"/>
        </w:rPr>
        <w:t>n</w:t>
      </w:r>
      <w:r w:rsidR="00823F92">
        <w:rPr>
          <w:lang w:val="en-US"/>
        </w:rPr>
        <w:t xml:space="preserve"> </w:t>
      </w:r>
      <w:r w:rsidRPr="006C4490">
        <w:rPr>
          <w:lang w:val="en-US"/>
        </w:rPr>
        <w:t>o</w:t>
      </w:r>
      <w:r w:rsidR="00823F92" w:rsidRPr="006C4490">
        <w:rPr>
          <w:lang w:val="en-US"/>
        </w:rPr>
        <w:t>f</w:t>
      </w:r>
      <w:r w:rsidR="00823F92">
        <w:rPr>
          <w:lang w:val="en-US"/>
        </w:rPr>
        <w:t xml:space="preserve"> </w:t>
      </w:r>
      <w:r w:rsidRPr="006C4490">
        <w:rPr>
          <w:lang w:val="en-US"/>
        </w:rPr>
        <w:t>student</w:t>
      </w:r>
      <w:r w:rsidR="00823F92" w:rsidRPr="006C4490">
        <w:rPr>
          <w:lang w:val="en-US"/>
        </w:rPr>
        <w:t>s</w:t>
      </w:r>
      <w:r w:rsidR="00823F92">
        <w:rPr>
          <w:lang w:val="en-US"/>
        </w:rPr>
        <w:t xml:space="preserve"> </w:t>
      </w:r>
      <w:r w:rsidRPr="006C4490">
        <w:rPr>
          <w:lang w:val="en-US"/>
        </w:rPr>
        <w:t>livin</w:t>
      </w:r>
      <w:r w:rsidR="00823F92" w:rsidRPr="006C4490">
        <w:rPr>
          <w:lang w:val="en-US"/>
        </w:rPr>
        <w:t>g</w:t>
      </w:r>
      <w:r w:rsidR="00823F92">
        <w:rPr>
          <w:lang w:val="en-US"/>
        </w:rPr>
        <w:t xml:space="preserve"> </w:t>
      </w:r>
      <w:r w:rsidRPr="006C4490">
        <w:rPr>
          <w:lang w:val="en-US"/>
        </w:rPr>
        <w:t>i</w:t>
      </w:r>
      <w:r w:rsidR="00823F92" w:rsidRPr="006C4490">
        <w:rPr>
          <w:lang w:val="en-US"/>
        </w:rPr>
        <w:t>n</w:t>
      </w:r>
      <w:r w:rsidR="00823F92">
        <w:rPr>
          <w:lang w:val="en-US"/>
        </w:rPr>
        <w:t xml:space="preserve"> </w:t>
      </w:r>
      <w:r w:rsidRPr="006C4490">
        <w:rPr>
          <w:lang w:val="en-US"/>
        </w:rPr>
        <w:t>thes</w:t>
      </w:r>
      <w:r w:rsidR="00823F92" w:rsidRPr="006C4490">
        <w:rPr>
          <w:lang w:val="en-US"/>
        </w:rPr>
        <w:t>e</w:t>
      </w:r>
      <w:r w:rsidR="00823F92">
        <w:rPr>
          <w:lang w:val="en-US"/>
        </w:rPr>
        <w:t xml:space="preserve"> </w:t>
      </w:r>
      <w:r w:rsidRPr="006C4490">
        <w:rPr>
          <w:lang w:val="en-US"/>
        </w:rPr>
        <w:t>area</w:t>
      </w:r>
      <w:r w:rsidR="00823F92" w:rsidRPr="006C4490">
        <w:rPr>
          <w:lang w:val="en-US"/>
        </w:rPr>
        <w:t>s</w:t>
      </w:r>
      <w:r w:rsidR="00823F92">
        <w:rPr>
          <w:lang w:val="en-US"/>
        </w:rPr>
        <w:t xml:space="preserve"> </w:t>
      </w:r>
      <w:r w:rsidRPr="006C4490">
        <w:rPr>
          <w:lang w:val="en-US"/>
        </w:rPr>
        <w:t>t</w:t>
      </w:r>
      <w:r w:rsidR="00823F92" w:rsidRPr="006C4490">
        <w:rPr>
          <w:lang w:val="en-US"/>
        </w:rPr>
        <w:t>o</w:t>
      </w:r>
      <w:r w:rsidR="00823F92">
        <w:rPr>
          <w:lang w:val="en-US"/>
        </w:rPr>
        <w:t xml:space="preserve"> </w:t>
      </w:r>
      <w:r>
        <w:rPr>
          <w:lang w:val="en-US"/>
        </w:rPr>
        <w:t>healt</w:t>
      </w:r>
      <w:r w:rsidR="00823F92">
        <w:rPr>
          <w:lang w:val="en-US"/>
        </w:rPr>
        <w:t xml:space="preserve">h </w:t>
      </w:r>
      <w:r>
        <w:rPr>
          <w:lang w:val="en-US"/>
        </w:rPr>
        <w:t>an</w:t>
      </w:r>
      <w:r w:rsidR="00823F92">
        <w:rPr>
          <w:lang w:val="en-US"/>
        </w:rPr>
        <w:t xml:space="preserve">d </w:t>
      </w:r>
      <w:r w:rsidRPr="006C4490">
        <w:rPr>
          <w:lang w:val="en-US"/>
        </w:rPr>
        <w:t>menta</w:t>
      </w:r>
      <w:r w:rsidR="00823F92" w:rsidRPr="006C4490">
        <w:rPr>
          <w:lang w:val="en-US"/>
        </w:rPr>
        <w:t>l</w:t>
      </w:r>
      <w:r w:rsidR="00823F92">
        <w:rPr>
          <w:lang w:val="en-US"/>
        </w:rPr>
        <w:t xml:space="preserve"> </w:t>
      </w:r>
      <w:r w:rsidRPr="006C4490">
        <w:rPr>
          <w:lang w:val="en-US"/>
        </w:rPr>
        <w:t>health-relate</w:t>
      </w:r>
      <w:r w:rsidR="00823F92" w:rsidRPr="006C4490">
        <w:rPr>
          <w:lang w:val="en-US"/>
        </w:rPr>
        <w:t>d</w:t>
      </w:r>
      <w:r w:rsidR="00823F92">
        <w:rPr>
          <w:lang w:val="en-US"/>
        </w:rPr>
        <w:t xml:space="preserve"> </w:t>
      </w:r>
      <w:r w:rsidRPr="006C4490">
        <w:rPr>
          <w:lang w:val="en-US"/>
        </w:rPr>
        <w:t>study</w:t>
      </w:r>
      <w:r w:rsidR="00823F92" w:rsidRPr="006C4490">
        <w:rPr>
          <w:lang w:val="en-US"/>
        </w:rPr>
        <w:t>.</w:t>
      </w:r>
      <w:r w:rsidR="00823F92">
        <w:rPr>
          <w:lang w:val="en-US"/>
        </w:rPr>
        <w:t xml:space="preserve"> </w:t>
      </w:r>
    </w:p>
    <w:p w14:paraId="381129E0" w14:textId="56A31103" w:rsidR="00453F15" w:rsidRDefault="00453F15" w:rsidP="00A94B1F">
      <w:pPr>
        <w:pStyle w:val="BodyText"/>
        <w:rPr>
          <w:lang w:val="en-US"/>
        </w:rPr>
      </w:pPr>
      <w:r>
        <w:rPr>
          <w:lang w:val="en-US"/>
        </w:rPr>
        <w:t>Peopl</w:t>
      </w:r>
      <w:r w:rsidR="00823F92">
        <w:rPr>
          <w:lang w:val="en-US"/>
        </w:rPr>
        <w:t xml:space="preserve">e </w:t>
      </w:r>
      <w:r>
        <w:rPr>
          <w:lang w:val="en-US"/>
        </w:rPr>
        <w:t>livin</w:t>
      </w:r>
      <w:r w:rsidR="00823F92">
        <w:rPr>
          <w:lang w:val="en-US"/>
        </w:rPr>
        <w:t xml:space="preserve">g </w:t>
      </w:r>
      <w:r>
        <w:rPr>
          <w:lang w:val="en-US"/>
        </w:rPr>
        <w:t>i</w:t>
      </w:r>
      <w:r w:rsidR="00823F92">
        <w:rPr>
          <w:lang w:val="en-US"/>
        </w:rPr>
        <w:t xml:space="preserve">n </w:t>
      </w:r>
      <w:r>
        <w:rPr>
          <w:lang w:val="en-US"/>
        </w:rPr>
        <w:t>r</w:t>
      </w:r>
      <w:r w:rsidRPr="004A1CFF">
        <w:rPr>
          <w:lang w:val="en-US"/>
        </w:rPr>
        <w:t>egiona</w:t>
      </w:r>
      <w:r w:rsidR="00823F92" w:rsidRPr="004A1CFF">
        <w:rPr>
          <w:lang w:val="en-US"/>
        </w:rPr>
        <w:t>l</w:t>
      </w:r>
      <w:r w:rsidR="00823F92">
        <w:rPr>
          <w:lang w:val="en-US"/>
        </w:rPr>
        <w:t xml:space="preserve"> </w:t>
      </w:r>
      <w:r w:rsidRPr="004A1CFF">
        <w:rPr>
          <w:lang w:val="en-US"/>
        </w:rPr>
        <w:t>an</w:t>
      </w:r>
      <w:r w:rsidR="00823F92" w:rsidRPr="004A1CFF">
        <w:rPr>
          <w:lang w:val="en-US"/>
        </w:rPr>
        <w:t>d</w:t>
      </w:r>
      <w:r w:rsidR="00823F92">
        <w:rPr>
          <w:lang w:val="en-US"/>
        </w:rPr>
        <w:t xml:space="preserve"> </w:t>
      </w:r>
      <w:r w:rsidRPr="004A1CFF">
        <w:rPr>
          <w:lang w:val="en-US"/>
        </w:rPr>
        <w:t>remot</w:t>
      </w:r>
      <w:r w:rsidR="00823F92" w:rsidRPr="004A1CFF">
        <w:rPr>
          <w:lang w:val="en-US"/>
        </w:rPr>
        <w:t>e</w:t>
      </w:r>
      <w:r w:rsidR="00823F92">
        <w:rPr>
          <w:lang w:val="en-US"/>
        </w:rPr>
        <w:t xml:space="preserve"> </w:t>
      </w:r>
      <w:r>
        <w:rPr>
          <w:lang w:val="en-US"/>
        </w:rPr>
        <w:t>area</w:t>
      </w:r>
      <w:r w:rsidR="00823F92">
        <w:rPr>
          <w:lang w:val="en-US"/>
        </w:rPr>
        <w:t xml:space="preserve">s </w:t>
      </w:r>
      <w:r>
        <w:rPr>
          <w:lang w:val="en-US"/>
        </w:rPr>
        <w:t>ar</w:t>
      </w:r>
      <w:r w:rsidR="00823F92">
        <w:rPr>
          <w:lang w:val="en-US"/>
        </w:rPr>
        <w:t xml:space="preserve">e </w:t>
      </w:r>
      <w:r w:rsidRPr="004A1CFF">
        <w:rPr>
          <w:lang w:val="en-US"/>
        </w:rPr>
        <w:t>increasingl</w:t>
      </w:r>
      <w:r w:rsidR="00823F92" w:rsidRPr="004A1CFF">
        <w:rPr>
          <w:lang w:val="en-US"/>
        </w:rPr>
        <w:t>y</w:t>
      </w:r>
      <w:r w:rsidR="00823F92">
        <w:rPr>
          <w:lang w:val="en-US"/>
        </w:rPr>
        <w:t xml:space="preserve"> </w:t>
      </w:r>
      <w:r w:rsidRPr="004A1CFF">
        <w:rPr>
          <w:lang w:val="en-US"/>
        </w:rPr>
        <w:t>mov</w:t>
      </w:r>
      <w:r>
        <w:rPr>
          <w:lang w:val="en-US"/>
        </w:rPr>
        <w:t>in</w:t>
      </w:r>
      <w:r w:rsidR="00823F92">
        <w:rPr>
          <w:lang w:val="en-US"/>
        </w:rPr>
        <w:t xml:space="preserve">g </w:t>
      </w:r>
      <w:r w:rsidRPr="004A1CFF">
        <w:rPr>
          <w:lang w:val="en-US"/>
        </w:rPr>
        <w:t>t</w:t>
      </w:r>
      <w:r w:rsidR="00823F92" w:rsidRPr="004A1CFF">
        <w:rPr>
          <w:lang w:val="en-US"/>
        </w:rPr>
        <w:t>o</w:t>
      </w:r>
      <w:r w:rsidR="00823F92">
        <w:rPr>
          <w:lang w:val="en-US"/>
        </w:rPr>
        <w:t xml:space="preserve"> </w:t>
      </w:r>
      <w:r w:rsidRPr="004A1CFF">
        <w:rPr>
          <w:lang w:val="en-US"/>
        </w:rPr>
        <w:t>metropolita</w:t>
      </w:r>
      <w:r w:rsidR="00823F92" w:rsidRPr="004A1CFF">
        <w:rPr>
          <w:lang w:val="en-US"/>
        </w:rPr>
        <w:t>n</w:t>
      </w:r>
      <w:r w:rsidR="00823F92">
        <w:rPr>
          <w:lang w:val="en-US"/>
        </w:rPr>
        <w:t xml:space="preserve"> </w:t>
      </w:r>
      <w:r w:rsidRPr="004A1CFF">
        <w:rPr>
          <w:lang w:val="en-US"/>
        </w:rPr>
        <w:t>location</w:t>
      </w:r>
      <w:r w:rsidR="00823F92" w:rsidRPr="004A1CFF">
        <w:rPr>
          <w:lang w:val="en-US"/>
        </w:rPr>
        <w:t>s</w:t>
      </w:r>
      <w:r w:rsidR="00823F92">
        <w:rPr>
          <w:lang w:val="en-US"/>
        </w:rPr>
        <w:t xml:space="preserve"> </w:t>
      </w:r>
      <w:r w:rsidRPr="004A1CFF">
        <w:rPr>
          <w:lang w:val="en-US"/>
        </w:rPr>
        <w:t>t</w:t>
      </w:r>
      <w:r w:rsidR="00823F92" w:rsidRPr="004A1CFF">
        <w:rPr>
          <w:lang w:val="en-US"/>
        </w:rPr>
        <w:t>o</w:t>
      </w:r>
      <w:r w:rsidR="00823F92">
        <w:rPr>
          <w:lang w:val="en-US"/>
        </w:rPr>
        <w:t xml:space="preserve"> </w:t>
      </w:r>
      <w:r w:rsidRPr="004A1CFF">
        <w:rPr>
          <w:lang w:val="en-US"/>
        </w:rPr>
        <w:t>stud</w:t>
      </w:r>
      <w:r w:rsidR="00823F92" w:rsidRPr="004A1CFF">
        <w:rPr>
          <w:lang w:val="en-US"/>
        </w:rPr>
        <w:t>y</w:t>
      </w:r>
      <w:r w:rsidR="00823F92">
        <w:rPr>
          <w:lang w:val="en-US"/>
        </w:rPr>
        <w:t xml:space="preserve"> </w:t>
      </w:r>
      <w:r w:rsidRPr="004A1CFF">
        <w:rPr>
          <w:lang w:val="en-US"/>
        </w:rPr>
        <w:t>an</w:t>
      </w:r>
      <w:r w:rsidR="00823F92" w:rsidRPr="004A1CFF">
        <w:rPr>
          <w:lang w:val="en-US"/>
        </w:rPr>
        <w:t>d</w:t>
      </w:r>
      <w:r w:rsidR="00823F92">
        <w:rPr>
          <w:lang w:val="en-US"/>
        </w:rPr>
        <w:t xml:space="preserve"> </w:t>
      </w:r>
      <w:r w:rsidRPr="004A1CFF">
        <w:rPr>
          <w:lang w:val="en-US"/>
        </w:rPr>
        <w:t>ar</w:t>
      </w:r>
      <w:r w:rsidR="00823F92" w:rsidRPr="004A1CFF">
        <w:rPr>
          <w:lang w:val="en-US"/>
        </w:rPr>
        <w:t>e</w:t>
      </w:r>
      <w:r w:rsidR="00823F92">
        <w:rPr>
          <w:lang w:val="en-US"/>
        </w:rPr>
        <w:t xml:space="preserve"> </w:t>
      </w:r>
      <w:r w:rsidRPr="004A1CFF">
        <w:rPr>
          <w:lang w:val="en-US"/>
        </w:rPr>
        <w:t>mor</w:t>
      </w:r>
      <w:r w:rsidR="00823F92" w:rsidRPr="004A1CFF">
        <w:rPr>
          <w:lang w:val="en-US"/>
        </w:rPr>
        <w:t>e</w:t>
      </w:r>
      <w:r w:rsidR="00823F92">
        <w:rPr>
          <w:lang w:val="en-US"/>
        </w:rPr>
        <w:t xml:space="preserve"> </w:t>
      </w:r>
      <w:r w:rsidRPr="004A1CFF">
        <w:rPr>
          <w:lang w:val="en-US"/>
        </w:rPr>
        <w:t>likel</w:t>
      </w:r>
      <w:r w:rsidR="00823F92" w:rsidRPr="004A1CFF">
        <w:rPr>
          <w:lang w:val="en-US"/>
        </w:rPr>
        <w:t>y</w:t>
      </w:r>
      <w:r w:rsidR="00823F92">
        <w:rPr>
          <w:lang w:val="en-US"/>
        </w:rPr>
        <w:t xml:space="preserve"> </w:t>
      </w:r>
      <w:r w:rsidRPr="004A1CFF">
        <w:rPr>
          <w:lang w:val="en-US"/>
        </w:rPr>
        <w:t>t</w:t>
      </w:r>
      <w:r w:rsidR="00823F92" w:rsidRPr="004A1CFF">
        <w:rPr>
          <w:lang w:val="en-US"/>
        </w:rPr>
        <w:t>o</w:t>
      </w:r>
      <w:r w:rsidR="00823F92">
        <w:rPr>
          <w:lang w:val="en-US"/>
        </w:rPr>
        <w:t xml:space="preserve"> </w:t>
      </w:r>
      <w:r w:rsidRPr="004A1CFF">
        <w:rPr>
          <w:lang w:val="en-US"/>
        </w:rPr>
        <w:t>cit</w:t>
      </w:r>
      <w:r w:rsidR="00823F92" w:rsidRPr="004A1CFF">
        <w:rPr>
          <w:lang w:val="en-US"/>
        </w:rPr>
        <w:t>e</w:t>
      </w:r>
      <w:r w:rsidR="00823F92">
        <w:rPr>
          <w:lang w:val="en-US"/>
        </w:rPr>
        <w:t xml:space="preserve"> </w:t>
      </w:r>
      <w:r w:rsidRPr="004A1CFF">
        <w:rPr>
          <w:lang w:val="en-US"/>
        </w:rPr>
        <w:t>financia</w:t>
      </w:r>
      <w:r w:rsidR="00823F92" w:rsidRPr="004A1CFF">
        <w:rPr>
          <w:lang w:val="en-US"/>
        </w:rPr>
        <w:t>l</w:t>
      </w:r>
      <w:r w:rsidR="00823F92">
        <w:rPr>
          <w:lang w:val="en-US"/>
        </w:rPr>
        <w:t xml:space="preserve"> </w:t>
      </w:r>
      <w:r w:rsidRPr="004A1CFF">
        <w:rPr>
          <w:lang w:val="en-US"/>
        </w:rPr>
        <w:t>an</w:t>
      </w:r>
      <w:r w:rsidR="00823F92" w:rsidRPr="004A1CFF">
        <w:rPr>
          <w:lang w:val="en-US"/>
        </w:rPr>
        <w:t>d</w:t>
      </w:r>
      <w:r w:rsidR="00823F92">
        <w:rPr>
          <w:lang w:val="en-US"/>
        </w:rPr>
        <w:t xml:space="preserve"> </w:t>
      </w:r>
      <w:r w:rsidRPr="004A1CFF">
        <w:rPr>
          <w:lang w:val="en-US"/>
        </w:rPr>
        <w:t>fe</w:t>
      </w:r>
      <w:r w:rsidR="00823F92" w:rsidRPr="004A1CFF">
        <w:rPr>
          <w:lang w:val="en-US"/>
        </w:rPr>
        <w:t>e</w:t>
      </w:r>
      <w:r w:rsidR="00823F92">
        <w:rPr>
          <w:lang w:val="en-US"/>
        </w:rPr>
        <w:t xml:space="preserve"> </w:t>
      </w:r>
      <w:r w:rsidRPr="004A1CFF">
        <w:rPr>
          <w:lang w:val="en-US"/>
        </w:rPr>
        <w:t>difficultie</w:t>
      </w:r>
      <w:r w:rsidR="00823F92" w:rsidRPr="004A1CFF">
        <w:rPr>
          <w:lang w:val="en-US"/>
        </w:rPr>
        <w:t>s</w:t>
      </w:r>
      <w:r w:rsidR="00823F92">
        <w:rPr>
          <w:lang w:val="en-US"/>
        </w:rPr>
        <w:t xml:space="preserve"> </w:t>
      </w:r>
      <w:r w:rsidRPr="004A1CFF">
        <w:rPr>
          <w:lang w:val="en-US"/>
        </w:rPr>
        <w:t>a</w:t>
      </w:r>
      <w:r w:rsidR="00823F92" w:rsidRPr="004A1CFF">
        <w:rPr>
          <w:lang w:val="en-US"/>
        </w:rPr>
        <w:t>s</w:t>
      </w:r>
      <w:r w:rsidR="00823F92">
        <w:rPr>
          <w:lang w:val="en-US"/>
        </w:rPr>
        <w:t xml:space="preserve"> </w:t>
      </w:r>
      <w:r w:rsidRPr="004A1CFF">
        <w:rPr>
          <w:lang w:val="en-US"/>
        </w:rPr>
        <w:t>thei</w:t>
      </w:r>
      <w:r w:rsidR="00823F92" w:rsidRPr="004A1CFF">
        <w:rPr>
          <w:lang w:val="en-US"/>
        </w:rPr>
        <w:t>r</w:t>
      </w:r>
      <w:r w:rsidR="00823F92">
        <w:rPr>
          <w:lang w:val="en-US"/>
        </w:rPr>
        <w:t xml:space="preserve"> </w:t>
      </w:r>
      <w:r w:rsidRPr="004A1CFF">
        <w:rPr>
          <w:lang w:val="en-US"/>
        </w:rPr>
        <w:t>reaso</w:t>
      </w:r>
      <w:r w:rsidR="00823F92" w:rsidRPr="004A1CFF">
        <w:rPr>
          <w:lang w:val="en-US"/>
        </w:rPr>
        <w:t>n</w:t>
      </w:r>
      <w:r w:rsidR="00823F92">
        <w:rPr>
          <w:lang w:val="en-US"/>
        </w:rPr>
        <w:t xml:space="preserve"> </w:t>
      </w:r>
      <w:r w:rsidRPr="004A1CFF">
        <w:rPr>
          <w:lang w:val="en-US"/>
        </w:rPr>
        <w:t>fo</w:t>
      </w:r>
      <w:r w:rsidR="00823F92" w:rsidRPr="004A1CFF">
        <w:rPr>
          <w:lang w:val="en-US"/>
        </w:rPr>
        <w:t>r</w:t>
      </w:r>
      <w:r w:rsidR="00823F92">
        <w:rPr>
          <w:lang w:val="en-US"/>
        </w:rPr>
        <w:t xml:space="preserve"> </w:t>
      </w:r>
      <w:r w:rsidRPr="004A1CFF">
        <w:rPr>
          <w:lang w:val="en-US"/>
        </w:rPr>
        <w:t>no</w:t>
      </w:r>
      <w:r w:rsidR="00823F92" w:rsidRPr="004A1CFF">
        <w:rPr>
          <w:lang w:val="en-US"/>
        </w:rPr>
        <w:t>t</w:t>
      </w:r>
      <w:r w:rsidR="00823F92">
        <w:rPr>
          <w:lang w:val="en-US"/>
        </w:rPr>
        <w:t xml:space="preserve"> </w:t>
      </w:r>
      <w:r w:rsidRPr="004A1CFF">
        <w:rPr>
          <w:lang w:val="en-US"/>
        </w:rPr>
        <w:t>completin</w:t>
      </w:r>
      <w:r w:rsidR="00823F92" w:rsidRPr="004A1CFF">
        <w:rPr>
          <w:lang w:val="en-US"/>
        </w:rPr>
        <w:t>g</w:t>
      </w:r>
      <w:r w:rsidR="00823F92">
        <w:rPr>
          <w:lang w:val="en-US"/>
        </w:rPr>
        <w:t xml:space="preserve"> </w:t>
      </w:r>
      <w:r w:rsidRPr="004A1CFF">
        <w:rPr>
          <w:lang w:val="en-US"/>
        </w:rPr>
        <w:t>du</w:t>
      </w:r>
      <w:r w:rsidR="00823F92" w:rsidRPr="004A1CFF">
        <w:rPr>
          <w:lang w:val="en-US"/>
        </w:rPr>
        <w:t>e</w:t>
      </w:r>
      <w:r w:rsidR="00823F92">
        <w:rPr>
          <w:lang w:val="en-US"/>
        </w:rPr>
        <w:t xml:space="preserve"> </w:t>
      </w:r>
      <w:r w:rsidRPr="004A1CFF">
        <w:rPr>
          <w:lang w:val="en-US"/>
        </w:rPr>
        <w:t>t</w:t>
      </w:r>
      <w:r w:rsidR="00823F92" w:rsidRPr="004A1CFF">
        <w:rPr>
          <w:lang w:val="en-US"/>
        </w:rPr>
        <w:t>o</w:t>
      </w:r>
      <w:r w:rsidR="00823F92">
        <w:rPr>
          <w:lang w:val="en-US"/>
        </w:rPr>
        <w:t xml:space="preserve"> </w:t>
      </w:r>
      <w:r w:rsidRPr="004A1CFF">
        <w:rPr>
          <w:lang w:val="en-US"/>
        </w:rPr>
        <w:t>th</w:t>
      </w:r>
      <w:r w:rsidR="00823F92" w:rsidRPr="004A1CFF">
        <w:rPr>
          <w:lang w:val="en-US"/>
        </w:rPr>
        <w:t>e</w:t>
      </w:r>
      <w:r w:rsidR="00823F92">
        <w:rPr>
          <w:lang w:val="en-US"/>
        </w:rPr>
        <w:t xml:space="preserve"> </w:t>
      </w:r>
      <w:r w:rsidRPr="004A1CFF">
        <w:rPr>
          <w:lang w:val="en-US"/>
        </w:rPr>
        <w:t>stres</w:t>
      </w:r>
      <w:r w:rsidR="00823F92" w:rsidRPr="004A1CFF">
        <w:rPr>
          <w:lang w:val="en-US"/>
        </w:rPr>
        <w:t>s</w:t>
      </w:r>
      <w:r w:rsidR="00823F92">
        <w:rPr>
          <w:lang w:val="en-US"/>
        </w:rPr>
        <w:t xml:space="preserve"> </w:t>
      </w:r>
      <w:r w:rsidRPr="004A1CFF">
        <w:rPr>
          <w:lang w:val="en-US"/>
        </w:rPr>
        <w:t>o</w:t>
      </w:r>
      <w:r w:rsidR="00823F92" w:rsidRPr="004A1CFF">
        <w:rPr>
          <w:lang w:val="en-US"/>
        </w:rPr>
        <w:t>f</w:t>
      </w:r>
      <w:r w:rsidR="00823F92">
        <w:rPr>
          <w:lang w:val="en-US"/>
        </w:rPr>
        <w:t xml:space="preserve"> </w:t>
      </w:r>
      <w:r w:rsidRPr="004A1CFF">
        <w:rPr>
          <w:lang w:val="en-US"/>
        </w:rPr>
        <w:t>supportin</w:t>
      </w:r>
      <w:r w:rsidR="00823F92" w:rsidRPr="004A1CFF">
        <w:rPr>
          <w:lang w:val="en-US"/>
        </w:rPr>
        <w:t>g</w:t>
      </w:r>
      <w:r w:rsidR="00823F92">
        <w:rPr>
          <w:lang w:val="en-US"/>
        </w:rPr>
        <w:t xml:space="preserve"> </w:t>
      </w:r>
      <w:r w:rsidRPr="004A1CFF">
        <w:rPr>
          <w:lang w:val="en-US"/>
        </w:rPr>
        <w:t>lif</w:t>
      </w:r>
      <w:r w:rsidR="00823F92" w:rsidRPr="004A1CFF">
        <w:rPr>
          <w:lang w:val="en-US"/>
        </w:rPr>
        <w:t>e</w:t>
      </w:r>
      <w:r w:rsidR="00823F92">
        <w:rPr>
          <w:lang w:val="en-US"/>
        </w:rPr>
        <w:t xml:space="preserve"> </w:t>
      </w:r>
      <w:r w:rsidRPr="004A1CFF">
        <w:rPr>
          <w:lang w:val="en-US"/>
        </w:rPr>
        <w:t>awa</w:t>
      </w:r>
      <w:r w:rsidR="00823F92" w:rsidRPr="004A1CFF">
        <w:rPr>
          <w:lang w:val="en-US"/>
        </w:rPr>
        <w:t>y</w:t>
      </w:r>
      <w:r w:rsidR="00823F92">
        <w:rPr>
          <w:lang w:val="en-US"/>
        </w:rPr>
        <w:t xml:space="preserve"> </w:t>
      </w:r>
      <w:r w:rsidRPr="004A1CFF">
        <w:rPr>
          <w:lang w:val="en-US"/>
        </w:rPr>
        <w:t>fro</w:t>
      </w:r>
      <w:r w:rsidR="00823F92" w:rsidRPr="004A1CFF">
        <w:rPr>
          <w:lang w:val="en-US"/>
        </w:rPr>
        <w:t>m</w:t>
      </w:r>
      <w:r w:rsidR="00823F92">
        <w:rPr>
          <w:lang w:val="en-US"/>
        </w:rPr>
        <w:t xml:space="preserve"> </w:t>
      </w:r>
      <w:r w:rsidRPr="004A1CFF">
        <w:rPr>
          <w:lang w:val="en-US"/>
        </w:rPr>
        <w:t>home</w:t>
      </w:r>
      <w:r w:rsidR="00823F92" w:rsidRPr="004A1CFF">
        <w:rPr>
          <w:lang w:val="en-US"/>
        </w:rPr>
        <w:t>.</w:t>
      </w:r>
      <w:r w:rsidR="00823F92">
        <w:rPr>
          <w:lang w:val="en-US"/>
        </w:rPr>
        <w:t xml:space="preserve"> </w:t>
      </w:r>
      <w:r>
        <w:rPr>
          <w:rStyle w:val="FootnoteReference"/>
        </w:rPr>
        <w:footnoteReference w:id="31"/>
      </w:r>
      <w:r>
        <w:t xml:space="preserve"> </w:t>
      </w:r>
      <w:r w:rsidRPr="004A1CFF">
        <w:rPr>
          <w:lang w:val="en-US"/>
        </w:rPr>
        <w:t xml:space="preserve"> </w:t>
      </w:r>
    </w:p>
    <w:p w14:paraId="24C91438" w14:textId="5EA5810A" w:rsidR="00453F15" w:rsidRDefault="00453F15" w:rsidP="00A94B1F">
      <w:pPr>
        <w:pStyle w:val="BodyText"/>
        <w:rPr>
          <w:lang w:val="en-US"/>
        </w:rPr>
      </w:pPr>
      <w:r w:rsidRPr="00C41539">
        <w:rPr>
          <w:sz w:val="20"/>
          <w:szCs w:val="20"/>
        </w:rPr>
        <w:t>T</w:t>
      </w:r>
      <w:r w:rsidRPr="00C41539">
        <w:rPr>
          <w:lang w:val="en-US"/>
        </w:rPr>
        <w:t>h</w:t>
      </w:r>
      <w:r w:rsidR="00823F92" w:rsidRPr="00C41539">
        <w:rPr>
          <w:lang w:val="en-US"/>
        </w:rPr>
        <w:t>e</w:t>
      </w:r>
      <w:r w:rsidR="00823F92">
        <w:rPr>
          <w:lang w:val="en-US"/>
        </w:rPr>
        <w:t xml:space="preserve"> </w:t>
      </w:r>
      <w:r w:rsidRPr="00C41539">
        <w:rPr>
          <w:lang w:val="en-US"/>
        </w:rPr>
        <w:t>valu</w:t>
      </w:r>
      <w:r w:rsidR="00823F92" w:rsidRPr="00C41539">
        <w:rPr>
          <w:lang w:val="en-US"/>
        </w:rPr>
        <w:t>e</w:t>
      </w:r>
      <w:r w:rsidR="00823F92">
        <w:rPr>
          <w:lang w:val="en-US"/>
        </w:rPr>
        <w:t xml:space="preserve"> </w:t>
      </w:r>
      <w:r w:rsidRPr="00C41539">
        <w:rPr>
          <w:lang w:val="en-US"/>
        </w:rPr>
        <w:t>o</w:t>
      </w:r>
      <w:r w:rsidR="00823F92" w:rsidRPr="00C41539">
        <w:rPr>
          <w:lang w:val="en-US"/>
        </w:rPr>
        <w:t>f</w:t>
      </w:r>
      <w:r w:rsidR="00823F92">
        <w:rPr>
          <w:lang w:val="en-US"/>
        </w:rPr>
        <w:t xml:space="preserve"> </w:t>
      </w:r>
      <w:r w:rsidRPr="00C41539">
        <w:rPr>
          <w:lang w:val="en-US"/>
        </w:rPr>
        <w:t>onlin</w:t>
      </w:r>
      <w:r w:rsidR="00823F92" w:rsidRPr="00C41539">
        <w:rPr>
          <w:lang w:val="en-US"/>
        </w:rPr>
        <w:t>e</w:t>
      </w:r>
      <w:r w:rsidR="00823F92">
        <w:rPr>
          <w:lang w:val="en-US"/>
        </w:rPr>
        <w:t xml:space="preserve"> </w:t>
      </w:r>
      <w:r w:rsidRPr="00C41539">
        <w:rPr>
          <w:lang w:val="en-US"/>
        </w:rPr>
        <w:t>deliver</w:t>
      </w:r>
      <w:r w:rsidR="00823F92" w:rsidRPr="00C41539">
        <w:rPr>
          <w:lang w:val="en-US"/>
        </w:rPr>
        <w:t>y</w:t>
      </w:r>
      <w:r w:rsidR="00823F92">
        <w:rPr>
          <w:lang w:val="en-US"/>
        </w:rPr>
        <w:t xml:space="preserve"> </w:t>
      </w:r>
      <w:r>
        <w:rPr>
          <w:lang w:val="en-US"/>
        </w:rPr>
        <w:t>o</w:t>
      </w:r>
      <w:r w:rsidR="00823F92">
        <w:rPr>
          <w:lang w:val="en-US"/>
        </w:rPr>
        <w:t xml:space="preserve">f </w:t>
      </w:r>
      <w:r>
        <w:rPr>
          <w:lang w:val="en-US"/>
        </w:rPr>
        <w:t>educatio</w:t>
      </w:r>
      <w:r w:rsidR="00823F92">
        <w:rPr>
          <w:lang w:val="en-US"/>
        </w:rPr>
        <w:t xml:space="preserve">n </w:t>
      </w:r>
      <w:r w:rsidRPr="00C41539">
        <w:rPr>
          <w:lang w:val="en-US"/>
        </w:rPr>
        <w:t>i</w:t>
      </w:r>
      <w:r w:rsidR="00823F92" w:rsidRPr="00C41539">
        <w:rPr>
          <w:lang w:val="en-US"/>
        </w:rPr>
        <w:t>n</w:t>
      </w:r>
      <w:r w:rsidR="00823F92">
        <w:rPr>
          <w:lang w:val="en-US"/>
        </w:rPr>
        <w:t xml:space="preserve"> </w:t>
      </w:r>
      <w:r w:rsidRPr="00C41539">
        <w:rPr>
          <w:lang w:val="en-US"/>
        </w:rPr>
        <w:t>improvin</w:t>
      </w:r>
      <w:r w:rsidR="00823F92" w:rsidRPr="00C41539">
        <w:rPr>
          <w:lang w:val="en-US"/>
        </w:rPr>
        <w:t>g</w:t>
      </w:r>
      <w:r w:rsidR="00823F92">
        <w:rPr>
          <w:lang w:val="en-US"/>
        </w:rPr>
        <w:t xml:space="preserve"> </w:t>
      </w:r>
      <w:r w:rsidRPr="00C41539">
        <w:rPr>
          <w:lang w:val="en-US"/>
        </w:rPr>
        <w:t>accessibilit</w:t>
      </w:r>
      <w:r w:rsidR="00823F92" w:rsidRPr="00C41539">
        <w:rPr>
          <w:lang w:val="en-US"/>
        </w:rPr>
        <w:t>y</w:t>
      </w:r>
      <w:r w:rsidR="00823F92">
        <w:rPr>
          <w:lang w:val="en-US"/>
        </w:rPr>
        <w:t xml:space="preserve"> </w:t>
      </w:r>
      <w:r w:rsidRPr="00C41539">
        <w:rPr>
          <w:lang w:val="en-US"/>
        </w:rPr>
        <w:t>i</w:t>
      </w:r>
      <w:r w:rsidR="00823F92" w:rsidRPr="00C41539">
        <w:rPr>
          <w:lang w:val="en-US"/>
        </w:rPr>
        <w:t>s</w:t>
      </w:r>
      <w:r w:rsidR="00823F92">
        <w:rPr>
          <w:lang w:val="en-US"/>
        </w:rPr>
        <w:t xml:space="preserve"> </w:t>
      </w:r>
      <w:r>
        <w:rPr>
          <w:lang w:val="en-US"/>
        </w:rPr>
        <w:t>wel</w:t>
      </w:r>
      <w:r w:rsidR="00823F92">
        <w:rPr>
          <w:lang w:val="en-US"/>
        </w:rPr>
        <w:t xml:space="preserve">l </w:t>
      </w:r>
      <w:proofErr w:type="spellStart"/>
      <w:r>
        <w:rPr>
          <w:lang w:val="en-US"/>
        </w:rPr>
        <w:t>recognised</w:t>
      </w:r>
      <w:proofErr w:type="spellEnd"/>
      <w:r w:rsidR="00823F92">
        <w:rPr>
          <w:lang w:val="en-US"/>
        </w:rPr>
        <w:t xml:space="preserve">, </w:t>
      </w:r>
      <w:r>
        <w:rPr>
          <w:lang w:val="en-US"/>
        </w:rPr>
        <w:t>i</w:t>
      </w:r>
      <w:r w:rsidR="00823F92" w:rsidRPr="00C41539">
        <w:rPr>
          <w:lang w:val="en-US"/>
        </w:rPr>
        <w:t>n</w:t>
      </w:r>
      <w:r w:rsidR="00823F92">
        <w:rPr>
          <w:lang w:val="en-US"/>
        </w:rPr>
        <w:t xml:space="preserve"> </w:t>
      </w:r>
      <w:r w:rsidRPr="00C41539">
        <w:rPr>
          <w:lang w:val="en-US"/>
        </w:rPr>
        <w:t>par</w:t>
      </w:r>
      <w:r w:rsidR="00823F92" w:rsidRPr="00C41539">
        <w:rPr>
          <w:lang w:val="en-US"/>
        </w:rPr>
        <w:t>t</w:t>
      </w:r>
      <w:r w:rsidR="00823F92">
        <w:rPr>
          <w:lang w:val="en-US"/>
        </w:rPr>
        <w:t xml:space="preserve"> </w:t>
      </w:r>
      <w:r w:rsidRPr="00C41539">
        <w:rPr>
          <w:lang w:val="en-US"/>
        </w:rPr>
        <w:t>du</w:t>
      </w:r>
      <w:r w:rsidR="00823F92" w:rsidRPr="00C41539">
        <w:rPr>
          <w:lang w:val="en-US"/>
        </w:rPr>
        <w:t>e</w:t>
      </w:r>
      <w:r w:rsidR="00823F92">
        <w:rPr>
          <w:lang w:val="en-US"/>
        </w:rPr>
        <w:t xml:space="preserve"> </w:t>
      </w:r>
      <w:r w:rsidRPr="00C41539">
        <w:rPr>
          <w:lang w:val="en-US"/>
        </w:rPr>
        <w:t>t</w:t>
      </w:r>
      <w:r w:rsidR="00823F92" w:rsidRPr="00C41539">
        <w:rPr>
          <w:lang w:val="en-US"/>
        </w:rPr>
        <w:t>o</w:t>
      </w:r>
      <w:r w:rsidR="00823F92">
        <w:rPr>
          <w:lang w:val="en-US"/>
        </w:rPr>
        <w:t xml:space="preserve"> </w:t>
      </w:r>
      <w:r w:rsidRPr="00C41539">
        <w:rPr>
          <w:lang w:val="en-US"/>
        </w:rPr>
        <w:t>th</w:t>
      </w:r>
      <w:r w:rsidR="00823F92" w:rsidRPr="00C41539">
        <w:rPr>
          <w:lang w:val="en-US"/>
        </w:rPr>
        <w:t>e</w:t>
      </w:r>
      <w:r w:rsidR="00823F92">
        <w:rPr>
          <w:lang w:val="en-US"/>
        </w:rPr>
        <w:t xml:space="preserve"> </w:t>
      </w:r>
      <w:r w:rsidRPr="00C41539">
        <w:rPr>
          <w:lang w:val="en-US"/>
        </w:rPr>
        <w:t>COVID-1</w:t>
      </w:r>
      <w:r w:rsidR="00823F92" w:rsidRPr="00C41539">
        <w:rPr>
          <w:lang w:val="en-US"/>
        </w:rPr>
        <w:t>9</w:t>
      </w:r>
      <w:r w:rsidR="00823F92">
        <w:rPr>
          <w:lang w:val="en-US"/>
        </w:rPr>
        <w:t xml:space="preserve"> </w:t>
      </w:r>
      <w:r w:rsidRPr="00C41539">
        <w:rPr>
          <w:lang w:val="en-US"/>
        </w:rPr>
        <w:t>pandemic</w:t>
      </w:r>
      <w:r w:rsidR="00823F92" w:rsidRPr="00C41539">
        <w:rPr>
          <w:lang w:val="en-US"/>
        </w:rPr>
        <w:t>.</w:t>
      </w:r>
      <w:r w:rsidR="00823F92">
        <w:rPr>
          <w:lang w:val="en-US"/>
        </w:rPr>
        <w:t xml:space="preserve"> </w:t>
      </w:r>
      <w:r w:rsidRPr="00C41539">
        <w:rPr>
          <w:lang w:val="en-US"/>
        </w:rPr>
        <w:t>Whil</w:t>
      </w:r>
      <w:r w:rsidR="00823F92" w:rsidRPr="00C41539">
        <w:rPr>
          <w:lang w:val="en-US"/>
        </w:rPr>
        <w:t>e</w:t>
      </w:r>
      <w:r w:rsidR="00823F92">
        <w:rPr>
          <w:lang w:val="en-US"/>
        </w:rPr>
        <w:t xml:space="preserve"> </w:t>
      </w:r>
      <w:r w:rsidRPr="00C41539">
        <w:rPr>
          <w:lang w:val="en-US"/>
        </w:rPr>
        <w:t>ther</w:t>
      </w:r>
      <w:r w:rsidR="00823F92" w:rsidRPr="00C41539">
        <w:rPr>
          <w:lang w:val="en-US"/>
        </w:rPr>
        <w:t>e</w:t>
      </w:r>
      <w:r w:rsidR="00823F92">
        <w:rPr>
          <w:lang w:val="en-US"/>
        </w:rPr>
        <w:t xml:space="preserve"> </w:t>
      </w:r>
      <w:r w:rsidRPr="00C41539">
        <w:rPr>
          <w:lang w:val="en-US"/>
        </w:rPr>
        <w:t>i</w:t>
      </w:r>
      <w:r w:rsidR="00823F92" w:rsidRPr="00C41539">
        <w:rPr>
          <w:lang w:val="en-US"/>
        </w:rPr>
        <w:t>s</w:t>
      </w:r>
      <w:r w:rsidR="00823F92">
        <w:rPr>
          <w:lang w:val="en-US"/>
        </w:rPr>
        <w:t xml:space="preserve"> </w:t>
      </w:r>
      <w:r w:rsidRPr="00C41539">
        <w:rPr>
          <w:lang w:val="en-US"/>
        </w:rPr>
        <w:t>broa</w:t>
      </w:r>
      <w:r w:rsidR="00823F92" w:rsidRPr="00C41539">
        <w:rPr>
          <w:lang w:val="en-US"/>
        </w:rPr>
        <w:t>d</w:t>
      </w:r>
      <w:r w:rsidR="00823F92">
        <w:rPr>
          <w:lang w:val="en-US"/>
        </w:rPr>
        <w:t xml:space="preserve"> </w:t>
      </w:r>
      <w:r w:rsidRPr="00C41539">
        <w:rPr>
          <w:lang w:val="en-US"/>
        </w:rPr>
        <w:t>suppor</w:t>
      </w:r>
      <w:r w:rsidR="00823F92" w:rsidRPr="00C41539">
        <w:rPr>
          <w:lang w:val="en-US"/>
        </w:rPr>
        <w:t>t</w:t>
      </w:r>
      <w:r w:rsidR="00823F92">
        <w:rPr>
          <w:lang w:val="en-US"/>
        </w:rPr>
        <w:t xml:space="preserve"> </w:t>
      </w:r>
      <w:r w:rsidRPr="00C41539">
        <w:rPr>
          <w:lang w:val="en-US"/>
        </w:rPr>
        <w:t>fo</w:t>
      </w:r>
      <w:r w:rsidR="00823F92" w:rsidRPr="00C41539">
        <w:rPr>
          <w:lang w:val="en-US"/>
        </w:rPr>
        <w:t>r</w:t>
      </w:r>
      <w:r w:rsidR="00823F92">
        <w:rPr>
          <w:lang w:val="en-US"/>
        </w:rPr>
        <w:t xml:space="preserve"> </w:t>
      </w:r>
      <w:r w:rsidRPr="00C41539">
        <w:rPr>
          <w:lang w:val="en-US"/>
        </w:rPr>
        <w:t>increase</w:t>
      </w:r>
      <w:r w:rsidR="00823F92" w:rsidRPr="00C41539">
        <w:rPr>
          <w:lang w:val="en-US"/>
        </w:rPr>
        <w:t>d</w:t>
      </w:r>
      <w:r w:rsidR="00823F92">
        <w:rPr>
          <w:lang w:val="en-US"/>
        </w:rPr>
        <w:t xml:space="preserve"> </w:t>
      </w:r>
      <w:r w:rsidRPr="00C41539">
        <w:rPr>
          <w:lang w:val="en-US"/>
        </w:rPr>
        <w:t>blende</w:t>
      </w:r>
      <w:r w:rsidR="00823F92" w:rsidRPr="00C41539">
        <w:rPr>
          <w:lang w:val="en-US"/>
        </w:rPr>
        <w:t>d</w:t>
      </w:r>
      <w:r w:rsidR="00823F92">
        <w:rPr>
          <w:lang w:val="en-US"/>
        </w:rPr>
        <w:t xml:space="preserve"> </w:t>
      </w:r>
      <w:r w:rsidRPr="00C41539">
        <w:rPr>
          <w:lang w:val="en-US"/>
        </w:rPr>
        <w:t>deliver</w:t>
      </w:r>
      <w:r w:rsidR="00823F92" w:rsidRPr="00C41539">
        <w:rPr>
          <w:lang w:val="en-US"/>
        </w:rPr>
        <w:t>y</w:t>
      </w:r>
      <w:r w:rsidR="00823F92">
        <w:rPr>
          <w:lang w:val="en-US"/>
        </w:rPr>
        <w:t xml:space="preserve"> </w:t>
      </w:r>
      <w:r w:rsidRPr="00C41539">
        <w:rPr>
          <w:lang w:val="en-US"/>
        </w:rPr>
        <w:t>throug</w:t>
      </w:r>
      <w:r w:rsidR="00823F92" w:rsidRPr="00C41539">
        <w:rPr>
          <w:lang w:val="en-US"/>
        </w:rPr>
        <w:t>h</w:t>
      </w:r>
      <w:r w:rsidR="00823F92">
        <w:rPr>
          <w:lang w:val="en-US"/>
        </w:rPr>
        <w:t xml:space="preserve"> </w:t>
      </w:r>
      <w:r w:rsidRPr="00C41539">
        <w:rPr>
          <w:lang w:val="en-US"/>
        </w:rPr>
        <w:t>onlin</w:t>
      </w:r>
      <w:r w:rsidR="00823F92" w:rsidRPr="00C41539">
        <w:rPr>
          <w:lang w:val="en-US"/>
        </w:rPr>
        <w:t>e</w:t>
      </w:r>
      <w:r w:rsidR="00823F92">
        <w:rPr>
          <w:lang w:val="en-US"/>
        </w:rPr>
        <w:t xml:space="preserve"> </w:t>
      </w:r>
      <w:r w:rsidRPr="00C41539">
        <w:rPr>
          <w:lang w:val="en-US"/>
        </w:rPr>
        <w:t>platforms</w:t>
      </w:r>
      <w:r w:rsidR="00823F92" w:rsidRPr="00C41539">
        <w:rPr>
          <w:lang w:val="en-US"/>
        </w:rPr>
        <w:t>,</w:t>
      </w:r>
      <w:r w:rsidR="00823F92">
        <w:rPr>
          <w:lang w:val="en-US"/>
        </w:rPr>
        <w:t xml:space="preserve"> </w:t>
      </w:r>
      <w:r>
        <w:rPr>
          <w:lang w:val="en-US"/>
        </w:rPr>
        <w:t>ther</w:t>
      </w:r>
      <w:r w:rsidR="00823F92">
        <w:rPr>
          <w:lang w:val="en-US"/>
        </w:rPr>
        <w:t xml:space="preserve">e </w:t>
      </w:r>
      <w:r>
        <w:rPr>
          <w:lang w:val="en-US"/>
        </w:rPr>
        <w:t>i</w:t>
      </w:r>
      <w:r w:rsidR="00823F92">
        <w:rPr>
          <w:lang w:val="en-US"/>
        </w:rPr>
        <w:t xml:space="preserve">s a </w:t>
      </w:r>
      <w:r w:rsidRPr="00C41539">
        <w:rPr>
          <w:lang w:val="en-US"/>
        </w:rPr>
        <w:t>nee</w:t>
      </w:r>
      <w:r w:rsidR="00823F92" w:rsidRPr="00C41539">
        <w:rPr>
          <w:lang w:val="en-US"/>
        </w:rPr>
        <w:t>d</w:t>
      </w:r>
      <w:r w:rsidR="00823F92">
        <w:rPr>
          <w:lang w:val="en-US"/>
        </w:rPr>
        <w:t xml:space="preserve"> </w:t>
      </w:r>
      <w:r w:rsidRPr="00C41539">
        <w:rPr>
          <w:lang w:val="en-US"/>
        </w:rPr>
        <w:t>fo</w:t>
      </w:r>
      <w:r w:rsidR="00823F92" w:rsidRPr="00C41539">
        <w:rPr>
          <w:lang w:val="en-US"/>
        </w:rPr>
        <w:t>r</w:t>
      </w:r>
      <w:r w:rsidR="00823F92">
        <w:rPr>
          <w:lang w:val="en-US"/>
        </w:rPr>
        <w:t xml:space="preserve"> </w:t>
      </w:r>
      <w:r w:rsidRPr="00C41539">
        <w:rPr>
          <w:lang w:val="en-US"/>
        </w:rPr>
        <w:t>appropriat</w:t>
      </w:r>
      <w:r w:rsidR="00823F92" w:rsidRPr="00C41539">
        <w:rPr>
          <w:lang w:val="en-US"/>
        </w:rPr>
        <w:t>e</w:t>
      </w:r>
      <w:r w:rsidR="00823F92">
        <w:rPr>
          <w:lang w:val="en-US"/>
        </w:rPr>
        <w:t xml:space="preserve"> </w:t>
      </w:r>
      <w:r w:rsidRPr="00C41539">
        <w:rPr>
          <w:lang w:val="en-US"/>
        </w:rPr>
        <w:t>complianc</w:t>
      </w:r>
      <w:r w:rsidR="00823F92" w:rsidRPr="00C41539">
        <w:rPr>
          <w:lang w:val="en-US"/>
        </w:rPr>
        <w:t>e</w:t>
      </w:r>
      <w:r w:rsidR="00823F92">
        <w:rPr>
          <w:lang w:val="en-US"/>
        </w:rPr>
        <w:t xml:space="preserve"> </w:t>
      </w:r>
      <w:r w:rsidRPr="00C41539">
        <w:rPr>
          <w:lang w:val="en-US"/>
        </w:rPr>
        <w:t>mechanism</w:t>
      </w:r>
      <w:r w:rsidR="00823F92" w:rsidRPr="00C41539">
        <w:rPr>
          <w:lang w:val="en-US"/>
        </w:rPr>
        <w:t>s</w:t>
      </w:r>
      <w:r w:rsidR="00823F92">
        <w:rPr>
          <w:lang w:val="en-US"/>
        </w:rPr>
        <w:t xml:space="preserve"> </w:t>
      </w:r>
      <w:r w:rsidRPr="00C41539">
        <w:rPr>
          <w:lang w:val="en-US"/>
        </w:rPr>
        <w:t>t</w:t>
      </w:r>
      <w:r w:rsidR="00823F92" w:rsidRPr="00C41539">
        <w:rPr>
          <w:lang w:val="en-US"/>
        </w:rPr>
        <w:t>o</w:t>
      </w:r>
      <w:r w:rsidR="00823F92">
        <w:rPr>
          <w:lang w:val="en-US"/>
        </w:rPr>
        <w:t xml:space="preserve"> </w:t>
      </w:r>
      <w:r w:rsidRPr="00C41539">
        <w:rPr>
          <w:lang w:val="en-US"/>
        </w:rPr>
        <w:t>ensur</w:t>
      </w:r>
      <w:r w:rsidR="00823F92" w:rsidRPr="00C41539">
        <w:rPr>
          <w:lang w:val="en-US"/>
        </w:rPr>
        <w:t>e</w:t>
      </w:r>
      <w:r w:rsidR="00823F92">
        <w:rPr>
          <w:lang w:val="en-US"/>
        </w:rPr>
        <w:t xml:space="preserve"> </w:t>
      </w:r>
      <w:r w:rsidRPr="00C41539">
        <w:rPr>
          <w:lang w:val="en-US"/>
        </w:rPr>
        <w:t>tha</w:t>
      </w:r>
      <w:r w:rsidR="00823F92" w:rsidRPr="00C41539">
        <w:rPr>
          <w:lang w:val="en-US"/>
        </w:rPr>
        <w:t>t</w:t>
      </w:r>
      <w:r w:rsidR="00823F92">
        <w:rPr>
          <w:lang w:val="en-US"/>
        </w:rPr>
        <w:t xml:space="preserve"> </w:t>
      </w:r>
      <w:r w:rsidRPr="00C41539">
        <w:rPr>
          <w:lang w:val="en-US"/>
        </w:rPr>
        <w:t>qualit</w:t>
      </w:r>
      <w:r w:rsidR="00823F92" w:rsidRPr="00C41539">
        <w:rPr>
          <w:lang w:val="en-US"/>
        </w:rPr>
        <w:t>y</w:t>
      </w:r>
      <w:r w:rsidR="00823F92">
        <w:rPr>
          <w:lang w:val="en-US"/>
        </w:rPr>
        <w:t xml:space="preserve"> </w:t>
      </w:r>
      <w:r w:rsidRPr="00C41539">
        <w:rPr>
          <w:lang w:val="en-US"/>
        </w:rPr>
        <w:t>i</w:t>
      </w:r>
      <w:r w:rsidR="00823F92" w:rsidRPr="00C41539">
        <w:rPr>
          <w:lang w:val="en-US"/>
        </w:rPr>
        <w:t>s</w:t>
      </w:r>
      <w:r w:rsidR="00823F92">
        <w:rPr>
          <w:lang w:val="en-US"/>
        </w:rPr>
        <w:t xml:space="preserve"> </w:t>
      </w:r>
      <w:r w:rsidRPr="00C41539">
        <w:rPr>
          <w:lang w:val="en-US"/>
        </w:rPr>
        <w:t>maintained</w:t>
      </w:r>
      <w:r w:rsidR="00823F92" w:rsidRPr="00C41539">
        <w:rPr>
          <w:lang w:val="en-US"/>
        </w:rPr>
        <w:t>.</w:t>
      </w:r>
      <w:r w:rsidR="00823F92">
        <w:rPr>
          <w:lang w:val="en-US"/>
        </w:rPr>
        <w:t xml:space="preserve"> </w:t>
      </w:r>
      <w:r>
        <w:rPr>
          <w:lang w:val="en-US"/>
        </w:rPr>
        <w:t>Similarly</w:t>
      </w:r>
      <w:r w:rsidR="00823F92">
        <w:rPr>
          <w:lang w:val="en-US"/>
        </w:rPr>
        <w:t xml:space="preserve">, </w:t>
      </w:r>
      <w:r>
        <w:rPr>
          <w:lang w:val="en-US"/>
        </w:rPr>
        <w:t>whil</w:t>
      </w:r>
      <w:r w:rsidR="00823F92">
        <w:rPr>
          <w:lang w:val="en-US"/>
        </w:rPr>
        <w:t xml:space="preserve">e </w:t>
      </w:r>
      <w:r>
        <w:rPr>
          <w:lang w:val="en-US"/>
        </w:rPr>
        <w:t>distanc</w:t>
      </w:r>
      <w:r w:rsidR="00823F92">
        <w:rPr>
          <w:lang w:val="en-US"/>
        </w:rPr>
        <w:t xml:space="preserve">e </w:t>
      </w:r>
      <w:r>
        <w:rPr>
          <w:lang w:val="en-US"/>
        </w:rPr>
        <w:t>educatio</w:t>
      </w:r>
      <w:r w:rsidR="00823F92">
        <w:rPr>
          <w:lang w:val="en-US"/>
        </w:rPr>
        <w:t xml:space="preserve">n </w:t>
      </w:r>
      <w:r>
        <w:rPr>
          <w:lang w:val="en-US"/>
        </w:rPr>
        <w:t>option</w:t>
      </w:r>
      <w:r w:rsidR="00823F92">
        <w:rPr>
          <w:lang w:val="en-US"/>
        </w:rPr>
        <w:t xml:space="preserve">s </w:t>
      </w:r>
      <w:r>
        <w:rPr>
          <w:lang w:val="en-US"/>
        </w:rPr>
        <w:t>ar</w:t>
      </w:r>
      <w:r w:rsidR="00823F92">
        <w:rPr>
          <w:lang w:val="en-US"/>
        </w:rPr>
        <w:t xml:space="preserve">e </w:t>
      </w:r>
      <w:r>
        <w:rPr>
          <w:lang w:val="en-US"/>
        </w:rPr>
        <w:t>increasingl</w:t>
      </w:r>
      <w:r w:rsidR="00823F92">
        <w:rPr>
          <w:lang w:val="en-US"/>
        </w:rPr>
        <w:t xml:space="preserve">y </w:t>
      </w:r>
      <w:r>
        <w:rPr>
          <w:lang w:val="en-US"/>
        </w:rPr>
        <w:t>available</w:t>
      </w:r>
      <w:r w:rsidR="00823F92">
        <w:rPr>
          <w:lang w:val="en-US"/>
        </w:rPr>
        <w:t xml:space="preserve">, </w:t>
      </w:r>
      <w:r>
        <w:rPr>
          <w:lang w:val="en-US"/>
        </w:rPr>
        <w:t>d</w:t>
      </w:r>
      <w:r w:rsidRPr="006C4490">
        <w:rPr>
          <w:lang w:val="en-US"/>
        </w:rPr>
        <w:t>ifficult</w:t>
      </w:r>
      <w:r w:rsidR="00823F92" w:rsidRPr="006C4490">
        <w:rPr>
          <w:lang w:val="en-US"/>
        </w:rPr>
        <w:t>y</w:t>
      </w:r>
      <w:r w:rsidR="00823F92">
        <w:rPr>
          <w:lang w:val="en-US"/>
        </w:rPr>
        <w:t xml:space="preserve"> </w:t>
      </w:r>
      <w:r w:rsidRPr="006C4490">
        <w:rPr>
          <w:lang w:val="en-US"/>
        </w:rPr>
        <w:t>accessin</w:t>
      </w:r>
      <w:r w:rsidR="00823F92" w:rsidRPr="006C4490">
        <w:rPr>
          <w:lang w:val="en-US"/>
        </w:rPr>
        <w:t>g</w:t>
      </w:r>
      <w:r w:rsidR="00823F92">
        <w:rPr>
          <w:lang w:val="en-US"/>
        </w:rPr>
        <w:t xml:space="preserve"> </w:t>
      </w:r>
      <w:r w:rsidRPr="006C4490">
        <w:rPr>
          <w:lang w:val="en-US"/>
        </w:rPr>
        <w:t>qualit</w:t>
      </w:r>
      <w:r w:rsidR="00823F92" w:rsidRPr="006C4490">
        <w:rPr>
          <w:lang w:val="en-US"/>
        </w:rPr>
        <w:t>y</w:t>
      </w:r>
      <w:r w:rsidR="00823F92">
        <w:rPr>
          <w:lang w:val="en-US"/>
        </w:rPr>
        <w:t xml:space="preserve"> </w:t>
      </w:r>
      <w:r w:rsidRPr="006C4490">
        <w:rPr>
          <w:lang w:val="en-US"/>
        </w:rPr>
        <w:t>placement</w:t>
      </w:r>
      <w:r w:rsidR="00823F92" w:rsidRPr="006C4490">
        <w:rPr>
          <w:lang w:val="en-US"/>
        </w:rPr>
        <w:t>s</w:t>
      </w:r>
      <w:r w:rsidR="00823F92">
        <w:rPr>
          <w:lang w:val="en-US"/>
        </w:rPr>
        <w:t xml:space="preserve"> </w:t>
      </w:r>
      <w:r>
        <w:rPr>
          <w:lang w:val="en-US"/>
        </w:rPr>
        <w:t>wit</w:t>
      </w:r>
      <w:r w:rsidR="00823F92">
        <w:rPr>
          <w:lang w:val="en-US"/>
        </w:rPr>
        <w:t xml:space="preserve">h </w:t>
      </w:r>
      <w:r>
        <w:rPr>
          <w:lang w:val="en-US"/>
        </w:rPr>
        <w:t>appropriat</w:t>
      </w:r>
      <w:r w:rsidR="00823F92">
        <w:rPr>
          <w:lang w:val="en-US"/>
        </w:rPr>
        <w:t xml:space="preserve">e </w:t>
      </w:r>
      <w:r>
        <w:rPr>
          <w:lang w:val="en-US"/>
        </w:rPr>
        <w:t>supervisor</w:t>
      </w:r>
      <w:r w:rsidR="00823F92">
        <w:rPr>
          <w:lang w:val="en-US"/>
        </w:rPr>
        <w:t xml:space="preserve">y </w:t>
      </w:r>
      <w:r>
        <w:rPr>
          <w:lang w:val="en-US"/>
        </w:rPr>
        <w:t>arrangement</w:t>
      </w:r>
      <w:r w:rsidR="00823F92">
        <w:rPr>
          <w:lang w:val="en-US"/>
        </w:rPr>
        <w:t xml:space="preserve">s </w:t>
      </w:r>
      <w:r w:rsidRPr="006C4490">
        <w:rPr>
          <w:lang w:val="en-US"/>
        </w:rPr>
        <w:t>i</w:t>
      </w:r>
      <w:r w:rsidR="00823F92" w:rsidRPr="006C4490">
        <w:rPr>
          <w:lang w:val="en-US"/>
        </w:rPr>
        <w:t>n</w:t>
      </w:r>
      <w:r w:rsidR="00823F92">
        <w:rPr>
          <w:lang w:val="en-US"/>
        </w:rPr>
        <w:t xml:space="preserve"> </w:t>
      </w:r>
      <w:r w:rsidRPr="006C4490">
        <w:rPr>
          <w:lang w:val="en-US"/>
        </w:rPr>
        <w:t>rura</w:t>
      </w:r>
      <w:r w:rsidR="00823F92" w:rsidRPr="006C4490">
        <w:rPr>
          <w:lang w:val="en-US"/>
        </w:rPr>
        <w:t>l</w:t>
      </w:r>
      <w:r w:rsidR="00823F92">
        <w:rPr>
          <w:lang w:val="en-US"/>
        </w:rPr>
        <w:t xml:space="preserve"> </w:t>
      </w:r>
      <w:r w:rsidRPr="006C4490">
        <w:rPr>
          <w:lang w:val="en-US"/>
        </w:rPr>
        <w:t>an</w:t>
      </w:r>
      <w:r w:rsidR="00823F92" w:rsidRPr="006C4490">
        <w:rPr>
          <w:lang w:val="en-US"/>
        </w:rPr>
        <w:t>d</w:t>
      </w:r>
      <w:r w:rsidR="00823F92">
        <w:rPr>
          <w:lang w:val="en-US"/>
        </w:rPr>
        <w:t xml:space="preserve"> </w:t>
      </w:r>
      <w:r w:rsidRPr="006C4490">
        <w:rPr>
          <w:lang w:val="en-US"/>
        </w:rPr>
        <w:t>remot</w:t>
      </w:r>
      <w:r w:rsidR="00823F92" w:rsidRPr="006C4490">
        <w:rPr>
          <w:lang w:val="en-US"/>
        </w:rPr>
        <w:t>e</w:t>
      </w:r>
      <w:r w:rsidR="00823F92">
        <w:rPr>
          <w:lang w:val="en-US"/>
        </w:rPr>
        <w:t xml:space="preserve"> </w:t>
      </w:r>
      <w:r w:rsidRPr="006C4490">
        <w:rPr>
          <w:lang w:val="en-US"/>
        </w:rPr>
        <w:t>location</w:t>
      </w:r>
      <w:r w:rsidR="00823F92" w:rsidRPr="006C4490">
        <w:rPr>
          <w:lang w:val="en-US"/>
        </w:rPr>
        <w:t>s</w:t>
      </w:r>
      <w:r w:rsidR="00823F92">
        <w:rPr>
          <w:lang w:val="en-US"/>
        </w:rPr>
        <w:t xml:space="preserve"> </w:t>
      </w:r>
      <w:r w:rsidRPr="006C4490">
        <w:rPr>
          <w:lang w:val="en-US"/>
        </w:rPr>
        <w:t>impact</w:t>
      </w:r>
      <w:r w:rsidR="00823F92" w:rsidRPr="006C4490">
        <w:rPr>
          <w:lang w:val="en-US"/>
        </w:rPr>
        <w:t>s</w:t>
      </w:r>
      <w:r w:rsidR="00823F92">
        <w:rPr>
          <w:lang w:val="en-US"/>
        </w:rPr>
        <w:t xml:space="preserve"> </w:t>
      </w:r>
      <w:r w:rsidRPr="006C4490">
        <w:rPr>
          <w:lang w:val="en-US"/>
        </w:rPr>
        <w:t>th</w:t>
      </w:r>
      <w:r w:rsidR="00823F92" w:rsidRPr="006C4490">
        <w:rPr>
          <w:lang w:val="en-US"/>
        </w:rPr>
        <w:t>e</w:t>
      </w:r>
      <w:r w:rsidR="00823F92">
        <w:rPr>
          <w:lang w:val="en-US"/>
        </w:rPr>
        <w:t xml:space="preserve"> </w:t>
      </w:r>
      <w:r w:rsidRPr="006C4490">
        <w:rPr>
          <w:lang w:val="en-US"/>
        </w:rPr>
        <w:t>attractivenes</w:t>
      </w:r>
      <w:r w:rsidR="00823F92" w:rsidRPr="006C4490">
        <w:rPr>
          <w:lang w:val="en-US"/>
        </w:rPr>
        <w:t>s</w:t>
      </w:r>
      <w:r w:rsidR="00823F92">
        <w:rPr>
          <w:lang w:val="en-US"/>
        </w:rPr>
        <w:t xml:space="preserve"> </w:t>
      </w:r>
      <w:r w:rsidRPr="006C4490">
        <w:rPr>
          <w:lang w:val="en-US"/>
        </w:rPr>
        <w:t>o</w:t>
      </w:r>
      <w:r w:rsidR="00823F92" w:rsidRPr="006C4490">
        <w:rPr>
          <w:lang w:val="en-US"/>
        </w:rPr>
        <w:t>f</w:t>
      </w:r>
      <w:r w:rsidR="00823F92">
        <w:rPr>
          <w:lang w:val="en-US"/>
        </w:rPr>
        <w:t xml:space="preserve"> </w:t>
      </w:r>
      <w:r>
        <w:rPr>
          <w:lang w:val="en-US"/>
        </w:rPr>
        <w:t>thes</w:t>
      </w:r>
      <w:r w:rsidR="00823F92">
        <w:rPr>
          <w:lang w:val="en-US"/>
        </w:rPr>
        <w:t xml:space="preserve">e </w:t>
      </w:r>
      <w:r>
        <w:rPr>
          <w:lang w:val="en-US"/>
        </w:rPr>
        <w:t>option</w:t>
      </w:r>
      <w:r w:rsidR="00823F92">
        <w:rPr>
          <w:lang w:val="en-US"/>
        </w:rPr>
        <w:t xml:space="preserve">s </w:t>
      </w:r>
      <w:r>
        <w:rPr>
          <w:lang w:val="en-US"/>
        </w:rPr>
        <w:t>fo</w:t>
      </w:r>
      <w:r w:rsidR="00823F92">
        <w:rPr>
          <w:lang w:val="en-US"/>
        </w:rPr>
        <w:t xml:space="preserve">r </w:t>
      </w:r>
      <w:r>
        <w:rPr>
          <w:lang w:val="en-US"/>
        </w:rPr>
        <w:t>man</w:t>
      </w:r>
      <w:r w:rsidR="00823F92">
        <w:rPr>
          <w:lang w:val="en-US"/>
        </w:rPr>
        <w:t xml:space="preserve">y </w:t>
      </w:r>
      <w:r>
        <w:rPr>
          <w:lang w:val="en-US"/>
        </w:rPr>
        <w:t>students</w:t>
      </w:r>
      <w:r w:rsidR="00823F92" w:rsidRPr="006C4490">
        <w:rPr>
          <w:lang w:val="en-US"/>
        </w:rPr>
        <w:t>.</w:t>
      </w:r>
      <w:r w:rsidR="00823F92">
        <w:rPr>
          <w:lang w:val="en-US"/>
        </w:rPr>
        <w:t xml:space="preserve"> </w:t>
      </w:r>
    </w:p>
    <w:p w14:paraId="7D875154" w14:textId="6FBAB947" w:rsidR="00453F15" w:rsidRPr="000E25B1" w:rsidRDefault="00453F15" w:rsidP="008D57D0">
      <w:pPr>
        <w:pStyle w:val="Heading3nonumber"/>
        <w:keepNext/>
      </w:pPr>
      <w:r w:rsidRPr="000E25B1">
        <w:t>Aborigina</w:t>
      </w:r>
      <w:r w:rsidR="00823F92" w:rsidRPr="000E25B1">
        <w:t>l</w:t>
      </w:r>
      <w:r w:rsidR="00823F92">
        <w:t xml:space="preserve"> </w:t>
      </w:r>
      <w:r w:rsidRPr="000E25B1">
        <w:t>an</w:t>
      </w:r>
      <w:r w:rsidR="00823F92" w:rsidRPr="000E25B1">
        <w:t>d</w:t>
      </w:r>
      <w:r w:rsidR="00823F92">
        <w:t xml:space="preserve"> </w:t>
      </w:r>
      <w:r w:rsidRPr="000E25B1">
        <w:t>Torre</w:t>
      </w:r>
      <w:r w:rsidR="00823F92" w:rsidRPr="000E25B1">
        <w:t>s</w:t>
      </w:r>
      <w:r w:rsidR="00823F92">
        <w:t xml:space="preserve"> </w:t>
      </w:r>
      <w:r w:rsidRPr="000E25B1">
        <w:t>Strai</w:t>
      </w:r>
      <w:r w:rsidR="00823F92" w:rsidRPr="000E25B1">
        <w:t>t</w:t>
      </w:r>
      <w:r w:rsidR="00823F92">
        <w:t xml:space="preserve"> </w:t>
      </w:r>
      <w:r w:rsidRPr="000E25B1">
        <w:t>Islande</w:t>
      </w:r>
      <w:r w:rsidR="00823F92" w:rsidRPr="000E25B1">
        <w:t>r</w:t>
      </w:r>
      <w:r w:rsidR="00823F92">
        <w:t xml:space="preserve"> </w:t>
      </w:r>
      <w:r w:rsidRPr="000E25B1">
        <w:t>communities</w:t>
      </w:r>
    </w:p>
    <w:p w14:paraId="4B480F68" w14:textId="10F426F4" w:rsidR="00453F15" w:rsidRDefault="00453F15" w:rsidP="00301E63">
      <w:pPr>
        <w:pStyle w:val="BodyText"/>
      </w:pPr>
      <w:r>
        <w:t>Aborigina</w:t>
      </w:r>
      <w:r w:rsidR="00823F92">
        <w:t xml:space="preserve">l </w:t>
      </w:r>
      <w:r>
        <w:t>an</w:t>
      </w:r>
      <w:r w:rsidR="00823F92">
        <w:t xml:space="preserve">d </w:t>
      </w:r>
      <w:r>
        <w:t>Torre</w:t>
      </w:r>
      <w:r w:rsidR="00823F92">
        <w:t xml:space="preserve">s </w:t>
      </w:r>
      <w:r>
        <w:t>Strai</w:t>
      </w:r>
      <w:r w:rsidR="00823F92">
        <w:t xml:space="preserve">t </w:t>
      </w:r>
      <w:r>
        <w:t>Islande</w:t>
      </w:r>
      <w:r w:rsidR="00823F92">
        <w:t xml:space="preserve">r </w:t>
      </w:r>
      <w:r>
        <w:t>people</w:t>
      </w:r>
      <w:r w:rsidR="00823F92">
        <w:t xml:space="preserve">s </w:t>
      </w:r>
      <w:r>
        <w:t>ar</w:t>
      </w:r>
      <w:r w:rsidR="00823F92">
        <w:t xml:space="preserve">e </w:t>
      </w:r>
      <w:r>
        <w:t>under-represente</w:t>
      </w:r>
      <w:r w:rsidR="00823F92">
        <w:t xml:space="preserve">d </w:t>
      </w:r>
      <w:r>
        <w:t>withi</w:t>
      </w:r>
      <w:r w:rsidR="00823F92">
        <w:t xml:space="preserve">n </w:t>
      </w:r>
      <w:r>
        <w:t>th</w:t>
      </w:r>
      <w:r w:rsidR="00823F92">
        <w:t xml:space="preserve">e </w:t>
      </w:r>
      <w:r>
        <w:t>menta</w:t>
      </w:r>
      <w:r w:rsidR="00823F92">
        <w:t xml:space="preserve">l </w:t>
      </w:r>
      <w:r>
        <w:t>healt</w:t>
      </w:r>
      <w:r w:rsidR="00823F92">
        <w:t xml:space="preserve">h </w:t>
      </w:r>
      <w:r>
        <w:t>workforce</w:t>
      </w:r>
      <w:r w:rsidR="00823F92">
        <w:t xml:space="preserve">, </w:t>
      </w:r>
      <w:r>
        <w:t>bot</w:t>
      </w:r>
      <w:r w:rsidR="00823F92">
        <w:t xml:space="preserve">h </w:t>
      </w:r>
      <w:r>
        <w:t>i</w:t>
      </w:r>
      <w:r w:rsidR="00823F92">
        <w:t xml:space="preserve">n </w:t>
      </w:r>
      <w:r>
        <w:t>designate</w:t>
      </w:r>
      <w:r w:rsidR="00823F92">
        <w:t xml:space="preserve">d </w:t>
      </w:r>
      <w:r>
        <w:t>role</w:t>
      </w:r>
      <w:r w:rsidR="00823F92">
        <w:t xml:space="preserve">s </w:t>
      </w:r>
      <w:r>
        <w:t>an</w:t>
      </w:r>
      <w:r w:rsidR="00823F92">
        <w:t xml:space="preserve">d </w:t>
      </w:r>
      <w:r>
        <w:t>mor</w:t>
      </w:r>
      <w:r w:rsidR="00823F92">
        <w:t xml:space="preserve">e </w:t>
      </w:r>
      <w:r>
        <w:t>broadl</w:t>
      </w:r>
      <w:r w:rsidR="00823F92">
        <w:t xml:space="preserve">y </w:t>
      </w:r>
      <w:r>
        <w:t>acros</w:t>
      </w:r>
      <w:r w:rsidR="00823F92">
        <w:t xml:space="preserve">s </w:t>
      </w:r>
      <w:r>
        <w:t>th</w:t>
      </w:r>
      <w:r w:rsidR="00823F92">
        <w:t xml:space="preserve">e </w:t>
      </w:r>
      <w:r>
        <w:t>sector</w:t>
      </w:r>
      <w:r w:rsidR="00823F92">
        <w:t xml:space="preserve">. </w:t>
      </w:r>
      <w:r w:rsidRPr="00F874EB">
        <w:t>Despit</w:t>
      </w:r>
      <w:r w:rsidR="00823F92" w:rsidRPr="00F874EB">
        <w:t>e</w:t>
      </w:r>
      <w:r w:rsidR="00823F92">
        <w:t xml:space="preserve"> </w:t>
      </w:r>
      <w:r w:rsidRPr="00F874EB">
        <w:t>growt</w:t>
      </w:r>
      <w:r w:rsidR="00823F92" w:rsidRPr="00F874EB">
        <w:t>h</w:t>
      </w:r>
      <w:r w:rsidR="00823F92">
        <w:t xml:space="preserve"> </w:t>
      </w:r>
      <w:r w:rsidRPr="00F874EB">
        <w:t>i</w:t>
      </w:r>
      <w:r w:rsidR="00823F92" w:rsidRPr="00F874EB">
        <w:t>n</w:t>
      </w:r>
      <w:r w:rsidR="00823F92">
        <w:t xml:space="preserve"> </w:t>
      </w:r>
      <w:r w:rsidRPr="00F874EB">
        <w:t>absolut</w:t>
      </w:r>
      <w:r w:rsidR="00823F92" w:rsidRPr="00F874EB">
        <w:t>e</w:t>
      </w:r>
      <w:r w:rsidR="00823F92">
        <w:t xml:space="preserve"> </w:t>
      </w:r>
      <w:r w:rsidRPr="00F874EB">
        <w:t>numbers</w:t>
      </w:r>
      <w:r w:rsidR="00823F92" w:rsidRPr="00F874EB">
        <w:t>,</w:t>
      </w:r>
      <w:r w:rsidR="00823F92">
        <w:t xml:space="preserve"> </w:t>
      </w:r>
      <w:r w:rsidRPr="00F874EB">
        <w:t>ther</w:t>
      </w:r>
      <w:r w:rsidR="00823F92" w:rsidRPr="00F874EB">
        <w:t>e</w:t>
      </w:r>
      <w:r w:rsidR="00823F92">
        <w:t xml:space="preserve"> </w:t>
      </w:r>
      <w:r w:rsidRPr="00F874EB">
        <w:t>ha</w:t>
      </w:r>
      <w:r w:rsidR="00823F92" w:rsidRPr="00F874EB">
        <w:t>s</w:t>
      </w:r>
      <w:r w:rsidR="00823F92">
        <w:t xml:space="preserve"> </w:t>
      </w:r>
      <w:r w:rsidRPr="00F874EB">
        <w:t>bee</w:t>
      </w:r>
      <w:r w:rsidR="00823F92" w:rsidRPr="00F874EB">
        <w:t>n</w:t>
      </w:r>
      <w:r w:rsidR="00823F92">
        <w:t xml:space="preserve"> </w:t>
      </w:r>
      <w:r w:rsidRPr="00F874EB">
        <w:t>n</w:t>
      </w:r>
      <w:r w:rsidR="00823F92" w:rsidRPr="00F874EB">
        <w:t>o</w:t>
      </w:r>
      <w:r w:rsidR="00823F92">
        <w:t xml:space="preserve"> </w:t>
      </w:r>
      <w:r w:rsidRPr="00F874EB">
        <w:t>rea</w:t>
      </w:r>
      <w:r w:rsidR="00823F92" w:rsidRPr="00F874EB">
        <w:t>l</w:t>
      </w:r>
      <w:r w:rsidR="00823F92">
        <w:t xml:space="preserve"> </w:t>
      </w:r>
      <w:r w:rsidRPr="00F874EB">
        <w:t>improvemen</w:t>
      </w:r>
      <w:r w:rsidR="00823F92" w:rsidRPr="00F874EB">
        <w:t>t</w:t>
      </w:r>
      <w:r w:rsidR="00823F92">
        <w:t xml:space="preserve"> </w:t>
      </w:r>
      <w:r w:rsidRPr="00F874EB">
        <w:t>i</w:t>
      </w:r>
      <w:r w:rsidR="00823F92" w:rsidRPr="00F874EB">
        <w:t>n</w:t>
      </w:r>
      <w:r w:rsidR="00823F92">
        <w:t xml:space="preserve"> </w:t>
      </w:r>
      <w:r w:rsidRPr="00F874EB">
        <w:t>th</w:t>
      </w:r>
      <w:r w:rsidR="00823F92" w:rsidRPr="00F874EB">
        <w:t>e</w:t>
      </w:r>
      <w:r w:rsidR="00823F92">
        <w:t xml:space="preserve"> </w:t>
      </w:r>
      <w:r w:rsidRPr="00F874EB">
        <w:t>proportio</w:t>
      </w:r>
      <w:r w:rsidR="00823F92" w:rsidRPr="00F874EB">
        <w:t>n</w:t>
      </w:r>
      <w:r w:rsidR="00823F92">
        <w:t xml:space="preserve"> </w:t>
      </w:r>
      <w:r w:rsidRPr="00F874EB">
        <w:t>o</w:t>
      </w:r>
      <w:r w:rsidR="00823F92" w:rsidRPr="00F874EB">
        <w:t>f</w:t>
      </w:r>
      <w:r w:rsidR="00823F92">
        <w:t xml:space="preserve"> </w:t>
      </w:r>
      <w:r w:rsidRPr="00F874EB">
        <w:t>Aborigina</w:t>
      </w:r>
      <w:r w:rsidR="00823F92" w:rsidRPr="00F874EB">
        <w:t>l</w:t>
      </w:r>
      <w:r w:rsidR="00823F92">
        <w:t xml:space="preserve"> </w:t>
      </w:r>
      <w:r w:rsidRPr="00F874EB">
        <w:t>an</w:t>
      </w:r>
      <w:r w:rsidR="00823F92" w:rsidRPr="00F874EB">
        <w:t>d</w:t>
      </w:r>
      <w:r w:rsidR="00823F92">
        <w:t xml:space="preserve"> </w:t>
      </w:r>
      <w:r w:rsidRPr="00F874EB">
        <w:t>Torre</w:t>
      </w:r>
      <w:r w:rsidR="00823F92" w:rsidRPr="00F874EB">
        <w:t>s</w:t>
      </w:r>
      <w:r w:rsidR="00823F92">
        <w:t xml:space="preserve"> </w:t>
      </w:r>
      <w:r w:rsidRPr="00F874EB">
        <w:t>Strai</w:t>
      </w:r>
      <w:r w:rsidR="00823F92" w:rsidRPr="00F874EB">
        <w:t>t</w:t>
      </w:r>
      <w:r w:rsidR="00823F92">
        <w:t xml:space="preserve"> </w:t>
      </w:r>
      <w:r w:rsidRPr="00F874EB">
        <w:t>Islande</w:t>
      </w:r>
      <w:r w:rsidR="00823F92" w:rsidRPr="00F874EB">
        <w:t>r</w:t>
      </w:r>
      <w:r w:rsidR="00823F92">
        <w:t xml:space="preserve"> </w:t>
      </w:r>
      <w:r w:rsidRPr="00F874EB">
        <w:t>people</w:t>
      </w:r>
      <w:r w:rsidR="00823F92" w:rsidRPr="00F874EB">
        <w:t>s</w:t>
      </w:r>
      <w:r w:rsidR="00823F92">
        <w:t xml:space="preserve"> </w:t>
      </w:r>
      <w:r w:rsidRPr="00F874EB">
        <w:t>i</w:t>
      </w:r>
      <w:r w:rsidR="00823F92" w:rsidRPr="00F874EB">
        <w:t>n</w:t>
      </w:r>
      <w:r w:rsidR="00823F92">
        <w:t xml:space="preserve"> </w:t>
      </w:r>
      <w:r w:rsidRPr="00F874EB">
        <w:t>th</w:t>
      </w:r>
      <w:r w:rsidR="00823F92" w:rsidRPr="00F874EB">
        <w:t>e</w:t>
      </w:r>
      <w:r w:rsidR="00823F92">
        <w:t xml:space="preserve"> </w:t>
      </w:r>
      <w:r w:rsidRPr="00F874EB">
        <w:t>tota</w:t>
      </w:r>
      <w:r w:rsidR="00823F92" w:rsidRPr="00F874EB">
        <w:t>l</w:t>
      </w:r>
      <w:r w:rsidR="00823F92">
        <w:t xml:space="preserve"> </w:t>
      </w:r>
      <w:r w:rsidRPr="00F874EB">
        <w:t>healt</w:t>
      </w:r>
      <w:r w:rsidR="00823F92" w:rsidRPr="00F874EB">
        <w:t>h</w:t>
      </w:r>
      <w:r w:rsidR="00823F92">
        <w:t xml:space="preserve"> </w:t>
      </w:r>
      <w:r w:rsidRPr="00F874EB">
        <w:t>workforce.</w:t>
      </w:r>
    </w:p>
    <w:p w14:paraId="6F37BEB8" w14:textId="57ED0965" w:rsidR="004B112E" w:rsidRDefault="00453F15" w:rsidP="004B112E">
      <w:pPr>
        <w:pStyle w:val="BodyText"/>
      </w:pPr>
      <w:r w:rsidRPr="006C4490">
        <w:t>Th</w:t>
      </w:r>
      <w:r w:rsidR="00823F92" w:rsidRPr="006C4490">
        <w:t>e</w:t>
      </w:r>
      <w:r w:rsidR="00823F92">
        <w:t xml:space="preserve"> </w:t>
      </w:r>
      <w:r w:rsidRPr="006C4490">
        <w:t>lac</w:t>
      </w:r>
      <w:r w:rsidR="00823F92" w:rsidRPr="006C4490">
        <w:t>k</w:t>
      </w:r>
      <w:r w:rsidR="00823F92">
        <w:t xml:space="preserve"> </w:t>
      </w:r>
      <w:r w:rsidRPr="006C4490">
        <w:t>o</w:t>
      </w:r>
      <w:r w:rsidR="00823F92" w:rsidRPr="006C4490">
        <w:t>f</w:t>
      </w:r>
      <w:r w:rsidR="00823F92">
        <w:t xml:space="preserve"> </w:t>
      </w:r>
      <w:r w:rsidRPr="006C4490">
        <w:t>locally-base</w:t>
      </w:r>
      <w:r w:rsidR="00823F92" w:rsidRPr="006C4490">
        <w:t>d</w:t>
      </w:r>
      <w:r w:rsidR="00823F92">
        <w:t xml:space="preserve"> </w:t>
      </w:r>
      <w:r w:rsidRPr="006C4490">
        <w:t>course</w:t>
      </w:r>
      <w:r w:rsidR="00823F92" w:rsidRPr="006C4490">
        <w:t>s</w:t>
      </w:r>
      <w:r w:rsidR="00823F92">
        <w:t xml:space="preserve"> </w:t>
      </w:r>
      <w:r w:rsidRPr="006C4490">
        <w:t>impact</w:t>
      </w:r>
      <w:r w:rsidR="00823F92" w:rsidRPr="006C4490">
        <w:t>s</w:t>
      </w:r>
      <w:r w:rsidR="00823F92">
        <w:t xml:space="preserve"> </w:t>
      </w:r>
      <w:r w:rsidRPr="006C4490">
        <w:t>significantl</w:t>
      </w:r>
      <w:r w:rsidR="00823F92" w:rsidRPr="006C4490">
        <w:t>y</w:t>
      </w:r>
      <w:r w:rsidR="00823F92">
        <w:t xml:space="preserve"> </w:t>
      </w:r>
      <w:r w:rsidRPr="006C4490">
        <w:t>o</w:t>
      </w:r>
      <w:r w:rsidR="00823F92" w:rsidRPr="006C4490">
        <w:t>n</w:t>
      </w:r>
      <w:r w:rsidR="00823F92">
        <w:t xml:space="preserve"> </w:t>
      </w:r>
      <w:r w:rsidRPr="006C4490">
        <w:t>Aborigina</w:t>
      </w:r>
      <w:r w:rsidR="00823F92" w:rsidRPr="006C4490">
        <w:t>l</w:t>
      </w:r>
      <w:r w:rsidR="00823F92">
        <w:t xml:space="preserve"> </w:t>
      </w:r>
      <w:r w:rsidRPr="006C4490">
        <w:t>an</w:t>
      </w:r>
      <w:r w:rsidR="00823F92" w:rsidRPr="006C4490">
        <w:t>d</w:t>
      </w:r>
      <w:r w:rsidR="00823F92">
        <w:t xml:space="preserve"> </w:t>
      </w:r>
      <w:r w:rsidRPr="006C4490">
        <w:t>Torre</w:t>
      </w:r>
      <w:r w:rsidR="00823F92" w:rsidRPr="006C4490">
        <w:t>s</w:t>
      </w:r>
      <w:r w:rsidR="00823F92">
        <w:t xml:space="preserve"> </w:t>
      </w:r>
      <w:r w:rsidRPr="006C4490">
        <w:t>Strai</w:t>
      </w:r>
      <w:r w:rsidR="00823F92" w:rsidRPr="006C4490">
        <w:t>t</w:t>
      </w:r>
      <w:r w:rsidR="00823F92">
        <w:t xml:space="preserve"> </w:t>
      </w:r>
      <w:r w:rsidRPr="006C4490">
        <w:t>Islande</w:t>
      </w:r>
      <w:r w:rsidR="00823F92" w:rsidRPr="006C4490">
        <w:t>r</w:t>
      </w:r>
      <w:r w:rsidR="00823F92">
        <w:t xml:space="preserve"> </w:t>
      </w:r>
      <w:r w:rsidRPr="006C4490">
        <w:t>communitie</w:t>
      </w:r>
      <w:r w:rsidR="00823F92" w:rsidRPr="006C4490">
        <w:t>s</w:t>
      </w:r>
      <w:r w:rsidR="00823F92">
        <w:t xml:space="preserve"> </w:t>
      </w:r>
      <w:r>
        <w:t>wh</w:t>
      </w:r>
      <w:r w:rsidR="00823F92">
        <w:t xml:space="preserve">o </w:t>
      </w:r>
      <w:r>
        <w:t>fac</w:t>
      </w:r>
      <w:r w:rsidR="00823F92">
        <w:t xml:space="preserve">e </w:t>
      </w:r>
      <w:r w:rsidRPr="006C4490">
        <w:t>compoundin</w:t>
      </w:r>
      <w:r w:rsidR="00823F92" w:rsidRPr="006C4490">
        <w:t>g</w:t>
      </w:r>
      <w:r w:rsidR="00823F92">
        <w:t xml:space="preserve"> </w:t>
      </w:r>
      <w:r w:rsidRPr="006C4490">
        <w:t>barrier</w:t>
      </w:r>
      <w:r w:rsidR="00823F92" w:rsidRPr="006C4490">
        <w:t>s</w:t>
      </w:r>
      <w:r w:rsidR="00823F92">
        <w:t xml:space="preserve"> </w:t>
      </w:r>
      <w:r w:rsidRPr="006C4490">
        <w:t>t</w:t>
      </w:r>
      <w:r w:rsidR="00823F92" w:rsidRPr="006C4490">
        <w:t>o</w:t>
      </w:r>
      <w:r w:rsidR="00823F92">
        <w:t xml:space="preserve"> </w:t>
      </w:r>
      <w:r w:rsidRPr="006C4490">
        <w:t>accessin</w:t>
      </w:r>
      <w:r w:rsidR="00823F92" w:rsidRPr="006C4490">
        <w:t>g</w:t>
      </w:r>
      <w:r w:rsidR="00823F92">
        <w:t xml:space="preserve"> </w:t>
      </w:r>
      <w:r w:rsidRPr="006C4490">
        <w:t>entry-leve</w:t>
      </w:r>
      <w:r w:rsidR="00823F92" w:rsidRPr="006C4490">
        <w:t>l</w:t>
      </w:r>
      <w:r w:rsidR="00823F92">
        <w:t xml:space="preserve"> </w:t>
      </w:r>
      <w:r w:rsidRPr="006C4490">
        <w:t>training</w:t>
      </w:r>
      <w:r w:rsidR="00823F92" w:rsidRPr="006C4490">
        <w:t>,</w:t>
      </w:r>
      <w:r w:rsidR="00823F92">
        <w:t xml:space="preserve"> </w:t>
      </w:r>
      <w:r w:rsidRPr="006C4490">
        <w:t>includin</w:t>
      </w:r>
      <w:r w:rsidR="00823F92" w:rsidRPr="006C4490">
        <w:t>g</w:t>
      </w:r>
      <w:r w:rsidR="00823F92">
        <w:t xml:space="preserve"> </w:t>
      </w:r>
      <w:r w:rsidRPr="006C4490">
        <w:t>th</w:t>
      </w:r>
      <w:r w:rsidR="00823F92" w:rsidRPr="006C4490">
        <w:t>e</w:t>
      </w:r>
      <w:r w:rsidR="00823F92">
        <w:t xml:space="preserve"> </w:t>
      </w:r>
      <w:r w:rsidRPr="006C4490">
        <w:t>nee</w:t>
      </w:r>
      <w:r w:rsidR="00823F92" w:rsidRPr="006C4490">
        <w:t>d</w:t>
      </w:r>
      <w:r w:rsidR="00823F92">
        <w:t xml:space="preserve"> </w:t>
      </w:r>
      <w:r w:rsidRPr="006C4490">
        <w:t>t</w:t>
      </w:r>
      <w:r w:rsidR="00823F92" w:rsidRPr="006C4490">
        <w:t>o</w:t>
      </w:r>
      <w:r w:rsidR="00823F92">
        <w:t xml:space="preserve"> </w:t>
      </w:r>
      <w:r w:rsidRPr="006C4490">
        <w:t>spen</w:t>
      </w:r>
      <w:r w:rsidR="00823F92" w:rsidRPr="006C4490">
        <w:t>d</w:t>
      </w:r>
      <w:r w:rsidR="00823F92">
        <w:t xml:space="preserve"> </w:t>
      </w:r>
      <w:r w:rsidRPr="006C4490">
        <w:t>tim</w:t>
      </w:r>
      <w:r w:rsidR="00823F92" w:rsidRPr="006C4490">
        <w:t>e</w:t>
      </w:r>
      <w:r w:rsidR="00823F92">
        <w:t xml:space="preserve"> </w:t>
      </w:r>
      <w:r w:rsidRPr="006C4490">
        <w:t>awa</w:t>
      </w:r>
      <w:r w:rsidR="00823F92" w:rsidRPr="006C4490">
        <w:t>y</w:t>
      </w:r>
      <w:r w:rsidR="00823F92">
        <w:t xml:space="preserve"> </w:t>
      </w:r>
      <w:r w:rsidRPr="006C4490">
        <w:t>fro</w:t>
      </w:r>
      <w:r w:rsidR="00823F92" w:rsidRPr="006C4490">
        <w:t>m</w:t>
      </w:r>
      <w:r w:rsidR="00823F92">
        <w:t xml:space="preserve"> </w:t>
      </w:r>
      <w:r w:rsidRPr="006C4490">
        <w:t>community</w:t>
      </w:r>
      <w:r w:rsidR="00823F92" w:rsidRPr="006C4490">
        <w:t>,</w:t>
      </w:r>
      <w:r w:rsidR="00823F92">
        <w:t xml:space="preserve"> </w:t>
      </w:r>
      <w:r w:rsidRPr="006C4490">
        <w:t>increase</w:t>
      </w:r>
      <w:r w:rsidR="00823F92" w:rsidRPr="006C4490">
        <w:t>d</w:t>
      </w:r>
      <w:r w:rsidR="00823F92">
        <w:t xml:space="preserve"> </w:t>
      </w:r>
      <w:r w:rsidRPr="006C4490">
        <w:t>trave</w:t>
      </w:r>
      <w:r w:rsidR="00823F92" w:rsidRPr="006C4490">
        <w:t>l</w:t>
      </w:r>
      <w:r w:rsidR="00823F92">
        <w:t xml:space="preserve"> </w:t>
      </w:r>
      <w:r w:rsidRPr="006C4490">
        <w:t>cost</w:t>
      </w:r>
      <w:r w:rsidR="00823F92" w:rsidRPr="006C4490">
        <w:t>s</w:t>
      </w:r>
      <w:r w:rsidR="00823F92">
        <w:t xml:space="preserve"> </w:t>
      </w:r>
      <w:r w:rsidRPr="006C4490">
        <w:t>an</w:t>
      </w:r>
      <w:r w:rsidR="00823F92" w:rsidRPr="006C4490">
        <w:t>d</w:t>
      </w:r>
      <w:r w:rsidR="00823F92">
        <w:t xml:space="preserve"> </w:t>
      </w:r>
      <w:r w:rsidRPr="006C4490">
        <w:t>difficultie</w:t>
      </w:r>
      <w:r w:rsidR="00823F92" w:rsidRPr="006C4490">
        <w:t>s</w:t>
      </w:r>
      <w:r w:rsidR="00823F92">
        <w:t xml:space="preserve"> </w:t>
      </w:r>
      <w:r w:rsidRPr="006C4490">
        <w:t>managin</w:t>
      </w:r>
      <w:r w:rsidR="00823F92" w:rsidRPr="006C4490">
        <w:t>g</w:t>
      </w:r>
      <w:r w:rsidR="00823F92">
        <w:t xml:space="preserve"> </w:t>
      </w:r>
      <w:r w:rsidRPr="006C4490">
        <w:t>stud</w:t>
      </w:r>
      <w:r w:rsidR="00823F92" w:rsidRPr="006C4490">
        <w:t>y</w:t>
      </w:r>
      <w:r w:rsidR="00823F92">
        <w:t xml:space="preserve"> </w:t>
      </w:r>
      <w:r w:rsidRPr="006C4490">
        <w:t>wit</w:t>
      </w:r>
      <w:r w:rsidR="00823F92" w:rsidRPr="006C4490">
        <w:t>h</w:t>
      </w:r>
      <w:r w:rsidR="00823F92">
        <w:t xml:space="preserve"> </w:t>
      </w:r>
      <w:r w:rsidRPr="006C4490">
        <w:t>cultura</w:t>
      </w:r>
      <w:r w:rsidR="00823F92" w:rsidRPr="006C4490">
        <w:t>l</w:t>
      </w:r>
      <w:r w:rsidR="00823F92">
        <w:t xml:space="preserve"> </w:t>
      </w:r>
      <w:r w:rsidRPr="006C4490">
        <w:t>obligations</w:t>
      </w:r>
      <w:r w:rsidR="00823F92" w:rsidRPr="006C4490">
        <w:t>.</w:t>
      </w:r>
      <w:r w:rsidR="00823F92">
        <w:t xml:space="preserve"> </w:t>
      </w:r>
      <w:r w:rsidRPr="0051264D">
        <w:t>Aborigina</w:t>
      </w:r>
      <w:r w:rsidR="00823F92" w:rsidRPr="0051264D">
        <w:t>l</w:t>
      </w:r>
      <w:r w:rsidR="00823F92">
        <w:t xml:space="preserve"> </w:t>
      </w:r>
      <w:r w:rsidRPr="0051264D">
        <w:t>an</w:t>
      </w:r>
      <w:r w:rsidR="00823F92" w:rsidRPr="0051264D">
        <w:t>d</w:t>
      </w:r>
      <w:r w:rsidR="00823F92">
        <w:t xml:space="preserve"> </w:t>
      </w:r>
      <w:r w:rsidRPr="0051264D">
        <w:t>Torre</w:t>
      </w:r>
      <w:r w:rsidR="00823F92" w:rsidRPr="0051264D">
        <w:t>s</w:t>
      </w:r>
      <w:r w:rsidR="00823F92">
        <w:t xml:space="preserve"> </w:t>
      </w:r>
      <w:r w:rsidRPr="0051264D">
        <w:t>Strai</w:t>
      </w:r>
      <w:r w:rsidR="00823F92" w:rsidRPr="0051264D">
        <w:t>t</w:t>
      </w:r>
      <w:r w:rsidR="00823F92">
        <w:t xml:space="preserve"> </w:t>
      </w:r>
      <w:r w:rsidRPr="0051264D">
        <w:t>Islande</w:t>
      </w:r>
      <w:r w:rsidR="00823F92" w:rsidRPr="0051264D">
        <w:t>r</w:t>
      </w:r>
      <w:r w:rsidR="00823F92">
        <w:t xml:space="preserve"> </w:t>
      </w:r>
      <w:r w:rsidRPr="0051264D">
        <w:t>student</w:t>
      </w:r>
      <w:r w:rsidR="00823F92" w:rsidRPr="0051264D">
        <w:t>s</w:t>
      </w:r>
      <w:r w:rsidR="00823F92">
        <w:t xml:space="preserve"> </w:t>
      </w:r>
      <w:r w:rsidRPr="0051264D">
        <w:t>hav</w:t>
      </w:r>
      <w:r w:rsidR="00823F92" w:rsidRPr="0051264D">
        <w:t>e</w:t>
      </w:r>
      <w:r w:rsidR="00823F92">
        <w:t xml:space="preserve"> </w:t>
      </w:r>
      <w:r w:rsidR="00823F92" w:rsidRPr="0051264D">
        <w:t>a</w:t>
      </w:r>
      <w:r w:rsidR="00823F92">
        <w:t xml:space="preserve"> </w:t>
      </w:r>
      <w:r w:rsidRPr="0051264D">
        <w:t>highe</w:t>
      </w:r>
      <w:r w:rsidR="00823F92" w:rsidRPr="0051264D">
        <w:t>r</w:t>
      </w:r>
      <w:r w:rsidR="00823F92">
        <w:t xml:space="preserve"> </w:t>
      </w:r>
      <w:r w:rsidRPr="0051264D">
        <w:t>ris</w:t>
      </w:r>
      <w:r w:rsidR="00823F92" w:rsidRPr="0051264D">
        <w:t>k</w:t>
      </w:r>
      <w:r w:rsidR="00823F92">
        <w:t xml:space="preserve"> </w:t>
      </w:r>
      <w:r w:rsidRPr="0051264D">
        <w:t>o</w:t>
      </w:r>
      <w:r w:rsidR="00823F92" w:rsidRPr="0051264D">
        <w:t>f</w:t>
      </w:r>
      <w:r w:rsidR="00823F92">
        <w:t xml:space="preserve"> </w:t>
      </w:r>
      <w:r w:rsidRPr="0051264D">
        <w:t>non-completion</w:t>
      </w:r>
      <w:r w:rsidR="00823F92" w:rsidRPr="0051264D">
        <w:t>,</w:t>
      </w:r>
      <w:r w:rsidR="00823F92">
        <w:t xml:space="preserve"> </w:t>
      </w:r>
      <w:r w:rsidRPr="0051264D">
        <w:t>compare</w:t>
      </w:r>
      <w:r w:rsidR="00823F92" w:rsidRPr="0051264D">
        <w:t>d</w:t>
      </w:r>
      <w:r w:rsidR="00823F92">
        <w:t xml:space="preserve"> </w:t>
      </w:r>
      <w:r w:rsidRPr="0051264D">
        <w:t>wit</w:t>
      </w:r>
      <w:r w:rsidR="00823F92" w:rsidRPr="0051264D">
        <w:t>h</w:t>
      </w:r>
      <w:r w:rsidR="00823F92">
        <w:t xml:space="preserve"> </w:t>
      </w:r>
      <w:r w:rsidRPr="0051264D">
        <w:t>non-Indigenou</w:t>
      </w:r>
      <w:r w:rsidR="00823F92" w:rsidRPr="0051264D">
        <w:t>s</w:t>
      </w:r>
      <w:r w:rsidR="00823F92">
        <w:t xml:space="preserve"> </w:t>
      </w:r>
      <w:r w:rsidRPr="0051264D">
        <w:t>students</w:t>
      </w:r>
      <w:r w:rsidR="00823F92" w:rsidRPr="0051264D">
        <w:t>.</w:t>
      </w:r>
      <w:r w:rsidR="00823F92">
        <w:t xml:space="preserve"> </w:t>
      </w:r>
      <w:r w:rsidRPr="003A6537">
        <w:rPr>
          <w:rStyle w:val="FootnoteReference"/>
        </w:rPr>
        <w:footnoteReference w:id="32"/>
      </w:r>
      <w:r w:rsidRPr="003A6537">
        <w:t xml:space="preserve"> </w:t>
      </w:r>
    </w:p>
    <w:p w14:paraId="11898E8F" w14:textId="543D3C9B" w:rsidR="004B112E" w:rsidRDefault="004B112E" w:rsidP="004B112E">
      <w:pPr>
        <w:pStyle w:val="BodyText"/>
        <w:sectPr w:rsidR="004B112E" w:rsidSect="0057448B">
          <w:headerReference w:type="even" r:id="rId41"/>
          <w:footerReference w:type="even" r:id="rId42"/>
          <w:headerReference w:type="first" r:id="rId43"/>
          <w:footerReference w:type="first" r:id="rId44"/>
          <w:pgSz w:w="11906" w:h="16838" w:code="9"/>
          <w:pgMar w:top="1701" w:right="1134" w:bottom="1134" w:left="1418" w:header="454" w:footer="159" w:gutter="0"/>
          <w:cols w:space="708"/>
          <w:docGrid w:linePitch="360"/>
        </w:sectPr>
      </w:pPr>
    </w:p>
    <w:p w14:paraId="4C4C60D3" w14:textId="7E46F663" w:rsidR="00447F23" w:rsidRPr="00447F23" w:rsidRDefault="00447F23" w:rsidP="00447F23">
      <w:pPr>
        <w:pStyle w:val="Heading1"/>
      </w:pPr>
      <w:bookmarkStart w:id="23" w:name="_Toc99018995"/>
      <w:r w:rsidRPr="00447F23">
        <w:lastRenderedPageBreak/>
        <w:t>Occupation-specific issues</w:t>
      </w:r>
      <w:bookmarkEnd w:id="23"/>
    </w:p>
    <w:p w14:paraId="0AFD526D" w14:textId="3AF4E9DE" w:rsidR="00715863" w:rsidRPr="00715863" w:rsidRDefault="006F0E81" w:rsidP="00431942">
      <w:pPr>
        <w:pStyle w:val="BodyText"/>
      </w:pPr>
      <w:r>
        <w:t>Outsid</w:t>
      </w:r>
      <w:r w:rsidR="00823F92">
        <w:t xml:space="preserve">e </w:t>
      </w:r>
      <w:r>
        <w:t>th</w:t>
      </w:r>
      <w:r w:rsidR="00823F92">
        <w:t xml:space="preserve">e </w:t>
      </w:r>
      <w:r>
        <w:t>issue</w:t>
      </w:r>
      <w:r w:rsidR="00823F92">
        <w:t xml:space="preserve">s </w:t>
      </w:r>
      <w:r>
        <w:t>commo</w:t>
      </w:r>
      <w:r w:rsidR="00823F92">
        <w:t xml:space="preserve">n </w:t>
      </w:r>
      <w:r>
        <w:t>acros</w:t>
      </w:r>
      <w:r w:rsidR="00823F92">
        <w:t xml:space="preserve">s </w:t>
      </w:r>
      <w:r>
        <w:t>th</w:t>
      </w:r>
      <w:r w:rsidR="00823F92">
        <w:t xml:space="preserve">e </w:t>
      </w:r>
      <w:r>
        <w:t>menta</w:t>
      </w:r>
      <w:r w:rsidR="00823F92">
        <w:t xml:space="preserve">l </w:t>
      </w:r>
      <w:r>
        <w:t>healt</w:t>
      </w:r>
      <w:r w:rsidR="00823F92">
        <w:t xml:space="preserve">h </w:t>
      </w:r>
      <w:r>
        <w:t>workforce</w:t>
      </w:r>
      <w:r w:rsidR="00823F92">
        <w:t xml:space="preserve">, </w:t>
      </w:r>
      <w:r>
        <w:t>ther</w:t>
      </w:r>
      <w:r w:rsidR="00823F92">
        <w:t xml:space="preserve">e </w:t>
      </w:r>
      <w:r>
        <w:t>ar</w:t>
      </w:r>
      <w:r w:rsidR="00823F92">
        <w:t xml:space="preserve">e </w:t>
      </w:r>
      <w:r>
        <w:t>particula</w:t>
      </w:r>
      <w:r w:rsidR="00823F92">
        <w:t xml:space="preserve">r </w:t>
      </w:r>
      <w:r>
        <w:t>o</w:t>
      </w:r>
      <w:r w:rsidR="00823F92">
        <w:t xml:space="preserve">r </w:t>
      </w:r>
      <w:r>
        <w:t>uniqu</w:t>
      </w:r>
      <w:r w:rsidR="00823F92">
        <w:t xml:space="preserve">e </w:t>
      </w:r>
      <w:r>
        <w:t>challenge</w:t>
      </w:r>
      <w:r w:rsidR="00823F92">
        <w:t xml:space="preserve">s </w:t>
      </w:r>
      <w:r w:rsidR="00EB6A77">
        <w:t>fo</w:t>
      </w:r>
      <w:r w:rsidR="00823F92">
        <w:t xml:space="preserve">r </w:t>
      </w:r>
      <w:r w:rsidR="00EB6A77">
        <w:t>som</w:t>
      </w:r>
      <w:r w:rsidR="00823F92">
        <w:t xml:space="preserve">e </w:t>
      </w:r>
      <w:r w:rsidR="000B5C5D">
        <w:t>occupations</w:t>
      </w:r>
      <w:r w:rsidR="00823F92">
        <w:t xml:space="preserve">. </w:t>
      </w:r>
      <w:r w:rsidR="00431942">
        <w:t>Thi</w:t>
      </w:r>
      <w:r w:rsidR="00823F92">
        <w:t xml:space="preserve">s </w:t>
      </w:r>
      <w:r w:rsidR="00431942">
        <w:t>chapte</w:t>
      </w:r>
      <w:r w:rsidR="00823F92">
        <w:t xml:space="preserve">r </w:t>
      </w:r>
      <w:r w:rsidR="00431942">
        <w:t>outline</w:t>
      </w:r>
      <w:r w:rsidR="00823F92">
        <w:t xml:space="preserve">s </w:t>
      </w:r>
      <w:r w:rsidR="00431942">
        <w:t>th</w:t>
      </w:r>
      <w:r w:rsidR="00823F92">
        <w:t xml:space="preserve">e </w:t>
      </w:r>
      <w:r w:rsidR="00EB6A77">
        <w:t>mos</w:t>
      </w:r>
      <w:r w:rsidR="00823F92">
        <w:t xml:space="preserve">t </w:t>
      </w:r>
      <w:r w:rsidR="00EB6A77">
        <w:t>significan</w:t>
      </w:r>
      <w:r w:rsidR="00823F92">
        <w:t xml:space="preserve">t </w:t>
      </w:r>
      <w:r w:rsidR="00431942">
        <w:t>issue</w:t>
      </w:r>
      <w:r w:rsidR="00823F92">
        <w:t xml:space="preserve">s </w:t>
      </w:r>
      <w:r w:rsidR="00431942">
        <w:t>a</w:t>
      </w:r>
      <w:r w:rsidR="00823F92">
        <w:t xml:space="preserve">s </w:t>
      </w:r>
      <w:r w:rsidR="00431942">
        <w:t>identifie</w:t>
      </w:r>
      <w:r w:rsidR="00823F92">
        <w:t xml:space="preserve">d </w:t>
      </w:r>
      <w:r w:rsidR="00431942">
        <w:t>throug</w:t>
      </w:r>
      <w:r w:rsidR="00823F92">
        <w:t xml:space="preserve">h </w:t>
      </w:r>
      <w:r w:rsidR="00431942">
        <w:t>th</w:t>
      </w:r>
      <w:r w:rsidR="00823F92">
        <w:t xml:space="preserve">e </w:t>
      </w:r>
      <w:r w:rsidR="00431942">
        <w:t>literatur</w:t>
      </w:r>
      <w:r w:rsidR="00823F92">
        <w:t xml:space="preserve">e </w:t>
      </w:r>
      <w:r w:rsidR="00431942">
        <w:t>review</w:t>
      </w:r>
      <w:r w:rsidR="00823F92">
        <w:t xml:space="preserve">, </w:t>
      </w:r>
      <w:r w:rsidR="00431942">
        <w:t>dat</w:t>
      </w:r>
      <w:r w:rsidR="00823F92">
        <w:t xml:space="preserve">a </w:t>
      </w:r>
      <w:r w:rsidR="00431942">
        <w:t>analysi</w:t>
      </w:r>
      <w:r w:rsidR="00823F92">
        <w:t xml:space="preserve">s </w:t>
      </w:r>
      <w:r w:rsidR="00431942">
        <w:t>an</w:t>
      </w:r>
      <w:r w:rsidR="00823F92">
        <w:t xml:space="preserve">d </w:t>
      </w:r>
      <w:r w:rsidR="00431942">
        <w:t>consultation</w:t>
      </w:r>
      <w:r w:rsidR="00823F92">
        <w:t xml:space="preserve">s </w:t>
      </w:r>
      <w:r w:rsidR="00431942">
        <w:t>undertake</w:t>
      </w:r>
      <w:r w:rsidR="00823F92">
        <w:t xml:space="preserve">n </w:t>
      </w:r>
      <w:r w:rsidR="00431942">
        <w:t>b</w:t>
      </w:r>
      <w:r w:rsidR="00823F92">
        <w:t xml:space="preserve">y </w:t>
      </w:r>
      <w:r w:rsidR="00431942">
        <w:t>th</w:t>
      </w:r>
      <w:r w:rsidR="00823F92">
        <w:t xml:space="preserve">e </w:t>
      </w:r>
      <w:r w:rsidR="00431942">
        <w:t>Taskforc</w:t>
      </w:r>
      <w:r w:rsidR="00823F92">
        <w:t xml:space="preserve">e </w:t>
      </w:r>
      <w:r w:rsidR="00431942">
        <w:t>t</w:t>
      </w:r>
      <w:r w:rsidR="00823F92">
        <w:t xml:space="preserve">o </w:t>
      </w:r>
      <w:r w:rsidR="00431942">
        <w:t>date.</w:t>
      </w:r>
    </w:p>
    <w:p w14:paraId="3D4FD420" w14:textId="0A968591" w:rsidR="00AF5330" w:rsidRDefault="00AF5330" w:rsidP="00AF5330">
      <w:pPr>
        <w:pStyle w:val="Heading3"/>
      </w:pPr>
      <w:r>
        <w:t>Aborigina</w:t>
      </w:r>
      <w:r w:rsidR="00823F92">
        <w:t xml:space="preserve">l </w:t>
      </w:r>
      <w:r>
        <w:t>an</w:t>
      </w:r>
      <w:r w:rsidR="00823F92">
        <w:t xml:space="preserve">d </w:t>
      </w:r>
      <w:r>
        <w:t>Torre</w:t>
      </w:r>
      <w:r w:rsidR="00823F92">
        <w:t xml:space="preserve">s </w:t>
      </w:r>
      <w:r>
        <w:t>Strai</w:t>
      </w:r>
      <w:r w:rsidR="00823F92">
        <w:t xml:space="preserve">t </w:t>
      </w:r>
      <w:r>
        <w:t>Islande</w:t>
      </w:r>
      <w:r w:rsidR="00823F92">
        <w:t xml:space="preserve">r </w:t>
      </w:r>
      <w:r>
        <w:t>healt</w:t>
      </w:r>
      <w:r w:rsidR="00823F92">
        <w:t xml:space="preserve">h </w:t>
      </w:r>
      <w:r w:rsidR="00991F59">
        <w:t>practitioners</w:t>
      </w:r>
      <w:r w:rsidR="00823F92">
        <w:t xml:space="preserve">, </w:t>
      </w:r>
      <w:r w:rsidR="00991F59">
        <w:t>worker</w:t>
      </w:r>
      <w:r w:rsidR="00823F92">
        <w:t xml:space="preserve">s </w:t>
      </w:r>
      <w:r w:rsidR="001E19EB">
        <w:t>an</w:t>
      </w:r>
      <w:r w:rsidR="00823F92">
        <w:t xml:space="preserve">d </w:t>
      </w:r>
      <w:r w:rsidR="001E19EB">
        <w:t>menta</w:t>
      </w:r>
      <w:r w:rsidR="00823F92">
        <w:t xml:space="preserve">l </w:t>
      </w:r>
      <w:r w:rsidR="001E19EB">
        <w:t>healt</w:t>
      </w:r>
      <w:r w:rsidR="00823F92">
        <w:t xml:space="preserve">h </w:t>
      </w:r>
      <w:r>
        <w:t>workers</w:t>
      </w:r>
    </w:p>
    <w:p w14:paraId="3A8994A2" w14:textId="384D9CB1" w:rsidR="00AF5330" w:rsidRDefault="00AF5330" w:rsidP="00AF5330">
      <w:pPr>
        <w:pStyle w:val="BodyText"/>
        <w:rPr>
          <w:lang w:val="en-US"/>
        </w:rPr>
      </w:pPr>
      <w:r w:rsidRPr="00BC2575">
        <w:rPr>
          <w:lang w:val="en-US"/>
        </w:rPr>
        <w:t>Th</w:t>
      </w:r>
      <w:r w:rsidR="00823F92" w:rsidRPr="00BC2575">
        <w:rPr>
          <w:lang w:val="en-US"/>
        </w:rPr>
        <w:t>e</w:t>
      </w:r>
      <w:r w:rsidR="00823F92">
        <w:rPr>
          <w:lang w:val="en-US"/>
        </w:rPr>
        <w:t xml:space="preserve"> </w:t>
      </w:r>
      <w:r w:rsidRPr="00BC2575">
        <w:rPr>
          <w:lang w:val="en-US"/>
        </w:rPr>
        <w:t>issue</w:t>
      </w:r>
      <w:r w:rsidR="00823F92" w:rsidRPr="00BC2575">
        <w:rPr>
          <w:lang w:val="en-US"/>
        </w:rPr>
        <w:t>s</w:t>
      </w:r>
      <w:r w:rsidR="00823F92">
        <w:rPr>
          <w:lang w:val="en-US"/>
        </w:rPr>
        <w:t xml:space="preserve"> </w:t>
      </w:r>
      <w:r w:rsidRPr="00BC2575">
        <w:rPr>
          <w:lang w:val="en-US"/>
        </w:rPr>
        <w:t>discusse</w:t>
      </w:r>
      <w:r w:rsidR="00823F92" w:rsidRPr="00BC2575">
        <w:rPr>
          <w:lang w:val="en-US"/>
        </w:rPr>
        <w:t>d</w:t>
      </w:r>
      <w:r w:rsidR="00823F92">
        <w:rPr>
          <w:lang w:val="en-US"/>
        </w:rPr>
        <w:t xml:space="preserve"> </w:t>
      </w:r>
      <w:r>
        <w:rPr>
          <w:lang w:val="en-US"/>
        </w:rPr>
        <w:t>i</w:t>
      </w:r>
      <w:r w:rsidR="00823F92">
        <w:rPr>
          <w:lang w:val="en-US"/>
        </w:rPr>
        <w:t xml:space="preserve">n </w:t>
      </w:r>
      <w:r>
        <w:rPr>
          <w:lang w:val="en-US"/>
        </w:rPr>
        <w:t>chapte</w:t>
      </w:r>
      <w:r w:rsidR="00823F92">
        <w:rPr>
          <w:lang w:val="en-US"/>
        </w:rPr>
        <w:t xml:space="preserve">r 5 </w:t>
      </w:r>
      <w:r w:rsidRPr="00BC2575">
        <w:rPr>
          <w:lang w:val="en-US"/>
        </w:rPr>
        <w:t>ar</w:t>
      </w:r>
      <w:r w:rsidR="00823F92" w:rsidRPr="00BC2575">
        <w:rPr>
          <w:lang w:val="en-US"/>
        </w:rPr>
        <w:t>e</w:t>
      </w:r>
      <w:r w:rsidR="00823F92">
        <w:rPr>
          <w:lang w:val="en-US"/>
        </w:rPr>
        <w:t xml:space="preserve"> </w:t>
      </w:r>
      <w:r w:rsidRPr="00BC2575">
        <w:rPr>
          <w:lang w:val="en-US"/>
        </w:rPr>
        <w:t>compounde</w:t>
      </w:r>
      <w:r w:rsidR="00823F92" w:rsidRPr="00BC2575">
        <w:rPr>
          <w:lang w:val="en-US"/>
        </w:rPr>
        <w:t>d</w:t>
      </w:r>
      <w:r w:rsidR="00823F92">
        <w:rPr>
          <w:lang w:val="en-US"/>
        </w:rPr>
        <w:t xml:space="preserve"> </w:t>
      </w:r>
      <w:r w:rsidRPr="00BC2575">
        <w:rPr>
          <w:lang w:val="en-US"/>
        </w:rPr>
        <w:t>fo</w:t>
      </w:r>
      <w:r w:rsidR="00823F92" w:rsidRPr="00BC2575">
        <w:rPr>
          <w:lang w:val="en-US"/>
        </w:rPr>
        <w:t>r</w:t>
      </w:r>
      <w:r w:rsidR="00823F92">
        <w:rPr>
          <w:lang w:val="en-US"/>
        </w:rPr>
        <w:t xml:space="preserve"> </w:t>
      </w:r>
      <w:r w:rsidRPr="00BC2575">
        <w:rPr>
          <w:lang w:val="en-US"/>
        </w:rPr>
        <w:t>Aborigina</w:t>
      </w:r>
      <w:r w:rsidR="00823F92" w:rsidRPr="00BC2575">
        <w:rPr>
          <w:lang w:val="en-US"/>
        </w:rPr>
        <w:t>l</w:t>
      </w:r>
      <w:r w:rsidR="00823F92">
        <w:rPr>
          <w:lang w:val="en-US"/>
        </w:rPr>
        <w:t xml:space="preserve"> </w:t>
      </w:r>
      <w:r w:rsidRPr="00BC2575">
        <w:rPr>
          <w:lang w:val="en-US"/>
        </w:rPr>
        <w:t>an</w:t>
      </w:r>
      <w:r w:rsidR="00823F92" w:rsidRPr="00BC2575">
        <w:rPr>
          <w:lang w:val="en-US"/>
        </w:rPr>
        <w:t>d</w:t>
      </w:r>
      <w:r w:rsidR="00823F92">
        <w:rPr>
          <w:lang w:val="en-US"/>
        </w:rPr>
        <w:t xml:space="preserve"> </w:t>
      </w:r>
      <w:r w:rsidRPr="00BC2575">
        <w:rPr>
          <w:lang w:val="en-US"/>
        </w:rPr>
        <w:t>Torre</w:t>
      </w:r>
      <w:r w:rsidR="00823F92" w:rsidRPr="00BC2575">
        <w:rPr>
          <w:lang w:val="en-US"/>
        </w:rPr>
        <w:t>s</w:t>
      </w:r>
      <w:r w:rsidR="00823F92">
        <w:rPr>
          <w:lang w:val="en-US"/>
        </w:rPr>
        <w:t xml:space="preserve"> </w:t>
      </w:r>
      <w:r w:rsidRPr="00BC2575">
        <w:rPr>
          <w:lang w:val="en-US"/>
        </w:rPr>
        <w:t>Strai</w:t>
      </w:r>
      <w:r w:rsidR="00823F92" w:rsidRPr="00BC2575">
        <w:rPr>
          <w:lang w:val="en-US"/>
        </w:rPr>
        <w:t>t</w:t>
      </w:r>
      <w:r w:rsidR="00823F92">
        <w:rPr>
          <w:lang w:val="en-US"/>
        </w:rPr>
        <w:t xml:space="preserve"> </w:t>
      </w:r>
      <w:r w:rsidRPr="00BC2575">
        <w:rPr>
          <w:lang w:val="en-US"/>
        </w:rPr>
        <w:t>Islande</w:t>
      </w:r>
      <w:r w:rsidR="00823F92" w:rsidRPr="00BC2575">
        <w:rPr>
          <w:lang w:val="en-US"/>
        </w:rPr>
        <w:t>r</w:t>
      </w:r>
      <w:r w:rsidR="00823F92">
        <w:rPr>
          <w:lang w:val="en-US"/>
        </w:rPr>
        <w:t xml:space="preserve"> </w:t>
      </w:r>
      <w:r>
        <w:rPr>
          <w:lang w:val="en-US"/>
        </w:rPr>
        <w:t>h</w:t>
      </w:r>
      <w:r w:rsidRPr="00BC2575">
        <w:rPr>
          <w:lang w:val="en-US"/>
        </w:rPr>
        <w:t>ealt</w:t>
      </w:r>
      <w:r w:rsidR="00823F92" w:rsidRPr="00BC2575">
        <w:rPr>
          <w:lang w:val="en-US"/>
        </w:rPr>
        <w:t>h</w:t>
      </w:r>
      <w:r w:rsidR="00823F92">
        <w:rPr>
          <w:lang w:val="en-US"/>
        </w:rPr>
        <w:t xml:space="preserve"> </w:t>
      </w:r>
      <w:r w:rsidR="00991F59">
        <w:rPr>
          <w:lang w:val="en-US"/>
        </w:rPr>
        <w:t>practitioners</w:t>
      </w:r>
      <w:r w:rsidR="00823F92">
        <w:rPr>
          <w:lang w:val="en-US"/>
        </w:rPr>
        <w:t xml:space="preserve">, </w:t>
      </w:r>
      <w:r w:rsidR="00991F59">
        <w:rPr>
          <w:lang w:val="en-US"/>
        </w:rPr>
        <w:t>worker</w:t>
      </w:r>
      <w:r w:rsidR="00823F92">
        <w:rPr>
          <w:lang w:val="en-US"/>
        </w:rPr>
        <w:t xml:space="preserve">s </w:t>
      </w:r>
      <w:r>
        <w:rPr>
          <w:lang w:val="en-US"/>
        </w:rPr>
        <w:t>an</w:t>
      </w:r>
      <w:r w:rsidR="00823F92">
        <w:rPr>
          <w:lang w:val="en-US"/>
        </w:rPr>
        <w:t xml:space="preserve">d </w:t>
      </w:r>
      <w:r>
        <w:rPr>
          <w:lang w:val="en-US"/>
        </w:rPr>
        <w:t>menta</w:t>
      </w:r>
      <w:r w:rsidR="00823F92">
        <w:rPr>
          <w:lang w:val="en-US"/>
        </w:rPr>
        <w:t xml:space="preserve">l </w:t>
      </w:r>
      <w:r>
        <w:rPr>
          <w:lang w:val="en-US"/>
        </w:rPr>
        <w:t>healt</w:t>
      </w:r>
      <w:r w:rsidR="00823F92">
        <w:rPr>
          <w:lang w:val="en-US"/>
        </w:rPr>
        <w:t xml:space="preserve">h </w:t>
      </w:r>
      <w:r>
        <w:rPr>
          <w:lang w:val="en-US"/>
        </w:rPr>
        <w:t>w</w:t>
      </w:r>
      <w:r w:rsidRPr="00BC2575">
        <w:rPr>
          <w:lang w:val="en-US"/>
        </w:rPr>
        <w:t>orkers</w:t>
      </w:r>
      <w:r w:rsidR="00823F92">
        <w:rPr>
          <w:lang w:val="en-US"/>
        </w:rPr>
        <w:t xml:space="preserve">. </w:t>
      </w:r>
      <w:r>
        <w:rPr>
          <w:lang w:val="en-US"/>
        </w:rPr>
        <w:t>Whil</w:t>
      </w:r>
      <w:r w:rsidR="00823F92">
        <w:rPr>
          <w:lang w:val="en-US"/>
        </w:rPr>
        <w:t xml:space="preserve">e </w:t>
      </w:r>
      <w:r>
        <w:rPr>
          <w:lang w:val="en-US"/>
        </w:rPr>
        <w:t>ther</w:t>
      </w:r>
      <w:r w:rsidR="00823F92">
        <w:rPr>
          <w:lang w:val="en-US"/>
        </w:rPr>
        <w:t xml:space="preserve">e </w:t>
      </w:r>
      <w:r>
        <w:rPr>
          <w:lang w:val="en-US"/>
        </w:rPr>
        <w:t>ar</w:t>
      </w:r>
      <w:r w:rsidR="00823F92">
        <w:rPr>
          <w:lang w:val="en-US"/>
        </w:rPr>
        <w:t xml:space="preserve">e </w:t>
      </w:r>
      <w:r>
        <w:rPr>
          <w:lang w:val="en-US"/>
        </w:rPr>
        <w:t>registratio</w:t>
      </w:r>
      <w:r w:rsidR="00823F92">
        <w:rPr>
          <w:lang w:val="en-US"/>
        </w:rPr>
        <w:t xml:space="preserve">n </w:t>
      </w:r>
      <w:r>
        <w:rPr>
          <w:lang w:val="en-US"/>
        </w:rPr>
        <w:t>processe</w:t>
      </w:r>
      <w:r w:rsidR="00823F92">
        <w:rPr>
          <w:lang w:val="en-US"/>
        </w:rPr>
        <w:t xml:space="preserve">s </w:t>
      </w:r>
      <w:r>
        <w:rPr>
          <w:lang w:val="en-US"/>
        </w:rPr>
        <w:t>tha</w:t>
      </w:r>
      <w:r w:rsidR="00823F92">
        <w:rPr>
          <w:lang w:val="en-US"/>
        </w:rPr>
        <w:t xml:space="preserve">t </w:t>
      </w:r>
      <w:r>
        <w:rPr>
          <w:lang w:val="en-US"/>
        </w:rPr>
        <w:t>provid</w:t>
      </w:r>
      <w:r w:rsidR="00823F92">
        <w:rPr>
          <w:lang w:val="en-US"/>
        </w:rPr>
        <w:t xml:space="preserve">e </w:t>
      </w:r>
      <w:r>
        <w:rPr>
          <w:lang w:val="en-US"/>
        </w:rPr>
        <w:t>consistenc</w:t>
      </w:r>
      <w:r w:rsidR="00823F92">
        <w:rPr>
          <w:lang w:val="en-US"/>
        </w:rPr>
        <w:t xml:space="preserve">y </w:t>
      </w:r>
      <w:r>
        <w:rPr>
          <w:lang w:val="en-US"/>
        </w:rPr>
        <w:t>i</w:t>
      </w:r>
      <w:r w:rsidR="00823F92">
        <w:rPr>
          <w:lang w:val="en-US"/>
        </w:rPr>
        <w:t xml:space="preserve">n </w:t>
      </w:r>
      <w:r>
        <w:rPr>
          <w:lang w:val="en-US"/>
        </w:rPr>
        <w:t>trainin</w:t>
      </w:r>
      <w:r w:rsidR="00823F92">
        <w:rPr>
          <w:lang w:val="en-US"/>
        </w:rPr>
        <w:t xml:space="preserve">g </w:t>
      </w:r>
      <w:r>
        <w:rPr>
          <w:lang w:val="en-US"/>
        </w:rPr>
        <w:t>an</w:t>
      </w:r>
      <w:r w:rsidR="00823F92">
        <w:rPr>
          <w:lang w:val="en-US"/>
        </w:rPr>
        <w:t xml:space="preserve">d </w:t>
      </w:r>
      <w:r>
        <w:rPr>
          <w:lang w:val="en-US"/>
        </w:rPr>
        <w:t>qualification</w:t>
      </w:r>
      <w:r w:rsidR="00823F92">
        <w:rPr>
          <w:lang w:val="en-US"/>
        </w:rPr>
        <w:t xml:space="preserve">s </w:t>
      </w:r>
      <w:r w:rsidR="00991F59">
        <w:rPr>
          <w:lang w:val="en-US"/>
        </w:rPr>
        <w:t>fo</w:t>
      </w:r>
      <w:r w:rsidR="00823F92">
        <w:rPr>
          <w:lang w:val="en-US"/>
        </w:rPr>
        <w:t xml:space="preserve">r </w:t>
      </w:r>
      <w:r w:rsidR="00991F59">
        <w:rPr>
          <w:lang w:val="en-US"/>
        </w:rPr>
        <w:t>practitioners</w:t>
      </w:r>
      <w:r w:rsidR="00823F92">
        <w:rPr>
          <w:lang w:val="en-US"/>
        </w:rPr>
        <w:t xml:space="preserve">, </w:t>
      </w:r>
      <w:r>
        <w:rPr>
          <w:lang w:val="en-US"/>
        </w:rPr>
        <w:t>th</w:t>
      </w:r>
      <w:r w:rsidR="00823F92">
        <w:rPr>
          <w:lang w:val="en-US"/>
        </w:rPr>
        <w:t xml:space="preserve">e </w:t>
      </w:r>
      <w:r>
        <w:rPr>
          <w:lang w:val="en-US"/>
        </w:rPr>
        <w:t>limite</w:t>
      </w:r>
      <w:r w:rsidR="00823F92">
        <w:rPr>
          <w:lang w:val="en-US"/>
        </w:rPr>
        <w:t xml:space="preserve">d </w:t>
      </w:r>
      <w:r>
        <w:rPr>
          <w:lang w:val="en-US"/>
        </w:rPr>
        <w:t>rol</w:t>
      </w:r>
      <w:r w:rsidR="00823F92">
        <w:rPr>
          <w:lang w:val="en-US"/>
        </w:rPr>
        <w:t xml:space="preserve">e </w:t>
      </w:r>
      <w:r>
        <w:rPr>
          <w:lang w:val="en-US"/>
        </w:rPr>
        <w:t>recognitio</w:t>
      </w:r>
      <w:r w:rsidR="00823F92">
        <w:rPr>
          <w:lang w:val="en-US"/>
        </w:rPr>
        <w:t xml:space="preserve">n </w:t>
      </w:r>
      <w:r>
        <w:rPr>
          <w:lang w:val="en-US"/>
        </w:rPr>
        <w:t>an</w:t>
      </w:r>
      <w:r w:rsidR="00823F92">
        <w:rPr>
          <w:lang w:val="en-US"/>
        </w:rPr>
        <w:t xml:space="preserve">d </w:t>
      </w:r>
      <w:r>
        <w:rPr>
          <w:lang w:val="en-US"/>
        </w:rPr>
        <w:t>inconsistenc</w:t>
      </w:r>
      <w:r w:rsidR="00823F92">
        <w:rPr>
          <w:lang w:val="en-US"/>
        </w:rPr>
        <w:t xml:space="preserve">y </w:t>
      </w:r>
      <w:r>
        <w:rPr>
          <w:lang w:val="en-US"/>
        </w:rPr>
        <w:t>i</w:t>
      </w:r>
      <w:r w:rsidR="00823F92">
        <w:rPr>
          <w:lang w:val="en-US"/>
        </w:rPr>
        <w:t xml:space="preserve">n </w:t>
      </w:r>
      <w:r>
        <w:rPr>
          <w:lang w:val="en-US"/>
        </w:rPr>
        <w:t>role</w:t>
      </w:r>
      <w:r w:rsidR="00823F92">
        <w:rPr>
          <w:lang w:val="en-US"/>
        </w:rPr>
        <w:t xml:space="preserve">s </w:t>
      </w:r>
      <w:r>
        <w:rPr>
          <w:lang w:val="en-US"/>
        </w:rPr>
        <w:t>acros</w:t>
      </w:r>
      <w:r w:rsidR="00823F92">
        <w:rPr>
          <w:lang w:val="en-US"/>
        </w:rPr>
        <w:t xml:space="preserve">s </w:t>
      </w:r>
      <w:r>
        <w:rPr>
          <w:lang w:val="en-US"/>
        </w:rPr>
        <w:t>organisation</w:t>
      </w:r>
      <w:r w:rsidR="00823F92">
        <w:rPr>
          <w:lang w:val="en-US"/>
        </w:rPr>
        <w:t xml:space="preserve">s </w:t>
      </w:r>
      <w:r>
        <w:rPr>
          <w:lang w:val="en-US"/>
        </w:rPr>
        <w:t>o</w:t>
      </w:r>
      <w:r w:rsidR="00823F92">
        <w:rPr>
          <w:lang w:val="en-US"/>
        </w:rPr>
        <w:t xml:space="preserve">r </w:t>
      </w:r>
      <w:r>
        <w:rPr>
          <w:lang w:val="en-US"/>
        </w:rPr>
        <w:t>jurisdiction</w:t>
      </w:r>
      <w:r w:rsidR="00823F92">
        <w:rPr>
          <w:lang w:val="en-US"/>
        </w:rPr>
        <w:t xml:space="preserve">s </w:t>
      </w:r>
      <w:r>
        <w:rPr>
          <w:lang w:val="en-US"/>
        </w:rPr>
        <w:t>create</w:t>
      </w:r>
      <w:r w:rsidR="00823F92">
        <w:rPr>
          <w:lang w:val="en-US"/>
        </w:rPr>
        <w:t xml:space="preserve">s </w:t>
      </w:r>
      <w:r>
        <w:rPr>
          <w:lang w:val="en-US"/>
        </w:rPr>
        <w:t>furthe</w:t>
      </w:r>
      <w:r w:rsidR="00823F92">
        <w:rPr>
          <w:lang w:val="en-US"/>
        </w:rPr>
        <w:t xml:space="preserve">r </w:t>
      </w:r>
      <w:r>
        <w:rPr>
          <w:lang w:val="en-US"/>
        </w:rPr>
        <w:t>challenge</w:t>
      </w:r>
      <w:r w:rsidR="00823F92">
        <w:rPr>
          <w:lang w:val="en-US"/>
        </w:rPr>
        <w:t xml:space="preserve">s </w:t>
      </w:r>
      <w:r>
        <w:rPr>
          <w:lang w:val="en-US"/>
        </w:rPr>
        <w:t>i</w:t>
      </w:r>
      <w:r w:rsidR="00823F92">
        <w:rPr>
          <w:lang w:val="en-US"/>
        </w:rPr>
        <w:t xml:space="preserve">n </w:t>
      </w:r>
      <w:r>
        <w:rPr>
          <w:lang w:val="en-US"/>
        </w:rPr>
        <w:t>attractin</w:t>
      </w:r>
      <w:r w:rsidR="00823F92">
        <w:rPr>
          <w:lang w:val="en-US"/>
        </w:rPr>
        <w:t xml:space="preserve">g </w:t>
      </w:r>
      <w:r>
        <w:rPr>
          <w:lang w:val="en-US"/>
        </w:rPr>
        <w:t>Aborigina</w:t>
      </w:r>
      <w:r w:rsidR="00823F92">
        <w:rPr>
          <w:lang w:val="en-US"/>
        </w:rPr>
        <w:t xml:space="preserve">l </w:t>
      </w:r>
      <w:r>
        <w:rPr>
          <w:lang w:val="en-US"/>
        </w:rPr>
        <w:t>an</w:t>
      </w:r>
      <w:r w:rsidR="00823F92">
        <w:rPr>
          <w:lang w:val="en-US"/>
        </w:rPr>
        <w:t xml:space="preserve">d </w:t>
      </w:r>
      <w:r>
        <w:rPr>
          <w:lang w:val="en-US"/>
        </w:rPr>
        <w:t>Torre</w:t>
      </w:r>
      <w:r w:rsidR="00823F92">
        <w:rPr>
          <w:lang w:val="en-US"/>
        </w:rPr>
        <w:t xml:space="preserve">s </w:t>
      </w:r>
      <w:r>
        <w:rPr>
          <w:lang w:val="en-US"/>
        </w:rPr>
        <w:t>Strai</w:t>
      </w:r>
      <w:r w:rsidR="00823F92">
        <w:rPr>
          <w:lang w:val="en-US"/>
        </w:rPr>
        <w:t xml:space="preserve">t </w:t>
      </w:r>
      <w:r>
        <w:rPr>
          <w:lang w:val="en-US"/>
        </w:rPr>
        <w:t>Islande</w:t>
      </w:r>
      <w:r w:rsidR="00823F92">
        <w:rPr>
          <w:lang w:val="en-US"/>
        </w:rPr>
        <w:t xml:space="preserve">r </w:t>
      </w:r>
      <w:r>
        <w:rPr>
          <w:lang w:val="en-US"/>
        </w:rPr>
        <w:t>healt</w:t>
      </w:r>
      <w:r w:rsidR="00823F92">
        <w:rPr>
          <w:lang w:val="en-US"/>
        </w:rPr>
        <w:t xml:space="preserve">h </w:t>
      </w:r>
      <w:r>
        <w:rPr>
          <w:lang w:val="en-US"/>
        </w:rPr>
        <w:t>worker</w:t>
      </w:r>
      <w:r w:rsidR="00823F92">
        <w:rPr>
          <w:lang w:val="en-US"/>
        </w:rPr>
        <w:t xml:space="preserve">s </w:t>
      </w:r>
      <w:r>
        <w:rPr>
          <w:lang w:val="en-US"/>
        </w:rPr>
        <w:t>t</w:t>
      </w:r>
      <w:r w:rsidR="00823F92">
        <w:rPr>
          <w:lang w:val="en-US"/>
        </w:rPr>
        <w:t xml:space="preserve">o </w:t>
      </w:r>
      <w:r>
        <w:rPr>
          <w:lang w:val="en-US"/>
        </w:rPr>
        <w:t>menta</w:t>
      </w:r>
      <w:r w:rsidR="00823F92">
        <w:rPr>
          <w:lang w:val="en-US"/>
        </w:rPr>
        <w:t xml:space="preserve">l </w:t>
      </w:r>
      <w:r>
        <w:rPr>
          <w:lang w:val="en-US"/>
        </w:rPr>
        <w:t>health</w:t>
      </w:r>
      <w:r w:rsidR="00823F92">
        <w:rPr>
          <w:lang w:val="en-US"/>
        </w:rPr>
        <w:t xml:space="preserve">. </w:t>
      </w:r>
    </w:p>
    <w:p w14:paraId="4B17EFDB" w14:textId="54BC70E1" w:rsidR="00AF5330" w:rsidRPr="00BC2575" w:rsidRDefault="00AF5330" w:rsidP="00AF5330">
      <w:pPr>
        <w:pStyle w:val="BodyText"/>
        <w:rPr>
          <w:lang w:val="en-US"/>
        </w:rPr>
      </w:pPr>
      <w:r w:rsidRPr="00BC2575">
        <w:rPr>
          <w:lang w:val="en-US"/>
        </w:rPr>
        <w:t>Havin</w:t>
      </w:r>
      <w:r w:rsidR="00823F92" w:rsidRPr="00BC2575">
        <w:rPr>
          <w:lang w:val="en-US"/>
        </w:rPr>
        <w:t>g</w:t>
      </w:r>
      <w:r w:rsidR="00823F92">
        <w:rPr>
          <w:lang w:val="en-US"/>
        </w:rPr>
        <w:t xml:space="preserve"> </w:t>
      </w:r>
      <w:r w:rsidR="00823F92" w:rsidRPr="00BC2575">
        <w:rPr>
          <w:lang w:val="en-US"/>
        </w:rPr>
        <w:t>a</w:t>
      </w:r>
      <w:r w:rsidR="00823F92">
        <w:rPr>
          <w:lang w:val="en-US"/>
        </w:rPr>
        <w:t xml:space="preserve"> </w:t>
      </w:r>
      <w:r w:rsidRPr="00BC2575">
        <w:rPr>
          <w:lang w:val="en-US"/>
        </w:rPr>
        <w:t>mor</w:t>
      </w:r>
      <w:r w:rsidR="00823F92" w:rsidRPr="00BC2575">
        <w:rPr>
          <w:lang w:val="en-US"/>
        </w:rPr>
        <w:t>e</w:t>
      </w:r>
      <w:r w:rsidR="00823F92">
        <w:rPr>
          <w:lang w:val="en-US"/>
        </w:rPr>
        <w:t xml:space="preserve"> </w:t>
      </w:r>
      <w:r w:rsidRPr="00BC2575">
        <w:rPr>
          <w:lang w:val="en-US"/>
        </w:rPr>
        <w:t>develope</w:t>
      </w:r>
      <w:r w:rsidR="00823F92" w:rsidRPr="00BC2575">
        <w:rPr>
          <w:lang w:val="en-US"/>
        </w:rPr>
        <w:t>d</w:t>
      </w:r>
      <w:r w:rsidR="00823F92">
        <w:rPr>
          <w:lang w:val="en-US"/>
        </w:rPr>
        <w:t xml:space="preserve"> </w:t>
      </w:r>
      <w:r w:rsidRPr="00BC2575">
        <w:rPr>
          <w:lang w:val="en-US"/>
        </w:rPr>
        <w:t>an</w:t>
      </w:r>
      <w:r w:rsidR="00823F92" w:rsidRPr="00BC2575">
        <w:rPr>
          <w:lang w:val="en-US"/>
        </w:rPr>
        <w:t>d</w:t>
      </w:r>
      <w:r w:rsidR="00823F92">
        <w:rPr>
          <w:lang w:val="en-US"/>
        </w:rPr>
        <w:t xml:space="preserve"> </w:t>
      </w:r>
      <w:proofErr w:type="spellStart"/>
      <w:r w:rsidRPr="00BC2575">
        <w:rPr>
          <w:lang w:val="en-US"/>
        </w:rPr>
        <w:t>standardise</w:t>
      </w:r>
      <w:r w:rsidR="00823F92" w:rsidRPr="00BC2575">
        <w:rPr>
          <w:lang w:val="en-US"/>
        </w:rPr>
        <w:t>d</w:t>
      </w:r>
      <w:proofErr w:type="spellEnd"/>
      <w:r w:rsidR="00823F92">
        <w:rPr>
          <w:lang w:val="en-US"/>
        </w:rPr>
        <w:t xml:space="preserve"> </w:t>
      </w:r>
      <w:r w:rsidRPr="00BC2575">
        <w:rPr>
          <w:lang w:val="en-US"/>
        </w:rPr>
        <w:t>syste</w:t>
      </w:r>
      <w:r w:rsidR="00823F92" w:rsidRPr="00BC2575">
        <w:rPr>
          <w:lang w:val="en-US"/>
        </w:rPr>
        <w:t>m</w:t>
      </w:r>
      <w:r w:rsidR="00823F92">
        <w:rPr>
          <w:lang w:val="en-US"/>
        </w:rPr>
        <w:t xml:space="preserve"> </w:t>
      </w:r>
      <w:r w:rsidRPr="00BC2575">
        <w:rPr>
          <w:lang w:val="en-US"/>
        </w:rPr>
        <w:t>o</w:t>
      </w:r>
      <w:r w:rsidR="00823F92" w:rsidRPr="00BC2575">
        <w:rPr>
          <w:lang w:val="en-US"/>
        </w:rPr>
        <w:t>f</w:t>
      </w:r>
      <w:r w:rsidR="00823F92">
        <w:rPr>
          <w:lang w:val="en-US"/>
        </w:rPr>
        <w:t xml:space="preserve"> </w:t>
      </w:r>
      <w:r w:rsidRPr="00BC2575">
        <w:rPr>
          <w:lang w:val="en-US"/>
        </w:rPr>
        <w:t>role</w:t>
      </w:r>
      <w:r w:rsidR="00823F92" w:rsidRPr="00BC2575">
        <w:rPr>
          <w:lang w:val="en-US"/>
        </w:rPr>
        <w:t>s</w:t>
      </w:r>
      <w:r w:rsidR="00823F92">
        <w:rPr>
          <w:lang w:val="en-US"/>
        </w:rPr>
        <w:t xml:space="preserve"> </w:t>
      </w:r>
      <w:r w:rsidRPr="00BC2575">
        <w:rPr>
          <w:lang w:val="en-US"/>
        </w:rPr>
        <w:t>an</w:t>
      </w:r>
      <w:r w:rsidR="00823F92" w:rsidRPr="00BC2575">
        <w:rPr>
          <w:lang w:val="en-US"/>
        </w:rPr>
        <w:t>d</w:t>
      </w:r>
      <w:r w:rsidR="00823F92">
        <w:rPr>
          <w:lang w:val="en-US"/>
        </w:rPr>
        <w:t xml:space="preserve"> </w:t>
      </w:r>
      <w:r w:rsidRPr="00BC2575">
        <w:rPr>
          <w:lang w:val="en-US"/>
        </w:rPr>
        <w:t>level</w:t>
      </w:r>
      <w:r w:rsidR="00823F92" w:rsidRPr="00BC2575">
        <w:rPr>
          <w:lang w:val="en-US"/>
        </w:rPr>
        <w:t>s</w:t>
      </w:r>
      <w:r w:rsidR="00823F92">
        <w:rPr>
          <w:lang w:val="en-US"/>
        </w:rPr>
        <w:t xml:space="preserve"> </w:t>
      </w:r>
      <w:r w:rsidRPr="00BC2575">
        <w:rPr>
          <w:lang w:val="en-US"/>
        </w:rPr>
        <w:t>coul</w:t>
      </w:r>
      <w:r w:rsidR="00823F92" w:rsidRPr="00BC2575">
        <w:rPr>
          <w:lang w:val="en-US"/>
        </w:rPr>
        <w:t>d</w:t>
      </w:r>
      <w:r w:rsidR="00823F92">
        <w:rPr>
          <w:lang w:val="en-US"/>
        </w:rPr>
        <w:t xml:space="preserve"> </w:t>
      </w:r>
      <w:r w:rsidRPr="00BC2575">
        <w:rPr>
          <w:lang w:val="en-US"/>
        </w:rPr>
        <w:t>provid</w:t>
      </w:r>
      <w:r w:rsidR="00823F92" w:rsidRPr="00BC2575">
        <w:rPr>
          <w:lang w:val="en-US"/>
        </w:rPr>
        <w:t>e</w:t>
      </w:r>
      <w:r w:rsidR="00823F92">
        <w:rPr>
          <w:lang w:val="en-US"/>
        </w:rPr>
        <w:t xml:space="preserve"> </w:t>
      </w:r>
      <w:r w:rsidRPr="00BC2575">
        <w:rPr>
          <w:lang w:val="en-US"/>
        </w:rPr>
        <w:t>th</w:t>
      </w:r>
      <w:r w:rsidR="00823F92" w:rsidRPr="00BC2575">
        <w:rPr>
          <w:lang w:val="en-US"/>
        </w:rPr>
        <w:t>e</w:t>
      </w:r>
      <w:r w:rsidR="00823F92">
        <w:rPr>
          <w:lang w:val="en-US"/>
        </w:rPr>
        <w:t xml:space="preserve"> </w:t>
      </w:r>
      <w:r w:rsidRPr="00BC2575">
        <w:rPr>
          <w:lang w:val="en-US"/>
        </w:rPr>
        <w:t>secto</w:t>
      </w:r>
      <w:r w:rsidR="00823F92" w:rsidRPr="00BC2575">
        <w:rPr>
          <w:lang w:val="en-US"/>
        </w:rPr>
        <w:t>r</w:t>
      </w:r>
      <w:r w:rsidR="00823F92">
        <w:rPr>
          <w:lang w:val="en-US"/>
        </w:rPr>
        <w:t xml:space="preserve"> </w:t>
      </w:r>
      <w:r w:rsidRPr="00BC2575">
        <w:rPr>
          <w:lang w:val="en-US"/>
        </w:rPr>
        <w:t>wit</w:t>
      </w:r>
      <w:r w:rsidR="00823F92" w:rsidRPr="00BC2575">
        <w:rPr>
          <w:lang w:val="en-US"/>
        </w:rPr>
        <w:t>h</w:t>
      </w:r>
      <w:r w:rsidR="00823F92">
        <w:rPr>
          <w:lang w:val="en-US"/>
        </w:rPr>
        <w:t xml:space="preserve"> </w:t>
      </w:r>
      <w:r w:rsidRPr="00BC2575">
        <w:rPr>
          <w:lang w:val="en-US"/>
        </w:rPr>
        <w:t>commo</w:t>
      </w:r>
      <w:r w:rsidR="00823F92" w:rsidRPr="00BC2575">
        <w:rPr>
          <w:lang w:val="en-US"/>
        </w:rPr>
        <w:t>n</w:t>
      </w:r>
      <w:r w:rsidR="00823F92">
        <w:rPr>
          <w:lang w:val="en-US"/>
        </w:rPr>
        <w:t xml:space="preserve"> </w:t>
      </w:r>
      <w:r w:rsidRPr="00BC2575">
        <w:rPr>
          <w:lang w:val="en-US"/>
        </w:rPr>
        <w:t>expectations</w:t>
      </w:r>
      <w:r w:rsidR="00823F92" w:rsidRPr="00BC2575">
        <w:rPr>
          <w:lang w:val="en-US"/>
        </w:rPr>
        <w:t>.</w:t>
      </w:r>
      <w:r w:rsidR="00823F92">
        <w:rPr>
          <w:lang w:val="en-US"/>
        </w:rPr>
        <w:t xml:space="preserve"> </w:t>
      </w:r>
      <w:r w:rsidRPr="00BC2575">
        <w:rPr>
          <w:lang w:val="en-US"/>
        </w:rPr>
        <w:t>However</w:t>
      </w:r>
      <w:r w:rsidR="00823F92" w:rsidRPr="00BC2575">
        <w:rPr>
          <w:lang w:val="en-US"/>
        </w:rPr>
        <w:t>,</w:t>
      </w:r>
      <w:r w:rsidR="00823F92">
        <w:rPr>
          <w:lang w:val="en-US"/>
        </w:rPr>
        <w:t xml:space="preserve"> </w:t>
      </w:r>
      <w:r w:rsidRPr="00BC2575">
        <w:rPr>
          <w:lang w:val="en-US"/>
        </w:rPr>
        <w:t>i</w:t>
      </w:r>
      <w:r w:rsidR="00823F92" w:rsidRPr="00BC2575">
        <w:rPr>
          <w:lang w:val="en-US"/>
        </w:rPr>
        <w:t>t</w:t>
      </w:r>
      <w:r w:rsidR="00823F92">
        <w:rPr>
          <w:lang w:val="en-US"/>
        </w:rPr>
        <w:t xml:space="preserve"> </w:t>
      </w:r>
      <w:r w:rsidRPr="00BC2575">
        <w:rPr>
          <w:lang w:val="en-US"/>
        </w:rPr>
        <w:t>woul</w:t>
      </w:r>
      <w:r w:rsidR="00823F92" w:rsidRPr="00BC2575">
        <w:rPr>
          <w:lang w:val="en-US"/>
        </w:rPr>
        <w:t>d</w:t>
      </w:r>
      <w:r w:rsidR="00823F92">
        <w:rPr>
          <w:lang w:val="en-US"/>
        </w:rPr>
        <w:t xml:space="preserve"> </w:t>
      </w:r>
      <w:r w:rsidRPr="00BC2575">
        <w:rPr>
          <w:lang w:val="en-US"/>
        </w:rPr>
        <w:t>nee</w:t>
      </w:r>
      <w:r w:rsidR="00823F92" w:rsidRPr="00BC2575">
        <w:rPr>
          <w:lang w:val="en-US"/>
        </w:rPr>
        <w:t>d</w:t>
      </w:r>
      <w:r w:rsidR="00823F92">
        <w:rPr>
          <w:lang w:val="en-US"/>
        </w:rPr>
        <w:t xml:space="preserve"> </w:t>
      </w:r>
      <w:r w:rsidRPr="00BC2575">
        <w:rPr>
          <w:lang w:val="en-US"/>
        </w:rPr>
        <w:t>t</w:t>
      </w:r>
      <w:r w:rsidR="00823F92" w:rsidRPr="00BC2575">
        <w:rPr>
          <w:lang w:val="en-US"/>
        </w:rPr>
        <w:t>o</w:t>
      </w:r>
      <w:r w:rsidR="00823F92">
        <w:rPr>
          <w:lang w:val="en-US"/>
        </w:rPr>
        <w:t xml:space="preserve"> </w:t>
      </w:r>
      <w:r w:rsidRPr="00BC2575">
        <w:rPr>
          <w:lang w:val="en-US"/>
        </w:rPr>
        <w:t>addres</w:t>
      </w:r>
      <w:r w:rsidR="00823F92" w:rsidRPr="00BC2575">
        <w:rPr>
          <w:lang w:val="en-US"/>
        </w:rPr>
        <w:t>s</w:t>
      </w:r>
      <w:r w:rsidR="00823F92">
        <w:rPr>
          <w:lang w:val="en-US"/>
        </w:rPr>
        <w:t xml:space="preserve"> </w:t>
      </w:r>
      <w:r w:rsidRPr="00BC2575">
        <w:rPr>
          <w:lang w:val="en-US"/>
        </w:rPr>
        <w:t>th</w:t>
      </w:r>
      <w:r w:rsidR="00823F92" w:rsidRPr="00BC2575">
        <w:rPr>
          <w:lang w:val="en-US"/>
        </w:rPr>
        <w:t>e</w:t>
      </w:r>
      <w:r w:rsidR="00823F92">
        <w:rPr>
          <w:lang w:val="en-US"/>
        </w:rPr>
        <w:t xml:space="preserve"> </w:t>
      </w:r>
      <w:r w:rsidRPr="00BC2575">
        <w:rPr>
          <w:lang w:val="en-US"/>
        </w:rPr>
        <w:t>curren</w:t>
      </w:r>
      <w:r w:rsidR="00823F92" w:rsidRPr="00BC2575">
        <w:rPr>
          <w:lang w:val="en-US"/>
        </w:rPr>
        <w:t>t</w:t>
      </w:r>
      <w:r w:rsidR="00823F92">
        <w:rPr>
          <w:lang w:val="en-US"/>
        </w:rPr>
        <w:t xml:space="preserve"> </w:t>
      </w:r>
      <w:r w:rsidRPr="00BC2575">
        <w:rPr>
          <w:lang w:val="en-US"/>
        </w:rPr>
        <w:t>variatio</w:t>
      </w:r>
      <w:r w:rsidR="00823F92" w:rsidRPr="00BC2575">
        <w:rPr>
          <w:lang w:val="en-US"/>
        </w:rPr>
        <w:t>n</w:t>
      </w:r>
      <w:r w:rsidR="00823F92">
        <w:rPr>
          <w:lang w:val="en-US"/>
        </w:rPr>
        <w:t xml:space="preserve"> </w:t>
      </w:r>
      <w:r w:rsidRPr="00BC2575">
        <w:rPr>
          <w:lang w:val="en-US"/>
        </w:rPr>
        <w:t>i</w:t>
      </w:r>
      <w:r w:rsidR="00823F92" w:rsidRPr="00BC2575">
        <w:rPr>
          <w:lang w:val="en-US"/>
        </w:rPr>
        <w:t>n</w:t>
      </w:r>
      <w:r w:rsidR="00823F92">
        <w:rPr>
          <w:lang w:val="en-US"/>
        </w:rPr>
        <w:t xml:space="preserve"> </w:t>
      </w:r>
      <w:r w:rsidRPr="00BC2575">
        <w:rPr>
          <w:lang w:val="en-US"/>
        </w:rPr>
        <w:t>functio</w:t>
      </w:r>
      <w:r w:rsidR="00823F92" w:rsidRPr="00BC2575">
        <w:rPr>
          <w:lang w:val="en-US"/>
        </w:rPr>
        <w:t>n</w:t>
      </w:r>
      <w:r w:rsidR="00823F92">
        <w:rPr>
          <w:lang w:val="en-US"/>
        </w:rPr>
        <w:t xml:space="preserve"> </w:t>
      </w:r>
      <w:r w:rsidRPr="00BC2575">
        <w:rPr>
          <w:lang w:val="en-US"/>
        </w:rPr>
        <w:t>acros</w:t>
      </w:r>
      <w:r w:rsidR="00823F92" w:rsidRPr="00BC2575">
        <w:rPr>
          <w:lang w:val="en-US"/>
        </w:rPr>
        <w:t>s</w:t>
      </w:r>
      <w:r w:rsidR="00823F92">
        <w:rPr>
          <w:lang w:val="en-US"/>
        </w:rPr>
        <w:t xml:space="preserve"> </w:t>
      </w:r>
      <w:r w:rsidRPr="00BC2575">
        <w:rPr>
          <w:lang w:val="en-US"/>
        </w:rPr>
        <w:t>servic</w:t>
      </w:r>
      <w:r w:rsidR="00823F92" w:rsidRPr="00BC2575">
        <w:rPr>
          <w:lang w:val="en-US"/>
        </w:rPr>
        <w:t>e</w:t>
      </w:r>
      <w:r w:rsidR="00823F92">
        <w:rPr>
          <w:lang w:val="en-US"/>
        </w:rPr>
        <w:t xml:space="preserve"> </w:t>
      </w:r>
      <w:r w:rsidRPr="00BC2575">
        <w:rPr>
          <w:lang w:val="en-US"/>
        </w:rPr>
        <w:t>provider</w:t>
      </w:r>
      <w:r w:rsidR="00823F92" w:rsidRPr="00BC2575">
        <w:rPr>
          <w:lang w:val="en-US"/>
        </w:rPr>
        <w:t>s</w:t>
      </w:r>
      <w:r w:rsidR="00823F92">
        <w:rPr>
          <w:lang w:val="en-US"/>
        </w:rPr>
        <w:t xml:space="preserve"> </w:t>
      </w:r>
      <w:r w:rsidRPr="00BC2575">
        <w:rPr>
          <w:lang w:val="en-US"/>
        </w:rPr>
        <w:t>an</w:t>
      </w:r>
      <w:r w:rsidR="00823F92" w:rsidRPr="00BC2575">
        <w:rPr>
          <w:lang w:val="en-US"/>
        </w:rPr>
        <w:t>d</w:t>
      </w:r>
      <w:r w:rsidR="00823F92">
        <w:rPr>
          <w:lang w:val="en-US"/>
        </w:rPr>
        <w:t xml:space="preserve"> </w:t>
      </w:r>
      <w:r w:rsidRPr="00BC2575">
        <w:rPr>
          <w:lang w:val="en-US"/>
        </w:rPr>
        <w:t>jurisdictions</w:t>
      </w:r>
      <w:r w:rsidR="00823F92" w:rsidRPr="00BC2575">
        <w:rPr>
          <w:lang w:val="en-US"/>
        </w:rPr>
        <w:t>.</w:t>
      </w:r>
      <w:r w:rsidR="00823F92">
        <w:rPr>
          <w:lang w:val="en-US"/>
        </w:rPr>
        <w:t xml:space="preserve"> </w:t>
      </w:r>
      <w:r>
        <w:rPr>
          <w:lang w:val="en-US"/>
        </w:rPr>
        <w:t>Thi</w:t>
      </w:r>
      <w:r w:rsidR="00823F92">
        <w:rPr>
          <w:lang w:val="en-US"/>
        </w:rPr>
        <w:t xml:space="preserve">s </w:t>
      </w:r>
      <w:r>
        <w:rPr>
          <w:lang w:val="en-US"/>
        </w:rPr>
        <w:t>woul</w:t>
      </w:r>
      <w:r w:rsidR="00823F92">
        <w:rPr>
          <w:lang w:val="en-US"/>
        </w:rPr>
        <w:t xml:space="preserve">d </w:t>
      </w:r>
      <w:r>
        <w:rPr>
          <w:lang w:val="en-US"/>
        </w:rPr>
        <w:t>requir</w:t>
      </w:r>
      <w:r w:rsidR="00823F92">
        <w:rPr>
          <w:lang w:val="en-US"/>
        </w:rPr>
        <w:t xml:space="preserve">e </w:t>
      </w:r>
      <w:r>
        <w:rPr>
          <w:lang w:val="en-US"/>
        </w:rPr>
        <w:t>collaboratio</w:t>
      </w:r>
      <w:r w:rsidR="00823F92">
        <w:rPr>
          <w:lang w:val="en-US"/>
        </w:rPr>
        <w:t xml:space="preserve">n </w:t>
      </w:r>
      <w:r>
        <w:rPr>
          <w:lang w:val="en-US"/>
        </w:rPr>
        <w:t>fro</w:t>
      </w:r>
      <w:r w:rsidR="00823F92">
        <w:rPr>
          <w:lang w:val="en-US"/>
        </w:rPr>
        <w:t xml:space="preserve">m a </w:t>
      </w:r>
      <w:r>
        <w:rPr>
          <w:lang w:val="en-US"/>
        </w:rPr>
        <w:t>pea</w:t>
      </w:r>
      <w:r w:rsidR="00823F92">
        <w:rPr>
          <w:lang w:val="en-US"/>
        </w:rPr>
        <w:t xml:space="preserve">k </w:t>
      </w:r>
      <w:r>
        <w:rPr>
          <w:lang w:val="en-US"/>
        </w:rPr>
        <w:t>bod</w:t>
      </w:r>
      <w:r w:rsidR="00823F92">
        <w:rPr>
          <w:lang w:val="en-US"/>
        </w:rPr>
        <w:t xml:space="preserve">y </w:t>
      </w:r>
      <w:r>
        <w:rPr>
          <w:lang w:val="en-US"/>
        </w:rPr>
        <w:t>perspective</w:t>
      </w:r>
      <w:r w:rsidR="00823F92">
        <w:rPr>
          <w:lang w:val="en-US"/>
        </w:rPr>
        <w:t xml:space="preserve">, </w:t>
      </w:r>
      <w:r>
        <w:rPr>
          <w:lang w:val="en-US"/>
        </w:rPr>
        <w:t>bu</w:t>
      </w:r>
      <w:r w:rsidR="00823F92">
        <w:rPr>
          <w:lang w:val="en-US"/>
        </w:rPr>
        <w:t xml:space="preserve">t </w:t>
      </w:r>
      <w:r>
        <w:rPr>
          <w:lang w:val="en-US"/>
        </w:rPr>
        <w:t>als</w:t>
      </w:r>
      <w:r w:rsidR="00823F92">
        <w:rPr>
          <w:lang w:val="en-US"/>
        </w:rPr>
        <w:t xml:space="preserve">o </w:t>
      </w:r>
      <w:r>
        <w:rPr>
          <w:lang w:val="en-US"/>
        </w:rPr>
        <w:t>a</w:t>
      </w:r>
      <w:r w:rsidR="00823F92">
        <w:rPr>
          <w:lang w:val="en-US"/>
        </w:rPr>
        <w:t xml:space="preserve">t </w:t>
      </w:r>
      <w:r>
        <w:rPr>
          <w:lang w:val="en-US"/>
        </w:rPr>
        <w:t>th</w:t>
      </w:r>
      <w:r w:rsidR="00823F92">
        <w:rPr>
          <w:lang w:val="en-US"/>
        </w:rPr>
        <w:t xml:space="preserve">e </w:t>
      </w:r>
      <w:r>
        <w:rPr>
          <w:lang w:val="en-US"/>
        </w:rPr>
        <w:t>loca</w:t>
      </w:r>
      <w:r w:rsidR="00823F92">
        <w:rPr>
          <w:lang w:val="en-US"/>
        </w:rPr>
        <w:t xml:space="preserve">l </w:t>
      </w:r>
      <w:r>
        <w:rPr>
          <w:lang w:val="en-US"/>
        </w:rPr>
        <w:t>leve</w:t>
      </w:r>
      <w:r w:rsidR="00823F92">
        <w:rPr>
          <w:lang w:val="en-US"/>
        </w:rPr>
        <w:t xml:space="preserve">l </w:t>
      </w:r>
      <w:r>
        <w:rPr>
          <w:lang w:val="en-US"/>
        </w:rPr>
        <w:t>withi</w:t>
      </w:r>
      <w:r w:rsidR="00823F92">
        <w:rPr>
          <w:lang w:val="en-US"/>
        </w:rPr>
        <w:t xml:space="preserve">n </w:t>
      </w:r>
      <w:r>
        <w:rPr>
          <w:lang w:val="en-US"/>
        </w:rPr>
        <w:t>individua</w:t>
      </w:r>
      <w:r w:rsidR="00823F92">
        <w:rPr>
          <w:lang w:val="en-US"/>
        </w:rPr>
        <w:t xml:space="preserve">l </w:t>
      </w:r>
      <w:r>
        <w:rPr>
          <w:lang w:val="en-US"/>
        </w:rPr>
        <w:t>organisation</w:t>
      </w:r>
      <w:r w:rsidR="00823F92">
        <w:rPr>
          <w:lang w:val="en-US"/>
        </w:rPr>
        <w:t xml:space="preserve">s </w:t>
      </w:r>
      <w:r>
        <w:rPr>
          <w:lang w:val="en-US"/>
        </w:rPr>
        <w:t>responsibl</w:t>
      </w:r>
      <w:r w:rsidR="00823F92">
        <w:rPr>
          <w:lang w:val="en-US"/>
        </w:rPr>
        <w:t xml:space="preserve">e </w:t>
      </w:r>
      <w:r>
        <w:rPr>
          <w:lang w:val="en-US"/>
        </w:rPr>
        <w:t>fo</w:t>
      </w:r>
      <w:r w:rsidR="00823F92">
        <w:rPr>
          <w:lang w:val="en-US"/>
        </w:rPr>
        <w:t xml:space="preserve">r </w:t>
      </w:r>
      <w:r>
        <w:rPr>
          <w:lang w:val="en-US"/>
        </w:rPr>
        <w:t>th</w:t>
      </w:r>
      <w:r w:rsidR="00823F92">
        <w:rPr>
          <w:lang w:val="en-US"/>
        </w:rPr>
        <w:t xml:space="preserve">e </w:t>
      </w:r>
      <w:r>
        <w:rPr>
          <w:lang w:val="en-US"/>
        </w:rPr>
        <w:t>desig</w:t>
      </w:r>
      <w:r w:rsidR="00823F92">
        <w:rPr>
          <w:lang w:val="en-US"/>
        </w:rPr>
        <w:t xml:space="preserve">n </w:t>
      </w:r>
      <w:r>
        <w:rPr>
          <w:lang w:val="en-US"/>
        </w:rPr>
        <w:t>o</w:t>
      </w:r>
      <w:r w:rsidR="00823F92">
        <w:rPr>
          <w:lang w:val="en-US"/>
        </w:rPr>
        <w:t xml:space="preserve">f </w:t>
      </w:r>
      <w:r>
        <w:rPr>
          <w:lang w:val="en-US"/>
        </w:rPr>
        <w:t>positions</w:t>
      </w:r>
      <w:r w:rsidR="00823F92">
        <w:rPr>
          <w:lang w:val="en-US"/>
        </w:rPr>
        <w:t xml:space="preserve">. </w:t>
      </w:r>
    </w:p>
    <w:p w14:paraId="7C13C708" w14:textId="7DCE3D2E" w:rsidR="00AF5330" w:rsidRDefault="00AF5330" w:rsidP="00AF5330">
      <w:pPr>
        <w:pStyle w:val="Heading3"/>
      </w:pPr>
      <w:r>
        <w:t>Allie</w:t>
      </w:r>
      <w:r w:rsidR="00823F92">
        <w:t xml:space="preserve">d </w:t>
      </w:r>
      <w:r>
        <w:t>Healt</w:t>
      </w:r>
      <w:r w:rsidR="00823F92">
        <w:t xml:space="preserve">h </w:t>
      </w:r>
      <w:r>
        <w:t>(Occupationa</w:t>
      </w:r>
      <w:r w:rsidR="00823F92">
        <w:t xml:space="preserve">l </w:t>
      </w:r>
      <w:r>
        <w:t>therapists</w:t>
      </w:r>
      <w:r w:rsidR="00823F92">
        <w:t xml:space="preserve">, </w:t>
      </w:r>
      <w:r>
        <w:t>dietician</w:t>
      </w:r>
      <w:r w:rsidR="00823F92">
        <w:t xml:space="preserve">s </w:t>
      </w:r>
      <w:r>
        <w:t>an</w:t>
      </w:r>
      <w:r w:rsidR="00823F92">
        <w:t xml:space="preserve">d </w:t>
      </w:r>
      <w:r>
        <w:t>speec</w:t>
      </w:r>
      <w:r w:rsidR="00823F92">
        <w:t xml:space="preserve">h </w:t>
      </w:r>
      <w:r>
        <w:t>pathologists)</w:t>
      </w:r>
    </w:p>
    <w:p w14:paraId="1DC78AB3" w14:textId="2C3D2C8F" w:rsidR="00AF5330" w:rsidRDefault="00AF5330" w:rsidP="00AF5330">
      <w:pPr>
        <w:pStyle w:val="BodyText"/>
        <w:rPr>
          <w:lang w:val="en-US"/>
        </w:rPr>
      </w:pPr>
      <w:r>
        <w:rPr>
          <w:lang w:val="en-US"/>
        </w:rPr>
        <w:t>Allie</w:t>
      </w:r>
      <w:r w:rsidR="00823F92">
        <w:rPr>
          <w:lang w:val="en-US"/>
        </w:rPr>
        <w:t xml:space="preserve">d </w:t>
      </w:r>
      <w:r>
        <w:rPr>
          <w:lang w:val="en-US"/>
        </w:rPr>
        <w:t>Healt</w:t>
      </w:r>
      <w:r w:rsidR="00823F92">
        <w:rPr>
          <w:lang w:val="en-US"/>
        </w:rPr>
        <w:t xml:space="preserve">h </w:t>
      </w:r>
      <w:r>
        <w:rPr>
          <w:lang w:val="en-US"/>
        </w:rPr>
        <w:t>worker</w:t>
      </w:r>
      <w:r w:rsidR="00823F92">
        <w:rPr>
          <w:lang w:val="en-US"/>
        </w:rPr>
        <w:t xml:space="preserve">s </w:t>
      </w:r>
      <w:r>
        <w:rPr>
          <w:lang w:val="en-US"/>
        </w:rPr>
        <w:t>ar</w:t>
      </w:r>
      <w:r w:rsidR="00823F92">
        <w:rPr>
          <w:lang w:val="en-US"/>
        </w:rPr>
        <w:t xml:space="preserve">e </w:t>
      </w:r>
      <w:r>
        <w:rPr>
          <w:lang w:val="en-US"/>
        </w:rPr>
        <w:t>ofte</w:t>
      </w:r>
      <w:r w:rsidR="00823F92">
        <w:rPr>
          <w:lang w:val="en-US"/>
        </w:rPr>
        <w:t xml:space="preserve">n </w:t>
      </w:r>
      <w:r>
        <w:rPr>
          <w:lang w:val="en-US"/>
        </w:rPr>
        <w:t>recruite</w:t>
      </w:r>
      <w:r w:rsidR="00823F92">
        <w:rPr>
          <w:lang w:val="en-US"/>
        </w:rPr>
        <w:t xml:space="preserve">d </w:t>
      </w:r>
      <w:r>
        <w:rPr>
          <w:lang w:val="en-US"/>
        </w:rPr>
        <w:t>int</w:t>
      </w:r>
      <w:r w:rsidR="00823F92">
        <w:rPr>
          <w:lang w:val="en-US"/>
        </w:rPr>
        <w:t xml:space="preserve">o </w:t>
      </w:r>
      <w:r>
        <w:rPr>
          <w:lang w:val="en-US"/>
        </w:rPr>
        <w:t>generalis</w:t>
      </w:r>
      <w:r w:rsidR="00823F92">
        <w:rPr>
          <w:lang w:val="en-US"/>
        </w:rPr>
        <w:t xml:space="preserve">t </w:t>
      </w:r>
      <w:r>
        <w:rPr>
          <w:lang w:val="en-US"/>
        </w:rPr>
        <w:t>position</w:t>
      </w:r>
      <w:r w:rsidR="00823F92">
        <w:rPr>
          <w:lang w:val="en-US"/>
        </w:rPr>
        <w:t xml:space="preserve">s </w:t>
      </w:r>
      <w:r>
        <w:rPr>
          <w:lang w:val="en-US"/>
        </w:rPr>
        <w:t>withi</w:t>
      </w:r>
      <w:r w:rsidR="00823F92">
        <w:rPr>
          <w:lang w:val="en-US"/>
        </w:rPr>
        <w:t xml:space="preserve">n </w:t>
      </w:r>
      <w:r>
        <w:rPr>
          <w:lang w:val="en-US"/>
        </w:rPr>
        <w:t>th</w:t>
      </w:r>
      <w:r w:rsidR="00823F92">
        <w:rPr>
          <w:lang w:val="en-US"/>
        </w:rPr>
        <w:t xml:space="preserve">e </w:t>
      </w:r>
      <w:r>
        <w:rPr>
          <w:lang w:val="en-US"/>
        </w:rPr>
        <w:t>menta</w:t>
      </w:r>
      <w:r w:rsidR="00823F92">
        <w:rPr>
          <w:lang w:val="en-US"/>
        </w:rPr>
        <w:t xml:space="preserve">l </w:t>
      </w:r>
      <w:r>
        <w:rPr>
          <w:lang w:val="en-US"/>
        </w:rPr>
        <w:t>healt</w:t>
      </w:r>
      <w:r w:rsidR="00823F92">
        <w:rPr>
          <w:lang w:val="en-US"/>
        </w:rPr>
        <w:t xml:space="preserve">h </w:t>
      </w:r>
      <w:r>
        <w:rPr>
          <w:lang w:val="en-US"/>
        </w:rPr>
        <w:t>secto</w:t>
      </w:r>
      <w:r w:rsidR="00823F92">
        <w:rPr>
          <w:lang w:val="en-US"/>
        </w:rPr>
        <w:t xml:space="preserve">r </w:t>
      </w:r>
      <w:r>
        <w:rPr>
          <w:lang w:val="en-US"/>
        </w:rPr>
        <w:t>(namely</w:t>
      </w:r>
      <w:r w:rsidR="00823F92">
        <w:rPr>
          <w:lang w:val="en-US"/>
        </w:rPr>
        <w:t xml:space="preserve">, </w:t>
      </w:r>
      <w:r>
        <w:rPr>
          <w:lang w:val="en-US"/>
        </w:rPr>
        <w:t>generi</w:t>
      </w:r>
      <w:r w:rsidR="00823F92">
        <w:rPr>
          <w:lang w:val="en-US"/>
        </w:rPr>
        <w:t xml:space="preserve">c </w:t>
      </w:r>
      <w:r>
        <w:rPr>
          <w:lang w:val="en-US"/>
        </w:rPr>
        <w:t>menta</w:t>
      </w:r>
      <w:r w:rsidR="00823F92">
        <w:rPr>
          <w:lang w:val="en-US"/>
        </w:rPr>
        <w:t xml:space="preserve">l </w:t>
      </w:r>
      <w:r>
        <w:rPr>
          <w:lang w:val="en-US"/>
        </w:rPr>
        <w:t>healt</w:t>
      </w:r>
      <w:r w:rsidR="00823F92">
        <w:rPr>
          <w:lang w:val="en-US"/>
        </w:rPr>
        <w:t xml:space="preserve">h </w:t>
      </w:r>
      <w:r>
        <w:rPr>
          <w:lang w:val="en-US"/>
        </w:rPr>
        <w:t>practitione</w:t>
      </w:r>
      <w:r w:rsidR="00823F92">
        <w:rPr>
          <w:lang w:val="en-US"/>
        </w:rPr>
        <w:t xml:space="preserve">r </w:t>
      </w:r>
      <w:r>
        <w:rPr>
          <w:lang w:val="en-US"/>
        </w:rPr>
        <w:t>role</w:t>
      </w:r>
      <w:r w:rsidR="00823F92">
        <w:rPr>
          <w:lang w:val="en-US"/>
        </w:rPr>
        <w:t xml:space="preserve">s </w:t>
      </w:r>
      <w:r>
        <w:rPr>
          <w:lang w:val="en-US"/>
        </w:rPr>
        <w:t>rathe</w:t>
      </w:r>
      <w:r w:rsidR="00823F92">
        <w:rPr>
          <w:lang w:val="en-US"/>
        </w:rPr>
        <w:t xml:space="preserve">r </w:t>
      </w:r>
      <w:r>
        <w:rPr>
          <w:lang w:val="en-US"/>
        </w:rPr>
        <w:t>tha</w:t>
      </w:r>
      <w:r w:rsidR="00823F92">
        <w:rPr>
          <w:lang w:val="en-US"/>
        </w:rPr>
        <w:t xml:space="preserve">n </w:t>
      </w:r>
      <w:r>
        <w:rPr>
          <w:lang w:val="en-US"/>
        </w:rPr>
        <w:t>discipline-specifi</w:t>
      </w:r>
      <w:r w:rsidR="00823F92">
        <w:rPr>
          <w:lang w:val="en-US"/>
        </w:rPr>
        <w:t xml:space="preserve">c </w:t>
      </w:r>
      <w:r>
        <w:rPr>
          <w:lang w:val="en-US"/>
        </w:rPr>
        <w:t>roles)</w:t>
      </w:r>
      <w:r w:rsidR="00823F92">
        <w:rPr>
          <w:lang w:val="en-US"/>
        </w:rPr>
        <w:t xml:space="preserve">. </w:t>
      </w:r>
      <w:r>
        <w:rPr>
          <w:lang w:val="en-US"/>
        </w:rPr>
        <w:t>Thi</w:t>
      </w:r>
      <w:r w:rsidR="00823F92">
        <w:rPr>
          <w:lang w:val="en-US"/>
        </w:rPr>
        <w:t xml:space="preserve">s </w:t>
      </w:r>
      <w:r>
        <w:rPr>
          <w:lang w:val="en-US"/>
        </w:rPr>
        <w:t>i</w:t>
      </w:r>
      <w:r w:rsidR="00823F92">
        <w:rPr>
          <w:lang w:val="en-US"/>
        </w:rPr>
        <w:t xml:space="preserve">s </w:t>
      </w:r>
      <w:r>
        <w:rPr>
          <w:lang w:val="en-US"/>
        </w:rPr>
        <w:t>drive</w:t>
      </w:r>
      <w:r w:rsidR="00823F92">
        <w:rPr>
          <w:lang w:val="en-US"/>
        </w:rPr>
        <w:t xml:space="preserve">n </w:t>
      </w:r>
      <w:r>
        <w:rPr>
          <w:lang w:val="en-US"/>
        </w:rPr>
        <w:t>i</w:t>
      </w:r>
      <w:r w:rsidR="00823F92">
        <w:rPr>
          <w:lang w:val="en-US"/>
        </w:rPr>
        <w:t xml:space="preserve">n </w:t>
      </w:r>
      <w:r>
        <w:rPr>
          <w:lang w:val="en-US"/>
        </w:rPr>
        <w:t>par</w:t>
      </w:r>
      <w:r w:rsidR="00823F92">
        <w:rPr>
          <w:lang w:val="en-US"/>
        </w:rPr>
        <w:t xml:space="preserve">t </w:t>
      </w:r>
      <w:r>
        <w:rPr>
          <w:lang w:val="en-US"/>
        </w:rPr>
        <w:t>b</w:t>
      </w:r>
      <w:r w:rsidR="00823F92">
        <w:rPr>
          <w:lang w:val="en-US"/>
        </w:rPr>
        <w:t xml:space="preserve">y </w:t>
      </w:r>
      <w:r>
        <w:rPr>
          <w:lang w:val="en-US"/>
        </w:rPr>
        <w:t>th</w:t>
      </w:r>
      <w:r w:rsidR="00823F92">
        <w:rPr>
          <w:lang w:val="en-US"/>
        </w:rPr>
        <w:t xml:space="preserve">e </w:t>
      </w:r>
      <w:r>
        <w:rPr>
          <w:lang w:val="en-US"/>
        </w:rPr>
        <w:t>nee</w:t>
      </w:r>
      <w:r w:rsidR="00823F92">
        <w:rPr>
          <w:lang w:val="en-US"/>
        </w:rPr>
        <w:t xml:space="preserve">d </w:t>
      </w:r>
      <w:r>
        <w:rPr>
          <w:lang w:val="en-US"/>
        </w:rPr>
        <w:t>fo</w:t>
      </w:r>
      <w:r w:rsidR="00823F92">
        <w:rPr>
          <w:lang w:val="en-US"/>
        </w:rPr>
        <w:t xml:space="preserve">r </w:t>
      </w:r>
      <w:r>
        <w:rPr>
          <w:lang w:val="en-US"/>
        </w:rPr>
        <w:t>organisation</w:t>
      </w:r>
      <w:r w:rsidR="00823F92">
        <w:rPr>
          <w:lang w:val="en-US"/>
        </w:rPr>
        <w:t xml:space="preserve">s </w:t>
      </w:r>
      <w:r>
        <w:rPr>
          <w:lang w:val="en-US"/>
        </w:rPr>
        <w:t>t</w:t>
      </w:r>
      <w:r w:rsidR="00823F92">
        <w:rPr>
          <w:lang w:val="en-US"/>
        </w:rPr>
        <w:t xml:space="preserve">o </w:t>
      </w:r>
      <w:r>
        <w:rPr>
          <w:lang w:val="en-US"/>
        </w:rPr>
        <w:t>advertis</w:t>
      </w:r>
      <w:r w:rsidR="00823F92">
        <w:rPr>
          <w:lang w:val="en-US"/>
        </w:rPr>
        <w:t xml:space="preserve">e </w:t>
      </w:r>
      <w:r>
        <w:rPr>
          <w:lang w:val="en-US"/>
        </w:rPr>
        <w:t>generalis</w:t>
      </w:r>
      <w:r w:rsidR="00823F92">
        <w:rPr>
          <w:lang w:val="en-US"/>
        </w:rPr>
        <w:t xml:space="preserve">t </w:t>
      </w:r>
      <w:r>
        <w:rPr>
          <w:lang w:val="en-US"/>
        </w:rPr>
        <w:t>roles</w:t>
      </w:r>
      <w:r w:rsidR="00823F92">
        <w:rPr>
          <w:lang w:val="en-US"/>
        </w:rPr>
        <w:t xml:space="preserve">, </w:t>
      </w:r>
      <w:r>
        <w:rPr>
          <w:lang w:val="en-US"/>
        </w:rPr>
        <w:t>eve</w:t>
      </w:r>
      <w:r w:rsidR="00823F92">
        <w:rPr>
          <w:lang w:val="en-US"/>
        </w:rPr>
        <w:t xml:space="preserve">n </w:t>
      </w:r>
      <w:r>
        <w:rPr>
          <w:lang w:val="en-US"/>
        </w:rPr>
        <w:t>whe</w:t>
      </w:r>
      <w:r w:rsidR="00823F92">
        <w:rPr>
          <w:lang w:val="en-US"/>
        </w:rPr>
        <w:t xml:space="preserve">n </w:t>
      </w:r>
      <w:r>
        <w:rPr>
          <w:lang w:val="en-US"/>
        </w:rPr>
        <w:t>ther</w:t>
      </w:r>
      <w:r w:rsidR="00823F92">
        <w:rPr>
          <w:lang w:val="en-US"/>
        </w:rPr>
        <w:t xml:space="preserve">e </w:t>
      </w:r>
      <w:r>
        <w:rPr>
          <w:lang w:val="en-US"/>
        </w:rPr>
        <w:t>ar</w:t>
      </w:r>
      <w:r w:rsidR="00823F92">
        <w:rPr>
          <w:lang w:val="en-US"/>
        </w:rPr>
        <w:t xml:space="preserve">e </w:t>
      </w:r>
      <w:r>
        <w:rPr>
          <w:lang w:val="en-US"/>
        </w:rPr>
        <w:t>specifi</w:t>
      </w:r>
      <w:r w:rsidR="00823F92">
        <w:rPr>
          <w:lang w:val="en-US"/>
        </w:rPr>
        <w:t xml:space="preserve">c </w:t>
      </w:r>
      <w:r>
        <w:rPr>
          <w:lang w:val="en-US"/>
        </w:rPr>
        <w:t>discipline</w:t>
      </w:r>
      <w:r w:rsidR="00823F92">
        <w:rPr>
          <w:lang w:val="en-US"/>
        </w:rPr>
        <w:t xml:space="preserve">s </w:t>
      </w:r>
      <w:r>
        <w:rPr>
          <w:lang w:val="en-US"/>
        </w:rPr>
        <w:t>required</w:t>
      </w:r>
      <w:r w:rsidR="00823F92">
        <w:rPr>
          <w:lang w:val="en-US"/>
        </w:rPr>
        <w:t xml:space="preserve">, </w:t>
      </w:r>
      <w:r>
        <w:rPr>
          <w:lang w:val="en-US"/>
        </w:rPr>
        <w:t>i</w:t>
      </w:r>
      <w:r w:rsidR="00823F92">
        <w:rPr>
          <w:lang w:val="en-US"/>
        </w:rPr>
        <w:t xml:space="preserve">n </w:t>
      </w:r>
      <w:r>
        <w:rPr>
          <w:lang w:val="en-US"/>
        </w:rPr>
        <w:t>orde</w:t>
      </w:r>
      <w:r w:rsidR="00823F92">
        <w:rPr>
          <w:lang w:val="en-US"/>
        </w:rPr>
        <w:t xml:space="preserve">r </w:t>
      </w:r>
      <w:r>
        <w:rPr>
          <w:lang w:val="en-US"/>
        </w:rPr>
        <w:t>t</w:t>
      </w:r>
      <w:r w:rsidR="00823F92">
        <w:rPr>
          <w:lang w:val="en-US"/>
        </w:rPr>
        <w:t xml:space="preserve">o </w:t>
      </w:r>
      <w:r>
        <w:rPr>
          <w:lang w:val="en-US"/>
        </w:rPr>
        <w:t>attrac</w:t>
      </w:r>
      <w:r w:rsidR="00823F92">
        <w:rPr>
          <w:lang w:val="en-US"/>
        </w:rPr>
        <w:t xml:space="preserve">t </w:t>
      </w:r>
      <w:r>
        <w:rPr>
          <w:lang w:val="en-US"/>
        </w:rPr>
        <w:t>worker</w:t>
      </w:r>
      <w:r w:rsidR="00823F92">
        <w:rPr>
          <w:lang w:val="en-US"/>
        </w:rPr>
        <w:t xml:space="preserve">s </w:t>
      </w:r>
      <w:r>
        <w:rPr>
          <w:lang w:val="en-US"/>
        </w:rPr>
        <w:t>t</w:t>
      </w:r>
      <w:r w:rsidR="00823F92">
        <w:rPr>
          <w:lang w:val="en-US"/>
        </w:rPr>
        <w:t xml:space="preserve">o </w:t>
      </w:r>
      <w:r>
        <w:rPr>
          <w:lang w:val="en-US"/>
        </w:rPr>
        <w:t>fil</w:t>
      </w:r>
      <w:r w:rsidR="00823F92">
        <w:rPr>
          <w:lang w:val="en-US"/>
        </w:rPr>
        <w:t xml:space="preserve">l </w:t>
      </w:r>
      <w:r>
        <w:rPr>
          <w:lang w:val="en-US"/>
        </w:rPr>
        <w:t>position</w:t>
      </w:r>
      <w:r w:rsidR="00823F92">
        <w:rPr>
          <w:lang w:val="en-US"/>
        </w:rPr>
        <w:t xml:space="preserve">s </w:t>
      </w:r>
      <w:r>
        <w:rPr>
          <w:lang w:val="en-US"/>
        </w:rPr>
        <w:t>i</w:t>
      </w:r>
      <w:r w:rsidR="00823F92">
        <w:rPr>
          <w:lang w:val="en-US"/>
        </w:rPr>
        <w:t xml:space="preserve">n </w:t>
      </w:r>
      <w:r>
        <w:rPr>
          <w:lang w:val="en-US"/>
        </w:rPr>
        <w:t>th</w:t>
      </w:r>
      <w:r w:rsidR="00823F92">
        <w:rPr>
          <w:lang w:val="en-US"/>
        </w:rPr>
        <w:t xml:space="preserve">e </w:t>
      </w:r>
      <w:r>
        <w:rPr>
          <w:lang w:val="en-US"/>
        </w:rPr>
        <w:t>menta</w:t>
      </w:r>
      <w:r w:rsidR="00823F92">
        <w:rPr>
          <w:lang w:val="en-US"/>
        </w:rPr>
        <w:t xml:space="preserve">l </w:t>
      </w:r>
      <w:r>
        <w:rPr>
          <w:lang w:val="en-US"/>
        </w:rPr>
        <w:t>healt</w:t>
      </w:r>
      <w:r w:rsidR="00823F92">
        <w:rPr>
          <w:lang w:val="en-US"/>
        </w:rPr>
        <w:t xml:space="preserve">h </w:t>
      </w:r>
      <w:r>
        <w:rPr>
          <w:lang w:val="en-US"/>
        </w:rPr>
        <w:t>secto</w:t>
      </w:r>
      <w:r w:rsidR="00823F92">
        <w:rPr>
          <w:lang w:val="en-US"/>
        </w:rPr>
        <w:t xml:space="preserve">r </w:t>
      </w:r>
      <w:r>
        <w:rPr>
          <w:lang w:val="en-US"/>
        </w:rPr>
        <w:t xml:space="preserve">– </w:t>
      </w:r>
      <w:r w:rsidR="00823F92">
        <w:rPr>
          <w:lang w:val="en-US"/>
        </w:rPr>
        <w:t xml:space="preserve">a </w:t>
      </w:r>
      <w:r>
        <w:rPr>
          <w:lang w:val="en-US"/>
        </w:rPr>
        <w:t>proble</w:t>
      </w:r>
      <w:r w:rsidR="00823F92">
        <w:rPr>
          <w:lang w:val="en-US"/>
        </w:rPr>
        <w:t xml:space="preserve">m </w:t>
      </w:r>
      <w:r>
        <w:rPr>
          <w:lang w:val="en-US"/>
        </w:rPr>
        <w:t>tha</w:t>
      </w:r>
      <w:r w:rsidR="00823F92">
        <w:rPr>
          <w:lang w:val="en-US"/>
        </w:rPr>
        <w:t xml:space="preserve">t </w:t>
      </w:r>
      <w:r>
        <w:rPr>
          <w:lang w:val="en-US"/>
        </w:rPr>
        <w:t>i</w:t>
      </w:r>
      <w:r w:rsidR="00823F92">
        <w:rPr>
          <w:lang w:val="en-US"/>
        </w:rPr>
        <w:t xml:space="preserve">s </w:t>
      </w:r>
      <w:r>
        <w:rPr>
          <w:lang w:val="en-US"/>
        </w:rPr>
        <w:t>exacerbate</w:t>
      </w:r>
      <w:r w:rsidR="00823F92">
        <w:rPr>
          <w:lang w:val="en-US"/>
        </w:rPr>
        <w:t xml:space="preserve">d </w:t>
      </w:r>
      <w:r>
        <w:rPr>
          <w:lang w:val="en-US"/>
        </w:rPr>
        <w:t>i</w:t>
      </w:r>
      <w:r w:rsidR="00823F92">
        <w:rPr>
          <w:lang w:val="en-US"/>
        </w:rPr>
        <w:t xml:space="preserve">n </w:t>
      </w:r>
      <w:r>
        <w:rPr>
          <w:lang w:val="en-US"/>
        </w:rPr>
        <w:t>rura</w:t>
      </w:r>
      <w:r w:rsidR="00823F92">
        <w:rPr>
          <w:lang w:val="en-US"/>
        </w:rPr>
        <w:t xml:space="preserve">l </w:t>
      </w:r>
      <w:r>
        <w:rPr>
          <w:lang w:val="en-US"/>
        </w:rPr>
        <w:t>an</w:t>
      </w:r>
      <w:r w:rsidR="00823F92">
        <w:rPr>
          <w:lang w:val="en-US"/>
        </w:rPr>
        <w:t xml:space="preserve">d </w:t>
      </w:r>
      <w:r>
        <w:rPr>
          <w:lang w:val="en-US"/>
        </w:rPr>
        <w:t>remot</w:t>
      </w:r>
      <w:r w:rsidR="00823F92">
        <w:rPr>
          <w:lang w:val="en-US"/>
        </w:rPr>
        <w:t xml:space="preserve">e </w:t>
      </w:r>
      <w:r>
        <w:rPr>
          <w:lang w:val="en-US"/>
        </w:rPr>
        <w:t>areas</w:t>
      </w:r>
      <w:r w:rsidR="00823F92">
        <w:rPr>
          <w:lang w:val="en-US"/>
        </w:rPr>
        <w:t xml:space="preserve">. </w:t>
      </w:r>
      <w:r>
        <w:rPr>
          <w:lang w:val="en-US"/>
        </w:rPr>
        <w:t>Thi</w:t>
      </w:r>
      <w:r w:rsidR="00823F92">
        <w:rPr>
          <w:lang w:val="en-US"/>
        </w:rPr>
        <w:t xml:space="preserve">s </w:t>
      </w:r>
      <w:r>
        <w:rPr>
          <w:lang w:val="en-US"/>
        </w:rPr>
        <w:t>reduce</w:t>
      </w:r>
      <w:r w:rsidR="00823F92">
        <w:rPr>
          <w:lang w:val="en-US"/>
        </w:rPr>
        <w:t xml:space="preserve">s </w:t>
      </w:r>
      <w:r>
        <w:rPr>
          <w:lang w:val="en-US"/>
        </w:rPr>
        <w:t>th</w:t>
      </w:r>
      <w:r w:rsidR="00823F92">
        <w:rPr>
          <w:lang w:val="en-US"/>
        </w:rPr>
        <w:t xml:space="preserve">e </w:t>
      </w:r>
      <w:r>
        <w:rPr>
          <w:lang w:val="en-US"/>
        </w:rPr>
        <w:t>attractivenes</w:t>
      </w:r>
      <w:r w:rsidR="00823F92">
        <w:rPr>
          <w:lang w:val="en-US"/>
        </w:rPr>
        <w:t xml:space="preserve">s </w:t>
      </w:r>
      <w:r>
        <w:rPr>
          <w:lang w:val="en-US"/>
        </w:rPr>
        <w:t>o</w:t>
      </w:r>
      <w:r w:rsidR="00823F92">
        <w:rPr>
          <w:lang w:val="en-US"/>
        </w:rPr>
        <w:t xml:space="preserve">f </w:t>
      </w:r>
      <w:r>
        <w:rPr>
          <w:lang w:val="en-US"/>
        </w:rPr>
        <w:t>th</w:t>
      </w:r>
      <w:r w:rsidR="00823F92">
        <w:rPr>
          <w:lang w:val="en-US"/>
        </w:rPr>
        <w:t xml:space="preserve">e </w:t>
      </w:r>
      <w:r>
        <w:rPr>
          <w:lang w:val="en-US"/>
        </w:rPr>
        <w:t>secto</w:t>
      </w:r>
      <w:r w:rsidR="00823F92">
        <w:rPr>
          <w:lang w:val="en-US"/>
        </w:rPr>
        <w:t xml:space="preserve">r </w:t>
      </w:r>
      <w:r>
        <w:rPr>
          <w:lang w:val="en-US"/>
        </w:rPr>
        <w:t>i</w:t>
      </w:r>
      <w:r w:rsidR="00823F92">
        <w:rPr>
          <w:lang w:val="en-US"/>
        </w:rPr>
        <w:t xml:space="preserve">n </w:t>
      </w:r>
      <w:r>
        <w:rPr>
          <w:lang w:val="en-US"/>
        </w:rPr>
        <w:t>th</w:t>
      </w:r>
      <w:r w:rsidR="00823F92">
        <w:rPr>
          <w:lang w:val="en-US"/>
        </w:rPr>
        <w:t xml:space="preserve">e </w:t>
      </w:r>
      <w:r>
        <w:rPr>
          <w:lang w:val="en-US"/>
        </w:rPr>
        <w:t>firs</w:t>
      </w:r>
      <w:r w:rsidR="00823F92">
        <w:rPr>
          <w:lang w:val="en-US"/>
        </w:rPr>
        <w:t xml:space="preserve">t </w:t>
      </w:r>
      <w:r>
        <w:rPr>
          <w:lang w:val="en-US"/>
        </w:rPr>
        <w:t>instance.</w:t>
      </w:r>
    </w:p>
    <w:p w14:paraId="0B20B432" w14:textId="3EF826F1" w:rsidR="00AF5330" w:rsidRPr="00986670" w:rsidRDefault="00823F92" w:rsidP="00AF5330">
      <w:pPr>
        <w:pStyle w:val="BodyText"/>
      </w:pPr>
      <w:r>
        <w:rPr>
          <w:lang w:val="en-US"/>
        </w:rPr>
        <w:t xml:space="preserve">A </w:t>
      </w:r>
      <w:r w:rsidR="00AF5330">
        <w:rPr>
          <w:lang w:val="en-US"/>
        </w:rPr>
        <w:t>furthe</w:t>
      </w:r>
      <w:r>
        <w:rPr>
          <w:lang w:val="en-US"/>
        </w:rPr>
        <w:t xml:space="preserve">r </w:t>
      </w:r>
      <w:r w:rsidR="00AF5330">
        <w:rPr>
          <w:lang w:val="en-US"/>
        </w:rPr>
        <w:t>drive</w:t>
      </w:r>
      <w:r>
        <w:rPr>
          <w:lang w:val="en-US"/>
        </w:rPr>
        <w:t xml:space="preserve">r </w:t>
      </w:r>
      <w:r w:rsidR="00AF5330">
        <w:rPr>
          <w:lang w:val="en-US"/>
        </w:rPr>
        <w:t>i</w:t>
      </w:r>
      <w:r>
        <w:rPr>
          <w:lang w:val="en-US"/>
        </w:rPr>
        <w:t xml:space="preserve">s </w:t>
      </w:r>
      <w:r w:rsidR="00AF5330">
        <w:rPr>
          <w:lang w:val="en-US"/>
        </w:rPr>
        <w:t>th</w:t>
      </w:r>
      <w:r>
        <w:rPr>
          <w:lang w:val="en-US"/>
        </w:rPr>
        <w:t xml:space="preserve">e </w:t>
      </w:r>
      <w:r w:rsidR="00AF5330">
        <w:rPr>
          <w:lang w:val="en-US"/>
        </w:rPr>
        <w:t>limite</w:t>
      </w:r>
      <w:r>
        <w:rPr>
          <w:lang w:val="en-US"/>
        </w:rPr>
        <w:t xml:space="preserve">d </w:t>
      </w:r>
      <w:r w:rsidR="00AF5330">
        <w:rPr>
          <w:lang w:val="en-US"/>
        </w:rPr>
        <w:t>awarenes</w:t>
      </w:r>
      <w:r>
        <w:rPr>
          <w:lang w:val="en-US"/>
        </w:rPr>
        <w:t xml:space="preserve">s </w:t>
      </w:r>
      <w:r w:rsidR="00AF5330">
        <w:rPr>
          <w:lang w:val="en-US"/>
        </w:rPr>
        <w:t>i</w:t>
      </w:r>
      <w:r>
        <w:rPr>
          <w:lang w:val="en-US"/>
        </w:rPr>
        <w:t xml:space="preserve">n </w:t>
      </w:r>
      <w:r w:rsidR="00AF5330">
        <w:rPr>
          <w:lang w:val="en-US"/>
        </w:rPr>
        <w:t>th</w:t>
      </w:r>
      <w:r>
        <w:rPr>
          <w:lang w:val="en-US"/>
        </w:rPr>
        <w:t xml:space="preserve">e </w:t>
      </w:r>
      <w:r w:rsidR="00AF5330">
        <w:rPr>
          <w:lang w:val="en-US"/>
        </w:rPr>
        <w:t>menta</w:t>
      </w:r>
      <w:r>
        <w:rPr>
          <w:lang w:val="en-US"/>
        </w:rPr>
        <w:t xml:space="preserve">l </w:t>
      </w:r>
      <w:r w:rsidR="00AF5330">
        <w:rPr>
          <w:lang w:val="en-US"/>
        </w:rPr>
        <w:t>healt</w:t>
      </w:r>
      <w:r>
        <w:rPr>
          <w:lang w:val="en-US"/>
        </w:rPr>
        <w:t xml:space="preserve">h </w:t>
      </w:r>
      <w:r w:rsidR="00AF5330">
        <w:rPr>
          <w:lang w:val="en-US"/>
        </w:rPr>
        <w:t>secto</w:t>
      </w:r>
      <w:r>
        <w:rPr>
          <w:lang w:val="en-US"/>
        </w:rPr>
        <w:t xml:space="preserve">r </w:t>
      </w:r>
      <w:r w:rsidR="00AF5330">
        <w:rPr>
          <w:lang w:val="en-US"/>
        </w:rPr>
        <w:t>o</w:t>
      </w:r>
      <w:r>
        <w:rPr>
          <w:lang w:val="en-US"/>
        </w:rPr>
        <w:t xml:space="preserve">f </w:t>
      </w:r>
      <w:r w:rsidR="00AF5330">
        <w:rPr>
          <w:lang w:val="en-US"/>
        </w:rPr>
        <w:t>th</w:t>
      </w:r>
      <w:r>
        <w:rPr>
          <w:lang w:val="en-US"/>
        </w:rPr>
        <w:t xml:space="preserve">e </w:t>
      </w:r>
      <w:r w:rsidR="00AF5330">
        <w:rPr>
          <w:lang w:val="en-US"/>
        </w:rPr>
        <w:t>rol</w:t>
      </w:r>
      <w:r>
        <w:rPr>
          <w:lang w:val="en-US"/>
        </w:rPr>
        <w:t xml:space="preserve">e </w:t>
      </w:r>
      <w:r w:rsidR="00AF5330">
        <w:rPr>
          <w:lang w:val="en-US"/>
        </w:rPr>
        <w:t>an</w:t>
      </w:r>
      <w:r>
        <w:rPr>
          <w:lang w:val="en-US"/>
        </w:rPr>
        <w:t xml:space="preserve">d </w:t>
      </w:r>
      <w:r w:rsidR="00AF5330">
        <w:rPr>
          <w:lang w:val="en-US"/>
        </w:rPr>
        <w:t>contributio</w:t>
      </w:r>
      <w:r>
        <w:rPr>
          <w:lang w:val="en-US"/>
        </w:rPr>
        <w:t xml:space="preserve">n </w:t>
      </w:r>
      <w:r w:rsidR="00AF5330">
        <w:rPr>
          <w:lang w:val="en-US"/>
        </w:rPr>
        <w:t>o</w:t>
      </w:r>
      <w:r>
        <w:rPr>
          <w:lang w:val="en-US"/>
        </w:rPr>
        <w:t xml:space="preserve">f </w:t>
      </w:r>
      <w:r w:rsidR="00BE2E5D">
        <w:rPr>
          <w:lang w:val="en-US"/>
        </w:rPr>
        <w:t>dietitians</w:t>
      </w:r>
      <w:r>
        <w:rPr>
          <w:lang w:val="en-US"/>
        </w:rPr>
        <w:t xml:space="preserve">, </w:t>
      </w:r>
      <w:r w:rsidR="00AF5330">
        <w:rPr>
          <w:lang w:val="en-US"/>
        </w:rPr>
        <w:t>occupationa</w:t>
      </w:r>
      <w:r>
        <w:rPr>
          <w:lang w:val="en-US"/>
        </w:rPr>
        <w:t xml:space="preserve">l </w:t>
      </w:r>
      <w:r w:rsidR="00AF5330">
        <w:rPr>
          <w:lang w:val="en-US"/>
        </w:rPr>
        <w:t>therapists</w:t>
      </w:r>
      <w:r>
        <w:rPr>
          <w:lang w:val="en-US"/>
        </w:rPr>
        <w:t xml:space="preserve">, </w:t>
      </w:r>
      <w:r w:rsidR="00BE2E5D">
        <w:rPr>
          <w:lang w:val="en-US"/>
        </w:rPr>
        <w:t>socia</w:t>
      </w:r>
      <w:r>
        <w:rPr>
          <w:lang w:val="en-US"/>
        </w:rPr>
        <w:t xml:space="preserve">l </w:t>
      </w:r>
      <w:r w:rsidR="00BE2E5D">
        <w:rPr>
          <w:lang w:val="en-US"/>
        </w:rPr>
        <w:t>worker</w:t>
      </w:r>
      <w:r>
        <w:rPr>
          <w:lang w:val="en-US"/>
        </w:rPr>
        <w:t xml:space="preserve">s </w:t>
      </w:r>
      <w:r w:rsidR="00AF5330">
        <w:rPr>
          <w:lang w:val="en-US"/>
        </w:rPr>
        <w:t>an</w:t>
      </w:r>
      <w:r>
        <w:rPr>
          <w:lang w:val="en-US"/>
        </w:rPr>
        <w:t xml:space="preserve">d </w:t>
      </w:r>
      <w:r w:rsidR="00AF5330">
        <w:rPr>
          <w:lang w:val="en-US"/>
        </w:rPr>
        <w:t>speec</w:t>
      </w:r>
      <w:r>
        <w:rPr>
          <w:lang w:val="en-US"/>
        </w:rPr>
        <w:t xml:space="preserve">h </w:t>
      </w:r>
      <w:r w:rsidR="00AF5330">
        <w:rPr>
          <w:lang w:val="en-US"/>
        </w:rPr>
        <w:t>pathologist</w:t>
      </w:r>
      <w:r>
        <w:rPr>
          <w:lang w:val="en-US"/>
        </w:rPr>
        <w:t xml:space="preserve">s </w:t>
      </w:r>
      <w:r w:rsidR="00AF5330">
        <w:rPr>
          <w:lang w:val="en-US"/>
        </w:rPr>
        <w:t>t</w:t>
      </w:r>
      <w:r>
        <w:rPr>
          <w:lang w:val="en-US"/>
        </w:rPr>
        <w:t xml:space="preserve">o </w:t>
      </w:r>
      <w:r w:rsidR="00AF5330">
        <w:rPr>
          <w:lang w:val="en-US"/>
        </w:rPr>
        <w:t>menta</w:t>
      </w:r>
      <w:r>
        <w:rPr>
          <w:lang w:val="en-US"/>
        </w:rPr>
        <w:t xml:space="preserve">l </w:t>
      </w:r>
      <w:r w:rsidR="00AF5330">
        <w:rPr>
          <w:lang w:val="en-US"/>
        </w:rPr>
        <w:t>healt</w:t>
      </w:r>
      <w:r>
        <w:rPr>
          <w:lang w:val="en-US"/>
        </w:rPr>
        <w:t xml:space="preserve">h </w:t>
      </w:r>
      <w:r w:rsidR="00AF5330">
        <w:rPr>
          <w:lang w:val="en-US"/>
        </w:rPr>
        <w:t>servic</w:t>
      </w:r>
      <w:r>
        <w:rPr>
          <w:lang w:val="en-US"/>
        </w:rPr>
        <w:t xml:space="preserve">e </w:t>
      </w:r>
      <w:r w:rsidR="00AF5330">
        <w:rPr>
          <w:lang w:val="en-US"/>
        </w:rPr>
        <w:t>delivery</w:t>
      </w:r>
      <w:r>
        <w:rPr>
          <w:lang w:val="en-US"/>
        </w:rPr>
        <w:t xml:space="preserve">, </w:t>
      </w:r>
      <w:r w:rsidR="00AF5330">
        <w:rPr>
          <w:lang w:val="en-US"/>
        </w:rPr>
        <w:t>whic</w:t>
      </w:r>
      <w:r>
        <w:rPr>
          <w:lang w:val="en-US"/>
        </w:rPr>
        <w:t xml:space="preserve">h </w:t>
      </w:r>
      <w:r w:rsidR="00AF5330">
        <w:rPr>
          <w:lang w:val="en-US"/>
        </w:rPr>
        <w:t>reduce</w:t>
      </w:r>
      <w:r>
        <w:rPr>
          <w:lang w:val="en-US"/>
        </w:rPr>
        <w:t xml:space="preserve">s </w:t>
      </w:r>
      <w:r w:rsidR="00AF5330">
        <w:rPr>
          <w:lang w:val="en-US"/>
        </w:rPr>
        <w:t>th</w:t>
      </w:r>
      <w:r>
        <w:rPr>
          <w:lang w:val="en-US"/>
        </w:rPr>
        <w:t xml:space="preserve">e </w:t>
      </w:r>
      <w:r w:rsidR="00AF5330">
        <w:rPr>
          <w:lang w:val="en-US"/>
        </w:rPr>
        <w:t>numbe</w:t>
      </w:r>
      <w:r>
        <w:rPr>
          <w:lang w:val="en-US"/>
        </w:rPr>
        <w:t xml:space="preserve">r </w:t>
      </w:r>
      <w:r w:rsidR="00AF5330">
        <w:rPr>
          <w:lang w:val="en-US"/>
        </w:rPr>
        <w:t>o</w:t>
      </w:r>
      <w:r>
        <w:rPr>
          <w:lang w:val="en-US"/>
        </w:rPr>
        <w:t xml:space="preserve">f </w:t>
      </w:r>
      <w:r w:rsidR="00AF5330">
        <w:rPr>
          <w:lang w:val="en-US"/>
        </w:rPr>
        <w:t>specialis</w:t>
      </w:r>
      <w:r>
        <w:rPr>
          <w:lang w:val="en-US"/>
        </w:rPr>
        <w:t xml:space="preserve">t </w:t>
      </w:r>
      <w:r w:rsidR="00AF5330">
        <w:rPr>
          <w:lang w:val="en-US"/>
        </w:rPr>
        <w:t>jo</w:t>
      </w:r>
      <w:r>
        <w:rPr>
          <w:lang w:val="en-US"/>
        </w:rPr>
        <w:t xml:space="preserve">b </w:t>
      </w:r>
      <w:r w:rsidR="00AF5330">
        <w:rPr>
          <w:lang w:val="en-US"/>
        </w:rPr>
        <w:t>opportunitie</w:t>
      </w:r>
      <w:r>
        <w:rPr>
          <w:lang w:val="en-US"/>
        </w:rPr>
        <w:t xml:space="preserve">s </w:t>
      </w:r>
      <w:r w:rsidR="00AF5330">
        <w:rPr>
          <w:lang w:val="en-US"/>
        </w:rPr>
        <w:t>available</w:t>
      </w:r>
      <w:r>
        <w:rPr>
          <w:lang w:val="en-US"/>
        </w:rPr>
        <w:t xml:space="preserve">. </w:t>
      </w:r>
      <w:r w:rsidR="00AF5330">
        <w:rPr>
          <w:lang w:val="en-US"/>
        </w:rPr>
        <w:t>Bot</w:t>
      </w:r>
      <w:r>
        <w:rPr>
          <w:lang w:val="en-US"/>
        </w:rPr>
        <w:t xml:space="preserve">h </w:t>
      </w:r>
      <w:r w:rsidR="00AF5330">
        <w:rPr>
          <w:lang w:val="en-US"/>
        </w:rPr>
        <w:t>issue</w:t>
      </w:r>
      <w:r>
        <w:rPr>
          <w:lang w:val="en-US"/>
        </w:rPr>
        <w:t xml:space="preserve">s </w:t>
      </w:r>
      <w:r w:rsidR="00AF5330">
        <w:rPr>
          <w:lang w:val="en-US"/>
        </w:rPr>
        <w:t>mea</w:t>
      </w:r>
      <w:r>
        <w:rPr>
          <w:lang w:val="en-US"/>
        </w:rPr>
        <w:t xml:space="preserve">n </w:t>
      </w:r>
      <w:r w:rsidR="00AF5330">
        <w:rPr>
          <w:lang w:val="en-US"/>
        </w:rPr>
        <w:t>tha</w:t>
      </w:r>
      <w:r>
        <w:rPr>
          <w:lang w:val="en-US"/>
        </w:rPr>
        <w:t xml:space="preserve">t </w:t>
      </w:r>
      <w:r w:rsidR="00AF5330">
        <w:rPr>
          <w:lang w:val="en-US"/>
        </w:rPr>
        <w:t>onc</w:t>
      </w:r>
      <w:r>
        <w:rPr>
          <w:lang w:val="en-US"/>
        </w:rPr>
        <w:t xml:space="preserve">e </w:t>
      </w:r>
      <w:r w:rsidR="00AF5330">
        <w:rPr>
          <w:lang w:val="en-US"/>
        </w:rPr>
        <w:t>i</w:t>
      </w:r>
      <w:r>
        <w:rPr>
          <w:lang w:val="en-US"/>
        </w:rPr>
        <w:t xml:space="preserve">n </w:t>
      </w:r>
      <w:r w:rsidR="00AF5330">
        <w:rPr>
          <w:lang w:val="en-US"/>
        </w:rPr>
        <w:t>generalis</w:t>
      </w:r>
      <w:r>
        <w:rPr>
          <w:lang w:val="en-US"/>
        </w:rPr>
        <w:t xml:space="preserve">t </w:t>
      </w:r>
      <w:r w:rsidR="00AF5330">
        <w:rPr>
          <w:lang w:val="en-US"/>
        </w:rPr>
        <w:t>roles</w:t>
      </w:r>
      <w:r>
        <w:rPr>
          <w:lang w:val="en-US"/>
        </w:rPr>
        <w:t xml:space="preserve">, </w:t>
      </w:r>
      <w:r w:rsidR="00AF5330">
        <w:rPr>
          <w:lang w:val="en-US"/>
        </w:rPr>
        <w:t>ther</w:t>
      </w:r>
      <w:r>
        <w:rPr>
          <w:lang w:val="en-US"/>
        </w:rPr>
        <w:t xml:space="preserve">e </w:t>
      </w:r>
      <w:r w:rsidR="00AF5330">
        <w:rPr>
          <w:lang w:val="en-US"/>
        </w:rPr>
        <w:t>ar</w:t>
      </w:r>
      <w:r>
        <w:rPr>
          <w:lang w:val="en-US"/>
        </w:rPr>
        <w:t xml:space="preserve">e </w:t>
      </w:r>
      <w:r w:rsidR="00AF5330">
        <w:rPr>
          <w:lang w:val="en-US"/>
        </w:rPr>
        <w:t>fe</w:t>
      </w:r>
      <w:r>
        <w:rPr>
          <w:lang w:val="en-US"/>
        </w:rPr>
        <w:t xml:space="preserve">w </w:t>
      </w:r>
      <w:r w:rsidR="00AF5330">
        <w:rPr>
          <w:lang w:val="en-US"/>
        </w:rPr>
        <w:lastRenderedPageBreak/>
        <w:t>opportunitie</w:t>
      </w:r>
      <w:r>
        <w:rPr>
          <w:lang w:val="en-US"/>
        </w:rPr>
        <w:t xml:space="preserve">s </w:t>
      </w:r>
      <w:r w:rsidR="00AF5330">
        <w:rPr>
          <w:lang w:val="en-US"/>
        </w:rPr>
        <w:t>fo</w:t>
      </w:r>
      <w:r>
        <w:rPr>
          <w:lang w:val="en-US"/>
        </w:rPr>
        <w:t xml:space="preserve">r </w:t>
      </w:r>
      <w:r w:rsidR="00AF5330">
        <w:rPr>
          <w:lang w:val="en-US"/>
        </w:rPr>
        <w:t>allie</w:t>
      </w:r>
      <w:r>
        <w:rPr>
          <w:lang w:val="en-US"/>
        </w:rPr>
        <w:t xml:space="preserve">d </w:t>
      </w:r>
      <w:r w:rsidR="00AF5330">
        <w:rPr>
          <w:lang w:val="en-US"/>
        </w:rPr>
        <w:t>healt</w:t>
      </w:r>
      <w:r>
        <w:rPr>
          <w:lang w:val="en-US"/>
        </w:rPr>
        <w:t xml:space="preserve">h </w:t>
      </w:r>
      <w:r w:rsidR="00AF5330">
        <w:rPr>
          <w:lang w:val="en-US"/>
        </w:rPr>
        <w:t>staf</w:t>
      </w:r>
      <w:r>
        <w:rPr>
          <w:lang w:val="en-US"/>
        </w:rPr>
        <w:t xml:space="preserve">f </w:t>
      </w:r>
      <w:r w:rsidR="00AF5330">
        <w:rPr>
          <w:lang w:val="en-US"/>
        </w:rPr>
        <w:t>t</w:t>
      </w:r>
      <w:r>
        <w:rPr>
          <w:lang w:val="en-US"/>
        </w:rPr>
        <w:t xml:space="preserve">o </w:t>
      </w:r>
      <w:r w:rsidR="00AF5330">
        <w:rPr>
          <w:lang w:val="en-US"/>
        </w:rPr>
        <w:t>appl</w:t>
      </w:r>
      <w:r>
        <w:rPr>
          <w:lang w:val="en-US"/>
        </w:rPr>
        <w:t xml:space="preserve">y </w:t>
      </w:r>
      <w:r w:rsidR="00AF5330">
        <w:rPr>
          <w:lang w:val="en-US"/>
        </w:rPr>
        <w:t>discipline-specifi</w:t>
      </w:r>
      <w:r>
        <w:rPr>
          <w:lang w:val="en-US"/>
        </w:rPr>
        <w:t xml:space="preserve">c </w:t>
      </w:r>
      <w:r w:rsidR="00AF5330">
        <w:rPr>
          <w:lang w:val="en-US"/>
        </w:rPr>
        <w:t>skill</w:t>
      </w:r>
      <w:r>
        <w:rPr>
          <w:lang w:val="en-US"/>
        </w:rPr>
        <w:t xml:space="preserve">s </w:t>
      </w:r>
      <w:r w:rsidR="00AF5330">
        <w:rPr>
          <w:lang w:val="en-US"/>
        </w:rPr>
        <w:t>whic</w:t>
      </w:r>
      <w:r>
        <w:rPr>
          <w:lang w:val="en-US"/>
        </w:rPr>
        <w:t xml:space="preserve">h </w:t>
      </w:r>
      <w:r w:rsidR="00AF5330">
        <w:rPr>
          <w:lang w:val="en-US"/>
        </w:rPr>
        <w:t>increase</w:t>
      </w:r>
      <w:r>
        <w:rPr>
          <w:lang w:val="en-US"/>
        </w:rPr>
        <w:t xml:space="preserve">s </w:t>
      </w:r>
      <w:r w:rsidR="00AF5330">
        <w:rPr>
          <w:lang w:val="en-US"/>
        </w:rPr>
        <w:t>attrition</w:t>
      </w:r>
      <w:r>
        <w:rPr>
          <w:lang w:val="en-US"/>
        </w:rPr>
        <w:t xml:space="preserve">. </w:t>
      </w:r>
    </w:p>
    <w:p w14:paraId="1F079E1B" w14:textId="202C791A" w:rsidR="00AF5330" w:rsidRPr="009424C6" w:rsidRDefault="00AF5330" w:rsidP="00AF5330">
      <w:pPr>
        <w:pStyle w:val="BodyText"/>
        <w:rPr>
          <w:lang w:eastAsia="en-AU"/>
        </w:rPr>
      </w:pPr>
      <w:r w:rsidRPr="009424C6">
        <w:rPr>
          <w:lang w:eastAsia="en-AU"/>
        </w:rPr>
        <w:t>Uniqu</w:t>
      </w:r>
      <w:r w:rsidR="00823F92" w:rsidRPr="009424C6">
        <w:rPr>
          <w:lang w:eastAsia="en-AU"/>
        </w:rPr>
        <w:t>e</w:t>
      </w:r>
      <w:r w:rsidR="00823F92">
        <w:rPr>
          <w:lang w:eastAsia="en-AU"/>
        </w:rPr>
        <w:t xml:space="preserve"> </w:t>
      </w:r>
      <w:r w:rsidRPr="009424C6">
        <w:rPr>
          <w:lang w:eastAsia="en-AU"/>
        </w:rPr>
        <w:t>issue</w:t>
      </w:r>
      <w:r w:rsidR="00823F92" w:rsidRPr="009424C6">
        <w:rPr>
          <w:lang w:eastAsia="en-AU"/>
        </w:rPr>
        <w:t>s</w:t>
      </w:r>
      <w:r w:rsidR="00823F92">
        <w:rPr>
          <w:lang w:eastAsia="en-AU"/>
        </w:rPr>
        <w:t xml:space="preserve"> </w:t>
      </w:r>
      <w:r w:rsidRPr="009424C6">
        <w:rPr>
          <w:lang w:eastAsia="en-AU"/>
        </w:rPr>
        <w:t>relatin</w:t>
      </w:r>
      <w:r w:rsidR="00823F92" w:rsidRPr="009424C6">
        <w:rPr>
          <w:lang w:eastAsia="en-AU"/>
        </w:rPr>
        <w:t>g</w:t>
      </w:r>
      <w:r w:rsidR="00823F92">
        <w:rPr>
          <w:lang w:eastAsia="en-AU"/>
        </w:rPr>
        <w:t xml:space="preserve"> </w:t>
      </w:r>
      <w:r w:rsidRPr="009424C6">
        <w:rPr>
          <w:lang w:eastAsia="en-AU"/>
        </w:rPr>
        <w:t>t</w:t>
      </w:r>
      <w:r w:rsidR="00823F92" w:rsidRPr="009424C6">
        <w:rPr>
          <w:lang w:eastAsia="en-AU"/>
        </w:rPr>
        <w:t>o</w:t>
      </w:r>
      <w:r w:rsidR="00823F92">
        <w:rPr>
          <w:lang w:eastAsia="en-AU"/>
        </w:rPr>
        <w:t xml:space="preserve"> </w:t>
      </w:r>
      <w:r w:rsidRPr="009424C6">
        <w:rPr>
          <w:lang w:eastAsia="en-AU"/>
        </w:rPr>
        <w:t>th</w:t>
      </w:r>
      <w:r w:rsidR="00823F92" w:rsidRPr="009424C6">
        <w:rPr>
          <w:lang w:eastAsia="en-AU"/>
        </w:rPr>
        <w:t>e</w:t>
      </w:r>
      <w:r w:rsidR="00823F92">
        <w:rPr>
          <w:lang w:eastAsia="en-AU"/>
        </w:rPr>
        <w:t xml:space="preserve"> </w:t>
      </w:r>
      <w:r w:rsidRPr="009424C6">
        <w:rPr>
          <w:lang w:eastAsia="en-AU"/>
        </w:rPr>
        <w:t>sustainabilit</w:t>
      </w:r>
      <w:r w:rsidR="00823F92" w:rsidRPr="009424C6">
        <w:rPr>
          <w:lang w:eastAsia="en-AU"/>
        </w:rPr>
        <w:t>y</w:t>
      </w:r>
      <w:r w:rsidR="00823F92">
        <w:rPr>
          <w:lang w:eastAsia="en-AU"/>
        </w:rPr>
        <w:t xml:space="preserve"> </w:t>
      </w:r>
      <w:r w:rsidRPr="009424C6">
        <w:rPr>
          <w:lang w:eastAsia="en-AU"/>
        </w:rPr>
        <w:t>o</w:t>
      </w:r>
      <w:r w:rsidR="00823F92" w:rsidRPr="009424C6">
        <w:rPr>
          <w:lang w:eastAsia="en-AU"/>
        </w:rPr>
        <w:t>f</w:t>
      </w:r>
      <w:r w:rsidR="00823F92">
        <w:rPr>
          <w:lang w:eastAsia="en-AU"/>
        </w:rPr>
        <w:t xml:space="preserve"> </w:t>
      </w:r>
      <w:r w:rsidRPr="009424C6">
        <w:rPr>
          <w:lang w:eastAsia="en-AU"/>
        </w:rPr>
        <w:t>th</w:t>
      </w:r>
      <w:r w:rsidR="00823F92" w:rsidRPr="009424C6">
        <w:rPr>
          <w:lang w:eastAsia="en-AU"/>
        </w:rPr>
        <w:t>e</w:t>
      </w:r>
      <w:r w:rsidR="00823F92">
        <w:rPr>
          <w:lang w:eastAsia="en-AU"/>
        </w:rPr>
        <w:t xml:space="preserve"> </w:t>
      </w:r>
      <w:r w:rsidRPr="009424C6">
        <w:rPr>
          <w:lang w:eastAsia="en-AU"/>
        </w:rPr>
        <w:t>professio</w:t>
      </w:r>
      <w:r w:rsidR="00823F92" w:rsidRPr="009424C6">
        <w:rPr>
          <w:lang w:eastAsia="en-AU"/>
        </w:rPr>
        <w:t>n</w:t>
      </w:r>
      <w:r w:rsidR="00823F92">
        <w:rPr>
          <w:lang w:eastAsia="en-AU"/>
        </w:rPr>
        <w:t xml:space="preserve"> </w:t>
      </w:r>
      <w:r w:rsidRPr="009424C6">
        <w:rPr>
          <w:lang w:eastAsia="en-AU"/>
        </w:rPr>
        <w:t>hav</w:t>
      </w:r>
      <w:r w:rsidR="00823F92" w:rsidRPr="009424C6">
        <w:rPr>
          <w:lang w:eastAsia="en-AU"/>
        </w:rPr>
        <w:t>e</w:t>
      </w:r>
      <w:r w:rsidR="00823F92">
        <w:rPr>
          <w:lang w:eastAsia="en-AU"/>
        </w:rPr>
        <w:t xml:space="preserve"> </w:t>
      </w:r>
      <w:r w:rsidRPr="009424C6">
        <w:rPr>
          <w:lang w:eastAsia="en-AU"/>
        </w:rPr>
        <w:t>emerge</w:t>
      </w:r>
      <w:r w:rsidR="00823F92" w:rsidRPr="009424C6">
        <w:rPr>
          <w:lang w:eastAsia="en-AU"/>
        </w:rPr>
        <w:t>d</w:t>
      </w:r>
      <w:r w:rsidR="00823F92">
        <w:rPr>
          <w:lang w:eastAsia="en-AU"/>
        </w:rPr>
        <w:t xml:space="preserve"> </w:t>
      </w:r>
      <w:r w:rsidRPr="009424C6">
        <w:rPr>
          <w:lang w:eastAsia="en-AU"/>
        </w:rPr>
        <w:t>fo</w:t>
      </w:r>
      <w:r w:rsidR="00823F92" w:rsidRPr="009424C6">
        <w:rPr>
          <w:lang w:eastAsia="en-AU"/>
        </w:rPr>
        <w:t>r</w:t>
      </w:r>
      <w:r w:rsidR="00823F92">
        <w:rPr>
          <w:lang w:eastAsia="en-AU"/>
        </w:rPr>
        <w:t xml:space="preserve"> </w:t>
      </w:r>
      <w:r w:rsidRPr="009424C6">
        <w:rPr>
          <w:lang w:eastAsia="en-AU"/>
        </w:rPr>
        <w:t>counsellor</w:t>
      </w:r>
      <w:r w:rsidR="00823F92" w:rsidRPr="009424C6">
        <w:rPr>
          <w:lang w:eastAsia="en-AU"/>
        </w:rPr>
        <w:t>s</w:t>
      </w:r>
      <w:r w:rsidR="00823F92">
        <w:rPr>
          <w:lang w:eastAsia="en-AU"/>
        </w:rPr>
        <w:t xml:space="preserve"> </w:t>
      </w:r>
      <w:r w:rsidRPr="009424C6">
        <w:rPr>
          <w:lang w:eastAsia="en-AU"/>
        </w:rPr>
        <w:t>an</w:t>
      </w:r>
      <w:r w:rsidR="00823F92" w:rsidRPr="009424C6">
        <w:rPr>
          <w:lang w:eastAsia="en-AU"/>
        </w:rPr>
        <w:t>d</w:t>
      </w:r>
      <w:r w:rsidR="00823F92">
        <w:rPr>
          <w:lang w:eastAsia="en-AU"/>
        </w:rPr>
        <w:t xml:space="preserve"> </w:t>
      </w:r>
      <w:r w:rsidRPr="009424C6">
        <w:rPr>
          <w:lang w:eastAsia="en-AU"/>
        </w:rPr>
        <w:t>psychotherapists</w:t>
      </w:r>
      <w:r w:rsidR="00823F92" w:rsidRPr="009424C6">
        <w:rPr>
          <w:lang w:eastAsia="en-AU"/>
        </w:rPr>
        <w:t>.</w:t>
      </w:r>
      <w:r w:rsidR="00823F92">
        <w:rPr>
          <w:lang w:eastAsia="en-AU"/>
        </w:rPr>
        <w:t xml:space="preserve"> </w:t>
      </w:r>
      <w:r w:rsidRPr="009424C6">
        <w:rPr>
          <w:lang w:eastAsia="en-AU"/>
        </w:rPr>
        <w:t>Th</w:t>
      </w:r>
      <w:r w:rsidR="00823F92" w:rsidRPr="009424C6">
        <w:rPr>
          <w:lang w:eastAsia="en-AU"/>
        </w:rPr>
        <w:t>e</w:t>
      </w:r>
      <w:r w:rsidR="00823F92">
        <w:rPr>
          <w:lang w:eastAsia="en-AU"/>
        </w:rPr>
        <w:t xml:space="preserve"> </w:t>
      </w:r>
      <w:r w:rsidRPr="009424C6">
        <w:rPr>
          <w:lang w:eastAsia="en-AU"/>
        </w:rPr>
        <w:t>vas</w:t>
      </w:r>
      <w:r w:rsidR="00823F92" w:rsidRPr="009424C6">
        <w:rPr>
          <w:lang w:eastAsia="en-AU"/>
        </w:rPr>
        <w:t>t</w:t>
      </w:r>
      <w:r w:rsidR="00823F92">
        <w:rPr>
          <w:lang w:eastAsia="en-AU"/>
        </w:rPr>
        <w:t xml:space="preserve"> </w:t>
      </w:r>
      <w:r w:rsidRPr="009424C6">
        <w:rPr>
          <w:lang w:eastAsia="en-AU"/>
        </w:rPr>
        <w:t>majorit</w:t>
      </w:r>
      <w:r w:rsidR="00823F92" w:rsidRPr="009424C6">
        <w:rPr>
          <w:lang w:eastAsia="en-AU"/>
        </w:rPr>
        <w:t>y</w:t>
      </w:r>
      <w:r w:rsidR="00823F92">
        <w:rPr>
          <w:lang w:eastAsia="en-AU"/>
        </w:rPr>
        <w:t xml:space="preserve"> </w:t>
      </w:r>
      <w:r w:rsidRPr="009424C6">
        <w:rPr>
          <w:lang w:eastAsia="en-AU"/>
        </w:rPr>
        <w:t>o</w:t>
      </w:r>
      <w:r w:rsidR="00823F92" w:rsidRPr="009424C6">
        <w:rPr>
          <w:lang w:eastAsia="en-AU"/>
        </w:rPr>
        <w:t>f</w:t>
      </w:r>
      <w:r w:rsidR="00823F92">
        <w:rPr>
          <w:lang w:eastAsia="en-AU"/>
        </w:rPr>
        <w:t xml:space="preserve"> </w:t>
      </w:r>
      <w:r w:rsidRPr="009424C6">
        <w:rPr>
          <w:lang w:eastAsia="en-AU"/>
        </w:rPr>
        <w:t>thi</w:t>
      </w:r>
      <w:r w:rsidR="00823F92" w:rsidRPr="009424C6">
        <w:rPr>
          <w:lang w:eastAsia="en-AU"/>
        </w:rPr>
        <w:t>s</w:t>
      </w:r>
      <w:r w:rsidR="00823F92">
        <w:rPr>
          <w:lang w:eastAsia="en-AU"/>
        </w:rPr>
        <w:t xml:space="preserve"> </w:t>
      </w:r>
      <w:r w:rsidRPr="009424C6">
        <w:rPr>
          <w:lang w:eastAsia="en-AU"/>
        </w:rPr>
        <w:t>workforc</w:t>
      </w:r>
      <w:r w:rsidR="00823F92" w:rsidRPr="009424C6">
        <w:rPr>
          <w:lang w:eastAsia="en-AU"/>
        </w:rPr>
        <w:t>e</w:t>
      </w:r>
      <w:r w:rsidR="00823F92">
        <w:rPr>
          <w:lang w:eastAsia="en-AU"/>
        </w:rPr>
        <w:t xml:space="preserve"> </w:t>
      </w:r>
      <w:r w:rsidRPr="009424C6">
        <w:rPr>
          <w:lang w:eastAsia="en-AU"/>
        </w:rPr>
        <w:t>ar</w:t>
      </w:r>
      <w:r w:rsidR="00823F92" w:rsidRPr="009424C6">
        <w:rPr>
          <w:lang w:eastAsia="en-AU"/>
        </w:rPr>
        <w:t>e</w:t>
      </w:r>
      <w:r w:rsidR="00823F92">
        <w:rPr>
          <w:lang w:eastAsia="en-AU"/>
        </w:rPr>
        <w:t xml:space="preserve"> </w:t>
      </w:r>
      <w:r w:rsidRPr="009424C6">
        <w:rPr>
          <w:lang w:eastAsia="en-AU"/>
        </w:rPr>
        <w:t>i</w:t>
      </w:r>
      <w:r w:rsidR="00823F92" w:rsidRPr="009424C6">
        <w:rPr>
          <w:lang w:eastAsia="en-AU"/>
        </w:rPr>
        <w:t>n</w:t>
      </w:r>
      <w:r w:rsidR="00823F92">
        <w:rPr>
          <w:lang w:eastAsia="en-AU"/>
        </w:rPr>
        <w:t xml:space="preserve"> </w:t>
      </w:r>
      <w:r w:rsidRPr="009424C6">
        <w:rPr>
          <w:lang w:eastAsia="en-AU"/>
        </w:rPr>
        <w:t>privat</w:t>
      </w:r>
      <w:r w:rsidR="00823F92" w:rsidRPr="009424C6">
        <w:rPr>
          <w:lang w:eastAsia="en-AU"/>
        </w:rPr>
        <w:t>e</w:t>
      </w:r>
      <w:r w:rsidR="00823F92">
        <w:rPr>
          <w:lang w:eastAsia="en-AU"/>
        </w:rPr>
        <w:t xml:space="preserve"> </w:t>
      </w:r>
      <w:r w:rsidRPr="009424C6">
        <w:rPr>
          <w:lang w:eastAsia="en-AU"/>
        </w:rPr>
        <w:t>practic</w:t>
      </w:r>
      <w:r w:rsidR="00823F92" w:rsidRPr="009424C6">
        <w:rPr>
          <w:lang w:eastAsia="en-AU"/>
        </w:rPr>
        <w:t>e</w:t>
      </w:r>
      <w:r w:rsidR="00823F92">
        <w:rPr>
          <w:lang w:eastAsia="en-AU"/>
        </w:rPr>
        <w:t xml:space="preserve"> </w:t>
      </w:r>
      <w:r w:rsidRPr="009424C6">
        <w:rPr>
          <w:lang w:eastAsia="en-AU"/>
        </w:rPr>
        <w:t>wher</w:t>
      </w:r>
      <w:r w:rsidR="00823F92" w:rsidRPr="009424C6">
        <w:rPr>
          <w:lang w:eastAsia="en-AU"/>
        </w:rPr>
        <w:t>e</w:t>
      </w:r>
      <w:r w:rsidR="00823F92">
        <w:rPr>
          <w:lang w:eastAsia="en-AU"/>
        </w:rPr>
        <w:t xml:space="preserve"> </w:t>
      </w:r>
      <w:r w:rsidRPr="009424C6">
        <w:rPr>
          <w:lang w:eastAsia="en-AU"/>
        </w:rPr>
        <w:t>the</w:t>
      </w:r>
      <w:r w:rsidR="00823F92" w:rsidRPr="009424C6">
        <w:rPr>
          <w:lang w:eastAsia="en-AU"/>
        </w:rPr>
        <w:t>y</w:t>
      </w:r>
      <w:r w:rsidR="00823F92">
        <w:rPr>
          <w:lang w:eastAsia="en-AU"/>
        </w:rPr>
        <w:t xml:space="preserve"> </w:t>
      </w:r>
      <w:r w:rsidRPr="009424C6">
        <w:rPr>
          <w:lang w:eastAsia="en-AU"/>
        </w:rPr>
        <w:t>ar</w:t>
      </w:r>
      <w:r w:rsidR="00823F92" w:rsidRPr="009424C6">
        <w:rPr>
          <w:lang w:eastAsia="en-AU"/>
        </w:rPr>
        <w:t>e</w:t>
      </w:r>
      <w:r w:rsidR="00823F92">
        <w:rPr>
          <w:lang w:eastAsia="en-AU"/>
        </w:rPr>
        <w:t xml:space="preserve"> </w:t>
      </w:r>
      <w:r w:rsidRPr="009424C6">
        <w:rPr>
          <w:lang w:eastAsia="en-AU"/>
        </w:rPr>
        <w:t>remunerate</w:t>
      </w:r>
      <w:r w:rsidR="00823F92" w:rsidRPr="009424C6">
        <w:rPr>
          <w:lang w:eastAsia="en-AU"/>
        </w:rPr>
        <w:t>d</w:t>
      </w:r>
      <w:r w:rsidR="00823F92">
        <w:rPr>
          <w:lang w:eastAsia="en-AU"/>
        </w:rPr>
        <w:t xml:space="preserve"> </w:t>
      </w:r>
      <w:r w:rsidRPr="009424C6">
        <w:rPr>
          <w:lang w:eastAsia="en-AU"/>
        </w:rPr>
        <w:t>directl</w:t>
      </w:r>
      <w:r w:rsidR="00823F92" w:rsidRPr="009424C6">
        <w:rPr>
          <w:lang w:eastAsia="en-AU"/>
        </w:rPr>
        <w:t>y</w:t>
      </w:r>
      <w:r w:rsidR="00823F92">
        <w:rPr>
          <w:lang w:eastAsia="en-AU"/>
        </w:rPr>
        <w:t xml:space="preserve"> </w:t>
      </w:r>
      <w:r w:rsidRPr="009424C6">
        <w:rPr>
          <w:lang w:eastAsia="en-AU"/>
        </w:rPr>
        <w:t>b</w:t>
      </w:r>
      <w:r w:rsidR="00823F92" w:rsidRPr="009424C6">
        <w:rPr>
          <w:lang w:eastAsia="en-AU"/>
        </w:rPr>
        <w:t>y</w:t>
      </w:r>
      <w:r w:rsidR="00823F92">
        <w:rPr>
          <w:lang w:eastAsia="en-AU"/>
        </w:rPr>
        <w:t xml:space="preserve"> </w:t>
      </w:r>
      <w:r w:rsidRPr="009424C6">
        <w:rPr>
          <w:lang w:eastAsia="en-AU"/>
        </w:rPr>
        <w:t>clients</w:t>
      </w:r>
      <w:r w:rsidR="00823F92" w:rsidRPr="009424C6">
        <w:rPr>
          <w:lang w:eastAsia="en-AU"/>
        </w:rPr>
        <w:t>,</w:t>
      </w:r>
      <w:r w:rsidR="00823F92">
        <w:rPr>
          <w:lang w:eastAsia="en-AU"/>
        </w:rPr>
        <w:t xml:space="preserve"> </w:t>
      </w:r>
      <w:r w:rsidRPr="009424C6">
        <w:rPr>
          <w:lang w:eastAsia="en-AU"/>
        </w:rPr>
        <w:t>occasionall</w:t>
      </w:r>
      <w:r w:rsidR="00823F92" w:rsidRPr="009424C6">
        <w:rPr>
          <w:lang w:eastAsia="en-AU"/>
        </w:rPr>
        <w:t>y</w:t>
      </w:r>
      <w:r w:rsidR="00823F92">
        <w:rPr>
          <w:lang w:eastAsia="en-AU"/>
        </w:rPr>
        <w:t xml:space="preserve"> </w:t>
      </w:r>
      <w:r w:rsidRPr="009424C6">
        <w:rPr>
          <w:lang w:eastAsia="en-AU"/>
        </w:rPr>
        <w:t>utilisin</w:t>
      </w:r>
      <w:r w:rsidR="00823F92" w:rsidRPr="009424C6">
        <w:rPr>
          <w:lang w:eastAsia="en-AU"/>
        </w:rPr>
        <w:t>g</w:t>
      </w:r>
      <w:r w:rsidR="00823F92">
        <w:rPr>
          <w:lang w:eastAsia="en-AU"/>
        </w:rPr>
        <w:t xml:space="preserve"> </w:t>
      </w:r>
      <w:r w:rsidRPr="009424C6">
        <w:rPr>
          <w:lang w:eastAsia="en-AU"/>
        </w:rPr>
        <w:t>privat</w:t>
      </w:r>
      <w:r w:rsidR="00823F92" w:rsidRPr="009424C6">
        <w:rPr>
          <w:lang w:eastAsia="en-AU"/>
        </w:rPr>
        <w:t>e</w:t>
      </w:r>
      <w:r w:rsidR="00823F92">
        <w:rPr>
          <w:lang w:eastAsia="en-AU"/>
        </w:rPr>
        <w:t xml:space="preserve"> </w:t>
      </w:r>
      <w:r w:rsidRPr="009424C6">
        <w:rPr>
          <w:lang w:eastAsia="en-AU"/>
        </w:rPr>
        <w:t>healt</w:t>
      </w:r>
      <w:r w:rsidR="00823F92" w:rsidRPr="009424C6">
        <w:rPr>
          <w:lang w:eastAsia="en-AU"/>
        </w:rPr>
        <w:t>h</w:t>
      </w:r>
      <w:r w:rsidR="00823F92">
        <w:rPr>
          <w:lang w:eastAsia="en-AU"/>
        </w:rPr>
        <w:t xml:space="preserve"> </w:t>
      </w:r>
      <w:r w:rsidRPr="009424C6">
        <w:rPr>
          <w:lang w:eastAsia="en-AU"/>
        </w:rPr>
        <w:t>insurance</w:t>
      </w:r>
      <w:r w:rsidR="00823F92" w:rsidRPr="009424C6">
        <w:rPr>
          <w:lang w:eastAsia="en-AU"/>
        </w:rPr>
        <w:t>.</w:t>
      </w:r>
      <w:r w:rsidR="00823F92">
        <w:rPr>
          <w:lang w:eastAsia="en-AU"/>
        </w:rPr>
        <w:t xml:space="preserve"> </w:t>
      </w:r>
      <w:r w:rsidRPr="009424C6">
        <w:rPr>
          <w:lang w:eastAsia="en-AU"/>
        </w:rPr>
        <w:t>Sinc</w:t>
      </w:r>
      <w:r w:rsidR="00823F92" w:rsidRPr="009424C6">
        <w:rPr>
          <w:lang w:eastAsia="en-AU"/>
        </w:rPr>
        <w:t>e</w:t>
      </w:r>
      <w:r w:rsidR="00823F92">
        <w:rPr>
          <w:lang w:eastAsia="en-AU"/>
        </w:rPr>
        <w:t xml:space="preserve"> </w:t>
      </w:r>
      <w:r w:rsidRPr="009424C6">
        <w:rPr>
          <w:lang w:eastAsia="en-AU"/>
        </w:rPr>
        <w:t>th</w:t>
      </w:r>
      <w:r w:rsidR="00823F92" w:rsidRPr="009424C6">
        <w:rPr>
          <w:lang w:eastAsia="en-AU"/>
        </w:rPr>
        <w:t>e</w:t>
      </w:r>
      <w:r w:rsidR="00823F92">
        <w:rPr>
          <w:lang w:eastAsia="en-AU"/>
        </w:rPr>
        <w:t xml:space="preserve"> </w:t>
      </w:r>
      <w:r w:rsidRPr="009424C6">
        <w:rPr>
          <w:lang w:eastAsia="en-AU"/>
        </w:rPr>
        <w:t>introductio</w:t>
      </w:r>
      <w:r w:rsidR="00823F92" w:rsidRPr="009424C6">
        <w:rPr>
          <w:lang w:eastAsia="en-AU"/>
        </w:rPr>
        <w:t>n</w:t>
      </w:r>
      <w:r w:rsidR="00823F92">
        <w:rPr>
          <w:lang w:eastAsia="en-AU"/>
        </w:rPr>
        <w:t xml:space="preserve"> </w:t>
      </w:r>
      <w:r w:rsidRPr="009424C6">
        <w:rPr>
          <w:lang w:eastAsia="en-AU"/>
        </w:rPr>
        <w:t>o</w:t>
      </w:r>
      <w:r w:rsidR="00823F92" w:rsidRPr="009424C6">
        <w:rPr>
          <w:lang w:eastAsia="en-AU"/>
        </w:rPr>
        <w:t>f</w:t>
      </w:r>
      <w:r w:rsidR="00823F92">
        <w:rPr>
          <w:lang w:eastAsia="en-AU"/>
        </w:rPr>
        <w:t xml:space="preserve"> </w:t>
      </w:r>
      <w:r w:rsidRPr="009424C6">
        <w:rPr>
          <w:lang w:eastAsia="en-AU"/>
        </w:rPr>
        <w:t>Bette</w:t>
      </w:r>
      <w:r w:rsidR="00823F92" w:rsidRPr="009424C6">
        <w:rPr>
          <w:lang w:eastAsia="en-AU"/>
        </w:rPr>
        <w:t>r</w:t>
      </w:r>
      <w:r w:rsidR="00823F92">
        <w:rPr>
          <w:lang w:eastAsia="en-AU"/>
        </w:rPr>
        <w:t xml:space="preserve"> </w:t>
      </w:r>
      <w:r w:rsidRPr="009424C6">
        <w:rPr>
          <w:lang w:eastAsia="en-AU"/>
        </w:rPr>
        <w:t>Acces</w:t>
      </w:r>
      <w:r w:rsidR="00823F92" w:rsidRPr="009424C6">
        <w:rPr>
          <w:lang w:eastAsia="en-AU"/>
        </w:rPr>
        <w:t>s</w:t>
      </w:r>
      <w:r w:rsidR="00823F92">
        <w:rPr>
          <w:lang w:eastAsia="en-AU"/>
        </w:rPr>
        <w:t xml:space="preserve"> </w:t>
      </w:r>
      <w:r w:rsidRPr="009424C6">
        <w:rPr>
          <w:lang w:eastAsia="en-AU"/>
        </w:rPr>
        <w:t>i</w:t>
      </w:r>
      <w:r w:rsidR="00823F92" w:rsidRPr="009424C6">
        <w:rPr>
          <w:lang w:eastAsia="en-AU"/>
        </w:rPr>
        <w:t>n</w:t>
      </w:r>
      <w:r w:rsidR="00823F92">
        <w:rPr>
          <w:lang w:eastAsia="en-AU"/>
        </w:rPr>
        <w:t xml:space="preserve"> </w:t>
      </w:r>
      <w:r w:rsidRPr="009424C6">
        <w:rPr>
          <w:lang w:eastAsia="en-AU"/>
        </w:rPr>
        <w:t>200</w:t>
      </w:r>
      <w:r w:rsidR="00823F92" w:rsidRPr="009424C6">
        <w:rPr>
          <w:lang w:eastAsia="en-AU"/>
        </w:rPr>
        <w:t>6</w:t>
      </w:r>
      <w:r w:rsidR="00823F92">
        <w:rPr>
          <w:lang w:eastAsia="en-AU"/>
        </w:rPr>
        <w:t xml:space="preserve"> </w:t>
      </w:r>
      <w:r w:rsidRPr="009424C6">
        <w:rPr>
          <w:lang w:eastAsia="en-AU"/>
        </w:rPr>
        <w:t>referral</w:t>
      </w:r>
      <w:r w:rsidR="00823F92" w:rsidRPr="009424C6">
        <w:rPr>
          <w:lang w:eastAsia="en-AU"/>
        </w:rPr>
        <w:t>s</w:t>
      </w:r>
      <w:r w:rsidR="00823F92">
        <w:rPr>
          <w:lang w:eastAsia="en-AU"/>
        </w:rPr>
        <w:t xml:space="preserve"> </w:t>
      </w:r>
      <w:r w:rsidRPr="009424C6">
        <w:rPr>
          <w:lang w:eastAsia="en-AU"/>
        </w:rPr>
        <w:t>fro</w:t>
      </w:r>
      <w:r w:rsidR="00823F92" w:rsidRPr="009424C6">
        <w:rPr>
          <w:lang w:eastAsia="en-AU"/>
        </w:rPr>
        <w:t>m</w:t>
      </w:r>
      <w:r w:rsidR="00823F92">
        <w:rPr>
          <w:lang w:eastAsia="en-AU"/>
        </w:rPr>
        <w:t xml:space="preserve"> </w:t>
      </w:r>
      <w:r w:rsidRPr="009424C6">
        <w:rPr>
          <w:lang w:eastAsia="en-AU"/>
        </w:rPr>
        <w:t>GP</w:t>
      </w:r>
      <w:r w:rsidR="00823F92" w:rsidRPr="009424C6">
        <w:rPr>
          <w:lang w:eastAsia="en-AU"/>
        </w:rPr>
        <w:t>s</w:t>
      </w:r>
      <w:r w:rsidR="00823F92">
        <w:rPr>
          <w:lang w:eastAsia="en-AU"/>
        </w:rPr>
        <w:t xml:space="preserve"> </w:t>
      </w:r>
      <w:r w:rsidRPr="009424C6">
        <w:rPr>
          <w:lang w:eastAsia="en-AU"/>
        </w:rPr>
        <w:t>hav</w:t>
      </w:r>
      <w:r w:rsidR="00823F92" w:rsidRPr="009424C6">
        <w:rPr>
          <w:lang w:eastAsia="en-AU"/>
        </w:rPr>
        <w:t>e</w:t>
      </w:r>
      <w:r w:rsidR="00823F92">
        <w:rPr>
          <w:lang w:eastAsia="en-AU"/>
        </w:rPr>
        <w:t xml:space="preserve"> </w:t>
      </w:r>
      <w:r w:rsidRPr="009424C6">
        <w:rPr>
          <w:lang w:eastAsia="en-AU"/>
        </w:rPr>
        <w:t>shifte</w:t>
      </w:r>
      <w:r w:rsidR="00823F92" w:rsidRPr="009424C6">
        <w:rPr>
          <w:lang w:eastAsia="en-AU"/>
        </w:rPr>
        <w:t>d</w:t>
      </w:r>
      <w:r w:rsidR="00823F92">
        <w:rPr>
          <w:lang w:eastAsia="en-AU"/>
        </w:rPr>
        <w:t xml:space="preserve"> </w:t>
      </w:r>
      <w:r w:rsidRPr="009424C6">
        <w:rPr>
          <w:lang w:eastAsia="en-AU"/>
        </w:rPr>
        <w:t>t</w:t>
      </w:r>
      <w:r w:rsidR="00823F92" w:rsidRPr="009424C6">
        <w:rPr>
          <w:lang w:eastAsia="en-AU"/>
        </w:rPr>
        <w:t>o</w:t>
      </w:r>
      <w:r w:rsidR="00823F92">
        <w:rPr>
          <w:lang w:eastAsia="en-AU"/>
        </w:rPr>
        <w:t xml:space="preserve"> </w:t>
      </w:r>
      <w:r w:rsidRPr="009424C6">
        <w:rPr>
          <w:lang w:eastAsia="en-AU"/>
        </w:rPr>
        <w:t>psychologist</w:t>
      </w:r>
      <w:r w:rsidR="00823F92" w:rsidRPr="009424C6">
        <w:rPr>
          <w:lang w:eastAsia="en-AU"/>
        </w:rPr>
        <w:t>s</w:t>
      </w:r>
      <w:r w:rsidR="00823F92">
        <w:rPr>
          <w:lang w:eastAsia="en-AU"/>
        </w:rPr>
        <w:t xml:space="preserve"> </w:t>
      </w:r>
      <w:r w:rsidRPr="009424C6">
        <w:rPr>
          <w:lang w:eastAsia="en-AU"/>
        </w:rPr>
        <w:t>t</w:t>
      </w:r>
      <w:r w:rsidR="00823F92" w:rsidRPr="009424C6">
        <w:rPr>
          <w:lang w:eastAsia="en-AU"/>
        </w:rPr>
        <w:t>o</w:t>
      </w:r>
      <w:r w:rsidR="00823F92">
        <w:rPr>
          <w:lang w:eastAsia="en-AU"/>
        </w:rPr>
        <w:t xml:space="preserve"> </w:t>
      </w:r>
      <w:r w:rsidRPr="009424C6">
        <w:rPr>
          <w:lang w:eastAsia="en-AU"/>
        </w:rPr>
        <w:t>ensur</w:t>
      </w:r>
      <w:r w:rsidR="00823F92" w:rsidRPr="009424C6">
        <w:rPr>
          <w:lang w:eastAsia="en-AU"/>
        </w:rPr>
        <w:t>e</w:t>
      </w:r>
      <w:r w:rsidR="00823F92">
        <w:rPr>
          <w:lang w:eastAsia="en-AU"/>
        </w:rPr>
        <w:t xml:space="preserve"> </w:t>
      </w:r>
      <w:r w:rsidRPr="009424C6">
        <w:rPr>
          <w:lang w:eastAsia="en-AU"/>
        </w:rPr>
        <w:t>maximu</w:t>
      </w:r>
      <w:r w:rsidR="00823F92" w:rsidRPr="009424C6">
        <w:rPr>
          <w:lang w:eastAsia="en-AU"/>
        </w:rPr>
        <w:t>m</w:t>
      </w:r>
      <w:r w:rsidR="00823F92">
        <w:rPr>
          <w:lang w:eastAsia="en-AU"/>
        </w:rPr>
        <w:t xml:space="preserve"> </w:t>
      </w:r>
      <w:r w:rsidRPr="009424C6">
        <w:rPr>
          <w:lang w:eastAsia="en-AU"/>
        </w:rPr>
        <w:t>rebat</w:t>
      </w:r>
      <w:r w:rsidR="00823F92" w:rsidRPr="009424C6">
        <w:rPr>
          <w:lang w:eastAsia="en-AU"/>
        </w:rPr>
        <w:t>e</w:t>
      </w:r>
      <w:r w:rsidR="00823F92">
        <w:rPr>
          <w:lang w:eastAsia="en-AU"/>
        </w:rPr>
        <w:t xml:space="preserve"> </w:t>
      </w:r>
      <w:r w:rsidRPr="009424C6">
        <w:rPr>
          <w:lang w:eastAsia="en-AU"/>
        </w:rPr>
        <w:t>fo</w:t>
      </w:r>
      <w:r w:rsidR="00823F92" w:rsidRPr="009424C6">
        <w:rPr>
          <w:lang w:eastAsia="en-AU"/>
        </w:rPr>
        <w:t>r</w:t>
      </w:r>
      <w:r w:rsidR="00823F92">
        <w:rPr>
          <w:lang w:eastAsia="en-AU"/>
        </w:rPr>
        <w:t xml:space="preserve"> </w:t>
      </w:r>
      <w:r w:rsidRPr="009424C6">
        <w:rPr>
          <w:lang w:eastAsia="en-AU"/>
        </w:rPr>
        <w:t>clients</w:t>
      </w:r>
      <w:r w:rsidR="00823F92" w:rsidRPr="009424C6">
        <w:rPr>
          <w:lang w:eastAsia="en-AU"/>
        </w:rPr>
        <w:t>.</w:t>
      </w:r>
      <w:r w:rsidR="00823F92">
        <w:rPr>
          <w:lang w:eastAsia="en-AU"/>
        </w:rPr>
        <w:t xml:space="preserve"> </w:t>
      </w:r>
      <w:r w:rsidRPr="009424C6">
        <w:rPr>
          <w:lang w:eastAsia="en-AU"/>
        </w:rPr>
        <w:t>Thi</w:t>
      </w:r>
      <w:r w:rsidR="00823F92" w:rsidRPr="009424C6">
        <w:rPr>
          <w:lang w:eastAsia="en-AU"/>
        </w:rPr>
        <w:t>s</w:t>
      </w:r>
      <w:r w:rsidR="00823F92">
        <w:rPr>
          <w:lang w:eastAsia="en-AU"/>
        </w:rPr>
        <w:t xml:space="preserve"> </w:t>
      </w:r>
      <w:r w:rsidRPr="009424C6">
        <w:rPr>
          <w:lang w:eastAsia="en-AU"/>
        </w:rPr>
        <w:t>ha</w:t>
      </w:r>
      <w:r w:rsidR="00823F92" w:rsidRPr="009424C6">
        <w:rPr>
          <w:lang w:eastAsia="en-AU"/>
        </w:rPr>
        <w:t>s</w:t>
      </w:r>
      <w:r w:rsidR="00823F92">
        <w:rPr>
          <w:lang w:eastAsia="en-AU"/>
        </w:rPr>
        <w:t xml:space="preserve"> </w:t>
      </w:r>
      <w:r w:rsidRPr="009424C6">
        <w:rPr>
          <w:lang w:eastAsia="en-AU"/>
        </w:rPr>
        <w:t>reduce</w:t>
      </w:r>
      <w:r w:rsidR="00823F92" w:rsidRPr="009424C6">
        <w:rPr>
          <w:lang w:eastAsia="en-AU"/>
        </w:rPr>
        <w:t>d</w:t>
      </w:r>
      <w:r w:rsidR="00823F92">
        <w:rPr>
          <w:lang w:eastAsia="en-AU"/>
        </w:rPr>
        <w:t xml:space="preserve"> </w:t>
      </w:r>
      <w:r w:rsidRPr="009424C6">
        <w:rPr>
          <w:lang w:eastAsia="en-AU"/>
        </w:rPr>
        <w:t>privat</w:t>
      </w:r>
      <w:r w:rsidR="00823F92" w:rsidRPr="009424C6">
        <w:rPr>
          <w:lang w:eastAsia="en-AU"/>
        </w:rPr>
        <w:t>e</w:t>
      </w:r>
      <w:r w:rsidR="00823F92">
        <w:rPr>
          <w:lang w:eastAsia="en-AU"/>
        </w:rPr>
        <w:t xml:space="preserve"> </w:t>
      </w:r>
      <w:r w:rsidRPr="009424C6">
        <w:rPr>
          <w:lang w:eastAsia="en-AU"/>
        </w:rPr>
        <w:t>practic</w:t>
      </w:r>
      <w:r w:rsidR="00823F92" w:rsidRPr="009424C6">
        <w:rPr>
          <w:lang w:eastAsia="en-AU"/>
        </w:rPr>
        <w:t>e</w:t>
      </w:r>
      <w:r w:rsidR="00823F92">
        <w:rPr>
          <w:lang w:eastAsia="en-AU"/>
        </w:rPr>
        <w:t xml:space="preserve"> </w:t>
      </w:r>
      <w:r w:rsidRPr="009424C6">
        <w:rPr>
          <w:lang w:eastAsia="en-AU"/>
        </w:rPr>
        <w:t>sustainabilit</w:t>
      </w:r>
      <w:r w:rsidR="00823F92" w:rsidRPr="009424C6">
        <w:rPr>
          <w:lang w:eastAsia="en-AU"/>
        </w:rPr>
        <w:t>y</w:t>
      </w:r>
      <w:r w:rsidR="00823F92">
        <w:rPr>
          <w:lang w:eastAsia="en-AU"/>
        </w:rPr>
        <w:t xml:space="preserve"> </w:t>
      </w:r>
      <w:r w:rsidR="00FE693C">
        <w:rPr>
          <w:lang w:eastAsia="en-AU"/>
        </w:rPr>
        <w:t>fo</w:t>
      </w:r>
      <w:r w:rsidR="00823F92">
        <w:rPr>
          <w:lang w:eastAsia="en-AU"/>
        </w:rPr>
        <w:t xml:space="preserve">r </w:t>
      </w:r>
      <w:r w:rsidR="00FE693C">
        <w:rPr>
          <w:lang w:eastAsia="en-AU"/>
        </w:rPr>
        <w:t>counsellors</w:t>
      </w:r>
      <w:r w:rsidR="00823F92" w:rsidRPr="009424C6">
        <w:rPr>
          <w:lang w:eastAsia="en-AU"/>
        </w:rPr>
        <w:t>.</w:t>
      </w:r>
      <w:r w:rsidR="00823F92">
        <w:rPr>
          <w:lang w:eastAsia="en-AU"/>
        </w:rPr>
        <w:t xml:space="preserve"> </w:t>
      </w:r>
    </w:p>
    <w:p w14:paraId="3D82491C" w14:textId="7983AADF" w:rsidR="00715863" w:rsidRDefault="00715863" w:rsidP="00EB6A77">
      <w:pPr>
        <w:pStyle w:val="Heading3"/>
        <w:rPr>
          <w:iCs/>
        </w:rPr>
      </w:pPr>
      <w:r>
        <w:t>Genera</w:t>
      </w:r>
      <w:r w:rsidR="00823F92">
        <w:t xml:space="preserve">l </w:t>
      </w:r>
      <w:r w:rsidR="00B6535E">
        <w:t>p</w:t>
      </w:r>
      <w:r>
        <w:t>ractice</w:t>
      </w:r>
    </w:p>
    <w:p w14:paraId="4A3B8206" w14:textId="55929685" w:rsidR="00715863" w:rsidRDefault="00715863" w:rsidP="00EB6A77">
      <w:pPr>
        <w:pStyle w:val="BodyText"/>
      </w:pPr>
      <w:r w:rsidRPr="00125717">
        <w:t>GP</w:t>
      </w:r>
      <w:r w:rsidR="00823F92" w:rsidRPr="00125717">
        <w:t>s</w:t>
      </w:r>
      <w:r w:rsidR="00823F92">
        <w:t xml:space="preserve"> </w:t>
      </w:r>
      <w:r w:rsidRPr="00125717">
        <w:t>hav</w:t>
      </w:r>
      <w:r w:rsidR="00823F92" w:rsidRPr="00125717">
        <w:t>e</w:t>
      </w:r>
      <w:r w:rsidR="00823F92">
        <w:t xml:space="preserve"> </w:t>
      </w:r>
      <w:r w:rsidR="00823F92" w:rsidRPr="00125717">
        <w:t>a</w:t>
      </w:r>
      <w:r w:rsidR="00823F92">
        <w:t xml:space="preserve"> </w:t>
      </w:r>
      <w:r w:rsidRPr="00125717">
        <w:t>centra</w:t>
      </w:r>
      <w:r w:rsidR="00823F92" w:rsidRPr="00125717">
        <w:t>l</w:t>
      </w:r>
      <w:r w:rsidR="00823F92">
        <w:t xml:space="preserve"> </w:t>
      </w:r>
      <w:r w:rsidRPr="00125717">
        <w:t>rol</w:t>
      </w:r>
      <w:r w:rsidR="00823F92" w:rsidRPr="00125717">
        <w:t>e</w:t>
      </w:r>
      <w:r w:rsidR="00823F92">
        <w:t xml:space="preserve"> </w:t>
      </w:r>
      <w:r w:rsidRPr="00125717">
        <w:t>i</w:t>
      </w:r>
      <w:r w:rsidR="00823F92" w:rsidRPr="00125717">
        <w:t>n</w:t>
      </w:r>
      <w:r w:rsidR="00823F92">
        <w:t xml:space="preserve"> </w:t>
      </w:r>
      <w:r w:rsidRPr="00125717">
        <w:t>th</w:t>
      </w:r>
      <w:r w:rsidR="00823F92" w:rsidRPr="00125717">
        <w:t>e</w:t>
      </w:r>
      <w:r w:rsidR="00823F92">
        <w:t xml:space="preserve"> </w:t>
      </w:r>
      <w:r w:rsidRPr="00125717">
        <w:t>menta</w:t>
      </w:r>
      <w:r w:rsidR="00823F92" w:rsidRPr="00125717">
        <w:t>l</w:t>
      </w:r>
      <w:r w:rsidR="00823F92">
        <w:t xml:space="preserve"> </w:t>
      </w:r>
      <w:r w:rsidRPr="00125717">
        <w:t>healt</w:t>
      </w:r>
      <w:r w:rsidR="00823F92" w:rsidRPr="00125717">
        <w:t>h</w:t>
      </w:r>
      <w:r w:rsidR="00823F92">
        <w:t xml:space="preserve"> </w:t>
      </w:r>
      <w:r w:rsidRPr="00125717">
        <w:t>system</w:t>
      </w:r>
      <w:r w:rsidR="00823F92">
        <w:t xml:space="preserve">, </w:t>
      </w:r>
      <w:r>
        <w:t>ofte</w:t>
      </w:r>
      <w:r w:rsidR="00823F92">
        <w:t xml:space="preserve">n </w:t>
      </w:r>
      <w:r>
        <w:t>operatin</w:t>
      </w:r>
      <w:r w:rsidR="00823F92">
        <w:t xml:space="preserve">g </w:t>
      </w:r>
      <w:r>
        <w:t>a</w:t>
      </w:r>
      <w:r w:rsidR="00823F92">
        <w:t xml:space="preserve">s </w:t>
      </w:r>
      <w:r>
        <w:t>th</w:t>
      </w:r>
      <w:r w:rsidR="00823F92">
        <w:t xml:space="preserve">e </w:t>
      </w:r>
      <w:r>
        <w:t>firs</w:t>
      </w:r>
      <w:r w:rsidR="00823F92">
        <w:t xml:space="preserve">t </w:t>
      </w:r>
      <w:r>
        <w:t>poin</w:t>
      </w:r>
      <w:r w:rsidR="00823F92">
        <w:t xml:space="preserve">t </w:t>
      </w:r>
      <w:r>
        <w:t>o</w:t>
      </w:r>
      <w:r w:rsidR="00823F92">
        <w:t xml:space="preserve">f </w:t>
      </w:r>
      <w:r>
        <w:t>cal</w:t>
      </w:r>
      <w:r w:rsidR="00823F92">
        <w:t xml:space="preserve">l </w:t>
      </w:r>
      <w:r>
        <w:t>fo</w:t>
      </w:r>
      <w:r w:rsidR="00823F92">
        <w:t xml:space="preserve">r </w:t>
      </w:r>
      <w:r>
        <w:t>peopl</w:t>
      </w:r>
      <w:r w:rsidR="00823F92">
        <w:t xml:space="preserve">e </w:t>
      </w:r>
      <w:r>
        <w:t>experiencin</w:t>
      </w:r>
      <w:r w:rsidR="00823F92">
        <w:t xml:space="preserve">g </w:t>
      </w:r>
      <w:r>
        <w:t>menta</w:t>
      </w:r>
      <w:r w:rsidR="00823F92">
        <w:t xml:space="preserve">l </w:t>
      </w:r>
      <w:r>
        <w:t>distres</w:t>
      </w:r>
      <w:r w:rsidR="00823F92">
        <w:t xml:space="preserve">s </w:t>
      </w:r>
      <w:r>
        <w:t>and/o</w:t>
      </w:r>
      <w:r w:rsidR="00823F92">
        <w:t xml:space="preserve">r </w:t>
      </w:r>
      <w:r>
        <w:t>ill-health</w:t>
      </w:r>
      <w:r w:rsidR="00823F92" w:rsidRPr="00125717">
        <w:t>.</w:t>
      </w:r>
      <w:r w:rsidR="00823F92">
        <w:t xml:space="preserve"> </w:t>
      </w:r>
    </w:p>
    <w:p w14:paraId="67F80BA0" w14:textId="3B00867D" w:rsidR="00715863" w:rsidRPr="00236CF4" w:rsidRDefault="00715863" w:rsidP="00EB6A77">
      <w:pPr>
        <w:pStyle w:val="BodyText"/>
      </w:pPr>
      <w:r w:rsidRPr="00236CF4">
        <w:t>Despit</w:t>
      </w:r>
      <w:r w:rsidR="00823F92" w:rsidRPr="00236CF4">
        <w:t>e</w:t>
      </w:r>
      <w:r w:rsidR="00823F92">
        <w:t xml:space="preserve"> </w:t>
      </w:r>
      <w:r>
        <w:t>this</w:t>
      </w:r>
      <w:r w:rsidR="00823F92">
        <w:t xml:space="preserve">, </w:t>
      </w:r>
      <w:r>
        <w:t>ther</w:t>
      </w:r>
      <w:r w:rsidR="00823F92">
        <w:t xml:space="preserve">e </w:t>
      </w:r>
      <w:r>
        <w:t>i</w:t>
      </w:r>
      <w:r w:rsidR="00823F92">
        <w:t xml:space="preserve">s </w:t>
      </w:r>
      <w:r>
        <w:t>minima</w:t>
      </w:r>
      <w:r w:rsidR="00823F92">
        <w:t xml:space="preserve">l </w:t>
      </w:r>
      <w:r>
        <w:t>menta</w:t>
      </w:r>
      <w:r w:rsidR="00823F92">
        <w:t xml:space="preserve">l </w:t>
      </w:r>
      <w:r>
        <w:t>healt</w:t>
      </w:r>
      <w:r w:rsidR="00823F92">
        <w:t xml:space="preserve">h </w:t>
      </w:r>
      <w:r>
        <w:t>trainin</w:t>
      </w:r>
      <w:r w:rsidR="00823F92">
        <w:t xml:space="preserve">g </w:t>
      </w:r>
      <w:r>
        <w:t>i</w:t>
      </w:r>
      <w:r w:rsidR="00823F92">
        <w:t xml:space="preserve">n </w:t>
      </w:r>
      <w:r>
        <w:t>th</w:t>
      </w:r>
      <w:r w:rsidR="00823F92">
        <w:t xml:space="preserve">e </w:t>
      </w:r>
      <w:r>
        <w:t>qualificatio</w:t>
      </w:r>
      <w:r w:rsidR="00823F92">
        <w:t xml:space="preserve">n </w:t>
      </w:r>
      <w:r>
        <w:t>process</w:t>
      </w:r>
      <w:r w:rsidR="00823F92">
        <w:t xml:space="preserve">. </w:t>
      </w:r>
      <w:r>
        <w:t>Thoug</w:t>
      </w:r>
      <w:r w:rsidR="00823F92">
        <w:t xml:space="preserve">h </w:t>
      </w:r>
      <w:r>
        <w:t>ther</w:t>
      </w:r>
      <w:r w:rsidR="00823F92">
        <w:t xml:space="preserve">e </w:t>
      </w:r>
      <w:r>
        <w:t>ar</w:t>
      </w:r>
      <w:r w:rsidR="00823F92">
        <w:t xml:space="preserve">e </w:t>
      </w:r>
      <w:r>
        <w:t>credentialle</w:t>
      </w:r>
      <w:r w:rsidR="00823F92">
        <w:t xml:space="preserve">d </w:t>
      </w:r>
      <w:r>
        <w:t>trainin</w:t>
      </w:r>
      <w:r w:rsidR="00823F92">
        <w:t xml:space="preserve">g </w:t>
      </w:r>
      <w:r>
        <w:t>module</w:t>
      </w:r>
      <w:r w:rsidR="00823F92">
        <w:t xml:space="preserve">s </w:t>
      </w:r>
      <w:r>
        <w:t>t</w:t>
      </w:r>
      <w:r w:rsidR="00823F92">
        <w:t xml:space="preserve">o </w:t>
      </w:r>
      <w:r>
        <w:t>acces</w:t>
      </w:r>
      <w:r w:rsidR="00823F92">
        <w:t xml:space="preserve">s </w:t>
      </w:r>
      <w:r>
        <w:t>MB</w:t>
      </w:r>
      <w:r w:rsidR="00823F92">
        <w:t xml:space="preserve">S </w:t>
      </w:r>
      <w:r>
        <w:t>items</w:t>
      </w:r>
      <w:r w:rsidR="00823F92">
        <w:t xml:space="preserve">, </w:t>
      </w:r>
      <w:r>
        <w:t>uptak</w:t>
      </w:r>
      <w:r w:rsidR="00823F92">
        <w:t xml:space="preserve">e </w:t>
      </w:r>
      <w:r>
        <w:t>i</w:t>
      </w:r>
      <w:r w:rsidR="00823F92">
        <w:t xml:space="preserve">s </w:t>
      </w:r>
      <w:r>
        <w:t>relativel</w:t>
      </w:r>
      <w:r w:rsidR="00823F92">
        <w:t xml:space="preserve">y </w:t>
      </w:r>
      <w:r>
        <w:t>limite</w:t>
      </w:r>
      <w:r w:rsidR="00823F92">
        <w:t xml:space="preserve">d </w:t>
      </w:r>
      <w:r>
        <w:t>du</w:t>
      </w:r>
      <w:r w:rsidR="00823F92">
        <w:t xml:space="preserve">e </w:t>
      </w:r>
      <w:r>
        <w:t>t</w:t>
      </w:r>
      <w:r w:rsidR="00823F92">
        <w:t xml:space="preserve">o </w:t>
      </w:r>
      <w:r>
        <w:t>th</w:t>
      </w:r>
      <w:r w:rsidR="00823F92">
        <w:t xml:space="preserve">e </w:t>
      </w:r>
      <w:r>
        <w:t>lac</w:t>
      </w:r>
      <w:r w:rsidR="00823F92">
        <w:t xml:space="preserve">k </w:t>
      </w:r>
      <w:r>
        <w:t>o</w:t>
      </w:r>
      <w:r w:rsidR="00823F92">
        <w:t xml:space="preserve">f a </w:t>
      </w:r>
      <w:r>
        <w:t>financia</w:t>
      </w:r>
      <w:r w:rsidR="00823F92">
        <w:t xml:space="preserve">l </w:t>
      </w:r>
      <w:r>
        <w:t>incentiv</w:t>
      </w:r>
      <w:r w:rsidR="00823F92">
        <w:t xml:space="preserve">e </w:t>
      </w:r>
      <w:r>
        <w:t>t</w:t>
      </w:r>
      <w:r w:rsidR="00823F92">
        <w:t xml:space="preserve">o </w:t>
      </w:r>
      <w:r>
        <w:t>delive</w:t>
      </w:r>
      <w:r w:rsidR="00823F92">
        <w:t xml:space="preserve">r </w:t>
      </w:r>
      <w:r>
        <w:t>menta</w:t>
      </w:r>
      <w:r w:rsidR="00823F92">
        <w:t xml:space="preserve">l </w:t>
      </w:r>
      <w:r>
        <w:t>healt</w:t>
      </w:r>
      <w:r w:rsidR="00823F92">
        <w:t xml:space="preserve">h </w:t>
      </w:r>
      <w:r>
        <w:t>relate</w:t>
      </w:r>
      <w:r w:rsidR="00823F92">
        <w:t xml:space="preserve">d </w:t>
      </w:r>
      <w:r>
        <w:t>service</w:t>
      </w:r>
      <w:r w:rsidR="00823F92">
        <w:t xml:space="preserve">s </w:t>
      </w:r>
      <w:r>
        <w:t>whe</w:t>
      </w:r>
      <w:r w:rsidR="00823F92">
        <w:t xml:space="preserve">n </w:t>
      </w:r>
      <w:r>
        <w:t>compare</w:t>
      </w:r>
      <w:r w:rsidR="00823F92">
        <w:t xml:space="preserve">d </w:t>
      </w:r>
      <w:r>
        <w:t>wit</w:t>
      </w:r>
      <w:r w:rsidR="00823F92">
        <w:t xml:space="preserve">h </w:t>
      </w:r>
      <w:r>
        <w:t>broade</w:t>
      </w:r>
      <w:r w:rsidR="00823F92">
        <w:t xml:space="preserve">r </w:t>
      </w:r>
      <w:r>
        <w:t>healt</w:t>
      </w:r>
      <w:r w:rsidR="00823F92">
        <w:t xml:space="preserve">h </w:t>
      </w:r>
      <w:r>
        <w:t>MB</w:t>
      </w:r>
      <w:r w:rsidR="00823F92">
        <w:t xml:space="preserve">S </w:t>
      </w:r>
      <w:r>
        <w:t>items</w:t>
      </w:r>
      <w:r w:rsidR="00823F92">
        <w:t xml:space="preserve">. </w:t>
      </w:r>
    </w:p>
    <w:p w14:paraId="31E2E519" w14:textId="27980E61" w:rsidR="00715863" w:rsidRPr="00746CDD" w:rsidRDefault="00715863" w:rsidP="00EB6A77">
      <w:pPr>
        <w:pStyle w:val="BodyText"/>
      </w:pPr>
      <w:r>
        <w:t>Th</w:t>
      </w:r>
      <w:r w:rsidR="00823F92">
        <w:t xml:space="preserve">e </w:t>
      </w:r>
      <w:r>
        <w:t>Productivit</w:t>
      </w:r>
      <w:r w:rsidR="00823F92">
        <w:t xml:space="preserve">y </w:t>
      </w:r>
      <w:r>
        <w:t>Commissio</w:t>
      </w:r>
      <w:r w:rsidR="00823F92">
        <w:t xml:space="preserve">n </w:t>
      </w:r>
      <w:r>
        <w:t>recognise</w:t>
      </w:r>
      <w:r w:rsidR="00823F92">
        <w:t xml:space="preserve">d </w:t>
      </w:r>
      <w:r>
        <w:t>th</w:t>
      </w:r>
      <w:r w:rsidR="00823F92">
        <w:t xml:space="preserve">e </w:t>
      </w:r>
      <w:r>
        <w:t>particular</w:t>
      </w:r>
      <w:r w:rsidR="00823F92">
        <w:t xml:space="preserve">, </w:t>
      </w:r>
      <w:r>
        <w:t>rol</w:t>
      </w:r>
      <w:r w:rsidR="00823F92">
        <w:t xml:space="preserve">e </w:t>
      </w:r>
      <w:r>
        <w:t>o</w:t>
      </w:r>
      <w:r w:rsidR="00823F92">
        <w:t xml:space="preserve">f </w:t>
      </w:r>
      <w:r>
        <w:t>GP</w:t>
      </w:r>
      <w:r w:rsidR="00823F92">
        <w:t xml:space="preserve">s </w:t>
      </w:r>
      <w:r>
        <w:t>i</w:t>
      </w:r>
      <w:r w:rsidR="00823F92">
        <w:t xml:space="preserve">n </w:t>
      </w:r>
      <w:r w:rsidRPr="00746CDD">
        <w:t>regiona</w:t>
      </w:r>
      <w:r w:rsidR="00823F92" w:rsidRPr="00746CDD">
        <w:t>l</w:t>
      </w:r>
      <w:r w:rsidR="00823F92">
        <w:t xml:space="preserve"> </w:t>
      </w:r>
      <w:r w:rsidRPr="00746CDD">
        <w:t>an</w:t>
      </w:r>
      <w:r w:rsidR="00823F92" w:rsidRPr="00746CDD">
        <w:t>d</w:t>
      </w:r>
      <w:r w:rsidR="00823F92">
        <w:t xml:space="preserve"> </w:t>
      </w:r>
      <w:r w:rsidRPr="00746CDD">
        <w:t>remot</w:t>
      </w:r>
      <w:r w:rsidR="00823F92" w:rsidRPr="00746CDD">
        <w:t>e</w:t>
      </w:r>
      <w:r w:rsidR="00823F92">
        <w:t xml:space="preserve"> </w:t>
      </w:r>
      <w:r w:rsidRPr="00746CDD">
        <w:t>area</w:t>
      </w:r>
      <w:r w:rsidR="00823F92" w:rsidRPr="00746CDD">
        <w:t>s</w:t>
      </w:r>
      <w:r w:rsidR="00823F92">
        <w:t xml:space="preserve"> </w:t>
      </w:r>
      <w:r>
        <w:t>a</w:t>
      </w:r>
      <w:r w:rsidR="00823F92">
        <w:t xml:space="preserve">s </w:t>
      </w:r>
      <w:r>
        <w:t>ke</w:t>
      </w:r>
      <w:r w:rsidR="00823F92">
        <w:t xml:space="preserve">y </w:t>
      </w:r>
      <w:r>
        <w:t>provider</w:t>
      </w:r>
      <w:r w:rsidR="00823F92">
        <w:t xml:space="preserve">s </w:t>
      </w:r>
      <w:r>
        <w:t>o</w:t>
      </w:r>
      <w:r w:rsidR="00823F92">
        <w:t xml:space="preserve">f </w:t>
      </w:r>
      <w:r>
        <w:t>menta</w:t>
      </w:r>
      <w:r w:rsidR="00823F92">
        <w:t xml:space="preserve">l </w:t>
      </w:r>
      <w:r>
        <w:t>healt</w:t>
      </w:r>
      <w:r w:rsidR="00823F92">
        <w:t xml:space="preserve">h </w:t>
      </w:r>
      <w:r>
        <w:t>service</w:t>
      </w:r>
      <w:r w:rsidR="00823F92">
        <w:t xml:space="preserve">s </w:t>
      </w:r>
      <w:r>
        <w:t>an</w:t>
      </w:r>
      <w:r w:rsidR="00823F92">
        <w:t xml:space="preserve">d </w:t>
      </w:r>
      <w:r>
        <w:t>th</w:t>
      </w:r>
      <w:r w:rsidR="00823F92">
        <w:t xml:space="preserve">e </w:t>
      </w:r>
      <w:r>
        <w:t>nee</w:t>
      </w:r>
      <w:r w:rsidR="00823F92">
        <w:t xml:space="preserve">d </w:t>
      </w:r>
      <w:r>
        <w:t>fo</w:t>
      </w:r>
      <w:r w:rsidR="00823F92">
        <w:t xml:space="preserve">r </w:t>
      </w:r>
      <w:r>
        <w:t>mor</w:t>
      </w:r>
      <w:r w:rsidR="00823F92">
        <w:t xml:space="preserve">e </w:t>
      </w:r>
      <w:r>
        <w:t>tailore</w:t>
      </w:r>
      <w:r w:rsidR="00823F92">
        <w:t xml:space="preserve">d </w:t>
      </w:r>
      <w:r>
        <w:t>o</w:t>
      </w:r>
      <w:r w:rsidR="00823F92">
        <w:t xml:space="preserve">r </w:t>
      </w:r>
      <w:r>
        <w:t>specialise</w:t>
      </w:r>
      <w:r w:rsidR="00823F92">
        <w:t xml:space="preserve">d </w:t>
      </w:r>
      <w:r>
        <w:t>menta</w:t>
      </w:r>
      <w:r w:rsidR="00823F92">
        <w:t xml:space="preserve">l </w:t>
      </w:r>
      <w:r>
        <w:t>healt</w:t>
      </w:r>
      <w:r w:rsidR="00823F92">
        <w:t xml:space="preserve">h </w:t>
      </w:r>
      <w:r>
        <w:t>trainin</w:t>
      </w:r>
      <w:r w:rsidR="00823F92">
        <w:t xml:space="preserve">g </w:t>
      </w:r>
      <w:r>
        <w:t>fo</w:t>
      </w:r>
      <w:r w:rsidR="00823F92">
        <w:t xml:space="preserve">r </w:t>
      </w:r>
      <w:r>
        <w:t>thos</w:t>
      </w:r>
      <w:r w:rsidR="00823F92">
        <w:t xml:space="preserve">e </w:t>
      </w:r>
      <w:r>
        <w:t>operatin</w:t>
      </w:r>
      <w:r w:rsidR="00823F92">
        <w:t xml:space="preserve">g </w:t>
      </w:r>
      <w:r>
        <w:t>i</w:t>
      </w:r>
      <w:r w:rsidR="00823F92">
        <w:t xml:space="preserve">n </w:t>
      </w:r>
      <w:r>
        <w:t>thes</w:t>
      </w:r>
      <w:r w:rsidR="00823F92">
        <w:t xml:space="preserve">e </w:t>
      </w:r>
      <w:r>
        <w:t>areas</w:t>
      </w:r>
      <w:r w:rsidR="00823F92">
        <w:t xml:space="preserve">. </w:t>
      </w:r>
    </w:p>
    <w:p w14:paraId="687BC01A" w14:textId="04DBCA6C" w:rsidR="00715863" w:rsidRPr="000E25B1" w:rsidRDefault="00715863" w:rsidP="00EB6A77">
      <w:pPr>
        <w:pStyle w:val="Heading3"/>
        <w:rPr>
          <w:iCs/>
        </w:rPr>
      </w:pPr>
      <w:r w:rsidRPr="000E25B1">
        <w:t>Live</w:t>
      </w:r>
      <w:r w:rsidR="00823F92" w:rsidRPr="000E25B1">
        <w:t>d</w:t>
      </w:r>
      <w:r w:rsidR="00823F92">
        <w:t xml:space="preserve"> </w:t>
      </w:r>
      <w:r w:rsidR="00B6535E">
        <w:t>e</w:t>
      </w:r>
      <w:r w:rsidRPr="000E25B1">
        <w:t>xperienc</w:t>
      </w:r>
      <w:r w:rsidR="00823F92" w:rsidRPr="000E25B1">
        <w:t>e</w:t>
      </w:r>
      <w:r w:rsidR="00823F92">
        <w:t xml:space="preserve"> </w:t>
      </w:r>
      <w:r w:rsidRPr="000E25B1">
        <w:t xml:space="preserve">(Peer) </w:t>
      </w:r>
      <w:r>
        <w:t>practice</w:t>
      </w:r>
    </w:p>
    <w:p w14:paraId="6E85A558" w14:textId="379EC0A2" w:rsidR="00715863" w:rsidRDefault="00715863" w:rsidP="00E4428F">
      <w:pPr>
        <w:pStyle w:val="BodyText"/>
      </w:pPr>
      <w:r w:rsidRPr="006C4490">
        <w:t>Live</w:t>
      </w:r>
      <w:r w:rsidR="00823F92" w:rsidRPr="006C4490">
        <w:t>d</w:t>
      </w:r>
      <w:r w:rsidR="00823F92">
        <w:t xml:space="preserve"> </w:t>
      </w:r>
      <w:r w:rsidRPr="006C4490">
        <w:t>Experienc</w:t>
      </w:r>
      <w:r w:rsidR="00823F92" w:rsidRPr="006C4490">
        <w:t>e</w:t>
      </w:r>
      <w:r w:rsidR="00823F92">
        <w:t xml:space="preserve"> </w:t>
      </w:r>
      <w:r w:rsidRPr="006C4490">
        <w:t>(Peer) role</w:t>
      </w:r>
      <w:r w:rsidR="00823F92" w:rsidRPr="006C4490">
        <w:t>s</w:t>
      </w:r>
      <w:r w:rsidR="00823F92">
        <w:t xml:space="preserve"> </w:t>
      </w:r>
      <w:r w:rsidRPr="006C4490">
        <w:t>ar</w:t>
      </w:r>
      <w:r w:rsidR="00823F92" w:rsidRPr="006C4490">
        <w:t>e</w:t>
      </w:r>
      <w:r w:rsidR="00823F92">
        <w:t xml:space="preserve"> </w:t>
      </w:r>
      <w:r w:rsidRPr="006C4490">
        <w:t>increasingl</w:t>
      </w:r>
      <w:r w:rsidR="00823F92" w:rsidRPr="006C4490">
        <w:t>y</w:t>
      </w:r>
      <w:r w:rsidR="00823F92">
        <w:t xml:space="preserve"> </w:t>
      </w:r>
      <w:r w:rsidRPr="006C4490">
        <w:t>recognise</w:t>
      </w:r>
      <w:r w:rsidR="00823F92" w:rsidRPr="006C4490">
        <w:t>d</w:t>
      </w:r>
      <w:r w:rsidR="00823F92">
        <w:t xml:space="preserve"> </w:t>
      </w:r>
      <w:r w:rsidRPr="006C4490">
        <w:t>a</w:t>
      </w:r>
      <w:r w:rsidR="00823F92" w:rsidRPr="006C4490">
        <w:t>s</w:t>
      </w:r>
      <w:r w:rsidR="00823F92">
        <w:t xml:space="preserve"> </w:t>
      </w:r>
      <w:r w:rsidRPr="006C4490">
        <w:t>importan</w:t>
      </w:r>
      <w:r w:rsidR="00823F92" w:rsidRPr="006C4490">
        <w:t>t</w:t>
      </w:r>
      <w:r w:rsidR="00823F92">
        <w:t xml:space="preserve"> </w:t>
      </w:r>
      <w:r w:rsidRPr="006C4490">
        <w:t>addition</w:t>
      </w:r>
      <w:r w:rsidR="00823F92" w:rsidRPr="006C4490">
        <w:t>s</w:t>
      </w:r>
      <w:r w:rsidR="00823F92">
        <w:t xml:space="preserve"> </w:t>
      </w:r>
      <w:r w:rsidRPr="006C4490">
        <w:t>t</w:t>
      </w:r>
      <w:r w:rsidR="00823F92" w:rsidRPr="006C4490">
        <w:t>o</w:t>
      </w:r>
      <w:r w:rsidR="00823F92">
        <w:t xml:space="preserve"> </w:t>
      </w:r>
      <w:r w:rsidRPr="006C4490">
        <w:t>service</w:t>
      </w:r>
      <w:r w:rsidR="00823F92" w:rsidRPr="006C4490">
        <w:t>s</w:t>
      </w:r>
      <w:r w:rsidR="00823F92">
        <w:t xml:space="preserve"> </w:t>
      </w:r>
      <w:r w:rsidRPr="006C4490">
        <w:t>offere</w:t>
      </w:r>
      <w:r w:rsidR="00823F92" w:rsidRPr="006C4490">
        <w:t>d</w:t>
      </w:r>
      <w:r w:rsidR="00823F92">
        <w:t xml:space="preserve"> </w:t>
      </w:r>
      <w:r w:rsidRPr="006C4490">
        <w:t>b</w:t>
      </w:r>
      <w:r w:rsidR="00823F92" w:rsidRPr="006C4490">
        <w:t>y</w:t>
      </w:r>
      <w:r w:rsidR="00823F92">
        <w:t xml:space="preserve"> </w:t>
      </w:r>
      <w:r w:rsidRPr="006C4490">
        <w:t>th</w:t>
      </w:r>
      <w:r w:rsidR="00823F92" w:rsidRPr="006C4490">
        <w:t>e</w:t>
      </w:r>
      <w:r w:rsidR="00823F92">
        <w:t xml:space="preserve"> </w:t>
      </w:r>
      <w:r w:rsidRPr="006C4490">
        <w:t>menta</w:t>
      </w:r>
      <w:r w:rsidR="00823F92" w:rsidRPr="006C4490">
        <w:t>l</w:t>
      </w:r>
      <w:r w:rsidR="00823F92">
        <w:t xml:space="preserve"> </w:t>
      </w:r>
      <w:r w:rsidRPr="006C4490">
        <w:t>healt</w:t>
      </w:r>
      <w:r w:rsidR="00823F92" w:rsidRPr="006C4490">
        <w:t>h</w:t>
      </w:r>
      <w:r w:rsidR="00823F92">
        <w:t xml:space="preserve"> </w:t>
      </w:r>
      <w:r w:rsidRPr="006C4490">
        <w:t>sector</w:t>
      </w:r>
      <w:r w:rsidR="00823F92" w:rsidRPr="006C4490">
        <w:t>.</w:t>
      </w:r>
      <w:r w:rsidR="00823F92">
        <w:t xml:space="preserve"> </w:t>
      </w:r>
    </w:p>
    <w:p w14:paraId="1825237F" w14:textId="3B3C7319" w:rsidR="00715863" w:rsidRPr="006C4490" w:rsidRDefault="00715863" w:rsidP="00E4428F">
      <w:pPr>
        <w:pStyle w:val="BodyText"/>
      </w:pPr>
      <w:r w:rsidRPr="006C4490">
        <w:t>Ther</w:t>
      </w:r>
      <w:r w:rsidR="00823F92" w:rsidRPr="006C4490">
        <w:t>e</w:t>
      </w:r>
      <w:r w:rsidR="00823F92">
        <w:t xml:space="preserve"> </w:t>
      </w:r>
      <w:r w:rsidRPr="006C4490">
        <w:t>ar</w:t>
      </w:r>
      <w:r w:rsidR="00823F92" w:rsidRPr="006C4490">
        <w:t>e</w:t>
      </w:r>
      <w:r w:rsidR="00823F92">
        <w:t xml:space="preserve"> </w:t>
      </w:r>
      <w:r w:rsidRPr="006C4490">
        <w:t>particula</w:t>
      </w:r>
      <w:r w:rsidR="00823F92" w:rsidRPr="006C4490">
        <w:t>r</w:t>
      </w:r>
      <w:r w:rsidR="00823F92">
        <w:t xml:space="preserve"> </w:t>
      </w:r>
      <w:r w:rsidRPr="006C4490">
        <w:t>challenge</w:t>
      </w:r>
      <w:r w:rsidR="00823F92" w:rsidRPr="006C4490">
        <w:t>s</w:t>
      </w:r>
      <w:r w:rsidR="00823F92">
        <w:t xml:space="preserve"> </w:t>
      </w:r>
      <w:r w:rsidRPr="006C4490">
        <w:t>i</w:t>
      </w:r>
      <w:r w:rsidR="00823F92" w:rsidRPr="006C4490">
        <w:t>n</w:t>
      </w:r>
      <w:r w:rsidR="00823F92">
        <w:t xml:space="preserve"> </w:t>
      </w:r>
      <w:r w:rsidRPr="006C4490">
        <w:t>attractin</w:t>
      </w:r>
      <w:r w:rsidR="00823F92" w:rsidRPr="006C4490">
        <w:t>g</w:t>
      </w:r>
      <w:r w:rsidR="00823F92">
        <w:t xml:space="preserve"> </w:t>
      </w:r>
      <w:r w:rsidRPr="006C4490">
        <w:t>th</w:t>
      </w:r>
      <w:r w:rsidR="00823F92" w:rsidRPr="006C4490">
        <w:t>e</w:t>
      </w:r>
      <w:r w:rsidR="00823F92">
        <w:t xml:space="preserve"> </w:t>
      </w:r>
      <w:r w:rsidRPr="006C4490">
        <w:t>Live</w:t>
      </w:r>
      <w:r w:rsidR="00823F92" w:rsidRPr="006C4490">
        <w:t>d</w:t>
      </w:r>
      <w:r w:rsidR="00823F92">
        <w:t xml:space="preserve"> </w:t>
      </w:r>
      <w:r w:rsidRPr="006C4490">
        <w:t>Experienc</w:t>
      </w:r>
      <w:r w:rsidR="00823F92" w:rsidRPr="006C4490">
        <w:t>e</w:t>
      </w:r>
      <w:r w:rsidR="00823F92">
        <w:t xml:space="preserve"> </w:t>
      </w:r>
      <w:r w:rsidRPr="006C4490">
        <w:t>(Peer) workforc</w:t>
      </w:r>
      <w:r w:rsidR="00823F92" w:rsidRPr="006C4490">
        <w:t>e</w:t>
      </w:r>
      <w:r w:rsidR="00823F92">
        <w:t xml:space="preserve"> </w:t>
      </w:r>
      <w:r w:rsidRPr="006C4490">
        <w:t>int</w:t>
      </w:r>
      <w:r w:rsidR="00823F92" w:rsidRPr="006C4490">
        <w:t>o</w:t>
      </w:r>
      <w:r w:rsidR="00823F92">
        <w:t xml:space="preserve"> </w:t>
      </w:r>
      <w:r w:rsidRPr="006C4490">
        <w:t>training</w:t>
      </w:r>
      <w:r w:rsidR="00823F92" w:rsidRPr="006C4490">
        <w:t>,</w:t>
      </w:r>
      <w:r w:rsidR="00823F92">
        <w:t xml:space="preserve"> </w:t>
      </w:r>
      <w:r w:rsidRPr="006C4490">
        <w:t>includin</w:t>
      </w:r>
      <w:r w:rsidR="00823F92" w:rsidRPr="006C4490">
        <w:t>g</w:t>
      </w:r>
      <w:r w:rsidR="00823F92">
        <w:t xml:space="preserve"> </w:t>
      </w:r>
      <w:r w:rsidRPr="006C4490">
        <w:t>th</w:t>
      </w:r>
      <w:r w:rsidR="00823F92" w:rsidRPr="006C4490">
        <w:t>e</w:t>
      </w:r>
      <w:r w:rsidR="00823F92">
        <w:t xml:space="preserve"> </w:t>
      </w:r>
      <w:r w:rsidRPr="006C4490">
        <w:t>lac</w:t>
      </w:r>
      <w:r w:rsidR="00823F92" w:rsidRPr="006C4490">
        <w:t>k</w:t>
      </w:r>
      <w:r w:rsidR="00823F92">
        <w:t xml:space="preserve"> </w:t>
      </w:r>
      <w:r w:rsidRPr="006C4490">
        <w:t>o</w:t>
      </w:r>
      <w:r w:rsidR="00823F92" w:rsidRPr="006C4490">
        <w:t>f</w:t>
      </w:r>
      <w:r w:rsidR="00823F92">
        <w:t xml:space="preserve"> </w:t>
      </w:r>
      <w:r>
        <w:t>visibl</w:t>
      </w:r>
      <w:r w:rsidR="00823F92">
        <w:t xml:space="preserve">e </w:t>
      </w:r>
      <w:r>
        <w:t>caree</w:t>
      </w:r>
      <w:r w:rsidR="00823F92">
        <w:t xml:space="preserve">r </w:t>
      </w:r>
      <w:r>
        <w:t>pathways</w:t>
      </w:r>
      <w:r w:rsidR="00823F92">
        <w:t xml:space="preserve">, </w:t>
      </w:r>
      <w:r>
        <w:t>absenc</w:t>
      </w:r>
      <w:r w:rsidR="00823F92">
        <w:t xml:space="preserve">e </w:t>
      </w:r>
      <w:r>
        <w:t>o</w:t>
      </w:r>
      <w:r w:rsidR="00823F92">
        <w:t xml:space="preserve">f </w:t>
      </w:r>
      <w:r w:rsidRPr="006C4490">
        <w:t>minimu</w:t>
      </w:r>
      <w:r w:rsidR="00823F92" w:rsidRPr="006C4490">
        <w:t>m</w:t>
      </w:r>
      <w:r w:rsidR="00823F92">
        <w:t xml:space="preserve"> </w:t>
      </w:r>
      <w:r w:rsidRPr="006C4490">
        <w:t>mandate</w:t>
      </w:r>
      <w:r w:rsidR="00823F92" w:rsidRPr="006C4490">
        <w:t>d</w:t>
      </w:r>
      <w:r w:rsidR="00823F92">
        <w:t xml:space="preserve"> </w:t>
      </w:r>
      <w:r w:rsidRPr="006C4490">
        <w:t>qualifications</w:t>
      </w:r>
      <w:r w:rsidR="00823F92">
        <w:t xml:space="preserve">, </w:t>
      </w:r>
      <w:r>
        <w:t>leve</w:t>
      </w:r>
      <w:r w:rsidR="00823F92">
        <w:t xml:space="preserve">l </w:t>
      </w:r>
      <w:r>
        <w:t>o</w:t>
      </w:r>
      <w:r w:rsidR="00823F92">
        <w:t xml:space="preserve">f </w:t>
      </w:r>
      <w:r>
        <w:t>availabl</w:t>
      </w:r>
      <w:r w:rsidR="00823F92">
        <w:t xml:space="preserve">e </w:t>
      </w:r>
      <w:r>
        <w:t>qualification</w:t>
      </w:r>
      <w:r w:rsidR="00823F92">
        <w:t xml:space="preserve">s </w:t>
      </w:r>
      <w:r>
        <w:t>(wit</w:t>
      </w:r>
      <w:r w:rsidR="00823F92">
        <w:t xml:space="preserve">h </w:t>
      </w:r>
      <w:r>
        <w:t>th</w:t>
      </w:r>
      <w:r w:rsidR="00823F92">
        <w:t xml:space="preserve">e </w:t>
      </w:r>
      <w:r>
        <w:t>entr</w:t>
      </w:r>
      <w:r w:rsidR="00823F92">
        <w:t xml:space="preserve">y </w:t>
      </w:r>
      <w:r>
        <w:t>poin</w:t>
      </w:r>
      <w:r w:rsidR="00823F92">
        <w:t xml:space="preserve">t </w:t>
      </w:r>
      <w:r>
        <w:t>generall</w:t>
      </w:r>
      <w:r w:rsidR="00823F92">
        <w:t xml:space="preserve">y </w:t>
      </w:r>
      <w:r>
        <w:t>a</w:t>
      </w:r>
      <w:r w:rsidR="00823F92">
        <w:t xml:space="preserve">t </w:t>
      </w:r>
      <w:r>
        <w:t>Certificat</w:t>
      </w:r>
      <w:r w:rsidR="00823F92">
        <w:t xml:space="preserve">e </w:t>
      </w:r>
      <w:r>
        <w:t>I</w:t>
      </w:r>
      <w:r w:rsidR="00823F92">
        <w:t xml:space="preserve">V </w:t>
      </w:r>
      <w:r>
        <w:t>level)</w:t>
      </w:r>
      <w:r w:rsidR="00823F92" w:rsidRPr="006C4490">
        <w:t>,</w:t>
      </w:r>
      <w:r w:rsidR="00823F92">
        <w:t xml:space="preserve"> </w:t>
      </w:r>
      <w:r w:rsidRPr="006C4490">
        <w:t>cost</w:t>
      </w:r>
      <w:r w:rsidR="00823F92" w:rsidRPr="006C4490">
        <w:t>s</w:t>
      </w:r>
      <w:r w:rsidR="00823F92">
        <w:t xml:space="preserve"> </w:t>
      </w:r>
      <w:r w:rsidRPr="006C4490">
        <w:t>t</w:t>
      </w:r>
      <w:r w:rsidR="00823F92" w:rsidRPr="006C4490">
        <w:t>o</w:t>
      </w:r>
      <w:r w:rsidR="00823F92">
        <w:t xml:space="preserve"> </w:t>
      </w:r>
      <w:r w:rsidRPr="006C4490">
        <w:t>undertak</w:t>
      </w:r>
      <w:r w:rsidR="00823F92" w:rsidRPr="006C4490">
        <w:t>e</w:t>
      </w:r>
      <w:r w:rsidR="00823F92">
        <w:t xml:space="preserve"> </w:t>
      </w:r>
      <w:r w:rsidRPr="006C4490">
        <w:t>training</w:t>
      </w:r>
      <w:r w:rsidR="00823F92" w:rsidRPr="006C4490">
        <w:t>,</w:t>
      </w:r>
      <w:r w:rsidR="00823F92">
        <w:t xml:space="preserve"> </w:t>
      </w:r>
      <w:r w:rsidRPr="006C4490">
        <w:t>an</w:t>
      </w:r>
      <w:r w:rsidR="00823F92" w:rsidRPr="006C4490">
        <w:t>d</w:t>
      </w:r>
      <w:r w:rsidR="00823F92">
        <w:t xml:space="preserve"> </w:t>
      </w:r>
      <w:r w:rsidRPr="006C4490">
        <w:t>systemi</w:t>
      </w:r>
      <w:r w:rsidR="00823F92" w:rsidRPr="006C4490">
        <w:t>c</w:t>
      </w:r>
      <w:r w:rsidR="00823F92">
        <w:t xml:space="preserve"> </w:t>
      </w:r>
      <w:r w:rsidRPr="006C4490">
        <w:t>barrier</w:t>
      </w:r>
      <w:r w:rsidR="00823F92" w:rsidRPr="006C4490">
        <w:t>s</w:t>
      </w:r>
      <w:r w:rsidR="00823F92">
        <w:t xml:space="preserve"> </w:t>
      </w:r>
      <w:r w:rsidRPr="006C4490">
        <w:t>tha</w:t>
      </w:r>
      <w:r w:rsidR="00823F92" w:rsidRPr="006C4490">
        <w:t>t</w:t>
      </w:r>
      <w:r w:rsidR="00823F92">
        <w:t xml:space="preserve"> </w:t>
      </w:r>
      <w:r w:rsidRPr="006C4490">
        <w:t>preven</w:t>
      </w:r>
      <w:r w:rsidR="00823F92" w:rsidRPr="006C4490">
        <w:t>t</w:t>
      </w:r>
      <w:r w:rsidR="00823F92">
        <w:t xml:space="preserve"> </w:t>
      </w:r>
      <w:r w:rsidRPr="006C4490">
        <w:t>participatio</w:t>
      </w:r>
      <w:r w:rsidR="00823F92" w:rsidRPr="006C4490">
        <w:t>n</w:t>
      </w:r>
      <w:r w:rsidR="00823F92">
        <w:t xml:space="preserve"> </w:t>
      </w:r>
      <w:r w:rsidRPr="006C4490">
        <w:t>i</w:t>
      </w:r>
      <w:r w:rsidR="00823F92" w:rsidRPr="006C4490">
        <w:t>n</w:t>
      </w:r>
      <w:r w:rsidR="00823F92">
        <w:t xml:space="preserve"> </w:t>
      </w:r>
      <w:r w:rsidRPr="006C4490">
        <w:t>trainin</w:t>
      </w:r>
      <w:r w:rsidR="00823F92" w:rsidRPr="006C4490">
        <w:t>g</w:t>
      </w:r>
      <w:r w:rsidR="00823F92">
        <w:t xml:space="preserve"> </w:t>
      </w:r>
      <w:r w:rsidRPr="006C4490">
        <w:t>(fo</w:t>
      </w:r>
      <w:r w:rsidR="00823F92" w:rsidRPr="006C4490">
        <w:t>r</w:t>
      </w:r>
      <w:r w:rsidR="00823F92">
        <w:t xml:space="preserve"> </w:t>
      </w:r>
      <w:r w:rsidRPr="006C4490">
        <w:t>example</w:t>
      </w:r>
      <w:r w:rsidR="00823F92" w:rsidRPr="006C4490">
        <w:t>,</w:t>
      </w:r>
      <w:r w:rsidR="00823F92">
        <w:t xml:space="preserve"> </w:t>
      </w:r>
      <w:r w:rsidRPr="006C4490">
        <w:t>th</w:t>
      </w:r>
      <w:r w:rsidR="00823F92" w:rsidRPr="006C4490">
        <w:t>e</w:t>
      </w:r>
      <w:r w:rsidR="00823F92">
        <w:t xml:space="preserve"> </w:t>
      </w:r>
      <w:r w:rsidRPr="006C4490">
        <w:t>acces</w:t>
      </w:r>
      <w:r w:rsidR="00823F92" w:rsidRPr="006C4490">
        <w:t>s</w:t>
      </w:r>
      <w:r w:rsidR="00823F92">
        <w:t xml:space="preserve"> </w:t>
      </w:r>
      <w:r w:rsidRPr="006C4490">
        <w:t>t</w:t>
      </w:r>
      <w:r w:rsidR="00823F92" w:rsidRPr="006C4490">
        <w:t>o</w:t>
      </w:r>
      <w:r w:rsidR="00823F92">
        <w:t xml:space="preserve"> </w:t>
      </w:r>
      <w:r w:rsidRPr="006C4490">
        <w:t>Centrelin</w:t>
      </w:r>
      <w:r w:rsidR="00823F92" w:rsidRPr="006C4490">
        <w:t>k</w:t>
      </w:r>
      <w:r w:rsidR="00823F92">
        <w:t xml:space="preserve"> </w:t>
      </w:r>
      <w:r w:rsidRPr="006C4490">
        <w:t>entitlements)</w:t>
      </w:r>
      <w:r w:rsidR="00823F92" w:rsidRPr="006C4490">
        <w:t>.</w:t>
      </w:r>
      <w:r w:rsidR="00823F92">
        <w:t xml:space="preserve"> </w:t>
      </w:r>
    </w:p>
    <w:p w14:paraId="63CF82CC" w14:textId="7DCA9EFF" w:rsidR="00715863" w:rsidRDefault="00715863" w:rsidP="00E4428F">
      <w:pPr>
        <w:pStyle w:val="BodyText"/>
      </w:pPr>
      <w:r w:rsidRPr="004F0584">
        <w:t>Th</w:t>
      </w:r>
      <w:r w:rsidR="00823F92" w:rsidRPr="004F0584">
        <w:t>e</w:t>
      </w:r>
      <w:r w:rsidR="00823F92">
        <w:t xml:space="preserve"> </w:t>
      </w:r>
      <w:r w:rsidRPr="004F0584">
        <w:t>skills</w:t>
      </w:r>
      <w:r w:rsidR="00823F92" w:rsidRPr="004F0584">
        <w:t>,</w:t>
      </w:r>
      <w:r w:rsidR="00823F92">
        <w:t xml:space="preserve"> </w:t>
      </w:r>
      <w:r w:rsidRPr="004F0584">
        <w:t>capabilities</w:t>
      </w:r>
      <w:r w:rsidR="00823F92" w:rsidRPr="004F0584">
        <w:t>,</w:t>
      </w:r>
      <w:r w:rsidR="00823F92">
        <w:t xml:space="preserve"> </w:t>
      </w:r>
      <w:r w:rsidRPr="004F0584">
        <w:t>scop</w:t>
      </w:r>
      <w:r w:rsidR="00823F92" w:rsidRPr="004F0584">
        <w:t>e</w:t>
      </w:r>
      <w:r w:rsidR="00823F92">
        <w:t xml:space="preserve"> </w:t>
      </w:r>
      <w:r w:rsidRPr="004F0584">
        <w:t>o</w:t>
      </w:r>
      <w:r w:rsidR="00823F92" w:rsidRPr="004F0584">
        <w:t>f</w:t>
      </w:r>
      <w:r w:rsidR="00823F92">
        <w:t xml:space="preserve"> </w:t>
      </w:r>
      <w:r w:rsidRPr="004F0584">
        <w:t>practic</w:t>
      </w:r>
      <w:r w:rsidR="00823F92" w:rsidRPr="004F0584">
        <w:t>e</w:t>
      </w:r>
      <w:r w:rsidR="00823F92">
        <w:t xml:space="preserve"> </w:t>
      </w:r>
      <w:r w:rsidRPr="004F0584">
        <w:t>an</w:t>
      </w:r>
      <w:r w:rsidR="00823F92" w:rsidRPr="004F0584">
        <w:t>d</w:t>
      </w:r>
      <w:r w:rsidR="00823F92">
        <w:t xml:space="preserve"> </w:t>
      </w:r>
      <w:r w:rsidRPr="004F0584">
        <w:t>value</w:t>
      </w:r>
      <w:r w:rsidR="00823F92" w:rsidRPr="004F0584">
        <w:t>s</w:t>
      </w:r>
      <w:r w:rsidR="00823F92">
        <w:t xml:space="preserve"> </w:t>
      </w:r>
      <w:r w:rsidRPr="004F0584">
        <w:t>whic</w:t>
      </w:r>
      <w:r w:rsidR="00823F92" w:rsidRPr="004F0584">
        <w:t>h</w:t>
      </w:r>
      <w:r w:rsidR="00823F92">
        <w:t xml:space="preserve"> </w:t>
      </w:r>
      <w:r w:rsidRPr="004F0584">
        <w:t>underpi</w:t>
      </w:r>
      <w:r w:rsidR="00823F92" w:rsidRPr="004F0584">
        <w:t>n</w:t>
      </w:r>
      <w:r w:rsidR="00823F92">
        <w:t xml:space="preserve"> </w:t>
      </w:r>
      <w:r w:rsidRPr="004F0584">
        <w:t>th</w:t>
      </w:r>
      <w:r w:rsidR="00823F92" w:rsidRPr="004F0584">
        <w:t>e</w:t>
      </w:r>
      <w:r w:rsidR="00823F92">
        <w:t xml:space="preserve"> </w:t>
      </w:r>
      <w:r w:rsidRPr="004F0584">
        <w:t>Live</w:t>
      </w:r>
      <w:r w:rsidR="00823F92" w:rsidRPr="004F0584">
        <w:t>d</w:t>
      </w:r>
      <w:r w:rsidR="00823F92">
        <w:t xml:space="preserve"> </w:t>
      </w:r>
      <w:r w:rsidRPr="004F0584">
        <w:t>Experienc</w:t>
      </w:r>
      <w:r w:rsidR="00823F92" w:rsidRPr="004F0584">
        <w:t>e</w:t>
      </w:r>
      <w:r w:rsidR="00823F92">
        <w:t xml:space="preserve"> </w:t>
      </w:r>
      <w:r w:rsidRPr="004F0584">
        <w:t>(Peer) workforc</w:t>
      </w:r>
      <w:r w:rsidR="00823F92" w:rsidRPr="004F0584">
        <w:t>e</w:t>
      </w:r>
      <w:r w:rsidR="00823F92">
        <w:t xml:space="preserve"> </w:t>
      </w:r>
      <w:r w:rsidRPr="004F0584">
        <w:t>nee</w:t>
      </w:r>
      <w:r w:rsidR="00823F92" w:rsidRPr="004F0584">
        <w:t>d</w:t>
      </w:r>
      <w:r w:rsidR="00823F92">
        <w:t xml:space="preserve"> </w:t>
      </w:r>
      <w:r w:rsidRPr="004F0584">
        <w:t>t</w:t>
      </w:r>
      <w:r w:rsidR="00823F92" w:rsidRPr="004F0584">
        <w:t>o</w:t>
      </w:r>
      <w:r w:rsidR="00823F92">
        <w:t xml:space="preserve"> </w:t>
      </w:r>
      <w:r w:rsidRPr="004F0584">
        <w:t>b</w:t>
      </w:r>
      <w:r w:rsidR="00823F92" w:rsidRPr="004F0584">
        <w:t>e</w:t>
      </w:r>
      <w:r w:rsidR="00823F92">
        <w:t xml:space="preserve"> </w:t>
      </w:r>
      <w:r w:rsidRPr="004F0584">
        <w:t>clearl</w:t>
      </w:r>
      <w:r w:rsidR="00823F92" w:rsidRPr="004F0584">
        <w:t>y</w:t>
      </w:r>
      <w:r w:rsidR="00823F92">
        <w:t xml:space="preserve"> </w:t>
      </w:r>
      <w:r w:rsidRPr="004F0584">
        <w:t>define</w:t>
      </w:r>
      <w:r w:rsidR="00823F92" w:rsidRPr="004F0584">
        <w:t>d</w:t>
      </w:r>
      <w:r w:rsidR="00823F92">
        <w:t xml:space="preserve"> </w:t>
      </w:r>
      <w:r w:rsidRPr="004F0584">
        <w:t>an</w:t>
      </w:r>
      <w:r w:rsidR="00823F92" w:rsidRPr="004F0584">
        <w:t>d</w:t>
      </w:r>
      <w:r w:rsidR="00823F92">
        <w:t xml:space="preserve"> </w:t>
      </w:r>
      <w:r w:rsidRPr="004F0584">
        <w:t>recognise</w:t>
      </w:r>
      <w:r w:rsidR="00823F92" w:rsidRPr="004F0584">
        <w:t>d</w:t>
      </w:r>
      <w:r w:rsidR="00823F92">
        <w:t xml:space="preserve"> </w:t>
      </w:r>
      <w:r w:rsidRPr="004F0584">
        <w:t>nationally</w:t>
      </w:r>
      <w:r w:rsidR="00823F92" w:rsidRPr="004F0584">
        <w:t>.</w:t>
      </w:r>
      <w:r w:rsidR="00823F92">
        <w:t xml:space="preserve"> </w:t>
      </w:r>
      <w:r>
        <w:t>A</w:t>
      </w:r>
      <w:r w:rsidR="00823F92">
        <w:t xml:space="preserve">s </w:t>
      </w:r>
      <w:r>
        <w:t>a</w:t>
      </w:r>
      <w:r w:rsidR="00823F92">
        <w:t xml:space="preserve">n </w:t>
      </w:r>
      <w:r>
        <w:t>emergin</w:t>
      </w:r>
      <w:r w:rsidR="00823F92">
        <w:t xml:space="preserve">g </w:t>
      </w:r>
      <w:r>
        <w:t>workforce</w:t>
      </w:r>
      <w:r w:rsidR="00823F92">
        <w:t xml:space="preserve">, </w:t>
      </w:r>
      <w:r>
        <w:t>th</w:t>
      </w:r>
      <w:r w:rsidR="00823F92">
        <w:t xml:space="preserve">e </w:t>
      </w:r>
      <w:r>
        <w:t>rol</w:t>
      </w:r>
      <w:r w:rsidR="00823F92">
        <w:t xml:space="preserve">e </w:t>
      </w:r>
      <w:r>
        <w:t>o</w:t>
      </w:r>
      <w:r w:rsidR="00823F92">
        <w:t xml:space="preserve">f </w:t>
      </w:r>
      <w:r w:rsidRPr="00DA2642">
        <w:t>pee</w:t>
      </w:r>
      <w:r w:rsidR="00823F92" w:rsidRPr="00DA2642">
        <w:t>r</w:t>
      </w:r>
      <w:r w:rsidR="00823F92">
        <w:t xml:space="preserve"> </w:t>
      </w:r>
      <w:r w:rsidRPr="00DA2642">
        <w:t>worker</w:t>
      </w:r>
      <w:r w:rsidR="00823F92" w:rsidRPr="00DA2642">
        <w:t>s</w:t>
      </w:r>
      <w:r w:rsidR="00823F92">
        <w:t xml:space="preserve"> </w:t>
      </w:r>
      <w:r>
        <w:t>als</w:t>
      </w:r>
      <w:r w:rsidR="00823F92">
        <w:t xml:space="preserve">o </w:t>
      </w:r>
      <w:r>
        <w:t>need</w:t>
      </w:r>
      <w:r w:rsidR="00823F92">
        <w:t xml:space="preserve">s </w:t>
      </w:r>
      <w:r>
        <w:t>definition</w:t>
      </w:r>
      <w:r w:rsidR="00823F92">
        <w:t xml:space="preserve">. </w:t>
      </w:r>
      <w:r>
        <w:t>Onc</w:t>
      </w:r>
      <w:r w:rsidR="00823F92">
        <w:t xml:space="preserve">e </w:t>
      </w:r>
      <w:r>
        <w:t>th</w:t>
      </w:r>
      <w:r w:rsidR="00823F92">
        <w:t xml:space="preserve">e </w:t>
      </w:r>
      <w:r>
        <w:t>foundation</w:t>
      </w:r>
      <w:r w:rsidR="00823F92">
        <w:t xml:space="preserve">s </w:t>
      </w:r>
      <w:r>
        <w:t>fo</w:t>
      </w:r>
      <w:r w:rsidR="00823F92">
        <w:t xml:space="preserve">r </w:t>
      </w:r>
      <w:r>
        <w:t>supportin</w:t>
      </w:r>
      <w:r w:rsidR="00823F92">
        <w:t xml:space="preserve">g </w:t>
      </w:r>
      <w:r>
        <w:t>thi</w:t>
      </w:r>
      <w:r w:rsidR="00823F92">
        <w:t xml:space="preserve">s </w:t>
      </w:r>
      <w:r>
        <w:t>emergin</w:t>
      </w:r>
      <w:r w:rsidR="00823F92">
        <w:t xml:space="preserve">g </w:t>
      </w:r>
      <w:r>
        <w:t>workforc</w:t>
      </w:r>
      <w:r w:rsidR="00823F92">
        <w:t xml:space="preserve">e </w:t>
      </w:r>
      <w:r>
        <w:t>ar</w:t>
      </w:r>
      <w:r w:rsidR="00823F92">
        <w:t xml:space="preserve">e </w:t>
      </w:r>
      <w:r>
        <w:t>i</w:t>
      </w:r>
      <w:r w:rsidR="00823F92">
        <w:t xml:space="preserve">n </w:t>
      </w:r>
      <w:r>
        <w:t>place</w:t>
      </w:r>
      <w:r w:rsidR="00823F92">
        <w:t xml:space="preserve">, </w:t>
      </w:r>
      <w:r>
        <w:t>appropriat</w:t>
      </w:r>
      <w:r w:rsidR="00823F92">
        <w:t xml:space="preserve">e </w:t>
      </w:r>
      <w:r>
        <w:t>trainin</w:t>
      </w:r>
      <w:r w:rsidR="00823F92">
        <w:t xml:space="preserve">g </w:t>
      </w:r>
      <w:r>
        <w:t>need</w:t>
      </w:r>
      <w:r w:rsidR="00823F92">
        <w:t xml:space="preserve">s </w:t>
      </w:r>
      <w:r>
        <w:t>t</w:t>
      </w:r>
      <w:r w:rsidR="00823F92">
        <w:t xml:space="preserve">o </w:t>
      </w:r>
      <w:r>
        <w:t>b</w:t>
      </w:r>
      <w:r w:rsidR="00823F92">
        <w:t xml:space="preserve">e </w:t>
      </w:r>
      <w:r>
        <w:t>designe</w:t>
      </w:r>
      <w:r w:rsidR="00823F92">
        <w:t xml:space="preserve">d </w:t>
      </w:r>
      <w:r>
        <w:t>tha</w:t>
      </w:r>
      <w:r w:rsidR="00823F92">
        <w:t xml:space="preserve">t </w:t>
      </w:r>
      <w:r>
        <w:t>i</w:t>
      </w:r>
      <w:r w:rsidR="00823F92">
        <w:t xml:space="preserve">s </w:t>
      </w:r>
      <w:r>
        <w:t>aligne</w:t>
      </w:r>
      <w:r w:rsidR="00823F92">
        <w:t xml:space="preserve">d </w:t>
      </w:r>
      <w:r>
        <w:t>t</w:t>
      </w:r>
      <w:r w:rsidR="00823F92">
        <w:t xml:space="preserve">o </w:t>
      </w:r>
      <w:r>
        <w:t>th</w:t>
      </w:r>
      <w:r w:rsidR="00823F92">
        <w:t xml:space="preserve">e </w:t>
      </w:r>
      <w:r>
        <w:t>skill</w:t>
      </w:r>
      <w:r w:rsidR="00823F92">
        <w:t xml:space="preserve">s </w:t>
      </w:r>
      <w:r>
        <w:t>require</w:t>
      </w:r>
      <w:r w:rsidR="00823F92">
        <w:t xml:space="preserve">d </w:t>
      </w:r>
      <w:r>
        <w:t>an</w:t>
      </w:r>
      <w:r w:rsidR="00823F92">
        <w:t xml:space="preserve">d </w:t>
      </w:r>
      <w:r>
        <w:t>accessibl</w:t>
      </w:r>
      <w:r w:rsidR="00823F92">
        <w:t xml:space="preserve">e </w:t>
      </w:r>
      <w:r>
        <w:t>t</w:t>
      </w:r>
      <w:r w:rsidR="00823F92">
        <w:t xml:space="preserve">o </w:t>
      </w:r>
      <w:r>
        <w:t>th</w:t>
      </w:r>
      <w:r w:rsidR="00823F92">
        <w:t xml:space="preserve">e </w:t>
      </w:r>
      <w:r>
        <w:t>potentia</w:t>
      </w:r>
      <w:r w:rsidR="00823F92">
        <w:t xml:space="preserve">l </w:t>
      </w:r>
      <w:r>
        <w:t>workforce</w:t>
      </w:r>
      <w:r w:rsidR="00823F92">
        <w:t xml:space="preserve">. </w:t>
      </w:r>
    </w:p>
    <w:p w14:paraId="170A9A3C" w14:textId="4F250E5F" w:rsidR="00AF5330" w:rsidRDefault="00AF5330" w:rsidP="00447F23">
      <w:pPr>
        <w:pStyle w:val="BodyText"/>
      </w:pPr>
      <w:r>
        <w:rPr>
          <w:lang w:val="en-US"/>
        </w:rPr>
        <w:t>Thi</w:t>
      </w:r>
      <w:r w:rsidR="00823F92">
        <w:rPr>
          <w:lang w:val="en-US"/>
        </w:rPr>
        <w:t xml:space="preserve">s </w:t>
      </w:r>
      <w:r>
        <w:rPr>
          <w:lang w:val="en-US"/>
        </w:rPr>
        <w:t>create</w:t>
      </w:r>
      <w:r w:rsidR="00823F92">
        <w:rPr>
          <w:lang w:val="en-US"/>
        </w:rPr>
        <w:t xml:space="preserve">s </w:t>
      </w:r>
      <w:r>
        <w:rPr>
          <w:lang w:val="en-US"/>
        </w:rPr>
        <w:t>additiona</w:t>
      </w:r>
      <w:r w:rsidR="00823F92">
        <w:rPr>
          <w:lang w:val="en-US"/>
        </w:rPr>
        <w:t xml:space="preserve">l </w:t>
      </w:r>
      <w:r>
        <w:rPr>
          <w:lang w:val="en-US"/>
        </w:rPr>
        <w:t>challenge</w:t>
      </w:r>
      <w:r w:rsidR="00823F92">
        <w:rPr>
          <w:lang w:val="en-US"/>
        </w:rPr>
        <w:t xml:space="preserve">s </w:t>
      </w:r>
      <w:r>
        <w:rPr>
          <w:lang w:val="en-US"/>
        </w:rPr>
        <w:t>i</w:t>
      </w:r>
      <w:r w:rsidR="00823F92">
        <w:rPr>
          <w:lang w:val="en-US"/>
        </w:rPr>
        <w:t xml:space="preserve">n </w:t>
      </w:r>
      <w:r>
        <w:rPr>
          <w:lang w:val="en-US"/>
        </w:rPr>
        <w:t>term</w:t>
      </w:r>
      <w:r w:rsidR="00823F92">
        <w:rPr>
          <w:lang w:val="en-US"/>
        </w:rPr>
        <w:t xml:space="preserve">s </w:t>
      </w:r>
      <w:r>
        <w:rPr>
          <w:lang w:val="en-US"/>
        </w:rPr>
        <w:t>o</w:t>
      </w:r>
      <w:r w:rsidR="00823F92">
        <w:rPr>
          <w:lang w:val="en-US"/>
        </w:rPr>
        <w:t xml:space="preserve">f </w:t>
      </w:r>
      <w:r>
        <w:rPr>
          <w:lang w:val="en-US"/>
        </w:rPr>
        <w:t>acces</w:t>
      </w:r>
      <w:r w:rsidR="00823F92">
        <w:rPr>
          <w:lang w:val="en-US"/>
        </w:rPr>
        <w:t xml:space="preserve">s </w:t>
      </w:r>
      <w:r>
        <w:rPr>
          <w:lang w:val="en-US"/>
        </w:rPr>
        <w:t>t</w:t>
      </w:r>
      <w:r w:rsidR="00823F92">
        <w:rPr>
          <w:lang w:val="en-US"/>
        </w:rPr>
        <w:t xml:space="preserve">o </w:t>
      </w:r>
      <w:r>
        <w:rPr>
          <w:lang w:val="en-US"/>
        </w:rPr>
        <w:t>appropriat</w:t>
      </w:r>
      <w:r w:rsidR="00823F92">
        <w:rPr>
          <w:lang w:val="en-US"/>
        </w:rPr>
        <w:t xml:space="preserve">e </w:t>
      </w:r>
      <w:r>
        <w:rPr>
          <w:lang w:val="en-US"/>
        </w:rPr>
        <w:t>professiona</w:t>
      </w:r>
      <w:r w:rsidR="00823F92">
        <w:rPr>
          <w:lang w:val="en-US"/>
        </w:rPr>
        <w:t xml:space="preserve">l </w:t>
      </w:r>
      <w:r>
        <w:rPr>
          <w:lang w:val="en-US"/>
        </w:rPr>
        <w:t>development</w:t>
      </w:r>
      <w:r w:rsidR="00823F92">
        <w:rPr>
          <w:lang w:val="en-US"/>
        </w:rPr>
        <w:t xml:space="preserve">, </w:t>
      </w:r>
      <w:r>
        <w:rPr>
          <w:lang w:val="en-US"/>
        </w:rPr>
        <w:t>supervisio</w:t>
      </w:r>
      <w:r w:rsidR="00823F92">
        <w:rPr>
          <w:lang w:val="en-US"/>
        </w:rPr>
        <w:t xml:space="preserve">n </w:t>
      </w:r>
      <w:r>
        <w:rPr>
          <w:lang w:val="en-US"/>
        </w:rPr>
        <w:t>an</w:t>
      </w:r>
      <w:r w:rsidR="00823F92">
        <w:rPr>
          <w:lang w:val="en-US"/>
        </w:rPr>
        <w:t xml:space="preserve">d </w:t>
      </w:r>
      <w:r>
        <w:rPr>
          <w:lang w:val="en-US"/>
        </w:rPr>
        <w:t>progression</w:t>
      </w:r>
      <w:r w:rsidR="00823F92">
        <w:rPr>
          <w:lang w:val="en-US"/>
        </w:rPr>
        <w:t xml:space="preserve">. </w:t>
      </w:r>
      <w:r>
        <w:rPr>
          <w:lang w:val="en-US"/>
        </w:rPr>
        <w:t>R</w:t>
      </w:r>
      <w:r w:rsidRPr="00426676">
        <w:rPr>
          <w:lang w:val="en-US"/>
        </w:rPr>
        <w:t>etentio</w:t>
      </w:r>
      <w:r w:rsidR="00823F92" w:rsidRPr="00426676">
        <w:rPr>
          <w:lang w:val="en-US"/>
        </w:rPr>
        <w:t>n</w:t>
      </w:r>
      <w:r w:rsidR="00823F92">
        <w:rPr>
          <w:lang w:val="en-US"/>
        </w:rPr>
        <w:t xml:space="preserve"> </w:t>
      </w:r>
      <w:r w:rsidRPr="00426676">
        <w:rPr>
          <w:lang w:val="en-US"/>
        </w:rPr>
        <w:t>i</w:t>
      </w:r>
      <w:r w:rsidR="00823F92" w:rsidRPr="00426676">
        <w:rPr>
          <w:lang w:val="en-US"/>
        </w:rPr>
        <w:t>s</w:t>
      </w:r>
      <w:r w:rsidR="00823F92">
        <w:rPr>
          <w:lang w:val="en-US"/>
        </w:rPr>
        <w:t xml:space="preserve"> </w:t>
      </w:r>
      <w:r w:rsidRPr="00426676">
        <w:rPr>
          <w:lang w:val="en-US"/>
        </w:rPr>
        <w:t>a</w:t>
      </w:r>
      <w:r w:rsidR="00823F92" w:rsidRPr="00426676">
        <w:rPr>
          <w:lang w:val="en-US"/>
        </w:rPr>
        <w:t>n</w:t>
      </w:r>
      <w:r w:rsidR="00823F92">
        <w:rPr>
          <w:lang w:val="en-US"/>
        </w:rPr>
        <w:t xml:space="preserve"> </w:t>
      </w:r>
      <w:r w:rsidRPr="00426676">
        <w:rPr>
          <w:lang w:val="en-US"/>
        </w:rPr>
        <w:t>issue</w:t>
      </w:r>
      <w:r w:rsidR="00823F92" w:rsidRPr="00426676">
        <w:rPr>
          <w:lang w:val="en-US"/>
        </w:rPr>
        <w:t>,</w:t>
      </w:r>
      <w:r w:rsidR="00823F92">
        <w:rPr>
          <w:lang w:val="en-US"/>
        </w:rPr>
        <w:t xml:space="preserve"> </w:t>
      </w:r>
      <w:r w:rsidRPr="00426676">
        <w:rPr>
          <w:lang w:val="en-US"/>
        </w:rPr>
        <w:t>wit</w:t>
      </w:r>
      <w:r w:rsidR="00823F92" w:rsidRPr="00426676">
        <w:rPr>
          <w:lang w:val="en-US"/>
        </w:rPr>
        <w:t>h</w:t>
      </w:r>
      <w:r w:rsidR="00823F92">
        <w:rPr>
          <w:lang w:val="en-US"/>
        </w:rPr>
        <w:t xml:space="preserve"> </w:t>
      </w:r>
      <w:r w:rsidRPr="00426676">
        <w:rPr>
          <w:lang w:val="en-US"/>
        </w:rPr>
        <w:t>som</w:t>
      </w:r>
      <w:r w:rsidR="00823F92" w:rsidRPr="00426676">
        <w:rPr>
          <w:lang w:val="en-US"/>
        </w:rPr>
        <w:t>e</w:t>
      </w:r>
      <w:r w:rsidR="00823F92">
        <w:rPr>
          <w:lang w:val="en-US"/>
        </w:rPr>
        <w:t xml:space="preserve"> </w:t>
      </w:r>
      <w:r w:rsidRPr="00426676">
        <w:rPr>
          <w:lang w:val="en-US"/>
        </w:rPr>
        <w:t>experience</w:t>
      </w:r>
      <w:r w:rsidR="00823F92" w:rsidRPr="00426676">
        <w:rPr>
          <w:lang w:val="en-US"/>
        </w:rPr>
        <w:t>d</w:t>
      </w:r>
      <w:r w:rsidR="00823F92">
        <w:rPr>
          <w:lang w:val="en-US"/>
        </w:rPr>
        <w:t xml:space="preserve"> </w:t>
      </w:r>
      <w:r w:rsidRPr="00426676">
        <w:rPr>
          <w:lang w:val="en-US"/>
        </w:rPr>
        <w:t>worker</w:t>
      </w:r>
      <w:r w:rsidR="00823F92" w:rsidRPr="00426676">
        <w:rPr>
          <w:lang w:val="en-US"/>
        </w:rPr>
        <w:t>s</w:t>
      </w:r>
      <w:r w:rsidR="00823F92">
        <w:rPr>
          <w:lang w:val="en-US"/>
        </w:rPr>
        <w:t xml:space="preserve"> </w:t>
      </w:r>
      <w:r w:rsidRPr="00426676">
        <w:rPr>
          <w:lang w:val="en-US"/>
        </w:rPr>
        <w:t>continuin</w:t>
      </w:r>
      <w:r w:rsidR="00823F92" w:rsidRPr="00426676">
        <w:rPr>
          <w:lang w:val="en-US"/>
        </w:rPr>
        <w:t>g</w:t>
      </w:r>
      <w:r w:rsidR="00823F92">
        <w:rPr>
          <w:lang w:val="en-US"/>
        </w:rPr>
        <w:t xml:space="preserve"> </w:t>
      </w:r>
      <w:r w:rsidRPr="00426676">
        <w:rPr>
          <w:lang w:val="en-US"/>
        </w:rPr>
        <w:t>career</w:t>
      </w:r>
      <w:r w:rsidR="00823F92" w:rsidRPr="00426676">
        <w:rPr>
          <w:lang w:val="en-US"/>
        </w:rPr>
        <w:t>s</w:t>
      </w:r>
      <w:r w:rsidR="00823F92">
        <w:rPr>
          <w:lang w:val="en-US"/>
        </w:rPr>
        <w:t xml:space="preserve"> </w:t>
      </w:r>
      <w:r w:rsidRPr="00426676">
        <w:rPr>
          <w:lang w:val="en-US"/>
        </w:rPr>
        <w:t>outsid</w:t>
      </w:r>
      <w:r w:rsidR="00823F92" w:rsidRPr="00426676">
        <w:rPr>
          <w:lang w:val="en-US"/>
        </w:rPr>
        <w:t>e</w:t>
      </w:r>
      <w:r w:rsidR="00823F92">
        <w:rPr>
          <w:lang w:val="en-US"/>
        </w:rPr>
        <w:t xml:space="preserve"> </w:t>
      </w:r>
      <w:r w:rsidRPr="00426676">
        <w:rPr>
          <w:lang w:val="en-US"/>
        </w:rPr>
        <w:t>o</w:t>
      </w:r>
      <w:r w:rsidR="00823F92" w:rsidRPr="00426676">
        <w:rPr>
          <w:lang w:val="en-US"/>
        </w:rPr>
        <w:t>f</w:t>
      </w:r>
      <w:r w:rsidR="00823F92">
        <w:rPr>
          <w:lang w:val="en-US"/>
        </w:rPr>
        <w:t xml:space="preserve"> </w:t>
      </w:r>
      <w:r w:rsidRPr="00426676">
        <w:rPr>
          <w:lang w:val="en-US"/>
        </w:rPr>
        <w:t>th</w:t>
      </w:r>
      <w:r w:rsidR="00823F92" w:rsidRPr="00426676">
        <w:rPr>
          <w:lang w:val="en-US"/>
        </w:rPr>
        <w:t>e</w:t>
      </w:r>
      <w:r w:rsidR="00823F92">
        <w:rPr>
          <w:lang w:val="en-US"/>
        </w:rPr>
        <w:t xml:space="preserve"> </w:t>
      </w:r>
      <w:r w:rsidRPr="00426676">
        <w:rPr>
          <w:lang w:val="en-US"/>
        </w:rPr>
        <w:t>designate</w:t>
      </w:r>
      <w:r w:rsidR="00823F92" w:rsidRPr="00426676">
        <w:rPr>
          <w:lang w:val="en-US"/>
        </w:rPr>
        <w:t>d</w:t>
      </w:r>
      <w:r w:rsidR="00823F92">
        <w:rPr>
          <w:lang w:val="en-US"/>
        </w:rPr>
        <w:t xml:space="preserve"> </w:t>
      </w:r>
      <w:r>
        <w:rPr>
          <w:lang w:val="en-US"/>
        </w:rPr>
        <w:t>role</w:t>
      </w:r>
      <w:r w:rsidR="00823F92">
        <w:rPr>
          <w:lang w:val="en-US"/>
        </w:rPr>
        <w:t xml:space="preserve">s </w:t>
      </w:r>
      <w:r w:rsidRPr="00426676">
        <w:rPr>
          <w:lang w:val="en-US"/>
        </w:rPr>
        <w:t>du</w:t>
      </w:r>
      <w:r w:rsidR="00823F92" w:rsidRPr="00426676">
        <w:rPr>
          <w:lang w:val="en-US"/>
        </w:rPr>
        <w:t>e</w:t>
      </w:r>
      <w:r w:rsidR="00823F92">
        <w:rPr>
          <w:lang w:val="en-US"/>
        </w:rPr>
        <w:t xml:space="preserve"> </w:t>
      </w:r>
      <w:r w:rsidRPr="00426676">
        <w:rPr>
          <w:lang w:val="en-US"/>
        </w:rPr>
        <w:t>t</w:t>
      </w:r>
      <w:r w:rsidR="00823F92" w:rsidRPr="00426676">
        <w:rPr>
          <w:lang w:val="en-US"/>
        </w:rPr>
        <w:t>o</w:t>
      </w:r>
      <w:r w:rsidR="00823F92">
        <w:rPr>
          <w:lang w:val="en-US"/>
        </w:rPr>
        <w:t xml:space="preserve"> </w:t>
      </w:r>
      <w:r w:rsidRPr="00426676">
        <w:rPr>
          <w:lang w:val="en-US"/>
        </w:rPr>
        <w:t>th</w:t>
      </w:r>
      <w:r w:rsidR="00823F92" w:rsidRPr="00426676">
        <w:rPr>
          <w:lang w:val="en-US"/>
        </w:rPr>
        <w:t>e</w:t>
      </w:r>
      <w:r w:rsidR="00823F92">
        <w:rPr>
          <w:lang w:val="en-US"/>
        </w:rPr>
        <w:t xml:space="preserve"> </w:t>
      </w:r>
      <w:r w:rsidRPr="00426676">
        <w:rPr>
          <w:lang w:val="en-US"/>
        </w:rPr>
        <w:t>lac</w:t>
      </w:r>
      <w:r w:rsidR="00823F92" w:rsidRPr="00426676">
        <w:rPr>
          <w:lang w:val="en-US"/>
        </w:rPr>
        <w:t>k</w:t>
      </w:r>
      <w:r w:rsidR="00823F92">
        <w:rPr>
          <w:lang w:val="en-US"/>
        </w:rPr>
        <w:t xml:space="preserve"> </w:t>
      </w:r>
      <w:r w:rsidRPr="00426676">
        <w:rPr>
          <w:lang w:val="en-US"/>
        </w:rPr>
        <w:lastRenderedPageBreak/>
        <w:t>o</w:t>
      </w:r>
      <w:r w:rsidR="00823F92" w:rsidRPr="00426676">
        <w:rPr>
          <w:lang w:val="en-US"/>
        </w:rPr>
        <w:t>f</w:t>
      </w:r>
      <w:r w:rsidR="00823F92">
        <w:rPr>
          <w:lang w:val="en-US"/>
        </w:rPr>
        <w:t xml:space="preserve"> </w:t>
      </w:r>
      <w:r w:rsidRPr="00426676">
        <w:rPr>
          <w:lang w:val="en-US"/>
        </w:rPr>
        <w:t>opportunit</w:t>
      </w:r>
      <w:r w:rsidR="00823F92" w:rsidRPr="00426676">
        <w:rPr>
          <w:lang w:val="en-US"/>
        </w:rPr>
        <w:t>y</w:t>
      </w:r>
      <w:r w:rsidR="00823F92">
        <w:rPr>
          <w:lang w:val="en-US"/>
        </w:rPr>
        <w:t xml:space="preserve"> </w:t>
      </w:r>
      <w:r w:rsidRPr="00426676">
        <w:rPr>
          <w:lang w:val="en-US"/>
        </w:rPr>
        <w:t>t</w:t>
      </w:r>
      <w:r w:rsidR="00823F92" w:rsidRPr="00426676">
        <w:rPr>
          <w:lang w:val="en-US"/>
        </w:rPr>
        <w:t>o</w:t>
      </w:r>
      <w:r w:rsidR="00823F92">
        <w:rPr>
          <w:lang w:val="en-US"/>
        </w:rPr>
        <w:t xml:space="preserve"> </w:t>
      </w:r>
      <w:r w:rsidRPr="00426676">
        <w:rPr>
          <w:lang w:val="en-US"/>
        </w:rPr>
        <w:t>progres</w:t>
      </w:r>
      <w:r w:rsidR="00823F92" w:rsidRPr="00426676">
        <w:rPr>
          <w:lang w:val="en-US"/>
        </w:rPr>
        <w:t>s</w:t>
      </w:r>
      <w:r w:rsidR="00823F92">
        <w:rPr>
          <w:lang w:val="en-US"/>
        </w:rPr>
        <w:t xml:space="preserve"> </w:t>
      </w:r>
      <w:r w:rsidRPr="00426676">
        <w:rPr>
          <w:lang w:val="en-US"/>
        </w:rPr>
        <w:t>to</w:t>
      </w:r>
      <w:r w:rsidR="00823F92" w:rsidRPr="00426676">
        <w:rPr>
          <w:lang w:val="en-US"/>
        </w:rPr>
        <w:t>.</w:t>
      </w:r>
      <w:r w:rsidR="00823F92">
        <w:rPr>
          <w:lang w:val="en-US"/>
        </w:rPr>
        <w:t xml:space="preserve"> </w:t>
      </w:r>
      <w:r w:rsidRPr="00426676">
        <w:rPr>
          <w:lang w:val="en-US"/>
        </w:rPr>
        <w:t>Thi</w:t>
      </w:r>
      <w:r w:rsidR="00823F92" w:rsidRPr="00426676">
        <w:rPr>
          <w:lang w:val="en-US"/>
        </w:rPr>
        <w:t>s</w:t>
      </w:r>
      <w:r w:rsidR="00823F92">
        <w:rPr>
          <w:lang w:val="en-US"/>
        </w:rPr>
        <w:t xml:space="preserve"> </w:t>
      </w:r>
      <w:r w:rsidRPr="00426676">
        <w:rPr>
          <w:lang w:val="en-US"/>
        </w:rPr>
        <w:t>resul</w:t>
      </w:r>
      <w:r w:rsidR="00823F92" w:rsidRPr="00426676">
        <w:rPr>
          <w:lang w:val="en-US"/>
        </w:rPr>
        <w:t>t</w:t>
      </w:r>
      <w:r w:rsidR="00823F92">
        <w:rPr>
          <w:lang w:val="en-US"/>
        </w:rPr>
        <w:t xml:space="preserve"> </w:t>
      </w:r>
      <w:r w:rsidRPr="00426676">
        <w:rPr>
          <w:lang w:val="en-US"/>
        </w:rPr>
        <w:t>i</w:t>
      </w:r>
      <w:r w:rsidR="00823F92" w:rsidRPr="00426676">
        <w:rPr>
          <w:lang w:val="en-US"/>
        </w:rPr>
        <w:t>n</w:t>
      </w:r>
      <w:r w:rsidR="00823F92">
        <w:rPr>
          <w:lang w:val="en-US"/>
        </w:rPr>
        <w:t xml:space="preserve"> </w:t>
      </w:r>
      <w:r w:rsidRPr="00426676">
        <w:rPr>
          <w:lang w:val="en-US"/>
        </w:rPr>
        <w:t>los</w:t>
      </w:r>
      <w:r w:rsidR="00823F92" w:rsidRPr="00426676">
        <w:rPr>
          <w:lang w:val="en-US"/>
        </w:rPr>
        <w:t>s</w:t>
      </w:r>
      <w:r w:rsidR="00823F92">
        <w:rPr>
          <w:lang w:val="en-US"/>
        </w:rPr>
        <w:t xml:space="preserve"> </w:t>
      </w:r>
      <w:r w:rsidRPr="00426676">
        <w:rPr>
          <w:lang w:val="en-US"/>
        </w:rPr>
        <w:t>o</w:t>
      </w:r>
      <w:r w:rsidR="00823F92" w:rsidRPr="00426676">
        <w:rPr>
          <w:lang w:val="en-US"/>
        </w:rPr>
        <w:t>f</w:t>
      </w:r>
      <w:r w:rsidR="00823F92">
        <w:rPr>
          <w:lang w:val="en-US"/>
        </w:rPr>
        <w:t xml:space="preserve"> </w:t>
      </w:r>
      <w:r w:rsidRPr="00426676">
        <w:rPr>
          <w:lang w:val="en-US"/>
        </w:rPr>
        <w:t>expertis</w:t>
      </w:r>
      <w:r w:rsidR="00823F92" w:rsidRPr="00426676">
        <w:rPr>
          <w:lang w:val="en-US"/>
        </w:rPr>
        <w:t>e</w:t>
      </w:r>
      <w:r w:rsidR="00823F92">
        <w:rPr>
          <w:lang w:val="en-US"/>
        </w:rPr>
        <w:t xml:space="preserve"> </w:t>
      </w:r>
      <w:r w:rsidRPr="00426676">
        <w:rPr>
          <w:lang w:val="en-US"/>
        </w:rPr>
        <w:t>an</w:t>
      </w:r>
      <w:r w:rsidR="00823F92" w:rsidRPr="00426676">
        <w:rPr>
          <w:lang w:val="en-US"/>
        </w:rPr>
        <w:t>d</w:t>
      </w:r>
      <w:r w:rsidR="00823F92">
        <w:rPr>
          <w:lang w:val="en-US"/>
        </w:rPr>
        <w:t xml:space="preserve"> </w:t>
      </w:r>
      <w:r w:rsidRPr="00426676">
        <w:rPr>
          <w:lang w:val="en-US"/>
        </w:rPr>
        <w:t>candidate</w:t>
      </w:r>
      <w:r w:rsidR="00823F92" w:rsidRPr="00426676">
        <w:rPr>
          <w:lang w:val="en-US"/>
        </w:rPr>
        <w:t>s</w:t>
      </w:r>
      <w:r w:rsidR="00823F92">
        <w:rPr>
          <w:lang w:val="en-US"/>
        </w:rPr>
        <w:t xml:space="preserve"> </w:t>
      </w:r>
      <w:r w:rsidRPr="00426676">
        <w:rPr>
          <w:lang w:val="en-US"/>
        </w:rPr>
        <w:t>t</w:t>
      </w:r>
      <w:r w:rsidR="00823F92" w:rsidRPr="00426676">
        <w:rPr>
          <w:lang w:val="en-US"/>
        </w:rPr>
        <w:t>o</w:t>
      </w:r>
      <w:r w:rsidR="00823F92">
        <w:rPr>
          <w:lang w:val="en-US"/>
        </w:rPr>
        <w:t xml:space="preserve"> </w:t>
      </w:r>
      <w:r w:rsidRPr="00426676">
        <w:rPr>
          <w:lang w:val="en-US"/>
        </w:rPr>
        <w:t>provid</w:t>
      </w:r>
      <w:r w:rsidR="00823F92" w:rsidRPr="00426676">
        <w:rPr>
          <w:lang w:val="en-US"/>
        </w:rPr>
        <w:t>e</w:t>
      </w:r>
      <w:r w:rsidR="00823F92">
        <w:rPr>
          <w:lang w:val="en-US"/>
        </w:rPr>
        <w:t xml:space="preserve"> </w:t>
      </w:r>
      <w:r w:rsidRPr="00426676">
        <w:rPr>
          <w:lang w:val="en-US"/>
        </w:rPr>
        <w:t>supervisio</w:t>
      </w:r>
      <w:r w:rsidR="00823F92" w:rsidRPr="00426676">
        <w:rPr>
          <w:lang w:val="en-US"/>
        </w:rPr>
        <w:t>n</w:t>
      </w:r>
      <w:r w:rsidR="00823F92">
        <w:rPr>
          <w:lang w:val="en-US"/>
        </w:rPr>
        <w:t xml:space="preserve"> </w:t>
      </w:r>
      <w:r w:rsidRPr="00426676">
        <w:rPr>
          <w:lang w:val="en-US"/>
        </w:rPr>
        <w:t>and/o</w:t>
      </w:r>
      <w:r w:rsidR="00823F92" w:rsidRPr="00426676">
        <w:rPr>
          <w:lang w:val="en-US"/>
        </w:rPr>
        <w:t>r</w:t>
      </w:r>
      <w:r w:rsidR="00823F92">
        <w:rPr>
          <w:lang w:val="en-US"/>
        </w:rPr>
        <w:t xml:space="preserve"> </w:t>
      </w:r>
      <w:r w:rsidRPr="00426676">
        <w:rPr>
          <w:lang w:val="en-US"/>
        </w:rPr>
        <w:t>trainin</w:t>
      </w:r>
      <w:r w:rsidR="00823F92" w:rsidRPr="00426676">
        <w:rPr>
          <w:lang w:val="en-US"/>
        </w:rPr>
        <w:t>g</w:t>
      </w:r>
      <w:r w:rsidR="00823F92">
        <w:rPr>
          <w:lang w:val="en-US"/>
        </w:rPr>
        <w:t xml:space="preserve"> </w:t>
      </w:r>
      <w:r>
        <w:rPr>
          <w:lang w:val="en-US"/>
        </w:rPr>
        <w:t>fo</w:t>
      </w:r>
      <w:r w:rsidR="00823F92">
        <w:rPr>
          <w:lang w:val="en-US"/>
        </w:rPr>
        <w:t xml:space="preserve">r </w:t>
      </w:r>
      <w:r>
        <w:rPr>
          <w:lang w:val="en-US"/>
        </w:rPr>
        <w:t>ne</w:t>
      </w:r>
      <w:r w:rsidR="00823F92">
        <w:rPr>
          <w:lang w:val="en-US"/>
        </w:rPr>
        <w:t xml:space="preserve">w </w:t>
      </w:r>
      <w:r>
        <w:rPr>
          <w:lang w:val="en-US"/>
        </w:rPr>
        <w:t>entrants</w:t>
      </w:r>
      <w:r w:rsidRPr="00426676">
        <w:rPr>
          <w:lang w:val="en-US"/>
        </w:rPr>
        <w:t>.</w:t>
      </w:r>
    </w:p>
    <w:p w14:paraId="2AD9A6C6" w14:textId="36A34C5E" w:rsidR="00715863" w:rsidRDefault="00715863" w:rsidP="00E4428F">
      <w:pPr>
        <w:pStyle w:val="BodyText"/>
      </w:pPr>
      <w:r>
        <w:t>Ther</w:t>
      </w:r>
      <w:r w:rsidR="00823F92">
        <w:t xml:space="preserve">e </w:t>
      </w:r>
      <w:r>
        <w:t>ar</w:t>
      </w:r>
      <w:r w:rsidR="00823F92">
        <w:t xml:space="preserve">e </w:t>
      </w:r>
      <w:r>
        <w:t>differen</w:t>
      </w:r>
      <w:r w:rsidR="00823F92">
        <w:t xml:space="preserve">t </w:t>
      </w:r>
      <w:r>
        <w:t>approache</w:t>
      </w:r>
      <w:r w:rsidR="00823F92">
        <w:t xml:space="preserve">s </w:t>
      </w:r>
      <w:r>
        <w:t>underwa</w:t>
      </w:r>
      <w:r w:rsidR="00823F92">
        <w:t xml:space="preserve">y </w:t>
      </w:r>
      <w:r>
        <w:t>t</w:t>
      </w:r>
      <w:r w:rsidR="00823F92">
        <w:t xml:space="preserve">o </w:t>
      </w:r>
      <w:r>
        <w:t>addres</w:t>
      </w:r>
      <w:r w:rsidR="00823F92">
        <w:t xml:space="preserve">s </w:t>
      </w:r>
      <w:r>
        <w:t>thes</w:t>
      </w:r>
      <w:r w:rsidR="00823F92">
        <w:t xml:space="preserve">e </w:t>
      </w:r>
      <w:r>
        <w:t>issues</w:t>
      </w:r>
      <w:r w:rsidR="00823F92">
        <w:t xml:space="preserve">. </w:t>
      </w:r>
      <w:r>
        <w:t>A</w:t>
      </w:r>
      <w:r w:rsidR="00823F92">
        <w:t xml:space="preserve">t a </w:t>
      </w:r>
      <w:r>
        <w:t>nationa</w:t>
      </w:r>
      <w:r w:rsidR="00823F92">
        <w:t xml:space="preserve">l </w:t>
      </w:r>
      <w:r>
        <w:t>level</w:t>
      </w:r>
      <w:r w:rsidR="00823F92">
        <w:t xml:space="preserve">, </w:t>
      </w:r>
      <w:r>
        <w:t>th</w:t>
      </w:r>
      <w:r w:rsidR="00823F92">
        <w:t xml:space="preserve">e </w:t>
      </w:r>
      <w:r>
        <w:t>Nationa</w:t>
      </w:r>
      <w:r w:rsidR="00823F92">
        <w:t xml:space="preserve">l </w:t>
      </w:r>
      <w:r>
        <w:t>Menta</w:t>
      </w:r>
      <w:r w:rsidR="00823F92">
        <w:t xml:space="preserve">l </w:t>
      </w:r>
      <w:r>
        <w:t>Healt</w:t>
      </w:r>
      <w:r w:rsidR="00823F92">
        <w:t xml:space="preserve">h </w:t>
      </w:r>
      <w:r>
        <w:t>Commissio</w:t>
      </w:r>
      <w:r w:rsidR="00823F92">
        <w:t xml:space="preserve">n </w:t>
      </w:r>
      <w:r>
        <w:t>i</w:t>
      </w:r>
      <w:r w:rsidR="00823F92">
        <w:t xml:space="preserve">s </w:t>
      </w:r>
      <w:r>
        <w:t>currentl</w:t>
      </w:r>
      <w:r w:rsidR="00823F92">
        <w:t xml:space="preserve">y </w:t>
      </w:r>
      <w:r>
        <w:t>developin</w:t>
      </w:r>
      <w:r w:rsidR="00823F92">
        <w:t xml:space="preserve">g </w:t>
      </w:r>
      <w:r>
        <w:t>th</w:t>
      </w:r>
      <w:r w:rsidR="00823F92">
        <w:t xml:space="preserve">e </w:t>
      </w:r>
      <w:r>
        <w:t>Pee</w:t>
      </w:r>
      <w:r w:rsidR="00823F92">
        <w:t xml:space="preserve">r </w:t>
      </w:r>
      <w:r>
        <w:t>Workforc</w:t>
      </w:r>
      <w:r w:rsidR="00823F92">
        <w:t xml:space="preserve">e </w:t>
      </w:r>
      <w:r>
        <w:t>Developmen</w:t>
      </w:r>
      <w:r w:rsidR="00823F92">
        <w:t xml:space="preserve">t </w:t>
      </w:r>
      <w:r>
        <w:t>Guidelines</w:t>
      </w:r>
      <w:r w:rsidR="00823F92">
        <w:t xml:space="preserve">. </w:t>
      </w:r>
    </w:p>
    <w:p w14:paraId="768FCC76" w14:textId="77777777" w:rsidR="00715863" w:rsidRPr="000E25B1" w:rsidRDefault="00715863" w:rsidP="00E4428F">
      <w:pPr>
        <w:pStyle w:val="Heading3"/>
        <w:rPr>
          <w:iCs/>
        </w:rPr>
      </w:pPr>
      <w:r w:rsidRPr="000E25B1">
        <w:t>Psychiatr</w:t>
      </w:r>
      <w:r>
        <w:t>y</w:t>
      </w:r>
    </w:p>
    <w:p w14:paraId="05A3C395" w14:textId="507F6883" w:rsidR="00715863" w:rsidRDefault="00715863" w:rsidP="00E202BA">
      <w:pPr>
        <w:pStyle w:val="BodyText"/>
        <w:rPr>
          <w:lang w:val="en-US"/>
        </w:rPr>
      </w:pPr>
      <w:r>
        <w:rPr>
          <w:lang w:val="en-US"/>
        </w:rPr>
        <w:t>Man</w:t>
      </w:r>
      <w:r w:rsidR="00823F92">
        <w:rPr>
          <w:lang w:val="en-US"/>
        </w:rPr>
        <w:t xml:space="preserve">y </w:t>
      </w:r>
      <w:r>
        <w:rPr>
          <w:lang w:val="en-US"/>
        </w:rPr>
        <w:t>state</w:t>
      </w:r>
      <w:r w:rsidR="00823F92">
        <w:rPr>
          <w:lang w:val="en-US"/>
        </w:rPr>
        <w:t xml:space="preserve">s </w:t>
      </w:r>
      <w:r>
        <w:rPr>
          <w:lang w:val="en-US"/>
        </w:rPr>
        <w:t>an</w:t>
      </w:r>
      <w:r w:rsidR="00823F92">
        <w:rPr>
          <w:lang w:val="en-US"/>
        </w:rPr>
        <w:t xml:space="preserve">d </w:t>
      </w:r>
      <w:r>
        <w:rPr>
          <w:lang w:val="en-US"/>
        </w:rPr>
        <w:t>territorie</w:t>
      </w:r>
      <w:r w:rsidR="00823F92">
        <w:rPr>
          <w:lang w:val="en-US"/>
        </w:rPr>
        <w:t xml:space="preserve">s </w:t>
      </w:r>
      <w:r>
        <w:rPr>
          <w:lang w:val="en-US"/>
        </w:rPr>
        <w:t>experienc</w:t>
      </w:r>
      <w:r w:rsidR="00823F92">
        <w:rPr>
          <w:lang w:val="en-US"/>
        </w:rPr>
        <w:t xml:space="preserve">e </w:t>
      </w:r>
      <w:r>
        <w:rPr>
          <w:lang w:val="en-US"/>
        </w:rPr>
        <w:t>difficult</w:t>
      </w:r>
      <w:r w:rsidR="00823F92">
        <w:rPr>
          <w:lang w:val="en-US"/>
        </w:rPr>
        <w:t xml:space="preserve">y </w:t>
      </w:r>
      <w:r>
        <w:rPr>
          <w:lang w:val="en-US"/>
        </w:rPr>
        <w:t>attractin</w:t>
      </w:r>
      <w:r w:rsidR="00823F92">
        <w:rPr>
          <w:lang w:val="en-US"/>
        </w:rPr>
        <w:t xml:space="preserve">g </w:t>
      </w:r>
      <w:r>
        <w:rPr>
          <w:lang w:val="en-US"/>
        </w:rPr>
        <w:t>sufficien</w:t>
      </w:r>
      <w:r w:rsidR="00823F92">
        <w:rPr>
          <w:lang w:val="en-US"/>
        </w:rPr>
        <w:t xml:space="preserve">t </w:t>
      </w:r>
      <w:r>
        <w:rPr>
          <w:lang w:val="en-US"/>
        </w:rPr>
        <w:t>number</w:t>
      </w:r>
      <w:r w:rsidR="00823F92">
        <w:rPr>
          <w:lang w:val="en-US"/>
        </w:rPr>
        <w:t xml:space="preserve">s </w:t>
      </w:r>
      <w:r>
        <w:rPr>
          <w:lang w:val="en-US"/>
        </w:rPr>
        <w:t>o</w:t>
      </w:r>
      <w:r w:rsidR="00823F92">
        <w:rPr>
          <w:lang w:val="en-US"/>
        </w:rPr>
        <w:t xml:space="preserve">f </w:t>
      </w:r>
      <w:r>
        <w:rPr>
          <w:lang w:val="en-US"/>
        </w:rPr>
        <w:t>medica</w:t>
      </w:r>
      <w:r w:rsidR="00823F92">
        <w:rPr>
          <w:lang w:val="en-US"/>
        </w:rPr>
        <w:t xml:space="preserve">l </w:t>
      </w:r>
      <w:r>
        <w:rPr>
          <w:lang w:val="en-US"/>
        </w:rPr>
        <w:t>graduate</w:t>
      </w:r>
      <w:r w:rsidR="00823F92">
        <w:rPr>
          <w:lang w:val="en-US"/>
        </w:rPr>
        <w:t xml:space="preserve">s </w:t>
      </w:r>
      <w:r>
        <w:rPr>
          <w:lang w:val="en-US"/>
        </w:rPr>
        <w:t>t</w:t>
      </w:r>
      <w:r w:rsidR="00823F92">
        <w:rPr>
          <w:lang w:val="en-US"/>
        </w:rPr>
        <w:t xml:space="preserve">o </w:t>
      </w:r>
      <w:r>
        <w:rPr>
          <w:lang w:val="en-US"/>
        </w:rPr>
        <w:t>p</w:t>
      </w:r>
      <w:r w:rsidRPr="006C4490">
        <w:rPr>
          <w:lang w:val="en-US"/>
        </w:rPr>
        <w:t>sychiatr</w:t>
      </w:r>
      <w:r w:rsidR="00823F92">
        <w:rPr>
          <w:lang w:val="en-US"/>
        </w:rPr>
        <w:t xml:space="preserve">y </w:t>
      </w:r>
      <w:r>
        <w:rPr>
          <w:lang w:val="en-US"/>
        </w:rPr>
        <w:t>trainin</w:t>
      </w:r>
      <w:r w:rsidR="00823F92">
        <w:rPr>
          <w:lang w:val="en-US"/>
        </w:rPr>
        <w:t xml:space="preserve">g </w:t>
      </w:r>
      <w:r>
        <w:rPr>
          <w:lang w:val="en-US"/>
        </w:rPr>
        <w:t>pathways</w:t>
      </w:r>
      <w:r w:rsidR="00823F92">
        <w:rPr>
          <w:lang w:val="en-US"/>
        </w:rPr>
        <w:t xml:space="preserve">. </w:t>
      </w:r>
      <w:r w:rsidRPr="006C4490">
        <w:rPr>
          <w:lang w:val="en-US"/>
        </w:rPr>
        <w:t>Thes</w:t>
      </w:r>
      <w:r w:rsidR="00823F92" w:rsidRPr="006C4490">
        <w:rPr>
          <w:lang w:val="en-US"/>
        </w:rPr>
        <w:t>e</w:t>
      </w:r>
      <w:r w:rsidR="00823F92">
        <w:rPr>
          <w:lang w:val="en-US"/>
        </w:rPr>
        <w:t xml:space="preserve"> </w:t>
      </w:r>
      <w:r w:rsidRPr="006C4490">
        <w:rPr>
          <w:lang w:val="en-US"/>
        </w:rPr>
        <w:t>shortage</w:t>
      </w:r>
      <w:r w:rsidR="00823F92" w:rsidRPr="006C4490">
        <w:rPr>
          <w:lang w:val="en-US"/>
        </w:rPr>
        <w:t>s</w:t>
      </w:r>
      <w:r w:rsidR="00823F92">
        <w:rPr>
          <w:lang w:val="en-US"/>
        </w:rPr>
        <w:t xml:space="preserve"> </w:t>
      </w:r>
      <w:r w:rsidRPr="006C4490">
        <w:rPr>
          <w:lang w:val="en-US"/>
        </w:rPr>
        <w:t>ar</w:t>
      </w:r>
      <w:r w:rsidR="00823F92" w:rsidRPr="006C4490">
        <w:rPr>
          <w:lang w:val="en-US"/>
        </w:rPr>
        <w:t>e</w:t>
      </w:r>
      <w:r w:rsidR="00823F92">
        <w:rPr>
          <w:lang w:val="en-US"/>
        </w:rPr>
        <w:t xml:space="preserve"> </w:t>
      </w:r>
      <w:r w:rsidRPr="006C4490">
        <w:rPr>
          <w:lang w:val="en-US"/>
        </w:rPr>
        <w:t>exacerbate</w:t>
      </w:r>
      <w:r w:rsidR="00823F92" w:rsidRPr="006C4490">
        <w:rPr>
          <w:lang w:val="en-US"/>
        </w:rPr>
        <w:t>d</w:t>
      </w:r>
      <w:r w:rsidR="00823F92">
        <w:rPr>
          <w:lang w:val="en-US"/>
        </w:rPr>
        <w:t xml:space="preserve"> </w:t>
      </w:r>
      <w:r>
        <w:rPr>
          <w:lang w:val="en-US"/>
        </w:rPr>
        <w:t>significantl</w:t>
      </w:r>
      <w:r w:rsidR="00823F92">
        <w:rPr>
          <w:lang w:val="en-US"/>
        </w:rPr>
        <w:t xml:space="preserve">y </w:t>
      </w:r>
      <w:r w:rsidRPr="006C4490">
        <w:rPr>
          <w:lang w:val="en-US"/>
        </w:rPr>
        <w:t>i</w:t>
      </w:r>
      <w:r w:rsidR="00823F92" w:rsidRPr="006C4490">
        <w:rPr>
          <w:lang w:val="en-US"/>
        </w:rPr>
        <w:t>n</w:t>
      </w:r>
      <w:r w:rsidR="00823F92">
        <w:rPr>
          <w:lang w:val="en-US"/>
        </w:rPr>
        <w:t xml:space="preserve"> </w:t>
      </w:r>
      <w:r w:rsidRPr="006C4490">
        <w:rPr>
          <w:lang w:val="en-US"/>
        </w:rPr>
        <w:t>regiona</w:t>
      </w:r>
      <w:r w:rsidR="00823F92" w:rsidRPr="006C4490">
        <w:rPr>
          <w:lang w:val="en-US"/>
        </w:rPr>
        <w:t>l</w:t>
      </w:r>
      <w:r w:rsidR="00823F92">
        <w:rPr>
          <w:lang w:val="en-US"/>
        </w:rPr>
        <w:t xml:space="preserve"> </w:t>
      </w:r>
      <w:r w:rsidRPr="006C4490">
        <w:rPr>
          <w:lang w:val="en-US"/>
        </w:rPr>
        <w:t>an</w:t>
      </w:r>
      <w:r w:rsidR="00823F92" w:rsidRPr="006C4490">
        <w:rPr>
          <w:lang w:val="en-US"/>
        </w:rPr>
        <w:t>d</w:t>
      </w:r>
      <w:r w:rsidR="00823F92">
        <w:rPr>
          <w:lang w:val="en-US"/>
        </w:rPr>
        <w:t xml:space="preserve"> </w:t>
      </w:r>
      <w:r w:rsidRPr="006C4490">
        <w:rPr>
          <w:lang w:val="en-US"/>
        </w:rPr>
        <w:t>remot</w:t>
      </w:r>
      <w:r w:rsidR="00823F92" w:rsidRPr="006C4490">
        <w:rPr>
          <w:lang w:val="en-US"/>
        </w:rPr>
        <w:t>e</w:t>
      </w:r>
      <w:r w:rsidR="00823F92">
        <w:rPr>
          <w:lang w:val="en-US"/>
        </w:rPr>
        <w:t xml:space="preserve"> </w:t>
      </w:r>
      <w:r w:rsidRPr="006C4490">
        <w:rPr>
          <w:lang w:val="en-US"/>
        </w:rPr>
        <w:t>areas</w:t>
      </w:r>
      <w:r w:rsidR="00823F92" w:rsidRPr="006C4490">
        <w:rPr>
          <w:lang w:val="en-US"/>
        </w:rPr>
        <w:t>.</w:t>
      </w:r>
      <w:r w:rsidR="00823F92">
        <w:rPr>
          <w:lang w:val="en-US"/>
        </w:rPr>
        <w:t xml:space="preserve"> </w:t>
      </w:r>
    </w:p>
    <w:p w14:paraId="029D49D2" w14:textId="5D60E396" w:rsidR="00BE319F" w:rsidRDefault="00715863" w:rsidP="00453F15">
      <w:pPr>
        <w:pStyle w:val="BodyText"/>
        <w:rPr>
          <w:lang w:val="en-US"/>
        </w:rPr>
      </w:pPr>
      <w:r>
        <w:rPr>
          <w:lang w:val="en-US"/>
        </w:rPr>
        <w:t>Attractio</w:t>
      </w:r>
      <w:r w:rsidR="00823F92">
        <w:rPr>
          <w:lang w:val="en-US"/>
        </w:rPr>
        <w:t xml:space="preserve">n </w:t>
      </w:r>
      <w:r>
        <w:rPr>
          <w:lang w:val="en-US"/>
        </w:rPr>
        <w:t>o</w:t>
      </w:r>
      <w:r w:rsidR="00823F92">
        <w:rPr>
          <w:lang w:val="en-US"/>
        </w:rPr>
        <w:t xml:space="preserve">f </w:t>
      </w:r>
      <w:r>
        <w:rPr>
          <w:lang w:val="en-US"/>
        </w:rPr>
        <w:t>medica</w:t>
      </w:r>
      <w:r w:rsidR="00823F92">
        <w:rPr>
          <w:lang w:val="en-US"/>
        </w:rPr>
        <w:t xml:space="preserve">l </w:t>
      </w:r>
      <w:r>
        <w:rPr>
          <w:lang w:val="en-US"/>
        </w:rPr>
        <w:t>graduate</w:t>
      </w:r>
      <w:r w:rsidR="00823F92">
        <w:rPr>
          <w:lang w:val="en-US"/>
        </w:rPr>
        <w:t xml:space="preserve">s </w:t>
      </w:r>
      <w:r>
        <w:rPr>
          <w:lang w:val="en-US"/>
        </w:rPr>
        <w:t>t</w:t>
      </w:r>
      <w:r w:rsidR="00823F92">
        <w:rPr>
          <w:lang w:val="en-US"/>
        </w:rPr>
        <w:t xml:space="preserve">o </w:t>
      </w:r>
      <w:r w:rsidRPr="006C4490">
        <w:rPr>
          <w:lang w:val="en-US"/>
        </w:rPr>
        <w:t>psychiatr</w:t>
      </w:r>
      <w:r w:rsidR="00823F92" w:rsidRPr="006C4490">
        <w:rPr>
          <w:lang w:val="en-US"/>
        </w:rPr>
        <w:t>y</w:t>
      </w:r>
      <w:r w:rsidR="00823F92">
        <w:rPr>
          <w:lang w:val="en-US"/>
        </w:rPr>
        <w:t xml:space="preserve"> </w:t>
      </w:r>
      <w:r>
        <w:rPr>
          <w:lang w:val="en-US"/>
        </w:rPr>
        <w:t>trainin</w:t>
      </w:r>
      <w:r w:rsidR="00823F92">
        <w:rPr>
          <w:lang w:val="en-US"/>
        </w:rPr>
        <w:t xml:space="preserve">g </w:t>
      </w:r>
      <w:r>
        <w:rPr>
          <w:lang w:val="en-US"/>
        </w:rPr>
        <w:t>i</w:t>
      </w:r>
      <w:r w:rsidR="00823F92">
        <w:rPr>
          <w:lang w:val="en-US"/>
        </w:rPr>
        <w:t xml:space="preserve">s </w:t>
      </w:r>
      <w:r w:rsidRPr="006C4490">
        <w:rPr>
          <w:lang w:val="en-US"/>
        </w:rPr>
        <w:t>affecte</w:t>
      </w:r>
      <w:r w:rsidR="00823F92" w:rsidRPr="006C4490">
        <w:rPr>
          <w:lang w:val="en-US"/>
        </w:rPr>
        <w:t>d</w:t>
      </w:r>
      <w:r w:rsidR="00823F92">
        <w:rPr>
          <w:lang w:val="en-US"/>
        </w:rPr>
        <w:t xml:space="preserve"> </w:t>
      </w:r>
      <w:r w:rsidRPr="006C4490">
        <w:rPr>
          <w:lang w:val="en-US"/>
        </w:rPr>
        <w:t>b</w:t>
      </w:r>
      <w:r w:rsidR="00823F92" w:rsidRPr="006C4490">
        <w:rPr>
          <w:lang w:val="en-US"/>
        </w:rPr>
        <w:t>y</w:t>
      </w:r>
      <w:r w:rsidR="00823F92">
        <w:rPr>
          <w:lang w:val="en-US"/>
        </w:rPr>
        <w:t xml:space="preserve"> </w:t>
      </w:r>
      <w:r w:rsidRPr="006C4490">
        <w:rPr>
          <w:lang w:val="en-US"/>
        </w:rPr>
        <w:t>attitude</w:t>
      </w:r>
      <w:r w:rsidR="00823F92" w:rsidRPr="006C4490">
        <w:rPr>
          <w:lang w:val="en-US"/>
        </w:rPr>
        <w:t>s</w:t>
      </w:r>
      <w:r w:rsidR="00823F92">
        <w:rPr>
          <w:lang w:val="en-US"/>
        </w:rPr>
        <w:t xml:space="preserve"> </w:t>
      </w:r>
      <w:r>
        <w:rPr>
          <w:lang w:val="en-US"/>
        </w:rPr>
        <w:t>an</w:t>
      </w:r>
      <w:r w:rsidR="00823F92">
        <w:rPr>
          <w:lang w:val="en-US"/>
        </w:rPr>
        <w:t xml:space="preserve">d </w:t>
      </w:r>
      <w:r>
        <w:rPr>
          <w:lang w:val="en-US"/>
        </w:rPr>
        <w:t>perception</w:t>
      </w:r>
      <w:r w:rsidR="00823F92">
        <w:rPr>
          <w:lang w:val="en-US"/>
        </w:rPr>
        <w:t xml:space="preserve">s </w:t>
      </w:r>
      <w:r>
        <w:rPr>
          <w:lang w:val="en-US"/>
        </w:rPr>
        <w:t>o</w:t>
      </w:r>
      <w:r w:rsidR="00823F92">
        <w:rPr>
          <w:lang w:val="en-US"/>
        </w:rPr>
        <w:t xml:space="preserve">f </w:t>
      </w:r>
      <w:r>
        <w:rPr>
          <w:lang w:val="en-US"/>
        </w:rPr>
        <w:t>workin</w:t>
      </w:r>
      <w:r w:rsidR="00823F92">
        <w:rPr>
          <w:lang w:val="en-US"/>
        </w:rPr>
        <w:t xml:space="preserve">g </w:t>
      </w:r>
      <w:r>
        <w:rPr>
          <w:lang w:val="en-US"/>
        </w:rPr>
        <w:t>i</w:t>
      </w:r>
      <w:r w:rsidR="00823F92">
        <w:rPr>
          <w:lang w:val="en-US"/>
        </w:rPr>
        <w:t xml:space="preserve">n </w:t>
      </w:r>
      <w:r>
        <w:rPr>
          <w:lang w:val="en-US"/>
        </w:rPr>
        <w:t>th</w:t>
      </w:r>
      <w:r w:rsidR="00823F92">
        <w:rPr>
          <w:lang w:val="en-US"/>
        </w:rPr>
        <w:t xml:space="preserve">e </w:t>
      </w:r>
      <w:r>
        <w:rPr>
          <w:lang w:val="en-US"/>
        </w:rPr>
        <w:t>menta</w:t>
      </w:r>
      <w:r w:rsidR="00823F92">
        <w:rPr>
          <w:lang w:val="en-US"/>
        </w:rPr>
        <w:t xml:space="preserve">l </w:t>
      </w:r>
      <w:r>
        <w:rPr>
          <w:lang w:val="en-US"/>
        </w:rPr>
        <w:t>healt</w:t>
      </w:r>
      <w:r w:rsidR="00823F92">
        <w:rPr>
          <w:lang w:val="en-US"/>
        </w:rPr>
        <w:t xml:space="preserve">h </w:t>
      </w:r>
      <w:r>
        <w:rPr>
          <w:lang w:val="en-US"/>
        </w:rPr>
        <w:t>system</w:t>
      </w:r>
      <w:r w:rsidR="00823F92">
        <w:rPr>
          <w:lang w:val="en-US"/>
        </w:rPr>
        <w:t xml:space="preserve">. </w:t>
      </w:r>
      <w:r>
        <w:rPr>
          <w:lang w:val="en-US"/>
        </w:rPr>
        <w:t>Thes</w:t>
      </w:r>
      <w:r w:rsidR="00823F92">
        <w:rPr>
          <w:lang w:val="en-US"/>
        </w:rPr>
        <w:t xml:space="preserve">e </w:t>
      </w:r>
      <w:r>
        <w:rPr>
          <w:lang w:val="en-US"/>
        </w:rPr>
        <w:t>perception</w:t>
      </w:r>
      <w:r w:rsidR="00823F92">
        <w:rPr>
          <w:lang w:val="en-US"/>
        </w:rPr>
        <w:t xml:space="preserve">s </w:t>
      </w:r>
      <w:r>
        <w:rPr>
          <w:lang w:val="en-US"/>
        </w:rPr>
        <w:t>ar</w:t>
      </w:r>
      <w:r w:rsidR="00823F92">
        <w:rPr>
          <w:lang w:val="en-US"/>
        </w:rPr>
        <w:t xml:space="preserve">e </w:t>
      </w:r>
      <w:r>
        <w:rPr>
          <w:lang w:val="en-US"/>
        </w:rPr>
        <w:t>influence</w:t>
      </w:r>
      <w:r w:rsidR="00823F92">
        <w:rPr>
          <w:lang w:val="en-US"/>
        </w:rPr>
        <w:t xml:space="preserve">d </w:t>
      </w:r>
      <w:r>
        <w:rPr>
          <w:lang w:val="en-US"/>
        </w:rPr>
        <w:t>b</w:t>
      </w:r>
      <w:r w:rsidR="00823F92">
        <w:rPr>
          <w:lang w:val="en-US"/>
        </w:rPr>
        <w:t xml:space="preserve">y </w:t>
      </w:r>
      <w:r w:rsidRPr="006C4490">
        <w:rPr>
          <w:lang w:val="en-US"/>
        </w:rPr>
        <w:t>placemen</w:t>
      </w:r>
      <w:r w:rsidR="00823F92" w:rsidRPr="006C4490">
        <w:rPr>
          <w:lang w:val="en-US"/>
        </w:rPr>
        <w:t>t</w:t>
      </w:r>
      <w:r w:rsidR="00823F92">
        <w:rPr>
          <w:lang w:val="en-US"/>
        </w:rPr>
        <w:t xml:space="preserve"> </w:t>
      </w:r>
      <w:r w:rsidRPr="006C4490">
        <w:rPr>
          <w:lang w:val="en-US"/>
        </w:rPr>
        <w:t>experience</w:t>
      </w:r>
      <w:r w:rsidR="00823F92" w:rsidRPr="006C4490">
        <w:rPr>
          <w:lang w:val="en-US"/>
        </w:rPr>
        <w:t>s</w:t>
      </w:r>
      <w:r w:rsidR="00823F92">
        <w:rPr>
          <w:lang w:val="en-US"/>
        </w:rPr>
        <w:t xml:space="preserve"> </w:t>
      </w:r>
      <w:r>
        <w:rPr>
          <w:lang w:val="en-US"/>
        </w:rPr>
        <w:t>durin</w:t>
      </w:r>
      <w:r w:rsidR="00823F92">
        <w:rPr>
          <w:lang w:val="en-US"/>
        </w:rPr>
        <w:t xml:space="preserve">g </w:t>
      </w:r>
      <w:r>
        <w:rPr>
          <w:lang w:val="en-US"/>
        </w:rPr>
        <w:t>pre-servic</w:t>
      </w:r>
      <w:r w:rsidR="00823F92">
        <w:rPr>
          <w:lang w:val="en-US"/>
        </w:rPr>
        <w:t xml:space="preserve">e </w:t>
      </w:r>
      <w:r>
        <w:rPr>
          <w:lang w:val="en-US"/>
        </w:rPr>
        <w:t>medica</w:t>
      </w:r>
      <w:r w:rsidR="00823F92">
        <w:rPr>
          <w:lang w:val="en-US"/>
        </w:rPr>
        <w:t xml:space="preserve">l </w:t>
      </w:r>
      <w:r>
        <w:rPr>
          <w:lang w:val="en-US"/>
        </w:rPr>
        <w:t>trainin</w:t>
      </w:r>
      <w:r w:rsidR="00823F92">
        <w:rPr>
          <w:lang w:val="en-US"/>
        </w:rPr>
        <w:t xml:space="preserve">g </w:t>
      </w:r>
      <w:r>
        <w:rPr>
          <w:lang w:val="en-US"/>
        </w:rPr>
        <w:t>an</w:t>
      </w:r>
      <w:r w:rsidR="00823F92">
        <w:rPr>
          <w:lang w:val="en-US"/>
        </w:rPr>
        <w:t xml:space="preserve">d </w:t>
      </w:r>
      <w:r>
        <w:rPr>
          <w:lang w:val="en-US"/>
        </w:rPr>
        <w:t>a</w:t>
      </w:r>
      <w:r w:rsidR="00823F92">
        <w:rPr>
          <w:lang w:val="en-US"/>
        </w:rPr>
        <w:t xml:space="preserve">s </w:t>
      </w:r>
      <w:r>
        <w:rPr>
          <w:lang w:val="en-US"/>
        </w:rPr>
        <w:t>junio</w:t>
      </w:r>
      <w:r w:rsidR="00823F92">
        <w:rPr>
          <w:lang w:val="en-US"/>
        </w:rPr>
        <w:t xml:space="preserve">r </w:t>
      </w:r>
      <w:r>
        <w:rPr>
          <w:lang w:val="en-US"/>
        </w:rPr>
        <w:t>medica</w:t>
      </w:r>
      <w:r w:rsidR="00823F92">
        <w:rPr>
          <w:lang w:val="en-US"/>
        </w:rPr>
        <w:t xml:space="preserve">l </w:t>
      </w:r>
      <w:r>
        <w:rPr>
          <w:lang w:val="en-US"/>
        </w:rPr>
        <w:t>officers</w:t>
      </w:r>
      <w:r w:rsidR="00823F92">
        <w:rPr>
          <w:lang w:val="en-US"/>
        </w:rPr>
        <w:t xml:space="preserve">. </w:t>
      </w:r>
    </w:p>
    <w:p w14:paraId="0C6F96E5" w14:textId="4E5BD68C" w:rsidR="00453F15" w:rsidRDefault="00715863" w:rsidP="00453F15">
      <w:pPr>
        <w:pStyle w:val="BodyText"/>
      </w:pPr>
      <w:r w:rsidRPr="00FC3E34">
        <w:rPr>
          <w:lang w:val="en-US"/>
        </w:rPr>
        <w:t>Placement</w:t>
      </w:r>
      <w:r w:rsidR="00823F92" w:rsidRPr="00FC3E34">
        <w:rPr>
          <w:lang w:val="en-US"/>
        </w:rPr>
        <w:t>s</w:t>
      </w:r>
      <w:r w:rsidR="00823F92">
        <w:rPr>
          <w:lang w:val="en-US"/>
        </w:rPr>
        <w:t xml:space="preserve"> </w:t>
      </w:r>
      <w:r w:rsidRPr="00FC3E34">
        <w:rPr>
          <w:lang w:val="en-US"/>
        </w:rPr>
        <w:t>ofte</w:t>
      </w:r>
      <w:r w:rsidR="00823F92" w:rsidRPr="00FC3E34">
        <w:rPr>
          <w:lang w:val="en-US"/>
        </w:rPr>
        <w:t>n</w:t>
      </w:r>
      <w:r w:rsidR="00823F92">
        <w:rPr>
          <w:lang w:val="en-US"/>
        </w:rPr>
        <w:t xml:space="preserve"> </w:t>
      </w:r>
      <w:r w:rsidRPr="00FC3E34">
        <w:rPr>
          <w:lang w:val="en-US"/>
        </w:rPr>
        <w:t>occu</w:t>
      </w:r>
      <w:r w:rsidR="00823F92" w:rsidRPr="00FC3E34">
        <w:rPr>
          <w:lang w:val="en-US"/>
        </w:rPr>
        <w:t>r</w:t>
      </w:r>
      <w:r w:rsidR="00823F92">
        <w:rPr>
          <w:lang w:val="en-US"/>
        </w:rPr>
        <w:t xml:space="preserve"> </w:t>
      </w:r>
      <w:r w:rsidRPr="00FC3E34">
        <w:rPr>
          <w:lang w:val="en-US"/>
        </w:rPr>
        <w:t>i</w:t>
      </w:r>
      <w:r w:rsidR="00823F92" w:rsidRPr="00FC3E34">
        <w:rPr>
          <w:lang w:val="en-US"/>
        </w:rPr>
        <w:t>n</w:t>
      </w:r>
      <w:r w:rsidR="00823F92">
        <w:rPr>
          <w:lang w:val="en-US"/>
        </w:rPr>
        <w:t xml:space="preserve"> </w:t>
      </w:r>
      <w:r w:rsidRPr="00FC3E34">
        <w:rPr>
          <w:lang w:val="en-US"/>
        </w:rPr>
        <w:t>publi</w:t>
      </w:r>
      <w:r w:rsidR="00823F92" w:rsidRPr="00FC3E34">
        <w:rPr>
          <w:lang w:val="en-US"/>
        </w:rPr>
        <w:t>c</w:t>
      </w:r>
      <w:r w:rsidR="00823F92">
        <w:rPr>
          <w:lang w:val="en-US"/>
        </w:rPr>
        <w:t xml:space="preserve"> </w:t>
      </w:r>
      <w:r w:rsidRPr="00FC3E34">
        <w:rPr>
          <w:lang w:val="en-US"/>
        </w:rPr>
        <w:t>menta</w:t>
      </w:r>
      <w:r w:rsidR="00823F92" w:rsidRPr="00FC3E34">
        <w:rPr>
          <w:lang w:val="en-US"/>
        </w:rPr>
        <w:t>l</w:t>
      </w:r>
      <w:r w:rsidR="00823F92">
        <w:rPr>
          <w:lang w:val="en-US"/>
        </w:rPr>
        <w:t xml:space="preserve"> </w:t>
      </w:r>
      <w:r w:rsidRPr="00FC3E34">
        <w:rPr>
          <w:lang w:val="en-US"/>
        </w:rPr>
        <w:t>healt</w:t>
      </w:r>
      <w:r w:rsidR="00823F92" w:rsidRPr="00FC3E34">
        <w:rPr>
          <w:lang w:val="en-US"/>
        </w:rPr>
        <w:t>h</w:t>
      </w:r>
      <w:r w:rsidR="00823F92">
        <w:rPr>
          <w:lang w:val="en-US"/>
        </w:rPr>
        <w:t xml:space="preserve"> </w:t>
      </w:r>
      <w:r w:rsidRPr="00FC3E34">
        <w:rPr>
          <w:lang w:val="en-US"/>
        </w:rPr>
        <w:t>setting</w:t>
      </w:r>
      <w:r w:rsidR="00823F92" w:rsidRPr="00FC3E34">
        <w:rPr>
          <w:lang w:val="en-US"/>
        </w:rPr>
        <w:t>s</w:t>
      </w:r>
      <w:r w:rsidR="00823F92">
        <w:rPr>
          <w:lang w:val="en-US"/>
        </w:rPr>
        <w:t xml:space="preserve"> </w:t>
      </w:r>
      <w:r w:rsidRPr="00FC3E34">
        <w:rPr>
          <w:lang w:val="en-US"/>
        </w:rPr>
        <w:t>whic</w:t>
      </w:r>
      <w:r w:rsidR="00823F92" w:rsidRPr="00FC3E34">
        <w:rPr>
          <w:lang w:val="en-US"/>
        </w:rPr>
        <w:t>h</w:t>
      </w:r>
      <w:r w:rsidR="00823F92">
        <w:rPr>
          <w:lang w:val="en-US"/>
        </w:rPr>
        <w:t xml:space="preserve"> </w:t>
      </w:r>
      <w:r w:rsidRPr="00FC3E34">
        <w:rPr>
          <w:lang w:val="en-US"/>
        </w:rPr>
        <w:t>ofte</w:t>
      </w:r>
      <w:r w:rsidR="00823F92" w:rsidRPr="00FC3E34">
        <w:rPr>
          <w:lang w:val="en-US"/>
        </w:rPr>
        <w:t>n</w:t>
      </w:r>
      <w:r w:rsidR="00823F92">
        <w:rPr>
          <w:lang w:val="en-US"/>
        </w:rPr>
        <w:t xml:space="preserve"> </w:t>
      </w:r>
      <w:r w:rsidRPr="00FC3E34">
        <w:rPr>
          <w:lang w:val="en-US"/>
        </w:rPr>
        <w:t>involv</w:t>
      </w:r>
      <w:r w:rsidR="00823F92" w:rsidRPr="00FC3E34">
        <w:rPr>
          <w:lang w:val="en-US"/>
        </w:rPr>
        <w:t>e</w:t>
      </w:r>
      <w:r w:rsidR="00823F92">
        <w:rPr>
          <w:lang w:val="en-US"/>
        </w:rPr>
        <w:t xml:space="preserve"> </w:t>
      </w:r>
      <w:r w:rsidRPr="00FC3E34">
        <w:rPr>
          <w:lang w:val="en-US"/>
        </w:rPr>
        <w:t>hig</w:t>
      </w:r>
      <w:r w:rsidR="00823F92" w:rsidRPr="00FC3E34">
        <w:rPr>
          <w:lang w:val="en-US"/>
        </w:rPr>
        <w:t>h</w:t>
      </w:r>
      <w:r w:rsidR="00823F92">
        <w:rPr>
          <w:lang w:val="en-US"/>
        </w:rPr>
        <w:t xml:space="preserve"> </w:t>
      </w:r>
      <w:r w:rsidRPr="00FC3E34">
        <w:rPr>
          <w:lang w:val="en-US"/>
        </w:rPr>
        <w:t>stress</w:t>
      </w:r>
      <w:r w:rsidR="00823F92" w:rsidRPr="00FC3E34">
        <w:rPr>
          <w:lang w:val="en-US"/>
        </w:rPr>
        <w:t>,</w:t>
      </w:r>
      <w:r w:rsidR="00823F92">
        <w:rPr>
          <w:lang w:val="en-US"/>
        </w:rPr>
        <w:t xml:space="preserve"> </w:t>
      </w:r>
      <w:r w:rsidRPr="00FC3E34">
        <w:rPr>
          <w:lang w:val="en-US"/>
        </w:rPr>
        <w:t>in-patien</w:t>
      </w:r>
      <w:r w:rsidR="00823F92" w:rsidRPr="00FC3E34">
        <w:rPr>
          <w:lang w:val="en-US"/>
        </w:rPr>
        <w:t>t</w:t>
      </w:r>
      <w:r w:rsidR="00823F92">
        <w:rPr>
          <w:lang w:val="en-US"/>
        </w:rPr>
        <w:t xml:space="preserve"> </w:t>
      </w:r>
      <w:r w:rsidRPr="00FC3E34">
        <w:rPr>
          <w:lang w:val="en-US"/>
        </w:rPr>
        <w:t>setting</w:t>
      </w:r>
      <w:r w:rsidR="00823F92" w:rsidRPr="00FC3E34">
        <w:rPr>
          <w:lang w:val="en-US"/>
        </w:rPr>
        <w:t>s</w:t>
      </w:r>
      <w:r w:rsidR="00823F92">
        <w:rPr>
          <w:lang w:val="en-US"/>
        </w:rPr>
        <w:t xml:space="preserve"> </w:t>
      </w:r>
      <w:r w:rsidRPr="00FC3E34">
        <w:rPr>
          <w:lang w:val="en-US"/>
        </w:rPr>
        <w:t>wit</w:t>
      </w:r>
      <w:r w:rsidR="00823F92" w:rsidRPr="00FC3E34">
        <w:rPr>
          <w:lang w:val="en-US"/>
        </w:rPr>
        <w:t>h</w:t>
      </w:r>
      <w:r w:rsidR="00823F92">
        <w:rPr>
          <w:lang w:val="en-US"/>
        </w:rPr>
        <w:t xml:space="preserve"> </w:t>
      </w:r>
      <w:r w:rsidRPr="00FC3E34">
        <w:rPr>
          <w:lang w:val="en-US"/>
        </w:rPr>
        <w:t>exposur</w:t>
      </w:r>
      <w:r w:rsidR="00823F92" w:rsidRPr="00FC3E34">
        <w:rPr>
          <w:lang w:val="en-US"/>
        </w:rPr>
        <w:t>e</w:t>
      </w:r>
      <w:r w:rsidR="00823F92">
        <w:rPr>
          <w:lang w:val="en-US"/>
        </w:rPr>
        <w:t xml:space="preserve"> </w:t>
      </w:r>
      <w:r w:rsidRPr="00FC3E34">
        <w:rPr>
          <w:lang w:val="en-US"/>
        </w:rPr>
        <w:t>t</w:t>
      </w:r>
      <w:r w:rsidR="00823F92" w:rsidRPr="00FC3E34">
        <w:rPr>
          <w:lang w:val="en-US"/>
        </w:rPr>
        <w:t>o</w:t>
      </w:r>
      <w:r w:rsidR="00823F92">
        <w:rPr>
          <w:lang w:val="en-US"/>
        </w:rPr>
        <w:t xml:space="preserve"> </w:t>
      </w:r>
      <w:r w:rsidRPr="00FC3E34">
        <w:rPr>
          <w:lang w:val="en-US"/>
        </w:rPr>
        <w:t>th</w:t>
      </w:r>
      <w:r w:rsidR="00823F92" w:rsidRPr="00FC3E34">
        <w:rPr>
          <w:lang w:val="en-US"/>
        </w:rPr>
        <w:t>e</w:t>
      </w:r>
      <w:r w:rsidR="00823F92">
        <w:rPr>
          <w:lang w:val="en-US"/>
        </w:rPr>
        <w:t xml:space="preserve"> </w:t>
      </w:r>
      <w:r w:rsidRPr="00FC3E34">
        <w:rPr>
          <w:lang w:val="en-US"/>
        </w:rPr>
        <w:t>mos</w:t>
      </w:r>
      <w:r w:rsidR="00823F92" w:rsidRPr="00FC3E34">
        <w:rPr>
          <w:lang w:val="en-US"/>
        </w:rPr>
        <w:t>t</w:t>
      </w:r>
      <w:r w:rsidR="00823F92">
        <w:rPr>
          <w:lang w:val="en-US"/>
        </w:rPr>
        <w:t xml:space="preserve"> </w:t>
      </w:r>
      <w:r w:rsidRPr="00FC3E34">
        <w:rPr>
          <w:lang w:val="en-US"/>
        </w:rPr>
        <w:t>unwel</w:t>
      </w:r>
      <w:r w:rsidR="00823F92" w:rsidRPr="00FC3E34">
        <w:rPr>
          <w:lang w:val="en-US"/>
        </w:rPr>
        <w:t>l</w:t>
      </w:r>
      <w:r w:rsidR="00823F92">
        <w:rPr>
          <w:lang w:val="en-US"/>
        </w:rPr>
        <w:t xml:space="preserve"> </w:t>
      </w:r>
      <w:r w:rsidRPr="00FC3E34">
        <w:rPr>
          <w:lang w:val="en-US"/>
        </w:rPr>
        <w:t>patients</w:t>
      </w:r>
      <w:r w:rsidR="00823F92" w:rsidRPr="00FC3E34">
        <w:rPr>
          <w:lang w:val="en-US"/>
        </w:rPr>
        <w:t>,</w:t>
      </w:r>
      <w:r w:rsidR="00823F92">
        <w:rPr>
          <w:lang w:val="en-US"/>
        </w:rPr>
        <w:t xml:space="preserve"> </w:t>
      </w:r>
      <w:r w:rsidRPr="00FC3E34">
        <w:rPr>
          <w:lang w:val="en-US"/>
        </w:rPr>
        <w:t>wher</w:t>
      </w:r>
      <w:r w:rsidR="00823F92" w:rsidRPr="00FC3E34">
        <w:rPr>
          <w:lang w:val="en-US"/>
        </w:rPr>
        <w:t>e</w:t>
      </w:r>
      <w:r w:rsidR="00823F92">
        <w:rPr>
          <w:lang w:val="en-US"/>
        </w:rPr>
        <w:t xml:space="preserve"> </w:t>
      </w:r>
      <w:r w:rsidRPr="00FC3E34">
        <w:rPr>
          <w:lang w:val="en-US"/>
        </w:rPr>
        <w:t>supervisio</w:t>
      </w:r>
      <w:r w:rsidR="00823F92" w:rsidRPr="00FC3E34">
        <w:rPr>
          <w:lang w:val="en-US"/>
        </w:rPr>
        <w:t>n</w:t>
      </w:r>
      <w:r w:rsidR="00823F92">
        <w:rPr>
          <w:lang w:val="en-US"/>
        </w:rPr>
        <w:t xml:space="preserve"> </w:t>
      </w:r>
      <w:r w:rsidRPr="00FC3E34">
        <w:rPr>
          <w:lang w:val="en-US"/>
        </w:rPr>
        <w:t>an</w:t>
      </w:r>
      <w:r w:rsidR="00823F92" w:rsidRPr="00FC3E34">
        <w:rPr>
          <w:lang w:val="en-US"/>
        </w:rPr>
        <w:t>d</w:t>
      </w:r>
      <w:r w:rsidR="00823F92">
        <w:rPr>
          <w:lang w:val="en-US"/>
        </w:rPr>
        <w:t xml:space="preserve"> </w:t>
      </w:r>
      <w:r w:rsidRPr="00FC3E34">
        <w:rPr>
          <w:lang w:val="en-US"/>
        </w:rPr>
        <w:t>suppor</w:t>
      </w:r>
      <w:r w:rsidR="00823F92" w:rsidRPr="00FC3E34">
        <w:rPr>
          <w:lang w:val="en-US"/>
        </w:rPr>
        <w:t>t</w:t>
      </w:r>
      <w:r w:rsidR="00823F92">
        <w:rPr>
          <w:lang w:val="en-US"/>
        </w:rPr>
        <w:t xml:space="preserve"> </w:t>
      </w:r>
      <w:r w:rsidRPr="00FC3E34">
        <w:rPr>
          <w:lang w:val="en-US"/>
        </w:rPr>
        <w:t>i</w:t>
      </w:r>
      <w:r w:rsidR="00823F92" w:rsidRPr="00FC3E34">
        <w:rPr>
          <w:lang w:val="en-US"/>
        </w:rPr>
        <w:t>s</w:t>
      </w:r>
      <w:r w:rsidR="00823F92">
        <w:rPr>
          <w:lang w:val="en-US"/>
        </w:rPr>
        <w:t xml:space="preserve"> </w:t>
      </w:r>
      <w:r w:rsidRPr="00FC3E34">
        <w:rPr>
          <w:lang w:val="en-US"/>
        </w:rPr>
        <w:t>limite</w:t>
      </w:r>
      <w:r w:rsidR="00823F92" w:rsidRPr="00FC3E34">
        <w:rPr>
          <w:lang w:val="en-US"/>
        </w:rPr>
        <w:t>d</w:t>
      </w:r>
      <w:r w:rsidR="00823F92">
        <w:rPr>
          <w:lang w:val="en-US"/>
        </w:rPr>
        <w:t xml:space="preserve"> </w:t>
      </w:r>
      <w:r w:rsidRPr="00FC3E34">
        <w:rPr>
          <w:lang w:val="en-US"/>
        </w:rPr>
        <w:t>du</w:t>
      </w:r>
      <w:r w:rsidR="00823F92" w:rsidRPr="00FC3E34">
        <w:rPr>
          <w:lang w:val="en-US"/>
        </w:rPr>
        <w:t>e</w:t>
      </w:r>
      <w:r w:rsidR="00823F92">
        <w:rPr>
          <w:lang w:val="en-US"/>
        </w:rPr>
        <w:t xml:space="preserve"> </w:t>
      </w:r>
      <w:r w:rsidRPr="00FC3E34">
        <w:rPr>
          <w:lang w:val="en-US"/>
        </w:rPr>
        <w:t>t</w:t>
      </w:r>
      <w:r w:rsidR="00823F92" w:rsidRPr="00FC3E34">
        <w:rPr>
          <w:lang w:val="en-US"/>
        </w:rPr>
        <w:t>o</w:t>
      </w:r>
      <w:r w:rsidR="00823F92">
        <w:rPr>
          <w:lang w:val="en-US"/>
        </w:rPr>
        <w:t xml:space="preserve"> </w:t>
      </w:r>
      <w:r w:rsidRPr="00FC3E34">
        <w:rPr>
          <w:lang w:val="en-US"/>
        </w:rPr>
        <w:t>understaffing</w:t>
      </w:r>
      <w:r w:rsidR="00823F92" w:rsidRPr="00FC3E34">
        <w:rPr>
          <w:lang w:val="en-US"/>
        </w:rPr>
        <w:t>,</w:t>
      </w:r>
      <w:r w:rsidR="00823F92">
        <w:rPr>
          <w:lang w:val="en-US"/>
        </w:rPr>
        <w:t xml:space="preserve"> </w:t>
      </w:r>
      <w:r w:rsidRPr="00FC3E34">
        <w:rPr>
          <w:lang w:val="en-US"/>
        </w:rPr>
        <w:t>physica</w:t>
      </w:r>
      <w:r w:rsidR="00823F92" w:rsidRPr="00FC3E34">
        <w:rPr>
          <w:lang w:val="en-US"/>
        </w:rPr>
        <w:t>l</w:t>
      </w:r>
      <w:r w:rsidR="00823F92">
        <w:rPr>
          <w:lang w:val="en-US"/>
        </w:rPr>
        <w:t xml:space="preserve"> </w:t>
      </w:r>
      <w:r w:rsidRPr="00FC3E34">
        <w:rPr>
          <w:lang w:val="en-US"/>
        </w:rPr>
        <w:t>setting</w:t>
      </w:r>
      <w:r w:rsidR="00823F92" w:rsidRPr="00FC3E34">
        <w:rPr>
          <w:lang w:val="en-US"/>
        </w:rPr>
        <w:t>s</w:t>
      </w:r>
      <w:r w:rsidR="00823F92">
        <w:rPr>
          <w:lang w:val="en-US"/>
        </w:rPr>
        <w:t xml:space="preserve"> </w:t>
      </w:r>
      <w:r w:rsidRPr="00FC3E34">
        <w:rPr>
          <w:lang w:val="en-US"/>
        </w:rPr>
        <w:t>ca</w:t>
      </w:r>
      <w:r w:rsidR="00823F92" w:rsidRPr="00FC3E34">
        <w:rPr>
          <w:lang w:val="en-US"/>
        </w:rPr>
        <w:t>n</w:t>
      </w:r>
      <w:r w:rsidR="00823F92">
        <w:rPr>
          <w:lang w:val="en-US"/>
        </w:rPr>
        <w:t xml:space="preserve"> </w:t>
      </w:r>
      <w:r w:rsidRPr="00FC3E34">
        <w:rPr>
          <w:lang w:val="en-US"/>
        </w:rPr>
        <w:t>b</w:t>
      </w:r>
      <w:r w:rsidR="00823F92" w:rsidRPr="00FC3E34">
        <w:rPr>
          <w:lang w:val="en-US"/>
        </w:rPr>
        <w:t>e</w:t>
      </w:r>
      <w:r w:rsidR="00823F92">
        <w:rPr>
          <w:lang w:val="en-US"/>
        </w:rPr>
        <w:t xml:space="preserve"> </w:t>
      </w:r>
      <w:r w:rsidRPr="00FC3E34">
        <w:rPr>
          <w:lang w:val="en-US"/>
        </w:rPr>
        <w:t>rundow</w:t>
      </w:r>
      <w:r w:rsidR="00823F92" w:rsidRPr="00FC3E34">
        <w:rPr>
          <w:lang w:val="en-US"/>
        </w:rPr>
        <w:t>n</w:t>
      </w:r>
      <w:r w:rsidR="00823F92">
        <w:rPr>
          <w:lang w:val="en-US"/>
        </w:rPr>
        <w:t xml:space="preserve"> </w:t>
      </w:r>
      <w:r w:rsidRPr="00FC3E34">
        <w:rPr>
          <w:lang w:val="en-US"/>
        </w:rPr>
        <w:t>an</w:t>
      </w:r>
      <w:r w:rsidR="00823F92" w:rsidRPr="00FC3E34">
        <w:rPr>
          <w:lang w:val="en-US"/>
        </w:rPr>
        <w:t>d</w:t>
      </w:r>
      <w:r w:rsidR="00823F92">
        <w:rPr>
          <w:lang w:val="en-US"/>
        </w:rPr>
        <w:t xml:space="preserve"> </w:t>
      </w:r>
      <w:r w:rsidRPr="00FC3E34">
        <w:rPr>
          <w:lang w:val="en-US"/>
        </w:rPr>
        <w:t>see</w:t>
      </w:r>
      <w:r w:rsidR="00823F92" w:rsidRPr="00FC3E34">
        <w:rPr>
          <w:lang w:val="en-US"/>
        </w:rPr>
        <w:t>n</w:t>
      </w:r>
      <w:r w:rsidR="00823F92">
        <w:rPr>
          <w:lang w:val="en-US"/>
        </w:rPr>
        <w:t xml:space="preserve"> </w:t>
      </w:r>
      <w:r w:rsidRPr="00FC3E34">
        <w:rPr>
          <w:lang w:val="en-US"/>
        </w:rPr>
        <w:t>a</w:t>
      </w:r>
      <w:r w:rsidR="00823F92" w:rsidRPr="00FC3E34">
        <w:rPr>
          <w:lang w:val="en-US"/>
        </w:rPr>
        <w:t>s</w:t>
      </w:r>
      <w:r w:rsidR="00823F92">
        <w:rPr>
          <w:lang w:val="en-US"/>
        </w:rPr>
        <w:t xml:space="preserve"> </w:t>
      </w:r>
      <w:r w:rsidRPr="00FC3E34">
        <w:rPr>
          <w:lang w:val="en-US"/>
        </w:rPr>
        <w:t>unsaf</w:t>
      </w:r>
      <w:r w:rsidR="00823F92" w:rsidRPr="00FC3E34">
        <w:rPr>
          <w:lang w:val="en-US"/>
        </w:rPr>
        <w:t>e</w:t>
      </w:r>
      <w:r w:rsidR="00823F92">
        <w:rPr>
          <w:lang w:val="en-US"/>
        </w:rPr>
        <w:t xml:space="preserve"> </w:t>
      </w:r>
      <w:r w:rsidRPr="00FC3E34">
        <w:rPr>
          <w:lang w:val="en-US"/>
        </w:rPr>
        <w:t>an</w:t>
      </w:r>
      <w:r w:rsidR="00823F92" w:rsidRPr="00FC3E34">
        <w:rPr>
          <w:lang w:val="en-US"/>
        </w:rPr>
        <w:t>d</w:t>
      </w:r>
      <w:r w:rsidR="00823F92">
        <w:rPr>
          <w:lang w:val="en-US"/>
        </w:rPr>
        <w:t xml:space="preserve"> </w:t>
      </w:r>
      <w:r w:rsidRPr="00FC3E34">
        <w:rPr>
          <w:lang w:val="en-US"/>
        </w:rPr>
        <w:t>exposur</w:t>
      </w:r>
      <w:r w:rsidR="00823F92" w:rsidRPr="00FC3E34">
        <w:rPr>
          <w:lang w:val="en-US"/>
        </w:rPr>
        <w:t>e</w:t>
      </w:r>
      <w:r w:rsidR="00823F92">
        <w:rPr>
          <w:lang w:val="en-US"/>
        </w:rPr>
        <w:t xml:space="preserve"> </w:t>
      </w:r>
      <w:r w:rsidRPr="00FC3E34">
        <w:rPr>
          <w:lang w:val="en-US"/>
        </w:rPr>
        <w:t>t</w:t>
      </w:r>
      <w:r w:rsidR="00823F92" w:rsidRPr="00FC3E34">
        <w:rPr>
          <w:lang w:val="en-US"/>
        </w:rPr>
        <w:t>o</w:t>
      </w:r>
      <w:r w:rsidR="00823F92">
        <w:rPr>
          <w:lang w:val="en-US"/>
        </w:rPr>
        <w:t xml:space="preserve"> </w:t>
      </w:r>
      <w:r w:rsidRPr="00FC3E34">
        <w:rPr>
          <w:lang w:val="en-US"/>
        </w:rPr>
        <w:t>patien</w:t>
      </w:r>
      <w:r w:rsidR="00823F92" w:rsidRPr="00FC3E34">
        <w:rPr>
          <w:lang w:val="en-US"/>
        </w:rPr>
        <w:t>t</w:t>
      </w:r>
      <w:r w:rsidR="00823F92">
        <w:rPr>
          <w:lang w:val="en-US"/>
        </w:rPr>
        <w:t xml:space="preserve"> </w:t>
      </w:r>
      <w:r w:rsidRPr="00FC3E34">
        <w:rPr>
          <w:lang w:val="en-US"/>
        </w:rPr>
        <w:t>recover</w:t>
      </w:r>
      <w:r w:rsidR="00823F92" w:rsidRPr="00FC3E34">
        <w:rPr>
          <w:lang w:val="en-US"/>
        </w:rPr>
        <w:t>y</w:t>
      </w:r>
      <w:r w:rsidR="00823F92">
        <w:rPr>
          <w:lang w:val="en-US"/>
        </w:rPr>
        <w:t xml:space="preserve"> </w:t>
      </w:r>
      <w:r w:rsidRPr="00FC3E34">
        <w:rPr>
          <w:lang w:val="en-US"/>
        </w:rPr>
        <w:t>i</w:t>
      </w:r>
      <w:r w:rsidR="00823F92" w:rsidRPr="00FC3E34">
        <w:rPr>
          <w:lang w:val="en-US"/>
        </w:rPr>
        <w:t>s</w:t>
      </w:r>
      <w:r w:rsidR="00823F92">
        <w:rPr>
          <w:lang w:val="en-US"/>
        </w:rPr>
        <w:t xml:space="preserve"> </w:t>
      </w:r>
      <w:r w:rsidRPr="00FC3E34">
        <w:rPr>
          <w:lang w:val="en-US"/>
        </w:rPr>
        <w:t>limited</w:t>
      </w:r>
      <w:r w:rsidR="00823F92" w:rsidRPr="00FC3E34">
        <w:rPr>
          <w:lang w:val="en-US"/>
        </w:rPr>
        <w:t>,</w:t>
      </w:r>
      <w:r w:rsidR="00823F92">
        <w:rPr>
          <w:lang w:val="en-US"/>
        </w:rPr>
        <w:t xml:space="preserve"> </w:t>
      </w:r>
      <w:r w:rsidRPr="00FC3E34">
        <w:rPr>
          <w:lang w:val="en-US"/>
        </w:rPr>
        <w:t>whic</w:t>
      </w:r>
      <w:r w:rsidR="00823F92" w:rsidRPr="00FC3E34">
        <w:rPr>
          <w:lang w:val="en-US"/>
        </w:rPr>
        <w:t>h</w:t>
      </w:r>
      <w:r w:rsidR="00823F92">
        <w:rPr>
          <w:lang w:val="en-US"/>
        </w:rPr>
        <w:t xml:space="preserve"> </w:t>
      </w:r>
      <w:r w:rsidRPr="00FC3E34">
        <w:rPr>
          <w:lang w:val="en-US"/>
        </w:rPr>
        <w:t>reduce</w:t>
      </w:r>
      <w:r w:rsidR="00823F92" w:rsidRPr="00FC3E34">
        <w:rPr>
          <w:lang w:val="en-US"/>
        </w:rPr>
        <w:t>s</w:t>
      </w:r>
      <w:r w:rsidR="00823F92">
        <w:rPr>
          <w:lang w:val="en-US"/>
        </w:rPr>
        <w:t xml:space="preserve"> </w:t>
      </w:r>
      <w:r w:rsidRPr="00FC3E34">
        <w:rPr>
          <w:lang w:val="en-US"/>
        </w:rPr>
        <w:t>th</w:t>
      </w:r>
      <w:r w:rsidR="00823F92" w:rsidRPr="00FC3E34">
        <w:rPr>
          <w:lang w:val="en-US"/>
        </w:rPr>
        <w:t>e</w:t>
      </w:r>
      <w:r w:rsidR="00823F92">
        <w:rPr>
          <w:lang w:val="en-US"/>
        </w:rPr>
        <w:t xml:space="preserve"> </w:t>
      </w:r>
      <w:r w:rsidRPr="00FC3E34">
        <w:rPr>
          <w:lang w:val="en-US"/>
        </w:rPr>
        <w:t>proportio</w:t>
      </w:r>
      <w:r w:rsidR="00823F92" w:rsidRPr="00FC3E34">
        <w:rPr>
          <w:lang w:val="en-US"/>
        </w:rPr>
        <w:t>n</w:t>
      </w:r>
      <w:r w:rsidR="00823F92">
        <w:rPr>
          <w:lang w:val="en-US"/>
        </w:rPr>
        <w:t xml:space="preserve"> </w:t>
      </w:r>
      <w:r w:rsidRPr="00FC3E34">
        <w:rPr>
          <w:lang w:val="en-US"/>
        </w:rPr>
        <w:t>o</w:t>
      </w:r>
      <w:r w:rsidR="00823F92" w:rsidRPr="00FC3E34">
        <w:rPr>
          <w:lang w:val="en-US"/>
        </w:rPr>
        <w:t>f</w:t>
      </w:r>
      <w:r w:rsidR="00823F92">
        <w:rPr>
          <w:lang w:val="en-US"/>
        </w:rPr>
        <w:t xml:space="preserve"> </w:t>
      </w:r>
      <w:r w:rsidRPr="00FC3E34">
        <w:rPr>
          <w:lang w:val="en-US"/>
        </w:rPr>
        <w:t>graduate</w:t>
      </w:r>
      <w:r w:rsidR="00823F92" w:rsidRPr="00FC3E34">
        <w:rPr>
          <w:lang w:val="en-US"/>
        </w:rPr>
        <w:t>s</w:t>
      </w:r>
      <w:r w:rsidR="00823F92">
        <w:rPr>
          <w:lang w:val="en-US"/>
        </w:rPr>
        <w:t xml:space="preserve"> </w:t>
      </w:r>
      <w:r w:rsidRPr="00FC3E34">
        <w:rPr>
          <w:lang w:val="en-US"/>
        </w:rPr>
        <w:t>wh</w:t>
      </w:r>
      <w:r w:rsidR="00823F92" w:rsidRPr="00FC3E34">
        <w:rPr>
          <w:lang w:val="en-US"/>
        </w:rPr>
        <w:t>o</w:t>
      </w:r>
      <w:r w:rsidR="00823F92">
        <w:rPr>
          <w:lang w:val="en-US"/>
        </w:rPr>
        <w:t xml:space="preserve"> </w:t>
      </w:r>
      <w:r w:rsidRPr="00FC3E34">
        <w:rPr>
          <w:lang w:val="en-US"/>
        </w:rPr>
        <w:t>g</w:t>
      </w:r>
      <w:r w:rsidR="00823F92" w:rsidRPr="00FC3E34">
        <w:rPr>
          <w:lang w:val="en-US"/>
        </w:rPr>
        <w:t>o</w:t>
      </w:r>
      <w:r w:rsidR="00823F92">
        <w:rPr>
          <w:lang w:val="en-US"/>
        </w:rPr>
        <w:t xml:space="preserve"> </w:t>
      </w:r>
      <w:r w:rsidRPr="00FC3E34">
        <w:rPr>
          <w:lang w:val="en-US"/>
        </w:rPr>
        <w:t>o</w:t>
      </w:r>
      <w:r w:rsidR="00823F92" w:rsidRPr="00FC3E34">
        <w:rPr>
          <w:lang w:val="en-US"/>
        </w:rPr>
        <w:t>n</w:t>
      </w:r>
      <w:r w:rsidR="00823F92">
        <w:rPr>
          <w:lang w:val="en-US"/>
        </w:rPr>
        <w:t xml:space="preserve"> </w:t>
      </w:r>
      <w:r w:rsidRPr="00FC3E34">
        <w:rPr>
          <w:lang w:val="en-US"/>
        </w:rPr>
        <w:t>t</w:t>
      </w:r>
      <w:r w:rsidR="00823F92" w:rsidRPr="00FC3E34">
        <w:rPr>
          <w:lang w:val="en-US"/>
        </w:rPr>
        <w:t>o</w:t>
      </w:r>
      <w:r w:rsidR="00823F92">
        <w:rPr>
          <w:lang w:val="en-US"/>
        </w:rPr>
        <w:t xml:space="preserve"> </w:t>
      </w:r>
      <w:proofErr w:type="spellStart"/>
      <w:r w:rsidRPr="00FC3E34">
        <w:rPr>
          <w:lang w:val="en-US"/>
        </w:rPr>
        <w:t>specialis</w:t>
      </w:r>
      <w:r w:rsidR="00823F92" w:rsidRPr="00FC3E34">
        <w:rPr>
          <w:lang w:val="en-US"/>
        </w:rPr>
        <w:t>e</w:t>
      </w:r>
      <w:proofErr w:type="spellEnd"/>
      <w:r w:rsidR="00823F92">
        <w:rPr>
          <w:lang w:val="en-US"/>
        </w:rPr>
        <w:t xml:space="preserve"> </w:t>
      </w:r>
      <w:r w:rsidRPr="00FC3E34">
        <w:rPr>
          <w:lang w:val="en-US"/>
        </w:rPr>
        <w:t>i</w:t>
      </w:r>
      <w:r w:rsidR="00823F92" w:rsidRPr="00FC3E34">
        <w:rPr>
          <w:lang w:val="en-US"/>
        </w:rPr>
        <w:t>n</w:t>
      </w:r>
      <w:r w:rsidR="00823F92">
        <w:rPr>
          <w:lang w:val="en-US"/>
        </w:rPr>
        <w:t xml:space="preserve"> </w:t>
      </w:r>
      <w:r w:rsidRPr="00FC3E34">
        <w:rPr>
          <w:lang w:val="en-US"/>
        </w:rPr>
        <w:t>psychiatry</w:t>
      </w:r>
      <w:r w:rsidR="00823F92" w:rsidRPr="00FC3E34">
        <w:rPr>
          <w:lang w:val="en-US"/>
        </w:rPr>
        <w:t>.</w:t>
      </w:r>
      <w:r w:rsidR="00823F92">
        <w:rPr>
          <w:lang w:val="en-US"/>
        </w:rPr>
        <w:t xml:space="preserve"> </w:t>
      </w:r>
      <w:r w:rsidR="00AF5330" w:rsidRPr="00FC3E34">
        <w:rPr>
          <w:lang w:val="en-US"/>
        </w:rPr>
        <w:t>I</w:t>
      </w:r>
      <w:r w:rsidR="00823F92" w:rsidRPr="00FC3E34">
        <w:rPr>
          <w:lang w:val="en-US"/>
        </w:rPr>
        <w:t>n</w:t>
      </w:r>
      <w:r w:rsidR="00823F92">
        <w:rPr>
          <w:lang w:val="en-US"/>
        </w:rPr>
        <w:t xml:space="preserve"> </w:t>
      </w:r>
      <w:r w:rsidR="00AF5330" w:rsidRPr="00FC3E34">
        <w:rPr>
          <w:lang w:val="en-US"/>
        </w:rPr>
        <w:t>addition</w:t>
      </w:r>
      <w:r w:rsidR="00823F92" w:rsidRPr="00FC3E34">
        <w:rPr>
          <w:lang w:val="en-US"/>
        </w:rPr>
        <w:t>,</w:t>
      </w:r>
      <w:r w:rsidR="00823F92">
        <w:rPr>
          <w:lang w:val="en-US"/>
        </w:rPr>
        <w:t xml:space="preserve"> </w:t>
      </w:r>
      <w:r w:rsidR="00AF5330" w:rsidRPr="00FC3E34">
        <w:rPr>
          <w:lang w:val="en-US"/>
        </w:rPr>
        <w:t>ther</w:t>
      </w:r>
      <w:r w:rsidR="00823F92" w:rsidRPr="00FC3E34">
        <w:rPr>
          <w:lang w:val="en-US"/>
        </w:rPr>
        <w:t>e</w:t>
      </w:r>
      <w:r w:rsidR="00823F92">
        <w:rPr>
          <w:lang w:val="en-US"/>
        </w:rPr>
        <w:t xml:space="preserve"> </w:t>
      </w:r>
      <w:r w:rsidR="00D92579" w:rsidRPr="00FC3E34">
        <w:rPr>
          <w:lang w:val="en-US"/>
        </w:rPr>
        <w:t>ar</w:t>
      </w:r>
      <w:r w:rsidR="00823F92" w:rsidRPr="00FC3E34">
        <w:rPr>
          <w:lang w:val="en-US"/>
        </w:rPr>
        <w:t>e</w:t>
      </w:r>
      <w:r w:rsidR="00823F92">
        <w:rPr>
          <w:lang w:val="en-US"/>
        </w:rPr>
        <w:t xml:space="preserve"> </w:t>
      </w:r>
      <w:r w:rsidR="00AF5330" w:rsidRPr="00FC3E34">
        <w:rPr>
          <w:lang w:val="en-US"/>
        </w:rPr>
        <w:t>limitation</w:t>
      </w:r>
      <w:r w:rsidR="00823F92" w:rsidRPr="00FC3E34">
        <w:rPr>
          <w:lang w:val="en-US"/>
        </w:rPr>
        <w:t>s</w:t>
      </w:r>
      <w:r w:rsidR="00823F92">
        <w:rPr>
          <w:lang w:val="en-US"/>
        </w:rPr>
        <w:t xml:space="preserve"> </w:t>
      </w:r>
      <w:r w:rsidR="00AF5330" w:rsidRPr="00FC3E34">
        <w:rPr>
          <w:lang w:val="en-US"/>
        </w:rPr>
        <w:t>o</w:t>
      </w:r>
      <w:r w:rsidR="00823F92" w:rsidRPr="00FC3E34">
        <w:rPr>
          <w:lang w:val="en-US"/>
        </w:rPr>
        <w:t>n</w:t>
      </w:r>
      <w:r w:rsidR="00823F92">
        <w:rPr>
          <w:lang w:val="en-US"/>
        </w:rPr>
        <w:t xml:space="preserve"> </w:t>
      </w:r>
      <w:r w:rsidR="00AF5330" w:rsidRPr="00FC3E34">
        <w:rPr>
          <w:lang w:val="en-US"/>
        </w:rPr>
        <w:t>th</w:t>
      </w:r>
      <w:r w:rsidR="00823F92" w:rsidRPr="00FC3E34">
        <w:rPr>
          <w:lang w:val="en-US"/>
        </w:rPr>
        <w:t>e</w:t>
      </w:r>
      <w:r w:rsidR="00823F92">
        <w:rPr>
          <w:lang w:val="en-US"/>
        </w:rPr>
        <w:t xml:space="preserve"> </w:t>
      </w:r>
      <w:r w:rsidR="00AF5330" w:rsidRPr="00FC3E34">
        <w:rPr>
          <w:lang w:val="en-US"/>
        </w:rPr>
        <w:t>numbe</w:t>
      </w:r>
      <w:r w:rsidR="00823F92" w:rsidRPr="00FC3E34">
        <w:rPr>
          <w:lang w:val="en-US"/>
        </w:rPr>
        <w:t>r</w:t>
      </w:r>
      <w:r w:rsidR="00823F92">
        <w:rPr>
          <w:lang w:val="en-US"/>
        </w:rPr>
        <w:t xml:space="preserve"> </w:t>
      </w:r>
      <w:r w:rsidR="00AF5330" w:rsidRPr="00FC3E34">
        <w:rPr>
          <w:lang w:val="en-US"/>
        </w:rPr>
        <w:t>o</w:t>
      </w:r>
      <w:r w:rsidR="00823F92" w:rsidRPr="00FC3E34">
        <w:rPr>
          <w:lang w:val="en-US"/>
        </w:rPr>
        <w:t>f</w:t>
      </w:r>
      <w:r w:rsidR="00823F92">
        <w:rPr>
          <w:lang w:val="en-US"/>
        </w:rPr>
        <w:t xml:space="preserve"> </w:t>
      </w:r>
      <w:r w:rsidR="00AF5330" w:rsidRPr="00FC3E34">
        <w:rPr>
          <w:lang w:val="en-US"/>
        </w:rPr>
        <w:t>psychiatr</w:t>
      </w:r>
      <w:r w:rsidR="00823F92" w:rsidRPr="00FC3E34">
        <w:rPr>
          <w:lang w:val="en-US"/>
        </w:rPr>
        <w:t>y</w:t>
      </w:r>
      <w:r w:rsidR="00823F92">
        <w:rPr>
          <w:lang w:val="en-US"/>
        </w:rPr>
        <w:t xml:space="preserve"> </w:t>
      </w:r>
      <w:r w:rsidR="0068302E" w:rsidRPr="00FC3E34">
        <w:rPr>
          <w:lang w:val="en-US"/>
        </w:rPr>
        <w:t>trainin</w:t>
      </w:r>
      <w:r w:rsidR="00823F92" w:rsidRPr="00FC3E34">
        <w:rPr>
          <w:lang w:val="en-US"/>
        </w:rPr>
        <w:t>g</w:t>
      </w:r>
      <w:r w:rsidR="00823F92">
        <w:rPr>
          <w:lang w:val="en-US"/>
        </w:rPr>
        <w:t xml:space="preserve"> </w:t>
      </w:r>
      <w:r w:rsidR="0068302E" w:rsidRPr="00FC3E34">
        <w:rPr>
          <w:lang w:val="en-US"/>
        </w:rPr>
        <w:t>place</w:t>
      </w:r>
      <w:r w:rsidR="00823F92" w:rsidRPr="00FC3E34">
        <w:rPr>
          <w:lang w:val="en-US"/>
        </w:rPr>
        <w:t>s</w:t>
      </w:r>
      <w:r w:rsidR="00823F92">
        <w:rPr>
          <w:lang w:val="en-US"/>
        </w:rPr>
        <w:t xml:space="preserve"> </w:t>
      </w:r>
      <w:r w:rsidR="00AF5330" w:rsidRPr="00FC3E34">
        <w:rPr>
          <w:lang w:val="en-US"/>
        </w:rPr>
        <w:t>availabl</w:t>
      </w:r>
      <w:r w:rsidR="00823F92" w:rsidRPr="00FC3E34">
        <w:rPr>
          <w:lang w:val="en-US"/>
        </w:rPr>
        <w:t>e</w:t>
      </w:r>
      <w:r w:rsidR="00823F92">
        <w:rPr>
          <w:lang w:val="en-US"/>
        </w:rPr>
        <w:t xml:space="preserve"> </w:t>
      </w:r>
      <w:r w:rsidR="00AF5330" w:rsidRPr="00FC3E34">
        <w:rPr>
          <w:lang w:val="en-US"/>
        </w:rPr>
        <w:t>du</w:t>
      </w:r>
      <w:r w:rsidR="00823F92" w:rsidRPr="00FC3E34">
        <w:rPr>
          <w:lang w:val="en-US"/>
        </w:rPr>
        <w:t>e</w:t>
      </w:r>
      <w:r w:rsidR="00823F92">
        <w:rPr>
          <w:lang w:val="en-US"/>
        </w:rPr>
        <w:t xml:space="preserve"> </w:t>
      </w:r>
      <w:r w:rsidR="00AF5330" w:rsidRPr="00FC3E34">
        <w:rPr>
          <w:lang w:val="en-US"/>
        </w:rPr>
        <w:t>t</w:t>
      </w:r>
      <w:r w:rsidR="00823F92" w:rsidRPr="00FC3E34">
        <w:rPr>
          <w:lang w:val="en-US"/>
        </w:rPr>
        <w:t>o</w:t>
      </w:r>
      <w:r w:rsidR="00823F92">
        <w:rPr>
          <w:lang w:val="en-US"/>
        </w:rPr>
        <w:t xml:space="preserve"> </w:t>
      </w:r>
      <w:r w:rsidR="0068302E" w:rsidRPr="00FC3E34">
        <w:rPr>
          <w:lang w:val="en-US"/>
        </w:rPr>
        <w:t>stat</w:t>
      </w:r>
      <w:r w:rsidR="00823F92" w:rsidRPr="00FC3E34">
        <w:rPr>
          <w:lang w:val="en-US"/>
        </w:rPr>
        <w:t>e</w:t>
      </w:r>
      <w:r w:rsidR="00823F92">
        <w:rPr>
          <w:lang w:val="en-US"/>
        </w:rPr>
        <w:t xml:space="preserve"> </w:t>
      </w:r>
      <w:r w:rsidR="0068302E" w:rsidRPr="00FC3E34">
        <w:rPr>
          <w:lang w:val="en-US"/>
        </w:rPr>
        <w:t>/ territor</w:t>
      </w:r>
      <w:r w:rsidR="00823F92" w:rsidRPr="00FC3E34">
        <w:rPr>
          <w:lang w:val="en-US"/>
        </w:rPr>
        <w:t>y</w:t>
      </w:r>
      <w:r w:rsidR="00823F92">
        <w:rPr>
          <w:lang w:val="en-US"/>
        </w:rPr>
        <w:t xml:space="preserve"> </w:t>
      </w:r>
      <w:r w:rsidR="0068302E" w:rsidRPr="00FC3E34">
        <w:rPr>
          <w:lang w:val="en-US"/>
        </w:rPr>
        <w:t>governmen</w:t>
      </w:r>
      <w:r w:rsidR="00823F92" w:rsidRPr="00FC3E34">
        <w:rPr>
          <w:lang w:val="en-US"/>
        </w:rPr>
        <w:t>t</w:t>
      </w:r>
      <w:r w:rsidR="00823F92">
        <w:rPr>
          <w:lang w:val="en-US"/>
        </w:rPr>
        <w:t xml:space="preserve"> </w:t>
      </w:r>
      <w:r w:rsidR="00AF5330" w:rsidRPr="00FC3E34">
        <w:rPr>
          <w:lang w:val="en-US"/>
        </w:rPr>
        <w:t>fundin</w:t>
      </w:r>
      <w:r w:rsidR="00823F92" w:rsidRPr="00FC3E34">
        <w:rPr>
          <w:lang w:val="en-US"/>
        </w:rPr>
        <w:t>g</w:t>
      </w:r>
      <w:r w:rsidR="00823F92">
        <w:rPr>
          <w:lang w:val="en-US"/>
        </w:rPr>
        <w:t xml:space="preserve"> </w:t>
      </w:r>
      <w:r w:rsidR="00AF5330" w:rsidRPr="00FC3E34">
        <w:rPr>
          <w:lang w:val="en-US"/>
        </w:rPr>
        <w:t>arrangement</w:t>
      </w:r>
      <w:r w:rsidR="00823F92" w:rsidRPr="00FC3E34">
        <w:rPr>
          <w:lang w:val="en-US"/>
        </w:rPr>
        <w:t>s</w:t>
      </w:r>
      <w:r w:rsidR="00823F92">
        <w:rPr>
          <w:lang w:val="en-US"/>
        </w:rPr>
        <w:t xml:space="preserve"> </w:t>
      </w:r>
      <w:r w:rsidR="00AF5330" w:rsidRPr="00FC3E34">
        <w:rPr>
          <w:lang w:val="en-US"/>
        </w:rPr>
        <w:t>an</w:t>
      </w:r>
      <w:r w:rsidR="00823F92" w:rsidRPr="00FC3E34">
        <w:rPr>
          <w:lang w:val="en-US"/>
        </w:rPr>
        <w:t>d</w:t>
      </w:r>
      <w:r w:rsidR="00823F92">
        <w:rPr>
          <w:lang w:val="en-US"/>
        </w:rPr>
        <w:t xml:space="preserve"> </w:t>
      </w:r>
      <w:r w:rsidR="00AF5330" w:rsidRPr="00FC3E34">
        <w:rPr>
          <w:lang w:val="en-US"/>
        </w:rPr>
        <w:t>th</w:t>
      </w:r>
      <w:r w:rsidR="00823F92" w:rsidRPr="00FC3E34">
        <w:rPr>
          <w:lang w:val="en-US"/>
        </w:rPr>
        <w:t>e</w:t>
      </w:r>
      <w:r w:rsidR="00823F92">
        <w:rPr>
          <w:lang w:val="en-US"/>
        </w:rPr>
        <w:t xml:space="preserve"> </w:t>
      </w:r>
      <w:r w:rsidR="00AF5330" w:rsidRPr="00FC3E34">
        <w:rPr>
          <w:lang w:val="en-US"/>
        </w:rPr>
        <w:t>RANZCP</w:t>
      </w:r>
      <w:r w:rsidR="000F40E0" w:rsidRPr="00FC3E34">
        <w:rPr>
          <w:lang w:val="en-US"/>
        </w:rPr>
        <w:t>’</w:t>
      </w:r>
      <w:r w:rsidR="00823F92" w:rsidRPr="00FC3E34">
        <w:rPr>
          <w:lang w:val="en-US"/>
        </w:rPr>
        <w:t>s</w:t>
      </w:r>
      <w:r w:rsidR="00823F92">
        <w:rPr>
          <w:lang w:val="en-US"/>
        </w:rPr>
        <w:t xml:space="preserve"> </w:t>
      </w:r>
      <w:r w:rsidR="000F40E0" w:rsidRPr="00FC3E34">
        <w:rPr>
          <w:lang w:val="en-US"/>
        </w:rPr>
        <w:t>requirements</w:t>
      </w:r>
      <w:r w:rsidR="00823F92" w:rsidRPr="00FC3E34">
        <w:rPr>
          <w:lang w:val="en-US"/>
        </w:rPr>
        <w:t>.</w:t>
      </w:r>
      <w:r w:rsidR="00823F92">
        <w:rPr>
          <w:lang w:val="en-US"/>
        </w:rPr>
        <w:t xml:space="preserve"> </w:t>
      </w:r>
    </w:p>
    <w:p w14:paraId="171DABBA" w14:textId="77777777" w:rsidR="00D01EE4" w:rsidRDefault="00D01EE4" w:rsidP="00D01EE4">
      <w:pPr>
        <w:pStyle w:val="Heading3"/>
      </w:pPr>
      <w:r>
        <w:t>Psychology</w:t>
      </w:r>
    </w:p>
    <w:p w14:paraId="431E3965" w14:textId="226D957C" w:rsidR="001D4229" w:rsidRDefault="00000E22" w:rsidP="00A24286">
      <w:pPr>
        <w:pStyle w:val="BodyText"/>
      </w:pPr>
      <w:r>
        <w:t>Unlik</w:t>
      </w:r>
      <w:r w:rsidR="00823F92">
        <w:t xml:space="preserve">e </w:t>
      </w:r>
      <w:r>
        <w:t>som</w:t>
      </w:r>
      <w:r w:rsidR="00823F92">
        <w:t xml:space="preserve">e </w:t>
      </w:r>
      <w:r>
        <w:t>othe</w:t>
      </w:r>
      <w:r w:rsidR="00823F92">
        <w:t xml:space="preserve">r </w:t>
      </w:r>
      <w:r>
        <w:t>occupation</w:t>
      </w:r>
      <w:r w:rsidR="00823F92">
        <w:t xml:space="preserve">s </w:t>
      </w:r>
      <w:r>
        <w:t>i</w:t>
      </w:r>
      <w:r w:rsidR="00823F92">
        <w:t xml:space="preserve">n </w:t>
      </w:r>
      <w:r>
        <w:t>th</w:t>
      </w:r>
      <w:r w:rsidR="00823F92">
        <w:t xml:space="preserve">e </w:t>
      </w:r>
      <w:r>
        <w:t>menta</w:t>
      </w:r>
      <w:r w:rsidR="00823F92">
        <w:t xml:space="preserve">l </w:t>
      </w:r>
      <w:r>
        <w:t>healt</w:t>
      </w:r>
      <w:r w:rsidR="00823F92">
        <w:t xml:space="preserve">h </w:t>
      </w:r>
      <w:r>
        <w:t>sector</w:t>
      </w:r>
      <w:r w:rsidR="00823F92">
        <w:t xml:space="preserve">, </w:t>
      </w:r>
      <w:r>
        <w:t>p</w:t>
      </w:r>
      <w:r w:rsidR="00A24286">
        <w:t>sycholog</w:t>
      </w:r>
      <w:r w:rsidR="00823F92">
        <w:t xml:space="preserve">y </w:t>
      </w:r>
      <w:r>
        <w:t>program</w:t>
      </w:r>
      <w:r w:rsidR="00823F92">
        <w:t xml:space="preserve">s </w:t>
      </w:r>
      <w:r>
        <w:t>ofte</w:t>
      </w:r>
      <w:r w:rsidR="00823F92">
        <w:t xml:space="preserve">n </w:t>
      </w:r>
      <w:r>
        <w:t>hav</w:t>
      </w:r>
      <w:r w:rsidR="00823F92">
        <w:t xml:space="preserve">e a </w:t>
      </w:r>
      <w:r>
        <w:t>hig</w:t>
      </w:r>
      <w:r w:rsidR="00823F92">
        <w:t xml:space="preserve">h </w:t>
      </w:r>
      <w:r>
        <w:t>leve</w:t>
      </w:r>
      <w:r w:rsidR="00823F92">
        <w:t xml:space="preserve">l </w:t>
      </w:r>
      <w:r>
        <w:t>o</w:t>
      </w:r>
      <w:r w:rsidR="00823F92">
        <w:t xml:space="preserve">f </w:t>
      </w:r>
      <w:r>
        <w:t>application</w:t>
      </w:r>
      <w:r w:rsidR="00823F92">
        <w:t xml:space="preserve">s </w:t>
      </w:r>
      <w:r w:rsidR="00B700EA">
        <w:t>fo</w:t>
      </w:r>
      <w:r w:rsidR="00823F92">
        <w:t xml:space="preserve">r </w:t>
      </w:r>
      <w:r w:rsidR="00B700EA">
        <w:t>th</w:t>
      </w:r>
      <w:r w:rsidR="00823F92">
        <w:t xml:space="preserve">e </w:t>
      </w:r>
      <w:r w:rsidR="00B700EA">
        <w:t>numbe</w:t>
      </w:r>
      <w:r w:rsidR="00823F92">
        <w:t xml:space="preserve">r </w:t>
      </w:r>
      <w:r w:rsidR="00B700EA">
        <w:t>o</w:t>
      </w:r>
      <w:r w:rsidR="00823F92">
        <w:t xml:space="preserve">f </w:t>
      </w:r>
      <w:r w:rsidR="00B700EA">
        <w:t>place</w:t>
      </w:r>
      <w:r w:rsidR="00823F92">
        <w:t xml:space="preserve">s </w:t>
      </w:r>
      <w:r w:rsidR="00B700EA">
        <w:t>available</w:t>
      </w:r>
      <w:r w:rsidR="00823F92">
        <w:t xml:space="preserve">. </w:t>
      </w:r>
      <w:r w:rsidR="00B700EA">
        <w:t>Thi</w:t>
      </w:r>
      <w:r w:rsidR="00823F92">
        <w:t xml:space="preserve">s </w:t>
      </w:r>
      <w:r w:rsidR="00B700EA">
        <w:t>i</w:t>
      </w:r>
      <w:r w:rsidR="00823F92">
        <w:t xml:space="preserve">s </w:t>
      </w:r>
      <w:r w:rsidR="00B700EA">
        <w:t>relevan</w:t>
      </w:r>
      <w:r w:rsidR="00823F92">
        <w:t xml:space="preserve">t </w:t>
      </w:r>
      <w:r w:rsidR="00B700EA">
        <w:t>fo</w:t>
      </w:r>
      <w:r w:rsidR="00823F92">
        <w:t xml:space="preserve">r </w:t>
      </w:r>
      <w:r w:rsidR="00B700EA">
        <w:t>bot</w:t>
      </w:r>
      <w:r w:rsidR="00823F92">
        <w:t xml:space="preserve">h </w:t>
      </w:r>
      <w:r w:rsidR="00B700EA">
        <w:t>undergraduat</w:t>
      </w:r>
      <w:r w:rsidR="00823F92">
        <w:t xml:space="preserve">e </w:t>
      </w:r>
      <w:r w:rsidR="00B700EA">
        <w:t>leve</w:t>
      </w:r>
      <w:r w:rsidR="00823F92">
        <w:t xml:space="preserve">l </w:t>
      </w:r>
      <w:r w:rsidR="00B700EA">
        <w:t>course</w:t>
      </w:r>
      <w:r w:rsidR="00823F92">
        <w:t xml:space="preserve">s </w:t>
      </w:r>
      <w:r w:rsidR="00B700EA">
        <w:t>an</w:t>
      </w:r>
      <w:r w:rsidR="00823F92">
        <w:t xml:space="preserve">d </w:t>
      </w:r>
      <w:r w:rsidR="00B700EA">
        <w:t>postgraduat</w:t>
      </w:r>
      <w:r w:rsidR="00823F92">
        <w:t xml:space="preserve">e </w:t>
      </w:r>
      <w:r w:rsidR="00B700EA">
        <w:t>qualifications</w:t>
      </w:r>
      <w:r w:rsidR="00823F92">
        <w:t xml:space="preserve">, </w:t>
      </w:r>
      <w:r w:rsidR="00B700EA">
        <w:t>whic</w:t>
      </w:r>
      <w:r w:rsidR="00823F92">
        <w:t xml:space="preserve">h </w:t>
      </w:r>
      <w:r w:rsidR="00B700EA">
        <w:t>ar</w:t>
      </w:r>
      <w:r w:rsidR="00823F92">
        <w:t xml:space="preserve">e a </w:t>
      </w:r>
      <w:r w:rsidR="00B700EA">
        <w:t>requiremen</w:t>
      </w:r>
      <w:r w:rsidR="00823F92">
        <w:t xml:space="preserve">t </w:t>
      </w:r>
      <w:r w:rsidR="001D4229">
        <w:t>t</w:t>
      </w:r>
      <w:r w:rsidR="00823F92">
        <w:t xml:space="preserve">o </w:t>
      </w:r>
      <w:r w:rsidR="001D4229">
        <w:t>becom</w:t>
      </w:r>
      <w:r w:rsidR="00823F92">
        <w:t xml:space="preserve">e </w:t>
      </w:r>
      <w:r w:rsidR="001D4229">
        <w:t>eithe</w:t>
      </w:r>
      <w:r w:rsidR="00823F92">
        <w:t xml:space="preserve">r </w:t>
      </w:r>
      <w:r w:rsidR="001D4229">
        <w:t>a</w:t>
      </w:r>
      <w:r w:rsidR="00823F92">
        <w:t xml:space="preserve">n </w:t>
      </w:r>
      <w:r w:rsidR="001D4229">
        <w:t>endorse</w:t>
      </w:r>
      <w:r w:rsidR="00823F92">
        <w:t xml:space="preserve">d </w:t>
      </w:r>
      <w:r w:rsidR="001D4229">
        <w:t>o</w:t>
      </w:r>
      <w:r w:rsidR="00823F92">
        <w:t xml:space="preserve">r </w:t>
      </w:r>
      <w:r w:rsidR="001D4229">
        <w:t>clinica</w:t>
      </w:r>
      <w:r w:rsidR="00823F92">
        <w:t xml:space="preserve">l </w:t>
      </w:r>
      <w:r w:rsidR="001D4229">
        <w:t>psychologist</w:t>
      </w:r>
      <w:r w:rsidR="00823F92">
        <w:t xml:space="preserve">. </w:t>
      </w:r>
    </w:p>
    <w:p w14:paraId="5C6E1B39" w14:textId="2D39C085" w:rsidR="00A24286" w:rsidRPr="00A24286" w:rsidRDefault="002409B5" w:rsidP="00A24286">
      <w:pPr>
        <w:pStyle w:val="BodyText"/>
        <w:sectPr w:rsidR="00A24286" w:rsidRPr="00A24286" w:rsidSect="0057448B">
          <w:headerReference w:type="even" r:id="rId45"/>
          <w:footerReference w:type="even" r:id="rId46"/>
          <w:headerReference w:type="first" r:id="rId47"/>
          <w:footerReference w:type="first" r:id="rId48"/>
          <w:pgSz w:w="11906" w:h="16838" w:code="9"/>
          <w:pgMar w:top="1701" w:right="1134" w:bottom="1134" w:left="1418" w:header="454" w:footer="159" w:gutter="0"/>
          <w:cols w:space="708"/>
          <w:docGrid w:linePitch="360"/>
        </w:sectPr>
      </w:pPr>
      <w:r>
        <w:t>Post-graduat</w:t>
      </w:r>
      <w:r w:rsidR="00823F92">
        <w:t xml:space="preserve">e </w:t>
      </w:r>
      <w:r>
        <w:t>psycholog</w:t>
      </w:r>
      <w:r w:rsidR="00823F92">
        <w:t xml:space="preserve">y </w:t>
      </w:r>
      <w:r w:rsidR="005F4A6A">
        <w:t>qualification</w:t>
      </w:r>
      <w:r w:rsidR="00823F92">
        <w:t xml:space="preserve">s </w:t>
      </w:r>
      <w:r w:rsidR="005F4A6A">
        <w:t>ar</w:t>
      </w:r>
      <w:r w:rsidR="00823F92">
        <w:t xml:space="preserve">e </w:t>
      </w:r>
      <w:r w:rsidR="005F4A6A">
        <w:t>resourc</w:t>
      </w:r>
      <w:r w:rsidR="00823F92">
        <w:t xml:space="preserve">e </w:t>
      </w:r>
      <w:r w:rsidR="005F4A6A">
        <w:t>intensiv</w:t>
      </w:r>
      <w:r w:rsidR="00823F92">
        <w:t xml:space="preserve">e </w:t>
      </w:r>
      <w:r w:rsidR="005F4A6A">
        <w:t>t</w:t>
      </w:r>
      <w:r w:rsidR="00823F92">
        <w:t xml:space="preserve">o </w:t>
      </w:r>
      <w:r w:rsidR="005F4A6A">
        <w:t>delive</w:t>
      </w:r>
      <w:r w:rsidR="00823F92">
        <w:t xml:space="preserve">r </w:t>
      </w:r>
      <w:r w:rsidR="005F4A6A">
        <w:t>du</w:t>
      </w:r>
      <w:r w:rsidR="00823F92">
        <w:t xml:space="preserve">e </w:t>
      </w:r>
      <w:r w:rsidR="005F4A6A">
        <w:t>t</w:t>
      </w:r>
      <w:r w:rsidR="00823F92">
        <w:t xml:space="preserve">o </w:t>
      </w:r>
      <w:r w:rsidR="005F4A6A">
        <w:t>th</w:t>
      </w:r>
      <w:r w:rsidR="00823F92">
        <w:t xml:space="preserve">e </w:t>
      </w:r>
      <w:r w:rsidR="005F4A6A">
        <w:t>supervisio</w:t>
      </w:r>
      <w:r w:rsidR="00823F92">
        <w:t xml:space="preserve">n </w:t>
      </w:r>
      <w:r w:rsidR="005F4A6A">
        <w:t>ratio</w:t>
      </w:r>
      <w:r w:rsidR="00823F92">
        <w:t xml:space="preserve">s </w:t>
      </w:r>
      <w:r w:rsidR="005F4A6A">
        <w:t>establishe</w:t>
      </w:r>
      <w:r w:rsidR="00823F92">
        <w:t xml:space="preserve">d </w:t>
      </w:r>
      <w:r w:rsidR="005F4A6A">
        <w:t>b</w:t>
      </w:r>
      <w:r w:rsidR="00823F92">
        <w:t xml:space="preserve">y </w:t>
      </w:r>
      <w:r w:rsidR="005F4A6A">
        <w:t>th</w:t>
      </w:r>
      <w:r w:rsidR="00823F92">
        <w:t xml:space="preserve">e </w:t>
      </w:r>
      <w:r w:rsidR="005F4A6A">
        <w:t>Austra</w:t>
      </w:r>
      <w:r>
        <w:t>lia</w:t>
      </w:r>
      <w:r w:rsidR="00823F92">
        <w:t xml:space="preserve">n </w:t>
      </w:r>
      <w:r>
        <w:t>Psycholog</w:t>
      </w:r>
      <w:r w:rsidR="00823F92">
        <w:t xml:space="preserve">y </w:t>
      </w:r>
      <w:r>
        <w:t>Accreditatio</w:t>
      </w:r>
      <w:r w:rsidR="00823F92">
        <w:t xml:space="preserve">n </w:t>
      </w:r>
      <w:r>
        <w:t>Council</w:t>
      </w:r>
      <w:r w:rsidR="00823F92">
        <w:t xml:space="preserve">. </w:t>
      </w:r>
      <w:r>
        <w:t>Thes</w:t>
      </w:r>
      <w:r w:rsidR="00823F92">
        <w:t xml:space="preserve">e </w:t>
      </w:r>
      <w:r>
        <w:t>program</w:t>
      </w:r>
      <w:r w:rsidR="00823F92">
        <w:t xml:space="preserve">s </w:t>
      </w:r>
      <w:r>
        <w:t>predominantl</w:t>
      </w:r>
      <w:r w:rsidR="00823F92">
        <w:t xml:space="preserve">y </w:t>
      </w:r>
      <w:r>
        <w:t>consis</w:t>
      </w:r>
      <w:r w:rsidR="00823F92">
        <w:t xml:space="preserve">t </w:t>
      </w:r>
      <w:r>
        <w:t>o</w:t>
      </w:r>
      <w:r w:rsidR="00823F92">
        <w:t xml:space="preserve">f </w:t>
      </w:r>
      <w:r>
        <w:t>Commonwealt</w:t>
      </w:r>
      <w:r w:rsidR="00823F92">
        <w:t xml:space="preserve">h </w:t>
      </w:r>
      <w:r>
        <w:t>Supporte</w:t>
      </w:r>
      <w:r w:rsidR="00823F92">
        <w:t xml:space="preserve">d </w:t>
      </w:r>
      <w:r>
        <w:t>Places</w:t>
      </w:r>
      <w:r w:rsidR="00823F92">
        <w:t xml:space="preserve">, </w:t>
      </w:r>
      <w:r>
        <w:t>thoug</w:t>
      </w:r>
      <w:r w:rsidR="00823F92">
        <w:t xml:space="preserve">h </w:t>
      </w:r>
      <w:r>
        <w:t>ther</w:t>
      </w:r>
      <w:r w:rsidR="00823F92">
        <w:t xml:space="preserve">e </w:t>
      </w:r>
      <w:r>
        <w:t>ar</w:t>
      </w:r>
      <w:r w:rsidR="00823F92">
        <w:t xml:space="preserve">e </w:t>
      </w:r>
      <w:r>
        <w:t>shift</w:t>
      </w:r>
      <w:r w:rsidR="00823F92">
        <w:t xml:space="preserve">s </w:t>
      </w:r>
      <w:r>
        <w:t>towar</w:t>
      </w:r>
      <w:r w:rsidR="00823F92">
        <w:t xml:space="preserve">d </w:t>
      </w:r>
      <w:r>
        <w:t>introducin</w:t>
      </w:r>
      <w:r w:rsidR="00823F92">
        <w:t xml:space="preserve">g </w:t>
      </w:r>
      <w:r>
        <w:t>ful</w:t>
      </w:r>
      <w:r w:rsidR="00823F92">
        <w:t xml:space="preserve">l </w:t>
      </w:r>
      <w:r>
        <w:t>fe</w:t>
      </w:r>
      <w:r w:rsidR="00823F92">
        <w:t xml:space="preserve">e </w:t>
      </w:r>
      <w:r>
        <w:t>position</w:t>
      </w:r>
      <w:r w:rsidR="00823F92">
        <w:t xml:space="preserve">s </w:t>
      </w:r>
      <w:r>
        <w:t>t</w:t>
      </w:r>
      <w:r w:rsidR="00823F92">
        <w:t xml:space="preserve">o </w:t>
      </w:r>
      <w:r>
        <w:t>hel</w:t>
      </w:r>
      <w:r w:rsidR="00823F92">
        <w:t xml:space="preserve">p </w:t>
      </w:r>
      <w:r>
        <w:t>mee</w:t>
      </w:r>
      <w:r w:rsidR="00823F92">
        <w:t xml:space="preserve">t </w:t>
      </w:r>
      <w:r>
        <w:t>demand</w:t>
      </w:r>
      <w:r w:rsidR="00823F92">
        <w:t xml:space="preserve">. </w:t>
      </w:r>
      <w:r w:rsidR="00666C58">
        <w:t>Whe</w:t>
      </w:r>
      <w:r w:rsidR="00823F92">
        <w:t xml:space="preserve">n </w:t>
      </w:r>
      <w:r w:rsidR="00666C58">
        <w:t>combined</w:t>
      </w:r>
      <w:r w:rsidR="00823F92">
        <w:t xml:space="preserve">, </w:t>
      </w:r>
      <w:r w:rsidR="00666C58">
        <w:t>thes</w:t>
      </w:r>
      <w:r w:rsidR="00823F92">
        <w:t xml:space="preserve">e </w:t>
      </w:r>
      <w:r w:rsidR="00666C58">
        <w:t>tw</w:t>
      </w:r>
      <w:r w:rsidR="00823F92">
        <w:t xml:space="preserve">o </w:t>
      </w:r>
      <w:r w:rsidR="00666C58">
        <w:t>factor</w:t>
      </w:r>
      <w:r w:rsidR="00823F92">
        <w:t xml:space="preserve">s </w:t>
      </w:r>
      <w:r w:rsidR="00666C58">
        <w:t>mea</w:t>
      </w:r>
      <w:r w:rsidR="00823F92">
        <w:t xml:space="preserve">n </w:t>
      </w:r>
      <w:r w:rsidR="00666C58">
        <w:t>tha</w:t>
      </w:r>
      <w:r w:rsidR="00823F92">
        <w:t xml:space="preserve">t </w:t>
      </w:r>
      <w:r w:rsidR="00666C58">
        <w:t>psycholog</w:t>
      </w:r>
      <w:r w:rsidR="00823F92">
        <w:t xml:space="preserve">y </w:t>
      </w:r>
      <w:r w:rsidR="00666C58">
        <w:t>program</w:t>
      </w:r>
      <w:r w:rsidR="00823F92">
        <w:t xml:space="preserve">s </w:t>
      </w:r>
      <w:r w:rsidR="00666C58">
        <w:t>ar</w:t>
      </w:r>
      <w:r w:rsidR="00823F92">
        <w:t xml:space="preserve">e </w:t>
      </w:r>
      <w:r w:rsidR="00666C58">
        <w:t>ofte</w:t>
      </w:r>
      <w:r w:rsidR="00823F92">
        <w:t xml:space="preserve">n </w:t>
      </w:r>
      <w:r w:rsidR="00666C58">
        <w:t>operate</w:t>
      </w:r>
      <w:r w:rsidR="00823F92">
        <w:t xml:space="preserve">d </w:t>
      </w:r>
      <w:r w:rsidR="00666C58">
        <w:t>a</w:t>
      </w:r>
      <w:r w:rsidR="00823F92">
        <w:t xml:space="preserve">t a </w:t>
      </w:r>
      <w:r w:rsidR="00666C58">
        <w:t>loss</w:t>
      </w:r>
      <w:r w:rsidR="00823F92">
        <w:t xml:space="preserve">. </w:t>
      </w:r>
      <w:r w:rsidR="007F21A1">
        <w:t>Thoug</w:t>
      </w:r>
      <w:r w:rsidR="00823F92">
        <w:t xml:space="preserve">h </w:t>
      </w:r>
      <w:r w:rsidR="007F21A1">
        <w:t>ther</w:t>
      </w:r>
      <w:r w:rsidR="00823F92">
        <w:t xml:space="preserve">e </w:t>
      </w:r>
      <w:r w:rsidR="007F21A1">
        <w:t>i</w:t>
      </w:r>
      <w:r w:rsidR="00823F92">
        <w:t xml:space="preserve">s </w:t>
      </w:r>
      <w:r w:rsidR="007F21A1">
        <w:t>stron</w:t>
      </w:r>
      <w:r w:rsidR="00823F92">
        <w:t xml:space="preserve">g </w:t>
      </w:r>
      <w:r w:rsidR="007F21A1">
        <w:t>deman</w:t>
      </w:r>
      <w:r w:rsidR="00823F92">
        <w:t xml:space="preserve">d </w:t>
      </w:r>
      <w:r w:rsidR="007F21A1">
        <w:t>fo</w:t>
      </w:r>
      <w:r w:rsidR="00823F92">
        <w:t xml:space="preserve">r </w:t>
      </w:r>
      <w:r w:rsidR="007F21A1">
        <w:t>places</w:t>
      </w:r>
      <w:r w:rsidR="00823F92">
        <w:t xml:space="preserve">, </w:t>
      </w:r>
      <w:r w:rsidR="007F21A1">
        <w:t>universitie</w:t>
      </w:r>
      <w:r w:rsidR="00823F92">
        <w:t xml:space="preserve">s </w:t>
      </w:r>
      <w:r w:rsidR="007F21A1">
        <w:t>ar</w:t>
      </w:r>
      <w:r w:rsidR="00823F92">
        <w:t xml:space="preserve">e </w:t>
      </w:r>
      <w:r w:rsidR="007F21A1">
        <w:t>generall</w:t>
      </w:r>
      <w:r w:rsidR="00823F92">
        <w:t xml:space="preserve">y </w:t>
      </w:r>
      <w:r w:rsidR="007F21A1">
        <w:t>unwill</w:t>
      </w:r>
      <w:r w:rsidR="00295CA4">
        <w:t>in</w:t>
      </w:r>
      <w:r w:rsidR="00823F92">
        <w:t xml:space="preserve">g </w:t>
      </w:r>
      <w:r w:rsidR="007F21A1">
        <w:t>t</w:t>
      </w:r>
      <w:r w:rsidR="00823F92">
        <w:t xml:space="preserve">o </w:t>
      </w:r>
      <w:r w:rsidR="007F21A1">
        <w:t>scal</w:t>
      </w:r>
      <w:r w:rsidR="00823F92">
        <w:t xml:space="preserve">e </w:t>
      </w:r>
      <w:r w:rsidR="007F21A1">
        <w:t>u</w:t>
      </w:r>
      <w:r w:rsidR="00823F92">
        <w:t xml:space="preserve">p </w:t>
      </w:r>
      <w:r w:rsidR="007F21A1">
        <w:t>deliver</w:t>
      </w:r>
      <w:r w:rsidR="00823F92">
        <w:t xml:space="preserve">y </w:t>
      </w:r>
      <w:r w:rsidR="007F21A1">
        <w:t>du</w:t>
      </w:r>
      <w:r w:rsidR="00823F92">
        <w:t xml:space="preserve">e </w:t>
      </w:r>
      <w:r w:rsidR="007F21A1">
        <w:t>t</w:t>
      </w:r>
      <w:r w:rsidR="00823F92">
        <w:t xml:space="preserve">o </w:t>
      </w:r>
      <w:r w:rsidR="007F21A1">
        <w:t>th</w:t>
      </w:r>
      <w:r w:rsidR="00823F92">
        <w:t xml:space="preserve">e </w:t>
      </w:r>
      <w:r w:rsidR="007F21A1">
        <w:t>financia</w:t>
      </w:r>
      <w:r w:rsidR="00823F92">
        <w:t xml:space="preserve">l </w:t>
      </w:r>
      <w:r w:rsidR="007F21A1">
        <w:t>implications</w:t>
      </w:r>
      <w:r w:rsidR="00823F92">
        <w:t xml:space="preserve">. </w:t>
      </w:r>
      <w:r w:rsidR="00295CA4">
        <w:t>Othe</w:t>
      </w:r>
      <w:r w:rsidR="00823F92">
        <w:t xml:space="preserve">r </w:t>
      </w:r>
      <w:r w:rsidR="00295CA4">
        <w:t>contributin</w:t>
      </w:r>
      <w:r w:rsidR="00823F92">
        <w:t xml:space="preserve">g </w:t>
      </w:r>
      <w:r w:rsidR="00295CA4">
        <w:t>factor</w:t>
      </w:r>
      <w:r w:rsidR="00823F92">
        <w:t xml:space="preserve">s </w:t>
      </w:r>
      <w:r w:rsidR="00295CA4">
        <w:t>ar</w:t>
      </w:r>
      <w:r w:rsidR="00823F92">
        <w:t xml:space="preserve">e </w:t>
      </w:r>
      <w:r w:rsidR="00295CA4">
        <w:t>acces</w:t>
      </w:r>
      <w:r w:rsidR="00823F92">
        <w:t xml:space="preserve">s </w:t>
      </w:r>
      <w:r w:rsidR="00295CA4">
        <w:t>t</w:t>
      </w:r>
      <w:r w:rsidR="00823F92">
        <w:t xml:space="preserve">o </w:t>
      </w:r>
      <w:r w:rsidR="00295CA4">
        <w:t>qualifie</w:t>
      </w:r>
      <w:r w:rsidR="00823F92">
        <w:t xml:space="preserve">d </w:t>
      </w:r>
      <w:r w:rsidR="00295CA4">
        <w:t>supervisor</w:t>
      </w:r>
      <w:r w:rsidR="00823F92">
        <w:t xml:space="preserve">s </w:t>
      </w:r>
      <w:r w:rsidR="00295CA4">
        <w:t>an</w:t>
      </w:r>
      <w:r w:rsidR="00823F92">
        <w:t xml:space="preserve">d </w:t>
      </w:r>
      <w:r w:rsidR="00295CA4">
        <w:t>acces</w:t>
      </w:r>
      <w:r w:rsidR="00823F92">
        <w:t xml:space="preserve">s </w:t>
      </w:r>
      <w:r w:rsidR="00295CA4">
        <w:t>t</w:t>
      </w:r>
      <w:r w:rsidR="00823F92">
        <w:t xml:space="preserve">o </w:t>
      </w:r>
      <w:r w:rsidR="00295CA4">
        <w:t>placements</w:t>
      </w:r>
      <w:r w:rsidR="00823F92">
        <w:t xml:space="preserve">, </w:t>
      </w:r>
      <w:r w:rsidR="00295CA4">
        <w:t>challenge</w:t>
      </w:r>
      <w:r w:rsidR="00823F92">
        <w:t xml:space="preserve">s </w:t>
      </w:r>
      <w:r w:rsidR="00295CA4">
        <w:t>share</w:t>
      </w:r>
      <w:r w:rsidR="00823F92">
        <w:t xml:space="preserve">d </w:t>
      </w:r>
      <w:r w:rsidR="00295CA4">
        <w:t>wit</w:t>
      </w:r>
      <w:r w:rsidR="00823F92">
        <w:t xml:space="preserve">h </w:t>
      </w:r>
      <w:r w:rsidR="00295CA4">
        <w:t>othe</w:t>
      </w:r>
      <w:r w:rsidR="00823F92">
        <w:t xml:space="preserve">r </w:t>
      </w:r>
      <w:r w:rsidR="00295CA4">
        <w:t>menta</w:t>
      </w:r>
      <w:r w:rsidR="00823F92">
        <w:t xml:space="preserve">l </w:t>
      </w:r>
      <w:r w:rsidR="00295CA4">
        <w:t>healt</w:t>
      </w:r>
      <w:r w:rsidR="00823F92">
        <w:t xml:space="preserve">h </w:t>
      </w:r>
      <w:r w:rsidR="00295CA4">
        <w:t>relate</w:t>
      </w:r>
      <w:r w:rsidR="00823F92">
        <w:t xml:space="preserve">d </w:t>
      </w:r>
      <w:r w:rsidR="00295CA4">
        <w:t>occupations</w:t>
      </w:r>
      <w:r w:rsidR="00823F92">
        <w:t xml:space="preserve">. </w:t>
      </w:r>
    </w:p>
    <w:p w14:paraId="778BAA13" w14:textId="284C46B6" w:rsidR="00D43297" w:rsidRPr="00D43297" w:rsidRDefault="00D43297" w:rsidP="00C077D5">
      <w:pPr>
        <w:pStyle w:val="Heading1"/>
        <w:numPr>
          <w:ilvl w:val="0"/>
          <w:numId w:val="0"/>
        </w:numPr>
        <w:ind w:left="1418" w:hanging="1418"/>
      </w:pPr>
      <w:bookmarkStart w:id="24" w:name="_Toc99018996"/>
      <w:r w:rsidRPr="00D43297">
        <w:lastRenderedPageBreak/>
        <w:t>A</w:t>
      </w:r>
      <w:r w:rsidRPr="00D43297">
        <w:tab/>
        <w:t>Taskforce Terms of Reference</w:t>
      </w:r>
      <w:bookmarkEnd w:id="24"/>
    </w:p>
    <w:p w14:paraId="4CB06C7D" w14:textId="7D3ACD33" w:rsidR="007F5595" w:rsidRDefault="007F5595" w:rsidP="00D02D1E">
      <w:pPr>
        <w:pStyle w:val="Heading2AP"/>
      </w:pPr>
      <w:bookmarkStart w:id="25" w:name="_Toc99018997"/>
      <w:r>
        <w:t>Purpos</w:t>
      </w:r>
      <w:r w:rsidR="00823F92">
        <w:t xml:space="preserve">e </w:t>
      </w:r>
      <w:r>
        <w:t>o</w:t>
      </w:r>
      <w:r w:rsidR="00823F92">
        <w:t xml:space="preserve">f </w:t>
      </w:r>
      <w:r>
        <w:t>th</w:t>
      </w:r>
      <w:r w:rsidR="00823F92">
        <w:t xml:space="preserve">e </w:t>
      </w:r>
      <w:r>
        <w:t>Nationa</w:t>
      </w:r>
      <w:r w:rsidR="00823F92">
        <w:t xml:space="preserve">l </w:t>
      </w:r>
      <w:r>
        <w:t>Menta</w:t>
      </w:r>
      <w:r w:rsidR="00823F92">
        <w:t xml:space="preserve">l </w:t>
      </w:r>
      <w:r>
        <w:t>Healt</w:t>
      </w:r>
      <w:r w:rsidR="00823F92">
        <w:t xml:space="preserve">h </w:t>
      </w:r>
      <w:r>
        <w:t>Workforc</w:t>
      </w:r>
      <w:r w:rsidR="00823F92">
        <w:t xml:space="preserve">e </w:t>
      </w:r>
      <w:r>
        <w:t>Strateg</w:t>
      </w:r>
      <w:r w:rsidR="00823F92">
        <w:t xml:space="preserve">y </w:t>
      </w:r>
      <w:r>
        <w:t>Taskforce</w:t>
      </w:r>
      <w:bookmarkEnd w:id="25"/>
    </w:p>
    <w:p w14:paraId="273ECDCE" w14:textId="07F4DC70" w:rsidR="007F5595" w:rsidRDefault="007F5595" w:rsidP="007F5595">
      <w:pPr>
        <w:pStyle w:val="BodyText"/>
      </w:pPr>
      <w:r>
        <w:t>Th</w:t>
      </w:r>
      <w:r w:rsidR="00823F92">
        <w:t xml:space="preserve">e </w:t>
      </w:r>
      <w:r>
        <w:t>Taskforce’</w:t>
      </w:r>
      <w:r w:rsidR="00823F92">
        <w:t xml:space="preserve">s </w:t>
      </w:r>
      <w:r>
        <w:t>purpos</w:t>
      </w:r>
      <w:r w:rsidR="00823F92">
        <w:t xml:space="preserve">e </w:t>
      </w:r>
      <w:r>
        <w:t>i</w:t>
      </w:r>
      <w:r w:rsidR="00823F92">
        <w:t xml:space="preserve">s </w:t>
      </w:r>
      <w:r>
        <w:t>t</w:t>
      </w:r>
      <w:r w:rsidR="00823F92">
        <w:t xml:space="preserve">o </w:t>
      </w:r>
      <w:r>
        <w:t>overse</w:t>
      </w:r>
      <w:r w:rsidR="00823F92">
        <w:t xml:space="preserve">e </w:t>
      </w:r>
      <w:r>
        <w:t>th</w:t>
      </w:r>
      <w:r w:rsidR="00823F92">
        <w:t xml:space="preserve">e </w:t>
      </w:r>
      <w:r>
        <w:t>developmen</w:t>
      </w:r>
      <w:r w:rsidR="00823F92">
        <w:t xml:space="preserve">t </w:t>
      </w:r>
      <w:r>
        <w:t>o</w:t>
      </w:r>
      <w:r w:rsidR="00823F92">
        <w:t xml:space="preserve">f a </w:t>
      </w:r>
      <w:r>
        <w:t>te</w:t>
      </w:r>
      <w:r w:rsidR="00823F92">
        <w:t xml:space="preserve">n </w:t>
      </w:r>
      <w:r>
        <w:t>yea</w:t>
      </w:r>
      <w:r w:rsidR="00823F92">
        <w:t xml:space="preserve">r </w:t>
      </w:r>
      <w:r>
        <w:t>Nationa</w:t>
      </w:r>
      <w:r w:rsidR="00823F92">
        <w:t xml:space="preserve">l </w:t>
      </w:r>
      <w:r>
        <w:t>Menta</w:t>
      </w:r>
      <w:r w:rsidR="00823F92">
        <w:t xml:space="preserve">l </w:t>
      </w:r>
      <w:r>
        <w:t>Healt</w:t>
      </w:r>
      <w:r w:rsidR="00823F92">
        <w:t xml:space="preserve">h </w:t>
      </w:r>
      <w:r>
        <w:t>Workforc</w:t>
      </w:r>
      <w:r w:rsidR="00823F92">
        <w:t xml:space="preserve">e </w:t>
      </w:r>
      <w:r>
        <w:t>Strategy.</w:t>
      </w:r>
    </w:p>
    <w:p w14:paraId="2F6A1BDF" w14:textId="69A97AE1" w:rsidR="007F5595" w:rsidRDefault="007F5595" w:rsidP="007F5595">
      <w:pPr>
        <w:pStyle w:val="BodyText"/>
      </w:pPr>
      <w:r>
        <w:t>I</w:t>
      </w:r>
      <w:r w:rsidR="00823F92">
        <w:t xml:space="preserve">t </w:t>
      </w:r>
      <w:r>
        <w:t>wil</w:t>
      </w:r>
      <w:r w:rsidR="00823F92">
        <w:t xml:space="preserve">l </w:t>
      </w:r>
      <w:r>
        <w:t>advis</w:t>
      </w:r>
      <w:r w:rsidR="00823F92">
        <w:t xml:space="preserve">e </w:t>
      </w:r>
      <w:r>
        <w:t>th</w:t>
      </w:r>
      <w:r w:rsidR="00823F92">
        <w:t xml:space="preserve">e </w:t>
      </w:r>
      <w:r>
        <w:t>Commonwealt</w:t>
      </w:r>
      <w:r w:rsidR="00823F92">
        <w:t xml:space="preserve">h </w:t>
      </w:r>
      <w:r>
        <w:t>Departmen</w:t>
      </w:r>
      <w:r w:rsidR="00823F92">
        <w:t xml:space="preserve">t </w:t>
      </w:r>
      <w:r>
        <w:t>o</w:t>
      </w:r>
      <w:r w:rsidR="00823F92">
        <w:t xml:space="preserve">f </w:t>
      </w:r>
      <w:r>
        <w:t>Healt</w:t>
      </w:r>
      <w:r w:rsidR="00823F92">
        <w:t xml:space="preserve">h </w:t>
      </w:r>
      <w:r>
        <w:t>an</w:t>
      </w:r>
      <w:r w:rsidR="00823F92">
        <w:t xml:space="preserve">d </w:t>
      </w:r>
      <w:r>
        <w:t>th</w:t>
      </w:r>
      <w:r w:rsidR="00823F92">
        <w:t xml:space="preserve">e </w:t>
      </w:r>
      <w:r>
        <w:t>Nationa</w:t>
      </w:r>
      <w:r w:rsidR="00823F92">
        <w:t xml:space="preserve">l </w:t>
      </w:r>
      <w:r>
        <w:t>Menta</w:t>
      </w:r>
      <w:r w:rsidR="00823F92">
        <w:t xml:space="preserve">l </w:t>
      </w:r>
      <w:r>
        <w:t>Healt</w:t>
      </w:r>
      <w:r w:rsidR="00823F92">
        <w:t xml:space="preserve">h </w:t>
      </w:r>
      <w:r>
        <w:t>Commission</w:t>
      </w:r>
      <w:r w:rsidR="00823F92">
        <w:t xml:space="preserve">, </w:t>
      </w:r>
      <w:r>
        <w:t>wh</w:t>
      </w:r>
      <w:r w:rsidR="00823F92">
        <w:t xml:space="preserve">o </w:t>
      </w:r>
      <w:r>
        <w:t>ar</w:t>
      </w:r>
      <w:r w:rsidR="00823F92">
        <w:t xml:space="preserve">e </w:t>
      </w:r>
      <w:r>
        <w:t>jointl</w:t>
      </w:r>
      <w:r w:rsidR="00823F92">
        <w:t xml:space="preserve">y </w:t>
      </w:r>
      <w:r>
        <w:t>developin</w:t>
      </w:r>
      <w:r w:rsidR="00823F92">
        <w:t xml:space="preserve">g </w:t>
      </w:r>
      <w:r>
        <w:t>th</w:t>
      </w:r>
      <w:r w:rsidR="00823F92">
        <w:t xml:space="preserve">e </w:t>
      </w:r>
      <w:r>
        <w:t>Strategy</w:t>
      </w:r>
      <w:r w:rsidR="00823F92">
        <w:t xml:space="preserve">. </w:t>
      </w:r>
    </w:p>
    <w:p w14:paraId="14BC1128" w14:textId="0DE0698E" w:rsidR="007F5595" w:rsidRDefault="007F5595" w:rsidP="00C077D5">
      <w:pPr>
        <w:pStyle w:val="Heading2AP"/>
      </w:pPr>
      <w:bookmarkStart w:id="26" w:name="_Toc99018998"/>
      <w:r>
        <w:t>Term</w:t>
      </w:r>
      <w:r w:rsidR="00823F92">
        <w:t xml:space="preserve">s </w:t>
      </w:r>
      <w:r>
        <w:t>o</w:t>
      </w:r>
      <w:r w:rsidR="00823F92">
        <w:t xml:space="preserve">f </w:t>
      </w:r>
      <w:r>
        <w:t>Referenc</w:t>
      </w:r>
      <w:r w:rsidR="00823F92">
        <w:t xml:space="preserve">e </w:t>
      </w:r>
      <w:r>
        <w:t>fo</w:t>
      </w:r>
      <w:r w:rsidR="00823F92">
        <w:t xml:space="preserve">r </w:t>
      </w:r>
      <w:r>
        <w:t>th</w:t>
      </w:r>
      <w:r w:rsidR="00823F92">
        <w:t xml:space="preserve">e </w:t>
      </w:r>
      <w:r>
        <w:t>Nationa</w:t>
      </w:r>
      <w:r w:rsidR="00823F92">
        <w:t xml:space="preserve">l </w:t>
      </w:r>
      <w:r>
        <w:t>Menta</w:t>
      </w:r>
      <w:r w:rsidR="00823F92">
        <w:t xml:space="preserve">l </w:t>
      </w:r>
      <w:r>
        <w:t>Healt</w:t>
      </w:r>
      <w:r w:rsidR="00823F92">
        <w:t xml:space="preserve">h </w:t>
      </w:r>
      <w:r>
        <w:t>Workforc</w:t>
      </w:r>
      <w:r w:rsidR="00823F92">
        <w:t xml:space="preserve">e </w:t>
      </w:r>
      <w:r>
        <w:t>Strateg</w:t>
      </w:r>
      <w:r w:rsidR="00823F92">
        <w:t xml:space="preserve">y </w:t>
      </w:r>
      <w:r>
        <w:t>Taskforce</w:t>
      </w:r>
      <w:bookmarkEnd w:id="26"/>
    </w:p>
    <w:p w14:paraId="0DEAE887" w14:textId="22656CC2" w:rsidR="007F5595" w:rsidRDefault="007F5595" w:rsidP="007F5595">
      <w:pPr>
        <w:pStyle w:val="BodyText"/>
      </w:pPr>
      <w:r>
        <w:t>Th</w:t>
      </w:r>
      <w:r w:rsidR="00823F92">
        <w:t xml:space="preserve">e </w:t>
      </w:r>
      <w:r>
        <w:t>Taskforc</w:t>
      </w:r>
      <w:r w:rsidR="00823F92">
        <w:t xml:space="preserve">e </w:t>
      </w:r>
      <w:r>
        <w:t>wil</w:t>
      </w:r>
      <w:r w:rsidR="00823F92">
        <w:t xml:space="preserve">l </w:t>
      </w:r>
      <w:r>
        <w:t>examine:</w:t>
      </w:r>
    </w:p>
    <w:p w14:paraId="07E730FA" w14:textId="235CE4C1" w:rsidR="007F5595" w:rsidRDefault="007F5595" w:rsidP="007F5595">
      <w:pPr>
        <w:pStyle w:val="ListBullet"/>
      </w:pPr>
      <w:r>
        <w:t>Definin</w:t>
      </w:r>
      <w:r w:rsidR="00823F92">
        <w:t xml:space="preserve">g </w:t>
      </w:r>
      <w:r>
        <w:t>th</w:t>
      </w:r>
      <w:r w:rsidR="00823F92">
        <w:t xml:space="preserve">e </w:t>
      </w:r>
      <w:r>
        <w:t>menta</w:t>
      </w:r>
      <w:r w:rsidR="00823F92">
        <w:t xml:space="preserve">l </w:t>
      </w:r>
      <w:r>
        <w:t>healt</w:t>
      </w:r>
      <w:r w:rsidR="00823F92">
        <w:t xml:space="preserve">h </w:t>
      </w:r>
      <w:r>
        <w:t>workforce</w:t>
      </w:r>
      <w:r w:rsidR="00823F92">
        <w:t xml:space="preserve">, </w:t>
      </w:r>
      <w:r>
        <w:t>wit</w:t>
      </w:r>
      <w:r w:rsidR="00823F92">
        <w:t xml:space="preserve">h </w:t>
      </w:r>
      <w:r>
        <w:t>respec</w:t>
      </w:r>
      <w:r w:rsidR="00823F92">
        <w:t xml:space="preserve">t </w:t>
      </w:r>
      <w:r>
        <w:t>t</w:t>
      </w:r>
      <w:r w:rsidR="00823F92">
        <w:t xml:space="preserve">o </w:t>
      </w:r>
      <w:r>
        <w:t>bot</w:t>
      </w:r>
      <w:r w:rsidR="00823F92">
        <w:t xml:space="preserve">h </w:t>
      </w:r>
      <w:r>
        <w:t>setting</w:t>
      </w:r>
      <w:r w:rsidR="00823F92">
        <w:t xml:space="preserve">s </w:t>
      </w:r>
      <w:r>
        <w:t>an</w:t>
      </w:r>
      <w:r w:rsidR="00823F92">
        <w:t xml:space="preserve">d </w:t>
      </w:r>
      <w:r>
        <w:t>professions.</w:t>
      </w:r>
    </w:p>
    <w:p w14:paraId="4B4EA78F" w14:textId="6717412B" w:rsidR="007F5595" w:rsidRDefault="007F5595" w:rsidP="007F5595">
      <w:pPr>
        <w:pStyle w:val="ListBullet"/>
      </w:pPr>
      <w:r>
        <w:t>Sustainability</w:t>
      </w:r>
      <w:r w:rsidR="00823F92">
        <w:t xml:space="preserve">, </w:t>
      </w:r>
      <w:r>
        <w:t>supply</w:t>
      </w:r>
      <w:r w:rsidR="00823F92">
        <w:t xml:space="preserve">, </w:t>
      </w:r>
      <w:r>
        <w:t>distributio</w:t>
      </w:r>
      <w:r w:rsidR="00823F92">
        <w:t xml:space="preserve">n </w:t>
      </w:r>
      <w:r>
        <w:t>an</w:t>
      </w:r>
      <w:r w:rsidR="00823F92">
        <w:t xml:space="preserve">d </w:t>
      </w:r>
      <w:r>
        <w:t>retentio</w:t>
      </w:r>
      <w:r w:rsidR="00823F92">
        <w:t xml:space="preserve">n </w:t>
      </w:r>
      <w:r>
        <w:t>issue</w:t>
      </w:r>
      <w:r w:rsidR="00823F92">
        <w:t xml:space="preserve">s </w:t>
      </w:r>
      <w:r>
        <w:t>fo</w:t>
      </w:r>
      <w:r w:rsidR="00823F92">
        <w:t xml:space="preserve">r </w:t>
      </w:r>
      <w:r>
        <w:t>th</w:t>
      </w:r>
      <w:r w:rsidR="00823F92">
        <w:t xml:space="preserve">e </w:t>
      </w:r>
      <w:r>
        <w:t>menta</w:t>
      </w:r>
      <w:r w:rsidR="00823F92">
        <w:t xml:space="preserve">l </w:t>
      </w:r>
      <w:r>
        <w:t>healt</w:t>
      </w:r>
      <w:r w:rsidR="00823F92">
        <w:t xml:space="preserve">h </w:t>
      </w:r>
      <w:r>
        <w:t>workforce.</w:t>
      </w:r>
    </w:p>
    <w:p w14:paraId="237EF065" w14:textId="626AF363" w:rsidR="007F5595" w:rsidRDefault="007F5595" w:rsidP="007F5595">
      <w:pPr>
        <w:pStyle w:val="ListBullet"/>
      </w:pPr>
      <w:r>
        <w:t>Th</w:t>
      </w:r>
      <w:r w:rsidR="00823F92">
        <w:t xml:space="preserve">e </w:t>
      </w:r>
      <w:r>
        <w:t>scope</w:t>
      </w:r>
      <w:r w:rsidR="00823F92">
        <w:t xml:space="preserve">s </w:t>
      </w:r>
      <w:r>
        <w:t>o</w:t>
      </w:r>
      <w:r w:rsidR="00823F92">
        <w:t xml:space="preserve">f </w:t>
      </w:r>
      <w:r>
        <w:t>practic</w:t>
      </w:r>
      <w:r w:rsidR="00823F92">
        <w:t xml:space="preserve">e </w:t>
      </w:r>
      <w:r>
        <w:t>an</w:t>
      </w:r>
      <w:r w:rsidR="00823F92">
        <w:t xml:space="preserve">d </w:t>
      </w:r>
      <w:r>
        <w:t>structur</w:t>
      </w:r>
      <w:r w:rsidR="00823F92">
        <w:t xml:space="preserve">e </w:t>
      </w:r>
      <w:r>
        <w:t>o</w:t>
      </w:r>
      <w:r w:rsidR="00823F92">
        <w:t xml:space="preserve">f </w:t>
      </w:r>
      <w:r>
        <w:t>th</w:t>
      </w:r>
      <w:r w:rsidR="00823F92">
        <w:t xml:space="preserve">e </w:t>
      </w:r>
      <w:r>
        <w:t>menta</w:t>
      </w:r>
      <w:r w:rsidR="00823F92">
        <w:t xml:space="preserve">l </w:t>
      </w:r>
      <w:r>
        <w:t>healt</w:t>
      </w:r>
      <w:r w:rsidR="00823F92">
        <w:t xml:space="preserve">h </w:t>
      </w:r>
      <w:r>
        <w:t>workforc</w:t>
      </w:r>
      <w:r w:rsidR="00823F92">
        <w:t xml:space="preserve">e </w:t>
      </w:r>
      <w:r>
        <w:t>acros</w:t>
      </w:r>
      <w:r w:rsidR="00823F92">
        <w:t xml:space="preserve">s </w:t>
      </w:r>
      <w:r>
        <w:t>th</w:t>
      </w:r>
      <w:r w:rsidR="00823F92">
        <w:t xml:space="preserve">e </w:t>
      </w:r>
      <w:r>
        <w:t>servic</w:t>
      </w:r>
      <w:r w:rsidR="00823F92">
        <w:t xml:space="preserve">e </w:t>
      </w:r>
      <w:r>
        <w:t>continuum.</w:t>
      </w:r>
    </w:p>
    <w:p w14:paraId="57D90531" w14:textId="46C6ED92" w:rsidR="007F5595" w:rsidRDefault="007F5595" w:rsidP="007F5595">
      <w:pPr>
        <w:pStyle w:val="ListBullet"/>
      </w:pPr>
      <w:r>
        <w:t>Th</w:t>
      </w:r>
      <w:r w:rsidR="00823F92">
        <w:t xml:space="preserve">e </w:t>
      </w:r>
      <w:r>
        <w:t>training</w:t>
      </w:r>
      <w:r w:rsidR="00823F92">
        <w:t xml:space="preserve">, </w:t>
      </w:r>
      <w:r>
        <w:t>suppor</w:t>
      </w:r>
      <w:r w:rsidR="00823F92">
        <w:t xml:space="preserve">t </w:t>
      </w:r>
      <w:r>
        <w:t>an</w:t>
      </w:r>
      <w:r w:rsidR="00823F92">
        <w:t xml:space="preserve">d </w:t>
      </w:r>
      <w:r>
        <w:t>th</w:t>
      </w:r>
      <w:r w:rsidR="00823F92">
        <w:t xml:space="preserve">e </w:t>
      </w:r>
      <w:r>
        <w:t>wellbein</w:t>
      </w:r>
      <w:r w:rsidR="00823F92">
        <w:t xml:space="preserve">g </w:t>
      </w:r>
      <w:r>
        <w:t>o</w:t>
      </w:r>
      <w:r w:rsidR="00823F92">
        <w:t xml:space="preserve">f </w:t>
      </w:r>
      <w:r>
        <w:t>th</w:t>
      </w:r>
      <w:r w:rsidR="00823F92">
        <w:t xml:space="preserve">e </w:t>
      </w:r>
      <w:r>
        <w:t>menta</w:t>
      </w:r>
      <w:r w:rsidR="00823F92">
        <w:t xml:space="preserve">l </w:t>
      </w:r>
      <w:r>
        <w:t>healt</w:t>
      </w:r>
      <w:r w:rsidR="00823F92">
        <w:t xml:space="preserve">h </w:t>
      </w:r>
      <w:r>
        <w:t>workforce</w:t>
      </w:r>
      <w:r w:rsidR="00823F92">
        <w:t xml:space="preserve">, </w:t>
      </w:r>
      <w:r>
        <w:t>i</w:t>
      </w:r>
      <w:r w:rsidR="00823F92">
        <w:t xml:space="preserve">n </w:t>
      </w:r>
      <w:r>
        <w:t>th</w:t>
      </w:r>
      <w:r w:rsidR="00823F92">
        <w:t xml:space="preserve">e </w:t>
      </w:r>
      <w:r>
        <w:t>ligh</w:t>
      </w:r>
      <w:r w:rsidR="00823F92">
        <w:t xml:space="preserve">t </w:t>
      </w:r>
      <w:r>
        <w:t>o</w:t>
      </w:r>
      <w:r w:rsidR="00823F92">
        <w:t xml:space="preserve">f </w:t>
      </w:r>
      <w:r>
        <w:t>contemporar</w:t>
      </w:r>
      <w:r w:rsidR="00823F92">
        <w:t xml:space="preserve">y </w:t>
      </w:r>
      <w:r>
        <w:t>prioritie</w:t>
      </w:r>
      <w:r w:rsidR="00823F92">
        <w:t xml:space="preserve">s </w:t>
      </w:r>
      <w:r>
        <w:t>suc</w:t>
      </w:r>
      <w:r w:rsidR="00823F92">
        <w:t xml:space="preserve">h </w:t>
      </w:r>
      <w:r>
        <w:t>a</w:t>
      </w:r>
      <w:r w:rsidR="00823F92">
        <w:t xml:space="preserve">s </w:t>
      </w:r>
      <w:r>
        <w:t>suicid</w:t>
      </w:r>
      <w:r w:rsidR="00823F92">
        <w:t xml:space="preserve">e </w:t>
      </w:r>
      <w:r>
        <w:t>preventio</w:t>
      </w:r>
      <w:r w:rsidR="00823F92">
        <w:t xml:space="preserve">n </w:t>
      </w:r>
      <w:r>
        <w:t>an</w:t>
      </w:r>
      <w:r w:rsidR="00823F92">
        <w:t xml:space="preserve">d </w:t>
      </w:r>
      <w:r>
        <w:t>recovery-oriente</w:t>
      </w:r>
      <w:r w:rsidR="00823F92">
        <w:t xml:space="preserve">d </w:t>
      </w:r>
      <w:r>
        <w:t>care.</w:t>
      </w:r>
    </w:p>
    <w:p w14:paraId="3BA912FA" w14:textId="31F038BB" w:rsidR="007F5595" w:rsidRDefault="007F5595" w:rsidP="007F5595">
      <w:pPr>
        <w:pStyle w:val="ListBullet"/>
      </w:pPr>
      <w:r>
        <w:t>Th</w:t>
      </w:r>
      <w:r w:rsidR="00823F92">
        <w:t xml:space="preserve">e </w:t>
      </w:r>
      <w:r>
        <w:t>workforce’</w:t>
      </w:r>
      <w:r w:rsidR="00823F92">
        <w:t xml:space="preserve">s </w:t>
      </w:r>
      <w:r>
        <w:t>capabilit</w:t>
      </w:r>
      <w:r w:rsidR="00823F92">
        <w:t xml:space="preserve">y </w:t>
      </w:r>
      <w:r>
        <w:t>i</w:t>
      </w:r>
      <w:r w:rsidR="00823F92">
        <w:t xml:space="preserve">n </w:t>
      </w:r>
      <w:r>
        <w:t>providin</w:t>
      </w:r>
      <w:r w:rsidR="00823F92">
        <w:t xml:space="preserve">g </w:t>
      </w:r>
      <w:r>
        <w:t>telephone-base</w:t>
      </w:r>
      <w:r w:rsidR="00823F92">
        <w:t xml:space="preserve">d </w:t>
      </w:r>
      <w:r>
        <w:t>an</w:t>
      </w:r>
      <w:r w:rsidR="00823F92">
        <w:t xml:space="preserve">d </w:t>
      </w:r>
      <w:r>
        <w:t>digita</w:t>
      </w:r>
      <w:r w:rsidR="00823F92">
        <w:t xml:space="preserve">l </w:t>
      </w:r>
      <w:r>
        <w:t>services</w:t>
      </w:r>
      <w:r w:rsidR="00823F92">
        <w:t xml:space="preserve">. </w:t>
      </w:r>
    </w:p>
    <w:p w14:paraId="6049C30E" w14:textId="6993B37B" w:rsidR="007F5595" w:rsidRDefault="007F5595" w:rsidP="007F5595">
      <w:pPr>
        <w:pStyle w:val="ListBullet"/>
      </w:pPr>
      <w:r>
        <w:t>Th</w:t>
      </w:r>
      <w:r w:rsidR="00823F92">
        <w:t xml:space="preserve">e </w:t>
      </w:r>
      <w:r>
        <w:t>adequac</w:t>
      </w:r>
      <w:r w:rsidR="00823F92">
        <w:t xml:space="preserve">y </w:t>
      </w:r>
      <w:r>
        <w:t>o</w:t>
      </w:r>
      <w:r w:rsidR="00823F92">
        <w:t xml:space="preserve">f </w:t>
      </w:r>
      <w:r>
        <w:t>dat</w:t>
      </w:r>
      <w:r w:rsidR="00823F92">
        <w:t xml:space="preserve">a </w:t>
      </w:r>
      <w:r>
        <w:t>t</w:t>
      </w:r>
      <w:r w:rsidR="00823F92">
        <w:t xml:space="preserve">o </w:t>
      </w:r>
      <w:r>
        <w:t>infor</w:t>
      </w:r>
      <w:r w:rsidR="00823F92">
        <w:t xml:space="preserve">m </w:t>
      </w:r>
      <w:r>
        <w:t>workforc</w:t>
      </w:r>
      <w:r w:rsidR="00823F92">
        <w:t xml:space="preserve">e </w:t>
      </w:r>
      <w:r>
        <w:t>plannin</w:t>
      </w:r>
      <w:r w:rsidR="00823F92">
        <w:t xml:space="preserve">g </w:t>
      </w:r>
      <w:r>
        <w:t>an</w:t>
      </w:r>
      <w:r w:rsidR="00823F92">
        <w:t xml:space="preserve">d </w:t>
      </w:r>
      <w:r>
        <w:t>development.</w:t>
      </w:r>
    </w:p>
    <w:p w14:paraId="08CCDFCF" w14:textId="429B7279" w:rsidR="007F5595" w:rsidRDefault="007F5595" w:rsidP="007F5595">
      <w:pPr>
        <w:pStyle w:val="ListBullet"/>
      </w:pPr>
      <w:r>
        <w:t>An</w:t>
      </w:r>
      <w:r w:rsidR="00823F92">
        <w:t xml:space="preserve">y </w:t>
      </w:r>
      <w:r>
        <w:t>matter</w:t>
      </w:r>
      <w:r w:rsidR="00823F92">
        <w:t xml:space="preserve">s </w:t>
      </w:r>
      <w:r>
        <w:t>reasonabl</w:t>
      </w:r>
      <w:r w:rsidR="00823F92">
        <w:t xml:space="preserve">y </w:t>
      </w:r>
      <w:r>
        <w:t>relevan</w:t>
      </w:r>
      <w:r w:rsidR="00823F92">
        <w:t xml:space="preserve">t </w:t>
      </w:r>
      <w:r>
        <w:t>t</w:t>
      </w:r>
      <w:r w:rsidR="00823F92">
        <w:t xml:space="preserve">o </w:t>
      </w:r>
      <w:r>
        <w:t>th</w:t>
      </w:r>
      <w:r w:rsidR="00823F92">
        <w:t xml:space="preserve">e </w:t>
      </w:r>
      <w:r>
        <w:t>issue</w:t>
      </w:r>
      <w:r w:rsidR="00823F92">
        <w:t xml:space="preserve">s </w:t>
      </w:r>
      <w:r>
        <w:t>above</w:t>
      </w:r>
      <w:r w:rsidR="00823F92">
        <w:t xml:space="preserve">, </w:t>
      </w:r>
      <w:r>
        <w:t>a</w:t>
      </w:r>
      <w:r w:rsidR="00823F92">
        <w:t xml:space="preserve">s </w:t>
      </w:r>
      <w:r>
        <w:t>determine</w:t>
      </w:r>
      <w:r w:rsidR="00823F92">
        <w:t xml:space="preserve">d </w:t>
      </w:r>
      <w:r>
        <w:t>b</w:t>
      </w:r>
      <w:r w:rsidR="00823F92">
        <w:t xml:space="preserve">y </w:t>
      </w:r>
      <w:r>
        <w:t>co-Chairs.</w:t>
      </w:r>
    </w:p>
    <w:p w14:paraId="36B2B502" w14:textId="3BF3EBB3" w:rsidR="007F5595" w:rsidRDefault="007F5595" w:rsidP="007F5595">
      <w:pPr>
        <w:pStyle w:val="BodyText"/>
      </w:pPr>
      <w:r>
        <w:t>Th</w:t>
      </w:r>
      <w:r w:rsidR="00823F92">
        <w:t xml:space="preserve">e </w:t>
      </w:r>
      <w:r>
        <w:t>Taskforc</w:t>
      </w:r>
      <w:r w:rsidR="00823F92">
        <w:t xml:space="preserve">e </w:t>
      </w:r>
      <w:r>
        <w:t>will:</w:t>
      </w:r>
    </w:p>
    <w:p w14:paraId="00D6D909" w14:textId="76986DFD" w:rsidR="007F5595" w:rsidRDefault="007F5595" w:rsidP="007F5595">
      <w:pPr>
        <w:pStyle w:val="ListBullet"/>
      </w:pPr>
      <w:r>
        <w:t>Recommen</w:t>
      </w:r>
      <w:r w:rsidR="00823F92">
        <w:t xml:space="preserve">d </w:t>
      </w:r>
      <w:r>
        <w:t>practica</w:t>
      </w:r>
      <w:r w:rsidR="00823F92">
        <w:t xml:space="preserve">l </w:t>
      </w:r>
      <w:r>
        <w:t>approache</w:t>
      </w:r>
      <w:r w:rsidR="00823F92">
        <w:t xml:space="preserve">s </w:t>
      </w:r>
      <w:r>
        <w:t>tha</w:t>
      </w:r>
      <w:r w:rsidR="00823F92">
        <w:t xml:space="preserve">t </w:t>
      </w:r>
      <w:r>
        <w:t>government</w:t>
      </w:r>
      <w:r w:rsidR="00823F92">
        <w:t xml:space="preserve">s </w:t>
      </w:r>
      <w:r>
        <w:t>an</w:t>
      </w:r>
      <w:r w:rsidR="00823F92">
        <w:t xml:space="preserve">d </w:t>
      </w:r>
      <w:r>
        <w:t>othe</w:t>
      </w:r>
      <w:r w:rsidR="00823F92">
        <w:t xml:space="preserve">r </w:t>
      </w:r>
      <w:r>
        <w:t>stakeholder</w:t>
      </w:r>
      <w:r w:rsidR="00823F92">
        <w:t xml:space="preserve">s </w:t>
      </w:r>
      <w:r>
        <w:t>ca</w:t>
      </w:r>
      <w:r w:rsidR="00823F92">
        <w:t xml:space="preserve">n </w:t>
      </w:r>
      <w:r>
        <w:t>tak</w:t>
      </w:r>
      <w:r w:rsidR="00823F92">
        <w:t xml:space="preserve">e </w:t>
      </w:r>
      <w:r>
        <w:t>t</w:t>
      </w:r>
      <w:r w:rsidR="00823F92">
        <w:t xml:space="preserve">o </w:t>
      </w:r>
      <w:r>
        <w:t>strengthe</w:t>
      </w:r>
      <w:r w:rsidR="00823F92">
        <w:t xml:space="preserve">n </w:t>
      </w:r>
      <w:r>
        <w:t>th</w:t>
      </w:r>
      <w:r w:rsidR="00823F92">
        <w:t xml:space="preserve">e </w:t>
      </w:r>
      <w:r>
        <w:t>workforce.</w:t>
      </w:r>
    </w:p>
    <w:p w14:paraId="4D50D070" w14:textId="72E20773" w:rsidR="007F5595" w:rsidRDefault="007F5595" w:rsidP="007F5595">
      <w:pPr>
        <w:pStyle w:val="ListBullet"/>
      </w:pPr>
      <w:r>
        <w:t>Conside</w:t>
      </w:r>
      <w:r w:rsidR="00823F92">
        <w:t xml:space="preserve">r </w:t>
      </w:r>
      <w:r>
        <w:t>ho</w:t>
      </w:r>
      <w:r w:rsidR="00823F92">
        <w:t xml:space="preserve">w </w:t>
      </w:r>
      <w:r>
        <w:t>t</w:t>
      </w:r>
      <w:r w:rsidR="00823F92">
        <w:t xml:space="preserve">o </w:t>
      </w:r>
      <w:r>
        <w:t>buil</w:t>
      </w:r>
      <w:r w:rsidR="00823F92">
        <w:t xml:space="preserve">d a </w:t>
      </w:r>
      <w:r>
        <w:t>workforc</w:t>
      </w:r>
      <w:r w:rsidR="00823F92">
        <w:t xml:space="preserve">e </w:t>
      </w:r>
      <w:r>
        <w:t>tha</w:t>
      </w:r>
      <w:r w:rsidR="00823F92">
        <w:t xml:space="preserve">t </w:t>
      </w:r>
      <w:r>
        <w:t>recognise</w:t>
      </w:r>
      <w:r w:rsidR="00823F92">
        <w:t xml:space="preserve">s </w:t>
      </w:r>
      <w:r>
        <w:t>an</w:t>
      </w:r>
      <w:r w:rsidR="00823F92">
        <w:t xml:space="preserve">d </w:t>
      </w:r>
      <w:r>
        <w:t>bes</w:t>
      </w:r>
      <w:r w:rsidR="00823F92">
        <w:t xml:space="preserve">t </w:t>
      </w:r>
      <w:r>
        <w:t>utilise</w:t>
      </w:r>
      <w:r w:rsidR="00823F92">
        <w:t xml:space="preserve">s </w:t>
      </w:r>
      <w:r>
        <w:t>th</w:t>
      </w:r>
      <w:r w:rsidR="00823F92">
        <w:t xml:space="preserve">e </w:t>
      </w:r>
      <w:r>
        <w:t>skill</w:t>
      </w:r>
      <w:r w:rsidR="00823F92">
        <w:t xml:space="preserve">s </w:t>
      </w:r>
      <w:r>
        <w:t>an</w:t>
      </w:r>
      <w:r w:rsidR="00823F92">
        <w:t xml:space="preserve">d </w:t>
      </w:r>
      <w:r>
        <w:t>strength</w:t>
      </w:r>
      <w:r w:rsidR="00823F92">
        <w:t xml:space="preserve">s </w:t>
      </w:r>
      <w:r>
        <w:t>o</w:t>
      </w:r>
      <w:r w:rsidR="00823F92">
        <w:t xml:space="preserve">f </w:t>
      </w:r>
      <w:r>
        <w:t>al</w:t>
      </w:r>
      <w:r w:rsidR="00823F92">
        <w:t xml:space="preserve">l </w:t>
      </w:r>
      <w:r>
        <w:t>workers</w:t>
      </w:r>
      <w:r w:rsidR="00823F92">
        <w:t xml:space="preserve">, </w:t>
      </w:r>
      <w:r>
        <w:t>includin</w:t>
      </w:r>
      <w:r w:rsidR="00823F92">
        <w:t xml:space="preserve">g </w:t>
      </w:r>
      <w:r>
        <w:t>pee</w:t>
      </w:r>
      <w:r w:rsidR="00823F92">
        <w:t xml:space="preserve">r </w:t>
      </w:r>
      <w:r>
        <w:t>workers</w:t>
      </w:r>
      <w:r w:rsidR="00823F92">
        <w:t xml:space="preserve">, </w:t>
      </w:r>
      <w:r>
        <w:t>disabilit</w:t>
      </w:r>
      <w:r w:rsidR="00823F92">
        <w:t xml:space="preserve">y </w:t>
      </w:r>
      <w:r>
        <w:t>suppor</w:t>
      </w:r>
      <w:r w:rsidR="00823F92">
        <w:t xml:space="preserve">t </w:t>
      </w:r>
      <w:r>
        <w:t>workers</w:t>
      </w:r>
      <w:r w:rsidR="00823F92">
        <w:t xml:space="preserve">, </w:t>
      </w:r>
      <w:r>
        <w:t>alcoho</w:t>
      </w:r>
      <w:r w:rsidR="00823F92">
        <w:t xml:space="preserve">l </w:t>
      </w:r>
      <w:r>
        <w:t>an</w:t>
      </w:r>
      <w:r w:rsidR="00823F92">
        <w:t xml:space="preserve">d </w:t>
      </w:r>
      <w:r>
        <w:t>othe</w:t>
      </w:r>
      <w:r w:rsidR="00823F92">
        <w:t xml:space="preserve">r </w:t>
      </w:r>
      <w:r>
        <w:t>dru</w:t>
      </w:r>
      <w:r w:rsidR="00823F92">
        <w:t xml:space="preserve">g </w:t>
      </w:r>
      <w:r>
        <w:t>worker</w:t>
      </w:r>
      <w:r w:rsidR="00823F92">
        <w:t xml:space="preserve">s </w:t>
      </w:r>
      <w:r>
        <w:t>an</w:t>
      </w:r>
      <w:r w:rsidR="00823F92">
        <w:t xml:space="preserve">d </w:t>
      </w:r>
      <w:r>
        <w:t>carers</w:t>
      </w:r>
      <w:r w:rsidR="00823F92">
        <w:t xml:space="preserve">. </w:t>
      </w:r>
    </w:p>
    <w:p w14:paraId="30592BEF" w14:textId="76A6D40A" w:rsidR="007F5595" w:rsidRDefault="007F5595" w:rsidP="00C077D5">
      <w:pPr>
        <w:pStyle w:val="ListBullet"/>
        <w:keepNext/>
        <w:keepLines/>
      </w:pPr>
      <w:r>
        <w:lastRenderedPageBreak/>
        <w:t>Develo</w:t>
      </w:r>
      <w:r w:rsidR="00823F92">
        <w:t xml:space="preserve">p </w:t>
      </w:r>
      <w:r>
        <w:t>advic</w:t>
      </w:r>
      <w:r w:rsidR="00823F92">
        <w:t xml:space="preserve">e </w:t>
      </w:r>
      <w:r>
        <w:t>tha</w:t>
      </w:r>
      <w:r w:rsidR="00823F92">
        <w:t xml:space="preserve">t </w:t>
      </w:r>
      <w:r>
        <w:t>wil</w:t>
      </w:r>
      <w:r w:rsidR="00823F92">
        <w:t xml:space="preserve">l </w:t>
      </w:r>
      <w:r>
        <w:t>clarif</w:t>
      </w:r>
      <w:r w:rsidR="00823F92">
        <w:t xml:space="preserve">y </w:t>
      </w:r>
      <w:r>
        <w:t>an</w:t>
      </w:r>
      <w:r w:rsidR="00823F92">
        <w:t xml:space="preserve">d </w:t>
      </w:r>
      <w:r>
        <w:t>enhanc</w:t>
      </w:r>
      <w:r w:rsidR="00823F92">
        <w:t xml:space="preserve">e </w:t>
      </w:r>
      <w:r>
        <w:t>th</w:t>
      </w:r>
      <w:r w:rsidR="00823F92">
        <w:t xml:space="preserve">e </w:t>
      </w:r>
      <w:r>
        <w:t>rol</w:t>
      </w:r>
      <w:r w:rsidR="00823F92">
        <w:t xml:space="preserve">e </w:t>
      </w:r>
      <w:r>
        <w:t>o</w:t>
      </w:r>
      <w:r w:rsidR="00823F92">
        <w:t xml:space="preserve">f </w:t>
      </w:r>
      <w:r>
        <w:t>variou</w:t>
      </w:r>
      <w:r w:rsidR="00823F92">
        <w:t xml:space="preserve">s </w:t>
      </w:r>
      <w:r>
        <w:t>segment</w:t>
      </w:r>
      <w:r w:rsidR="00823F92">
        <w:t xml:space="preserve">s </w:t>
      </w:r>
      <w:r>
        <w:t>o</w:t>
      </w:r>
      <w:r w:rsidR="00823F92">
        <w:t xml:space="preserve">f </w:t>
      </w:r>
      <w:r>
        <w:t>th</w:t>
      </w:r>
      <w:r w:rsidR="00823F92">
        <w:t xml:space="preserve">e </w:t>
      </w:r>
      <w:r>
        <w:t>emergin</w:t>
      </w:r>
      <w:r w:rsidR="00823F92">
        <w:t xml:space="preserve">g </w:t>
      </w:r>
      <w:r>
        <w:t>workforc</w:t>
      </w:r>
      <w:r w:rsidR="00823F92">
        <w:t xml:space="preserve">e </w:t>
      </w:r>
      <w:r>
        <w:t>includin</w:t>
      </w:r>
      <w:r w:rsidR="00823F92">
        <w:t xml:space="preserve">g </w:t>
      </w:r>
      <w:r>
        <w:t>bu</w:t>
      </w:r>
      <w:r w:rsidR="00823F92">
        <w:t xml:space="preserve">t </w:t>
      </w:r>
      <w:r>
        <w:t>no</w:t>
      </w:r>
      <w:r w:rsidR="00823F92">
        <w:t xml:space="preserve">t </w:t>
      </w:r>
      <w:r>
        <w:t>limite</w:t>
      </w:r>
      <w:r w:rsidR="00823F92">
        <w:t xml:space="preserve">d </w:t>
      </w:r>
      <w:r>
        <w:t>t</w:t>
      </w:r>
      <w:r w:rsidR="00823F92">
        <w:t xml:space="preserve">o </w:t>
      </w:r>
      <w:r>
        <w:t>th</w:t>
      </w:r>
      <w:r w:rsidR="00823F92">
        <w:t xml:space="preserve">e </w:t>
      </w:r>
      <w:r>
        <w:t>pee</w:t>
      </w:r>
      <w:r w:rsidR="00823F92">
        <w:t xml:space="preserve">r </w:t>
      </w:r>
      <w:r>
        <w:t>workforc</w:t>
      </w:r>
      <w:r w:rsidR="00823F92">
        <w:t xml:space="preserve">e </w:t>
      </w:r>
      <w:r>
        <w:t>an</w:t>
      </w:r>
      <w:r w:rsidR="00823F92">
        <w:t xml:space="preserve">d </w:t>
      </w:r>
      <w:r>
        <w:t>Aborigina</w:t>
      </w:r>
      <w:r w:rsidR="00823F92">
        <w:t xml:space="preserve">l </w:t>
      </w:r>
      <w:r>
        <w:t>an</w:t>
      </w:r>
      <w:r w:rsidR="00823F92">
        <w:t xml:space="preserve">d </w:t>
      </w:r>
      <w:r>
        <w:t>Torre</w:t>
      </w:r>
      <w:r w:rsidR="00823F92">
        <w:t xml:space="preserve">s </w:t>
      </w:r>
      <w:r>
        <w:t>Strai</w:t>
      </w:r>
      <w:r w:rsidR="00823F92">
        <w:t xml:space="preserve">t </w:t>
      </w:r>
      <w:r>
        <w:t>Islande</w:t>
      </w:r>
      <w:r w:rsidR="00823F92">
        <w:t xml:space="preserve">r </w:t>
      </w:r>
      <w:r>
        <w:t>healt</w:t>
      </w:r>
      <w:r w:rsidR="00823F92">
        <w:t xml:space="preserve">h </w:t>
      </w:r>
      <w:r>
        <w:t>practitioners</w:t>
      </w:r>
      <w:r w:rsidR="00823F92">
        <w:t xml:space="preserve">, </w:t>
      </w:r>
      <w:r>
        <w:t>healt</w:t>
      </w:r>
      <w:r w:rsidR="00823F92">
        <w:t xml:space="preserve">h </w:t>
      </w:r>
      <w:r>
        <w:t>worker</w:t>
      </w:r>
      <w:r w:rsidR="00823F92">
        <w:t xml:space="preserve">s </w:t>
      </w:r>
      <w:r>
        <w:t>an</w:t>
      </w:r>
      <w:r w:rsidR="00823F92">
        <w:t xml:space="preserve">d </w:t>
      </w:r>
      <w:r>
        <w:t>menta</w:t>
      </w:r>
      <w:r w:rsidR="00823F92">
        <w:t xml:space="preserve">l </w:t>
      </w:r>
      <w:r>
        <w:t>healt</w:t>
      </w:r>
      <w:r w:rsidR="00823F92">
        <w:t xml:space="preserve">h </w:t>
      </w:r>
      <w:r>
        <w:t>workers.</w:t>
      </w:r>
    </w:p>
    <w:p w14:paraId="67F74D8F" w14:textId="4847E5A9" w:rsidR="007F5595" w:rsidRDefault="007F5595" w:rsidP="007F5595">
      <w:pPr>
        <w:pStyle w:val="ListBullet"/>
      </w:pPr>
      <w:r>
        <w:t>Provid</w:t>
      </w:r>
      <w:r w:rsidR="00823F92">
        <w:t xml:space="preserve">e </w:t>
      </w:r>
      <w:r>
        <w:t>recommendation</w:t>
      </w:r>
      <w:r w:rsidR="00823F92">
        <w:t xml:space="preserve">s </w:t>
      </w:r>
      <w:r>
        <w:t>t</w:t>
      </w:r>
      <w:r w:rsidR="00823F92">
        <w:t xml:space="preserve">o </w:t>
      </w:r>
      <w:r>
        <w:t>improv</w:t>
      </w:r>
      <w:r w:rsidR="00823F92">
        <w:t xml:space="preserve">e </w:t>
      </w:r>
      <w:r>
        <w:t>th</w:t>
      </w:r>
      <w:r w:rsidR="00823F92">
        <w:t xml:space="preserve">e </w:t>
      </w:r>
      <w:r>
        <w:t>capabilit</w:t>
      </w:r>
      <w:r w:rsidR="00823F92">
        <w:t xml:space="preserve">y </w:t>
      </w:r>
      <w:r>
        <w:t>of</w:t>
      </w:r>
      <w:r w:rsidR="00823F92">
        <w:t xml:space="preserve">, </w:t>
      </w:r>
      <w:r>
        <w:t>an</w:t>
      </w:r>
      <w:r w:rsidR="00823F92">
        <w:t xml:space="preserve">d </w:t>
      </w:r>
      <w:r>
        <w:t>suppor</w:t>
      </w:r>
      <w:r w:rsidR="00823F92">
        <w:t xml:space="preserve">t </w:t>
      </w:r>
      <w:r>
        <w:t>to</w:t>
      </w:r>
      <w:r w:rsidR="00823F92">
        <w:t xml:space="preserve">, </w:t>
      </w:r>
      <w:r>
        <w:t>profession</w:t>
      </w:r>
      <w:r w:rsidR="00823F92">
        <w:t xml:space="preserve">s </w:t>
      </w:r>
      <w:r>
        <w:t>tha</w:t>
      </w:r>
      <w:r w:rsidR="00823F92">
        <w:t xml:space="preserve">t </w:t>
      </w:r>
      <w:r>
        <w:t>provid</w:t>
      </w:r>
      <w:r w:rsidR="00823F92">
        <w:t xml:space="preserve">e </w:t>
      </w:r>
      <w:r>
        <w:t>suppor</w:t>
      </w:r>
      <w:r w:rsidR="00823F92">
        <w:t xml:space="preserve">t </w:t>
      </w:r>
      <w:r>
        <w:t>t</w:t>
      </w:r>
      <w:r w:rsidR="00823F92">
        <w:t xml:space="preserve">o </w:t>
      </w:r>
      <w:r>
        <w:t>peopl</w:t>
      </w:r>
      <w:r w:rsidR="00823F92">
        <w:t xml:space="preserve">e </w:t>
      </w:r>
      <w:r>
        <w:t>wit</w:t>
      </w:r>
      <w:r w:rsidR="00823F92">
        <w:t xml:space="preserve">h </w:t>
      </w:r>
      <w:r>
        <w:t>menta</w:t>
      </w:r>
      <w:r w:rsidR="00823F92">
        <w:t xml:space="preserve">l </w:t>
      </w:r>
      <w:r>
        <w:t>illnes</w:t>
      </w:r>
      <w:r w:rsidR="00823F92">
        <w:t xml:space="preserve">s </w:t>
      </w:r>
      <w:r>
        <w:t>a</w:t>
      </w:r>
      <w:r w:rsidR="00823F92">
        <w:t xml:space="preserve">s a </w:t>
      </w:r>
      <w:r>
        <w:t>secondar</w:t>
      </w:r>
      <w:r w:rsidR="00823F92">
        <w:t xml:space="preserve">y </w:t>
      </w:r>
      <w:r>
        <w:t>rol</w:t>
      </w:r>
      <w:r w:rsidR="00823F92">
        <w:t xml:space="preserve">e </w:t>
      </w:r>
      <w:r>
        <w:t>suc</w:t>
      </w:r>
      <w:r w:rsidR="00823F92">
        <w:t xml:space="preserve">h </w:t>
      </w:r>
      <w:r>
        <w:t>a</w:t>
      </w:r>
      <w:r w:rsidR="00823F92">
        <w:t xml:space="preserve">s </w:t>
      </w:r>
      <w:r>
        <w:t>firs</w:t>
      </w:r>
      <w:r w:rsidR="00823F92">
        <w:t xml:space="preserve">t </w:t>
      </w:r>
      <w:r>
        <w:t>responders</w:t>
      </w:r>
      <w:r w:rsidR="00823F92">
        <w:t xml:space="preserve">, </w:t>
      </w:r>
      <w:r>
        <w:t>educators</w:t>
      </w:r>
      <w:r w:rsidR="00823F92">
        <w:t xml:space="preserve">, </w:t>
      </w:r>
      <w:r>
        <w:t>justic</w:t>
      </w:r>
      <w:r w:rsidR="00823F92">
        <w:t xml:space="preserve">e </w:t>
      </w:r>
      <w:r>
        <w:t>syste</w:t>
      </w:r>
      <w:r w:rsidR="00823F92">
        <w:t xml:space="preserve">m </w:t>
      </w:r>
      <w:r>
        <w:t>staf</w:t>
      </w:r>
      <w:r w:rsidR="00823F92">
        <w:t xml:space="preserve">f </w:t>
      </w:r>
      <w:r>
        <w:t>an</w:t>
      </w:r>
      <w:r w:rsidR="00823F92">
        <w:t xml:space="preserve">d </w:t>
      </w:r>
      <w:r>
        <w:t>healt</w:t>
      </w:r>
      <w:r w:rsidR="00823F92">
        <w:t xml:space="preserve">h </w:t>
      </w:r>
      <w:r>
        <w:t>professionals.</w:t>
      </w:r>
    </w:p>
    <w:p w14:paraId="156749B5" w14:textId="2843D20B" w:rsidR="007F5595" w:rsidRDefault="007F5595" w:rsidP="007F5595">
      <w:pPr>
        <w:pStyle w:val="ListBullet"/>
      </w:pPr>
      <w:r>
        <w:t>Conside</w:t>
      </w:r>
      <w:r w:rsidR="00823F92">
        <w:t xml:space="preserve">r </w:t>
      </w:r>
      <w:r>
        <w:t>th</w:t>
      </w:r>
      <w:r w:rsidR="00823F92">
        <w:t xml:space="preserve">e </w:t>
      </w:r>
      <w:r>
        <w:t>applicatio</w:t>
      </w:r>
      <w:r w:rsidR="00823F92">
        <w:t xml:space="preserve">n </w:t>
      </w:r>
      <w:r>
        <w:t>o</w:t>
      </w:r>
      <w:r w:rsidR="00823F92">
        <w:t xml:space="preserve">f </w:t>
      </w:r>
      <w:r>
        <w:t>trauma-informe</w:t>
      </w:r>
      <w:r w:rsidR="00823F92">
        <w:t xml:space="preserve">d </w:t>
      </w:r>
      <w:r>
        <w:t>car</w:t>
      </w:r>
      <w:r w:rsidR="00823F92">
        <w:t xml:space="preserve">e </w:t>
      </w:r>
      <w:r>
        <w:t>an</w:t>
      </w:r>
      <w:r w:rsidR="00823F92">
        <w:t xml:space="preserve">d </w:t>
      </w:r>
      <w:r>
        <w:t>practic</w:t>
      </w:r>
      <w:r w:rsidR="00823F92">
        <w:t xml:space="preserve">e </w:t>
      </w:r>
      <w:r>
        <w:t>a</w:t>
      </w:r>
      <w:r w:rsidR="00823F92">
        <w:t xml:space="preserve">t </w:t>
      </w:r>
      <w:r>
        <w:t>th</w:t>
      </w:r>
      <w:r w:rsidR="00823F92">
        <w:t xml:space="preserve">e </w:t>
      </w:r>
      <w:r>
        <w:t>organisationa</w:t>
      </w:r>
      <w:r w:rsidR="00823F92">
        <w:t xml:space="preserve">l </w:t>
      </w:r>
      <w:r>
        <w:t>an</w:t>
      </w:r>
      <w:r w:rsidR="00823F92">
        <w:t xml:space="preserve">d </w:t>
      </w:r>
      <w:r>
        <w:t>individua</w:t>
      </w:r>
      <w:r w:rsidR="00823F92">
        <w:t xml:space="preserve">l </w:t>
      </w:r>
      <w:r>
        <w:t>practitione</w:t>
      </w:r>
      <w:r w:rsidR="00823F92">
        <w:t xml:space="preserve">r </w:t>
      </w:r>
      <w:r>
        <w:t>leve</w:t>
      </w:r>
      <w:r w:rsidR="00823F92">
        <w:t xml:space="preserve">l </w:t>
      </w:r>
      <w:r>
        <w:t>withi</w:t>
      </w:r>
      <w:r w:rsidR="00823F92">
        <w:t xml:space="preserve">n </w:t>
      </w:r>
      <w:r>
        <w:t>menta</w:t>
      </w:r>
      <w:r w:rsidR="00823F92">
        <w:t xml:space="preserve">l </w:t>
      </w:r>
      <w:r>
        <w:t>healt</w:t>
      </w:r>
      <w:r w:rsidR="00823F92">
        <w:t xml:space="preserve">h </w:t>
      </w:r>
      <w:r>
        <w:t>services.</w:t>
      </w:r>
    </w:p>
    <w:p w14:paraId="368367AA" w14:textId="60727454" w:rsidR="007F5595" w:rsidRDefault="007F5595" w:rsidP="007F5595">
      <w:pPr>
        <w:pStyle w:val="ListBullet"/>
      </w:pPr>
      <w:r>
        <w:t>Addres</w:t>
      </w:r>
      <w:r w:rsidR="00823F92">
        <w:t xml:space="preserve">s </w:t>
      </w:r>
      <w:r>
        <w:t>th</w:t>
      </w:r>
      <w:r w:rsidR="00823F92">
        <w:t xml:space="preserve">e </w:t>
      </w:r>
      <w:r>
        <w:t>nee</w:t>
      </w:r>
      <w:r w:rsidR="00823F92">
        <w:t xml:space="preserve">d </w:t>
      </w:r>
      <w:r>
        <w:t>t</w:t>
      </w:r>
      <w:r w:rsidR="00823F92">
        <w:t xml:space="preserve">o </w:t>
      </w:r>
      <w:r>
        <w:t>buil</w:t>
      </w:r>
      <w:r w:rsidR="00823F92">
        <w:t xml:space="preserve">d </w:t>
      </w:r>
      <w:r>
        <w:t>an</w:t>
      </w:r>
      <w:r w:rsidR="00823F92">
        <w:t xml:space="preserve">d </w:t>
      </w:r>
      <w:r>
        <w:t>retai</w:t>
      </w:r>
      <w:r w:rsidR="00823F92">
        <w:t xml:space="preserve">n a </w:t>
      </w:r>
      <w:r>
        <w:t>culturall</w:t>
      </w:r>
      <w:r w:rsidR="00823F92">
        <w:t xml:space="preserve">y </w:t>
      </w:r>
      <w:r>
        <w:t>responsiv</w:t>
      </w:r>
      <w:r w:rsidR="00823F92">
        <w:t xml:space="preserve">e </w:t>
      </w:r>
      <w:r>
        <w:t>menta</w:t>
      </w:r>
      <w:r w:rsidR="00823F92">
        <w:t xml:space="preserve">l </w:t>
      </w:r>
      <w:r>
        <w:t>healt</w:t>
      </w:r>
      <w:r w:rsidR="00823F92">
        <w:t xml:space="preserve">h </w:t>
      </w:r>
      <w:r>
        <w:t>workforc</w:t>
      </w:r>
      <w:r w:rsidR="00823F92">
        <w:t xml:space="preserve">e </w:t>
      </w:r>
      <w:r>
        <w:t>fo</w:t>
      </w:r>
      <w:r w:rsidR="00823F92">
        <w:t xml:space="preserve">r </w:t>
      </w:r>
      <w:r>
        <w:t>population</w:t>
      </w:r>
      <w:r w:rsidR="00823F92">
        <w:t xml:space="preserve">s </w:t>
      </w:r>
      <w:r>
        <w:t>whos</w:t>
      </w:r>
      <w:r w:rsidR="00823F92">
        <w:t xml:space="preserve">e </w:t>
      </w:r>
      <w:r>
        <w:t>healt</w:t>
      </w:r>
      <w:r w:rsidR="00823F92">
        <w:t xml:space="preserve">h </w:t>
      </w:r>
      <w:r>
        <w:t>need</w:t>
      </w:r>
      <w:r w:rsidR="00823F92">
        <w:t xml:space="preserve">s </w:t>
      </w:r>
      <w:r>
        <w:t>ma</w:t>
      </w:r>
      <w:r w:rsidR="00823F92">
        <w:t xml:space="preserve">y </w:t>
      </w:r>
      <w:r>
        <w:t>no</w:t>
      </w:r>
      <w:r w:rsidR="00823F92">
        <w:t xml:space="preserve">t </w:t>
      </w:r>
      <w:r>
        <w:t>b</w:t>
      </w:r>
      <w:r w:rsidR="00823F92">
        <w:t xml:space="preserve">e </w:t>
      </w:r>
      <w:r>
        <w:t>me</w:t>
      </w:r>
      <w:r w:rsidR="00823F92">
        <w:t xml:space="preserve">t </w:t>
      </w:r>
      <w:r>
        <w:t>b</w:t>
      </w:r>
      <w:r w:rsidR="00823F92">
        <w:t xml:space="preserve">y </w:t>
      </w:r>
      <w:r>
        <w:t>mainstrea</w:t>
      </w:r>
      <w:r w:rsidR="00823F92">
        <w:t xml:space="preserve">m </w:t>
      </w:r>
      <w:r>
        <w:t>service</w:t>
      </w:r>
      <w:r w:rsidR="00823F92">
        <w:t xml:space="preserve">s </w:t>
      </w:r>
      <w:r>
        <w:t>includin</w:t>
      </w:r>
      <w:r w:rsidR="00823F92">
        <w:t xml:space="preserve">g </w:t>
      </w:r>
      <w:r>
        <w:t>Aborigina</w:t>
      </w:r>
      <w:r w:rsidR="00823F92">
        <w:t xml:space="preserve">l </w:t>
      </w:r>
      <w:r>
        <w:t>an</w:t>
      </w:r>
      <w:r w:rsidR="00823F92">
        <w:t xml:space="preserve">d </w:t>
      </w:r>
      <w:r>
        <w:t>Torre</w:t>
      </w:r>
      <w:r w:rsidR="00823F92">
        <w:t xml:space="preserve">s </w:t>
      </w:r>
      <w:r>
        <w:t>Strai</w:t>
      </w:r>
      <w:r w:rsidR="00823F92">
        <w:t xml:space="preserve">t </w:t>
      </w:r>
      <w:r>
        <w:t>Islande</w:t>
      </w:r>
      <w:r w:rsidR="00823F92">
        <w:t xml:space="preserve">r </w:t>
      </w:r>
      <w:r>
        <w:t>peoples</w:t>
      </w:r>
      <w:r w:rsidR="00823F92">
        <w:t xml:space="preserve">, </w:t>
      </w:r>
      <w:r>
        <w:t>culturall</w:t>
      </w:r>
      <w:r w:rsidR="00823F92">
        <w:t xml:space="preserve">y </w:t>
      </w:r>
      <w:r>
        <w:t>an</w:t>
      </w:r>
      <w:r w:rsidR="00823F92">
        <w:t xml:space="preserve">d </w:t>
      </w:r>
      <w:r>
        <w:t>linguisticall</w:t>
      </w:r>
      <w:r w:rsidR="00823F92">
        <w:t xml:space="preserve">y </w:t>
      </w:r>
      <w:r>
        <w:t>divers</w:t>
      </w:r>
      <w:r w:rsidR="00823F92">
        <w:t xml:space="preserve">e </w:t>
      </w:r>
      <w:r>
        <w:t>communitie</w:t>
      </w:r>
      <w:r w:rsidR="00823F92">
        <w:t xml:space="preserve">s </w:t>
      </w:r>
      <w:r>
        <w:t>an</w:t>
      </w:r>
      <w:r w:rsidR="00823F92">
        <w:t xml:space="preserve">d </w:t>
      </w:r>
      <w:r>
        <w:t>lesbian</w:t>
      </w:r>
      <w:r w:rsidR="00823F92">
        <w:t xml:space="preserve">, </w:t>
      </w:r>
      <w:r>
        <w:t>gay</w:t>
      </w:r>
      <w:r w:rsidR="00823F92">
        <w:t xml:space="preserve">, </w:t>
      </w:r>
      <w:r>
        <w:t>bisexual</w:t>
      </w:r>
      <w:r w:rsidR="00823F92">
        <w:t xml:space="preserve">, </w:t>
      </w:r>
      <w:r>
        <w:t>trans</w:t>
      </w:r>
      <w:r w:rsidR="00823F92">
        <w:t xml:space="preserve">, </w:t>
      </w:r>
      <w:r>
        <w:t>and/o</w:t>
      </w:r>
      <w:r w:rsidR="00823F92">
        <w:t xml:space="preserve">r </w:t>
      </w:r>
      <w:r>
        <w:t>interse</w:t>
      </w:r>
      <w:r w:rsidR="00823F92">
        <w:t xml:space="preserve">x </w:t>
      </w:r>
      <w:r>
        <w:t>(LGBTI+) peopl</w:t>
      </w:r>
      <w:r w:rsidR="00823F92">
        <w:t xml:space="preserve">e </w:t>
      </w:r>
      <w:r>
        <w:t>an</w:t>
      </w:r>
      <w:r w:rsidR="00823F92">
        <w:t xml:space="preserve">d </w:t>
      </w:r>
      <w:r>
        <w:t>communities.</w:t>
      </w:r>
    </w:p>
    <w:p w14:paraId="6A2CC676" w14:textId="7AC384B8" w:rsidR="007F5595" w:rsidRDefault="007F5595" w:rsidP="007F5595">
      <w:pPr>
        <w:pStyle w:val="ListBullet"/>
      </w:pPr>
      <w:r>
        <w:t>Wor</w:t>
      </w:r>
      <w:r w:rsidR="00823F92">
        <w:t xml:space="preserve">k </w:t>
      </w:r>
      <w:r>
        <w:t>i</w:t>
      </w:r>
      <w:r w:rsidR="00823F92">
        <w:t xml:space="preserve">n </w:t>
      </w:r>
      <w:r>
        <w:t>th</w:t>
      </w:r>
      <w:r w:rsidR="00823F92">
        <w:t xml:space="preserve">e </w:t>
      </w:r>
      <w:r>
        <w:t>contex</w:t>
      </w:r>
      <w:r w:rsidR="00823F92">
        <w:t xml:space="preserve">t </w:t>
      </w:r>
      <w:r>
        <w:t>o</w:t>
      </w:r>
      <w:r w:rsidR="00823F92">
        <w:t xml:space="preserve">f </w:t>
      </w:r>
      <w:r>
        <w:t>curren</w:t>
      </w:r>
      <w:r w:rsidR="00823F92">
        <w:t xml:space="preserve">t </w:t>
      </w:r>
      <w:r>
        <w:t>menta</w:t>
      </w:r>
      <w:r w:rsidR="00823F92">
        <w:t xml:space="preserve">l </w:t>
      </w:r>
      <w:r>
        <w:t>healt</w:t>
      </w:r>
      <w:r w:rsidR="00823F92">
        <w:t xml:space="preserve">h </w:t>
      </w:r>
      <w:r>
        <w:t>an</w:t>
      </w:r>
      <w:r w:rsidR="00823F92">
        <w:t xml:space="preserve">d </w:t>
      </w:r>
      <w:r>
        <w:t>broade</w:t>
      </w:r>
      <w:r w:rsidR="00823F92">
        <w:t xml:space="preserve">r </w:t>
      </w:r>
      <w:r>
        <w:t>governmen</w:t>
      </w:r>
      <w:r w:rsidR="00823F92">
        <w:t xml:space="preserve">t </w:t>
      </w:r>
      <w:r>
        <w:t>polic</w:t>
      </w:r>
      <w:r w:rsidR="00823F92">
        <w:t xml:space="preserve">y </w:t>
      </w:r>
      <w:r>
        <w:t>setting</w:t>
      </w:r>
      <w:r w:rsidR="00823F92">
        <w:t xml:space="preserve">s </w:t>
      </w:r>
      <w:r>
        <w:t>o</w:t>
      </w:r>
      <w:r w:rsidR="00823F92">
        <w:t xml:space="preserve">f </w:t>
      </w:r>
      <w:r>
        <w:t>relevanc</w:t>
      </w:r>
      <w:r w:rsidR="00823F92">
        <w:t xml:space="preserve">e </w:t>
      </w:r>
      <w:r>
        <w:t>t</w:t>
      </w:r>
      <w:r w:rsidR="00823F92">
        <w:t xml:space="preserve">o </w:t>
      </w:r>
      <w:r>
        <w:t>th</w:t>
      </w:r>
      <w:r w:rsidR="00823F92">
        <w:t xml:space="preserve">e </w:t>
      </w:r>
      <w:r>
        <w:t>workforce</w:t>
      </w:r>
      <w:r w:rsidR="00823F92">
        <w:t xml:space="preserve">. </w:t>
      </w:r>
      <w:r>
        <w:t>Alignmen</w:t>
      </w:r>
      <w:r w:rsidR="00823F92">
        <w:t xml:space="preserve">t </w:t>
      </w:r>
      <w:r>
        <w:t>wit</w:t>
      </w:r>
      <w:r w:rsidR="00823F92">
        <w:t xml:space="preserve">h </w:t>
      </w:r>
      <w:r>
        <w:t>Th</w:t>
      </w:r>
      <w:r w:rsidR="00823F92">
        <w:t xml:space="preserve">e </w:t>
      </w:r>
      <w:r>
        <w:t>Fift</w:t>
      </w:r>
      <w:r w:rsidR="00823F92">
        <w:t xml:space="preserve">h </w:t>
      </w:r>
      <w:r>
        <w:t>Nationa</w:t>
      </w:r>
      <w:r w:rsidR="00823F92">
        <w:t xml:space="preserve">l </w:t>
      </w:r>
      <w:r>
        <w:t>Menta</w:t>
      </w:r>
      <w:r w:rsidR="00823F92">
        <w:t xml:space="preserve">l </w:t>
      </w:r>
      <w:r>
        <w:t>Healt</w:t>
      </w:r>
      <w:r w:rsidR="00823F92">
        <w:t xml:space="preserve">h </w:t>
      </w:r>
      <w:r>
        <w:t>an</w:t>
      </w:r>
      <w:r w:rsidR="00823F92">
        <w:t xml:space="preserve">d </w:t>
      </w:r>
      <w:r>
        <w:t>Suicid</w:t>
      </w:r>
      <w:r w:rsidR="00823F92">
        <w:t xml:space="preserve">e </w:t>
      </w:r>
      <w:r>
        <w:t>Preventio</w:t>
      </w:r>
      <w:r w:rsidR="00823F92">
        <w:t xml:space="preserve">n </w:t>
      </w:r>
      <w:r>
        <w:t>Pla</w:t>
      </w:r>
      <w:r w:rsidR="00823F92">
        <w:t xml:space="preserve">n </w:t>
      </w:r>
      <w:r>
        <w:t>i</w:t>
      </w:r>
      <w:r w:rsidR="00823F92">
        <w:t xml:space="preserve">s </w:t>
      </w:r>
      <w:r>
        <w:t>essential.</w:t>
      </w:r>
    </w:p>
    <w:p w14:paraId="52C697AD" w14:textId="59714649" w:rsidR="007F5595" w:rsidRDefault="007F5595" w:rsidP="007F5595">
      <w:pPr>
        <w:pStyle w:val="ListBullet"/>
      </w:pPr>
      <w:r>
        <w:t>Hav</w:t>
      </w:r>
      <w:r w:rsidR="00823F92">
        <w:t xml:space="preserve">e </w:t>
      </w:r>
      <w:r>
        <w:t>regar</w:t>
      </w:r>
      <w:r w:rsidR="00823F92">
        <w:t xml:space="preserve">d </w:t>
      </w:r>
      <w:r>
        <w:t>t</w:t>
      </w:r>
      <w:r w:rsidR="00823F92">
        <w:t xml:space="preserve">o </w:t>
      </w:r>
      <w:r>
        <w:t>othe</w:t>
      </w:r>
      <w:r w:rsidR="00823F92">
        <w:t xml:space="preserve">r </w:t>
      </w:r>
      <w:r>
        <w:t>workforc</w:t>
      </w:r>
      <w:r w:rsidR="00823F92">
        <w:t xml:space="preserve">e </w:t>
      </w:r>
      <w:r>
        <w:t>reports</w:t>
      </w:r>
      <w:r w:rsidR="00823F92">
        <w:t xml:space="preserve">, </w:t>
      </w:r>
      <w:r>
        <w:t>strategie</w:t>
      </w:r>
      <w:r w:rsidR="00823F92">
        <w:t xml:space="preserve">s </w:t>
      </w:r>
      <w:r>
        <w:t>an</w:t>
      </w:r>
      <w:r w:rsidR="00823F92">
        <w:t xml:space="preserve">d </w:t>
      </w:r>
      <w:r>
        <w:t>inquiries</w:t>
      </w:r>
      <w:r w:rsidR="00823F92">
        <w:t xml:space="preserve">, </w:t>
      </w:r>
      <w:r>
        <w:t>includin</w:t>
      </w:r>
      <w:r w:rsidR="00823F92">
        <w:t xml:space="preserve">g </w:t>
      </w:r>
      <w:r>
        <w:t>jurisdictiona</w:t>
      </w:r>
      <w:r w:rsidR="00823F92">
        <w:t xml:space="preserve">l </w:t>
      </w:r>
      <w:r>
        <w:t>menta</w:t>
      </w:r>
      <w:r w:rsidR="00823F92">
        <w:t xml:space="preserve">l </w:t>
      </w:r>
      <w:r>
        <w:t>healt</w:t>
      </w:r>
      <w:r w:rsidR="00823F92">
        <w:t xml:space="preserve">h </w:t>
      </w:r>
      <w:r>
        <w:t>workforc</w:t>
      </w:r>
      <w:r w:rsidR="00823F92">
        <w:t xml:space="preserve">e </w:t>
      </w:r>
      <w:r>
        <w:t>strategies</w:t>
      </w:r>
      <w:r w:rsidR="00823F92">
        <w:t xml:space="preserve">, </w:t>
      </w:r>
      <w:r>
        <w:t>i</w:t>
      </w:r>
      <w:r w:rsidR="00823F92">
        <w:t xml:space="preserve">n </w:t>
      </w:r>
      <w:r>
        <w:t>developmen</w:t>
      </w:r>
      <w:r w:rsidR="00823F92">
        <w:t xml:space="preserve">t </w:t>
      </w:r>
      <w:r>
        <w:t>o</w:t>
      </w:r>
      <w:r w:rsidR="00823F92">
        <w:t xml:space="preserve">r </w:t>
      </w:r>
      <w:r>
        <w:t>bein</w:t>
      </w:r>
      <w:r w:rsidR="00823F92">
        <w:t xml:space="preserve">g </w:t>
      </w:r>
      <w:r>
        <w:t>implemented.</w:t>
      </w:r>
    </w:p>
    <w:p w14:paraId="27B59686" w14:textId="217B7D3A" w:rsidR="007F5595" w:rsidRDefault="007F5595" w:rsidP="007F5595">
      <w:pPr>
        <w:pStyle w:val="ListBullet"/>
      </w:pPr>
      <w:r>
        <w:t>Conside</w:t>
      </w:r>
      <w:r w:rsidR="00823F92">
        <w:t xml:space="preserve">r </w:t>
      </w:r>
      <w:r>
        <w:t>appropriat</w:t>
      </w:r>
      <w:r w:rsidR="00823F92">
        <w:t xml:space="preserve">e </w:t>
      </w:r>
      <w:r>
        <w:t>acces</w:t>
      </w:r>
      <w:r w:rsidR="00823F92">
        <w:t xml:space="preserve">s </w:t>
      </w:r>
      <w:r>
        <w:t>t</w:t>
      </w:r>
      <w:r w:rsidR="00823F92">
        <w:t xml:space="preserve">o </w:t>
      </w:r>
      <w:r>
        <w:t>th</w:t>
      </w:r>
      <w:r w:rsidR="00823F92">
        <w:t xml:space="preserve">e </w:t>
      </w:r>
      <w:r>
        <w:t>menta</w:t>
      </w:r>
      <w:r w:rsidR="00823F92">
        <w:t xml:space="preserve">l </w:t>
      </w:r>
      <w:r>
        <w:t>healt</w:t>
      </w:r>
      <w:r w:rsidR="00823F92">
        <w:t xml:space="preserve">h </w:t>
      </w:r>
      <w:r>
        <w:t>workforc</w:t>
      </w:r>
      <w:r w:rsidR="00823F92">
        <w:t xml:space="preserve">e </w:t>
      </w:r>
      <w:r>
        <w:t>fo</w:t>
      </w:r>
      <w:r w:rsidR="00823F92">
        <w:t xml:space="preserve">r </w:t>
      </w:r>
      <w:r>
        <w:t>th</w:t>
      </w:r>
      <w:r w:rsidR="00823F92">
        <w:t xml:space="preserve">e </w:t>
      </w:r>
      <w:r>
        <w:t>specifi</w:t>
      </w:r>
      <w:r w:rsidR="00823F92">
        <w:t xml:space="preserve">c </w:t>
      </w:r>
      <w:r>
        <w:t>need</w:t>
      </w:r>
      <w:r w:rsidR="00823F92">
        <w:t xml:space="preserve">s </w:t>
      </w:r>
      <w:r>
        <w:t>o</w:t>
      </w:r>
      <w:r w:rsidR="00823F92">
        <w:t xml:space="preserve">f </w:t>
      </w:r>
      <w:r>
        <w:t>regional</w:t>
      </w:r>
      <w:r w:rsidR="00823F92">
        <w:t xml:space="preserve">, </w:t>
      </w:r>
      <w:r>
        <w:t>rural</w:t>
      </w:r>
      <w:r w:rsidR="00823F92">
        <w:t xml:space="preserve">, </w:t>
      </w:r>
      <w:r>
        <w:t>remot</w:t>
      </w:r>
      <w:r w:rsidR="00823F92">
        <w:t xml:space="preserve">e </w:t>
      </w:r>
      <w:r>
        <w:t>an</w:t>
      </w:r>
      <w:r w:rsidR="00823F92">
        <w:t xml:space="preserve">d </w:t>
      </w:r>
      <w:r>
        <w:t>ver</w:t>
      </w:r>
      <w:r w:rsidR="00823F92">
        <w:t xml:space="preserve">y </w:t>
      </w:r>
      <w:r>
        <w:t>remot</w:t>
      </w:r>
      <w:r w:rsidR="00823F92">
        <w:t xml:space="preserve">e </w:t>
      </w:r>
      <w:r>
        <w:t>communities.</w:t>
      </w:r>
    </w:p>
    <w:p w14:paraId="7C5C61E0" w14:textId="34886F05" w:rsidR="007F5595" w:rsidRDefault="007F5595" w:rsidP="007F5595">
      <w:pPr>
        <w:pStyle w:val="ListBullet"/>
      </w:pPr>
      <w:r>
        <w:t>Se</w:t>
      </w:r>
      <w:r w:rsidR="00823F92">
        <w:t xml:space="preserve">t </w:t>
      </w:r>
      <w:r>
        <w:t>target</w:t>
      </w:r>
      <w:r w:rsidR="00823F92">
        <w:t xml:space="preserve">s </w:t>
      </w:r>
      <w:r>
        <w:t>t</w:t>
      </w:r>
      <w:r w:rsidR="00823F92">
        <w:t xml:space="preserve">o </w:t>
      </w:r>
      <w:r>
        <w:t>attrac</w:t>
      </w:r>
      <w:r w:rsidR="00823F92">
        <w:t xml:space="preserve">t </w:t>
      </w:r>
      <w:r>
        <w:t>an</w:t>
      </w:r>
      <w:r w:rsidR="00823F92">
        <w:t xml:space="preserve">d </w:t>
      </w:r>
      <w:r>
        <w:t>retai</w:t>
      </w:r>
      <w:r w:rsidR="00823F92">
        <w:t xml:space="preserve">n </w:t>
      </w:r>
      <w:r>
        <w:t>workers</w:t>
      </w:r>
      <w:r w:rsidR="00823F92">
        <w:t xml:space="preserve">, </w:t>
      </w:r>
      <w:r>
        <w:t>an</w:t>
      </w:r>
      <w:r w:rsidR="00823F92">
        <w:t xml:space="preserve">d </w:t>
      </w:r>
      <w:r>
        <w:t>establis</w:t>
      </w:r>
      <w:r w:rsidR="00823F92">
        <w:t xml:space="preserve">h a </w:t>
      </w:r>
      <w:r>
        <w:t>syste</w:t>
      </w:r>
      <w:r w:rsidR="00823F92">
        <w:t xml:space="preserve">m </w:t>
      </w:r>
      <w:r>
        <w:t>t</w:t>
      </w:r>
      <w:r w:rsidR="00823F92">
        <w:t xml:space="preserve">o </w:t>
      </w:r>
      <w:r>
        <w:t>monito</w:t>
      </w:r>
      <w:r w:rsidR="00823F92">
        <w:t xml:space="preserve">r </w:t>
      </w:r>
      <w:r>
        <w:t>an</w:t>
      </w:r>
      <w:r w:rsidR="00823F92">
        <w:t xml:space="preserve">d </w:t>
      </w:r>
      <w:r>
        <w:t>repor</w:t>
      </w:r>
      <w:r w:rsidR="00823F92">
        <w:t xml:space="preserve">t </w:t>
      </w:r>
      <w:r>
        <w:t>progres</w:t>
      </w:r>
      <w:r w:rsidR="00823F92">
        <w:t xml:space="preserve">s </w:t>
      </w:r>
      <w:r>
        <w:t>i</w:t>
      </w:r>
      <w:r w:rsidR="00823F92">
        <w:t xml:space="preserve">n </w:t>
      </w:r>
      <w:r>
        <w:t>achievin</w:t>
      </w:r>
      <w:r w:rsidR="00823F92">
        <w:t xml:space="preserve">g </w:t>
      </w:r>
      <w:r>
        <w:t>targets.</w:t>
      </w:r>
    </w:p>
    <w:p w14:paraId="7F23CE59" w14:textId="6805FEAF" w:rsidR="007F5595" w:rsidRDefault="007F5595" w:rsidP="007F5595">
      <w:pPr>
        <w:pStyle w:val="ListBullet"/>
      </w:pPr>
      <w:r>
        <w:t>Provid</w:t>
      </w:r>
      <w:r w:rsidR="00823F92">
        <w:t xml:space="preserve">e </w:t>
      </w:r>
      <w:r>
        <w:t>recommendation</w:t>
      </w:r>
      <w:r w:rsidR="00823F92">
        <w:t xml:space="preserve">s </w:t>
      </w:r>
      <w:r>
        <w:t>o</w:t>
      </w:r>
      <w:r w:rsidR="00823F92">
        <w:t xml:space="preserve">n </w:t>
      </w:r>
      <w:r>
        <w:t>ho</w:t>
      </w:r>
      <w:r w:rsidR="00823F92">
        <w:t xml:space="preserve">w </w:t>
      </w:r>
      <w:r>
        <w:t>t</w:t>
      </w:r>
      <w:r w:rsidR="00823F92">
        <w:t xml:space="preserve">o </w:t>
      </w:r>
      <w:r>
        <w:t>strengthe</w:t>
      </w:r>
      <w:r w:rsidR="00823F92">
        <w:t xml:space="preserve">n </w:t>
      </w:r>
      <w:r>
        <w:t>dat</w:t>
      </w:r>
      <w:r w:rsidR="00823F92">
        <w:t xml:space="preserve">a </w:t>
      </w:r>
      <w:r>
        <w:t>o</w:t>
      </w:r>
      <w:r w:rsidR="00823F92">
        <w:t xml:space="preserve">n </w:t>
      </w:r>
      <w:r>
        <w:t>th</w:t>
      </w:r>
      <w:r w:rsidR="00823F92">
        <w:t xml:space="preserve">e </w:t>
      </w:r>
      <w:r>
        <w:t>menta</w:t>
      </w:r>
      <w:r w:rsidR="00823F92">
        <w:t xml:space="preserve">l </w:t>
      </w:r>
      <w:r>
        <w:t>healt</w:t>
      </w:r>
      <w:r w:rsidR="00823F92">
        <w:t xml:space="preserve">h </w:t>
      </w:r>
      <w:r>
        <w:t>workforce.</w:t>
      </w:r>
    </w:p>
    <w:p w14:paraId="1BB035D4" w14:textId="130EACC5" w:rsidR="007F5595" w:rsidRDefault="007F5595" w:rsidP="00C077D5">
      <w:pPr>
        <w:pStyle w:val="Heading2AP"/>
        <w:keepLines/>
      </w:pPr>
      <w:bookmarkStart w:id="27" w:name="_Toc99018999"/>
      <w:r>
        <w:lastRenderedPageBreak/>
        <w:t>Operatio</w:t>
      </w:r>
      <w:r w:rsidR="00823F92">
        <w:t xml:space="preserve">n </w:t>
      </w:r>
      <w:r>
        <w:t>o</w:t>
      </w:r>
      <w:r w:rsidR="00823F92">
        <w:t xml:space="preserve">f </w:t>
      </w:r>
      <w:r>
        <w:t>th</w:t>
      </w:r>
      <w:r w:rsidR="00823F92">
        <w:t xml:space="preserve">e </w:t>
      </w:r>
      <w:r>
        <w:t>Nationa</w:t>
      </w:r>
      <w:r w:rsidR="00823F92">
        <w:t xml:space="preserve">l </w:t>
      </w:r>
      <w:r>
        <w:t>Menta</w:t>
      </w:r>
      <w:r w:rsidR="00823F92">
        <w:t xml:space="preserve">l </w:t>
      </w:r>
      <w:r>
        <w:t>Healt</w:t>
      </w:r>
      <w:r w:rsidR="00823F92">
        <w:t xml:space="preserve">h </w:t>
      </w:r>
      <w:r>
        <w:t>Workforc</w:t>
      </w:r>
      <w:r w:rsidR="00823F92">
        <w:t xml:space="preserve">e </w:t>
      </w:r>
      <w:r>
        <w:t>Strateg</w:t>
      </w:r>
      <w:r w:rsidR="00823F92">
        <w:t xml:space="preserve">y </w:t>
      </w:r>
      <w:r>
        <w:t>Taskforce</w:t>
      </w:r>
      <w:bookmarkEnd w:id="27"/>
    </w:p>
    <w:p w14:paraId="520DC57B" w14:textId="4C92DA04" w:rsidR="007F5595" w:rsidRDefault="007F5595" w:rsidP="00C077D5">
      <w:pPr>
        <w:pStyle w:val="BodyText"/>
        <w:keepNext/>
        <w:keepLines/>
      </w:pPr>
      <w:r>
        <w:t>Th</w:t>
      </w:r>
      <w:r w:rsidR="00823F92">
        <w:t xml:space="preserve">e </w:t>
      </w:r>
      <w:r>
        <w:t>Taskforc</w:t>
      </w:r>
      <w:r w:rsidR="00823F92">
        <w:t xml:space="preserve">e </w:t>
      </w:r>
      <w:r>
        <w:t>wil</w:t>
      </w:r>
      <w:r w:rsidR="00823F92">
        <w:t xml:space="preserve">l </w:t>
      </w:r>
      <w:r>
        <w:t>b</w:t>
      </w:r>
      <w:r w:rsidR="00823F92">
        <w:t xml:space="preserve">e </w:t>
      </w:r>
      <w:r>
        <w:t>co-chaire</w:t>
      </w:r>
      <w:r w:rsidR="00823F92">
        <w:t xml:space="preserve">d </w:t>
      </w:r>
      <w:r>
        <w:t>b</w:t>
      </w:r>
      <w:r w:rsidR="00823F92">
        <w:t xml:space="preserve">y </w:t>
      </w:r>
      <w:r>
        <w:t>Jennife</w:t>
      </w:r>
      <w:r w:rsidR="00823F92">
        <w:t xml:space="preserve">r </w:t>
      </w:r>
      <w:r>
        <w:t>Taylo</w:t>
      </w:r>
      <w:r w:rsidR="00823F92">
        <w:t xml:space="preserve">r </w:t>
      </w:r>
      <w:r>
        <w:t>PS</w:t>
      </w:r>
      <w:r w:rsidR="00823F92">
        <w:t xml:space="preserve">M </w:t>
      </w:r>
      <w:r>
        <w:t>an</w:t>
      </w:r>
      <w:r w:rsidR="00823F92">
        <w:t xml:space="preserve">d </w:t>
      </w:r>
      <w:r>
        <w:t>Thoma</w:t>
      </w:r>
      <w:r w:rsidR="00823F92">
        <w:t xml:space="preserve">s </w:t>
      </w:r>
      <w:r>
        <w:t>Brideson</w:t>
      </w:r>
      <w:r w:rsidR="00823F92">
        <w:t xml:space="preserve">. </w:t>
      </w:r>
      <w:r>
        <w:t>Membershi</w:t>
      </w:r>
      <w:r w:rsidR="00823F92">
        <w:t xml:space="preserve">p </w:t>
      </w:r>
      <w:r>
        <w:t>o</w:t>
      </w:r>
      <w:r w:rsidR="00823F92">
        <w:t xml:space="preserve">f </w:t>
      </w:r>
      <w:r>
        <w:t>th</w:t>
      </w:r>
      <w:r w:rsidR="00823F92">
        <w:t xml:space="preserve">e </w:t>
      </w:r>
      <w:r>
        <w:t>Taskforc</w:t>
      </w:r>
      <w:r w:rsidR="00823F92">
        <w:t xml:space="preserve">e </w:t>
      </w:r>
      <w:r>
        <w:t>wil</w:t>
      </w:r>
      <w:r w:rsidR="00823F92">
        <w:t xml:space="preserve">l </w:t>
      </w:r>
      <w:r>
        <w:t>b</w:t>
      </w:r>
      <w:r w:rsidR="00823F92">
        <w:t xml:space="preserve">e </w:t>
      </w:r>
      <w:r>
        <w:t>settle</w:t>
      </w:r>
      <w:r w:rsidR="00823F92">
        <w:t xml:space="preserve">d </w:t>
      </w:r>
      <w:r>
        <w:t>b</w:t>
      </w:r>
      <w:r w:rsidR="00823F92">
        <w:t xml:space="preserve">y </w:t>
      </w:r>
      <w:r>
        <w:t>th</w:t>
      </w:r>
      <w:r w:rsidR="00823F92">
        <w:t xml:space="preserve">e </w:t>
      </w:r>
      <w:r>
        <w:t>Ministe</w:t>
      </w:r>
      <w:r w:rsidR="00823F92">
        <w:t xml:space="preserve">r </w:t>
      </w:r>
      <w:r>
        <w:t>fo</w:t>
      </w:r>
      <w:r w:rsidR="00823F92">
        <w:t xml:space="preserve">r </w:t>
      </w:r>
      <w:r>
        <w:t>Health</w:t>
      </w:r>
      <w:r w:rsidR="00823F92">
        <w:t xml:space="preserve">, </w:t>
      </w:r>
      <w:r>
        <w:t>i</w:t>
      </w:r>
      <w:r w:rsidR="00823F92">
        <w:t xml:space="preserve">n </w:t>
      </w:r>
      <w:r>
        <w:t>consultatio</w:t>
      </w:r>
      <w:r w:rsidR="00823F92">
        <w:t xml:space="preserve">n </w:t>
      </w:r>
      <w:r>
        <w:t>wit</w:t>
      </w:r>
      <w:r w:rsidR="00823F92">
        <w:t xml:space="preserve">h </w:t>
      </w:r>
      <w:r>
        <w:t>co-Chairs</w:t>
      </w:r>
      <w:r w:rsidR="00823F92">
        <w:t xml:space="preserve">. </w:t>
      </w:r>
      <w:r>
        <w:t>Member</w:t>
      </w:r>
      <w:r w:rsidR="00823F92">
        <w:t xml:space="preserve">s </w:t>
      </w:r>
      <w:r>
        <w:t>wil</w:t>
      </w:r>
      <w:r w:rsidR="00823F92">
        <w:t xml:space="preserve">l </w:t>
      </w:r>
      <w:r>
        <w:t>b</w:t>
      </w:r>
      <w:r w:rsidR="00823F92">
        <w:t xml:space="preserve">e </w:t>
      </w:r>
      <w:r>
        <w:t>draw</w:t>
      </w:r>
      <w:r w:rsidR="00823F92">
        <w:t xml:space="preserve">n </w:t>
      </w:r>
      <w:r>
        <w:t>fro</w:t>
      </w:r>
      <w:r w:rsidR="00823F92">
        <w:t xml:space="preserve">m </w:t>
      </w:r>
      <w:r>
        <w:t>th</w:t>
      </w:r>
      <w:r w:rsidR="00823F92">
        <w:t xml:space="preserve">e </w:t>
      </w:r>
      <w:r>
        <w:t>followin</w:t>
      </w:r>
      <w:r w:rsidR="00823F92">
        <w:t xml:space="preserve">g </w:t>
      </w:r>
      <w:r>
        <w:t>professiona</w:t>
      </w:r>
      <w:r w:rsidR="00823F92">
        <w:t xml:space="preserve">l </w:t>
      </w:r>
      <w:r>
        <w:t>groups:</w:t>
      </w:r>
    </w:p>
    <w:p w14:paraId="755DD3C0" w14:textId="42CB0003" w:rsidR="007F5595" w:rsidRDefault="007F5595" w:rsidP="00C077D5">
      <w:pPr>
        <w:pStyle w:val="ListBullet"/>
        <w:keepNext/>
        <w:keepLines/>
      </w:pPr>
      <w:r>
        <w:t>Professiona</w:t>
      </w:r>
      <w:r w:rsidR="00823F92">
        <w:t xml:space="preserve">l </w:t>
      </w:r>
      <w:r>
        <w:t>an</w:t>
      </w:r>
      <w:r w:rsidR="00823F92">
        <w:t xml:space="preserve">d </w:t>
      </w:r>
      <w:r>
        <w:t>occupationa</w:t>
      </w:r>
      <w:r w:rsidR="00823F92">
        <w:t xml:space="preserve">l </w:t>
      </w:r>
      <w:r>
        <w:t>pea</w:t>
      </w:r>
      <w:r w:rsidR="00823F92">
        <w:t xml:space="preserve">k </w:t>
      </w:r>
      <w:r>
        <w:t>bodies</w:t>
      </w:r>
    </w:p>
    <w:p w14:paraId="2B916550" w14:textId="6116D7F7" w:rsidR="007F5595" w:rsidRDefault="007F5595" w:rsidP="00C077D5">
      <w:pPr>
        <w:pStyle w:val="ListBullet"/>
        <w:keepNext/>
        <w:keepLines/>
      </w:pPr>
      <w:r>
        <w:t>Provide</w:t>
      </w:r>
      <w:r w:rsidR="00823F92">
        <w:t xml:space="preserve">r </w:t>
      </w:r>
      <w:r>
        <w:t>pea</w:t>
      </w:r>
      <w:r w:rsidR="00823F92">
        <w:t xml:space="preserve">k </w:t>
      </w:r>
      <w:r>
        <w:t>bodie</w:t>
      </w:r>
      <w:r w:rsidR="00823F92">
        <w:t xml:space="preserve">s </w:t>
      </w:r>
      <w:r>
        <w:t>an</w:t>
      </w:r>
      <w:r w:rsidR="00823F92">
        <w:t xml:space="preserve">d </w:t>
      </w:r>
      <w:r>
        <w:t>representatives</w:t>
      </w:r>
    </w:p>
    <w:p w14:paraId="03E86B95" w14:textId="4A6397A4" w:rsidR="007F5595" w:rsidRDefault="007F5595" w:rsidP="00C077D5">
      <w:pPr>
        <w:pStyle w:val="ListBullet"/>
        <w:keepNext/>
        <w:keepLines/>
      </w:pPr>
      <w:r>
        <w:t>Consumer</w:t>
      </w:r>
      <w:r w:rsidR="00823F92">
        <w:t xml:space="preserve">s </w:t>
      </w:r>
      <w:r>
        <w:t>an</w:t>
      </w:r>
      <w:r w:rsidR="00823F92">
        <w:t xml:space="preserve">d </w:t>
      </w:r>
      <w:r>
        <w:t>Carers</w:t>
      </w:r>
    </w:p>
    <w:p w14:paraId="0673EB7B" w14:textId="6C2DF037" w:rsidR="007F5595" w:rsidRDefault="007F5595" w:rsidP="00C077D5">
      <w:pPr>
        <w:pStyle w:val="ListBullet"/>
        <w:keepNext/>
        <w:keepLines/>
      </w:pPr>
      <w:r>
        <w:t>State/territor</w:t>
      </w:r>
      <w:r w:rsidR="00823F92">
        <w:t xml:space="preserve">y </w:t>
      </w:r>
      <w:r>
        <w:t>representation</w:t>
      </w:r>
    </w:p>
    <w:p w14:paraId="281D7193" w14:textId="08EF8854" w:rsidR="007F5595" w:rsidRDefault="007F5595" w:rsidP="00C077D5">
      <w:pPr>
        <w:pStyle w:val="ListBullet"/>
        <w:keepNext/>
        <w:keepLines/>
      </w:pPr>
      <w:r>
        <w:t>Educatio</w:t>
      </w:r>
      <w:r w:rsidR="00823F92">
        <w:t xml:space="preserve">n </w:t>
      </w:r>
      <w:r>
        <w:t>secto</w:t>
      </w:r>
      <w:r w:rsidR="00823F92">
        <w:t xml:space="preserve">r </w:t>
      </w:r>
      <w:r>
        <w:t>representation</w:t>
      </w:r>
    </w:p>
    <w:p w14:paraId="0C9AEE78" w14:textId="68DE2384" w:rsidR="007F5595" w:rsidRDefault="007F5595" w:rsidP="00C077D5">
      <w:pPr>
        <w:pStyle w:val="ListBullet"/>
        <w:keepNext/>
        <w:keepLines/>
      </w:pPr>
      <w:r>
        <w:t>Aborigina</w:t>
      </w:r>
      <w:r w:rsidR="00823F92">
        <w:t xml:space="preserve">l </w:t>
      </w:r>
      <w:r>
        <w:t>an</w:t>
      </w:r>
      <w:r w:rsidR="00823F92">
        <w:t xml:space="preserve">d </w:t>
      </w:r>
      <w:r>
        <w:t>Torre</w:t>
      </w:r>
      <w:r w:rsidR="00823F92">
        <w:t xml:space="preserve">s </w:t>
      </w:r>
      <w:r>
        <w:t>Strai</w:t>
      </w:r>
      <w:r w:rsidR="00823F92">
        <w:t xml:space="preserve">t </w:t>
      </w:r>
      <w:r>
        <w:t>Islande</w:t>
      </w:r>
      <w:r w:rsidR="00823F92">
        <w:t xml:space="preserve">r </w:t>
      </w:r>
      <w:r>
        <w:t>secto</w:t>
      </w:r>
      <w:r w:rsidR="00823F92">
        <w:t xml:space="preserve">r </w:t>
      </w:r>
      <w:r>
        <w:t>representation</w:t>
      </w:r>
    </w:p>
    <w:p w14:paraId="2EBB31CF" w14:textId="1BF37B68" w:rsidR="007F5595" w:rsidRDefault="007F5595" w:rsidP="007F5595">
      <w:pPr>
        <w:pStyle w:val="ListBullet"/>
      </w:pPr>
      <w:r>
        <w:t>Economic</w:t>
      </w:r>
      <w:r w:rsidR="00823F92">
        <w:t xml:space="preserve">s </w:t>
      </w:r>
      <w:r>
        <w:t>representatives</w:t>
      </w:r>
    </w:p>
    <w:p w14:paraId="5E729F39" w14:textId="62F53632" w:rsidR="007F5595" w:rsidRDefault="007F5595" w:rsidP="007F5595">
      <w:pPr>
        <w:pStyle w:val="BodyText"/>
      </w:pPr>
      <w:r>
        <w:t>Th</w:t>
      </w:r>
      <w:r w:rsidR="00823F92">
        <w:t xml:space="preserve">e </w:t>
      </w:r>
      <w:r>
        <w:t>Taskforc</w:t>
      </w:r>
      <w:r w:rsidR="00823F92">
        <w:t xml:space="preserve">e </w:t>
      </w:r>
      <w:r>
        <w:t>i</w:t>
      </w:r>
      <w:r w:rsidR="00823F92">
        <w:t xml:space="preserve">s </w:t>
      </w:r>
      <w:r>
        <w:t>expecte</w:t>
      </w:r>
      <w:r w:rsidR="00823F92">
        <w:t xml:space="preserve">d </w:t>
      </w:r>
      <w:r>
        <w:t>t</w:t>
      </w:r>
      <w:r w:rsidR="00823F92">
        <w:t xml:space="preserve">o </w:t>
      </w:r>
      <w:r>
        <w:t>mee</w:t>
      </w:r>
      <w:r w:rsidR="00823F92">
        <w:t xml:space="preserve">t </w:t>
      </w:r>
      <w:r>
        <w:t>approximatel</w:t>
      </w:r>
      <w:r w:rsidR="00823F92">
        <w:t xml:space="preserve">y </w:t>
      </w:r>
      <w:r>
        <w:t>nin</w:t>
      </w:r>
      <w:r w:rsidR="00823F92">
        <w:t xml:space="preserve">e </w:t>
      </w:r>
      <w:r>
        <w:t>time</w:t>
      </w:r>
      <w:r w:rsidR="00823F92">
        <w:t xml:space="preserve">s </w:t>
      </w:r>
      <w:r>
        <w:t>betwee</w:t>
      </w:r>
      <w:r w:rsidR="00823F92">
        <w:t xml:space="preserve">n </w:t>
      </w:r>
      <w:r>
        <w:t>Januar</w:t>
      </w:r>
      <w:r w:rsidR="00823F92">
        <w:t xml:space="preserve">y </w:t>
      </w:r>
      <w:r>
        <w:t>202</w:t>
      </w:r>
      <w:r w:rsidR="00823F92">
        <w:t xml:space="preserve">0 </w:t>
      </w:r>
      <w:r>
        <w:t>an</w:t>
      </w:r>
      <w:r w:rsidR="00823F92">
        <w:t xml:space="preserve">d </w:t>
      </w:r>
      <w:r>
        <w:t>Jun</w:t>
      </w:r>
      <w:r w:rsidR="00823F92">
        <w:t xml:space="preserve">e </w:t>
      </w:r>
      <w:r>
        <w:t>2021</w:t>
      </w:r>
      <w:r w:rsidR="00823F92">
        <w:t xml:space="preserve">. </w:t>
      </w:r>
      <w:r>
        <w:t>Th</w:t>
      </w:r>
      <w:r w:rsidR="00823F92">
        <w:t xml:space="preserve">e </w:t>
      </w:r>
      <w:r>
        <w:t>Taskforc</w:t>
      </w:r>
      <w:r w:rsidR="00823F92">
        <w:t xml:space="preserve">e </w:t>
      </w:r>
      <w:r>
        <w:t>wil</w:t>
      </w:r>
      <w:r w:rsidR="00823F92">
        <w:t xml:space="preserve">l </w:t>
      </w:r>
      <w:r>
        <w:t>provid</w:t>
      </w:r>
      <w:r w:rsidR="00823F92">
        <w:t xml:space="preserve">e </w:t>
      </w:r>
      <w:r>
        <w:t>initia</w:t>
      </w:r>
      <w:r w:rsidR="00823F92">
        <w:t xml:space="preserve">l </w:t>
      </w:r>
      <w:r>
        <w:t>recommendation</w:t>
      </w:r>
      <w:r w:rsidR="00823F92">
        <w:t xml:space="preserve">s </w:t>
      </w:r>
      <w:r>
        <w:t>t</w:t>
      </w:r>
      <w:r w:rsidR="00823F92">
        <w:t xml:space="preserve">o </w:t>
      </w:r>
      <w:r>
        <w:t>th</w:t>
      </w:r>
      <w:r w:rsidR="00823F92">
        <w:t xml:space="preserve">e </w:t>
      </w:r>
      <w:r>
        <w:t>Governmen</w:t>
      </w:r>
      <w:r w:rsidR="00823F92">
        <w:t xml:space="preserve">t </w:t>
      </w:r>
      <w:r>
        <w:t>b</w:t>
      </w:r>
      <w:r w:rsidR="00823F92">
        <w:t xml:space="preserve">y </w:t>
      </w:r>
      <w:r>
        <w:t>Decembe</w:t>
      </w:r>
      <w:r w:rsidR="00823F92">
        <w:t xml:space="preserve">r </w:t>
      </w:r>
      <w:r>
        <w:t>2020</w:t>
      </w:r>
      <w:r w:rsidR="00823F92">
        <w:t xml:space="preserve">. A </w:t>
      </w:r>
      <w:r>
        <w:t>fina</w:t>
      </w:r>
      <w:r w:rsidR="00823F92">
        <w:t xml:space="preserve">l </w:t>
      </w:r>
      <w:r>
        <w:t>repor</w:t>
      </w:r>
      <w:r w:rsidR="00823F92">
        <w:t xml:space="preserve">t </w:t>
      </w:r>
      <w:r>
        <w:t>wil</w:t>
      </w:r>
      <w:r w:rsidR="00823F92">
        <w:t xml:space="preserve">l </w:t>
      </w:r>
      <w:r>
        <w:t>b</w:t>
      </w:r>
      <w:r w:rsidR="00823F92">
        <w:t xml:space="preserve">e </w:t>
      </w:r>
      <w:r>
        <w:t>provide</w:t>
      </w:r>
      <w:r w:rsidR="00823F92">
        <w:t xml:space="preserve">d </w:t>
      </w:r>
      <w:r>
        <w:t>t</w:t>
      </w:r>
      <w:r w:rsidR="00823F92">
        <w:t xml:space="preserve">o </w:t>
      </w:r>
      <w:r>
        <w:t>Governmen</w:t>
      </w:r>
      <w:r w:rsidR="00823F92">
        <w:t xml:space="preserve">t </w:t>
      </w:r>
      <w:r>
        <w:t>b</w:t>
      </w:r>
      <w:r w:rsidR="00823F92">
        <w:t xml:space="preserve">y </w:t>
      </w:r>
      <w:r>
        <w:t>Jun</w:t>
      </w:r>
      <w:r w:rsidR="00823F92">
        <w:t xml:space="preserve">e </w:t>
      </w:r>
      <w:r>
        <w:t>202</w:t>
      </w:r>
      <w:r w:rsidR="00823F92">
        <w:t xml:space="preserve">1 </w:t>
      </w:r>
      <w:r>
        <w:t>prio</w:t>
      </w:r>
      <w:r w:rsidR="00823F92">
        <w:t xml:space="preserve">r </w:t>
      </w:r>
      <w:r>
        <w:t>t</w:t>
      </w:r>
      <w:r w:rsidR="00823F92">
        <w:t xml:space="preserve">o </w:t>
      </w:r>
      <w:r>
        <w:t>endorsemen</w:t>
      </w:r>
      <w:r w:rsidR="00823F92">
        <w:t xml:space="preserve">t </w:t>
      </w:r>
      <w:r>
        <w:t>b</w:t>
      </w:r>
      <w:r w:rsidR="00823F92">
        <w:t xml:space="preserve">y </w:t>
      </w:r>
      <w:r>
        <w:t>th</w:t>
      </w:r>
      <w:r w:rsidR="00823F92">
        <w:t xml:space="preserve">e </w:t>
      </w:r>
      <w:r>
        <w:t>Australia</w:t>
      </w:r>
      <w:r w:rsidR="00823F92">
        <w:t xml:space="preserve">n </w:t>
      </w:r>
      <w:r>
        <w:t>Healt</w:t>
      </w:r>
      <w:r w:rsidR="00823F92">
        <w:t xml:space="preserve">h </w:t>
      </w:r>
      <w:r>
        <w:t>Minister’</w:t>
      </w:r>
      <w:r w:rsidR="00823F92">
        <w:t xml:space="preserve">s </w:t>
      </w:r>
      <w:r>
        <w:t>Advisor</w:t>
      </w:r>
      <w:r w:rsidR="00823F92">
        <w:t xml:space="preserve">y </w:t>
      </w:r>
      <w:r>
        <w:t>Council.</w:t>
      </w:r>
    </w:p>
    <w:p w14:paraId="6E53436B" w14:textId="400D9F24" w:rsidR="007F5595" w:rsidRDefault="007F5595" w:rsidP="007F5595">
      <w:pPr>
        <w:pStyle w:val="BodyText"/>
      </w:pPr>
      <w:r>
        <w:t>Th</w:t>
      </w:r>
      <w:r w:rsidR="00823F92">
        <w:t xml:space="preserve">e </w:t>
      </w:r>
      <w:r>
        <w:t>Taskforce</w:t>
      </w:r>
      <w:r w:rsidR="00823F92">
        <w:t xml:space="preserve">, </w:t>
      </w:r>
      <w:r>
        <w:t>i</w:t>
      </w:r>
      <w:r w:rsidR="00823F92">
        <w:t xml:space="preserve">n </w:t>
      </w:r>
      <w:r>
        <w:t>consultatio</w:t>
      </w:r>
      <w:r w:rsidR="00823F92">
        <w:t xml:space="preserve">n </w:t>
      </w:r>
      <w:r>
        <w:t>wit</w:t>
      </w:r>
      <w:r w:rsidR="00823F92">
        <w:t xml:space="preserve">h </w:t>
      </w:r>
      <w:r>
        <w:t>th</w:t>
      </w:r>
      <w:r w:rsidR="00823F92">
        <w:t xml:space="preserve">e </w:t>
      </w:r>
      <w:r>
        <w:t>Departmen</w:t>
      </w:r>
      <w:r w:rsidR="00823F92">
        <w:t xml:space="preserve">t </w:t>
      </w:r>
      <w:r>
        <w:t>o</w:t>
      </w:r>
      <w:r w:rsidR="00823F92">
        <w:t xml:space="preserve">f </w:t>
      </w:r>
      <w:r>
        <w:t>Health</w:t>
      </w:r>
      <w:r w:rsidR="00823F92">
        <w:t xml:space="preserve">, </w:t>
      </w:r>
      <w:r>
        <w:t>ha</w:t>
      </w:r>
      <w:r w:rsidR="00823F92">
        <w:t xml:space="preserve">s </w:t>
      </w:r>
      <w:r>
        <w:t>th</w:t>
      </w:r>
      <w:r w:rsidR="00823F92">
        <w:t xml:space="preserve">e </w:t>
      </w:r>
      <w:r>
        <w:t>capacit</w:t>
      </w:r>
      <w:r w:rsidR="00823F92">
        <w:t xml:space="preserve">y </w:t>
      </w:r>
      <w:r>
        <w:t>t</w:t>
      </w:r>
      <w:r w:rsidR="00823F92">
        <w:t xml:space="preserve">o </w:t>
      </w:r>
      <w:r>
        <w:t>commissio</w:t>
      </w:r>
      <w:r w:rsidR="00823F92">
        <w:t xml:space="preserve">n </w:t>
      </w:r>
      <w:r>
        <w:t>an</w:t>
      </w:r>
      <w:r w:rsidR="00823F92">
        <w:t xml:space="preserve">d </w:t>
      </w:r>
      <w:r>
        <w:t>consul</w:t>
      </w:r>
      <w:r w:rsidR="00823F92">
        <w:t xml:space="preserve">t </w:t>
      </w:r>
      <w:r>
        <w:t>experts</w:t>
      </w:r>
      <w:r w:rsidR="00823F92">
        <w:t xml:space="preserve">, </w:t>
      </w:r>
      <w:r>
        <w:t>an</w:t>
      </w:r>
      <w:r w:rsidR="00823F92">
        <w:t xml:space="preserve">d </w:t>
      </w:r>
      <w:r>
        <w:t>engag</w:t>
      </w:r>
      <w:r w:rsidR="00823F92">
        <w:t xml:space="preserve">e </w:t>
      </w:r>
      <w:r>
        <w:t>i</w:t>
      </w:r>
      <w:r w:rsidR="00823F92">
        <w:t xml:space="preserve">n </w:t>
      </w:r>
      <w:r>
        <w:t>broa</w:t>
      </w:r>
      <w:r w:rsidR="00823F92">
        <w:t xml:space="preserve">d </w:t>
      </w:r>
      <w:r>
        <w:t>stakeholde</w:t>
      </w:r>
      <w:r w:rsidR="00823F92">
        <w:t xml:space="preserve">r </w:t>
      </w:r>
      <w:r>
        <w:t>an</w:t>
      </w:r>
      <w:r w:rsidR="00823F92">
        <w:t xml:space="preserve">d </w:t>
      </w:r>
      <w:r>
        <w:t>communit</w:t>
      </w:r>
      <w:r w:rsidR="00823F92">
        <w:t xml:space="preserve">y </w:t>
      </w:r>
      <w:r>
        <w:t>consultation.</w:t>
      </w:r>
    </w:p>
    <w:p w14:paraId="2F6E2079" w14:textId="1B1BC2D8" w:rsidR="00801BFE" w:rsidRDefault="007F5595" w:rsidP="00801BFE">
      <w:pPr>
        <w:pStyle w:val="BodyText"/>
      </w:pPr>
      <w:r>
        <w:t>Th</w:t>
      </w:r>
      <w:r w:rsidR="00823F92">
        <w:t xml:space="preserve">e </w:t>
      </w:r>
      <w:r>
        <w:t>Departmen</w:t>
      </w:r>
      <w:r w:rsidR="00823F92">
        <w:t xml:space="preserve">t </w:t>
      </w:r>
      <w:r>
        <w:t>o</w:t>
      </w:r>
      <w:r w:rsidR="00823F92">
        <w:t xml:space="preserve">f </w:t>
      </w:r>
      <w:r>
        <w:t>Healt</w:t>
      </w:r>
      <w:r w:rsidR="00823F92">
        <w:t xml:space="preserve">h </w:t>
      </w:r>
      <w:r>
        <w:t>wil</w:t>
      </w:r>
      <w:r w:rsidR="00823F92">
        <w:t xml:space="preserve">l </w:t>
      </w:r>
      <w:r>
        <w:t>provid</w:t>
      </w:r>
      <w:r w:rsidR="00823F92">
        <w:t xml:space="preserve">e </w:t>
      </w:r>
      <w:r>
        <w:t>th</w:t>
      </w:r>
      <w:r w:rsidR="00823F92">
        <w:t xml:space="preserve">e </w:t>
      </w:r>
      <w:r>
        <w:t>Secretaria</w:t>
      </w:r>
      <w:r w:rsidR="00823F92">
        <w:t xml:space="preserve">t </w:t>
      </w:r>
      <w:r>
        <w:t>fo</w:t>
      </w:r>
      <w:r w:rsidR="00823F92">
        <w:t xml:space="preserve">r </w:t>
      </w:r>
      <w:r>
        <w:t>th</w:t>
      </w:r>
      <w:r w:rsidR="00823F92">
        <w:t xml:space="preserve">e </w:t>
      </w:r>
      <w:r>
        <w:t>Taskforce.</w:t>
      </w:r>
    </w:p>
    <w:p w14:paraId="380F7C41" w14:textId="77777777" w:rsidR="00801BFE" w:rsidRDefault="00801BFE" w:rsidP="00801BFE">
      <w:pPr>
        <w:pStyle w:val="BodyText"/>
        <w:sectPr w:rsidR="00801BFE" w:rsidSect="0057448B">
          <w:headerReference w:type="even" r:id="rId49"/>
          <w:footerReference w:type="even" r:id="rId50"/>
          <w:footerReference w:type="default" r:id="rId51"/>
          <w:headerReference w:type="first" r:id="rId52"/>
          <w:footerReference w:type="first" r:id="rId53"/>
          <w:pgSz w:w="11906" w:h="16838" w:code="9"/>
          <w:pgMar w:top="1701" w:right="1134" w:bottom="1134" w:left="1418" w:header="454" w:footer="159" w:gutter="0"/>
          <w:pgNumType w:start="1" w:chapStyle="9"/>
          <w:cols w:space="708"/>
          <w:docGrid w:linePitch="360"/>
        </w:sectPr>
      </w:pPr>
    </w:p>
    <w:p w14:paraId="2C5EB216" w14:textId="77777777" w:rsidR="00C077D5" w:rsidRDefault="00C077D5" w:rsidP="00C077D5">
      <w:pPr>
        <w:pStyle w:val="Heading1"/>
        <w:numPr>
          <w:ilvl w:val="0"/>
          <w:numId w:val="0"/>
        </w:numPr>
        <w:spacing w:line="240" w:lineRule="auto"/>
        <w:ind w:left="1418" w:right="-2" w:hanging="1276"/>
      </w:pPr>
      <w:bookmarkStart w:id="28" w:name="_Toc99019000"/>
      <w:r>
        <w:lastRenderedPageBreak/>
        <w:t>B</w:t>
      </w:r>
      <w:r>
        <w:tab/>
        <w:t>Working Group membership</w:t>
      </w:r>
      <w:bookmarkEnd w:id="28"/>
    </w:p>
    <w:p w14:paraId="6178222D" w14:textId="175CB8B0" w:rsidR="009977DD" w:rsidRDefault="009977DD" w:rsidP="00EC6BBF">
      <w:pPr>
        <w:pStyle w:val="Heading2AP"/>
      </w:pPr>
      <w:bookmarkStart w:id="29" w:name="_Toc99019001"/>
      <w:r w:rsidRPr="009977DD">
        <w:t>Aborigina</w:t>
      </w:r>
      <w:r w:rsidR="00823F92" w:rsidRPr="009977DD">
        <w:t>l</w:t>
      </w:r>
      <w:r w:rsidR="00823F92">
        <w:t xml:space="preserve"> </w:t>
      </w:r>
      <w:r w:rsidRPr="009977DD">
        <w:t>an</w:t>
      </w:r>
      <w:r w:rsidR="00823F92" w:rsidRPr="009977DD">
        <w:t>d</w:t>
      </w:r>
      <w:r w:rsidR="00823F92">
        <w:t xml:space="preserve"> </w:t>
      </w:r>
      <w:r w:rsidRPr="009977DD">
        <w:t>Torre</w:t>
      </w:r>
      <w:r w:rsidR="00823F92" w:rsidRPr="009977DD">
        <w:t>s</w:t>
      </w:r>
      <w:r w:rsidR="00823F92">
        <w:t xml:space="preserve"> </w:t>
      </w:r>
      <w:r w:rsidRPr="009977DD">
        <w:t>Strai</w:t>
      </w:r>
      <w:r w:rsidR="00823F92" w:rsidRPr="009977DD">
        <w:t>t</w:t>
      </w:r>
      <w:r w:rsidR="00823F92">
        <w:t xml:space="preserve"> </w:t>
      </w:r>
      <w:r w:rsidRPr="009977DD">
        <w:t>Islande</w:t>
      </w:r>
      <w:r w:rsidR="00823F92" w:rsidRPr="009977DD">
        <w:t>r</w:t>
      </w:r>
      <w:r w:rsidR="00823F92">
        <w:t xml:space="preserve"> </w:t>
      </w:r>
      <w:r w:rsidRPr="009977DD">
        <w:t>Communities</w:t>
      </w:r>
      <w:bookmarkEnd w:id="29"/>
    </w:p>
    <w:p w14:paraId="0FAF438C" w14:textId="220885B7" w:rsidR="008549C0" w:rsidRDefault="008549C0" w:rsidP="008E2332">
      <w:pPr>
        <w:pStyle w:val="ListBullet"/>
      </w:pPr>
      <w:r>
        <w:t>Thoma</w:t>
      </w:r>
      <w:r w:rsidR="00823F92">
        <w:t xml:space="preserve">s </w:t>
      </w:r>
      <w:r>
        <w:t>Brideson</w:t>
      </w:r>
      <w:r w:rsidR="00823F92">
        <w:t xml:space="preserve">, </w:t>
      </w:r>
      <w:r>
        <w:t>Taskforc</w:t>
      </w:r>
      <w:r w:rsidR="00823F92">
        <w:t xml:space="preserve">e </w:t>
      </w:r>
      <w:r>
        <w:t>Co-Chai</w:t>
      </w:r>
      <w:r w:rsidR="00823F92">
        <w:t xml:space="preserve">r </w:t>
      </w:r>
      <w:r>
        <w:t>(Chair)</w:t>
      </w:r>
    </w:p>
    <w:p w14:paraId="693103C1" w14:textId="24ADB38D" w:rsidR="008E2332" w:rsidRPr="008E2332" w:rsidRDefault="008E2332" w:rsidP="008E2332">
      <w:pPr>
        <w:pStyle w:val="ListBullet"/>
      </w:pPr>
      <w:r w:rsidRPr="008E2332">
        <w:t>D</w:t>
      </w:r>
      <w:r w:rsidR="00823F92" w:rsidRPr="008E2332">
        <w:t>r</w:t>
      </w:r>
      <w:r w:rsidR="00823F92">
        <w:t xml:space="preserve"> </w:t>
      </w:r>
      <w:r w:rsidRPr="008E2332">
        <w:t>Jo</w:t>
      </w:r>
      <w:r w:rsidR="00823F92" w:rsidRPr="008E2332">
        <w:t>e</w:t>
      </w:r>
      <w:r w:rsidR="00823F92">
        <w:t xml:space="preserve"> </w:t>
      </w:r>
      <w:r w:rsidRPr="008E2332">
        <w:t>Tighe</w:t>
      </w:r>
      <w:r w:rsidR="00823F92" w:rsidRPr="008E2332">
        <w:t>,</w:t>
      </w:r>
      <w:r w:rsidR="00823F92">
        <w:t xml:space="preserve"> </w:t>
      </w:r>
      <w:r w:rsidRPr="008E2332">
        <w:t>Clos</w:t>
      </w:r>
      <w:r w:rsidR="00823F92" w:rsidRPr="008E2332">
        <w:t>e</w:t>
      </w:r>
      <w:r w:rsidR="00823F92">
        <w:t xml:space="preserve"> </w:t>
      </w:r>
      <w:r w:rsidRPr="008E2332">
        <w:t>th</w:t>
      </w:r>
      <w:r w:rsidR="00823F92" w:rsidRPr="008E2332">
        <w:t>e</w:t>
      </w:r>
      <w:r w:rsidR="00823F92">
        <w:t xml:space="preserve"> </w:t>
      </w:r>
      <w:r w:rsidRPr="008E2332">
        <w:t>Ga</w:t>
      </w:r>
      <w:r w:rsidR="00823F92" w:rsidRPr="008E2332">
        <w:t>p</w:t>
      </w:r>
      <w:r w:rsidR="00823F92">
        <w:t xml:space="preserve"> </w:t>
      </w:r>
      <w:r w:rsidRPr="008E2332">
        <w:t>Steerin</w:t>
      </w:r>
      <w:r w:rsidR="00823F92" w:rsidRPr="008E2332">
        <w:t>g</w:t>
      </w:r>
      <w:r w:rsidR="00823F92">
        <w:t xml:space="preserve"> </w:t>
      </w:r>
      <w:r w:rsidRPr="008E2332">
        <w:t>Committee</w:t>
      </w:r>
    </w:p>
    <w:p w14:paraId="1869E220" w14:textId="2457C33D" w:rsidR="008E2332" w:rsidRPr="008E2332" w:rsidRDefault="008E2332" w:rsidP="008E2332">
      <w:pPr>
        <w:pStyle w:val="ListBullet"/>
      </w:pPr>
      <w:r w:rsidRPr="008E2332">
        <w:t>D</w:t>
      </w:r>
      <w:r w:rsidR="00823F92" w:rsidRPr="008E2332">
        <w:t>r</w:t>
      </w:r>
      <w:r w:rsidR="00823F92">
        <w:t xml:space="preserve"> </w:t>
      </w:r>
      <w:r w:rsidRPr="008E2332">
        <w:t>Siv</w:t>
      </w:r>
      <w:r w:rsidR="00823F92" w:rsidRPr="008E2332">
        <w:t>a</w:t>
      </w:r>
      <w:r w:rsidR="00823F92">
        <w:t xml:space="preserve"> </w:t>
      </w:r>
      <w:proofErr w:type="spellStart"/>
      <w:r w:rsidRPr="008E2332">
        <w:t>Balaratnasingam</w:t>
      </w:r>
      <w:proofErr w:type="spellEnd"/>
      <w:r w:rsidR="00823F92" w:rsidRPr="008E2332">
        <w:t>,</w:t>
      </w:r>
      <w:r w:rsidR="00823F92">
        <w:t xml:space="preserve"> </w:t>
      </w:r>
      <w:r w:rsidRPr="008E2332">
        <w:t>RANZCP</w:t>
      </w:r>
    </w:p>
    <w:p w14:paraId="3114A564" w14:textId="0FE43F5A" w:rsidR="008E2332" w:rsidRPr="008E2332" w:rsidRDefault="008E2332" w:rsidP="008E2332">
      <w:pPr>
        <w:pStyle w:val="ListBullet"/>
      </w:pPr>
      <w:r w:rsidRPr="008E2332">
        <w:t>Donn</w:t>
      </w:r>
      <w:r w:rsidR="00823F92" w:rsidRPr="008E2332">
        <w:t>a</w:t>
      </w:r>
      <w:r w:rsidR="00823F92">
        <w:t xml:space="preserve"> </w:t>
      </w:r>
      <w:r w:rsidRPr="008E2332">
        <w:t>Murray</w:t>
      </w:r>
      <w:r w:rsidR="00823F92" w:rsidRPr="008E2332">
        <w:t>,</w:t>
      </w:r>
      <w:r w:rsidR="00823F92">
        <w:t xml:space="preserve"> </w:t>
      </w:r>
      <w:r w:rsidRPr="008E2332">
        <w:t>Nationa</w:t>
      </w:r>
      <w:r w:rsidR="00823F92" w:rsidRPr="008E2332">
        <w:t>l</w:t>
      </w:r>
      <w:r w:rsidR="00823F92">
        <w:t xml:space="preserve"> </w:t>
      </w:r>
      <w:r w:rsidRPr="008E2332">
        <w:t>Healt</w:t>
      </w:r>
      <w:r w:rsidR="00823F92" w:rsidRPr="008E2332">
        <w:t>h</w:t>
      </w:r>
      <w:r w:rsidR="00823F92">
        <w:t xml:space="preserve"> </w:t>
      </w:r>
      <w:r w:rsidRPr="008E2332">
        <w:t>Leadershi</w:t>
      </w:r>
      <w:r w:rsidR="00823F92" w:rsidRPr="008E2332">
        <w:t>p</w:t>
      </w:r>
      <w:r w:rsidR="00823F92">
        <w:t xml:space="preserve"> </w:t>
      </w:r>
      <w:r w:rsidRPr="008E2332">
        <w:t>Foru</w:t>
      </w:r>
      <w:r w:rsidR="00823F92" w:rsidRPr="008E2332">
        <w:t>m</w:t>
      </w:r>
      <w:r w:rsidR="00823F92">
        <w:t xml:space="preserve"> </w:t>
      </w:r>
      <w:r w:rsidRPr="008E2332">
        <w:t>Representative</w:t>
      </w:r>
    </w:p>
    <w:p w14:paraId="0019B6E9" w14:textId="76CEDDFB" w:rsidR="008E2332" w:rsidRPr="008E2332" w:rsidRDefault="008E2332" w:rsidP="008E2332">
      <w:pPr>
        <w:pStyle w:val="ListBullet"/>
      </w:pPr>
      <w:r w:rsidRPr="008E2332">
        <w:t>Daw</w:t>
      </w:r>
      <w:r w:rsidR="00823F92" w:rsidRPr="008E2332">
        <w:t>n</w:t>
      </w:r>
      <w:r w:rsidR="00823F92">
        <w:t xml:space="preserve"> </w:t>
      </w:r>
      <w:r w:rsidRPr="008E2332">
        <w:t>Casey</w:t>
      </w:r>
      <w:r w:rsidR="00823F92" w:rsidRPr="008E2332">
        <w:t>,</w:t>
      </w:r>
      <w:r w:rsidR="00823F92">
        <w:t xml:space="preserve"> </w:t>
      </w:r>
      <w:r w:rsidRPr="008E2332">
        <w:t>NACCHO</w:t>
      </w:r>
    </w:p>
    <w:p w14:paraId="758ACA5B" w14:textId="55AB9872" w:rsidR="008E2332" w:rsidRPr="008E2332" w:rsidRDefault="008E2332" w:rsidP="008E2332">
      <w:pPr>
        <w:pStyle w:val="ListBullet"/>
      </w:pPr>
      <w:r w:rsidRPr="008E2332">
        <w:t>Anna-Louis</w:t>
      </w:r>
      <w:r w:rsidR="00823F92" w:rsidRPr="008E2332">
        <w:t>e</w:t>
      </w:r>
      <w:r w:rsidR="00823F92">
        <w:t xml:space="preserve"> </w:t>
      </w:r>
      <w:r w:rsidRPr="008E2332">
        <w:t>Kimpton</w:t>
      </w:r>
      <w:r w:rsidR="00823F92" w:rsidRPr="008E2332">
        <w:t>,</w:t>
      </w:r>
      <w:r w:rsidR="00823F92">
        <w:t xml:space="preserve"> </w:t>
      </w:r>
      <w:r w:rsidRPr="008E2332">
        <w:t>NACCH</w:t>
      </w:r>
      <w:r w:rsidR="00823F92" w:rsidRPr="008E2332">
        <w:t>O</w:t>
      </w:r>
      <w:r w:rsidR="00823F92">
        <w:t xml:space="preserve"> </w:t>
      </w:r>
      <w:r w:rsidRPr="008E2332">
        <w:t>(Proxy)</w:t>
      </w:r>
      <w:r w:rsidRPr="008E2332">
        <w:tab/>
      </w:r>
    </w:p>
    <w:p w14:paraId="6881EA5C" w14:textId="620D750B" w:rsidR="008E2332" w:rsidRPr="008E2332" w:rsidRDefault="008E2332" w:rsidP="008E2332">
      <w:pPr>
        <w:pStyle w:val="ListBullet"/>
      </w:pPr>
      <w:r w:rsidRPr="008E2332">
        <w:t>Jes</w:t>
      </w:r>
      <w:r w:rsidR="00823F92" w:rsidRPr="008E2332">
        <w:t>s</w:t>
      </w:r>
      <w:r w:rsidR="00823F92">
        <w:t xml:space="preserve"> </w:t>
      </w:r>
      <w:r w:rsidRPr="008E2332">
        <w:t>Styles</w:t>
      </w:r>
      <w:r w:rsidR="00823F92" w:rsidRPr="008E2332">
        <w:t>,</w:t>
      </w:r>
      <w:r w:rsidR="00823F92">
        <w:t xml:space="preserve"> </w:t>
      </w:r>
      <w:r w:rsidRPr="008E2332">
        <w:t>NACCH</w:t>
      </w:r>
      <w:r w:rsidR="00823F92" w:rsidRPr="008E2332">
        <w:t>O</w:t>
      </w:r>
      <w:r w:rsidR="00823F92">
        <w:t xml:space="preserve"> </w:t>
      </w:r>
      <w:r w:rsidRPr="008E2332">
        <w:t>(Proxy)</w:t>
      </w:r>
      <w:r w:rsidRPr="008E2332">
        <w:tab/>
      </w:r>
    </w:p>
    <w:p w14:paraId="5B08C93A" w14:textId="3D8078A6" w:rsidR="008E2332" w:rsidRPr="008E2332" w:rsidRDefault="008E2332" w:rsidP="008E2332">
      <w:pPr>
        <w:pStyle w:val="ListBullet"/>
      </w:pPr>
      <w:r w:rsidRPr="008E2332">
        <w:t>Harr</w:t>
      </w:r>
      <w:r w:rsidR="00823F92" w:rsidRPr="008E2332">
        <w:t>y</w:t>
      </w:r>
      <w:r w:rsidR="00823F92">
        <w:t xml:space="preserve"> </w:t>
      </w:r>
      <w:r w:rsidRPr="008E2332">
        <w:t>Lovelock</w:t>
      </w:r>
      <w:r w:rsidR="00823F92" w:rsidRPr="008E2332">
        <w:t>,</w:t>
      </w:r>
      <w:r w:rsidR="00823F92">
        <w:t xml:space="preserve"> </w:t>
      </w:r>
      <w:r w:rsidRPr="008E2332">
        <w:t>Menta</w:t>
      </w:r>
      <w:r w:rsidR="00823F92" w:rsidRPr="008E2332">
        <w:t>l</w:t>
      </w:r>
      <w:r w:rsidR="00823F92">
        <w:t xml:space="preserve"> </w:t>
      </w:r>
      <w:r w:rsidRPr="008E2332">
        <w:t>Healt</w:t>
      </w:r>
      <w:r w:rsidR="00823F92" w:rsidRPr="008E2332">
        <w:t>h</w:t>
      </w:r>
      <w:r w:rsidR="00823F92">
        <w:t xml:space="preserve"> </w:t>
      </w:r>
      <w:r w:rsidRPr="008E2332">
        <w:t>Australia</w:t>
      </w:r>
    </w:p>
    <w:p w14:paraId="7B1C8EEF" w14:textId="54DDD31B" w:rsidR="008E2332" w:rsidRPr="008E2332" w:rsidRDefault="008E2332" w:rsidP="008E2332">
      <w:pPr>
        <w:pStyle w:val="ListBullet"/>
      </w:pPr>
      <w:r w:rsidRPr="008E2332">
        <w:t>Brend</w:t>
      </w:r>
      <w:r w:rsidR="00823F92" w:rsidRPr="008E2332">
        <w:t>a</w:t>
      </w:r>
      <w:r w:rsidR="00823F92">
        <w:t xml:space="preserve"> </w:t>
      </w:r>
      <w:r w:rsidRPr="008E2332">
        <w:t>Graham</w:t>
      </w:r>
      <w:r w:rsidR="00823F92" w:rsidRPr="008E2332">
        <w:t>,</w:t>
      </w:r>
      <w:r w:rsidR="00823F92">
        <w:t xml:space="preserve"> </w:t>
      </w:r>
      <w:r w:rsidRPr="008E2332">
        <w:t>Nationa</w:t>
      </w:r>
      <w:r w:rsidR="00823F92" w:rsidRPr="008E2332">
        <w:t>l</w:t>
      </w:r>
      <w:r w:rsidR="00823F92">
        <w:t xml:space="preserve"> </w:t>
      </w:r>
      <w:r w:rsidRPr="008E2332">
        <w:t>Indigenou</w:t>
      </w:r>
      <w:r w:rsidR="00823F92" w:rsidRPr="008E2332">
        <w:t>s</w:t>
      </w:r>
      <w:r w:rsidR="00823F92">
        <w:t xml:space="preserve"> </w:t>
      </w:r>
      <w:r w:rsidRPr="008E2332">
        <w:t>Australian</w:t>
      </w:r>
      <w:r w:rsidR="00823F92" w:rsidRPr="008E2332">
        <w:t>s</w:t>
      </w:r>
      <w:r w:rsidR="00823F92">
        <w:t xml:space="preserve"> </w:t>
      </w:r>
      <w:r w:rsidRPr="008E2332">
        <w:t>Agenc</w:t>
      </w:r>
      <w:r w:rsidR="00823F92" w:rsidRPr="008E2332">
        <w:t>y</w:t>
      </w:r>
      <w:r w:rsidR="00823F92">
        <w:t xml:space="preserve"> </w:t>
      </w:r>
    </w:p>
    <w:p w14:paraId="11A45100" w14:textId="7378F2C3" w:rsidR="008E2332" w:rsidRPr="008E2332" w:rsidRDefault="008E2332" w:rsidP="008E2332">
      <w:pPr>
        <w:pStyle w:val="ListBullet"/>
      </w:pPr>
      <w:r w:rsidRPr="008E2332">
        <w:t>Emil</w:t>
      </w:r>
      <w:r w:rsidR="00823F92" w:rsidRPr="008E2332">
        <w:t>y</w:t>
      </w:r>
      <w:r w:rsidR="00823F92">
        <w:t xml:space="preserve"> </w:t>
      </w:r>
      <w:r w:rsidRPr="008E2332">
        <w:t>Jones</w:t>
      </w:r>
      <w:r w:rsidR="00823F92" w:rsidRPr="008E2332">
        <w:t>,</w:t>
      </w:r>
      <w:r w:rsidR="00823F92">
        <w:t xml:space="preserve"> </w:t>
      </w:r>
      <w:r w:rsidRPr="008E2332">
        <w:t>Nationa</w:t>
      </w:r>
      <w:r w:rsidR="00823F92" w:rsidRPr="008E2332">
        <w:t>l</w:t>
      </w:r>
      <w:r w:rsidR="00823F92">
        <w:t xml:space="preserve"> </w:t>
      </w:r>
      <w:r w:rsidRPr="008E2332">
        <w:t>Indigenou</w:t>
      </w:r>
      <w:r w:rsidR="00823F92" w:rsidRPr="008E2332">
        <w:t>s</w:t>
      </w:r>
      <w:r w:rsidR="00823F92">
        <w:t xml:space="preserve"> </w:t>
      </w:r>
      <w:r w:rsidRPr="008E2332">
        <w:t>Australian</w:t>
      </w:r>
      <w:r w:rsidR="00823F92" w:rsidRPr="008E2332">
        <w:t>s</w:t>
      </w:r>
      <w:r w:rsidR="00823F92">
        <w:t xml:space="preserve"> </w:t>
      </w:r>
      <w:r w:rsidRPr="008E2332">
        <w:t>Agency</w:t>
      </w:r>
    </w:p>
    <w:p w14:paraId="67C42F4F" w14:textId="43E90A08" w:rsidR="008E2332" w:rsidRPr="008E2332" w:rsidRDefault="008E2332" w:rsidP="008E2332">
      <w:pPr>
        <w:pStyle w:val="ListBullet"/>
      </w:pPr>
      <w:r w:rsidRPr="008E2332">
        <w:t>Louis</w:t>
      </w:r>
      <w:r w:rsidR="00823F92" w:rsidRPr="008E2332">
        <w:t>e</w:t>
      </w:r>
      <w:r w:rsidR="00823F92">
        <w:t xml:space="preserve"> </w:t>
      </w:r>
      <w:r w:rsidRPr="008E2332">
        <w:t>Cooke</w:t>
      </w:r>
      <w:r w:rsidR="00823F92" w:rsidRPr="008E2332">
        <w:t>,</w:t>
      </w:r>
      <w:r w:rsidR="00823F92">
        <w:t xml:space="preserve"> </w:t>
      </w:r>
      <w:r w:rsidRPr="008E2332">
        <w:t>Nationa</w:t>
      </w:r>
      <w:r w:rsidR="00823F92" w:rsidRPr="008E2332">
        <w:t>l</w:t>
      </w:r>
      <w:r w:rsidR="00823F92">
        <w:t xml:space="preserve"> </w:t>
      </w:r>
      <w:r w:rsidRPr="008E2332">
        <w:t>Indigenou</w:t>
      </w:r>
      <w:r w:rsidR="00823F92" w:rsidRPr="008E2332">
        <w:t>s</w:t>
      </w:r>
      <w:r w:rsidR="00823F92">
        <w:t xml:space="preserve"> </w:t>
      </w:r>
      <w:r w:rsidRPr="008E2332">
        <w:t>Australian</w:t>
      </w:r>
      <w:r w:rsidR="00823F92" w:rsidRPr="008E2332">
        <w:t>s</w:t>
      </w:r>
      <w:r w:rsidR="00823F92">
        <w:t xml:space="preserve"> </w:t>
      </w:r>
      <w:r w:rsidRPr="008E2332">
        <w:t>Agenc</w:t>
      </w:r>
      <w:r w:rsidR="00823F92" w:rsidRPr="008E2332">
        <w:t>y</w:t>
      </w:r>
      <w:r w:rsidR="00823F92">
        <w:t xml:space="preserve"> </w:t>
      </w:r>
    </w:p>
    <w:p w14:paraId="6C57E062" w14:textId="158154FD" w:rsidR="008E2332" w:rsidRPr="008E2332" w:rsidRDefault="008E2332" w:rsidP="008E2332">
      <w:pPr>
        <w:pStyle w:val="ListBullet"/>
      </w:pPr>
      <w:r w:rsidRPr="008E2332">
        <w:t>Caroly</w:t>
      </w:r>
      <w:r w:rsidR="00823F92" w:rsidRPr="008E2332">
        <w:t>n</w:t>
      </w:r>
      <w:r w:rsidR="00823F92">
        <w:t xml:space="preserve"> </w:t>
      </w:r>
      <w:r w:rsidRPr="008E2332">
        <w:t>Bourke</w:t>
      </w:r>
      <w:r w:rsidR="00823F92" w:rsidRPr="008E2332">
        <w:t>,</w:t>
      </w:r>
      <w:r w:rsidR="00823F92">
        <w:t xml:space="preserve"> </w:t>
      </w:r>
      <w:r w:rsidRPr="008E2332">
        <w:t>Departmen</w:t>
      </w:r>
      <w:r w:rsidR="00823F92" w:rsidRPr="008E2332">
        <w:t>t</w:t>
      </w:r>
      <w:r w:rsidR="00823F92">
        <w:t xml:space="preserve"> </w:t>
      </w:r>
      <w:r w:rsidRPr="008E2332">
        <w:t>o</w:t>
      </w:r>
      <w:r w:rsidR="00823F92" w:rsidRPr="008E2332">
        <w:t>f</w:t>
      </w:r>
      <w:r w:rsidR="00823F92">
        <w:t xml:space="preserve"> </w:t>
      </w:r>
      <w:r w:rsidRPr="008E2332">
        <w:t>Education</w:t>
      </w:r>
      <w:r w:rsidR="00823F92" w:rsidRPr="008E2332">
        <w:t>,</w:t>
      </w:r>
      <w:r w:rsidR="00823F92">
        <w:t xml:space="preserve"> </w:t>
      </w:r>
      <w:r w:rsidRPr="008E2332">
        <w:t>Skill</w:t>
      </w:r>
      <w:r w:rsidR="00823F92" w:rsidRPr="008E2332">
        <w:t>s</w:t>
      </w:r>
      <w:r w:rsidR="00823F92">
        <w:t xml:space="preserve"> </w:t>
      </w:r>
      <w:r w:rsidRPr="008E2332">
        <w:t>an</w:t>
      </w:r>
      <w:r w:rsidR="00823F92" w:rsidRPr="008E2332">
        <w:t>d</w:t>
      </w:r>
      <w:r w:rsidR="00823F92">
        <w:t xml:space="preserve"> </w:t>
      </w:r>
      <w:r w:rsidRPr="008E2332">
        <w:t>Employment</w:t>
      </w:r>
    </w:p>
    <w:p w14:paraId="02480505" w14:textId="5959B959" w:rsidR="008E2332" w:rsidRPr="008E2332" w:rsidRDefault="008E2332" w:rsidP="008E2332">
      <w:pPr>
        <w:pStyle w:val="ListBullet"/>
      </w:pPr>
      <w:r w:rsidRPr="008E2332">
        <w:t>Patric</w:t>
      </w:r>
      <w:r w:rsidR="00823F92" w:rsidRPr="008E2332">
        <w:t>k</w:t>
      </w:r>
      <w:r w:rsidR="00823F92">
        <w:t xml:space="preserve"> </w:t>
      </w:r>
      <w:r w:rsidRPr="008E2332">
        <w:t>Smith</w:t>
      </w:r>
      <w:r w:rsidR="00823F92" w:rsidRPr="008E2332">
        <w:t>,</w:t>
      </w:r>
      <w:r w:rsidR="00823F92">
        <w:t xml:space="preserve"> </w:t>
      </w:r>
      <w:r w:rsidRPr="008E2332">
        <w:t>Departmen</w:t>
      </w:r>
      <w:r w:rsidR="00823F92" w:rsidRPr="008E2332">
        <w:t>t</w:t>
      </w:r>
      <w:r w:rsidR="00823F92">
        <w:t xml:space="preserve"> </w:t>
      </w:r>
      <w:r w:rsidRPr="008E2332">
        <w:t>o</w:t>
      </w:r>
      <w:r w:rsidR="00823F92" w:rsidRPr="008E2332">
        <w:t>f</w:t>
      </w:r>
      <w:r w:rsidR="00823F92">
        <w:t xml:space="preserve"> </w:t>
      </w:r>
      <w:r w:rsidRPr="008E2332">
        <w:t>Health</w:t>
      </w:r>
    </w:p>
    <w:p w14:paraId="1FF53635" w14:textId="44F25071" w:rsidR="008E2332" w:rsidRPr="008E2332" w:rsidRDefault="008E2332" w:rsidP="008E2332">
      <w:pPr>
        <w:pStyle w:val="ListBullet"/>
      </w:pPr>
      <w:r w:rsidRPr="008E2332">
        <w:t>Elizabet</w:t>
      </w:r>
      <w:r w:rsidR="00823F92" w:rsidRPr="008E2332">
        <w:t>h</w:t>
      </w:r>
      <w:r w:rsidR="00823F92">
        <w:t xml:space="preserve"> </w:t>
      </w:r>
      <w:r w:rsidRPr="008E2332">
        <w:t>Brown</w:t>
      </w:r>
      <w:r w:rsidR="00823F92" w:rsidRPr="008E2332">
        <w:t>,</w:t>
      </w:r>
      <w:r w:rsidR="00823F92">
        <w:t xml:space="preserve"> </w:t>
      </w:r>
      <w:r w:rsidRPr="008E2332">
        <w:t>Menta</w:t>
      </w:r>
      <w:r w:rsidR="00823F92" w:rsidRPr="008E2332">
        <w:t>l</w:t>
      </w:r>
      <w:r w:rsidR="00823F92">
        <w:t xml:space="preserve"> </w:t>
      </w:r>
      <w:r w:rsidRPr="008E2332">
        <w:t>Healt</w:t>
      </w:r>
      <w:r w:rsidR="00823F92" w:rsidRPr="008E2332">
        <w:t>h</w:t>
      </w:r>
      <w:r w:rsidR="00823F92">
        <w:t xml:space="preserve"> </w:t>
      </w:r>
      <w:r w:rsidRPr="008E2332">
        <w:t>Consume</w:t>
      </w:r>
      <w:r w:rsidR="00823F92" w:rsidRPr="008E2332">
        <w:t>r</w:t>
      </w:r>
      <w:r w:rsidR="00823F92">
        <w:t xml:space="preserve"> </w:t>
      </w:r>
      <w:r w:rsidRPr="008E2332">
        <w:t>Representative</w:t>
      </w:r>
    </w:p>
    <w:p w14:paraId="1926C1D6" w14:textId="43B78110" w:rsidR="008E2332" w:rsidRPr="008E2332" w:rsidRDefault="008E2332" w:rsidP="008E2332">
      <w:pPr>
        <w:pStyle w:val="ListBullet"/>
        <w:rPr>
          <w:b/>
          <w:color w:val="000100"/>
        </w:rPr>
      </w:pPr>
      <w:r w:rsidRPr="008E2332">
        <w:t>Rosaly</w:t>
      </w:r>
      <w:r w:rsidR="00823F92" w:rsidRPr="008E2332">
        <w:t>n</w:t>
      </w:r>
      <w:r w:rsidR="00823F92">
        <w:t xml:space="preserve"> </w:t>
      </w:r>
      <w:proofErr w:type="spellStart"/>
      <w:r w:rsidRPr="008E2332">
        <w:t>Havard</w:t>
      </w:r>
      <w:proofErr w:type="spellEnd"/>
      <w:r w:rsidR="00823F92" w:rsidRPr="008E2332">
        <w:t>,</w:t>
      </w:r>
      <w:r w:rsidR="00823F92">
        <w:t xml:space="preserve"> </w:t>
      </w:r>
      <w:r w:rsidRPr="008E2332">
        <w:t>Menta</w:t>
      </w:r>
      <w:r w:rsidR="00823F92" w:rsidRPr="008E2332">
        <w:t>l</w:t>
      </w:r>
      <w:r w:rsidR="00823F92">
        <w:t xml:space="preserve"> </w:t>
      </w:r>
      <w:r w:rsidRPr="008E2332">
        <w:t>Healt</w:t>
      </w:r>
      <w:r w:rsidR="00823F92" w:rsidRPr="008E2332">
        <w:t>h</w:t>
      </w:r>
      <w:r w:rsidR="00823F92">
        <w:t xml:space="preserve"> </w:t>
      </w:r>
      <w:r w:rsidRPr="008E2332">
        <w:t>Care</w:t>
      </w:r>
      <w:r w:rsidR="00823F92" w:rsidRPr="008E2332">
        <w:t>r</w:t>
      </w:r>
      <w:r w:rsidR="00823F92">
        <w:t xml:space="preserve"> </w:t>
      </w:r>
      <w:r w:rsidRPr="008E2332">
        <w:t>Representative</w:t>
      </w:r>
    </w:p>
    <w:p w14:paraId="312A0315" w14:textId="1D15DF05" w:rsidR="009977DD" w:rsidRDefault="009977DD" w:rsidP="00EC6BBF">
      <w:pPr>
        <w:pStyle w:val="Heading2AP"/>
      </w:pPr>
      <w:bookmarkStart w:id="30" w:name="_Toc99019002"/>
      <w:r w:rsidRPr="009977DD">
        <w:t>Educatio</w:t>
      </w:r>
      <w:r w:rsidR="00823F92" w:rsidRPr="009977DD">
        <w:t>n</w:t>
      </w:r>
      <w:r w:rsidR="00823F92">
        <w:t xml:space="preserve"> </w:t>
      </w:r>
      <w:r w:rsidRPr="009977DD">
        <w:t>an</w:t>
      </w:r>
      <w:r w:rsidR="00823F92" w:rsidRPr="009977DD">
        <w:t>d</w:t>
      </w:r>
      <w:r w:rsidR="00823F92">
        <w:t xml:space="preserve"> </w:t>
      </w:r>
      <w:r w:rsidRPr="009977DD">
        <w:t>Training</w:t>
      </w:r>
      <w:bookmarkEnd w:id="30"/>
    </w:p>
    <w:p w14:paraId="14C6810B" w14:textId="3509441C" w:rsidR="00293531" w:rsidRDefault="00293531" w:rsidP="00293531">
      <w:pPr>
        <w:pStyle w:val="ListBullet"/>
      </w:pPr>
      <w:r>
        <w:t>Jennife</w:t>
      </w:r>
      <w:r w:rsidR="00823F92">
        <w:t xml:space="preserve">r </w:t>
      </w:r>
      <w:r>
        <w:t>Taylor</w:t>
      </w:r>
      <w:r w:rsidR="00823F92">
        <w:t xml:space="preserve">, </w:t>
      </w:r>
      <w:r>
        <w:t>Taskforc</w:t>
      </w:r>
      <w:r w:rsidR="00823F92">
        <w:t xml:space="preserve">e </w:t>
      </w:r>
      <w:r>
        <w:t>Co-Chai</w:t>
      </w:r>
      <w:r w:rsidR="00823F92">
        <w:t xml:space="preserve">r </w:t>
      </w:r>
      <w:r>
        <w:t>(Chair)</w:t>
      </w:r>
    </w:p>
    <w:p w14:paraId="1E51453C" w14:textId="41654C81" w:rsidR="00293531" w:rsidRDefault="00293531" w:rsidP="00293531">
      <w:pPr>
        <w:pStyle w:val="ListBullet"/>
      </w:pPr>
      <w:r>
        <w:t>Rache</w:t>
      </w:r>
      <w:r w:rsidR="00823F92">
        <w:t xml:space="preserve">l </w:t>
      </w:r>
      <w:r>
        <w:t>Bowes</w:t>
      </w:r>
      <w:r w:rsidR="00823F92">
        <w:t xml:space="preserve">, </w:t>
      </w:r>
      <w:r>
        <w:t>Lifelin</w:t>
      </w:r>
      <w:r w:rsidR="00823F92">
        <w:t xml:space="preserve">e </w:t>
      </w:r>
    </w:p>
    <w:p w14:paraId="2ED9D827" w14:textId="239C3A98" w:rsidR="00293531" w:rsidRDefault="00293531" w:rsidP="00293531">
      <w:pPr>
        <w:pStyle w:val="ListBullet"/>
      </w:pPr>
      <w:r>
        <w:t>D</w:t>
      </w:r>
      <w:r w:rsidR="00823F92">
        <w:t xml:space="preserve">r </w:t>
      </w:r>
      <w:r>
        <w:t>Jef</w:t>
      </w:r>
      <w:r w:rsidR="00823F92">
        <w:t xml:space="preserve">f </w:t>
      </w:r>
      <w:r>
        <w:t>Borland</w:t>
      </w:r>
      <w:r w:rsidR="00823F92">
        <w:t xml:space="preserve">, </w:t>
      </w:r>
      <w:r>
        <w:t>Labou</w:t>
      </w:r>
      <w:r w:rsidR="00823F92">
        <w:t xml:space="preserve">r </w:t>
      </w:r>
      <w:r>
        <w:t>Marke</w:t>
      </w:r>
      <w:r w:rsidR="00823F92">
        <w:t xml:space="preserve">t </w:t>
      </w:r>
      <w:r>
        <w:t>Economist</w:t>
      </w:r>
    </w:p>
    <w:p w14:paraId="76462356" w14:textId="5AD96267" w:rsidR="00293531" w:rsidRDefault="00293531" w:rsidP="00293531">
      <w:pPr>
        <w:pStyle w:val="ListBullet"/>
      </w:pPr>
      <w:r>
        <w:t>Mari</w:t>
      </w:r>
      <w:r w:rsidR="00823F92">
        <w:t xml:space="preserve">a </w:t>
      </w:r>
      <w:r>
        <w:t>Brett</w:t>
      </w:r>
      <w:r w:rsidR="00823F92">
        <w:t xml:space="preserve">, </w:t>
      </w:r>
      <w:r>
        <w:t>Psychotherap</w:t>
      </w:r>
      <w:r w:rsidR="00823F92">
        <w:t xml:space="preserve">y </w:t>
      </w:r>
      <w:r>
        <w:t>an</w:t>
      </w:r>
      <w:r w:rsidR="00823F92">
        <w:t xml:space="preserve">d </w:t>
      </w:r>
      <w:r>
        <w:t>Counsellin</w:t>
      </w:r>
      <w:r w:rsidR="00823F92">
        <w:t xml:space="preserve">g </w:t>
      </w:r>
      <w:r>
        <w:t>Federatio</w:t>
      </w:r>
      <w:r w:rsidR="00823F92">
        <w:t xml:space="preserve">n </w:t>
      </w:r>
      <w:r>
        <w:t>o</w:t>
      </w:r>
      <w:r w:rsidR="00823F92">
        <w:t xml:space="preserve">f </w:t>
      </w:r>
      <w:r>
        <w:t>Australia</w:t>
      </w:r>
    </w:p>
    <w:p w14:paraId="7BC68BE8" w14:textId="49ED5A77" w:rsidR="00293531" w:rsidRDefault="00293531" w:rsidP="00293531">
      <w:pPr>
        <w:pStyle w:val="ListBullet"/>
      </w:pPr>
      <w:r>
        <w:t>D</w:t>
      </w:r>
      <w:r w:rsidR="00823F92">
        <w:t xml:space="preserve">r </w:t>
      </w:r>
      <w:r>
        <w:t>Sidne</w:t>
      </w:r>
      <w:r w:rsidR="00823F92">
        <w:t xml:space="preserve">y </w:t>
      </w:r>
      <w:r>
        <w:t>Cabral</w:t>
      </w:r>
      <w:r w:rsidR="00823F92">
        <w:t xml:space="preserve">, </w:t>
      </w:r>
      <w:r>
        <w:t>Roya</w:t>
      </w:r>
      <w:r w:rsidR="00823F92">
        <w:t xml:space="preserve">l </w:t>
      </w:r>
      <w:r>
        <w:t>Australia</w:t>
      </w:r>
      <w:r w:rsidR="00823F92">
        <w:t xml:space="preserve">n </w:t>
      </w:r>
      <w:r>
        <w:t>an</w:t>
      </w:r>
      <w:r w:rsidR="00823F92">
        <w:t xml:space="preserve">d </w:t>
      </w:r>
      <w:r>
        <w:t>Ne</w:t>
      </w:r>
      <w:r w:rsidR="00823F92">
        <w:t xml:space="preserve">w </w:t>
      </w:r>
      <w:r>
        <w:t>Zealan</w:t>
      </w:r>
      <w:r w:rsidR="00823F92">
        <w:t xml:space="preserve">d </w:t>
      </w:r>
      <w:r>
        <w:t>Colleg</w:t>
      </w:r>
      <w:r w:rsidR="00823F92">
        <w:t xml:space="preserve">e </w:t>
      </w:r>
      <w:r>
        <w:t>o</w:t>
      </w:r>
      <w:r w:rsidR="00823F92">
        <w:t xml:space="preserve">f </w:t>
      </w:r>
      <w:r>
        <w:t>Psychiatrist</w:t>
      </w:r>
      <w:r w:rsidR="00823F92">
        <w:t xml:space="preserve">s </w:t>
      </w:r>
    </w:p>
    <w:p w14:paraId="0AF23241" w14:textId="5BF815D8" w:rsidR="00293531" w:rsidRDefault="00293531" w:rsidP="00293531">
      <w:pPr>
        <w:pStyle w:val="ListBullet"/>
      </w:pPr>
      <w:r>
        <w:t>Pete</w:t>
      </w:r>
      <w:r w:rsidR="00823F92">
        <w:t xml:space="preserve">r </w:t>
      </w:r>
      <w:r>
        <w:t>Heggie</w:t>
      </w:r>
      <w:r w:rsidR="00823F92">
        <w:t xml:space="preserve">, </w:t>
      </w:r>
      <w:r>
        <w:t>Care</w:t>
      </w:r>
      <w:r w:rsidR="00823F92">
        <w:t xml:space="preserve">r </w:t>
      </w:r>
      <w:r>
        <w:t>Representative</w:t>
      </w:r>
    </w:p>
    <w:p w14:paraId="087E9B8B" w14:textId="79609486" w:rsidR="00293531" w:rsidRDefault="00293531" w:rsidP="00293531">
      <w:pPr>
        <w:pStyle w:val="ListBullet"/>
      </w:pPr>
      <w:r>
        <w:lastRenderedPageBreak/>
        <w:t>Heathe</w:t>
      </w:r>
      <w:r w:rsidR="00823F92">
        <w:t xml:space="preserve">r </w:t>
      </w:r>
      <w:r>
        <w:t>Nowak</w:t>
      </w:r>
      <w:r w:rsidR="00823F92">
        <w:t xml:space="preserve">, </w:t>
      </w:r>
      <w:r>
        <w:t>Consume</w:t>
      </w:r>
      <w:r w:rsidR="00823F92">
        <w:t xml:space="preserve">r </w:t>
      </w:r>
      <w:r>
        <w:t>Representative</w:t>
      </w:r>
    </w:p>
    <w:p w14:paraId="7C21D23F" w14:textId="749BDB2A" w:rsidR="00293531" w:rsidRDefault="00293531" w:rsidP="00293531">
      <w:pPr>
        <w:pStyle w:val="ListBullet"/>
      </w:pPr>
      <w:r>
        <w:t>A/Prof</w:t>
      </w:r>
      <w:r w:rsidR="00823F92">
        <w:t xml:space="preserve">. </w:t>
      </w:r>
      <w:r>
        <w:t>Geneviev</w:t>
      </w:r>
      <w:r w:rsidR="00823F92">
        <w:t xml:space="preserve">e </w:t>
      </w:r>
      <w:r>
        <w:t>Pepin</w:t>
      </w:r>
      <w:r w:rsidR="00823F92">
        <w:t xml:space="preserve">, </w:t>
      </w:r>
      <w:r>
        <w:t>Australia</w:t>
      </w:r>
      <w:r w:rsidR="00823F92">
        <w:t xml:space="preserve">n </w:t>
      </w:r>
      <w:r>
        <w:t>Counci</w:t>
      </w:r>
      <w:r w:rsidR="00823F92">
        <w:t xml:space="preserve">l </w:t>
      </w:r>
      <w:r>
        <w:t>o</w:t>
      </w:r>
      <w:r w:rsidR="00823F92">
        <w:t xml:space="preserve">f </w:t>
      </w:r>
      <w:r>
        <w:t>Dean</w:t>
      </w:r>
      <w:r w:rsidR="00823F92">
        <w:t xml:space="preserve">s </w:t>
      </w:r>
      <w:r>
        <w:t>o</w:t>
      </w:r>
      <w:r w:rsidR="00823F92">
        <w:t xml:space="preserve">f </w:t>
      </w:r>
      <w:r>
        <w:t>Healt</w:t>
      </w:r>
      <w:r w:rsidR="00823F92">
        <w:t xml:space="preserve">h </w:t>
      </w:r>
      <w:r>
        <w:t>Sciences</w:t>
      </w:r>
    </w:p>
    <w:p w14:paraId="388BC847" w14:textId="59951C7E" w:rsidR="00293531" w:rsidRDefault="00293531" w:rsidP="00293531">
      <w:pPr>
        <w:pStyle w:val="ListBullet"/>
      </w:pPr>
      <w:r>
        <w:t>Marti</w:t>
      </w:r>
      <w:r w:rsidR="00823F92">
        <w:t xml:space="preserve">n </w:t>
      </w:r>
      <w:r>
        <w:t>Paul</w:t>
      </w:r>
      <w:r w:rsidR="00823F92">
        <w:t xml:space="preserve">, </w:t>
      </w:r>
      <w:r>
        <w:t>Commonwealt</w:t>
      </w:r>
      <w:r w:rsidR="00823F92">
        <w:t xml:space="preserve">h </w:t>
      </w:r>
      <w:r>
        <w:t>Departmen</w:t>
      </w:r>
      <w:r w:rsidR="00823F92">
        <w:t xml:space="preserve">t </w:t>
      </w:r>
      <w:r>
        <w:t>o</w:t>
      </w:r>
      <w:r w:rsidR="00823F92">
        <w:t xml:space="preserve">f </w:t>
      </w:r>
      <w:r>
        <w:t>Educatio</w:t>
      </w:r>
      <w:r w:rsidR="00823F92">
        <w:t xml:space="preserve">n </w:t>
      </w:r>
      <w:r>
        <w:t>Skill</w:t>
      </w:r>
      <w:r w:rsidR="00823F92">
        <w:t xml:space="preserve">s </w:t>
      </w:r>
      <w:r>
        <w:t>an</w:t>
      </w:r>
      <w:r w:rsidR="00823F92">
        <w:t xml:space="preserve">d </w:t>
      </w:r>
      <w:r>
        <w:t>Employment</w:t>
      </w:r>
    </w:p>
    <w:p w14:paraId="5CC5B3E9" w14:textId="180DE28B" w:rsidR="00293531" w:rsidRDefault="00293531" w:rsidP="00293531">
      <w:pPr>
        <w:pStyle w:val="ListBullet"/>
      </w:pPr>
      <w:r>
        <w:t>D</w:t>
      </w:r>
      <w:r w:rsidR="00823F92">
        <w:t xml:space="preserve">r </w:t>
      </w:r>
      <w:r>
        <w:t>Morto</w:t>
      </w:r>
      <w:r w:rsidR="00823F92">
        <w:t xml:space="preserve">n </w:t>
      </w:r>
      <w:r>
        <w:t>Rawlin</w:t>
      </w:r>
      <w:r w:rsidR="00823F92">
        <w:t xml:space="preserve">, </w:t>
      </w:r>
      <w:r>
        <w:t>Roya</w:t>
      </w:r>
      <w:r w:rsidR="00823F92">
        <w:t xml:space="preserve">l </w:t>
      </w:r>
      <w:r>
        <w:t>Australia</w:t>
      </w:r>
      <w:r w:rsidR="00823F92">
        <w:t xml:space="preserve">n </w:t>
      </w:r>
      <w:r>
        <w:t>Colleg</w:t>
      </w:r>
      <w:r w:rsidR="00823F92">
        <w:t xml:space="preserve">e </w:t>
      </w:r>
      <w:r>
        <w:t>o</w:t>
      </w:r>
      <w:r w:rsidR="00823F92">
        <w:t xml:space="preserve">f </w:t>
      </w:r>
      <w:r>
        <w:t>Genera</w:t>
      </w:r>
      <w:r w:rsidR="00823F92">
        <w:t xml:space="preserve">l </w:t>
      </w:r>
      <w:r>
        <w:t>Practitioners</w:t>
      </w:r>
    </w:p>
    <w:p w14:paraId="07C73DBF" w14:textId="3E289178" w:rsidR="00505E09" w:rsidRDefault="00293531" w:rsidP="00293531">
      <w:pPr>
        <w:pStyle w:val="ListBullet"/>
      </w:pPr>
      <w:r>
        <w:t>Stephe</w:t>
      </w:r>
      <w:r w:rsidR="00823F92">
        <w:t xml:space="preserve">n </w:t>
      </w:r>
      <w:r>
        <w:t>Jackson</w:t>
      </w:r>
      <w:r w:rsidR="00823F92">
        <w:t xml:space="preserve">, </w:t>
      </w:r>
      <w:r>
        <w:t>Australia</w:t>
      </w:r>
      <w:r w:rsidR="00823F92">
        <w:t xml:space="preserve">n </w:t>
      </w:r>
      <w:r>
        <w:t>Colleg</w:t>
      </w:r>
      <w:r w:rsidR="00823F92">
        <w:t xml:space="preserve">e </w:t>
      </w:r>
      <w:r>
        <w:t>o</w:t>
      </w:r>
      <w:r w:rsidR="00823F92">
        <w:t xml:space="preserve">f </w:t>
      </w:r>
      <w:r>
        <w:t>Menta</w:t>
      </w:r>
      <w:r w:rsidR="00823F92">
        <w:t xml:space="preserve">l </w:t>
      </w:r>
      <w:r>
        <w:t>Healt</w:t>
      </w:r>
      <w:r w:rsidR="00823F92">
        <w:t xml:space="preserve">h </w:t>
      </w:r>
      <w:r>
        <w:t>Nurses</w:t>
      </w:r>
    </w:p>
    <w:p w14:paraId="7FE01773" w14:textId="42DCF93F" w:rsidR="009977DD" w:rsidRDefault="009977DD" w:rsidP="00EC6BBF">
      <w:pPr>
        <w:pStyle w:val="Heading2AP"/>
      </w:pPr>
      <w:bookmarkStart w:id="31" w:name="_Toc99019003"/>
      <w:r w:rsidRPr="009977DD">
        <w:t>Intergovernmenta</w:t>
      </w:r>
      <w:r w:rsidR="00823F92" w:rsidRPr="009977DD">
        <w:t>l</w:t>
      </w:r>
      <w:r w:rsidR="00823F92">
        <w:t xml:space="preserve"> </w:t>
      </w:r>
      <w:r w:rsidRPr="009977DD">
        <w:t>an</w:t>
      </w:r>
      <w:r w:rsidR="00823F92" w:rsidRPr="009977DD">
        <w:t>d</w:t>
      </w:r>
      <w:r w:rsidR="00823F92">
        <w:t xml:space="preserve"> </w:t>
      </w:r>
      <w:r w:rsidRPr="009977DD">
        <w:t>Interjurisdictiona</w:t>
      </w:r>
      <w:r w:rsidR="00823F92" w:rsidRPr="009977DD">
        <w:t>l</w:t>
      </w:r>
      <w:r w:rsidR="00823F92">
        <w:t xml:space="preserve"> </w:t>
      </w:r>
      <w:r w:rsidRPr="009977DD">
        <w:t>Issues</w:t>
      </w:r>
      <w:bookmarkEnd w:id="31"/>
    </w:p>
    <w:p w14:paraId="0F889D1D" w14:textId="174B1CAC" w:rsidR="00BE7BA6" w:rsidRPr="00BE7BA6" w:rsidRDefault="00BE7BA6" w:rsidP="00BE7BA6">
      <w:pPr>
        <w:pStyle w:val="ListBullet"/>
      </w:pPr>
      <w:r w:rsidRPr="00BE7BA6">
        <w:t>Jennife</w:t>
      </w:r>
      <w:r w:rsidR="00823F92" w:rsidRPr="00BE7BA6">
        <w:t>r</w:t>
      </w:r>
      <w:r w:rsidR="00823F92">
        <w:t xml:space="preserve"> </w:t>
      </w:r>
      <w:r w:rsidRPr="00BE7BA6">
        <w:t>Taylor</w:t>
      </w:r>
      <w:r w:rsidR="00823F92" w:rsidRPr="00BE7BA6">
        <w:t>,</w:t>
      </w:r>
      <w:r w:rsidR="00823F92">
        <w:t xml:space="preserve"> </w:t>
      </w:r>
      <w:r w:rsidRPr="00BE7BA6">
        <w:t>Taskforc</w:t>
      </w:r>
      <w:r w:rsidR="00823F92" w:rsidRPr="00BE7BA6">
        <w:t>e</w:t>
      </w:r>
      <w:r w:rsidR="00823F92">
        <w:t xml:space="preserve"> </w:t>
      </w:r>
      <w:r w:rsidRPr="00BE7BA6">
        <w:t>Co-chai</w:t>
      </w:r>
      <w:r w:rsidR="00823F92" w:rsidRPr="00BE7BA6">
        <w:t>r</w:t>
      </w:r>
      <w:r w:rsidR="00823F92">
        <w:t xml:space="preserve"> </w:t>
      </w:r>
      <w:r w:rsidR="00AA577A">
        <w:t>(Chair)</w:t>
      </w:r>
    </w:p>
    <w:p w14:paraId="070009ED" w14:textId="3B0EB1D3" w:rsidR="00BE7BA6" w:rsidRPr="00BE7BA6" w:rsidRDefault="00BE7BA6" w:rsidP="00BE7BA6">
      <w:pPr>
        <w:pStyle w:val="ListBullet"/>
      </w:pPr>
      <w:r w:rsidRPr="00BE7BA6">
        <w:t>Bil</w:t>
      </w:r>
      <w:r w:rsidR="00823F92" w:rsidRPr="00BE7BA6">
        <w:t>l</w:t>
      </w:r>
      <w:r w:rsidR="00823F92">
        <w:t xml:space="preserve"> </w:t>
      </w:r>
      <w:r w:rsidRPr="00BE7BA6">
        <w:t>Gye</w:t>
      </w:r>
      <w:r w:rsidR="00823F92" w:rsidRPr="00BE7BA6">
        <w:t>,</w:t>
      </w:r>
      <w:r w:rsidR="00823F92">
        <w:t xml:space="preserve"> </w:t>
      </w:r>
      <w:r w:rsidRPr="00BE7BA6">
        <w:t>Communit</w:t>
      </w:r>
      <w:r w:rsidR="00823F92" w:rsidRPr="00BE7BA6">
        <w:t>y</w:t>
      </w:r>
      <w:r w:rsidR="00823F92">
        <w:t xml:space="preserve"> </w:t>
      </w:r>
      <w:r w:rsidRPr="00BE7BA6">
        <w:t>Menta</w:t>
      </w:r>
      <w:r w:rsidR="00823F92" w:rsidRPr="00BE7BA6">
        <w:t>l</w:t>
      </w:r>
      <w:r w:rsidR="00823F92">
        <w:t xml:space="preserve"> </w:t>
      </w:r>
      <w:r w:rsidRPr="00BE7BA6">
        <w:t>Healt</w:t>
      </w:r>
      <w:r w:rsidR="00823F92" w:rsidRPr="00BE7BA6">
        <w:t>h</w:t>
      </w:r>
      <w:r w:rsidR="00823F92">
        <w:t xml:space="preserve"> </w:t>
      </w:r>
      <w:r w:rsidRPr="00BE7BA6">
        <w:t>Australia</w:t>
      </w:r>
    </w:p>
    <w:p w14:paraId="278978E7" w14:textId="0523990C" w:rsidR="00BE7BA6" w:rsidRPr="00BE7BA6" w:rsidRDefault="00BE7BA6" w:rsidP="00BE7BA6">
      <w:pPr>
        <w:pStyle w:val="ListBullet"/>
      </w:pPr>
      <w:r w:rsidRPr="00BE7BA6">
        <w:t>Ro</w:t>
      </w:r>
      <w:r w:rsidR="00823F92" w:rsidRPr="00BE7BA6">
        <w:t>s</w:t>
      </w:r>
      <w:r w:rsidR="00823F92">
        <w:t xml:space="preserve"> </w:t>
      </w:r>
      <w:r w:rsidRPr="00BE7BA6">
        <w:t>Knight</w:t>
      </w:r>
      <w:r w:rsidR="00823F92" w:rsidRPr="00BE7BA6">
        <w:t>,</w:t>
      </w:r>
      <w:r w:rsidR="00823F92">
        <w:t xml:space="preserve"> </w:t>
      </w:r>
      <w:r w:rsidRPr="00BE7BA6">
        <w:t>Australia</w:t>
      </w:r>
      <w:r w:rsidR="00823F92" w:rsidRPr="00BE7BA6">
        <w:t>n</w:t>
      </w:r>
      <w:r w:rsidR="00823F92">
        <w:t xml:space="preserve"> </w:t>
      </w:r>
      <w:r w:rsidRPr="00BE7BA6">
        <w:t>Psychologica</w:t>
      </w:r>
      <w:r w:rsidR="00823F92" w:rsidRPr="00BE7BA6">
        <w:t>l</w:t>
      </w:r>
      <w:r w:rsidR="00823F92">
        <w:t xml:space="preserve"> </w:t>
      </w:r>
      <w:r w:rsidRPr="00BE7BA6">
        <w:t>Society</w:t>
      </w:r>
    </w:p>
    <w:p w14:paraId="5FF00B69" w14:textId="1B54D29A" w:rsidR="00BE7BA6" w:rsidRPr="00BE7BA6" w:rsidRDefault="00BE7BA6" w:rsidP="00BE7BA6">
      <w:pPr>
        <w:pStyle w:val="ListBullet"/>
      </w:pPr>
      <w:r w:rsidRPr="00BE7BA6">
        <w:t>Joh</w:t>
      </w:r>
      <w:r w:rsidR="00823F92" w:rsidRPr="00BE7BA6">
        <w:t>n</w:t>
      </w:r>
      <w:r w:rsidR="00823F92">
        <w:t xml:space="preserve"> </w:t>
      </w:r>
      <w:proofErr w:type="spellStart"/>
      <w:r w:rsidRPr="00BE7BA6">
        <w:t>Brayley</w:t>
      </w:r>
      <w:proofErr w:type="spellEnd"/>
      <w:r w:rsidR="00823F92" w:rsidRPr="00BE7BA6">
        <w:t>,</w:t>
      </w:r>
      <w:r w:rsidR="00823F92">
        <w:t xml:space="preserve"> </w:t>
      </w:r>
      <w:r w:rsidRPr="00BE7BA6">
        <w:t>Chie</w:t>
      </w:r>
      <w:r w:rsidR="00823F92" w:rsidRPr="00BE7BA6">
        <w:t>f</w:t>
      </w:r>
      <w:r w:rsidR="00823F92">
        <w:t xml:space="preserve"> </w:t>
      </w:r>
      <w:r w:rsidRPr="00BE7BA6">
        <w:t>Psychiatris</w:t>
      </w:r>
      <w:r w:rsidR="00823F92" w:rsidRPr="00BE7BA6">
        <w:t>t</w:t>
      </w:r>
      <w:r w:rsidR="00823F92">
        <w:t xml:space="preserve"> </w:t>
      </w:r>
      <w:r w:rsidRPr="00BE7BA6">
        <w:t>SA</w:t>
      </w:r>
    </w:p>
    <w:p w14:paraId="16F29EA7" w14:textId="5087E9EC" w:rsidR="00BE7BA6" w:rsidRPr="00BE7BA6" w:rsidRDefault="00BE7BA6" w:rsidP="00BE7BA6">
      <w:pPr>
        <w:pStyle w:val="ListBullet"/>
      </w:pPr>
      <w:r w:rsidRPr="00BE7BA6">
        <w:t>Trici</w:t>
      </w:r>
      <w:r w:rsidR="00823F92" w:rsidRPr="00BE7BA6">
        <w:t>a</w:t>
      </w:r>
      <w:r w:rsidR="00823F92">
        <w:t xml:space="preserve"> </w:t>
      </w:r>
      <w:r w:rsidRPr="00BE7BA6">
        <w:t>O'Riordan</w:t>
      </w:r>
      <w:r w:rsidR="00823F92" w:rsidRPr="00BE7BA6">
        <w:t>,</w:t>
      </w:r>
      <w:r w:rsidR="00823F92">
        <w:t xml:space="preserve"> </w:t>
      </w:r>
      <w:r w:rsidRPr="00BE7BA6">
        <w:t>NS</w:t>
      </w:r>
      <w:r w:rsidR="00823F92" w:rsidRPr="00BE7BA6">
        <w:t>W</w:t>
      </w:r>
      <w:r w:rsidR="00823F92">
        <w:t xml:space="preserve"> </w:t>
      </w:r>
      <w:r w:rsidRPr="00BE7BA6">
        <w:t>Health</w:t>
      </w:r>
    </w:p>
    <w:p w14:paraId="74BD2888" w14:textId="7F731870" w:rsidR="00BE7BA6" w:rsidRPr="00BE7BA6" w:rsidRDefault="00BE7BA6" w:rsidP="00BE7BA6">
      <w:pPr>
        <w:pStyle w:val="ListBullet"/>
      </w:pPr>
      <w:r w:rsidRPr="00BE7BA6">
        <w:t>Jaso</w:t>
      </w:r>
      <w:r w:rsidR="00823F92" w:rsidRPr="00BE7BA6">
        <w:t>n</w:t>
      </w:r>
      <w:r w:rsidR="00823F92">
        <w:t xml:space="preserve"> </w:t>
      </w:r>
      <w:r w:rsidRPr="00BE7BA6">
        <w:t>Davies-Kildea</w:t>
      </w:r>
      <w:r w:rsidR="00823F92" w:rsidRPr="00BE7BA6">
        <w:t>,</w:t>
      </w:r>
      <w:r w:rsidR="00823F92">
        <w:t xml:space="preserve"> </w:t>
      </w:r>
      <w:r w:rsidRPr="00BE7BA6">
        <w:t>Beyon</w:t>
      </w:r>
      <w:r w:rsidR="00823F92" w:rsidRPr="00BE7BA6">
        <w:t>d</w:t>
      </w:r>
      <w:r w:rsidR="00823F92">
        <w:t xml:space="preserve"> </w:t>
      </w:r>
      <w:r w:rsidRPr="00BE7BA6">
        <w:t>Blue</w:t>
      </w:r>
    </w:p>
    <w:p w14:paraId="17C8EEA2" w14:textId="02C599CF" w:rsidR="00BE7BA6" w:rsidRPr="00BE7BA6" w:rsidRDefault="00BE7BA6" w:rsidP="00BE7BA6">
      <w:pPr>
        <w:pStyle w:val="ListBullet"/>
      </w:pPr>
      <w:r w:rsidRPr="00BE7BA6">
        <w:t>Esmerald</w:t>
      </w:r>
      <w:r w:rsidR="00823F92" w:rsidRPr="00BE7BA6">
        <w:t>a</w:t>
      </w:r>
      <w:r w:rsidR="00823F92">
        <w:t xml:space="preserve"> </w:t>
      </w:r>
      <w:r w:rsidRPr="00BE7BA6">
        <w:t>Rocha</w:t>
      </w:r>
      <w:r w:rsidR="00823F92" w:rsidRPr="00BE7BA6">
        <w:t>,</w:t>
      </w:r>
      <w:r w:rsidR="00823F92">
        <w:t xml:space="preserve"> </w:t>
      </w:r>
      <w:r w:rsidRPr="00BE7BA6">
        <w:t>Departmen</w:t>
      </w:r>
      <w:r w:rsidR="00823F92" w:rsidRPr="00BE7BA6">
        <w:t>t</w:t>
      </w:r>
      <w:r w:rsidR="00823F92">
        <w:t xml:space="preserve"> </w:t>
      </w:r>
      <w:r w:rsidRPr="00BE7BA6">
        <w:t>o</w:t>
      </w:r>
      <w:r w:rsidR="00823F92" w:rsidRPr="00BE7BA6">
        <w:t>f</w:t>
      </w:r>
      <w:r w:rsidR="00823F92">
        <w:t xml:space="preserve"> </w:t>
      </w:r>
      <w:r w:rsidRPr="00BE7BA6">
        <w:t>Prim</w:t>
      </w:r>
      <w:r w:rsidR="00823F92" w:rsidRPr="00BE7BA6">
        <w:t>e</w:t>
      </w:r>
      <w:r w:rsidR="00823F92">
        <w:t xml:space="preserve"> </w:t>
      </w:r>
      <w:r w:rsidRPr="00BE7BA6">
        <w:t>Ministe</w:t>
      </w:r>
      <w:r w:rsidR="00823F92" w:rsidRPr="00BE7BA6">
        <w:t>r</w:t>
      </w:r>
      <w:r w:rsidR="00823F92">
        <w:t xml:space="preserve"> </w:t>
      </w:r>
      <w:r w:rsidRPr="00BE7BA6">
        <w:t>an</w:t>
      </w:r>
      <w:r w:rsidR="00823F92" w:rsidRPr="00BE7BA6">
        <w:t>d</w:t>
      </w:r>
      <w:r w:rsidR="00823F92">
        <w:t xml:space="preserve"> </w:t>
      </w:r>
      <w:r w:rsidRPr="00BE7BA6">
        <w:t>Cabinet</w:t>
      </w:r>
    </w:p>
    <w:p w14:paraId="12776ED5" w14:textId="2AA2F56D" w:rsidR="00BE7BA6" w:rsidRPr="00BE7BA6" w:rsidRDefault="00BE7BA6" w:rsidP="00BE7BA6">
      <w:pPr>
        <w:pStyle w:val="ListBullet"/>
      </w:pPr>
      <w:r w:rsidRPr="00BE7BA6">
        <w:t>Gin</w:t>
      </w:r>
      <w:r w:rsidR="00823F92" w:rsidRPr="00BE7BA6">
        <w:t>a</w:t>
      </w:r>
      <w:r w:rsidR="00823F92">
        <w:t xml:space="preserve"> </w:t>
      </w:r>
      <w:r w:rsidRPr="00BE7BA6">
        <w:t>Andrews</w:t>
      </w:r>
      <w:r w:rsidR="00823F92" w:rsidRPr="00BE7BA6">
        <w:t>,</w:t>
      </w:r>
      <w:r w:rsidR="00823F92">
        <w:t xml:space="preserve"> </w:t>
      </w:r>
      <w:r w:rsidRPr="00BE7BA6">
        <w:t>Departmen</w:t>
      </w:r>
      <w:r w:rsidR="00823F92" w:rsidRPr="00BE7BA6">
        <w:t>t</w:t>
      </w:r>
      <w:r w:rsidR="00823F92">
        <w:t xml:space="preserve"> </w:t>
      </w:r>
      <w:r w:rsidRPr="00BE7BA6">
        <w:t>o</w:t>
      </w:r>
      <w:r w:rsidR="00823F92" w:rsidRPr="00BE7BA6">
        <w:t>f</w:t>
      </w:r>
      <w:r w:rsidR="00823F92">
        <w:t xml:space="preserve"> </w:t>
      </w:r>
      <w:r w:rsidRPr="00BE7BA6">
        <w:t>Prim</w:t>
      </w:r>
      <w:r w:rsidR="00823F92" w:rsidRPr="00BE7BA6">
        <w:t>e</w:t>
      </w:r>
      <w:r w:rsidR="00823F92">
        <w:t xml:space="preserve"> </w:t>
      </w:r>
      <w:r w:rsidRPr="00BE7BA6">
        <w:t>Ministe</w:t>
      </w:r>
      <w:r w:rsidR="00823F92" w:rsidRPr="00BE7BA6">
        <w:t>r</w:t>
      </w:r>
      <w:r w:rsidR="00823F92">
        <w:t xml:space="preserve"> </w:t>
      </w:r>
      <w:r w:rsidRPr="00BE7BA6">
        <w:t>an</w:t>
      </w:r>
      <w:r w:rsidR="00823F92" w:rsidRPr="00BE7BA6">
        <w:t>d</w:t>
      </w:r>
      <w:r w:rsidR="00823F92">
        <w:t xml:space="preserve"> </w:t>
      </w:r>
      <w:r w:rsidRPr="00BE7BA6">
        <w:t>Cabinet</w:t>
      </w:r>
    </w:p>
    <w:p w14:paraId="0AE39AC7" w14:textId="3E00A338" w:rsidR="00BE7BA6" w:rsidRPr="00BE7BA6" w:rsidRDefault="00BE7BA6" w:rsidP="00BE7BA6">
      <w:pPr>
        <w:pStyle w:val="ListBullet"/>
      </w:pPr>
      <w:r w:rsidRPr="00BE7BA6">
        <w:t>Moir</w:t>
      </w:r>
      <w:r w:rsidR="00823F92" w:rsidRPr="00BE7BA6">
        <w:t>a</w:t>
      </w:r>
      <w:r w:rsidR="00823F92">
        <w:t xml:space="preserve"> </w:t>
      </w:r>
      <w:r w:rsidRPr="00BE7BA6">
        <w:t>Campbell</w:t>
      </w:r>
      <w:r w:rsidR="00823F92" w:rsidRPr="00BE7BA6">
        <w:t>,</w:t>
      </w:r>
      <w:r w:rsidR="00823F92">
        <w:t xml:space="preserve"> </w:t>
      </w:r>
      <w:r w:rsidRPr="00BE7BA6">
        <w:t>Departmen</w:t>
      </w:r>
      <w:r w:rsidR="00823F92" w:rsidRPr="00BE7BA6">
        <w:t>t</w:t>
      </w:r>
      <w:r w:rsidR="00823F92">
        <w:t xml:space="preserve"> </w:t>
      </w:r>
      <w:r w:rsidRPr="00BE7BA6">
        <w:t>o</w:t>
      </w:r>
      <w:r w:rsidR="00823F92" w:rsidRPr="00BE7BA6">
        <w:t>f</w:t>
      </w:r>
      <w:r w:rsidR="00823F92">
        <w:t xml:space="preserve"> </w:t>
      </w:r>
      <w:r w:rsidRPr="00BE7BA6">
        <w:t>Veterans’ Affairs</w:t>
      </w:r>
    </w:p>
    <w:p w14:paraId="58B57D03" w14:textId="72E8C41B" w:rsidR="00BE7BA6" w:rsidRPr="00BE7BA6" w:rsidRDefault="00BE7BA6" w:rsidP="00BE7BA6">
      <w:pPr>
        <w:pStyle w:val="ListBullet"/>
      </w:pPr>
      <w:r w:rsidRPr="00BE7BA6">
        <w:t>Noe</w:t>
      </w:r>
      <w:r w:rsidR="00823F92" w:rsidRPr="00BE7BA6">
        <w:t>l</w:t>
      </w:r>
      <w:r w:rsidR="00823F92">
        <w:t xml:space="preserve"> </w:t>
      </w:r>
      <w:r w:rsidRPr="00BE7BA6">
        <w:t>Muller</w:t>
      </w:r>
      <w:r w:rsidR="00823F92" w:rsidRPr="00BE7BA6">
        <w:t>,</w:t>
      </w:r>
      <w:r w:rsidR="00823F92">
        <w:t xml:space="preserve"> </w:t>
      </w:r>
      <w:r w:rsidRPr="00BE7BA6">
        <w:t>Consume</w:t>
      </w:r>
      <w:r w:rsidR="00823F92" w:rsidRPr="00BE7BA6">
        <w:t>r</w:t>
      </w:r>
      <w:r w:rsidR="00823F92">
        <w:t xml:space="preserve"> </w:t>
      </w:r>
      <w:r w:rsidRPr="00BE7BA6">
        <w:t>representative</w:t>
      </w:r>
    </w:p>
    <w:p w14:paraId="0B958026" w14:textId="4B243C32" w:rsidR="00BE7BA6" w:rsidRPr="00BE7BA6" w:rsidRDefault="00BE7BA6" w:rsidP="00BE7BA6">
      <w:pPr>
        <w:pStyle w:val="ListBullet"/>
        <w:rPr>
          <w:b/>
          <w:color w:val="000100"/>
        </w:rPr>
      </w:pPr>
      <w:r w:rsidRPr="00BE7BA6">
        <w:t>Eilee</w:t>
      </w:r>
      <w:r w:rsidR="00823F92" w:rsidRPr="00BE7BA6">
        <w:t>n</w:t>
      </w:r>
      <w:r w:rsidR="00823F92">
        <w:t xml:space="preserve"> </w:t>
      </w:r>
      <w:r w:rsidRPr="00BE7BA6">
        <w:t>McDonald</w:t>
      </w:r>
      <w:r w:rsidR="00823F92" w:rsidRPr="00BE7BA6">
        <w:t>,</w:t>
      </w:r>
      <w:r w:rsidR="00823F92">
        <w:t xml:space="preserve"> </w:t>
      </w:r>
      <w:r w:rsidRPr="00BE7BA6">
        <w:t>Care</w:t>
      </w:r>
      <w:r w:rsidR="00823F92" w:rsidRPr="00BE7BA6">
        <w:t>r</w:t>
      </w:r>
      <w:r w:rsidR="00823F92">
        <w:t xml:space="preserve"> </w:t>
      </w:r>
      <w:r w:rsidRPr="00BE7BA6">
        <w:t>representative</w:t>
      </w:r>
    </w:p>
    <w:p w14:paraId="68634836" w14:textId="4258DEBB" w:rsidR="009977DD" w:rsidRDefault="009977DD" w:rsidP="00EC6BBF">
      <w:pPr>
        <w:pStyle w:val="Heading2AP"/>
      </w:pPr>
      <w:bookmarkStart w:id="32" w:name="_Toc99019004"/>
      <w:r w:rsidRPr="009977DD">
        <w:t>Live</w:t>
      </w:r>
      <w:r w:rsidR="00823F92" w:rsidRPr="009977DD">
        <w:t>d</w:t>
      </w:r>
      <w:r w:rsidR="00823F92">
        <w:t xml:space="preserve"> </w:t>
      </w:r>
      <w:r w:rsidRPr="009977DD">
        <w:t>Experienc</w:t>
      </w:r>
      <w:r w:rsidR="00823F92" w:rsidRPr="009977DD">
        <w:t>e</w:t>
      </w:r>
      <w:r w:rsidR="00823F92">
        <w:t xml:space="preserve"> </w:t>
      </w:r>
      <w:r w:rsidRPr="009977DD">
        <w:t>(Peer) Workforce</w:t>
      </w:r>
      <w:bookmarkEnd w:id="32"/>
    </w:p>
    <w:p w14:paraId="30FE44C8" w14:textId="56DEA3B2" w:rsidR="003A23A9" w:rsidRPr="003A23A9" w:rsidRDefault="003A23A9" w:rsidP="003A23A9">
      <w:pPr>
        <w:pStyle w:val="ListBullet"/>
      </w:pPr>
      <w:r w:rsidRPr="003A23A9">
        <w:t>Margare</w:t>
      </w:r>
      <w:r w:rsidR="00823F92" w:rsidRPr="003A23A9">
        <w:t>t</w:t>
      </w:r>
      <w:r w:rsidR="00823F92">
        <w:t xml:space="preserve"> </w:t>
      </w:r>
      <w:r w:rsidRPr="003A23A9">
        <w:t>Doherty</w:t>
      </w:r>
      <w:r w:rsidR="00823F92" w:rsidRPr="003A23A9">
        <w:t>,</w:t>
      </w:r>
      <w:r w:rsidR="00823F92">
        <w:t xml:space="preserve"> </w:t>
      </w:r>
      <w:r w:rsidRPr="003A23A9">
        <w:t>Menta</w:t>
      </w:r>
      <w:r w:rsidR="00823F92" w:rsidRPr="003A23A9">
        <w:t>l</w:t>
      </w:r>
      <w:r w:rsidR="00823F92">
        <w:t xml:space="preserve"> </w:t>
      </w:r>
      <w:r w:rsidRPr="003A23A9">
        <w:t>Healt</w:t>
      </w:r>
      <w:r w:rsidR="00823F92" w:rsidRPr="003A23A9">
        <w:t>h</w:t>
      </w:r>
      <w:r w:rsidR="00823F92">
        <w:t xml:space="preserve"> </w:t>
      </w:r>
      <w:r w:rsidRPr="003A23A9">
        <w:t>Advisor</w:t>
      </w:r>
      <w:r w:rsidR="00823F92" w:rsidRPr="003A23A9">
        <w:t>y</w:t>
      </w:r>
      <w:r w:rsidR="00823F92">
        <w:t xml:space="preserve"> </w:t>
      </w:r>
      <w:r w:rsidRPr="003A23A9">
        <w:t>Counci</w:t>
      </w:r>
      <w:r w:rsidR="00823F92" w:rsidRPr="003A23A9">
        <w:t>l</w:t>
      </w:r>
      <w:r w:rsidR="00823F92">
        <w:t xml:space="preserve"> </w:t>
      </w:r>
      <w:r w:rsidRPr="003A23A9">
        <w:t>Wester</w:t>
      </w:r>
      <w:r w:rsidR="00823F92" w:rsidRPr="003A23A9">
        <w:t>n</w:t>
      </w:r>
      <w:r w:rsidR="00823F92">
        <w:t xml:space="preserve"> </w:t>
      </w:r>
      <w:r w:rsidRPr="003A23A9">
        <w:t>Australi</w:t>
      </w:r>
      <w:r w:rsidR="00823F92" w:rsidRPr="003A23A9">
        <w:t>a</w:t>
      </w:r>
      <w:r w:rsidR="00823F92">
        <w:t xml:space="preserve"> </w:t>
      </w:r>
      <w:r w:rsidRPr="003A23A9">
        <w:t>(Co-Chair)</w:t>
      </w:r>
    </w:p>
    <w:p w14:paraId="25A18B11" w14:textId="3112DBAB" w:rsidR="003A23A9" w:rsidRPr="003A23A9" w:rsidRDefault="003A23A9" w:rsidP="003A23A9">
      <w:pPr>
        <w:pStyle w:val="ListBullet"/>
      </w:pPr>
      <w:r w:rsidRPr="003A23A9">
        <w:t>Pete</w:t>
      </w:r>
      <w:r w:rsidR="00823F92" w:rsidRPr="003A23A9">
        <w:t>r</w:t>
      </w:r>
      <w:r w:rsidR="00823F92">
        <w:t xml:space="preserve"> </w:t>
      </w:r>
      <w:r w:rsidRPr="003A23A9">
        <w:t>Heggie</w:t>
      </w:r>
      <w:r w:rsidR="00823F92" w:rsidRPr="003A23A9">
        <w:t>,</w:t>
      </w:r>
      <w:r w:rsidR="00823F92">
        <w:t xml:space="preserve"> </w:t>
      </w:r>
      <w:r w:rsidRPr="003A23A9">
        <w:t>NS</w:t>
      </w:r>
      <w:r w:rsidR="00823F92" w:rsidRPr="003A23A9">
        <w:t>W</w:t>
      </w:r>
      <w:r w:rsidR="00823F92">
        <w:t xml:space="preserve"> </w:t>
      </w:r>
      <w:r w:rsidRPr="003A23A9">
        <w:t>Healt</w:t>
      </w:r>
      <w:r w:rsidR="00823F92" w:rsidRPr="003A23A9">
        <w:t>h</w:t>
      </w:r>
      <w:r w:rsidR="00823F92">
        <w:t xml:space="preserve"> </w:t>
      </w:r>
      <w:r w:rsidRPr="003A23A9">
        <w:t>(Co-Chair)</w:t>
      </w:r>
    </w:p>
    <w:p w14:paraId="3C7B24EB" w14:textId="05AA70FA" w:rsidR="003A23A9" w:rsidRPr="003A23A9" w:rsidRDefault="003A23A9" w:rsidP="003A23A9">
      <w:pPr>
        <w:pStyle w:val="ListBullet"/>
      </w:pPr>
      <w:r w:rsidRPr="003A23A9">
        <w:t>Ann</w:t>
      </w:r>
      <w:r w:rsidR="00823F92" w:rsidRPr="003A23A9">
        <w:t>e</w:t>
      </w:r>
      <w:r w:rsidR="00823F92">
        <w:t xml:space="preserve"> </w:t>
      </w:r>
      <w:r w:rsidRPr="003A23A9">
        <w:t>Barbara</w:t>
      </w:r>
      <w:r w:rsidR="00823F92" w:rsidRPr="003A23A9">
        <w:t>,</w:t>
      </w:r>
      <w:r w:rsidR="00823F92">
        <w:t xml:space="preserve"> </w:t>
      </w:r>
      <w:r w:rsidRPr="003A23A9">
        <w:t>Care</w:t>
      </w:r>
      <w:r w:rsidR="00823F92" w:rsidRPr="003A23A9">
        <w:t>r</w:t>
      </w:r>
      <w:r w:rsidR="00823F92">
        <w:t xml:space="preserve"> </w:t>
      </w:r>
      <w:r w:rsidRPr="003A23A9">
        <w:t>representative</w:t>
      </w:r>
    </w:p>
    <w:p w14:paraId="5B443073" w14:textId="268118A2" w:rsidR="003A23A9" w:rsidRPr="003A23A9" w:rsidRDefault="003A23A9" w:rsidP="003A23A9">
      <w:pPr>
        <w:pStyle w:val="ListBullet"/>
      </w:pPr>
      <w:r w:rsidRPr="003A23A9">
        <w:t>Catherin</w:t>
      </w:r>
      <w:r w:rsidR="00823F92" w:rsidRPr="003A23A9">
        <w:t>e</w:t>
      </w:r>
      <w:r w:rsidR="00823F92">
        <w:t xml:space="preserve"> </w:t>
      </w:r>
      <w:r w:rsidRPr="003A23A9">
        <w:t>Brown</w:t>
      </w:r>
      <w:r w:rsidR="00823F92" w:rsidRPr="003A23A9">
        <w:t>,</w:t>
      </w:r>
      <w:r w:rsidR="00823F92">
        <w:t xml:space="preserve"> </w:t>
      </w:r>
      <w:r w:rsidRPr="003A23A9">
        <w:t>Nationa</w:t>
      </w:r>
      <w:r w:rsidR="00823F92" w:rsidRPr="003A23A9">
        <w:t>l</w:t>
      </w:r>
      <w:r w:rsidR="00823F92">
        <w:t xml:space="preserve"> </w:t>
      </w:r>
      <w:r w:rsidRPr="003A23A9">
        <w:t>Menta</w:t>
      </w:r>
      <w:r w:rsidR="00823F92" w:rsidRPr="003A23A9">
        <w:t>l</w:t>
      </w:r>
      <w:r w:rsidR="00823F92">
        <w:t xml:space="preserve"> </w:t>
      </w:r>
      <w:r w:rsidRPr="003A23A9">
        <w:t>Healt</w:t>
      </w:r>
      <w:r w:rsidR="00823F92" w:rsidRPr="003A23A9">
        <w:t>h</w:t>
      </w:r>
      <w:r w:rsidR="00823F92">
        <w:t xml:space="preserve"> </w:t>
      </w:r>
      <w:r w:rsidRPr="003A23A9">
        <w:t>Commission</w:t>
      </w:r>
    </w:p>
    <w:p w14:paraId="620386E3" w14:textId="7BB62901" w:rsidR="003A23A9" w:rsidRPr="003A23A9" w:rsidRDefault="003A23A9" w:rsidP="003A23A9">
      <w:pPr>
        <w:pStyle w:val="ListBullet"/>
      </w:pPr>
      <w:r w:rsidRPr="003A23A9">
        <w:t>Louis</w:t>
      </w:r>
      <w:r w:rsidR="00823F92" w:rsidRPr="003A23A9">
        <w:t>e</w:t>
      </w:r>
      <w:r w:rsidR="00823F92">
        <w:t xml:space="preserve"> </w:t>
      </w:r>
      <w:r w:rsidRPr="003A23A9">
        <w:t>Byrne</w:t>
      </w:r>
      <w:r w:rsidR="00823F92" w:rsidRPr="003A23A9">
        <w:t>,</w:t>
      </w:r>
      <w:r w:rsidR="00823F92">
        <w:t xml:space="preserve"> </w:t>
      </w:r>
      <w:r w:rsidRPr="003A23A9">
        <w:t>RMIT</w:t>
      </w:r>
    </w:p>
    <w:p w14:paraId="3C5AADDF" w14:textId="06AF258B" w:rsidR="003A23A9" w:rsidRPr="003A23A9" w:rsidRDefault="003A23A9" w:rsidP="003A23A9">
      <w:pPr>
        <w:pStyle w:val="ListBullet"/>
      </w:pPr>
      <w:r w:rsidRPr="003A23A9">
        <w:t>Vaness</w:t>
      </w:r>
      <w:r w:rsidR="00823F92" w:rsidRPr="003A23A9">
        <w:t>a</w:t>
      </w:r>
      <w:r w:rsidR="00823F92">
        <w:t xml:space="preserve"> </w:t>
      </w:r>
      <w:r w:rsidRPr="003A23A9">
        <w:t>Corunna</w:t>
      </w:r>
      <w:r w:rsidR="00823F92" w:rsidRPr="003A23A9">
        <w:t>,</w:t>
      </w:r>
      <w:r w:rsidR="00823F92">
        <w:t xml:space="preserve"> </w:t>
      </w:r>
      <w:r w:rsidRPr="003A23A9">
        <w:t>Curti</w:t>
      </w:r>
      <w:r w:rsidR="00823F92" w:rsidRPr="003A23A9">
        <w:t>n</w:t>
      </w:r>
      <w:r w:rsidR="00823F92">
        <w:t xml:space="preserve"> </w:t>
      </w:r>
      <w:r w:rsidRPr="003A23A9">
        <w:t>University</w:t>
      </w:r>
    </w:p>
    <w:p w14:paraId="7DCD2411" w14:textId="378523F2" w:rsidR="003A23A9" w:rsidRPr="003A23A9" w:rsidRDefault="003A23A9" w:rsidP="003A23A9">
      <w:pPr>
        <w:pStyle w:val="ListBullet"/>
      </w:pPr>
      <w:r w:rsidRPr="003A23A9">
        <w:t>Shaun</w:t>
      </w:r>
      <w:r w:rsidR="00823F92" w:rsidRPr="003A23A9">
        <w:t>a</w:t>
      </w:r>
      <w:r w:rsidR="00823F92">
        <w:t xml:space="preserve"> </w:t>
      </w:r>
      <w:proofErr w:type="spellStart"/>
      <w:r w:rsidRPr="003A23A9">
        <w:t>Gaebler</w:t>
      </w:r>
      <w:proofErr w:type="spellEnd"/>
      <w:r w:rsidR="00823F92" w:rsidRPr="003A23A9">
        <w:t>,</w:t>
      </w:r>
      <w:r w:rsidR="00823F92">
        <w:t xml:space="preserve"> </w:t>
      </w:r>
      <w:r w:rsidRPr="003A23A9">
        <w:t>Consumer</w:t>
      </w:r>
      <w:r w:rsidR="00823F92" w:rsidRPr="003A23A9">
        <w:t>s</w:t>
      </w:r>
      <w:r w:rsidR="00823F92">
        <w:t xml:space="preserve"> </w:t>
      </w:r>
      <w:r w:rsidRPr="003A23A9">
        <w:t>o</w:t>
      </w:r>
      <w:r w:rsidR="00823F92" w:rsidRPr="003A23A9">
        <w:t>f</w:t>
      </w:r>
      <w:r w:rsidR="00823F92">
        <w:t xml:space="preserve"> </w:t>
      </w:r>
      <w:r w:rsidRPr="003A23A9">
        <w:t>Menta</w:t>
      </w:r>
      <w:r w:rsidR="00823F92" w:rsidRPr="003A23A9">
        <w:t>l</w:t>
      </w:r>
      <w:r w:rsidR="00823F92">
        <w:t xml:space="preserve"> </w:t>
      </w:r>
      <w:r w:rsidRPr="003A23A9">
        <w:t>Healt</w:t>
      </w:r>
      <w:r w:rsidR="00823F92" w:rsidRPr="003A23A9">
        <w:t>h</w:t>
      </w:r>
      <w:r w:rsidR="00823F92">
        <w:t xml:space="preserve"> </w:t>
      </w:r>
      <w:r w:rsidRPr="003A23A9">
        <w:t>Wester</w:t>
      </w:r>
      <w:r w:rsidR="00823F92" w:rsidRPr="003A23A9">
        <w:t>n</w:t>
      </w:r>
      <w:r w:rsidR="00823F92">
        <w:t xml:space="preserve"> </w:t>
      </w:r>
      <w:r w:rsidRPr="003A23A9">
        <w:t>Australia</w:t>
      </w:r>
    </w:p>
    <w:p w14:paraId="41ED9B22" w14:textId="19D97BC0" w:rsidR="003A23A9" w:rsidRPr="003A23A9" w:rsidRDefault="003A23A9" w:rsidP="003A23A9">
      <w:pPr>
        <w:pStyle w:val="ListBullet"/>
      </w:pPr>
      <w:r w:rsidRPr="003A23A9">
        <w:t>Lis</w:t>
      </w:r>
      <w:r w:rsidR="00823F92" w:rsidRPr="003A23A9">
        <w:t>a</w:t>
      </w:r>
      <w:r w:rsidR="00823F92">
        <w:t xml:space="preserve"> </w:t>
      </w:r>
      <w:proofErr w:type="spellStart"/>
      <w:r w:rsidRPr="003A23A9">
        <w:t>Goldrick</w:t>
      </w:r>
      <w:proofErr w:type="spellEnd"/>
      <w:r w:rsidR="00823F92" w:rsidRPr="003A23A9">
        <w:t>,</w:t>
      </w:r>
      <w:r w:rsidR="00823F92">
        <w:t xml:space="preserve"> </w:t>
      </w:r>
      <w:r w:rsidRPr="003A23A9">
        <w:t>Federa</w:t>
      </w:r>
      <w:r w:rsidR="00823F92" w:rsidRPr="003A23A9">
        <w:t>l</w:t>
      </w:r>
      <w:r w:rsidR="00823F92">
        <w:t xml:space="preserve"> </w:t>
      </w:r>
      <w:r w:rsidRPr="003A23A9">
        <w:t>Departmen</w:t>
      </w:r>
      <w:r w:rsidR="00823F92" w:rsidRPr="003A23A9">
        <w:t>t</w:t>
      </w:r>
      <w:r w:rsidR="00823F92">
        <w:t xml:space="preserve"> </w:t>
      </w:r>
      <w:r w:rsidRPr="003A23A9">
        <w:t>o</w:t>
      </w:r>
      <w:r w:rsidR="00823F92" w:rsidRPr="003A23A9">
        <w:t>f</w:t>
      </w:r>
      <w:r w:rsidR="00823F92">
        <w:t xml:space="preserve"> </w:t>
      </w:r>
      <w:r w:rsidRPr="003A23A9">
        <w:t>Defenc</w:t>
      </w:r>
      <w:r w:rsidR="00823F92" w:rsidRPr="003A23A9">
        <w:t>e</w:t>
      </w:r>
      <w:r w:rsidR="00823F92">
        <w:t xml:space="preserve"> </w:t>
      </w:r>
    </w:p>
    <w:p w14:paraId="53654409" w14:textId="7423D760" w:rsidR="003A23A9" w:rsidRPr="003A23A9" w:rsidRDefault="003A23A9" w:rsidP="003A23A9">
      <w:pPr>
        <w:pStyle w:val="ListBullet"/>
      </w:pPr>
      <w:r w:rsidRPr="003A23A9">
        <w:t>Ti</w:t>
      </w:r>
      <w:r w:rsidR="00823F92" w:rsidRPr="003A23A9">
        <w:t>m</w:t>
      </w:r>
      <w:r w:rsidR="00823F92">
        <w:t xml:space="preserve"> </w:t>
      </w:r>
      <w:r w:rsidRPr="003A23A9">
        <w:t>Heffernan</w:t>
      </w:r>
      <w:r w:rsidR="00823F92" w:rsidRPr="003A23A9">
        <w:t>,</w:t>
      </w:r>
      <w:r w:rsidR="00823F92">
        <w:t xml:space="preserve"> </w:t>
      </w:r>
      <w:r w:rsidRPr="003A23A9">
        <w:t>Nationa</w:t>
      </w:r>
      <w:r w:rsidR="00823F92" w:rsidRPr="003A23A9">
        <w:t>l</w:t>
      </w:r>
      <w:r w:rsidR="00823F92">
        <w:t xml:space="preserve"> </w:t>
      </w:r>
      <w:r w:rsidRPr="003A23A9">
        <w:t>Menta</w:t>
      </w:r>
      <w:r w:rsidR="00823F92" w:rsidRPr="003A23A9">
        <w:t>l</w:t>
      </w:r>
      <w:r w:rsidR="00823F92">
        <w:t xml:space="preserve"> </w:t>
      </w:r>
      <w:r w:rsidRPr="003A23A9">
        <w:t>Healt</w:t>
      </w:r>
      <w:r w:rsidR="00823F92" w:rsidRPr="003A23A9">
        <w:t>h</w:t>
      </w:r>
      <w:r w:rsidR="00823F92">
        <w:t xml:space="preserve"> </w:t>
      </w:r>
      <w:r w:rsidRPr="003A23A9">
        <w:t>Pee</w:t>
      </w:r>
      <w:r w:rsidR="00823F92" w:rsidRPr="003A23A9">
        <w:t>r</w:t>
      </w:r>
      <w:r w:rsidR="00823F92">
        <w:t xml:space="preserve"> </w:t>
      </w:r>
      <w:r w:rsidRPr="003A23A9">
        <w:t>Workforc</w:t>
      </w:r>
      <w:r w:rsidR="00823F92" w:rsidRPr="003A23A9">
        <w:t>e</w:t>
      </w:r>
      <w:r w:rsidR="00823F92">
        <w:t xml:space="preserve"> </w:t>
      </w:r>
      <w:r w:rsidRPr="003A23A9">
        <w:t>Developmen</w:t>
      </w:r>
      <w:r w:rsidR="00823F92" w:rsidRPr="003A23A9">
        <w:t>t</w:t>
      </w:r>
      <w:r w:rsidR="00823F92">
        <w:t xml:space="preserve"> </w:t>
      </w:r>
      <w:r w:rsidRPr="003A23A9">
        <w:t>Guidelines</w:t>
      </w:r>
    </w:p>
    <w:p w14:paraId="6EF0018E" w14:textId="2D8E894E" w:rsidR="003A23A9" w:rsidRPr="003A23A9" w:rsidRDefault="003A23A9" w:rsidP="003A23A9">
      <w:pPr>
        <w:pStyle w:val="ListBullet"/>
      </w:pPr>
      <w:r w:rsidRPr="003A23A9">
        <w:t>Stephani</w:t>
      </w:r>
      <w:r w:rsidR="00823F92" w:rsidRPr="003A23A9">
        <w:t>e</w:t>
      </w:r>
      <w:r w:rsidR="00823F92">
        <w:t xml:space="preserve"> </w:t>
      </w:r>
      <w:r w:rsidRPr="003A23A9">
        <w:t>Hodson</w:t>
      </w:r>
      <w:r w:rsidR="00823F92" w:rsidRPr="003A23A9">
        <w:t>,</w:t>
      </w:r>
      <w:r w:rsidR="00823F92">
        <w:t xml:space="preserve"> </w:t>
      </w:r>
      <w:r w:rsidRPr="003A23A9">
        <w:t>Federa</w:t>
      </w:r>
      <w:r w:rsidR="00823F92" w:rsidRPr="003A23A9">
        <w:t>l</w:t>
      </w:r>
      <w:r w:rsidR="00823F92">
        <w:t xml:space="preserve"> </w:t>
      </w:r>
      <w:r w:rsidRPr="003A23A9">
        <w:t>Departmen</w:t>
      </w:r>
      <w:r w:rsidR="00823F92" w:rsidRPr="003A23A9">
        <w:t>t</w:t>
      </w:r>
      <w:r w:rsidR="00823F92">
        <w:t xml:space="preserve"> </w:t>
      </w:r>
      <w:r w:rsidRPr="003A23A9">
        <w:t>o</w:t>
      </w:r>
      <w:r w:rsidR="00823F92" w:rsidRPr="003A23A9">
        <w:t>f</w:t>
      </w:r>
      <w:r w:rsidR="00823F92">
        <w:t xml:space="preserve"> </w:t>
      </w:r>
      <w:r w:rsidRPr="003A23A9">
        <w:t>Veterans’ Affairs</w:t>
      </w:r>
    </w:p>
    <w:p w14:paraId="0878A132" w14:textId="0842925B" w:rsidR="003A23A9" w:rsidRPr="003A23A9" w:rsidRDefault="003A23A9" w:rsidP="003A23A9">
      <w:pPr>
        <w:pStyle w:val="ListBullet"/>
      </w:pPr>
      <w:r w:rsidRPr="003A23A9">
        <w:t>Roderic</w:t>
      </w:r>
      <w:r w:rsidR="00823F92" w:rsidRPr="003A23A9">
        <w:t>k</w:t>
      </w:r>
      <w:r w:rsidR="00823F92">
        <w:t xml:space="preserve"> </w:t>
      </w:r>
      <w:r w:rsidRPr="003A23A9">
        <w:t>McKay</w:t>
      </w:r>
      <w:r w:rsidR="00823F92" w:rsidRPr="003A23A9">
        <w:t>,</w:t>
      </w:r>
      <w:r w:rsidR="00823F92">
        <w:t xml:space="preserve"> </w:t>
      </w:r>
      <w:r w:rsidRPr="003A23A9">
        <w:t>RANZGP</w:t>
      </w:r>
    </w:p>
    <w:p w14:paraId="16CCB157" w14:textId="2A470378" w:rsidR="003A23A9" w:rsidRPr="003A23A9" w:rsidRDefault="003A23A9" w:rsidP="003A23A9">
      <w:pPr>
        <w:pStyle w:val="ListBullet"/>
      </w:pPr>
      <w:r w:rsidRPr="003A23A9">
        <w:lastRenderedPageBreak/>
        <w:t>Heathe</w:t>
      </w:r>
      <w:r w:rsidR="00823F92" w:rsidRPr="003A23A9">
        <w:t>r</w:t>
      </w:r>
      <w:r w:rsidR="00823F92">
        <w:t xml:space="preserve"> </w:t>
      </w:r>
      <w:r w:rsidRPr="003A23A9">
        <w:t>Nowak</w:t>
      </w:r>
      <w:r w:rsidR="00823F92" w:rsidRPr="003A23A9">
        <w:t>,</w:t>
      </w:r>
      <w:r w:rsidR="00823F92">
        <w:t xml:space="preserve"> </w:t>
      </w:r>
      <w:r w:rsidRPr="003A23A9">
        <w:t>Sout</w:t>
      </w:r>
      <w:r w:rsidR="00823F92" w:rsidRPr="003A23A9">
        <w:t>h</w:t>
      </w:r>
      <w:r w:rsidR="00823F92">
        <w:t xml:space="preserve"> </w:t>
      </w:r>
      <w:r w:rsidRPr="003A23A9">
        <w:t>Australia</w:t>
      </w:r>
      <w:r w:rsidR="00823F92" w:rsidRPr="003A23A9">
        <w:t>n</w:t>
      </w:r>
      <w:r w:rsidR="00823F92">
        <w:t xml:space="preserve"> </w:t>
      </w:r>
      <w:r w:rsidRPr="003A23A9">
        <w:t>Menta</w:t>
      </w:r>
      <w:r w:rsidR="00823F92" w:rsidRPr="003A23A9">
        <w:t>l</w:t>
      </w:r>
      <w:r w:rsidR="00823F92">
        <w:t xml:space="preserve"> </w:t>
      </w:r>
      <w:r w:rsidRPr="003A23A9">
        <w:t>Healt</w:t>
      </w:r>
      <w:r w:rsidR="00823F92" w:rsidRPr="003A23A9">
        <w:t>h</w:t>
      </w:r>
      <w:r w:rsidR="00823F92">
        <w:t xml:space="preserve"> </w:t>
      </w:r>
      <w:r w:rsidRPr="003A23A9">
        <w:t>Commission</w:t>
      </w:r>
    </w:p>
    <w:p w14:paraId="45BC1698" w14:textId="677FF21D" w:rsidR="003A23A9" w:rsidRPr="003A23A9" w:rsidRDefault="003A23A9" w:rsidP="003A23A9">
      <w:pPr>
        <w:pStyle w:val="ListBullet"/>
      </w:pPr>
      <w:r w:rsidRPr="003A23A9">
        <w:t>Carl</w:t>
      </w:r>
      <w:r w:rsidR="00823F92" w:rsidRPr="003A23A9">
        <w:t>i</w:t>
      </w:r>
      <w:r w:rsidR="00823F92">
        <w:t xml:space="preserve"> </w:t>
      </w:r>
      <w:r w:rsidRPr="003A23A9">
        <w:t>Sheers</w:t>
      </w:r>
      <w:r w:rsidR="00823F92" w:rsidRPr="003A23A9">
        <w:t>,</w:t>
      </w:r>
      <w:r w:rsidR="00823F92">
        <w:t xml:space="preserve"> </w:t>
      </w:r>
      <w:r w:rsidRPr="003A23A9">
        <w:t>consume</w:t>
      </w:r>
      <w:r w:rsidR="00823F92" w:rsidRPr="003A23A9">
        <w:t>r</w:t>
      </w:r>
      <w:r w:rsidR="00823F92">
        <w:t xml:space="preserve"> </w:t>
      </w:r>
      <w:r w:rsidRPr="003A23A9">
        <w:t>proxy</w:t>
      </w:r>
    </w:p>
    <w:p w14:paraId="5BBBA3B4" w14:textId="7DE81F6F" w:rsidR="003A23A9" w:rsidRPr="003A23A9" w:rsidRDefault="003A23A9" w:rsidP="003A23A9">
      <w:pPr>
        <w:pStyle w:val="ListBullet"/>
      </w:pPr>
      <w:r w:rsidRPr="003A23A9">
        <w:t>Lis</w:t>
      </w:r>
      <w:r w:rsidR="00823F92" w:rsidRPr="003A23A9">
        <w:t>a</w:t>
      </w:r>
      <w:r w:rsidR="00823F92">
        <w:t xml:space="preserve"> </w:t>
      </w:r>
      <w:r w:rsidRPr="003A23A9">
        <w:t>Sweeney</w:t>
      </w:r>
      <w:r w:rsidR="00823F92" w:rsidRPr="003A23A9">
        <w:t>,</w:t>
      </w:r>
      <w:r w:rsidR="00823F92">
        <w:t xml:space="preserve"> </w:t>
      </w:r>
      <w:r w:rsidRPr="003A23A9">
        <w:t>SANE</w:t>
      </w:r>
    </w:p>
    <w:p w14:paraId="4DE52AC7" w14:textId="7213A620" w:rsidR="003A23A9" w:rsidRPr="003A23A9" w:rsidRDefault="003A23A9" w:rsidP="003A23A9">
      <w:pPr>
        <w:pStyle w:val="ListBullet"/>
        <w:rPr>
          <w:b/>
          <w:color w:val="000100"/>
        </w:rPr>
      </w:pPr>
      <w:r w:rsidRPr="003A23A9">
        <w:t>Lorell</w:t>
      </w:r>
      <w:r w:rsidR="00823F92" w:rsidRPr="003A23A9">
        <w:t>e</w:t>
      </w:r>
      <w:r w:rsidR="00823F92">
        <w:t xml:space="preserve"> </w:t>
      </w:r>
      <w:proofErr w:type="spellStart"/>
      <w:r w:rsidRPr="003A23A9">
        <w:t>Zemunik</w:t>
      </w:r>
      <w:proofErr w:type="spellEnd"/>
      <w:r w:rsidR="00823F92" w:rsidRPr="003A23A9">
        <w:t>,</w:t>
      </w:r>
      <w:r w:rsidR="00823F92">
        <w:t xml:space="preserve"> </w:t>
      </w:r>
      <w:r w:rsidRPr="003A23A9">
        <w:t>Menta</w:t>
      </w:r>
      <w:r w:rsidR="00823F92" w:rsidRPr="003A23A9">
        <w:t>l</w:t>
      </w:r>
      <w:r w:rsidR="00823F92">
        <w:t xml:space="preserve"> </w:t>
      </w:r>
      <w:r w:rsidRPr="003A23A9">
        <w:t>Healt</w:t>
      </w:r>
      <w:r w:rsidR="00823F92" w:rsidRPr="003A23A9">
        <w:t>h</w:t>
      </w:r>
      <w:r w:rsidR="00823F92">
        <w:t xml:space="preserve"> </w:t>
      </w:r>
      <w:r w:rsidRPr="003A23A9">
        <w:t>Victoria</w:t>
      </w:r>
    </w:p>
    <w:p w14:paraId="6718898F" w14:textId="405D67CC" w:rsidR="00E4255B" w:rsidRDefault="009977DD" w:rsidP="00EC6BBF">
      <w:pPr>
        <w:pStyle w:val="Heading2AP"/>
      </w:pPr>
      <w:bookmarkStart w:id="33" w:name="_Toc99019005"/>
      <w:r w:rsidRPr="009977DD">
        <w:t>Rura</w:t>
      </w:r>
      <w:r w:rsidR="00823F92" w:rsidRPr="009977DD">
        <w:t>l</w:t>
      </w:r>
      <w:r w:rsidR="00823F92">
        <w:t xml:space="preserve"> </w:t>
      </w:r>
      <w:r w:rsidRPr="009977DD">
        <w:t>an</w:t>
      </w:r>
      <w:r w:rsidR="00823F92" w:rsidRPr="009977DD">
        <w:t>d</w:t>
      </w:r>
      <w:r w:rsidR="00823F92">
        <w:t xml:space="preserve"> </w:t>
      </w:r>
      <w:r w:rsidRPr="009977DD">
        <w:t>Remote</w:t>
      </w:r>
      <w:bookmarkEnd w:id="33"/>
    </w:p>
    <w:p w14:paraId="6972EEAB" w14:textId="162DDBB3" w:rsidR="003A23A9" w:rsidRDefault="003A23A9" w:rsidP="003A23A9">
      <w:pPr>
        <w:pStyle w:val="ListBullet"/>
      </w:pPr>
      <w:r>
        <w:t>Leann</w:t>
      </w:r>
      <w:r w:rsidR="00823F92">
        <w:t xml:space="preserve">e </w:t>
      </w:r>
      <w:r>
        <w:t>Beagley</w:t>
      </w:r>
      <w:r w:rsidR="00823F92">
        <w:t xml:space="preserve">, </w:t>
      </w:r>
      <w:r>
        <w:t>Menta</w:t>
      </w:r>
      <w:r w:rsidR="00823F92">
        <w:t xml:space="preserve">l </w:t>
      </w:r>
      <w:r>
        <w:t>Healt</w:t>
      </w:r>
      <w:r w:rsidR="00823F92">
        <w:t xml:space="preserve">h </w:t>
      </w:r>
      <w:r>
        <w:t>Australi</w:t>
      </w:r>
      <w:r w:rsidR="00823F92">
        <w:t xml:space="preserve">a </w:t>
      </w:r>
      <w:r>
        <w:t>(Chair)</w:t>
      </w:r>
    </w:p>
    <w:p w14:paraId="5C7B0FCF" w14:textId="00045E3D" w:rsidR="0094069A" w:rsidRDefault="0094069A" w:rsidP="003A23A9">
      <w:pPr>
        <w:pStyle w:val="ListBullet"/>
      </w:pPr>
      <w:r>
        <w:t>Sophi</w:t>
      </w:r>
      <w:r w:rsidR="00823F92">
        <w:t xml:space="preserve">e </w:t>
      </w:r>
      <w:r>
        <w:t>Dodd</w:t>
      </w:r>
      <w:r w:rsidR="00823F92">
        <w:t xml:space="preserve">, </w:t>
      </w:r>
      <w:r>
        <w:t>Beyon</w:t>
      </w:r>
      <w:r w:rsidR="00823F92">
        <w:t xml:space="preserve">d </w:t>
      </w:r>
      <w:r>
        <w:t>Blue</w:t>
      </w:r>
    </w:p>
    <w:p w14:paraId="781A7194" w14:textId="22E1BDCC" w:rsidR="0094069A" w:rsidRDefault="0094069A" w:rsidP="003A23A9">
      <w:pPr>
        <w:pStyle w:val="ListBullet"/>
      </w:pPr>
      <w:r>
        <w:t>Jac</w:t>
      </w:r>
      <w:r w:rsidR="00823F92">
        <w:t xml:space="preserve">k </w:t>
      </w:r>
      <w:r>
        <w:t>Heath</w:t>
      </w:r>
      <w:r w:rsidR="00823F92">
        <w:t xml:space="preserve">, </w:t>
      </w:r>
      <w:r>
        <w:t>SANE</w:t>
      </w:r>
    </w:p>
    <w:p w14:paraId="298444DC" w14:textId="5F27CEB6" w:rsidR="0094069A" w:rsidRDefault="0094069A" w:rsidP="003A23A9">
      <w:pPr>
        <w:pStyle w:val="ListBullet"/>
      </w:pPr>
      <w:r>
        <w:t>Ann</w:t>
      </w:r>
      <w:r w:rsidR="00823F92">
        <w:t xml:space="preserve">a </w:t>
      </w:r>
      <w:r>
        <w:t>Brooks</w:t>
      </w:r>
      <w:r w:rsidR="00823F92">
        <w:t xml:space="preserve">, </w:t>
      </w:r>
      <w:r>
        <w:t>Lifelin</w:t>
      </w:r>
      <w:r w:rsidR="00823F92">
        <w:t xml:space="preserve">e </w:t>
      </w:r>
      <w:r>
        <w:t>Australia</w:t>
      </w:r>
    </w:p>
    <w:p w14:paraId="52527CC5" w14:textId="5D410A0B" w:rsidR="0094069A" w:rsidRDefault="0094069A" w:rsidP="003A23A9">
      <w:pPr>
        <w:pStyle w:val="ListBullet"/>
      </w:pPr>
      <w:proofErr w:type="spellStart"/>
      <w:r>
        <w:t>Umi</w:t>
      </w:r>
      <w:r w:rsidR="00823F92">
        <w:t>t</w:t>
      </w:r>
      <w:proofErr w:type="spellEnd"/>
      <w:r w:rsidR="00823F92">
        <w:t xml:space="preserve"> </w:t>
      </w:r>
      <w:r>
        <w:t>Agis</w:t>
      </w:r>
      <w:r w:rsidR="00823F92">
        <w:t xml:space="preserve">, </w:t>
      </w:r>
      <w:r>
        <w:t>NS</w:t>
      </w:r>
      <w:r w:rsidR="00823F92">
        <w:t xml:space="preserve">W </w:t>
      </w:r>
      <w:r>
        <w:t>Health</w:t>
      </w:r>
    </w:p>
    <w:p w14:paraId="41896B08" w14:textId="639CF846" w:rsidR="0094069A" w:rsidRDefault="0094069A" w:rsidP="003A23A9">
      <w:pPr>
        <w:pStyle w:val="ListBullet"/>
      </w:pPr>
      <w:r>
        <w:t>Pro</w:t>
      </w:r>
      <w:r w:rsidR="00823F92">
        <w:t xml:space="preserve">f </w:t>
      </w:r>
      <w:r>
        <w:t>Russel</w:t>
      </w:r>
      <w:r w:rsidR="00823F92">
        <w:t xml:space="preserve">l </w:t>
      </w:r>
      <w:r>
        <w:t>Roberts</w:t>
      </w:r>
      <w:r w:rsidR="00823F92">
        <w:t xml:space="preserve">, </w:t>
      </w:r>
      <w:r>
        <w:t>Charle</w:t>
      </w:r>
      <w:r w:rsidR="00823F92">
        <w:t xml:space="preserve">s </w:t>
      </w:r>
      <w:r>
        <w:t>Stur</w:t>
      </w:r>
      <w:r w:rsidR="00823F92">
        <w:t xml:space="preserve">t </w:t>
      </w:r>
      <w:r>
        <w:t>Universit</w:t>
      </w:r>
      <w:r w:rsidR="00823F92">
        <w:t xml:space="preserve">y </w:t>
      </w:r>
    </w:p>
    <w:p w14:paraId="4FDBE719" w14:textId="4144BDC2" w:rsidR="0094069A" w:rsidRDefault="0094069A" w:rsidP="003A23A9">
      <w:pPr>
        <w:pStyle w:val="ListBullet"/>
      </w:pPr>
      <w:r>
        <w:t>D</w:t>
      </w:r>
      <w:r w:rsidR="00823F92">
        <w:t xml:space="preserve">r </w:t>
      </w:r>
      <w:r>
        <w:t>Mathe</w:t>
      </w:r>
      <w:r w:rsidR="00823F92">
        <w:t xml:space="preserve">w </w:t>
      </w:r>
      <w:r>
        <w:t>Coleman</w:t>
      </w:r>
      <w:r w:rsidR="00823F92">
        <w:t xml:space="preserve">, </w:t>
      </w:r>
      <w:r>
        <w:t>RANZCP</w:t>
      </w:r>
    </w:p>
    <w:p w14:paraId="423D9814" w14:textId="0F6A02C6" w:rsidR="0094069A" w:rsidRDefault="0094069A" w:rsidP="003A23A9">
      <w:pPr>
        <w:pStyle w:val="ListBullet"/>
      </w:pPr>
      <w:r>
        <w:t>A/Pro</w:t>
      </w:r>
      <w:r w:rsidR="00823F92">
        <w:t xml:space="preserve">f </w:t>
      </w:r>
      <w:r>
        <w:t>Rut</w:t>
      </w:r>
      <w:r w:rsidR="00823F92">
        <w:t xml:space="preserve">h </w:t>
      </w:r>
      <w:r>
        <w:t>Stewart</w:t>
      </w:r>
      <w:r w:rsidR="00823F92">
        <w:t xml:space="preserve">, </w:t>
      </w:r>
      <w:r>
        <w:t>Nationa</w:t>
      </w:r>
      <w:r w:rsidR="00823F92">
        <w:t xml:space="preserve">l </w:t>
      </w:r>
      <w:r>
        <w:t>Rura</w:t>
      </w:r>
      <w:r w:rsidR="00823F92">
        <w:t xml:space="preserve">l </w:t>
      </w:r>
      <w:r>
        <w:t>Healt</w:t>
      </w:r>
      <w:r w:rsidR="00823F92">
        <w:t xml:space="preserve">h </w:t>
      </w:r>
      <w:r>
        <w:t>Commissioner</w:t>
      </w:r>
    </w:p>
    <w:p w14:paraId="5000039E" w14:textId="5F2DE0CB" w:rsidR="0094069A" w:rsidRDefault="0094069A" w:rsidP="003A23A9">
      <w:pPr>
        <w:pStyle w:val="ListBullet"/>
      </w:pPr>
      <w:r>
        <w:t>Do</w:t>
      </w:r>
      <w:r w:rsidR="00823F92">
        <w:t xml:space="preserve">t </w:t>
      </w:r>
      <w:r>
        <w:t>Wright</w:t>
      </w:r>
      <w:r w:rsidR="00823F92">
        <w:t xml:space="preserve">, </w:t>
      </w:r>
      <w:r>
        <w:t>Departmen</w:t>
      </w:r>
      <w:r w:rsidR="00823F92">
        <w:t xml:space="preserve">t </w:t>
      </w:r>
      <w:r>
        <w:t>o</w:t>
      </w:r>
      <w:r w:rsidR="00823F92">
        <w:t xml:space="preserve">f </w:t>
      </w:r>
      <w:r>
        <w:t>Infrastructure</w:t>
      </w:r>
      <w:r w:rsidR="00823F92">
        <w:t xml:space="preserve">, </w:t>
      </w:r>
      <w:r>
        <w:t>Transport</w:t>
      </w:r>
      <w:r w:rsidR="00823F92">
        <w:t xml:space="preserve">, </w:t>
      </w:r>
      <w:r>
        <w:t>Regiona</w:t>
      </w:r>
      <w:r w:rsidR="00823F92">
        <w:t xml:space="preserve">l </w:t>
      </w:r>
      <w:r>
        <w:t>Developmen</w:t>
      </w:r>
      <w:r w:rsidR="00823F92">
        <w:t xml:space="preserve">t </w:t>
      </w:r>
      <w:r>
        <w:t>an</w:t>
      </w:r>
      <w:r w:rsidR="00823F92">
        <w:t xml:space="preserve">d </w:t>
      </w:r>
      <w:r>
        <w:t>Communication</w:t>
      </w:r>
    </w:p>
    <w:p w14:paraId="5186D819" w14:textId="550BB619" w:rsidR="003E1BB8" w:rsidRDefault="003E1BB8" w:rsidP="003A23A9">
      <w:pPr>
        <w:pStyle w:val="ListBullet"/>
      </w:pPr>
      <w:r>
        <w:t>L</w:t>
      </w:r>
      <w:r w:rsidR="00823F92">
        <w:t xml:space="preserve">e </w:t>
      </w:r>
      <w:r>
        <w:t>Smith</w:t>
      </w:r>
      <w:r w:rsidR="00823F92">
        <w:t xml:space="preserve">, </w:t>
      </w:r>
      <w:r>
        <w:t>N</w:t>
      </w:r>
      <w:r w:rsidR="00823F92">
        <w:t xml:space="preserve">T </w:t>
      </w:r>
      <w:r>
        <w:t>PHN</w:t>
      </w:r>
    </w:p>
    <w:p w14:paraId="3D221A1F" w14:textId="243C99A4" w:rsidR="000F2F93" w:rsidRDefault="000F2F93" w:rsidP="003A23A9">
      <w:pPr>
        <w:pStyle w:val="ListBullet"/>
      </w:pPr>
      <w:r>
        <w:t>Gabriell</w:t>
      </w:r>
      <w:r w:rsidR="00823F92">
        <w:t xml:space="preserve">e </w:t>
      </w:r>
      <w:r>
        <w:t>O’Kane</w:t>
      </w:r>
      <w:r w:rsidR="00823F92">
        <w:t xml:space="preserve">, </w:t>
      </w:r>
      <w:r>
        <w:t>Nationa</w:t>
      </w:r>
      <w:r w:rsidR="00823F92">
        <w:t xml:space="preserve">l </w:t>
      </w:r>
      <w:r>
        <w:t>Rura</w:t>
      </w:r>
      <w:r w:rsidR="00823F92">
        <w:t xml:space="preserve">l </w:t>
      </w:r>
      <w:r>
        <w:t>Healt</w:t>
      </w:r>
      <w:r w:rsidR="00823F92">
        <w:t xml:space="preserve">h </w:t>
      </w:r>
      <w:r>
        <w:t>Alliance</w:t>
      </w:r>
    </w:p>
    <w:p w14:paraId="2B97A1C3" w14:textId="25A94D0A" w:rsidR="0094069A" w:rsidRDefault="0094069A" w:rsidP="003A23A9">
      <w:pPr>
        <w:pStyle w:val="ListBullet"/>
      </w:pPr>
      <w:r>
        <w:t>Jo</w:t>
      </w:r>
      <w:r w:rsidR="00823F92">
        <w:t xml:space="preserve">e </w:t>
      </w:r>
      <w:r>
        <w:t>Hooper</w:t>
      </w:r>
      <w:r w:rsidR="00823F92">
        <w:t xml:space="preserve">, </w:t>
      </w:r>
      <w:r>
        <w:t>Rura</w:t>
      </w:r>
      <w:r w:rsidR="00823F92">
        <w:t xml:space="preserve">l </w:t>
      </w:r>
      <w:r>
        <w:t>an</w:t>
      </w:r>
      <w:r w:rsidR="00823F92">
        <w:t xml:space="preserve">d </w:t>
      </w:r>
      <w:r>
        <w:t>Remot</w:t>
      </w:r>
      <w:r w:rsidR="00823F92">
        <w:t xml:space="preserve">e </w:t>
      </w:r>
      <w:r>
        <w:t>Menta</w:t>
      </w:r>
      <w:r w:rsidR="00823F92">
        <w:t xml:space="preserve">l </w:t>
      </w:r>
      <w:r>
        <w:t>Health</w:t>
      </w:r>
    </w:p>
    <w:p w14:paraId="732575C0" w14:textId="738E2E30" w:rsidR="0094069A" w:rsidRDefault="0094069A" w:rsidP="003A23A9">
      <w:pPr>
        <w:pStyle w:val="ListBullet"/>
      </w:pPr>
      <w:r>
        <w:t>Michell</w:t>
      </w:r>
      <w:r w:rsidR="00823F92">
        <w:t xml:space="preserve">e </w:t>
      </w:r>
      <w:proofErr w:type="spellStart"/>
      <w:r>
        <w:t>Clewett</w:t>
      </w:r>
      <w:proofErr w:type="spellEnd"/>
      <w:r w:rsidR="00823F92">
        <w:t xml:space="preserve">, </w:t>
      </w:r>
      <w:r>
        <w:t>Departmen</w:t>
      </w:r>
      <w:r w:rsidR="00823F92">
        <w:t xml:space="preserve">t </w:t>
      </w:r>
      <w:r>
        <w:t>o</w:t>
      </w:r>
      <w:r w:rsidR="00823F92">
        <w:t xml:space="preserve">f </w:t>
      </w:r>
      <w:r>
        <w:t>Education</w:t>
      </w:r>
      <w:r w:rsidR="00823F92">
        <w:t xml:space="preserve">, </w:t>
      </w:r>
      <w:r>
        <w:t>Skill</w:t>
      </w:r>
      <w:r w:rsidR="00823F92">
        <w:t xml:space="preserve">s </w:t>
      </w:r>
      <w:r>
        <w:t>an</w:t>
      </w:r>
      <w:r w:rsidR="00823F92">
        <w:t xml:space="preserve">d </w:t>
      </w:r>
      <w:r>
        <w:t>Employment</w:t>
      </w:r>
    </w:p>
    <w:p w14:paraId="0D6E93EB" w14:textId="62140006" w:rsidR="0094069A" w:rsidRDefault="0094069A" w:rsidP="003A23A9">
      <w:pPr>
        <w:pStyle w:val="ListBullet"/>
      </w:pPr>
      <w:r>
        <w:t>Ingri</w:t>
      </w:r>
      <w:r w:rsidR="00823F92">
        <w:t xml:space="preserve">d </w:t>
      </w:r>
      <w:r>
        <w:t>Hatfield</w:t>
      </w:r>
      <w:r w:rsidR="00823F92">
        <w:t xml:space="preserve">, </w:t>
      </w:r>
      <w:r>
        <w:t>Menta</w:t>
      </w:r>
      <w:r w:rsidR="00823F92">
        <w:t xml:space="preserve">l </w:t>
      </w:r>
      <w:r>
        <w:t>Healt</w:t>
      </w:r>
      <w:r w:rsidR="00823F92">
        <w:t xml:space="preserve">h </w:t>
      </w:r>
      <w:r>
        <w:t>Australi</w:t>
      </w:r>
      <w:r w:rsidR="00823F92">
        <w:t xml:space="preserve">a </w:t>
      </w:r>
    </w:p>
    <w:p w14:paraId="2FE713D5" w14:textId="77777777" w:rsidR="000F5B52" w:rsidRDefault="000F5B52" w:rsidP="009F1132">
      <w:pPr>
        <w:pStyle w:val="BodyText"/>
        <w:sectPr w:rsidR="000F5B52" w:rsidSect="009F1132">
          <w:headerReference w:type="even" r:id="rId54"/>
          <w:headerReference w:type="default" r:id="rId55"/>
          <w:footerReference w:type="even" r:id="rId56"/>
          <w:footerReference w:type="default" r:id="rId57"/>
          <w:headerReference w:type="first" r:id="rId58"/>
          <w:footerReference w:type="first" r:id="rId59"/>
          <w:pgSz w:w="11907" w:h="16839" w:code="9"/>
          <w:pgMar w:top="1701" w:right="1134" w:bottom="1134" w:left="1418" w:header="454" w:footer="159" w:gutter="0"/>
          <w:pgNumType w:start="1" w:chapStyle="9"/>
          <w:cols w:space="708"/>
          <w:docGrid w:linePitch="360"/>
        </w:sectPr>
      </w:pPr>
    </w:p>
    <w:p w14:paraId="79A28E9D" w14:textId="74525C78" w:rsidR="00103373" w:rsidRDefault="00896353" w:rsidP="009F1132">
      <w:pPr>
        <w:pStyle w:val="BodyText"/>
      </w:pPr>
      <w:r>
        <w:rPr>
          <w:noProof/>
        </w:rPr>
        <w:lastRenderedPageBreak/>
        <w:drawing>
          <wp:anchor distT="0" distB="0" distL="114300" distR="114300" simplePos="0" relativeHeight="251659264" behindDoc="1" locked="0" layoutInCell="1" allowOverlap="1" wp14:anchorId="16B25C8F" wp14:editId="0ECEF834">
            <wp:simplePos x="0" y="0"/>
            <wp:positionH relativeFrom="page">
              <wp:align>right</wp:align>
            </wp:positionH>
            <wp:positionV relativeFrom="paragraph">
              <wp:posOffset>-1063510</wp:posOffset>
            </wp:positionV>
            <wp:extent cx="7581207" cy="10656570"/>
            <wp:effectExtent l="0" t="0" r="1270" b="0"/>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pic:nvPicPr>
                  <pic:blipFill>
                    <a:blip r:embed="rId60" cstate="print">
                      <a:extLst>
                        <a:ext uri="{28A0092B-C50C-407E-A947-70E740481C1C}">
                          <a14:useLocalDpi xmlns:a14="http://schemas.microsoft.com/office/drawing/2010/main" val="0"/>
                        </a:ext>
                      </a:extLst>
                    </a:blip>
                    <a:stretch>
                      <a:fillRect/>
                    </a:stretch>
                  </pic:blipFill>
                  <pic:spPr>
                    <a:xfrm>
                      <a:off x="0" y="0"/>
                      <a:ext cx="7581207" cy="10656570"/>
                    </a:xfrm>
                    <a:prstGeom prst="rect">
                      <a:avLst/>
                    </a:prstGeom>
                  </pic:spPr>
                </pic:pic>
              </a:graphicData>
            </a:graphic>
            <wp14:sizeRelH relativeFrom="page">
              <wp14:pctWidth>0</wp14:pctWidth>
            </wp14:sizeRelH>
            <wp14:sizeRelV relativeFrom="page">
              <wp14:pctHeight>0</wp14:pctHeight>
            </wp14:sizeRelV>
          </wp:anchor>
        </w:drawing>
      </w:r>
    </w:p>
    <w:sectPr w:rsidR="00103373" w:rsidSect="009F1132">
      <w:pgSz w:w="11907" w:h="16839" w:code="9"/>
      <w:pgMar w:top="1701" w:right="1134" w:bottom="1134" w:left="1418" w:header="454" w:footer="159" w:gutter="0"/>
      <w:pgNumType w:start="1" w:chapStyle="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F6B775" w14:textId="77777777" w:rsidR="00CC735B" w:rsidRDefault="00CC735B" w:rsidP="00B649EB">
      <w:pPr>
        <w:spacing w:before="0" w:after="0" w:line="240" w:lineRule="auto"/>
      </w:pPr>
      <w:r>
        <w:separator/>
      </w:r>
    </w:p>
    <w:p w14:paraId="33E8D148" w14:textId="77777777" w:rsidR="00CC735B" w:rsidRDefault="00CC735B"/>
  </w:endnote>
  <w:endnote w:type="continuationSeparator" w:id="0">
    <w:p w14:paraId="0573B693" w14:textId="77777777" w:rsidR="00CC735B" w:rsidRDefault="00CC735B" w:rsidP="00B649EB">
      <w:pPr>
        <w:spacing w:before="0" w:after="0" w:line="240" w:lineRule="auto"/>
      </w:pPr>
      <w:r>
        <w:continuationSeparator/>
      </w:r>
    </w:p>
    <w:p w14:paraId="432FDDAC" w14:textId="77777777" w:rsidR="00CC735B" w:rsidRDefault="00CC73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Yu Gothic Medium">
    <w:panose1 w:val="020B0500000000000000"/>
    <w:charset w:val="80"/>
    <w:family w:val="swiss"/>
    <w:pitch w:val="variable"/>
    <w:sig w:usb0="E00002FF" w:usb1="2AC7FDFF" w:usb2="00000016" w:usb3="00000000" w:csb0="0002009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DF8285" w14:textId="77777777" w:rsidR="009F1132" w:rsidRDefault="009F1132">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D265A5" w14:textId="77777777" w:rsidR="00592388" w:rsidRPr="0069382D" w:rsidRDefault="00592388" w:rsidP="0069382D">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92DE66" w14:textId="77777777" w:rsidR="00592388" w:rsidRPr="0069382D" w:rsidRDefault="00592388" w:rsidP="0069382D">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2A3C3E" w14:textId="77777777" w:rsidR="00592388" w:rsidRPr="009C0F89" w:rsidRDefault="00592388" w:rsidP="009C0F89">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8AEA34" w14:textId="77777777" w:rsidR="00592388" w:rsidRPr="009C0F89" w:rsidRDefault="00592388" w:rsidP="009C0F89">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7F4A81" w14:textId="77777777" w:rsidR="00592388" w:rsidRPr="0069382D" w:rsidRDefault="00592388" w:rsidP="0069382D">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sz w:val="22"/>
      </w:rPr>
      <w:id w:val="1760946410"/>
      <w:docPartObj>
        <w:docPartGallery w:val="Page Numbers (Bottom of Page)"/>
        <w:docPartUnique/>
      </w:docPartObj>
    </w:sdtPr>
    <w:sdtEndPr>
      <w:rPr>
        <w:noProof/>
      </w:rPr>
    </w:sdtEndPr>
    <w:sdtContent>
      <w:p w14:paraId="6702C27D" w14:textId="6A6086BD" w:rsidR="00DB67A1" w:rsidRPr="009A4E1F" w:rsidRDefault="00DB67A1" w:rsidP="00DB67A1">
        <w:pPr>
          <w:pStyle w:val="Footer"/>
          <w:spacing w:after="360"/>
          <w:jc w:val="right"/>
          <w:rPr>
            <w:rFonts w:ascii="Arial" w:hAnsi="Arial"/>
            <w:sz w:val="22"/>
          </w:rPr>
        </w:pPr>
        <w:r w:rsidRPr="00A639D1">
          <w:rPr>
            <w:rFonts w:ascii="Arial" w:hAnsi="Arial"/>
            <w:sz w:val="22"/>
          </w:rPr>
          <w:t>National Mental Health Workforce Strategy Background Pape</w:t>
        </w:r>
        <w:r w:rsidR="0046318E">
          <w:rPr>
            <w:rFonts w:ascii="Arial" w:hAnsi="Arial"/>
            <w:sz w:val="22"/>
          </w:rPr>
          <w:t>r</w:t>
        </w:r>
        <w:r>
          <w:rPr>
            <w:rFonts w:ascii="Arial" w:hAnsi="Arial"/>
            <w:sz w:val="22"/>
          </w:rPr>
          <w:t xml:space="preserve">      </w:t>
        </w:r>
        <w:r w:rsidRPr="00DB67A1">
          <w:rPr>
            <w:rFonts w:ascii="Arial" w:hAnsi="Arial"/>
            <w:sz w:val="22"/>
          </w:rPr>
          <w:fldChar w:fldCharType="begin"/>
        </w:r>
        <w:r w:rsidRPr="00DB67A1">
          <w:rPr>
            <w:rFonts w:ascii="Arial" w:hAnsi="Arial"/>
            <w:sz w:val="22"/>
          </w:rPr>
          <w:instrText xml:space="preserve"> PAGE   \* MERGEFORMAT </w:instrText>
        </w:r>
        <w:r w:rsidRPr="00DB67A1">
          <w:rPr>
            <w:rFonts w:ascii="Arial" w:hAnsi="Arial"/>
            <w:sz w:val="22"/>
          </w:rPr>
          <w:fldChar w:fldCharType="separate"/>
        </w:r>
        <w:r w:rsidRPr="00DB67A1">
          <w:rPr>
            <w:rFonts w:ascii="Arial" w:hAnsi="Arial"/>
            <w:sz w:val="22"/>
          </w:rPr>
          <w:t>17</w:t>
        </w:r>
        <w:r w:rsidRPr="00DB67A1">
          <w:rPr>
            <w:rFonts w:ascii="Arial" w:hAnsi="Arial"/>
            <w:noProof/>
            <w:sz w:val="22"/>
          </w:rPr>
          <w:fldChar w:fldCharType="end"/>
        </w:r>
      </w:p>
    </w:sdtContent>
  </w:sdt>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D950ED" w14:textId="77777777" w:rsidR="00592388" w:rsidRPr="0069382D" w:rsidRDefault="00592388" w:rsidP="0069382D">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72FC17" w14:textId="77777777" w:rsidR="00592388" w:rsidRPr="004B112E" w:rsidRDefault="00592388" w:rsidP="004B112E">
    <w:pPr>
      <w:pStyle w:val="Foote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27086C" w14:textId="77777777" w:rsidR="00592388" w:rsidRPr="004B112E" w:rsidRDefault="00592388" w:rsidP="004B112E">
    <w:pPr>
      <w:pStyle w:val="Foote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233F96" w14:textId="77777777" w:rsidR="00592388" w:rsidRPr="00453F15" w:rsidRDefault="00592388" w:rsidP="00453F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EF4F0F" w14:textId="77777777" w:rsidR="009F1132" w:rsidRDefault="009F1132">
    <w:pPr>
      <w:pStyle w:val="Foote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420D09" w14:textId="77777777" w:rsidR="00592388" w:rsidRPr="00453F15" w:rsidRDefault="00592388" w:rsidP="00453F15">
    <w:pPr>
      <w:pStyle w:val="Foote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0B3F80" w14:textId="77777777" w:rsidR="00592388" w:rsidRPr="00801BFE" w:rsidRDefault="00592388" w:rsidP="00801BFE">
    <w:pPr>
      <w:pStyle w:val="Foote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sz w:val="22"/>
      </w:rPr>
      <w:id w:val="450136839"/>
      <w:docPartObj>
        <w:docPartGallery w:val="Page Numbers (Bottom of Page)"/>
        <w:docPartUnique/>
      </w:docPartObj>
    </w:sdtPr>
    <w:sdtEndPr>
      <w:rPr>
        <w:noProof/>
      </w:rPr>
    </w:sdtEndPr>
    <w:sdtContent>
      <w:p w14:paraId="787BB347" w14:textId="518EA329" w:rsidR="00540A24" w:rsidRPr="009A4E1F" w:rsidRDefault="00540A24" w:rsidP="00DB67A1">
        <w:pPr>
          <w:pStyle w:val="Footer"/>
          <w:spacing w:after="360"/>
          <w:jc w:val="right"/>
          <w:rPr>
            <w:rFonts w:ascii="Arial" w:hAnsi="Arial"/>
            <w:sz w:val="22"/>
          </w:rPr>
        </w:pPr>
        <w:r w:rsidRPr="00A639D1">
          <w:rPr>
            <w:rFonts w:ascii="Arial" w:hAnsi="Arial"/>
            <w:sz w:val="22"/>
          </w:rPr>
          <w:t>National Mental Health Workforce Strategy Background Pape</w:t>
        </w:r>
        <w:r>
          <w:rPr>
            <w:rFonts w:ascii="Arial" w:hAnsi="Arial"/>
            <w:sz w:val="22"/>
          </w:rPr>
          <w:t>r      A-</w:t>
        </w:r>
        <w:r w:rsidRPr="00DB67A1">
          <w:rPr>
            <w:rFonts w:ascii="Arial" w:hAnsi="Arial"/>
            <w:sz w:val="22"/>
          </w:rPr>
          <w:fldChar w:fldCharType="begin"/>
        </w:r>
        <w:r w:rsidRPr="00DB67A1">
          <w:rPr>
            <w:rFonts w:ascii="Arial" w:hAnsi="Arial"/>
            <w:sz w:val="22"/>
          </w:rPr>
          <w:instrText xml:space="preserve"> PAGE   \* MERGEFORMAT </w:instrText>
        </w:r>
        <w:r w:rsidRPr="00DB67A1">
          <w:rPr>
            <w:rFonts w:ascii="Arial" w:hAnsi="Arial"/>
            <w:sz w:val="22"/>
          </w:rPr>
          <w:fldChar w:fldCharType="separate"/>
        </w:r>
        <w:r w:rsidRPr="00DB67A1">
          <w:rPr>
            <w:rFonts w:ascii="Arial" w:hAnsi="Arial"/>
            <w:sz w:val="22"/>
          </w:rPr>
          <w:t>17</w:t>
        </w:r>
        <w:r w:rsidRPr="00DB67A1">
          <w:rPr>
            <w:rFonts w:ascii="Arial" w:hAnsi="Arial"/>
            <w:noProof/>
            <w:sz w:val="22"/>
          </w:rPr>
          <w:fldChar w:fldCharType="end"/>
        </w:r>
      </w:p>
    </w:sdtContent>
  </w:sdt>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EB5509" w14:textId="77777777" w:rsidR="00592388" w:rsidRPr="00801BFE" w:rsidRDefault="00592388" w:rsidP="00801BFE">
    <w:pPr>
      <w:pStyle w:val="Footer"/>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6CB3BE" w14:textId="77777777" w:rsidR="00592388" w:rsidRPr="00E4255B" w:rsidRDefault="00592388" w:rsidP="00E4255B">
    <w:pPr>
      <w:pStyle w:val="Footer"/>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sz w:val="22"/>
      </w:rPr>
      <w:id w:val="1403340622"/>
      <w:docPartObj>
        <w:docPartGallery w:val="Page Numbers (Bottom of Page)"/>
        <w:docPartUnique/>
      </w:docPartObj>
    </w:sdtPr>
    <w:sdtEndPr>
      <w:rPr>
        <w:noProof/>
      </w:rPr>
    </w:sdtEndPr>
    <w:sdtContent>
      <w:p w14:paraId="675F3E19" w14:textId="5332C4D1" w:rsidR="009F1132" w:rsidRPr="009A4E1F" w:rsidRDefault="009F1132" w:rsidP="009F1132">
        <w:pPr>
          <w:pStyle w:val="Footer"/>
          <w:spacing w:after="360"/>
          <w:jc w:val="right"/>
          <w:rPr>
            <w:rFonts w:ascii="Arial" w:hAnsi="Arial"/>
            <w:sz w:val="22"/>
          </w:rPr>
        </w:pPr>
        <w:r w:rsidRPr="00A639D1">
          <w:rPr>
            <w:rFonts w:ascii="Arial" w:hAnsi="Arial"/>
            <w:sz w:val="22"/>
          </w:rPr>
          <w:t>National Mental Health Workforce Strategy Background Pape</w:t>
        </w:r>
        <w:r>
          <w:rPr>
            <w:rFonts w:ascii="Arial" w:hAnsi="Arial"/>
            <w:sz w:val="22"/>
          </w:rPr>
          <w:t xml:space="preserve">r      </w:t>
        </w:r>
        <w:r w:rsidR="003F010B">
          <w:rPr>
            <w:rFonts w:ascii="Arial" w:hAnsi="Arial"/>
            <w:sz w:val="22"/>
          </w:rPr>
          <w:t>B-</w:t>
        </w:r>
        <w:r w:rsidRPr="00DB67A1">
          <w:rPr>
            <w:rFonts w:ascii="Arial" w:hAnsi="Arial"/>
            <w:sz w:val="22"/>
          </w:rPr>
          <w:fldChar w:fldCharType="begin"/>
        </w:r>
        <w:r w:rsidRPr="00DB67A1">
          <w:rPr>
            <w:rFonts w:ascii="Arial" w:hAnsi="Arial"/>
            <w:sz w:val="22"/>
          </w:rPr>
          <w:instrText xml:space="preserve"> PAGE   \* MERGEFORMAT </w:instrText>
        </w:r>
        <w:r w:rsidRPr="00DB67A1">
          <w:rPr>
            <w:rFonts w:ascii="Arial" w:hAnsi="Arial"/>
            <w:sz w:val="22"/>
          </w:rPr>
          <w:fldChar w:fldCharType="separate"/>
        </w:r>
        <w:r>
          <w:rPr>
            <w:rFonts w:ascii="Arial" w:hAnsi="Arial"/>
            <w:sz w:val="22"/>
          </w:rPr>
          <w:t>1</w:t>
        </w:r>
        <w:r w:rsidRPr="00DB67A1">
          <w:rPr>
            <w:rFonts w:ascii="Arial" w:hAnsi="Arial"/>
            <w:noProof/>
            <w:sz w:val="22"/>
          </w:rPr>
          <w:fldChar w:fldCharType="end"/>
        </w:r>
      </w:p>
    </w:sdtContent>
  </w:sdt>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90D5CE" w14:textId="77777777" w:rsidR="00592388" w:rsidRPr="009F1132" w:rsidRDefault="00592388" w:rsidP="009F113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7DD7B2" w14:textId="77777777" w:rsidR="009F1132" w:rsidRDefault="009F113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21D772" w14:textId="77777777" w:rsidR="00592388" w:rsidRPr="0069382D" w:rsidRDefault="00592388" w:rsidP="0069382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E5EFA4" w14:textId="77777777" w:rsidR="00592388" w:rsidRPr="0069382D" w:rsidRDefault="00592388" w:rsidP="0069382D">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AFE846" w14:textId="77777777" w:rsidR="00592388" w:rsidRPr="0069382D" w:rsidRDefault="00592388" w:rsidP="0069382D">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078E3F" w14:textId="77777777" w:rsidR="00592388" w:rsidRPr="0069382D" w:rsidRDefault="00592388" w:rsidP="0069382D">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sz w:val="22"/>
      </w:rPr>
      <w:id w:val="-865606647"/>
      <w:docPartObj>
        <w:docPartGallery w:val="Page Numbers (Bottom of Page)"/>
        <w:docPartUnique/>
      </w:docPartObj>
    </w:sdtPr>
    <w:sdtEndPr>
      <w:rPr>
        <w:noProof/>
      </w:rPr>
    </w:sdtEndPr>
    <w:sdtContent>
      <w:p w14:paraId="3934A36B" w14:textId="76B14260" w:rsidR="009A4E1F" w:rsidRPr="009A4E1F" w:rsidRDefault="00A639D1" w:rsidP="00A639D1">
        <w:pPr>
          <w:pStyle w:val="Footer"/>
          <w:spacing w:after="360"/>
          <w:jc w:val="right"/>
          <w:rPr>
            <w:rFonts w:ascii="Arial" w:hAnsi="Arial"/>
            <w:sz w:val="22"/>
          </w:rPr>
        </w:pPr>
        <w:r w:rsidRPr="00A639D1">
          <w:rPr>
            <w:rFonts w:ascii="Arial" w:hAnsi="Arial"/>
            <w:sz w:val="22"/>
          </w:rPr>
          <w:t>National Mental Health Workforce Strategy Background Pape</w:t>
        </w:r>
        <w:r w:rsidR="0046318E">
          <w:rPr>
            <w:rFonts w:ascii="Arial" w:hAnsi="Arial"/>
            <w:sz w:val="22"/>
          </w:rPr>
          <w:t>r</w:t>
        </w:r>
        <w:r>
          <w:rPr>
            <w:rFonts w:ascii="Arial" w:hAnsi="Arial"/>
            <w:sz w:val="22"/>
          </w:rPr>
          <w:t xml:space="preserve">      </w:t>
        </w:r>
        <w:r w:rsidR="009A4E1F" w:rsidRPr="009A4E1F">
          <w:rPr>
            <w:rFonts w:ascii="Arial" w:hAnsi="Arial"/>
            <w:sz w:val="22"/>
          </w:rPr>
          <w:fldChar w:fldCharType="begin"/>
        </w:r>
        <w:r w:rsidR="009A4E1F" w:rsidRPr="009A4E1F">
          <w:rPr>
            <w:rFonts w:ascii="Arial" w:hAnsi="Arial"/>
            <w:sz w:val="22"/>
          </w:rPr>
          <w:instrText xml:space="preserve"> PAGE   \* MERGEFORMAT </w:instrText>
        </w:r>
        <w:r w:rsidR="009A4E1F" w:rsidRPr="009A4E1F">
          <w:rPr>
            <w:rFonts w:ascii="Arial" w:hAnsi="Arial"/>
            <w:sz w:val="22"/>
          </w:rPr>
          <w:fldChar w:fldCharType="separate"/>
        </w:r>
        <w:r w:rsidR="009A4E1F" w:rsidRPr="009A4E1F">
          <w:rPr>
            <w:rFonts w:ascii="Arial" w:hAnsi="Arial"/>
            <w:noProof/>
            <w:sz w:val="22"/>
          </w:rPr>
          <w:t>2</w:t>
        </w:r>
        <w:r w:rsidR="009A4E1F" w:rsidRPr="009A4E1F">
          <w:rPr>
            <w:rFonts w:ascii="Arial" w:hAnsi="Arial"/>
            <w:noProof/>
            <w:sz w:val="22"/>
          </w:rPr>
          <w:fldChar w:fldCharType="end"/>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EB3A39" w14:textId="77777777" w:rsidR="00592388" w:rsidRPr="0069382D" w:rsidRDefault="00592388" w:rsidP="006938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539BD2" w14:textId="77777777" w:rsidR="00CC735B" w:rsidRDefault="00CC735B" w:rsidP="00786D98">
      <w:pPr>
        <w:spacing w:before="0" w:after="0" w:line="240" w:lineRule="auto"/>
      </w:pPr>
      <w:r>
        <w:separator/>
      </w:r>
    </w:p>
  </w:footnote>
  <w:footnote w:type="continuationSeparator" w:id="0">
    <w:p w14:paraId="14E45240" w14:textId="77777777" w:rsidR="00CC735B" w:rsidRDefault="00CC735B" w:rsidP="00B649EB">
      <w:pPr>
        <w:spacing w:before="0" w:after="0" w:line="240" w:lineRule="auto"/>
      </w:pPr>
      <w:r>
        <w:continuationSeparator/>
      </w:r>
    </w:p>
    <w:p w14:paraId="16342BA8" w14:textId="77777777" w:rsidR="00CC735B" w:rsidRDefault="00CC735B"/>
  </w:footnote>
  <w:footnote w:id="1">
    <w:p w14:paraId="6016D58B" w14:textId="60EE092F" w:rsidR="00592388" w:rsidRPr="00351387" w:rsidRDefault="00592388" w:rsidP="009D4B1F">
      <w:pPr>
        <w:pStyle w:val="FootnoteText"/>
        <w:tabs>
          <w:tab w:val="left" w:pos="1944"/>
        </w:tabs>
        <w:rPr>
          <w:lang w:val="en-US"/>
        </w:rPr>
      </w:pPr>
      <w:r w:rsidRPr="00351387">
        <w:rPr>
          <w:rStyle w:val="FootnoteReference"/>
        </w:rPr>
        <w:footnoteRef/>
      </w:r>
      <w:r w:rsidRPr="00351387">
        <w:rPr>
          <w:rStyle w:val="FootnoteReference"/>
        </w:rPr>
        <w:t xml:space="preserve"> </w:t>
      </w:r>
      <w:r w:rsidRPr="00351387">
        <w:rPr>
          <w:lang w:val="en-US"/>
        </w:rPr>
        <w:t>P</w:t>
      </w:r>
      <w:r>
        <w:rPr>
          <w:lang w:val="en-US"/>
        </w:rPr>
        <w:t xml:space="preserve">roductivity Commission. (2020). </w:t>
      </w:r>
      <w:r w:rsidRPr="005A7DF9">
        <w:rPr>
          <w:lang w:val="en-US"/>
        </w:rPr>
        <w:t>Mental Health. Productivity Commission Inquiry Report</w:t>
      </w:r>
      <w:r>
        <w:rPr>
          <w:lang w:val="en-US"/>
        </w:rPr>
        <w:t xml:space="preserve">, No 95. Pg 9. </w:t>
      </w:r>
    </w:p>
  </w:footnote>
  <w:footnote w:id="2">
    <w:p w14:paraId="670B134E" w14:textId="4CEDA4CB" w:rsidR="00592388" w:rsidRPr="00351387" w:rsidRDefault="00592388" w:rsidP="00805798">
      <w:pPr>
        <w:pStyle w:val="FootnoteText"/>
        <w:rPr>
          <w:lang w:val="en-US"/>
        </w:rPr>
      </w:pPr>
      <w:r w:rsidRPr="00351387">
        <w:rPr>
          <w:rStyle w:val="FootnoteReference"/>
        </w:rPr>
        <w:footnoteRef/>
      </w:r>
      <w:r w:rsidRPr="00351387">
        <w:rPr>
          <w:rStyle w:val="FootnoteReference"/>
        </w:rPr>
        <w:t xml:space="preserve"> </w:t>
      </w:r>
      <w:r>
        <w:rPr>
          <w:lang w:val="en-US"/>
        </w:rPr>
        <w:t>Ibid.</w:t>
      </w:r>
    </w:p>
  </w:footnote>
  <w:footnote w:id="3">
    <w:p w14:paraId="75C4067B" w14:textId="1782BD22" w:rsidR="00592388" w:rsidRPr="00351387" w:rsidRDefault="00592388" w:rsidP="00997BCC">
      <w:pPr>
        <w:pStyle w:val="FootnoteText"/>
        <w:rPr>
          <w:lang w:val="en-US"/>
        </w:rPr>
      </w:pPr>
      <w:r w:rsidRPr="00351387">
        <w:rPr>
          <w:rStyle w:val="FootnoteReference"/>
        </w:rPr>
        <w:footnoteRef/>
      </w:r>
      <w:r w:rsidRPr="00351387">
        <w:rPr>
          <w:lang w:val="en-US"/>
        </w:rPr>
        <w:t xml:space="preserve"> </w:t>
      </w:r>
      <w:r>
        <w:rPr>
          <w:lang w:val="en-US"/>
        </w:rPr>
        <w:t xml:space="preserve">Australian Institute of Health and Welfare. No date. </w:t>
      </w:r>
      <w:r w:rsidRPr="005A7DF9">
        <w:rPr>
          <w:lang w:val="en-US"/>
        </w:rPr>
        <w:t>Mental health services in Australia</w:t>
      </w:r>
      <w:r>
        <w:rPr>
          <w:lang w:val="en-US"/>
        </w:rPr>
        <w:t xml:space="preserve">. Accessed at </w:t>
      </w:r>
      <w:hyperlink r:id="rId1" w:history="1">
        <w:r w:rsidRPr="00552F4C">
          <w:rPr>
            <w:rStyle w:val="Hyperlink"/>
            <w:lang w:val="en-US"/>
          </w:rPr>
          <w:t>https://www.aihw.gov.au/getmedia/8c6e5410-55cc-498d-9772-d3f9d7fcd351/Overview-of-mental-health-services-in-Australia.pdf.aspx</w:t>
        </w:r>
      </w:hyperlink>
      <w:r>
        <w:rPr>
          <w:lang w:val="en-US"/>
        </w:rPr>
        <w:t xml:space="preserve">; </w:t>
      </w:r>
      <w:hyperlink r:id="rId2" w:history="1">
        <w:r w:rsidRPr="00091667">
          <w:rPr>
            <w:rStyle w:val="Hyperlink"/>
            <w:lang w:val="en-US"/>
          </w:rPr>
          <w:t>https://www.aihw.gov.au/getmedia/ab86db9d-410a-4c93-89c4-99c8bdbdf125/aihw-aus-221-chapter-3-13.pdf.aspx</w:t>
        </w:r>
      </w:hyperlink>
      <w:r>
        <w:rPr>
          <w:lang w:val="en-US"/>
        </w:rPr>
        <w:t xml:space="preserve"> </w:t>
      </w:r>
    </w:p>
  </w:footnote>
  <w:footnote w:id="4">
    <w:p w14:paraId="7C398714" w14:textId="299E26DB" w:rsidR="00592388" w:rsidRPr="00351387" w:rsidRDefault="00592388" w:rsidP="00997BCC">
      <w:pPr>
        <w:pStyle w:val="FootnoteText"/>
        <w:rPr>
          <w:lang w:val="en-US"/>
        </w:rPr>
      </w:pPr>
      <w:r w:rsidRPr="00351387">
        <w:rPr>
          <w:rStyle w:val="FootnoteReference"/>
        </w:rPr>
        <w:footnoteRef/>
      </w:r>
      <w:r w:rsidRPr="00351387">
        <w:rPr>
          <w:rStyle w:val="FootnoteReference"/>
        </w:rPr>
        <w:t xml:space="preserve"> </w:t>
      </w:r>
      <w:r>
        <w:rPr>
          <w:lang w:val="en-US"/>
        </w:rPr>
        <w:t xml:space="preserve">Ibid. </w:t>
      </w:r>
    </w:p>
  </w:footnote>
  <w:footnote w:id="5">
    <w:p w14:paraId="696F74A9" w14:textId="6E0D35C1" w:rsidR="00592388" w:rsidRPr="00FE74A2" w:rsidRDefault="00592388">
      <w:pPr>
        <w:pStyle w:val="FootnoteText"/>
        <w:rPr>
          <w:lang w:val="en-US"/>
        </w:rPr>
      </w:pPr>
      <w:r>
        <w:rPr>
          <w:rStyle w:val="FootnoteReference"/>
        </w:rPr>
        <w:footnoteRef/>
      </w:r>
      <w:r>
        <w:t xml:space="preserve"> </w:t>
      </w:r>
      <w:r w:rsidRPr="00FE74A2">
        <w:t>Australian Bureau of Statistics</w:t>
      </w:r>
      <w:r>
        <w:t>.</w:t>
      </w:r>
      <w:r w:rsidRPr="00FE74A2">
        <w:t xml:space="preserve"> (2020). </w:t>
      </w:r>
      <w:r w:rsidRPr="005A7DF9">
        <w:t>Causes of Death, Australia, 2019: Intentional self-harm (suicide)</w:t>
      </w:r>
      <w:r w:rsidRPr="00FE74A2">
        <w:t>, Catalogue No 3303.0. Retrieved 23 October 2020.</w:t>
      </w:r>
    </w:p>
  </w:footnote>
  <w:footnote w:id="6">
    <w:p w14:paraId="460007C5" w14:textId="24AB0229" w:rsidR="00592388" w:rsidRPr="00E23328" w:rsidRDefault="00592388" w:rsidP="00997BCC">
      <w:pPr>
        <w:pStyle w:val="FootnoteText"/>
        <w:rPr>
          <w:lang w:val="en-US"/>
        </w:rPr>
      </w:pPr>
      <w:r w:rsidRPr="00351387">
        <w:rPr>
          <w:rStyle w:val="FootnoteReference"/>
        </w:rPr>
        <w:footnoteRef/>
      </w:r>
      <w:r w:rsidRPr="00351387">
        <w:rPr>
          <w:lang w:val="en-US"/>
        </w:rPr>
        <w:t xml:space="preserve"> </w:t>
      </w:r>
      <w:r>
        <w:rPr>
          <w:lang w:val="en-US"/>
        </w:rPr>
        <w:t xml:space="preserve">Productivity Commission. (2020). Pg 115. </w:t>
      </w:r>
    </w:p>
  </w:footnote>
  <w:footnote w:id="7">
    <w:p w14:paraId="0A36F400" w14:textId="2C363630" w:rsidR="00592388" w:rsidRPr="00351387" w:rsidRDefault="00592388" w:rsidP="00997BCC">
      <w:pPr>
        <w:pStyle w:val="FootnoteText"/>
        <w:rPr>
          <w:lang w:val="en-US"/>
        </w:rPr>
      </w:pPr>
      <w:r w:rsidRPr="00351387">
        <w:rPr>
          <w:rStyle w:val="FootnoteReference"/>
        </w:rPr>
        <w:footnoteRef/>
      </w:r>
      <w:r w:rsidRPr="00351387">
        <w:rPr>
          <w:lang w:val="en-US"/>
        </w:rPr>
        <w:t xml:space="preserve"> </w:t>
      </w:r>
      <w:r>
        <w:rPr>
          <w:lang w:val="en-US"/>
        </w:rPr>
        <w:t xml:space="preserve">Australian Government. (2017). </w:t>
      </w:r>
      <w:r w:rsidRPr="005A7DF9">
        <w:rPr>
          <w:lang w:val="en-US"/>
        </w:rPr>
        <w:t>Fifth National Mental Health and Suicide Prevention Plan</w:t>
      </w:r>
      <w:r>
        <w:rPr>
          <w:lang w:val="en-US"/>
        </w:rPr>
        <w:t xml:space="preserve">. Accessed at </w:t>
      </w:r>
      <w:hyperlink r:id="rId3" w:history="1">
        <w:r w:rsidRPr="00552F4C">
          <w:rPr>
            <w:rStyle w:val="Hyperlink"/>
            <w:lang w:val="en-US"/>
          </w:rPr>
          <w:t>https://www.mentalhealthcommission.gov.au/getmedia/0209d27b-1873-4245-b6e5-49e770084b81/Fifth-National-Mental-Health-and-Suicide-Prevention-Plan</w:t>
        </w:r>
      </w:hyperlink>
      <w:r>
        <w:rPr>
          <w:lang w:val="en-US"/>
        </w:rPr>
        <w:t xml:space="preserve"> </w:t>
      </w:r>
    </w:p>
  </w:footnote>
  <w:footnote w:id="8">
    <w:p w14:paraId="73C79174" w14:textId="1B73CC6D" w:rsidR="00592388" w:rsidRPr="001B0456" w:rsidRDefault="00592388" w:rsidP="00E2278D">
      <w:pPr>
        <w:pStyle w:val="FootnoteText"/>
        <w:rPr>
          <w:lang w:val="en-US"/>
        </w:rPr>
      </w:pPr>
      <w:r w:rsidRPr="00351387">
        <w:rPr>
          <w:rStyle w:val="FootnoteReference"/>
        </w:rPr>
        <w:footnoteRef/>
      </w:r>
      <w:r w:rsidRPr="00351387">
        <w:rPr>
          <w:lang w:val="en-US"/>
        </w:rPr>
        <w:t xml:space="preserve"> </w:t>
      </w:r>
      <w:bookmarkStart w:id="11" w:name="_Hlk68855767"/>
      <w:r>
        <w:rPr>
          <w:lang w:val="en-US"/>
        </w:rPr>
        <w:t xml:space="preserve">Department of Health. (2014). </w:t>
      </w:r>
      <w:r w:rsidRPr="005A7DF9">
        <w:rPr>
          <w:lang w:val="en-US"/>
        </w:rPr>
        <w:t>The magnitude of the problem</w:t>
      </w:r>
      <w:r>
        <w:rPr>
          <w:lang w:val="en-US"/>
        </w:rPr>
        <w:t xml:space="preserve">. Accessed at </w:t>
      </w:r>
      <w:hyperlink r:id="rId4" w:history="1">
        <w:r w:rsidRPr="00552F4C">
          <w:rPr>
            <w:rStyle w:val="Hyperlink"/>
            <w:lang w:val="en-US"/>
          </w:rPr>
          <w:t>https://www1.health.gov.au/internet/publications/publishing.nsf/Content/mental-pubs-f-plan09-toc~mental-pubs-f-plan09-con~mental-pubs-f-plan09-con-mag</w:t>
        </w:r>
      </w:hyperlink>
      <w:bookmarkEnd w:id="11"/>
      <w:r>
        <w:rPr>
          <w:lang w:val="en-US"/>
        </w:rPr>
        <w:t xml:space="preserve"> </w:t>
      </w:r>
    </w:p>
  </w:footnote>
  <w:footnote w:id="9">
    <w:p w14:paraId="31846212" w14:textId="59832C93" w:rsidR="00592388" w:rsidRPr="003E1F2E" w:rsidRDefault="00592388" w:rsidP="001F52C2">
      <w:pPr>
        <w:pStyle w:val="FootnoteText"/>
        <w:rPr>
          <w:lang w:val="en-US"/>
        </w:rPr>
      </w:pPr>
      <w:r>
        <w:rPr>
          <w:rStyle w:val="FootnoteReference"/>
        </w:rPr>
        <w:footnoteRef/>
      </w:r>
      <w:r>
        <w:t xml:space="preserve"> </w:t>
      </w:r>
      <w:r>
        <w:rPr>
          <w:lang w:val="en-US"/>
        </w:rPr>
        <w:t xml:space="preserve">Equally Well Group. (2019). </w:t>
      </w:r>
      <w:r w:rsidRPr="001F52C2">
        <w:rPr>
          <w:lang w:val="en-US"/>
        </w:rPr>
        <w:t>The physical health of people</w:t>
      </w:r>
      <w:r>
        <w:rPr>
          <w:lang w:val="en-US"/>
        </w:rPr>
        <w:t xml:space="preserve"> </w:t>
      </w:r>
      <w:r w:rsidRPr="001F52C2">
        <w:rPr>
          <w:lang w:val="en-US"/>
        </w:rPr>
        <w:t>living with a mental illness:</w:t>
      </w:r>
      <w:r>
        <w:rPr>
          <w:lang w:val="en-US"/>
        </w:rPr>
        <w:t xml:space="preserve"> </w:t>
      </w:r>
      <w:r w:rsidRPr="001F52C2">
        <w:rPr>
          <w:lang w:val="en-US"/>
        </w:rPr>
        <w:t>A narrative literature review</w:t>
      </w:r>
      <w:r>
        <w:rPr>
          <w:lang w:val="en-US"/>
        </w:rPr>
        <w:t xml:space="preserve">. Charles Sturt University. </w:t>
      </w:r>
    </w:p>
  </w:footnote>
  <w:footnote w:id="10">
    <w:p w14:paraId="4A240B72" w14:textId="594BB07D" w:rsidR="00592388" w:rsidRPr="008128D3" w:rsidRDefault="00592388" w:rsidP="00E2278D">
      <w:pPr>
        <w:pStyle w:val="FootnoteText"/>
        <w:rPr>
          <w:lang w:val="en-US"/>
        </w:rPr>
      </w:pPr>
      <w:r w:rsidRPr="001B0456">
        <w:rPr>
          <w:rStyle w:val="FootnoteReference"/>
        </w:rPr>
        <w:footnoteRef/>
      </w:r>
      <w:r w:rsidRPr="001B0456">
        <w:t xml:space="preserve"> </w:t>
      </w:r>
      <w:r>
        <w:rPr>
          <w:lang w:val="en-US"/>
        </w:rPr>
        <w:t xml:space="preserve">Ibid. </w:t>
      </w:r>
    </w:p>
  </w:footnote>
  <w:footnote w:id="11">
    <w:p w14:paraId="63D7FB70" w14:textId="77777777" w:rsidR="00592388" w:rsidRPr="008128D3" w:rsidRDefault="00592388" w:rsidP="00E2278D">
      <w:pPr>
        <w:pStyle w:val="FootnoteText"/>
        <w:rPr>
          <w:lang w:val="en-US"/>
        </w:rPr>
      </w:pPr>
      <w:r w:rsidRPr="008128D3">
        <w:rPr>
          <w:rStyle w:val="FootnoteReference"/>
        </w:rPr>
        <w:footnoteRef/>
      </w:r>
      <w:r w:rsidRPr="008128D3">
        <w:rPr>
          <w:rStyle w:val="FootnoteReference"/>
        </w:rPr>
        <w:t xml:space="preserve"> </w:t>
      </w:r>
      <w:r w:rsidRPr="008128D3">
        <w:rPr>
          <w:lang w:val="en-US"/>
        </w:rPr>
        <w:t>Firth, J., Siddiqi, N., Koyanagi, A., Siskind, D., Rosenbaum, S., Galletly, C., ... &amp; Stubbs, B. (2019). The Lancet Psychiatry Commission: a blueprint for protecting physical health in people with mental illness. The Lancet Psychiatry, 6(8), 675-712.</w:t>
      </w:r>
    </w:p>
  </w:footnote>
  <w:footnote w:id="12">
    <w:p w14:paraId="43964155" w14:textId="4E15F7D3" w:rsidR="00592388" w:rsidRPr="008128D3" w:rsidRDefault="00592388" w:rsidP="00951735">
      <w:pPr>
        <w:pStyle w:val="FootnoteText"/>
        <w:rPr>
          <w:lang w:val="en-US"/>
        </w:rPr>
      </w:pPr>
      <w:r w:rsidRPr="008128D3">
        <w:rPr>
          <w:rStyle w:val="FootnoteReference"/>
        </w:rPr>
        <w:footnoteRef/>
      </w:r>
      <w:r w:rsidRPr="008128D3">
        <w:rPr>
          <w:lang w:val="en-US"/>
        </w:rPr>
        <w:t xml:space="preserve"> </w:t>
      </w:r>
      <w:r>
        <w:rPr>
          <w:lang w:val="en-US"/>
        </w:rPr>
        <w:t xml:space="preserve">Australian Institute of Health and Welfare. (2021). </w:t>
      </w:r>
      <w:r w:rsidRPr="005A7DF9">
        <w:rPr>
          <w:lang w:val="en-US"/>
        </w:rPr>
        <w:t>Mental health services in Australia</w:t>
      </w:r>
      <w:r>
        <w:rPr>
          <w:lang w:val="en-US"/>
        </w:rPr>
        <w:t xml:space="preserve">. Accessed at </w:t>
      </w:r>
      <w:hyperlink r:id="rId5" w:history="1">
        <w:r w:rsidRPr="00552F4C">
          <w:rPr>
            <w:rStyle w:val="Hyperlink"/>
          </w:rPr>
          <w:t>https://www.aihw.gov.au/reports/mental-health-services/mental-health-services-in-australia/report-contents/mental-health-impact-of-covid-19</w:t>
        </w:r>
      </w:hyperlink>
    </w:p>
  </w:footnote>
  <w:footnote w:id="13">
    <w:p w14:paraId="765534FD" w14:textId="1F63769C" w:rsidR="00592388" w:rsidRPr="002E5826" w:rsidRDefault="00592388" w:rsidP="00951735">
      <w:pPr>
        <w:pStyle w:val="FootnoteText"/>
        <w:rPr>
          <w:lang w:val="en-US"/>
        </w:rPr>
      </w:pPr>
      <w:r>
        <w:rPr>
          <w:rStyle w:val="FootnoteReference"/>
        </w:rPr>
        <w:footnoteRef/>
      </w:r>
      <w:r>
        <w:t xml:space="preserve"> Parliament of Australia. (2021). </w:t>
      </w:r>
      <w:r w:rsidRPr="005A7DF9">
        <w:t>Mental health</w:t>
      </w:r>
      <w:r>
        <w:t xml:space="preserve">. Accessed at </w:t>
      </w:r>
      <w:hyperlink r:id="rId6" w:history="1">
        <w:r w:rsidRPr="00552F4C">
          <w:rPr>
            <w:rStyle w:val="Hyperlink"/>
          </w:rPr>
          <w:t>https://www.aph.gov.au/About_Parliament/Parliamentary_Departments/Parliamentary_Library/pubs/rp/BudgetReview202021/MentalHealth</w:t>
        </w:r>
      </w:hyperlink>
      <w:r>
        <w:t xml:space="preserve"> </w:t>
      </w:r>
    </w:p>
  </w:footnote>
  <w:footnote w:id="14">
    <w:p w14:paraId="63CADA3A" w14:textId="341EE8CE" w:rsidR="00592388" w:rsidRPr="003567A2" w:rsidRDefault="00592388">
      <w:pPr>
        <w:pStyle w:val="FootnoteText"/>
        <w:rPr>
          <w:lang w:val="en-US"/>
        </w:rPr>
      </w:pPr>
      <w:r>
        <w:rPr>
          <w:rStyle w:val="FootnoteReference"/>
        </w:rPr>
        <w:footnoteRef/>
      </w:r>
      <w:r>
        <w:t xml:space="preserve"> Department of Health. (2021). </w:t>
      </w:r>
      <w:r w:rsidRPr="005A7DF9">
        <w:t>Budget 2021–</w:t>
      </w:r>
      <w:r w:rsidRPr="005A7DF9">
        <w:rPr>
          <w:rFonts w:ascii="Tahoma" w:hAnsi="Tahoma" w:cs="Tahoma"/>
        </w:rPr>
        <w:t>⁠</w:t>
      </w:r>
      <w:r w:rsidRPr="005A7DF9">
        <w:t>22: Generational change and record investment in the health of Australians</w:t>
      </w:r>
      <w:r>
        <w:t xml:space="preserve">. Accessed at </w:t>
      </w:r>
      <w:hyperlink r:id="rId7" w:history="1">
        <w:r w:rsidRPr="00552F4C">
          <w:rPr>
            <w:rStyle w:val="Hyperlink"/>
          </w:rPr>
          <w:t>https://www.health.gov.au/ministers/the-hon-greg-hunt-mp/media/budget-2021-22-generational-change-and-record-investment-in-the-health-of-australians</w:t>
        </w:r>
      </w:hyperlink>
      <w:r>
        <w:t xml:space="preserve"> </w:t>
      </w:r>
    </w:p>
  </w:footnote>
  <w:footnote w:id="15">
    <w:p w14:paraId="6378EBC7" w14:textId="742E58C2" w:rsidR="00592388" w:rsidRPr="00CE5880" w:rsidRDefault="00592388">
      <w:pPr>
        <w:pStyle w:val="FootnoteText"/>
        <w:rPr>
          <w:lang w:val="en-US"/>
        </w:rPr>
      </w:pPr>
      <w:r>
        <w:rPr>
          <w:rStyle w:val="FootnoteReference"/>
        </w:rPr>
        <w:footnoteRef/>
      </w:r>
      <w:r>
        <w:t xml:space="preserve"> NSW Government. (2018).</w:t>
      </w:r>
      <w:r w:rsidRPr="00A02852">
        <w:t xml:space="preserve"> </w:t>
      </w:r>
      <w:r w:rsidRPr="005A7DF9">
        <w:t>NSW Strategic Framework and Workforce Plan for Mental Health 2018–2022</w:t>
      </w:r>
      <w:r>
        <w:t xml:space="preserve">. Accessed at </w:t>
      </w:r>
      <w:hyperlink r:id="rId8" w:history="1">
        <w:r w:rsidRPr="00552F4C">
          <w:rPr>
            <w:rStyle w:val="Hyperlink"/>
          </w:rPr>
          <w:t>https://www.health.nsw.gov.au/mentalhealth/resources/Publications/mh-strategic-framework.pdf</w:t>
        </w:r>
      </w:hyperlink>
      <w:r>
        <w:t xml:space="preserve">; NT Government. (2015). </w:t>
      </w:r>
      <w:r w:rsidRPr="005A7DF9">
        <w:t>Mental Health Service Strategic Plan</w:t>
      </w:r>
      <w:r>
        <w:t xml:space="preserve">. Accessed at </w:t>
      </w:r>
      <w:hyperlink r:id="rId9" w:history="1">
        <w:r w:rsidRPr="00552F4C">
          <w:rPr>
            <w:rStyle w:val="Hyperlink"/>
          </w:rPr>
          <w:t>https://digitallibrary.health.nt.gov.au/prodjspui/bitstream/10137/988/3/Mental%20Health%20Service%20Strategic%20Plan%202015%20-%202021.pdf</w:t>
        </w:r>
      </w:hyperlink>
      <w:r>
        <w:t xml:space="preserve">; Queensland Government. (2016). </w:t>
      </w:r>
      <w:r w:rsidRPr="005A7DF9">
        <w:t>Mental Health Alcohol and Other Drugs Workforce Development Framework 2016-2021</w:t>
      </w:r>
      <w:r>
        <w:t xml:space="preserve">. Accessed at </w:t>
      </w:r>
      <w:hyperlink r:id="rId10" w:history="1">
        <w:r w:rsidRPr="00552F4C">
          <w:rPr>
            <w:rStyle w:val="Hyperlink"/>
          </w:rPr>
          <w:t>https://www.health.qld.gov.au/__data/assets/pdf_file/0037/677539/mhaod_workforce_dev_framework.pdf</w:t>
        </w:r>
      </w:hyperlink>
      <w:r>
        <w:t xml:space="preserve">; SA Government. (2020). </w:t>
      </w:r>
      <w:r w:rsidRPr="005A7DF9">
        <w:t>Mental Health Services Plan 2020-2025</w:t>
      </w:r>
      <w:r>
        <w:t xml:space="preserve">. Accessed at </w:t>
      </w:r>
      <w:hyperlink r:id="rId11" w:history="1">
        <w:r w:rsidRPr="00552F4C">
          <w:rPr>
            <w:rStyle w:val="Hyperlink"/>
          </w:rPr>
          <w:t>https://www.sahealth.sa.gov.au/wps/wcm/connect/8520124e-0250-4393-819e-71bca0db4ad9/19032.2+MHSP-report-web-no+watermark.pdf?MOD=AJPERES&amp;amp;CACHEID=ROOTWORKSPACE-8520124e-0250-4393-819e-71bca0db4ad9-nwLp6cp</w:t>
        </w:r>
      </w:hyperlink>
      <w:r>
        <w:t xml:space="preserve">; Tasmanian Government. (2016). </w:t>
      </w:r>
      <w:r w:rsidRPr="005A7DF9">
        <w:t>Suicide Prevention Workforce Development and Training Plan for Tasmania (​2016-2020)</w:t>
      </w:r>
      <w:r>
        <w:t xml:space="preserve">. Accessed at </w:t>
      </w:r>
      <w:hyperlink r:id="rId12" w:history="1">
        <w:r w:rsidRPr="00552F4C">
          <w:rPr>
            <w:rStyle w:val="Hyperlink"/>
          </w:rPr>
          <w:t>https://www.dhhs.tas.gov.au/__data/assets/pdf_file/0013/214411/151152_DHHS_Suicide_Prev_WD_Training_Plan_Final_WCAG-1.pdf</w:t>
        </w:r>
      </w:hyperlink>
      <w:r>
        <w:t xml:space="preserve">; Victorian Government. (2015). </w:t>
      </w:r>
      <w:r w:rsidRPr="005A7DF9">
        <w:t>Victoria’s 10-year mental health plan</w:t>
      </w:r>
      <w:r>
        <w:t xml:space="preserve">. Accessed at </w:t>
      </w:r>
      <w:hyperlink r:id="rId13" w:history="1">
        <w:r w:rsidRPr="00552F4C">
          <w:rPr>
            <w:rStyle w:val="Hyperlink"/>
          </w:rPr>
          <w:t>https://www2.health.vic.gov.au/mental-health/priorities-and-transformation/mental-health-plan</w:t>
        </w:r>
      </w:hyperlink>
      <w:r>
        <w:t xml:space="preserve">; WA Mental Health Commission. (2020). </w:t>
      </w:r>
      <w:r w:rsidRPr="005A7DF9">
        <w:t>Mental Health, Alcohol and Other Drug Workforce Strategic Framework: 2020-2025</w:t>
      </w:r>
      <w:r>
        <w:t xml:space="preserve">. Accessed at </w:t>
      </w:r>
      <w:hyperlink r:id="rId14" w:history="1">
        <w:r w:rsidRPr="00512BD1">
          <w:rPr>
            <w:rStyle w:val="Hyperlink"/>
          </w:rPr>
          <w:t>https://www.mhc.wa.gov.au/media/3423/workforce-strategic-framework-final-04-08-20.pdf</w:t>
        </w:r>
      </w:hyperlink>
      <w:r>
        <w:t xml:space="preserve"> </w:t>
      </w:r>
    </w:p>
  </w:footnote>
  <w:footnote w:id="16">
    <w:p w14:paraId="7A153E06" w14:textId="77777777" w:rsidR="00592388" w:rsidRPr="004D2A20" w:rsidRDefault="00592388" w:rsidP="00DE7270">
      <w:pPr>
        <w:pStyle w:val="FootnoteText"/>
        <w:rPr>
          <w:lang w:val="en-US"/>
        </w:rPr>
      </w:pPr>
      <w:r>
        <w:rPr>
          <w:rStyle w:val="FootnoteReference"/>
        </w:rPr>
        <w:footnoteRef/>
      </w:r>
      <w:r>
        <w:t xml:space="preserve"> </w:t>
      </w:r>
      <w:r>
        <w:rPr>
          <w:lang w:val="en-US"/>
        </w:rPr>
        <w:t xml:space="preserve">The Strategy also recognises that occupations may work across settings. For example, allied health workers may work exclusively in the mental health sector or in broader health settings. There are also a occupations that may require mental health endorsements to work in the mental health sector and those that do not require such additional training. </w:t>
      </w:r>
    </w:p>
  </w:footnote>
  <w:footnote w:id="17">
    <w:p w14:paraId="6FDDED3F" w14:textId="392D0684" w:rsidR="00592388" w:rsidRDefault="00592388" w:rsidP="001F600F">
      <w:pPr>
        <w:pStyle w:val="FootnoteText"/>
      </w:pPr>
      <w:r w:rsidRPr="00DA7CEB">
        <w:rPr>
          <w:rStyle w:val="FootnoteReference"/>
        </w:rPr>
        <w:footnoteRef/>
      </w:r>
      <w:r w:rsidRPr="00DA7CEB">
        <w:t xml:space="preserve"> This includes Aboriginal and Torres Strait Islander</w:t>
      </w:r>
      <w:r>
        <w:t xml:space="preserve"> Mental</w:t>
      </w:r>
      <w:r w:rsidRPr="00DA7CEB">
        <w:t xml:space="preserve"> Health Workers</w:t>
      </w:r>
      <w:r>
        <w:t>, e</w:t>
      </w:r>
      <w:r w:rsidRPr="00DA7CEB">
        <w:t xml:space="preserve">nrolled </w:t>
      </w:r>
      <w:r>
        <w:t>n</w:t>
      </w:r>
      <w:r w:rsidRPr="00DA7CEB">
        <w:t>urses</w:t>
      </w:r>
      <w:r>
        <w:t>,</w:t>
      </w:r>
      <w:r w:rsidRPr="00DA7CEB">
        <w:t xml:space="preserve"> </w:t>
      </w:r>
      <w:r>
        <w:t>GPs</w:t>
      </w:r>
      <w:r w:rsidRPr="00DA7CEB">
        <w:t xml:space="preserve">, </w:t>
      </w:r>
      <w:r>
        <w:t>occupational therapist</w:t>
      </w:r>
      <w:r w:rsidRPr="00DA7CEB">
        <w:t>s</w:t>
      </w:r>
      <w:r>
        <w:t>, p</w:t>
      </w:r>
      <w:r w:rsidRPr="00DA7CEB">
        <w:t xml:space="preserve">sychiatrists, </w:t>
      </w:r>
      <w:r>
        <w:t>p</w:t>
      </w:r>
      <w:r w:rsidRPr="00DA7CEB">
        <w:t xml:space="preserve">sychologists, </w:t>
      </w:r>
      <w:r>
        <w:t>r</w:t>
      </w:r>
      <w:r w:rsidRPr="00DA7CEB">
        <w:t xml:space="preserve">egistered </w:t>
      </w:r>
      <w:r>
        <w:t>n</w:t>
      </w:r>
      <w:r w:rsidRPr="00DA7CEB">
        <w:t xml:space="preserve">urses, and </w:t>
      </w:r>
      <w:r>
        <w:t>social workers</w:t>
      </w:r>
      <w:r w:rsidRPr="00DA7CEB">
        <w:t>.</w:t>
      </w:r>
      <w:r>
        <w:t xml:space="preserve"> </w:t>
      </w:r>
    </w:p>
    <w:p w14:paraId="47254370" w14:textId="46ABF572" w:rsidR="00592388" w:rsidRPr="00DA7CEB" w:rsidRDefault="00592388" w:rsidP="001F600F">
      <w:pPr>
        <w:pStyle w:val="FootnoteText"/>
        <w:rPr>
          <w:lang w:val="en-US"/>
        </w:rPr>
      </w:pPr>
      <w:r>
        <w:t xml:space="preserve">Data is drawn from the University of Queensland’s (2021) </w:t>
      </w:r>
      <w:r w:rsidRPr="005A7DF9">
        <w:t>Analysis of national mental health workforce demand and supply: Final report</w:t>
      </w:r>
      <w:r>
        <w:t>.</w:t>
      </w:r>
      <w:r w:rsidRPr="002B638B">
        <w:t xml:space="preserve"> </w:t>
      </w:r>
      <w:r>
        <w:t>S</w:t>
      </w:r>
      <w:r w:rsidRPr="002B638B">
        <w:t>ome of these FTE estimates are likely over-inclusive.</w:t>
      </w:r>
    </w:p>
  </w:footnote>
  <w:footnote w:id="18">
    <w:p w14:paraId="182EDD97" w14:textId="4039D9CD" w:rsidR="00592388" w:rsidRPr="00A4211E" w:rsidRDefault="00592388">
      <w:pPr>
        <w:pStyle w:val="FootnoteText"/>
        <w:rPr>
          <w:lang w:val="en-US"/>
        </w:rPr>
      </w:pPr>
      <w:r>
        <w:rPr>
          <w:rStyle w:val="FootnoteReference"/>
        </w:rPr>
        <w:footnoteRef/>
      </w:r>
      <w:r>
        <w:t xml:space="preserve"> </w:t>
      </w:r>
      <w:r>
        <w:rPr>
          <w:lang w:val="en-US"/>
        </w:rPr>
        <w:t xml:space="preserve">The data used for the University of Queensland (2021) analysis incorporates nurse practitioners into registered nurse data. </w:t>
      </w:r>
    </w:p>
  </w:footnote>
  <w:footnote w:id="19">
    <w:p w14:paraId="7A9294A0" w14:textId="43CCBB85" w:rsidR="00592388" w:rsidRPr="00185565" w:rsidRDefault="00592388">
      <w:pPr>
        <w:pStyle w:val="FootnoteText"/>
        <w:rPr>
          <w:lang w:val="en-US"/>
        </w:rPr>
      </w:pPr>
      <w:r>
        <w:rPr>
          <w:rStyle w:val="FootnoteReference"/>
        </w:rPr>
        <w:footnoteRef/>
      </w:r>
      <w:r>
        <w:t xml:space="preserve"> Health Workforce Australia. (2014). </w:t>
      </w:r>
      <w:r w:rsidRPr="005A7DF9">
        <w:t>Australia’s Future Health Workforce: Nurses Detailed Report</w:t>
      </w:r>
      <w:r w:rsidRPr="000E38E6">
        <w:t>, Sydney.</w:t>
      </w:r>
    </w:p>
  </w:footnote>
  <w:footnote w:id="20">
    <w:p w14:paraId="31C7A878" w14:textId="22F0FEB2" w:rsidR="00592388" w:rsidRDefault="00592388" w:rsidP="00394AB1">
      <w:pPr>
        <w:pStyle w:val="FootnoteText"/>
      </w:pPr>
      <w:r>
        <w:rPr>
          <w:rStyle w:val="FootnoteReference"/>
        </w:rPr>
        <w:footnoteRef/>
      </w:r>
      <w:r>
        <w:t xml:space="preserve"> This estimate is based on the Stage 1 supply demand report produced by the University of Queensland. The Final Report does not provide separate workforce estimates for OTs and social workers. </w:t>
      </w:r>
    </w:p>
    <w:p w14:paraId="65312598" w14:textId="5D9B8199" w:rsidR="00592388" w:rsidRPr="00FA18FB" w:rsidRDefault="00592388" w:rsidP="00394AB1">
      <w:pPr>
        <w:pStyle w:val="FootnoteText"/>
        <w:rPr>
          <w:lang w:val="en-US"/>
        </w:rPr>
      </w:pPr>
      <w:r>
        <w:t>University of Queensland. (2020). Analysis of national mental health workforce demand and supply: Stage 1 report. 30 October 2020. Report for the Australian Government Department of Health. Brisbane: The University of Queensland.</w:t>
      </w:r>
    </w:p>
  </w:footnote>
  <w:footnote w:id="21">
    <w:p w14:paraId="659DA775" w14:textId="1E8A5AA2" w:rsidR="00592388" w:rsidRDefault="00592388" w:rsidP="00394AB1">
      <w:pPr>
        <w:pStyle w:val="FootnoteText"/>
      </w:pPr>
      <w:r>
        <w:rPr>
          <w:rStyle w:val="FootnoteReference"/>
        </w:rPr>
        <w:footnoteRef/>
      </w:r>
      <w:r>
        <w:t xml:space="preserve"> This estimate is based on the Stage 1 supply demand report produced by the University of Queensland. The Final Report does not provide separate workforce estimates for OTs and social workers. </w:t>
      </w:r>
    </w:p>
    <w:p w14:paraId="2B23030B" w14:textId="6C2E0F70" w:rsidR="00592388" w:rsidRPr="00FA18FB" w:rsidRDefault="00592388" w:rsidP="00394AB1">
      <w:pPr>
        <w:pStyle w:val="FootnoteText"/>
        <w:rPr>
          <w:lang w:val="en-US"/>
        </w:rPr>
      </w:pPr>
      <w:r>
        <w:t>University of Queensland. (2020). Analysis of national mental health workforce demand and supply: Stage 1 report. 30 October 2020. Report for the Australian Government Department of Health. Brisbane: The University of Queensland.</w:t>
      </w:r>
    </w:p>
  </w:footnote>
  <w:footnote w:id="22">
    <w:p w14:paraId="18F1CE90" w14:textId="64550A1B" w:rsidR="00592388" w:rsidRPr="006A22C0" w:rsidRDefault="00592388">
      <w:pPr>
        <w:pStyle w:val="FootnoteText"/>
        <w:rPr>
          <w:lang w:val="en-US"/>
        </w:rPr>
      </w:pPr>
      <w:r>
        <w:rPr>
          <w:rStyle w:val="FootnoteReference"/>
        </w:rPr>
        <w:footnoteRef/>
      </w:r>
      <w:r>
        <w:t xml:space="preserve"> </w:t>
      </w:r>
      <w:r>
        <w:rPr>
          <w:lang w:val="en-US"/>
        </w:rPr>
        <w:t>ACIL Allen. (2020). Education Institutes Review. Pg iv.</w:t>
      </w:r>
    </w:p>
  </w:footnote>
  <w:footnote w:id="23">
    <w:p w14:paraId="2927C021" w14:textId="4D048FEB" w:rsidR="00592388" w:rsidRPr="00E40D90" w:rsidRDefault="00592388" w:rsidP="00790842">
      <w:pPr>
        <w:pStyle w:val="FootnoteText"/>
        <w:rPr>
          <w:lang w:val="en-US"/>
        </w:rPr>
      </w:pPr>
      <w:r>
        <w:rPr>
          <w:rStyle w:val="FootnoteReference"/>
        </w:rPr>
        <w:footnoteRef/>
      </w:r>
      <w:r>
        <w:t xml:space="preserve"> </w:t>
      </w:r>
      <w:r>
        <w:rPr>
          <w:lang w:val="en-US"/>
        </w:rPr>
        <w:t>University of Queensland. (2020).</w:t>
      </w:r>
      <w:r w:rsidRPr="00937BAA">
        <w:t xml:space="preserve"> </w:t>
      </w:r>
      <w:r w:rsidRPr="005A7DF9">
        <w:rPr>
          <w:lang w:val="en-US"/>
        </w:rPr>
        <w:t>National Mental Health Workforce Strategy - A literature review of existing national and jurisdictional workforce strategies relevant to the mental health workforce and recent findings of mental health reviews and inquiries</w:t>
      </w:r>
      <w:r>
        <w:rPr>
          <w:lang w:val="en-US"/>
        </w:rPr>
        <w:t>. Pg 38.</w:t>
      </w:r>
    </w:p>
  </w:footnote>
  <w:footnote w:id="24">
    <w:p w14:paraId="1DAFD249" w14:textId="4AA03AAC" w:rsidR="00592388" w:rsidRPr="006A22C0" w:rsidRDefault="00592388">
      <w:pPr>
        <w:pStyle w:val="FootnoteText"/>
        <w:rPr>
          <w:lang w:val="en-US"/>
        </w:rPr>
      </w:pPr>
      <w:r>
        <w:rPr>
          <w:rStyle w:val="FootnoteReference"/>
        </w:rPr>
        <w:footnoteRef/>
      </w:r>
      <w:r>
        <w:t xml:space="preserve"> </w:t>
      </w:r>
      <w:r>
        <w:rPr>
          <w:lang w:val="en-US"/>
        </w:rPr>
        <w:t xml:space="preserve">ACIL Allen. (2020. Labour Market Analysis. No page. </w:t>
      </w:r>
    </w:p>
  </w:footnote>
  <w:footnote w:id="25">
    <w:p w14:paraId="75DC94A3" w14:textId="73E2F561" w:rsidR="00592388" w:rsidRPr="005D01D6" w:rsidRDefault="00592388" w:rsidP="002E63D2">
      <w:pPr>
        <w:pStyle w:val="FootnoteText"/>
        <w:rPr>
          <w:lang w:val="en-US"/>
        </w:rPr>
      </w:pPr>
      <w:r>
        <w:rPr>
          <w:rStyle w:val="FootnoteReference"/>
        </w:rPr>
        <w:footnoteRef/>
      </w:r>
      <w:r>
        <w:t xml:space="preserve"> </w:t>
      </w:r>
      <w:r>
        <w:rPr>
          <w:lang w:val="en-US"/>
        </w:rPr>
        <w:t xml:space="preserve">University of Queensland. (2020). Pg 13. </w:t>
      </w:r>
    </w:p>
  </w:footnote>
  <w:footnote w:id="26">
    <w:p w14:paraId="16F5020B" w14:textId="3AE9B7DB" w:rsidR="00592388" w:rsidRPr="00483B25" w:rsidRDefault="00592388" w:rsidP="009F2C0F">
      <w:pPr>
        <w:pStyle w:val="FootnoteText"/>
        <w:rPr>
          <w:lang w:val="en-US"/>
        </w:rPr>
      </w:pPr>
      <w:r>
        <w:rPr>
          <w:rStyle w:val="FootnoteReference"/>
        </w:rPr>
        <w:footnoteRef/>
      </w:r>
      <w:r>
        <w:t xml:space="preserve"> </w:t>
      </w:r>
      <w:r>
        <w:rPr>
          <w:lang w:val="en-US"/>
        </w:rPr>
        <w:t>Productivity Commission. (2020). Pg 705.</w:t>
      </w:r>
    </w:p>
  </w:footnote>
  <w:footnote w:id="27">
    <w:p w14:paraId="31D60A89" w14:textId="339FC924" w:rsidR="00592388" w:rsidRPr="006A22C0" w:rsidRDefault="00592388">
      <w:pPr>
        <w:pStyle w:val="FootnoteText"/>
        <w:rPr>
          <w:lang w:val="en-US"/>
        </w:rPr>
      </w:pPr>
      <w:r>
        <w:rPr>
          <w:rStyle w:val="FootnoteReference"/>
        </w:rPr>
        <w:footnoteRef/>
      </w:r>
      <w:r>
        <w:t xml:space="preserve"> </w:t>
      </w:r>
      <w:r>
        <w:rPr>
          <w:lang w:val="en-US"/>
        </w:rPr>
        <w:t xml:space="preserve">ACIL Allen. (2020). Education Institutes Review. No page. </w:t>
      </w:r>
    </w:p>
  </w:footnote>
  <w:footnote w:id="28">
    <w:p w14:paraId="0BBEE790" w14:textId="77777777" w:rsidR="00592388" w:rsidRPr="00CF05D1" w:rsidRDefault="00592388" w:rsidP="00F05ECE">
      <w:pPr>
        <w:pStyle w:val="FootnoteText"/>
        <w:rPr>
          <w:lang w:val="en-US"/>
        </w:rPr>
      </w:pPr>
      <w:r>
        <w:rPr>
          <w:rStyle w:val="FootnoteReference"/>
        </w:rPr>
        <w:footnoteRef/>
      </w:r>
      <w:r>
        <w:t xml:space="preserve"> </w:t>
      </w:r>
      <w:r>
        <w:rPr>
          <w:lang w:val="en-US"/>
        </w:rPr>
        <w:t xml:space="preserve">For example, health professionals with a three year degree under the Victorian Public Service Enterprise Agreement will be paid a minimum of $70,791 annually. By contrast, health professionals with a three year degree employed under the </w:t>
      </w:r>
      <w:r w:rsidRPr="004A656F">
        <w:rPr>
          <w:lang w:val="en-US"/>
        </w:rPr>
        <w:t>Health Professionals and Support Services Award 2020</w:t>
      </w:r>
      <w:r>
        <w:rPr>
          <w:lang w:val="en-US"/>
        </w:rPr>
        <w:t xml:space="preserve"> will be paid a minimum of $956.20 a week (which equates to approximately $50,000 a year). </w:t>
      </w:r>
    </w:p>
  </w:footnote>
  <w:footnote w:id="29">
    <w:p w14:paraId="13D1E484" w14:textId="1BAB7820" w:rsidR="00592388" w:rsidRPr="00A51B71" w:rsidRDefault="00592388" w:rsidP="007F29E7">
      <w:pPr>
        <w:pStyle w:val="FootnoteText"/>
        <w:rPr>
          <w:lang w:val="en-US"/>
        </w:rPr>
      </w:pPr>
      <w:r>
        <w:rPr>
          <w:rStyle w:val="FootnoteReference"/>
        </w:rPr>
        <w:footnoteRef/>
      </w:r>
      <w:r>
        <w:t xml:space="preserve"> </w:t>
      </w:r>
      <w:r w:rsidRPr="00BE3DBD">
        <w:rPr>
          <w:lang w:val="en-US"/>
        </w:rPr>
        <w:t>U</w:t>
      </w:r>
      <w:r>
        <w:rPr>
          <w:lang w:val="en-US"/>
        </w:rPr>
        <w:t>niversity of Queensland. (2020). Pg 34.</w:t>
      </w:r>
    </w:p>
  </w:footnote>
  <w:footnote w:id="30">
    <w:p w14:paraId="2A2BF6AA" w14:textId="2949E3AB" w:rsidR="00592388" w:rsidRPr="003C14D0" w:rsidRDefault="00592388" w:rsidP="000053E2">
      <w:pPr>
        <w:pStyle w:val="FootnoteText"/>
        <w:rPr>
          <w:rFonts w:ascii="Calibri" w:hAnsi="Calibri" w:cs="Calibri"/>
        </w:rPr>
      </w:pPr>
      <w:r w:rsidRPr="00954EF5">
        <w:rPr>
          <w:rStyle w:val="FootnoteReference"/>
        </w:rPr>
        <w:footnoteRef/>
      </w:r>
      <w:r w:rsidRPr="00954EF5">
        <w:t xml:space="preserve"> </w:t>
      </w:r>
      <w:r w:rsidRPr="00BE3DBD">
        <w:rPr>
          <w:lang w:val="en-US"/>
        </w:rPr>
        <w:t>U</w:t>
      </w:r>
      <w:r>
        <w:rPr>
          <w:lang w:val="en-US"/>
        </w:rPr>
        <w:t>niversity of Queensland. (2020). Pg 4.</w:t>
      </w:r>
    </w:p>
  </w:footnote>
  <w:footnote w:id="31">
    <w:p w14:paraId="05373523" w14:textId="7F4A836E" w:rsidR="00592388" w:rsidRPr="005A7DF9" w:rsidRDefault="00592388" w:rsidP="00A94B1F">
      <w:pPr>
        <w:pStyle w:val="FootnoteText"/>
        <w:rPr>
          <w:lang w:val="en-US"/>
        </w:rPr>
      </w:pPr>
      <w:r>
        <w:rPr>
          <w:rStyle w:val="FootnoteReference"/>
        </w:rPr>
        <w:footnoteRef/>
      </w:r>
      <w:r>
        <w:t xml:space="preserve"> </w:t>
      </w:r>
      <w:r w:rsidRPr="00B710CC">
        <w:rPr>
          <w:lang w:val="en-US"/>
        </w:rPr>
        <w:t>Grattan Institute.</w:t>
      </w:r>
      <w:r>
        <w:rPr>
          <w:lang w:val="en-US"/>
        </w:rPr>
        <w:t xml:space="preserve"> (2018).</w:t>
      </w:r>
      <w:r w:rsidRPr="00B710CC">
        <w:rPr>
          <w:lang w:val="en-US"/>
        </w:rPr>
        <w:t xml:space="preserve"> Background Paper No. 2018-08. </w:t>
      </w:r>
      <w:r w:rsidRPr="005A7DF9">
        <w:rPr>
          <w:lang w:val="en-US"/>
        </w:rPr>
        <w:t>University attrition: what helps and what hinders university completion?</w:t>
      </w:r>
    </w:p>
  </w:footnote>
  <w:footnote w:id="32">
    <w:p w14:paraId="60844037" w14:textId="44D5FCD1" w:rsidR="00592388" w:rsidRPr="00D222F8" w:rsidRDefault="00592388" w:rsidP="00301E63">
      <w:pPr>
        <w:pStyle w:val="FootnoteText"/>
        <w:rPr>
          <w:lang w:val="en-US"/>
        </w:rPr>
      </w:pPr>
      <w:r>
        <w:rPr>
          <w:rStyle w:val="FootnoteReference"/>
        </w:rPr>
        <w:footnoteRef/>
      </w:r>
      <w:r>
        <w:t xml:space="preserve"> </w:t>
      </w:r>
      <w:r>
        <w:rPr>
          <w:lang w:val="en-US"/>
        </w:rPr>
        <w:t xml:space="preserve">Grattan Institute. (2018). </w:t>
      </w:r>
      <w:r w:rsidRPr="005A7DF9">
        <w:rPr>
          <w:lang w:val="en-US"/>
        </w:rPr>
        <w:t>Mapping Australian higher education</w:t>
      </w:r>
      <w:r>
        <w:rPr>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D660F1" w14:textId="77777777" w:rsidR="009F1132" w:rsidRDefault="009F1132">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B0B017" w14:textId="77777777" w:rsidR="00592388" w:rsidRPr="0069382D" w:rsidRDefault="00592388" w:rsidP="0069382D">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B6BA2D" w14:textId="77777777" w:rsidR="00592388" w:rsidRPr="0069382D" w:rsidRDefault="00592388" w:rsidP="0069382D">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849559" w14:textId="77777777" w:rsidR="00592388" w:rsidRPr="009C0F89" w:rsidRDefault="00592388" w:rsidP="009C0F89">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E02176" w14:textId="77777777" w:rsidR="00592388" w:rsidRPr="009C0F89" w:rsidRDefault="00592388" w:rsidP="009C0F89">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E7B86B" w14:textId="77777777" w:rsidR="00592388" w:rsidRPr="0069382D" w:rsidRDefault="00592388" w:rsidP="0069382D">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4FAA30" w14:textId="77777777" w:rsidR="00592388" w:rsidRPr="0069382D" w:rsidRDefault="00592388" w:rsidP="0069382D">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EC31D" w14:textId="77777777" w:rsidR="00592388" w:rsidRPr="004B112E" w:rsidRDefault="00592388" w:rsidP="004B112E">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7D2BB2" w14:textId="77777777" w:rsidR="00592388" w:rsidRPr="004B112E" w:rsidRDefault="00592388" w:rsidP="004B112E">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17417D" w14:textId="77777777" w:rsidR="00592388" w:rsidRPr="00453F15" w:rsidRDefault="00592388" w:rsidP="00453F15">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2C9DF9" w14:textId="77777777" w:rsidR="00592388" w:rsidRPr="00453F15" w:rsidRDefault="00592388" w:rsidP="00453F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A96E48" w14:textId="746AB8D7" w:rsidR="00592388" w:rsidRPr="0069382D" w:rsidRDefault="00592388" w:rsidP="0069382D">
    <w:pPr>
      <w:pStyle w:val="Header"/>
    </w:pPr>
    <w:r w:rsidRPr="00AE20B0">
      <w:rPr>
        <w:noProof/>
      </w:rPr>
      <mc:AlternateContent>
        <mc:Choice Requires="wps">
          <w:drawing>
            <wp:anchor distT="0" distB="0" distL="114300" distR="114300" simplePos="0" relativeHeight="251696128" behindDoc="0" locked="1" layoutInCell="1" allowOverlap="1" wp14:anchorId="3D4209B7" wp14:editId="3004867B">
              <wp:simplePos x="0" y="0"/>
              <wp:positionH relativeFrom="page">
                <wp:posOffset>1304925</wp:posOffset>
              </wp:positionH>
              <wp:positionV relativeFrom="page">
                <wp:posOffset>5541010</wp:posOffset>
              </wp:positionV>
              <wp:extent cx="5901690" cy="867410"/>
              <wp:effectExtent l="0" t="1962150" r="0" b="1971040"/>
              <wp:wrapNone/>
              <wp:docPr id="531" name="waterMark_aa_draftOnly_stat">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wps:cNvSpPr>
                    <wps:spPr bwMode="auto">
                      <a:xfrm rot="18900000">
                        <a:off x="0" y="0"/>
                        <a:ext cx="5901690" cy="867410"/>
                      </a:xfrm>
                      <a:custGeom>
                        <a:avLst/>
                        <a:gdLst>
                          <a:gd name="T0" fmla="*/ 23 w 586"/>
                          <a:gd name="T1" fmla="*/ 2 h 86"/>
                          <a:gd name="T2" fmla="*/ 54 w 586"/>
                          <a:gd name="T3" fmla="*/ 24 h 86"/>
                          <a:gd name="T4" fmla="*/ 41 w 586"/>
                          <a:gd name="T5" fmla="*/ 81 h 86"/>
                          <a:gd name="T6" fmla="*/ 9 w 586"/>
                          <a:gd name="T7" fmla="*/ 75 h 86"/>
                          <a:gd name="T8" fmla="*/ 44 w 586"/>
                          <a:gd name="T9" fmla="*/ 63 h 86"/>
                          <a:gd name="T10" fmla="*/ 35 w 586"/>
                          <a:gd name="T11" fmla="*/ 13 h 86"/>
                          <a:gd name="T12" fmla="*/ 9 w 586"/>
                          <a:gd name="T13" fmla="*/ 75 h 86"/>
                          <a:gd name="T14" fmla="*/ 99 w 586"/>
                          <a:gd name="T15" fmla="*/ 2 h 86"/>
                          <a:gd name="T16" fmla="*/ 123 w 586"/>
                          <a:gd name="T17" fmla="*/ 24 h 86"/>
                          <a:gd name="T18" fmla="*/ 110 w 586"/>
                          <a:gd name="T19" fmla="*/ 51 h 86"/>
                          <a:gd name="T20" fmla="*/ 117 w 586"/>
                          <a:gd name="T21" fmla="*/ 85 h 86"/>
                          <a:gd name="T22" fmla="*/ 95 w 586"/>
                          <a:gd name="T23" fmla="*/ 49 h 86"/>
                          <a:gd name="T24" fmla="*/ 78 w 586"/>
                          <a:gd name="T25" fmla="*/ 85 h 86"/>
                          <a:gd name="T26" fmla="*/ 97 w 586"/>
                          <a:gd name="T27" fmla="*/ 38 h 86"/>
                          <a:gd name="T28" fmla="*/ 114 w 586"/>
                          <a:gd name="T29" fmla="*/ 24 h 86"/>
                          <a:gd name="T30" fmla="*/ 78 w 586"/>
                          <a:gd name="T31" fmla="*/ 11 h 86"/>
                          <a:gd name="T32" fmla="*/ 156 w 586"/>
                          <a:gd name="T33" fmla="*/ 2 h 86"/>
                          <a:gd name="T34" fmla="*/ 183 w 586"/>
                          <a:gd name="T35" fmla="*/ 85 h 86"/>
                          <a:gd name="T36" fmla="*/ 139 w 586"/>
                          <a:gd name="T37" fmla="*/ 85 h 86"/>
                          <a:gd name="T38" fmla="*/ 173 w 586"/>
                          <a:gd name="T39" fmla="*/ 51 h 86"/>
                          <a:gd name="T40" fmla="*/ 157 w 586"/>
                          <a:gd name="T41" fmla="*/ 26 h 86"/>
                          <a:gd name="T42" fmla="*/ 201 w 586"/>
                          <a:gd name="T43" fmla="*/ 2 h 86"/>
                          <a:gd name="T44" fmla="*/ 211 w 586"/>
                          <a:gd name="T45" fmla="*/ 11 h 86"/>
                          <a:gd name="T46" fmla="*/ 242 w 586"/>
                          <a:gd name="T47" fmla="*/ 47 h 86"/>
                          <a:gd name="T48" fmla="*/ 201 w 586"/>
                          <a:gd name="T49" fmla="*/ 85 h 86"/>
                          <a:gd name="T50" fmla="*/ 254 w 586"/>
                          <a:gd name="T51" fmla="*/ 11 h 86"/>
                          <a:gd name="T52" fmla="*/ 308 w 586"/>
                          <a:gd name="T53" fmla="*/ 11 h 86"/>
                          <a:gd name="T54" fmla="*/ 276 w 586"/>
                          <a:gd name="T55" fmla="*/ 85 h 86"/>
                          <a:gd name="T56" fmla="*/ 372 w 586"/>
                          <a:gd name="T57" fmla="*/ 0 h 86"/>
                          <a:gd name="T58" fmla="*/ 404 w 586"/>
                          <a:gd name="T59" fmla="*/ 43 h 86"/>
                          <a:gd name="T60" fmla="*/ 348 w 586"/>
                          <a:gd name="T61" fmla="*/ 73 h 86"/>
                          <a:gd name="T62" fmla="*/ 355 w 586"/>
                          <a:gd name="T63" fmla="*/ 68 h 86"/>
                          <a:gd name="T64" fmla="*/ 395 w 586"/>
                          <a:gd name="T65" fmla="*/ 43 h 86"/>
                          <a:gd name="T66" fmla="*/ 372 w 586"/>
                          <a:gd name="T67" fmla="*/ 10 h 86"/>
                          <a:gd name="T68" fmla="*/ 416 w 586"/>
                          <a:gd name="T69" fmla="*/ 85 h 86"/>
                          <a:gd name="T70" fmla="*/ 461 w 586"/>
                          <a:gd name="T71" fmla="*/ 67 h 86"/>
                          <a:gd name="T72" fmla="*/ 469 w 586"/>
                          <a:gd name="T73" fmla="*/ 85 h 86"/>
                          <a:gd name="T74" fmla="*/ 424 w 586"/>
                          <a:gd name="T75" fmla="*/ 85 h 86"/>
                          <a:gd name="T76" fmla="*/ 484 w 586"/>
                          <a:gd name="T77" fmla="*/ 2 h 86"/>
                          <a:gd name="T78" fmla="*/ 527 w 586"/>
                          <a:gd name="T79" fmla="*/ 75 h 86"/>
                          <a:gd name="T80" fmla="*/ 550 w 586"/>
                          <a:gd name="T81" fmla="*/ 85 h 86"/>
                          <a:gd name="T82" fmla="*/ 534 w 586"/>
                          <a:gd name="T83" fmla="*/ 2 h 86"/>
                          <a:gd name="T84" fmla="*/ 562 w 586"/>
                          <a:gd name="T85" fmla="*/ 26 h 86"/>
                          <a:gd name="T86" fmla="*/ 559 w 586"/>
                          <a:gd name="T87" fmla="*/ 49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586" h="86">
                            <a:moveTo>
                              <a:pt x="0" y="85"/>
                            </a:moveTo>
                            <a:cubicBezTo>
                              <a:pt x="0" y="2"/>
                              <a:pt x="0" y="2"/>
                              <a:pt x="0" y="2"/>
                            </a:cubicBezTo>
                            <a:cubicBezTo>
                              <a:pt x="23" y="2"/>
                              <a:pt x="23" y="2"/>
                              <a:pt x="23" y="2"/>
                            </a:cubicBezTo>
                            <a:cubicBezTo>
                              <a:pt x="29" y="2"/>
                              <a:pt x="34" y="2"/>
                              <a:pt x="37" y="3"/>
                            </a:cubicBezTo>
                            <a:cubicBezTo>
                              <a:pt x="41" y="4"/>
                              <a:pt x="44" y="7"/>
                              <a:pt x="47" y="10"/>
                            </a:cubicBezTo>
                            <a:cubicBezTo>
                              <a:pt x="50" y="14"/>
                              <a:pt x="52" y="18"/>
                              <a:pt x="54" y="24"/>
                            </a:cubicBezTo>
                            <a:cubicBezTo>
                              <a:pt x="55" y="29"/>
                              <a:pt x="56" y="35"/>
                              <a:pt x="56" y="43"/>
                            </a:cubicBezTo>
                            <a:cubicBezTo>
                              <a:pt x="56" y="52"/>
                              <a:pt x="55" y="60"/>
                              <a:pt x="52" y="67"/>
                            </a:cubicBezTo>
                            <a:cubicBezTo>
                              <a:pt x="49" y="73"/>
                              <a:pt x="46" y="78"/>
                              <a:pt x="41" y="81"/>
                            </a:cubicBezTo>
                            <a:cubicBezTo>
                              <a:pt x="37" y="83"/>
                              <a:pt x="31" y="85"/>
                              <a:pt x="24" y="85"/>
                            </a:cubicBezTo>
                            <a:lnTo>
                              <a:pt x="0" y="85"/>
                            </a:lnTo>
                            <a:close/>
                            <a:moveTo>
                              <a:pt x="9" y="75"/>
                            </a:moveTo>
                            <a:cubicBezTo>
                              <a:pt x="23" y="75"/>
                              <a:pt x="23" y="75"/>
                              <a:pt x="23" y="75"/>
                            </a:cubicBezTo>
                            <a:cubicBezTo>
                              <a:pt x="29" y="75"/>
                              <a:pt x="34" y="74"/>
                              <a:pt x="37" y="72"/>
                            </a:cubicBezTo>
                            <a:cubicBezTo>
                              <a:pt x="40" y="70"/>
                              <a:pt x="42" y="67"/>
                              <a:pt x="44" y="63"/>
                            </a:cubicBezTo>
                            <a:cubicBezTo>
                              <a:pt x="46" y="57"/>
                              <a:pt x="47" y="50"/>
                              <a:pt x="47" y="43"/>
                            </a:cubicBezTo>
                            <a:cubicBezTo>
                              <a:pt x="47" y="34"/>
                              <a:pt x="46" y="27"/>
                              <a:pt x="44" y="23"/>
                            </a:cubicBezTo>
                            <a:cubicBezTo>
                              <a:pt x="41" y="18"/>
                              <a:pt x="38" y="15"/>
                              <a:pt x="35" y="13"/>
                            </a:cubicBezTo>
                            <a:cubicBezTo>
                              <a:pt x="32" y="12"/>
                              <a:pt x="28" y="11"/>
                              <a:pt x="23" y="11"/>
                            </a:cubicBezTo>
                            <a:cubicBezTo>
                              <a:pt x="9" y="11"/>
                              <a:pt x="9" y="11"/>
                              <a:pt x="9" y="11"/>
                            </a:cubicBezTo>
                            <a:lnTo>
                              <a:pt x="9" y="75"/>
                            </a:lnTo>
                            <a:close/>
                            <a:moveTo>
                              <a:pt x="69" y="85"/>
                            </a:moveTo>
                            <a:cubicBezTo>
                              <a:pt x="69" y="2"/>
                              <a:pt x="69" y="2"/>
                              <a:pt x="69" y="2"/>
                            </a:cubicBezTo>
                            <a:cubicBezTo>
                              <a:pt x="99" y="2"/>
                              <a:pt x="99" y="2"/>
                              <a:pt x="99" y="2"/>
                            </a:cubicBezTo>
                            <a:cubicBezTo>
                              <a:pt x="105" y="2"/>
                              <a:pt x="110" y="2"/>
                              <a:pt x="113" y="4"/>
                            </a:cubicBezTo>
                            <a:cubicBezTo>
                              <a:pt x="116" y="5"/>
                              <a:pt x="118" y="8"/>
                              <a:pt x="120" y="12"/>
                            </a:cubicBezTo>
                            <a:cubicBezTo>
                              <a:pt x="122" y="15"/>
                              <a:pt x="123" y="19"/>
                              <a:pt x="123" y="24"/>
                            </a:cubicBezTo>
                            <a:cubicBezTo>
                              <a:pt x="123" y="30"/>
                              <a:pt x="122" y="36"/>
                              <a:pt x="118" y="39"/>
                            </a:cubicBezTo>
                            <a:cubicBezTo>
                              <a:pt x="115" y="43"/>
                              <a:pt x="110" y="46"/>
                              <a:pt x="104" y="47"/>
                            </a:cubicBezTo>
                            <a:cubicBezTo>
                              <a:pt x="107" y="48"/>
                              <a:pt x="108" y="50"/>
                              <a:pt x="110" y="51"/>
                            </a:cubicBezTo>
                            <a:cubicBezTo>
                              <a:pt x="112" y="55"/>
                              <a:pt x="115" y="58"/>
                              <a:pt x="117" y="62"/>
                            </a:cubicBezTo>
                            <a:cubicBezTo>
                              <a:pt x="129" y="85"/>
                              <a:pt x="129" y="85"/>
                              <a:pt x="129" y="85"/>
                            </a:cubicBezTo>
                            <a:cubicBezTo>
                              <a:pt x="117" y="85"/>
                              <a:pt x="117" y="85"/>
                              <a:pt x="117" y="85"/>
                            </a:cubicBezTo>
                            <a:cubicBezTo>
                              <a:pt x="108" y="67"/>
                              <a:pt x="108" y="67"/>
                              <a:pt x="108" y="67"/>
                            </a:cubicBezTo>
                            <a:cubicBezTo>
                              <a:pt x="105" y="61"/>
                              <a:pt x="102" y="56"/>
                              <a:pt x="100" y="54"/>
                            </a:cubicBezTo>
                            <a:cubicBezTo>
                              <a:pt x="99" y="51"/>
                              <a:pt x="97" y="50"/>
                              <a:pt x="95" y="49"/>
                            </a:cubicBezTo>
                            <a:cubicBezTo>
                              <a:pt x="94" y="48"/>
                              <a:pt x="91" y="48"/>
                              <a:pt x="88" y="48"/>
                            </a:cubicBezTo>
                            <a:cubicBezTo>
                              <a:pt x="78" y="48"/>
                              <a:pt x="78" y="48"/>
                              <a:pt x="78" y="48"/>
                            </a:cubicBezTo>
                            <a:cubicBezTo>
                              <a:pt x="78" y="85"/>
                              <a:pt x="78" y="85"/>
                              <a:pt x="78" y="85"/>
                            </a:cubicBezTo>
                            <a:lnTo>
                              <a:pt x="69" y="85"/>
                            </a:lnTo>
                            <a:close/>
                            <a:moveTo>
                              <a:pt x="78" y="38"/>
                            </a:moveTo>
                            <a:cubicBezTo>
                              <a:pt x="97" y="38"/>
                              <a:pt x="97" y="38"/>
                              <a:pt x="97" y="38"/>
                            </a:cubicBezTo>
                            <a:cubicBezTo>
                              <a:pt x="101" y="38"/>
                              <a:pt x="105" y="38"/>
                              <a:pt x="107" y="37"/>
                            </a:cubicBezTo>
                            <a:cubicBezTo>
                              <a:pt x="109" y="36"/>
                              <a:pt x="111" y="34"/>
                              <a:pt x="112" y="32"/>
                            </a:cubicBezTo>
                            <a:cubicBezTo>
                              <a:pt x="113" y="30"/>
                              <a:pt x="114" y="27"/>
                              <a:pt x="114" y="24"/>
                            </a:cubicBezTo>
                            <a:cubicBezTo>
                              <a:pt x="114" y="20"/>
                              <a:pt x="113" y="17"/>
                              <a:pt x="110" y="14"/>
                            </a:cubicBezTo>
                            <a:cubicBezTo>
                              <a:pt x="108" y="12"/>
                              <a:pt x="104" y="11"/>
                              <a:pt x="99" y="11"/>
                            </a:cubicBezTo>
                            <a:cubicBezTo>
                              <a:pt x="78" y="11"/>
                              <a:pt x="78" y="11"/>
                              <a:pt x="78" y="11"/>
                            </a:cubicBezTo>
                            <a:lnTo>
                              <a:pt x="78" y="38"/>
                            </a:lnTo>
                            <a:close/>
                            <a:moveTo>
                              <a:pt x="130" y="85"/>
                            </a:moveTo>
                            <a:cubicBezTo>
                              <a:pt x="156" y="2"/>
                              <a:pt x="156" y="2"/>
                              <a:pt x="156" y="2"/>
                            </a:cubicBezTo>
                            <a:cubicBezTo>
                              <a:pt x="166" y="2"/>
                              <a:pt x="166" y="2"/>
                              <a:pt x="166" y="2"/>
                            </a:cubicBezTo>
                            <a:cubicBezTo>
                              <a:pt x="194" y="85"/>
                              <a:pt x="194" y="85"/>
                              <a:pt x="194" y="85"/>
                            </a:cubicBezTo>
                            <a:cubicBezTo>
                              <a:pt x="183" y="85"/>
                              <a:pt x="183" y="85"/>
                              <a:pt x="183" y="85"/>
                            </a:cubicBezTo>
                            <a:cubicBezTo>
                              <a:pt x="176" y="59"/>
                              <a:pt x="176" y="59"/>
                              <a:pt x="176" y="59"/>
                            </a:cubicBezTo>
                            <a:cubicBezTo>
                              <a:pt x="147" y="59"/>
                              <a:pt x="147" y="59"/>
                              <a:pt x="147" y="59"/>
                            </a:cubicBezTo>
                            <a:cubicBezTo>
                              <a:pt x="139" y="85"/>
                              <a:pt x="139" y="85"/>
                              <a:pt x="139" y="85"/>
                            </a:cubicBezTo>
                            <a:lnTo>
                              <a:pt x="130" y="85"/>
                            </a:lnTo>
                            <a:close/>
                            <a:moveTo>
                              <a:pt x="149" y="51"/>
                            </a:moveTo>
                            <a:cubicBezTo>
                              <a:pt x="173" y="51"/>
                              <a:pt x="173" y="51"/>
                              <a:pt x="173" y="51"/>
                            </a:cubicBezTo>
                            <a:cubicBezTo>
                              <a:pt x="166" y="28"/>
                              <a:pt x="166" y="28"/>
                              <a:pt x="166" y="28"/>
                            </a:cubicBezTo>
                            <a:cubicBezTo>
                              <a:pt x="163" y="20"/>
                              <a:pt x="162" y="15"/>
                              <a:pt x="161" y="10"/>
                            </a:cubicBezTo>
                            <a:cubicBezTo>
                              <a:pt x="160" y="16"/>
                              <a:pt x="159" y="21"/>
                              <a:pt x="157" y="26"/>
                            </a:cubicBezTo>
                            <a:lnTo>
                              <a:pt x="149" y="51"/>
                            </a:lnTo>
                            <a:close/>
                            <a:moveTo>
                              <a:pt x="201" y="85"/>
                            </a:moveTo>
                            <a:cubicBezTo>
                              <a:pt x="201" y="2"/>
                              <a:pt x="201" y="2"/>
                              <a:pt x="201" y="2"/>
                            </a:cubicBezTo>
                            <a:cubicBezTo>
                              <a:pt x="247" y="2"/>
                              <a:pt x="247" y="2"/>
                              <a:pt x="247" y="2"/>
                            </a:cubicBezTo>
                            <a:cubicBezTo>
                              <a:pt x="247" y="11"/>
                              <a:pt x="247" y="11"/>
                              <a:pt x="247" y="11"/>
                            </a:cubicBezTo>
                            <a:cubicBezTo>
                              <a:pt x="211" y="11"/>
                              <a:pt x="211" y="11"/>
                              <a:pt x="211" y="11"/>
                            </a:cubicBezTo>
                            <a:cubicBezTo>
                              <a:pt x="211" y="37"/>
                              <a:pt x="211" y="37"/>
                              <a:pt x="211" y="37"/>
                            </a:cubicBezTo>
                            <a:cubicBezTo>
                              <a:pt x="242" y="37"/>
                              <a:pt x="242" y="37"/>
                              <a:pt x="242" y="37"/>
                            </a:cubicBezTo>
                            <a:cubicBezTo>
                              <a:pt x="242" y="47"/>
                              <a:pt x="242" y="47"/>
                              <a:pt x="242" y="47"/>
                            </a:cubicBezTo>
                            <a:cubicBezTo>
                              <a:pt x="211" y="47"/>
                              <a:pt x="211" y="47"/>
                              <a:pt x="211" y="47"/>
                            </a:cubicBezTo>
                            <a:cubicBezTo>
                              <a:pt x="211" y="85"/>
                              <a:pt x="211" y="85"/>
                              <a:pt x="211" y="85"/>
                            </a:cubicBezTo>
                            <a:lnTo>
                              <a:pt x="201" y="85"/>
                            </a:lnTo>
                            <a:close/>
                            <a:moveTo>
                              <a:pt x="276" y="85"/>
                            </a:moveTo>
                            <a:cubicBezTo>
                              <a:pt x="276" y="11"/>
                              <a:pt x="276" y="11"/>
                              <a:pt x="276" y="11"/>
                            </a:cubicBezTo>
                            <a:cubicBezTo>
                              <a:pt x="254" y="11"/>
                              <a:pt x="254" y="11"/>
                              <a:pt x="254" y="11"/>
                            </a:cubicBezTo>
                            <a:cubicBezTo>
                              <a:pt x="254" y="2"/>
                              <a:pt x="254" y="2"/>
                              <a:pt x="254" y="2"/>
                            </a:cubicBezTo>
                            <a:cubicBezTo>
                              <a:pt x="308" y="2"/>
                              <a:pt x="308" y="2"/>
                              <a:pt x="308" y="2"/>
                            </a:cubicBezTo>
                            <a:cubicBezTo>
                              <a:pt x="308" y="11"/>
                              <a:pt x="308" y="11"/>
                              <a:pt x="308" y="11"/>
                            </a:cubicBezTo>
                            <a:cubicBezTo>
                              <a:pt x="285" y="11"/>
                              <a:pt x="285" y="11"/>
                              <a:pt x="285" y="11"/>
                            </a:cubicBezTo>
                            <a:cubicBezTo>
                              <a:pt x="285" y="85"/>
                              <a:pt x="285" y="85"/>
                              <a:pt x="285" y="85"/>
                            </a:cubicBezTo>
                            <a:lnTo>
                              <a:pt x="276" y="85"/>
                            </a:lnTo>
                            <a:close/>
                            <a:moveTo>
                              <a:pt x="339" y="44"/>
                            </a:moveTo>
                            <a:cubicBezTo>
                              <a:pt x="339" y="30"/>
                              <a:pt x="342" y="19"/>
                              <a:pt x="349" y="12"/>
                            </a:cubicBezTo>
                            <a:cubicBezTo>
                              <a:pt x="355" y="4"/>
                              <a:pt x="363" y="0"/>
                              <a:pt x="372" y="0"/>
                            </a:cubicBezTo>
                            <a:cubicBezTo>
                              <a:pt x="378" y="0"/>
                              <a:pt x="383" y="2"/>
                              <a:pt x="388" y="5"/>
                            </a:cubicBezTo>
                            <a:cubicBezTo>
                              <a:pt x="393" y="9"/>
                              <a:pt x="397" y="14"/>
                              <a:pt x="400" y="20"/>
                            </a:cubicBezTo>
                            <a:cubicBezTo>
                              <a:pt x="403" y="26"/>
                              <a:pt x="404" y="34"/>
                              <a:pt x="404" y="43"/>
                            </a:cubicBezTo>
                            <a:cubicBezTo>
                              <a:pt x="404" y="55"/>
                              <a:pt x="402" y="65"/>
                              <a:pt x="396" y="73"/>
                            </a:cubicBezTo>
                            <a:cubicBezTo>
                              <a:pt x="390" y="82"/>
                              <a:pt x="382" y="86"/>
                              <a:pt x="372" y="86"/>
                            </a:cubicBezTo>
                            <a:cubicBezTo>
                              <a:pt x="362" y="86"/>
                              <a:pt x="354" y="82"/>
                              <a:pt x="348" y="73"/>
                            </a:cubicBezTo>
                            <a:cubicBezTo>
                              <a:pt x="342" y="65"/>
                              <a:pt x="339" y="55"/>
                              <a:pt x="339" y="44"/>
                            </a:cubicBezTo>
                            <a:close/>
                            <a:moveTo>
                              <a:pt x="349" y="44"/>
                            </a:moveTo>
                            <a:cubicBezTo>
                              <a:pt x="349" y="55"/>
                              <a:pt x="351" y="63"/>
                              <a:pt x="355" y="68"/>
                            </a:cubicBezTo>
                            <a:cubicBezTo>
                              <a:pt x="360" y="74"/>
                              <a:pt x="365" y="77"/>
                              <a:pt x="372" y="77"/>
                            </a:cubicBezTo>
                            <a:cubicBezTo>
                              <a:pt x="378" y="77"/>
                              <a:pt x="384" y="74"/>
                              <a:pt x="388" y="68"/>
                            </a:cubicBezTo>
                            <a:cubicBezTo>
                              <a:pt x="393" y="62"/>
                              <a:pt x="395" y="54"/>
                              <a:pt x="395" y="43"/>
                            </a:cubicBezTo>
                            <a:cubicBezTo>
                              <a:pt x="395" y="36"/>
                              <a:pt x="394" y="29"/>
                              <a:pt x="392" y="24"/>
                            </a:cubicBezTo>
                            <a:cubicBezTo>
                              <a:pt x="390" y="19"/>
                              <a:pt x="387" y="16"/>
                              <a:pt x="384" y="13"/>
                            </a:cubicBezTo>
                            <a:cubicBezTo>
                              <a:pt x="380" y="11"/>
                              <a:pt x="376" y="10"/>
                              <a:pt x="372" y="10"/>
                            </a:cubicBezTo>
                            <a:cubicBezTo>
                              <a:pt x="365" y="10"/>
                              <a:pt x="360" y="12"/>
                              <a:pt x="355" y="18"/>
                            </a:cubicBezTo>
                            <a:cubicBezTo>
                              <a:pt x="351" y="24"/>
                              <a:pt x="349" y="32"/>
                              <a:pt x="349" y="44"/>
                            </a:cubicBezTo>
                            <a:close/>
                            <a:moveTo>
                              <a:pt x="416" y="85"/>
                            </a:moveTo>
                            <a:cubicBezTo>
                              <a:pt x="416" y="2"/>
                              <a:pt x="416" y="2"/>
                              <a:pt x="416" y="2"/>
                            </a:cubicBezTo>
                            <a:cubicBezTo>
                              <a:pt x="425" y="2"/>
                              <a:pt x="425" y="2"/>
                              <a:pt x="425" y="2"/>
                            </a:cubicBezTo>
                            <a:cubicBezTo>
                              <a:pt x="461" y="67"/>
                              <a:pt x="461" y="67"/>
                              <a:pt x="461" y="67"/>
                            </a:cubicBezTo>
                            <a:cubicBezTo>
                              <a:pt x="461" y="2"/>
                              <a:pt x="461" y="2"/>
                              <a:pt x="461" y="2"/>
                            </a:cubicBezTo>
                            <a:cubicBezTo>
                              <a:pt x="469" y="2"/>
                              <a:pt x="469" y="2"/>
                              <a:pt x="469" y="2"/>
                            </a:cubicBezTo>
                            <a:cubicBezTo>
                              <a:pt x="469" y="85"/>
                              <a:pt x="469" y="85"/>
                              <a:pt x="469" y="85"/>
                            </a:cubicBezTo>
                            <a:cubicBezTo>
                              <a:pt x="460" y="85"/>
                              <a:pt x="460" y="85"/>
                              <a:pt x="460" y="85"/>
                            </a:cubicBezTo>
                            <a:cubicBezTo>
                              <a:pt x="424" y="19"/>
                              <a:pt x="424" y="19"/>
                              <a:pt x="424" y="19"/>
                            </a:cubicBezTo>
                            <a:cubicBezTo>
                              <a:pt x="424" y="85"/>
                              <a:pt x="424" y="85"/>
                              <a:pt x="424" y="85"/>
                            </a:cubicBezTo>
                            <a:lnTo>
                              <a:pt x="416" y="85"/>
                            </a:lnTo>
                            <a:close/>
                            <a:moveTo>
                              <a:pt x="484" y="85"/>
                            </a:moveTo>
                            <a:cubicBezTo>
                              <a:pt x="484" y="2"/>
                              <a:pt x="484" y="2"/>
                              <a:pt x="484" y="2"/>
                            </a:cubicBezTo>
                            <a:cubicBezTo>
                              <a:pt x="493" y="2"/>
                              <a:pt x="493" y="2"/>
                              <a:pt x="493" y="2"/>
                            </a:cubicBezTo>
                            <a:cubicBezTo>
                              <a:pt x="493" y="75"/>
                              <a:pt x="493" y="75"/>
                              <a:pt x="493" y="75"/>
                            </a:cubicBezTo>
                            <a:cubicBezTo>
                              <a:pt x="527" y="75"/>
                              <a:pt x="527" y="75"/>
                              <a:pt x="527" y="75"/>
                            </a:cubicBezTo>
                            <a:cubicBezTo>
                              <a:pt x="527" y="85"/>
                              <a:pt x="527" y="85"/>
                              <a:pt x="527" y="85"/>
                            </a:cubicBezTo>
                            <a:lnTo>
                              <a:pt x="484" y="85"/>
                            </a:lnTo>
                            <a:close/>
                            <a:moveTo>
                              <a:pt x="550" y="85"/>
                            </a:moveTo>
                            <a:cubicBezTo>
                              <a:pt x="550" y="49"/>
                              <a:pt x="550" y="49"/>
                              <a:pt x="550" y="49"/>
                            </a:cubicBezTo>
                            <a:cubicBezTo>
                              <a:pt x="523" y="2"/>
                              <a:pt x="523" y="2"/>
                              <a:pt x="523" y="2"/>
                            </a:cubicBezTo>
                            <a:cubicBezTo>
                              <a:pt x="534" y="2"/>
                              <a:pt x="534" y="2"/>
                              <a:pt x="534" y="2"/>
                            </a:cubicBezTo>
                            <a:cubicBezTo>
                              <a:pt x="548" y="27"/>
                              <a:pt x="548" y="27"/>
                              <a:pt x="548" y="27"/>
                            </a:cubicBezTo>
                            <a:cubicBezTo>
                              <a:pt x="550" y="32"/>
                              <a:pt x="553" y="36"/>
                              <a:pt x="555" y="41"/>
                            </a:cubicBezTo>
                            <a:cubicBezTo>
                              <a:pt x="557" y="36"/>
                              <a:pt x="559" y="31"/>
                              <a:pt x="562" y="26"/>
                            </a:cubicBezTo>
                            <a:cubicBezTo>
                              <a:pt x="575" y="2"/>
                              <a:pt x="575" y="2"/>
                              <a:pt x="575" y="2"/>
                            </a:cubicBezTo>
                            <a:cubicBezTo>
                              <a:pt x="586" y="2"/>
                              <a:pt x="586" y="2"/>
                              <a:pt x="586" y="2"/>
                            </a:cubicBezTo>
                            <a:cubicBezTo>
                              <a:pt x="559" y="49"/>
                              <a:pt x="559" y="49"/>
                              <a:pt x="559" y="49"/>
                            </a:cubicBezTo>
                            <a:cubicBezTo>
                              <a:pt x="559" y="85"/>
                              <a:pt x="559" y="85"/>
                              <a:pt x="559" y="85"/>
                            </a:cubicBezTo>
                            <a:lnTo>
                              <a:pt x="550" y="85"/>
                            </a:lnTo>
                            <a:close/>
                          </a:path>
                        </a:pathLst>
                      </a:custGeom>
                      <a:solidFill>
                        <a:srgbClr val="B4B4B4"/>
                      </a:solidFill>
                      <a:ln>
                        <a:noFill/>
                      </a:ln>
                    </wps:spPr>
                    <wps:bodyPr vert="horz" wrap="square" lIns="91440" tIns="45720" rIns="91440" bIns="45720" numCol="1"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5734C5D2" id="waterMark_aa_draftOnly_stat" o:spid="_x0000_s1026" alt="&quot;&quot;" style="position:absolute;margin-left:102.75pt;margin-top:436.3pt;width:464.7pt;height:68.3pt;rotation:-45;z-index:251696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586,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" path="m,85c,2,,2,,2v23,,23,,23,c29,2,34,2,37,3v4,1,7,4,10,7c50,14,52,18,54,24v1,5,2,11,2,19c56,52,55,60,52,67,49,73,46,78,41,81v-4,2,-10,4,-17,4l,85xm9,75v14,,14,,14,c29,75,34,74,37,72v3,-2,5,-5,7,-9c46,57,47,50,47,43,47,34,46,27,44,23,41,18,38,15,35,13,32,12,28,11,23,11,9,11,9,11,9,11r,64xm69,85c69,2,69,2,69,2v30,,30,,30,c105,2,110,2,113,4v3,1,5,4,7,8c122,15,123,19,123,24v,6,-1,12,-5,15c115,43,110,46,104,47v3,1,4,3,6,4c112,55,115,58,117,62v12,23,12,23,12,23c117,85,117,85,117,85,108,67,108,67,108,67v-3,-6,-6,-11,-8,-13c99,51,97,50,95,49,94,48,91,48,88,48v-10,,-10,,-10,c78,85,78,85,78,85r-9,xm78,38v19,,19,,19,c101,38,105,38,107,37v2,-1,4,-3,5,-5c113,30,114,27,114,24v,-4,-1,-7,-4,-10c108,12,104,11,99,11v-21,,-21,,-21,l78,38xm130,85c156,2,156,2,156,2v10,,10,,10,c194,85,194,85,194,85v-11,,-11,,-11,c176,59,176,59,176,59v-29,,-29,,-29,c139,85,139,85,139,85r-9,xm149,51v24,,24,,24,c166,28,166,28,166,28v-3,-8,-4,-13,-5,-18c160,16,159,21,157,26r-8,25xm201,85v,-83,,-83,,-83c247,2,247,2,247,2v,9,,9,,9c211,11,211,11,211,11v,26,,26,,26c242,37,242,37,242,37v,10,,10,,10c211,47,211,47,211,47v,38,,38,,38l201,85xm276,85v,-74,,-74,,-74c254,11,254,11,254,11v,-9,,-9,,-9c308,2,308,2,308,2v,9,,9,,9c285,11,285,11,285,11v,74,,74,,74l276,85xm339,44v,-14,3,-25,10,-32c355,4,363,,372,v6,,11,2,16,5c393,9,397,14,400,20v3,6,4,14,4,23c404,55,402,65,396,73v-6,9,-14,13,-24,13c362,86,354,82,348,73v-6,-8,-9,-18,-9,-29xm349,44v,11,2,19,6,24c360,74,365,77,372,77v6,,12,-3,16,-9c393,62,395,54,395,43v,-7,-1,-14,-3,-19c390,19,387,16,384,13v-4,-2,-8,-3,-12,-3c365,10,360,12,355,18v-4,6,-6,14,-6,26xm416,85v,-83,,-83,,-83c425,2,425,2,425,2v36,65,36,65,36,65c461,2,461,2,461,2v8,,8,,8,c469,85,469,85,469,85v-9,,-9,,-9,c424,19,424,19,424,19v,66,,66,,66l416,85xm484,85v,-83,,-83,,-83c493,2,493,2,493,2v,73,,73,,73c527,75,527,75,527,75v,10,,10,,10l484,85xm550,85v,-36,,-36,,-36c523,2,523,2,523,2v11,,11,,11,c548,27,548,27,548,27v2,5,5,9,7,14c557,36,559,31,562,26,575,2,575,2,575,2v11,,11,,11,c559,49,559,49,559,49v,36,,36,,36l550,85xe" fillcolor="#b4b4b4" stroked="f">
              <v:path arrowok="t" o:connecttype="custom" o:connectlocs="231636,20172;543842,242068;412917,816979;90640,756462;443130,635428;352490,131120;90640,756462;997043,20172;1238751,242068;1107826,514394;1178324,857324;956759,494222;785549,857324;976901,383274;1148110,242068;785549,110948;1571098,20172;1843019,857324;1399889,857324;1742308,514394;1581170,262240;2024300,20172;2125011,110948;2437217,474050;2024300,857324;2558070,110948;3101912,110948;2779636,857324;3746465,0;4068742,433705;3504758,736290;3575256,685859;3978102,433705;3746465,100862;4189596,857324;4642797,675773;4723366,857324;4270165,857324;4874433,20172;5307493,756462;5539129,857324;5377991,20172;5659983,262240;5629769,494222" o:connectangles="0,0,0,0,0,0,0,0,0,0,0,0,0,0,0,0,0,0,0,0,0,0,0,0,0,0,0,0,0,0,0,0,0,0,0,0,0,0,0,0,0,0,0,0"/>
              <o:lock v:ext="edit" aspectratio="t" verticies="t"/>
              <w10:wrap anchorx="page" anchory="page"/>
              <w10:anchorlock/>
            </v:shape>
          </w:pict>
        </mc:Fallback>
      </mc:AlternateConten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1E9BF6" w14:textId="77777777" w:rsidR="00592388" w:rsidRPr="00801BFE" w:rsidRDefault="00592388" w:rsidP="00801BFE">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2D97BB" w14:textId="77777777" w:rsidR="00592388" w:rsidRPr="00801BFE" w:rsidRDefault="00592388" w:rsidP="00801BFE">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CBEA93" w14:textId="77777777" w:rsidR="00592388" w:rsidRPr="00E4255B" w:rsidRDefault="00592388" w:rsidP="00E4255B">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7D1CE1" w14:textId="77777777" w:rsidR="009F1132" w:rsidRPr="0069382D" w:rsidRDefault="009F1132" w:rsidP="009F1132">
    <w:pPr>
      <w:pStyle w:val="Header"/>
    </w:pPr>
    <w:r w:rsidRPr="000261B1">
      <w:rPr>
        <w:noProof/>
      </w:rPr>
      <mc:AlternateContent>
        <mc:Choice Requires="wpg">
          <w:drawing>
            <wp:anchor distT="0" distB="0" distL="114300" distR="114300" simplePos="0" relativeHeight="251732992" behindDoc="0" locked="1" layoutInCell="1" allowOverlap="1" wp14:anchorId="5EC9BAE1" wp14:editId="7C132D17">
              <wp:simplePos x="0" y="0"/>
              <wp:positionH relativeFrom="page">
                <wp:posOffset>938530</wp:posOffset>
              </wp:positionH>
              <wp:positionV relativeFrom="page">
                <wp:posOffset>511810</wp:posOffset>
              </wp:positionV>
              <wp:extent cx="1148080" cy="167005"/>
              <wp:effectExtent l="0" t="0" r="0" b="4445"/>
              <wp:wrapNone/>
              <wp:docPr id="2" name="logo_AAC_Tand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1148080" cy="167005"/>
                        <a:chOff x="0" y="-21209"/>
                        <a:chExt cx="12188825" cy="1878663"/>
                      </a:xfrm>
                    </wpg:grpSpPr>
                    <wps:wsp>
                      <wps:cNvPr id="4" name="Rectangle 4"/>
                      <wps:cNvSpPr>
                        <a:spLocks noChangeArrowheads="1"/>
                      </wps:cNvSpPr>
                      <wps:spPr bwMode="auto">
                        <a:xfrm>
                          <a:off x="0" y="1643143"/>
                          <a:ext cx="1439863" cy="214311"/>
                        </a:xfrm>
                        <a:prstGeom prst="rect">
                          <a:avLst/>
                        </a:prstGeom>
                        <a:solidFill>
                          <a:srgbClr val="6C3F99"/>
                        </a:solidFill>
                        <a:ln>
                          <a:noFill/>
                        </a:ln>
                        <a:extLs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s:wsp>
                      <wps:cNvPr id="5" name="Freeform 6"/>
                      <wps:cNvSpPr>
                        <a:spLocks noEditPoints="1"/>
                      </wps:cNvSpPr>
                      <wps:spPr bwMode="auto">
                        <a:xfrm>
                          <a:off x="0" y="-21209"/>
                          <a:ext cx="12188825" cy="1296330"/>
                        </a:xfrm>
                        <a:custGeom>
                          <a:avLst/>
                          <a:gdLst>
                            <a:gd name="T0" fmla="*/ 4214 w 4841"/>
                            <a:gd name="T1" fmla="*/ 457 h 477"/>
                            <a:gd name="T2" fmla="*/ 3766 w 4841"/>
                            <a:gd name="T3" fmla="*/ 21 h 477"/>
                            <a:gd name="T4" fmla="*/ 4214 w 4841"/>
                            <a:gd name="T5" fmla="*/ 104 h 477"/>
                            <a:gd name="T6" fmla="*/ 3864 w 4841"/>
                            <a:gd name="T7" fmla="*/ 193 h 477"/>
                            <a:gd name="T8" fmla="*/ 4151 w 4841"/>
                            <a:gd name="T9" fmla="*/ 277 h 477"/>
                            <a:gd name="T10" fmla="*/ 3864 w 4841"/>
                            <a:gd name="T11" fmla="*/ 370 h 477"/>
                            <a:gd name="T12" fmla="*/ 4345 w 4841"/>
                            <a:gd name="T13" fmla="*/ 21 h 477"/>
                            <a:gd name="T14" fmla="*/ 4442 w 4841"/>
                            <a:gd name="T15" fmla="*/ 457 h 477"/>
                            <a:gd name="T16" fmla="*/ 4753 w 4841"/>
                            <a:gd name="T17" fmla="*/ 457 h 477"/>
                            <a:gd name="T18" fmla="*/ 4841 w 4841"/>
                            <a:gd name="T19" fmla="*/ 21 h 477"/>
                            <a:gd name="T20" fmla="*/ 4745 w 4841"/>
                            <a:gd name="T21" fmla="*/ 319 h 477"/>
                            <a:gd name="T22" fmla="*/ 4345 w 4841"/>
                            <a:gd name="T23" fmla="*/ 21 h 477"/>
                            <a:gd name="T24" fmla="*/ 375 w 4841"/>
                            <a:gd name="T25" fmla="*/ 283 h 477"/>
                            <a:gd name="T26" fmla="*/ 196 w 4841"/>
                            <a:gd name="T27" fmla="*/ 283 h 477"/>
                            <a:gd name="T28" fmla="*/ 572 w 4841"/>
                            <a:gd name="T29" fmla="*/ 457 h 477"/>
                            <a:gd name="T30" fmla="*/ 418 w 4841"/>
                            <a:gd name="T31" fmla="*/ 365 h 477"/>
                            <a:gd name="T32" fmla="*/ 107 w 4841"/>
                            <a:gd name="T33" fmla="*/ 457 h 477"/>
                            <a:gd name="T34" fmla="*/ 231 w 4841"/>
                            <a:gd name="T35" fmla="*/ 21 h 477"/>
                            <a:gd name="T36" fmla="*/ 2456 w 4841"/>
                            <a:gd name="T37" fmla="*/ 283 h 477"/>
                            <a:gd name="T38" fmla="*/ 2276 w 4841"/>
                            <a:gd name="T39" fmla="*/ 283 h 477"/>
                            <a:gd name="T40" fmla="*/ 2422 w 4841"/>
                            <a:gd name="T41" fmla="*/ 21 h 477"/>
                            <a:gd name="T42" fmla="*/ 2546 w 4841"/>
                            <a:gd name="T43" fmla="*/ 457 h 477"/>
                            <a:gd name="T44" fmla="*/ 2234 w 4841"/>
                            <a:gd name="T45" fmla="*/ 365 h 477"/>
                            <a:gd name="T46" fmla="*/ 2081 w 4841"/>
                            <a:gd name="T47" fmla="*/ 457 h 477"/>
                            <a:gd name="T48" fmla="*/ 2422 w 4841"/>
                            <a:gd name="T49" fmla="*/ 21 h 477"/>
                            <a:gd name="T50" fmla="*/ 932 w 4841"/>
                            <a:gd name="T51" fmla="*/ 378 h 477"/>
                            <a:gd name="T52" fmla="*/ 719 w 4841"/>
                            <a:gd name="T53" fmla="*/ 306 h 477"/>
                            <a:gd name="T54" fmla="*/ 797 w 4841"/>
                            <a:gd name="T55" fmla="*/ 105 h 477"/>
                            <a:gd name="T56" fmla="*/ 1016 w 4841"/>
                            <a:gd name="T57" fmla="*/ 156 h 477"/>
                            <a:gd name="T58" fmla="*/ 1113 w 4841"/>
                            <a:gd name="T59" fmla="*/ 117 h 477"/>
                            <a:gd name="T60" fmla="*/ 942 w 4841"/>
                            <a:gd name="T61" fmla="*/ 13 h 477"/>
                            <a:gd name="T62" fmla="*/ 617 w 4841"/>
                            <a:gd name="T63" fmla="*/ 155 h 477"/>
                            <a:gd name="T64" fmla="*/ 745 w 4841"/>
                            <a:gd name="T65" fmla="*/ 449 h 477"/>
                            <a:gd name="T66" fmla="*/ 1084 w 4841"/>
                            <a:gd name="T67" fmla="*/ 395 h 477"/>
                            <a:gd name="T68" fmla="*/ 1023 w 4841"/>
                            <a:gd name="T69" fmla="*/ 314 h 477"/>
                            <a:gd name="T70" fmla="*/ 1582 w 4841"/>
                            <a:gd name="T71" fmla="*/ 371 h 477"/>
                            <a:gd name="T72" fmla="*/ 1483 w 4841"/>
                            <a:gd name="T73" fmla="*/ 21 h 477"/>
                            <a:gd name="T74" fmla="*/ 1891 w 4841"/>
                            <a:gd name="T75" fmla="*/ 457 h 477"/>
                            <a:gd name="T76" fmla="*/ 1582 w 4841"/>
                            <a:gd name="T77" fmla="*/ 371 h 477"/>
                            <a:gd name="T78" fmla="*/ 2845 w 4841"/>
                            <a:gd name="T79" fmla="*/ 21 h 477"/>
                            <a:gd name="T80" fmla="*/ 2747 w 4841"/>
                            <a:gd name="T81" fmla="*/ 457 h 477"/>
                            <a:gd name="T82" fmla="*/ 3155 w 4841"/>
                            <a:gd name="T83" fmla="*/ 370 h 477"/>
                            <a:gd name="T84" fmla="*/ 3350 w 4841"/>
                            <a:gd name="T85" fmla="*/ 370 h 477"/>
                            <a:gd name="T86" fmla="*/ 3253 w 4841"/>
                            <a:gd name="T87" fmla="*/ 21 h 477"/>
                            <a:gd name="T88" fmla="*/ 3660 w 4841"/>
                            <a:gd name="T89" fmla="*/ 457 h 477"/>
                            <a:gd name="T90" fmla="*/ 3350 w 4841"/>
                            <a:gd name="T91" fmla="*/ 370 h 477"/>
                            <a:gd name="T92" fmla="*/ 1335 w 4841"/>
                            <a:gd name="T93" fmla="*/ 457 h 477"/>
                            <a:gd name="T94" fmla="*/ 1233 w 4841"/>
                            <a:gd name="T95" fmla="*/ 21 h 4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4841" h="477">
                              <a:moveTo>
                                <a:pt x="4214" y="370"/>
                              </a:moveTo>
                              <a:cubicBezTo>
                                <a:pt x="4214" y="457"/>
                                <a:pt x="4214" y="457"/>
                                <a:pt x="4214" y="457"/>
                              </a:cubicBezTo>
                              <a:cubicBezTo>
                                <a:pt x="3766" y="457"/>
                                <a:pt x="3766" y="457"/>
                                <a:pt x="3766" y="457"/>
                              </a:cubicBezTo>
                              <a:cubicBezTo>
                                <a:pt x="3766" y="21"/>
                                <a:pt x="3766" y="21"/>
                                <a:pt x="3766" y="21"/>
                              </a:cubicBezTo>
                              <a:cubicBezTo>
                                <a:pt x="4214" y="21"/>
                                <a:pt x="4214" y="21"/>
                                <a:pt x="4214" y="21"/>
                              </a:cubicBezTo>
                              <a:cubicBezTo>
                                <a:pt x="4214" y="104"/>
                                <a:pt x="4214" y="104"/>
                                <a:pt x="4214" y="104"/>
                              </a:cubicBezTo>
                              <a:cubicBezTo>
                                <a:pt x="3864" y="104"/>
                                <a:pt x="3864" y="104"/>
                                <a:pt x="3864" y="104"/>
                              </a:cubicBezTo>
                              <a:cubicBezTo>
                                <a:pt x="3864" y="193"/>
                                <a:pt x="3864" y="193"/>
                                <a:pt x="3864" y="193"/>
                              </a:cubicBezTo>
                              <a:cubicBezTo>
                                <a:pt x="4151" y="194"/>
                                <a:pt x="4151" y="194"/>
                                <a:pt x="4151" y="194"/>
                              </a:cubicBezTo>
                              <a:cubicBezTo>
                                <a:pt x="4151" y="277"/>
                                <a:pt x="4151" y="277"/>
                                <a:pt x="4151" y="277"/>
                              </a:cubicBezTo>
                              <a:cubicBezTo>
                                <a:pt x="3864" y="277"/>
                                <a:pt x="3864" y="277"/>
                                <a:pt x="3864" y="277"/>
                              </a:cubicBezTo>
                              <a:cubicBezTo>
                                <a:pt x="3864" y="370"/>
                                <a:pt x="3864" y="370"/>
                                <a:pt x="3864" y="370"/>
                              </a:cubicBezTo>
                              <a:lnTo>
                                <a:pt x="4214" y="370"/>
                              </a:lnTo>
                              <a:close/>
                              <a:moveTo>
                                <a:pt x="4345" y="21"/>
                              </a:moveTo>
                              <a:cubicBezTo>
                                <a:pt x="4345" y="457"/>
                                <a:pt x="4345" y="457"/>
                                <a:pt x="4345" y="457"/>
                              </a:cubicBezTo>
                              <a:cubicBezTo>
                                <a:pt x="4442" y="457"/>
                                <a:pt x="4442" y="457"/>
                                <a:pt x="4442" y="457"/>
                              </a:cubicBezTo>
                              <a:cubicBezTo>
                                <a:pt x="4442" y="144"/>
                                <a:pt x="4442" y="144"/>
                                <a:pt x="4442" y="144"/>
                              </a:cubicBezTo>
                              <a:cubicBezTo>
                                <a:pt x="4753" y="457"/>
                                <a:pt x="4753" y="457"/>
                                <a:pt x="4753" y="457"/>
                              </a:cubicBezTo>
                              <a:cubicBezTo>
                                <a:pt x="4841" y="457"/>
                                <a:pt x="4841" y="457"/>
                                <a:pt x="4841" y="457"/>
                              </a:cubicBezTo>
                              <a:cubicBezTo>
                                <a:pt x="4841" y="21"/>
                                <a:pt x="4841" y="21"/>
                                <a:pt x="4841" y="21"/>
                              </a:cubicBezTo>
                              <a:cubicBezTo>
                                <a:pt x="4745" y="21"/>
                                <a:pt x="4745" y="21"/>
                                <a:pt x="4745" y="21"/>
                              </a:cubicBezTo>
                              <a:cubicBezTo>
                                <a:pt x="4745" y="319"/>
                                <a:pt x="4745" y="319"/>
                                <a:pt x="4745" y="319"/>
                              </a:cubicBezTo>
                              <a:cubicBezTo>
                                <a:pt x="4450" y="21"/>
                                <a:pt x="4450" y="21"/>
                                <a:pt x="4450" y="21"/>
                              </a:cubicBezTo>
                              <a:lnTo>
                                <a:pt x="4345" y="21"/>
                              </a:lnTo>
                              <a:close/>
                              <a:moveTo>
                                <a:pt x="196" y="283"/>
                              </a:moveTo>
                              <a:cubicBezTo>
                                <a:pt x="375" y="283"/>
                                <a:pt x="375" y="283"/>
                                <a:pt x="375" y="283"/>
                              </a:cubicBezTo>
                              <a:cubicBezTo>
                                <a:pt x="283" y="109"/>
                                <a:pt x="283" y="109"/>
                                <a:pt x="283" y="109"/>
                              </a:cubicBezTo>
                              <a:lnTo>
                                <a:pt x="196" y="283"/>
                              </a:lnTo>
                              <a:close/>
                              <a:moveTo>
                                <a:pt x="341" y="21"/>
                              </a:moveTo>
                              <a:cubicBezTo>
                                <a:pt x="572" y="457"/>
                                <a:pt x="572" y="457"/>
                                <a:pt x="572" y="457"/>
                              </a:cubicBezTo>
                              <a:cubicBezTo>
                                <a:pt x="464" y="457"/>
                                <a:pt x="464" y="457"/>
                                <a:pt x="464" y="457"/>
                              </a:cubicBezTo>
                              <a:cubicBezTo>
                                <a:pt x="418" y="365"/>
                                <a:pt x="418" y="365"/>
                                <a:pt x="418" y="365"/>
                              </a:cubicBezTo>
                              <a:cubicBezTo>
                                <a:pt x="153" y="365"/>
                                <a:pt x="153" y="365"/>
                                <a:pt x="153" y="365"/>
                              </a:cubicBezTo>
                              <a:cubicBezTo>
                                <a:pt x="107" y="457"/>
                                <a:pt x="107" y="457"/>
                                <a:pt x="107" y="457"/>
                              </a:cubicBezTo>
                              <a:cubicBezTo>
                                <a:pt x="0" y="457"/>
                                <a:pt x="0" y="457"/>
                                <a:pt x="0" y="457"/>
                              </a:cubicBezTo>
                              <a:cubicBezTo>
                                <a:pt x="231" y="21"/>
                                <a:pt x="231" y="21"/>
                                <a:pt x="231" y="21"/>
                              </a:cubicBezTo>
                              <a:lnTo>
                                <a:pt x="341" y="21"/>
                              </a:lnTo>
                              <a:close/>
                              <a:moveTo>
                                <a:pt x="2456" y="283"/>
                              </a:moveTo>
                              <a:cubicBezTo>
                                <a:pt x="2366" y="106"/>
                                <a:pt x="2366" y="106"/>
                                <a:pt x="2366" y="106"/>
                              </a:cubicBezTo>
                              <a:cubicBezTo>
                                <a:pt x="2276" y="283"/>
                                <a:pt x="2276" y="283"/>
                                <a:pt x="2276" y="283"/>
                              </a:cubicBezTo>
                              <a:lnTo>
                                <a:pt x="2456" y="283"/>
                              </a:lnTo>
                              <a:close/>
                              <a:moveTo>
                                <a:pt x="2422" y="21"/>
                              </a:moveTo>
                              <a:cubicBezTo>
                                <a:pt x="2654" y="457"/>
                                <a:pt x="2654" y="457"/>
                                <a:pt x="2654" y="457"/>
                              </a:cubicBezTo>
                              <a:cubicBezTo>
                                <a:pt x="2546" y="457"/>
                                <a:pt x="2546" y="457"/>
                                <a:pt x="2546" y="457"/>
                              </a:cubicBezTo>
                              <a:cubicBezTo>
                                <a:pt x="2499" y="365"/>
                                <a:pt x="2499" y="365"/>
                                <a:pt x="2499" y="365"/>
                              </a:cubicBezTo>
                              <a:cubicBezTo>
                                <a:pt x="2234" y="365"/>
                                <a:pt x="2234" y="365"/>
                                <a:pt x="2234" y="365"/>
                              </a:cubicBezTo>
                              <a:cubicBezTo>
                                <a:pt x="2188" y="457"/>
                                <a:pt x="2188" y="457"/>
                                <a:pt x="2188" y="457"/>
                              </a:cubicBezTo>
                              <a:cubicBezTo>
                                <a:pt x="2081" y="457"/>
                                <a:pt x="2081" y="457"/>
                                <a:pt x="2081" y="457"/>
                              </a:cubicBezTo>
                              <a:cubicBezTo>
                                <a:pt x="2312" y="21"/>
                                <a:pt x="2312" y="21"/>
                                <a:pt x="2312" y="21"/>
                              </a:cubicBezTo>
                              <a:lnTo>
                                <a:pt x="2422" y="21"/>
                              </a:lnTo>
                              <a:close/>
                              <a:moveTo>
                                <a:pt x="1015" y="325"/>
                              </a:moveTo>
                              <a:cubicBezTo>
                                <a:pt x="993" y="353"/>
                                <a:pt x="966" y="371"/>
                                <a:pt x="932" y="378"/>
                              </a:cubicBezTo>
                              <a:cubicBezTo>
                                <a:pt x="886" y="388"/>
                                <a:pt x="841" y="387"/>
                                <a:pt x="796" y="372"/>
                              </a:cubicBezTo>
                              <a:cubicBezTo>
                                <a:pt x="762" y="360"/>
                                <a:pt x="735" y="339"/>
                                <a:pt x="719" y="306"/>
                              </a:cubicBezTo>
                              <a:cubicBezTo>
                                <a:pt x="707" y="280"/>
                                <a:pt x="704" y="254"/>
                                <a:pt x="705" y="226"/>
                              </a:cubicBezTo>
                              <a:cubicBezTo>
                                <a:pt x="709" y="168"/>
                                <a:pt x="741" y="125"/>
                                <a:pt x="797" y="105"/>
                              </a:cubicBezTo>
                              <a:cubicBezTo>
                                <a:pt x="837" y="91"/>
                                <a:pt x="879" y="89"/>
                                <a:pt x="920" y="96"/>
                              </a:cubicBezTo>
                              <a:cubicBezTo>
                                <a:pt x="960" y="103"/>
                                <a:pt x="993" y="123"/>
                                <a:pt x="1016" y="156"/>
                              </a:cubicBezTo>
                              <a:cubicBezTo>
                                <a:pt x="1018" y="158"/>
                                <a:pt x="1020" y="160"/>
                                <a:pt x="1022" y="163"/>
                              </a:cubicBezTo>
                              <a:cubicBezTo>
                                <a:pt x="1052" y="148"/>
                                <a:pt x="1082" y="133"/>
                                <a:pt x="1113" y="117"/>
                              </a:cubicBezTo>
                              <a:cubicBezTo>
                                <a:pt x="1106" y="108"/>
                                <a:pt x="1100" y="99"/>
                                <a:pt x="1092" y="92"/>
                              </a:cubicBezTo>
                              <a:cubicBezTo>
                                <a:pt x="1051" y="49"/>
                                <a:pt x="1000" y="24"/>
                                <a:pt x="942" y="13"/>
                              </a:cubicBezTo>
                              <a:cubicBezTo>
                                <a:pt x="874" y="0"/>
                                <a:pt x="808" y="6"/>
                                <a:pt x="744" y="30"/>
                              </a:cubicBezTo>
                              <a:cubicBezTo>
                                <a:pt x="683" y="53"/>
                                <a:pt x="639" y="93"/>
                                <a:pt x="617" y="155"/>
                              </a:cubicBezTo>
                              <a:cubicBezTo>
                                <a:pt x="599" y="204"/>
                                <a:pt x="598" y="254"/>
                                <a:pt x="611" y="304"/>
                              </a:cubicBezTo>
                              <a:cubicBezTo>
                                <a:pt x="630" y="375"/>
                                <a:pt x="676" y="422"/>
                                <a:pt x="745" y="449"/>
                              </a:cubicBezTo>
                              <a:cubicBezTo>
                                <a:pt x="810" y="474"/>
                                <a:pt x="878" y="477"/>
                                <a:pt x="946" y="464"/>
                              </a:cubicBezTo>
                              <a:cubicBezTo>
                                <a:pt x="998" y="454"/>
                                <a:pt x="1045" y="432"/>
                                <a:pt x="1084" y="395"/>
                              </a:cubicBezTo>
                              <a:cubicBezTo>
                                <a:pt x="1095" y="384"/>
                                <a:pt x="1105" y="373"/>
                                <a:pt x="1114" y="359"/>
                              </a:cubicBezTo>
                              <a:cubicBezTo>
                                <a:pt x="1083" y="344"/>
                                <a:pt x="1054" y="329"/>
                                <a:pt x="1023" y="314"/>
                              </a:cubicBezTo>
                              <a:cubicBezTo>
                                <a:pt x="1020" y="318"/>
                                <a:pt x="1018" y="322"/>
                                <a:pt x="1015" y="325"/>
                              </a:cubicBezTo>
                              <a:moveTo>
                                <a:pt x="1582" y="371"/>
                              </a:moveTo>
                              <a:cubicBezTo>
                                <a:pt x="1582" y="21"/>
                                <a:pt x="1582" y="21"/>
                                <a:pt x="1582" y="21"/>
                              </a:cubicBezTo>
                              <a:cubicBezTo>
                                <a:pt x="1483" y="21"/>
                                <a:pt x="1483" y="21"/>
                                <a:pt x="1483" y="21"/>
                              </a:cubicBezTo>
                              <a:cubicBezTo>
                                <a:pt x="1483" y="457"/>
                                <a:pt x="1483" y="457"/>
                                <a:pt x="1483" y="457"/>
                              </a:cubicBezTo>
                              <a:cubicBezTo>
                                <a:pt x="1891" y="457"/>
                                <a:pt x="1891" y="457"/>
                                <a:pt x="1891" y="457"/>
                              </a:cubicBezTo>
                              <a:cubicBezTo>
                                <a:pt x="1891" y="371"/>
                                <a:pt x="1891" y="371"/>
                                <a:pt x="1891" y="371"/>
                              </a:cubicBezTo>
                              <a:lnTo>
                                <a:pt x="1582" y="371"/>
                              </a:lnTo>
                              <a:close/>
                              <a:moveTo>
                                <a:pt x="2845" y="370"/>
                              </a:moveTo>
                              <a:cubicBezTo>
                                <a:pt x="2845" y="21"/>
                                <a:pt x="2845" y="21"/>
                                <a:pt x="2845" y="21"/>
                              </a:cubicBezTo>
                              <a:cubicBezTo>
                                <a:pt x="2747" y="21"/>
                                <a:pt x="2747" y="21"/>
                                <a:pt x="2747" y="21"/>
                              </a:cubicBezTo>
                              <a:cubicBezTo>
                                <a:pt x="2747" y="457"/>
                                <a:pt x="2747" y="457"/>
                                <a:pt x="2747" y="457"/>
                              </a:cubicBezTo>
                              <a:cubicBezTo>
                                <a:pt x="3155" y="457"/>
                                <a:pt x="3155" y="457"/>
                                <a:pt x="3155" y="457"/>
                              </a:cubicBezTo>
                              <a:cubicBezTo>
                                <a:pt x="3155" y="370"/>
                                <a:pt x="3155" y="370"/>
                                <a:pt x="3155" y="370"/>
                              </a:cubicBezTo>
                              <a:lnTo>
                                <a:pt x="2845" y="370"/>
                              </a:lnTo>
                              <a:close/>
                              <a:moveTo>
                                <a:pt x="3350" y="370"/>
                              </a:moveTo>
                              <a:cubicBezTo>
                                <a:pt x="3350" y="21"/>
                                <a:pt x="3350" y="21"/>
                                <a:pt x="3350" y="21"/>
                              </a:cubicBezTo>
                              <a:cubicBezTo>
                                <a:pt x="3253" y="21"/>
                                <a:pt x="3253" y="21"/>
                                <a:pt x="3253" y="21"/>
                              </a:cubicBezTo>
                              <a:cubicBezTo>
                                <a:pt x="3253" y="457"/>
                                <a:pt x="3253" y="457"/>
                                <a:pt x="3253" y="457"/>
                              </a:cubicBezTo>
                              <a:cubicBezTo>
                                <a:pt x="3660" y="457"/>
                                <a:pt x="3660" y="457"/>
                                <a:pt x="3660" y="457"/>
                              </a:cubicBezTo>
                              <a:cubicBezTo>
                                <a:pt x="3660" y="370"/>
                                <a:pt x="3660" y="370"/>
                                <a:pt x="3660" y="370"/>
                              </a:cubicBezTo>
                              <a:lnTo>
                                <a:pt x="3350" y="370"/>
                              </a:lnTo>
                              <a:close/>
                              <a:moveTo>
                                <a:pt x="1233" y="457"/>
                              </a:moveTo>
                              <a:cubicBezTo>
                                <a:pt x="1335" y="457"/>
                                <a:pt x="1335" y="457"/>
                                <a:pt x="1335" y="457"/>
                              </a:cubicBezTo>
                              <a:cubicBezTo>
                                <a:pt x="1335" y="21"/>
                                <a:pt x="1335" y="21"/>
                                <a:pt x="1335" y="21"/>
                              </a:cubicBezTo>
                              <a:cubicBezTo>
                                <a:pt x="1233" y="21"/>
                                <a:pt x="1233" y="21"/>
                                <a:pt x="1233" y="21"/>
                              </a:cubicBezTo>
                              <a:lnTo>
                                <a:pt x="1233" y="457"/>
                              </a:lnTo>
                              <a:close/>
                            </a:path>
                          </a:pathLst>
                        </a:custGeom>
                        <a:solidFill>
                          <a:srgbClr val="0001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group w14:anchorId="2204F833" id="logo_AAC_TandG" o:spid="_x0000_s1026" alt="&quot;&quot;" style="position:absolute;margin-left:73.9pt;margin-top:40.3pt;width:90.4pt;height:13.15pt;z-index:251732992;mso-position-horizontal-relative:page;mso-position-vertical-relative:page;mso-width-relative:margin;mso-height-relative:margin" coordorigin=",-212" coordsize="121888,187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">
              <o:lock v:ext="edit" aspectratio="t"/>
              <v:rect id="Rectangle 4" o:spid="_x0000_s1027" style="position:absolute;top:16431;width:14398;height:2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" fillcolor="#6c3f99" stroked="f"/>
              <v:shape id="Freeform 6" o:spid="_x0000_s1028" style="position:absolute;top:-212;width:121888;height:12963;visibility:visible;mso-wrap-style:square;v-text-anchor:top" coordsize="4841,4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" path="m4214,370v,87,,87,,87c3766,457,3766,457,3766,457v,-436,,-436,,-436c4214,21,4214,21,4214,21v,83,,83,,83c3864,104,3864,104,3864,104v,89,,89,,89c4151,194,4151,194,4151,194v,83,,83,,83c3864,277,3864,277,3864,277v,93,,93,,93l4214,370xm4345,21v,436,,436,,436c4442,457,4442,457,4442,457v,-313,,-313,,-313c4753,457,4753,457,4753,457v88,,88,,88,c4841,21,4841,21,4841,21v-96,,-96,,-96,c4745,319,4745,319,4745,319,4450,21,4450,21,4450,21r-105,xm196,283v179,,179,,179,c283,109,283,109,283,109l196,283xm341,21c572,457,572,457,572,457v-108,,-108,,-108,c418,365,418,365,418,365v-265,,-265,,-265,c107,457,107,457,107,457,,457,,457,,457,231,21,231,21,231,21r110,xm2456,283c2366,106,2366,106,2366,106v-90,177,-90,177,-90,177l2456,283xm2422,21v232,436,232,436,232,436c2546,457,2546,457,2546,457v-47,-92,-47,-92,-47,-92c2234,365,2234,365,2234,365v-46,92,-46,92,-46,92c2081,457,2081,457,2081,457,2312,21,2312,21,2312,21r110,xm1015,325v-22,28,-49,46,-83,53c886,388,841,387,796,372,762,360,735,339,719,306,707,280,704,254,705,226v4,-58,36,-101,92,-121c837,91,879,89,920,96v40,7,73,27,96,60c1018,158,1020,160,1022,163v30,-15,60,-30,91,-46c1106,108,1100,99,1092,92,1051,49,1000,24,942,13,874,,808,6,744,30,683,53,639,93,617,155v-18,49,-19,99,-6,149c630,375,676,422,745,449v65,25,133,28,201,15c998,454,1045,432,1084,395v11,-11,21,-22,30,-36c1083,344,1054,329,1023,314v-3,4,-5,8,-8,11m1582,371v,-350,,-350,,-350c1483,21,1483,21,1483,21v,436,,436,,436c1891,457,1891,457,1891,457v,-86,,-86,,-86l1582,371xm2845,370v,-349,,-349,,-349c2747,21,2747,21,2747,21v,436,,436,,436c3155,457,3155,457,3155,457v,-87,,-87,,-87l2845,370xm3350,370v,-349,,-349,,-349c3253,21,3253,21,3253,21v,436,,436,,436c3660,457,3660,457,3660,457v,-87,,-87,,-87l3350,370xm1233,457v102,,102,,102,c1335,21,1335,21,1335,21v-102,,-102,,-102,l1233,457xe" fillcolor="#000100" stroked="f">
                <v:path arrowok="t" o:connecttype="custom" o:connectlocs="10610144,1241977;9482156,57071;10610144,282638;9728903,524511;10451521,752795;9728903,1005539;10939980,57071;11184210,1241977;11967256,1241977;12188825,57071;11947113,866938;10939980,57071;944187,769101;493495,769101;1440200,1241977;1052454,991951;269408,1241977;581619,57071;6183796,769101;5730586,769101;6098189,57071;6410400,1241977;5624837,991951;5239609,1241977;6098189,57071;2346619,1027280;1810321,831608;2006712,285356;2558117,423957;2802347,317968;2371798,35330;1553502,421239;1875785,1220235;2729330,1073481;2575742,853349;3983210,1008257;3733945,57071;4761220,1241977;3983210,1008257;7163232,57071;6916485,1241977;7943760,1005539;8434737,1005539;8190508,57071;9215265,1241977;8434737,1005539;3361306,1241977;3104487,57071" o:connectangles="0,0,0,0,0,0,0,0,0,0,0,0,0,0,0,0,0,0,0,0,0,0,0,0,0,0,0,0,0,0,0,0,0,0,0,0,0,0,0,0,0,0,0,0,0,0,0,0"/>
                <o:lock v:ext="edit" verticies="t"/>
              </v:shape>
              <w10:wrap anchorx="page" anchory="page"/>
              <w10:anchorlock/>
            </v:group>
          </w:pict>
        </mc:Fallback>
      </mc:AlternateConten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271D24" w14:textId="77777777" w:rsidR="00C077D5" w:rsidRPr="009F1132" w:rsidRDefault="00C077D5" w:rsidP="009F113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FA3C97" w14:textId="77777777" w:rsidR="009F1132" w:rsidRDefault="009F113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AB488A" w14:textId="77777777" w:rsidR="00592388" w:rsidRPr="0069382D" w:rsidRDefault="00592388" w:rsidP="0069382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BB0115" w14:textId="7E57B3D3" w:rsidR="00592388" w:rsidRPr="00195694" w:rsidRDefault="00592388" w:rsidP="0019569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5B3783" w14:textId="77777777" w:rsidR="00592388" w:rsidRPr="0069382D" w:rsidRDefault="00592388" w:rsidP="0069382D">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192E6E" w14:textId="77777777" w:rsidR="00592388" w:rsidRPr="0069382D" w:rsidRDefault="00592388" w:rsidP="0069382D">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F606DB" w14:textId="291239A4" w:rsidR="00592388" w:rsidRPr="0069382D" w:rsidRDefault="009A4E1F" w:rsidP="0069382D">
    <w:pPr>
      <w:pStyle w:val="Header"/>
    </w:pPr>
    <w:r w:rsidRPr="000261B1">
      <w:rPr>
        <w:noProof/>
      </w:rPr>
      <mc:AlternateContent>
        <mc:Choice Requires="wpg">
          <w:drawing>
            <wp:anchor distT="0" distB="0" distL="114300" distR="114300" simplePos="0" relativeHeight="251728896" behindDoc="0" locked="1" layoutInCell="1" allowOverlap="1" wp14:anchorId="3B3A203F" wp14:editId="157157D8">
              <wp:simplePos x="0" y="0"/>
              <wp:positionH relativeFrom="page">
                <wp:posOffset>938530</wp:posOffset>
              </wp:positionH>
              <wp:positionV relativeFrom="page">
                <wp:posOffset>511810</wp:posOffset>
              </wp:positionV>
              <wp:extent cx="1148080" cy="167005"/>
              <wp:effectExtent l="0" t="0" r="0" b="4445"/>
              <wp:wrapNone/>
              <wp:docPr id="3" name="logo_AAC_Tand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1148080" cy="167005"/>
                        <a:chOff x="0" y="-21209"/>
                        <a:chExt cx="12188825" cy="1878663"/>
                      </a:xfrm>
                    </wpg:grpSpPr>
                    <wps:wsp>
                      <wps:cNvPr id="10" name="Rectangle 4"/>
                      <wps:cNvSpPr>
                        <a:spLocks noChangeArrowheads="1"/>
                      </wps:cNvSpPr>
                      <wps:spPr bwMode="auto">
                        <a:xfrm>
                          <a:off x="0" y="1643143"/>
                          <a:ext cx="1439863" cy="214311"/>
                        </a:xfrm>
                        <a:prstGeom prst="rect">
                          <a:avLst/>
                        </a:prstGeom>
                        <a:solidFill>
                          <a:srgbClr val="6C3F99"/>
                        </a:solidFill>
                        <a:ln>
                          <a:noFill/>
                        </a:ln>
                        <a:extLs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s:wsp>
                      <wps:cNvPr id="11" name="Freeform 6"/>
                      <wps:cNvSpPr>
                        <a:spLocks noEditPoints="1"/>
                      </wps:cNvSpPr>
                      <wps:spPr bwMode="auto">
                        <a:xfrm>
                          <a:off x="0" y="-21209"/>
                          <a:ext cx="12188825" cy="1296330"/>
                        </a:xfrm>
                        <a:custGeom>
                          <a:avLst/>
                          <a:gdLst>
                            <a:gd name="T0" fmla="*/ 4214 w 4841"/>
                            <a:gd name="T1" fmla="*/ 457 h 477"/>
                            <a:gd name="T2" fmla="*/ 3766 w 4841"/>
                            <a:gd name="T3" fmla="*/ 21 h 477"/>
                            <a:gd name="T4" fmla="*/ 4214 w 4841"/>
                            <a:gd name="T5" fmla="*/ 104 h 477"/>
                            <a:gd name="T6" fmla="*/ 3864 w 4841"/>
                            <a:gd name="T7" fmla="*/ 193 h 477"/>
                            <a:gd name="T8" fmla="*/ 4151 w 4841"/>
                            <a:gd name="T9" fmla="*/ 277 h 477"/>
                            <a:gd name="T10" fmla="*/ 3864 w 4841"/>
                            <a:gd name="T11" fmla="*/ 370 h 477"/>
                            <a:gd name="T12" fmla="*/ 4345 w 4841"/>
                            <a:gd name="T13" fmla="*/ 21 h 477"/>
                            <a:gd name="T14" fmla="*/ 4442 w 4841"/>
                            <a:gd name="T15" fmla="*/ 457 h 477"/>
                            <a:gd name="T16" fmla="*/ 4753 w 4841"/>
                            <a:gd name="T17" fmla="*/ 457 h 477"/>
                            <a:gd name="T18" fmla="*/ 4841 w 4841"/>
                            <a:gd name="T19" fmla="*/ 21 h 477"/>
                            <a:gd name="T20" fmla="*/ 4745 w 4841"/>
                            <a:gd name="T21" fmla="*/ 319 h 477"/>
                            <a:gd name="T22" fmla="*/ 4345 w 4841"/>
                            <a:gd name="T23" fmla="*/ 21 h 477"/>
                            <a:gd name="T24" fmla="*/ 375 w 4841"/>
                            <a:gd name="T25" fmla="*/ 283 h 477"/>
                            <a:gd name="T26" fmla="*/ 196 w 4841"/>
                            <a:gd name="T27" fmla="*/ 283 h 477"/>
                            <a:gd name="T28" fmla="*/ 572 w 4841"/>
                            <a:gd name="T29" fmla="*/ 457 h 477"/>
                            <a:gd name="T30" fmla="*/ 418 w 4841"/>
                            <a:gd name="T31" fmla="*/ 365 h 477"/>
                            <a:gd name="T32" fmla="*/ 107 w 4841"/>
                            <a:gd name="T33" fmla="*/ 457 h 477"/>
                            <a:gd name="T34" fmla="*/ 231 w 4841"/>
                            <a:gd name="T35" fmla="*/ 21 h 477"/>
                            <a:gd name="T36" fmla="*/ 2456 w 4841"/>
                            <a:gd name="T37" fmla="*/ 283 h 477"/>
                            <a:gd name="T38" fmla="*/ 2276 w 4841"/>
                            <a:gd name="T39" fmla="*/ 283 h 477"/>
                            <a:gd name="T40" fmla="*/ 2422 w 4841"/>
                            <a:gd name="T41" fmla="*/ 21 h 477"/>
                            <a:gd name="T42" fmla="*/ 2546 w 4841"/>
                            <a:gd name="T43" fmla="*/ 457 h 477"/>
                            <a:gd name="T44" fmla="*/ 2234 w 4841"/>
                            <a:gd name="T45" fmla="*/ 365 h 477"/>
                            <a:gd name="T46" fmla="*/ 2081 w 4841"/>
                            <a:gd name="T47" fmla="*/ 457 h 477"/>
                            <a:gd name="T48" fmla="*/ 2422 w 4841"/>
                            <a:gd name="T49" fmla="*/ 21 h 477"/>
                            <a:gd name="T50" fmla="*/ 932 w 4841"/>
                            <a:gd name="T51" fmla="*/ 378 h 477"/>
                            <a:gd name="T52" fmla="*/ 719 w 4841"/>
                            <a:gd name="T53" fmla="*/ 306 h 477"/>
                            <a:gd name="T54" fmla="*/ 797 w 4841"/>
                            <a:gd name="T55" fmla="*/ 105 h 477"/>
                            <a:gd name="T56" fmla="*/ 1016 w 4841"/>
                            <a:gd name="T57" fmla="*/ 156 h 477"/>
                            <a:gd name="T58" fmla="*/ 1113 w 4841"/>
                            <a:gd name="T59" fmla="*/ 117 h 477"/>
                            <a:gd name="T60" fmla="*/ 942 w 4841"/>
                            <a:gd name="T61" fmla="*/ 13 h 477"/>
                            <a:gd name="T62" fmla="*/ 617 w 4841"/>
                            <a:gd name="T63" fmla="*/ 155 h 477"/>
                            <a:gd name="T64" fmla="*/ 745 w 4841"/>
                            <a:gd name="T65" fmla="*/ 449 h 477"/>
                            <a:gd name="T66" fmla="*/ 1084 w 4841"/>
                            <a:gd name="T67" fmla="*/ 395 h 477"/>
                            <a:gd name="T68" fmla="*/ 1023 w 4841"/>
                            <a:gd name="T69" fmla="*/ 314 h 477"/>
                            <a:gd name="T70" fmla="*/ 1582 w 4841"/>
                            <a:gd name="T71" fmla="*/ 371 h 477"/>
                            <a:gd name="T72" fmla="*/ 1483 w 4841"/>
                            <a:gd name="T73" fmla="*/ 21 h 477"/>
                            <a:gd name="T74" fmla="*/ 1891 w 4841"/>
                            <a:gd name="T75" fmla="*/ 457 h 477"/>
                            <a:gd name="T76" fmla="*/ 1582 w 4841"/>
                            <a:gd name="T77" fmla="*/ 371 h 477"/>
                            <a:gd name="T78" fmla="*/ 2845 w 4841"/>
                            <a:gd name="T79" fmla="*/ 21 h 477"/>
                            <a:gd name="T80" fmla="*/ 2747 w 4841"/>
                            <a:gd name="T81" fmla="*/ 457 h 477"/>
                            <a:gd name="T82" fmla="*/ 3155 w 4841"/>
                            <a:gd name="T83" fmla="*/ 370 h 477"/>
                            <a:gd name="T84" fmla="*/ 3350 w 4841"/>
                            <a:gd name="T85" fmla="*/ 370 h 477"/>
                            <a:gd name="T86" fmla="*/ 3253 w 4841"/>
                            <a:gd name="T87" fmla="*/ 21 h 477"/>
                            <a:gd name="T88" fmla="*/ 3660 w 4841"/>
                            <a:gd name="T89" fmla="*/ 457 h 477"/>
                            <a:gd name="T90" fmla="*/ 3350 w 4841"/>
                            <a:gd name="T91" fmla="*/ 370 h 477"/>
                            <a:gd name="T92" fmla="*/ 1335 w 4841"/>
                            <a:gd name="T93" fmla="*/ 457 h 477"/>
                            <a:gd name="T94" fmla="*/ 1233 w 4841"/>
                            <a:gd name="T95" fmla="*/ 21 h 4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4841" h="477">
                              <a:moveTo>
                                <a:pt x="4214" y="370"/>
                              </a:moveTo>
                              <a:cubicBezTo>
                                <a:pt x="4214" y="457"/>
                                <a:pt x="4214" y="457"/>
                                <a:pt x="4214" y="457"/>
                              </a:cubicBezTo>
                              <a:cubicBezTo>
                                <a:pt x="3766" y="457"/>
                                <a:pt x="3766" y="457"/>
                                <a:pt x="3766" y="457"/>
                              </a:cubicBezTo>
                              <a:cubicBezTo>
                                <a:pt x="3766" y="21"/>
                                <a:pt x="3766" y="21"/>
                                <a:pt x="3766" y="21"/>
                              </a:cubicBezTo>
                              <a:cubicBezTo>
                                <a:pt x="4214" y="21"/>
                                <a:pt x="4214" y="21"/>
                                <a:pt x="4214" y="21"/>
                              </a:cubicBezTo>
                              <a:cubicBezTo>
                                <a:pt x="4214" y="104"/>
                                <a:pt x="4214" y="104"/>
                                <a:pt x="4214" y="104"/>
                              </a:cubicBezTo>
                              <a:cubicBezTo>
                                <a:pt x="3864" y="104"/>
                                <a:pt x="3864" y="104"/>
                                <a:pt x="3864" y="104"/>
                              </a:cubicBezTo>
                              <a:cubicBezTo>
                                <a:pt x="3864" y="193"/>
                                <a:pt x="3864" y="193"/>
                                <a:pt x="3864" y="193"/>
                              </a:cubicBezTo>
                              <a:cubicBezTo>
                                <a:pt x="4151" y="194"/>
                                <a:pt x="4151" y="194"/>
                                <a:pt x="4151" y="194"/>
                              </a:cubicBezTo>
                              <a:cubicBezTo>
                                <a:pt x="4151" y="277"/>
                                <a:pt x="4151" y="277"/>
                                <a:pt x="4151" y="277"/>
                              </a:cubicBezTo>
                              <a:cubicBezTo>
                                <a:pt x="3864" y="277"/>
                                <a:pt x="3864" y="277"/>
                                <a:pt x="3864" y="277"/>
                              </a:cubicBezTo>
                              <a:cubicBezTo>
                                <a:pt x="3864" y="370"/>
                                <a:pt x="3864" y="370"/>
                                <a:pt x="3864" y="370"/>
                              </a:cubicBezTo>
                              <a:lnTo>
                                <a:pt x="4214" y="370"/>
                              </a:lnTo>
                              <a:close/>
                              <a:moveTo>
                                <a:pt x="4345" y="21"/>
                              </a:moveTo>
                              <a:cubicBezTo>
                                <a:pt x="4345" y="457"/>
                                <a:pt x="4345" y="457"/>
                                <a:pt x="4345" y="457"/>
                              </a:cubicBezTo>
                              <a:cubicBezTo>
                                <a:pt x="4442" y="457"/>
                                <a:pt x="4442" y="457"/>
                                <a:pt x="4442" y="457"/>
                              </a:cubicBezTo>
                              <a:cubicBezTo>
                                <a:pt x="4442" y="144"/>
                                <a:pt x="4442" y="144"/>
                                <a:pt x="4442" y="144"/>
                              </a:cubicBezTo>
                              <a:cubicBezTo>
                                <a:pt x="4753" y="457"/>
                                <a:pt x="4753" y="457"/>
                                <a:pt x="4753" y="457"/>
                              </a:cubicBezTo>
                              <a:cubicBezTo>
                                <a:pt x="4841" y="457"/>
                                <a:pt x="4841" y="457"/>
                                <a:pt x="4841" y="457"/>
                              </a:cubicBezTo>
                              <a:cubicBezTo>
                                <a:pt x="4841" y="21"/>
                                <a:pt x="4841" y="21"/>
                                <a:pt x="4841" y="21"/>
                              </a:cubicBezTo>
                              <a:cubicBezTo>
                                <a:pt x="4745" y="21"/>
                                <a:pt x="4745" y="21"/>
                                <a:pt x="4745" y="21"/>
                              </a:cubicBezTo>
                              <a:cubicBezTo>
                                <a:pt x="4745" y="319"/>
                                <a:pt x="4745" y="319"/>
                                <a:pt x="4745" y="319"/>
                              </a:cubicBezTo>
                              <a:cubicBezTo>
                                <a:pt x="4450" y="21"/>
                                <a:pt x="4450" y="21"/>
                                <a:pt x="4450" y="21"/>
                              </a:cubicBezTo>
                              <a:lnTo>
                                <a:pt x="4345" y="21"/>
                              </a:lnTo>
                              <a:close/>
                              <a:moveTo>
                                <a:pt x="196" y="283"/>
                              </a:moveTo>
                              <a:cubicBezTo>
                                <a:pt x="375" y="283"/>
                                <a:pt x="375" y="283"/>
                                <a:pt x="375" y="283"/>
                              </a:cubicBezTo>
                              <a:cubicBezTo>
                                <a:pt x="283" y="109"/>
                                <a:pt x="283" y="109"/>
                                <a:pt x="283" y="109"/>
                              </a:cubicBezTo>
                              <a:lnTo>
                                <a:pt x="196" y="283"/>
                              </a:lnTo>
                              <a:close/>
                              <a:moveTo>
                                <a:pt x="341" y="21"/>
                              </a:moveTo>
                              <a:cubicBezTo>
                                <a:pt x="572" y="457"/>
                                <a:pt x="572" y="457"/>
                                <a:pt x="572" y="457"/>
                              </a:cubicBezTo>
                              <a:cubicBezTo>
                                <a:pt x="464" y="457"/>
                                <a:pt x="464" y="457"/>
                                <a:pt x="464" y="457"/>
                              </a:cubicBezTo>
                              <a:cubicBezTo>
                                <a:pt x="418" y="365"/>
                                <a:pt x="418" y="365"/>
                                <a:pt x="418" y="365"/>
                              </a:cubicBezTo>
                              <a:cubicBezTo>
                                <a:pt x="153" y="365"/>
                                <a:pt x="153" y="365"/>
                                <a:pt x="153" y="365"/>
                              </a:cubicBezTo>
                              <a:cubicBezTo>
                                <a:pt x="107" y="457"/>
                                <a:pt x="107" y="457"/>
                                <a:pt x="107" y="457"/>
                              </a:cubicBezTo>
                              <a:cubicBezTo>
                                <a:pt x="0" y="457"/>
                                <a:pt x="0" y="457"/>
                                <a:pt x="0" y="457"/>
                              </a:cubicBezTo>
                              <a:cubicBezTo>
                                <a:pt x="231" y="21"/>
                                <a:pt x="231" y="21"/>
                                <a:pt x="231" y="21"/>
                              </a:cubicBezTo>
                              <a:lnTo>
                                <a:pt x="341" y="21"/>
                              </a:lnTo>
                              <a:close/>
                              <a:moveTo>
                                <a:pt x="2456" y="283"/>
                              </a:moveTo>
                              <a:cubicBezTo>
                                <a:pt x="2366" y="106"/>
                                <a:pt x="2366" y="106"/>
                                <a:pt x="2366" y="106"/>
                              </a:cubicBezTo>
                              <a:cubicBezTo>
                                <a:pt x="2276" y="283"/>
                                <a:pt x="2276" y="283"/>
                                <a:pt x="2276" y="283"/>
                              </a:cubicBezTo>
                              <a:lnTo>
                                <a:pt x="2456" y="283"/>
                              </a:lnTo>
                              <a:close/>
                              <a:moveTo>
                                <a:pt x="2422" y="21"/>
                              </a:moveTo>
                              <a:cubicBezTo>
                                <a:pt x="2654" y="457"/>
                                <a:pt x="2654" y="457"/>
                                <a:pt x="2654" y="457"/>
                              </a:cubicBezTo>
                              <a:cubicBezTo>
                                <a:pt x="2546" y="457"/>
                                <a:pt x="2546" y="457"/>
                                <a:pt x="2546" y="457"/>
                              </a:cubicBezTo>
                              <a:cubicBezTo>
                                <a:pt x="2499" y="365"/>
                                <a:pt x="2499" y="365"/>
                                <a:pt x="2499" y="365"/>
                              </a:cubicBezTo>
                              <a:cubicBezTo>
                                <a:pt x="2234" y="365"/>
                                <a:pt x="2234" y="365"/>
                                <a:pt x="2234" y="365"/>
                              </a:cubicBezTo>
                              <a:cubicBezTo>
                                <a:pt x="2188" y="457"/>
                                <a:pt x="2188" y="457"/>
                                <a:pt x="2188" y="457"/>
                              </a:cubicBezTo>
                              <a:cubicBezTo>
                                <a:pt x="2081" y="457"/>
                                <a:pt x="2081" y="457"/>
                                <a:pt x="2081" y="457"/>
                              </a:cubicBezTo>
                              <a:cubicBezTo>
                                <a:pt x="2312" y="21"/>
                                <a:pt x="2312" y="21"/>
                                <a:pt x="2312" y="21"/>
                              </a:cubicBezTo>
                              <a:lnTo>
                                <a:pt x="2422" y="21"/>
                              </a:lnTo>
                              <a:close/>
                              <a:moveTo>
                                <a:pt x="1015" y="325"/>
                              </a:moveTo>
                              <a:cubicBezTo>
                                <a:pt x="993" y="353"/>
                                <a:pt x="966" y="371"/>
                                <a:pt x="932" y="378"/>
                              </a:cubicBezTo>
                              <a:cubicBezTo>
                                <a:pt x="886" y="388"/>
                                <a:pt x="841" y="387"/>
                                <a:pt x="796" y="372"/>
                              </a:cubicBezTo>
                              <a:cubicBezTo>
                                <a:pt x="762" y="360"/>
                                <a:pt x="735" y="339"/>
                                <a:pt x="719" y="306"/>
                              </a:cubicBezTo>
                              <a:cubicBezTo>
                                <a:pt x="707" y="280"/>
                                <a:pt x="704" y="254"/>
                                <a:pt x="705" y="226"/>
                              </a:cubicBezTo>
                              <a:cubicBezTo>
                                <a:pt x="709" y="168"/>
                                <a:pt x="741" y="125"/>
                                <a:pt x="797" y="105"/>
                              </a:cubicBezTo>
                              <a:cubicBezTo>
                                <a:pt x="837" y="91"/>
                                <a:pt x="879" y="89"/>
                                <a:pt x="920" y="96"/>
                              </a:cubicBezTo>
                              <a:cubicBezTo>
                                <a:pt x="960" y="103"/>
                                <a:pt x="993" y="123"/>
                                <a:pt x="1016" y="156"/>
                              </a:cubicBezTo>
                              <a:cubicBezTo>
                                <a:pt x="1018" y="158"/>
                                <a:pt x="1020" y="160"/>
                                <a:pt x="1022" y="163"/>
                              </a:cubicBezTo>
                              <a:cubicBezTo>
                                <a:pt x="1052" y="148"/>
                                <a:pt x="1082" y="133"/>
                                <a:pt x="1113" y="117"/>
                              </a:cubicBezTo>
                              <a:cubicBezTo>
                                <a:pt x="1106" y="108"/>
                                <a:pt x="1100" y="99"/>
                                <a:pt x="1092" y="92"/>
                              </a:cubicBezTo>
                              <a:cubicBezTo>
                                <a:pt x="1051" y="49"/>
                                <a:pt x="1000" y="24"/>
                                <a:pt x="942" y="13"/>
                              </a:cubicBezTo>
                              <a:cubicBezTo>
                                <a:pt x="874" y="0"/>
                                <a:pt x="808" y="6"/>
                                <a:pt x="744" y="30"/>
                              </a:cubicBezTo>
                              <a:cubicBezTo>
                                <a:pt x="683" y="53"/>
                                <a:pt x="639" y="93"/>
                                <a:pt x="617" y="155"/>
                              </a:cubicBezTo>
                              <a:cubicBezTo>
                                <a:pt x="599" y="204"/>
                                <a:pt x="598" y="254"/>
                                <a:pt x="611" y="304"/>
                              </a:cubicBezTo>
                              <a:cubicBezTo>
                                <a:pt x="630" y="375"/>
                                <a:pt x="676" y="422"/>
                                <a:pt x="745" y="449"/>
                              </a:cubicBezTo>
                              <a:cubicBezTo>
                                <a:pt x="810" y="474"/>
                                <a:pt x="878" y="477"/>
                                <a:pt x="946" y="464"/>
                              </a:cubicBezTo>
                              <a:cubicBezTo>
                                <a:pt x="998" y="454"/>
                                <a:pt x="1045" y="432"/>
                                <a:pt x="1084" y="395"/>
                              </a:cubicBezTo>
                              <a:cubicBezTo>
                                <a:pt x="1095" y="384"/>
                                <a:pt x="1105" y="373"/>
                                <a:pt x="1114" y="359"/>
                              </a:cubicBezTo>
                              <a:cubicBezTo>
                                <a:pt x="1083" y="344"/>
                                <a:pt x="1054" y="329"/>
                                <a:pt x="1023" y="314"/>
                              </a:cubicBezTo>
                              <a:cubicBezTo>
                                <a:pt x="1020" y="318"/>
                                <a:pt x="1018" y="322"/>
                                <a:pt x="1015" y="325"/>
                              </a:cubicBezTo>
                              <a:moveTo>
                                <a:pt x="1582" y="371"/>
                              </a:moveTo>
                              <a:cubicBezTo>
                                <a:pt x="1582" y="21"/>
                                <a:pt x="1582" y="21"/>
                                <a:pt x="1582" y="21"/>
                              </a:cubicBezTo>
                              <a:cubicBezTo>
                                <a:pt x="1483" y="21"/>
                                <a:pt x="1483" y="21"/>
                                <a:pt x="1483" y="21"/>
                              </a:cubicBezTo>
                              <a:cubicBezTo>
                                <a:pt x="1483" y="457"/>
                                <a:pt x="1483" y="457"/>
                                <a:pt x="1483" y="457"/>
                              </a:cubicBezTo>
                              <a:cubicBezTo>
                                <a:pt x="1891" y="457"/>
                                <a:pt x="1891" y="457"/>
                                <a:pt x="1891" y="457"/>
                              </a:cubicBezTo>
                              <a:cubicBezTo>
                                <a:pt x="1891" y="371"/>
                                <a:pt x="1891" y="371"/>
                                <a:pt x="1891" y="371"/>
                              </a:cubicBezTo>
                              <a:lnTo>
                                <a:pt x="1582" y="371"/>
                              </a:lnTo>
                              <a:close/>
                              <a:moveTo>
                                <a:pt x="2845" y="370"/>
                              </a:moveTo>
                              <a:cubicBezTo>
                                <a:pt x="2845" y="21"/>
                                <a:pt x="2845" y="21"/>
                                <a:pt x="2845" y="21"/>
                              </a:cubicBezTo>
                              <a:cubicBezTo>
                                <a:pt x="2747" y="21"/>
                                <a:pt x="2747" y="21"/>
                                <a:pt x="2747" y="21"/>
                              </a:cubicBezTo>
                              <a:cubicBezTo>
                                <a:pt x="2747" y="457"/>
                                <a:pt x="2747" y="457"/>
                                <a:pt x="2747" y="457"/>
                              </a:cubicBezTo>
                              <a:cubicBezTo>
                                <a:pt x="3155" y="457"/>
                                <a:pt x="3155" y="457"/>
                                <a:pt x="3155" y="457"/>
                              </a:cubicBezTo>
                              <a:cubicBezTo>
                                <a:pt x="3155" y="370"/>
                                <a:pt x="3155" y="370"/>
                                <a:pt x="3155" y="370"/>
                              </a:cubicBezTo>
                              <a:lnTo>
                                <a:pt x="2845" y="370"/>
                              </a:lnTo>
                              <a:close/>
                              <a:moveTo>
                                <a:pt x="3350" y="370"/>
                              </a:moveTo>
                              <a:cubicBezTo>
                                <a:pt x="3350" y="21"/>
                                <a:pt x="3350" y="21"/>
                                <a:pt x="3350" y="21"/>
                              </a:cubicBezTo>
                              <a:cubicBezTo>
                                <a:pt x="3253" y="21"/>
                                <a:pt x="3253" y="21"/>
                                <a:pt x="3253" y="21"/>
                              </a:cubicBezTo>
                              <a:cubicBezTo>
                                <a:pt x="3253" y="457"/>
                                <a:pt x="3253" y="457"/>
                                <a:pt x="3253" y="457"/>
                              </a:cubicBezTo>
                              <a:cubicBezTo>
                                <a:pt x="3660" y="457"/>
                                <a:pt x="3660" y="457"/>
                                <a:pt x="3660" y="457"/>
                              </a:cubicBezTo>
                              <a:cubicBezTo>
                                <a:pt x="3660" y="370"/>
                                <a:pt x="3660" y="370"/>
                                <a:pt x="3660" y="370"/>
                              </a:cubicBezTo>
                              <a:lnTo>
                                <a:pt x="3350" y="370"/>
                              </a:lnTo>
                              <a:close/>
                              <a:moveTo>
                                <a:pt x="1233" y="457"/>
                              </a:moveTo>
                              <a:cubicBezTo>
                                <a:pt x="1335" y="457"/>
                                <a:pt x="1335" y="457"/>
                                <a:pt x="1335" y="457"/>
                              </a:cubicBezTo>
                              <a:cubicBezTo>
                                <a:pt x="1335" y="21"/>
                                <a:pt x="1335" y="21"/>
                                <a:pt x="1335" y="21"/>
                              </a:cubicBezTo>
                              <a:cubicBezTo>
                                <a:pt x="1233" y="21"/>
                                <a:pt x="1233" y="21"/>
                                <a:pt x="1233" y="21"/>
                              </a:cubicBezTo>
                              <a:lnTo>
                                <a:pt x="1233" y="457"/>
                              </a:lnTo>
                              <a:close/>
                            </a:path>
                          </a:pathLst>
                        </a:custGeom>
                        <a:solidFill>
                          <a:srgbClr val="0001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group w14:anchorId="4A1E4A7A" id="logo_AAC_TandG" o:spid="_x0000_s1026" alt="&quot;&quot;" style="position:absolute;margin-left:73.9pt;margin-top:40.3pt;width:90.4pt;height:13.15pt;z-index:251728896;mso-position-horizontal-relative:page;mso-position-vertical-relative:page;mso-width-relative:margin;mso-height-relative:margin" coordorigin=",-212" coordsize="121888,187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">
              <o:lock v:ext="edit" aspectratio="t"/>
              <v:rect id="Rectangle 4" o:spid="_x0000_s1027" style="position:absolute;top:16431;width:14398;height:2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" fillcolor="#6c3f99" stroked="f"/>
              <v:shape id="Freeform 6" o:spid="_x0000_s1028" style="position:absolute;top:-212;width:121888;height:12963;visibility:visible;mso-wrap-style:square;v-text-anchor:top" coordsize="4841,4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" path="m4214,370v,87,,87,,87c3766,457,3766,457,3766,457v,-436,,-436,,-436c4214,21,4214,21,4214,21v,83,,83,,83c3864,104,3864,104,3864,104v,89,,89,,89c4151,194,4151,194,4151,194v,83,,83,,83c3864,277,3864,277,3864,277v,93,,93,,93l4214,370xm4345,21v,436,,436,,436c4442,457,4442,457,4442,457v,-313,,-313,,-313c4753,457,4753,457,4753,457v88,,88,,88,c4841,21,4841,21,4841,21v-96,,-96,,-96,c4745,319,4745,319,4745,319,4450,21,4450,21,4450,21r-105,xm196,283v179,,179,,179,c283,109,283,109,283,109l196,283xm341,21c572,457,572,457,572,457v-108,,-108,,-108,c418,365,418,365,418,365v-265,,-265,,-265,c107,457,107,457,107,457,,457,,457,,457,231,21,231,21,231,21r110,xm2456,283c2366,106,2366,106,2366,106v-90,177,-90,177,-90,177l2456,283xm2422,21v232,436,232,436,232,436c2546,457,2546,457,2546,457v-47,-92,-47,-92,-47,-92c2234,365,2234,365,2234,365v-46,92,-46,92,-46,92c2081,457,2081,457,2081,457,2312,21,2312,21,2312,21r110,xm1015,325v-22,28,-49,46,-83,53c886,388,841,387,796,372,762,360,735,339,719,306,707,280,704,254,705,226v4,-58,36,-101,92,-121c837,91,879,89,920,96v40,7,73,27,96,60c1018,158,1020,160,1022,163v30,-15,60,-30,91,-46c1106,108,1100,99,1092,92,1051,49,1000,24,942,13,874,,808,6,744,30,683,53,639,93,617,155v-18,49,-19,99,-6,149c630,375,676,422,745,449v65,25,133,28,201,15c998,454,1045,432,1084,395v11,-11,21,-22,30,-36c1083,344,1054,329,1023,314v-3,4,-5,8,-8,11m1582,371v,-350,,-350,,-350c1483,21,1483,21,1483,21v,436,,436,,436c1891,457,1891,457,1891,457v,-86,,-86,,-86l1582,371xm2845,370v,-349,,-349,,-349c2747,21,2747,21,2747,21v,436,,436,,436c3155,457,3155,457,3155,457v,-87,,-87,,-87l2845,370xm3350,370v,-349,,-349,,-349c3253,21,3253,21,3253,21v,436,,436,,436c3660,457,3660,457,3660,457v,-87,,-87,,-87l3350,370xm1233,457v102,,102,,102,c1335,21,1335,21,1335,21v-102,,-102,,-102,l1233,457xe" fillcolor="#000100" stroked="f">
                <v:path arrowok="t" o:connecttype="custom" o:connectlocs="10610144,1241977;9482156,57071;10610144,282638;9728903,524511;10451521,752795;9728903,1005539;10939980,57071;11184210,1241977;11967256,1241977;12188825,57071;11947113,866938;10939980,57071;944187,769101;493495,769101;1440200,1241977;1052454,991951;269408,1241977;581619,57071;6183796,769101;5730586,769101;6098189,57071;6410400,1241977;5624837,991951;5239609,1241977;6098189,57071;2346619,1027280;1810321,831608;2006712,285356;2558117,423957;2802347,317968;2371798,35330;1553502,421239;1875785,1220235;2729330,1073481;2575742,853349;3983210,1008257;3733945,57071;4761220,1241977;3983210,1008257;7163232,57071;6916485,1241977;7943760,1005539;8434737,1005539;8190508,57071;9215265,1241977;8434737,1005539;3361306,1241977;3104487,57071" o:connectangles="0,0,0,0,0,0,0,0,0,0,0,0,0,0,0,0,0,0,0,0,0,0,0,0,0,0,0,0,0,0,0,0,0,0,0,0,0,0,0,0,0,0,0,0,0,0,0,0"/>
                <o:lock v:ext="edit" verticies="t"/>
              </v:shape>
              <w10:wrap anchorx="page" anchory="page"/>
              <w10:anchorlock/>
            </v:group>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E4B54A" w14:textId="77777777" w:rsidR="00592388" w:rsidRPr="0069382D" w:rsidRDefault="00592388" w:rsidP="006938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3650FFC"/>
    <w:multiLevelType w:val="hybridMultilevel"/>
    <w:tmpl w:val="1391CC9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7C"/>
    <w:multiLevelType w:val="singleLevel"/>
    <w:tmpl w:val="B666E3A0"/>
    <w:lvl w:ilvl="0">
      <w:start w:val="1"/>
      <w:numFmt w:val="decimal"/>
      <w:pStyle w:val="ListNumber5"/>
      <w:lvlText w:val="%1."/>
      <w:lvlJc w:val="left"/>
      <w:pPr>
        <w:tabs>
          <w:tab w:val="num" w:pos="1492"/>
        </w:tabs>
        <w:ind w:left="1492" w:hanging="360"/>
      </w:pPr>
    </w:lvl>
  </w:abstractNum>
  <w:abstractNum w:abstractNumId="2" w15:restartNumberingAfterBreak="0">
    <w:nsid w:val="FFFFFF7D"/>
    <w:multiLevelType w:val="singleLevel"/>
    <w:tmpl w:val="6DD8699E"/>
    <w:lvl w:ilvl="0">
      <w:start w:val="1"/>
      <w:numFmt w:val="decimal"/>
      <w:pStyle w:val="ListNumber4"/>
      <w:lvlText w:val="%1."/>
      <w:lvlJc w:val="left"/>
      <w:pPr>
        <w:tabs>
          <w:tab w:val="num" w:pos="1209"/>
        </w:tabs>
        <w:ind w:left="1209" w:hanging="360"/>
      </w:pPr>
    </w:lvl>
  </w:abstractNum>
  <w:abstractNum w:abstractNumId="3" w15:restartNumberingAfterBreak="0">
    <w:nsid w:val="FFFFFF80"/>
    <w:multiLevelType w:val="singleLevel"/>
    <w:tmpl w:val="AA04D6F2"/>
    <w:lvl w:ilvl="0">
      <w:start w:val="1"/>
      <w:numFmt w:val="bullet"/>
      <w:pStyle w:val="ListBullet5"/>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A0E27DFA"/>
    <w:lvl w:ilvl="0">
      <w:start w:val="1"/>
      <w:numFmt w:val="bullet"/>
      <w:pStyle w:val="ListBullet4"/>
      <w:lvlText w:val=""/>
      <w:lvlJc w:val="left"/>
      <w:pPr>
        <w:tabs>
          <w:tab w:val="num" w:pos="1209"/>
        </w:tabs>
        <w:ind w:left="1209" w:hanging="360"/>
      </w:pPr>
      <w:rPr>
        <w:rFonts w:ascii="Symbol" w:hAnsi="Symbol" w:hint="default"/>
      </w:rPr>
    </w:lvl>
  </w:abstractNum>
  <w:abstractNum w:abstractNumId="5" w15:restartNumberingAfterBreak="0">
    <w:nsid w:val="FFFFFF89"/>
    <w:multiLevelType w:val="singleLevel"/>
    <w:tmpl w:val="FE6E5DF2"/>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5177354"/>
    <w:multiLevelType w:val="multilevel"/>
    <w:tmpl w:val="5DA053E4"/>
    <w:styleLink w:val="aaclstStyleAppendices"/>
    <w:lvl w:ilvl="0">
      <w:start w:val="1"/>
      <w:numFmt w:val="upperLetter"/>
      <w:pStyle w:val="Heading9"/>
      <w:lvlText w:val="%1"/>
      <w:lvlJc w:val="right"/>
      <w:pPr>
        <w:ind w:left="0" w:hanging="136"/>
      </w:pPr>
      <w:rPr>
        <w:rFonts w:ascii="Yu Gothic Medium" w:eastAsia="Yu Gothic Medium" w:hAnsi="Yu Gothic Medium" w:hint="eastAsia"/>
      </w:rPr>
    </w:lvl>
    <w:lvl w:ilvl="1">
      <w:start w:val="1"/>
      <w:numFmt w:val="none"/>
      <w:lvlText w:val=""/>
      <w:lvlJc w:val="right"/>
      <w:pPr>
        <w:ind w:left="0" w:hanging="136"/>
      </w:pPr>
      <w:rPr>
        <w:rFonts w:ascii="Arial Narrow" w:hAnsi="Arial Narrow" w:hint="default"/>
      </w:rPr>
    </w:lvl>
    <w:lvl w:ilvl="2">
      <w:start w:val="1"/>
      <w:numFmt w:val="none"/>
      <w:lvlText w:val=""/>
      <w:lvlJc w:val="left"/>
      <w:pPr>
        <w:ind w:left="320" w:hanging="320"/>
      </w:pPr>
      <w:rPr>
        <w:rFonts w:ascii="Arial Narrow" w:hAnsi="Arial Narrow"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7" w15:restartNumberingAfterBreak="0">
    <w:nsid w:val="06D55B15"/>
    <w:multiLevelType w:val="multilevel"/>
    <w:tmpl w:val="C1127ADE"/>
    <w:styleLink w:val="aaHeadingnonumberList"/>
    <w:lvl w:ilvl="0">
      <w:start w:val="1"/>
      <w:numFmt w:val="none"/>
      <w:suff w:val="nothing"/>
      <w:lvlText w:val="%1"/>
      <w:lvlJc w:val="left"/>
      <w:pPr>
        <w:ind w:left="0" w:firstLine="0"/>
      </w:pPr>
      <w:rPr>
        <w:rFonts w:hint="default"/>
      </w:rPr>
    </w:lvl>
    <w:lvl w:ilvl="1">
      <w:start w:val="1"/>
      <w:numFmt w:val="none"/>
      <w:suff w:val="nothing"/>
      <w:lvlText w:val="%2"/>
      <w:lvlJc w:val="left"/>
      <w:pPr>
        <w:ind w:left="0" w:firstLine="0"/>
      </w:pPr>
      <w:rPr>
        <w:rFonts w:hint="default"/>
      </w:rPr>
    </w:lvl>
    <w:lvl w:ilvl="2">
      <w:start w:val="1"/>
      <w:numFmt w:val="none"/>
      <w:suff w:val="nothing"/>
      <w:lvlText w:val="%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8" w15:restartNumberingAfterBreak="0">
    <w:nsid w:val="0A871EDD"/>
    <w:multiLevelType w:val="hybridMultilevel"/>
    <w:tmpl w:val="D9122D9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9" w15:restartNumberingAfterBreak="0">
    <w:nsid w:val="0C4D1EE8"/>
    <w:multiLevelType w:val="singleLevel"/>
    <w:tmpl w:val="8BD882D8"/>
    <w:lvl w:ilvl="0">
      <w:start w:val="1"/>
      <w:numFmt w:val="decimal"/>
      <w:lvlText w:val="%1.2.1"/>
      <w:lvlJc w:val="left"/>
      <w:pPr>
        <w:ind w:left="280" w:hanging="280"/>
      </w:pPr>
      <w:rPr>
        <w:rFonts w:hint="default"/>
      </w:rPr>
    </w:lvl>
  </w:abstractNum>
  <w:abstractNum w:abstractNumId="10" w15:restartNumberingAfterBreak="0">
    <w:nsid w:val="12E04B43"/>
    <w:multiLevelType w:val="multilevel"/>
    <w:tmpl w:val="298403DA"/>
    <w:lvl w:ilvl="0">
      <w:start w:val="1"/>
      <w:numFmt w:val="none"/>
      <w:lvlText w:val="%1"/>
      <w:lvlJc w:val="left"/>
      <w:pPr>
        <w:ind w:left="0" w:firstLine="0"/>
      </w:pPr>
      <w:rPr>
        <w:rFonts w:ascii="Yu Gothic Medium" w:hAnsi="Yu Gothic Medium" w:hint="default"/>
        <w:sz w:val="20"/>
      </w:rPr>
    </w:lvl>
    <w:lvl w:ilvl="1">
      <w:start w:val="1"/>
      <w:numFmt w:val="none"/>
      <w:suff w:val="nothing"/>
      <w:lvlText w:val="%2"/>
      <w:lvlJc w:val="right"/>
      <w:pPr>
        <w:ind w:left="567" w:hanging="567"/>
      </w:pPr>
      <w:rPr>
        <w:rFonts w:hint="default"/>
      </w:rPr>
    </w:lvl>
    <w:lvl w:ilvl="2">
      <w:start w:val="1"/>
      <w:numFmt w:val="none"/>
      <w:suff w:val="nothing"/>
      <w:lvlText w:val="%3"/>
      <w:lvlJc w:val="right"/>
      <w:pPr>
        <w:ind w:left="1134" w:hanging="567"/>
      </w:pPr>
      <w:rPr>
        <w:rFonts w:hint="default"/>
      </w:rPr>
    </w:lvl>
    <w:lvl w:ilvl="3">
      <w:start w:val="1"/>
      <w:numFmt w:val="none"/>
      <w:lvlText w:val=""/>
      <w:lvlJc w:val="left"/>
      <w:pPr>
        <w:ind w:left="1701" w:hanging="567"/>
      </w:pPr>
      <w:rPr>
        <w:rFonts w:hint="default"/>
      </w:rPr>
    </w:lvl>
    <w:lvl w:ilvl="4">
      <w:start w:val="1"/>
      <w:numFmt w:val="lowerLetter"/>
      <w:lvlText w:val="(%5)"/>
      <w:lvlJc w:val="left"/>
      <w:pPr>
        <w:ind w:left="336" w:hanging="336"/>
      </w:pPr>
      <w:rPr>
        <w:rFonts w:hint="default"/>
      </w:rPr>
    </w:lvl>
    <w:lvl w:ilvl="5">
      <w:start w:val="1"/>
      <w:numFmt w:val="none"/>
      <w:pStyle w:val="TOC6"/>
      <w:lvlText w:val=""/>
      <w:lvlJc w:val="left"/>
      <w:pPr>
        <w:ind w:left="336" w:hanging="336"/>
      </w:pPr>
      <w:rPr>
        <w:rFonts w:hint="default"/>
      </w:rPr>
    </w:lvl>
    <w:lvl w:ilvl="6">
      <w:start w:val="1"/>
      <w:numFmt w:val="none"/>
      <w:pStyle w:val="TOC7"/>
      <w:lvlText w:val="%7"/>
      <w:lvlJc w:val="left"/>
      <w:pPr>
        <w:ind w:left="0" w:firstLine="0"/>
      </w:pPr>
      <w:rPr>
        <w:rFonts w:hint="default"/>
        <w:color w:val="FFFEFF"/>
      </w:rPr>
    </w:lvl>
    <w:lvl w:ilvl="7">
      <w:start w:val="1"/>
      <w:numFmt w:val="lowerLetter"/>
      <w:lvlText w:val="%8."/>
      <w:lvlJc w:val="left"/>
      <w:pPr>
        <w:ind w:left="336" w:hanging="336"/>
      </w:pPr>
      <w:rPr>
        <w:rFonts w:hint="default"/>
      </w:rPr>
    </w:lvl>
    <w:lvl w:ilvl="8">
      <w:start w:val="1"/>
      <w:numFmt w:val="lowerRoman"/>
      <w:lvlText w:val="%9."/>
      <w:lvlJc w:val="left"/>
      <w:pPr>
        <w:ind w:left="336" w:hanging="336"/>
      </w:pPr>
      <w:rPr>
        <w:rFonts w:hint="default"/>
      </w:rPr>
    </w:lvl>
  </w:abstractNum>
  <w:abstractNum w:abstractNumId="11" w15:restartNumberingAfterBreak="0">
    <w:nsid w:val="132B14F7"/>
    <w:multiLevelType w:val="multilevel"/>
    <w:tmpl w:val="4D96EFB6"/>
    <w:styleLink w:val="aacTableListBulletssmall"/>
    <w:lvl w:ilvl="0">
      <w:start w:val="1"/>
      <w:numFmt w:val="bullet"/>
      <w:pStyle w:val="Tablelistbulletsmall"/>
      <w:lvlText w:val="–"/>
      <w:lvlJc w:val="left"/>
      <w:pPr>
        <w:ind w:left="278" w:hanging="278"/>
      </w:pPr>
      <w:rPr>
        <w:rFonts w:ascii="Arial Narrow" w:hAnsi="Arial Narrow" w:hint="default"/>
      </w:rPr>
    </w:lvl>
    <w:lvl w:ilvl="1">
      <w:start w:val="1"/>
      <w:numFmt w:val="bullet"/>
      <w:pStyle w:val="Tablelistbullet2small"/>
      <w:lvlText w:val="–"/>
      <w:lvlJc w:val="left"/>
      <w:pPr>
        <w:tabs>
          <w:tab w:val="num" w:pos="278"/>
        </w:tabs>
        <w:ind w:left="522" w:hanging="244"/>
      </w:pPr>
      <w:rPr>
        <w:rFonts w:ascii="Arial Narrow" w:hAnsi="Arial Narrow" w:hint="default"/>
      </w:rPr>
    </w:lvl>
    <w:lvl w:ilvl="2">
      <w:start w:val="1"/>
      <w:numFmt w:val="bullet"/>
      <w:pStyle w:val="Tablelistbullet3small"/>
      <w:lvlText w:val="–"/>
      <w:lvlJc w:val="left"/>
      <w:pPr>
        <w:ind w:left="760" w:hanging="238"/>
      </w:pPr>
      <w:rPr>
        <w:rFonts w:ascii="Arial Narrow" w:hAnsi="Arial Narrow"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2" w15:restartNumberingAfterBreak="0">
    <w:nsid w:val="168E676F"/>
    <w:multiLevelType w:val="multilevel"/>
    <w:tmpl w:val="E938B7C8"/>
    <w:styleLink w:val="aacTableListNumberssmall"/>
    <w:lvl w:ilvl="0">
      <w:start w:val="1"/>
      <w:numFmt w:val="decimal"/>
      <w:pStyle w:val="Tablelistnumbersmall"/>
      <w:lvlText w:val="%1."/>
      <w:lvlJc w:val="left"/>
      <w:pPr>
        <w:ind w:left="340" w:hanging="340"/>
      </w:pPr>
      <w:rPr>
        <w:rFonts w:hint="default"/>
      </w:rPr>
    </w:lvl>
    <w:lvl w:ilvl="1">
      <w:start w:val="1"/>
      <w:numFmt w:val="lowerLetter"/>
      <w:pStyle w:val="Tablelistnumber2small"/>
      <w:lvlText w:val="%2)"/>
      <w:lvlJc w:val="left"/>
      <w:pPr>
        <w:ind w:left="567" w:hanging="227"/>
      </w:pPr>
      <w:rPr>
        <w:rFonts w:ascii="Arial Narrow" w:hAnsi="Arial Narrow" w:hint="default"/>
      </w:rPr>
    </w:lvl>
    <w:lvl w:ilvl="2">
      <w:start w:val="1"/>
      <w:numFmt w:val="lowerRoman"/>
      <w:pStyle w:val="Tablelistnumber3small"/>
      <w:lvlText w:val="%3)"/>
      <w:lvlJc w:val="left"/>
      <w:pPr>
        <w:ind w:left="794" w:hanging="227"/>
      </w:pPr>
      <w:rPr>
        <w:rFonts w:ascii="Arial Narrow" w:hAnsi="Arial Narrow" w:hint="default"/>
      </w:rPr>
    </w:lvl>
    <w:lvl w:ilvl="3">
      <w:start w:val="1"/>
      <w:numFmt w:val="none"/>
      <w:lvlText w:val=""/>
      <w:lvlJc w:val="left"/>
      <w:pPr>
        <w:ind w:left="1021" w:hanging="340"/>
      </w:pPr>
      <w:rPr>
        <w:rFonts w:hint="default"/>
      </w:rPr>
    </w:lvl>
    <w:lvl w:ilvl="4">
      <w:start w:val="1"/>
      <w:numFmt w:val="none"/>
      <w:lvlText w:val=""/>
      <w:lvlJc w:val="left"/>
      <w:pPr>
        <w:ind w:left="1248" w:hanging="340"/>
      </w:pPr>
      <w:rPr>
        <w:rFonts w:hint="default"/>
      </w:rPr>
    </w:lvl>
    <w:lvl w:ilvl="5">
      <w:start w:val="1"/>
      <w:numFmt w:val="none"/>
      <w:lvlText w:val=""/>
      <w:lvlJc w:val="left"/>
      <w:pPr>
        <w:ind w:left="1475" w:hanging="340"/>
      </w:pPr>
      <w:rPr>
        <w:rFonts w:hint="default"/>
      </w:rPr>
    </w:lvl>
    <w:lvl w:ilvl="6">
      <w:start w:val="1"/>
      <w:numFmt w:val="none"/>
      <w:lvlText w:val=""/>
      <w:lvlJc w:val="left"/>
      <w:pPr>
        <w:ind w:left="1702" w:hanging="340"/>
      </w:pPr>
      <w:rPr>
        <w:rFonts w:hint="default"/>
      </w:rPr>
    </w:lvl>
    <w:lvl w:ilvl="7">
      <w:start w:val="1"/>
      <w:numFmt w:val="none"/>
      <w:lvlText w:val=""/>
      <w:lvlJc w:val="left"/>
      <w:pPr>
        <w:ind w:left="1929" w:hanging="340"/>
      </w:pPr>
      <w:rPr>
        <w:rFonts w:hint="default"/>
      </w:rPr>
    </w:lvl>
    <w:lvl w:ilvl="8">
      <w:start w:val="1"/>
      <w:numFmt w:val="none"/>
      <w:lvlText w:val=""/>
      <w:lvlJc w:val="left"/>
      <w:pPr>
        <w:ind w:left="2156" w:hanging="340"/>
      </w:pPr>
      <w:rPr>
        <w:rFonts w:hint="default"/>
      </w:rPr>
    </w:lvl>
  </w:abstractNum>
  <w:abstractNum w:abstractNumId="13" w15:restartNumberingAfterBreak="0">
    <w:nsid w:val="1877449B"/>
    <w:multiLevelType w:val="multilevel"/>
    <w:tmpl w:val="145205FC"/>
    <w:styleLink w:val="aaReportListDash"/>
    <w:lvl w:ilvl="0">
      <w:start w:val="1"/>
      <w:numFmt w:val="bullet"/>
      <w:lvlText w:val="—"/>
      <w:lvlJc w:val="left"/>
      <w:pPr>
        <w:ind w:left="0" w:hanging="448"/>
      </w:pPr>
      <w:rPr>
        <w:rFonts w:ascii="Arial Narrow" w:hAnsi="Arial Narrow" w:hint="default"/>
      </w:rPr>
    </w:lvl>
    <w:lvl w:ilvl="1">
      <w:start w:val="1"/>
      <w:numFmt w:val="bullet"/>
      <w:lvlText w:val="–"/>
      <w:lvlJc w:val="left"/>
      <w:pPr>
        <w:ind w:left="238" w:hanging="238"/>
      </w:pPr>
      <w:rPr>
        <w:rFonts w:ascii="Arial Narrow" w:hAnsi="Arial Narrow" w:hint="default"/>
      </w:rPr>
    </w:lvl>
    <w:lvl w:ilvl="2">
      <w:start w:val="1"/>
      <w:numFmt w:val="bullet"/>
      <w:lvlText w:val="−"/>
      <w:lvlJc w:val="left"/>
      <w:pPr>
        <w:ind w:left="482" w:hanging="244"/>
      </w:pPr>
      <w:rPr>
        <w:rFonts w:ascii="Arial Narrow" w:hAnsi="Arial Narrow" w:hint="default"/>
        <w:position w:val="-2"/>
      </w:rPr>
    </w:lvl>
    <w:lvl w:ilvl="3">
      <w:start w:val="1"/>
      <w:numFmt w:val="bullet"/>
      <w:lvlText w:val="−"/>
      <w:lvlJc w:val="left"/>
      <w:pPr>
        <w:ind w:left="0" w:hanging="448"/>
      </w:pPr>
      <w:rPr>
        <w:rFonts w:ascii="Calibri" w:hAnsi="Calibri" w:hint="default"/>
      </w:rPr>
    </w:lvl>
    <w:lvl w:ilvl="4">
      <w:start w:val="1"/>
      <w:numFmt w:val="bullet"/>
      <w:lvlText w:val="−"/>
      <w:lvlJc w:val="left"/>
      <w:pPr>
        <w:ind w:left="0" w:hanging="448"/>
      </w:pPr>
      <w:rPr>
        <w:rFonts w:ascii="Calibri" w:hAnsi="Calibri" w:hint="default"/>
      </w:rPr>
    </w:lvl>
    <w:lvl w:ilvl="5">
      <w:start w:val="1"/>
      <w:numFmt w:val="bullet"/>
      <w:lvlText w:val="−"/>
      <w:lvlJc w:val="left"/>
      <w:pPr>
        <w:ind w:left="0" w:hanging="448"/>
      </w:pPr>
      <w:rPr>
        <w:rFonts w:ascii="Calibri" w:hAnsi="Calibri" w:hint="default"/>
      </w:rPr>
    </w:lvl>
    <w:lvl w:ilvl="6">
      <w:start w:val="1"/>
      <w:numFmt w:val="bullet"/>
      <w:lvlText w:val="−"/>
      <w:lvlJc w:val="left"/>
      <w:pPr>
        <w:ind w:left="0" w:hanging="448"/>
      </w:pPr>
      <w:rPr>
        <w:rFonts w:ascii="Calibri" w:hAnsi="Calibri" w:hint="default"/>
      </w:rPr>
    </w:lvl>
    <w:lvl w:ilvl="7">
      <w:start w:val="1"/>
      <w:numFmt w:val="bullet"/>
      <w:lvlText w:val="−"/>
      <w:lvlJc w:val="left"/>
      <w:pPr>
        <w:ind w:left="0" w:hanging="448"/>
      </w:pPr>
      <w:rPr>
        <w:rFonts w:ascii="Calibri" w:hAnsi="Calibri" w:hint="default"/>
      </w:rPr>
    </w:lvl>
    <w:lvl w:ilvl="8">
      <w:start w:val="1"/>
      <w:numFmt w:val="bullet"/>
      <w:lvlText w:val="−"/>
      <w:lvlJc w:val="left"/>
      <w:pPr>
        <w:ind w:left="0" w:hanging="448"/>
      </w:pPr>
      <w:rPr>
        <w:rFonts w:ascii="Calibri" w:hAnsi="Calibri" w:hint="default"/>
      </w:rPr>
    </w:lvl>
  </w:abstractNum>
  <w:abstractNum w:abstractNumId="14" w15:restartNumberingAfterBreak="0">
    <w:nsid w:val="1C662060"/>
    <w:multiLevelType w:val="multilevel"/>
    <w:tmpl w:val="83E444BE"/>
    <w:styleLink w:val="aaclstStyleHeadingApp"/>
    <w:lvl w:ilvl="0">
      <w:start w:val="1"/>
      <w:numFmt w:val="upperLetter"/>
      <w:pStyle w:val="Heading1AP"/>
      <w:lvlText w:val="%1"/>
      <w:lvlJc w:val="right"/>
      <w:pPr>
        <w:ind w:left="248" w:hanging="384"/>
      </w:pPr>
      <w:rPr>
        <w:rFonts w:hint="default"/>
      </w:rPr>
    </w:lvl>
    <w:lvl w:ilvl="1">
      <w:start w:val="1"/>
      <w:numFmt w:val="decimal"/>
      <w:lvlText w:val="%1.%2"/>
      <w:lvlJc w:val="right"/>
      <w:pPr>
        <w:ind w:left="0" w:hanging="136"/>
      </w:pPr>
      <w:rPr>
        <w:rFonts w:hint="default"/>
      </w:rPr>
    </w:lvl>
    <w:lvl w:ilvl="2">
      <w:start w:val="1"/>
      <w:numFmt w:val="decimal"/>
      <w:pStyle w:val="Heading3AP"/>
      <w:lvlText w:val="%1.%2.%3"/>
      <w:lvlJc w:val="left"/>
      <w:pPr>
        <w:ind w:left="320" w:hanging="320"/>
      </w:pPr>
      <w:rPr>
        <w:rFonts w:hint="default"/>
      </w:rPr>
    </w:lvl>
    <w:lvl w:ilvl="3">
      <w:start w:val="1"/>
      <w:numFmt w:val="none"/>
      <w:pStyle w:val="Heading4AP"/>
      <w:lvlText w:val=""/>
      <w:lvlJc w:val="left"/>
      <w:pPr>
        <w:ind w:left="0" w:firstLine="0"/>
      </w:pPr>
      <w:rPr>
        <w:rFonts w:hint="default"/>
      </w:rPr>
    </w:lvl>
    <w:lvl w:ilvl="4">
      <w:start w:val="1"/>
      <w:numFmt w:val="none"/>
      <w:pStyle w:val="Heading5AP"/>
      <w:lvlText w:val=""/>
      <w:lvlJc w:val="left"/>
      <w:pPr>
        <w:ind w:left="0" w:firstLine="0"/>
      </w:pPr>
      <w:rPr>
        <w:rFonts w:hint="default"/>
      </w:rPr>
    </w:lvl>
    <w:lvl w:ilvl="5">
      <w:start w:val="1"/>
      <w:numFmt w:val="none"/>
      <w:pStyle w:val="Heading6AP"/>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5" w15:restartNumberingAfterBreak="0">
    <w:nsid w:val="1F5A7EF8"/>
    <w:multiLevelType w:val="hybridMultilevel"/>
    <w:tmpl w:val="AA4C97A0"/>
    <w:lvl w:ilvl="0" w:tplc="82800CE2">
      <w:start w:val="1"/>
      <w:numFmt w:val="bullet"/>
      <w:pStyle w:val="TableQuoteBullet"/>
      <w:lvlText w:val="–"/>
      <w:lvlJc w:val="left"/>
      <w:pPr>
        <w:ind w:left="460" w:hanging="360"/>
      </w:pPr>
      <w:rPr>
        <w:rFonts w:ascii="Arial Narrow" w:hAnsi="Arial Narrow"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073059B"/>
    <w:multiLevelType w:val="multilevel"/>
    <w:tmpl w:val="306ACCA8"/>
    <w:styleLink w:val="aaclstStyleBoxListNumbers"/>
    <w:lvl w:ilvl="0">
      <w:start w:val="1"/>
      <w:numFmt w:val="decimal"/>
      <w:pStyle w:val="BoxListNumber"/>
      <w:lvlText w:val="%1."/>
      <w:lvlJc w:val="left"/>
      <w:pPr>
        <w:ind w:left="564" w:hanging="312"/>
      </w:pPr>
      <w:rPr>
        <w:rFonts w:ascii="Arial Narrow" w:hAnsi="Arial Narrow" w:hint="default"/>
        <w:sz w:val="20"/>
      </w:rPr>
    </w:lvl>
    <w:lvl w:ilvl="1">
      <w:start w:val="1"/>
      <w:numFmt w:val="lowerLetter"/>
      <w:pStyle w:val="BoxListNumber2"/>
      <w:lvlText w:val="%2)"/>
      <w:lvlJc w:val="left"/>
      <w:pPr>
        <w:ind w:left="844" w:hanging="280"/>
      </w:pPr>
      <w:rPr>
        <w:rFonts w:ascii="Arial Narrow" w:hAnsi="Arial Narrow" w:hint="default"/>
      </w:rPr>
    </w:lvl>
    <w:lvl w:ilvl="2">
      <w:start w:val="1"/>
      <w:numFmt w:val="lowerRoman"/>
      <w:pStyle w:val="BoxListNumber3"/>
      <w:lvlText w:val="%3)"/>
      <w:lvlJc w:val="left"/>
      <w:pPr>
        <w:ind w:left="1084" w:hanging="240"/>
      </w:pPr>
      <w:rPr>
        <w:rFonts w:ascii="Arial Narrow" w:hAnsi="Arial Narrow"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226C33D2"/>
    <w:multiLevelType w:val="multilevel"/>
    <w:tmpl w:val="83E444BE"/>
    <w:numStyleLink w:val="aaclstStyleHeadingApp"/>
  </w:abstractNum>
  <w:abstractNum w:abstractNumId="18" w15:restartNumberingAfterBreak="0">
    <w:nsid w:val="24BA28B3"/>
    <w:multiLevelType w:val="hybridMultilevel"/>
    <w:tmpl w:val="40BA766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9" w15:restartNumberingAfterBreak="0">
    <w:nsid w:val="24FE551B"/>
    <w:multiLevelType w:val="multilevel"/>
    <w:tmpl w:val="55DAED7E"/>
    <w:numStyleLink w:val="aacTableListBullets"/>
  </w:abstractNum>
  <w:abstractNum w:abstractNumId="20" w15:restartNumberingAfterBreak="0">
    <w:nsid w:val="25124F0F"/>
    <w:multiLevelType w:val="multilevel"/>
    <w:tmpl w:val="29E0E8DA"/>
    <w:styleLink w:val="aacTableListNumbers"/>
    <w:lvl w:ilvl="0">
      <w:start w:val="1"/>
      <w:numFmt w:val="decimal"/>
      <w:pStyle w:val="Tablelistnumber"/>
      <w:lvlText w:val="%1."/>
      <w:lvlJc w:val="left"/>
      <w:pPr>
        <w:ind w:left="340" w:hanging="340"/>
      </w:pPr>
      <w:rPr>
        <w:rFonts w:hint="default"/>
      </w:rPr>
    </w:lvl>
    <w:lvl w:ilvl="1">
      <w:start w:val="1"/>
      <w:numFmt w:val="lowerLetter"/>
      <w:pStyle w:val="Tablelistnumber2"/>
      <w:lvlText w:val="%2)"/>
      <w:lvlJc w:val="left"/>
      <w:pPr>
        <w:ind w:left="680" w:hanging="340"/>
      </w:pPr>
      <w:rPr>
        <w:rFonts w:hint="default"/>
      </w:rPr>
    </w:lvl>
    <w:lvl w:ilvl="2">
      <w:start w:val="1"/>
      <w:numFmt w:val="lowerRoman"/>
      <w:pStyle w:val="Tablelistnumber3"/>
      <w:lvlText w:val="%3)"/>
      <w:lvlJc w:val="left"/>
      <w:pPr>
        <w:ind w:left="907" w:hanging="227"/>
      </w:pPr>
      <w:rPr>
        <w:rFonts w:hint="default"/>
      </w:rPr>
    </w:lvl>
    <w:lvl w:ilvl="3">
      <w:start w:val="1"/>
      <w:numFmt w:val="decimal"/>
      <w:lvlText w:val="(%4)"/>
      <w:lvlJc w:val="left"/>
      <w:pPr>
        <w:ind w:left="960" w:hanging="240"/>
      </w:pPr>
      <w:rPr>
        <w:rFonts w:hint="default"/>
      </w:rPr>
    </w:lvl>
    <w:lvl w:ilvl="4">
      <w:start w:val="1"/>
      <w:numFmt w:val="lowerLetter"/>
      <w:lvlText w:val="(%5)"/>
      <w:lvlJc w:val="left"/>
      <w:pPr>
        <w:ind w:left="1200" w:hanging="240"/>
      </w:pPr>
      <w:rPr>
        <w:rFonts w:hint="default"/>
      </w:rPr>
    </w:lvl>
    <w:lvl w:ilvl="5">
      <w:start w:val="1"/>
      <w:numFmt w:val="lowerRoman"/>
      <w:lvlText w:val="(%6)"/>
      <w:lvlJc w:val="left"/>
      <w:pPr>
        <w:ind w:left="1440" w:hanging="240"/>
      </w:pPr>
      <w:rPr>
        <w:rFonts w:hint="default"/>
      </w:rPr>
    </w:lvl>
    <w:lvl w:ilvl="6">
      <w:start w:val="1"/>
      <w:numFmt w:val="decimal"/>
      <w:lvlText w:val="%7."/>
      <w:lvlJc w:val="left"/>
      <w:pPr>
        <w:ind w:left="1680" w:hanging="240"/>
      </w:pPr>
      <w:rPr>
        <w:rFonts w:hint="default"/>
      </w:rPr>
    </w:lvl>
    <w:lvl w:ilvl="7">
      <w:start w:val="1"/>
      <w:numFmt w:val="lowerLetter"/>
      <w:lvlText w:val="%8."/>
      <w:lvlJc w:val="left"/>
      <w:pPr>
        <w:ind w:left="1920" w:hanging="240"/>
      </w:pPr>
      <w:rPr>
        <w:rFonts w:hint="default"/>
      </w:rPr>
    </w:lvl>
    <w:lvl w:ilvl="8">
      <w:start w:val="1"/>
      <w:numFmt w:val="lowerRoman"/>
      <w:lvlText w:val="%9."/>
      <w:lvlJc w:val="left"/>
      <w:pPr>
        <w:ind w:left="2160" w:hanging="240"/>
      </w:pPr>
      <w:rPr>
        <w:rFonts w:hint="default"/>
      </w:rPr>
    </w:lvl>
  </w:abstractNum>
  <w:abstractNum w:abstractNumId="21" w15:restartNumberingAfterBreak="0">
    <w:nsid w:val="264D0593"/>
    <w:multiLevelType w:val="multilevel"/>
    <w:tmpl w:val="CE66BE7A"/>
    <w:styleLink w:val="lstStyleListNumber"/>
    <w:lvl w:ilvl="0">
      <w:start w:val="1"/>
      <w:numFmt w:val="decimal"/>
      <w:lvlText w:val="%1."/>
      <w:lvlJc w:val="left"/>
      <w:pPr>
        <w:ind w:left="420" w:hanging="420"/>
      </w:pPr>
      <w:rPr>
        <w:rFonts w:ascii="Arial Narrow" w:hAnsi="Arial Narrow" w:cs="Arial" w:hint="default"/>
      </w:rPr>
    </w:lvl>
    <w:lvl w:ilvl="1">
      <w:start w:val="1"/>
      <w:numFmt w:val="lowerLetter"/>
      <w:lvlText w:val="%2)"/>
      <w:lvlJc w:val="left"/>
      <w:pPr>
        <w:ind w:left="780" w:hanging="360"/>
      </w:pPr>
      <w:rPr>
        <w:rFonts w:ascii="Arial Narrow" w:hAnsi="Arial Narrow" w:hint="default"/>
      </w:rPr>
    </w:lvl>
    <w:lvl w:ilvl="2">
      <w:start w:val="1"/>
      <w:numFmt w:val="lowerRoman"/>
      <w:lvlText w:val="%3)"/>
      <w:lvlJc w:val="left"/>
      <w:pPr>
        <w:ind w:left="1140" w:hanging="360"/>
      </w:pPr>
      <w:rPr>
        <w:rFonts w:ascii="Arial Narrow" w:hAnsi="Arial Narrow" w:hint="default"/>
      </w:rPr>
    </w:lvl>
    <w:lvl w:ilvl="3">
      <w:start w:val="1"/>
      <w:numFmt w:val="none"/>
      <w:lvlText w:val=""/>
      <w:lvlJc w:val="left"/>
      <w:pPr>
        <w:ind w:left="1428" w:hanging="357"/>
      </w:pPr>
      <w:rPr>
        <w:rFonts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22" w15:restartNumberingAfterBreak="0">
    <w:nsid w:val="267D48F2"/>
    <w:multiLevelType w:val="multilevel"/>
    <w:tmpl w:val="3DD0AEC8"/>
    <w:styleLink w:val="aaclstStyleHeadingsES"/>
    <w:lvl w:ilvl="0">
      <w:start w:val="1"/>
      <w:numFmt w:val="none"/>
      <w:pStyle w:val="Heading1ES"/>
      <w:lvlText w:val=""/>
      <w:lvlJc w:val="left"/>
      <w:pPr>
        <w:ind w:left="248" w:firstLine="0"/>
      </w:pPr>
      <w:rPr>
        <w:rFonts w:ascii="Arial Narrow" w:hAnsi="Arial Narrow" w:hint="default"/>
      </w:rPr>
    </w:lvl>
    <w:lvl w:ilvl="1">
      <w:start w:val="1"/>
      <w:numFmt w:val="none"/>
      <w:pStyle w:val="Heading2ES"/>
      <w:lvlText w:val=""/>
      <w:lvlJc w:val="left"/>
      <w:pPr>
        <w:ind w:left="0" w:firstLine="0"/>
      </w:pPr>
      <w:rPr>
        <w:rFonts w:hint="default"/>
      </w:rPr>
    </w:lvl>
    <w:lvl w:ilvl="2">
      <w:start w:val="1"/>
      <w:numFmt w:val="none"/>
      <w:pStyle w:val="Heading3ES"/>
      <w:lvlText w:val=""/>
      <w:lvlJc w:val="left"/>
      <w:pPr>
        <w:ind w:left="0" w:firstLine="0"/>
      </w:pPr>
      <w:rPr>
        <w:rFonts w:hint="default"/>
      </w:rPr>
    </w:lvl>
    <w:lvl w:ilvl="3">
      <w:start w:val="1"/>
      <w:numFmt w:val="none"/>
      <w:pStyle w:val="Heading4ES"/>
      <w:lvlText w:val=""/>
      <w:lvlJc w:val="left"/>
      <w:pPr>
        <w:ind w:left="0" w:firstLine="0"/>
      </w:pPr>
      <w:rPr>
        <w:rFonts w:hint="default"/>
      </w:rPr>
    </w:lvl>
    <w:lvl w:ilvl="4">
      <w:start w:val="1"/>
      <w:numFmt w:val="none"/>
      <w:pStyle w:val="Heading5ES"/>
      <w:lvlText w:val=""/>
      <w:lvlJc w:val="left"/>
      <w:pPr>
        <w:ind w:left="0" w:firstLine="0"/>
      </w:pPr>
      <w:rPr>
        <w:rFonts w:hint="default"/>
      </w:rPr>
    </w:lvl>
    <w:lvl w:ilvl="5">
      <w:start w:val="1"/>
      <w:numFmt w:val="none"/>
      <w:lvlRestart w:val="0"/>
      <w:pStyle w:val="Heading6ES"/>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3" w15:restartNumberingAfterBreak="0">
    <w:nsid w:val="27843433"/>
    <w:multiLevelType w:val="multilevel"/>
    <w:tmpl w:val="165C0818"/>
    <w:numStyleLink w:val="aaclstStyleHeadingNumbered"/>
  </w:abstractNum>
  <w:abstractNum w:abstractNumId="24" w15:restartNumberingAfterBreak="0">
    <w:nsid w:val="2BA93FA8"/>
    <w:multiLevelType w:val="multilevel"/>
    <w:tmpl w:val="306ACCA8"/>
    <w:numStyleLink w:val="aaclstStyleBoxListNumbers"/>
  </w:abstractNum>
  <w:abstractNum w:abstractNumId="25" w15:restartNumberingAfterBreak="0">
    <w:nsid w:val="31AB2891"/>
    <w:multiLevelType w:val="multilevel"/>
    <w:tmpl w:val="6248E440"/>
    <w:styleLink w:val="TOCList"/>
    <w:lvl w:ilvl="0">
      <w:start w:val="1"/>
      <w:numFmt w:val="none"/>
      <w:suff w:val="nothing"/>
      <w:lvlText w:val="%1"/>
      <w:lvlJc w:val="left"/>
      <w:pPr>
        <w:ind w:left="0" w:firstLine="0"/>
      </w:pPr>
      <w:rPr>
        <w:rFonts w:ascii="Yu Gothic Medium" w:hAnsi="Yu Gothic Medium" w:hint="default"/>
        <w:sz w:val="20"/>
      </w:rPr>
    </w:lvl>
    <w:lvl w:ilvl="1">
      <w:start w:val="1"/>
      <w:numFmt w:val="none"/>
      <w:lvlRestart w:val="0"/>
      <w:suff w:val="nothing"/>
      <w:lvlText w:val="%2"/>
      <w:lvlJc w:val="left"/>
      <w:pPr>
        <w:ind w:left="560" w:hanging="560"/>
      </w:pPr>
      <w:rPr>
        <w:rFonts w:hint="default"/>
      </w:rPr>
    </w:lvl>
    <w:lvl w:ilvl="2">
      <w:start w:val="1"/>
      <w:numFmt w:val="none"/>
      <w:lvlRestart w:val="0"/>
      <w:suff w:val="nothing"/>
      <w:lvlText w:val="%3"/>
      <w:lvlJc w:val="left"/>
      <w:pPr>
        <w:ind w:left="1120" w:hanging="560"/>
      </w:pPr>
      <w:rPr>
        <w:rFonts w:hint="default"/>
      </w:rPr>
    </w:lvl>
    <w:lvl w:ilvl="3">
      <w:start w:val="1"/>
      <w:numFmt w:val="none"/>
      <w:lvlRestart w:val="0"/>
      <w:suff w:val="nothing"/>
      <w:lvlText w:val=""/>
      <w:lvlJc w:val="left"/>
      <w:pPr>
        <w:ind w:left="1680" w:hanging="56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26" w15:restartNumberingAfterBreak="0">
    <w:nsid w:val="336313F1"/>
    <w:multiLevelType w:val="multilevel"/>
    <w:tmpl w:val="2D56811A"/>
    <w:numStyleLink w:val="aaclstStyleBoxListBullets"/>
  </w:abstractNum>
  <w:abstractNum w:abstractNumId="27" w15:restartNumberingAfterBreak="0">
    <w:nsid w:val="33DF3DD1"/>
    <w:multiLevelType w:val="multilevel"/>
    <w:tmpl w:val="4D96EFB6"/>
    <w:numStyleLink w:val="aacTableListBulletssmall"/>
  </w:abstractNum>
  <w:abstractNum w:abstractNumId="28" w15:restartNumberingAfterBreak="0">
    <w:nsid w:val="3CD62D95"/>
    <w:multiLevelType w:val="multilevel"/>
    <w:tmpl w:val="55DAED7E"/>
    <w:styleLink w:val="aacTableListBullets"/>
    <w:lvl w:ilvl="0">
      <w:start w:val="1"/>
      <w:numFmt w:val="bullet"/>
      <w:pStyle w:val="Tablelistbullet"/>
      <w:lvlText w:val="–"/>
      <w:lvlJc w:val="left"/>
      <w:pPr>
        <w:ind w:left="280" w:hanging="280"/>
      </w:pPr>
      <w:rPr>
        <w:rFonts w:ascii="Arial Narrow" w:hAnsi="Arial Narrow" w:hint="default"/>
      </w:rPr>
    </w:lvl>
    <w:lvl w:ilvl="1">
      <w:start w:val="1"/>
      <w:numFmt w:val="bullet"/>
      <w:pStyle w:val="Tablelistbullet2"/>
      <w:lvlText w:val="–"/>
      <w:lvlJc w:val="left"/>
      <w:pPr>
        <w:ind w:left="520" w:hanging="240"/>
      </w:pPr>
      <w:rPr>
        <w:rFonts w:ascii="Arial Narrow" w:hAnsi="Arial Narrow" w:hint="default"/>
        <w:color w:val="000100"/>
      </w:rPr>
    </w:lvl>
    <w:lvl w:ilvl="2">
      <w:start w:val="1"/>
      <w:numFmt w:val="bullet"/>
      <w:pStyle w:val="Tablelistbullet3"/>
      <w:lvlText w:val="–"/>
      <w:lvlJc w:val="left"/>
      <w:pPr>
        <w:ind w:left="760" w:hanging="240"/>
      </w:pPr>
      <w:rPr>
        <w:rFonts w:ascii="Arial Narrow" w:hAnsi="Arial Narrow" w:hint="default"/>
      </w:rPr>
    </w:lvl>
    <w:lvl w:ilvl="3">
      <w:start w:val="1"/>
      <w:numFmt w:val="decimal"/>
      <w:lvlText w:val="(%4)"/>
      <w:lvlJc w:val="left"/>
      <w:pPr>
        <w:ind w:left="960" w:hanging="240"/>
      </w:pPr>
      <w:rPr>
        <w:rFonts w:ascii="Arial Narrow" w:hAnsi="Arial Narrow" w:hint="default"/>
      </w:rPr>
    </w:lvl>
    <w:lvl w:ilvl="4">
      <w:start w:val="1"/>
      <w:numFmt w:val="lowerLetter"/>
      <w:lvlText w:val="(%5)"/>
      <w:lvlJc w:val="left"/>
      <w:pPr>
        <w:ind w:left="1200" w:hanging="240"/>
      </w:pPr>
      <w:rPr>
        <w:rFonts w:hint="default"/>
      </w:rPr>
    </w:lvl>
    <w:lvl w:ilvl="5">
      <w:start w:val="1"/>
      <w:numFmt w:val="lowerRoman"/>
      <w:lvlText w:val="(%6)"/>
      <w:lvlJc w:val="left"/>
      <w:pPr>
        <w:ind w:left="1440" w:hanging="240"/>
      </w:pPr>
      <w:rPr>
        <w:rFonts w:hint="default"/>
      </w:rPr>
    </w:lvl>
    <w:lvl w:ilvl="6">
      <w:start w:val="1"/>
      <w:numFmt w:val="decimal"/>
      <w:lvlText w:val="%7."/>
      <w:lvlJc w:val="left"/>
      <w:pPr>
        <w:ind w:left="1680" w:hanging="240"/>
      </w:pPr>
      <w:rPr>
        <w:rFonts w:hint="default"/>
      </w:rPr>
    </w:lvl>
    <w:lvl w:ilvl="7">
      <w:start w:val="1"/>
      <w:numFmt w:val="lowerLetter"/>
      <w:lvlText w:val="%8."/>
      <w:lvlJc w:val="left"/>
      <w:pPr>
        <w:ind w:left="1920" w:hanging="240"/>
      </w:pPr>
      <w:rPr>
        <w:rFonts w:hint="default"/>
      </w:rPr>
    </w:lvl>
    <w:lvl w:ilvl="8">
      <w:start w:val="1"/>
      <w:numFmt w:val="lowerRoman"/>
      <w:lvlText w:val="%9."/>
      <w:lvlJc w:val="left"/>
      <w:pPr>
        <w:ind w:left="2160" w:hanging="240"/>
      </w:pPr>
      <w:rPr>
        <w:rFonts w:hint="default"/>
      </w:rPr>
    </w:lvl>
  </w:abstractNum>
  <w:abstractNum w:abstractNumId="29" w15:restartNumberingAfterBreak="0">
    <w:nsid w:val="44083225"/>
    <w:multiLevelType w:val="multilevel"/>
    <w:tmpl w:val="2D56811A"/>
    <w:styleLink w:val="aaclstStyleBoxListBullets"/>
    <w:lvl w:ilvl="0">
      <w:start w:val="1"/>
      <w:numFmt w:val="bullet"/>
      <w:pStyle w:val="BoxListBullet"/>
      <w:lvlText w:val="—"/>
      <w:lvlJc w:val="left"/>
      <w:pPr>
        <w:ind w:left="564" w:hanging="312"/>
      </w:pPr>
      <w:rPr>
        <w:rFonts w:ascii="Arial Narrow" w:hAnsi="Arial Narrow" w:hint="default"/>
      </w:rPr>
    </w:lvl>
    <w:lvl w:ilvl="1">
      <w:start w:val="1"/>
      <w:numFmt w:val="bullet"/>
      <w:pStyle w:val="BoxListBullet2"/>
      <w:lvlText w:val="―"/>
      <w:lvlJc w:val="left"/>
      <w:pPr>
        <w:ind w:left="844" w:hanging="280"/>
      </w:pPr>
      <w:rPr>
        <w:rFonts w:ascii="Arial Narrow" w:hAnsi="Arial Narrow" w:hint="default"/>
        <w:sz w:val="16"/>
      </w:rPr>
    </w:lvl>
    <w:lvl w:ilvl="2">
      <w:start w:val="1"/>
      <w:numFmt w:val="bullet"/>
      <w:pStyle w:val="BoxListBullet3"/>
      <w:lvlText w:val="–"/>
      <w:lvlJc w:val="left"/>
      <w:pPr>
        <w:ind w:left="1084" w:hanging="240"/>
      </w:pPr>
      <w:rPr>
        <w:rFonts w:ascii="Arial Narrow" w:hAnsi="Arial Narrow" w:hint="default"/>
      </w:rPr>
    </w:lvl>
    <w:lvl w:ilvl="3">
      <w:start w:val="1"/>
      <w:numFmt w:val="none"/>
      <w:pStyle w:val="BoxQuote"/>
      <w:suff w:val="nothing"/>
      <w:lvlText w:val=""/>
      <w:lvlJc w:val="left"/>
      <w:pPr>
        <w:ind w:left="564" w:hanging="312"/>
      </w:pPr>
      <w:rPr>
        <w:rFonts w:hint="default"/>
      </w:rPr>
    </w:lvl>
    <w:lvl w:ilvl="4">
      <w:start w:val="1"/>
      <w:numFmt w:val="bullet"/>
      <w:pStyle w:val="BoxQuoteListBullet"/>
      <w:lvlText w:val="–"/>
      <w:lvlJc w:val="left"/>
      <w:pPr>
        <w:ind w:left="564" w:hanging="312"/>
      </w:pPr>
      <w:rPr>
        <w:rFonts w:ascii="Arial Narrow" w:hAnsi="Arial Narrow" w:hint="default"/>
      </w:rPr>
    </w:lvl>
    <w:lvl w:ilvl="5">
      <w:start w:val="1"/>
      <w:numFmt w:val="none"/>
      <w:lvlText w:val=""/>
      <w:lvlJc w:val="left"/>
      <w:pPr>
        <w:ind w:left="1646" w:hanging="446"/>
      </w:pPr>
      <w:rPr>
        <w:rFonts w:hint="default"/>
      </w:rPr>
    </w:lvl>
    <w:lvl w:ilvl="6">
      <w:start w:val="1"/>
      <w:numFmt w:val="none"/>
      <w:lvlText w:val=""/>
      <w:lvlJc w:val="left"/>
      <w:pPr>
        <w:ind w:left="1886" w:hanging="446"/>
      </w:pPr>
      <w:rPr>
        <w:rFonts w:hint="default"/>
      </w:rPr>
    </w:lvl>
    <w:lvl w:ilvl="7">
      <w:start w:val="1"/>
      <w:numFmt w:val="none"/>
      <w:lvlText w:val=""/>
      <w:lvlJc w:val="left"/>
      <w:pPr>
        <w:ind w:left="2126" w:hanging="446"/>
      </w:pPr>
      <w:rPr>
        <w:rFonts w:hint="default"/>
      </w:rPr>
    </w:lvl>
    <w:lvl w:ilvl="8">
      <w:start w:val="1"/>
      <w:numFmt w:val="none"/>
      <w:lvlText w:val=""/>
      <w:lvlJc w:val="left"/>
      <w:pPr>
        <w:ind w:left="2366" w:hanging="446"/>
      </w:pPr>
      <w:rPr>
        <w:rFonts w:hint="default"/>
      </w:rPr>
    </w:lvl>
  </w:abstractNum>
  <w:abstractNum w:abstractNumId="30" w15:restartNumberingAfterBreak="0">
    <w:nsid w:val="45767BA0"/>
    <w:multiLevelType w:val="multilevel"/>
    <w:tmpl w:val="75081F48"/>
    <w:lvl w:ilvl="0">
      <w:start w:val="1"/>
      <w:numFmt w:val="bullet"/>
      <w:pStyle w:val="SideNoteDash"/>
      <w:lvlText w:val="–"/>
      <w:lvlJc w:val="left"/>
      <w:pPr>
        <w:tabs>
          <w:tab w:val="num" w:pos="60"/>
        </w:tabs>
        <w:ind w:left="220" w:hanging="220"/>
      </w:pPr>
      <w:rPr>
        <w:rFonts w:ascii="Arial Narrow" w:hAnsi="Arial Narrow" w:hint="default"/>
      </w:rPr>
    </w:lvl>
    <w:lvl w:ilvl="1">
      <w:start w:val="1"/>
      <w:numFmt w:val="bullet"/>
      <w:pStyle w:val="SideNoteBullet"/>
      <w:lvlText w:val="•"/>
      <w:lvlJc w:val="left"/>
      <w:pPr>
        <w:ind w:left="220" w:hanging="220"/>
      </w:pPr>
      <w:rPr>
        <w:rFonts w:ascii="Arial Narrow" w:hAnsi="Arial Narrow" w:hint="default"/>
        <w:sz w:val="16"/>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460F67E9"/>
    <w:multiLevelType w:val="multilevel"/>
    <w:tmpl w:val="30CC873A"/>
    <w:numStyleLink w:val="aaclstStyleBullets"/>
  </w:abstractNum>
  <w:abstractNum w:abstractNumId="32" w15:restartNumberingAfterBreak="0">
    <w:nsid w:val="467C384B"/>
    <w:multiLevelType w:val="hybridMultilevel"/>
    <w:tmpl w:val="BEF2C0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B6114E9"/>
    <w:multiLevelType w:val="multilevel"/>
    <w:tmpl w:val="30CC873A"/>
    <w:styleLink w:val="aaclstStyleBullets"/>
    <w:lvl w:ilvl="0">
      <w:start w:val="1"/>
      <w:numFmt w:val="bullet"/>
      <w:pStyle w:val="ListBullet"/>
      <w:lvlText w:val="—"/>
      <w:lvlJc w:val="left"/>
      <w:pPr>
        <w:ind w:left="420" w:hanging="420"/>
      </w:pPr>
      <w:rPr>
        <w:rFonts w:ascii="Arial Narrow" w:hAnsi="Arial Narrow" w:hint="default"/>
      </w:rPr>
    </w:lvl>
    <w:lvl w:ilvl="1">
      <w:start w:val="1"/>
      <w:numFmt w:val="bullet"/>
      <w:pStyle w:val="ListBullet2"/>
      <w:lvlText w:val="―"/>
      <w:lvlJc w:val="left"/>
      <w:pPr>
        <w:ind w:left="780" w:hanging="360"/>
      </w:pPr>
      <w:rPr>
        <w:rFonts w:ascii="Arial Narrow" w:hAnsi="Arial Narrow" w:hint="default"/>
      </w:rPr>
    </w:lvl>
    <w:lvl w:ilvl="2">
      <w:start w:val="1"/>
      <w:numFmt w:val="bullet"/>
      <w:pStyle w:val="ListBullet3"/>
      <w:lvlText w:val="−"/>
      <w:lvlJc w:val="left"/>
      <w:pPr>
        <w:ind w:left="1140" w:hanging="360"/>
      </w:pPr>
      <w:rPr>
        <w:rFonts w:ascii="Arial Narrow" w:hAnsi="Arial Narrow" w:hint="default"/>
      </w:rPr>
    </w:lvl>
    <w:lvl w:ilvl="3">
      <w:start w:val="1"/>
      <w:numFmt w:val="none"/>
      <w:lvlText w:val=""/>
      <w:lvlJc w:val="left"/>
      <w:pPr>
        <w:ind w:left="1428" w:hanging="357"/>
      </w:pPr>
      <w:rPr>
        <w:rFonts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34" w15:restartNumberingAfterBreak="0">
    <w:nsid w:val="50E9377F"/>
    <w:multiLevelType w:val="multilevel"/>
    <w:tmpl w:val="CE66BE7A"/>
    <w:styleLink w:val="aaclstStyleListNumber"/>
    <w:lvl w:ilvl="0">
      <w:start w:val="1"/>
      <w:numFmt w:val="decimal"/>
      <w:pStyle w:val="ListNumber"/>
      <w:lvlText w:val="%1."/>
      <w:lvlJc w:val="left"/>
      <w:pPr>
        <w:ind w:left="420" w:hanging="420"/>
      </w:pPr>
      <w:rPr>
        <w:rFonts w:ascii="Arial Narrow" w:hAnsi="Arial Narrow" w:cs="Arial" w:hint="default"/>
      </w:rPr>
    </w:lvl>
    <w:lvl w:ilvl="1">
      <w:start w:val="1"/>
      <w:numFmt w:val="lowerLetter"/>
      <w:pStyle w:val="ListNumber2"/>
      <w:lvlText w:val="%2)"/>
      <w:lvlJc w:val="left"/>
      <w:pPr>
        <w:ind w:left="780" w:hanging="360"/>
      </w:pPr>
      <w:rPr>
        <w:rFonts w:ascii="Arial Narrow" w:hAnsi="Arial Narrow" w:hint="default"/>
      </w:rPr>
    </w:lvl>
    <w:lvl w:ilvl="2">
      <w:start w:val="1"/>
      <w:numFmt w:val="lowerRoman"/>
      <w:pStyle w:val="ListNumber3"/>
      <w:lvlText w:val="%3)"/>
      <w:lvlJc w:val="left"/>
      <w:pPr>
        <w:ind w:left="1140" w:hanging="360"/>
      </w:pPr>
      <w:rPr>
        <w:rFonts w:ascii="Arial Narrow" w:hAnsi="Arial Narrow" w:hint="default"/>
      </w:rPr>
    </w:lvl>
    <w:lvl w:ilvl="3">
      <w:start w:val="1"/>
      <w:numFmt w:val="none"/>
      <w:lvlText w:val=""/>
      <w:lvlJc w:val="left"/>
      <w:pPr>
        <w:ind w:left="1428" w:hanging="357"/>
      </w:pPr>
      <w:rPr>
        <w:rFonts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35" w15:restartNumberingAfterBreak="0">
    <w:nsid w:val="532D23B6"/>
    <w:multiLevelType w:val="multilevel"/>
    <w:tmpl w:val="165C0818"/>
    <w:styleLink w:val="lstStyleHeadingNumbered"/>
    <w:lvl w:ilvl="0">
      <w:start w:val="1"/>
      <w:numFmt w:val="decimal"/>
      <w:lvlText w:val="%1"/>
      <w:lvlJc w:val="right"/>
      <w:pPr>
        <w:ind w:left="248" w:hanging="384"/>
      </w:pPr>
      <w:rPr>
        <w:rFonts w:ascii="Yu Gothic Medium" w:eastAsia="Yu Gothic Medium" w:hAnsi="Yu Gothic Medium" w:hint="eastAsia"/>
      </w:rPr>
    </w:lvl>
    <w:lvl w:ilvl="1">
      <w:start w:val="1"/>
      <w:numFmt w:val="decimal"/>
      <w:lvlText w:val="%1.%2"/>
      <w:lvlJc w:val="right"/>
      <w:pPr>
        <w:ind w:left="0" w:hanging="136"/>
      </w:pPr>
      <w:rPr>
        <w:rFonts w:hint="default"/>
      </w:rPr>
    </w:lvl>
    <w:lvl w:ilvl="2">
      <w:start w:val="1"/>
      <w:numFmt w:val="decimal"/>
      <w:lvlText w:val="%1.%2.%3"/>
      <w:lvlJc w:val="left"/>
      <w:pPr>
        <w:ind w:left="320" w:hanging="32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6" w15:restartNumberingAfterBreak="0">
    <w:nsid w:val="535E057B"/>
    <w:multiLevelType w:val="multilevel"/>
    <w:tmpl w:val="165C0818"/>
    <w:styleLink w:val="aaclstStyleHeadingNumbered"/>
    <w:lvl w:ilvl="0">
      <w:start w:val="1"/>
      <w:numFmt w:val="decimal"/>
      <w:pStyle w:val="Heading1"/>
      <w:lvlText w:val="%1"/>
      <w:lvlJc w:val="right"/>
      <w:pPr>
        <w:ind w:left="248" w:hanging="384"/>
      </w:pPr>
      <w:rPr>
        <w:rFonts w:ascii="Yu Gothic Medium" w:eastAsia="Yu Gothic Medium" w:hAnsi="Yu Gothic Medium" w:hint="eastAsia"/>
      </w:rPr>
    </w:lvl>
    <w:lvl w:ilvl="1">
      <w:start w:val="1"/>
      <w:numFmt w:val="decimal"/>
      <w:pStyle w:val="Heading2"/>
      <w:lvlText w:val="%1.%2"/>
      <w:lvlJc w:val="right"/>
      <w:pPr>
        <w:ind w:left="0" w:hanging="136"/>
      </w:pPr>
      <w:rPr>
        <w:rFonts w:hint="default"/>
      </w:rPr>
    </w:lvl>
    <w:lvl w:ilvl="2">
      <w:start w:val="1"/>
      <w:numFmt w:val="decimal"/>
      <w:pStyle w:val="Heading3"/>
      <w:lvlText w:val="%1.%2.%3"/>
      <w:lvlJc w:val="left"/>
      <w:pPr>
        <w:ind w:left="320" w:hanging="320"/>
      </w:pPr>
      <w:rPr>
        <w:rFonts w:hint="default"/>
      </w:rPr>
    </w:lvl>
    <w:lvl w:ilvl="3">
      <w:start w:val="1"/>
      <w:numFmt w:val="none"/>
      <w:lvlRestart w:val="0"/>
      <w:pStyle w:val="Heading4"/>
      <w:lvlText w:val=""/>
      <w:lvlJc w:val="left"/>
      <w:pPr>
        <w:ind w:left="0" w:firstLine="0"/>
      </w:pPr>
      <w:rPr>
        <w:rFonts w:hint="default"/>
      </w:rPr>
    </w:lvl>
    <w:lvl w:ilvl="4">
      <w:start w:val="1"/>
      <w:numFmt w:val="none"/>
      <w:lvlRestart w:val="0"/>
      <w:pStyle w:val="Heading5"/>
      <w:lvlText w:val=""/>
      <w:lvlJc w:val="left"/>
      <w:pPr>
        <w:ind w:left="0" w:firstLine="0"/>
      </w:pPr>
      <w:rPr>
        <w:rFonts w:hint="default"/>
      </w:rPr>
    </w:lvl>
    <w:lvl w:ilvl="5">
      <w:start w:val="1"/>
      <w:numFmt w:val="none"/>
      <w:lvlRestart w:val="0"/>
      <w:pStyle w:val="Heading6"/>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7" w15:restartNumberingAfterBreak="0">
    <w:nsid w:val="58615B56"/>
    <w:multiLevelType w:val="multilevel"/>
    <w:tmpl w:val="5DA053E4"/>
    <w:numStyleLink w:val="aaclstStyleAppendices"/>
  </w:abstractNum>
  <w:abstractNum w:abstractNumId="38" w15:restartNumberingAfterBreak="0">
    <w:nsid w:val="59537C67"/>
    <w:multiLevelType w:val="hybridMultilevel"/>
    <w:tmpl w:val="8F4824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17B756D"/>
    <w:multiLevelType w:val="multilevel"/>
    <w:tmpl w:val="3DD0AEC8"/>
    <w:numStyleLink w:val="aaclstStyleHeadingsES"/>
  </w:abstractNum>
  <w:abstractNum w:abstractNumId="40" w15:restartNumberingAfterBreak="0">
    <w:nsid w:val="642F1928"/>
    <w:multiLevelType w:val="hybridMultilevel"/>
    <w:tmpl w:val="B5F86B04"/>
    <w:lvl w:ilvl="0" w:tplc="0DDCFD34">
      <w:start w:val="1"/>
      <w:numFmt w:val="bullet"/>
      <w:pStyle w:val="QuoteListBullet"/>
      <w:lvlText w:val="–"/>
      <w:lvlJc w:val="left"/>
      <w:pPr>
        <w:ind w:left="360" w:hanging="360"/>
      </w:pPr>
      <w:rPr>
        <w:rFonts w:ascii="Arial Narrow" w:hAnsi="Arial Narrow" w:hint="default"/>
        <w:sz w:val="18"/>
      </w:rPr>
    </w:lvl>
    <w:lvl w:ilvl="1" w:tplc="04090003" w:tentative="1">
      <w:start w:val="1"/>
      <w:numFmt w:val="bullet"/>
      <w:lvlText w:val="o"/>
      <w:lvlJc w:val="left"/>
      <w:pPr>
        <w:ind w:left="1840" w:hanging="360"/>
      </w:pPr>
      <w:rPr>
        <w:rFonts w:ascii="Courier New" w:hAnsi="Courier New" w:cs="Courier New" w:hint="default"/>
      </w:rPr>
    </w:lvl>
    <w:lvl w:ilvl="2" w:tplc="04090005" w:tentative="1">
      <w:start w:val="1"/>
      <w:numFmt w:val="bullet"/>
      <w:lvlText w:val=""/>
      <w:lvlJc w:val="left"/>
      <w:pPr>
        <w:ind w:left="2560" w:hanging="360"/>
      </w:pPr>
      <w:rPr>
        <w:rFonts w:ascii="Wingdings" w:hAnsi="Wingdings" w:hint="default"/>
      </w:rPr>
    </w:lvl>
    <w:lvl w:ilvl="3" w:tplc="04090001" w:tentative="1">
      <w:start w:val="1"/>
      <w:numFmt w:val="bullet"/>
      <w:lvlText w:val=""/>
      <w:lvlJc w:val="left"/>
      <w:pPr>
        <w:ind w:left="3280" w:hanging="360"/>
      </w:pPr>
      <w:rPr>
        <w:rFonts w:ascii="Symbol" w:hAnsi="Symbol" w:hint="default"/>
      </w:rPr>
    </w:lvl>
    <w:lvl w:ilvl="4" w:tplc="04090003" w:tentative="1">
      <w:start w:val="1"/>
      <w:numFmt w:val="bullet"/>
      <w:lvlText w:val="o"/>
      <w:lvlJc w:val="left"/>
      <w:pPr>
        <w:ind w:left="4000" w:hanging="360"/>
      </w:pPr>
      <w:rPr>
        <w:rFonts w:ascii="Courier New" w:hAnsi="Courier New" w:cs="Courier New" w:hint="default"/>
      </w:rPr>
    </w:lvl>
    <w:lvl w:ilvl="5" w:tplc="04090005" w:tentative="1">
      <w:start w:val="1"/>
      <w:numFmt w:val="bullet"/>
      <w:lvlText w:val=""/>
      <w:lvlJc w:val="left"/>
      <w:pPr>
        <w:ind w:left="4720" w:hanging="360"/>
      </w:pPr>
      <w:rPr>
        <w:rFonts w:ascii="Wingdings" w:hAnsi="Wingdings" w:hint="default"/>
      </w:rPr>
    </w:lvl>
    <w:lvl w:ilvl="6" w:tplc="04090001" w:tentative="1">
      <w:start w:val="1"/>
      <w:numFmt w:val="bullet"/>
      <w:lvlText w:val=""/>
      <w:lvlJc w:val="left"/>
      <w:pPr>
        <w:ind w:left="5440" w:hanging="360"/>
      </w:pPr>
      <w:rPr>
        <w:rFonts w:ascii="Symbol" w:hAnsi="Symbol" w:hint="default"/>
      </w:rPr>
    </w:lvl>
    <w:lvl w:ilvl="7" w:tplc="04090003" w:tentative="1">
      <w:start w:val="1"/>
      <w:numFmt w:val="bullet"/>
      <w:lvlText w:val="o"/>
      <w:lvlJc w:val="left"/>
      <w:pPr>
        <w:ind w:left="6160" w:hanging="360"/>
      </w:pPr>
      <w:rPr>
        <w:rFonts w:ascii="Courier New" w:hAnsi="Courier New" w:cs="Courier New" w:hint="default"/>
      </w:rPr>
    </w:lvl>
    <w:lvl w:ilvl="8" w:tplc="04090005" w:tentative="1">
      <w:start w:val="1"/>
      <w:numFmt w:val="bullet"/>
      <w:lvlText w:val=""/>
      <w:lvlJc w:val="left"/>
      <w:pPr>
        <w:ind w:left="6880" w:hanging="360"/>
      </w:pPr>
      <w:rPr>
        <w:rFonts w:ascii="Wingdings" w:hAnsi="Wingdings" w:hint="default"/>
      </w:rPr>
    </w:lvl>
  </w:abstractNum>
  <w:abstractNum w:abstractNumId="41" w15:restartNumberingAfterBreak="0">
    <w:nsid w:val="646960D9"/>
    <w:multiLevelType w:val="hybridMultilevel"/>
    <w:tmpl w:val="48FE8E96"/>
    <w:lvl w:ilvl="0" w:tplc="DB82A1F0">
      <w:numFmt w:val="bullet"/>
      <w:lvlText w:val="―"/>
      <w:lvlJc w:val="left"/>
      <w:pPr>
        <w:ind w:left="360" w:hanging="360"/>
      </w:pPr>
      <w:rPr>
        <w:rFonts w:ascii="Arial Narrow" w:eastAsiaTheme="minorHAnsi" w:hAnsi="Arial Narrow"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699F57EA"/>
    <w:multiLevelType w:val="multilevel"/>
    <w:tmpl w:val="CE66BE7A"/>
    <w:numStyleLink w:val="aaclstStyleListNumber"/>
  </w:abstractNum>
  <w:abstractNum w:abstractNumId="43" w15:restartNumberingAfterBreak="0">
    <w:nsid w:val="704A1164"/>
    <w:multiLevelType w:val="hybridMultilevel"/>
    <w:tmpl w:val="AF9A2986"/>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4" w15:restartNumberingAfterBreak="0">
    <w:nsid w:val="7AF83F35"/>
    <w:multiLevelType w:val="hybridMultilevel"/>
    <w:tmpl w:val="266ED1B2"/>
    <w:lvl w:ilvl="0" w:tplc="3ADC6B90">
      <w:start w:val="1"/>
      <w:numFmt w:val="bullet"/>
      <w:pStyle w:val="TableQuoteBulletsmall"/>
      <w:lvlText w:val="–"/>
      <w:lvlJc w:val="left"/>
      <w:pPr>
        <w:ind w:left="720" w:hanging="360"/>
      </w:pPr>
      <w:rPr>
        <w:rFonts w:ascii="Arial Narrow" w:hAnsi="Arial Narrow"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33"/>
  </w:num>
  <w:num w:numId="6">
    <w:abstractNumId w:val="34"/>
  </w:num>
  <w:num w:numId="7">
    <w:abstractNumId w:val="36"/>
  </w:num>
  <w:num w:numId="8">
    <w:abstractNumId w:val="42"/>
  </w:num>
  <w:num w:numId="9">
    <w:abstractNumId w:val="31"/>
  </w:num>
  <w:num w:numId="10">
    <w:abstractNumId w:val="22"/>
  </w:num>
  <w:num w:numId="11">
    <w:abstractNumId w:val="6"/>
  </w:num>
  <w:num w:numId="12">
    <w:abstractNumId w:val="23"/>
  </w:num>
  <w:num w:numId="13">
    <w:abstractNumId w:val="21"/>
  </w:num>
  <w:num w:numId="14">
    <w:abstractNumId w:val="35"/>
  </w:num>
  <w:num w:numId="15">
    <w:abstractNumId w:val="25"/>
  </w:num>
  <w:num w:numId="16">
    <w:abstractNumId w:val="10"/>
  </w:num>
  <w:num w:numId="17">
    <w:abstractNumId w:val="29"/>
  </w:num>
  <w:num w:numId="18">
    <w:abstractNumId w:val="28"/>
  </w:num>
  <w:num w:numId="19">
    <w:abstractNumId w:val="11"/>
  </w:num>
  <w:num w:numId="20">
    <w:abstractNumId w:val="20"/>
  </w:num>
  <w:num w:numId="21">
    <w:abstractNumId w:val="12"/>
  </w:num>
  <w:num w:numId="22">
    <w:abstractNumId w:val="19"/>
  </w:num>
  <w:num w:numId="23">
    <w:abstractNumId w:val="27"/>
  </w:num>
  <w:num w:numId="24">
    <w:abstractNumId w:val="20"/>
  </w:num>
  <w:num w:numId="25">
    <w:abstractNumId w:val="12"/>
  </w:num>
  <w:num w:numId="26">
    <w:abstractNumId w:val="16"/>
  </w:num>
  <w:num w:numId="27">
    <w:abstractNumId w:val="24"/>
  </w:num>
  <w:num w:numId="28">
    <w:abstractNumId w:val="30"/>
  </w:num>
  <w:num w:numId="29">
    <w:abstractNumId w:val="7"/>
  </w:num>
  <w:num w:numId="30">
    <w:abstractNumId w:val="14"/>
  </w:num>
  <w:num w:numId="31">
    <w:abstractNumId w:val="17"/>
  </w:num>
  <w:num w:numId="32">
    <w:abstractNumId w:val="13"/>
  </w:num>
  <w:num w:numId="33">
    <w:abstractNumId w:val="39"/>
  </w:num>
  <w:num w:numId="34">
    <w:abstractNumId w:val="37"/>
  </w:num>
  <w:num w:numId="35">
    <w:abstractNumId w:val="40"/>
  </w:num>
  <w:num w:numId="36">
    <w:abstractNumId w:val="15"/>
  </w:num>
  <w:num w:numId="37">
    <w:abstractNumId w:val="44"/>
  </w:num>
  <w:num w:numId="38">
    <w:abstractNumId w:val="26"/>
  </w:num>
  <w:num w:numId="39">
    <w:abstractNumId w:val="38"/>
  </w:num>
  <w:num w:numId="40">
    <w:abstractNumId w:val="43"/>
  </w:num>
  <w:num w:numId="41">
    <w:abstractNumId w:val="32"/>
  </w:num>
  <w:num w:numId="42">
    <w:abstractNumId w:val="8"/>
  </w:num>
  <w:num w:numId="43">
    <w:abstractNumId w:val="18"/>
  </w:num>
  <w:num w:numId="44">
    <w:abstractNumId w:val="41"/>
  </w:num>
  <w:num w:numId="45">
    <w:abstractNumId w:val="5"/>
  </w:num>
  <w:num w:numId="46">
    <w:abstractNumId w:val="0"/>
  </w:num>
  <w:num w:numId="47">
    <w:abstractNumId w:val="9"/>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0"/>
  <w:displayBackgroundShape/>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styleLockThe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82D"/>
    <w:rsid w:val="00000E22"/>
    <w:rsid w:val="0000100B"/>
    <w:rsid w:val="00001DE0"/>
    <w:rsid w:val="00003627"/>
    <w:rsid w:val="00003A16"/>
    <w:rsid w:val="000053E2"/>
    <w:rsid w:val="00005EA2"/>
    <w:rsid w:val="000064C1"/>
    <w:rsid w:val="00007954"/>
    <w:rsid w:val="00007B50"/>
    <w:rsid w:val="00011422"/>
    <w:rsid w:val="00015BCA"/>
    <w:rsid w:val="000173D6"/>
    <w:rsid w:val="00021A4D"/>
    <w:rsid w:val="00022003"/>
    <w:rsid w:val="00026503"/>
    <w:rsid w:val="00026D8E"/>
    <w:rsid w:val="00026FF3"/>
    <w:rsid w:val="0002750A"/>
    <w:rsid w:val="000327DA"/>
    <w:rsid w:val="00034F27"/>
    <w:rsid w:val="000351AA"/>
    <w:rsid w:val="000446D1"/>
    <w:rsid w:val="00046696"/>
    <w:rsid w:val="00053DD7"/>
    <w:rsid w:val="000540CE"/>
    <w:rsid w:val="0005477D"/>
    <w:rsid w:val="00057123"/>
    <w:rsid w:val="000576C4"/>
    <w:rsid w:val="00063F57"/>
    <w:rsid w:val="00066B02"/>
    <w:rsid w:val="00067CD0"/>
    <w:rsid w:val="00067FE2"/>
    <w:rsid w:val="00071E1C"/>
    <w:rsid w:val="00073407"/>
    <w:rsid w:val="0007431B"/>
    <w:rsid w:val="00074D03"/>
    <w:rsid w:val="00077A7C"/>
    <w:rsid w:val="000819EA"/>
    <w:rsid w:val="00081A25"/>
    <w:rsid w:val="00084DE2"/>
    <w:rsid w:val="000862D2"/>
    <w:rsid w:val="00086941"/>
    <w:rsid w:val="00091367"/>
    <w:rsid w:val="00092043"/>
    <w:rsid w:val="0009250E"/>
    <w:rsid w:val="00092765"/>
    <w:rsid w:val="000A1E3B"/>
    <w:rsid w:val="000A418F"/>
    <w:rsid w:val="000B1D10"/>
    <w:rsid w:val="000B28FA"/>
    <w:rsid w:val="000B4FBF"/>
    <w:rsid w:val="000B5C5D"/>
    <w:rsid w:val="000B78D6"/>
    <w:rsid w:val="000C01F5"/>
    <w:rsid w:val="000C032E"/>
    <w:rsid w:val="000C0FA5"/>
    <w:rsid w:val="000C2BF8"/>
    <w:rsid w:val="000C3A70"/>
    <w:rsid w:val="000C54ED"/>
    <w:rsid w:val="000C66CB"/>
    <w:rsid w:val="000D128A"/>
    <w:rsid w:val="000D427A"/>
    <w:rsid w:val="000D72DC"/>
    <w:rsid w:val="000D7C57"/>
    <w:rsid w:val="000E257E"/>
    <w:rsid w:val="000E2EC3"/>
    <w:rsid w:val="000E38E6"/>
    <w:rsid w:val="000E3D69"/>
    <w:rsid w:val="000E4329"/>
    <w:rsid w:val="000E51CB"/>
    <w:rsid w:val="000E5692"/>
    <w:rsid w:val="000F0AE8"/>
    <w:rsid w:val="000F2F93"/>
    <w:rsid w:val="000F352F"/>
    <w:rsid w:val="000F40E0"/>
    <w:rsid w:val="000F5B52"/>
    <w:rsid w:val="000F6409"/>
    <w:rsid w:val="000F6865"/>
    <w:rsid w:val="000F76C4"/>
    <w:rsid w:val="00102134"/>
    <w:rsid w:val="00102AD1"/>
    <w:rsid w:val="00103373"/>
    <w:rsid w:val="00103EC0"/>
    <w:rsid w:val="0010530F"/>
    <w:rsid w:val="001053EB"/>
    <w:rsid w:val="00113196"/>
    <w:rsid w:val="001157A6"/>
    <w:rsid w:val="001179F7"/>
    <w:rsid w:val="001204F8"/>
    <w:rsid w:val="00123050"/>
    <w:rsid w:val="0012496D"/>
    <w:rsid w:val="00124E1E"/>
    <w:rsid w:val="001304EE"/>
    <w:rsid w:val="00130FA5"/>
    <w:rsid w:val="00131173"/>
    <w:rsid w:val="00134A32"/>
    <w:rsid w:val="00141D9A"/>
    <w:rsid w:val="00142D21"/>
    <w:rsid w:val="001434CD"/>
    <w:rsid w:val="001469A3"/>
    <w:rsid w:val="001479A6"/>
    <w:rsid w:val="00147AF4"/>
    <w:rsid w:val="0015451B"/>
    <w:rsid w:val="001573FD"/>
    <w:rsid w:val="001601D0"/>
    <w:rsid w:val="001602ED"/>
    <w:rsid w:val="001622D7"/>
    <w:rsid w:val="0016324A"/>
    <w:rsid w:val="001657C5"/>
    <w:rsid w:val="0017129B"/>
    <w:rsid w:val="0017439C"/>
    <w:rsid w:val="00175A6F"/>
    <w:rsid w:val="00180717"/>
    <w:rsid w:val="001825A6"/>
    <w:rsid w:val="00185565"/>
    <w:rsid w:val="001925C9"/>
    <w:rsid w:val="00192DFE"/>
    <w:rsid w:val="00192F7B"/>
    <w:rsid w:val="00195694"/>
    <w:rsid w:val="00196AC1"/>
    <w:rsid w:val="001A143B"/>
    <w:rsid w:val="001A50BA"/>
    <w:rsid w:val="001A5652"/>
    <w:rsid w:val="001A6D2D"/>
    <w:rsid w:val="001A7231"/>
    <w:rsid w:val="001B03FB"/>
    <w:rsid w:val="001B2A35"/>
    <w:rsid w:val="001B74F5"/>
    <w:rsid w:val="001B7C23"/>
    <w:rsid w:val="001C18D5"/>
    <w:rsid w:val="001C1F3A"/>
    <w:rsid w:val="001C2D7A"/>
    <w:rsid w:val="001C3D74"/>
    <w:rsid w:val="001C3FD6"/>
    <w:rsid w:val="001C7DF7"/>
    <w:rsid w:val="001C7E12"/>
    <w:rsid w:val="001D2CFD"/>
    <w:rsid w:val="001D339C"/>
    <w:rsid w:val="001D4229"/>
    <w:rsid w:val="001D42B2"/>
    <w:rsid w:val="001D54D3"/>
    <w:rsid w:val="001E19EB"/>
    <w:rsid w:val="001E2A84"/>
    <w:rsid w:val="001E3128"/>
    <w:rsid w:val="001E36CF"/>
    <w:rsid w:val="001E6182"/>
    <w:rsid w:val="001E6797"/>
    <w:rsid w:val="001E76E2"/>
    <w:rsid w:val="001F0C71"/>
    <w:rsid w:val="001F0ECC"/>
    <w:rsid w:val="001F15E7"/>
    <w:rsid w:val="001F28D7"/>
    <w:rsid w:val="001F3B7B"/>
    <w:rsid w:val="001F46CE"/>
    <w:rsid w:val="001F4E65"/>
    <w:rsid w:val="001F52C2"/>
    <w:rsid w:val="001F600F"/>
    <w:rsid w:val="001F6F1F"/>
    <w:rsid w:val="0020185D"/>
    <w:rsid w:val="0020362F"/>
    <w:rsid w:val="00206C0B"/>
    <w:rsid w:val="00207ACF"/>
    <w:rsid w:val="00211F42"/>
    <w:rsid w:val="002141A4"/>
    <w:rsid w:val="00214B27"/>
    <w:rsid w:val="002155F7"/>
    <w:rsid w:val="00217D42"/>
    <w:rsid w:val="00221E70"/>
    <w:rsid w:val="002256B2"/>
    <w:rsid w:val="00227BCF"/>
    <w:rsid w:val="002302E7"/>
    <w:rsid w:val="0023326E"/>
    <w:rsid w:val="00233F7B"/>
    <w:rsid w:val="002378A4"/>
    <w:rsid w:val="00237CB2"/>
    <w:rsid w:val="002409B5"/>
    <w:rsid w:val="00245E41"/>
    <w:rsid w:val="00250502"/>
    <w:rsid w:val="002513B2"/>
    <w:rsid w:val="00252147"/>
    <w:rsid w:val="002525AE"/>
    <w:rsid w:val="00253162"/>
    <w:rsid w:val="00256543"/>
    <w:rsid w:val="00264142"/>
    <w:rsid w:val="00264937"/>
    <w:rsid w:val="0026510A"/>
    <w:rsid w:val="00267459"/>
    <w:rsid w:val="00270FA9"/>
    <w:rsid w:val="00284D72"/>
    <w:rsid w:val="00284F9C"/>
    <w:rsid w:val="002868E6"/>
    <w:rsid w:val="00287BF6"/>
    <w:rsid w:val="00292E56"/>
    <w:rsid w:val="00293531"/>
    <w:rsid w:val="002943DA"/>
    <w:rsid w:val="002947CB"/>
    <w:rsid w:val="00295CA4"/>
    <w:rsid w:val="00296AEB"/>
    <w:rsid w:val="00296BE7"/>
    <w:rsid w:val="0029726B"/>
    <w:rsid w:val="00297B3F"/>
    <w:rsid w:val="002A06E8"/>
    <w:rsid w:val="002A152B"/>
    <w:rsid w:val="002A15E1"/>
    <w:rsid w:val="002A1767"/>
    <w:rsid w:val="002A2755"/>
    <w:rsid w:val="002A6939"/>
    <w:rsid w:val="002B243D"/>
    <w:rsid w:val="002B312D"/>
    <w:rsid w:val="002B3634"/>
    <w:rsid w:val="002B44F4"/>
    <w:rsid w:val="002B4524"/>
    <w:rsid w:val="002B5B63"/>
    <w:rsid w:val="002B638B"/>
    <w:rsid w:val="002B6CAA"/>
    <w:rsid w:val="002B6FB4"/>
    <w:rsid w:val="002C3576"/>
    <w:rsid w:val="002C3620"/>
    <w:rsid w:val="002C647A"/>
    <w:rsid w:val="002D1DAF"/>
    <w:rsid w:val="002D2C08"/>
    <w:rsid w:val="002D2C75"/>
    <w:rsid w:val="002D4AEE"/>
    <w:rsid w:val="002D7D78"/>
    <w:rsid w:val="002E0E3F"/>
    <w:rsid w:val="002E1777"/>
    <w:rsid w:val="002E304F"/>
    <w:rsid w:val="002E63D2"/>
    <w:rsid w:val="002F0839"/>
    <w:rsid w:val="002F0D35"/>
    <w:rsid w:val="002F1B79"/>
    <w:rsid w:val="002F2A61"/>
    <w:rsid w:val="002F4A93"/>
    <w:rsid w:val="002F669C"/>
    <w:rsid w:val="002F7D35"/>
    <w:rsid w:val="00300DAD"/>
    <w:rsid w:val="00300F6F"/>
    <w:rsid w:val="00301E63"/>
    <w:rsid w:val="00302E3C"/>
    <w:rsid w:val="003039B9"/>
    <w:rsid w:val="00303C43"/>
    <w:rsid w:val="0030429A"/>
    <w:rsid w:val="0031079A"/>
    <w:rsid w:val="003146B1"/>
    <w:rsid w:val="00315CD5"/>
    <w:rsid w:val="0032678F"/>
    <w:rsid w:val="00330931"/>
    <w:rsid w:val="00330F93"/>
    <w:rsid w:val="0033174F"/>
    <w:rsid w:val="00336AEE"/>
    <w:rsid w:val="00341017"/>
    <w:rsid w:val="00342CC6"/>
    <w:rsid w:val="003431FA"/>
    <w:rsid w:val="00343202"/>
    <w:rsid w:val="00343726"/>
    <w:rsid w:val="00345235"/>
    <w:rsid w:val="00351625"/>
    <w:rsid w:val="00353C25"/>
    <w:rsid w:val="003567A2"/>
    <w:rsid w:val="003574F0"/>
    <w:rsid w:val="00360A6B"/>
    <w:rsid w:val="00361875"/>
    <w:rsid w:val="003649DE"/>
    <w:rsid w:val="00364B3D"/>
    <w:rsid w:val="00364DC7"/>
    <w:rsid w:val="00366873"/>
    <w:rsid w:val="00367B86"/>
    <w:rsid w:val="00370008"/>
    <w:rsid w:val="00371BDA"/>
    <w:rsid w:val="00371E40"/>
    <w:rsid w:val="00372803"/>
    <w:rsid w:val="00373EAF"/>
    <w:rsid w:val="00375731"/>
    <w:rsid w:val="00376429"/>
    <w:rsid w:val="00382758"/>
    <w:rsid w:val="00382C94"/>
    <w:rsid w:val="003864DE"/>
    <w:rsid w:val="00387403"/>
    <w:rsid w:val="00393F90"/>
    <w:rsid w:val="00394AB1"/>
    <w:rsid w:val="00394BBC"/>
    <w:rsid w:val="003A23A9"/>
    <w:rsid w:val="003A2EE4"/>
    <w:rsid w:val="003A54CF"/>
    <w:rsid w:val="003B1793"/>
    <w:rsid w:val="003B23ED"/>
    <w:rsid w:val="003B46BB"/>
    <w:rsid w:val="003B4A14"/>
    <w:rsid w:val="003C00BA"/>
    <w:rsid w:val="003C17D0"/>
    <w:rsid w:val="003C39D2"/>
    <w:rsid w:val="003C5F61"/>
    <w:rsid w:val="003C767F"/>
    <w:rsid w:val="003D113B"/>
    <w:rsid w:val="003D2CF2"/>
    <w:rsid w:val="003D3540"/>
    <w:rsid w:val="003D36B4"/>
    <w:rsid w:val="003D372D"/>
    <w:rsid w:val="003D48B0"/>
    <w:rsid w:val="003E0722"/>
    <w:rsid w:val="003E15C4"/>
    <w:rsid w:val="003E1BB8"/>
    <w:rsid w:val="003E1F2E"/>
    <w:rsid w:val="003E2F62"/>
    <w:rsid w:val="003E4810"/>
    <w:rsid w:val="003E4A31"/>
    <w:rsid w:val="003E4B1E"/>
    <w:rsid w:val="003E7AC0"/>
    <w:rsid w:val="003F010B"/>
    <w:rsid w:val="003F4A19"/>
    <w:rsid w:val="003F56F0"/>
    <w:rsid w:val="003F6471"/>
    <w:rsid w:val="003F70C7"/>
    <w:rsid w:val="004051FB"/>
    <w:rsid w:val="0040609B"/>
    <w:rsid w:val="00407110"/>
    <w:rsid w:val="004110C6"/>
    <w:rsid w:val="0041126C"/>
    <w:rsid w:val="0041562B"/>
    <w:rsid w:val="00417A69"/>
    <w:rsid w:val="004205B4"/>
    <w:rsid w:val="00420C69"/>
    <w:rsid w:val="00431942"/>
    <w:rsid w:val="00431980"/>
    <w:rsid w:val="00433007"/>
    <w:rsid w:val="004341CB"/>
    <w:rsid w:val="00437940"/>
    <w:rsid w:val="00440C91"/>
    <w:rsid w:val="00440EBB"/>
    <w:rsid w:val="004448AF"/>
    <w:rsid w:val="00445229"/>
    <w:rsid w:val="00447F23"/>
    <w:rsid w:val="00451623"/>
    <w:rsid w:val="00453F15"/>
    <w:rsid w:val="00454325"/>
    <w:rsid w:val="00454D04"/>
    <w:rsid w:val="004550C0"/>
    <w:rsid w:val="004552DF"/>
    <w:rsid w:val="004555DB"/>
    <w:rsid w:val="00460849"/>
    <w:rsid w:val="004625F2"/>
    <w:rsid w:val="00462970"/>
    <w:rsid w:val="00462B11"/>
    <w:rsid w:val="0046318E"/>
    <w:rsid w:val="004653A9"/>
    <w:rsid w:val="004705CB"/>
    <w:rsid w:val="004746BD"/>
    <w:rsid w:val="00474FA1"/>
    <w:rsid w:val="004767E9"/>
    <w:rsid w:val="004818CD"/>
    <w:rsid w:val="004834FE"/>
    <w:rsid w:val="00483CBB"/>
    <w:rsid w:val="00484C09"/>
    <w:rsid w:val="0048517A"/>
    <w:rsid w:val="00485D90"/>
    <w:rsid w:val="0049099B"/>
    <w:rsid w:val="004924E8"/>
    <w:rsid w:val="00492675"/>
    <w:rsid w:val="00494DD0"/>
    <w:rsid w:val="0049773B"/>
    <w:rsid w:val="004A18BF"/>
    <w:rsid w:val="004A5A83"/>
    <w:rsid w:val="004A5BDF"/>
    <w:rsid w:val="004A6B45"/>
    <w:rsid w:val="004A6CB3"/>
    <w:rsid w:val="004A7506"/>
    <w:rsid w:val="004A7922"/>
    <w:rsid w:val="004B112E"/>
    <w:rsid w:val="004B1355"/>
    <w:rsid w:val="004B2164"/>
    <w:rsid w:val="004B3B84"/>
    <w:rsid w:val="004B3C03"/>
    <w:rsid w:val="004B495D"/>
    <w:rsid w:val="004C0867"/>
    <w:rsid w:val="004C10F0"/>
    <w:rsid w:val="004C2AAD"/>
    <w:rsid w:val="004C722F"/>
    <w:rsid w:val="004D0CF2"/>
    <w:rsid w:val="004D1353"/>
    <w:rsid w:val="004D6322"/>
    <w:rsid w:val="004D7533"/>
    <w:rsid w:val="004E192A"/>
    <w:rsid w:val="004E2C7E"/>
    <w:rsid w:val="004E479D"/>
    <w:rsid w:val="004F2133"/>
    <w:rsid w:val="004F52D4"/>
    <w:rsid w:val="004F5465"/>
    <w:rsid w:val="004F621C"/>
    <w:rsid w:val="00501F07"/>
    <w:rsid w:val="00504F06"/>
    <w:rsid w:val="00505A17"/>
    <w:rsid w:val="00505E09"/>
    <w:rsid w:val="0051022C"/>
    <w:rsid w:val="0051184D"/>
    <w:rsid w:val="005137B8"/>
    <w:rsid w:val="00513842"/>
    <w:rsid w:val="00513DAD"/>
    <w:rsid w:val="00520FAF"/>
    <w:rsid w:val="0052237D"/>
    <w:rsid w:val="00522580"/>
    <w:rsid w:val="0052280F"/>
    <w:rsid w:val="0052525A"/>
    <w:rsid w:val="00525571"/>
    <w:rsid w:val="005255AB"/>
    <w:rsid w:val="00525BD7"/>
    <w:rsid w:val="00526257"/>
    <w:rsid w:val="00531BF7"/>
    <w:rsid w:val="00533568"/>
    <w:rsid w:val="00533E1D"/>
    <w:rsid w:val="005348D7"/>
    <w:rsid w:val="00536D51"/>
    <w:rsid w:val="00540385"/>
    <w:rsid w:val="00540A24"/>
    <w:rsid w:val="00541419"/>
    <w:rsid w:val="00541607"/>
    <w:rsid w:val="00542D93"/>
    <w:rsid w:val="0054344D"/>
    <w:rsid w:val="00544C25"/>
    <w:rsid w:val="005562DF"/>
    <w:rsid w:val="00557FA4"/>
    <w:rsid w:val="00561F2A"/>
    <w:rsid w:val="00564F22"/>
    <w:rsid w:val="00565797"/>
    <w:rsid w:val="00567716"/>
    <w:rsid w:val="0057448B"/>
    <w:rsid w:val="005753AD"/>
    <w:rsid w:val="00582F7A"/>
    <w:rsid w:val="0058443F"/>
    <w:rsid w:val="00584B78"/>
    <w:rsid w:val="005867A1"/>
    <w:rsid w:val="00590449"/>
    <w:rsid w:val="00590F1C"/>
    <w:rsid w:val="00592388"/>
    <w:rsid w:val="0059608F"/>
    <w:rsid w:val="005965C6"/>
    <w:rsid w:val="005966BD"/>
    <w:rsid w:val="00597892"/>
    <w:rsid w:val="005A0654"/>
    <w:rsid w:val="005A335C"/>
    <w:rsid w:val="005A372F"/>
    <w:rsid w:val="005A62C6"/>
    <w:rsid w:val="005A7DF9"/>
    <w:rsid w:val="005B0EEA"/>
    <w:rsid w:val="005B1F15"/>
    <w:rsid w:val="005B49E5"/>
    <w:rsid w:val="005B6578"/>
    <w:rsid w:val="005B6FFD"/>
    <w:rsid w:val="005C2861"/>
    <w:rsid w:val="005D1AB4"/>
    <w:rsid w:val="005D3013"/>
    <w:rsid w:val="005D3221"/>
    <w:rsid w:val="005D3CBE"/>
    <w:rsid w:val="005D7123"/>
    <w:rsid w:val="005D7A17"/>
    <w:rsid w:val="005E05D9"/>
    <w:rsid w:val="005E0A6E"/>
    <w:rsid w:val="005E1FB2"/>
    <w:rsid w:val="005E3A86"/>
    <w:rsid w:val="005E5912"/>
    <w:rsid w:val="005F1E5D"/>
    <w:rsid w:val="005F24BC"/>
    <w:rsid w:val="005F2BCE"/>
    <w:rsid w:val="005F352F"/>
    <w:rsid w:val="005F4842"/>
    <w:rsid w:val="005F4A6A"/>
    <w:rsid w:val="005F5F8D"/>
    <w:rsid w:val="005F644B"/>
    <w:rsid w:val="006012AE"/>
    <w:rsid w:val="00601986"/>
    <w:rsid w:val="00604733"/>
    <w:rsid w:val="0060494B"/>
    <w:rsid w:val="006065BC"/>
    <w:rsid w:val="0060673E"/>
    <w:rsid w:val="00606AB8"/>
    <w:rsid w:val="00611F94"/>
    <w:rsid w:val="006122A0"/>
    <w:rsid w:val="00612331"/>
    <w:rsid w:val="006129C9"/>
    <w:rsid w:val="00612ABB"/>
    <w:rsid w:val="00623CE3"/>
    <w:rsid w:val="00624EEC"/>
    <w:rsid w:val="00633841"/>
    <w:rsid w:val="006356E5"/>
    <w:rsid w:val="00635E40"/>
    <w:rsid w:val="00640C76"/>
    <w:rsid w:val="00641A90"/>
    <w:rsid w:val="00650FE7"/>
    <w:rsid w:val="00654E02"/>
    <w:rsid w:val="0065577E"/>
    <w:rsid w:val="0065744E"/>
    <w:rsid w:val="00660CD3"/>
    <w:rsid w:val="0066179C"/>
    <w:rsid w:val="006627E0"/>
    <w:rsid w:val="006629A7"/>
    <w:rsid w:val="0066593E"/>
    <w:rsid w:val="006660D3"/>
    <w:rsid w:val="00666C58"/>
    <w:rsid w:val="00667079"/>
    <w:rsid w:val="00670280"/>
    <w:rsid w:val="00672123"/>
    <w:rsid w:val="00672462"/>
    <w:rsid w:val="00672B7C"/>
    <w:rsid w:val="00680111"/>
    <w:rsid w:val="006804C3"/>
    <w:rsid w:val="0068302E"/>
    <w:rsid w:val="006848BA"/>
    <w:rsid w:val="00685950"/>
    <w:rsid w:val="00685DD3"/>
    <w:rsid w:val="00686BD3"/>
    <w:rsid w:val="006932C6"/>
    <w:rsid w:val="0069382D"/>
    <w:rsid w:val="00695E8A"/>
    <w:rsid w:val="0069796A"/>
    <w:rsid w:val="006A0747"/>
    <w:rsid w:val="006A20FC"/>
    <w:rsid w:val="006A22C0"/>
    <w:rsid w:val="006A2956"/>
    <w:rsid w:val="006A2C9A"/>
    <w:rsid w:val="006A36B1"/>
    <w:rsid w:val="006A66CF"/>
    <w:rsid w:val="006B4D62"/>
    <w:rsid w:val="006B5BA3"/>
    <w:rsid w:val="006B6069"/>
    <w:rsid w:val="006C0D70"/>
    <w:rsid w:val="006C164C"/>
    <w:rsid w:val="006C321C"/>
    <w:rsid w:val="006C61B9"/>
    <w:rsid w:val="006C71C5"/>
    <w:rsid w:val="006D0FC8"/>
    <w:rsid w:val="006D2538"/>
    <w:rsid w:val="006D4FEA"/>
    <w:rsid w:val="006D7397"/>
    <w:rsid w:val="006E204C"/>
    <w:rsid w:val="006E3595"/>
    <w:rsid w:val="006E36A4"/>
    <w:rsid w:val="006E428D"/>
    <w:rsid w:val="006E4B7F"/>
    <w:rsid w:val="006E74EB"/>
    <w:rsid w:val="006F0E81"/>
    <w:rsid w:val="006F1758"/>
    <w:rsid w:val="006F1767"/>
    <w:rsid w:val="006F2B22"/>
    <w:rsid w:val="006F469E"/>
    <w:rsid w:val="006F7B3F"/>
    <w:rsid w:val="006F7C05"/>
    <w:rsid w:val="0070077A"/>
    <w:rsid w:val="0070397F"/>
    <w:rsid w:val="00705129"/>
    <w:rsid w:val="00705F23"/>
    <w:rsid w:val="00710814"/>
    <w:rsid w:val="00712A5F"/>
    <w:rsid w:val="0071418F"/>
    <w:rsid w:val="00715863"/>
    <w:rsid w:val="00715973"/>
    <w:rsid w:val="00717C21"/>
    <w:rsid w:val="0072373A"/>
    <w:rsid w:val="007258DF"/>
    <w:rsid w:val="007276D8"/>
    <w:rsid w:val="007300E8"/>
    <w:rsid w:val="00732C95"/>
    <w:rsid w:val="00732D42"/>
    <w:rsid w:val="00734D3D"/>
    <w:rsid w:val="00736FF3"/>
    <w:rsid w:val="00740413"/>
    <w:rsid w:val="00740769"/>
    <w:rsid w:val="007413CF"/>
    <w:rsid w:val="00741A7B"/>
    <w:rsid w:val="0074636D"/>
    <w:rsid w:val="00746A67"/>
    <w:rsid w:val="00750D3D"/>
    <w:rsid w:val="0075153F"/>
    <w:rsid w:val="0076101E"/>
    <w:rsid w:val="00761071"/>
    <w:rsid w:val="00762173"/>
    <w:rsid w:val="007633B5"/>
    <w:rsid w:val="00763B63"/>
    <w:rsid w:val="00764A9D"/>
    <w:rsid w:val="00764EB1"/>
    <w:rsid w:val="00765BB2"/>
    <w:rsid w:val="00765DEF"/>
    <w:rsid w:val="00770555"/>
    <w:rsid w:val="00770D0E"/>
    <w:rsid w:val="007737DD"/>
    <w:rsid w:val="00774632"/>
    <w:rsid w:val="0078105D"/>
    <w:rsid w:val="00781203"/>
    <w:rsid w:val="00781304"/>
    <w:rsid w:val="00782356"/>
    <w:rsid w:val="00782633"/>
    <w:rsid w:val="007855C9"/>
    <w:rsid w:val="00785DAA"/>
    <w:rsid w:val="00786D98"/>
    <w:rsid w:val="00787FB4"/>
    <w:rsid w:val="00790842"/>
    <w:rsid w:val="007932D2"/>
    <w:rsid w:val="007938D9"/>
    <w:rsid w:val="00793B38"/>
    <w:rsid w:val="007A1923"/>
    <w:rsid w:val="007A1CE9"/>
    <w:rsid w:val="007A2182"/>
    <w:rsid w:val="007A6953"/>
    <w:rsid w:val="007A77EC"/>
    <w:rsid w:val="007B3A29"/>
    <w:rsid w:val="007B4B86"/>
    <w:rsid w:val="007B62A9"/>
    <w:rsid w:val="007B677E"/>
    <w:rsid w:val="007C295B"/>
    <w:rsid w:val="007C3BC7"/>
    <w:rsid w:val="007C5640"/>
    <w:rsid w:val="007C57CD"/>
    <w:rsid w:val="007D08A9"/>
    <w:rsid w:val="007D0CE1"/>
    <w:rsid w:val="007D3028"/>
    <w:rsid w:val="007D51A4"/>
    <w:rsid w:val="007E23A9"/>
    <w:rsid w:val="007E495B"/>
    <w:rsid w:val="007E5934"/>
    <w:rsid w:val="007F0A2C"/>
    <w:rsid w:val="007F0ABB"/>
    <w:rsid w:val="007F14E3"/>
    <w:rsid w:val="007F1E9E"/>
    <w:rsid w:val="007F1EE2"/>
    <w:rsid w:val="007F2070"/>
    <w:rsid w:val="007F21A1"/>
    <w:rsid w:val="007F29E7"/>
    <w:rsid w:val="007F553C"/>
    <w:rsid w:val="007F5595"/>
    <w:rsid w:val="00801BFE"/>
    <w:rsid w:val="0080251E"/>
    <w:rsid w:val="00802CE0"/>
    <w:rsid w:val="0080445A"/>
    <w:rsid w:val="00805798"/>
    <w:rsid w:val="0081061A"/>
    <w:rsid w:val="008134C9"/>
    <w:rsid w:val="008146BE"/>
    <w:rsid w:val="00820CA1"/>
    <w:rsid w:val="00821C81"/>
    <w:rsid w:val="00821D5E"/>
    <w:rsid w:val="00822934"/>
    <w:rsid w:val="00822A9C"/>
    <w:rsid w:val="00823F92"/>
    <w:rsid w:val="008272B3"/>
    <w:rsid w:val="0083073C"/>
    <w:rsid w:val="00830EBA"/>
    <w:rsid w:val="0083198F"/>
    <w:rsid w:val="00834146"/>
    <w:rsid w:val="00834951"/>
    <w:rsid w:val="00837377"/>
    <w:rsid w:val="00840897"/>
    <w:rsid w:val="008414BC"/>
    <w:rsid w:val="00844576"/>
    <w:rsid w:val="00844E1D"/>
    <w:rsid w:val="00851066"/>
    <w:rsid w:val="00852A5B"/>
    <w:rsid w:val="008549C0"/>
    <w:rsid w:val="00855641"/>
    <w:rsid w:val="00856DDF"/>
    <w:rsid w:val="00860EF5"/>
    <w:rsid w:val="008632A4"/>
    <w:rsid w:val="00864D33"/>
    <w:rsid w:val="008659C7"/>
    <w:rsid w:val="008726C0"/>
    <w:rsid w:val="00874649"/>
    <w:rsid w:val="00880724"/>
    <w:rsid w:val="00880B77"/>
    <w:rsid w:val="008814C1"/>
    <w:rsid w:val="00882CC5"/>
    <w:rsid w:val="00882CF7"/>
    <w:rsid w:val="00885F62"/>
    <w:rsid w:val="00886BC5"/>
    <w:rsid w:val="00887521"/>
    <w:rsid w:val="008924FF"/>
    <w:rsid w:val="0089270E"/>
    <w:rsid w:val="008937C0"/>
    <w:rsid w:val="00895FFD"/>
    <w:rsid w:val="008960E2"/>
    <w:rsid w:val="00896353"/>
    <w:rsid w:val="00897F89"/>
    <w:rsid w:val="008A080B"/>
    <w:rsid w:val="008A3AF6"/>
    <w:rsid w:val="008A4BEE"/>
    <w:rsid w:val="008A7302"/>
    <w:rsid w:val="008A7E12"/>
    <w:rsid w:val="008B5F7E"/>
    <w:rsid w:val="008B7BA5"/>
    <w:rsid w:val="008C17D4"/>
    <w:rsid w:val="008C398A"/>
    <w:rsid w:val="008C3DC4"/>
    <w:rsid w:val="008C4287"/>
    <w:rsid w:val="008C75A9"/>
    <w:rsid w:val="008C7ABB"/>
    <w:rsid w:val="008C7CA6"/>
    <w:rsid w:val="008D37F9"/>
    <w:rsid w:val="008D57D0"/>
    <w:rsid w:val="008D5BD0"/>
    <w:rsid w:val="008D5FAD"/>
    <w:rsid w:val="008E1E86"/>
    <w:rsid w:val="008E2332"/>
    <w:rsid w:val="008E3576"/>
    <w:rsid w:val="008E405F"/>
    <w:rsid w:val="008E49D6"/>
    <w:rsid w:val="008E7F92"/>
    <w:rsid w:val="008F33B4"/>
    <w:rsid w:val="008F43EA"/>
    <w:rsid w:val="008F4AE5"/>
    <w:rsid w:val="008F7A9A"/>
    <w:rsid w:val="009002C6"/>
    <w:rsid w:val="00906ACB"/>
    <w:rsid w:val="00907FF8"/>
    <w:rsid w:val="0091014B"/>
    <w:rsid w:val="009125CF"/>
    <w:rsid w:val="00912BBD"/>
    <w:rsid w:val="00923427"/>
    <w:rsid w:val="00923EBB"/>
    <w:rsid w:val="009245F1"/>
    <w:rsid w:val="00926616"/>
    <w:rsid w:val="009274CD"/>
    <w:rsid w:val="00932592"/>
    <w:rsid w:val="0093351A"/>
    <w:rsid w:val="00934DCA"/>
    <w:rsid w:val="0093598C"/>
    <w:rsid w:val="00935C9F"/>
    <w:rsid w:val="00937BAA"/>
    <w:rsid w:val="0094069A"/>
    <w:rsid w:val="009421FF"/>
    <w:rsid w:val="00942450"/>
    <w:rsid w:val="009424C6"/>
    <w:rsid w:val="00945D33"/>
    <w:rsid w:val="009469A8"/>
    <w:rsid w:val="00946B47"/>
    <w:rsid w:val="00946FF1"/>
    <w:rsid w:val="009511F9"/>
    <w:rsid w:val="00951735"/>
    <w:rsid w:val="00952566"/>
    <w:rsid w:val="009530A5"/>
    <w:rsid w:val="00957A4C"/>
    <w:rsid w:val="0096040A"/>
    <w:rsid w:val="009637A8"/>
    <w:rsid w:val="00963D07"/>
    <w:rsid w:val="00966AD6"/>
    <w:rsid w:val="009723D3"/>
    <w:rsid w:val="009767CC"/>
    <w:rsid w:val="0097727E"/>
    <w:rsid w:val="0098021D"/>
    <w:rsid w:val="009802C6"/>
    <w:rsid w:val="009806CF"/>
    <w:rsid w:val="0098439A"/>
    <w:rsid w:val="009849EB"/>
    <w:rsid w:val="00991F59"/>
    <w:rsid w:val="009942A3"/>
    <w:rsid w:val="00994F17"/>
    <w:rsid w:val="009952D8"/>
    <w:rsid w:val="009971AF"/>
    <w:rsid w:val="009977DD"/>
    <w:rsid w:val="00997BCC"/>
    <w:rsid w:val="009A10C1"/>
    <w:rsid w:val="009A3405"/>
    <w:rsid w:val="009A4E1F"/>
    <w:rsid w:val="009A52E2"/>
    <w:rsid w:val="009A6658"/>
    <w:rsid w:val="009A6956"/>
    <w:rsid w:val="009A7921"/>
    <w:rsid w:val="009B459A"/>
    <w:rsid w:val="009C0F89"/>
    <w:rsid w:val="009C4473"/>
    <w:rsid w:val="009C492E"/>
    <w:rsid w:val="009C50AB"/>
    <w:rsid w:val="009C64ED"/>
    <w:rsid w:val="009D107B"/>
    <w:rsid w:val="009D21E0"/>
    <w:rsid w:val="009D42AE"/>
    <w:rsid w:val="009D4B1F"/>
    <w:rsid w:val="009E236A"/>
    <w:rsid w:val="009E3512"/>
    <w:rsid w:val="009E3722"/>
    <w:rsid w:val="009E3FD9"/>
    <w:rsid w:val="009E46E4"/>
    <w:rsid w:val="009E5A4E"/>
    <w:rsid w:val="009E5CBD"/>
    <w:rsid w:val="009E6B83"/>
    <w:rsid w:val="009E7C31"/>
    <w:rsid w:val="009F0C97"/>
    <w:rsid w:val="009F1132"/>
    <w:rsid w:val="009F1ECB"/>
    <w:rsid w:val="009F2C0F"/>
    <w:rsid w:val="009F2FDB"/>
    <w:rsid w:val="009F3104"/>
    <w:rsid w:val="009F5298"/>
    <w:rsid w:val="00A0044F"/>
    <w:rsid w:val="00A017BE"/>
    <w:rsid w:val="00A02852"/>
    <w:rsid w:val="00A03AA8"/>
    <w:rsid w:val="00A0427A"/>
    <w:rsid w:val="00A10DCA"/>
    <w:rsid w:val="00A128A4"/>
    <w:rsid w:val="00A177C2"/>
    <w:rsid w:val="00A21637"/>
    <w:rsid w:val="00A23A22"/>
    <w:rsid w:val="00A24286"/>
    <w:rsid w:val="00A24D9C"/>
    <w:rsid w:val="00A26008"/>
    <w:rsid w:val="00A27AFA"/>
    <w:rsid w:val="00A30807"/>
    <w:rsid w:val="00A3392A"/>
    <w:rsid w:val="00A3769B"/>
    <w:rsid w:val="00A401BD"/>
    <w:rsid w:val="00A403B2"/>
    <w:rsid w:val="00A4165F"/>
    <w:rsid w:val="00A4211E"/>
    <w:rsid w:val="00A434C1"/>
    <w:rsid w:val="00A43852"/>
    <w:rsid w:val="00A50BEA"/>
    <w:rsid w:val="00A53217"/>
    <w:rsid w:val="00A532FF"/>
    <w:rsid w:val="00A631E8"/>
    <w:rsid w:val="00A639D1"/>
    <w:rsid w:val="00A66F30"/>
    <w:rsid w:val="00A67235"/>
    <w:rsid w:val="00A67959"/>
    <w:rsid w:val="00A67C8D"/>
    <w:rsid w:val="00A7211E"/>
    <w:rsid w:val="00A729FF"/>
    <w:rsid w:val="00A73CD2"/>
    <w:rsid w:val="00A73E42"/>
    <w:rsid w:val="00A74B3A"/>
    <w:rsid w:val="00A7778E"/>
    <w:rsid w:val="00A83B42"/>
    <w:rsid w:val="00A85EB6"/>
    <w:rsid w:val="00A86812"/>
    <w:rsid w:val="00A90412"/>
    <w:rsid w:val="00A9106C"/>
    <w:rsid w:val="00A94B1F"/>
    <w:rsid w:val="00A94D92"/>
    <w:rsid w:val="00A952D6"/>
    <w:rsid w:val="00A95E46"/>
    <w:rsid w:val="00A97DB8"/>
    <w:rsid w:val="00AA0245"/>
    <w:rsid w:val="00AA3434"/>
    <w:rsid w:val="00AA577A"/>
    <w:rsid w:val="00AA5C65"/>
    <w:rsid w:val="00AA71D5"/>
    <w:rsid w:val="00AA7555"/>
    <w:rsid w:val="00AB245D"/>
    <w:rsid w:val="00AB594B"/>
    <w:rsid w:val="00AC700F"/>
    <w:rsid w:val="00AD0C70"/>
    <w:rsid w:val="00AD1794"/>
    <w:rsid w:val="00AD51E2"/>
    <w:rsid w:val="00AD69F9"/>
    <w:rsid w:val="00AE3F4D"/>
    <w:rsid w:val="00AE3FE1"/>
    <w:rsid w:val="00AE5772"/>
    <w:rsid w:val="00AE6C68"/>
    <w:rsid w:val="00AE7690"/>
    <w:rsid w:val="00AF0BAF"/>
    <w:rsid w:val="00AF196E"/>
    <w:rsid w:val="00AF2E4E"/>
    <w:rsid w:val="00AF3C4F"/>
    <w:rsid w:val="00AF5330"/>
    <w:rsid w:val="00AF6884"/>
    <w:rsid w:val="00AF701A"/>
    <w:rsid w:val="00AF75C7"/>
    <w:rsid w:val="00B0009B"/>
    <w:rsid w:val="00B006AF"/>
    <w:rsid w:val="00B02815"/>
    <w:rsid w:val="00B055CA"/>
    <w:rsid w:val="00B05EA8"/>
    <w:rsid w:val="00B06AA0"/>
    <w:rsid w:val="00B167DE"/>
    <w:rsid w:val="00B215AD"/>
    <w:rsid w:val="00B25F65"/>
    <w:rsid w:val="00B26DB5"/>
    <w:rsid w:val="00B270EB"/>
    <w:rsid w:val="00B3212D"/>
    <w:rsid w:val="00B33393"/>
    <w:rsid w:val="00B33E0D"/>
    <w:rsid w:val="00B353EA"/>
    <w:rsid w:val="00B4010F"/>
    <w:rsid w:val="00B421CA"/>
    <w:rsid w:val="00B44A58"/>
    <w:rsid w:val="00B44DDB"/>
    <w:rsid w:val="00B470A1"/>
    <w:rsid w:val="00B5047E"/>
    <w:rsid w:val="00B53784"/>
    <w:rsid w:val="00B549B6"/>
    <w:rsid w:val="00B54D02"/>
    <w:rsid w:val="00B5554F"/>
    <w:rsid w:val="00B55552"/>
    <w:rsid w:val="00B61412"/>
    <w:rsid w:val="00B649EB"/>
    <w:rsid w:val="00B6535E"/>
    <w:rsid w:val="00B67518"/>
    <w:rsid w:val="00B700EA"/>
    <w:rsid w:val="00B710CC"/>
    <w:rsid w:val="00B714F9"/>
    <w:rsid w:val="00B75D86"/>
    <w:rsid w:val="00B80191"/>
    <w:rsid w:val="00B8498E"/>
    <w:rsid w:val="00B84C75"/>
    <w:rsid w:val="00B9126B"/>
    <w:rsid w:val="00B9265D"/>
    <w:rsid w:val="00B92C0D"/>
    <w:rsid w:val="00B955EF"/>
    <w:rsid w:val="00B97397"/>
    <w:rsid w:val="00B97FEB"/>
    <w:rsid w:val="00BA219F"/>
    <w:rsid w:val="00BA6C0A"/>
    <w:rsid w:val="00BB1A1D"/>
    <w:rsid w:val="00BB6DD7"/>
    <w:rsid w:val="00BB7083"/>
    <w:rsid w:val="00BC3187"/>
    <w:rsid w:val="00BC3457"/>
    <w:rsid w:val="00BC46FF"/>
    <w:rsid w:val="00BC69A5"/>
    <w:rsid w:val="00BC7345"/>
    <w:rsid w:val="00BC7D7A"/>
    <w:rsid w:val="00BD0792"/>
    <w:rsid w:val="00BD4853"/>
    <w:rsid w:val="00BD6939"/>
    <w:rsid w:val="00BD70A3"/>
    <w:rsid w:val="00BE2E5D"/>
    <w:rsid w:val="00BE307E"/>
    <w:rsid w:val="00BE319F"/>
    <w:rsid w:val="00BE60AA"/>
    <w:rsid w:val="00BE62A8"/>
    <w:rsid w:val="00BE71E2"/>
    <w:rsid w:val="00BE72A9"/>
    <w:rsid w:val="00BE7BA6"/>
    <w:rsid w:val="00BF0522"/>
    <w:rsid w:val="00BF1BF7"/>
    <w:rsid w:val="00BF3CBC"/>
    <w:rsid w:val="00BF5F23"/>
    <w:rsid w:val="00BF75AE"/>
    <w:rsid w:val="00C023DC"/>
    <w:rsid w:val="00C03888"/>
    <w:rsid w:val="00C04AD3"/>
    <w:rsid w:val="00C0529E"/>
    <w:rsid w:val="00C0579A"/>
    <w:rsid w:val="00C06465"/>
    <w:rsid w:val="00C077D5"/>
    <w:rsid w:val="00C07AE6"/>
    <w:rsid w:val="00C07C50"/>
    <w:rsid w:val="00C10B2C"/>
    <w:rsid w:val="00C10D37"/>
    <w:rsid w:val="00C13277"/>
    <w:rsid w:val="00C17F3C"/>
    <w:rsid w:val="00C20234"/>
    <w:rsid w:val="00C20E8F"/>
    <w:rsid w:val="00C226A0"/>
    <w:rsid w:val="00C27792"/>
    <w:rsid w:val="00C27FE0"/>
    <w:rsid w:val="00C31051"/>
    <w:rsid w:val="00C361DC"/>
    <w:rsid w:val="00C369F0"/>
    <w:rsid w:val="00C37E6A"/>
    <w:rsid w:val="00C410BA"/>
    <w:rsid w:val="00C427F8"/>
    <w:rsid w:val="00C42B53"/>
    <w:rsid w:val="00C43861"/>
    <w:rsid w:val="00C43F19"/>
    <w:rsid w:val="00C44F6A"/>
    <w:rsid w:val="00C46753"/>
    <w:rsid w:val="00C50823"/>
    <w:rsid w:val="00C50D91"/>
    <w:rsid w:val="00C50FD7"/>
    <w:rsid w:val="00C546C0"/>
    <w:rsid w:val="00C57EDA"/>
    <w:rsid w:val="00C61F91"/>
    <w:rsid w:val="00C62B89"/>
    <w:rsid w:val="00C63B55"/>
    <w:rsid w:val="00C652B8"/>
    <w:rsid w:val="00C6561E"/>
    <w:rsid w:val="00C65839"/>
    <w:rsid w:val="00C66C02"/>
    <w:rsid w:val="00C6731C"/>
    <w:rsid w:val="00C67936"/>
    <w:rsid w:val="00C70095"/>
    <w:rsid w:val="00C72531"/>
    <w:rsid w:val="00C7645E"/>
    <w:rsid w:val="00C76E9C"/>
    <w:rsid w:val="00C7747F"/>
    <w:rsid w:val="00C77AD4"/>
    <w:rsid w:val="00C77BFD"/>
    <w:rsid w:val="00C80AE5"/>
    <w:rsid w:val="00C81586"/>
    <w:rsid w:val="00C81E91"/>
    <w:rsid w:val="00C82DF9"/>
    <w:rsid w:val="00C83D91"/>
    <w:rsid w:val="00C847CF"/>
    <w:rsid w:val="00C86A3E"/>
    <w:rsid w:val="00C87588"/>
    <w:rsid w:val="00C91DB8"/>
    <w:rsid w:val="00C9348D"/>
    <w:rsid w:val="00C9399E"/>
    <w:rsid w:val="00C95A29"/>
    <w:rsid w:val="00CA1D7E"/>
    <w:rsid w:val="00CA2241"/>
    <w:rsid w:val="00CA3C1B"/>
    <w:rsid w:val="00CA4C4B"/>
    <w:rsid w:val="00CA669D"/>
    <w:rsid w:val="00CA683D"/>
    <w:rsid w:val="00CB119B"/>
    <w:rsid w:val="00CB28D1"/>
    <w:rsid w:val="00CB4043"/>
    <w:rsid w:val="00CB4579"/>
    <w:rsid w:val="00CB4670"/>
    <w:rsid w:val="00CB57FB"/>
    <w:rsid w:val="00CB6624"/>
    <w:rsid w:val="00CB69D5"/>
    <w:rsid w:val="00CB6ACC"/>
    <w:rsid w:val="00CC131B"/>
    <w:rsid w:val="00CC1EEC"/>
    <w:rsid w:val="00CC335E"/>
    <w:rsid w:val="00CC35D6"/>
    <w:rsid w:val="00CC4291"/>
    <w:rsid w:val="00CC4517"/>
    <w:rsid w:val="00CC4900"/>
    <w:rsid w:val="00CC6473"/>
    <w:rsid w:val="00CC735B"/>
    <w:rsid w:val="00CD02A2"/>
    <w:rsid w:val="00CD5804"/>
    <w:rsid w:val="00CE0E03"/>
    <w:rsid w:val="00CE0EA1"/>
    <w:rsid w:val="00CE13C2"/>
    <w:rsid w:val="00CE2F9F"/>
    <w:rsid w:val="00CE3E9C"/>
    <w:rsid w:val="00CE57A6"/>
    <w:rsid w:val="00CE5880"/>
    <w:rsid w:val="00CE5B06"/>
    <w:rsid w:val="00CF0446"/>
    <w:rsid w:val="00CF05FC"/>
    <w:rsid w:val="00CF1800"/>
    <w:rsid w:val="00CF2C67"/>
    <w:rsid w:val="00CF2CEE"/>
    <w:rsid w:val="00CF32F0"/>
    <w:rsid w:val="00CF3480"/>
    <w:rsid w:val="00CF4083"/>
    <w:rsid w:val="00CF526F"/>
    <w:rsid w:val="00CF55ED"/>
    <w:rsid w:val="00CF5824"/>
    <w:rsid w:val="00CF618A"/>
    <w:rsid w:val="00CF7025"/>
    <w:rsid w:val="00CF713B"/>
    <w:rsid w:val="00CF7A27"/>
    <w:rsid w:val="00D01EE4"/>
    <w:rsid w:val="00D02D1E"/>
    <w:rsid w:val="00D04F43"/>
    <w:rsid w:val="00D078F2"/>
    <w:rsid w:val="00D11C83"/>
    <w:rsid w:val="00D11EED"/>
    <w:rsid w:val="00D16D77"/>
    <w:rsid w:val="00D171AF"/>
    <w:rsid w:val="00D21D93"/>
    <w:rsid w:val="00D233C4"/>
    <w:rsid w:val="00D27363"/>
    <w:rsid w:val="00D273F7"/>
    <w:rsid w:val="00D2794A"/>
    <w:rsid w:val="00D34C5E"/>
    <w:rsid w:val="00D43297"/>
    <w:rsid w:val="00D442CC"/>
    <w:rsid w:val="00D4453D"/>
    <w:rsid w:val="00D45E07"/>
    <w:rsid w:val="00D478E0"/>
    <w:rsid w:val="00D50FA7"/>
    <w:rsid w:val="00D5306F"/>
    <w:rsid w:val="00D562BA"/>
    <w:rsid w:val="00D57E68"/>
    <w:rsid w:val="00D60554"/>
    <w:rsid w:val="00D62C16"/>
    <w:rsid w:val="00D671AF"/>
    <w:rsid w:val="00D711DD"/>
    <w:rsid w:val="00D72AD2"/>
    <w:rsid w:val="00D73823"/>
    <w:rsid w:val="00D76894"/>
    <w:rsid w:val="00D76ACE"/>
    <w:rsid w:val="00D77D30"/>
    <w:rsid w:val="00D80BA9"/>
    <w:rsid w:val="00D80C4E"/>
    <w:rsid w:val="00D83F9B"/>
    <w:rsid w:val="00D867F9"/>
    <w:rsid w:val="00D9221F"/>
    <w:rsid w:val="00D92579"/>
    <w:rsid w:val="00D93005"/>
    <w:rsid w:val="00D95ACB"/>
    <w:rsid w:val="00DA21BB"/>
    <w:rsid w:val="00DA2D22"/>
    <w:rsid w:val="00DA3D13"/>
    <w:rsid w:val="00DA5C40"/>
    <w:rsid w:val="00DA6869"/>
    <w:rsid w:val="00DA7D36"/>
    <w:rsid w:val="00DB0A39"/>
    <w:rsid w:val="00DB1869"/>
    <w:rsid w:val="00DB2D90"/>
    <w:rsid w:val="00DB3235"/>
    <w:rsid w:val="00DB4009"/>
    <w:rsid w:val="00DB543C"/>
    <w:rsid w:val="00DB67A1"/>
    <w:rsid w:val="00DC0359"/>
    <w:rsid w:val="00DC21B9"/>
    <w:rsid w:val="00DC2932"/>
    <w:rsid w:val="00DC2C92"/>
    <w:rsid w:val="00DC538D"/>
    <w:rsid w:val="00DC5711"/>
    <w:rsid w:val="00DC5728"/>
    <w:rsid w:val="00DC59D9"/>
    <w:rsid w:val="00DD0092"/>
    <w:rsid w:val="00DD0209"/>
    <w:rsid w:val="00DD2309"/>
    <w:rsid w:val="00DD2752"/>
    <w:rsid w:val="00DD5712"/>
    <w:rsid w:val="00DE14F8"/>
    <w:rsid w:val="00DE3669"/>
    <w:rsid w:val="00DE39DD"/>
    <w:rsid w:val="00DE3F0C"/>
    <w:rsid w:val="00DE52EC"/>
    <w:rsid w:val="00DE548B"/>
    <w:rsid w:val="00DE5CDF"/>
    <w:rsid w:val="00DE6056"/>
    <w:rsid w:val="00DE7270"/>
    <w:rsid w:val="00DE7E0E"/>
    <w:rsid w:val="00DF171F"/>
    <w:rsid w:val="00DF1849"/>
    <w:rsid w:val="00DF3ADE"/>
    <w:rsid w:val="00DF3BD9"/>
    <w:rsid w:val="00DF430F"/>
    <w:rsid w:val="00DF4FD0"/>
    <w:rsid w:val="00DF5A10"/>
    <w:rsid w:val="00E00C05"/>
    <w:rsid w:val="00E01BE5"/>
    <w:rsid w:val="00E03B02"/>
    <w:rsid w:val="00E03E77"/>
    <w:rsid w:val="00E048EC"/>
    <w:rsid w:val="00E16FBC"/>
    <w:rsid w:val="00E17D42"/>
    <w:rsid w:val="00E202BA"/>
    <w:rsid w:val="00E20726"/>
    <w:rsid w:val="00E21340"/>
    <w:rsid w:val="00E2240C"/>
    <w:rsid w:val="00E2278D"/>
    <w:rsid w:val="00E22C92"/>
    <w:rsid w:val="00E250B1"/>
    <w:rsid w:val="00E25A10"/>
    <w:rsid w:val="00E25CDF"/>
    <w:rsid w:val="00E27792"/>
    <w:rsid w:val="00E331FB"/>
    <w:rsid w:val="00E34677"/>
    <w:rsid w:val="00E35059"/>
    <w:rsid w:val="00E41318"/>
    <w:rsid w:val="00E41355"/>
    <w:rsid w:val="00E4255B"/>
    <w:rsid w:val="00E4428F"/>
    <w:rsid w:val="00E44EAB"/>
    <w:rsid w:val="00E4585E"/>
    <w:rsid w:val="00E45B23"/>
    <w:rsid w:val="00E4647A"/>
    <w:rsid w:val="00E47102"/>
    <w:rsid w:val="00E47584"/>
    <w:rsid w:val="00E47DF6"/>
    <w:rsid w:val="00E539C0"/>
    <w:rsid w:val="00E5473A"/>
    <w:rsid w:val="00E55088"/>
    <w:rsid w:val="00E56BF5"/>
    <w:rsid w:val="00E64E21"/>
    <w:rsid w:val="00E660BF"/>
    <w:rsid w:val="00E6745F"/>
    <w:rsid w:val="00E70B70"/>
    <w:rsid w:val="00E70E07"/>
    <w:rsid w:val="00E7243D"/>
    <w:rsid w:val="00E740D7"/>
    <w:rsid w:val="00E7433C"/>
    <w:rsid w:val="00E873F8"/>
    <w:rsid w:val="00E877AD"/>
    <w:rsid w:val="00E90C08"/>
    <w:rsid w:val="00E90EFF"/>
    <w:rsid w:val="00E91B56"/>
    <w:rsid w:val="00E94E54"/>
    <w:rsid w:val="00E958F7"/>
    <w:rsid w:val="00EA3352"/>
    <w:rsid w:val="00EA5D56"/>
    <w:rsid w:val="00EA6B85"/>
    <w:rsid w:val="00EA7DF8"/>
    <w:rsid w:val="00EB04CE"/>
    <w:rsid w:val="00EB3A30"/>
    <w:rsid w:val="00EB4B0C"/>
    <w:rsid w:val="00EB5A4A"/>
    <w:rsid w:val="00EB6A77"/>
    <w:rsid w:val="00EB748A"/>
    <w:rsid w:val="00EC0236"/>
    <w:rsid w:val="00EC0738"/>
    <w:rsid w:val="00EC1C89"/>
    <w:rsid w:val="00EC239D"/>
    <w:rsid w:val="00EC2FD5"/>
    <w:rsid w:val="00EC68BA"/>
    <w:rsid w:val="00EC6BBF"/>
    <w:rsid w:val="00EC719A"/>
    <w:rsid w:val="00ED389C"/>
    <w:rsid w:val="00ED64C0"/>
    <w:rsid w:val="00ED68FC"/>
    <w:rsid w:val="00ED778E"/>
    <w:rsid w:val="00ED7BB9"/>
    <w:rsid w:val="00EE2D6A"/>
    <w:rsid w:val="00EE6003"/>
    <w:rsid w:val="00EF1192"/>
    <w:rsid w:val="00EF3175"/>
    <w:rsid w:val="00EF6F7C"/>
    <w:rsid w:val="00EF6FA7"/>
    <w:rsid w:val="00EF7ECE"/>
    <w:rsid w:val="00F0355D"/>
    <w:rsid w:val="00F04F65"/>
    <w:rsid w:val="00F058F6"/>
    <w:rsid w:val="00F05ECE"/>
    <w:rsid w:val="00F05F51"/>
    <w:rsid w:val="00F11D32"/>
    <w:rsid w:val="00F12B3D"/>
    <w:rsid w:val="00F12ED4"/>
    <w:rsid w:val="00F13638"/>
    <w:rsid w:val="00F1536E"/>
    <w:rsid w:val="00F159C3"/>
    <w:rsid w:val="00F16EF2"/>
    <w:rsid w:val="00F17B25"/>
    <w:rsid w:val="00F22DD2"/>
    <w:rsid w:val="00F23496"/>
    <w:rsid w:val="00F30E27"/>
    <w:rsid w:val="00F34505"/>
    <w:rsid w:val="00F34F3D"/>
    <w:rsid w:val="00F3743A"/>
    <w:rsid w:val="00F458C6"/>
    <w:rsid w:val="00F45DC7"/>
    <w:rsid w:val="00F47D60"/>
    <w:rsid w:val="00F47FC7"/>
    <w:rsid w:val="00F5033E"/>
    <w:rsid w:val="00F513D9"/>
    <w:rsid w:val="00F517BF"/>
    <w:rsid w:val="00F52B90"/>
    <w:rsid w:val="00F532C2"/>
    <w:rsid w:val="00F60519"/>
    <w:rsid w:val="00F635B3"/>
    <w:rsid w:val="00F63D80"/>
    <w:rsid w:val="00F65ED0"/>
    <w:rsid w:val="00F7243B"/>
    <w:rsid w:val="00F7395C"/>
    <w:rsid w:val="00F7762B"/>
    <w:rsid w:val="00F8034C"/>
    <w:rsid w:val="00F8237F"/>
    <w:rsid w:val="00F84E06"/>
    <w:rsid w:val="00F859F1"/>
    <w:rsid w:val="00F85C51"/>
    <w:rsid w:val="00F86987"/>
    <w:rsid w:val="00F87B8A"/>
    <w:rsid w:val="00F932F5"/>
    <w:rsid w:val="00F93A80"/>
    <w:rsid w:val="00F9502C"/>
    <w:rsid w:val="00F970FA"/>
    <w:rsid w:val="00F97DDC"/>
    <w:rsid w:val="00FA1145"/>
    <w:rsid w:val="00FA18FB"/>
    <w:rsid w:val="00FA1C58"/>
    <w:rsid w:val="00FA214E"/>
    <w:rsid w:val="00FA3852"/>
    <w:rsid w:val="00FA63B9"/>
    <w:rsid w:val="00FA7A82"/>
    <w:rsid w:val="00FB1382"/>
    <w:rsid w:val="00FB199A"/>
    <w:rsid w:val="00FB1C05"/>
    <w:rsid w:val="00FB30F1"/>
    <w:rsid w:val="00FC0E1F"/>
    <w:rsid w:val="00FC2E69"/>
    <w:rsid w:val="00FC3E34"/>
    <w:rsid w:val="00FC3EE6"/>
    <w:rsid w:val="00FC4DE7"/>
    <w:rsid w:val="00FC62FB"/>
    <w:rsid w:val="00FC6E16"/>
    <w:rsid w:val="00FD023F"/>
    <w:rsid w:val="00FD10DC"/>
    <w:rsid w:val="00FD505F"/>
    <w:rsid w:val="00FE06AD"/>
    <w:rsid w:val="00FE4F8A"/>
    <w:rsid w:val="00FE693C"/>
    <w:rsid w:val="00FE74A2"/>
    <w:rsid w:val="00FF0A09"/>
    <w:rsid w:val="00FF4E42"/>
    <w:rsid w:val="00FF6003"/>
    <w:rsid w:val="00FF648A"/>
    <w:rsid w:val="00FF7B7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0BA653"/>
  <w15:chartTrackingRefBased/>
  <w15:docId w15:val="{2599DCB9-2154-41A8-AE4F-3FC6F66DE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5D33"/>
    <w:pPr>
      <w:spacing w:before="90" w:after="130" w:line="280" w:lineRule="atLeast"/>
    </w:pPr>
    <w:rPr>
      <w:rFonts w:ascii="Arial Narrow" w:hAnsi="Arial Narrow" w:cs="Arial"/>
    </w:rPr>
  </w:style>
  <w:style w:type="paragraph" w:styleId="Heading1">
    <w:name w:val="heading 1"/>
    <w:basedOn w:val="Normal"/>
    <w:next w:val="Normal"/>
    <w:link w:val="Heading1Char"/>
    <w:rsid w:val="00233F7B"/>
    <w:pPr>
      <w:keepNext/>
      <w:keepLines/>
      <w:numPr>
        <w:numId w:val="12"/>
      </w:numPr>
      <w:spacing w:before="120" w:after="1200" w:line="192" w:lineRule="auto"/>
      <w:ind w:left="250" w:hanging="386"/>
      <w:outlineLvl w:val="0"/>
    </w:pPr>
    <w:rPr>
      <w:rFonts w:ascii="Arial" w:eastAsiaTheme="majorEastAsia" w:hAnsi="Arial"/>
      <w:color w:val="000000" w:themeColor="text1"/>
      <w:sz w:val="76"/>
      <w:szCs w:val="32"/>
    </w:rPr>
  </w:style>
  <w:style w:type="paragraph" w:styleId="Heading2">
    <w:name w:val="heading 2"/>
    <w:basedOn w:val="Normal"/>
    <w:next w:val="BodyText"/>
    <w:link w:val="Heading2Char"/>
    <w:unhideWhenUsed/>
    <w:rsid w:val="00233F7B"/>
    <w:pPr>
      <w:keepNext/>
      <w:keepLines/>
      <w:numPr>
        <w:ilvl w:val="1"/>
        <w:numId w:val="12"/>
      </w:numPr>
      <w:pBdr>
        <w:bottom w:val="single" w:sz="4" w:space="0" w:color="000000" w:themeColor="text1"/>
        <w:between w:val="single" w:sz="4" w:space="1" w:color="6C3E99"/>
      </w:pBdr>
      <w:spacing w:before="480" w:after="480" w:line="320" w:lineRule="atLeast"/>
      <w:ind w:left="340" w:hanging="340"/>
      <w:outlineLvl w:val="1"/>
    </w:pPr>
    <w:rPr>
      <w:rFonts w:ascii="Arial" w:eastAsiaTheme="majorEastAsia" w:hAnsi="Arial"/>
      <w:b/>
      <w:color w:val="000000" w:themeColor="text1"/>
      <w:sz w:val="36"/>
      <w:szCs w:val="26"/>
    </w:rPr>
  </w:style>
  <w:style w:type="paragraph" w:styleId="Heading3">
    <w:name w:val="heading 3"/>
    <w:basedOn w:val="Normal"/>
    <w:next w:val="BodyText"/>
    <w:link w:val="Heading3Char"/>
    <w:unhideWhenUsed/>
    <w:rsid w:val="00FC0E1F"/>
    <w:pPr>
      <w:keepNext/>
      <w:keepLines/>
      <w:numPr>
        <w:ilvl w:val="2"/>
        <w:numId w:val="12"/>
      </w:numPr>
      <w:pBdr>
        <w:bottom w:val="single" w:sz="4" w:space="0" w:color="000100"/>
        <w:between w:val="single" w:sz="4" w:space="1" w:color="000100"/>
      </w:pBdr>
      <w:spacing w:before="480" w:after="360" w:line="320" w:lineRule="atLeast"/>
      <w:ind w:left="737" w:hanging="737"/>
      <w:outlineLvl w:val="2"/>
    </w:pPr>
    <w:rPr>
      <w:rFonts w:ascii="Arial" w:eastAsiaTheme="majorEastAsia" w:hAnsi="Arial"/>
      <w:b/>
      <w:color w:val="000100"/>
      <w:sz w:val="28"/>
      <w:szCs w:val="24"/>
    </w:rPr>
  </w:style>
  <w:style w:type="paragraph" w:styleId="Heading4">
    <w:name w:val="heading 4"/>
    <w:basedOn w:val="Normal"/>
    <w:next w:val="BodyText"/>
    <w:link w:val="Heading4Char"/>
    <w:uiPriority w:val="9"/>
    <w:unhideWhenUsed/>
    <w:rsid w:val="003E7AC0"/>
    <w:pPr>
      <w:keepNext/>
      <w:keepLines/>
      <w:numPr>
        <w:ilvl w:val="3"/>
        <w:numId w:val="12"/>
      </w:numPr>
      <w:spacing w:before="240" w:after="160" w:line="320" w:lineRule="atLeast"/>
      <w:outlineLvl w:val="3"/>
    </w:pPr>
    <w:rPr>
      <w:rFonts w:ascii="Arial" w:eastAsiaTheme="majorEastAsia" w:hAnsi="Arial"/>
      <w:b/>
      <w:iCs/>
      <w:color w:val="000100"/>
      <w:sz w:val="24"/>
    </w:rPr>
  </w:style>
  <w:style w:type="paragraph" w:styleId="Heading5">
    <w:name w:val="heading 5"/>
    <w:basedOn w:val="Normal"/>
    <w:next w:val="BodyText"/>
    <w:link w:val="Heading5Char"/>
    <w:uiPriority w:val="9"/>
    <w:unhideWhenUsed/>
    <w:qFormat/>
    <w:rsid w:val="00B44DDB"/>
    <w:pPr>
      <w:keepNext/>
      <w:keepLines/>
      <w:numPr>
        <w:ilvl w:val="4"/>
        <w:numId w:val="12"/>
      </w:numPr>
      <w:spacing w:before="240" w:after="160" w:line="240" w:lineRule="atLeast"/>
      <w:outlineLvl w:val="4"/>
    </w:pPr>
    <w:rPr>
      <w:rFonts w:eastAsiaTheme="majorEastAsia"/>
      <w:b/>
      <w:i/>
      <w:color w:val="000100"/>
    </w:rPr>
  </w:style>
  <w:style w:type="paragraph" w:styleId="Heading6">
    <w:name w:val="heading 6"/>
    <w:basedOn w:val="Normal"/>
    <w:next w:val="BodyText"/>
    <w:link w:val="Heading6Char"/>
    <w:uiPriority w:val="9"/>
    <w:unhideWhenUsed/>
    <w:qFormat/>
    <w:rsid w:val="00B44DDB"/>
    <w:pPr>
      <w:keepNext/>
      <w:keepLines/>
      <w:numPr>
        <w:ilvl w:val="5"/>
        <w:numId w:val="12"/>
      </w:numPr>
      <w:spacing w:before="240" w:after="160" w:line="240" w:lineRule="atLeast"/>
      <w:outlineLvl w:val="5"/>
    </w:pPr>
    <w:rPr>
      <w:rFonts w:eastAsiaTheme="majorEastAsia"/>
      <w:b/>
      <w:i/>
      <w:color w:val="959595" w:themeColor="accent3" w:themeShade="BF"/>
    </w:rPr>
  </w:style>
  <w:style w:type="paragraph" w:styleId="Heading7">
    <w:name w:val="heading 7"/>
    <w:basedOn w:val="Normal-nospace"/>
    <w:next w:val="BodyText"/>
    <w:link w:val="Heading7Char"/>
    <w:uiPriority w:val="9"/>
    <w:unhideWhenUsed/>
    <w:qFormat/>
    <w:rsid w:val="00B470A1"/>
    <w:pPr>
      <w:keepNext/>
      <w:keepLines/>
      <w:spacing w:after="200" w:line="192" w:lineRule="auto"/>
      <w:outlineLvl w:val="6"/>
    </w:pPr>
    <w:rPr>
      <w:rFonts w:ascii="Yu Gothic Medium" w:eastAsiaTheme="majorEastAsia" w:hAnsi="Yu Gothic Medium"/>
      <w:iCs/>
      <w:color w:val="FFFEFF"/>
      <w:sz w:val="52"/>
    </w:rPr>
  </w:style>
  <w:style w:type="paragraph" w:styleId="Heading8">
    <w:name w:val="heading 8"/>
    <w:basedOn w:val="Normal"/>
    <w:next w:val="BodyText"/>
    <w:link w:val="Heading8Char"/>
    <w:uiPriority w:val="9"/>
    <w:qFormat/>
    <w:rsid w:val="00B470A1"/>
    <w:pPr>
      <w:keepNext/>
      <w:keepLines/>
      <w:pBdr>
        <w:bottom w:val="single" w:sz="4" w:space="0" w:color="6C3E99"/>
        <w:between w:val="single" w:sz="4" w:space="1" w:color="6C3E99"/>
      </w:pBdr>
      <w:spacing w:before="240" w:after="216"/>
      <w:outlineLvl w:val="7"/>
    </w:pPr>
    <w:rPr>
      <w:rFonts w:eastAsiaTheme="majorEastAsia"/>
      <w:b/>
      <w:color w:val="6C3E99"/>
      <w:sz w:val="28"/>
      <w:szCs w:val="21"/>
    </w:rPr>
  </w:style>
  <w:style w:type="paragraph" w:styleId="Heading9">
    <w:name w:val="heading 9"/>
    <w:basedOn w:val="Normal-nospace"/>
    <w:link w:val="Heading9Char"/>
    <w:uiPriority w:val="9"/>
    <w:qFormat/>
    <w:rsid w:val="00B470A1"/>
    <w:pPr>
      <w:keepNext/>
      <w:keepLines/>
      <w:numPr>
        <w:numId w:val="34"/>
      </w:numPr>
      <w:pBdr>
        <w:between w:val="single" w:sz="4" w:space="1" w:color="auto"/>
      </w:pBdr>
      <w:spacing w:line="240" w:lineRule="auto"/>
      <w:outlineLvl w:val="8"/>
    </w:pPr>
    <w:rPr>
      <w:rFonts w:eastAsiaTheme="majorEastAsia"/>
      <w:b/>
      <w:iCs/>
      <w:color w:val="140134"/>
      <w:sz w:val="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33F7B"/>
    <w:rPr>
      <w:rFonts w:ascii="Arial" w:eastAsiaTheme="majorEastAsia" w:hAnsi="Arial" w:cs="Arial"/>
      <w:color w:val="000000" w:themeColor="text1"/>
      <w:sz w:val="76"/>
      <w:szCs w:val="32"/>
    </w:rPr>
  </w:style>
  <w:style w:type="character" w:customStyle="1" w:styleId="Heading2Char">
    <w:name w:val="Heading 2 Char"/>
    <w:basedOn w:val="DefaultParagraphFont"/>
    <w:link w:val="Heading2"/>
    <w:rsid w:val="00233F7B"/>
    <w:rPr>
      <w:rFonts w:ascii="Arial" w:eastAsiaTheme="majorEastAsia" w:hAnsi="Arial" w:cs="Arial"/>
      <w:b/>
      <w:color w:val="000000" w:themeColor="text1"/>
      <w:sz w:val="36"/>
      <w:szCs w:val="26"/>
    </w:rPr>
  </w:style>
  <w:style w:type="character" w:customStyle="1" w:styleId="Heading3Char">
    <w:name w:val="Heading 3 Char"/>
    <w:basedOn w:val="DefaultParagraphFont"/>
    <w:link w:val="Heading3"/>
    <w:rsid w:val="00FC0E1F"/>
    <w:rPr>
      <w:rFonts w:ascii="Arial" w:eastAsiaTheme="majorEastAsia" w:hAnsi="Arial" w:cs="Arial"/>
      <w:b/>
      <w:color w:val="000100"/>
      <w:sz w:val="28"/>
      <w:szCs w:val="24"/>
    </w:rPr>
  </w:style>
  <w:style w:type="character" w:customStyle="1" w:styleId="Heading4Char">
    <w:name w:val="Heading 4 Char"/>
    <w:basedOn w:val="DefaultParagraphFont"/>
    <w:link w:val="Heading4"/>
    <w:uiPriority w:val="9"/>
    <w:rsid w:val="003E7AC0"/>
    <w:rPr>
      <w:rFonts w:ascii="Arial" w:eastAsiaTheme="majorEastAsia" w:hAnsi="Arial" w:cs="Arial"/>
      <w:b/>
      <w:iCs/>
      <w:color w:val="000100"/>
      <w:sz w:val="24"/>
    </w:rPr>
  </w:style>
  <w:style w:type="character" w:customStyle="1" w:styleId="Heading5Char">
    <w:name w:val="Heading 5 Char"/>
    <w:basedOn w:val="DefaultParagraphFont"/>
    <w:link w:val="Heading5"/>
    <w:uiPriority w:val="9"/>
    <w:rsid w:val="000D7C57"/>
    <w:rPr>
      <w:rFonts w:ascii="Arial Narrow" w:eastAsiaTheme="majorEastAsia" w:hAnsi="Arial Narrow" w:cs="Arial"/>
      <w:b/>
      <w:i/>
      <w:color w:val="000100"/>
    </w:rPr>
  </w:style>
  <w:style w:type="character" w:customStyle="1" w:styleId="Heading6Char">
    <w:name w:val="Heading 6 Char"/>
    <w:basedOn w:val="DefaultParagraphFont"/>
    <w:link w:val="Heading6"/>
    <w:uiPriority w:val="9"/>
    <w:rsid w:val="000D7C57"/>
    <w:rPr>
      <w:rFonts w:ascii="Arial Narrow" w:eastAsiaTheme="majorEastAsia" w:hAnsi="Arial Narrow" w:cs="Arial"/>
      <w:b/>
      <w:i/>
      <w:color w:val="959595" w:themeColor="accent3" w:themeShade="BF"/>
    </w:rPr>
  </w:style>
  <w:style w:type="character" w:customStyle="1" w:styleId="Heading7Char">
    <w:name w:val="Heading 7 Char"/>
    <w:basedOn w:val="DefaultParagraphFont"/>
    <w:link w:val="Heading7"/>
    <w:uiPriority w:val="9"/>
    <w:rsid w:val="00FF0A09"/>
    <w:rPr>
      <w:rFonts w:ascii="Yu Gothic Medium" w:eastAsiaTheme="majorEastAsia" w:hAnsi="Yu Gothic Medium" w:cs="Arial"/>
      <w:iCs/>
      <w:color w:val="FFFEFF"/>
      <w:sz w:val="52"/>
    </w:rPr>
  </w:style>
  <w:style w:type="character" w:customStyle="1" w:styleId="Heading8Char">
    <w:name w:val="Heading 8 Char"/>
    <w:basedOn w:val="DefaultParagraphFont"/>
    <w:link w:val="Heading8"/>
    <w:uiPriority w:val="9"/>
    <w:rsid w:val="00E7243D"/>
    <w:rPr>
      <w:rFonts w:ascii="Arial Narrow" w:eastAsiaTheme="majorEastAsia" w:hAnsi="Arial Narrow" w:cs="Arial"/>
      <w:b/>
      <w:color w:val="6C3E99"/>
      <w:sz w:val="28"/>
      <w:szCs w:val="21"/>
    </w:rPr>
  </w:style>
  <w:style w:type="character" w:customStyle="1" w:styleId="Heading9Char">
    <w:name w:val="Heading 9 Char"/>
    <w:basedOn w:val="DefaultParagraphFont"/>
    <w:link w:val="Heading9"/>
    <w:uiPriority w:val="9"/>
    <w:rsid w:val="00B470A1"/>
    <w:rPr>
      <w:rFonts w:ascii="Arial Narrow" w:eastAsiaTheme="majorEastAsia" w:hAnsi="Arial Narrow" w:cs="Arial"/>
      <w:b/>
      <w:iCs/>
      <w:color w:val="140134"/>
      <w:sz w:val="8"/>
      <w:szCs w:val="21"/>
    </w:rPr>
  </w:style>
  <w:style w:type="paragraph" w:styleId="BalloonText">
    <w:name w:val="Balloon Text"/>
    <w:basedOn w:val="Normal"/>
    <w:link w:val="BalloonTextChar"/>
    <w:uiPriority w:val="99"/>
    <w:semiHidden/>
    <w:unhideWhenUsed/>
    <w:rsid w:val="009637A8"/>
    <w:pPr>
      <w:spacing w:after="0"/>
    </w:pPr>
    <w:rPr>
      <w:sz w:val="18"/>
      <w:szCs w:val="18"/>
    </w:rPr>
  </w:style>
  <w:style w:type="character" w:customStyle="1" w:styleId="BalloonTextChar">
    <w:name w:val="Balloon Text Char"/>
    <w:basedOn w:val="DefaultParagraphFont"/>
    <w:link w:val="BalloonText"/>
    <w:uiPriority w:val="99"/>
    <w:semiHidden/>
    <w:rsid w:val="009637A8"/>
    <w:rPr>
      <w:rFonts w:ascii="Arial" w:hAnsi="Arial" w:cs="Arial"/>
      <w:sz w:val="18"/>
      <w:szCs w:val="18"/>
    </w:rPr>
  </w:style>
  <w:style w:type="paragraph" w:styleId="Bibliography">
    <w:name w:val="Bibliography"/>
    <w:basedOn w:val="Normal"/>
    <w:next w:val="Normal"/>
    <w:uiPriority w:val="37"/>
    <w:semiHidden/>
    <w:unhideWhenUsed/>
    <w:rsid w:val="009637A8"/>
    <w:pPr>
      <w:spacing w:after="160" w:line="259" w:lineRule="auto"/>
    </w:pPr>
  </w:style>
  <w:style w:type="paragraph" w:styleId="BlockText">
    <w:name w:val="Block Text"/>
    <w:basedOn w:val="Normal"/>
    <w:uiPriority w:val="99"/>
    <w:semiHidden/>
    <w:unhideWhenUsed/>
    <w:rsid w:val="009637A8"/>
    <w:pPr>
      <w:pBdr>
        <w:top w:val="single" w:sz="2" w:space="10" w:color="9D85BE" w:themeColor="accent1"/>
        <w:left w:val="single" w:sz="2" w:space="10" w:color="9D85BE" w:themeColor="accent1"/>
        <w:bottom w:val="single" w:sz="2" w:space="10" w:color="9D85BE" w:themeColor="accent1"/>
        <w:right w:val="single" w:sz="2" w:space="10" w:color="9D85BE" w:themeColor="accent1"/>
      </w:pBdr>
      <w:spacing w:after="160" w:line="259" w:lineRule="auto"/>
      <w:ind w:left="1152" w:right="1152"/>
    </w:pPr>
    <w:rPr>
      <w:rFonts w:eastAsiaTheme="minorEastAsia"/>
      <w:i/>
      <w:iCs/>
      <w:color w:val="9D85BE" w:themeColor="accent1"/>
    </w:rPr>
  </w:style>
  <w:style w:type="paragraph" w:styleId="BodyText">
    <w:name w:val="Body Text"/>
    <w:basedOn w:val="Normal"/>
    <w:link w:val="BodyTextChar"/>
    <w:uiPriority w:val="99"/>
    <w:rsid w:val="00782633"/>
    <w:pPr>
      <w:spacing w:before="160" w:after="160" w:line="320" w:lineRule="atLeast"/>
    </w:pPr>
    <w:rPr>
      <w:rFonts w:ascii="Arial" w:hAnsi="Arial"/>
      <w:sz w:val="24"/>
    </w:rPr>
  </w:style>
  <w:style w:type="character" w:customStyle="1" w:styleId="BodyTextChar">
    <w:name w:val="Body Text Char"/>
    <w:basedOn w:val="DefaultParagraphFont"/>
    <w:link w:val="BodyText"/>
    <w:uiPriority w:val="99"/>
    <w:rsid w:val="00782633"/>
    <w:rPr>
      <w:rFonts w:ascii="Arial" w:hAnsi="Arial" w:cs="Arial"/>
      <w:sz w:val="24"/>
    </w:rPr>
  </w:style>
  <w:style w:type="paragraph" w:styleId="BodyText2">
    <w:name w:val="Body Text 2"/>
    <w:basedOn w:val="Normal"/>
    <w:link w:val="BodyText2Char"/>
    <w:uiPriority w:val="99"/>
    <w:semiHidden/>
    <w:unhideWhenUsed/>
    <w:rsid w:val="009637A8"/>
    <w:pPr>
      <w:spacing w:line="480" w:lineRule="auto"/>
    </w:pPr>
  </w:style>
  <w:style w:type="character" w:customStyle="1" w:styleId="BodyText2Char">
    <w:name w:val="Body Text 2 Char"/>
    <w:basedOn w:val="DefaultParagraphFont"/>
    <w:link w:val="BodyText2"/>
    <w:uiPriority w:val="99"/>
    <w:semiHidden/>
    <w:rsid w:val="009637A8"/>
    <w:rPr>
      <w:rFonts w:ascii="Arial" w:hAnsi="Arial" w:cs="Arial"/>
    </w:rPr>
  </w:style>
  <w:style w:type="paragraph" w:styleId="BodyText3">
    <w:name w:val="Body Text 3"/>
    <w:basedOn w:val="Normal"/>
    <w:link w:val="BodyText3Char"/>
    <w:uiPriority w:val="99"/>
    <w:semiHidden/>
    <w:unhideWhenUsed/>
    <w:rsid w:val="009637A8"/>
    <w:pPr>
      <w:spacing w:line="259" w:lineRule="auto"/>
    </w:pPr>
    <w:rPr>
      <w:sz w:val="16"/>
      <w:szCs w:val="16"/>
    </w:rPr>
  </w:style>
  <w:style w:type="character" w:customStyle="1" w:styleId="BodyText3Char">
    <w:name w:val="Body Text 3 Char"/>
    <w:basedOn w:val="DefaultParagraphFont"/>
    <w:link w:val="BodyText3"/>
    <w:uiPriority w:val="99"/>
    <w:semiHidden/>
    <w:rsid w:val="009637A8"/>
    <w:rPr>
      <w:rFonts w:ascii="Arial" w:hAnsi="Arial" w:cs="Arial"/>
      <w:sz w:val="16"/>
      <w:szCs w:val="16"/>
    </w:rPr>
  </w:style>
  <w:style w:type="paragraph" w:styleId="BodyTextFirstIndent">
    <w:name w:val="Body Text First Indent"/>
    <w:basedOn w:val="BodyText"/>
    <w:link w:val="BodyTextFirstIndentChar"/>
    <w:uiPriority w:val="99"/>
    <w:semiHidden/>
    <w:unhideWhenUsed/>
    <w:rsid w:val="009637A8"/>
    <w:pPr>
      <w:ind w:firstLine="360"/>
    </w:pPr>
  </w:style>
  <w:style w:type="character" w:customStyle="1" w:styleId="BodyTextFirstIndentChar">
    <w:name w:val="Body Text First Indent Char"/>
    <w:basedOn w:val="BodyTextChar"/>
    <w:link w:val="BodyTextFirstIndent"/>
    <w:uiPriority w:val="99"/>
    <w:semiHidden/>
    <w:rsid w:val="009637A8"/>
    <w:rPr>
      <w:rFonts w:ascii="Arial" w:hAnsi="Arial" w:cs="Arial"/>
      <w:sz w:val="24"/>
    </w:rPr>
  </w:style>
  <w:style w:type="paragraph" w:styleId="BodyTextIndent">
    <w:name w:val="Body Text Indent"/>
    <w:basedOn w:val="Normal"/>
    <w:link w:val="BodyTextIndentChar"/>
    <w:uiPriority w:val="99"/>
    <w:semiHidden/>
    <w:unhideWhenUsed/>
    <w:rsid w:val="009637A8"/>
    <w:pPr>
      <w:spacing w:line="259" w:lineRule="auto"/>
      <w:ind w:left="283"/>
    </w:pPr>
  </w:style>
  <w:style w:type="character" w:customStyle="1" w:styleId="BodyTextIndentChar">
    <w:name w:val="Body Text Indent Char"/>
    <w:basedOn w:val="DefaultParagraphFont"/>
    <w:link w:val="BodyTextIndent"/>
    <w:uiPriority w:val="99"/>
    <w:semiHidden/>
    <w:rsid w:val="009637A8"/>
    <w:rPr>
      <w:rFonts w:ascii="Arial" w:hAnsi="Arial" w:cs="Arial"/>
    </w:rPr>
  </w:style>
  <w:style w:type="paragraph" w:styleId="BodyTextFirstIndent2">
    <w:name w:val="Body Text First Indent 2"/>
    <w:basedOn w:val="BodyTextIndent"/>
    <w:link w:val="BodyTextFirstIndent2Char"/>
    <w:uiPriority w:val="99"/>
    <w:semiHidden/>
    <w:unhideWhenUsed/>
    <w:rsid w:val="009637A8"/>
    <w:pPr>
      <w:spacing w:after="160"/>
      <w:ind w:left="360" w:firstLine="360"/>
    </w:pPr>
  </w:style>
  <w:style w:type="character" w:customStyle="1" w:styleId="BodyTextFirstIndent2Char">
    <w:name w:val="Body Text First Indent 2 Char"/>
    <w:basedOn w:val="BodyTextIndentChar"/>
    <w:link w:val="BodyTextFirstIndent2"/>
    <w:uiPriority w:val="99"/>
    <w:semiHidden/>
    <w:rsid w:val="009637A8"/>
    <w:rPr>
      <w:rFonts w:ascii="Arial" w:hAnsi="Arial" w:cs="Arial"/>
    </w:rPr>
  </w:style>
  <w:style w:type="paragraph" w:styleId="BodyTextIndent2">
    <w:name w:val="Body Text Indent 2"/>
    <w:basedOn w:val="Normal"/>
    <w:link w:val="BodyTextIndent2Char"/>
    <w:uiPriority w:val="99"/>
    <w:semiHidden/>
    <w:unhideWhenUsed/>
    <w:rsid w:val="009637A8"/>
    <w:pPr>
      <w:spacing w:line="480" w:lineRule="auto"/>
      <w:ind w:left="283"/>
    </w:pPr>
  </w:style>
  <w:style w:type="character" w:customStyle="1" w:styleId="BodyTextIndent2Char">
    <w:name w:val="Body Text Indent 2 Char"/>
    <w:basedOn w:val="DefaultParagraphFont"/>
    <w:link w:val="BodyTextIndent2"/>
    <w:uiPriority w:val="99"/>
    <w:semiHidden/>
    <w:rsid w:val="009637A8"/>
    <w:rPr>
      <w:rFonts w:ascii="Arial" w:hAnsi="Arial" w:cs="Arial"/>
    </w:rPr>
  </w:style>
  <w:style w:type="paragraph" w:styleId="BodyTextIndent3">
    <w:name w:val="Body Text Indent 3"/>
    <w:basedOn w:val="Normal"/>
    <w:link w:val="BodyTextIndent3Char"/>
    <w:uiPriority w:val="99"/>
    <w:semiHidden/>
    <w:unhideWhenUsed/>
    <w:rsid w:val="009637A8"/>
    <w:pPr>
      <w:spacing w:line="259" w:lineRule="auto"/>
      <w:ind w:left="283"/>
    </w:pPr>
    <w:rPr>
      <w:sz w:val="16"/>
      <w:szCs w:val="16"/>
    </w:rPr>
  </w:style>
  <w:style w:type="character" w:customStyle="1" w:styleId="BodyTextIndent3Char">
    <w:name w:val="Body Text Indent 3 Char"/>
    <w:basedOn w:val="DefaultParagraphFont"/>
    <w:link w:val="BodyTextIndent3"/>
    <w:uiPriority w:val="99"/>
    <w:semiHidden/>
    <w:rsid w:val="009637A8"/>
    <w:rPr>
      <w:rFonts w:ascii="Arial" w:hAnsi="Arial" w:cs="Arial"/>
      <w:sz w:val="16"/>
      <w:szCs w:val="16"/>
    </w:rPr>
  </w:style>
  <w:style w:type="character" w:styleId="BookTitle">
    <w:name w:val="Book Title"/>
    <w:basedOn w:val="DefaultParagraphFont"/>
    <w:uiPriority w:val="33"/>
    <w:qFormat/>
    <w:rsid w:val="009637A8"/>
    <w:rPr>
      <w:b/>
      <w:bCs/>
      <w:i/>
      <w:iCs/>
      <w:spacing w:val="5"/>
    </w:rPr>
  </w:style>
  <w:style w:type="paragraph" w:styleId="Caption">
    <w:name w:val="caption"/>
    <w:basedOn w:val="Normal-nospace"/>
    <w:next w:val="BodyText"/>
    <w:uiPriority w:val="35"/>
    <w:unhideWhenUsed/>
    <w:qFormat/>
    <w:rsid w:val="001E6797"/>
    <w:pPr>
      <w:keepNext/>
      <w:spacing w:after="120" w:line="240" w:lineRule="auto"/>
      <w:ind w:left="1179" w:hanging="1179"/>
    </w:pPr>
    <w:rPr>
      <w:iCs/>
      <w:szCs w:val="18"/>
    </w:rPr>
  </w:style>
  <w:style w:type="paragraph" w:styleId="Closing">
    <w:name w:val="Closing"/>
    <w:basedOn w:val="Normal"/>
    <w:link w:val="ClosingChar"/>
    <w:uiPriority w:val="99"/>
    <w:semiHidden/>
    <w:unhideWhenUsed/>
    <w:rsid w:val="009637A8"/>
    <w:pPr>
      <w:spacing w:after="0"/>
      <w:ind w:left="4252"/>
    </w:pPr>
  </w:style>
  <w:style w:type="character" w:customStyle="1" w:styleId="ClosingChar">
    <w:name w:val="Closing Char"/>
    <w:basedOn w:val="DefaultParagraphFont"/>
    <w:link w:val="Closing"/>
    <w:uiPriority w:val="99"/>
    <w:semiHidden/>
    <w:rsid w:val="009637A8"/>
    <w:rPr>
      <w:rFonts w:ascii="Arial" w:hAnsi="Arial" w:cs="Arial"/>
    </w:rPr>
  </w:style>
  <w:style w:type="table" w:styleId="ColorfulGrid">
    <w:name w:val="Colorful Grid"/>
    <w:basedOn w:val="TableNormal"/>
    <w:uiPriority w:val="73"/>
    <w:semiHidden/>
    <w:unhideWhenUsed/>
    <w:rsid w:val="009637A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9637A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E6F2" w:themeFill="accent1" w:themeFillTint="33"/>
    </w:tcPr>
    <w:tblStylePr w:type="firstRow">
      <w:rPr>
        <w:b/>
        <w:bCs/>
      </w:rPr>
      <w:tblPr/>
      <w:tcPr>
        <w:shd w:val="clear" w:color="auto" w:fill="D7CEE5" w:themeFill="accent1" w:themeFillTint="66"/>
      </w:tcPr>
    </w:tblStylePr>
    <w:tblStylePr w:type="lastRow">
      <w:rPr>
        <w:b/>
        <w:bCs/>
        <w:color w:val="000000" w:themeColor="text1"/>
      </w:rPr>
      <w:tblPr/>
      <w:tcPr>
        <w:shd w:val="clear" w:color="auto" w:fill="D7CEE5" w:themeFill="accent1" w:themeFillTint="66"/>
      </w:tcPr>
    </w:tblStylePr>
    <w:tblStylePr w:type="firstCol">
      <w:rPr>
        <w:color w:val="FFFFFF" w:themeColor="background1"/>
      </w:rPr>
      <w:tblPr/>
      <w:tcPr>
        <w:shd w:val="clear" w:color="auto" w:fill="72549D" w:themeFill="accent1" w:themeFillShade="BF"/>
      </w:tcPr>
    </w:tblStylePr>
    <w:tblStylePr w:type="lastCol">
      <w:rPr>
        <w:color w:val="FFFFFF" w:themeColor="background1"/>
      </w:rPr>
      <w:tblPr/>
      <w:tcPr>
        <w:shd w:val="clear" w:color="auto" w:fill="72549D" w:themeFill="accent1" w:themeFillShade="BF"/>
      </w:tcPr>
    </w:tblStylePr>
    <w:tblStylePr w:type="band1Vert">
      <w:tblPr/>
      <w:tcPr>
        <w:shd w:val="clear" w:color="auto" w:fill="CEC2DE" w:themeFill="accent1" w:themeFillTint="7F"/>
      </w:tcPr>
    </w:tblStylePr>
    <w:tblStylePr w:type="band1Horz">
      <w:tblPr/>
      <w:tcPr>
        <w:shd w:val="clear" w:color="auto" w:fill="CEC2DE" w:themeFill="accent1" w:themeFillTint="7F"/>
      </w:tcPr>
    </w:tblStylePr>
  </w:style>
  <w:style w:type="table" w:styleId="ColorfulGrid-Accent2">
    <w:name w:val="Colorful Grid Accent 2"/>
    <w:basedOn w:val="TableNormal"/>
    <w:uiPriority w:val="73"/>
    <w:semiHidden/>
    <w:unhideWhenUsed/>
    <w:rsid w:val="009637A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5E5" w:themeFill="accent2" w:themeFillTint="33"/>
    </w:tcPr>
    <w:tblStylePr w:type="firstRow">
      <w:rPr>
        <w:b/>
        <w:bCs/>
      </w:rPr>
      <w:tblPr/>
      <w:tcPr>
        <w:shd w:val="clear" w:color="auto" w:fill="CBCBCB" w:themeFill="accent2" w:themeFillTint="66"/>
      </w:tcPr>
    </w:tblStylePr>
    <w:tblStylePr w:type="lastRow">
      <w:rPr>
        <w:b/>
        <w:bCs/>
        <w:color w:val="000000" w:themeColor="text1"/>
      </w:rPr>
      <w:tblPr/>
      <w:tcPr>
        <w:shd w:val="clear" w:color="auto" w:fill="CBCBCB" w:themeFill="accent2" w:themeFillTint="66"/>
      </w:tcPr>
    </w:tblStylePr>
    <w:tblStylePr w:type="firstCol">
      <w:rPr>
        <w:color w:val="FFFFFF" w:themeColor="background1"/>
      </w:rPr>
      <w:tblPr/>
      <w:tcPr>
        <w:shd w:val="clear" w:color="auto" w:fill="5D5D5D" w:themeFill="accent2" w:themeFillShade="BF"/>
      </w:tcPr>
    </w:tblStylePr>
    <w:tblStylePr w:type="lastCol">
      <w:rPr>
        <w:color w:val="FFFFFF" w:themeColor="background1"/>
      </w:rPr>
      <w:tblPr/>
      <w:tcPr>
        <w:shd w:val="clear" w:color="auto" w:fill="5D5D5D" w:themeFill="accent2" w:themeFillShade="BF"/>
      </w:tcPr>
    </w:tblStylePr>
    <w:tblStylePr w:type="band1Vert">
      <w:tblPr/>
      <w:tcPr>
        <w:shd w:val="clear" w:color="auto" w:fill="BEBEBE" w:themeFill="accent2" w:themeFillTint="7F"/>
      </w:tcPr>
    </w:tblStylePr>
    <w:tblStylePr w:type="band1Horz">
      <w:tblPr/>
      <w:tcPr>
        <w:shd w:val="clear" w:color="auto" w:fill="BEBEBE" w:themeFill="accent2" w:themeFillTint="7F"/>
      </w:tcPr>
    </w:tblStylePr>
  </w:style>
  <w:style w:type="table" w:styleId="ColorfulGrid-Accent3">
    <w:name w:val="Colorful Grid Accent 3"/>
    <w:basedOn w:val="TableNormal"/>
    <w:uiPriority w:val="73"/>
    <w:semiHidden/>
    <w:unhideWhenUsed/>
    <w:rsid w:val="009637A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4F4F4" w:themeFill="accent3" w:themeFillTint="33"/>
    </w:tcPr>
    <w:tblStylePr w:type="firstRow">
      <w:rPr>
        <w:b/>
        <w:bCs/>
      </w:rPr>
      <w:tblPr/>
      <w:tcPr>
        <w:shd w:val="clear" w:color="auto" w:fill="E9E9E9" w:themeFill="accent3" w:themeFillTint="66"/>
      </w:tcPr>
    </w:tblStylePr>
    <w:tblStylePr w:type="lastRow">
      <w:rPr>
        <w:b/>
        <w:bCs/>
        <w:color w:val="000000" w:themeColor="text1"/>
      </w:rPr>
      <w:tblPr/>
      <w:tcPr>
        <w:shd w:val="clear" w:color="auto" w:fill="E9E9E9" w:themeFill="accent3" w:themeFillTint="66"/>
      </w:tcPr>
    </w:tblStylePr>
    <w:tblStylePr w:type="firstCol">
      <w:rPr>
        <w:color w:val="FFFFFF" w:themeColor="background1"/>
      </w:rPr>
      <w:tblPr/>
      <w:tcPr>
        <w:shd w:val="clear" w:color="auto" w:fill="959595" w:themeFill="accent3" w:themeFillShade="BF"/>
      </w:tcPr>
    </w:tblStylePr>
    <w:tblStylePr w:type="lastCol">
      <w:rPr>
        <w:color w:val="FFFFFF" w:themeColor="background1"/>
      </w:rPr>
      <w:tblPr/>
      <w:tcPr>
        <w:shd w:val="clear" w:color="auto" w:fill="959595" w:themeFill="accent3" w:themeFillShade="BF"/>
      </w:tcPr>
    </w:tblStylePr>
    <w:tblStylePr w:type="band1Vert">
      <w:tblPr/>
      <w:tcPr>
        <w:shd w:val="clear" w:color="auto" w:fill="E3E3E3" w:themeFill="accent3" w:themeFillTint="7F"/>
      </w:tcPr>
    </w:tblStylePr>
    <w:tblStylePr w:type="band1Horz">
      <w:tblPr/>
      <w:tcPr>
        <w:shd w:val="clear" w:color="auto" w:fill="E3E3E3" w:themeFill="accent3" w:themeFillTint="7F"/>
      </w:tcPr>
    </w:tblStylePr>
  </w:style>
  <w:style w:type="table" w:styleId="ColorfulGrid-Accent4">
    <w:name w:val="Colorful Grid Accent 4"/>
    <w:basedOn w:val="TableNormal"/>
    <w:uiPriority w:val="73"/>
    <w:semiHidden/>
    <w:unhideWhenUsed/>
    <w:rsid w:val="009637A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8E7FF" w:themeFill="accent4" w:themeFillTint="33"/>
    </w:tcPr>
    <w:tblStylePr w:type="firstRow">
      <w:rPr>
        <w:b/>
        <w:bCs/>
      </w:rPr>
      <w:tblPr/>
      <w:tcPr>
        <w:shd w:val="clear" w:color="auto" w:fill="72D0FF" w:themeFill="accent4" w:themeFillTint="66"/>
      </w:tcPr>
    </w:tblStylePr>
    <w:tblStylePr w:type="lastRow">
      <w:rPr>
        <w:b/>
        <w:bCs/>
        <w:color w:val="000000" w:themeColor="text1"/>
      </w:rPr>
      <w:tblPr/>
      <w:tcPr>
        <w:shd w:val="clear" w:color="auto" w:fill="72D0FF" w:themeFill="accent4" w:themeFillTint="66"/>
      </w:tcPr>
    </w:tblStylePr>
    <w:tblStylePr w:type="firstCol">
      <w:rPr>
        <w:color w:val="FFFFFF" w:themeColor="background1"/>
      </w:rPr>
      <w:tblPr/>
      <w:tcPr>
        <w:shd w:val="clear" w:color="auto" w:fill="004F77" w:themeFill="accent4" w:themeFillShade="BF"/>
      </w:tcPr>
    </w:tblStylePr>
    <w:tblStylePr w:type="lastCol">
      <w:rPr>
        <w:color w:val="FFFFFF" w:themeColor="background1"/>
      </w:rPr>
      <w:tblPr/>
      <w:tcPr>
        <w:shd w:val="clear" w:color="auto" w:fill="004F77" w:themeFill="accent4" w:themeFillShade="BF"/>
      </w:tcPr>
    </w:tblStylePr>
    <w:tblStylePr w:type="band1Vert">
      <w:tblPr/>
      <w:tcPr>
        <w:shd w:val="clear" w:color="auto" w:fill="50C4FF" w:themeFill="accent4" w:themeFillTint="7F"/>
      </w:tcPr>
    </w:tblStylePr>
    <w:tblStylePr w:type="band1Horz">
      <w:tblPr/>
      <w:tcPr>
        <w:shd w:val="clear" w:color="auto" w:fill="50C4FF" w:themeFill="accent4" w:themeFillTint="7F"/>
      </w:tcPr>
    </w:tblStylePr>
  </w:style>
  <w:style w:type="table" w:styleId="ColorfulGrid-Accent5">
    <w:name w:val="Colorful Grid Accent 5"/>
    <w:basedOn w:val="TableNormal"/>
    <w:uiPriority w:val="73"/>
    <w:semiHidden/>
    <w:unhideWhenUsed/>
    <w:rsid w:val="009637A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4F1F6" w:themeFill="accent5" w:themeFillTint="33"/>
    </w:tcPr>
    <w:tblStylePr w:type="firstRow">
      <w:rPr>
        <w:b/>
        <w:bCs/>
      </w:rPr>
      <w:tblPr/>
      <w:tcPr>
        <w:shd w:val="clear" w:color="auto" w:fill="CAE4EE" w:themeFill="accent5" w:themeFillTint="66"/>
      </w:tcPr>
    </w:tblStylePr>
    <w:tblStylePr w:type="lastRow">
      <w:rPr>
        <w:b/>
        <w:bCs/>
        <w:color w:val="000000" w:themeColor="text1"/>
      </w:rPr>
      <w:tblPr/>
      <w:tcPr>
        <w:shd w:val="clear" w:color="auto" w:fill="CAE4EE" w:themeFill="accent5" w:themeFillTint="66"/>
      </w:tcPr>
    </w:tblStylePr>
    <w:tblStylePr w:type="firstCol">
      <w:rPr>
        <w:color w:val="FFFFFF" w:themeColor="background1"/>
      </w:rPr>
      <w:tblPr/>
      <w:tcPr>
        <w:shd w:val="clear" w:color="auto" w:fill="3C9BC0" w:themeFill="accent5" w:themeFillShade="BF"/>
      </w:tcPr>
    </w:tblStylePr>
    <w:tblStylePr w:type="lastCol">
      <w:rPr>
        <w:color w:val="FFFFFF" w:themeColor="background1"/>
      </w:rPr>
      <w:tblPr/>
      <w:tcPr>
        <w:shd w:val="clear" w:color="auto" w:fill="3C9BC0" w:themeFill="accent5" w:themeFillShade="BF"/>
      </w:tcPr>
    </w:tblStylePr>
    <w:tblStylePr w:type="band1Vert">
      <w:tblPr/>
      <w:tcPr>
        <w:shd w:val="clear" w:color="auto" w:fill="BDDDEA" w:themeFill="accent5" w:themeFillTint="7F"/>
      </w:tcPr>
    </w:tblStylePr>
    <w:tblStylePr w:type="band1Horz">
      <w:tblPr/>
      <w:tcPr>
        <w:shd w:val="clear" w:color="auto" w:fill="BDDDEA" w:themeFill="accent5" w:themeFillTint="7F"/>
      </w:tcPr>
    </w:tblStylePr>
  </w:style>
  <w:style w:type="table" w:styleId="ColorfulGrid-Accent6">
    <w:name w:val="Colorful Grid Accent 6"/>
    <w:basedOn w:val="TableNormal"/>
    <w:uiPriority w:val="73"/>
    <w:semiHidden/>
    <w:unhideWhenUsed/>
    <w:rsid w:val="009637A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5EBDA" w:themeFill="accent6" w:themeFillTint="33"/>
    </w:tcPr>
    <w:tblStylePr w:type="firstRow">
      <w:rPr>
        <w:b/>
        <w:bCs/>
      </w:rPr>
      <w:tblPr/>
      <w:tcPr>
        <w:shd w:val="clear" w:color="auto" w:fill="ACD8B5" w:themeFill="accent6" w:themeFillTint="66"/>
      </w:tcPr>
    </w:tblStylePr>
    <w:tblStylePr w:type="lastRow">
      <w:rPr>
        <w:b/>
        <w:bCs/>
        <w:color w:val="000000" w:themeColor="text1"/>
      </w:rPr>
      <w:tblPr/>
      <w:tcPr>
        <w:shd w:val="clear" w:color="auto" w:fill="ACD8B5" w:themeFill="accent6" w:themeFillTint="66"/>
      </w:tcPr>
    </w:tblStylePr>
    <w:tblStylePr w:type="firstCol">
      <w:rPr>
        <w:color w:val="FFFFFF" w:themeColor="background1"/>
      </w:rPr>
      <w:tblPr/>
      <w:tcPr>
        <w:shd w:val="clear" w:color="auto" w:fill="31693D" w:themeFill="accent6" w:themeFillShade="BF"/>
      </w:tcPr>
    </w:tblStylePr>
    <w:tblStylePr w:type="lastCol">
      <w:rPr>
        <w:color w:val="FFFFFF" w:themeColor="background1"/>
      </w:rPr>
      <w:tblPr/>
      <w:tcPr>
        <w:shd w:val="clear" w:color="auto" w:fill="31693D" w:themeFill="accent6" w:themeFillShade="BF"/>
      </w:tcPr>
    </w:tblStylePr>
    <w:tblStylePr w:type="band1Vert">
      <w:tblPr/>
      <w:tcPr>
        <w:shd w:val="clear" w:color="auto" w:fill="98CFA3" w:themeFill="accent6" w:themeFillTint="7F"/>
      </w:tcPr>
    </w:tblStylePr>
    <w:tblStylePr w:type="band1Horz">
      <w:tblPr/>
      <w:tcPr>
        <w:shd w:val="clear" w:color="auto" w:fill="98CFA3" w:themeFill="accent6" w:themeFillTint="7F"/>
      </w:tcPr>
    </w:tblStylePr>
  </w:style>
  <w:style w:type="table" w:styleId="ColorfulList">
    <w:name w:val="Colorful List"/>
    <w:basedOn w:val="TableNormal"/>
    <w:uiPriority w:val="72"/>
    <w:semiHidden/>
    <w:unhideWhenUsed/>
    <w:rsid w:val="009637A8"/>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646464" w:themeFill="accent2" w:themeFillShade="CC"/>
      </w:tcPr>
    </w:tblStylePr>
    <w:tblStylePr w:type="lastRow">
      <w:rPr>
        <w:b/>
        <w:bCs/>
        <w:color w:val="64646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9637A8"/>
    <w:pPr>
      <w:spacing w:after="0" w:line="240" w:lineRule="auto"/>
    </w:pPr>
    <w:rPr>
      <w:color w:val="000000" w:themeColor="text1"/>
    </w:rPr>
    <w:tblPr>
      <w:tblStyleRowBandSize w:val="1"/>
      <w:tblStyleColBandSize w:val="1"/>
    </w:tblPr>
    <w:tcPr>
      <w:shd w:val="clear" w:color="auto" w:fill="F5F3F8" w:themeFill="accent1" w:themeFillTint="19"/>
    </w:tcPr>
    <w:tblStylePr w:type="firstRow">
      <w:rPr>
        <w:b/>
        <w:bCs/>
        <w:color w:val="FFFFFF" w:themeColor="background1"/>
      </w:rPr>
      <w:tblPr/>
      <w:tcPr>
        <w:tcBorders>
          <w:bottom w:val="single" w:sz="12" w:space="0" w:color="FFFFFF" w:themeColor="background1"/>
        </w:tcBorders>
        <w:shd w:val="clear" w:color="auto" w:fill="646464" w:themeFill="accent2" w:themeFillShade="CC"/>
      </w:tcPr>
    </w:tblStylePr>
    <w:tblStylePr w:type="lastRow">
      <w:rPr>
        <w:b/>
        <w:bCs/>
        <w:color w:val="64646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0EF" w:themeFill="accent1" w:themeFillTint="3F"/>
      </w:tcPr>
    </w:tblStylePr>
    <w:tblStylePr w:type="band1Horz">
      <w:tblPr/>
      <w:tcPr>
        <w:shd w:val="clear" w:color="auto" w:fill="EBE6F2" w:themeFill="accent1" w:themeFillTint="33"/>
      </w:tcPr>
    </w:tblStylePr>
  </w:style>
  <w:style w:type="table" w:styleId="ColorfulList-Accent2">
    <w:name w:val="Colorful List Accent 2"/>
    <w:basedOn w:val="TableNormal"/>
    <w:uiPriority w:val="72"/>
    <w:semiHidden/>
    <w:unhideWhenUsed/>
    <w:rsid w:val="009637A8"/>
    <w:pPr>
      <w:spacing w:after="0" w:line="240" w:lineRule="auto"/>
    </w:pPr>
    <w:rPr>
      <w:color w:val="000000" w:themeColor="text1"/>
    </w:rPr>
    <w:tblPr>
      <w:tblStyleRowBandSize w:val="1"/>
      <w:tblStyleColBandSize w:val="1"/>
    </w:tblPr>
    <w:tcPr>
      <w:shd w:val="clear" w:color="auto" w:fill="F2F2F2" w:themeFill="accent2" w:themeFillTint="19"/>
    </w:tcPr>
    <w:tblStylePr w:type="firstRow">
      <w:rPr>
        <w:b/>
        <w:bCs/>
        <w:color w:val="FFFFFF" w:themeColor="background1"/>
      </w:rPr>
      <w:tblPr/>
      <w:tcPr>
        <w:tcBorders>
          <w:bottom w:val="single" w:sz="12" w:space="0" w:color="FFFFFF" w:themeColor="background1"/>
        </w:tcBorders>
        <w:shd w:val="clear" w:color="auto" w:fill="646464" w:themeFill="accent2" w:themeFillShade="CC"/>
      </w:tcPr>
    </w:tblStylePr>
    <w:tblStylePr w:type="lastRow">
      <w:rPr>
        <w:b/>
        <w:bCs/>
        <w:color w:val="64646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EDEDE" w:themeFill="accent2" w:themeFillTint="3F"/>
      </w:tcPr>
    </w:tblStylePr>
    <w:tblStylePr w:type="band1Horz">
      <w:tblPr/>
      <w:tcPr>
        <w:shd w:val="clear" w:color="auto" w:fill="E5E5E5" w:themeFill="accent2" w:themeFillTint="33"/>
      </w:tcPr>
    </w:tblStylePr>
  </w:style>
  <w:style w:type="table" w:styleId="ColorfulList-Accent3">
    <w:name w:val="Colorful List Accent 3"/>
    <w:basedOn w:val="TableNormal"/>
    <w:uiPriority w:val="72"/>
    <w:semiHidden/>
    <w:unhideWhenUsed/>
    <w:rsid w:val="009637A8"/>
    <w:pPr>
      <w:spacing w:after="0" w:line="240" w:lineRule="auto"/>
    </w:pPr>
    <w:rPr>
      <w:color w:val="000000" w:themeColor="text1"/>
    </w:rPr>
    <w:tblPr>
      <w:tblStyleRowBandSize w:val="1"/>
      <w:tblStyleColBandSize w:val="1"/>
    </w:tblPr>
    <w:tcPr>
      <w:shd w:val="clear" w:color="auto" w:fill="F9F9F9" w:themeFill="accent3" w:themeFillTint="19"/>
    </w:tcPr>
    <w:tblStylePr w:type="firstRow">
      <w:rPr>
        <w:b/>
        <w:bCs/>
        <w:color w:val="FFFFFF" w:themeColor="background1"/>
      </w:rPr>
      <w:tblPr/>
      <w:tcPr>
        <w:tcBorders>
          <w:bottom w:val="single" w:sz="12" w:space="0" w:color="FFFFFF" w:themeColor="background1"/>
        </w:tcBorders>
        <w:shd w:val="clear" w:color="auto" w:fill="00547F" w:themeFill="accent4" w:themeFillShade="CC"/>
      </w:tcPr>
    </w:tblStylePr>
    <w:tblStylePr w:type="lastRow">
      <w:rPr>
        <w:b/>
        <w:bCs/>
        <w:color w:val="00547F"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1F1F1" w:themeFill="accent3" w:themeFillTint="3F"/>
      </w:tcPr>
    </w:tblStylePr>
    <w:tblStylePr w:type="band1Horz">
      <w:tblPr/>
      <w:tcPr>
        <w:shd w:val="clear" w:color="auto" w:fill="F4F4F4" w:themeFill="accent3" w:themeFillTint="33"/>
      </w:tcPr>
    </w:tblStylePr>
  </w:style>
  <w:style w:type="table" w:styleId="ColorfulList-Accent4">
    <w:name w:val="Colorful List Accent 4"/>
    <w:basedOn w:val="TableNormal"/>
    <w:uiPriority w:val="72"/>
    <w:semiHidden/>
    <w:unhideWhenUsed/>
    <w:rsid w:val="009637A8"/>
    <w:pPr>
      <w:spacing w:after="0" w:line="240" w:lineRule="auto"/>
    </w:pPr>
    <w:rPr>
      <w:color w:val="000000" w:themeColor="text1"/>
    </w:rPr>
    <w:tblPr>
      <w:tblStyleRowBandSize w:val="1"/>
      <w:tblStyleColBandSize w:val="1"/>
    </w:tblPr>
    <w:tcPr>
      <w:shd w:val="clear" w:color="auto" w:fill="DCF3FF" w:themeFill="accent4" w:themeFillTint="19"/>
    </w:tcPr>
    <w:tblStylePr w:type="firstRow">
      <w:rPr>
        <w:b/>
        <w:bCs/>
        <w:color w:val="FFFFFF" w:themeColor="background1"/>
      </w:rPr>
      <w:tblPr/>
      <w:tcPr>
        <w:tcBorders>
          <w:bottom w:val="single" w:sz="12" w:space="0" w:color="FFFFFF" w:themeColor="background1"/>
        </w:tcBorders>
        <w:shd w:val="clear" w:color="auto" w:fill="A0A0A0" w:themeFill="accent3" w:themeFillShade="CC"/>
      </w:tcPr>
    </w:tblStylePr>
    <w:tblStylePr w:type="lastRow">
      <w:rPr>
        <w:b/>
        <w:bCs/>
        <w:color w:val="A0A0A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8E2FF" w:themeFill="accent4" w:themeFillTint="3F"/>
      </w:tcPr>
    </w:tblStylePr>
    <w:tblStylePr w:type="band1Horz">
      <w:tblPr/>
      <w:tcPr>
        <w:shd w:val="clear" w:color="auto" w:fill="B8E7FF" w:themeFill="accent4" w:themeFillTint="33"/>
      </w:tcPr>
    </w:tblStylePr>
  </w:style>
  <w:style w:type="table" w:styleId="ColorfulList-Accent5">
    <w:name w:val="Colorful List Accent 5"/>
    <w:basedOn w:val="TableNormal"/>
    <w:uiPriority w:val="72"/>
    <w:semiHidden/>
    <w:unhideWhenUsed/>
    <w:rsid w:val="009637A8"/>
    <w:pPr>
      <w:spacing w:after="0" w:line="240" w:lineRule="auto"/>
    </w:pPr>
    <w:rPr>
      <w:color w:val="000000" w:themeColor="text1"/>
    </w:rPr>
    <w:tblPr>
      <w:tblStyleRowBandSize w:val="1"/>
      <w:tblStyleColBandSize w:val="1"/>
    </w:tblPr>
    <w:tcPr>
      <w:shd w:val="clear" w:color="auto" w:fill="F2F8FB" w:themeFill="accent5" w:themeFillTint="19"/>
    </w:tcPr>
    <w:tblStylePr w:type="firstRow">
      <w:rPr>
        <w:b/>
        <w:bCs/>
        <w:color w:val="FFFFFF" w:themeColor="background1"/>
      </w:rPr>
      <w:tblPr/>
      <w:tcPr>
        <w:tcBorders>
          <w:bottom w:val="single" w:sz="12" w:space="0" w:color="FFFFFF" w:themeColor="background1"/>
        </w:tcBorders>
        <w:shd w:val="clear" w:color="auto" w:fill="347041" w:themeFill="accent6" w:themeFillShade="CC"/>
      </w:tcPr>
    </w:tblStylePr>
    <w:tblStylePr w:type="lastRow">
      <w:rPr>
        <w:b/>
        <w:bCs/>
        <w:color w:val="347041"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EEEF4" w:themeFill="accent5" w:themeFillTint="3F"/>
      </w:tcPr>
    </w:tblStylePr>
    <w:tblStylePr w:type="band1Horz">
      <w:tblPr/>
      <w:tcPr>
        <w:shd w:val="clear" w:color="auto" w:fill="E4F1F6" w:themeFill="accent5" w:themeFillTint="33"/>
      </w:tcPr>
    </w:tblStylePr>
  </w:style>
  <w:style w:type="table" w:styleId="ColorfulList-Accent6">
    <w:name w:val="Colorful List Accent 6"/>
    <w:basedOn w:val="TableNormal"/>
    <w:uiPriority w:val="72"/>
    <w:semiHidden/>
    <w:unhideWhenUsed/>
    <w:rsid w:val="009637A8"/>
    <w:pPr>
      <w:spacing w:after="0" w:line="240" w:lineRule="auto"/>
    </w:pPr>
    <w:rPr>
      <w:color w:val="000000" w:themeColor="text1"/>
    </w:rPr>
    <w:tblPr>
      <w:tblStyleRowBandSize w:val="1"/>
      <w:tblStyleColBandSize w:val="1"/>
    </w:tblPr>
    <w:tcPr>
      <w:shd w:val="clear" w:color="auto" w:fill="EAF5EC" w:themeFill="accent6" w:themeFillTint="19"/>
    </w:tcPr>
    <w:tblStylePr w:type="firstRow">
      <w:rPr>
        <w:b/>
        <w:bCs/>
        <w:color w:val="FFFFFF" w:themeColor="background1"/>
      </w:rPr>
      <w:tblPr/>
      <w:tcPr>
        <w:tcBorders>
          <w:bottom w:val="single" w:sz="12" w:space="0" w:color="FFFFFF" w:themeColor="background1"/>
        </w:tcBorders>
        <w:shd w:val="clear" w:color="auto" w:fill="47A2C6" w:themeFill="accent5" w:themeFillShade="CC"/>
      </w:tcPr>
    </w:tblStylePr>
    <w:tblStylePr w:type="lastRow">
      <w:rPr>
        <w:b/>
        <w:bCs/>
        <w:color w:val="47A2C6"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BE7D1" w:themeFill="accent6" w:themeFillTint="3F"/>
      </w:tcPr>
    </w:tblStylePr>
    <w:tblStylePr w:type="band1Horz">
      <w:tblPr/>
      <w:tcPr>
        <w:shd w:val="clear" w:color="auto" w:fill="D5EBDA" w:themeFill="accent6" w:themeFillTint="33"/>
      </w:tcPr>
    </w:tblStylePr>
  </w:style>
  <w:style w:type="table" w:styleId="ColorfulShading">
    <w:name w:val="Colorful Shading"/>
    <w:basedOn w:val="TableNormal"/>
    <w:uiPriority w:val="71"/>
    <w:semiHidden/>
    <w:unhideWhenUsed/>
    <w:rsid w:val="009637A8"/>
    <w:pPr>
      <w:spacing w:after="0" w:line="240" w:lineRule="auto"/>
    </w:pPr>
    <w:rPr>
      <w:color w:val="000000" w:themeColor="text1"/>
    </w:rPr>
    <w:tblPr>
      <w:tblStyleRowBandSize w:val="1"/>
      <w:tblStyleColBandSize w:val="1"/>
      <w:tblBorders>
        <w:top w:val="single" w:sz="24" w:space="0" w:color="7D7D7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7D7D7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9637A8"/>
    <w:pPr>
      <w:spacing w:after="0" w:line="240" w:lineRule="auto"/>
    </w:pPr>
    <w:rPr>
      <w:color w:val="000000" w:themeColor="text1"/>
    </w:rPr>
    <w:tblPr>
      <w:tblStyleRowBandSize w:val="1"/>
      <w:tblStyleColBandSize w:val="1"/>
      <w:tblBorders>
        <w:top w:val="single" w:sz="24" w:space="0" w:color="7D7D7D" w:themeColor="accent2"/>
        <w:left w:val="single" w:sz="4" w:space="0" w:color="9D85BE" w:themeColor="accent1"/>
        <w:bottom w:val="single" w:sz="4" w:space="0" w:color="9D85BE" w:themeColor="accent1"/>
        <w:right w:val="single" w:sz="4" w:space="0" w:color="9D85BE" w:themeColor="accent1"/>
        <w:insideH w:val="single" w:sz="4" w:space="0" w:color="FFFFFF" w:themeColor="background1"/>
        <w:insideV w:val="single" w:sz="4" w:space="0" w:color="FFFFFF" w:themeColor="background1"/>
      </w:tblBorders>
    </w:tblPr>
    <w:tcPr>
      <w:shd w:val="clear" w:color="auto" w:fill="F5F3F8" w:themeFill="accent1" w:themeFillTint="19"/>
    </w:tcPr>
    <w:tblStylePr w:type="firstRow">
      <w:rPr>
        <w:b/>
        <w:bCs/>
      </w:rPr>
      <w:tblPr/>
      <w:tcPr>
        <w:tcBorders>
          <w:top w:val="nil"/>
          <w:left w:val="nil"/>
          <w:bottom w:val="single" w:sz="24" w:space="0" w:color="7D7D7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C437E" w:themeFill="accent1" w:themeFillShade="99"/>
      </w:tcPr>
    </w:tblStylePr>
    <w:tblStylePr w:type="firstCol">
      <w:rPr>
        <w:color w:val="FFFFFF" w:themeColor="background1"/>
      </w:rPr>
      <w:tblPr/>
      <w:tcPr>
        <w:tcBorders>
          <w:top w:val="nil"/>
          <w:left w:val="nil"/>
          <w:bottom w:val="nil"/>
          <w:right w:val="nil"/>
          <w:insideH w:val="single" w:sz="4" w:space="0" w:color="5C437E" w:themeColor="accent1" w:themeShade="99"/>
          <w:insideV w:val="nil"/>
        </w:tcBorders>
        <w:shd w:val="clear" w:color="auto" w:fill="5C437E"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5C437E" w:themeFill="accent1" w:themeFillShade="99"/>
      </w:tcPr>
    </w:tblStylePr>
    <w:tblStylePr w:type="band1Vert">
      <w:tblPr/>
      <w:tcPr>
        <w:shd w:val="clear" w:color="auto" w:fill="D7CEE5" w:themeFill="accent1" w:themeFillTint="66"/>
      </w:tcPr>
    </w:tblStylePr>
    <w:tblStylePr w:type="band1Horz">
      <w:tblPr/>
      <w:tcPr>
        <w:shd w:val="clear" w:color="auto" w:fill="CEC2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9637A8"/>
    <w:pPr>
      <w:spacing w:after="0" w:line="240" w:lineRule="auto"/>
    </w:pPr>
    <w:rPr>
      <w:color w:val="000000" w:themeColor="text1"/>
    </w:rPr>
    <w:tblPr>
      <w:tblStyleRowBandSize w:val="1"/>
      <w:tblStyleColBandSize w:val="1"/>
      <w:tblBorders>
        <w:top w:val="single" w:sz="24" w:space="0" w:color="7D7D7D" w:themeColor="accent2"/>
        <w:left w:val="single" w:sz="4" w:space="0" w:color="7D7D7D" w:themeColor="accent2"/>
        <w:bottom w:val="single" w:sz="4" w:space="0" w:color="7D7D7D" w:themeColor="accent2"/>
        <w:right w:val="single" w:sz="4" w:space="0" w:color="7D7D7D" w:themeColor="accent2"/>
        <w:insideH w:val="single" w:sz="4" w:space="0" w:color="FFFFFF" w:themeColor="background1"/>
        <w:insideV w:val="single" w:sz="4" w:space="0" w:color="FFFFFF" w:themeColor="background1"/>
      </w:tblBorders>
    </w:tblPr>
    <w:tcPr>
      <w:shd w:val="clear" w:color="auto" w:fill="F2F2F2" w:themeFill="accent2" w:themeFillTint="19"/>
    </w:tcPr>
    <w:tblStylePr w:type="firstRow">
      <w:rPr>
        <w:b/>
        <w:bCs/>
      </w:rPr>
      <w:tblPr/>
      <w:tcPr>
        <w:tcBorders>
          <w:top w:val="nil"/>
          <w:left w:val="nil"/>
          <w:bottom w:val="single" w:sz="24" w:space="0" w:color="7D7D7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4B4B" w:themeFill="accent2" w:themeFillShade="99"/>
      </w:tcPr>
    </w:tblStylePr>
    <w:tblStylePr w:type="firstCol">
      <w:rPr>
        <w:color w:val="FFFFFF" w:themeColor="background1"/>
      </w:rPr>
      <w:tblPr/>
      <w:tcPr>
        <w:tcBorders>
          <w:top w:val="nil"/>
          <w:left w:val="nil"/>
          <w:bottom w:val="nil"/>
          <w:right w:val="nil"/>
          <w:insideH w:val="single" w:sz="4" w:space="0" w:color="4B4B4B" w:themeColor="accent2" w:themeShade="99"/>
          <w:insideV w:val="nil"/>
        </w:tcBorders>
        <w:shd w:val="clear" w:color="auto" w:fill="4B4B4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4B4B4B" w:themeFill="accent2" w:themeFillShade="99"/>
      </w:tcPr>
    </w:tblStylePr>
    <w:tblStylePr w:type="band1Vert">
      <w:tblPr/>
      <w:tcPr>
        <w:shd w:val="clear" w:color="auto" w:fill="CBCBCB" w:themeFill="accent2" w:themeFillTint="66"/>
      </w:tcPr>
    </w:tblStylePr>
    <w:tblStylePr w:type="band1Horz">
      <w:tblPr/>
      <w:tcPr>
        <w:shd w:val="clear" w:color="auto" w:fill="BEBEBE"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9637A8"/>
    <w:pPr>
      <w:spacing w:after="0" w:line="240" w:lineRule="auto"/>
    </w:pPr>
    <w:rPr>
      <w:color w:val="000000" w:themeColor="text1"/>
    </w:rPr>
    <w:tblPr>
      <w:tblStyleRowBandSize w:val="1"/>
      <w:tblStyleColBandSize w:val="1"/>
      <w:tblBorders>
        <w:top w:val="single" w:sz="24" w:space="0" w:color="006A9F" w:themeColor="accent4"/>
        <w:left w:val="single" w:sz="4" w:space="0" w:color="C8C8C8" w:themeColor="accent3"/>
        <w:bottom w:val="single" w:sz="4" w:space="0" w:color="C8C8C8" w:themeColor="accent3"/>
        <w:right w:val="single" w:sz="4" w:space="0" w:color="C8C8C8" w:themeColor="accent3"/>
        <w:insideH w:val="single" w:sz="4" w:space="0" w:color="FFFFFF" w:themeColor="background1"/>
        <w:insideV w:val="single" w:sz="4" w:space="0" w:color="FFFFFF" w:themeColor="background1"/>
      </w:tblBorders>
    </w:tblPr>
    <w:tcPr>
      <w:shd w:val="clear" w:color="auto" w:fill="F9F9F9" w:themeFill="accent3" w:themeFillTint="19"/>
    </w:tcPr>
    <w:tblStylePr w:type="firstRow">
      <w:rPr>
        <w:b/>
        <w:bCs/>
      </w:rPr>
      <w:tblPr/>
      <w:tcPr>
        <w:tcBorders>
          <w:top w:val="nil"/>
          <w:left w:val="nil"/>
          <w:bottom w:val="single" w:sz="24" w:space="0" w:color="006A9F"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87878" w:themeFill="accent3" w:themeFillShade="99"/>
      </w:tcPr>
    </w:tblStylePr>
    <w:tblStylePr w:type="firstCol">
      <w:rPr>
        <w:color w:val="FFFFFF" w:themeColor="background1"/>
      </w:rPr>
      <w:tblPr/>
      <w:tcPr>
        <w:tcBorders>
          <w:top w:val="nil"/>
          <w:left w:val="nil"/>
          <w:bottom w:val="nil"/>
          <w:right w:val="nil"/>
          <w:insideH w:val="single" w:sz="4" w:space="0" w:color="787878" w:themeColor="accent3" w:themeShade="99"/>
          <w:insideV w:val="nil"/>
        </w:tcBorders>
        <w:shd w:val="clear" w:color="auto" w:fill="787878"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787878" w:themeFill="accent3" w:themeFillShade="99"/>
      </w:tcPr>
    </w:tblStylePr>
    <w:tblStylePr w:type="band1Vert">
      <w:tblPr/>
      <w:tcPr>
        <w:shd w:val="clear" w:color="auto" w:fill="E9E9E9" w:themeFill="accent3" w:themeFillTint="66"/>
      </w:tcPr>
    </w:tblStylePr>
    <w:tblStylePr w:type="band1Horz">
      <w:tblPr/>
      <w:tcPr>
        <w:shd w:val="clear" w:color="auto" w:fill="E3E3E3" w:themeFill="accent3" w:themeFillTint="7F"/>
      </w:tcPr>
    </w:tblStylePr>
  </w:style>
  <w:style w:type="table" w:styleId="ColorfulShading-Accent4">
    <w:name w:val="Colorful Shading Accent 4"/>
    <w:basedOn w:val="TableNormal"/>
    <w:uiPriority w:val="71"/>
    <w:semiHidden/>
    <w:unhideWhenUsed/>
    <w:rsid w:val="009637A8"/>
    <w:pPr>
      <w:spacing w:after="0" w:line="240" w:lineRule="auto"/>
    </w:pPr>
    <w:rPr>
      <w:color w:val="000000" w:themeColor="text1"/>
    </w:rPr>
    <w:tblPr>
      <w:tblStyleRowBandSize w:val="1"/>
      <w:tblStyleColBandSize w:val="1"/>
      <w:tblBorders>
        <w:top w:val="single" w:sz="24" w:space="0" w:color="C8C8C8" w:themeColor="accent3"/>
        <w:left w:val="single" w:sz="4" w:space="0" w:color="006A9F" w:themeColor="accent4"/>
        <w:bottom w:val="single" w:sz="4" w:space="0" w:color="006A9F" w:themeColor="accent4"/>
        <w:right w:val="single" w:sz="4" w:space="0" w:color="006A9F" w:themeColor="accent4"/>
        <w:insideH w:val="single" w:sz="4" w:space="0" w:color="FFFFFF" w:themeColor="background1"/>
        <w:insideV w:val="single" w:sz="4" w:space="0" w:color="FFFFFF" w:themeColor="background1"/>
      </w:tblBorders>
    </w:tblPr>
    <w:tcPr>
      <w:shd w:val="clear" w:color="auto" w:fill="DCF3FF" w:themeFill="accent4" w:themeFillTint="19"/>
    </w:tcPr>
    <w:tblStylePr w:type="firstRow">
      <w:rPr>
        <w:b/>
        <w:bCs/>
      </w:rPr>
      <w:tblPr/>
      <w:tcPr>
        <w:tcBorders>
          <w:top w:val="nil"/>
          <w:left w:val="nil"/>
          <w:bottom w:val="single" w:sz="24" w:space="0" w:color="C8C8C8"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F5F" w:themeFill="accent4" w:themeFillShade="99"/>
      </w:tcPr>
    </w:tblStylePr>
    <w:tblStylePr w:type="firstCol">
      <w:rPr>
        <w:color w:val="FFFFFF" w:themeColor="background1"/>
      </w:rPr>
      <w:tblPr/>
      <w:tcPr>
        <w:tcBorders>
          <w:top w:val="nil"/>
          <w:left w:val="nil"/>
          <w:bottom w:val="nil"/>
          <w:right w:val="nil"/>
          <w:insideH w:val="single" w:sz="4" w:space="0" w:color="003F5F" w:themeColor="accent4" w:themeShade="99"/>
          <w:insideV w:val="nil"/>
        </w:tcBorders>
        <w:shd w:val="clear" w:color="auto" w:fill="003F5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3F5F" w:themeFill="accent4" w:themeFillShade="99"/>
      </w:tcPr>
    </w:tblStylePr>
    <w:tblStylePr w:type="band1Vert">
      <w:tblPr/>
      <w:tcPr>
        <w:shd w:val="clear" w:color="auto" w:fill="72D0FF" w:themeFill="accent4" w:themeFillTint="66"/>
      </w:tcPr>
    </w:tblStylePr>
    <w:tblStylePr w:type="band1Horz">
      <w:tblPr/>
      <w:tcPr>
        <w:shd w:val="clear" w:color="auto" w:fill="50C4F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9637A8"/>
    <w:pPr>
      <w:spacing w:after="0" w:line="240" w:lineRule="auto"/>
    </w:pPr>
    <w:rPr>
      <w:color w:val="000000" w:themeColor="text1"/>
    </w:rPr>
    <w:tblPr>
      <w:tblStyleRowBandSize w:val="1"/>
      <w:tblStyleColBandSize w:val="1"/>
      <w:tblBorders>
        <w:top w:val="single" w:sz="24" w:space="0" w:color="428D52" w:themeColor="accent6"/>
        <w:left w:val="single" w:sz="4" w:space="0" w:color="7BBDD6" w:themeColor="accent5"/>
        <w:bottom w:val="single" w:sz="4" w:space="0" w:color="7BBDD6" w:themeColor="accent5"/>
        <w:right w:val="single" w:sz="4" w:space="0" w:color="7BBDD6" w:themeColor="accent5"/>
        <w:insideH w:val="single" w:sz="4" w:space="0" w:color="FFFFFF" w:themeColor="background1"/>
        <w:insideV w:val="single" w:sz="4" w:space="0" w:color="FFFFFF" w:themeColor="background1"/>
      </w:tblBorders>
    </w:tblPr>
    <w:tcPr>
      <w:shd w:val="clear" w:color="auto" w:fill="F2F8FB" w:themeFill="accent5" w:themeFillTint="19"/>
    </w:tcPr>
    <w:tblStylePr w:type="firstRow">
      <w:rPr>
        <w:b/>
        <w:bCs/>
      </w:rPr>
      <w:tblPr/>
      <w:tcPr>
        <w:tcBorders>
          <w:top w:val="nil"/>
          <w:left w:val="nil"/>
          <w:bottom w:val="single" w:sz="24" w:space="0" w:color="428D52"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07C9A" w:themeFill="accent5" w:themeFillShade="99"/>
      </w:tcPr>
    </w:tblStylePr>
    <w:tblStylePr w:type="firstCol">
      <w:rPr>
        <w:color w:val="FFFFFF" w:themeColor="background1"/>
      </w:rPr>
      <w:tblPr/>
      <w:tcPr>
        <w:tcBorders>
          <w:top w:val="nil"/>
          <w:left w:val="nil"/>
          <w:bottom w:val="nil"/>
          <w:right w:val="nil"/>
          <w:insideH w:val="single" w:sz="4" w:space="0" w:color="307C9A" w:themeColor="accent5" w:themeShade="99"/>
          <w:insideV w:val="nil"/>
        </w:tcBorders>
        <w:shd w:val="clear" w:color="auto" w:fill="307C9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07C9A" w:themeFill="accent5" w:themeFillShade="99"/>
      </w:tcPr>
    </w:tblStylePr>
    <w:tblStylePr w:type="band1Vert">
      <w:tblPr/>
      <w:tcPr>
        <w:shd w:val="clear" w:color="auto" w:fill="CAE4EE" w:themeFill="accent5" w:themeFillTint="66"/>
      </w:tcPr>
    </w:tblStylePr>
    <w:tblStylePr w:type="band1Horz">
      <w:tblPr/>
      <w:tcPr>
        <w:shd w:val="clear" w:color="auto" w:fill="BDDDE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9637A8"/>
    <w:pPr>
      <w:spacing w:after="0" w:line="240" w:lineRule="auto"/>
    </w:pPr>
    <w:rPr>
      <w:color w:val="000000" w:themeColor="text1"/>
    </w:rPr>
    <w:tblPr>
      <w:tblStyleRowBandSize w:val="1"/>
      <w:tblStyleColBandSize w:val="1"/>
      <w:tblBorders>
        <w:top w:val="single" w:sz="24" w:space="0" w:color="7BBDD6" w:themeColor="accent5"/>
        <w:left w:val="single" w:sz="4" w:space="0" w:color="428D52" w:themeColor="accent6"/>
        <w:bottom w:val="single" w:sz="4" w:space="0" w:color="428D52" w:themeColor="accent6"/>
        <w:right w:val="single" w:sz="4" w:space="0" w:color="428D52" w:themeColor="accent6"/>
        <w:insideH w:val="single" w:sz="4" w:space="0" w:color="FFFFFF" w:themeColor="background1"/>
        <w:insideV w:val="single" w:sz="4" w:space="0" w:color="FFFFFF" w:themeColor="background1"/>
      </w:tblBorders>
    </w:tblPr>
    <w:tcPr>
      <w:shd w:val="clear" w:color="auto" w:fill="EAF5EC" w:themeFill="accent6" w:themeFillTint="19"/>
    </w:tcPr>
    <w:tblStylePr w:type="firstRow">
      <w:rPr>
        <w:b/>
        <w:bCs/>
      </w:rPr>
      <w:tblPr/>
      <w:tcPr>
        <w:tcBorders>
          <w:top w:val="nil"/>
          <w:left w:val="nil"/>
          <w:bottom w:val="single" w:sz="24" w:space="0" w:color="7BBDD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5431" w:themeFill="accent6" w:themeFillShade="99"/>
      </w:tcPr>
    </w:tblStylePr>
    <w:tblStylePr w:type="firstCol">
      <w:rPr>
        <w:color w:val="FFFFFF" w:themeColor="background1"/>
      </w:rPr>
      <w:tblPr/>
      <w:tcPr>
        <w:tcBorders>
          <w:top w:val="nil"/>
          <w:left w:val="nil"/>
          <w:bottom w:val="nil"/>
          <w:right w:val="nil"/>
          <w:insideH w:val="single" w:sz="4" w:space="0" w:color="275431" w:themeColor="accent6" w:themeShade="99"/>
          <w:insideV w:val="nil"/>
        </w:tcBorders>
        <w:shd w:val="clear" w:color="auto" w:fill="27543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75431" w:themeFill="accent6" w:themeFillShade="99"/>
      </w:tcPr>
    </w:tblStylePr>
    <w:tblStylePr w:type="band1Vert">
      <w:tblPr/>
      <w:tcPr>
        <w:shd w:val="clear" w:color="auto" w:fill="ACD8B5" w:themeFill="accent6" w:themeFillTint="66"/>
      </w:tcPr>
    </w:tblStylePr>
    <w:tblStylePr w:type="band1Horz">
      <w:tblPr/>
      <w:tcPr>
        <w:shd w:val="clear" w:color="auto" w:fill="98CFA3"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9637A8"/>
    <w:rPr>
      <w:sz w:val="16"/>
      <w:szCs w:val="16"/>
    </w:rPr>
  </w:style>
  <w:style w:type="paragraph" w:styleId="CommentText">
    <w:name w:val="annotation text"/>
    <w:basedOn w:val="Normal"/>
    <w:link w:val="CommentTextChar"/>
    <w:uiPriority w:val="99"/>
    <w:unhideWhenUsed/>
    <w:rsid w:val="009637A8"/>
    <w:pPr>
      <w:spacing w:after="160"/>
    </w:pPr>
    <w:rPr>
      <w:sz w:val="20"/>
      <w:szCs w:val="20"/>
    </w:rPr>
  </w:style>
  <w:style w:type="character" w:customStyle="1" w:styleId="CommentTextChar">
    <w:name w:val="Comment Text Char"/>
    <w:basedOn w:val="DefaultParagraphFont"/>
    <w:link w:val="CommentText"/>
    <w:uiPriority w:val="99"/>
    <w:rsid w:val="009637A8"/>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9637A8"/>
    <w:rPr>
      <w:b/>
      <w:bCs/>
    </w:rPr>
  </w:style>
  <w:style w:type="character" w:customStyle="1" w:styleId="CommentSubjectChar">
    <w:name w:val="Comment Subject Char"/>
    <w:basedOn w:val="CommentTextChar"/>
    <w:link w:val="CommentSubject"/>
    <w:uiPriority w:val="99"/>
    <w:semiHidden/>
    <w:rsid w:val="009637A8"/>
    <w:rPr>
      <w:rFonts w:ascii="Arial" w:hAnsi="Arial" w:cs="Arial"/>
      <w:b/>
      <w:bCs/>
      <w:sz w:val="20"/>
      <w:szCs w:val="20"/>
    </w:rPr>
  </w:style>
  <w:style w:type="table" w:styleId="DarkList">
    <w:name w:val="Dark List"/>
    <w:basedOn w:val="TableNormal"/>
    <w:uiPriority w:val="70"/>
    <w:semiHidden/>
    <w:unhideWhenUsed/>
    <w:rsid w:val="009637A8"/>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9637A8"/>
    <w:pPr>
      <w:spacing w:after="0" w:line="240" w:lineRule="auto"/>
    </w:pPr>
    <w:rPr>
      <w:color w:val="FFFFFF" w:themeColor="background1"/>
    </w:rPr>
    <w:tblPr>
      <w:tblStyleRowBandSize w:val="1"/>
      <w:tblStyleColBandSize w:val="1"/>
    </w:tblPr>
    <w:tcPr>
      <w:shd w:val="clear" w:color="auto" w:fill="9D85BE"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C386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72549D"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72549D" w:themeFill="accent1" w:themeFillShade="BF"/>
      </w:tcPr>
    </w:tblStylePr>
    <w:tblStylePr w:type="band1Vert">
      <w:tblPr/>
      <w:tcPr>
        <w:tcBorders>
          <w:top w:val="nil"/>
          <w:left w:val="nil"/>
          <w:bottom w:val="nil"/>
          <w:right w:val="nil"/>
          <w:insideH w:val="nil"/>
          <w:insideV w:val="nil"/>
        </w:tcBorders>
        <w:shd w:val="clear" w:color="auto" w:fill="72549D" w:themeFill="accent1" w:themeFillShade="BF"/>
      </w:tcPr>
    </w:tblStylePr>
    <w:tblStylePr w:type="band1Horz">
      <w:tblPr/>
      <w:tcPr>
        <w:tcBorders>
          <w:top w:val="nil"/>
          <w:left w:val="nil"/>
          <w:bottom w:val="nil"/>
          <w:right w:val="nil"/>
          <w:insideH w:val="nil"/>
          <w:insideV w:val="nil"/>
        </w:tcBorders>
        <w:shd w:val="clear" w:color="auto" w:fill="72549D" w:themeFill="accent1" w:themeFillShade="BF"/>
      </w:tcPr>
    </w:tblStylePr>
  </w:style>
  <w:style w:type="table" w:styleId="DarkList-Accent2">
    <w:name w:val="Dark List Accent 2"/>
    <w:basedOn w:val="TableNormal"/>
    <w:uiPriority w:val="70"/>
    <w:semiHidden/>
    <w:unhideWhenUsed/>
    <w:rsid w:val="009637A8"/>
    <w:pPr>
      <w:spacing w:after="0" w:line="240" w:lineRule="auto"/>
    </w:pPr>
    <w:rPr>
      <w:color w:val="FFFFFF" w:themeColor="background1"/>
    </w:rPr>
    <w:tblPr>
      <w:tblStyleRowBandSize w:val="1"/>
      <w:tblStyleColBandSize w:val="1"/>
    </w:tblPr>
    <w:tcPr>
      <w:shd w:val="clear" w:color="auto" w:fill="7D7D7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E3E3E"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D5D5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D5D5D" w:themeFill="accent2" w:themeFillShade="BF"/>
      </w:tcPr>
    </w:tblStylePr>
    <w:tblStylePr w:type="band1Vert">
      <w:tblPr/>
      <w:tcPr>
        <w:tcBorders>
          <w:top w:val="nil"/>
          <w:left w:val="nil"/>
          <w:bottom w:val="nil"/>
          <w:right w:val="nil"/>
          <w:insideH w:val="nil"/>
          <w:insideV w:val="nil"/>
        </w:tcBorders>
        <w:shd w:val="clear" w:color="auto" w:fill="5D5D5D" w:themeFill="accent2" w:themeFillShade="BF"/>
      </w:tcPr>
    </w:tblStylePr>
    <w:tblStylePr w:type="band1Horz">
      <w:tblPr/>
      <w:tcPr>
        <w:tcBorders>
          <w:top w:val="nil"/>
          <w:left w:val="nil"/>
          <w:bottom w:val="nil"/>
          <w:right w:val="nil"/>
          <w:insideH w:val="nil"/>
          <w:insideV w:val="nil"/>
        </w:tcBorders>
        <w:shd w:val="clear" w:color="auto" w:fill="5D5D5D" w:themeFill="accent2" w:themeFillShade="BF"/>
      </w:tcPr>
    </w:tblStylePr>
  </w:style>
  <w:style w:type="table" w:styleId="DarkList-Accent3">
    <w:name w:val="Dark List Accent 3"/>
    <w:basedOn w:val="TableNormal"/>
    <w:uiPriority w:val="70"/>
    <w:semiHidden/>
    <w:unhideWhenUsed/>
    <w:rsid w:val="009637A8"/>
    <w:pPr>
      <w:spacing w:after="0" w:line="240" w:lineRule="auto"/>
    </w:pPr>
    <w:rPr>
      <w:color w:val="FFFFFF" w:themeColor="background1"/>
    </w:rPr>
    <w:tblPr>
      <w:tblStyleRowBandSize w:val="1"/>
      <w:tblStyleColBandSize w:val="1"/>
    </w:tblPr>
    <w:tcPr>
      <w:shd w:val="clear" w:color="auto" w:fill="C8C8C8"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36363"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959595"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959595" w:themeFill="accent3" w:themeFillShade="BF"/>
      </w:tcPr>
    </w:tblStylePr>
    <w:tblStylePr w:type="band1Vert">
      <w:tblPr/>
      <w:tcPr>
        <w:tcBorders>
          <w:top w:val="nil"/>
          <w:left w:val="nil"/>
          <w:bottom w:val="nil"/>
          <w:right w:val="nil"/>
          <w:insideH w:val="nil"/>
          <w:insideV w:val="nil"/>
        </w:tcBorders>
        <w:shd w:val="clear" w:color="auto" w:fill="959595" w:themeFill="accent3" w:themeFillShade="BF"/>
      </w:tcPr>
    </w:tblStylePr>
    <w:tblStylePr w:type="band1Horz">
      <w:tblPr/>
      <w:tcPr>
        <w:tcBorders>
          <w:top w:val="nil"/>
          <w:left w:val="nil"/>
          <w:bottom w:val="nil"/>
          <w:right w:val="nil"/>
          <w:insideH w:val="nil"/>
          <w:insideV w:val="nil"/>
        </w:tcBorders>
        <w:shd w:val="clear" w:color="auto" w:fill="959595" w:themeFill="accent3" w:themeFillShade="BF"/>
      </w:tcPr>
    </w:tblStylePr>
  </w:style>
  <w:style w:type="table" w:styleId="DarkList-Accent4">
    <w:name w:val="Dark List Accent 4"/>
    <w:basedOn w:val="TableNormal"/>
    <w:uiPriority w:val="70"/>
    <w:semiHidden/>
    <w:unhideWhenUsed/>
    <w:rsid w:val="009637A8"/>
    <w:pPr>
      <w:spacing w:after="0" w:line="240" w:lineRule="auto"/>
    </w:pPr>
    <w:rPr>
      <w:color w:val="FFFFFF" w:themeColor="background1"/>
    </w:rPr>
    <w:tblPr>
      <w:tblStyleRowBandSize w:val="1"/>
      <w:tblStyleColBandSize w:val="1"/>
    </w:tblPr>
    <w:tcPr>
      <w:shd w:val="clear" w:color="auto" w:fill="006A9F"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44F"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4F77"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4F77" w:themeFill="accent4" w:themeFillShade="BF"/>
      </w:tcPr>
    </w:tblStylePr>
    <w:tblStylePr w:type="band1Vert">
      <w:tblPr/>
      <w:tcPr>
        <w:tcBorders>
          <w:top w:val="nil"/>
          <w:left w:val="nil"/>
          <w:bottom w:val="nil"/>
          <w:right w:val="nil"/>
          <w:insideH w:val="nil"/>
          <w:insideV w:val="nil"/>
        </w:tcBorders>
        <w:shd w:val="clear" w:color="auto" w:fill="004F77" w:themeFill="accent4" w:themeFillShade="BF"/>
      </w:tcPr>
    </w:tblStylePr>
    <w:tblStylePr w:type="band1Horz">
      <w:tblPr/>
      <w:tcPr>
        <w:tcBorders>
          <w:top w:val="nil"/>
          <w:left w:val="nil"/>
          <w:bottom w:val="nil"/>
          <w:right w:val="nil"/>
          <w:insideH w:val="nil"/>
          <w:insideV w:val="nil"/>
        </w:tcBorders>
        <w:shd w:val="clear" w:color="auto" w:fill="004F77" w:themeFill="accent4" w:themeFillShade="BF"/>
      </w:tcPr>
    </w:tblStylePr>
  </w:style>
  <w:style w:type="table" w:styleId="DarkList-Accent5">
    <w:name w:val="Dark List Accent 5"/>
    <w:basedOn w:val="TableNormal"/>
    <w:uiPriority w:val="70"/>
    <w:semiHidden/>
    <w:unhideWhenUsed/>
    <w:rsid w:val="009637A8"/>
    <w:pPr>
      <w:spacing w:after="0" w:line="240" w:lineRule="auto"/>
    </w:pPr>
    <w:rPr>
      <w:color w:val="FFFFFF" w:themeColor="background1"/>
    </w:rPr>
    <w:tblPr>
      <w:tblStyleRowBandSize w:val="1"/>
      <w:tblStyleColBandSize w:val="1"/>
    </w:tblPr>
    <w:tcPr>
      <w:shd w:val="clear" w:color="auto" w:fill="7BBDD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767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C9BC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C9BC0" w:themeFill="accent5" w:themeFillShade="BF"/>
      </w:tcPr>
    </w:tblStylePr>
    <w:tblStylePr w:type="band1Vert">
      <w:tblPr/>
      <w:tcPr>
        <w:tcBorders>
          <w:top w:val="nil"/>
          <w:left w:val="nil"/>
          <w:bottom w:val="nil"/>
          <w:right w:val="nil"/>
          <w:insideH w:val="nil"/>
          <w:insideV w:val="nil"/>
        </w:tcBorders>
        <w:shd w:val="clear" w:color="auto" w:fill="3C9BC0" w:themeFill="accent5" w:themeFillShade="BF"/>
      </w:tcPr>
    </w:tblStylePr>
    <w:tblStylePr w:type="band1Horz">
      <w:tblPr/>
      <w:tcPr>
        <w:tcBorders>
          <w:top w:val="nil"/>
          <w:left w:val="nil"/>
          <w:bottom w:val="nil"/>
          <w:right w:val="nil"/>
          <w:insideH w:val="nil"/>
          <w:insideV w:val="nil"/>
        </w:tcBorders>
        <w:shd w:val="clear" w:color="auto" w:fill="3C9BC0" w:themeFill="accent5" w:themeFillShade="BF"/>
      </w:tcPr>
    </w:tblStylePr>
  </w:style>
  <w:style w:type="table" w:styleId="DarkList-Accent6">
    <w:name w:val="Dark List Accent 6"/>
    <w:basedOn w:val="TableNormal"/>
    <w:uiPriority w:val="70"/>
    <w:semiHidden/>
    <w:unhideWhenUsed/>
    <w:rsid w:val="009637A8"/>
    <w:pPr>
      <w:spacing w:after="0" w:line="240" w:lineRule="auto"/>
    </w:pPr>
    <w:rPr>
      <w:color w:val="FFFFFF" w:themeColor="background1"/>
    </w:rPr>
    <w:tblPr>
      <w:tblStyleRowBandSize w:val="1"/>
      <w:tblStyleColBandSize w:val="1"/>
    </w:tblPr>
    <w:tcPr>
      <w:shd w:val="clear" w:color="auto" w:fill="428D52"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14628"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1693D"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1693D" w:themeFill="accent6" w:themeFillShade="BF"/>
      </w:tcPr>
    </w:tblStylePr>
    <w:tblStylePr w:type="band1Vert">
      <w:tblPr/>
      <w:tcPr>
        <w:tcBorders>
          <w:top w:val="nil"/>
          <w:left w:val="nil"/>
          <w:bottom w:val="nil"/>
          <w:right w:val="nil"/>
          <w:insideH w:val="nil"/>
          <w:insideV w:val="nil"/>
        </w:tcBorders>
        <w:shd w:val="clear" w:color="auto" w:fill="31693D" w:themeFill="accent6" w:themeFillShade="BF"/>
      </w:tcPr>
    </w:tblStylePr>
    <w:tblStylePr w:type="band1Horz">
      <w:tblPr/>
      <w:tcPr>
        <w:tcBorders>
          <w:top w:val="nil"/>
          <w:left w:val="nil"/>
          <w:bottom w:val="nil"/>
          <w:right w:val="nil"/>
          <w:insideH w:val="nil"/>
          <w:insideV w:val="nil"/>
        </w:tcBorders>
        <w:shd w:val="clear" w:color="auto" w:fill="31693D" w:themeFill="accent6" w:themeFillShade="BF"/>
      </w:tcPr>
    </w:tblStylePr>
  </w:style>
  <w:style w:type="paragraph" w:styleId="Date">
    <w:name w:val="Date"/>
    <w:basedOn w:val="Normal"/>
    <w:next w:val="Normal"/>
    <w:link w:val="DateChar"/>
    <w:uiPriority w:val="99"/>
    <w:semiHidden/>
    <w:unhideWhenUsed/>
    <w:rsid w:val="009637A8"/>
    <w:pPr>
      <w:spacing w:after="160" w:line="259" w:lineRule="auto"/>
    </w:pPr>
  </w:style>
  <w:style w:type="character" w:customStyle="1" w:styleId="DateChar">
    <w:name w:val="Date Char"/>
    <w:basedOn w:val="DefaultParagraphFont"/>
    <w:link w:val="Date"/>
    <w:uiPriority w:val="99"/>
    <w:semiHidden/>
    <w:rsid w:val="009637A8"/>
    <w:rPr>
      <w:rFonts w:ascii="Arial" w:hAnsi="Arial" w:cs="Arial"/>
    </w:rPr>
  </w:style>
  <w:style w:type="paragraph" w:styleId="DocumentMap">
    <w:name w:val="Document Map"/>
    <w:basedOn w:val="Normal"/>
    <w:link w:val="DocumentMapChar"/>
    <w:uiPriority w:val="99"/>
    <w:semiHidden/>
    <w:unhideWhenUsed/>
    <w:rsid w:val="009637A8"/>
    <w:pPr>
      <w:spacing w:after="0"/>
    </w:pPr>
    <w:rPr>
      <w:sz w:val="16"/>
      <w:szCs w:val="16"/>
    </w:rPr>
  </w:style>
  <w:style w:type="character" w:customStyle="1" w:styleId="DocumentMapChar">
    <w:name w:val="Document Map Char"/>
    <w:basedOn w:val="DefaultParagraphFont"/>
    <w:link w:val="DocumentMap"/>
    <w:uiPriority w:val="99"/>
    <w:semiHidden/>
    <w:rsid w:val="009637A8"/>
    <w:rPr>
      <w:rFonts w:ascii="Arial" w:hAnsi="Arial" w:cs="Arial"/>
      <w:sz w:val="16"/>
      <w:szCs w:val="16"/>
    </w:rPr>
  </w:style>
  <w:style w:type="paragraph" w:styleId="E-mailSignature">
    <w:name w:val="E-mail Signature"/>
    <w:basedOn w:val="Normal"/>
    <w:link w:val="E-mailSignatureChar"/>
    <w:uiPriority w:val="99"/>
    <w:semiHidden/>
    <w:unhideWhenUsed/>
    <w:rsid w:val="009637A8"/>
    <w:pPr>
      <w:spacing w:after="0"/>
    </w:pPr>
  </w:style>
  <w:style w:type="character" w:customStyle="1" w:styleId="E-mailSignatureChar">
    <w:name w:val="E-mail Signature Char"/>
    <w:basedOn w:val="DefaultParagraphFont"/>
    <w:link w:val="E-mailSignature"/>
    <w:uiPriority w:val="99"/>
    <w:semiHidden/>
    <w:rsid w:val="009637A8"/>
    <w:rPr>
      <w:rFonts w:ascii="Arial" w:hAnsi="Arial" w:cs="Arial"/>
    </w:rPr>
  </w:style>
  <w:style w:type="character" w:styleId="Emphasis">
    <w:name w:val="Emphasis"/>
    <w:basedOn w:val="DefaultParagraphFont"/>
    <w:uiPriority w:val="20"/>
    <w:qFormat/>
    <w:rsid w:val="009637A8"/>
    <w:rPr>
      <w:i/>
      <w:iCs/>
    </w:rPr>
  </w:style>
  <w:style w:type="character" w:styleId="EndnoteReference">
    <w:name w:val="endnote reference"/>
    <w:basedOn w:val="DefaultParagraphFont"/>
    <w:uiPriority w:val="99"/>
    <w:semiHidden/>
    <w:unhideWhenUsed/>
    <w:rsid w:val="009637A8"/>
    <w:rPr>
      <w:vertAlign w:val="superscript"/>
    </w:rPr>
  </w:style>
  <w:style w:type="paragraph" w:styleId="EndnoteText">
    <w:name w:val="endnote text"/>
    <w:basedOn w:val="Normal"/>
    <w:link w:val="EndnoteTextChar"/>
    <w:uiPriority w:val="99"/>
    <w:unhideWhenUsed/>
    <w:rsid w:val="009637A8"/>
    <w:pPr>
      <w:spacing w:after="0"/>
    </w:pPr>
    <w:rPr>
      <w:sz w:val="20"/>
      <w:szCs w:val="20"/>
    </w:rPr>
  </w:style>
  <w:style w:type="character" w:customStyle="1" w:styleId="EndnoteTextChar">
    <w:name w:val="Endnote Text Char"/>
    <w:basedOn w:val="DefaultParagraphFont"/>
    <w:link w:val="EndnoteText"/>
    <w:uiPriority w:val="99"/>
    <w:rsid w:val="009637A8"/>
    <w:rPr>
      <w:rFonts w:ascii="Arial" w:hAnsi="Arial" w:cs="Arial"/>
      <w:sz w:val="20"/>
      <w:szCs w:val="20"/>
    </w:rPr>
  </w:style>
  <w:style w:type="paragraph" w:styleId="EnvelopeAddress">
    <w:name w:val="envelope address"/>
    <w:basedOn w:val="Normal"/>
    <w:uiPriority w:val="99"/>
    <w:semiHidden/>
    <w:unhideWhenUsed/>
    <w:rsid w:val="009637A8"/>
    <w:pPr>
      <w:framePr w:w="7920" w:h="1980" w:hRule="exact" w:hSpace="180" w:wrap="auto" w:hAnchor="page" w:xAlign="center" w:yAlign="bottom"/>
      <w:spacing w:after="0"/>
      <w:ind w:left="2880"/>
    </w:pPr>
    <w:rPr>
      <w:rFonts w:eastAsiaTheme="majorEastAsia"/>
      <w:sz w:val="24"/>
      <w:szCs w:val="24"/>
    </w:rPr>
  </w:style>
  <w:style w:type="paragraph" w:styleId="EnvelopeReturn">
    <w:name w:val="envelope return"/>
    <w:basedOn w:val="Normal"/>
    <w:uiPriority w:val="99"/>
    <w:semiHidden/>
    <w:unhideWhenUsed/>
    <w:rsid w:val="009637A8"/>
    <w:pPr>
      <w:spacing w:after="0"/>
    </w:pPr>
    <w:rPr>
      <w:rFonts w:eastAsiaTheme="majorEastAsia"/>
      <w:sz w:val="20"/>
      <w:szCs w:val="20"/>
    </w:rPr>
  </w:style>
  <w:style w:type="character" w:styleId="FollowedHyperlink">
    <w:name w:val="FollowedHyperlink"/>
    <w:basedOn w:val="DefaultParagraphFont"/>
    <w:uiPriority w:val="99"/>
    <w:semiHidden/>
    <w:unhideWhenUsed/>
    <w:rsid w:val="009637A8"/>
    <w:rPr>
      <w:color w:val="9FD18B" w:themeColor="followedHyperlink"/>
      <w:u w:val="single"/>
    </w:rPr>
  </w:style>
  <w:style w:type="paragraph" w:styleId="Footer">
    <w:name w:val="footer"/>
    <w:basedOn w:val="Normal-nospace"/>
    <w:link w:val="FooterChar"/>
    <w:uiPriority w:val="99"/>
    <w:unhideWhenUsed/>
    <w:rsid w:val="00B649EB"/>
    <w:pPr>
      <w:tabs>
        <w:tab w:val="center" w:pos="4513"/>
        <w:tab w:val="right" w:pos="9026"/>
      </w:tabs>
      <w:spacing w:line="240" w:lineRule="auto"/>
    </w:pPr>
    <w:rPr>
      <w:rFonts w:ascii="Yu Gothic Medium" w:hAnsi="Yu Gothic Medium"/>
      <w:sz w:val="15"/>
    </w:rPr>
  </w:style>
  <w:style w:type="character" w:customStyle="1" w:styleId="FooterChar">
    <w:name w:val="Footer Char"/>
    <w:basedOn w:val="DefaultParagraphFont"/>
    <w:link w:val="Footer"/>
    <w:uiPriority w:val="99"/>
    <w:rsid w:val="00B649EB"/>
    <w:rPr>
      <w:rFonts w:ascii="Yu Gothic Medium" w:hAnsi="Yu Gothic Medium" w:cs="Arial"/>
      <w:sz w:val="15"/>
    </w:rPr>
  </w:style>
  <w:style w:type="character" w:styleId="FootnoteReference">
    <w:name w:val="footnote reference"/>
    <w:basedOn w:val="DefaultParagraphFont"/>
    <w:uiPriority w:val="99"/>
    <w:unhideWhenUsed/>
    <w:rsid w:val="009637A8"/>
    <w:rPr>
      <w:vertAlign w:val="superscript"/>
    </w:rPr>
  </w:style>
  <w:style w:type="paragraph" w:styleId="FootnoteText">
    <w:name w:val="footnote text"/>
    <w:aliases w:val="Footnote Text Char Char"/>
    <w:basedOn w:val="Normal-nospace"/>
    <w:link w:val="FootnoteTextChar"/>
    <w:uiPriority w:val="99"/>
    <w:unhideWhenUsed/>
    <w:rsid w:val="009806CF"/>
    <w:pPr>
      <w:spacing w:after="90" w:line="240" w:lineRule="auto"/>
    </w:pPr>
    <w:rPr>
      <w:rFonts w:ascii="Arial" w:hAnsi="Arial"/>
      <w:sz w:val="20"/>
      <w:szCs w:val="20"/>
    </w:rPr>
  </w:style>
  <w:style w:type="character" w:customStyle="1" w:styleId="FootnoteTextChar">
    <w:name w:val="Footnote Text Char"/>
    <w:aliases w:val="Footnote Text Char Char Char"/>
    <w:basedOn w:val="DefaultParagraphFont"/>
    <w:link w:val="FootnoteText"/>
    <w:uiPriority w:val="99"/>
    <w:rsid w:val="009806CF"/>
    <w:rPr>
      <w:rFonts w:ascii="Arial" w:hAnsi="Arial" w:cs="Arial"/>
      <w:color w:val="000100"/>
      <w:sz w:val="20"/>
      <w:szCs w:val="20"/>
    </w:rPr>
  </w:style>
  <w:style w:type="table" w:styleId="GridTable1Light">
    <w:name w:val="Grid Table 1 Light"/>
    <w:basedOn w:val="TableNormal"/>
    <w:uiPriority w:val="46"/>
    <w:rsid w:val="009637A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9637A8"/>
    <w:pPr>
      <w:spacing w:after="0" w:line="240" w:lineRule="auto"/>
    </w:pPr>
    <w:tblPr>
      <w:tblStyleRowBandSize w:val="1"/>
      <w:tblStyleColBandSize w:val="1"/>
      <w:tblBorders>
        <w:top w:val="single" w:sz="4" w:space="0" w:color="D7CEE5" w:themeColor="accent1" w:themeTint="66"/>
        <w:left w:val="single" w:sz="4" w:space="0" w:color="D7CEE5" w:themeColor="accent1" w:themeTint="66"/>
        <w:bottom w:val="single" w:sz="4" w:space="0" w:color="D7CEE5" w:themeColor="accent1" w:themeTint="66"/>
        <w:right w:val="single" w:sz="4" w:space="0" w:color="D7CEE5" w:themeColor="accent1" w:themeTint="66"/>
        <w:insideH w:val="single" w:sz="4" w:space="0" w:color="D7CEE5" w:themeColor="accent1" w:themeTint="66"/>
        <w:insideV w:val="single" w:sz="4" w:space="0" w:color="D7CEE5" w:themeColor="accent1" w:themeTint="66"/>
      </w:tblBorders>
    </w:tblPr>
    <w:tblStylePr w:type="firstRow">
      <w:rPr>
        <w:b/>
        <w:bCs/>
      </w:rPr>
      <w:tblPr/>
      <w:tcPr>
        <w:tcBorders>
          <w:bottom w:val="single" w:sz="12" w:space="0" w:color="C4B5D8" w:themeColor="accent1" w:themeTint="99"/>
        </w:tcBorders>
      </w:tcPr>
    </w:tblStylePr>
    <w:tblStylePr w:type="lastRow">
      <w:rPr>
        <w:b/>
        <w:bCs/>
      </w:rPr>
      <w:tblPr/>
      <w:tcPr>
        <w:tcBorders>
          <w:top w:val="double" w:sz="2" w:space="0" w:color="C4B5D8"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9637A8"/>
    <w:pPr>
      <w:spacing w:after="0" w:line="240" w:lineRule="auto"/>
    </w:pPr>
    <w:tblPr>
      <w:tblStyleRowBandSize w:val="1"/>
      <w:tblStyleColBandSize w:val="1"/>
      <w:tblBorders>
        <w:top w:val="single" w:sz="4" w:space="0" w:color="CBCBCB" w:themeColor="accent2" w:themeTint="66"/>
        <w:left w:val="single" w:sz="4" w:space="0" w:color="CBCBCB" w:themeColor="accent2" w:themeTint="66"/>
        <w:bottom w:val="single" w:sz="4" w:space="0" w:color="CBCBCB" w:themeColor="accent2" w:themeTint="66"/>
        <w:right w:val="single" w:sz="4" w:space="0" w:color="CBCBCB" w:themeColor="accent2" w:themeTint="66"/>
        <w:insideH w:val="single" w:sz="4" w:space="0" w:color="CBCBCB" w:themeColor="accent2" w:themeTint="66"/>
        <w:insideV w:val="single" w:sz="4" w:space="0" w:color="CBCBCB" w:themeColor="accent2" w:themeTint="66"/>
      </w:tblBorders>
    </w:tblPr>
    <w:tblStylePr w:type="firstRow">
      <w:rPr>
        <w:b/>
        <w:bCs/>
      </w:rPr>
      <w:tblPr/>
      <w:tcPr>
        <w:tcBorders>
          <w:bottom w:val="single" w:sz="12" w:space="0" w:color="B1B1B1" w:themeColor="accent2" w:themeTint="99"/>
        </w:tcBorders>
      </w:tcPr>
    </w:tblStylePr>
    <w:tblStylePr w:type="lastRow">
      <w:rPr>
        <w:b/>
        <w:bCs/>
      </w:rPr>
      <w:tblPr/>
      <w:tcPr>
        <w:tcBorders>
          <w:top w:val="double" w:sz="2" w:space="0" w:color="B1B1B1"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9637A8"/>
    <w:pPr>
      <w:spacing w:after="0" w:line="240" w:lineRule="auto"/>
    </w:pPr>
    <w:tblPr>
      <w:tblStyleRowBandSize w:val="1"/>
      <w:tblStyleColBandSize w:val="1"/>
      <w:tblBorders>
        <w:top w:val="single" w:sz="4" w:space="0" w:color="E9E9E9" w:themeColor="accent3" w:themeTint="66"/>
        <w:left w:val="single" w:sz="4" w:space="0" w:color="E9E9E9" w:themeColor="accent3" w:themeTint="66"/>
        <w:bottom w:val="single" w:sz="4" w:space="0" w:color="E9E9E9" w:themeColor="accent3" w:themeTint="66"/>
        <w:right w:val="single" w:sz="4" w:space="0" w:color="E9E9E9" w:themeColor="accent3" w:themeTint="66"/>
        <w:insideH w:val="single" w:sz="4" w:space="0" w:color="E9E9E9" w:themeColor="accent3" w:themeTint="66"/>
        <w:insideV w:val="single" w:sz="4" w:space="0" w:color="E9E9E9" w:themeColor="accent3" w:themeTint="66"/>
      </w:tblBorders>
    </w:tblPr>
    <w:tblStylePr w:type="firstRow">
      <w:rPr>
        <w:b/>
        <w:bCs/>
      </w:rPr>
      <w:tblPr/>
      <w:tcPr>
        <w:tcBorders>
          <w:bottom w:val="single" w:sz="12" w:space="0" w:color="DEDEDE" w:themeColor="accent3" w:themeTint="99"/>
        </w:tcBorders>
      </w:tcPr>
    </w:tblStylePr>
    <w:tblStylePr w:type="lastRow">
      <w:rPr>
        <w:b/>
        <w:bCs/>
      </w:rPr>
      <w:tblPr/>
      <w:tcPr>
        <w:tcBorders>
          <w:top w:val="double" w:sz="2" w:space="0" w:color="DEDEDE"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9637A8"/>
    <w:pPr>
      <w:spacing w:after="0" w:line="240" w:lineRule="auto"/>
    </w:pPr>
    <w:tblPr>
      <w:tblStyleRowBandSize w:val="1"/>
      <w:tblStyleColBandSize w:val="1"/>
      <w:tblBorders>
        <w:top w:val="single" w:sz="4" w:space="0" w:color="72D0FF" w:themeColor="accent4" w:themeTint="66"/>
        <w:left w:val="single" w:sz="4" w:space="0" w:color="72D0FF" w:themeColor="accent4" w:themeTint="66"/>
        <w:bottom w:val="single" w:sz="4" w:space="0" w:color="72D0FF" w:themeColor="accent4" w:themeTint="66"/>
        <w:right w:val="single" w:sz="4" w:space="0" w:color="72D0FF" w:themeColor="accent4" w:themeTint="66"/>
        <w:insideH w:val="single" w:sz="4" w:space="0" w:color="72D0FF" w:themeColor="accent4" w:themeTint="66"/>
        <w:insideV w:val="single" w:sz="4" w:space="0" w:color="72D0FF" w:themeColor="accent4" w:themeTint="66"/>
      </w:tblBorders>
    </w:tblPr>
    <w:tblStylePr w:type="firstRow">
      <w:rPr>
        <w:b/>
        <w:bCs/>
      </w:rPr>
      <w:tblPr/>
      <w:tcPr>
        <w:tcBorders>
          <w:bottom w:val="single" w:sz="12" w:space="0" w:color="2CB8FF" w:themeColor="accent4" w:themeTint="99"/>
        </w:tcBorders>
      </w:tcPr>
    </w:tblStylePr>
    <w:tblStylePr w:type="lastRow">
      <w:rPr>
        <w:b/>
        <w:bCs/>
      </w:rPr>
      <w:tblPr/>
      <w:tcPr>
        <w:tcBorders>
          <w:top w:val="double" w:sz="2" w:space="0" w:color="2CB8FF"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9637A8"/>
    <w:pPr>
      <w:spacing w:after="0" w:line="240" w:lineRule="auto"/>
    </w:pPr>
    <w:tblPr>
      <w:tblStyleRowBandSize w:val="1"/>
      <w:tblStyleColBandSize w:val="1"/>
      <w:tblBorders>
        <w:top w:val="single" w:sz="4" w:space="0" w:color="CAE4EE" w:themeColor="accent5" w:themeTint="66"/>
        <w:left w:val="single" w:sz="4" w:space="0" w:color="CAE4EE" w:themeColor="accent5" w:themeTint="66"/>
        <w:bottom w:val="single" w:sz="4" w:space="0" w:color="CAE4EE" w:themeColor="accent5" w:themeTint="66"/>
        <w:right w:val="single" w:sz="4" w:space="0" w:color="CAE4EE" w:themeColor="accent5" w:themeTint="66"/>
        <w:insideH w:val="single" w:sz="4" w:space="0" w:color="CAE4EE" w:themeColor="accent5" w:themeTint="66"/>
        <w:insideV w:val="single" w:sz="4" w:space="0" w:color="CAE4EE" w:themeColor="accent5" w:themeTint="66"/>
      </w:tblBorders>
    </w:tblPr>
    <w:tblStylePr w:type="firstRow">
      <w:rPr>
        <w:b/>
        <w:bCs/>
      </w:rPr>
      <w:tblPr/>
      <w:tcPr>
        <w:tcBorders>
          <w:bottom w:val="single" w:sz="12" w:space="0" w:color="AFD7E6" w:themeColor="accent5" w:themeTint="99"/>
        </w:tcBorders>
      </w:tcPr>
    </w:tblStylePr>
    <w:tblStylePr w:type="lastRow">
      <w:rPr>
        <w:b/>
        <w:bCs/>
      </w:rPr>
      <w:tblPr/>
      <w:tcPr>
        <w:tcBorders>
          <w:top w:val="double" w:sz="2" w:space="0" w:color="AFD7E6"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9637A8"/>
    <w:pPr>
      <w:spacing w:after="0" w:line="240" w:lineRule="auto"/>
    </w:pPr>
    <w:tblPr>
      <w:tblStyleRowBandSize w:val="1"/>
      <w:tblStyleColBandSize w:val="1"/>
      <w:tblBorders>
        <w:top w:val="single" w:sz="4" w:space="0" w:color="ACD8B5" w:themeColor="accent6" w:themeTint="66"/>
        <w:left w:val="single" w:sz="4" w:space="0" w:color="ACD8B5" w:themeColor="accent6" w:themeTint="66"/>
        <w:bottom w:val="single" w:sz="4" w:space="0" w:color="ACD8B5" w:themeColor="accent6" w:themeTint="66"/>
        <w:right w:val="single" w:sz="4" w:space="0" w:color="ACD8B5" w:themeColor="accent6" w:themeTint="66"/>
        <w:insideH w:val="single" w:sz="4" w:space="0" w:color="ACD8B5" w:themeColor="accent6" w:themeTint="66"/>
        <w:insideV w:val="single" w:sz="4" w:space="0" w:color="ACD8B5" w:themeColor="accent6" w:themeTint="66"/>
      </w:tblBorders>
    </w:tblPr>
    <w:tblStylePr w:type="firstRow">
      <w:rPr>
        <w:b/>
        <w:bCs/>
      </w:rPr>
      <w:tblPr/>
      <w:tcPr>
        <w:tcBorders>
          <w:bottom w:val="single" w:sz="12" w:space="0" w:color="83C590" w:themeColor="accent6" w:themeTint="99"/>
        </w:tcBorders>
      </w:tcPr>
    </w:tblStylePr>
    <w:tblStylePr w:type="lastRow">
      <w:rPr>
        <w:b/>
        <w:bCs/>
      </w:rPr>
      <w:tblPr/>
      <w:tcPr>
        <w:tcBorders>
          <w:top w:val="double" w:sz="2" w:space="0" w:color="83C59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9637A8"/>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9637A8"/>
    <w:pPr>
      <w:spacing w:after="0" w:line="240" w:lineRule="auto"/>
    </w:pPr>
    <w:tblPr>
      <w:tblStyleRowBandSize w:val="1"/>
      <w:tblStyleColBandSize w:val="1"/>
      <w:tblBorders>
        <w:top w:val="single" w:sz="2" w:space="0" w:color="C4B5D8" w:themeColor="accent1" w:themeTint="99"/>
        <w:bottom w:val="single" w:sz="2" w:space="0" w:color="C4B5D8" w:themeColor="accent1" w:themeTint="99"/>
        <w:insideH w:val="single" w:sz="2" w:space="0" w:color="C4B5D8" w:themeColor="accent1" w:themeTint="99"/>
        <w:insideV w:val="single" w:sz="2" w:space="0" w:color="C4B5D8" w:themeColor="accent1" w:themeTint="99"/>
      </w:tblBorders>
    </w:tblPr>
    <w:tblStylePr w:type="firstRow">
      <w:rPr>
        <w:b/>
        <w:bCs/>
      </w:rPr>
      <w:tblPr/>
      <w:tcPr>
        <w:tcBorders>
          <w:top w:val="nil"/>
          <w:bottom w:val="single" w:sz="12" w:space="0" w:color="C4B5D8" w:themeColor="accent1" w:themeTint="99"/>
          <w:insideH w:val="nil"/>
          <w:insideV w:val="nil"/>
        </w:tcBorders>
        <w:shd w:val="clear" w:color="auto" w:fill="FFFFFF" w:themeFill="background1"/>
      </w:tcPr>
    </w:tblStylePr>
    <w:tblStylePr w:type="lastRow">
      <w:rPr>
        <w:b/>
        <w:bCs/>
      </w:rPr>
      <w:tblPr/>
      <w:tcPr>
        <w:tcBorders>
          <w:top w:val="double" w:sz="2" w:space="0" w:color="C4B5D8"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E6F2" w:themeFill="accent1" w:themeFillTint="33"/>
      </w:tcPr>
    </w:tblStylePr>
    <w:tblStylePr w:type="band1Horz">
      <w:tblPr/>
      <w:tcPr>
        <w:shd w:val="clear" w:color="auto" w:fill="EBE6F2" w:themeFill="accent1" w:themeFillTint="33"/>
      </w:tcPr>
    </w:tblStylePr>
  </w:style>
  <w:style w:type="table" w:styleId="GridTable2-Accent2">
    <w:name w:val="Grid Table 2 Accent 2"/>
    <w:basedOn w:val="TableNormal"/>
    <w:uiPriority w:val="47"/>
    <w:rsid w:val="009637A8"/>
    <w:pPr>
      <w:spacing w:after="0" w:line="240" w:lineRule="auto"/>
    </w:pPr>
    <w:tblPr>
      <w:tblStyleRowBandSize w:val="1"/>
      <w:tblStyleColBandSize w:val="1"/>
      <w:tblBorders>
        <w:top w:val="single" w:sz="2" w:space="0" w:color="B1B1B1" w:themeColor="accent2" w:themeTint="99"/>
        <w:bottom w:val="single" w:sz="2" w:space="0" w:color="B1B1B1" w:themeColor="accent2" w:themeTint="99"/>
        <w:insideH w:val="single" w:sz="2" w:space="0" w:color="B1B1B1" w:themeColor="accent2" w:themeTint="99"/>
        <w:insideV w:val="single" w:sz="2" w:space="0" w:color="B1B1B1" w:themeColor="accent2" w:themeTint="99"/>
      </w:tblBorders>
    </w:tblPr>
    <w:tblStylePr w:type="firstRow">
      <w:rPr>
        <w:b/>
        <w:bCs/>
      </w:rPr>
      <w:tblPr/>
      <w:tcPr>
        <w:tcBorders>
          <w:top w:val="nil"/>
          <w:bottom w:val="single" w:sz="12" w:space="0" w:color="B1B1B1" w:themeColor="accent2" w:themeTint="99"/>
          <w:insideH w:val="nil"/>
          <w:insideV w:val="nil"/>
        </w:tcBorders>
        <w:shd w:val="clear" w:color="auto" w:fill="FFFFFF" w:themeFill="background1"/>
      </w:tcPr>
    </w:tblStylePr>
    <w:tblStylePr w:type="lastRow">
      <w:rPr>
        <w:b/>
        <w:bCs/>
      </w:rPr>
      <w:tblPr/>
      <w:tcPr>
        <w:tcBorders>
          <w:top w:val="double" w:sz="2" w:space="0" w:color="B1B1B1"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2" w:themeFillTint="33"/>
      </w:tcPr>
    </w:tblStylePr>
    <w:tblStylePr w:type="band1Horz">
      <w:tblPr/>
      <w:tcPr>
        <w:shd w:val="clear" w:color="auto" w:fill="E5E5E5" w:themeFill="accent2" w:themeFillTint="33"/>
      </w:tcPr>
    </w:tblStylePr>
  </w:style>
  <w:style w:type="table" w:styleId="GridTable2-Accent3">
    <w:name w:val="Grid Table 2 Accent 3"/>
    <w:basedOn w:val="TableNormal"/>
    <w:uiPriority w:val="47"/>
    <w:rsid w:val="009637A8"/>
    <w:pPr>
      <w:spacing w:after="0" w:line="240" w:lineRule="auto"/>
    </w:pPr>
    <w:tblPr>
      <w:tblStyleRowBandSize w:val="1"/>
      <w:tblStyleColBandSize w:val="1"/>
      <w:tblBorders>
        <w:top w:val="single" w:sz="2" w:space="0" w:color="DEDEDE" w:themeColor="accent3" w:themeTint="99"/>
        <w:bottom w:val="single" w:sz="2" w:space="0" w:color="DEDEDE" w:themeColor="accent3" w:themeTint="99"/>
        <w:insideH w:val="single" w:sz="2" w:space="0" w:color="DEDEDE" w:themeColor="accent3" w:themeTint="99"/>
        <w:insideV w:val="single" w:sz="2" w:space="0" w:color="DEDEDE" w:themeColor="accent3" w:themeTint="99"/>
      </w:tblBorders>
    </w:tblPr>
    <w:tblStylePr w:type="firstRow">
      <w:rPr>
        <w:b/>
        <w:bCs/>
      </w:rPr>
      <w:tblPr/>
      <w:tcPr>
        <w:tcBorders>
          <w:top w:val="nil"/>
          <w:bottom w:val="single" w:sz="12" w:space="0" w:color="DEDEDE" w:themeColor="accent3" w:themeTint="99"/>
          <w:insideH w:val="nil"/>
          <w:insideV w:val="nil"/>
        </w:tcBorders>
        <w:shd w:val="clear" w:color="auto" w:fill="FFFFFF" w:themeFill="background1"/>
      </w:tcPr>
    </w:tblStylePr>
    <w:tblStylePr w:type="lastRow">
      <w:rPr>
        <w:b/>
        <w:bCs/>
      </w:rPr>
      <w:tblPr/>
      <w:tcPr>
        <w:tcBorders>
          <w:top w:val="double" w:sz="2" w:space="0" w:color="DEDEDE"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4F4F4" w:themeFill="accent3" w:themeFillTint="33"/>
      </w:tcPr>
    </w:tblStylePr>
    <w:tblStylePr w:type="band1Horz">
      <w:tblPr/>
      <w:tcPr>
        <w:shd w:val="clear" w:color="auto" w:fill="F4F4F4" w:themeFill="accent3" w:themeFillTint="33"/>
      </w:tcPr>
    </w:tblStylePr>
  </w:style>
  <w:style w:type="table" w:styleId="GridTable2-Accent4">
    <w:name w:val="Grid Table 2 Accent 4"/>
    <w:basedOn w:val="TableNormal"/>
    <w:uiPriority w:val="47"/>
    <w:rsid w:val="009637A8"/>
    <w:pPr>
      <w:spacing w:after="0" w:line="240" w:lineRule="auto"/>
    </w:pPr>
    <w:tblPr>
      <w:tblStyleRowBandSize w:val="1"/>
      <w:tblStyleColBandSize w:val="1"/>
      <w:tblBorders>
        <w:top w:val="single" w:sz="2" w:space="0" w:color="2CB8FF" w:themeColor="accent4" w:themeTint="99"/>
        <w:bottom w:val="single" w:sz="2" w:space="0" w:color="2CB8FF" w:themeColor="accent4" w:themeTint="99"/>
        <w:insideH w:val="single" w:sz="2" w:space="0" w:color="2CB8FF" w:themeColor="accent4" w:themeTint="99"/>
        <w:insideV w:val="single" w:sz="2" w:space="0" w:color="2CB8FF" w:themeColor="accent4" w:themeTint="99"/>
      </w:tblBorders>
    </w:tblPr>
    <w:tblStylePr w:type="firstRow">
      <w:rPr>
        <w:b/>
        <w:bCs/>
      </w:rPr>
      <w:tblPr/>
      <w:tcPr>
        <w:tcBorders>
          <w:top w:val="nil"/>
          <w:bottom w:val="single" w:sz="12" w:space="0" w:color="2CB8FF" w:themeColor="accent4" w:themeTint="99"/>
          <w:insideH w:val="nil"/>
          <w:insideV w:val="nil"/>
        </w:tcBorders>
        <w:shd w:val="clear" w:color="auto" w:fill="FFFFFF" w:themeFill="background1"/>
      </w:tcPr>
    </w:tblStylePr>
    <w:tblStylePr w:type="lastRow">
      <w:rPr>
        <w:b/>
        <w:bCs/>
      </w:rPr>
      <w:tblPr/>
      <w:tcPr>
        <w:tcBorders>
          <w:top w:val="double" w:sz="2" w:space="0" w:color="2CB8F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8E7FF" w:themeFill="accent4" w:themeFillTint="33"/>
      </w:tcPr>
    </w:tblStylePr>
    <w:tblStylePr w:type="band1Horz">
      <w:tblPr/>
      <w:tcPr>
        <w:shd w:val="clear" w:color="auto" w:fill="B8E7FF" w:themeFill="accent4" w:themeFillTint="33"/>
      </w:tcPr>
    </w:tblStylePr>
  </w:style>
  <w:style w:type="table" w:styleId="GridTable2-Accent5">
    <w:name w:val="Grid Table 2 Accent 5"/>
    <w:basedOn w:val="TableNormal"/>
    <w:uiPriority w:val="47"/>
    <w:rsid w:val="009637A8"/>
    <w:pPr>
      <w:spacing w:after="0" w:line="240" w:lineRule="auto"/>
    </w:pPr>
    <w:tblPr>
      <w:tblStyleRowBandSize w:val="1"/>
      <w:tblStyleColBandSize w:val="1"/>
      <w:tblBorders>
        <w:top w:val="single" w:sz="2" w:space="0" w:color="AFD7E6" w:themeColor="accent5" w:themeTint="99"/>
        <w:bottom w:val="single" w:sz="2" w:space="0" w:color="AFD7E6" w:themeColor="accent5" w:themeTint="99"/>
        <w:insideH w:val="single" w:sz="2" w:space="0" w:color="AFD7E6" w:themeColor="accent5" w:themeTint="99"/>
        <w:insideV w:val="single" w:sz="2" w:space="0" w:color="AFD7E6" w:themeColor="accent5" w:themeTint="99"/>
      </w:tblBorders>
    </w:tblPr>
    <w:tblStylePr w:type="firstRow">
      <w:rPr>
        <w:b/>
        <w:bCs/>
      </w:rPr>
      <w:tblPr/>
      <w:tcPr>
        <w:tcBorders>
          <w:top w:val="nil"/>
          <w:bottom w:val="single" w:sz="12" w:space="0" w:color="AFD7E6" w:themeColor="accent5" w:themeTint="99"/>
          <w:insideH w:val="nil"/>
          <w:insideV w:val="nil"/>
        </w:tcBorders>
        <w:shd w:val="clear" w:color="auto" w:fill="FFFFFF" w:themeFill="background1"/>
      </w:tcPr>
    </w:tblStylePr>
    <w:tblStylePr w:type="lastRow">
      <w:rPr>
        <w:b/>
        <w:bCs/>
      </w:rPr>
      <w:tblPr/>
      <w:tcPr>
        <w:tcBorders>
          <w:top w:val="double" w:sz="2" w:space="0" w:color="AFD7E6"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4F1F6" w:themeFill="accent5" w:themeFillTint="33"/>
      </w:tcPr>
    </w:tblStylePr>
    <w:tblStylePr w:type="band1Horz">
      <w:tblPr/>
      <w:tcPr>
        <w:shd w:val="clear" w:color="auto" w:fill="E4F1F6" w:themeFill="accent5" w:themeFillTint="33"/>
      </w:tcPr>
    </w:tblStylePr>
  </w:style>
  <w:style w:type="table" w:styleId="GridTable2-Accent6">
    <w:name w:val="Grid Table 2 Accent 6"/>
    <w:basedOn w:val="TableNormal"/>
    <w:uiPriority w:val="47"/>
    <w:rsid w:val="009637A8"/>
    <w:pPr>
      <w:spacing w:after="0" w:line="240" w:lineRule="auto"/>
    </w:pPr>
    <w:tblPr>
      <w:tblStyleRowBandSize w:val="1"/>
      <w:tblStyleColBandSize w:val="1"/>
      <w:tblBorders>
        <w:top w:val="single" w:sz="2" w:space="0" w:color="83C590" w:themeColor="accent6" w:themeTint="99"/>
        <w:bottom w:val="single" w:sz="2" w:space="0" w:color="83C590" w:themeColor="accent6" w:themeTint="99"/>
        <w:insideH w:val="single" w:sz="2" w:space="0" w:color="83C590" w:themeColor="accent6" w:themeTint="99"/>
        <w:insideV w:val="single" w:sz="2" w:space="0" w:color="83C590" w:themeColor="accent6" w:themeTint="99"/>
      </w:tblBorders>
    </w:tblPr>
    <w:tblStylePr w:type="firstRow">
      <w:rPr>
        <w:b/>
        <w:bCs/>
      </w:rPr>
      <w:tblPr/>
      <w:tcPr>
        <w:tcBorders>
          <w:top w:val="nil"/>
          <w:bottom w:val="single" w:sz="12" w:space="0" w:color="83C590" w:themeColor="accent6" w:themeTint="99"/>
          <w:insideH w:val="nil"/>
          <w:insideV w:val="nil"/>
        </w:tcBorders>
        <w:shd w:val="clear" w:color="auto" w:fill="FFFFFF" w:themeFill="background1"/>
      </w:tcPr>
    </w:tblStylePr>
    <w:tblStylePr w:type="lastRow">
      <w:rPr>
        <w:b/>
        <w:bCs/>
      </w:rPr>
      <w:tblPr/>
      <w:tcPr>
        <w:tcBorders>
          <w:top w:val="double" w:sz="2" w:space="0" w:color="83C59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5EBDA" w:themeFill="accent6" w:themeFillTint="33"/>
      </w:tcPr>
    </w:tblStylePr>
    <w:tblStylePr w:type="band1Horz">
      <w:tblPr/>
      <w:tcPr>
        <w:shd w:val="clear" w:color="auto" w:fill="D5EBDA" w:themeFill="accent6" w:themeFillTint="33"/>
      </w:tcPr>
    </w:tblStylePr>
  </w:style>
  <w:style w:type="table" w:styleId="GridTable3">
    <w:name w:val="Grid Table 3"/>
    <w:basedOn w:val="TableNormal"/>
    <w:uiPriority w:val="48"/>
    <w:rsid w:val="009637A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9637A8"/>
    <w:pPr>
      <w:spacing w:after="0" w:line="240" w:lineRule="auto"/>
    </w:pPr>
    <w:tblPr>
      <w:tblStyleRowBandSize w:val="1"/>
      <w:tblStyleColBandSize w:val="1"/>
      <w:tblBorders>
        <w:top w:val="single" w:sz="4" w:space="0" w:color="C4B5D8" w:themeColor="accent1" w:themeTint="99"/>
        <w:left w:val="single" w:sz="4" w:space="0" w:color="C4B5D8" w:themeColor="accent1" w:themeTint="99"/>
        <w:bottom w:val="single" w:sz="4" w:space="0" w:color="C4B5D8" w:themeColor="accent1" w:themeTint="99"/>
        <w:right w:val="single" w:sz="4" w:space="0" w:color="C4B5D8" w:themeColor="accent1" w:themeTint="99"/>
        <w:insideH w:val="single" w:sz="4" w:space="0" w:color="C4B5D8" w:themeColor="accent1" w:themeTint="99"/>
        <w:insideV w:val="single" w:sz="4" w:space="0" w:color="C4B5D8"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6F2" w:themeFill="accent1" w:themeFillTint="33"/>
      </w:tcPr>
    </w:tblStylePr>
    <w:tblStylePr w:type="band1Horz">
      <w:tblPr/>
      <w:tcPr>
        <w:shd w:val="clear" w:color="auto" w:fill="EBE6F2" w:themeFill="accent1" w:themeFillTint="33"/>
      </w:tcPr>
    </w:tblStylePr>
    <w:tblStylePr w:type="neCell">
      <w:tblPr/>
      <w:tcPr>
        <w:tcBorders>
          <w:bottom w:val="single" w:sz="4" w:space="0" w:color="C4B5D8" w:themeColor="accent1" w:themeTint="99"/>
        </w:tcBorders>
      </w:tcPr>
    </w:tblStylePr>
    <w:tblStylePr w:type="nwCell">
      <w:tblPr/>
      <w:tcPr>
        <w:tcBorders>
          <w:bottom w:val="single" w:sz="4" w:space="0" w:color="C4B5D8" w:themeColor="accent1" w:themeTint="99"/>
        </w:tcBorders>
      </w:tcPr>
    </w:tblStylePr>
    <w:tblStylePr w:type="seCell">
      <w:tblPr/>
      <w:tcPr>
        <w:tcBorders>
          <w:top w:val="single" w:sz="4" w:space="0" w:color="C4B5D8" w:themeColor="accent1" w:themeTint="99"/>
        </w:tcBorders>
      </w:tcPr>
    </w:tblStylePr>
    <w:tblStylePr w:type="swCell">
      <w:tblPr/>
      <w:tcPr>
        <w:tcBorders>
          <w:top w:val="single" w:sz="4" w:space="0" w:color="C4B5D8" w:themeColor="accent1" w:themeTint="99"/>
        </w:tcBorders>
      </w:tcPr>
    </w:tblStylePr>
  </w:style>
  <w:style w:type="table" w:styleId="GridTable3-Accent2">
    <w:name w:val="Grid Table 3 Accent 2"/>
    <w:basedOn w:val="TableNormal"/>
    <w:uiPriority w:val="48"/>
    <w:rsid w:val="009637A8"/>
    <w:pPr>
      <w:spacing w:after="0" w:line="240" w:lineRule="auto"/>
    </w:pPr>
    <w:tblPr>
      <w:tblStyleRowBandSize w:val="1"/>
      <w:tblStyleColBandSize w:val="1"/>
      <w:tblBorders>
        <w:top w:val="single" w:sz="4" w:space="0" w:color="B1B1B1" w:themeColor="accent2" w:themeTint="99"/>
        <w:left w:val="single" w:sz="4" w:space="0" w:color="B1B1B1" w:themeColor="accent2" w:themeTint="99"/>
        <w:bottom w:val="single" w:sz="4" w:space="0" w:color="B1B1B1" w:themeColor="accent2" w:themeTint="99"/>
        <w:right w:val="single" w:sz="4" w:space="0" w:color="B1B1B1" w:themeColor="accent2" w:themeTint="99"/>
        <w:insideH w:val="single" w:sz="4" w:space="0" w:color="B1B1B1" w:themeColor="accent2" w:themeTint="99"/>
        <w:insideV w:val="single" w:sz="4" w:space="0" w:color="B1B1B1"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2" w:themeFillTint="33"/>
      </w:tcPr>
    </w:tblStylePr>
    <w:tblStylePr w:type="band1Horz">
      <w:tblPr/>
      <w:tcPr>
        <w:shd w:val="clear" w:color="auto" w:fill="E5E5E5" w:themeFill="accent2" w:themeFillTint="33"/>
      </w:tcPr>
    </w:tblStylePr>
    <w:tblStylePr w:type="neCell">
      <w:tblPr/>
      <w:tcPr>
        <w:tcBorders>
          <w:bottom w:val="single" w:sz="4" w:space="0" w:color="B1B1B1" w:themeColor="accent2" w:themeTint="99"/>
        </w:tcBorders>
      </w:tcPr>
    </w:tblStylePr>
    <w:tblStylePr w:type="nwCell">
      <w:tblPr/>
      <w:tcPr>
        <w:tcBorders>
          <w:bottom w:val="single" w:sz="4" w:space="0" w:color="B1B1B1" w:themeColor="accent2" w:themeTint="99"/>
        </w:tcBorders>
      </w:tcPr>
    </w:tblStylePr>
    <w:tblStylePr w:type="seCell">
      <w:tblPr/>
      <w:tcPr>
        <w:tcBorders>
          <w:top w:val="single" w:sz="4" w:space="0" w:color="B1B1B1" w:themeColor="accent2" w:themeTint="99"/>
        </w:tcBorders>
      </w:tcPr>
    </w:tblStylePr>
    <w:tblStylePr w:type="swCell">
      <w:tblPr/>
      <w:tcPr>
        <w:tcBorders>
          <w:top w:val="single" w:sz="4" w:space="0" w:color="B1B1B1" w:themeColor="accent2" w:themeTint="99"/>
        </w:tcBorders>
      </w:tcPr>
    </w:tblStylePr>
  </w:style>
  <w:style w:type="table" w:styleId="GridTable3-Accent3">
    <w:name w:val="Grid Table 3 Accent 3"/>
    <w:basedOn w:val="TableNormal"/>
    <w:uiPriority w:val="48"/>
    <w:rsid w:val="009637A8"/>
    <w:pPr>
      <w:spacing w:after="0" w:line="240" w:lineRule="auto"/>
    </w:pPr>
    <w:tblPr>
      <w:tblStyleRowBandSize w:val="1"/>
      <w:tblStyleColBandSize w:val="1"/>
      <w:tblBorders>
        <w:top w:val="single" w:sz="4" w:space="0" w:color="DEDEDE" w:themeColor="accent3" w:themeTint="99"/>
        <w:left w:val="single" w:sz="4" w:space="0" w:color="DEDEDE" w:themeColor="accent3" w:themeTint="99"/>
        <w:bottom w:val="single" w:sz="4" w:space="0" w:color="DEDEDE" w:themeColor="accent3" w:themeTint="99"/>
        <w:right w:val="single" w:sz="4" w:space="0" w:color="DEDEDE" w:themeColor="accent3" w:themeTint="99"/>
        <w:insideH w:val="single" w:sz="4" w:space="0" w:color="DEDEDE" w:themeColor="accent3" w:themeTint="99"/>
        <w:insideV w:val="single" w:sz="4" w:space="0" w:color="DEDED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F4F4" w:themeFill="accent3" w:themeFillTint="33"/>
      </w:tcPr>
    </w:tblStylePr>
    <w:tblStylePr w:type="band1Horz">
      <w:tblPr/>
      <w:tcPr>
        <w:shd w:val="clear" w:color="auto" w:fill="F4F4F4" w:themeFill="accent3" w:themeFillTint="33"/>
      </w:tcPr>
    </w:tblStylePr>
    <w:tblStylePr w:type="neCell">
      <w:tblPr/>
      <w:tcPr>
        <w:tcBorders>
          <w:bottom w:val="single" w:sz="4" w:space="0" w:color="DEDEDE" w:themeColor="accent3" w:themeTint="99"/>
        </w:tcBorders>
      </w:tcPr>
    </w:tblStylePr>
    <w:tblStylePr w:type="nwCell">
      <w:tblPr/>
      <w:tcPr>
        <w:tcBorders>
          <w:bottom w:val="single" w:sz="4" w:space="0" w:color="DEDEDE" w:themeColor="accent3" w:themeTint="99"/>
        </w:tcBorders>
      </w:tcPr>
    </w:tblStylePr>
    <w:tblStylePr w:type="seCell">
      <w:tblPr/>
      <w:tcPr>
        <w:tcBorders>
          <w:top w:val="single" w:sz="4" w:space="0" w:color="DEDEDE" w:themeColor="accent3" w:themeTint="99"/>
        </w:tcBorders>
      </w:tcPr>
    </w:tblStylePr>
    <w:tblStylePr w:type="swCell">
      <w:tblPr/>
      <w:tcPr>
        <w:tcBorders>
          <w:top w:val="single" w:sz="4" w:space="0" w:color="DEDEDE" w:themeColor="accent3" w:themeTint="99"/>
        </w:tcBorders>
      </w:tcPr>
    </w:tblStylePr>
  </w:style>
  <w:style w:type="table" w:styleId="GridTable3-Accent4">
    <w:name w:val="Grid Table 3 Accent 4"/>
    <w:basedOn w:val="TableNormal"/>
    <w:uiPriority w:val="48"/>
    <w:rsid w:val="009637A8"/>
    <w:pPr>
      <w:spacing w:after="0" w:line="240" w:lineRule="auto"/>
    </w:pPr>
    <w:tblPr>
      <w:tblStyleRowBandSize w:val="1"/>
      <w:tblStyleColBandSize w:val="1"/>
      <w:tblBorders>
        <w:top w:val="single" w:sz="4" w:space="0" w:color="2CB8FF" w:themeColor="accent4" w:themeTint="99"/>
        <w:left w:val="single" w:sz="4" w:space="0" w:color="2CB8FF" w:themeColor="accent4" w:themeTint="99"/>
        <w:bottom w:val="single" w:sz="4" w:space="0" w:color="2CB8FF" w:themeColor="accent4" w:themeTint="99"/>
        <w:right w:val="single" w:sz="4" w:space="0" w:color="2CB8FF" w:themeColor="accent4" w:themeTint="99"/>
        <w:insideH w:val="single" w:sz="4" w:space="0" w:color="2CB8FF" w:themeColor="accent4" w:themeTint="99"/>
        <w:insideV w:val="single" w:sz="4" w:space="0" w:color="2CB8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8E7FF" w:themeFill="accent4" w:themeFillTint="33"/>
      </w:tcPr>
    </w:tblStylePr>
    <w:tblStylePr w:type="band1Horz">
      <w:tblPr/>
      <w:tcPr>
        <w:shd w:val="clear" w:color="auto" w:fill="B8E7FF" w:themeFill="accent4" w:themeFillTint="33"/>
      </w:tcPr>
    </w:tblStylePr>
    <w:tblStylePr w:type="neCell">
      <w:tblPr/>
      <w:tcPr>
        <w:tcBorders>
          <w:bottom w:val="single" w:sz="4" w:space="0" w:color="2CB8FF" w:themeColor="accent4" w:themeTint="99"/>
        </w:tcBorders>
      </w:tcPr>
    </w:tblStylePr>
    <w:tblStylePr w:type="nwCell">
      <w:tblPr/>
      <w:tcPr>
        <w:tcBorders>
          <w:bottom w:val="single" w:sz="4" w:space="0" w:color="2CB8FF" w:themeColor="accent4" w:themeTint="99"/>
        </w:tcBorders>
      </w:tcPr>
    </w:tblStylePr>
    <w:tblStylePr w:type="seCell">
      <w:tblPr/>
      <w:tcPr>
        <w:tcBorders>
          <w:top w:val="single" w:sz="4" w:space="0" w:color="2CB8FF" w:themeColor="accent4" w:themeTint="99"/>
        </w:tcBorders>
      </w:tcPr>
    </w:tblStylePr>
    <w:tblStylePr w:type="swCell">
      <w:tblPr/>
      <w:tcPr>
        <w:tcBorders>
          <w:top w:val="single" w:sz="4" w:space="0" w:color="2CB8FF" w:themeColor="accent4" w:themeTint="99"/>
        </w:tcBorders>
      </w:tcPr>
    </w:tblStylePr>
  </w:style>
  <w:style w:type="table" w:styleId="GridTable3-Accent5">
    <w:name w:val="Grid Table 3 Accent 5"/>
    <w:basedOn w:val="TableNormal"/>
    <w:uiPriority w:val="48"/>
    <w:rsid w:val="009637A8"/>
    <w:pPr>
      <w:spacing w:after="0" w:line="240" w:lineRule="auto"/>
    </w:pPr>
    <w:tblPr>
      <w:tblStyleRowBandSize w:val="1"/>
      <w:tblStyleColBandSize w:val="1"/>
      <w:tblBorders>
        <w:top w:val="single" w:sz="4" w:space="0" w:color="AFD7E6" w:themeColor="accent5" w:themeTint="99"/>
        <w:left w:val="single" w:sz="4" w:space="0" w:color="AFD7E6" w:themeColor="accent5" w:themeTint="99"/>
        <w:bottom w:val="single" w:sz="4" w:space="0" w:color="AFD7E6" w:themeColor="accent5" w:themeTint="99"/>
        <w:right w:val="single" w:sz="4" w:space="0" w:color="AFD7E6" w:themeColor="accent5" w:themeTint="99"/>
        <w:insideH w:val="single" w:sz="4" w:space="0" w:color="AFD7E6" w:themeColor="accent5" w:themeTint="99"/>
        <w:insideV w:val="single" w:sz="4" w:space="0" w:color="AFD7E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F1F6" w:themeFill="accent5" w:themeFillTint="33"/>
      </w:tcPr>
    </w:tblStylePr>
    <w:tblStylePr w:type="band1Horz">
      <w:tblPr/>
      <w:tcPr>
        <w:shd w:val="clear" w:color="auto" w:fill="E4F1F6" w:themeFill="accent5" w:themeFillTint="33"/>
      </w:tcPr>
    </w:tblStylePr>
    <w:tblStylePr w:type="neCell">
      <w:tblPr/>
      <w:tcPr>
        <w:tcBorders>
          <w:bottom w:val="single" w:sz="4" w:space="0" w:color="AFD7E6" w:themeColor="accent5" w:themeTint="99"/>
        </w:tcBorders>
      </w:tcPr>
    </w:tblStylePr>
    <w:tblStylePr w:type="nwCell">
      <w:tblPr/>
      <w:tcPr>
        <w:tcBorders>
          <w:bottom w:val="single" w:sz="4" w:space="0" w:color="AFD7E6" w:themeColor="accent5" w:themeTint="99"/>
        </w:tcBorders>
      </w:tcPr>
    </w:tblStylePr>
    <w:tblStylePr w:type="seCell">
      <w:tblPr/>
      <w:tcPr>
        <w:tcBorders>
          <w:top w:val="single" w:sz="4" w:space="0" w:color="AFD7E6" w:themeColor="accent5" w:themeTint="99"/>
        </w:tcBorders>
      </w:tcPr>
    </w:tblStylePr>
    <w:tblStylePr w:type="swCell">
      <w:tblPr/>
      <w:tcPr>
        <w:tcBorders>
          <w:top w:val="single" w:sz="4" w:space="0" w:color="AFD7E6" w:themeColor="accent5" w:themeTint="99"/>
        </w:tcBorders>
      </w:tcPr>
    </w:tblStylePr>
  </w:style>
  <w:style w:type="table" w:styleId="GridTable3-Accent6">
    <w:name w:val="Grid Table 3 Accent 6"/>
    <w:basedOn w:val="TableNormal"/>
    <w:uiPriority w:val="48"/>
    <w:rsid w:val="009637A8"/>
    <w:pPr>
      <w:spacing w:after="0" w:line="240" w:lineRule="auto"/>
    </w:pPr>
    <w:tblPr>
      <w:tblStyleRowBandSize w:val="1"/>
      <w:tblStyleColBandSize w:val="1"/>
      <w:tblBorders>
        <w:top w:val="single" w:sz="4" w:space="0" w:color="83C590" w:themeColor="accent6" w:themeTint="99"/>
        <w:left w:val="single" w:sz="4" w:space="0" w:color="83C590" w:themeColor="accent6" w:themeTint="99"/>
        <w:bottom w:val="single" w:sz="4" w:space="0" w:color="83C590" w:themeColor="accent6" w:themeTint="99"/>
        <w:right w:val="single" w:sz="4" w:space="0" w:color="83C590" w:themeColor="accent6" w:themeTint="99"/>
        <w:insideH w:val="single" w:sz="4" w:space="0" w:color="83C590" w:themeColor="accent6" w:themeTint="99"/>
        <w:insideV w:val="single" w:sz="4" w:space="0" w:color="83C59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5EBDA" w:themeFill="accent6" w:themeFillTint="33"/>
      </w:tcPr>
    </w:tblStylePr>
    <w:tblStylePr w:type="band1Horz">
      <w:tblPr/>
      <w:tcPr>
        <w:shd w:val="clear" w:color="auto" w:fill="D5EBDA" w:themeFill="accent6" w:themeFillTint="33"/>
      </w:tcPr>
    </w:tblStylePr>
    <w:tblStylePr w:type="neCell">
      <w:tblPr/>
      <w:tcPr>
        <w:tcBorders>
          <w:bottom w:val="single" w:sz="4" w:space="0" w:color="83C590" w:themeColor="accent6" w:themeTint="99"/>
        </w:tcBorders>
      </w:tcPr>
    </w:tblStylePr>
    <w:tblStylePr w:type="nwCell">
      <w:tblPr/>
      <w:tcPr>
        <w:tcBorders>
          <w:bottom w:val="single" w:sz="4" w:space="0" w:color="83C590" w:themeColor="accent6" w:themeTint="99"/>
        </w:tcBorders>
      </w:tcPr>
    </w:tblStylePr>
    <w:tblStylePr w:type="seCell">
      <w:tblPr/>
      <w:tcPr>
        <w:tcBorders>
          <w:top w:val="single" w:sz="4" w:space="0" w:color="83C590" w:themeColor="accent6" w:themeTint="99"/>
        </w:tcBorders>
      </w:tcPr>
    </w:tblStylePr>
    <w:tblStylePr w:type="swCell">
      <w:tblPr/>
      <w:tcPr>
        <w:tcBorders>
          <w:top w:val="single" w:sz="4" w:space="0" w:color="83C590" w:themeColor="accent6" w:themeTint="99"/>
        </w:tcBorders>
      </w:tcPr>
    </w:tblStylePr>
  </w:style>
  <w:style w:type="table" w:styleId="GridTable4">
    <w:name w:val="Grid Table 4"/>
    <w:basedOn w:val="TableNormal"/>
    <w:uiPriority w:val="49"/>
    <w:rsid w:val="009637A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9637A8"/>
    <w:pPr>
      <w:spacing w:after="0" w:line="240" w:lineRule="auto"/>
    </w:pPr>
    <w:tblPr>
      <w:tblStyleRowBandSize w:val="1"/>
      <w:tblStyleColBandSize w:val="1"/>
      <w:tblBorders>
        <w:top w:val="single" w:sz="4" w:space="0" w:color="C4B5D8" w:themeColor="accent1" w:themeTint="99"/>
        <w:left w:val="single" w:sz="4" w:space="0" w:color="C4B5D8" w:themeColor="accent1" w:themeTint="99"/>
        <w:bottom w:val="single" w:sz="4" w:space="0" w:color="C4B5D8" w:themeColor="accent1" w:themeTint="99"/>
        <w:right w:val="single" w:sz="4" w:space="0" w:color="C4B5D8" w:themeColor="accent1" w:themeTint="99"/>
        <w:insideH w:val="single" w:sz="4" w:space="0" w:color="C4B5D8" w:themeColor="accent1" w:themeTint="99"/>
        <w:insideV w:val="single" w:sz="4" w:space="0" w:color="C4B5D8" w:themeColor="accent1" w:themeTint="99"/>
      </w:tblBorders>
    </w:tblPr>
    <w:tblStylePr w:type="firstRow">
      <w:rPr>
        <w:b/>
        <w:bCs/>
        <w:color w:val="FFFFFF" w:themeColor="background1"/>
      </w:rPr>
      <w:tblPr/>
      <w:tcPr>
        <w:tcBorders>
          <w:top w:val="single" w:sz="4" w:space="0" w:color="9D85BE" w:themeColor="accent1"/>
          <w:left w:val="single" w:sz="4" w:space="0" w:color="9D85BE" w:themeColor="accent1"/>
          <w:bottom w:val="single" w:sz="4" w:space="0" w:color="9D85BE" w:themeColor="accent1"/>
          <w:right w:val="single" w:sz="4" w:space="0" w:color="9D85BE" w:themeColor="accent1"/>
          <w:insideH w:val="nil"/>
          <w:insideV w:val="nil"/>
        </w:tcBorders>
        <w:shd w:val="clear" w:color="auto" w:fill="9D85BE" w:themeFill="accent1"/>
      </w:tcPr>
    </w:tblStylePr>
    <w:tblStylePr w:type="lastRow">
      <w:rPr>
        <w:b/>
        <w:bCs/>
      </w:rPr>
      <w:tblPr/>
      <w:tcPr>
        <w:tcBorders>
          <w:top w:val="double" w:sz="4" w:space="0" w:color="9D85BE" w:themeColor="accent1"/>
        </w:tcBorders>
      </w:tcPr>
    </w:tblStylePr>
    <w:tblStylePr w:type="firstCol">
      <w:rPr>
        <w:b/>
        <w:bCs/>
      </w:rPr>
    </w:tblStylePr>
    <w:tblStylePr w:type="lastCol">
      <w:rPr>
        <w:b/>
        <w:bCs/>
      </w:rPr>
    </w:tblStylePr>
    <w:tblStylePr w:type="band1Vert">
      <w:tblPr/>
      <w:tcPr>
        <w:shd w:val="clear" w:color="auto" w:fill="EBE6F2" w:themeFill="accent1" w:themeFillTint="33"/>
      </w:tcPr>
    </w:tblStylePr>
    <w:tblStylePr w:type="band1Horz">
      <w:tblPr/>
      <w:tcPr>
        <w:shd w:val="clear" w:color="auto" w:fill="EBE6F2" w:themeFill="accent1" w:themeFillTint="33"/>
      </w:tcPr>
    </w:tblStylePr>
  </w:style>
  <w:style w:type="table" w:styleId="GridTable4-Accent2">
    <w:name w:val="Grid Table 4 Accent 2"/>
    <w:basedOn w:val="TableNormal"/>
    <w:uiPriority w:val="49"/>
    <w:rsid w:val="009637A8"/>
    <w:pPr>
      <w:spacing w:after="0" w:line="240" w:lineRule="auto"/>
    </w:pPr>
    <w:tblPr>
      <w:tblStyleRowBandSize w:val="1"/>
      <w:tblStyleColBandSize w:val="1"/>
      <w:tblBorders>
        <w:top w:val="single" w:sz="4" w:space="0" w:color="B1B1B1" w:themeColor="accent2" w:themeTint="99"/>
        <w:left w:val="single" w:sz="4" w:space="0" w:color="B1B1B1" w:themeColor="accent2" w:themeTint="99"/>
        <w:bottom w:val="single" w:sz="4" w:space="0" w:color="B1B1B1" w:themeColor="accent2" w:themeTint="99"/>
        <w:right w:val="single" w:sz="4" w:space="0" w:color="B1B1B1" w:themeColor="accent2" w:themeTint="99"/>
        <w:insideH w:val="single" w:sz="4" w:space="0" w:color="B1B1B1" w:themeColor="accent2" w:themeTint="99"/>
        <w:insideV w:val="single" w:sz="4" w:space="0" w:color="B1B1B1" w:themeColor="accent2" w:themeTint="99"/>
      </w:tblBorders>
    </w:tblPr>
    <w:tblStylePr w:type="firstRow">
      <w:rPr>
        <w:b/>
        <w:bCs/>
        <w:color w:val="FFFFFF" w:themeColor="background1"/>
      </w:rPr>
      <w:tblPr/>
      <w:tcPr>
        <w:tcBorders>
          <w:top w:val="single" w:sz="4" w:space="0" w:color="7D7D7D" w:themeColor="accent2"/>
          <w:left w:val="single" w:sz="4" w:space="0" w:color="7D7D7D" w:themeColor="accent2"/>
          <w:bottom w:val="single" w:sz="4" w:space="0" w:color="7D7D7D" w:themeColor="accent2"/>
          <w:right w:val="single" w:sz="4" w:space="0" w:color="7D7D7D" w:themeColor="accent2"/>
          <w:insideH w:val="nil"/>
          <w:insideV w:val="nil"/>
        </w:tcBorders>
        <w:shd w:val="clear" w:color="auto" w:fill="7D7D7D" w:themeFill="accent2"/>
      </w:tcPr>
    </w:tblStylePr>
    <w:tblStylePr w:type="lastRow">
      <w:rPr>
        <w:b/>
        <w:bCs/>
      </w:rPr>
      <w:tblPr/>
      <w:tcPr>
        <w:tcBorders>
          <w:top w:val="double" w:sz="4" w:space="0" w:color="7D7D7D" w:themeColor="accent2"/>
        </w:tcBorders>
      </w:tcPr>
    </w:tblStylePr>
    <w:tblStylePr w:type="firstCol">
      <w:rPr>
        <w:b/>
        <w:bCs/>
      </w:rPr>
    </w:tblStylePr>
    <w:tblStylePr w:type="lastCol">
      <w:rPr>
        <w:b/>
        <w:bCs/>
      </w:rPr>
    </w:tblStylePr>
    <w:tblStylePr w:type="band1Vert">
      <w:tblPr/>
      <w:tcPr>
        <w:shd w:val="clear" w:color="auto" w:fill="E5E5E5" w:themeFill="accent2" w:themeFillTint="33"/>
      </w:tcPr>
    </w:tblStylePr>
    <w:tblStylePr w:type="band1Horz">
      <w:tblPr/>
      <w:tcPr>
        <w:shd w:val="clear" w:color="auto" w:fill="E5E5E5" w:themeFill="accent2" w:themeFillTint="33"/>
      </w:tcPr>
    </w:tblStylePr>
  </w:style>
  <w:style w:type="table" w:styleId="GridTable4-Accent3">
    <w:name w:val="Grid Table 4 Accent 3"/>
    <w:basedOn w:val="TableNormal"/>
    <w:uiPriority w:val="49"/>
    <w:rsid w:val="009637A8"/>
    <w:pPr>
      <w:spacing w:after="0" w:line="240" w:lineRule="auto"/>
    </w:pPr>
    <w:tblPr>
      <w:tblStyleRowBandSize w:val="1"/>
      <w:tblStyleColBandSize w:val="1"/>
      <w:tblBorders>
        <w:top w:val="single" w:sz="4" w:space="0" w:color="DEDEDE" w:themeColor="accent3" w:themeTint="99"/>
        <w:left w:val="single" w:sz="4" w:space="0" w:color="DEDEDE" w:themeColor="accent3" w:themeTint="99"/>
        <w:bottom w:val="single" w:sz="4" w:space="0" w:color="DEDEDE" w:themeColor="accent3" w:themeTint="99"/>
        <w:right w:val="single" w:sz="4" w:space="0" w:color="DEDEDE" w:themeColor="accent3" w:themeTint="99"/>
        <w:insideH w:val="single" w:sz="4" w:space="0" w:color="DEDEDE" w:themeColor="accent3" w:themeTint="99"/>
        <w:insideV w:val="single" w:sz="4" w:space="0" w:color="DEDEDE" w:themeColor="accent3" w:themeTint="99"/>
      </w:tblBorders>
    </w:tblPr>
    <w:tblStylePr w:type="firstRow">
      <w:rPr>
        <w:b/>
        <w:bCs/>
        <w:color w:val="FFFFFF" w:themeColor="background1"/>
      </w:rPr>
      <w:tblPr/>
      <w:tcPr>
        <w:tcBorders>
          <w:top w:val="single" w:sz="4" w:space="0" w:color="C8C8C8" w:themeColor="accent3"/>
          <w:left w:val="single" w:sz="4" w:space="0" w:color="C8C8C8" w:themeColor="accent3"/>
          <w:bottom w:val="single" w:sz="4" w:space="0" w:color="C8C8C8" w:themeColor="accent3"/>
          <w:right w:val="single" w:sz="4" w:space="0" w:color="C8C8C8" w:themeColor="accent3"/>
          <w:insideH w:val="nil"/>
          <w:insideV w:val="nil"/>
        </w:tcBorders>
        <w:shd w:val="clear" w:color="auto" w:fill="C8C8C8" w:themeFill="accent3"/>
      </w:tcPr>
    </w:tblStylePr>
    <w:tblStylePr w:type="lastRow">
      <w:rPr>
        <w:b/>
        <w:bCs/>
      </w:rPr>
      <w:tblPr/>
      <w:tcPr>
        <w:tcBorders>
          <w:top w:val="double" w:sz="4" w:space="0" w:color="C8C8C8" w:themeColor="accent3"/>
        </w:tcBorders>
      </w:tcPr>
    </w:tblStylePr>
    <w:tblStylePr w:type="firstCol">
      <w:rPr>
        <w:b/>
        <w:bCs/>
      </w:rPr>
    </w:tblStylePr>
    <w:tblStylePr w:type="lastCol">
      <w:rPr>
        <w:b/>
        <w:bCs/>
      </w:rPr>
    </w:tblStylePr>
    <w:tblStylePr w:type="band1Vert">
      <w:tblPr/>
      <w:tcPr>
        <w:shd w:val="clear" w:color="auto" w:fill="F4F4F4" w:themeFill="accent3" w:themeFillTint="33"/>
      </w:tcPr>
    </w:tblStylePr>
    <w:tblStylePr w:type="band1Horz">
      <w:tblPr/>
      <w:tcPr>
        <w:shd w:val="clear" w:color="auto" w:fill="F4F4F4" w:themeFill="accent3" w:themeFillTint="33"/>
      </w:tcPr>
    </w:tblStylePr>
  </w:style>
  <w:style w:type="table" w:styleId="GridTable4-Accent4">
    <w:name w:val="Grid Table 4 Accent 4"/>
    <w:basedOn w:val="TableNormal"/>
    <w:uiPriority w:val="49"/>
    <w:rsid w:val="009637A8"/>
    <w:pPr>
      <w:spacing w:after="0" w:line="240" w:lineRule="auto"/>
    </w:pPr>
    <w:tblPr>
      <w:tblStyleRowBandSize w:val="1"/>
      <w:tblStyleColBandSize w:val="1"/>
      <w:tblBorders>
        <w:top w:val="single" w:sz="4" w:space="0" w:color="2CB8FF" w:themeColor="accent4" w:themeTint="99"/>
        <w:left w:val="single" w:sz="4" w:space="0" w:color="2CB8FF" w:themeColor="accent4" w:themeTint="99"/>
        <w:bottom w:val="single" w:sz="4" w:space="0" w:color="2CB8FF" w:themeColor="accent4" w:themeTint="99"/>
        <w:right w:val="single" w:sz="4" w:space="0" w:color="2CB8FF" w:themeColor="accent4" w:themeTint="99"/>
        <w:insideH w:val="single" w:sz="4" w:space="0" w:color="2CB8FF" w:themeColor="accent4" w:themeTint="99"/>
        <w:insideV w:val="single" w:sz="4" w:space="0" w:color="2CB8FF" w:themeColor="accent4" w:themeTint="99"/>
      </w:tblBorders>
    </w:tblPr>
    <w:tblStylePr w:type="firstRow">
      <w:rPr>
        <w:b/>
        <w:bCs/>
        <w:color w:val="FFFFFF" w:themeColor="background1"/>
      </w:rPr>
      <w:tblPr/>
      <w:tcPr>
        <w:tcBorders>
          <w:top w:val="single" w:sz="4" w:space="0" w:color="006A9F" w:themeColor="accent4"/>
          <w:left w:val="single" w:sz="4" w:space="0" w:color="006A9F" w:themeColor="accent4"/>
          <w:bottom w:val="single" w:sz="4" w:space="0" w:color="006A9F" w:themeColor="accent4"/>
          <w:right w:val="single" w:sz="4" w:space="0" w:color="006A9F" w:themeColor="accent4"/>
          <w:insideH w:val="nil"/>
          <w:insideV w:val="nil"/>
        </w:tcBorders>
        <w:shd w:val="clear" w:color="auto" w:fill="006A9F" w:themeFill="accent4"/>
      </w:tcPr>
    </w:tblStylePr>
    <w:tblStylePr w:type="lastRow">
      <w:rPr>
        <w:b/>
        <w:bCs/>
      </w:rPr>
      <w:tblPr/>
      <w:tcPr>
        <w:tcBorders>
          <w:top w:val="double" w:sz="4" w:space="0" w:color="006A9F" w:themeColor="accent4"/>
        </w:tcBorders>
      </w:tcPr>
    </w:tblStylePr>
    <w:tblStylePr w:type="firstCol">
      <w:rPr>
        <w:b/>
        <w:bCs/>
      </w:rPr>
    </w:tblStylePr>
    <w:tblStylePr w:type="lastCol">
      <w:rPr>
        <w:b/>
        <w:bCs/>
      </w:rPr>
    </w:tblStylePr>
    <w:tblStylePr w:type="band1Vert">
      <w:tblPr/>
      <w:tcPr>
        <w:shd w:val="clear" w:color="auto" w:fill="B8E7FF" w:themeFill="accent4" w:themeFillTint="33"/>
      </w:tcPr>
    </w:tblStylePr>
    <w:tblStylePr w:type="band1Horz">
      <w:tblPr/>
      <w:tcPr>
        <w:shd w:val="clear" w:color="auto" w:fill="B8E7FF" w:themeFill="accent4" w:themeFillTint="33"/>
      </w:tcPr>
    </w:tblStylePr>
  </w:style>
  <w:style w:type="table" w:styleId="GridTable4-Accent5">
    <w:name w:val="Grid Table 4 Accent 5"/>
    <w:basedOn w:val="TableNormal"/>
    <w:uiPriority w:val="49"/>
    <w:rsid w:val="009637A8"/>
    <w:pPr>
      <w:spacing w:after="0" w:line="240" w:lineRule="auto"/>
    </w:pPr>
    <w:tblPr>
      <w:tblStyleRowBandSize w:val="1"/>
      <w:tblStyleColBandSize w:val="1"/>
      <w:tblBorders>
        <w:top w:val="single" w:sz="4" w:space="0" w:color="AFD7E6" w:themeColor="accent5" w:themeTint="99"/>
        <w:left w:val="single" w:sz="4" w:space="0" w:color="AFD7E6" w:themeColor="accent5" w:themeTint="99"/>
        <w:bottom w:val="single" w:sz="4" w:space="0" w:color="AFD7E6" w:themeColor="accent5" w:themeTint="99"/>
        <w:right w:val="single" w:sz="4" w:space="0" w:color="AFD7E6" w:themeColor="accent5" w:themeTint="99"/>
        <w:insideH w:val="single" w:sz="4" w:space="0" w:color="AFD7E6" w:themeColor="accent5" w:themeTint="99"/>
        <w:insideV w:val="single" w:sz="4" w:space="0" w:color="AFD7E6" w:themeColor="accent5" w:themeTint="99"/>
      </w:tblBorders>
    </w:tblPr>
    <w:tblStylePr w:type="firstRow">
      <w:rPr>
        <w:b/>
        <w:bCs/>
        <w:color w:val="FFFFFF" w:themeColor="background1"/>
      </w:rPr>
      <w:tblPr/>
      <w:tcPr>
        <w:tcBorders>
          <w:top w:val="single" w:sz="4" w:space="0" w:color="7BBDD6" w:themeColor="accent5"/>
          <w:left w:val="single" w:sz="4" w:space="0" w:color="7BBDD6" w:themeColor="accent5"/>
          <w:bottom w:val="single" w:sz="4" w:space="0" w:color="7BBDD6" w:themeColor="accent5"/>
          <w:right w:val="single" w:sz="4" w:space="0" w:color="7BBDD6" w:themeColor="accent5"/>
          <w:insideH w:val="nil"/>
          <w:insideV w:val="nil"/>
        </w:tcBorders>
        <w:shd w:val="clear" w:color="auto" w:fill="7BBDD6" w:themeFill="accent5"/>
      </w:tcPr>
    </w:tblStylePr>
    <w:tblStylePr w:type="lastRow">
      <w:rPr>
        <w:b/>
        <w:bCs/>
      </w:rPr>
      <w:tblPr/>
      <w:tcPr>
        <w:tcBorders>
          <w:top w:val="double" w:sz="4" w:space="0" w:color="7BBDD6" w:themeColor="accent5"/>
        </w:tcBorders>
      </w:tcPr>
    </w:tblStylePr>
    <w:tblStylePr w:type="firstCol">
      <w:rPr>
        <w:b/>
        <w:bCs/>
      </w:rPr>
    </w:tblStylePr>
    <w:tblStylePr w:type="lastCol">
      <w:rPr>
        <w:b/>
        <w:bCs/>
      </w:rPr>
    </w:tblStylePr>
    <w:tblStylePr w:type="band1Vert">
      <w:tblPr/>
      <w:tcPr>
        <w:shd w:val="clear" w:color="auto" w:fill="E4F1F6" w:themeFill="accent5" w:themeFillTint="33"/>
      </w:tcPr>
    </w:tblStylePr>
    <w:tblStylePr w:type="band1Horz">
      <w:tblPr/>
      <w:tcPr>
        <w:shd w:val="clear" w:color="auto" w:fill="E4F1F6" w:themeFill="accent5" w:themeFillTint="33"/>
      </w:tcPr>
    </w:tblStylePr>
  </w:style>
  <w:style w:type="table" w:styleId="GridTable4-Accent6">
    <w:name w:val="Grid Table 4 Accent 6"/>
    <w:basedOn w:val="TableNormal"/>
    <w:uiPriority w:val="49"/>
    <w:rsid w:val="009637A8"/>
    <w:pPr>
      <w:spacing w:after="0" w:line="240" w:lineRule="auto"/>
    </w:pPr>
    <w:tblPr>
      <w:tblStyleRowBandSize w:val="1"/>
      <w:tblStyleColBandSize w:val="1"/>
      <w:tblBorders>
        <w:top w:val="single" w:sz="4" w:space="0" w:color="83C590" w:themeColor="accent6" w:themeTint="99"/>
        <w:left w:val="single" w:sz="4" w:space="0" w:color="83C590" w:themeColor="accent6" w:themeTint="99"/>
        <w:bottom w:val="single" w:sz="4" w:space="0" w:color="83C590" w:themeColor="accent6" w:themeTint="99"/>
        <w:right w:val="single" w:sz="4" w:space="0" w:color="83C590" w:themeColor="accent6" w:themeTint="99"/>
        <w:insideH w:val="single" w:sz="4" w:space="0" w:color="83C590" w:themeColor="accent6" w:themeTint="99"/>
        <w:insideV w:val="single" w:sz="4" w:space="0" w:color="83C590" w:themeColor="accent6" w:themeTint="99"/>
      </w:tblBorders>
    </w:tblPr>
    <w:tblStylePr w:type="firstRow">
      <w:rPr>
        <w:b/>
        <w:bCs/>
        <w:color w:val="FFFFFF" w:themeColor="background1"/>
      </w:rPr>
      <w:tblPr/>
      <w:tcPr>
        <w:tcBorders>
          <w:top w:val="single" w:sz="4" w:space="0" w:color="428D52" w:themeColor="accent6"/>
          <w:left w:val="single" w:sz="4" w:space="0" w:color="428D52" w:themeColor="accent6"/>
          <w:bottom w:val="single" w:sz="4" w:space="0" w:color="428D52" w:themeColor="accent6"/>
          <w:right w:val="single" w:sz="4" w:space="0" w:color="428D52" w:themeColor="accent6"/>
          <w:insideH w:val="nil"/>
          <w:insideV w:val="nil"/>
        </w:tcBorders>
        <w:shd w:val="clear" w:color="auto" w:fill="428D52" w:themeFill="accent6"/>
      </w:tcPr>
    </w:tblStylePr>
    <w:tblStylePr w:type="lastRow">
      <w:rPr>
        <w:b/>
        <w:bCs/>
      </w:rPr>
      <w:tblPr/>
      <w:tcPr>
        <w:tcBorders>
          <w:top w:val="double" w:sz="4" w:space="0" w:color="428D52" w:themeColor="accent6"/>
        </w:tcBorders>
      </w:tcPr>
    </w:tblStylePr>
    <w:tblStylePr w:type="firstCol">
      <w:rPr>
        <w:b/>
        <w:bCs/>
      </w:rPr>
    </w:tblStylePr>
    <w:tblStylePr w:type="lastCol">
      <w:rPr>
        <w:b/>
        <w:bCs/>
      </w:rPr>
    </w:tblStylePr>
    <w:tblStylePr w:type="band1Vert">
      <w:tblPr/>
      <w:tcPr>
        <w:shd w:val="clear" w:color="auto" w:fill="D5EBDA" w:themeFill="accent6" w:themeFillTint="33"/>
      </w:tcPr>
    </w:tblStylePr>
    <w:tblStylePr w:type="band1Horz">
      <w:tblPr/>
      <w:tcPr>
        <w:shd w:val="clear" w:color="auto" w:fill="D5EBDA" w:themeFill="accent6" w:themeFillTint="33"/>
      </w:tcPr>
    </w:tblStylePr>
  </w:style>
  <w:style w:type="table" w:styleId="GridTable5Dark">
    <w:name w:val="Grid Table 5 Dark"/>
    <w:basedOn w:val="TableNormal"/>
    <w:uiPriority w:val="50"/>
    <w:rsid w:val="009637A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9637A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E6F2"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D85BE"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D85BE"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D85BE"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D85BE" w:themeFill="accent1"/>
      </w:tcPr>
    </w:tblStylePr>
    <w:tblStylePr w:type="band1Vert">
      <w:tblPr/>
      <w:tcPr>
        <w:shd w:val="clear" w:color="auto" w:fill="D7CEE5" w:themeFill="accent1" w:themeFillTint="66"/>
      </w:tcPr>
    </w:tblStylePr>
    <w:tblStylePr w:type="band1Horz">
      <w:tblPr/>
      <w:tcPr>
        <w:shd w:val="clear" w:color="auto" w:fill="D7CEE5" w:themeFill="accent1" w:themeFillTint="66"/>
      </w:tcPr>
    </w:tblStylePr>
  </w:style>
  <w:style w:type="table" w:styleId="GridTable5Dark-Accent2">
    <w:name w:val="Grid Table 5 Dark Accent 2"/>
    <w:basedOn w:val="TableNormal"/>
    <w:uiPriority w:val="50"/>
    <w:rsid w:val="009637A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5E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D7D7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D7D7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D7D7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D7D7D" w:themeFill="accent2"/>
      </w:tcPr>
    </w:tblStylePr>
    <w:tblStylePr w:type="band1Vert">
      <w:tblPr/>
      <w:tcPr>
        <w:shd w:val="clear" w:color="auto" w:fill="CBCBCB" w:themeFill="accent2" w:themeFillTint="66"/>
      </w:tcPr>
    </w:tblStylePr>
    <w:tblStylePr w:type="band1Horz">
      <w:tblPr/>
      <w:tcPr>
        <w:shd w:val="clear" w:color="auto" w:fill="CBCBCB" w:themeFill="accent2" w:themeFillTint="66"/>
      </w:tcPr>
    </w:tblStylePr>
  </w:style>
  <w:style w:type="table" w:styleId="GridTable5Dark-Accent3">
    <w:name w:val="Grid Table 5 Dark Accent 3"/>
    <w:basedOn w:val="TableNormal"/>
    <w:uiPriority w:val="50"/>
    <w:rsid w:val="009637A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4F4F4"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8C8C8"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8C8C8"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8C8C8"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8C8C8" w:themeFill="accent3"/>
      </w:tcPr>
    </w:tblStylePr>
    <w:tblStylePr w:type="band1Vert">
      <w:tblPr/>
      <w:tcPr>
        <w:shd w:val="clear" w:color="auto" w:fill="E9E9E9" w:themeFill="accent3" w:themeFillTint="66"/>
      </w:tcPr>
    </w:tblStylePr>
    <w:tblStylePr w:type="band1Horz">
      <w:tblPr/>
      <w:tcPr>
        <w:shd w:val="clear" w:color="auto" w:fill="E9E9E9" w:themeFill="accent3" w:themeFillTint="66"/>
      </w:tcPr>
    </w:tblStylePr>
  </w:style>
  <w:style w:type="table" w:styleId="GridTable5Dark-Accent4">
    <w:name w:val="Grid Table 5 Dark Accent 4"/>
    <w:basedOn w:val="TableNormal"/>
    <w:uiPriority w:val="50"/>
    <w:rsid w:val="009637A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8E7F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6A9F"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6A9F"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6A9F"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6A9F" w:themeFill="accent4"/>
      </w:tcPr>
    </w:tblStylePr>
    <w:tblStylePr w:type="band1Vert">
      <w:tblPr/>
      <w:tcPr>
        <w:shd w:val="clear" w:color="auto" w:fill="72D0FF" w:themeFill="accent4" w:themeFillTint="66"/>
      </w:tcPr>
    </w:tblStylePr>
    <w:tblStylePr w:type="band1Horz">
      <w:tblPr/>
      <w:tcPr>
        <w:shd w:val="clear" w:color="auto" w:fill="72D0FF" w:themeFill="accent4" w:themeFillTint="66"/>
      </w:tcPr>
    </w:tblStylePr>
  </w:style>
  <w:style w:type="table" w:styleId="GridTable5Dark-Accent5">
    <w:name w:val="Grid Table 5 Dark Accent 5"/>
    <w:basedOn w:val="TableNormal"/>
    <w:uiPriority w:val="50"/>
    <w:rsid w:val="009637A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4F1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BBDD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BBDD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BBDD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BBDD6" w:themeFill="accent5"/>
      </w:tcPr>
    </w:tblStylePr>
    <w:tblStylePr w:type="band1Vert">
      <w:tblPr/>
      <w:tcPr>
        <w:shd w:val="clear" w:color="auto" w:fill="CAE4EE" w:themeFill="accent5" w:themeFillTint="66"/>
      </w:tcPr>
    </w:tblStylePr>
    <w:tblStylePr w:type="band1Horz">
      <w:tblPr/>
      <w:tcPr>
        <w:shd w:val="clear" w:color="auto" w:fill="CAE4EE" w:themeFill="accent5" w:themeFillTint="66"/>
      </w:tcPr>
    </w:tblStylePr>
  </w:style>
  <w:style w:type="table" w:styleId="GridTable5Dark-Accent6">
    <w:name w:val="Grid Table 5 Dark Accent 6"/>
    <w:basedOn w:val="TableNormal"/>
    <w:uiPriority w:val="50"/>
    <w:rsid w:val="009637A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5EBD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28D52"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28D52"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28D52"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28D52" w:themeFill="accent6"/>
      </w:tcPr>
    </w:tblStylePr>
    <w:tblStylePr w:type="band1Vert">
      <w:tblPr/>
      <w:tcPr>
        <w:shd w:val="clear" w:color="auto" w:fill="ACD8B5" w:themeFill="accent6" w:themeFillTint="66"/>
      </w:tcPr>
    </w:tblStylePr>
    <w:tblStylePr w:type="band1Horz">
      <w:tblPr/>
      <w:tcPr>
        <w:shd w:val="clear" w:color="auto" w:fill="ACD8B5" w:themeFill="accent6" w:themeFillTint="66"/>
      </w:tcPr>
    </w:tblStylePr>
  </w:style>
  <w:style w:type="table" w:styleId="GridTable6Colorful">
    <w:name w:val="Grid Table 6 Colorful"/>
    <w:basedOn w:val="TableNormal"/>
    <w:uiPriority w:val="51"/>
    <w:rsid w:val="009637A8"/>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9637A8"/>
    <w:pPr>
      <w:spacing w:after="0" w:line="240" w:lineRule="auto"/>
    </w:pPr>
    <w:rPr>
      <w:color w:val="72549D" w:themeColor="accent1" w:themeShade="BF"/>
    </w:rPr>
    <w:tblPr>
      <w:tblStyleRowBandSize w:val="1"/>
      <w:tblStyleColBandSize w:val="1"/>
      <w:tblBorders>
        <w:top w:val="single" w:sz="4" w:space="0" w:color="C4B5D8" w:themeColor="accent1" w:themeTint="99"/>
        <w:left w:val="single" w:sz="4" w:space="0" w:color="C4B5D8" w:themeColor="accent1" w:themeTint="99"/>
        <w:bottom w:val="single" w:sz="4" w:space="0" w:color="C4B5D8" w:themeColor="accent1" w:themeTint="99"/>
        <w:right w:val="single" w:sz="4" w:space="0" w:color="C4B5D8" w:themeColor="accent1" w:themeTint="99"/>
        <w:insideH w:val="single" w:sz="4" w:space="0" w:color="C4B5D8" w:themeColor="accent1" w:themeTint="99"/>
        <w:insideV w:val="single" w:sz="4" w:space="0" w:color="C4B5D8" w:themeColor="accent1" w:themeTint="99"/>
      </w:tblBorders>
    </w:tblPr>
    <w:tblStylePr w:type="firstRow">
      <w:rPr>
        <w:b/>
        <w:bCs/>
      </w:rPr>
      <w:tblPr/>
      <w:tcPr>
        <w:tcBorders>
          <w:bottom w:val="single" w:sz="12" w:space="0" w:color="C4B5D8" w:themeColor="accent1" w:themeTint="99"/>
        </w:tcBorders>
      </w:tcPr>
    </w:tblStylePr>
    <w:tblStylePr w:type="lastRow">
      <w:rPr>
        <w:b/>
        <w:bCs/>
      </w:rPr>
      <w:tblPr/>
      <w:tcPr>
        <w:tcBorders>
          <w:top w:val="double" w:sz="4" w:space="0" w:color="C4B5D8" w:themeColor="accent1" w:themeTint="99"/>
        </w:tcBorders>
      </w:tcPr>
    </w:tblStylePr>
    <w:tblStylePr w:type="firstCol">
      <w:rPr>
        <w:b/>
        <w:bCs/>
      </w:rPr>
    </w:tblStylePr>
    <w:tblStylePr w:type="lastCol">
      <w:rPr>
        <w:b/>
        <w:bCs/>
      </w:rPr>
    </w:tblStylePr>
    <w:tblStylePr w:type="band1Vert">
      <w:tblPr/>
      <w:tcPr>
        <w:shd w:val="clear" w:color="auto" w:fill="EBE6F2" w:themeFill="accent1" w:themeFillTint="33"/>
      </w:tcPr>
    </w:tblStylePr>
    <w:tblStylePr w:type="band1Horz">
      <w:tblPr/>
      <w:tcPr>
        <w:shd w:val="clear" w:color="auto" w:fill="EBE6F2" w:themeFill="accent1" w:themeFillTint="33"/>
      </w:tcPr>
    </w:tblStylePr>
  </w:style>
  <w:style w:type="table" w:styleId="GridTable6Colorful-Accent2">
    <w:name w:val="Grid Table 6 Colorful Accent 2"/>
    <w:basedOn w:val="TableNormal"/>
    <w:uiPriority w:val="51"/>
    <w:rsid w:val="009637A8"/>
    <w:pPr>
      <w:spacing w:after="0" w:line="240" w:lineRule="auto"/>
    </w:pPr>
    <w:rPr>
      <w:color w:val="5D5D5D" w:themeColor="accent2" w:themeShade="BF"/>
    </w:rPr>
    <w:tblPr>
      <w:tblStyleRowBandSize w:val="1"/>
      <w:tblStyleColBandSize w:val="1"/>
      <w:tblBorders>
        <w:top w:val="single" w:sz="4" w:space="0" w:color="B1B1B1" w:themeColor="accent2" w:themeTint="99"/>
        <w:left w:val="single" w:sz="4" w:space="0" w:color="B1B1B1" w:themeColor="accent2" w:themeTint="99"/>
        <w:bottom w:val="single" w:sz="4" w:space="0" w:color="B1B1B1" w:themeColor="accent2" w:themeTint="99"/>
        <w:right w:val="single" w:sz="4" w:space="0" w:color="B1B1B1" w:themeColor="accent2" w:themeTint="99"/>
        <w:insideH w:val="single" w:sz="4" w:space="0" w:color="B1B1B1" w:themeColor="accent2" w:themeTint="99"/>
        <w:insideV w:val="single" w:sz="4" w:space="0" w:color="B1B1B1" w:themeColor="accent2" w:themeTint="99"/>
      </w:tblBorders>
    </w:tblPr>
    <w:tblStylePr w:type="firstRow">
      <w:rPr>
        <w:b/>
        <w:bCs/>
      </w:rPr>
      <w:tblPr/>
      <w:tcPr>
        <w:tcBorders>
          <w:bottom w:val="single" w:sz="12" w:space="0" w:color="B1B1B1" w:themeColor="accent2" w:themeTint="99"/>
        </w:tcBorders>
      </w:tcPr>
    </w:tblStylePr>
    <w:tblStylePr w:type="lastRow">
      <w:rPr>
        <w:b/>
        <w:bCs/>
      </w:rPr>
      <w:tblPr/>
      <w:tcPr>
        <w:tcBorders>
          <w:top w:val="double" w:sz="4" w:space="0" w:color="B1B1B1" w:themeColor="accent2" w:themeTint="99"/>
        </w:tcBorders>
      </w:tcPr>
    </w:tblStylePr>
    <w:tblStylePr w:type="firstCol">
      <w:rPr>
        <w:b/>
        <w:bCs/>
      </w:rPr>
    </w:tblStylePr>
    <w:tblStylePr w:type="lastCol">
      <w:rPr>
        <w:b/>
        <w:bCs/>
      </w:rPr>
    </w:tblStylePr>
    <w:tblStylePr w:type="band1Vert">
      <w:tblPr/>
      <w:tcPr>
        <w:shd w:val="clear" w:color="auto" w:fill="E5E5E5" w:themeFill="accent2" w:themeFillTint="33"/>
      </w:tcPr>
    </w:tblStylePr>
    <w:tblStylePr w:type="band1Horz">
      <w:tblPr/>
      <w:tcPr>
        <w:shd w:val="clear" w:color="auto" w:fill="E5E5E5" w:themeFill="accent2" w:themeFillTint="33"/>
      </w:tcPr>
    </w:tblStylePr>
  </w:style>
  <w:style w:type="table" w:styleId="GridTable6Colorful-Accent3">
    <w:name w:val="Grid Table 6 Colorful Accent 3"/>
    <w:basedOn w:val="TableNormal"/>
    <w:uiPriority w:val="51"/>
    <w:rsid w:val="009637A8"/>
    <w:pPr>
      <w:spacing w:after="0" w:line="240" w:lineRule="auto"/>
    </w:pPr>
    <w:rPr>
      <w:color w:val="959595" w:themeColor="accent3" w:themeShade="BF"/>
    </w:rPr>
    <w:tblPr>
      <w:tblStyleRowBandSize w:val="1"/>
      <w:tblStyleColBandSize w:val="1"/>
      <w:tblBorders>
        <w:top w:val="single" w:sz="4" w:space="0" w:color="DEDEDE" w:themeColor="accent3" w:themeTint="99"/>
        <w:left w:val="single" w:sz="4" w:space="0" w:color="DEDEDE" w:themeColor="accent3" w:themeTint="99"/>
        <w:bottom w:val="single" w:sz="4" w:space="0" w:color="DEDEDE" w:themeColor="accent3" w:themeTint="99"/>
        <w:right w:val="single" w:sz="4" w:space="0" w:color="DEDEDE" w:themeColor="accent3" w:themeTint="99"/>
        <w:insideH w:val="single" w:sz="4" w:space="0" w:color="DEDEDE" w:themeColor="accent3" w:themeTint="99"/>
        <w:insideV w:val="single" w:sz="4" w:space="0" w:color="DEDEDE" w:themeColor="accent3" w:themeTint="99"/>
      </w:tblBorders>
    </w:tblPr>
    <w:tblStylePr w:type="firstRow">
      <w:rPr>
        <w:b/>
        <w:bCs/>
      </w:rPr>
      <w:tblPr/>
      <w:tcPr>
        <w:tcBorders>
          <w:bottom w:val="single" w:sz="12" w:space="0" w:color="DEDEDE" w:themeColor="accent3" w:themeTint="99"/>
        </w:tcBorders>
      </w:tcPr>
    </w:tblStylePr>
    <w:tblStylePr w:type="lastRow">
      <w:rPr>
        <w:b/>
        <w:bCs/>
      </w:rPr>
      <w:tblPr/>
      <w:tcPr>
        <w:tcBorders>
          <w:top w:val="double" w:sz="4" w:space="0" w:color="DEDEDE" w:themeColor="accent3" w:themeTint="99"/>
        </w:tcBorders>
      </w:tcPr>
    </w:tblStylePr>
    <w:tblStylePr w:type="firstCol">
      <w:rPr>
        <w:b/>
        <w:bCs/>
      </w:rPr>
    </w:tblStylePr>
    <w:tblStylePr w:type="lastCol">
      <w:rPr>
        <w:b/>
        <w:bCs/>
      </w:rPr>
    </w:tblStylePr>
    <w:tblStylePr w:type="band1Vert">
      <w:tblPr/>
      <w:tcPr>
        <w:shd w:val="clear" w:color="auto" w:fill="F4F4F4" w:themeFill="accent3" w:themeFillTint="33"/>
      </w:tcPr>
    </w:tblStylePr>
    <w:tblStylePr w:type="band1Horz">
      <w:tblPr/>
      <w:tcPr>
        <w:shd w:val="clear" w:color="auto" w:fill="F4F4F4" w:themeFill="accent3" w:themeFillTint="33"/>
      </w:tcPr>
    </w:tblStylePr>
  </w:style>
  <w:style w:type="table" w:styleId="GridTable6Colorful-Accent4">
    <w:name w:val="Grid Table 6 Colorful Accent 4"/>
    <w:basedOn w:val="TableNormal"/>
    <w:uiPriority w:val="51"/>
    <w:rsid w:val="009637A8"/>
    <w:pPr>
      <w:spacing w:after="0" w:line="240" w:lineRule="auto"/>
    </w:pPr>
    <w:rPr>
      <w:color w:val="004F77" w:themeColor="accent4" w:themeShade="BF"/>
    </w:rPr>
    <w:tblPr>
      <w:tblStyleRowBandSize w:val="1"/>
      <w:tblStyleColBandSize w:val="1"/>
      <w:tblBorders>
        <w:top w:val="single" w:sz="4" w:space="0" w:color="2CB8FF" w:themeColor="accent4" w:themeTint="99"/>
        <w:left w:val="single" w:sz="4" w:space="0" w:color="2CB8FF" w:themeColor="accent4" w:themeTint="99"/>
        <w:bottom w:val="single" w:sz="4" w:space="0" w:color="2CB8FF" w:themeColor="accent4" w:themeTint="99"/>
        <w:right w:val="single" w:sz="4" w:space="0" w:color="2CB8FF" w:themeColor="accent4" w:themeTint="99"/>
        <w:insideH w:val="single" w:sz="4" w:space="0" w:color="2CB8FF" w:themeColor="accent4" w:themeTint="99"/>
        <w:insideV w:val="single" w:sz="4" w:space="0" w:color="2CB8FF" w:themeColor="accent4" w:themeTint="99"/>
      </w:tblBorders>
    </w:tblPr>
    <w:tblStylePr w:type="firstRow">
      <w:rPr>
        <w:b/>
        <w:bCs/>
      </w:rPr>
      <w:tblPr/>
      <w:tcPr>
        <w:tcBorders>
          <w:bottom w:val="single" w:sz="12" w:space="0" w:color="2CB8FF" w:themeColor="accent4" w:themeTint="99"/>
        </w:tcBorders>
      </w:tcPr>
    </w:tblStylePr>
    <w:tblStylePr w:type="lastRow">
      <w:rPr>
        <w:b/>
        <w:bCs/>
      </w:rPr>
      <w:tblPr/>
      <w:tcPr>
        <w:tcBorders>
          <w:top w:val="double" w:sz="4" w:space="0" w:color="2CB8FF" w:themeColor="accent4" w:themeTint="99"/>
        </w:tcBorders>
      </w:tcPr>
    </w:tblStylePr>
    <w:tblStylePr w:type="firstCol">
      <w:rPr>
        <w:b/>
        <w:bCs/>
      </w:rPr>
    </w:tblStylePr>
    <w:tblStylePr w:type="lastCol">
      <w:rPr>
        <w:b/>
        <w:bCs/>
      </w:rPr>
    </w:tblStylePr>
    <w:tblStylePr w:type="band1Vert">
      <w:tblPr/>
      <w:tcPr>
        <w:shd w:val="clear" w:color="auto" w:fill="B8E7FF" w:themeFill="accent4" w:themeFillTint="33"/>
      </w:tcPr>
    </w:tblStylePr>
    <w:tblStylePr w:type="band1Horz">
      <w:tblPr/>
      <w:tcPr>
        <w:shd w:val="clear" w:color="auto" w:fill="B8E7FF" w:themeFill="accent4" w:themeFillTint="33"/>
      </w:tcPr>
    </w:tblStylePr>
  </w:style>
  <w:style w:type="table" w:styleId="GridTable6Colorful-Accent5">
    <w:name w:val="Grid Table 6 Colorful Accent 5"/>
    <w:basedOn w:val="TableNormal"/>
    <w:uiPriority w:val="51"/>
    <w:rsid w:val="009637A8"/>
    <w:pPr>
      <w:spacing w:after="0" w:line="240" w:lineRule="auto"/>
    </w:pPr>
    <w:rPr>
      <w:color w:val="3C9BC0" w:themeColor="accent5" w:themeShade="BF"/>
    </w:rPr>
    <w:tblPr>
      <w:tblStyleRowBandSize w:val="1"/>
      <w:tblStyleColBandSize w:val="1"/>
      <w:tblBorders>
        <w:top w:val="single" w:sz="4" w:space="0" w:color="AFD7E6" w:themeColor="accent5" w:themeTint="99"/>
        <w:left w:val="single" w:sz="4" w:space="0" w:color="AFD7E6" w:themeColor="accent5" w:themeTint="99"/>
        <w:bottom w:val="single" w:sz="4" w:space="0" w:color="AFD7E6" w:themeColor="accent5" w:themeTint="99"/>
        <w:right w:val="single" w:sz="4" w:space="0" w:color="AFD7E6" w:themeColor="accent5" w:themeTint="99"/>
        <w:insideH w:val="single" w:sz="4" w:space="0" w:color="AFD7E6" w:themeColor="accent5" w:themeTint="99"/>
        <w:insideV w:val="single" w:sz="4" w:space="0" w:color="AFD7E6" w:themeColor="accent5" w:themeTint="99"/>
      </w:tblBorders>
    </w:tblPr>
    <w:tblStylePr w:type="firstRow">
      <w:rPr>
        <w:b/>
        <w:bCs/>
      </w:rPr>
      <w:tblPr/>
      <w:tcPr>
        <w:tcBorders>
          <w:bottom w:val="single" w:sz="12" w:space="0" w:color="AFD7E6" w:themeColor="accent5" w:themeTint="99"/>
        </w:tcBorders>
      </w:tcPr>
    </w:tblStylePr>
    <w:tblStylePr w:type="lastRow">
      <w:rPr>
        <w:b/>
        <w:bCs/>
      </w:rPr>
      <w:tblPr/>
      <w:tcPr>
        <w:tcBorders>
          <w:top w:val="double" w:sz="4" w:space="0" w:color="AFD7E6" w:themeColor="accent5" w:themeTint="99"/>
        </w:tcBorders>
      </w:tcPr>
    </w:tblStylePr>
    <w:tblStylePr w:type="firstCol">
      <w:rPr>
        <w:b/>
        <w:bCs/>
      </w:rPr>
    </w:tblStylePr>
    <w:tblStylePr w:type="lastCol">
      <w:rPr>
        <w:b/>
        <w:bCs/>
      </w:rPr>
    </w:tblStylePr>
    <w:tblStylePr w:type="band1Vert">
      <w:tblPr/>
      <w:tcPr>
        <w:shd w:val="clear" w:color="auto" w:fill="E4F1F6" w:themeFill="accent5" w:themeFillTint="33"/>
      </w:tcPr>
    </w:tblStylePr>
    <w:tblStylePr w:type="band1Horz">
      <w:tblPr/>
      <w:tcPr>
        <w:shd w:val="clear" w:color="auto" w:fill="E4F1F6" w:themeFill="accent5" w:themeFillTint="33"/>
      </w:tcPr>
    </w:tblStylePr>
  </w:style>
  <w:style w:type="table" w:styleId="GridTable6Colorful-Accent6">
    <w:name w:val="Grid Table 6 Colorful Accent 6"/>
    <w:basedOn w:val="TableNormal"/>
    <w:uiPriority w:val="51"/>
    <w:rsid w:val="009637A8"/>
    <w:pPr>
      <w:spacing w:after="0" w:line="240" w:lineRule="auto"/>
    </w:pPr>
    <w:rPr>
      <w:color w:val="31693D" w:themeColor="accent6" w:themeShade="BF"/>
    </w:rPr>
    <w:tblPr>
      <w:tblStyleRowBandSize w:val="1"/>
      <w:tblStyleColBandSize w:val="1"/>
      <w:tblBorders>
        <w:top w:val="single" w:sz="4" w:space="0" w:color="83C590" w:themeColor="accent6" w:themeTint="99"/>
        <w:left w:val="single" w:sz="4" w:space="0" w:color="83C590" w:themeColor="accent6" w:themeTint="99"/>
        <w:bottom w:val="single" w:sz="4" w:space="0" w:color="83C590" w:themeColor="accent6" w:themeTint="99"/>
        <w:right w:val="single" w:sz="4" w:space="0" w:color="83C590" w:themeColor="accent6" w:themeTint="99"/>
        <w:insideH w:val="single" w:sz="4" w:space="0" w:color="83C590" w:themeColor="accent6" w:themeTint="99"/>
        <w:insideV w:val="single" w:sz="4" w:space="0" w:color="83C590" w:themeColor="accent6" w:themeTint="99"/>
      </w:tblBorders>
    </w:tblPr>
    <w:tblStylePr w:type="firstRow">
      <w:rPr>
        <w:b/>
        <w:bCs/>
      </w:rPr>
      <w:tblPr/>
      <w:tcPr>
        <w:tcBorders>
          <w:bottom w:val="single" w:sz="12" w:space="0" w:color="83C590" w:themeColor="accent6" w:themeTint="99"/>
        </w:tcBorders>
      </w:tcPr>
    </w:tblStylePr>
    <w:tblStylePr w:type="lastRow">
      <w:rPr>
        <w:b/>
        <w:bCs/>
      </w:rPr>
      <w:tblPr/>
      <w:tcPr>
        <w:tcBorders>
          <w:top w:val="double" w:sz="4" w:space="0" w:color="83C590" w:themeColor="accent6" w:themeTint="99"/>
        </w:tcBorders>
      </w:tcPr>
    </w:tblStylePr>
    <w:tblStylePr w:type="firstCol">
      <w:rPr>
        <w:b/>
        <w:bCs/>
      </w:rPr>
    </w:tblStylePr>
    <w:tblStylePr w:type="lastCol">
      <w:rPr>
        <w:b/>
        <w:bCs/>
      </w:rPr>
    </w:tblStylePr>
    <w:tblStylePr w:type="band1Vert">
      <w:tblPr/>
      <w:tcPr>
        <w:shd w:val="clear" w:color="auto" w:fill="D5EBDA" w:themeFill="accent6" w:themeFillTint="33"/>
      </w:tcPr>
    </w:tblStylePr>
    <w:tblStylePr w:type="band1Horz">
      <w:tblPr/>
      <w:tcPr>
        <w:shd w:val="clear" w:color="auto" w:fill="D5EBDA" w:themeFill="accent6" w:themeFillTint="33"/>
      </w:tcPr>
    </w:tblStylePr>
  </w:style>
  <w:style w:type="table" w:styleId="GridTable7Colorful">
    <w:name w:val="Grid Table 7 Colorful"/>
    <w:basedOn w:val="TableNormal"/>
    <w:uiPriority w:val="52"/>
    <w:rsid w:val="009637A8"/>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9637A8"/>
    <w:pPr>
      <w:spacing w:after="0" w:line="240" w:lineRule="auto"/>
    </w:pPr>
    <w:rPr>
      <w:color w:val="72549D" w:themeColor="accent1" w:themeShade="BF"/>
    </w:rPr>
    <w:tblPr>
      <w:tblStyleRowBandSize w:val="1"/>
      <w:tblStyleColBandSize w:val="1"/>
      <w:tblBorders>
        <w:top w:val="single" w:sz="4" w:space="0" w:color="C4B5D8" w:themeColor="accent1" w:themeTint="99"/>
        <w:left w:val="single" w:sz="4" w:space="0" w:color="C4B5D8" w:themeColor="accent1" w:themeTint="99"/>
        <w:bottom w:val="single" w:sz="4" w:space="0" w:color="C4B5D8" w:themeColor="accent1" w:themeTint="99"/>
        <w:right w:val="single" w:sz="4" w:space="0" w:color="C4B5D8" w:themeColor="accent1" w:themeTint="99"/>
        <w:insideH w:val="single" w:sz="4" w:space="0" w:color="C4B5D8" w:themeColor="accent1" w:themeTint="99"/>
        <w:insideV w:val="single" w:sz="4" w:space="0" w:color="C4B5D8"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6F2" w:themeFill="accent1" w:themeFillTint="33"/>
      </w:tcPr>
    </w:tblStylePr>
    <w:tblStylePr w:type="band1Horz">
      <w:tblPr/>
      <w:tcPr>
        <w:shd w:val="clear" w:color="auto" w:fill="EBE6F2" w:themeFill="accent1" w:themeFillTint="33"/>
      </w:tcPr>
    </w:tblStylePr>
    <w:tblStylePr w:type="neCell">
      <w:tblPr/>
      <w:tcPr>
        <w:tcBorders>
          <w:bottom w:val="single" w:sz="4" w:space="0" w:color="C4B5D8" w:themeColor="accent1" w:themeTint="99"/>
        </w:tcBorders>
      </w:tcPr>
    </w:tblStylePr>
    <w:tblStylePr w:type="nwCell">
      <w:tblPr/>
      <w:tcPr>
        <w:tcBorders>
          <w:bottom w:val="single" w:sz="4" w:space="0" w:color="C4B5D8" w:themeColor="accent1" w:themeTint="99"/>
        </w:tcBorders>
      </w:tcPr>
    </w:tblStylePr>
    <w:tblStylePr w:type="seCell">
      <w:tblPr/>
      <w:tcPr>
        <w:tcBorders>
          <w:top w:val="single" w:sz="4" w:space="0" w:color="C4B5D8" w:themeColor="accent1" w:themeTint="99"/>
        </w:tcBorders>
      </w:tcPr>
    </w:tblStylePr>
    <w:tblStylePr w:type="swCell">
      <w:tblPr/>
      <w:tcPr>
        <w:tcBorders>
          <w:top w:val="single" w:sz="4" w:space="0" w:color="C4B5D8" w:themeColor="accent1" w:themeTint="99"/>
        </w:tcBorders>
      </w:tcPr>
    </w:tblStylePr>
  </w:style>
  <w:style w:type="table" w:styleId="GridTable7Colorful-Accent2">
    <w:name w:val="Grid Table 7 Colorful Accent 2"/>
    <w:basedOn w:val="TableNormal"/>
    <w:uiPriority w:val="52"/>
    <w:rsid w:val="009637A8"/>
    <w:pPr>
      <w:spacing w:after="0" w:line="240" w:lineRule="auto"/>
    </w:pPr>
    <w:rPr>
      <w:color w:val="5D5D5D" w:themeColor="accent2" w:themeShade="BF"/>
    </w:rPr>
    <w:tblPr>
      <w:tblStyleRowBandSize w:val="1"/>
      <w:tblStyleColBandSize w:val="1"/>
      <w:tblBorders>
        <w:top w:val="single" w:sz="4" w:space="0" w:color="B1B1B1" w:themeColor="accent2" w:themeTint="99"/>
        <w:left w:val="single" w:sz="4" w:space="0" w:color="B1B1B1" w:themeColor="accent2" w:themeTint="99"/>
        <w:bottom w:val="single" w:sz="4" w:space="0" w:color="B1B1B1" w:themeColor="accent2" w:themeTint="99"/>
        <w:right w:val="single" w:sz="4" w:space="0" w:color="B1B1B1" w:themeColor="accent2" w:themeTint="99"/>
        <w:insideH w:val="single" w:sz="4" w:space="0" w:color="B1B1B1" w:themeColor="accent2" w:themeTint="99"/>
        <w:insideV w:val="single" w:sz="4" w:space="0" w:color="B1B1B1"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2" w:themeFillTint="33"/>
      </w:tcPr>
    </w:tblStylePr>
    <w:tblStylePr w:type="band1Horz">
      <w:tblPr/>
      <w:tcPr>
        <w:shd w:val="clear" w:color="auto" w:fill="E5E5E5" w:themeFill="accent2" w:themeFillTint="33"/>
      </w:tcPr>
    </w:tblStylePr>
    <w:tblStylePr w:type="neCell">
      <w:tblPr/>
      <w:tcPr>
        <w:tcBorders>
          <w:bottom w:val="single" w:sz="4" w:space="0" w:color="B1B1B1" w:themeColor="accent2" w:themeTint="99"/>
        </w:tcBorders>
      </w:tcPr>
    </w:tblStylePr>
    <w:tblStylePr w:type="nwCell">
      <w:tblPr/>
      <w:tcPr>
        <w:tcBorders>
          <w:bottom w:val="single" w:sz="4" w:space="0" w:color="B1B1B1" w:themeColor="accent2" w:themeTint="99"/>
        </w:tcBorders>
      </w:tcPr>
    </w:tblStylePr>
    <w:tblStylePr w:type="seCell">
      <w:tblPr/>
      <w:tcPr>
        <w:tcBorders>
          <w:top w:val="single" w:sz="4" w:space="0" w:color="B1B1B1" w:themeColor="accent2" w:themeTint="99"/>
        </w:tcBorders>
      </w:tcPr>
    </w:tblStylePr>
    <w:tblStylePr w:type="swCell">
      <w:tblPr/>
      <w:tcPr>
        <w:tcBorders>
          <w:top w:val="single" w:sz="4" w:space="0" w:color="B1B1B1" w:themeColor="accent2" w:themeTint="99"/>
        </w:tcBorders>
      </w:tcPr>
    </w:tblStylePr>
  </w:style>
  <w:style w:type="table" w:styleId="GridTable7Colorful-Accent3">
    <w:name w:val="Grid Table 7 Colorful Accent 3"/>
    <w:basedOn w:val="TableNormal"/>
    <w:uiPriority w:val="52"/>
    <w:rsid w:val="009637A8"/>
    <w:pPr>
      <w:spacing w:after="0" w:line="240" w:lineRule="auto"/>
    </w:pPr>
    <w:rPr>
      <w:color w:val="959595" w:themeColor="accent3" w:themeShade="BF"/>
    </w:rPr>
    <w:tblPr>
      <w:tblStyleRowBandSize w:val="1"/>
      <w:tblStyleColBandSize w:val="1"/>
      <w:tblBorders>
        <w:top w:val="single" w:sz="4" w:space="0" w:color="DEDEDE" w:themeColor="accent3" w:themeTint="99"/>
        <w:left w:val="single" w:sz="4" w:space="0" w:color="DEDEDE" w:themeColor="accent3" w:themeTint="99"/>
        <w:bottom w:val="single" w:sz="4" w:space="0" w:color="DEDEDE" w:themeColor="accent3" w:themeTint="99"/>
        <w:right w:val="single" w:sz="4" w:space="0" w:color="DEDEDE" w:themeColor="accent3" w:themeTint="99"/>
        <w:insideH w:val="single" w:sz="4" w:space="0" w:color="DEDEDE" w:themeColor="accent3" w:themeTint="99"/>
        <w:insideV w:val="single" w:sz="4" w:space="0" w:color="DEDED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F4F4" w:themeFill="accent3" w:themeFillTint="33"/>
      </w:tcPr>
    </w:tblStylePr>
    <w:tblStylePr w:type="band1Horz">
      <w:tblPr/>
      <w:tcPr>
        <w:shd w:val="clear" w:color="auto" w:fill="F4F4F4" w:themeFill="accent3" w:themeFillTint="33"/>
      </w:tcPr>
    </w:tblStylePr>
    <w:tblStylePr w:type="neCell">
      <w:tblPr/>
      <w:tcPr>
        <w:tcBorders>
          <w:bottom w:val="single" w:sz="4" w:space="0" w:color="DEDEDE" w:themeColor="accent3" w:themeTint="99"/>
        </w:tcBorders>
      </w:tcPr>
    </w:tblStylePr>
    <w:tblStylePr w:type="nwCell">
      <w:tblPr/>
      <w:tcPr>
        <w:tcBorders>
          <w:bottom w:val="single" w:sz="4" w:space="0" w:color="DEDEDE" w:themeColor="accent3" w:themeTint="99"/>
        </w:tcBorders>
      </w:tcPr>
    </w:tblStylePr>
    <w:tblStylePr w:type="seCell">
      <w:tblPr/>
      <w:tcPr>
        <w:tcBorders>
          <w:top w:val="single" w:sz="4" w:space="0" w:color="DEDEDE" w:themeColor="accent3" w:themeTint="99"/>
        </w:tcBorders>
      </w:tcPr>
    </w:tblStylePr>
    <w:tblStylePr w:type="swCell">
      <w:tblPr/>
      <w:tcPr>
        <w:tcBorders>
          <w:top w:val="single" w:sz="4" w:space="0" w:color="DEDEDE" w:themeColor="accent3" w:themeTint="99"/>
        </w:tcBorders>
      </w:tcPr>
    </w:tblStylePr>
  </w:style>
  <w:style w:type="table" w:styleId="GridTable7Colorful-Accent4">
    <w:name w:val="Grid Table 7 Colorful Accent 4"/>
    <w:basedOn w:val="TableNormal"/>
    <w:uiPriority w:val="52"/>
    <w:rsid w:val="009637A8"/>
    <w:pPr>
      <w:spacing w:after="0" w:line="240" w:lineRule="auto"/>
    </w:pPr>
    <w:rPr>
      <w:color w:val="004F77" w:themeColor="accent4" w:themeShade="BF"/>
    </w:rPr>
    <w:tblPr>
      <w:tblStyleRowBandSize w:val="1"/>
      <w:tblStyleColBandSize w:val="1"/>
      <w:tblBorders>
        <w:top w:val="single" w:sz="4" w:space="0" w:color="2CB8FF" w:themeColor="accent4" w:themeTint="99"/>
        <w:left w:val="single" w:sz="4" w:space="0" w:color="2CB8FF" w:themeColor="accent4" w:themeTint="99"/>
        <w:bottom w:val="single" w:sz="4" w:space="0" w:color="2CB8FF" w:themeColor="accent4" w:themeTint="99"/>
        <w:right w:val="single" w:sz="4" w:space="0" w:color="2CB8FF" w:themeColor="accent4" w:themeTint="99"/>
        <w:insideH w:val="single" w:sz="4" w:space="0" w:color="2CB8FF" w:themeColor="accent4" w:themeTint="99"/>
        <w:insideV w:val="single" w:sz="4" w:space="0" w:color="2CB8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8E7FF" w:themeFill="accent4" w:themeFillTint="33"/>
      </w:tcPr>
    </w:tblStylePr>
    <w:tblStylePr w:type="band1Horz">
      <w:tblPr/>
      <w:tcPr>
        <w:shd w:val="clear" w:color="auto" w:fill="B8E7FF" w:themeFill="accent4" w:themeFillTint="33"/>
      </w:tcPr>
    </w:tblStylePr>
    <w:tblStylePr w:type="neCell">
      <w:tblPr/>
      <w:tcPr>
        <w:tcBorders>
          <w:bottom w:val="single" w:sz="4" w:space="0" w:color="2CB8FF" w:themeColor="accent4" w:themeTint="99"/>
        </w:tcBorders>
      </w:tcPr>
    </w:tblStylePr>
    <w:tblStylePr w:type="nwCell">
      <w:tblPr/>
      <w:tcPr>
        <w:tcBorders>
          <w:bottom w:val="single" w:sz="4" w:space="0" w:color="2CB8FF" w:themeColor="accent4" w:themeTint="99"/>
        </w:tcBorders>
      </w:tcPr>
    </w:tblStylePr>
    <w:tblStylePr w:type="seCell">
      <w:tblPr/>
      <w:tcPr>
        <w:tcBorders>
          <w:top w:val="single" w:sz="4" w:space="0" w:color="2CB8FF" w:themeColor="accent4" w:themeTint="99"/>
        </w:tcBorders>
      </w:tcPr>
    </w:tblStylePr>
    <w:tblStylePr w:type="swCell">
      <w:tblPr/>
      <w:tcPr>
        <w:tcBorders>
          <w:top w:val="single" w:sz="4" w:space="0" w:color="2CB8FF" w:themeColor="accent4" w:themeTint="99"/>
        </w:tcBorders>
      </w:tcPr>
    </w:tblStylePr>
  </w:style>
  <w:style w:type="table" w:styleId="GridTable7Colorful-Accent5">
    <w:name w:val="Grid Table 7 Colorful Accent 5"/>
    <w:basedOn w:val="TableNormal"/>
    <w:uiPriority w:val="52"/>
    <w:rsid w:val="009637A8"/>
    <w:pPr>
      <w:spacing w:after="0" w:line="240" w:lineRule="auto"/>
    </w:pPr>
    <w:rPr>
      <w:color w:val="3C9BC0" w:themeColor="accent5" w:themeShade="BF"/>
    </w:rPr>
    <w:tblPr>
      <w:tblStyleRowBandSize w:val="1"/>
      <w:tblStyleColBandSize w:val="1"/>
      <w:tblBorders>
        <w:top w:val="single" w:sz="4" w:space="0" w:color="AFD7E6" w:themeColor="accent5" w:themeTint="99"/>
        <w:left w:val="single" w:sz="4" w:space="0" w:color="AFD7E6" w:themeColor="accent5" w:themeTint="99"/>
        <w:bottom w:val="single" w:sz="4" w:space="0" w:color="AFD7E6" w:themeColor="accent5" w:themeTint="99"/>
        <w:right w:val="single" w:sz="4" w:space="0" w:color="AFD7E6" w:themeColor="accent5" w:themeTint="99"/>
        <w:insideH w:val="single" w:sz="4" w:space="0" w:color="AFD7E6" w:themeColor="accent5" w:themeTint="99"/>
        <w:insideV w:val="single" w:sz="4" w:space="0" w:color="AFD7E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F1F6" w:themeFill="accent5" w:themeFillTint="33"/>
      </w:tcPr>
    </w:tblStylePr>
    <w:tblStylePr w:type="band1Horz">
      <w:tblPr/>
      <w:tcPr>
        <w:shd w:val="clear" w:color="auto" w:fill="E4F1F6" w:themeFill="accent5" w:themeFillTint="33"/>
      </w:tcPr>
    </w:tblStylePr>
    <w:tblStylePr w:type="neCell">
      <w:tblPr/>
      <w:tcPr>
        <w:tcBorders>
          <w:bottom w:val="single" w:sz="4" w:space="0" w:color="AFD7E6" w:themeColor="accent5" w:themeTint="99"/>
        </w:tcBorders>
      </w:tcPr>
    </w:tblStylePr>
    <w:tblStylePr w:type="nwCell">
      <w:tblPr/>
      <w:tcPr>
        <w:tcBorders>
          <w:bottom w:val="single" w:sz="4" w:space="0" w:color="AFD7E6" w:themeColor="accent5" w:themeTint="99"/>
        </w:tcBorders>
      </w:tcPr>
    </w:tblStylePr>
    <w:tblStylePr w:type="seCell">
      <w:tblPr/>
      <w:tcPr>
        <w:tcBorders>
          <w:top w:val="single" w:sz="4" w:space="0" w:color="AFD7E6" w:themeColor="accent5" w:themeTint="99"/>
        </w:tcBorders>
      </w:tcPr>
    </w:tblStylePr>
    <w:tblStylePr w:type="swCell">
      <w:tblPr/>
      <w:tcPr>
        <w:tcBorders>
          <w:top w:val="single" w:sz="4" w:space="0" w:color="AFD7E6" w:themeColor="accent5" w:themeTint="99"/>
        </w:tcBorders>
      </w:tcPr>
    </w:tblStylePr>
  </w:style>
  <w:style w:type="table" w:styleId="GridTable7Colorful-Accent6">
    <w:name w:val="Grid Table 7 Colorful Accent 6"/>
    <w:basedOn w:val="TableNormal"/>
    <w:uiPriority w:val="52"/>
    <w:rsid w:val="009637A8"/>
    <w:pPr>
      <w:spacing w:after="0" w:line="240" w:lineRule="auto"/>
    </w:pPr>
    <w:rPr>
      <w:color w:val="31693D" w:themeColor="accent6" w:themeShade="BF"/>
    </w:rPr>
    <w:tblPr>
      <w:tblStyleRowBandSize w:val="1"/>
      <w:tblStyleColBandSize w:val="1"/>
      <w:tblBorders>
        <w:top w:val="single" w:sz="4" w:space="0" w:color="83C590" w:themeColor="accent6" w:themeTint="99"/>
        <w:left w:val="single" w:sz="4" w:space="0" w:color="83C590" w:themeColor="accent6" w:themeTint="99"/>
        <w:bottom w:val="single" w:sz="4" w:space="0" w:color="83C590" w:themeColor="accent6" w:themeTint="99"/>
        <w:right w:val="single" w:sz="4" w:space="0" w:color="83C590" w:themeColor="accent6" w:themeTint="99"/>
        <w:insideH w:val="single" w:sz="4" w:space="0" w:color="83C590" w:themeColor="accent6" w:themeTint="99"/>
        <w:insideV w:val="single" w:sz="4" w:space="0" w:color="83C59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5EBDA" w:themeFill="accent6" w:themeFillTint="33"/>
      </w:tcPr>
    </w:tblStylePr>
    <w:tblStylePr w:type="band1Horz">
      <w:tblPr/>
      <w:tcPr>
        <w:shd w:val="clear" w:color="auto" w:fill="D5EBDA" w:themeFill="accent6" w:themeFillTint="33"/>
      </w:tcPr>
    </w:tblStylePr>
    <w:tblStylePr w:type="neCell">
      <w:tblPr/>
      <w:tcPr>
        <w:tcBorders>
          <w:bottom w:val="single" w:sz="4" w:space="0" w:color="83C590" w:themeColor="accent6" w:themeTint="99"/>
        </w:tcBorders>
      </w:tcPr>
    </w:tblStylePr>
    <w:tblStylePr w:type="nwCell">
      <w:tblPr/>
      <w:tcPr>
        <w:tcBorders>
          <w:bottom w:val="single" w:sz="4" w:space="0" w:color="83C590" w:themeColor="accent6" w:themeTint="99"/>
        </w:tcBorders>
      </w:tcPr>
    </w:tblStylePr>
    <w:tblStylePr w:type="seCell">
      <w:tblPr/>
      <w:tcPr>
        <w:tcBorders>
          <w:top w:val="single" w:sz="4" w:space="0" w:color="83C590" w:themeColor="accent6" w:themeTint="99"/>
        </w:tcBorders>
      </w:tcPr>
    </w:tblStylePr>
    <w:tblStylePr w:type="swCell">
      <w:tblPr/>
      <w:tcPr>
        <w:tcBorders>
          <w:top w:val="single" w:sz="4" w:space="0" w:color="83C590" w:themeColor="accent6" w:themeTint="99"/>
        </w:tcBorders>
      </w:tcPr>
    </w:tblStylePr>
  </w:style>
  <w:style w:type="character" w:styleId="Hashtag">
    <w:name w:val="Hashtag"/>
    <w:basedOn w:val="DefaultParagraphFont"/>
    <w:uiPriority w:val="99"/>
    <w:semiHidden/>
    <w:unhideWhenUsed/>
    <w:rsid w:val="009637A8"/>
    <w:rPr>
      <w:color w:val="2B579A"/>
      <w:shd w:val="clear" w:color="auto" w:fill="E1DFDD"/>
    </w:rPr>
  </w:style>
  <w:style w:type="paragraph" w:styleId="Header">
    <w:name w:val="header"/>
    <w:basedOn w:val="Normal-nospace"/>
    <w:link w:val="HeaderChar"/>
    <w:uiPriority w:val="99"/>
    <w:unhideWhenUsed/>
    <w:rsid w:val="00B649EB"/>
    <w:pPr>
      <w:tabs>
        <w:tab w:val="center" w:pos="4513"/>
        <w:tab w:val="right" w:pos="9026"/>
      </w:tabs>
      <w:spacing w:before="90" w:line="240" w:lineRule="auto"/>
    </w:pPr>
    <w:rPr>
      <w:sz w:val="16"/>
    </w:rPr>
  </w:style>
  <w:style w:type="character" w:customStyle="1" w:styleId="HeaderChar">
    <w:name w:val="Header Char"/>
    <w:basedOn w:val="DefaultParagraphFont"/>
    <w:link w:val="Header"/>
    <w:uiPriority w:val="99"/>
    <w:rsid w:val="00B649EB"/>
    <w:rPr>
      <w:rFonts w:ascii="Arial Narrow" w:hAnsi="Arial Narrow" w:cs="Arial"/>
      <w:sz w:val="16"/>
    </w:rPr>
  </w:style>
  <w:style w:type="character" w:styleId="HTMLAcronym">
    <w:name w:val="HTML Acronym"/>
    <w:basedOn w:val="DefaultParagraphFont"/>
    <w:uiPriority w:val="99"/>
    <w:semiHidden/>
    <w:unhideWhenUsed/>
    <w:rsid w:val="009637A8"/>
  </w:style>
  <w:style w:type="paragraph" w:styleId="HTMLAddress">
    <w:name w:val="HTML Address"/>
    <w:basedOn w:val="Normal"/>
    <w:link w:val="HTMLAddressChar"/>
    <w:uiPriority w:val="99"/>
    <w:semiHidden/>
    <w:unhideWhenUsed/>
    <w:rsid w:val="009637A8"/>
    <w:pPr>
      <w:spacing w:after="0"/>
    </w:pPr>
    <w:rPr>
      <w:i/>
      <w:iCs/>
    </w:rPr>
  </w:style>
  <w:style w:type="character" w:customStyle="1" w:styleId="HTMLAddressChar">
    <w:name w:val="HTML Address Char"/>
    <w:basedOn w:val="DefaultParagraphFont"/>
    <w:link w:val="HTMLAddress"/>
    <w:uiPriority w:val="99"/>
    <w:semiHidden/>
    <w:rsid w:val="009637A8"/>
    <w:rPr>
      <w:rFonts w:ascii="Arial" w:hAnsi="Arial" w:cs="Arial"/>
      <w:i/>
      <w:iCs/>
    </w:rPr>
  </w:style>
  <w:style w:type="character" w:styleId="HTMLCite">
    <w:name w:val="HTML Cite"/>
    <w:basedOn w:val="DefaultParagraphFont"/>
    <w:uiPriority w:val="99"/>
    <w:semiHidden/>
    <w:unhideWhenUsed/>
    <w:rsid w:val="009637A8"/>
    <w:rPr>
      <w:i/>
      <w:iCs/>
    </w:rPr>
  </w:style>
  <w:style w:type="character" w:styleId="HTMLCode">
    <w:name w:val="HTML Code"/>
    <w:basedOn w:val="DefaultParagraphFont"/>
    <w:uiPriority w:val="99"/>
    <w:semiHidden/>
    <w:unhideWhenUsed/>
    <w:rsid w:val="009637A8"/>
    <w:rPr>
      <w:rFonts w:ascii="Arial Narrow" w:hAnsi="Arial Narrow" w:cs="Arial"/>
      <w:sz w:val="20"/>
      <w:szCs w:val="20"/>
    </w:rPr>
  </w:style>
  <w:style w:type="character" w:styleId="HTMLDefinition">
    <w:name w:val="HTML Definition"/>
    <w:basedOn w:val="DefaultParagraphFont"/>
    <w:uiPriority w:val="99"/>
    <w:semiHidden/>
    <w:unhideWhenUsed/>
    <w:rsid w:val="009637A8"/>
    <w:rPr>
      <w:i/>
      <w:iCs/>
    </w:rPr>
  </w:style>
  <w:style w:type="character" w:styleId="HTMLKeyboard">
    <w:name w:val="HTML Keyboard"/>
    <w:basedOn w:val="DefaultParagraphFont"/>
    <w:uiPriority w:val="99"/>
    <w:semiHidden/>
    <w:unhideWhenUsed/>
    <w:rsid w:val="009637A8"/>
    <w:rPr>
      <w:rFonts w:ascii="Arial Narrow" w:hAnsi="Arial Narrow" w:cs="Arial"/>
      <w:sz w:val="20"/>
      <w:szCs w:val="20"/>
    </w:rPr>
  </w:style>
  <w:style w:type="paragraph" w:styleId="HTMLPreformatted">
    <w:name w:val="HTML Preformatted"/>
    <w:basedOn w:val="Normal"/>
    <w:link w:val="HTMLPreformattedChar"/>
    <w:uiPriority w:val="99"/>
    <w:semiHidden/>
    <w:unhideWhenUsed/>
    <w:rsid w:val="009637A8"/>
    <w:pPr>
      <w:spacing w:after="0"/>
    </w:pPr>
    <w:rPr>
      <w:sz w:val="20"/>
      <w:szCs w:val="20"/>
    </w:rPr>
  </w:style>
  <w:style w:type="character" w:customStyle="1" w:styleId="HTMLPreformattedChar">
    <w:name w:val="HTML Preformatted Char"/>
    <w:basedOn w:val="DefaultParagraphFont"/>
    <w:link w:val="HTMLPreformatted"/>
    <w:uiPriority w:val="99"/>
    <w:semiHidden/>
    <w:rsid w:val="009637A8"/>
    <w:rPr>
      <w:rFonts w:ascii="Arial" w:hAnsi="Arial" w:cs="Arial"/>
      <w:sz w:val="20"/>
      <w:szCs w:val="20"/>
    </w:rPr>
  </w:style>
  <w:style w:type="character" w:styleId="HTMLSample">
    <w:name w:val="HTML Sample"/>
    <w:basedOn w:val="DefaultParagraphFont"/>
    <w:uiPriority w:val="99"/>
    <w:semiHidden/>
    <w:unhideWhenUsed/>
    <w:rsid w:val="009637A8"/>
    <w:rPr>
      <w:rFonts w:ascii="Arial Narrow" w:hAnsi="Arial Narrow" w:cs="Arial"/>
      <w:sz w:val="24"/>
      <w:szCs w:val="24"/>
    </w:rPr>
  </w:style>
  <w:style w:type="character" w:styleId="HTMLTypewriter">
    <w:name w:val="HTML Typewriter"/>
    <w:basedOn w:val="DefaultParagraphFont"/>
    <w:uiPriority w:val="99"/>
    <w:semiHidden/>
    <w:unhideWhenUsed/>
    <w:rsid w:val="009637A8"/>
    <w:rPr>
      <w:rFonts w:ascii="Arial Narrow" w:hAnsi="Arial Narrow" w:cs="Arial"/>
      <w:sz w:val="20"/>
      <w:szCs w:val="20"/>
    </w:rPr>
  </w:style>
  <w:style w:type="character" w:styleId="HTMLVariable">
    <w:name w:val="HTML Variable"/>
    <w:basedOn w:val="DefaultParagraphFont"/>
    <w:uiPriority w:val="99"/>
    <w:semiHidden/>
    <w:unhideWhenUsed/>
    <w:rsid w:val="009637A8"/>
    <w:rPr>
      <w:i/>
      <w:iCs/>
    </w:rPr>
  </w:style>
  <w:style w:type="character" w:styleId="Hyperlink">
    <w:name w:val="Hyperlink"/>
    <w:basedOn w:val="DefaultParagraphFont"/>
    <w:uiPriority w:val="99"/>
    <w:unhideWhenUsed/>
    <w:rsid w:val="00B25F65"/>
    <w:rPr>
      <w:color w:val="000000" w:themeColor="text1"/>
      <w:u w:val="single"/>
    </w:rPr>
  </w:style>
  <w:style w:type="paragraph" w:styleId="Index1">
    <w:name w:val="index 1"/>
    <w:basedOn w:val="Normal"/>
    <w:next w:val="Normal"/>
    <w:autoRedefine/>
    <w:uiPriority w:val="99"/>
    <w:semiHidden/>
    <w:unhideWhenUsed/>
    <w:rsid w:val="009637A8"/>
    <w:pPr>
      <w:spacing w:after="0"/>
      <w:ind w:left="220" w:hanging="220"/>
    </w:pPr>
  </w:style>
  <w:style w:type="paragraph" w:styleId="Index2">
    <w:name w:val="index 2"/>
    <w:basedOn w:val="Normal"/>
    <w:next w:val="Normal"/>
    <w:autoRedefine/>
    <w:uiPriority w:val="99"/>
    <w:semiHidden/>
    <w:unhideWhenUsed/>
    <w:rsid w:val="009637A8"/>
    <w:pPr>
      <w:spacing w:after="0"/>
      <w:ind w:left="440" w:hanging="220"/>
    </w:pPr>
  </w:style>
  <w:style w:type="paragraph" w:styleId="Index3">
    <w:name w:val="index 3"/>
    <w:basedOn w:val="Normal"/>
    <w:next w:val="Normal"/>
    <w:autoRedefine/>
    <w:uiPriority w:val="99"/>
    <w:semiHidden/>
    <w:unhideWhenUsed/>
    <w:rsid w:val="009637A8"/>
    <w:pPr>
      <w:spacing w:after="0"/>
      <w:ind w:left="660" w:hanging="220"/>
    </w:pPr>
  </w:style>
  <w:style w:type="paragraph" w:styleId="Index4">
    <w:name w:val="index 4"/>
    <w:basedOn w:val="Normal"/>
    <w:next w:val="Normal"/>
    <w:autoRedefine/>
    <w:uiPriority w:val="99"/>
    <w:semiHidden/>
    <w:unhideWhenUsed/>
    <w:rsid w:val="009637A8"/>
    <w:pPr>
      <w:spacing w:after="0"/>
      <w:ind w:left="880" w:hanging="220"/>
    </w:pPr>
  </w:style>
  <w:style w:type="paragraph" w:styleId="Index5">
    <w:name w:val="index 5"/>
    <w:basedOn w:val="Normal"/>
    <w:next w:val="Normal"/>
    <w:autoRedefine/>
    <w:uiPriority w:val="99"/>
    <w:semiHidden/>
    <w:unhideWhenUsed/>
    <w:rsid w:val="009637A8"/>
    <w:pPr>
      <w:spacing w:after="0"/>
      <w:ind w:left="1100" w:hanging="220"/>
    </w:pPr>
  </w:style>
  <w:style w:type="paragraph" w:styleId="Index6">
    <w:name w:val="index 6"/>
    <w:basedOn w:val="Normal"/>
    <w:next w:val="Normal"/>
    <w:autoRedefine/>
    <w:uiPriority w:val="99"/>
    <w:semiHidden/>
    <w:unhideWhenUsed/>
    <w:rsid w:val="009637A8"/>
    <w:pPr>
      <w:spacing w:after="0"/>
      <w:ind w:left="1320" w:hanging="220"/>
    </w:pPr>
  </w:style>
  <w:style w:type="paragraph" w:styleId="Index7">
    <w:name w:val="index 7"/>
    <w:basedOn w:val="Normal"/>
    <w:next w:val="Normal"/>
    <w:autoRedefine/>
    <w:uiPriority w:val="99"/>
    <w:semiHidden/>
    <w:unhideWhenUsed/>
    <w:rsid w:val="009637A8"/>
    <w:pPr>
      <w:spacing w:after="0"/>
      <w:ind w:left="1540" w:hanging="220"/>
    </w:pPr>
  </w:style>
  <w:style w:type="paragraph" w:styleId="Index8">
    <w:name w:val="index 8"/>
    <w:basedOn w:val="Normal"/>
    <w:next w:val="Normal"/>
    <w:autoRedefine/>
    <w:uiPriority w:val="99"/>
    <w:semiHidden/>
    <w:unhideWhenUsed/>
    <w:rsid w:val="009637A8"/>
    <w:pPr>
      <w:spacing w:after="0"/>
      <w:ind w:left="1760" w:hanging="220"/>
    </w:pPr>
  </w:style>
  <w:style w:type="paragraph" w:styleId="Index9">
    <w:name w:val="index 9"/>
    <w:basedOn w:val="Normal"/>
    <w:next w:val="Normal"/>
    <w:autoRedefine/>
    <w:uiPriority w:val="99"/>
    <w:semiHidden/>
    <w:unhideWhenUsed/>
    <w:rsid w:val="009637A8"/>
    <w:pPr>
      <w:spacing w:after="0"/>
      <w:ind w:left="1980" w:hanging="220"/>
    </w:pPr>
  </w:style>
  <w:style w:type="paragraph" w:styleId="IndexHeading">
    <w:name w:val="index heading"/>
    <w:basedOn w:val="Normal"/>
    <w:next w:val="Index1"/>
    <w:uiPriority w:val="99"/>
    <w:semiHidden/>
    <w:unhideWhenUsed/>
    <w:rsid w:val="009637A8"/>
    <w:pPr>
      <w:spacing w:after="160" w:line="259" w:lineRule="auto"/>
    </w:pPr>
    <w:rPr>
      <w:rFonts w:eastAsiaTheme="majorEastAsia"/>
      <w:b/>
      <w:bCs/>
    </w:rPr>
  </w:style>
  <w:style w:type="character" w:styleId="IntenseEmphasis">
    <w:name w:val="Intense Emphasis"/>
    <w:basedOn w:val="DefaultParagraphFont"/>
    <w:uiPriority w:val="21"/>
    <w:qFormat/>
    <w:rsid w:val="009637A8"/>
    <w:rPr>
      <w:i/>
      <w:iCs/>
      <w:color w:val="9D85BE" w:themeColor="accent1"/>
    </w:rPr>
  </w:style>
  <w:style w:type="paragraph" w:styleId="IntenseQuote">
    <w:name w:val="Intense Quote"/>
    <w:basedOn w:val="Normal"/>
    <w:next w:val="Normal"/>
    <w:link w:val="IntenseQuoteChar"/>
    <w:uiPriority w:val="30"/>
    <w:qFormat/>
    <w:rsid w:val="009637A8"/>
    <w:pPr>
      <w:pBdr>
        <w:top w:val="single" w:sz="4" w:space="10" w:color="9D85BE" w:themeColor="accent1"/>
        <w:bottom w:val="single" w:sz="4" w:space="10" w:color="9D85BE" w:themeColor="accent1"/>
      </w:pBdr>
      <w:spacing w:before="360" w:after="360" w:line="259" w:lineRule="auto"/>
      <w:ind w:left="864" w:right="864"/>
      <w:jc w:val="center"/>
    </w:pPr>
    <w:rPr>
      <w:i/>
      <w:iCs/>
      <w:color w:val="9D85BE" w:themeColor="accent1"/>
    </w:rPr>
  </w:style>
  <w:style w:type="character" w:customStyle="1" w:styleId="IntenseQuoteChar">
    <w:name w:val="Intense Quote Char"/>
    <w:basedOn w:val="DefaultParagraphFont"/>
    <w:link w:val="IntenseQuote"/>
    <w:uiPriority w:val="30"/>
    <w:rsid w:val="009637A8"/>
    <w:rPr>
      <w:rFonts w:ascii="Arial" w:hAnsi="Arial" w:cs="Arial"/>
      <w:i/>
      <w:iCs/>
      <w:color w:val="9D85BE" w:themeColor="accent1"/>
    </w:rPr>
  </w:style>
  <w:style w:type="character" w:styleId="IntenseReference">
    <w:name w:val="Intense Reference"/>
    <w:basedOn w:val="DefaultParagraphFont"/>
    <w:uiPriority w:val="32"/>
    <w:qFormat/>
    <w:rsid w:val="009637A8"/>
    <w:rPr>
      <w:b/>
      <w:bCs/>
      <w:smallCaps/>
      <w:color w:val="9D85BE" w:themeColor="accent1"/>
      <w:spacing w:val="5"/>
    </w:rPr>
  </w:style>
  <w:style w:type="table" w:styleId="LightGrid">
    <w:name w:val="Light Grid"/>
    <w:basedOn w:val="TableNormal"/>
    <w:uiPriority w:val="62"/>
    <w:semiHidden/>
    <w:unhideWhenUsed/>
    <w:rsid w:val="009637A8"/>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9637A8"/>
    <w:pPr>
      <w:spacing w:after="0" w:line="240" w:lineRule="auto"/>
    </w:pPr>
    <w:tblPr>
      <w:tblStyleRowBandSize w:val="1"/>
      <w:tblStyleColBandSize w:val="1"/>
      <w:tblBorders>
        <w:top w:val="single" w:sz="8" w:space="0" w:color="9D85BE" w:themeColor="accent1"/>
        <w:left w:val="single" w:sz="8" w:space="0" w:color="9D85BE" w:themeColor="accent1"/>
        <w:bottom w:val="single" w:sz="8" w:space="0" w:color="9D85BE" w:themeColor="accent1"/>
        <w:right w:val="single" w:sz="8" w:space="0" w:color="9D85BE" w:themeColor="accent1"/>
        <w:insideH w:val="single" w:sz="8" w:space="0" w:color="9D85BE" w:themeColor="accent1"/>
        <w:insideV w:val="single" w:sz="8" w:space="0" w:color="9D85BE"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D85BE" w:themeColor="accent1"/>
          <w:left w:val="single" w:sz="8" w:space="0" w:color="9D85BE" w:themeColor="accent1"/>
          <w:bottom w:val="single" w:sz="18" w:space="0" w:color="9D85BE" w:themeColor="accent1"/>
          <w:right w:val="single" w:sz="8" w:space="0" w:color="9D85BE" w:themeColor="accent1"/>
          <w:insideH w:val="nil"/>
          <w:insideV w:val="single" w:sz="8" w:space="0" w:color="9D85BE"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D85BE" w:themeColor="accent1"/>
          <w:left w:val="single" w:sz="8" w:space="0" w:color="9D85BE" w:themeColor="accent1"/>
          <w:bottom w:val="single" w:sz="8" w:space="0" w:color="9D85BE" w:themeColor="accent1"/>
          <w:right w:val="single" w:sz="8" w:space="0" w:color="9D85BE" w:themeColor="accent1"/>
          <w:insideH w:val="nil"/>
          <w:insideV w:val="single" w:sz="8" w:space="0" w:color="9D85BE"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D85BE" w:themeColor="accent1"/>
          <w:left w:val="single" w:sz="8" w:space="0" w:color="9D85BE" w:themeColor="accent1"/>
          <w:bottom w:val="single" w:sz="8" w:space="0" w:color="9D85BE" w:themeColor="accent1"/>
          <w:right w:val="single" w:sz="8" w:space="0" w:color="9D85BE" w:themeColor="accent1"/>
        </w:tcBorders>
      </w:tcPr>
    </w:tblStylePr>
    <w:tblStylePr w:type="band1Vert">
      <w:tblPr/>
      <w:tcPr>
        <w:tcBorders>
          <w:top w:val="single" w:sz="8" w:space="0" w:color="9D85BE" w:themeColor="accent1"/>
          <w:left w:val="single" w:sz="8" w:space="0" w:color="9D85BE" w:themeColor="accent1"/>
          <w:bottom w:val="single" w:sz="8" w:space="0" w:color="9D85BE" w:themeColor="accent1"/>
          <w:right w:val="single" w:sz="8" w:space="0" w:color="9D85BE" w:themeColor="accent1"/>
        </w:tcBorders>
        <w:shd w:val="clear" w:color="auto" w:fill="E6E0EF" w:themeFill="accent1" w:themeFillTint="3F"/>
      </w:tcPr>
    </w:tblStylePr>
    <w:tblStylePr w:type="band1Horz">
      <w:tblPr/>
      <w:tcPr>
        <w:tcBorders>
          <w:top w:val="single" w:sz="8" w:space="0" w:color="9D85BE" w:themeColor="accent1"/>
          <w:left w:val="single" w:sz="8" w:space="0" w:color="9D85BE" w:themeColor="accent1"/>
          <w:bottom w:val="single" w:sz="8" w:space="0" w:color="9D85BE" w:themeColor="accent1"/>
          <w:right w:val="single" w:sz="8" w:space="0" w:color="9D85BE" w:themeColor="accent1"/>
          <w:insideV w:val="single" w:sz="8" w:space="0" w:color="9D85BE" w:themeColor="accent1"/>
        </w:tcBorders>
        <w:shd w:val="clear" w:color="auto" w:fill="E6E0EF" w:themeFill="accent1" w:themeFillTint="3F"/>
      </w:tcPr>
    </w:tblStylePr>
    <w:tblStylePr w:type="band2Horz">
      <w:tblPr/>
      <w:tcPr>
        <w:tcBorders>
          <w:top w:val="single" w:sz="8" w:space="0" w:color="9D85BE" w:themeColor="accent1"/>
          <w:left w:val="single" w:sz="8" w:space="0" w:color="9D85BE" w:themeColor="accent1"/>
          <w:bottom w:val="single" w:sz="8" w:space="0" w:color="9D85BE" w:themeColor="accent1"/>
          <w:right w:val="single" w:sz="8" w:space="0" w:color="9D85BE" w:themeColor="accent1"/>
          <w:insideV w:val="single" w:sz="8" w:space="0" w:color="9D85BE" w:themeColor="accent1"/>
        </w:tcBorders>
      </w:tcPr>
    </w:tblStylePr>
  </w:style>
  <w:style w:type="table" w:styleId="LightGrid-Accent2">
    <w:name w:val="Light Grid Accent 2"/>
    <w:basedOn w:val="TableNormal"/>
    <w:uiPriority w:val="62"/>
    <w:semiHidden/>
    <w:unhideWhenUsed/>
    <w:rsid w:val="009637A8"/>
    <w:pPr>
      <w:spacing w:after="0" w:line="240" w:lineRule="auto"/>
    </w:pPr>
    <w:tblPr>
      <w:tblStyleRowBandSize w:val="1"/>
      <w:tblStyleColBandSize w:val="1"/>
      <w:tblBorders>
        <w:top w:val="single" w:sz="8" w:space="0" w:color="7D7D7D" w:themeColor="accent2"/>
        <w:left w:val="single" w:sz="8" w:space="0" w:color="7D7D7D" w:themeColor="accent2"/>
        <w:bottom w:val="single" w:sz="8" w:space="0" w:color="7D7D7D" w:themeColor="accent2"/>
        <w:right w:val="single" w:sz="8" w:space="0" w:color="7D7D7D" w:themeColor="accent2"/>
        <w:insideH w:val="single" w:sz="8" w:space="0" w:color="7D7D7D" w:themeColor="accent2"/>
        <w:insideV w:val="single" w:sz="8" w:space="0" w:color="7D7D7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D7D7D" w:themeColor="accent2"/>
          <w:left w:val="single" w:sz="8" w:space="0" w:color="7D7D7D" w:themeColor="accent2"/>
          <w:bottom w:val="single" w:sz="18" w:space="0" w:color="7D7D7D" w:themeColor="accent2"/>
          <w:right w:val="single" w:sz="8" w:space="0" w:color="7D7D7D" w:themeColor="accent2"/>
          <w:insideH w:val="nil"/>
          <w:insideV w:val="single" w:sz="8" w:space="0" w:color="7D7D7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D7D7D" w:themeColor="accent2"/>
          <w:left w:val="single" w:sz="8" w:space="0" w:color="7D7D7D" w:themeColor="accent2"/>
          <w:bottom w:val="single" w:sz="8" w:space="0" w:color="7D7D7D" w:themeColor="accent2"/>
          <w:right w:val="single" w:sz="8" w:space="0" w:color="7D7D7D" w:themeColor="accent2"/>
          <w:insideH w:val="nil"/>
          <w:insideV w:val="single" w:sz="8" w:space="0" w:color="7D7D7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D7D7D" w:themeColor="accent2"/>
          <w:left w:val="single" w:sz="8" w:space="0" w:color="7D7D7D" w:themeColor="accent2"/>
          <w:bottom w:val="single" w:sz="8" w:space="0" w:color="7D7D7D" w:themeColor="accent2"/>
          <w:right w:val="single" w:sz="8" w:space="0" w:color="7D7D7D" w:themeColor="accent2"/>
        </w:tcBorders>
      </w:tcPr>
    </w:tblStylePr>
    <w:tblStylePr w:type="band1Vert">
      <w:tblPr/>
      <w:tcPr>
        <w:tcBorders>
          <w:top w:val="single" w:sz="8" w:space="0" w:color="7D7D7D" w:themeColor="accent2"/>
          <w:left w:val="single" w:sz="8" w:space="0" w:color="7D7D7D" w:themeColor="accent2"/>
          <w:bottom w:val="single" w:sz="8" w:space="0" w:color="7D7D7D" w:themeColor="accent2"/>
          <w:right w:val="single" w:sz="8" w:space="0" w:color="7D7D7D" w:themeColor="accent2"/>
        </w:tcBorders>
        <w:shd w:val="clear" w:color="auto" w:fill="DEDEDE" w:themeFill="accent2" w:themeFillTint="3F"/>
      </w:tcPr>
    </w:tblStylePr>
    <w:tblStylePr w:type="band1Horz">
      <w:tblPr/>
      <w:tcPr>
        <w:tcBorders>
          <w:top w:val="single" w:sz="8" w:space="0" w:color="7D7D7D" w:themeColor="accent2"/>
          <w:left w:val="single" w:sz="8" w:space="0" w:color="7D7D7D" w:themeColor="accent2"/>
          <w:bottom w:val="single" w:sz="8" w:space="0" w:color="7D7D7D" w:themeColor="accent2"/>
          <w:right w:val="single" w:sz="8" w:space="0" w:color="7D7D7D" w:themeColor="accent2"/>
          <w:insideV w:val="single" w:sz="8" w:space="0" w:color="7D7D7D" w:themeColor="accent2"/>
        </w:tcBorders>
        <w:shd w:val="clear" w:color="auto" w:fill="DEDEDE" w:themeFill="accent2" w:themeFillTint="3F"/>
      </w:tcPr>
    </w:tblStylePr>
    <w:tblStylePr w:type="band2Horz">
      <w:tblPr/>
      <w:tcPr>
        <w:tcBorders>
          <w:top w:val="single" w:sz="8" w:space="0" w:color="7D7D7D" w:themeColor="accent2"/>
          <w:left w:val="single" w:sz="8" w:space="0" w:color="7D7D7D" w:themeColor="accent2"/>
          <w:bottom w:val="single" w:sz="8" w:space="0" w:color="7D7D7D" w:themeColor="accent2"/>
          <w:right w:val="single" w:sz="8" w:space="0" w:color="7D7D7D" w:themeColor="accent2"/>
          <w:insideV w:val="single" w:sz="8" w:space="0" w:color="7D7D7D" w:themeColor="accent2"/>
        </w:tcBorders>
      </w:tcPr>
    </w:tblStylePr>
  </w:style>
  <w:style w:type="table" w:styleId="LightGrid-Accent3">
    <w:name w:val="Light Grid Accent 3"/>
    <w:basedOn w:val="TableNormal"/>
    <w:uiPriority w:val="62"/>
    <w:semiHidden/>
    <w:unhideWhenUsed/>
    <w:rsid w:val="009637A8"/>
    <w:pPr>
      <w:spacing w:after="0" w:line="240" w:lineRule="auto"/>
    </w:pPr>
    <w:tblPr>
      <w:tblStyleRowBandSize w:val="1"/>
      <w:tblStyleColBandSize w:val="1"/>
      <w:tblBorders>
        <w:top w:val="single" w:sz="8" w:space="0" w:color="C8C8C8" w:themeColor="accent3"/>
        <w:left w:val="single" w:sz="8" w:space="0" w:color="C8C8C8" w:themeColor="accent3"/>
        <w:bottom w:val="single" w:sz="8" w:space="0" w:color="C8C8C8" w:themeColor="accent3"/>
        <w:right w:val="single" w:sz="8" w:space="0" w:color="C8C8C8" w:themeColor="accent3"/>
        <w:insideH w:val="single" w:sz="8" w:space="0" w:color="C8C8C8" w:themeColor="accent3"/>
        <w:insideV w:val="single" w:sz="8" w:space="0" w:color="C8C8C8"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8C8C8" w:themeColor="accent3"/>
          <w:left w:val="single" w:sz="8" w:space="0" w:color="C8C8C8" w:themeColor="accent3"/>
          <w:bottom w:val="single" w:sz="18" w:space="0" w:color="C8C8C8" w:themeColor="accent3"/>
          <w:right w:val="single" w:sz="8" w:space="0" w:color="C8C8C8" w:themeColor="accent3"/>
          <w:insideH w:val="nil"/>
          <w:insideV w:val="single" w:sz="8" w:space="0" w:color="C8C8C8"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8C8C8" w:themeColor="accent3"/>
          <w:left w:val="single" w:sz="8" w:space="0" w:color="C8C8C8" w:themeColor="accent3"/>
          <w:bottom w:val="single" w:sz="8" w:space="0" w:color="C8C8C8" w:themeColor="accent3"/>
          <w:right w:val="single" w:sz="8" w:space="0" w:color="C8C8C8" w:themeColor="accent3"/>
          <w:insideH w:val="nil"/>
          <w:insideV w:val="single" w:sz="8" w:space="0" w:color="C8C8C8"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8C8C8" w:themeColor="accent3"/>
          <w:left w:val="single" w:sz="8" w:space="0" w:color="C8C8C8" w:themeColor="accent3"/>
          <w:bottom w:val="single" w:sz="8" w:space="0" w:color="C8C8C8" w:themeColor="accent3"/>
          <w:right w:val="single" w:sz="8" w:space="0" w:color="C8C8C8" w:themeColor="accent3"/>
        </w:tcBorders>
      </w:tcPr>
    </w:tblStylePr>
    <w:tblStylePr w:type="band1Vert">
      <w:tblPr/>
      <w:tcPr>
        <w:tcBorders>
          <w:top w:val="single" w:sz="8" w:space="0" w:color="C8C8C8" w:themeColor="accent3"/>
          <w:left w:val="single" w:sz="8" w:space="0" w:color="C8C8C8" w:themeColor="accent3"/>
          <w:bottom w:val="single" w:sz="8" w:space="0" w:color="C8C8C8" w:themeColor="accent3"/>
          <w:right w:val="single" w:sz="8" w:space="0" w:color="C8C8C8" w:themeColor="accent3"/>
        </w:tcBorders>
        <w:shd w:val="clear" w:color="auto" w:fill="F1F1F1" w:themeFill="accent3" w:themeFillTint="3F"/>
      </w:tcPr>
    </w:tblStylePr>
    <w:tblStylePr w:type="band1Horz">
      <w:tblPr/>
      <w:tcPr>
        <w:tcBorders>
          <w:top w:val="single" w:sz="8" w:space="0" w:color="C8C8C8" w:themeColor="accent3"/>
          <w:left w:val="single" w:sz="8" w:space="0" w:color="C8C8C8" w:themeColor="accent3"/>
          <w:bottom w:val="single" w:sz="8" w:space="0" w:color="C8C8C8" w:themeColor="accent3"/>
          <w:right w:val="single" w:sz="8" w:space="0" w:color="C8C8C8" w:themeColor="accent3"/>
          <w:insideV w:val="single" w:sz="8" w:space="0" w:color="C8C8C8" w:themeColor="accent3"/>
        </w:tcBorders>
        <w:shd w:val="clear" w:color="auto" w:fill="F1F1F1" w:themeFill="accent3" w:themeFillTint="3F"/>
      </w:tcPr>
    </w:tblStylePr>
    <w:tblStylePr w:type="band2Horz">
      <w:tblPr/>
      <w:tcPr>
        <w:tcBorders>
          <w:top w:val="single" w:sz="8" w:space="0" w:color="C8C8C8" w:themeColor="accent3"/>
          <w:left w:val="single" w:sz="8" w:space="0" w:color="C8C8C8" w:themeColor="accent3"/>
          <w:bottom w:val="single" w:sz="8" w:space="0" w:color="C8C8C8" w:themeColor="accent3"/>
          <w:right w:val="single" w:sz="8" w:space="0" w:color="C8C8C8" w:themeColor="accent3"/>
          <w:insideV w:val="single" w:sz="8" w:space="0" w:color="C8C8C8" w:themeColor="accent3"/>
        </w:tcBorders>
      </w:tcPr>
    </w:tblStylePr>
  </w:style>
  <w:style w:type="table" w:styleId="LightGrid-Accent4">
    <w:name w:val="Light Grid Accent 4"/>
    <w:basedOn w:val="TableNormal"/>
    <w:uiPriority w:val="62"/>
    <w:semiHidden/>
    <w:unhideWhenUsed/>
    <w:rsid w:val="009637A8"/>
    <w:pPr>
      <w:spacing w:after="0" w:line="240" w:lineRule="auto"/>
    </w:pPr>
    <w:tblPr>
      <w:tblStyleRowBandSize w:val="1"/>
      <w:tblStyleColBandSize w:val="1"/>
      <w:tblBorders>
        <w:top w:val="single" w:sz="8" w:space="0" w:color="006A9F" w:themeColor="accent4"/>
        <w:left w:val="single" w:sz="8" w:space="0" w:color="006A9F" w:themeColor="accent4"/>
        <w:bottom w:val="single" w:sz="8" w:space="0" w:color="006A9F" w:themeColor="accent4"/>
        <w:right w:val="single" w:sz="8" w:space="0" w:color="006A9F" w:themeColor="accent4"/>
        <w:insideH w:val="single" w:sz="8" w:space="0" w:color="006A9F" w:themeColor="accent4"/>
        <w:insideV w:val="single" w:sz="8" w:space="0" w:color="006A9F"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6A9F" w:themeColor="accent4"/>
          <w:left w:val="single" w:sz="8" w:space="0" w:color="006A9F" w:themeColor="accent4"/>
          <w:bottom w:val="single" w:sz="18" w:space="0" w:color="006A9F" w:themeColor="accent4"/>
          <w:right w:val="single" w:sz="8" w:space="0" w:color="006A9F" w:themeColor="accent4"/>
          <w:insideH w:val="nil"/>
          <w:insideV w:val="single" w:sz="8" w:space="0" w:color="006A9F"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6A9F" w:themeColor="accent4"/>
          <w:left w:val="single" w:sz="8" w:space="0" w:color="006A9F" w:themeColor="accent4"/>
          <w:bottom w:val="single" w:sz="8" w:space="0" w:color="006A9F" w:themeColor="accent4"/>
          <w:right w:val="single" w:sz="8" w:space="0" w:color="006A9F" w:themeColor="accent4"/>
          <w:insideH w:val="nil"/>
          <w:insideV w:val="single" w:sz="8" w:space="0" w:color="006A9F"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6A9F" w:themeColor="accent4"/>
          <w:left w:val="single" w:sz="8" w:space="0" w:color="006A9F" w:themeColor="accent4"/>
          <w:bottom w:val="single" w:sz="8" w:space="0" w:color="006A9F" w:themeColor="accent4"/>
          <w:right w:val="single" w:sz="8" w:space="0" w:color="006A9F" w:themeColor="accent4"/>
        </w:tcBorders>
      </w:tcPr>
    </w:tblStylePr>
    <w:tblStylePr w:type="band1Vert">
      <w:tblPr/>
      <w:tcPr>
        <w:tcBorders>
          <w:top w:val="single" w:sz="8" w:space="0" w:color="006A9F" w:themeColor="accent4"/>
          <w:left w:val="single" w:sz="8" w:space="0" w:color="006A9F" w:themeColor="accent4"/>
          <w:bottom w:val="single" w:sz="8" w:space="0" w:color="006A9F" w:themeColor="accent4"/>
          <w:right w:val="single" w:sz="8" w:space="0" w:color="006A9F" w:themeColor="accent4"/>
        </w:tcBorders>
        <w:shd w:val="clear" w:color="auto" w:fill="A8E2FF" w:themeFill="accent4" w:themeFillTint="3F"/>
      </w:tcPr>
    </w:tblStylePr>
    <w:tblStylePr w:type="band1Horz">
      <w:tblPr/>
      <w:tcPr>
        <w:tcBorders>
          <w:top w:val="single" w:sz="8" w:space="0" w:color="006A9F" w:themeColor="accent4"/>
          <w:left w:val="single" w:sz="8" w:space="0" w:color="006A9F" w:themeColor="accent4"/>
          <w:bottom w:val="single" w:sz="8" w:space="0" w:color="006A9F" w:themeColor="accent4"/>
          <w:right w:val="single" w:sz="8" w:space="0" w:color="006A9F" w:themeColor="accent4"/>
          <w:insideV w:val="single" w:sz="8" w:space="0" w:color="006A9F" w:themeColor="accent4"/>
        </w:tcBorders>
        <w:shd w:val="clear" w:color="auto" w:fill="A8E2FF" w:themeFill="accent4" w:themeFillTint="3F"/>
      </w:tcPr>
    </w:tblStylePr>
    <w:tblStylePr w:type="band2Horz">
      <w:tblPr/>
      <w:tcPr>
        <w:tcBorders>
          <w:top w:val="single" w:sz="8" w:space="0" w:color="006A9F" w:themeColor="accent4"/>
          <w:left w:val="single" w:sz="8" w:space="0" w:color="006A9F" w:themeColor="accent4"/>
          <w:bottom w:val="single" w:sz="8" w:space="0" w:color="006A9F" w:themeColor="accent4"/>
          <w:right w:val="single" w:sz="8" w:space="0" w:color="006A9F" w:themeColor="accent4"/>
          <w:insideV w:val="single" w:sz="8" w:space="0" w:color="006A9F" w:themeColor="accent4"/>
        </w:tcBorders>
      </w:tcPr>
    </w:tblStylePr>
  </w:style>
  <w:style w:type="table" w:styleId="LightGrid-Accent5">
    <w:name w:val="Light Grid Accent 5"/>
    <w:basedOn w:val="TableNormal"/>
    <w:uiPriority w:val="62"/>
    <w:semiHidden/>
    <w:unhideWhenUsed/>
    <w:rsid w:val="009637A8"/>
    <w:pPr>
      <w:spacing w:after="0" w:line="240" w:lineRule="auto"/>
    </w:pPr>
    <w:tblPr>
      <w:tblStyleRowBandSize w:val="1"/>
      <w:tblStyleColBandSize w:val="1"/>
      <w:tblBorders>
        <w:top w:val="single" w:sz="8" w:space="0" w:color="7BBDD6" w:themeColor="accent5"/>
        <w:left w:val="single" w:sz="8" w:space="0" w:color="7BBDD6" w:themeColor="accent5"/>
        <w:bottom w:val="single" w:sz="8" w:space="0" w:color="7BBDD6" w:themeColor="accent5"/>
        <w:right w:val="single" w:sz="8" w:space="0" w:color="7BBDD6" w:themeColor="accent5"/>
        <w:insideH w:val="single" w:sz="8" w:space="0" w:color="7BBDD6" w:themeColor="accent5"/>
        <w:insideV w:val="single" w:sz="8" w:space="0" w:color="7BBDD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BBDD6" w:themeColor="accent5"/>
          <w:left w:val="single" w:sz="8" w:space="0" w:color="7BBDD6" w:themeColor="accent5"/>
          <w:bottom w:val="single" w:sz="18" w:space="0" w:color="7BBDD6" w:themeColor="accent5"/>
          <w:right w:val="single" w:sz="8" w:space="0" w:color="7BBDD6" w:themeColor="accent5"/>
          <w:insideH w:val="nil"/>
          <w:insideV w:val="single" w:sz="8" w:space="0" w:color="7BBDD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BBDD6" w:themeColor="accent5"/>
          <w:left w:val="single" w:sz="8" w:space="0" w:color="7BBDD6" w:themeColor="accent5"/>
          <w:bottom w:val="single" w:sz="8" w:space="0" w:color="7BBDD6" w:themeColor="accent5"/>
          <w:right w:val="single" w:sz="8" w:space="0" w:color="7BBDD6" w:themeColor="accent5"/>
          <w:insideH w:val="nil"/>
          <w:insideV w:val="single" w:sz="8" w:space="0" w:color="7BBDD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BBDD6" w:themeColor="accent5"/>
          <w:left w:val="single" w:sz="8" w:space="0" w:color="7BBDD6" w:themeColor="accent5"/>
          <w:bottom w:val="single" w:sz="8" w:space="0" w:color="7BBDD6" w:themeColor="accent5"/>
          <w:right w:val="single" w:sz="8" w:space="0" w:color="7BBDD6" w:themeColor="accent5"/>
        </w:tcBorders>
      </w:tcPr>
    </w:tblStylePr>
    <w:tblStylePr w:type="band1Vert">
      <w:tblPr/>
      <w:tcPr>
        <w:tcBorders>
          <w:top w:val="single" w:sz="8" w:space="0" w:color="7BBDD6" w:themeColor="accent5"/>
          <w:left w:val="single" w:sz="8" w:space="0" w:color="7BBDD6" w:themeColor="accent5"/>
          <w:bottom w:val="single" w:sz="8" w:space="0" w:color="7BBDD6" w:themeColor="accent5"/>
          <w:right w:val="single" w:sz="8" w:space="0" w:color="7BBDD6" w:themeColor="accent5"/>
        </w:tcBorders>
        <w:shd w:val="clear" w:color="auto" w:fill="DEEEF4" w:themeFill="accent5" w:themeFillTint="3F"/>
      </w:tcPr>
    </w:tblStylePr>
    <w:tblStylePr w:type="band1Horz">
      <w:tblPr/>
      <w:tcPr>
        <w:tcBorders>
          <w:top w:val="single" w:sz="8" w:space="0" w:color="7BBDD6" w:themeColor="accent5"/>
          <w:left w:val="single" w:sz="8" w:space="0" w:color="7BBDD6" w:themeColor="accent5"/>
          <w:bottom w:val="single" w:sz="8" w:space="0" w:color="7BBDD6" w:themeColor="accent5"/>
          <w:right w:val="single" w:sz="8" w:space="0" w:color="7BBDD6" w:themeColor="accent5"/>
          <w:insideV w:val="single" w:sz="8" w:space="0" w:color="7BBDD6" w:themeColor="accent5"/>
        </w:tcBorders>
        <w:shd w:val="clear" w:color="auto" w:fill="DEEEF4" w:themeFill="accent5" w:themeFillTint="3F"/>
      </w:tcPr>
    </w:tblStylePr>
    <w:tblStylePr w:type="band2Horz">
      <w:tblPr/>
      <w:tcPr>
        <w:tcBorders>
          <w:top w:val="single" w:sz="8" w:space="0" w:color="7BBDD6" w:themeColor="accent5"/>
          <w:left w:val="single" w:sz="8" w:space="0" w:color="7BBDD6" w:themeColor="accent5"/>
          <w:bottom w:val="single" w:sz="8" w:space="0" w:color="7BBDD6" w:themeColor="accent5"/>
          <w:right w:val="single" w:sz="8" w:space="0" w:color="7BBDD6" w:themeColor="accent5"/>
          <w:insideV w:val="single" w:sz="8" w:space="0" w:color="7BBDD6" w:themeColor="accent5"/>
        </w:tcBorders>
      </w:tcPr>
    </w:tblStylePr>
  </w:style>
  <w:style w:type="table" w:styleId="LightGrid-Accent6">
    <w:name w:val="Light Grid Accent 6"/>
    <w:basedOn w:val="TableNormal"/>
    <w:uiPriority w:val="62"/>
    <w:semiHidden/>
    <w:unhideWhenUsed/>
    <w:rsid w:val="009637A8"/>
    <w:pPr>
      <w:spacing w:after="0" w:line="240" w:lineRule="auto"/>
    </w:pPr>
    <w:tblPr>
      <w:tblStyleRowBandSize w:val="1"/>
      <w:tblStyleColBandSize w:val="1"/>
      <w:tblBorders>
        <w:top w:val="single" w:sz="8" w:space="0" w:color="428D52" w:themeColor="accent6"/>
        <w:left w:val="single" w:sz="8" w:space="0" w:color="428D52" w:themeColor="accent6"/>
        <w:bottom w:val="single" w:sz="8" w:space="0" w:color="428D52" w:themeColor="accent6"/>
        <w:right w:val="single" w:sz="8" w:space="0" w:color="428D52" w:themeColor="accent6"/>
        <w:insideH w:val="single" w:sz="8" w:space="0" w:color="428D52" w:themeColor="accent6"/>
        <w:insideV w:val="single" w:sz="8" w:space="0" w:color="428D52"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28D52" w:themeColor="accent6"/>
          <w:left w:val="single" w:sz="8" w:space="0" w:color="428D52" w:themeColor="accent6"/>
          <w:bottom w:val="single" w:sz="18" w:space="0" w:color="428D52" w:themeColor="accent6"/>
          <w:right w:val="single" w:sz="8" w:space="0" w:color="428D52" w:themeColor="accent6"/>
          <w:insideH w:val="nil"/>
          <w:insideV w:val="single" w:sz="8" w:space="0" w:color="428D52"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28D52" w:themeColor="accent6"/>
          <w:left w:val="single" w:sz="8" w:space="0" w:color="428D52" w:themeColor="accent6"/>
          <w:bottom w:val="single" w:sz="8" w:space="0" w:color="428D52" w:themeColor="accent6"/>
          <w:right w:val="single" w:sz="8" w:space="0" w:color="428D52" w:themeColor="accent6"/>
          <w:insideH w:val="nil"/>
          <w:insideV w:val="single" w:sz="8" w:space="0" w:color="428D52"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28D52" w:themeColor="accent6"/>
          <w:left w:val="single" w:sz="8" w:space="0" w:color="428D52" w:themeColor="accent6"/>
          <w:bottom w:val="single" w:sz="8" w:space="0" w:color="428D52" w:themeColor="accent6"/>
          <w:right w:val="single" w:sz="8" w:space="0" w:color="428D52" w:themeColor="accent6"/>
        </w:tcBorders>
      </w:tcPr>
    </w:tblStylePr>
    <w:tblStylePr w:type="band1Vert">
      <w:tblPr/>
      <w:tcPr>
        <w:tcBorders>
          <w:top w:val="single" w:sz="8" w:space="0" w:color="428D52" w:themeColor="accent6"/>
          <w:left w:val="single" w:sz="8" w:space="0" w:color="428D52" w:themeColor="accent6"/>
          <w:bottom w:val="single" w:sz="8" w:space="0" w:color="428D52" w:themeColor="accent6"/>
          <w:right w:val="single" w:sz="8" w:space="0" w:color="428D52" w:themeColor="accent6"/>
        </w:tcBorders>
        <w:shd w:val="clear" w:color="auto" w:fill="CBE7D1" w:themeFill="accent6" w:themeFillTint="3F"/>
      </w:tcPr>
    </w:tblStylePr>
    <w:tblStylePr w:type="band1Horz">
      <w:tblPr/>
      <w:tcPr>
        <w:tcBorders>
          <w:top w:val="single" w:sz="8" w:space="0" w:color="428D52" w:themeColor="accent6"/>
          <w:left w:val="single" w:sz="8" w:space="0" w:color="428D52" w:themeColor="accent6"/>
          <w:bottom w:val="single" w:sz="8" w:space="0" w:color="428D52" w:themeColor="accent6"/>
          <w:right w:val="single" w:sz="8" w:space="0" w:color="428D52" w:themeColor="accent6"/>
          <w:insideV w:val="single" w:sz="8" w:space="0" w:color="428D52" w:themeColor="accent6"/>
        </w:tcBorders>
        <w:shd w:val="clear" w:color="auto" w:fill="CBE7D1" w:themeFill="accent6" w:themeFillTint="3F"/>
      </w:tcPr>
    </w:tblStylePr>
    <w:tblStylePr w:type="band2Horz">
      <w:tblPr/>
      <w:tcPr>
        <w:tcBorders>
          <w:top w:val="single" w:sz="8" w:space="0" w:color="428D52" w:themeColor="accent6"/>
          <w:left w:val="single" w:sz="8" w:space="0" w:color="428D52" w:themeColor="accent6"/>
          <w:bottom w:val="single" w:sz="8" w:space="0" w:color="428D52" w:themeColor="accent6"/>
          <w:right w:val="single" w:sz="8" w:space="0" w:color="428D52" w:themeColor="accent6"/>
          <w:insideV w:val="single" w:sz="8" w:space="0" w:color="428D52" w:themeColor="accent6"/>
        </w:tcBorders>
      </w:tcPr>
    </w:tblStylePr>
  </w:style>
  <w:style w:type="table" w:styleId="LightList">
    <w:name w:val="Light List"/>
    <w:basedOn w:val="TableNormal"/>
    <w:uiPriority w:val="61"/>
    <w:semiHidden/>
    <w:unhideWhenUsed/>
    <w:rsid w:val="009637A8"/>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9637A8"/>
    <w:pPr>
      <w:spacing w:after="0" w:line="240" w:lineRule="auto"/>
    </w:pPr>
    <w:tblPr>
      <w:tblStyleRowBandSize w:val="1"/>
      <w:tblStyleColBandSize w:val="1"/>
      <w:tblBorders>
        <w:top w:val="single" w:sz="8" w:space="0" w:color="9D85BE" w:themeColor="accent1"/>
        <w:left w:val="single" w:sz="8" w:space="0" w:color="9D85BE" w:themeColor="accent1"/>
        <w:bottom w:val="single" w:sz="8" w:space="0" w:color="9D85BE" w:themeColor="accent1"/>
        <w:right w:val="single" w:sz="8" w:space="0" w:color="9D85BE" w:themeColor="accent1"/>
      </w:tblBorders>
    </w:tblPr>
    <w:tblStylePr w:type="firstRow">
      <w:pPr>
        <w:spacing w:before="0" w:after="0" w:line="240" w:lineRule="auto"/>
      </w:pPr>
      <w:rPr>
        <w:b/>
        <w:bCs/>
        <w:color w:val="FFFFFF" w:themeColor="background1"/>
      </w:rPr>
      <w:tblPr/>
      <w:tcPr>
        <w:shd w:val="clear" w:color="auto" w:fill="9D85BE" w:themeFill="accent1"/>
      </w:tcPr>
    </w:tblStylePr>
    <w:tblStylePr w:type="lastRow">
      <w:pPr>
        <w:spacing w:before="0" w:after="0" w:line="240" w:lineRule="auto"/>
      </w:pPr>
      <w:rPr>
        <w:b/>
        <w:bCs/>
      </w:rPr>
      <w:tblPr/>
      <w:tcPr>
        <w:tcBorders>
          <w:top w:val="double" w:sz="6" w:space="0" w:color="9D85BE" w:themeColor="accent1"/>
          <w:left w:val="single" w:sz="8" w:space="0" w:color="9D85BE" w:themeColor="accent1"/>
          <w:bottom w:val="single" w:sz="8" w:space="0" w:color="9D85BE" w:themeColor="accent1"/>
          <w:right w:val="single" w:sz="8" w:space="0" w:color="9D85BE" w:themeColor="accent1"/>
        </w:tcBorders>
      </w:tcPr>
    </w:tblStylePr>
    <w:tblStylePr w:type="firstCol">
      <w:rPr>
        <w:b/>
        <w:bCs/>
      </w:rPr>
    </w:tblStylePr>
    <w:tblStylePr w:type="lastCol">
      <w:rPr>
        <w:b/>
        <w:bCs/>
      </w:rPr>
    </w:tblStylePr>
    <w:tblStylePr w:type="band1Vert">
      <w:tblPr/>
      <w:tcPr>
        <w:tcBorders>
          <w:top w:val="single" w:sz="8" w:space="0" w:color="9D85BE" w:themeColor="accent1"/>
          <w:left w:val="single" w:sz="8" w:space="0" w:color="9D85BE" w:themeColor="accent1"/>
          <w:bottom w:val="single" w:sz="8" w:space="0" w:color="9D85BE" w:themeColor="accent1"/>
          <w:right w:val="single" w:sz="8" w:space="0" w:color="9D85BE" w:themeColor="accent1"/>
        </w:tcBorders>
      </w:tcPr>
    </w:tblStylePr>
    <w:tblStylePr w:type="band1Horz">
      <w:tblPr/>
      <w:tcPr>
        <w:tcBorders>
          <w:top w:val="single" w:sz="8" w:space="0" w:color="9D85BE" w:themeColor="accent1"/>
          <w:left w:val="single" w:sz="8" w:space="0" w:color="9D85BE" w:themeColor="accent1"/>
          <w:bottom w:val="single" w:sz="8" w:space="0" w:color="9D85BE" w:themeColor="accent1"/>
          <w:right w:val="single" w:sz="8" w:space="0" w:color="9D85BE" w:themeColor="accent1"/>
        </w:tcBorders>
      </w:tcPr>
    </w:tblStylePr>
  </w:style>
  <w:style w:type="table" w:styleId="LightList-Accent2">
    <w:name w:val="Light List Accent 2"/>
    <w:basedOn w:val="TableNormal"/>
    <w:uiPriority w:val="61"/>
    <w:semiHidden/>
    <w:unhideWhenUsed/>
    <w:rsid w:val="009637A8"/>
    <w:pPr>
      <w:spacing w:after="0" w:line="240" w:lineRule="auto"/>
    </w:pPr>
    <w:tblPr>
      <w:tblStyleRowBandSize w:val="1"/>
      <w:tblStyleColBandSize w:val="1"/>
      <w:tblBorders>
        <w:top w:val="single" w:sz="8" w:space="0" w:color="7D7D7D" w:themeColor="accent2"/>
        <w:left w:val="single" w:sz="8" w:space="0" w:color="7D7D7D" w:themeColor="accent2"/>
        <w:bottom w:val="single" w:sz="8" w:space="0" w:color="7D7D7D" w:themeColor="accent2"/>
        <w:right w:val="single" w:sz="8" w:space="0" w:color="7D7D7D" w:themeColor="accent2"/>
      </w:tblBorders>
    </w:tblPr>
    <w:tblStylePr w:type="firstRow">
      <w:pPr>
        <w:spacing w:before="0" w:after="0" w:line="240" w:lineRule="auto"/>
      </w:pPr>
      <w:rPr>
        <w:b/>
        <w:bCs/>
        <w:color w:val="FFFFFF" w:themeColor="background1"/>
      </w:rPr>
      <w:tblPr/>
      <w:tcPr>
        <w:shd w:val="clear" w:color="auto" w:fill="7D7D7D" w:themeFill="accent2"/>
      </w:tcPr>
    </w:tblStylePr>
    <w:tblStylePr w:type="lastRow">
      <w:pPr>
        <w:spacing w:before="0" w:after="0" w:line="240" w:lineRule="auto"/>
      </w:pPr>
      <w:rPr>
        <w:b/>
        <w:bCs/>
      </w:rPr>
      <w:tblPr/>
      <w:tcPr>
        <w:tcBorders>
          <w:top w:val="double" w:sz="6" w:space="0" w:color="7D7D7D" w:themeColor="accent2"/>
          <w:left w:val="single" w:sz="8" w:space="0" w:color="7D7D7D" w:themeColor="accent2"/>
          <w:bottom w:val="single" w:sz="8" w:space="0" w:color="7D7D7D" w:themeColor="accent2"/>
          <w:right w:val="single" w:sz="8" w:space="0" w:color="7D7D7D" w:themeColor="accent2"/>
        </w:tcBorders>
      </w:tcPr>
    </w:tblStylePr>
    <w:tblStylePr w:type="firstCol">
      <w:rPr>
        <w:b/>
        <w:bCs/>
      </w:rPr>
    </w:tblStylePr>
    <w:tblStylePr w:type="lastCol">
      <w:rPr>
        <w:b/>
        <w:bCs/>
      </w:rPr>
    </w:tblStylePr>
    <w:tblStylePr w:type="band1Vert">
      <w:tblPr/>
      <w:tcPr>
        <w:tcBorders>
          <w:top w:val="single" w:sz="8" w:space="0" w:color="7D7D7D" w:themeColor="accent2"/>
          <w:left w:val="single" w:sz="8" w:space="0" w:color="7D7D7D" w:themeColor="accent2"/>
          <w:bottom w:val="single" w:sz="8" w:space="0" w:color="7D7D7D" w:themeColor="accent2"/>
          <w:right w:val="single" w:sz="8" w:space="0" w:color="7D7D7D" w:themeColor="accent2"/>
        </w:tcBorders>
      </w:tcPr>
    </w:tblStylePr>
    <w:tblStylePr w:type="band1Horz">
      <w:tblPr/>
      <w:tcPr>
        <w:tcBorders>
          <w:top w:val="single" w:sz="8" w:space="0" w:color="7D7D7D" w:themeColor="accent2"/>
          <w:left w:val="single" w:sz="8" w:space="0" w:color="7D7D7D" w:themeColor="accent2"/>
          <w:bottom w:val="single" w:sz="8" w:space="0" w:color="7D7D7D" w:themeColor="accent2"/>
          <w:right w:val="single" w:sz="8" w:space="0" w:color="7D7D7D" w:themeColor="accent2"/>
        </w:tcBorders>
      </w:tcPr>
    </w:tblStylePr>
  </w:style>
  <w:style w:type="table" w:styleId="LightList-Accent3">
    <w:name w:val="Light List Accent 3"/>
    <w:basedOn w:val="TableNormal"/>
    <w:uiPriority w:val="61"/>
    <w:semiHidden/>
    <w:unhideWhenUsed/>
    <w:rsid w:val="009637A8"/>
    <w:pPr>
      <w:spacing w:after="0" w:line="240" w:lineRule="auto"/>
    </w:pPr>
    <w:tblPr>
      <w:tblStyleRowBandSize w:val="1"/>
      <w:tblStyleColBandSize w:val="1"/>
      <w:tblBorders>
        <w:top w:val="single" w:sz="8" w:space="0" w:color="C8C8C8" w:themeColor="accent3"/>
        <w:left w:val="single" w:sz="8" w:space="0" w:color="C8C8C8" w:themeColor="accent3"/>
        <w:bottom w:val="single" w:sz="8" w:space="0" w:color="C8C8C8" w:themeColor="accent3"/>
        <w:right w:val="single" w:sz="8" w:space="0" w:color="C8C8C8" w:themeColor="accent3"/>
      </w:tblBorders>
    </w:tblPr>
    <w:tblStylePr w:type="firstRow">
      <w:pPr>
        <w:spacing w:before="0" w:after="0" w:line="240" w:lineRule="auto"/>
      </w:pPr>
      <w:rPr>
        <w:b/>
        <w:bCs/>
        <w:color w:val="FFFFFF" w:themeColor="background1"/>
      </w:rPr>
      <w:tblPr/>
      <w:tcPr>
        <w:shd w:val="clear" w:color="auto" w:fill="C8C8C8" w:themeFill="accent3"/>
      </w:tcPr>
    </w:tblStylePr>
    <w:tblStylePr w:type="lastRow">
      <w:pPr>
        <w:spacing w:before="0" w:after="0" w:line="240" w:lineRule="auto"/>
      </w:pPr>
      <w:rPr>
        <w:b/>
        <w:bCs/>
      </w:rPr>
      <w:tblPr/>
      <w:tcPr>
        <w:tcBorders>
          <w:top w:val="double" w:sz="6" w:space="0" w:color="C8C8C8" w:themeColor="accent3"/>
          <w:left w:val="single" w:sz="8" w:space="0" w:color="C8C8C8" w:themeColor="accent3"/>
          <w:bottom w:val="single" w:sz="8" w:space="0" w:color="C8C8C8" w:themeColor="accent3"/>
          <w:right w:val="single" w:sz="8" w:space="0" w:color="C8C8C8" w:themeColor="accent3"/>
        </w:tcBorders>
      </w:tcPr>
    </w:tblStylePr>
    <w:tblStylePr w:type="firstCol">
      <w:rPr>
        <w:b/>
        <w:bCs/>
      </w:rPr>
    </w:tblStylePr>
    <w:tblStylePr w:type="lastCol">
      <w:rPr>
        <w:b/>
        <w:bCs/>
      </w:rPr>
    </w:tblStylePr>
    <w:tblStylePr w:type="band1Vert">
      <w:tblPr/>
      <w:tcPr>
        <w:tcBorders>
          <w:top w:val="single" w:sz="8" w:space="0" w:color="C8C8C8" w:themeColor="accent3"/>
          <w:left w:val="single" w:sz="8" w:space="0" w:color="C8C8C8" w:themeColor="accent3"/>
          <w:bottom w:val="single" w:sz="8" w:space="0" w:color="C8C8C8" w:themeColor="accent3"/>
          <w:right w:val="single" w:sz="8" w:space="0" w:color="C8C8C8" w:themeColor="accent3"/>
        </w:tcBorders>
      </w:tcPr>
    </w:tblStylePr>
    <w:tblStylePr w:type="band1Horz">
      <w:tblPr/>
      <w:tcPr>
        <w:tcBorders>
          <w:top w:val="single" w:sz="8" w:space="0" w:color="C8C8C8" w:themeColor="accent3"/>
          <w:left w:val="single" w:sz="8" w:space="0" w:color="C8C8C8" w:themeColor="accent3"/>
          <w:bottom w:val="single" w:sz="8" w:space="0" w:color="C8C8C8" w:themeColor="accent3"/>
          <w:right w:val="single" w:sz="8" w:space="0" w:color="C8C8C8" w:themeColor="accent3"/>
        </w:tcBorders>
      </w:tcPr>
    </w:tblStylePr>
  </w:style>
  <w:style w:type="table" w:styleId="LightList-Accent4">
    <w:name w:val="Light List Accent 4"/>
    <w:basedOn w:val="TableNormal"/>
    <w:uiPriority w:val="61"/>
    <w:semiHidden/>
    <w:unhideWhenUsed/>
    <w:rsid w:val="009637A8"/>
    <w:pPr>
      <w:spacing w:after="0" w:line="240" w:lineRule="auto"/>
    </w:pPr>
    <w:tblPr>
      <w:tblStyleRowBandSize w:val="1"/>
      <w:tblStyleColBandSize w:val="1"/>
      <w:tblBorders>
        <w:top w:val="single" w:sz="8" w:space="0" w:color="006A9F" w:themeColor="accent4"/>
        <w:left w:val="single" w:sz="8" w:space="0" w:color="006A9F" w:themeColor="accent4"/>
        <w:bottom w:val="single" w:sz="8" w:space="0" w:color="006A9F" w:themeColor="accent4"/>
        <w:right w:val="single" w:sz="8" w:space="0" w:color="006A9F" w:themeColor="accent4"/>
      </w:tblBorders>
    </w:tblPr>
    <w:tblStylePr w:type="firstRow">
      <w:pPr>
        <w:spacing w:before="0" w:after="0" w:line="240" w:lineRule="auto"/>
      </w:pPr>
      <w:rPr>
        <w:b/>
        <w:bCs/>
        <w:color w:val="FFFFFF" w:themeColor="background1"/>
      </w:rPr>
      <w:tblPr/>
      <w:tcPr>
        <w:shd w:val="clear" w:color="auto" w:fill="006A9F" w:themeFill="accent4"/>
      </w:tcPr>
    </w:tblStylePr>
    <w:tblStylePr w:type="lastRow">
      <w:pPr>
        <w:spacing w:before="0" w:after="0" w:line="240" w:lineRule="auto"/>
      </w:pPr>
      <w:rPr>
        <w:b/>
        <w:bCs/>
      </w:rPr>
      <w:tblPr/>
      <w:tcPr>
        <w:tcBorders>
          <w:top w:val="double" w:sz="6" w:space="0" w:color="006A9F" w:themeColor="accent4"/>
          <w:left w:val="single" w:sz="8" w:space="0" w:color="006A9F" w:themeColor="accent4"/>
          <w:bottom w:val="single" w:sz="8" w:space="0" w:color="006A9F" w:themeColor="accent4"/>
          <w:right w:val="single" w:sz="8" w:space="0" w:color="006A9F" w:themeColor="accent4"/>
        </w:tcBorders>
      </w:tcPr>
    </w:tblStylePr>
    <w:tblStylePr w:type="firstCol">
      <w:rPr>
        <w:b/>
        <w:bCs/>
      </w:rPr>
    </w:tblStylePr>
    <w:tblStylePr w:type="lastCol">
      <w:rPr>
        <w:b/>
        <w:bCs/>
      </w:rPr>
    </w:tblStylePr>
    <w:tblStylePr w:type="band1Vert">
      <w:tblPr/>
      <w:tcPr>
        <w:tcBorders>
          <w:top w:val="single" w:sz="8" w:space="0" w:color="006A9F" w:themeColor="accent4"/>
          <w:left w:val="single" w:sz="8" w:space="0" w:color="006A9F" w:themeColor="accent4"/>
          <w:bottom w:val="single" w:sz="8" w:space="0" w:color="006A9F" w:themeColor="accent4"/>
          <w:right w:val="single" w:sz="8" w:space="0" w:color="006A9F" w:themeColor="accent4"/>
        </w:tcBorders>
      </w:tcPr>
    </w:tblStylePr>
    <w:tblStylePr w:type="band1Horz">
      <w:tblPr/>
      <w:tcPr>
        <w:tcBorders>
          <w:top w:val="single" w:sz="8" w:space="0" w:color="006A9F" w:themeColor="accent4"/>
          <w:left w:val="single" w:sz="8" w:space="0" w:color="006A9F" w:themeColor="accent4"/>
          <w:bottom w:val="single" w:sz="8" w:space="0" w:color="006A9F" w:themeColor="accent4"/>
          <w:right w:val="single" w:sz="8" w:space="0" w:color="006A9F" w:themeColor="accent4"/>
        </w:tcBorders>
      </w:tcPr>
    </w:tblStylePr>
  </w:style>
  <w:style w:type="table" w:styleId="LightList-Accent5">
    <w:name w:val="Light List Accent 5"/>
    <w:basedOn w:val="TableNormal"/>
    <w:uiPriority w:val="61"/>
    <w:semiHidden/>
    <w:unhideWhenUsed/>
    <w:rsid w:val="009637A8"/>
    <w:pPr>
      <w:spacing w:after="0" w:line="240" w:lineRule="auto"/>
    </w:pPr>
    <w:tblPr>
      <w:tblStyleRowBandSize w:val="1"/>
      <w:tblStyleColBandSize w:val="1"/>
      <w:tblBorders>
        <w:top w:val="single" w:sz="8" w:space="0" w:color="7BBDD6" w:themeColor="accent5"/>
        <w:left w:val="single" w:sz="8" w:space="0" w:color="7BBDD6" w:themeColor="accent5"/>
        <w:bottom w:val="single" w:sz="8" w:space="0" w:color="7BBDD6" w:themeColor="accent5"/>
        <w:right w:val="single" w:sz="8" w:space="0" w:color="7BBDD6" w:themeColor="accent5"/>
      </w:tblBorders>
    </w:tblPr>
    <w:tblStylePr w:type="firstRow">
      <w:pPr>
        <w:spacing w:before="0" w:after="0" w:line="240" w:lineRule="auto"/>
      </w:pPr>
      <w:rPr>
        <w:b/>
        <w:bCs/>
        <w:color w:val="FFFFFF" w:themeColor="background1"/>
      </w:rPr>
      <w:tblPr/>
      <w:tcPr>
        <w:shd w:val="clear" w:color="auto" w:fill="7BBDD6" w:themeFill="accent5"/>
      </w:tcPr>
    </w:tblStylePr>
    <w:tblStylePr w:type="lastRow">
      <w:pPr>
        <w:spacing w:before="0" w:after="0" w:line="240" w:lineRule="auto"/>
      </w:pPr>
      <w:rPr>
        <w:b/>
        <w:bCs/>
      </w:rPr>
      <w:tblPr/>
      <w:tcPr>
        <w:tcBorders>
          <w:top w:val="double" w:sz="6" w:space="0" w:color="7BBDD6" w:themeColor="accent5"/>
          <w:left w:val="single" w:sz="8" w:space="0" w:color="7BBDD6" w:themeColor="accent5"/>
          <w:bottom w:val="single" w:sz="8" w:space="0" w:color="7BBDD6" w:themeColor="accent5"/>
          <w:right w:val="single" w:sz="8" w:space="0" w:color="7BBDD6" w:themeColor="accent5"/>
        </w:tcBorders>
      </w:tcPr>
    </w:tblStylePr>
    <w:tblStylePr w:type="firstCol">
      <w:rPr>
        <w:b/>
        <w:bCs/>
      </w:rPr>
    </w:tblStylePr>
    <w:tblStylePr w:type="lastCol">
      <w:rPr>
        <w:b/>
        <w:bCs/>
      </w:rPr>
    </w:tblStylePr>
    <w:tblStylePr w:type="band1Vert">
      <w:tblPr/>
      <w:tcPr>
        <w:tcBorders>
          <w:top w:val="single" w:sz="8" w:space="0" w:color="7BBDD6" w:themeColor="accent5"/>
          <w:left w:val="single" w:sz="8" w:space="0" w:color="7BBDD6" w:themeColor="accent5"/>
          <w:bottom w:val="single" w:sz="8" w:space="0" w:color="7BBDD6" w:themeColor="accent5"/>
          <w:right w:val="single" w:sz="8" w:space="0" w:color="7BBDD6" w:themeColor="accent5"/>
        </w:tcBorders>
      </w:tcPr>
    </w:tblStylePr>
    <w:tblStylePr w:type="band1Horz">
      <w:tblPr/>
      <w:tcPr>
        <w:tcBorders>
          <w:top w:val="single" w:sz="8" w:space="0" w:color="7BBDD6" w:themeColor="accent5"/>
          <w:left w:val="single" w:sz="8" w:space="0" w:color="7BBDD6" w:themeColor="accent5"/>
          <w:bottom w:val="single" w:sz="8" w:space="0" w:color="7BBDD6" w:themeColor="accent5"/>
          <w:right w:val="single" w:sz="8" w:space="0" w:color="7BBDD6" w:themeColor="accent5"/>
        </w:tcBorders>
      </w:tcPr>
    </w:tblStylePr>
  </w:style>
  <w:style w:type="table" w:styleId="LightList-Accent6">
    <w:name w:val="Light List Accent 6"/>
    <w:basedOn w:val="TableNormal"/>
    <w:uiPriority w:val="61"/>
    <w:semiHidden/>
    <w:unhideWhenUsed/>
    <w:rsid w:val="009637A8"/>
    <w:pPr>
      <w:spacing w:after="0" w:line="240" w:lineRule="auto"/>
    </w:pPr>
    <w:tblPr>
      <w:tblStyleRowBandSize w:val="1"/>
      <w:tblStyleColBandSize w:val="1"/>
      <w:tblBorders>
        <w:top w:val="single" w:sz="8" w:space="0" w:color="428D52" w:themeColor="accent6"/>
        <w:left w:val="single" w:sz="8" w:space="0" w:color="428D52" w:themeColor="accent6"/>
        <w:bottom w:val="single" w:sz="8" w:space="0" w:color="428D52" w:themeColor="accent6"/>
        <w:right w:val="single" w:sz="8" w:space="0" w:color="428D52" w:themeColor="accent6"/>
      </w:tblBorders>
    </w:tblPr>
    <w:tblStylePr w:type="firstRow">
      <w:pPr>
        <w:spacing w:before="0" w:after="0" w:line="240" w:lineRule="auto"/>
      </w:pPr>
      <w:rPr>
        <w:b/>
        <w:bCs/>
        <w:color w:val="FFFFFF" w:themeColor="background1"/>
      </w:rPr>
      <w:tblPr/>
      <w:tcPr>
        <w:shd w:val="clear" w:color="auto" w:fill="428D52" w:themeFill="accent6"/>
      </w:tcPr>
    </w:tblStylePr>
    <w:tblStylePr w:type="lastRow">
      <w:pPr>
        <w:spacing w:before="0" w:after="0" w:line="240" w:lineRule="auto"/>
      </w:pPr>
      <w:rPr>
        <w:b/>
        <w:bCs/>
      </w:rPr>
      <w:tblPr/>
      <w:tcPr>
        <w:tcBorders>
          <w:top w:val="double" w:sz="6" w:space="0" w:color="428D52" w:themeColor="accent6"/>
          <w:left w:val="single" w:sz="8" w:space="0" w:color="428D52" w:themeColor="accent6"/>
          <w:bottom w:val="single" w:sz="8" w:space="0" w:color="428D52" w:themeColor="accent6"/>
          <w:right w:val="single" w:sz="8" w:space="0" w:color="428D52" w:themeColor="accent6"/>
        </w:tcBorders>
      </w:tcPr>
    </w:tblStylePr>
    <w:tblStylePr w:type="firstCol">
      <w:rPr>
        <w:b/>
        <w:bCs/>
      </w:rPr>
    </w:tblStylePr>
    <w:tblStylePr w:type="lastCol">
      <w:rPr>
        <w:b/>
        <w:bCs/>
      </w:rPr>
    </w:tblStylePr>
    <w:tblStylePr w:type="band1Vert">
      <w:tblPr/>
      <w:tcPr>
        <w:tcBorders>
          <w:top w:val="single" w:sz="8" w:space="0" w:color="428D52" w:themeColor="accent6"/>
          <w:left w:val="single" w:sz="8" w:space="0" w:color="428D52" w:themeColor="accent6"/>
          <w:bottom w:val="single" w:sz="8" w:space="0" w:color="428D52" w:themeColor="accent6"/>
          <w:right w:val="single" w:sz="8" w:space="0" w:color="428D52" w:themeColor="accent6"/>
        </w:tcBorders>
      </w:tcPr>
    </w:tblStylePr>
    <w:tblStylePr w:type="band1Horz">
      <w:tblPr/>
      <w:tcPr>
        <w:tcBorders>
          <w:top w:val="single" w:sz="8" w:space="0" w:color="428D52" w:themeColor="accent6"/>
          <w:left w:val="single" w:sz="8" w:space="0" w:color="428D52" w:themeColor="accent6"/>
          <w:bottom w:val="single" w:sz="8" w:space="0" w:color="428D52" w:themeColor="accent6"/>
          <w:right w:val="single" w:sz="8" w:space="0" w:color="428D52" w:themeColor="accent6"/>
        </w:tcBorders>
      </w:tcPr>
    </w:tblStylePr>
  </w:style>
  <w:style w:type="table" w:styleId="LightShading">
    <w:name w:val="Light Shading"/>
    <w:basedOn w:val="TableNormal"/>
    <w:uiPriority w:val="60"/>
    <w:semiHidden/>
    <w:unhideWhenUsed/>
    <w:rsid w:val="009637A8"/>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9637A8"/>
    <w:pPr>
      <w:spacing w:after="0" w:line="240" w:lineRule="auto"/>
    </w:pPr>
    <w:rPr>
      <w:color w:val="72549D" w:themeColor="accent1" w:themeShade="BF"/>
    </w:rPr>
    <w:tblPr>
      <w:tblStyleRowBandSize w:val="1"/>
      <w:tblStyleColBandSize w:val="1"/>
      <w:tblBorders>
        <w:top w:val="single" w:sz="8" w:space="0" w:color="9D85BE" w:themeColor="accent1"/>
        <w:bottom w:val="single" w:sz="8" w:space="0" w:color="9D85BE" w:themeColor="accent1"/>
      </w:tblBorders>
    </w:tblPr>
    <w:tblStylePr w:type="firstRow">
      <w:pPr>
        <w:spacing w:before="0" w:after="0" w:line="240" w:lineRule="auto"/>
      </w:pPr>
      <w:rPr>
        <w:b/>
        <w:bCs/>
      </w:rPr>
      <w:tblPr/>
      <w:tcPr>
        <w:tcBorders>
          <w:top w:val="single" w:sz="8" w:space="0" w:color="9D85BE" w:themeColor="accent1"/>
          <w:left w:val="nil"/>
          <w:bottom w:val="single" w:sz="8" w:space="0" w:color="9D85BE" w:themeColor="accent1"/>
          <w:right w:val="nil"/>
          <w:insideH w:val="nil"/>
          <w:insideV w:val="nil"/>
        </w:tcBorders>
      </w:tcPr>
    </w:tblStylePr>
    <w:tblStylePr w:type="lastRow">
      <w:pPr>
        <w:spacing w:before="0" w:after="0" w:line="240" w:lineRule="auto"/>
      </w:pPr>
      <w:rPr>
        <w:b/>
        <w:bCs/>
      </w:rPr>
      <w:tblPr/>
      <w:tcPr>
        <w:tcBorders>
          <w:top w:val="single" w:sz="8" w:space="0" w:color="9D85BE" w:themeColor="accent1"/>
          <w:left w:val="nil"/>
          <w:bottom w:val="single" w:sz="8" w:space="0" w:color="9D85BE"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0EF" w:themeFill="accent1" w:themeFillTint="3F"/>
      </w:tcPr>
    </w:tblStylePr>
    <w:tblStylePr w:type="band1Horz">
      <w:tblPr/>
      <w:tcPr>
        <w:tcBorders>
          <w:left w:val="nil"/>
          <w:right w:val="nil"/>
          <w:insideH w:val="nil"/>
          <w:insideV w:val="nil"/>
        </w:tcBorders>
        <w:shd w:val="clear" w:color="auto" w:fill="E6E0EF" w:themeFill="accent1" w:themeFillTint="3F"/>
      </w:tcPr>
    </w:tblStylePr>
  </w:style>
  <w:style w:type="table" w:styleId="LightShading-Accent2">
    <w:name w:val="Light Shading Accent 2"/>
    <w:basedOn w:val="TableNormal"/>
    <w:uiPriority w:val="60"/>
    <w:semiHidden/>
    <w:unhideWhenUsed/>
    <w:rsid w:val="009637A8"/>
    <w:pPr>
      <w:spacing w:after="0" w:line="240" w:lineRule="auto"/>
    </w:pPr>
    <w:rPr>
      <w:color w:val="5D5D5D" w:themeColor="accent2" w:themeShade="BF"/>
    </w:rPr>
    <w:tblPr>
      <w:tblStyleRowBandSize w:val="1"/>
      <w:tblStyleColBandSize w:val="1"/>
      <w:tblBorders>
        <w:top w:val="single" w:sz="8" w:space="0" w:color="7D7D7D" w:themeColor="accent2"/>
        <w:bottom w:val="single" w:sz="8" w:space="0" w:color="7D7D7D" w:themeColor="accent2"/>
      </w:tblBorders>
    </w:tblPr>
    <w:tblStylePr w:type="firstRow">
      <w:pPr>
        <w:spacing w:before="0" w:after="0" w:line="240" w:lineRule="auto"/>
      </w:pPr>
      <w:rPr>
        <w:b/>
        <w:bCs/>
      </w:rPr>
      <w:tblPr/>
      <w:tcPr>
        <w:tcBorders>
          <w:top w:val="single" w:sz="8" w:space="0" w:color="7D7D7D" w:themeColor="accent2"/>
          <w:left w:val="nil"/>
          <w:bottom w:val="single" w:sz="8" w:space="0" w:color="7D7D7D" w:themeColor="accent2"/>
          <w:right w:val="nil"/>
          <w:insideH w:val="nil"/>
          <w:insideV w:val="nil"/>
        </w:tcBorders>
      </w:tcPr>
    </w:tblStylePr>
    <w:tblStylePr w:type="lastRow">
      <w:pPr>
        <w:spacing w:before="0" w:after="0" w:line="240" w:lineRule="auto"/>
      </w:pPr>
      <w:rPr>
        <w:b/>
        <w:bCs/>
      </w:rPr>
      <w:tblPr/>
      <w:tcPr>
        <w:tcBorders>
          <w:top w:val="single" w:sz="8" w:space="0" w:color="7D7D7D" w:themeColor="accent2"/>
          <w:left w:val="nil"/>
          <w:bottom w:val="single" w:sz="8" w:space="0" w:color="7D7D7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EDEDE" w:themeFill="accent2" w:themeFillTint="3F"/>
      </w:tcPr>
    </w:tblStylePr>
    <w:tblStylePr w:type="band1Horz">
      <w:tblPr/>
      <w:tcPr>
        <w:tcBorders>
          <w:left w:val="nil"/>
          <w:right w:val="nil"/>
          <w:insideH w:val="nil"/>
          <w:insideV w:val="nil"/>
        </w:tcBorders>
        <w:shd w:val="clear" w:color="auto" w:fill="DEDEDE" w:themeFill="accent2" w:themeFillTint="3F"/>
      </w:tcPr>
    </w:tblStylePr>
  </w:style>
  <w:style w:type="table" w:styleId="LightShading-Accent3">
    <w:name w:val="Light Shading Accent 3"/>
    <w:basedOn w:val="TableNormal"/>
    <w:uiPriority w:val="60"/>
    <w:semiHidden/>
    <w:unhideWhenUsed/>
    <w:rsid w:val="009637A8"/>
    <w:pPr>
      <w:spacing w:after="0" w:line="240" w:lineRule="auto"/>
    </w:pPr>
    <w:rPr>
      <w:color w:val="959595" w:themeColor="accent3" w:themeShade="BF"/>
    </w:rPr>
    <w:tblPr>
      <w:tblStyleRowBandSize w:val="1"/>
      <w:tblStyleColBandSize w:val="1"/>
      <w:tblBorders>
        <w:top w:val="single" w:sz="8" w:space="0" w:color="C8C8C8" w:themeColor="accent3"/>
        <w:bottom w:val="single" w:sz="8" w:space="0" w:color="C8C8C8" w:themeColor="accent3"/>
      </w:tblBorders>
    </w:tblPr>
    <w:tblStylePr w:type="firstRow">
      <w:pPr>
        <w:spacing w:before="0" w:after="0" w:line="240" w:lineRule="auto"/>
      </w:pPr>
      <w:rPr>
        <w:b/>
        <w:bCs/>
      </w:rPr>
      <w:tblPr/>
      <w:tcPr>
        <w:tcBorders>
          <w:top w:val="single" w:sz="8" w:space="0" w:color="C8C8C8" w:themeColor="accent3"/>
          <w:left w:val="nil"/>
          <w:bottom w:val="single" w:sz="8" w:space="0" w:color="C8C8C8" w:themeColor="accent3"/>
          <w:right w:val="nil"/>
          <w:insideH w:val="nil"/>
          <w:insideV w:val="nil"/>
        </w:tcBorders>
      </w:tcPr>
    </w:tblStylePr>
    <w:tblStylePr w:type="lastRow">
      <w:pPr>
        <w:spacing w:before="0" w:after="0" w:line="240" w:lineRule="auto"/>
      </w:pPr>
      <w:rPr>
        <w:b/>
        <w:bCs/>
      </w:rPr>
      <w:tblPr/>
      <w:tcPr>
        <w:tcBorders>
          <w:top w:val="single" w:sz="8" w:space="0" w:color="C8C8C8" w:themeColor="accent3"/>
          <w:left w:val="nil"/>
          <w:bottom w:val="single" w:sz="8" w:space="0" w:color="C8C8C8"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1F1F1" w:themeFill="accent3" w:themeFillTint="3F"/>
      </w:tcPr>
    </w:tblStylePr>
    <w:tblStylePr w:type="band1Horz">
      <w:tblPr/>
      <w:tcPr>
        <w:tcBorders>
          <w:left w:val="nil"/>
          <w:right w:val="nil"/>
          <w:insideH w:val="nil"/>
          <w:insideV w:val="nil"/>
        </w:tcBorders>
        <w:shd w:val="clear" w:color="auto" w:fill="F1F1F1" w:themeFill="accent3" w:themeFillTint="3F"/>
      </w:tcPr>
    </w:tblStylePr>
  </w:style>
  <w:style w:type="table" w:styleId="LightShading-Accent4">
    <w:name w:val="Light Shading Accent 4"/>
    <w:basedOn w:val="TableNormal"/>
    <w:uiPriority w:val="60"/>
    <w:semiHidden/>
    <w:unhideWhenUsed/>
    <w:rsid w:val="009637A8"/>
    <w:pPr>
      <w:spacing w:after="0" w:line="240" w:lineRule="auto"/>
    </w:pPr>
    <w:rPr>
      <w:color w:val="004F77" w:themeColor="accent4" w:themeShade="BF"/>
    </w:rPr>
    <w:tblPr>
      <w:tblStyleRowBandSize w:val="1"/>
      <w:tblStyleColBandSize w:val="1"/>
      <w:tblBorders>
        <w:top w:val="single" w:sz="8" w:space="0" w:color="006A9F" w:themeColor="accent4"/>
        <w:bottom w:val="single" w:sz="8" w:space="0" w:color="006A9F" w:themeColor="accent4"/>
      </w:tblBorders>
    </w:tblPr>
    <w:tblStylePr w:type="firstRow">
      <w:pPr>
        <w:spacing w:before="0" w:after="0" w:line="240" w:lineRule="auto"/>
      </w:pPr>
      <w:rPr>
        <w:b/>
        <w:bCs/>
      </w:rPr>
      <w:tblPr/>
      <w:tcPr>
        <w:tcBorders>
          <w:top w:val="single" w:sz="8" w:space="0" w:color="006A9F" w:themeColor="accent4"/>
          <w:left w:val="nil"/>
          <w:bottom w:val="single" w:sz="8" w:space="0" w:color="006A9F" w:themeColor="accent4"/>
          <w:right w:val="nil"/>
          <w:insideH w:val="nil"/>
          <w:insideV w:val="nil"/>
        </w:tcBorders>
      </w:tcPr>
    </w:tblStylePr>
    <w:tblStylePr w:type="lastRow">
      <w:pPr>
        <w:spacing w:before="0" w:after="0" w:line="240" w:lineRule="auto"/>
      </w:pPr>
      <w:rPr>
        <w:b/>
        <w:bCs/>
      </w:rPr>
      <w:tblPr/>
      <w:tcPr>
        <w:tcBorders>
          <w:top w:val="single" w:sz="8" w:space="0" w:color="006A9F" w:themeColor="accent4"/>
          <w:left w:val="nil"/>
          <w:bottom w:val="single" w:sz="8" w:space="0" w:color="006A9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8E2FF" w:themeFill="accent4" w:themeFillTint="3F"/>
      </w:tcPr>
    </w:tblStylePr>
    <w:tblStylePr w:type="band1Horz">
      <w:tblPr/>
      <w:tcPr>
        <w:tcBorders>
          <w:left w:val="nil"/>
          <w:right w:val="nil"/>
          <w:insideH w:val="nil"/>
          <w:insideV w:val="nil"/>
        </w:tcBorders>
        <w:shd w:val="clear" w:color="auto" w:fill="A8E2FF" w:themeFill="accent4" w:themeFillTint="3F"/>
      </w:tcPr>
    </w:tblStylePr>
  </w:style>
  <w:style w:type="table" w:styleId="LightShading-Accent5">
    <w:name w:val="Light Shading Accent 5"/>
    <w:basedOn w:val="TableNormal"/>
    <w:uiPriority w:val="60"/>
    <w:semiHidden/>
    <w:unhideWhenUsed/>
    <w:rsid w:val="009637A8"/>
    <w:pPr>
      <w:spacing w:after="0" w:line="240" w:lineRule="auto"/>
    </w:pPr>
    <w:rPr>
      <w:color w:val="3C9BC0" w:themeColor="accent5" w:themeShade="BF"/>
    </w:rPr>
    <w:tblPr>
      <w:tblStyleRowBandSize w:val="1"/>
      <w:tblStyleColBandSize w:val="1"/>
      <w:tblBorders>
        <w:top w:val="single" w:sz="8" w:space="0" w:color="7BBDD6" w:themeColor="accent5"/>
        <w:bottom w:val="single" w:sz="8" w:space="0" w:color="7BBDD6" w:themeColor="accent5"/>
      </w:tblBorders>
    </w:tblPr>
    <w:tblStylePr w:type="firstRow">
      <w:pPr>
        <w:spacing w:before="0" w:after="0" w:line="240" w:lineRule="auto"/>
      </w:pPr>
      <w:rPr>
        <w:b/>
        <w:bCs/>
      </w:rPr>
      <w:tblPr/>
      <w:tcPr>
        <w:tcBorders>
          <w:top w:val="single" w:sz="8" w:space="0" w:color="7BBDD6" w:themeColor="accent5"/>
          <w:left w:val="nil"/>
          <w:bottom w:val="single" w:sz="8" w:space="0" w:color="7BBDD6" w:themeColor="accent5"/>
          <w:right w:val="nil"/>
          <w:insideH w:val="nil"/>
          <w:insideV w:val="nil"/>
        </w:tcBorders>
      </w:tcPr>
    </w:tblStylePr>
    <w:tblStylePr w:type="lastRow">
      <w:pPr>
        <w:spacing w:before="0" w:after="0" w:line="240" w:lineRule="auto"/>
      </w:pPr>
      <w:rPr>
        <w:b/>
        <w:bCs/>
      </w:rPr>
      <w:tblPr/>
      <w:tcPr>
        <w:tcBorders>
          <w:top w:val="single" w:sz="8" w:space="0" w:color="7BBDD6" w:themeColor="accent5"/>
          <w:left w:val="nil"/>
          <w:bottom w:val="single" w:sz="8" w:space="0" w:color="7BBDD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EEEF4" w:themeFill="accent5" w:themeFillTint="3F"/>
      </w:tcPr>
    </w:tblStylePr>
    <w:tblStylePr w:type="band1Horz">
      <w:tblPr/>
      <w:tcPr>
        <w:tcBorders>
          <w:left w:val="nil"/>
          <w:right w:val="nil"/>
          <w:insideH w:val="nil"/>
          <w:insideV w:val="nil"/>
        </w:tcBorders>
        <w:shd w:val="clear" w:color="auto" w:fill="DEEEF4" w:themeFill="accent5" w:themeFillTint="3F"/>
      </w:tcPr>
    </w:tblStylePr>
  </w:style>
  <w:style w:type="table" w:styleId="LightShading-Accent6">
    <w:name w:val="Light Shading Accent 6"/>
    <w:basedOn w:val="TableNormal"/>
    <w:uiPriority w:val="60"/>
    <w:semiHidden/>
    <w:unhideWhenUsed/>
    <w:rsid w:val="009637A8"/>
    <w:pPr>
      <w:spacing w:after="0" w:line="240" w:lineRule="auto"/>
    </w:pPr>
    <w:rPr>
      <w:color w:val="31693D" w:themeColor="accent6" w:themeShade="BF"/>
    </w:rPr>
    <w:tblPr>
      <w:tblStyleRowBandSize w:val="1"/>
      <w:tblStyleColBandSize w:val="1"/>
      <w:tblBorders>
        <w:top w:val="single" w:sz="8" w:space="0" w:color="428D52" w:themeColor="accent6"/>
        <w:bottom w:val="single" w:sz="8" w:space="0" w:color="428D52" w:themeColor="accent6"/>
      </w:tblBorders>
    </w:tblPr>
    <w:tblStylePr w:type="firstRow">
      <w:pPr>
        <w:spacing w:before="0" w:after="0" w:line="240" w:lineRule="auto"/>
      </w:pPr>
      <w:rPr>
        <w:b/>
        <w:bCs/>
      </w:rPr>
      <w:tblPr/>
      <w:tcPr>
        <w:tcBorders>
          <w:top w:val="single" w:sz="8" w:space="0" w:color="428D52" w:themeColor="accent6"/>
          <w:left w:val="nil"/>
          <w:bottom w:val="single" w:sz="8" w:space="0" w:color="428D52" w:themeColor="accent6"/>
          <w:right w:val="nil"/>
          <w:insideH w:val="nil"/>
          <w:insideV w:val="nil"/>
        </w:tcBorders>
      </w:tcPr>
    </w:tblStylePr>
    <w:tblStylePr w:type="lastRow">
      <w:pPr>
        <w:spacing w:before="0" w:after="0" w:line="240" w:lineRule="auto"/>
      </w:pPr>
      <w:rPr>
        <w:b/>
        <w:bCs/>
      </w:rPr>
      <w:tblPr/>
      <w:tcPr>
        <w:tcBorders>
          <w:top w:val="single" w:sz="8" w:space="0" w:color="428D52" w:themeColor="accent6"/>
          <w:left w:val="nil"/>
          <w:bottom w:val="single" w:sz="8" w:space="0" w:color="428D52"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E7D1" w:themeFill="accent6" w:themeFillTint="3F"/>
      </w:tcPr>
    </w:tblStylePr>
    <w:tblStylePr w:type="band1Horz">
      <w:tblPr/>
      <w:tcPr>
        <w:tcBorders>
          <w:left w:val="nil"/>
          <w:right w:val="nil"/>
          <w:insideH w:val="nil"/>
          <w:insideV w:val="nil"/>
        </w:tcBorders>
        <w:shd w:val="clear" w:color="auto" w:fill="CBE7D1" w:themeFill="accent6" w:themeFillTint="3F"/>
      </w:tcPr>
    </w:tblStylePr>
  </w:style>
  <w:style w:type="character" w:styleId="LineNumber">
    <w:name w:val="line number"/>
    <w:basedOn w:val="DefaultParagraphFont"/>
    <w:uiPriority w:val="99"/>
    <w:semiHidden/>
    <w:unhideWhenUsed/>
    <w:rsid w:val="009637A8"/>
  </w:style>
  <w:style w:type="paragraph" w:styleId="List">
    <w:name w:val="List"/>
    <w:basedOn w:val="Normal"/>
    <w:uiPriority w:val="99"/>
    <w:semiHidden/>
    <w:unhideWhenUsed/>
    <w:rsid w:val="009637A8"/>
    <w:pPr>
      <w:spacing w:after="160" w:line="259" w:lineRule="auto"/>
      <w:ind w:left="283" w:hanging="283"/>
      <w:contextualSpacing/>
    </w:pPr>
  </w:style>
  <w:style w:type="paragraph" w:styleId="List2">
    <w:name w:val="List 2"/>
    <w:basedOn w:val="Normal"/>
    <w:uiPriority w:val="99"/>
    <w:semiHidden/>
    <w:unhideWhenUsed/>
    <w:rsid w:val="009637A8"/>
    <w:pPr>
      <w:spacing w:after="160" w:line="259" w:lineRule="auto"/>
      <w:ind w:left="566" w:hanging="283"/>
      <w:contextualSpacing/>
    </w:pPr>
  </w:style>
  <w:style w:type="paragraph" w:styleId="List3">
    <w:name w:val="List 3"/>
    <w:basedOn w:val="Normal"/>
    <w:uiPriority w:val="99"/>
    <w:semiHidden/>
    <w:unhideWhenUsed/>
    <w:rsid w:val="009637A8"/>
    <w:pPr>
      <w:spacing w:after="160" w:line="259" w:lineRule="auto"/>
      <w:ind w:left="849" w:hanging="283"/>
      <w:contextualSpacing/>
    </w:pPr>
  </w:style>
  <w:style w:type="paragraph" w:styleId="List4">
    <w:name w:val="List 4"/>
    <w:basedOn w:val="Normal"/>
    <w:uiPriority w:val="99"/>
    <w:semiHidden/>
    <w:unhideWhenUsed/>
    <w:rsid w:val="009637A8"/>
    <w:pPr>
      <w:spacing w:after="160" w:line="259" w:lineRule="auto"/>
      <w:ind w:left="1132" w:hanging="283"/>
      <w:contextualSpacing/>
    </w:pPr>
  </w:style>
  <w:style w:type="paragraph" w:styleId="List5">
    <w:name w:val="List 5"/>
    <w:basedOn w:val="Normal"/>
    <w:uiPriority w:val="99"/>
    <w:semiHidden/>
    <w:unhideWhenUsed/>
    <w:rsid w:val="009637A8"/>
    <w:pPr>
      <w:spacing w:after="160" w:line="259" w:lineRule="auto"/>
      <w:ind w:left="1415" w:hanging="283"/>
      <w:contextualSpacing/>
    </w:pPr>
  </w:style>
  <w:style w:type="paragraph" w:styleId="ListBullet">
    <w:name w:val="List Bullet"/>
    <w:aliases w:val="List Bullet Char1,List Bullet Char Char,List Bullet Char1 Char Char,List Bullet Char Char Char1 Char,List Bullet Char Char Char Char Char,List Bullet Char3,List Bullet Char2 Char,List Bullet Char2,List Bullet1,List Bullet Char Char1,l,Char"/>
    <w:basedOn w:val="Normal"/>
    <w:uiPriority w:val="99"/>
    <w:rsid w:val="00AE3FE1"/>
    <w:pPr>
      <w:numPr>
        <w:numId w:val="9"/>
      </w:numPr>
      <w:spacing w:before="120" w:after="120" w:line="320" w:lineRule="atLeast"/>
    </w:pPr>
    <w:rPr>
      <w:rFonts w:ascii="Arial" w:hAnsi="Arial"/>
      <w:sz w:val="24"/>
    </w:rPr>
  </w:style>
  <w:style w:type="paragraph" w:styleId="ListBullet2">
    <w:name w:val="List Bullet 2"/>
    <w:aliases w:val=" Char2,Char2"/>
    <w:basedOn w:val="Normal"/>
    <w:uiPriority w:val="99"/>
    <w:qFormat/>
    <w:rsid w:val="000F76C4"/>
    <w:pPr>
      <w:numPr>
        <w:ilvl w:val="1"/>
        <w:numId w:val="9"/>
      </w:numPr>
      <w:spacing w:before="0" w:after="60" w:line="240" w:lineRule="atLeast"/>
    </w:pPr>
  </w:style>
  <w:style w:type="paragraph" w:styleId="ListBullet3">
    <w:name w:val="List Bullet 3"/>
    <w:basedOn w:val="Normal"/>
    <w:uiPriority w:val="99"/>
    <w:qFormat/>
    <w:rsid w:val="000F76C4"/>
    <w:pPr>
      <w:numPr>
        <w:ilvl w:val="2"/>
        <w:numId w:val="9"/>
      </w:numPr>
      <w:spacing w:before="0" w:after="60" w:line="240" w:lineRule="atLeast"/>
    </w:pPr>
  </w:style>
  <w:style w:type="paragraph" w:styleId="ListBullet4">
    <w:name w:val="List Bullet 4"/>
    <w:basedOn w:val="Normal"/>
    <w:uiPriority w:val="99"/>
    <w:semiHidden/>
    <w:unhideWhenUsed/>
    <w:rsid w:val="009637A8"/>
    <w:pPr>
      <w:numPr>
        <w:numId w:val="1"/>
      </w:numPr>
      <w:tabs>
        <w:tab w:val="clear" w:pos="1209"/>
      </w:tabs>
      <w:spacing w:after="160" w:line="259" w:lineRule="auto"/>
      <w:ind w:left="0" w:firstLine="0"/>
      <w:contextualSpacing/>
    </w:pPr>
  </w:style>
  <w:style w:type="paragraph" w:styleId="ListBullet5">
    <w:name w:val="List Bullet 5"/>
    <w:basedOn w:val="Normal"/>
    <w:uiPriority w:val="99"/>
    <w:semiHidden/>
    <w:unhideWhenUsed/>
    <w:rsid w:val="009637A8"/>
    <w:pPr>
      <w:numPr>
        <w:numId w:val="2"/>
      </w:numPr>
      <w:spacing w:after="160" w:line="259" w:lineRule="auto"/>
      <w:contextualSpacing/>
    </w:pPr>
  </w:style>
  <w:style w:type="paragraph" w:styleId="ListContinue">
    <w:name w:val="List Continue"/>
    <w:basedOn w:val="Normal"/>
    <w:uiPriority w:val="99"/>
    <w:semiHidden/>
    <w:unhideWhenUsed/>
    <w:rsid w:val="009637A8"/>
    <w:pPr>
      <w:spacing w:line="259" w:lineRule="auto"/>
      <w:ind w:left="283"/>
      <w:contextualSpacing/>
    </w:pPr>
  </w:style>
  <w:style w:type="paragraph" w:styleId="ListContinue2">
    <w:name w:val="List Continue 2"/>
    <w:basedOn w:val="Normal"/>
    <w:uiPriority w:val="99"/>
    <w:semiHidden/>
    <w:unhideWhenUsed/>
    <w:rsid w:val="009637A8"/>
    <w:pPr>
      <w:spacing w:line="259" w:lineRule="auto"/>
      <w:ind w:left="566"/>
      <w:contextualSpacing/>
    </w:pPr>
  </w:style>
  <w:style w:type="paragraph" w:styleId="ListContinue3">
    <w:name w:val="List Continue 3"/>
    <w:basedOn w:val="Normal"/>
    <w:uiPriority w:val="99"/>
    <w:semiHidden/>
    <w:unhideWhenUsed/>
    <w:rsid w:val="009637A8"/>
    <w:pPr>
      <w:spacing w:line="259" w:lineRule="auto"/>
      <w:ind w:left="849"/>
      <w:contextualSpacing/>
    </w:pPr>
  </w:style>
  <w:style w:type="paragraph" w:styleId="ListContinue4">
    <w:name w:val="List Continue 4"/>
    <w:basedOn w:val="Normal"/>
    <w:uiPriority w:val="99"/>
    <w:semiHidden/>
    <w:unhideWhenUsed/>
    <w:rsid w:val="009637A8"/>
    <w:pPr>
      <w:spacing w:line="259" w:lineRule="auto"/>
      <w:ind w:left="1132"/>
      <w:contextualSpacing/>
    </w:pPr>
  </w:style>
  <w:style w:type="paragraph" w:styleId="ListContinue5">
    <w:name w:val="List Continue 5"/>
    <w:basedOn w:val="Normal"/>
    <w:uiPriority w:val="99"/>
    <w:semiHidden/>
    <w:unhideWhenUsed/>
    <w:rsid w:val="009637A8"/>
    <w:pPr>
      <w:spacing w:line="259" w:lineRule="auto"/>
      <w:ind w:left="1415"/>
      <w:contextualSpacing/>
    </w:pPr>
  </w:style>
  <w:style w:type="paragraph" w:styleId="ListNumber">
    <w:name w:val="List Number"/>
    <w:basedOn w:val="Normal"/>
    <w:uiPriority w:val="99"/>
    <w:qFormat/>
    <w:rsid w:val="00303C43"/>
    <w:pPr>
      <w:numPr>
        <w:numId w:val="8"/>
      </w:numPr>
      <w:spacing w:before="70" w:after="70"/>
    </w:pPr>
  </w:style>
  <w:style w:type="paragraph" w:styleId="ListNumber2">
    <w:name w:val="List Number 2"/>
    <w:basedOn w:val="Normal"/>
    <w:uiPriority w:val="99"/>
    <w:qFormat/>
    <w:rsid w:val="00303C43"/>
    <w:pPr>
      <w:numPr>
        <w:ilvl w:val="1"/>
        <w:numId w:val="8"/>
      </w:numPr>
      <w:spacing w:before="0" w:after="60" w:line="240" w:lineRule="atLeast"/>
    </w:pPr>
  </w:style>
  <w:style w:type="paragraph" w:styleId="ListNumber3">
    <w:name w:val="List Number 3"/>
    <w:basedOn w:val="Normal"/>
    <w:uiPriority w:val="99"/>
    <w:qFormat/>
    <w:rsid w:val="00303C43"/>
    <w:pPr>
      <w:numPr>
        <w:ilvl w:val="2"/>
        <w:numId w:val="8"/>
      </w:numPr>
      <w:spacing w:before="0" w:after="60" w:line="240" w:lineRule="atLeast"/>
    </w:pPr>
  </w:style>
  <w:style w:type="paragraph" w:styleId="ListNumber4">
    <w:name w:val="List Number 4"/>
    <w:basedOn w:val="Normal"/>
    <w:uiPriority w:val="99"/>
    <w:semiHidden/>
    <w:unhideWhenUsed/>
    <w:rsid w:val="009637A8"/>
    <w:pPr>
      <w:numPr>
        <w:numId w:val="3"/>
      </w:numPr>
      <w:spacing w:after="160" w:line="259" w:lineRule="auto"/>
      <w:contextualSpacing/>
    </w:pPr>
  </w:style>
  <w:style w:type="paragraph" w:styleId="ListNumber5">
    <w:name w:val="List Number 5"/>
    <w:basedOn w:val="Normal"/>
    <w:uiPriority w:val="99"/>
    <w:semiHidden/>
    <w:unhideWhenUsed/>
    <w:rsid w:val="009637A8"/>
    <w:pPr>
      <w:numPr>
        <w:numId w:val="4"/>
      </w:numPr>
      <w:spacing w:after="160" w:line="259" w:lineRule="auto"/>
      <w:contextualSpacing/>
    </w:pPr>
  </w:style>
  <w:style w:type="paragraph" w:styleId="ListParagraph">
    <w:name w:val="List Paragraph"/>
    <w:aliases w:val="Bullet Point,Bullet point,Bulletr List Paragraph,Content descriptions,FooterText,L,List Bullet 1,List Paragraph1,List Paragraph11,List Paragraph2,List Paragraph21,Listeafsnit1,NFP GP Bulleted List,Paragraphe de liste1,Recommendation,リスト段落"/>
    <w:basedOn w:val="Normal"/>
    <w:link w:val="ListParagraphChar"/>
    <w:uiPriority w:val="34"/>
    <w:qFormat/>
    <w:rsid w:val="009637A8"/>
    <w:pPr>
      <w:spacing w:after="160" w:line="259" w:lineRule="auto"/>
      <w:ind w:left="720"/>
      <w:contextualSpacing/>
    </w:pPr>
  </w:style>
  <w:style w:type="table" w:styleId="ListTable1Light">
    <w:name w:val="List Table 1 Light"/>
    <w:basedOn w:val="TableNormal"/>
    <w:uiPriority w:val="46"/>
    <w:rsid w:val="009637A8"/>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9637A8"/>
    <w:pPr>
      <w:spacing w:after="0" w:line="240" w:lineRule="auto"/>
    </w:pPr>
    <w:tblPr>
      <w:tblStyleRowBandSize w:val="1"/>
      <w:tblStyleColBandSize w:val="1"/>
    </w:tblPr>
    <w:tblStylePr w:type="firstRow">
      <w:rPr>
        <w:b/>
        <w:bCs/>
      </w:rPr>
      <w:tblPr/>
      <w:tcPr>
        <w:tcBorders>
          <w:bottom w:val="single" w:sz="4" w:space="0" w:color="C4B5D8" w:themeColor="accent1" w:themeTint="99"/>
        </w:tcBorders>
      </w:tcPr>
    </w:tblStylePr>
    <w:tblStylePr w:type="lastRow">
      <w:rPr>
        <w:b/>
        <w:bCs/>
      </w:rPr>
      <w:tblPr/>
      <w:tcPr>
        <w:tcBorders>
          <w:top w:val="single" w:sz="4" w:space="0" w:color="C4B5D8" w:themeColor="accent1" w:themeTint="99"/>
        </w:tcBorders>
      </w:tcPr>
    </w:tblStylePr>
    <w:tblStylePr w:type="firstCol">
      <w:rPr>
        <w:b/>
        <w:bCs/>
      </w:rPr>
    </w:tblStylePr>
    <w:tblStylePr w:type="lastCol">
      <w:rPr>
        <w:b/>
        <w:bCs/>
      </w:rPr>
    </w:tblStylePr>
    <w:tblStylePr w:type="band1Vert">
      <w:tblPr/>
      <w:tcPr>
        <w:shd w:val="clear" w:color="auto" w:fill="EBE6F2" w:themeFill="accent1" w:themeFillTint="33"/>
      </w:tcPr>
    </w:tblStylePr>
    <w:tblStylePr w:type="band1Horz">
      <w:tblPr/>
      <w:tcPr>
        <w:shd w:val="clear" w:color="auto" w:fill="EBE6F2" w:themeFill="accent1" w:themeFillTint="33"/>
      </w:tcPr>
    </w:tblStylePr>
  </w:style>
  <w:style w:type="table" w:styleId="ListTable1Light-Accent2">
    <w:name w:val="List Table 1 Light Accent 2"/>
    <w:basedOn w:val="TableNormal"/>
    <w:uiPriority w:val="46"/>
    <w:rsid w:val="009637A8"/>
    <w:pPr>
      <w:spacing w:after="0" w:line="240" w:lineRule="auto"/>
    </w:pPr>
    <w:tblPr>
      <w:tblStyleRowBandSize w:val="1"/>
      <w:tblStyleColBandSize w:val="1"/>
    </w:tblPr>
    <w:tblStylePr w:type="firstRow">
      <w:rPr>
        <w:b/>
        <w:bCs/>
      </w:rPr>
      <w:tblPr/>
      <w:tcPr>
        <w:tcBorders>
          <w:bottom w:val="single" w:sz="4" w:space="0" w:color="B1B1B1" w:themeColor="accent2" w:themeTint="99"/>
        </w:tcBorders>
      </w:tcPr>
    </w:tblStylePr>
    <w:tblStylePr w:type="lastRow">
      <w:rPr>
        <w:b/>
        <w:bCs/>
      </w:rPr>
      <w:tblPr/>
      <w:tcPr>
        <w:tcBorders>
          <w:top w:val="single" w:sz="4" w:space="0" w:color="B1B1B1" w:themeColor="accent2" w:themeTint="99"/>
        </w:tcBorders>
      </w:tcPr>
    </w:tblStylePr>
    <w:tblStylePr w:type="firstCol">
      <w:rPr>
        <w:b/>
        <w:bCs/>
      </w:rPr>
    </w:tblStylePr>
    <w:tblStylePr w:type="lastCol">
      <w:rPr>
        <w:b/>
        <w:bCs/>
      </w:rPr>
    </w:tblStylePr>
    <w:tblStylePr w:type="band1Vert">
      <w:tblPr/>
      <w:tcPr>
        <w:shd w:val="clear" w:color="auto" w:fill="E5E5E5" w:themeFill="accent2" w:themeFillTint="33"/>
      </w:tcPr>
    </w:tblStylePr>
    <w:tblStylePr w:type="band1Horz">
      <w:tblPr/>
      <w:tcPr>
        <w:shd w:val="clear" w:color="auto" w:fill="E5E5E5" w:themeFill="accent2" w:themeFillTint="33"/>
      </w:tcPr>
    </w:tblStylePr>
  </w:style>
  <w:style w:type="table" w:styleId="ListTable1Light-Accent3">
    <w:name w:val="List Table 1 Light Accent 3"/>
    <w:basedOn w:val="TableNormal"/>
    <w:uiPriority w:val="46"/>
    <w:rsid w:val="009637A8"/>
    <w:pPr>
      <w:spacing w:after="0" w:line="240" w:lineRule="auto"/>
    </w:pPr>
    <w:tblPr>
      <w:tblStyleRowBandSize w:val="1"/>
      <w:tblStyleColBandSize w:val="1"/>
    </w:tblPr>
    <w:tblStylePr w:type="firstRow">
      <w:rPr>
        <w:b/>
        <w:bCs/>
      </w:rPr>
      <w:tblPr/>
      <w:tcPr>
        <w:tcBorders>
          <w:bottom w:val="single" w:sz="4" w:space="0" w:color="DEDEDE" w:themeColor="accent3" w:themeTint="99"/>
        </w:tcBorders>
      </w:tcPr>
    </w:tblStylePr>
    <w:tblStylePr w:type="lastRow">
      <w:rPr>
        <w:b/>
        <w:bCs/>
      </w:rPr>
      <w:tblPr/>
      <w:tcPr>
        <w:tcBorders>
          <w:top w:val="single" w:sz="4" w:space="0" w:color="DEDEDE" w:themeColor="accent3" w:themeTint="99"/>
        </w:tcBorders>
      </w:tcPr>
    </w:tblStylePr>
    <w:tblStylePr w:type="firstCol">
      <w:rPr>
        <w:b/>
        <w:bCs/>
      </w:rPr>
    </w:tblStylePr>
    <w:tblStylePr w:type="lastCol">
      <w:rPr>
        <w:b/>
        <w:bCs/>
      </w:rPr>
    </w:tblStylePr>
    <w:tblStylePr w:type="band1Vert">
      <w:tblPr/>
      <w:tcPr>
        <w:shd w:val="clear" w:color="auto" w:fill="F4F4F4" w:themeFill="accent3" w:themeFillTint="33"/>
      </w:tcPr>
    </w:tblStylePr>
    <w:tblStylePr w:type="band1Horz">
      <w:tblPr/>
      <w:tcPr>
        <w:shd w:val="clear" w:color="auto" w:fill="F4F4F4" w:themeFill="accent3" w:themeFillTint="33"/>
      </w:tcPr>
    </w:tblStylePr>
  </w:style>
  <w:style w:type="table" w:styleId="ListTable1Light-Accent4">
    <w:name w:val="List Table 1 Light Accent 4"/>
    <w:basedOn w:val="TableNormal"/>
    <w:uiPriority w:val="46"/>
    <w:rsid w:val="009637A8"/>
    <w:pPr>
      <w:spacing w:after="0" w:line="240" w:lineRule="auto"/>
    </w:pPr>
    <w:tblPr>
      <w:tblStyleRowBandSize w:val="1"/>
      <w:tblStyleColBandSize w:val="1"/>
    </w:tblPr>
    <w:tblStylePr w:type="firstRow">
      <w:rPr>
        <w:b/>
        <w:bCs/>
      </w:rPr>
      <w:tblPr/>
      <w:tcPr>
        <w:tcBorders>
          <w:bottom w:val="single" w:sz="4" w:space="0" w:color="2CB8FF" w:themeColor="accent4" w:themeTint="99"/>
        </w:tcBorders>
      </w:tcPr>
    </w:tblStylePr>
    <w:tblStylePr w:type="lastRow">
      <w:rPr>
        <w:b/>
        <w:bCs/>
      </w:rPr>
      <w:tblPr/>
      <w:tcPr>
        <w:tcBorders>
          <w:top w:val="single" w:sz="4" w:space="0" w:color="2CB8FF" w:themeColor="accent4" w:themeTint="99"/>
        </w:tcBorders>
      </w:tcPr>
    </w:tblStylePr>
    <w:tblStylePr w:type="firstCol">
      <w:rPr>
        <w:b/>
        <w:bCs/>
      </w:rPr>
    </w:tblStylePr>
    <w:tblStylePr w:type="lastCol">
      <w:rPr>
        <w:b/>
        <w:bCs/>
      </w:rPr>
    </w:tblStylePr>
    <w:tblStylePr w:type="band1Vert">
      <w:tblPr/>
      <w:tcPr>
        <w:shd w:val="clear" w:color="auto" w:fill="B8E7FF" w:themeFill="accent4" w:themeFillTint="33"/>
      </w:tcPr>
    </w:tblStylePr>
    <w:tblStylePr w:type="band1Horz">
      <w:tblPr/>
      <w:tcPr>
        <w:shd w:val="clear" w:color="auto" w:fill="B8E7FF" w:themeFill="accent4" w:themeFillTint="33"/>
      </w:tcPr>
    </w:tblStylePr>
  </w:style>
  <w:style w:type="table" w:styleId="ListTable1Light-Accent5">
    <w:name w:val="List Table 1 Light Accent 5"/>
    <w:basedOn w:val="TableNormal"/>
    <w:uiPriority w:val="46"/>
    <w:rsid w:val="009637A8"/>
    <w:pPr>
      <w:spacing w:after="0" w:line="240" w:lineRule="auto"/>
    </w:pPr>
    <w:tblPr>
      <w:tblStyleRowBandSize w:val="1"/>
      <w:tblStyleColBandSize w:val="1"/>
    </w:tblPr>
    <w:tblStylePr w:type="firstRow">
      <w:rPr>
        <w:b/>
        <w:bCs/>
      </w:rPr>
      <w:tblPr/>
      <w:tcPr>
        <w:tcBorders>
          <w:bottom w:val="single" w:sz="4" w:space="0" w:color="AFD7E6" w:themeColor="accent5" w:themeTint="99"/>
        </w:tcBorders>
      </w:tcPr>
    </w:tblStylePr>
    <w:tblStylePr w:type="lastRow">
      <w:rPr>
        <w:b/>
        <w:bCs/>
      </w:rPr>
      <w:tblPr/>
      <w:tcPr>
        <w:tcBorders>
          <w:top w:val="single" w:sz="4" w:space="0" w:color="AFD7E6" w:themeColor="accent5" w:themeTint="99"/>
        </w:tcBorders>
      </w:tcPr>
    </w:tblStylePr>
    <w:tblStylePr w:type="firstCol">
      <w:rPr>
        <w:b/>
        <w:bCs/>
      </w:rPr>
    </w:tblStylePr>
    <w:tblStylePr w:type="lastCol">
      <w:rPr>
        <w:b/>
        <w:bCs/>
      </w:rPr>
    </w:tblStylePr>
    <w:tblStylePr w:type="band1Vert">
      <w:tblPr/>
      <w:tcPr>
        <w:shd w:val="clear" w:color="auto" w:fill="E4F1F6" w:themeFill="accent5" w:themeFillTint="33"/>
      </w:tcPr>
    </w:tblStylePr>
    <w:tblStylePr w:type="band1Horz">
      <w:tblPr/>
      <w:tcPr>
        <w:shd w:val="clear" w:color="auto" w:fill="E4F1F6" w:themeFill="accent5" w:themeFillTint="33"/>
      </w:tcPr>
    </w:tblStylePr>
  </w:style>
  <w:style w:type="table" w:styleId="ListTable1Light-Accent6">
    <w:name w:val="List Table 1 Light Accent 6"/>
    <w:basedOn w:val="TableNormal"/>
    <w:uiPriority w:val="46"/>
    <w:rsid w:val="009637A8"/>
    <w:pPr>
      <w:spacing w:after="0" w:line="240" w:lineRule="auto"/>
    </w:pPr>
    <w:tblPr>
      <w:tblStyleRowBandSize w:val="1"/>
      <w:tblStyleColBandSize w:val="1"/>
    </w:tblPr>
    <w:tblStylePr w:type="firstRow">
      <w:rPr>
        <w:b/>
        <w:bCs/>
      </w:rPr>
      <w:tblPr/>
      <w:tcPr>
        <w:tcBorders>
          <w:bottom w:val="single" w:sz="4" w:space="0" w:color="83C590" w:themeColor="accent6" w:themeTint="99"/>
        </w:tcBorders>
      </w:tcPr>
    </w:tblStylePr>
    <w:tblStylePr w:type="lastRow">
      <w:rPr>
        <w:b/>
        <w:bCs/>
      </w:rPr>
      <w:tblPr/>
      <w:tcPr>
        <w:tcBorders>
          <w:top w:val="single" w:sz="4" w:space="0" w:color="83C590" w:themeColor="accent6" w:themeTint="99"/>
        </w:tcBorders>
      </w:tcPr>
    </w:tblStylePr>
    <w:tblStylePr w:type="firstCol">
      <w:rPr>
        <w:b/>
        <w:bCs/>
      </w:rPr>
    </w:tblStylePr>
    <w:tblStylePr w:type="lastCol">
      <w:rPr>
        <w:b/>
        <w:bCs/>
      </w:rPr>
    </w:tblStylePr>
    <w:tblStylePr w:type="band1Vert">
      <w:tblPr/>
      <w:tcPr>
        <w:shd w:val="clear" w:color="auto" w:fill="D5EBDA" w:themeFill="accent6" w:themeFillTint="33"/>
      </w:tcPr>
    </w:tblStylePr>
    <w:tblStylePr w:type="band1Horz">
      <w:tblPr/>
      <w:tcPr>
        <w:shd w:val="clear" w:color="auto" w:fill="D5EBDA" w:themeFill="accent6" w:themeFillTint="33"/>
      </w:tcPr>
    </w:tblStylePr>
  </w:style>
  <w:style w:type="table" w:styleId="ListTable2">
    <w:name w:val="List Table 2"/>
    <w:basedOn w:val="TableNormal"/>
    <w:uiPriority w:val="47"/>
    <w:rsid w:val="009637A8"/>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9637A8"/>
    <w:pPr>
      <w:spacing w:after="0" w:line="240" w:lineRule="auto"/>
    </w:pPr>
    <w:tblPr>
      <w:tblStyleRowBandSize w:val="1"/>
      <w:tblStyleColBandSize w:val="1"/>
      <w:tblBorders>
        <w:top w:val="single" w:sz="4" w:space="0" w:color="C4B5D8" w:themeColor="accent1" w:themeTint="99"/>
        <w:bottom w:val="single" w:sz="4" w:space="0" w:color="C4B5D8" w:themeColor="accent1" w:themeTint="99"/>
        <w:insideH w:val="single" w:sz="4" w:space="0" w:color="C4B5D8"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E6F2" w:themeFill="accent1" w:themeFillTint="33"/>
      </w:tcPr>
    </w:tblStylePr>
    <w:tblStylePr w:type="band1Horz">
      <w:tblPr/>
      <w:tcPr>
        <w:shd w:val="clear" w:color="auto" w:fill="EBE6F2" w:themeFill="accent1" w:themeFillTint="33"/>
      </w:tcPr>
    </w:tblStylePr>
  </w:style>
  <w:style w:type="table" w:styleId="ListTable2-Accent2">
    <w:name w:val="List Table 2 Accent 2"/>
    <w:basedOn w:val="TableNormal"/>
    <w:uiPriority w:val="47"/>
    <w:rsid w:val="009637A8"/>
    <w:pPr>
      <w:spacing w:after="0" w:line="240" w:lineRule="auto"/>
    </w:pPr>
    <w:tblPr>
      <w:tblStyleRowBandSize w:val="1"/>
      <w:tblStyleColBandSize w:val="1"/>
      <w:tblBorders>
        <w:top w:val="single" w:sz="4" w:space="0" w:color="B1B1B1" w:themeColor="accent2" w:themeTint="99"/>
        <w:bottom w:val="single" w:sz="4" w:space="0" w:color="B1B1B1" w:themeColor="accent2" w:themeTint="99"/>
        <w:insideH w:val="single" w:sz="4" w:space="0" w:color="B1B1B1"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5E5" w:themeFill="accent2" w:themeFillTint="33"/>
      </w:tcPr>
    </w:tblStylePr>
    <w:tblStylePr w:type="band1Horz">
      <w:tblPr/>
      <w:tcPr>
        <w:shd w:val="clear" w:color="auto" w:fill="E5E5E5" w:themeFill="accent2" w:themeFillTint="33"/>
      </w:tcPr>
    </w:tblStylePr>
  </w:style>
  <w:style w:type="table" w:styleId="ListTable2-Accent3">
    <w:name w:val="List Table 2 Accent 3"/>
    <w:basedOn w:val="TableNormal"/>
    <w:uiPriority w:val="47"/>
    <w:rsid w:val="009637A8"/>
    <w:pPr>
      <w:spacing w:after="0" w:line="240" w:lineRule="auto"/>
    </w:pPr>
    <w:tblPr>
      <w:tblStyleRowBandSize w:val="1"/>
      <w:tblStyleColBandSize w:val="1"/>
      <w:tblBorders>
        <w:top w:val="single" w:sz="4" w:space="0" w:color="DEDEDE" w:themeColor="accent3" w:themeTint="99"/>
        <w:bottom w:val="single" w:sz="4" w:space="0" w:color="DEDEDE" w:themeColor="accent3" w:themeTint="99"/>
        <w:insideH w:val="single" w:sz="4" w:space="0" w:color="DEDEDE"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4F4F4" w:themeFill="accent3" w:themeFillTint="33"/>
      </w:tcPr>
    </w:tblStylePr>
    <w:tblStylePr w:type="band1Horz">
      <w:tblPr/>
      <w:tcPr>
        <w:shd w:val="clear" w:color="auto" w:fill="F4F4F4" w:themeFill="accent3" w:themeFillTint="33"/>
      </w:tcPr>
    </w:tblStylePr>
  </w:style>
  <w:style w:type="table" w:styleId="ListTable2-Accent4">
    <w:name w:val="List Table 2 Accent 4"/>
    <w:basedOn w:val="TableNormal"/>
    <w:uiPriority w:val="47"/>
    <w:rsid w:val="009637A8"/>
    <w:pPr>
      <w:spacing w:after="0" w:line="240" w:lineRule="auto"/>
    </w:pPr>
    <w:tblPr>
      <w:tblStyleRowBandSize w:val="1"/>
      <w:tblStyleColBandSize w:val="1"/>
      <w:tblBorders>
        <w:top w:val="single" w:sz="4" w:space="0" w:color="2CB8FF" w:themeColor="accent4" w:themeTint="99"/>
        <w:bottom w:val="single" w:sz="4" w:space="0" w:color="2CB8FF" w:themeColor="accent4" w:themeTint="99"/>
        <w:insideH w:val="single" w:sz="4" w:space="0" w:color="2CB8FF"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8E7FF" w:themeFill="accent4" w:themeFillTint="33"/>
      </w:tcPr>
    </w:tblStylePr>
    <w:tblStylePr w:type="band1Horz">
      <w:tblPr/>
      <w:tcPr>
        <w:shd w:val="clear" w:color="auto" w:fill="B8E7FF" w:themeFill="accent4" w:themeFillTint="33"/>
      </w:tcPr>
    </w:tblStylePr>
  </w:style>
  <w:style w:type="table" w:styleId="ListTable2-Accent5">
    <w:name w:val="List Table 2 Accent 5"/>
    <w:basedOn w:val="TableNormal"/>
    <w:uiPriority w:val="47"/>
    <w:rsid w:val="009637A8"/>
    <w:pPr>
      <w:spacing w:after="0" w:line="240" w:lineRule="auto"/>
    </w:pPr>
    <w:tblPr>
      <w:tblStyleRowBandSize w:val="1"/>
      <w:tblStyleColBandSize w:val="1"/>
      <w:tblBorders>
        <w:top w:val="single" w:sz="4" w:space="0" w:color="AFD7E6" w:themeColor="accent5" w:themeTint="99"/>
        <w:bottom w:val="single" w:sz="4" w:space="0" w:color="AFD7E6" w:themeColor="accent5" w:themeTint="99"/>
        <w:insideH w:val="single" w:sz="4" w:space="0" w:color="AFD7E6"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4F1F6" w:themeFill="accent5" w:themeFillTint="33"/>
      </w:tcPr>
    </w:tblStylePr>
    <w:tblStylePr w:type="band1Horz">
      <w:tblPr/>
      <w:tcPr>
        <w:shd w:val="clear" w:color="auto" w:fill="E4F1F6" w:themeFill="accent5" w:themeFillTint="33"/>
      </w:tcPr>
    </w:tblStylePr>
  </w:style>
  <w:style w:type="table" w:styleId="ListTable2-Accent6">
    <w:name w:val="List Table 2 Accent 6"/>
    <w:basedOn w:val="TableNormal"/>
    <w:uiPriority w:val="47"/>
    <w:rsid w:val="009637A8"/>
    <w:pPr>
      <w:spacing w:after="0" w:line="240" w:lineRule="auto"/>
    </w:pPr>
    <w:tblPr>
      <w:tblStyleRowBandSize w:val="1"/>
      <w:tblStyleColBandSize w:val="1"/>
      <w:tblBorders>
        <w:top w:val="single" w:sz="4" w:space="0" w:color="83C590" w:themeColor="accent6" w:themeTint="99"/>
        <w:bottom w:val="single" w:sz="4" w:space="0" w:color="83C590" w:themeColor="accent6" w:themeTint="99"/>
        <w:insideH w:val="single" w:sz="4" w:space="0" w:color="83C59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5EBDA" w:themeFill="accent6" w:themeFillTint="33"/>
      </w:tcPr>
    </w:tblStylePr>
    <w:tblStylePr w:type="band1Horz">
      <w:tblPr/>
      <w:tcPr>
        <w:shd w:val="clear" w:color="auto" w:fill="D5EBDA" w:themeFill="accent6" w:themeFillTint="33"/>
      </w:tcPr>
    </w:tblStylePr>
  </w:style>
  <w:style w:type="table" w:styleId="ListTable3">
    <w:name w:val="List Table 3"/>
    <w:basedOn w:val="TableNormal"/>
    <w:uiPriority w:val="48"/>
    <w:rsid w:val="009637A8"/>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9637A8"/>
    <w:pPr>
      <w:spacing w:after="0" w:line="240" w:lineRule="auto"/>
    </w:pPr>
    <w:tblPr>
      <w:tblStyleRowBandSize w:val="1"/>
      <w:tblStyleColBandSize w:val="1"/>
      <w:tblBorders>
        <w:top w:val="single" w:sz="4" w:space="0" w:color="9D85BE" w:themeColor="accent1"/>
        <w:left w:val="single" w:sz="4" w:space="0" w:color="9D85BE" w:themeColor="accent1"/>
        <w:bottom w:val="single" w:sz="4" w:space="0" w:color="9D85BE" w:themeColor="accent1"/>
        <w:right w:val="single" w:sz="4" w:space="0" w:color="9D85BE" w:themeColor="accent1"/>
      </w:tblBorders>
    </w:tblPr>
    <w:tblStylePr w:type="firstRow">
      <w:rPr>
        <w:b/>
        <w:bCs/>
        <w:color w:val="FFFFFF" w:themeColor="background1"/>
      </w:rPr>
      <w:tblPr/>
      <w:tcPr>
        <w:shd w:val="clear" w:color="auto" w:fill="9D85BE" w:themeFill="accent1"/>
      </w:tcPr>
    </w:tblStylePr>
    <w:tblStylePr w:type="lastRow">
      <w:rPr>
        <w:b/>
        <w:bCs/>
      </w:rPr>
      <w:tblPr/>
      <w:tcPr>
        <w:tcBorders>
          <w:top w:val="double" w:sz="4" w:space="0" w:color="9D85BE"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D85BE" w:themeColor="accent1"/>
          <w:right w:val="single" w:sz="4" w:space="0" w:color="9D85BE" w:themeColor="accent1"/>
        </w:tcBorders>
      </w:tcPr>
    </w:tblStylePr>
    <w:tblStylePr w:type="band1Horz">
      <w:tblPr/>
      <w:tcPr>
        <w:tcBorders>
          <w:top w:val="single" w:sz="4" w:space="0" w:color="9D85BE" w:themeColor="accent1"/>
          <w:bottom w:val="single" w:sz="4" w:space="0" w:color="9D85BE"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D85BE" w:themeColor="accent1"/>
          <w:left w:val="nil"/>
        </w:tcBorders>
      </w:tcPr>
    </w:tblStylePr>
    <w:tblStylePr w:type="swCell">
      <w:tblPr/>
      <w:tcPr>
        <w:tcBorders>
          <w:top w:val="double" w:sz="4" w:space="0" w:color="9D85BE" w:themeColor="accent1"/>
          <w:right w:val="nil"/>
        </w:tcBorders>
      </w:tcPr>
    </w:tblStylePr>
  </w:style>
  <w:style w:type="table" w:styleId="ListTable3-Accent2">
    <w:name w:val="List Table 3 Accent 2"/>
    <w:basedOn w:val="TableNormal"/>
    <w:uiPriority w:val="48"/>
    <w:rsid w:val="009637A8"/>
    <w:pPr>
      <w:spacing w:after="0" w:line="240" w:lineRule="auto"/>
    </w:pPr>
    <w:tblPr>
      <w:tblStyleRowBandSize w:val="1"/>
      <w:tblStyleColBandSize w:val="1"/>
      <w:tblBorders>
        <w:top w:val="single" w:sz="4" w:space="0" w:color="7D7D7D" w:themeColor="accent2"/>
        <w:left w:val="single" w:sz="4" w:space="0" w:color="7D7D7D" w:themeColor="accent2"/>
        <w:bottom w:val="single" w:sz="4" w:space="0" w:color="7D7D7D" w:themeColor="accent2"/>
        <w:right w:val="single" w:sz="4" w:space="0" w:color="7D7D7D" w:themeColor="accent2"/>
      </w:tblBorders>
    </w:tblPr>
    <w:tblStylePr w:type="firstRow">
      <w:rPr>
        <w:b/>
        <w:bCs/>
        <w:color w:val="FFFFFF" w:themeColor="background1"/>
      </w:rPr>
      <w:tblPr/>
      <w:tcPr>
        <w:shd w:val="clear" w:color="auto" w:fill="7D7D7D" w:themeFill="accent2"/>
      </w:tcPr>
    </w:tblStylePr>
    <w:tblStylePr w:type="lastRow">
      <w:rPr>
        <w:b/>
        <w:bCs/>
      </w:rPr>
      <w:tblPr/>
      <w:tcPr>
        <w:tcBorders>
          <w:top w:val="double" w:sz="4" w:space="0" w:color="7D7D7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D7D7D" w:themeColor="accent2"/>
          <w:right w:val="single" w:sz="4" w:space="0" w:color="7D7D7D" w:themeColor="accent2"/>
        </w:tcBorders>
      </w:tcPr>
    </w:tblStylePr>
    <w:tblStylePr w:type="band1Horz">
      <w:tblPr/>
      <w:tcPr>
        <w:tcBorders>
          <w:top w:val="single" w:sz="4" w:space="0" w:color="7D7D7D" w:themeColor="accent2"/>
          <w:bottom w:val="single" w:sz="4" w:space="0" w:color="7D7D7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D7D7D" w:themeColor="accent2"/>
          <w:left w:val="nil"/>
        </w:tcBorders>
      </w:tcPr>
    </w:tblStylePr>
    <w:tblStylePr w:type="swCell">
      <w:tblPr/>
      <w:tcPr>
        <w:tcBorders>
          <w:top w:val="double" w:sz="4" w:space="0" w:color="7D7D7D" w:themeColor="accent2"/>
          <w:right w:val="nil"/>
        </w:tcBorders>
      </w:tcPr>
    </w:tblStylePr>
  </w:style>
  <w:style w:type="table" w:styleId="ListTable3-Accent3">
    <w:name w:val="List Table 3 Accent 3"/>
    <w:basedOn w:val="TableNormal"/>
    <w:uiPriority w:val="48"/>
    <w:rsid w:val="009637A8"/>
    <w:pPr>
      <w:spacing w:after="0" w:line="240" w:lineRule="auto"/>
    </w:pPr>
    <w:tblPr>
      <w:tblStyleRowBandSize w:val="1"/>
      <w:tblStyleColBandSize w:val="1"/>
      <w:tblBorders>
        <w:top w:val="single" w:sz="4" w:space="0" w:color="C8C8C8" w:themeColor="accent3"/>
        <w:left w:val="single" w:sz="4" w:space="0" w:color="C8C8C8" w:themeColor="accent3"/>
        <w:bottom w:val="single" w:sz="4" w:space="0" w:color="C8C8C8" w:themeColor="accent3"/>
        <w:right w:val="single" w:sz="4" w:space="0" w:color="C8C8C8" w:themeColor="accent3"/>
      </w:tblBorders>
    </w:tblPr>
    <w:tblStylePr w:type="firstRow">
      <w:rPr>
        <w:b/>
        <w:bCs/>
        <w:color w:val="FFFFFF" w:themeColor="background1"/>
      </w:rPr>
      <w:tblPr/>
      <w:tcPr>
        <w:shd w:val="clear" w:color="auto" w:fill="C8C8C8" w:themeFill="accent3"/>
      </w:tcPr>
    </w:tblStylePr>
    <w:tblStylePr w:type="lastRow">
      <w:rPr>
        <w:b/>
        <w:bCs/>
      </w:rPr>
      <w:tblPr/>
      <w:tcPr>
        <w:tcBorders>
          <w:top w:val="double" w:sz="4" w:space="0" w:color="C8C8C8"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8C8C8" w:themeColor="accent3"/>
          <w:right w:val="single" w:sz="4" w:space="0" w:color="C8C8C8" w:themeColor="accent3"/>
        </w:tcBorders>
      </w:tcPr>
    </w:tblStylePr>
    <w:tblStylePr w:type="band1Horz">
      <w:tblPr/>
      <w:tcPr>
        <w:tcBorders>
          <w:top w:val="single" w:sz="4" w:space="0" w:color="C8C8C8" w:themeColor="accent3"/>
          <w:bottom w:val="single" w:sz="4" w:space="0" w:color="C8C8C8"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8C8C8" w:themeColor="accent3"/>
          <w:left w:val="nil"/>
        </w:tcBorders>
      </w:tcPr>
    </w:tblStylePr>
    <w:tblStylePr w:type="swCell">
      <w:tblPr/>
      <w:tcPr>
        <w:tcBorders>
          <w:top w:val="double" w:sz="4" w:space="0" w:color="C8C8C8" w:themeColor="accent3"/>
          <w:right w:val="nil"/>
        </w:tcBorders>
      </w:tcPr>
    </w:tblStylePr>
  </w:style>
  <w:style w:type="table" w:styleId="ListTable3-Accent4">
    <w:name w:val="List Table 3 Accent 4"/>
    <w:basedOn w:val="TableNormal"/>
    <w:uiPriority w:val="48"/>
    <w:rsid w:val="009637A8"/>
    <w:pPr>
      <w:spacing w:after="0" w:line="240" w:lineRule="auto"/>
    </w:pPr>
    <w:tblPr>
      <w:tblStyleRowBandSize w:val="1"/>
      <w:tblStyleColBandSize w:val="1"/>
      <w:tblBorders>
        <w:top w:val="single" w:sz="4" w:space="0" w:color="006A9F" w:themeColor="accent4"/>
        <w:left w:val="single" w:sz="4" w:space="0" w:color="006A9F" w:themeColor="accent4"/>
        <w:bottom w:val="single" w:sz="4" w:space="0" w:color="006A9F" w:themeColor="accent4"/>
        <w:right w:val="single" w:sz="4" w:space="0" w:color="006A9F" w:themeColor="accent4"/>
      </w:tblBorders>
    </w:tblPr>
    <w:tblStylePr w:type="firstRow">
      <w:rPr>
        <w:b/>
        <w:bCs/>
        <w:color w:val="FFFFFF" w:themeColor="background1"/>
      </w:rPr>
      <w:tblPr/>
      <w:tcPr>
        <w:shd w:val="clear" w:color="auto" w:fill="006A9F" w:themeFill="accent4"/>
      </w:tcPr>
    </w:tblStylePr>
    <w:tblStylePr w:type="lastRow">
      <w:rPr>
        <w:b/>
        <w:bCs/>
      </w:rPr>
      <w:tblPr/>
      <w:tcPr>
        <w:tcBorders>
          <w:top w:val="double" w:sz="4" w:space="0" w:color="006A9F"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6A9F" w:themeColor="accent4"/>
          <w:right w:val="single" w:sz="4" w:space="0" w:color="006A9F" w:themeColor="accent4"/>
        </w:tcBorders>
      </w:tcPr>
    </w:tblStylePr>
    <w:tblStylePr w:type="band1Horz">
      <w:tblPr/>
      <w:tcPr>
        <w:tcBorders>
          <w:top w:val="single" w:sz="4" w:space="0" w:color="006A9F" w:themeColor="accent4"/>
          <w:bottom w:val="single" w:sz="4" w:space="0" w:color="006A9F"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6A9F" w:themeColor="accent4"/>
          <w:left w:val="nil"/>
        </w:tcBorders>
      </w:tcPr>
    </w:tblStylePr>
    <w:tblStylePr w:type="swCell">
      <w:tblPr/>
      <w:tcPr>
        <w:tcBorders>
          <w:top w:val="double" w:sz="4" w:space="0" w:color="006A9F" w:themeColor="accent4"/>
          <w:right w:val="nil"/>
        </w:tcBorders>
      </w:tcPr>
    </w:tblStylePr>
  </w:style>
  <w:style w:type="table" w:styleId="ListTable3-Accent5">
    <w:name w:val="List Table 3 Accent 5"/>
    <w:basedOn w:val="TableNormal"/>
    <w:uiPriority w:val="48"/>
    <w:rsid w:val="009637A8"/>
    <w:pPr>
      <w:spacing w:after="0" w:line="240" w:lineRule="auto"/>
    </w:pPr>
    <w:tblPr>
      <w:tblStyleRowBandSize w:val="1"/>
      <w:tblStyleColBandSize w:val="1"/>
      <w:tblBorders>
        <w:top w:val="single" w:sz="4" w:space="0" w:color="7BBDD6" w:themeColor="accent5"/>
        <w:left w:val="single" w:sz="4" w:space="0" w:color="7BBDD6" w:themeColor="accent5"/>
        <w:bottom w:val="single" w:sz="4" w:space="0" w:color="7BBDD6" w:themeColor="accent5"/>
        <w:right w:val="single" w:sz="4" w:space="0" w:color="7BBDD6" w:themeColor="accent5"/>
      </w:tblBorders>
    </w:tblPr>
    <w:tblStylePr w:type="firstRow">
      <w:rPr>
        <w:b/>
        <w:bCs/>
        <w:color w:val="FFFFFF" w:themeColor="background1"/>
      </w:rPr>
      <w:tblPr/>
      <w:tcPr>
        <w:shd w:val="clear" w:color="auto" w:fill="7BBDD6" w:themeFill="accent5"/>
      </w:tcPr>
    </w:tblStylePr>
    <w:tblStylePr w:type="lastRow">
      <w:rPr>
        <w:b/>
        <w:bCs/>
      </w:rPr>
      <w:tblPr/>
      <w:tcPr>
        <w:tcBorders>
          <w:top w:val="double" w:sz="4" w:space="0" w:color="7BBDD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BBDD6" w:themeColor="accent5"/>
          <w:right w:val="single" w:sz="4" w:space="0" w:color="7BBDD6" w:themeColor="accent5"/>
        </w:tcBorders>
      </w:tcPr>
    </w:tblStylePr>
    <w:tblStylePr w:type="band1Horz">
      <w:tblPr/>
      <w:tcPr>
        <w:tcBorders>
          <w:top w:val="single" w:sz="4" w:space="0" w:color="7BBDD6" w:themeColor="accent5"/>
          <w:bottom w:val="single" w:sz="4" w:space="0" w:color="7BBDD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BBDD6" w:themeColor="accent5"/>
          <w:left w:val="nil"/>
        </w:tcBorders>
      </w:tcPr>
    </w:tblStylePr>
    <w:tblStylePr w:type="swCell">
      <w:tblPr/>
      <w:tcPr>
        <w:tcBorders>
          <w:top w:val="double" w:sz="4" w:space="0" w:color="7BBDD6" w:themeColor="accent5"/>
          <w:right w:val="nil"/>
        </w:tcBorders>
      </w:tcPr>
    </w:tblStylePr>
  </w:style>
  <w:style w:type="table" w:styleId="ListTable3-Accent6">
    <w:name w:val="List Table 3 Accent 6"/>
    <w:basedOn w:val="TableNormal"/>
    <w:uiPriority w:val="48"/>
    <w:rsid w:val="009637A8"/>
    <w:pPr>
      <w:spacing w:after="0" w:line="240" w:lineRule="auto"/>
    </w:pPr>
    <w:tblPr>
      <w:tblStyleRowBandSize w:val="1"/>
      <w:tblStyleColBandSize w:val="1"/>
      <w:tblBorders>
        <w:top w:val="single" w:sz="4" w:space="0" w:color="428D52" w:themeColor="accent6"/>
        <w:left w:val="single" w:sz="4" w:space="0" w:color="428D52" w:themeColor="accent6"/>
        <w:bottom w:val="single" w:sz="4" w:space="0" w:color="428D52" w:themeColor="accent6"/>
        <w:right w:val="single" w:sz="4" w:space="0" w:color="428D52" w:themeColor="accent6"/>
      </w:tblBorders>
    </w:tblPr>
    <w:tblStylePr w:type="firstRow">
      <w:rPr>
        <w:b/>
        <w:bCs/>
        <w:color w:val="FFFFFF" w:themeColor="background1"/>
      </w:rPr>
      <w:tblPr/>
      <w:tcPr>
        <w:shd w:val="clear" w:color="auto" w:fill="428D52" w:themeFill="accent6"/>
      </w:tcPr>
    </w:tblStylePr>
    <w:tblStylePr w:type="lastRow">
      <w:rPr>
        <w:b/>
        <w:bCs/>
      </w:rPr>
      <w:tblPr/>
      <w:tcPr>
        <w:tcBorders>
          <w:top w:val="double" w:sz="4" w:space="0" w:color="428D52"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28D52" w:themeColor="accent6"/>
          <w:right w:val="single" w:sz="4" w:space="0" w:color="428D52" w:themeColor="accent6"/>
        </w:tcBorders>
      </w:tcPr>
    </w:tblStylePr>
    <w:tblStylePr w:type="band1Horz">
      <w:tblPr/>
      <w:tcPr>
        <w:tcBorders>
          <w:top w:val="single" w:sz="4" w:space="0" w:color="428D52" w:themeColor="accent6"/>
          <w:bottom w:val="single" w:sz="4" w:space="0" w:color="428D52"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28D52" w:themeColor="accent6"/>
          <w:left w:val="nil"/>
        </w:tcBorders>
      </w:tcPr>
    </w:tblStylePr>
    <w:tblStylePr w:type="swCell">
      <w:tblPr/>
      <w:tcPr>
        <w:tcBorders>
          <w:top w:val="double" w:sz="4" w:space="0" w:color="428D52" w:themeColor="accent6"/>
          <w:right w:val="nil"/>
        </w:tcBorders>
      </w:tcPr>
    </w:tblStylePr>
  </w:style>
  <w:style w:type="table" w:styleId="ListTable4">
    <w:name w:val="List Table 4"/>
    <w:basedOn w:val="TableNormal"/>
    <w:uiPriority w:val="49"/>
    <w:rsid w:val="009637A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9637A8"/>
    <w:pPr>
      <w:spacing w:after="0" w:line="240" w:lineRule="auto"/>
    </w:pPr>
    <w:tblPr>
      <w:tblStyleRowBandSize w:val="1"/>
      <w:tblStyleColBandSize w:val="1"/>
      <w:tblBorders>
        <w:top w:val="single" w:sz="4" w:space="0" w:color="C4B5D8" w:themeColor="accent1" w:themeTint="99"/>
        <w:left w:val="single" w:sz="4" w:space="0" w:color="C4B5D8" w:themeColor="accent1" w:themeTint="99"/>
        <w:bottom w:val="single" w:sz="4" w:space="0" w:color="C4B5D8" w:themeColor="accent1" w:themeTint="99"/>
        <w:right w:val="single" w:sz="4" w:space="0" w:color="C4B5D8" w:themeColor="accent1" w:themeTint="99"/>
        <w:insideH w:val="single" w:sz="4" w:space="0" w:color="C4B5D8" w:themeColor="accent1" w:themeTint="99"/>
      </w:tblBorders>
    </w:tblPr>
    <w:tblStylePr w:type="firstRow">
      <w:rPr>
        <w:b/>
        <w:bCs/>
        <w:color w:val="FFFFFF" w:themeColor="background1"/>
      </w:rPr>
      <w:tblPr/>
      <w:tcPr>
        <w:tcBorders>
          <w:top w:val="single" w:sz="4" w:space="0" w:color="9D85BE" w:themeColor="accent1"/>
          <w:left w:val="single" w:sz="4" w:space="0" w:color="9D85BE" w:themeColor="accent1"/>
          <w:bottom w:val="single" w:sz="4" w:space="0" w:color="9D85BE" w:themeColor="accent1"/>
          <w:right w:val="single" w:sz="4" w:space="0" w:color="9D85BE" w:themeColor="accent1"/>
          <w:insideH w:val="nil"/>
        </w:tcBorders>
        <w:shd w:val="clear" w:color="auto" w:fill="9D85BE" w:themeFill="accent1"/>
      </w:tcPr>
    </w:tblStylePr>
    <w:tblStylePr w:type="lastRow">
      <w:rPr>
        <w:b/>
        <w:bCs/>
      </w:rPr>
      <w:tblPr/>
      <w:tcPr>
        <w:tcBorders>
          <w:top w:val="double" w:sz="4" w:space="0" w:color="C4B5D8" w:themeColor="accent1" w:themeTint="99"/>
        </w:tcBorders>
      </w:tcPr>
    </w:tblStylePr>
    <w:tblStylePr w:type="firstCol">
      <w:rPr>
        <w:b/>
        <w:bCs/>
      </w:rPr>
    </w:tblStylePr>
    <w:tblStylePr w:type="lastCol">
      <w:rPr>
        <w:b/>
        <w:bCs/>
      </w:rPr>
    </w:tblStylePr>
    <w:tblStylePr w:type="band1Vert">
      <w:tblPr/>
      <w:tcPr>
        <w:shd w:val="clear" w:color="auto" w:fill="EBE6F2" w:themeFill="accent1" w:themeFillTint="33"/>
      </w:tcPr>
    </w:tblStylePr>
    <w:tblStylePr w:type="band1Horz">
      <w:tblPr/>
      <w:tcPr>
        <w:shd w:val="clear" w:color="auto" w:fill="EBE6F2" w:themeFill="accent1" w:themeFillTint="33"/>
      </w:tcPr>
    </w:tblStylePr>
  </w:style>
  <w:style w:type="table" w:styleId="ListTable4-Accent2">
    <w:name w:val="List Table 4 Accent 2"/>
    <w:basedOn w:val="TableNormal"/>
    <w:uiPriority w:val="49"/>
    <w:rsid w:val="009637A8"/>
    <w:pPr>
      <w:spacing w:after="0" w:line="240" w:lineRule="auto"/>
    </w:pPr>
    <w:tblPr>
      <w:tblStyleRowBandSize w:val="1"/>
      <w:tblStyleColBandSize w:val="1"/>
      <w:tblBorders>
        <w:top w:val="single" w:sz="4" w:space="0" w:color="B1B1B1" w:themeColor="accent2" w:themeTint="99"/>
        <w:left w:val="single" w:sz="4" w:space="0" w:color="B1B1B1" w:themeColor="accent2" w:themeTint="99"/>
        <w:bottom w:val="single" w:sz="4" w:space="0" w:color="B1B1B1" w:themeColor="accent2" w:themeTint="99"/>
        <w:right w:val="single" w:sz="4" w:space="0" w:color="B1B1B1" w:themeColor="accent2" w:themeTint="99"/>
        <w:insideH w:val="single" w:sz="4" w:space="0" w:color="B1B1B1" w:themeColor="accent2" w:themeTint="99"/>
      </w:tblBorders>
    </w:tblPr>
    <w:tblStylePr w:type="firstRow">
      <w:rPr>
        <w:b/>
        <w:bCs/>
        <w:color w:val="FFFFFF" w:themeColor="background1"/>
      </w:rPr>
      <w:tblPr/>
      <w:tcPr>
        <w:tcBorders>
          <w:top w:val="single" w:sz="4" w:space="0" w:color="7D7D7D" w:themeColor="accent2"/>
          <w:left w:val="single" w:sz="4" w:space="0" w:color="7D7D7D" w:themeColor="accent2"/>
          <w:bottom w:val="single" w:sz="4" w:space="0" w:color="7D7D7D" w:themeColor="accent2"/>
          <w:right w:val="single" w:sz="4" w:space="0" w:color="7D7D7D" w:themeColor="accent2"/>
          <w:insideH w:val="nil"/>
        </w:tcBorders>
        <w:shd w:val="clear" w:color="auto" w:fill="7D7D7D" w:themeFill="accent2"/>
      </w:tcPr>
    </w:tblStylePr>
    <w:tblStylePr w:type="lastRow">
      <w:rPr>
        <w:b/>
        <w:bCs/>
      </w:rPr>
      <w:tblPr/>
      <w:tcPr>
        <w:tcBorders>
          <w:top w:val="double" w:sz="4" w:space="0" w:color="B1B1B1" w:themeColor="accent2" w:themeTint="99"/>
        </w:tcBorders>
      </w:tcPr>
    </w:tblStylePr>
    <w:tblStylePr w:type="firstCol">
      <w:rPr>
        <w:b/>
        <w:bCs/>
      </w:rPr>
    </w:tblStylePr>
    <w:tblStylePr w:type="lastCol">
      <w:rPr>
        <w:b/>
        <w:bCs/>
      </w:rPr>
    </w:tblStylePr>
    <w:tblStylePr w:type="band1Vert">
      <w:tblPr/>
      <w:tcPr>
        <w:shd w:val="clear" w:color="auto" w:fill="E5E5E5" w:themeFill="accent2" w:themeFillTint="33"/>
      </w:tcPr>
    </w:tblStylePr>
    <w:tblStylePr w:type="band1Horz">
      <w:tblPr/>
      <w:tcPr>
        <w:shd w:val="clear" w:color="auto" w:fill="E5E5E5" w:themeFill="accent2" w:themeFillTint="33"/>
      </w:tcPr>
    </w:tblStylePr>
  </w:style>
  <w:style w:type="table" w:styleId="ListTable4-Accent3">
    <w:name w:val="List Table 4 Accent 3"/>
    <w:basedOn w:val="TableNormal"/>
    <w:uiPriority w:val="49"/>
    <w:rsid w:val="009637A8"/>
    <w:pPr>
      <w:spacing w:after="0" w:line="240" w:lineRule="auto"/>
    </w:pPr>
    <w:tblPr>
      <w:tblStyleRowBandSize w:val="1"/>
      <w:tblStyleColBandSize w:val="1"/>
      <w:tblBorders>
        <w:top w:val="single" w:sz="4" w:space="0" w:color="DEDEDE" w:themeColor="accent3" w:themeTint="99"/>
        <w:left w:val="single" w:sz="4" w:space="0" w:color="DEDEDE" w:themeColor="accent3" w:themeTint="99"/>
        <w:bottom w:val="single" w:sz="4" w:space="0" w:color="DEDEDE" w:themeColor="accent3" w:themeTint="99"/>
        <w:right w:val="single" w:sz="4" w:space="0" w:color="DEDEDE" w:themeColor="accent3" w:themeTint="99"/>
        <w:insideH w:val="single" w:sz="4" w:space="0" w:color="DEDEDE" w:themeColor="accent3" w:themeTint="99"/>
      </w:tblBorders>
    </w:tblPr>
    <w:tblStylePr w:type="firstRow">
      <w:rPr>
        <w:b/>
        <w:bCs/>
        <w:color w:val="FFFFFF" w:themeColor="background1"/>
      </w:rPr>
      <w:tblPr/>
      <w:tcPr>
        <w:tcBorders>
          <w:top w:val="single" w:sz="4" w:space="0" w:color="C8C8C8" w:themeColor="accent3"/>
          <w:left w:val="single" w:sz="4" w:space="0" w:color="C8C8C8" w:themeColor="accent3"/>
          <w:bottom w:val="single" w:sz="4" w:space="0" w:color="C8C8C8" w:themeColor="accent3"/>
          <w:right w:val="single" w:sz="4" w:space="0" w:color="C8C8C8" w:themeColor="accent3"/>
          <w:insideH w:val="nil"/>
        </w:tcBorders>
        <w:shd w:val="clear" w:color="auto" w:fill="C8C8C8" w:themeFill="accent3"/>
      </w:tcPr>
    </w:tblStylePr>
    <w:tblStylePr w:type="lastRow">
      <w:rPr>
        <w:b/>
        <w:bCs/>
      </w:rPr>
      <w:tblPr/>
      <w:tcPr>
        <w:tcBorders>
          <w:top w:val="double" w:sz="4" w:space="0" w:color="DEDEDE" w:themeColor="accent3" w:themeTint="99"/>
        </w:tcBorders>
      </w:tcPr>
    </w:tblStylePr>
    <w:tblStylePr w:type="firstCol">
      <w:rPr>
        <w:b/>
        <w:bCs/>
      </w:rPr>
    </w:tblStylePr>
    <w:tblStylePr w:type="lastCol">
      <w:rPr>
        <w:b/>
        <w:bCs/>
      </w:rPr>
    </w:tblStylePr>
    <w:tblStylePr w:type="band1Vert">
      <w:tblPr/>
      <w:tcPr>
        <w:shd w:val="clear" w:color="auto" w:fill="F4F4F4" w:themeFill="accent3" w:themeFillTint="33"/>
      </w:tcPr>
    </w:tblStylePr>
    <w:tblStylePr w:type="band1Horz">
      <w:tblPr/>
      <w:tcPr>
        <w:shd w:val="clear" w:color="auto" w:fill="F4F4F4" w:themeFill="accent3" w:themeFillTint="33"/>
      </w:tcPr>
    </w:tblStylePr>
  </w:style>
  <w:style w:type="table" w:styleId="ListTable4-Accent4">
    <w:name w:val="List Table 4 Accent 4"/>
    <w:basedOn w:val="TableNormal"/>
    <w:uiPriority w:val="49"/>
    <w:rsid w:val="009637A8"/>
    <w:pPr>
      <w:spacing w:after="0" w:line="240" w:lineRule="auto"/>
    </w:pPr>
    <w:tblPr>
      <w:tblStyleRowBandSize w:val="1"/>
      <w:tblStyleColBandSize w:val="1"/>
      <w:tblBorders>
        <w:top w:val="single" w:sz="4" w:space="0" w:color="2CB8FF" w:themeColor="accent4" w:themeTint="99"/>
        <w:left w:val="single" w:sz="4" w:space="0" w:color="2CB8FF" w:themeColor="accent4" w:themeTint="99"/>
        <w:bottom w:val="single" w:sz="4" w:space="0" w:color="2CB8FF" w:themeColor="accent4" w:themeTint="99"/>
        <w:right w:val="single" w:sz="4" w:space="0" w:color="2CB8FF" w:themeColor="accent4" w:themeTint="99"/>
        <w:insideH w:val="single" w:sz="4" w:space="0" w:color="2CB8FF" w:themeColor="accent4" w:themeTint="99"/>
      </w:tblBorders>
    </w:tblPr>
    <w:tblStylePr w:type="firstRow">
      <w:rPr>
        <w:b/>
        <w:bCs/>
        <w:color w:val="FFFFFF" w:themeColor="background1"/>
      </w:rPr>
      <w:tblPr/>
      <w:tcPr>
        <w:tcBorders>
          <w:top w:val="single" w:sz="4" w:space="0" w:color="006A9F" w:themeColor="accent4"/>
          <w:left w:val="single" w:sz="4" w:space="0" w:color="006A9F" w:themeColor="accent4"/>
          <w:bottom w:val="single" w:sz="4" w:space="0" w:color="006A9F" w:themeColor="accent4"/>
          <w:right w:val="single" w:sz="4" w:space="0" w:color="006A9F" w:themeColor="accent4"/>
          <w:insideH w:val="nil"/>
        </w:tcBorders>
        <w:shd w:val="clear" w:color="auto" w:fill="006A9F" w:themeFill="accent4"/>
      </w:tcPr>
    </w:tblStylePr>
    <w:tblStylePr w:type="lastRow">
      <w:rPr>
        <w:b/>
        <w:bCs/>
      </w:rPr>
      <w:tblPr/>
      <w:tcPr>
        <w:tcBorders>
          <w:top w:val="double" w:sz="4" w:space="0" w:color="2CB8FF" w:themeColor="accent4" w:themeTint="99"/>
        </w:tcBorders>
      </w:tcPr>
    </w:tblStylePr>
    <w:tblStylePr w:type="firstCol">
      <w:rPr>
        <w:b/>
        <w:bCs/>
      </w:rPr>
    </w:tblStylePr>
    <w:tblStylePr w:type="lastCol">
      <w:rPr>
        <w:b/>
        <w:bCs/>
      </w:rPr>
    </w:tblStylePr>
    <w:tblStylePr w:type="band1Vert">
      <w:tblPr/>
      <w:tcPr>
        <w:shd w:val="clear" w:color="auto" w:fill="B8E7FF" w:themeFill="accent4" w:themeFillTint="33"/>
      </w:tcPr>
    </w:tblStylePr>
    <w:tblStylePr w:type="band1Horz">
      <w:tblPr/>
      <w:tcPr>
        <w:shd w:val="clear" w:color="auto" w:fill="B8E7FF" w:themeFill="accent4" w:themeFillTint="33"/>
      </w:tcPr>
    </w:tblStylePr>
  </w:style>
  <w:style w:type="table" w:styleId="ListTable4-Accent5">
    <w:name w:val="List Table 4 Accent 5"/>
    <w:basedOn w:val="TableNormal"/>
    <w:uiPriority w:val="49"/>
    <w:rsid w:val="009637A8"/>
    <w:pPr>
      <w:spacing w:after="0" w:line="240" w:lineRule="auto"/>
    </w:pPr>
    <w:tblPr>
      <w:tblStyleRowBandSize w:val="1"/>
      <w:tblStyleColBandSize w:val="1"/>
      <w:tblBorders>
        <w:top w:val="single" w:sz="4" w:space="0" w:color="AFD7E6" w:themeColor="accent5" w:themeTint="99"/>
        <w:left w:val="single" w:sz="4" w:space="0" w:color="AFD7E6" w:themeColor="accent5" w:themeTint="99"/>
        <w:bottom w:val="single" w:sz="4" w:space="0" w:color="AFD7E6" w:themeColor="accent5" w:themeTint="99"/>
        <w:right w:val="single" w:sz="4" w:space="0" w:color="AFD7E6" w:themeColor="accent5" w:themeTint="99"/>
        <w:insideH w:val="single" w:sz="4" w:space="0" w:color="AFD7E6" w:themeColor="accent5" w:themeTint="99"/>
      </w:tblBorders>
    </w:tblPr>
    <w:tblStylePr w:type="firstRow">
      <w:rPr>
        <w:b/>
        <w:bCs/>
        <w:color w:val="FFFFFF" w:themeColor="background1"/>
      </w:rPr>
      <w:tblPr/>
      <w:tcPr>
        <w:tcBorders>
          <w:top w:val="single" w:sz="4" w:space="0" w:color="7BBDD6" w:themeColor="accent5"/>
          <w:left w:val="single" w:sz="4" w:space="0" w:color="7BBDD6" w:themeColor="accent5"/>
          <w:bottom w:val="single" w:sz="4" w:space="0" w:color="7BBDD6" w:themeColor="accent5"/>
          <w:right w:val="single" w:sz="4" w:space="0" w:color="7BBDD6" w:themeColor="accent5"/>
          <w:insideH w:val="nil"/>
        </w:tcBorders>
        <w:shd w:val="clear" w:color="auto" w:fill="7BBDD6" w:themeFill="accent5"/>
      </w:tcPr>
    </w:tblStylePr>
    <w:tblStylePr w:type="lastRow">
      <w:rPr>
        <w:b/>
        <w:bCs/>
      </w:rPr>
      <w:tblPr/>
      <w:tcPr>
        <w:tcBorders>
          <w:top w:val="double" w:sz="4" w:space="0" w:color="AFD7E6" w:themeColor="accent5" w:themeTint="99"/>
        </w:tcBorders>
      </w:tcPr>
    </w:tblStylePr>
    <w:tblStylePr w:type="firstCol">
      <w:rPr>
        <w:b/>
        <w:bCs/>
      </w:rPr>
    </w:tblStylePr>
    <w:tblStylePr w:type="lastCol">
      <w:rPr>
        <w:b/>
        <w:bCs/>
      </w:rPr>
    </w:tblStylePr>
    <w:tblStylePr w:type="band1Vert">
      <w:tblPr/>
      <w:tcPr>
        <w:shd w:val="clear" w:color="auto" w:fill="E4F1F6" w:themeFill="accent5" w:themeFillTint="33"/>
      </w:tcPr>
    </w:tblStylePr>
    <w:tblStylePr w:type="band1Horz">
      <w:tblPr/>
      <w:tcPr>
        <w:shd w:val="clear" w:color="auto" w:fill="E4F1F6" w:themeFill="accent5" w:themeFillTint="33"/>
      </w:tcPr>
    </w:tblStylePr>
  </w:style>
  <w:style w:type="table" w:styleId="ListTable4-Accent6">
    <w:name w:val="List Table 4 Accent 6"/>
    <w:basedOn w:val="TableNormal"/>
    <w:uiPriority w:val="49"/>
    <w:rsid w:val="009637A8"/>
    <w:pPr>
      <w:spacing w:after="0" w:line="240" w:lineRule="auto"/>
    </w:pPr>
    <w:tblPr>
      <w:tblStyleRowBandSize w:val="1"/>
      <w:tblStyleColBandSize w:val="1"/>
      <w:tblBorders>
        <w:top w:val="single" w:sz="4" w:space="0" w:color="83C590" w:themeColor="accent6" w:themeTint="99"/>
        <w:left w:val="single" w:sz="4" w:space="0" w:color="83C590" w:themeColor="accent6" w:themeTint="99"/>
        <w:bottom w:val="single" w:sz="4" w:space="0" w:color="83C590" w:themeColor="accent6" w:themeTint="99"/>
        <w:right w:val="single" w:sz="4" w:space="0" w:color="83C590" w:themeColor="accent6" w:themeTint="99"/>
        <w:insideH w:val="single" w:sz="4" w:space="0" w:color="83C590" w:themeColor="accent6" w:themeTint="99"/>
      </w:tblBorders>
    </w:tblPr>
    <w:tblStylePr w:type="firstRow">
      <w:rPr>
        <w:b/>
        <w:bCs/>
        <w:color w:val="FFFFFF" w:themeColor="background1"/>
      </w:rPr>
      <w:tblPr/>
      <w:tcPr>
        <w:tcBorders>
          <w:top w:val="single" w:sz="4" w:space="0" w:color="428D52" w:themeColor="accent6"/>
          <w:left w:val="single" w:sz="4" w:space="0" w:color="428D52" w:themeColor="accent6"/>
          <w:bottom w:val="single" w:sz="4" w:space="0" w:color="428D52" w:themeColor="accent6"/>
          <w:right w:val="single" w:sz="4" w:space="0" w:color="428D52" w:themeColor="accent6"/>
          <w:insideH w:val="nil"/>
        </w:tcBorders>
        <w:shd w:val="clear" w:color="auto" w:fill="428D52" w:themeFill="accent6"/>
      </w:tcPr>
    </w:tblStylePr>
    <w:tblStylePr w:type="lastRow">
      <w:rPr>
        <w:b/>
        <w:bCs/>
      </w:rPr>
      <w:tblPr/>
      <w:tcPr>
        <w:tcBorders>
          <w:top w:val="double" w:sz="4" w:space="0" w:color="83C590" w:themeColor="accent6" w:themeTint="99"/>
        </w:tcBorders>
      </w:tcPr>
    </w:tblStylePr>
    <w:tblStylePr w:type="firstCol">
      <w:rPr>
        <w:b/>
        <w:bCs/>
      </w:rPr>
    </w:tblStylePr>
    <w:tblStylePr w:type="lastCol">
      <w:rPr>
        <w:b/>
        <w:bCs/>
      </w:rPr>
    </w:tblStylePr>
    <w:tblStylePr w:type="band1Vert">
      <w:tblPr/>
      <w:tcPr>
        <w:shd w:val="clear" w:color="auto" w:fill="D5EBDA" w:themeFill="accent6" w:themeFillTint="33"/>
      </w:tcPr>
    </w:tblStylePr>
    <w:tblStylePr w:type="band1Horz">
      <w:tblPr/>
      <w:tcPr>
        <w:shd w:val="clear" w:color="auto" w:fill="D5EBDA" w:themeFill="accent6" w:themeFillTint="33"/>
      </w:tcPr>
    </w:tblStylePr>
  </w:style>
  <w:style w:type="table" w:styleId="ListTable5Dark">
    <w:name w:val="List Table 5 Dark"/>
    <w:basedOn w:val="TableNormal"/>
    <w:uiPriority w:val="50"/>
    <w:rsid w:val="009637A8"/>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9637A8"/>
    <w:pPr>
      <w:spacing w:after="0" w:line="240" w:lineRule="auto"/>
    </w:pPr>
    <w:rPr>
      <w:color w:val="FFFFFF" w:themeColor="background1"/>
    </w:rPr>
    <w:tblPr>
      <w:tblStyleRowBandSize w:val="1"/>
      <w:tblStyleColBandSize w:val="1"/>
      <w:tblBorders>
        <w:top w:val="single" w:sz="24" w:space="0" w:color="9D85BE" w:themeColor="accent1"/>
        <w:left w:val="single" w:sz="24" w:space="0" w:color="9D85BE" w:themeColor="accent1"/>
        <w:bottom w:val="single" w:sz="24" w:space="0" w:color="9D85BE" w:themeColor="accent1"/>
        <w:right w:val="single" w:sz="24" w:space="0" w:color="9D85BE" w:themeColor="accent1"/>
      </w:tblBorders>
    </w:tblPr>
    <w:tcPr>
      <w:shd w:val="clear" w:color="auto" w:fill="9D85BE"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9637A8"/>
    <w:pPr>
      <w:spacing w:after="0" w:line="240" w:lineRule="auto"/>
    </w:pPr>
    <w:rPr>
      <w:color w:val="FFFFFF" w:themeColor="background1"/>
    </w:rPr>
    <w:tblPr>
      <w:tblStyleRowBandSize w:val="1"/>
      <w:tblStyleColBandSize w:val="1"/>
      <w:tblBorders>
        <w:top w:val="single" w:sz="24" w:space="0" w:color="7D7D7D" w:themeColor="accent2"/>
        <w:left w:val="single" w:sz="24" w:space="0" w:color="7D7D7D" w:themeColor="accent2"/>
        <w:bottom w:val="single" w:sz="24" w:space="0" w:color="7D7D7D" w:themeColor="accent2"/>
        <w:right w:val="single" w:sz="24" w:space="0" w:color="7D7D7D" w:themeColor="accent2"/>
      </w:tblBorders>
    </w:tblPr>
    <w:tcPr>
      <w:shd w:val="clear" w:color="auto" w:fill="7D7D7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9637A8"/>
    <w:pPr>
      <w:spacing w:after="0" w:line="240" w:lineRule="auto"/>
    </w:pPr>
    <w:rPr>
      <w:color w:val="FFFFFF" w:themeColor="background1"/>
    </w:rPr>
    <w:tblPr>
      <w:tblStyleRowBandSize w:val="1"/>
      <w:tblStyleColBandSize w:val="1"/>
      <w:tblBorders>
        <w:top w:val="single" w:sz="24" w:space="0" w:color="C8C8C8" w:themeColor="accent3"/>
        <w:left w:val="single" w:sz="24" w:space="0" w:color="C8C8C8" w:themeColor="accent3"/>
        <w:bottom w:val="single" w:sz="24" w:space="0" w:color="C8C8C8" w:themeColor="accent3"/>
        <w:right w:val="single" w:sz="24" w:space="0" w:color="C8C8C8" w:themeColor="accent3"/>
      </w:tblBorders>
    </w:tblPr>
    <w:tcPr>
      <w:shd w:val="clear" w:color="auto" w:fill="C8C8C8"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9637A8"/>
    <w:pPr>
      <w:spacing w:after="0" w:line="240" w:lineRule="auto"/>
    </w:pPr>
    <w:rPr>
      <w:color w:val="FFFFFF" w:themeColor="background1"/>
    </w:rPr>
    <w:tblPr>
      <w:tblStyleRowBandSize w:val="1"/>
      <w:tblStyleColBandSize w:val="1"/>
      <w:tblBorders>
        <w:top w:val="single" w:sz="24" w:space="0" w:color="006A9F" w:themeColor="accent4"/>
        <w:left w:val="single" w:sz="24" w:space="0" w:color="006A9F" w:themeColor="accent4"/>
        <w:bottom w:val="single" w:sz="24" w:space="0" w:color="006A9F" w:themeColor="accent4"/>
        <w:right w:val="single" w:sz="24" w:space="0" w:color="006A9F" w:themeColor="accent4"/>
      </w:tblBorders>
    </w:tblPr>
    <w:tcPr>
      <w:shd w:val="clear" w:color="auto" w:fill="006A9F"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9637A8"/>
    <w:pPr>
      <w:spacing w:after="0" w:line="240" w:lineRule="auto"/>
    </w:pPr>
    <w:rPr>
      <w:color w:val="FFFFFF" w:themeColor="background1"/>
    </w:rPr>
    <w:tblPr>
      <w:tblStyleRowBandSize w:val="1"/>
      <w:tblStyleColBandSize w:val="1"/>
      <w:tblBorders>
        <w:top w:val="single" w:sz="24" w:space="0" w:color="7BBDD6" w:themeColor="accent5"/>
        <w:left w:val="single" w:sz="24" w:space="0" w:color="7BBDD6" w:themeColor="accent5"/>
        <w:bottom w:val="single" w:sz="24" w:space="0" w:color="7BBDD6" w:themeColor="accent5"/>
        <w:right w:val="single" w:sz="24" w:space="0" w:color="7BBDD6" w:themeColor="accent5"/>
      </w:tblBorders>
    </w:tblPr>
    <w:tcPr>
      <w:shd w:val="clear" w:color="auto" w:fill="7BBDD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9637A8"/>
    <w:pPr>
      <w:spacing w:after="0" w:line="240" w:lineRule="auto"/>
    </w:pPr>
    <w:rPr>
      <w:color w:val="FFFFFF" w:themeColor="background1"/>
    </w:rPr>
    <w:tblPr>
      <w:tblStyleRowBandSize w:val="1"/>
      <w:tblStyleColBandSize w:val="1"/>
      <w:tblBorders>
        <w:top w:val="single" w:sz="24" w:space="0" w:color="428D52" w:themeColor="accent6"/>
        <w:left w:val="single" w:sz="24" w:space="0" w:color="428D52" w:themeColor="accent6"/>
        <w:bottom w:val="single" w:sz="24" w:space="0" w:color="428D52" w:themeColor="accent6"/>
        <w:right w:val="single" w:sz="24" w:space="0" w:color="428D52" w:themeColor="accent6"/>
      </w:tblBorders>
    </w:tblPr>
    <w:tcPr>
      <w:shd w:val="clear" w:color="auto" w:fill="428D52"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9637A8"/>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9637A8"/>
    <w:pPr>
      <w:spacing w:after="0" w:line="240" w:lineRule="auto"/>
    </w:pPr>
    <w:rPr>
      <w:color w:val="72549D" w:themeColor="accent1" w:themeShade="BF"/>
    </w:rPr>
    <w:tblPr>
      <w:tblStyleRowBandSize w:val="1"/>
      <w:tblStyleColBandSize w:val="1"/>
      <w:tblBorders>
        <w:top w:val="single" w:sz="4" w:space="0" w:color="9D85BE" w:themeColor="accent1"/>
        <w:bottom w:val="single" w:sz="4" w:space="0" w:color="9D85BE" w:themeColor="accent1"/>
      </w:tblBorders>
    </w:tblPr>
    <w:tblStylePr w:type="firstRow">
      <w:rPr>
        <w:b/>
        <w:bCs/>
      </w:rPr>
      <w:tblPr/>
      <w:tcPr>
        <w:tcBorders>
          <w:bottom w:val="single" w:sz="4" w:space="0" w:color="9D85BE" w:themeColor="accent1"/>
        </w:tcBorders>
      </w:tcPr>
    </w:tblStylePr>
    <w:tblStylePr w:type="lastRow">
      <w:rPr>
        <w:b/>
        <w:bCs/>
      </w:rPr>
      <w:tblPr/>
      <w:tcPr>
        <w:tcBorders>
          <w:top w:val="double" w:sz="4" w:space="0" w:color="9D85BE" w:themeColor="accent1"/>
        </w:tcBorders>
      </w:tcPr>
    </w:tblStylePr>
    <w:tblStylePr w:type="firstCol">
      <w:rPr>
        <w:b/>
        <w:bCs/>
      </w:rPr>
    </w:tblStylePr>
    <w:tblStylePr w:type="lastCol">
      <w:rPr>
        <w:b/>
        <w:bCs/>
      </w:rPr>
    </w:tblStylePr>
    <w:tblStylePr w:type="band1Vert">
      <w:tblPr/>
      <w:tcPr>
        <w:shd w:val="clear" w:color="auto" w:fill="EBE6F2" w:themeFill="accent1" w:themeFillTint="33"/>
      </w:tcPr>
    </w:tblStylePr>
    <w:tblStylePr w:type="band1Horz">
      <w:tblPr/>
      <w:tcPr>
        <w:shd w:val="clear" w:color="auto" w:fill="EBE6F2" w:themeFill="accent1" w:themeFillTint="33"/>
      </w:tcPr>
    </w:tblStylePr>
  </w:style>
  <w:style w:type="table" w:styleId="ListTable6Colorful-Accent2">
    <w:name w:val="List Table 6 Colorful Accent 2"/>
    <w:basedOn w:val="TableNormal"/>
    <w:uiPriority w:val="51"/>
    <w:rsid w:val="009637A8"/>
    <w:pPr>
      <w:spacing w:after="0" w:line="240" w:lineRule="auto"/>
    </w:pPr>
    <w:rPr>
      <w:color w:val="5D5D5D" w:themeColor="accent2" w:themeShade="BF"/>
    </w:rPr>
    <w:tblPr>
      <w:tblStyleRowBandSize w:val="1"/>
      <w:tblStyleColBandSize w:val="1"/>
      <w:tblBorders>
        <w:top w:val="single" w:sz="4" w:space="0" w:color="7D7D7D" w:themeColor="accent2"/>
        <w:bottom w:val="single" w:sz="4" w:space="0" w:color="7D7D7D" w:themeColor="accent2"/>
      </w:tblBorders>
    </w:tblPr>
    <w:tblStylePr w:type="firstRow">
      <w:rPr>
        <w:b/>
        <w:bCs/>
      </w:rPr>
      <w:tblPr/>
      <w:tcPr>
        <w:tcBorders>
          <w:bottom w:val="single" w:sz="4" w:space="0" w:color="7D7D7D" w:themeColor="accent2"/>
        </w:tcBorders>
      </w:tcPr>
    </w:tblStylePr>
    <w:tblStylePr w:type="lastRow">
      <w:rPr>
        <w:b/>
        <w:bCs/>
      </w:rPr>
      <w:tblPr/>
      <w:tcPr>
        <w:tcBorders>
          <w:top w:val="double" w:sz="4" w:space="0" w:color="7D7D7D" w:themeColor="accent2"/>
        </w:tcBorders>
      </w:tcPr>
    </w:tblStylePr>
    <w:tblStylePr w:type="firstCol">
      <w:rPr>
        <w:b/>
        <w:bCs/>
      </w:rPr>
    </w:tblStylePr>
    <w:tblStylePr w:type="lastCol">
      <w:rPr>
        <w:b/>
        <w:bCs/>
      </w:rPr>
    </w:tblStylePr>
    <w:tblStylePr w:type="band1Vert">
      <w:tblPr/>
      <w:tcPr>
        <w:shd w:val="clear" w:color="auto" w:fill="E5E5E5" w:themeFill="accent2" w:themeFillTint="33"/>
      </w:tcPr>
    </w:tblStylePr>
    <w:tblStylePr w:type="band1Horz">
      <w:tblPr/>
      <w:tcPr>
        <w:shd w:val="clear" w:color="auto" w:fill="E5E5E5" w:themeFill="accent2" w:themeFillTint="33"/>
      </w:tcPr>
    </w:tblStylePr>
  </w:style>
  <w:style w:type="table" w:styleId="ListTable6Colorful-Accent3">
    <w:name w:val="List Table 6 Colorful Accent 3"/>
    <w:basedOn w:val="TableNormal"/>
    <w:uiPriority w:val="51"/>
    <w:rsid w:val="009637A8"/>
    <w:pPr>
      <w:spacing w:after="0" w:line="240" w:lineRule="auto"/>
    </w:pPr>
    <w:rPr>
      <w:color w:val="959595" w:themeColor="accent3" w:themeShade="BF"/>
    </w:rPr>
    <w:tblPr>
      <w:tblStyleRowBandSize w:val="1"/>
      <w:tblStyleColBandSize w:val="1"/>
      <w:tblBorders>
        <w:top w:val="single" w:sz="4" w:space="0" w:color="C8C8C8" w:themeColor="accent3"/>
        <w:bottom w:val="single" w:sz="4" w:space="0" w:color="C8C8C8" w:themeColor="accent3"/>
      </w:tblBorders>
    </w:tblPr>
    <w:tblStylePr w:type="firstRow">
      <w:rPr>
        <w:b/>
        <w:bCs/>
      </w:rPr>
      <w:tblPr/>
      <w:tcPr>
        <w:tcBorders>
          <w:bottom w:val="single" w:sz="4" w:space="0" w:color="C8C8C8" w:themeColor="accent3"/>
        </w:tcBorders>
      </w:tcPr>
    </w:tblStylePr>
    <w:tblStylePr w:type="lastRow">
      <w:rPr>
        <w:b/>
        <w:bCs/>
      </w:rPr>
      <w:tblPr/>
      <w:tcPr>
        <w:tcBorders>
          <w:top w:val="double" w:sz="4" w:space="0" w:color="C8C8C8" w:themeColor="accent3"/>
        </w:tcBorders>
      </w:tcPr>
    </w:tblStylePr>
    <w:tblStylePr w:type="firstCol">
      <w:rPr>
        <w:b/>
        <w:bCs/>
      </w:rPr>
    </w:tblStylePr>
    <w:tblStylePr w:type="lastCol">
      <w:rPr>
        <w:b/>
        <w:bCs/>
      </w:rPr>
    </w:tblStylePr>
    <w:tblStylePr w:type="band1Vert">
      <w:tblPr/>
      <w:tcPr>
        <w:shd w:val="clear" w:color="auto" w:fill="F4F4F4" w:themeFill="accent3" w:themeFillTint="33"/>
      </w:tcPr>
    </w:tblStylePr>
    <w:tblStylePr w:type="band1Horz">
      <w:tblPr/>
      <w:tcPr>
        <w:shd w:val="clear" w:color="auto" w:fill="F4F4F4" w:themeFill="accent3" w:themeFillTint="33"/>
      </w:tcPr>
    </w:tblStylePr>
  </w:style>
  <w:style w:type="table" w:styleId="ListTable6Colorful-Accent4">
    <w:name w:val="List Table 6 Colorful Accent 4"/>
    <w:basedOn w:val="TableNormal"/>
    <w:uiPriority w:val="51"/>
    <w:rsid w:val="009637A8"/>
    <w:pPr>
      <w:spacing w:after="0" w:line="240" w:lineRule="auto"/>
    </w:pPr>
    <w:rPr>
      <w:color w:val="004F77" w:themeColor="accent4" w:themeShade="BF"/>
    </w:rPr>
    <w:tblPr>
      <w:tblStyleRowBandSize w:val="1"/>
      <w:tblStyleColBandSize w:val="1"/>
      <w:tblBorders>
        <w:top w:val="single" w:sz="4" w:space="0" w:color="006A9F" w:themeColor="accent4"/>
        <w:bottom w:val="single" w:sz="4" w:space="0" w:color="006A9F" w:themeColor="accent4"/>
      </w:tblBorders>
    </w:tblPr>
    <w:tblStylePr w:type="firstRow">
      <w:rPr>
        <w:b/>
        <w:bCs/>
      </w:rPr>
      <w:tblPr/>
      <w:tcPr>
        <w:tcBorders>
          <w:bottom w:val="single" w:sz="4" w:space="0" w:color="006A9F" w:themeColor="accent4"/>
        </w:tcBorders>
      </w:tcPr>
    </w:tblStylePr>
    <w:tblStylePr w:type="lastRow">
      <w:rPr>
        <w:b/>
        <w:bCs/>
      </w:rPr>
      <w:tblPr/>
      <w:tcPr>
        <w:tcBorders>
          <w:top w:val="double" w:sz="4" w:space="0" w:color="006A9F" w:themeColor="accent4"/>
        </w:tcBorders>
      </w:tcPr>
    </w:tblStylePr>
    <w:tblStylePr w:type="firstCol">
      <w:rPr>
        <w:b/>
        <w:bCs/>
      </w:rPr>
    </w:tblStylePr>
    <w:tblStylePr w:type="lastCol">
      <w:rPr>
        <w:b/>
        <w:bCs/>
      </w:rPr>
    </w:tblStylePr>
    <w:tblStylePr w:type="band1Vert">
      <w:tblPr/>
      <w:tcPr>
        <w:shd w:val="clear" w:color="auto" w:fill="B8E7FF" w:themeFill="accent4" w:themeFillTint="33"/>
      </w:tcPr>
    </w:tblStylePr>
    <w:tblStylePr w:type="band1Horz">
      <w:tblPr/>
      <w:tcPr>
        <w:shd w:val="clear" w:color="auto" w:fill="B8E7FF" w:themeFill="accent4" w:themeFillTint="33"/>
      </w:tcPr>
    </w:tblStylePr>
  </w:style>
  <w:style w:type="table" w:styleId="ListTable6Colorful-Accent5">
    <w:name w:val="List Table 6 Colorful Accent 5"/>
    <w:basedOn w:val="TableNormal"/>
    <w:uiPriority w:val="51"/>
    <w:rsid w:val="009637A8"/>
    <w:pPr>
      <w:spacing w:after="0" w:line="240" w:lineRule="auto"/>
    </w:pPr>
    <w:rPr>
      <w:color w:val="3C9BC0" w:themeColor="accent5" w:themeShade="BF"/>
    </w:rPr>
    <w:tblPr>
      <w:tblStyleRowBandSize w:val="1"/>
      <w:tblStyleColBandSize w:val="1"/>
      <w:tblBorders>
        <w:top w:val="single" w:sz="4" w:space="0" w:color="7BBDD6" w:themeColor="accent5"/>
        <w:bottom w:val="single" w:sz="4" w:space="0" w:color="7BBDD6" w:themeColor="accent5"/>
      </w:tblBorders>
    </w:tblPr>
    <w:tblStylePr w:type="firstRow">
      <w:rPr>
        <w:b/>
        <w:bCs/>
      </w:rPr>
      <w:tblPr/>
      <w:tcPr>
        <w:tcBorders>
          <w:bottom w:val="single" w:sz="4" w:space="0" w:color="7BBDD6" w:themeColor="accent5"/>
        </w:tcBorders>
      </w:tcPr>
    </w:tblStylePr>
    <w:tblStylePr w:type="lastRow">
      <w:rPr>
        <w:b/>
        <w:bCs/>
      </w:rPr>
      <w:tblPr/>
      <w:tcPr>
        <w:tcBorders>
          <w:top w:val="double" w:sz="4" w:space="0" w:color="7BBDD6" w:themeColor="accent5"/>
        </w:tcBorders>
      </w:tcPr>
    </w:tblStylePr>
    <w:tblStylePr w:type="firstCol">
      <w:rPr>
        <w:b/>
        <w:bCs/>
      </w:rPr>
    </w:tblStylePr>
    <w:tblStylePr w:type="lastCol">
      <w:rPr>
        <w:b/>
        <w:bCs/>
      </w:rPr>
    </w:tblStylePr>
    <w:tblStylePr w:type="band1Vert">
      <w:tblPr/>
      <w:tcPr>
        <w:shd w:val="clear" w:color="auto" w:fill="E4F1F6" w:themeFill="accent5" w:themeFillTint="33"/>
      </w:tcPr>
    </w:tblStylePr>
    <w:tblStylePr w:type="band1Horz">
      <w:tblPr/>
      <w:tcPr>
        <w:shd w:val="clear" w:color="auto" w:fill="E4F1F6" w:themeFill="accent5" w:themeFillTint="33"/>
      </w:tcPr>
    </w:tblStylePr>
  </w:style>
  <w:style w:type="table" w:styleId="ListTable6Colorful-Accent6">
    <w:name w:val="List Table 6 Colorful Accent 6"/>
    <w:basedOn w:val="TableNormal"/>
    <w:uiPriority w:val="51"/>
    <w:rsid w:val="009637A8"/>
    <w:pPr>
      <w:spacing w:after="0" w:line="240" w:lineRule="auto"/>
    </w:pPr>
    <w:rPr>
      <w:color w:val="31693D" w:themeColor="accent6" w:themeShade="BF"/>
    </w:rPr>
    <w:tblPr>
      <w:tblStyleRowBandSize w:val="1"/>
      <w:tblStyleColBandSize w:val="1"/>
      <w:tblBorders>
        <w:top w:val="single" w:sz="4" w:space="0" w:color="428D52" w:themeColor="accent6"/>
        <w:bottom w:val="single" w:sz="4" w:space="0" w:color="428D52" w:themeColor="accent6"/>
      </w:tblBorders>
    </w:tblPr>
    <w:tblStylePr w:type="firstRow">
      <w:rPr>
        <w:b/>
        <w:bCs/>
      </w:rPr>
      <w:tblPr/>
      <w:tcPr>
        <w:tcBorders>
          <w:bottom w:val="single" w:sz="4" w:space="0" w:color="428D52" w:themeColor="accent6"/>
        </w:tcBorders>
      </w:tcPr>
    </w:tblStylePr>
    <w:tblStylePr w:type="lastRow">
      <w:rPr>
        <w:b/>
        <w:bCs/>
      </w:rPr>
      <w:tblPr/>
      <w:tcPr>
        <w:tcBorders>
          <w:top w:val="double" w:sz="4" w:space="0" w:color="428D52" w:themeColor="accent6"/>
        </w:tcBorders>
      </w:tcPr>
    </w:tblStylePr>
    <w:tblStylePr w:type="firstCol">
      <w:rPr>
        <w:b/>
        <w:bCs/>
      </w:rPr>
    </w:tblStylePr>
    <w:tblStylePr w:type="lastCol">
      <w:rPr>
        <w:b/>
        <w:bCs/>
      </w:rPr>
    </w:tblStylePr>
    <w:tblStylePr w:type="band1Vert">
      <w:tblPr/>
      <w:tcPr>
        <w:shd w:val="clear" w:color="auto" w:fill="D5EBDA" w:themeFill="accent6" w:themeFillTint="33"/>
      </w:tcPr>
    </w:tblStylePr>
    <w:tblStylePr w:type="band1Horz">
      <w:tblPr/>
      <w:tcPr>
        <w:shd w:val="clear" w:color="auto" w:fill="D5EBDA" w:themeFill="accent6" w:themeFillTint="33"/>
      </w:tcPr>
    </w:tblStylePr>
  </w:style>
  <w:style w:type="table" w:styleId="ListTable7Colorful">
    <w:name w:val="List Table 7 Colorful"/>
    <w:basedOn w:val="TableNormal"/>
    <w:uiPriority w:val="52"/>
    <w:rsid w:val="009637A8"/>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9637A8"/>
    <w:pPr>
      <w:spacing w:after="0" w:line="240" w:lineRule="auto"/>
    </w:pPr>
    <w:rPr>
      <w:color w:val="72549D"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D85BE"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D85BE"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D85BE"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D85BE" w:themeColor="accent1"/>
        </w:tcBorders>
        <w:shd w:val="clear" w:color="auto" w:fill="FFFFFF" w:themeFill="background1"/>
      </w:tcPr>
    </w:tblStylePr>
    <w:tblStylePr w:type="band1Vert">
      <w:tblPr/>
      <w:tcPr>
        <w:shd w:val="clear" w:color="auto" w:fill="EBE6F2" w:themeFill="accent1" w:themeFillTint="33"/>
      </w:tcPr>
    </w:tblStylePr>
    <w:tblStylePr w:type="band1Horz">
      <w:tblPr/>
      <w:tcPr>
        <w:shd w:val="clear" w:color="auto" w:fill="EBE6F2"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9637A8"/>
    <w:pPr>
      <w:spacing w:after="0" w:line="240" w:lineRule="auto"/>
    </w:pPr>
    <w:rPr>
      <w:color w:val="5D5D5D"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D7D7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D7D7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D7D7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D7D7D" w:themeColor="accent2"/>
        </w:tcBorders>
        <w:shd w:val="clear" w:color="auto" w:fill="FFFFFF" w:themeFill="background1"/>
      </w:tcPr>
    </w:tblStylePr>
    <w:tblStylePr w:type="band1Vert">
      <w:tblPr/>
      <w:tcPr>
        <w:shd w:val="clear" w:color="auto" w:fill="E5E5E5" w:themeFill="accent2" w:themeFillTint="33"/>
      </w:tcPr>
    </w:tblStylePr>
    <w:tblStylePr w:type="band1Horz">
      <w:tblPr/>
      <w:tcPr>
        <w:shd w:val="clear" w:color="auto" w:fill="E5E5E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9637A8"/>
    <w:pPr>
      <w:spacing w:after="0" w:line="240" w:lineRule="auto"/>
    </w:pPr>
    <w:rPr>
      <w:color w:val="959595"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8C8C8"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8C8C8"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8C8C8"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8C8C8" w:themeColor="accent3"/>
        </w:tcBorders>
        <w:shd w:val="clear" w:color="auto" w:fill="FFFFFF" w:themeFill="background1"/>
      </w:tcPr>
    </w:tblStylePr>
    <w:tblStylePr w:type="band1Vert">
      <w:tblPr/>
      <w:tcPr>
        <w:shd w:val="clear" w:color="auto" w:fill="F4F4F4" w:themeFill="accent3" w:themeFillTint="33"/>
      </w:tcPr>
    </w:tblStylePr>
    <w:tblStylePr w:type="band1Horz">
      <w:tblPr/>
      <w:tcPr>
        <w:shd w:val="clear" w:color="auto" w:fill="F4F4F4"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9637A8"/>
    <w:pPr>
      <w:spacing w:after="0" w:line="240" w:lineRule="auto"/>
    </w:pPr>
    <w:rPr>
      <w:color w:val="004F77"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6A9F"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6A9F"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6A9F"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6A9F" w:themeColor="accent4"/>
        </w:tcBorders>
        <w:shd w:val="clear" w:color="auto" w:fill="FFFFFF" w:themeFill="background1"/>
      </w:tcPr>
    </w:tblStylePr>
    <w:tblStylePr w:type="band1Vert">
      <w:tblPr/>
      <w:tcPr>
        <w:shd w:val="clear" w:color="auto" w:fill="B8E7FF" w:themeFill="accent4" w:themeFillTint="33"/>
      </w:tcPr>
    </w:tblStylePr>
    <w:tblStylePr w:type="band1Horz">
      <w:tblPr/>
      <w:tcPr>
        <w:shd w:val="clear" w:color="auto" w:fill="B8E7FF"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9637A8"/>
    <w:pPr>
      <w:spacing w:after="0" w:line="240" w:lineRule="auto"/>
    </w:pPr>
    <w:rPr>
      <w:color w:val="3C9BC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BBDD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BBDD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BBDD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BBDD6" w:themeColor="accent5"/>
        </w:tcBorders>
        <w:shd w:val="clear" w:color="auto" w:fill="FFFFFF" w:themeFill="background1"/>
      </w:tcPr>
    </w:tblStylePr>
    <w:tblStylePr w:type="band1Vert">
      <w:tblPr/>
      <w:tcPr>
        <w:shd w:val="clear" w:color="auto" w:fill="E4F1F6" w:themeFill="accent5" w:themeFillTint="33"/>
      </w:tcPr>
    </w:tblStylePr>
    <w:tblStylePr w:type="band1Horz">
      <w:tblPr/>
      <w:tcPr>
        <w:shd w:val="clear" w:color="auto" w:fill="E4F1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9637A8"/>
    <w:pPr>
      <w:spacing w:after="0" w:line="240" w:lineRule="auto"/>
    </w:pPr>
    <w:rPr>
      <w:color w:val="31693D"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28D52"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28D52"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28D52"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28D52" w:themeColor="accent6"/>
        </w:tcBorders>
        <w:shd w:val="clear" w:color="auto" w:fill="FFFFFF" w:themeFill="background1"/>
      </w:tcPr>
    </w:tblStylePr>
    <w:tblStylePr w:type="band1Vert">
      <w:tblPr/>
      <w:tcPr>
        <w:shd w:val="clear" w:color="auto" w:fill="D5EBDA" w:themeFill="accent6" w:themeFillTint="33"/>
      </w:tcPr>
    </w:tblStylePr>
    <w:tblStylePr w:type="band1Horz">
      <w:tblPr/>
      <w:tcPr>
        <w:shd w:val="clear" w:color="auto" w:fill="D5EBD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9637A8"/>
    <w:pPr>
      <w:tabs>
        <w:tab w:val="left" w:pos="480"/>
        <w:tab w:val="left" w:pos="960"/>
        <w:tab w:val="left" w:pos="1440"/>
        <w:tab w:val="left" w:pos="1920"/>
        <w:tab w:val="left" w:pos="2400"/>
        <w:tab w:val="left" w:pos="2880"/>
        <w:tab w:val="left" w:pos="3360"/>
        <w:tab w:val="left" w:pos="3840"/>
        <w:tab w:val="left" w:pos="4320"/>
      </w:tabs>
      <w:spacing w:after="0"/>
    </w:pPr>
    <w:rPr>
      <w:rFonts w:ascii="Arial Narrow" w:hAnsi="Arial Narrow" w:cs="Arial"/>
      <w:sz w:val="20"/>
      <w:szCs w:val="20"/>
    </w:rPr>
  </w:style>
  <w:style w:type="character" w:customStyle="1" w:styleId="MacroTextChar">
    <w:name w:val="Macro Text Char"/>
    <w:basedOn w:val="DefaultParagraphFont"/>
    <w:link w:val="MacroText"/>
    <w:uiPriority w:val="99"/>
    <w:semiHidden/>
    <w:rsid w:val="009637A8"/>
    <w:rPr>
      <w:rFonts w:ascii="Arial Narrow" w:hAnsi="Arial Narrow" w:cs="Arial"/>
      <w:sz w:val="20"/>
      <w:szCs w:val="20"/>
    </w:rPr>
  </w:style>
  <w:style w:type="table" w:styleId="MediumGrid1">
    <w:name w:val="Medium Grid 1"/>
    <w:basedOn w:val="TableNormal"/>
    <w:uiPriority w:val="67"/>
    <w:semiHidden/>
    <w:unhideWhenUsed/>
    <w:rsid w:val="009637A8"/>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9637A8"/>
    <w:pPr>
      <w:spacing w:after="0" w:line="240" w:lineRule="auto"/>
    </w:pPr>
    <w:tblPr>
      <w:tblStyleRowBandSize w:val="1"/>
      <w:tblStyleColBandSize w:val="1"/>
      <w:tblBorders>
        <w:top w:val="single" w:sz="8" w:space="0" w:color="B5A3CE" w:themeColor="accent1" w:themeTint="BF"/>
        <w:left w:val="single" w:sz="8" w:space="0" w:color="B5A3CE" w:themeColor="accent1" w:themeTint="BF"/>
        <w:bottom w:val="single" w:sz="8" w:space="0" w:color="B5A3CE" w:themeColor="accent1" w:themeTint="BF"/>
        <w:right w:val="single" w:sz="8" w:space="0" w:color="B5A3CE" w:themeColor="accent1" w:themeTint="BF"/>
        <w:insideH w:val="single" w:sz="8" w:space="0" w:color="B5A3CE" w:themeColor="accent1" w:themeTint="BF"/>
        <w:insideV w:val="single" w:sz="8" w:space="0" w:color="B5A3CE" w:themeColor="accent1" w:themeTint="BF"/>
      </w:tblBorders>
    </w:tblPr>
    <w:tcPr>
      <w:shd w:val="clear" w:color="auto" w:fill="E6E0EF" w:themeFill="accent1" w:themeFillTint="3F"/>
    </w:tcPr>
    <w:tblStylePr w:type="firstRow">
      <w:rPr>
        <w:b/>
        <w:bCs/>
      </w:rPr>
    </w:tblStylePr>
    <w:tblStylePr w:type="lastRow">
      <w:rPr>
        <w:b/>
        <w:bCs/>
      </w:rPr>
      <w:tblPr/>
      <w:tcPr>
        <w:tcBorders>
          <w:top w:val="single" w:sz="18" w:space="0" w:color="B5A3CE" w:themeColor="accent1" w:themeTint="BF"/>
        </w:tcBorders>
      </w:tcPr>
    </w:tblStylePr>
    <w:tblStylePr w:type="firstCol">
      <w:rPr>
        <w:b/>
        <w:bCs/>
      </w:rPr>
    </w:tblStylePr>
    <w:tblStylePr w:type="lastCol">
      <w:rPr>
        <w:b/>
        <w:bCs/>
      </w:rPr>
    </w:tblStylePr>
    <w:tblStylePr w:type="band1Vert">
      <w:tblPr/>
      <w:tcPr>
        <w:shd w:val="clear" w:color="auto" w:fill="CEC2DE" w:themeFill="accent1" w:themeFillTint="7F"/>
      </w:tcPr>
    </w:tblStylePr>
    <w:tblStylePr w:type="band1Horz">
      <w:tblPr/>
      <w:tcPr>
        <w:shd w:val="clear" w:color="auto" w:fill="CEC2DE" w:themeFill="accent1" w:themeFillTint="7F"/>
      </w:tcPr>
    </w:tblStylePr>
  </w:style>
  <w:style w:type="table" w:styleId="MediumGrid1-Accent2">
    <w:name w:val="Medium Grid 1 Accent 2"/>
    <w:basedOn w:val="TableNormal"/>
    <w:uiPriority w:val="67"/>
    <w:semiHidden/>
    <w:unhideWhenUsed/>
    <w:rsid w:val="009637A8"/>
    <w:pPr>
      <w:spacing w:after="0" w:line="240" w:lineRule="auto"/>
    </w:pPr>
    <w:tblPr>
      <w:tblStyleRowBandSize w:val="1"/>
      <w:tblStyleColBandSize w:val="1"/>
      <w:tblBorders>
        <w:top w:val="single" w:sz="8" w:space="0" w:color="9D9D9D" w:themeColor="accent2" w:themeTint="BF"/>
        <w:left w:val="single" w:sz="8" w:space="0" w:color="9D9D9D" w:themeColor="accent2" w:themeTint="BF"/>
        <w:bottom w:val="single" w:sz="8" w:space="0" w:color="9D9D9D" w:themeColor="accent2" w:themeTint="BF"/>
        <w:right w:val="single" w:sz="8" w:space="0" w:color="9D9D9D" w:themeColor="accent2" w:themeTint="BF"/>
        <w:insideH w:val="single" w:sz="8" w:space="0" w:color="9D9D9D" w:themeColor="accent2" w:themeTint="BF"/>
        <w:insideV w:val="single" w:sz="8" w:space="0" w:color="9D9D9D" w:themeColor="accent2" w:themeTint="BF"/>
      </w:tblBorders>
    </w:tblPr>
    <w:tcPr>
      <w:shd w:val="clear" w:color="auto" w:fill="DEDEDE" w:themeFill="accent2" w:themeFillTint="3F"/>
    </w:tcPr>
    <w:tblStylePr w:type="firstRow">
      <w:rPr>
        <w:b/>
        <w:bCs/>
      </w:rPr>
    </w:tblStylePr>
    <w:tblStylePr w:type="lastRow">
      <w:rPr>
        <w:b/>
        <w:bCs/>
      </w:rPr>
      <w:tblPr/>
      <w:tcPr>
        <w:tcBorders>
          <w:top w:val="single" w:sz="18" w:space="0" w:color="9D9D9D" w:themeColor="accent2" w:themeTint="BF"/>
        </w:tcBorders>
      </w:tcPr>
    </w:tblStylePr>
    <w:tblStylePr w:type="firstCol">
      <w:rPr>
        <w:b/>
        <w:bCs/>
      </w:rPr>
    </w:tblStylePr>
    <w:tblStylePr w:type="lastCol">
      <w:rPr>
        <w:b/>
        <w:bCs/>
      </w:rPr>
    </w:tblStylePr>
    <w:tblStylePr w:type="band1Vert">
      <w:tblPr/>
      <w:tcPr>
        <w:shd w:val="clear" w:color="auto" w:fill="BEBEBE" w:themeFill="accent2" w:themeFillTint="7F"/>
      </w:tcPr>
    </w:tblStylePr>
    <w:tblStylePr w:type="band1Horz">
      <w:tblPr/>
      <w:tcPr>
        <w:shd w:val="clear" w:color="auto" w:fill="BEBEBE" w:themeFill="accent2" w:themeFillTint="7F"/>
      </w:tcPr>
    </w:tblStylePr>
  </w:style>
  <w:style w:type="table" w:styleId="MediumGrid1-Accent3">
    <w:name w:val="Medium Grid 1 Accent 3"/>
    <w:basedOn w:val="TableNormal"/>
    <w:uiPriority w:val="67"/>
    <w:semiHidden/>
    <w:unhideWhenUsed/>
    <w:rsid w:val="009637A8"/>
    <w:pPr>
      <w:spacing w:after="0" w:line="240" w:lineRule="auto"/>
    </w:pPr>
    <w:tblPr>
      <w:tblStyleRowBandSize w:val="1"/>
      <w:tblStyleColBandSize w:val="1"/>
      <w:tblBorders>
        <w:top w:val="single" w:sz="8" w:space="0" w:color="D5D5D5" w:themeColor="accent3" w:themeTint="BF"/>
        <w:left w:val="single" w:sz="8" w:space="0" w:color="D5D5D5" w:themeColor="accent3" w:themeTint="BF"/>
        <w:bottom w:val="single" w:sz="8" w:space="0" w:color="D5D5D5" w:themeColor="accent3" w:themeTint="BF"/>
        <w:right w:val="single" w:sz="8" w:space="0" w:color="D5D5D5" w:themeColor="accent3" w:themeTint="BF"/>
        <w:insideH w:val="single" w:sz="8" w:space="0" w:color="D5D5D5" w:themeColor="accent3" w:themeTint="BF"/>
        <w:insideV w:val="single" w:sz="8" w:space="0" w:color="D5D5D5" w:themeColor="accent3" w:themeTint="BF"/>
      </w:tblBorders>
    </w:tblPr>
    <w:tcPr>
      <w:shd w:val="clear" w:color="auto" w:fill="F1F1F1" w:themeFill="accent3" w:themeFillTint="3F"/>
    </w:tcPr>
    <w:tblStylePr w:type="firstRow">
      <w:rPr>
        <w:b/>
        <w:bCs/>
      </w:rPr>
    </w:tblStylePr>
    <w:tblStylePr w:type="lastRow">
      <w:rPr>
        <w:b/>
        <w:bCs/>
      </w:rPr>
      <w:tblPr/>
      <w:tcPr>
        <w:tcBorders>
          <w:top w:val="single" w:sz="18" w:space="0" w:color="D5D5D5" w:themeColor="accent3" w:themeTint="BF"/>
        </w:tcBorders>
      </w:tcPr>
    </w:tblStylePr>
    <w:tblStylePr w:type="firstCol">
      <w:rPr>
        <w:b/>
        <w:bCs/>
      </w:rPr>
    </w:tblStylePr>
    <w:tblStylePr w:type="lastCol">
      <w:rPr>
        <w:b/>
        <w:bCs/>
      </w:rPr>
    </w:tblStylePr>
    <w:tblStylePr w:type="band1Vert">
      <w:tblPr/>
      <w:tcPr>
        <w:shd w:val="clear" w:color="auto" w:fill="E3E3E3" w:themeFill="accent3" w:themeFillTint="7F"/>
      </w:tcPr>
    </w:tblStylePr>
    <w:tblStylePr w:type="band1Horz">
      <w:tblPr/>
      <w:tcPr>
        <w:shd w:val="clear" w:color="auto" w:fill="E3E3E3" w:themeFill="accent3" w:themeFillTint="7F"/>
      </w:tcPr>
    </w:tblStylePr>
  </w:style>
  <w:style w:type="table" w:styleId="MediumGrid1-Accent4">
    <w:name w:val="Medium Grid 1 Accent 4"/>
    <w:basedOn w:val="TableNormal"/>
    <w:uiPriority w:val="67"/>
    <w:semiHidden/>
    <w:unhideWhenUsed/>
    <w:rsid w:val="009637A8"/>
    <w:pPr>
      <w:spacing w:after="0" w:line="240" w:lineRule="auto"/>
    </w:pPr>
    <w:tblPr>
      <w:tblStyleRowBandSize w:val="1"/>
      <w:tblStyleColBandSize w:val="1"/>
      <w:tblBorders>
        <w:top w:val="single" w:sz="8" w:space="0" w:color="00A4F7" w:themeColor="accent4" w:themeTint="BF"/>
        <w:left w:val="single" w:sz="8" w:space="0" w:color="00A4F7" w:themeColor="accent4" w:themeTint="BF"/>
        <w:bottom w:val="single" w:sz="8" w:space="0" w:color="00A4F7" w:themeColor="accent4" w:themeTint="BF"/>
        <w:right w:val="single" w:sz="8" w:space="0" w:color="00A4F7" w:themeColor="accent4" w:themeTint="BF"/>
        <w:insideH w:val="single" w:sz="8" w:space="0" w:color="00A4F7" w:themeColor="accent4" w:themeTint="BF"/>
        <w:insideV w:val="single" w:sz="8" w:space="0" w:color="00A4F7" w:themeColor="accent4" w:themeTint="BF"/>
      </w:tblBorders>
    </w:tblPr>
    <w:tcPr>
      <w:shd w:val="clear" w:color="auto" w:fill="A8E2FF" w:themeFill="accent4" w:themeFillTint="3F"/>
    </w:tcPr>
    <w:tblStylePr w:type="firstRow">
      <w:rPr>
        <w:b/>
        <w:bCs/>
      </w:rPr>
    </w:tblStylePr>
    <w:tblStylePr w:type="lastRow">
      <w:rPr>
        <w:b/>
        <w:bCs/>
      </w:rPr>
      <w:tblPr/>
      <w:tcPr>
        <w:tcBorders>
          <w:top w:val="single" w:sz="18" w:space="0" w:color="00A4F7" w:themeColor="accent4" w:themeTint="BF"/>
        </w:tcBorders>
      </w:tcPr>
    </w:tblStylePr>
    <w:tblStylePr w:type="firstCol">
      <w:rPr>
        <w:b/>
        <w:bCs/>
      </w:rPr>
    </w:tblStylePr>
    <w:tblStylePr w:type="lastCol">
      <w:rPr>
        <w:b/>
        <w:bCs/>
      </w:rPr>
    </w:tblStylePr>
    <w:tblStylePr w:type="band1Vert">
      <w:tblPr/>
      <w:tcPr>
        <w:shd w:val="clear" w:color="auto" w:fill="50C4FF" w:themeFill="accent4" w:themeFillTint="7F"/>
      </w:tcPr>
    </w:tblStylePr>
    <w:tblStylePr w:type="band1Horz">
      <w:tblPr/>
      <w:tcPr>
        <w:shd w:val="clear" w:color="auto" w:fill="50C4FF" w:themeFill="accent4" w:themeFillTint="7F"/>
      </w:tcPr>
    </w:tblStylePr>
  </w:style>
  <w:style w:type="table" w:styleId="MediumGrid1-Accent5">
    <w:name w:val="Medium Grid 1 Accent 5"/>
    <w:basedOn w:val="TableNormal"/>
    <w:uiPriority w:val="67"/>
    <w:semiHidden/>
    <w:unhideWhenUsed/>
    <w:rsid w:val="009637A8"/>
    <w:pPr>
      <w:spacing w:after="0" w:line="240" w:lineRule="auto"/>
    </w:pPr>
    <w:tblPr>
      <w:tblStyleRowBandSize w:val="1"/>
      <w:tblStyleColBandSize w:val="1"/>
      <w:tblBorders>
        <w:top w:val="single" w:sz="8" w:space="0" w:color="9CCDE0" w:themeColor="accent5" w:themeTint="BF"/>
        <w:left w:val="single" w:sz="8" w:space="0" w:color="9CCDE0" w:themeColor="accent5" w:themeTint="BF"/>
        <w:bottom w:val="single" w:sz="8" w:space="0" w:color="9CCDE0" w:themeColor="accent5" w:themeTint="BF"/>
        <w:right w:val="single" w:sz="8" w:space="0" w:color="9CCDE0" w:themeColor="accent5" w:themeTint="BF"/>
        <w:insideH w:val="single" w:sz="8" w:space="0" w:color="9CCDE0" w:themeColor="accent5" w:themeTint="BF"/>
        <w:insideV w:val="single" w:sz="8" w:space="0" w:color="9CCDE0" w:themeColor="accent5" w:themeTint="BF"/>
      </w:tblBorders>
    </w:tblPr>
    <w:tcPr>
      <w:shd w:val="clear" w:color="auto" w:fill="DEEEF4" w:themeFill="accent5" w:themeFillTint="3F"/>
    </w:tcPr>
    <w:tblStylePr w:type="firstRow">
      <w:rPr>
        <w:b/>
        <w:bCs/>
      </w:rPr>
    </w:tblStylePr>
    <w:tblStylePr w:type="lastRow">
      <w:rPr>
        <w:b/>
        <w:bCs/>
      </w:rPr>
      <w:tblPr/>
      <w:tcPr>
        <w:tcBorders>
          <w:top w:val="single" w:sz="18" w:space="0" w:color="9CCDE0" w:themeColor="accent5" w:themeTint="BF"/>
        </w:tcBorders>
      </w:tcPr>
    </w:tblStylePr>
    <w:tblStylePr w:type="firstCol">
      <w:rPr>
        <w:b/>
        <w:bCs/>
      </w:rPr>
    </w:tblStylePr>
    <w:tblStylePr w:type="lastCol">
      <w:rPr>
        <w:b/>
        <w:bCs/>
      </w:rPr>
    </w:tblStylePr>
    <w:tblStylePr w:type="band1Vert">
      <w:tblPr/>
      <w:tcPr>
        <w:shd w:val="clear" w:color="auto" w:fill="BDDDEA" w:themeFill="accent5" w:themeFillTint="7F"/>
      </w:tcPr>
    </w:tblStylePr>
    <w:tblStylePr w:type="band1Horz">
      <w:tblPr/>
      <w:tcPr>
        <w:shd w:val="clear" w:color="auto" w:fill="BDDDEA" w:themeFill="accent5" w:themeFillTint="7F"/>
      </w:tcPr>
    </w:tblStylePr>
  </w:style>
  <w:style w:type="table" w:styleId="MediumGrid1-Accent6">
    <w:name w:val="Medium Grid 1 Accent 6"/>
    <w:basedOn w:val="TableNormal"/>
    <w:uiPriority w:val="67"/>
    <w:semiHidden/>
    <w:unhideWhenUsed/>
    <w:rsid w:val="009637A8"/>
    <w:pPr>
      <w:spacing w:after="0" w:line="240" w:lineRule="auto"/>
    </w:pPr>
    <w:tblPr>
      <w:tblStyleRowBandSize w:val="1"/>
      <w:tblStyleColBandSize w:val="1"/>
      <w:tblBorders>
        <w:top w:val="single" w:sz="8" w:space="0" w:color="64B675" w:themeColor="accent6" w:themeTint="BF"/>
        <w:left w:val="single" w:sz="8" w:space="0" w:color="64B675" w:themeColor="accent6" w:themeTint="BF"/>
        <w:bottom w:val="single" w:sz="8" w:space="0" w:color="64B675" w:themeColor="accent6" w:themeTint="BF"/>
        <w:right w:val="single" w:sz="8" w:space="0" w:color="64B675" w:themeColor="accent6" w:themeTint="BF"/>
        <w:insideH w:val="single" w:sz="8" w:space="0" w:color="64B675" w:themeColor="accent6" w:themeTint="BF"/>
        <w:insideV w:val="single" w:sz="8" w:space="0" w:color="64B675" w:themeColor="accent6" w:themeTint="BF"/>
      </w:tblBorders>
    </w:tblPr>
    <w:tcPr>
      <w:shd w:val="clear" w:color="auto" w:fill="CBE7D1" w:themeFill="accent6" w:themeFillTint="3F"/>
    </w:tcPr>
    <w:tblStylePr w:type="firstRow">
      <w:rPr>
        <w:b/>
        <w:bCs/>
      </w:rPr>
    </w:tblStylePr>
    <w:tblStylePr w:type="lastRow">
      <w:rPr>
        <w:b/>
        <w:bCs/>
      </w:rPr>
      <w:tblPr/>
      <w:tcPr>
        <w:tcBorders>
          <w:top w:val="single" w:sz="18" w:space="0" w:color="64B675" w:themeColor="accent6" w:themeTint="BF"/>
        </w:tcBorders>
      </w:tcPr>
    </w:tblStylePr>
    <w:tblStylePr w:type="firstCol">
      <w:rPr>
        <w:b/>
        <w:bCs/>
      </w:rPr>
    </w:tblStylePr>
    <w:tblStylePr w:type="lastCol">
      <w:rPr>
        <w:b/>
        <w:bCs/>
      </w:rPr>
    </w:tblStylePr>
    <w:tblStylePr w:type="band1Vert">
      <w:tblPr/>
      <w:tcPr>
        <w:shd w:val="clear" w:color="auto" w:fill="98CFA3" w:themeFill="accent6" w:themeFillTint="7F"/>
      </w:tcPr>
    </w:tblStylePr>
    <w:tblStylePr w:type="band1Horz">
      <w:tblPr/>
      <w:tcPr>
        <w:shd w:val="clear" w:color="auto" w:fill="98CFA3" w:themeFill="accent6" w:themeFillTint="7F"/>
      </w:tcPr>
    </w:tblStylePr>
  </w:style>
  <w:style w:type="table" w:styleId="MediumGrid2">
    <w:name w:val="Medium Grid 2"/>
    <w:basedOn w:val="TableNormal"/>
    <w:uiPriority w:val="68"/>
    <w:semiHidden/>
    <w:unhideWhenUsed/>
    <w:rsid w:val="009637A8"/>
    <w:pPr>
      <w:spacing w:after="0" w:line="240" w:lineRule="auto"/>
    </w:pPr>
    <w:rPr>
      <w:rFonts w:eastAsiaTheme="majorEastAsia"/>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9637A8"/>
    <w:pPr>
      <w:spacing w:after="0" w:line="240" w:lineRule="auto"/>
    </w:pPr>
    <w:rPr>
      <w:rFonts w:eastAsiaTheme="majorEastAsia"/>
      <w:color w:val="000000" w:themeColor="text1"/>
    </w:rPr>
    <w:tblPr>
      <w:tblStyleRowBandSize w:val="1"/>
      <w:tblStyleColBandSize w:val="1"/>
      <w:tblBorders>
        <w:top w:val="single" w:sz="8" w:space="0" w:color="9D85BE" w:themeColor="accent1"/>
        <w:left w:val="single" w:sz="8" w:space="0" w:color="9D85BE" w:themeColor="accent1"/>
        <w:bottom w:val="single" w:sz="8" w:space="0" w:color="9D85BE" w:themeColor="accent1"/>
        <w:right w:val="single" w:sz="8" w:space="0" w:color="9D85BE" w:themeColor="accent1"/>
        <w:insideH w:val="single" w:sz="8" w:space="0" w:color="9D85BE" w:themeColor="accent1"/>
        <w:insideV w:val="single" w:sz="8" w:space="0" w:color="9D85BE" w:themeColor="accent1"/>
      </w:tblBorders>
    </w:tblPr>
    <w:tcPr>
      <w:shd w:val="clear" w:color="auto" w:fill="E6E0EF" w:themeFill="accent1" w:themeFillTint="3F"/>
    </w:tcPr>
    <w:tblStylePr w:type="firstRow">
      <w:rPr>
        <w:b/>
        <w:bCs/>
        <w:color w:val="000000" w:themeColor="text1"/>
      </w:rPr>
      <w:tblPr/>
      <w:tcPr>
        <w:shd w:val="clear" w:color="auto" w:fill="F5F3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E6F2" w:themeFill="accent1" w:themeFillTint="33"/>
      </w:tcPr>
    </w:tblStylePr>
    <w:tblStylePr w:type="band1Vert">
      <w:tblPr/>
      <w:tcPr>
        <w:shd w:val="clear" w:color="auto" w:fill="CEC2DE" w:themeFill="accent1" w:themeFillTint="7F"/>
      </w:tcPr>
    </w:tblStylePr>
    <w:tblStylePr w:type="band1Horz">
      <w:tblPr/>
      <w:tcPr>
        <w:tcBorders>
          <w:insideH w:val="single" w:sz="6" w:space="0" w:color="9D85BE" w:themeColor="accent1"/>
          <w:insideV w:val="single" w:sz="6" w:space="0" w:color="9D85BE" w:themeColor="accent1"/>
        </w:tcBorders>
        <w:shd w:val="clear" w:color="auto" w:fill="CEC2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9637A8"/>
    <w:pPr>
      <w:spacing w:after="0" w:line="240" w:lineRule="auto"/>
    </w:pPr>
    <w:rPr>
      <w:rFonts w:eastAsiaTheme="majorEastAsia"/>
      <w:color w:val="000000" w:themeColor="text1"/>
    </w:rPr>
    <w:tblPr>
      <w:tblStyleRowBandSize w:val="1"/>
      <w:tblStyleColBandSize w:val="1"/>
      <w:tblBorders>
        <w:top w:val="single" w:sz="8" w:space="0" w:color="7D7D7D" w:themeColor="accent2"/>
        <w:left w:val="single" w:sz="8" w:space="0" w:color="7D7D7D" w:themeColor="accent2"/>
        <w:bottom w:val="single" w:sz="8" w:space="0" w:color="7D7D7D" w:themeColor="accent2"/>
        <w:right w:val="single" w:sz="8" w:space="0" w:color="7D7D7D" w:themeColor="accent2"/>
        <w:insideH w:val="single" w:sz="8" w:space="0" w:color="7D7D7D" w:themeColor="accent2"/>
        <w:insideV w:val="single" w:sz="8" w:space="0" w:color="7D7D7D" w:themeColor="accent2"/>
      </w:tblBorders>
    </w:tblPr>
    <w:tcPr>
      <w:shd w:val="clear" w:color="auto" w:fill="DEDEDE" w:themeFill="accent2" w:themeFillTint="3F"/>
    </w:tcPr>
    <w:tblStylePr w:type="firstRow">
      <w:rPr>
        <w:b/>
        <w:bCs/>
        <w:color w:val="000000" w:themeColor="text1"/>
      </w:rPr>
      <w:tblPr/>
      <w:tcPr>
        <w:shd w:val="clear" w:color="auto" w:fill="F2F2F2"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5E5" w:themeFill="accent2" w:themeFillTint="33"/>
      </w:tcPr>
    </w:tblStylePr>
    <w:tblStylePr w:type="band1Vert">
      <w:tblPr/>
      <w:tcPr>
        <w:shd w:val="clear" w:color="auto" w:fill="BEBEBE" w:themeFill="accent2" w:themeFillTint="7F"/>
      </w:tcPr>
    </w:tblStylePr>
    <w:tblStylePr w:type="band1Horz">
      <w:tblPr/>
      <w:tcPr>
        <w:tcBorders>
          <w:insideH w:val="single" w:sz="6" w:space="0" w:color="7D7D7D" w:themeColor="accent2"/>
          <w:insideV w:val="single" w:sz="6" w:space="0" w:color="7D7D7D" w:themeColor="accent2"/>
        </w:tcBorders>
        <w:shd w:val="clear" w:color="auto" w:fill="BEBEBE"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9637A8"/>
    <w:pPr>
      <w:spacing w:after="0" w:line="240" w:lineRule="auto"/>
    </w:pPr>
    <w:rPr>
      <w:rFonts w:eastAsiaTheme="majorEastAsia"/>
      <w:color w:val="000000" w:themeColor="text1"/>
    </w:rPr>
    <w:tblPr>
      <w:tblStyleRowBandSize w:val="1"/>
      <w:tblStyleColBandSize w:val="1"/>
      <w:tblBorders>
        <w:top w:val="single" w:sz="8" w:space="0" w:color="C8C8C8" w:themeColor="accent3"/>
        <w:left w:val="single" w:sz="8" w:space="0" w:color="C8C8C8" w:themeColor="accent3"/>
        <w:bottom w:val="single" w:sz="8" w:space="0" w:color="C8C8C8" w:themeColor="accent3"/>
        <w:right w:val="single" w:sz="8" w:space="0" w:color="C8C8C8" w:themeColor="accent3"/>
        <w:insideH w:val="single" w:sz="8" w:space="0" w:color="C8C8C8" w:themeColor="accent3"/>
        <w:insideV w:val="single" w:sz="8" w:space="0" w:color="C8C8C8" w:themeColor="accent3"/>
      </w:tblBorders>
    </w:tblPr>
    <w:tcPr>
      <w:shd w:val="clear" w:color="auto" w:fill="F1F1F1" w:themeFill="accent3" w:themeFillTint="3F"/>
    </w:tcPr>
    <w:tblStylePr w:type="firstRow">
      <w:rPr>
        <w:b/>
        <w:bCs/>
        <w:color w:val="000000" w:themeColor="text1"/>
      </w:rPr>
      <w:tblPr/>
      <w:tcPr>
        <w:shd w:val="clear" w:color="auto" w:fill="F9F9F9"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4F4F4" w:themeFill="accent3" w:themeFillTint="33"/>
      </w:tcPr>
    </w:tblStylePr>
    <w:tblStylePr w:type="band1Vert">
      <w:tblPr/>
      <w:tcPr>
        <w:shd w:val="clear" w:color="auto" w:fill="E3E3E3" w:themeFill="accent3" w:themeFillTint="7F"/>
      </w:tcPr>
    </w:tblStylePr>
    <w:tblStylePr w:type="band1Horz">
      <w:tblPr/>
      <w:tcPr>
        <w:tcBorders>
          <w:insideH w:val="single" w:sz="6" w:space="0" w:color="C8C8C8" w:themeColor="accent3"/>
          <w:insideV w:val="single" w:sz="6" w:space="0" w:color="C8C8C8" w:themeColor="accent3"/>
        </w:tcBorders>
        <w:shd w:val="clear" w:color="auto" w:fill="E3E3E3"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9637A8"/>
    <w:pPr>
      <w:spacing w:after="0" w:line="240" w:lineRule="auto"/>
    </w:pPr>
    <w:rPr>
      <w:rFonts w:eastAsiaTheme="majorEastAsia"/>
      <w:color w:val="000000" w:themeColor="text1"/>
    </w:rPr>
    <w:tblPr>
      <w:tblStyleRowBandSize w:val="1"/>
      <w:tblStyleColBandSize w:val="1"/>
      <w:tblBorders>
        <w:top w:val="single" w:sz="8" w:space="0" w:color="006A9F" w:themeColor="accent4"/>
        <w:left w:val="single" w:sz="8" w:space="0" w:color="006A9F" w:themeColor="accent4"/>
        <w:bottom w:val="single" w:sz="8" w:space="0" w:color="006A9F" w:themeColor="accent4"/>
        <w:right w:val="single" w:sz="8" w:space="0" w:color="006A9F" w:themeColor="accent4"/>
        <w:insideH w:val="single" w:sz="8" w:space="0" w:color="006A9F" w:themeColor="accent4"/>
        <w:insideV w:val="single" w:sz="8" w:space="0" w:color="006A9F" w:themeColor="accent4"/>
      </w:tblBorders>
    </w:tblPr>
    <w:tcPr>
      <w:shd w:val="clear" w:color="auto" w:fill="A8E2FF" w:themeFill="accent4" w:themeFillTint="3F"/>
    </w:tcPr>
    <w:tblStylePr w:type="firstRow">
      <w:rPr>
        <w:b/>
        <w:bCs/>
        <w:color w:val="000000" w:themeColor="text1"/>
      </w:rPr>
      <w:tblPr/>
      <w:tcPr>
        <w:shd w:val="clear" w:color="auto" w:fill="DCF3F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8E7FF" w:themeFill="accent4" w:themeFillTint="33"/>
      </w:tcPr>
    </w:tblStylePr>
    <w:tblStylePr w:type="band1Vert">
      <w:tblPr/>
      <w:tcPr>
        <w:shd w:val="clear" w:color="auto" w:fill="50C4FF" w:themeFill="accent4" w:themeFillTint="7F"/>
      </w:tcPr>
    </w:tblStylePr>
    <w:tblStylePr w:type="band1Horz">
      <w:tblPr/>
      <w:tcPr>
        <w:tcBorders>
          <w:insideH w:val="single" w:sz="6" w:space="0" w:color="006A9F" w:themeColor="accent4"/>
          <w:insideV w:val="single" w:sz="6" w:space="0" w:color="006A9F" w:themeColor="accent4"/>
        </w:tcBorders>
        <w:shd w:val="clear" w:color="auto" w:fill="50C4F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9637A8"/>
    <w:pPr>
      <w:spacing w:after="0" w:line="240" w:lineRule="auto"/>
    </w:pPr>
    <w:rPr>
      <w:rFonts w:eastAsiaTheme="majorEastAsia"/>
      <w:color w:val="000000" w:themeColor="text1"/>
    </w:rPr>
    <w:tblPr>
      <w:tblStyleRowBandSize w:val="1"/>
      <w:tblStyleColBandSize w:val="1"/>
      <w:tblBorders>
        <w:top w:val="single" w:sz="8" w:space="0" w:color="7BBDD6" w:themeColor="accent5"/>
        <w:left w:val="single" w:sz="8" w:space="0" w:color="7BBDD6" w:themeColor="accent5"/>
        <w:bottom w:val="single" w:sz="8" w:space="0" w:color="7BBDD6" w:themeColor="accent5"/>
        <w:right w:val="single" w:sz="8" w:space="0" w:color="7BBDD6" w:themeColor="accent5"/>
        <w:insideH w:val="single" w:sz="8" w:space="0" w:color="7BBDD6" w:themeColor="accent5"/>
        <w:insideV w:val="single" w:sz="8" w:space="0" w:color="7BBDD6" w:themeColor="accent5"/>
      </w:tblBorders>
    </w:tblPr>
    <w:tcPr>
      <w:shd w:val="clear" w:color="auto" w:fill="DEEEF4" w:themeFill="accent5" w:themeFillTint="3F"/>
    </w:tcPr>
    <w:tblStylePr w:type="firstRow">
      <w:rPr>
        <w:b/>
        <w:bCs/>
        <w:color w:val="000000" w:themeColor="text1"/>
      </w:rPr>
      <w:tblPr/>
      <w:tcPr>
        <w:shd w:val="clear" w:color="auto" w:fill="F2F8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4F1F6" w:themeFill="accent5" w:themeFillTint="33"/>
      </w:tcPr>
    </w:tblStylePr>
    <w:tblStylePr w:type="band1Vert">
      <w:tblPr/>
      <w:tcPr>
        <w:shd w:val="clear" w:color="auto" w:fill="BDDDEA" w:themeFill="accent5" w:themeFillTint="7F"/>
      </w:tcPr>
    </w:tblStylePr>
    <w:tblStylePr w:type="band1Horz">
      <w:tblPr/>
      <w:tcPr>
        <w:tcBorders>
          <w:insideH w:val="single" w:sz="6" w:space="0" w:color="7BBDD6" w:themeColor="accent5"/>
          <w:insideV w:val="single" w:sz="6" w:space="0" w:color="7BBDD6" w:themeColor="accent5"/>
        </w:tcBorders>
        <w:shd w:val="clear" w:color="auto" w:fill="BDDDE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9637A8"/>
    <w:pPr>
      <w:spacing w:after="0" w:line="240" w:lineRule="auto"/>
    </w:pPr>
    <w:rPr>
      <w:rFonts w:eastAsiaTheme="majorEastAsia"/>
      <w:color w:val="000000" w:themeColor="text1"/>
    </w:rPr>
    <w:tblPr>
      <w:tblStyleRowBandSize w:val="1"/>
      <w:tblStyleColBandSize w:val="1"/>
      <w:tblBorders>
        <w:top w:val="single" w:sz="8" w:space="0" w:color="428D52" w:themeColor="accent6"/>
        <w:left w:val="single" w:sz="8" w:space="0" w:color="428D52" w:themeColor="accent6"/>
        <w:bottom w:val="single" w:sz="8" w:space="0" w:color="428D52" w:themeColor="accent6"/>
        <w:right w:val="single" w:sz="8" w:space="0" w:color="428D52" w:themeColor="accent6"/>
        <w:insideH w:val="single" w:sz="8" w:space="0" w:color="428D52" w:themeColor="accent6"/>
        <w:insideV w:val="single" w:sz="8" w:space="0" w:color="428D52" w:themeColor="accent6"/>
      </w:tblBorders>
    </w:tblPr>
    <w:tcPr>
      <w:shd w:val="clear" w:color="auto" w:fill="CBE7D1" w:themeFill="accent6" w:themeFillTint="3F"/>
    </w:tcPr>
    <w:tblStylePr w:type="firstRow">
      <w:rPr>
        <w:b/>
        <w:bCs/>
        <w:color w:val="000000" w:themeColor="text1"/>
      </w:rPr>
      <w:tblPr/>
      <w:tcPr>
        <w:shd w:val="clear" w:color="auto" w:fill="EAF5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5EBDA" w:themeFill="accent6" w:themeFillTint="33"/>
      </w:tcPr>
    </w:tblStylePr>
    <w:tblStylePr w:type="band1Vert">
      <w:tblPr/>
      <w:tcPr>
        <w:shd w:val="clear" w:color="auto" w:fill="98CFA3" w:themeFill="accent6" w:themeFillTint="7F"/>
      </w:tcPr>
    </w:tblStylePr>
    <w:tblStylePr w:type="band1Horz">
      <w:tblPr/>
      <w:tcPr>
        <w:tcBorders>
          <w:insideH w:val="single" w:sz="6" w:space="0" w:color="428D52" w:themeColor="accent6"/>
          <w:insideV w:val="single" w:sz="6" w:space="0" w:color="428D52" w:themeColor="accent6"/>
        </w:tcBorders>
        <w:shd w:val="clear" w:color="auto" w:fill="98CFA3"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9637A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9637A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0E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D85BE"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D85BE"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D85BE"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D85BE"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EC2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EC2DE" w:themeFill="accent1" w:themeFillTint="7F"/>
      </w:tcPr>
    </w:tblStylePr>
  </w:style>
  <w:style w:type="table" w:styleId="MediumGrid3-Accent2">
    <w:name w:val="Medium Grid 3 Accent 2"/>
    <w:basedOn w:val="TableNormal"/>
    <w:uiPriority w:val="69"/>
    <w:semiHidden/>
    <w:unhideWhenUsed/>
    <w:rsid w:val="009637A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EDEDE"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D7D7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D7D7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D7D7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D7D7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EBEBE"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EBEBE" w:themeFill="accent2" w:themeFillTint="7F"/>
      </w:tcPr>
    </w:tblStylePr>
  </w:style>
  <w:style w:type="table" w:styleId="MediumGrid3-Accent3">
    <w:name w:val="Medium Grid 3 Accent 3"/>
    <w:basedOn w:val="TableNormal"/>
    <w:uiPriority w:val="69"/>
    <w:semiHidden/>
    <w:unhideWhenUsed/>
    <w:rsid w:val="009637A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1F1F1"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8C8C8"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8C8C8"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8C8C8"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8C8C8"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3E3E3"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3E3E3" w:themeFill="accent3" w:themeFillTint="7F"/>
      </w:tcPr>
    </w:tblStylePr>
  </w:style>
  <w:style w:type="table" w:styleId="MediumGrid3-Accent4">
    <w:name w:val="Medium Grid 3 Accent 4"/>
    <w:basedOn w:val="TableNormal"/>
    <w:uiPriority w:val="69"/>
    <w:semiHidden/>
    <w:unhideWhenUsed/>
    <w:rsid w:val="009637A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8E2F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6A9F"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6A9F"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6A9F"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6A9F"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0C4F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0C4FF" w:themeFill="accent4" w:themeFillTint="7F"/>
      </w:tcPr>
    </w:tblStylePr>
  </w:style>
  <w:style w:type="table" w:styleId="MediumGrid3-Accent5">
    <w:name w:val="Medium Grid 3 Accent 5"/>
    <w:basedOn w:val="TableNormal"/>
    <w:uiPriority w:val="69"/>
    <w:semiHidden/>
    <w:unhideWhenUsed/>
    <w:rsid w:val="009637A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EEE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BBDD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BBDD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BBDD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BBDD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DDD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DDDEA" w:themeFill="accent5" w:themeFillTint="7F"/>
      </w:tcPr>
    </w:tblStylePr>
  </w:style>
  <w:style w:type="table" w:styleId="MediumGrid3-Accent6">
    <w:name w:val="Medium Grid 3 Accent 6"/>
    <w:basedOn w:val="TableNormal"/>
    <w:uiPriority w:val="69"/>
    <w:semiHidden/>
    <w:unhideWhenUsed/>
    <w:rsid w:val="009637A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BE7D1"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28D52"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28D52"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28D52"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28D52"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8CFA3"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8CFA3" w:themeFill="accent6" w:themeFillTint="7F"/>
      </w:tcPr>
    </w:tblStylePr>
  </w:style>
  <w:style w:type="table" w:styleId="MediumList1">
    <w:name w:val="Medium List 1"/>
    <w:basedOn w:val="TableNormal"/>
    <w:uiPriority w:val="65"/>
    <w:semiHidden/>
    <w:unhideWhenUsed/>
    <w:rsid w:val="009637A8"/>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6C3F99"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9637A8"/>
    <w:pPr>
      <w:spacing w:after="0" w:line="240" w:lineRule="auto"/>
    </w:pPr>
    <w:rPr>
      <w:color w:val="000000" w:themeColor="text1"/>
    </w:rPr>
    <w:tblPr>
      <w:tblStyleRowBandSize w:val="1"/>
      <w:tblStyleColBandSize w:val="1"/>
      <w:tblBorders>
        <w:top w:val="single" w:sz="8" w:space="0" w:color="9D85BE" w:themeColor="accent1"/>
        <w:bottom w:val="single" w:sz="8" w:space="0" w:color="9D85BE" w:themeColor="accent1"/>
      </w:tblBorders>
    </w:tblPr>
    <w:tblStylePr w:type="firstRow">
      <w:rPr>
        <w:rFonts w:asciiTheme="majorHAnsi" w:eastAsiaTheme="majorEastAsia" w:hAnsiTheme="majorHAnsi" w:cstheme="majorBidi"/>
      </w:rPr>
      <w:tblPr/>
      <w:tcPr>
        <w:tcBorders>
          <w:top w:val="nil"/>
          <w:bottom w:val="single" w:sz="8" w:space="0" w:color="9D85BE" w:themeColor="accent1"/>
        </w:tcBorders>
      </w:tcPr>
    </w:tblStylePr>
    <w:tblStylePr w:type="lastRow">
      <w:rPr>
        <w:b/>
        <w:bCs/>
        <w:color w:val="6C3F99" w:themeColor="text2"/>
      </w:rPr>
      <w:tblPr/>
      <w:tcPr>
        <w:tcBorders>
          <w:top w:val="single" w:sz="8" w:space="0" w:color="9D85BE" w:themeColor="accent1"/>
          <w:bottom w:val="single" w:sz="8" w:space="0" w:color="9D85BE" w:themeColor="accent1"/>
        </w:tcBorders>
      </w:tcPr>
    </w:tblStylePr>
    <w:tblStylePr w:type="firstCol">
      <w:rPr>
        <w:b/>
        <w:bCs/>
      </w:rPr>
    </w:tblStylePr>
    <w:tblStylePr w:type="lastCol">
      <w:rPr>
        <w:b/>
        <w:bCs/>
      </w:rPr>
      <w:tblPr/>
      <w:tcPr>
        <w:tcBorders>
          <w:top w:val="single" w:sz="8" w:space="0" w:color="9D85BE" w:themeColor="accent1"/>
          <w:bottom w:val="single" w:sz="8" w:space="0" w:color="9D85BE" w:themeColor="accent1"/>
        </w:tcBorders>
      </w:tcPr>
    </w:tblStylePr>
    <w:tblStylePr w:type="band1Vert">
      <w:tblPr/>
      <w:tcPr>
        <w:shd w:val="clear" w:color="auto" w:fill="E6E0EF" w:themeFill="accent1" w:themeFillTint="3F"/>
      </w:tcPr>
    </w:tblStylePr>
    <w:tblStylePr w:type="band1Horz">
      <w:tblPr/>
      <w:tcPr>
        <w:shd w:val="clear" w:color="auto" w:fill="E6E0EF" w:themeFill="accent1" w:themeFillTint="3F"/>
      </w:tcPr>
    </w:tblStylePr>
  </w:style>
  <w:style w:type="table" w:styleId="MediumList1-Accent2">
    <w:name w:val="Medium List 1 Accent 2"/>
    <w:basedOn w:val="TableNormal"/>
    <w:uiPriority w:val="65"/>
    <w:semiHidden/>
    <w:unhideWhenUsed/>
    <w:rsid w:val="009637A8"/>
    <w:pPr>
      <w:spacing w:after="0" w:line="240" w:lineRule="auto"/>
    </w:pPr>
    <w:rPr>
      <w:color w:val="000000" w:themeColor="text1"/>
    </w:rPr>
    <w:tblPr>
      <w:tblStyleRowBandSize w:val="1"/>
      <w:tblStyleColBandSize w:val="1"/>
      <w:tblBorders>
        <w:top w:val="single" w:sz="8" w:space="0" w:color="7D7D7D" w:themeColor="accent2"/>
        <w:bottom w:val="single" w:sz="8" w:space="0" w:color="7D7D7D" w:themeColor="accent2"/>
      </w:tblBorders>
    </w:tblPr>
    <w:tblStylePr w:type="firstRow">
      <w:rPr>
        <w:rFonts w:asciiTheme="majorHAnsi" w:eastAsiaTheme="majorEastAsia" w:hAnsiTheme="majorHAnsi" w:cstheme="majorBidi"/>
      </w:rPr>
      <w:tblPr/>
      <w:tcPr>
        <w:tcBorders>
          <w:top w:val="nil"/>
          <w:bottom w:val="single" w:sz="8" w:space="0" w:color="7D7D7D" w:themeColor="accent2"/>
        </w:tcBorders>
      </w:tcPr>
    </w:tblStylePr>
    <w:tblStylePr w:type="lastRow">
      <w:rPr>
        <w:b/>
        <w:bCs/>
        <w:color w:val="6C3F99" w:themeColor="text2"/>
      </w:rPr>
      <w:tblPr/>
      <w:tcPr>
        <w:tcBorders>
          <w:top w:val="single" w:sz="8" w:space="0" w:color="7D7D7D" w:themeColor="accent2"/>
          <w:bottom w:val="single" w:sz="8" w:space="0" w:color="7D7D7D" w:themeColor="accent2"/>
        </w:tcBorders>
      </w:tcPr>
    </w:tblStylePr>
    <w:tblStylePr w:type="firstCol">
      <w:rPr>
        <w:b/>
        <w:bCs/>
      </w:rPr>
    </w:tblStylePr>
    <w:tblStylePr w:type="lastCol">
      <w:rPr>
        <w:b/>
        <w:bCs/>
      </w:rPr>
      <w:tblPr/>
      <w:tcPr>
        <w:tcBorders>
          <w:top w:val="single" w:sz="8" w:space="0" w:color="7D7D7D" w:themeColor="accent2"/>
          <w:bottom w:val="single" w:sz="8" w:space="0" w:color="7D7D7D" w:themeColor="accent2"/>
        </w:tcBorders>
      </w:tcPr>
    </w:tblStylePr>
    <w:tblStylePr w:type="band1Vert">
      <w:tblPr/>
      <w:tcPr>
        <w:shd w:val="clear" w:color="auto" w:fill="DEDEDE" w:themeFill="accent2" w:themeFillTint="3F"/>
      </w:tcPr>
    </w:tblStylePr>
    <w:tblStylePr w:type="band1Horz">
      <w:tblPr/>
      <w:tcPr>
        <w:shd w:val="clear" w:color="auto" w:fill="DEDEDE" w:themeFill="accent2" w:themeFillTint="3F"/>
      </w:tcPr>
    </w:tblStylePr>
  </w:style>
  <w:style w:type="table" w:styleId="MediumList1-Accent3">
    <w:name w:val="Medium List 1 Accent 3"/>
    <w:basedOn w:val="TableNormal"/>
    <w:uiPriority w:val="65"/>
    <w:semiHidden/>
    <w:unhideWhenUsed/>
    <w:rsid w:val="009637A8"/>
    <w:pPr>
      <w:spacing w:after="0" w:line="240" w:lineRule="auto"/>
    </w:pPr>
    <w:rPr>
      <w:color w:val="000000" w:themeColor="text1"/>
    </w:rPr>
    <w:tblPr>
      <w:tblStyleRowBandSize w:val="1"/>
      <w:tblStyleColBandSize w:val="1"/>
      <w:tblBorders>
        <w:top w:val="single" w:sz="8" w:space="0" w:color="C8C8C8" w:themeColor="accent3"/>
        <w:bottom w:val="single" w:sz="8" w:space="0" w:color="C8C8C8" w:themeColor="accent3"/>
      </w:tblBorders>
    </w:tblPr>
    <w:tblStylePr w:type="firstRow">
      <w:rPr>
        <w:rFonts w:asciiTheme="majorHAnsi" w:eastAsiaTheme="majorEastAsia" w:hAnsiTheme="majorHAnsi" w:cstheme="majorBidi"/>
      </w:rPr>
      <w:tblPr/>
      <w:tcPr>
        <w:tcBorders>
          <w:top w:val="nil"/>
          <w:bottom w:val="single" w:sz="8" w:space="0" w:color="C8C8C8" w:themeColor="accent3"/>
        </w:tcBorders>
      </w:tcPr>
    </w:tblStylePr>
    <w:tblStylePr w:type="lastRow">
      <w:rPr>
        <w:b/>
        <w:bCs/>
        <w:color w:val="6C3F99" w:themeColor="text2"/>
      </w:rPr>
      <w:tblPr/>
      <w:tcPr>
        <w:tcBorders>
          <w:top w:val="single" w:sz="8" w:space="0" w:color="C8C8C8" w:themeColor="accent3"/>
          <w:bottom w:val="single" w:sz="8" w:space="0" w:color="C8C8C8" w:themeColor="accent3"/>
        </w:tcBorders>
      </w:tcPr>
    </w:tblStylePr>
    <w:tblStylePr w:type="firstCol">
      <w:rPr>
        <w:b/>
        <w:bCs/>
      </w:rPr>
    </w:tblStylePr>
    <w:tblStylePr w:type="lastCol">
      <w:rPr>
        <w:b/>
        <w:bCs/>
      </w:rPr>
      <w:tblPr/>
      <w:tcPr>
        <w:tcBorders>
          <w:top w:val="single" w:sz="8" w:space="0" w:color="C8C8C8" w:themeColor="accent3"/>
          <w:bottom w:val="single" w:sz="8" w:space="0" w:color="C8C8C8" w:themeColor="accent3"/>
        </w:tcBorders>
      </w:tcPr>
    </w:tblStylePr>
    <w:tblStylePr w:type="band1Vert">
      <w:tblPr/>
      <w:tcPr>
        <w:shd w:val="clear" w:color="auto" w:fill="F1F1F1" w:themeFill="accent3" w:themeFillTint="3F"/>
      </w:tcPr>
    </w:tblStylePr>
    <w:tblStylePr w:type="band1Horz">
      <w:tblPr/>
      <w:tcPr>
        <w:shd w:val="clear" w:color="auto" w:fill="F1F1F1" w:themeFill="accent3" w:themeFillTint="3F"/>
      </w:tcPr>
    </w:tblStylePr>
  </w:style>
  <w:style w:type="table" w:styleId="MediumList1-Accent4">
    <w:name w:val="Medium List 1 Accent 4"/>
    <w:basedOn w:val="TableNormal"/>
    <w:uiPriority w:val="65"/>
    <w:semiHidden/>
    <w:unhideWhenUsed/>
    <w:rsid w:val="009637A8"/>
    <w:pPr>
      <w:spacing w:after="0" w:line="240" w:lineRule="auto"/>
    </w:pPr>
    <w:rPr>
      <w:color w:val="000000" w:themeColor="text1"/>
    </w:rPr>
    <w:tblPr>
      <w:tblStyleRowBandSize w:val="1"/>
      <w:tblStyleColBandSize w:val="1"/>
      <w:tblBorders>
        <w:top w:val="single" w:sz="8" w:space="0" w:color="006A9F" w:themeColor="accent4"/>
        <w:bottom w:val="single" w:sz="8" w:space="0" w:color="006A9F" w:themeColor="accent4"/>
      </w:tblBorders>
    </w:tblPr>
    <w:tblStylePr w:type="firstRow">
      <w:rPr>
        <w:rFonts w:asciiTheme="majorHAnsi" w:eastAsiaTheme="majorEastAsia" w:hAnsiTheme="majorHAnsi" w:cstheme="majorBidi"/>
      </w:rPr>
      <w:tblPr/>
      <w:tcPr>
        <w:tcBorders>
          <w:top w:val="nil"/>
          <w:bottom w:val="single" w:sz="8" w:space="0" w:color="006A9F" w:themeColor="accent4"/>
        </w:tcBorders>
      </w:tcPr>
    </w:tblStylePr>
    <w:tblStylePr w:type="lastRow">
      <w:rPr>
        <w:b/>
        <w:bCs/>
        <w:color w:val="6C3F99" w:themeColor="text2"/>
      </w:rPr>
      <w:tblPr/>
      <w:tcPr>
        <w:tcBorders>
          <w:top w:val="single" w:sz="8" w:space="0" w:color="006A9F" w:themeColor="accent4"/>
          <w:bottom w:val="single" w:sz="8" w:space="0" w:color="006A9F" w:themeColor="accent4"/>
        </w:tcBorders>
      </w:tcPr>
    </w:tblStylePr>
    <w:tblStylePr w:type="firstCol">
      <w:rPr>
        <w:b/>
        <w:bCs/>
      </w:rPr>
    </w:tblStylePr>
    <w:tblStylePr w:type="lastCol">
      <w:rPr>
        <w:b/>
        <w:bCs/>
      </w:rPr>
      <w:tblPr/>
      <w:tcPr>
        <w:tcBorders>
          <w:top w:val="single" w:sz="8" w:space="0" w:color="006A9F" w:themeColor="accent4"/>
          <w:bottom w:val="single" w:sz="8" w:space="0" w:color="006A9F" w:themeColor="accent4"/>
        </w:tcBorders>
      </w:tcPr>
    </w:tblStylePr>
    <w:tblStylePr w:type="band1Vert">
      <w:tblPr/>
      <w:tcPr>
        <w:shd w:val="clear" w:color="auto" w:fill="A8E2FF" w:themeFill="accent4" w:themeFillTint="3F"/>
      </w:tcPr>
    </w:tblStylePr>
    <w:tblStylePr w:type="band1Horz">
      <w:tblPr/>
      <w:tcPr>
        <w:shd w:val="clear" w:color="auto" w:fill="A8E2FF" w:themeFill="accent4" w:themeFillTint="3F"/>
      </w:tcPr>
    </w:tblStylePr>
  </w:style>
  <w:style w:type="table" w:styleId="MediumList1-Accent5">
    <w:name w:val="Medium List 1 Accent 5"/>
    <w:basedOn w:val="TableNormal"/>
    <w:uiPriority w:val="65"/>
    <w:semiHidden/>
    <w:unhideWhenUsed/>
    <w:rsid w:val="009637A8"/>
    <w:pPr>
      <w:spacing w:after="0" w:line="240" w:lineRule="auto"/>
    </w:pPr>
    <w:rPr>
      <w:color w:val="000000" w:themeColor="text1"/>
    </w:rPr>
    <w:tblPr>
      <w:tblStyleRowBandSize w:val="1"/>
      <w:tblStyleColBandSize w:val="1"/>
      <w:tblBorders>
        <w:top w:val="single" w:sz="8" w:space="0" w:color="7BBDD6" w:themeColor="accent5"/>
        <w:bottom w:val="single" w:sz="8" w:space="0" w:color="7BBDD6" w:themeColor="accent5"/>
      </w:tblBorders>
    </w:tblPr>
    <w:tblStylePr w:type="firstRow">
      <w:rPr>
        <w:rFonts w:asciiTheme="majorHAnsi" w:eastAsiaTheme="majorEastAsia" w:hAnsiTheme="majorHAnsi" w:cstheme="majorBidi"/>
      </w:rPr>
      <w:tblPr/>
      <w:tcPr>
        <w:tcBorders>
          <w:top w:val="nil"/>
          <w:bottom w:val="single" w:sz="8" w:space="0" w:color="7BBDD6" w:themeColor="accent5"/>
        </w:tcBorders>
      </w:tcPr>
    </w:tblStylePr>
    <w:tblStylePr w:type="lastRow">
      <w:rPr>
        <w:b/>
        <w:bCs/>
        <w:color w:val="6C3F99" w:themeColor="text2"/>
      </w:rPr>
      <w:tblPr/>
      <w:tcPr>
        <w:tcBorders>
          <w:top w:val="single" w:sz="8" w:space="0" w:color="7BBDD6" w:themeColor="accent5"/>
          <w:bottom w:val="single" w:sz="8" w:space="0" w:color="7BBDD6" w:themeColor="accent5"/>
        </w:tcBorders>
      </w:tcPr>
    </w:tblStylePr>
    <w:tblStylePr w:type="firstCol">
      <w:rPr>
        <w:b/>
        <w:bCs/>
      </w:rPr>
    </w:tblStylePr>
    <w:tblStylePr w:type="lastCol">
      <w:rPr>
        <w:b/>
        <w:bCs/>
      </w:rPr>
      <w:tblPr/>
      <w:tcPr>
        <w:tcBorders>
          <w:top w:val="single" w:sz="8" w:space="0" w:color="7BBDD6" w:themeColor="accent5"/>
          <w:bottom w:val="single" w:sz="8" w:space="0" w:color="7BBDD6" w:themeColor="accent5"/>
        </w:tcBorders>
      </w:tcPr>
    </w:tblStylePr>
    <w:tblStylePr w:type="band1Vert">
      <w:tblPr/>
      <w:tcPr>
        <w:shd w:val="clear" w:color="auto" w:fill="DEEEF4" w:themeFill="accent5" w:themeFillTint="3F"/>
      </w:tcPr>
    </w:tblStylePr>
    <w:tblStylePr w:type="band1Horz">
      <w:tblPr/>
      <w:tcPr>
        <w:shd w:val="clear" w:color="auto" w:fill="DEEEF4" w:themeFill="accent5" w:themeFillTint="3F"/>
      </w:tcPr>
    </w:tblStylePr>
  </w:style>
  <w:style w:type="table" w:styleId="MediumList1-Accent6">
    <w:name w:val="Medium List 1 Accent 6"/>
    <w:basedOn w:val="TableNormal"/>
    <w:uiPriority w:val="65"/>
    <w:semiHidden/>
    <w:unhideWhenUsed/>
    <w:rsid w:val="009637A8"/>
    <w:pPr>
      <w:spacing w:after="0" w:line="240" w:lineRule="auto"/>
    </w:pPr>
    <w:rPr>
      <w:color w:val="000000" w:themeColor="text1"/>
    </w:rPr>
    <w:tblPr>
      <w:tblStyleRowBandSize w:val="1"/>
      <w:tblStyleColBandSize w:val="1"/>
      <w:tblBorders>
        <w:top w:val="single" w:sz="8" w:space="0" w:color="428D52" w:themeColor="accent6"/>
        <w:bottom w:val="single" w:sz="8" w:space="0" w:color="428D52" w:themeColor="accent6"/>
      </w:tblBorders>
    </w:tblPr>
    <w:tblStylePr w:type="firstRow">
      <w:rPr>
        <w:rFonts w:asciiTheme="majorHAnsi" w:eastAsiaTheme="majorEastAsia" w:hAnsiTheme="majorHAnsi" w:cstheme="majorBidi"/>
      </w:rPr>
      <w:tblPr/>
      <w:tcPr>
        <w:tcBorders>
          <w:top w:val="nil"/>
          <w:bottom w:val="single" w:sz="8" w:space="0" w:color="428D52" w:themeColor="accent6"/>
        </w:tcBorders>
      </w:tcPr>
    </w:tblStylePr>
    <w:tblStylePr w:type="lastRow">
      <w:rPr>
        <w:b/>
        <w:bCs/>
        <w:color w:val="6C3F99" w:themeColor="text2"/>
      </w:rPr>
      <w:tblPr/>
      <w:tcPr>
        <w:tcBorders>
          <w:top w:val="single" w:sz="8" w:space="0" w:color="428D52" w:themeColor="accent6"/>
          <w:bottom w:val="single" w:sz="8" w:space="0" w:color="428D52" w:themeColor="accent6"/>
        </w:tcBorders>
      </w:tcPr>
    </w:tblStylePr>
    <w:tblStylePr w:type="firstCol">
      <w:rPr>
        <w:b/>
        <w:bCs/>
      </w:rPr>
    </w:tblStylePr>
    <w:tblStylePr w:type="lastCol">
      <w:rPr>
        <w:b/>
        <w:bCs/>
      </w:rPr>
      <w:tblPr/>
      <w:tcPr>
        <w:tcBorders>
          <w:top w:val="single" w:sz="8" w:space="0" w:color="428D52" w:themeColor="accent6"/>
          <w:bottom w:val="single" w:sz="8" w:space="0" w:color="428D52" w:themeColor="accent6"/>
        </w:tcBorders>
      </w:tcPr>
    </w:tblStylePr>
    <w:tblStylePr w:type="band1Vert">
      <w:tblPr/>
      <w:tcPr>
        <w:shd w:val="clear" w:color="auto" w:fill="CBE7D1" w:themeFill="accent6" w:themeFillTint="3F"/>
      </w:tcPr>
    </w:tblStylePr>
    <w:tblStylePr w:type="band1Horz">
      <w:tblPr/>
      <w:tcPr>
        <w:shd w:val="clear" w:color="auto" w:fill="CBE7D1" w:themeFill="accent6" w:themeFillTint="3F"/>
      </w:tcPr>
    </w:tblStylePr>
  </w:style>
  <w:style w:type="table" w:styleId="MediumList2">
    <w:name w:val="Medium List 2"/>
    <w:basedOn w:val="TableNormal"/>
    <w:uiPriority w:val="66"/>
    <w:semiHidden/>
    <w:unhideWhenUsed/>
    <w:rsid w:val="009637A8"/>
    <w:pPr>
      <w:spacing w:after="0" w:line="240" w:lineRule="auto"/>
    </w:pPr>
    <w:rPr>
      <w:rFonts w:eastAsiaTheme="majorEastAsia"/>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9637A8"/>
    <w:pPr>
      <w:spacing w:after="0" w:line="240" w:lineRule="auto"/>
    </w:pPr>
    <w:rPr>
      <w:rFonts w:eastAsiaTheme="majorEastAsia"/>
      <w:color w:val="000000" w:themeColor="text1"/>
    </w:rPr>
    <w:tblPr>
      <w:tblStyleRowBandSize w:val="1"/>
      <w:tblStyleColBandSize w:val="1"/>
      <w:tblBorders>
        <w:top w:val="single" w:sz="8" w:space="0" w:color="9D85BE" w:themeColor="accent1"/>
        <w:left w:val="single" w:sz="8" w:space="0" w:color="9D85BE" w:themeColor="accent1"/>
        <w:bottom w:val="single" w:sz="8" w:space="0" w:color="9D85BE" w:themeColor="accent1"/>
        <w:right w:val="single" w:sz="8" w:space="0" w:color="9D85BE" w:themeColor="accent1"/>
      </w:tblBorders>
    </w:tblPr>
    <w:tblStylePr w:type="firstRow">
      <w:rPr>
        <w:sz w:val="24"/>
        <w:szCs w:val="24"/>
      </w:rPr>
      <w:tblPr/>
      <w:tcPr>
        <w:tcBorders>
          <w:top w:val="nil"/>
          <w:left w:val="nil"/>
          <w:bottom w:val="single" w:sz="24" w:space="0" w:color="9D85BE" w:themeColor="accent1"/>
          <w:right w:val="nil"/>
          <w:insideH w:val="nil"/>
          <w:insideV w:val="nil"/>
        </w:tcBorders>
        <w:shd w:val="clear" w:color="auto" w:fill="FFFFFF" w:themeFill="background1"/>
      </w:tcPr>
    </w:tblStylePr>
    <w:tblStylePr w:type="lastRow">
      <w:tblPr/>
      <w:tcPr>
        <w:tcBorders>
          <w:top w:val="single" w:sz="8" w:space="0" w:color="9D85BE"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D85BE" w:themeColor="accent1"/>
          <w:insideH w:val="nil"/>
          <w:insideV w:val="nil"/>
        </w:tcBorders>
        <w:shd w:val="clear" w:color="auto" w:fill="FFFFFF" w:themeFill="background1"/>
      </w:tcPr>
    </w:tblStylePr>
    <w:tblStylePr w:type="lastCol">
      <w:tblPr/>
      <w:tcPr>
        <w:tcBorders>
          <w:top w:val="nil"/>
          <w:left w:val="single" w:sz="8" w:space="0" w:color="9D85BE"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0EF" w:themeFill="accent1" w:themeFillTint="3F"/>
      </w:tcPr>
    </w:tblStylePr>
    <w:tblStylePr w:type="band1Horz">
      <w:tblPr/>
      <w:tcPr>
        <w:tcBorders>
          <w:top w:val="nil"/>
          <w:bottom w:val="nil"/>
          <w:insideH w:val="nil"/>
          <w:insideV w:val="nil"/>
        </w:tcBorders>
        <w:shd w:val="clear" w:color="auto" w:fill="E6E0E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9637A8"/>
    <w:pPr>
      <w:spacing w:after="0" w:line="240" w:lineRule="auto"/>
    </w:pPr>
    <w:rPr>
      <w:rFonts w:eastAsiaTheme="majorEastAsia"/>
      <w:color w:val="000000" w:themeColor="text1"/>
    </w:rPr>
    <w:tblPr>
      <w:tblStyleRowBandSize w:val="1"/>
      <w:tblStyleColBandSize w:val="1"/>
      <w:tblBorders>
        <w:top w:val="single" w:sz="8" w:space="0" w:color="7D7D7D" w:themeColor="accent2"/>
        <w:left w:val="single" w:sz="8" w:space="0" w:color="7D7D7D" w:themeColor="accent2"/>
        <w:bottom w:val="single" w:sz="8" w:space="0" w:color="7D7D7D" w:themeColor="accent2"/>
        <w:right w:val="single" w:sz="8" w:space="0" w:color="7D7D7D" w:themeColor="accent2"/>
      </w:tblBorders>
    </w:tblPr>
    <w:tblStylePr w:type="firstRow">
      <w:rPr>
        <w:sz w:val="24"/>
        <w:szCs w:val="24"/>
      </w:rPr>
      <w:tblPr/>
      <w:tcPr>
        <w:tcBorders>
          <w:top w:val="nil"/>
          <w:left w:val="nil"/>
          <w:bottom w:val="single" w:sz="24" w:space="0" w:color="7D7D7D" w:themeColor="accent2"/>
          <w:right w:val="nil"/>
          <w:insideH w:val="nil"/>
          <w:insideV w:val="nil"/>
        </w:tcBorders>
        <w:shd w:val="clear" w:color="auto" w:fill="FFFFFF" w:themeFill="background1"/>
      </w:tcPr>
    </w:tblStylePr>
    <w:tblStylePr w:type="lastRow">
      <w:tblPr/>
      <w:tcPr>
        <w:tcBorders>
          <w:top w:val="single" w:sz="8" w:space="0" w:color="7D7D7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D7D7D" w:themeColor="accent2"/>
          <w:insideH w:val="nil"/>
          <w:insideV w:val="nil"/>
        </w:tcBorders>
        <w:shd w:val="clear" w:color="auto" w:fill="FFFFFF" w:themeFill="background1"/>
      </w:tcPr>
    </w:tblStylePr>
    <w:tblStylePr w:type="lastCol">
      <w:tblPr/>
      <w:tcPr>
        <w:tcBorders>
          <w:top w:val="nil"/>
          <w:left w:val="single" w:sz="8" w:space="0" w:color="7D7D7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EDEDE" w:themeFill="accent2" w:themeFillTint="3F"/>
      </w:tcPr>
    </w:tblStylePr>
    <w:tblStylePr w:type="band1Horz">
      <w:tblPr/>
      <w:tcPr>
        <w:tcBorders>
          <w:top w:val="nil"/>
          <w:bottom w:val="nil"/>
          <w:insideH w:val="nil"/>
          <w:insideV w:val="nil"/>
        </w:tcBorders>
        <w:shd w:val="clear" w:color="auto" w:fill="DEDEDE"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9637A8"/>
    <w:pPr>
      <w:spacing w:after="0" w:line="240" w:lineRule="auto"/>
    </w:pPr>
    <w:rPr>
      <w:rFonts w:eastAsiaTheme="majorEastAsia"/>
      <w:color w:val="000000" w:themeColor="text1"/>
    </w:rPr>
    <w:tblPr>
      <w:tblStyleRowBandSize w:val="1"/>
      <w:tblStyleColBandSize w:val="1"/>
      <w:tblBorders>
        <w:top w:val="single" w:sz="8" w:space="0" w:color="C8C8C8" w:themeColor="accent3"/>
        <w:left w:val="single" w:sz="8" w:space="0" w:color="C8C8C8" w:themeColor="accent3"/>
        <w:bottom w:val="single" w:sz="8" w:space="0" w:color="C8C8C8" w:themeColor="accent3"/>
        <w:right w:val="single" w:sz="8" w:space="0" w:color="C8C8C8" w:themeColor="accent3"/>
      </w:tblBorders>
    </w:tblPr>
    <w:tblStylePr w:type="firstRow">
      <w:rPr>
        <w:sz w:val="24"/>
        <w:szCs w:val="24"/>
      </w:rPr>
      <w:tblPr/>
      <w:tcPr>
        <w:tcBorders>
          <w:top w:val="nil"/>
          <w:left w:val="nil"/>
          <w:bottom w:val="single" w:sz="24" w:space="0" w:color="C8C8C8" w:themeColor="accent3"/>
          <w:right w:val="nil"/>
          <w:insideH w:val="nil"/>
          <w:insideV w:val="nil"/>
        </w:tcBorders>
        <w:shd w:val="clear" w:color="auto" w:fill="FFFFFF" w:themeFill="background1"/>
      </w:tcPr>
    </w:tblStylePr>
    <w:tblStylePr w:type="lastRow">
      <w:tblPr/>
      <w:tcPr>
        <w:tcBorders>
          <w:top w:val="single" w:sz="8" w:space="0" w:color="C8C8C8"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8C8C8" w:themeColor="accent3"/>
          <w:insideH w:val="nil"/>
          <w:insideV w:val="nil"/>
        </w:tcBorders>
        <w:shd w:val="clear" w:color="auto" w:fill="FFFFFF" w:themeFill="background1"/>
      </w:tcPr>
    </w:tblStylePr>
    <w:tblStylePr w:type="lastCol">
      <w:tblPr/>
      <w:tcPr>
        <w:tcBorders>
          <w:top w:val="nil"/>
          <w:left w:val="single" w:sz="8" w:space="0" w:color="C8C8C8"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1F1F1" w:themeFill="accent3" w:themeFillTint="3F"/>
      </w:tcPr>
    </w:tblStylePr>
    <w:tblStylePr w:type="band1Horz">
      <w:tblPr/>
      <w:tcPr>
        <w:tcBorders>
          <w:top w:val="nil"/>
          <w:bottom w:val="nil"/>
          <w:insideH w:val="nil"/>
          <w:insideV w:val="nil"/>
        </w:tcBorders>
        <w:shd w:val="clear" w:color="auto" w:fill="F1F1F1"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9637A8"/>
    <w:pPr>
      <w:spacing w:after="0" w:line="240" w:lineRule="auto"/>
    </w:pPr>
    <w:rPr>
      <w:rFonts w:eastAsiaTheme="majorEastAsia"/>
      <w:color w:val="000000" w:themeColor="text1"/>
    </w:rPr>
    <w:tblPr>
      <w:tblStyleRowBandSize w:val="1"/>
      <w:tblStyleColBandSize w:val="1"/>
      <w:tblBorders>
        <w:top w:val="single" w:sz="8" w:space="0" w:color="006A9F" w:themeColor="accent4"/>
        <w:left w:val="single" w:sz="8" w:space="0" w:color="006A9F" w:themeColor="accent4"/>
        <w:bottom w:val="single" w:sz="8" w:space="0" w:color="006A9F" w:themeColor="accent4"/>
        <w:right w:val="single" w:sz="8" w:space="0" w:color="006A9F" w:themeColor="accent4"/>
      </w:tblBorders>
    </w:tblPr>
    <w:tblStylePr w:type="firstRow">
      <w:rPr>
        <w:sz w:val="24"/>
        <w:szCs w:val="24"/>
      </w:rPr>
      <w:tblPr/>
      <w:tcPr>
        <w:tcBorders>
          <w:top w:val="nil"/>
          <w:left w:val="nil"/>
          <w:bottom w:val="single" w:sz="24" w:space="0" w:color="006A9F" w:themeColor="accent4"/>
          <w:right w:val="nil"/>
          <w:insideH w:val="nil"/>
          <w:insideV w:val="nil"/>
        </w:tcBorders>
        <w:shd w:val="clear" w:color="auto" w:fill="FFFFFF" w:themeFill="background1"/>
      </w:tcPr>
    </w:tblStylePr>
    <w:tblStylePr w:type="lastRow">
      <w:tblPr/>
      <w:tcPr>
        <w:tcBorders>
          <w:top w:val="single" w:sz="8" w:space="0" w:color="006A9F"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6A9F" w:themeColor="accent4"/>
          <w:insideH w:val="nil"/>
          <w:insideV w:val="nil"/>
        </w:tcBorders>
        <w:shd w:val="clear" w:color="auto" w:fill="FFFFFF" w:themeFill="background1"/>
      </w:tcPr>
    </w:tblStylePr>
    <w:tblStylePr w:type="lastCol">
      <w:tblPr/>
      <w:tcPr>
        <w:tcBorders>
          <w:top w:val="nil"/>
          <w:left w:val="single" w:sz="8" w:space="0" w:color="006A9F"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8E2FF" w:themeFill="accent4" w:themeFillTint="3F"/>
      </w:tcPr>
    </w:tblStylePr>
    <w:tblStylePr w:type="band1Horz">
      <w:tblPr/>
      <w:tcPr>
        <w:tcBorders>
          <w:top w:val="nil"/>
          <w:bottom w:val="nil"/>
          <w:insideH w:val="nil"/>
          <w:insideV w:val="nil"/>
        </w:tcBorders>
        <w:shd w:val="clear" w:color="auto" w:fill="A8E2F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9637A8"/>
    <w:pPr>
      <w:spacing w:after="0" w:line="240" w:lineRule="auto"/>
    </w:pPr>
    <w:rPr>
      <w:rFonts w:eastAsiaTheme="majorEastAsia"/>
      <w:color w:val="000000" w:themeColor="text1"/>
    </w:rPr>
    <w:tblPr>
      <w:tblStyleRowBandSize w:val="1"/>
      <w:tblStyleColBandSize w:val="1"/>
      <w:tblBorders>
        <w:top w:val="single" w:sz="8" w:space="0" w:color="7BBDD6" w:themeColor="accent5"/>
        <w:left w:val="single" w:sz="8" w:space="0" w:color="7BBDD6" w:themeColor="accent5"/>
        <w:bottom w:val="single" w:sz="8" w:space="0" w:color="7BBDD6" w:themeColor="accent5"/>
        <w:right w:val="single" w:sz="8" w:space="0" w:color="7BBDD6" w:themeColor="accent5"/>
      </w:tblBorders>
    </w:tblPr>
    <w:tblStylePr w:type="firstRow">
      <w:rPr>
        <w:sz w:val="24"/>
        <w:szCs w:val="24"/>
      </w:rPr>
      <w:tblPr/>
      <w:tcPr>
        <w:tcBorders>
          <w:top w:val="nil"/>
          <w:left w:val="nil"/>
          <w:bottom w:val="single" w:sz="24" w:space="0" w:color="7BBDD6" w:themeColor="accent5"/>
          <w:right w:val="nil"/>
          <w:insideH w:val="nil"/>
          <w:insideV w:val="nil"/>
        </w:tcBorders>
        <w:shd w:val="clear" w:color="auto" w:fill="FFFFFF" w:themeFill="background1"/>
      </w:tcPr>
    </w:tblStylePr>
    <w:tblStylePr w:type="lastRow">
      <w:tblPr/>
      <w:tcPr>
        <w:tcBorders>
          <w:top w:val="single" w:sz="8" w:space="0" w:color="7BBDD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BBDD6" w:themeColor="accent5"/>
          <w:insideH w:val="nil"/>
          <w:insideV w:val="nil"/>
        </w:tcBorders>
        <w:shd w:val="clear" w:color="auto" w:fill="FFFFFF" w:themeFill="background1"/>
      </w:tcPr>
    </w:tblStylePr>
    <w:tblStylePr w:type="lastCol">
      <w:tblPr/>
      <w:tcPr>
        <w:tcBorders>
          <w:top w:val="nil"/>
          <w:left w:val="single" w:sz="8" w:space="0" w:color="7BBDD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EEEF4" w:themeFill="accent5" w:themeFillTint="3F"/>
      </w:tcPr>
    </w:tblStylePr>
    <w:tblStylePr w:type="band1Horz">
      <w:tblPr/>
      <w:tcPr>
        <w:tcBorders>
          <w:top w:val="nil"/>
          <w:bottom w:val="nil"/>
          <w:insideH w:val="nil"/>
          <w:insideV w:val="nil"/>
        </w:tcBorders>
        <w:shd w:val="clear" w:color="auto" w:fill="DEEE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9637A8"/>
    <w:pPr>
      <w:spacing w:after="0" w:line="240" w:lineRule="auto"/>
    </w:pPr>
    <w:rPr>
      <w:rFonts w:eastAsiaTheme="majorEastAsia"/>
      <w:color w:val="000000" w:themeColor="text1"/>
    </w:rPr>
    <w:tblPr>
      <w:tblStyleRowBandSize w:val="1"/>
      <w:tblStyleColBandSize w:val="1"/>
      <w:tblBorders>
        <w:top w:val="single" w:sz="8" w:space="0" w:color="428D52" w:themeColor="accent6"/>
        <w:left w:val="single" w:sz="8" w:space="0" w:color="428D52" w:themeColor="accent6"/>
        <w:bottom w:val="single" w:sz="8" w:space="0" w:color="428D52" w:themeColor="accent6"/>
        <w:right w:val="single" w:sz="8" w:space="0" w:color="428D52" w:themeColor="accent6"/>
      </w:tblBorders>
    </w:tblPr>
    <w:tblStylePr w:type="firstRow">
      <w:rPr>
        <w:sz w:val="24"/>
        <w:szCs w:val="24"/>
      </w:rPr>
      <w:tblPr/>
      <w:tcPr>
        <w:tcBorders>
          <w:top w:val="nil"/>
          <w:left w:val="nil"/>
          <w:bottom w:val="single" w:sz="24" w:space="0" w:color="428D52" w:themeColor="accent6"/>
          <w:right w:val="nil"/>
          <w:insideH w:val="nil"/>
          <w:insideV w:val="nil"/>
        </w:tcBorders>
        <w:shd w:val="clear" w:color="auto" w:fill="FFFFFF" w:themeFill="background1"/>
      </w:tcPr>
    </w:tblStylePr>
    <w:tblStylePr w:type="lastRow">
      <w:tblPr/>
      <w:tcPr>
        <w:tcBorders>
          <w:top w:val="single" w:sz="8" w:space="0" w:color="428D52"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28D52" w:themeColor="accent6"/>
          <w:insideH w:val="nil"/>
          <w:insideV w:val="nil"/>
        </w:tcBorders>
        <w:shd w:val="clear" w:color="auto" w:fill="FFFFFF" w:themeFill="background1"/>
      </w:tcPr>
    </w:tblStylePr>
    <w:tblStylePr w:type="lastCol">
      <w:tblPr/>
      <w:tcPr>
        <w:tcBorders>
          <w:top w:val="nil"/>
          <w:left w:val="single" w:sz="8" w:space="0" w:color="428D52"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BE7D1" w:themeFill="accent6" w:themeFillTint="3F"/>
      </w:tcPr>
    </w:tblStylePr>
    <w:tblStylePr w:type="band1Horz">
      <w:tblPr/>
      <w:tcPr>
        <w:tcBorders>
          <w:top w:val="nil"/>
          <w:bottom w:val="nil"/>
          <w:insideH w:val="nil"/>
          <w:insideV w:val="nil"/>
        </w:tcBorders>
        <w:shd w:val="clear" w:color="auto" w:fill="CBE7D1"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9637A8"/>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9637A8"/>
    <w:pPr>
      <w:spacing w:after="0" w:line="240" w:lineRule="auto"/>
    </w:pPr>
    <w:tblPr>
      <w:tblStyleRowBandSize w:val="1"/>
      <w:tblStyleColBandSize w:val="1"/>
      <w:tblBorders>
        <w:top w:val="single" w:sz="8" w:space="0" w:color="B5A3CE" w:themeColor="accent1" w:themeTint="BF"/>
        <w:left w:val="single" w:sz="8" w:space="0" w:color="B5A3CE" w:themeColor="accent1" w:themeTint="BF"/>
        <w:bottom w:val="single" w:sz="8" w:space="0" w:color="B5A3CE" w:themeColor="accent1" w:themeTint="BF"/>
        <w:right w:val="single" w:sz="8" w:space="0" w:color="B5A3CE" w:themeColor="accent1" w:themeTint="BF"/>
        <w:insideH w:val="single" w:sz="8" w:space="0" w:color="B5A3CE" w:themeColor="accent1" w:themeTint="BF"/>
      </w:tblBorders>
    </w:tblPr>
    <w:tblStylePr w:type="firstRow">
      <w:pPr>
        <w:spacing w:before="0" w:after="0" w:line="240" w:lineRule="auto"/>
      </w:pPr>
      <w:rPr>
        <w:b/>
        <w:bCs/>
        <w:color w:val="FFFFFF" w:themeColor="background1"/>
      </w:rPr>
      <w:tblPr/>
      <w:tcPr>
        <w:tcBorders>
          <w:top w:val="single" w:sz="8" w:space="0" w:color="B5A3CE" w:themeColor="accent1" w:themeTint="BF"/>
          <w:left w:val="single" w:sz="8" w:space="0" w:color="B5A3CE" w:themeColor="accent1" w:themeTint="BF"/>
          <w:bottom w:val="single" w:sz="8" w:space="0" w:color="B5A3CE" w:themeColor="accent1" w:themeTint="BF"/>
          <w:right w:val="single" w:sz="8" w:space="0" w:color="B5A3CE" w:themeColor="accent1" w:themeTint="BF"/>
          <w:insideH w:val="nil"/>
          <w:insideV w:val="nil"/>
        </w:tcBorders>
        <w:shd w:val="clear" w:color="auto" w:fill="9D85BE" w:themeFill="accent1"/>
      </w:tcPr>
    </w:tblStylePr>
    <w:tblStylePr w:type="lastRow">
      <w:pPr>
        <w:spacing w:before="0" w:after="0" w:line="240" w:lineRule="auto"/>
      </w:pPr>
      <w:rPr>
        <w:b/>
        <w:bCs/>
      </w:rPr>
      <w:tblPr/>
      <w:tcPr>
        <w:tcBorders>
          <w:top w:val="double" w:sz="6" w:space="0" w:color="B5A3CE" w:themeColor="accent1" w:themeTint="BF"/>
          <w:left w:val="single" w:sz="8" w:space="0" w:color="B5A3CE" w:themeColor="accent1" w:themeTint="BF"/>
          <w:bottom w:val="single" w:sz="8" w:space="0" w:color="B5A3CE" w:themeColor="accent1" w:themeTint="BF"/>
          <w:right w:val="single" w:sz="8" w:space="0" w:color="B5A3CE" w:themeColor="accent1" w:themeTint="BF"/>
          <w:insideH w:val="nil"/>
          <w:insideV w:val="nil"/>
        </w:tcBorders>
      </w:tcPr>
    </w:tblStylePr>
    <w:tblStylePr w:type="firstCol">
      <w:rPr>
        <w:b/>
        <w:bCs/>
      </w:rPr>
    </w:tblStylePr>
    <w:tblStylePr w:type="lastCol">
      <w:rPr>
        <w:b/>
        <w:bCs/>
      </w:rPr>
    </w:tblStylePr>
    <w:tblStylePr w:type="band1Vert">
      <w:tblPr/>
      <w:tcPr>
        <w:shd w:val="clear" w:color="auto" w:fill="E6E0EF" w:themeFill="accent1" w:themeFillTint="3F"/>
      </w:tcPr>
    </w:tblStylePr>
    <w:tblStylePr w:type="band1Horz">
      <w:tblPr/>
      <w:tcPr>
        <w:tcBorders>
          <w:insideH w:val="nil"/>
          <w:insideV w:val="nil"/>
        </w:tcBorders>
        <w:shd w:val="clear" w:color="auto" w:fill="E6E0E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9637A8"/>
    <w:pPr>
      <w:spacing w:after="0" w:line="240" w:lineRule="auto"/>
    </w:pPr>
    <w:tblPr>
      <w:tblStyleRowBandSize w:val="1"/>
      <w:tblStyleColBandSize w:val="1"/>
      <w:tblBorders>
        <w:top w:val="single" w:sz="8" w:space="0" w:color="9D9D9D" w:themeColor="accent2" w:themeTint="BF"/>
        <w:left w:val="single" w:sz="8" w:space="0" w:color="9D9D9D" w:themeColor="accent2" w:themeTint="BF"/>
        <w:bottom w:val="single" w:sz="8" w:space="0" w:color="9D9D9D" w:themeColor="accent2" w:themeTint="BF"/>
        <w:right w:val="single" w:sz="8" w:space="0" w:color="9D9D9D" w:themeColor="accent2" w:themeTint="BF"/>
        <w:insideH w:val="single" w:sz="8" w:space="0" w:color="9D9D9D" w:themeColor="accent2" w:themeTint="BF"/>
      </w:tblBorders>
    </w:tblPr>
    <w:tblStylePr w:type="firstRow">
      <w:pPr>
        <w:spacing w:before="0" w:after="0" w:line="240" w:lineRule="auto"/>
      </w:pPr>
      <w:rPr>
        <w:b/>
        <w:bCs/>
        <w:color w:val="FFFFFF" w:themeColor="background1"/>
      </w:rPr>
      <w:tblPr/>
      <w:tcPr>
        <w:tcBorders>
          <w:top w:val="single" w:sz="8" w:space="0" w:color="9D9D9D" w:themeColor="accent2" w:themeTint="BF"/>
          <w:left w:val="single" w:sz="8" w:space="0" w:color="9D9D9D" w:themeColor="accent2" w:themeTint="BF"/>
          <w:bottom w:val="single" w:sz="8" w:space="0" w:color="9D9D9D" w:themeColor="accent2" w:themeTint="BF"/>
          <w:right w:val="single" w:sz="8" w:space="0" w:color="9D9D9D" w:themeColor="accent2" w:themeTint="BF"/>
          <w:insideH w:val="nil"/>
          <w:insideV w:val="nil"/>
        </w:tcBorders>
        <w:shd w:val="clear" w:color="auto" w:fill="7D7D7D" w:themeFill="accent2"/>
      </w:tcPr>
    </w:tblStylePr>
    <w:tblStylePr w:type="lastRow">
      <w:pPr>
        <w:spacing w:before="0" w:after="0" w:line="240" w:lineRule="auto"/>
      </w:pPr>
      <w:rPr>
        <w:b/>
        <w:bCs/>
      </w:rPr>
      <w:tblPr/>
      <w:tcPr>
        <w:tcBorders>
          <w:top w:val="double" w:sz="6" w:space="0" w:color="9D9D9D" w:themeColor="accent2" w:themeTint="BF"/>
          <w:left w:val="single" w:sz="8" w:space="0" w:color="9D9D9D" w:themeColor="accent2" w:themeTint="BF"/>
          <w:bottom w:val="single" w:sz="8" w:space="0" w:color="9D9D9D" w:themeColor="accent2" w:themeTint="BF"/>
          <w:right w:val="single" w:sz="8" w:space="0" w:color="9D9D9D" w:themeColor="accent2" w:themeTint="BF"/>
          <w:insideH w:val="nil"/>
          <w:insideV w:val="nil"/>
        </w:tcBorders>
      </w:tcPr>
    </w:tblStylePr>
    <w:tblStylePr w:type="firstCol">
      <w:rPr>
        <w:b/>
        <w:bCs/>
      </w:rPr>
    </w:tblStylePr>
    <w:tblStylePr w:type="lastCol">
      <w:rPr>
        <w:b/>
        <w:bCs/>
      </w:rPr>
    </w:tblStylePr>
    <w:tblStylePr w:type="band1Vert">
      <w:tblPr/>
      <w:tcPr>
        <w:shd w:val="clear" w:color="auto" w:fill="DEDEDE" w:themeFill="accent2" w:themeFillTint="3F"/>
      </w:tcPr>
    </w:tblStylePr>
    <w:tblStylePr w:type="band1Horz">
      <w:tblPr/>
      <w:tcPr>
        <w:tcBorders>
          <w:insideH w:val="nil"/>
          <w:insideV w:val="nil"/>
        </w:tcBorders>
        <w:shd w:val="clear" w:color="auto" w:fill="DEDEDE"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9637A8"/>
    <w:pPr>
      <w:spacing w:after="0" w:line="240" w:lineRule="auto"/>
    </w:pPr>
    <w:tblPr>
      <w:tblStyleRowBandSize w:val="1"/>
      <w:tblStyleColBandSize w:val="1"/>
      <w:tblBorders>
        <w:top w:val="single" w:sz="8" w:space="0" w:color="D5D5D5" w:themeColor="accent3" w:themeTint="BF"/>
        <w:left w:val="single" w:sz="8" w:space="0" w:color="D5D5D5" w:themeColor="accent3" w:themeTint="BF"/>
        <w:bottom w:val="single" w:sz="8" w:space="0" w:color="D5D5D5" w:themeColor="accent3" w:themeTint="BF"/>
        <w:right w:val="single" w:sz="8" w:space="0" w:color="D5D5D5" w:themeColor="accent3" w:themeTint="BF"/>
        <w:insideH w:val="single" w:sz="8" w:space="0" w:color="D5D5D5" w:themeColor="accent3" w:themeTint="BF"/>
      </w:tblBorders>
    </w:tblPr>
    <w:tblStylePr w:type="firstRow">
      <w:pPr>
        <w:spacing w:before="0" w:after="0" w:line="240" w:lineRule="auto"/>
      </w:pPr>
      <w:rPr>
        <w:b/>
        <w:bCs/>
        <w:color w:val="FFFFFF" w:themeColor="background1"/>
      </w:rPr>
      <w:tblPr/>
      <w:tcPr>
        <w:tcBorders>
          <w:top w:val="single" w:sz="8" w:space="0" w:color="D5D5D5" w:themeColor="accent3" w:themeTint="BF"/>
          <w:left w:val="single" w:sz="8" w:space="0" w:color="D5D5D5" w:themeColor="accent3" w:themeTint="BF"/>
          <w:bottom w:val="single" w:sz="8" w:space="0" w:color="D5D5D5" w:themeColor="accent3" w:themeTint="BF"/>
          <w:right w:val="single" w:sz="8" w:space="0" w:color="D5D5D5" w:themeColor="accent3" w:themeTint="BF"/>
          <w:insideH w:val="nil"/>
          <w:insideV w:val="nil"/>
        </w:tcBorders>
        <w:shd w:val="clear" w:color="auto" w:fill="C8C8C8" w:themeFill="accent3"/>
      </w:tcPr>
    </w:tblStylePr>
    <w:tblStylePr w:type="lastRow">
      <w:pPr>
        <w:spacing w:before="0" w:after="0" w:line="240" w:lineRule="auto"/>
      </w:pPr>
      <w:rPr>
        <w:b/>
        <w:bCs/>
      </w:rPr>
      <w:tblPr/>
      <w:tcPr>
        <w:tcBorders>
          <w:top w:val="double" w:sz="6" w:space="0" w:color="D5D5D5" w:themeColor="accent3" w:themeTint="BF"/>
          <w:left w:val="single" w:sz="8" w:space="0" w:color="D5D5D5" w:themeColor="accent3" w:themeTint="BF"/>
          <w:bottom w:val="single" w:sz="8" w:space="0" w:color="D5D5D5" w:themeColor="accent3" w:themeTint="BF"/>
          <w:right w:val="single" w:sz="8" w:space="0" w:color="D5D5D5" w:themeColor="accent3" w:themeTint="BF"/>
          <w:insideH w:val="nil"/>
          <w:insideV w:val="nil"/>
        </w:tcBorders>
      </w:tcPr>
    </w:tblStylePr>
    <w:tblStylePr w:type="firstCol">
      <w:rPr>
        <w:b/>
        <w:bCs/>
      </w:rPr>
    </w:tblStylePr>
    <w:tblStylePr w:type="lastCol">
      <w:rPr>
        <w:b/>
        <w:bCs/>
      </w:rPr>
    </w:tblStylePr>
    <w:tblStylePr w:type="band1Vert">
      <w:tblPr/>
      <w:tcPr>
        <w:shd w:val="clear" w:color="auto" w:fill="F1F1F1" w:themeFill="accent3" w:themeFillTint="3F"/>
      </w:tcPr>
    </w:tblStylePr>
    <w:tblStylePr w:type="band1Horz">
      <w:tblPr/>
      <w:tcPr>
        <w:tcBorders>
          <w:insideH w:val="nil"/>
          <w:insideV w:val="nil"/>
        </w:tcBorders>
        <w:shd w:val="clear" w:color="auto" w:fill="F1F1F1"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9637A8"/>
    <w:pPr>
      <w:spacing w:after="0" w:line="240" w:lineRule="auto"/>
    </w:pPr>
    <w:tblPr>
      <w:tblStyleRowBandSize w:val="1"/>
      <w:tblStyleColBandSize w:val="1"/>
      <w:tblBorders>
        <w:top w:val="single" w:sz="8" w:space="0" w:color="00A4F7" w:themeColor="accent4" w:themeTint="BF"/>
        <w:left w:val="single" w:sz="8" w:space="0" w:color="00A4F7" w:themeColor="accent4" w:themeTint="BF"/>
        <w:bottom w:val="single" w:sz="8" w:space="0" w:color="00A4F7" w:themeColor="accent4" w:themeTint="BF"/>
        <w:right w:val="single" w:sz="8" w:space="0" w:color="00A4F7" w:themeColor="accent4" w:themeTint="BF"/>
        <w:insideH w:val="single" w:sz="8" w:space="0" w:color="00A4F7" w:themeColor="accent4" w:themeTint="BF"/>
      </w:tblBorders>
    </w:tblPr>
    <w:tblStylePr w:type="firstRow">
      <w:pPr>
        <w:spacing w:before="0" w:after="0" w:line="240" w:lineRule="auto"/>
      </w:pPr>
      <w:rPr>
        <w:b/>
        <w:bCs/>
        <w:color w:val="FFFFFF" w:themeColor="background1"/>
      </w:rPr>
      <w:tblPr/>
      <w:tcPr>
        <w:tcBorders>
          <w:top w:val="single" w:sz="8" w:space="0" w:color="00A4F7" w:themeColor="accent4" w:themeTint="BF"/>
          <w:left w:val="single" w:sz="8" w:space="0" w:color="00A4F7" w:themeColor="accent4" w:themeTint="BF"/>
          <w:bottom w:val="single" w:sz="8" w:space="0" w:color="00A4F7" w:themeColor="accent4" w:themeTint="BF"/>
          <w:right w:val="single" w:sz="8" w:space="0" w:color="00A4F7" w:themeColor="accent4" w:themeTint="BF"/>
          <w:insideH w:val="nil"/>
          <w:insideV w:val="nil"/>
        </w:tcBorders>
        <w:shd w:val="clear" w:color="auto" w:fill="006A9F" w:themeFill="accent4"/>
      </w:tcPr>
    </w:tblStylePr>
    <w:tblStylePr w:type="lastRow">
      <w:pPr>
        <w:spacing w:before="0" w:after="0" w:line="240" w:lineRule="auto"/>
      </w:pPr>
      <w:rPr>
        <w:b/>
        <w:bCs/>
      </w:rPr>
      <w:tblPr/>
      <w:tcPr>
        <w:tcBorders>
          <w:top w:val="double" w:sz="6" w:space="0" w:color="00A4F7" w:themeColor="accent4" w:themeTint="BF"/>
          <w:left w:val="single" w:sz="8" w:space="0" w:color="00A4F7" w:themeColor="accent4" w:themeTint="BF"/>
          <w:bottom w:val="single" w:sz="8" w:space="0" w:color="00A4F7" w:themeColor="accent4" w:themeTint="BF"/>
          <w:right w:val="single" w:sz="8" w:space="0" w:color="00A4F7" w:themeColor="accent4" w:themeTint="BF"/>
          <w:insideH w:val="nil"/>
          <w:insideV w:val="nil"/>
        </w:tcBorders>
      </w:tcPr>
    </w:tblStylePr>
    <w:tblStylePr w:type="firstCol">
      <w:rPr>
        <w:b/>
        <w:bCs/>
      </w:rPr>
    </w:tblStylePr>
    <w:tblStylePr w:type="lastCol">
      <w:rPr>
        <w:b/>
        <w:bCs/>
      </w:rPr>
    </w:tblStylePr>
    <w:tblStylePr w:type="band1Vert">
      <w:tblPr/>
      <w:tcPr>
        <w:shd w:val="clear" w:color="auto" w:fill="A8E2FF" w:themeFill="accent4" w:themeFillTint="3F"/>
      </w:tcPr>
    </w:tblStylePr>
    <w:tblStylePr w:type="band1Horz">
      <w:tblPr/>
      <w:tcPr>
        <w:tcBorders>
          <w:insideH w:val="nil"/>
          <w:insideV w:val="nil"/>
        </w:tcBorders>
        <w:shd w:val="clear" w:color="auto" w:fill="A8E2F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9637A8"/>
    <w:pPr>
      <w:spacing w:after="0" w:line="240" w:lineRule="auto"/>
    </w:pPr>
    <w:tblPr>
      <w:tblStyleRowBandSize w:val="1"/>
      <w:tblStyleColBandSize w:val="1"/>
      <w:tblBorders>
        <w:top w:val="single" w:sz="8" w:space="0" w:color="9CCDE0" w:themeColor="accent5" w:themeTint="BF"/>
        <w:left w:val="single" w:sz="8" w:space="0" w:color="9CCDE0" w:themeColor="accent5" w:themeTint="BF"/>
        <w:bottom w:val="single" w:sz="8" w:space="0" w:color="9CCDE0" w:themeColor="accent5" w:themeTint="BF"/>
        <w:right w:val="single" w:sz="8" w:space="0" w:color="9CCDE0" w:themeColor="accent5" w:themeTint="BF"/>
        <w:insideH w:val="single" w:sz="8" w:space="0" w:color="9CCDE0" w:themeColor="accent5" w:themeTint="BF"/>
      </w:tblBorders>
    </w:tblPr>
    <w:tblStylePr w:type="firstRow">
      <w:pPr>
        <w:spacing w:before="0" w:after="0" w:line="240" w:lineRule="auto"/>
      </w:pPr>
      <w:rPr>
        <w:b/>
        <w:bCs/>
        <w:color w:val="FFFFFF" w:themeColor="background1"/>
      </w:rPr>
      <w:tblPr/>
      <w:tcPr>
        <w:tcBorders>
          <w:top w:val="single" w:sz="8" w:space="0" w:color="9CCDE0" w:themeColor="accent5" w:themeTint="BF"/>
          <w:left w:val="single" w:sz="8" w:space="0" w:color="9CCDE0" w:themeColor="accent5" w:themeTint="BF"/>
          <w:bottom w:val="single" w:sz="8" w:space="0" w:color="9CCDE0" w:themeColor="accent5" w:themeTint="BF"/>
          <w:right w:val="single" w:sz="8" w:space="0" w:color="9CCDE0" w:themeColor="accent5" w:themeTint="BF"/>
          <w:insideH w:val="nil"/>
          <w:insideV w:val="nil"/>
        </w:tcBorders>
        <w:shd w:val="clear" w:color="auto" w:fill="7BBDD6" w:themeFill="accent5"/>
      </w:tcPr>
    </w:tblStylePr>
    <w:tblStylePr w:type="lastRow">
      <w:pPr>
        <w:spacing w:before="0" w:after="0" w:line="240" w:lineRule="auto"/>
      </w:pPr>
      <w:rPr>
        <w:b/>
        <w:bCs/>
      </w:rPr>
      <w:tblPr/>
      <w:tcPr>
        <w:tcBorders>
          <w:top w:val="double" w:sz="6" w:space="0" w:color="9CCDE0" w:themeColor="accent5" w:themeTint="BF"/>
          <w:left w:val="single" w:sz="8" w:space="0" w:color="9CCDE0" w:themeColor="accent5" w:themeTint="BF"/>
          <w:bottom w:val="single" w:sz="8" w:space="0" w:color="9CCDE0" w:themeColor="accent5" w:themeTint="BF"/>
          <w:right w:val="single" w:sz="8" w:space="0" w:color="9CCDE0" w:themeColor="accent5" w:themeTint="BF"/>
          <w:insideH w:val="nil"/>
          <w:insideV w:val="nil"/>
        </w:tcBorders>
      </w:tcPr>
    </w:tblStylePr>
    <w:tblStylePr w:type="firstCol">
      <w:rPr>
        <w:b/>
        <w:bCs/>
      </w:rPr>
    </w:tblStylePr>
    <w:tblStylePr w:type="lastCol">
      <w:rPr>
        <w:b/>
        <w:bCs/>
      </w:rPr>
    </w:tblStylePr>
    <w:tblStylePr w:type="band1Vert">
      <w:tblPr/>
      <w:tcPr>
        <w:shd w:val="clear" w:color="auto" w:fill="DEEEF4" w:themeFill="accent5" w:themeFillTint="3F"/>
      </w:tcPr>
    </w:tblStylePr>
    <w:tblStylePr w:type="band1Horz">
      <w:tblPr/>
      <w:tcPr>
        <w:tcBorders>
          <w:insideH w:val="nil"/>
          <w:insideV w:val="nil"/>
        </w:tcBorders>
        <w:shd w:val="clear" w:color="auto" w:fill="DEEE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9637A8"/>
    <w:pPr>
      <w:spacing w:after="0" w:line="240" w:lineRule="auto"/>
    </w:pPr>
    <w:tblPr>
      <w:tblStyleRowBandSize w:val="1"/>
      <w:tblStyleColBandSize w:val="1"/>
      <w:tblBorders>
        <w:top w:val="single" w:sz="8" w:space="0" w:color="64B675" w:themeColor="accent6" w:themeTint="BF"/>
        <w:left w:val="single" w:sz="8" w:space="0" w:color="64B675" w:themeColor="accent6" w:themeTint="BF"/>
        <w:bottom w:val="single" w:sz="8" w:space="0" w:color="64B675" w:themeColor="accent6" w:themeTint="BF"/>
        <w:right w:val="single" w:sz="8" w:space="0" w:color="64B675" w:themeColor="accent6" w:themeTint="BF"/>
        <w:insideH w:val="single" w:sz="8" w:space="0" w:color="64B675" w:themeColor="accent6" w:themeTint="BF"/>
      </w:tblBorders>
    </w:tblPr>
    <w:tblStylePr w:type="firstRow">
      <w:pPr>
        <w:spacing w:before="0" w:after="0" w:line="240" w:lineRule="auto"/>
      </w:pPr>
      <w:rPr>
        <w:b/>
        <w:bCs/>
        <w:color w:val="FFFFFF" w:themeColor="background1"/>
      </w:rPr>
      <w:tblPr/>
      <w:tcPr>
        <w:tcBorders>
          <w:top w:val="single" w:sz="8" w:space="0" w:color="64B675" w:themeColor="accent6" w:themeTint="BF"/>
          <w:left w:val="single" w:sz="8" w:space="0" w:color="64B675" w:themeColor="accent6" w:themeTint="BF"/>
          <w:bottom w:val="single" w:sz="8" w:space="0" w:color="64B675" w:themeColor="accent6" w:themeTint="BF"/>
          <w:right w:val="single" w:sz="8" w:space="0" w:color="64B675" w:themeColor="accent6" w:themeTint="BF"/>
          <w:insideH w:val="nil"/>
          <w:insideV w:val="nil"/>
        </w:tcBorders>
        <w:shd w:val="clear" w:color="auto" w:fill="428D52" w:themeFill="accent6"/>
      </w:tcPr>
    </w:tblStylePr>
    <w:tblStylePr w:type="lastRow">
      <w:pPr>
        <w:spacing w:before="0" w:after="0" w:line="240" w:lineRule="auto"/>
      </w:pPr>
      <w:rPr>
        <w:b/>
        <w:bCs/>
      </w:rPr>
      <w:tblPr/>
      <w:tcPr>
        <w:tcBorders>
          <w:top w:val="double" w:sz="6" w:space="0" w:color="64B675" w:themeColor="accent6" w:themeTint="BF"/>
          <w:left w:val="single" w:sz="8" w:space="0" w:color="64B675" w:themeColor="accent6" w:themeTint="BF"/>
          <w:bottom w:val="single" w:sz="8" w:space="0" w:color="64B675" w:themeColor="accent6" w:themeTint="BF"/>
          <w:right w:val="single" w:sz="8" w:space="0" w:color="64B675" w:themeColor="accent6" w:themeTint="BF"/>
          <w:insideH w:val="nil"/>
          <w:insideV w:val="nil"/>
        </w:tcBorders>
      </w:tcPr>
    </w:tblStylePr>
    <w:tblStylePr w:type="firstCol">
      <w:rPr>
        <w:b/>
        <w:bCs/>
      </w:rPr>
    </w:tblStylePr>
    <w:tblStylePr w:type="lastCol">
      <w:rPr>
        <w:b/>
        <w:bCs/>
      </w:rPr>
    </w:tblStylePr>
    <w:tblStylePr w:type="band1Vert">
      <w:tblPr/>
      <w:tcPr>
        <w:shd w:val="clear" w:color="auto" w:fill="CBE7D1" w:themeFill="accent6" w:themeFillTint="3F"/>
      </w:tcPr>
    </w:tblStylePr>
    <w:tblStylePr w:type="band1Horz">
      <w:tblPr/>
      <w:tcPr>
        <w:tcBorders>
          <w:insideH w:val="nil"/>
          <w:insideV w:val="nil"/>
        </w:tcBorders>
        <w:shd w:val="clear" w:color="auto" w:fill="CBE7D1"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9637A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9637A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D85BE"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D85BE" w:themeFill="accent1"/>
      </w:tcPr>
    </w:tblStylePr>
    <w:tblStylePr w:type="lastCol">
      <w:rPr>
        <w:b/>
        <w:bCs/>
        <w:color w:val="FFFFFF" w:themeColor="background1"/>
      </w:rPr>
      <w:tblPr/>
      <w:tcPr>
        <w:tcBorders>
          <w:left w:val="nil"/>
          <w:right w:val="nil"/>
          <w:insideH w:val="nil"/>
          <w:insideV w:val="nil"/>
        </w:tcBorders>
        <w:shd w:val="clear" w:color="auto" w:fill="9D85BE"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9637A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D7D7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D7D7D" w:themeFill="accent2"/>
      </w:tcPr>
    </w:tblStylePr>
    <w:tblStylePr w:type="lastCol">
      <w:rPr>
        <w:b/>
        <w:bCs/>
        <w:color w:val="FFFFFF" w:themeColor="background1"/>
      </w:rPr>
      <w:tblPr/>
      <w:tcPr>
        <w:tcBorders>
          <w:left w:val="nil"/>
          <w:right w:val="nil"/>
          <w:insideH w:val="nil"/>
          <w:insideV w:val="nil"/>
        </w:tcBorders>
        <w:shd w:val="clear" w:color="auto" w:fill="7D7D7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9637A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8C8C8"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8C8C8" w:themeFill="accent3"/>
      </w:tcPr>
    </w:tblStylePr>
    <w:tblStylePr w:type="lastCol">
      <w:rPr>
        <w:b/>
        <w:bCs/>
        <w:color w:val="FFFFFF" w:themeColor="background1"/>
      </w:rPr>
      <w:tblPr/>
      <w:tcPr>
        <w:tcBorders>
          <w:left w:val="nil"/>
          <w:right w:val="nil"/>
          <w:insideH w:val="nil"/>
          <w:insideV w:val="nil"/>
        </w:tcBorders>
        <w:shd w:val="clear" w:color="auto" w:fill="C8C8C8"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9637A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6A9F"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6A9F" w:themeFill="accent4"/>
      </w:tcPr>
    </w:tblStylePr>
    <w:tblStylePr w:type="lastCol">
      <w:rPr>
        <w:b/>
        <w:bCs/>
        <w:color w:val="FFFFFF" w:themeColor="background1"/>
      </w:rPr>
      <w:tblPr/>
      <w:tcPr>
        <w:tcBorders>
          <w:left w:val="nil"/>
          <w:right w:val="nil"/>
          <w:insideH w:val="nil"/>
          <w:insideV w:val="nil"/>
        </w:tcBorders>
        <w:shd w:val="clear" w:color="auto" w:fill="006A9F"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9637A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BBDD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BBDD6" w:themeFill="accent5"/>
      </w:tcPr>
    </w:tblStylePr>
    <w:tblStylePr w:type="lastCol">
      <w:rPr>
        <w:b/>
        <w:bCs/>
        <w:color w:val="FFFFFF" w:themeColor="background1"/>
      </w:rPr>
      <w:tblPr/>
      <w:tcPr>
        <w:tcBorders>
          <w:left w:val="nil"/>
          <w:right w:val="nil"/>
          <w:insideH w:val="nil"/>
          <w:insideV w:val="nil"/>
        </w:tcBorders>
        <w:shd w:val="clear" w:color="auto" w:fill="7BBDD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9637A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28D52"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28D52" w:themeFill="accent6"/>
      </w:tcPr>
    </w:tblStylePr>
    <w:tblStylePr w:type="lastCol">
      <w:rPr>
        <w:b/>
        <w:bCs/>
        <w:color w:val="FFFFFF" w:themeColor="background1"/>
      </w:rPr>
      <w:tblPr/>
      <w:tcPr>
        <w:tcBorders>
          <w:left w:val="nil"/>
          <w:right w:val="nil"/>
          <w:insideH w:val="nil"/>
          <w:insideV w:val="nil"/>
        </w:tcBorders>
        <w:shd w:val="clear" w:color="auto" w:fill="428D52"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Mention">
    <w:name w:val="Mention"/>
    <w:basedOn w:val="DefaultParagraphFont"/>
    <w:uiPriority w:val="99"/>
    <w:semiHidden/>
    <w:unhideWhenUsed/>
    <w:rsid w:val="009637A8"/>
    <w:rPr>
      <w:color w:val="2B579A"/>
      <w:shd w:val="clear" w:color="auto" w:fill="E1DFDD"/>
    </w:rPr>
  </w:style>
  <w:style w:type="paragraph" w:styleId="MessageHeader">
    <w:name w:val="Message Header"/>
    <w:basedOn w:val="Normal"/>
    <w:link w:val="MessageHeaderChar"/>
    <w:uiPriority w:val="99"/>
    <w:semiHidden/>
    <w:unhideWhenUsed/>
    <w:rsid w:val="009637A8"/>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eastAsiaTheme="majorEastAsia"/>
      <w:sz w:val="24"/>
      <w:szCs w:val="24"/>
    </w:rPr>
  </w:style>
  <w:style w:type="character" w:customStyle="1" w:styleId="MessageHeaderChar">
    <w:name w:val="Message Header Char"/>
    <w:basedOn w:val="DefaultParagraphFont"/>
    <w:link w:val="MessageHeader"/>
    <w:uiPriority w:val="99"/>
    <w:semiHidden/>
    <w:rsid w:val="009637A8"/>
    <w:rPr>
      <w:rFonts w:ascii="Arial" w:eastAsiaTheme="majorEastAsia" w:hAnsi="Arial" w:cs="Arial"/>
      <w:sz w:val="24"/>
      <w:szCs w:val="24"/>
      <w:shd w:val="pct20" w:color="auto" w:fill="auto"/>
    </w:rPr>
  </w:style>
  <w:style w:type="paragraph" w:styleId="NoSpacing">
    <w:name w:val="No Spacing"/>
    <w:uiPriority w:val="1"/>
    <w:qFormat/>
    <w:rsid w:val="009637A8"/>
    <w:pPr>
      <w:spacing w:after="0" w:line="240" w:lineRule="auto"/>
    </w:pPr>
    <w:rPr>
      <w:rFonts w:ascii="Arial Narrow" w:hAnsi="Arial Narrow" w:cs="Arial"/>
    </w:rPr>
  </w:style>
  <w:style w:type="paragraph" w:styleId="NormalWeb">
    <w:name w:val="Normal (Web)"/>
    <w:basedOn w:val="Normal"/>
    <w:uiPriority w:val="99"/>
    <w:semiHidden/>
    <w:unhideWhenUsed/>
    <w:rsid w:val="009637A8"/>
    <w:pPr>
      <w:spacing w:after="160" w:line="259" w:lineRule="auto"/>
    </w:pPr>
    <w:rPr>
      <w:sz w:val="24"/>
      <w:szCs w:val="24"/>
    </w:rPr>
  </w:style>
  <w:style w:type="paragraph" w:styleId="NormalIndent">
    <w:name w:val="Normal Indent"/>
    <w:basedOn w:val="Normal"/>
    <w:uiPriority w:val="99"/>
    <w:semiHidden/>
    <w:unhideWhenUsed/>
    <w:rsid w:val="009637A8"/>
    <w:pPr>
      <w:spacing w:after="160" w:line="259" w:lineRule="auto"/>
      <w:ind w:left="720"/>
    </w:pPr>
  </w:style>
  <w:style w:type="paragraph" w:styleId="NoteHeading">
    <w:name w:val="Note Heading"/>
    <w:basedOn w:val="Normal"/>
    <w:next w:val="Normal"/>
    <w:link w:val="NoteHeadingChar"/>
    <w:uiPriority w:val="99"/>
    <w:semiHidden/>
    <w:unhideWhenUsed/>
    <w:rsid w:val="009637A8"/>
    <w:pPr>
      <w:spacing w:after="0"/>
    </w:pPr>
  </w:style>
  <w:style w:type="character" w:customStyle="1" w:styleId="NoteHeadingChar">
    <w:name w:val="Note Heading Char"/>
    <w:basedOn w:val="DefaultParagraphFont"/>
    <w:link w:val="NoteHeading"/>
    <w:uiPriority w:val="99"/>
    <w:semiHidden/>
    <w:rsid w:val="009637A8"/>
    <w:rPr>
      <w:rFonts w:ascii="Arial" w:hAnsi="Arial" w:cs="Arial"/>
    </w:rPr>
  </w:style>
  <w:style w:type="character" w:styleId="PageNumber">
    <w:name w:val="page number"/>
    <w:basedOn w:val="DefaultParagraphFont"/>
    <w:uiPriority w:val="99"/>
    <w:semiHidden/>
    <w:unhideWhenUsed/>
    <w:rsid w:val="009637A8"/>
  </w:style>
  <w:style w:type="character" w:styleId="PlaceholderText">
    <w:name w:val="Placeholder Text"/>
    <w:basedOn w:val="DefaultParagraphFont"/>
    <w:uiPriority w:val="99"/>
    <w:semiHidden/>
    <w:rsid w:val="009637A8"/>
    <w:rPr>
      <w:color w:val="808080"/>
    </w:rPr>
  </w:style>
  <w:style w:type="table" w:styleId="PlainTable1">
    <w:name w:val="Plain Table 1"/>
    <w:basedOn w:val="TableNormal"/>
    <w:uiPriority w:val="41"/>
    <w:rsid w:val="009637A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9637A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9637A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9637A8"/>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9637A8"/>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9637A8"/>
    <w:pPr>
      <w:spacing w:after="0"/>
    </w:pPr>
    <w:rPr>
      <w:sz w:val="21"/>
      <w:szCs w:val="21"/>
    </w:rPr>
  </w:style>
  <w:style w:type="character" w:customStyle="1" w:styleId="PlainTextChar">
    <w:name w:val="Plain Text Char"/>
    <w:basedOn w:val="DefaultParagraphFont"/>
    <w:link w:val="PlainText"/>
    <w:uiPriority w:val="99"/>
    <w:semiHidden/>
    <w:rsid w:val="009637A8"/>
    <w:rPr>
      <w:rFonts w:ascii="Arial" w:hAnsi="Arial" w:cs="Arial"/>
      <w:sz w:val="21"/>
      <w:szCs w:val="21"/>
    </w:rPr>
  </w:style>
  <w:style w:type="paragraph" w:styleId="Quote">
    <w:name w:val="Quote"/>
    <w:basedOn w:val="Normal"/>
    <w:next w:val="Normal"/>
    <w:link w:val="QuoteChar"/>
    <w:uiPriority w:val="29"/>
    <w:qFormat/>
    <w:rsid w:val="0020185D"/>
    <w:pPr>
      <w:spacing w:before="120" w:after="120"/>
      <w:ind w:left="420"/>
    </w:pPr>
    <w:rPr>
      <w:rFonts w:cstheme="minorBidi"/>
      <w:i/>
      <w:iCs/>
      <w:color w:val="4D4C4D"/>
    </w:rPr>
  </w:style>
  <w:style w:type="character" w:customStyle="1" w:styleId="QuoteChar">
    <w:name w:val="Quote Char"/>
    <w:basedOn w:val="DefaultParagraphFont"/>
    <w:link w:val="Quote"/>
    <w:uiPriority w:val="29"/>
    <w:rsid w:val="0020185D"/>
    <w:rPr>
      <w:rFonts w:ascii="Arial Narrow" w:hAnsi="Arial Narrow"/>
      <w:i/>
      <w:iCs/>
      <w:color w:val="4D4C4D"/>
    </w:rPr>
  </w:style>
  <w:style w:type="paragraph" w:styleId="Salutation">
    <w:name w:val="Salutation"/>
    <w:basedOn w:val="Normal"/>
    <w:next w:val="Normal"/>
    <w:link w:val="SalutationChar"/>
    <w:uiPriority w:val="99"/>
    <w:semiHidden/>
    <w:unhideWhenUsed/>
    <w:rsid w:val="009637A8"/>
    <w:pPr>
      <w:spacing w:after="160" w:line="259" w:lineRule="auto"/>
    </w:pPr>
  </w:style>
  <w:style w:type="character" w:customStyle="1" w:styleId="SalutationChar">
    <w:name w:val="Salutation Char"/>
    <w:basedOn w:val="DefaultParagraphFont"/>
    <w:link w:val="Salutation"/>
    <w:uiPriority w:val="99"/>
    <w:semiHidden/>
    <w:rsid w:val="009637A8"/>
    <w:rPr>
      <w:rFonts w:ascii="Arial" w:hAnsi="Arial" w:cs="Arial"/>
    </w:rPr>
  </w:style>
  <w:style w:type="paragraph" w:styleId="Signature">
    <w:name w:val="Signature"/>
    <w:basedOn w:val="Normal"/>
    <w:link w:val="SignatureChar"/>
    <w:uiPriority w:val="99"/>
    <w:semiHidden/>
    <w:unhideWhenUsed/>
    <w:rsid w:val="009637A8"/>
    <w:pPr>
      <w:spacing w:after="0"/>
      <w:ind w:left="4252"/>
    </w:pPr>
  </w:style>
  <w:style w:type="character" w:customStyle="1" w:styleId="SignatureChar">
    <w:name w:val="Signature Char"/>
    <w:basedOn w:val="DefaultParagraphFont"/>
    <w:link w:val="Signature"/>
    <w:uiPriority w:val="99"/>
    <w:semiHidden/>
    <w:rsid w:val="009637A8"/>
    <w:rPr>
      <w:rFonts w:ascii="Arial" w:hAnsi="Arial" w:cs="Arial"/>
    </w:rPr>
  </w:style>
  <w:style w:type="character" w:styleId="SmartHyperlink">
    <w:name w:val="Smart Hyperlink"/>
    <w:basedOn w:val="DefaultParagraphFont"/>
    <w:uiPriority w:val="99"/>
    <w:semiHidden/>
    <w:unhideWhenUsed/>
    <w:rsid w:val="009637A8"/>
    <w:rPr>
      <w:u w:val="dotted"/>
    </w:rPr>
  </w:style>
  <w:style w:type="character" w:styleId="SmartLink">
    <w:name w:val="Smart Link"/>
    <w:basedOn w:val="DefaultParagraphFont"/>
    <w:uiPriority w:val="99"/>
    <w:semiHidden/>
    <w:unhideWhenUsed/>
    <w:rsid w:val="009637A8"/>
    <w:rPr>
      <w:color w:val="0000FF"/>
      <w:u w:val="single"/>
      <w:shd w:val="clear" w:color="auto" w:fill="F3F2F1"/>
    </w:rPr>
  </w:style>
  <w:style w:type="character" w:styleId="Strong">
    <w:name w:val="Strong"/>
    <w:basedOn w:val="DefaultParagraphFont"/>
    <w:uiPriority w:val="22"/>
    <w:qFormat/>
    <w:rsid w:val="009637A8"/>
    <w:rPr>
      <w:b/>
      <w:bCs/>
    </w:rPr>
  </w:style>
  <w:style w:type="paragraph" w:styleId="Subtitle">
    <w:name w:val="Subtitle"/>
    <w:basedOn w:val="Normal"/>
    <w:next w:val="Normal"/>
    <w:link w:val="SubtitleChar"/>
    <w:uiPriority w:val="11"/>
    <w:qFormat/>
    <w:rsid w:val="009637A8"/>
    <w:pPr>
      <w:numPr>
        <w:ilvl w:val="1"/>
      </w:numPr>
      <w:spacing w:after="160" w:line="259" w:lineRule="auto"/>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9637A8"/>
    <w:rPr>
      <w:rFonts w:ascii="Arial" w:eastAsiaTheme="minorEastAsia" w:hAnsi="Arial" w:cs="Arial"/>
      <w:color w:val="5A5A5A" w:themeColor="text1" w:themeTint="A5"/>
      <w:spacing w:val="15"/>
    </w:rPr>
  </w:style>
  <w:style w:type="character" w:styleId="SubtleEmphasis">
    <w:name w:val="Subtle Emphasis"/>
    <w:basedOn w:val="DefaultParagraphFont"/>
    <w:uiPriority w:val="19"/>
    <w:qFormat/>
    <w:rsid w:val="009637A8"/>
    <w:rPr>
      <w:i/>
      <w:iCs/>
      <w:color w:val="404040" w:themeColor="text1" w:themeTint="BF"/>
    </w:rPr>
  </w:style>
  <w:style w:type="character" w:styleId="SubtleReference">
    <w:name w:val="Subtle Reference"/>
    <w:basedOn w:val="DefaultParagraphFont"/>
    <w:uiPriority w:val="31"/>
    <w:qFormat/>
    <w:rsid w:val="009637A8"/>
    <w:rPr>
      <w:smallCaps/>
      <w:color w:val="5A5A5A" w:themeColor="text1" w:themeTint="A5"/>
    </w:rPr>
  </w:style>
  <w:style w:type="table" w:styleId="Table3Deffects1">
    <w:name w:val="Table 3D effects 1"/>
    <w:basedOn w:val="TableNormal"/>
    <w:uiPriority w:val="99"/>
    <w:semiHidden/>
    <w:unhideWhenUsed/>
    <w:rsid w:val="009637A8"/>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637A8"/>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637A8"/>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637A8"/>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637A8"/>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637A8"/>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637A8"/>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637A8"/>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637A8"/>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637A8"/>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637A8"/>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637A8"/>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637A8"/>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637A8"/>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637A8"/>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637A8"/>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637A8"/>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39"/>
    <w:rsid w:val="009637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rsid w:val="009637A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637A8"/>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637A8"/>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637A8"/>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637A8"/>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637A8"/>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637A8"/>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637A8"/>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9637A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9637A8"/>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637A8"/>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637A8"/>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637A8"/>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637A8"/>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637A8"/>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637A8"/>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637A8"/>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unhideWhenUsed/>
    <w:rsid w:val="007A77EC"/>
    <w:pPr>
      <w:tabs>
        <w:tab w:val="right" w:pos="7643"/>
      </w:tabs>
      <w:spacing w:after="0" w:line="259" w:lineRule="auto"/>
      <w:ind w:left="1164" w:hanging="1164"/>
    </w:pPr>
  </w:style>
  <w:style w:type="paragraph" w:styleId="TableofFigures">
    <w:name w:val="table of figures"/>
    <w:basedOn w:val="Normal"/>
    <w:next w:val="Normal"/>
    <w:uiPriority w:val="99"/>
    <w:unhideWhenUsed/>
    <w:rsid w:val="00B9265D"/>
    <w:pPr>
      <w:tabs>
        <w:tab w:val="right" w:pos="7643"/>
      </w:tabs>
      <w:spacing w:before="0" w:after="0" w:line="260" w:lineRule="exact"/>
      <w:ind w:left="1123" w:right="851" w:hanging="1123"/>
    </w:pPr>
  </w:style>
  <w:style w:type="table" w:styleId="TableProfessional">
    <w:name w:val="Table Professional"/>
    <w:basedOn w:val="TableNormal"/>
    <w:uiPriority w:val="99"/>
    <w:semiHidden/>
    <w:unhideWhenUsed/>
    <w:rsid w:val="009637A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637A8"/>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637A8"/>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637A8"/>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637A8"/>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637A8"/>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637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637A8"/>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637A8"/>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637A8"/>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BodyText"/>
    <w:next w:val="Normal"/>
    <w:link w:val="TitleChar"/>
    <w:uiPriority w:val="10"/>
    <w:qFormat/>
    <w:rsid w:val="00EA3352"/>
    <w:pPr>
      <w:shd w:val="clear" w:color="auto" w:fill="140034" w:themeFill="background2"/>
      <w:spacing w:before="840" w:after="360"/>
      <w:ind w:left="-284"/>
    </w:pPr>
    <w:rPr>
      <w:rFonts w:eastAsiaTheme="majorHAnsi"/>
      <w:color w:val="FFFFFF" w:themeColor="background1"/>
      <w:sz w:val="80"/>
      <w:szCs w:val="80"/>
    </w:rPr>
  </w:style>
  <w:style w:type="character" w:customStyle="1" w:styleId="TitleChar">
    <w:name w:val="Title Char"/>
    <w:basedOn w:val="DefaultParagraphFont"/>
    <w:link w:val="Title"/>
    <w:uiPriority w:val="10"/>
    <w:rsid w:val="00EA3352"/>
    <w:rPr>
      <w:rFonts w:ascii="Arial" w:eastAsiaTheme="majorHAnsi" w:hAnsi="Arial" w:cs="Arial"/>
      <w:color w:val="FFFFFF" w:themeColor="background1"/>
      <w:sz w:val="80"/>
      <w:szCs w:val="80"/>
      <w:shd w:val="clear" w:color="auto" w:fill="140034" w:themeFill="background2"/>
    </w:rPr>
  </w:style>
  <w:style w:type="paragraph" w:styleId="TOAHeading">
    <w:name w:val="toa heading"/>
    <w:basedOn w:val="Normal"/>
    <w:next w:val="Normal"/>
    <w:uiPriority w:val="99"/>
    <w:semiHidden/>
    <w:unhideWhenUsed/>
    <w:rsid w:val="009637A8"/>
    <w:pPr>
      <w:spacing w:before="120" w:after="160" w:line="259" w:lineRule="auto"/>
    </w:pPr>
    <w:rPr>
      <w:rFonts w:eastAsiaTheme="majorEastAsia"/>
      <w:b/>
      <w:bCs/>
      <w:sz w:val="24"/>
      <w:szCs w:val="24"/>
    </w:rPr>
  </w:style>
  <w:style w:type="paragraph" w:styleId="TOC1">
    <w:name w:val="toc 1"/>
    <w:basedOn w:val="Normal"/>
    <w:next w:val="Normal"/>
    <w:uiPriority w:val="39"/>
    <w:rsid w:val="00C62B89"/>
    <w:pPr>
      <w:tabs>
        <w:tab w:val="right" w:pos="7643"/>
      </w:tabs>
      <w:spacing w:before="300" w:after="360" w:line="240" w:lineRule="exact"/>
    </w:pPr>
    <w:rPr>
      <w:rFonts w:ascii="Yu Gothic Medium" w:eastAsia="Yu Gothic Medium" w:hAnsi="Yu Gothic Medium" w:cstheme="minorBidi"/>
      <w:b/>
      <w:noProof/>
      <w:color w:val="6C3F99"/>
      <w:sz w:val="24"/>
    </w:rPr>
  </w:style>
  <w:style w:type="paragraph" w:styleId="TOC2">
    <w:name w:val="toc 2"/>
    <w:basedOn w:val="Normal"/>
    <w:next w:val="Normal"/>
    <w:uiPriority w:val="39"/>
    <w:rsid w:val="00B9265D"/>
    <w:pPr>
      <w:keepNext/>
      <w:tabs>
        <w:tab w:val="right" w:pos="7643"/>
      </w:tabs>
      <w:spacing w:before="292" w:after="168" w:line="240" w:lineRule="exact"/>
      <w:ind w:left="561" w:right="851" w:hanging="561"/>
    </w:pPr>
    <w:rPr>
      <w:rFonts w:ascii="Yu Gothic Medium" w:eastAsia="Yu Gothic Medium" w:hAnsi="Yu Gothic Medium" w:cstheme="minorBidi"/>
      <w:b/>
      <w:noProof/>
      <w:color w:val="000100"/>
      <w:sz w:val="24"/>
    </w:rPr>
  </w:style>
  <w:style w:type="paragraph" w:styleId="TOC3">
    <w:name w:val="toc 3"/>
    <w:basedOn w:val="Normal"/>
    <w:next w:val="Normal"/>
    <w:uiPriority w:val="39"/>
    <w:rsid w:val="00B9265D"/>
    <w:pPr>
      <w:tabs>
        <w:tab w:val="right" w:pos="7643"/>
      </w:tabs>
      <w:spacing w:before="0" w:after="0" w:line="240" w:lineRule="auto"/>
      <w:ind w:left="1122" w:right="851" w:hanging="561"/>
    </w:pPr>
    <w:rPr>
      <w:rFonts w:cstheme="minorBidi"/>
      <w:noProof/>
      <w:color w:val="000100"/>
      <w:position w:val="-6"/>
    </w:rPr>
  </w:style>
  <w:style w:type="paragraph" w:styleId="TOC4">
    <w:name w:val="toc 4"/>
    <w:basedOn w:val="Normal"/>
    <w:next w:val="Normal"/>
    <w:uiPriority w:val="39"/>
    <w:rsid w:val="00B9265D"/>
    <w:pPr>
      <w:tabs>
        <w:tab w:val="right" w:pos="7643"/>
      </w:tabs>
      <w:spacing w:before="0" w:after="60"/>
      <w:ind w:left="1684" w:right="851" w:hanging="561"/>
      <w:contextualSpacing/>
    </w:pPr>
    <w:rPr>
      <w:rFonts w:cstheme="minorBidi"/>
      <w:noProof/>
      <w:color w:val="000100"/>
      <w:sz w:val="20"/>
    </w:rPr>
  </w:style>
  <w:style w:type="paragraph" w:styleId="TOC5">
    <w:name w:val="toc 5"/>
    <w:basedOn w:val="Normal"/>
    <w:next w:val="Normal"/>
    <w:uiPriority w:val="39"/>
    <w:rsid w:val="00A85EB6"/>
    <w:pPr>
      <w:tabs>
        <w:tab w:val="right" w:pos="5670"/>
      </w:tabs>
      <w:spacing w:after="32"/>
      <w:ind w:left="454" w:right="283" w:hanging="454"/>
    </w:pPr>
    <w:rPr>
      <w:rFonts w:cstheme="minorBidi"/>
      <w:noProof/>
      <w:color w:val="000100"/>
      <w:spacing w:val="-4"/>
      <w:sz w:val="21"/>
    </w:rPr>
  </w:style>
  <w:style w:type="paragraph" w:styleId="TOC6">
    <w:name w:val="toc 6"/>
    <w:basedOn w:val="Normal"/>
    <w:next w:val="Normal"/>
    <w:uiPriority w:val="39"/>
    <w:rsid w:val="00A85EB6"/>
    <w:pPr>
      <w:numPr>
        <w:ilvl w:val="5"/>
        <w:numId w:val="16"/>
      </w:numPr>
      <w:pBdr>
        <w:bottom w:val="single" w:sz="4" w:space="1" w:color="auto"/>
        <w:between w:val="single" w:sz="4" w:space="1" w:color="auto"/>
      </w:pBdr>
      <w:tabs>
        <w:tab w:val="right" w:pos="5670"/>
      </w:tabs>
      <w:spacing w:before="240" w:after="0" w:line="240" w:lineRule="exact"/>
      <w:ind w:left="0" w:firstLine="0"/>
    </w:pPr>
    <w:rPr>
      <w:rFonts w:cstheme="minorBidi"/>
      <w:noProof/>
      <w:color w:val="000100"/>
      <w:sz w:val="20"/>
    </w:rPr>
  </w:style>
  <w:style w:type="paragraph" w:styleId="TOC7">
    <w:name w:val="toc 7"/>
    <w:basedOn w:val="Normal"/>
    <w:next w:val="Normal"/>
    <w:uiPriority w:val="39"/>
    <w:rsid w:val="00A85EB6"/>
    <w:pPr>
      <w:keepNext/>
      <w:numPr>
        <w:ilvl w:val="6"/>
        <w:numId w:val="16"/>
      </w:numPr>
      <w:spacing w:before="240" w:after="0" w:line="240" w:lineRule="exact"/>
      <w:contextualSpacing/>
    </w:pPr>
    <w:rPr>
      <w:rFonts w:ascii="Yu Gothic Medium" w:eastAsia="Yu Gothic Medium" w:hAnsi="Yu Gothic Medium" w:cstheme="minorBidi"/>
      <w:b/>
      <w:color w:val="000100"/>
      <w:sz w:val="24"/>
    </w:rPr>
  </w:style>
  <w:style w:type="paragraph" w:styleId="TOC8">
    <w:name w:val="toc 8"/>
    <w:basedOn w:val="Normal"/>
    <w:next w:val="Normal"/>
    <w:uiPriority w:val="39"/>
    <w:rsid w:val="00A85EB6"/>
    <w:pPr>
      <w:tabs>
        <w:tab w:val="right" w:pos="8478"/>
      </w:tabs>
      <w:spacing w:after="100"/>
      <w:contextualSpacing/>
    </w:pPr>
    <w:rPr>
      <w:rFonts w:cstheme="minorBidi"/>
      <w:noProof/>
      <w:color w:val="000100"/>
      <w:sz w:val="18"/>
    </w:rPr>
  </w:style>
  <w:style w:type="paragraph" w:styleId="TOC9">
    <w:name w:val="toc 9"/>
    <w:basedOn w:val="Normal"/>
    <w:next w:val="Normal"/>
    <w:uiPriority w:val="39"/>
    <w:rsid w:val="00A85EB6"/>
    <w:pPr>
      <w:spacing w:after="100"/>
    </w:pPr>
    <w:rPr>
      <w:rFonts w:cstheme="minorBidi"/>
      <w:color w:val="000100"/>
      <w:spacing w:val="-4"/>
      <w:sz w:val="19"/>
    </w:rPr>
  </w:style>
  <w:style w:type="paragraph" w:styleId="TOCHeading">
    <w:name w:val="TOC Heading"/>
    <w:basedOn w:val="Heading1"/>
    <w:next w:val="Normal"/>
    <w:uiPriority w:val="39"/>
    <w:unhideWhenUsed/>
    <w:qFormat/>
    <w:rsid w:val="00A53217"/>
    <w:pPr>
      <w:numPr>
        <w:numId w:val="0"/>
      </w:numPr>
      <w:outlineLvl w:val="9"/>
    </w:pPr>
    <w:rPr>
      <w:rFonts w:eastAsia="Yu Gothic Medium"/>
      <w:color w:val="6C3D99"/>
    </w:rPr>
  </w:style>
  <w:style w:type="character" w:styleId="UnresolvedMention">
    <w:name w:val="Unresolved Mention"/>
    <w:basedOn w:val="DefaultParagraphFont"/>
    <w:uiPriority w:val="99"/>
    <w:semiHidden/>
    <w:unhideWhenUsed/>
    <w:rsid w:val="009637A8"/>
    <w:rPr>
      <w:color w:val="605E5C"/>
      <w:shd w:val="clear" w:color="auto" w:fill="E1DFDD"/>
    </w:rPr>
  </w:style>
  <w:style w:type="numbering" w:customStyle="1" w:styleId="aaclstStyleBullets">
    <w:name w:val="aac_lstStyle_Bullets"/>
    <w:uiPriority w:val="99"/>
    <w:rsid w:val="000F76C4"/>
    <w:pPr>
      <w:numPr>
        <w:numId w:val="5"/>
      </w:numPr>
    </w:pPr>
  </w:style>
  <w:style w:type="numbering" w:customStyle="1" w:styleId="aaclstStyleListNumber">
    <w:name w:val="aac_lstStyle_ListNumber"/>
    <w:uiPriority w:val="99"/>
    <w:rsid w:val="00303C43"/>
    <w:pPr>
      <w:numPr>
        <w:numId w:val="6"/>
      </w:numPr>
    </w:pPr>
  </w:style>
  <w:style w:type="numbering" w:customStyle="1" w:styleId="aaclstStyleHeadingNumbered">
    <w:name w:val="aac_lstStyle_HeadingNumbered"/>
    <w:uiPriority w:val="99"/>
    <w:rsid w:val="00B44DDB"/>
    <w:pPr>
      <w:numPr>
        <w:numId w:val="7"/>
      </w:numPr>
    </w:pPr>
  </w:style>
  <w:style w:type="paragraph" w:customStyle="1" w:styleId="Normal-nospace">
    <w:name w:val="Normal - no space"/>
    <w:basedOn w:val="Normal"/>
    <w:qFormat/>
    <w:rsid w:val="00DF3BD9"/>
    <w:pPr>
      <w:spacing w:before="0" w:after="0"/>
    </w:pPr>
    <w:rPr>
      <w:color w:val="000100"/>
    </w:rPr>
  </w:style>
  <w:style w:type="paragraph" w:customStyle="1" w:styleId="Heading2ES">
    <w:name w:val="Heading 2 (ES)"/>
    <w:basedOn w:val="Normal-nospace"/>
    <w:next w:val="BodyText"/>
    <w:qFormat/>
    <w:rsid w:val="00A27AFA"/>
    <w:pPr>
      <w:keepNext/>
      <w:numPr>
        <w:ilvl w:val="1"/>
        <w:numId w:val="33"/>
      </w:numPr>
      <w:pBdr>
        <w:bottom w:val="single" w:sz="4" w:space="1" w:color="6C3E99"/>
      </w:pBdr>
      <w:spacing w:before="240" w:after="216"/>
    </w:pPr>
    <w:rPr>
      <w:b/>
      <w:color w:val="6C3E99"/>
      <w:sz w:val="28"/>
    </w:rPr>
  </w:style>
  <w:style w:type="paragraph" w:customStyle="1" w:styleId="Introduction">
    <w:name w:val="Introduction"/>
    <w:basedOn w:val="Normal-nospace"/>
    <w:qFormat/>
    <w:rsid w:val="0023326E"/>
    <w:pPr>
      <w:spacing w:before="240" w:after="460" w:line="300" w:lineRule="exact"/>
      <w:ind w:right="120"/>
      <w:contextualSpacing/>
    </w:pPr>
    <w:rPr>
      <w:i/>
      <w:color w:val="7D7C7D"/>
      <w:sz w:val="24"/>
    </w:rPr>
  </w:style>
  <w:style w:type="paragraph" w:customStyle="1" w:styleId="Heading3ES">
    <w:name w:val="Heading 3 (ES)"/>
    <w:basedOn w:val="Normal-nospace"/>
    <w:next w:val="BodyText"/>
    <w:qFormat/>
    <w:rsid w:val="00A27AFA"/>
    <w:pPr>
      <w:keepNext/>
      <w:numPr>
        <w:ilvl w:val="2"/>
        <w:numId w:val="33"/>
      </w:numPr>
      <w:pBdr>
        <w:bottom w:val="single" w:sz="4" w:space="0" w:color="000100"/>
      </w:pBdr>
      <w:spacing w:before="240" w:after="160" w:line="240" w:lineRule="atLeast"/>
    </w:pPr>
    <w:rPr>
      <w:b/>
    </w:rPr>
  </w:style>
  <w:style w:type="paragraph" w:customStyle="1" w:styleId="Heading4ES">
    <w:name w:val="Heading 4 (ES)"/>
    <w:basedOn w:val="Normal-nospace"/>
    <w:next w:val="BodyText"/>
    <w:qFormat/>
    <w:rsid w:val="00A27AFA"/>
    <w:pPr>
      <w:keepNext/>
      <w:numPr>
        <w:ilvl w:val="3"/>
        <w:numId w:val="33"/>
      </w:numPr>
      <w:spacing w:before="240" w:after="160" w:line="240" w:lineRule="atLeast"/>
    </w:pPr>
    <w:rPr>
      <w:b/>
    </w:rPr>
  </w:style>
  <w:style w:type="paragraph" w:customStyle="1" w:styleId="Heading5ES">
    <w:name w:val="Heading 5 (ES)"/>
    <w:basedOn w:val="Normal-nospace"/>
    <w:next w:val="BodyText"/>
    <w:qFormat/>
    <w:rsid w:val="00A27AFA"/>
    <w:pPr>
      <w:keepNext/>
      <w:numPr>
        <w:ilvl w:val="4"/>
        <w:numId w:val="33"/>
      </w:numPr>
      <w:spacing w:before="240" w:after="160" w:line="240" w:lineRule="atLeast"/>
    </w:pPr>
    <w:rPr>
      <w:b/>
      <w:i/>
    </w:rPr>
  </w:style>
  <w:style w:type="paragraph" w:customStyle="1" w:styleId="Heading6ES">
    <w:name w:val="Heading 6 (ES)"/>
    <w:basedOn w:val="Normal-nospace"/>
    <w:next w:val="BodyText"/>
    <w:qFormat/>
    <w:rsid w:val="00A27AFA"/>
    <w:pPr>
      <w:keepNext/>
      <w:numPr>
        <w:ilvl w:val="5"/>
        <w:numId w:val="33"/>
      </w:numPr>
      <w:spacing w:before="240" w:after="160" w:line="240" w:lineRule="atLeast"/>
    </w:pPr>
    <w:rPr>
      <w:b/>
      <w:i/>
      <w:color w:val="959495"/>
    </w:rPr>
  </w:style>
  <w:style w:type="numbering" w:customStyle="1" w:styleId="aaclstStyleHeadingsES">
    <w:name w:val="aac_lstStyle_HeadingsES"/>
    <w:uiPriority w:val="99"/>
    <w:rsid w:val="007E495B"/>
    <w:pPr>
      <w:numPr>
        <w:numId w:val="10"/>
      </w:numPr>
    </w:pPr>
  </w:style>
  <w:style w:type="paragraph" w:customStyle="1" w:styleId="Header-CompanyName">
    <w:name w:val="Header-Company Name"/>
    <w:basedOn w:val="Normal-nospace"/>
    <w:qFormat/>
    <w:rsid w:val="00C410BA"/>
    <w:pPr>
      <w:spacing w:before="16" w:line="240" w:lineRule="auto"/>
      <w:jc w:val="right"/>
    </w:pPr>
    <w:rPr>
      <w:sz w:val="14"/>
    </w:rPr>
  </w:style>
  <w:style w:type="paragraph" w:customStyle="1" w:styleId="FooterText">
    <w:name w:val="Footer Text"/>
    <w:basedOn w:val="Normal-nospace"/>
    <w:qFormat/>
    <w:rsid w:val="00880724"/>
    <w:pPr>
      <w:spacing w:line="240" w:lineRule="auto"/>
    </w:pPr>
    <w:rPr>
      <w:rFonts w:ascii="Yu Gothic Medium" w:eastAsia="Yu Gothic Medium" w:hAnsi="Yu Gothic Medium"/>
      <w:spacing w:val="6"/>
      <w:sz w:val="15"/>
    </w:rPr>
  </w:style>
  <w:style w:type="paragraph" w:customStyle="1" w:styleId="pageNumber0">
    <w:name w:val="pageNumber"/>
    <w:basedOn w:val="Normal-nospace"/>
    <w:qFormat/>
    <w:rsid w:val="00624EEC"/>
    <w:pPr>
      <w:spacing w:after="20" w:line="280" w:lineRule="exact"/>
      <w:jc w:val="center"/>
    </w:pPr>
    <w:rPr>
      <w:rFonts w:ascii="Yu Gothic Medium" w:eastAsia="Yu Gothic Medium" w:hAnsi="Yu Gothic Medium"/>
      <w:color w:val="959495"/>
      <w:sz w:val="25"/>
    </w:rPr>
  </w:style>
  <w:style w:type="paragraph" w:customStyle="1" w:styleId="CpTitle">
    <w:name w:val="Cp Title"/>
    <w:basedOn w:val="Normal-nospace"/>
    <w:qFormat/>
    <w:rsid w:val="00E873F8"/>
    <w:pPr>
      <w:spacing w:after="400" w:line="168" w:lineRule="auto"/>
    </w:pPr>
    <w:rPr>
      <w:rFonts w:ascii="Yu Gothic Medium" w:hAnsi="Yu Gothic Medium"/>
      <w:b/>
      <w:color w:val="FFFFFF" w:themeColor="background1"/>
      <w:sz w:val="80"/>
    </w:rPr>
  </w:style>
  <w:style w:type="paragraph" w:customStyle="1" w:styleId="CpSubTitle">
    <w:name w:val="Cp SubTitle"/>
    <w:basedOn w:val="Normalrgb"/>
    <w:qFormat/>
    <w:rsid w:val="00FF7B74"/>
    <w:pPr>
      <w:spacing w:after="400" w:line="168" w:lineRule="auto"/>
    </w:pPr>
    <w:rPr>
      <w:rFonts w:ascii="Yu Gothic Medium" w:hAnsi="Yu Gothic Medium"/>
      <w:sz w:val="48"/>
    </w:rPr>
  </w:style>
  <w:style w:type="numbering" w:customStyle="1" w:styleId="aaclstStyleAppendices">
    <w:name w:val="aac_lstStyle_Appendices"/>
    <w:uiPriority w:val="99"/>
    <w:rsid w:val="00B470A1"/>
    <w:pPr>
      <w:numPr>
        <w:numId w:val="11"/>
      </w:numPr>
    </w:pPr>
  </w:style>
  <w:style w:type="paragraph" w:customStyle="1" w:styleId="CpReportDate">
    <w:name w:val="Cp Report Date"/>
    <w:basedOn w:val="Normalrgb"/>
    <w:qFormat/>
    <w:rsid w:val="00B9126B"/>
    <w:pPr>
      <w:spacing w:before="90" w:line="260" w:lineRule="exact"/>
    </w:pPr>
    <w:rPr>
      <w:rFonts w:ascii="Yu Gothic Medium" w:eastAsia="Yu Gothic Medium" w:hAnsi="Yu Gothic Medium"/>
      <w:sz w:val="20"/>
    </w:rPr>
  </w:style>
  <w:style w:type="paragraph" w:customStyle="1" w:styleId="CpReportTo">
    <w:name w:val="Cp Report To"/>
    <w:basedOn w:val="Normalrgb"/>
    <w:qFormat/>
    <w:rsid w:val="00B9126B"/>
    <w:pPr>
      <w:spacing w:before="90" w:line="260" w:lineRule="exact"/>
    </w:pPr>
    <w:rPr>
      <w:rFonts w:ascii="Yu Gothic Medium" w:eastAsia="Yu Gothic Medium" w:hAnsi="Yu Gothic Medium"/>
      <w:sz w:val="20"/>
    </w:rPr>
  </w:style>
  <w:style w:type="paragraph" w:customStyle="1" w:styleId="CpClientName">
    <w:name w:val="Cp Client Name"/>
    <w:basedOn w:val="Normalrgb"/>
    <w:qFormat/>
    <w:rsid w:val="00B9126B"/>
    <w:pPr>
      <w:spacing w:before="90" w:line="260" w:lineRule="exact"/>
    </w:pPr>
    <w:rPr>
      <w:rFonts w:ascii="Yu Gothic Medium" w:eastAsia="Yu Gothic Medium" w:hAnsi="Yu Gothic Medium"/>
      <w:sz w:val="20"/>
    </w:rPr>
  </w:style>
  <w:style w:type="paragraph" w:customStyle="1" w:styleId="Style1">
    <w:name w:val="Style1"/>
    <w:basedOn w:val="Normal-nospace"/>
    <w:qFormat/>
    <w:rsid w:val="00695E8A"/>
    <w:pPr>
      <w:spacing w:after="400" w:line="216" w:lineRule="auto"/>
    </w:pPr>
    <w:rPr>
      <w:rFonts w:ascii="Yu Gothic Medium" w:hAnsi="Yu Gothic Medium"/>
      <w:b/>
      <w:color w:val="FF0000"/>
      <w:sz w:val="80"/>
    </w:rPr>
  </w:style>
  <w:style w:type="numbering" w:customStyle="1" w:styleId="lstStyleBullets">
    <w:name w:val="lstStyle_Bullets"/>
    <w:uiPriority w:val="99"/>
    <w:rsid w:val="003F70C7"/>
  </w:style>
  <w:style w:type="numbering" w:customStyle="1" w:styleId="lstStyleListNumber">
    <w:name w:val="lstStyle_ListNumber"/>
    <w:uiPriority w:val="99"/>
    <w:rsid w:val="003F70C7"/>
    <w:pPr>
      <w:numPr>
        <w:numId w:val="13"/>
      </w:numPr>
    </w:pPr>
  </w:style>
  <w:style w:type="numbering" w:customStyle="1" w:styleId="lstStyleHeadingNumbered">
    <w:name w:val="lstStyle_Heading_Numbered"/>
    <w:uiPriority w:val="99"/>
    <w:rsid w:val="003F70C7"/>
    <w:pPr>
      <w:numPr>
        <w:numId w:val="14"/>
      </w:numPr>
    </w:pPr>
  </w:style>
  <w:style w:type="paragraph" w:customStyle="1" w:styleId="spacer">
    <w:name w:val="spacer"/>
    <w:basedOn w:val="Normal-nospace"/>
    <w:qFormat/>
    <w:rsid w:val="006E428D"/>
    <w:pPr>
      <w:spacing w:line="240" w:lineRule="auto"/>
    </w:pPr>
    <w:rPr>
      <w:sz w:val="4"/>
    </w:rPr>
  </w:style>
  <w:style w:type="paragraph" w:customStyle="1" w:styleId="spacertbl">
    <w:name w:val="spacer_tbl"/>
    <w:basedOn w:val="spacer"/>
    <w:qFormat/>
    <w:rsid w:val="006E428D"/>
  </w:style>
  <w:style w:type="paragraph" w:customStyle="1" w:styleId="tagchapterBanner">
    <w:name w:val="tag_chapterBanner"/>
    <w:basedOn w:val="spacer"/>
    <w:qFormat/>
    <w:rsid w:val="0040609B"/>
    <w:pPr>
      <w:keepNext/>
      <w:pageBreakBefore/>
    </w:pPr>
  </w:style>
  <w:style w:type="paragraph" w:customStyle="1" w:styleId="HeadingChapter">
    <w:name w:val="Heading (Chapter)"/>
    <w:basedOn w:val="Normal-nospace"/>
    <w:qFormat/>
    <w:rsid w:val="00557FA4"/>
    <w:pPr>
      <w:spacing w:line="1960" w:lineRule="exact"/>
      <w:ind w:left="216" w:right="62"/>
      <w:jc w:val="right"/>
    </w:pPr>
    <w:rPr>
      <w:rFonts w:ascii="Yu Gothic Medium" w:hAnsi="Yu Gothic Medium"/>
      <w:color w:val="FFFEFF"/>
      <w:sz w:val="160"/>
    </w:rPr>
  </w:style>
  <w:style w:type="paragraph" w:customStyle="1" w:styleId="Heading1ES">
    <w:name w:val="Heading 1 (ES)"/>
    <w:basedOn w:val="Normal"/>
    <w:qFormat/>
    <w:rsid w:val="007E495B"/>
    <w:pPr>
      <w:numPr>
        <w:numId w:val="33"/>
      </w:numPr>
      <w:spacing w:before="0" w:after="200" w:line="192" w:lineRule="auto"/>
    </w:pPr>
    <w:rPr>
      <w:rFonts w:ascii="Yu Gothic Medium" w:hAnsi="Yu Gothic Medium"/>
      <w:color w:val="FFFEFF"/>
      <w:sz w:val="52"/>
    </w:rPr>
  </w:style>
  <w:style w:type="paragraph" w:customStyle="1" w:styleId="tagexecBanner">
    <w:name w:val="tag_execBanner"/>
    <w:basedOn w:val="spacer"/>
    <w:qFormat/>
    <w:rsid w:val="0040609B"/>
    <w:pPr>
      <w:keepNext/>
      <w:pageBreakBefore/>
    </w:pPr>
  </w:style>
  <w:style w:type="paragraph" w:customStyle="1" w:styleId="HeadingAppendix">
    <w:name w:val="Heading (Appendix)"/>
    <w:basedOn w:val="HeadingChapter"/>
    <w:qFormat/>
    <w:rsid w:val="0059608F"/>
  </w:style>
  <w:style w:type="paragraph" w:customStyle="1" w:styleId="tagappendixChapter">
    <w:name w:val="tag_appendixChapter"/>
    <w:basedOn w:val="spacer"/>
    <w:qFormat/>
    <w:rsid w:val="0040609B"/>
    <w:pPr>
      <w:keepNext/>
      <w:pageBreakBefore/>
    </w:pPr>
  </w:style>
  <w:style w:type="table" w:customStyle="1" w:styleId="aacTableBasic">
    <w:name w:val="aac Table (Basic)"/>
    <w:basedOn w:val="TableNormal"/>
    <w:next w:val="TableGrid"/>
    <w:uiPriority w:val="39"/>
    <w:rsid w:val="002D7D78"/>
    <w:pPr>
      <w:spacing w:before="60" w:after="0" w:line="240" w:lineRule="atLeast"/>
    </w:pPr>
    <w:rPr>
      <w:rFonts w:ascii="Arial Narrow" w:hAnsi="Arial Narrow"/>
      <w:lang w:val="en-US"/>
    </w:rPr>
    <w:tblPr>
      <w:tblBorders>
        <w:bottom w:val="single" w:sz="4" w:space="0" w:color="auto"/>
        <w:insideH w:val="single" w:sz="4" w:space="0" w:color="auto"/>
      </w:tblBorders>
      <w:tblCellMar>
        <w:left w:w="0" w:type="dxa"/>
        <w:right w:w="0" w:type="dxa"/>
      </w:tblCellMar>
    </w:tblPr>
    <w:tcPr>
      <w:shd w:val="clear" w:color="auto" w:fill="auto"/>
    </w:tcPr>
    <w:tblStylePr w:type="firstRow">
      <w:pPr>
        <w:jc w:val="left"/>
      </w:pPr>
      <w:rPr>
        <w:color w:val="FFFFFF" w:themeColor="background1"/>
      </w:rPr>
      <w:tblPr/>
      <w:tcPr>
        <w:shd w:val="clear" w:color="auto" w:fill="140034" w:themeFill="background2"/>
      </w:tcPr>
    </w:tblStylePr>
  </w:style>
  <w:style w:type="paragraph" w:customStyle="1" w:styleId="tagcoverPage">
    <w:name w:val="tag_coverPage"/>
    <w:basedOn w:val="spacer"/>
    <w:qFormat/>
    <w:rsid w:val="00F970FA"/>
    <w:rPr>
      <w:b/>
      <w:bCs/>
    </w:rPr>
  </w:style>
  <w:style w:type="paragraph" w:customStyle="1" w:styleId="tagcontactsPage-Front">
    <w:name w:val="tag_contactsPage-Front"/>
    <w:basedOn w:val="spacer"/>
    <w:qFormat/>
    <w:rsid w:val="004051FB"/>
    <w:pPr>
      <w:keepNext/>
      <w:pageBreakBefore/>
    </w:pPr>
  </w:style>
  <w:style w:type="paragraph" w:customStyle="1" w:styleId="tagcontactsPage-Back">
    <w:name w:val="tag_contactsPage-Back"/>
    <w:basedOn w:val="spacer"/>
    <w:qFormat/>
    <w:rsid w:val="00B353EA"/>
  </w:style>
  <w:style w:type="paragraph" w:customStyle="1" w:styleId="tagpartBanner">
    <w:name w:val="tag_partBanner"/>
    <w:basedOn w:val="spacer"/>
    <w:qFormat/>
    <w:rsid w:val="0040609B"/>
    <w:pPr>
      <w:keepNext/>
      <w:pageBreakBefore/>
    </w:pPr>
  </w:style>
  <w:style w:type="paragraph" w:customStyle="1" w:styleId="tagappendixPart">
    <w:name w:val="tag_appendixPart"/>
    <w:basedOn w:val="spacer"/>
    <w:qFormat/>
    <w:rsid w:val="00B353EA"/>
  </w:style>
  <w:style w:type="paragraph" w:customStyle="1" w:styleId="Tabletext">
    <w:name w:val="Table text"/>
    <w:basedOn w:val="Normal-nospace"/>
    <w:qFormat/>
    <w:rsid w:val="00B353EA"/>
    <w:pPr>
      <w:spacing w:before="60" w:line="240" w:lineRule="atLeast"/>
      <w:ind w:right="119"/>
    </w:pPr>
    <w:rPr>
      <w:sz w:val="20"/>
    </w:rPr>
  </w:style>
  <w:style w:type="paragraph" w:customStyle="1" w:styleId="Tabletextsmall">
    <w:name w:val="Table text (small)"/>
    <w:basedOn w:val="Normal-nospace"/>
    <w:qFormat/>
    <w:rsid w:val="00B353EA"/>
    <w:pPr>
      <w:spacing w:before="40" w:line="180" w:lineRule="exact"/>
      <w:ind w:right="119"/>
    </w:pPr>
    <w:rPr>
      <w:sz w:val="16"/>
    </w:rPr>
  </w:style>
  <w:style w:type="paragraph" w:customStyle="1" w:styleId="Tableunitsrow">
    <w:name w:val="Table units row"/>
    <w:basedOn w:val="Normal-nospace"/>
    <w:qFormat/>
    <w:rsid w:val="00B353EA"/>
    <w:pPr>
      <w:spacing w:before="60" w:line="240" w:lineRule="atLeast"/>
      <w:ind w:right="119"/>
    </w:pPr>
    <w:rPr>
      <w:sz w:val="20"/>
    </w:rPr>
  </w:style>
  <w:style w:type="paragraph" w:customStyle="1" w:styleId="Tablecolumnheadings">
    <w:name w:val="Table column headings"/>
    <w:basedOn w:val="Tabletext"/>
    <w:qFormat/>
    <w:rsid w:val="00834951"/>
    <w:pPr>
      <w:keepNext/>
      <w:spacing w:before="40" w:after="40"/>
    </w:pPr>
    <w:rPr>
      <w:b/>
      <w:color w:val="FFFFFF" w:themeColor="background1"/>
    </w:rPr>
  </w:style>
  <w:style w:type="paragraph" w:customStyle="1" w:styleId="Source">
    <w:name w:val="Source"/>
    <w:basedOn w:val="Normal-nospace"/>
    <w:link w:val="SourceChar"/>
    <w:qFormat/>
    <w:rsid w:val="00851066"/>
    <w:pPr>
      <w:keepNext/>
      <w:spacing w:before="52" w:line="240" w:lineRule="auto"/>
    </w:pPr>
    <w:rPr>
      <w:i/>
      <w:sz w:val="16"/>
    </w:rPr>
  </w:style>
  <w:style w:type="paragraph" w:customStyle="1" w:styleId="CpAboutAcilAllen">
    <w:name w:val="Cp About Acil Allen"/>
    <w:basedOn w:val="Normalrgb"/>
    <w:qFormat/>
    <w:rsid w:val="00FF7B74"/>
    <w:pPr>
      <w:spacing w:after="100" w:line="240" w:lineRule="auto"/>
    </w:pPr>
    <w:rPr>
      <w:sz w:val="24"/>
    </w:rPr>
  </w:style>
  <w:style w:type="paragraph" w:customStyle="1" w:styleId="CpDisclaimer">
    <w:name w:val="Cp Disclaimer"/>
    <w:basedOn w:val="Normal-nospace"/>
    <w:qFormat/>
    <w:rsid w:val="009E3722"/>
    <w:pPr>
      <w:spacing w:after="100" w:line="240" w:lineRule="auto"/>
      <w:ind w:right="323"/>
    </w:pPr>
    <w:rPr>
      <w:color w:val="FFFEFF"/>
      <w:sz w:val="14"/>
    </w:rPr>
  </w:style>
  <w:style w:type="paragraph" w:customStyle="1" w:styleId="CpDisclaimer9pt">
    <w:name w:val="Cp Disclaimer 9pt"/>
    <w:basedOn w:val="Normal-nospace"/>
    <w:qFormat/>
    <w:rsid w:val="0052525A"/>
    <w:pPr>
      <w:spacing w:after="100" w:line="240" w:lineRule="auto"/>
    </w:pPr>
    <w:rPr>
      <w:color w:val="FFFEFF"/>
      <w:sz w:val="18"/>
    </w:rPr>
  </w:style>
  <w:style w:type="paragraph" w:customStyle="1" w:styleId="Part-HeadingBanner">
    <w:name w:val="Part - Heading (Banner)"/>
    <w:basedOn w:val="Normal-nospace"/>
    <w:next w:val="Part-SubHeadBanner"/>
    <w:qFormat/>
    <w:rsid w:val="00EB3A30"/>
    <w:pPr>
      <w:spacing w:line="192" w:lineRule="auto"/>
    </w:pPr>
    <w:rPr>
      <w:rFonts w:ascii="Yu Gothic Medium" w:hAnsi="Yu Gothic Medium"/>
      <w:b/>
      <w:color w:val="FFFEFF"/>
      <w:sz w:val="52"/>
    </w:rPr>
  </w:style>
  <w:style w:type="paragraph" w:customStyle="1" w:styleId="Part-SubHeadBanner">
    <w:name w:val="Part - SubHead (Banner)"/>
    <w:basedOn w:val="Normalrgb"/>
    <w:qFormat/>
    <w:rsid w:val="00CA4C4B"/>
    <w:pPr>
      <w:spacing w:line="192" w:lineRule="auto"/>
    </w:pPr>
    <w:rPr>
      <w:rFonts w:ascii="Yu Gothic Medium" w:hAnsi="Yu Gothic Medium"/>
      <w:b/>
      <w:sz w:val="52"/>
    </w:rPr>
  </w:style>
  <w:style w:type="paragraph" w:customStyle="1" w:styleId="Partxx">
    <w:name w:val="Part xx"/>
    <w:basedOn w:val="spacer"/>
    <w:qFormat/>
    <w:rsid w:val="00296BE7"/>
    <w:rPr>
      <w:color w:val="140134"/>
    </w:rPr>
  </w:style>
  <w:style w:type="paragraph" w:customStyle="1" w:styleId="Part-Number">
    <w:name w:val="Part - Number"/>
    <w:basedOn w:val="BodyText"/>
    <w:qFormat/>
    <w:rsid w:val="00DA2D22"/>
    <w:pPr>
      <w:spacing w:before="24" w:after="0" w:line="1600" w:lineRule="exact"/>
      <w:jc w:val="right"/>
    </w:pPr>
    <w:rPr>
      <w:rFonts w:ascii="Yu Gothic Medium" w:eastAsia="Yu Gothic Medium" w:hAnsi="Yu Gothic Medium"/>
      <w:color w:val="FFFEFF"/>
      <w:position w:val="-16"/>
      <w:sz w:val="160"/>
    </w:rPr>
  </w:style>
  <w:style w:type="paragraph" w:customStyle="1" w:styleId="App-DividerHeading">
    <w:name w:val="App - Divider (Heading)"/>
    <w:basedOn w:val="Part-HeadingBanner"/>
    <w:next w:val="App-DividerSubHeading"/>
    <w:qFormat/>
    <w:rsid w:val="00EB3A30"/>
  </w:style>
  <w:style w:type="paragraph" w:customStyle="1" w:styleId="App-DividerSubHeading">
    <w:name w:val="App - Divider (Sub Heading)"/>
    <w:basedOn w:val="Part-SubHeadBanner"/>
    <w:qFormat/>
    <w:rsid w:val="00E41318"/>
  </w:style>
  <w:style w:type="paragraph" w:customStyle="1" w:styleId="CpContactDetails">
    <w:name w:val="Cp Contact Details"/>
    <w:basedOn w:val="Normal"/>
    <w:qFormat/>
    <w:rsid w:val="00501F07"/>
    <w:pPr>
      <w:spacing w:before="0" w:after="0" w:line="250" w:lineRule="exact"/>
    </w:pPr>
    <w:rPr>
      <w:color w:val="FFFEFF"/>
    </w:rPr>
  </w:style>
  <w:style w:type="paragraph" w:customStyle="1" w:styleId="LetterHeading1">
    <w:name w:val="Letter Heading 1"/>
    <w:basedOn w:val="BodyText"/>
    <w:next w:val="BodyText"/>
    <w:qFormat/>
    <w:rsid w:val="00057123"/>
    <w:rPr>
      <w:b/>
      <w:color w:val="000100"/>
    </w:rPr>
  </w:style>
  <w:style w:type="paragraph" w:customStyle="1" w:styleId="LetterDate">
    <w:name w:val="LetterDate"/>
    <w:basedOn w:val="Normal-nospace"/>
    <w:next w:val="LetterRef"/>
    <w:qFormat/>
    <w:rsid w:val="00DF3BD9"/>
    <w:pPr>
      <w:spacing w:before="600" w:line="280" w:lineRule="exact"/>
    </w:pPr>
  </w:style>
  <w:style w:type="paragraph" w:customStyle="1" w:styleId="LetterRef">
    <w:name w:val="LetterRef"/>
    <w:basedOn w:val="Normal-nospace"/>
    <w:next w:val="LetterName"/>
    <w:qFormat/>
    <w:rsid w:val="00DF3BD9"/>
    <w:pPr>
      <w:spacing w:before="40" w:after="600"/>
    </w:pPr>
  </w:style>
  <w:style w:type="paragraph" w:customStyle="1" w:styleId="LetterName">
    <w:name w:val="LetterName"/>
    <w:basedOn w:val="Normal-nospace"/>
    <w:next w:val="LetterTitle"/>
    <w:qFormat/>
    <w:rsid w:val="00DF3BD9"/>
    <w:pPr>
      <w:spacing w:line="280" w:lineRule="exact"/>
    </w:pPr>
  </w:style>
  <w:style w:type="paragraph" w:customStyle="1" w:styleId="LetterTitle">
    <w:name w:val="LetterTitle"/>
    <w:basedOn w:val="Normal-nospace"/>
    <w:next w:val="LetterCompany"/>
    <w:qFormat/>
    <w:rsid w:val="00DF3BD9"/>
    <w:pPr>
      <w:spacing w:line="280" w:lineRule="exact"/>
    </w:pPr>
  </w:style>
  <w:style w:type="paragraph" w:customStyle="1" w:styleId="LetterCompany">
    <w:name w:val="LetterCompany"/>
    <w:basedOn w:val="Normal-nospace"/>
    <w:next w:val="LetterAddress"/>
    <w:qFormat/>
    <w:rsid w:val="00DF3BD9"/>
    <w:pPr>
      <w:spacing w:line="280" w:lineRule="exact"/>
    </w:pPr>
  </w:style>
  <w:style w:type="paragraph" w:customStyle="1" w:styleId="LetterAddress">
    <w:name w:val="LetterAddress"/>
    <w:basedOn w:val="Normal-nospace"/>
    <w:next w:val="LetterCityStatePostcode"/>
    <w:qFormat/>
    <w:rsid w:val="00DF3BD9"/>
    <w:pPr>
      <w:spacing w:line="280" w:lineRule="exact"/>
    </w:pPr>
  </w:style>
  <w:style w:type="paragraph" w:customStyle="1" w:styleId="LetterCityStatePostcode">
    <w:name w:val="LetterCityStatePostcode"/>
    <w:basedOn w:val="Normal-nospace"/>
    <w:next w:val="LetterSubject"/>
    <w:qFormat/>
    <w:rsid w:val="00DF3BD9"/>
    <w:pPr>
      <w:spacing w:line="280" w:lineRule="exact"/>
    </w:pPr>
  </w:style>
  <w:style w:type="paragraph" w:customStyle="1" w:styleId="LetterSubject">
    <w:name w:val="LetterSubject"/>
    <w:basedOn w:val="Normal-nospace"/>
    <w:next w:val="BodyText"/>
    <w:qFormat/>
    <w:rsid w:val="00DF3BD9"/>
    <w:pPr>
      <w:spacing w:before="400" w:after="200" w:line="260" w:lineRule="exact"/>
    </w:pPr>
    <w:rPr>
      <w:b/>
      <w:sz w:val="24"/>
    </w:rPr>
  </w:style>
  <w:style w:type="paragraph" w:customStyle="1" w:styleId="SignatureBlock">
    <w:name w:val="Signature Block"/>
    <w:basedOn w:val="Normal-nospace"/>
    <w:qFormat/>
    <w:rsid w:val="00DF3BD9"/>
    <w:pPr>
      <w:keepNext/>
      <w:keepLines/>
      <w:spacing w:line="240" w:lineRule="auto"/>
    </w:pPr>
  </w:style>
  <w:style w:type="paragraph" w:customStyle="1" w:styleId="StationeryConfidentiality">
    <w:name w:val="Stationery Confidentiality"/>
    <w:basedOn w:val="Normal-nospace"/>
    <w:qFormat/>
    <w:rsid w:val="00FD10DC"/>
    <w:pPr>
      <w:spacing w:before="120" w:after="120" w:line="280" w:lineRule="exact"/>
    </w:pPr>
    <w:rPr>
      <w:i/>
    </w:rPr>
  </w:style>
  <w:style w:type="paragraph" w:customStyle="1" w:styleId="StationeryContact">
    <w:name w:val="StationeryContact"/>
    <w:basedOn w:val="Normal-nospace"/>
    <w:qFormat/>
    <w:rsid w:val="00FD10DC"/>
    <w:pPr>
      <w:spacing w:line="240" w:lineRule="auto"/>
    </w:pPr>
  </w:style>
  <w:style w:type="paragraph" w:customStyle="1" w:styleId="StationeryType">
    <w:name w:val="StationeryType"/>
    <w:basedOn w:val="Normal-nospace"/>
    <w:qFormat/>
    <w:rsid w:val="00FD10DC"/>
    <w:pPr>
      <w:spacing w:before="90" w:after="84" w:line="240" w:lineRule="auto"/>
    </w:pPr>
    <w:rPr>
      <w:b/>
      <w:color w:val="FFFEFF"/>
      <w:sz w:val="24"/>
    </w:rPr>
  </w:style>
  <w:style w:type="paragraph" w:customStyle="1" w:styleId="StationeryLabel">
    <w:name w:val="StationeryLabel"/>
    <w:basedOn w:val="Normal-nospace"/>
    <w:qFormat/>
    <w:rsid w:val="00FD10DC"/>
    <w:pPr>
      <w:spacing w:line="240" w:lineRule="auto"/>
    </w:pPr>
    <w:rPr>
      <w:b/>
      <w:spacing w:val="8"/>
    </w:rPr>
  </w:style>
  <w:style w:type="paragraph" w:customStyle="1" w:styleId="StationeryRefMemo">
    <w:name w:val="StationeryRef_Memo"/>
    <w:basedOn w:val="StationeryContact"/>
    <w:qFormat/>
    <w:rsid w:val="004552DF"/>
  </w:style>
  <w:style w:type="paragraph" w:customStyle="1" w:styleId="FooterLetter">
    <w:name w:val="Footer (Letter)"/>
    <w:basedOn w:val="Normal"/>
    <w:qFormat/>
    <w:rsid w:val="00A85EB6"/>
    <w:pPr>
      <w:spacing w:before="26" w:after="0" w:line="240" w:lineRule="auto"/>
    </w:pPr>
    <w:rPr>
      <w:rFonts w:cstheme="minorBidi"/>
      <w:color w:val="000100"/>
      <w:sz w:val="16"/>
    </w:rPr>
  </w:style>
  <w:style w:type="paragraph" w:customStyle="1" w:styleId="FooterLetter-Contact">
    <w:name w:val="Footer (Letter-Contact)"/>
    <w:basedOn w:val="FooterLetter"/>
    <w:qFormat/>
    <w:rsid w:val="001D42B2"/>
    <w:pPr>
      <w:spacing w:before="20" w:after="20"/>
      <w:jc w:val="right"/>
    </w:pPr>
    <w:rPr>
      <w:color w:val="6C3E99"/>
    </w:rPr>
  </w:style>
  <w:style w:type="paragraph" w:customStyle="1" w:styleId="FooterText0">
    <w:name w:val="Footer (Text)"/>
    <w:basedOn w:val="Footer"/>
    <w:qFormat/>
    <w:rsid w:val="00A85EB6"/>
    <w:pPr>
      <w:tabs>
        <w:tab w:val="clear" w:pos="4513"/>
        <w:tab w:val="clear" w:pos="9026"/>
        <w:tab w:val="right" w:pos="9360"/>
      </w:tabs>
      <w:jc w:val="right"/>
    </w:pPr>
    <w:rPr>
      <w:rFonts w:eastAsia="Yu Gothic Medium" w:cstheme="minorBidi"/>
      <w:spacing w:val="6"/>
    </w:rPr>
  </w:style>
  <w:style w:type="paragraph" w:customStyle="1" w:styleId="TOCGeneral">
    <w:name w:val="TOC General"/>
    <w:basedOn w:val="Normal"/>
    <w:qFormat/>
    <w:rsid w:val="007A1923"/>
    <w:pPr>
      <w:spacing w:before="0" w:after="0" w:line="240" w:lineRule="auto"/>
    </w:pPr>
    <w:rPr>
      <w:rFonts w:cstheme="minorBidi"/>
      <w:vanish/>
      <w:color w:val="000100"/>
      <w:sz w:val="8"/>
    </w:rPr>
  </w:style>
  <w:style w:type="numbering" w:customStyle="1" w:styleId="TOCList">
    <w:name w:val="TOC List"/>
    <w:uiPriority w:val="99"/>
    <w:rsid w:val="00C62B89"/>
    <w:pPr>
      <w:numPr>
        <w:numId w:val="15"/>
      </w:numPr>
    </w:pPr>
  </w:style>
  <w:style w:type="paragraph" w:customStyle="1" w:styleId="FooterLetter-Logo">
    <w:name w:val="Footer (Letter-Logo)"/>
    <w:basedOn w:val="FooterLetter-Contact"/>
    <w:qFormat/>
    <w:rsid w:val="00A95E46"/>
    <w:rPr>
      <w:lang w:val="en-US"/>
    </w:rPr>
  </w:style>
  <w:style w:type="paragraph" w:customStyle="1" w:styleId="Headingglossary">
    <w:name w:val="Heading (glossary)"/>
    <w:basedOn w:val="Normal-nospace"/>
    <w:qFormat/>
    <w:rsid w:val="00E47102"/>
    <w:pPr>
      <w:spacing w:after="200" w:line="192" w:lineRule="auto"/>
      <w:ind w:left="250"/>
    </w:pPr>
    <w:rPr>
      <w:rFonts w:ascii="Yu Gothic Medium" w:hAnsi="Yu Gothic Medium"/>
      <w:color w:val="FFFEFF"/>
      <w:sz w:val="52"/>
    </w:rPr>
  </w:style>
  <w:style w:type="character" w:customStyle="1" w:styleId="CaptionLabel">
    <w:name w:val="Caption Label"/>
    <w:basedOn w:val="DefaultParagraphFont"/>
    <w:uiPriority w:val="1"/>
    <w:qFormat/>
    <w:rsid w:val="00C80AE5"/>
    <w:rPr>
      <w:b/>
      <w:color w:val="000100"/>
    </w:rPr>
  </w:style>
  <w:style w:type="paragraph" w:customStyle="1" w:styleId="BoxListBullet">
    <w:name w:val="Box List Bullet"/>
    <w:basedOn w:val="Normal"/>
    <w:qFormat/>
    <w:rsid w:val="00F1536E"/>
    <w:pPr>
      <w:keepNext/>
      <w:numPr>
        <w:numId w:val="38"/>
      </w:numPr>
      <w:spacing w:before="60" w:after="60" w:line="240" w:lineRule="atLeast"/>
    </w:pPr>
    <w:rPr>
      <w:rFonts w:cstheme="minorBidi"/>
      <w:color w:val="000100"/>
      <w:sz w:val="20"/>
    </w:rPr>
  </w:style>
  <w:style w:type="paragraph" w:customStyle="1" w:styleId="BoxListBullet2">
    <w:name w:val="Box List Bullet 2"/>
    <w:basedOn w:val="Normal"/>
    <w:qFormat/>
    <w:rsid w:val="00F1536E"/>
    <w:pPr>
      <w:keepNext/>
      <w:numPr>
        <w:ilvl w:val="1"/>
        <w:numId w:val="38"/>
      </w:numPr>
      <w:spacing w:before="0" w:after="60" w:line="240" w:lineRule="atLeast"/>
    </w:pPr>
    <w:rPr>
      <w:rFonts w:cstheme="minorBidi"/>
      <w:color w:val="000100"/>
      <w:sz w:val="20"/>
    </w:rPr>
  </w:style>
  <w:style w:type="paragraph" w:customStyle="1" w:styleId="BoxListBullet3">
    <w:name w:val="Box List Bullet 3"/>
    <w:basedOn w:val="Normal"/>
    <w:qFormat/>
    <w:rsid w:val="00F1536E"/>
    <w:pPr>
      <w:keepNext/>
      <w:numPr>
        <w:ilvl w:val="2"/>
        <w:numId w:val="38"/>
      </w:numPr>
      <w:spacing w:before="0" w:after="60" w:line="240" w:lineRule="atLeast"/>
    </w:pPr>
    <w:rPr>
      <w:rFonts w:cstheme="minorBidi"/>
      <w:color w:val="000100"/>
      <w:sz w:val="20"/>
    </w:rPr>
  </w:style>
  <w:style w:type="numbering" w:customStyle="1" w:styleId="aaclstStyleBoxListBullets">
    <w:name w:val="aac_lstStyle_BoxListBullets"/>
    <w:uiPriority w:val="99"/>
    <w:rsid w:val="00F1536E"/>
    <w:pPr>
      <w:numPr>
        <w:numId w:val="17"/>
      </w:numPr>
    </w:pPr>
  </w:style>
  <w:style w:type="paragraph" w:customStyle="1" w:styleId="BoxListNumber">
    <w:name w:val="Box List Number"/>
    <w:basedOn w:val="Normal"/>
    <w:qFormat/>
    <w:rsid w:val="00741A7B"/>
    <w:pPr>
      <w:keepNext/>
      <w:numPr>
        <w:numId w:val="27"/>
      </w:numPr>
      <w:spacing w:before="60" w:after="60" w:line="240" w:lineRule="atLeast"/>
    </w:pPr>
    <w:rPr>
      <w:rFonts w:cstheme="minorBidi"/>
      <w:color w:val="000100"/>
      <w:sz w:val="20"/>
    </w:rPr>
  </w:style>
  <w:style w:type="paragraph" w:customStyle="1" w:styleId="BoxText">
    <w:name w:val="Box Text"/>
    <w:basedOn w:val="Normal"/>
    <w:qFormat/>
    <w:rsid w:val="00B055CA"/>
    <w:pPr>
      <w:keepNext/>
      <w:spacing w:before="60" w:after="60" w:line="240" w:lineRule="atLeast"/>
      <w:ind w:left="252"/>
    </w:pPr>
    <w:rPr>
      <w:rFonts w:cstheme="minorBidi"/>
      <w:color w:val="000100"/>
      <w:sz w:val="20"/>
    </w:rPr>
  </w:style>
  <w:style w:type="paragraph" w:customStyle="1" w:styleId="BoxListNumber2">
    <w:name w:val="Box List Number 2"/>
    <w:basedOn w:val="BoxText"/>
    <w:qFormat/>
    <w:rsid w:val="00741A7B"/>
    <w:pPr>
      <w:numPr>
        <w:ilvl w:val="1"/>
        <w:numId w:val="27"/>
      </w:numPr>
      <w:spacing w:before="0"/>
    </w:pPr>
  </w:style>
  <w:style w:type="paragraph" w:customStyle="1" w:styleId="BoxListNumber3">
    <w:name w:val="Box List Number 3"/>
    <w:basedOn w:val="BoxText"/>
    <w:qFormat/>
    <w:rsid w:val="00741A7B"/>
    <w:pPr>
      <w:numPr>
        <w:ilvl w:val="2"/>
        <w:numId w:val="27"/>
      </w:numPr>
      <w:spacing w:before="0"/>
    </w:pPr>
  </w:style>
  <w:style w:type="paragraph" w:customStyle="1" w:styleId="BoxQuote">
    <w:name w:val="Box Quote"/>
    <w:basedOn w:val="BoxText"/>
    <w:qFormat/>
    <w:rsid w:val="00F1536E"/>
    <w:pPr>
      <w:numPr>
        <w:ilvl w:val="3"/>
        <w:numId w:val="38"/>
      </w:numPr>
    </w:pPr>
    <w:rPr>
      <w:i/>
      <w:color w:val="595959" w:themeColor="text1" w:themeTint="A6"/>
      <w:sz w:val="18"/>
    </w:rPr>
  </w:style>
  <w:style w:type="paragraph" w:customStyle="1" w:styleId="BoxQuoteListBullet">
    <w:name w:val="Box Quote List Bullet"/>
    <w:basedOn w:val="Normal-nospace"/>
    <w:qFormat/>
    <w:rsid w:val="00F1536E"/>
    <w:pPr>
      <w:numPr>
        <w:ilvl w:val="4"/>
        <w:numId w:val="38"/>
      </w:numPr>
      <w:spacing w:before="60" w:after="60" w:line="240" w:lineRule="atLeast"/>
      <w:ind w:right="400"/>
    </w:pPr>
    <w:rPr>
      <w:rFonts w:cstheme="minorBidi"/>
      <w:i/>
      <w:color w:val="404040" w:themeColor="text1" w:themeTint="BF"/>
      <w:sz w:val="18"/>
    </w:rPr>
  </w:style>
  <w:style w:type="paragraph" w:customStyle="1" w:styleId="BoxQuoteSource">
    <w:name w:val="Box Quote Source"/>
    <w:basedOn w:val="Normal-nospace"/>
    <w:qFormat/>
    <w:rsid w:val="00B055CA"/>
    <w:pPr>
      <w:spacing w:before="90" w:line="240" w:lineRule="auto"/>
      <w:ind w:right="400"/>
      <w:jc w:val="right"/>
    </w:pPr>
    <w:rPr>
      <w:rFonts w:cstheme="minorBidi"/>
      <w:i/>
      <w:color w:val="595959" w:themeColor="text1" w:themeTint="A6"/>
      <w:sz w:val="18"/>
    </w:rPr>
  </w:style>
  <w:style w:type="paragraph" w:customStyle="1" w:styleId="BoxSideHeading1">
    <w:name w:val="Box Side Heading 1"/>
    <w:basedOn w:val="BoxText"/>
    <w:next w:val="BoxText"/>
    <w:qFormat/>
    <w:rsid w:val="00B055CA"/>
    <w:pPr>
      <w:spacing w:before="0"/>
    </w:pPr>
    <w:rPr>
      <w:b/>
      <w:i/>
    </w:rPr>
  </w:style>
  <w:style w:type="paragraph" w:customStyle="1" w:styleId="BoxSideHeading2">
    <w:name w:val="Box Side Heading 2"/>
    <w:basedOn w:val="BoxText"/>
    <w:next w:val="BoxText"/>
    <w:qFormat/>
    <w:rsid w:val="00B055CA"/>
    <w:pPr>
      <w:spacing w:before="0"/>
    </w:pPr>
    <w:rPr>
      <w:i/>
    </w:rPr>
  </w:style>
  <w:style w:type="paragraph" w:customStyle="1" w:styleId="BoxTextBoldItalic">
    <w:name w:val="Box Text (Bold Italic)"/>
    <w:basedOn w:val="Normal"/>
    <w:qFormat/>
    <w:rsid w:val="00741A7B"/>
    <w:pPr>
      <w:spacing w:after="61" w:line="240" w:lineRule="atLeast"/>
      <w:ind w:left="252"/>
    </w:pPr>
    <w:rPr>
      <w:rFonts w:cstheme="minorBidi"/>
      <w:b/>
      <w:i/>
      <w:color w:val="000100"/>
      <w:sz w:val="20"/>
    </w:rPr>
  </w:style>
  <w:style w:type="paragraph" w:customStyle="1" w:styleId="BoxTextHeading">
    <w:name w:val="Box Text Heading"/>
    <w:basedOn w:val="Normal"/>
    <w:qFormat/>
    <w:rsid w:val="00B055CA"/>
    <w:pPr>
      <w:keepNext/>
      <w:spacing w:after="61" w:line="240" w:lineRule="atLeast"/>
      <w:ind w:left="442"/>
    </w:pPr>
    <w:rPr>
      <w:rFonts w:cstheme="minorBidi"/>
      <w:b/>
      <w:color w:val="000100"/>
      <w:sz w:val="20"/>
    </w:rPr>
  </w:style>
  <w:style w:type="paragraph" w:customStyle="1" w:styleId="Figure">
    <w:name w:val="Figure"/>
    <w:basedOn w:val="Normal-nospace"/>
    <w:qFormat/>
    <w:rsid w:val="00A86812"/>
    <w:pPr>
      <w:keepNext/>
      <w:spacing w:line="240" w:lineRule="auto"/>
    </w:pPr>
    <w:rPr>
      <w:sz w:val="16"/>
    </w:rPr>
  </w:style>
  <w:style w:type="numbering" w:customStyle="1" w:styleId="aacTableListBullets">
    <w:name w:val="aac Table List Bullets"/>
    <w:uiPriority w:val="99"/>
    <w:rsid w:val="00CC4900"/>
    <w:pPr>
      <w:numPr>
        <w:numId w:val="18"/>
      </w:numPr>
    </w:pPr>
  </w:style>
  <w:style w:type="numbering" w:customStyle="1" w:styleId="aacTableListBulletssmall">
    <w:name w:val="aac Table List Bullets (small)"/>
    <w:uiPriority w:val="99"/>
    <w:rsid w:val="00CC4900"/>
    <w:pPr>
      <w:numPr>
        <w:numId w:val="19"/>
      </w:numPr>
    </w:pPr>
  </w:style>
  <w:style w:type="numbering" w:customStyle="1" w:styleId="aacTableListNumbers">
    <w:name w:val="aac Table List Numbers"/>
    <w:uiPriority w:val="99"/>
    <w:rsid w:val="00CC4900"/>
    <w:pPr>
      <w:numPr>
        <w:numId w:val="20"/>
      </w:numPr>
    </w:pPr>
  </w:style>
  <w:style w:type="numbering" w:customStyle="1" w:styleId="aacTableListNumberssmall">
    <w:name w:val="aac Table List Numbers (small)"/>
    <w:uiPriority w:val="99"/>
    <w:rsid w:val="00CC4900"/>
    <w:pPr>
      <w:numPr>
        <w:numId w:val="21"/>
      </w:numPr>
    </w:pPr>
  </w:style>
  <w:style w:type="paragraph" w:customStyle="1" w:styleId="Tablelistbullet">
    <w:name w:val="Table list bullet"/>
    <w:basedOn w:val="Tabletext"/>
    <w:qFormat/>
    <w:rsid w:val="00590F1C"/>
    <w:pPr>
      <w:numPr>
        <w:numId w:val="22"/>
      </w:numPr>
      <w:spacing w:before="40" w:after="40"/>
      <w:ind w:left="278" w:hanging="278"/>
    </w:pPr>
    <w:rPr>
      <w:rFonts w:cstheme="minorBidi"/>
    </w:rPr>
  </w:style>
  <w:style w:type="paragraph" w:customStyle="1" w:styleId="Tablelistbulletsmall">
    <w:name w:val="Table list bullet (small)"/>
    <w:basedOn w:val="Tabletextsmall"/>
    <w:qFormat/>
    <w:rsid w:val="00102134"/>
    <w:pPr>
      <w:numPr>
        <w:numId w:val="23"/>
      </w:numPr>
      <w:spacing w:after="40"/>
      <w:ind w:right="85"/>
    </w:pPr>
    <w:rPr>
      <w:rFonts w:cstheme="minorBidi"/>
    </w:rPr>
  </w:style>
  <w:style w:type="paragraph" w:customStyle="1" w:styleId="Tablelistbullet2">
    <w:name w:val="Table list bullet 2"/>
    <w:basedOn w:val="Tablelistbullet"/>
    <w:qFormat/>
    <w:rsid w:val="00DF1849"/>
    <w:pPr>
      <w:numPr>
        <w:ilvl w:val="1"/>
      </w:numPr>
      <w:spacing w:before="0"/>
      <w:ind w:left="516" w:hanging="238"/>
    </w:pPr>
  </w:style>
  <w:style w:type="paragraph" w:customStyle="1" w:styleId="Tablelistbullet2small">
    <w:name w:val="Table list bullet 2 (small)"/>
    <w:basedOn w:val="Tabletextsmall"/>
    <w:qFormat/>
    <w:rsid w:val="00102134"/>
    <w:pPr>
      <w:numPr>
        <w:ilvl w:val="1"/>
        <w:numId w:val="23"/>
      </w:numPr>
      <w:spacing w:before="0" w:after="40"/>
      <w:ind w:right="85"/>
    </w:pPr>
    <w:rPr>
      <w:rFonts w:cstheme="minorBidi"/>
    </w:rPr>
  </w:style>
  <w:style w:type="paragraph" w:customStyle="1" w:styleId="Tablelistbullet3">
    <w:name w:val="Table list bullet 3"/>
    <w:basedOn w:val="Tabletext"/>
    <w:qFormat/>
    <w:rsid w:val="00590F1C"/>
    <w:pPr>
      <w:numPr>
        <w:ilvl w:val="2"/>
        <w:numId w:val="22"/>
      </w:numPr>
      <w:spacing w:before="0" w:after="40"/>
      <w:ind w:hanging="238"/>
    </w:pPr>
    <w:rPr>
      <w:rFonts w:cstheme="minorBidi"/>
    </w:rPr>
  </w:style>
  <w:style w:type="paragraph" w:customStyle="1" w:styleId="Tablelistbullet3small">
    <w:name w:val="Table list bullet 3 (small)"/>
    <w:basedOn w:val="Tabletextsmall"/>
    <w:qFormat/>
    <w:rsid w:val="00102134"/>
    <w:pPr>
      <w:numPr>
        <w:ilvl w:val="2"/>
        <w:numId w:val="23"/>
      </w:numPr>
      <w:spacing w:before="0" w:after="40"/>
      <w:ind w:right="85"/>
    </w:pPr>
    <w:rPr>
      <w:rFonts w:cstheme="minorBidi"/>
    </w:rPr>
  </w:style>
  <w:style w:type="paragraph" w:customStyle="1" w:styleId="Tablelistnumber">
    <w:name w:val="Table list number"/>
    <w:basedOn w:val="Tabletext"/>
    <w:qFormat/>
    <w:rsid w:val="00590F1C"/>
    <w:pPr>
      <w:numPr>
        <w:numId w:val="24"/>
      </w:numPr>
      <w:spacing w:before="40" w:after="40"/>
    </w:pPr>
    <w:rPr>
      <w:rFonts w:cstheme="minorBidi"/>
    </w:rPr>
  </w:style>
  <w:style w:type="paragraph" w:customStyle="1" w:styleId="Tablelistnumbersmall">
    <w:name w:val="Table list number (small)"/>
    <w:basedOn w:val="Tabletextsmall"/>
    <w:qFormat/>
    <w:rsid w:val="00102134"/>
    <w:pPr>
      <w:numPr>
        <w:numId w:val="25"/>
      </w:numPr>
      <w:spacing w:after="40"/>
      <w:ind w:right="85"/>
    </w:pPr>
    <w:rPr>
      <w:rFonts w:cstheme="minorBidi"/>
    </w:rPr>
  </w:style>
  <w:style w:type="paragraph" w:customStyle="1" w:styleId="Tablelistnumber2">
    <w:name w:val="Table list number 2"/>
    <w:basedOn w:val="Tabletext"/>
    <w:qFormat/>
    <w:rsid w:val="00DF1849"/>
    <w:pPr>
      <w:numPr>
        <w:ilvl w:val="1"/>
        <w:numId w:val="24"/>
      </w:numPr>
      <w:spacing w:before="0" w:after="40"/>
    </w:pPr>
    <w:rPr>
      <w:rFonts w:cstheme="minorBidi"/>
    </w:rPr>
  </w:style>
  <w:style w:type="paragraph" w:customStyle="1" w:styleId="Tablelistnumber2small">
    <w:name w:val="Table list number 2 (small)"/>
    <w:basedOn w:val="Tabletextsmall"/>
    <w:qFormat/>
    <w:rsid w:val="00102134"/>
    <w:pPr>
      <w:numPr>
        <w:ilvl w:val="1"/>
        <w:numId w:val="25"/>
      </w:numPr>
      <w:spacing w:before="0" w:after="40"/>
      <w:ind w:right="85"/>
    </w:pPr>
    <w:rPr>
      <w:rFonts w:cstheme="minorBidi"/>
    </w:rPr>
  </w:style>
  <w:style w:type="paragraph" w:customStyle="1" w:styleId="Tablelistnumber3">
    <w:name w:val="Table list number 3"/>
    <w:basedOn w:val="Tabletext"/>
    <w:qFormat/>
    <w:rsid w:val="00590F1C"/>
    <w:pPr>
      <w:numPr>
        <w:ilvl w:val="2"/>
        <w:numId w:val="24"/>
      </w:numPr>
      <w:spacing w:before="0" w:after="40"/>
    </w:pPr>
    <w:rPr>
      <w:rFonts w:cstheme="minorBidi"/>
    </w:rPr>
  </w:style>
  <w:style w:type="paragraph" w:customStyle="1" w:styleId="Tablelistnumber3small">
    <w:name w:val="Table list number 3 (small)"/>
    <w:basedOn w:val="Tabletextsmall"/>
    <w:qFormat/>
    <w:rsid w:val="00102134"/>
    <w:pPr>
      <w:numPr>
        <w:ilvl w:val="2"/>
        <w:numId w:val="25"/>
      </w:numPr>
      <w:spacing w:before="0" w:after="40"/>
      <w:ind w:right="85"/>
    </w:pPr>
    <w:rPr>
      <w:rFonts w:cstheme="minorBidi"/>
    </w:rPr>
  </w:style>
  <w:style w:type="numbering" w:customStyle="1" w:styleId="aaclstStyleBoxListNumbers">
    <w:name w:val="aac_lstStyle_BoxListNumbers"/>
    <w:uiPriority w:val="99"/>
    <w:rsid w:val="00CC4900"/>
    <w:pPr>
      <w:numPr>
        <w:numId w:val="26"/>
      </w:numPr>
    </w:pPr>
  </w:style>
  <w:style w:type="paragraph" w:customStyle="1" w:styleId="Tablesideheading1">
    <w:name w:val="Table side heading 1"/>
    <w:basedOn w:val="Tabletext"/>
    <w:next w:val="Tabletext"/>
    <w:qFormat/>
    <w:rsid w:val="00CC4900"/>
    <w:rPr>
      <w:rFonts w:cstheme="minorBidi"/>
      <w:b/>
      <w:spacing w:val="3"/>
    </w:rPr>
  </w:style>
  <w:style w:type="paragraph" w:customStyle="1" w:styleId="Tablesideheading1small">
    <w:name w:val="Table side heading 1 (small)"/>
    <w:basedOn w:val="Tablesideheading1"/>
    <w:qFormat/>
    <w:rsid w:val="00CC4900"/>
    <w:pPr>
      <w:spacing w:before="40" w:line="180" w:lineRule="exact"/>
    </w:pPr>
    <w:rPr>
      <w:sz w:val="16"/>
    </w:rPr>
  </w:style>
  <w:style w:type="paragraph" w:customStyle="1" w:styleId="Tablesideheading2">
    <w:name w:val="Table side heading 2"/>
    <w:basedOn w:val="Tabletext"/>
    <w:qFormat/>
    <w:rsid w:val="00CC4900"/>
    <w:rPr>
      <w:rFonts w:cstheme="minorBidi"/>
      <w:b/>
      <w:i/>
    </w:rPr>
  </w:style>
  <w:style w:type="paragraph" w:customStyle="1" w:styleId="Tablesideheading2small">
    <w:name w:val="Table side heading 2 (small)"/>
    <w:basedOn w:val="Tablesideheading2"/>
    <w:qFormat/>
    <w:rsid w:val="00CC4900"/>
    <w:pPr>
      <w:spacing w:line="180" w:lineRule="exact"/>
    </w:pPr>
    <w:rPr>
      <w:sz w:val="16"/>
    </w:rPr>
  </w:style>
  <w:style w:type="paragraph" w:customStyle="1" w:styleId="Note">
    <w:name w:val="Note"/>
    <w:rsid w:val="00AD1794"/>
    <w:pPr>
      <w:keepNext/>
      <w:keepLines/>
      <w:spacing w:before="40" w:after="0" w:line="180" w:lineRule="exact"/>
    </w:pPr>
    <w:rPr>
      <w:rFonts w:ascii="Arial Narrow" w:eastAsia="Times New Roman" w:hAnsi="Arial Narrow" w:cs="Times New Roman"/>
      <w:sz w:val="16"/>
      <w:szCs w:val="24"/>
    </w:rPr>
  </w:style>
  <w:style w:type="paragraph" w:customStyle="1" w:styleId="SideNoteItalicRight">
    <w:name w:val="SideNote (Italic Right)"/>
    <w:basedOn w:val="Normal-nospace"/>
    <w:qFormat/>
    <w:rsid w:val="001F6F1F"/>
    <w:pPr>
      <w:spacing w:before="64" w:line="240" w:lineRule="atLeast"/>
      <w:contextualSpacing/>
      <w:jc w:val="right"/>
    </w:pPr>
    <w:rPr>
      <w:rFonts w:cstheme="minorBidi"/>
      <w:b/>
      <w:i/>
      <w:color w:val="140134"/>
      <w:sz w:val="28"/>
    </w:rPr>
  </w:style>
  <w:style w:type="paragraph" w:customStyle="1" w:styleId="SideNoteItalicLeft">
    <w:name w:val="SideNote (Italic Left)"/>
    <w:basedOn w:val="SideNoteItalicRight"/>
    <w:qFormat/>
    <w:rsid w:val="003649DE"/>
    <w:pPr>
      <w:jc w:val="left"/>
    </w:pPr>
  </w:style>
  <w:style w:type="paragraph" w:customStyle="1" w:styleId="SideNoteRegularLeft">
    <w:name w:val="SideNote (Regular Left)"/>
    <w:basedOn w:val="Normal-nospace"/>
    <w:qFormat/>
    <w:rsid w:val="001F6F1F"/>
    <w:pPr>
      <w:spacing w:before="64" w:line="240" w:lineRule="atLeast"/>
      <w:contextualSpacing/>
    </w:pPr>
    <w:rPr>
      <w:b/>
      <w:color w:val="140034" w:themeColor="background2"/>
      <w:sz w:val="28"/>
    </w:rPr>
  </w:style>
  <w:style w:type="paragraph" w:customStyle="1" w:styleId="SideNoteRegularRight">
    <w:name w:val="SideNote (Regular Right)"/>
    <w:basedOn w:val="SideNoteRegularLeft"/>
    <w:qFormat/>
    <w:rsid w:val="003649DE"/>
    <w:pPr>
      <w:jc w:val="right"/>
    </w:pPr>
  </w:style>
  <w:style w:type="paragraph" w:customStyle="1" w:styleId="SideNoteBullet">
    <w:name w:val="SideNote Bullet"/>
    <w:basedOn w:val="SideNoteRegularLeft"/>
    <w:rsid w:val="003649DE"/>
    <w:pPr>
      <w:numPr>
        <w:ilvl w:val="1"/>
        <w:numId w:val="28"/>
      </w:numPr>
      <w:spacing w:before="0" w:after="64"/>
    </w:pPr>
  </w:style>
  <w:style w:type="paragraph" w:customStyle="1" w:styleId="SideNoteDash">
    <w:name w:val="SideNote Dash"/>
    <w:basedOn w:val="SideNoteRegularLeft"/>
    <w:qFormat/>
    <w:rsid w:val="003649DE"/>
    <w:pPr>
      <w:numPr>
        <w:numId w:val="28"/>
      </w:numPr>
    </w:pPr>
  </w:style>
  <w:style w:type="paragraph" w:customStyle="1" w:styleId="PullOutTitle">
    <w:name w:val="PullOut Title"/>
    <w:basedOn w:val="Normal-nospace"/>
    <w:qFormat/>
    <w:rsid w:val="003649DE"/>
    <w:pPr>
      <w:spacing w:before="90"/>
    </w:pPr>
    <w:rPr>
      <w:rFonts w:cstheme="minorBidi"/>
      <w:b/>
    </w:rPr>
  </w:style>
  <w:style w:type="character" w:customStyle="1" w:styleId="SourceChar">
    <w:name w:val="Source Char"/>
    <w:basedOn w:val="DefaultParagraphFont"/>
    <w:link w:val="Source"/>
    <w:locked/>
    <w:rsid w:val="00851066"/>
    <w:rPr>
      <w:rFonts w:ascii="Arial Narrow" w:hAnsi="Arial Narrow" w:cs="Arial"/>
      <w:i/>
      <w:color w:val="000100"/>
      <w:sz w:val="16"/>
    </w:rPr>
  </w:style>
  <w:style w:type="table" w:customStyle="1" w:styleId="aacTableBanded-Odd">
    <w:name w:val="aac Table (Banded-Odd)"/>
    <w:basedOn w:val="TableNormal"/>
    <w:uiPriority w:val="99"/>
    <w:rsid w:val="007B4B86"/>
    <w:pPr>
      <w:spacing w:before="60" w:after="0" w:line="240" w:lineRule="atLeast"/>
      <w:ind w:right="119"/>
    </w:pPr>
    <w:rPr>
      <w:rFonts w:ascii="Arial Narrow" w:hAnsi="Arial Narrow"/>
    </w:rPr>
    <w:tblPr>
      <w:tblStyleRowBandSize w:val="1"/>
      <w:tblBorders>
        <w:bottom w:val="single" w:sz="4" w:space="0" w:color="auto"/>
        <w:insideH w:val="single" w:sz="4" w:space="0" w:color="auto"/>
      </w:tblBorders>
      <w:tblCellMar>
        <w:left w:w="0" w:type="dxa"/>
        <w:right w:w="0" w:type="dxa"/>
      </w:tblCellMar>
    </w:tblPr>
    <w:tblStylePr w:type="firstRow">
      <w:tblPr/>
      <w:tcPr>
        <w:shd w:val="clear" w:color="auto" w:fill="140134"/>
      </w:tcPr>
    </w:tblStylePr>
    <w:tblStylePr w:type="band1Horz">
      <w:tblPr/>
      <w:tcPr>
        <w:shd w:val="clear" w:color="auto" w:fill="E5E4E5"/>
      </w:tcPr>
    </w:tblStylePr>
  </w:style>
  <w:style w:type="table" w:customStyle="1" w:styleId="aacTableBanded-Even">
    <w:name w:val="aac Table (Banded-Even)"/>
    <w:basedOn w:val="TableNormal"/>
    <w:uiPriority w:val="99"/>
    <w:rsid w:val="002D7D78"/>
    <w:pPr>
      <w:spacing w:after="0" w:line="240" w:lineRule="auto"/>
    </w:pPr>
    <w:rPr>
      <w:rFonts w:ascii="Arial Narrow" w:hAnsi="Arial Narrow"/>
    </w:rPr>
    <w:tblPr>
      <w:tblStyleRowBandSize w:val="1"/>
      <w:tblBorders>
        <w:bottom w:val="single" w:sz="4" w:space="0" w:color="auto"/>
        <w:insideH w:val="single" w:sz="4" w:space="0" w:color="auto"/>
      </w:tblBorders>
      <w:tblCellMar>
        <w:left w:w="0" w:type="dxa"/>
        <w:right w:w="0" w:type="dxa"/>
      </w:tblCellMar>
    </w:tblPr>
    <w:tblStylePr w:type="firstRow">
      <w:tblPr/>
      <w:tcPr>
        <w:shd w:val="clear" w:color="auto" w:fill="140134"/>
      </w:tcPr>
    </w:tblStylePr>
    <w:tblStylePr w:type="band2Horz">
      <w:tblPr/>
      <w:tcPr>
        <w:shd w:val="clear" w:color="auto" w:fill="E5E4E5"/>
      </w:tcPr>
    </w:tblStylePr>
  </w:style>
  <w:style w:type="numbering" w:customStyle="1" w:styleId="aaHeadingnonumberList">
    <w:name w:val="aa Heading (no number) List"/>
    <w:uiPriority w:val="99"/>
    <w:rsid w:val="00BC3457"/>
    <w:pPr>
      <w:numPr>
        <w:numId w:val="29"/>
      </w:numPr>
    </w:pPr>
  </w:style>
  <w:style w:type="paragraph" w:customStyle="1" w:styleId="Heading1AP">
    <w:name w:val="Heading 1 (AP)"/>
    <w:basedOn w:val="Normal-nospace"/>
    <w:next w:val="BodyText"/>
    <w:qFormat/>
    <w:rsid w:val="00874649"/>
    <w:pPr>
      <w:numPr>
        <w:numId w:val="31"/>
      </w:numPr>
      <w:spacing w:after="200" w:line="192" w:lineRule="auto"/>
    </w:pPr>
    <w:rPr>
      <w:rFonts w:ascii="Yu Gothic Medium" w:hAnsi="Yu Gothic Medium"/>
      <w:color w:val="FFFEFF"/>
      <w:sz w:val="52"/>
    </w:rPr>
  </w:style>
  <w:style w:type="paragraph" w:customStyle="1" w:styleId="Heading2AP">
    <w:name w:val="Heading 2 (AP)"/>
    <w:basedOn w:val="Normal-nospace"/>
    <w:next w:val="BodyText"/>
    <w:rsid w:val="00C077D5"/>
    <w:pPr>
      <w:keepNext/>
      <w:spacing w:before="360" w:after="360" w:line="320" w:lineRule="atLeast"/>
    </w:pPr>
    <w:rPr>
      <w:rFonts w:ascii="Arial" w:hAnsi="Arial"/>
      <w:b/>
      <w:color w:val="000000" w:themeColor="text1"/>
      <w:sz w:val="28"/>
    </w:rPr>
  </w:style>
  <w:style w:type="paragraph" w:customStyle="1" w:styleId="Heading3AP">
    <w:name w:val="Heading 3 (AP)"/>
    <w:basedOn w:val="Normal-nospace"/>
    <w:next w:val="BodyText"/>
    <w:qFormat/>
    <w:rsid w:val="00C50FD7"/>
    <w:pPr>
      <w:keepNext/>
      <w:numPr>
        <w:ilvl w:val="2"/>
        <w:numId w:val="31"/>
      </w:numPr>
      <w:pBdr>
        <w:bottom w:val="single" w:sz="4" w:space="0" w:color="000100"/>
      </w:pBdr>
      <w:spacing w:before="240" w:after="160" w:line="240" w:lineRule="atLeast"/>
    </w:pPr>
    <w:rPr>
      <w:b/>
    </w:rPr>
  </w:style>
  <w:style w:type="paragraph" w:customStyle="1" w:styleId="Heading4AP">
    <w:name w:val="Heading 4 (AP)"/>
    <w:basedOn w:val="Normal-nospace"/>
    <w:next w:val="BodyText"/>
    <w:qFormat/>
    <w:rsid w:val="00C50FD7"/>
    <w:pPr>
      <w:keepNext/>
      <w:numPr>
        <w:ilvl w:val="3"/>
        <w:numId w:val="31"/>
      </w:numPr>
      <w:spacing w:before="240" w:after="160" w:line="240" w:lineRule="atLeast"/>
    </w:pPr>
    <w:rPr>
      <w:b/>
    </w:rPr>
  </w:style>
  <w:style w:type="paragraph" w:customStyle="1" w:styleId="Heading5AP">
    <w:name w:val="Heading 5 (AP)"/>
    <w:basedOn w:val="Normal-nospace"/>
    <w:next w:val="BodyText"/>
    <w:qFormat/>
    <w:rsid w:val="00C50FD7"/>
    <w:pPr>
      <w:keepNext/>
      <w:numPr>
        <w:ilvl w:val="4"/>
        <w:numId w:val="31"/>
      </w:numPr>
      <w:spacing w:before="240" w:after="160" w:line="240" w:lineRule="atLeast"/>
    </w:pPr>
    <w:rPr>
      <w:b/>
      <w:i/>
    </w:rPr>
  </w:style>
  <w:style w:type="paragraph" w:customStyle="1" w:styleId="Heading6AP">
    <w:name w:val="Heading 6 (AP)"/>
    <w:basedOn w:val="Normal-nospace"/>
    <w:next w:val="BodyText"/>
    <w:qFormat/>
    <w:rsid w:val="00C50FD7"/>
    <w:pPr>
      <w:keepNext/>
      <w:numPr>
        <w:ilvl w:val="5"/>
        <w:numId w:val="31"/>
      </w:numPr>
      <w:spacing w:before="240" w:after="160" w:line="240" w:lineRule="atLeast"/>
    </w:pPr>
    <w:rPr>
      <w:b/>
      <w:i/>
      <w:color w:val="959495"/>
    </w:rPr>
  </w:style>
  <w:style w:type="numbering" w:customStyle="1" w:styleId="aaclstStyleHeadingApp">
    <w:name w:val="aac_lstStyle_HeadingApp"/>
    <w:uiPriority w:val="99"/>
    <w:rsid w:val="00CA669D"/>
    <w:pPr>
      <w:numPr>
        <w:numId w:val="30"/>
      </w:numPr>
    </w:pPr>
  </w:style>
  <w:style w:type="numbering" w:customStyle="1" w:styleId="aaReportListDash">
    <w:name w:val="aa Report List Dash"/>
    <w:uiPriority w:val="99"/>
    <w:rsid w:val="00315CD5"/>
    <w:pPr>
      <w:numPr>
        <w:numId w:val="32"/>
      </w:numPr>
    </w:pPr>
  </w:style>
  <w:style w:type="paragraph" w:customStyle="1" w:styleId="waterMarkaadraftstat">
    <w:name w:val="waterMark_aa_draft_stat"/>
    <w:rsid w:val="004653A9"/>
    <w:rPr>
      <w:rFonts w:eastAsiaTheme="minorEastAsia" w:cs="Times New Roman"/>
      <w:sz w:val="3276"/>
      <w:szCs w:val="3276"/>
      <w:lang w:val="en-US"/>
    </w:rPr>
  </w:style>
  <w:style w:type="paragraph" w:customStyle="1" w:styleId="waterMarkaaCabinetsec">
    <w:name w:val="waterMark_aa_Cabinet_sec"/>
    <w:rsid w:val="004653A9"/>
    <w:rPr>
      <w:rFonts w:eastAsiaTheme="minorEastAsia" w:cs="Times New Roman"/>
      <w:sz w:val="3276"/>
      <w:szCs w:val="3276"/>
      <w:lang w:val="en-US"/>
    </w:rPr>
  </w:style>
  <w:style w:type="paragraph" w:customStyle="1" w:styleId="waterMarkaaCommercialsec">
    <w:name w:val="waterMark_aa_Commercial_sec"/>
    <w:rsid w:val="004653A9"/>
    <w:rPr>
      <w:rFonts w:eastAsiaTheme="minorEastAsia" w:cs="Times New Roman"/>
      <w:sz w:val="3276"/>
      <w:szCs w:val="3276"/>
      <w:lang w:val="en-US"/>
    </w:rPr>
  </w:style>
  <w:style w:type="paragraph" w:customStyle="1" w:styleId="waterMarkaadraftOnlyBodstat">
    <w:name w:val="waterMark_aa_draftOnlyBod_stat"/>
    <w:rsid w:val="004653A9"/>
    <w:rPr>
      <w:rFonts w:eastAsiaTheme="minorEastAsia" w:cs="Times New Roman"/>
      <w:sz w:val="3276"/>
      <w:szCs w:val="3276"/>
      <w:lang w:val="en-US"/>
    </w:rPr>
  </w:style>
  <w:style w:type="paragraph" w:customStyle="1" w:styleId="waterMarkaaConfidentialsec">
    <w:name w:val="waterMark_aa_Confidential_sec"/>
    <w:rsid w:val="004653A9"/>
    <w:rPr>
      <w:rFonts w:eastAsiaTheme="minorEastAsia" w:cs="Times New Roman"/>
      <w:sz w:val="3276"/>
      <w:szCs w:val="3276"/>
      <w:lang w:val="en-US"/>
    </w:rPr>
  </w:style>
  <w:style w:type="paragraph" w:customStyle="1" w:styleId="TableQuoteSource">
    <w:name w:val="Table Quote Source"/>
    <w:basedOn w:val="Normal-nospace"/>
    <w:qFormat/>
    <w:rsid w:val="00E5473A"/>
    <w:pPr>
      <w:spacing w:before="90" w:after="60" w:line="240" w:lineRule="auto"/>
      <w:ind w:right="200"/>
      <w:jc w:val="right"/>
    </w:pPr>
    <w:rPr>
      <w:rFonts w:cstheme="minorBidi"/>
      <w:i/>
      <w:color w:val="404040" w:themeColor="text1" w:themeTint="BF"/>
      <w:sz w:val="20"/>
    </w:rPr>
  </w:style>
  <w:style w:type="paragraph" w:customStyle="1" w:styleId="TableQuoteSourcesmall">
    <w:name w:val="Table Quote Source (small)"/>
    <w:basedOn w:val="BodyText"/>
    <w:qFormat/>
    <w:rsid w:val="00E5473A"/>
    <w:pPr>
      <w:spacing w:before="0" w:line="240" w:lineRule="auto"/>
      <w:ind w:right="200"/>
      <w:jc w:val="right"/>
    </w:pPr>
    <w:rPr>
      <w:rFonts w:cstheme="minorBidi"/>
      <w:i/>
      <w:color w:val="403F40"/>
      <w:sz w:val="16"/>
    </w:rPr>
  </w:style>
  <w:style w:type="paragraph" w:customStyle="1" w:styleId="TableQuote">
    <w:name w:val="Table Quote"/>
    <w:basedOn w:val="Normal-nospace"/>
    <w:qFormat/>
    <w:rsid w:val="001E36CF"/>
    <w:pPr>
      <w:spacing w:before="60" w:line="240" w:lineRule="atLeast"/>
      <w:ind w:right="199"/>
    </w:pPr>
    <w:rPr>
      <w:rFonts w:cstheme="minorBidi"/>
      <w:i/>
      <w:color w:val="404040" w:themeColor="text1" w:themeTint="BF"/>
      <w:sz w:val="20"/>
    </w:rPr>
  </w:style>
  <w:style w:type="paragraph" w:customStyle="1" w:styleId="QuoteListBullet">
    <w:name w:val="Quote List Bullet"/>
    <w:basedOn w:val="Quote"/>
    <w:qFormat/>
    <w:rsid w:val="0020185D"/>
    <w:pPr>
      <w:numPr>
        <w:numId w:val="35"/>
      </w:numPr>
      <w:spacing w:before="0"/>
      <w:ind w:left="777" w:hanging="357"/>
      <w:contextualSpacing/>
    </w:pPr>
  </w:style>
  <w:style w:type="paragraph" w:customStyle="1" w:styleId="QuoteSource">
    <w:name w:val="Quote Source"/>
    <w:basedOn w:val="Quote"/>
    <w:next w:val="BodyText"/>
    <w:qFormat/>
    <w:rsid w:val="0020185D"/>
    <w:pPr>
      <w:contextualSpacing/>
      <w:jc w:val="right"/>
    </w:pPr>
  </w:style>
  <w:style w:type="paragraph" w:customStyle="1" w:styleId="TableQuotesmall">
    <w:name w:val="Table Quote (small)"/>
    <w:basedOn w:val="Normal-nospace"/>
    <w:qFormat/>
    <w:rsid w:val="001E36CF"/>
    <w:pPr>
      <w:spacing w:before="60" w:line="180" w:lineRule="exact"/>
      <w:ind w:right="199"/>
    </w:pPr>
    <w:rPr>
      <w:rFonts w:cstheme="minorBidi"/>
      <w:i/>
      <w:color w:val="403F40"/>
      <w:sz w:val="16"/>
    </w:rPr>
  </w:style>
  <w:style w:type="paragraph" w:customStyle="1" w:styleId="TableQuoteBullet">
    <w:name w:val="Table Quote Bullet"/>
    <w:basedOn w:val="Normal-nospace"/>
    <w:qFormat/>
    <w:rsid w:val="00FA214E"/>
    <w:pPr>
      <w:numPr>
        <w:numId w:val="36"/>
      </w:numPr>
      <w:spacing w:before="60" w:after="60" w:line="240" w:lineRule="auto"/>
      <w:ind w:left="360" w:right="200"/>
      <w:contextualSpacing/>
    </w:pPr>
    <w:rPr>
      <w:rFonts w:cstheme="minorBidi"/>
      <w:i/>
      <w:color w:val="404040" w:themeColor="text1" w:themeTint="BF"/>
      <w:sz w:val="20"/>
    </w:rPr>
  </w:style>
  <w:style w:type="paragraph" w:customStyle="1" w:styleId="TableQuoteBulletsmall">
    <w:name w:val="Table Quote Bullet (small)"/>
    <w:basedOn w:val="Normal-nospace"/>
    <w:qFormat/>
    <w:rsid w:val="00FA214E"/>
    <w:pPr>
      <w:numPr>
        <w:numId w:val="37"/>
      </w:numPr>
      <w:spacing w:before="40" w:after="60" w:line="240" w:lineRule="auto"/>
      <w:ind w:left="360"/>
      <w:contextualSpacing/>
    </w:pPr>
    <w:rPr>
      <w:rFonts w:cstheme="minorBidi"/>
      <w:i/>
      <w:color w:val="403F40"/>
      <w:sz w:val="16"/>
    </w:rPr>
  </w:style>
  <w:style w:type="paragraph" w:customStyle="1" w:styleId="SubHeading1">
    <w:name w:val="Sub Heading 1"/>
    <w:basedOn w:val="Normalrgb"/>
    <w:qFormat/>
    <w:rsid w:val="007F14E3"/>
    <w:pPr>
      <w:spacing w:line="240" w:lineRule="auto"/>
      <w:contextualSpacing/>
    </w:pPr>
    <w:rPr>
      <w:sz w:val="40"/>
    </w:rPr>
  </w:style>
  <w:style w:type="paragraph" w:customStyle="1" w:styleId="tagglossaryChpt">
    <w:name w:val="tag_glossary_Chpt"/>
    <w:basedOn w:val="spacer"/>
    <w:rsid w:val="004F621C"/>
  </w:style>
  <w:style w:type="paragraph" w:customStyle="1" w:styleId="tagbiblioChpt">
    <w:name w:val="tag_biblio_Chpt"/>
    <w:basedOn w:val="spacer"/>
    <w:qFormat/>
    <w:rsid w:val="004F621C"/>
  </w:style>
  <w:style w:type="paragraph" w:customStyle="1" w:styleId="tagrefsChpt">
    <w:name w:val="tag_refs_Chpt"/>
    <w:basedOn w:val="spacer"/>
    <w:qFormat/>
    <w:rsid w:val="004F621C"/>
  </w:style>
  <w:style w:type="paragraph" w:customStyle="1" w:styleId="tagworksCitedChpt">
    <w:name w:val="tag_worksCited_Chpt"/>
    <w:basedOn w:val="spacer"/>
    <w:qFormat/>
    <w:rsid w:val="004F621C"/>
  </w:style>
  <w:style w:type="paragraph" w:customStyle="1" w:styleId="TOCTOFSubHeading">
    <w:name w:val="TOC TOFSubHeading"/>
    <w:basedOn w:val="Normal-nospace"/>
    <w:qFormat/>
    <w:rsid w:val="00CD5804"/>
    <w:pPr>
      <w:keepNext/>
      <w:spacing w:before="240" w:after="60" w:line="260" w:lineRule="exact"/>
    </w:pPr>
    <w:rPr>
      <w:rFonts w:ascii="Yu Gothic Medium" w:hAnsi="Yu Gothic Medium"/>
      <w:b/>
    </w:rPr>
  </w:style>
  <w:style w:type="paragraph" w:customStyle="1" w:styleId="Heading2nonumber">
    <w:name w:val="Heading 2 (no number)"/>
    <w:basedOn w:val="Normal-nospace"/>
    <w:next w:val="BodyText"/>
    <w:qFormat/>
    <w:rsid w:val="004A7506"/>
    <w:pPr>
      <w:pBdr>
        <w:bottom w:val="single" w:sz="4" w:space="1" w:color="6C3E99"/>
      </w:pBdr>
      <w:spacing w:before="240" w:after="216"/>
    </w:pPr>
    <w:rPr>
      <w:b/>
      <w:color w:val="6C3E99"/>
      <w:sz w:val="28"/>
    </w:rPr>
  </w:style>
  <w:style w:type="paragraph" w:customStyle="1" w:styleId="Heading3nonumber">
    <w:name w:val="Heading 3 (no number)"/>
    <w:basedOn w:val="Normal-nospace"/>
    <w:next w:val="BodyText"/>
    <w:rsid w:val="0049099B"/>
    <w:pPr>
      <w:spacing w:before="360" w:after="240" w:line="320" w:lineRule="atLeast"/>
    </w:pPr>
    <w:rPr>
      <w:rFonts w:ascii="Arial" w:hAnsi="Arial"/>
      <w:b/>
      <w:sz w:val="28"/>
    </w:rPr>
  </w:style>
  <w:style w:type="paragraph" w:customStyle="1" w:styleId="Heading4nonumber">
    <w:name w:val="Heading 4 (no number)"/>
    <w:basedOn w:val="Normal-nospace"/>
    <w:next w:val="BodyText"/>
    <w:qFormat/>
    <w:rsid w:val="00CF713B"/>
    <w:pPr>
      <w:keepNext/>
      <w:spacing w:before="240" w:after="160" w:line="240" w:lineRule="atLeast"/>
    </w:pPr>
    <w:rPr>
      <w:b/>
    </w:rPr>
  </w:style>
  <w:style w:type="paragraph" w:customStyle="1" w:styleId="LetterHeading2">
    <w:name w:val="Letter Heading 2"/>
    <w:basedOn w:val="LetterHeading1"/>
    <w:next w:val="BodyText"/>
    <w:qFormat/>
    <w:rsid w:val="00057123"/>
    <w:rPr>
      <w:i/>
    </w:rPr>
  </w:style>
  <w:style w:type="paragraph" w:customStyle="1" w:styleId="LetterHeading3">
    <w:name w:val="Letter Heading 3"/>
    <w:basedOn w:val="LetterHeading1"/>
    <w:next w:val="BodyText"/>
    <w:qFormat/>
    <w:rsid w:val="00057123"/>
    <w:rPr>
      <w:b w:val="0"/>
      <w:i/>
    </w:rPr>
  </w:style>
  <w:style w:type="paragraph" w:customStyle="1" w:styleId="FigureSubHeadings">
    <w:name w:val="Figure (Sub Headings)"/>
    <w:basedOn w:val="Normal-nospace"/>
    <w:qFormat/>
    <w:rsid w:val="006932C6"/>
    <w:pPr>
      <w:spacing w:before="60" w:after="120" w:line="240" w:lineRule="auto"/>
    </w:pPr>
    <w:rPr>
      <w:sz w:val="18"/>
    </w:rPr>
  </w:style>
  <w:style w:type="table" w:customStyle="1" w:styleId="aacTablenolines">
    <w:name w:val="aac Table (no lines)"/>
    <w:basedOn w:val="TableNormal"/>
    <w:uiPriority w:val="99"/>
    <w:rsid w:val="00A24D9C"/>
    <w:pPr>
      <w:spacing w:after="0" w:line="240" w:lineRule="auto"/>
    </w:pPr>
    <w:tblPr>
      <w:tblCellMar>
        <w:left w:w="0" w:type="dxa"/>
        <w:right w:w="0" w:type="dxa"/>
      </w:tblCellMar>
    </w:tblPr>
  </w:style>
  <w:style w:type="character" w:customStyle="1" w:styleId="Notelabel">
    <w:name w:val="Note label"/>
    <w:basedOn w:val="DefaultParagraphFont"/>
    <w:uiPriority w:val="1"/>
    <w:qFormat/>
    <w:rsid w:val="00B44A58"/>
    <w:rPr>
      <w:b/>
      <w:vertAlign w:val="superscript"/>
    </w:rPr>
  </w:style>
  <w:style w:type="paragraph" w:customStyle="1" w:styleId="LetterConfidentiality">
    <w:name w:val="Letter Confidentiality"/>
    <w:basedOn w:val="BodyText"/>
    <w:qFormat/>
    <w:rsid w:val="00654E02"/>
    <w:rPr>
      <w:color w:val="000000"/>
    </w:rPr>
  </w:style>
  <w:style w:type="paragraph" w:customStyle="1" w:styleId="Normalrgb">
    <w:name w:val="Normal_rgb"/>
    <w:basedOn w:val="Normal-nospace"/>
    <w:qFormat/>
    <w:rsid w:val="00533E1D"/>
    <w:rPr>
      <w:color w:val="9D85BE"/>
    </w:rPr>
  </w:style>
  <w:style w:type="paragraph" w:customStyle="1" w:styleId="CpContactDetailsWeb">
    <w:name w:val="Cp Contact Details Web"/>
    <w:basedOn w:val="Normalrgb"/>
    <w:qFormat/>
    <w:rsid w:val="005A335C"/>
    <w:pPr>
      <w:spacing w:line="250" w:lineRule="exact"/>
    </w:pPr>
  </w:style>
  <w:style w:type="paragraph" w:customStyle="1" w:styleId="CpContactDetailsHeading">
    <w:name w:val="Cp Contact Details Heading"/>
    <w:basedOn w:val="Normalrgb"/>
    <w:next w:val="CpContactDetails"/>
    <w:qFormat/>
    <w:rsid w:val="005A335C"/>
    <w:pPr>
      <w:spacing w:line="250" w:lineRule="exact"/>
    </w:pPr>
    <w:rPr>
      <w:b/>
    </w:rPr>
  </w:style>
  <w:style w:type="paragraph" w:customStyle="1" w:styleId="tagaaRptTestStyle00">
    <w:name w:val="tag_aa_RptTestStyle_#?_00"/>
    <w:basedOn w:val="BodyText"/>
    <w:qFormat/>
    <w:rsid w:val="00E331FB"/>
    <w:pPr>
      <w:spacing w:before="0" w:after="0" w:line="240" w:lineRule="auto"/>
    </w:pPr>
    <w:rPr>
      <w:sz w:val="16"/>
    </w:rPr>
  </w:style>
  <w:style w:type="paragraph" w:customStyle="1" w:styleId="Para">
    <w:name w:val="Para"/>
    <w:basedOn w:val="Normal"/>
    <w:link w:val="ParaChar"/>
    <w:qFormat/>
    <w:rsid w:val="0069382D"/>
    <w:pPr>
      <w:spacing w:before="120" w:after="120" w:line="276" w:lineRule="auto"/>
    </w:pPr>
    <w:rPr>
      <w:rFonts w:ascii="Arial" w:eastAsia="Times New Roman" w:hAnsi="Arial" w:cs="Times New Roman"/>
      <w:color w:val="000000" w:themeColor="text1"/>
      <w:szCs w:val="24"/>
    </w:rPr>
  </w:style>
  <w:style w:type="character" w:customStyle="1" w:styleId="ParaChar">
    <w:name w:val="Para Char"/>
    <w:basedOn w:val="DefaultParagraphFont"/>
    <w:link w:val="Para"/>
    <w:rsid w:val="0069382D"/>
    <w:rPr>
      <w:rFonts w:ascii="Arial" w:eastAsia="Times New Roman" w:hAnsi="Arial" w:cs="Times New Roman"/>
      <w:color w:val="000000" w:themeColor="text1"/>
      <w:szCs w:val="24"/>
    </w:rPr>
  </w:style>
  <w:style w:type="character" w:customStyle="1" w:styleId="ListParagraphChar">
    <w:name w:val="List Paragraph Char"/>
    <w:aliases w:val="Bullet Point Char,Bullet point Char,Bulletr List Paragraph Char,Content descriptions Char,FooterText Char,L Char,List Bullet 1 Char,List Paragraph1 Char,List Paragraph11 Char,List Paragraph2 Char,List Paragraph21 Char,リスト段落 Char"/>
    <w:basedOn w:val="DefaultParagraphFont"/>
    <w:link w:val="ListParagraph"/>
    <w:uiPriority w:val="34"/>
    <w:locked/>
    <w:rsid w:val="007F29E7"/>
    <w:rPr>
      <w:rFonts w:ascii="Arial Narrow" w:hAnsi="Arial Narrow" w:cs="Arial"/>
    </w:rPr>
  </w:style>
  <w:style w:type="paragraph" w:customStyle="1" w:styleId="Default">
    <w:name w:val="Default"/>
    <w:rsid w:val="007F29E7"/>
    <w:pPr>
      <w:autoSpaceDE w:val="0"/>
      <w:autoSpaceDN w:val="0"/>
      <w:adjustRightInd w:val="0"/>
      <w:spacing w:after="0" w:line="240" w:lineRule="auto"/>
    </w:pPr>
    <w:rPr>
      <w:rFonts w:ascii="Symbol" w:hAnsi="Symbol" w:cs="Symbol"/>
      <w:color w:val="000000"/>
      <w:sz w:val="24"/>
      <w:szCs w:val="24"/>
    </w:rPr>
  </w:style>
  <w:style w:type="character" w:customStyle="1" w:styleId="RANZCPBodyTextChar">
    <w:name w:val="RANZCP Body Text Char"/>
    <w:basedOn w:val="DefaultParagraphFont"/>
    <w:link w:val="RANZCPBodyText"/>
    <w:locked/>
    <w:rsid w:val="007F29E7"/>
    <w:rPr>
      <w:rFonts w:ascii="Arial" w:hAnsi="Arial" w:cs="Arial"/>
      <w:color w:val="000000"/>
    </w:rPr>
  </w:style>
  <w:style w:type="paragraph" w:customStyle="1" w:styleId="RANZCPBodyText">
    <w:name w:val="RANZCP Body Text"/>
    <w:basedOn w:val="Normal"/>
    <w:link w:val="RANZCPBodyTextChar"/>
    <w:rsid w:val="007F29E7"/>
    <w:pPr>
      <w:autoSpaceDE w:val="0"/>
      <w:autoSpaceDN w:val="0"/>
      <w:spacing w:before="0" w:after="40" w:line="240" w:lineRule="auto"/>
    </w:pPr>
    <w:rPr>
      <w:rFonts w:ascii="Arial" w:hAnsi="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51307183">
      <w:bodyDiv w:val="1"/>
      <w:marLeft w:val="0"/>
      <w:marRight w:val="0"/>
      <w:marTop w:val="0"/>
      <w:marBottom w:val="0"/>
      <w:divBdr>
        <w:top w:val="none" w:sz="0" w:space="0" w:color="auto"/>
        <w:left w:val="none" w:sz="0" w:space="0" w:color="auto"/>
        <w:bottom w:val="none" w:sz="0" w:space="0" w:color="auto"/>
        <w:right w:val="none" w:sz="0" w:space="0" w:color="auto"/>
      </w:divBdr>
    </w:div>
    <w:div w:id="1587417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9" Type="http://schemas.openxmlformats.org/officeDocument/2006/relationships/header" Target="header15.xml"/><Relationship Id="rId21" Type="http://schemas.openxmlformats.org/officeDocument/2006/relationships/footer" Target="footer6.xml"/><Relationship Id="rId34" Type="http://schemas.openxmlformats.org/officeDocument/2006/relationships/header" Target="header13.xml"/><Relationship Id="rId42" Type="http://schemas.openxmlformats.org/officeDocument/2006/relationships/footer" Target="footer17.xml"/><Relationship Id="rId47" Type="http://schemas.openxmlformats.org/officeDocument/2006/relationships/header" Target="header19.xml"/><Relationship Id="rId50" Type="http://schemas.openxmlformats.org/officeDocument/2006/relationships/footer" Target="footer21.xml"/><Relationship Id="rId55" Type="http://schemas.openxmlformats.org/officeDocument/2006/relationships/header" Target="header23.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10.xml"/><Relationship Id="rId41" Type="http://schemas.openxmlformats.org/officeDocument/2006/relationships/header" Target="header16.xml"/><Relationship Id="rId54" Type="http://schemas.openxmlformats.org/officeDocument/2006/relationships/header" Target="header22.xm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header" Target="header12.xml"/><Relationship Id="rId37" Type="http://schemas.openxmlformats.org/officeDocument/2006/relationships/footer" Target="footer14.xml"/><Relationship Id="rId40" Type="http://schemas.openxmlformats.org/officeDocument/2006/relationships/footer" Target="footer16.xml"/><Relationship Id="rId45" Type="http://schemas.openxmlformats.org/officeDocument/2006/relationships/header" Target="header18.xml"/><Relationship Id="rId53" Type="http://schemas.openxmlformats.org/officeDocument/2006/relationships/footer" Target="footer23.xml"/><Relationship Id="rId58" Type="http://schemas.openxmlformats.org/officeDocument/2006/relationships/header" Target="header24.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header" Target="header14.xml"/><Relationship Id="rId49" Type="http://schemas.openxmlformats.org/officeDocument/2006/relationships/header" Target="header20.xml"/><Relationship Id="rId57" Type="http://schemas.openxmlformats.org/officeDocument/2006/relationships/footer" Target="footer25.xml"/><Relationship Id="rId61"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1.xml"/><Relationship Id="rId44" Type="http://schemas.openxmlformats.org/officeDocument/2006/relationships/footer" Target="footer18.xml"/><Relationship Id="rId52" Type="http://schemas.openxmlformats.org/officeDocument/2006/relationships/header" Target="header21.xml"/><Relationship Id="rId6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 Id="rId30" Type="http://schemas.openxmlformats.org/officeDocument/2006/relationships/header" Target="header11.xml"/><Relationship Id="rId35" Type="http://schemas.openxmlformats.org/officeDocument/2006/relationships/footer" Target="footer13.xml"/><Relationship Id="rId43" Type="http://schemas.openxmlformats.org/officeDocument/2006/relationships/header" Target="header17.xml"/><Relationship Id="rId48" Type="http://schemas.openxmlformats.org/officeDocument/2006/relationships/footer" Target="footer20.xml"/><Relationship Id="rId56" Type="http://schemas.openxmlformats.org/officeDocument/2006/relationships/footer" Target="footer24.xml"/><Relationship Id="rId8" Type="http://schemas.openxmlformats.org/officeDocument/2006/relationships/endnotes" Target="endnotes.xml"/><Relationship Id="rId51" Type="http://schemas.openxmlformats.org/officeDocument/2006/relationships/footer" Target="footer22.xml"/><Relationship Id="rId3" Type="http://schemas.openxmlformats.org/officeDocument/2006/relationships/numbering" Target="numbering.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33" Type="http://schemas.openxmlformats.org/officeDocument/2006/relationships/footer" Target="footer12.xml"/><Relationship Id="rId38" Type="http://schemas.openxmlformats.org/officeDocument/2006/relationships/footer" Target="footer15.xml"/><Relationship Id="rId46" Type="http://schemas.openxmlformats.org/officeDocument/2006/relationships/footer" Target="footer19.xml"/><Relationship Id="rId59" Type="http://schemas.openxmlformats.org/officeDocument/2006/relationships/footer" Target="footer26.xml"/></Relationships>
</file>

<file path=word/_rels/footnotes.xml.rels><?xml version="1.0" encoding="UTF-8" standalone="yes"?>
<Relationships xmlns="http://schemas.openxmlformats.org/package/2006/relationships"><Relationship Id="rId8" Type="http://schemas.openxmlformats.org/officeDocument/2006/relationships/hyperlink" Target="https://www.health.nsw.gov.au/mentalhealth/resources/Publications/mh-strategic-framework.pdf" TargetMode="External"/><Relationship Id="rId13" Type="http://schemas.openxmlformats.org/officeDocument/2006/relationships/hyperlink" Target="https://www2.health.vic.gov.au/mental-health/priorities-and-transformation/mental-health-plan" TargetMode="External"/><Relationship Id="rId3" Type="http://schemas.openxmlformats.org/officeDocument/2006/relationships/hyperlink" Target="https://www.mentalhealthcommission.gov.au/getmedia/0209d27b-1873-4245-b6e5-49e770084b81/Fifth-National-Mental-Health-and-Suicide-Prevention-Plan" TargetMode="External"/><Relationship Id="rId7" Type="http://schemas.openxmlformats.org/officeDocument/2006/relationships/hyperlink" Target="https://www.health.gov.au/ministers/the-hon-greg-hunt-mp/media/budget-2021-22-generational-change-and-record-investment-in-the-health-of-australians" TargetMode="External"/><Relationship Id="rId12" Type="http://schemas.openxmlformats.org/officeDocument/2006/relationships/hyperlink" Target="https://www.dhhs.tas.gov.au/__data/assets/pdf_file/0013/214411/151152_DHHS_Suicide_Prev_WD_Training_Plan_Final_WCAG-1.pdf" TargetMode="External"/><Relationship Id="rId2" Type="http://schemas.openxmlformats.org/officeDocument/2006/relationships/hyperlink" Target="https://www.aihw.gov.au/getmedia/ab86db9d-410a-4c93-89c4-99c8bdbdf125/aihw-aus-221-chapter-3-13.pdf.aspx" TargetMode="External"/><Relationship Id="rId1" Type="http://schemas.openxmlformats.org/officeDocument/2006/relationships/hyperlink" Target="https://www.aihw.gov.au/getmedia/8c6e5410-55cc-498d-9772-d3f9d7fcd351/Overview-of-mental-health-services-in-Australia.pdf.aspx" TargetMode="External"/><Relationship Id="rId6" Type="http://schemas.openxmlformats.org/officeDocument/2006/relationships/hyperlink" Target="https://www.aph.gov.au/About_Parliament/Parliamentary_Departments/Parliamentary_Library/pubs/rp/BudgetReview202021/MentalHealth" TargetMode="External"/><Relationship Id="rId11" Type="http://schemas.openxmlformats.org/officeDocument/2006/relationships/hyperlink" Target="https://www.sahealth.sa.gov.au/wps/wcm/connect/8520124e-0250-4393-819e-71bca0db4ad9/19032.2+MHSP-report-web-no+watermark.pdf?MOD=AJPERES&amp;amp;CACHEID=ROOTWORKSPACE-8520124e-0250-4393-819e-71bca0db4ad9-nwLp6cp" TargetMode="External"/><Relationship Id="rId5" Type="http://schemas.openxmlformats.org/officeDocument/2006/relationships/hyperlink" Target="https://www.aihw.gov.au/reports/mental-health-services/mental-health-services-in-australia/report-contents/mental-health-impact-of-covid-19" TargetMode="External"/><Relationship Id="rId10" Type="http://schemas.openxmlformats.org/officeDocument/2006/relationships/hyperlink" Target="https://www.health.qld.gov.au/__data/assets/pdf_file/0037/677539/mhaod_workforce_dev_framework.pdf" TargetMode="External"/><Relationship Id="rId4" Type="http://schemas.openxmlformats.org/officeDocument/2006/relationships/hyperlink" Target="https://www1.health.gov.au/internet/publications/publishing.nsf/Content/mental-pubs-f-plan09-toc~mental-pubs-f-plan09-con~mental-pubs-f-plan09-con-mag" TargetMode="External"/><Relationship Id="rId9" Type="http://schemas.openxmlformats.org/officeDocument/2006/relationships/hyperlink" Target="https://digitallibrary.health.nt.gov.au/prodjspui/bitstream/10137/988/3/Mental%20Health%20Service%20Strategic%20Plan%202015%20-%202021.pdf" TargetMode="External"/><Relationship Id="rId14" Type="http://schemas.openxmlformats.org/officeDocument/2006/relationships/hyperlink" Target="https://www.mhc.wa.gov.au/media/3423/workforce-strategic-framework-final-04-08-20.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Templates\AA%20Report%20Template.dotx" TargetMode="External"/></Relationships>
</file>

<file path=word/theme/theme1.xml><?xml version="1.0" encoding="utf-8"?>
<a:theme xmlns:a="http://schemas.openxmlformats.org/drawingml/2006/main" name="AAC Theme">
  <a:themeElements>
    <a:clrScheme name="AAC">
      <a:dk1>
        <a:sysClr val="windowText" lastClr="000000"/>
      </a:dk1>
      <a:lt1>
        <a:sysClr val="window" lastClr="FFFFFF"/>
      </a:lt1>
      <a:dk2>
        <a:srgbClr val="6C3F99"/>
      </a:dk2>
      <a:lt2>
        <a:srgbClr val="140034"/>
      </a:lt2>
      <a:accent1>
        <a:srgbClr val="9D85BE"/>
      </a:accent1>
      <a:accent2>
        <a:srgbClr val="7D7D7D"/>
      </a:accent2>
      <a:accent3>
        <a:srgbClr val="C8C8C8"/>
      </a:accent3>
      <a:accent4>
        <a:srgbClr val="006A9F"/>
      </a:accent4>
      <a:accent5>
        <a:srgbClr val="7BBDD6"/>
      </a:accent5>
      <a:accent6>
        <a:srgbClr val="428D52"/>
      </a:accent6>
      <a:hlink>
        <a:srgbClr val="7BBDD6"/>
      </a:hlink>
      <a:folHlink>
        <a:srgbClr val="9FD18B"/>
      </a:folHlink>
    </a:clrScheme>
    <a:fontScheme name="AAC">
      <a:majorFont>
        <a:latin typeface="Yu Gothic Medium"/>
        <a:ea typeface=""/>
        <a:cs typeface=""/>
      </a:majorFont>
      <a:minorFont>
        <a:latin typeface="Arial Narrow"/>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bg2">
            <a:lumMod val="10000"/>
            <a:lumOff val="90000"/>
          </a:schemeClr>
        </a:solidFill>
        <a:ln>
          <a:noFill/>
        </a:ln>
      </a:spPr>
      <a:bodyPr rtlCol="0" anchor="ctr"/>
      <a:lstStyle>
        <a:defPPr algn="ctr">
          <a:defRPr dirty="0" err="1"/>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AAC Theme" id="{7DAE473E-EF84-46A6-B69E-D5D2484C67C2}" vid="{AA0117A1-C2AD-4B1D-8EBB-5C43F8D5173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6CDBD5-596C-477A-9D54-36B1E636608A}">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A7D6133C-2394-44EF-816F-ED604A582F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AA Report Template.dotx</Template>
  <TotalTime>306</TotalTime>
  <Pages>49</Pages>
  <Words>12690</Words>
  <Characters>72335</Characters>
  <Application>Microsoft Office Word</Application>
  <DocSecurity>0</DocSecurity>
  <Lines>602</Lines>
  <Paragraphs>169</Paragraphs>
  <ScaleCrop>false</ScaleCrop>
  <HeadingPairs>
    <vt:vector size="2" baseType="variant">
      <vt:variant>
        <vt:lpstr>Title</vt:lpstr>
      </vt:variant>
      <vt:variant>
        <vt:i4>1</vt:i4>
      </vt:variant>
    </vt:vector>
  </HeadingPairs>
  <TitlesOfParts>
    <vt:vector size="1" baseType="lpstr">
      <vt:lpstr>National Mental Health Workforce Strategy Consultation Draft Background Paper</vt:lpstr>
    </vt:vector>
  </TitlesOfParts>
  <Company>© ACIL Allen 2021</Company>
  <LinksUpToDate>false</LinksUpToDate>
  <CharactersWithSpaces>84856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Mental Health Workforce Strategy Consultation Draft Background Paper</dc:title>
  <dc:subject>Mental Health</dc:subject>
  <dc:creator>ACIL Allen</dc:creator>
  <cp:keywords>Mental Health Workforce; Mental Health; Strategy</cp:keywords>
  <dc:description/>
  <cp:lastModifiedBy>KENNEDY, Emma</cp:lastModifiedBy>
  <cp:revision>91</cp:revision>
  <cp:lastPrinted>2021-08-02T03:53:00Z</cp:lastPrinted>
  <dcterms:created xsi:type="dcterms:W3CDTF">2022-03-23T22:21:00Z</dcterms:created>
  <dcterms:modified xsi:type="dcterms:W3CDTF">2022-03-29T22:52:00Z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ssemblyLocation">
    <vt:lpwstr>http://templates.acilallen.com.au/word/report/install/AAC Report Template.vsto|c7720a94-7995-49d9-ae2f-a9a6c57d0dec</vt:lpwstr>
  </property>
  <property fmtid="{D5CDD505-2E9C-101B-9397-08002B2CF9AE}" pid="3" name="_AssemblyName">
    <vt:lpwstr>4E3C66D5-58D4-491E-A7D4-64AF99AF6E8B</vt:lpwstr>
  </property>
  <property fmtid="{D5CDD505-2E9C-101B-9397-08002B2CF9AE}" pid="4" name="reportMode">
    <vt:lpwstr>longReport</vt:lpwstr>
  </property>
  <property fmtid="{D5CDD505-2E9C-101B-9397-08002B2CF9AE}" pid="5" name="pgNumberFormat">
    <vt:lpwstr>std</vt:lpwstr>
  </property>
</Properties>
</file>