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AD57" w14:textId="24A1126F" w:rsidR="00DC25C1" w:rsidRPr="00D5290C" w:rsidRDefault="00712A55" w:rsidP="00712A55">
      <w:pPr>
        <w:pStyle w:val="Heading1"/>
      </w:pPr>
      <w:r>
        <w:rPr>
          <w:noProof/>
          <w:color w:val="0BB3C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24CF587" wp14:editId="2CF8C3A0">
                <wp:simplePos x="0" y="0"/>
                <wp:positionH relativeFrom="page">
                  <wp:posOffset>0</wp:posOffset>
                </wp:positionH>
                <wp:positionV relativeFrom="paragraph">
                  <wp:posOffset>-612140</wp:posOffset>
                </wp:positionV>
                <wp:extent cx="7676486" cy="1971675"/>
                <wp:effectExtent l="0" t="0" r="1270" b="0"/>
                <wp:wrapNone/>
                <wp:docPr id="11" name="Flowchart: Document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486" cy="1971675"/>
                        </a:xfrm>
                        <a:prstGeom prst="flowChartDocument">
                          <a:avLst/>
                        </a:prstGeom>
                        <a:solidFill>
                          <a:srgbClr val="37B6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149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1" o:spid="_x0000_s1026" type="#_x0000_t114" alt="&quot;&quot;" style="position:absolute;margin-left:0;margin-top:-48.2pt;width:604.45pt;height:155.2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" fillcolor="#37b6c2" stroked="f" strokeweight="1pt">
                <w10:wrap anchorx="page"/>
              </v:shape>
            </w:pict>
          </mc:Fallback>
        </mc:AlternateContent>
      </w:r>
      <w:r w:rsidR="00112C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BD83" wp14:editId="716562C9">
                <wp:simplePos x="0" y="0"/>
                <wp:positionH relativeFrom="column">
                  <wp:posOffset>-330200</wp:posOffset>
                </wp:positionH>
                <wp:positionV relativeFrom="paragraph">
                  <wp:posOffset>-82550</wp:posOffset>
                </wp:positionV>
                <wp:extent cx="4497572" cy="108585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572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2508C" w14:textId="02C9B9F7" w:rsidR="00A17686" w:rsidRPr="00712A55" w:rsidRDefault="00A17686" w:rsidP="00712A55">
                            <w:pPr>
                              <w:pStyle w:val="Title"/>
                            </w:pPr>
                            <w:r w:rsidRPr="00712A55">
                              <w:t xml:space="preserve">Human papillomavirus </w:t>
                            </w:r>
                            <w:r w:rsidR="00112CD3" w:rsidRPr="00712A55">
                              <w:t xml:space="preserve">(HPV) </w:t>
                            </w:r>
                            <w:r w:rsidRPr="00712A55">
                              <w:t>vaccine</w:t>
                            </w:r>
                          </w:p>
                          <w:p w14:paraId="5A4C8B6D" w14:textId="77777777" w:rsidR="007B68F4" w:rsidRPr="00712A55" w:rsidRDefault="00A17686" w:rsidP="00712A55">
                            <w:pPr>
                              <w:pStyle w:val="Subtitle"/>
                            </w:pPr>
                            <w:r w:rsidRPr="00712A55">
                              <w:t xml:space="preserve">Changes under the National Immunisation Program </w:t>
                            </w:r>
                          </w:p>
                          <w:p w14:paraId="724281A0" w14:textId="2F95E6C0" w:rsidR="00A17686" w:rsidRPr="00712A55" w:rsidRDefault="00712A55" w:rsidP="00712A55">
                            <w:pPr>
                              <w:pStyle w:val="Subtitle"/>
                            </w:pPr>
                            <w:r w:rsidRPr="00712A55">
                              <w:t>i</w:t>
                            </w:r>
                            <w:r w:rsidR="00A17686" w:rsidRPr="00712A55">
                              <w:t>n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5EBD8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&quot;&quot;" style="position:absolute;left:0;text-align:left;margin-left:-26pt;margin-top:-6.5pt;width:354.15pt;height:8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" filled="f" stroked="f" strokeweight=".5pt">
                <v:textbox>
                  <w:txbxContent>
                    <w:p w14:paraId="0DD2508C" w14:textId="02C9B9F7" w:rsidR="00A17686" w:rsidRPr="00712A55" w:rsidRDefault="00A17686" w:rsidP="00712A55">
                      <w:pPr>
                        <w:pStyle w:val="Title"/>
                      </w:pPr>
                      <w:r w:rsidRPr="00712A55">
                        <w:t xml:space="preserve">Human papillomavirus </w:t>
                      </w:r>
                      <w:r w:rsidR="00112CD3" w:rsidRPr="00712A55">
                        <w:t xml:space="preserve">(HPV) </w:t>
                      </w:r>
                      <w:r w:rsidRPr="00712A55">
                        <w:t>vaccine</w:t>
                      </w:r>
                    </w:p>
                    <w:p w14:paraId="5A4C8B6D" w14:textId="77777777" w:rsidR="007B68F4" w:rsidRPr="00712A55" w:rsidRDefault="00A17686" w:rsidP="00712A55">
                      <w:pPr>
                        <w:pStyle w:val="Subtitle"/>
                      </w:pPr>
                      <w:r w:rsidRPr="00712A55">
                        <w:t xml:space="preserve">Changes under the National Immunisation Program </w:t>
                      </w:r>
                    </w:p>
                    <w:p w14:paraId="724281A0" w14:textId="2F95E6C0" w:rsidR="00A17686" w:rsidRPr="00712A55" w:rsidRDefault="00712A55" w:rsidP="00712A55">
                      <w:pPr>
                        <w:pStyle w:val="Subtitle"/>
                      </w:pPr>
                      <w:r w:rsidRPr="00712A55">
                        <w:t>i</w:t>
                      </w:r>
                      <w:r w:rsidR="00A17686" w:rsidRPr="00712A55">
                        <w:t>n 2023</w:t>
                      </w:r>
                    </w:p>
                  </w:txbxContent>
                </v:textbox>
              </v:shape>
            </w:pict>
          </mc:Fallback>
        </mc:AlternateContent>
      </w:r>
      <w:r w:rsidR="00112CD3" w:rsidRPr="00C45CDE">
        <w:rPr>
          <w:noProof/>
        </w:rPr>
        <w:drawing>
          <wp:anchor distT="0" distB="0" distL="114300" distR="114300" simplePos="0" relativeHeight="251658240" behindDoc="0" locked="0" layoutInCell="1" allowOverlap="1" wp14:anchorId="0FFF684E" wp14:editId="57FB5738">
            <wp:simplePos x="0" y="0"/>
            <wp:positionH relativeFrom="column">
              <wp:posOffset>4252255</wp:posOffset>
            </wp:positionH>
            <wp:positionV relativeFrom="paragraph">
              <wp:posOffset>155575</wp:posOffset>
            </wp:positionV>
            <wp:extent cx="1486986" cy="1478254"/>
            <wp:effectExtent l="95250" t="95250" r="94615" b="103505"/>
            <wp:wrapNone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087A605-DA7E-4B28-B761-376A88AFDE4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>
                      <a:extLst>
                        <a:ext uri="{FF2B5EF4-FFF2-40B4-BE49-F238E27FC236}">
                          <a16:creationId xmlns:a16="http://schemas.microsoft.com/office/drawing/2014/main" id="{9087A605-DA7E-4B28-B761-376A88AFDE4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" t="1281" r="1611" b="2345"/>
                    <a:stretch/>
                  </pic:blipFill>
                  <pic:spPr>
                    <a:xfrm>
                      <a:off x="0" y="0"/>
                      <a:ext cx="1486986" cy="1478254"/>
                    </a:xfrm>
                    <a:prstGeom prst="flowChartConnector">
                      <a:avLst/>
                    </a:prstGeom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77C">
        <w:rPr>
          <w:noProof/>
          <w:sz w:val="40"/>
          <w:szCs w:val="40"/>
        </w:rPr>
        <w:t xml:space="preserve"> </w:t>
      </w:r>
      <w:r w:rsidR="00D5290C" w:rsidRPr="00D5290C">
        <w:t>FACT SHEET</w:t>
      </w:r>
    </w:p>
    <w:p w14:paraId="561ABBC4" w14:textId="1EFC372D" w:rsidR="00F8381A" w:rsidRPr="00615274" w:rsidRDefault="004C1FB4" w:rsidP="00712A55">
      <w:pPr>
        <w:pStyle w:val="Introparagraph"/>
      </w:pPr>
      <w:r w:rsidRPr="00615274">
        <w:t>From</w:t>
      </w:r>
      <w:r w:rsidR="00121928">
        <w:t xml:space="preserve"> 6</w:t>
      </w:r>
      <w:r w:rsidRPr="00615274">
        <w:t xml:space="preserve"> </w:t>
      </w:r>
      <w:bookmarkStart w:id="0" w:name="_Hlk124155357"/>
      <w:r w:rsidRPr="00615274">
        <w:t>February 2023</w:t>
      </w:r>
      <w:bookmarkEnd w:id="0"/>
      <w:r w:rsidRPr="00615274">
        <w:t>, the</w:t>
      </w:r>
      <w:r w:rsidR="00F070B1" w:rsidRPr="00615274">
        <w:t xml:space="preserve"> dos</w:t>
      </w:r>
      <w:r w:rsidR="00AE5AED" w:rsidRPr="00615274">
        <w:t>e</w:t>
      </w:r>
      <w:r w:rsidR="00F070B1" w:rsidRPr="00615274">
        <w:t xml:space="preserve"> schedule for the </w:t>
      </w:r>
      <w:r w:rsidR="0082256A" w:rsidRPr="00615274">
        <w:t xml:space="preserve">human papillomavirus (HPV) </w:t>
      </w:r>
      <w:r w:rsidR="00F070B1" w:rsidRPr="00615274">
        <w:t xml:space="preserve">vaccine will </w:t>
      </w:r>
      <w:r w:rsidRPr="00615274">
        <w:t>c</w:t>
      </w:r>
      <w:r w:rsidR="007D0A00" w:rsidRPr="00615274">
        <w:t>hange</w:t>
      </w:r>
      <w:r w:rsidR="00F070B1" w:rsidRPr="00615274">
        <w:t xml:space="preserve"> </w:t>
      </w:r>
      <w:r w:rsidR="007D0A00" w:rsidRPr="00615274">
        <w:t xml:space="preserve">to </w:t>
      </w:r>
      <w:r w:rsidR="00F070B1" w:rsidRPr="00615274">
        <w:t xml:space="preserve">a </w:t>
      </w:r>
      <w:r w:rsidR="00F070B1" w:rsidRPr="00615274">
        <w:rPr>
          <w:b/>
          <w:bCs/>
        </w:rPr>
        <w:t>single dose</w:t>
      </w:r>
      <w:r w:rsidR="00B6654A" w:rsidRPr="00615274">
        <w:t>,</w:t>
      </w:r>
      <w:r w:rsidR="00F070B1" w:rsidRPr="00615274">
        <w:t xml:space="preserve"> and eligibility for the </w:t>
      </w:r>
      <w:r w:rsidR="007D0A00" w:rsidRPr="00615274">
        <w:t>catch-up program</w:t>
      </w:r>
      <w:r w:rsidR="00F070B1" w:rsidRPr="00615274">
        <w:t xml:space="preserve"> will be extended </w:t>
      </w:r>
      <w:r w:rsidR="00FB62AE" w:rsidRPr="00615274">
        <w:t xml:space="preserve">up </w:t>
      </w:r>
      <w:r w:rsidR="00F070B1" w:rsidRPr="00615274">
        <w:t>to</w:t>
      </w:r>
      <w:r w:rsidR="007B68F4" w:rsidRPr="00615274">
        <w:t xml:space="preserve"> </w:t>
      </w:r>
      <w:r w:rsidR="00DC25C1" w:rsidRPr="00615274">
        <w:t xml:space="preserve">and including </w:t>
      </w:r>
      <w:r w:rsidR="00F070B1" w:rsidRPr="00615274">
        <w:t>25</w:t>
      </w:r>
      <w:r w:rsidR="00B6654A" w:rsidRPr="00615274">
        <w:t> </w:t>
      </w:r>
      <w:r w:rsidR="00F070B1" w:rsidRPr="00615274">
        <w:t>years</w:t>
      </w:r>
      <w:r w:rsidR="00B6654A" w:rsidRPr="00615274">
        <w:t> </w:t>
      </w:r>
      <w:r w:rsidR="00F070B1" w:rsidRPr="00615274">
        <w:t>of</w:t>
      </w:r>
      <w:r w:rsidR="00B6654A" w:rsidRPr="00615274">
        <w:t> </w:t>
      </w:r>
      <w:r w:rsidR="00F070B1" w:rsidRPr="00615274">
        <w:t>age</w:t>
      </w:r>
      <w:r w:rsidR="0086670B" w:rsidRPr="00615274">
        <w:t xml:space="preserve"> under the National Immunisation Program (NIP)</w:t>
      </w:r>
      <w:r w:rsidR="00F070B1" w:rsidRPr="00615274">
        <w:t>.</w:t>
      </w:r>
    </w:p>
    <w:p w14:paraId="0A63BCAF" w14:textId="6D3BCA14" w:rsidR="00932C8F" w:rsidRPr="00A17686" w:rsidRDefault="00932C8F" w:rsidP="00D5290C">
      <w:pPr>
        <w:pStyle w:val="Heading2"/>
      </w:pPr>
      <w:r w:rsidRPr="00A17686">
        <w:t>Key points about the change to the program</w:t>
      </w:r>
    </w:p>
    <w:p w14:paraId="73A69209" w14:textId="4CAFB53F" w:rsidR="007D1AD3" w:rsidRPr="00A17686" w:rsidRDefault="007D1AD3" w:rsidP="00D5290C">
      <w:pPr>
        <w:pStyle w:val="ListBullet"/>
      </w:pPr>
      <w:bookmarkStart w:id="1" w:name="_Hlk125127892"/>
      <w:bookmarkStart w:id="2" w:name="_Hlk125125499"/>
      <w:r w:rsidRPr="00A17686">
        <w:t>The HPV vaccine (Gardasil</w:t>
      </w:r>
      <w:r w:rsidRPr="00B6654A">
        <w:rPr>
          <w:vertAlign w:val="superscript"/>
        </w:rPr>
        <w:t>®</w:t>
      </w:r>
      <w:r w:rsidRPr="00A17686">
        <w:t xml:space="preserve">9) is </w:t>
      </w:r>
      <w:r w:rsidR="00DC25C1" w:rsidRPr="00A17686">
        <w:t xml:space="preserve">funded and </w:t>
      </w:r>
      <w:r w:rsidRPr="00A17686">
        <w:t xml:space="preserve">primarily delivered through school </w:t>
      </w:r>
      <w:proofErr w:type="spellStart"/>
      <w:r w:rsidR="002157DC" w:rsidRPr="00A17686">
        <w:t>immunisation</w:t>
      </w:r>
      <w:proofErr w:type="spellEnd"/>
      <w:r w:rsidR="002157DC" w:rsidRPr="00A17686">
        <w:t xml:space="preserve"> </w:t>
      </w:r>
      <w:r w:rsidRPr="00A17686">
        <w:t xml:space="preserve">programs to </w:t>
      </w:r>
      <w:r w:rsidR="00CD619F">
        <w:t>young people</w:t>
      </w:r>
      <w:r w:rsidR="00AE5AED" w:rsidRPr="00A17686">
        <w:t xml:space="preserve"> aged</w:t>
      </w:r>
      <w:r w:rsidRPr="00A17686">
        <w:t xml:space="preserve"> approximately 12 to 13 years. </w:t>
      </w:r>
      <w:r w:rsidR="00AE5AED" w:rsidRPr="00A17686">
        <w:t>C</w:t>
      </w:r>
      <w:r w:rsidRPr="00A17686">
        <w:t>atch-</w:t>
      </w:r>
      <w:r w:rsidR="003B1CC6" w:rsidRPr="00A17686">
        <w:t xml:space="preserve">up vaccination is provided through </w:t>
      </w:r>
      <w:proofErr w:type="spellStart"/>
      <w:r w:rsidRPr="00A17686">
        <w:t>immunisation</w:t>
      </w:r>
      <w:proofErr w:type="spellEnd"/>
      <w:r w:rsidRPr="00A17686">
        <w:t xml:space="preserve"> clinics</w:t>
      </w:r>
      <w:r w:rsidR="00AE5AED" w:rsidRPr="00A17686">
        <w:t xml:space="preserve"> at schools </w:t>
      </w:r>
      <w:r w:rsidRPr="00A17686">
        <w:t xml:space="preserve">or </w:t>
      </w:r>
      <w:r w:rsidR="00F3077C" w:rsidRPr="00A17686">
        <w:t>through a</w:t>
      </w:r>
      <w:r w:rsidR="005D2C21" w:rsidRPr="00A17686">
        <w:t xml:space="preserve"> General Practitioner (</w:t>
      </w:r>
      <w:r w:rsidRPr="00A17686">
        <w:t>GP</w:t>
      </w:r>
      <w:r w:rsidR="005D2C21" w:rsidRPr="00A17686">
        <w:t>)</w:t>
      </w:r>
      <w:r w:rsidR="00306F30" w:rsidRPr="00A17686">
        <w:t xml:space="preserve">, </w:t>
      </w:r>
      <w:r w:rsidR="00E75F65" w:rsidRPr="00A17686">
        <w:t xml:space="preserve">community pharmacy or other </w:t>
      </w:r>
      <w:r w:rsidRPr="00A17686">
        <w:t>primary care provider</w:t>
      </w:r>
      <w:r w:rsidR="00E75F65" w:rsidRPr="00A17686">
        <w:t>s</w:t>
      </w:r>
      <w:r w:rsidR="003B1CC6" w:rsidRPr="00A17686">
        <w:t>.</w:t>
      </w:r>
      <w:r w:rsidR="00306F30" w:rsidRPr="00A17686">
        <w:t xml:space="preserve"> </w:t>
      </w:r>
    </w:p>
    <w:p w14:paraId="3C9A9333" w14:textId="4D330301" w:rsidR="00356AC3" w:rsidRPr="00A17686" w:rsidRDefault="007D0A00" w:rsidP="00D5290C">
      <w:pPr>
        <w:pStyle w:val="ListBullet"/>
      </w:pPr>
      <w:r w:rsidRPr="00A17686">
        <w:t xml:space="preserve">From </w:t>
      </w:r>
      <w:r w:rsidR="00121928">
        <w:t xml:space="preserve">6 </w:t>
      </w:r>
      <w:r w:rsidR="005D2C21" w:rsidRPr="00A17686">
        <w:t xml:space="preserve">February </w:t>
      </w:r>
      <w:r w:rsidRPr="00A17686">
        <w:t xml:space="preserve">2023, </w:t>
      </w:r>
      <w:r w:rsidR="00C563CE" w:rsidRPr="00A17686">
        <w:t xml:space="preserve">the </w:t>
      </w:r>
      <w:r w:rsidR="00484AC4">
        <w:t xml:space="preserve">routine </w:t>
      </w:r>
      <w:r w:rsidR="00C563CE" w:rsidRPr="00A17686">
        <w:t xml:space="preserve">two dose </w:t>
      </w:r>
      <w:r w:rsidRPr="00A17686">
        <w:t>HPV vaccine</w:t>
      </w:r>
      <w:r w:rsidR="00C563CE" w:rsidRPr="00A17686">
        <w:t xml:space="preserve"> schedule </w:t>
      </w:r>
      <w:r w:rsidRPr="00A17686">
        <w:t xml:space="preserve">provided to </w:t>
      </w:r>
      <w:r w:rsidR="00CD619F">
        <w:t>young people</w:t>
      </w:r>
      <w:r w:rsidRPr="00A17686">
        <w:t xml:space="preserve"> </w:t>
      </w:r>
      <w:r w:rsidR="00914E3D">
        <w:t>aged</w:t>
      </w:r>
      <w:r w:rsidR="00484AC4">
        <w:t xml:space="preserve"> 12-13 years </w:t>
      </w:r>
      <w:r w:rsidR="00203443" w:rsidRPr="00A17686">
        <w:t xml:space="preserve">will </w:t>
      </w:r>
      <w:r w:rsidR="00292C4A" w:rsidRPr="00A17686">
        <w:t xml:space="preserve">become a </w:t>
      </w:r>
      <w:r w:rsidR="00292C4A" w:rsidRPr="00712A55">
        <w:rPr>
          <w:rStyle w:val="Strong"/>
        </w:rPr>
        <w:t>single dose</w:t>
      </w:r>
      <w:r w:rsidR="00292C4A" w:rsidRPr="00A17686">
        <w:rPr>
          <w:b/>
          <w:bCs/>
        </w:rPr>
        <w:t xml:space="preserve"> </w:t>
      </w:r>
      <w:r w:rsidR="00292C4A" w:rsidRPr="00A17686">
        <w:t>schedule using the same</w:t>
      </w:r>
      <w:r w:rsidR="00C563CE" w:rsidRPr="00A17686">
        <w:t xml:space="preserve"> Gardasil</w:t>
      </w:r>
      <w:r w:rsidR="00C563CE" w:rsidRPr="00615274">
        <w:rPr>
          <w:vertAlign w:val="superscript"/>
        </w:rPr>
        <w:t>®</w:t>
      </w:r>
      <w:r w:rsidR="00C563CE" w:rsidRPr="00A17686">
        <w:t>9 vaccine.</w:t>
      </w:r>
    </w:p>
    <w:p w14:paraId="11734D84" w14:textId="29341A3B" w:rsidR="002A5AB6" w:rsidRPr="00A17686" w:rsidRDefault="002A5AB6" w:rsidP="00D5290C">
      <w:pPr>
        <w:pStyle w:val="ListBullet"/>
      </w:pPr>
      <w:bookmarkStart w:id="3" w:name="_Hlk124849187"/>
      <w:r w:rsidRPr="00A17686">
        <w:t>The ongoing NIP funded catch-up program for young people who missed HPV vaccination has also been extended to include those up to and including 25 years of age (increased from 19</w:t>
      </w:r>
      <w:r>
        <w:t> </w:t>
      </w:r>
      <w:r w:rsidRPr="00A17686">
        <w:t>years of age).</w:t>
      </w:r>
      <w:r w:rsidR="00AF270F">
        <w:t xml:space="preserve"> </w:t>
      </w:r>
    </w:p>
    <w:bookmarkEnd w:id="3"/>
    <w:p w14:paraId="6A8A489D" w14:textId="30A7E96D" w:rsidR="007D1AD3" w:rsidRPr="00A17686" w:rsidRDefault="0061125F" w:rsidP="00D5290C">
      <w:pPr>
        <w:pStyle w:val="ListBullet"/>
      </w:pPr>
      <w:r>
        <w:t xml:space="preserve">Young </w:t>
      </w:r>
      <w:r w:rsidRPr="00A17686">
        <w:t xml:space="preserve">people </w:t>
      </w:r>
      <w:r>
        <w:t xml:space="preserve">(except those </w:t>
      </w:r>
      <w:r w:rsidR="00C75476" w:rsidRPr="00A17686">
        <w:t>who</w:t>
      </w:r>
      <w:r>
        <w:t xml:space="preserve"> are immunocompromised) who receive </w:t>
      </w:r>
      <w:r w:rsidR="00AF270F">
        <w:t>a single dose</w:t>
      </w:r>
      <w:r>
        <w:t xml:space="preserve"> before 26</w:t>
      </w:r>
      <w:r w:rsidR="0020096F">
        <w:t> </w:t>
      </w:r>
      <w:bookmarkStart w:id="4" w:name="_Hlk124167799"/>
      <w:r>
        <w:t>years</w:t>
      </w:r>
      <w:r w:rsidR="00914E3D">
        <w:t xml:space="preserve"> of age</w:t>
      </w:r>
      <w:r>
        <w:t xml:space="preserve"> are</w:t>
      </w:r>
      <w:r w:rsidR="00C75476" w:rsidRPr="00A17686">
        <w:t xml:space="preserve"> now considered fully vaccinated and will not need further doses.</w:t>
      </w:r>
      <w:bookmarkEnd w:id="4"/>
      <w:r w:rsidR="00E75F65" w:rsidRPr="00A17686">
        <w:t xml:space="preserve"> </w:t>
      </w:r>
      <w:bookmarkStart w:id="5" w:name="_Hlk124849150"/>
      <w:r w:rsidR="00E75F65" w:rsidRPr="00A17686">
        <w:t xml:space="preserve">The Immunisation History Statement on the Australian Immunisation Register will reflect that an individual is </w:t>
      </w:r>
      <w:r w:rsidR="000C1454" w:rsidRPr="00A17686">
        <w:t>up to date</w:t>
      </w:r>
      <w:r w:rsidR="00E75F65" w:rsidRPr="00A17686">
        <w:t xml:space="preserve"> after receiving a single </w:t>
      </w:r>
      <w:r w:rsidR="003B1CC6" w:rsidRPr="00A17686">
        <w:t>dose.</w:t>
      </w:r>
      <w:r w:rsidR="00E75F65" w:rsidRPr="00A17686">
        <w:t xml:space="preserve"> </w:t>
      </w:r>
    </w:p>
    <w:p w14:paraId="732FC485" w14:textId="77777777" w:rsidR="00AF270F" w:rsidRPr="00A17686" w:rsidRDefault="00AF270F" w:rsidP="00D5290C">
      <w:pPr>
        <w:pStyle w:val="ListBullet"/>
      </w:pPr>
      <w:bookmarkStart w:id="6" w:name="_Hlk125128554"/>
      <w:bookmarkStart w:id="7" w:name="_Hlk121926705"/>
      <w:bookmarkEnd w:id="5"/>
      <w:r w:rsidRPr="00A17686">
        <w:t>The change is based on advice from the Australian Technical Advisory Group on Immunisation (ATAGI) who have considered the latest international scientific and clinical evidence.</w:t>
      </w:r>
    </w:p>
    <w:p w14:paraId="4995ADF7" w14:textId="22E9D5D0" w:rsidR="007D1AD3" w:rsidRPr="00A17686" w:rsidRDefault="007D1AD3" w:rsidP="00D5290C">
      <w:pPr>
        <w:pStyle w:val="ListBullet"/>
      </w:pPr>
      <w:bookmarkStart w:id="8" w:name="_Hlk125127472"/>
      <w:bookmarkEnd w:id="6"/>
      <w:r w:rsidRPr="00A17686">
        <w:t xml:space="preserve">State and Territory health departments will be communicating the changes to parents of adolescents eligible for the HPV vaccine </w:t>
      </w:r>
      <w:r w:rsidR="00F72922" w:rsidRPr="00A17686">
        <w:t xml:space="preserve">at school </w:t>
      </w:r>
      <w:r w:rsidRPr="00A17686">
        <w:t xml:space="preserve">in 2023. </w:t>
      </w:r>
    </w:p>
    <w:p w14:paraId="34E79B67" w14:textId="30787546" w:rsidR="007D1AD3" w:rsidRPr="00A17686" w:rsidRDefault="007D1AD3" w:rsidP="00D5290C">
      <w:pPr>
        <w:pStyle w:val="Heading2"/>
        <w:rPr>
          <w:bCs/>
        </w:rPr>
      </w:pPr>
      <w:bookmarkStart w:id="9" w:name="_Hlk125125858"/>
      <w:bookmarkEnd w:id="1"/>
      <w:bookmarkEnd w:id="7"/>
      <w:bookmarkEnd w:id="8"/>
      <w:r w:rsidRPr="00A17686">
        <w:rPr>
          <w:bCs/>
        </w:rPr>
        <w:t>People who are immunocompromised</w:t>
      </w:r>
    </w:p>
    <w:p w14:paraId="54EC97E6" w14:textId="3841F3D7" w:rsidR="007D1AD3" w:rsidRPr="00A17686" w:rsidRDefault="00F070B1" w:rsidP="00D5290C">
      <w:pPr>
        <w:pStyle w:val="ListBullet"/>
      </w:pPr>
      <w:bookmarkStart w:id="10" w:name="_Hlk125128256"/>
      <w:r w:rsidRPr="00A17686">
        <w:t>There is no change to the dos</w:t>
      </w:r>
      <w:r w:rsidR="002D5D13" w:rsidRPr="00A17686">
        <w:t>e</w:t>
      </w:r>
      <w:r w:rsidRPr="00A17686">
        <w:t xml:space="preserve"> schedule for p</w:t>
      </w:r>
      <w:r w:rsidR="00932C8F" w:rsidRPr="00A17686">
        <w:t>eople who are immunocompromised</w:t>
      </w:r>
      <w:r w:rsidRPr="00A17686">
        <w:t>. The</w:t>
      </w:r>
      <w:r w:rsidR="004263A8" w:rsidRPr="00A17686">
        <w:t>y</w:t>
      </w:r>
      <w:r w:rsidR="00932C8F" w:rsidRPr="00A17686">
        <w:t xml:space="preserve"> should still receive </w:t>
      </w:r>
      <w:r w:rsidR="00356AC3" w:rsidRPr="00A17686">
        <w:t>the recommended</w:t>
      </w:r>
      <w:r w:rsidRPr="00A17686">
        <w:t xml:space="preserve"> th</w:t>
      </w:r>
      <w:r w:rsidR="00932C8F" w:rsidRPr="00A17686">
        <w:t>ree doses of the HPV vaccine</w:t>
      </w:r>
      <w:r w:rsidR="004263A8" w:rsidRPr="00A17686">
        <w:t xml:space="preserve"> which are </w:t>
      </w:r>
      <w:r w:rsidR="00356AC3" w:rsidRPr="00A17686">
        <w:t xml:space="preserve">all </w:t>
      </w:r>
      <w:r w:rsidR="00306F30" w:rsidRPr="00A17686">
        <w:t xml:space="preserve">funded </w:t>
      </w:r>
      <w:r w:rsidR="004263A8" w:rsidRPr="00A17686">
        <w:t>under the</w:t>
      </w:r>
      <w:r w:rsidR="008774CA" w:rsidRPr="00A17686">
        <w:t xml:space="preserve"> NI</w:t>
      </w:r>
      <w:r w:rsidR="00A068F8" w:rsidRPr="00A17686">
        <w:t>P</w:t>
      </w:r>
      <w:r w:rsidR="00484AC4">
        <w:t xml:space="preserve"> </w:t>
      </w:r>
      <w:bookmarkStart w:id="11" w:name="_Hlk124167820"/>
      <w:r w:rsidR="00914E3D">
        <w:t>before 26 years of age</w:t>
      </w:r>
      <w:r w:rsidR="00484AC4" w:rsidRPr="00A17686">
        <w:t xml:space="preserve">. </w:t>
      </w:r>
      <w:r w:rsidR="005D2C21" w:rsidRPr="00A17686">
        <w:t xml:space="preserve">Refer to the </w:t>
      </w:r>
      <w:r w:rsidR="005D2C21" w:rsidRPr="00A17686">
        <w:rPr>
          <w:rStyle w:val="Hyperlink"/>
          <w:rFonts w:cs="Arial"/>
          <w:sz w:val="21"/>
          <w:szCs w:val="21"/>
        </w:rPr>
        <w:t xml:space="preserve">Australian Immunisation </w:t>
      </w:r>
      <w:hyperlink r:id="rId9" w:history="1">
        <w:r w:rsidR="005D2C21" w:rsidRPr="00A17686">
          <w:rPr>
            <w:rStyle w:val="Hyperlink"/>
            <w:rFonts w:cs="Arial"/>
            <w:sz w:val="21"/>
            <w:szCs w:val="21"/>
          </w:rPr>
          <w:t>Handbook</w:t>
        </w:r>
      </w:hyperlink>
      <w:r w:rsidR="005D2C21" w:rsidRPr="00A17686">
        <w:t xml:space="preserve"> for </w:t>
      </w:r>
      <w:r w:rsidR="002D5D13" w:rsidRPr="00A17686">
        <w:t xml:space="preserve">more </w:t>
      </w:r>
      <w:r w:rsidR="005D2C21" w:rsidRPr="00A17686">
        <w:t xml:space="preserve">information on HPV vaccination for people who are immunocompromised. </w:t>
      </w:r>
      <w:bookmarkEnd w:id="11"/>
    </w:p>
    <w:bookmarkEnd w:id="10"/>
    <w:p w14:paraId="4711AEE6" w14:textId="0D80ED9A" w:rsidR="007D1AD3" w:rsidRPr="00A17686" w:rsidRDefault="00D03034" w:rsidP="00D5290C">
      <w:pPr>
        <w:pStyle w:val="ListBullet"/>
      </w:pPr>
      <w:r w:rsidRPr="00A17686">
        <w:t>Given the routine scheduling of schoo</w:t>
      </w:r>
      <w:r w:rsidR="002D5D13" w:rsidRPr="00A17686">
        <w:t>l</w:t>
      </w:r>
      <w:r w:rsidR="00CE4CCA" w:rsidRPr="00A17686">
        <w:t xml:space="preserve"> </w:t>
      </w:r>
      <w:proofErr w:type="spellStart"/>
      <w:r w:rsidRPr="00A17686">
        <w:t>immunisation</w:t>
      </w:r>
      <w:proofErr w:type="spellEnd"/>
      <w:r w:rsidRPr="00A17686">
        <w:t xml:space="preserve"> programs, immunocompromised individuals may be referred to their GP</w:t>
      </w:r>
      <w:r w:rsidR="00306F30" w:rsidRPr="00A17686">
        <w:t xml:space="preserve">, </w:t>
      </w:r>
      <w:r w:rsidRPr="00A17686">
        <w:t>primary care provider</w:t>
      </w:r>
      <w:r w:rsidR="00306F30" w:rsidRPr="00A17686">
        <w:t xml:space="preserve"> or pharmacist </w:t>
      </w:r>
      <w:proofErr w:type="spellStart"/>
      <w:r w:rsidR="00306F30" w:rsidRPr="00A17686">
        <w:t>immuniser</w:t>
      </w:r>
      <w:proofErr w:type="spellEnd"/>
      <w:r w:rsidRPr="00A17686">
        <w:t xml:space="preserve"> to ensure the completion of all three doses</w:t>
      </w:r>
      <w:r w:rsidR="003B1CC6" w:rsidRPr="00A17686">
        <w:t>.</w:t>
      </w:r>
    </w:p>
    <w:p w14:paraId="082523B3" w14:textId="10B28495" w:rsidR="007D1AD3" w:rsidRPr="00A17686" w:rsidRDefault="00AF270F" w:rsidP="00D5290C">
      <w:pPr>
        <w:pStyle w:val="Heading2"/>
        <w:rPr>
          <w:bCs/>
        </w:rPr>
      </w:pPr>
      <w:r>
        <w:rPr>
          <w:bCs/>
        </w:rPr>
        <w:t>Catch up vaccination</w:t>
      </w:r>
    </w:p>
    <w:p w14:paraId="7B66D429" w14:textId="736CDCBA" w:rsidR="00E75F65" w:rsidRPr="00A17686" w:rsidRDefault="00932C8F" w:rsidP="00D5290C">
      <w:pPr>
        <w:pStyle w:val="ListBullet"/>
      </w:pPr>
      <w:bookmarkStart w:id="12" w:name="_Hlk121926652"/>
      <w:bookmarkStart w:id="13" w:name="_Hlk124849214"/>
      <w:r w:rsidRPr="00A17686">
        <w:t>If HPV vaccination has been missed</w:t>
      </w:r>
      <w:r w:rsidR="00FF20C9">
        <w:t>,</w:t>
      </w:r>
      <w:r w:rsidRPr="00A17686">
        <w:t xml:space="preserve"> only one dose is now required</w:t>
      </w:r>
      <w:r w:rsidR="00E75F65" w:rsidRPr="00A17686">
        <w:t xml:space="preserve"> </w:t>
      </w:r>
      <w:r w:rsidR="002E41C3">
        <w:t xml:space="preserve">before 26 years of age </w:t>
      </w:r>
      <w:r w:rsidR="00E75F65" w:rsidRPr="00A17686">
        <w:t>to be considered fully vaccinated</w:t>
      </w:r>
      <w:r w:rsidR="007F5E38" w:rsidRPr="00A17686">
        <w:t xml:space="preserve"> (except for those who are immunocompromised). </w:t>
      </w:r>
    </w:p>
    <w:p w14:paraId="399450DE" w14:textId="64A4DEB3" w:rsidR="000C1454" w:rsidRPr="00A17686" w:rsidRDefault="00932C8F" w:rsidP="00D5290C">
      <w:pPr>
        <w:pStyle w:val="ListBullet"/>
      </w:pPr>
      <w:r w:rsidRPr="00A17686">
        <w:t xml:space="preserve">Catch-up </w:t>
      </w:r>
      <w:r w:rsidR="00F84909" w:rsidRPr="00A17686">
        <w:t xml:space="preserve">vaccination </w:t>
      </w:r>
      <w:r w:rsidRPr="00A17686">
        <w:t>should occur as soon as possible</w:t>
      </w:r>
      <w:r w:rsidR="00E75F65" w:rsidRPr="00A17686">
        <w:t>, h</w:t>
      </w:r>
      <w:r w:rsidR="009E7FE8" w:rsidRPr="00A17686">
        <w:t xml:space="preserve">owever, </w:t>
      </w:r>
      <w:r w:rsidR="00356AC3" w:rsidRPr="00A17686">
        <w:t>people remain</w:t>
      </w:r>
      <w:r w:rsidRPr="00A17686">
        <w:t xml:space="preserve"> eligible </w:t>
      </w:r>
      <w:r w:rsidR="00E75F65" w:rsidRPr="00A17686">
        <w:t xml:space="preserve">for </w:t>
      </w:r>
      <w:r w:rsidR="008774CA" w:rsidRPr="00A17686">
        <w:t xml:space="preserve">catch-up </w:t>
      </w:r>
      <w:r w:rsidRPr="00A17686">
        <w:t>until</w:t>
      </w:r>
      <w:r w:rsidR="00FB62AE" w:rsidRPr="00A17686">
        <w:t xml:space="preserve"> </w:t>
      </w:r>
      <w:r w:rsidR="00356AC3" w:rsidRPr="00A17686">
        <w:t>they turn</w:t>
      </w:r>
      <w:r w:rsidR="008774CA" w:rsidRPr="00A17686">
        <w:t xml:space="preserve"> </w:t>
      </w:r>
      <w:r w:rsidRPr="00A17686">
        <w:t>26</w:t>
      </w:r>
      <w:r w:rsidR="00E75F65" w:rsidRPr="00A17686">
        <w:t xml:space="preserve"> years of age</w:t>
      </w:r>
      <w:r w:rsidRPr="00A17686">
        <w:t xml:space="preserve">. </w:t>
      </w:r>
    </w:p>
    <w:p w14:paraId="7B9DCAAB" w14:textId="644F9D80" w:rsidR="00B06567" w:rsidRPr="00A17686" w:rsidRDefault="0040269B" w:rsidP="00D5290C">
      <w:pPr>
        <w:pStyle w:val="ListBullet"/>
      </w:pPr>
      <w:r w:rsidRPr="00A17686">
        <w:t>If vaccination is provided through a GP</w:t>
      </w:r>
      <w:r w:rsidR="00306F30" w:rsidRPr="00A17686">
        <w:t xml:space="preserve"> or </w:t>
      </w:r>
      <w:r w:rsidR="007F5E38" w:rsidRPr="00A17686">
        <w:t>other primary ca</w:t>
      </w:r>
      <w:r w:rsidR="00CE4CCA" w:rsidRPr="00A17686">
        <w:t>r</w:t>
      </w:r>
      <w:r w:rsidR="007F5E38" w:rsidRPr="00A17686">
        <w:t>e provide</w:t>
      </w:r>
      <w:r w:rsidR="00FF20C9">
        <w:t>r, then</w:t>
      </w:r>
      <w:r w:rsidRPr="00A17686">
        <w:t xml:space="preserve"> the vaccine </w:t>
      </w:r>
      <w:r w:rsidR="007F5E38" w:rsidRPr="00A17686">
        <w:t>is funded</w:t>
      </w:r>
      <w:r w:rsidRPr="00A17686">
        <w:t xml:space="preserve"> but </w:t>
      </w:r>
      <w:r w:rsidR="007F5E38" w:rsidRPr="00A17686">
        <w:t xml:space="preserve">there may be </w:t>
      </w:r>
      <w:r w:rsidR="003B1CC6" w:rsidRPr="00A17686">
        <w:t>a consultation or administration</w:t>
      </w:r>
      <w:r w:rsidRPr="00A17686">
        <w:t xml:space="preserve"> fee</w:t>
      </w:r>
      <w:r w:rsidR="007F5E38" w:rsidRPr="00A17686">
        <w:t xml:space="preserve"> a</w:t>
      </w:r>
      <w:bookmarkStart w:id="14" w:name="Two_doses_of_Gardasil®9_are_recommended_"/>
      <w:bookmarkEnd w:id="12"/>
      <w:bookmarkEnd w:id="14"/>
      <w:r w:rsidR="007F5E38" w:rsidRPr="00A17686">
        <w:t>pplicable. Talk to your provider for more information.</w:t>
      </w:r>
    </w:p>
    <w:bookmarkEnd w:id="2"/>
    <w:bookmarkEnd w:id="9"/>
    <w:bookmarkEnd w:id="13"/>
    <w:p w14:paraId="34EBE2E2" w14:textId="465AAA9A" w:rsidR="00203443" w:rsidRPr="00A17686" w:rsidRDefault="00203443" w:rsidP="00D5290C">
      <w:pPr>
        <w:pStyle w:val="Heading2"/>
        <w:rPr>
          <w:bCs/>
        </w:rPr>
      </w:pPr>
      <w:r w:rsidRPr="00A17686">
        <w:rPr>
          <w:bCs/>
        </w:rPr>
        <w:lastRenderedPageBreak/>
        <w:t xml:space="preserve">The </w:t>
      </w:r>
      <w:r w:rsidR="00D03034" w:rsidRPr="00A17686">
        <w:rPr>
          <w:bCs/>
        </w:rPr>
        <w:t>change is based on the latest evidence</w:t>
      </w:r>
    </w:p>
    <w:p w14:paraId="3AC99A15" w14:textId="0B2722B0" w:rsidR="00932C8F" w:rsidRPr="00A17686" w:rsidRDefault="00FF20C9" w:rsidP="00D5290C">
      <w:pPr>
        <w:pStyle w:val="ListBullet"/>
      </w:pPr>
      <w:bookmarkStart w:id="15" w:name="Individuals_aged_15_years_or_older_when_"/>
      <w:bookmarkStart w:id="16" w:name="_Hlk121927032"/>
      <w:bookmarkEnd w:id="15"/>
      <w:r>
        <w:t>The program</w:t>
      </w:r>
      <w:r w:rsidR="0045001D" w:rsidRPr="00A17686">
        <w:t xml:space="preserve"> change is based on a large volume of evidence that has emerged in recent years.</w:t>
      </w:r>
      <w:r w:rsidR="00D03034" w:rsidRPr="00A17686">
        <w:t xml:space="preserve"> </w:t>
      </w:r>
      <w:r w:rsidR="003A5473" w:rsidRPr="00A17686">
        <w:t>The Government’s expert advisory group</w:t>
      </w:r>
      <w:r>
        <w:t>,</w:t>
      </w:r>
      <w:r w:rsidR="003A5473" w:rsidRPr="00A17686">
        <w:t xml:space="preserve"> </w:t>
      </w:r>
      <w:r w:rsidR="00203443" w:rsidRPr="00A17686">
        <w:t>ATAG</w:t>
      </w:r>
      <w:r w:rsidR="003A5473" w:rsidRPr="00A17686">
        <w:t>I</w:t>
      </w:r>
      <w:r>
        <w:t>,</w:t>
      </w:r>
      <w:r w:rsidR="00203443" w:rsidRPr="00A17686">
        <w:t xml:space="preserve"> has reviewed </w:t>
      </w:r>
      <w:r w:rsidR="003B1CC6" w:rsidRPr="00A17686">
        <w:t xml:space="preserve">the </w:t>
      </w:r>
      <w:r w:rsidR="00203443" w:rsidRPr="00A17686">
        <w:t>international evidence and determined that a single dose gives</w:t>
      </w:r>
      <w:r w:rsidR="003A5473" w:rsidRPr="00A17686">
        <w:t xml:space="preserve"> comparable </w:t>
      </w:r>
      <w:r w:rsidR="00203443" w:rsidRPr="00A17686">
        <w:t xml:space="preserve">protection </w:t>
      </w:r>
      <w:r w:rsidR="00F84909" w:rsidRPr="00A17686">
        <w:t>to</w:t>
      </w:r>
      <w:r w:rsidR="00203443" w:rsidRPr="00A17686">
        <w:t xml:space="preserve"> two doses. The Pharmaceutical Benefits Advisory Committee </w:t>
      </w:r>
      <w:r w:rsidR="00F72922" w:rsidRPr="00A17686">
        <w:t xml:space="preserve">(PBAC) </w:t>
      </w:r>
      <w:r w:rsidR="00203443" w:rsidRPr="00A17686">
        <w:t>has endorsed ATAGI</w:t>
      </w:r>
      <w:r w:rsidR="000134DF" w:rsidRPr="00A17686">
        <w:t>’s</w:t>
      </w:r>
      <w:r w:rsidR="00203443" w:rsidRPr="00A17686">
        <w:t xml:space="preserve"> </w:t>
      </w:r>
      <w:r w:rsidR="000134DF" w:rsidRPr="00A17686">
        <w:t>recommendation</w:t>
      </w:r>
      <w:r>
        <w:t>s</w:t>
      </w:r>
      <w:r w:rsidR="000134DF" w:rsidRPr="00A17686">
        <w:t>.</w:t>
      </w:r>
    </w:p>
    <w:p w14:paraId="752DA453" w14:textId="044646D7" w:rsidR="000C1454" w:rsidRPr="00A17686" w:rsidRDefault="00203443" w:rsidP="00D5290C">
      <w:pPr>
        <w:pStyle w:val="ListBullet"/>
      </w:pPr>
      <w:bookmarkStart w:id="17" w:name="_Hlk124849292"/>
      <w:r w:rsidRPr="00A17686">
        <w:t>ATAGI’s recommendations are aligned with those of the World Health Organization Strategic Advisory Group of Experts on Immunization (SAGE) and the U</w:t>
      </w:r>
      <w:r w:rsidR="000134DF" w:rsidRPr="00A17686">
        <w:t>nited Kingdom’s</w:t>
      </w:r>
      <w:r w:rsidRPr="00A17686">
        <w:t xml:space="preserve"> Joint Committee on Vaccination and Immunisation (JCVI). </w:t>
      </w:r>
    </w:p>
    <w:p w14:paraId="025D92E0" w14:textId="4C0AC99D" w:rsidR="00203443" w:rsidRPr="00A17686" w:rsidRDefault="00203443" w:rsidP="00D5290C">
      <w:pPr>
        <w:pStyle w:val="ListBullet"/>
      </w:pPr>
      <w:r w:rsidRPr="00A17686">
        <w:t xml:space="preserve">In April 2022, </w:t>
      </w:r>
      <w:hyperlink r:id="rId10" w:history="1">
        <w:r w:rsidRPr="00712A55">
          <w:rPr>
            <w:rStyle w:val="Hyperlink"/>
          </w:rPr>
          <w:t>SAGE</w:t>
        </w:r>
      </w:hyperlink>
      <w:r w:rsidRPr="00A17686">
        <w:t xml:space="preserve"> evaluated the evidence and concluded that</w:t>
      </w:r>
      <w:r w:rsidR="00D13CD5" w:rsidRPr="00A17686">
        <w:t xml:space="preserve"> </w:t>
      </w:r>
      <w:bookmarkStart w:id="18" w:name="_Hlk124169606"/>
      <w:r w:rsidR="006E218A" w:rsidRPr="00A17686">
        <w:t>a single dose</w:t>
      </w:r>
      <w:r w:rsidR="00D13CD5" w:rsidRPr="00A17686">
        <w:t xml:space="preserve"> of HPV vaccine delivers comparable protection to multi-dose schedules in immunocompetent people</w:t>
      </w:r>
      <w:r w:rsidR="00D13CD5" w:rsidRPr="00A17686">
        <w:rPr>
          <w:rStyle w:val="FootnoteReference"/>
          <w:rFonts w:cs="Arial"/>
          <w:sz w:val="21"/>
          <w:szCs w:val="21"/>
        </w:rPr>
        <w:footnoteReference w:id="1"/>
      </w:r>
      <w:r w:rsidR="00FF20C9">
        <w:t>.</w:t>
      </w:r>
      <w:r w:rsidR="000C1454" w:rsidRPr="00A17686">
        <w:t xml:space="preserve"> </w:t>
      </w:r>
      <w:bookmarkEnd w:id="18"/>
      <w:r w:rsidR="006F2E90" w:rsidRPr="00A17686">
        <w:t xml:space="preserve">The </w:t>
      </w:r>
      <w:hyperlink r:id="rId11" w:history="1">
        <w:r w:rsidR="006F2E90" w:rsidRPr="00712A55">
          <w:rPr>
            <w:rStyle w:val="Hyperlink"/>
          </w:rPr>
          <w:t>UK’s</w:t>
        </w:r>
        <w:r w:rsidR="00F84909" w:rsidRPr="00712A55">
          <w:rPr>
            <w:rStyle w:val="Hyperlink"/>
          </w:rPr>
          <w:t xml:space="preserve"> </w:t>
        </w:r>
        <w:r w:rsidR="006F2E90" w:rsidRPr="00712A55">
          <w:rPr>
            <w:rStyle w:val="Hyperlink"/>
          </w:rPr>
          <w:t>JCVI</w:t>
        </w:r>
      </w:hyperlink>
      <w:r w:rsidR="006F2E90" w:rsidRPr="00A17686">
        <w:t xml:space="preserve"> in February 2022 recommended shifting to a one dose vaccination schedule for the pre-adolescent school-based program, which they reaffirmed in a statement in August 2022</w:t>
      </w:r>
      <w:bookmarkStart w:id="19" w:name="_Hlk124169629"/>
      <w:r w:rsidR="00D13CD5" w:rsidRPr="00A17686">
        <w:rPr>
          <w:rStyle w:val="FootnoteReference"/>
          <w:rFonts w:cs="Arial"/>
          <w:sz w:val="21"/>
          <w:szCs w:val="21"/>
        </w:rPr>
        <w:footnoteReference w:id="2"/>
      </w:r>
      <w:r w:rsidR="00D13CD5" w:rsidRPr="00A17686">
        <w:t>.</w:t>
      </w:r>
      <w:bookmarkEnd w:id="19"/>
      <w:r w:rsidR="006F2E90" w:rsidRPr="00A17686">
        <w:t xml:space="preserve"> </w:t>
      </w:r>
      <w:bookmarkStart w:id="20" w:name="_Hlk124169640"/>
      <w:r w:rsidR="00D13CD5" w:rsidRPr="00A17686">
        <w:t>They anticipate implementing this schedule in the 2023–2024 school year</w:t>
      </w:r>
      <w:r w:rsidR="00FB62AE" w:rsidRPr="00A17686">
        <w:t>.</w:t>
      </w:r>
      <w:bookmarkEnd w:id="16"/>
      <w:bookmarkEnd w:id="20"/>
    </w:p>
    <w:p w14:paraId="0F0F667A" w14:textId="6997BB7B" w:rsidR="00203443" w:rsidRPr="00A17686" w:rsidRDefault="00203443" w:rsidP="00D5290C">
      <w:pPr>
        <w:pStyle w:val="Heading2"/>
        <w:rPr>
          <w:bCs/>
        </w:rPr>
      </w:pPr>
      <w:bookmarkStart w:id="21" w:name="Recording_of_HPV_vaccine_doses_given"/>
      <w:bookmarkEnd w:id="17"/>
      <w:bookmarkEnd w:id="21"/>
      <w:r w:rsidRPr="00A17686">
        <w:rPr>
          <w:bCs/>
        </w:rPr>
        <w:t>Vaccination against HPV is important</w:t>
      </w:r>
    </w:p>
    <w:p w14:paraId="3917DBE8" w14:textId="5762F08C" w:rsidR="000D11BB" w:rsidRPr="00A17686" w:rsidRDefault="00203443" w:rsidP="00D5290C">
      <w:pPr>
        <w:pStyle w:val="ListBullet"/>
      </w:pPr>
      <w:bookmarkStart w:id="22" w:name="_Hlk124849332"/>
      <w:r w:rsidRPr="00A17686">
        <w:t xml:space="preserve">HPV is a common virus that is </w:t>
      </w:r>
      <w:r w:rsidR="003B1CC6" w:rsidRPr="00A17686">
        <w:t xml:space="preserve">primarily </w:t>
      </w:r>
      <w:r w:rsidRPr="00A17686">
        <w:t xml:space="preserve">spread through sexual contact. HPV infection can cause cancers and other conditions that lead to serious health consequences in </w:t>
      </w:r>
      <w:r w:rsidR="00E75F65" w:rsidRPr="00A17686">
        <w:t xml:space="preserve">people of all genders. </w:t>
      </w:r>
    </w:p>
    <w:p w14:paraId="34B06C14" w14:textId="09B2FDBC" w:rsidR="000D11BB" w:rsidRPr="00A17686" w:rsidRDefault="000D11BB" w:rsidP="00D5290C">
      <w:pPr>
        <w:pStyle w:val="ListBullet"/>
      </w:pPr>
      <w:r w:rsidRPr="00A17686">
        <w:t xml:space="preserve">The benefits of HPV vaccines are greatest when they are given before exposure to the virus. This underpins the implementation of vaccination </w:t>
      </w:r>
      <w:r w:rsidR="000134DF" w:rsidRPr="00A17686">
        <w:t xml:space="preserve">to young </w:t>
      </w:r>
      <w:r w:rsidR="00CE4CCA" w:rsidRPr="00A17686">
        <w:t xml:space="preserve">people </w:t>
      </w:r>
      <w:r w:rsidRPr="00A17686">
        <w:t xml:space="preserve">in </w:t>
      </w:r>
      <w:r w:rsidR="00C75476" w:rsidRPr="00A17686">
        <w:t>early</w:t>
      </w:r>
      <w:r w:rsidRPr="00A17686">
        <w:t xml:space="preserve"> high school</w:t>
      </w:r>
      <w:r w:rsidR="006E218A" w:rsidRPr="00A17686">
        <w:t xml:space="preserve"> prior to their sexual debut</w:t>
      </w:r>
      <w:r w:rsidRPr="00A17686">
        <w:t>.</w:t>
      </w:r>
    </w:p>
    <w:p w14:paraId="416C1179" w14:textId="77777777" w:rsidR="00FF20C9" w:rsidRDefault="00203443" w:rsidP="00D5290C">
      <w:pPr>
        <w:pStyle w:val="ListBullet"/>
      </w:pPr>
      <w:r w:rsidRPr="00A17686">
        <w:t xml:space="preserve">HPV vaccines are critical to eliminating cervical </w:t>
      </w:r>
      <w:r w:rsidR="00CE4CCA" w:rsidRPr="00A17686">
        <w:t>cancer. Almost</w:t>
      </w:r>
      <w:r w:rsidRPr="00A17686">
        <w:t xml:space="preserve"> all cervical cancers are linked to HPV infection.</w:t>
      </w:r>
      <w:r w:rsidR="00FF20C9">
        <w:t xml:space="preserve"> </w:t>
      </w:r>
      <w:r w:rsidRPr="00FF20C9">
        <w:t xml:space="preserve">Vaccination also </w:t>
      </w:r>
      <w:r w:rsidR="006E218A" w:rsidRPr="00FF20C9">
        <w:t>protects</w:t>
      </w:r>
      <w:r w:rsidRPr="00FF20C9">
        <w:t xml:space="preserve"> against </w:t>
      </w:r>
      <w:r w:rsidR="006E218A" w:rsidRPr="00FF20C9">
        <w:t xml:space="preserve">genital warts </w:t>
      </w:r>
      <w:r w:rsidRPr="00FF20C9">
        <w:t>and HPV related genital, anal and oropharyngeal cancer</w:t>
      </w:r>
      <w:r w:rsidR="006E218A" w:rsidRPr="00FF20C9">
        <w:t>s</w:t>
      </w:r>
      <w:r w:rsidRPr="00FF20C9">
        <w:t xml:space="preserve">. </w:t>
      </w:r>
    </w:p>
    <w:p w14:paraId="1BCBADD4" w14:textId="7586A908" w:rsidR="00203443" w:rsidRPr="00FF20C9" w:rsidRDefault="00FF20C9" w:rsidP="00D5290C">
      <w:pPr>
        <w:pStyle w:val="ListBullet"/>
      </w:pPr>
      <w:r>
        <w:t>Further, v</w:t>
      </w:r>
      <w:r w:rsidRPr="00FF20C9">
        <w:t xml:space="preserve">accination contributes to the elimination of cervical </w:t>
      </w:r>
      <w:r>
        <w:t xml:space="preserve">and other </w:t>
      </w:r>
      <w:r w:rsidRPr="00FF20C9">
        <w:t>cancer</w:t>
      </w:r>
      <w:r>
        <w:t>s</w:t>
      </w:r>
      <w:r w:rsidRPr="00FF20C9">
        <w:t xml:space="preserve"> in Australia by reducing HPV transmission to future sexual partners.</w:t>
      </w:r>
    </w:p>
    <w:p w14:paraId="607094B3" w14:textId="555ECECC" w:rsidR="0040269B" w:rsidRPr="00A17686" w:rsidRDefault="00044C38" w:rsidP="00D5290C">
      <w:pPr>
        <w:pStyle w:val="ListBullet"/>
      </w:pPr>
      <w:bookmarkStart w:id="23" w:name="_Hlk125127564"/>
      <w:r w:rsidRPr="00A17686">
        <w:t xml:space="preserve">HPV vaccination is not </w:t>
      </w:r>
      <w:r w:rsidR="002E41C3">
        <w:t xml:space="preserve">funded </w:t>
      </w:r>
      <w:r w:rsidRPr="00A17686">
        <w:t xml:space="preserve">for </w:t>
      </w:r>
      <w:r w:rsidR="00705E23" w:rsidRPr="00A17686">
        <w:t>people aged</w:t>
      </w:r>
      <w:r w:rsidR="003B1CC6" w:rsidRPr="00A17686">
        <w:t xml:space="preserve"> </w:t>
      </w:r>
      <w:r w:rsidRPr="00A17686">
        <w:t>2</w:t>
      </w:r>
      <w:r w:rsidR="005D2C21" w:rsidRPr="00A17686">
        <w:t>6</w:t>
      </w:r>
      <w:r w:rsidRPr="00A17686">
        <w:t xml:space="preserve"> </w:t>
      </w:r>
      <w:r w:rsidR="00CE4CCA" w:rsidRPr="00A17686">
        <w:t xml:space="preserve">years </w:t>
      </w:r>
      <w:r w:rsidR="00DC25C1" w:rsidRPr="00A17686">
        <w:t>and over</w:t>
      </w:r>
      <w:r w:rsidR="00705E23" w:rsidRPr="00A17686">
        <w:t xml:space="preserve"> </w:t>
      </w:r>
      <w:r w:rsidR="00CE4CCA" w:rsidRPr="00A17686">
        <w:t>because</w:t>
      </w:r>
      <w:r w:rsidRPr="00A17686">
        <w:t xml:space="preserve"> HPV infection generally occurs soon after sexual activity commences</w:t>
      </w:r>
      <w:r w:rsidR="00C32705" w:rsidRPr="00A17686">
        <w:t>.</w:t>
      </w:r>
      <w:r w:rsidRPr="00A17686">
        <w:t xml:space="preserve"> </w:t>
      </w:r>
      <w:r w:rsidR="00C32705" w:rsidRPr="00A17686">
        <w:t>V</w:t>
      </w:r>
      <w:r w:rsidRPr="00A17686">
        <w:t xml:space="preserve">accine effectiveness </w:t>
      </w:r>
      <w:r w:rsidR="00C32705" w:rsidRPr="00A17686">
        <w:t>is reduced if</w:t>
      </w:r>
      <w:r w:rsidRPr="00A17686">
        <w:t xml:space="preserve"> there has been a prior infection. </w:t>
      </w:r>
    </w:p>
    <w:p w14:paraId="6EDB873A" w14:textId="26AEC1EC" w:rsidR="0040269B" w:rsidRPr="00A17686" w:rsidRDefault="0040269B" w:rsidP="00D5290C">
      <w:pPr>
        <w:pStyle w:val="ListBullet"/>
      </w:pPr>
      <w:r w:rsidRPr="00A17686">
        <w:t>Some</w:t>
      </w:r>
      <w:r w:rsidR="00044C38" w:rsidRPr="00A17686">
        <w:t xml:space="preserve"> </w:t>
      </w:r>
      <w:r w:rsidR="00CE4CCA" w:rsidRPr="00A17686">
        <w:t>people aged</w:t>
      </w:r>
      <w:r w:rsidR="00C32705" w:rsidRPr="00A17686">
        <w:t xml:space="preserve"> </w:t>
      </w:r>
      <w:r w:rsidR="00044C38" w:rsidRPr="00A17686">
        <w:t>2</w:t>
      </w:r>
      <w:r w:rsidR="005D2C21" w:rsidRPr="00A17686">
        <w:t>6</w:t>
      </w:r>
      <w:r w:rsidR="00044C38" w:rsidRPr="00A17686">
        <w:t xml:space="preserve"> </w:t>
      </w:r>
      <w:r w:rsidR="00D03034" w:rsidRPr="00A17686">
        <w:t xml:space="preserve">years </w:t>
      </w:r>
      <w:r w:rsidR="00705E23" w:rsidRPr="00A17686">
        <w:t xml:space="preserve">and over </w:t>
      </w:r>
      <w:r w:rsidRPr="00A17686">
        <w:t xml:space="preserve">may </w:t>
      </w:r>
      <w:r w:rsidR="00044C38" w:rsidRPr="00A17686">
        <w:t xml:space="preserve">benefit from being vaccinated and should speak to their </w:t>
      </w:r>
      <w:r w:rsidR="00C32705" w:rsidRPr="00A17686">
        <w:t xml:space="preserve">vaccination provider </w:t>
      </w:r>
      <w:r w:rsidR="0045001D" w:rsidRPr="00A17686">
        <w:t xml:space="preserve">for advice related </w:t>
      </w:r>
      <w:r w:rsidR="00D03034" w:rsidRPr="00A17686">
        <w:t>to their</w:t>
      </w:r>
      <w:r w:rsidR="00044C38" w:rsidRPr="00A17686">
        <w:t xml:space="preserve"> </w:t>
      </w:r>
      <w:r w:rsidR="00705E23" w:rsidRPr="00A17686">
        <w:t>individual circumstances</w:t>
      </w:r>
      <w:r w:rsidR="00044C38" w:rsidRPr="00A17686">
        <w:t xml:space="preserve">. </w:t>
      </w:r>
      <w:r w:rsidR="00AF270F">
        <w:t>If vaccination occurs from 26 years of age, three doses are recommended.</w:t>
      </w:r>
      <w:r w:rsidR="00AF270F" w:rsidRPr="00A17686">
        <w:t xml:space="preserve"> </w:t>
      </w:r>
      <w:r w:rsidR="00DC25C1" w:rsidRPr="00A17686">
        <w:t>V</w:t>
      </w:r>
      <w:r w:rsidR="00D47E41" w:rsidRPr="00A17686">
        <w:t>accines need to be purchased via private prescription</w:t>
      </w:r>
      <w:r w:rsidR="00DC25C1" w:rsidRPr="00A17686">
        <w:t xml:space="preserve"> for people aged 26 years and over</w:t>
      </w:r>
      <w:r w:rsidR="00FF20C9">
        <w:t>, and c</w:t>
      </w:r>
      <w:r w:rsidRPr="00A17686">
        <w:t>osts may vary</w:t>
      </w:r>
      <w:r w:rsidR="00DC25C1" w:rsidRPr="00A17686">
        <w:t>.</w:t>
      </w:r>
      <w:r w:rsidR="00AF270F">
        <w:t xml:space="preserve"> </w:t>
      </w:r>
      <w:r w:rsidR="00E75F65" w:rsidRPr="00A17686">
        <w:t xml:space="preserve">Refer to the </w:t>
      </w:r>
      <w:hyperlink r:id="rId12" w:history="1">
        <w:r w:rsidR="00E75F65" w:rsidRPr="00712A55">
          <w:rPr>
            <w:rStyle w:val="Hyperlink"/>
          </w:rPr>
          <w:t>Australian Immunisation Handboo</w:t>
        </w:r>
        <w:r w:rsidR="00E75F65" w:rsidRPr="00A17686">
          <w:rPr>
            <w:rStyle w:val="Hyperlink"/>
            <w:rFonts w:cs="Arial"/>
            <w:sz w:val="21"/>
            <w:szCs w:val="21"/>
          </w:rPr>
          <w:t>k</w:t>
        </w:r>
      </w:hyperlink>
      <w:r w:rsidR="001A0D4C" w:rsidRPr="00A17686">
        <w:t xml:space="preserve"> for information on HPV vaccination for people who are aged 26</w:t>
      </w:r>
      <w:r w:rsidR="00F84909" w:rsidRPr="00A17686">
        <w:t xml:space="preserve"> years</w:t>
      </w:r>
      <w:r w:rsidR="00DC25C1" w:rsidRPr="00A17686">
        <w:t xml:space="preserve"> and over</w:t>
      </w:r>
      <w:r w:rsidR="00E75F65" w:rsidRPr="00A17686">
        <w:t xml:space="preserve">. </w:t>
      </w:r>
    </w:p>
    <w:bookmarkEnd w:id="23"/>
    <w:p w14:paraId="23C4FB98" w14:textId="4FCC2AAA" w:rsidR="0040269B" w:rsidRPr="00A17686" w:rsidRDefault="00C32705" w:rsidP="00D5290C">
      <w:pPr>
        <w:pStyle w:val="ListBullet"/>
      </w:pPr>
      <w:r w:rsidRPr="00A17686">
        <w:t>HPV vaccination</w:t>
      </w:r>
      <w:r w:rsidR="0040269B" w:rsidRPr="00A17686">
        <w:t xml:space="preserve"> doesn’t </w:t>
      </w:r>
      <w:r w:rsidRPr="00A17686">
        <w:t>protect against</w:t>
      </w:r>
      <w:r w:rsidR="0040269B" w:rsidRPr="00A17686">
        <w:t xml:space="preserve"> </w:t>
      </w:r>
      <w:r w:rsidR="00FF20C9">
        <w:t xml:space="preserve">all </w:t>
      </w:r>
      <w:r w:rsidR="0040269B" w:rsidRPr="00A17686">
        <w:t xml:space="preserve">types of HPV that </w:t>
      </w:r>
      <w:r w:rsidRPr="00A17686">
        <w:t xml:space="preserve">can </w:t>
      </w:r>
      <w:r w:rsidR="0040269B" w:rsidRPr="00A17686">
        <w:t>cause cervical cancer. Cervical screening tests</w:t>
      </w:r>
      <w:r w:rsidRPr="00A17686">
        <w:t xml:space="preserve"> for women and people with a cervix</w:t>
      </w:r>
      <w:r w:rsidR="0040269B" w:rsidRPr="00A17686">
        <w:t xml:space="preserve"> are recommended every 5 years </w:t>
      </w:r>
      <w:r w:rsidRPr="00A17686">
        <w:t xml:space="preserve">between </w:t>
      </w:r>
      <w:r w:rsidR="0040269B" w:rsidRPr="00A17686">
        <w:t>25-74 years</w:t>
      </w:r>
      <w:r w:rsidR="001A0D4C" w:rsidRPr="00A17686">
        <w:t xml:space="preserve"> of age</w:t>
      </w:r>
      <w:r w:rsidR="0040269B" w:rsidRPr="00A17686">
        <w:t>.</w:t>
      </w:r>
    </w:p>
    <w:bookmarkEnd w:id="22"/>
    <w:p w14:paraId="354FAD5A" w14:textId="3F7E7F04" w:rsidR="00D03034" w:rsidRDefault="0086670B" w:rsidP="00D5290C">
      <w:pPr>
        <w:pStyle w:val="Heading2"/>
      </w:pPr>
      <w:r w:rsidRPr="00A17686">
        <w:rPr>
          <w:bCs/>
        </w:rPr>
        <w:t>Where can I get more information?</w:t>
      </w:r>
    </w:p>
    <w:p w14:paraId="72DB831C" w14:textId="088E0737" w:rsidR="00D5290C" w:rsidRDefault="00D5290C" w:rsidP="00D5290C">
      <w:pPr>
        <w:pStyle w:val="ListContinue"/>
      </w:pPr>
      <w:r w:rsidRPr="00A17686">
        <w:t xml:space="preserve">Refer to the </w:t>
      </w:r>
      <w:hyperlink r:id="rId13">
        <w:r w:rsidRPr="00A17686">
          <w:rPr>
            <w:rStyle w:val="Hyperlink"/>
            <w:rFonts w:cs="Arial"/>
            <w:sz w:val="21"/>
            <w:szCs w:val="21"/>
          </w:rPr>
          <w:t>Au</w:t>
        </w:r>
        <w:r w:rsidRPr="00712A55">
          <w:rPr>
            <w:rStyle w:val="Hyperlink"/>
          </w:rPr>
          <w:t>stralian Immunisation Handbook</w:t>
        </w:r>
      </w:hyperlink>
      <w:r w:rsidRPr="00A17686">
        <w:t xml:space="preserve"> which has been updated to provide the latest clinical advice and recommendations on HPV vaccination.</w:t>
      </w:r>
    </w:p>
    <w:p w14:paraId="4BB77D94" w14:textId="39261545" w:rsidR="00D5290C" w:rsidRDefault="00D5290C" w:rsidP="00D5290C">
      <w:pPr>
        <w:pStyle w:val="ListContinue"/>
        <w:rPr>
          <w:rFonts w:cs="Arial"/>
          <w:sz w:val="21"/>
          <w:szCs w:val="21"/>
        </w:rPr>
      </w:pPr>
      <w:r w:rsidRPr="00A17686">
        <w:rPr>
          <w:rFonts w:cs="Arial"/>
          <w:sz w:val="21"/>
          <w:szCs w:val="21"/>
        </w:rPr>
        <w:t xml:space="preserve">Visit the </w:t>
      </w:r>
      <w:hyperlink r:id="rId14" w:history="1">
        <w:r w:rsidRPr="00712A55">
          <w:rPr>
            <w:rStyle w:val="Hyperlink"/>
          </w:rPr>
          <w:t>HPV vaccination page</w:t>
        </w:r>
      </w:hyperlink>
      <w:r w:rsidRPr="00A17686">
        <w:rPr>
          <w:rFonts w:cs="Arial"/>
          <w:sz w:val="21"/>
          <w:szCs w:val="21"/>
        </w:rPr>
        <w:t xml:space="preserve"> on the Department of Health and Aged Care website.</w:t>
      </w:r>
    </w:p>
    <w:p w14:paraId="050AD129" w14:textId="0B06C440" w:rsidR="00D5290C" w:rsidRPr="00D5290C" w:rsidRDefault="00D5290C" w:rsidP="00D5290C">
      <w:pPr>
        <w:pStyle w:val="ListContinue"/>
      </w:pPr>
      <w:r w:rsidRPr="00A17686">
        <w:t>Contact your state or territory health department for further information.</w:t>
      </w:r>
    </w:p>
    <w:p w14:paraId="4769B04C" w14:textId="300EBD1C" w:rsidR="006E673F" w:rsidRPr="00795431" w:rsidRDefault="00112CD3" w:rsidP="00795431">
      <w:pPr>
        <w:jc w:val="right"/>
      </w:pPr>
      <w:r w:rsidRPr="00112CD3">
        <w:rPr>
          <w:noProof/>
          <w:w w:val="110"/>
        </w:rPr>
        <w:drawing>
          <wp:inline distT="0" distB="0" distL="0" distR="0" wp14:anchorId="5249B35F" wp14:editId="7573AA9E">
            <wp:extent cx="2586905" cy="733425"/>
            <wp:effectExtent l="0" t="0" r="4445" b="0"/>
            <wp:docPr id="2" name="Picture 2" descr="Australian Government Department of Health and Aged Care crest and the National Immunisation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Department of Health and Aged Care crest and the National Immunisation program logo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4110" cy="75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73F" w:rsidRPr="00795431" w:rsidSect="00795431">
      <w:footerReference w:type="default" r:id="rId16"/>
      <w:pgSz w:w="11906" w:h="16838"/>
      <w:pgMar w:top="-993" w:right="1440" w:bottom="284" w:left="144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BF46" w14:textId="77777777" w:rsidR="005C6C1E" w:rsidRDefault="005C6C1E" w:rsidP="00712A64">
      <w:r>
        <w:separator/>
      </w:r>
    </w:p>
  </w:endnote>
  <w:endnote w:type="continuationSeparator" w:id="0">
    <w:p w14:paraId="14B40E9A" w14:textId="77777777" w:rsidR="005C6C1E" w:rsidRDefault="005C6C1E" w:rsidP="0071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1762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4B73B" w14:textId="75488C8F" w:rsidR="006E673F" w:rsidRPr="00795431" w:rsidRDefault="006E673F" w:rsidP="00795431">
        <w:pPr>
          <w:pStyle w:val="Footer"/>
          <w:jc w:val="center"/>
          <w:rPr>
            <w:sz w:val="20"/>
            <w:szCs w:val="20"/>
          </w:rPr>
        </w:pPr>
        <w:r w:rsidRPr="00833F0C">
          <w:rPr>
            <w:sz w:val="20"/>
            <w:szCs w:val="20"/>
          </w:rPr>
          <w:fldChar w:fldCharType="begin"/>
        </w:r>
        <w:r w:rsidRPr="00833F0C">
          <w:rPr>
            <w:sz w:val="20"/>
            <w:szCs w:val="20"/>
          </w:rPr>
          <w:instrText xml:space="preserve"> PAGE   \* MERGEFORMAT </w:instrText>
        </w:r>
        <w:r w:rsidRPr="00833F0C">
          <w:rPr>
            <w:sz w:val="20"/>
            <w:szCs w:val="20"/>
          </w:rPr>
          <w:fldChar w:fldCharType="separate"/>
        </w:r>
        <w:r w:rsidRPr="00833F0C">
          <w:rPr>
            <w:noProof/>
            <w:sz w:val="20"/>
            <w:szCs w:val="20"/>
          </w:rPr>
          <w:t>2</w:t>
        </w:r>
        <w:r w:rsidRPr="00833F0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8801" w14:textId="77777777" w:rsidR="005C6C1E" w:rsidRDefault="005C6C1E" w:rsidP="00712A64">
      <w:r>
        <w:separator/>
      </w:r>
    </w:p>
  </w:footnote>
  <w:footnote w:type="continuationSeparator" w:id="0">
    <w:p w14:paraId="7A01F9A8" w14:textId="77777777" w:rsidR="005C6C1E" w:rsidRDefault="005C6C1E" w:rsidP="00712A64">
      <w:r>
        <w:continuationSeparator/>
      </w:r>
    </w:p>
  </w:footnote>
  <w:footnote w:id="1">
    <w:p w14:paraId="2CB0FBC1" w14:textId="76EE93A4" w:rsidR="00D13CD5" w:rsidRPr="00311F76" w:rsidRDefault="00D13CD5">
      <w:pPr>
        <w:pStyle w:val="FootnoteText"/>
        <w:rPr>
          <w:sz w:val="14"/>
          <w:szCs w:val="14"/>
          <w:lang w:val="en-AU"/>
        </w:rPr>
      </w:pPr>
      <w:r w:rsidRPr="00311F76">
        <w:rPr>
          <w:rStyle w:val="FootnoteReference"/>
          <w:sz w:val="14"/>
          <w:szCs w:val="14"/>
        </w:rPr>
        <w:footnoteRef/>
      </w:r>
      <w:r w:rsidRPr="00311F76">
        <w:rPr>
          <w:sz w:val="14"/>
          <w:szCs w:val="14"/>
        </w:rPr>
        <w:t xml:space="preserve"> </w:t>
      </w:r>
      <w:r w:rsidRPr="00311F76">
        <w:rPr>
          <w:noProof/>
          <w:sz w:val="14"/>
          <w:szCs w:val="14"/>
        </w:rPr>
        <w:t>World Health Organization Strategic Advisory Group of Experts on Immunization. Meeting of the Strategic Advisory Group of Experts on Immunization. One-dose Human Papillomavirus (HPV) vaccine offers solid protection against cervical cancer. Weekly Epidemiological Record April 2022.</w:t>
      </w:r>
    </w:p>
  </w:footnote>
  <w:footnote w:id="2">
    <w:p w14:paraId="15EB139B" w14:textId="605C50CD" w:rsidR="00D13CD5" w:rsidRPr="00D13CD5" w:rsidRDefault="00D13CD5" w:rsidP="00D13CD5">
      <w:pPr>
        <w:pStyle w:val="FootnoteText"/>
        <w:rPr>
          <w:lang w:val="en-AU"/>
        </w:rPr>
      </w:pPr>
      <w:r w:rsidRPr="00311F76">
        <w:rPr>
          <w:rStyle w:val="FootnoteReference"/>
          <w:sz w:val="14"/>
          <w:szCs w:val="14"/>
        </w:rPr>
        <w:footnoteRef/>
      </w:r>
      <w:r w:rsidRPr="00311F76">
        <w:rPr>
          <w:sz w:val="14"/>
          <w:szCs w:val="14"/>
        </w:rPr>
        <w:t xml:space="preserve"> </w:t>
      </w:r>
      <w:r w:rsidRPr="00311F76">
        <w:rPr>
          <w:noProof/>
          <w:sz w:val="14"/>
          <w:szCs w:val="14"/>
        </w:rPr>
        <w:t>Joint Committee on Vaccination and Immunisation. JCVI statement on a one-dose schedule for the routine HPV immunisation programme (published 5</w:t>
      </w:r>
      <w:r w:rsidR="00833F0C">
        <w:rPr>
          <w:noProof/>
          <w:sz w:val="14"/>
          <w:szCs w:val="14"/>
        </w:rPr>
        <w:t> </w:t>
      </w:r>
      <w:r w:rsidRPr="00311F76">
        <w:rPr>
          <w:noProof/>
          <w:sz w:val="14"/>
          <w:szCs w:val="14"/>
        </w:rPr>
        <w:t>August 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8.75pt" o:bullet="t">
        <v:imagedata r:id="rId1" o:title="Checklist tick icon"/>
      </v:shape>
    </w:pict>
  </w:numPicBullet>
  <w:numPicBullet w:numPicBulletId="1">
    <w:pict>
      <v:shape id="_x0000_i1052" type="#_x0000_t75" style="width:35.25pt;height:39pt" o:bullet="t">
        <v:imagedata r:id="rId2" o:title="Checklist tick icon"/>
      </v:shape>
    </w:pict>
  </w:numPicBullet>
  <w:numPicBullet w:numPicBulletId="2">
    <w:pict>
      <v:shape id="_x0000_i3317" type="#_x0000_t75" style="width:187.5pt;height:186.75pt" o:bullet="t">
        <v:imagedata r:id="rId3" o:title="TIck icon (orange)"/>
      </v:shape>
    </w:pict>
  </w:numPicBullet>
  <w:abstractNum w:abstractNumId="0" w15:restartNumberingAfterBreak="0">
    <w:nsid w:val="FFFFFF7C"/>
    <w:multiLevelType w:val="singleLevel"/>
    <w:tmpl w:val="FE0E0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02A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429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AD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2C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86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DE5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62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CB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6C3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30F37"/>
    <w:multiLevelType w:val="hybridMultilevel"/>
    <w:tmpl w:val="DE3A12F2"/>
    <w:lvl w:ilvl="0" w:tplc="12907662">
      <w:numFmt w:val="bullet"/>
      <w:lvlText w:val="•"/>
      <w:lvlJc w:val="left"/>
      <w:pPr>
        <w:ind w:left="890" w:hanging="170"/>
      </w:pPr>
      <w:rPr>
        <w:rFonts w:ascii="Calibri" w:eastAsia="Calibri" w:hAnsi="Calibri" w:cs="Calibri" w:hint="default"/>
        <w:w w:val="71"/>
        <w:sz w:val="17"/>
        <w:szCs w:val="17"/>
        <w:lang w:val="en-US" w:eastAsia="en-US" w:bidi="en-US"/>
      </w:rPr>
    </w:lvl>
    <w:lvl w:ilvl="1" w:tplc="ED8A56EA">
      <w:numFmt w:val="bullet"/>
      <w:lvlText w:val="•"/>
      <w:lvlJc w:val="left"/>
      <w:pPr>
        <w:ind w:left="1383" w:hanging="170"/>
      </w:pPr>
      <w:rPr>
        <w:rFonts w:hint="default"/>
        <w:lang w:val="en-US" w:eastAsia="en-US" w:bidi="en-US"/>
      </w:rPr>
    </w:lvl>
    <w:lvl w:ilvl="2" w:tplc="DC9874E8">
      <w:numFmt w:val="bullet"/>
      <w:lvlText w:val="•"/>
      <w:lvlJc w:val="left"/>
      <w:pPr>
        <w:ind w:left="1867" w:hanging="170"/>
      </w:pPr>
      <w:rPr>
        <w:rFonts w:hint="default"/>
        <w:lang w:val="en-US" w:eastAsia="en-US" w:bidi="en-US"/>
      </w:rPr>
    </w:lvl>
    <w:lvl w:ilvl="3" w:tplc="5A025E2A">
      <w:numFmt w:val="bullet"/>
      <w:lvlText w:val="•"/>
      <w:lvlJc w:val="left"/>
      <w:pPr>
        <w:ind w:left="2351" w:hanging="170"/>
      </w:pPr>
      <w:rPr>
        <w:rFonts w:hint="default"/>
        <w:lang w:val="en-US" w:eastAsia="en-US" w:bidi="en-US"/>
      </w:rPr>
    </w:lvl>
    <w:lvl w:ilvl="4" w:tplc="C506ECE4">
      <w:numFmt w:val="bullet"/>
      <w:lvlText w:val="•"/>
      <w:lvlJc w:val="left"/>
      <w:pPr>
        <w:ind w:left="2835" w:hanging="170"/>
      </w:pPr>
      <w:rPr>
        <w:rFonts w:hint="default"/>
        <w:lang w:val="en-US" w:eastAsia="en-US" w:bidi="en-US"/>
      </w:rPr>
    </w:lvl>
    <w:lvl w:ilvl="5" w:tplc="A92215A6">
      <w:numFmt w:val="bullet"/>
      <w:lvlText w:val="•"/>
      <w:lvlJc w:val="left"/>
      <w:pPr>
        <w:ind w:left="3319" w:hanging="170"/>
      </w:pPr>
      <w:rPr>
        <w:rFonts w:hint="default"/>
        <w:lang w:val="en-US" w:eastAsia="en-US" w:bidi="en-US"/>
      </w:rPr>
    </w:lvl>
    <w:lvl w:ilvl="6" w:tplc="EC80B112">
      <w:numFmt w:val="bullet"/>
      <w:lvlText w:val="•"/>
      <w:lvlJc w:val="left"/>
      <w:pPr>
        <w:ind w:left="3803" w:hanging="170"/>
      </w:pPr>
      <w:rPr>
        <w:rFonts w:hint="default"/>
        <w:lang w:val="en-US" w:eastAsia="en-US" w:bidi="en-US"/>
      </w:rPr>
    </w:lvl>
    <w:lvl w:ilvl="7" w:tplc="B234F44C">
      <w:numFmt w:val="bullet"/>
      <w:lvlText w:val="•"/>
      <w:lvlJc w:val="left"/>
      <w:pPr>
        <w:ind w:left="4287" w:hanging="170"/>
      </w:pPr>
      <w:rPr>
        <w:rFonts w:hint="default"/>
        <w:lang w:val="en-US" w:eastAsia="en-US" w:bidi="en-US"/>
      </w:rPr>
    </w:lvl>
    <w:lvl w:ilvl="8" w:tplc="AC84EBAC">
      <w:numFmt w:val="bullet"/>
      <w:lvlText w:val="•"/>
      <w:lvlJc w:val="left"/>
      <w:pPr>
        <w:ind w:left="4771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45B7E"/>
    <w:multiLevelType w:val="hybridMultilevel"/>
    <w:tmpl w:val="81561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3898"/>
    <w:multiLevelType w:val="hybridMultilevel"/>
    <w:tmpl w:val="F6EA043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5C760DF"/>
    <w:multiLevelType w:val="hybridMultilevel"/>
    <w:tmpl w:val="35102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56A98"/>
    <w:multiLevelType w:val="hybridMultilevel"/>
    <w:tmpl w:val="FB14BCA6"/>
    <w:lvl w:ilvl="0" w:tplc="C180CD3A">
      <w:start w:val="1"/>
      <w:numFmt w:val="bullet"/>
      <w:pStyle w:val="ListContinue"/>
      <w:lvlText w:val=""/>
      <w:lvlPicBulletId w:val="2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76D7A"/>
    <w:multiLevelType w:val="hybridMultilevel"/>
    <w:tmpl w:val="70422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A359E"/>
    <w:multiLevelType w:val="hybridMultilevel"/>
    <w:tmpl w:val="8B945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16FEB"/>
    <w:multiLevelType w:val="hybridMultilevel"/>
    <w:tmpl w:val="B50E4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4BC9"/>
    <w:multiLevelType w:val="hybridMultilevel"/>
    <w:tmpl w:val="343AE5BC"/>
    <w:lvl w:ilvl="0" w:tplc="02525EFC">
      <w:numFmt w:val="bullet"/>
      <w:lvlText w:val="•"/>
      <w:lvlJc w:val="left"/>
      <w:pPr>
        <w:ind w:left="890" w:hanging="171"/>
      </w:pPr>
      <w:rPr>
        <w:rFonts w:ascii="Calibri" w:eastAsia="Calibri" w:hAnsi="Calibri" w:cs="Calibri" w:hint="default"/>
        <w:i/>
        <w:w w:val="71"/>
        <w:sz w:val="17"/>
        <w:szCs w:val="17"/>
        <w:lang w:val="en-US" w:eastAsia="en-US" w:bidi="en-US"/>
      </w:rPr>
    </w:lvl>
    <w:lvl w:ilvl="1" w:tplc="43DA4D36">
      <w:numFmt w:val="bullet"/>
      <w:lvlText w:val="•"/>
      <w:lvlJc w:val="left"/>
      <w:pPr>
        <w:ind w:left="1383" w:hanging="171"/>
      </w:pPr>
      <w:rPr>
        <w:rFonts w:hint="default"/>
        <w:lang w:val="en-US" w:eastAsia="en-US" w:bidi="en-US"/>
      </w:rPr>
    </w:lvl>
    <w:lvl w:ilvl="2" w:tplc="974484D8">
      <w:numFmt w:val="bullet"/>
      <w:lvlText w:val="•"/>
      <w:lvlJc w:val="left"/>
      <w:pPr>
        <w:ind w:left="1867" w:hanging="171"/>
      </w:pPr>
      <w:rPr>
        <w:rFonts w:hint="default"/>
        <w:lang w:val="en-US" w:eastAsia="en-US" w:bidi="en-US"/>
      </w:rPr>
    </w:lvl>
    <w:lvl w:ilvl="3" w:tplc="D7A08ED4">
      <w:numFmt w:val="bullet"/>
      <w:lvlText w:val="•"/>
      <w:lvlJc w:val="left"/>
      <w:pPr>
        <w:ind w:left="2351" w:hanging="171"/>
      </w:pPr>
      <w:rPr>
        <w:rFonts w:hint="default"/>
        <w:lang w:val="en-US" w:eastAsia="en-US" w:bidi="en-US"/>
      </w:rPr>
    </w:lvl>
    <w:lvl w:ilvl="4" w:tplc="FA3EE90A">
      <w:numFmt w:val="bullet"/>
      <w:lvlText w:val="•"/>
      <w:lvlJc w:val="left"/>
      <w:pPr>
        <w:ind w:left="2835" w:hanging="171"/>
      </w:pPr>
      <w:rPr>
        <w:rFonts w:hint="default"/>
        <w:lang w:val="en-US" w:eastAsia="en-US" w:bidi="en-US"/>
      </w:rPr>
    </w:lvl>
    <w:lvl w:ilvl="5" w:tplc="CCBE3190">
      <w:numFmt w:val="bullet"/>
      <w:lvlText w:val="•"/>
      <w:lvlJc w:val="left"/>
      <w:pPr>
        <w:ind w:left="3319" w:hanging="171"/>
      </w:pPr>
      <w:rPr>
        <w:rFonts w:hint="default"/>
        <w:lang w:val="en-US" w:eastAsia="en-US" w:bidi="en-US"/>
      </w:rPr>
    </w:lvl>
    <w:lvl w:ilvl="6" w:tplc="D9507204">
      <w:numFmt w:val="bullet"/>
      <w:lvlText w:val="•"/>
      <w:lvlJc w:val="left"/>
      <w:pPr>
        <w:ind w:left="3803" w:hanging="171"/>
      </w:pPr>
      <w:rPr>
        <w:rFonts w:hint="default"/>
        <w:lang w:val="en-US" w:eastAsia="en-US" w:bidi="en-US"/>
      </w:rPr>
    </w:lvl>
    <w:lvl w:ilvl="7" w:tplc="668472F0">
      <w:numFmt w:val="bullet"/>
      <w:lvlText w:val="•"/>
      <w:lvlJc w:val="left"/>
      <w:pPr>
        <w:ind w:left="4287" w:hanging="171"/>
      </w:pPr>
      <w:rPr>
        <w:rFonts w:hint="default"/>
        <w:lang w:val="en-US" w:eastAsia="en-US" w:bidi="en-US"/>
      </w:rPr>
    </w:lvl>
    <w:lvl w:ilvl="8" w:tplc="DFCE9C34">
      <w:numFmt w:val="bullet"/>
      <w:lvlText w:val="•"/>
      <w:lvlJc w:val="left"/>
      <w:pPr>
        <w:ind w:left="4771" w:hanging="171"/>
      </w:pPr>
      <w:rPr>
        <w:rFonts w:hint="default"/>
        <w:lang w:val="en-US" w:eastAsia="en-US" w:bidi="en-US"/>
      </w:rPr>
    </w:lvl>
  </w:abstractNum>
  <w:abstractNum w:abstractNumId="19" w15:restartNumberingAfterBreak="0">
    <w:nsid w:val="63475830"/>
    <w:multiLevelType w:val="hybridMultilevel"/>
    <w:tmpl w:val="030EA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02832"/>
    <w:multiLevelType w:val="hybridMultilevel"/>
    <w:tmpl w:val="91804030"/>
    <w:lvl w:ilvl="0" w:tplc="BBF65C18">
      <w:numFmt w:val="bullet"/>
      <w:lvlText w:val="•"/>
      <w:lvlJc w:val="left"/>
      <w:pPr>
        <w:ind w:left="513" w:hanging="171"/>
      </w:pPr>
      <w:rPr>
        <w:rFonts w:ascii="Calibri" w:eastAsia="Calibri" w:hAnsi="Calibri" w:cs="Calibri" w:hint="default"/>
        <w:w w:val="71"/>
        <w:sz w:val="17"/>
        <w:szCs w:val="17"/>
        <w:lang w:val="en-US" w:eastAsia="en-US" w:bidi="en-US"/>
      </w:rPr>
    </w:lvl>
    <w:lvl w:ilvl="1" w:tplc="8ED042DA">
      <w:numFmt w:val="bullet"/>
      <w:lvlText w:val="•"/>
      <w:lvlJc w:val="left"/>
      <w:pPr>
        <w:ind w:left="1080" w:hanging="171"/>
      </w:pPr>
      <w:rPr>
        <w:rFonts w:hint="default"/>
        <w:lang w:val="en-US" w:eastAsia="en-US" w:bidi="en-US"/>
      </w:rPr>
    </w:lvl>
    <w:lvl w:ilvl="2" w:tplc="14823FE2">
      <w:numFmt w:val="bullet"/>
      <w:lvlText w:val="•"/>
      <w:lvlJc w:val="left"/>
      <w:pPr>
        <w:ind w:left="1641" w:hanging="171"/>
      </w:pPr>
      <w:rPr>
        <w:rFonts w:hint="default"/>
        <w:lang w:val="en-US" w:eastAsia="en-US" w:bidi="en-US"/>
      </w:rPr>
    </w:lvl>
    <w:lvl w:ilvl="3" w:tplc="54F23428">
      <w:numFmt w:val="bullet"/>
      <w:lvlText w:val="•"/>
      <w:lvlJc w:val="left"/>
      <w:pPr>
        <w:ind w:left="2201" w:hanging="171"/>
      </w:pPr>
      <w:rPr>
        <w:rFonts w:hint="default"/>
        <w:lang w:val="en-US" w:eastAsia="en-US" w:bidi="en-US"/>
      </w:rPr>
    </w:lvl>
    <w:lvl w:ilvl="4" w:tplc="4C942038">
      <w:numFmt w:val="bullet"/>
      <w:lvlText w:val="•"/>
      <w:lvlJc w:val="left"/>
      <w:pPr>
        <w:ind w:left="2762" w:hanging="171"/>
      </w:pPr>
      <w:rPr>
        <w:rFonts w:hint="default"/>
        <w:lang w:val="en-US" w:eastAsia="en-US" w:bidi="en-US"/>
      </w:rPr>
    </w:lvl>
    <w:lvl w:ilvl="5" w:tplc="868E9950">
      <w:numFmt w:val="bullet"/>
      <w:lvlText w:val="•"/>
      <w:lvlJc w:val="left"/>
      <w:pPr>
        <w:ind w:left="3323" w:hanging="171"/>
      </w:pPr>
      <w:rPr>
        <w:rFonts w:hint="default"/>
        <w:lang w:val="en-US" w:eastAsia="en-US" w:bidi="en-US"/>
      </w:rPr>
    </w:lvl>
    <w:lvl w:ilvl="6" w:tplc="3B44FACC">
      <w:numFmt w:val="bullet"/>
      <w:lvlText w:val="•"/>
      <w:lvlJc w:val="left"/>
      <w:pPr>
        <w:ind w:left="3883" w:hanging="171"/>
      </w:pPr>
      <w:rPr>
        <w:rFonts w:hint="default"/>
        <w:lang w:val="en-US" w:eastAsia="en-US" w:bidi="en-US"/>
      </w:rPr>
    </w:lvl>
    <w:lvl w:ilvl="7" w:tplc="08CE42EA">
      <w:numFmt w:val="bullet"/>
      <w:lvlText w:val="•"/>
      <w:lvlJc w:val="left"/>
      <w:pPr>
        <w:ind w:left="4444" w:hanging="171"/>
      </w:pPr>
      <w:rPr>
        <w:rFonts w:hint="default"/>
        <w:lang w:val="en-US" w:eastAsia="en-US" w:bidi="en-US"/>
      </w:rPr>
    </w:lvl>
    <w:lvl w:ilvl="8" w:tplc="5BE61E18">
      <w:numFmt w:val="bullet"/>
      <w:lvlText w:val="•"/>
      <w:lvlJc w:val="left"/>
      <w:pPr>
        <w:ind w:left="5005" w:hanging="171"/>
      </w:pPr>
      <w:rPr>
        <w:rFonts w:hint="default"/>
        <w:lang w:val="en-US" w:eastAsia="en-US" w:bidi="en-US"/>
      </w:rPr>
    </w:lvl>
  </w:abstractNum>
  <w:abstractNum w:abstractNumId="21" w15:restartNumberingAfterBreak="0">
    <w:nsid w:val="6FE60E57"/>
    <w:multiLevelType w:val="hybridMultilevel"/>
    <w:tmpl w:val="A9E898FA"/>
    <w:lvl w:ilvl="0" w:tplc="0C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1BA48D6"/>
    <w:multiLevelType w:val="hybridMultilevel"/>
    <w:tmpl w:val="D6AAE926"/>
    <w:lvl w:ilvl="0" w:tplc="1A8EF8E0">
      <w:numFmt w:val="bullet"/>
      <w:lvlText w:val="•"/>
      <w:lvlJc w:val="left"/>
      <w:pPr>
        <w:ind w:left="890" w:hanging="170"/>
      </w:pPr>
      <w:rPr>
        <w:rFonts w:ascii="Calibri" w:eastAsia="Calibri" w:hAnsi="Calibri" w:cs="Calibri" w:hint="default"/>
        <w:w w:val="71"/>
        <w:sz w:val="17"/>
        <w:szCs w:val="17"/>
        <w:lang w:val="en-US" w:eastAsia="en-US" w:bidi="en-US"/>
      </w:rPr>
    </w:lvl>
    <w:lvl w:ilvl="1" w:tplc="701C4570">
      <w:numFmt w:val="bullet"/>
      <w:lvlText w:val="•"/>
      <w:lvlJc w:val="left"/>
      <w:pPr>
        <w:ind w:left="1383" w:hanging="170"/>
      </w:pPr>
      <w:rPr>
        <w:rFonts w:hint="default"/>
        <w:lang w:val="en-US" w:eastAsia="en-US" w:bidi="en-US"/>
      </w:rPr>
    </w:lvl>
    <w:lvl w:ilvl="2" w:tplc="529EDDDE">
      <w:numFmt w:val="bullet"/>
      <w:lvlText w:val="•"/>
      <w:lvlJc w:val="left"/>
      <w:pPr>
        <w:ind w:left="1867" w:hanging="170"/>
      </w:pPr>
      <w:rPr>
        <w:rFonts w:hint="default"/>
        <w:lang w:val="en-US" w:eastAsia="en-US" w:bidi="en-US"/>
      </w:rPr>
    </w:lvl>
    <w:lvl w:ilvl="3" w:tplc="35BCD628">
      <w:numFmt w:val="bullet"/>
      <w:lvlText w:val="•"/>
      <w:lvlJc w:val="left"/>
      <w:pPr>
        <w:ind w:left="2351" w:hanging="170"/>
      </w:pPr>
      <w:rPr>
        <w:rFonts w:hint="default"/>
        <w:lang w:val="en-US" w:eastAsia="en-US" w:bidi="en-US"/>
      </w:rPr>
    </w:lvl>
    <w:lvl w:ilvl="4" w:tplc="450C5DAA">
      <w:numFmt w:val="bullet"/>
      <w:lvlText w:val="•"/>
      <w:lvlJc w:val="left"/>
      <w:pPr>
        <w:ind w:left="2835" w:hanging="170"/>
      </w:pPr>
      <w:rPr>
        <w:rFonts w:hint="default"/>
        <w:lang w:val="en-US" w:eastAsia="en-US" w:bidi="en-US"/>
      </w:rPr>
    </w:lvl>
    <w:lvl w:ilvl="5" w:tplc="C8FE2C42">
      <w:numFmt w:val="bullet"/>
      <w:lvlText w:val="•"/>
      <w:lvlJc w:val="left"/>
      <w:pPr>
        <w:ind w:left="3319" w:hanging="170"/>
      </w:pPr>
      <w:rPr>
        <w:rFonts w:hint="default"/>
        <w:lang w:val="en-US" w:eastAsia="en-US" w:bidi="en-US"/>
      </w:rPr>
    </w:lvl>
    <w:lvl w:ilvl="6" w:tplc="545A783C">
      <w:numFmt w:val="bullet"/>
      <w:lvlText w:val="•"/>
      <w:lvlJc w:val="left"/>
      <w:pPr>
        <w:ind w:left="3803" w:hanging="170"/>
      </w:pPr>
      <w:rPr>
        <w:rFonts w:hint="default"/>
        <w:lang w:val="en-US" w:eastAsia="en-US" w:bidi="en-US"/>
      </w:rPr>
    </w:lvl>
    <w:lvl w:ilvl="7" w:tplc="20D4D5D6">
      <w:numFmt w:val="bullet"/>
      <w:lvlText w:val="•"/>
      <w:lvlJc w:val="left"/>
      <w:pPr>
        <w:ind w:left="4287" w:hanging="170"/>
      </w:pPr>
      <w:rPr>
        <w:rFonts w:hint="default"/>
        <w:lang w:val="en-US" w:eastAsia="en-US" w:bidi="en-US"/>
      </w:rPr>
    </w:lvl>
    <w:lvl w:ilvl="8" w:tplc="2542D680">
      <w:numFmt w:val="bullet"/>
      <w:lvlText w:val="•"/>
      <w:lvlJc w:val="left"/>
      <w:pPr>
        <w:ind w:left="4771" w:hanging="170"/>
      </w:pPr>
      <w:rPr>
        <w:rFonts w:hint="default"/>
        <w:lang w:val="en-US" w:eastAsia="en-US" w:bidi="en-US"/>
      </w:rPr>
    </w:lvl>
  </w:abstractNum>
  <w:abstractNum w:abstractNumId="23" w15:restartNumberingAfterBreak="0">
    <w:nsid w:val="74DC5EAB"/>
    <w:multiLevelType w:val="hybridMultilevel"/>
    <w:tmpl w:val="11E831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7"/>
  </w:num>
  <w:num w:numId="5">
    <w:abstractNumId w:val="15"/>
  </w:num>
  <w:num w:numId="6">
    <w:abstractNumId w:val="16"/>
  </w:num>
  <w:num w:numId="7">
    <w:abstractNumId w:val="20"/>
  </w:num>
  <w:num w:numId="8">
    <w:abstractNumId w:val="11"/>
  </w:num>
  <w:num w:numId="9">
    <w:abstractNumId w:val="13"/>
  </w:num>
  <w:num w:numId="10">
    <w:abstractNumId w:val="19"/>
  </w:num>
  <w:num w:numId="11">
    <w:abstractNumId w:val="23"/>
  </w:num>
  <w:num w:numId="12">
    <w:abstractNumId w:val="21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64"/>
    <w:rsid w:val="000134DF"/>
    <w:rsid w:val="00044C38"/>
    <w:rsid w:val="00044DA2"/>
    <w:rsid w:val="00054AFE"/>
    <w:rsid w:val="0006366C"/>
    <w:rsid w:val="000C1454"/>
    <w:rsid w:val="000D11BB"/>
    <w:rsid w:val="000D2EC9"/>
    <w:rsid w:val="00104593"/>
    <w:rsid w:val="00112CD3"/>
    <w:rsid w:val="00121928"/>
    <w:rsid w:val="001321BE"/>
    <w:rsid w:val="001A0D4C"/>
    <w:rsid w:val="0020096F"/>
    <w:rsid w:val="00203443"/>
    <w:rsid w:val="002157DC"/>
    <w:rsid w:val="00274D81"/>
    <w:rsid w:val="00280050"/>
    <w:rsid w:val="00280102"/>
    <w:rsid w:val="00292C4A"/>
    <w:rsid w:val="002962D2"/>
    <w:rsid w:val="002A5AB6"/>
    <w:rsid w:val="002B535E"/>
    <w:rsid w:val="002D5D13"/>
    <w:rsid w:val="002D61E5"/>
    <w:rsid w:val="002E41C3"/>
    <w:rsid w:val="00305A8C"/>
    <w:rsid w:val="00306F30"/>
    <w:rsid w:val="00311F76"/>
    <w:rsid w:val="00356AC3"/>
    <w:rsid w:val="003A5473"/>
    <w:rsid w:val="003B1CC6"/>
    <w:rsid w:val="003E467E"/>
    <w:rsid w:val="0040269B"/>
    <w:rsid w:val="00403007"/>
    <w:rsid w:val="004263A8"/>
    <w:rsid w:val="004454DA"/>
    <w:rsid w:val="0045001D"/>
    <w:rsid w:val="0045238A"/>
    <w:rsid w:val="00463B25"/>
    <w:rsid w:val="00463D66"/>
    <w:rsid w:val="00484AC4"/>
    <w:rsid w:val="004C1FB4"/>
    <w:rsid w:val="004E57E2"/>
    <w:rsid w:val="00532C9B"/>
    <w:rsid w:val="00566717"/>
    <w:rsid w:val="0058265A"/>
    <w:rsid w:val="005B78EC"/>
    <w:rsid w:val="005C6C1E"/>
    <w:rsid w:val="005D2C21"/>
    <w:rsid w:val="0061125F"/>
    <w:rsid w:val="00615274"/>
    <w:rsid w:val="00654606"/>
    <w:rsid w:val="006831CD"/>
    <w:rsid w:val="006A46E8"/>
    <w:rsid w:val="006E218A"/>
    <w:rsid w:val="006E673F"/>
    <w:rsid w:val="006F2E90"/>
    <w:rsid w:val="006F30C7"/>
    <w:rsid w:val="00702C4C"/>
    <w:rsid w:val="00705E23"/>
    <w:rsid w:val="00712A55"/>
    <w:rsid w:val="00712A64"/>
    <w:rsid w:val="00735D90"/>
    <w:rsid w:val="00795431"/>
    <w:rsid w:val="007B68F4"/>
    <w:rsid w:val="007D0A00"/>
    <w:rsid w:val="007D1AD3"/>
    <w:rsid w:val="007D4880"/>
    <w:rsid w:val="007F5E38"/>
    <w:rsid w:val="00804855"/>
    <w:rsid w:val="0082256A"/>
    <w:rsid w:val="00833F0C"/>
    <w:rsid w:val="0086670B"/>
    <w:rsid w:val="008774CA"/>
    <w:rsid w:val="00892E64"/>
    <w:rsid w:val="008F4A14"/>
    <w:rsid w:val="00914E3D"/>
    <w:rsid w:val="00917ACC"/>
    <w:rsid w:val="00932C8F"/>
    <w:rsid w:val="0093337E"/>
    <w:rsid w:val="0097776E"/>
    <w:rsid w:val="009845D4"/>
    <w:rsid w:val="00996B7E"/>
    <w:rsid w:val="009A4401"/>
    <w:rsid w:val="009A69A3"/>
    <w:rsid w:val="009C6080"/>
    <w:rsid w:val="009E7FE8"/>
    <w:rsid w:val="00A068F8"/>
    <w:rsid w:val="00A17686"/>
    <w:rsid w:val="00A43758"/>
    <w:rsid w:val="00A44AF7"/>
    <w:rsid w:val="00A62DE0"/>
    <w:rsid w:val="00A9655A"/>
    <w:rsid w:val="00AB4098"/>
    <w:rsid w:val="00AC06F5"/>
    <w:rsid w:val="00AE41CB"/>
    <w:rsid w:val="00AE5AED"/>
    <w:rsid w:val="00AF270F"/>
    <w:rsid w:val="00B06567"/>
    <w:rsid w:val="00B6654A"/>
    <w:rsid w:val="00C32705"/>
    <w:rsid w:val="00C45CDE"/>
    <w:rsid w:val="00C55952"/>
    <w:rsid w:val="00C563CE"/>
    <w:rsid w:val="00C75476"/>
    <w:rsid w:val="00C87104"/>
    <w:rsid w:val="00CC633C"/>
    <w:rsid w:val="00CD619F"/>
    <w:rsid w:val="00CE4CCA"/>
    <w:rsid w:val="00D03034"/>
    <w:rsid w:val="00D13CD5"/>
    <w:rsid w:val="00D47E41"/>
    <w:rsid w:val="00D5290C"/>
    <w:rsid w:val="00D64A76"/>
    <w:rsid w:val="00DA7F0C"/>
    <w:rsid w:val="00DB7257"/>
    <w:rsid w:val="00DC25C1"/>
    <w:rsid w:val="00E4286E"/>
    <w:rsid w:val="00E75F65"/>
    <w:rsid w:val="00ED1941"/>
    <w:rsid w:val="00F070B1"/>
    <w:rsid w:val="00F11961"/>
    <w:rsid w:val="00F13CF9"/>
    <w:rsid w:val="00F14D6C"/>
    <w:rsid w:val="00F14E6A"/>
    <w:rsid w:val="00F21C82"/>
    <w:rsid w:val="00F22A9A"/>
    <w:rsid w:val="00F3077C"/>
    <w:rsid w:val="00F335D8"/>
    <w:rsid w:val="00F72922"/>
    <w:rsid w:val="00F8381A"/>
    <w:rsid w:val="00F84909"/>
    <w:rsid w:val="00F8583A"/>
    <w:rsid w:val="00F86762"/>
    <w:rsid w:val="00FA72D5"/>
    <w:rsid w:val="00FB62AE"/>
    <w:rsid w:val="00FC182A"/>
    <w:rsid w:val="00FC3648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8323AE"/>
  <w15:chartTrackingRefBased/>
  <w15:docId w15:val="{3C1D0198-C9D7-49AB-94D3-6362D4EC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2A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Heading1">
    <w:name w:val="heading 1"/>
    <w:link w:val="Heading1Char"/>
    <w:uiPriority w:val="1"/>
    <w:qFormat/>
    <w:rsid w:val="00DB7257"/>
    <w:pPr>
      <w:spacing w:before="2640" w:after="120"/>
      <w:ind w:left="-624"/>
      <w:outlineLvl w:val="0"/>
    </w:pPr>
    <w:rPr>
      <w:rFonts w:ascii="Arial" w:eastAsia="Calibri" w:hAnsi="Arial" w:cs="Arial"/>
      <w:b/>
      <w:bCs/>
      <w:color w:val="00777C"/>
      <w:sz w:val="22"/>
      <w:szCs w:val="21"/>
      <w:lang w:val="en-US" w:bidi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5431"/>
    <w:pPr>
      <w:keepNext/>
      <w:spacing w:before="120" w:line="276" w:lineRule="auto"/>
      <w:outlineLvl w:val="1"/>
    </w:pPr>
    <w:rPr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804855"/>
    <w:pPr>
      <w:spacing w:before="120" w:after="120"/>
    </w:pPr>
    <w:rPr>
      <w:rFonts w:asciiTheme="minorHAnsi" w:eastAsia="Calibri" w:hAnsiTheme="minorHAnsi" w:cs="Calibri"/>
      <w:b/>
      <w:bCs/>
      <w:color w:val="FCB647"/>
      <w:sz w:val="42"/>
      <w:szCs w:val="4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04855"/>
    <w:rPr>
      <w:rFonts w:asciiTheme="minorHAnsi" w:eastAsia="Calibri" w:hAnsiTheme="minorHAnsi" w:cs="Calibri"/>
      <w:b/>
      <w:bCs/>
      <w:color w:val="FCB647"/>
      <w:sz w:val="42"/>
      <w:szCs w:val="4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DB7257"/>
    <w:rPr>
      <w:rFonts w:ascii="Arial" w:eastAsia="Calibri" w:hAnsi="Arial" w:cs="Arial"/>
      <w:b/>
      <w:bCs/>
      <w:color w:val="00777C"/>
      <w:sz w:val="22"/>
      <w:szCs w:val="21"/>
      <w:lang w:val="en-US" w:bidi="en-US"/>
    </w:rPr>
  </w:style>
  <w:style w:type="paragraph" w:styleId="NoSpacing">
    <w:name w:val="No Spacing"/>
    <w:uiPriority w:val="1"/>
    <w:qFormat/>
    <w:rsid w:val="00712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95431"/>
    <w:rPr>
      <w:rFonts w:ascii="Arial" w:eastAsia="Calibri" w:hAnsi="Arial" w:cs="Arial"/>
      <w:b/>
      <w:sz w:val="22"/>
      <w:szCs w:val="21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712A64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12A64"/>
    <w:rPr>
      <w:rFonts w:ascii="Calibri" w:eastAsia="Calibri" w:hAnsi="Calibri" w:cs="Calibri"/>
      <w:sz w:val="17"/>
      <w:szCs w:val="17"/>
      <w:lang w:val="en-US" w:bidi="en-US"/>
    </w:rPr>
  </w:style>
  <w:style w:type="paragraph" w:styleId="ListParagraph">
    <w:name w:val="List Paragraph"/>
    <w:basedOn w:val="Normal"/>
    <w:uiPriority w:val="34"/>
    <w:qFormat/>
    <w:rsid w:val="00712A64"/>
    <w:pPr>
      <w:spacing w:before="87"/>
      <w:ind w:left="513" w:hanging="17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2A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A64"/>
    <w:rPr>
      <w:rFonts w:ascii="Calibri" w:eastAsia="Calibri" w:hAnsi="Calibri" w:cs="Calibri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2A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2A55"/>
    <w:rPr>
      <w:rFonts w:ascii="Arial" w:hAnsi="Arial"/>
      <w:color w:val="0563C1" w:themeColor="hyperlink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FC182A"/>
    <w:pPr>
      <w:spacing w:before="137"/>
      <w:ind w:left="953"/>
    </w:pPr>
  </w:style>
  <w:style w:type="character" w:styleId="CommentReference">
    <w:name w:val="annotation reference"/>
    <w:basedOn w:val="DefaultParagraphFont"/>
    <w:uiPriority w:val="99"/>
    <w:semiHidden/>
    <w:unhideWhenUsed/>
    <w:rsid w:val="00F07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0B1"/>
    <w:rPr>
      <w:rFonts w:ascii="Calibri" w:eastAsia="Calibri" w:hAnsi="Calibri" w:cs="Calibri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0B1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30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73F"/>
    <w:rPr>
      <w:rFonts w:ascii="Calibri" w:eastAsia="Calibri" w:hAnsi="Calibri" w:cs="Calibri"/>
      <w:sz w:val="22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E6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73F"/>
    <w:rPr>
      <w:rFonts w:ascii="Calibri" w:eastAsia="Calibri" w:hAnsi="Calibri" w:cs="Calibri"/>
      <w:sz w:val="22"/>
      <w:szCs w:val="2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4026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customStyle="1" w:styleId="Introparagraph">
    <w:name w:val="Intro paragraph"/>
    <w:link w:val="IntroparagraphChar"/>
    <w:uiPriority w:val="1"/>
    <w:qFormat/>
    <w:rsid w:val="00804855"/>
    <w:pPr>
      <w:spacing w:before="120" w:after="120" w:line="360" w:lineRule="auto"/>
      <w:ind w:left="-567"/>
    </w:pPr>
    <w:rPr>
      <w:rFonts w:ascii="Arial" w:eastAsia="Calibri" w:hAnsi="Arial" w:cs="Arial"/>
      <w:color w:val="00777C"/>
      <w:sz w:val="22"/>
      <w:szCs w:val="22"/>
      <w:lang w:val="en-US" w:bidi="en-US"/>
    </w:rPr>
  </w:style>
  <w:style w:type="table" w:styleId="TableGridLight">
    <w:name w:val="Grid Table Light"/>
    <w:basedOn w:val="TableNormal"/>
    <w:uiPriority w:val="40"/>
    <w:rsid w:val="00D529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Continue">
    <w:name w:val="List Continue"/>
    <w:basedOn w:val="Normal"/>
    <w:uiPriority w:val="99"/>
    <w:unhideWhenUsed/>
    <w:rsid w:val="00DB7257"/>
    <w:pPr>
      <w:numPr>
        <w:numId w:val="24"/>
      </w:numPr>
      <w:spacing w:after="120"/>
      <w:ind w:left="187" w:hanging="357"/>
    </w:pPr>
    <w:rPr>
      <w:rFonts w:ascii="Arial" w:hAnsi="Arial"/>
    </w:rPr>
  </w:style>
  <w:style w:type="paragraph" w:styleId="ListBullet">
    <w:name w:val="List Bullet"/>
    <w:basedOn w:val="Normal"/>
    <w:uiPriority w:val="99"/>
    <w:unhideWhenUsed/>
    <w:qFormat/>
    <w:rsid w:val="00795431"/>
    <w:pPr>
      <w:numPr>
        <w:numId w:val="14"/>
      </w:numPr>
      <w:tabs>
        <w:tab w:val="clear" w:pos="360"/>
      </w:tabs>
      <w:spacing w:before="60" w:after="60"/>
      <w:ind w:left="170" w:hanging="34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712A55"/>
    <w:rPr>
      <w:rFonts w:asciiTheme="minorHAnsi" w:hAnsiTheme="minorHAnsi"/>
      <w:b/>
      <w:bCs/>
      <w:sz w:val="22"/>
    </w:rPr>
  </w:style>
  <w:style w:type="paragraph" w:styleId="Subtitle">
    <w:name w:val="Subtitle"/>
    <w:basedOn w:val="Title"/>
    <w:next w:val="Normal"/>
    <w:link w:val="SubtitleChar"/>
    <w:uiPriority w:val="11"/>
    <w:qFormat/>
    <w:rsid w:val="00712A55"/>
    <w:pPr>
      <w:contextualSpacing/>
    </w:pPr>
    <w:rPr>
      <w:color w:val="FFFFFF" w:themeColor="background1"/>
      <w:sz w:val="28"/>
    </w:rPr>
  </w:style>
  <w:style w:type="character" w:customStyle="1" w:styleId="IntroparagraphChar">
    <w:name w:val="Intro paragraph Char"/>
    <w:basedOn w:val="DefaultParagraphFont"/>
    <w:link w:val="Introparagraph"/>
    <w:uiPriority w:val="1"/>
    <w:rsid w:val="00804855"/>
    <w:rPr>
      <w:rFonts w:ascii="Arial" w:eastAsia="Calibri" w:hAnsi="Arial" w:cs="Arial"/>
      <w:color w:val="00777C"/>
      <w:sz w:val="22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12A55"/>
    <w:rPr>
      <w:rFonts w:asciiTheme="minorHAnsi" w:eastAsia="Calibri" w:hAnsiTheme="minorHAnsi" w:cs="Calibri"/>
      <w:b/>
      <w:bCs/>
      <w:color w:val="FFFFFF" w:themeColor="background1"/>
      <w:sz w:val="28"/>
      <w:szCs w:val="4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immunisationhandbook.health.gov.a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mmunisationhandbook.health.gov.au/contents/vaccine-preventable-diseases/human-papillomavirus-hp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single-dose-of-hpv-vaccine-jcvi-interim-advic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who.int/publications/i/item/who-wer9724-261-2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munisationhandbook.health.gov.au/contents/vaccine-preventable-diseases/human-papillomavirus-hpv" TargetMode="External"/><Relationship Id="rId14" Type="http://schemas.openxmlformats.org/officeDocument/2006/relationships/hyperlink" Target="https://www.health.gov.au/topics/immunisation/vaccines/human-papillomavirus-hpv-immunisation-servic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93EC-9AFE-49E0-89A5-619021D1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Kimberley</dc:creator>
  <cp:keywords/>
  <dc:description/>
  <cp:lastModifiedBy>Department of Health and Aged Care</cp:lastModifiedBy>
  <cp:revision>3</cp:revision>
  <cp:lastPrinted>2023-01-17T04:49:00Z</cp:lastPrinted>
  <dcterms:created xsi:type="dcterms:W3CDTF">2023-02-02T02:08:00Z</dcterms:created>
  <dcterms:modified xsi:type="dcterms:W3CDTF">2023-02-02T02:38:00Z</dcterms:modified>
</cp:coreProperties>
</file>