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665A5" w14:textId="6757A3C8" w:rsidR="00F707A9" w:rsidRPr="00A373AB" w:rsidRDefault="00F707A9" w:rsidP="00A373AB">
      <w:pPr>
        <w:pStyle w:val="Title"/>
      </w:pPr>
      <w:bookmarkStart w:id="0" w:name="_Toc111469062"/>
      <w:r w:rsidRPr="00A373AB">
        <w:t xml:space="preserve">COVID-19 Vaccines </w:t>
      </w:r>
      <w:r w:rsidR="00C3179A" w:rsidRPr="00A373AB">
        <w:t>and</w:t>
      </w:r>
      <w:r w:rsidRPr="00A373AB">
        <w:t xml:space="preserve"> Treatments for Australia Science </w:t>
      </w:r>
      <w:r w:rsidR="00C3179A" w:rsidRPr="00A373AB">
        <w:t>and</w:t>
      </w:r>
      <w:r w:rsidRPr="00A373AB">
        <w:t xml:space="preserve"> Industry Technical Advisory Group </w:t>
      </w:r>
      <w:r w:rsidR="00A52F1D">
        <w:t>s</w:t>
      </w:r>
      <w:r w:rsidRPr="00A373AB">
        <w:t>ummaries</w:t>
      </w:r>
      <w:bookmarkEnd w:id="0"/>
    </w:p>
    <w:sdt>
      <w:sdtPr>
        <w:rPr>
          <w:color w:val="000000" w:themeColor="text1"/>
        </w:rPr>
        <w:id w:val="361091665"/>
        <w:docPartObj>
          <w:docPartGallery w:val="Table of Contents"/>
          <w:docPartUnique/>
        </w:docPartObj>
      </w:sdtPr>
      <w:sdtEndPr>
        <w:rPr>
          <w:rFonts w:asciiTheme="minorHAnsi" w:eastAsiaTheme="minorHAnsi" w:hAnsiTheme="minorHAnsi" w:cstheme="minorHAnsi"/>
          <w:b w:val="0"/>
          <w:noProof/>
          <w:sz w:val="22"/>
          <w:szCs w:val="22"/>
          <w:lang w:val="en-AU"/>
        </w:rPr>
      </w:sdtEndPr>
      <w:sdtContent>
        <w:p w14:paraId="649DEF0E" w14:textId="77777777" w:rsidR="00C3179A" w:rsidRPr="00C3179A" w:rsidRDefault="00F707A9" w:rsidP="00A373AB">
          <w:pPr>
            <w:pStyle w:val="TOCHeading"/>
          </w:pPr>
          <w:r w:rsidRPr="00C3179A">
            <w:t>Contents</w:t>
          </w:r>
        </w:p>
        <w:p w14:paraId="014228F2" w14:textId="20B6BBCF" w:rsidR="00A52F1D" w:rsidRDefault="00F707A9">
          <w:pPr>
            <w:pStyle w:val="TOC1"/>
            <w:tabs>
              <w:tab w:val="right" w:leader="dot" w:pos="8947"/>
            </w:tabs>
            <w:rPr>
              <w:rFonts w:eastAsiaTheme="minorEastAsia" w:cstheme="minorBidi"/>
              <w:noProof/>
              <w:szCs w:val="22"/>
              <w:lang w:eastAsia="en-AU"/>
            </w:rPr>
          </w:pPr>
          <w:r w:rsidRPr="00462013">
            <w:rPr>
              <w:rFonts w:eastAsiaTheme="majorEastAsia" w:cstheme="minorHAnsi"/>
              <w:color w:val="2E74B5" w:themeColor="accent1" w:themeShade="BF"/>
              <w:szCs w:val="22"/>
              <w:lang w:val="en-US"/>
            </w:rPr>
            <w:fldChar w:fldCharType="begin"/>
          </w:r>
          <w:r w:rsidRPr="00C3179A">
            <w:rPr>
              <w:rFonts w:cstheme="minorHAnsi"/>
              <w:szCs w:val="22"/>
            </w:rPr>
            <w:instrText xml:space="preserve"> TOC \o "1-3" \h \z \u </w:instrText>
          </w:r>
          <w:r w:rsidRPr="00462013">
            <w:rPr>
              <w:rFonts w:eastAsiaTheme="majorEastAsia" w:cstheme="minorHAnsi"/>
              <w:color w:val="2E74B5" w:themeColor="accent1" w:themeShade="BF"/>
              <w:szCs w:val="22"/>
              <w:lang w:val="en-US"/>
            </w:rPr>
            <w:fldChar w:fldCharType="separate"/>
          </w:r>
          <w:hyperlink w:anchor="_Toc124874890" w:history="1">
            <w:r w:rsidR="00A52F1D" w:rsidRPr="00373EC1">
              <w:rPr>
                <w:rStyle w:val="Hyperlink"/>
                <w:noProof/>
              </w:rPr>
              <w:t>16 August 2020</w:t>
            </w:r>
            <w:r w:rsidR="00A52F1D">
              <w:rPr>
                <w:noProof/>
                <w:webHidden/>
              </w:rPr>
              <w:tab/>
            </w:r>
            <w:r w:rsidR="00A52F1D">
              <w:rPr>
                <w:noProof/>
                <w:webHidden/>
              </w:rPr>
              <w:fldChar w:fldCharType="begin"/>
            </w:r>
            <w:r w:rsidR="00A52F1D">
              <w:rPr>
                <w:noProof/>
                <w:webHidden/>
              </w:rPr>
              <w:instrText xml:space="preserve"> PAGEREF _Toc124874890 \h </w:instrText>
            </w:r>
            <w:r w:rsidR="00A52F1D">
              <w:rPr>
                <w:noProof/>
                <w:webHidden/>
              </w:rPr>
            </w:r>
            <w:r w:rsidR="00A52F1D">
              <w:rPr>
                <w:noProof/>
                <w:webHidden/>
              </w:rPr>
              <w:fldChar w:fldCharType="separate"/>
            </w:r>
            <w:r w:rsidR="00A52F1D">
              <w:rPr>
                <w:noProof/>
                <w:webHidden/>
              </w:rPr>
              <w:t>1</w:t>
            </w:r>
            <w:r w:rsidR="00A52F1D">
              <w:rPr>
                <w:noProof/>
                <w:webHidden/>
              </w:rPr>
              <w:fldChar w:fldCharType="end"/>
            </w:r>
          </w:hyperlink>
        </w:p>
        <w:p w14:paraId="62297067" w14:textId="1431EE98" w:rsidR="00A52F1D" w:rsidRDefault="00A52F1D">
          <w:pPr>
            <w:pStyle w:val="TOC1"/>
            <w:tabs>
              <w:tab w:val="right" w:leader="dot" w:pos="8947"/>
            </w:tabs>
            <w:rPr>
              <w:rFonts w:eastAsiaTheme="minorEastAsia" w:cstheme="minorBidi"/>
              <w:noProof/>
              <w:szCs w:val="22"/>
              <w:lang w:eastAsia="en-AU"/>
            </w:rPr>
          </w:pPr>
          <w:hyperlink w:anchor="_Toc124874891" w:history="1">
            <w:r w:rsidRPr="00373EC1">
              <w:rPr>
                <w:rStyle w:val="Hyperlink"/>
                <w:noProof/>
              </w:rPr>
              <w:t>24 August 2020</w:t>
            </w:r>
            <w:r>
              <w:rPr>
                <w:noProof/>
                <w:webHidden/>
              </w:rPr>
              <w:tab/>
            </w:r>
            <w:r>
              <w:rPr>
                <w:noProof/>
                <w:webHidden/>
              </w:rPr>
              <w:fldChar w:fldCharType="begin"/>
            </w:r>
            <w:r>
              <w:rPr>
                <w:noProof/>
                <w:webHidden/>
              </w:rPr>
              <w:instrText xml:space="preserve"> PAGEREF _Toc124874891 \h </w:instrText>
            </w:r>
            <w:r>
              <w:rPr>
                <w:noProof/>
                <w:webHidden/>
              </w:rPr>
            </w:r>
            <w:r>
              <w:rPr>
                <w:noProof/>
                <w:webHidden/>
              </w:rPr>
              <w:fldChar w:fldCharType="separate"/>
            </w:r>
            <w:r>
              <w:rPr>
                <w:noProof/>
                <w:webHidden/>
              </w:rPr>
              <w:t>2</w:t>
            </w:r>
            <w:r>
              <w:rPr>
                <w:noProof/>
                <w:webHidden/>
              </w:rPr>
              <w:fldChar w:fldCharType="end"/>
            </w:r>
          </w:hyperlink>
        </w:p>
        <w:p w14:paraId="6ACA0ADD" w14:textId="738579BC" w:rsidR="00A52F1D" w:rsidRDefault="00A52F1D">
          <w:pPr>
            <w:pStyle w:val="TOC1"/>
            <w:tabs>
              <w:tab w:val="right" w:leader="dot" w:pos="8947"/>
            </w:tabs>
            <w:rPr>
              <w:rFonts w:eastAsiaTheme="minorEastAsia" w:cstheme="minorBidi"/>
              <w:noProof/>
              <w:szCs w:val="22"/>
              <w:lang w:eastAsia="en-AU"/>
            </w:rPr>
          </w:pPr>
          <w:hyperlink w:anchor="_Toc124874892" w:history="1">
            <w:r w:rsidRPr="00373EC1">
              <w:rPr>
                <w:rStyle w:val="Hyperlink"/>
                <w:noProof/>
              </w:rPr>
              <w:t>9 September 2020</w:t>
            </w:r>
            <w:r>
              <w:rPr>
                <w:noProof/>
                <w:webHidden/>
              </w:rPr>
              <w:tab/>
            </w:r>
            <w:r>
              <w:rPr>
                <w:noProof/>
                <w:webHidden/>
              </w:rPr>
              <w:fldChar w:fldCharType="begin"/>
            </w:r>
            <w:r>
              <w:rPr>
                <w:noProof/>
                <w:webHidden/>
              </w:rPr>
              <w:instrText xml:space="preserve"> PAGEREF _Toc124874892 \h </w:instrText>
            </w:r>
            <w:r>
              <w:rPr>
                <w:noProof/>
                <w:webHidden/>
              </w:rPr>
            </w:r>
            <w:r>
              <w:rPr>
                <w:noProof/>
                <w:webHidden/>
              </w:rPr>
              <w:fldChar w:fldCharType="separate"/>
            </w:r>
            <w:r>
              <w:rPr>
                <w:noProof/>
                <w:webHidden/>
              </w:rPr>
              <w:t>2</w:t>
            </w:r>
            <w:r>
              <w:rPr>
                <w:noProof/>
                <w:webHidden/>
              </w:rPr>
              <w:fldChar w:fldCharType="end"/>
            </w:r>
          </w:hyperlink>
        </w:p>
        <w:p w14:paraId="640FB7B8" w14:textId="216652F3" w:rsidR="00A52F1D" w:rsidRDefault="00A52F1D">
          <w:pPr>
            <w:pStyle w:val="TOC1"/>
            <w:tabs>
              <w:tab w:val="right" w:leader="dot" w:pos="8947"/>
            </w:tabs>
            <w:rPr>
              <w:rFonts w:eastAsiaTheme="minorEastAsia" w:cstheme="minorBidi"/>
              <w:noProof/>
              <w:szCs w:val="22"/>
              <w:lang w:eastAsia="en-AU"/>
            </w:rPr>
          </w:pPr>
          <w:hyperlink w:anchor="_Toc124874893" w:history="1">
            <w:r w:rsidRPr="00373EC1">
              <w:rPr>
                <w:rStyle w:val="Hyperlink"/>
                <w:noProof/>
              </w:rPr>
              <w:t>17 September 2020</w:t>
            </w:r>
            <w:r>
              <w:rPr>
                <w:noProof/>
                <w:webHidden/>
              </w:rPr>
              <w:tab/>
            </w:r>
            <w:r>
              <w:rPr>
                <w:noProof/>
                <w:webHidden/>
              </w:rPr>
              <w:fldChar w:fldCharType="begin"/>
            </w:r>
            <w:r>
              <w:rPr>
                <w:noProof/>
                <w:webHidden/>
              </w:rPr>
              <w:instrText xml:space="preserve"> PAGEREF _Toc124874893 \h </w:instrText>
            </w:r>
            <w:r>
              <w:rPr>
                <w:noProof/>
                <w:webHidden/>
              </w:rPr>
            </w:r>
            <w:r>
              <w:rPr>
                <w:noProof/>
                <w:webHidden/>
              </w:rPr>
              <w:fldChar w:fldCharType="separate"/>
            </w:r>
            <w:r>
              <w:rPr>
                <w:noProof/>
                <w:webHidden/>
              </w:rPr>
              <w:t>3</w:t>
            </w:r>
            <w:r>
              <w:rPr>
                <w:noProof/>
                <w:webHidden/>
              </w:rPr>
              <w:fldChar w:fldCharType="end"/>
            </w:r>
          </w:hyperlink>
        </w:p>
        <w:p w14:paraId="4A07FC5D" w14:textId="3B5FD9E6" w:rsidR="00A52F1D" w:rsidRDefault="00A52F1D">
          <w:pPr>
            <w:pStyle w:val="TOC1"/>
            <w:tabs>
              <w:tab w:val="right" w:leader="dot" w:pos="8947"/>
            </w:tabs>
            <w:rPr>
              <w:rFonts w:eastAsiaTheme="minorEastAsia" w:cstheme="minorBidi"/>
              <w:noProof/>
              <w:szCs w:val="22"/>
              <w:lang w:eastAsia="en-AU"/>
            </w:rPr>
          </w:pPr>
          <w:hyperlink w:anchor="_Toc124874894" w:history="1">
            <w:r w:rsidRPr="00373EC1">
              <w:rPr>
                <w:rStyle w:val="Hyperlink"/>
                <w:noProof/>
              </w:rPr>
              <w:t>2 October 2020</w:t>
            </w:r>
            <w:r>
              <w:rPr>
                <w:noProof/>
                <w:webHidden/>
              </w:rPr>
              <w:tab/>
            </w:r>
            <w:r>
              <w:rPr>
                <w:noProof/>
                <w:webHidden/>
              </w:rPr>
              <w:fldChar w:fldCharType="begin"/>
            </w:r>
            <w:r>
              <w:rPr>
                <w:noProof/>
                <w:webHidden/>
              </w:rPr>
              <w:instrText xml:space="preserve"> PAGEREF _Toc124874894 \h </w:instrText>
            </w:r>
            <w:r>
              <w:rPr>
                <w:noProof/>
                <w:webHidden/>
              </w:rPr>
            </w:r>
            <w:r>
              <w:rPr>
                <w:noProof/>
                <w:webHidden/>
              </w:rPr>
              <w:fldChar w:fldCharType="separate"/>
            </w:r>
            <w:r>
              <w:rPr>
                <w:noProof/>
                <w:webHidden/>
              </w:rPr>
              <w:t>3</w:t>
            </w:r>
            <w:r>
              <w:rPr>
                <w:noProof/>
                <w:webHidden/>
              </w:rPr>
              <w:fldChar w:fldCharType="end"/>
            </w:r>
          </w:hyperlink>
        </w:p>
        <w:p w14:paraId="2F69528E" w14:textId="6976B31A" w:rsidR="00A52F1D" w:rsidRDefault="00A52F1D">
          <w:pPr>
            <w:pStyle w:val="TOC1"/>
            <w:tabs>
              <w:tab w:val="right" w:leader="dot" w:pos="8947"/>
            </w:tabs>
            <w:rPr>
              <w:rFonts w:eastAsiaTheme="minorEastAsia" w:cstheme="minorBidi"/>
              <w:noProof/>
              <w:szCs w:val="22"/>
              <w:lang w:eastAsia="en-AU"/>
            </w:rPr>
          </w:pPr>
          <w:hyperlink w:anchor="_Toc124874895" w:history="1">
            <w:r w:rsidRPr="00373EC1">
              <w:rPr>
                <w:rStyle w:val="Hyperlink"/>
                <w:noProof/>
              </w:rPr>
              <w:t>7 October 2020</w:t>
            </w:r>
            <w:r>
              <w:rPr>
                <w:noProof/>
                <w:webHidden/>
              </w:rPr>
              <w:tab/>
            </w:r>
            <w:r>
              <w:rPr>
                <w:noProof/>
                <w:webHidden/>
              </w:rPr>
              <w:fldChar w:fldCharType="begin"/>
            </w:r>
            <w:r>
              <w:rPr>
                <w:noProof/>
                <w:webHidden/>
              </w:rPr>
              <w:instrText xml:space="preserve"> PAGEREF _Toc124874895 \h </w:instrText>
            </w:r>
            <w:r>
              <w:rPr>
                <w:noProof/>
                <w:webHidden/>
              </w:rPr>
            </w:r>
            <w:r>
              <w:rPr>
                <w:noProof/>
                <w:webHidden/>
              </w:rPr>
              <w:fldChar w:fldCharType="separate"/>
            </w:r>
            <w:r>
              <w:rPr>
                <w:noProof/>
                <w:webHidden/>
              </w:rPr>
              <w:t>3</w:t>
            </w:r>
            <w:r>
              <w:rPr>
                <w:noProof/>
                <w:webHidden/>
              </w:rPr>
              <w:fldChar w:fldCharType="end"/>
            </w:r>
          </w:hyperlink>
        </w:p>
        <w:p w14:paraId="7690D219" w14:textId="23C34125" w:rsidR="00A52F1D" w:rsidRDefault="00A52F1D">
          <w:pPr>
            <w:pStyle w:val="TOC1"/>
            <w:tabs>
              <w:tab w:val="right" w:leader="dot" w:pos="8947"/>
            </w:tabs>
            <w:rPr>
              <w:rFonts w:eastAsiaTheme="minorEastAsia" w:cstheme="minorBidi"/>
              <w:noProof/>
              <w:szCs w:val="22"/>
              <w:lang w:eastAsia="en-AU"/>
            </w:rPr>
          </w:pPr>
          <w:hyperlink w:anchor="_Toc124874896" w:history="1">
            <w:r w:rsidRPr="00373EC1">
              <w:rPr>
                <w:rStyle w:val="Hyperlink"/>
                <w:noProof/>
              </w:rPr>
              <w:t>25 November 2020</w:t>
            </w:r>
            <w:r>
              <w:rPr>
                <w:noProof/>
                <w:webHidden/>
              </w:rPr>
              <w:tab/>
            </w:r>
            <w:r>
              <w:rPr>
                <w:noProof/>
                <w:webHidden/>
              </w:rPr>
              <w:fldChar w:fldCharType="begin"/>
            </w:r>
            <w:r>
              <w:rPr>
                <w:noProof/>
                <w:webHidden/>
              </w:rPr>
              <w:instrText xml:space="preserve"> PAGEREF _Toc124874896 \h </w:instrText>
            </w:r>
            <w:r>
              <w:rPr>
                <w:noProof/>
                <w:webHidden/>
              </w:rPr>
            </w:r>
            <w:r>
              <w:rPr>
                <w:noProof/>
                <w:webHidden/>
              </w:rPr>
              <w:fldChar w:fldCharType="separate"/>
            </w:r>
            <w:r>
              <w:rPr>
                <w:noProof/>
                <w:webHidden/>
              </w:rPr>
              <w:t>3</w:t>
            </w:r>
            <w:r>
              <w:rPr>
                <w:noProof/>
                <w:webHidden/>
              </w:rPr>
              <w:fldChar w:fldCharType="end"/>
            </w:r>
          </w:hyperlink>
        </w:p>
        <w:p w14:paraId="2CD8F1FC" w14:textId="3B31906B" w:rsidR="00A52F1D" w:rsidRDefault="00A52F1D">
          <w:pPr>
            <w:pStyle w:val="TOC1"/>
            <w:tabs>
              <w:tab w:val="right" w:leader="dot" w:pos="8947"/>
            </w:tabs>
            <w:rPr>
              <w:rFonts w:eastAsiaTheme="minorEastAsia" w:cstheme="minorBidi"/>
              <w:noProof/>
              <w:szCs w:val="22"/>
              <w:lang w:eastAsia="en-AU"/>
            </w:rPr>
          </w:pPr>
          <w:hyperlink w:anchor="_Toc124874897" w:history="1">
            <w:r w:rsidRPr="00373EC1">
              <w:rPr>
                <w:rStyle w:val="Hyperlink"/>
                <w:noProof/>
              </w:rPr>
              <w:t>8 December 2020</w:t>
            </w:r>
            <w:r>
              <w:rPr>
                <w:noProof/>
                <w:webHidden/>
              </w:rPr>
              <w:tab/>
            </w:r>
            <w:r>
              <w:rPr>
                <w:noProof/>
                <w:webHidden/>
              </w:rPr>
              <w:fldChar w:fldCharType="begin"/>
            </w:r>
            <w:r>
              <w:rPr>
                <w:noProof/>
                <w:webHidden/>
              </w:rPr>
              <w:instrText xml:space="preserve"> PAGEREF _Toc124874897 \h </w:instrText>
            </w:r>
            <w:r>
              <w:rPr>
                <w:noProof/>
                <w:webHidden/>
              </w:rPr>
            </w:r>
            <w:r>
              <w:rPr>
                <w:noProof/>
                <w:webHidden/>
              </w:rPr>
              <w:fldChar w:fldCharType="separate"/>
            </w:r>
            <w:r>
              <w:rPr>
                <w:noProof/>
                <w:webHidden/>
              </w:rPr>
              <w:t>4</w:t>
            </w:r>
            <w:r>
              <w:rPr>
                <w:noProof/>
                <w:webHidden/>
              </w:rPr>
              <w:fldChar w:fldCharType="end"/>
            </w:r>
          </w:hyperlink>
        </w:p>
        <w:p w14:paraId="19C80F6A" w14:textId="0EBDE313" w:rsidR="00A52F1D" w:rsidRDefault="00A52F1D">
          <w:pPr>
            <w:pStyle w:val="TOC1"/>
            <w:tabs>
              <w:tab w:val="right" w:leader="dot" w:pos="8947"/>
            </w:tabs>
            <w:rPr>
              <w:rFonts w:eastAsiaTheme="minorEastAsia" w:cstheme="minorBidi"/>
              <w:noProof/>
              <w:szCs w:val="22"/>
              <w:lang w:eastAsia="en-AU"/>
            </w:rPr>
          </w:pPr>
          <w:hyperlink w:anchor="_Toc124874898" w:history="1">
            <w:r w:rsidRPr="00373EC1">
              <w:rPr>
                <w:rStyle w:val="Hyperlink"/>
                <w:noProof/>
              </w:rPr>
              <w:t>12 January 2021</w:t>
            </w:r>
            <w:r>
              <w:rPr>
                <w:noProof/>
                <w:webHidden/>
              </w:rPr>
              <w:tab/>
            </w:r>
            <w:r>
              <w:rPr>
                <w:noProof/>
                <w:webHidden/>
              </w:rPr>
              <w:fldChar w:fldCharType="begin"/>
            </w:r>
            <w:r>
              <w:rPr>
                <w:noProof/>
                <w:webHidden/>
              </w:rPr>
              <w:instrText xml:space="preserve"> PAGEREF _Toc124874898 \h </w:instrText>
            </w:r>
            <w:r>
              <w:rPr>
                <w:noProof/>
                <w:webHidden/>
              </w:rPr>
            </w:r>
            <w:r>
              <w:rPr>
                <w:noProof/>
                <w:webHidden/>
              </w:rPr>
              <w:fldChar w:fldCharType="separate"/>
            </w:r>
            <w:r>
              <w:rPr>
                <w:noProof/>
                <w:webHidden/>
              </w:rPr>
              <w:t>4</w:t>
            </w:r>
            <w:r>
              <w:rPr>
                <w:noProof/>
                <w:webHidden/>
              </w:rPr>
              <w:fldChar w:fldCharType="end"/>
            </w:r>
          </w:hyperlink>
        </w:p>
        <w:p w14:paraId="2B041832" w14:textId="5A045CB0" w:rsidR="00A52F1D" w:rsidRDefault="00A52F1D">
          <w:pPr>
            <w:pStyle w:val="TOC1"/>
            <w:tabs>
              <w:tab w:val="right" w:leader="dot" w:pos="8947"/>
            </w:tabs>
            <w:rPr>
              <w:rFonts w:eastAsiaTheme="minorEastAsia" w:cstheme="minorBidi"/>
              <w:noProof/>
              <w:szCs w:val="22"/>
              <w:lang w:eastAsia="en-AU"/>
            </w:rPr>
          </w:pPr>
          <w:hyperlink w:anchor="_Toc124874899" w:history="1">
            <w:r w:rsidRPr="00373EC1">
              <w:rPr>
                <w:rStyle w:val="Hyperlink"/>
                <w:noProof/>
              </w:rPr>
              <w:t>17 February 2021</w:t>
            </w:r>
            <w:r>
              <w:rPr>
                <w:noProof/>
                <w:webHidden/>
              </w:rPr>
              <w:tab/>
            </w:r>
            <w:r>
              <w:rPr>
                <w:noProof/>
                <w:webHidden/>
              </w:rPr>
              <w:fldChar w:fldCharType="begin"/>
            </w:r>
            <w:r>
              <w:rPr>
                <w:noProof/>
                <w:webHidden/>
              </w:rPr>
              <w:instrText xml:space="preserve"> PAGEREF _Toc124874899 \h </w:instrText>
            </w:r>
            <w:r>
              <w:rPr>
                <w:noProof/>
                <w:webHidden/>
              </w:rPr>
            </w:r>
            <w:r>
              <w:rPr>
                <w:noProof/>
                <w:webHidden/>
              </w:rPr>
              <w:fldChar w:fldCharType="separate"/>
            </w:r>
            <w:r>
              <w:rPr>
                <w:noProof/>
                <w:webHidden/>
              </w:rPr>
              <w:t>4</w:t>
            </w:r>
            <w:r>
              <w:rPr>
                <w:noProof/>
                <w:webHidden/>
              </w:rPr>
              <w:fldChar w:fldCharType="end"/>
            </w:r>
          </w:hyperlink>
        </w:p>
        <w:p w14:paraId="572102F7" w14:textId="06ECB112" w:rsidR="00A52F1D" w:rsidRDefault="00A52F1D">
          <w:pPr>
            <w:pStyle w:val="TOC1"/>
            <w:tabs>
              <w:tab w:val="right" w:leader="dot" w:pos="8947"/>
            </w:tabs>
            <w:rPr>
              <w:rFonts w:eastAsiaTheme="minorEastAsia" w:cstheme="minorBidi"/>
              <w:noProof/>
              <w:szCs w:val="22"/>
              <w:lang w:eastAsia="en-AU"/>
            </w:rPr>
          </w:pPr>
          <w:hyperlink w:anchor="_Toc124874900" w:history="1">
            <w:r w:rsidRPr="00373EC1">
              <w:rPr>
                <w:rStyle w:val="Hyperlink"/>
                <w:noProof/>
              </w:rPr>
              <w:t>26 March 2021</w:t>
            </w:r>
            <w:r>
              <w:rPr>
                <w:noProof/>
                <w:webHidden/>
              </w:rPr>
              <w:tab/>
            </w:r>
            <w:r>
              <w:rPr>
                <w:noProof/>
                <w:webHidden/>
              </w:rPr>
              <w:fldChar w:fldCharType="begin"/>
            </w:r>
            <w:r>
              <w:rPr>
                <w:noProof/>
                <w:webHidden/>
              </w:rPr>
              <w:instrText xml:space="preserve"> PAGEREF _Toc124874900 \h </w:instrText>
            </w:r>
            <w:r>
              <w:rPr>
                <w:noProof/>
                <w:webHidden/>
              </w:rPr>
            </w:r>
            <w:r>
              <w:rPr>
                <w:noProof/>
                <w:webHidden/>
              </w:rPr>
              <w:fldChar w:fldCharType="separate"/>
            </w:r>
            <w:r>
              <w:rPr>
                <w:noProof/>
                <w:webHidden/>
              </w:rPr>
              <w:t>4</w:t>
            </w:r>
            <w:r>
              <w:rPr>
                <w:noProof/>
                <w:webHidden/>
              </w:rPr>
              <w:fldChar w:fldCharType="end"/>
            </w:r>
          </w:hyperlink>
        </w:p>
        <w:p w14:paraId="287B9E8A" w14:textId="17A3D4B2" w:rsidR="00A52F1D" w:rsidRDefault="00A52F1D">
          <w:pPr>
            <w:pStyle w:val="TOC1"/>
            <w:tabs>
              <w:tab w:val="right" w:leader="dot" w:pos="8947"/>
            </w:tabs>
            <w:rPr>
              <w:rFonts w:eastAsiaTheme="minorEastAsia" w:cstheme="minorBidi"/>
              <w:noProof/>
              <w:szCs w:val="22"/>
              <w:lang w:eastAsia="en-AU"/>
            </w:rPr>
          </w:pPr>
          <w:hyperlink w:anchor="_Toc124874901" w:history="1">
            <w:r w:rsidRPr="00373EC1">
              <w:rPr>
                <w:rStyle w:val="Hyperlink"/>
                <w:noProof/>
              </w:rPr>
              <w:t>21 April 2021</w:t>
            </w:r>
            <w:r>
              <w:rPr>
                <w:noProof/>
                <w:webHidden/>
              </w:rPr>
              <w:tab/>
            </w:r>
            <w:r>
              <w:rPr>
                <w:noProof/>
                <w:webHidden/>
              </w:rPr>
              <w:fldChar w:fldCharType="begin"/>
            </w:r>
            <w:r>
              <w:rPr>
                <w:noProof/>
                <w:webHidden/>
              </w:rPr>
              <w:instrText xml:space="preserve"> PAGEREF _Toc124874901 \h </w:instrText>
            </w:r>
            <w:r>
              <w:rPr>
                <w:noProof/>
                <w:webHidden/>
              </w:rPr>
            </w:r>
            <w:r>
              <w:rPr>
                <w:noProof/>
                <w:webHidden/>
              </w:rPr>
              <w:fldChar w:fldCharType="separate"/>
            </w:r>
            <w:r>
              <w:rPr>
                <w:noProof/>
                <w:webHidden/>
              </w:rPr>
              <w:t>5</w:t>
            </w:r>
            <w:r>
              <w:rPr>
                <w:noProof/>
                <w:webHidden/>
              </w:rPr>
              <w:fldChar w:fldCharType="end"/>
            </w:r>
          </w:hyperlink>
        </w:p>
        <w:p w14:paraId="297DE1AF" w14:textId="4B063BED" w:rsidR="00A52F1D" w:rsidRDefault="00A52F1D">
          <w:pPr>
            <w:pStyle w:val="TOC1"/>
            <w:tabs>
              <w:tab w:val="right" w:leader="dot" w:pos="8947"/>
            </w:tabs>
            <w:rPr>
              <w:rFonts w:eastAsiaTheme="minorEastAsia" w:cstheme="minorBidi"/>
              <w:noProof/>
              <w:szCs w:val="22"/>
              <w:lang w:eastAsia="en-AU"/>
            </w:rPr>
          </w:pPr>
          <w:hyperlink w:anchor="_Toc124874902" w:history="1">
            <w:r w:rsidRPr="00373EC1">
              <w:rPr>
                <w:rStyle w:val="Hyperlink"/>
                <w:noProof/>
              </w:rPr>
              <w:t>27 June 2021</w:t>
            </w:r>
            <w:r>
              <w:rPr>
                <w:noProof/>
                <w:webHidden/>
              </w:rPr>
              <w:tab/>
            </w:r>
            <w:r>
              <w:rPr>
                <w:noProof/>
                <w:webHidden/>
              </w:rPr>
              <w:fldChar w:fldCharType="begin"/>
            </w:r>
            <w:r>
              <w:rPr>
                <w:noProof/>
                <w:webHidden/>
              </w:rPr>
              <w:instrText xml:space="preserve"> PAGEREF _Toc124874902 \h </w:instrText>
            </w:r>
            <w:r>
              <w:rPr>
                <w:noProof/>
                <w:webHidden/>
              </w:rPr>
            </w:r>
            <w:r>
              <w:rPr>
                <w:noProof/>
                <w:webHidden/>
              </w:rPr>
              <w:fldChar w:fldCharType="separate"/>
            </w:r>
            <w:r>
              <w:rPr>
                <w:noProof/>
                <w:webHidden/>
              </w:rPr>
              <w:t>5</w:t>
            </w:r>
            <w:r>
              <w:rPr>
                <w:noProof/>
                <w:webHidden/>
              </w:rPr>
              <w:fldChar w:fldCharType="end"/>
            </w:r>
          </w:hyperlink>
        </w:p>
        <w:p w14:paraId="5D47D056" w14:textId="65319155" w:rsidR="00A52F1D" w:rsidRDefault="00A52F1D">
          <w:pPr>
            <w:pStyle w:val="TOC1"/>
            <w:tabs>
              <w:tab w:val="right" w:leader="dot" w:pos="8947"/>
            </w:tabs>
            <w:rPr>
              <w:rFonts w:eastAsiaTheme="minorEastAsia" w:cstheme="minorBidi"/>
              <w:noProof/>
              <w:szCs w:val="22"/>
              <w:lang w:eastAsia="en-AU"/>
            </w:rPr>
          </w:pPr>
          <w:hyperlink w:anchor="_Toc124874903" w:history="1">
            <w:r w:rsidRPr="00373EC1">
              <w:rPr>
                <w:rStyle w:val="Hyperlink"/>
                <w:noProof/>
              </w:rPr>
              <w:t>1 July 2021</w:t>
            </w:r>
            <w:r>
              <w:rPr>
                <w:noProof/>
                <w:webHidden/>
              </w:rPr>
              <w:tab/>
            </w:r>
            <w:r>
              <w:rPr>
                <w:noProof/>
                <w:webHidden/>
              </w:rPr>
              <w:fldChar w:fldCharType="begin"/>
            </w:r>
            <w:r>
              <w:rPr>
                <w:noProof/>
                <w:webHidden/>
              </w:rPr>
              <w:instrText xml:space="preserve"> PAGEREF _Toc124874903 \h </w:instrText>
            </w:r>
            <w:r>
              <w:rPr>
                <w:noProof/>
                <w:webHidden/>
              </w:rPr>
            </w:r>
            <w:r>
              <w:rPr>
                <w:noProof/>
                <w:webHidden/>
              </w:rPr>
              <w:fldChar w:fldCharType="separate"/>
            </w:r>
            <w:r>
              <w:rPr>
                <w:noProof/>
                <w:webHidden/>
              </w:rPr>
              <w:t>5</w:t>
            </w:r>
            <w:r>
              <w:rPr>
                <w:noProof/>
                <w:webHidden/>
              </w:rPr>
              <w:fldChar w:fldCharType="end"/>
            </w:r>
          </w:hyperlink>
        </w:p>
        <w:p w14:paraId="27106450" w14:textId="56F5847C" w:rsidR="00A52F1D" w:rsidRDefault="00A52F1D">
          <w:pPr>
            <w:pStyle w:val="TOC1"/>
            <w:tabs>
              <w:tab w:val="right" w:leader="dot" w:pos="8947"/>
            </w:tabs>
            <w:rPr>
              <w:rFonts w:eastAsiaTheme="minorEastAsia" w:cstheme="minorBidi"/>
              <w:noProof/>
              <w:szCs w:val="22"/>
              <w:lang w:eastAsia="en-AU"/>
            </w:rPr>
          </w:pPr>
          <w:hyperlink w:anchor="_Toc124874904" w:history="1">
            <w:r w:rsidRPr="00373EC1">
              <w:rPr>
                <w:rStyle w:val="Hyperlink"/>
                <w:noProof/>
              </w:rPr>
              <w:t>22 July 2021</w:t>
            </w:r>
            <w:r>
              <w:rPr>
                <w:noProof/>
                <w:webHidden/>
              </w:rPr>
              <w:tab/>
            </w:r>
            <w:r>
              <w:rPr>
                <w:noProof/>
                <w:webHidden/>
              </w:rPr>
              <w:fldChar w:fldCharType="begin"/>
            </w:r>
            <w:r>
              <w:rPr>
                <w:noProof/>
                <w:webHidden/>
              </w:rPr>
              <w:instrText xml:space="preserve"> PAGEREF _Toc124874904 \h </w:instrText>
            </w:r>
            <w:r>
              <w:rPr>
                <w:noProof/>
                <w:webHidden/>
              </w:rPr>
            </w:r>
            <w:r>
              <w:rPr>
                <w:noProof/>
                <w:webHidden/>
              </w:rPr>
              <w:fldChar w:fldCharType="separate"/>
            </w:r>
            <w:r>
              <w:rPr>
                <w:noProof/>
                <w:webHidden/>
              </w:rPr>
              <w:t>5</w:t>
            </w:r>
            <w:r>
              <w:rPr>
                <w:noProof/>
                <w:webHidden/>
              </w:rPr>
              <w:fldChar w:fldCharType="end"/>
            </w:r>
          </w:hyperlink>
        </w:p>
        <w:p w14:paraId="3AE50836" w14:textId="045984A8" w:rsidR="00A52F1D" w:rsidRDefault="00A52F1D">
          <w:pPr>
            <w:pStyle w:val="TOC1"/>
            <w:tabs>
              <w:tab w:val="right" w:leader="dot" w:pos="8947"/>
            </w:tabs>
            <w:rPr>
              <w:rFonts w:eastAsiaTheme="minorEastAsia" w:cstheme="minorBidi"/>
              <w:noProof/>
              <w:szCs w:val="22"/>
              <w:lang w:eastAsia="en-AU"/>
            </w:rPr>
          </w:pPr>
          <w:hyperlink w:anchor="_Toc124874905" w:history="1">
            <w:r w:rsidRPr="00373EC1">
              <w:rPr>
                <w:rStyle w:val="Hyperlink"/>
                <w:noProof/>
              </w:rPr>
              <w:t>3 August 2021</w:t>
            </w:r>
            <w:r>
              <w:rPr>
                <w:noProof/>
                <w:webHidden/>
              </w:rPr>
              <w:tab/>
            </w:r>
            <w:r>
              <w:rPr>
                <w:noProof/>
                <w:webHidden/>
              </w:rPr>
              <w:fldChar w:fldCharType="begin"/>
            </w:r>
            <w:r>
              <w:rPr>
                <w:noProof/>
                <w:webHidden/>
              </w:rPr>
              <w:instrText xml:space="preserve"> PAGEREF _Toc124874905 \h </w:instrText>
            </w:r>
            <w:r>
              <w:rPr>
                <w:noProof/>
                <w:webHidden/>
              </w:rPr>
            </w:r>
            <w:r>
              <w:rPr>
                <w:noProof/>
                <w:webHidden/>
              </w:rPr>
              <w:fldChar w:fldCharType="separate"/>
            </w:r>
            <w:r>
              <w:rPr>
                <w:noProof/>
                <w:webHidden/>
              </w:rPr>
              <w:t>5</w:t>
            </w:r>
            <w:r>
              <w:rPr>
                <w:noProof/>
                <w:webHidden/>
              </w:rPr>
              <w:fldChar w:fldCharType="end"/>
            </w:r>
          </w:hyperlink>
        </w:p>
        <w:p w14:paraId="7F78CD77" w14:textId="666677EA" w:rsidR="00A52F1D" w:rsidRDefault="00A52F1D">
          <w:pPr>
            <w:pStyle w:val="TOC1"/>
            <w:tabs>
              <w:tab w:val="right" w:leader="dot" w:pos="8947"/>
            </w:tabs>
            <w:rPr>
              <w:rFonts w:eastAsiaTheme="minorEastAsia" w:cstheme="minorBidi"/>
              <w:noProof/>
              <w:szCs w:val="22"/>
              <w:lang w:eastAsia="en-AU"/>
            </w:rPr>
          </w:pPr>
          <w:hyperlink w:anchor="_Toc124874906" w:history="1">
            <w:r w:rsidRPr="00373EC1">
              <w:rPr>
                <w:rStyle w:val="Hyperlink"/>
                <w:noProof/>
              </w:rPr>
              <w:t>20 August 2021</w:t>
            </w:r>
            <w:r>
              <w:rPr>
                <w:noProof/>
                <w:webHidden/>
              </w:rPr>
              <w:tab/>
            </w:r>
            <w:r>
              <w:rPr>
                <w:noProof/>
                <w:webHidden/>
              </w:rPr>
              <w:fldChar w:fldCharType="begin"/>
            </w:r>
            <w:r>
              <w:rPr>
                <w:noProof/>
                <w:webHidden/>
              </w:rPr>
              <w:instrText xml:space="preserve"> PAGEREF _Toc124874906 \h </w:instrText>
            </w:r>
            <w:r>
              <w:rPr>
                <w:noProof/>
                <w:webHidden/>
              </w:rPr>
            </w:r>
            <w:r>
              <w:rPr>
                <w:noProof/>
                <w:webHidden/>
              </w:rPr>
              <w:fldChar w:fldCharType="separate"/>
            </w:r>
            <w:r>
              <w:rPr>
                <w:noProof/>
                <w:webHidden/>
              </w:rPr>
              <w:t>6</w:t>
            </w:r>
            <w:r>
              <w:rPr>
                <w:noProof/>
                <w:webHidden/>
              </w:rPr>
              <w:fldChar w:fldCharType="end"/>
            </w:r>
          </w:hyperlink>
        </w:p>
        <w:p w14:paraId="586F43DE" w14:textId="1272BA30" w:rsidR="00A52F1D" w:rsidRDefault="00A52F1D">
          <w:pPr>
            <w:pStyle w:val="TOC1"/>
            <w:tabs>
              <w:tab w:val="right" w:leader="dot" w:pos="8947"/>
            </w:tabs>
            <w:rPr>
              <w:rFonts w:eastAsiaTheme="minorEastAsia" w:cstheme="minorBidi"/>
              <w:noProof/>
              <w:szCs w:val="22"/>
              <w:lang w:eastAsia="en-AU"/>
            </w:rPr>
          </w:pPr>
          <w:hyperlink w:anchor="_Toc124874907" w:history="1">
            <w:r w:rsidRPr="00373EC1">
              <w:rPr>
                <w:rStyle w:val="Hyperlink"/>
                <w:noProof/>
              </w:rPr>
              <w:t>6 September 2021</w:t>
            </w:r>
            <w:r>
              <w:rPr>
                <w:noProof/>
                <w:webHidden/>
              </w:rPr>
              <w:tab/>
            </w:r>
            <w:r>
              <w:rPr>
                <w:noProof/>
                <w:webHidden/>
              </w:rPr>
              <w:fldChar w:fldCharType="begin"/>
            </w:r>
            <w:r>
              <w:rPr>
                <w:noProof/>
                <w:webHidden/>
              </w:rPr>
              <w:instrText xml:space="preserve"> PAGEREF _Toc124874907 \h </w:instrText>
            </w:r>
            <w:r>
              <w:rPr>
                <w:noProof/>
                <w:webHidden/>
              </w:rPr>
            </w:r>
            <w:r>
              <w:rPr>
                <w:noProof/>
                <w:webHidden/>
              </w:rPr>
              <w:fldChar w:fldCharType="separate"/>
            </w:r>
            <w:r>
              <w:rPr>
                <w:noProof/>
                <w:webHidden/>
              </w:rPr>
              <w:t>6</w:t>
            </w:r>
            <w:r>
              <w:rPr>
                <w:noProof/>
                <w:webHidden/>
              </w:rPr>
              <w:fldChar w:fldCharType="end"/>
            </w:r>
          </w:hyperlink>
        </w:p>
        <w:p w14:paraId="3F8B7C62" w14:textId="03DA91B8" w:rsidR="00A52F1D" w:rsidRDefault="00A52F1D">
          <w:pPr>
            <w:pStyle w:val="TOC1"/>
            <w:tabs>
              <w:tab w:val="right" w:leader="dot" w:pos="8947"/>
            </w:tabs>
            <w:rPr>
              <w:rFonts w:eastAsiaTheme="minorEastAsia" w:cstheme="minorBidi"/>
              <w:noProof/>
              <w:szCs w:val="22"/>
              <w:lang w:eastAsia="en-AU"/>
            </w:rPr>
          </w:pPr>
          <w:hyperlink w:anchor="_Toc124874908" w:history="1">
            <w:r w:rsidRPr="00373EC1">
              <w:rPr>
                <w:rStyle w:val="Hyperlink"/>
                <w:noProof/>
              </w:rPr>
              <w:t>29 October 2021</w:t>
            </w:r>
            <w:r>
              <w:rPr>
                <w:noProof/>
                <w:webHidden/>
              </w:rPr>
              <w:tab/>
            </w:r>
            <w:r>
              <w:rPr>
                <w:noProof/>
                <w:webHidden/>
              </w:rPr>
              <w:fldChar w:fldCharType="begin"/>
            </w:r>
            <w:r>
              <w:rPr>
                <w:noProof/>
                <w:webHidden/>
              </w:rPr>
              <w:instrText xml:space="preserve"> PAGEREF _Toc124874908 \h </w:instrText>
            </w:r>
            <w:r>
              <w:rPr>
                <w:noProof/>
                <w:webHidden/>
              </w:rPr>
            </w:r>
            <w:r>
              <w:rPr>
                <w:noProof/>
                <w:webHidden/>
              </w:rPr>
              <w:fldChar w:fldCharType="separate"/>
            </w:r>
            <w:r>
              <w:rPr>
                <w:noProof/>
                <w:webHidden/>
              </w:rPr>
              <w:t>6</w:t>
            </w:r>
            <w:r>
              <w:rPr>
                <w:noProof/>
                <w:webHidden/>
              </w:rPr>
              <w:fldChar w:fldCharType="end"/>
            </w:r>
          </w:hyperlink>
        </w:p>
        <w:p w14:paraId="652F822F" w14:textId="599064C2" w:rsidR="00A52F1D" w:rsidRDefault="00A52F1D">
          <w:pPr>
            <w:pStyle w:val="TOC1"/>
            <w:tabs>
              <w:tab w:val="right" w:leader="dot" w:pos="8947"/>
            </w:tabs>
            <w:rPr>
              <w:rFonts w:eastAsiaTheme="minorEastAsia" w:cstheme="minorBidi"/>
              <w:noProof/>
              <w:szCs w:val="22"/>
              <w:lang w:eastAsia="en-AU"/>
            </w:rPr>
          </w:pPr>
          <w:hyperlink w:anchor="_Toc124874909" w:history="1">
            <w:r w:rsidRPr="00373EC1">
              <w:rPr>
                <w:rStyle w:val="Hyperlink"/>
                <w:noProof/>
              </w:rPr>
              <w:t>19 November 2021</w:t>
            </w:r>
            <w:r>
              <w:rPr>
                <w:noProof/>
                <w:webHidden/>
              </w:rPr>
              <w:tab/>
            </w:r>
            <w:r>
              <w:rPr>
                <w:noProof/>
                <w:webHidden/>
              </w:rPr>
              <w:fldChar w:fldCharType="begin"/>
            </w:r>
            <w:r>
              <w:rPr>
                <w:noProof/>
                <w:webHidden/>
              </w:rPr>
              <w:instrText xml:space="preserve"> PAGEREF _Toc124874909 \h </w:instrText>
            </w:r>
            <w:r>
              <w:rPr>
                <w:noProof/>
                <w:webHidden/>
              </w:rPr>
            </w:r>
            <w:r>
              <w:rPr>
                <w:noProof/>
                <w:webHidden/>
              </w:rPr>
              <w:fldChar w:fldCharType="separate"/>
            </w:r>
            <w:r>
              <w:rPr>
                <w:noProof/>
                <w:webHidden/>
              </w:rPr>
              <w:t>6</w:t>
            </w:r>
            <w:r>
              <w:rPr>
                <w:noProof/>
                <w:webHidden/>
              </w:rPr>
              <w:fldChar w:fldCharType="end"/>
            </w:r>
          </w:hyperlink>
        </w:p>
        <w:p w14:paraId="6AA222F5" w14:textId="4F5E7886" w:rsidR="00A52F1D" w:rsidRDefault="00A52F1D">
          <w:pPr>
            <w:pStyle w:val="TOC1"/>
            <w:tabs>
              <w:tab w:val="right" w:leader="dot" w:pos="8947"/>
            </w:tabs>
            <w:rPr>
              <w:rFonts w:eastAsiaTheme="minorEastAsia" w:cstheme="minorBidi"/>
              <w:noProof/>
              <w:szCs w:val="22"/>
              <w:lang w:eastAsia="en-AU"/>
            </w:rPr>
          </w:pPr>
          <w:hyperlink w:anchor="_Toc124874910" w:history="1">
            <w:r w:rsidRPr="00373EC1">
              <w:rPr>
                <w:rStyle w:val="Hyperlink"/>
                <w:noProof/>
              </w:rPr>
              <w:t>22 December 2021</w:t>
            </w:r>
            <w:r>
              <w:rPr>
                <w:noProof/>
                <w:webHidden/>
              </w:rPr>
              <w:tab/>
            </w:r>
            <w:r>
              <w:rPr>
                <w:noProof/>
                <w:webHidden/>
              </w:rPr>
              <w:fldChar w:fldCharType="begin"/>
            </w:r>
            <w:r>
              <w:rPr>
                <w:noProof/>
                <w:webHidden/>
              </w:rPr>
              <w:instrText xml:space="preserve"> PAGEREF _Toc124874910 \h </w:instrText>
            </w:r>
            <w:r>
              <w:rPr>
                <w:noProof/>
                <w:webHidden/>
              </w:rPr>
            </w:r>
            <w:r>
              <w:rPr>
                <w:noProof/>
                <w:webHidden/>
              </w:rPr>
              <w:fldChar w:fldCharType="separate"/>
            </w:r>
            <w:r>
              <w:rPr>
                <w:noProof/>
                <w:webHidden/>
              </w:rPr>
              <w:t>6</w:t>
            </w:r>
            <w:r>
              <w:rPr>
                <w:noProof/>
                <w:webHidden/>
              </w:rPr>
              <w:fldChar w:fldCharType="end"/>
            </w:r>
          </w:hyperlink>
        </w:p>
        <w:p w14:paraId="692401B2" w14:textId="1EDBC99A" w:rsidR="00A52F1D" w:rsidRDefault="00A52F1D">
          <w:pPr>
            <w:pStyle w:val="TOC1"/>
            <w:tabs>
              <w:tab w:val="right" w:leader="dot" w:pos="8947"/>
            </w:tabs>
            <w:rPr>
              <w:rFonts w:eastAsiaTheme="minorEastAsia" w:cstheme="minorBidi"/>
              <w:noProof/>
              <w:szCs w:val="22"/>
              <w:lang w:eastAsia="en-AU"/>
            </w:rPr>
          </w:pPr>
          <w:hyperlink w:anchor="_Toc124874911" w:history="1">
            <w:r w:rsidRPr="00373EC1">
              <w:rPr>
                <w:rStyle w:val="Hyperlink"/>
                <w:noProof/>
              </w:rPr>
              <w:t>12 January 2022</w:t>
            </w:r>
            <w:r>
              <w:rPr>
                <w:noProof/>
                <w:webHidden/>
              </w:rPr>
              <w:tab/>
            </w:r>
            <w:r>
              <w:rPr>
                <w:noProof/>
                <w:webHidden/>
              </w:rPr>
              <w:fldChar w:fldCharType="begin"/>
            </w:r>
            <w:r>
              <w:rPr>
                <w:noProof/>
                <w:webHidden/>
              </w:rPr>
              <w:instrText xml:space="preserve"> PAGEREF _Toc124874911 \h </w:instrText>
            </w:r>
            <w:r>
              <w:rPr>
                <w:noProof/>
                <w:webHidden/>
              </w:rPr>
            </w:r>
            <w:r>
              <w:rPr>
                <w:noProof/>
                <w:webHidden/>
              </w:rPr>
              <w:fldChar w:fldCharType="separate"/>
            </w:r>
            <w:r>
              <w:rPr>
                <w:noProof/>
                <w:webHidden/>
              </w:rPr>
              <w:t>7</w:t>
            </w:r>
            <w:r>
              <w:rPr>
                <w:noProof/>
                <w:webHidden/>
              </w:rPr>
              <w:fldChar w:fldCharType="end"/>
            </w:r>
          </w:hyperlink>
        </w:p>
        <w:p w14:paraId="2561EAB3" w14:textId="5A19B84E" w:rsidR="00A52F1D" w:rsidRDefault="00A52F1D">
          <w:pPr>
            <w:pStyle w:val="TOC1"/>
            <w:tabs>
              <w:tab w:val="right" w:leader="dot" w:pos="8947"/>
            </w:tabs>
            <w:rPr>
              <w:rFonts w:eastAsiaTheme="minorEastAsia" w:cstheme="minorBidi"/>
              <w:noProof/>
              <w:szCs w:val="22"/>
              <w:lang w:eastAsia="en-AU"/>
            </w:rPr>
          </w:pPr>
          <w:hyperlink w:anchor="_Toc124874912" w:history="1">
            <w:r w:rsidRPr="00373EC1">
              <w:rPr>
                <w:rStyle w:val="Hyperlink"/>
                <w:noProof/>
              </w:rPr>
              <w:t>18 March 2022</w:t>
            </w:r>
            <w:r>
              <w:rPr>
                <w:noProof/>
                <w:webHidden/>
              </w:rPr>
              <w:tab/>
            </w:r>
            <w:r>
              <w:rPr>
                <w:noProof/>
                <w:webHidden/>
              </w:rPr>
              <w:fldChar w:fldCharType="begin"/>
            </w:r>
            <w:r>
              <w:rPr>
                <w:noProof/>
                <w:webHidden/>
              </w:rPr>
              <w:instrText xml:space="preserve"> PAGEREF _Toc124874912 \h </w:instrText>
            </w:r>
            <w:r>
              <w:rPr>
                <w:noProof/>
                <w:webHidden/>
              </w:rPr>
            </w:r>
            <w:r>
              <w:rPr>
                <w:noProof/>
                <w:webHidden/>
              </w:rPr>
              <w:fldChar w:fldCharType="separate"/>
            </w:r>
            <w:r>
              <w:rPr>
                <w:noProof/>
                <w:webHidden/>
              </w:rPr>
              <w:t>7</w:t>
            </w:r>
            <w:r>
              <w:rPr>
                <w:noProof/>
                <w:webHidden/>
              </w:rPr>
              <w:fldChar w:fldCharType="end"/>
            </w:r>
          </w:hyperlink>
        </w:p>
        <w:p w14:paraId="3875911F" w14:textId="48DE7CFC" w:rsidR="00A52F1D" w:rsidRDefault="00A52F1D">
          <w:pPr>
            <w:pStyle w:val="TOC1"/>
            <w:tabs>
              <w:tab w:val="right" w:leader="dot" w:pos="8947"/>
            </w:tabs>
            <w:rPr>
              <w:rFonts w:eastAsiaTheme="minorEastAsia" w:cstheme="minorBidi"/>
              <w:noProof/>
              <w:szCs w:val="22"/>
              <w:lang w:eastAsia="en-AU"/>
            </w:rPr>
          </w:pPr>
          <w:hyperlink w:anchor="_Toc124874913" w:history="1">
            <w:r w:rsidRPr="00373EC1">
              <w:rPr>
                <w:rStyle w:val="Hyperlink"/>
                <w:noProof/>
              </w:rPr>
              <w:t>24 March 2022</w:t>
            </w:r>
            <w:r>
              <w:rPr>
                <w:noProof/>
                <w:webHidden/>
              </w:rPr>
              <w:tab/>
            </w:r>
            <w:r>
              <w:rPr>
                <w:noProof/>
                <w:webHidden/>
              </w:rPr>
              <w:fldChar w:fldCharType="begin"/>
            </w:r>
            <w:r>
              <w:rPr>
                <w:noProof/>
                <w:webHidden/>
              </w:rPr>
              <w:instrText xml:space="preserve"> PAGEREF _Toc124874913 \h </w:instrText>
            </w:r>
            <w:r>
              <w:rPr>
                <w:noProof/>
                <w:webHidden/>
              </w:rPr>
            </w:r>
            <w:r>
              <w:rPr>
                <w:noProof/>
                <w:webHidden/>
              </w:rPr>
              <w:fldChar w:fldCharType="separate"/>
            </w:r>
            <w:r>
              <w:rPr>
                <w:noProof/>
                <w:webHidden/>
              </w:rPr>
              <w:t>7</w:t>
            </w:r>
            <w:r>
              <w:rPr>
                <w:noProof/>
                <w:webHidden/>
              </w:rPr>
              <w:fldChar w:fldCharType="end"/>
            </w:r>
          </w:hyperlink>
        </w:p>
        <w:p w14:paraId="114D1FAA" w14:textId="24CA6196" w:rsidR="00A52F1D" w:rsidRDefault="00A52F1D">
          <w:pPr>
            <w:pStyle w:val="TOC1"/>
            <w:tabs>
              <w:tab w:val="right" w:leader="dot" w:pos="8947"/>
            </w:tabs>
            <w:rPr>
              <w:rFonts w:eastAsiaTheme="minorEastAsia" w:cstheme="minorBidi"/>
              <w:noProof/>
              <w:szCs w:val="22"/>
              <w:lang w:eastAsia="en-AU"/>
            </w:rPr>
          </w:pPr>
          <w:hyperlink w:anchor="_Toc124874914" w:history="1">
            <w:r w:rsidRPr="00373EC1">
              <w:rPr>
                <w:rStyle w:val="Hyperlink"/>
                <w:noProof/>
              </w:rPr>
              <w:t>15 June 2022</w:t>
            </w:r>
            <w:r>
              <w:rPr>
                <w:noProof/>
                <w:webHidden/>
              </w:rPr>
              <w:tab/>
            </w:r>
            <w:r>
              <w:rPr>
                <w:noProof/>
                <w:webHidden/>
              </w:rPr>
              <w:fldChar w:fldCharType="begin"/>
            </w:r>
            <w:r>
              <w:rPr>
                <w:noProof/>
                <w:webHidden/>
              </w:rPr>
              <w:instrText xml:space="preserve"> PAGEREF _Toc124874914 \h </w:instrText>
            </w:r>
            <w:r>
              <w:rPr>
                <w:noProof/>
                <w:webHidden/>
              </w:rPr>
            </w:r>
            <w:r>
              <w:rPr>
                <w:noProof/>
                <w:webHidden/>
              </w:rPr>
              <w:fldChar w:fldCharType="separate"/>
            </w:r>
            <w:r>
              <w:rPr>
                <w:noProof/>
                <w:webHidden/>
              </w:rPr>
              <w:t>7</w:t>
            </w:r>
            <w:r>
              <w:rPr>
                <w:noProof/>
                <w:webHidden/>
              </w:rPr>
              <w:fldChar w:fldCharType="end"/>
            </w:r>
          </w:hyperlink>
        </w:p>
        <w:p w14:paraId="56C48896" w14:textId="11CB7B42" w:rsidR="00A52F1D" w:rsidRDefault="00A52F1D">
          <w:pPr>
            <w:pStyle w:val="TOC1"/>
            <w:tabs>
              <w:tab w:val="right" w:leader="dot" w:pos="8947"/>
            </w:tabs>
            <w:rPr>
              <w:rFonts w:eastAsiaTheme="minorEastAsia" w:cstheme="minorBidi"/>
              <w:noProof/>
              <w:szCs w:val="22"/>
              <w:lang w:eastAsia="en-AU"/>
            </w:rPr>
          </w:pPr>
          <w:hyperlink w:anchor="_Toc124874915" w:history="1">
            <w:r w:rsidRPr="00373EC1">
              <w:rPr>
                <w:rStyle w:val="Hyperlink"/>
                <w:noProof/>
              </w:rPr>
              <w:t>5 August 2022</w:t>
            </w:r>
            <w:r>
              <w:rPr>
                <w:noProof/>
                <w:webHidden/>
              </w:rPr>
              <w:tab/>
            </w:r>
            <w:r>
              <w:rPr>
                <w:noProof/>
                <w:webHidden/>
              </w:rPr>
              <w:fldChar w:fldCharType="begin"/>
            </w:r>
            <w:r>
              <w:rPr>
                <w:noProof/>
                <w:webHidden/>
              </w:rPr>
              <w:instrText xml:space="preserve"> PAGEREF _Toc124874915 \h </w:instrText>
            </w:r>
            <w:r>
              <w:rPr>
                <w:noProof/>
                <w:webHidden/>
              </w:rPr>
            </w:r>
            <w:r>
              <w:rPr>
                <w:noProof/>
                <w:webHidden/>
              </w:rPr>
              <w:fldChar w:fldCharType="separate"/>
            </w:r>
            <w:r>
              <w:rPr>
                <w:noProof/>
                <w:webHidden/>
              </w:rPr>
              <w:t>8</w:t>
            </w:r>
            <w:r>
              <w:rPr>
                <w:noProof/>
                <w:webHidden/>
              </w:rPr>
              <w:fldChar w:fldCharType="end"/>
            </w:r>
          </w:hyperlink>
        </w:p>
        <w:p w14:paraId="411B0E87" w14:textId="4CB8B570" w:rsidR="00F707A9" w:rsidRPr="00A373AB" w:rsidRDefault="00F707A9" w:rsidP="00462013">
          <w:pPr>
            <w:ind w:right="-399"/>
            <w:rPr>
              <w:rFonts w:cstheme="minorHAnsi"/>
              <w:noProof/>
              <w:color w:val="auto"/>
              <w:szCs w:val="22"/>
            </w:rPr>
          </w:pPr>
          <w:r w:rsidRPr="00462013">
            <w:rPr>
              <w:rFonts w:cstheme="minorHAnsi"/>
              <w:b/>
              <w:bCs/>
              <w:noProof/>
              <w:color w:val="auto"/>
              <w:szCs w:val="22"/>
            </w:rPr>
            <w:fldChar w:fldCharType="end"/>
          </w:r>
        </w:p>
      </w:sdtContent>
    </w:sdt>
    <w:p w14:paraId="6FD98170" w14:textId="77777777" w:rsidR="00A52F1D" w:rsidRPr="00A52F1D" w:rsidRDefault="00A52F1D" w:rsidP="00A52F1D">
      <w:bookmarkStart w:id="1" w:name="_Toc124874890"/>
      <w:r w:rsidRPr="00A52F1D">
        <w:br w:type="page"/>
      </w:r>
    </w:p>
    <w:p w14:paraId="46092856" w14:textId="6410B415" w:rsidR="00F707A9" w:rsidRDefault="00F707A9" w:rsidP="00A52F1D">
      <w:pPr>
        <w:pStyle w:val="Heading1"/>
      </w:pPr>
      <w:r w:rsidRPr="00F707A9">
        <w:lastRenderedPageBreak/>
        <w:t>16 August 2020</w:t>
      </w:r>
      <w:bookmarkEnd w:id="1"/>
    </w:p>
    <w:p w14:paraId="666AB10D" w14:textId="77777777" w:rsidR="00A373AB" w:rsidRDefault="00A373AB" w:rsidP="00A373AB">
      <w:r>
        <w:t xml:space="preserve">SITAG considered recent updates to the international landscape for vaccines and treatments. </w:t>
      </w:r>
    </w:p>
    <w:p w14:paraId="5F75F865" w14:textId="77777777" w:rsidR="00A373AB" w:rsidRDefault="00A373AB" w:rsidP="00A373AB">
      <w:r>
        <w:t xml:space="preserve">SITAG agreed that the Oxford-AstraZeneca COVID-19 vaccine candidate would be an appropriate investment for the Australian Government. SITAG supported a letter of intent with AstraZeneca and indicated it would support the Government </w:t>
      </w:r>
      <w:proofErr w:type="gramStart"/>
      <w:r>
        <w:t>entering into</w:t>
      </w:r>
      <w:proofErr w:type="gramEnd"/>
      <w:r>
        <w:t xml:space="preserve"> a process to reach a binding purchase agreement with AstraZeneca. </w:t>
      </w:r>
    </w:p>
    <w:p w14:paraId="4F581F9D" w14:textId="343F7F78" w:rsidR="00A373AB" w:rsidRPr="00A373AB" w:rsidRDefault="00A373AB" w:rsidP="00A373AB">
      <w:r>
        <w:t>SITAG was made aware of the strategy of the Australian Government and supported its participation in the COVID-19 Vaccines Global Access (COVAX) Facility.</w:t>
      </w:r>
    </w:p>
    <w:p w14:paraId="62190C9A" w14:textId="0CDAD1BE" w:rsidR="00F707A9" w:rsidRDefault="00F707A9" w:rsidP="00A52F1D">
      <w:pPr>
        <w:pStyle w:val="Heading1"/>
      </w:pPr>
      <w:bookmarkStart w:id="2" w:name="_Toc124874891"/>
      <w:r w:rsidRPr="00F707A9">
        <w:t>24 August 2020</w:t>
      </w:r>
      <w:bookmarkEnd w:id="2"/>
    </w:p>
    <w:p w14:paraId="7FE9B928" w14:textId="77777777" w:rsidR="00A373AB" w:rsidRDefault="00A373AB" w:rsidP="00A373AB">
      <w:r>
        <w:t xml:space="preserve">SITAG considered recent updates to the international landscape for vaccines and treatments. </w:t>
      </w:r>
    </w:p>
    <w:p w14:paraId="42F7C65B" w14:textId="77777777" w:rsidR="00A373AB" w:rsidRDefault="00A373AB" w:rsidP="00A373AB">
      <w:r>
        <w:t>SITAG confirmed its support for entering into a binding Advance Purchase Agreement (APA) for the Oxford-AstraZeneca COVID-19 vaccine candidate.</w:t>
      </w:r>
    </w:p>
    <w:p w14:paraId="1DB26DF2" w14:textId="77777777" w:rsidR="00A373AB" w:rsidRDefault="00A373AB" w:rsidP="00A373AB">
      <w:r>
        <w:t>SITAG supported the Government entering into an agreement with Seqirus to support manufacturing of the University of Queensland (UQ)/Seqirus COVID-19 vaccine.</w:t>
      </w:r>
    </w:p>
    <w:p w14:paraId="41AD0EDC" w14:textId="20876DD6" w:rsidR="00A373AB" w:rsidRPr="00A373AB" w:rsidRDefault="00A373AB" w:rsidP="00A373AB">
      <w:r>
        <w:t>SITAG noted the need for appropriate indemnity clauses within contractual arrangements with vaccine developers and manufacturers to share the risk of high-volume manufacturing during clinical trials and to support earliest access to vaccines.</w:t>
      </w:r>
    </w:p>
    <w:p w14:paraId="40312E4E" w14:textId="77777777" w:rsidR="00F707A9" w:rsidRPr="00F707A9" w:rsidRDefault="00F707A9" w:rsidP="00A52F1D">
      <w:pPr>
        <w:pStyle w:val="Heading1"/>
      </w:pPr>
      <w:bookmarkStart w:id="3" w:name="_Toc124874892"/>
      <w:r w:rsidRPr="00F707A9">
        <w:t>9 September 2020</w:t>
      </w:r>
      <w:bookmarkEnd w:id="3"/>
    </w:p>
    <w:p w14:paraId="5ADBDF0C" w14:textId="77777777" w:rsidR="00A373AB" w:rsidRDefault="00A373AB" w:rsidP="00A373AB">
      <w:pPr>
        <w:pStyle w:val="BodyText"/>
      </w:pPr>
      <w:r>
        <w:t xml:space="preserve">SITAG considered recent updates to the international landscape for vaccines and treatments. </w:t>
      </w:r>
    </w:p>
    <w:p w14:paraId="4008C3B9" w14:textId="77777777" w:rsidR="00A373AB" w:rsidRDefault="00A373AB" w:rsidP="00A373AB">
      <w:pPr>
        <w:pStyle w:val="BodyText"/>
      </w:pPr>
      <w:r>
        <w:t xml:space="preserve">SITAG considered options for Australia’s COVID-19 vaccine portfolio and agreed that diversification of the portfolio was a priority, and that both experienced and more novel technology platforms should be included. </w:t>
      </w:r>
    </w:p>
    <w:p w14:paraId="2B496D6B" w14:textId="77777777" w:rsidR="00A373AB" w:rsidRDefault="00A373AB" w:rsidP="00A373AB">
      <w:pPr>
        <w:pStyle w:val="BodyText"/>
      </w:pPr>
      <w:r>
        <w:t xml:space="preserve">SITAG was provided with an overview of mRNA vaccines, noting unique storage considerations, stability of candidates and manufacturing. SITAG discussed the role of a new technology, delivery and implementation mechanisms in the context of a </w:t>
      </w:r>
      <w:proofErr w:type="gramStart"/>
      <w:r>
        <w:t>pandemic, and</w:t>
      </w:r>
      <w:proofErr w:type="gramEnd"/>
      <w:r>
        <w:t xml:space="preserve"> noted that a framework comprised of key criteria to determine appropriate investments was prudent.</w:t>
      </w:r>
    </w:p>
    <w:p w14:paraId="058AEC80" w14:textId="3AF77A36" w:rsidR="00F6148E" w:rsidRDefault="00A373AB" w:rsidP="00A373AB">
      <w:pPr>
        <w:pStyle w:val="BodyText"/>
        <w:rPr>
          <w:rFonts w:eastAsiaTheme="majorEastAsia" w:cs="Arial"/>
          <w:sz w:val="28"/>
          <w:szCs w:val="32"/>
        </w:rPr>
      </w:pPr>
      <w:r>
        <w:t>SITAG agreed that it was important to explore onshore manufacturing capacity and capability for vaccines after the receipt of information from the COVID-19 Vaccine and Treatment Manufacturing Audit following the Request for Information.</w:t>
      </w:r>
      <w:r w:rsidR="00F6148E">
        <w:br w:type="page"/>
      </w:r>
    </w:p>
    <w:p w14:paraId="22564BD0" w14:textId="68BC8612" w:rsidR="00F707A9" w:rsidRDefault="00F707A9" w:rsidP="00A52F1D">
      <w:pPr>
        <w:pStyle w:val="Heading1"/>
      </w:pPr>
      <w:bookmarkStart w:id="4" w:name="_Toc124874893"/>
      <w:r w:rsidRPr="00F707A9">
        <w:lastRenderedPageBreak/>
        <w:t>17 September 2020</w:t>
      </w:r>
      <w:bookmarkEnd w:id="4"/>
    </w:p>
    <w:p w14:paraId="24D27D86"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considered recent updates to the international landscape for vaccines and treatments. </w:t>
      </w:r>
    </w:p>
    <w:p w14:paraId="3A263906" w14:textId="77777777" w:rsidR="00A373AB" w:rsidRPr="00F707A9" w:rsidRDefault="00A373AB" w:rsidP="00A373AB">
      <w:pPr>
        <w:spacing w:line="252" w:lineRule="auto"/>
        <w:rPr>
          <w:rFonts w:eastAsia="Calibri" w:cstheme="minorHAnsi"/>
          <w:color w:val="auto"/>
          <w:szCs w:val="22"/>
        </w:rPr>
      </w:pPr>
      <w:r w:rsidRPr="00F707A9">
        <w:rPr>
          <w:rFonts w:eastAsia="Calibri" w:cstheme="minorHAnsi"/>
          <w:color w:val="auto"/>
          <w:szCs w:val="22"/>
        </w:rPr>
        <w:t xml:space="preserve">SITAG considered a vaccination prioritisation framework for advance investments in COVID-19 vaccines. SITAG supported ongoing discussions with Pfizer, Novavax, Janssen and Moderna in relation to their vaccine candidates. </w:t>
      </w:r>
    </w:p>
    <w:p w14:paraId="67666F9F" w14:textId="77777777" w:rsidR="00A373AB" w:rsidRPr="00F707A9" w:rsidRDefault="00A373AB" w:rsidP="00A373AB">
      <w:pPr>
        <w:spacing w:line="252" w:lineRule="auto"/>
        <w:rPr>
          <w:rFonts w:eastAsia="Calibri" w:cstheme="minorHAnsi"/>
          <w:color w:val="auto"/>
          <w:szCs w:val="22"/>
        </w:rPr>
      </w:pPr>
      <w:r w:rsidRPr="00F707A9">
        <w:rPr>
          <w:rFonts w:eastAsia="Calibri" w:cstheme="minorHAnsi"/>
          <w:color w:val="auto"/>
          <w:szCs w:val="22"/>
        </w:rPr>
        <w:t xml:space="preserve">SITAG agreed that APA discussions should continue with Pfizer and Novavax as a priority. </w:t>
      </w:r>
    </w:p>
    <w:p w14:paraId="2370434C" w14:textId="5FD51BCC" w:rsidR="00A373AB" w:rsidRPr="00A373AB" w:rsidRDefault="00A373AB" w:rsidP="00A373AB">
      <w:r w:rsidRPr="00F707A9">
        <w:rPr>
          <w:rFonts w:eastAsia="Calibri" w:cstheme="minorHAnsi"/>
          <w:color w:val="auto"/>
          <w:szCs w:val="22"/>
        </w:rPr>
        <w:t>SITAG agreed that further evidence was required to consider investments in new treatments for COVID-19, given treatment options were complex with numerous therapeutic approaches targeting different stages of the disease.    </w:t>
      </w:r>
    </w:p>
    <w:p w14:paraId="4B39A825" w14:textId="1E6FC96D" w:rsidR="00F707A9" w:rsidRDefault="00F707A9" w:rsidP="00A52F1D">
      <w:pPr>
        <w:pStyle w:val="Heading1"/>
      </w:pPr>
      <w:bookmarkStart w:id="5" w:name="_Toc124874894"/>
      <w:r w:rsidRPr="00F707A9">
        <w:t>2 October 2020</w:t>
      </w:r>
      <w:bookmarkEnd w:id="5"/>
    </w:p>
    <w:p w14:paraId="2957F25A"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considered recent updates to the international landscape for vaccines and treatments. </w:t>
      </w:r>
    </w:p>
    <w:p w14:paraId="2DF920C4"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considered principles for investment in COVID-19 </w:t>
      </w:r>
      <w:proofErr w:type="gramStart"/>
      <w:r w:rsidRPr="00F707A9">
        <w:rPr>
          <w:rFonts w:eastAsia="Calibri" w:cstheme="minorHAnsi"/>
          <w:color w:val="auto"/>
          <w:szCs w:val="22"/>
        </w:rPr>
        <w:t>treatments, and</w:t>
      </w:r>
      <w:proofErr w:type="gramEnd"/>
      <w:r w:rsidRPr="00F707A9">
        <w:rPr>
          <w:rFonts w:eastAsia="Calibri" w:cstheme="minorHAnsi"/>
          <w:color w:val="auto"/>
          <w:szCs w:val="22"/>
        </w:rPr>
        <w:t xml:space="preserve"> agreed that a draft framework for treatments would be brought forward for discussion at a future SITAG meeting. </w:t>
      </w:r>
    </w:p>
    <w:p w14:paraId="496AD046"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SITAG was provided with an update on negotiations with Pfizer, Novavax and Janssen.</w:t>
      </w:r>
    </w:p>
    <w:p w14:paraId="418F1651" w14:textId="21C4FBCD" w:rsidR="00A373AB" w:rsidRPr="00A373AB" w:rsidRDefault="00A373AB" w:rsidP="00A373AB">
      <w:r w:rsidRPr="00F707A9">
        <w:rPr>
          <w:rFonts w:eastAsia="Calibri" w:cstheme="minorHAnsi"/>
          <w:color w:val="auto"/>
          <w:szCs w:val="22"/>
        </w:rPr>
        <w:t xml:space="preserve">SITAG agreed that the Government should enter into </w:t>
      </w:r>
      <w:proofErr w:type="gramStart"/>
      <w:r w:rsidRPr="00F707A9">
        <w:rPr>
          <w:rFonts w:eastAsia="Calibri" w:cstheme="minorHAnsi"/>
          <w:color w:val="auto"/>
          <w:szCs w:val="22"/>
        </w:rPr>
        <w:t>APA’s</w:t>
      </w:r>
      <w:proofErr w:type="gramEnd"/>
      <w:r w:rsidRPr="00F707A9">
        <w:rPr>
          <w:rFonts w:eastAsia="Calibri" w:cstheme="minorHAnsi"/>
          <w:color w:val="auto"/>
          <w:szCs w:val="22"/>
        </w:rPr>
        <w:t xml:space="preserve"> with Pfizer and Novavax.</w:t>
      </w:r>
    </w:p>
    <w:p w14:paraId="58D9275D" w14:textId="77777777" w:rsidR="00F707A9" w:rsidRPr="00F707A9" w:rsidRDefault="00F707A9" w:rsidP="00A52F1D">
      <w:pPr>
        <w:pStyle w:val="Heading1"/>
        <w:rPr>
          <w:szCs w:val="28"/>
        </w:rPr>
      </w:pPr>
      <w:bookmarkStart w:id="6" w:name="_Toc124874895"/>
      <w:r w:rsidRPr="00F707A9">
        <w:t>7 October 2020</w:t>
      </w:r>
      <w:bookmarkEnd w:id="6"/>
    </w:p>
    <w:p w14:paraId="7ABA56D9"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considered recent updates to the international landscape for vaccines and treatments. </w:t>
      </w:r>
    </w:p>
    <w:p w14:paraId="59A2BE3D"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SITAG discussed different vaccine technology platforms, including mRNA and protein vaccines, and the potential that each offered for longer term investment and options for manufacturing these in Australia.</w:t>
      </w:r>
    </w:p>
    <w:p w14:paraId="65B33445" w14:textId="53690A4B" w:rsidR="00F707A9" w:rsidRPr="00F707A9" w:rsidRDefault="00A373AB" w:rsidP="00A373AB">
      <w:r w:rsidRPr="00F707A9">
        <w:rPr>
          <w:rFonts w:eastAsia="Calibri" w:cstheme="minorHAnsi"/>
          <w:color w:val="auto"/>
          <w:szCs w:val="22"/>
        </w:rPr>
        <w:t>SITAG noted Australia’s strong capacity and capability in manufacturing protein-based vaccines, and less capacity to manufacture mRNA, viral vector, inactive and attenuated virus vaccines. SITAG also noted that considering long term opportunities for investment, there was benefit in the Government further considering newer technology platforms, such as mRNA.</w:t>
      </w:r>
    </w:p>
    <w:p w14:paraId="34E8422B" w14:textId="2A5DEC82" w:rsidR="00F707A9" w:rsidRDefault="00F707A9" w:rsidP="00A52F1D">
      <w:pPr>
        <w:pStyle w:val="Heading1"/>
      </w:pPr>
      <w:bookmarkStart w:id="7" w:name="_Toc124874896"/>
      <w:r w:rsidRPr="00F707A9">
        <w:t>25 November 2020</w:t>
      </w:r>
      <w:bookmarkEnd w:id="7"/>
    </w:p>
    <w:p w14:paraId="79F46262"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considered recent updates to the international landscape for vaccines and treatments. </w:t>
      </w:r>
    </w:p>
    <w:p w14:paraId="2F6F31FA"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discussed the Australian COVID-19 Vaccine and Treatment Strategy and the importance of therapeutics in combatting COVID-19. SITAG agreed that the limited evidence for treatments did not support investments in supply of COVID-19 treatments at this stage. </w:t>
      </w:r>
    </w:p>
    <w:p w14:paraId="57DD1EB5"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supported Australia’s participation in COVID-19 treatments global platform trials, and the development of an assessment tool to assist Government’s future </w:t>
      </w:r>
      <w:proofErr w:type="gramStart"/>
      <w:r w:rsidRPr="00F707A9">
        <w:rPr>
          <w:rFonts w:eastAsia="Calibri" w:cstheme="minorHAnsi"/>
          <w:color w:val="auto"/>
          <w:szCs w:val="22"/>
        </w:rPr>
        <w:t>decision making</w:t>
      </w:r>
      <w:proofErr w:type="gramEnd"/>
      <w:r w:rsidRPr="00F707A9">
        <w:rPr>
          <w:rFonts w:eastAsia="Calibri" w:cstheme="minorHAnsi"/>
          <w:color w:val="auto"/>
          <w:szCs w:val="22"/>
        </w:rPr>
        <w:t xml:space="preserve"> regarding treatment options. SITAG supported the Government considering support for the development of some treatments in Australia through participation in clinical trials. </w:t>
      </w:r>
    </w:p>
    <w:p w14:paraId="704706DF" w14:textId="58EFEC41" w:rsidR="00A373AB" w:rsidRPr="00A373AB" w:rsidRDefault="00A373AB" w:rsidP="00A373AB">
      <w:r w:rsidRPr="00F707A9">
        <w:rPr>
          <w:rFonts w:eastAsia="Calibri" w:cstheme="minorHAnsi"/>
          <w:color w:val="auto"/>
          <w:szCs w:val="22"/>
        </w:rPr>
        <w:t>SITAG noted an update on the COVAX Facility and agreed priority should be given to purchasing additional doses of vaccines from the manufacturers with existing APAs with Australia rather than purchases made through the COVAX Facility.</w:t>
      </w:r>
    </w:p>
    <w:p w14:paraId="1B362364" w14:textId="749FD682" w:rsidR="00F707A9" w:rsidRDefault="00F707A9" w:rsidP="00A52F1D">
      <w:pPr>
        <w:pStyle w:val="Heading1"/>
      </w:pPr>
      <w:bookmarkStart w:id="8" w:name="_Toc124874897"/>
      <w:r w:rsidRPr="00F707A9">
        <w:lastRenderedPageBreak/>
        <w:t>8 December 2020</w:t>
      </w:r>
      <w:bookmarkEnd w:id="8"/>
    </w:p>
    <w:p w14:paraId="4B67F76E"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considered recent updates to the international landscape for vaccines and treatments. </w:t>
      </w:r>
    </w:p>
    <w:p w14:paraId="6E8C06D5" w14:textId="77777777" w:rsidR="00A373AB" w:rsidRPr="00F707A9" w:rsidRDefault="00A373AB" w:rsidP="00A373AB">
      <w:pPr>
        <w:spacing w:after="0" w:line="252" w:lineRule="auto"/>
        <w:rPr>
          <w:rFonts w:eastAsia="Calibri" w:cstheme="minorHAnsi"/>
          <w:color w:val="auto"/>
          <w:szCs w:val="22"/>
        </w:rPr>
      </w:pPr>
      <w:r w:rsidRPr="00F707A9">
        <w:rPr>
          <w:rFonts w:eastAsia="Calibri" w:cstheme="minorHAnsi"/>
          <w:color w:val="auto"/>
          <w:szCs w:val="22"/>
        </w:rPr>
        <w:t xml:space="preserve">SITAG discussed the HIV-diagnostic interference observed following administration of the UQ/Seqirus COVID-19 vaccine during Phase 1 trials. Members agreed that the diagnostic interference issue with the vaccine candidate made it unsuitable for distribution and administration in Australia nor for donation or resale to Australia’s regional partners. </w:t>
      </w:r>
    </w:p>
    <w:p w14:paraId="0CEF0B59" w14:textId="77777777" w:rsidR="00A373AB" w:rsidRPr="00F707A9" w:rsidRDefault="00A373AB" w:rsidP="00A373AB">
      <w:pPr>
        <w:spacing w:after="0" w:line="252" w:lineRule="auto"/>
        <w:rPr>
          <w:rFonts w:eastAsia="Calibri" w:cstheme="minorHAnsi"/>
          <w:color w:val="auto"/>
          <w:szCs w:val="22"/>
        </w:rPr>
      </w:pPr>
      <w:r w:rsidRPr="00F707A9">
        <w:rPr>
          <w:rFonts w:eastAsia="Calibri" w:cstheme="minorHAnsi"/>
          <w:color w:val="auto"/>
          <w:szCs w:val="22"/>
        </w:rPr>
        <w:t>SITAG members supported the proposal that Government should pursue additional AstraZeneca doses manufactured by CSL, through the existing AstraZeneca APA and by amendment to the separate CSL funding agreement for onshore manufacturing of AstraZeneca doses.</w:t>
      </w:r>
    </w:p>
    <w:p w14:paraId="32F53C0D" w14:textId="49931373" w:rsidR="00A373AB" w:rsidRPr="00A373AB" w:rsidRDefault="00A373AB" w:rsidP="00A373AB">
      <w:r w:rsidRPr="00F707A9">
        <w:rPr>
          <w:rFonts w:eastAsia="Calibri" w:cstheme="minorHAnsi"/>
          <w:color w:val="auto"/>
          <w:szCs w:val="22"/>
        </w:rPr>
        <w:t>SITAG supported the proposal that Government should explore additional Novavax doses and discussed other candidate options to secure whole-of-population coverage.</w:t>
      </w:r>
    </w:p>
    <w:p w14:paraId="378CC1E5" w14:textId="79152DED" w:rsidR="00F707A9" w:rsidRDefault="00F707A9" w:rsidP="00A52F1D">
      <w:pPr>
        <w:pStyle w:val="Heading1"/>
      </w:pPr>
      <w:bookmarkStart w:id="9" w:name="_Toc124874898"/>
      <w:r w:rsidRPr="00F707A9">
        <w:t>12 January 2021</w:t>
      </w:r>
      <w:bookmarkEnd w:id="9"/>
    </w:p>
    <w:p w14:paraId="6B4D2A5E"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considered recent updates to the international landscape for vaccines and treatments. </w:t>
      </w:r>
    </w:p>
    <w:p w14:paraId="0A5F35F6"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received an update from ATAGI on its vaccine prioritisation advice. </w:t>
      </w:r>
    </w:p>
    <w:p w14:paraId="3C8FD309" w14:textId="01A5E1BB" w:rsidR="00A373AB" w:rsidRPr="00A373AB" w:rsidRDefault="00A373AB" w:rsidP="00A373AB">
      <w:r w:rsidRPr="00F707A9">
        <w:rPr>
          <w:rFonts w:eastAsia="Calibri" w:cstheme="minorHAnsi"/>
          <w:color w:val="auto"/>
          <w:szCs w:val="22"/>
        </w:rPr>
        <w:t>SITAG noted an update relating to the Moderna COVID-19 vaccine candidate and the GlaxoSmithKline (GSK) therapeutic candidate VIR-7831. </w:t>
      </w:r>
    </w:p>
    <w:p w14:paraId="5CAE948C" w14:textId="3270F9EE" w:rsidR="00F707A9" w:rsidRDefault="00F707A9" w:rsidP="00A52F1D">
      <w:pPr>
        <w:pStyle w:val="Heading1"/>
      </w:pPr>
      <w:bookmarkStart w:id="10" w:name="_Toc124874899"/>
      <w:r w:rsidRPr="00F707A9">
        <w:t>17 February 2021</w:t>
      </w:r>
      <w:bookmarkEnd w:id="10"/>
    </w:p>
    <w:p w14:paraId="15502BF3"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was provided with an update on plans for the vaccine roll out. This update included further information on the ATAGI clinical guidance, including the priority groups. </w:t>
      </w:r>
    </w:p>
    <w:p w14:paraId="3FB2CD76"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had a discussion on manufacturing, including fill and finish capacity and the potential for mRNA manufacturing in Australia. SITAG also received a presentation on the business case for mRNA manufacturing in Australia. </w:t>
      </w:r>
    </w:p>
    <w:p w14:paraId="3330FAE0" w14:textId="49810CF2" w:rsidR="00A373AB" w:rsidRPr="00A373AB" w:rsidRDefault="00A373AB" w:rsidP="00A373AB">
      <w:r w:rsidRPr="00F707A9">
        <w:rPr>
          <w:rFonts w:eastAsia="Calibri" w:cstheme="minorHAnsi"/>
          <w:color w:val="auto"/>
          <w:szCs w:val="22"/>
        </w:rPr>
        <w:t>SITAG was provided with an update on the Moderna vaccine, J &amp; J vaccine and Novavax vaccine, including available data.</w:t>
      </w:r>
    </w:p>
    <w:p w14:paraId="50D5FE02" w14:textId="6ECAA319" w:rsidR="00F707A9" w:rsidRDefault="00F707A9" w:rsidP="00A52F1D">
      <w:pPr>
        <w:pStyle w:val="Heading1"/>
      </w:pPr>
      <w:bookmarkStart w:id="11" w:name="_Toc124874900"/>
      <w:r w:rsidRPr="00F707A9">
        <w:t>26 March 2021</w:t>
      </w:r>
      <w:bookmarkEnd w:id="11"/>
    </w:p>
    <w:p w14:paraId="67AD2F62"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considered recent updates to the international landscape for vaccines and treatments. </w:t>
      </w:r>
    </w:p>
    <w:p w14:paraId="79FFA0EF"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discussed viral variants of COVID-19 and variant-specific vaccines and noted that Novavax announced it was considering a variant vaccine candidate. </w:t>
      </w:r>
    </w:p>
    <w:p w14:paraId="5ECDE4F6"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considered updates provided on clinical trial data for COVID-19 therapeutics, including anti-viral monoclonal antibodies, immunomodulators and anti-viral small molecules. Based on the limited data available at the time, SITAG did not recommend the Government purchase a supply of COVID-19 therapeutics. </w:t>
      </w:r>
    </w:p>
    <w:p w14:paraId="6EDFD64A" w14:textId="6A8124A1" w:rsidR="00A52F1D" w:rsidRDefault="00A373AB" w:rsidP="00A373AB">
      <w:pPr>
        <w:spacing w:after="0" w:line="240" w:lineRule="auto"/>
        <w:rPr>
          <w:rFonts w:eastAsia="Calibri" w:cstheme="minorHAnsi"/>
          <w:color w:val="auto"/>
          <w:szCs w:val="22"/>
        </w:rPr>
      </w:pPr>
      <w:r w:rsidRPr="00F707A9">
        <w:rPr>
          <w:rFonts w:eastAsia="Calibri" w:cstheme="minorHAnsi"/>
          <w:color w:val="auto"/>
          <w:szCs w:val="22"/>
        </w:rPr>
        <w:t>SITAG discussed the benefits and risks of having multiple vaccine manufacturing facilities onshore and were supportive of continuing discussions on available options.</w:t>
      </w:r>
      <w:r w:rsidR="00A52F1D">
        <w:rPr>
          <w:rFonts w:eastAsia="Calibri" w:cstheme="minorHAnsi"/>
          <w:color w:val="auto"/>
          <w:szCs w:val="22"/>
        </w:rPr>
        <w:br w:type="page"/>
      </w:r>
    </w:p>
    <w:p w14:paraId="7FC35E8E" w14:textId="77777777" w:rsidR="00F707A9" w:rsidRPr="00F707A9" w:rsidRDefault="00F707A9" w:rsidP="00A52F1D">
      <w:pPr>
        <w:pStyle w:val="Heading1"/>
      </w:pPr>
      <w:bookmarkStart w:id="12" w:name="_Toc124874901"/>
      <w:r w:rsidRPr="00F707A9">
        <w:lastRenderedPageBreak/>
        <w:t>21 April 2021</w:t>
      </w:r>
      <w:bookmarkEnd w:id="12"/>
    </w:p>
    <w:p w14:paraId="7C76638D"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considered recent updates to the international landscape for vaccines and treatments. </w:t>
      </w:r>
    </w:p>
    <w:p w14:paraId="64D6120E"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was provided with an update on the COVID-19 vaccine roll out program recalibration. </w:t>
      </w:r>
    </w:p>
    <w:p w14:paraId="037F95CE"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SITAG expressed its support for purchasing Moderna vaccines due to the security associated with diversity of supply, promising protection against the variants, and potential supply needed for vaccinating children.</w:t>
      </w:r>
    </w:p>
    <w:p w14:paraId="50A2B6D5"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discussed onshore manufacturing and supported ongoing negotiations with Moderna and an approach to market. SITAG discussed the challenge of fill and finish for increasing vaccine supply. </w:t>
      </w:r>
    </w:p>
    <w:p w14:paraId="7FF699EF" w14:textId="482D24FF" w:rsidR="0029238E" w:rsidRPr="00A373AB"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supported the proposal that the Government should not pursue an APA for the Johnson &amp; Johnson/Janssen vaccine at this time because existing supplies of adenovirus vaccines were adequate. </w:t>
      </w:r>
    </w:p>
    <w:p w14:paraId="0D0EF8C5" w14:textId="2B63F5B2" w:rsidR="00F707A9" w:rsidRDefault="00F707A9" w:rsidP="00A52F1D">
      <w:pPr>
        <w:pStyle w:val="Heading1"/>
      </w:pPr>
      <w:bookmarkStart w:id="13" w:name="_Toc124874902"/>
      <w:r w:rsidRPr="00F707A9">
        <w:t>27 June 2021</w:t>
      </w:r>
      <w:bookmarkEnd w:id="13"/>
    </w:p>
    <w:p w14:paraId="34D56D5B" w14:textId="6C7F525A" w:rsidR="00A373AB" w:rsidRPr="00A373AB" w:rsidRDefault="00A373AB" w:rsidP="00A373AB">
      <w:r w:rsidRPr="00F707A9">
        <w:rPr>
          <w:rFonts w:cstheme="minorHAnsi"/>
          <w:color w:val="auto"/>
          <w:szCs w:val="22"/>
        </w:rPr>
        <w:t>SITAG was informed of the provisional registration of the Janssen vaccine by the Therapeutic Goods Administration (TGA). SITAG agreed that its recommendation to the Government not to purchase the vaccine was not changing because Australia had adequate supplies of adenoviral vector vaccines at the time.</w:t>
      </w:r>
    </w:p>
    <w:p w14:paraId="5895C467" w14:textId="09DC57CA" w:rsidR="00F707A9" w:rsidRDefault="00F707A9" w:rsidP="00A52F1D">
      <w:pPr>
        <w:pStyle w:val="Heading1"/>
      </w:pPr>
      <w:bookmarkStart w:id="14" w:name="_Toc124874903"/>
      <w:r w:rsidRPr="00F707A9">
        <w:t>1 July</w:t>
      </w:r>
      <w:r w:rsidR="005B24AF">
        <w:t xml:space="preserve"> </w:t>
      </w:r>
      <w:r w:rsidRPr="00F707A9">
        <w:t>2021</w:t>
      </w:r>
      <w:bookmarkEnd w:id="14"/>
    </w:p>
    <w:p w14:paraId="2DC6D13E"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considered recent updates to the international landscape for vaccines and treatments. </w:t>
      </w:r>
    </w:p>
    <w:p w14:paraId="3F55FF28"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discussed the Department’s COVID-19 Rapid Health Technology Assessment (HTA) process for therapeutics, and noted the TGA’s approach to assessing therapeutics, noting both would be inputs to inform the Advisory Group’s future considerations. </w:t>
      </w:r>
    </w:p>
    <w:p w14:paraId="612A6DE2"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was updated on the approach to market for onshore mRNA manufacturing. </w:t>
      </w:r>
    </w:p>
    <w:p w14:paraId="6520937B" w14:textId="33C65477" w:rsidR="00A373AB" w:rsidRPr="00A373AB" w:rsidRDefault="00A373AB" w:rsidP="00A373AB">
      <w:r w:rsidRPr="00F707A9">
        <w:rPr>
          <w:rFonts w:eastAsia="Calibri" w:cstheme="minorHAnsi"/>
          <w:color w:val="auto"/>
          <w:szCs w:val="22"/>
        </w:rPr>
        <w:t>SITAG agreed it was likely at least one booster dose would be required annually and discussed different approaches by vaccine manufacturers to the development of boosters, including variant specific boosters. SITAG indicated its support for Government to use Moderna doses as booster doses. SITAG also indicated its support for the Government to purchase additional Pfizer doses for 2022 – 2023 to maintain a diverse vaccine portfolio and provide appropriate population coverage for primary and booster doses</w:t>
      </w:r>
    </w:p>
    <w:p w14:paraId="67D9D8EF" w14:textId="3E0877F5" w:rsidR="00F707A9" w:rsidRDefault="00F707A9" w:rsidP="00A52F1D">
      <w:pPr>
        <w:pStyle w:val="Heading1"/>
      </w:pPr>
      <w:bookmarkStart w:id="15" w:name="_Toc124874904"/>
      <w:r w:rsidRPr="00F707A9">
        <w:t>22 July 2021</w:t>
      </w:r>
      <w:bookmarkEnd w:id="15"/>
    </w:p>
    <w:p w14:paraId="65EED1D6" w14:textId="258FEF90" w:rsidR="00A373AB" w:rsidRPr="00A373AB" w:rsidRDefault="00A373AB" w:rsidP="00A373AB">
      <w:bookmarkStart w:id="16" w:name="_Hlk81997166"/>
      <w:r w:rsidRPr="00F707A9">
        <w:rPr>
          <w:rFonts w:eastAsia="Calibri" w:cstheme="minorHAnsi"/>
          <w:color w:val="auto"/>
          <w:szCs w:val="22"/>
        </w:rPr>
        <w:t xml:space="preserve">SITAG discussed GSK’s </w:t>
      </w:r>
      <w:proofErr w:type="spellStart"/>
      <w:r w:rsidRPr="00F707A9">
        <w:rPr>
          <w:rFonts w:eastAsia="Calibri" w:cstheme="minorHAnsi"/>
          <w:color w:val="auto"/>
          <w:szCs w:val="22"/>
        </w:rPr>
        <w:t>Sotrovimab</w:t>
      </w:r>
      <w:proofErr w:type="spellEnd"/>
      <w:r w:rsidRPr="00F707A9">
        <w:rPr>
          <w:rFonts w:eastAsia="Calibri" w:cstheme="minorHAnsi"/>
          <w:color w:val="auto"/>
          <w:szCs w:val="22"/>
        </w:rPr>
        <w:t xml:space="preserve"> treatment and supported a strategic Government investment in the monoclonal antibody.</w:t>
      </w:r>
      <w:bookmarkEnd w:id="16"/>
    </w:p>
    <w:p w14:paraId="3787F818" w14:textId="1DE6347E" w:rsidR="00F707A9" w:rsidRDefault="00F707A9" w:rsidP="00A52F1D">
      <w:pPr>
        <w:pStyle w:val="Heading1"/>
      </w:pPr>
      <w:bookmarkStart w:id="17" w:name="_Toc124874905"/>
      <w:r w:rsidRPr="00F707A9">
        <w:t>3 August 2021</w:t>
      </w:r>
      <w:bookmarkEnd w:id="17"/>
    </w:p>
    <w:p w14:paraId="2115669A"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considered recent updates to the international landscape for vaccines and treatments. The chair noted the Government had made a strategic investment in GSK's </w:t>
      </w:r>
      <w:proofErr w:type="spellStart"/>
      <w:r w:rsidRPr="00F707A9">
        <w:rPr>
          <w:rFonts w:eastAsia="Calibri" w:cstheme="minorHAnsi"/>
          <w:color w:val="auto"/>
          <w:szCs w:val="22"/>
        </w:rPr>
        <w:t>Sotrovimab</w:t>
      </w:r>
      <w:proofErr w:type="spellEnd"/>
      <w:r w:rsidRPr="00F707A9">
        <w:rPr>
          <w:rFonts w:eastAsia="Calibri" w:cstheme="minorHAnsi"/>
          <w:color w:val="auto"/>
          <w:szCs w:val="22"/>
        </w:rPr>
        <w:t xml:space="preserve"> monoclonal antibody.</w:t>
      </w:r>
    </w:p>
    <w:p w14:paraId="23787CB3" w14:textId="2B0E5060" w:rsidR="00A373AB" w:rsidRPr="00A373AB" w:rsidRDefault="00A373AB" w:rsidP="00A373AB">
      <w:r w:rsidRPr="00F707A9">
        <w:rPr>
          <w:rFonts w:eastAsia="Calibri" w:cstheme="minorHAnsi"/>
          <w:color w:val="auto"/>
          <w:szCs w:val="22"/>
        </w:rPr>
        <w:lastRenderedPageBreak/>
        <w:t>SITAG was provided with a further briefing on the rapid HTA process for COVID-19 treatments. SITAG discussed a diverse investment profile for treatments at all stages of disease and a variety of mechanisms.</w:t>
      </w:r>
    </w:p>
    <w:p w14:paraId="2AAA4BF5" w14:textId="5F2E46CB" w:rsidR="00F707A9" w:rsidRDefault="00F707A9" w:rsidP="00A52F1D">
      <w:pPr>
        <w:pStyle w:val="Heading1"/>
      </w:pPr>
      <w:bookmarkStart w:id="18" w:name="_Toc124874906"/>
      <w:r w:rsidRPr="005B24AF">
        <w:t xml:space="preserve">20 </w:t>
      </w:r>
      <w:r w:rsidRPr="004B2B58">
        <w:t>August</w:t>
      </w:r>
      <w:r w:rsidRPr="005B24AF">
        <w:t xml:space="preserve"> 2021</w:t>
      </w:r>
      <w:bookmarkEnd w:id="18"/>
    </w:p>
    <w:p w14:paraId="0D5EC45F" w14:textId="3F62B8D0" w:rsidR="00A373AB" w:rsidRPr="00A373AB" w:rsidRDefault="00A373AB" w:rsidP="00A373AB">
      <w:r w:rsidRPr="00F707A9">
        <w:rPr>
          <w:rFonts w:eastAsia="Calibri" w:cstheme="minorHAnsi"/>
          <w:color w:val="auto"/>
          <w:szCs w:val="22"/>
        </w:rPr>
        <w:t xml:space="preserve">SITAG discussed GSK’s </w:t>
      </w:r>
      <w:proofErr w:type="spellStart"/>
      <w:r w:rsidRPr="00F707A9">
        <w:rPr>
          <w:rFonts w:eastAsia="Calibri" w:cstheme="minorHAnsi"/>
          <w:color w:val="auto"/>
          <w:szCs w:val="22"/>
        </w:rPr>
        <w:t>Sotrovimab</w:t>
      </w:r>
      <w:proofErr w:type="spellEnd"/>
      <w:r w:rsidRPr="00F707A9">
        <w:rPr>
          <w:rFonts w:eastAsia="Calibri" w:cstheme="minorHAnsi"/>
          <w:color w:val="auto"/>
          <w:szCs w:val="22"/>
        </w:rPr>
        <w:t xml:space="preserve"> treatment and supported a further strategic Government investment in the monoclonal antibody.</w:t>
      </w:r>
    </w:p>
    <w:p w14:paraId="2AC07024" w14:textId="6F8B8F0C" w:rsidR="00F707A9" w:rsidRDefault="00F707A9" w:rsidP="00A52F1D">
      <w:pPr>
        <w:pStyle w:val="Heading1"/>
      </w:pPr>
      <w:bookmarkStart w:id="19" w:name="_Toc124874907"/>
      <w:r w:rsidRPr="00F707A9">
        <w:t>6 September 2021</w:t>
      </w:r>
      <w:bookmarkEnd w:id="19"/>
    </w:p>
    <w:p w14:paraId="6F55900A"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considered recent updates to the international landscape for vaccines and treatments. </w:t>
      </w:r>
    </w:p>
    <w:p w14:paraId="4083CEB6"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discussed treatment </w:t>
      </w:r>
      <w:proofErr w:type="gramStart"/>
      <w:r w:rsidRPr="00F707A9">
        <w:rPr>
          <w:rFonts w:eastAsia="Calibri" w:cstheme="minorHAnsi"/>
          <w:color w:val="auto"/>
          <w:szCs w:val="22"/>
        </w:rPr>
        <w:t>options, and</w:t>
      </w:r>
      <w:proofErr w:type="gramEnd"/>
      <w:r w:rsidRPr="00F707A9">
        <w:rPr>
          <w:rFonts w:eastAsia="Calibri" w:cstheme="minorHAnsi"/>
          <w:color w:val="auto"/>
          <w:szCs w:val="22"/>
        </w:rPr>
        <w:t xml:space="preserve"> supported the Government investing in a diverse portfolio of treatments. SITAG supported investment in antivirals from Pfizer and MSD, a monoclonal antibody treatment from Regeneron and further purchases of </w:t>
      </w:r>
      <w:proofErr w:type="spellStart"/>
      <w:r w:rsidRPr="00F707A9">
        <w:rPr>
          <w:rFonts w:eastAsia="Calibri" w:cstheme="minorHAnsi"/>
          <w:color w:val="auto"/>
          <w:szCs w:val="22"/>
        </w:rPr>
        <w:t>Sotrovimab</w:t>
      </w:r>
      <w:proofErr w:type="spellEnd"/>
      <w:r w:rsidRPr="00F707A9">
        <w:rPr>
          <w:rFonts w:eastAsia="Calibri" w:cstheme="minorHAnsi"/>
          <w:color w:val="auto"/>
          <w:szCs w:val="22"/>
        </w:rPr>
        <w:t xml:space="preserve"> from GSK. </w:t>
      </w:r>
    </w:p>
    <w:p w14:paraId="57FBBB84" w14:textId="1B9DF85B" w:rsidR="00A373AB" w:rsidRPr="00A373AB" w:rsidRDefault="00A373AB" w:rsidP="00A373AB">
      <w:r w:rsidRPr="00F707A9">
        <w:rPr>
          <w:rFonts w:eastAsia="Calibri" w:cstheme="minorHAnsi"/>
          <w:color w:val="auto"/>
          <w:szCs w:val="22"/>
        </w:rPr>
        <w:t>SITAG supported the formation of a sub-group of SITAG to advise on the clinical usage of purchased treatments.</w:t>
      </w:r>
    </w:p>
    <w:p w14:paraId="3A2787AC" w14:textId="7312947D" w:rsidR="00F707A9" w:rsidRDefault="00F707A9" w:rsidP="00A52F1D">
      <w:pPr>
        <w:pStyle w:val="Heading1"/>
      </w:pPr>
      <w:bookmarkStart w:id="20" w:name="_Toc124874908"/>
      <w:r w:rsidRPr="00F707A9">
        <w:t>29 October 2021</w:t>
      </w:r>
      <w:bookmarkEnd w:id="20"/>
    </w:p>
    <w:p w14:paraId="64F036BC"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considered recent updates to the international landscape for COVID-19 vaccines and treatments and was provided with an update on Australia’s vaccine roll out. </w:t>
      </w:r>
    </w:p>
    <w:p w14:paraId="2609DB4F"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discussed current investment in and future requirements for treatment options, was provided with an update on the rapid HTA evaluation findings and considered treatments that would best suit the model of care moving forward. SITAG suggested additional modelling for </w:t>
      </w:r>
      <w:proofErr w:type="spellStart"/>
      <w:r w:rsidRPr="00F707A9">
        <w:rPr>
          <w:rFonts w:eastAsia="Calibri" w:cstheme="minorHAnsi"/>
          <w:color w:val="auto"/>
          <w:szCs w:val="22"/>
        </w:rPr>
        <w:t>Sotrovimab</w:t>
      </w:r>
      <w:proofErr w:type="spellEnd"/>
      <w:r w:rsidRPr="00F707A9">
        <w:rPr>
          <w:rFonts w:eastAsia="Calibri" w:cstheme="minorHAnsi"/>
          <w:color w:val="auto"/>
          <w:szCs w:val="22"/>
        </w:rPr>
        <w:t xml:space="preserve"> would be required to inform any additional investment. </w:t>
      </w:r>
    </w:p>
    <w:p w14:paraId="2AD7817D" w14:textId="632F38DE" w:rsidR="00A373AB" w:rsidRPr="00A373AB" w:rsidRDefault="00A373AB" w:rsidP="00A373AB">
      <w:r w:rsidRPr="00F707A9">
        <w:rPr>
          <w:rFonts w:eastAsia="Calibri" w:cstheme="minorHAnsi"/>
          <w:color w:val="auto"/>
          <w:szCs w:val="22"/>
        </w:rPr>
        <w:t xml:space="preserve">SITAG supported additional purchases of Remdesivir to support supply in the National Medical Stockpile (NMS) </w:t>
      </w:r>
      <w:proofErr w:type="gramStart"/>
      <w:r w:rsidRPr="00F707A9">
        <w:rPr>
          <w:rFonts w:eastAsia="Calibri" w:cstheme="minorHAnsi"/>
          <w:color w:val="auto"/>
          <w:szCs w:val="22"/>
        </w:rPr>
        <w:t>if and when</w:t>
      </w:r>
      <w:proofErr w:type="gramEnd"/>
      <w:r w:rsidRPr="00F707A9">
        <w:rPr>
          <w:rFonts w:eastAsia="Calibri" w:cstheme="minorHAnsi"/>
          <w:color w:val="auto"/>
          <w:szCs w:val="22"/>
        </w:rPr>
        <w:t xml:space="preserve"> required</w:t>
      </w:r>
    </w:p>
    <w:p w14:paraId="2C7CA0BB" w14:textId="7C7890D4" w:rsidR="00F707A9" w:rsidRDefault="00F707A9" w:rsidP="00A52F1D">
      <w:pPr>
        <w:pStyle w:val="Heading1"/>
      </w:pPr>
      <w:bookmarkStart w:id="21" w:name="_Toc124874909"/>
      <w:r w:rsidRPr="00F707A9">
        <w:t>19 November 2021</w:t>
      </w:r>
      <w:bookmarkEnd w:id="21"/>
    </w:p>
    <w:p w14:paraId="4B4825D5"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considered GSK's </w:t>
      </w:r>
      <w:proofErr w:type="spellStart"/>
      <w:r w:rsidRPr="00F707A9">
        <w:rPr>
          <w:rFonts w:eastAsia="Calibri" w:cstheme="minorHAnsi"/>
          <w:color w:val="auto"/>
          <w:szCs w:val="22"/>
        </w:rPr>
        <w:t>Sotrovimab</w:t>
      </w:r>
      <w:proofErr w:type="spellEnd"/>
      <w:r w:rsidRPr="00F707A9">
        <w:rPr>
          <w:rFonts w:eastAsia="Calibri" w:cstheme="minorHAnsi"/>
          <w:color w:val="auto"/>
          <w:szCs w:val="22"/>
        </w:rPr>
        <w:t xml:space="preserve"> and supported a further strategic Government investment in the monoclonal antibody. </w:t>
      </w:r>
    </w:p>
    <w:p w14:paraId="38590CAD" w14:textId="29E0462E" w:rsidR="00A373AB" w:rsidRPr="00A373AB" w:rsidRDefault="00A373AB" w:rsidP="00A373AB">
      <w:r w:rsidRPr="00F707A9">
        <w:rPr>
          <w:rFonts w:eastAsia="Calibri" w:cstheme="minorHAnsi"/>
          <w:color w:val="auto"/>
          <w:szCs w:val="22"/>
        </w:rPr>
        <w:t xml:space="preserve">SITAG also discussed AstraZeneca's </w:t>
      </w:r>
      <w:proofErr w:type="spellStart"/>
      <w:r w:rsidRPr="00F707A9">
        <w:rPr>
          <w:rFonts w:eastAsia="Calibri" w:cstheme="minorHAnsi"/>
          <w:color w:val="auto"/>
          <w:szCs w:val="22"/>
        </w:rPr>
        <w:t>Evusheld</w:t>
      </w:r>
      <w:proofErr w:type="spellEnd"/>
      <w:r w:rsidRPr="00F707A9">
        <w:rPr>
          <w:rFonts w:eastAsia="Calibri" w:cstheme="minorHAnsi"/>
          <w:color w:val="auto"/>
          <w:szCs w:val="22"/>
        </w:rPr>
        <w:t>® treatment and supported a strategic Government investment in the combined monoclonal antibody treatment.</w:t>
      </w:r>
    </w:p>
    <w:p w14:paraId="4BB7E5AC" w14:textId="20AB5743" w:rsidR="00F707A9" w:rsidRPr="00F707A9" w:rsidRDefault="00F707A9" w:rsidP="00A52F1D">
      <w:pPr>
        <w:pStyle w:val="Heading1"/>
      </w:pPr>
      <w:bookmarkStart w:id="22" w:name="_Toc124874910"/>
      <w:r w:rsidRPr="00F707A9">
        <w:t>22 December 2021</w:t>
      </w:r>
      <w:bookmarkEnd w:id="22"/>
    </w:p>
    <w:p w14:paraId="4CB2E509"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considered recent updates to the international landscape for COVID-19 vaccines and </w:t>
      </w:r>
      <w:proofErr w:type="gramStart"/>
      <w:r w:rsidRPr="00F707A9">
        <w:rPr>
          <w:rFonts w:eastAsia="Calibri" w:cstheme="minorHAnsi"/>
          <w:color w:val="auto"/>
          <w:szCs w:val="22"/>
        </w:rPr>
        <w:t>treatments, and</w:t>
      </w:r>
      <w:proofErr w:type="gramEnd"/>
      <w:r w:rsidRPr="00F707A9">
        <w:rPr>
          <w:rFonts w:eastAsia="Calibri" w:cstheme="minorHAnsi"/>
          <w:color w:val="auto"/>
          <w:szCs w:val="22"/>
        </w:rPr>
        <w:t xml:space="preserve"> was provided with an update on Australia’s vaccine roll out. </w:t>
      </w:r>
    </w:p>
    <w:p w14:paraId="06097499"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was provided with an overview of Australia’s epidemiology and Omicron variant in </w:t>
      </w:r>
      <w:proofErr w:type="gramStart"/>
      <w:r w:rsidRPr="00F707A9">
        <w:rPr>
          <w:rFonts w:eastAsia="Calibri" w:cstheme="minorHAnsi"/>
          <w:color w:val="auto"/>
          <w:szCs w:val="22"/>
        </w:rPr>
        <w:t>Australia, and</w:t>
      </w:r>
      <w:proofErr w:type="gramEnd"/>
      <w:r w:rsidRPr="00F707A9">
        <w:rPr>
          <w:rFonts w:eastAsia="Calibri" w:cstheme="minorHAnsi"/>
          <w:color w:val="auto"/>
          <w:szCs w:val="22"/>
        </w:rPr>
        <w:t xml:space="preserve"> presented with updated modelling from the Doherty Institute. </w:t>
      </w:r>
    </w:p>
    <w:p w14:paraId="01833999" w14:textId="069E6900" w:rsidR="00A52F1D" w:rsidRDefault="00A373AB" w:rsidP="00A373AB">
      <w:pPr>
        <w:pStyle w:val="BodyText"/>
        <w:rPr>
          <w:rFonts w:eastAsia="Calibri" w:cstheme="minorHAnsi"/>
          <w:color w:val="auto"/>
          <w:szCs w:val="22"/>
        </w:rPr>
      </w:pPr>
      <w:r w:rsidRPr="00F707A9">
        <w:rPr>
          <w:rFonts w:eastAsia="Calibri" w:cstheme="minorHAnsi"/>
          <w:color w:val="auto"/>
          <w:szCs w:val="22"/>
        </w:rPr>
        <w:t xml:space="preserve">SITAG was also provided with an update on treatments by the TGA. SITAG provided its support for investigating additional purchases of </w:t>
      </w:r>
      <w:proofErr w:type="spellStart"/>
      <w:r w:rsidRPr="00F707A9">
        <w:rPr>
          <w:rFonts w:eastAsia="Calibri" w:cstheme="minorHAnsi"/>
          <w:color w:val="auto"/>
          <w:szCs w:val="22"/>
        </w:rPr>
        <w:t>Sotrovimab</w:t>
      </w:r>
      <w:proofErr w:type="spellEnd"/>
      <w:r w:rsidRPr="00F707A9">
        <w:rPr>
          <w:rFonts w:eastAsia="Calibri" w:cstheme="minorHAnsi"/>
          <w:color w:val="auto"/>
          <w:szCs w:val="22"/>
        </w:rPr>
        <w:t xml:space="preserve"> and </w:t>
      </w:r>
      <w:proofErr w:type="spellStart"/>
      <w:r w:rsidRPr="00F707A9">
        <w:rPr>
          <w:rFonts w:eastAsia="Calibri" w:cstheme="minorHAnsi"/>
          <w:color w:val="auto"/>
          <w:szCs w:val="22"/>
        </w:rPr>
        <w:t>Evusheld</w:t>
      </w:r>
      <w:proofErr w:type="spellEnd"/>
      <w:r w:rsidRPr="00F707A9">
        <w:rPr>
          <w:rFonts w:eastAsia="Calibri" w:cstheme="minorHAnsi"/>
          <w:color w:val="auto"/>
          <w:szCs w:val="22"/>
        </w:rPr>
        <w:t>®.</w:t>
      </w:r>
      <w:r w:rsidR="00A52F1D">
        <w:rPr>
          <w:rFonts w:eastAsia="Calibri" w:cstheme="minorHAnsi"/>
          <w:color w:val="auto"/>
          <w:szCs w:val="22"/>
        </w:rPr>
        <w:br w:type="page"/>
      </w:r>
    </w:p>
    <w:p w14:paraId="0D8342E2" w14:textId="3708C7BD" w:rsidR="00F707A9" w:rsidRDefault="00F707A9" w:rsidP="00A52F1D">
      <w:pPr>
        <w:pStyle w:val="Heading1"/>
      </w:pPr>
      <w:bookmarkStart w:id="23" w:name="_Toc124874911"/>
      <w:r w:rsidRPr="00F707A9">
        <w:lastRenderedPageBreak/>
        <w:t>12</w:t>
      </w:r>
      <w:r w:rsidR="005B24AF">
        <w:t xml:space="preserve"> </w:t>
      </w:r>
      <w:r w:rsidRPr="00F707A9">
        <w:t>January 2022</w:t>
      </w:r>
      <w:bookmarkEnd w:id="23"/>
    </w:p>
    <w:p w14:paraId="021AC8A0"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considered recent updates to the international landscape for COVID-19 vaccines and treatments. </w:t>
      </w:r>
    </w:p>
    <w:p w14:paraId="588F5094"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was provided an overview of the work of the COVID-19 Clinical Evidence Taskforce and the rapid HTA report for COVID-19 treatments. </w:t>
      </w:r>
    </w:p>
    <w:p w14:paraId="0D132F4A" w14:textId="77777777" w:rsidR="00A373AB" w:rsidRPr="00F707A9" w:rsidRDefault="00A373AB" w:rsidP="00A373AB">
      <w:pPr>
        <w:spacing w:after="0" w:line="240" w:lineRule="auto"/>
        <w:rPr>
          <w:rFonts w:eastAsia="Calibri" w:cstheme="minorHAnsi"/>
          <w:color w:val="auto"/>
          <w:szCs w:val="22"/>
        </w:rPr>
      </w:pPr>
      <w:r w:rsidRPr="00F707A9">
        <w:rPr>
          <w:rFonts w:eastAsia="Calibri" w:cstheme="minorHAnsi"/>
          <w:color w:val="auto"/>
          <w:szCs w:val="22"/>
        </w:rPr>
        <w:t xml:space="preserve">SITAG was also provided with a regulatory update on vaccines and treatments by the TGA. </w:t>
      </w:r>
    </w:p>
    <w:p w14:paraId="66E377DF" w14:textId="3409D51E" w:rsidR="00A373AB" w:rsidRPr="00A373AB" w:rsidRDefault="00A373AB" w:rsidP="00A373AB">
      <w:r w:rsidRPr="00F707A9">
        <w:rPr>
          <w:rFonts w:eastAsia="Calibri" w:cstheme="minorHAnsi"/>
          <w:color w:val="auto"/>
          <w:szCs w:val="22"/>
        </w:rPr>
        <w:t xml:space="preserve">SITAG provided its support for investment in additional purchases of </w:t>
      </w:r>
      <w:proofErr w:type="spellStart"/>
      <w:r w:rsidRPr="00F707A9">
        <w:rPr>
          <w:rFonts w:eastAsia="Calibri" w:cstheme="minorHAnsi"/>
          <w:color w:val="auto"/>
          <w:szCs w:val="22"/>
        </w:rPr>
        <w:t>Sotrovimab</w:t>
      </w:r>
      <w:proofErr w:type="spellEnd"/>
      <w:r w:rsidRPr="00F707A9">
        <w:rPr>
          <w:rFonts w:eastAsia="Calibri" w:cstheme="minorHAnsi"/>
          <w:color w:val="auto"/>
          <w:szCs w:val="22"/>
        </w:rPr>
        <w:t xml:space="preserve">, Remdesivir, </w:t>
      </w:r>
      <w:proofErr w:type="spellStart"/>
      <w:r w:rsidRPr="00F707A9">
        <w:rPr>
          <w:rFonts w:eastAsia="Calibri" w:cstheme="minorHAnsi"/>
          <w:color w:val="auto"/>
          <w:szCs w:val="22"/>
        </w:rPr>
        <w:t>Paxlovid</w:t>
      </w:r>
      <w:proofErr w:type="spellEnd"/>
      <w:r w:rsidRPr="00F707A9">
        <w:rPr>
          <w:rFonts w:eastAsia="Calibri" w:cstheme="minorHAnsi"/>
          <w:color w:val="auto"/>
          <w:szCs w:val="22"/>
        </w:rPr>
        <w:t xml:space="preserve">®, and </w:t>
      </w:r>
      <w:proofErr w:type="spellStart"/>
      <w:r w:rsidRPr="00F707A9">
        <w:rPr>
          <w:rFonts w:eastAsia="Calibri" w:cstheme="minorHAnsi"/>
          <w:color w:val="auto"/>
          <w:szCs w:val="22"/>
        </w:rPr>
        <w:t>Evusheld</w:t>
      </w:r>
      <w:proofErr w:type="spellEnd"/>
      <w:r w:rsidRPr="00F707A9">
        <w:rPr>
          <w:rFonts w:eastAsia="Calibri" w:cstheme="minorHAnsi"/>
          <w:color w:val="auto"/>
          <w:szCs w:val="22"/>
        </w:rPr>
        <w:t>®.</w:t>
      </w:r>
    </w:p>
    <w:p w14:paraId="1C65CC23" w14:textId="59F343C7" w:rsidR="00F707A9" w:rsidRDefault="00F707A9" w:rsidP="00A52F1D">
      <w:pPr>
        <w:pStyle w:val="Heading1"/>
      </w:pPr>
      <w:bookmarkStart w:id="24" w:name="_Toc124874912"/>
      <w:r w:rsidRPr="00F707A9">
        <w:t>18 March 2022</w:t>
      </w:r>
      <w:bookmarkEnd w:id="24"/>
    </w:p>
    <w:p w14:paraId="08F4EE76" w14:textId="77777777" w:rsidR="00A373AB" w:rsidRPr="00F707A9" w:rsidRDefault="00A373AB" w:rsidP="00A373AB">
      <w:pPr>
        <w:rPr>
          <w:rFonts w:cstheme="minorHAnsi"/>
          <w:color w:val="auto"/>
          <w:szCs w:val="22"/>
        </w:rPr>
      </w:pPr>
      <w:r w:rsidRPr="00F707A9">
        <w:rPr>
          <w:rFonts w:cstheme="minorHAnsi"/>
          <w:color w:val="auto"/>
          <w:szCs w:val="22"/>
        </w:rPr>
        <w:t xml:space="preserve">The SITAG considered recent updates to the international landscape for COVID-19 vaccines and treatments. </w:t>
      </w:r>
    </w:p>
    <w:p w14:paraId="376CD7D2" w14:textId="77777777" w:rsidR="00A373AB" w:rsidRPr="00F707A9" w:rsidRDefault="00A373AB" w:rsidP="00A373AB">
      <w:pPr>
        <w:rPr>
          <w:rFonts w:cstheme="minorHAnsi"/>
          <w:color w:val="auto"/>
          <w:szCs w:val="22"/>
        </w:rPr>
      </w:pPr>
      <w:r w:rsidRPr="00F707A9">
        <w:rPr>
          <w:rFonts w:cstheme="minorHAnsi"/>
          <w:color w:val="auto"/>
          <w:szCs w:val="22"/>
        </w:rPr>
        <w:t xml:space="preserve">SITAG was presented with an overview of the Government’s winter preparedness planning, including the approach to COVID-19 and influenza. </w:t>
      </w:r>
    </w:p>
    <w:p w14:paraId="65A05A8B" w14:textId="77777777" w:rsidR="00A373AB" w:rsidRPr="00F707A9" w:rsidRDefault="00A373AB" w:rsidP="00A373AB">
      <w:pPr>
        <w:rPr>
          <w:rFonts w:cstheme="minorHAnsi"/>
          <w:color w:val="auto"/>
          <w:szCs w:val="22"/>
        </w:rPr>
      </w:pPr>
      <w:r w:rsidRPr="00F707A9">
        <w:rPr>
          <w:rFonts w:cstheme="minorHAnsi"/>
          <w:color w:val="auto"/>
          <w:szCs w:val="22"/>
        </w:rPr>
        <w:t xml:space="preserve">SITAG was also provided with a regulatory update on vaccines and treatments by the TGA. </w:t>
      </w:r>
    </w:p>
    <w:p w14:paraId="647C206D" w14:textId="53BE7CBB" w:rsidR="00A373AB" w:rsidRPr="00A373AB" w:rsidRDefault="00A373AB" w:rsidP="00A373AB">
      <w:r w:rsidRPr="00F707A9">
        <w:rPr>
          <w:rFonts w:cstheme="minorHAnsi"/>
          <w:color w:val="auto"/>
          <w:szCs w:val="22"/>
        </w:rPr>
        <w:t>SITAG was presented with supply and demand modelling of COVID-19 treatments and considered if further treatment purchases are necessary for Australia for 2022 and 2023. These considerations of SITAG are ongoing.</w:t>
      </w:r>
    </w:p>
    <w:p w14:paraId="1C88B11A" w14:textId="0CC9F086" w:rsidR="00F707A9" w:rsidRDefault="00F707A9" w:rsidP="00A52F1D">
      <w:pPr>
        <w:pStyle w:val="Heading1"/>
      </w:pPr>
      <w:bookmarkStart w:id="25" w:name="_Toc124874913"/>
      <w:r w:rsidRPr="00F707A9">
        <w:t>24 March 2022</w:t>
      </w:r>
      <w:bookmarkEnd w:id="25"/>
    </w:p>
    <w:p w14:paraId="5C0191F2" w14:textId="77777777" w:rsidR="00A373AB" w:rsidRPr="00F707A9" w:rsidRDefault="00A373AB" w:rsidP="00A373AB">
      <w:pPr>
        <w:rPr>
          <w:rFonts w:cstheme="minorHAnsi"/>
          <w:color w:val="auto"/>
          <w:szCs w:val="22"/>
        </w:rPr>
      </w:pPr>
      <w:r w:rsidRPr="00F707A9">
        <w:rPr>
          <w:rFonts w:cstheme="minorHAnsi"/>
          <w:color w:val="auto"/>
          <w:szCs w:val="22"/>
        </w:rPr>
        <w:t xml:space="preserve">SITAG considered recent updates to the international landscape for COVID-19 vaccines and treatments. </w:t>
      </w:r>
    </w:p>
    <w:p w14:paraId="4348E6ED" w14:textId="77777777" w:rsidR="00A373AB" w:rsidRPr="00F707A9" w:rsidRDefault="00A373AB" w:rsidP="00A373AB">
      <w:pPr>
        <w:rPr>
          <w:rFonts w:cstheme="minorHAnsi"/>
          <w:color w:val="auto"/>
          <w:szCs w:val="22"/>
        </w:rPr>
      </w:pPr>
      <w:r w:rsidRPr="00F707A9">
        <w:rPr>
          <w:rFonts w:cstheme="minorHAnsi"/>
          <w:color w:val="auto"/>
          <w:szCs w:val="22"/>
        </w:rPr>
        <w:t xml:space="preserve">SITAG considered emerging efficacy data for COVID-19 treatments against the Omicron BA.2 variant. </w:t>
      </w:r>
    </w:p>
    <w:p w14:paraId="5ECFEF28" w14:textId="77777777" w:rsidR="00A373AB" w:rsidRPr="00F707A9" w:rsidRDefault="00A373AB" w:rsidP="00A373AB">
      <w:pPr>
        <w:rPr>
          <w:rFonts w:cstheme="minorHAnsi"/>
          <w:color w:val="auto"/>
          <w:szCs w:val="22"/>
        </w:rPr>
      </w:pPr>
      <w:r w:rsidRPr="00F707A9">
        <w:rPr>
          <w:rFonts w:cstheme="minorHAnsi"/>
          <w:color w:val="auto"/>
          <w:szCs w:val="22"/>
        </w:rPr>
        <w:t xml:space="preserve">SITAG was presented with supply and demand modelling of COVID-19 treatments in Australia, and considered further treatment purchases necessary for Australia for 2022 and 2023. </w:t>
      </w:r>
    </w:p>
    <w:p w14:paraId="3A1CF742" w14:textId="6A16C24C" w:rsidR="00A373AB" w:rsidRPr="00A373AB" w:rsidRDefault="00A373AB" w:rsidP="00A373AB">
      <w:r w:rsidRPr="00F707A9">
        <w:rPr>
          <w:rFonts w:cstheme="minorHAnsi"/>
          <w:color w:val="auto"/>
          <w:szCs w:val="22"/>
        </w:rPr>
        <w:t xml:space="preserve">SITAG supported additional purchases of </w:t>
      </w:r>
      <w:proofErr w:type="spellStart"/>
      <w:r w:rsidRPr="00F707A9">
        <w:rPr>
          <w:rFonts w:cstheme="minorHAnsi"/>
          <w:color w:val="auto"/>
          <w:szCs w:val="22"/>
        </w:rPr>
        <w:t>Paxlovid</w:t>
      </w:r>
      <w:proofErr w:type="spellEnd"/>
      <w:r w:rsidRPr="00F707A9">
        <w:rPr>
          <w:rFonts w:cstheme="minorHAnsi"/>
          <w:color w:val="auto"/>
          <w:szCs w:val="22"/>
        </w:rPr>
        <w:t xml:space="preserve"> and Remdesivir, to be made available for Australia’s treatment approach in 2022.</w:t>
      </w:r>
    </w:p>
    <w:p w14:paraId="4C28DCBA" w14:textId="4B6ADF2B" w:rsidR="00F707A9" w:rsidRDefault="00F707A9" w:rsidP="00A52F1D">
      <w:pPr>
        <w:pStyle w:val="Heading1"/>
      </w:pPr>
      <w:bookmarkStart w:id="26" w:name="_Toc124874914"/>
      <w:r w:rsidRPr="00F707A9">
        <w:t>15 June 2022</w:t>
      </w:r>
      <w:bookmarkEnd w:id="26"/>
    </w:p>
    <w:p w14:paraId="1BA9682B" w14:textId="77777777" w:rsidR="00A373AB" w:rsidRPr="00F707A9" w:rsidRDefault="00A373AB" w:rsidP="00A373AB">
      <w:pPr>
        <w:rPr>
          <w:rFonts w:cstheme="minorHAnsi"/>
          <w:color w:val="auto"/>
          <w:szCs w:val="22"/>
        </w:rPr>
      </w:pPr>
      <w:r w:rsidRPr="00F707A9">
        <w:rPr>
          <w:rFonts w:cstheme="minorHAnsi"/>
          <w:color w:val="auto"/>
          <w:szCs w:val="22"/>
        </w:rPr>
        <w:t xml:space="preserve">SITAG considered recent updates to the international landscape for COVID-19 vaccines and treatments. SITAG considered emerging efficacy data for COVID-19 treatments against the Omicron BA.2 variant. </w:t>
      </w:r>
    </w:p>
    <w:p w14:paraId="4D0DF8EF" w14:textId="77777777" w:rsidR="00A373AB" w:rsidRPr="00F707A9" w:rsidRDefault="00A373AB" w:rsidP="00A373AB">
      <w:pPr>
        <w:rPr>
          <w:rFonts w:cstheme="minorHAnsi"/>
          <w:color w:val="auto"/>
          <w:szCs w:val="22"/>
        </w:rPr>
      </w:pPr>
      <w:r w:rsidRPr="00F707A9">
        <w:rPr>
          <w:rFonts w:cstheme="minorHAnsi"/>
          <w:color w:val="auto"/>
          <w:szCs w:val="22"/>
        </w:rPr>
        <w:t xml:space="preserve">SITAG was presented with supply and demand modelling of COVID-19 treatments in Australia, and considered further treatment purchases necessary for Australia for 2022 and 2023. </w:t>
      </w:r>
    </w:p>
    <w:p w14:paraId="5E005953" w14:textId="2C13D552" w:rsidR="00A373AB" w:rsidRPr="00A373AB" w:rsidRDefault="00A373AB" w:rsidP="00A373AB">
      <w:r w:rsidRPr="00F707A9">
        <w:rPr>
          <w:rFonts w:cstheme="minorHAnsi"/>
          <w:color w:val="auto"/>
          <w:szCs w:val="22"/>
        </w:rPr>
        <w:t xml:space="preserve">SITAG supported additional purchases of </w:t>
      </w:r>
      <w:proofErr w:type="spellStart"/>
      <w:r w:rsidRPr="00F707A9">
        <w:rPr>
          <w:rFonts w:cstheme="minorHAnsi"/>
          <w:color w:val="auto"/>
          <w:szCs w:val="22"/>
        </w:rPr>
        <w:t>Paxlovid</w:t>
      </w:r>
      <w:proofErr w:type="spellEnd"/>
      <w:r w:rsidRPr="00F707A9">
        <w:rPr>
          <w:rFonts w:cstheme="minorHAnsi"/>
          <w:color w:val="auto"/>
          <w:szCs w:val="22"/>
        </w:rPr>
        <w:t xml:space="preserve"> and Remdesivir, to be made available for Australia’s treatment approach in 2022.</w:t>
      </w:r>
    </w:p>
    <w:p w14:paraId="5C630AAE" w14:textId="044669C2" w:rsidR="00C3179A" w:rsidRDefault="00C3179A" w:rsidP="00A52F1D">
      <w:pPr>
        <w:pStyle w:val="Heading1"/>
      </w:pPr>
      <w:bookmarkStart w:id="27" w:name="_Toc124874915"/>
      <w:r>
        <w:lastRenderedPageBreak/>
        <w:t>5 August</w:t>
      </w:r>
      <w:r w:rsidRPr="00F707A9">
        <w:t xml:space="preserve"> 2022</w:t>
      </w:r>
      <w:bookmarkEnd w:id="27"/>
    </w:p>
    <w:p w14:paraId="139F1818" w14:textId="27C252EE" w:rsidR="00A373AB" w:rsidRPr="00C3179A" w:rsidRDefault="00A373AB" w:rsidP="00A373AB">
      <w:pPr>
        <w:rPr>
          <w:rFonts w:cstheme="minorHAnsi"/>
          <w:color w:val="auto"/>
          <w:szCs w:val="22"/>
        </w:rPr>
      </w:pPr>
      <w:r w:rsidRPr="00C3179A">
        <w:rPr>
          <w:rFonts w:cstheme="minorHAnsi"/>
          <w:color w:val="auto"/>
          <w:szCs w:val="22"/>
        </w:rPr>
        <w:t>SITAG considered the approach to securing new COVID-19 variant vaccines as they become available by manufacturers.</w:t>
      </w:r>
    </w:p>
    <w:p w14:paraId="1E4D6826" w14:textId="21E0CD35" w:rsidR="007E396E" w:rsidRPr="00A373AB" w:rsidRDefault="00A373AB" w:rsidP="00A373AB">
      <w:r w:rsidRPr="00C3179A">
        <w:rPr>
          <w:rFonts w:cstheme="minorHAnsi"/>
          <w:color w:val="auto"/>
          <w:szCs w:val="22"/>
        </w:rPr>
        <w:t>SITAG supported the inclusion of Pfizer’s and Moderna’s variant-specific vaccines into Australia’s vaccine strategy as soon as they become available, to ensure Australia has a diverse vaccine portfolio to provide protection against variants of concern.</w:t>
      </w:r>
    </w:p>
    <w:sectPr w:rsidR="007E396E" w:rsidRPr="00A373AB" w:rsidSect="00F707A9">
      <w:headerReference w:type="even" r:id="rId11"/>
      <w:headerReference w:type="default" r:id="rId12"/>
      <w:footerReference w:type="default" r:id="rId13"/>
      <w:headerReference w:type="first" r:id="rId14"/>
      <w:type w:val="continuous"/>
      <w:pgSz w:w="11906" w:h="16838"/>
      <w:pgMar w:top="2552" w:right="1418" w:bottom="1134" w:left="1531" w:header="624"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DE7B" w14:textId="77777777" w:rsidR="006077B3" w:rsidRDefault="006077B3" w:rsidP="00F73C2D">
      <w:pPr>
        <w:spacing w:after="0" w:line="240" w:lineRule="auto"/>
      </w:pPr>
      <w:r>
        <w:separator/>
      </w:r>
    </w:p>
  </w:endnote>
  <w:endnote w:type="continuationSeparator" w:id="0">
    <w:p w14:paraId="04C14261" w14:textId="77777777" w:rsidR="006077B3" w:rsidRDefault="006077B3" w:rsidP="00F7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Light">
    <w:altName w:val="Times New Roman"/>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B958" w14:textId="0403352C" w:rsidR="004A5219" w:rsidRPr="006926E2" w:rsidRDefault="004A5219" w:rsidP="006926E2">
    <w:pPr>
      <w:pStyle w:val="Header"/>
      <w:rPr>
        <w:b/>
        <w:color w:val="auto"/>
      </w:rPr>
    </w:pPr>
    <w:r w:rsidRPr="00B51C38">
      <w:rPr>
        <w:rStyle w:val="PageNumber"/>
        <w:b/>
        <w:color w:val="auto"/>
      </w:rPr>
      <w:fldChar w:fldCharType="begin"/>
    </w:r>
    <w:r w:rsidRPr="00B51C38">
      <w:rPr>
        <w:rStyle w:val="PageNumber"/>
        <w:b/>
        <w:color w:val="auto"/>
      </w:rPr>
      <w:instrText xml:space="preserve">PAGE  </w:instrText>
    </w:r>
    <w:r w:rsidRPr="00B51C38">
      <w:rPr>
        <w:rStyle w:val="PageNumber"/>
        <w:b/>
        <w:color w:val="auto"/>
      </w:rPr>
      <w:fldChar w:fldCharType="separate"/>
    </w:r>
    <w:r>
      <w:rPr>
        <w:rStyle w:val="PageNumber"/>
        <w:b/>
        <w:noProof/>
        <w:color w:val="auto"/>
      </w:rPr>
      <w:t>13</w:t>
    </w:r>
    <w:r w:rsidRPr="00B51C38">
      <w:rPr>
        <w:rStyle w:val="PageNumber"/>
        <w:b/>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7D92" w14:textId="77777777" w:rsidR="006077B3" w:rsidRDefault="006077B3" w:rsidP="00F73C2D">
      <w:pPr>
        <w:spacing w:after="0" w:line="240" w:lineRule="auto"/>
      </w:pPr>
      <w:r>
        <w:separator/>
      </w:r>
    </w:p>
  </w:footnote>
  <w:footnote w:type="continuationSeparator" w:id="0">
    <w:p w14:paraId="6469A70F" w14:textId="77777777" w:rsidR="006077B3" w:rsidRDefault="006077B3" w:rsidP="00F73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E9F7" w14:textId="77777777" w:rsidR="004A5219" w:rsidRDefault="004A5219" w:rsidP="003977D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C1748E" w14:textId="77777777" w:rsidR="004A5219" w:rsidRDefault="004A5219" w:rsidP="003977D6">
    <w:pPr>
      <w:pStyle w:val="Header"/>
      <w:ind w:firstLine="360"/>
    </w:pPr>
  </w:p>
  <w:p w14:paraId="60A164E5" w14:textId="77777777" w:rsidR="004A5219" w:rsidRDefault="004A5219"/>
  <w:p w14:paraId="2AA881F4" w14:textId="77777777" w:rsidR="004A5219" w:rsidRDefault="004A52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0BB1" w14:textId="72174337" w:rsidR="004A5219" w:rsidRDefault="004A5219" w:rsidP="00C51DD4">
    <w:pPr>
      <w:pStyle w:val="Header"/>
      <w:tabs>
        <w:tab w:val="clear" w:pos="4680"/>
        <w:tab w:val="clear" w:pos="9360"/>
        <w:tab w:val="left" w:pos="2025"/>
      </w:tabs>
      <w:ind w:firstLine="360"/>
    </w:pPr>
    <w:r>
      <w:rPr>
        <w:noProof/>
        <w:lang w:eastAsia="en-AU"/>
      </w:rPr>
      <w:drawing>
        <wp:anchor distT="0" distB="0" distL="114300" distR="114300" simplePos="0" relativeHeight="251663358" behindDoc="1" locked="1" layoutInCell="1" allowOverlap="1" wp14:anchorId="150B4AE5" wp14:editId="798AE481">
          <wp:simplePos x="0" y="0"/>
          <wp:positionH relativeFrom="page">
            <wp:posOffset>0</wp:posOffset>
          </wp:positionH>
          <wp:positionV relativeFrom="page">
            <wp:posOffset>15875</wp:posOffset>
          </wp:positionV>
          <wp:extent cx="7541895" cy="10666730"/>
          <wp:effectExtent l="0" t="0" r="1905"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541895" cy="1066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DD4">
      <w:rPr>
        <w:noProof/>
        <w:lang w:eastAsia="en-AU"/>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EEEC" w14:textId="77777777" w:rsidR="004A5219" w:rsidRDefault="004A5219" w:rsidP="003977D6">
    <w:pPr>
      <w:pStyle w:val="Header"/>
      <w:ind w:right="360"/>
    </w:pPr>
    <w:r>
      <w:rPr>
        <w:noProof/>
        <w:lang w:eastAsia="en-AU"/>
      </w:rPr>
      <w:drawing>
        <wp:anchor distT="0" distB="0" distL="114300" distR="114300" simplePos="0" relativeHeight="251662334" behindDoc="0" locked="0" layoutInCell="1" allowOverlap="1" wp14:anchorId="0A31DEB0" wp14:editId="0C324A86">
          <wp:simplePos x="0" y="0"/>
          <wp:positionH relativeFrom="margin">
            <wp:align>center</wp:align>
          </wp:positionH>
          <wp:positionV relativeFrom="paragraph">
            <wp:posOffset>-386715</wp:posOffset>
          </wp:positionV>
          <wp:extent cx="7820025" cy="10666730"/>
          <wp:effectExtent l="0" t="0" r="952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820025" cy="10666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4A78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9231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5203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AE2E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901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882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A08E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E6D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F26E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5803EE"/>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6E35504"/>
    <w:multiLevelType w:val="hybridMultilevel"/>
    <w:tmpl w:val="74DCA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68196C"/>
    <w:multiLevelType w:val="hybridMultilevel"/>
    <w:tmpl w:val="52947178"/>
    <w:lvl w:ilvl="0" w:tplc="0C090003">
      <w:start w:val="1"/>
      <w:numFmt w:val="bullet"/>
      <w:pStyle w:val="ListParagraph"/>
      <w:lvlText w:val="o"/>
      <w:lvlJc w:val="left"/>
      <w:pPr>
        <w:ind w:left="1080" w:hanging="360"/>
      </w:pPr>
      <w:rPr>
        <w:rFonts w:ascii="Courier New" w:hAnsi="Courier New" w:cs="Courier New"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59F364E"/>
    <w:multiLevelType w:val="hybridMultilevel"/>
    <w:tmpl w:val="282C6808"/>
    <w:lvl w:ilvl="0" w:tplc="55C83050">
      <w:start w:val="1"/>
      <w:numFmt w:val="bullet"/>
      <w:lvlText w:val=""/>
      <w:lvlJc w:val="left"/>
      <w:pPr>
        <w:ind w:left="720" w:hanging="360"/>
      </w:pPr>
      <w:rPr>
        <w:rFonts w:ascii="Symbol" w:hAnsi="Symbol" w:hint="default"/>
      </w:rPr>
    </w:lvl>
    <w:lvl w:ilvl="1" w:tplc="C92C48DE">
      <w:start w:val="1"/>
      <w:numFmt w:val="bullet"/>
      <w:lvlText w:val="o"/>
      <w:lvlJc w:val="left"/>
      <w:pPr>
        <w:ind w:left="1440" w:hanging="360"/>
      </w:pPr>
      <w:rPr>
        <w:rFonts w:ascii="Courier New" w:hAnsi="Courier New" w:hint="default"/>
      </w:rPr>
    </w:lvl>
    <w:lvl w:ilvl="2" w:tplc="D264D762">
      <w:start w:val="1"/>
      <w:numFmt w:val="bullet"/>
      <w:lvlText w:val=""/>
      <w:lvlJc w:val="left"/>
      <w:pPr>
        <w:ind w:left="2160" w:hanging="360"/>
      </w:pPr>
      <w:rPr>
        <w:rFonts w:ascii="Wingdings" w:hAnsi="Wingdings" w:hint="default"/>
      </w:rPr>
    </w:lvl>
    <w:lvl w:ilvl="3" w:tplc="8C8087FC">
      <w:start w:val="1"/>
      <w:numFmt w:val="bullet"/>
      <w:lvlText w:val=""/>
      <w:lvlJc w:val="left"/>
      <w:pPr>
        <w:ind w:left="2880" w:hanging="360"/>
      </w:pPr>
      <w:rPr>
        <w:rFonts w:ascii="Symbol" w:hAnsi="Symbol" w:hint="default"/>
      </w:rPr>
    </w:lvl>
    <w:lvl w:ilvl="4" w:tplc="5E963062">
      <w:start w:val="1"/>
      <w:numFmt w:val="bullet"/>
      <w:lvlText w:val="o"/>
      <w:lvlJc w:val="left"/>
      <w:pPr>
        <w:ind w:left="3600" w:hanging="360"/>
      </w:pPr>
      <w:rPr>
        <w:rFonts w:ascii="Courier New" w:hAnsi="Courier New" w:hint="default"/>
      </w:rPr>
    </w:lvl>
    <w:lvl w:ilvl="5" w:tplc="80A80BFA">
      <w:start w:val="1"/>
      <w:numFmt w:val="bullet"/>
      <w:lvlText w:val=""/>
      <w:lvlJc w:val="left"/>
      <w:pPr>
        <w:ind w:left="4320" w:hanging="360"/>
      </w:pPr>
      <w:rPr>
        <w:rFonts w:ascii="Wingdings" w:hAnsi="Wingdings" w:hint="default"/>
      </w:rPr>
    </w:lvl>
    <w:lvl w:ilvl="6" w:tplc="D5DC0ED2">
      <w:start w:val="1"/>
      <w:numFmt w:val="bullet"/>
      <w:lvlText w:val=""/>
      <w:lvlJc w:val="left"/>
      <w:pPr>
        <w:ind w:left="5040" w:hanging="360"/>
      </w:pPr>
      <w:rPr>
        <w:rFonts w:ascii="Symbol" w:hAnsi="Symbol" w:hint="default"/>
      </w:rPr>
    </w:lvl>
    <w:lvl w:ilvl="7" w:tplc="FBA0E87A">
      <w:start w:val="1"/>
      <w:numFmt w:val="bullet"/>
      <w:lvlText w:val="o"/>
      <w:lvlJc w:val="left"/>
      <w:pPr>
        <w:ind w:left="5760" w:hanging="360"/>
      </w:pPr>
      <w:rPr>
        <w:rFonts w:ascii="Courier New" w:hAnsi="Courier New" w:hint="default"/>
      </w:rPr>
    </w:lvl>
    <w:lvl w:ilvl="8" w:tplc="389AF900">
      <w:start w:val="1"/>
      <w:numFmt w:val="bullet"/>
      <w:lvlText w:val=""/>
      <w:lvlJc w:val="left"/>
      <w:pPr>
        <w:ind w:left="6480" w:hanging="360"/>
      </w:pPr>
      <w:rPr>
        <w:rFonts w:ascii="Wingdings" w:hAnsi="Wingdings" w:hint="default"/>
      </w:rPr>
    </w:lvl>
  </w:abstractNum>
  <w:abstractNum w:abstractNumId="13" w15:restartNumberingAfterBreak="0">
    <w:nsid w:val="16196E5D"/>
    <w:multiLevelType w:val="hybridMultilevel"/>
    <w:tmpl w:val="846A3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BE6104"/>
    <w:multiLevelType w:val="hybridMultilevel"/>
    <w:tmpl w:val="6018D442"/>
    <w:lvl w:ilvl="0" w:tplc="0C090001">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D15FD5"/>
    <w:multiLevelType w:val="hybridMultilevel"/>
    <w:tmpl w:val="24C87C7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2166A9"/>
    <w:multiLevelType w:val="hybridMultilevel"/>
    <w:tmpl w:val="A94E9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81103A"/>
    <w:multiLevelType w:val="hybridMultilevel"/>
    <w:tmpl w:val="BA7CB58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126209"/>
    <w:multiLevelType w:val="hybridMultilevel"/>
    <w:tmpl w:val="9C3AD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253077"/>
    <w:multiLevelType w:val="hybridMultilevel"/>
    <w:tmpl w:val="F9D40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8375FC2"/>
    <w:multiLevelType w:val="hybridMultilevel"/>
    <w:tmpl w:val="A6F6B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E64C60"/>
    <w:multiLevelType w:val="multilevel"/>
    <w:tmpl w:val="9C92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AC6253"/>
    <w:multiLevelType w:val="hybridMultilevel"/>
    <w:tmpl w:val="BBFAE55A"/>
    <w:lvl w:ilvl="0" w:tplc="0C090001">
      <w:start w:val="1"/>
      <w:numFmt w:val="bullet"/>
      <w:lvlText w:val=""/>
      <w:lvlJc w:val="left"/>
      <w:pPr>
        <w:ind w:left="720" w:hanging="360"/>
      </w:pPr>
      <w:rPr>
        <w:rFonts w:ascii="Symbol" w:hAnsi="Symbo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FF4107"/>
    <w:multiLevelType w:val="hybridMultilevel"/>
    <w:tmpl w:val="D0BA0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9591763"/>
    <w:multiLevelType w:val="hybridMultilevel"/>
    <w:tmpl w:val="706E99D8"/>
    <w:lvl w:ilvl="0" w:tplc="5EA8C76C">
      <w:start w:val="1"/>
      <w:numFmt w:val="bullet"/>
      <w:lvlText w:val=""/>
      <w:lvlJc w:val="left"/>
      <w:pPr>
        <w:ind w:left="502" w:hanging="360"/>
      </w:pPr>
      <w:rPr>
        <w:rFonts w:ascii="Symbol" w:hAnsi="Symbol" w:hint="default"/>
        <w:color w:val="auto"/>
        <w:sz w:val="40"/>
        <w:szCs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8A04C0"/>
    <w:multiLevelType w:val="hybridMultilevel"/>
    <w:tmpl w:val="107CB64E"/>
    <w:lvl w:ilvl="0" w:tplc="D3889CAC">
      <w:start w:val="1"/>
      <w:numFmt w:val="decimal"/>
      <w:lvlText w:val="%1."/>
      <w:lvlJc w:val="left"/>
      <w:pPr>
        <w:ind w:left="927"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C751F4"/>
    <w:multiLevelType w:val="hybridMultilevel"/>
    <w:tmpl w:val="A634C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1711F49"/>
    <w:multiLevelType w:val="multilevel"/>
    <w:tmpl w:val="C39E320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1D21DC9"/>
    <w:multiLevelType w:val="hybridMultilevel"/>
    <w:tmpl w:val="91027CC8"/>
    <w:lvl w:ilvl="0" w:tplc="422E3EFA">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2263D92"/>
    <w:multiLevelType w:val="hybridMultilevel"/>
    <w:tmpl w:val="86644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401D1E"/>
    <w:multiLevelType w:val="hybridMultilevel"/>
    <w:tmpl w:val="609CD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7812F9"/>
    <w:multiLevelType w:val="hybridMultilevel"/>
    <w:tmpl w:val="1B54E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84266B"/>
    <w:multiLevelType w:val="hybridMultilevel"/>
    <w:tmpl w:val="4E8A8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886363"/>
    <w:multiLevelType w:val="hybridMultilevel"/>
    <w:tmpl w:val="E92C0334"/>
    <w:lvl w:ilvl="0" w:tplc="0C090001">
      <w:start w:val="1"/>
      <w:numFmt w:val="bullet"/>
      <w:lvlText w:val=""/>
      <w:lvlJc w:val="left"/>
      <w:pPr>
        <w:ind w:left="720" w:hanging="360"/>
      </w:pPr>
      <w:rPr>
        <w:rFonts w:ascii="Symbol" w:hAnsi="Symbol"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811FE1"/>
    <w:multiLevelType w:val="multilevel"/>
    <w:tmpl w:val="F8A6B9C2"/>
    <w:styleLink w:val="Style1"/>
    <w:lvl w:ilvl="0">
      <w:start w:val="5"/>
      <w:numFmt w:val="decimal"/>
      <w:lvlText w:val="%1."/>
      <w:lvlJc w:val="left"/>
      <w:pPr>
        <w:ind w:left="720" w:hanging="360"/>
      </w:pPr>
      <w:rPr>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C93BF0"/>
    <w:multiLevelType w:val="hybridMultilevel"/>
    <w:tmpl w:val="52AE4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9907A12"/>
    <w:multiLevelType w:val="hybridMultilevel"/>
    <w:tmpl w:val="BE601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8F41F0"/>
    <w:multiLevelType w:val="hybridMultilevel"/>
    <w:tmpl w:val="B910181A"/>
    <w:lvl w:ilvl="0" w:tplc="18EC57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C55E12"/>
    <w:multiLevelType w:val="hybridMultilevel"/>
    <w:tmpl w:val="39945248"/>
    <w:styleLink w:val="ImportedStyle4"/>
    <w:lvl w:ilvl="0" w:tplc="F082441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609A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049B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9257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0E08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626A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026A5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F0CC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DE75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FCF0CA4"/>
    <w:multiLevelType w:val="hybridMultilevel"/>
    <w:tmpl w:val="5B7E5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38"/>
  </w:num>
  <w:num w:numId="4">
    <w:abstractNumId w:val="37"/>
  </w:num>
  <w:num w:numId="5">
    <w:abstractNumId w:val="34"/>
  </w:num>
  <w:num w:numId="6">
    <w:abstractNumId w:val="25"/>
  </w:num>
  <w:num w:numId="7">
    <w:abstractNumId w:val="31"/>
  </w:num>
  <w:num w:numId="8">
    <w:abstractNumId w:val="17"/>
  </w:num>
  <w:num w:numId="9">
    <w:abstractNumId w:val="15"/>
  </w:num>
  <w:num w:numId="10">
    <w:abstractNumId w:val="16"/>
  </w:num>
  <w:num w:numId="11">
    <w:abstractNumId w:val="32"/>
  </w:num>
  <w:num w:numId="12">
    <w:abstractNumId w:val="28"/>
  </w:num>
  <w:num w:numId="13">
    <w:abstractNumId w:val="24"/>
  </w:num>
  <w:num w:numId="14">
    <w:abstractNumId w:val="39"/>
  </w:num>
  <w:num w:numId="15">
    <w:abstractNumId w:val="14"/>
  </w:num>
  <w:num w:numId="16">
    <w:abstractNumId w:val="22"/>
  </w:num>
  <w:num w:numId="17">
    <w:abstractNumId w:val="13"/>
  </w:num>
  <w:num w:numId="18">
    <w:abstractNumId w:val="33"/>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8"/>
  </w:num>
  <w:num w:numId="29">
    <w:abstractNumId w:val="35"/>
  </w:num>
  <w:num w:numId="30">
    <w:abstractNumId w:val="26"/>
  </w:num>
  <w:num w:numId="31">
    <w:abstractNumId w:val="12"/>
  </w:num>
  <w:num w:numId="32">
    <w:abstractNumId w:val="27"/>
  </w:num>
  <w:num w:numId="33">
    <w:abstractNumId w:val="23"/>
  </w:num>
  <w:num w:numId="34">
    <w:abstractNumId w:val="19"/>
  </w:num>
  <w:num w:numId="35">
    <w:abstractNumId w:val="36"/>
  </w:num>
  <w:num w:numId="36">
    <w:abstractNumId w:val="29"/>
  </w:num>
  <w:num w:numId="37">
    <w:abstractNumId w:val="10"/>
  </w:num>
  <w:num w:numId="38">
    <w:abstractNumId w:val="21"/>
  </w:num>
  <w:num w:numId="39">
    <w:abstractNumId w:val="20"/>
  </w:num>
  <w:num w:numId="40">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6A"/>
    <w:rsid w:val="00004B72"/>
    <w:rsid w:val="000155A5"/>
    <w:rsid w:val="000171B6"/>
    <w:rsid w:val="0002297D"/>
    <w:rsid w:val="00026D45"/>
    <w:rsid w:val="000348EE"/>
    <w:rsid w:val="00036444"/>
    <w:rsid w:val="00036EBA"/>
    <w:rsid w:val="0004058A"/>
    <w:rsid w:val="00040B7F"/>
    <w:rsid w:val="0004279E"/>
    <w:rsid w:val="00045747"/>
    <w:rsid w:val="00045C95"/>
    <w:rsid w:val="00045DD4"/>
    <w:rsid w:val="00053A78"/>
    <w:rsid w:val="000576DB"/>
    <w:rsid w:val="00061CF8"/>
    <w:rsid w:val="0006401F"/>
    <w:rsid w:val="00072431"/>
    <w:rsid w:val="00076149"/>
    <w:rsid w:val="000808A5"/>
    <w:rsid w:val="00082565"/>
    <w:rsid w:val="00082E37"/>
    <w:rsid w:val="0008489C"/>
    <w:rsid w:val="00084B99"/>
    <w:rsid w:val="0008596A"/>
    <w:rsid w:val="00087305"/>
    <w:rsid w:val="000971CB"/>
    <w:rsid w:val="00097D08"/>
    <w:rsid w:val="000A06F3"/>
    <w:rsid w:val="000A0EB9"/>
    <w:rsid w:val="000B1191"/>
    <w:rsid w:val="000B261F"/>
    <w:rsid w:val="000B3C45"/>
    <w:rsid w:val="000B61D6"/>
    <w:rsid w:val="000C5A2A"/>
    <w:rsid w:val="000C7490"/>
    <w:rsid w:val="000D1D4C"/>
    <w:rsid w:val="000D66CC"/>
    <w:rsid w:val="000E16EB"/>
    <w:rsid w:val="000E65F6"/>
    <w:rsid w:val="000F3836"/>
    <w:rsid w:val="00106B7D"/>
    <w:rsid w:val="00111765"/>
    <w:rsid w:val="00111B23"/>
    <w:rsid w:val="00120987"/>
    <w:rsid w:val="001242EC"/>
    <w:rsid w:val="00125328"/>
    <w:rsid w:val="00131D08"/>
    <w:rsid w:val="00132779"/>
    <w:rsid w:val="00132D46"/>
    <w:rsid w:val="00133321"/>
    <w:rsid w:val="00136D3F"/>
    <w:rsid w:val="001377BC"/>
    <w:rsid w:val="00142F40"/>
    <w:rsid w:val="00153A05"/>
    <w:rsid w:val="001558E0"/>
    <w:rsid w:val="00160978"/>
    <w:rsid w:val="00162254"/>
    <w:rsid w:val="0016364A"/>
    <w:rsid w:val="001666CB"/>
    <w:rsid w:val="001737D5"/>
    <w:rsid w:val="00175D74"/>
    <w:rsid w:val="0017638B"/>
    <w:rsid w:val="00180D44"/>
    <w:rsid w:val="00184D39"/>
    <w:rsid w:val="00195EEC"/>
    <w:rsid w:val="001971E9"/>
    <w:rsid w:val="001973F2"/>
    <w:rsid w:val="001A40AC"/>
    <w:rsid w:val="001A4802"/>
    <w:rsid w:val="001A5D73"/>
    <w:rsid w:val="001B0409"/>
    <w:rsid w:val="001C479C"/>
    <w:rsid w:val="001C4AA4"/>
    <w:rsid w:val="001D5C44"/>
    <w:rsid w:val="001E4280"/>
    <w:rsid w:val="001E47A3"/>
    <w:rsid w:val="001E5AA5"/>
    <w:rsid w:val="001F0480"/>
    <w:rsid w:val="002040B2"/>
    <w:rsid w:val="00210F3A"/>
    <w:rsid w:val="00211DC0"/>
    <w:rsid w:val="002165C3"/>
    <w:rsid w:val="002329E6"/>
    <w:rsid w:val="00242848"/>
    <w:rsid w:val="00242FF0"/>
    <w:rsid w:val="00250E6B"/>
    <w:rsid w:val="0025337A"/>
    <w:rsid w:val="00256745"/>
    <w:rsid w:val="00260A57"/>
    <w:rsid w:val="00261542"/>
    <w:rsid w:val="00265711"/>
    <w:rsid w:val="00272E10"/>
    <w:rsid w:val="00274509"/>
    <w:rsid w:val="002767B2"/>
    <w:rsid w:val="00280050"/>
    <w:rsid w:val="0028065B"/>
    <w:rsid w:val="002818BE"/>
    <w:rsid w:val="00291D1A"/>
    <w:rsid w:val="00292065"/>
    <w:rsid w:val="0029238E"/>
    <w:rsid w:val="002938E6"/>
    <w:rsid w:val="00293BCF"/>
    <w:rsid w:val="002B2D8E"/>
    <w:rsid w:val="002B61C4"/>
    <w:rsid w:val="002D3BCB"/>
    <w:rsid w:val="002D4503"/>
    <w:rsid w:val="002E2895"/>
    <w:rsid w:val="002E50A9"/>
    <w:rsid w:val="002E6F24"/>
    <w:rsid w:val="002F017B"/>
    <w:rsid w:val="002F2EA6"/>
    <w:rsid w:val="002F3119"/>
    <w:rsid w:val="002F443F"/>
    <w:rsid w:val="00300C1E"/>
    <w:rsid w:val="0030243D"/>
    <w:rsid w:val="00305C9B"/>
    <w:rsid w:val="00311554"/>
    <w:rsid w:val="00311940"/>
    <w:rsid w:val="003120B5"/>
    <w:rsid w:val="003161C5"/>
    <w:rsid w:val="00322F15"/>
    <w:rsid w:val="00325B3C"/>
    <w:rsid w:val="00326A0D"/>
    <w:rsid w:val="003306EC"/>
    <w:rsid w:val="003314F4"/>
    <w:rsid w:val="00331957"/>
    <w:rsid w:val="00332886"/>
    <w:rsid w:val="0034082C"/>
    <w:rsid w:val="00340E5B"/>
    <w:rsid w:val="003613A4"/>
    <w:rsid w:val="003649D7"/>
    <w:rsid w:val="00367565"/>
    <w:rsid w:val="00372244"/>
    <w:rsid w:val="00374789"/>
    <w:rsid w:val="003821B5"/>
    <w:rsid w:val="003956F9"/>
    <w:rsid w:val="003974CA"/>
    <w:rsid w:val="003977D6"/>
    <w:rsid w:val="003B3B43"/>
    <w:rsid w:val="003C1576"/>
    <w:rsid w:val="003C5524"/>
    <w:rsid w:val="003C623D"/>
    <w:rsid w:val="003C715F"/>
    <w:rsid w:val="003D010B"/>
    <w:rsid w:val="003D6E9E"/>
    <w:rsid w:val="003E0AFE"/>
    <w:rsid w:val="003E14A0"/>
    <w:rsid w:val="003E4349"/>
    <w:rsid w:val="003F312F"/>
    <w:rsid w:val="00401A32"/>
    <w:rsid w:val="00401F3A"/>
    <w:rsid w:val="00404BE6"/>
    <w:rsid w:val="00407269"/>
    <w:rsid w:val="00417907"/>
    <w:rsid w:val="0042198E"/>
    <w:rsid w:val="00421E35"/>
    <w:rsid w:val="00422CDA"/>
    <w:rsid w:val="0042314E"/>
    <w:rsid w:val="004242B5"/>
    <w:rsid w:val="004243C8"/>
    <w:rsid w:val="00425571"/>
    <w:rsid w:val="004270C8"/>
    <w:rsid w:val="00427A2F"/>
    <w:rsid w:val="004335A7"/>
    <w:rsid w:val="004349EC"/>
    <w:rsid w:val="004441F3"/>
    <w:rsid w:val="00444BE5"/>
    <w:rsid w:val="0044541F"/>
    <w:rsid w:val="00446E39"/>
    <w:rsid w:val="00447CCF"/>
    <w:rsid w:val="004516D7"/>
    <w:rsid w:val="004531C4"/>
    <w:rsid w:val="004542EE"/>
    <w:rsid w:val="00461967"/>
    <w:rsid w:val="00462013"/>
    <w:rsid w:val="00465F0B"/>
    <w:rsid w:val="00476326"/>
    <w:rsid w:val="004854EC"/>
    <w:rsid w:val="00487A9C"/>
    <w:rsid w:val="00492209"/>
    <w:rsid w:val="004A2C72"/>
    <w:rsid w:val="004A5219"/>
    <w:rsid w:val="004B004A"/>
    <w:rsid w:val="004B015F"/>
    <w:rsid w:val="004B08C4"/>
    <w:rsid w:val="004B2B58"/>
    <w:rsid w:val="004B56E7"/>
    <w:rsid w:val="004C324A"/>
    <w:rsid w:val="004C3B42"/>
    <w:rsid w:val="004C40F8"/>
    <w:rsid w:val="004D3A10"/>
    <w:rsid w:val="004D4FAC"/>
    <w:rsid w:val="004D64E8"/>
    <w:rsid w:val="004D68C5"/>
    <w:rsid w:val="004E0308"/>
    <w:rsid w:val="004E252F"/>
    <w:rsid w:val="004E3311"/>
    <w:rsid w:val="004E45BD"/>
    <w:rsid w:val="004F0862"/>
    <w:rsid w:val="004F5D91"/>
    <w:rsid w:val="00500230"/>
    <w:rsid w:val="00500CE9"/>
    <w:rsid w:val="00502E3E"/>
    <w:rsid w:val="00506446"/>
    <w:rsid w:val="00510C9D"/>
    <w:rsid w:val="00513CFE"/>
    <w:rsid w:val="00514EB8"/>
    <w:rsid w:val="0051717F"/>
    <w:rsid w:val="00527BFA"/>
    <w:rsid w:val="00527CE3"/>
    <w:rsid w:val="00531F66"/>
    <w:rsid w:val="0053250B"/>
    <w:rsid w:val="00535939"/>
    <w:rsid w:val="00540B07"/>
    <w:rsid w:val="005418B3"/>
    <w:rsid w:val="005445CC"/>
    <w:rsid w:val="005466BB"/>
    <w:rsid w:val="005561B7"/>
    <w:rsid w:val="00560E53"/>
    <w:rsid w:val="005651F7"/>
    <w:rsid w:val="005669A8"/>
    <w:rsid w:val="00566A2F"/>
    <w:rsid w:val="00571821"/>
    <w:rsid w:val="005772B4"/>
    <w:rsid w:val="005832F7"/>
    <w:rsid w:val="00590987"/>
    <w:rsid w:val="005909A1"/>
    <w:rsid w:val="00590F19"/>
    <w:rsid w:val="005952B4"/>
    <w:rsid w:val="00595896"/>
    <w:rsid w:val="005A02D1"/>
    <w:rsid w:val="005A5E42"/>
    <w:rsid w:val="005B24AF"/>
    <w:rsid w:val="005B3BAC"/>
    <w:rsid w:val="005C1BB7"/>
    <w:rsid w:val="005C2EAC"/>
    <w:rsid w:val="005D3F2E"/>
    <w:rsid w:val="005D4A7D"/>
    <w:rsid w:val="005E1643"/>
    <w:rsid w:val="005E333A"/>
    <w:rsid w:val="005E6392"/>
    <w:rsid w:val="005F3C54"/>
    <w:rsid w:val="005F45FB"/>
    <w:rsid w:val="005F5CB1"/>
    <w:rsid w:val="005F6EF4"/>
    <w:rsid w:val="006077B3"/>
    <w:rsid w:val="00613B03"/>
    <w:rsid w:val="00631A81"/>
    <w:rsid w:val="00632858"/>
    <w:rsid w:val="00633C1B"/>
    <w:rsid w:val="006368FA"/>
    <w:rsid w:val="006379D4"/>
    <w:rsid w:val="0064001F"/>
    <w:rsid w:val="0064441B"/>
    <w:rsid w:val="00644964"/>
    <w:rsid w:val="00644DD7"/>
    <w:rsid w:val="00645DA3"/>
    <w:rsid w:val="00650415"/>
    <w:rsid w:val="00652359"/>
    <w:rsid w:val="00656856"/>
    <w:rsid w:val="00656BFD"/>
    <w:rsid w:val="006612B5"/>
    <w:rsid w:val="00665417"/>
    <w:rsid w:val="00673E4D"/>
    <w:rsid w:val="006752D3"/>
    <w:rsid w:val="00687FAD"/>
    <w:rsid w:val="0069059F"/>
    <w:rsid w:val="006926E2"/>
    <w:rsid w:val="00692DF1"/>
    <w:rsid w:val="00697753"/>
    <w:rsid w:val="006A1060"/>
    <w:rsid w:val="006A11F9"/>
    <w:rsid w:val="006A1F98"/>
    <w:rsid w:val="006A4BBC"/>
    <w:rsid w:val="006A7530"/>
    <w:rsid w:val="006A7EB5"/>
    <w:rsid w:val="006B003D"/>
    <w:rsid w:val="006B096E"/>
    <w:rsid w:val="006B2123"/>
    <w:rsid w:val="006B34F8"/>
    <w:rsid w:val="006B6C19"/>
    <w:rsid w:val="006C53C1"/>
    <w:rsid w:val="006D08B2"/>
    <w:rsid w:val="006D18B0"/>
    <w:rsid w:val="006D3628"/>
    <w:rsid w:val="006D3EF6"/>
    <w:rsid w:val="006E490C"/>
    <w:rsid w:val="006E7341"/>
    <w:rsid w:val="006F0657"/>
    <w:rsid w:val="006F2C6A"/>
    <w:rsid w:val="006F4512"/>
    <w:rsid w:val="006F5922"/>
    <w:rsid w:val="0070122D"/>
    <w:rsid w:val="00704BAB"/>
    <w:rsid w:val="0070606C"/>
    <w:rsid w:val="0071591C"/>
    <w:rsid w:val="007170DD"/>
    <w:rsid w:val="0072332D"/>
    <w:rsid w:val="00723382"/>
    <w:rsid w:val="007243E0"/>
    <w:rsid w:val="00725E5D"/>
    <w:rsid w:val="007264F9"/>
    <w:rsid w:val="00744D5A"/>
    <w:rsid w:val="00745FD5"/>
    <w:rsid w:val="007468C1"/>
    <w:rsid w:val="00753A04"/>
    <w:rsid w:val="007578E4"/>
    <w:rsid w:val="007650F5"/>
    <w:rsid w:val="00765A9C"/>
    <w:rsid w:val="0076627D"/>
    <w:rsid w:val="00771794"/>
    <w:rsid w:val="00771DAF"/>
    <w:rsid w:val="00772C02"/>
    <w:rsid w:val="00774C89"/>
    <w:rsid w:val="00774FB5"/>
    <w:rsid w:val="00783755"/>
    <w:rsid w:val="007859C9"/>
    <w:rsid w:val="007979CC"/>
    <w:rsid w:val="007A1125"/>
    <w:rsid w:val="007A19B7"/>
    <w:rsid w:val="007A2443"/>
    <w:rsid w:val="007A3941"/>
    <w:rsid w:val="007A4025"/>
    <w:rsid w:val="007B10CF"/>
    <w:rsid w:val="007B49FE"/>
    <w:rsid w:val="007B5ED1"/>
    <w:rsid w:val="007B761F"/>
    <w:rsid w:val="007C078F"/>
    <w:rsid w:val="007C085A"/>
    <w:rsid w:val="007C709D"/>
    <w:rsid w:val="007C7A3A"/>
    <w:rsid w:val="007D2202"/>
    <w:rsid w:val="007D6C90"/>
    <w:rsid w:val="007E396E"/>
    <w:rsid w:val="007E6D8E"/>
    <w:rsid w:val="007E7F06"/>
    <w:rsid w:val="007F0DE1"/>
    <w:rsid w:val="007F5A6B"/>
    <w:rsid w:val="0081340A"/>
    <w:rsid w:val="008145D6"/>
    <w:rsid w:val="00815A54"/>
    <w:rsid w:val="00820A19"/>
    <w:rsid w:val="00827A28"/>
    <w:rsid w:val="008340F0"/>
    <w:rsid w:val="0084076E"/>
    <w:rsid w:val="00852396"/>
    <w:rsid w:val="00853537"/>
    <w:rsid w:val="00860951"/>
    <w:rsid w:val="00861CEB"/>
    <w:rsid w:val="0086280E"/>
    <w:rsid w:val="00862D20"/>
    <w:rsid w:val="00864C35"/>
    <w:rsid w:val="00867F64"/>
    <w:rsid w:val="00873907"/>
    <w:rsid w:val="00881AEF"/>
    <w:rsid w:val="008821EF"/>
    <w:rsid w:val="00884027"/>
    <w:rsid w:val="00884BA2"/>
    <w:rsid w:val="0088780E"/>
    <w:rsid w:val="0088781C"/>
    <w:rsid w:val="00890494"/>
    <w:rsid w:val="00895C15"/>
    <w:rsid w:val="00897C21"/>
    <w:rsid w:val="008A02D3"/>
    <w:rsid w:val="008A0A26"/>
    <w:rsid w:val="008B4B14"/>
    <w:rsid w:val="008C24A4"/>
    <w:rsid w:val="008D0A93"/>
    <w:rsid w:val="008D1441"/>
    <w:rsid w:val="008D4740"/>
    <w:rsid w:val="008D79A2"/>
    <w:rsid w:val="008D7FD5"/>
    <w:rsid w:val="008E2ACE"/>
    <w:rsid w:val="008E3C52"/>
    <w:rsid w:val="008F1EDA"/>
    <w:rsid w:val="008F3AB8"/>
    <w:rsid w:val="008F4EB3"/>
    <w:rsid w:val="008F55C3"/>
    <w:rsid w:val="008F7FDA"/>
    <w:rsid w:val="009005AB"/>
    <w:rsid w:val="009005CC"/>
    <w:rsid w:val="00903F28"/>
    <w:rsid w:val="009064BB"/>
    <w:rsid w:val="00906E23"/>
    <w:rsid w:val="0090771F"/>
    <w:rsid w:val="00910950"/>
    <w:rsid w:val="009169E1"/>
    <w:rsid w:val="009175C7"/>
    <w:rsid w:val="00917FF9"/>
    <w:rsid w:val="00920B8E"/>
    <w:rsid w:val="00930AE0"/>
    <w:rsid w:val="0093209F"/>
    <w:rsid w:val="0096092C"/>
    <w:rsid w:val="0096243F"/>
    <w:rsid w:val="00977245"/>
    <w:rsid w:val="00983D82"/>
    <w:rsid w:val="00983E51"/>
    <w:rsid w:val="0098490C"/>
    <w:rsid w:val="00990F9F"/>
    <w:rsid w:val="00992650"/>
    <w:rsid w:val="00995A94"/>
    <w:rsid w:val="00997084"/>
    <w:rsid w:val="009A143E"/>
    <w:rsid w:val="009A3676"/>
    <w:rsid w:val="009A4A1F"/>
    <w:rsid w:val="009A6429"/>
    <w:rsid w:val="009B11AD"/>
    <w:rsid w:val="009B1A1C"/>
    <w:rsid w:val="009C75BF"/>
    <w:rsid w:val="009D094A"/>
    <w:rsid w:val="009D1B03"/>
    <w:rsid w:val="009E1EDC"/>
    <w:rsid w:val="009F1490"/>
    <w:rsid w:val="00A023DF"/>
    <w:rsid w:val="00A02545"/>
    <w:rsid w:val="00A03528"/>
    <w:rsid w:val="00A061B7"/>
    <w:rsid w:val="00A11BAE"/>
    <w:rsid w:val="00A16880"/>
    <w:rsid w:val="00A16CC5"/>
    <w:rsid w:val="00A205A7"/>
    <w:rsid w:val="00A24E67"/>
    <w:rsid w:val="00A25A57"/>
    <w:rsid w:val="00A330E1"/>
    <w:rsid w:val="00A34907"/>
    <w:rsid w:val="00A373AB"/>
    <w:rsid w:val="00A435B3"/>
    <w:rsid w:val="00A50A16"/>
    <w:rsid w:val="00A52F1D"/>
    <w:rsid w:val="00A55F4B"/>
    <w:rsid w:val="00A56A3E"/>
    <w:rsid w:val="00A62F08"/>
    <w:rsid w:val="00A670F9"/>
    <w:rsid w:val="00A67291"/>
    <w:rsid w:val="00A72CEC"/>
    <w:rsid w:val="00A93433"/>
    <w:rsid w:val="00A94A5B"/>
    <w:rsid w:val="00AA001E"/>
    <w:rsid w:val="00AB002A"/>
    <w:rsid w:val="00AB2F32"/>
    <w:rsid w:val="00AB5C7B"/>
    <w:rsid w:val="00AC44F1"/>
    <w:rsid w:val="00AC572D"/>
    <w:rsid w:val="00AD35C3"/>
    <w:rsid w:val="00AD5316"/>
    <w:rsid w:val="00AD7C3F"/>
    <w:rsid w:val="00AE04CA"/>
    <w:rsid w:val="00AE44C5"/>
    <w:rsid w:val="00AE5CAD"/>
    <w:rsid w:val="00AF05F0"/>
    <w:rsid w:val="00AF2ED2"/>
    <w:rsid w:val="00AF4781"/>
    <w:rsid w:val="00AF5068"/>
    <w:rsid w:val="00AF7E70"/>
    <w:rsid w:val="00B01025"/>
    <w:rsid w:val="00B02E64"/>
    <w:rsid w:val="00B11F9C"/>
    <w:rsid w:val="00B159E9"/>
    <w:rsid w:val="00B15E94"/>
    <w:rsid w:val="00B23AE6"/>
    <w:rsid w:val="00B2659E"/>
    <w:rsid w:val="00B269DE"/>
    <w:rsid w:val="00B33E83"/>
    <w:rsid w:val="00B35CAD"/>
    <w:rsid w:val="00B376EE"/>
    <w:rsid w:val="00B41F94"/>
    <w:rsid w:val="00B430C2"/>
    <w:rsid w:val="00B43B06"/>
    <w:rsid w:val="00B452B3"/>
    <w:rsid w:val="00B45440"/>
    <w:rsid w:val="00B475F3"/>
    <w:rsid w:val="00B51C38"/>
    <w:rsid w:val="00B61588"/>
    <w:rsid w:val="00B65586"/>
    <w:rsid w:val="00B71C1D"/>
    <w:rsid w:val="00B72979"/>
    <w:rsid w:val="00B75C36"/>
    <w:rsid w:val="00B775DE"/>
    <w:rsid w:val="00B8668B"/>
    <w:rsid w:val="00B8697A"/>
    <w:rsid w:val="00B92831"/>
    <w:rsid w:val="00B93184"/>
    <w:rsid w:val="00B93BEA"/>
    <w:rsid w:val="00B979D1"/>
    <w:rsid w:val="00BA3DE1"/>
    <w:rsid w:val="00BA453B"/>
    <w:rsid w:val="00BA4A53"/>
    <w:rsid w:val="00BA68DD"/>
    <w:rsid w:val="00BA6ED3"/>
    <w:rsid w:val="00BB0072"/>
    <w:rsid w:val="00BB76B8"/>
    <w:rsid w:val="00BC12AA"/>
    <w:rsid w:val="00BC7222"/>
    <w:rsid w:val="00BD0607"/>
    <w:rsid w:val="00BD3D38"/>
    <w:rsid w:val="00BD601C"/>
    <w:rsid w:val="00BE2594"/>
    <w:rsid w:val="00C0368B"/>
    <w:rsid w:val="00C039D1"/>
    <w:rsid w:val="00C3179A"/>
    <w:rsid w:val="00C33288"/>
    <w:rsid w:val="00C338D0"/>
    <w:rsid w:val="00C340C5"/>
    <w:rsid w:val="00C34482"/>
    <w:rsid w:val="00C44012"/>
    <w:rsid w:val="00C50654"/>
    <w:rsid w:val="00C51DD4"/>
    <w:rsid w:val="00C52A4B"/>
    <w:rsid w:val="00C5354D"/>
    <w:rsid w:val="00C60DB6"/>
    <w:rsid w:val="00C6764E"/>
    <w:rsid w:val="00C70135"/>
    <w:rsid w:val="00C726B4"/>
    <w:rsid w:val="00C80306"/>
    <w:rsid w:val="00C8080F"/>
    <w:rsid w:val="00C812A2"/>
    <w:rsid w:val="00C85254"/>
    <w:rsid w:val="00C85B21"/>
    <w:rsid w:val="00C86AD0"/>
    <w:rsid w:val="00C9263A"/>
    <w:rsid w:val="00C93A40"/>
    <w:rsid w:val="00CA08F9"/>
    <w:rsid w:val="00CA69C6"/>
    <w:rsid w:val="00CB05F5"/>
    <w:rsid w:val="00CB187A"/>
    <w:rsid w:val="00CB39F8"/>
    <w:rsid w:val="00CB7685"/>
    <w:rsid w:val="00CC59F2"/>
    <w:rsid w:val="00CD26A4"/>
    <w:rsid w:val="00CD6481"/>
    <w:rsid w:val="00CD7399"/>
    <w:rsid w:val="00CE2664"/>
    <w:rsid w:val="00CF0FEE"/>
    <w:rsid w:val="00CF25CA"/>
    <w:rsid w:val="00CF652C"/>
    <w:rsid w:val="00D013D8"/>
    <w:rsid w:val="00D10886"/>
    <w:rsid w:val="00D13111"/>
    <w:rsid w:val="00D14C21"/>
    <w:rsid w:val="00D2189D"/>
    <w:rsid w:val="00D21EA0"/>
    <w:rsid w:val="00D2424F"/>
    <w:rsid w:val="00D336E6"/>
    <w:rsid w:val="00D33E1A"/>
    <w:rsid w:val="00D35351"/>
    <w:rsid w:val="00D36558"/>
    <w:rsid w:val="00D37E85"/>
    <w:rsid w:val="00D51D57"/>
    <w:rsid w:val="00D520E8"/>
    <w:rsid w:val="00D54FF5"/>
    <w:rsid w:val="00D5610C"/>
    <w:rsid w:val="00D7617B"/>
    <w:rsid w:val="00D823CD"/>
    <w:rsid w:val="00D829A8"/>
    <w:rsid w:val="00D84B22"/>
    <w:rsid w:val="00D84D8A"/>
    <w:rsid w:val="00D86506"/>
    <w:rsid w:val="00D93B93"/>
    <w:rsid w:val="00D9502A"/>
    <w:rsid w:val="00D9542D"/>
    <w:rsid w:val="00DA3F7F"/>
    <w:rsid w:val="00DA6CFF"/>
    <w:rsid w:val="00DB0BD8"/>
    <w:rsid w:val="00DB3E1F"/>
    <w:rsid w:val="00DC2642"/>
    <w:rsid w:val="00DC67BD"/>
    <w:rsid w:val="00DC7E88"/>
    <w:rsid w:val="00DD1353"/>
    <w:rsid w:val="00DD17DE"/>
    <w:rsid w:val="00DD1D18"/>
    <w:rsid w:val="00DD3604"/>
    <w:rsid w:val="00DE28A4"/>
    <w:rsid w:val="00DE3475"/>
    <w:rsid w:val="00DE3845"/>
    <w:rsid w:val="00DE7F91"/>
    <w:rsid w:val="00DF78BE"/>
    <w:rsid w:val="00DF7A20"/>
    <w:rsid w:val="00E1015F"/>
    <w:rsid w:val="00E110BC"/>
    <w:rsid w:val="00E1145A"/>
    <w:rsid w:val="00E14ADB"/>
    <w:rsid w:val="00E1615C"/>
    <w:rsid w:val="00E2414A"/>
    <w:rsid w:val="00E25117"/>
    <w:rsid w:val="00E252FF"/>
    <w:rsid w:val="00E25AE6"/>
    <w:rsid w:val="00E31196"/>
    <w:rsid w:val="00E33A0A"/>
    <w:rsid w:val="00E353FE"/>
    <w:rsid w:val="00E406C6"/>
    <w:rsid w:val="00E408C9"/>
    <w:rsid w:val="00E41DCF"/>
    <w:rsid w:val="00E43D24"/>
    <w:rsid w:val="00E440A3"/>
    <w:rsid w:val="00E506FF"/>
    <w:rsid w:val="00E54F85"/>
    <w:rsid w:val="00E56BCF"/>
    <w:rsid w:val="00E56F84"/>
    <w:rsid w:val="00E61EA5"/>
    <w:rsid w:val="00E660DD"/>
    <w:rsid w:val="00E70776"/>
    <w:rsid w:val="00E7146A"/>
    <w:rsid w:val="00E71CFE"/>
    <w:rsid w:val="00E7538D"/>
    <w:rsid w:val="00E800B8"/>
    <w:rsid w:val="00E81C22"/>
    <w:rsid w:val="00E83447"/>
    <w:rsid w:val="00E835B4"/>
    <w:rsid w:val="00E8614D"/>
    <w:rsid w:val="00E90739"/>
    <w:rsid w:val="00E9155A"/>
    <w:rsid w:val="00E9683D"/>
    <w:rsid w:val="00EA0475"/>
    <w:rsid w:val="00EA460B"/>
    <w:rsid w:val="00EA688D"/>
    <w:rsid w:val="00EB38AF"/>
    <w:rsid w:val="00EB5555"/>
    <w:rsid w:val="00EB621D"/>
    <w:rsid w:val="00EB6A3A"/>
    <w:rsid w:val="00EB7BD4"/>
    <w:rsid w:val="00EC7B43"/>
    <w:rsid w:val="00ED1488"/>
    <w:rsid w:val="00ED30A2"/>
    <w:rsid w:val="00ED491B"/>
    <w:rsid w:val="00EE273E"/>
    <w:rsid w:val="00EE314E"/>
    <w:rsid w:val="00EE6540"/>
    <w:rsid w:val="00EE6DD2"/>
    <w:rsid w:val="00F0336F"/>
    <w:rsid w:val="00F04092"/>
    <w:rsid w:val="00F046FA"/>
    <w:rsid w:val="00F05C0A"/>
    <w:rsid w:val="00F0610A"/>
    <w:rsid w:val="00F10D4C"/>
    <w:rsid w:val="00F14D6C"/>
    <w:rsid w:val="00F15C69"/>
    <w:rsid w:val="00F169FE"/>
    <w:rsid w:val="00F2124A"/>
    <w:rsid w:val="00F2153F"/>
    <w:rsid w:val="00F32CED"/>
    <w:rsid w:val="00F3708E"/>
    <w:rsid w:val="00F37845"/>
    <w:rsid w:val="00F41099"/>
    <w:rsid w:val="00F52870"/>
    <w:rsid w:val="00F55AA6"/>
    <w:rsid w:val="00F60C83"/>
    <w:rsid w:val="00F6148E"/>
    <w:rsid w:val="00F6164F"/>
    <w:rsid w:val="00F63E21"/>
    <w:rsid w:val="00F707A9"/>
    <w:rsid w:val="00F71E6A"/>
    <w:rsid w:val="00F73C2D"/>
    <w:rsid w:val="00F73C3A"/>
    <w:rsid w:val="00F74B2A"/>
    <w:rsid w:val="00F7705F"/>
    <w:rsid w:val="00F7706C"/>
    <w:rsid w:val="00F84EC9"/>
    <w:rsid w:val="00F860F9"/>
    <w:rsid w:val="00F918B6"/>
    <w:rsid w:val="00F9530A"/>
    <w:rsid w:val="00F97140"/>
    <w:rsid w:val="00FA29EF"/>
    <w:rsid w:val="00FA768C"/>
    <w:rsid w:val="00FB0557"/>
    <w:rsid w:val="00FB13D9"/>
    <w:rsid w:val="00FB3919"/>
    <w:rsid w:val="00FB4302"/>
    <w:rsid w:val="00FB67F4"/>
    <w:rsid w:val="00FC1C87"/>
    <w:rsid w:val="00FC1F43"/>
    <w:rsid w:val="00FD31A2"/>
    <w:rsid w:val="00FD60ED"/>
    <w:rsid w:val="00FD6B6B"/>
    <w:rsid w:val="00FE09C6"/>
    <w:rsid w:val="00FE2C51"/>
    <w:rsid w:val="00FE4A59"/>
    <w:rsid w:val="00FF1D26"/>
    <w:rsid w:val="00FF3D6D"/>
    <w:rsid w:val="00FF57D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2826A86"/>
  <w15:docId w15:val="{E1B29A37-2791-4BF0-9ECB-75343CEB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A373AB"/>
    <w:pPr>
      <w:spacing w:before="120" w:after="120"/>
    </w:pPr>
    <w:rPr>
      <w:rFonts w:asciiTheme="minorHAnsi" w:hAnsiTheme="minorHAnsi"/>
      <w:color w:val="000000" w:themeColor="text1"/>
      <w:sz w:val="22"/>
    </w:rPr>
  </w:style>
  <w:style w:type="paragraph" w:styleId="Heading1">
    <w:name w:val="heading 1"/>
    <w:next w:val="Normal"/>
    <w:link w:val="Heading1Char"/>
    <w:autoRedefine/>
    <w:uiPriority w:val="9"/>
    <w:qFormat/>
    <w:rsid w:val="00A52F1D"/>
    <w:pPr>
      <w:keepNext/>
      <w:spacing w:before="120" w:after="120" w:line="240" w:lineRule="auto"/>
      <w:outlineLvl w:val="0"/>
    </w:pPr>
    <w:rPr>
      <w:rFonts w:asciiTheme="minorHAnsi" w:eastAsiaTheme="majorEastAsia" w:hAnsiTheme="minorHAnsi" w:cs="Arial"/>
      <w:b/>
      <w:bCs/>
      <w:color w:val="000000" w:themeColor="text1"/>
      <w:sz w:val="32"/>
      <w:szCs w:val="48"/>
    </w:rPr>
  </w:style>
  <w:style w:type="paragraph" w:styleId="Heading2">
    <w:name w:val="heading 2"/>
    <w:basedOn w:val="Heading1"/>
    <w:next w:val="Subtitle"/>
    <w:link w:val="Heading2Char"/>
    <w:uiPriority w:val="9"/>
    <w:unhideWhenUsed/>
    <w:qFormat/>
    <w:rsid w:val="00132779"/>
    <w:pPr>
      <w:outlineLvl w:val="1"/>
    </w:pPr>
    <w:rPr>
      <w:bCs w:val="0"/>
      <w:sz w:val="36"/>
    </w:rPr>
  </w:style>
  <w:style w:type="paragraph" w:styleId="Heading3">
    <w:name w:val="heading 3"/>
    <w:basedOn w:val="Normal"/>
    <w:next w:val="Normal"/>
    <w:link w:val="Heading3Char"/>
    <w:uiPriority w:val="9"/>
    <w:unhideWhenUsed/>
    <w:qFormat/>
    <w:rsid w:val="00132779"/>
    <w:pPr>
      <w:keepNext/>
      <w:keepLines/>
      <w:spacing w:before="200"/>
      <w:outlineLvl w:val="2"/>
    </w:pPr>
    <w:rPr>
      <w:rFonts w:eastAsiaTheme="majorEastAsia" w:cs="Arial"/>
      <w:b/>
      <w:sz w:val="28"/>
      <w:szCs w:val="32"/>
    </w:rPr>
  </w:style>
  <w:style w:type="paragraph" w:styleId="Heading4">
    <w:name w:val="heading 4"/>
    <w:basedOn w:val="Normal"/>
    <w:next w:val="Normal"/>
    <w:link w:val="Heading4Char"/>
    <w:uiPriority w:val="9"/>
    <w:unhideWhenUsed/>
    <w:rsid w:val="009A4A1F"/>
    <w:pPr>
      <w:keepNext/>
      <w:keepLines/>
      <w:spacing w:before="240"/>
      <w:outlineLvl w:val="3"/>
    </w:pPr>
    <w:rPr>
      <w:rFonts w:eastAsiaTheme="majorEastAsia" w:cstheme="majorBidi"/>
      <w:b/>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4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style>
  <w:style w:type="character" w:styleId="Hyperlink">
    <w:name w:val="Hyperlink"/>
    <w:basedOn w:val="DefaultParagraphFont"/>
    <w:uiPriority w:val="99"/>
    <w:unhideWhenUsed/>
    <w:qFormat/>
    <w:rsid w:val="0064441B"/>
    <w:rPr>
      <w:color w:val="0563C1" w:themeColor="hyperlink"/>
      <w:sz w:val="24"/>
      <w:u w:val="single"/>
    </w:rPr>
  </w:style>
  <w:style w:type="paragraph" w:styleId="Header">
    <w:name w:val="header"/>
    <w:basedOn w:val="Normal"/>
    <w:link w:val="HeaderChar"/>
    <w:uiPriority w:val="99"/>
    <w:unhideWhenUsed/>
    <w:rsid w:val="00F73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C2D"/>
  </w:style>
  <w:style w:type="paragraph" w:styleId="Footer">
    <w:name w:val="footer"/>
    <w:basedOn w:val="Normal"/>
    <w:link w:val="FooterChar"/>
    <w:uiPriority w:val="99"/>
    <w:unhideWhenUsed/>
    <w:rsid w:val="00F73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C2D"/>
  </w:style>
  <w:style w:type="paragraph" w:customStyle="1" w:styleId="Pa0">
    <w:name w:val="Pa0"/>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character" w:customStyle="1" w:styleId="A5">
    <w:name w:val="A5"/>
    <w:uiPriority w:val="99"/>
    <w:rsid w:val="00326A0D"/>
    <w:rPr>
      <w:color w:val="000000"/>
      <w:sz w:val="22"/>
      <w:szCs w:val="22"/>
    </w:rPr>
  </w:style>
  <w:style w:type="paragraph" w:customStyle="1" w:styleId="Pa1">
    <w:name w:val="Pa1"/>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paragraph" w:styleId="ListParagraph">
    <w:name w:val="List Paragraph"/>
    <w:aliases w:val="Bullet Point 1,Bullet point,Bullets,CV text,Dot pt,F5 List Paragraph,FooterText,L,List Paragraph1,List Paragraph11,List Paragraph111,List Paragraph2,Medium Grid 1 - Accent 21,NAST Quote,NFP GP Bulleted List,Numbered Paragraph"/>
    <w:basedOn w:val="ListBullet"/>
    <w:next w:val="List"/>
    <w:link w:val="ListParagraphChar"/>
    <w:uiPriority w:val="34"/>
    <w:qFormat/>
    <w:rsid w:val="00E353FE"/>
    <w:pPr>
      <w:numPr>
        <w:numId w:val="2"/>
      </w:numPr>
      <w:spacing w:before="40" w:line="240" w:lineRule="auto"/>
    </w:pPr>
    <w:rPr>
      <w:rFonts w:cs="Arial"/>
    </w:rPr>
  </w:style>
  <w:style w:type="paragraph" w:customStyle="1" w:styleId="Pa2">
    <w:name w:val="Pa2"/>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character" w:customStyle="1" w:styleId="A10">
    <w:name w:val="A10"/>
    <w:uiPriority w:val="99"/>
    <w:rsid w:val="00326A0D"/>
    <w:rPr>
      <w:b/>
      <w:bCs/>
      <w:color w:val="000000"/>
      <w:sz w:val="26"/>
      <w:szCs w:val="26"/>
    </w:rPr>
  </w:style>
  <w:style w:type="character" w:customStyle="1" w:styleId="A9">
    <w:name w:val="A9"/>
    <w:uiPriority w:val="99"/>
    <w:rsid w:val="00326A0D"/>
    <w:rPr>
      <w:color w:val="000000"/>
      <w:sz w:val="30"/>
      <w:szCs w:val="30"/>
    </w:rPr>
  </w:style>
  <w:style w:type="paragraph" w:customStyle="1" w:styleId="Default">
    <w:name w:val="Default"/>
    <w:rsid w:val="00860951"/>
    <w:pPr>
      <w:autoSpaceDE w:val="0"/>
      <w:autoSpaceDN w:val="0"/>
      <w:adjustRightInd w:val="0"/>
      <w:spacing w:after="0" w:line="240" w:lineRule="auto"/>
    </w:pPr>
    <w:rPr>
      <w:rFonts w:ascii="Calibri" w:hAnsi="Calibri" w:cs="Calibri"/>
      <w:color w:val="000000"/>
      <w:lang w:val="en-US"/>
    </w:rPr>
  </w:style>
  <w:style w:type="character" w:styleId="CommentReference">
    <w:name w:val="annotation reference"/>
    <w:basedOn w:val="DefaultParagraphFont"/>
    <w:uiPriority w:val="99"/>
    <w:semiHidden/>
    <w:unhideWhenUsed/>
    <w:rsid w:val="0008489C"/>
    <w:rPr>
      <w:sz w:val="16"/>
      <w:szCs w:val="16"/>
    </w:rPr>
  </w:style>
  <w:style w:type="paragraph" w:styleId="CommentText">
    <w:name w:val="annotation text"/>
    <w:basedOn w:val="Normal"/>
    <w:link w:val="CommentTextChar"/>
    <w:uiPriority w:val="99"/>
    <w:unhideWhenUsed/>
    <w:rsid w:val="0008489C"/>
    <w:pPr>
      <w:spacing w:line="240" w:lineRule="auto"/>
    </w:pPr>
    <w:rPr>
      <w:sz w:val="20"/>
      <w:szCs w:val="20"/>
    </w:rPr>
  </w:style>
  <w:style w:type="character" w:customStyle="1" w:styleId="CommentTextChar">
    <w:name w:val="Comment Text Char"/>
    <w:basedOn w:val="DefaultParagraphFont"/>
    <w:link w:val="CommentText"/>
    <w:uiPriority w:val="99"/>
    <w:rsid w:val="0008489C"/>
    <w:rPr>
      <w:sz w:val="20"/>
      <w:szCs w:val="20"/>
    </w:rPr>
  </w:style>
  <w:style w:type="paragraph" w:styleId="CommentSubject">
    <w:name w:val="annotation subject"/>
    <w:basedOn w:val="CommentText"/>
    <w:next w:val="CommentText"/>
    <w:link w:val="CommentSubjectChar"/>
    <w:uiPriority w:val="99"/>
    <w:semiHidden/>
    <w:unhideWhenUsed/>
    <w:rsid w:val="0008489C"/>
    <w:rPr>
      <w:b/>
      <w:bCs/>
    </w:rPr>
  </w:style>
  <w:style w:type="character" w:customStyle="1" w:styleId="CommentSubjectChar">
    <w:name w:val="Comment Subject Char"/>
    <w:basedOn w:val="CommentTextChar"/>
    <w:link w:val="CommentSubject"/>
    <w:uiPriority w:val="99"/>
    <w:semiHidden/>
    <w:rsid w:val="0008489C"/>
    <w:rPr>
      <w:b/>
      <w:bCs/>
      <w:sz w:val="20"/>
      <w:szCs w:val="20"/>
    </w:rPr>
  </w:style>
  <w:style w:type="paragraph" w:styleId="BalloonText">
    <w:name w:val="Balloon Text"/>
    <w:basedOn w:val="Normal"/>
    <w:link w:val="BalloonTextChar"/>
    <w:uiPriority w:val="99"/>
    <w:unhideWhenUsed/>
    <w:rsid w:val="00084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8489C"/>
    <w:rPr>
      <w:rFonts w:ascii="Segoe UI" w:hAnsi="Segoe UI" w:cs="Segoe UI"/>
      <w:sz w:val="18"/>
      <w:szCs w:val="18"/>
    </w:rPr>
  </w:style>
  <w:style w:type="character" w:styleId="FollowedHyperlink">
    <w:name w:val="FollowedHyperlink"/>
    <w:basedOn w:val="DefaultParagraphFont"/>
    <w:uiPriority w:val="99"/>
    <w:semiHidden/>
    <w:unhideWhenUsed/>
    <w:rsid w:val="0008489C"/>
    <w:rPr>
      <w:color w:val="954F72" w:themeColor="followedHyperlink"/>
      <w:u w:val="single"/>
    </w:rPr>
  </w:style>
  <w:style w:type="paragraph" w:styleId="TableofAuthorities">
    <w:name w:val="table of authorities"/>
    <w:next w:val="Normal"/>
    <w:uiPriority w:val="99"/>
    <w:unhideWhenUsed/>
    <w:rsid w:val="0064441B"/>
    <w:pPr>
      <w:spacing w:before="120" w:after="120" w:line="240" w:lineRule="auto"/>
      <w:ind w:left="238" w:hanging="238"/>
    </w:pPr>
    <w:rPr>
      <w:rFonts w:ascii="Arial" w:hAnsi="Arial"/>
      <w:color w:val="000000" w:themeColor="text1"/>
      <w:sz w:val="22"/>
    </w:rPr>
  </w:style>
  <w:style w:type="paragraph" w:customStyle="1" w:styleId="BasicParagraph">
    <w:name w:val="[Basic Paragraph]"/>
    <w:basedOn w:val="Normal"/>
    <w:uiPriority w:val="99"/>
    <w:rsid w:val="00DD17DE"/>
    <w:pPr>
      <w:widowControl w:val="0"/>
      <w:suppressAutoHyphens/>
      <w:autoSpaceDE w:val="0"/>
      <w:autoSpaceDN w:val="0"/>
      <w:adjustRightInd w:val="0"/>
      <w:spacing w:after="0" w:line="260" w:lineRule="atLeast"/>
      <w:jc w:val="center"/>
      <w:textAlignment w:val="center"/>
    </w:pPr>
    <w:rPr>
      <w:rFonts w:ascii="Poppins-Light" w:hAnsi="Poppins-Light" w:cs="Poppins-Light"/>
      <w:color w:val="000000"/>
      <w:sz w:val="20"/>
      <w:szCs w:val="20"/>
      <w:lang w:val="en-US"/>
    </w:rPr>
  </w:style>
  <w:style w:type="character" w:styleId="PageNumber">
    <w:name w:val="page number"/>
    <w:basedOn w:val="DefaultParagraphFont"/>
    <w:uiPriority w:val="99"/>
    <w:semiHidden/>
    <w:unhideWhenUsed/>
    <w:rsid w:val="003977D6"/>
  </w:style>
  <w:style w:type="paragraph" w:styleId="Subtitle">
    <w:name w:val="Subtitle"/>
    <w:aliases w:val="Heading"/>
    <w:basedOn w:val="Normal"/>
    <w:next w:val="Title"/>
    <w:link w:val="SubtitleChar"/>
    <w:autoRedefine/>
    <w:uiPriority w:val="11"/>
    <w:qFormat/>
    <w:rsid w:val="002F2EA6"/>
    <w:pPr>
      <w:numPr>
        <w:ilvl w:val="1"/>
      </w:numPr>
      <w:spacing w:before="240" w:after="0" w:line="240" w:lineRule="auto"/>
    </w:pPr>
    <w:rPr>
      <w:rFonts w:eastAsiaTheme="majorEastAsia" w:cs="Arial"/>
      <w:b/>
      <w:iCs/>
      <w:caps/>
      <w:spacing w:val="15"/>
      <w:sz w:val="52"/>
      <w:szCs w:val="62"/>
    </w:rPr>
  </w:style>
  <w:style w:type="character" w:customStyle="1" w:styleId="SubtitleChar">
    <w:name w:val="Subtitle Char"/>
    <w:aliases w:val="Heading Char"/>
    <w:basedOn w:val="DefaultParagraphFont"/>
    <w:link w:val="Subtitle"/>
    <w:uiPriority w:val="11"/>
    <w:rsid w:val="002F2EA6"/>
    <w:rPr>
      <w:rFonts w:ascii="Arial" w:eastAsiaTheme="majorEastAsia" w:hAnsi="Arial" w:cs="Arial"/>
      <w:b/>
      <w:iCs/>
      <w:caps/>
      <w:color w:val="000000" w:themeColor="text1"/>
      <w:spacing w:val="15"/>
      <w:sz w:val="52"/>
      <w:szCs w:val="62"/>
    </w:rPr>
  </w:style>
  <w:style w:type="paragraph" w:styleId="Title">
    <w:name w:val="Title"/>
    <w:basedOn w:val="Normal"/>
    <w:next w:val="Normal"/>
    <w:link w:val="TitleChar"/>
    <w:uiPriority w:val="10"/>
    <w:qFormat/>
    <w:rsid w:val="00A373AB"/>
    <w:pPr>
      <w:spacing w:line="240" w:lineRule="auto"/>
    </w:pPr>
    <w:rPr>
      <w:rFonts w:eastAsiaTheme="majorEastAsia" w:cstheme="majorBidi"/>
      <w:b/>
      <w:color w:val="323E4F" w:themeColor="text2" w:themeShade="BF"/>
      <w:spacing w:val="5"/>
      <w:kern w:val="28"/>
      <w:sz w:val="48"/>
      <w:szCs w:val="52"/>
    </w:rPr>
  </w:style>
  <w:style w:type="character" w:customStyle="1" w:styleId="TitleChar">
    <w:name w:val="Title Char"/>
    <w:basedOn w:val="DefaultParagraphFont"/>
    <w:link w:val="Title"/>
    <w:uiPriority w:val="10"/>
    <w:rsid w:val="00A373AB"/>
    <w:rPr>
      <w:rFonts w:asciiTheme="minorHAnsi" w:eastAsiaTheme="majorEastAsia" w:hAnsiTheme="minorHAnsi" w:cstheme="majorBidi"/>
      <w:b/>
      <w:color w:val="323E4F" w:themeColor="text2" w:themeShade="BF"/>
      <w:spacing w:val="5"/>
      <w:kern w:val="28"/>
      <w:sz w:val="48"/>
      <w:szCs w:val="52"/>
    </w:rPr>
  </w:style>
  <w:style w:type="character" w:customStyle="1" w:styleId="Heading1Char">
    <w:name w:val="Heading 1 Char"/>
    <w:basedOn w:val="DefaultParagraphFont"/>
    <w:link w:val="Heading1"/>
    <w:uiPriority w:val="9"/>
    <w:rsid w:val="00A52F1D"/>
    <w:rPr>
      <w:rFonts w:asciiTheme="minorHAnsi" w:eastAsiaTheme="majorEastAsia" w:hAnsiTheme="minorHAnsi" w:cs="Arial"/>
      <w:b/>
      <w:bCs/>
      <w:color w:val="000000" w:themeColor="text1"/>
      <w:sz w:val="32"/>
      <w:szCs w:val="48"/>
    </w:rPr>
  </w:style>
  <w:style w:type="paragraph" w:styleId="NormalWeb">
    <w:name w:val="Normal (Web)"/>
    <w:basedOn w:val="Normal"/>
    <w:uiPriority w:val="99"/>
    <w:semiHidden/>
    <w:unhideWhenUsed/>
    <w:rsid w:val="00535939"/>
    <w:pPr>
      <w:spacing w:before="100" w:beforeAutospacing="1" w:after="100" w:afterAutospacing="1" w:line="240" w:lineRule="auto"/>
    </w:pPr>
    <w:rPr>
      <w:sz w:val="20"/>
      <w:szCs w:val="20"/>
    </w:rPr>
  </w:style>
  <w:style w:type="character" w:customStyle="1" w:styleId="Heading2Char">
    <w:name w:val="Heading 2 Char"/>
    <w:basedOn w:val="DefaultParagraphFont"/>
    <w:link w:val="Heading2"/>
    <w:uiPriority w:val="9"/>
    <w:rsid w:val="00132779"/>
    <w:rPr>
      <w:rFonts w:ascii="Arial" w:eastAsiaTheme="majorEastAsia" w:hAnsi="Arial" w:cs="Arial"/>
      <w:b/>
      <w:color w:val="000000" w:themeColor="text1"/>
      <w:sz w:val="36"/>
      <w:szCs w:val="48"/>
    </w:rPr>
  </w:style>
  <w:style w:type="paragraph" w:styleId="BodyText">
    <w:name w:val="Body Text"/>
    <w:basedOn w:val="Normal"/>
    <w:link w:val="BodyTextChar"/>
    <w:uiPriority w:val="99"/>
    <w:unhideWhenUsed/>
    <w:rsid w:val="00535939"/>
  </w:style>
  <w:style w:type="character" w:customStyle="1" w:styleId="BodyTextChar">
    <w:name w:val="Body Text Char"/>
    <w:basedOn w:val="DefaultParagraphFont"/>
    <w:link w:val="BodyText"/>
    <w:uiPriority w:val="99"/>
    <w:rsid w:val="00535939"/>
    <w:rPr>
      <w:rFonts w:ascii="Arial" w:hAnsi="Arial"/>
      <w:color w:val="000000" w:themeColor="text1"/>
    </w:rPr>
  </w:style>
  <w:style w:type="paragraph" w:styleId="ListBullet">
    <w:name w:val="List Bullet"/>
    <w:basedOn w:val="Normal"/>
    <w:uiPriority w:val="99"/>
    <w:unhideWhenUsed/>
    <w:rsid w:val="00535939"/>
    <w:pPr>
      <w:numPr>
        <w:numId w:val="1"/>
      </w:numPr>
      <w:contextualSpacing/>
    </w:pPr>
  </w:style>
  <w:style w:type="paragraph" w:styleId="List">
    <w:name w:val="List"/>
    <w:basedOn w:val="Normal"/>
    <w:uiPriority w:val="99"/>
    <w:unhideWhenUsed/>
    <w:rsid w:val="00535939"/>
    <w:pPr>
      <w:ind w:left="283" w:hanging="283"/>
      <w:contextualSpacing/>
    </w:pPr>
  </w:style>
  <w:style w:type="paragraph" w:styleId="NoSpacing">
    <w:name w:val="No Spacing"/>
    <w:uiPriority w:val="1"/>
    <w:rsid w:val="007E6D8E"/>
    <w:pPr>
      <w:spacing w:after="0" w:line="240" w:lineRule="auto"/>
    </w:pPr>
    <w:rPr>
      <w:rFonts w:ascii="Arial" w:hAnsi="Arial"/>
      <w:color w:val="000000" w:themeColor="text1"/>
    </w:rPr>
  </w:style>
  <w:style w:type="character" w:customStyle="1" w:styleId="Heading3Char">
    <w:name w:val="Heading 3 Char"/>
    <w:basedOn w:val="DefaultParagraphFont"/>
    <w:link w:val="Heading3"/>
    <w:uiPriority w:val="9"/>
    <w:rsid w:val="00132779"/>
    <w:rPr>
      <w:rFonts w:ascii="Arial" w:eastAsiaTheme="majorEastAsia" w:hAnsi="Arial" w:cs="Arial"/>
      <w:b/>
      <w:color w:val="000000" w:themeColor="text1"/>
      <w:sz w:val="28"/>
      <w:szCs w:val="32"/>
    </w:rPr>
  </w:style>
  <w:style w:type="character" w:customStyle="1" w:styleId="None">
    <w:name w:val="None"/>
    <w:rsid w:val="0042314E"/>
  </w:style>
  <w:style w:type="paragraph" w:customStyle="1" w:styleId="Body">
    <w:name w:val="Body"/>
    <w:rsid w:val="0042314E"/>
    <w:pPr>
      <w:pBdr>
        <w:top w:val="nil"/>
        <w:left w:val="nil"/>
        <w:bottom w:val="nil"/>
        <w:right w:val="nil"/>
        <w:between w:val="nil"/>
        <w:bar w:val="nil"/>
      </w:pBdr>
      <w:spacing w:after="0" w:line="276" w:lineRule="auto"/>
    </w:pPr>
    <w:rPr>
      <w:rFonts w:ascii="Arial" w:eastAsia="Arial Unicode MS" w:hAnsi="Arial" w:cs="Arial Unicode MS"/>
      <w:color w:val="000000"/>
      <w:sz w:val="22"/>
      <w:szCs w:val="22"/>
      <w:u w:color="000000"/>
      <w:bdr w:val="nil"/>
      <w:lang w:val="en-US" w:eastAsia="en-AU"/>
    </w:rPr>
  </w:style>
  <w:style w:type="paragraph" w:customStyle="1" w:styleId="Paragraphtext">
    <w:name w:val="Paragraph text"/>
    <w:basedOn w:val="Normal"/>
    <w:qFormat/>
    <w:rsid w:val="002E50A9"/>
    <w:pPr>
      <w:spacing w:after="60" w:line="240" w:lineRule="auto"/>
    </w:pPr>
    <w:rPr>
      <w:rFonts w:eastAsia="Times New Roman"/>
      <w:sz w:val="21"/>
    </w:rPr>
  </w:style>
  <w:style w:type="paragraph" w:styleId="FootnoteText">
    <w:name w:val="footnote text"/>
    <w:basedOn w:val="Normal"/>
    <w:link w:val="FootnoteTextChar"/>
    <w:uiPriority w:val="99"/>
    <w:semiHidden/>
    <w:unhideWhenUsed/>
    <w:rsid w:val="00F918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18B6"/>
    <w:rPr>
      <w:rFonts w:ascii="Arial" w:hAnsi="Arial"/>
      <w:color w:val="000000" w:themeColor="text1"/>
      <w:sz w:val="20"/>
      <w:szCs w:val="20"/>
    </w:rPr>
  </w:style>
  <w:style w:type="character" w:styleId="FootnoteReference">
    <w:name w:val="footnote reference"/>
    <w:uiPriority w:val="99"/>
    <w:semiHidden/>
    <w:unhideWhenUsed/>
    <w:rsid w:val="00F918B6"/>
    <w:rPr>
      <w:vertAlign w:val="superscript"/>
    </w:rPr>
  </w:style>
  <w:style w:type="character" w:customStyle="1" w:styleId="Heading4Char">
    <w:name w:val="Heading 4 Char"/>
    <w:basedOn w:val="DefaultParagraphFont"/>
    <w:link w:val="Heading4"/>
    <w:uiPriority w:val="9"/>
    <w:rsid w:val="009A4A1F"/>
    <w:rPr>
      <w:rFonts w:ascii="Arial" w:eastAsiaTheme="majorEastAsia" w:hAnsi="Arial" w:cstheme="majorBidi"/>
      <w:b/>
      <w:iCs/>
    </w:rPr>
  </w:style>
  <w:style w:type="numbering" w:customStyle="1" w:styleId="ImportedStyle4">
    <w:name w:val="Imported Style 4"/>
    <w:rsid w:val="00AD7C3F"/>
    <w:pPr>
      <w:numPr>
        <w:numId w:val="3"/>
      </w:numPr>
    </w:pPr>
  </w:style>
  <w:style w:type="paragraph" w:styleId="Revision">
    <w:name w:val="Revision"/>
    <w:hidden/>
    <w:uiPriority w:val="99"/>
    <w:semiHidden/>
    <w:rsid w:val="001971E9"/>
    <w:pPr>
      <w:spacing w:after="0" w:line="240" w:lineRule="auto"/>
    </w:pPr>
    <w:rPr>
      <w:rFonts w:ascii="Arial" w:hAnsi="Arial"/>
      <w:color w:val="000000" w:themeColor="text1"/>
    </w:rPr>
  </w:style>
  <w:style w:type="numbering" w:customStyle="1" w:styleId="Style1">
    <w:name w:val="Style1"/>
    <w:uiPriority w:val="99"/>
    <w:rsid w:val="00C338D0"/>
    <w:pPr>
      <w:numPr>
        <w:numId w:val="5"/>
      </w:numPr>
    </w:pPr>
  </w:style>
  <w:style w:type="character" w:customStyle="1" w:styleId="ListParagraphChar">
    <w:name w:val="List Paragraph Char"/>
    <w:aliases w:val="Bullet Point 1 Char,Bullet point Char,Bullets Char,CV text Char,Dot pt Char,F5 List Paragraph Char,FooterText Char,L Char,List Paragraph1 Char,List Paragraph11 Char,List Paragraph111 Char,List Paragraph2 Char,NAST Quote Char"/>
    <w:basedOn w:val="DefaultParagraphFont"/>
    <w:link w:val="ListParagraph"/>
    <w:uiPriority w:val="34"/>
    <w:qFormat/>
    <w:locked/>
    <w:rsid w:val="001A40AC"/>
    <w:rPr>
      <w:rFonts w:ascii="Arial" w:hAnsi="Arial" w:cs="Arial"/>
      <w:color w:val="000000" w:themeColor="text1"/>
    </w:rPr>
  </w:style>
  <w:style w:type="character" w:styleId="UnresolvedMention">
    <w:name w:val="Unresolved Mention"/>
    <w:basedOn w:val="DefaultParagraphFont"/>
    <w:uiPriority w:val="99"/>
    <w:semiHidden/>
    <w:unhideWhenUsed/>
    <w:rsid w:val="00F05C0A"/>
    <w:rPr>
      <w:color w:val="605E5C"/>
      <w:shd w:val="clear" w:color="auto" w:fill="E1DFDD"/>
    </w:rPr>
  </w:style>
  <w:style w:type="paragraph" w:customStyle="1" w:styleId="Textbox">
    <w:name w:val="Text box"/>
    <w:basedOn w:val="Normal"/>
    <w:link w:val="TextboxChar"/>
    <w:qFormat/>
    <w:rsid w:val="00EE314E"/>
    <w:pPr>
      <w:pBdr>
        <w:top w:val="single" w:sz="4" w:space="1" w:color="5B9BD5" w:themeColor="accent1"/>
        <w:left w:val="single" w:sz="4" w:space="4" w:color="5B9BD5" w:themeColor="accent1"/>
        <w:bottom w:val="single" w:sz="4" w:space="1" w:color="5B9BD5" w:themeColor="accent1"/>
        <w:right w:val="single" w:sz="4" w:space="4" w:color="5B9BD5" w:themeColor="accent1"/>
      </w:pBdr>
      <w:spacing w:before="1080"/>
    </w:pPr>
  </w:style>
  <w:style w:type="character" w:customStyle="1" w:styleId="TextboxChar">
    <w:name w:val="Text box Char"/>
    <w:basedOn w:val="DefaultParagraphFont"/>
    <w:link w:val="Textbox"/>
    <w:rsid w:val="00EE314E"/>
    <w:rPr>
      <w:rFonts w:ascii="Arial" w:hAnsi="Arial"/>
      <w:color w:val="000000" w:themeColor="text1"/>
    </w:rPr>
  </w:style>
  <w:style w:type="paragraph" w:customStyle="1" w:styleId="paragraph">
    <w:name w:val="paragraph"/>
    <w:basedOn w:val="Normal"/>
    <w:rsid w:val="0028065B"/>
    <w:pPr>
      <w:spacing w:before="100" w:beforeAutospacing="1" w:after="100" w:afterAutospacing="1" w:line="240" w:lineRule="auto"/>
    </w:pPr>
    <w:rPr>
      <w:rFonts w:ascii="Times New Roman" w:eastAsia="Times New Roman" w:hAnsi="Times New Roman"/>
      <w:color w:val="auto"/>
      <w:lang w:eastAsia="en-AU"/>
    </w:rPr>
  </w:style>
  <w:style w:type="character" w:customStyle="1" w:styleId="normaltextrun">
    <w:name w:val="normaltextrun"/>
    <w:basedOn w:val="DefaultParagraphFont"/>
    <w:rsid w:val="0028065B"/>
  </w:style>
  <w:style w:type="character" w:customStyle="1" w:styleId="eop">
    <w:name w:val="eop"/>
    <w:basedOn w:val="DefaultParagraphFont"/>
    <w:rsid w:val="0028065B"/>
  </w:style>
  <w:style w:type="character" w:styleId="Strong">
    <w:name w:val="Strong"/>
    <w:basedOn w:val="DefaultParagraphFont"/>
    <w:uiPriority w:val="22"/>
    <w:qFormat/>
    <w:rsid w:val="00CC59F2"/>
    <w:rPr>
      <w:b/>
      <w:bCs/>
    </w:rPr>
  </w:style>
  <w:style w:type="paragraph" w:styleId="TOCHeading">
    <w:name w:val="TOC Heading"/>
    <w:next w:val="Normal"/>
    <w:uiPriority w:val="39"/>
    <w:unhideWhenUsed/>
    <w:qFormat/>
    <w:rsid w:val="00A373AB"/>
    <w:pPr>
      <w:spacing w:before="240" w:after="0"/>
    </w:pPr>
    <w:rPr>
      <w:rFonts w:asciiTheme="majorHAnsi" w:eastAsiaTheme="majorEastAsia" w:hAnsiTheme="majorHAnsi" w:cstheme="majorBidi"/>
      <w:b/>
      <w:sz w:val="32"/>
      <w:szCs w:val="32"/>
      <w:lang w:val="en-US"/>
    </w:rPr>
  </w:style>
  <w:style w:type="paragraph" w:styleId="TOC1">
    <w:name w:val="toc 1"/>
    <w:basedOn w:val="Normal"/>
    <w:next w:val="Normal"/>
    <w:autoRedefine/>
    <w:uiPriority w:val="39"/>
    <w:unhideWhenUsed/>
    <w:rsid w:val="00A52F1D"/>
    <w:pPr>
      <w:spacing w:before="60" w:after="60" w:line="240" w:lineRule="auto"/>
    </w:pPr>
    <w:rPr>
      <w:color w:val="auto"/>
    </w:rPr>
  </w:style>
  <w:style w:type="paragraph" w:styleId="TOC3">
    <w:name w:val="toc 3"/>
    <w:basedOn w:val="Normal"/>
    <w:next w:val="Normal"/>
    <w:autoRedefine/>
    <w:uiPriority w:val="39"/>
    <w:unhideWhenUsed/>
    <w:rsid w:val="00A373AB"/>
    <w:pPr>
      <w:tabs>
        <w:tab w:val="right" w:leader="dot" w:pos="8947"/>
      </w:tabs>
      <w:spacing w:before="60" w:after="60" w:line="240" w:lineRule="auto"/>
      <w:ind w:left="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913">
      <w:bodyDiv w:val="1"/>
      <w:marLeft w:val="0"/>
      <w:marRight w:val="0"/>
      <w:marTop w:val="0"/>
      <w:marBottom w:val="0"/>
      <w:divBdr>
        <w:top w:val="none" w:sz="0" w:space="0" w:color="auto"/>
        <w:left w:val="none" w:sz="0" w:space="0" w:color="auto"/>
        <w:bottom w:val="none" w:sz="0" w:space="0" w:color="auto"/>
        <w:right w:val="none" w:sz="0" w:space="0" w:color="auto"/>
      </w:divBdr>
    </w:div>
    <w:div w:id="88551171">
      <w:bodyDiv w:val="1"/>
      <w:marLeft w:val="0"/>
      <w:marRight w:val="0"/>
      <w:marTop w:val="0"/>
      <w:marBottom w:val="0"/>
      <w:divBdr>
        <w:top w:val="none" w:sz="0" w:space="0" w:color="auto"/>
        <w:left w:val="none" w:sz="0" w:space="0" w:color="auto"/>
        <w:bottom w:val="none" w:sz="0" w:space="0" w:color="auto"/>
        <w:right w:val="none" w:sz="0" w:space="0" w:color="auto"/>
      </w:divBdr>
    </w:div>
    <w:div w:id="89863049">
      <w:bodyDiv w:val="1"/>
      <w:marLeft w:val="0"/>
      <w:marRight w:val="0"/>
      <w:marTop w:val="0"/>
      <w:marBottom w:val="0"/>
      <w:divBdr>
        <w:top w:val="none" w:sz="0" w:space="0" w:color="auto"/>
        <w:left w:val="none" w:sz="0" w:space="0" w:color="auto"/>
        <w:bottom w:val="none" w:sz="0" w:space="0" w:color="auto"/>
        <w:right w:val="none" w:sz="0" w:space="0" w:color="auto"/>
      </w:divBdr>
    </w:div>
    <w:div w:id="123742536">
      <w:bodyDiv w:val="1"/>
      <w:marLeft w:val="0"/>
      <w:marRight w:val="0"/>
      <w:marTop w:val="0"/>
      <w:marBottom w:val="0"/>
      <w:divBdr>
        <w:top w:val="none" w:sz="0" w:space="0" w:color="auto"/>
        <w:left w:val="none" w:sz="0" w:space="0" w:color="auto"/>
        <w:bottom w:val="none" w:sz="0" w:space="0" w:color="auto"/>
        <w:right w:val="none" w:sz="0" w:space="0" w:color="auto"/>
      </w:divBdr>
    </w:div>
    <w:div w:id="183400553">
      <w:bodyDiv w:val="1"/>
      <w:marLeft w:val="0"/>
      <w:marRight w:val="0"/>
      <w:marTop w:val="0"/>
      <w:marBottom w:val="0"/>
      <w:divBdr>
        <w:top w:val="none" w:sz="0" w:space="0" w:color="auto"/>
        <w:left w:val="none" w:sz="0" w:space="0" w:color="auto"/>
        <w:bottom w:val="none" w:sz="0" w:space="0" w:color="auto"/>
        <w:right w:val="none" w:sz="0" w:space="0" w:color="auto"/>
      </w:divBdr>
    </w:div>
    <w:div w:id="183446943">
      <w:bodyDiv w:val="1"/>
      <w:marLeft w:val="0"/>
      <w:marRight w:val="0"/>
      <w:marTop w:val="0"/>
      <w:marBottom w:val="0"/>
      <w:divBdr>
        <w:top w:val="none" w:sz="0" w:space="0" w:color="auto"/>
        <w:left w:val="none" w:sz="0" w:space="0" w:color="auto"/>
        <w:bottom w:val="none" w:sz="0" w:space="0" w:color="auto"/>
        <w:right w:val="none" w:sz="0" w:space="0" w:color="auto"/>
      </w:divBdr>
    </w:div>
    <w:div w:id="195895791">
      <w:bodyDiv w:val="1"/>
      <w:marLeft w:val="0"/>
      <w:marRight w:val="0"/>
      <w:marTop w:val="0"/>
      <w:marBottom w:val="0"/>
      <w:divBdr>
        <w:top w:val="none" w:sz="0" w:space="0" w:color="auto"/>
        <w:left w:val="none" w:sz="0" w:space="0" w:color="auto"/>
        <w:bottom w:val="none" w:sz="0" w:space="0" w:color="auto"/>
        <w:right w:val="none" w:sz="0" w:space="0" w:color="auto"/>
      </w:divBdr>
    </w:div>
    <w:div w:id="267936337">
      <w:bodyDiv w:val="1"/>
      <w:marLeft w:val="0"/>
      <w:marRight w:val="0"/>
      <w:marTop w:val="0"/>
      <w:marBottom w:val="0"/>
      <w:divBdr>
        <w:top w:val="none" w:sz="0" w:space="0" w:color="auto"/>
        <w:left w:val="none" w:sz="0" w:space="0" w:color="auto"/>
        <w:bottom w:val="none" w:sz="0" w:space="0" w:color="auto"/>
        <w:right w:val="none" w:sz="0" w:space="0" w:color="auto"/>
      </w:divBdr>
    </w:div>
    <w:div w:id="270164357">
      <w:bodyDiv w:val="1"/>
      <w:marLeft w:val="0"/>
      <w:marRight w:val="0"/>
      <w:marTop w:val="0"/>
      <w:marBottom w:val="0"/>
      <w:divBdr>
        <w:top w:val="none" w:sz="0" w:space="0" w:color="auto"/>
        <w:left w:val="none" w:sz="0" w:space="0" w:color="auto"/>
        <w:bottom w:val="none" w:sz="0" w:space="0" w:color="auto"/>
        <w:right w:val="none" w:sz="0" w:space="0" w:color="auto"/>
      </w:divBdr>
    </w:div>
    <w:div w:id="353919625">
      <w:bodyDiv w:val="1"/>
      <w:marLeft w:val="0"/>
      <w:marRight w:val="0"/>
      <w:marTop w:val="0"/>
      <w:marBottom w:val="0"/>
      <w:divBdr>
        <w:top w:val="none" w:sz="0" w:space="0" w:color="auto"/>
        <w:left w:val="none" w:sz="0" w:space="0" w:color="auto"/>
        <w:bottom w:val="none" w:sz="0" w:space="0" w:color="auto"/>
        <w:right w:val="none" w:sz="0" w:space="0" w:color="auto"/>
      </w:divBdr>
    </w:div>
    <w:div w:id="360981825">
      <w:bodyDiv w:val="1"/>
      <w:marLeft w:val="0"/>
      <w:marRight w:val="0"/>
      <w:marTop w:val="0"/>
      <w:marBottom w:val="0"/>
      <w:divBdr>
        <w:top w:val="none" w:sz="0" w:space="0" w:color="auto"/>
        <w:left w:val="none" w:sz="0" w:space="0" w:color="auto"/>
        <w:bottom w:val="none" w:sz="0" w:space="0" w:color="auto"/>
        <w:right w:val="none" w:sz="0" w:space="0" w:color="auto"/>
      </w:divBdr>
    </w:div>
    <w:div w:id="471794990">
      <w:bodyDiv w:val="1"/>
      <w:marLeft w:val="0"/>
      <w:marRight w:val="0"/>
      <w:marTop w:val="0"/>
      <w:marBottom w:val="0"/>
      <w:divBdr>
        <w:top w:val="none" w:sz="0" w:space="0" w:color="auto"/>
        <w:left w:val="none" w:sz="0" w:space="0" w:color="auto"/>
        <w:bottom w:val="none" w:sz="0" w:space="0" w:color="auto"/>
        <w:right w:val="none" w:sz="0" w:space="0" w:color="auto"/>
      </w:divBdr>
    </w:div>
    <w:div w:id="689794147">
      <w:bodyDiv w:val="1"/>
      <w:marLeft w:val="0"/>
      <w:marRight w:val="0"/>
      <w:marTop w:val="0"/>
      <w:marBottom w:val="0"/>
      <w:divBdr>
        <w:top w:val="none" w:sz="0" w:space="0" w:color="auto"/>
        <w:left w:val="none" w:sz="0" w:space="0" w:color="auto"/>
        <w:bottom w:val="none" w:sz="0" w:space="0" w:color="auto"/>
        <w:right w:val="none" w:sz="0" w:space="0" w:color="auto"/>
      </w:divBdr>
    </w:div>
    <w:div w:id="794837900">
      <w:bodyDiv w:val="1"/>
      <w:marLeft w:val="0"/>
      <w:marRight w:val="0"/>
      <w:marTop w:val="0"/>
      <w:marBottom w:val="0"/>
      <w:divBdr>
        <w:top w:val="none" w:sz="0" w:space="0" w:color="auto"/>
        <w:left w:val="none" w:sz="0" w:space="0" w:color="auto"/>
        <w:bottom w:val="none" w:sz="0" w:space="0" w:color="auto"/>
        <w:right w:val="none" w:sz="0" w:space="0" w:color="auto"/>
      </w:divBdr>
    </w:div>
    <w:div w:id="809328150">
      <w:bodyDiv w:val="1"/>
      <w:marLeft w:val="0"/>
      <w:marRight w:val="0"/>
      <w:marTop w:val="0"/>
      <w:marBottom w:val="0"/>
      <w:divBdr>
        <w:top w:val="none" w:sz="0" w:space="0" w:color="auto"/>
        <w:left w:val="none" w:sz="0" w:space="0" w:color="auto"/>
        <w:bottom w:val="none" w:sz="0" w:space="0" w:color="auto"/>
        <w:right w:val="none" w:sz="0" w:space="0" w:color="auto"/>
      </w:divBdr>
    </w:div>
    <w:div w:id="815730532">
      <w:bodyDiv w:val="1"/>
      <w:marLeft w:val="0"/>
      <w:marRight w:val="0"/>
      <w:marTop w:val="0"/>
      <w:marBottom w:val="0"/>
      <w:divBdr>
        <w:top w:val="none" w:sz="0" w:space="0" w:color="auto"/>
        <w:left w:val="none" w:sz="0" w:space="0" w:color="auto"/>
        <w:bottom w:val="none" w:sz="0" w:space="0" w:color="auto"/>
        <w:right w:val="none" w:sz="0" w:space="0" w:color="auto"/>
      </w:divBdr>
    </w:div>
    <w:div w:id="832719704">
      <w:bodyDiv w:val="1"/>
      <w:marLeft w:val="0"/>
      <w:marRight w:val="0"/>
      <w:marTop w:val="0"/>
      <w:marBottom w:val="0"/>
      <w:divBdr>
        <w:top w:val="none" w:sz="0" w:space="0" w:color="auto"/>
        <w:left w:val="none" w:sz="0" w:space="0" w:color="auto"/>
        <w:bottom w:val="none" w:sz="0" w:space="0" w:color="auto"/>
        <w:right w:val="none" w:sz="0" w:space="0" w:color="auto"/>
      </w:divBdr>
    </w:div>
    <w:div w:id="959383685">
      <w:bodyDiv w:val="1"/>
      <w:marLeft w:val="0"/>
      <w:marRight w:val="0"/>
      <w:marTop w:val="0"/>
      <w:marBottom w:val="0"/>
      <w:divBdr>
        <w:top w:val="none" w:sz="0" w:space="0" w:color="auto"/>
        <w:left w:val="none" w:sz="0" w:space="0" w:color="auto"/>
        <w:bottom w:val="none" w:sz="0" w:space="0" w:color="auto"/>
        <w:right w:val="none" w:sz="0" w:space="0" w:color="auto"/>
      </w:divBdr>
    </w:div>
    <w:div w:id="994332826">
      <w:bodyDiv w:val="1"/>
      <w:marLeft w:val="0"/>
      <w:marRight w:val="0"/>
      <w:marTop w:val="0"/>
      <w:marBottom w:val="0"/>
      <w:divBdr>
        <w:top w:val="none" w:sz="0" w:space="0" w:color="auto"/>
        <w:left w:val="none" w:sz="0" w:space="0" w:color="auto"/>
        <w:bottom w:val="none" w:sz="0" w:space="0" w:color="auto"/>
        <w:right w:val="none" w:sz="0" w:space="0" w:color="auto"/>
      </w:divBdr>
    </w:div>
    <w:div w:id="1032193052">
      <w:bodyDiv w:val="1"/>
      <w:marLeft w:val="0"/>
      <w:marRight w:val="0"/>
      <w:marTop w:val="0"/>
      <w:marBottom w:val="0"/>
      <w:divBdr>
        <w:top w:val="none" w:sz="0" w:space="0" w:color="auto"/>
        <w:left w:val="none" w:sz="0" w:space="0" w:color="auto"/>
        <w:bottom w:val="none" w:sz="0" w:space="0" w:color="auto"/>
        <w:right w:val="none" w:sz="0" w:space="0" w:color="auto"/>
      </w:divBdr>
    </w:div>
    <w:div w:id="1104308612">
      <w:bodyDiv w:val="1"/>
      <w:marLeft w:val="0"/>
      <w:marRight w:val="0"/>
      <w:marTop w:val="0"/>
      <w:marBottom w:val="0"/>
      <w:divBdr>
        <w:top w:val="none" w:sz="0" w:space="0" w:color="auto"/>
        <w:left w:val="none" w:sz="0" w:space="0" w:color="auto"/>
        <w:bottom w:val="none" w:sz="0" w:space="0" w:color="auto"/>
        <w:right w:val="none" w:sz="0" w:space="0" w:color="auto"/>
      </w:divBdr>
    </w:div>
    <w:div w:id="1209338963">
      <w:bodyDiv w:val="1"/>
      <w:marLeft w:val="0"/>
      <w:marRight w:val="0"/>
      <w:marTop w:val="0"/>
      <w:marBottom w:val="0"/>
      <w:divBdr>
        <w:top w:val="none" w:sz="0" w:space="0" w:color="auto"/>
        <w:left w:val="none" w:sz="0" w:space="0" w:color="auto"/>
        <w:bottom w:val="none" w:sz="0" w:space="0" w:color="auto"/>
        <w:right w:val="none" w:sz="0" w:space="0" w:color="auto"/>
      </w:divBdr>
    </w:div>
    <w:div w:id="1345858444">
      <w:bodyDiv w:val="1"/>
      <w:marLeft w:val="0"/>
      <w:marRight w:val="0"/>
      <w:marTop w:val="0"/>
      <w:marBottom w:val="0"/>
      <w:divBdr>
        <w:top w:val="none" w:sz="0" w:space="0" w:color="auto"/>
        <w:left w:val="none" w:sz="0" w:space="0" w:color="auto"/>
        <w:bottom w:val="none" w:sz="0" w:space="0" w:color="auto"/>
        <w:right w:val="none" w:sz="0" w:space="0" w:color="auto"/>
      </w:divBdr>
    </w:div>
    <w:div w:id="1366754933">
      <w:bodyDiv w:val="1"/>
      <w:marLeft w:val="0"/>
      <w:marRight w:val="0"/>
      <w:marTop w:val="0"/>
      <w:marBottom w:val="0"/>
      <w:divBdr>
        <w:top w:val="none" w:sz="0" w:space="0" w:color="auto"/>
        <w:left w:val="none" w:sz="0" w:space="0" w:color="auto"/>
        <w:bottom w:val="none" w:sz="0" w:space="0" w:color="auto"/>
        <w:right w:val="none" w:sz="0" w:space="0" w:color="auto"/>
      </w:divBdr>
    </w:div>
    <w:div w:id="1392801744">
      <w:bodyDiv w:val="1"/>
      <w:marLeft w:val="0"/>
      <w:marRight w:val="0"/>
      <w:marTop w:val="0"/>
      <w:marBottom w:val="0"/>
      <w:divBdr>
        <w:top w:val="none" w:sz="0" w:space="0" w:color="auto"/>
        <w:left w:val="none" w:sz="0" w:space="0" w:color="auto"/>
        <w:bottom w:val="none" w:sz="0" w:space="0" w:color="auto"/>
        <w:right w:val="none" w:sz="0" w:space="0" w:color="auto"/>
      </w:divBdr>
    </w:div>
    <w:div w:id="1535190147">
      <w:bodyDiv w:val="1"/>
      <w:marLeft w:val="0"/>
      <w:marRight w:val="0"/>
      <w:marTop w:val="0"/>
      <w:marBottom w:val="0"/>
      <w:divBdr>
        <w:top w:val="none" w:sz="0" w:space="0" w:color="auto"/>
        <w:left w:val="none" w:sz="0" w:space="0" w:color="auto"/>
        <w:bottom w:val="none" w:sz="0" w:space="0" w:color="auto"/>
        <w:right w:val="none" w:sz="0" w:space="0" w:color="auto"/>
      </w:divBdr>
    </w:div>
    <w:div w:id="1549564088">
      <w:bodyDiv w:val="1"/>
      <w:marLeft w:val="0"/>
      <w:marRight w:val="0"/>
      <w:marTop w:val="0"/>
      <w:marBottom w:val="0"/>
      <w:divBdr>
        <w:top w:val="none" w:sz="0" w:space="0" w:color="auto"/>
        <w:left w:val="none" w:sz="0" w:space="0" w:color="auto"/>
        <w:bottom w:val="none" w:sz="0" w:space="0" w:color="auto"/>
        <w:right w:val="none" w:sz="0" w:space="0" w:color="auto"/>
      </w:divBdr>
    </w:div>
    <w:div w:id="1550411091">
      <w:bodyDiv w:val="1"/>
      <w:marLeft w:val="0"/>
      <w:marRight w:val="0"/>
      <w:marTop w:val="0"/>
      <w:marBottom w:val="0"/>
      <w:divBdr>
        <w:top w:val="none" w:sz="0" w:space="0" w:color="auto"/>
        <w:left w:val="none" w:sz="0" w:space="0" w:color="auto"/>
        <w:bottom w:val="none" w:sz="0" w:space="0" w:color="auto"/>
        <w:right w:val="none" w:sz="0" w:space="0" w:color="auto"/>
      </w:divBdr>
    </w:div>
    <w:div w:id="1550797621">
      <w:bodyDiv w:val="1"/>
      <w:marLeft w:val="0"/>
      <w:marRight w:val="0"/>
      <w:marTop w:val="0"/>
      <w:marBottom w:val="0"/>
      <w:divBdr>
        <w:top w:val="none" w:sz="0" w:space="0" w:color="auto"/>
        <w:left w:val="none" w:sz="0" w:space="0" w:color="auto"/>
        <w:bottom w:val="none" w:sz="0" w:space="0" w:color="auto"/>
        <w:right w:val="none" w:sz="0" w:space="0" w:color="auto"/>
      </w:divBdr>
    </w:div>
    <w:div w:id="1622034464">
      <w:bodyDiv w:val="1"/>
      <w:marLeft w:val="0"/>
      <w:marRight w:val="0"/>
      <w:marTop w:val="0"/>
      <w:marBottom w:val="0"/>
      <w:divBdr>
        <w:top w:val="none" w:sz="0" w:space="0" w:color="auto"/>
        <w:left w:val="none" w:sz="0" w:space="0" w:color="auto"/>
        <w:bottom w:val="none" w:sz="0" w:space="0" w:color="auto"/>
        <w:right w:val="none" w:sz="0" w:space="0" w:color="auto"/>
      </w:divBdr>
    </w:div>
    <w:div w:id="1685595327">
      <w:bodyDiv w:val="1"/>
      <w:marLeft w:val="0"/>
      <w:marRight w:val="0"/>
      <w:marTop w:val="0"/>
      <w:marBottom w:val="0"/>
      <w:divBdr>
        <w:top w:val="none" w:sz="0" w:space="0" w:color="auto"/>
        <w:left w:val="none" w:sz="0" w:space="0" w:color="auto"/>
        <w:bottom w:val="none" w:sz="0" w:space="0" w:color="auto"/>
        <w:right w:val="none" w:sz="0" w:space="0" w:color="auto"/>
      </w:divBdr>
    </w:div>
    <w:div w:id="1755006894">
      <w:bodyDiv w:val="1"/>
      <w:marLeft w:val="0"/>
      <w:marRight w:val="0"/>
      <w:marTop w:val="0"/>
      <w:marBottom w:val="0"/>
      <w:divBdr>
        <w:top w:val="none" w:sz="0" w:space="0" w:color="auto"/>
        <w:left w:val="none" w:sz="0" w:space="0" w:color="auto"/>
        <w:bottom w:val="none" w:sz="0" w:space="0" w:color="auto"/>
        <w:right w:val="none" w:sz="0" w:space="0" w:color="auto"/>
      </w:divBdr>
    </w:div>
    <w:div w:id="1837648094">
      <w:bodyDiv w:val="1"/>
      <w:marLeft w:val="0"/>
      <w:marRight w:val="0"/>
      <w:marTop w:val="0"/>
      <w:marBottom w:val="0"/>
      <w:divBdr>
        <w:top w:val="none" w:sz="0" w:space="0" w:color="auto"/>
        <w:left w:val="none" w:sz="0" w:space="0" w:color="auto"/>
        <w:bottom w:val="none" w:sz="0" w:space="0" w:color="auto"/>
        <w:right w:val="none" w:sz="0" w:space="0" w:color="auto"/>
      </w:divBdr>
    </w:div>
    <w:div w:id="1871802013">
      <w:bodyDiv w:val="1"/>
      <w:marLeft w:val="0"/>
      <w:marRight w:val="0"/>
      <w:marTop w:val="0"/>
      <w:marBottom w:val="0"/>
      <w:divBdr>
        <w:top w:val="none" w:sz="0" w:space="0" w:color="auto"/>
        <w:left w:val="none" w:sz="0" w:space="0" w:color="auto"/>
        <w:bottom w:val="none" w:sz="0" w:space="0" w:color="auto"/>
        <w:right w:val="none" w:sz="0" w:space="0" w:color="auto"/>
      </w:divBdr>
    </w:div>
    <w:div w:id="1907494971">
      <w:bodyDiv w:val="1"/>
      <w:marLeft w:val="0"/>
      <w:marRight w:val="0"/>
      <w:marTop w:val="0"/>
      <w:marBottom w:val="0"/>
      <w:divBdr>
        <w:top w:val="none" w:sz="0" w:space="0" w:color="auto"/>
        <w:left w:val="none" w:sz="0" w:space="0" w:color="auto"/>
        <w:bottom w:val="none" w:sz="0" w:space="0" w:color="auto"/>
        <w:right w:val="none" w:sz="0" w:space="0" w:color="auto"/>
      </w:divBdr>
    </w:div>
    <w:div w:id="1912034739">
      <w:bodyDiv w:val="1"/>
      <w:marLeft w:val="0"/>
      <w:marRight w:val="0"/>
      <w:marTop w:val="0"/>
      <w:marBottom w:val="0"/>
      <w:divBdr>
        <w:top w:val="none" w:sz="0" w:space="0" w:color="auto"/>
        <w:left w:val="none" w:sz="0" w:space="0" w:color="auto"/>
        <w:bottom w:val="none" w:sz="0" w:space="0" w:color="auto"/>
        <w:right w:val="none" w:sz="0" w:space="0" w:color="auto"/>
      </w:divBdr>
    </w:div>
    <w:div w:id="2073700261">
      <w:bodyDiv w:val="1"/>
      <w:marLeft w:val="0"/>
      <w:marRight w:val="0"/>
      <w:marTop w:val="0"/>
      <w:marBottom w:val="0"/>
      <w:divBdr>
        <w:top w:val="none" w:sz="0" w:space="0" w:color="auto"/>
        <w:left w:val="none" w:sz="0" w:space="0" w:color="auto"/>
        <w:bottom w:val="none" w:sz="0" w:space="0" w:color="auto"/>
        <w:right w:val="none" w:sz="0" w:space="0" w:color="auto"/>
      </w:divBdr>
    </w:div>
    <w:div w:id="20883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74454-33A3-47AD-B356-ED871408B31C}">
  <ds:schemaRefs>
    <ds:schemaRef ds:uri="http://schemas.microsoft.com/sharepoint/v3/contenttype/forms"/>
  </ds:schemaRefs>
</ds:datastoreItem>
</file>

<file path=customXml/itemProps2.xml><?xml version="1.0" encoding="utf-8"?>
<ds:datastoreItem xmlns:ds="http://schemas.openxmlformats.org/officeDocument/2006/customXml" ds:itemID="{335C5BCA-D3C7-4271-817C-DF098581BE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EA2EE3-A0D7-4133-ABDD-B6D339082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8A06E6-46EE-40B8-9ED5-ACC315B6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2498</Words>
  <Characters>14245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First 24 hours – managing COVID-19 in a residential aged care facility</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Vaccines and Treatments for Australia Science and Industry Technical Advisory Group summaries</dc:title>
  <dc:subject>Aged care</dc:subject>
  <dc:creator>Australian Government Department of Health and Aged Care</dc:creator>
  <cp:keywords>residential care; aged care; coronavirus; covid-19</cp:keywords>
  <dc:description/>
  <cp:lastModifiedBy>Department of Health and Aged Care</cp:lastModifiedBy>
  <cp:revision>2</cp:revision>
  <cp:lastPrinted>2022-08-16T03:38:00Z</cp:lastPrinted>
  <dcterms:created xsi:type="dcterms:W3CDTF">2023-01-17T08:08:00Z</dcterms:created>
  <dcterms:modified xsi:type="dcterms:W3CDTF">2023-01-17T08:08:00Z</dcterms:modified>
</cp:coreProperties>
</file>