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B12D" w14:textId="24C99E13" w:rsidR="0022112F" w:rsidRDefault="0022112F" w:rsidP="0022112F">
      <w:pPr>
        <w:pStyle w:val="Title"/>
      </w:pPr>
      <w:r w:rsidRPr="0022112F">
        <w:t>Review of the Prostheses List Advisory committee and associated sub-committees</w:t>
      </w:r>
    </w:p>
    <w:p w14:paraId="49D890E1" w14:textId="5C954071" w:rsidR="0022112F" w:rsidRDefault="0022112F" w:rsidP="0022112F">
      <w:pPr>
        <w:pStyle w:val="Subtitle"/>
      </w:pPr>
      <w:r w:rsidRPr="0022112F">
        <w:t>Australian Government</w:t>
      </w:r>
      <w:r w:rsidRPr="0022112F">
        <w:t xml:space="preserve"> </w:t>
      </w:r>
      <w:r>
        <w:t>Department of Health</w:t>
      </w:r>
    </w:p>
    <w:p w14:paraId="5A6491C7" w14:textId="143AD1C5" w:rsidR="0022112F" w:rsidRPr="0022112F" w:rsidRDefault="0022112F" w:rsidP="0022112F">
      <w:pPr>
        <w:tabs>
          <w:tab w:val="left" w:pos="6855"/>
        </w:tabs>
        <w:rPr>
          <w:rStyle w:val="Strong"/>
        </w:rPr>
      </w:pPr>
      <w:r w:rsidRPr="0022112F">
        <w:rPr>
          <w:rStyle w:val="Strong"/>
        </w:rPr>
        <w:t>July 2021</w:t>
      </w:r>
    </w:p>
    <w:p w14:paraId="5A91BC7F" w14:textId="797D52A6" w:rsidR="0022112F" w:rsidRPr="00D2484E" w:rsidRDefault="0022112F" w:rsidP="0031245A">
      <w:pPr>
        <w:tabs>
          <w:tab w:val="left" w:pos="6855"/>
        </w:tabs>
        <w:sectPr w:rsidR="0022112F" w:rsidRPr="00D2484E" w:rsidSect="00C73219">
          <w:headerReference w:type="even" r:id="rId8"/>
          <w:headerReference w:type="default" r:id="rId9"/>
          <w:footerReference w:type="even" r:id="rId10"/>
          <w:footerReference w:type="default" r:id="rId11"/>
          <w:headerReference w:type="first" r:id="rId12"/>
          <w:footerReference w:type="first" r:id="rId13"/>
          <w:pgSz w:w="11909" w:h="16834" w:code="9"/>
          <w:pgMar w:top="964" w:right="709" w:bottom="964" w:left="709" w:header="709" w:footer="709" w:gutter="0"/>
          <w:cols w:space="720"/>
          <w:docGrid w:linePitch="360"/>
        </w:sectPr>
      </w:pPr>
    </w:p>
    <w:p w14:paraId="1740FD6A" w14:textId="77777777" w:rsidR="00BD17AF" w:rsidRPr="008868D6" w:rsidRDefault="00BD17AF" w:rsidP="008868D6">
      <w:pPr>
        <w:rPr>
          <w:rStyle w:val="Strong"/>
        </w:rPr>
      </w:pPr>
      <w:bookmarkStart w:id="0" w:name="_Toc76648740"/>
      <w:bookmarkStart w:id="1" w:name="_Toc77329432"/>
      <w:bookmarkEnd w:id="0"/>
      <w:r w:rsidRPr="008868D6">
        <w:rPr>
          <w:rStyle w:val="Strong"/>
        </w:rPr>
        <w:lastRenderedPageBreak/>
        <w:t>RELEASE NOTICE</w:t>
      </w:r>
    </w:p>
    <w:p w14:paraId="597AC239" w14:textId="5D03DE6B" w:rsidR="00BD17AF" w:rsidRPr="00D2484E" w:rsidRDefault="00BD17AF" w:rsidP="00BD17AF">
      <w:pPr>
        <w:spacing w:line="0" w:lineRule="atLeast"/>
        <w:jc w:val="both"/>
        <w:rPr>
          <w:rFonts w:eastAsia="Times New Roman"/>
        </w:rPr>
      </w:pPr>
      <w:r w:rsidRPr="00D2484E">
        <w:rPr>
          <w:rFonts w:eastAsia="Times New Roman"/>
        </w:rPr>
        <w:t>Ernst &amp; Young ("</w:t>
      </w:r>
      <w:r w:rsidRPr="00D2484E">
        <w:rPr>
          <w:rFonts w:eastAsia="Times New Roman"/>
          <w:b/>
        </w:rPr>
        <w:t>EY</w:t>
      </w:r>
      <w:r w:rsidRPr="00D2484E">
        <w:rPr>
          <w:rFonts w:eastAsia="Times New Roman"/>
        </w:rPr>
        <w:t>") was engaged on the instructions of the Commonwealth of Australia as represented by the Department of Health ("</w:t>
      </w:r>
      <w:r w:rsidRPr="00D2484E">
        <w:rPr>
          <w:rFonts w:eastAsia="Times New Roman"/>
          <w:b/>
        </w:rPr>
        <w:t>Client</w:t>
      </w:r>
      <w:r w:rsidRPr="00D2484E">
        <w:rPr>
          <w:rFonts w:eastAsia="Times New Roman"/>
        </w:rPr>
        <w:t xml:space="preserve">") to undertake a review of the </w:t>
      </w:r>
      <w:r w:rsidR="00B01DD8" w:rsidRPr="00D2484E">
        <w:rPr>
          <w:rFonts w:eastAsia="Times New Roman"/>
        </w:rPr>
        <w:t xml:space="preserve">Prostheses </w:t>
      </w:r>
      <w:r w:rsidR="004968DB" w:rsidRPr="00D2484E">
        <w:rPr>
          <w:rFonts w:eastAsia="Times New Roman"/>
        </w:rPr>
        <w:t>List</w:t>
      </w:r>
      <w:r w:rsidR="00B01DD8" w:rsidRPr="00D2484E">
        <w:rPr>
          <w:rFonts w:eastAsia="Times New Roman"/>
        </w:rPr>
        <w:t xml:space="preserve"> Advisory Committee and associated sub-</w:t>
      </w:r>
      <w:proofErr w:type="gramStart"/>
      <w:r w:rsidR="00B01DD8" w:rsidRPr="00D2484E">
        <w:rPr>
          <w:rFonts w:eastAsia="Times New Roman"/>
        </w:rPr>
        <w:t xml:space="preserve">committees </w:t>
      </w:r>
      <w:r w:rsidRPr="00D2484E">
        <w:rPr>
          <w:rFonts w:eastAsia="Times New Roman"/>
        </w:rPr>
        <w:t xml:space="preserve"> (</w:t>
      </w:r>
      <w:proofErr w:type="gramEnd"/>
      <w:r w:rsidRPr="00D2484E">
        <w:rPr>
          <w:rFonts w:eastAsia="Times New Roman"/>
        </w:rPr>
        <w:t>"</w:t>
      </w:r>
      <w:r w:rsidRPr="00D2484E">
        <w:rPr>
          <w:rFonts w:eastAsia="Times New Roman"/>
          <w:b/>
        </w:rPr>
        <w:t>Project</w:t>
      </w:r>
      <w:r w:rsidRPr="00D2484E">
        <w:rPr>
          <w:rFonts w:eastAsia="Times New Roman"/>
        </w:rPr>
        <w:t xml:space="preserve">"), in accordance with the engagement agreement dated </w:t>
      </w:r>
      <w:r w:rsidR="007F7D55" w:rsidRPr="00D2484E">
        <w:rPr>
          <w:rFonts w:eastAsia="Times New Roman"/>
        </w:rPr>
        <w:t>2</w:t>
      </w:r>
      <w:r w:rsidRPr="00D2484E">
        <w:rPr>
          <w:rFonts w:eastAsia="Times New Roman"/>
        </w:rPr>
        <w:t xml:space="preserve">7 </w:t>
      </w:r>
      <w:r w:rsidR="007F7D55" w:rsidRPr="00D2484E">
        <w:rPr>
          <w:rFonts w:eastAsia="Times New Roman"/>
        </w:rPr>
        <w:t xml:space="preserve">May </w:t>
      </w:r>
      <w:r w:rsidRPr="00D2484E">
        <w:rPr>
          <w:rFonts w:eastAsia="Times New Roman"/>
        </w:rPr>
        <w:t>202</w:t>
      </w:r>
      <w:r w:rsidR="007F7D55" w:rsidRPr="00D2484E">
        <w:rPr>
          <w:rFonts w:eastAsia="Times New Roman"/>
        </w:rPr>
        <w:t>1</w:t>
      </w:r>
      <w:r w:rsidRPr="00D2484E">
        <w:rPr>
          <w:rFonts w:eastAsia="Times New Roman"/>
        </w:rPr>
        <w:t xml:space="preserve"> (“</w:t>
      </w:r>
      <w:r w:rsidRPr="00D2484E">
        <w:rPr>
          <w:rFonts w:eastAsia="Times New Roman"/>
          <w:b/>
          <w:bCs/>
        </w:rPr>
        <w:t>the</w:t>
      </w:r>
      <w:r w:rsidRPr="00D2484E">
        <w:rPr>
          <w:rFonts w:eastAsia="Times New Roman"/>
        </w:rPr>
        <w:t xml:space="preserve"> </w:t>
      </w:r>
      <w:r w:rsidRPr="00D2484E">
        <w:rPr>
          <w:rFonts w:eastAsia="Times New Roman"/>
          <w:b/>
        </w:rPr>
        <w:t>Engagement Agreement</w:t>
      </w:r>
      <w:r w:rsidRPr="00D2484E">
        <w:rPr>
          <w:rFonts w:eastAsia="Times New Roman"/>
        </w:rPr>
        <w:t>”).</w:t>
      </w:r>
    </w:p>
    <w:p w14:paraId="40586727" w14:textId="02A8E69E" w:rsidR="00BD17AF" w:rsidRPr="00D2484E" w:rsidRDefault="00BD17AF" w:rsidP="00BD17AF">
      <w:pPr>
        <w:spacing w:line="0" w:lineRule="atLeast"/>
        <w:jc w:val="both"/>
        <w:rPr>
          <w:rFonts w:eastAsia="Times New Roman"/>
        </w:rPr>
      </w:pPr>
      <w:r w:rsidRPr="00D2484E">
        <w:rPr>
          <w:rFonts w:eastAsia="Times New Roman"/>
        </w:rPr>
        <w:t xml:space="preserve">The results of EY’s work, including the assumptions and qualifications made in preparing the report, are set out in EY's report dated </w:t>
      </w:r>
      <w:r w:rsidR="00B7368F" w:rsidRPr="00D2484E">
        <w:rPr>
          <w:rFonts w:eastAsia="Times New Roman"/>
        </w:rPr>
        <w:t>6 August</w:t>
      </w:r>
      <w:r w:rsidRPr="00D2484E">
        <w:rPr>
          <w:rFonts w:eastAsia="Times New Roman"/>
        </w:rPr>
        <w:t xml:space="preserve"> 202</w:t>
      </w:r>
      <w:r w:rsidR="007F7D55" w:rsidRPr="00D2484E">
        <w:rPr>
          <w:rFonts w:eastAsia="Times New Roman"/>
        </w:rPr>
        <w:t>1</w:t>
      </w:r>
      <w:r w:rsidRPr="00D2484E">
        <w:rPr>
          <w:rFonts w:eastAsia="Times New Roman"/>
        </w:rPr>
        <w:t xml:space="preserve"> ("</w:t>
      </w:r>
      <w:r w:rsidRPr="00D2484E">
        <w:rPr>
          <w:rFonts w:eastAsia="Times New Roman"/>
          <w:b/>
        </w:rPr>
        <w:t>Report</w:t>
      </w:r>
      <w:r w:rsidRPr="00D2484E">
        <w:rPr>
          <w:rFonts w:eastAsia="Times New Roman"/>
        </w:rPr>
        <w:t>").  You should read the Report in its entirety including any disclaimers and attachments.  A reference to the Report includes any part of the Report.  No further work has been undertaken by EY since the date of the Report to update it.</w:t>
      </w:r>
    </w:p>
    <w:p w14:paraId="570B862D" w14:textId="77777777" w:rsidR="00BD17AF" w:rsidRPr="00D2484E" w:rsidRDefault="00BD17AF" w:rsidP="00BD17AF">
      <w:pPr>
        <w:spacing w:line="0" w:lineRule="atLeast"/>
        <w:jc w:val="both"/>
        <w:rPr>
          <w:rFonts w:eastAsia="Times New Roman"/>
        </w:rPr>
      </w:pPr>
      <w:r w:rsidRPr="00D2484E">
        <w:rPr>
          <w:rFonts w:eastAsia="Times New Roman"/>
        </w:rPr>
        <w:t xml:space="preserve">Unless otherwise agreed in writing with EY, any party accessing the Report or obtaining a copy of the Report (“Recipient”) agrees that its access to the Report is provided by EY subject to the following terms: </w:t>
      </w:r>
    </w:p>
    <w:p w14:paraId="30ECCC62" w14:textId="7AAAB2EE" w:rsidR="00BD17AF" w:rsidRPr="00D2484E" w:rsidRDefault="00BD17AF" w:rsidP="00B67966">
      <w:pPr>
        <w:pStyle w:val="ListNumber"/>
      </w:pPr>
      <w:r w:rsidRPr="00D2484E">
        <w:t>The Report cannot be altered.</w:t>
      </w:r>
    </w:p>
    <w:p w14:paraId="7805D3DD" w14:textId="77777777" w:rsidR="00BD17AF" w:rsidRPr="00D2484E" w:rsidRDefault="00BD17AF" w:rsidP="00B67966">
      <w:pPr>
        <w:pStyle w:val="ListNumber"/>
      </w:pPr>
      <w:r w:rsidRPr="00D2484E">
        <w:t>The Recipient acknowledges that the Report has been prepared for the Client and may not be disclosed to any other party or used by any other party or relied upon by any other party without the prior written consent of EY.</w:t>
      </w:r>
    </w:p>
    <w:p w14:paraId="45EE095A" w14:textId="77777777" w:rsidR="00BD17AF" w:rsidRPr="00D2484E" w:rsidRDefault="00BD17AF" w:rsidP="00B67966">
      <w:pPr>
        <w:pStyle w:val="ListNumber"/>
      </w:pPr>
      <w:r w:rsidRPr="00D2484E">
        <w:t>EY disclaims all liability in relation to any party other than the Client who seeks to rely upon the Report or any of its contents.</w:t>
      </w:r>
    </w:p>
    <w:p w14:paraId="38488536" w14:textId="7878A913" w:rsidR="00BD17AF" w:rsidRPr="00D2484E" w:rsidRDefault="00BD17AF" w:rsidP="00B67966">
      <w:pPr>
        <w:pStyle w:val="ListNumber"/>
      </w:pPr>
      <w:r w:rsidRPr="00D2484E">
        <w:t xml:space="preserve">EY has acted in accordance with the instructions of the Client in conducting its work and preparing the Report, and, in doing so, has prepared the Report for the benefit of the Client, and has considered only the interests of the Client.  EY has not been engaged to act, and has not acted, as advisor to any other party.  Accordingly, EY makes no representations as to the appropriateness, </w:t>
      </w:r>
      <w:r w:rsidR="004968DB" w:rsidRPr="00D2484E">
        <w:t>accuracy,</w:t>
      </w:r>
      <w:r w:rsidRPr="00D2484E">
        <w:t xml:space="preserve"> or completeness of the Report for any other party's purposes. </w:t>
      </w:r>
    </w:p>
    <w:p w14:paraId="7F9F2257" w14:textId="77777777" w:rsidR="00BD17AF" w:rsidRPr="00D2484E" w:rsidRDefault="00BD17AF" w:rsidP="00B67966">
      <w:pPr>
        <w:pStyle w:val="ListNumber"/>
      </w:pPr>
      <w:r w:rsidRPr="00D2484E">
        <w:t>No reliance may be placed upon the Report or any of its contents by any party other than the Client. A Recipient must make and rely on their own enquiries in relation to the issues to which the Report relates, the contents of the Report and all matters arising from or relating to or in any way connected with the Report or its contents.</w:t>
      </w:r>
    </w:p>
    <w:p w14:paraId="60F4177F" w14:textId="77777777" w:rsidR="00BD17AF" w:rsidRPr="00D2484E" w:rsidRDefault="00BD17AF" w:rsidP="00B67966">
      <w:pPr>
        <w:pStyle w:val="ListNumber"/>
      </w:pPr>
      <w:r w:rsidRPr="00D2484E">
        <w:t xml:space="preserve">EY have consented to the Report being published electronically on the Department of Health website for informational purposes only.  EY have not consented to distribution or disclosure of the Report beyond this.  </w:t>
      </w:r>
    </w:p>
    <w:p w14:paraId="312119B9" w14:textId="77777777" w:rsidR="00BD17AF" w:rsidRPr="00D2484E" w:rsidRDefault="00BD17AF" w:rsidP="00B67966">
      <w:pPr>
        <w:pStyle w:val="ListNumber"/>
      </w:pPr>
      <w:r w:rsidRPr="00D2484E">
        <w:t>No duty of care is owed by EY to any Recipient in respect of any use that the Recipient may make of the Report.</w:t>
      </w:r>
    </w:p>
    <w:p w14:paraId="26A29675" w14:textId="77777777" w:rsidR="00BD17AF" w:rsidRPr="00D2484E" w:rsidRDefault="00BD17AF" w:rsidP="00B67966">
      <w:pPr>
        <w:pStyle w:val="ListNumber"/>
        <w:sectPr w:rsidR="00BD17AF" w:rsidRPr="00D2484E" w:rsidSect="00BB7B18">
          <w:headerReference w:type="even" r:id="rId14"/>
          <w:headerReference w:type="default" r:id="rId15"/>
          <w:footerReference w:type="default" r:id="rId16"/>
          <w:headerReference w:type="first" r:id="rId17"/>
          <w:pgSz w:w="11909" w:h="16834" w:code="9"/>
          <w:pgMar w:top="1440" w:right="1440" w:bottom="1440" w:left="1440" w:header="720" w:footer="720" w:gutter="0"/>
          <w:pgNumType w:fmt="lowerRoman" w:start="1"/>
          <w:cols w:space="720"/>
          <w:docGrid w:linePitch="360"/>
        </w:sectPr>
      </w:pPr>
      <w:r w:rsidRPr="00D2484E">
        <w:t>EY disclaims all liability, and takes no responsibility, for any document issued by any other party in connection with the Project.</w:t>
      </w:r>
    </w:p>
    <w:p w14:paraId="3DF61A15" w14:textId="77777777" w:rsidR="00BD17AF" w:rsidRPr="00D2484E" w:rsidRDefault="00BD17AF" w:rsidP="00B5027D">
      <w:pPr>
        <w:pStyle w:val="ListNumber"/>
        <w:numPr>
          <w:ilvl w:val="0"/>
          <w:numId w:val="13"/>
        </w:numPr>
      </w:pPr>
      <w:r w:rsidRPr="00D2484E">
        <w:lastRenderedPageBreak/>
        <w:t>A Recipient must not name EY in any report or document which will be publicly available or lodged or filed with any regulator without EY’s prior written consent, which may be granted at EY’s absolute discretion.</w:t>
      </w:r>
    </w:p>
    <w:p w14:paraId="0EE12700" w14:textId="77777777" w:rsidR="00BD17AF" w:rsidRPr="00D2484E" w:rsidRDefault="00BD17AF" w:rsidP="00B67966">
      <w:pPr>
        <w:pStyle w:val="ListNumber"/>
      </w:pPr>
      <w:r w:rsidRPr="00D2484E">
        <w:t>A Recipient:</w:t>
      </w:r>
    </w:p>
    <w:p w14:paraId="52C6E128" w14:textId="77777777" w:rsidR="00BD17AF" w:rsidRPr="00D2484E" w:rsidRDefault="00BD17AF" w:rsidP="00B67966">
      <w:pPr>
        <w:pStyle w:val="ListNumber2"/>
      </w:pPr>
      <w:r w:rsidRPr="00D2484E">
        <w:t>may not make any claim or demand or bring any action or proceedings against EY or any of its partners, principals, directors, officers or employees or any other Ernst &amp; Young firm which is a member of the global network of Ernst &amp; Young firms or any of their partners, principals, directors, officers or employees (“</w:t>
      </w:r>
      <w:r w:rsidRPr="00D2484E">
        <w:rPr>
          <w:b/>
        </w:rPr>
        <w:t>EY Parties</w:t>
      </w:r>
      <w:r w:rsidRPr="00D2484E">
        <w:t xml:space="preserve">”) arising from or connected with the contents of the Report or the provision of the Report to the recipient; and </w:t>
      </w:r>
    </w:p>
    <w:p w14:paraId="6E07F207" w14:textId="47FB47EC" w:rsidR="00BD17AF" w:rsidRPr="00D2484E" w:rsidRDefault="00BD17AF" w:rsidP="00B67966">
      <w:pPr>
        <w:pStyle w:val="ListNumber2"/>
      </w:pPr>
      <w:r w:rsidRPr="00D2484E">
        <w:t xml:space="preserve">must release and forever discharge the EY Parties from any such claim, demand, </w:t>
      </w:r>
      <w:r w:rsidR="004968DB" w:rsidRPr="00D2484E">
        <w:t>action,</w:t>
      </w:r>
      <w:r w:rsidRPr="00D2484E">
        <w:t xml:space="preserve"> or proceedings.</w:t>
      </w:r>
    </w:p>
    <w:p w14:paraId="51387A12" w14:textId="77777777" w:rsidR="00BD17AF" w:rsidRPr="00D2484E" w:rsidRDefault="00BD17AF" w:rsidP="00B67966">
      <w:pPr>
        <w:pStyle w:val="ListNumber"/>
      </w:pPr>
      <w:r w:rsidRPr="00D2484E">
        <w:t xml:space="preserve">If a Recipient discloses the Report to a third party in breach of this notice, it will be liable for all claims, demands, actions, proceedings, costs, expenses, loss, </w:t>
      </w:r>
      <w:proofErr w:type="gramStart"/>
      <w:r w:rsidRPr="00D2484E">
        <w:t>damage</w:t>
      </w:r>
      <w:proofErr w:type="gramEnd"/>
      <w:r w:rsidRPr="00D2484E">
        <w:t xml:space="preserve"> and liability made or brought against or incurred by the EY Parties, arising from or connected with such disclosure.</w:t>
      </w:r>
    </w:p>
    <w:p w14:paraId="3AFEABE7" w14:textId="77777777" w:rsidR="00BD17AF" w:rsidRPr="00D2484E" w:rsidRDefault="00BD17AF" w:rsidP="00B67966">
      <w:pPr>
        <w:pStyle w:val="ListNumber"/>
      </w:pPr>
      <w:r w:rsidRPr="00D2484E">
        <w:t>If a Recipient wishes to rely upon the Report that party must inform EY and, if EY agrees, sign and return to EY a standard form of EY’s reliance letter.  A copy of the reliance letter can be obtained from EY.  The Recipient’s reliance upon the Report will be governed by the terms of that reliance letter.</w:t>
      </w:r>
      <w:bookmarkStart w:id="2" w:name="Subject"/>
      <w:bookmarkStart w:id="3" w:name="StartText"/>
      <w:bookmarkEnd w:id="2"/>
      <w:bookmarkEnd w:id="3"/>
    </w:p>
    <w:p w14:paraId="72F79A21" w14:textId="77777777" w:rsidR="00BD17AF" w:rsidRPr="00D2484E" w:rsidRDefault="00BD17AF" w:rsidP="00BD17AF">
      <w:pPr>
        <w:spacing w:line="0" w:lineRule="atLeast"/>
        <w:ind w:left="567" w:hanging="567"/>
        <w:jc w:val="both"/>
        <w:rPr>
          <w:rFonts w:eastAsia="Times New Roman"/>
        </w:rPr>
      </w:pPr>
      <w:r w:rsidRPr="00D2484E">
        <w:rPr>
          <w:rFonts w:eastAsia="Times New Roman"/>
        </w:rPr>
        <w:t>Ernst &amp; Young’s liability is limited by a scheme approved under Professional Standards Legislation.</w:t>
      </w:r>
    </w:p>
    <w:p w14:paraId="49375964" w14:textId="6B6D320F" w:rsidR="006A1A25" w:rsidRPr="00D2484E" w:rsidRDefault="006A1A25">
      <w:pPr>
        <w:autoSpaceDE/>
        <w:autoSpaceDN/>
        <w:adjustRightInd/>
        <w:rPr>
          <w:rFonts w:eastAsia="Times New Roman"/>
        </w:rPr>
      </w:pPr>
      <w:r w:rsidRPr="00D2484E">
        <w:rPr>
          <w:rFonts w:eastAsia="Times New Roman"/>
        </w:rPr>
        <w:br w:type="page"/>
      </w:r>
    </w:p>
    <w:p w14:paraId="4416B344" w14:textId="77777777" w:rsidR="00B67966" w:rsidRPr="00B67966" w:rsidRDefault="00B67966" w:rsidP="00B6664A">
      <w:pPr>
        <w:pStyle w:val="Boxtextoptions"/>
        <w:rPr>
          <w:rStyle w:val="Strong"/>
        </w:rPr>
      </w:pPr>
      <w:r w:rsidRPr="00B67966">
        <w:rPr>
          <w:rStyle w:val="Strong"/>
        </w:rPr>
        <w:lastRenderedPageBreak/>
        <w:t xml:space="preserve">Important note regarding the timing and </w:t>
      </w:r>
      <w:proofErr w:type="spellStart"/>
      <w:r w:rsidRPr="00B67966">
        <w:rPr>
          <w:rStyle w:val="Strong"/>
        </w:rPr>
        <w:t>reliances</w:t>
      </w:r>
      <w:proofErr w:type="spellEnd"/>
      <w:r w:rsidRPr="00B67966">
        <w:rPr>
          <w:rStyle w:val="Strong"/>
        </w:rPr>
        <w:t xml:space="preserve"> of this Review of the Prostheses List Advisory Committee (PLAC) and its associated sub-committees (‘the Review’) </w:t>
      </w:r>
    </w:p>
    <w:p w14:paraId="35E80E8C" w14:textId="77777777" w:rsidR="00B67966" w:rsidRDefault="00B67966" w:rsidP="00B67966">
      <w:r>
        <w:t xml:space="preserve">The work that informed this Report was conducted between June 2021 and August 2021. </w:t>
      </w:r>
      <w:proofErr w:type="gramStart"/>
      <w:r>
        <w:t>As a consequence</w:t>
      </w:r>
      <w:proofErr w:type="gramEnd"/>
      <w:r>
        <w:t>, the findings of the Review may have been influenced by:</w:t>
      </w:r>
    </w:p>
    <w:p w14:paraId="2417C7DF" w14:textId="3645D465" w:rsidR="00B67966" w:rsidRDefault="00B67966" w:rsidP="00B67966">
      <w:pPr>
        <w:pStyle w:val="ListBullet3"/>
      </w:pPr>
      <w:r>
        <w:t xml:space="preserve">Passage of time, so that some of the observations made in the Report may no longer be relevant as at the date of </w:t>
      </w:r>
      <w:proofErr w:type="gramStart"/>
      <w:r>
        <w:t>publication;</w:t>
      </w:r>
      <w:proofErr w:type="gramEnd"/>
    </w:p>
    <w:p w14:paraId="10B26663" w14:textId="0E1A5ABD" w:rsidR="00B67966" w:rsidRDefault="00B67966" w:rsidP="00B67966">
      <w:pPr>
        <w:pStyle w:val="ListBullet3"/>
      </w:pPr>
      <w:r>
        <w:t>Impacts of COVID-19 on the operations of the PLAC and its associated sub-</w:t>
      </w:r>
      <w:proofErr w:type="gramStart"/>
      <w:r>
        <w:t>committees;</w:t>
      </w:r>
      <w:proofErr w:type="gramEnd"/>
    </w:p>
    <w:p w14:paraId="270EA335" w14:textId="13531AF0" w:rsidR="00B67966" w:rsidRDefault="00B67966" w:rsidP="00B67966">
      <w:pPr>
        <w:pStyle w:val="ListBullet3"/>
      </w:pPr>
      <w:r>
        <w:t>The ongoing implementation of the Department of Health’s reform program relating to the Prostheses List which may have affected the operations of the PLAC and its associated sub-committees; and</w:t>
      </w:r>
    </w:p>
    <w:p w14:paraId="7797E76A" w14:textId="31763DA0" w:rsidR="00B67966" w:rsidRDefault="00B67966" w:rsidP="00B67966">
      <w:pPr>
        <w:pStyle w:val="ListBullet3"/>
      </w:pPr>
      <w:r>
        <w:t>The hibernation agreement between the Medical Technology Association of Australia and the Department of Health in relation to Prostheses List reform work that was in place at the time of writing of the Report.</w:t>
      </w:r>
    </w:p>
    <w:p w14:paraId="61AD59BE" w14:textId="6B35B4DA" w:rsidR="00B67966" w:rsidRDefault="00B67966" w:rsidP="00B67966">
      <w:r>
        <w:t>The findings of the Review relied almost entirely on stakeholder consultation. Several statements made in this Report therefore reflect subjective stakeholder perspectives, which have not been verified.</w:t>
      </w:r>
    </w:p>
    <w:p w14:paraId="05E3940D" w14:textId="06B366FB" w:rsidR="00887B0D" w:rsidRDefault="00887B0D">
      <w:pPr>
        <w:autoSpaceDE/>
        <w:autoSpaceDN/>
        <w:adjustRightInd/>
        <w:spacing w:before="0" w:after="0"/>
      </w:pPr>
      <w:r>
        <w:br w:type="page"/>
      </w:r>
    </w:p>
    <w:p w14:paraId="1577F393" w14:textId="06A51357" w:rsidR="00520AA5" w:rsidRPr="00D2484E" w:rsidRDefault="00520AA5" w:rsidP="00B67966">
      <w:pPr>
        <w:pStyle w:val="Heading1"/>
      </w:pPr>
      <w:r w:rsidRPr="00D2484E">
        <w:lastRenderedPageBreak/>
        <w:t>Acronyms</w:t>
      </w:r>
      <w:r w:rsidR="00AA3AE9" w:rsidRPr="00D2484E">
        <w:t xml:space="preserve"> </w:t>
      </w:r>
      <w:r w:rsidR="00FF351B" w:rsidRPr="00D2484E">
        <w:t>and Abbreviations</w:t>
      </w:r>
      <w:bookmarkEnd w:id="1"/>
    </w:p>
    <w:tbl>
      <w:tblPr>
        <w:tblStyle w:val="ListTable3"/>
        <w:tblW w:w="5000" w:type="pct"/>
        <w:tblLook w:val="04A0" w:firstRow="1" w:lastRow="0" w:firstColumn="1" w:lastColumn="0" w:noHBand="0" w:noVBand="1"/>
        <w:tblDescription w:val="Acronyms and Abbreviations"/>
      </w:tblPr>
      <w:tblGrid>
        <w:gridCol w:w="2242"/>
        <w:gridCol w:w="6777"/>
      </w:tblGrid>
      <w:tr w:rsidR="000323DA" w:rsidRPr="00B67966" w14:paraId="227D6C6D" w14:textId="77777777" w:rsidTr="00887B0D">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100" w:firstRow="0" w:lastRow="0" w:firstColumn="1" w:lastColumn="0" w:oddVBand="0" w:evenVBand="0" w:oddHBand="0" w:evenHBand="0" w:firstRowFirstColumn="1" w:firstRowLastColumn="0" w:lastRowFirstColumn="0" w:lastRowLastColumn="0"/>
            <w:tcW w:w="1243" w:type="pct"/>
            <w:vAlign w:val="center"/>
          </w:tcPr>
          <w:p w14:paraId="1A72A618" w14:textId="0AB8477C" w:rsidR="000323DA" w:rsidRPr="00B67966" w:rsidRDefault="009A4958" w:rsidP="00544133">
            <w:pPr>
              <w:pStyle w:val="EYTableHeadingWhite"/>
            </w:pPr>
            <w:r w:rsidRPr="00B67966">
              <w:t>Acronym</w:t>
            </w:r>
            <w:r w:rsidR="000323DA" w:rsidRPr="00B67966">
              <w:t xml:space="preserve"> </w:t>
            </w:r>
          </w:p>
        </w:tc>
        <w:tc>
          <w:tcPr>
            <w:tcW w:w="3757" w:type="pct"/>
            <w:vAlign w:val="center"/>
          </w:tcPr>
          <w:p w14:paraId="3B5AB924" w14:textId="77777777" w:rsidR="000323DA" w:rsidRPr="00B67966" w:rsidRDefault="000323DA" w:rsidP="00544133">
            <w:pPr>
              <w:pStyle w:val="EYTableHeadingWhite"/>
              <w:cnfStyle w:val="100000000000" w:firstRow="1" w:lastRow="0" w:firstColumn="0" w:lastColumn="0" w:oddVBand="0" w:evenVBand="0" w:oddHBand="0" w:evenHBand="0" w:firstRowFirstColumn="0" w:firstRowLastColumn="0" w:lastRowFirstColumn="0" w:lastRowLastColumn="0"/>
            </w:pPr>
            <w:r w:rsidRPr="00B67966">
              <w:t xml:space="preserve">Definition </w:t>
            </w:r>
          </w:p>
        </w:tc>
      </w:tr>
      <w:tr w:rsidR="006E4511" w:rsidRPr="00B67966" w14:paraId="5F409E92" w14:textId="77777777" w:rsidTr="00B67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75950740" w14:textId="59AC2334" w:rsidR="006E4511" w:rsidRPr="00B67966" w:rsidRDefault="006E4511" w:rsidP="00544133">
            <w:pPr>
              <w:pStyle w:val="EYTableText"/>
            </w:pPr>
            <w:r w:rsidRPr="00B67966">
              <w:t>AGCF</w:t>
            </w:r>
          </w:p>
        </w:tc>
        <w:tc>
          <w:tcPr>
            <w:tcW w:w="3757" w:type="pct"/>
          </w:tcPr>
          <w:p w14:paraId="71442B5E" w14:textId="63AAF090" w:rsidR="006E4511" w:rsidRPr="00B67966" w:rsidRDefault="006E4511" w:rsidP="00544133">
            <w:pPr>
              <w:pStyle w:val="EYTableText"/>
              <w:cnfStyle w:val="000000100000" w:firstRow="0" w:lastRow="0" w:firstColumn="0" w:lastColumn="0" w:oddVBand="0" w:evenVBand="0" w:oddHBand="1" w:evenHBand="0" w:firstRowFirstColumn="0" w:firstRowLastColumn="0" w:lastRowFirstColumn="0" w:lastRowLastColumn="0"/>
            </w:pPr>
            <w:r w:rsidRPr="00B67966">
              <w:t>Australian Government Charging Framework</w:t>
            </w:r>
          </w:p>
        </w:tc>
      </w:tr>
      <w:tr w:rsidR="000323DA" w:rsidRPr="00B67966" w14:paraId="4ACB1C4E" w14:textId="77777777" w:rsidTr="00B67966">
        <w:tc>
          <w:tcPr>
            <w:cnfStyle w:val="001000000000" w:firstRow="0" w:lastRow="0" w:firstColumn="1" w:lastColumn="0" w:oddVBand="0" w:evenVBand="0" w:oddHBand="0" w:evenHBand="0" w:firstRowFirstColumn="0" w:firstRowLastColumn="0" w:lastRowFirstColumn="0" w:lastRowLastColumn="0"/>
            <w:tcW w:w="1243" w:type="pct"/>
          </w:tcPr>
          <w:p w14:paraId="1799229D" w14:textId="77777777" w:rsidR="000323DA" w:rsidRPr="00B67966" w:rsidRDefault="000323DA" w:rsidP="00544133">
            <w:pPr>
              <w:pStyle w:val="EYTableText"/>
            </w:pPr>
            <w:r w:rsidRPr="00B67966">
              <w:t>ARTG</w:t>
            </w:r>
          </w:p>
        </w:tc>
        <w:tc>
          <w:tcPr>
            <w:tcW w:w="3757" w:type="pct"/>
          </w:tcPr>
          <w:p w14:paraId="68D19196" w14:textId="77777777" w:rsidR="000323DA" w:rsidRPr="00B67966" w:rsidRDefault="000323DA" w:rsidP="00544133">
            <w:pPr>
              <w:pStyle w:val="EYTableText"/>
              <w:cnfStyle w:val="000000000000" w:firstRow="0" w:lastRow="0" w:firstColumn="0" w:lastColumn="0" w:oddVBand="0" w:evenVBand="0" w:oddHBand="0" w:evenHBand="0" w:firstRowFirstColumn="0" w:firstRowLastColumn="0" w:lastRowFirstColumn="0" w:lastRowLastColumn="0"/>
            </w:pPr>
            <w:r w:rsidRPr="00B67966">
              <w:t>Australian Register of Therapeutic Goods</w:t>
            </w:r>
          </w:p>
        </w:tc>
      </w:tr>
      <w:tr w:rsidR="000323DA" w:rsidRPr="00B67966" w14:paraId="1D8E7355" w14:textId="77777777" w:rsidTr="00B67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6D09BCFE" w14:textId="77777777" w:rsidR="000323DA" w:rsidRPr="00B67966" w:rsidRDefault="000323DA" w:rsidP="00544133">
            <w:pPr>
              <w:pStyle w:val="EYTableText"/>
            </w:pPr>
            <w:r w:rsidRPr="00B67966">
              <w:t>BSRIWG</w:t>
            </w:r>
          </w:p>
        </w:tc>
        <w:tc>
          <w:tcPr>
            <w:tcW w:w="3757" w:type="pct"/>
          </w:tcPr>
          <w:p w14:paraId="29A44241" w14:textId="77777777" w:rsidR="000323DA" w:rsidRPr="00B67966" w:rsidRDefault="000323DA" w:rsidP="00544133">
            <w:pPr>
              <w:pStyle w:val="EYTableText"/>
              <w:cnfStyle w:val="000000100000" w:firstRow="0" w:lastRow="0" w:firstColumn="0" w:lastColumn="0" w:oddVBand="0" w:evenVBand="0" w:oddHBand="1" w:evenHBand="0" w:firstRowFirstColumn="0" w:firstRowLastColumn="0" w:lastRowFirstColumn="0" w:lastRowLastColumn="0"/>
            </w:pPr>
            <w:r w:rsidRPr="00B67966">
              <w:t>Benefit Setting and Review Framework Industry Working Group</w:t>
            </w:r>
          </w:p>
        </w:tc>
      </w:tr>
      <w:tr w:rsidR="00FF351B" w:rsidRPr="00B67966" w14:paraId="4876508E" w14:textId="77777777" w:rsidTr="00B67966">
        <w:tc>
          <w:tcPr>
            <w:cnfStyle w:val="001000000000" w:firstRow="0" w:lastRow="0" w:firstColumn="1" w:lastColumn="0" w:oddVBand="0" w:evenVBand="0" w:oddHBand="0" w:evenHBand="0" w:firstRowFirstColumn="0" w:firstRowLastColumn="0" w:lastRowFirstColumn="0" w:lastRowLastColumn="0"/>
            <w:tcW w:w="1243" w:type="pct"/>
          </w:tcPr>
          <w:p w14:paraId="04DA7668" w14:textId="654A325E" w:rsidR="00FF351B" w:rsidRPr="00B67966" w:rsidRDefault="00FF351B" w:rsidP="00544133">
            <w:pPr>
              <w:pStyle w:val="EYTableText"/>
            </w:pPr>
            <w:r w:rsidRPr="00B67966">
              <w:t>Department</w:t>
            </w:r>
          </w:p>
        </w:tc>
        <w:tc>
          <w:tcPr>
            <w:tcW w:w="3757" w:type="pct"/>
          </w:tcPr>
          <w:p w14:paraId="4BFD1E0A" w14:textId="21EF869A" w:rsidR="00FF351B" w:rsidRPr="00B67966" w:rsidRDefault="00FF351B" w:rsidP="00544133">
            <w:pPr>
              <w:pStyle w:val="EYTableText"/>
              <w:cnfStyle w:val="000000000000" w:firstRow="0" w:lastRow="0" w:firstColumn="0" w:lastColumn="0" w:oddVBand="0" w:evenVBand="0" w:oddHBand="0" w:evenHBand="0" w:firstRowFirstColumn="0" w:firstRowLastColumn="0" w:lastRowFirstColumn="0" w:lastRowLastColumn="0"/>
            </w:pPr>
            <w:r w:rsidRPr="00B67966">
              <w:t>The Australian Federal Department of Health</w:t>
            </w:r>
          </w:p>
        </w:tc>
      </w:tr>
      <w:tr w:rsidR="00FF351B" w:rsidRPr="00B67966" w14:paraId="7770230E" w14:textId="77777777" w:rsidTr="00B67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3B5EF575" w14:textId="6F77C061" w:rsidR="00FF351B" w:rsidRPr="00B67966" w:rsidRDefault="00FF351B" w:rsidP="00544133">
            <w:pPr>
              <w:pStyle w:val="EYTableText"/>
            </w:pPr>
            <w:r w:rsidRPr="00B67966">
              <w:t>ESC</w:t>
            </w:r>
          </w:p>
        </w:tc>
        <w:tc>
          <w:tcPr>
            <w:tcW w:w="3757" w:type="pct"/>
          </w:tcPr>
          <w:p w14:paraId="44FB4AC4" w14:textId="14B2A591" w:rsidR="00FF351B" w:rsidRPr="00B67966" w:rsidRDefault="00FF351B" w:rsidP="00544133">
            <w:pPr>
              <w:pStyle w:val="EYTableText"/>
              <w:cnfStyle w:val="000000100000" w:firstRow="0" w:lastRow="0" w:firstColumn="0" w:lastColumn="0" w:oddVBand="0" w:evenVBand="0" w:oddHBand="1" w:evenHBand="0" w:firstRowFirstColumn="0" w:firstRowLastColumn="0" w:lastRowFirstColumn="0" w:lastRowLastColumn="0"/>
            </w:pPr>
            <w:r w:rsidRPr="00B67966">
              <w:t xml:space="preserve">Economic Sub-Committee </w:t>
            </w:r>
          </w:p>
        </w:tc>
      </w:tr>
      <w:tr w:rsidR="00FF351B" w:rsidRPr="00B67966" w14:paraId="11315886" w14:textId="77777777" w:rsidTr="00B67966">
        <w:tc>
          <w:tcPr>
            <w:cnfStyle w:val="001000000000" w:firstRow="0" w:lastRow="0" w:firstColumn="1" w:lastColumn="0" w:oddVBand="0" w:evenVBand="0" w:oddHBand="0" w:evenHBand="0" w:firstRowFirstColumn="0" w:firstRowLastColumn="0" w:lastRowFirstColumn="0" w:lastRowLastColumn="0"/>
            <w:tcW w:w="1243" w:type="pct"/>
          </w:tcPr>
          <w:p w14:paraId="7E2F6802" w14:textId="57BF7A26" w:rsidR="00FF351B" w:rsidRPr="00B67966" w:rsidRDefault="00FF351B" w:rsidP="00544133">
            <w:pPr>
              <w:pStyle w:val="EYTableText"/>
            </w:pPr>
            <w:r w:rsidRPr="00B67966">
              <w:t>HTA</w:t>
            </w:r>
          </w:p>
        </w:tc>
        <w:tc>
          <w:tcPr>
            <w:tcW w:w="3757" w:type="pct"/>
          </w:tcPr>
          <w:p w14:paraId="7BB606D7" w14:textId="3001D3A2" w:rsidR="00FF351B" w:rsidRPr="00B67966" w:rsidRDefault="00FF351B" w:rsidP="00544133">
            <w:pPr>
              <w:pStyle w:val="EYTableText"/>
              <w:cnfStyle w:val="000000000000" w:firstRow="0" w:lastRow="0" w:firstColumn="0" w:lastColumn="0" w:oddVBand="0" w:evenVBand="0" w:oddHBand="0" w:evenHBand="0" w:firstRowFirstColumn="0" w:firstRowLastColumn="0" w:lastRowFirstColumn="0" w:lastRowLastColumn="0"/>
            </w:pPr>
            <w:r w:rsidRPr="00B67966">
              <w:t xml:space="preserve">Health </w:t>
            </w:r>
            <w:r w:rsidR="00126545" w:rsidRPr="00B67966">
              <w:t>T</w:t>
            </w:r>
            <w:r w:rsidRPr="00B67966">
              <w:t xml:space="preserve">echnology </w:t>
            </w:r>
            <w:r w:rsidR="00126545" w:rsidRPr="00B67966">
              <w:t>A</w:t>
            </w:r>
            <w:r w:rsidRPr="00B67966">
              <w:t xml:space="preserve">ssessment </w:t>
            </w:r>
          </w:p>
        </w:tc>
      </w:tr>
      <w:tr w:rsidR="00FF351B" w:rsidRPr="00B67966" w14:paraId="774DF6F2" w14:textId="77777777" w:rsidTr="00B67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06D40065" w14:textId="73C7DABD" w:rsidR="00FF351B" w:rsidRPr="00B67966" w:rsidRDefault="00FF351B" w:rsidP="00544133">
            <w:pPr>
              <w:pStyle w:val="EYTableText"/>
            </w:pPr>
            <w:r w:rsidRPr="00B67966">
              <w:t>IHPA</w:t>
            </w:r>
          </w:p>
        </w:tc>
        <w:tc>
          <w:tcPr>
            <w:tcW w:w="3757" w:type="pct"/>
          </w:tcPr>
          <w:p w14:paraId="0E1FDC2A" w14:textId="64C3CB24" w:rsidR="00FF351B" w:rsidRPr="00B67966" w:rsidRDefault="00FF351B" w:rsidP="00544133">
            <w:pPr>
              <w:pStyle w:val="EYTableText"/>
              <w:cnfStyle w:val="000000100000" w:firstRow="0" w:lastRow="0" w:firstColumn="0" w:lastColumn="0" w:oddVBand="0" w:evenVBand="0" w:oddHBand="1" w:evenHBand="0" w:firstRowFirstColumn="0" w:firstRowLastColumn="0" w:lastRowFirstColumn="0" w:lastRowLastColumn="0"/>
            </w:pPr>
            <w:r w:rsidRPr="00B67966">
              <w:t>Independent Hospital Pricing Authority</w:t>
            </w:r>
          </w:p>
        </w:tc>
      </w:tr>
      <w:tr w:rsidR="00FF351B" w:rsidRPr="00B67966" w14:paraId="114D0D6F" w14:textId="77777777" w:rsidTr="00B67966">
        <w:tc>
          <w:tcPr>
            <w:cnfStyle w:val="001000000000" w:firstRow="0" w:lastRow="0" w:firstColumn="1" w:lastColumn="0" w:oddVBand="0" w:evenVBand="0" w:oddHBand="0" w:evenHBand="0" w:firstRowFirstColumn="0" w:firstRowLastColumn="0" w:lastRowFirstColumn="0" w:lastRowLastColumn="0"/>
            <w:tcW w:w="1243" w:type="pct"/>
          </w:tcPr>
          <w:p w14:paraId="4AE262A4" w14:textId="5F02188B" w:rsidR="00FF351B" w:rsidRPr="00B67966" w:rsidRDefault="00FF351B" w:rsidP="00544133">
            <w:pPr>
              <w:pStyle w:val="EYTableText"/>
            </w:pPr>
            <w:r w:rsidRPr="00B67966">
              <w:t>MBS</w:t>
            </w:r>
          </w:p>
        </w:tc>
        <w:tc>
          <w:tcPr>
            <w:tcW w:w="3757" w:type="pct"/>
          </w:tcPr>
          <w:p w14:paraId="69EF02D8" w14:textId="20266DCF" w:rsidR="00FF351B" w:rsidRPr="00B67966" w:rsidRDefault="00FF351B" w:rsidP="00544133">
            <w:pPr>
              <w:pStyle w:val="EYTableText"/>
              <w:cnfStyle w:val="000000000000" w:firstRow="0" w:lastRow="0" w:firstColumn="0" w:lastColumn="0" w:oddVBand="0" w:evenVBand="0" w:oddHBand="0" w:evenHBand="0" w:firstRowFirstColumn="0" w:firstRowLastColumn="0" w:lastRowFirstColumn="0" w:lastRowLastColumn="0"/>
            </w:pPr>
            <w:r w:rsidRPr="00B67966">
              <w:t>Medicare Benefits Schedule</w:t>
            </w:r>
          </w:p>
        </w:tc>
      </w:tr>
      <w:tr w:rsidR="00FF351B" w:rsidRPr="00B67966" w14:paraId="214DD52A" w14:textId="77777777" w:rsidTr="00B67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013500D3" w14:textId="54B2AAAB" w:rsidR="00FF351B" w:rsidRPr="00B67966" w:rsidRDefault="00FF351B" w:rsidP="00544133">
            <w:pPr>
              <w:pStyle w:val="EYTableText"/>
            </w:pPr>
            <w:r w:rsidRPr="00B67966">
              <w:t>Minister</w:t>
            </w:r>
          </w:p>
        </w:tc>
        <w:tc>
          <w:tcPr>
            <w:tcW w:w="3757" w:type="pct"/>
          </w:tcPr>
          <w:p w14:paraId="696D4DC8" w14:textId="13605BF1" w:rsidR="00FF351B" w:rsidRPr="00B67966" w:rsidRDefault="00FF351B" w:rsidP="00544133">
            <w:pPr>
              <w:pStyle w:val="EYTableText"/>
              <w:cnfStyle w:val="000000100000" w:firstRow="0" w:lastRow="0" w:firstColumn="0" w:lastColumn="0" w:oddVBand="0" w:evenVBand="0" w:oddHBand="1" w:evenHBand="0" w:firstRowFirstColumn="0" w:firstRowLastColumn="0" w:lastRowFirstColumn="0" w:lastRowLastColumn="0"/>
            </w:pPr>
            <w:r w:rsidRPr="00B67966">
              <w:t>The Federal Minister for Health and Aged Care</w:t>
            </w:r>
          </w:p>
        </w:tc>
      </w:tr>
      <w:tr w:rsidR="00FF351B" w:rsidRPr="00B67966" w14:paraId="5A9BB7B9" w14:textId="77777777" w:rsidTr="00B67966">
        <w:tc>
          <w:tcPr>
            <w:cnfStyle w:val="001000000000" w:firstRow="0" w:lastRow="0" w:firstColumn="1" w:lastColumn="0" w:oddVBand="0" w:evenVBand="0" w:oddHBand="0" w:evenHBand="0" w:firstRowFirstColumn="0" w:firstRowLastColumn="0" w:lastRowFirstColumn="0" w:lastRowLastColumn="0"/>
            <w:tcW w:w="1243" w:type="pct"/>
          </w:tcPr>
          <w:p w14:paraId="2D1DCE3E" w14:textId="77777777" w:rsidR="00FF351B" w:rsidRPr="00B67966" w:rsidRDefault="00FF351B" w:rsidP="00544133">
            <w:pPr>
              <w:pStyle w:val="EYTableText"/>
            </w:pPr>
            <w:r w:rsidRPr="00B67966">
              <w:t>MSAC</w:t>
            </w:r>
          </w:p>
        </w:tc>
        <w:tc>
          <w:tcPr>
            <w:tcW w:w="3757" w:type="pct"/>
          </w:tcPr>
          <w:p w14:paraId="6B7DF7E3" w14:textId="77777777" w:rsidR="00FF351B" w:rsidRPr="00B67966" w:rsidRDefault="00FF351B" w:rsidP="00544133">
            <w:pPr>
              <w:pStyle w:val="EYTableText"/>
              <w:cnfStyle w:val="000000000000" w:firstRow="0" w:lastRow="0" w:firstColumn="0" w:lastColumn="0" w:oddVBand="0" w:evenVBand="0" w:oddHBand="0" w:evenHBand="0" w:firstRowFirstColumn="0" w:firstRowLastColumn="0" w:lastRowFirstColumn="0" w:lastRowLastColumn="0"/>
            </w:pPr>
            <w:r w:rsidRPr="00B67966">
              <w:t>Medical Services Advisory Committee</w:t>
            </w:r>
          </w:p>
        </w:tc>
      </w:tr>
      <w:tr w:rsidR="00F65B18" w:rsidRPr="00B67966" w14:paraId="3C67B87D" w14:textId="77777777" w:rsidTr="00B67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0A520C23" w14:textId="422FB706" w:rsidR="00F65B18" w:rsidRPr="00B67966" w:rsidRDefault="00F65B18" w:rsidP="00544133">
            <w:pPr>
              <w:pStyle w:val="EYTableText"/>
            </w:pPr>
            <w:r w:rsidRPr="00B67966">
              <w:t>Panel</w:t>
            </w:r>
          </w:p>
        </w:tc>
        <w:tc>
          <w:tcPr>
            <w:tcW w:w="3757" w:type="pct"/>
          </w:tcPr>
          <w:p w14:paraId="08A8523E" w14:textId="402E0B62" w:rsidR="00F65B18" w:rsidRPr="00B67966" w:rsidRDefault="00F65B18" w:rsidP="00544133">
            <w:pPr>
              <w:pStyle w:val="EYTableText"/>
              <w:cnfStyle w:val="000000100000" w:firstRow="0" w:lastRow="0" w:firstColumn="0" w:lastColumn="0" w:oddVBand="0" w:evenVBand="0" w:oddHBand="1" w:evenHBand="0" w:firstRowFirstColumn="0" w:firstRowLastColumn="0" w:lastRowFirstColumn="0" w:lastRowLastColumn="0"/>
            </w:pPr>
            <w:r w:rsidRPr="00B67966">
              <w:t>Panel of Clinical Experts</w:t>
            </w:r>
          </w:p>
        </w:tc>
      </w:tr>
      <w:tr w:rsidR="00FF351B" w:rsidRPr="00B67966" w14:paraId="3A69627B" w14:textId="77777777" w:rsidTr="00B67966">
        <w:tc>
          <w:tcPr>
            <w:cnfStyle w:val="001000000000" w:firstRow="0" w:lastRow="0" w:firstColumn="1" w:lastColumn="0" w:oddVBand="0" w:evenVBand="0" w:oddHBand="0" w:evenHBand="0" w:firstRowFirstColumn="0" w:firstRowLastColumn="0" w:lastRowFirstColumn="0" w:lastRowLastColumn="0"/>
            <w:tcW w:w="1243" w:type="pct"/>
          </w:tcPr>
          <w:p w14:paraId="5B2CB964" w14:textId="77777777" w:rsidR="00FF351B" w:rsidRPr="00B67966" w:rsidRDefault="00FF351B" w:rsidP="00544133">
            <w:pPr>
              <w:pStyle w:val="EYTableText"/>
            </w:pPr>
            <w:r w:rsidRPr="00B67966">
              <w:t>PBAC</w:t>
            </w:r>
          </w:p>
        </w:tc>
        <w:tc>
          <w:tcPr>
            <w:tcW w:w="3757" w:type="pct"/>
          </w:tcPr>
          <w:p w14:paraId="5DD11D99" w14:textId="77777777" w:rsidR="00FF351B" w:rsidRPr="00B67966" w:rsidRDefault="00FF351B" w:rsidP="00544133">
            <w:pPr>
              <w:pStyle w:val="EYTableText"/>
              <w:cnfStyle w:val="000000000000" w:firstRow="0" w:lastRow="0" w:firstColumn="0" w:lastColumn="0" w:oddVBand="0" w:evenVBand="0" w:oddHBand="0" w:evenHBand="0" w:firstRowFirstColumn="0" w:firstRowLastColumn="0" w:lastRowFirstColumn="0" w:lastRowLastColumn="0"/>
            </w:pPr>
            <w:r w:rsidRPr="00B67966">
              <w:t>Pharmaceutical Benefits Advisory Committee</w:t>
            </w:r>
          </w:p>
        </w:tc>
      </w:tr>
      <w:tr w:rsidR="00FF351B" w:rsidRPr="00B67966" w14:paraId="3B4996E6" w14:textId="77777777" w:rsidTr="00B67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522AF2B7" w14:textId="442B8269" w:rsidR="00FF351B" w:rsidRPr="00B67966" w:rsidRDefault="00FF351B" w:rsidP="00544133">
            <w:pPr>
              <w:pStyle w:val="EYTableText"/>
            </w:pPr>
            <w:r w:rsidRPr="00B67966">
              <w:t>PBS</w:t>
            </w:r>
          </w:p>
        </w:tc>
        <w:tc>
          <w:tcPr>
            <w:tcW w:w="3757" w:type="pct"/>
          </w:tcPr>
          <w:p w14:paraId="54AE3C3B" w14:textId="5436D561" w:rsidR="00FF351B" w:rsidRPr="00B67966" w:rsidRDefault="00FF351B" w:rsidP="00544133">
            <w:pPr>
              <w:pStyle w:val="EYTableText"/>
              <w:cnfStyle w:val="000000100000" w:firstRow="0" w:lastRow="0" w:firstColumn="0" w:lastColumn="0" w:oddVBand="0" w:evenVBand="0" w:oddHBand="1" w:evenHBand="0" w:firstRowFirstColumn="0" w:firstRowLastColumn="0" w:lastRowFirstColumn="0" w:lastRowLastColumn="0"/>
            </w:pPr>
            <w:r w:rsidRPr="00B67966">
              <w:t>Pharmaceutical Benefits Scheme</w:t>
            </w:r>
          </w:p>
        </w:tc>
      </w:tr>
      <w:tr w:rsidR="00FF351B" w:rsidRPr="00B67966" w14:paraId="34EBAEBA" w14:textId="77777777" w:rsidTr="00B67966">
        <w:tc>
          <w:tcPr>
            <w:cnfStyle w:val="001000000000" w:firstRow="0" w:lastRow="0" w:firstColumn="1" w:lastColumn="0" w:oddVBand="0" w:evenVBand="0" w:oddHBand="0" w:evenHBand="0" w:firstRowFirstColumn="0" w:firstRowLastColumn="0" w:lastRowFirstColumn="0" w:lastRowLastColumn="0"/>
            <w:tcW w:w="1243" w:type="pct"/>
          </w:tcPr>
          <w:p w14:paraId="77F3D1BC" w14:textId="77777777" w:rsidR="00FF351B" w:rsidRPr="00B67966" w:rsidRDefault="00FF351B" w:rsidP="00544133">
            <w:pPr>
              <w:pStyle w:val="EYTableText"/>
            </w:pPr>
            <w:r w:rsidRPr="00B67966">
              <w:t>TGA</w:t>
            </w:r>
          </w:p>
        </w:tc>
        <w:tc>
          <w:tcPr>
            <w:tcW w:w="3757" w:type="pct"/>
          </w:tcPr>
          <w:p w14:paraId="5FC21D52" w14:textId="77777777" w:rsidR="00FF351B" w:rsidRPr="00B67966" w:rsidRDefault="00FF351B" w:rsidP="00544133">
            <w:pPr>
              <w:pStyle w:val="EYTableText"/>
              <w:cnfStyle w:val="000000000000" w:firstRow="0" w:lastRow="0" w:firstColumn="0" w:lastColumn="0" w:oddVBand="0" w:evenVBand="0" w:oddHBand="0" w:evenHBand="0" w:firstRowFirstColumn="0" w:firstRowLastColumn="0" w:lastRowFirstColumn="0" w:lastRowLastColumn="0"/>
            </w:pPr>
            <w:r w:rsidRPr="00B67966">
              <w:t>Therapeutic Goods Administration</w:t>
            </w:r>
          </w:p>
        </w:tc>
      </w:tr>
      <w:tr w:rsidR="00511A0A" w:rsidRPr="00B67966" w14:paraId="7D1B6C20" w14:textId="77777777" w:rsidTr="00B67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3" w:type="pct"/>
          </w:tcPr>
          <w:p w14:paraId="7D21B28E" w14:textId="5F5DCE3F" w:rsidR="00511A0A" w:rsidRPr="00B67966" w:rsidRDefault="00CA3043" w:rsidP="00544133">
            <w:pPr>
              <w:pStyle w:val="EYTableText"/>
            </w:pPr>
            <w:r w:rsidRPr="00B67966">
              <w:t>TAAD</w:t>
            </w:r>
          </w:p>
        </w:tc>
        <w:tc>
          <w:tcPr>
            <w:tcW w:w="3757" w:type="pct"/>
          </w:tcPr>
          <w:p w14:paraId="10CBFFA7" w14:textId="73D16CF3" w:rsidR="00511A0A" w:rsidRPr="00B67966" w:rsidRDefault="007E66D3" w:rsidP="00544133">
            <w:pPr>
              <w:pStyle w:val="EYTableText"/>
              <w:cnfStyle w:val="000000100000" w:firstRow="0" w:lastRow="0" w:firstColumn="0" w:lastColumn="0" w:oddVBand="0" w:evenVBand="0" w:oddHBand="1" w:evenHBand="0" w:firstRowFirstColumn="0" w:firstRowLastColumn="0" w:lastRowFirstColumn="0" w:lastRowLastColumn="0"/>
            </w:pPr>
            <w:r w:rsidRPr="00B67966">
              <w:t>Technology Assessment and Access Division</w:t>
            </w:r>
          </w:p>
        </w:tc>
      </w:tr>
    </w:tbl>
    <w:p w14:paraId="1E078A93" w14:textId="3567AC23" w:rsidR="00993BC1" w:rsidRPr="00D2484E" w:rsidRDefault="00993BC1" w:rsidP="00B67966">
      <w:pPr>
        <w:pStyle w:val="Heading1"/>
      </w:pPr>
      <w:bookmarkStart w:id="4" w:name="_Toc77329433"/>
      <w:r w:rsidRPr="00D2484E">
        <w:t>Glossary</w:t>
      </w:r>
      <w:bookmarkEnd w:id="4"/>
    </w:p>
    <w:tbl>
      <w:tblPr>
        <w:tblStyle w:val="Style1"/>
        <w:tblW w:w="5000" w:type="pct"/>
        <w:tblLook w:val="04A0" w:firstRow="1" w:lastRow="0" w:firstColumn="1" w:lastColumn="0" w:noHBand="0" w:noVBand="1"/>
        <w:tblDescription w:val="Glossary list "/>
      </w:tblPr>
      <w:tblGrid>
        <w:gridCol w:w="2549"/>
        <w:gridCol w:w="6470"/>
      </w:tblGrid>
      <w:tr w:rsidR="00321D90" w:rsidRPr="00B67966" w14:paraId="23D5979F" w14:textId="77777777" w:rsidTr="00887B0D">
        <w:trPr>
          <w:cnfStyle w:val="100000000000" w:firstRow="1" w:lastRow="0" w:firstColumn="0" w:lastColumn="0" w:oddVBand="0" w:evenVBand="0" w:oddHBand="0" w:evenHBand="0" w:firstRowFirstColumn="0" w:firstRowLastColumn="0" w:lastRowFirstColumn="0" w:lastRowLastColumn="0"/>
          <w:trHeight w:val="397"/>
          <w:tblHeader/>
        </w:trPr>
        <w:tc>
          <w:tcPr>
            <w:tcW w:w="1413" w:type="pct"/>
            <w:vAlign w:val="center"/>
          </w:tcPr>
          <w:p w14:paraId="4B939552" w14:textId="18C5E9AF" w:rsidR="00321D90" w:rsidRPr="00B67966" w:rsidRDefault="00321D90" w:rsidP="00544133">
            <w:pPr>
              <w:pStyle w:val="EYTableHeadingWhite"/>
            </w:pPr>
            <w:r w:rsidRPr="00B67966">
              <w:t>Term</w:t>
            </w:r>
          </w:p>
        </w:tc>
        <w:tc>
          <w:tcPr>
            <w:tcW w:w="3587" w:type="pct"/>
            <w:vAlign w:val="center"/>
          </w:tcPr>
          <w:p w14:paraId="77D43A82" w14:textId="77777777" w:rsidR="00321D90" w:rsidRPr="00B67966" w:rsidRDefault="00321D90" w:rsidP="00544133">
            <w:pPr>
              <w:pStyle w:val="EYTableHeadingWhite"/>
            </w:pPr>
            <w:r w:rsidRPr="00B67966">
              <w:t>Definition</w:t>
            </w:r>
          </w:p>
        </w:tc>
      </w:tr>
      <w:tr w:rsidR="00321D90" w:rsidRPr="00B67966" w14:paraId="4851F437" w14:textId="77777777" w:rsidTr="00B67966">
        <w:tc>
          <w:tcPr>
            <w:tcW w:w="1413" w:type="pct"/>
          </w:tcPr>
          <w:p w14:paraId="5426751E" w14:textId="77777777" w:rsidR="00321D90" w:rsidRPr="00B67966" w:rsidRDefault="00321D90" w:rsidP="00544133">
            <w:pPr>
              <w:pStyle w:val="EYTableText"/>
            </w:pPr>
            <w:r w:rsidRPr="00B67966">
              <w:t>Advisory Member</w:t>
            </w:r>
          </w:p>
        </w:tc>
        <w:tc>
          <w:tcPr>
            <w:tcW w:w="3587" w:type="pct"/>
          </w:tcPr>
          <w:p w14:paraId="6267EF3D" w14:textId="70ADED93" w:rsidR="00321D90" w:rsidRPr="00B67966" w:rsidRDefault="0053392D" w:rsidP="00544133">
            <w:pPr>
              <w:pStyle w:val="EYTableText"/>
            </w:pPr>
            <w:r w:rsidRPr="00B67966">
              <w:t>Advisory Members are m</w:t>
            </w:r>
            <w:r w:rsidR="00321D90" w:rsidRPr="00B67966">
              <w:t xml:space="preserve">embers of the </w:t>
            </w:r>
            <w:r w:rsidR="006729AF" w:rsidRPr="00B67966">
              <w:t xml:space="preserve">Prostheses List Advisory Committee </w:t>
            </w:r>
            <w:r w:rsidR="00321D90" w:rsidRPr="00B67966">
              <w:t xml:space="preserve">who do not have voting rights. </w:t>
            </w:r>
            <w:r w:rsidR="00524D46" w:rsidRPr="00B67966">
              <w:t xml:space="preserve">These members include ‘invited </w:t>
            </w:r>
            <w:proofErr w:type="gramStart"/>
            <w:r w:rsidR="00524D46" w:rsidRPr="00B67966">
              <w:t>attendees’</w:t>
            </w:r>
            <w:proofErr w:type="gramEnd"/>
            <w:r w:rsidR="00524D46" w:rsidRPr="00B67966">
              <w:t xml:space="preserve">. </w:t>
            </w:r>
          </w:p>
        </w:tc>
      </w:tr>
      <w:tr w:rsidR="006E4511" w:rsidRPr="00B67966" w14:paraId="519DB0D8" w14:textId="77777777" w:rsidTr="00B67966">
        <w:tc>
          <w:tcPr>
            <w:tcW w:w="1413" w:type="pct"/>
          </w:tcPr>
          <w:p w14:paraId="3CE979F5" w14:textId="37DFC0B1" w:rsidR="006E4511" w:rsidRPr="00B67966" w:rsidRDefault="006E4511" w:rsidP="00544133">
            <w:pPr>
              <w:pStyle w:val="EYTableText"/>
            </w:pPr>
            <w:r w:rsidRPr="00B67966">
              <w:t>Australian Government Charging Framework</w:t>
            </w:r>
          </w:p>
        </w:tc>
        <w:tc>
          <w:tcPr>
            <w:tcW w:w="3587" w:type="pct"/>
          </w:tcPr>
          <w:p w14:paraId="63F88F48" w14:textId="13281758" w:rsidR="006E4511" w:rsidRPr="00B67966" w:rsidRDefault="00705995" w:rsidP="00544133">
            <w:pPr>
              <w:pStyle w:val="EYTableText"/>
            </w:pPr>
            <w:r w:rsidRPr="00B67966">
              <w:t xml:space="preserve">The Australian Government Charging Framework </w:t>
            </w:r>
            <w:r w:rsidR="00B911A3" w:rsidRPr="00B67966">
              <w:t>is a policy which sets out the activities where the government charges the non-government sector for a specific government activity such as, regulation, goods, services, or access to resources or infrastructure.</w:t>
            </w:r>
          </w:p>
        </w:tc>
      </w:tr>
      <w:tr w:rsidR="00321D90" w:rsidRPr="00B67966" w14:paraId="7C298FE6" w14:textId="77777777" w:rsidTr="00B67966">
        <w:tc>
          <w:tcPr>
            <w:tcW w:w="1413" w:type="pct"/>
          </w:tcPr>
          <w:p w14:paraId="0B12C1E4" w14:textId="77777777" w:rsidR="00321D90" w:rsidRPr="00B67966" w:rsidRDefault="00321D90" w:rsidP="00544133">
            <w:pPr>
              <w:pStyle w:val="EYTableText"/>
            </w:pPr>
            <w:r w:rsidRPr="00B67966">
              <w:t>Australian Register of Therapeutic Goods</w:t>
            </w:r>
          </w:p>
        </w:tc>
        <w:tc>
          <w:tcPr>
            <w:tcW w:w="3587" w:type="pct"/>
          </w:tcPr>
          <w:p w14:paraId="69A50E7C" w14:textId="5B8018D0" w:rsidR="00321D90" w:rsidRPr="00B67966" w:rsidRDefault="00321D90" w:rsidP="00544133">
            <w:pPr>
              <w:pStyle w:val="EYTableText"/>
            </w:pPr>
            <w:r w:rsidRPr="00B67966">
              <w:t xml:space="preserve">The </w:t>
            </w:r>
            <w:r w:rsidR="0060309E" w:rsidRPr="00B67966">
              <w:t xml:space="preserve">Australian Register of Therapeutic Goods </w:t>
            </w:r>
            <w:r w:rsidRPr="00B67966">
              <w:t xml:space="preserve">is a register of therapeutic goods accepted for importation into, supply for use in, or exportation from Australia.  </w:t>
            </w:r>
          </w:p>
        </w:tc>
      </w:tr>
      <w:tr w:rsidR="00321D90" w:rsidRPr="00B67966" w14:paraId="42BC19B6" w14:textId="77777777" w:rsidTr="00B67966">
        <w:tc>
          <w:tcPr>
            <w:tcW w:w="1413" w:type="pct"/>
          </w:tcPr>
          <w:p w14:paraId="61825720" w14:textId="77777777" w:rsidR="00321D90" w:rsidRPr="00B67966" w:rsidRDefault="00321D90" w:rsidP="00544133">
            <w:pPr>
              <w:pStyle w:val="EYTableText"/>
            </w:pPr>
            <w:r w:rsidRPr="00B67966">
              <w:t>Benefit Setting and Review Framework Industry Working Group</w:t>
            </w:r>
          </w:p>
        </w:tc>
        <w:tc>
          <w:tcPr>
            <w:tcW w:w="3587" w:type="pct"/>
          </w:tcPr>
          <w:p w14:paraId="6055481B" w14:textId="5C44B981" w:rsidR="00321D90" w:rsidRPr="00B67966" w:rsidRDefault="00321D90" w:rsidP="00544133">
            <w:pPr>
              <w:pStyle w:val="EYTableText"/>
            </w:pPr>
            <w:r w:rsidRPr="00B67966">
              <w:t xml:space="preserve">The </w:t>
            </w:r>
            <w:r w:rsidR="001079D8" w:rsidRPr="00B67966">
              <w:t xml:space="preserve">Benefit Setting and Review Framework Industry Working Group </w:t>
            </w:r>
            <w:r w:rsidRPr="00B67966">
              <w:t xml:space="preserve">is responsible for developing a revised framework for benefit setting and benefit review reflecting the use of HTA including evaluation of the value, </w:t>
            </w:r>
            <w:proofErr w:type="gramStart"/>
            <w:r w:rsidRPr="00B67966">
              <w:t>cost-effectiveness</w:t>
            </w:r>
            <w:proofErr w:type="gramEnd"/>
            <w:r w:rsidRPr="00B67966">
              <w:t xml:space="preserve"> and innovation of medical technolog</w:t>
            </w:r>
            <w:r w:rsidR="009A4958" w:rsidRPr="00B67966">
              <w:t>y.</w:t>
            </w:r>
          </w:p>
        </w:tc>
      </w:tr>
      <w:tr w:rsidR="00321D90" w:rsidRPr="00B67966" w14:paraId="42921653" w14:textId="77777777" w:rsidTr="00B67966">
        <w:tc>
          <w:tcPr>
            <w:tcW w:w="1413" w:type="pct"/>
          </w:tcPr>
          <w:p w14:paraId="0840AFA2" w14:textId="73ECD8BC" w:rsidR="00321D90" w:rsidRPr="00B67966" w:rsidRDefault="00321D90" w:rsidP="00544133">
            <w:pPr>
              <w:pStyle w:val="EYTableText"/>
            </w:pPr>
            <w:r w:rsidRPr="00B67966">
              <w:lastRenderedPageBreak/>
              <w:t>Expert Member</w:t>
            </w:r>
          </w:p>
        </w:tc>
        <w:tc>
          <w:tcPr>
            <w:tcW w:w="3587" w:type="pct"/>
          </w:tcPr>
          <w:p w14:paraId="349E939F" w14:textId="5407FC96" w:rsidR="00321D90" w:rsidRPr="00B67966" w:rsidRDefault="00172723" w:rsidP="00544133">
            <w:pPr>
              <w:pStyle w:val="EYTableText"/>
            </w:pPr>
            <w:r w:rsidRPr="00B67966">
              <w:t>Expert Members are m</w:t>
            </w:r>
            <w:r w:rsidR="00321D90" w:rsidRPr="00B67966">
              <w:t xml:space="preserve">embers of the </w:t>
            </w:r>
            <w:r w:rsidR="006729AF" w:rsidRPr="00B67966">
              <w:t xml:space="preserve">Prostheses List Advisory Committee </w:t>
            </w:r>
            <w:r w:rsidR="00321D90" w:rsidRPr="00B67966">
              <w:t xml:space="preserve">parent committee who retain voting rights. </w:t>
            </w:r>
            <w:r w:rsidR="00DF3E94" w:rsidRPr="00B67966">
              <w:t xml:space="preserve">The PLAC Chair is an Expert Member, with voting rights </w:t>
            </w:r>
            <w:r w:rsidR="009A4958" w:rsidRPr="00B67966">
              <w:t>dependent</w:t>
            </w:r>
            <w:r w:rsidR="00DF3E94" w:rsidRPr="00B67966">
              <w:t xml:space="preserve"> upon the circumstance. </w:t>
            </w:r>
          </w:p>
        </w:tc>
      </w:tr>
      <w:tr w:rsidR="00321D90" w:rsidRPr="00B67966" w14:paraId="41E92746" w14:textId="77777777" w:rsidTr="00B67966">
        <w:tc>
          <w:tcPr>
            <w:tcW w:w="1413" w:type="pct"/>
          </w:tcPr>
          <w:p w14:paraId="796F46A4" w14:textId="1B167344" w:rsidR="00321D90" w:rsidRPr="00B67966" w:rsidRDefault="00321D90" w:rsidP="00544133">
            <w:pPr>
              <w:pStyle w:val="EYTableText"/>
            </w:pPr>
            <w:r w:rsidRPr="00B67966">
              <w:t xml:space="preserve">Health </w:t>
            </w:r>
            <w:r w:rsidR="001079D8" w:rsidRPr="00B67966">
              <w:t>T</w:t>
            </w:r>
            <w:r w:rsidRPr="00B67966">
              <w:t xml:space="preserve">echnology </w:t>
            </w:r>
            <w:r w:rsidR="001079D8" w:rsidRPr="00B67966">
              <w:t>A</w:t>
            </w:r>
            <w:r w:rsidRPr="00B67966">
              <w:t xml:space="preserve">ssessment </w:t>
            </w:r>
          </w:p>
        </w:tc>
        <w:tc>
          <w:tcPr>
            <w:tcW w:w="3587" w:type="pct"/>
          </w:tcPr>
          <w:p w14:paraId="3CF5EF46" w14:textId="4750B78B" w:rsidR="00321D90" w:rsidRPr="00B67966" w:rsidRDefault="00F276C3" w:rsidP="00544133">
            <w:pPr>
              <w:pStyle w:val="EYTableText"/>
            </w:pPr>
            <w:r w:rsidRPr="00B67966">
              <w:t xml:space="preserve">A </w:t>
            </w:r>
            <w:r w:rsidR="001079D8" w:rsidRPr="00B67966">
              <w:t xml:space="preserve">Health Technology Assessment </w:t>
            </w:r>
            <w:r w:rsidR="00321D90" w:rsidRPr="00B67966">
              <w:t xml:space="preserve">involves a range of processes and mechanisms that use scientific evidence to assess the quality, safety, efficacy, </w:t>
            </w:r>
            <w:proofErr w:type="gramStart"/>
            <w:r w:rsidR="00321D90" w:rsidRPr="00B67966">
              <w:t>effectiveness</w:t>
            </w:r>
            <w:proofErr w:type="gramEnd"/>
            <w:r w:rsidR="00321D90" w:rsidRPr="00B67966">
              <w:t xml:space="preserve"> and cost effectiveness of health services.</w:t>
            </w:r>
          </w:p>
        </w:tc>
      </w:tr>
      <w:tr w:rsidR="00B1073D" w:rsidRPr="00B67966" w14:paraId="01353F09" w14:textId="77777777" w:rsidTr="00B67966">
        <w:tc>
          <w:tcPr>
            <w:tcW w:w="1413" w:type="pct"/>
          </w:tcPr>
          <w:p w14:paraId="761F0AE0" w14:textId="72BFE27B" w:rsidR="00B1073D" w:rsidRPr="00B67966" w:rsidRDefault="00B1073D" w:rsidP="00544133">
            <w:pPr>
              <w:pStyle w:val="EYTableText"/>
            </w:pPr>
            <w:r w:rsidRPr="00B67966">
              <w:t>Independent Hospital Pricing Authority</w:t>
            </w:r>
          </w:p>
        </w:tc>
        <w:tc>
          <w:tcPr>
            <w:tcW w:w="3587" w:type="pct"/>
          </w:tcPr>
          <w:p w14:paraId="1FF1256B" w14:textId="7399C684" w:rsidR="00B1073D" w:rsidRPr="00B67966" w:rsidRDefault="00561B1F" w:rsidP="00544133">
            <w:pPr>
              <w:pStyle w:val="EYTableText"/>
            </w:pPr>
            <w:r w:rsidRPr="00B67966">
              <w:t xml:space="preserve">The </w:t>
            </w:r>
            <w:r w:rsidR="008A17C5" w:rsidRPr="00B67966">
              <w:t>Independent Hospital Pricing Authority is an independent government agency</w:t>
            </w:r>
            <w:r w:rsidR="00FB7CF1" w:rsidRPr="00B67966">
              <w:t xml:space="preserve">, </w:t>
            </w:r>
            <w:r w:rsidR="008A17C5" w:rsidRPr="00B67966">
              <w:t>established to contribute to reforms to improve Australian public hospitals</w:t>
            </w:r>
            <w:r w:rsidR="00FB7CF1" w:rsidRPr="00B67966">
              <w:t xml:space="preserve"> per the National Health Reform Act 2011 (</w:t>
            </w:r>
            <w:proofErr w:type="spellStart"/>
            <w:r w:rsidR="00FB7CF1" w:rsidRPr="00B67966">
              <w:t>Cth</w:t>
            </w:r>
            <w:proofErr w:type="spellEnd"/>
            <w:r w:rsidR="00FB7CF1" w:rsidRPr="00B67966">
              <w:t xml:space="preserve">). </w:t>
            </w:r>
          </w:p>
        </w:tc>
      </w:tr>
      <w:tr w:rsidR="00FF6EB8" w:rsidRPr="00B67966" w14:paraId="1DE4FE0F" w14:textId="77777777" w:rsidTr="00B67966">
        <w:tc>
          <w:tcPr>
            <w:tcW w:w="1413" w:type="pct"/>
          </w:tcPr>
          <w:p w14:paraId="0938164D" w14:textId="095E708B" w:rsidR="00FF6EB8" w:rsidRPr="00B67966" w:rsidRDefault="001079D8" w:rsidP="00544133">
            <w:pPr>
              <w:pStyle w:val="EYTableText"/>
            </w:pPr>
            <w:r w:rsidRPr="00B67966">
              <w:t>Medicare Benefits Schedule</w:t>
            </w:r>
          </w:p>
        </w:tc>
        <w:tc>
          <w:tcPr>
            <w:tcW w:w="3587" w:type="pct"/>
          </w:tcPr>
          <w:p w14:paraId="47BC4D0E" w14:textId="434F85E1" w:rsidR="00FF6EB8" w:rsidRPr="00B67966" w:rsidRDefault="006729AF" w:rsidP="00544133">
            <w:pPr>
              <w:pStyle w:val="EYTableText"/>
            </w:pPr>
            <w:r w:rsidRPr="00B67966">
              <w:t xml:space="preserve">The </w:t>
            </w:r>
            <w:r w:rsidR="001079D8" w:rsidRPr="00B67966">
              <w:t>Medicare Benefits Schedule is a list of health professional services that the Australian Government subsidises</w:t>
            </w:r>
            <w:r w:rsidR="00181D85" w:rsidRPr="00B67966">
              <w:t>.</w:t>
            </w:r>
          </w:p>
        </w:tc>
      </w:tr>
      <w:tr w:rsidR="00321D90" w:rsidRPr="00B67966" w14:paraId="57B36ED6" w14:textId="77777777" w:rsidTr="00B67966">
        <w:tc>
          <w:tcPr>
            <w:tcW w:w="1413" w:type="pct"/>
          </w:tcPr>
          <w:p w14:paraId="28946FEA" w14:textId="77777777" w:rsidR="00321D90" w:rsidRPr="00B67966" w:rsidRDefault="00321D90" w:rsidP="00544133">
            <w:pPr>
              <w:pStyle w:val="EYTableText"/>
            </w:pPr>
            <w:r w:rsidRPr="00B67966">
              <w:t>Medical Services Advisory Committee</w:t>
            </w:r>
          </w:p>
        </w:tc>
        <w:tc>
          <w:tcPr>
            <w:tcW w:w="3587" w:type="pct"/>
          </w:tcPr>
          <w:p w14:paraId="6196226C" w14:textId="7E9E200A" w:rsidR="00321D90" w:rsidRPr="00B67966" w:rsidRDefault="00524D46" w:rsidP="00544133">
            <w:pPr>
              <w:pStyle w:val="EYTableText"/>
            </w:pPr>
            <w:r w:rsidRPr="00B67966">
              <w:t xml:space="preserve">The </w:t>
            </w:r>
            <w:r w:rsidR="005711FF" w:rsidRPr="00B67966">
              <w:t xml:space="preserve">Medical Services Advisory Committee </w:t>
            </w:r>
            <w:r w:rsidR="00321D90" w:rsidRPr="00B67966">
              <w:t xml:space="preserve">is an independent non-statutory committee which provides advice to the Minister for Health and Aged Care on matters relating proposed public funding of medical services. </w:t>
            </w:r>
          </w:p>
        </w:tc>
      </w:tr>
      <w:tr w:rsidR="00321D90" w:rsidRPr="00B67966" w14:paraId="156FFD5B" w14:textId="77777777" w:rsidTr="00B67966">
        <w:tc>
          <w:tcPr>
            <w:tcW w:w="1413" w:type="pct"/>
          </w:tcPr>
          <w:p w14:paraId="2B28EB25" w14:textId="77777777" w:rsidR="00321D90" w:rsidRPr="00B67966" w:rsidRDefault="00321D90" w:rsidP="00544133">
            <w:pPr>
              <w:pStyle w:val="EYTableText"/>
            </w:pPr>
            <w:r w:rsidRPr="00B67966">
              <w:t>Pharmaceutical Benefits Advisory Committee</w:t>
            </w:r>
          </w:p>
        </w:tc>
        <w:tc>
          <w:tcPr>
            <w:tcW w:w="3587" w:type="pct"/>
          </w:tcPr>
          <w:p w14:paraId="5BD1A9E8" w14:textId="608020E0" w:rsidR="00321D90" w:rsidRPr="00B67966" w:rsidRDefault="00524D46" w:rsidP="00544133">
            <w:pPr>
              <w:pStyle w:val="EYTableText"/>
            </w:pPr>
            <w:r w:rsidRPr="00B67966">
              <w:t xml:space="preserve">The </w:t>
            </w:r>
            <w:r w:rsidR="00B162C2" w:rsidRPr="00B67966">
              <w:t xml:space="preserve">Pharmaceutical Benefits Advisory Committee </w:t>
            </w:r>
            <w:r w:rsidR="00321D90" w:rsidRPr="00B67966">
              <w:t>is an independent non-statutory committee which provides advice to the Minister for Health and Aged Care on matters relating new medicines for listing on the Pharmaceutical Benefits Scheme.</w:t>
            </w:r>
          </w:p>
        </w:tc>
      </w:tr>
      <w:tr w:rsidR="00785C1E" w:rsidRPr="00B67966" w14:paraId="04C15A00" w14:textId="77777777" w:rsidTr="00B67966">
        <w:tc>
          <w:tcPr>
            <w:tcW w:w="1413" w:type="pct"/>
          </w:tcPr>
          <w:p w14:paraId="0D56591A" w14:textId="3BA0C25F" w:rsidR="00785C1E" w:rsidRPr="00B67966" w:rsidRDefault="00785C1E" w:rsidP="00544133">
            <w:pPr>
              <w:pStyle w:val="EYTableText"/>
            </w:pPr>
            <w:r w:rsidRPr="00B67966">
              <w:t>Pharmaceutical Benefits Scheme</w:t>
            </w:r>
          </w:p>
        </w:tc>
        <w:tc>
          <w:tcPr>
            <w:tcW w:w="3587" w:type="pct"/>
          </w:tcPr>
          <w:p w14:paraId="44A4E3BB" w14:textId="2078D736" w:rsidR="00785C1E" w:rsidRPr="00B67966" w:rsidRDefault="005D6FC2" w:rsidP="00544133">
            <w:pPr>
              <w:pStyle w:val="EYTableText"/>
            </w:pPr>
            <w:r w:rsidRPr="00B67966">
              <w:t xml:space="preserve">The Pharmaceutical Benefits Scheme Schedule lists all of the medicines available to be dispensed to patients at a </w:t>
            </w:r>
            <w:proofErr w:type="gramStart"/>
            <w:r w:rsidRPr="00B67966">
              <w:t>Government</w:t>
            </w:r>
            <w:proofErr w:type="gramEnd"/>
            <w:r w:rsidRPr="00B67966">
              <w:t>-subsidised price.</w:t>
            </w:r>
          </w:p>
        </w:tc>
      </w:tr>
      <w:tr w:rsidR="00016EBF" w:rsidRPr="00B67966" w14:paraId="7F4A1EDA" w14:textId="77777777" w:rsidTr="00B67966">
        <w:tc>
          <w:tcPr>
            <w:tcW w:w="1413" w:type="pct"/>
          </w:tcPr>
          <w:p w14:paraId="40401A9B" w14:textId="1914A228" w:rsidR="00016EBF" w:rsidRPr="00B67966" w:rsidRDefault="00016EBF" w:rsidP="00544133">
            <w:pPr>
              <w:pStyle w:val="EYTableText"/>
            </w:pPr>
            <w:r w:rsidRPr="00B67966">
              <w:t>Prostheses List Advisory Committee</w:t>
            </w:r>
          </w:p>
        </w:tc>
        <w:tc>
          <w:tcPr>
            <w:tcW w:w="3587" w:type="pct"/>
          </w:tcPr>
          <w:p w14:paraId="764990EF" w14:textId="4EDE83B9" w:rsidR="00016EBF" w:rsidRPr="00B67966" w:rsidRDefault="00016EBF" w:rsidP="00544133">
            <w:pPr>
              <w:pStyle w:val="EYTableText"/>
            </w:pPr>
            <w:r w:rsidRPr="00B67966">
              <w:t xml:space="preserve">The Prostheses List Advisory Committee is a committee which provides advice to the </w:t>
            </w:r>
            <w:r w:rsidR="000007C2" w:rsidRPr="00B67966">
              <w:t>Minister for Health and Aged Care</w:t>
            </w:r>
            <w:r w:rsidR="0040369C" w:rsidRPr="00B67966">
              <w:t>.</w:t>
            </w:r>
          </w:p>
        </w:tc>
      </w:tr>
      <w:tr w:rsidR="00321D90" w:rsidRPr="00B67966" w14:paraId="4C666398" w14:textId="77777777" w:rsidTr="00B67966">
        <w:tc>
          <w:tcPr>
            <w:tcW w:w="1413" w:type="pct"/>
          </w:tcPr>
          <w:p w14:paraId="045737E5" w14:textId="77777777" w:rsidR="00321D90" w:rsidRPr="00B67966" w:rsidRDefault="00321D90" w:rsidP="00544133">
            <w:pPr>
              <w:pStyle w:val="EYTableText"/>
            </w:pPr>
            <w:r w:rsidRPr="00B67966">
              <w:t>Therapeutic Goods Administration</w:t>
            </w:r>
          </w:p>
        </w:tc>
        <w:tc>
          <w:tcPr>
            <w:tcW w:w="3587" w:type="pct"/>
          </w:tcPr>
          <w:p w14:paraId="210809A3" w14:textId="1FA799A2" w:rsidR="00321D90" w:rsidRPr="00B67966" w:rsidRDefault="00321D90" w:rsidP="00544133">
            <w:pPr>
              <w:pStyle w:val="EYTableText"/>
            </w:pPr>
            <w:r w:rsidRPr="00B67966">
              <w:t>The</w:t>
            </w:r>
            <w:r w:rsidR="00181D85" w:rsidRPr="00B67966">
              <w:t xml:space="preserve"> Therapeutic Goods Administration </w:t>
            </w:r>
            <w:r w:rsidRPr="00B67966">
              <w:t xml:space="preserve">is responsible for regulating the supply, import, export, </w:t>
            </w:r>
            <w:proofErr w:type="gramStart"/>
            <w:r w:rsidRPr="00B67966">
              <w:t>manufacturing</w:t>
            </w:r>
            <w:proofErr w:type="gramEnd"/>
            <w:r w:rsidRPr="00B67966">
              <w:t xml:space="preserve"> and advertising of therapeutic goods in Australia.</w:t>
            </w:r>
          </w:p>
        </w:tc>
      </w:tr>
      <w:tr w:rsidR="00CA3043" w:rsidRPr="00B67966" w14:paraId="7B92C9C2" w14:textId="77777777" w:rsidTr="00B67966">
        <w:tc>
          <w:tcPr>
            <w:tcW w:w="1413" w:type="pct"/>
          </w:tcPr>
          <w:p w14:paraId="6D9B3714" w14:textId="053694FC" w:rsidR="00CA3043" w:rsidRPr="00B67966" w:rsidRDefault="006006B1" w:rsidP="00544133">
            <w:pPr>
              <w:pStyle w:val="EYTableText"/>
            </w:pPr>
            <w:r w:rsidRPr="00B67966">
              <w:t>Technology Assessment and Access Division</w:t>
            </w:r>
          </w:p>
        </w:tc>
        <w:tc>
          <w:tcPr>
            <w:tcW w:w="3587" w:type="pct"/>
          </w:tcPr>
          <w:p w14:paraId="769CE1E3" w14:textId="0336BA42" w:rsidR="00CA3043" w:rsidRPr="00B67966" w:rsidRDefault="00AA110B" w:rsidP="00544133">
            <w:pPr>
              <w:pStyle w:val="EYTableText"/>
            </w:pPr>
            <w:r w:rsidRPr="00B67966">
              <w:t xml:space="preserve">The </w:t>
            </w:r>
            <w:r w:rsidR="00355EA0" w:rsidRPr="00B67966">
              <w:t xml:space="preserve">Technology Assessment and Access Division </w:t>
            </w:r>
            <w:r w:rsidRPr="00B67966">
              <w:t xml:space="preserve">is a </w:t>
            </w:r>
            <w:r w:rsidR="00355EA0" w:rsidRPr="00B67966">
              <w:t>division</w:t>
            </w:r>
            <w:r w:rsidRPr="00B67966">
              <w:t xml:space="preserve"> of the Federal Department of Health which supports Health Technology Assessment in Australia.</w:t>
            </w:r>
          </w:p>
        </w:tc>
      </w:tr>
    </w:tbl>
    <w:p w14:paraId="5551832D" w14:textId="77777777" w:rsidR="00477AFA" w:rsidRPr="00D2484E" w:rsidRDefault="00477AFA" w:rsidP="00477AFA"/>
    <w:p w14:paraId="332240A5" w14:textId="77777777" w:rsidR="00477AFA" w:rsidRPr="00D2484E" w:rsidRDefault="00477AFA" w:rsidP="00477AFA">
      <w:pPr>
        <w:sectPr w:rsidR="00477AFA" w:rsidRPr="00D2484E" w:rsidSect="00093C66">
          <w:headerReference w:type="even" r:id="rId18"/>
          <w:headerReference w:type="default" r:id="rId19"/>
          <w:footerReference w:type="default" r:id="rId20"/>
          <w:headerReference w:type="first" r:id="rId21"/>
          <w:pgSz w:w="11909" w:h="16834" w:code="9"/>
          <w:pgMar w:top="1440" w:right="1440" w:bottom="1440" w:left="1440" w:header="720" w:footer="720" w:gutter="0"/>
          <w:pgNumType w:fmt="lowerRoman" w:start="0"/>
          <w:cols w:space="720"/>
          <w:docGrid w:linePitch="360"/>
        </w:sectPr>
      </w:pPr>
    </w:p>
    <w:p w14:paraId="4416D7FA" w14:textId="3B6CC98F" w:rsidR="00477AFA" w:rsidRPr="00D2484E" w:rsidRDefault="0071744E" w:rsidP="00B67966">
      <w:pPr>
        <w:pStyle w:val="EYHeading1"/>
      </w:pPr>
      <w:bookmarkStart w:id="5" w:name="_Ref39053388"/>
      <w:bookmarkStart w:id="6" w:name="_Ref39053400"/>
      <w:bookmarkStart w:id="7" w:name="_Toc77329434"/>
      <w:r w:rsidRPr="00D2484E">
        <w:lastRenderedPageBreak/>
        <w:t>Executive Summary</w:t>
      </w:r>
      <w:bookmarkEnd w:id="5"/>
      <w:bookmarkEnd w:id="6"/>
      <w:bookmarkEnd w:id="7"/>
    </w:p>
    <w:p w14:paraId="4A3B28AD" w14:textId="77777777" w:rsidR="00AB0680" w:rsidRPr="00B67966" w:rsidRDefault="00E8233F" w:rsidP="00B67966">
      <w:r w:rsidRPr="00D2484E">
        <w:t>In the 2021-22 Federal Budget, the Australian Government announced an investment of $22 million over 4 years to reduce the cost of medical devices used in the private health sector and to streamline access to new medical devices</w:t>
      </w:r>
      <w:r w:rsidR="008C4E22" w:rsidRPr="00D2484E">
        <w:t xml:space="preserve"> (‘the Prostheses List Reform’)</w:t>
      </w:r>
      <w:r w:rsidR="005D21B1" w:rsidRPr="00D2484E">
        <w:t xml:space="preserve">. </w:t>
      </w:r>
      <w:r w:rsidR="00A2282D" w:rsidRPr="00D2484E">
        <w:t xml:space="preserve">Over time, it is anticipated that the benefits of medical devices on Prostheses List will better align with the price paid in the public hospital system, supported by the Independent Hospital Pricing Authority (IHPA). </w:t>
      </w:r>
    </w:p>
    <w:p w14:paraId="631589D3" w14:textId="13FF7640" w:rsidR="00E8233F" w:rsidRPr="00B67966" w:rsidRDefault="001734E7" w:rsidP="00B67966">
      <w:r w:rsidRPr="00D2484E">
        <w:t>As the first step</w:t>
      </w:r>
      <w:r w:rsidR="00AF745F" w:rsidRPr="00D2484E">
        <w:t xml:space="preserve"> </w:t>
      </w:r>
      <w:r w:rsidR="00356D3B" w:rsidRPr="00D2484E">
        <w:t>in th</w:t>
      </w:r>
      <w:r w:rsidR="00482064" w:rsidRPr="00D2484E">
        <w:t>is latest round of</w:t>
      </w:r>
      <w:r w:rsidR="00356D3B" w:rsidRPr="00D2484E">
        <w:t xml:space="preserve"> Prostheses List Reform, </w:t>
      </w:r>
      <w:r w:rsidR="005D21B1" w:rsidRPr="00D2484E">
        <w:t xml:space="preserve">EY was appointed to undertake a Review of the Prostheses List Advisory Committee </w:t>
      </w:r>
      <w:r w:rsidR="007D2B51" w:rsidRPr="00D2484E">
        <w:t xml:space="preserve">(PLAC) </w:t>
      </w:r>
      <w:r w:rsidR="000C027E" w:rsidRPr="00D2484E">
        <w:t xml:space="preserve">and its associated </w:t>
      </w:r>
      <w:r w:rsidR="004E3165" w:rsidRPr="00D2484E">
        <w:t>sub-committee</w:t>
      </w:r>
      <w:r w:rsidR="000C027E" w:rsidRPr="00D2484E">
        <w:t>s</w:t>
      </w:r>
      <w:r w:rsidR="006A7CBB" w:rsidRPr="00D2484E">
        <w:t xml:space="preserve"> (‘the Review’)</w:t>
      </w:r>
      <w:r w:rsidR="00655DE8" w:rsidRPr="00D2484E">
        <w:t>.</w:t>
      </w:r>
      <w:r w:rsidR="00AB0680" w:rsidRPr="00D2484E">
        <w:t xml:space="preserve"> </w:t>
      </w:r>
      <w:r w:rsidR="000C027E" w:rsidRPr="00D2484E">
        <w:t xml:space="preserve">The purpose of this </w:t>
      </w:r>
      <w:r w:rsidR="006A7CBB" w:rsidRPr="00D2484E">
        <w:t xml:space="preserve">Review </w:t>
      </w:r>
      <w:r w:rsidR="007C5A91" w:rsidRPr="00D2484E">
        <w:t>was</w:t>
      </w:r>
      <w:r w:rsidR="009630CE" w:rsidRPr="00D2484E">
        <w:t xml:space="preserve"> to examine the role, </w:t>
      </w:r>
      <w:proofErr w:type="gramStart"/>
      <w:r w:rsidR="009630CE" w:rsidRPr="00D2484E">
        <w:t>function</w:t>
      </w:r>
      <w:proofErr w:type="gramEnd"/>
      <w:r w:rsidR="009630CE" w:rsidRPr="00D2484E">
        <w:t xml:space="preserve"> and membership of the PLAC and its </w:t>
      </w:r>
      <w:r w:rsidR="004E3165" w:rsidRPr="00D2484E">
        <w:t>sub-committee</w:t>
      </w:r>
      <w:r w:rsidR="009630CE" w:rsidRPr="00D2484E">
        <w:t>s,</w:t>
      </w:r>
      <w:r w:rsidR="000E2419" w:rsidRPr="00D2484E">
        <w:t xml:space="preserve"> and to provide the Department </w:t>
      </w:r>
      <w:r w:rsidR="00A946C6" w:rsidRPr="00D2484E">
        <w:t xml:space="preserve">of Health (‘the Department’) </w:t>
      </w:r>
      <w:r w:rsidR="000E2419" w:rsidRPr="00D2484E">
        <w:t>with Options and Recommendations for the</w:t>
      </w:r>
      <w:r w:rsidR="00646137" w:rsidRPr="00D2484E">
        <w:t xml:space="preserve"> future governance of the</w:t>
      </w:r>
      <w:r w:rsidR="000E2419" w:rsidRPr="00D2484E">
        <w:t xml:space="preserve"> Prostheses List </w:t>
      </w:r>
      <w:r w:rsidR="006055BD" w:rsidRPr="00D2484E">
        <w:t xml:space="preserve">and </w:t>
      </w:r>
      <w:r w:rsidR="000E2419" w:rsidRPr="00D2484E">
        <w:t>accession process</w:t>
      </w:r>
      <w:r w:rsidR="00A33FD0" w:rsidRPr="00D2484E">
        <w:t>.</w:t>
      </w:r>
      <w:r w:rsidR="000F0172" w:rsidRPr="00D2484E">
        <w:t xml:space="preserve"> </w:t>
      </w:r>
      <w:r w:rsidR="007C5A91" w:rsidRPr="00D2484E">
        <w:t xml:space="preserve">This Review </w:t>
      </w:r>
      <w:r w:rsidR="00F655EB" w:rsidRPr="00D2484E">
        <w:t xml:space="preserve">is </w:t>
      </w:r>
      <w:r w:rsidR="007C5A91" w:rsidRPr="00D2484E">
        <w:t>comprised</w:t>
      </w:r>
      <w:r w:rsidR="00A03A09" w:rsidRPr="00D2484E">
        <w:t xml:space="preserve"> </w:t>
      </w:r>
      <w:r w:rsidR="00F655EB" w:rsidRPr="00D2484E">
        <w:t xml:space="preserve">of </w:t>
      </w:r>
      <w:r w:rsidR="007C5A91" w:rsidRPr="00D2484E">
        <w:t xml:space="preserve">a </w:t>
      </w:r>
      <w:r w:rsidR="00D86076" w:rsidRPr="00D2484E">
        <w:t>documentation review</w:t>
      </w:r>
      <w:r w:rsidR="007C5A91" w:rsidRPr="00D2484E">
        <w:t xml:space="preserve"> and a</w:t>
      </w:r>
      <w:r w:rsidR="00195B8F" w:rsidRPr="00D2484E">
        <w:t xml:space="preserve"> </w:t>
      </w:r>
      <w:r w:rsidR="00A03A09" w:rsidRPr="00D2484E">
        <w:t xml:space="preserve">stakeholder </w:t>
      </w:r>
      <w:r w:rsidR="007C5A91" w:rsidRPr="00D2484E">
        <w:t>consultation process</w:t>
      </w:r>
      <w:r w:rsidR="00D86076" w:rsidRPr="00D2484E">
        <w:t>.</w:t>
      </w:r>
    </w:p>
    <w:p w14:paraId="58B23216" w14:textId="755FBBD2" w:rsidR="00E56948" w:rsidRPr="00D2484E" w:rsidRDefault="00E56948" w:rsidP="00675361">
      <w:pPr>
        <w:pStyle w:val="EYHeading2"/>
      </w:pPr>
      <w:bookmarkStart w:id="8" w:name="_Toc77329435"/>
      <w:r w:rsidRPr="00D2484E">
        <w:t>Prostheses List Advisory Committee</w:t>
      </w:r>
      <w:bookmarkEnd w:id="8"/>
      <w:r w:rsidRPr="00D2484E">
        <w:t xml:space="preserve"> </w:t>
      </w:r>
    </w:p>
    <w:p w14:paraId="2C3C4E2B" w14:textId="32EE6E92" w:rsidR="00E76B59" w:rsidRPr="005A2F16" w:rsidRDefault="000E2419" w:rsidP="005A2F16">
      <w:r w:rsidRPr="005A2F16">
        <w:t>The Australian Government’s intent of introducing the Prostheses List was to enable control over high inflation of medical device costs.</w:t>
      </w:r>
      <w:r w:rsidR="00710835" w:rsidRPr="005A2F16">
        <w:t xml:space="preserve"> The Prostheses List is a Schedule of the Private Health Insurance (Prostheses) Rules</w:t>
      </w:r>
      <w:r w:rsidR="000A304F" w:rsidRPr="005A2F16">
        <w:t xml:space="preserve">. It lists the medical devices and their associated benefits which private health insurers are required to pay when the item is used in specified circumstances. </w:t>
      </w:r>
      <w:r w:rsidR="00E76B59" w:rsidRPr="005A2F16">
        <w:t xml:space="preserve">As </w:t>
      </w:r>
      <w:proofErr w:type="gramStart"/>
      <w:r w:rsidR="00E76B59" w:rsidRPr="005A2F16">
        <w:t>at</w:t>
      </w:r>
      <w:proofErr w:type="gramEnd"/>
      <w:r w:rsidR="00E76B59" w:rsidRPr="005A2F16">
        <w:t xml:space="preserve"> July 2021, </w:t>
      </w:r>
      <w:r w:rsidR="001511D4" w:rsidRPr="005A2F16">
        <w:t xml:space="preserve">there are </w:t>
      </w:r>
      <w:r w:rsidR="00E76B59" w:rsidRPr="005A2F16">
        <w:t>approximately 11,000 items on the Prostheses List.</w:t>
      </w:r>
    </w:p>
    <w:p w14:paraId="39FB7E19" w14:textId="01DC8F25" w:rsidR="00792032" w:rsidRPr="00D2484E" w:rsidRDefault="008C35B8" w:rsidP="00B67966">
      <w:r w:rsidRPr="00D2484E">
        <w:t>The Prostheses List is overseen by the</w:t>
      </w:r>
      <w:r w:rsidR="000D1FC1" w:rsidRPr="00D2484E">
        <w:t xml:space="preserve"> Federal</w:t>
      </w:r>
      <w:r w:rsidRPr="00D2484E">
        <w:t xml:space="preserve"> Minister for Health and Aged Care</w:t>
      </w:r>
      <w:r w:rsidR="00806FED" w:rsidRPr="00D2484E">
        <w:t xml:space="preserve"> (‘the Minister’</w:t>
      </w:r>
      <w:proofErr w:type="gramStart"/>
      <w:r w:rsidR="00792032" w:rsidRPr="00D2484E">
        <w:t>), and</w:t>
      </w:r>
      <w:proofErr w:type="gramEnd"/>
      <w:r w:rsidR="00792032" w:rsidRPr="00D2484E">
        <w:t xml:space="preserve"> is</w:t>
      </w:r>
      <w:r w:rsidR="000A304F" w:rsidRPr="00D2484E">
        <w:t xml:space="preserve"> </w:t>
      </w:r>
      <w:r w:rsidRPr="00D2484E">
        <w:t>supported by the Prostheses List Advisory Committee (PLAC)</w:t>
      </w:r>
      <w:r w:rsidR="00792032" w:rsidRPr="00D2484E">
        <w:t xml:space="preserve">. </w:t>
      </w:r>
      <w:r w:rsidR="00D77387" w:rsidRPr="00D2484E">
        <w:t>T</w:t>
      </w:r>
      <w:r w:rsidR="00792032" w:rsidRPr="00D2484E">
        <w:t xml:space="preserve">he PLAC’s </w:t>
      </w:r>
      <w:r w:rsidR="00683A7C" w:rsidRPr="00D2484E">
        <w:t>purpose</w:t>
      </w:r>
      <w:r w:rsidR="00792032" w:rsidRPr="00D2484E">
        <w:t xml:space="preserve"> </w:t>
      </w:r>
      <w:r w:rsidR="0084452B" w:rsidRPr="00D2484E">
        <w:t>includes</w:t>
      </w:r>
      <w:r w:rsidR="0048313E" w:rsidRPr="00D2484E">
        <w:t>:</w:t>
      </w:r>
      <w:r w:rsidR="00ED7393" w:rsidRPr="00D2484E">
        <w:t xml:space="preserve"> </w:t>
      </w:r>
    </w:p>
    <w:p w14:paraId="61019629" w14:textId="54D3D8FC" w:rsidR="0084452B" w:rsidRPr="00B67966" w:rsidRDefault="0084452B" w:rsidP="00B67966">
      <w:pPr>
        <w:pStyle w:val="EYBullet1"/>
      </w:pPr>
      <w:r w:rsidRPr="00B67966">
        <w:t xml:space="preserve">Making recommendations to the Minister on whether applications to list medical devices should be granted or not and if any conditions of listing are </w:t>
      </w:r>
      <w:proofErr w:type="gramStart"/>
      <w:r w:rsidRPr="00B67966">
        <w:t>appropriate;</w:t>
      </w:r>
      <w:proofErr w:type="gramEnd"/>
    </w:p>
    <w:p w14:paraId="14EA8B33" w14:textId="2C761C26" w:rsidR="0084452B" w:rsidRPr="00B67966" w:rsidRDefault="0084452B" w:rsidP="00B67966">
      <w:pPr>
        <w:pStyle w:val="EYBullet1"/>
      </w:pPr>
      <w:r w:rsidRPr="00B67966">
        <w:t xml:space="preserve">Advising the Minister about the benefits for medical devices to be listed on the Prostheses </w:t>
      </w:r>
      <w:proofErr w:type="gramStart"/>
      <w:r w:rsidRPr="00B67966">
        <w:t>List;</w:t>
      </w:r>
      <w:proofErr w:type="gramEnd"/>
    </w:p>
    <w:p w14:paraId="04EAD103" w14:textId="311FC449" w:rsidR="0084452B" w:rsidRPr="00B67966" w:rsidRDefault="0084452B" w:rsidP="00B67966">
      <w:pPr>
        <w:pStyle w:val="EYBullet1"/>
      </w:pPr>
      <w:r w:rsidRPr="00B67966">
        <w:t>Advising the Minister on requests to amend current listings on the Prostheses List; and</w:t>
      </w:r>
    </w:p>
    <w:p w14:paraId="3F611D62" w14:textId="3CB05D79" w:rsidR="0084452B" w:rsidRPr="00B67966" w:rsidRDefault="0084452B" w:rsidP="00B67966">
      <w:pPr>
        <w:pStyle w:val="EYBullet1"/>
      </w:pPr>
      <w:r w:rsidRPr="00B67966">
        <w:t>Reviewing the listing and/or benefits of listed medical devices as appropriate and make recommendations to the Minister.</w:t>
      </w:r>
    </w:p>
    <w:p w14:paraId="213329B1" w14:textId="6A73357E" w:rsidR="00DC7683" w:rsidRPr="00B67966" w:rsidRDefault="004C5A91" w:rsidP="00B67966">
      <w:r w:rsidRPr="00B67966">
        <w:t xml:space="preserve">The PLAC </w:t>
      </w:r>
      <w:r w:rsidR="003509C8" w:rsidRPr="00B67966">
        <w:t>itself</w:t>
      </w:r>
      <w:r w:rsidRPr="00B67966">
        <w:t xml:space="preserve"> </w:t>
      </w:r>
      <w:r w:rsidR="00267182" w:rsidRPr="00B67966">
        <w:t xml:space="preserve">receives specialist advice </w:t>
      </w:r>
      <w:r w:rsidR="005D3AF5" w:rsidRPr="00B67966">
        <w:t xml:space="preserve">from eight Clinical Advisory Groups (CAGs) and </w:t>
      </w:r>
      <w:r w:rsidR="003509C8" w:rsidRPr="00B67966">
        <w:t xml:space="preserve">the </w:t>
      </w:r>
      <w:r w:rsidR="005D3AF5" w:rsidRPr="00B67966">
        <w:t>Panel of Clinical Experts</w:t>
      </w:r>
      <w:r w:rsidR="00F65B18" w:rsidRPr="00B67966">
        <w:t xml:space="preserve"> (</w:t>
      </w:r>
      <w:r w:rsidR="00055A4C" w:rsidRPr="00B67966">
        <w:t>‘</w:t>
      </w:r>
      <w:r w:rsidR="00F65B18" w:rsidRPr="00B67966">
        <w:t>Panel</w:t>
      </w:r>
      <w:r w:rsidR="00055A4C" w:rsidRPr="00B67966">
        <w:t>’</w:t>
      </w:r>
      <w:r w:rsidR="00F65B18" w:rsidRPr="00B67966">
        <w:t>)</w:t>
      </w:r>
      <w:r w:rsidR="00D50182" w:rsidRPr="00B67966">
        <w:t>.</w:t>
      </w:r>
    </w:p>
    <w:p w14:paraId="1A030201" w14:textId="65292704" w:rsidR="00FE70FA" w:rsidRPr="00B67966" w:rsidRDefault="00D50182" w:rsidP="00B67966">
      <w:r w:rsidRPr="00B67966">
        <w:t>A</w:t>
      </w:r>
      <w:r w:rsidR="00F36DE3" w:rsidRPr="00B67966">
        <w:t xml:space="preserve">s a </w:t>
      </w:r>
      <w:r w:rsidR="008A4349" w:rsidRPr="00B67966">
        <w:t>H</w:t>
      </w:r>
      <w:r w:rsidR="00F36DE3" w:rsidRPr="00B67966">
        <w:t xml:space="preserve">ealth </w:t>
      </w:r>
      <w:r w:rsidR="008A4349" w:rsidRPr="00B67966">
        <w:t>T</w:t>
      </w:r>
      <w:r w:rsidR="00F36DE3" w:rsidRPr="00B67966">
        <w:t xml:space="preserve">echnology </w:t>
      </w:r>
      <w:r w:rsidR="008A4349" w:rsidRPr="00B67966">
        <w:t>A</w:t>
      </w:r>
      <w:r w:rsidR="00F36DE3" w:rsidRPr="00B67966">
        <w:t>ssessment (HTA) committee,</w:t>
      </w:r>
      <w:r w:rsidRPr="00B67966">
        <w:t xml:space="preserve"> the PLAC</w:t>
      </w:r>
      <w:r w:rsidR="00F36DE3" w:rsidRPr="00B67966">
        <w:t xml:space="preserve"> may also refer relevant matters to </w:t>
      </w:r>
      <w:r w:rsidR="006A1E39" w:rsidRPr="00B67966">
        <w:t xml:space="preserve">the </w:t>
      </w:r>
      <w:r w:rsidR="002124D9" w:rsidRPr="00B67966">
        <w:t xml:space="preserve">Therapeutic Goods Administration (TGA), </w:t>
      </w:r>
      <w:r w:rsidR="00FE70FA" w:rsidRPr="00B67966">
        <w:t xml:space="preserve">the </w:t>
      </w:r>
      <w:r w:rsidR="002124D9" w:rsidRPr="00B67966">
        <w:t xml:space="preserve">Medical Service Advisory Committee (MSAC) </w:t>
      </w:r>
      <w:r w:rsidRPr="00B67966">
        <w:t xml:space="preserve">or </w:t>
      </w:r>
      <w:r w:rsidR="00FE70FA" w:rsidRPr="00B67966">
        <w:t xml:space="preserve">the </w:t>
      </w:r>
      <w:r w:rsidRPr="00B67966">
        <w:t xml:space="preserve">Pharmaceutical Benefits Advisory Committee (PBAC) and their </w:t>
      </w:r>
      <w:r w:rsidR="0071246F" w:rsidRPr="00B67966">
        <w:t>sub-committees.</w:t>
      </w:r>
    </w:p>
    <w:p w14:paraId="7630642B" w14:textId="06E65A2B" w:rsidR="0061717F" w:rsidRPr="00D2484E" w:rsidRDefault="00547BD5" w:rsidP="00B67966">
      <w:r w:rsidRPr="00B67966">
        <w:t>Policy responsibility for HTA and administration for HTA committees is managed by the Department and currently rests with the Technology Assessment and Access Division.</w:t>
      </w:r>
      <w:r w:rsidR="001C1B88" w:rsidRPr="00D2484E">
        <w:t xml:space="preserve"> </w:t>
      </w:r>
    </w:p>
    <w:p w14:paraId="2B9155DB" w14:textId="7AEB61B7" w:rsidR="0084681A" w:rsidRPr="00D2484E" w:rsidRDefault="00BF7F03" w:rsidP="00C33104">
      <w:pPr>
        <w:pStyle w:val="EYHeading4"/>
        <w:rPr>
          <w:rFonts w:ascii="Arial" w:hAnsi="Arial"/>
        </w:rPr>
      </w:pPr>
      <w:r w:rsidRPr="00D2484E">
        <w:rPr>
          <w:rFonts w:ascii="Arial" w:hAnsi="Arial"/>
        </w:rPr>
        <w:t>Background</w:t>
      </w:r>
    </w:p>
    <w:p w14:paraId="071A617E" w14:textId="30369AFF" w:rsidR="00B34864" w:rsidRPr="00B67966" w:rsidRDefault="00141555" w:rsidP="00B67966">
      <w:r w:rsidRPr="00B67966">
        <w:t>In recent years, t</w:t>
      </w:r>
      <w:r w:rsidR="00636600" w:rsidRPr="00B67966">
        <w:t xml:space="preserve">he Department has undertaken </w:t>
      </w:r>
      <w:proofErr w:type="gramStart"/>
      <w:r w:rsidR="00FC45CF" w:rsidRPr="00B67966">
        <w:t>a number of</w:t>
      </w:r>
      <w:proofErr w:type="gramEnd"/>
      <w:r w:rsidR="00FC45CF" w:rsidRPr="00B67966">
        <w:t xml:space="preserve"> </w:t>
      </w:r>
      <w:r w:rsidR="00FA29C8" w:rsidRPr="00B67966">
        <w:t xml:space="preserve">reviews </w:t>
      </w:r>
      <w:r w:rsidR="009B508F" w:rsidRPr="00B67966">
        <w:t>relating to the Prostheses List</w:t>
      </w:r>
      <w:r w:rsidR="00FA29C8" w:rsidRPr="00B67966">
        <w:t xml:space="preserve"> </w:t>
      </w:r>
      <w:r w:rsidR="0030705D" w:rsidRPr="00B67966">
        <w:t>which</w:t>
      </w:r>
      <w:r w:rsidR="00A95C0F" w:rsidRPr="00B67966">
        <w:t xml:space="preserve">, amongst other </w:t>
      </w:r>
      <w:r w:rsidR="004F5A06" w:rsidRPr="00B67966">
        <w:t>things,</w:t>
      </w:r>
      <w:r w:rsidR="0030705D" w:rsidRPr="00B67966">
        <w:t xml:space="preserve"> highligh</w:t>
      </w:r>
      <w:r w:rsidR="00AF2B7D" w:rsidRPr="00B67966">
        <w:t>ted</w:t>
      </w:r>
      <w:r w:rsidR="00A32BF0" w:rsidRPr="00B67966">
        <w:t xml:space="preserve"> a number of i</w:t>
      </w:r>
      <w:r w:rsidR="000079D4" w:rsidRPr="00B67966">
        <w:t>ssues</w:t>
      </w:r>
      <w:r w:rsidR="00FA29C8" w:rsidRPr="00B67966">
        <w:t xml:space="preserve"> </w:t>
      </w:r>
      <w:r w:rsidR="00AF2B7D" w:rsidRPr="00B67966">
        <w:t>associated</w:t>
      </w:r>
      <w:r w:rsidR="00FA29C8" w:rsidRPr="00B67966">
        <w:t xml:space="preserve"> </w:t>
      </w:r>
      <w:r w:rsidR="000079D4" w:rsidRPr="00B67966">
        <w:t xml:space="preserve">with </w:t>
      </w:r>
      <w:r w:rsidR="00085088" w:rsidRPr="00B67966">
        <w:t>the</w:t>
      </w:r>
      <w:r w:rsidR="000079D4" w:rsidRPr="00B67966">
        <w:t xml:space="preserve"> governance of the Prostheses List</w:t>
      </w:r>
      <w:r w:rsidR="00782436" w:rsidRPr="00B67966">
        <w:t xml:space="preserve">. These </w:t>
      </w:r>
      <w:r w:rsidR="004C6188" w:rsidRPr="00B67966">
        <w:t xml:space="preserve">issues </w:t>
      </w:r>
      <w:r w:rsidR="00782436" w:rsidRPr="00B67966">
        <w:t>include</w:t>
      </w:r>
      <w:r w:rsidR="004C6188" w:rsidRPr="00B67966">
        <w:t>d</w:t>
      </w:r>
      <w:r w:rsidR="00782436" w:rsidRPr="00B67966">
        <w:t xml:space="preserve"> a </w:t>
      </w:r>
      <w:r w:rsidR="00351AE9" w:rsidRPr="00B67966">
        <w:t xml:space="preserve">lack of a </w:t>
      </w:r>
      <w:r w:rsidR="00A860FA" w:rsidRPr="00B67966">
        <w:t xml:space="preserve">fit for purpose </w:t>
      </w:r>
      <w:r w:rsidR="000079D4" w:rsidRPr="00B67966">
        <w:t xml:space="preserve">Prostheses List assessment process and </w:t>
      </w:r>
      <w:r w:rsidR="00351AE9" w:rsidRPr="00B67966">
        <w:t>limited focus on post-listing review</w:t>
      </w:r>
      <w:r w:rsidR="000079D4" w:rsidRPr="00B67966">
        <w:t xml:space="preserve">. </w:t>
      </w:r>
      <w:r w:rsidR="00751DD4" w:rsidRPr="00B67966">
        <w:t>T</w:t>
      </w:r>
      <w:r w:rsidR="00841B8F" w:rsidRPr="00B67966">
        <w:t>he PLAC is the key body responsible for these elements</w:t>
      </w:r>
      <w:r w:rsidR="00751DD4" w:rsidRPr="00B67966">
        <w:t xml:space="preserve"> and so this Review </w:t>
      </w:r>
      <w:r w:rsidR="002F505B" w:rsidRPr="00B67966">
        <w:t xml:space="preserve">considers </w:t>
      </w:r>
      <w:r w:rsidR="00CF3325" w:rsidRPr="00B67966">
        <w:t xml:space="preserve">whether its </w:t>
      </w:r>
      <w:r w:rsidR="00E1745E" w:rsidRPr="00B67966">
        <w:t xml:space="preserve">role, membership, </w:t>
      </w:r>
      <w:proofErr w:type="gramStart"/>
      <w:r w:rsidR="00E1745E" w:rsidRPr="00B67966">
        <w:t>composition</w:t>
      </w:r>
      <w:proofErr w:type="gramEnd"/>
      <w:r w:rsidR="00E1745E" w:rsidRPr="00B67966">
        <w:t xml:space="preserve"> and structure should be improved.</w:t>
      </w:r>
      <w:r w:rsidR="00BF5ED8" w:rsidRPr="00B67966">
        <w:t xml:space="preserve"> </w:t>
      </w:r>
    </w:p>
    <w:p w14:paraId="1DF03080" w14:textId="78C6BD14" w:rsidR="001C08A7" w:rsidRPr="00D2484E" w:rsidRDefault="00B34864" w:rsidP="00675361">
      <w:pPr>
        <w:pStyle w:val="EYHeading2"/>
      </w:pPr>
      <w:bookmarkStart w:id="9" w:name="_Toc77329436"/>
      <w:r w:rsidRPr="00D2484E">
        <w:lastRenderedPageBreak/>
        <w:t>Key finding</w:t>
      </w:r>
      <w:r w:rsidR="001C08A7" w:rsidRPr="00D2484E">
        <w:t xml:space="preserve">s, </w:t>
      </w:r>
      <w:proofErr w:type="gramStart"/>
      <w:r w:rsidR="001C08A7" w:rsidRPr="00D2484E">
        <w:t>options</w:t>
      </w:r>
      <w:proofErr w:type="gramEnd"/>
      <w:r w:rsidR="001C08A7" w:rsidRPr="00D2484E">
        <w:t xml:space="preserve"> and recommendations</w:t>
      </w:r>
      <w:r w:rsidR="00CC3B8C" w:rsidRPr="00D2484E">
        <w:t xml:space="preserve"> of this Review</w:t>
      </w:r>
      <w:bookmarkEnd w:id="9"/>
    </w:p>
    <w:p w14:paraId="6CD0CCE2" w14:textId="66301B2F" w:rsidR="0074073D" w:rsidRPr="00D2484E" w:rsidRDefault="0074073D" w:rsidP="00510194">
      <w:pPr>
        <w:pStyle w:val="EYHeading3"/>
      </w:pPr>
      <w:r w:rsidRPr="00D2484E">
        <w:t>Findings</w:t>
      </w:r>
    </w:p>
    <w:p w14:paraId="39CCF701" w14:textId="7467F1BB" w:rsidR="004D49A7" w:rsidRPr="00D2484E" w:rsidRDefault="0029700F" w:rsidP="00CA6DBA">
      <w:r w:rsidRPr="00D2484E">
        <w:t xml:space="preserve">This Review </w:t>
      </w:r>
      <w:r w:rsidR="00A2056F" w:rsidRPr="00D2484E">
        <w:t xml:space="preserve">has found that there </w:t>
      </w:r>
      <w:r w:rsidR="008B01F2" w:rsidRPr="00D2484E">
        <w:t xml:space="preserve">are </w:t>
      </w:r>
      <w:r w:rsidR="007C5DB2" w:rsidRPr="00D2484E">
        <w:t>five key issues</w:t>
      </w:r>
      <w:r w:rsidR="008B01F2" w:rsidRPr="00D2484E">
        <w:t xml:space="preserve"> </w:t>
      </w:r>
      <w:r w:rsidR="00E83C14" w:rsidRPr="00D2484E">
        <w:t>regarding</w:t>
      </w:r>
      <w:r w:rsidR="008B01F2" w:rsidRPr="00D2484E">
        <w:t xml:space="preserve"> the governance</w:t>
      </w:r>
      <w:r w:rsidR="002669EE" w:rsidRPr="00D2484E">
        <w:t xml:space="preserve"> arrangements </w:t>
      </w:r>
      <w:r w:rsidR="008B01F2" w:rsidRPr="00D2484E">
        <w:t xml:space="preserve">of the Prostheses List which </w:t>
      </w:r>
      <w:r w:rsidR="002669EE" w:rsidRPr="00D2484E">
        <w:t xml:space="preserve">prevent </w:t>
      </w:r>
      <w:r w:rsidR="00683A7C" w:rsidRPr="00D2484E">
        <w:t xml:space="preserve">the PLAC </w:t>
      </w:r>
      <w:r w:rsidR="002669EE" w:rsidRPr="00D2484E">
        <w:t>from</w:t>
      </w:r>
      <w:r w:rsidR="00683A7C" w:rsidRPr="00D2484E">
        <w:t xml:space="preserve"> effectively</w:t>
      </w:r>
      <w:r w:rsidR="002669EE" w:rsidRPr="00D2484E">
        <w:t xml:space="preserve"> </w:t>
      </w:r>
      <w:r w:rsidR="006C7DBA" w:rsidRPr="00D2484E">
        <w:t>fulfilling its</w:t>
      </w:r>
      <w:r w:rsidR="00683A7C" w:rsidRPr="00D2484E">
        <w:t xml:space="preserve"> intended</w:t>
      </w:r>
      <w:r w:rsidR="006C7DBA" w:rsidRPr="00D2484E">
        <w:t xml:space="preserve"> </w:t>
      </w:r>
      <w:r w:rsidR="00683A7C" w:rsidRPr="00D2484E">
        <w:t>purpose</w:t>
      </w:r>
      <w:r w:rsidR="00990B6A" w:rsidRPr="00D2484E">
        <w:t>:</w:t>
      </w:r>
    </w:p>
    <w:p w14:paraId="207DADE9" w14:textId="25ACAF7C" w:rsidR="00AB4ACD" w:rsidRPr="00CA6DBA" w:rsidRDefault="00AB4ACD" w:rsidP="00CA6DBA">
      <w:pPr>
        <w:pStyle w:val="Caption"/>
      </w:pPr>
      <w:r w:rsidRPr="00CA6DBA">
        <w:t xml:space="preserve">Table </w:t>
      </w:r>
      <w:r w:rsidRPr="00CA6DBA">
        <w:fldChar w:fldCharType="begin"/>
      </w:r>
      <w:r w:rsidRPr="00CA6DBA">
        <w:instrText xml:space="preserve"> SEQ Table \* ARABIC </w:instrText>
      </w:r>
      <w:r w:rsidRPr="00CA6DBA">
        <w:fldChar w:fldCharType="separate"/>
      </w:r>
      <w:r w:rsidR="00475597" w:rsidRPr="00CA6DBA">
        <w:t>1</w:t>
      </w:r>
      <w:r w:rsidRPr="00CA6DBA">
        <w:fldChar w:fldCharType="end"/>
      </w:r>
      <w:r w:rsidRPr="00CA6DBA">
        <w:t xml:space="preserve"> - Review Findings</w:t>
      </w:r>
    </w:p>
    <w:tbl>
      <w:tblPr>
        <w:tblStyle w:val="Style1"/>
        <w:tblW w:w="0" w:type="auto"/>
        <w:tblLook w:val="04A0" w:firstRow="1" w:lastRow="0" w:firstColumn="1" w:lastColumn="0" w:noHBand="0" w:noVBand="1"/>
        <w:tblDescription w:val="Table 1 is a list of review findings"/>
      </w:tblPr>
      <w:tblGrid>
        <w:gridCol w:w="440"/>
        <w:gridCol w:w="2816"/>
        <w:gridCol w:w="5763"/>
      </w:tblGrid>
      <w:tr w:rsidR="00113E19" w:rsidRPr="00CA6DBA" w14:paraId="744A78FD" w14:textId="77777777" w:rsidTr="00CA6DBA">
        <w:trPr>
          <w:cnfStyle w:val="100000000000" w:firstRow="1" w:lastRow="0" w:firstColumn="0" w:lastColumn="0" w:oddVBand="0" w:evenVBand="0" w:oddHBand="0" w:evenHBand="0" w:firstRowFirstColumn="0" w:firstRowLastColumn="0" w:lastRowFirstColumn="0" w:lastRowLastColumn="0"/>
          <w:tblHeader/>
        </w:trPr>
        <w:tc>
          <w:tcPr>
            <w:tcW w:w="440" w:type="dxa"/>
          </w:tcPr>
          <w:p w14:paraId="08CC1D59" w14:textId="6AC3F202" w:rsidR="00113E19" w:rsidRPr="00CA6DBA" w:rsidRDefault="00113E19" w:rsidP="00CA6DBA"/>
        </w:tc>
        <w:tc>
          <w:tcPr>
            <w:tcW w:w="2816" w:type="dxa"/>
          </w:tcPr>
          <w:p w14:paraId="06E60C56" w14:textId="7A283521" w:rsidR="00113E19" w:rsidRPr="00CA6DBA" w:rsidRDefault="00113E19" w:rsidP="00CA6DBA">
            <w:r w:rsidRPr="00CA6DBA">
              <w:t>Finding</w:t>
            </w:r>
          </w:p>
        </w:tc>
        <w:tc>
          <w:tcPr>
            <w:tcW w:w="5763" w:type="dxa"/>
          </w:tcPr>
          <w:p w14:paraId="4273ECA6" w14:textId="538148AE" w:rsidR="00113E19" w:rsidRPr="00CA6DBA" w:rsidRDefault="00113E19" w:rsidP="00CA6DBA">
            <w:r w:rsidRPr="00CA6DBA">
              <w:t>Summary</w:t>
            </w:r>
          </w:p>
        </w:tc>
      </w:tr>
      <w:tr w:rsidR="008D2E1B" w:rsidRPr="00CA6DBA" w14:paraId="51A79DED" w14:textId="77777777" w:rsidTr="00CA6DBA">
        <w:tc>
          <w:tcPr>
            <w:tcW w:w="440" w:type="dxa"/>
          </w:tcPr>
          <w:p w14:paraId="68107632" w14:textId="2F4423A0" w:rsidR="008D2E1B" w:rsidRPr="00CA6DBA" w:rsidRDefault="008D2E1B" w:rsidP="00CA6DBA">
            <w:r w:rsidRPr="00CA6DBA">
              <w:t>1</w:t>
            </w:r>
          </w:p>
        </w:tc>
        <w:tc>
          <w:tcPr>
            <w:tcW w:w="2816" w:type="dxa"/>
          </w:tcPr>
          <w:p w14:paraId="3618D01F" w14:textId="6F97BF3D" w:rsidR="00F6442C" w:rsidRPr="00CA6DBA" w:rsidRDefault="00F6442C" w:rsidP="00CA6DBA">
            <w:r w:rsidRPr="00CA6DBA">
              <w:t>Structure, focus and composition of the PLAC and its sub-committees</w:t>
            </w:r>
          </w:p>
          <w:p w14:paraId="5A9358C5" w14:textId="6159337B" w:rsidR="008D2E1B" w:rsidRPr="00CA6DBA" w:rsidRDefault="008D2E1B" w:rsidP="00CA6DBA">
            <w:r w:rsidRPr="00CA6DBA">
              <w:t>The structure, focus and composition of the PLAC</w:t>
            </w:r>
            <w:r w:rsidR="00B13F82" w:rsidRPr="00CA6DBA">
              <w:t xml:space="preserve"> and its sub-committees</w:t>
            </w:r>
            <w:r w:rsidRPr="00CA6DBA">
              <w:t xml:space="preserve"> impair its ability to fulfill its </w:t>
            </w:r>
            <w:r w:rsidR="00683A7C" w:rsidRPr="00CA6DBA">
              <w:t>purpose</w:t>
            </w:r>
            <w:r w:rsidR="00E040BE" w:rsidRPr="00CA6DBA">
              <w:t>.</w:t>
            </w:r>
          </w:p>
        </w:tc>
        <w:tc>
          <w:tcPr>
            <w:tcW w:w="5763" w:type="dxa"/>
          </w:tcPr>
          <w:p w14:paraId="047057F4" w14:textId="041115DD" w:rsidR="00D8686F" w:rsidRPr="00CA6DBA" w:rsidRDefault="005C15FD" w:rsidP="00CA6DBA">
            <w:r w:rsidRPr="00CA6DBA">
              <w:t xml:space="preserve">The PLAC and its sub-committees are supported by a complex array of both clinicians and industry stakeholders. This structure </w:t>
            </w:r>
            <w:r w:rsidR="00DB26F5" w:rsidRPr="00CA6DBA">
              <w:t>has evolved over time and has become</w:t>
            </w:r>
            <w:r w:rsidRPr="00CA6DBA">
              <w:t xml:space="preserve"> unwieldy.</w:t>
            </w:r>
          </w:p>
          <w:p w14:paraId="686B41F5" w14:textId="2A156292" w:rsidR="007A6755" w:rsidRPr="00CA6DBA" w:rsidRDefault="00241B76" w:rsidP="00CA6DBA">
            <w:r w:rsidRPr="00CA6DBA">
              <w:t>For a number of reasons, t</w:t>
            </w:r>
            <w:r w:rsidR="005C15FD" w:rsidRPr="00CA6DBA">
              <w:t>he PLAC focus</w:t>
            </w:r>
            <w:r w:rsidR="00541E5D" w:rsidRPr="00CA6DBA">
              <w:t>es</w:t>
            </w:r>
            <w:r w:rsidR="005C15FD" w:rsidRPr="00CA6DBA">
              <w:t xml:space="preserve"> on application</w:t>
            </w:r>
            <w:r w:rsidR="009F73A4" w:rsidRPr="00CA6DBA">
              <w:t>-</w:t>
            </w:r>
            <w:r w:rsidR="005C15FD" w:rsidRPr="00CA6DBA">
              <w:t xml:space="preserve">driven activity </w:t>
            </w:r>
            <w:r w:rsidR="00C7402B" w:rsidRPr="00CA6DBA">
              <w:t>and</w:t>
            </w:r>
            <w:r w:rsidRPr="00CA6DBA">
              <w:t xml:space="preserve"> less so on</w:t>
            </w:r>
            <w:r w:rsidR="005C15FD" w:rsidRPr="00CA6DBA">
              <w:t xml:space="preserve"> regular </w:t>
            </w:r>
            <w:r w:rsidR="00F83260" w:rsidRPr="00CA6DBA">
              <w:t>post</w:t>
            </w:r>
            <w:r w:rsidR="00FD0DFD" w:rsidRPr="00CA6DBA">
              <w:t xml:space="preserve">-listing </w:t>
            </w:r>
            <w:r w:rsidR="005C15FD" w:rsidRPr="00CA6DBA">
              <w:t>reviews</w:t>
            </w:r>
            <w:r w:rsidR="00673FE0" w:rsidRPr="00CA6DBA">
              <w:t xml:space="preserve"> (</w:t>
            </w:r>
            <w:proofErr w:type="gramStart"/>
            <w:r w:rsidR="00673FE0" w:rsidRPr="00CA6DBA">
              <w:t>i.e.</w:t>
            </w:r>
            <w:proofErr w:type="gramEnd"/>
            <w:r w:rsidR="00673FE0" w:rsidRPr="00CA6DBA">
              <w:t xml:space="preserve"> items already on the Prostheses List and/or their benefits)</w:t>
            </w:r>
            <w:r w:rsidR="005C15FD" w:rsidRPr="00CA6DBA">
              <w:t>.</w:t>
            </w:r>
          </w:p>
          <w:p w14:paraId="61C15A07" w14:textId="69D23298" w:rsidR="008D2E1B" w:rsidRPr="00CA6DBA" w:rsidRDefault="007A6755" w:rsidP="00CA6DBA">
            <w:r w:rsidRPr="00CA6DBA">
              <w:t xml:space="preserve">Furthermore, the composition of the PLAC to include clinical experts and </w:t>
            </w:r>
            <w:r w:rsidR="00326F55" w:rsidRPr="00CA6DBA">
              <w:t>industry representatives with vested interests means that</w:t>
            </w:r>
            <w:r w:rsidR="007A2365" w:rsidRPr="00CA6DBA">
              <w:t xml:space="preserve"> the c</w:t>
            </w:r>
            <w:r w:rsidR="00397AAD" w:rsidRPr="00CA6DBA">
              <w:t>ommittee</w:t>
            </w:r>
            <w:r w:rsidRPr="00CA6DBA">
              <w:t xml:space="preserve"> is often distracted by disputes and matters which are </w:t>
            </w:r>
            <w:r w:rsidR="00B44BC2" w:rsidRPr="00CA6DBA">
              <w:t>straightforward and/or are not expected to have a material impact on overall funding through the Prostheses List</w:t>
            </w:r>
            <w:r w:rsidRPr="00CA6DBA">
              <w:t>.</w:t>
            </w:r>
          </w:p>
        </w:tc>
      </w:tr>
      <w:tr w:rsidR="008D2E1B" w:rsidRPr="00CA6DBA" w14:paraId="6B0C8FFD" w14:textId="77777777" w:rsidTr="00CA6DBA">
        <w:tc>
          <w:tcPr>
            <w:tcW w:w="440" w:type="dxa"/>
          </w:tcPr>
          <w:p w14:paraId="13FEC6CE" w14:textId="0593E15E" w:rsidR="008D2E1B" w:rsidRPr="00CA6DBA" w:rsidRDefault="008D2E1B" w:rsidP="00CA6DBA">
            <w:r w:rsidRPr="00CA6DBA">
              <w:t>2</w:t>
            </w:r>
          </w:p>
        </w:tc>
        <w:tc>
          <w:tcPr>
            <w:tcW w:w="2816" w:type="dxa"/>
          </w:tcPr>
          <w:p w14:paraId="77E57834" w14:textId="4E81BADC" w:rsidR="00DE2CCC" w:rsidRPr="00CA6DBA" w:rsidRDefault="00DE2CCC" w:rsidP="00CA6DBA">
            <w:r w:rsidRPr="00CA6DBA">
              <w:t xml:space="preserve">Management of the </w:t>
            </w:r>
            <w:r w:rsidR="00904569" w:rsidRPr="00CA6DBA">
              <w:t xml:space="preserve">PLAC’s </w:t>
            </w:r>
            <w:r w:rsidRPr="00CA6DBA">
              <w:t xml:space="preserve">workload </w:t>
            </w:r>
          </w:p>
          <w:p w14:paraId="301D91EC" w14:textId="3FEBF34B" w:rsidR="008D2E1B" w:rsidRPr="00CA6DBA" w:rsidRDefault="001659DA" w:rsidP="00CA6DBA">
            <w:r w:rsidRPr="00CA6DBA">
              <w:t xml:space="preserve">There </w:t>
            </w:r>
            <w:r w:rsidR="004968DB" w:rsidRPr="00CA6DBA">
              <w:t xml:space="preserve">is </w:t>
            </w:r>
            <w:r w:rsidRPr="00CA6DBA">
              <w:t>a large volume of appl</w:t>
            </w:r>
            <w:r w:rsidR="004E6E69" w:rsidRPr="00CA6DBA">
              <w:t>ications, which can be lengthy and are circulated relatively close to meetings.</w:t>
            </w:r>
          </w:p>
        </w:tc>
        <w:tc>
          <w:tcPr>
            <w:tcW w:w="5763" w:type="dxa"/>
          </w:tcPr>
          <w:p w14:paraId="7973D057" w14:textId="67EE9274" w:rsidR="008D2E1B" w:rsidRPr="00CA6DBA" w:rsidRDefault="00347CD2" w:rsidP="00CA6DBA">
            <w:r w:rsidRPr="00CA6DBA">
              <w:t xml:space="preserve">Although there have been some recent improvements to the application ‘triage’ system, the PLAC is still required to consider 400 to 600 applications received by the </w:t>
            </w:r>
            <w:r w:rsidR="0018036D" w:rsidRPr="00CA6DBA">
              <w:t xml:space="preserve">Department </w:t>
            </w:r>
            <w:r w:rsidRPr="00CA6DBA">
              <w:t xml:space="preserve">per </w:t>
            </w:r>
            <w:r w:rsidR="007C2139" w:rsidRPr="00CA6DBA">
              <w:t>P</w:t>
            </w:r>
            <w:r w:rsidR="00595E47" w:rsidRPr="00CA6DBA">
              <w:t xml:space="preserve">rostheses </w:t>
            </w:r>
            <w:r w:rsidR="007C2139" w:rsidRPr="00CA6DBA">
              <w:t>L</w:t>
            </w:r>
            <w:r w:rsidR="00595E47" w:rsidRPr="00CA6DBA">
              <w:t>ist</w:t>
            </w:r>
            <w:r w:rsidR="007C2139" w:rsidRPr="00CA6DBA">
              <w:t xml:space="preserve"> round, and usually discuss in detail approximately 20</w:t>
            </w:r>
            <w:r w:rsidR="009952F7" w:rsidRPr="00CA6DBA">
              <w:t xml:space="preserve">% to </w:t>
            </w:r>
            <w:r w:rsidR="007C2139" w:rsidRPr="00CA6DBA">
              <w:t>25% of these applications</w:t>
            </w:r>
            <w:r w:rsidRPr="00CA6DBA">
              <w:t>. Documents</w:t>
            </w:r>
            <w:r w:rsidR="00B10B5F" w:rsidRPr="00CA6DBA">
              <w:t xml:space="preserve"> (including summary of the assessments)</w:t>
            </w:r>
            <w:r w:rsidRPr="00CA6DBA">
              <w:t xml:space="preserve"> </w:t>
            </w:r>
            <w:r w:rsidR="007C2139" w:rsidRPr="00CA6DBA">
              <w:t>provided to the meeting are</w:t>
            </w:r>
            <w:r w:rsidRPr="00CA6DBA">
              <w:t xml:space="preserve"> </w:t>
            </w:r>
            <w:r w:rsidR="00EF18B6" w:rsidRPr="00CA6DBA">
              <w:t>very large</w:t>
            </w:r>
            <w:r w:rsidRPr="00CA6DBA">
              <w:t xml:space="preserve">, frequently exceeding hundreds of pages. </w:t>
            </w:r>
            <w:r w:rsidR="004B69C1" w:rsidRPr="00CA6DBA">
              <w:t xml:space="preserve">Also, </w:t>
            </w:r>
            <w:r w:rsidR="00EF18B6" w:rsidRPr="00CA6DBA">
              <w:t>t</w:t>
            </w:r>
            <w:r w:rsidRPr="00CA6DBA">
              <w:t xml:space="preserve">hese documents are distributed only </w:t>
            </w:r>
            <w:r w:rsidR="00595A05" w:rsidRPr="00CA6DBA">
              <w:t>two</w:t>
            </w:r>
            <w:r w:rsidR="004515A7" w:rsidRPr="00CA6DBA">
              <w:t xml:space="preserve"> </w:t>
            </w:r>
            <w:r w:rsidRPr="00CA6DBA">
              <w:t>week</w:t>
            </w:r>
            <w:r w:rsidR="007C2139" w:rsidRPr="00CA6DBA">
              <w:t>s</w:t>
            </w:r>
            <w:r w:rsidRPr="00CA6DBA">
              <w:t xml:space="preserve"> prior to meeting, limiting the level of scrutiny available from PLAC Members.  </w:t>
            </w:r>
          </w:p>
        </w:tc>
      </w:tr>
      <w:tr w:rsidR="008D2E1B" w:rsidRPr="00CA6DBA" w14:paraId="7350725D" w14:textId="77777777" w:rsidTr="00CA6DBA">
        <w:tc>
          <w:tcPr>
            <w:tcW w:w="440" w:type="dxa"/>
          </w:tcPr>
          <w:p w14:paraId="2AD85E3F" w14:textId="0FF14A9F" w:rsidR="008D2E1B" w:rsidRPr="00CA6DBA" w:rsidRDefault="008D2E1B" w:rsidP="00CA6DBA">
            <w:r w:rsidRPr="00CA6DBA">
              <w:t>3</w:t>
            </w:r>
          </w:p>
        </w:tc>
        <w:tc>
          <w:tcPr>
            <w:tcW w:w="2816" w:type="dxa"/>
          </w:tcPr>
          <w:p w14:paraId="30C66034" w14:textId="1537B648" w:rsidR="00DE2CCC" w:rsidRPr="00CA6DBA" w:rsidRDefault="00155FB5" w:rsidP="00CA6DBA">
            <w:r w:rsidRPr="00CA6DBA">
              <w:t xml:space="preserve">Support from the </w:t>
            </w:r>
            <w:r w:rsidR="000539C3" w:rsidRPr="00CA6DBA">
              <w:t>Department</w:t>
            </w:r>
          </w:p>
          <w:p w14:paraId="49A4711A" w14:textId="67472780" w:rsidR="008D2E1B" w:rsidRPr="00CA6DBA" w:rsidRDefault="008D2E1B" w:rsidP="00CA6DBA">
            <w:r w:rsidRPr="00CA6DBA">
              <w:t xml:space="preserve">The </w:t>
            </w:r>
            <w:r w:rsidR="0018036D" w:rsidRPr="00CA6DBA">
              <w:t>Department</w:t>
            </w:r>
            <w:r w:rsidR="00F0173F" w:rsidRPr="00CA6DBA">
              <w:t xml:space="preserve"> </w:t>
            </w:r>
            <w:r w:rsidRPr="00CA6DBA">
              <w:t xml:space="preserve">is </w:t>
            </w:r>
            <w:r w:rsidR="009E1FF9" w:rsidRPr="00CA6DBA">
              <w:t xml:space="preserve">constrained in its ability </w:t>
            </w:r>
            <w:proofErr w:type="gramStart"/>
            <w:r w:rsidR="009E1FF9" w:rsidRPr="00CA6DBA">
              <w:t xml:space="preserve">to </w:t>
            </w:r>
            <w:r w:rsidRPr="00CA6DBA">
              <w:t xml:space="preserve"> provid</w:t>
            </w:r>
            <w:r w:rsidR="009E1FF9" w:rsidRPr="00CA6DBA">
              <w:t>e</w:t>
            </w:r>
            <w:proofErr w:type="gramEnd"/>
            <w:r w:rsidRPr="00CA6DBA">
              <w:t xml:space="preserve"> the necessary data and information to enable </w:t>
            </w:r>
            <w:r w:rsidR="00B10B5F" w:rsidRPr="00CA6DBA">
              <w:t xml:space="preserve">the </w:t>
            </w:r>
            <w:r w:rsidRPr="00CA6DBA">
              <w:t>PLAC to conduct its post-listing review responsibilities</w:t>
            </w:r>
            <w:r w:rsidR="007B2F1B" w:rsidRPr="00CA6DBA">
              <w:t>.</w:t>
            </w:r>
          </w:p>
        </w:tc>
        <w:tc>
          <w:tcPr>
            <w:tcW w:w="5763" w:type="dxa"/>
          </w:tcPr>
          <w:p w14:paraId="5392E7D5" w14:textId="77777777" w:rsidR="007128F8" w:rsidRPr="00CA6DBA" w:rsidRDefault="006624DB" w:rsidP="00CA6DBA">
            <w:r w:rsidRPr="00CA6DBA">
              <w:t>There are limited provisions in the legislation that support post-listing review</w:t>
            </w:r>
            <w:r w:rsidR="007128F8" w:rsidRPr="00CA6DBA">
              <w:t xml:space="preserve">s, even though it is a responsibility of the PLAC. </w:t>
            </w:r>
          </w:p>
          <w:p w14:paraId="4493C098" w14:textId="1BD75BF3" w:rsidR="008D2E1B" w:rsidRPr="00CA6DBA" w:rsidRDefault="00347CD2" w:rsidP="00CA6DBA">
            <w:r w:rsidRPr="00CA6DBA">
              <w:t xml:space="preserve">The </w:t>
            </w:r>
            <w:r w:rsidR="0018036D" w:rsidRPr="00CA6DBA">
              <w:t xml:space="preserve">Department </w:t>
            </w:r>
            <w:r w:rsidRPr="00CA6DBA">
              <w:t xml:space="preserve">has limited capability </w:t>
            </w:r>
            <w:r w:rsidR="004A2117" w:rsidRPr="00CA6DBA">
              <w:t>and</w:t>
            </w:r>
            <w:r w:rsidRPr="00CA6DBA">
              <w:t xml:space="preserve"> capacity to conduct post-listing price, </w:t>
            </w:r>
            <w:proofErr w:type="gramStart"/>
            <w:r w:rsidRPr="00CA6DBA">
              <w:t>utilisation</w:t>
            </w:r>
            <w:proofErr w:type="gramEnd"/>
            <w:r w:rsidRPr="00CA6DBA">
              <w:t xml:space="preserve"> and clinical outcome surveillance</w:t>
            </w:r>
            <w:r w:rsidR="00404FC4" w:rsidRPr="00CA6DBA">
              <w:t xml:space="preserve"> to take to the PLAC for consideration</w:t>
            </w:r>
            <w:r w:rsidRPr="00CA6DBA">
              <w:t xml:space="preserve">. This is, in part, due to the volume of applications received per PLAC Meeting, but also due to limitations associated with data availability and analytical capabilities </w:t>
            </w:r>
            <w:r w:rsidR="009E6F60" w:rsidRPr="00CA6DBA">
              <w:t xml:space="preserve">to provide PLAC with </w:t>
            </w:r>
            <w:r w:rsidR="006D2416" w:rsidRPr="00CA6DBA">
              <w:t>insights</w:t>
            </w:r>
            <w:r w:rsidRPr="00CA6DBA">
              <w:t xml:space="preserve"> on medical devices utilisation, prices and clinical outcomes.</w:t>
            </w:r>
          </w:p>
        </w:tc>
      </w:tr>
      <w:tr w:rsidR="008D2E1B" w:rsidRPr="00CA6DBA" w14:paraId="1974385B" w14:textId="77777777" w:rsidTr="00CA6DBA">
        <w:tc>
          <w:tcPr>
            <w:tcW w:w="440" w:type="dxa"/>
          </w:tcPr>
          <w:p w14:paraId="16CC3505" w14:textId="21006387" w:rsidR="008D2E1B" w:rsidRPr="00CA6DBA" w:rsidRDefault="008D2E1B" w:rsidP="00CA6DBA">
            <w:r w:rsidRPr="00CA6DBA">
              <w:t>4</w:t>
            </w:r>
          </w:p>
        </w:tc>
        <w:tc>
          <w:tcPr>
            <w:tcW w:w="2816" w:type="dxa"/>
          </w:tcPr>
          <w:p w14:paraId="2A531461" w14:textId="6818D9AB" w:rsidR="00155FB5" w:rsidRPr="00CA6DBA" w:rsidRDefault="00155FB5" w:rsidP="00CA6DBA">
            <w:r w:rsidRPr="00CA6DBA">
              <w:t xml:space="preserve">Consistency of advice from </w:t>
            </w:r>
            <w:r w:rsidR="0064376D" w:rsidRPr="00CA6DBA">
              <w:t xml:space="preserve">the </w:t>
            </w:r>
            <w:r w:rsidRPr="00CA6DBA">
              <w:t>PLAC</w:t>
            </w:r>
          </w:p>
          <w:p w14:paraId="331ACD3F" w14:textId="659EF1E1" w:rsidR="008D2E1B" w:rsidRPr="00CA6DBA" w:rsidRDefault="00AD7B05" w:rsidP="00CA6DBA">
            <w:r w:rsidRPr="00CA6DBA">
              <w:lastRenderedPageBreak/>
              <w:t xml:space="preserve">The advice provided by the </w:t>
            </w:r>
            <w:proofErr w:type="gramStart"/>
            <w:r w:rsidRPr="00CA6DBA">
              <w:t>PLAC</w:t>
            </w:r>
            <w:proofErr w:type="gramEnd"/>
            <w:r w:rsidRPr="00CA6DBA">
              <w:t xml:space="preserve"> and its sub-committees is </w:t>
            </w:r>
            <w:r w:rsidR="0077148E" w:rsidRPr="00CA6DBA">
              <w:t xml:space="preserve">not always consistent </w:t>
            </w:r>
            <w:r w:rsidRPr="00CA6DBA">
              <w:t xml:space="preserve">and </w:t>
            </w:r>
            <w:r w:rsidR="0077148E" w:rsidRPr="00CA6DBA">
              <w:t>ha</w:t>
            </w:r>
            <w:r w:rsidR="009F6F14" w:rsidRPr="00CA6DBA">
              <w:t>s</w:t>
            </w:r>
            <w:r w:rsidR="0077148E" w:rsidRPr="00CA6DBA">
              <w:t xml:space="preserve"> varied</w:t>
            </w:r>
            <w:r w:rsidRPr="00CA6DBA">
              <w:t xml:space="preserve"> in quality and content</w:t>
            </w:r>
            <w:r w:rsidR="0077148E" w:rsidRPr="00CA6DBA">
              <w:t xml:space="preserve"> at times</w:t>
            </w:r>
            <w:r w:rsidR="00E040BE" w:rsidRPr="00CA6DBA">
              <w:t>.</w:t>
            </w:r>
          </w:p>
        </w:tc>
        <w:tc>
          <w:tcPr>
            <w:tcW w:w="5763" w:type="dxa"/>
          </w:tcPr>
          <w:p w14:paraId="650A7D5C" w14:textId="5D1A4AC0" w:rsidR="00354A9C" w:rsidRPr="00CA6DBA" w:rsidRDefault="003845ED" w:rsidP="00CA6DBA">
            <w:r w:rsidRPr="00CA6DBA">
              <w:lastRenderedPageBreak/>
              <w:t>Although there is relevant documentation, including prior decisions made by the PLAC (‘precedent’), relating to the PLAC’s</w:t>
            </w:r>
            <w:r w:rsidR="00E040BE" w:rsidRPr="00CA6DBA">
              <w:t xml:space="preserve"> advice and recommendations</w:t>
            </w:r>
            <w:r w:rsidRPr="00CA6DBA">
              <w:t xml:space="preserve">, </w:t>
            </w:r>
            <w:r w:rsidR="0077148E" w:rsidRPr="00CA6DBA">
              <w:t xml:space="preserve">the rationale for some decisions made in the past </w:t>
            </w:r>
            <w:r w:rsidRPr="00CA6DBA">
              <w:t xml:space="preserve">is </w:t>
            </w:r>
            <w:r w:rsidR="0077148E" w:rsidRPr="00CA6DBA">
              <w:t>not always clear</w:t>
            </w:r>
            <w:r w:rsidRPr="00CA6DBA">
              <w:t xml:space="preserve">. </w:t>
            </w:r>
            <w:r w:rsidR="00354A9C" w:rsidRPr="00CA6DBA">
              <w:lastRenderedPageBreak/>
              <w:t xml:space="preserve">The </w:t>
            </w:r>
            <w:r w:rsidR="00F064FA" w:rsidRPr="00CA6DBA">
              <w:t>Technology Assessment and Access Division</w:t>
            </w:r>
            <w:r w:rsidR="00F064FA" w:rsidRPr="00CA6DBA" w:rsidDel="00B96B4D">
              <w:t xml:space="preserve"> </w:t>
            </w:r>
            <w:r w:rsidR="00F064FA" w:rsidRPr="00CA6DBA">
              <w:t>(</w:t>
            </w:r>
            <w:r w:rsidR="00B96B4D" w:rsidRPr="00CA6DBA">
              <w:t>TAAD</w:t>
            </w:r>
            <w:r w:rsidR="00F064FA" w:rsidRPr="00CA6DBA">
              <w:t>)</w:t>
            </w:r>
            <w:r w:rsidR="00B96B4D" w:rsidRPr="00CA6DBA">
              <w:t xml:space="preserve"> </w:t>
            </w:r>
            <w:r w:rsidR="00354A9C" w:rsidRPr="00CA6DBA">
              <w:t>is</w:t>
            </w:r>
            <w:r w:rsidR="00B2340B" w:rsidRPr="00CA6DBA">
              <w:t xml:space="preserve"> currently</w:t>
            </w:r>
            <w:r w:rsidR="00354A9C" w:rsidRPr="00CA6DBA">
              <w:t xml:space="preserve"> responsible for</w:t>
            </w:r>
            <w:r w:rsidR="00080428" w:rsidRPr="00CA6DBA">
              <w:t xml:space="preserve"> the </w:t>
            </w:r>
            <w:r w:rsidR="00354A9C" w:rsidRPr="00CA6DBA">
              <w:t>administration of the PLAC.</w:t>
            </w:r>
          </w:p>
          <w:p w14:paraId="2640A7DB" w14:textId="681C15CB" w:rsidR="008D2E1B" w:rsidRPr="00CA6DBA" w:rsidRDefault="003845ED" w:rsidP="00CA6DBA">
            <w:r w:rsidRPr="00CA6DBA">
              <w:t xml:space="preserve">The PLAC and its sub-committees would benefit from improved documentation and greater clarity </w:t>
            </w:r>
            <w:r w:rsidR="000F78A3" w:rsidRPr="00CA6DBA">
              <w:t>regarding</w:t>
            </w:r>
            <w:r w:rsidRPr="00CA6DBA">
              <w:t xml:space="preserve"> the criteria used to formulate advice on protheses listing, benefit setting, utilisation review and benefit review.</w:t>
            </w:r>
            <w:r w:rsidR="005B1D38" w:rsidRPr="00CA6DBA" w:rsidDel="005B1D38">
              <w:t xml:space="preserve"> </w:t>
            </w:r>
          </w:p>
        </w:tc>
      </w:tr>
      <w:tr w:rsidR="008D2E1B" w:rsidRPr="00CA6DBA" w14:paraId="4FE32FD0" w14:textId="77777777" w:rsidTr="00CA6DBA">
        <w:trPr>
          <w:trHeight w:val="2179"/>
        </w:trPr>
        <w:tc>
          <w:tcPr>
            <w:tcW w:w="440" w:type="dxa"/>
          </w:tcPr>
          <w:p w14:paraId="64E08714" w14:textId="34E76E71" w:rsidR="008D2E1B" w:rsidRPr="00CA6DBA" w:rsidRDefault="008D2E1B" w:rsidP="00CA6DBA">
            <w:r w:rsidRPr="00CA6DBA">
              <w:lastRenderedPageBreak/>
              <w:t>5</w:t>
            </w:r>
          </w:p>
        </w:tc>
        <w:tc>
          <w:tcPr>
            <w:tcW w:w="2816" w:type="dxa"/>
          </w:tcPr>
          <w:p w14:paraId="0A3BC640" w14:textId="32313F2C" w:rsidR="008F100B" w:rsidRPr="00CA6DBA" w:rsidRDefault="008F100B" w:rsidP="00CA6DBA">
            <w:bookmarkStart w:id="10" w:name="_Hlk83111609"/>
            <w:r w:rsidRPr="00CA6DBA">
              <w:t xml:space="preserve">Relationship </w:t>
            </w:r>
            <w:bookmarkEnd w:id="10"/>
            <w:r w:rsidRPr="00CA6DBA">
              <w:t>with the MSAC, the PBAC, the TGA and IHPA</w:t>
            </w:r>
          </w:p>
          <w:p w14:paraId="14AAEBD3" w14:textId="0F4A04C1" w:rsidR="008D2E1B" w:rsidRPr="00CA6DBA" w:rsidRDefault="00AD7B05" w:rsidP="00CA6DBA">
            <w:r w:rsidRPr="00CA6DBA">
              <w:t xml:space="preserve">The PLAC </w:t>
            </w:r>
            <w:r w:rsidR="004005E8" w:rsidRPr="00CA6DBA">
              <w:t>does not maintain strong</w:t>
            </w:r>
            <w:r w:rsidRPr="00CA6DBA">
              <w:t xml:space="preserve"> relationships with other HTA committees</w:t>
            </w:r>
            <w:r w:rsidR="00C82273" w:rsidRPr="00CA6DBA">
              <w:t>.</w:t>
            </w:r>
          </w:p>
        </w:tc>
        <w:tc>
          <w:tcPr>
            <w:tcW w:w="5763" w:type="dxa"/>
          </w:tcPr>
          <w:p w14:paraId="77534ECE" w14:textId="5F41863B" w:rsidR="003845ED" w:rsidRPr="00CA6DBA" w:rsidRDefault="003845ED" w:rsidP="00CA6DBA">
            <w:r w:rsidRPr="00CA6DBA">
              <w:t>The PLAC</w:t>
            </w:r>
            <w:r w:rsidR="00E040BE" w:rsidRPr="00CA6DBA">
              <w:t xml:space="preserve"> maintains diverse views on</w:t>
            </w:r>
            <w:r w:rsidRPr="00CA6DBA">
              <w:t xml:space="preserve"> </w:t>
            </w:r>
            <w:r w:rsidR="00E040BE" w:rsidRPr="00CA6DBA">
              <w:t xml:space="preserve">the </w:t>
            </w:r>
            <w:r w:rsidRPr="00CA6DBA">
              <w:t xml:space="preserve">perceived mandate, </w:t>
            </w:r>
            <w:proofErr w:type="gramStart"/>
            <w:r w:rsidRPr="00CA6DBA">
              <w:t>function</w:t>
            </w:r>
            <w:proofErr w:type="gramEnd"/>
            <w:r w:rsidRPr="00CA6DBA">
              <w:t xml:space="preserve"> and responsibilities</w:t>
            </w:r>
            <w:r w:rsidR="00E040BE" w:rsidRPr="00CA6DBA">
              <w:t xml:space="preserve"> of other HTA committees</w:t>
            </w:r>
            <w:r w:rsidRPr="00CA6DBA">
              <w:t xml:space="preserve">. </w:t>
            </w:r>
            <w:r w:rsidR="00836E3F" w:rsidRPr="00CA6DBA">
              <w:t>The</w:t>
            </w:r>
            <w:r w:rsidRPr="00CA6DBA">
              <w:t xml:space="preserve"> PLAC does not maintain strong relationships with other HTA committees</w:t>
            </w:r>
            <w:r w:rsidR="00E040BE" w:rsidRPr="00CA6DBA">
              <w:t>. Furthermore, these committees</w:t>
            </w:r>
            <w:r w:rsidRPr="00CA6DBA">
              <w:t xml:space="preserve"> </w:t>
            </w:r>
            <w:r w:rsidR="00E040BE" w:rsidRPr="00CA6DBA">
              <w:t xml:space="preserve">do not frequently </w:t>
            </w:r>
            <w:r w:rsidRPr="00CA6DBA">
              <w:t xml:space="preserve">leverage expert skills </w:t>
            </w:r>
            <w:r w:rsidR="00E040BE" w:rsidRPr="00CA6DBA">
              <w:t>from one another</w:t>
            </w:r>
            <w:r w:rsidRPr="00CA6DBA">
              <w:t xml:space="preserve">. This is also relevant to the PLAC’s relationships with the TGA.  </w:t>
            </w:r>
          </w:p>
          <w:p w14:paraId="7C25C428" w14:textId="6491BC22" w:rsidR="008D2E1B" w:rsidRPr="00CA6DBA" w:rsidRDefault="003845ED" w:rsidP="00CA6DBA">
            <w:r w:rsidRPr="00CA6DBA">
              <w:t xml:space="preserve">Further, the PLAC currently has limited awareness and understanding of </w:t>
            </w:r>
            <w:r w:rsidR="006E2A5D" w:rsidRPr="00CA6DBA">
              <w:t>the role IHPA will have in the reforms, and how it will impact on their work</w:t>
            </w:r>
            <w:r w:rsidRPr="00CA6DBA">
              <w:t>.</w:t>
            </w:r>
          </w:p>
        </w:tc>
      </w:tr>
    </w:tbl>
    <w:p w14:paraId="7FE33F4B" w14:textId="45EB41C9" w:rsidR="00295841" w:rsidRPr="00D2484E" w:rsidRDefault="001044CC" w:rsidP="00510194">
      <w:pPr>
        <w:pStyle w:val="EYHeading3"/>
      </w:pPr>
      <w:r w:rsidRPr="00D2484E">
        <w:t xml:space="preserve">Potential </w:t>
      </w:r>
      <w:r w:rsidR="001B0628" w:rsidRPr="00D2484E">
        <w:t>options</w:t>
      </w:r>
    </w:p>
    <w:p w14:paraId="58F77258" w14:textId="5126F6CC" w:rsidR="00E13825" w:rsidRPr="005A2F16" w:rsidRDefault="001B0628" w:rsidP="005A2F16">
      <w:r w:rsidRPr="005A2F16">
        <w:t xml:space="preserve">A </w:t>
      </w:r>
      <w:r w:rsidR="003E249A" w:rsidRPr="005A2F16">
        <w:t xml:space="preserve">high-level </w:t>
      </w:r>
      <w:r w:rsidR="00BF5776" w:rsidRPr="005A2F16">
        <w:t xml:space="preserve">set of </w:t>
      </w:r>
      <w:r w:rsidR="003E249A" w:rsidRPr="005A2F16">
        <w:t xml:space="preserve">potential </w:t>
      </w:r>
      <w:r w:rsidRPr="005A2F16">
        <w:t xml:space="preserve">options </w:t>
      </w:r>
      <w:r w:rsidR="00AB2A46" w:rsidRPr="005A2F16">
        <w:t xml:space="preserve">have been </w:t>
      </w:r>
      <w:r w:rsidR="008510BA" w:rsidRPr="005A2F16">
        <w:t>identified as being available for the</w:t>
      </w:r>
      <w:r w:rsidR="00AB2A46" w:rsidRPr="005A2F16">
        <w:t xml:space="preserve"> Department’s consideration</w:t>
      </w:r>
      <w:r w:rsidR="008510BA" w:rsidRPr="005A2F16">
        <w:t xml:space="preserve">. </w:t>
      </w:r>
      <w:r w:rsidR="00FF4673" w:rsidRPr="005A2F16">
        <w:t xml:space="preserve">These </w:t>
      </w:r>
      <w:r w:rsidRPr="005A2F16">
        <w:t xml:space="preserve">options </w:t>
      </w:r>
      <w:r w:rsidR="00160625" w:rsidRPr="005A2F16">
        <w:t>are</w:t>
      </w:r>
      <w:r w:rsidR="00AB4ACD" w:rsidRPr="005A2F16">
        <w:t xml:space="preserve"> outlined in </w:t>
      </w:r>
      <w:r w:rsidR="00B013FD" w:rsidRPr="005A2F16">
        <w:fldChar w:fldCharType="begin"/>
      </w:r>
      <w:r w:rsidR="00B013FD" w:rsidRPr="005A2F16">
        <w:instrText xml:space="preserve"> REF _Ref77330895 \h </w:instrText>
      </w:r>
      <w:r w:rsidR="00502294" w:rsidRPr="005A2F16">
        <w:instrText xml:space="preserve"> \* MERGEFORMAT </w:instrText>
      </w:r>
      <w:r w:rsidR="00B013FD" w:rsidRPr="005A2F16">
        <w:fldChar w:fldCharType="separate"/>
      </w:r>
      <w:r w:rsidR="00475597" w:rsidRPr="005A2F16">
        <w:t>Table 2</w:t>
      </w:r>
      <w:r w:rsidR="00B013FD" w:rsidRPr="005A2F16">
        <w:fldChar w:fldCharType="end"/>
      </w:r>
      <w:r w:rsidR="00BF5776" w:rsidRPr="005A2F16">
        <w:t xml:space="preserve"> below. The findings of the review are then used to justify the preferred </w:t>
      </w:r>
      <w:r w:rsidRPr="005A2F16">
        <w:t>o</w:t>
      </w:r>
      <w:r w:rsidR="00BF5776" w:rsidRPr="005A2F16">
        <w:t>ption</w:t>
      </w:r>
      <w:r w:rsidR="0083600C" w:rsidRPr="005A2F16">
        <w:t xml:space="preserve">, which is Option 3, </w:t>
      </w:r>
      <w:r w:rsidR="00BF5776" w:rsidRPr="005A2F16">
        <w:t>in Section</w:t>
      </w:r>
      <w:r w:rsidR="001044CC" w:rsidRPr="005A2F16">
        <w:t xml:space="preserve"> </w:t>
      </w:r>
      <w:r w:rsidR="001044CC" w:rsidRPr="005A2F16">
        <w:fldChar w:fldCharType="begin"/>
      </w:r>
      <w:r w:rsidR="001044CC" w:rsidRPr="005A2F16">
        <w:instrText xml:space="preserve"> REF _Ref116049109 \r \h </w:instrText>
      </w:r>
      <w:r w:rsidR="00DD5AA5" w:rsidRPr="005A2F16">
        <w:instrText xml:space="preserve"> \* MERGEFORMAT </w:instrText>
      </w:r>
      <w:r w:rsidR="001044CC" w:rsidRPr="005A2F16">
        <w:fldChar w:fldCharType="separate"/>
      </w:r>
      <w:r w:rsidR="00475597" w:rsidRPr="005A2F16">
        <w:t>1.2.3</w:t>
      </w:r>
      <w:r w:rsidR="001044CC" w:rsidRPr="005A2F16">
        <w:fldChar w:fldCharType="end"/>
      </w:r>
      <w:r w:rsidR="001044CC" w:rsidRPr="005A2F16">
        <w:t>.</w:t>
      </w:r>
    </w:p>
    <w:p w14:paraId="701CD63A" w14:textId="0F6D7D26" w:rsidR="00AB4ACD" w:rsidRPr="00CA6DBA" w:rsidRDefault="00AB4ACD" w:rsidP="00CA6DBA">
      <w:pPr>
        <w:pStyle w:val="Caption"/>
      </w:pPr>
      <w:bookmarkStart w:id="11" w:name="_Ref77330895"/>
      <w:r w:rsidRPr="00CA6DBA">
        <w:t xml:space="preserve">Table </w:t>
      </w:r>
      <w:r w:rsidRPr="00CA6DBA">
        <w:fldChar w:fldCharType="begin"/>
      </w:r>
      <w:r w:rsidRPr="00CA6DBA">
        <w:instrText xml:space="preserve"> SEQ Table \* ARABIC </w:instrText>
      </w:r>
      <w:r w:rsidRPr="00CA6DBA">
        <w:fldChar w:fldCharType="separate"/>
      </w:r>
      <w:r w:rsidR="00475597" w:rsidRPr="00CA6DBA">
        <w:t>2</w:t>
      </w:r>
      <w:r w:rsidRPr="00CA6DBA">
        <w:fldChar w:fldCharType="end"/>
      </w:r>
      <w:bookmarkEnd w:id="11"/>
      <w:r w:rsidRPr="00CA6DBA">
        <w:t xml:space="preserve"> - Review Options</w:t>
      </w:r>
    </w:p>
    <w:tbl>
      <w:tblPr>
        <w:tblStyle w:val="Style1"/>
        <w:tblW w:w="0" w:type="auto"/>
        <w:tblLook w:val="04A0" w:firstRow="1" w:lastRow="0" w:firstColumn="1" w:lastColumn="0" w:noHBand="0" w:noVBand="1"/>
        <w:tblDescription w:val="Table 2 is a list of review options"/>
      </w:tblPr>
      <w:tblGrid>
        <w:gridCol w:w="465"/>
        <w:gridCol w:w="4208"/>
        <w:gridCol w:w="4346"/>
      </w:tblGrid>
      <w:tr w:rsidR="00233C99" w:rsidRPr="00CA6DBA" w14:paraId="7A68D23D" w14:textId="77777777" w:rsidTr="00CA6DBA">
        <w:trPr>
          <w:cnfStyle w:val="100000000000" w:firstRow="1" w:lastRow="0" w:firstColumn="0" w:lastColumn="0" w:oddVBand="0" w:evenVBand="0" w:oddHBand="0" w:evenHBand="0" w:firstRowFirstColumn="0" w:firstRowLastColumn="0" w:lastRowFirstColumn="0" w:lastRowLastColumn="0"/>
          <w:tblHeader/>
        </w:trPr>
        <w:tc>
          <w:tcPr>
            <w:tcW w:w="465" w:type="dxa"/>
          </w:tcPr>
          <w:p w14:paraId="1BCD2DF9" w14:textId="26B1493C" w:rsidR="00233C99" w:rsidRPr="00CA6DBA" w:rsidRDefault="00233C99" w:rsidP="00CA6DBA"/>
        </w:tc>
        <w:tc>
          <w:tcPr>
            <w:tcW w:w="4208" w:type="dxa"/>
          </w:tcPr>
          <w:p w14:paraId="48DA5C73" w14:textId="7A5344E1" w:rsidR="00233C99" w:rsidRPr="00CA6DBA" w:rsidRDefault="00233C99" w:rsidP="00CA6DBA">
            <w:r w:rsidRPr="00CA6DBA">
              <w:t>Option</w:t>
            </w:r>
          </w:p>
        </w:tc>
        <w:tc>
          <w:tcPr>
            <w:tcW w:w="4346" w:type="dxa"/>
          </w:tcPr>
          <w:p w14:paraId="7C19874F" w14:textId="1F58FB63" w:rsidR="00233C99" w:rsidRPr="00CA6DBA" w:rsidRDefault="00233C99" w:rsidP="00CA6DBA">
            <w:r w:rsidRPr="00CA6DBA">
              <w:t xml:space="preserve">Remarks </w:t>
            </w:r>
          </w:p>
        </w:tc>
      </w:tr>
      <w:tr w:rsidR="00683A7C" w:rsidRPr="00CA6DBA" w14:paraId="26C7E377" w14:textId="77777777" w:rsidTr="00CA6DBA">
        <w:tc>
          <w:tcPr>
            <w:tcW w:w="465" w:type="dxa"/>
          </w:tcPr>
          <w:p w14:paraId="225667C5" w14:textId="77B1C4EB" w:rsidR="00683A7C" w:rsidRPr="00CA6DBA" w:rsidRDefault="00683A7C" w:rsidP="00CA6DBA">
            <w:r w:rsidRPr="00CA6DBA">
              <w:t>1</w:t>
            </w:r>
          </w:p>
        </w:tc>
        <w:tc>
          <w:tcPr>
            <w:tcW w:w="4208" w:type="dxa"/>
          </w:tcPr>
          <w:p w14:paraId="67D7C2E9" w14:textId="77B1A587" w:rsidR="00683A7C" w:rsidRPr="00CA6DBA" w:rsidRDefault="00683A7C" w:rsidP="00CA6DBA">
            <w:r w:rsidRPr="00CA6DBA">
              <w:t xml:space="preserve">Retain the PLAC in its current form, </w:t>
            </w:r>
            <w:proofErr w:type="gramStart"/>
            <w:r w:rsidRPr="00CA6DBA">
              <w:t>function</w:t>
            </w:r>
            <w:proofErr w:type="gramEnd"/>
            <w:r w:rsidRPr="00CA6DBA">
              <w:t xml:space="preserve"> and membership</w:t>
            </w:r>
            <w:r w:rsidR="00444B68" w:rsidRPr="00CA6DBA">
              <w:t>.</w:t>
            </w:r>
          </w:p>
        </w:tc>
        <w:tc>
          <w:tcPr>
            <w:tcW w:w="4346" w:type="dxa"/>
          </w:tcPr>
          <w:p w14:paraId="73FD6553" w14:textId="033FAC8B" w:rsidR="00683A7C" w:rsidRPr="00CA6DBA" w:rsidRDefault="00D9415E" w:rsidP="00CA6DBA">
            <w:r w:rsidRPr="00CA6DBA">
              <w:t>Although t</w:t>
            </w:r>
            <w:r w:rsidR="003D537B" w:rsidRPr="00CA6DBA">
              <w:t>h</w:t>
            </w:r>
            <w:r w:rsidR="00683A7C" w:rsidRPr="00CA6DBA">
              <w:t xml:space="preserve">is </w:t>
            </w:r>
            <w:r w:rsidR="003E249A" w:rsidRPr="00CA6DBA">
              <w:t xml:space="preserve">potential </w:t>
            </w:r>
            <w:r w:rsidR="001B0628" w:rsidRPr="00CA6DBA">
              <w:t xml:space="preserve">option </w:t>
            </w:r>
            <w:r w:rsidR="00683A7C" w:rsidRPr="00CA6DBA">
              <w:t xml:space="preserve">is the least disruptive, </w:t>
            </w:r>
            <w:r w:rsidR="00532860" w:rsidRPr="00CA6DBA">
              <w:t xml:space="preserve">the </w:t>
            </w:r>
            <w:r w:rsidR="00683A7C" w:rsidRPr="00CA6DBA">
              <w:t xml:space="preserve">issues identified in this </w:t>
            </w:r>
            <w:r w:rsidR="00AC2EC6" w:rsidRPr="00CA6DBA">
              <w:t>R</w:t>
            </w:r>
            <w:r w:rsidR="00683A7C" w:rsidRPr="00CA6DBA">
              <w:t>eview w</w:t>
            </w:r>
            <w:r w:rsidR="00532860" w:rsidRPr="00CA6DBA">
              <w:t>ould</w:t>
            </w:r>
            <w:r w:rsidR="00683A7C" w:rsidRPr="00CA6DBA">
              <w:t xml:space="preserve"> continue to persist.  </w:t>
            </w:r>
          </w:p>
          <w:p w14:paraId="5B5D5662" w14:textId="097CBE7F" w:rsidR="00683A7C" w:rsidRPr="00CA6DBA" w:rsidRDefault="00683A7C" w:rsidP="00CA6DBA">
            <w:r w:rsidRPr="00CA6DBA">
              <w:t xml:space="preserve">The Department would need to </w:t>
            </w:r>
            <w:r w:rsidR="00D85042" w:rsidRPr="00CA6DBA">
              <w:t>take</w:t>
            </w:r>
            <w:r w:rsidR="003A35ED" w:rsidRPr="00CA6DBA">
              <w:t xml:space="preserve"> </w:t>
            </w:r>
            <w:r w:rsidR="00AE33CD" w:rsidRPr="00CA6DBA">
              <w:t>into</w:t>
            </w:r>
            <w:r w:rsidR="003A35ED" w:rsidRPr="00CA6DBA">
              <w:t xml:space="preserve"> </w:t>
            </w:r>
            <w:r w:rsidRPr="00CA6DBA">
              <w:t>consideration how an unchanged PLAC may meet the overall intent of the Prostheses List Reform</w:t>
            </w:r>
            <w:r w:rsidR="00444B68" w:rsidRPr="00CA6DBA">
              <w:t>s</w:t>
            </w:r>
            <w:r w:rsidR="00C81D46" w:rsidRPr="00CA6DBA">
              <w:t>.</w:t>
            </w:r>
            <w:r w:rsidRPr="00CA6DBA">
              <w:t xml:space="preserve"> </w:t>
            </w:r>
          </w:p>
        </w:tc>
      </w:tr>
      <w:tr w:rsidR="00683A7C" w:rsidRPr="00CA6DBA" w14:paraId="18473CF5" w14:textId="77777777" w:rsidTr="00CA6DBA">
        <w:tc>
          <w:tcPr>
            <w:tcW w:w="465" w:type="dxa"/>
          </w:tcPr>
          <w:p w14:paraId="5D6E1B5A" w14:textId="1797684F" w:rsidR="00683A7C" w:rsidRPr="00CA6DBA" w:rsidRDefault="00683A7C" w:rsidP="00CA6DBA">
            <w:r w:rsidRPr="00CA6DBA">
              <w:t>2</w:t>
            </w:r>
          </w:p>
        </w:tc>
        <w:tc>
          <w:tcPr>
            <w:tcW w:w="4208" w:type="dxa"/>
          </w:tcPr>
          <w:p w14:paraId="641C44B4" w14:textId="353BEFB2" w:rsidR="00683A7C" w:rsidRPr="00CA6DBA" w:rsidRDefault="00683A7C" w:rsidP="00CA6DBA">
            <w:r w:rsidRPr="00CA6DBA">
              <w:t xml:space="preserve">Abolish the PLAC and have the CAGs and Panel of Clinical Experts report directly </w:t>
            </w:r>
            <w:r w:rsidR="00AC5519" w:rsidRPr="00CA6DBA">
              <w:t xml:space="preserve">to the relevant area of the Department </w:t>
            </w:r>
            <w:r w:rsidRPr="00CA6DBA">
              <w:t>who will advise the Minister on the listing and/or setting of benefits for medical devices.</w:t>
            </w:r>
          </w:p>
        </w:tc>
        <w:tc>
          <w:tcPr>
            <w:tcW w:w="4346" w:type="dxa"/>
          </w:tcPr>
          <w:p w14:paraId="2B8494A5" w14:textId="3CCAFA4E" w:rsidR="00683A7C" w:rsidRPr="00CA6DBA" w:rsidRDefault="00683A7C" w:rsidP="00CA6DBA">
            <w:r w:rsidRPr="00CA6DBA">
              <w:t xml:space="preserve">This </w:t>
            </w:r>
            <w:r w:rsidR="001B0628" w:rsidRPr="00CA6DBA">
              <w:t xml:space="preserve">option </w:t>
            </w:r>
            <w:r w:rsidRPr="00CA6DBA">
              <w:t xml:space="preserve">removes the PLAC as an oversight </w:t>
            </w:r>
            <w:proofErr w:type="gramStart"/>
            <w:r w:rsidRPr="00CA6DBA">
              <w:t>body, but</w:t>
            </w:r>
            <w:proofErr w:type="gramEnd"/>
            <w:r w:rsidRPr="00CA6DBA">
              <w:t xml:space="preserve"> enables the </w:t>
            </w:r>
            <w:r w:rsidR="00FE00B6" w:rsidRPr="00CA6DBA">
              <w:t>Department</w:t>
            </w:r>
            <w:r w:rsidR="00AC5519" w:rsidRPr="00CA6DBA">
              <w:t xml:space="preserve"> </w:t>
            </w:r>
            <w:r w:rsidRPr="00CA6DBA">
              <w:t>to maintain</w:t>
            </w:r>
            <w:r w:rsidR="00F84AC9" w:rsidRPr="00CA6DBA">
              <w:t xml:space="preserve"> clinical </w:t>
            </w:r>
            <w:r w:rsidR="00ED26E1" w:rsidRPr="00CA6DBA">
              <w:t xml:space="preserve">advisors and </w:t>
            </w:r>
            <w:r w:rsidR="00F84AC9" w:rsidRPr="00CA6DBA">
              <w:t>expertise</w:t>
            </w:r>
            <w:r w:rsidR="00781B92" w:rsidRPr="00CA6DBA">
              <w:t xml:space="preserve"> through the existing CAGs and the Panel of Clinical Experts</w:t>
            </w:r>
            <w:r w:rsidR="00ED26E1" w:rsidRPr="00CA6DBA">
              <w:t xml:space="preserve">. </w:t>
            </w:r>
            <w:r w:rsidR="004335BF" w:rsidRPr="00CA6DBA">
              <w:t xml:space="preserve">The </w:t>
            </w:r>
            <w:r w:rsidR="002B74A9" w:rsidRPr="00CA6DBA">
              <w:t>Department</w:t>
            </w:r>
            <w:r w:rsidR="00CA5C19" w:rsidRPr="00CA6DBA">
              <w:t xml:space="preserve"> </w:t>
            </w:r>
            <w:r w:rsidR="004335BF" w:rsidRPr="00CA6DBA">
              <w:t xml:space="preserve">would require resourcing </w:t>
            </w:r>
            <w:r w:rsidR="00C36433" w:rsidRPr="00CA6DBA">
              <w:t xml:space="preserve">and capability </w:t>
            </w:r>
            <w:r w:rsidR="004B1945" w:rsidRPr="00CA6DBA">
              <w:t xml:space="preserve">to </w:t>
            </w:r>
            <w:r w:rsidR="007D38DC" w:rsidRPr="00CA6DBA">
              <w:t>absorb the PLAC’s function</w:t>
            </w:r>
            <w:r w:rsidR="00D0592E" w:rsidRPr="00CA6DBA">
              <w:t xml:space="preserve">s. Maintenance of the CAGs </w:t>
            </w:r>
            <w:r w:rsidR="007603E2" w:rsidRPr="00CA6DBA">
              <w:t xml:space="preserve">and Panel </w:t>
            </w:r>
            <w:r w:rsidR="00D0592E" w:rsidRPr="00CA6DBA">
              <w:t xml:space="preserve">would </w:t>
            </w:r>
            <w:r w:rsidR="007603E2" w:rsidRPr="00CA6DBA">
              <w:t xml:space="preserve">continue to pose an administrative burden upon the </w:t>
            </w:r>
            <w:r w:rsidR="005F03A6" w:rsidRPr="00CA6DBA">
              <w:t>Department</w:t>
            </w:r>
            <w:r w:rsidR="006F170D" w:rsidRPr="00CA6DBA">
              <w:t xml:space="preserve"> </w:t>
            </w:r>
            <w:r w:rsidR="0072077E" w:rsidRPr="00CA6DBA">
              <w:t>and any issues pertaining to the membership of those</w:t>
            </w:r>
            <w:r w:rsidR="00AF5969" w:rsidRPr="00CA6DBA">
              <w:t xml:space="preserve"> bodies would continue</w:t>
            </w:r>
            <w:r w:rsidR="007603E2" w:rsidRPr="00CA6DBA">
              <w:t xml:space="preserve">. </w:t>
            </w:r>
            <w:r w:rsidR="007D38DC" w:rsidRPr="00CA6DBA">
              <w:t xml:space="preserve"> </w:t>
            </w:r>
          </w:p>
        </w:tc>
      </w:tr>
      <w:tr w:rsidR="00683A7C" w:rsidRPr="00CA6DBA" w14:paraId="5D13F28B" w14:textId="77777777" w:rsidTr="00CA6DBA">
        <w:tc>
          <w:tcPr>
            <w:tcW w:w="465" w:type="dxa"/>
          </w:tcPr>
          <w:p w14:paraId="7FFA53A0" w14:textId="23EF3154" w:rsidR="00683A7C" w:rsidRPr="00CA6DBA" w:rsidRDefault="00683A7C" w:rsidP="00CA6DBA">
            <w:r w:rsidRPr="00CA6DBA">
              <w:lastRenderedPageBreak/>
              <w:t>3</w:t>
            </w:r>
          </w:p>
        </w:tc>
        <w:tc>
          <w:tcPr>
            <w:tcW w:w="4208" w:type="dxa"/>
          </w:tcPr>
          <w:p w14:paraId="38A7CB4C" w14:textId="79397753" w:rsidR="00683A7C" w:rsidRPr="00CA6DBA" w:rsidRDefault="00683A7C" w:rsidP="00CA6DBA">
            <w:r w:rsidRPr="00CA6DBA">
              <w:t xml:space="preserve">Divide the PLAC’s functions between a peak </w:t>
            </w:r>
            <w:r w:rsidR="00014241" w:rsidRPr="00CA6DBA">
              <w:t xml:space="preserve">clinical </w:t>
            </w:r>
            <w:r w:rsidRPr="00CA6DBA">
              <w:t xml:space="preserve">decision-making body (Prostheses </w:t>
            </w:r>
            <w:r w:rsidR="009D34BA" w:rsidRPr="00CA6DBA">
              <w:t xml:space="preserve">List </w:t>
            </w:r>
            <w:r w:rsidRPr="00CA6DBA">
              <w:t>Clinical Advisory Committee</w:t>
            </w:r>
            <w:r w:rsidR="00564966" w:rsidRPr="00CA6DBA">
              <w:t>,</w:t>
            </w:r>
            <w:r w:rsidRPr="00CA6DBA">
              <w:t xml:space="preserve"> or P</w:t>
            </w:r>
            <w:r w:rsidR="009D34BA" w:rsidRPr="00CA6DBA">
              <w:t>L</w:t>
            </w:r>
            <w:r w:rsidRPr="00CA6DBA">
              <w:t xml:space="preserve">CAC) and a stakeholder discussion body (Prostheses </w:t>
            </w:r>
            <w:r w:rsidR="009D34BA" w:rsidRPr="00CA6DBA">
              <w:t xml:space="preserve">List </w:t>
            </w:r>
            <w:r w:rsidRPr="00CA6DBA">
              <w:t>Industry Working Group, or P</w:t>
            </w:r>
            <w:r w:rsidR="009D34BA" w:rsidRPr="00CA6DBA">
              <w:t>L</w:t>
            </w:r>
            <w:r w:rsidRPr="00CA6DBA">
              <w:t>IWG)</w:t>
            </w:r>
            <w:r w:rsidR="006157E9" w:rsidRPr="00CA6DBA">
              <w:t>.</w:t>
            </w:r>
          </w:p>
          <w:p w14:paraId="41670C0C" w14:textId="51F169D0" w:rsidR="00683A7C" w:rsidRPr="00CA6DBA" w:rsidRDefault="00B3733E" w:rsidP="00CA6DBA">
            <w:r w:rsidRPr="00CA6DBA">
              <w:t>Abolish the CAGs and e</w:t>
            </w:r>
            <w:r w:rsidR="003E252E" w:rsidRPr="00CA6DBA">
              <w:t>stablish a</w:t>
            </w:r>
            <w:r w:rsidR="006A0A6B" w:rsidRPr="00CA6DBA">
              <w:t xml:space="preserve">n additional expert panel to provide specific </w:t>
            </w:r>
            <w:r w:rsidR="00A83C4B" w:rsidRPr="00CA6DBA">
              <w:t>expertise as required (</w:t>
            </w:r>
            <w:r w:rsidR="00DE46C4" w:rsidRPr="00CA6DBA">
              <w:t>Clinical Expert Panel</w:t>
            </w:r>
            <w:r w:rsidR="00A83C4B" w:rsidRPr="00CA6DBA">
              <w:t xml:space="preserve">, or </w:t>
            </w:r>
            <w:r w:rsidR="00DE46C4" w:rsidRPr="00CA6DBA">
              <w:t>CEP)</w:t>
            </w:r>
            <w:r w:rsidR="00A83C4B" w:rsidRPr="00CA6DBA">
              <w:t>.</w:t>
            </w:r>
          </w:p>
        </w:tc>
        <w:tc>
          <w:tcPr>
            <w:tcW w:w="4346" w:type="dxa"/>
          </w:tcPr>
          <w:p w14:paraId="7EFA22BF" w14:textId="35753B7C" w:rsidR="00683A7C" w:rsidRPr="00CA6DBA" w:rsidRDefault="00683A7C" w:rsidP="00CA6DBA">
            <w:r w:rsidRPr="00CA6DBA">
              <w:t xml:space="preserve">This </w:t>
            </w:r>
            <w:r w:rsidR="001B0628" w:rsidRPr="00CA6DBA">
              <w:t xml:space="preserve">option </w:t>
            </w:r>
            <w:r w:rsidR="002F2FD3" w:rsidRPr="00CA6DBA">
              <w:t>will require some st</w:t>
            </w:r>
            <w:r w:rsidR="00435DE8" w:rsidRPr="00CA6DBA">
              <w:t>ructural changes</w:t>
            </w:r>
            <w:r w:rsidR="00895C19" w:rsidRPr="00CA6DBA">
              <w:t xml:space="preserve">, </w:t>
            </w:r>
            <w:r w:rsidR="00782157" w:rsidRPr="00CA6DBA">
              <w:t xml:space="preserve">but by doing </w:t>
            </w:r>
            <w:r w:rsidR="00F02CEB" w:rsidRPr="00CA6DBA">
              <w:t xml:space="preserve">this, it </w:t>
            </w:r>
            <w:r w:rsidR="00782157" w:rsidRPr="00CA6DBA">
              <w:t>will help to</w:t>
            </w:r>
            <w:r w:rsidR="000D0D96" w:rsidRPr="00CA6DBA">
              <w:t xml:space="preserve"> </w:t>
            </w:r>
            <w:r w:rsidR="00461E40" w:rsidRPr="00CA6DBA">
              <w:t>address the issues found in this Report</w:t>
            </w:r>
            <w:r w:rsidR="00882232" w:rsidRPr="00CA6DBA">
              <w:t>.</w:t>
            </w:r>
          </w:p>
        </w:tc>
      </w:tr>
      <w:tr w:rsidR="00683A7C" w:rsidRPr="00CA6DBA" w14:paraId="20DB2FF7" w14:textId="77777777" w:rsidTr="00CA6DBA">
        <w:tc>
          <w:tcPr>
            <w:tcW w:w="465" w:type="dxa"/>
          </w:tcPr>
          <w:p w14:paraId="614CB3C2" w14:textId="73D648A6" w:rsidR="00683A7C" w:rsidRPr="00CA6DBA" w:rsidRDefault="00683A7C" w:rsidP="00CA6DBA">
            <w:r w:rsidRPr="00CA6DBA">
              <w:t>4</w:t>
            </w:r>
          </w:p>
        </w:tc>
        <w:tc>
          <w:tcPr>
            <w:tcW w:w="4208" w:type="dxa"/>
          </w:tcPr>
          <w:p w14:paraId="5698FD94" w14:textId="2BB031D1" w:rsidR="00683A7C" w:rsidRPr="00CA6DBA" w:rsidRDefault="00683A7C" w:rsidP="00CA6DBA">
            <w:r w:rsidRPr="00CA6DBA">
              <w:t xml:space="preserve">Abolish the PLAC and the CAGs and establish an alternative mechanism for the </w:t>
            </w:r>
            <w:r w:rsidR="00ED71A0" w:rsidRPr="00CA6DBA">
              <w:t>Department</w:t>
            </w:r>
            <w:r w:rsidR="00E96671" w:rsidRPr="00CA6DBA">
              <w:t xml:space="preserve"> </w:t>
            </w:r>
            <w:r w:rsidRPr="00CA6DBA">
              <w:t>to access clinical expert advice regarding medical devices</w:t>
            </w:r>
            <w:r w:rsidR="00AD78A6" w:rsidRPr="00CA6DBA">
              <w:t xml:space="preserve"> as required</w:t>
            </w:r>
            <w:r w:rsidRPr="00CA6DBA">
              <w:t>.</w:t>
            </w:r>
          </w:p>
        </w:tc>
        <w:tc>
          <w:tcPr>
            <w:tcW w:w="4346" w:type="dxa"/>
          </w:tcPr>
          <w:p w14:paraId="07C53F14" w14:textId="78AE0DC9" w:rsidR="00AD78A6" w:rsidRPr="00CA6DBA" w:rsidRDefault="0053135B" w:rsidP="00CA6DBA">
            <w:r w:rsidRPr="00CA6DBA">
              <w:t>Th</w:t>
            </w:r>
            <w:r w:rsidR="005D66E7" w:rsidRPr="00CA6DBA">
              <w:t>is</w:t>
            </w:r>
            <w:r w:rsidRPr="00CA6DBA">
              <w:t xml:space="preserve"> </w:t>
            </w:r>
            <w:r w:rsidR="001B0628" w:rsidRPr="00CA6DBA">
              <w:t xml:space="preserve">option </w:t>
            </w:r>
            <w:r w:rsidR="00C84F55" w:rsidRPr="00CA6DBA">
              <w:t>requires the mos</w:t>
            </w:r>
            <w:r w:rsidR="00693CAB" w:rsidRPr="00CA6DBA">
              <w:t>t change</w:t>
            </w:r>
            <w:r w:rsidR="001A5A2E" w:rsidRPr="00CA6DBA">
              <w:t xml:space="preserve"> and will require </w:t>
            </w:r>
            <w:r w:rsidR="00795DAB" w:rsidRPr="00CA6DBA">
              <w:t xml:space="preserve">significant </w:t>
            </w:r>
            <w:r w:rsidR="001A5A2E" w:rsidRPr="00CA6DBA">
              <w:t>consideration by the Department</w:t>
            </w:r>
            <w:r w:rsidR="00950B15" w:rsidRPr="00CA6DBA">
              <w:t xml:space="preserve">. The </w:t>
            </w:r>
            <w:r w:rsidR="004542CC" w:rsidRPr="00CA6DBA">
              <w:t xml:space="preserve">abolishment of the PLAC and the CAGs </w:t>
            </w:r>
            <w:r w:rsidR="00CB72DD" w:rsidRPr="00CA6DBA">
              <w:t>means there would be no</w:t>
            </w:r>
            <w:r w:rsidR="004542CC" w:rsidRPr="00CA6DBA">
              <w:t xml:space="preserve"> </w:t>
            </w:r>
            <w:r w:rsidR="002175A9" w:rsidRPr="00CA6DBA">
              <w:t xml:space="preserve">formal </w:t>
            </w:r>
            <w:r w:rsidR="00CB72DD" w:rsidRPr="00CA6DBA">
              <w:t xml:space="preserve">channel for </w:t>
            </w:r>
            <w:r w:rsidR="002175A9" w:rsidRPr="00CA6DBA">
              <w:t xml:space="preserve">regular </w:t>
            </w:r>
            <w:r w:rsidR="00CB72DD" w:rsidRPr="00CA6DBA">
              <w:t>clinical advice and so this</w:t>
            </w:r>
            <w:r w:rsidR="004542CC" w:rsidRPr="00CA6DBA">
              <w:t xml:space="preserve"> responsibility </w:t>
            </w:r>
            <w:r w:rsidR="00CB72DD" w:rsidRPr="00CA6DBA">
              <w:t xml:space="preserve">would now sit solely with </w:t>
            </w:r>
            <w:r w:rsidR="004542CC" w:rsidRPr="00CA6DBA">
              <w:t xml:space="preserve">the </w:t>
            </w:r>
            <w:r w:rsidR="002E1E32" w:rsidRPr="00CA6DBA">
              <w:t>Department</w:t>
            </w:r>
            <w:r w:rsidR="004335D2" w:rsidRPr="00CA6DBA">
              <w:t>.</w:t>
            </w:r>
          </w:p>
          <w:p w14:paraId="61AC0F7E" w14:textId="6BF8461F" w:rsidR="00683A7C" w:rsidRPr="00CA6DBA" w:rsidRDefault="00845BE7" w:rsidP="00CA6DBA">
            <w:r w:rsidRPr="00CA6DBA">
              <w:t xml:space="preserve">The </w:t>
            </w:r>
            <w:r w:rsidR="002E1E32" w:rsidRPr="00CA6DBA">
              <w:t>relevant area of the Department which will absorb the PLAC’s functions</w:t>
            </w:r>
            <w:r w:rsidR="002E1E32" w:rsidRPr="00CA6DBA" w:rsidDel="00ED71A0">
              <w:t xml:space="preserve"> </w:t>
            </w:r>
            <w:r w:rsidRPr="00CA6DBA">
              <w:t>would require</w:t>
            </w:r>
            <w:r w:rsidR="002E1E32" w:rsidRPr="00CA6DBA">
              <w:t xml:space="preserve"> </w:t>
            </w:r>
            <w:r w:rsidRPr="00CA6DBA">
              <w:t>resourcing</w:t>
            </w:r>
            <w:r w:rsidR="0053135B" w:rsidRPr="00CA6DBA">
              <w:t xml:space="preserve"> </w:t>
            </w:r>
            <w:r w:rsidR="001D4AA3" w:rsidRPr="00CA6DBA">
              <w:t xml:space="preserve">and </w:t>
            </w:r>
            <w:r w:rsidR="00C17A8F" w:rsidRPr="00CA6DBA">
              <w:t xml:space="preserve">in-house HTA </w:t>
            </w:r>
            <w:r w:rsidR="001D4AA3" w:rsidRPr="00CA6DBA">
              <w:t>capability development</w:t>
            </w:r>
            <w:r w:rsidR="00283201" w:rsidRPr="00CA6DBA">
              <w:t>.</w:t>
            </w:r>
          </w:p>
        </w:tc>
      </w:tr>
    </w:tbl>
    <w:p w14:paraId="3643746C" w14:textId="08C609A0" w:rsidR="00602C85" w:rsidRPr="00CA6DBA" w:rsidRDefault="001526F4" w:rsidP="00CA6DBA">
      <w:r w:rsidRPr="00CA6DBA">
        <w:t xml:space="preserve">Although </w:t>
      </w:r>
      <w:r w:rsidR="00BA633C" w:rsidRPr="00CA6DBA">
        <w:t>t</w:t>
      </w:r>
      <w:r w:rsidR="006C5767" w:rsidRPr="00CA6DBA">
        <w:t>he Depa</w:t>
      </w:r>
      <w:r w:rsidR="000804FE" w:rsidRPr="00CA6DBA">
        <w:t>r</w:t>
      </w:r>
      <w:r w:rsidR="006C5767" w:rsidRPr="00CA6DBA">
        <w:t xml:space="preserve">tment </w:t>
      </w:r>
      <w:r w:rsidR="00BA633C" w:rsidRPr="00CA6DBA">
        <w:t xml:space="preserve">ought </w:t>
      </w:r>
      <w:r w:rsidR="000804FE" w:rsidRPr="00CA6DBA">
        <w:t>to consider</w:t>
      </w:r>
      <w:r w:rsidR="00B00527" w:rsidRPr="00CA6DBA">
        <w:t xml:space="preserve"> each of</w:t>
      </w:r>
      <w:r w:rsidR="000804FE" w:rsidRPr="00CA6DBA">
        <w:t xml:space="preserve"> t</w:t>
      </w:r>
      <w:r w:rsidR="00841E67" w:rsidRPr="00CA6DBA">
        <w:t xml:space="preserve">hese </w:t>
      </w:r>
      <w:r w:rsidR="008C3338" w:rsidRPr="00CA6DBA">
        <w:t xml:space="preserve">potential </w:t>
      </w:r>
      <w:r w:rsidR="001B0628" w:rsidRPr="00CA6DBA">
        <w:t xml:space="preserve">options </w:t>
      </w:r>
      <w:r w:rsidR="00124F19" w:rsidRPr="00CA6DBA">
        <w:t>in the context of the</w:t>
      </w:r>
      <w:r w:rsidR="00082D46" w:rsidRPr="00CA6DBA">
        <w:t xml:space="preserve"> broader </w:t>
      </w:r>
      <w:r w:rsidR="00333333" w:rsidRPr="00CA6DBA">
        <w:t>intent of the Prostheses List Reform</w:t>
      </w:r>
      <w:r w:rsidR="007C6150" w:rsidRPr="00CA6DBA">
        <w:t>,</w:t>
      </w:r>
      <w:r w:rsidR="00557D9A" w:rsidRPr="00CA6DBA">
        <w:t xml:space="preserve"> </w:t>
      </w:r>
      <w:r w:rsidR="006B527A" w:rsidRPr="00CA6DBA">
        <w:t>Option 3</w:t>
      </w:r>
      <w:r w:rsidR="005252D3" w:rsidRPr="00CA6DBA">
        <w:t xml:space="preserve"> would</w:t>
      </w:r>
      <w:r w:rsidR="006B527A" w:rsidRPr="00CA6DBA">
        <w:t xml:space="preserve"> </w:t>
      </w:r>
      <w:r w:rsidR="00287DCE" w:rsidRPr="00CA6DBA">
        <w:t xml:space="preserve">best </w:t>
      </w:r>
      <w:r w:rsidR="00AB5151" w:rsidRPr="00CA6DBA">
        <w:t xml:space="preserve">meet the </w:t>
      </w:r>
      <w:r w:rsidR="00A75771" w:rsidRPr="00CA6DBA">
        <w:t>governance requirements for the Prostheses List.</w:t>
      </w:r>
    </w:p>
    <w:p w14:paraId="09445485" w14:textId="17CC3969" w:rsidR="00D665A0" w:rsidRPr="00D2484E" w:rsidRDefault="00D665A0" w:rsidP="00510194">
      <w:pPr>
        <w:pStyle w:val="EYHeading3"/>
      </w:pPr>
      <w:bookmarkStart w:id="12" w:name="_Ref116049109"/>
      <w:r w:rsidRPr="00D2484E">
        <w:t>Recommendations</w:t>
      </w:r>
      <w:bookmarkEnd w:id="12"/>
    </w:p>
    <w:p w14:paraId="0D081297" w14:textId="791AFB2F" w:rsidR="00AB4ACD" w:rsidRPr="00CA6DBA" w:rsidRDefault="009A4958" w:rsidP="00CA6DBA">
      <w:r w:rsidRPr="00CA6DBA">
        <w:t>Pursuant</w:t>
      </w:r>
      <w:r w:rsidR="00187D7B" w:rsidRPr="00CA6DBA">
        <w:t xml:space="preserve"> to Option 3, 11 </w:t>
      </w:r>
      <w:r w:rsidR="00874757" w:rsidRPr="00CA6DBA">
        <w:t>R</w:t>
      </w:r>
      <w:r w:rsidR="00187D7B" w:rsidRPr="00CA6DBA">
        <w:t>ecommendations</w:t>
      </w:r>
      <w:r w:rsidR="00465FC2" w:rsidRPr="00CA6DBA">
        <w:t xml:space="preserve"> have been </w:t>
      </w:r>
      <w:r w:rsidR="003741BE" w:rsidRPr="00CA6DBA">
        <w:t xml:space="preserve">developed </w:t>
      </w:r>
      <w:r w:rsidR="00544BD6" w:rsidRPr="00CA6DBA">
        <w:t xml:space="preserve">for consideration by the Department, </w:t>
      </w:r>
      <w:r w:rsidR="00462899" w:rsidRPr="00CA6DBA">
        <w:t>which</w:t>
      </w:r>
      <w:r w:rsidR="00465FC2" w:rsidRPr="00CA6DBA">
        <w:t xml:space="preserve"> address </w:t>
      </w:r>
      <w:r w:rsidR="000441CA" w:rsidRPr="00CA6DBA">
        <w:t>the findings</w:t>
      </w:r>
      <w:r w:rsidR="00367283" w:rsidRPr="00CA6DBA">
        <w:t xml:space="preserve"> of this Review </w:t>
      </w:r>
      <w:r w:rsidR="00353821" w:rsidRPr="00CA6DBA">
        <w:t xml:space="preserve">by </w:t>
      </w:r>
      <w:r w:rsidR="00D469A2" w:rsidRPr="00CA6DBA">
        <w:t>suggest</w:t>
      </w:r>
      <w:r w:rsidR="00353821" w:rsidRPr="00CA6DBA">
        <w:t>ing</w:t>
      </w:r>
      <w:r w:rsidR="002322DD" w:rsidRPr="00CA6DBA">
        <w:t xml:space="preserve"> </w:t>
      </w:r>
      <w:r w:rsidR="00747469" w:rsidRPr="00CA6DBA">
        <w:t>the following changes</w:t>
      </w:r>
      <w:r w:rsidR="002322DD" w:rsidRPr="00CA6DBA">
        <w:t xml:space="preserve"> </w:t>
      </w:r>
      <w:r w:rsidR="00C51C6E" w:rsidRPr="00CA6DBA">
        <w:t>and</w:t>
      </w:r>
      <w:r w:rsidR="002322DD" w:rsidRPr="00CA6DBA">
        <w:t xml:space="preserve"> improvements to </w:t>
      </w:r>
      <w:r w:rsidR="00021912" w:rsidRPr="00CA6DBA">
        <w:t xml:space="preserve">the </w:t>
      </w:r>
      <w:r w:rsidR="00B87862" w:rsidRPr="00CA6DBA">
        <w:t xml:space="preserve">current </w:t>
      </w:r>
      <w:r w:rsidR="00465FC2" w:rsidRPr="00CA6DBA">
        <w:t xml:space="preserve">administrative </w:t>
      </w:r>
      <w:r w:rsidR="00353821" w:rsidRPr="00CA6DBA">
        <w:t xml:space="preserve">and governance </w:t>
      </w:r>
      <w:r w:rsidR="00465FC2" w:rsidRPr="00CA6DBA">
        <w:t>arrangements</w:t>
      </w:r>
      <w:r w:rsidR="00B11F62" w:rsidRPr="00CA6DBA">
        <w:t xml:space="preserve"> </w:t>
      </w:r>
      <w:r w:rsidR="00B87862" w:rsidRPr="00CA6DBA">
        <w:t>of the PLAC</w:t>
      </w:r>
      <w:r w:rsidR="006F6EB2" w:rsidRPr="00CA6DBA">
        <w:t xml:space="preserve"> and its </w:t>
      </w:r>
      <w:r w:rsidR="0099073D" w:rsidRPr="00CA6DBA">
        <w:t>associated</w:t>
      </w:r>
      <w:r w:rsidR="005B55F4" w:rsidRPr="00CA6DBA">
        <w:t xml:space="preserve"> </w:t>
      </w:r>
      <w:r w:rsidR="006F6EB2" w:rsidRPr="00CA6DBA">
        <w:t>sub</w:t>
      </w:r>
      <w:r w:rsidR="00366632" w:rsidRPr="00CA6DBA">
        <w:t>-</w:t>
      </w:r>
      <w:r w:rsidR="006F6EB2" w:rsidRPr="00CA6DBA">
        <w:t>committees</w:t>
      </w:r>
      <w:r w:rsidR="00874757" w:rsidRPr="00CA6DBA">
        <w:t xml:space="preserve">:  </w:t>
      </w:r>
    </w:p>
    <w:p w14:paraId="0D60D85C" w14:textId="089A670B" w:rsidR="00187D7B" w:rsidRPr="00CA6DBA" w:rsidRDefault="00AB4ACD" w:rsidP="00CA6DBA">
      <w:pPr>
        <w:pStyle w:val="Caption"/>
      </w:pPr>
      <w:r w:rsidRPr="00CA6DBA">
        <w:t xml:space="preserve">Table </w:t>
      </w:r>
      <w:r w:rsidRPr="00CA6DBA">
        <w:fldChar w:fldCharType="begin"/>
      </w:r>
      <w:r w:rsidRPr="00CA6DBA">
        <w:instrText xml:space="preserve"> SEQ Table \* ARABIC </w:instrText>
      </w:r>
      <w:r w:rsidRPr="00CA6DBA">
        <w:fldChar w:fldCharType="separate"/>
      </w:r>
      <w:r w:rsidR="00475597" w:rsidRPr="00CA6DBA">
        <w:t>3</w:t>
      </w:r>
      <w:r w:rsidRPr="00CA6DBA">
        <w:fldChar w:fldCharType="end"/>
      </w:r>
      <w:r w:rsidRPr="00CA6DBA">
        <w:t xml:space="preserve"> - Review Recommendations</w:t>
      </w:r>
    </w:p>
    <w:tbl>
      <w:tblPr>
        <w:tblStyle w:val="Style1"/>
        <w:tblW w:w="0" w:type="auto"/>
        <w:tblLook w:val="04A0" w:firstRow="1" w:lastRow="0" w:firstColumn="1" w:lastColumn="0" w:noHBand="0" w:noVBand="1"/>
        <w:tblDescription w:val="Table 3 is a list of review recommendations "/>
      </w:tblPr>
      <w:tblGrid>
        <w:gridCol w:w="464"/>
        <w:gridCol w:w="2985"/>
        <w:gridCol w:w="5570"/>
      </w:tblGrid>
      <w:tr w:rsidR="00233C99" w:rsidRPr="00CA6DBA" w14:paraId="4FFFF06F" w14:textId="77777777" w:rsidTr="00CA6DBA">
        <w:trPr>
          <w:cnfStyle w:val="100000000000" w:firstRow="1" w:lastRow="0" w:firstColumn="0" w:lastColumn="0" w:oddVBand="0" w:evenVBand="0" w:oddHBand="0" w:evenHBand="0" w:firstRowFirstColumn="0" w:firstRowLastColumn="0" w:lastRowFirstColumn="0" w:lastRowLastColumn="0"/>
          <w:tblHeader/>
        </w:trPr>
        <w:tc>
          <w:tcPr>
            <w:tcW w:w="464" w:type="dxa"/>
          </w:tcPr>
          <w:p w14:paraId="789B3E09" w14:textId="48B44104" w:rsidR="00233C99" w:rsidRPr="00CA6DBA" w:rsidRDefault="00233C99" w:rsidP="00CA6DBA"/>
        </w:tc>
        <w:tc>
          <w:tcPr>
            <w:tcW w:w="2985" w:type="dxa"/>
          </w:tcPr>
          <w:p w14:paraId="614F1C22" w14:textId="462F220D" w:rsidR="00233C99" w:rsidRPr="00CA6DBA" w:rsidRDefault="00233C99" w:rsidP="00CA6DBA">
            <w:r w:rsidRPr="00CA6DBA">
              <w:t>Recommendation</w:t>
            </w:r>
          </w:p>
        </w:tc>
        <w:tc>
          <w:tcPr>
            <w:tcW w:w="5570" w:type="dxa"/>
          </w:tcPr>
          <w:p w14:paraId="32F7302D" w14:textId="3B415FB9" w:rsidR="00233C99" w:rsidRPr="00CA6DBA" w:rsidRDefault="00233C99" w:rsidP="00CA6DBA">
            <w:r w:rsidRPr="00CA6DBA">
              <w:t>Rationale</w:t>
            </w:r>
          </w:p>
        </w:tc>
      </w:tr>
      <w:tr w:rsidR="002E6698" w:rsidRPr="00CA6DBA" w14:paraId="0B4B3A2E" w14:textId="2A21DBF6" w:rsidTr="00CA6DBA">
        <w:tc>
          <w:tcPr>
            <w:tcW w:w="464" w:type="dxa"/>
          </w:tcPr>
          <w:p w14:paraId="39E5D828" w14:textId="4BBFBCB7" w:rsidR="00B33093" w:rsidRPr="00CA6DBA" w:rsidRDefault="00B33093" w:rsidP="00CA6DBA">
            <w:r w:rsidRPr="00CA6DBA">
              <w:t>1</w:t>
            </w:r>
          </w:p>
        </w:tc>
        <w:tc>
          <w:tcPr>
            <w:tcW w:w="2985" w:type="dxa"/>
          </w:tcPr>
          <w:p w14:paraId="41A252B1" w14:textId="39048715" w:rsidR="00B33093" w:rsidRPr="00CA6DBA" w:rsidRDefault="007446F0" w:rsidP="00CA6DBA">
            <w:r w:rsidRPr="00CA6DBA">
              <w:t xml:space="preserve">The PLAC and its functions should be replaced by </w:t>
            </w:r>
            <w:r w:rsidR="00FA3D7B" w:rsidRPr="00CA6DBA">
              <w:t xml:space="preserve">the </w:t>
            </w:r>
            <w:r w:rsidR="001629F0" w:rsidRPr="00CA6DBA">
              <w:t>PLCAC</w:t>
            </w:r>
            <w:r w:rsidRPr="00CA6DBA">
              <w:t xml:space="preserve"> and the </w:t>
            </w:r>
            <w:r w:rsidR="001629F0" w:rsidRPr="00CA6DBA">
              <w:t>PLIWG</w:t>
            </w:r>
            <w:r w:rsidR="009068BE" w:rsidRPr="00CA6DBA">
              <w:t>.</w:t>
            </w:r>
          </w:p>
        </w:tc>
        <w:tc>
          <w:tcPr>
            <w:tcW w:w="5570" w:type="dxa"/>
          </w:tcPr>
          <w:p w14:paraId="7000345F" w14:textId="246BF5FE" w:rsidR="0095300B" w:rsidRPr="00CA6DBA" w:rsidRDefault="00F875B0" w:rsidP="00CA6DBA">
            <w:r w:rsidRPr="00CA6DBA">
              <w:t>Division of the PLAC’s functions in</w:t>
            </w:r>
            <w:r w:rsidR="00EB4ABB" w:rsidRPr="00CA6DBA">
              <w:t xml:space="preserve">to </w:t>
            </w:r>
            <w:r w:rsidR="00B5163F" w:rsidRPr="00CA6DBA">
              <w:t xml:space="preserve">clinical and industry advisory bodies </w:t>
            </w:r>
            <w:r w:rsidR="009B613F" w:rsidRPr="00CA6DBA">
              <w:t>will en</w:t>
            </w:r>
            <w:r w:rsidR="00B5163F" w:rsidRPr="00CA6DBA">
              <w:t>able</w:t>
            </w:r>
            <w:r w:rsidR="009B613F" w:rsidRPr="00CA6DBA">
              <w:t xml:space="preserve"> the Minister </w:t>
            </w:r>
            <w:r w:rsidR="00634065" w:rsidRPr="00CA6DBA">
              <w:t>to receive more robust and consistent clinical advice</w:t>
            </w:r>
            <w:r w:rsidR="00293E33" w:rsidRPr="00CA6DBA">
              <w:t xml:space="preserve"> (</w:t>
            </w:r>
            <w:r w:rsidR="001629F0" w:rsidRPr="00CA6DBA">
              <w:t>PLCAC</w:t>
            </w:r>
            <w:r w:rsidR="00293E33" w:rsidRPr="00CA6DBA">
              <w:t>)</w:t>
            </w:r>
            <w:r w:rsidR="00BE2CA4" w:rsidRPr="00CA6DBA">
              <w:t xml:space="preserve">, while maintaining a </w:t>
            </w:r>
            <w:r w:rsidR="00EB6265" w:rsidRPr="00CA6DBA">
              <w:t xml:space="preserve">broader </w:t>
            </w:r>
            <w:r w:rsidR="00BE2CA4" w:rsidRPr="00CA6DBA">
              <w:t xml:space="preserve">view of policy matters </w:t>
            </w:r>
            <w:r w:rsidR="00EB68E8" w:rsidRPr="00CA6DBA">
              <w:t>relating to the medical device benefit setting scheme</w:t>
            </w:r>
            <w:r w:rsidR="00293E33" w:rsidRPr="00CA6DBA">
              <w:t xml:space="preserve"> (</w:t>
            </w:r>
            <w:r w:rsidR="001629F0" w:rsidRPr="00CA6DBA">
              <w:t>PLIWG</w:t>
            </w:r>
            <w:r w:rsidR="00293E33" w:rsidRPr="00CA6DBA">
              <w:t>)</w:t>
            </w:r>
            <w:r w:rsidR="00EB68E8" w:rsidRPr="00CA6DBA">
              <w:t xml:space="preserve">. </w:t>
            </w:r>
            <w:r w:rsidR="003507EB" w:rsidRPr="00CA6DBA">
              <w:t xml:space="preserve"> </w:t>
            </w:r>
          </w:p>
        </w:tc>
      </w:tr>
      <w:tr w:rsidR="00B33093" w:rsidRPr="00CA6DBA" w14:paraId="750839B1" w14:textId="05C47261" w:rsidTr="00CA6DBA">
        <w:tc>
          <w:tcPr>
            <w:tcW w:w="464" w:type="dxa"/>
          </w:tcPr>
          <w:p w14:paraId="60039D13" w14:textId="64DCEC27" w:rsidR="00B33093" w:rsidRPr="00CA6DBA" w:rsidRDefault="00927388" w:rsidP="00CA6DBA">
            <w:r w:rsidRPr="00CA6DBA">
              <w:t>2</w:t>
            </w:r>
          </w:p>
        </w:tc>
        <w:tc>
          <w:tcPr>
            <w:tcW w:w="2985" w:type="dxa"/>
          </w:tcPr>
          <w:p w14:paraId="05ADBBBF" w14:textId="7917E4CB" w:rsidR="00B33093" w:rsidRPr="00CA6DBA" w:rsidRDefault="00790A52" w:rsidP="00CA6DBA">
            <w:r w:rsidRPr="00CA6DBA">
              <w:t xml:space="preserve">A </w:t>
            </w:r>
            <w:r w:rsidR="00657046" w:rsidRPr="00CA6DBA">
              <w:t xml:space="preserve">reconstituted </w:t>
            </w:r>
            <w:r w:rsidR="00DE6994" w:rsidRPr="00CA6DBA">
              <w:t>Clinical Experts Panel</w:t>
            </w:r>
            <w:r w:rsidR="00900B03" w:rsidRPr="00CA6DBA">
              <w:t xml:space="preserve"> (CEP)</w:t>
            </w:r>
            <w:r w:rsidR="00672E5C" w:rsidRPr="00CA6DBA">
              <w:t xml:space="preserve"> </w:t>
            </w:r>
            <w:r w:rsidRPr="00CA6DBA">
              <w:t xml:space="preserve">should be introduced </w:t>
            </w:r>
            <w:r w:rsidR="00672E5C" w:rsidRPr="00CA6DBA">
              <w:t>to</w:t>
            </w:r>
            <w:r w:rsidR="00CC0D75" w:rsidRPr="00CA6DBA">
              <w:t xml:space="preserve"> replace the abolished CAGs</w:t>
            </w:r>
            <w:r w:rsidR="00E14E2C" w:rsidRPr="00CA6DBA">
              <w:t xml:space="preserve"> and to</w:t>
            </w:r>
            <w:r w:rsidR="00672E5C" w:rsidRPr="00CA6DBA">
              <w:t xml:space="preserve"> provide specialised clinical advice</w:t>
            </w:r>
            <w:r w:rsidR="00900B03" w:rsidRPr="00CA6DBA">
              <w:t xml:space="preserve"> to support the </w:t>
            </w:r>
            <w:r w:rsidR="001629F0" w:rsidRPr="00CA6DBA">
              <w:lastRenderedPageBreak/>
              <w:t>PLCAC</w:t>
            </w:r>
            <w:r w:rsidR="00FC528E" w:rsidRPr="00CA6DBA">
              <w:t xml:space="preserve"> </w:t>
            </w:r>
            <w:r w:rsidR="008B28E5" w:rsidRPr="00CA6DBA">
              <w:t xml:space="preserve">and the </w:t>
            </w:r>
            <w:r w:rsidR="00E32756" w:rsidRPr="00CA6DBA">
              <w:t xml:space="preserve">Department </w:t>
            </w:r>
            <w:r w:rsidR="00FC528E" w:rsidRPr="00CA6DBA">
              <w:t>as required</w:t>
            </w:r>
            <w:r w:rsidR="009068BE" w:rsidRPr="00CA6DBA">
              <w:t>.</w:t>
            </w:r>
          </w:p>
        </w:tc>
        <w:tc>
          <w:tcPr>
            <w:tcW w:w="5570" w:type="dxa"/>
          </w:tcPr>
          <w:p w14:paraId="5C64B925" w14:textId="75633742" w:rsidR="00B33093" w:rsidRPr="00CA6DBA" w:rsidRDefault="00E14E2C" w:rsidP="00CA6DBA">
            <w:r w:rsidRPr="00CA6DBA">
              <w:lastRenderedPageBreak/>
              <w:t>Establishing a</w:t>
            </w:r>
            <w:r w:rsidR="00032F87" w:rsidRPr="00CA6DBA">
              <w:t xml:space="preserve"> CEP </w:t>
            </w:r>
            <w:r w:rsidRPr="00CA6DBA">
              <w:t xml:space="preserve">that replaces the CAGs </w:t>
            </w:r>
            <w:r w:rsidR="00032F87" w:rsidRPr="00CA6DBA">
              <w:t>wil</w:t>
            </w:r>
            <w:r w:rsidR="00373D99" w:rsidRPr="00CA6DBA">
              <w:t xml:space="preserve">l provide both the </w:t>
            </w:r>
            <w:r w:rsidR="00E32756" w:rsidRPr="00CA6DBA">
              <w:t>Department</w:t>
            </w:r>
            <w:r w:rsidR="00667373" w:rsidRPr="00CA6DBA">
              <w:t xml:space="preserve"> </w:t>
            </w:r>
            <w:r w:rsidR="00373D99" w:rsidRPr="00CA6DBA">
              <w:t xml:space="preserve">and </w:t>
            </w:r>
            <w:r w:rsidR="001629F0" w:rsidRPr="00CA6DBA">
              <w:t>PLCAC</w:t>
            </w:r>
            <w:r w:rsidR="00373D99" w:rsidRPr="00CA6DBA">
              <w:t xml:space="preserve"> with </w:t>
            </w:r>
            <w:r w:rsidR="00553521" w:rsidRPr="00CA6DBA">
              <w:t>the specialised advice it requires across all Prostheses List Categories</w:t>
            </w:r>
            <w:r w:rsidR="00621358" w:rsidRPr="00CA6DBA">
              <w:t xml:space="preserve"> regarding </w:t>
            </w:r>
            <w:r w:rsidR="008E3DE1" w:rsidRPr="00CA6DBA">
              <w:t>the clinical utility of medical devices and the clinical outcomes associated with the use of those medical devices</w:t>
            </w:r>
            <w:r w:rsidR="002A5B0C" w:rsidRPr="00CA6DBA">
              <w:t>. Having a smaller</w:t>
            </w:r>
            <w:r w:rsidR="00A829F9" w:rsidRPr="00CA6DBA">
              <w:t xml:space="preserve"> group </w:t>
            </w:r>
            <w:r w:rsidR="00A829F9" w:rsidRPr="00CA6DBA">
              <w:lastRenderedPageBreak/>
              <w:t xml:space="preserve">of </w:t>
            </w:r>
            <w:r w:rsidR="00E971B8" w:rsidRPr="00CA6DBA">
              <w:t xml:space="preserve">clinical experts to manage will also </w:t>
            </w:r>
            <w:r w:rsidR="00900AD8" w:rsidRPr="00CA6DBA">
              <w:t>reduc</w:t>
            </w:r>
            <w:r w:rsidR="00E971B8" w:rsidRPr="00CA6DBA">
              <w:t>e</w:t>
            </w:r>
            <w:r w:rsidR="00553521" w:rsidRPr="00CA6DBA">
              <w:t xml:space="preserve"> </w:t>
            </w:r>
            <w:r w:rsidR="00E85A4D" w:rsidRPr="00CA6DBA">
              <w:t xml:space="preserve">the </w:t>
            </w:r>
            <w:r w:rsidR="00D045AE" w:rsidRPr="00CA6DBA">
              <w:t xml:space="preserve">administrative burden </w:t>
            </w:r>
            <w:r w:rsidR="00900AD8" w:rsidRPr="00CA6DBA">
              <w:t xml:space="preserve">on the </w:t>
            </w:r>
            <w:r w:rsidR="00E32756" w:rsidRPr="00CA6DBA">
              <w:t>Department</w:t>
            </w:r>
            <w:r w:rsidR="00D045AE" w:rsidRPr="00CA6DBA">
              <w:t>.</w:t>
            </w:r>
          </w:p>
        </w:tc>
      </w:tr>
      <w:tr w:rsidR="00B33093" w:rsidRPr="00CA6DBA" w14:paraId="5076E6AF" w14:textId="6E8D870D" w:rsidTr="00CA6DBA">
        <w:tc>
          <w:tcPr>
            <w:tcW w:w="464" w:type="dxa"/>
          </w:tcPr>
          <w:p w14:paraId="579A3B0D" w14:textId="7561AD61" w:rsidR="00B33093" w:rsidRPr="00CA6DBA" w:rsidRDefault="00927388" w:rsidP="00CA6DBA">
            <w:r w:rsidRPr="00CA6DBA">
              <w:lastRenderedPageBreak/>
              <w:t>3</w:t>
            </w:r>
          </w:p>
        </w:tc>
        <w:tc>
          <w:tcPr>
            <w:tcW w:w="2985" w:type="dxa"/>
          </w:tcPr>
          <w:p w14:paraId="52D85663" w14:textId="451CB350" w:rsidR="00B33093" w:rsidRPr="00CA6DBA" w:rsidRDefault="00790A52" w:rsidP="00CA6DBA">
            <w:r w:rsidRPr="00CA6DBA">
              <w:t>P</w:t>
            </w:r>
            <w:r w:rsidR="008D7572" w:rsidRPr="00CA6DBA">
              <w:t xml:space="preserve">rocesses for </w:t>
            </w:r>
            <w:r w:rsidR="00D70474" w:rsidRPr="00CA6DBA">
              <w:t xml:space="preserve">each </w:t>
            </w:r>
            <w:r w:rsidR="00C36EA9" w:rsidRPr="00CA6DBA">
              <w:t xml:space="preserve">HTA </w:t>
            </w:r>
            <w:r w:rsidR="00FD2308" w:rsidRPr="00CA6DBA">
              <w:t>committee</w:t>
            </w:r>
            <w:r w:rsidR="00D70474" w:rsidRPr="00CA6DBA">
              <w:t xml:space="preserve"> </w:t>
            </w:r>
            <w:r w:rsidR="00E56298" w:rsidRPr="00CA6DBA">
              <w:t xml:space="preserve">to </w:t>
            </w:r>
            <w:r w:rsidR="003C54D5" w:rsidRPr="00CA6DBA">
              <w:t xml:space="preserve">access </w:t>
            </w:r>
            <w:r w:rsidR="00D70474" w:rsidRPr="00CA6DBA">
              <w:t>the</w:t>
            </w:r>
            <w:r w:rsidR="003C54D5" w:rsidRPr="00CA6DBA">
              <w:t xml:space="preserve"> relevant expertise</w:t>
            </w:r>
            <w:r w:rsidR="00731131" w:rsidRPr="00CA6DBA">
              <w:t xml:space="preserve"> </w:t>
            </w:r>
            <w:r w:rsidR="00D70474" w:rsidRPr="00CA6DBA">
              <w:t xml:space="preserve">of other HTA committees </w:t>
            </w:r>
            <w:r w:rsidRPr="00CA6DBA">
              <w:t>should be established</w:t>
            </w:r>
            <w:r w:rsidR="009068BE" w:rsidRPr="00CA6DBA">
              <w:t>.</w:t>
            </w:r>
          </w:p>
        </w:tc>
        <w:tc>
          <w:tcPr>
            <w:tcW w:w="5570" w:type="dxa"/>
          </w:tcPr>
          <w:p w14:paraId="32024FB8" w14:textId="4385EC49" w:rsidR="004D71F3" w:rsidRPr="00CA6DBA" w:rsidRDefault="00736043" w:rsidP="00CA6DBA">
            <w:r w:rsidRPr="00CA6DBA">
              <w:t xml:space="preserve">The </w:t>
            </w:r>
            <w:r w:rsidR="001629F0" w:rsidRPr="00CA6DBA">
              <w:t>establishment of the</w:t>
            </w:r>
            <w:r w:rsidR="00297A82" w:rsidRPr="00CA6DBA">
              <w:t xml:space="preserve"> </w:t>
            </w:r>
            <w:r w:rsidR="001629F0" w:rsidRPr="00CA6DBA">
              <w:t>PLCAC</w:t>
            </w:r>
            <w:r w:rsidR="00297A82" w:rsidRPr="00CA6DBA">
              <w:t xml:space="preserve"> and</w:t>
            </w:r>
            <w:r w:rsidR="00802B6C" w:rsidRPr="00CA6DBA">
              <w:t xml:space="preserve"> the CEP </w:t>
            </w:r>
            <w:r w:rsidR="001629F0" w:rsidRPr="00CA6DBA">
              <w:t xml:space="preserve">provides an opportunity </w:t>
            </w:r>
            <w:r w:rsidR="00802B6C" w:rsidRPr="00CA6DBA">
              <w:t xml:space="preserve">to </w:t>
            </w:r>
            <w:r w:rsidR="001629F0" w:rsidRPr="00CA6DBA">
              <w:t xml:space="preserve">make their expertise available to </w:t>
            </w:r>
            <w:r w:rsidR="00802B6C" w:rsidRPr="00CA6DBA">
              <w:t xml:space="preserve">other HTA committees </w:t>
            </w:r>
            <w:r w:rsidR="00712735" w:rsidRPr="00CA6DBA">
              <w:t>(the MSAC, IHPA and the TGA)</w:t>
            </w:r>
            <w:r w:rsidR="001629F0" w:rsidRPr="00CA6DBA">
              <w:t>,</w:t>
            </w:r>
            <w:r w:rsidR="00802B6C" w:rsidRPr="00CA6DBA">
              <w:t xml:space="preserve"> </w:t>
            </w:r>
            <w:r w:rsidR="001629F0" w:rsidRPr="00CA6DBA">
              <w:t xml:space="preserve">which may </w:t>
            </w:r>
            <w:r w:rsidR="00802B6C" w:rsidRPr="00CA6DBA">
              <w:t xml:space="preserve">enhance collaboration and functionality between the </w:t>
            </w:r>
            <w:r w:rsidR="001629F0" w:rsidRPr="00CA6DBA">
              <w:t>PLCAC</w:t>
            </w:r>
            <w:r w:rsidR="00802B6C" w:rsidRPr="00CA6DBA">
              <w:t xml:space="preserve"> and other committees</w:t>
            </w:r>
            <w:r w:rsidR="00DD1689" w:rsidRPr="00CA6DBA">
              <w:t xml:space="preserve">. This will </w:t>
            </w:r>
            <w:r w:rsidR="00802B6C" w:rsidRPr="00CA6DBA">
              <w:t>benefit HTA more broadly</w:t>
            </w:r>
            <w:r w:rsidR="00E97391" w:rsidRPr="00CA6DBA">
              <w:t xml:space="preserve"> through </w:t>
            </w:r>
            <w:r w:rsidR="00DD1689" w:rsidRPr="00CA6DBA">
              <w:t xml:space="preserve">reduced duplication </w:t>
            </w:r>
            <w:r w:rsidR="00BB7398" w:rsidRPr="00CA6DBA">
              <w:t>of efforts and better use of the full range of skills available to the Department.</w:t>
            </w:r>
          </w:p>
          <w:p w14:paraId="4682FFDF" w14:textId="03C6858A" w:rsidR="00B33093" w:rsidRPr="00CA6DBA" w:rsidRDefault="00712735" w:rsidP="00CA6DBA">
            <w:r w:rsidRPr="00CA6DBA">
              <w:t xml:space="preserve">To facilitate this, the </w:t>
            </w:r>
            <w:r w:rsidR="001629F0" w:rsidRPr="00CA6DBA">
              <w:t>PLCAC</w:t>
            </w:r>
            <w:r w:rsidRPr="00CA6DBA">
              <w:t xml:space="preserve"> and CEP should strengthen its functional relationships with other HTA committees.</w:t>
            </w:r>
          </w:p>
        </w:tc>
      </w:tr>
      <w:tr w:rsidR="00927388" w:rsidRPr="00CA6DBA" w14:paraId="616CC54D" w14:textId="77777777" w:rsidTr="00CA6DBA">
        <w:tc>
          <w:tcPr>
            <w:tcW w:w="464" w:type="dxa"/>
          </w:tcPr>
          <w:p w14:paraId="032A404F" w14:textId="65276C93" w:rsidR="00927388" w:rsidRPr="00CA6DBA" w:rsidRDefault="00927388" w:rsidP="00CA6DBA">
            <w:r w:rsidRPr="00CA6DBA">
              <w:t>4</w:t>
            </w:r>
          </w:p>
        </w:tc>
        <w:tc>
          <w:tcPr>
            <w:tcW w:w="2985" w:type="dxa"/>
          </w:tcPr>
          <w:p w14:paraId="06F1BBB8" w14:textId="774F149D" w:rsidR="00927388" w:rsidRPr="00CA6DBA" w:rsidRDefault="00A75C81" w:rsidP="00CA6DBA">
            <w:r w:rsidRPr="00CA6DBA">
              <w:t>R</w:t>
            </w:r>
            <w:r w:rsidR="00040E95" w:rsidRPr="00CA6DBA">
              <w:t>eview</w:t>
            </w:r>
            <w:r w:rsidR="00196C88" w:rsidRPr="00CA6DBA">
              <w:t>s</w:t>
            </w:r>
            <w:r w:rsidR="00040E95" w:rsidRPr="00CA6DBA">
              <w:t xml:space="preserve"> </w:t>
            </w:r>
            <w:r w:rsidR="00617383" w:rsidRPr="00CA6DBA">
              <w:t xml:space="preserve">of </w:t>
            </w:r>
            <w:r w:rsidR="00196C88" w:rsidRPr="00CA6DBA">
              <w:t>the</w:t>
            </w:r>
            <w:r w:rsidR="00617383" w:rsidRPr="00CA6DBA">
              <w:t xml:space="preserve"> clinical </w:t>
            </w:r>
            <w:r w:rsidR="00040E95" w:rsidRPr="00CA6DBA">
              <w:t>appropriateness</w:t>
            </w:r>
            <w:r w:rsidR="00196C88" w:rsidRPr="00CA6DBA">
              <w:t xml:space="preserve">, </w:t>
            </w:r>
            <w:proofErr w:type="gramStart"/>
            <w:r w:rsidR="00617383" w:rsidRPr="00CA6DBA">
              <w:t>utilisation</w:t>
            </w:r>
            <w:proofErr w:type="gramEnd"/>
            <w:r w:rsidR="00617383" w:rsidRPr="00CA6DBA">
              <w:t xml:space="preserve"> </w:t>
            </w:r>
            <w:r w:rsidR="00196C88" w:rsidRPr="00CA6DBA">
              <w:t>and benefits of</w:t>
            </w:r>
            <w:r w:rsidR="00617383" w:rsidRPr="00CA6DBA">
              <w:t xml:space="preserve"> medical device</w:t>
            </w:r>
            <w:r w:rsidR="00196C88" w:rsidRPr="00CA6DBA">
              <w:t>s</w:t>
            </w:r>
            <w:r w:rsidR="00E20F5C" w:rsidRPr="00CA6DBA">
              <w:t xml:space="preserve"> on the Prostheses List</w:t>
            </w:r>
            <w:r w:rsidRPr="00CA6DBA">
              <w:t xml:space="preserve"> should occur mor</w:t>
            </w:r>
            <w:r w:rsidR="00E905E0" w:rsidRPr="00CA6DBA">
              <w:t>e regularly</w:t>
            </w:r>
            <w:r w:rsidR="009068BE" w:rsidRPr="00CA6DBA">
              <w:t>.</w:t>
            </w:r>
          </w:p>
        </w:tc>
        <w:tc>
          <w:tcPr>
            <w:tcW w:w="5570" w:type="dxa"/>
          </w:tcPr>
          <w:p w14:paraId="02BB2AFC" w14:textId="264016DE" w:rsidR="00927388" w:rsidRPr="00CA6DBA" w:rsidRDefault="005656C7" w:rsidP="00CA6DBA">
            <w:r w:rsidRPr="00CA6DBA">
              <w:t xml:space="preserve">Regular review will ensure that products on the Prostheses List are continuously and rigorously tested for clinical effectiveness and value for money, which will drive competition and encourage industry innovation. </w:t>
            </w:r>
          </w:p>
        </w:tc>
      </w:tr>
      <w:tr w:rsidR="00927388" w:rsidRPr="00CA6DBA" w14:paraId="46B86DDC" w14:textId="77777777" w:rsidTr="00CA6DBA">
        <w:tc>
          <w:tcPr>
            <w:tcW w:w="464" w:type="dxa"/>
          </w:tcPr>
          <w:p w14:paraId="24D9FBAA" w14:textId="02A472D1" w:rsidR="00927388" w:rsidRPr="00CA6DBA" w:rsidRDefault="00927388" w:rsidP="00CA6DBA">
            <w:r w:rsidRPr="00CA6DBA">
              <w:t>5</w:t>
            </w:r>
          </w:p>
        </w:tc>
        <w:tc>
          <w:tcPr>
            <w:tcW w:w="2985" w:type="dxa"/>
          </w:tcPr>
          <w:p w14:paraId="5998606E" w14:textId="24B12CB2" w:rsidR="00927388" w:rsidRPr="00CA6DBA" w:rsidRDefault="007276C8" w:rsidP="00CA6DBA">
            <w:r w:rsidRPr="00CA6DBA">
              <w:t xml:space="preserve">The </w:t>
            </w:r>
            <w:r w:rsidR="00106151" w:rsidRPr="00CA6DBA">
              <w:t>Department’s</w:t>
            </w:r>
            <w:r w:rsidR="007C3A45" w:rsidRPr="00CA6DBA">
              <w:t xml:space="preserve"> capability for post-listing </w:t>
            </w:r>
            <w:r w:rsidR="001B587E" w:rsidRPr="00CA6DBA">
              <w:t xml:space="preserve">price, utilisation and clinical outcome </w:t>
            </w:r>
            <w:r w:rsidR="007C3A45" w:rsidRPr="00CA6DBA">
              <w:t>surveillance</w:t>
            </w:r>
            <w:r w:rsidR="003C76E0" w:rsidRPr="00CA6DBA">
              <w:t xml:space="preserve"> should </w:t>
            </w:r>
            <w:r w:rsidR="001629F0" w:rsidRPr="00CA6DBA">
              <w:t xml:space="preserve">continue to </w:t>
            </w:r>
            <w:r w:rsidR="003C76E0" w:rsidRPr="00CA6DBA">
              <w:t xml:space="preserve">be </w:t>
            </w:r>
            <w:r w:rsidR="00E32C13" w:rsidRPr="00CA6DBA">
              <w:t>increased</w:t>
            </w:r>
            <w:r w:rsidR="009068BE" w:rsidRPr="00CA6DBA">
              <w:t>.</w:t>
            </w:r>
          </w:p>
        </w:tc>
        <w:tc>
          <w:tcPr>
            <w:tcW w:w="5570" w:type="dxa"/>
          </w:tcPr>
          <w:p w14:paraId="45B8343A" w14:textId="6B924950" w:rsidR="00927388" w:rsidRPr="00CA6DBA" w:rsidRDefault="001629F0" w:rsidP="00CA6DBA">
            <w:r w:rsidRPr="00CA6DBA">
              <w:t>By continuing to enhance</w:t>
            </w:r>
            <w:r w:rsidR="00460881" w:rsidRPr="00CA6DBA">
              <w:t xml:space="preserve"> the Department’s responsibility for post-listing surveillance</w:t>
            </w:r>
            <w:r w:rsidR="000D50BB" w:rsidRPr="00CA6DBA">
              <w:t xml:space="preserve">, the </w:t>
            </w:r>
            <w:r w:rsidRPr="00CA6DBA">
              <w:t>PLCAC</w:t>
            </w:r>
            <w:r w:rsidR="000D50BB" w:rsidRPr="00CA6DBA">
              <w:t xml:space="preserve"> </w:t>
            </w:r>
            <w:r w:rsidR="00764D3F" w:rsidRPr="00CA6DBA">
              <w:t xml:space="preserve">will be able to focus its attention on </w:t>
            </w:r>
            <w:r w:rsidR="00DE3EA8" w:rsidRPr="00CA6DBA">
              <w:t>interpreting</w:t>
            </w:r>
            <w:r w:rsidR="00764D3F" w:rsidRPr="00CA6DBA">
              <w:t xml:space="preserve"> the </w:t>
            </w:r>
            <w:r w:rsidR="002B0852" w:rsidRPr="00CA6DBA">
              <w:t>clinical drivers and implications of the results and</w:t>
            </w:r>
            <w:r w:rsidR="00764D3F" w:rsidRPr="00CA6DBA">
              <w:t xml:space="preserve"> mak</w:t>
            </w:r>
            <w:r w:rsidR="0056458A" w:rsidRPr="00CA6DBA">
              <w:t>e</w:t>
            </w:r>
            <w:r w:rsidR="00764D3F" w:rsidRPr="00CA6DBA">
              <w:t xml:space="preserve"> recommendat</w:t>
            </w:r>
            <w:r w:rsidR="002B0852" w:rsidRPr="00CA6DBA">
              <w:t>ions accordingly.</w:t>
            </w:r>
          </w:p>
        </w:tc>
      </w:tr>
      <w:tr w:rsidR="00927388" w:rsidRPr="00CA6DBA" w14:paraId="5E5AD2C1" w14:textId="77777777" w:rsidTr="00CA6DBA">
        <w:tc>
          <w:tcPr>
            <w:tcW w:w="464" w:type="dxa"/>
          </w:tcPr>
          <w:p w14:paraId="2C5B7421" w14:textId="2F8D8C02" w:rsidR="00927388" w:rsidRPr="00CA6DBA" w:rsidRDefault="00927388" w:rsidP="00CA6DBA">
            <w:r w:rsidRPr="00CA6DBA">
              <w:t>6</w:t>
            </w:r>
          </w:p>
        </w:tc>
        <w:tc>
          <w:tcPr>
            <w:tcW w:w="2985" w:type="dxa"/>
          </w:tcPr>
          <w:p w14:paraId="4B82DC58" w14:textId="3C0C6056" w:rsidR="00927388" w:rsidRPr="00CA6DBA" w:rsidRDefault="007276C8" w:rsidP="00CA6DBA">
            <w:r w:rsidRPr="00CA6DBA">
              <w:t xml:space="preserve">The </w:t>
            </w:r>
            <w:r w:rsidR="00D52167" w:rsidRPr="00CA6DBA">
              <w:t>Department</w:t>
            </w:r>
            <w:r w:rsidR="00206C20" w:rsidRPr="00CA6DBA">
              <w:t xml:space="preserve"> </w:t>
            </w:r>
            <w:r w:rsidR="00510BF3" w:rsidRPr="00CA6DBA">
              <w:t xml:space="preserve">should </w:t>
            </w:r>
            <w:r w:rsidR="001629F0" w:rsidRPr="00CA6DBA">
              <w:t xml:space="preserve">continue to provide </w:t>
            </w:r>
            <w:r w:rsidR="00510BF3" w:rsidRPr="00CA6DBA">
              <w:t>documentation of prior Prostheses List decisions</w:t>
            </w:r>
            <w:r w:rsidR="00C55C77" w:rsidRPr="00CA6DBA">
              <w:t>.</w:t>
            </w:r>
          </w:p>
        </w:tc>
        <w:tc>
          <w:tcPr>
            <w:tcW w:w="5570" w:type="dxa"/>
          </w:tcPr>
          <w:p w14:paraId="19024A4C" w14:textId="77777777" w:rsidR="00927388" w:rsidRPr="00CA6DBA" w:rsidRDefault="0053009D" w:rsidP="00CA6DBA">
            <w:r w:rsidRPr="00CA6DBA">
              <w:t xml:space="preserve">The introduction of </w:t>
            </w:r>
            <w:r w:rsidR="00DC434E" w:rsidRPr="00CA6DBA">
              <w:t>standard templates</w:t>
            </w:r>
            <w:r w:rsidR="000A3744" w:rsidRPr="00CA6DBA">
              <w:t xml:space="preserve"> for responses</w:t>
            </w:r>
            <w:r w:rsidR="00E87992" w:rsidRPr="00CA6DBA">
              <w:t>,</w:t>
            </w:r>
            <w:r w:rsidR="00453FCA" w:rsidRPr="00CA6DBA">
              <w:t xml:space="preserve"> which include </w:t>
            </w:r>
            <w:r w:rsidR="004F4EE4" w:rsidRPr="00CA6DBA">
              <w:t xml:space="preserve">explanations and reasons for referrals and </w:t>
            </w:r>
            <w:r w:rsidR="004A637D" w:rsidRPr="00CA6DBA">
              <w:t>decisions</w:t>
            </w:r>
            <w:r w:rsidR="00E87992" w:rsidRPr="00CA6DBA">
              <w:t>, will improve the consistency of decision-making.</w:t>
            </w:r>
            <w:r w:rsidR="004A637D" w:rsidRPr="00CA6DBA">
              <w:t xml:space="preserve"> </w:t>
            </w:r>
          </w:p>
          <w:p w14:paraId="764C0B4F" w14:textId="631F15CD" w:rsidR="00927388" w:rsidRPr="00CA6DBA" w:rsidRDefault="00583A3D" w:rsidP="00CA6DBA">
            <w:r w:rsidRPr="00CA6DBA">
              <w:t xml:space="preserve">These templates should be designed to </w:t>
            </w:r>
            <w:r w:rsidR="008A01B7" w:rsidRPr="00CA6DBA">
              <w:t xml:space="preserve">be comprehensive </w:t>
            </w:r>
            <w:r w:rsidR="00470A04" w:rsidRPr="00CA6DBA">
              <w:t xml:space="preserve">covering all key aspects of the application, </w:t>
            </w:r>
            <w:r w:rsidR="00374F67" w:rsidRPr="00CA6DBA">
              <w:t xml:space="preserve">the context at the time and the rationale for decisions/recommendations made. This will </w:t>
            </w:r>
            <w:r w:rsidR="00C55C77" w:rsidRPr="00CA6DBA">
              <w:t>provide future assessments with a detailed understanding on which to base those decisions.</w:t>
            </w:r>
          </w:p>
        </w:tc>
      </w:tr>
      <w:tr w:rsidR="00927388" w:rsidRPr="00CA6DBA" w14:paraId="3FBA73AF" w14:textId="77777777" w:rsidTr="00CA6DBA">
        <w:tc>
          <w:tcPr>
            <w:tcW w:w="464" w:type="dxa"/>
          </w:tcPr>
          <w:p w14:paraId="79D5DC10" w14:textId="1A524532" w:rsidR="00927388" w:rsidRPr="00CA6DBA" w:rsidRDefault="00927388" w:rsidP="00CA6DBA">
            <w:r w:rsidRPr="00CA6DBA">
              <w:t>7</w:t>
            </w:r>
          </w:p>
        </w:tc>
        <w:tc>
          <w:tcPr>
            <w:tcW w:w="2985" w:type="dxa"/>
          </w:tcPr>
          <w:p w14:paraId="1C685D08" w14:textId="34A62ABA" w:rsidR="00927388" w:rsidRPr="00CA6DBA" w:rsidRDefault="00927388" w:rsidP="00CA6DBA">
            <w:r w:rsidRPr="00CA6DBA">
              <w:t xml:space="preserve">All matters relating to safety and efficacy of medical devices should be referred </w:t>
            </w:r>
            <w:r w:rsidR="007D1B63" w:rsidRPr="00CA6DBA">
              <w:t xml:space="preserve">by the </w:t>
            </w:r>
            <w:r w:rsidR="001629F0" w:rsidRPr="00CA6DBA">
              <w:t>PLCAC</w:t>
            </w:r>
            <w:r w:rsidRPr="00CA6DBA">
              <w:t xml:space="preserve"> to the TGA for action</w:t>
            </w:r>
            <w:r w:rsidR="005B13CF" w:rsidRPr="00CA6DBA">
              <w:t>.</w:t>
            </w:r>
          </w:p>
        </w:tc>
        <w:tc>
          <w:tcPr>
            <w:tcW w:w="5570" w:type="dxa"/>
          </w:tcPr>
          <w:p w14:paraId="6AC5C243" w14:textId="65C1F56A" w:rsidR="00927388" w:rsidRPr="00CA6DBA" w:rsidRDefault="00A11E05" w:rsidP="00CA6DBA">
            <w:r w:rsidRPr="00CA6DBA">
              <w:t xml:space="preserve">These matters are the responsibility of the TGA and align with its expertise. </w:t>
            </w:r>
            <w:r w:rsidR="00A958F3" w:rsidRPr="00CA6DBA">
              <w:t>T</w:t>
            </w:r>
            <w:r w:rsidR="004F7A01" w:rsidRPr="00CA6DBA">
              <w:t>he</w:t>
            </w:r>
            <w:r w:rsidR="00B31274" w:rsidRPr="00CA6DBA">
              <w:t xml:space="preserve"> </w:t>
            </w:r>
            <w:r w:rsidR="001629F0" w:rsidRPr="00CA6DBA">
              <w:t>PLCAC</w:t>
            </w:r>
            <w:r w:rsidR="00B31274" w:rsidRPr="00CA6DBA">
              <w:t xml:space="preserve"> or CEP </w:t>
            </w:r>
            <w:r w:rsidR="00A958F3" w:rsidRPr="00CA6DBA">
              <w:t>considering similar matters would either create inefficiencies or risk inconsistencies in findings.</w:t>
            </w:r>
          </w:p>
        </w:tc>
      </w:tr>
      <w:tr w:rsidR="00927388" w:rsidRPr="00CA6DBA" w14:paraId="450F874D" w14:textId="77777777" w:rsidTr="00CA6DBA">
        <w:tc>
          <w:tcPr>
            <w:tcW w:w="464" w:type="dxa"/>
          </w:tcPr>
          <w:p w14:paraId="6EF4D76A" w14:textId="75E50137" w:rsidR="00927388" w:rsidRPr="00CA6DBA" w:rsidRDefault="00927388" w:rsidP="00CA6DBA">
            <w:r w:rsidRPr="00CA6DBA">
              <w:t>8</w:t>
            </w:r>
          </w:p>
        </w:tc>
        <w:tc>
          <w:tcPr>
            <w:tcW w:w="2985" w:type="dxa"/>
          </w:tcPr>
          <w:p w14:paraId="41F8EB5A" w14:textId="41D89B82" w:rsidR="00927388" w:rsidRPr="00CA6DBA" w:rsidRDefault="003C76E0" w:rsidP="00CA6DBA">
            <w:r w:rsidRPr="00CA6DBA">
              <w:t>Cl</w:t>
            </w:r>
            <w:r w:rsidR="00DE3EA8" w:rsidRPr="00CA6DBA">
              <w:t>ear criteri</w:t>
            </w:r>
            <w:r w:rsidR="002B65B7" w:rsidRPr="00CA6DBA">
              <w:t>a</w:t>
            </w:r>
            <w:r w:rsidR="00595FE9" w:rsidRPr="00CA6DBA">
              <w:t xml:space="preserve"> </w:t>
            </w:r>
            <w:r w:rsidR="006C32CC" w:rsidRPr="00CA6DBA">
              <w:t>which outline the</w:t>
            </w:r>
            <w:r w:rsidR="00412A91" w:rsidRPr="00CA6DBA">
              <w:t xml:space="preserve"> </w:t>
            </w:r>
            <w:r w:rsidR="006C32CC" w:rsidRPr="00CA6DBA">
              <w:t>Prostheses List assessment process</w:t>
            </w:r>
            <w:r w:rsidRPr="00CA6DBA">
              <w:t xml:space="preserve"> should be developed</w:t>
            </w:r>
            <w:r w:rsidR="00F84185" w:rsidRPr="00CA6DBA">
              <w:t>.</w:t>
            </w:r>
          </w:p>
        </w:tc>
        <w:tc>
          <w:tcPr>
            <w:tcW w:w="5570" w:type="dxa"/>
          </w:tcPr>
          <w:p w14:paraId="4DBAECD7" w14:textId="7A0681B0" w:rsidR="00C03089" w:rsidRPr="00CA6DBA" w:rsidRDefault="00C03089" w:rsidP="00CA6DBA">
            <w:r w:rsidRPr="00CA6DBA">
              <w:t xml:space="preserve">Clear assessment criteria for medical device listing, benefit setting, utilisation review and benefit review should be published by the </w:t>
            </w:r>
            <w:r w:rsidR="00A42DFC" w:rsidRPr="00CA6DBA">
              <w:t>Department</w:t>
            </w:r>
            <w:r w:rsidRPr="00CA6DBA">
              <w:t>.</w:t>
            </w:r>
          </w:p>
          <w:p w14:paraId="0569C0A1" w14:textId="0660E196" w:rsidR="00927388" w:rsidRPr="00CA6DBA" w:rsidRDefault="00D060DB" w:rsidP="00CA6DBA">
            <w:r w:rsidRPr="00CA6DBA">
              <w:lastRenderedPageBreak/>
              <w:t xml:space="preserve">This </w:t>
            </w:r>
            <w:r w:rsidR="00BE5ABD" w:rsidRPr="00CA6DBA">
              <w:t xml:space="preserve">will </w:t>
            </w:r>
            <w:r w:rsidR="00A602DE" w:rsidRPr="00CA6DBA">
              <w:t>i</w:t>
            </w:r>
            <w:r w:rsidR="006D6F61" w:rsidRPr="00CA6DBA">
              <w:t>mprove</w:t>
            </w:r>
            <w:r w:rsidR="00A602DE" w:rsidRPr="00CA6DBA">
              <w:t xml:space="preserve"> </w:t>
            </w:r>
            <w:r w:rsidR="00463AAF" w:rsidRPr="00CA6DBA">
              <w:t xml:space="preserve">the </w:t>
            </w:r>
            <w:r w:rsidR="00A602DE" w:rsidRPr="00CA6DBA">
              <w:t>consistency and transparency</w:t>
            </w:r>
            <w:r w:rsidR="00463AAF" w:rsidRPr="00CA6DBA">
              <w:t xml:space="preserve"> </w:t>
            </w:r>
            <w:r w:rsidR="006D6F61" w:rsidRPr="00CA6DBA">
              <w:t xml:space="preserve">of advice relating to the listing and benefits of items </w:t>
            </w:r>
            <w:r w:rsidR="009C46B8" w:rsidRPr="00CA6DBA">
              <w:t>on the Prostheses List.</w:t>
            </w:r>
            <w:r w:rsidR="00F7384F" w:rsidRPr="00CA6DBA">
              <w:t xml:space="preserve"> </w:t>
            </w:r>
          </w:p>
        </w:tc>
      </w:tr>
      <w:tr w:rsidR="00927388" w:rsidRPr="00CA6DBA" w14:paraId="08C64F12" w14:textId="77777777" w:rsidTr="00CA6DBA">
        <w:tc>
          <w:tcPr>
            <w:tcW w:w="464" w:type="dxa"/>
          </w:tcPr>
          <w:p w14:paraId="7FC67241" w14:textId="417D0B39" w:rsidR="00927388" w:rsidRPr="00CA6DBA" w:rsidRDefault="00927388" w:rsidP="00CA6DBA">
            <w:r w:rsidRPr="00CA6DBA">
              <w:lastRenderedPageBreak/>
              <w:t>9</w:t>
            </w:r>
          </w:p>
        </w:tc>
        <w:tc>
          <w:tcPr>
            <w:tcW w:w="2985" w:type="dxa"/>
          </w:tcPr>
          <w:p w14:paraId="7B1A2D48" w14:textId="183EC714" w:rsidR="00927388" w:rsidRPr="00CA6DBA" w:rsidRDefault="00927388" w:rsidP="00CA6DBA">
            <w:r w:rsidRPr="00CA6DBA">
              <w:t>Clear criteria should be established to define when a formal HTA is required</w:t>
            </w:r>
            <w:r w:rsidR="005B13CF" w:rsidRPr="00CA6DBA">
              <w:t>.</w:t>
            </w:r>
          </w:p>
        </w:tc>
        <w:tc>
          <w:tcPr>
            <w:tcW w:w="5570" w:type="dxa"/>
          </w:tcPr>
          <w:p w14:paraId="36482528" w14:textId="5CF0C729" w:rsidR="00927388" w:rsidRPr="00CA6DBA" w:rsidRDefault="004356F2" w:rsidP="00CA6DBA">
            <w:r w:rsidRPr="00CA6DBA">
              <w:t xml:space="preserve">Clear criteria for an HTA will enable </w:t>
            </w:r>
            <w:r w:rsidR="00D14CF9" w:rsidRPr="00CA6DBA">
              <w:t xml:space="preserve">the </w:t>
            </w:r>
            <w:r w:rsidR="001D7116" w:rsidRPr="00CA6DBA">
              <w:t xml:space="preserve">TAAD </w:t>
            </w:r>
            <w:r w:rsidR="00D14CF9" w:rsidRPr="00CA6DBA">
              <w:t>to run</w:t>
            </w:r>
            <w:r w:rsidRPr="00CA6DBA">
              <w:t xml:space="preserve"> a consi</w:t>
            </w:r>
            <w:r w:rsidR="00A2724F" w:rsidRPr="00CA6DBA">
              <w:t>stent, well-understood and efficient triaging system for applications</w:t>
            </w:r>
            <w:r w:rsidR="001629F0" w:rsidRPr="00CA6DBA">
              <w:t xml:space="preserve">; </w:t>
            </w:r>
            <w:proofErr w:type="gramStart"/>
            <w:r w:rsidR="001629F0" w:rsidRPr="00CA6DBA">
              <w:t>and also</w:t>
            </w:r>
            <w:proofErr w:type="gramEnd"/>
            <w:r w:rsidR="001629F0" w:rsidRPr="00CA6DBA">
              <w:t xml:space="preserve"> allow the PLCAC and the CEP to determine if an application should be referred for a HTA process as this may only become only evident once an assessment has occurred</w:t>
            </w:r>
            <w:r w:rsidR="008364DC" w:rsidRPr="00CA6DBA">
              <w:t>.</w:t>
            </w:r>
          </w:p>
        </w:tc>
      </w:tr>
      <w:tr w:rsidR="00927388" w:rsidRPr="00CA6DBA" w14:paraId="4CDB5E4D" w14:textId="77777777" w:rsidTr="00CA6DBA">
        <w:tc>
          <w:tcPr>
            <w:tcW w:w="464" w:type="dxa"/>
          </w:tcPr>
          <w:p w14:paraId="3AD4095B" w14:textId="72B85A6B" w:rsidR="00927388" w:rsidRPr="00CA6DBA" w:rsidRDefault="00927388" w:rsidP="00CA6DBA">
            <w:r w:rsidRPr="00CA6DBA">
              <w:t>10</w:t>
            </w:r>
          </w:p>
        </w:tc>
        <w:tc>
          <w:tcPr>
            <w:tcW w:w="2985" w:type="dxa"/>
          </w:tcPr>
          <w:p w14:paraId="7377BB27" w14:textId="1C156011" w:rsidR="00927388" w:rsidRPr="00CA6DBA" w:rsidRDefault="00927388" w:rsidP="00CA6DBA">
            <w:r w:rsidRPr="00CA6DBA">
              <w:t xml:space="preserve">The workload of the </w:t>
            </w:r>
            <w:r w:rsidR="001629F0" w:rsidRPr="00CA6DBA">
              <w:t>PLCAC</w:t>
            </w:r>
            <w:r w:rsidR="00FD62A1" w:rsidRPr="00CA6DBA">
              <w:t xml:space="preserve"> and </w:t>
            </w:r>
            <w:r w:rsidR="00D52B71" w:rsidRPr="00CA6DBA">
              <w:t xml:space="preserve">the </w:t>
            </w:r>
            <w:r w:rsidR="00FD62A1" w:rsidRPr="00CA6DBA">
              <w:t>CEP</w:t>
            </w:r>
            <w:r w:rsidR="00D77262" w:rsidRPr="00CA6DBA">
              <w:t xml:space="preserve"> should</w:t>
            </w:r>
            <w:r w:rsidRPr="00CA6DBA">
              <w:t xml:space="preserve"> be more effectively streamlined</w:t>
            </w:r>
            <w:r w:rsidR="00672956" w:rsidRPr="00CA6DBA">
              <w:t>.</w:t>
            </w:r>
            <w:r w:rsidRPr="00CA6DBA">
              <w:t xml:space="preserve"> </w:t>
            </w:r>
          </w:p>
        </w:tc>
        <w:tc>
          <w:tcPr>
            <w:tcW w:w="5570" w:type="dxa"/>
          </w:tcPr>
          <w:p w14:paraId="2E0A6003" w14:textId="13D75A79" w:rsidR="008C3338" w:rsidRPr="00CA6DBA" w:rsidRDefault="008C3338" w:rsidP="00CA6DBA">
            <w:r w:rsidRPr="00CA6DBA">
              <w:t>This change is intended to reduce inefficiencies in the assessment process.</w:t>
            </w:r>
          </w:p>
          <w:p w14:paraId="39F528B2" w14:textId="273680E7" w:rsidR="00672956" w:rsidRPr="00CA6DBA" w:rsidRDefault="00672956" w:rsidP="00CA6DBA">
            <w:r w:rsidRPr="00CA6DBA">
              <w:t xml:space="preserve">This would mean that only applications and revisions of a significant nature are considered by the </w:t>
            </w:r>
            <w:r w:rsidR="001629F0" w:rsidRPr="00CA6DBA">
              <w:t>PLCAC</w:t>
            </w:r>
            <w:r w:rsidRPr="00CA6DBA">
              <w:t xml:space="preserve">, with </w:t>
            </w:r>
            <w:r w:rsidR="001629F0" w:rsidRPr="00CA6DBA">
              <w:t xml:space="preserve">more straightforward matters and/or </w:t>
            </w:r>
            <w:r w:rsidRPr="00CA6DBA">
              <w:t xml:space="preserve">matters </w:t>
            </w:r>
            <w:r w:rsidR="001629F0" w:rsidRPr="00CA6DBA">
              <w:t xml:space="preserve">that are </w:t>
            </w:r>
            <w:r w:rsidR="008C3338" w:rsidRPr="00CA6DBA">
              <w:t xml:space="preserve">not </w:t>
            </w:r>
            <w:r w:rsidR="001629F0" w:rsidRPr="00CA6DBA">
              <w:t xml:space="preserve">expected to have a material </w:t>
            </w:r>
            <w:r w:rsidR="008C3338" w:rsidRPr="00CA6DBA">
              <w:t xml:space="preserve">impact on overall funding through the Prostheses List to be </w:t>
            </w:r>
            <w:r w:rsidRPr="00CA6DBA">
              <w:t xml:space="preserve">considered by the </w:t>
            </w:r>
            <w:r w:rsidR="00DE65D8" w:rsidRPr="00CA6DBA">
              <w:t>Department</w:t>
            </w:r>
            <w:r w:rsidRPr="00CA6DBA">
              <w:t>.</w:t>
            </w:r>
          </w:p>
          <w:p w14:paraId="6607E0D2" w14:textId="1E62B5BB" w:rsidR="00927388" w:rsidRPr="00CA6DBA" w:rsidRDefault="00D52B71" w:rsidP="00CA6DBA">
            <w:r w:rsidRPr="00CA6DBA">
              <w:t xml:space="preserve">The </w:t>
            </w:r>
            <w:r w:rsidR="001629F0" w:rsidRPr="00CA6DBA">
              <w:t>PLCAC</w:t>
            </w:r>
            <w:r w:rsidR="00C936B3" w:rsidRPr="00CA6DBA">
              <w:t xml:space="preserve"> and CEP bring unique clinical skills to the assessment process</w:t>
            </w:r>
            <w:r w:rsidR="00E64435" w:rsidRPr="00CA6DBA">
              <w:t xml:space="preserve"> and so add the most value to the assessment of complicated </w:t>
            </w:r>
            <w:r w:rsidR="008C3338" w:rsidRPr="00CA6DBA">
              <w:t xml:space="preserve">matters and/or matters that may have a material impact on </w:t>
            </w:r>
            <w:r w:rsidR="0090544C" w:rsidRPr="00CA6DBA">
              <w:t xml:space="preserve">the </w:t>
            </w:r>
            <w:r w:rsidR="008C3338" w:rsidRPr="00CA6DBA">
              <w:t>overall funding through the Prostheses List</w:t>
            </w:r>
            <w:r w:rsidR="00E64435" w:rsidRPr="00CA6DBA">
              <w:t xml:space="preserve">. Meanwhile </w:t>
            </w:r>
            <w:r w:rsidR="004D0967" w:rsidRPr="00CA6DBA">
              <w:t xml:space="preserve">the </w:t>
            </w:r>
            <w:r w:rsidR="00A123EA" w:rsidRPr="00CA6DBA">
              <w:t>Department</w:t>
            </w:r>
            <w:r w:rsidR="00200929" w:rsidRPr="00CA6DBA">
              <w:t xml:space="preserve"> </w:t>
            </w:r>
            <w:r w:rsidRPr="00CA6DBA">
              <w:t xml:space="preserve">is capable of appropriately </w:t>
            </w:r>
            <w:r w:rsidR="003F425A" w:rsidRPr="00CA6DBA">
              <w:t xml:space="preserve">assessing </w:t>
            </w:r>
            <w:r w:rsidR="00E64435" w:rsidRPr="00CA6DBA">
              <w:t xml:space="preserve">more </w:t>
            </w:r>
            <w:r w:rsidR="003F425A" w:rsidRPr="00CA6DBA">
              <w:t>minor</w:t>
            </w:r>
            <w:r w:rsidR="00CE0DA3" w:rsidRPr="00CA6DBA">
              <w:t xml:space="preserve"> </w:t>
            </w:r>
            <w:r w:rsidR="003F425A" w:rsidRPr="00CA6DBA">
              <w:t>and uncomplicated applications</w:t>
            </w:r>
            <w:r w:rsidR="00E64435" w:rsidRPr="00CA6DBA">
              <w:t xml:space="preserve"> efficiently.</w:t>
            </w:r>
          </w:p>
          <w:p w14:paraId="5353B1DD" w14:textId="267B4288" w:rsidR="008C3338" w:rsidRPr="00CA6DBA" w:rsidRDefault="008C3338" w:rsidP="00CA6DBA">
            <w:r w:rsidRPr="00CA6DBA">
              <w:t xml:space="preserve">More details are provided in Section </w:t>
            </w:r>
            <w:r w:rsidRPr="00CA6DBA">
              <w:fldChar w:fldCharType="begin"/>
            </w:r>
            <w:r w:rsidRPr="00CA6DBA">
              <w:instrText xml:space="preserve"> REF _Ref77322041 \r \h </w:instrText>
            </w:r>
            <w:r w:rsidR="00DD5AA5" w:rsidRPr="00CA6DBA">
              <w:instrText xml:space="preserve"> \* MERGEFORMAT </w:instrText>
            </w:r>
            <w:r w:rsidRPr="00CA6DBA">
              <w:fldChar w:fldCharType="separate"/>
            </w:r>
            <w:r w:rsidR="00475597" w:rsidRPr="00CA6DBA">
              <w:t>6</w:t>
            </w:r>
            <w:r w:rsidRPr="00CA6DBA">
              <w:fldChar w:fldCharType="end"/>
            </w:r>
            <w:r w:rsidRPr="00CA6DBA">
              <w:t>.</w:t>
            </w:r>
          </w:p>
        </w:tc>
      </w:tr>
      <w:tr w:rsidR="00927388" w:rsidRPr="00CA6DBA" w14:paraId="751DF8F4" w14:textId="77777777" w:rsidTr="00CA6DBA">
        <w:tc>
          <w:tcPr>
            <w:tcW w:w="464" w:type="dxa"/>
          </w:tcPr>
          <w:p w14:paraId="7F4249CD" w14:textId="06ECFAE8" w:rsidR="00927388" w:rsidRPr="00CA6DBA" w:rsidRDefault="00904CCD" w:rsidP="00CA6DBA">
            <w:r w:rsidRPr="00CA6DBA">
              <w:t>11</w:t>
            </w:r>
          </w:p>
        </w:tc>
        <w:tc>
          <w:tcPr>
            <w:tcW w:w="2985" w:type="dxa"/>
          </w:tcPr>
          <w:p w14:paraId="2D164445" w14:textId="2CB6704D" w:rsidR="00927388" w:rsidRPr="00CA6DBA" w:rsidRDefault="00E52DE9" w:rsidP="00CA6DBA">
            <w:r w:rsidRPr="00CA6DBA">
              <w:t xml:space="preserve">All listings </w:t>
            </w:r>
            <w:r w:rsidR="00D10C75" w:rsidRPr="00CA6DBA">
              <w:t>on</w:t>
            </w:r>
            <w:r w:rsidRPr="00CA6DBA">
              <w:t xml:space="preserve"> the Prostheses List </w:t>
            </w:r>
            <w:r w:rsidR="00E64435" w:rsidRPr="00CA6DBA">
              <w:t xml:space="preserve">should </w:t>
            </w:r>
            <w:r w:rsidR="001C1E7F" w:rsidRPr="00CA6DBA">
              <w:t xml:space="preserve">have a </w:t>
            </w:r>
            <w:r w:rsidR="00A3014E" w:rsidRPr="00CA6DBA">
              <w:t>date</w:t>
            </w:r>
            <w:r w:rsidR="00837313" w:rsidRPr="00CA6DBA">
              <w:t xml:space="preserve"> for </w:t>
            </w:r>
            <w:r w:rsidR="00E414CD" w:rsidRPr="00CA6DBA">
              <w:t xml:space="preserve">the </w:t>
            </w:r>
            <w:r w:rsidR="00F02FB7" w:rsidRPr="00CA6DBA">
              <w:t>next review.</w:t>
            </w:r>
            <w:r w:rsidRPr="00CA6DBA">
              <w:t xml:space="preserve"> </w:t>
            </w:r>
          </w:p>
        </w:tc>
        <w:tc>
          <w:tcPr>
            <w:tcW w:w="5570" w:type="dxa"/>
          </w:tcPr>
          <w:p w14:paraId="6F9E73E5" w14:textId="7EED831D" w:rsidR="00DD3AB2" w:rsidRPr="00CA6DBA" w:rsidRDefault="00DD3AB2" w:rsidP="00CA6DBA">
            <w:r w:rsidRPr="00CA6DBA">
              <w:t xml:space="preserve">At that point, the </w:t>
            </w:r>
            <w:r w:rsidR="00DD6EDE" w:rsidRPr="00CA6DBA">
              <w:t>Department</w:t>
            </w:r>
            <w:r w:rsidR="00043375" w:rsidRPr="00CA6DBA">
              <w:t xml:space="preserve"> </w:t>
            </w:r>
            <w:r w:rsidRPr="00CA6DBA">
              <w:t>would consider the ongoing need for the medical device to be on the Protheses List and the level of the benefit set.</w:t>
            </w:r>
          </w:p>
          <w:p w14:paraId="4A45DC37" w14:textId="6C493402" w:rsidR="00927388" w:rsidRPr="00CA6DBA" w:rsidRDefault="00F879BD" w:rsidP="00CA6DBA">
            <w:r w:rsidRPr="00CA6DBA">
              <w:t xml:space="preserve">A mandatory and defined trigger </w:t>
            </w:r>
            <w:r w:rsidR="00B7619C" w:rsidRPr="00CA6DBA">
              <w:t xml:space="preserve">for review </w:t>
            </w:r>
            <w:r w:rsidR="006D7F17" w:rsidRPr="00CA6DBA">
              <w:t>w</w:t>
            </w:r>
            <w:r w:rsidR="00497CD6" w:rsidRPr="00CA6DBA">
              <w:t>ill support greater</w:t>
            </w:r>
            <w:r w:rsidR="00B7619C" w:rsidRPr="00CA6DBA">
              <w:t xml:space="preserve"> competition an</w:t>
            </w:r>
            <w:r w:rsidR="005E4443" w:rsidRPr="00CA6DBA">
              <w:t>d innovation on the Prostheses List.</w:t>
            </w:r>
            <w:r w:rsidR="001C1D8D" w:rsidRPr="00CA6DBA">
              <w:t xml:space="preserve"> </w:t>
            </w:r>
          </w:p>
        </w:tc>
      </w:tr>
    </w:tbl>
    <w:p w14:paraId="7BE7A71D" w14:textId="2916794E" w:rsidR="0034191A" w:rsidRPr="00D2484E" w:rsidRDefault="0034191A" w:rsidP="00CA6DBA">
      <w:r w:rsidRPr="00D2484E">
        <w:t>The Department may consider these recommendations wholly or in part</w:t>
      </w:r>
      <w:r w:rsidR="002A67BA" w:rsidRPr="00D2484E">
        <w:t xml:space="preserve"> to deliver </w:t>
      </w:r>
      <w:r w:rsidR="00B92D43" w:rsidRPr="00D2484E">
        <w:t>improvements to the Prostheses List accession process</w:t>
      </w:r>
      <w:r w:rsidR="009C5158" w:rsidRPr="00D2484E">
        <w:t xml:space="preserve"> and enhance its support to the Minister.</w:t>
      </w:r>
    </w:p>
    <w:p w14:paraId="30EF7CEC" w14:textId="3D4BD2A3" w:rsidR="000A1952" w:rsidRPr="00D2484E" w:rsidRDefault="00977050" w:rsidP="00510194">
      <w:pPr>
        <w:pStyle w:val="EYHeading3"/>
      </w:pPr>
      <w:r w:rsidRPr="00D2484E">
        <w:t>Conclusion</w:t>
      </w:r>
    </w:p>
    <w:p w14:paraId="00325B38" w14:textId="35C88EF4" w:rsidR="00BA6571" w:rsidRPr="00D2484E" w:rsidRDefault="00315921" w:rsidP="00CA6DBA">
      <w:r w:rsidRPr="00D2484E">
        <w:t xml:space="preserve">This Review finds that there is a continued role </w:t>
      </w:r>
      <w:r w:rsidR="006F2EC1" w:rsidRPr="00D2484E">
        <w:t>to support the Minister in</w:t>
      </w:r>
      <w:r w:rsidR="006F2EC1" w:rsidRPr="00D2484E" w:rsidDel="008827FB">
        <w:t xml:space="preserve"> </w:t>
      </w:r>
      <w:r w:rsidR="008827FB" w:rsidRPr="00D2484E">
        <w:t>the governance of</w:t>
      </w:r>
      <w:r w:rsidR="006F2EC1" w:rsidRPr="00D2484E">
        <w:t xml:space="preserve"> the Prostheses List</w:t>
      </w:r>
      <w:r w:rsidR="00075A17" w:rsidRPr="00D2484E">
        <w:t xml:space="preserve">, however significant amendments are required to </w:t>
      </w:r>
      <w:r w:rsidR="00833788" w:rsidRPr="00D2484E">
        <w:t xml:space="preserve">better facilitate this function. </w:t>
      </w:r>
      <w:r w:rsidR="006943F3" w:rsidRPr="00D2484E">
        <w:t>Enhancement</w:t>
      </w:r>
      <w:r w:rsidR="00FB2080" w:rsidRPr="00D2484E">
        <w:t xml:space="preserve"> </w:t>
      </w:r>
      <w:r w:rsidR="00473D1F" w:rsidRPr="00D2484E">
        <w:t>of</w:t>
      </w:r>
      <w:r w:rsidR="00161552" w:rsidRPr="00D2484E">
        <w:t xml:space="preserve"> Prostheses List</w:t>
      </w:r>
      <w:r w:rsidR="00F1727A" w:rsidRPr="00D2484E">
        <w:t xml:space="preserve"> governance </w:t>
      </w:r>
      <w:r w:rsidR="006943F3" w:rsidRPr="00D2484E">
        <w:t xml:space="preserve">arrangements and </w:t>
      </w:r>
      <w:r w:rsidR="00F1727A" w:rsidRPr="00D2484E">
        <w:t xml:space="preserve">functional relationships </w:t>
      </w:r>
      <w:r w:rsidR="00BA6571" w:rsidRPr="00D2484E">
        <w:t>woul</w:t>
      </w:r>
      <w:r w:rsidR="001A5AAD" w:rsidRPr="00D2484E">
        <w:t>d</w:t>
      </w:r>
      <w:r w:rsidR="00BA6571" w:rsidRPr="00D2484E">
        <w:t xml:space="preserve"> contribute to the strengthening of Australia’s overall HTA </w:t>
      </w:r>
      <w:proofErr w:type="gramStart"/>
      <w:r w:rsidR="00BA6571" w:rsidRPr="00D2484E">
        <w:t>capability, and</w:t>
      </w:r>
      <w:proofErr w:type="gramEnd"/>
      <w:r w:rsidR="00BA6571" w:rsidRPr="00D2484E">
        <w:t xml:space="preserve"> support the Australian Government’s objective of delivering a safe, effective and efficient health care system.</w:t>
      </w:r>
    </w:p>
    <w:p w14:paraId="37A225A1" w14:textId="20DC8A50" w:rsidR="00B90287" w:rsidRPr="00D2484E" w:rsidRDefault="001E0139" w:rsidP="00CA6DBA">
      <w:r w:rsidRPr="00D2484E">
        <w:t>The Finding</w:t>
      </w:r>
      <w:r w:rsidR="00471F7A" w:rsidRPr="00D2484E">
        <w:t>s</w:t>
      </w:r>
      <w:r w:rsidRPr="00D2484E">
        <w:t>, Options and Recommendations defined in this Review</w:t>
      </w:r>
      <w:r w:rsidR="00D101F0" w:rsidRPr="00D2484E">
        <w:t xml:space="preserve"> </w:t>
      </w:r>
      <w:r w:rsidR="009E41A3" w:rsidRPr="00D2484E">
        <w:t>require further consideration</w:t>
      </w:r>
      <w:r w:rsidR="000B6B03" w:rsidRPr="00D2484E">
        <w:t xml:space="preserve"> to ensure that </w:t>
      </w:r>
      <w:r w:rsidR="0057556E" w:rsidRPr="00D2484E">
        <w:t>they</w:t>
      </w:r>
      <w:r w:rsidR="000B6B03" w:rsidRPr="00D2484E">
        <w:t xml:space="preserve"> meet the overall </w:t>
      </w:r>
      <w:r w:rsidR="00421600" w:rsidRPr="00D2484E">
        <w:t xml:space="preserve">policy </w:t>
      </w:r>
      <w:r w:rsidR="000B6B03" w:rsidRPr="00D2484E">
        <w:t>intent</w:t>
      </w:r>
      <w:r w:rsidR="0084046F" w:rsidRPr="00D2484E">
        <w:t xml:space="preserve"> of, and harmonise with, </w:t>
      </w:r>
      <w:r w:rsidR="003C3AC4" w:rsidRPr="00D2484E">
        <w:t>broader</w:t>
      </w:r>
      <w:r w:rsidR="004423C2" w:rsidRPr="00D2484E">
        <w:t xml:space="preserve"> </w:t>
      </w:r>
      <w:r w:rsidR="00891E56" w:rsidRPr="00D2484E">
        <w:t xml:space="preserve">Prostheses List </w:t>
      </w:r>
      <w:r w:rsidR="004423C2" w:rsidRPr="00D2484E">
        <w:t>Reform efforts.</w:t>
      </w:r>
      <w:r w:rsidR="00236F40" w:rsidRPr="00D2484E">
        <w:t xml:space="preserve"> </w:t>
      </w:r>
      <w:r w:rsidR="0071659E" w:rsidRPr="00D2484E">
        <w:t>The Department should not merely replace</w:t>
      </w:r>
      <w:r w:rsidR="00280F21" w:rsidRPr="00D2484E">
        <w:t xml:space="preserve"> </w:t>
      </w:r>
      <w:r w:rsidR="00F65F97" w:rsidRPr="00D2484E">
        <w:t>the current arrangements</w:t>
      </w:r>
      <w:r w:rsidR="000B2BAB" w:rsidRPr="00D2484E">
        <w:t xml:space="preserve">, but </w:t>
      </w:r>
      <w:r w:rsidR="00720BF2" w:rsidRPr="00D2484E">
        <w:t xml:space="preserve">should </w:t>
      </w:r>
      <w:r w:rsidR="00F65F97" w:rsidRPr="00D2484E">
        <w:t xml:space="preserve">carefully </w:t>
      </w:r>
      <w:r w:rsidR="00A84632" w:rsidRPr="00D2484E">
        <w:t>review</w:t>
      </w:r>
      <w:r w:rsidR="00F65F97" w:rsidRPr="00D2484E">
        <w:t xml:space="preserve"> </w:t>
      </w:r>
      <w:r w:rsidR="004E220D" w:rsidRPr="00D2484E">
        <w:t xml:space="preserve">and enhance </w:t>
      </w:r>
      <w:r w:rsidR="00F65F97" w:rsidRPr="00D2484E">
        <w:t xml:space="preserve">the </w:t>
      </w:r>
      <w:r w:rsidR="00EE4623" w:rsidRPr="00D2484E">
        <w:t xml:space="preserve">arrangements, </w:t>
      </w:r>
      <w:r w:rsidR="00F65F97" w:rsidRPr="00D2484E">
        <w:t xml:space="preserve">systems, </w:t>
      </w:r>
      <w:proofErr w:type="gramStart"/>
      <w:r w:rsidR="00F65F97" w:rsidRPr="00D2484E">
        <w:lastRenderedPageBreak/>
        <w:t>data</w:t>
      </w:r>
      <w:proofErr w:type="gramEnd"/>
      <w:r w:rsidR="00F65F97" w:rsidRPr="00D2484E">
        <w:t xml:space="preserve"> and capability </w:t>
      </w:r>
      <w:r w:rsidR="000C7D7A" w:rsidRPr="00D2484E">
        <w:t xml:space="preserve">which </w:t>
      </w:r>
      <w:r w:rsidR="00F65F97" w:rsidRPr="00D2484E">
        <w:t>underpin</w:t>
      </w:r>
      <w:r w:rsidR="003C3E46" w:rsidRPr="00D2484E">
        <w:t xml:space="preserve"> </w:t>
      </w:r>
      <w:r w:rsidR="0084046F" w:rsidRPr="00D2484E">
        <w:t xml:space="preserve">governance of the Prostheses List </w:t>
      </w:r>
      <w:r w:rsidR="00E05543" w:rsidRPr="00D2484E">
        <w:t xml:space="preserve">with a view of both </w:t>
      </w:r>
      <w:r w:rsidR="00B92BAD" w:rsidRPr="00D2484E">
        <w:t xml:space="preserve">meeting </w:t>
      </w:r>
      <w:r w:rsidR="00E05543" w:rsidRPr="00D2484E">
        <w:t>the overall Reforms and</w:t>
      </w:r>
      <w:r w:rsidR="00B92BAD" w:rsidRPr="00D2484E">
        <w:t xml:space="preserve"> enhancing </w:t>
      </w:r>
      <w:r w:rsidR="00E05543" w:rsidRPr="00D2484E">
        <w:t>HTA in Australia more broadly.</w:t>
      </w:r>
    </w:p>
    <w:p w14:paraId="401FC059" w14:textId="719CBDEF" w:rsidR="006F14FB" w:rsidRPr="00D2484E" w:rsidRDefault="00FA7A5C" w:rsidP="005F678C">
      <w:pPr>
        <w:pStyle w:val="EYHeading1"/>
      </w:pPr>
      <w:bookmarkStart w:id="13" w:name="_Toc46912775"/>
      <w:bookmarkStart w:id="14" w:name="_Toc77329437"/>
      <w:bookmarkEnd w:id="13"/>
      <w:r w:rsidRPr="00D2484E">
        <w:lastRenderedPageBreak/>
        <w:t>Introduction</w:t>
      </w:r>
      <w:bookmarkEnd w:id="14"/>
    </w:p>
    <w:p w14:paraId="3AE9511B" w14:textId="2DAFFE56" w:rsidR="0071272E" w:rsidRPr="00D2484E" w:rsidRDefault="0071272E" w:rsidP="00675361">
      <w:pPr>
        <w:pStyle w:val="EYHeading2"/>
      </w:pPr>
      <w:bookmarkStart w:id="15" w:name="_Toc77329438"/>
      <w:r w:rsidRPr="00D2484E">
        <w:t>Prostheses List reform</w:t>
      </w:r>
      <w:r w:rsidR="0007799B" w:rsidRPr="00D2484E">
        <w:t>s</w:t>
      </w:r>
      <w:bookmarkEnd w:id="15"/>
    </w:p>
    <w:p w14:paraId="23D9465D" w14:textId="19D2E7A8" w:rsidR="0071272E" w:rsidRPr="00D2484E" w:rsidRDefault="0071272E" w:rsidP="00CA6DBA">
      <w:r w:rsidRPr="00D2484E">
        <w:t>In the 2021-22 Federal Budget, the Australian Government announced an investment of $22 million over 4 years to reduce the cost of medical devices used in the private health sector and to streamline access to new medical devices</w:t>
      </w:r>
      <w:r w:rsidR="00B92BAD" w:rsidRPr="00D2484E">
        <w:t>. Th</w:t>
      </w:r>
      <w:r w:rsidR="007C6AB2" w:rsidRPr="00D2484E">
        <w:t xml:space="preserve">is investment </w:t>
      </w:r>
      <w:r w:rsidR="007D3666" w:rsidRPr="00D2484E">
        <w:t xml:space="preserve">is part of a broader set of </w:t>
      </w:r>
      <w:r w:rsidR="00B92BAD" w:rsidRPr="00D2484E">
        <w:t xml:space="preserve">reforms </w:t>
      </w:r>
      <w:r w:rsidR="007D3666" w:rsidRPr="00D2484E">
        <w:t>aimed at</w:t>
      </w:r>
      <w:r w:rsidR="00B92BAD" w:rsidRPr="00D2484E">
        <w:t xml:space="preserve"> improv</w:t>
      </w:r>
      <w:r w:rsidR="007D3666" w:rsidRPr="00D2484E">
        <w:t>ing</w:t>
      </w:r>
      <w:r w:rsidR="00B92BAD" w:rsidRPr="00D2484E">
        <w:t xml:space="preserve"> </w:t>
      </w:r>
      <w:r w:rsidRPr="00D2484E">
        <w:t xml:space="preserve">the affordability and value of private health insurance for Australians. </w:t>
      </w:r>
    </w:p>
    <w:p w14:paraId="60B720EF" w14:textId="7BE9D344" w:rsidR="001F12DD" w:rsidRPr="00CA6DBA" w:rsidRDefault="0071272E" w:rsidP="00CA6DBA">
      <w:r w:rsidRPr="00D2484E">
        <w:t>Prior to th</w:t>
      </w:r>
      <w:r w:rsidR="00D62AF5" w:rsidRPr="00D2484E">
        <w:t>is latest funding announcement, the Department has been working through a program of reforms to the Prostheses List, including</w:t>
      </w:r>
      <w:r w:rsidR="00582816" w:rsidRPr="00D2484E">
        <w:t xml:space="preserve"> </w:t>
      </w:r>
      <w:r w:rsidR="001F12DD" w:rsidRPr="00D2484E">
        <w:rPr>
          <w:lang w:eastAsia="en-AU"/>
        </w:rPr>
        <w:t xml:space="preserve">three rounds of </w:t>
      </w:r>
      <w:r w:rsidR="00ED563E" w:rsidRPr="00D2484E">
        <w:rPr>
          <w:lang w:eastAsia="en-AU"/>
        </w:rPr>
        <w:t>benefit</w:t>
      </w:r>
      <w:r w:rsidR="001F12DD" w:rsidRPr="00D2484E">
        <w:rPr>
          <w:lang w:eastAsia="en-AU"/>
        </w:rPr>
        <w:t xml:space="preserve"> reductions </w:t>
      </w:r>
      <w:r w:rsidR="00DD03EC" w:rsidRPr="00D2484E">
        <w:rPr>
          <w:lang w:eastAsia="en-AU"/>
        </w:rPr>
        <w:t>in each of</w:t>
      </w:r>
      <w:r w:rsidR="001F12DD" w:rsidRPr="00D2484E">
        <w:rPr>
          <w:lang w:eastAsia="en-AU"/>
        </w:rPr>
        <w:t xml:space="preserve"> 2018</w:t>
      </w:r>
      <w:r w:rsidR="00DD03EC" w:rsidRPr="00D2484E">
        <w:rPr>
          <w:lang w:eastAsia="en-AU"/>
        </w:rPr>
        <w:t>, 2019 and</w:t>
      </w:r>
      <w:r w:rsidR="001F12DD" w:rsidRPr="00D2484E">
        <w:rPr>
          <w:lang w:eastAsia="en-AU"/>
        </w:rPr>
        <w:t xml:space="preserve"> 2020.</w:t>
      </w:r>
      <w:r w:rsidR="001F12DD" w:rsidRPr="00D2484E">
        <w:rPr>
          <w:rStyle w:val="FootnoteReference"/>
          <w:rFonts w:ascii="Arial" w:hAnsi="Arial"/>
          <w:lang w:eastAsia="en-AU"/>
        </w:rPr>
        <w:footnoteReference w:id="2"/>
      </w:r>
    </w:p>
    <w:p w14:paraId="17908408" w14:textId="644EDBF9" w:rsidR="0071272E" w:rsidRPr="00CA6DBA" w:rsidRDefault="000E1155" w:rsidP="00CA6DBA">
      <w:r w:rsidRPr="00D2484E">
        <w:t xml:space="preserve">In addition, a number of reviews relating to the Prostheses List have been conducted as summarised in </w:t>
      </w:r>
      <w:r w:rsidR="001D7F4C" w:rsidRPr="00D2484E">
        <w:fldChar w:fldCharType="begin"/>
      </w:r>
      <w:r w:rsidR="001D7F4C" w:rsidRPr="00D2484E">
        <w:instrText xml:space="preserve"> REF _Ref77167999 \h </w:instrText>
      </w:r>
      <w:r w:rsidR="00895537" w:rsidRPr="00D2484E">
        <w:instrText xml:space="preserve"> \* MERGEFORMAT </w:instrText>
      </w:r>
      <w:r w:rsidR="001D7F4C" w:rsidRPr="00D2484E">
        <w:fldChar w:fldCharType="separate"/>
      </w:r>
      <w:r w:rsidR="00475597" w:rsidRPr="00D2484E">
        <w:t>Table 4</w:t>
      </w:r>
      <w:r w:rsidR="001D7F4C" w:rsidRPr="00D2484E">
        <w:fldChar w:fldCharType="end"/>
      </w:r>
      <w:r w:rsidR="001D7F4C" w:rsidRPr="00D2484E">
        <w:t xml:space="preserve"> </w:t>
      </w:r>
      <w:r w:rsidR="001D7F4C" w:rsidRPr="00D2484E">
        <w:fldChar w:fldCharType="begin"/>
      </w:r>
      <w:r w:rsidR="001D7F4C" w:rsidRPr="00D2484E">
        <w:instrText xml:space="preserve"> REF _Ref77168004 \p \h </w:instrText>
      </w:r>
      <w:r w:rsidR="00895537" w:rsidRPr="00D2484E">
        <w:instrText xml:space="preserve"> \* MERGEFORMAT </w:instrText>
      </w:r>
      <w:r w:rsidR="001D7F4C" w:rsidRPr="00D2484E">
        <w:fldChar w:fldCharType="separate"/>
      </w:r>
      <w:r w:rsidR="00475597" w:rsidRPr="00D2484E">
        <w:t>below</w:t>
      </w:r>
      <w:r w:rsidR="001D7F4C" w:rsidRPr="00D2484E">
        <w:fldChar w:fldCharType="end"/>
      </w:r>
      <w:r w:rsidRPr="00D2484E">
        <w:t>.</w:t>
      </w:r>
    </w:p>
    <w:p w14:paraId="46B9AB02" w14:textId="795AF0C1" w:rsidR="000E1155" w:rsidRPr="00CA6DBA" w:rsidRDefault="001D7F4C" w:rsidP="00CA6DBA">
      <w:pPr>
        <w:pStyle w:val="Caption"/>
      </w:pPr>
      <w:bookmarkStart w:id="16" w:name="_Ref77167999"/>
      <w:bookmarkStart w:id="17" w:name="_Ref77168004"/>
      <w:r w:rsidRPr="00CA6DBA">
        <w:t xml:space="preserve">Table </w:t>
      </w:r>
      <w:r w:rsidRPr="00CA6DBA">
        <w:fldChar w:fldCharType="begin"/>
      </w:r>
      <w:r w:rsidRPr="00CA6DBA">
        <w:instrText xml:space="preserve"> SEQ Table \* ARABIC </w:instrText>
      </w:r>
      <w:r w:rsidRPr="00CA6DBA">
        <w:fldChar w:fldCharType="separate"/>
      </w:r>
      <w:r w:rsidR="00475597" w:rsidRPr="00CA6DBA">
        <w:t>4</w:t>
      </w:r>
      <w:r w:rsidRPr="00CA6DBA">
        <w:fldChar w:fldCharType="end"/>
      </w:r>
      <w:bookmarkEnd w:id="16"/>
      <w:r w:rsidRPr="00CA6DBA">
        <w:t xml:space="preserve"> - List of reviews </w:t>
      </w:r>
      <w:r w:rsidR="00600280" w:rsidRPr="00CA6DBA">
        <w:t xml:space="preserve">relating to </w:t>
      </w:r>
      <w:r w:rsidRPr="00CA6DBA">
        <w:t>the Prostheses List</w:t>
      </w:r>
      <w:bookmarkEnd w:id="17"/>
    </w:p>
    <w:tbl>
      <w:tblPr>
        <w:tblStyle w:val="Style1"/>
        <w:tblW w:w="0" w:type="auto"/>
        <w:tblLook w:val="04A0" w:firstRow="1" w:lastRow="0" w:firstColumn="1" w:lastColumn="0" w:noHBand="0" w:noVBand="1"/>
        <w:tblDescription w:val="Table 4 is a list of review related to the proseheses list.  "/>
      </w:tblPr>
      <w:tblGrid>
        <w:gridCol w:w="846"/>
        <w:gridCol w:w="8173"/>
      </w:tblGrid>
      <w:tr w:rsidR="0071272E" w:rsidRPr="00CA6DBA" w14:paraId="11A697FB" w14:textId="77777777" w:rsidTr="00CA6DBA">
        <w:trPr>
          <w:cnfStyle w:val="100000000000" w:firstRow="1" w:lastRow="0" w:firstColumn="0" w:lastColumn="0" w:oddVBand="0" w:evenVBand="0" w:oddHBand="0" w:evenHBand="0" w:firstRowFirstColumn="0" w:firstRowLastColumn="0" w:lastRowFirstColumn="0" w:lastRowLastColumn="0"/>
          <w:tblHeader/>
        </w:trPr>
        <w:tc>
          <w:tcPr>
            <w:tcW w:w="846" w:type="dxa"/>
          </w:tcPr>
          <w:p w14:paraId="1E25E121" w14:textId="77777777" w:rsidR="0071272E" w:rsidRPr="00CA6DBA" w:rsidRDefault="0071272E" w:rsidP="00CA6DBA">
            <w:r w:rsidRPr="00CA6DBA">
              <w:t>Year</w:t>
            </w:r>
          </w:p>
        </w:tc>
        <w:tc>
          <w:tcPr>
            <w:tcW w:w="8173" w:type="dxa"/>
          </w:tcPr>
          <w:p w14:paraId="2E3A67A3" w14:textId="77777777" w:rsidR="0071272E" w:rsidRPr="00CA6DBA" w:rsidRDefault="0071272E" w:rsidP="00CA6DBA">
            <w:r w:rsidRPr="00CA6DBA">
              <w:t>Review</w:t>
            </w:r>
          </w:p>
        </w:tc>
      </w:tr>
      <w:tr w:rsidR="0071272E" w:rsidRPr="00CA6DBA" w14:paraId="57569F4F" w14:textId="77777777" w:rsidTr="00CA6DBA">
        <w:tc>
          <w:tcPr>
            <w:tcW w:w="846" w:type="dxa"/>
          </w:tcPr>
          <w:p w14:paraId="3F2141C3" w14:textId="77777777" w:rsidR="0071272E" w:rsidRPr="00CA6DBA" w:rsidRDefault="0071272E" w:rsidP="00CA6DBA">
            <w:r w:rsidRPr="00CA6DBA">
              <w:t>2007</w:t>
            </w:r>
          </w:p>
        </w:tc>
        <w:tc>
          <w:tcPr>
            <w:tcW w:w="8173" w:type="dxa"/>
          </w:tcPr>
          <w:p w14:paraId="79E4BDE9" w14:textId="77777777" w:rsidR="0071272E" w:rsidRPr="00CA6DBA" w:rsidRDefault="0071272E" w:rsidP="00CA6DBA">
            <w:r w:rsidRPr="00CA6DBA">
              <w:t>Review of the Prostheses Listing Arrangements (‘Doyle Review’)</w:t>
            </w:r>
          </w:p>
        </w:tc>
      </w:tr>
      <w:tr w:rsidR="0071272E" w:rsidRPr="00CA6DBA" w14:paraId="2ED695DD" w14:textId="77777777" w:rsidTr="00CA6DBA">
        <w:tc>
          <w:tcPr>
            <w:tcW w:w="846" w:type="dxa"/>
          </w:tcPr>
          <w:p w14:paraId="312A89B8" w14:textId="77777777" w:rsidR="0071272E" w:rsidRPr="00CA6DBA" w:rsidRDefault="0071272E" w:rsidP="00CA6DBA">
            <w:r w:rsidRPr="00CA6DBA">
              <w:t>2009</w:t>
            </w:r>
          </w:p>
        </w:tc>
        <w:tc>
          <w:tcPr>
            <w:tcW w:w="8173" w:type="dxa"/>
          </w:tcPr>
          <w:p w14:paraId="47F22086" w14:textId="77777777" w:rsidR="0071272E" w:rsidRPr="00CA6DBA" w:rsidRDefault="0071272E" w:rsidP="00CA6DBA">
            <w:r w:rsidRPr="00CA6DBA">
              <w:t xml:space="preserve">Review of Health Technology Assessment in Australia (‘HTA Review’) </w:t>
            </w:r>
          </w:p>
        </w:tc>
      </w:tr>
      <w:tr w:rsidR="0071272E" w:rsidRPr="00CA6DBA" w14:paraId="568BA025" w14:textId="77777777" w:rsidTr="00CA6DBA">
        <w:tc>
          <w:tcPr>
            <w:tcW w:w="846" w:type="dxa"/>
          </w:tcPr>
          <w:p w14:paraId="79400950" w14:textId="77777777" w:rsidR="0071272E" w:rsidRPr="00CA6DBA" w:rsidRDefault="0071272E" w:rsidP="00CA6DBA">
            <w:r w:rsidRPr="00CA6DBA">
              <w:t>2009</w:t>
            </w:r>
          </w:p>
        </w:tc>
        <w:tc>
          <w:tcPr>
            <w:tcW w:w="8173" w:type="dxa"/>
          </w:tcPr>
          <w:p w14:paraId="28B22D96" w14:textId="77777777" w:rsidR="0071272E" w:rsidRPr="00CA6DBA" w:rsidRDefault="0071272E" w:rsidP="00CA6DBA">
            <w:r w:rsidRPr="00CA6DBA">
              <w:t>Public and Private Hospitals: Productivity Commission Research Report</w:t>
            </w:r>
          </w:p>
        </w:tc>
      </w:tr>
      <w:tr w:rsidR="0071272E" w:rsidRPr="00CA6DBA" w14:paraId="3AE9E293" w14:textId="77777777" w:rsidTr="00CA6DBA">
        <w:tc>
          <w:tcPr>
            <w:tcW w:w="846" w:type="dxa"/>
          </w:tcPr>
          <w:p w14:paraId="458B7E50" w14:textId="77777777" w:rsidR="0071272E" w:rsidRPr="00CA6DBA" w:rsidRDefault="0071272E" w:rsidP="00CA6DBA">
            <w:r w:rsidRPr="00CA6DBA">
              <w:t>2016</w:t>
            </w:r>
          </w:p>
        </w:tc>
        <w:tc>
          <w:tcPr>
            <w:tcW w:w="8173" w:type="dxa"/>
          </w:tcPr>
          <w:p w14:paraId="137998DC" w14:textId="77777777" w:rsidR="0071272E" w:rsidRPr="00CA6DBA" w:rsidRDefault="0071272E" w:rsidP="00CA6DBA">
            <w:r w:rsidRPr="00CA6DBA">
              <w:t xml:space="preserve">Industry Working Group on Private Health Insurance Prostheses Reform (‘Sansom Report’) </w:t>
            </w:r>
          </w:p>
        </w:tc>
      </w:tr>
      <w:tr w:rsidR="0071272E" w:rsidRPr="00CA6DBA" w14:paraId="4730EA5D" w14:textId="77777777" w:rsidTr="00CA6DBA">
        <w:tc>
          <w:tcPr>
            <w:tcW w:w="846" w:type="dxa"/>
          </w:tcPr>
          <w:p w14:paraId="39A5F326" w14:textId="77777777" w:rsidR="0071272E" w:rsidRPr="00CA6DBA" w:rsidRDefault="0071272E" w:rsidP="00CA6DBA">
            <w:r w:rsidRPr="00CA6DBA">
              <w:t>2017</w:t>
            </w:r>
          </w:p>
        </w:tc>
        <w:tc>
          <w:tcPr>
            <w:tcW w:w="8173" w:type="dxa"/>
          </w:tcPr>
          <w:p w14:paraId="2E6DD92A" w14:textId="6479DE63" w:rsidR="0071272E" w:rsidRPr="00CA6DBA" w:rsidRDefault="0071272E" w:rsidP="00CA6DBA">
            <w:r w:rsidRPr="00CA6DBA">
              <w:t xml:space="preserve">Senate Community Affairs Reference Committee: Price regulation </w:t>
            </w:r>
            <w:r w:rsidR="009A4958" w:rsidRPr="00CA6DBA">
              <w:t>associated</w:t>
            </w:r>
            <w:r w:rsidRPr="00CA6DBA">
              <w:t xml:space="preserve"> with Prostheses List Framework</w:t>
            </w:r>
          </w:p>
        </w:tc>
      </w:tr>
      <w:tr w:rsidR="0071272E" w:rsidRPr="00CA6DBA" w14:paraId="1786DB83" w14:textId="77777777" w:rsidTr="00CA6DBA">
        <w:tc>
          <w:tcPr>
            <w:tcW w:w="846" w:type="dxa"/>
          </w:tcPr>
          <w:p w14:paraId="3A9BBDEA" w14:textId="77777777" w:rsidR="0071272E" w:rsidRPr="00CA6DBA" w:rsidRDefault="0071272E" w:rsidP="00CA6DBA">
            <w:r w:rsidRPr="00CA6DBA">
              <w:t>2017</w:t>
            </w:r>
          </w:p>
        </w:tc>
        <w:tc>
          <w:tcPr>
            <w:tcW w:w="8173" w:type="dxa"/>
          </w:tcPr>
          <w:p w14:paraId="03D18278" w14:textId="77777777" w:rsidR="0071272E" w:rsidRPr="00CA6DBA" w:rsidRDefault="0071272E" w:rsidP="00CA6DBA">
            <w:r w:rsidRPr="00CA6DBA">
              <w:t xml:space="preserve">Prostheses Benefit Setting Framework: Comparative analysis of benefit setting Models (‘Clarke Report’) </w:t>
            </w:r>
          </w:p>
        </w:tc>
      </w:tr>
      <w:tr w:rsidR="0071272E" w:rsidRPr="00CA6DBA" w14:paraId="4EC72440" w14:textId="77777777" w:rsidTr="00CA6DBA">
        <w:tc>
          <w:tcPr>
            <w:tcW w:w="846" w:type="dxa"/>
          </w:tcPr>
          <w:p w14:paraId="2B9FE09F" w14:textId="2516B426" w:rsidR="0071272E" w:rsidRPr="00CA6DBA" w:rsidRDefault="0071272E" w:rsidP="00CA6DBA">
            <w:r w:rsidRPr="00CA6DBA">
              <w:t>2020</w:t>
            </w:r>
          </w:p>
        </w:tc>
        <w:tc>
          <w:tcPr>
            <w:tcW w:w="8173" w:type="dxa"/>
          </w:tcPr>
          <w:p w14:paraId="2F78F7CC" w14:textId="77777777" w:rsidR="0071272E" w:rsidRPr="00CA6DBA" w:rsidRDefault="0071272E" w:rsidP="00CA6DBA">
            <w:r w:rsidRPr="00CA6DBA">
              <w:t>Options for a Revised Framework for Setting and Reviewing Benefits for the Prostheses List (‘BSRIWG Report’)</w:t>
            </w:r>
          </w:p>
        </w:tc>
      </w:tr>
      <w:tr w:rsidR="0071272E" w:rsidRPr="00CA6DBA" w14:paraId="7E0C8F0B" w14:textId="77777777" w:rsidTr="00CA6DBA">
        <w:tc>
          <w:tcPr>
            <w:tcW w:w="846" w:type="dxa"/>
          </w:tcPr>
          <w:p w14:paraId="48C68E9B" w14:textId="77777777" w:rsidR="0071272E" w:rsidRPr="00CA6DBA" w:rsidRDefault="0071272E" w:rsidP="00CA6DBA">
            <w:r w:rsidRPr="00CA6DBA">
              <w:t>2020</w:t>
            </w:r>
          </w:p>
        </w:tc>
        <w:tc>
          <w:tcPr>
            <w:tcW w:w="8173" w:type="dxa"/>
          </w:tcPr>
          <w:p w14:paraId="0459A49B" w14:textId="77777777" w:rsidR="0071272E" w:rsidRPr="00CA6DBA" w:rsidRDefault="0071272E" w:rsidP="00CA6DBA">
            <w:r w:rsidRPr="00CA6DBA">
              <w:t>Review of the General Miscellaneous Category of the Prostheses List (‘EY Report’)</w:t>
            </w:r>
          </w:p>
        </w:tc>
      </w:tr>
    </w:tbl>
    <w:p w14:paraId="09DD7501" w14:textId="402F7BEF" w:rsidR="0071272E" w:rsidRPr="00D2484E" w:rsidRDefault="008E21DD" w:rsidP="00CA6DBA">
      <w:pPr>
        <w:rPr>
          <w:lang w:eastAsia="en-AU"/>
        </w:rPr>
      </w:pPr>
      <w:r w:rsidRPr="00D2484E">
        <w:rPr>
          <w:lang w:eastAsia="en-AU"/>
        </w:rPr>
        <w:t>A</w:t>
      </w:r>
      <w:r w:rsidR="001152B0" w:rsidRPr="00D2484E">
        <w:rPr>
          <w:lang w:eastAsia="en-AU"/>
        </w:rPr>
        <w:t>mongst other things, t</w:t>
      </w:r>
      <w:r w:rsidR="0071272E" w:rsidRPr="00D2484E">
        <w:rPr>
          <w:lang w:eastAsia="en-AU"/>
        </w:rPr>
        <w:t xml:space="preserve">hese reviews identified issues and challenges associated with </w:t>
      </w:r>
      <w:r w:rsidR="001013FF" w:rsidRPr="00D2484E">
        <w:rPr>
          <w:lang w:eastAsia="en-AU"/>
        </w:rPr>
        <w:t>governance of the Prostheses List</w:t>
      </w:r>
      <w:r w:rsidR="0071272E" w:rsidRPr="00D2484E">
        <w:rPr>
          <w:lang w:eastAsia="en-AU"/>
        </w:rPr>
        <w:t>. These include</w:t>
      </w:r>
      <w:r w:rsidR="00830DE8" w:rsidRPr="00D2484E">
        <w:rPr>
          <w:lang w:eastAsia="en-AU"/>
        </w:rPr>
        <w:t>d</w:t>
      </w:r>
      <w:r w:rsidR="0071272E" w:rsidRPr="00D2484E">
        <w:rPr>
          <w:lang w:eastAsia="en-AU"/>
        </w:rPr>
        <w:t xml:space="preserve">: </w:t>
      </w:r>
    </w:p>
    <w:p w14:paraId="0FDE4ABC" w14:textId="497FE2DF" w:rsidR="0071272E" w:rsidRPr="00D2484E" w:rsidRDefault="00EA27E3" w:rsidP="006D2416">
      <w:pPr>
        <w:pStyle w:val="EYBullet1"/>
        <w:rPr>
          <w:color w:val="FFE600"/>
          <w:sz w:val="14"/>
          <w:lang w:eastAsia="en-AU"/>
        </w:rPr>
      </w:pPr>
      <w:r w:rsidRPr="00D2484E">
        <w:rPr>
          <w:b/>
          <w:lang w:eastAsia="en-AU"/>
        </w:rPr>
        <w:t>The</w:t>
      </w:r>
      <w:r w:rsidR="0071272E" w:rsidRPr="00D2484E">
        <w:rPr>
          <w:b/>
          <w:lang w:eastAsia="en-AU"/>
        </w:rPr>
        <w:t xml:space="preserve"> appli</w:t>
      </w:r>
      <w:r w:rsidRPr="00D2484E">
        <w:rPr>
          <w:b/>
          <w:lang w:eastAsia="en-AU"/>
        </w:rPr>
        <w:t>cation of</w:t>
      </w:r>
      <w:r w:rsidR="0071272E" w:rsidRPr="00D2484E">
        <w:rPr>
          <w:b/>
          <w:lang w:eastAsia="en-AU"/>
        </w:rPr>
        <w:t xml:space="preserve"> the criteria </w:t>
      </w:r>
      <w:r w:rsidR="00122986" w:rsidRPr="00D2484E">
        <w:rPr>
          <w:b/>
          <w:lang w:eastAsia="en-AU"/>
        </w:rPr>
        <w:t xml:space="preserve">for listing on the Prostheses List </w:t>
      </w:r>
      <w:r w:rsidR="0071272E" w:rsidRPr="00D2484E">
        <w:rPr>
          <w:lang w:eastAsia="en-AU"/>
        </w:rPr>
        <w:t xml:space="preserve">– </w:t>
      </w:r>
      <w:r w:rsidR="00122986" w:rsidRPr="00D2484E">
        <w:rPr>
          <w:lang w:eastAsia="en-AU"/>
        </w:rPr>
        <w:t xml:space="preserve">there has been </w:t>
      </w:r>
      <w:r w:rsidR="0071272E" w:rsidRPr="00D2484E">
        <w:rPr>
          <w:lang w:eastAsia="en-AU"/>
        </w:rPr>
        <w:t xml:space="preserve">evidence of items on the </w:t>
      </w:r>
      <w:r w:rsidR="00BF0597" w:rsidRPr="00D2484E">
        <w:rPr>
          <w:lang w:eastAsia="en-AU"/>
        </w:rPr>
        <w:t xml:space="preserve">Prostheses List </w:t>
      </w:r>
      <w:r w:rsidR="0071272E" w:rsidRPr="00D2484E">
        <w:rPr>
          <w:lang w:eastAsia="en-AU"/>
        </w:rPr>
        <w:t>that arguably do not meet the criteria and inconsistencies in how assessments are made</w:t>
      </w:r>
      <w:r w:rsidR="00182F30" w:rsidRPr="00D2484E">
        <w:rPr>
          <w:lang w:eastAsia="en-AU"/>
        </w:rPr>
        <w:t>. This is</w:t>
      </w:r>
      <w:r w:rsidR="00B92C77" w:rsidRPr="00D2484E">
        <w:rPr>
          <w:lang w:eastAsia="en-AU"/>
        </w:rPr>
        <w:t xml:space="preserve">, in part, driven by issues with </w:t>
      </w:r>
      <w:r w:rsidR="00744866" w:rsidRPr="00D2484E">
        <w:rPr>
          <w:lang w:eastAsia="en-AU"/>
        </w:rPr>
        <w:t>the listing criteria and the objectives of the Prostheses List themselves.</w:t>
      </w:r>
    </w:p>
    <w:p w14:paraId="5DE5B795" w14:textId="77777777" w:rsidR="0071272E" w:rsidRPr="00D2484E" w:rsidRDefault="0071272E" w:rsidP="0001791C">
      <w:pPr>
        <w:pStyle w:val="EYBullet1"/>
        <w:rPr>
          <w:color w:val="FFE600"/>
          <w:sz w:val="14"/>
          <w:lang w:eastAsia="en-AU"/>
        </w:rPr>
      </w:pPr>
      <w:r w:rsidRPr="00D2484E">
        <w:rPr>
          <w:b/>
          <w:lang w:eastAsia="en-AU"/>
        </w:rPr>
        <w:t xml:space="preserve">The listing assessment process </w:t>
      </w:r>
      <w:r w:rsidRPr="00D2484E">
        <w:rPr>
          <w:lang w:eastAsia="en-AU"/>
        </w:rPr>
        <w:t xml:space="preserve">– which can lack a thorough, rigorous and robust assessment of the clinical benefits of the item and its value relative to </w:t>
      </w:r>
      <w:proofErr w:type="gramStart"/>
      <w:r w:rsidRPr="00D2484E">
        <w:rPr>
          <w:lang w:eastAsia="en-AU"/>
        </w:rPr>
        <w:t>alternatives;</w:t>
      </w:r>
      <w:proofErr w:type="gramEnd"/>
    </w:p>
    <w:p w14:paraId="50C0AC30" w14:textId="1CED4BFB" w:rsidR="0071272E" w:rsidRPr="00CA6DBA" w:rsidRDefault="0071272E" w:rsidP="0001791C">
      <w:pPr>
        <w:pStyle w:val="EYBullet1"/>
      </w:pPr>
      <w:r w:rsidRPr="00D2484E">
        <w:rPr>
          <w:b/>
          <w:lang w:eastAsia="en-AU"/>
        </w:rPr>
        <w:lastRenderedPageBreak/>
        <w:t xml:space="preserve">Monitoring and reviewing – </w:t>
      </w:r>
      <w:r w:rsidR="00C20BBC" w:rsidRPr="00D2484E">
        <w:rPr>
          <w:lang w:eastAsia="en-AU"/>
        </w:rPr>
        <w:t xml:space="preserve">limited focus on post-listing monitoring of utilisation and benefits, which can </w:t>
      </w:r>
      <w:r w:rsidRPr="00D2484E">
        <w:rPr>
          <w:lang w:eastAsia="en-AU"/>
        </w:rPr>
        <w:t xml:space="preserve">result in inconsistencies in the range and </w:t>
      </w:r>
      <w:r w:rsidR="00C20BBC" w:rsidRPr="00D2484E">
        <w:rPr>
          <w:lang w:eastAsia="en-AU"/>
        </w:rPr>
        <w:t xml:space="preserve">benefits </w:t>
      </w:r>
      <w:r w:rsidRPr="00D2484E">
        <w:rPr>
          <w:lang w:eastAsia="en-AU"/>
        </w:rPr>
        <w:t xml:space="preserve">of items on the </w:t>
      </w:r>
      <w:r w:rsidR="00681837" w:rsidRPr="00D2484E">
        <w:rPr>
          <w:lang w:eastAsia="en-AU"/>
        </w:rPr>
        <w:t>Prostheses List;</w:t>
      </w:r>
      <w:r w:rsidRPr="00D2484E">
        <w:rPr>
          <w:lang w:eastAsia="en-AU"/>
        </w:rPr>
        <w:t xml:space="preserve"> and</w:t>
      </w:r>
    </w:p>
    <w:p w14:paraId="0A9A9E35" w14:textId="51E01D84" w:rsidR="0071272E" w:rsidRPr="00D2484E" w:rsidRDefault="009A0BBD" w:rsidP="0001791C">
      <w:pPr>
        <w:pStyle w:val="EYBullet1"/>
        <w:rPr>
          <w:lang w:eastAsia="en-AU"/>
        </w:rPr>
      </w:pPr>
      <w:r w:rsidRPr="00D2484E">
        <w:rPr>
          <w:b/>
          <w:lang w:eastAsia="en-AU"/>
        </w:rPr>
        <w:t xml:space="preserve">Independence in the assessment process </w:t>
      </w:r>
      <w:r w:rsidR="0071272E" w:rsidRPr="00D2484E">
        <w:rPr>
          <w:lang w:eastAsia="en-AU"/>
        </w:rPr>
        <w:t xml:space="preserve">– in particular, </w:t>
      </w:r>
      <w:r w:rsidRPr="00D2484E">
        <w:rPr>
          <w:lang w:eastAsia="en-AU"/>
        </w:rPr>
        <w:t>the involvement of medical device manufacturers, private hospitals and private health insurers in the listing process and the potential for conflicts of interest.</w:t>
      </w:r>
    </w:p>
    <w:p w14:paraId="3295C945" w14:textId="5E3868EB" w:rsidR="0075633D" w:rsidRPr="00D2484E" w:rsidRDefault="003077E6" w:rsidP="00510194">
      <w:pPr>
        <w:pStyle w:val="EYHeading3"/>
      </w:pPr>
      <w:bookmarkStart w:id="18" w:name="_Toc76634587"/>
      <w:bookmarkStart w:id="19" w:name="_Toc76634722"/>
      <w:bookmarkStart w:id="20" w:name="_Toc76648749"/>
      <w:bookmarkStart w:id="21" w:name="_Toc76648815"/>
      <w:bookmarkStart w:id="22" w:name="_Toc76666357"/>
      <w:bookmarkStart w:id="23" w:name="_Toc76634588"/>
      <w:bookmarkStart w:id="24" w:name="_Toc76634723"/>
      <w:bookmarkStart w:id="25" w:name="_Toc76648750"/>
      <w:bookmarkStart w:id="26" w:name="_Toc76648816"/>
      <w:bookmarkStart w:id="27" w:name="_Toc76666358"/>
      <w:bookmarkStart w:id="28" w:name="_Toc76634613"/>
      <w:bookmarkStart w:id="29" w:name="_Toc76634748"/>
      <w:bookmarkStart w:id="30" w:name="_Toc76648775"/>
      <w:bookmarkStart w:id="31" w:name="_Toc76648841"/>
      <w:bookmarkStart w:id="32" w:name="_Toc7666638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2484E">
        <w:t>A</w:t>
      </w:r>
      <w:bookmarkStart w:id="33" w:name="_Toc76634614"/>
      <w:bookmarkStart w:id="34" w:name="_Toc76634749"/>
      <w:bookmarkStart w:id="35" w:name="_Toc76648776"/>
      <w:bookmarkStart w:id="36" w:name="_Toc76648842"/>
      <w:bookmarkStart w:id="37" w:name="_Toc76666384"/>
      <w:bookmarkStart w:id="38" w:name="_Toc76634615"/>
      <w:bookmarkStart w:id="39" w:name="_Toc76634750"/>
      <w:bookmarkStart w:id="40" w:name="_Toc76648777"/>
      <w:bookmarkStart w:id="41" w:name="_Toc76648843"/>
      <w:bookmarkStart w:id="42" w:name="_Toc76666385"/>
      <w:bookmarkStart w:id="43" w:name="_Toc76634616"/>
      <w:bookmarkStart w:id="44" w:name="_Toc76634751"/>
      <w:bookmarkStart w:id="45" w:name="_Toc76648778"/>
      <w:bookmarkStart w:id="46" w:name="_Toc76648844"/>
      <w:bookmarkStart w:id="47" w:name="_Toc76666386"/>
      <w:bookmarkStart w:id="48" w:name="_Toc76634617"/>
      <w:bookmarkStart w:id="49" w:name="_Toc76634752"/>
      <w:bookmarkStart w:id="50" w:name="_Toc76648779"/>
      <w:bookmarkStart w:id="51" w:name="_Toc76648845"/>
      <w:bookmarkStart w:id="52" w:name="_Toc76666387"/>
      <w:bookmarkStart w:id="53" w:name="_Toc76634618"/>
      <w:bookmarkStart w:id="54" w:name="_Toc76634753"/>
      <w:bookmarkStart w:id="55" w:name="_Toc76648780"/>
      <w:bookmarkStart w:id="56" w:name="_Toc76648846"/>
      <w:bookmarkStart w:id="57" w:name="_Toc76666388"/>
      <w:bookmarkStart w:id="58" w:name="_Toc76634619"/>
      <w:bookmarkStart w:id="59" w:name="_Toc76634754"/>
      <w:bookmarkStart w:id="60" w:name="_Toc76648781"/>
      <w:bookmarkStart w:id="61" w:name="_Toc76648847"/>
      <w:bookmarkStart w:id="62" w:name="_Toc76666389"/>
      <w:bookmarkStart w:id="63" w:name="_Toc76634620"/>
      <w:bookmarkStart w:id="64" w:name="_Toc76634755"/>
      <w:bookmarkStart w:id="65" w:name="_Toc76648782"/>
      <w:bookmarkStart w:id="66" w:name="_Toc76648848"/>
      <w:bookmarkStart w:id="67" w:name="_Toc76666390"/>
      <w:bookmarkStart w:id="68" w:name="_Toc76634622"/>
      <w:bookmarkStart w:id="69" w:name="_Toc76634757"/>
      <w:bookmarkStart w:id="70" w:name="_Toc76648784"/>
      <w:bookmarkStart w:id="71" w:name="_Toc76648850"/>
      <w:bookmarkStart w:id="72" w:name="_Toc76666392"/>
      <w:bookmarkStart w:id="73" w:name="_Toc76634623"/>
      <w:bookmarkStart w:id="74" w:name="_Toc76634758"/>
      <w:bookmarkStart w:id="75" w:name="_Toc76648785"/>
      <w:bookmarkStart w:id="76" w:name="_Toc76648851"/>
      <w:bookmarkStart w:id="77" w:name="_Toc76666393"/>
      <w:bookmarkStart w:id="78" w:name="_Toc76634624"/>
      <w:bookmarkStart w:id="79" w:name="_Toc76634759"/>
      <w:bookmarkStart w:id="80" w:name="_Toc76648786"/>
      <w:bookmarkStart w:id="81" w:name="_Toc76648852"/>
      <w:bookmarkStart w:id="82" w:name="_Toc76666394"/>
      <w:bookmarkStart w:id="83" w:name="_Toc76634625"/>
      <w:bookmarkStart w:id="84" w:name="_Toc76634760"/>
      <w:bookmarkStart w:id="85" w:name="_Toc76648787"/>
      <w:bookmarkStart w:id="86" w:name="_Toc76648853"/>
      <w:bookmarkStart w:id="87" w:name="_Toc7666639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C040F5" w:rsidRPr="00D2484E">
        <w:t xml:space="preserve">bout </w:t>
      </w:r>
      <w:r w:rsidR="00E70771" w:rsidRPr="00D2484E">
        <w:t xml:space="preserve">this </w:t>
      </w:r>
      <w:r w:rsidR="009E52E6" w:rsidRPr="00D2484E">
        <w:t>Review</w:t>
      </w:r>
    </w:p>
    <w:p w14:paraId="6F4F8ED4" w14:textId="56BB0502" w:rsidR="000C0DCA" w:rsidRPr="005A2F16" w:rsidRDefault="00E10C7E" w:rsidP="005A2F16">
      <w:r w:rsidRPr="005A2F16">
        <w:t xml:space="preserve">As described in Section </w:t>
      </w:r>
      <w:r w:rsidRPr="005A2F16">
        <w:fldChar w:fldCharType="begin"/>
      </w:r>
      <w:r w:rsidRPr="005A2F16">
        <w:instrText xml:space="preserve"> REF _Ref77157248 \r \h </w:instrText>
      </w:r>
      <w:r w:rsidR="00895537" w:rsidRPr="005A2F16">
        <w:instrText xml:space="preserve"> \* MERGEFORMAT </w:instrText>
      </w:r>
      <w:r w:rsidRPr="005A2F16">
        <w:fldChar w:fldCharType="separate"/>
      </w:r>
      <w:r w:rsidR="00475597" w:rsidRPr="005A2F16">
        <w:t>3.1.1</w:t>
      </w:r>
      <w:r w:rsidRPr="005A2F16">
        <w:fldChar w:fldCharType="end"/>
      </w:r>
      <w:r w:rsidRPr="005A2F16">
        <w:t xml:space="preserve">, the PLAC is </w:t>
      </w:r>
      <w:r w:rsidR="0033469C" w:rsidRPr="005A2F16">
        <w:t>the</w:t>
      </w:r>
      <w:r w:rsidR="00695050" w:rsidRPr="005A2F16">
        <w:t xml:space="preserve"> key advisory body in</w:t>
      </w:r>
      <w:r w:rsidR="0033469C" w:rsidRPr="005A2F16">
        <w:t xml:space="preserve">volved in </w:t>
      </w:r>
      <w:r w:rsidR="007F4182" w:rsidRPr="005A2F16">
        <w:t>maintaining the items and benefits included on the Prostheses List.</w:t>
      </w:r>
      <w:r w:rsidR="00695050" w:rsidRPr="005A2F16">
        <w:t xml:space="preserve"> </w:t>
      </w:r>
      <w:r w:rsidR="007F4182" w:rsidRPr="005A2F16">
        <w:t>As such, th</w:t>
      </w:r>
      <w:r w:rsidR="0007799B" w:rsidRPr="005A2F16">
        <w:t xml:space="preserve">is Review of the PLAC and its associated sub-committees forms the </w:t>
      </w:r>
      <w:r w:rsidR="007F4182" w:rsidRPr="005A2F16">
        <w:t>first part of the latest round of</w:t>
      </w:r>
      <w:r w:rsidR="007A236E" w:rsidRPr="005A2F16">
        <w:t xml:space="preserve"> </w:t>
      </w:r>
      <w:r w:rsidR="001A3886" w:rsidRPr="005A2F16">
        <w:t>Prostheses List Reforms</w:t>
      </w:r>
      <w:r w:rsidR="0007799B" w:rsidRPr="005A2F16">
        <w:t>.</w:t>
      </w:r>
      <w:r w:rsidR="00ED3FEF" w:rsidRPr="005A2F16">
        <w:t xml:space="preserve"> </w:t>
      </w:r>
      <w:r w:rsidR="00E85642" w:rsidRPr="005A2F16">
        <w:t xml:space="preserve"> </w:t>
      </w:r>
    </w:p>
    <w:p w14:paraId="1BA6BE57" w14:textId="03ABD444" w:rsidR="00C464E7" w:rsidRPr="00D2484E" w:rsidRDefault="00C464E7" w:rsidP="00675361">
      <w:pPr>
        <w:pStyle w:val="EYHeading2"/>
      </w:pPr>
      <w:bookmarkStart w:id="88" w:name="_Ref37845476"/>
      <w:bookmarkStart w:id="89" w:name="_Toc47106746"/>
      <w:bookmarkStart w:id="90" w:name="_Toc77329439"/>
      <w:r w:rsidRPr="00D2484E">
        <w:t xml:space="preserve">Scope and purpose of the </w:t>
      </w:r>
      <w:r w:rsidR="00270153" w:rsidRPr="00D2484E">
        <w:t>R</w:t>
      </w:r>
      <w:r w:rsidRPr="00D2484E">
        <w:t>eview</w:t>
      </w:r>
      <w:bookmarkEnd w:id="88"/>
      <w:bookmarkEnd w:id="89"/>
      <w:bookmarkEnd w:id="90"/>
    </w:p>
    <w:p w14:paraId="62AD1328" w14:textId="22916A0A" w:rsidR="00262BDE" w:rsidRPr="00D2484E" w:rsidRDefault="00EE03F8" w:rsidP="00CA6DBA">
      <w:r w:rsidRPr="00D2484E">
        <w:t xml:space="preserve">This Review </w:t>
      </w:r>
      <w:r w:rsidR="00FE0342" w:rsidRPr="00D2484E">
        <w:t xml:space="preserve">focuses on the purpose, </w:t>
      </w:r>
      <w:proofErr w:type="gramStart"/>
      <w:r w:rsidR="00FE0342" w:rsidRPr="00D2484E">
        <w:t>functions</w:t>
      </w:r>
      <w:proofErr w:type="gramEnd"/>
      <w:r w:rsidR="00FE0342" w:rsidRPr="00D2484E">
        <w:t xml:space="preserve"> and membership of the PLAC</w:t>
      </w:r>
      <w:r w:rsidR="00422CD5" w:rsidRPr="00D2484E">
        <w:t xml:space="preserve"> and its associated sub-committees</w:t>
      </w:r>
      <w:r w:rsidR="00CE4151" w:rsidRPr="00D2484E">
        <w:t xml:space="preserve"> (the Clinical Advisory Groups (CAGs) and the Panel of Clinical Experts (Panel))</w:t>
      </w:r>
      <w:r w:rsidR="00076A1E" w:rsidRPr="00D2484E">
        <w:t xml:space="preserve">. It </w:t>
      </w:r>
      <w:r w:rsidR="003D05E0" w:rsidRPr="00D2484E">
        <w:t xml:space="preserve">aims to provide the </w:t>
      </w:r>
      <w:r w:rsidR="00F007AA" w:rsidRPr="00D2484E">
        <w:t>Department</w:t>
      </w:r>
      <w:r w:rsidR="003D05E0" w:rsidRPr="00D2484E">
        <w:t xml:space="preserve"> with </w:t>
      </w:r>
      <w:r w:rsidR="00CE4151" w:rsidRPr="00D2484E">
        <w:t xml:space="preserve">options </w:t>
      </w:r>
      <w:r w:rsidR="003D05E0" w:rsidRPr="00D2484E">
        <w:t xml:space="preserve">and </w:t>
      </w:r>
      <w:r w:rsidR="00CE4151" w:rsidRPr="00D2484E">
        <w:t xml:space="preserve">recommendations </w:t>
      </w:r>
      <w:r w:rsidR="003D05E0" w:rsidRPr="00D2484E">
        <w:t xml:space="preserve">to the </w:t>
      </w:r>
      <w:r w:rsidR="00BE4887" w:rsidRPr="00D2484E">
        <w:t>Prostheses List</w:t>
      </w:r>
      <w:r w:rsidR="003D05E0" w:rsidRPr="00D2484E">
        <w:t xml:space="preserve"> accession process within the broader context and intent of the </w:t>
      </w:r>
      <w:r w:rsidR="00BE4887" w:rsidRPr="00D2484E">
        <w:t>Prostheses List</w:t>
      </w:r>
      <w:r w:rsidR="003D05E0" w:rsidRPr="00D2484E">
        <w:t xml:space="preserve"> Reforms</w:t>
      </w:r>
      <w:r w:rsidR="008162A4" w:rsidRPr="00D2484E">
        <w:t>.</w:t>
      </w:r>
    </w:p>
    <w:p w14:paraId="12A91006" w14:textId="10266299" w:rsidR="008C05FB" w:rsidRPr="00D2484E" w:rsidRDefault="006B2F67" w:rsidP="00CA6DBA">
      <w:r w:rsidRPr="00D2484E">
        <w:t xml:space="preserve">The Terms of Reference </w:t>
      </w:r>
      <w:r w:rsidR="00024D75" w:rsidRPr="00D2484E">
        <w:t xml:space="preserve">for this Review </w:t>
      </w:r>
      <w:r w:rsidRPr="00D2484E">
        <w:t xml:space="preserve">are provided </w:t>
      </w:r>
      <w:r w:rsidR="009E0178" w:rsidRPr="00D2484E">
        <w:t>at</w:t>
      </w:r>
      <w:r w:rsidR="00AE4C25" w:rsidRPr="00D2484E">
        <w:rPr>
          <w:b/>
        </w:rPr>
        <w:t xml:space="preserve"> </w:t>
      </w:r>
      <w:r w:rsidR="000A3E53" w:rsidRPr="00D2484E">
        <w:rPr>
          <w:b/>
        </w:rPr>
        <w:fldChar w:fldCharType="begin"/>
      </w:r>
      <w:r w:rsidR="000A3E53" w:rsidRPr="00D2484E">
        <w:rPr>
          <w:b/>
        </w:rPr>
        <w:instrText xml:space="preserve"> REF _Ref77065230 \h </w:instrText>
      </w:r>
      <w:r w:rsidR="00895537" w:rsidRPr="00D2484E">
        <w:rPr>
          <w:b/>
        </w:rPr>
        <w:instrText xml:space="preserve"> \* MERGEFORMAT </w:instrText>
      </w:r>
      <w:r w:rsidR="000A3E53" w:rsidRPr="00D2484E">
        <w:rPr>
          <w:b/>
        </w:rPr>
      </w:r>
      <w:r w:rsidR="000A3E53" w:rsidRPr="00D2484E">
        <w:rPr>
          <w:b/>
        </w:rPr>
        <w:fldChar w:fldCharType="separate"/>
      </w:r>
      <w:r w:rsidR="00475597" w:rsidRPr="00D2484E">
        <w:t>Appendix A</w:t>
      </w:r>
      <w:r w:rsidR="000A3E53" w:rsidRPr="00D2484E">
        <w:rPr>
          <w:b/>
        </w:rPr>
        <w:fldChar w:fldCharType="end"/>
      </w:r>
      <w:r w:rsidR="000A3E53" w:rsidRPr="00D2484E">
        <w:rPr>
          <w:b/>
        </w:rPr>
        <w:t>.</w:t>
      </w:r>
      <w:r w:rsidR="00262BDE" w:rsidRPr="00D2484E">
        <w:t xml:space="preserve"> This Report is structured around those Terms of Reference as follows:</w:t>
      </w:r>
    </w:p>
    <w:p w14:paraId="3B9DC0FA" w14:textId="622FEDF5" w:rsidR="00A23FDF" w:rsidRPr="00D2484E" w:rsidRDefault="003713F1" w:rsidP="006D2416">
      <w:pPr>
        <w:pStyle w:val="EYBullet1"/>
      </w:pPr>
      <w:r w:rsidRPr="00D2484E">
        <w:rPr>
          <w:b/>
        </w:rPr>
        <w:t xml:space="preserve">Section </w:t>
      </w:r>
      <w:r w:rsidRPr="00D2484E">
        <w:rPr>
          <w:b/>
        </w:rPr>
        <w:fldChar w:fldCharType="begin"/>
      </w:r>
      <w:r w:rsidRPr="00D2484E">
        <w:rPr>
          <w:b/>
        </w:rPr>
        <w:instrText xml:space="preserve"> REF _Ref76724050 \r \h </w:instrText>
      </w:r>
      <w:r w:rsidR="00895537" w:rsidRPr="00D2484E">
        <w:rPr>
          <w:b/>
        </w:rPr>
        <w:instrText xml:space="preserve"> \* MERGEFORMAT </w:instrText>
      </w:r>
      <w:r w:rsidRPr="00D2484E">
        <w:rPr>
          <w:b/>
        </w:rPr>
      </w:r>
      <w:r w:rsidRPr="00D2484E">
        <w:rPr>
          <w:b/>
        </w:rPr>
        <w:fldChar w:fldCharType="separate"/>
      </w:r>
      <w:r w:rsidR="00475597" w:rsidRPr="00D2484E">
        <w:rPr>
          <w:b/>
        </w:rPr>
        <w:t>3</w:t>
      </w:r>
      <w:r w:rsidRPr="00D2484E">
        <w:rPr>
          <w:b/>
        </w:rPr>
        <w:fldChar w:fldCharType="end"/>
      </w:r>
      <w:r w:rsidR="00B46B32" w:rsidRPr="00D2484E">
        <w:rPr>
          <w:b/>
        </w:rPr>
        <w:t>:</w:t>
      </w:r>
      <w:r w:rsidR="00A23FDF" w:rsidRPr="00D2484E">
        <w:t xml:space="preserve"> </w:t>
      </w:r>
      <w:r w:rsidRPr="00D2484E">
        <w:tab/>
      </w:r>
      <w:r w:rsidR="007620D5" w:rsidRPr="00D2484E">
        <w:t>Summary of the current governance arrangements of</w:t>
      </w:r>
      <w:r w:rsidR="00F4402F" w:rsidRPr="00D2484E">
        <w:t xml:space="preserve"> the</w:t>
      </w:r>
      <w:r w:rsidR="007620D5" w:rsidRPr="00D2484E">
        <w:t xml:space="preserve"> </w:t>
      </w:r>
      <w:proofErr w:type="gramStart"/>
      <w:r w:rsidR="007620D5" w:rsidRPr="00D2484E">
        <w:t>PLAC</w:t>
      </w:r>
      <w:r w:rsidR="00716B2F" w:rsidRPr="00D2484E">
        <w:t>;</w:t>
      </w:r>
      <w:proofErr w:type="gramEnd"/>
    </w:p>
    <w:p w14:paraId="3DF01E86" w14:textId="26EE9533" w:rsidR="003657DF" w:rsidRPr="00D2484E" w:rsidRDefault="00160644" w:rsidP="006D2416">
      <w:pPr>
        <w:pStyle w:val="EYBullet1"/>
      </w:pPr>
      <w:r w:rsidRPr="00D2484E">
        <w:rPr>
          <w:b/>
        </w:rPr>
        <w:t xml:space="preserve">Section </w:t>
      </w:r>
      <w:r w:rsidRPr="00D2484E">
        <w:rPr>
          <w:b/>
        </w:rPr>
        <w:fldChar w:fldCharType="begin"/>
      </w:r>
      <w:r w:rsidRPr="00D2484E">
        <w:rPr>
          <w:b/>
        </w:rPr>
        <w:instrText xml:space="preserve"> REF _Ref76374065 \r \h </w:instrText>
      </w:r>
      <w:r w:rsidR="000508BE" w:rsidRPr="00D2484E">
        <w:rPr>
          <w:b/>
        </w:rPr>
        <w:instrText xml:space="preserve"> \* MERGEFORMAT </w:instrText>
      </w:r>
      <w:r w:rsidRPr="00D2484E">
        <w:rPr>
          <w:b/>
        </w:rPr>
      </w:r>
      <w:r w:rsidRPr="00D2484E">
        <w:rPr>
          <w:b/>
        </w:rPr>
        <w:fldChar w:fldCharType="separate"/>
      </w:r>
      <w:r w:rsidR="00475597" w:rsidRPr="00D2484E">
        <w:rPr>
          <w:b/>
        </w:rPr>
        <w:t>4</w:t>
      </w:r>
      <w:r w:rsidRPr="00D2484E">
        <w:rPr>
          <w:b/>
        </w:rPr>
        <w:fldChar w:fldCharType="end"/>
      </w:r>
      <w:r w:rsidR="00B46B32" w:rsidRPr="00D2484E">
        <w:rPr>
          <w:b/>
        </w:rPr>
        <w:t>:</w:t>
      </w:r>
      <w:r w:rsidRPr="00D2484E">
        <w:t xml:space="preserve"> </w:t>
      </w:r>
      <w:r w:rsidR="00470EA6" w:rsidRPr="00D2484E">
        <w:tab/>
      </w:r>
      <w:r w:rsidR="00802AB6" w:rsidRPr="00D2484E">
        <w:t>I</w:t>
      </w:r>
      <w:r w:rsidR="00632E9D" w:rsidRPr="00D2484E">
        <w:t xml:space="preserve">ssues identified by the </w:t>
      </w:r>
      <w:r w:rsidR="003657DF" w:rsidRPr="00D2484E">
        <w:t>Review</w:t>
      </w:r>
      <w:r w:rsidR="0049658F" w:rsidRPr="00D2484E">
        <w:t xml:space="preserve">, with a discussion of these </w:t>
      </w:r>
      <w:proofErr w:type="gramStart"/>
      <w:r w:rsidR="0049658F" w:rsidRPr="00D2484E">
        <w:t>findings;</w:t>
      </w:r>
      <w:proofErr w:type="gramEnd"/>
      <w:r w:rsidR="0049658F" w:rsidRPr="00D2484E">
        <w:t xml:space="preserve"> </w:t>
      </w:r>
    </w:p>
    <w:p w14:paraId="3724E8D4" w14:textId="5972AEE7" w:rsidR="009B1B75" w:rsidRPr="00D2484E" w:rsidRDefault="009A4880" w:rsidP="006D2416">
      <w:pPr>
        <w:pStyle w:val="EYBullet1"/>
        <w:rPr>
          <w:b/>
        </w:rPr>
      </w:pPr>
      <w:r w:rsidRPr="00D2484E">
        <w:rPr>
          <w:b/>
        </w:rPr>
        <w:t>Section</w:t>
      </w:r>
      <w:r w:rsidR="000B66BA" w:rsidRPr="00D2484E">
        <w:rPr>
          <w:b/>
        </w:rPr>
        <w:t xml:space="preserve"> </w:t>
      </w:r>
      <w:r w:rsidR="000B66BA" w:rsidRPr="00D2484E">
        <w:rPr>
          <w:b/>
        </w:rPr>
        <w:fldChar w:fldCharType="begin"/>
      </w:r>
      <w:r w:rsidR="000B66BA" w:rsidRPr="00D2484E">
        <w:rPr>
          <w:b/>
        </w:rPr>
        <w:instrText xml:space="preserve"> REF _Ref77322038 \r \h </w:instrText>
      </w:r>
      <w:r w:rsidR="00DC29E9" w:rsidRPr="00D2484E">
        <w:rPr>
          <w:b/>
        </w:rPr>
        <w:instrText xml:space="preserve"> \* MERGEFORMAT </w:instrText>
      </w:r>
      <w:r w:rsidR="000B66BA" w:rsidRPr="00D2484E">
        <w:rPr>
          <w:b/>
        </w:rPr>
      </w:r>
      <w:r w:rsidR="000B66BA" w:rsidRPr="00D2484E">
        <w:rPr>
          <w:b/>
        </w:rPr>
        <w:fldChar w:fldCharType="separate"/>
      </w:r>
      <w:r w:rsidR="00475597" w:rsidRPr="00D2484E">
        <w:rPr>
          <w:b/>
        </w:rPr>
        <w:t>5</w:t>
      </w:r>
      <w:r w:rsidR="000B66BA" w:rsidRPr="00D2484E">
        <w:rPr>
          <w:b/>
        </w:rPr>
        <w:fldChar w:fldCharType="end"/>
      </w:r>
      <w:r w:rsidR="00B46B32" w:rsidRPr="00D2484E">
        <w:rPr>
          <w:b/>
        </w:rPr>
        <w:t>:</w:t>
      </w:r>
      <w:r w:rsidRPr="00D2484E">
        <w:rPr>
          <w:b/>
        </w:rPr>
        <w:t xml:space="preserve"> </w:t>
      </w:r>
      <w:r w:rsidR="00470EA6" w:rsidRPr="00D2484E">
        <w:rPr>
          <w:b/>
        </w:rPr>
        <w:tab/>
      </w:r>
      <w:r w:rsidR="009B1B75" w:rsidRPr="00D2484E">
        <w:t xml:space="preserve">Options for reform to the </w:t>
      </w:r>
      <w:r w:rsidR="00AC2A2C" w:rsidRPr="00D2484E">
        <w:t xml:space="preserve">Prostheses List </w:t>
      </w:r>
      <w:r w:rsidR="009B1B75" w:rsidRPr="00D2484E">
        <w:t>accession process and implications for PLAC</w:t>
      </w:r>
      <w:r w:rsidR="009F4E4A" w:rsidRPr="00D2484E">
        <w:t>; and</w:t>
      </w:r>
    </w:p>
    <w:p w14:paraId="6FBD6915" w14:textId="44561911" w:rsidR="00802AB6" w:rsidRPr="00D2484E" w:rsidRDefault="00B91D39" w:rsidP="006D2416">
      <w:pPr>
        <w:pStyle w:val="EYBullet1"/>
      </w:pPr>
      <w:r w:rsidRPr="00D2484E">
        <w:rPr>
          <w:b/>
          <w:bCs/>
        </w:rPr>
        <w:t xml:space="preserve">Section </w:t>
      </w:r>
      <w:r w:rsidR="000B66BA" w:rsidRPr="00D2484E">
        <w:rPr>
          <w:b/>
          <w:bCs/>
        </w:rPr>
        <w:fldChar w:fldCharType="begin"/>
      </w:r>
      <w:r w:rsidR="000B66BA" w:rsidRPr="00D2484E">
        <w:rPr>
          <w:b/>
          <w:bCs/>
        </w:rPr>
        <w:instrText xml:space="preserve"> REF _Ref77322041 \r \h  \* MERGEFORMAT </w:instrText>
      </w:r>
      <w:r w:rsidR="000B66BA" w:rsidRPr="00D2484E">
        <w:rPr>
          <w:b/>
          <w:bCs/>
        </w:rPr>
      </w:r>
      <w:r w:rsidR="000B66BA" w:rsidRPr="00D2484E">
        <w:rPr>
          <w:b/>
          <w:bCs/>
        </w:rPr>
        <w:fldChar w:fldCharType="separate"/>
      </w:r>
      <w:r w:rsidR="00475597" w:rsidRPr="00D2484E">
        <w:rPr>
          <w:b/>
          <w:bCs/>
        </w:rPr>
        <w:t>6</w:t>
      </w:r>
      <w:r w:rsidR="000B66BA" w:rsidRPr="00D2484E">
        <w:rPr>
          <w:b/>
          <w:bCs/>
        </w:rPr>
        <w:fldChar w:fldCharType="end"/>
      </w:r>
      <w:r w:rsidR="000B66BA" w:rsidRPr="00D2484E">
        <w:rPr>
          <w:b/>
          <w:bCs/>
        </w:rPr>
        <w:t>:</w:t>
      </w:r>
      <w:r w:rsidR="000B66BA" w:rsidRPr="00D2484E">
        <w:tab/>
      </w:r>
      <w:r w:rsidR="000508BE" w:rsidRPr="00D2484E">
        <w:t xml:space="preserve">Recommendations </w:t>
      </w:r>
      <w:r w:rsidR="00CD327E" w:rsidRPr="00D2484E">
        <w:t>for reform</w:t>
      </w:r>
      <w:r w:rsidR="009F4E4A" w:rsidRPr="00D2484E">
        <w:t>.</w:t>
      </w:r>
    </w:p>
    <w:p w14:paraId="02DAE837" w14:textId="7A97AB59" w:rsidR="0009239E" w:rsidRPr="00D2484E" w:rsidRDefault="00D30A0D" w:rsidP="00CA6DBA">
      <w:r w:rsidRPr="00D2484E">
        <w:t>T</w:t>
      </w:r>
      <w:r w:rsidR="0008754E" w:rsidRPr="00D2484E">
        <w:t xml:space="preserve">he PLAC also interacts with </w:t>
      </w:r>
      <w:proofErr w:type="gramStart"/>
      <w:r w:rsidR="0008754E" w:rsidRPr="00D2484E">
        <w:t>a number of</w:t>
      </w:r>
      <w:proofErr w:type="gramEnd"/>
      <w:r w:rsidR="0008754E" w:rsidRPr="00D2484E">
        <w:t xml:space="preserve"> other bodies involved in HTA in Australia</w:t>
      </w:r>
      <w:r w:rsidR="00B70632" w:rsidRPr="00D2484E">
        <w:t xml:space="preserve">. </w:t>
      </w:r>
      <w:r w:rsidR="00DE3BD5" w:rsidRPr="00D2484E">
        <w:t>As such,</w:t>
      </w:r>
      <w:r w:rsidR="00D34B16" w:rsidRPr="00D2484E">
        <w:t xml:space="preserve"> the impacts</w:t>
      </w:r>
      <w:r w:rsidR="000C7E1D" w:rsidRPr="00D2484E">
        <w:t xml:space="preserve"> of recommendations </w:t>
      </w:r>
      <w:r w:rsidR="00D34B16" w:rsidRPr="00D2484E">
        <w:t>on other HTA bodies have been considered.</w:t>
      </w:r>
    </w:p>
    <w:p w14:paraId="7ECD799E" w14:textId="76165798" w:rsidR="00AF7C79" w:rsidRPr="00D2484E" w:rsidRDefault="00AF7C79" w:rsidP="007D57C4">
      <w:pPr>
        <w:pStyle w:val="EYHeading2"/>
        <w:jc w:val="both"/>
      </w:pPr>
      <w:bookmarkStart w:id="91" w:name="_Toc77329440"/>
      <w:r w:rsidRPr="00D2484E">
        <w:t>Methodology</w:t>
      </w:r>
      <w:bookmarkEnd w:id="91"/>
    </w:p>
    <w:p w14:paraId="2BBF9411" w14:textId="09836FCD" w:rsidR="00AF7C79" w:rsidRPr="00D2484E" w:rsidRDefault="00422CD5" w:rsidP="00CA6DBA">
      <w:r w:rsidRPr="00D2484E">
        <w:t>The</w:t>
      </w:r>
      <w:r w:rsidR="00AF7C79" w:rsidRPr="00D2484E">
        <w:t xml:space="preserve"> following steps </w:t>
      </w:r>
      <w:r w:rsidRPr="00D2484E">
        <w:t xml:space="preserve">were undertaken </w:t>
      </w:r>
      <w:r w:rsidR="00AF7C79" w:rsidRPr="00D2484E">
        <w:t xml:space="preserve">to </w:t>
      </w:r>
      <w:r w:rsidR="00593B99" w:rsidRPr="00D2484E">
        <w:t>assess</w:t>
      </w:r>
      <w:r w:rsidR="00AF7C79" w:rsidRPr="00D2484E">
        <w:t xml:space="preserve"> the role, </w:t>
      </w:r>
      <w:proofErr w:type="gramStart"/>
      <w:r w:rsidR="00AF7C79" w:rsidRPr="00D2484E">
        <w:t>function</w:t>
      </w:r>
      <w:proofErr w:type="gramEnd"/>
      <w:r w:rsidR="00AF7C79" w:rsidRPr="00D2484E">
        <w:t xml:space="preserve"> and membership of the PLAC and its associated sub-committees:</w:t>
      </w:r>
    </w:p>
    <w:p w14:paraId="6BE38ADE" w14:textId="2D49293E" w:rsidR="00974B16" w:rsidRPr="00D2484E" w:rsidRDefault="00FE2AEA" w:rsidP="00831172">
      <w:pPr>
        <w:pStyle w:val="EYBullet1"/>
      </w:pPr>
      <w:r w:rsidRPr="00D2484E">
        <w:rPr>
          <w:b/>
        </w:rPr>
        <w:t>D</w:t>
      </w:r>
      <w:r w:rsidR="00E02E54" w:rsidRPr="00D2484E">
        <w:rPr>
          <w:b/>
        </w:rPr>
        <w:t>ocumentation</w:t>
      </w:r>
      <w:r w:rsidR="00AF7C79" w:rsidRPr="00D2484E">
        <w:rPr>
          <w:b/>
        </w:rPr>
        <w:t xml:space="preserve"> review</w:t>
      </w:r>
      <w:r w:rsidR="00782BE7" w:rsidRPr="00D2484E">
        <w:rPr>
          <w:b/>
        </w:rPr>
        <w:t>:</w:t>
      </w:r>
      <w:r w:rsidR="00E426F6" w:rsidRPr="00D2484E">
        <w:t xml:space="preserve"> </w:t>
      </w:r>
      <w:r w:rsidR="00AF7C79" w:rsidRPr="00D2484E">
        <w:t xml:space="preserve">A schedule of </w:t>
      </w:r>
      <w:r w:rsidR="00C35FE9" w:rsidRPr="00D2484E">
        <w:t xml:space="preserve">the </w:t>
      </w:r>
      <w:r w:rsidR="00AF7C79" w:rsidRPr="00D2484E">
        <w:t>documents</w:t>
      </w:r>
      <w:r w:rsidR="00C35FE9" w:rsidRPr="00D2484E">
        <w:t xml:space="preserve"> </w:t>
      </w:r>
      <w:proofErr w:type="gramStart"/>
      <w:r w:rsidR="00C35FE9" w:rsidRPr="00D2484E">
        <w:t>reviewed</w:t>
      </w:r>
      <w:proofErr w:type="gramEnd"/>
      <w:r w:rsidR="00AF7C79" w:rsidRPr="00D2484E">
        <w:t xml:space="preserve"> and their sources </w:t>
      </w:r>
      <w:r w:rsidR="00C35FE9" w:rsidRPr="00D2484E">
        <w:t>is</w:t>
      </w:r>
      <w:r w:rsidR="00AF7C79" w:rsidRPr="00D2484E">
        <w:t xml:space="preserve"> </w:t>
      </w:r>
      <w:r w:rsidR="000204B2" w:rsidRPr="00D2484E">
        <w:t>in</w:t>
      </w:r>
      <w:r w:rsidR="00AF7C79" w:rsidRPr="00D2484E">
        <w:t xml:space="preserve"> </w:t>
      </w:r>
      <w:r w:rsidR="00DC2CF2" w:rsidRPr="00D2484E">
        <w:t>Appendix C</w:t>
      </w:r>
      <w:r w:rsidR="00AF7C79" w:rsidRPr="00D2484E">
        <w:t>.</w:t>
      </w:r>
      <w:r w:rsidR="00D62128" w:rsidRPr="00D2484E">
        <w:t xml:space="preserve"> </w:t>
      </w:r>
      <w:r w:rsidR="00974B16" w:rsidRPr="00D2484E">
        <w:t>The documents included governance documents (such as terms of reference and operational guidelines) and administrative documents (such as meeting minutes and accompanying papers). These documents established the formal arrangements and intent of PLAC and its sub-committees. Further clarification and/or context was sought from the Department and through stakeholder interviews.</w:t>
      </w:r>
    </w:p>
    <w:p w14:paraId="07D7C088" w14:textId="6ABFFDE5" w:rsidR="002A1F6C" w:rsidRPr="00D2484E" w:rsidRDefault="009161E8" w:rsidP="00831172">
      <w:pPr>
        <w:pStyle w:val="EYBullet1"/>
      </w:pPr>
      <w:r w:rsidRPr="00D2484E">
        <w:rPr>
          <w:b/>
        </w:rPr>
        <w:t xml:space="preserve">Stakeholder </w:t>
      </w:r>
      <w:r w:rsidR="00DE3EA8" w:rsidRPr="00D2484E">
        <w:rPr>
          <w:b/>
        </w:rPr>
        <w:t>consultations</w:t>
      </w:r>
      <w:r w:rsidR="00F4126A" w:rsidRPr="00D2484E">
        <w:rPr>
          <w:b/>
        </w:rPr>
        <w:t>:</w:t>
      </w:r>
      <w:r w:rsidR="00AF7C79" w:rsidRPr="00D2484E">
        <w:t xml:space="preserve"> </w:t>
      </w:r>
      <w:r w:rsidR="00516BBF" w:rsidRPr="00D2484E">
        <w:t>T</w:t>
      </w:r>
      <w:r w:rsidR="00AF7C79" w:rsidRPr="00D2484E">
        <w:t xml:space="preserve">argeted </w:t>
      </w:r>
      <w:r w:rsidRPr="00D2484E">
        <w:t xml:space="preserve">stakeholder </w:t>
      </w:r>
      <w:r w:rsidR="00516BBF" w:rsidRPr="00D2484E">
        <w:t>consultations were conducted th</w:t>
      </w:r>
      <w:r w:rsidRPr="00D2484E">
        <w:t>rough</w:t>
      </w:r>
      <w:r w:rsidR="000204B2" w:rsidRPr="00D2484E">
        <w:t xml:space="preserve"> a mixture of in-person and virtual</w:t>
      </w:r>
      <w:r w:rsidR="0082370B" w:rsidRPr="00D2484E">
        <w:t xml:space="preserve"> </w:t>
      </w:r>
      <w:r w:rsidR="000204B2" w:rsidRPr="00D2484E">
        <w:t>i</w:t>
      </w:r>
      <w:r w:rsidR="00AF7C79" w:rsidRPr="00D2484E">
        <w:t xml:space="preserve">nterviews led by Dr Tony </w:t>
      </w:r>
      <w:proofErr w:type="spellStart"/>
      <w:r w:rsidR="00AF7C79" w:rsidRPr="00D2484E">
        <w:t>Sherbon</w:t>
      </w:r>
      <w:proofErr w:type="spellEnd"/>
      <w:r w:rsidR="000204B2" w:rsidRPr="00D2484E">
        <w:t xml:space="preserve">. </w:t>
      </w:r>
      <w:r w:rsidR="002A1F6C" w:rsidRPr="00D2484E">
        <w:t>These</w:t>
      </w:r>
      <w:r w:rsidR="00974B16" w:rsidRPr="00D2484E">
        <w:t xml:space="preserve"> </w:t>
      </w:r>
      <w:r w:rsidR="002A1F6C" w:rsidRPr="00D2484E">
        <w:t>included:</w:t>
      </w:r>
    </w:p>
    <w:p w14:paraId="436CB267" w14:textId="0851547E" w:rsidR="00974B16" w:rsidRPr="00831172" w:rsidRDefault="00974B16" w:rsidP="00831172">
      <w:pPr>
        <w:pStyle w:val="EYBullet2"/>
      </w:pPr>
      <w:r w:rsidRPr="00831172">
        <w:t xml:space="preserve">PLAC Chair, Expert Members and </w:t>
      </w:r>
      <w:r w:rsidR="000F0821" w:rsidRPr="00831172">
        <w:t>all</w:t>
      </w:r>
      <w:r w:rsidRPr="00831172">
        <w:t xml:space="preserve"> other </w:t>
      </w:r>
      <w:proofErr w:type="gramStart"/>
      <w:r w:rsidRPr="00831172">
        <w:t>Members;</w:t>
      </w:r>
      <w:proofErr w:type="gramEnd"/>
    </w:p>
    <w:p w14:paraId="3C04FA9A" w14:textId="183A01F5" w:rsidR="00974B16" w:rsidRPr="00831172" w:rsidRDefault="00786590" w:rsidP="00831172">
      <w:pPr>
        <w:pStyle w:val="EYBullet2"/>
      </w:pPr>
      <w:r w:rsidRPr="00831172">
        <w:t>CAG</w:t>
      </w:r>
      <w:r w:rsidR="00974B16" w:rsidRPr="00831172">
        <w:t xml:space="preserve"> </w:t>
      </w:r>
      <w:proofErr w:type="gramStart"/>
      <w:r w:rsidR="00974B16" w:rsidRPr="00831172">
        <w:t>Chairs;</w:t>
      </w:r>
      <w:proofErr w:type="gramEnd"/>
    </w:p>
    <w:p w14:paraId="260EAFFA" w14:textId="77777777" w:rsidR="00974B16" w:rsidRPr="00831172" w:rsidRDefault="00974B16" w:rsidP="00831172">
      <w:pPr>
        <w:pStyle w:val="EYBullet2"/>
      </w:pPr>
      <w:r w:rsidRPr="00831172">
        <w:t xml:space="preserve">Members of the Panel of Clinical </w:t>
      </w:r>
      <w:proofErr w:type="gramStart"/>
      <w:r w:rsidRPr="00831172">
        <w:t>Experts;</w:t>
      </w:r>
      <w:proofErr w:type="gramEnd"/>
    </w:p>
    <w:p w14:paraId="3AEE3FC3" w14:textId="545AE40B" w:rsidR="00974B16" w:rsidRPr="00831172" w:rsidRDefault="00974B16" w:rsidP="00831172">
      <w:pPr>
        <w:pStyle w:val="EYBullet2"/>
      </w:pPr>
      <w:r w:rsidRPr="00831172">
        <w:t xml:space="preserve">The </w:t>
      </w:r>
      <w:r w:rsidR="00801694" w:rsidRPr="00831172">
        <w:t xml:space="preserve">TAAD </w:t>
      </w:r>
      <w:r w:rsidRPr="00831172">
        <w:t xml:space="preserve">at the </w:t>
      </w:r>
      <w:proofErr w:type="gramStart"/>
      <w:r w:rsidRPr="00831172">
        <w:t>Department;</w:t>
      </w:r>
      <w:proofErr w:type="gramEnd"/>
    </w:p>
    <w:p w14:paraId="6110E7BE" w14:textId="73B1FF7A" w:rsidR="00974B16" w:rsidRPr="00831172" w:rsidRDefault="000C6119" w:rsidP="00831172">
      <w:pPr>
        <w:pStyle w:val="EYBullet2"/>
      </w:pPr>
      <w:r w:rsidRPr="00831172">
        <w:t>Other relevant Government and HTA bodies, including</w:t>
      </w:r>
      <w:r w:rsidR="00974B16" w:rsidRPr="00831172">
        <w:t xml:space="preserve"> IHPA</w:t>
      </w:r>
      <w:r w:rsidRPr="00831172">
        <w:t xml:space="preserve">, PBAC, MSAC and the </w:t>
      </w:r>
      <w:proofErr w:type="gramStart"/>
      <w:r w:rsidRPr="00831172">
        <w:t>TGA;</w:t>
      </w:r>
      <w:proofErr w:type="gramEnd"/>
    </w:p>
    <w:p w14:paraId="3DE9691F" w14:textId="3F9DCB83" w:rsidR="00974B16" w:rsidRPr="00831172" w:rsidRDefault="00974B16" w:rsidP="00831172">
      <w:pPr>
        <w:pStyle w:val="EYBullet2"/>
      </w:pPr>
      <w:r w:rsidRPr="00831172">
        <w:t xml:space="preserve">Medical device </w:t>
      </w:r>
      <w:proofErr w:type="gramStart"/>
      <w:r w:rsidR="000F06AF" w:rsidRPr="00831172">
        <w:t>sponsors</w:t>
      </w:r>
      <w:r w:rsidRPr="00831172">
        <w:t>;</w:t>
      </w:r>
      <w:proofErr w:type="gramEnd"/>
    </w:p>
    <w:p w14:paraId="3E72927E" w14:textId="77777777" w:rsidR="00974B16" w:rsidRPr="00831172" w:rsidRDefault="00974B16" w:rsidP="00831172">
      <w:pPr>
        <w:pStyle w:val="EYBullet2"/>
      </w:pPr>
      <w:r w:rsidRPr="00831172">
        <w:t xml:space="preserve">Private </w:t>
      </w:r>
      <w:proofErr w:type="gramStart"/>
      <w:r w:rsidRPr="00831172">
        <w:t>hospitals;</w:t>
      </w:r>
      <w:proofErr w:type="gramEnd"/>
    </w:p>
    <w:p w14:paraId="4C6AC982" w14:textId="77777777" w:rsidR="00974B16" w:rsidRPr="00831172" w:rsidRDefault="00974B16" w:rsidP="00831172">
      <w:pPr>
        <w:pStyle w:val="EYBullet2"/>
      </w:pPr>
      <w:r w:rsidRPr="00831172">
        <w:t>Private health insurers; and</w:t>
      </w:r>
    </w:p>
    <w:p w14:paraId="37C162FC" w14:textId="77777777" w:rsidR="00974B16" w:rsidRPr="00831172" w:rsidRDefault="00974B16" w:rsidP="00831172">
      <w:pPr>
        <w:pStyle w:val="EYBullet2"/>
      </w:pPr>
      <w:r w:rsidRPr="00831172">
        <w:t>Consumer peak bodies.</w:t>
      </w:r>
    </w:p>
    <w:p w14:paraId="13535B2A" w14:textId="52D3469F" w:rsidR="00AF7C79" w:rsidRPr="00D2484E" w:rsidRDefault="002A1F6C" w:rsidP="00CA6DBA">
      <w:r w:rsidRPr="00D2484E">
        <w:lastRenderedPageBreak/>
        <w:t>A full list of stakeholders consulted is in</w:t>
      </w:r>
      <w:r w:rsidR="0044153D" w:rsidRPr="00D2484E">
        <w:t xml:space="preserve"> Appendix D</w:t>
      </w:r>
      <w:r w:rsidRPr="00D2484E">
        <w:t>.</w:t>
      </w:r>
    </w:p>
    <w:p w14:paraId="7FDD1F1D" w14:textId="47612E74" w:rsidR="00AF7C79" w:rsidRPr="00D2484E" w:rsidRDefault="00AF7C79" w:rsidP="0001791C">
      <w:pPr>
        <w:pStyle w:val="EYBullet1"/>
      </w:pPr>
      <w:r w:rsidRPr="00D2484E">
        <w:rPr>
          <w:b/>
        </w:rPr>
        <w:t xml:space="preserve">Information review and quality assurance: </w:t>
      </w:r>
      <w:r w:rsidR="000D330A" w:rsidRPr="00D2484E">
        <w:t>information collected was</w:t>
      </w:r>
      <w:r w:rsidRPr="00D2484E">
        <w:t xml:space="preserve"> consolidated</w:t>
      </w:r>
      <w:r w:rsidR="008E7F80" w:rsidRPr="00D2484E">
        <w:t xml:space="preserve"> and </w:t>
      </w:r>
      <w:r w:rsidR="00A54FE0" w:rsidRPr="00D2484E">
        <w:t>cross-referenced</w:t>
      </w:r>
      <w:r w:rsidR="006A3148" w:rsidRPr="00D2484E">
        <w:t xml:space="preserve"> with </w:t>
      </w:r>
      <w:r w:rsidR="000D330A" w:rsidRPr="00D2484E">
        <w:t xml:space="preserve">the </w:t>
      </w:r>
      <w:r w:rsidR="006A3148" w:rsidRPr="00D2484E">
        <w:t xml:space="preserve">Terms of Reference for the Review. Where </w:t>
      </w:r>
      <w:r w:rsidR="007F42A5" w:rsidRPr="00D2484E">
        <w:t>gaps or inconsistencies were identified,</w:t>
      </w:r>
      <w:r w:rsidR="006A3148" w:rsidRPr="00D2484E">
        <w:t xml:space="preserve"> f</w:t>
      </w:r>
      <w:r w:rsidRPr="00D2484E">
        <w:t>urther information was requested</w:t>
      </w:r>
      <w:r w:rsidR="007F42A5" w:rsidRPr="00D2484E">
        <w:t>.</w:t>
      </w:r>
    </w:p>
    <w:p w14:paraId="766E7C98" w14:textId="10080378" w:rsidR="00B14331" w:rsidRPr="00D2484E" w:rsidRDefault="00F52BD1" w:rsidP="00CA6DBA">
      <w:proofErr w:type="gramStart"/>
      <w:r w:rsidRPr="00D2484E">
        <w:t xml:space="preserve">In particular, </w:t>
      </w:r>
      <w:r w:rsidR="0086267E" w:rsidRPr="00D2484E">
        <w:t>a</w:t>
      </w:r>
      <w:proofErr w:type="gramEnd"/>
      <w:r w:rsidR="0086267E" w:rsidRPr="00D2484E">
        <w:t xml:space="preserve"> range of opinions were heard through</w:t>
      </w:r>
      <w:r w:rsidRPr="00D2484E">
        <w:t xml:space="preserve"> stakeholder consultation</w:t>
      </w:r>
      <w:r w:rsidR="001E4E5B" w:rsidRPr="00D2484E">
        <w:t>s, which, in many cases, conflicted with other opinions</w:t>
      </w:r>
      <w:r w:rsidR="00681FEE" w:rsidRPr="00D2484E">
        <w:t xml:space="preserve">, as well as occasionally </w:t>
      </w:r>
      <w:r w:rsidR="00B459A4" w:rsidRPr="00D2484E">
        <w:t xml:space="preserve">conflicting with the </w:t>
      </w:r>
      <w:r w:rsidR="005714AD" w:rsidRPr="00D2484E">
        <w:t>documentation. In these cases, where possible, clarification and/or confirmation</w:t>
      </w:r>
      <w:r w:rsidR="00782436" w:rsidRPr="00D2484E">
        <w:t xml:space="preserve"> was sought</w:t>
      </w:r>
      <w:r w:rsidR="005714AD" w:rsidRPr="00D2484E">
        <w:t>.</w:t>
      </w:r>
    </w:p>
    <w:p w14:paraId="60FF98F7" w14:textId="23953E2D" w:rsidR="00AF7C79" w:rsidRPr="00D2484E" w:rsidRDefault="00AF7C79" w:rsidP="006D2416">
      <w:pPr>
        <w:pStyle w:val="EYBullet1"/>
      </w:pPr>
      <w:r w:rsidRPr="00D2484E">
        <w:rPr>
          <w:b/>
        </w:rPr>
        <w:t xml:space="preserve">Information </w:t>
      </w:r>
      <w:r w:rsidR="00A54FE0" w:rsidRPr="00D2484E">
        <w:rPr>
          <w:b/>
        </w:rPr>
        <w:t>analysis</w:t>
      </w:r>
      <w:r w:rsidRPr="00D2484E">
        <w:rPr>
          <w:b/>
        </w:rPr>
        <w:t xml:space="preserve">: </w:t>
      </w:r>
      <w:r w:rsidR="00DA0F2F" w:rsidRPr="00D2484E">
        <w:t>the sources were</w:t>
      </w:r>
      <w:r w:rsidRPr="00D2484E">
        <w:t xml:space="preserve"> analysed for </w:t>
      </w:r>
      <w:r w:rsidR="00DA0F2F" w:rsidRPr="00D2484E">
        <w:t xml:space="preserve">key </w:t>
      </w:r>
      <w:r w:rsidRPr="00D2484E">
        <w:t>themes</w:t>
      </w:r>
      <w:r w:rsidR="00B8286C" w:rsidRPr="00D2484E">
        <w:t xml:space="preserve">, which became the </w:t>
      </w:r>
      <w:r w:rsidR="007B4453" w:rsidRPr="00D2484E">
        <w:t xml:space="preserve">findings </w:t>
      </w:r>
      <w:r w:rsidR="00B8286C" w:rsidRPr="00D2484E">
        <w:t>in this Report.</w:t>
      </w:r>
    </w:p>
    <w:p w14:paraId="489C1844" w14:textId="2E28E62A" w:rsidR="00AF7C79" w:rsidRPr="00D2484E" w:rsidRDefault="005B23D9" w:rsidP="004D745D">
      <w:pPr>
        <w:pStyle w:val="EYBullet1"/>
      </w:pPr>
      <w:r w:rsidRPr="00D2484E">
        <w:rPr>
          <w:b/>
        </w:rPr>
        <w:t>Options and Recommendations</w:t>
      </w:r>
      <w:r w:rsidR="00AF7C79" w:rsidRPr="00D2484E">
        <w:rPr>
          <w:b/>
        </w:rPr>
        <w:t xml:space="preserve"> and report:</w:t>
      </w:r>
      <w:r w:rsidR="00AF7C79" w:rsidRPr="00D2484E">
        <w:t xml:space="preserve"> Based on the</w:t>
      </w:r>
      <w:r w:rsidR="00B8286C" w:rsidRPr="00D2484E">
        <w:t>se</w:t>
      </w:r>
      <w:r w:rsidR="00AF7C79" w:rsidRPr="00D2484E">
        <w:t xml:space="preserve"> </w:t>
      </w:r>
      <w:r w:rsidR="007B4453" w:rsidRPr="00D2484E">
        <w:t>findings</w:t>
      </w:r>
      <w:r w:rsidR="00AF7C79" w:rsidRPr="00D2484E">
        <w:t>,</w:t>
      </w:r>
      <w:r w:rsidR="000C6D03" w:rsidRPr="00D2484E">
        <w:t xml:space="preserve"> </w:t>
      </w:r>
      <w:r w:rsidR="007B4453" w:rsidRPr="00D2484E">
        <w:t xml:space="preserve">options </w:t>
      </w:r>
      <w:r w:rsidR="000C6D03" w:rsidRPr="00D2484E">
        <w:t>and</w:t>
      </w:r>
      <w:r w:rsidR="00AF7C79" w:rsidRPr="00D2484E">
        <w:t xml:space="preserve"> </w:t>
      </w:r>
      <w:r w:rsidR="007B4453" w:rsidRPr="00D2484E">
        <w:t xml:space="preserve">recommendations </w:t>
      </w:r>
      <w:r w:rsidR="00AF7C79" w:rsidRPr="00D2484E">
        <w:t xml:space="preserve">were </w:t>
      </w:r>
      <w:r w:rsidR="00B8286C" w:rsidRPr="00D2484E">
        <w:t>developed.</w:t>
      </w:r>
    </w:p>
    <w:p w14:paraId="61F583A6" w14:textId="6B79D8FC" w:rsidR="00AF7C79" w:rsidRPr="00D2484E" w:rsidRDefault="00AF7C79" w:rsidP="00675361">
      <w:pPr>
        <w:pStyle w:val="EYHeading2"/>
      </w:pPr>
      <w:bookmarkStart w:id="92" w:name="_Ref77065156"/>
      <w:bookmarkStart w:id="93" w:name="_Toc77329441"/>
      <w:r w:rsidRPr="00D2484E">
        <w:t>Limitations</w:t>
      </w:r>
      <w:bookmarkEnd w:id="92"/>
      <w:bookmarkEnd w:id="93"/>
    </w:p>
    <w:p w14:paraId="4B2EBDF4" w14:textId="47DA4107" w:rsidR="007B2D76" w:rsidRPr="005A2F16" w:rsidRDefault="00CE453F" w:rsidP="005A2F16">
      <w:r w:rsidRPr="005A2F16">
        <w:t>As noted above, t</w:t>
      </w:r>
      <w:r w:rsidR="00AF7C79" w:rsidRPr="005A2F16">
        <w:t xml:space="preserve">his Review </w:t>
      </w:r>
      <w:r w:rsidR="006C032A" w:rsidRPr="005A2F16">
        <w:t xml:space="preserve">relies </w:t>
      </w:r>
      <w:r w:rsidR="00670C0D" w:rsidRPr="005A2F16">
        <w:t>on a mixture of fact</w:t>
      </w:r>
      <w:r w:rsidR="00C010D1" w:rsidRPr="005A2F16">
        <w:t xml:space="preserve">ual and opinionated </w:t>
      </w:r>
      <w:r w:rsidR="00AF7C79" w:rsidRPr="005A2F16">
        <w:t xml:space="preserve">qualitative </w:t>
      </w:r>
      <w:r w:rsidR="00E112F3" w:rsidRPr="005A2F16">
        <w:t>information</w:t>
      </w:r>
      <w:r w:rsidR="00CE2127" w:rsidRPr="005A2F16">
        <w:t>.</w:t>
      </w:r>
      <w:r w:rsidR="00AF7C79" w:rsidRPr="005A2F16">
        <w:t xml:space="preserve"> Opinions and perceptions have been reported </w:t>
      </w:r>
      <w:r w:rsidR="00086820" w:rsidRPr="005A2F16">
        <w:t>throughout but</w:t>
      </w:r>
      <w:r w:rsidR="00AF7C79" w:rsidRPr="005A2F16">
        <w:t xml:space="preserve"> should not be accepted as fact unless explicitly stipulated.</w:t>
      </w:r>
    </w:p>
    <w:p w14:paraId="2F4DFFCC" w14:textId="5B5E83F5" w:rsidR="007B2D76" w:rsidRPr="00D2484E" w:rsidRDefault="007B2D76" w:rsidP="005F678C">
      <w:pPr>
        <w:pStyle w:val="EYHeading1"/>
        <w:rPr>
          <w:rFonts w:eastAsia="Tahoma"/>
        </w:rPr>
      </w:pPr>
      <w:bookmarkStart w:id="94" w:name="_Ref76724050"/>
      <w:bookmarkStart w:id="95" w:name="_Toc77329442"/>
      <w:r w:rsidRPr="00D2484E">
        <w:lastRenderedPageBreak/>
        <w:t>Current governance arrangements</w:t>
      </w:r>
      <w:bookmarkEnd w:id="94"/>
      <w:bookmarkEnd w:id="95"/>
    </w:p>
    <w:p w14:paraId="5E5B03B5" w14:textId="120B9B8E" w:rsidR="007B2D76" w:rsidRPr="00D2484E" w:rsidRDefault="007B2D76" w:rsidP="00675361">
      <w:pPr>
        <w:pStyle w:val="EYHeading2"/>
      </w:pPr>
      <w:bookmarkStart w:id="96" w:name="_Toc77329443"/>
      <w:r w:rsidRPr="00D2484E">
        <w:t>Prostheses List</w:t>
      </w:r>
      <w:bookmarkEnd w:id="96"/>
    </w:p>
    <w:p w14:paraId="64AA2559" w14:textId="3402D068" w:rsidR="007B2D76" w:rsidRPr="00D2484E" w:rsidRDefault="007B2D76" w:rsidP="00CA6DBA">
      <w:r w:rsidRPr="00D2484E">
        <w:t>The Australian Government’s intent of introducing the Prostheses List was to control inflation of medical device costs</w:t>
      </w:r>
      <w:r w:rsidR="00361A56" w:rsidRPr="00D2484E">
        <w:t>, and to improve accessibility to medical devices to privately insured Australians</w:t>
      </w:r>
      <w:r w:rsidRPr="00D2484E">
        <w:t xml:space="preserve">. </w:t>
      </w:r>
      <w:r w:rsidR="00034E6D" w:rsidRPr="00D2484E">
        <w:t xml:space="preserve">The Prostheses List commenced in 1985 and was deregulated in 1999, with re-regulation announced in 2003. </w:t>
      </w:r>
    </w:p>
    <w:p w14:paraId="206F5FFF" w14:textId="3259A8D7" w:rsidR="00761323" w:rsidRPr="00D2484E" w:rsidRDefault="00361A56" w:rsidP="00CA6DBA">
      <w:r w:rsidRPr="00D2484E">
        <w:t xml:space="preserve">The Prostheses List is a </w:t>
      </w:r>
      <w:r w:rsidR="00A06E1E" w:rsidRPr="00D2484E">
        <w:t>S</w:t>
      </w:r>
      <w:r w:rsidRPr="00D2484E">
        <w:t xml:space="preserve">chedule of </w:t>
      </w:r>
      <w:r w:rsidR="007B2D76" w:rsidRPr="00D2484E">
        <w:t xml:space="preserve">the </w:t>
      </w:r>
      <w:r w:rsidR="007B2D76" w:rsidRPr="00D2484E">
        <w:rPr>
          <w:i/>
        </w:rPr>
        <w:t>Private Health Insurance (Prostheses) Rules</w:t>
      </w:r>
      <w:r w:rsidR="006857CA" w:rsidRPr="00D2484E">
        <w:rPr>
          <w:i/>
        </w:rPr>
        <w:t xml:space="preserve"> </w:t>
      </w:r>
      <w:r w:rsidR="006857CA" w:rsidRPr="00D2484E">
        <w:t>('Prostheses Rules’)</w:t>
      </w:r>
      <w:r w:rsidR="00A06E1E" w:rsidRPr="00D2484E">
        <w:t>.</w:t>
      </w:r>
      <w:r w:rsidR="00A06E1E" w:rsidRPr="00D2484E">
        <w:rPr>
          <w:i/>
        </w:rPr>
        <w:t xml:space="preserve"> </w:t>
      </w:r>
      <w:r w:rsidR="00B920C1" w:rsidRPr="00D2484E">
        <w:t>It lists the</w:t>
      </w:r>
      <w:r w:rsidR="007B2D76" w:rsidRPr="00D2484E">
        <w:t xml:space="preserve"> medical devices</w:t>
      </w:r>
      <w:r w:rsidR="00D278FB" w:rsidRPr="00D2484E">
        <w:t>, human tissues,</w:t>
      </w:r>
      <w:r w:rsidR="007B2D76" w:rsidRPr="00D2484E">
        <w:t xml:space="preserve"> </w:t>
      </w:r>
      <w:r w:rsidR="00B920C1" w:rsidRPr="00D2484E">
        <w:t xml:space="preserve">and their associated benefits </w:t>
      </w:r>
      <w:r w:rsidR="007B2D76" w:rsidRPr="00D2484E">
        <w:t xml:space="preserve">which </w:t>
      </w:r>
      <w:r w:rsidR="0065182B" w:rsidRPr="00D2484E">
        <w:t xml:space="preserve">private health </w:t>
      </w:r>
      <w:r w:rsidR="007B2D76" w:rsidRPr="00D2484E">
        <w:t xml:space="preserve">insurers are required to pay </w:t>
      </w:r>
      <w:r w:rsidR="00654B54" w:rsidRPr="00D2484E">
        <w:t>when the item is used in specified circumstances</w:t>
      </w:r>
      <w:r w:rsidR="007B2D76" w:rsidRPr="00D2484E">
        <w:t xml:space="preserve">. The Prostheses </w:t>
      </w:r>
      <w:r w:rsidR="006857CA" w:rsidRPr="00D2484E">
        <w:t>Rules</w:t>
      </w:r>
      <w:r w:rsidR="007B2D76" w:rsidRPr="00D2484E">
        <w:t xml:space="preserve"> sets out the listing criteria which the medical device must satisfy for inclusion as a listed item. </w:t>
      </w:r>
      <w:r w:rsidR="00644BDB" w:rsidRPr="00D2484E">
        <w:t xml:space="preserve">As </w:t>
      </w:r>
      <w:proofErr w:type="gramStart"/>
      <w:r w:rsidR="00644BDB" w:rsidRPr="00D2484E">
        <w:t>at</w:t>
      </w:r>
      <w:proofErr w:type="gramEnd"/>
      <w:r w:rsidR="00644BDB" w:rsidRPr="00D2484E">
        <w:t xml:space="preserve"> July 2021, </w:t>
      </w:r>
      <w:r w:rsidR="00D278FB" w:rsidRPr="00D2484E">
        <w:t xml:space="preserve">there are </w:t>
      </w:r>
      <w:r w:rsidR="00644BDB" w:rsidRPr="00D2484E">
        <w:t xml:space="preserve">approximately 11,000 items </w:t>
      </w:r>
      <w:r w:rsidR="003220F4" w:rsidRPr="00D2484E">
        <w:t>on</w:t>
      </w:r>
      <w:r w:rsidR="00644BDB" w:rsidRPr="00D2484E">
        <w:t xml:space="preserve"> the Prostheses List.</w:t>
      </w:r>
      <w:r w:rsidR="009E6FC3" w:rsidRPr="00D2484E">
        <w:t xml:space="preserve"> </w:t>
      </w:r>
    </w:p>
    <w:p w14:paraId="0E61AEAC" w14:textId="7212A4B5" w:rsidR="00C9206D" w:rsidRPr="00D2484E" w:rsidRDefault="00C9206D" w:rsidP="00CA6DBA">
      <w:r w:rsidRPr="00D2484E">
        <w:t xml:space="preserve">While the PLAC is a non-statutory committee, the </w:t>
      </w:r>
      <w:r w:rsidR="00394EE5" w:rsidRPr="00D2484E">
        <w:t xml:space="preserve">Prostheses </w:t>
      </w:r>
      <w:r w:rsidR="00D278FB" w:rsidRPr="00D2484E">
        <w:t>R</w:t>
      </w:r>
      <w:r w:rsidR="00671F98" w:rsidRPr="00D2484E">
        <w:t>ules</w:t>
      </w:r>
      <w:r w:rsidRPr="00D2484E">
        <w:t xml:space="preserve"> identify that the Minister may have regard to a recommendation of the Prostheses List Advisory Committee. PLAC members are a mix of </w:t>
      </w:r>
      <w:r w:rsidR="00671F98" w:rsidRPr="00D2484E">
        <w:t>M</w:t>
      </w:r>
      <w:r w:rsidRPr="00D2484E">
        <w:t xml:space="preserve">inisterial and </w:t>
      </w:r>
      <w:r w:rsidR="009E0BC0" w:rsidRPr="00D2484E">
        <w:t>D</w:t>
      </w:r>
      <w:r w:rsidRPr="00D2484E">
        <w:t>epartmental appoint</w:t>
      </w:r>
      <w:r w:rsidR="009E0BC0" w:rsidRPr="00D2484E">
        <w:t>ments</w:t>
      </w:r>
      <w:r w:rsidRPr="00D2484E">
        <w:t>, which adds to the complexity of the administrative arrangements.</w:t>
      </w:r>
    </w:p>
    <w:p w14:paraId="6E67A511" w14:textId="1AFD9092" w:rsidR="007B2D76" w:rsidRPr="00D2484E" w:rsidRDefault="009E6FC3" w:rsidP="00CA6DBA">
      <w:pPr>
        <w:rPr>
          <w:noProof/>
        </w:rPr>
      </w:pPr>
      <w:r w:rsidRPr="00D2484E">
        <w:t>More information on the structure of the Prostheses List may be found at</w:t>
      </w:r>
      <w:r w:rsidR="00671F98" w:rsidRPr="00D2484E">
        <w:t xml:space="preserve"> </w:t>
      </w:r>
      <w:r w:rsidRPr="00D2484E">
        <w:fldChar w:fldCharType="begin"/>
      </w:r>
      <w:r w:rsidRPr="00D2484E">
        <w:instrText xml:space="preserve"> REF _Ref76723999 \h  \* MERGEFORMAT </w:instrText>
      </w:r>
      <w:r w:rsidRPr="00D2484E">
        <w:fldChar w:fldCharType="separate"/>
      </w:r>
      <w:r w:rsidR="00475597" w:rsidRPr="00D2484E">
        <w:rPr>
          <w:noProof/>
        </w:rPr>
        <w:t>Appendix A</w:t>
      </w:r>
      <w:r w:rsidRPr="00D2484E">
        <w:fldChar w:fldCharType="end"/>
      </w:r>
      <w:r w:rsidRPr="00D2484E">
        <w:t>.</w:t>
      </w:r>
    </w:p>
    <w:p w14:paraId="095116E4" w14:textId="55D84816" w:rsidR="007B2D76" w:rsidRPr="00D2484E" w:rsidRDefault="007B2D76" w:rsidP="00CA6DBA">
      <w:proofErr w:type="gramStart"/>
      <w:r w:rsidRPr="00D2484E">
        <w:t>For the purpose of</w:t>
      </w:r>
      <w:proofErr w:type="gramEnd"/>
      <w:r w:rsidRPr="00D2484E">
        <w:t xml:space="preserve"> the Prostheses List, ‘prostheses’ are </w:t>
      </w:r>
      <w:r w:rsidR="009E3257" w:rsidRPr="00D2484E">
        <w:t xml:space="preserve">generally </w:t>
      </w:r>
      <w:r w:rsidRPr="00D2484E">
        <w:t>defined as surgically implanted medical devices, devices designed and essential for implantation</w:t>
      </w:r>
      <w:r w:rsidR="009E3257" w:rsidRPr="00D2484E">
        <w:t>,</w:t>
      </w:r>
      <w:r w:rsidRPr="00D2484E">
        <w:t xml:space="preserve"> or for maintaining the implant, human tissue items and other specified devices. This Report will refer to these as ‘medical devices’, acknowledging both policy issues surrounding the definition and </w:t>
      </w:r>
      <w:r w:rsidR="00086820" w:rsidRPr="00D2484E">
        <w:t>criteria</w:t>
      </w:r>
      <w:r w:rsidRPr="00D2484E">
        <w:t xml:space="preserve"> for ‘protheses’, which are out of scope for this report. </w:t>
      </w:r>
    </w:p>
    <w:p w14:paraId="1C7AEFA1" w14:textId="45FB5822" w:rsidR="007B2D76" w:rsidRPr="00D2484E" w:rsidRDefault="00561757" w:rsidP="00C470B6">
      <w:pPr>
        <w:pStyle w:val="EYHeading3"/>
      </w:pPr>
      <w:bookmarkStart w:id="97" w:name="_Ref76727225"/>
      <w:bookmarkStart w:id="98" w:name="_Ref77157248"/>
      <w:r w:rsidRPr="00D2484E">
        <w:t xml:space="preserve">Governance </w:t>
      </w:r>
      <w:r w:rsidR="007B2D76" w:rsidRPr="00D2484E">
        <w:t>of the Prostheses List</w:t>
      </w:r>
      <w:bookmarkEnd w:id="97"/>
      <w:bookmarkEnd w:id="98"/>
    </w:p>
    <w:p w14:paraId="3347C1A4" w14:textId="3719B3D6" w:rsidR="007B2D76" w:rsidRPr="00D2484E" w:rsidRDefault="00054AD9" w:rsidP="00CA6DBA">
      <w:r w:rsidRPr="00D2484E">
        <w:t>T</w:t>
      </w:r>
      <w:r w:rsidR="007B2D76" w:rsidRPr="00D2484E">
        <w:t>he Minister</w:t>
      </w:r>
      <w:r w:rsidR="00086820" w:rsidRPr="00D2484E">
        <w:t xml:space="preserve"> </w:t>
      </w:r>
      <w:r w:rsidR="00D83211" w:rsidRPr="00D2484E">
        <w:t xml:space="preserve">is </w:t>
      </w:r>
      <w:r w:rsidR="00FF4FF7" w:rsidRPr="00D2484E">
        <w:t xml:space="preserve">ultimately </w:t>
      </w:r>
      <w:r w:rsidR="00D83211" w:rsidRPr="00D2484E">
        <w:t xml:space="preserve">responsible for the governance of the Prostheses List, supported by expert advice and recommendations made by the PLAC. </w:t>
      </w:r>
      <w:r w:rsidR="00B3272B" w:rsidRPr="00D2484E">
        <w:t>T</w:t>
      </w:r>
      <w:r w:rsidR="00D83211" w:rsidRPr="00D2484E">
        <w:t xml:space="preserve">he PLAC </w:t>
      </w:r>
      <w:r w:rsidR="00B3272B" w:rsidRPr="00D2484E">
        <w:t>is</w:t>
      </w:r>
      <w:r w:rsidR="00D83211" w:rsidRPr="00D2484E">
        <w:t xml:space="preserve"> responsible for: </w:t>
      </w:r>
    </w:p>
    <w:p w14:paraId="62DC755C" w14:textId="6D1CEF6A" w:rsidR="007B2D76" w:rsidRPr="00CA6DBA" w:rsidRDefault="00D4674D" w:rsidP="00CA6DBA">
      <w:pPr>
        <w:pStyle w:val="EYBullet1"/>
      </w:pPr>
      <w:r w:rsidRPr="00CA6DBA">
        <w:t>M</w:t>
      </w:r>
      <w:r w:rsidR="007B2D76" w:rsidRPr="00CA6DBA">
        <w:t xml:space="preserve">aking recommendations to the Minister on whether applications to list medical devices should be granted or not and if any conditions of listing are </w:t>
      </w:r>
      <w:proofErr w:type="gramStart"/>
      <w:r w:rsidR="007B2D76" w:rsidRPr="00CA6DBA">
        <w:t>appropriate;</w:t>
      </w:r>
      <w:proofErr w:type="gramEnd"/>
      <w:r w:rsidR="007B2D76" w:rsidRPr="00CA6DBA">
        <w:t xml:space="preserve"> </w:t>
      </w:r>
    </w:p>
    <w:p w14:paraId="3E8F40E2" w14:textId="0A19AAB3" w:rsidR="007B2D76" w:rsidRPr="00CA6DBA" w:rsidRDefault="00D4674D" w:rsidP="00CA6DBA">
      <w:pPr>
        <w:pStyle w:val="EYBullet1"/>
      </w:pPr>
      <w:r w:rsidRPr="00CA6DBA">
        <w:t>A</w:t>
      </w:r>
      <w:r w:rsidR="007B2D76" w:rsidRPr="00CA6DBA">
        <w:t xml:space="preserve">dvising the Minister about the benefits for medical devices to be listed on the Prostheses </w:t>
      </w:r>
      <w:proofErr w:type="gramStart"/>
      <w:r w:rsidR="007B2D76" w:rsidRPr="00CA6DBA">
        <w:t>List;</w:t>
      </w:r>
      <w:proofErr w:type="gramEnd"/>
      <w:r w:rsidR="007B2D76" w:rsidRPr="00CA6DBA">
        <w:t xml:space="preserve"> </w:t>
      </w:r>
    </w:p>
    <w:p w14:paraId="18B8FE9D" w14:textId="15B64BCE" w:rsidR="007B2D76" w:rsidRPr="00CA6DBA" w:rsidRDefault="00D4674D" w:rsidP="00CA6DBA">
      <w:pPr>
        <w:pStyle w:val="EYBullet1"/>
      </w:pPr>
      <w:r w:rsidRPr="00CA6DBA">
        <w:t>A</w:t>
      </w:r>
      <w:r w:rsidR="007B2D76" w:rsidRPr="00CA6DBA">
        <w:t xml:space="preserve">dvising the Minister on requests to amend current listings on the Prostheses List; and </w:t>
      </w:r>
    </w:p>
    <w:p w14:paraId="0C0C7EB7" w14:textId="0D86C8D9" w:rsidR="007B2D76" w:rsidRPr="00D2484E" w:rsidRDefault="00D4674D" w:rsidP="00CA6DBA">
      <w:pPr>
        <w:pStyle w:val="EYBullet1"/>
      </w:pPr>
      <w:r w:rsidRPr="00CA6DBA">
        <w:t>R</w:t>
      </w:r>
      <w:r w:rsidR="007B2D76" w:rsidRPr="00CA6DBA">
        <w:t xml:space="preserve">eviewing the listing and/or benefits of listed medical devices as appropriate and </w:t>
      </w:r>
      <w:proofErr w:type="gramStart"/>
      <w:r w:rsidR="007B2D76" w:rsidRPr="00CA6DBA">
        <w:t>mak</w:t>
      </w:r>
      <w:r w:rsidR="003A5558" w:rsidRPr="00CA6DBA">
        <w:t>ing</w:t>
      </w:r>
      <w:r w:rsidR="007B2D76" w:rsidRPr="00CA6DBA">
        <w:t xml:space="preserve">  rec</w:t>
      </w:r>
      <w:r w:rsidR="007B2D76" w:rsidRPr="00D2484E">
        <w:t>ommendations</w:t>
      </w:r>
      <w:proofErr w:type="gramEnd"/>
      <w:r w:rsidR="007B2D76" w:rsidRPr="00D2484E">
        <w:t xml:space="preserve"> to the Minister.</w:t>
      </w:r>
      <w:r w:rsidR="007B2D76" w:rsidRPr="00D2484E">
        <w:rPr>
          <w:rStyle w:val="FootnoteReference"/>
          <w:rFonts w:ascii="Arial" w:hAnsi="Arial"/>
        </w:rPr>
        <w:footnoteReference w:id="3"/>
      </w:r>
    </w:p>
    <w:p w14:paraId="5665F65D" w14:textId="06D3EA5A" w:rsidR="007B2D76" w:rsidRPr="00D2484E" w:rsidRDefault="007B2D76" w:rsidP="00CA6DBA">
      <w:r w:rsidRPr="00D2484E">
        <w:t xml:space="preserve">The PLAC comprises an </w:t>
      </w:r>
      <w:r w:rsidR="0063043B" w:rsidRPr="00D2484E">
        <w:t>I</w:t>
      </w:r>
      <w:r w:rsidRPr="00D2484E">
        <w:t xml:space="preserve">ndependent </w:t>
      </w:r>
      <w:r w:rsidR="00561757" w:rsidRPr="00D2484E">
        <w:t>C</w:t>
      </w:r>
      <w:r w:rsidRPr="00D2484E">
        <w:t>hair and individuals with expertise in health technology assessment, specialist surgery</w:t>
      </w:r>
      <w:r w:rsidR="00DD00AA" w:rsidRPr="00D2484E">
        <w:t xml:space="preserve"> and/or </w:t>
      </w:r>
      <w:r w:rsidRPr="00D2484E">
        <w:t xml:space="preserve">interventional work, health economics and consumer issues, and representatives of </w:t>
      </w:r>
      <w:r w:rsidR="00960941" w:rsidRPr="00D2484E">
        <w:t xml:space="preserve">various </w:t>
      </w:r>
      <w:r w:rsidRPr="00D2484E">
        <w:t>stakeholders in private health</w:t>
      </w:r>
      <w:r w:rsidR="0056766A" w:rsidRPr="00D2484E">
        <w:t xml:space="preserve">care (manufactures, </w:t>
      </w:r>
      <w:proofErr w:type="gramStart"/>
      <w:r w:rsidR="0056766A" w:rsidRPr="00D2484E">
        <w:t>hospitals</w:t>
      </w:r>
      <w:proofErr w:type="gramEnd"/>
      <w:r w:rsidR="0056766A" w:rsidRPr="00D2484E">
        <w:t xml:space="preserve"> and insurers)</w:t>
      </w:r>
      <w:r w:rsidR="001623F4" w:rsidRPr="00D2484E">
        <w:t xml:space="preserve">. </w:t>
      </w:r>
    </w:p>
    <w:p w14:paraId="1F93017C" w14:textId="366CF896" w:rsidR="007B2D76" w:rsidRPr="00D2484E" w:rsidRDefault="007B2D76" w:rsidP="00CA6DBA">
      <w:r w:rsidRPr="00D2484E">
        <w:t xml:space="preserve">The PLAC maintains functional relationships with other </w:t>
      </w:r>
      <w:r w:rsidR="009E6FC3" w:rsidRPr="00D2484E">
        <w:t>HTA</w:t>
      </w:r>
      <w:r w:rsidRPr="00D2484E">
        <w:t xml:space="preserve"> bodies, including</w:t>
      </w:r>
      <w:r w:rsidR="009E6FC3" w:rsidRPr="00D2484E">
        <w:t xml:space="preserve"> the TGA, </w:t>
      </w:r>
      <w:r w:rsidR="00CB7F16" w:rsidRPr="00D2484E">
        <w:t xml:space="preserve">the </w:t>
      </w:r>
      <w:r w:rsidR="009E6FC3" w:rsidRPr="00D2484E">
        <w:t xml:space="preserve">MSAC and </w:t>
      </w:r>
      <w:r w:rsidR="00CB7F16" w:rsidRPr="00D2484E">
        <w:t xml:space="preserve">the </w:t>
      </w:r>
      <w:r w:rsidR="009E6FC3" w:rsidRPr="00D2484E">
        <w:t xml:space="preserve">PBAC. </w:t>
      </w:r>
      <w:r w:rsidRPr="00D2484E">
        <w:t>The PLAC meets quarterly, with appointment terms lasting for approximately two years.</w:t>
      </w:r>
    </w:p>
    <w:p w14:paraId="65ACAEBD" w14:textId="018E07D5" w:rsidR="007B2D76" w:rsidRPr="00D2484E" w:rsidRDefault="006E17AE" w:rsidP="00CA6DBA">
      <w:r w:rsidRPr="00D2484E">
        <w:t>T</w:t>
      </w:r>
      <w:r w:rsidR="007B2D76" w:rsidRPr="00D2484E">
        <w:t xml:space="preserve">he PLAC </w:t>
      </w:r>
      <w:r w:rsidRPr="00D2484E">
        <w:t xml:space="preserve">is </w:t>
      </w:r>
      <w:r w:rsidR="007B2D76" w:rsidRPr="00D2484E">
        <w:t xml:space="preserve">supported by eight CAG </w:t>
      </w:r>
      <w:r w:rsidR="004E3165" w:rsidRPr="00D2484E">
        <w:t>sub-committee</w:t>
      </w:r>
      <w:r w:rsidR="007B2D76" w:rsidRPr="00D2484E">
        <w:t>s and a Panel of Clinical Experts</w:t>
      </w:r>
      <w:r w:rsidR="001623F4" w:rsidRPr="00D2484E">
        <w:t>, as outlined in</w:t>
      </w:r>
      <w:r w:rsidR="00761323" w:rsidRPr="00D2484E">
        <w:t xml:space="preserve"> </w:t>
      </w:r>
      <w:r w:rsidR="001623F4" w:rsidRPr="00D2484E">
        <w:fldChar w:fldCharType="begin"/>
      </w:r>
      <w:r w:rsidR="001623F4" w:rsidRPr="00D2484E">
        <w:instrText xml:space="preserve"> REF _Ref76727173 \h </w:instrText>
      </w:r>
      <w:r w:rsidR="00895537" w:rsidRPr="00D2484E">
        <w:instrText xml:space="preserve"> \* MERGEFORMAT </w:instrText>
      </w:r>
      <w:r w:rsidR="001623F4" w:rsidRPr="00D2484E">
        <w:fldChar w:fldCharType="separate"/>
      </w:r>
      <w:r w:rsidR="00475597" w:rsidRPr="00D2484E">
        <w:t>Figure 1</w:t>
      </w:r>
      <w:r w:rsidR="001623F4" w:rsidRPr="00D2484E">
        <w:fldChar w:fldCharType="end"/>
      </w:r>
      <w:r w:rsidR="001623F4" w:rsidRPr="00D2484E">
        <w:t>.</w:t>
      </w:r>
    </w:p>
    <w:p w14:paraId="0BB5985A" w14:textId="630243D6" w:rsidR="001623F4" w:rsidRPr="00CA6DBA" w:rsidRDefault="008E1481" w:rsidP="00CA6DBA">
      <w:pPr>
        <w:pStyle w:val="Caption"/>
      </w:pPr>
      <w:bookmarkStart w:id="99" w:name="_Ref76727173"/>
      <w:r w:rsidRPr="00CA6DBA">
        <w:rPr>
          <w:noProof/>
        </w:rPr>
        <w:lastRenderedPageBreak/>
        <w:drawing>
          <wp:anchor distT="0" distB="0" distL="114300" distR="114300" simplePos="0" relativeHeight="251658240" behindDoc="0" locked="0" layoutInCell="1" allowOverlap="1" wp14:anchorId="15BA3368" wp14:editId="35BAE2AE">
            <wp:simplePos x="0" y="0"/>
            <wp:positionH relativeFrom="margin">
              <wp:align>center</wp:align>
            </wp:positionH>
            <wp:positionV relativeFrom="paragraph">
              <wp:posOffset>155575</wp:posOffset>
            </wp:positionV>
            <wp:extent cx="3896360" cy="1732915"/>
            <wp:effectExtent l="0" t="0" r="8890" b="635"/>
            <wp:wrapTopAndBottom/>
            <wp:docPr id="22" name="Picture 22" descr="Figure 1 is a flowchart showing the PLAC structure, as at July 202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1 is a flowchart showing the PLAC structure, as at July 2021.">
                      <a:extLst>
                        <a:ext uri="{C183D7F6-B498-43B3-948B-1728B52AA6E4}">
                          <adec:decorative xmlns:adec="http://schemas.microsoft.com/office/drawing/2017/decorative" val="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6360" cy="17329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00" w:name="_Ref77323045"/>
      <w:r w:rsidR="001623F4" w:rsidRPr="00CA6DBA">
        <w:t xml:space="preserve">Figure </w:t>
      </w:r>
      <w:r w:rsidR="001623F4" w:rsidRPr="00CA6DBA">
        <w:fldChar w:fldCharType="begin"/>
      </w:r>
      <w:r w:rsidR="001623F4" w:rsidRPr="00CA6DBA">
        <w:instrText xml:space="preserve"> SEQ Figure \* ARABIC </w:instrText>
      </w:r>
      <w:r w:rsidR="001623F4" w:rsidRPr="00CA6DBA">
        <w:fldChar w:fldCharType="separate"/>
      </w:r>
      <w:r w:rsidR="00475597" w:rsidRPr="00CA6DBA">
        <w:t>1</w:t>
      </w:r>
      <w:r w:rsidR="001623F4" w:rsidRPr="00CA6DBA">
        <w:fldChar w:fldCharType="end"/>
      </w:r>
      <w:bookmarkEnd w:id="99"/>
      <w:r w:rsidR="001623F4" w:rsidRPr="00CA6DBA">
        <w:t xml:space="preserve"> - PLAC structure, as </w:t>
      </w:r>
      <w:proofErr w:type="gramStart"/>
      <w:r w:rsidR="001623F4" w:rsidRPr="00CA6DBA">
        <w:t>at</w:t>
      </w:r>
      <w:proofErr w:type="gramEnd"/>
      <w:r w:rsidR="001623F4" w:rsidRPr="00CA6DBA">
        <w:t xml:space="preserve"> July 2021</w:t>
      </w:r>
      <w:bookmarkEnd w:id="100"/>
    </w:p>
    <w:p w14:paraId="4E467D55" w14:textId="198F17CE" w:rsidR="00C67353" w:rsidRPr="00D2484E" w:rsidRDefault="00C67353" w:rsidP="00675361">
      <w:pPr>
        <w:pStyle w:val="EYHeading2"/>
      </w:pPr>
      <w:bookmarkStart w:id="101" w:name="_Ref77160454"/>
      <w:bookmarkStart w:id="102" w:name="_Toc77329444"/>
      <w:r w:rsidRPr="00D2484E">
        <w:t>Health technology assessment in Australia</w:t>
      </w:r>
      <w:bookmarkEnd w:id="101"/>
      <w:bookmarkEnd w:id="102"/>
    </w:p>
    <w:p w14:paraId="0142FFF2" w14:textId="60A072EE" w:rsidR="00C67353" w:rsidRPr="00D2484E" w:rsidRDefault="00B072AC" w:rsidP="00CA6DBA">
      <w:r w:rsidRPr="00D2484E">
        <w:t>To</w:t>
      </w:r>
      <w:r w:rsidR="00C67353" w:rsidRPr="00D2484E">
        <w:t xml:space="preserve"> ensure that health services and technology are generally accessible to the Australian community</w:t>
      </w:r>
      <w:r w:rsidRPr="00D2484E">
        <w:t>,</w:t>
      </w:r>
      <w:r w:rsidR="00C67353" w:rsidRPr="00D2484E">
        <w:t xml:space="preserve"> the Government subsidises a range of health-related goods and services through various </w:t>
      </w:r>
      <w:r w:rsidR="0020582F" w:rsidRPr="00D2484E">
        <w:t xml:space="preserve">public </w:t>
      </w:r>
      <w:r w:rsidR="00C67353" w:rsidRPr="00D2484E">
        <w:t xml:space="preserve">funding arrangements, including the Pharmaceutical Benefits Scheme (PBS) and Medicare Benefits Scheme (MBS). For members of private health insurance funds, the </w:t>
      </w:r>
      <w:r w:rsidR="0020582F" w:rsidRPr="00D2484E">
        <w:t xml:space="preserve">Australian </w:t>
      </w:r>
      <w:r w:rsidR="00C67353" w:rsidRPr="00D2484E">
        <w:t xml:space="preserve">Government ensures reimbursement </w:t>
      </w:r>
      <w:r w:rsidR="007B01A1" w:rsidRPr="00D2484E">
        <w:t xml:space="preserve">for medical devices </w:t>
      </w:r>
      <w:r w:rsidR="00C67353" w:rsidRPr="00D2484E">
        <w:t xml:space="preserve">from insurers through the </w:t>
      </w:r>
      <w:r w:rsidR="00AC2413" w:rsidRPr="00D2484E">
        <w:t>Prostheses List</w:t>
      </w:r>
      <w:r w:rsidR="00C67353" w:rsidRPr="00D2484E">
        <w:t xml:space="preserve">. </w:t>
      </w:r>
    </w:p>
    <w:p w14:paraId="0261A722" w14:textId="0F8DE634" w:rsidR="00C67353" w:rsidRPr="00D2484E" w:rsidRDefault="00C67353" w:rsidP="00CA6DBA">
      <w:r w:rsidRPr="00D2484E">
        <w:t xml:space="preserve">HTA is defined as ‘a range of processes and mechanisms that use scientific evidence to assess the quality, safety, efficacy, effectiveness and cost effectiveness of health </w:t>
      </w:r>
      <w:proofErr w:type="gramStart"/>
      <w:r w:rsidRPr="00D2484E">
        <w:t>services’</w:t>
      </w:r>
      <w:proofErr w:type="gramEnd"/>
      <w:r w:rsidRPr="00D2484E">
        <w:t>.</w:t>
      </w:r>
      <w:r w:rsidRPr="00D2484E">
        <w:rPr>
          <w:rStyle w:val="FootnoteReference"/>
          <w:rFonts w:ascii="Arial" w:hAnsi="Arial"/>
        </w:rPr>
        <w:footnoteReference w:id="4"/>
      </w:r>
      <w:r w:rsidRPr="00D2484E">
        <w:t xml:space="preserve"> HTA is intended to provide </w:t>
      </w:r>
      <w:r w:rsidR="00F06BD3" w:rsidRPr="00D2484E">
        <w:t>an</w:t>
      </w:r>
      <w:r w:rsidRPr="00D2484E">
        <w:t xml:space="preserve"> understanding </w:t>
      </w:r>
      <w:r w:rsidR="00F06BD3" w:rsidRPr="00D2484E">
        <w:t xml:space="preserve">of </w:t>
      </w:r>
      <w:r w:rsidRPr="00D2484E">
        <w:t xml:space="preserve">the benefits and </w:t>
      </w:r>
      <w:r w:rsidR="00086820" w:rsidRPr="00D2484E">
        <w:t>comparative</w:t>
      </w:r>
      <w:r w:rsidRPr="00D2484E">
        <w:t xml:space="preserve"> value of health technologies and procedures. This information is </w:t>
      </w:r>
      <w:r w:rsidR="00CD1FB3" w:rsidRPr="00D2484E">
        <w:t xml:space="preserve">a key evidence base for health </w:t>
      </w:r>
      <w:r w:rsidRPr="00D2484E">
        <w:t>policy makers, health professionals and health consumers</w:t>
      </w:r>
      <w:r w:rsidR="002A6AA7" w:rsidRPr="00D2484E">
        <w:t>.</w:t>
      </w:r>
      <w:r w:rsidRPr="00D2484E">
        <w:t xml:space="preserve"> </w:t>
      </w:r>
    </w:p>
    <w:p w14:paraId="77556A03" w14:textId="77777777" w:rsidR="00C67353" w:rsidRPr="00D2484E" w:rsidRDefault="00C67353" w:rsidP="00CA6DBA">
      <w:r w:rsidRPr="00D2484E">
        <w:t xml:space="preserve">HTA in Australia is fundamentally oriented on three key questions on the product or item: </w:t>
      </w:r>
    </w:p>
    <w:p w14:paraId="22D0F64E" w14:textId="77777777" w:rsidR="00C67353" w:rsidRPr="00D2484E" w:rsidRDefault="00C67353" w:rsidP="004D745D">
      <w:pPr>
        <w:pStyle w:val="EYBullet1"/>
        <w:rPr>
          <w:lang w:eastAsia="en-AU"/>
        </w:rPr>
      </w:pPr>
      <w:r w:rsidRPr="00D2484E">
        <w:rPr>
          <w:lang w:eastAsia="en-AU"/>
        </w:rPr>
        <w:t>Is it safe?</w:t>
      </w:r>
    </w:p>
    <w:p w14:paraId="4585C735" w14:textId="77777777" w:rsidR="00C67353" w:rsidRPr="00D2484E" w:rsidRDefault="00C67353" w:rsidP="004D745D">
      <w:pPr>
        <w:pStyle w:val="EYBullet1"/>
        <w:rPr>
          <w:lang w:eastAsia="en-AU"/>
        </w:rPr>
      </w:pPr>
      <w:r w:rsidRPr="00D2484E">
        <w:rPr>
          <w:lang w:eastAsia="en-AU"/>
        </w:rPr>
        <w:t>Does it improve health outcomes?</w:t>
      </w:r>
    </w:p>
    <w:p w14:paraId="383810EC" w14:textId="3D42E429" w:rsidR="00C67353" w:rsidRPr="00D2484E" w:rsidRDefault="00C67353" w:rsidP="004D745D">
      <w:pPr>
        <w:pStyle w:val="EYBullet1"/>
        <w:rPr>
          <w:lang w:eastAsia="en-AU"/>
        </w:rPr>
      </w:pPr>
      <w:r w:rsidRPr="00D2484E">
        <w:rPr>
          <w:lang w:eastAsia="en-AU"/>
        </w:rPr>
        <w:t>Is it cost effective (</w:t>
      </w:r>
      <w:proofErr w:type="gramStart"/>
      <w:r w:rsidRPr="00D2484E">
        <w:rPr>
          <w:lang w:eastAsia="en-AU"/>
        </w:rPr>
        <w:t>i.e.</w:t>
      </w:r>
      <w:proofErr w:type="gramEnd"/>
      <w:r w:rsidRPr="00D2484E">
        <w:rPr>
          <w:lang w:eastAsia="en-AU"/>
        </w:rPr>
        <w:t xml:space="preserve"> is it ‘value for money’)?</w:t>
      </w:r>
      <w:r w:rsidR="0007396B" w:rsidRPr="00D2484E">
        <w:rPr>
          <w:rStyle w:val="FootnoteReference"/>
          <w:rFonts w:ascii="Arial" w:hAnsi="Arial"/>
          <w:lang w:eastAsia="en-AU"/>
        </w:rPr>
        <w:footnoteReference w:id="5"/>
      </w:r>
    </w:p>
    <w:p w14:paraId="156B7A1C" w14:textId="6F0047EC" w:rsidR="00A64F52" w:rsidRPr="00D2484E" w:rsidRDefault="00C67353" w:rsidP="00CA6DBA">
      <w:pPr>
        <w:rPr>
          <w:lang w:eastAsia="en-AU"/>
        </w:rPr>
      </w:pPr>
      <w:r w:rsidRPr="00D2484E">
        <w:rPr>
          <w:lang w:eastAsia="en-AU"/>
        </w:rPr>
        <w:t xml:space="preserve">A </w:t>
      </w:r>
      <w:proofErr w:type="gramStart"/>
      <w:r w:rsidRPr="00D2484E">
        <w:rPr>
          <w:lang w:eastAsia="en-AU"/>
        </w:rPr>
        <w:t>high level</w:t>
      </w:r>
      <w:proofErr w:type="gramEnd"/>
      <w:r w:rsidRPr="00D2484E">
        <w:rPr>
          <w:lang w:eastAsia="en-AU"/>
        </w:rPr>
        <w:t xml:space="preserve"> visualisation of the processes and </w:t>
      </w:r>
      <w:r w:rsidR="00FF2972" w:rsidRPr="00D2484E">
        <w:rPr>
          <w:lang w:eastAsia="en-AU"/>
        </w:rPr>
        <w:t xml:space="preserve">governance </w:t>
      </w:r>
      <w:r w:rsidRPr="00D2484E">
        <w:rPr>
          <w:lang w:eastAsia="en-AU"/>
        </w:rPr>
        <w:t>bodies which underpin HTA in Australia are outlined below in</w:t>
      </w:r>
      <w:r w:rsidR="009F307A" w:rsidRPr="00D2484E">
        <w:rPr>
          <w:lang w:eastAsia="en-AU"/>
        </w:rPr>
        <w:t xml:space="preserve"> </w:t>
      </w:r>
      <w:r w:rsidR="009F307A" w:rsidRPr="00D2484E">
        <w:rPr>
          <w:lang w:eastAsia="en-AU"/>
        </w:rPr>
        <w:fldChar w:fldCharType="begin"/>
      </w:r>
      <w:r w:rsidR="009F307A" w:rsidRPr="00D2484E">
        <w:rPr>
          <w:lang w:eastAsia="en-AU"/>
        </w:rPr>
        <w:instrText xml:space="preserve"> REF _Ref77004189 \h </w:instrText>
      </w:r>
      <w:r w:rsidR="00895537" w:rsidRPr="00D2484E">
        <w:rPr>
          <w:lang w:eastAsia="en-AU"/>
        </w:rPr>
        <w:instrText xml:space="preserve"> \* MERGEFORMAT </w:instrText>
      </w:r>
      <w:r w:rsidR="009F307A" w:rsidRPr="00D2484E">
        <w:rPr>
          <w:lang w:eastAsia="en-AU"/>
        </w:rPr>
      </w:r>
      <w:r w:rsidR="009F307A" w:rsidRPr="00D2484E">
        <w:rPr>
          <w:lang w:eastAsia="en-AU"/>
        </w:rPr>
        <w:fldChar w:fldCharType="separate"/>
      </w:r>
      <w:r w:rsidR="00475597" w:rsidRPr="00D2484E">
        <w:t>Figure 2</w:t>
      </w:r>
      <w:r w:rsidR="009F307A" w:rsidRPr="00D2484E">
        <w:rPr>
          <w:lang w:eastAsia="en-AU"/>
        </w:rPr>
        <w:fldChar w:fldCharType="end"/>
      </w:r>
      <w:r w:rsidR="00965A2B" w:rsidRPr="00D2484E">
        <w:rPr>
          <w:lang w:eastAsia="en-AU"/>
        </w:rPr>
        <w:t>.</w:t>
      </w:r>
    </w:p>
    <w:p w14:paraId="1D1B1344" w14:textId="5DD80BCC" w:rsidR="00C67353" w:rsidRPr="00CA6DBA" w:rsidRDefault="00C67353" w:rsidP="00CA6DBA">
      <w:pPr>
        <w:pStyle w:val="Caption"/>
      </w:pPr>
      <w:bookmarkStart w:id="103" w:name="_Ref77004189"/>
      <w:r w:rsidRPr="00CA6DBA">
        <w:lastRenderedPageBreak/>
        <w:t xml:space="preserve">Figure </w:t>
      </w:r>
      <w:r w:rsidRPr="00CA6DBA">
        <w:fldChar w:fldCharType="begin"/>
      </w:r>
      <w:r w:rsidRPr="00CA6DBA">
        <w:instrText xml:space="preserve"> SEQ Figure \* ARABIC </w:instrText>
      </w:r>
      <w:r w:rsidRPr="00CA6DBA">
        <w:fldChar w:fldCharType="separate"/>
      </w:r>
      <w:r w:rsidR="00475597" w:rsidRPr="00CA6DBA">
        <w:t>2</w:t>
      </w:r>
      <w:r w:rsidRPr="00CA6DBA">
        <w:fldChar w:fldCharType="end"/>
      </w:r>
      <w:bookmarkEnd w:id="103"/>
      <w:r w:rsidRPr="00CA6DBA">
        <w:t xml:space="preserve"> - Health technology assessment in Australia, as </w:t>
      </w:r>
      <w:proofErr w:type="gramStart"/>
      <w:r w:rsidRPr="00CA6DBA">
        <w:t>at</w:t>
      </w:r>
      <w:proofErr w:type="gramEnd"/>
      <w:r w:rsidRPr="00CA6DBA">
        <w:t xml:space="preserve"> July 2021</w:t>
      </w:r>
    </w:p>
    <w:p w14:paraId="247F0D8A" w14:textId="59A0184C" w:rsidR="00FF2972" w:rsidRPr="005A2F16" w:rsidRDefault="00A57989" w:rsidP="005A2F16">
      <w:r w:rsidRPr="005A2F16">
        <w:drawing>
          <wp:inline distT="0" distB="0" distL="0" distR="0" wp14:anchorId="6DD0F525" wp14:editId="6F993F20">
            <wp:extent cx="5733415" cy="3572510"/>
            <wp:effectExtent l="0" t="0" r="635" b="8890"/>
            <wp:docPr id="8" name="Picture 8" descr="Figure 2 is a flow chart showing the  Health technology assessment in Australia, as at July 2021. A high level visualisation of the processes and governance bodies which underpin HTA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2 is a flow chart showing the  Health technology assessment in Australia, as at July 2021. A high level visualisation of the processes and governance bodies which underpin HTA in Australia"/>
                    <pic:cNvPicPr/>
                  </pic:nvPicPr>
                  <pic:blipFill>
                    <a:blip r:embed="rId23">
                      <a:extLst>
                        <a:ext uri="{28A0092B-C50C-407E-A947-70E740481C1C}">
                          <a14:useLocalDpi xmlns:a14="http://schemas.microsoft.com/office/drawing/2010/main" val="0"/>
                        </a:ext>
                      </a:extLst>
                    </a:blip>
                    <a:stretch>
                      <a:fillRect/>
                    </a:stretch>
                  </pic:blipFill>
                  <pic:spPr>
                    <a:xfrm>
                      <a:off x="0" y="0"/>
                      <a:ext cx="5733415" cy="3572510"/>
                    </a:xfrm>
                    <a:prstGeom prst="rect">
                      <a:avLst/>
                    </a:prstGeom>
                  </pic:spPr>
                </pic:pic>
              </a:graphicData>
            </a:graphic>
          </wp:inline>
        </w:drawing>
      </w:r>
    </w:p>
    <w:p w14:paraId="2142F978" w14:textId="64BC3D0D" w:rsidR="00C67353" w:rsidRPr="00D2484E" w:rsidRDefault="00C67353" w:rsidP="00C470B6">
      <w:pPr>
        <w:pStyle w:val="EYHeading3"/>
      </w:pPr>
      <w:r w:rsidRPr="00D2484E">
        <w:t>Therapeutic Goods Administration</w:t>
      </w:r>
    </w:p>
    <w:p w14:paraId="00153D68" w14:textId="0203F1BF" w:rsidR="00256657" w:rsidRPr="005A2F16" w:rsidRDefault="00C67353" w:rsidP="005A2F16">
      <w:r w:rsidRPr="005A2F16">
        <w:t xml:space="preserve">The </w:t>
      </w:r>
      <w:r w:rsidR="00C801AB" w:rsidRPr="005A2F16">
        <w:t>T</w:t>
      </w:r>
      <w:r w:rsidR="00893E80" w:rsidRPr="005A2F16">
        <w:t>GA</w:t>
      </w:r>
      <w:r w:rsidRPr="005A2F16">
        <w:t xml:space="preserve"> is responsible for regulating the supply, import, export, </w:t>
      </w:r>
      <w:proofErr w:type="gramStart"/>
      <w:r w:rsidRPr="005A2F16">
        <w:t>manufacturing</w:t>
      </w:r>
      <w:proofErr w:type="gramEnd"/>
      <w:r w:rsidRPr="005A2F16">
        <w:t xml:space="preserve"> and advertising of therapeutic goods. The TGA carries out its </w:t>
      </w:r>
      <w:r w:rsidR="00256657" w:rsidRPr="005A2F16">
        <w:t>regulatory</w:t>
      </w:r>
      <w:r w:rsidRPr="005A2F16">
        <w:t xml:space="preserve"> responsibilities through</w:t>
      </w:r>
      <w:r w:rsidR="00256657" w:rsidRPr="005A2F16">
        <w:t>:</w:t>
      </w:r>
    </w:p>
    <w:p w14:paraId="2F5FBB76" w14:textId="1A643E16" w:rsidR="00256657" w:rsidRPr="00D2484E" w:rsidRDefault="005F5553" w:rsidP="004D745D">
      <w:pPr>
        <w:pStyle w:val="EYBullet1"/>
        <w:rPr>
          <w:lang w:eastAsia="en-AU"/>
        </w:rPr>
      </w:pPr>
      <w:r w:rsidRPr="00D2484E">
        <w:rPr>
          <w:lang w:eastAsia="en-AU"/>
        </w:rPr>
        <w:t>Pre</w:t>
      </w:r>
      <w:r w:rsidR="00C67353" w:rsidRPr="00D2484E">
        <w:rPr>
          <w:lang w:eastAsia="en-AU"/>
        </w:rPr>
        <w:t xml:space="preserve">-market </w:t>
      </w:r>
      <w:proofErr w:type="gramStart"/>
      <w:r w:rsidR="00C67353" w:rsidRPr="00D2484E">
        <w:rPr>
          <w:lang w:eastAsia="en-AU"/>
        </w:rPr>
        <w:t>assessment</w:t>
      </w:r>
      <w:r w:rsidR="00256657" w:rsidRPr="00D2484E">
        <w:rPr>
          <w:lang w:eastAsia="en-AU"/>
        </w:rPr>
        <w:t>;</w:t>
      </w:r>
      <w:proofErr w:type="gramEnd"/>
    </w:p>
    <w:p w14:paraId="79AA25AD" w14:textId="50AFAB4F" w:rsidR="00256657" w:rsidRPr="00D2484E" w:rsidRDefault="005F5553" w:rsidP="004D745D">
      <w:pPr>
        <w:pStyle w:val="EYBullet1"/>
        <w:rPr>
          <w:lang w:eastAsia="en-AU"/>
        </w:rPr>
      </w:pPr>
      <w:r w:rsidRPr="00D2484E">
        <w:rPr>
          <w:lang w:eastAsia="en-AU"/>
        </w:rPr>
        <w:t xml:space="preserve">Post-market monitoring and enforcement of </w:t>
      </w:r>
      <w:proofErr w:type="gramStart"/>
      <w:r w:rsidRPr="00D2484E">
        <w:rPr>
          <w:lang w:eastAsia="en-AU"/>
        </w:rPr>
        <w:t>standards</w:t>
      </w:r>
      <w:r w:rsidR="00256657" w:rsidRPr="00D2484E">
        <w:rPr>
          <w:lang w:eastAsia="en-AU"/>
        </w:rPr>
        <w:t>;</w:t>
      </w:r>
      <w:proofErr w:type="gramEnd"/>
      <w:r w:rsidR="00256657" w:rsidRPr="00D2484E">
        <w:rPr>
          <w:lang w:eastAsia="en-AU"/>
        </w:rPr>
        <w:t xml:space="preserve"> </w:t>
      </w:r>
    </w:p>
    <w:p w14:paraId="0D77D9CA" w14:textId="6C5DCE1A" w:rsidR="00256657" w:rsidRPr="00D2484E" w:rsidRDefault="005F5553" w:rsidP="004D745D">
      <w:pPr>
        <w:pStyle w:val="EYBullet1"/>
        <w:rPr>
          <w:lang w:eastAsia="en-AU"/>
        </w:rPr>
      </w:pPr>
      <w:r w:rsidRPr="00D2484E">
        <w:rPr>
          <w:lang w:eastAsia="en-AU"/>
        </w:rPr>
        <w:t>Licensing of Australian manufacturers</w:t>
      </w:r>
      <w:r w:rsidR="00256657" w:rsidRPr="00D2484E">
        <w:rPr>
          <w:lang w:eastAsia="en-AU"/>
        </w:rPr>
        <w:t xml:space="preserve">; and </w:t>
      </w:r>
    </w:p>
    <w:p w14:paraId="216941BE" w14:textId="65B8B19C" w:rsidR="00C67353" w:rsidRPr="00D2484E" w:rsidRDefault="005F5553" w:rsidP="004D745D">
      <w:pPr>
        <w:pStyle w:val="EYBullet1"/>
        <w:rPr>
          <w:lang w:eastAsia="en-AU"/>
        </w:rPr>
      </w:pPr>
      <w:r w:rsidRPr="00D2484E">
        <w:rPr>
          <w:lang w:eastAsia="en-AU"/>
        </w:rPr>
        <w:t>Verifying overseas manufacturers' compliance with the same standards as their Australian counterparts</w:t>
      </w:r>
      <w:r w:rsidR="00C67353" w:rsidRPr="00D2484E">
        <w:rPr>
          <w:lang w:eastAsia="en-AU"/>
        </w:rPr>
        <w:t>.</w:t>
      </w:r>
    </w:p>
    <w:p w14:paraId="5E0BE4FF" w14:textId="3050D1FE" w:rsidR="00C67353" w:rsidRPr="005A2F16" w:rsidRDefault="00C67353" w:rsidP="005A2F16">
      <w:r w:rsidRPr="005A2F16">
        <w:t xml:space="preserve">In accordance with Australian law, a medical device </w:t>
      </w:r>
      <w:r w:rsidR="004C5239" w:rsidRPr="005A2F16">
        <w:t xml:space="preserve">cannot be legally supplied until it is </w:t>
      </w:r>
      <w:r w:rsidR="00B941DA" w:rsidRPr="005A2F16">
        <w:t>assessed</w:t>
      </w:r>
      <w:r w:rsidR="007615E3" w:rsidRPr="005A2F16">
        <w:t xml:space="preserve"> </w:t>
      </w:r>
      <w:r w:rsidR="004C5239" w:rsidRPr="005A2F16">
        <w:t xml:space="preserve">by </w:t>
      </w:r>
      <w:r w:rsidRPr="005A2F16">
        <w:t>the TGA</w:t>
      </w:r>
      <w:r w:rsidR="00C8419D" w:rsidRPr="005A2F16">
        <w:t xml:space="preserve"> and</w:t>
      </w:r>
      <w:r w:rsidRPr="005A2F16">
        <w:t xml:space="preserve"> </w:t>
      </w:r>
      <w:r w:rsidR="004C5239" w:rsidRPr="005A2F16">
        <w:t xml:space="preserve">receives </w:t>
      </w:r>
      <w:r w:rsidRPr="005A2F16">
        <w:t xml:space="preserve">an Australian Register of Therapeutic Goods (ARTG) </w:t>
      </w:r>
      <w:r w:rsidR="004C5239" w:rsidRPr="005A2F16">
        <w:t xml:space="preserve">entry </w:t>
      </w:r>
      <w:r w:rsidR="00570B4B" w:rsidRPr="005A2F16">
        <w:t xml:space="preserve">(or be exempt from ARTG </w:t>
      </w:r>
      <w:r w:rsidR="004C5239" w:rsidRPr="005A2F16">
        <w:t>inclusion</w:t>
      </w:r>
      <w:r w:rsidR="00570B4B" w:rsidRPr="005A2F16">
        <w:t xml:space="preserve">). As this is a requirement for supply in Australia, it has also been adopted as a </w:t>
      </w:r>
      <w:proofErr w:type="gramStart"/>
      <w:r w:rsidR="00570B4B" w:rsidRPr="005A2F16">
        <w:t>listing criteria</w:t>
      </w:r>
      <w:proofErr w:type="gramEnd"/>
      <w:r w:rsidR="00570B4B" w:rsidRPr="005A2F16">
        <w:t xml:space="preserve"> for the Prostheses List.</w:t>
      </w:r>
      <w:r w:rsidR="00EF7524" w:rsidRPr="005A2F16">
        <w:t xml:space="preserve"> </w:t>
      </w:r>
      <w:r w:rsidRPr="005A2F16">
        <w:t xml:space="preserve">A </w:t>
      </w:r>
      <w:r w:rsidR="004C5239" w:rsidRPr="005A2F16">
        <w:t>sponsor may submit a</w:t>
      </w:r>
      <w:r w:rsidRPr="005A2F16">
        <w:t xml:space="preserve"> Prostheses List </w:t>
      </w:r>
      <w:r w:rsidR="004C5239" w:rsidRPr="005A2F16">
        <w:t xml:space="preserve">application, </w:t>
      </w:r>
      <w:r w:rsidRPr="005A2F16">
        <w:t xml:space="preserve">while TGA approval is pending; applications </w:t>
      </w:r>
      <w:r w:rsidR="004C5239" w:rsidRPr="005A2F16">
        <w:t>even if considered by</w:t>
      </w:r>
      <w:r w:rsidRPr="005A2F16">
        <w:t xml:space="preserve"> the PLAC</w:t>
      </w:r>
      <w:r w:rsidR="004C5239" w:rsidRPr="005A2F16">
        <w:t>,</w:t>
      </w:r>
      <w:r w:rsidRPr="005A2F16">
        <w:t xml:space="preserve"> </w:t>
      </w:r>
      <w:r w:rsidR="004C5239" w:rsidRPr="005A2F16">
        <w:t>will not progress to the decision</w:t>
      </w:r>
      <w:r w:rsidR="00FE39A8" w:rsidRPr="005A2F16">
        <w:t xml:space="preserve"> maker</w:t>
      </w:r>
      <w:r w:rsidR="004C5239" w:rsidRPr="005A2F16">
        <w:t xml:space="preserve">, until </w:t>
      </w:r>
      <w:r w:rsidR="00133514" w:rsidRPr="005A2F16">
        <w:t xml:space="preserve">the </w:t>
      </w:r>
      <w:r w:rsidRPr="005A2F16">
        <w:t xml:space="preserve">TGA </w:t>
      </w:r>
      <w:r w:rsidR="004C5239" w:rsidRPr="005A2F16">
        <w:t>finalises the assessment and issues an ARTG entry</w:t>
      </w:r>
      <w:r w:rsidRPr="005A2F16">
        <w:t xml:space="preserve">. </w:t>
      </w:r>
    </w:p>
    <w:p w14:paraId="4E4B103F" w14:textId="3DBCEEAD" w:rsidR="00C67353" w:rsidRPr="00D2484E" w:rsidRDefault="00C67353" w:rsidP="00C470B6">
      <w:pPr>
        <w:pStyle w:val="EYHeading3"/>
      </w:pPr>
      <w:r w:rsidRPr="00D2484E">
        <w:t>Medical Services Advisory Committee</w:t>
      </w:r>
    </w:p>
    <w:p w14:paraId="5585A4BD" w14:textId="77777777" w:rsidR="005F5553" w:rsidRPr="005A2F16" w:rsidRDefault="008B1BC9" w:rsidP="005A2F16">
      <w:r w:rsidRPr="005A2F16">
        <w:t xml:space="preserve">The </w:t>
      </w:r>
      <w:r w:rsidR="0093732A" w:rsidRPr="005A2F16">
        <w:t>MSAC</w:t>
      </w:r>
      <w:r w:rsidR="00C67353" w:rsidRPr="005A2F16">
        <w:t xml:space="preserve"> is an independent non-statutory committee which</w:t>
      </w:r>
      <w:r w:rsidR="005F5553" w:rsidRPr="005A2F16">
        <w:t>:</w:t>
      </w:r>
    </w:p>
    <w:p w14:paraId="519000E1" w14:textId="158A7E14" w:rsidR="005F5553" w:rsidRPr="00D2484E" w:rsidRDefault="005F5553" w:rsidP="0001791C">
      <w:pPr>
        <w:pStyle w:val="EYBullet1"/>
        <w:rPr>
          <w:lang w:eastAsia="en-AU"/>
        </w:rPr>
      </w:pPr>
      <w:r w:rsidRPr="00D2484E">
        <w:rPr>
          <w:lang w:eastAsia="en-AU"/>
        </w:rPr>
        <w:t xml:space="preserve">Appraises new medical services proposed for public </w:t>
      </w:r>
      <w:proofErr w:type="gramStart"/>
      <w:r w:rsidRPr="00D2484E">
        <w:rPr>
          <w:lang w:eastAsia="en-AU"/>
        </w:rPr>
        <w:t>funding;</w:t>
      </w:r>
      <w:proofErr w:type="gramEnd"/>
      <w:r w:rsidRPr="00D2484E">
        <w:rPr>
          <w:lang w:eastAsia="en-AU"/>
        </w:rPr>
        <w:t xml:space="preserve"> </w:t>
      </w:r>
    </w:p>
    <w:p w14:paraId="1BF7D4A8" w14:textId="70DAADDF" w:rsidR="005F5553" w:rsidRPr="00D2484E" w:rsidRDefault="005F5553" w:rsidP="0001791C">
      <w:pPr>
        <w:pStyle w:val="EYBullet1"/>
        <w:rPr>
          <w:lang w:eastAsia="en-AU"/>
        </w:rPr>
      </w:pPr>
      <w:r w:rsidRPr="00D2484E">
        <w:rPr>
          <w:lang w:eastAsia="en-AU"/>
        </w:rPr>
        <w:t>Provides recommendations and advice to the Minister</w:t>
      </w:r>
      <w:r w:rsidR="00C67353" w:rsidRPr="00D2484E">
        <w:rPr>
          <w:lang w:eastAsia="en-AU"/>
        </w:rPr>
        <w:t xml:space="preserve"> on whether</w:t>
      </w:r>
      <w:r w:rsidR="00EB5B83" w:rsidRPr="00D2484E">
        <w:rPr>
          <w:lang w:eastAsia="en-AU"/>
        </w:rPr>
        <w:t xml:space="preserve"> the service</w:t>
      </w:r>
      <w:r w:rsidR="00C67353" w:rsidRPr="00D2484E">
        <w:rPr>
          <w:lang w:eastAsia="en-AU"/>
        </w:rPr>
        <w:t xml:space="preserve"> should be publicly funded; and </w:t>
      </w:r>
    </w:p>
    <w:p w14:paraId="5C57ACC8" w14:textId="7D7E57E6" w:rsidR="005F5553" w:rsidRPr="00D2484E" w:rsidRDefault="005F5553" w:rsidP="0001791C">
      <w:pPr>
        <w:pStyle w:val="EYBullet1"/>
        <w:rPr>
          <w:lang w:eastAsia="en-AU"/>
        </w:rPr>
      </w:pPr>
      <w:r w:rsidRPr="00D2484E">
        <w:rPr>
          <w:lang w:eastAsia="en-AU"/>
        </w:rPr>
        <w:t xml:space="preserve">Reviews existing services funded </w:t>
      </w:r>
      <w:r w:rsidR="00EB5B83" w:rsidRPr="00D2484E">
        <w:rPr>
          <w:lang w:eastAsia="en-AU"/>
        </w:rPr>
        <w:t xml:space="preserve">through </w:t>
      </w:r>
      <w:r w:rsidRPr="00D2484E">
        <w:rPr>
          <w:lang w:eastAsia="en-AU"/>
        </w:rPr>
        <w:t xml:space="preserve">the MBS or other programs. </w:t>
      </w:r>
    </w:p>
    <w:p w14:paraId="30BB2584" w14:textId="059265CA" w:rsidR="00C67353" w:rsidRPr="005A2F16" w:rsidRDefault="00C67353" w:rsidP="005A2F16">
      <w:r w:rsidRPr="005A2F16">
        <w:t xml:space="preserve">The MSAC uses the best available evidence to assess comparative safety, clinical effectiveness, </w:t>
      </w:r>
      <w:proofErr w:type="gramStart"/>
      <w:r w:rsidRPr="005A2F16">
        <w:t>cost-effectiveness</w:t>
      </w:r>
      <w:proofErr w:type="gramEnd"/>
      <w:r w:rsidRPr="005A2F16">
        <w:t xml:space="preserve"> and total cost of the service. </w:t>
      </w:r>
    </w:p>
    <w:p w14:paraId="169B109F" w14:textId="7BAFEEE5" w:rsidR="00C67353" w:rsidRPr="00D2484E" w:rsidRDefault="00C67353" w:rsidP="00CA6DBA">
      <w:r w:rsidRPr="00D2484E">
        <w:t xml:space="preserve">An application for listing on the Prostheses List may be </w:t>
      </w:r>
      <w:r w:rsidR="00086820" w:rsidRPr="00D2484E">
        <w:t>assessed</w:t>
      </w:r>
      <w:r w:rsidRPr="00D2484E">
        <w:t xml:space="preserve"> concurrently by </w:t>
      </w:r>
      <w:r w:rsidR="004F6981" w:rsidRPr="00D2484E">
        <w:t>the</w:t>
      </w:r>
      <w:r w:rsidRPr="00D2484E">
        <w:t xml:space="preserve"> MSAC where a medical device is associated with a medical service. As discussed further in this </w:t>
      </w:r>
      <w:r w:rsidRPr="00D2484E">
        <w:lastRenderedPageBreak/>
        <w:t xml:space="preserve">Report, the PLAC may leverage from </w:t>
      </w:r>
      <w:r w:rsidR="00FA46AB" w:rsidRPr="00D2484E">
        <w:t xml:space="preserve">the </w:t>
      </w:r>
      <w:r w:rsidRPr="00D2484E">
        <w:t xml:space="preserve">MSAC and its </w:t>
      </w:r>
      <w:r w:rsidR="004E3165" w:rsidRPr="00D2484E">
        <w:t>sub-committee</w:t>
      </w:r>
      <w:r w:rsidRPr="00D2484E">
        <w:t>s</w:t>
      </w:r>
      <w:r w:rsidR="002F3DC1" w:rsidRPr="00D2484E">
        <w:t xml:space="preserve"> (the </w:t>
      </w:r>
      <w:r w:rsidR="00B235C7" w:rsidRPr="00D2484E">
        <w:t>PICO Advisory Sub-Comm</w:t>
      </w:r>
      <w:r w:rsidR="002A6CC7" w:rsidRPr="00D2484E">
        <w:t>itt</w:t>
      </w:r>
      <w:r w:rsidR="00B235C7" w:rsidRPr="00D2484E">
        <w:t xml:space="preserve">ee and the </w:t>
      </w:r>
      <w:r w:rsidR="00780C83" w:rsidRPr="00D2484E">
        <w:t>Evaluation Sub-Committee)</w:t>
      </w:r>
      <w:r w:rsidRPr="00D2484E">
        <w:t xml:space="preserve"> in its compilation of advice to the Minister. </w:t>
      </w:r>
    </w:p>
    <w:p w14:paraId="55D96B2B" w14:textId="77777777" w:rsidR="00C67353" w:rsidRPr="00D2484E" w:rsidRDefault="00C67353" w:rsidP="00C470B6">
      <w:pPr>
        <w:pStyle w:val="EYHeading3"/>
      </w:pPr>
      <w:r w:rsidRPr="00D2484E">
        <w:t xml:space="preserve">Pharmaceutical Benefits Advisory Committee </w:t>
      </w:r>
    </w:p>
    <w:p w14:paraId="10F12E6F" w14:textId="57F25A61" w:rsidR="00C67353" w:rsidRPr="00D2484E" w:rsidRDefault="00C67353" w:rsidP="00E45667">
      <w:pPr>
        <w:rPr>
          <w:lang w:eastAsia="en-AU"/>
        </w:rPr>
      </w:pPr>
      <w:r w:rsidRPr="00D2484E">
        <w:t xml:space="preserve">The </w:t>
      </w:r>
      <w:r w:rsidR="00FA46AB" w:rsidRPr="00D2484E">
        <w:t>PBAC</w:t>
      </w:r>
      <w:r w:rsidRPr="00D2484E">
        <w:t xml:space="preserve"> is an independent expert body which recommends new medicines and vaccines for listing on the PBS. </w:t>
      </w:r>
      <w:proofErr w:type="gramStart"/>
      <w:r w:rsidRPr="00D2484E">
        <w:t>Similar to</w:t>
      </w:r>
      <w:proofErr w:type="gramEnd"/>
      <w:r w:rsidRPr="00D2484E">
        <w:t xml:space="preserve"> </w:t>
      </w:r>
      <w:r w:rsidR="00FA46AB" w:rsidRPr="00D2484E">
        <w:t>the</w:t>
      </w:r>
      <w:r w:rsidRPr="00D2484E">
        <w:t xml:space="preserve"> MSAC, the PBAC</w:t>
      </w:r>
      <w:r w:rsidR="00437334" w:rsidRPr="00D2484E">
        <w:t xml:space="preserve"> p</w:t>
      </w:r>
      <w:r w:rsidR="001240FA" w:rsidRPr="00D2484E">
        <w:t>rovides r</w:t>
      </w:r>
      <w:r w:rsidRPr="00D2484E">
        <w:rPr>
          <w:lang w:eastAsia="en-AU"/>
        </w:rPr>
        <w:t>ecommendations to the Minister on whether a medicine or vaccine should be included on the PBS</w:t>
      </w:r>
      <w:r w:rsidR="00437334" w:rsidRPr="00D2484E">
        <w:rPr>
          <w:lang w:eastAsia="en-AU"/>
        </w:rPr>
        <w:t xml:space="preserve">. In doing so, the PBAC considers </w:t>
      </w:r>
      <w:r w:rsidRPr="00D2484E">
        <w:rPr>
          <w:lang w:eastAsia="en-AU"/>
        </w:rPr>
        <w:t xml:space="preserve">medical conditions for which the medicine was registered for use, </w:t>
      </w:r>
      <w:r w:rsidR="00671A27" w:rsidRPr="00D2484E">
        <w:rPr>
          <w:lang w:eastAsia="en-AU"/>
        </w:rPr>
        <w:t xml:space="preserve">and </w:t>
      </w:r>
      <w:r w:rsidRPr="00D2484E">
        <w:rPr>
          <w:lang w:eastAsia="en-AU"/>
        </w:rPr>
        <w:t xml:space="preserve">its clinical effectiveness, safety and cost-effectiveness compared to other treatments. </w:t>
      </w:r>
    </w:p>
    <w:p w14:paraId="0F8F1BB0" w14:textId="002AFE1E" w:rsidR="00C67353" w:rsidRPr="005A2F16" w:rsidRDefault="00FA46AB" w:rsidP="005A2F16">
      <w:r w:rsidRPr="005A2F16">
        <w:t xml:space="preserve">The </w:t>
      </w:r>
      <w:r w:rsidR="00C67353" w:rsidRPr="005A2F16">
        <w:t>PBAC is supported by two sub-committees:</w:t>
      </w:r>
    </w:p>
    <w:p w14:paraId="0025EDBB" w14:textId="77777777" w:rsidR="00C67353" w:rsidRPr="00D2484E" w:rsidRDefault="00C67353" w:rsidP="00CA6DBA">
      <w:pPr>
        <w:pStyle w:val="EYBullet1"/>
        <w:rPr>
          <w:lang w:eastAsia="en-AU"/>
        </w:rPr>
      </w:pPr>
      <w:r w:rsidRPr="00D2484E">
        <w:rPr>
          <w:lang w:eastAsia="en-AU"/>
        </w:rPr>
        <w:t>The Drug Utilisation Sub Committee; and</w:t>
      </w:r>
    </w:p>
    <w:p w14:paraId="4A1DDAA7" w14:textId="77777777" w:rsidR="00C67353" w:rsidRPr="00D2484E" w:rsidRDefault="00C67353" w:rsidP="00CA6DBA">
      <w:pPr>
        <w:pStyle w:val="EYBullet1"/>
      </w:pPr>
      <w:r w:rsidRPr="00D2484E">
        <w:rPr>
          <w:lang w:eastAsia="en-AU"/>
        </w:rPr>
        <w:t>The Economics Sub Committee</w:t>
      </w:r>
      <w:r w:rsidRPr="00D2484E">
        <w:t>.</w:t>
      </w:r>
    </w:p>
    <w:p w14:paraId="60B088D5" w14:textId="0FF1B3EB" w:rsidR="007B2D76" w:rsidRPr="00D2484E" w:rsidRDefault="00897CEC" w:rsidP="00CA6DBA">
      <w:r w:rsidRPr="00D2484E">
        <w:t>Medical devices containing medicines may be assessed concurrently by both</w:t>
      </w:r>
      <w:r w:rsidR="003A0615" w:rsidRPr="00D2484E">
        <w:t xml:space="preserve"> the</w:t>
      </w:r>
      <w:r w:rsidRPr="00D2484E">
        <w:t xml:space="preserve"> PLAC and </w:t>
      </w:r>
      <w:r w:rsidR="003A0615" w:rsidRPr="00D2484E">
        <w:t xml:space="preserve">the </w:t>
      </w:r>
      <w:r w:rsidRPr="00D2484E">
        <w:t>PBAC.</w:t>
      </w:r>
    </w:p>
    <w:p w14:paraId="4B1FF37E" w14:textId="1ABD8A70" w:rsidR="00EC230E" w:rsidRPr="00D2484E" w:rsidRDefault="000A09DD" w:rsidP="005F678C">
      <w:pPr>
        <w:pStyle w:val="EYHeading1"/>
      </w:pPr>
      <w:bookmarkStart w:id="104" w:name="_Ref76374061"/>
      <w:bookmarkStart w:id="105" w:name="_Ref76374065"/>
      <w:bookmarkStart w:id="106" w:name="_Toc77329445"/>
      <w:r w:rsidRPr="00D2484E">
        <w:lastRenderedPageBreak/>
        <w:t>I</w:t>
      </w:r>
      <w:r w:rsidR="00DD340A" w:rsidRPr="00D2484E">
        <w:t>ssues</w:t>
      </w:r>
      <w:r w:rsidR="001A37C5" w:rsidRPr="00D2484E">
        <w:t xml:space="preserve"> identified in the Review</w:t>
      </w:r>
      <w:bookmarkEnd w:id="104"/>
      <w:bookmarkEnd w:id="105"/>
      <w:bookmarkEnd w:id="106"/>
    </w:p>
    <w:p w14:paraId="31B7ABCF" w14:textId="0E710C06" w:rsidR="00AE066A" w:rsidRPr="00D2484E" w:rsidRDefault="001906DE" w:rsidP="002242CA">
      <w:pPr>
        <w:pStyle w:val="Heading2"/>
      </w:pPr>
      <w:bookmarkStart w:id="107" w:name="_Toc77329446"/>
      <w:r w:rsidRPr="00D2484E">
        <w:t>Overview</w:t>
      </w:r>
      <w:bookmarkEnd w:id="107"/>
    </w:p>
    <w:p w14:paraId="15736352" w14:textId="690DB2F8" w:rsidR="007E092D" w:rsidRPr="00D2484E" w:rsidRDefault="00D90718" w:rsidP="00CA6DBA">
      <w:r w:rsidRPr="00D2484E">
        <w:t>This section evaluate</w:t>
      </w:r>
      <w:r w:rsidR="007A473E" w:rsidRPr="00D2484E">
        <w:t>s</w:t>
      </w:r>
      <w:r w:rsidRPr="00D2484E">
        <w:t xml:space="preserve"> the PLAC </w:t>
      </w:r>
      <w:r w:rsidR="00C50C97" w:rsidRPr="00D2484E">
        <w:t xml:space="preserve">and its </w:t>
      </w:r>
      <w:r w:rsidR="004E3165" w:rsidRPr="00D2484E">
        <w:t>sub-committee</w:t>
      </w:r>
      <w:r w:rsidR="00C50C97" w:rsidRPr="00D2484E">
        <w:t xml:space="preserve">s </w:t>
      </w:r>
      <w:r w:rsidR="003C0051" w:rsidRPr="00D2484E">
        <w:t>using the following structure:</w:t>
      </w:r>
    </w:p>
    <w:p w14:paraId="1DB229A5" w14:textId="2FFC06B5" w:rsidR="001D1054" w:rsidRPr="00CA6DBA" w:rsidRDefault="00DF425A" w:rsidP="00CA6DBA">
      <w:pPr>
        <w:pStyle w:val="EYBullet1"/>
      </w:pPr>
      <w:r w:rsidRPr="00D2484E">
        <w:rPr>
          <w:b/>
        </w:rPr>
        <w:t>Finding</w:t>
      </w:r>
      <w:r w:rsidR="005B4344" w:rsidRPr="00D2484E">
        <w:rPr>
          <w:b/>
        </w:rPr>
        <w:t>:</w:t>
      </w:r>
      <w:r w:rsidR="007E092D" w:rsidRPr="00D2484E">
        <w:rPr>
          <w:b/>
        </w:rPr>
        <w:t xml:space="preserve"> </w:t>
      </w:r>
      <w:r w:rsidR="003C0051" w:rsidRPr="00D2484E">
        <w:t xml:space="preserve">Key themes </w:t>
      </w:r>
      <w:r w:rsidR="00387A83" w:rsidRPr="00D2484E">
        <w:t xml:space="preserve">identified </w:t>
      </w:r>
      <w:r w:rsidR="003C0051" w:rsidRPr="00D2484E">
        <w:t>through</w:t>
      </w:r>
      <w:r w:rsidR="00E06FDD" w:rsidRPr="00D2484E">
        <w:t xml:space="preserve"> the d</w:t>
      </w:r>
      <w:r w:rsidR="003C0051" w:rsidRPr="00D2484E">
        <w:t>ocumentation</w:t>
      </w:r>
      <w:r w:rsidR="00E06FDD" w:rsidRPr="00D2484E">
        <w:t xml:space="preserve"> review and the stakeholder consultations are presented </w:t>
      </w:r>
      <w:r w:rsidR="003C0051" w:rsidRPr="00D2484E">
        <w:t>as findings</w:t>
      </w:r>
      <w:r w:rsidR="00290B3E" w:rsidRPr="00D2484E">
        <w:t xml:space="preserve"> in yellow boxes</w:t>
      </w:r>
      <w:r w:rsidR="00E06FDD" w:rsidRPr="00D2484E">
        <w:t>.</w:t>
      </w:r>
      <w:r w:rsidR="00E06FDD" w:rsidRPr="00D2484E">
        <w:rPr>
          <w:b/>
        </w:rPr>
        <w:t xml:space="preserve"> </w:t>
      </w:r>
    </w:p>
    <w:p w14:paraId="3DC02A7A" w14:textId="281AB47B" w:rsidR="00C91373" w:rsidRPr="00D2484E" w:rsidRDefault="00496852" w:rsidP="00CA6DBA">
      <w:pPr>
        <w:pStyle w:val="EYBullet1"/>
      </w:pPr>
      <w:r w:rsidRPr="00D2484E">
        <w:rPr>
          <w:b/>
        </w:rPr>
        <w:t>Summary</w:t>
      </w:r>
      <w:r w:rsidR="005B4344" w:rsidRPr="00D2484E">
        <w:rPr>
          <w:b/>
        </w:rPr>
        <w:t>:</w:t>
      </w:r>
      <w:r w:rsidR="004F0AB4" w:rsidRPr="00D2484E">
        <w:rPr>
          <w:b/>
        </w:rPr>
        <w:t xml:space="preserve"> </w:t>
      </w:r>
      <w:r w:rsidR="00290B3E" w:rsidRPr="00D2484E">
        <w:t>A</w:t>
      </w:r>
      <w:r w:rsidR="00140D08" w:rsidRPr="00D2484E">
        <w:t xml:space="preserve"> high</w:t>
      </w:r>
      <w:r w:rsidR="007E7BA5" w:rsidRPr="00D2484E">
        <w:t>-l</w:t>
      </w:r>
      <w:r w:rsidR="00140D08" w:rsidRPr="00D2484E">
        <w:t xml:space="preserve">evel </w:t>
      </w:r>
      <w:r w:rsidR="00C34402" w:rsidRPr="00D2484E">
        <w:t xml:space="preserve">summary </w:t>
      </w:r>
      <w:r w:rsidR="007E7BA5" w:rsidRPr="00D2484E">
        <w:t xml:space="preserve">of </w:t>
      </w:r>
      <w:r w:rsidR="00E879CC" w:rsidRPr="00D2484E">
        <w:t xml:space="preserve">each </w:t>
      </w:r>
      <w:r w:rsidR="00F47B4B" w:rsidRPr="00D2484E">
        <w:t xml:space="preserve">key </w:t>
      </w:r>
      <w:r w:rsidR="00D1438F" w:rsidRPr="00D2484E">
        <w:t>findings</w:t>
      </w:r>
      <w:r w:rsidR="00072412" w:rsidRPr="00D2484E">
        <w:t xml:space="preserve"> </w:t>
      </w:r>
      <w:r w:rsidR="007E7BA5" w:rsidRPr="00D2484E">
        <w:t>is provided immediately beneath.</w:t>
      </w:r>
      <w:r w:rsidR="005B6DD9" w:rsidRPr="00D2484E">
        <w:t xml:space="preserve"> </w:t>
      </w:r>
    </w:p>
    <w:p w14:paraId="39B0FE4D" w14:textId="7573A6E2" w:rsidR="00752CFD" w:rsidRPr="00D2484E" w:rsidRDefault="00752CFD" w:rsidP="004D745D">
      <w:pPr>
        <w:pStyle w:val="EYBullet1"/>
      </w:pPr>
      <w:r w:rsidRPr="00D2484E">
        <w:rPr>
          <w:b/>
        </w:rPr>
        <w:t>Detailed explanation</w:t>
      </w:r>
      <w:r w:rsidR="005B4344" w:rsidRPr="00D2484E">
        <w:rPr>
          <w:b/>
        </w:rPr>
        <w:t>:</w:t>
      </w:r>
      <w:r w:rsidRPr="00D2484E">
        <w:t xml:space="preserve"> </w:t>
      </w:r>
      <w:r w:rsidR="006F7710" w:rsidRPr="00D2484E">
        <w:t xml:space="preserve">More detail is provided describing the </w:t>
      </w:r>
      <w:r w:rsidR="00224A85" w:rsidRPr="00D2484E">
        <w:t>evidence</w:t>
      </w:r>
      <w:r w:rsidR="00A422BF" w:rsidRPr="00D2484E">
        <w:t xml:space="preserve"> and causes of the Findings as</w:t>
      </w:r>
      <w:r w:rsidR="00224A85" w:rsidRPr="00D2484E">
        <w:t xml:space="preserve"> drawn from </w:t>
      </w:r>
      <w:r w:rsidR="00B45943" w:rsidRPr="00D2484E">
        <w:t>t</w:t>
      </w:r>
      <w:r w:rsidR="00224A85" w:rsidRPr="00D2484E">
        <w:t xml:space="preserve">he </w:t>
      </w:r>
      <w:r w:rsidR="00B45943" w:rsidRPr="00D2484E">
        <w:t xml:space="preserve">documentation </w:t>
      </w:r>
      <w:r w:rsidR="00224A85" w:rsidRPr="00D2484E">
        <w:t>review and stakeholder consultations</w:t>
      </w:r>
      <w:r w:rsidR="00A422BF" w:rsidRPr="00D2484E">
        <w:t>.</w:t>
      </w:r>
      <w:r w:rsidR="00224A85" w:rsidRPr="00D2484E">
        <w:t xml:space="preserve"> </w:t>
      </w:r>
    </w:p>
    <w:p w14:paraId="670D7EB0" w14:textId="6C5088B8" w:rsidR="003A5ACF" w:rsidRPr="00D2484E" w:rsidRDefault="003A5ACF" w:rsidP="002242CA">
      <w:pPr>
        <w:pStyle w:val="EYHeading2"/>
      </w:pPr>
      <w:bookmarkStart w:id="108" w:name="_Ref76661590"/>
      <w:bookmarkStart w:id="109" w:name="_Ref76661594"/>
      <w:bookmarkStart w:id="110" w:name="_Toc77329447"/>
      <w:r w:rsidRPr="00D2484E">
        <w:t>Structure</w:t>
      </w:r>
      <w:r w:rsidR="001737D4" w:rsidRPr="00D2484E">
        <w:t>, focus</w:t>
      </w:r>
      <w:r w:rsidRPr="00D2484E">
        <w:t xml:space="preserve"> and composition</w:t>
      </w:r>
      <w:bookmarkEnd w:id="108"/>
      <w:bookmarkEnd w:id="109"/>
      <w:r w:rsidRPr="00D2484E">
        <w:t xml:space="preserve"> </w:t>
      </w:r>
      <w:r w:rsidR="00BA6AF9" w:rsidRPr="00D2484E">
        <w:t>of the PLAC and its sub-committees</w:t>
      </w:r>
      <w:bookmarkEnd w:id="110"/>
    </w:p>
    <w:p w14:paraId="3ACFE686" w14:textId="59D8C4EC" w:rsidR="00CA6DBA" w:rsidRPr="005E2C10" w:rsidRDefault="00CA6DBA" w:rsidP="00CA6DBA">
      <w:pPr>
        <w:pStyle w:val="Boxtext"/>
        <w:rPr>
          <w:rStyle w:val="Strong"/>
        </w:rPr>
      </w:pPr>
      <w:r w:rsidRPr="005E2C10">
        <w:rPr>
          <w:rStyle w:val="Strong"/>
        </w:rPr>
        <w:t>Finding 1</w:t>
      </w:r>
    </w:p>
    <w:p w14:paraId="46597488" w14:textId="765BCCE2" w:rsidR="00CA6DBA" w:rsidRPr="002242CA" w:rsidRDefault="00CA6DBA" w:rsidP="00CA6DBA">
      <w:pPr>
        <w:pStyle w:val="Boxtext"/>
        <w:rPr>
          <w:rStyle w:val="Strong"/>
        </w:rPr>
      </w:pPr>
      <w:r w:rsidRPr="002242CA">
        <w:rPr>
          <w:rStyle w:val="Strong"/>
        </w:rPr>
        <w:t xml:space="preserve">The structure, focus and composition of the PLAC and its sub-committees impair its ability to fulfill its purpose. The composition of the PLAC’s membership is not appropriate in enabling the PLAC to fulfill its purpose as it comprises an unusual mix of both clinical experts and stakeholder advocates. </w:t>
      </w:r>
    </w:p>
    <w:p w14:paraId="70D84E4F" w14:textId="77777777" w:rsidR="00CA6DBA" w:rsidRDefault="00CA6DBA" w:rsidP="00CA6DBA">
      <w:pPr>
        <w:pStyle w:val="Boxtext"/>
      </w:pPr>
      <w:r>
        <w:t>Summary: The PLAC and its sub-committees are supported by a complex array of both clinicians and industry stakeholders. This structure has evolved over time and has become unwieldy.</w:t>
      </w:r>
    </w:p>
    <w:p w14:paraId="354122CA" w14:textId="77777777" w:rsidR="00CA6DBA" w:rsidRDefault="00CA6DBA" w:rsidP="00CA6DBA">
      <w:pPr>
        <w:pStyle w:val="Boxtext"/>
      </w:pPr>
      <w:r>
        <w:t>For a number of reasons, the PLAC focuses on application-driven activity and less so on regular post-listing reviews (</w:t>
      </w:r>
      <w:proofErr w:type="gramStart"/>
      <w:r>
        <w:t>i.e.</w:t>
      </w:r>
      <w:proofErr w:type="gramEnd"/>
      <w:r>
        <w:t xml:space="preserve"> items already on the Prostheses List and/or their benefits).</w:t>
      </w:r>
    </w:p>
    <w:p w14:paraId="1BCCCE65" w14:textId="1EE05D0D" w:rsidR="00CA6DBA" w:rsidRPr="00CA6DBA" w:rsidRDefault="00CA6DBA" w:rsidP="00CA6DBA">
      <w:pPr>
        <w:pStyle w:val="Boxtext"/>
      </w:pPr>
      <w:r>
        <w:t>Furthermore, the composition of the PLAC to include clinical experts and industry representatives with vested interests means that the committee is often distracted by disputes and matters which are straightforward and/or are not expected to have a material impact on overall funding through the Prostheses List.</w:t>
      </w:r>
    </w:p>
    <w:p w14:paraId="64DCFFC1" w14:textId="526585DA" w:rsidR="00D863D0" w:rsidRPr="00D2484E" w:rsidRDefault="00D863D0" w:rsidP="00510194">
      <w:pPr>
        <w:pStyle w:val="EYHeading3"/>
      </w:pPr>
      <w:r w:rsidRPr="00D2484E">
        <w:t>Structure and membership</w:t>
      </w:r>
    </w:p>
    <w:p w14:paraId="61E7E1BA" w14:textId="5D2D2F49" w:rsidR="00F04E07" w:rsidRPr="00D2484E" w:rsidRDefault="00F83340" w:rsidP="00CA6DBA">
      <w:r w:rsidRPr="00D2484E">
        <w:t xml:space="preserve">As demonstrated </w:t>
      </w:r>
      <w:r w:rsidR="006338FA" w:rsidRPr="00D2484E">
        <w:t>in</w:t>
      </w:r>
      <w:r w:rsidR="0096275B" w:rsidRPr="00D2484E">
        <w:t xml:space="preserve"> </w:t>
      </w:r>
      <w:r w:rsidR="0096275B" w:rsidRPr="00D2484E">
        <w:fldChar w:fldCharType="begin"/>
      </w:r>
      <w:r w:rsidR="0096275B" w:rsidRPr="00D2484E">
        <w:instrText xml:space="preserve"> REF _Ref76727173 \h </w:instrText>
      </w:r>
      <w:r w:rsidR="000A30C5" w:rsidRPr="00D2484E">
        <w:instrText xml:space="preserve"> \* MERGEFORMAT </w:instrText>
      </w:r>
      <w:r w:rsidR="0096275B" w:rsidRPr="00D2484E">
        <w:fldChar w:fldCharType="separate"/>
      </w:r>
      <w:r w:rsidR="00475597" w:rsidRPr="00D2484E">
        <w:t xml:space="preserve">Figure </w:t>
      </w:r>
      <w:r w:rsidR="00475597" w:rsidRPr="00D2484E">
        <w:rPr>
          <w:noProof/>
        </w:rPr>
        <w:t>1</w:t>
      </w:r>
      <w:r w:rsidR="0096275B" w:rsidRPr="00D2484E">
        <w:fldChar w:fldCharType="end"/>
      </w:r>
      <w:r w:rsidR="0096275B" w:rsidRPr="00D2484E">
        <w:t xml:space="preserve"> </w:t>
      </w:r>
      <w:r w:rsidRPr="00D2484E">
        <w:t xml:space="preserve">in Section </w:t>
      </w:r>
      <w:r w:rsidRPr="00D2484E">
        <w:fldChar w:fldCharType="begin"/>
      </w:r>
      <w:r w:rsidRPr="00D2484E">
        <w:instrText xml:space="preserve"> REF _Ref76727225 \r \h  \* MERGEFORMAT </w:instrText>
      </w:r>
      <w:r w:rsidRPr="00D2484E">
        <w:fldChar w:fldCharType="separate"/>
      </w:r>
      <w:r w:rsidR="00475597" w:rsidRPr="00D2484E">
        <w:t>3.1.1</w:t>
      </w:r>
      <w:r w:rsidRPr="00D2484E">
        <w:fldChar w:fldCharType="end"/>
      </w:r>
      <w:r w:rsidRPr="00D2484E">
        <w:t xml:space="preserve">, </w:t>
      </w:r>
      <w:r w:rsidR="00091AE4" w:rsidRPr="00D2484E">
        <w:t xml:space="preserve">the </w:t>
      </w:r>
      <w:r w:rsidR="00D60669" w:rsidRPr="00D2484E">
        <w:t>PLAC is composed of three sections:</w:t>
      </w:r>
    </w:p>
    <w:p w14:paraId="36165987" w14:textId="08ABCA2F" w:rsidR="003D140D" w:rsidRPr="00D2484E" w:rsidRDefault="00F04E07" w:rsidP="004D745D">
      <w:pPr>
        <w:pStyle w:val="EYBullet1"/>
      </w:pPr>
      <w:r w:rsidRPr="00D2484E">
        <w:t xml:space="preserve">The PLAC parent </w:t>
      </w:r>
      <w:proofErr w:type="gramStart"/>
      <w:r w:rsidRPr="00D2484E">
        <w:t>committee</w:t>
      </w:r>
      <w:r w:rsidR="006338FA" w:rsidRPr="00D2484E">
        <w:t>;</w:t>
      </w:r>
      <w:proofErr w:type="gramEnd"/>
    </w:p>
    <w:p w14:paraId="117F28FD" w14:textId="3929DC2E" w:rsidR="003D140D" w:rsidRPr="00D2484E" w:rsidRDefault="003D140D" w:rsidP="004D745D">
      <w:pPr>
        <w:pStyle w:val="EYBullet1"/>
      </w:pPr>
      <w:r w:rsidRPr="00D2484E">
        <w:t>E</w:t>
      </w:r>
      <w:r w:rsidR="00D60669" w:rsidRPr="00D2484E">
        <w:t xml:space="preserve">ight </w:t>
      </w:r>
      <w:r w:rsidR="0041444E" w:rsidRPr="00D2484E">
        <w:t>CAGs</w:t>
      </w:r>
      <w:r w:rsidR="002A557C" w:rsidRPr="00D2484E">
        <w:t xml:space="preserve">; and </w:t>
      </w:r>
    </w:p>
    <w:p w14:paraId="0E10696D" w14:textId="508097F8" w:rsidR="000456B5" w:rsidRPr="00D2484E" w:rsidRDefault="003D140D" w:rsidP="004D745D">
      <w:pPr>
        <w:pStyle w:val="EYBullet1"/>
      </w:pPr>
      <w:r w:rsidRPr="00D2484E">
        <w:t>A</w:t>
      </w:r>
      <w:r w:rsidR="002A557C" w:rsidRPr="00D2484E">
        <w:t xml:space="preserve"> Panel of Clinical Experts</w:t>
      </w:r>
      <w:r w:rsidR="006338FA" w:rsidRPr="00D2484E">
        <w:t>.</w:t>
      </w:r>
      <w:r w:rsidR="00782B6F" w:rsidRPr="00D2484E">
        <w:t xml:space="preserve"> </w:t>
      </w:r>
    </w:p>
    <w:p w14:paraId="44419DF9" w14:textId="1BB0A6A7" w:rsidR="00DA0E7E" w:rsidRPr="00D2484E" w:rsidRDefault="00356743" w:rsidP="00CA6DBA">
      <w:r w:rsidRPr="00D2484E">
        <w:t>T</w:t>
      </w:r>
      <w:r w:rsidR="00F53C51" w:rsidRPr="00D2484E">
        <w:t xml:space="preserve">he PLAC </w:t>
      </w:r>
      <w:r w:rsidR="007C5FF6" w:rsidRPr="00D2484E">
        <w:t>comprises</w:t>
      </w:r>
      <w:r w:rsidR="00F53C51" w:rsidRPr="00D2484E">
        <w:t xml:space="preserve"> a </w:t>
      </w:r>
      <w:r w:rsidR="00B2655D" w:rsidRPr="00D2484E">
        <w:t xml:space="preserve">combination </w:t>
      </w:r>
      <w:r w:rsidR="00F53C51" w:rsidRPr="00D2484E">
        <w:t>of</w:t>
      </w:r>
      <w:r w:rsidR="00F039CB" w:rsidRPr="00D2484E">
        <w:t xml:space="preserve"> skills </w:t>
      </w:r>
      <w:r w:rsidR="00B2655D" w:rsidRPr="00D2484E">
        <w:t xml:space="preserve">and representation </w:t>
      </w:r>
      <w:r w:rsidR="00F039CB" w:rsidRPr="00D2484E">
        <w:t xml:space="preserve">across its </w:t>
      </w:r>
      <w:r w:rsidR="002F640C" w:rsidRPr="00D2484E">
        <w:t xml:space="preserve">members </w:t>
      </w:r>
      <w:r w:rsidR="007B17AE" w:rsidRPr="00D2484E">
        <w:t>who</w:t>
      </w:r>
      <w:r w:rsidR="00AD2A6D" w:rsidRPr="00D2484E">
        <w:t xml:space="preserve"> may be broadly categorised</w:t>
      </w:r>
      <w:r w:rsidR="007B17AE" w:rsidRPr="00D2484E">
        <w:t xml:space="preserve"> into</w:t>
      </w:r>
      <w:r w:rsidR="00AD2A6D" w:rsidRPr="00D2484E">
        <w:t xml:space="preserve"> </w:t>
      </w:r>
      <w:r w:rsidR="00963BBD" w:rsidRPr="00D2484E">
        <w:t xml:space="preserve">two main </w:t>
      </w:r>
      <w:r w:rsidR="00AD2A6D" w:rsidRPr="00D2484E">
        <w:t>groups</w:t>
      </w:r>
      <w:r w:rsidR="00BE42CD" w:rsidRPr="00D2484E">
        <w:t xml:space="preserve"> (</w:t>
      </w:r>
      <w:r w:rsidR="00131CD4" w:rsidRPr="00D2484E">
        <w:rPr>
          <w:i/>
        </w:rPr>
        <w:t>clinical experts</w:t>
      </w:r>
      <w:r w:rsidR="00131CD4" w:rsidRPr="00D2484E">
        <w:t xml:space="preserve"> and </w:t>
      </w:r>
      <w:r w:rsidR="00257023" w:rsidRPr="00D2484E">
        <w:rPr>
          <w:i/>
        </w:rPr>
        <w:t>industry</w:t>
      </w:r>
      <w:r w:rsidR="00257023" w:rsidRPr="00D2484E">
        <w:t xml:space="preserve"> </w:t>
      </w:r>
      <w:r w:rsidR="006F4B6D" w:rsidRPr="00D2484E">
        <w:rPr>
          <w:i/>
        </w:rPr>
        <w:t>stakeholders</w:t>
      </w:r>
      <w:r w:rsidR="00BE42CD" w:rsidRPr="00D2484E">
        <w:t>) with two minor groups (</w:t>
      </w:r>
      <w:r w:rsidR="00BE42CD" w:rsidRPr="00D2484E">
        <w:rPr>
          <w:i/>
        </w:rPr>
        <w:t>industry expert</w:t>
      </w:r>
      <w:r w:rsidR="00BE42CD" w:rsidRPr="00D2484E">
        <w:t xml:space="preserve"> and </w:t>
      </w:r>
      <w:r w:rsidR="00BE42CD" w:rsidRPr="00D2484E">
        <w:rPr>
          <w:i/>
        </w:rPr>
        <w:t>consumer representation</w:t>
      </w:r>
      <w:r w:rsidR="00BE42CD" w:rsidRPr="00D2484E">
        <w:t>)</w:t>
      </w:r>
      <w:r w:rsidR="007B17AE" w:rsidRPr="00D2484E">
        <w:t>.</w:t>
      </w:r>
      <w:r w:rsidR="0060688C" w:rsidRPr="00D2484E">
        <w:t xml:space="preserve"> </w:t>
      </w:r>
      <w:r w:rsidR="007C5FF6" w:rsidRPr="00D2484E">
        <w:t>Its</w:t>
      </w:r>
      <w:r w:rsidR="00177DED" w:rsidRPr="00D2484E">
        <w:t xml:space="preserve"> membership </w:t>
      </w:r>
      <w:r w:rsidR="00CF052D" w:rsidRPr="00D2484E">
        <w:t xml:space="preserve">is </w:t>
      </w:r>
      <w:r w:rsidR="00770E04" w:rsidRPr="00D2484E">
        <w:t>shown</w:t>
      </w:r>
      <w:r w:rsidR="00CF052D" w:rsidRPr="00D2484E">
        <w:t xml:space="preserve"> in</w:t>
      </w:r>
      <w:r w:rsidR="007030B5" w:rsidRPr="00D2484E">
        <w:t xml:space="preserve"> Table 5</w:t>
      </w:r>
      <w:r w:rsidR="00692EC6" w:rsidRPr="00D2484E">
        <w:t>.</w:t>
      </w:r>
      <w:r w:rsidR="00CF3079" w:rsidRPr="00D2484E">
        <w:rPr>
          <w:rStyle w:val="FootnoteReference"/>
          <w:rFonts w:ascii="Arial" w:hAnsi="Arial"/>
        </w:rPr>
        <w:footnoteReference w:id="6"/>
      </w:r>
      <w:r w:rsidR="003B4B54" w:rsidRPr="00D2484E">
        <w:t xml:space="preserve"> </w:t>
      </w:r>
    </w:p>
    <w:p w14:paraId="4736B3AC" w14:textId="1AA7C456" w:rsidR="006F221A" w:rsidRPr="00CA6DBA" w:rsidRDefault="00CF052D" w:rsidP="00544133">
      <w:pPr>
        <w:pStyle w:val="Caption"/>
        <w:pageBreakBefore/>
      </w:pPr>
      <w:bookmarkStart w:id="111" w:name="_Ref76727281"/>
      <w:bookmarkStart w:id="112" w:name="_Ref76727288"/>
      <w:r w:rsidRPr="00CA6DBA">
        <w:lastRenderedPageBreak/>
        <w:t xml:space="preserve">Table </w:t>
      </w:r>
      <w:r w:rsidRPr="00CA6DBA">
        <w:fldChar w:fldCharType="begin"/>
      </w:r>
      <w:r w:rsidRPr="00CA6DBA">
        <w:instrText xml:space="preserve"> SEQ Table \* ARABIC </w:instrText>
      </w:r>
      <w:r w:rsidRPr="00CA6DBA">
        <w:fldChar w:fldCharType="separate"/>
      </w:r>
      <w:r w:rsidR="00475597" w:rsidRPr="00CA6DBA">
        <w:t>5</w:t>
      </w:r>
      <w:r w:rsidRPr="00CA6DBA">
        <w:fldChar w:fldCharType="end"/>
      </w:r>
      <w:bookmarkEnd w:id="111"/>
      <w:r w:rsidRPr="00CA6DBA">
        <w:t xml:space="preserve"> - Membership of the PLAC</w:t>
      </w:r>
      <w:r w:rsidR="00694504" w:rsidRPr="00CA6DBA">
        <w:t xml:space="preserve"> parent committee</w:t>
      </w:r>
      <w:r w:rsidRPr="00CA6DBA">
        <w:t xml:space="preserve">, as </w:t>
      </w:r>
      <w:proofErr w:type="gramStart"/>
      <w:r w:rsidRPr="00CA6DBA">
        <w:t>at</w:t>
      </w:r>
      <w:proofErr w:type="gramEnd"/>
      <w:r w:rsidRPr="00CA6DBA">
        <w:t xml:space="preserve"> July 2021</w:t>
      </w:r>
      <w:bookmarkEnd w:id="112"/>
    </w:p>
    <w:tbl>
      <w:tblPr>
        <w:tblStyle w:val="Style1"/>
        <w:tblW w:w="5000" w:type="pct"/>
        <w:tblLook w:val="04A0" w:firstRow="1" w:lastRow="0" w:firstColumn="1" w:lastColumn="0" w:noHBand="0" w:noVBand="1"/>
        <w:tblDescription w:val="Table 5 is a list of the membership of the PLAC parent committee, as at July 2021"/>
      </w:tblPr>
      <w:tblGrid>
        <w:gridCol w:w="1611"/>
        <w:gridCol w:w="3448"/>
        <w:gridCol w:w="1979"/>
        <w:gridCol w:w="1981"/>
      </w:tblGrid>
      <w:tr w:rsidR="001A795C" w:rsidRPr="00CA6DBA" w14:paraId="3C2C7C6D" w14:textId="13221693" w:rsidTr="00CA6DBA">
        <w:trPr>
          <w:cnfStyle w:val="100000000000" w:firstRow="1" w:lastRow="0" w:firstColumn="0" w:lastColumn="0" w:oddVBand="0" w:evenVBand="0" w:oddHBand="0" w:evenHBand="0" w:firstRowFirstColumn="0" w:firstRowLastColumn="0" w:lastRowFirstColumn="0" w:lastRowLastColumn="0"/>
          <w:trHeight w:val="20"/>
          <w:tblHeader/>
        </w:trPr>
        <w:tc>
          <w:tcPr>
            <w:tcW w:w="884" w:type="pct"/>
          </w:tcPr>
          <w:p w14:paraId="0AA78669" w14:textId="6C25D1C5" w:rsidR="001A795C" w:rsidRPr="00CA6DBA" w:rsidRDefault="001A795C" w:rsidP="00CA6DBA">
            <w:r w:rsidRPr="00CA6DBA">
              <w:t>Role</w:t>
            </w:r>
          </w:p>
        </w:tc>
        <w:tc>
          <w:tcPr>
            <w:tcW w:w="1915" w:type="pct"/>
          </w:tcPr>
          <w:p w14:paraId="57DC311A" w14:textId="5E636D9C" w:rsidR="001A795C" w:rsidRPr="00CA6DBA" w:rsidRDefault="001A795C" w:rsidP="00CA6DBA">
            <w:r w:rsidRPr="00CA6DBA">
              <w:t>Name</w:t>
            </w:r>
          </w:p>
        </w:tc>
        <w:tc>
          <w:tcPr>
            <w:tcW w:w="1100" w:type="pct"/>
          </w:tcPr>
          <w:p w14:paraId="35548CCF" w14:textId="2B18665D" w:rsidR="001A795C" w:rsidRPr="00CA6DBA" w:rsidRDefault="001A795C" w:rsidP="00CA6DBA">
            <w:r w:rsidRPr="00CA6DBA">
              <w:t>Specialty / Representing</w:t>
            </w:r>
          </w:p>
        </w:tc>
        <w:tc>
          <w:tcPr>
            <w:tcW w:w="1101" w:type="pct"/>
          </w:tcPr>
          <w:p w14:paraId="1DC8C146" w14:textId="1A40EF8D" w:rsidR="001A795C" w:rsidRPr="00CA6DBA" w:rsidRDefault="006F4B6B" w:rsidP="00CA6DBA">
            <w:r w:rsidRPr="00CA6DBA">
              <w:t>Group</w:t>
            </w:r>
          </w:p>
        </w:tc>
      </w:tr>
      <w:tr w:rsidR="001A795C" w:rsidRPr="00B5027D" w14:paraId="37A98784" w14:textId="1A5EB6B5" w:rsidTr="00CA6DBA">
        <w:trPr>
          <w:trHeight w:val="20"/>
        </w:trPr>
        <w:tc>
          <w:tcPr>
            <w:tcW w:w="884" w:type="pct"/>
            <w:hideMark/>
          </w:tcPr>
          <w:p w14:paraId="2EDA6D26" w14:textId="77777777" w:rsidR="001A795C" w:rsidRPr="00CA6DBA" w:rsidRDefault="001A795C" w:rsidP="00CA6DBA">
            <w:r w:rsidRPr="00CA6DBA">
              <w:t>Chair</w:t>
            </w:r>
          </w:p>
        </w:tc>
        <w:tc>
          <w:tcPr>
            <w:tcW w:w="1915" w:type="pct"/>
            <w:hideMark/>
          </w:tcPr>
          <w:p w14:paraId="0C9A1F1A" w14:textId="6E222C5E" w:rsidR="001A795C" w:rsidRPr="00B5027D" w:rsidRDefault="001A795C" w:rsidP="00CA6DBA">
            <w:r w:rsidRPr="00B5027D">
              <w:t>Professor Terry Campbell (AM)</w:t>
            </w:r>
          </w:p>
        </w:tc>
        <w:tc>
          <w:tcPr>
            <w:tcW w:w="1100" w:type="pct"/>
            <w:hideMark/>
          </w:tcPr>
          <w:p w14:paraId="0FA7E930" w14:textId="544F6097" w:rsidR="001A795C" w:rsidRPr="008868D6" w:rsidRDefault="001A795C" w:rsidP="00CA6DBA">
            <w:r w:rsidRPr="00B5027D">
              <w:t> N/A</w:t>
            </w:r>
          </w:p>
        </w:tc>
        <w:tc>
          <w:tcPr>
            <w:tcW w:w="1101" w:type="pct"/>
            <w:vMerge w:val="restart"/>
          </w:tcPr>
          <w:p w14:paraId="3E93FEB8" w14:textId="34994402" w:rsidR="001A795C" w:rsidRPr="008868D6" w:rsidRDefault="001A795C" w:rsidP="00CA6DBA">
            <w:r w:rsidRPr="008868D6">
              <w:t>Clinical expert</w:t>
            </w:r>
          </w:p>
        </w:tc>
      </w:tr>
      <w:tr w:rsidR="001A795C" w:rsidRPr="00B5027D" w14:paraId="013139B6" w14:textId="0CD06E41" w:rsidTr="00CA6DBA">
        <w:trPr>
          <w:trHeight w:val="20"/>
        </w:trPr>
        <w:tc>
          <w:tcPr>
            <w:tcW w:w="884" w:type="pct"/>
            <w:vMerge w:val="restart"/>
            <w:hideMark/>
          </w:tcPr>
          <w:p w14:paraId="6F228785" w14:textId="348FADFA" w:rsidR="001A795C" w:rsidRPr="00B5027D" w:rsidRDefault="001A795C" w:rsidP="00CA6DBA">
            <w:r w:rsidRPr="00B5027D">
              <w:t>Expert member</w:t>
            </w:r>
          </w:p>
        </w:tc>
        <w:tc>
          <w:tcPr>
            <w:tcW w:w="1915" w:type="pct"/>
            <w:hideMark/>
          </w:tcPr>
          <w:p w14:paraId="1AB5EB5C" w14:textId="3FA33A9D" w:rsidR="001A795C" w:rsidRPr="00B5027D" w:rsidRDefault="001A795C" w:rsidP="00CA6DBA">
            <w:r w:rsidRPr="00B5027D">
              <w:t>Professor David Morgan OAM</w:t>
            </w:r>
          </w:p>
        </w:tc>
        <w:tc>
          <w:tcPr>
            <w:tcW w:w="1100" w:type="pct"/>
            <w:hideMark/>
          </w:tcPr>
          <w:p w14:paraId="5012ED94" w14:textId="77777777" w:rsidR="001A795C" w:rsidRPr="00B5027D" w:rsidRDefault="001A795C" w:rsidP="00CA6DBA">
            <w:r w:rsidRPr="00B5027D">
              <w:t>Orthopaedic surgery</w:t>
            </w:r>
          </w:p>
        </w:tc>
        <w:tc>
          <w:tcPr>
            <w:tcW w:w="1101" w:type="pct"/>
            <w:vMerge/>
          </w:tcPr>
          <w:p w14:paraId="33226B49" w14:textId="77777777" w:rsidR="001A795C" w:rsidRPr="00B5027D" w:rsidRDefault="001A795C"/>
        </w:tc>
      </w:tr>
      <w:tr w:rsidR="001A795C" w:rsidRPr="00B5027D" w14:paraId="749FEB11" w14:textId="7B09C267" w:rsidTr="00CA6DBA">
        <w:trPr>
          <w:trHeight w:val="20"/>
        </w:trPr>
        <w:tc>
          <w:tcPr>
            <w:tcW w:w="884" w:type="pct"/>
            <w:vMerge/>
            <w:hideMark/>
          </w:tcPr>
          <w:p w14:paraId="587FA0A8" w14:textId="24FBA6B9" w:rsidR="001A795C" w:rsidRPr="00B5027D" w:rsidRDefault="001A795C"/>
        </w:tc>
        <w:tc>
          <w:tcPr>
            <w:tcW w:w="1915" w:type="pct"/>
            <w:hideMark/>
          </w:tcPr>
          <w:p w14:paraId="334326F3" w14:textId="74D0A876" w:rsidR="001A795C" w:rsidRPr="00B5027D" w:rsidRDefault="001A795C">
            <w:r w:rsidRPr="00B5027D">
              <w:t xml:space="preserve">Dr </w:t>
            </w:r>
            <w:proofErr w:type="spellStart"/>
            <w:r w:rsidRPr="00B5027D">
              <w:t>Orso</w:t>
            </w:r>
            <w:proofErr w:type="spellEnd"/>
            <w:r w:rsidRPr="00B5027D">
              <w:t xml:space="preserve"> </w:t>
            </w:r>
            <w:proofErr w:type="spellStart"/>
            <w:r w:rsidRPr="00B5027D">
              <w:t>Osti</w:t>
            </w:r>
            <w:proofErr w:type="spellEnd"/>
          </w:p>
        </w:tc>
        <w:tc>
          <w:tcPr>
            <w:tcW w:w="1100" w:type="pct"/>
            <w:hideMark/>
          </w:tcPr>
          <w:p w14:paraId="3239F605" w14:textId="77777777" w:rsidR="001A795C" w:rsidRPr="00B5027D" w:rsidRDefault="001A795C">
            <w:r w:rsidRPr="00B5027D">
              <w:t>Spinal surgery</w:t>
            </w:r>
          </w:p>
        </w:tc>
        <w:tc>
          <w:tcPr>
            <w:tcW w:w="1101" w:type="pct"/>
            <w:vMerge/>
          </w:tcPr>
          <w:p w14:paraId="4073D624" w14:textId="77777777" w:rsidR="001A795C" w:rsidRPr="00B5027D" w:rsidRDefault="001A795C"/>
        </w:tc>
      </w:tr>
      <w:tr w:rsidR="001A795C" w:rsidRPr="00B5027D" w14:paraId="3F9194A5" w14:textId="3DC6F8E1" w:rsidTr="00CA6DBA">
        <w:trPr>
          <w:trHeight w:val="20"/>
        </w:trPr>
        <w:tc>
          <w:tcPr>
            <w:tcW w:w="884" w:type="pct"/>
            <w:vMerge/>
            <w:hideMark/>
          </w:tcPr>
          <w:p w14:paraId="3609CF6E" w14:textId="5EE4B733" w:rsidR="001A795C" w:rsidRPr="00B5027D" w:rsidRDefault="001A795C"/>
        </w:tc>
        <w:tc>
          <w:tcPr>
            <w:tcW w:w="1915" w:type="pct"/>
            <w:hideMark/>
          </w:tcPr>
          <w:p w14:paraId="31678A4D" w14:textId="035465F8" w:rsidR="001A795C" w:rsidRPr="00B5027D" w:rsidRDefault="001A795C">
            <w:r w:rsidRPr="00B5027D">
              <w:t xml:space="preserve">Associate Professor Rosemary </w:t>
            </w:r>
            <w:proofErr w:type="spellStart"/>
            <w:r w:rsidRPr="00B5027D">
              <w:t>Korda</w:t>
            </w:r>
            <w:proofErr w:type="spellEnd"/>
          </w:p>
        </w:tc>
        <w:tc>
          <w:tcPr>
            <w:tcW w:w="1100" w:type="pct"/>
            <w:hideMark/>
          </w:tcPr>
          <w:p w14:paraId="6C316F8E" w14:textId="77777777" w:rsidR="001A795C" w:rsidRPr="00B5027D" w:rsidRDefault="001A795C">
            <w:r w:rsidRPr="00B5027D">
              <w:t>Epidemiology</w:t>
            </w:r>
          </w:p>
        </w:tc>
        <w:tc>
          <w:tcPr>
            <w:tcW w:w="1101" w:type="pct"/>
            <w:vMerge/>
          </w:tcPr>
          <w:p w14:paraId="154696D9" w14:textId="77777777" w:rsidR="001A795C" w:rsidRPr="00B5027D" w:rsidRDefault="001A795C"/>
        </w:tc>
      </w:tr>
      <w:tr w:rsidR="001A795C" w:rsidRPr="00B5027D" w14:paraId="2D82478F" w14:textId="717FD8CC" w:rsidTr="00CA6DBA">
        <w:trPr>
          <w:trHeight w:val="20"/>
        </w:trPr>
        <w:tc>
          <w:tcPr>
            <w:tcW w:w="884" w:type="pct"/>
            <w:vMerge/>
            <w:hideMark/>
          </w:tcPr>
          <w:p w14:paraId="4F0053BC" w14:textId="6FF1C5A1" w:rsidR="001A795C" w:rsidRPr="00B5027D" w:rsidRDefault="001A795C"/>
        </w:tc>
        <w:tc>
          <w:tcPr>
            <w:tcW w:w="1915" w:type="pct"/>
            <w:hideMark/>
          </w:tcPr>
          <w:p w14:paraId="5A992C4F" w14:textId="76C019C3" w:rsidR="001A795C" w:rsidRPr="00B5027D" w:rsidRDefault="001A795C">
            <w:r w:rsidRPr="00B5027D">
              <w:t>Professor Bill Heddle</w:t>
            </w:r>
          </w:p>
        </w:tc>
        <w:tc>
          <w:tcPr>
            <w:tcW w:w="1100" w:type="pct"/>
            <w:hideMark/>
          </w:tcPr>
          <w:p w14:paraId="4145CACF" w14:textId="77777777" w:rsidR="001A795C" w:rsidRPr="00B5027D" w:rsidRDefault="001A795C">
            <w:r w:rsidRPr="00B5027D">
              <w:t>Cardiology</w:t>
            </w:r>
          </w:p>
        </w:tc>
        <w:tc>
          <w:tcPr>
            <w:tcW w:w="1101" w:type="pct"/>
            <w:vMerge/>
          </w:tcPr>
          <w:p w14:paraId="50ACFA6D" w14:textId="77777777" w:rsidR="001A795C" w:rsidRPr="00B5027D" w:rsidRDefault="001A795C"/>
        </w:tc>
      </w:tr>
      <w:tr w:rsidR="001A795C" w:rsidRPr="00B5027D" w14:paraId="06BF9F0B" w14:textId="0CA0EE12" w:rsidTr="00CA6DBA">
        <w:trPr>
          <w:trHeight w:val="20"/>
        </w:trPr>
        <w:tc>
          <w:tcPr>
            <w:tcW w:w="884" w:type="pct"/>
            <w:vMerge/>
            <w:hideMark/>
          </w:tcPr>
          <w:p w14:paraId="7A00030D" w14:textId="3FF36EED" w:rsidR="001A795C" w:rsidRPr="00B5027D" w:rsidRDefault="001A795C"/>
        </w:tc>
        <w:tc>
          <w:tcPr>
            <w:tcW w:w="1915" w:type="pct"/>
            <w:hideMark/>
          </w:tcPr>
          <w:p w14:paraId="6D81FC36" w14:textId="77ED1EBC" w:rsidR="001A795C" w:rsidRPr="00B5027D" w:rsidRDefault="001A795C">
            <w:r w:rsidRPr="00B5027D">
              <w:t>Professor Allan Glanville</w:t>
            </w:r>
          </w:p>
        </w:tc>
        <w:tc>
          <w:tcPr>
            <w:tcW w:w="1100" w:type="pct"/>
            <w:hideMark/>
          </w:tcPr>
          <w:p w14:paraId="2EB59270" w14:textId="77777777" w:rsidR="001A795C" w:rsidRPr="00B5027D" w:rsidRDefault="001A795C">
            <w:r w:rsidRPr="00B5027D">
              <w:t>Thoracic medicine</w:t>
            </w:r>
          </w:p>
        </w:tc>
        <w:tc>
          <w:tcPr>
            <w:tcW w:w="1101" w:type="pct"/>
            <w:vMerge/>
          </w:tcPr>
          <w:p w14:paraId="14D9DFFD" w14:textId="77777777" w:rsidR="001A795C" w:rsidRPr="00B5027D" w:rsidRDefault="001A795C"/>
        </w:tc>
      </w:tr>
      <w:tr w:rsidR="001A795C" w:rsidRPr="00B5027D" w14:paraId="148319E2" w14:textId="286A426D" w:rsidTr="00CA6DBA">
        <w:trPr>
          <w:trHeight w:val="20"/>
        </w:trPr>
        <w:tc>
          <w:tcPr>
            <w:tcW w:w="884" w:type="pct"/>
            <w:vMerge/>
            <w:hideMark/>
          </w:tcPr>
          <w:p w14:paraId="00451FFF" w14:textId="6B62ABE5" w:rsidR="001A795C" w:rsidRPr="00B5027D" w:rsidRDefault="001A795C"/>
        </w:tc>
        <w:tc>
          <w:tcPr>
            <w:tcW w:w="1915" w:type="pct"/>
            <w:hideMark/>
          </w:tcPr>
          <w:p w14:paraId="76E9398C" w14:textId="7B7FE15A" w:rsidR="001A795C" w:rsidRPr="00B5027D" w:rsidRDefault="001A795C">
            <w:r w:rsidRPr="00B5027D">
              <w:t>Professor Anne Simmons</w:t>
            </w:r>
          </w:p>
        </w:tc>
        <w:tc>
          <w:tcPr>
            <w:tcW w:w="1100" w:type="pct"/>
            <w:hideMark/>
          </w:tcPr>
          <w:p w14:paraId="6C51ADBD" w14:textId="77777777" w:rsidR="001A795C" w:rsidRPr="00B5027D" w:rsidRDefault="001A795C">
            <w:r w:rsidRPr="00B5027D">
              <w:t>Bioengineering</w:t>
            </w:r>
          </w:p>
        </w:tc>
        <w:tc>
          <w:tcPr>
            <w:tcW w:w="1101" w:type="pct"/>
            <w:vMerge/>
          </w:tcPr>
          <w:p w14:paraId="0F832086" w14:textId="77777777" w:rsidR="001A795C" w:rsidRPr="00B5027D" w:rsidRDefault="001A795C"/>
        </w:tc>
      </w:tr>
      <w:tr w:rsidR="001A795C" w:rsidRPr="00B5027D" w14:paraId="14B370D8" w14:textId="7AF342A8" w:rsidTr="00CA6DBA">
        <w:trPr>
          <w:trHeight w:val="20"/>
        </w:trPr>
        <w:tc>
          <w:tcPr>
            <w:tcW w:w="884" w:type="pct"/>
            <w:vMerge/>
            <w:hideMark/>
          </w:tcPr>
          <w:p w14:paraId="0484AE13" w14:textId="5CFEE813" w:rsidR="001A795C" w:rsidRPr="00B5027D" w:rsidRDefault="001A795C"/>
        </w:tc>
        <w:tc>
          <w:tcPr>
            <w:tcW w:w="1915" w:type="pct"/>
            <w:hideMark/>
          </w:tcPr>
          <w:p w14:paraId="7116C081" w14:textId="554FCF02" w:rsidR="001A795C" w:rsidRPr="00B5027D" w:rsidRDefault="001A795C">
            <w:r w:rsidRPr="00B5027D">
              <w:t>Professor Abdullah Omari</w:t>
            </w:r>
          </w:p>
        </w:tc>
        <w:tc>
          <w:tcPr>
            <w:tcW w:w="1100" w:type="pct"/>
            <w:hideMark/>
          </w:tcPr>
          <w:p w14:paraId="10E3F825" w14:textId="77777777" w:rsidR="001A795C" w:rsidRPr="00B5027D" w:rsidRDefault="001A795C">
            <w:r w:rsidRPr="00B5027D">
              <w:t>Vascular medicine</w:t>
            </w:r>
          </w:p>
        </w:tc>
        <w:tc>
          <w:tcPr>
            <w:tcW w:w="1101" w:type="pct"/>
            <w:vMerge/>
          </w:tcPr>
          <w:p w14:paraId="61511639" w14:textId="77777777" w:rsidR="001A795C" w:rsidRPr="00B5027D" w:rsidRDefault="001A795C"/>
        </w:tc>
      </w:tr>
      <w:tr w:rsidR="001A795C" w:rsidRPr="00B5027D" w14:paraId="16EC3505" w14:textId="5D32C1E4" w:rsidTr="00CA6DBA">
        <w:trPr>
          <w:trHeight w:val="20"/>
        </w:trPr>
        <w:tc>
          <w:tcPr>
            <w:tcW w:w="884" w:type="pct"/>
            <w:vMerge/>
          </w:tcPr>
          <w:p w14:paraId="5ED7CF4D" w14:textId="77777777" w:rsidR="001A795C" w:rsidRPr="00B5027D" w:rsidRDefault="001A795C"/>
        </w:tc>
        <w:tc>
          <w:tcPr>
            <w:tcW w:w="1915" w:type="pct"/>
          </w:tcPr>
          <w:p w14:paraId="1838AB45" w14:textId="3A63A87C" w:rsidR="001A795C" w:rsidRPr="00B5027D" w:rsidRDefault="001A795C">
            <w:r w:rsidRPr="00B5027D">
              <w:t>Professor Robyn Ward</w:t>
            </w:r>
          </w:p>
        </w:tc>
        <w:tc>
          <w:tcPr>
            <w:tcW w:w="1100" w:type="pct"/>
          </w:tcPr>
          <w:p w14:paraId="510F37ED" w14:textId="4CE584E5" w:rsidR="001A795C" w:rsidRPr="00B5027D" w:rsidRDefault="001A795C">
            <w:r w:rsidRPr="00B5027D">
              <w:t>Medical Services Advisory Committee Representative</w:t>
            </w:r>
          </w:p>
        </w:tc>
        <w:tc>
          <w:tcPr>
            <w:tcW w:w="1101" w:type="pct"/>
            <w:vMerge/>
          </w:tcPr>
          <w:p w14:paraId="7F4541A8" w14:textId="77777777" w:rsidR="001A795C" w:rsidRPr="00B5027D" w:rsidRDefault="001A795C"/>
        </w:tc>
      </w:tr>
      <w:tr w:rsidR="001A795C" w:rsidRPr="00B5027D" w14:paraId="7EF9E75F" w14:textId="19122265" w:rsidTr="00CA6DBA">
        <w:trPr>
          <w:trHeight w:val="20"/>
        </w:trPr>
        <w:tc>
          <w:tcPr>
            <w:tcW w:w="884" w:type="pct"/>
            <w:vMerge/>
            <w:hideMark/>
          </w:tcPr>
          <w:p w14:paraId="42FCDA4C" w14:textId="38E4EE17" w:rsidR="001A795C" w:rsidRPr="00B5027D" w:rsidRDefault="001A795C"/>
        </w:tc>
        <w:tc>
          <w:tcPr>
            <w:tcW w:w="1915" w:type="pct"/>
            <w:hideMark/>
          </w:tcPr>
          <w:p w14:paraId="794F688D" w14:textId="1B5514F8" w:rsidR="001A795C" w:rsidRPr="00B5027D" w:rsidRDefault="001A795C">
            <w:r w:rsidRPr="00B5027D">
              <w:t>Adjunct Professor Jim Butler</w:t>
            </w:r>
          </w:p>
        </w:tc>
        <w:tc>
          <w:tcPr>
            <w:tcW w:w="1100" w:type="pct"/>
            <w:hideMark/>
          </w:tcPr>
          <w:p w14:paraId="766AEC58" w14:textId="77777777" w:rsidR="001A795C" w:rsidRPr="00B5027D" w:rsidRDefault="001A795C">
            <w:r w:rsidRPr="00B5027D">
              <w:t>Health economics</w:t>
            </w:r>
          </w:p>
        </w:tc>
        <w:tc>
          <w:tcPr>
            <w:tcW w:w="1101" w:type="pct"/>
          </w:tcPr>
          <w:p w14:paraId="67BE3CC1" w14:textId="76D2C176" w:rsidR="001A795C" w:rsidRPr="00B5027D" w:rsidRDefault="001A795C">
            <w:r w:rsidRPr="00B5027D">
              <w:t>Industry expert</w:t>
            </w:r>
          </w:p>
        </w:tc>
      </w:tr>
      <w:tr w:rsidR="001A795C" w:rsidRPr="00B5027D" w14:paraId="46B46643" w14:textId="540B6681" w:rsidTr="00CA6DBA">
        <w:trPr>
          <w:trHeight w:val="20"/>
        </w:trPr>
        <w:tc>
          <w:tcPr>
            <w:tcW w:w="884" w:type="pct"/>
            <w:vMerge w:val="restart"/>
            <w:hideMark/>
          </w:tcPr>
          <w:p w14:paraId="1670574D" w14:textId="11646B9A" w:rsidR="001A795C" w:rsidRPr="00CA6DBA" w:rsidRDefault="001A795C" w:rsidP="00CA6DBA">
            <w:r w:rsidRPr="00B5027D">
              <w:t>Advisory member</w:t>
            </w:r>
          </w:p>
        </w:tc>
        <w:tc>
          <w:tcPr>
            <w:tcW w:w="1915" w:type="pct"/>
            <w:hideMark/>
          </w:tcPr>
          <w:p w14:paraId="6ED1E8EE" w14:textId="54D783A3" w:rsidR="001A795C" w:rsidRPr="00CA6DBA" w:rsidRDefault="001A795C" w:rsidP="00CA6DBA">
            <w:r w:rsidRPr="00CA6DBA">
              <w:t xml:space="preserve">Ms Emma </w:t>
            </w:r>
            <w:proofErr w:type="spellStart"/>
            <w:r w:rsidRPr="00CA6DBA">
              <w:t>Bognar</w:t>
            </w:r>
            <w:proofErr w:type="spellEnd"/>
          </w:p>
        </w:tc>
        <w:tc>
          <w:tcPr>
            <w:tcW w:w="1100" w:type="pct"/>
            <w:hideMark/>
          </w:tcPr>
          <w:p w14:paraId="05E1E900" w14:textId="77777777" w:rsidR="001A795C" w:rsidRPr="00CA6DBA" w:rsidRDefault="001A795C" w:rsidP="00CA6DBA">
            <w:r w:rsidRPr="00CA6DBA">
              <w:t>Australian Private Hospitals Association</w:t>
            </w:r>
          </w:p>
        </w:tc>
        <w:tc>
          <w:tcPr>
            <w:tcW w:w="1101" w:type="pct"/>
            <w:vMerge w:val="restart"/>
          </w:tcPr>
          <w:p w14:paraId="546844CB" w14:textId="0E54C9AD" w:rsidR="001A795C" w:rsidRPr="00B5027D" w:rsidRDefault="001A795C" w:rsidP="00CA6DBA">
            <w:r w:rsidRPr="00CA6DBA">
              <w:t>Industry stakeholders</w:t>
            </w:r>
          </w:p>
        </w:tc>
      </w:tr>
      <w:tr w:rsidR="001A795C" w:rsidRPr="00B5027D" w14:paraId="69046C31" w14:textId="4830E104" w:rsidTr="00CA6DBA">
        <w:trPr>
          <w:trHeight w:val="20"/>
        </w:trPr>
        <w:tc>
          <w:tcPr>
            <w:tcW w:w="884" w:type="pct"/>
            <w:vMerge/>
            <w:hideMark/>
          </w:tcPr>
          <w:p w14:paraId="11C3FA33" w14:textId="2D6977F1" w:rsidR="001A795C" w:rsidRPr="00B5027D" w:rsidRDefault="001A795C"/>
        </w:tc>
        <w:tc>
          <w:tcPr>
            <w:tcW w:w="1915" w:type="pct"/>
            <w:hideMark/>
          </w:tcPr>
          <w:p w14:paraId="2662328C" w14:textId="32024C75" w:rsidR="001A795C" w:rsidRPr="00B5027D" w:rsidRDefault="001A795C">
            <w:r w:rsidRPr="00B5027D">
              <w:t>Ms Cathy Ryan</w:t>
            </w:r>
          </w:p>
        </w:tc>
        <w:tc>
          <w:tcPr>
            <w:tcW w:w="1100" w:type="pct"/>
            <w:hideMark/>
          </w:tcPr>
          <w:p w14:paraId="2039EB4B" w14:textId="77777777" w:rsidR="001A795C" w:rsidRPr="00B5027D" w:rsidRDefault="001A795C">
            <w:r w:rsidRPr="00B5027D">
              <w:t>Cabrini Health</w:t>
            </w:r>
          </w:p>
        </w:tc>
        <w:tc>
          <w:tcPr>
            <w:tcW w:w="1101" w:type="pct"/>
            <w:vMerge/>
          </w:tcPr>
          <w:p w14:paraId="16352581" w14:textId="77777777" w:rsidR="001A795C" w:rsidRPr="00B5027D" w:rsidRDefault="001A795C"/>
        </w:tc>
      </w:tr>
      <w:tr w:rsidR="001A795C" w:rsidRPr="00B5027D" w14:paraId="1B4C83F4" w14:textId="49D5A7DE" w:rsidTr="00CA6DBA">
        <w:trPr>
          <w:trHeight w:val="20"/>
        </w:trPr>
        <w:tc>
          <w:tcPr>
            <w:tcW w:w="884" w:type="pct"/>
            <w:vMerge/>
            <w:hideMark/>
          </w:tcPr>
          <w:p w14:paraId="69B78CBC" w14:textId="057AE73A" w:rsidR="001A795C" w:rsidRPr="00B5027D" w:rsidRDefault="001A795C"/>
        </w:tc>
        <w:tc>
          <w:tcPr>
            <w:tcW w:w="1915" w:type="pct"/>
            <w:hideMark/>
          </w:tcPr>
          <w:p w14:paraId="419EE894" w14:textId="0920F414" w:rsidR="001A795C" w:rsidRPr="00B5027D" w:rsidRDefault="001A795C">
            <w:r w:rsidRPr="00B5027D">
              <w:t xml:space="preserve">Dr </w:t>
            </w:r>
            <w:proofErr w:type="spellStart"/>
            <w:r w:rsidRPr="00B5027D">
              <w:t>Jui</w:t>
            </w:r>
            <w:proofErr w:type="spellEnd"/>
            <w:r w:rsidRPr="00B5027D">
              <w:t xml:space="preserve"> </w:t>
            </w:r>
            <w:proofErr w:type="spellStart"/>
            <w:r w:rsidRPr="00B5027D">
              <w:t>Tham</w:t>
            </w:r>
            <w:proofErr w:type="spellEnd"/>
          </w:p>
        </w:tc>
        <w:tc>
          <w:tcPr>
            <w:tcW w:w="1100" w:type="pct"/>
            <w:hideMark/>
          </w:tcPr>
          <w:p w14:paraId="084D5F45" w14:textId="77777777" w:rsidR="001A795C" w:rsidRPr="00B5027D" w:rsidRDefault="001A795C">
            <w:r w:rsidRPr="00B5027D">
              <w:t>Members Health</w:t>
            </w:r>
          </w:p>
        </w:tc>
        <w:tc>
          <w:tcPr>
            <w:tcW w:w="1101" w:type="pct"/>
            <w:vMerge/>
          </w:tcPr>
          <w:p w14:paraId="2495C3CC" w14:textId="77777777" w:rsidR="001A795C" w:rsidRPr="00B5027D" w:rsidRDefault="001A795C"/>
        </w:tc>
      </w:tr>
      <w:tr w:rsidR="001A795C" w:rsidRPr="00B5027D" w14:paraId="653B1AF2" w14:textId="6DF84CE6" w:rsidTr="00CA6DBA">
        <w:trPr>
          <w:trHeight w:val="20"/>
        </w:trPr>
        <w:tc>
          <w:tcPr>
            <w:tcW w:w="884" w:type="pct"/>
            <w:vMerge/>
            <w:hideMark/>
          </w:tcPr>
          <w:p w14:paraId="616EEFB8" w14:textId="47AC711A" w:rsidR="001A795C" w:rsidRPr="00B5027D" w:rsidRDefault="001A795C"/>
        </w:tc>
        <w:tc>
          <w:tcPr>
            <w:tcW w:w="1915" w:type="pct"/>
            <w:hideMark/>
          </w:tcPr>
          <w:p w14:paraId="77EF5C01" w14:textId="3614CF8B" w:rsidR="001A795C" w:rsidRPr="00B5027D" w:rsidRDefault="001A795C">
            <w:r w:rsidRPr="00B5027D">
              <w:t>Dr Greg Roger</w:t>
            </w:r>
          </w:p>
        </w:tc>
        <w:tc>
          <w:tcPr>
            <w:tcW w:w="1100" w:type="pct"/>
            <w:hideMark/>
          </w:tcPr>
          <w:p w14:paraId="34A97D5D" w14:textId="77777777" w:rsidR="001A795C" w:rsidRPr="00B5027D" w:rsidRDefault="001A795C">
            <w:proofErr w:type="spellStart"/>
            <w:r w:rsidRPr="00B5027D">
              <w:t>AusBiotech</w:t>
            </w:r>
            <w:proofErr w:type="spellEnd"/>
          </w:p>
        </w:tc>
        <w:tc>
          <w:tcPr>
            <w:tcW w:w="1101" w:type="pct"/>
            <w:vMerge/>
          </w:tcPr>
          <w:p w14:paraId="69AB17BA" w14:textId="77777777" w:rsidR="001A795C" w:rsidRPr="00B5027D" w:rsidRDefault="001A795C"/>
        </w:tc>
      </w:tr>
      <w:tr w:rsidR="001A795C" w:rsidRPr="00B5027D" w14:paraId="0C7D2AB9" w14:textId="1DA6C923" w:rsidTr="00CA6DBA">
        <w:trPr>
          <w:trHeight w:val="20"/>
        </w:trPr>
        <w:tc>
          <w:tcPr>
            <w:tcW w:w="884" w:type="pct"/>
            <w:vMerge/>
            <w:hideMark/>
          </w:tcPr>
          <w:p w14:paraId="27859EAA" w14:textId="647EADB0" w:rsidR="001A795C" w:rsidRPr="00B5027D" w:rsidRDefault="001A795C"/>
        </w:tc>
        <w:tc>
          <w:tcPr>
            <w:tcW w:w="1915" w:type="pct"/>
            <w:hideMark/>
          </w:tcPr>
          <w:p w14:paraId="4C24B70D" w14:textId="0F195795" w:rsidR="001A795C" w:rsidRPr="00B5027D" w:rsidRDefault="001A795C">
            <w:r w:rsidRPr="00B5027D">
              <w:t>Ms Gabrielle Moreland</w:t>
            </w:r>
          </w:p>
        </w:tc>
        <w:tc>
          <w:tcPr>
            <w:tcW w:w="1100" w:type="pct"/>
            <w:hideMark/>
          </w:tcPr>
          <w:p w14:paraId="378F38A7" w14:textId="77777777" w:rsidR="001A795C" w:rsidRPr="00B5027D" w:rsidRDefault="001A795C">
            <w:r w:rsidRPr="00B5027D">
              <w:t>Day Hospitals Australia</w:t>
            </w:r>
          </w:p>
        </w:tc>
        <w:tc>
          <w:tcPr>
            <w:tcW w:w="1101" w:type="pct"/>
            <w:vMerge/>
          </w:tcPr>
          <w:p w14:paraId="227F14B7" w14:textId="77777777" w:rsidR="001A795C" w:rsidRPr="00B5027D" w:rsidRDefault="001A795C"/>
        </w:tc>
      </w:tr>
      <w:tr w:rsidR="001A795C" w:rsidRPr="00B5027D" w14:paraId="71F0F2EF" w14:textId="509CC773" w:rsidTr="00CA6DBA">
        <w:trPr>
          <w:trHeight w:val="20"/>
        </w:trPr>
        <w:tc>
          <w:tcPr>
            <w:tcW w:w="884" w:type="pct"/>
            <w:vMerge w:val="restart"/>
            <w:hideMark/>
          </w:tcPr>
          <w:p w14:paraId="38DCBCB2" w14:textId="61C88FA0" w:rsidR="001A795C" w:rsidRPr="00B5027D" w:rsidRDefault="001A795C" w:rsidP="00CA6DBA">
            <w:r w:rsidRPr="00B5027D">
              <w:t>Invited attendee</w:t>
            </w:r>
          </w:p>
        </w:tc>
        <w:tc>
          <w:tcPr>
            <w:tcW w:w="1915" w:type="pct"/>
            <w:hideMark/>
          </w:tcPr>
          <w:p w14:paraId="073FC911" w14:textId="754F44B8" w:rsidR="001A795C" w:rsidRPr="00B5027D" w:rsidRDefault="001A795C" w:rsidP="00CA6DBA">
            <w:r w:rsidRPr="00B5027D">
              <w:t>Mr Paul Dale</w:t>
            </w:r>
          </w:p>
        </w:tc>
        <w:tc>
          <w:tcPr>
            <w:tcW w:w="1100" w:type="pct"/>
            <w:hideMark/>
          </w:tcPr>
          <w:p w14:paraId="351140D5" w14:textId="77777777" w:rsidR="001A795C" w:rsidRPr="00B5027D" w:rsidRDefault="001A795C" w:rsidP="00CA6DBA">
            <w:r w:rsidRPr="00B5027D">
              <w:t>Medical Technology Association of Australia</w:t>
            </w:r>
          </w:p>
        </w:tc>
        <w:tc>
          <w:tcPr>
            <w:tcW w:w="1101" w:type="pct"/>
            <w:vMerge/>
          </w:tcPr>
          <w:p w14:paraId="299C5A79" w14:textId="77777777" w:rsidR="001A795C" w:rsidRPr="00B5027D" w:rsidRDefault="001A795C"/>
        </w:tc>
      </w:tr>
      <w:tr w:rsidR="001A795C" w:rsidRPr="00B5027D" w14:paraId="2D72A72A" w14:textId="4D7EDE22" w:rsidTr="00CA6DBA">
        <w:trPr>
          <w:trHeight w:val="20"/>
        </w:trPr>
        <w:tc>
          <w:tcPr>
            <w:tcW w:w="884" w:type="pct"/>
            <w:vMerge/>
            <w:hideMark/>
          </w:tcPr>
          <w:p w14:paraId="43A4A692" w14:textId="062C7C88" w:rsidR="001A795C" w:rsidRPr="00B5027D" w:rsidRDefault="001A795C"/>
        </w:tc>
        <w:tc>
          <w:tcPr>
            <w:tcW w:w="1915" w:type="pct"/>
            <w:hideMark/>
          </w:tcPr>
          <w:p w14:paraId="1E9710AC" w14:textId="422FDF32" w:rsidR="001A795C" w:rsidRPr="00B5027D" w:rsidRDefault="001A795C">
            <w:r w:rsidRPr="00B5027D">
              <w:t>Mr Ben Harris</w:t>
            </w:r>
          </w:p>
        </w:tc>
        <w:tc>
          <w:tcPr>
            <w:tcW w:w="1100" w:type="pct"/>
            <w:hideMark/>
          </w:tcPr>
          <w:p w14:paraId="246763F6" w14:textId="77777777" w:rsidR="001A795C" w:rsidRPr="00B5027D" w:rsidRDefault="001A795C">
            <w:r w:rsidRPr="00B5027D">
              <w:t>Private Healthcare Australia</w:t>
            </w:r>
          </w:p>
        </w:tc>
        <w:tc>
          <w:tcPr>
            <w:tcW w:w="1101" w:type="pct"/>
            <w:vMerge/>
          </w:tcPr>
          <w:p w14:paraId="171CA54E" w14:textId="77777777" w:rsidR="001A795C" w:rsidRPr="00B5027D" w:rsidRDefault="001A795C"/>
        </w:tc>
      </w:tr>
      <w:tr w:rsidR="001A795C" w:rsidRPr="00B5027D" w14:paraId="1E522D8C" w14:textId="1E30500B" w:rsidTr="00CA6DBA">
        <w:trPr>
          <w:trHeight w:val="20"/>
        </w:trPr>
        <w:tc>
          <w:tcPr>
            <w:tcW w:w="884" w:type="pct"/>
          </w:tcPr>
          <w:p w14:paraId="254842FA" w14:textId="0E315880" w:rsidR="001A795C" w:rsidRPr="00B5027D" w:rsidRDefault="001A795C" w:rsidP="00CA6DBA">
            <w:r w:rsidRPr="00B5027D">
              <w:lastRenderedPageBreak/>
              <w:t>Consumer representative</w:t>
            </w:r>
          </w:p>
        </w:tc>
        <w:tc>
          <w:tcPr>
            <w:tcW w:w="1915" w:type="pct"/>
          </w:tcPr>
          <w:p w14:paraId="603E4676" w14:textId="772F3249" w:rsidR="001A795C" w:rsidRPr="00B5027D" w:rsidRDefault="001A795C" w:rsidP="00CA6DBA">
            <w:r w:rsidRPr="00B5027D">
              <w:t>Dr Henry Ko</w:t>
            </w:r>
          </w:p>
        </w:tc>
        <w:tc>
          <w:tcPr>
            <w:tcW w:w="1100" w:type="pct"/>
          </w:tcPr>
          <w:p w14:paraId="50220E4F" w14:textId="7493F070" w:rsidR="001A795C" w:rsidRPr="00B5027D" w:rsidRDefault="001A795C" w:rsidP="00CA6DBA">
            <w:r w:rsidRPr="00B5027D">
              <w:t>N/A</w:t>
            </w:r>
          </w:p>
        </w:tc>
        <w:tc>
          <w:tcPr>
            <w:tcW w:w="1101" w:type="pct"/>
          </w:tcPr>
          <w:p w14:paraId="3E7B7F5A" w14:textId="65C9A46C" w:rsidR="001A795C" w:rsidRPr="00B5027D" w:rsidRDefault="001A795C" w:rsidP="00CA6DBA">
            <w:r w:rsidRPr="00B5027D">
              <w:t xml:space="preserve">Consumer </w:t>
            </w:r>
          </w:p>
        </w:tc>
      </w:tr>
    </w:tbl>
    <w:p w14:paraId="588B2D41" w14:textId="57223288" w:rsidR="000E68BE" w:rsidRPr="00D2484E" w:rsidRDefault="00E52289" w:rsidP="00CA6DBA">
      <w:r w:rsidRPr="00D2484E">
        <w:t xml:space="preserve">The PLAC </w:t>
      </w:r>
      <w:r w:rsidR="00963BBD" w:rsidRPr="00D2484E">
        <w:t xml:space="preserve">differs from </w:t>
      </w:r>
      <w:r w:rsidR="00E257C7" w:rsidRPr="00D2484E">
        <w:t xml:space="preserve">other HTA bodies </w:t>
      </w:r>
      <w:r w:rsidR="00DF5BCF" w:rsidRPr="00D2484E">
        <w:t xml:space="preserve">in its </w:t>
      </w:r>
      <w:r w:rsidR="00C8673C" w:rsidRPr="00D2484E">
        <w:t>composition</w:t>
      </w:r>
      <w:r w:rsidR="00963BBD" w:rsidRPr="00D2484E">
        <w:t>. For example, t</w:t>
      </w:r>
      <w:r w:rsidR="00795822" w:rsidRPr="00D2484E">
        <w:t xml:space="preserve">he </w:t>
      </w:r>
      <w:r w:rsidR="0060688C" w:rsidRPr="00D2484E">
        <w:t xml:space="preserve">MSAC and </w:t>
      </w:r>
      <w:r w:rsidR="00C8673C" w:rsidRPr="00D2484E">
        <w:t>the PBAC</w:t>
      </w:r>
      <w:r w:rsidR="00564A75" w:rsidRPr="00D2484E">
        <w:t xml:space="preserve"> are </w:t>
      </w:r>
      <w:r w:rsidR="00963BBD" w:rsidRPr="00D2484E">
        <w:t xml:space="preserve">predominantly </w:t>
      </w:r>
      <w:r w:rsidR="00564A75" w:rsidRPr="00D2484E">
        <w:t xml:space="preserve">characterised by scientific or clinical </w:t>
      </w:r>
      <w:r w:rsidR="00532AE6" w:rsidRPr="00D2484E">
        <w:t>members</w:t>
      </w:r>
      <w:r w:rsidR="006F221A" w:rsidRPr="00D2484E">
        <w:t>.</w:t>
      </w:r>
      <w:r w:rsidR="007B2022" w:rsidRPr="00D2484E">
        <w:t xml:space="preserve"> Given the PLAC’s </w:t>
      </w:r>
      <w:r w:rsidR="00963BBD" w:rsidRPr="00D2484E">
        <w:t xml:space="preserve">responsibility in providing </w:t>
      </w:r>
      <w:r w:rsidR="007B2022" w:rsidRPr="00D2484E">
        <w:t>both clinical and economic</w:t>
      </w:r>
      <w:r w:rsidR="00963BBD" w:rsidRPr="00D2484E">
        <w:t xml:space="preserve"> assessments</w:t>
      </w:r>
      <w:r w:rsidR="00176C26" w:rsidRPr="00D2484E">
        <w:t xml:space="preserve">, </w:t>
      </w:r>
      <w:r w:rsidR="00963BBD" w:rsidRPr="00D2484E">
        <w:t xml:space="preserve">representation of both clinical experts and industry stakeholders </w:t>
      </w:r>
      <w:r w:rsidR="00176C26" w:rsidRPr="00D2484E">
        <w:t xml:space="preserve">appears to be rational. </w:t>
      </w:r>
      <w:r w:rsidR="00063E6E" w:rsidRPr="00D2484E">
        <w:t>However, in practice</w:t>
      </w:r>
      <w:r w:rsidR="00176C26" w:rsidRPr="00D2484E">
        <w:t xml:space="preserve">, this composition significantly undermines </w:t>
      </w:r>
      <w:r w:rsidR="00C54138" w:rsidRPr="00D2484E">
        <w:t xml:space="preserve">the committee’s </w:t>
      </w:r>
      <w:r w:rsidR="00176C26" w:rsidRPr="00D2484E">
        <w:t xml:space="preserve">achievement of </w:t>
      </w:r>
      <w:r w:rsidR="00C54138" w:rsidRPr="00D2484E">
        <w:t xml:space="preserve">its </w:t>
      </w:r>
      <w:r w:rsidR="00176C26" w:rsidRPr="00D2484E">
        <w:t>function</w:t>
      </w:r>
      <w:r w:rsidR="002141DD" w:rsidRPr="00D2484E">
        <w:t xml:space="preserve"> due to sustained distraction by </w:t>
      </w:r>
      <w:r w:rsidR="006F4B6D" w:rsidRPr="00D2484E">
        <w:t xml:space="preserve">advocacy of vested interests </w:t>
      </w:r>
      <w:r w:rsidR="00DF5381" w:rsidRPr="00D2484E">
        <w:t xml:space="preserve">from, </w:t>
      </w:r>
      <w:r w:rsidR="006F4B6D" w:rsidRPr="00D2484E">
        <w:t xml:space="preserve">and </w:t>
      </w:r>
      <w:r w:rsidR="002141DD" w:rsidRPr="00D2484E">
        <w:t>disputes between</w:t>
      </w:r>
      <w:r w:rsidR="00DF5381" w:rsidRPr="00D2484E">
        <w:t>,</w:t>
      </w:r>
      <w:r w:rsidR="002141DD" w:rsidRPr="00D2484E">
        <w:t xml:space="preserve"> </w:t>
      </w:r>
      <w:r w:rsidR="00337B77" w:rsidRPr="00D2484E">
        <w:t>A</w:t>
      </w:r>
      <w:r w:rsidR="007D25E1" w:rsidRPr="00D2484E">
        <w:t xml:space="preserve">dvisory </w:t>
      </w:r>
      <w:r w:rsidR="00337B77" w:rsidRPr="00D2484E">
        <w:t>M</w:t>
      </w:r>
      <w:r w:rsidR="007D25E1" w:rsidRPr="00D2484E">
        <w:t>embers</w:t>
      </w:r>
      <w:r w:rsidR="00320A03" w:rsidRPr="00D2484E">
        <w:t xml:space="preserve">. </w:t>
      </w:r>
    </w:p>
    <w:p w14:paraId="7758FEF4" w14:textId="01FFC89A" w:rsidR="000F6BCF" w:rsidRPr="00D2484E" w:rsidRDefault="000F6BCF" w:rsidP="00CA6DBA">
      <w:r w:rsidRPr="00D2484E">
        <w:t>Similarly, the PBAC considers factors such as clinical effectiveness, safety and cost-effectiveness when considering a medicine for listing on the PBS. However, around 80</w:t>
      </w:r>
      <w:r w:rsidR="00A71F44" w:rsidRPr="00D2484E">
        <w:t xml:space="preserve"> per cent </w:t>
      </w:r>
      <w:r w:rsidRPr="00D2484E">
        <w:t xml:space="preserve">of its members are health practitioners. </w:t>
      </w:r>
      <w:r w:rsidR="008D6EAD" w:rsidRPr="00D2484E">
        <w:t>In addition, t</w:t>
      </w:r>
      <w:r w:rsidRPr="00D2484E">
        <w:t>here are two consumer representatives, one industry representative</w:t>
      </w:r>
      <w:r w:rsidR="008D6EAD" w:rsidRPr="00D2484E">
        <w:t xml:space="preserve"> and one </w:t>
      </w:r>
      <w:r w:rsidR="00A71F44" w:rsidRPr="00D2484E">
        <w:t>health economist is supported by an Economics Sub-Committee, and u</w:t>
      </w:r>
      <w:r w:rsidRPr="00D2484E">
        <w:t>nlike the PLAC, there are not multiple industry representatives with directly competing commercial interests.</w:t>
      </w:r>
    </w:p>
    <w:p w14:paraId="511512CA" w14:textId="69A4A680" w:rsidR="002141DD" w:rsidRPr="002242CA" w:rsidRDefault="002141DD" w:rsidP="002242CA">
      <w:pPr>
        <w:pStyle w:val="Heading4"/>
      </w:pPr>
      <w:r w:rsidRPr="002242CA">
        <w:t>Clinical Advisory Groups</w:t>
      </w:r>
    </w:p>
    <w:p w14:paraId="307EB01E" w14:textId="55F979D9" w:rsidR="002141DD" w:rsidRPr="00D2484E" w:rsidRDefault="002141DD" w:rsidP="00CA6DBA">
      <w:r w:rsidRPr="00D2484E">
        <w:t xml:space="preserve">The PLAC </w:t>
      </w:r>
      <w:r w:rsidR="009B117F" w:rsidRPr="00D2484E">
        <w:t xml:space="preserve">is supported by </w:t>
      </w:r>
      <w:r w:rsidRPr="00D2484E">
        <w:t xml:space="preserve">eight </w:t>
      </w:r>
      <w:r w:rsidR="006B049B" w:rsidRPr="00D2484E">
        <w:t>CAG</w:t>
      </w:r>
      <w:r w:rsidR="00ED5FAD" w:rsidRPr="00D2484E">
        <w:t xml:space="preserve"> sub-committees</w:t>
      </w:r>
      <w:r w:rsidRPr="00D2484E">
        <w:t xml:space="preserve">. </w:t>
      </w:r>
      <w:r w:rsidR="00320A03" w:rsidRPr="00D2484E">
        <w:t xml:space="preserve">The </w:t>
      </w:r>
      <w:r w:rsidRPr="00D2484E">
        <w:t xml:space="preserve">primary role of </w:t>
      </w:r>
      <w:r w:rsidR="005A41F4" w:rsidRPr="00D2484E">
        <w:t xml:space="preserve">the </w:t>
      </w:r>
      <w:r w:rsidRPr="00D2484E">
        <w:t xml:space="preserve">CAGs </w:t>
      </w:r>
      <w:r w:rsidR="00A80E7F" w:rsidRPr="00D2484E">
        <w:t>is</w:t>
      </w:r>
      <w:r w:rsidRPr="00D2484E">
        <w:t xml:space="preserve"> to </w:t>
      </w:r>
      <w:r w:rsidR="007829A2" w:rsidRPr="00D2484E">
        <w:t>undertake</w:t>
      </w:r>
      <w:r w:rsidR="006669C4" w:rsidRPr="00D2484E">
        <w:t xml:space="preserve"> </w:t>
      </w:r>
      <w:r w:rsidR="00320A03" w:rsidRPr="00D2484E">
        <w:t>HTAs</w:t>
      </w:r>
      <w:r w:rsidRPr="00D2484E">
        <w:t xml:space="preserve"> </w:t>
      </w:r>
      <w:r w:rsidR="008762E7" w:rsidRPr="00D2484E">
        <w:t xml:space="preserve">that consider the </w:t>
      </w:r>
      <w:r w:rsidRPr="00D2484E">
        <w:t xml:space="preserve">comparative clinical function and effectiveness of medical devices being considered for listing on the Prostheses List. These assessments constitute as formal advice to the PLAC and to the </w:t>
      </w:r>
      <w:r w:rsidR="007E62BB" w:rsidRPr="00D2484E">
        <w:t xml:space="preserve">TAAD </w:t>
      </w:r>
      <w:r w:rsidRPr="00D2484E">
        <w:t>on a device</w:t>
      </w:r>
      <w:r w:rsidR="00BA6AF9" w:rsidRPr="00D2484E">
        <w:t>’s suitability for listing</w:t>
      </w:r>
      <w:r w:rsidRPr="00D2484E">
        <w:t>.</w:t>
      </w:r>
      <w:r w:rsidR="006B049B" w:rsidRPr="00D2484E">
        <w:t xml:space="preserve"> </w:t>
      </w:r>
    </w:p>
    <w:p w14:paraId="0FCC8F38" w14:textId="067C0171" w:rsidR="00E1607D" w:rsidRPr="002242CA" w:rsidRDefault="002141DD" w:rsidP="00221C67">
      <w:pPr>
        <w:pStyle w:val="Heading5"/>
      </w:pPr>
      <w:r w:rsidRPr="002242CA">
        <w:t xml:space="preserve">Distraction from CAG </w:t>
      </w:r>
      <w:r w:rsidR="00683A7C" w:rsidRPr="002242CA">
        <w:t>purpose</w:t>
      </w:r>
    </w:p>
    <w:p w14:paraId="0737357C" w14:textId="7BB7E62F" w:rsidR="002141DD" w:rsidRPr="00D2484E" w:rsidRDefault="00347190" w:rsidP="00CA6DBA">
      <w:r w:rsidRPr="00D2484E">
        <w:t xml:space="preserve">The </w:t>
      </w:r>
      <w:r w:rsidR="002141DD" w:rsidRPr="00D2484E">
        <w:t xml:space="preserve">CAGs </w:t>
      </w:r>
      <w:r w:rsidR="00035FFA" w:rsidRPr="00D2484E">
        <w:t xml:space="preserve">were reported by some stakeholders </w:t>
      </w:r>
      <w:r w:rsidR="002141DD" w:rsidRPr="00D2484E">
        <w:t xml:space="preserve">to be the </w:t>
      </w:r>
      <w:r w:rsidR="00E1607D" w:rsidRPr="00D2484E">
        <w:t>“</w:t>
      </w:r>
      <w:r w:rsidR="002141DD" w:rsidRPr="00D2484E">
        <w:t>engine room</w:t>
      </w:r>
      <w:r w:rsidR="00E1607D" w:rsidRPr="00D2484E">
        <w:t>”</w:t>
      </w:r>
      <w:r w:rsidR="002141DD" w:rsidRPr="00D2484E">
        <w:t xml:space="preserve"> of the PLAC, as they are responsible for undertaking </w:t>
      </w:r>
      <w:bookmarkStart w:id="113" w:name="_Hlk83063112"/>
      <w:r w:rsidR="002141DD" w:rsidRPr="00D2484E">
        <w:t>suitability assessments</w:t>
      </w:r>
      <w:bookmarkEnd w:id="113"/>
      <w:r w:rsidR="002141DD" w:rsidRPr="00D2484E">
        <w:t xml:space="preserve"> for a device’s listing on the </w:t>
      </w:r>
      <w:r w:rsidR="00452733" w:rsidRPr="00D2484E">
        <w:t>P</w:t>
      </w:r>
      <w:r w:rsidR="00576908" w:rsidRPr="00D2484E">
        <w:t>rostheses List</w:t>
      </w:r>
      <w:r w:rsidR="0090595C" w:rsidRPr="00D2484E">
        <w:t xml:space="preserve"> on behalf of the PLAC</w:t>
      </w:r>
      <w:r w:rsidR="002141DD" w:rsidRPr="00D2484E">
        <w:t xml:space="preserve">. The </w:t>
      </w:r>
      <w:r w:rsidR="002141DD" w:rsidRPr="00D2484E">
        <w:rPr>
          <w:i/>
        </w:rPr>
        <w:t>CAG Terms of Reference</w:t>
      </w:r>
      <w:r w:rsidR="002141DD" w:rsidRPr="00D2484E">
        <w:t xml:space="preserve"> define </w:t>
      </w:r>
      <w:r w:rsidR="00020CE5" w:rsidRPr="00D2484E">
        <w:t xml:space="preserve">their </w:t>
      </w:r>
      <w:r w:rsidR="002141DD" w:rsidRPr="00D2484E">
        <w:t>functions as:</w:t>
      </w:r>
    </w:p>
    <w:p w14:paraId="6C0B8D91" w14:textId="72343C39" w:rsidR="002141DD" w:rsidRPr="00D2484E" w:rsidRDefault="00FF3D26" w:rsidP="004D745D">
      <w:pPr>
        <w:pStyle w:val="EYBullet1"/>
      </w:pPr>
      <w:r w:rsidRPr="00D2484E">
        <w:t xml:space="preserve">Assessing </w:t>
      </w:r>
      <w:r w:rsidR="002141DD" w:rsidRPr="00D2484E">
        <w:t xml:space="preserve">whether an item satisfies the criteria for listing on the Prostheses List, including that the required </w:t>
      </w:r>
      <w:r w:rsidR="009D6B5E" w:rsidRPr="00D2484E">
        <w:t>MBS</w:t>
      </w:r>
      <w:r w:rsidR="002141DD" w:rsidRPr="00D2484E">
        <w:t xml:space="preserve"> and </w:t>
      </w:r>
      <w:r w:rsidR="009D6B5E" w:rsidRPr="00D2484E">
        <w:t>ARTG</w:t>
      </w:r>
      <w:r w:rsidR="002141DD" w:rsidRPr="00D2484E">
        <w:t xml:space="preserve"> have been </w:t>
      </w:r>
      <w:proofErr w:type="gramStart"/>
      <w:r w:rsidR="002141DD" w:rsidRPr="00D2484E">
        <w:t>sought;</w:t>
      </w:r>
      <w:proofErr w:type="gramEnd"/>
      <w:r w:rsidR="002141DD" w:rsidRPr="00D2484E">
        <w:t xml:space="preserve"> </w:t>
      </w:r>
    </w:p>
    <w:p w14:paraId="1242E45F" w14:textId="72E8C89B" w:rsidR="002141DD" w:rsidRPr="00D2484E" w:rsidRDefault="00FF3D26" w:rsidP="004D745D">
      <w:pPr>
        <w:pStyle w:val="EYBullet1"/>
      </w:pPr>
      <w:r w:rsidRPr="00D2484E">
        <w:t xml:space="preserve">Assessing </w:t>
      </w:r>
      <w:r w:rsidR="002141DD" w:rsidRPr="00D2484E">
        <w:t xml:space="preserve">whether proposed amendments to current listings are </w:t>
      </w:r>
      <w:proofErr w:type="gramStart"/>
      <w:r w:rsidR="002141DD" w:rsidRPr="00D2484E">
        <w:t>valid;</w:t>
      </w:r>
      <w:proofErr w:type="gramEnd"/>
      <w:r w:rsidR="002141DD" w:rsidRPr="00D2484E">
        <w:t xml:space="preserve"> </w:t>
      </w:r>
    </w:p>
    <w:p w14:paraId="2B3FCB2F" w14:textId="6764D2EC" w:rsidR="002141DD" w:rsidRPr="00D2484E" w:rsidRDefault="00FF3D26" w:rsidP="004D745D">
      <w:pPr>
        <w:pStyle w:val="EYBullet1"/>
      </w:pPr>
      <w:r w:rsidRPr="00D2484E">
        <w:t xml:space="preserve">Advising </w:t>
      </w:r>
      <w:r w:rsidR="002141DD" w:rsidRPr="00D2484E">
        <w:t xml:space="preserve">an appropriate Grouping and comparative clinical effectiveness outcomes for a new </w:t>
      </w:r>
      <w:proofErr w:type="gramStart"/>
      <w:r w:rsidR="002141DD" w:rsidRPr="00D2484E">
        <w:t>Grouping;</w:t>
      </w:r>
      <w:proofErr w:type="gramEnd"/>
      <w:r w:rsidR="002141DD" w:rsidRPr="00D2484E">
        <w:t xml:space="preserve"> </w:t>
      </w:r>
    </w:p>
    <w:p w14:paraId="4962862B" w14:textId="21FCA83D" w:rsidR="002141DD" w:rsidRPr="00D2484E" w:rsidRDefault="00FF3D26" w:rsidP="004D745D">
      <w:pPr>
        <w:pStyle w:val="EYBullet1"/>
      </w:pPr>
      <w:r w:rsidRPr="00D2484E">
        <w:t xml:space="preserve">Advising </w:t>
      </w:r>
      <w:r w:rsidR="002141DD" w:rsidRPr="00D2484E">
        <w:t xml:space="preserve">the PLAC on the outcome of each assessment, specifically focusing on the application's ability to satisfy the criteria for </w:t>
      </w:r>
      <w:proofErr w:type="gramStart"/>
      <w:r w:rsidR="002141DD" w:rsidRPr="00D2484E">
        <w:t>listing;</w:t>
      </w:r>
      <w:proofErr w:type="gramEnd"/>
      <w:r w:rsidR="002141DD" w:rsidRPr="00D2484E">
        <w:t xml:space="preserve"> </w:t>
      </w:r>
    </w:p>
    <w:p w14:paraId="63C1ED05" w14:textId="58F74779" w:rsidR="002141DD" w:rsidRPr="00D2484E" w:rsidRDefault="00FF3D26" w:rsidP="004D745D">
      <w:pPr>
        <w:pStyle w:val="EYBullet1"/>
      </w:pPr>
      <w:r w:rsidRPr="00D2484E">
        <w:t xml:space="preserve">Advising </w:t>
      </w:r>
      <w:r w:rsidR="002141DD" w:rsidRPr="00D2484E">
        <w:t xml:space="preserve">the PLAC of any anomalies identified, in particular in relation to safety and performance concerns for reference to the </w:t>
      </w:r>
      <w:proofErr w:type="gramStart"/>
      <w:r w:rsidR="009D6B5E" w:rsidRPr="00D2484E">
        <w:t>TGA</w:t>
      </w:r>
      <w:r w:rsidR="002141DD" w:rsidRPr="00D2484E">
        <w:t>;</w:t>
      </w:r>
      <w:proofErr w:type="gramEnd"/>
      <w:r w:rsidR="002141DD" w:rsidRPr="00D2484E">
        <w:t xml:space="preserve"> </w:t>
      </w:r>
    </w:p>
    <w:p w14:paraId="21AECB02" w14:textId="425A3FE0" w:rsidR="002141DD" w:rsidRPr="00D2484E" w:rsidRDefault="00FF3D26" w:rsidP="004D745D">
      <w:pPr>
        <w:pStyle w:val="EYBullet1"/>
      </w:pPr>
      <w:r w:rsidRPr="00D2484E">
        <w:t xml:space="preserve">Reviewing </w:t>
      </w:r>
      <w:r w:rsidR="002141DD" w:rsidRPr="00D2484E">
        <w:t xml:space="preserve">the listing and/or benefits of listed medical devices as appropriate and advising the PLAC; and </w:t>
      </w:r>
    </w:p>
    <w:p w14:paraId="49AEDEAC" w14:textId="3FDA91EB" w:rsidR="002141DD" w:rsidRPr="00D2484E" w:rsidRDefault="00FF3D26" w:rsidP="004D745D">
      <w:pPr>
        <w:pStyle w:val="EYBullet1"/>
      </w:pPr>
      <w:r w:rsidRPr="00D2484E">
        <w:t xml:space="preserve">Providing </w:t>
      </w:r>
      <w:r w:rsidR="002141DD" w:rsidRPr="00D2484E">
        <w:t xml:space="preserve">advice </w:t>
      </w:r>
      <w:proofErr w:type="gramStart"/>
      <w:r w:rsidR="002141DD" w:rsidRPr="00D2484E">
        <w:t>where</w:t>
      </w:r>
      <w:proofErr w:type="gramEnd"/>
      <w:r w:rsidR="002141DD" w:rsidRPr="00D2484E">
        <w:t xml:space="preserve"> requested by </w:t>
      </w:r>
      <w:r w:rsidR="00623418" w:rsidRPr="00D2484E">
        <w:t xml:space="preserve">the </w:t>
      </w:r>
      <w:r w:rsidR="002141DD" w:rsidRPr="00D2484E">
        <w:t xml:space="preserve">PLAC or the </w:t>
      </w:r>
      <w:r w:rsidR="00F007AA" w:rsidRPr="00D2484E">
        <w:t>Department</w:t>
      </w:r>
      <w:r w:rsidR="002141DD" w:rsidRPr="00D2484E">
        <w:t>.</w:t>
      </w:r>
      <w:r w:rsidR="009E2B79" w:rsidRPr="00D2484E">
        <w:rPr>
          <w:rStyle w:val="FootnoteReference"/>
          <w:rFonts w:ascii="Arial" w:hAnsi="Arial"/>
        </w:rPr>
        <w:footnoteReference w:id="7"/>
      </w:r>
    </w:p>
    <w:p w14:paraId="4A83CAC8" w14:textId="76D3AA9A" w:rsidR="002141DD" w:rsidRPr="00D2484E" w:rsidRDefault="0005010D" w:rsidP="00E45667">
      <w:r w:rsidRPr="00D2484E">
        <w:t>Some stakeholders</w:t>
      </w:r>
      <w:r w:rsidR="00ED5FAD" w:rsidRPr="00D2484E">
        <w:t xml:space="preserve"> also</w:t>
      </w:r>
      <w:r w:rsidR="00DB2A25" w:rsidRPr="00D2484E">
        <w:t xml:space="preserve"> </w:t>
      </w:r>
      <w:r w:rsidR="00C42F7D" w:rsidRPr="00D2484E">
        <w:t xml:space="preserve">had the perception </w:t>
      </w:r>
      <w:r w:rsidR="00790F6B" w:rsidRPr="00D2484E">
        <w:t xml:space="preserve">that </w:t>
      </w:r>
      <w:r w:rsidR="00873B74" w:rsidRPr="00D2484E">
        <w:t xml:space="preserve">CAGs </w:t>
      </w:r>
      <w:r w:rsidR="00FC6ECA" w:rsidRPr="00D2484E">
        <w:t>tended to</w:t>
      </w:r>
      <w:r w:rsidR="002141DD" w:rsidRPr="00D2484E">
        <w:t xml:space="preserve"> perform </w:t>
      </w:r>
      <w:r w:rsidR="00790F6B" w:rsidRPr="00D2484E">
        <w:t xml:space="preserve">the TGA’s </w:t>
      </w:r>
      <w:r w:rsidR="002141DD" w:rsidRPr="00D2484E">
        <w:t xml:space="preserve">role </w:t>
      </w:r>
      <w:r w:rsidR="00790F6B" w:rsidRPr="00D2484E">
        <w:t xml:space="preserve">of </w:t>
      </w:r>
      <w:r w:rsidR="002141DD" w:rsidRPr="00D2484E">
        <w:t xml:space="preserve">assessing safety and performance rather than provide referral for any anomalies identified to </w:t>
      </w:r>
      <w:r w:rsidR="002141DD" w:rsidRPr="00D2484E">
        <w:lastRenderedPageBreak/>
        <w:t>the TGA</w:t>
      </w:r>
      <w:r w:rsidR="00D820F6" w:rsidRPr="00D2484E">
        <w:t>. H</w:t>
      </w:r>
      <w:r w:rsidR="00ED5FAD" w:rsidRPr="00D2484E">
        <w:t xml:space="preserve">owever, CAGs assess comparative clinical </w:t>
      </w:r>
      <w:proofErr w:type="spellStart"/>
      <w:r w:rsidR="00ED5FAD" w:rsidRPr="00D2484E">
        <w:t>affectiveness</w:t>
      </w:r>
      <w:proofErr w:type="spellEnd"/>
      <w:r w:rsidR="00ED5FAD" w:rsidRPr="00D2484E">
        <w:t xml:space="preserve"> rather than safety and performance</w:t>
      </w:r>
      <w:r w:rsidR="00216347" w:rsidRPr="00D2484E">
        <w:t>.</w:t>
      </w:r>
    </w:p>
    <w:p w14:paraId="3B2FFDFF" w14:textId="77777777" w:rsidR="00E1607D" w:rsidRPr="00C470B6" w:rsidRDefault="002141DD" w:rsidP="00221C67">
      <w:pPr>
        <w:pStyle w:val="Heading5"/>
      </w:pPr>
      <w:r w:rsidRPr="00C470B6">
        <w:t>Volume of members</w:t>
      </w:r>
    </w:p>
    <w:p w14:paraId="59AAECD9" w14:textId="0D4F6CD2" w:rsidR="002141DD" w:rsidRPr="00D2484E" w:rsidRDefault="002141DD" w:rsidP="00B5027D">
      <w:r w:rsidRPr="00D2484E">
        <w:t xml:space="preserve">The eight CAGs </w:t>
      </w:r>
      <w:r w:rsidR="003C078E" w:rsidRPr="00D2484E">
        <w:t>align</w:t>
      </w:r>
      <w:r w:rsidRPr="00D2484E">
        <w:t xml:space="preserve"> with </w:t>
      </w:r>
      <w:r w:rsidR="003C078E" w:rsidRPr="00D2484E">
        <w:t xml:space="preserve">eight categories on the </w:t>
      </w:r>
      <w:r w:rsidR="004E5CC4" w:rsidRPr="00D2484E">
        <w:t>Prostheses List</w:t>
      </w:r>
      <w:r w:rsidRPr="00D2484E">
        <w:t xml:space="preserve"> </w:t>
      </w:r>
      <w:r w:rsidR="003C078E" w:rsidRPr="00D2484E">
        <w:t xml:space="preserve">as </w:t>
      </w:r>
      <w:r w:rsidR="00DA52F2" w:rsidRPr="00D2484E">
        <w:t xml:space="preserve">listed in </w:t>
      </w:r>
      <w:r w:rsidR="0073721B" w:rsidRPr="00D2484E">
        <w:fldChar w:fldCharType="begin"/>
      </w:r>
      <w:r w:rsidR="0073721B" w:rsidRPr="00D2484E">
        <w:instrText xml:space="preserve"> REF _Ref77600028 \h </w:instrText>
      </w:r>
      <w:r w:rsidR="000A30C5" w:rsidRPr="00D2484E">
        <w:instrText xml:space="preserve"> \* MERGEFORMAT </w:instrText>
      </w:r>
      <w:r w:rsidR="0073721B" w:rsidRPr="00D2484E">
        <w:fldChar w:fldCharType="separate"/>
      </w:r>
      <w:r w:rsidR="00475597" w:rsidRPr="00D2484E">
        <w:t xml:space="preserve">Table </w:t>
      </w:r>
      <w:r w:rsidR="00475597" w:rsidRPr="00D2484E">
        <w:rPr>
          <w:noProof/>
        </w:rPr>
        <w:t>6</w:t>
      </w:r>
      <w:r w:rsidR="0073721B" w:rsidRPr="00D2484E">
        <w:fldChar w:fldCharType="end"/>
      </w:r>
      <w:r w:rsidRPr="00D2484E">
        <w:t xml:space="preserve">:  </w:t>
      </w:r>
    </w:p>
    <w:p w14:paraId="76C895A2" w14:textId="62B2677F" w:rsidR="00DA52F2" w:rsidRPr="00CA6DBA" w:rsidRDefault="00DA52F2" w:rsidP="00CA6DBA">
      <w:pPr>
        <w:pStyle w:val="Caption"/>
      </w:pPr>
      <w:bookmarkStart w:id="114" w:name="_Ref77600028"/>
      <w:bookmarkStart w:id="115" w:name="_Ref77326364"/>
      <w:r w:rsidRPr="00CA6DBA">
        <w:t xml:space="preserve">Table </w:t>
      </w:r>
      <w:r w:rsidRPr="00CA6DBA">
        <w:fldChar w:fldCharType="begin"/>
      </w:r>
      <w:r w:rsidRPr="00CA6DBA">
        <w:instrText xml:space="preserve"> SEQ Table \* ARABIC </w:instrText>
      </w:r>
      <w:r w:rsidRPr="00CA6DBA">
        <w:fldChar w:fldCharType="separate"/>
      </w:r>
      <w:r w:rsidR="00475597" w:rsidRPr="00CA6DBA">
        <w:t>6</w:t>
      </w:r>
      <w:r w:rsidRPr="00CA6DBA">
        <w:fldChar w:fldCharType="end"/>
      </w:r>
      <w:bookmarkEnd w:id="114"/>
      <w:r w:rsidRPr="00CA6DBA">
        <w:t xml:space="preserve"> - Clinical Advisory Groups</w:t>
      </w:r>
      <w:bookmarkEnd w:id="115"/>
    </w:p>
    <w:tbl>
      <w:tblPr>
        <w:tblStyle w:val="Style1"/>
        <w:tblW w:w="0" w:type="auto"/>
        <w:tblLook w:val="04A0" w:firstRow="1" w:lastRow="0" w:firstColumn="1" w:lastColumn="0" w:noHBand="0" w:noVBand="1"/>
        <w:tblDescription w:val="Table 6 is a list of clinical advisory groups"/>
      </w:tblPr>
      <w:tblGrid>
        <w:gridCol w:w="6799"/>
        <w:gridCol w:w="2220"/>
      </w:tblGrid>
      <w:tr w:rsidR="004E05DB" w:rsidRPr="00B5027D" w14:paraId="3175957F" w14:textId="77777777" w:rsidTr="00B5027D">
        <w:trPr>
          <w:cnfStyle w:val="100000000000" w:firstRow="1" w:lastRow="0" w:firstColumn="0" w:lastColumn="0" w:oddVBand="0" w:evenVBand="0" w:oddHBand="0" w:evenHBand="0" w:firstRowFirstColumn="0" w:firstRowLastColumn="0" w:lastRowFirstColumn="0" w:lastRowLastColumn="0"/>
          <w:tblHeader/>
        </w:trPr>
        <w:tc>
          <w:tcPr>
            <w:tcW w:w="6799" w:type="dxa"/>
          </w:tcPr>
          <w:p w14:paraId="195FAB4D" w14:textId="7261AF0A" w:rsidR="004E05DB" w:rsidRPr="00B5027D" w:rsidRDefault="00B334E3" w:rsidP="00B5027D">
            <w:r w:rsidRPr="00B5027D">
              <w:t>Clinical Advisory Group</w:t>
            </w:r>
          </w:p>
        </w:tc>
        <w:tc>
          <w:tcPr>
            <w:tcW w:w="2220" w:type="dxa"/>
          </w:tcPr>
          <w:p w14:paraId="063B7148" w14:textId="32028730" w:rsidR="004E05DB" w:rsidRPr="00B5027D" w:rsidRDefault="00B334E3" w:rsidP="00B5027D">
            <w:r w:rsidRPr="00B5027D">
              <w:t>Number of members</w:t>
            </w:r>
          </w:p>
        </w:tc>
      </w:tr>
      <w:tr w:rsidR="00B122F8" w:rsidRPr="00B5027D" w14:paraId="5B86EE2A" w14:textId="77777777" w:rsidTr="00B5027D">
        <w:tc>
          <w:tcPr>
            <w:tcW w:w="6799" w:type="dxa"/>
          </w:tcPr>
          <w:p w14:paraId="06F507C6" w14:textId="440FEF41" w:rsidR="00B122F8" w:rsidRPr="00B5027D" w:rsidRDefault="00B122F8" w:rsidP="00B5027D">
            <w:r w:rsidRPr="00B5027D">
              <w:t xml:space="preserve">Cardiac Prostheses Clinical Advisory Group </w:t>
            </w:r>
          </w:p>
        </w:tc>
        <w:tc>
          <w:tcPr>
            <w:tcW w:w="2220" w:type="dxa"/>
          </w:tcPr>
          <w:p w14:paraId="0137FA38" w14:textId="21CAA3FA" w:rsidR="00B122F8" w:rsidRPr="00B5027D" w:rsidRDefault="00CF06EF" w:rsidP="00B5027D">
            <w:r w:rsidRPr="00B5027D">
              <w:t>7</w:t>
            </w:r>
          </w:p>
        </w:tc>
      </w:tr>
      <w:tr w:rsidR="00B122F8" w:rsidRPr="00B5027D" w14:paraId="5793D4AD" w14:textId="77777777" w:rsidTr="00B5027D">
        <w:tc>
          <w:tcPr>
            <w:tcW w:w="6799" w:type="dxa"/>
          </w:tcPr>
          <w:p w14:paraId="626BA776" w14:textId="4B3A50CF" w:rsidR="00B122F8" w:rsidRPr="00B5027D" w:rsidRDefault="00B122F8" w:rsidP="00B5027D">
            <w:r w:rsidRPr="00B5027D">
              <w:t xml:space="preserve">Cardiothoracic Prostheses Clinical Advisory Group </w:t>
            </w:r>
          </w:p>
        </w:tc>
        <w:tc>
          <w:tcPr>
            <w:tcW w:w="2220" w:type="dxa"/>
          </w:tcPr>
          <w:p w14:paraId="570435E1" w14:textId="76016411" w:rsidR="00B122F8" w:rsidRPr="00B5027D" w:rsidRDefault="00CF06EF" w:rsidP="00B5027D">
            <w:r w:rsidRPr="00B5027D">
              <w:t>5</w:t>
            </w:r>
          </w:p>
        </w:tc>
      </w:tr>
      <w:tr w:rsidR="00B122F8" w:rsidRPr="00B5027D" w14:paraId="64E8BE2B" w14:textId="77777777" w:rsidTr="00B5027D">
        <w:tc>
          <w:tcPr>
            <w:tcW w:w="6799" w:type="dxa"/>
          </w:tcPr>
          <w:p w14:paraId="5D52C5D1" w14:textId="4AFCA3C9" w:rsidR="00B122F8" w:rsidRPr="00B5027D" w:rsidRDefault="00B122F8" w:rsidP="00B5027D">
            <w:r w:rsidRPr="00B5027D">
              <w:t xml:space="preserve">Hip Prostheses Clinical Advisory Group </w:t>
            </w:r>
          </w:p>
        </w:tc>
        <w:tc>
          <w:tcPr>
            <w:tcW w:w="2220" w:type="dxa"/>
          </w:tcPr>
          <w:p w14:paraId="4B7BBC04" w14:textId="2E68CD7F" w:rsidR="00B122F8" w:rsidRPr="00B5027D" w:rsidRDefault="00CF06EF" w:rsidP="00B5027D">
            <w:r w:rsidRPr="00B5027D">
              <w:t>5</w:t>
            </w:r>
          </w:p>
        </w:tc>
      </w:tr>
      <w:tr w:rsidR="00B122F8" w:rsidRPr="00B5027D" w14:paraId="2183DD07" w14:textId="77777777" w:rsidTr="00B5027D">
        <w:tc>
          <w:tcPr>
            <w:tcW w:w="6799" w:type="dxa"/>
          </w:tcPr>
          <w:p w14:paraId="4FD453DB" w14:textId="5F82F79B" w:rsidR="00B122F8" w:rsidRPr="00B5027D" w:rsidRDefault="00B122F8" w:rsidP="00B5027D">
            <w:r w:rsidRPr="00B5027D">
              <w:t xml:space="preserve">Knee Prostheses Clinical Advisory Group </w:t>
            </w:r>
          </w:p>
        </w:tc>
        <w:tc>
          <w:tcPr>
            <w:tcW w:w="2220" w:type="dxa"/>
          </w:tcPr>
          <w:p w14:paraId="1FA1E967" w14:textId="05A05B94" w:rsidR="00B122F8" w:rsidRPr="00B5027D" w:rsidRDefault="00CF06EF" w:rsidP="00B5027D">
            <w:r w:rsidRPr="00B5027D">
              <w:t>5</w:t>
            </w:r>
          </w:p>
        </w:tc>
      </w:tr>
      <w:tr w:rsidR="00B122F8" w:rsidRPr="00B5027D" w14:paraId="11BA6442" w14:textId="77777777" w:rsidTr="00B5027D">
        <w:tc>
          <w:tcPr>
            <w:tcW w:w="6799" w:type="dxa"/>
          </w:tcPr>
          <w:p w14:paraId="5AC30964" w14:textId="7603558F" w:rsidR="00B122F8" w:rsidRPr="00B5027D" w:rsidRDefault="00B122F8" w:rsidP="00B5027D">
            <w:r w:rsidRPr="00B5027D">
              <w:t xml:space="preserve">Ophthalmic Prostheses Clinical Advisory Group </w:t>
            </w:r>
          </w:p>
        </w:tc>
        <w:tc>
          <w:tcPr>
            <w:tcW w:w="2220" w:type="dxa"/>
          </w:tcPr>
          <w:p w14:paraId="074C35D8" w14:textId="73E5F974" w:rsidR="00B122F8" w:rsidRPr="00B5027D" w:rsidRDefault="00CF06EF" w:rsidP="00B5027D">
            <w:r w:rsidRPr="00B5027D">
              <w:t>6</w:t>
            </w:r>
          </w:p>
        </w:tc>
      </w:tr>
      <w:tr w:rsidR="00B122F8" w:rsidRPr="00B5027D" w14:paraId="6EF0492A" w14:textId="77777777" w:rsidTr="00B5027D">
        <w:tc>
          <w:tcPr>
            <w:tcW w:w="6799" w:type="dxa"/>
          </w:tcPr>
          <w:p w14:paraId="36A4E1B6" w14:textId="1C0DDF81" w:rsidR="00B122F8" w:rsidRPr="00B5027D" w:rsidRDefault="00B122F8" w:rsidP="00B5027D">
            <w:r w:rsidRPr="00B5027D">
              <w:t xml:space="preserve">Specialist Orthopaedic Clinical Advisory Group </w:t>
            </w:r>
          </w:p>
        </w:tc>
        <w:tc>
          <w:tcPr>
            <w:tcW w:w="2220" w:type="dxa"/>
          </w:tcPr>
          <w:p w14:paraId="6E73E39F" w14:textId="07D2D42F" w:rsidR="00B122F8" w:rsidRPr="00B5027D" w:rsidRDefault="00CF06EF" w:rsidP="00B5027D">
            <w:r w:rsidRPr="00B5027D">
              <w:t>13</w:t>
            </w:r>
          </w:p>
        </w:tc>
      </w:tr>
      <w:tr w:rsidR="00B122F8" w:rsidRPr="00B5027D" w14:paraId="38266F52" w14:textId="77777777" w:rsidTr="00B5027D">
        <w:tc>
          <w:tcPr>
            <w:tcW w:w="6799" w:type="dxa"/>
          </w:tcPr>
          <w:p w14:paraId="1333BA96" w14:textId="5E4B4511" w:rsidR="00B122F8" w:rsidRPr="00B5027D" w:rsidRDefault="00B122F8" w:rsidP="00B5027D">
            <w:r w:rsidRPr="00B5027D">
              <w:t xml:space="preserve">Spinal Prostheses Clinical Advisory Group </w:t>
            </w:r>
          </w:p>
        </w:tc>
        <w:tc>
          <w:tcPr>
            <w:tcW w:w="2220" w:type="dxa"/>
          </w:tcPr>
          <w:p w14:paraId="4289B661" w14:textId="3E22C59F" w:rsidR="00B122F8" w:rsidRPr="00B5027D" w:rsidRDefault="00CF06EF" w:rsidP="00B5027D">
            <w:r w:rsidRPr="00B5027D">
              <w:t>6</w:t>
            </w:r>
          </w:p>
        </w:tc>
      </w:tr>
      <w:tr w:rsidR="00B122F8" w:rsidRPr="00B5027D" w14:paraId="68BB1390" w14:textId="77777777" w:rsidTr="00B5027D">
        <w:tc>
          <w:tcPr>
            <w:tcW w:w="6799" w:type="dxa"/>
          </w:tcPr>
          <w:p w14:paraId="499B20EF" w14:textId="50F5CD8D" w:rsidR="00B122F8" w:rsidRPr="00B5027D" w:rsidRDefault="00B122F8" w:rsidP="00B5027D">
            <w:r w:rsidRPr="00B5027D">
              <w:t>Vascular Prostheses Clinical Advisory Group</w:t>
            </w:r>
          </w:p>
        </w:tc>
        <w:tc>
          <w:tcPr>
            <w:tcW w:w="2220" w:type="dxa"/>
          </w:tcPr>
          <w:p w14:paraId="5F4B59A6" w14:textId="57044797" w:rsidR="00B122F8" w:rsidRPr="00B5027D" w:rsidRDefault="00CF06EF" w:rsidP="00B5027D">
            <w:r w:rsidRPr="00B5027D">
              <w:t>5</w:t>
            </w:r>
          </w:p>
        </w:tc>
      </w:tr>
    </w:tbl>
    <w:p w14:paraId="3BA1FF3D" w14:textId="06D06343" w:rsidR="00364F72" w:rsidRPr="00D2484E" w:rsidRDefault="00F331CD" w:rsidP="00B5027D">
      <w:r w:rsidRPr="00D2484E">
        <w:t xml:space="preserve">A list of </w:t>
      </w:r>
      <w:r w:rsidR="00364F72" w:rsidRPr="00D2484E">
        <w:t xml:space="preserve">members </w:t>
      </w:r>
      <w:r w:rsidR="00D8624A" w:rsidRPr="00D2484E">
        <w:t>for</w:t>
      </w:r>
      <w:r w:rsidR="00364F72" w:rsidRPr="00D2484E">
        <w:t xml:space="preserve"> each CAG is provided </w:t>
      </w:r>
      <w:r w:rsidR="00596B93" w:rsidRPr="00D2484E">
        <w:t>in</w:t>
      </w:r>
      <w:r w:rsidR="00364F72" w:rsidRPr="00D2484E">
        <w:t xml:space="preserve"> </w:t>
      </w:r>
      <w:r w:rsidR="00364F72" w:rsidRPr="00D2484E">
        <w:fldChar w:fldCharType="begin"/>
      </w:r>
      <w:r w:rsidR="00364F72" w:rsidRPr="00D2484E">
        <w:instrText xml:space="preserve"> REF _Ref77065824 \h </w:instrText>
      </w:r>
      <w:r w:rsidR="00895537" w:rsidRPr="00D2484E">
        <w:instrText xml:space="preserve"> \* MERGEFORMAT </w:instrText>
      </w:r>
      <w:r w:rsidR="00364F72" w:rsidRPr="00D2484E">
        <w:fldChar w:fldCharType="separate"/>
      </w:r>
      <w:r w:rsidR="00475597" w:rsidRPr="00D2484E">
        <w:t xml:space="preserve">Appendix </w:t>
      </w:r>
      <w:r w:rsidR="00364F72" w:rsidRPr="00D2484E">
        <w:fldChar w:fldCharType="end"/>
      </w:r>
      <w:r w:rsidR="00743B75" w:rsidRPr="00D2484E">
        <w:t>E</w:t>
      </w:r>
      <w:r w:rsidR="00364F72" w:rsidRPr="00D2484E">
        <w:t>.</w:t>
      </w:r>
    </w:p>
    <w:p w14:paraId="71B3C237" w14:textId="2A22096D" w:rsidR="00D50681" w:rsidRPr="00D2484E" w:rsidRDefault="002141DD" w:rsidP="00B5027D">
      <w:r w:rsidRPr="00D2484E">
        <w:t>Each CAG comprise</w:t>
      </w:r>
      <w:r w:rsidR="00C23EAB" w:rsidRPr="00D2484E">
        <w:t>s</w:t>
      </w:r>
      <w:r w:rsidRPr="00D2484E">
        <w:t xml:space="preserve"> individuals with contemporary subject matter expertise and additional skills </w:t>
      </w:r>
      <w:r w:rsidR="00276507" w:rsidRPr="00D2484E">
        <w:t xml:space="preserve">required </w:t>
      </w:r>
      <w:r w:rsidRPr="00D2484E">
        <w:t>by the PLAC</w:t>
      </w:r>
      <w:r w:rsidR="00FB3939" w:rsidRPr="00D2484E">
        <w:t>,</w:t>
      </w:r>
      <w:r w:rsidRPr="00D2484E">
        <w:t xml:space="preserve"> and a consumer representative. CAG Chairs are not required to sit upon the PLAC parent committee.</w:t>
      </w:r>
    </w:p>
    <w:p w14:paraId="73C4FA86" w14:textId="2F7F97B8" w:rsidR="00A34813" w:rsidRPr="00D2484E" w:rsidRDefault="00644AC4" w:rsidP="00B5027D">
      <w:r w:rsidRPr="00D2484E">
        <w:t>Combined, the CAG</w:t>
      </w:r>
      <w:r w:rsidR="00705A45" w:rsidRPr="00D2484E">
        <w:t>s have</w:t>
      </w:r>
      <w:r w:rsidR="00E3657D" w:rsidRPr="00D2484E">
        <w:t xml:space="preserve"> a total of</w:t>
      </w:r>
      <w:r w:rsidR="00705A45" w:rsidRPr="00D2484E">
        <w:t xml:space="preserve"> </w:t>
      </w:r>
      <w:r w:rsidR="00D50681" w:rsidRPr="00D2484E">
        <w:t>53 members</w:t>
      </w:r>
      <w:r w:rsidR="00705A45" w:rsidRPr="00D2484E">
        <w:t xml:space="preserve">. Stakeholders consulted </w:t>
      </w:r>
      <w:r w:rsidR="00A95386" w:rsidRPr="00D2484E">
        <w:t xml:space="preserve">agreed </w:t>
      </w:r>
      <w:r w:rsidR="00705A45" w:rsidRPr="00D2484E">
        <w:t>that th</w:t>
      </w:r>
      <w:r w:rsidR="00825689" w:rsidRPr="00D2484E">
        <w:t>is</w:t>
      </w:r>
      <w:r w:rsidR="00705A45" w:rsidRPr="00D2484E">
        <w:t xml:space="preserve"> number is </w:t>
      </w:r>
      <w:proofErr w:type="gramStart"/>
      <w:r w:rsidR="00262248" w:rsidRPr="00D2484E">
        <w:t>unwieldy</w:t>
      </w:r>
      <w:r w:rsidR="00A34813" w:rsidRPr="00D2484E">
        <w:t>, and</w:t>
      </w:r>
      <w:proofErr w:type="gramEnd"/>
      <w:r w:rsidR="00A34813" w:rsidRPr="00D2484E">
        <w:t xml:space="preserve"> supported </w:t>
      </w:r>
      <w:r w:rsidR="000C534A" w:rsidRPr="00D2484E">
        <w:t xml:space="preserve">the need to </w:t>
      </w:r>
      <w:r w:rsidR="00A34813" w:rsidRPr="00D2484E">
        <w:t xml:space="preserve">refine </w:t>
      </w:r>
      <w:r w:rsidR="000C534A" w:rsidRPr="00D2484E">
        <w:t>the number</w:t>
      </w:r>
      <w:r w:rsidR="00A34813" w:rsidRPr="00D2484E">
        <w:t xml:space="preserve"> of </w:t>
      </w:r>
      <w:r w:rsidR="000C534A" w:rsidRPr="00D2484E">
        <w:t>members on both</w:t>
      </w:r>
      <w:r w:rsidR="00A34813" w:rsidRPr="00D2484E">
        <w:t xml:space="preserve"> CAGs and </w:t>
      </w:r>
      <w:r w:rsidR="000C534A" w:rsidRPr="00D2484E">
        <w:t xml:space="preserve">the </w:t>
      </w:r>
      <w:r w:rsidR="00A34813" w:rsidRPr="00D2484E">
        <w:t xml:space="preserve">Panel of Clinical Experts. </w:t>
      </w:r>
    </w:p>
    <w:p w14:paraId="43DCFA86" w14:textId="4E0ABF5C" w:rsidR="0032434F" w:rsidRPr="00D2484E" w:rsidRDefault="000C534A" w:rsidP="00B5027D">
      <w:r w:rsidRPr="00D2484E">
        <w:t>While s</w:t>
      </w:r>
      <w:r w:rsidR="00710294" w:rsidRPr="00D2484E">
        <w:t xml:space="preserve">takeholders consulted recognised the continued need for </w:t>
      </w:r>
      <w:r w:rsidR="008A3147" w:rsidRPr="00D2484E">
        <w:t xml:space="preserve">expert </w:t>
      </w:r>
      <w:r w:rsidR="0032434F" w:rsidRPr="00D2484E">
        <w:t xml:space="preserve">clinical advice in </w:t>
      </w:r>
      <w:r w:rsidR="003C21BF" w:rsidRPr="00D2484E">
        <w:t xml:space="preserve">the </w:t>
      </w:r>
      <w:r w:rsidR="00710294" w:rsidRPr="00D2484E">
        <w:t>governance</w:t>
      </w:r>
      <w:r w:rsidR="0032434F" w:rsidRPr="00D2484E">
        <w:t xml:space="preserve"> of the Prostheses List, particularly </w:t>
      </w:r>
      <w:r w:rsidR="00A34813" w:rsidRPr="00D2484E">
        <w:t xml:space="preserve">in relation to </w:t>
      </w:r>
      <w:r w:rsidR="0032434F" w:rsidRPr="00D2484E">
        <w:t>clinical utility</w:t>
      </w:r>
      <w:r w:rsidR="00A34813" w:rsidRPr="00D2484E">
        <w:t xml:space="preserve"> and</w:t>
      </w:r>
      <w:r w:rsidR="0032434F" w:rsidRPr="00D2484E">
        <w:t xml:space="preserve"> outcomes</w:t>
      </w:r>
      <w:r w:rsidRPr="00D2484E">
        <w:t>,</w:t>
      </w:r>
      <w:r w:rsidR="00E4240A" w:rsidRPr="00D2484E">
        <w:t xml:space="preserve"> </w:t>
      </w:r>
      <w:r w:rsidR="005548D1" w:rsidRPr="00D2484E">
        <w:t>t</w:t>
      </w:r>
      <w:r w:rsidR="0032434F" w:rsidRPr="00D2484E">
        <w:t xml:space="preserve">his need is not currently being met by </w:t>
      </w:r>
      <w:r w:rsidR="005548D1" w:rsidRPr="00D2484E">
        <w:t>the</w:t>
      </w:r>
      <w:r w:rsidR="0032434F" w:rsidRPr="00D2484E">
        <w:t xml:space="preserve"> CAGs. </w:t>
      </w:r>
    </w:p>
    <w:p w14:paraId="45E62E24" w14:textId="77777777" w:rsidR="002141DD" w:rsidRPr="00C470B6" w:rsidRDefault="002141DD" w:rsidP="002242CA">
      <w:pPr>
        <w:pStyle w:val="Heading4"/>
      </w:pPr>
      <w:r w:rsidRPr="00C470B6">
        <w:t>Panel of Clinical Experts</w:t>
      </w:r>
    </w:p>
    <w:p w14:paraId="2A85016F" w14:textId="2E657EDE" w:rsidR="002141DD" w:rsidRPr="00D2484E" w:rsidRDefault="002141DD" w:rsidP="00B5027D">
      <w:r w:rsidRPr="00D2484E">
        <w:t xml:space="preserve">The Panel of Clinical Experts is a sub-committee of the </w:t>
      </w:r>
      <w:r w:rsidR="00086820" w:rsidRPr="00D2484E">
        <w:t>PLAC</w:t>
      </w:r>
      <w:r w:rsidR="00FB3939" w:rsidRPr="00D2484E">
        <w:t xml:space="preserve">. It </w:t>
      </w:r>
      <w:r w:rsidRPr="00D2484E">
        <w:t xml:space="preserve">assesses the clinical functionality and effectiveness of medical devices being considered for listing on the </w:t>
      </w:r>
      <w:r w:rsidR="004E5CC4" w:rsidRPr="00D2484E">
        <w:t>Prostheses List</w:t>
      </w:r>
      <w:r w:rsidR="00FB3939" w:rsidRPr="00D2484E">
        <w:t xml:space="preserve"> where there are no </w:t>
      </w:r>
      <w:r w:rsidR="00473F07" w:rsidRPr="00D2484E">
        <w:t>CAGs</w:t>
      </w:r>
      <w:r w:rsidRPr="00D2484E">
        <w:t xml:space="preserve">. </w:t>
      </w:r>
      <w:proofErr w:type="gramStart"/>
      <w:r w:rsidRPr="00D2484E">
        <w:t>Similar to</w:t>
      </w:r>
      <w:proofErr w:type="gramEnd"/>
      <w:r w:rsidRPr="00D2484E">
        <w:t xml:space="preserve"> </w:t>
      </w:r>
      <w:r w:rsidR="00672630" w:rsidRPr="00D2484E">
        <w:t xml:space="preserve">the </w:t>
      </w:r>
      <w:r w:rsidRPr="00D2484E">
        <w:t xml:space="preserve">CAGs, the Panel provides </w:t>
      </w:r>
      <w:r w:rsidR="00583B43" w:rsidRPr="00D2484E">
        <w:t xml:space="preserve">clinical </w:t>
      </w:r>
      <w:r w:rsidRPr="00D2484E">
        <w:t xml:space="preserve">advice to both the PLAC and </w:t>
      </w:r>
      <w:r w:rsidR="00672630" w:rsidRPr="00D2484E">
        <w:t xml:space="preserve">the </w:t>
      </w:r>
      <w:r w:rsidR="007E62BB" w:rsidRPr="00D2484E">
        <w:t>Department</w:t>
      </w:r>
      <w:r w:rsidRPr="00D2484E">
        <w:t xml:space="preserve">. </w:t>
      </w:r>
    </w:p>
    <w:p w14:paraId="07AF2086" w14:textId="23DD70DD" w:rsidR="00DF56D6" w:rsidRPr="00D2484E" w:rsidRDefault="002141DD" w:rsidP="00B5027D">
      <w:r w:rsidRPr="00D2484E">
        <w:t xml:space="preserve">At </w:t>
      </w:r>
      <w:r w:rsidR="00672630" w:rsidRPr="00D2484E">
        <w:t>face value</w:t>
      </w:r>
      <w:r w:rsidRPr="00D2484E">
        <w:t xml:space="preserve">, there is little difference in the </w:t>
      </w:r>
      <w:r w:rsidR="00683A7C" w:rsidRPr="00D2484E">
        <w:t>p</w:t>
      </w:r>
      <w:r w:rsidRPr="00D2484E">
        <w:t xml:space="preserve">urpose of the Panel and the </w:t>
      </w:r>
      <w:r w:rsidR="00683A7C" w:rsidRPr="00D2484E">
        <w:t>role</w:t>
      </w:r>
      <w:r w:rsidRPr="00D2484E">
        <w:t xml:space="preserve"> and </w:t>
      </w:r>
      <w:r w:rsidR="00683A7C" w:rsidRPr="00D2484E">
        <w:t>function</w:t>
      </w:r>
      <w:r w:rsidRPr="00D2484E">
        <w:t xml:space="preserve"> of </w:t>
      </w:r>
      <w:r w:rsidR="00A34211" w:rsidRPr="00D2484E">
        <w:t xml:space="preserve">the </w:t>
      </w:r>
      <w:r w:rsidRPr="00D2484E">
        <w:t>CAGs, as demonstrated</w:t>
      </w:r>
      <w:r w:rsidR="00DF56D6" w:rsidRPr="00D2484E">
        <w:t xml:space="preserve"> in</w:t>
      </w:r>
      <w:r w:rsidR="00284EE2" w:rsidRPr="00D2484E">
        <w:t xml:space="preserve"> </w:t>
      </w:r>
      <w:r w:rsidR="00284EE2" w:rsidRPr="00D2484E">
        <w:fldChar w:fldCharType="begin"/>
      </w:r>
      <w:r w:rsidR="00284EE2" w:rsidRPr="00D2484E">
        <w:instrText xml:space="preserve"> REF _Ref77313393 \h </w:instrText>
      </w:r>
      <w:r w:rsidR="00DC29E9" w:rsidRPr="00D2484E">
        <w:instrText xml:space="preserve"> \* MERGEFORMAT </w:instrText>
      </w:r>
      <w:r w:rsidR="00284EE2" w:rsidRPr="00D2484E">
        <w:fldChar w:fldCharType="separate"/>
      </w:r>
      <w:r w:rsidR="00475597" w:rsidRPr="00D2484E">
        <w:t>Table 7</w:t>
      </w:r>
      <w:r w:rsidR="00284EE2" w:rsidRPr="00D2484E">
        <w:fldChar w:fldCharType="end"/>
      </w:r>
      <w:r w:rsidR="00284EE2" w:rsidRPr="00D2484E">
        <w:t xml:space="preserve"> </w:t>
      </w:r>
      <w:r w:rsidR="00284EE2" w:rsidRPr="00D2484E">
        <w:fldChar w:fldCharType="begin"/>
      </w:r>
      <w:r w:rsidR="00284EE2" w:rsidRPr="00D2484E">
        <w:instrText xml:space="preserve"> REF _Ref77313395 \p \h </w:instrText>
      </w:r>
      <w:r w:rsidR="00DC29E9" w:rsidRPr="00D2484E">
        <w:instrText xml:space="preserve"> \* MERGEFORMAT </w:instrText>
      </w:r>
      <w:r w:rsidR="00284EE2" w:rsidRPr="00D2484E">
        <w:fldChar w:fldCharType="separate"/>
      </w:r>
      <w:r w:rsidR="00475597" w:rsidRPr="00D2484E">
        <w:t>below</w:t>
      </w:r>
      <w:r w:rsidR="00284EE2" w:rsidRPr="00D2484E">
        <w:fldChar w:fldCharType="end"/>
      </w:r>
      <w:r w:rsidR="00640D6E" w:rsidRPr="00D2484E">
        <w:t xml:space="preserve">. However, </w:t>
      </w:r>
      <w:r w:rsidR="0041693A" w:rsidRPr="00D2484E">
        <w:t xml:space="preserve">operationally, </w:t>
      </w:r>
      <w:r w:rsidR="00640D6E" w:rsidRPr="00D2484E">
        <w:t xml:space="preserve">there </w:t>
      </w:r>
      <w:r w:rsidR="0041693A" w:rsidRPr="00D2484E">
        <w:t xml:space="preserve">are differences: </w:t>
      </w:r>
      <w:r w:rsidR="00132E71" w:rsidRPr="00D2484E">
        <w:t>the CAGs have meetings three times per year to discuss their assessments, while individual clinicians from the Panel are approached to pr</w:t>
      </w:r>
      <w:r w:rsidR="003D699C" w:rsidRPr="00D2484E">
        <w:t>ovid</w:t>
      </w:r>
      <w:r w:rsidR="00132E71" w:rsidRPr="00D2484E">
        <w:t>e their independent assessment of an application.</w:t>
      </w:r>
    </w:p>
    <w:p w14:paraId="4E498362" w14:textId="40393D1A" w:rsidR="007D7022" w:rsidRPr="00CA6DBA" w:rsidRDefault="00DF56D6" w:rsidP="00CA6DBA">
      <w:pPr>
        <w:pStyle w:val="Caption"/>
      </w:pPr>
      <w:bookmarkStart w:id="116" w:name="_Ref77313393"/>
      <w:bookmarkStart w:id="117" w:name="_Ref77313395"/>
      <w:r w:rsidRPr="00CA6DBA">
        <w:lastRenderedPageBreak/>
        <w:t xml:space="preserve">Table </w:t>
      </w:r>
      <w:r w:rsidRPr="00CA6DBA">
        <w:fldChar w:fldCharType="begin"/>
      </w:r>
      <w:r w:rsidRPr="00CA6DBA">
        <w:instrText xml:space="preserve"> SEQ Table \* ARABIC </w:instrText>
      </w:r>
      <w:r w:rsidRPr="00CA6DBA">
        <w:fldChar w:fldCharType="separate"/>
      </w:r>
      <w:r w:rsidR="00475597" w:rsidRPr="00CA6DBA">
        <w:t>7</w:t>
      </w:r>
      <w:r w:rsidRPr="00CA6DBA">
        <w:fldChar w:fldCharType="end"/>
      </w:r>
      <w:bookmarkEnd w:id="116"/>
      <w:r w:rsidRPr="00CA6DBA">
        <w:t xml:space="preserve"> - Comparison of roles and functions of the Panel and CAGs</w:t>
      </w:r>
      <w:bookmarkEnd w:id="117"/>
    </w:p>
    <w:tbl>
      <w:tblPr>
        <w:tblStyle w:val="Style1"/>
        <w:tblW w:w="0" w:type="auto"/>
        <w:tblLook w:val="04A0" w:firstRow="1" w:lastRow="0" w:firstColumn="1" w:lastColumn="0" w:noHBand="0" w:noVBand="1"/>
        <w:tblDescription w:val="Table 7 is a comparison list of roles and functions of the Panel and CAGs"/>
      </w:tblPr>
      <w:tblGrid>
        <w:gridCol w:w="4509"/>
        <w:gridCol w:w="4510"/>
      </w:tblGrid>
      <w:tr w:rsidR="00272D5B" w:rsidRPr="00B5027D" w14:paraId="47F34B6A" w14:textId="77777777" w:rsidTr="00B5027D">
        <w:trPr>
          <w:cnfStyle w:val="100000000000" w:firstRow="1" w:lastRow="0" w:firstColumn="0" w:lastColumn="0" w:oddVBand="0" w:evenVBand="0" w:oddHBand="0" w:evenHBand="0" w:firstRowFirstColumn="0" w:firstRowLastColumn="0" w:lastRowFirstColumn="0" w:lastRowLastColumn="0"/>
          <w:tblHeader/>
        </w:trPr>
        <w:tc>
          <w:tcPr>
            <w:tcW w:w="4509" w:type="dxa"/>
          </w:tcPr>
          <w:p w14:paraId="02491D72" w14:textId="2E9DE13A" w:rsidR="00272D5B" w:rsidRPr="00B5027D" w:rsidRDefault="00272D5B" w:rsidP="00B5027D">
            <w:r w:rsidRPr="00B5027D">
              <w:t>Panel of Clinical Experts Terms of Reference</w:t>
            </w:r>
            <w:r w:rsidRPr="002242CA">
              <w:rPr>
                <w:rStyle w:val="FootnoteReference"/>
              </w:rPr>
              <w:footnoteReference w:id="8"/>
            </w:r>
          </w:p>
        </w:tc>
        <w:tc>
          <w:tcPr>
            <w:tcW w:w="4510" w:type="dxa"/>
          </w:tcPr>
          <w:p w14:paraId="49FB4783" w14:textId="77777777" w:rsidR="00272D5B" w:rsidRPr="00B5027D" w:rsidRDefault="00272D5B" w:rsidP="00B5027D">
            <w:r w:rsidRPr="00B5027D">
              <w:t>CAG Terms of Reference</w:t>
            </w:r>
            <w:r w:rsidRPr="002242CA">
              <w:rPr>
                <w:rStyle w:val="FootnoteReference"/>
              </w:rPr>
              <w:footnoteReference w:id="9"/>
            </w:r>
          </w:p>
        </w:tc>
      </w:tr>
      <w:tr w:rsidR="00272D5B" w:rsidRPr="00B5027D" w14:paraId="243E28B9" w14:textId="77777777" w:rsidTr="00B5027D">
        <w:tc>
          <w:tcPr>
            <w:tcW w:w="4509" w:type="dxa"/>
          </w:tcPr>
          <w:p w14:paraId="5BA0F9FF" w14:textId="47B6B70E" w:rsidR="00272D5B" w:rsidRPr="00B5027D" w:rsidRDefault="00272D5B" w:rsidP="00B5027D">
            <w:r w:rsidRPr="00B5027D">
              <w:t>“</w:t>
            </w:r>
            <w:r w:rsidR="001E13EA" w:rsidRPr="00B5027D">
              <w:t>The primary role of the Panel is to assess applications to list medical devices, or amend an existing listing on the Prostheses List and advise on</w:t>
            </w:r>
            <w:r w:rsidR="0023454C" w:rsidRPr="00B5027D">
              <w:t xml:space="preserve"> </w:t>
            </w:r>
            <w:r w:rsidR="001E13EA" w:rsidRPr="00B5027D">
              <w:t>whether the medical device satisfies the criteria for listing on the Prostheses List</w:t>
            </w:r>
            <w:r w:rsidR="001718E2" w:rsidRPr="00B5027D">
              <w:t>…</w:t>
            </w:r>
            <w:r w:rsidR="000A5385" w:rsidRPr="00B5027D">
              <w:t>”</w:t>
            </w:r>
          </w:p>
        </w:tc>
        <w:tc>
          <w:tcPr>
            <w:tcW w:w="4510" w:type="dxa"/>
          </w:tcPr>
          <w:p w14:paraId="49A39955" w14:textId="3742776C" w:rsidR="00272D5B" w:rsidRPr="00B5027D" w:rsidRDefault="00740484" w:rsidP="00B5027D">
            <w:r w:rsidRPr="00B5027D">
              <w:t>“The role of the CAGs is to undertake assessments on the suitability to list on the Prostheses List under the Private Health Insurance Act 2007.  This includes</w:t>
            </w:r>
            <w:r w:rsidR="003629A8" w:rsidRPr="00B5027D">
              <w:t xml:space="preserve"> </w:t>
            </w:r>
            <w:r w:rsidRPr="00B5027D">
              <w:t>assessing whether an item satisfies the criteria for listing on the Prostheses List</w:t>
            </w:r>
            <w:r w:rsidR="00BE1DBC" w:rsidRPr="00B5027D">
              <w:t>…”</w:t>
            </w:r>
          </w:p>
        </w:tc>
      </w:tr>
    </w:tbl>
    <w:p w14:paraId="37E92B3B" w14:textId="00DBFB66" w:rsidR="00FC352E" w:rsidRPr="00D2484E" w:rsidRDefault="00D04836" w:rsidP="00B5027D">
      <w:r w:rsidRPr="00D2484E">
        <w:t xml:space="preserve">As such, this has led to stakeholders </w:t>
      </w:r>
      <w:r w:rsidR="00134971" w:rsidRPr="00D2484E">
        <w:t xml:space="preserve">consulted questioning the need for both </w:t>
      </w:r>
      <w:r w:rsidR="0031471F" w:rsidRPr="00D2484E">
        <w:t xml:space="preserve">types of </w:t>
      </w:r>
      <w:r w:rsidR="00134971" w:rsidRPr="00D2484E">
        <w:t>sub-</w:t>
      </w:r>
      <w:r w:rsidR="00A80E7F" w:rsidRPr="00D2484E">
        <w:t>committees</w:t>
      </w:r>
      <w:r w:rsidR="009036DC" w:rsidRPr="00D2484E">
        <w:t>.</w:t>
      </w:r>
      <w:r w:rsidR="00567985" w:rsidRPr="00D2484E">
        <w:t xml:space="preserve"> This is supported by the observation that </w:t>
      </w:r>
      <w:r w:rsidR="002141DD" w:rsidRPr="00D2484E">
        <w:t xml:space="preserve">there is no fundamental difference in the skills required </w:t>
      </w:r>
      <w:r w:rsidR="00DB3449" w:rsidRPr="00D2484E">
        <w:t>between</w:t>
      </w:r>
      <w:r w:rsidR="002141DD" w:rsidRPr="00D2484E">
        <w:t xml:space="preserve"> the </w:t>
      </w:r>
      <w:r w:rsidR="00086820" w:rsidRPr="00D2484E">
        <w:t>Panellists</w:t>
      </w:r>
      <w:r w:rsidR="002141DD" w:rsidRPr="00D2484E">
        <w:t xml:space="preserve"> and CAG</w:t>
      </w:r>
      <w:r w:rsidR="00DB3449" w:rsidRPr="00D2484E">
        <w:t xml:space="preserve"> member</w:t>
      </w:r>
      <w:r w:rsidR="002141DD" w:rsidRPr="00D2484E">
        <w:t>s as seen in</w:t>
      </w:r>
      <w:r w:rsidR="00FC352E" w:rsidRPr="00D2484E">
        <w:t xml:space="preserve"> </w:t>
      </w:r>
      <w:r w:rsidR="00FC352E" w:rsidRPr="00D2484E">
        <w:fldChar w:fldCharType="begin"/>
      </w:r>
      <w:r w:rsidR="00FC352E" w:rsidRPr="00D2484E">
        <w:instrText xml:space="preserve"> REF _Ref77313467 \h </w:instrText>
      </w:r>
      <w:r w:rsidR="00DC29E9" w:rsidRPr="00D2484E">
        <w:instrText xml:space="preserve"> \* MERGEFORMAT </w:instrText>
      </w:r>
      <w:r w:rsidR="00FC352E" w:rsidRPr="00D2484E">
        <w:fldChar w:fldCharType="separate"/>
      </w:r>
      <w:r w:rsidR="00475597" w:rsidRPr="00D2484E">
        <w:t>Table 8</w:t>
      </w:r>
      <w:r w:rsidR="00FC352E" w:rsidRPr="00D2484E">
        <w:fldChar w:fldCharType="end"/>
      </w:r>
      <w:r w:rsidR="00FC352E" w:rsidRPr="00D2484E">
        <w:t xml:space="preserve"> </w:t>
      </w:r>
      <w:r w:rsidR="00FC352E" w:rsidRPr="00D2484E">
        <w:fldChar w:fldCharType="begin"/>
      </w:r>
      <w:r w:rsidR="00FC352E" w:rsidRPr="00D2484E">
        <w:instrText xml:space="preserve"> REF _Ref77313464 \p \h </w:instrText>
      </w:r>
      <w:r w:rsidR="00DC29E9" w:rsidRPr="00D2484E">
        <w:instrText xml:space="preserve"> \* MERGEFORMAT </w:instrText>
      </w:r>
      <w:r w:rsidR="00FC352E" w:rsidRPr="00D2484E">
        <w:fldChar w:fldCharType="separate"/>
      </w:r>
      <w:r w:rsidR="00475597" w:rsidRPr="00D2484E">
        <w:t>below</w:t>
      </w:r>
      <w:r w:rsidR="00FC352E" w:rsidRPr="00D2484E">
        <w:fldChar w:fldCharType="end"/>
      </w:r>
      <w:r w:rsidR="00FC352E" w:rsidRPr="00D2484E">
        <w:t>.</w:t>
      </w:r>
    </w:p>
    <w:p w14:paraId="76C9E4EF" w14:textId="314C36CB" w:rsidR="00FC352E" w:rsidRPr="00CA6DBA" w:rsidRDefault="00FC352E" w:rsidP="00CA6DBA">
      <w:pPr>
        <w:pStyle w:val="Caption"/>
      </w:pPr>
      <w:bookmarkStart w:id="118" w:name="_Ref77313467"/>
      <w:bookmarkStart w:id="119" w:name="_Ref77313464"/>
      <w:r w:rsidRPr="00CA6DBA">
        <w:t xml:space="preserve">Table </w:t>
      </w:r>
      <w:r w:rsidRPr="00CA6DBA">
        <w:fldChar w:fldCharType="begin"/>
      </w:r>
      <w:r w:rsidRPr="00CA6DBA">
        <w:instrText xml:space="preserve"> SEQ Table \* ARABIC </w:instrText>
      </w:r>
      <w:r w:rsidRPr="00CA6DBA">
        <w:fldChar w:fldCharType="separate"/>
      </w:r>
      <w:r w:rsidR="00475597" w:rsidRPr="00CA6DBA">
        <w:t>8</w:t>
      </w:r>
      <w:r w:rsidRPr="00CA6DBA">
        <w:fldChar w:fldCharType="end"/>
      </w:r>
      <w:bookmarkEnd w:id="118"/>
      <w:r w:rsidRPr="00CA6DBA">
        <w:t xml:space="preserve"> - Comparison of membership of the Panel and CAGs</w:t>
      </w:r>
      <w:bookmarkEnd w:id="119"/>
    </w:p>
    <w:tbl>
      <w:tblPr>
        <w:tblStyle w:val="Style1"/>
        <w:tblW w:w="0" w:type="auto"/>
        <w:tblLook w:val="04A0" w:firstRow="1" w:lastRow="0" w:firstColumn="1" w:lastColumn="0" w:noHBand="0" w:noVBand="1"/>
        <w:tblDescription w:val="Table 8 is a comparison list 0f memeberships of the panel and CAGs"/>
      </w:tblPr>
      <w:tblGrid>
        <w:gridCol w:w="4509"/>
        <w:gridCol w:w="4510"/>
      </w:tblGrid>
      <w:tr w:rsidR="00BE1DBC" w:rsidRPr="00B5027D" w14:paraId="36628CAF" w14:textId="77777777" w:rsidTr="00B5027D">
        <w:trPr>
          <w:cnfStyle w:val="100000000000" w:firstRow="1" w:lastRow="0" w:firstColumn="0" w:lastColumn="0" w:oddVBand="0" w:evenVBand="0" w:oddHBand="0" w:evenHBand="0" w:firstRowFirstColumn="0" w:firstRowLastColumn="0" w:lastRowFirstColumn="0" w:lastRowLastColumn="0"/>
          <w:tblHeader/>
        </w:trPr>
        <w:tc>
          <w:tcPr>
            <w:tcW w:w="4509" w:type="dxa"/>
          </w:tcPr>
          <w:p w14:paraId="1EBE3792" w14:textId="33A2777C" w:rsidR="00BE1DBC" w:rsidRPr="00B5027D" w:rsidRDefault="00BE1DBC" w:rsidP="00B5027D">
            <w:r w:rsidRPr="00B5027D">
              <w:t>Panel of Clinical Experts Terms of Reference</w:t>
            </w:r>
            <w:r w:rsidRPr="002242CA">
              <w:rPr>
                <w:rStyle w:val="FootnoteReference"/>
              </w:rPr>
              <w:footnoteReference w:id="10"/>
            </w:r>
          </w:p>
        </w:tc>
        <w:tc>
          <w:tcPr>
            <w:tcW w:w="4510" w:type="dxa"/>
          </w:tcPr>
          <w:p w14:paraId="0266A207" w14:textId="77777777" w:rsidR="00BE1DBC" w:rsidRPr="00B5027D" w:rsidRDefault="00BE1DBC" w:rsidP="00B5027D">
            <w:r w:rsidRPr="00B5027D">
              <w:t>CAG Terms of Reference</w:t>
            </w:r>
            <w:r w:rsidRPr="002242CA">
              <w:rPr>
                <w:rStyle w:val="FootnoteReference"/>
              </w:rPr>
              <w:footnoteReference w:id="11"/>
            </w:r>
          </w:p>
        </w:tc>
      </w:tr>
      <w:tr w:rsidR="00BE1DBC" w:rsidRPr="00B5027D" w14:paraId="0E1CB452" w14:textId="77777777" w:rsidTr="00B5027D">
        <w:tc>
          <w:tcPr>
            <w:tcW w:w="4509" w:type="dxa"/>
          </w:tcPr>
          <w:p w14:paraId="2ABAA244" w14:textId="0F3E9046" w:rsidR="00BE1DBC" w:rsidRPr="00B5027D" w:rsidRDefault="00BE1DBC" w:rsidP="00B5027D">
            <w:r w:rsidRPr="00B5027D">
              <w:t>“</w:t>
            </w:r>
            <w:r w:rsidR="001F6AA1" w:rsidRPr="00B5027D">
              <w:t xml:space="preserve">The Prostheses List Panel of Clinical Experts (Panel) is an expert sub-committee of the Prostheses List Advisory Committee (PLAC). The Panel is composed of clinicians with contemporary subject matter expertise, and additional skills </w:t>
            </w:r>
            <w:proofErr w:type="gramStart"/>
            <w:r w:rsidR="001F6AA1" w:rsidRPr="00B5027D">
              <w:t>where</w:t>
            </w:r>
            <w:proofErr w:type="gramEnd"/>
            <w:r w:rsidR="001F6AA1" w:rsidRPr="00B5027D">
              <w:t xml:space="preserve"> identified by the PLAC.”</w:t>
            </w:r>
          </w:p>
        </w:tc>
        <w:tc>
          <w:tcPr>
            <w:tcW w:w="4510" w:type="dxa"/>
          </w:tcPr>
          <w:p w14:paraId="108D0C47" w14:textId="75AE1FCB" w:rsidR="00BE1DBC" w:rsidRPr="00B5027D" w:rsidRDefault="00BE1DBC" w:rsidP="00B5027D">
            <w:r w:rsidRPr="00B5027D">
              <w:t>“</w:t>
            </w:r>
            <w:r w:rsidR="00A76542" w:rsidRPr="00B5027D">
              <w:t xml:space="preserve">The Prostheses List Clinical Advisory Groups (CAGS) are sub-committees of the Prostheses List Advisory Committee (PLAC). The sub-committees are composed of a Chair, individuals with contemporary subject matter expertise, and additional skills </w:t>
            </w:r>
            <w:proofErr w:type="gramStart"/>
            <w:r w:rsidR="00A76542" w:rsidRPr="00B5027D">
              <w:t>where</w:t>
            </w:r>
            <w:proofErr w:type="gramEnd"/>
            <w:r w:rsidR="00A76542" w:rsidRPr="00B5027D">
              <w:t xml:space="preserve"> identified by the PLAC.”</w:t>
            </w:r>
          </w:p>
        </w:tc>
      </w:tr>
    </w:tbl>
    <w:p w14:paraId="05934668" w14:textId="77777777" w:rsidR="006C51B8" w:rsidRPr="00D2484E" w:rsidRDefault="005033C2" w:rsidP="00B5027D">
      <w:r w:rsidRPr="00D2484E">
        <w:t>T</w:t>
      </w:r>
      <w:r w:rsidR="00401ED3" w:rsidRPr="00D2484E">
        <w:t>here are 27 Panellists, comprising specialisations in Ear, Nose and Throat; General Miscellaneous; Neurosurgical; Plastic and Reconstructive; and Urogenital</w:t>
      </w:r>
      <w:r w:rsidR="003A0E61" w:rsidRPr="00D2484E">
        <w:t>, for which there are no CAGs</w:t>
      </w:r>
      <w:r w:rsidR="00401ED3" w:rsidRPr="00D2484E">
        <w:t xml:space="preserve">. </w:t>
      </w:r>
    </w:p>
    <w:p w14:paraId="72E849CB" w14:textId="310CE810" w:rsidR="00552154" w:rsidRPr="00D2484E" w:rsidRDefault="00552154" w:rsidP="00B5027D">
      <w:r w:rsidRPr="00D2484E">
        <w:t xml:space="preserve">A list of </w:t>
      </w:r>
      <w:r w:rsidR="000E50D7" w:rsidRPr="00D2484E">
        <w:t>Panellists</w:t>
      </w:r>
      <w:r w:rsidRPr="00D2484E">
        <w:t xml:space="preserve"> is provided at </w:t>
      </w:r>
      <w:r w:rsidRPr="00D2484E">
        <w:fldChar w:fldCharType="begin"/>
      </w:r>
      <w:r w:rsidRPr="00D2484E">
        <w:instrText xml:space="preserve"> REF _Ref77065824 \h </w:instrText>
      </w:r>
      <w:r w:rsidR="00895537" w:rsidRPr="00D2484E">
        <w:instrText xml:space="preserve"> \* MERGEFORMAT </w:instrText>
      </w:r>
      <w:r w:rsidRPr="00D2484E">
        <w:fldChar w:fldCharType="separate"/>
      </w:r>
      <w:r w:rsidR="00475597" w:rsidRPr="00D2484E">
        <w:t xml:space="preserve">Appendix </w:t>
      </w:r>
      <w:r w:rsidRPr="00D2484E">
        <w:fldChar w:fldCharType="end"/>
      </w:r>
      <w:r w:rsidR="00743B75" w:rsidRPr="00D2484E">
        <w:t>E</w:t>
      </w:r>
      <w:r w:rsidRPr="00D2484E">
        <w:t>.</w:t>
      </w:r>
    </w:p>
    <w:p w14:paraId="5C85D0ED" w14:textId="3144D39A" w:rsidR="00292143" w:rsidRPr="00D2484E" w:rsidRDefault="00910651" w:rsidP="00B5027D">
      <w:r w:rsidRPr="00D2484E">
        <w:t>Despite these similarities in definition, s</w:t>
      </w:r>
      <w:r w:rsidR="00401ED3" w:rsidRPr="00D2484E">
        <w:t>takeholders consulted generally did not view the Panel as a sub-committee of the PLAC</w:t>
      </w:r>
      <w:r w:rsidRPr="00D2484E">
        <w:t xml:space="preserve"> in practice</w:t>
      </w:r>
      <w:r w:rsidR="00401ED3" w:rsidRPr="00D2484E">
        <w:t>, but rather a stand-alone resource which is not involved in the advisory responsibilities in the same way as CAGs</w:t>
      </w:r>
      <w:r w:rsidRPr="00D2484E">
        <w:t>.</w:t>
      </w:r>
      <w:r w:rsidR="003A0E61" w:rsidRPr="00D2484E">
        <w:t xml:space="preserve"> </w:t>
      </w:r>
      <w:r w:rsidRPr="00D2484E">
        <w:t xml:space="preserve">It was </w:t>
      </w:r>
      <w:r w:rsidR="00401ED3" w:rsidRPr="00D2484E">
        <w:t xml:space="preserve">reported </w:t>
      </w:r>
      <w:r w:rsidRPr="00D2484E">
        <w:t>that there are no</w:t>
      </w:r>
      <w:r w:rsidR="00401ED3" w:rsidRPr="00D2484E">
        <w:t xml:space="preserve"> Panel meetings or reporting obligations</w:t>
      </w:r>
      <w:r w:rsidR="000E50D7" w:rsidRPr="00D2484E">
        <w:t>.</w:t>
      </w:r>
    </w:p>
    <w:p w14:paraId="2FF785A5" w14:textId="77777777" w:rsidR="002141DD" w:rsidRPr="00C470B6" w:rsidRDefault="002141DD" w:rsidP="002242CA">
      <w:pPr>
        <w:pStyle w:val="Heading4"/>
      </w:pPr>
      <w:r w:rsidRPr="00C470B6">
        <w:t>Health Economics Sub-committee</w:t>
      </w:r>
    </w:p>
    <w:p w14:paraId="42C67597" w14:textId="1C309F8D" w:rsidR="004E2039" w:rsidRPr="00D2484E" w:rsidRDefault="002141DD" w:rsidP="00B5027D">
      <w:r w:rsidRPr="00D2484E">
        <w:t xml:space="preserve">The </w:t>
      </w:r>
      <w:r w:rsidRPr="00D2484E">
        <w:rPr>
          <w:i/>
        </w:rPr>
        <w:t>PLAC Operating Guidelines</w:t>
      </w:r>
      <w:r w:rsidRPr="00D2484E">
        <w:t xml:space="preserve"> refer to the existence of a Health Economics Sub-committee (HESC)</w:t>
      </w:r>
      <w:r w:rsidR="002F6C91" w:rsidRPr="00D2484E">
        <w:t xml:space="preserve">. </w:t>
      </w:r>
      <w:r w:rsidR="008D76EB" w:rsidRPr="00D2484E">
        <w:t xml:space="preserve">However, </w:t>
      </w:r>
      <w:r w:rsidRPr="00D2484E">
        <w:t>the HESC is no</w:t>
      </w:r>
      <w:r w:rsidR="00194245" w:rsidRPr="00D2484E">
        <w:t xml:space="preserve"> longer o</w:t>
      </w:r>
      <w:r w:rsidRPr="00D2484E">
        <w:t xml:space="preserve">perational. </w:t>
      </w:r>
    </w:p>
    <w:p w14:paraId="51DB1113" w14:textId="1AD71E1D" w:rsidR="00901B6E" w:rsidRPr="00D2484E" w:rsidRDefault="004015A9" w:rsidP="00B5027D">
      <w:r w:rsidRPr="00D2484E">
        <w:lastRenderedPageBreak/>
        <w:t xml:space="preserve">There were differing levels of awareness </w:t>
      </w:r>
      <w:r w:rsidR="009361EC" w:rsidRPr="00D2484E">
        <w:t>of</w:t>
      </w:r>
      <w:r w:rsidR="002141DD" w:rsidRPr="00D2484E">
        <w:t xml:space="preserve"> the HESC’s status, </w:t>
      </w:r>
      <w:r w:rsidR="009361EC" w:rsidRPr="00D2484E">
        <w:t>including</w:t>
      </w:r>
      <w:r w:rsidR="002141DD" w:rsidRPr="00D2484E">
        <w:t xml:space="preserve"> some </w:t>
      </w:r>
      <w:r w:rsidR="009361EC" w:rsidRPr="00D2484E">
        <w:t xml:space="preserve">stakeholders that were </w:t>
      </w:r>
      <w:r w:rsidR="002141DD" w:rsidRPr="00D2484E">
        <w:t xml:space="preserve">unaware of its initial existence, </w:t>
      </w:r>
      <w:r w:rsidR="003C340C" w:rsidRPr="00D2484E">
        <w:t xml:space="preserve">and others unaware of </w:t>
      </w:r>
      <w:r w:rsidR="002141DD" w:rsidRPr="00D2484E">
        <w:t xml:space="preserve">its conclusion </w:t>
      </w:r>
      <w:r w:rsidR="00E92D61" w:rsidRPr="00D2484E">
        <w:t>around</w:t>
      </w:r>
      <w:r w:rsidR="002141DD" w:rsidRPr="00D2484E">
        <w:t xml:space="preserve"> 2018. </w:t>
      </w:r>
      <w:r w:rsidR="007B13C9" w:rsidRPr="00D2484E">
        <w:t>The HESC had four members immediately prior to its conclusion.</w:t>
      </w:r>
    </w:p>
    <w:p w14:paraId="45CED1AC" w14:textId="27F94CBC" w:rsidR="002141DD" w:rsidRPr="00D2484E" w:rsidRDefault="006F32F4" w:rsidP="00B5027D">
      <w:r w:rsidRPr="00D2484E">
        <w:t xml:space="preserve">The current </w:t>
      </w:r>
      <w:r w:rsidR="004B0AB7" w:rsidRPr="00D2484E">
        <w:t xml:space="preserve">health economics expertise </w:t>
      </w:r>
      <w:r w:rsidR="0045764E" w:rsidRPr="00D2484E">
        <w:t xml:space="preserve">directly </w:t>
      </w:r>
      <w:r w:rsidR="004B0AB7" w:rsidRPr="00D2484E">
        <w:t xml:space="preserve">accessible to the PLAC </w:t>
      </w:r>
      <w:r w:rsidR="0008399C" w:rsidRPr="00D2484E">
        <w:t xml:space="preserve">is a single </w:t>
      </w:r>
      <w:r w:rsidR="002141DD" w:rsidRPr="00D2484E">
        <w:t>health economist</w:t>
      </w:r>
      <w:r w:rsidR="0008399C" w:rsidRPr="00D2484E">
        <w:t xml:space="preserve"> on the committee</w:t>
      </w:r>
      <w:r w:rsidR="0045764E" w:rsidRPr="00D2484E">
        <w:t>. However,</w:t>
      </w:r>
      <w:r w:rsidR="007B13C9" w:rsidRPr="00D2484E">
        <w:t xml:space="preserve"> three </w:t>
      </w:r>
      <w:r w:rsidRPr="00D2484E">
        <w:t xml:space="preserve">former </w:t>
      </w:r>
      <w:r w:rsidR="007B13C9" w:rsidRPr="00D2484E">
        <w:t xml:space="preserve">members of the HESC remain on the </w:t>
      </w:r>
      <w:proofErr w:type="gramStart"/>
      <w:r w:rsidR="007B13C9" w:rsidRPr="00D2484E">
        <w:t>PLAC</w:t>
      </w:r>
      <w:r w:rsidR="003D47DE" w:rsidRPr="00D2484E">
        <w:t>, but</w:t>
      </w:r>
      <w:proofErr w:type="gramEnd"/>
      <w:r w:rsidR="003D47DE" w:rsidRPr="00D2484E">
        <w:t xml:space="preserve"> are not identified as health economists</w:t>
      </w:r>
      <w:r w:rsidR="007B13C9" w:rsidRPr="00D2484E">
        <w:t xml:space="preserve">. </w:t>
      </w:r>
    </w:p>
    <w:p w14:paraId="2A4E9F4F" w14:textId="65FA12D0" w:rsidR="002141DD" w:rsidRPr="00D2484E" w:rsidRDefault="00C3403A" w:rsidP="00B5027D">
      <w:r w:rsidRPr="00D2484E">
        <w:t>As such,</w:t>
      </w:r>
      <w:r w:rsidR="002141DD" w:rsidRPr="00D2484E">
        <w:t xml:space="preserve"> matters requiring health economic skills are</w:t>
      </w:r>
      <w:r w:rsidRPr="00D2484E">
        <w:t xml:space="preserve"> now</w:t>
      </w:r>
      <w:r w:rsidR="002141DD" w:rsidRPr="00D2484E">
        <w:t xml:space="preserve"> </w:t>
      </w:r>
      <w:r w:rsidR="003C340C" w:rsidRPr="00D2484E">
        <w:t xml:space="preserve">generally </w:t>
      </w:r>
      <w:r w:rsidR="002141DD" w:rsidRPr="00D2484E">
        <w:t>referred to MSAC. This arrangement</w:t>
      </w:r>
      <w:r w:rsidR="00F213F3" w:rsidRPr="00D2484E">
        <w:t xml:space="preserve"> between </w:t>
      </w:r>
      <w:r w:rsidR="00E916CE" w:rsidRPr="00D2484E">
        <w:t xml:space="preserve">the </w:t>
      </w:r>
      <w:r w:rsidR="00F213F3" w:rsidRPr="00D2484E">
        <w:t xml:space="preserve">PLAC and the </w:t>
      </w:r>
      <w:r w:rsidR="007B13C9" w:rsidRPr="00D2484E">
        <w:t xml:space="preserve">MSAC </w:t>
      </w:r>
      <w:r w:rsidR="001D3973" w:rsidRPr="00D2484E">
        <w:t>was</w:t>
      </w:r>
      <w:r w:rsidR="002141DD" w:rsidRPr="00D2484E">
        <w:t xml:space="preserve"> </w:t>
      </w:r>
      <w:r w:rsidR="00A95386" w:rsidRPr="00D2484E">
        <w:t xml:space="preserve">stated </w:t>
      </w:r>
      <w:r w:rsidR="002141DD" w:rsidRPr="00D2484E">
        <w:t>to work well</w:t>
      </w:r>
      <w:r w:rsidR="007B13C9" w:rsidRPr="00D2484E">
        <w:t xml:space="preserve">, although </w:t>
      </w:r>
      <w:r w:rsidR="003C0754" w:rsidRPr="00D2484E">
        <w:t>this functional relationship could be strengthened</w:t>
      </w:r>
      <w:r w:rsidR="002141DD" w:rsidRPr="00D2484E">
        <w:t xml:space="preserve">. </w:t>
      </w:r>
    </w:p>
    <w:p w14:paraId="1894189B" w14:textId="54F80A81" w:rsidR="00414426" w:rsidRPr="00C470B6" w:rsidRDefault="007A3A92" w:rsidP="002242CA">
      <w:pPr>
        <w:pStyle w:val="Heading4"/>
      </w:pPr>
      <w:r w:rsidRPr="00C470B6">
        <w:t>Consumer representative</w:t>
      </w:r>
      <w:r w:rsidR="001A004A" w:rsidRPr="00C470B6">
        <w:t>s</w:t>
      </w:r>
    </w:p>
    <w:p w14:paraId="0B602A40" w14:textId="45B0A9DA" w:rsidR="00461FAF" w:rsidRPr="00D2484E" w:rsidRDefault="001B24EC" w:rsidP="00B5027D">
      <w:r w:rsidRPr="00D2484E">
        <w:t xml:space="preserve">Consumer representatives </w:t>
      </w:r>
      <w:r w:rsidR="004B239E" w:rsidRPr="00D2484E">
        <w:t xml:space="preserve">are not </w:t>
      </w:r>
      <w:r w:rsidR="005940F0" w:rsidRPr="00D2484E">
        <w:t xml:space="preserve">said </w:t>
      </w:r>
      <w:r w:rsidR="00767920" w:rsidRPr="00D2484E">
        <w:t xml:space="preserve">to detract from </w:t>
      </w:r>
      <w:r w:rsidR="003B67E4" w:rsidRPr="00D2484E">
        <w:t xml:space="preserve">the PLAC’s achievement of its </w:t>
      </w:r>
      <w:r w:rsidR="00683A7C" w:rsidRPr="00D2484E">
        <w:t>purpose</w:t>
      </w:r>
      <w:r w:rsidR="003B67E4" w:rsidRPr="00D2484E">
        <w:t xml:space="preserve">. </w:t>
      </w:r>
      <w:r w:rsidR="00620E81" w:rsidRPr="00D2484E">
        <w:t xml:space="preserve">The PLAC </w:t>
      </w:r>
      <w:r w:rsidR="00461FAF" w:rsidRPr="00D2484E">
        <w:t xml:space="preserve">parent committee </w:t>
      </w:r>
      <w:r w:rsidR="00620E81" w:rsidRPr="00D2484E">
        <w:t xml:space="preserve">is currently represented by a single </w:t>
      </w:r>
      <w:r w:rsidR="004B3007" w:rsidRPr="00D2484E">
        <w:t xml:space="preserve">independent </w:t>
      </w:r>
      <w:r w:rsidR="00620E81" w:rsidRPr="00D2484E">
        <w:t>consumer representative</w:t>
      </w:r>
      <w:r w:rsidR="004B3007" w:rsidRPr="00D2484E">
        <w:t xml:space="preserve"> (</w:t>
      </w:r>
      <w:proofErr w:type="gramStart"/>
      <w:r w:rsidR="004B3007" w:rsidRPr="00D2484E">
        <w:t>i.e.</w:t>
      </w:r>
      <w:proofErr w:type="gramEnd"/>
      <w:r w:rsidR="004B3007" w:rsidRPr="00D2484E">
        <w:t xml:space="preserve"> not representative of a consumer group)</w:t>
      </w:r>
      <w:r w:rsidR="00461FAF" w:rsidRPr="00D2484E">
        <w:t xml:space="preserve">, while consumer representatives also sit on each CAG. </w:t>
      </w:r>
    </w:p>
    <w:p w14:paraId="32A19A3F" w14:textId="3F387CB6" w:rsidR="00865601" w:rsidRPr="00D2484E" w:rsidRDefault="00DE4F12" w:rsidP="00B5027D">
      <w:r w:rsidRPr="00D2484E">
        <w:t>Having just a</w:t>
      </w:r>
      <w:r w:rsidR="00E5414B" w:rsidRPr="00D2484E">
        <w:t xml:space="preserve"> single consumer representative </w:t>
      </w:r>
      <w:r w:rsidR="00EC1C52" w:rsidRPr="00D2484E">
        <w:t>on</w:t>
      </w:r>
      <w:r w:rsidR="0047775C" w:rsidRPr="00D2484E">
        <w:t xml:space="preserve"> the</w:t>
      </w:r>
      <w:r w:rsidR="00EC1C52" w:rsidRPr="00D2484E">
        <w:t xml:space="preserve"> PLAC </w:t>
      </w:r>
      <w:r w:rsidRPr="00D2484E">
        <w:t>was suggested</w:t>
      </w:r>
      <w:r w:rsidR="006D4352" w:rsidRPr="00D2484E">
        <w:t xml:space="preserve"> </w:t>
      </w:r>
      <w:r w:rsidR="00F55EFF" w:rsidRPr="00D2484E">
        <w:t xml:space="preserve">by stakeholders as being </w:t>
      </w:r>
      <w:r w:rsidR="006D4352" w:rsidRPr="00D2484E">
        <w:t xml:space="preserve">less than </w:t>
      </w:r>
      <w:r w:rsidR="00E5414B" w:rsidRPr="00D2484E">
        <w:t xml:space="preserve">ideal, given the </w:t>
      </w:r>
      <w:r w:rsidR="006A039B" w:rsidRPr="00D2484E">
        <w:t xml:space="preserve">importance </w:t>
      </w:r>
      <w:r w:rsidR="00CA54B1" w:rsidRPr="00D2484E">
        <w:t xml:space="preserve">for the PLAC to consider consumer needs </w:t>
      </w:r>
      <w:proofErr w:type="gramStart"/>
      <w:r w:rsidR="00CA54B1" w:rsidRPr="00D2484E">
        <w:t>and also</w:t>
      </w:r>
      <w:proofErr w:type="gramEnd"/>
      <w:r w:rsidR="00CA54B1" w:rsidRPr="00D2484E">
        <w:t xml:space="preserve"> the difficulty for a single consumer representative to </w:t>
      </w:r>
      <w:r w:rsidR="00E95B11" w:rsidRPr="00D2484E">
        <w:t xml:space="preserve">understand the </w:t>
      </w:r>
      <w:r w:rsidR="00E5414B" w:rsidRPr="00D2484E">
        <w:t>complexities of HTA</w:t>
      </w:r>
      <w:r w:rsidR="00972617" w:rsidRPr="00D2484E">
        <w:t>s</w:t>
      </w:r>
      <w:r w:rsidR="00E95B11" w:rsidRPr="00D2484E">
        <w:t>.</w:t>
      </w:r>
      <w:r w:rsidR="00865601" w:rsidRPr="00D2484E">
        <w:t xml:space="preserve"> An alternative suggest</w:t>
      </w:r>
      <w:r w:rsidR="0077416C" w:rsidRPr="00D2484E">
        <w:t>ion</w:t>
      </w:r>
      <w:r w:rsidR="00865601" w:rsidRPr="00D2484E">
        <w:t xml:space="preserve"> was to increase the number of consumer representatives </w:t>
      </w:r>
      <w:r w:rsidR="00CC02CC" w:rsidRPr="00D2484E">
        <w:t xml:space="preserve">on the PLAC </w:t>
      </w:r>
      <w:r w:rsidR="00865601" w:rsidRPr="00D2484E">
        <w:t xml:space="preserve">from one </w:t>
      </w:r>
      <w:proofErr w:type="gramStart"/>
      <w:r w:rsidR="00865601" w:rsidRPr="00D2484E">
        <w:t>to  three</w:t>
      </w:r>
      <w:proofErr w:type="gramEnd"/>
      <w:r w:rsidR="00865601" w:rsidRPr="00D2484E">
        <w:t xml:space="preserve"> </w:t>
      </w:r>
      <w:r w:rsidR="00CC02CC" w:rsidRPr="00D2484E">
        <w:t xml:space="preserve">(in addition to the consumer representatives that are on the CAGs) </w:t>
      </w:r>
      <w:r w:rsidR="00865601" w:rsidRPr="00D2484E">
        <w:t>so that a diverse range of views, expertise and skills may be considered</w:t>
      </w:r>
      <w:r w:rsidR="00CC02CC" w:rsidRPr="00D2484E">
        <w:t xml:space="preserve"> by the PLAC</w:t>
      </w:r>
      <w:r w:rsidR="00865601" w:rsidRPr="00D2484E">
        <w:t xml:space="preserve">. </w:t>
      </w:r>
    </w:p>
    <w:p w14:paraId="0B8053AC" w14:textId="3A755AF5" w:rsidR="00C07EC6" w:rsidRPr="00D2484E" w:rsidRDefault="00DF6557" w:rsidP="00510194">
      <w:pPr>
        <w:pStyle w:val="EYHeading3"/>
      </w:pPr>
      <w:r w:rsidRPr="00D2484E">
        <w:t xml:space="preserve"> </w:t>
      </w:r>
      <w:bookmarkStart w:id="120" w:name="_Ref76635296"/>
      <w:r w:rsidR="00712C30" w:rsidRPr="00D2484E">
        <w:t>R</w:t>
      </w:r>
      <w:r w:rsidR="00683A7C" w:rsidRPr="00D2484E">
        <w:t>ole</w:t>
      </w:r>
      <w:r w:rsidR="00C07EC6" w:rsidRPr="00D2484E">
        <w:t>s</w:t>
      </w:r>
      <w:bookmarkEnd w:id="120"/>
    </w:p>
    <w:p w14:paraId="7588A93B" w14:textId="4C395C22" w:rsidR="00083ACE" w:rsidRPr="00D2484E" w:rsidRDefault="00E6555C" w:rsidP="00B5027D">
      <w:r w:rsidRPr="00D2484E">
        <w:t xml:space="preserve">The roles and responsibilities of </w:t>
      </w:r>
      <w:r w:rsidR="00410428" w:rsidRPr="00D2484E">
        <w:t xml:space="preserve">individuals </w:t>
      </w:r>
      <w:r w:rsidR="00803657" w:rsidRPr="00D2484E">
        <w:t xml:space="preserve">on the </w:t>
      </w:r>
      <w:r w:rsidR="003D73C3" w:rsidRPr="00D2484E">
        <w:t xml:space="preserve">PLAC </w:t>
      </w:r>
      <w:r w:rsidR="007D6651" w:rsidRPr="00D2484E">
        <w:t>parent committee</w:t>
      </w:r>
      <w:r w:rsidR="003D73C3" w:rsidRPr="00D2484E">
        <w:t xml:space="preserve"> </w:t>
      </w:r>
      <w:r w:rsidR="005940F0" w:rsidRPr="00D2484E">
        <w:t>appear</w:t>
      </w:r>
      <w:r w:rsidR="00410428" w:rsidRPr="00D2484E">
        <w:t xml:space="preserve"> to </w:t>
      </w:r>
      <w:r w:rsidR="003F17D4" w:rsidRPr="00D2484E">
        <w:t>be</w:t>
      </w:r>
      <w:r w:rsidR="00410428" w:rsidRPr="00D2484E">
        <w:t xml:space="preserve"> </w:t>
      </w:r>
      <w:r w:rsidR="003D73C3" w:rsidRPr="00D2484E">
        <w:t>unclear</w:t>
      </w:r>
      <w:r w:rsidR="00BB1D59" w:rsidRPr="00D2484E">
        <w:t xml:space="preserve">. </w:t>
      </w:r>
      <w:r w:rsidR="00145F0D" w:rsidRPr="00D2484E">
        <w:t xml:space="preserve">Although the role of the Chair was well understood, </w:t>
      </w:r>
      <w:r w:rsidR="004C5274" w:rsidRPr="00D2484E">
        <w:t>stakeholders consulted</w:t>
      </w:r>
      <w:r w:rsidR="00BB1D59" w:rsidRPr="00D2484E">
        <w:t xml:space="preserve"> demonstrated little clarity as to </w:t>
      </w:r>
      <w:r w:rsidR="00EB5278" w:rsidRPr="00D2484E">
        <w:t xml:space="preserve">the </w:t>
      </w:r>
      <w:r w:rsidR="00211B99" w:rsidRPr="00D2484E">
        <w:t xml:space="preserve">specific </w:t>
      </w:r>
      <w:r w:rsidR="00EB5278" w:rsidRPr="00D2484E">
        <w:t>responsibilities of</w:t>
      </w:r>
      <w:r w:rsidR="00133A3A" w:rsidRPr="00D2484E">
        <w:t xml:space="preserve"> </w:t>
      </w:r>
      <w:r w:rsidR="00145F0D" w:rsidRPr="00D2484E">
        <w:t>other roles, including the distinction between members and non-members</w:t>
      </w:r>
      <w:r w:rsidR="004E5269" w:rsidRPr="00D2484E">
        <w:t>, and experts and advisors</w:t>
      </w:r>
      <w:r w:rsidR="00145F0D" w:rsidRPr="00D2484E">
        <w:t>.</w:t>
      </w:r>
      <w:r w:rsidR="00133A3A" w:rsidRPr="00D2484E">
        <w:t xml:space="preserve"> </w:t>
      </w:r>
      <w:r w:rsidR="00DF425A" w:rsidRPr="00D2484E">
        <w:t xml:space="preserve">A closer examination of key governance documents, including the </w:t>
      </w:r>
      <w:r w:rsidR="00056B73" w:rsidRPr="00D2484E">
        <w:rPr>
          <w:i/>
        </w:rPr>
        <w:t>PLAC</w:t>
      </w:r>
      <w:r w:rsidR="00056B73" w:rsidRPr="00D2484E">
        <w:t xml:space="preserve"> </w:t>
      </w:r>
      <w:r w:rsidR="00DF425A" w:rsidRPr="00D2484E">
        <w:rPr>
          <w:i/>
        </w:rPr>
        <w:t xml:space="preserve">Terms of Reference, </w:t>
      </w:r>
      <w:r w:rsidR="00056B73" w:rsidRPr="00D2484E">
        <w:rPr>
          <w:i/>
        </w:rPr>
        <w:t>PLAC</w:t>
      </w:r>
      <w:r w:rsidR="00056B73" w:rsidRPr="00D2484E">
        <w:t xml:space="preserve"> </w:t>
      </w:r>
      <w:r w:rsidR="00DF425A" w:rsidRPr="00D2484E">
        <w:rPr>
          <w:i/>
        </w:rPr>
        <w:t>Operational Guidelines</w:t>
      </w:r>
      <w:r w:rsidR="00DF425A" w:rsidRPr="00D2484E">
        <w:t xml:space="preserve"> and </w:t>
      </w:r>
      <w:r w:rsidR="00124D6A" w:rsidRPr="00D2484E">
        <w:t>other</w:t>
      </w:r>
      <w:r w:rsidR="00DF425A" w:rsidRPr="00D2484E">
        <w:t xml:space="preserve"> publicly available information, </w:t>
      </w:r>
      <w:r w:rsidR="009C3C22" w:rsidRPr="00D2484E">
        <w:t>demonstrate</w:t>
      </w:r>
      <w:r w:rsidR="00124D6A" w:rsidRPr="00D2484E">
        <w:t>s</w:t>
      </w:r>
      <w:r w:rsidR="009C3C22" w:rsidRPr="00D2484E">
        <w:t xml:space="preserve"> an </w:t>
      </w:r>
      <w:r w:rsidR="00083ACE" w:rsidRPr="00D2484E">
        <w:t>incongruence</w:t>
      </w:r>
      <w:r w:rsidR="00DC6A97" w:rsidRPr="00D2484E">
        <w:t xml:space="preserve"> </w:t>
      </w:r>
      <w:r w:rsidR="002B65BB" w:rsidRPr="00D2484E">
        <w:t xml:space="preserve">in </w:t>
      </w:r>
      <w:r w:rsidR="00124D6A" w:rsidRPr="00D2484E">
        <w:t>how</w:t>
      </w:r>
      <w:r w:rsidR="002B65BB" w:rsidRPr="00D2484E">
        <w:t xml:space="preserve"> roles </w:t>
      </w:r>
      <w:r w:rsidR="00124D6A" w:rsidRPr="00D2484E">
        <w:t xml:space="preserve">are defined. </w:t>
      </w:r>
    </w:p>
    <w:p w14:paraId="6D583F4E" w14:textId="38F4B4AD" w:rsidR="00B21D2D" w:rsidRPr="00D2484E" w:rsidRDefault="00DB7606" w:rsidP="00B5027D">
      <w:r w:rsidRPr="00D2484E">
        <w:t xml:space="preserve">Inconsistency between these sources has likely contributed to confusion between </w:t>
      </w:r>
      <w:r w:rsidR="00B21D2D" w:rsidRPr="00D2484E">
        <w:t>m</w:t>
      </w:r>
      <w:r w:rsidRPr="00D2484E">
        <w:t xml:space="preserve">embers </w:t>
      </w:r>
      <w:r w:rsidR="00B21D2D" w:rsidRPr="00D2484E">
        <w:t xml:space="preserve">of different types </w:t>
      </w:r>
      <w:r w:rsidRPr="00D2484E">
        <w:t xml:space="preserve">in how they </w:t>
      </w:r>
      <w:r w:rsidR="00B21D2D" w:rsidRPr="00D2484E">
        <w:t>should</w:t>
      </w:r>
      <w:r w:rsidRPr="00D2484E">
        <w:t xml:space="preserve"> fulfill the PLAC’s intended </w:t>
      </w:r>
      <w:r w:rsidR="00683A7C" w:rsidRPr="00D2484E">
        <w:t>purpose</w:t>
      </w:r>
      <w:r w:rsidRPr="00D2484E">
        <w:t xml:space="preserve">. </w:t>
      </w:r>
      <w:r w:rsidR="00B21D2D" w:rsidRPr="00D2484E">
        <w:t>There appears to be little restriction as to the level of engagement required for each role.</w:t>
      </w:r>
      <w:r w:rsidR="00F1577C" w:rsidRPr="00D2484E">
        <w:t xml:space="preserve"> </w:t>
      </w:r>
      <w:r w:rsidR="008D5A55" w:rsidRPr="00D2484E">
        <w:t>PLAC m</w:t>
      </w:r>
      <w:r w:rsidRPr="00D2484E">
        <w:t xml:space="preserve">eeting </w:t>
      </w:r>
      <w:r w:rsidR="008D5A55" w:rsidRPr="00D2484E">
        <w:t>m</w:t>
      </w:r>
      <w:r w:rsidRPr="00D2484E">
        <w:t xml:space="preserve">inutes </w:t>
      </w:r>
      <w:r w:rsidR="008D5A55" w:rsidRPr="00D2484E">
        <w:t xml:space="preserve">do not indicate any </w:t>
      </w:r>
      <w:r w:rsidR="00B21D2D" w:rsidRPr="00D2484E">
        <w:t>noticeable difference between the participation of members based on their membership type.</w:t>
      </w:r>
      <w:r w:rsidR="004239C9" w:rsidRPr="00D2484E">
        <w:t xml:space="preserve"> </w:t>
      </w:r>
    </w:p>
    <w:p w14:paraId="1CF845CF" w14:textId="0679F0A4" w:rsidR="005734DE" w:rsidRPr="00D2484E" w:rsidRDefault="004239C9" w:rsidP="00B5027D">
      <w:r w:rsidRPr="00D2484E">
        <w:t xml:space="preserve">The </w:t>
      </w:r>
      <w:r w:rsidR="00731551" w:rsidRPr="00D2484E">
        <w:t xml:space="preserve">existing documents relating to roles of different member types are described in more detail below. </w:t>
      </w:r>
    </w:p>
    <w:p w14:paraId="0035B72C" w14:textId="62BD8DDD" w:rsidR="00E1607D" w:rsidRPr="00C470B6" w:rsidRDefault="00083ACE" w:rsidP="002242CA">
      <w:pPr>
        <w:pStyle w:val="Heading4"/>
      </w:pPr>
      <w:r w:rsidRPr="00C470B6">
        <w:t>Terms of Reference</w:t>
      </w:r>
    </w:p>
    <w:p w14:paraId="44FF8D8E" w14:textId="7858DDFA" w:rsidR="00083ACE" w:rsidRPr="00D2484E" w:rsidRDefault="003714D2" w:rsidP="00B5027D">
      <w:r w:rsidRPr="00D2484E">
        <w:t xml:space="preserve">The </w:t>
      </w:r>
      <w:r w:rsidR="00056B73" w:rsidRPr="00D2484E">
        <w:rPr>
          <w:i/>
        </w:rPr>
        <w:t>PLAC</w:t>
      </w:r>
      <w:r w:rsidR="00056B73" w:rsidRPr="00D2484E">
        <w:t xml:space="preserve"> </w:t>
      </w:r>
      <w:r w:rsidRPr="00D2484E">
        <w:rPr>
          <w:i/>
        </w:rPr>
        <w:t xml:space="preserve">Terms of Reference </w:t>
      </w:r>
      <w:r w:rsidRPr="00D2484E">
        <w:t xml:space="preserve">identifies </w:t>
      </w:r>
      <w:r w:rsidR="007E2DA5" w:rsidRPr="00D2484E">
        <w:t xml:space="preserve">three </w:t>
      </w:r>
      <w:r w:rsidR="00411331" w:rsidRPr="00D2484E">
        <w:t xml:space="preserve">different roles: </w:t>
      </w:r>
    </w:p>
    <w:p w14:paraId="2A1805ED" w14:textId="259E6D49" w:rsidR="00411331" w:rsidRPr="00D2484E" w:rsidRDefault="00411331" w:rsidP="004D745D">
      <w:pPr>
        <w:pStyle w:val="EYBullet1"/>
      </w:pPr>
      <w:r w:rsidRPr="00D2484E">
        <w:t xml:space="preserve">Independent </w:t>
      </w:r>
      <w:proofErr w:type="gramStart"/>
      <w:r w:rsidRPr="00D2484E">
        <w:t>Chair</w:t>
      </w:r>
      <w:r w:rsidR="00E809B2" w:rsidRPr="00D2484E">
        <w:t>;</w:t>
      </w:r>
      <w:proofErr w:type="gramEnd"/>
    </w:p>
    <w:p w14:paraId="76A81263" w14:textId="326E87C2" w:rsidR="00411331" w:rsidRPr="00D2484E" w:rsidRDefault="00411331" w:rsidP="004D745D">
      <w:pPr>
        <w:pStyle w:val="EYBullet1"/>
      </w:pPr>
      <w:r w:rsidRPr="00D2484E">
        <w:t xml:space="preserve">Clinical and </w:t>
      </w:r>
      <w:r w:rsidR="00B41977" w:rsidRPr="00D2484E">
        <w:t>T</w:t>
      </w:r>
      <w:r w:rsidRPr="00D2484E">
        <w:t xml:space="preserve">echnical </w:t>
      </w:r>
      <w:r w:rsidR="00321D90" w:rsidRPr="00D2484E">
        <w:t>Expert Member</w:t>
      </w:r>
      <w:r w:rsidRPr="00D2484E">
        <w:t>s</w:t>
      </w:r>
      <w:r w:rsidR="00E809B2" w:rsidRPr="00D2484E">
        <w:t>; and</w:t>
      </w:r>
    </w:p>
    <w:p w14:paraId="28D65022" w14:textId="3BFD7EF2" w:rsidR="00411331" w:rsidRPr="00D2484E" w:rsidRDefault="00411331" w:rsidP="004D745D">
      <w:pPr>
        <w:pStyle w:val="EYBullet1"/>
      </w:pPr>
      <w:r w:rsidRPr="00D2484E">
        <w:t xml:space="preserve">Advisory </w:t>
      </w:r>
      <w:r w:rsidR="00B41977" w:rsidRPr="00D2484E">
        <w:t>M</w:t>
      </w:r>
      <w:r w:rsidRPr="00D2484E">
        <w:t>embers.</w:t>
      </w:r>
    </w:p>
    <w:p w14:paraId="02589D3B" w14:textId="0F116FCA" w:rsidR="00B153DB" w:rsidRPr="00D2484E" w:rsidRDefault="00B153DB" w:rsidP="00E45667">
      <w:r w:rsidRPr="00D2484E">
        <w:t xml:space="preserve">The </w:t>
      </w:r>
      <w:r w:rsidR="00056B73" w:rsidRPr="00D2484E">
        <w:rPr>
          <w:i/>
        </w:rPr>
        <w:t>PLAC</w:t>
      </w:r>
      <w:r w:rsidR="00056B73" w:rsidRPr="00D2484E">
        <w:t xml:space="preserve"> </w:t>
      </w:r>
      <w:r w:rsidRPr="00D2484E">
        <w:rPr>
          <w:i/>
        </w:rPr>
        <w:t>Terms of Reference</w:t>
      </w:r>
      <w:r w:rsidRPr="00D2484E">
        <w:t xml:space="preserve"> is largely </w:t>
      </w:r>
      <w:r w:rsidR="00FC1DED" w:rsidRPr="00D2484E">
        <w:t xml:space="preserve">silent </w:t>
      </w:r>
      <w:r w:rsidR="00534B35" w:rsidRPr="00D2484E">
        <w:t xml:space="preserve">on the specific skills or representation required by </w:t>
      </w:r>
      <w:r w:rsidR="004E46D6" w:rsidRPr="00D2484E">
        <w:t>each role</w:t>
      </w:r>
      <w:r w:rsidR="00F43894" w:rsidRPr="00D2484E">
        <w:t xml:space="preserve">. It states that </w:t>
      </w:r>
      <w:r w:rsidR="004E46D6" w:rsidRPr="00D2484E">
        <w:t>for</w:t>
      </w:r>
      <w:r w:rsidR="00534B35" w:rsidRPr="00D2484E">
        <w:t xml:space="preserve"> the PLAC to achieve its </w:t>
      </w:r>
      <w:r w:rsidR="00683A7C" w:rsidRPr="00D2484E">
        <w:t>purpose</w:t>
      </w:r>
      <w:r w:rsidR="00A16FA5" w:rsidRPr="00D2484E">
        <w:t xml:space="preserve">, </w:t>
      </w:r>
      <w:r w:rsidR="00F43894" w:rsidRPr="00D2484E">
        <w:t>it requires</w:t>
      </w:r>
      <w:r w:rsidR="006E0920" w:rsidRPr="00D2484E">
        <w:t xml:space="preserve"> those with ‘expertise in health technology assessment, specialist surgery/interventional work, health economics and consumer issues, and representatives of stakeholders in private </w:t>
      </w:r>
      <w:r w:rsidR="006E0920" w:rsidRPr="00D2484E">
        <w:lastRenderedPageBreak/>
        <w:t>health insurance</w:t>
      </w:r>
      <w:r w:rsidR="00AE6643" w:rsidRPr="00D2484E">
        <w:t>’</w:t>
      </w:r>
      <w:r w:rsidR="006E0920" w:rsidRPr="00D2484E">
        <w:t>.</w:t>
      </w:r>
      <w:r w:rsidR="00AE6643" w:rsidRPr="00D2484E">
        <w:rPr>
          <w:rStyle w:val="FootnoteReference"/>
          <w:rFonts w:ascii="Arial" w:hAnsi="Arial"/>
        </w:rPr>
        <w:footnoteReference w:id="12"/>
      </w:r>
      <w:r w:rsidR="00AE6643" w:rsidRPr="00D2484E">
        <w:t xml:space="preserve"> </w:t>
      </w:r>
      <w:r w:rsidR="004C36EC" w:rsidRPr="00D2484E">
        <w:t>However, i</w:t>
      </w:r>
      <w:r w:rsidR="00AE6643" w:rsidRPr="00D2484E">
        <w:t xml:space="preserve">t does not segment </w:t>
      </w:r>
      <w:r w:rsidR="00F946E3" w:rsidRPr="00D2484E">
        <w:t>roles according to these skills</w:t>
      </w:r>
      <w:r w:rsidR="007E2DA5" w:rsidRPr="00D2484E">
        <w:t xml:space="preserve">, nor does it provide guidance as to the responsibilities attached to each role. </w:t>
      </w:r>
    </w:p>
    <w:p w14:paraId="6C4A5392" w14:textId="77777777" w:rsidR="00403F55" w:rsidRPr="00C470B6" w:rsidRDefault="00004C69" w:rsidP="002242CA">
      <w:pPr>
        <w:pStyle w:val="Heading4"/>
      </w:pPr>
      <w:r w:rsidRPr="00C470B6">
        <w:t>Operational Guidelines</w:t>
      </w:r>
    </w:p>
    <w:p w14:paraId="0320E9E8" w14:textId="6CCA35A0" w:rsidR="00004C69" w:rsidRPr="00D2484E" w:rsidRDefault="00451DBA" w:rsidP="00E45667">
      <w:r w:rsidRPr="00D2484E">
        <w:t>The</w:t>
      </w:r>
      <w:r w:rsidR="00056B73" w:rsidRPr="00D2484E">
        <w:rPr>
          <w:i/>
        </w:rPr>
        <w:t xml:space="preserve"> PLAC</w:t>
      </w:r>
      <w:r w:rsidRPr="00D2484E">
        <w:t xml:space="preserve"> </w:t>
      </w:r>
      <w:r w:rsidRPr="00D2484E">
        <w:rPr>
          <w:i/>
        </w:rPr>
        <w:t>Operational Guidelines</w:t>
      </w:r>
      <w:r w:rsidRPr="00D2484E">
        <w:t xml:space="preserve"> </w:t>
      </w:r>
      <w:r w:rsidR="00B153DB" w:rsidRPr="00D2484E">
        <w:t xml:space="preserve">provides for three </w:t>
      </w:r>
      <w:r w:rsidR="00F946E3" w:rsidRPr="00D2484E">
        <w:t>role</w:t>
      </w:r>
      <w:r w:rsidR="007D547F" w:rsidRPr="00D2484E">
        <w:t xml:space="preserve"> types</w:t>
      </w:r>
      <w:r w:rsidR="00262A70" w:rsidRPr="00D2484E">
        <w:t xml:space="preserve"> and</w:t>
      </w:r>
      <w:r w:rsidR="003B7860" w:rsidRPr="00D2484E">
        <w:t xml:space="preserve"> </w:t>
      </w:r>
      <w:r w:rsidR="008D500F" w:rsidRPr="00D2484E">
        <w:t>up to 21 members</w:t>
      </w:r>
      <w:r w:rsidR="003B7860" w:rsidRPr="00D2484E">
        <w:t xml:space="preserve"> in total</w:t>
      </w:r>
      <w:r w:rsidR="00262A70" w:rsidRPr="00D2484E">
        <w:t>.</w:t>
      </w:r>
      <w:r w:rsidR="00541203" w:rsidRPr="00D2484E">
        <w:t xml:space="preserve"> It states</w:t>
      </w:r>
      <w:r w:rsidR="004C5274" w:rsidRPr="00D2484E">
        <w:t xml:space="preserve"> the </w:t>
      </w:r>
      <w:r w:rsidR="003B7860" w:rsidRPr="00D2484E">
        <w:t xml:space="preserve">number of participants eligible per role, and </w:t>
      </w:r>
      <w:r w:rsidR="00541203" w:rsidRPr="00D2484E">
        <w:t xml:space="preserve">that </w:t>
      </w:r>
      <w:r w:rsidR="003B7860" w:rsidRPr="00D2484E">
        <w:t xml:space="preserve">roles </w:t>
      </w:r>
      <w:r w:rsidR="00541203" w:rsidRPr="00D2484E">
        <w:t xml:space="preserve">should be </w:t>
      </w:r>
      <w:r w:rsidR="006846E4" w:rsidRPr="00D2484E">
        <w:t>allocated according to the member’s skill</w:t>
      </w:r>
      <w:r w:rsidR="004D6C0C" w:rsidRPr="00D2484E">
        <w:t>s</w:t>
      </w:r>
      <w:r w:rsidR="006846E4" w:rsidRPr="00D2484E">
        <w:t xml:space="preserve">, </w:t>
      </w:r>
      <w:proofErr w:type="gramStart"/>
      <w:r w:rsidR="00D9218B" w:rsidRPr="00D2484E">
        <w:t>specialisation</w:t>
      </w:r>
      <w:proofErr w:type="gramEnd"/>
      <w:r w:rsidR="00D9218B" w:rsidRPr="00D2484E">
        <w:t xml:space="preserve"> </w:t>
      </w:r>
      <w:r w:rsidR="006846E4" w:rsidRPr="00D2484E">
        <w:t xml:space="preserve">or </w:t>
      </w:r>
      <w:r w:rsidR="008D500F" w:rsidRPr="00D2484E">
        <w:t>representation</w:t>
      </w:r>
      <w:r w:rsidR="00F54A9E" w:rsidRPr="00D2484E">
        <w:t>.</w:t>
      </w:r>
      <w:r w:rsidR="001C214F" w:rsidRPr="00D2484E">
        <w:t xml:space="preserve"> </w:t>
      </w:r>
      <w:r w:rsidR="0063617F" w:rsidRPr="00D2484E">
        <w:t xml:space="preserve">The </w:t>
      </w:r>
      <w:r w:rsidR="00D443B3" w:rsidRPr="00D2484E">
        <w:t>composition is described as:</w:t>
      </w:r>
    </w:p>
    <w:p w14:paraId="18E78E2F" w14:textId="051781B7" w:rsidR="001C214F" w:rsidRPr="00831172" w:rsidRDefault="001C214F" w:rsidP="00831172">
      <w:pPr>
        <w:pStyle w:val="EYBullet1"/>
      </w:pPr>
      <w:r w:rsidRPr="00B5027D">
        <w:t xml:space="preserve">Independent </w:t>
      </w:r>
      <w:proofErr w:type="gramStart"/>
      <w:r w:rsidRPr="00B5027D">
        <w:t>C</w:t>
      </w:r>
      <w:r w:rsidRPr="00831172">
        <w:t>hair</w:t>
      </w:r>
      <w:r w:rsidR="00DD651E" w:rsidRPr="00831172">
        <w:t>;</w:t>
      </w:r>
      <w:proofErr w:type="gramEnd"/>
    </w:p>
    <w:p w14:paraId="7ECD712D" w14:textId="24783389" w:rsidR="00CF5CE2" w:rsidRPr="00831172" w:rsidRDefault="001C214F" w:rsidP="00831172">
      <w:pPr>
        <w:pStyle w:val="EYBullet1"/>
      </w:pPr>
      <w:r w:rsidRPr="00831172">
        <w:t xml:space="preserve">Expert </w:t>
      </w:r>
      <w:proofErr w:type="gramStart"/>
      <w:r w:rsidR="00321D90" w:rsidRPr="00831172">
        <w:t>M</w:t>
      </w:r>
      <w:r w:rsidRPr="00831172">
        <w:t>embers</w:t>
      </w:r>
      <w:r w:rsidR="00915BD5" w:rsidRPr="00831172">
        <w:t>;</w:t>
      </w:r>
      <w:proofErr w:type="gramEnd"/>
    </w:p>
    <w:p w14:paraId="6770B4C8" w14:textId="36DDACF0" w:rsidR="00CF5CE2" w:rsidRPr="00B5027D" w:rsidRDefault="00CF5CE2" w:rsidP="00831172">
      <w:pPr>
        <w:pStyle w:val="EYBullet2"/>
      </w:pPr>
      <w:r w:rsidRPr="00B5027D">
        <w:t xml:space="preserve">7 x </w:t>
      </w:r>
      <w:proofErr w:type="gramStart"/>
      <w:r w:rsidRPr="00B5027D">
        <w:t>clinicians</w:t>
      </w:r>
      <w:r w:rsidR="00DD651E" w:rsidRPr="00B5027D">
        <w:t>;</w:t>
      </w:r>
      <w:proofErr w:type="gramEnd"/>
    </w:p>
    <w:p w14:paraId="69D44DA5" w14:textId="1853F68B" w:rsidR="00CF5CE2" w:rsidRPr="00B5027D" w:rsidRDefault="00CF5CE2" w:rsidP="00831172">
      <w:pPr>
        <w:pStyle w:val="EYBullet2"/>
      </w:pPr>
      <w:r w:rsidRPr="00B5027D">
        <w:t xml:space="preserve">1 x health </w:t>
      </w:r>
      <w:proofErr w:type="gramStart"/>
      <w:r w:rsidRPr="00B5027D">
        <w:t>consumers</w:t>
      </w:r>
      <w:r w:rsidR="00DD651E" w:rsidRPr="00B5027D">
        <w:t>;</w:t>
      </w:r>
      <w:proofErr w:type="gramEnd"/>
    </w:p>
    <w:p w14:paraId="10B3AFDA" w14:textId="6825E0F3" w:rsidR="00CF5CE2" w:rsidRPr="00B5027D" w:rsidRDefault="00CF5CE2" w:rsidP="00831172">
      <w:pPr>
        <w:pStyle w:val="EYBullet2"/>
      </w:pPr>
      <w:r w:rsidRPr="00B5027D">
        <w:t xml:space="preserve">2 x health </w:t>
      </w:r>
      <w:proofErr w:type="gramStart"/>
      <w:r w:rsidRPr="00B5027D">
        <w:t>economists</w:t>
      </w:r>
      <w:r w:rsidR="00DD651E" w:rsidRPr="00B5027D">
        <w:t>;</w:t>
      </w:r>
      <w:proofErr w:type="gramEnd"/>
    </w:p>
    <w:p w14:paraId="586DE9CD" w14:textId="1033BBCC" w:rsidR="00CF5CE2" w:rsidRPr="00B5027D" w:rsidRDefault="00CF5CE2" w:rsidP="00831172">
      <w:pPr>
        <w:pStyle w:val="EYBullet2"/>
      </w:pPr>
      <w:r w:rsidRPr="00B5027D">
        <w:t xml:space="preserve">1 x </w:t>
      </w:r>
      <w:proofErr w:type="gramStart"/>
      <w:r w:rsidRPr="00B5027D">
        <w:t>epidemiologist</w:t>
      </w:r>
      <w:r w:rsidR="00DD651E" w:rsidRPr="00B5027D">
        <w:t>;</w:t>
      </w:r>
      <w:proofErr w:type="gramEnd"/>
    </w:p>
    <w:p w14:paraId="0BAF52BD" w14:textId="2BB83BB4" w:rsidR="00CF5CE2" w:rsidRPr="00B5027D" w:rsidRDefault="00CF5CE2" w:rsidP="00831172">
      <w:pPr>
        <w:pStyle w:val="EYBullet2"/>
      </w:pPr>
      <w:r w:rsidRPr="00B5027D">
        <w:t xml:space="preserve">1 x current MSAC </w:t>
      </w:r>
      <w:proofErr w:type="gramStart"/>
      <w:r w:rsidRPr="00B5027D">
        <w:t>member</w:t>
      </w:r>
      <w:r w:rsidR="00DD651E" w:rsidRPr="00B5027D">
        <w:t>;</w:t>
      </w:r>
      <w:proofErr w:type="gramEnd"/>
    </w:p>
    <w:p w14:paraId="06466C28" w14:textId="2F20F714" w:rsidR="001C214F" w:rsidRPr="00B5027D" w:rsidRDefault="00CF5CE2" w:rsidP="00831172">
      <w:pPr>
        <w:pStyle w:val="EYBullet2"/>
      </w:pPr>
      <w:r w:rsidRPr="00B5027D">
        <w:t>1 x medical bioengineer</w:t>
      </w:r>
      <w:r w:rsidR="00DD651E" w:rsidRPr="00B5027D">
        <w:t>;</w:t>
      </w:r>
      <w:r w:rsidR="00915BD5" w:rsidRPr="00B5027D">
        <w:t xml:space="preserve"> and</w:t>
      </w:r>
    </w:p>
    <w:p w14:paraId="56AFEE28" w14:textId="7A23B6E6" w:rsidR="001C214F" w:rsidRPr="00D2484E" w:rsidRDefault="001C214F" w:rsidP="006D2416">
      <w:pPr>
        <w:pStyle w:val="EYBullet1"/>
      </w:pPr>
      <w:r w:rsidRPr="00D2484E">
        <w:t xml:space="preserve">Advisory </w:t>
      </w:r>
      <w:proofErr w:type="gramStart"/>
      <w:r w:rsidR="00321D90" w:rsidRPr="00D2484E">
        <w:t>M</w:t>
      </w:r>
      <w:r w:rsidRPr="00D2484E">
        <w:t>embers</w:t>
      </w:r>
      <w:r w:rsidR="00DD651E" w:rsidRPr="00D2484E">
        <w:t>;</w:t>
      </w:r>
      <w:proofErr w:type="gramEnd"/>
    </w:p>
    <w:p w14:paraId="3D520DCA" w14:textId="32CF35CB" w:rsidR="00CF5CE2" w:rsidRPr="00B5027D" w:rsidRDefault="00CF5CE2" w:rsidP="00831172">
      <w:pPr>
        <w:pStyle w:val="EYBullet2"/>
      </w:pPr>
      <w:r w:rsidRPr="00B5027D">
        <w:t xml:space="preserve">1 x Therapeutic Good Administration </w:t>
      </w:r>
      <w:proofErr w:type="gramStart"/>
      <w:r w:rsidRPr="00B5027D">
        <w:t>officer</w:t>
      </w:r>
      <w:r w:rsidR="00DD651E" w:rsidRPr="00B5027D">
        <w:t>;</w:t>
      </w:r>
      <w:proofErr w:type="gramEnd"/>
    </w:p>
    <w:p w14:paraId="0FE7E377" w14:textId="524F8336" w:rsidR="00CF5CE2" w:rsidRPr="00B5027D" w:rsidRDefault="00CF5CE2" w:rsidP="00831172">
      <w:pPr>
        <w:pStyle w:val="EYBullet2"/>
      </w:pPr>
      <w:r w:rsidRPr="00B5027D">
        <w:t xml:space="preserve">2 x medical device industry </w:t>
      </w:r>
      <w:proofErr w:type="gramStart"/>
      <w:r w:rsidRPr="00B5027D">
        <w:t>representatives</w:t>
      </w:r>
      <w:r w:rsidR="00DD651E" w:rsidRPr="00B5027D">
        <w:t>;</w:t>
      </w:r>
      <w:proofErr w:type="gramEnd"/>
    </w:p>
    <w:p w14:paraId="4E0E00FB" w14:textId="4F699FFC" w:rsidR="00CF5CE2" w:rsidRPr="00B5027D" w:rsidRDefault="00CF5CE2" w:rsidP="00831172">
      <w:pPr>
        <w:pStyle w:val="EYBullet2"/>
      </w:pPr>
      <w:r w:rsidRPr="00B5027D">
        <w:t xml:space="preserve">2 x private health insurance </w:t>
      </w:r>
      <w:proofErr w:type="gramStart"/>
      <w:r w:rsidRPr="00B5027D">
        <w:t>representatives</w:t>
      </w:r>
      <w:r w:rsidR="00DD651E" w:rsidRPr="00B5027D">
        <w:t>;</w:t>
      </w:r>
      <w:proofErr w:type="gramEnd"/>
    </w:p>
    <w:p w14:paraId="654DD0A9" w14:textId="325DE4B7" w:rsidR="00CF5CE2" w:rsidRPr="00B5027D" w:rsidRDefault="00CF5CE2" w:rsidP="00831172">
      <w:pPr>
        <w:pStyle w:val="EYBullet2"/>
      </w:pPr>
      <w:r w:rsidRPr="00B5027D">
        <w:t xml:space="preserve">3 x private </w:t>
      </w:r>
      <w:r w:rsidR="001D02D1" w:rsidRPr="00B5027D">
        <w:t xml:space="preserve">hospital </w:t>
      </w:r>
      <w:r w:rsidRPr="00B5027D">
        <w:t>representatives</w:t>
      </w:r>
      <w:r w:rsidR="00915BD5" w:rsidRPr="00B5027D">
        <w:t>.</w:t>
      </w:r>
    </w:p>
    <w:p w14:paraId="6E05F373" w14:textId="0B598266" w:rsidR="00A32596" w:rsidRPr="00D2484E" w:rsidRDefault="00A32596" w:rsidP="00E45667">
      <w:r w:rsidRPr="00D2484E">
        <w:t xml:space="preserve">The </w:t>
      </w:r>
      <w:r w:rsidR="00261BC5" w:rsidRPr="00D2484E">
        <w:rPr>
          <w:i/>
        </w:rPr>
        <w:t>PLAC</w:t>
      </w:r>
      <w:r w:rsidRPr="00D2484E">
        <w:t xml:space="preserve"> </w:t>
      </w:r>
      <w:r w:rsidRPr="00D2484E">
        <w:rPr>
          <w:i/>
        </w:rPr>
        <w:t>Operational Guidelines</w:t>
      </w:r>
      <w:r w:rsidRPr="00D2484E">
        <w:t xml:space="preserve"> </w:t>
      </w:r>
      <w:r w:rsidR="00904236" w:rsidRPr="00D2484E">
        <w:t xml:space="preserve">only provide guidance as to the Chair’s </w:t>
      </w:r>
      <w:r w:rsidR="008B2044" w:rsidRPr="00D2484E">
        <w:t>responsibilities and</w:t>
      </w:r>
      <w:r w:rsidR="00BE2782" w:rsidRPr="00D2484E">
        <w:t xml:space="preserve"> restrict votership on matters related to listing of a device to </w:t>
      </w:r>
      <w:r w:rsidR="00321D90" w:rsidRPr="00D2484E">
        <w:t>Expert Member</w:t>
      </w:r>
      <w:r w:rsidR="00BE2782" w:rsidRPr="00D2484E">
        <w:t xml:space="preserve">s only. </w:t>
      </w:r>
    </w:p>
    <w:p w14:paraId="21868469" w14:textId="77777777" w:rsidR="00E77E1D" w:rsidRPr="00D2484E" w:rsidRDefault="00083ACE" w:rsidP="00E45667">
      <w:r w:rsidRPr="00D2484E">
        <w:t>Public documents</w:t>
      </w:r>
    </w:p>
    <w:p w14:paraId="551699C4" w14:textId="306A3ADF" w:rsidR="00C07EC6" w:rsidRPr="00D2484E" w:rsidRDefault="003B05CF" w:rsidP="00E45667">
      <w:r w:rsidRPr="00D2484E">
        <w:t>Official p</w:t>
      </w:r>
      <w:r w:rsidR="00CE71DC" w:rsidRPr="00D2484E">
        <w:t>ublic documents, such as the</w:t>
      </w:r>
      <w:r w:rsidR="00794F7C" w:rsidRPr="00D2484E">
        <w:t xml:space="preserve"> </w:t>
      </w:r>
      <w:r w:rsidR="00F007AA" w:rsidRPr="00D2484E">
        <w:t>Department</w:t>
      </w:r>
      <w:r w:rsidR="004B0D2E" w:rsidRPr="00D2484E">
        <w:t>’s</w:t>
      </w:r>
      <w:r w:rsidR="00794F7C" w:rsidRPr="00D2484E">
        <w:t xml:space="preserve"> website, categorise</w:t>
      </w:r>
      <w:r w:rsidR="004B0D2E" w:rsidRPr="00D2484E">
        <w:t xml:space="preserve"> the PLAC’s</w:t>
      </w:r>
      <w:r w:rsidR="00794F7C" w:rsidRPr="00D2484E">
        <w:t xml:space="preserve"> membership according to five different roles: </w:t>
      </w:r>
    </w:p>
    <w:p w14:paraId="5F15DB74" w14:textId="7417F367" w:rsidR="00C07EC6" w:rsidRPr="00D2484E" w:rsidRDefault="00C07EC6" w:rsidP="004D745D">
      <w:pPr>
        <w:pStyle w:val="EYBullet1"/>
      </w:pPr>
      <w:proofErr w:type="gramStart"/>
      <w:r w:rsidRPr="00D2484E">
        <w:t>Chair</w:t>
      </w:r>
      <w:r w:rsidR="00DD651E" w:rsidRPr="00D2484E">
        <w:t>;</w:t>
      </w:r>
      <w:proofErr w:type="gramEnd"/>
    </w:p>
    <w:p w14:paraId="6490D684" w14:textId="55E1AD8E" w:rsidR="00C07EC6" w:rsidRPr="00D2484E" w:rsidRDefault="00C07EC6" w:rsidP="004D745D">
      <w:pPr>
        <w:pStyle w:val="EYBullet1"/>
      </w:pPr>
      <w:r w:rsidRPr="00D2484E">
        <w:t xml:space="preserve">Consumer </w:t>
      </w:r>
      <w:proofErr w:type="gramStart"/>
      <w:r w:rsidRPr="00D2484E">
        <w:t xml:space="preserve">representative </w:t>
      </w:r>
      <w:r w:rsidR="00DD651E" w:rsidRPr="00D2484E">
        <w:t>;</w:t>
      </w:r>
      <w:proofErr w:type="gramEnd"/>
    </w:p>
    <w:p w14:paraId="23827CF1" w14:textId="1D71453C" w:rsidR="00C07EC6" w:rsidRPr="00D2484E" w:rsidRDefault="00C07EC6" w:rsidP="004D745D">
      <w:pPr>
        <w:pStyle w:val="EYBullet1"/>
      </w:pPr>
      <w:r w:rsidRPr="00D2484E">
        <w:t xml:space="preserve">Expert </w:t>
      </w:r>
      <w:proofErr w:type="gramStart"/>
      <w:r w:rsidR="00321D90" w:rsidRPr="00D2484E">
        <w:t>M</w:t>
      </w:r>
      <w:r w:rsidRPr="00D2484E">
        <w:t>ember</w:t>
      </w:r>
      <w:r w:rsidR="00DD651E" w:rsidRPr="00D2484E">
        <w:t>;</w:t>
      </w:r>
      <w:proofErr w:type="gramEnd"/>
    </w:p>
    <w:p w14:paraId="5FFFEE1C" w14:textId="626F70FD" w:rsidR="00C07EC6" w:rsidRPr="00D2484E" w:rsidRDefault="00C07EC6" w:rsidP="004D745D">
      <w:pPr>
        <w:pStyle w:val="EYBullet1"/>
      </w:pPr>
      <w:r w:rsidRPr="00D2484E">
        <w:t xml:space="preserve">Advisory </w:t>
      </w:r>
      <w:r w:rsidR="00321D90" w:rsidRPr="00D2484E">
        <w:t>M</w:t>
      </w:r>
      <w:r w:rsidRPr="00D2484E">
        <w:t>embe</w:t>
      </w:r>
      <w:r w:rsidR="00EB6501" w:rsidRPr="00D2484E">
        <w:t>r</w:t>
      </w:r>
      <w:r w:rsidR="00DD651E" w:rsidRPr="00D2484E">
        <w:t>;</w:t>
      </w:r>
      <w:r w:rsidRPr="00D2484E">
        <w:t xml:space="preserve"> and </w:t>
      </w:r>
    </w:p>
    <w:p w14:paraId="785E89BA" w14:textId="2258BBBB" w:rsidR="00C07EC6" w:rsidRPr="00D2484E" w:rsidRDefault="00C07EC6" w:rsidP="004D745D">
      <w:pPr>
        <w:pStyle w:val="EYBullet1"/>
      </w:pPr>
      <w:r w:rsidRPr="00D2484E">
        <w:t>Invited attendee</w:t>
      </w:r>
      <w:r w:rsidR="00EB6501" w:rsidRPr="00D2484E">
        <w:t>.</w:t>
      </w:r>
    </w:p>
    <w:p w14:paraId="5DD69171" w14:textId="1552C257" w:rsidR="00C07EC6" w:rsidRPr="00D2484E" w:rsidRDefault="00C07EC6" w:rsidP="00E45667">
      <w:r w:rsidRPr="00D2484E">
        <w:t xml:space="preserve">Representatives from the </w:t>
      </w:r>
      <w:r w:rsidR="00F007AA" w:rsidRPr="00D2484E">
        <w:t>Department</w:t>
      </w:r>
      <w:r w:rsidRPr="00D2484E">
        <w:t xml:space="preserve"> (including the </w:t>
      </w:r>
      <w:r w:rsidR="007E2F86" w:rsidRPr="00D2484E">
        <w:t>TGA</w:t>
      </w:r>
      <w:r w:rsidRPr="00D2484E">
        <w:t xml:space="preserve">) and the Department of Veterans’ Affairs may also attend PLAC </w:t>
      </w:r>
      <w:r w:rsidR="004C3C12" w:rsidRPr="00D2484E">
        <w:t>Meeting</w:t>
      </w:r>
      <w:r w:rsidRPr="00D2484E">
        <w:t xml:space="preserve">s as invited attendees. </w:t>
      </w:r>
    </w:p>
    <w:p w14:paraId="5A15B36D" w14:textId="0CD27774" w:rsidR="007E2DA5" w:rsidRPr="00D2484E" w:rsidRDefault="0097765A" w:rsidP="00E45667">
      <w:r w:rsidRPr="00D2484E">
        <w:t xml:space="preserve">Although there is some alignment between these sources </w:t>
      </w:r>
      <w:r w:rsidR="00922E17" w:rsidRPr="00D2484E">
        <w:t xml:space="preserve">on the roles of PLAC members, </w:t>
      </w:r>
      <w:r w:rsidR="008B0166" w:rsidRPr="00D2484E">
        <w:t xml:space="preserve">the inconsistencies </w:t>
      </w:r>
      <w:r w:rsidR="00AF2E2C" w:rsidRPr="00D2484E">
        <w:t xml:space="preserve">likely </w:t>
      </w:r>
      <w:r w:rsidR="008B0166" w:rsidRPr="00D2484E">
        <w:t>contribute</w:t>
      </w:r>
      <w:r w:rsidR="00EB6501" w:rsidRPr="00D2484E">
        <w:t xml:space="preserve"> to the lack of </w:t>
      </w:r>
      <w:r w:rsidR="00721A06" w:rsidRPr="00D2484E">
        <w:t xml:space="preserve">clarity </w:t>
      </w:r>
      <w:r w:rsidR="005F3B02" w:rsidRPr="00D2484E">
        <w:t xml:space="preserve">on how </w:t>
      </w:r>
      <w:r w:rsidR="004C5274" w:rsidRPr="00D2484E">
        <w:t xml:space="preserve">members </w:t>
      </w:r>
      <w:r w:rsidR="00721A06" w:rsidRPr="00D2484E">
        <w:t>should be</w:t>
      </w:r>
      <w:r w:rsidR="005F3B02" w:rsidRPr="00D2484E">
        <w:t xml:space="preserve"> involved on the PLAC</w:t>
      </w:r>
      <w:r w:rsidR="00B35265" w:rsidRPr="00D2484E">
        <w:t>.</w:t>
      </w:r>
    </w:p>
    <w:p w14:paraId="165F34E6" w14:textId="3E3FBB4F" w:rsidR="007E0911" w:rsidRPr="00D2484E" w:rsidRDefault="00216347" w:rsidP="00E45667">
      <w:r w:rsidRPr="00D2484E">
        <w:t>Recent Meeting Minutes suggest that the i</w:t>
      </w:r>
      <w:r w:rsidR="00273D26" w:rsidRPr="00D2484E">
        <w:t xml:space="preserve">nconsistency </w:t>
      </w:r>
      <w:r w:rsidR="00DB7606" w:rsidRPr="00D2484E">
        <w:t>between these sources</w:t>
      </w:r>
      <w:r w:rsidR="00273D26" w:rsidRPr="00D2484E">
        <w:t xml:space="preserve"> </w:t>
      </w:r>
      <w:r w:rsidR="00ED6988" w:rsidRPr="00D2484E">
        <w:t xml:space="preserve">has likely contributed to </w:t>
      </w:r>
      <w:r w:rsidR="004852BA" w:rsidRPr="00D2484E">
        <w:t xml:space="preserve">confusion </w:t>
      </w:r>
      <w:r w:rsidR="00DB7606" w:rsidRPr="00D2484E">
        <w:t>between</w:t>
      </w:r>
      <w:r w:rsidR="004852BA" w:rsidRPr="00D2484E">
        <w:t xml:space="preserve"> Members in </w:t>
      </w:r>
      <w:r w:rsidR="0033648A" w:rsidRPr="00D2484E">
        <w:t xml:space="preserve">how they may fulfill </w:t>
      </w:r>
      <w:r w:rsidR="00ED6988" w:rsidRPr="00D2484E">
        <w:t xml:space="preserve">the PLAC’s intended </w:t>
      </w:r>
      <w:r w:rsidR="00683A7C" w:rsidRPr="00D2484E">
        <w:t>purpose</w:t>
      </w:r>
      <w:r w:rsidR="00DB7606" w:rsidRPr="00D2484E">
        <w:t>.</w:t>
      </w:r>
      <w:r w:rsidR="0033648A" w:rsidRPr="00D2484E">
        <w:t xml:space="preserve"> </w:t>
      </w:r>
      <w:r w:rsidR="001A76FD" w:rsidRPr="00D2484E">
        <w:t>There appears to be little</w:t>
      </w:r>
      <w:r w:rsidR="00EB3D8A" w:rsidRPr="00D2484E">
        <w:t xml:space="preserve"> restriction</w:t>
      </w:r>
      <w:r w:rsidR="008D260D" w:rsidRPr="00D2484E">
        <w:t xml:space="preserve"> </w:t>
      </w:r>
      <w:r w:rsidR="005C55CD" w:rsidRPr="00D2484E">
        <w:t>as</w:t>
      </w:r>
      <w:r w:rsidR="008D260D" w:rsidRPr="00D2484E">
        <w:t xml:space="preserve"> to the level of engagement required for </w:t>
      </w:r>
      <w:r w:rsidR="005C55CD" w:rsidRPr="00D2484E">
        <w:t xml:space="preserve">each </w:t>
      </w:r>
      <w:r w:rsidR="008D260D" w:rsidRPr="00D2484E">
        <w:t>role</w:t>
      </w:r>
      <w:r w:rsidR="00C531A1" w:rsidRPr="00D2484E">
        <w:t xml:space="preserve">. Further, </w:t>
      </w:r>
      <w:r w:rsidR="004C5274" w:rsidRPr="00D2484E">
        <w:t xml:space="preserve">it was reported by some stakeholders consulted that there </w:t>
      </w:r>
      <w:r w:rsidR="00C531A1" w:rsidRPr="00D2484E">
        <w:t xml:space="preserve">is </w:t>
      </w:r>
      <w:r w:rsidR="002F4880" w:rsidRPr="00D2484E">
        <w:t xml:space="preserve">little leadership </w:t>
      </w:r>
      <w:r w:rsidR="007E0911" w:rsidRPr="00D2484E">
        <w:t xml:space="preserve">from Expert Members </w:t>
      </w:r>
      <w:r w:rsidR="002F4880" w:rsidRPr="00D2484E">
        <w:t>in discussions</w:t>
      </w:r>
      <w:r w:rsidR="00C531A1" w:rsidRPr="00D2484E">
        <w:t>, with</w:t>
      </w:r>
      <w:r w:rsidR="008469EC" w:rsidRPr="00D2484E">
        <w:t xml:space="preserve"> </w:t>
      </w:r>
      <w:r w:rsidR="009E23D9" w:rsidRPr="00D2484E">
        <w:t xml:space="preserve">engagement asymmetry led predominantly by </w:t>
      </w:r>
      <w:r w:rsidR="004C5274" w:rsidRPr="00D2484E">
        <w:t>A</w:t>
      </w:r>
      <w:r w:rsidR="008469EC" w:rsidRPr="00D2484E">
        <w:t xml:space="preserve">dvisory </w:t>
      </w:r>
      <w:r w:rsidR="004C5274" w:rsidRPr="00D2484E">
        <w:t>M</w:t>
      </w:r>
      <w:r w:rsidR="008469EC" w:rsidRPr="00D2484E">
        <w:t>embers</w:t>
      </w:r>
      <w:r w:rsidR="009E23D9" w:rsidRPr="00D2484E">
        <w:t xml:space="preserve">. </w:t>
      </w:r>
    </w:p>
    <w:p w14:paraId="10692648" w14:textId="62E17ED3" w:rsidR="0055450C" w:rsidRPr="00D2484E" w:rsidRDefault="00C07EC6" w:rsidP="00510194">
      <w:pPr>
        <w:pStyle w:val="EYHeading3"/>
      </w:pPr>
      <w:bookmarkStart w:id="121" w:name="_Ref76635251"/>
      <w:r w:rsidRPr="00D2484E">
        <w:t xml:space="preserve">Impact on the PLAC’s achievement of its </w:t>
      </w:r>
      <w:bookmarkEnd w:id="121"/>
      <w:r w:rsidR="00683A7C" w:rsidRPr="00D2484E">
        <w:t>purpose</w:t>
      </w:r>
    </w:p>
    <w:p w14:paraId="760A4A0F" w14:textId="70800F36" w:rsidR="00EC0EF5" w:rsidRPr="00D2484E" w:rsidRDefault="002658B3" w:rsidP="00E45667">
      <w:r w:rsidRPr="00D2484E">
        <w:t>T</w:t>
      </w:r>
      <w:r w:rsidR="00A0699E" w:rsidRPr="00D2484E">
        <w:t xml:space="preserve">he </w:t>
      </w:r>
      <w:r w:rsidR="007E0911" w:rsidRPr="00D2484E">
        <w:t xml:space="preserve">PLAC </w:t>
      </w:r>
      <w:r w:rsidR="00A0699E" w:rsidRPr="00D2484E">
        <w:t xml:space="preserve">is fundamentally </w:t>
      </w:r>
      <w:r w:rsidR="00814FF8" w:rsidRPr="00D2484E">
        <w:t>applications-</w:t>
      </w:r>
      <w:r w:rsidR="00A0699E" w:rsidRPr="00D2484E">
        <w:t>focused</w:t>
      </w:r>
      <w:r w:rsidR="00D602DF" w:rsidRPr="00D2484E">
        <w:t xml:space="preserve">, concentrating </w:t>
      </w:r>
      <w:r w:rsidR="000138FF" w:rsidRPr="00D2484E">
        <w:t xml:space="preserve">its efforts </w:t>
      </w:r>
      <w:r w:rsidR="00D602DF" w:rsidRPr="00D2484E">
        <w:t>on</w:t>
      </w:r>
      <w:r w:rsidR="00814FF8" w:rsidRPr="00D2484E">
        <w:t xml:space="preserve"> </w:t>
      </w:r>
      <w:r w:rsidR="007E0911" w:rsidRPr="00D2484E">
        <w:t xml:space="preserve">recommending </w:t>
      </w:r>
      <w:r w:rsidR="00A0699E" w:rsidRPr="00D2484E">
        <w:t xml:space="preserve">devices for listing on the </w:t>
      </w:r>
      <w:r w:rsidR="004E5CC4" w:rsidRPr="00D2484E">
        <w:t>Prostheses List</w:t>
      </w:r>
      <w:r w:rsidR="00A0699E" w:rsidRPr="00D2484E">
        <w:t xml:space="preserve">. </w:t>
      </w:r>
      <w:r w:rsidR="00F53A0C" w:rsidRPr="00D2484E">
        <w:t xml:space="preserve">Although </w:t>
      </w:r>
      <w:r w:rsidR="00572B0D" w:rsidRPr="00D2484E">
        <w:t xml:space="preserve">some </w:t>
      </w:r>
      <w:r w:rsidR="00CC3924" w:rsidRPr="00D2484E">
        <w:t xml:space="preserve">purport </w:t>
      </w:r>
      <w:r w:rsidR="00F53A0C" w:rsidRPr="00D2484E">
        <w:t xml:space="preserve">that the </w:t>
      </w:r>
      <w:r w:rsidR="00A27465" w:rsidRPr="00D2484E">
        <w:t xml:space="preserve">PLAC </w:t>
      </w:r>
      <w:r w:rsidR="00572B0D" w:rsidRPr="00D2484E">
        <w:t xml:space="preserve">did </w:t>
      </w:r>
      <w:r w:rsidR="00A27465" w:rsidRPr="00D2484E">
        <w:t xml:space="preserve">fulfil its </w:t>
      </w:r>
      <w:r w:rsidR="00572B0D" w:rsidRPr="00D2484E">
        <w:lastRenderedPageBreak/>
        <w:t>requirements relating to</w:t>
      </w:r>
      <w:r w:rsidR="00A27465" w:rsidRPr="00D2484E">
        <w:t xml:space="preserve"> regular review of the </w:t>
      </w:r>
      <w:r w:rsidR="00452733" w:rsidRPr="00D2484E">
        <w:t>PLAC</w:t>
      </w:r>
      <w:r w:rsidR="00A27465" w:rsidRPr="00D2484E">
        <w:t xml:space="preserve"> and benefits</w:t>
      </w:r>
      <w:r w:rsidR="007E6B1C" w:rsidRPr="00D2484E">
        <w:t xml:space="preserve">, </w:t>
      </w:r>
      <w:r w:rsidR="00597471" w:rsidRPr="00D2484E">
        <w:t xml:space="preserve">recent </w:t>
      </w:r>
      <w:r w:rsidR="007E0911" w:rsidRPr="00D2484E">
        <w:t xml:space="preserve">Meeting </w:t>
      </w:r>
      <w:r w:rsidR="00597471" w:rsidRPr="00D2484E">
        <w:t>Mi</w:t>
      </w:r>
      <w:r w:rsidR="007E6B1C" w:rsidRPr="00D2484E">
        <w:t xml:space="preserve">nutes </w:t>
      </w:r>
      <w:r w:rsidR="00F82356" w:rsidRPr="00D2484E">
        <w:t xml:space="preserve">reveal </w:t>
      </w:r>
      <w:r w:rsidR="007E6B1C" w:rsidRPr="00D2484E">
        <w:t>that this does not often occur</w:t>
      </w:r>
      <w:r w:rsidR="00D8241F" w:rsidRPr="00D2484E">
        <w:t>.</w:t>
      </w:r>
    </w:p>
    <w:p w14:paraId="3844E515" w14:textId="751533AC" w:rsidR="00F87F9E" w:rsidRPr="00D2484E" w:rsidRDefault="00D8241F" w:rsidP="00E45667">
      <w:r w:rsidRPr="00D2484E">
        <w:t>Although process improvements have been made to streamline the PLAC</w:t>
      </w:r>
      <w:r w:rsidR="00EC0EF5" w:rsidRPr="00D2484E">
        <w:t>’s activities</w:t>
      </w:r>
      <w:r w:rsidR="009D39BA" w:rsidRPr="00D2484E">
        <w:t xml:space="preserve">, Meeting Minutes from the past 12 months prior to this Review </w:t>
      </w:r>
      <w:r w:rsidR="00EC0EF5" w:rsidRPr="00D2484E">
        <w:t xml:space="preserve">suggest minimal </w:t>
      </w:r>
      <w:r w:rsidR="006259C5" w:rsidRPr="00D2484E">
        <w:t xml:space="preserve">time </w:t>
      </w:r>
      <w:r w:rsidR="00EC0EF5" w:rsidRPr="00D2484E">
        <w:t>is spent on</w:t>
      </w:r>
      <w:r w:rsidR="009D39BA" w:rsidRPr="00D2484E">
        <w:t xml:space="preserve"> post-</w:t>
      </w:r>
      <w:r w:rsidR="007755C1" w:rsidRPr="00D2484E">
        <w:t>listing</w:t>
      </w:r>
      <w:r w:rsidR="009D39BA" w:rsidRPr="00D2484E">
        <w:t xml:space="preserve"> review. </w:t>
      </w:r>
      <w:r w:rsidR="00F87F9E" w:rsidRPr="00D2484E">
        <w:t>This may be attributed to its membership</w:t>
      </w:r>
      <w:r w:rsidR="0055450C" w:rsidRPr="00D2484E">
        <w:t xml:space="preserve"> and</w:t>
      </w:r>
      <w:r w:rsidR="00C07EC6" w:rsidRPr="00D2484E">
        <w:t xml:space="preserve"> roles</w:t>
      </w:r>
      <w:r w:rsidR="00C94ED0" w:rsidRPr="00D2484E">
        <w:t xml:space="preserve"> and</w:t>
      </w:r>
      <w:proofErr w:type="gramStart"/>
      <w:r w:rsidR="00EC0EF5" w:rsidRPr="00D2484E">
        <w:t>,</w:t>
      </w:r>
      <w:r w:rsidR="00C94ED0" w:rsidRPr="00D2484E">
        <w:t xml:space="preserve"> in particular, tensions</w:t>
      </w:r>
      <w:proofErr w:type="gramEnd"/>
      <w:r w:rsidR="00C94ED0" w:rsidRPr="00D2484E">
        <w:t xml:space="preserve"> between</w:t>
      </w:r>
      <w:r w:rsidR="00BE789B" w:rsidRPr="00D2484E">
        <w:t xml:space="preserve"> </w:t>
      </w:r>
      <w:r w:rsidR="00321D90" w:rsidRPr="00D2484E">
        <w:t>Advisory Member</w:t>
      </w:r>
      <w:r w:rsidR="00BE789B" w:rsidRPr="00D2484E">
        <w:t>s</w:t>
      </w:r>
      <w:r w:rsidR="00C94ED0" w:rsidRPr="00D2484E">
        <w:t>.</w:t>
      </w:r>
      <w:r w:rsidR="006F5AD7" w:rsidRPr="00D2484E">
        <w:t xml:space="preserve"> </w:t>
      </w:r>
    </w:p>
    <w:p w14:paraId="12936CA7" w14:textId="639B76A8" w:rsidR="002649DE" w:rsidRPr="00D2484E" w:rsidRDefault="002649DE" w:rsidP="00E45667">
      <w:r w:rsidRPr="00D2484E">
        <w:t>It is understood</w:t>
      </w:r>
      <w:r w:rsidR="0097432C" w:rsidRPr="00D2484E">
        <w:t xml:space="preserve"> that</w:t>
      </w:r>
      <w:r w:rsidRPr="00D2484E">
        <w:t xml:space="preserve"> the</w:t>
      </w:r>
      <w:r w:rsidR="00FC201F" w:rsidRPr="00D2484E">
        <w:t xml:space="preserve"> industry stakeholders</w:t>
      </w:r>
      <w:r w:rsidRPr="00D2484E">
        <w:t xml:space="preserve"> have both been nominated to </w:t>
      </w:r>
      <w:r w:rsidR="009E0BC0" w:rsidRPr="00D2484E">
        <w:t xml:space="preserve">the </w:t>
      </w:r>
      <w:r w:rsidRPr="00D2484E">
        <w:t>PLAC as Advisory Members. At the time of this report, those appointments remain pending</w:t>
      </w:r>
      <w:r w:rsidR="009E0BC0" w:rsidRPr="00D2484E">
        <w:t xml:space="preserve">, </w:t>
      </w:r>
      <w:proofErr w:type="spellStart"/>
      <w:r w:rsidR="009E0BC0" w:rsidRPr="00D2484E">
        <w:t>nervertheless</w:t>
      </w:r>
      <w:proofErr w:type="spellEnd"/>
      <w:r w:rsidR="009E0BC0" w:rsidRPr="00D2484E">
        <w:t>,</w:t>
      </w:r>
      <w:r w:rsidRPr="00D2484E">
        <w:t xml:space="preserve"> the 'invited attendee' status enabled them to participate fully in the meeting as if they were Advisory Members </w:t>
      </w:r>
      <w:r w:rsidR="009E0BC0" w:rsidRPr="00D2484E">
        <w:t xml:space="preserve">even </w:t>
      </w:r>
      <w:r w:rsidRPr="00D2484E">
        <w:t>without the formal appointment.</w:t>
      </w:r>
    </w:p>
    <w:p w14:paraId="2EB29F34" w14:textId="1780B978" w:rsidR="004A1E9D" w:rsidRPr="00C470B6" w:rsidRDefault="004A1E9D" w:rsidP="002242CA">
      <w:pPr>
        <w:pStyle w:val="Heading4"/>
      </w:pPr>
      <w:r w:rsidRPr="00C470B6">
        <w:t xml:space="preserve">Disputes between </w:t>
      </w:r>
      <w:r w:rsidR="00321D90" w:rsidRPr="00C470B6">
        <w:t>Advisory Member</w:t>
      </w:r>
      <w:r w:rsidR="00DE6041" w:rsidRPr="00C470B6">
        <w:t>s</w:t>
      </w:r>
    </w:p>
    <w:p w14:paraId="012EBC1C" w14:textId="77777777" w:rsidR="00136741" w:rsidRPr="00D2484E" w:rsidRDefault="00136741" w:rsidP="00E45667">
      <w:r w:rsidRPr="00D2484E">
        <w:t>Stakeholders consulted broadly recognised the contributions of Advisory Members on the PLAC and noted that they play an important role in the PLAC’s core functions in providing knowledge and insight into the practical application of medical devices.</w:t>
      </w:r>
    </w:p>
    <w:p w14:paraId="2E8E197A" w14:textId="426FCA7B" w:rsidR="00E13825" w:rsidRPr="00D2484E" w:rsidRDefault="00136741" w:rsidP="00E45667">
      <w:r w:rsidRPr="00D2484E">
        <w:t>However, they</w:t>
      </w:r>
      <w:r w:rsidR="00B41A8E" w:rsidRPr="00D2484E">
        <w:t xml:space="preserve"> </w:t>
      </w:r>
      <w:r w:rsidR="00D857F7" w:rsidRPr="00D2484E">
        <w:t xml:space="preserve">commonly reported </w:t>
      </w:r>
      <w:r w:rsidR="00B41A8E" w:rsidRPr="00D2484E">
        <w:t xml:space="preserve">that </w:t>
      </w:r>
      <w:r w:rsidR="00712225" w:rsidRPr="00D2484E">
        <w:t>PLAC</w:t>
      </w:r>
      <w:r w:rsidR="00D857F7" w:rsidRPr="00D2484E">
        <w:t xml:space="preserve"> </w:t>
      </w:r>
      <w:r w:rsidR="00221F80" w:rsidRPr="00D2484E">
        <w:t xml:space="preserve">meetings </w:t>
      </w:r>
      <w:r w:rsidR="009B6149" w:rsidRPr="00D2484E">
        <w:t>can</w:t>
      </w:r>
      <w:r w:rsidR="00200CFD" w:rsidRPr="00D2484E">
        <w:t xml:space="preserve"> </w:t>
      </w:r>
      <w:r w:rsidR="0024224C" w:rsidRPr="00D2484E">
        <w:t>be</w:t>
      </w:r>
      <w:r w:rsidR="00F42208" w:rsidRPr="00D2484E">
        <w:t xml:space="preserve"> </w:t>
      </w:r>
      <w:r w:rsidR="00221F80" w:rsidRPr="00D2484E">
        <w:t>dominated</w:t>
      </w:r>
      <w:r w:rsidR="00F42208" w:rsidRPr="00D2484E">
        <w:t xml:space="preserve"> by disagreement and dispute between </w:t>
      </w:r>
      <w:r w:rsidR="00523EBC" w:rsidRPr="00D2484E">
        <w:t xml:space="preserve">some </w:t>
      </w:r>
      <w:r w:rsidR="00321D90" w:rsidRPr="00D2484E">
        <w:t>Advisory Member</w:t>
      </w:r>
      <w:r w:rsidR="009D2616" w:rsidRPr="00D2484E">
        <w:t>s</w:t>
      </w:r>
      <w:r w:rsidR="00221F80" w:rsidRPr="00D2484E">
        <w:t>.</w:t>
      </w:r>
    </w:p>
    <w:p w14:paraId="0E991445" w14:textId="77777777" w:rsidR="00712BC1" w:rsidRPr="00762990" w:rsidRDefault="005A2738" w:rsidP="002242CA">
      <w:pPr>
        <w:pStyle w:val="ExampleQuotations"/>
        <w:shd w:val="clear" w:color="auto" w:fill="FFFACC" w:themeFill="text2" w:themeFillTint="33"/>
        <w:spacing w:after="0"/>
        <w:rPr>
          <w:rStyle w:val="Strong"/>
        </w:rPr>
      </w:pPr>
      <w:r w:rsidRPr="00762990">
        <w:rPr>
          <w:rStyle w:val="Strong"/>
        </w:rPr>
        <w:t>Contrasting</w:t>
      </w:r>
      <w:r w:rsidR="00035CF4" w:rsidRPr="00762990">
        <w:rPr>
          <w:rStyle w:val="Strong"/>
        </w:rPr>
        <w:t xml:space="preserve"> interest</w:t>
      </w:r>
      <w:r w:rsidRPr="00762990">
        <w:rPr>
          <w:rStyle w:val="Strong"/>
        </w:rPr>
        <w:t>s</w:t>
      </w:r>
      <w:r w:rsidR="00035CF4" w:rsidRPr="00762990">
        <w:rPr>
          <w:rStyle w:val="Strong"/>
        </w:rPr>
        <w:t xml:space="preserve"> of </w:t>
      </w:r>
      <w:r w:rsidRPr="00762990">
        <w:rPr>
          <w:rStyle w:val="Strong"/>
        </w:rPr>
        <w:t>Advisory Members</w:t>
      </w:r>
    </w:p>
    <w:p w14:paraId="1C741991" w14:textId="0834CE64" w:rsidR="00035CF4" w:rsidRPr="00D2484E" w:rsidRDefault="00035CF4" w:rsidP="00BC7A67">
      <w:pPr>
        <w:pStyle w:val="ExampleQuotations"/>
        <w:shd w:val="clear" w:color="auto" w:fill="FFFACC" w:themeFill="text2" w:themeFillTint="33"/>
      </w:pPr>
      <w:r w:rsidRPr="00D2484E">
        <w:t xml:space="preserve">Some Advisory Members represent sponsors whose revenue is positively impacted by items being included on the Prostheses List, while others are responsible for payments towards the usage of items listed. As such, disputes between Advisory Members have frequently been observed to be manifestations of existing tensions, or advocacy of individual interests. </w:t>
      </w:r>
    </w:p>
    <w:p w14:paraId="5EFC1795" w14:textId="0E0A0530" w:rsidR="00EB4B44" w:rsidRPr="00D2484E" w:rsidRDefault="00BE7F60" w:rsidP="00E45667">
      <w:r w:rsidRPr="00D2484E">
        <w:t>S</w:t>
      </w:r>
      <w:r w:rsidR="00E00844" w:rsidRPr="00D2484E">
        <w:t xml:space="preserve">ome </w:t>
      </w:r>
      <w:r w:rsidR="00B31B6A" w:rsidRPr="00D2484E">
        <w:t>identified that</w:t>
      </w:r>
      <w:r w:rsidR="0090393B" w:rsidRPr="00D2484E">
        <w:t xml:space="preserve"> </w:t>
      </w:r>
      <w:r w:rsidR="00205E19" w:rsidRPr="00D2484E">
        <w:t xml:space="preserve">improvements made </w:t>
      </w:r>
      <w:r w:rsidR="008122D8" w:rsidRPr="00D2484E">
        <w:t xml:space="preserve">by </w:t>
      </w:r>
      <w:r w:rsidR="00205E19" w:rsidRPr="00D2484E">
        <w:t xml:space="preserve">the </w:t>
      </w:r>
      <w:r w:rsidR="001043F7" w:rsidRPr="00D2484E">
        <w:t>Department</w:t>
      </w:r>
      <w:r w:rsidR="007E62BB" w:rsidRPr="00D2484E">
        <w:t xml:space="preserve"> </w:t>
      </w:r>
      <w:r w:rsidR="00911BA2" w:rsidRPr="00D2484E">
        <w:t xml:space="preserve">resulted in more discussions at the PLAC, </w:t>
      </w:r>
      <w:r w:rsidR="00F32889" w:rsidRPr="00D2484E">
        <w:t xml:space="preserve">rather than </w:t>
      </w:r>
      <w:r w:rsidR="009246A7" w:rsidRPr="00D2484E">
        <w:t xml:space="preserve">the previous more transactional </w:t>
      </w:r>
      <w:r w:rsidR="00E36725" w:rsidRPr="00D2484E">
        <w:t>“</w:t>
      </w:r>
      <w:r w:rsidR="0071514C" w:rsidRPr="00D2484E">
        <w:t>tick and flick</w:t>
      </w:r>
      <w:r w:rsidR="00E36725" w:rsidRPr="00D2484E">
        <w:t>”</w:t>
      </w:r>
      <w:r w:rsidR="009246A7" w:rsidRPr="00D2484E">
        <w:t xml:space="preserve"> discussions</w:t>
      </w:r>
      <w:r w:rsidR="00911BA2" w:rsidRPr="00D2484E">
        <w:t xml:space="preserve">. However, this has also allowed for </w:t>
      </w:r>
      <w:r w:rsidR="001C138B" w:rsidRPr="00D2484E">
        <w:t xml:space="preserve">disputes </w:t>
      </w:r>
      <w:r w:rsidR="00911BA2" w:rsidRPr="00D2484E">
        <w:t xml:space="preserve">to </w:t>
      </w:r>
      <w:r w:rsidR="001C138B" w:rsidRPr="00D2484E">
        <w:t>occur</w:t>
      </w:r>
      <w:r w:rsidR="00933387" w:rsidRPr="00D2484E">
        <w:t xml:space="preserve"> between</w:t>
      </w:r>
      <w:r w:rsidR="00B24DC2" w:rsidRPr="00D2484E">
        <w:t xml:space="preserve"> </w:t>
      </w:r>
      <w:r w:rsidR="00E36725" w:rsidRPr="00D2484E">
        <w:t>some Advisory Members.</w:t>
      </w:r>
      <w:r w:rsidR="00312E17" w:rsidRPr="00D2484E">
        <w:rPr>
          <w:rStyle w:val="CommentReference"/>
          <w:rFonts w:eastAsia="Segoe UI Symbol"/>
        </w:rPr>
        <w:t xml:space="preserve"> </w:t>
      </w:r>
      <w:r w:rsidR="0094262A" w:rsidRPr="00D2484E">
        <w:t xml:space="preserve"> </w:t>
      </w:r>
      <w:r w:rsidR="00861B2F" w:rsidRPr="00D2484E">
        <w:t xml:space="preserve">PLAC </w:t>
      </w:r>
      <w:r w:rsidR="00C52B90" w:rsidRPr="00D2484E">
        <w:t xml:space="preserve">Members </w:t>
      </w:r>
      <w:r w:rsidR="00861B2F" w:rsidRPr="00D2484E">
        <w:t xml:space="preserve">have generally observed that such disputes are unrelated to the PLAC’s core business. </w:t>
      </w:r>
    </w:p>
    <w:p w14:paraId="254013B1" w14:textId="54FF3E24" w:rsidR="00327FA6" w:rsidRPr="00D2484E" w:rsidRDefault="00980EAB" w:rsidP="00E45667">
      <w:r w:rsidRPr="00D2484E">
        <w:t>In consultations,</w:t>
      </w:r>
      <w:r w:rsidR="00B24DC2" w:rsidRPr="00D2484E">
        <w:t xml:space="preserve"> </w:t>
      </w:r>
      <w:r w:rsidR="009D2171" w:rsidRPr="00D2484E">
        <w:t xml:space="preserve">some </w:t>
      </w:r>
      <w:r w:rsidR="002A04AA" w:rsidRPr="00D2484E">
        <w:t xml:space="preserve">Advisory Members </w:t>
      </w:r>
      <w:r w:rsidRPr="00D2484E">
        <w:t xml:space="preserve">reported that </w:t>
      </w:r>
      <w:proofErr w:type="gramStart"/>
      <w:r w:rsidRPr="00D2484E">
        <w:t>a majority of</w:t>
      </w:r>
      <w:proofErr w:type="gramEnd"/>
      <w:r w:rsidRPr="00D2484E">
        <w:t xml:space="preserve"> disagreements are settled ahead of PLAC </w:t>
      </w:r>
      <w:r w:rsidR="004C3C12" w:rsidRPr="00D2484E">
        <w:t>Meeting</w:t>
      </w:r>
      <w:r w:rsidRPr="00D2484E">
        <w:t>s</w:t>
      </w:r>
      <w:r w:rsidR="0057387F" w:rsidRPr="00D2484E">
        <w:t>. H</w:t>
      </w:r>
      <w:r w:rsidR="00E61ADA" w:rsidRPr="00D2484E">
        <w:t>owever,</w:t>
      </w:r>
      <w:r w:rsidR="00A839F8" w:rsidRPr="00D2484E">
        <w:t xml:space="preserve"> stakeholders also reported that</w:t>
      </w:r>
      <w:r w:rsidR="00E61ADA" w:rsidRPr="00D2484E">
        <w:t xml:space="preserve"> those</w:t>
      </w:r>
      <w:r w:rsidR="00A839F8" w:rsidRPr="00D2484E">
        <w:t xml:space="preserve"> disagreements</w:t>
      </w:r>
      <w:r w:rsidR="00E61ADA" w:rsidRPr="00D2484E">
        <w:t xml:space="preserve"> that are not resolved are often brought to the PLAC and can be</w:t>
      </w:r>
      <w:r w:rsidRPr="00D2484E">
        <w:t xml:space="preserve"> deviat</w:t>
      </w:r>
      <w:r w:rsidR="002724F3" w:rsidRPr="00D2484E">
        <w:t xml:space="preserve">ions </w:t>
      </w:r>
      <w:r w:rsidRPr="00D2484E">
        <w:t>from the PLAC’s core function.</w:t>
      </w:r>
    </w:p>
    <w:p w14:paraId="4E0A59E8" w14:textId="524682D4" w:rsidR="00F2119A" w:rsidRPr="00C470B6" w:rsidRDefault="00936E69" w:rsidP="002242CA">
      <w:pPr>
        <w:pStyle w:val="Heading4"/>
      </w:pPr>
      <w:r w:rsidRPr="00C470B6">
        <w:t>Perceived a</w:t>
      </w:r>
      <w:r w:rsidR="00202636" w:rsidRPr="00C470B6">
        <w:t xml:space="preserve">dvocacy of </w:t>
      </w:r>
      <w:r w:rsidR="000B636F" w:rsidRPr="00C470B6">
        <w:t xml:space="preserve">vested </w:t>
      </w:r>
      <w:r w:rsidR="00202636" w:rsidRPr="00C470B6">
        <w:t>interests</w:t>
      </w:r>
      <w:r w:rsidR="00A36735" w:rsidRPr="00C470B6">
        <w:t xml:space="preserve"> by </w:t>
      </w:r>
      <w:r w:rsidR="00321D90" w:rsidRPr="00C470B6">
        <w:t>Advisory Member</w:t>
      </w:r>
      <w:r w:rsidR="00A36735" w:rsidRPr="00C470B6">
        <w:t>s</w:t>
      </w:r>
    </w:p>
    <w:p w14:paraId="2AB1DDAB" w14:textId="6D83A236" w:rsidR="00726C6E" w:rsidRPr="00D2484E" w:rsidRDefault="00424ED3" w:rsidP="00E45667">
      <w:r w:rsidRPr="00D2484E">
        <w:t>T</w:t>
      </w:r>
      <w:r w:rsidR="004A6856" w:rsidRPr="00D2484E">
        <w:t>here were</w:t>
      </w:r>
      <w:r w:rsidR="008540DE" w:rsidRPr="00D2484E">
        <w:t xml:space="preserve"> observation</w:t>
      </w:r>
      <w:r w:rsidR="004A6856" w:rsidRPr="00D2484E">
        <w:t>s</w:t>
      </w:r>
      <w:r w:rsidR="00E9457B" w:rsidRPr="00D2484E">
        <w:t xml:space="preserve"> from an inspection of meeting minutes</w:t>
      </w:r>
      <w:r w:rsidR="008540DE" w:rsidRPr="00D2484E">
        <w:t xml:space="preserve"> that </w:t>
      </w:r>
      <w:r w:rsidR="007E77A2" w:rsidRPr="00D2484E">
        <w:t>stakeholders</w:t>
      </w:r>
      <w:r w:rsidR="00E9457B" w:rsidRPr="00D2484E">
        <w:t xml:space="preserve"> have</w:t>
      </w:r>
      <w:r w:rsidR="007E77A2" w:rsidRPr="00D2484E">
        <w:t xml:space="preserve"> </w:t>
      </w:r>
      <w:r w:rsidR="00CF4F69" w:rsidRPr="00D2484E">
        <w:t>use</w:t>
      </w:r>
      <w:r w:rsidR="00E9457B" w:rsidRPr="00D2484E">
        <w:t>d</w:t>
      </w:r>
      <w:r w:rsidR="00CF4F69" w:rsidRPr="00D2484E">
        <w:t xml:space="preserve"> the PLAC as an advocacy platform,</w:t>
      </w:r>
      <w:r w:rsidR="00E9457B" w:rsidRPr="00D2484E">
        <w:t xml:space="preserve"> dominating the discussions at PLAC meetings and</w:t>
      </w:r>
      <w:r w:rsidR="00CF4F69" w:rsidRPr="00D2484E">
        <w:t xml:space="preserve"> deviating away from </w:t>
      </w:r>
      <w:r w:rsidR="0058612C" w:rsidRPr="00D2484E">
        <w:t>the assessment</w:t>
      </w:r>
      <w:r w:rsidR="00CF4F69" w:rsidRPr="00D2484E">
        <w:t xml:space="preserve"> and review of listed items and benefits</w:t>
      </w:r>
      <w:r w:rsidR="006477D7" w:rsidRPr="00D2484E">
        <w:t xml:space="preserve">. </w:t>
      </w:r>
    </w:p>
    <w:p w14:paraId="1E606A86" w14:textId="7D80029E" w:rsidR="00671994" w:rsidRPr="00D2484E" w:rsidRDefault="003B4A8B" w:rsidP="00E45667">
      <w:bookmarkStart w:id="122" w:name="_Ref75362697"/>
      <w:r w:rsidRPr="00D2484E">
        <w:t>Advisory Members</w:t>
      </w:r>
      <w:r w:rsidR="004F01B6" w:rsidRPr="00D2484E">
        <w:t xml:space="preserve"> generally</w:t>
      </w:r>
      <w:r w:rsidRPr="00D2484E">
        <w:t xml:space="preserve"> </w:t>
      </w:r>
      <w:r w:rsidR="00057407" w:rsidRPr="00D2484E">
        <w:t xml:space="preserve">perceive PLAC </w:t>
      </w:r>
      <w:r w:rsidR="00100F60" w:rsidRPr="00D2484E">
        <w:t>Expert M</w:t>
      </w:r>
      <w:r w:rsidR="00057407" w:rsidRPr="00D2484E">
        <w:t>embers to have limited unde</w:t>
      </w:r>
      <w:r w:rsidR="00D15CBA" w:rsidRPr="00D2484E">
        <w:t xml:space="preserve">rstanding of medical technology, particularly when the device is for an area outside of the member’s specialisation. </w:t>
      </w:r>
      <w:r w:rsidR="006C1C21" w:rsidRPr="00D2484E">
        <w:t xml:space="preserve">As such, Advisory Members tend to view </w:t>
      </w:r>
      <w:r w:rsidR="005C3DC6" w:rsidRPr="00D2484E">
        <w:t xml:space="preserve">their </w:t>
      </w:r>
      <w:r w:rsidR="001004FC" w:rsidRPr="00D2484E">
        <w:t>own</w:t>
      </w:r>
      <w:r w:rsidR="005C3DC6" w:rsidRPr="00D2484E">
        <w:t xml:space="preserve"> role</w:t>
      </w:r>
      <w:r w:rsidR="00EC5022" w:rsidRPr="00D2484E">
        <w:t>s as critical for the PLAC’s functionality.</w:t>
      </w:r>
    </w:p>
    <w:p w14:paraId="5CFDC61D" w14:textId="3585F01F" w:rsidR="00D820F1" w:rsidRPr="00D2484E" w:rsidRDefault="00EC5022" w:rsidP="00E45667">
      <w:r w:rsidRPr="00D2484E">
        <w:t xml:space="preserve">On the other hand, </w:t>
      </w:r>
      <w:r w:rsidR="00C52310" w:rsidRPr="00D2484E">
        <w:t>E</w:t>
      </w:r>
      <w:r w:rsidR="00A416BF" w:rsidRPr="00D2484E">
        <w:t xml:space="preserve">xpert </w:t>
      </w:r>
      <w:r w:rsidR="00C52310" w:rsidRPr="00D2484E">
        <w:t>M</w:t>
      </w:r>
      <w:r w:rsidR="00A416BF" w:rsidRPr="00D2484E">
        <w:t>embers</w:t>
      </w:r>
      <w:r w:rsidRPr="00D2484E">
        <w:t>,</w:t>
      </w:r>
      <w:r w:rsidR="00A416BF" w:rsidRPr="00D2484E">
        <w:t xml:space="preserve"> and </w:t>
      </w:r>
      <w:r w:rsidR="00C52310" w:rsidRPr="00D2484E">
        <w:t xml:space="preserve">other </w:t>
      </w:r>
      <w:r w:rsidR="000D0A50" w:rsidRPr="00D2484E">
        <w:t>stakeholders consulted</w:t>
      </w:r>
      <w:r w:rsidR="00361D57" w:rsidRPr="00D2484E">
        <w:t xml:space="preserve">, </w:t>
      </w:r>
      <w:r w:rsidR="00B00CE1" w:rsidRPr="00D2484E">
        <w:t>perceived</w:t>
      </w:r>
      <w:r w:rsidR="00447015" w:rsidRPr="00D2484E">
        <w:t xml:space="preserve"> that the most common requirement of Advisory Members is</w:t>
      </w:r>
      <w:r w:rsidR="00361D57" w:rsidRPr="00D2484E">
        <w:t xml:space="preserve"> </w:t>
      </w:r>
      <w:r w:rsidR="00403A54" w:rsidRPr="00D2484E">
        <w:t>additional</w:t>
      </w:r>
      <w:r w:rsidR="00585642" w:rsidRPr="00D2484E">
        <w:t xml:space="preserve"> product</w:t>
      </w:r>
      <w:r w:rsidR="00361D57" w:rsidRPr="00D2484E">
        <w:t xml:space="preserve"> information</w:t>
      </w:r>
      <w:r w:rsidR="00890734" w:rsidRPr="00D2484E">
        <w:t xml:space="preserve"> from sponsors</w:t>
      </w:r>
      <w:r w:rsidR="00585642" w:rsidRPr="00D2484E">
        <w:t xml:space="preserve"> to assist in their </w:t>
      </w:r>
      <w:r w:rsidR="00361D57" w:rsidRPr="00D2484E">
        <w:t>decision-making</w:t>
      </w:r>
      <w:r w:rsidR="00872D3F" w:rsidRPr="00D2484E">
        <w:t xml:space="preserve">. While </w:t>
      </w:r>
      <w:r w:rsidR="00EB5E51" w:rsidRPr="00D2484E">
        <w:t>they</w:t>
      </w:r>
      <w:r w:rsidR="00C52B90" w:rsidRPr="00D2484E">
        <w:t xml:space="preserve"> </w:t>
      </w:r>
      <w:r w:rsidR="00872D3F" w:rsidRPr="00D2484E">
        <w:t>generally agree</w:t>
      </w:r>
      <w:r w:rsidR="00FA60EF" w:rsidRPr="00D2484E">
        <w:t>d</w:t>
      </w:r>
      <w:r w:rsidR="00872D3F" w:rsidRPr="00D2484E">
        <w:t xml:space="preserve"> that </w:t>
      </w:r>
      <w:r w:rsidR="00321D90" w:rsidRPr="00D2484E">
        <w:t>Advisory Member</w:t>
      </w:r>
      <w:r w:rsidR="00A416BF" w:rsidRPr="00D2484E">
        <w:t xml:space="preserve">s </w:t>
      </w:r>
      <w:r w:rsidR="00872D3F" w:rsidRPr="00D2484E">
        <w:t xml:space="preserve">perform an </w:t>
      </w:r>
      <w:r w:rsidR="00EB5E51" w:rsidRPr="00D2484E">
        <w:t xml:space="preserve">important </w:t>
      </w:r>
      <w:r w:rsidR="00872D3F" w:rsidRPr="00D2484E">
        <w:t xml:space="preserve">educational </w:t>
      </w:r>
      <w:r w:rsidR="00145810" w:rsidRPr="00D2484E">
        <w:t>role</w:t>
      </w:r>
      <w:r w:rsidR="00FA60EF" w:rsidRPr="00D2484E">
        <w:t xml:space="preserve">, they </w:t>
      </w:r>
      <w:r w:rsidR="00457B53" w:rsidRPr="00D2484E">
        <w:t xml:space="preserve">were cautious </w:t>
      </w:r>
      <w:r w:rsidR="003259C5" w:rsidRPr="00D2484E">
        <w:t xml:space="preserve">not </w:t>
      </w:r>
      <w:r w:rsidR="00457B53" w:rsidRPr="00D2484E">
        <w:t xml:space="preserve">to overstate </w:t>
      </w:r>
      <w:r w:rsidR="00147065" w:rsidRPr="00D2484E">
        <w:t>their contribution</w:t>
      </w:r>
      <w:r w:rsidR="00B14EFA" w:rsidRPr="00D2484E">
        <w:t>.</w:t>
      </w:r>
      <w:r w:rsidR="00BC54DB" w:rsidRPr="00D2484E">
        <w:t xml:space="preserve"> </w:t>
      </w:r>
    </w:p>
    <w:p w14:paraId="61BCCEE2" w14:textId="6622B81B" w:rsidR="00F44A42" w:rsidRPr="00D2484E" w:rsidRDefault="00963FF8" w:rsidP="00E45667">
      <w:r w:rsidRPr="00D2484E">
        <w:t>Prior to this Review, t</w:t>
      </w:r>
      <w:r w:rsidR="00B43014" w:rsidRPr="00D2484E">
        <w:t xml:space="preserve">he </w:t>
      </w:r>
      <w:r w:rsidR="005817AA" w:rsidRPr="00D2484E">
        <w:t xml:space="preserve">Department of Health </w:t>
      </w:r>
      <w:proofErr w:type="spellStart"/>
      <w:r w:rsidR="00FD3BAA" w:rsidRPr="00D2484E">
        <w:rPr>
          <w:i/>
        </w:rPr>
        <w:t>Health</w:t>
      </w:r>
      <w:proofErr w:type="spellEnd"/>
      <w:r w:rsidR="00FD3BAA" w:rsidRPr="00D2484E">
        <w:rPr>
          <w:i/>
        </w:rPr>
        <w:t xml:space="preserve"> Technology Assessment Committees Conflict of Interest Process Guide</w:t>
      </w:r>
      <w:r w:rsidR="00B43014" w:rsidRPr="00D2484E">
        <w:t xml:space="preserve"> </w:t>
      </w:r>
      <w:r w:rsidRPr="00D2484E">
        <w:t xml:space="preserve">was revised and </w:t>
      </w:r>
      <w:r w:rsidR="00FD3BAA" w:rsidRPr="00D2484E">
        <w:t>tighten</w:t>
      </w:r>
      <w:r w:rsidR="006E1662" w:rsidRPr="00D2484E">
        <w:t>ed</w:t>
      </w:r>
      <w:r w:rsidRPr="00D2484E">
        <w:t xml:space="preserve">, lifting </w:t>
      </w:r>
      <w:r w:rsidR="006E1662" w:rsidRPr="00D2484E">
        <w:t>conflict of interest thresholds for members of HTA committee</w:t>
      </w:r>
      <w:r w:rsidRPr="00D2484E">
        <w:t xml:space="preserve">s. Expert </w:t>
      </w:r>
      <w:r w:rsidR="00C52B90" w:rsidRPr="00D2484E">
        <w:t>M</w:t>
      </w:r>
      <w:r w:rsidRPr="00D2484E">
        <w:t xml:space="preserve">embers and </w:t>
      </w:r>
      <w:r w:rsidR="00C52B90" w:rsidRPr="00D2484E">
        <w:t xml:space="preserve">stakeholders consulted </w:t>
      </w:r>
      <w:r w:rsidRPr="00D2484E">
        <w:t xml:space="preserve">remained </w:t>
      </w:r>
      <w:r w:rsidR="00F44A42" w:rsidRPr="00D2484E">
        <w:t xml:space="preserve">unclear as to the continued eligibility of certain </w:t>
      </w:r>
      <w:r w:rsidR="00C52B90" w:rsidRPr="00D2484E">
        <w:t>A</w:t>
      </w:r>
      <w:r w:rsidR="00F44A42" w:rsidRPr="00D2484E">
        <w:t xml:space="preserve">dvisory </w:t>
      </w:r>
      <w:r w:rsidR="00C52B90" w:rsidRPr="00D2484E">
        <w:t>M</w:t>
      </w:r>
      <w:r w:rsidR="00F44A42" w:rsidRPr="00D2484E">
        <w:t xml:space="preserve">embers, as it was </w:t>
      </w:r>
      <w:r w:rsidR="00F44A42" w:rsidRPr="00D2484E">
        <w:lastRenderedPageBreak/>
        <w:t xml:space="preserve">commonly perceived that </w:t>
      </w:r>
      <w:r w:rsidR="00C52B90" w:rsidRPr="00D2484E">
        <w:t>A</w:t>
      </w:r>
      <w:r w:rsidR="005817AA" w:rsidRPr="00D2484E">
        <w:t xml:space="preserve">dvisory </w:t>
      </w:r>
      <w:r w:rsidR="00C52B90" w:rsidRPr="00D2484E">
        <w:t>M</w:t>
      </w:r>
      <w:r w:rsidR="005817AA" w:rsidRPr="00D2484E">
        <w:t xml:space="preserve">embers </w:t>
      </w:r>
      <w:r w:rsidR="00E257B0" w:rsidRPr="00D2484E">
        <w:t xml:space="preserve">represent the </w:t>
      </w:r>
      <w:r w:rsidR="00C52B90" w:rsidRPr="00D2484E">
        <w:t xml:space="preserve">vested </w:t>
      </w:r>
      <w:r w:rsidR="00E257B0" w:rsidRPr="00D2484E">
        <w:t>interest</w:t>
      </w:r>
      <w:r w:rsidR="00741368" w:rsidRPr="00D2484E">
        <w:t>s</w:t>
      </w:r>
      <w:r w:rsidR="00E257B0" w:rsidRPr="00D2484E">
        <w:t xml:space="preserve"> of those who stand to benefit from listing and benefit decisions</w:t>
      </w:r>
      <w:r w:rsidR="00E72899" w:rsidRPr="00D2484E">
        <w:t xml:space="preserve">. </w:t>
      </w:r>
    </w:p>
    <w:p w14:paraId="06EBDBD2" w14:textId="22A2AA17" w:rsidR="00DB07D1" w:rsidRPr="00D2484E" w:rsidRDefault="00F44A42" w:rsidP="00E45667">
      <w:r w:rsidRPr="00D2484E">
        <w:t>Th</w:t>
      </w:r>
      <w:r w:rsidR="007217BD" w:rsidRPr="00D2484E">
        <w:t xml:space="preserve">is perception, and the frequency for PLAC </w:t>
      </w:r>
      <w:r w:rsidR="004C3C12" w:rsidRPr="00D2484E">
        <w:t>Meeting</w:t>
      </w:r>
      <w:r w:rsidR="007217BD" w:rsidRPr="00D2484E">
        <w:t>s to be distracted by</w:t>
      </w:r>
      <w:r w:rsidR="00C52B90" w:rsidRPr="00D2484E">
        <w:t xml:space="preserve"> A</w:t>
      </w:r>
      <w:r w:rsidR="007217BD" w:rsidRPr="00D2484E">
        <w:t xml:space="preserve">dvisory </w:t>
      </w:r>
      <w:r w:rsidR="00C52B90" w:rsidRPr="00D2484E">
        <w:t>M</w:t>
      </w:r>
      <w:r w:rsidR="007217BD" w:rsidRPr="00D2484E">
        <w:t>embers</w:t>
      </w:r>
      <w:r w:rsidR="00A72995" w:rsidRPr="00D2484E">
        <w:t>,</w:t>
      </w:r>
      <w:r w:rsidR="007217BD" w:rsidRPr="00D2484E">
        <w:t xml:space="preserve"> have contributed to general support for limiting </w:t>
      </w:r>
      <w:r w:rsidR="00A96FC8" w:rsidRPr="00D2484E">
        <w:t xml:space="preserve">the participation of </w:t>
      </w:r>
      <w:r w:rsidR="00C52B90" w:rsidRPr="00D2484E">
        <w:t>A</w:t>
      </w:r>
      <w:r w:rsidR="00A96FC8" w:rsidRPr="00D2484E">
        <w:t xml:space="preserve">dvisory </w:t>
      </w:r>
      <w:r w:rsidR="00C52B90" w:rsidRPr="00D2484E">
        <w:t>M</w:t>
      </w:r>
      <w:r w:rsidR="00A96FC8" w:rsidRPr="00D2484E">
        <w:t>embers</w:t>
      </w:r>
      <w:r w:rsidR="00401BEF" w:rsidRPr="00D2484E">
        <w:t xml:space="preserve">. </w:t>
      </w:r>
      <w:r w:rsidR="004A0C4A" w:rsidRPr="00D2484E">
        <w:t xml:space="preserve">In doing so, </w:t>
      </w:r>
      <w:r w:rsidR="00BA2535" w:rsidRPr="00D2484E">
        <w:t xml:space="preserve">a formal pathway should be made available </w:t>
      </w:r>
      <w:r w:rsidR="00A96FC8" w:rsidRPr="00D2484E">
        <w:t xml:space="preserve">for </w:t>
      </w:r>
      <w:r w:rsidR="00C52B90" w:rsidRPr="00D2484E">
        <w:t>A</w:t>
      </w:r>
      <w:r w:rsidR="00A96FC8" w:rsidRPr="00D2484E">
        <w:t xml:space="preserve">dvisory </w:t>
      </w:r>
      <w:r w:rsidR="00C52B90" w:rsidRPr="00D2484E">
        <w:t>M</w:t>
      </w:r>
      <w:r w:rsidR="00A96FC8" w:rsidRPr="00D2484E">
        <w:t xml:space="preserve">embers </w:t>
      </w:r>
      <w:r w:rsidR="00BA2535" w:rsidRPr="00D2484E">
        <w:t xml:space="preserve">to contribute </w:t>
      </w:r>
      <w:r w:rsidR="00E82ACB" w:rsidRPr="00D2484E">
        <w:t xml:space="preserve">any relevant </w:t>
      </w:r>
      <w:proofErr w:type="gramStart"/>
      <w:r w:rsidR="00E82ACB" w:rsidRPr="00D2484E">
        <w:t>factual information</w:t>
      </w:r>
      <w:proofErr w:type="gramEnd"/>
      <w:r w:rsidR="00BA2535" w:rsidRPr="00D2484E">
        <w:t>.</w:t>
      </w:r>
    </w:p>
    <w:p w14:paraId="2FABC25E" w14:textId="5219DA72" w:rsidR="003A5ACF" w:rsidRDefault="001211D2" w:rsidP="00675361">
      <w:pPr>
        <w:pStyle w:val="EYHeading2"/>
      </w:pPr>
      <w:bookmarkStart w:id="123" w:name="_Toc77329448"/>
      <w:bookmarkStart w:id="124" w:name="_Ref76464792"/>
      <w:bookmarkStart w:id="125" w:name="_Toc77329449"/>
      <w:bookmarkEnd w:id="123"/>
      <w:r w:rsidRPr="00D2484E">
        <w:t>M</w:t>
      </w:r>
      <w:r w:rsidR="00E509EE" w:rsidRPr="00D2484E">
        <w:t xml:space="preserve">anagement of the workload of </w:t>
      </w:r>
      <w:r w:rsidR="00133D60" w:rsidRPr="00D2484E">
        <w:t xml:space="preserve">the </w:t>
      </w:r>
      <w:r w:rsidR="00E509EE" w:rsidRPr="00D2484E">
        <w:t>PLAC</w:t>
      </w:r>
      <w:bookmarkEnd w:id="124"/>
      <w:bookmarkEnd w:id="125"/>
    </w:p>
    <w:p w14:paraId="4AA69D5E" w14:textId="77777777" w:rsidR="00762990" w:rsidRPr="00762990" w:rsidRDefault="00762990" w:rsidP="00762990">
      <w:pPr>
        <w:pStyle w:val="Boxtext"/>
        <w:rPr>
          <w:rStyle w:val="Strong"/>
        </w:rPr>
      </w:pPr>
      <w:r w:rsidRPr="00762990">
        <w:rPr>
          <w:rStyle w:val="Strong"/>
        </w:rPr>
        <w:t>Finding 2</w:t>
      </w:r>
    </w:p>
    <w:p w14:paraId="44DE2C44" w14:textId="61C26E34" w:rsidR="00762990" w:rsidRPr="00762990" w:rsidRDefault="00762990" w:rsidP="00762990">
      <w:pPr>
        <w:pStyle w:val="Boxtext"/>
        <w:rPr>
          <w:rStyle w:val="Strong"/>
        </w:rPr>
      </w:pPr>
      <w:r w:rsidRPr="00762990">
        <w:rPr>
          <w:rStyle w:val="Strong"/>
        </w:rPr>
        <w:t xml:space="preserve">The PLAC regularly addresses applications which are straightforward and/or are not expected to have a material impact on overall funding through the Prostheses List, detracting from the opportunity to provide expert advice on key issues, major </w:t>
      </w:r>
      <w:proofErr w:type="gramStart"/>
      <w:r w:rsidRPr="00762990">
        <w:rPr>
          <w:rStyle w:val="Strong"/>
        </w:rPr>
        <w:t>applications</w:t>
      </w:r>
      <w:proofErr w:type="gramEnd"/>
      <w:r w:rsidRPr="00762990">
        <w:rPr>
          <w:rStyle w:val="Strong"/>
        </w:rPr>
        <w:t xml:space="preserve"> and regular review of the Prostheses List.</w:t>
      </w:r>
    </w:p>
    <w:p w14:paraId="7B0AA49E" w14:textId="03A3F584" w:rsidR="00762990" w:rsidRPr="00762990" w:rsidRDefault="00762990" w:rsidP="00762990">
      <w:pPr>
        <w:pStyle w:val="Boxtext"/>
      </w:pPr>
      <w:r w:rsidRPr="00762990">
        <w:rPr>
          <w:rStyle w:val="Strong"/>
        </w:rPr>
        <w:t>Summary</w:t>
      </w:r>
      <w:r w:rsidRPr="00762990">
        <w:t>: Although there have been some recent improvements to the application ‘triage’ system, the PLAC is still required to consider 400 to 600 applications received by the Department per Prostheses List round, and usually discuss in detail approximately 20% to 25% of these applications. Documents (including summary of the assessments) provided to the meeting are very large, frequently exceeding hundreds of pages. Also, these documents are distributed only two weeks prior to meeting, limiting the level of scrutiny available from PLAC Members.</w:t>
      </w:r>
    </w:p>
    <w:p w14:paraId="5D7950E9" w14:textId="2954E03C" w:rsidR="006000CA" w:rsidRPr="00D2484E" w:rsidRDefault="00AB1404" w:rsidP="00510194">
      <w:pPr>
        <w:pStyle w:val="EYHeading3"/>
      </w:pPr>
      <w:bookmarkStart w:id="126" w:name="_Ref76454081"/>
      <w:r w:rsidRPr="00D2484E">
        <w:t>Triage process</w:t>
      </w:r>
      <w:bookmarkEnd w:id="126"/>
    </w:p>
    <w:p w14:paraId="34F4BDDE" w14:textId="15009FA9" w:rsidR="00252E7C" w:rsidRPr="00D2484E" w:rsidRDefault="002E7222" w:rsidP="00E45667">
      <w:r w:rsidRPr="00D2484E">
        <w:t xml:space="preserve">Since early </w:t>
      </w:r>
      <w:r w:rsidR="00C97BE6" w:rsidRPr="00D2484E">
        <w:t xml:space="preserve">2019, the </w:t>
      </w:r>
      <w:r w:rsidR="00F007AA" w:rsidRPr="00D2484E">
        <w:t>Department</w:t>
      </w:r>
      <w:r w:rsidR="00E3079F" w:rsidRPr="00D2484E">
        <w:t xml:space="preserve"> </w:t>
      </w:r>
      <w:r w:rsidRPr="00D2484E">
        <w:t xml:space="preserve">has been implementing </w:t>
      </w:r>
      <w:r w:rsidR="005C0F9E" w:rsidRPr="00D2484E">
        <w:t xml:space="preserve">changes </w:t>
      </w:r>
      <w:r w:rsidRPr="00D2484E">
        <w:t xml:space="preserve">aiming to improve </w:t>
      </w:r>
      <w:r w:rsidR="001043F7" w:rsidRPr="00D2484E">
        <w:t xml:space="preserve">the </w:t>
      </w:r>
      <w:r w:rsidRPr="00D2484E">
        <w:t>quality of the information provided to</w:t>
      </w:r>
      <w:r w:rsidR="00E3079F" w:rsidRPr="00D2484E">
        <w:t xml:space="preserve"> the PLAC. </w:t>
      </w:r>
      <w:r w:rsidR="00480404" w:rsidRPr="00D2484E">
        <w:t>The</w:t>
      </w:r>
      <w:r w:rsidR="00DB4A91" w:rsidRPr="00D2484E">
        <w:t xml:space="preserve"> </w:t>
      </w:r>
      <w:r w:rsidR="005104B6" w:rsidRPr="00D2484E">
        <w:t xml:space="preserve">Department </w:t>
      </w:r>
      <w:r w:rsidRPr="00D2484E">
        <w:t xml:space="preserve">usually </w:t>
      </w:r>
      <w:r w:rsidR="00B90114" w:rsidRPr="00D2484E">
        <w:t>rec</w:t>
      </w:r>
      <w:r w:rsidR="0023681C" w:rsidRPr="00D2484E">
        <w:t xml:space="preserve">eives </w:t>
      </w:r>
      <w:r w:rsidR="00B375AB" w:rsidRPr="00D2484E">
        <w:t xml:space="preserve">400 to 600 applications </w:t>
      </w:r>
      <w:r w:rsidRPr="00D2484E">
        <w:t xml:space="preserve">per Prostheses List round, and </w:t>
      </w:r>
      <w:r w:rsidR="00A16F66" w:rsidRPr="00D2484E">
        <w:t>information on assessments of these applications</w:t>
      </w:r>
      <w:r w:rsidRPr="00D2484E">
        <w:t xml:space="preserve"> is provided to </w:t>
      </w:r>
      <w:r w:rsidR="008F458D" w:rsidRPr="00D2484E">
        <w:t xml:space="preserve">each </w:t>
      </w:r>
      <w:r w:rsidR="00B375AB" w:rsidRPr="00D2484E">
        <w:t xml:space="preserve">PLAC </w:t>
      </w:r>
      <w:r w:rsidRPr="00D2484E">
        <w:t>meeting</w:t>
      </w:r>
      <w:r w:rsidR="00B375AB" w:rsidRPr="00D2484E">
        <w:t xml:space="preserve">. </w:t>
      </w:r>
      <w:r w:rsidR="00411FB4" w:rsidRPr="00D2484E">
        <w:t>O</w:t>
      </w:r>
      <w:r w:rsidR="00B375AB" w:rsidRPr="00D2484E">
        <w:t>f these applications</w:t>
      </w:r>
      <w:r w:rsidR="00252E7C" w:rsidRPr="00D2484E">
        <w:t>:</w:t>
      </w:r>
    </w:p>
    <w:p w14:paraId="07D5FF63" w14:textId="0B2D5C9D" w:rsidR="00252E7C" w:rsidRPr="00D2484E" w:rsidRDefault="0051683C" w:rsidP="002D1775">
      <w:pPr>
        <w:pStyle w:val="EYBullet1"/>
      </w:pPr>
      <w:proofErr w:type="gramStart"/>
      <w:r w:rsidRPr="00D2484E">
        <w:t>Typically</w:t>
      </w:r>
      <w:proofErr w:type="gramEnd"/>
      <w:r w:rsidRPr="00D2484E">
        <w:t xml:space="preserve"> around</w:t>
      </w:r>
      <w:r w:rsidR="00A16F66" w:rsidRPr="00D2484E">
        <w:t xml:space="preserve"> half </w:t>
      </w:r>
      <w:r w:rsidR="008E007C" w:rsidRPr="00D2484E">
        <w:t xml:space="preserve">of the applications </w:t>
      </w:r>
      <w:r w:rsidR="00A16F66" w:rsidRPr="00D2484E">
        <w:t xml:space="preserve">are new applications, and the </w:t>
      </w:r>
      <w:r w:rsidR="008E007C" w:rsidRPr="00D2484E">
        <w:t xml:space="preserve">other </w:t>
      </w:r>
      <w:r w:rsidR="00A16F66" w:rsidRPr="00D2484E">
        <w:t>half are amendment, compression and expansion applications</w:t>
      </w:r>
      <w:r w:rsidR="007F255F" w:rsidRPr="00D2484E">
        <w:t>.  T</w:t>
      </w:r>
      <w:r w:rsidR="00A16F66" w:rsidRPr="00D2484E">
        <w:t xml:space="preserve">he Department does not provide to PLAC any </w:t>
      </w:r>
      <w:r w:rsidR="007F255F" w:rsidRPr="00D2484E">
        <w:t xml:space="preserve">Part B </w:t>
      </w:r>
      <w:r w:rsidR="00A16F66" w:rsidRPr="00D2484E">
        <w:t xml:space="preserve">applications, or Part A </w:t>
      </w:r>
      <w:r w:rsidR="007F255F" w:rsidRPr="00D2484E">
        <w:t>/</w:t>
      </w:r>
      <w:r w:rsidR="00A16F66" w:rsidRPr="00D2484E">
        <w:t xml:space="preserve"> Part C deletion of the PL billing codes, sponsors’ transfer or duplication </w:t>
      </w:r>
      <w:proofErr w:type="gramStart"/>
      <w:r w:rsidR="00A16F66" w:rsidRPr="00D2484E">
        <w:t>applications</w:t>
      </w:r>
      <w:r w:rsidR="00252E7C" w:rsidRPr="00D2484E">
        <w:t>;</w:t>
      </w:r>
      <w:proofErr w:type="gramEnd"/>
      <w:r w:rsidR="00252E7C" w:rsidRPr="00D2484E">
        <w:t xml:space="preserve"> </w:t>
      </w:r>
    </w:p>
    <w:p w14:paraId="43BF15BB" w14:textId="3417E9A9" w:rsidR="00252E7C" w:rsidRPr="00D2484E" w:rsidRDefault="00252E7C" w:rsidP="002D1775">
      <w:pPr>
        <w:pStyle w:val="EYBullet1"/>
      </w:pPr>
      <w:r w:rsidRPr="00D2484E">
        <w:t xml:space="preserve">Approximately </w:t>
      </w:r>
      <w:r w:rsidR="00CC61D7" w:rsidRPr="00D2484E">
        <w:t xml:space="preserve">20 per cent </w:t>
      </w:r>
      <w:r w:rsidR="00A16F66" w:rsidRPr="00D2484E">
        <w:t>of applications provided to</w:t>
      </w:r>
      <w:r w:rsidR="00073AC2" w:rsidRPr="00D2484E">
        <w:t xml:space="preserve"> </w:t>
      </w:r>
      <w:r w:rsidR="009A4611" w:rsidRPr="00D2484E">
        <w:t xml:space="preserve">the </w:t>
      </w:r>
      <w:proofErr w:type="gramStart"/>
      <w:r w:rsidR="009A4611" w:rsidRPr="00D2484E">
        <w:t>PLAC</w:t>
      </w:r>
      <w:r w:rsidR="00073AC2" w:rsidRPr="00D2484E">
        <w:t xml:space="preserve"> </w:t>
      </w:r>
      <w:r w:rsidR="00A16F66" w:rsidRPr="00D2484E">
        <w:t xml:space="preserve"> are</w:t>
      </w:r>
      <w:proofErr w:type="gramEnd"/>
      <w:r w:rsidR="00A16F66" w:rsidRPr="00D2484E">
        <w:t xml:space="preserve"> discussed in detail and</w:t>
      </w:r>
      <w:r w:rsidR="0051683C" w:rsidRPr="00D2484E">
        <w:t>,</w:t>
      </w:r>
      <w:r w:rsidR="00A16F66" w:rsidRPr="00D2484E">
        <w:t xml:space="preserve"> for the remaining applications, PLAC members usually accept the recommendations provided in the PLAC meeting papers </w:t>
      </w:r>
      <w:r w:rsidR="00030951" w:rsidRPr="00D2484E">
        <w:t>‘by exception’</w:t>
      </w:r>
      <w:r w:rsidRPr="00D2484E">
        <w:t>; and</w:t>
      </w:r>
    </w:p>
    <w:p w14:paraId="44B5B229" w14:textId="48748E70" w:rsidR="00252E7C" w:rsidRPr="00D2484E" w:rsidRDefault="000E5125" w:rsidP="002D1775">
      <w:pPr>
        <w:pStyle w:val="EYBullet1"/>
      </w:pPr>
      <w:r w:rsidRPr="00D2484E">
        <w:t>Out of all applications, a</w:t>
      </w:r>
      <w:r w:rsidR="00252E7C" w:rsidRPr="00D2484E">
        <w:t xml:space="preserve">pproximately </w:t>
      </w:r>
      <w:r w:rsidR="000462A0" w:rsidRPr="00D2484E">
        <w:t>10</w:t>
      </w:r>
      <w:r w:rsidR="00615297" w:rsidRPr="00D2484E">
        <w:t xml:space="preserve"> to </w:t>
      </w:r>
      <w:r w:rsidRPr="00D2484E">
        <w:t>20</w:t>
      </w:r>
      <w:r w:rsidR="00615297" w:rsidRPr="00D2484E">
        <w:t xml:space="preserve"> </w:t>
      </w:r>
      <w:r w:rsidR="000462A0" w:rsidRPr="00D2484E">
        <w:t xml:space="preserve">applications </w:t>
      </w:r>
      <w:r w:rsidRPr="00D2484E">
        <w:t xml:space="preserve">per year </w:t>
      </w:r>
      <w:r w:rsidR="00252E7C" w:rsidRPr="00D2484E">
        <w:t>are</w:t>
      </w:r>
      <w:r w:rsidR="000462A0" w:rsidRPr="00D2484E">
        <w:t xml:space="preserve"> referred </w:t>
      </w:r>
      <w:r w:rsidRPr="00D2484E">
        <w:t xml:space="preserve">to </w:t>
      </w:r>
      <w:r w:rsidR="00615297" w:rsidRPr="00D2484E">
        <w:t>‘</w:t>
      </w:r>
      <w:r w:rsidRPr="00D2484E">
        <w:t>focussed HTA</w:t>
      </w:r>
      <w:r w:rsidR="00615297" w:rsidRPr="00D2484E">
        <w:t>’</w:t>
      </w:r>
      <w:r w:rsidRPr="00D2484E">
        <w:t xml:space="preserve">, and about </w:t>
      </w:r>
      <w:r w:rsidR="00615297" w:rsidRPr="00D2484E">
        <w:t>five</w:t>
      </w:r>
      <w:r w:rsidRPr="00D2484E">
        <w:t xml:space="preserve"> </w:t>
      </w:r>
      <w:r w:rsidR="00615297" w:rsidRPr="00D2484E">
        <w:t>to seven</w:t>
      </w:r>
      <w:r w:rsidRPr="00D2484E">
        <w:t xml:space="preserve"> applications per year are assessed by</w:t>
      </w:r>
      <w:r w:rsidR="000462A0" w:rsidRPr="00D2484E">
        <w:t xml:space="preserve"> </w:t>
      </w:r>
      <w:r w:rsidR="00A25CA5" w:rsidRPr="00D2484E">
        <w:t>M</w:t>
      </w:r>
      <w:r w:rsidR="000462A0" w:rsidRPr="00D2484E">
        <w:t>SAC</w:t>
      </w:r>
      <w:r w:rsidR="0095713B" w:rsidRPr="00D2484E">
        <w:t>.</w:t>
      </w:r>
    </w:p>
    <w:p w14:paraId="1347F132" w14:textId="194075CC" w:rsidR="003F6B72" w:rsidRPr="00D2484E" w:rsidRDefault="00790AD9" w:rsidP="00E45667">
      <w:r w:rsidRPr="00D2484E">
        <w:t xml:space="preserve">This </w:t>
      </w:r>
      <w:r w:rsidR="000E5125" w:rsidRPr="00D2484E">
        <w:t xml:space="preserve">amended process </w:t>
      </w:r>
      <w:r w:rsidR="000A585E" w:rsidRPr="00D2484E">
        <w:t xml:space="preserve">has been </w:t>
      </w:r>
      <w:r w:rsidR="005110AC" w:rsidRPr="00D2484E">
        <w:t xml:space="preserve">credited with </w:t>
      </w:r>
      <w:r w:rsidR="009B468B" w:rsidRPr="00D2484E">
        <w:t>enabl</w:t>
      </w:r>
      <w:r w:rsidR="005110AC" w:rsidRPr="00D2484E">
        <w:t>ing</w:t>
      </w:r>
      <w:r w:rsidR="009B468B" w:rsidRPr="00D2484E">
        <w:t xml:space="preserve"> the PLAC to </w:t>
      </w:r>
      <w:r w:rsidR="00EF64DD" w:rsidRPr="00D2484E">
        <w:t>better scrutinise</w:t>
      </w:r>
      <w:r w:rsidR="000D6321" w:rsidRPr="00D2484E">
        <w:t xml:space="preserve"> </w:t>
      </w:r>
      <w:r w:rsidR="00F237FF" w:rsidRPr="00D2484E">
        <w:t xml:space="preserve">and </w:t>
      </w:r>
      <w:r w:rsidR="00FA760B" w:rsidRPr="00D2484E">
        <w:t xml:space="preserve">engage in robust </w:t>
      </w:r>
      <w:r w:rsidR="00F237FF" w:rsidRPr="00D2484E">
        <w:t>discuss</w:t>
      </w:r>
      <w:r w:rsidR="00FA760B" w:rsidRPr="00D2484E">
        <w:t>ions on</w:t>
      </w:r>
      <w:r w:rsidR="00F237FF" w:rsidRPr="00D2484E">
        <w:t xml:space="preserve"> applications rather</w:t>
      </w:r>
      <w:r w:rsidR="007B5CA8" w:rsidRPr="00D2484E">
        <w:t xml:space="preserve"> than </w:t>
      </w:r>
      <w:r w:rsidR="009F7459" w:rsidRPr="00D2484E">
        <w:t>“</w:t>
      </w:r>
      <w:r w:rsidR="00413C99" w:rsidRPr="00D2484E">
        <w:t>tic</w:t>
      </w:r>
      <w:r w:rsidR="009F7459" w:rsidRPr="00D2484E">
        <w:t>king</w:t>
      </w:r>
      <w:r w:rsidR="00413C99" w:rsidRPr="00D2484E">
        <w:t xml:space="preserve"> and flick</w:t>
      </w:r>
      <w:r w:rsidR="009F7459" w:rsidRPr="00D2484E">
        <w:t xml:space="preserve">ing” </w:t>
      </w:r>
      <w:r w:rsidR="001C69B9" w:rsidRPr="00D2484E">
        <w:t>applications.</w:t>
      </w:r>
      <w:r w:rsidR="00DA7363" w:rsidRPr="00D2484E">
        <w:t xml:space="preserve"> </w:t>
      </w:r>
    </w:p>
    <w:p w14:paraId="73FBC314" w14:textId="14887EF8" w:rsidR="007D2F0D" w:rsidRPr="00D2484E" w:rsidRDefault="001C69B9" w:rsidP="00E45667">
      <w:r w:rsidRPr="00D2484E">
        <w:t>This, however,</w:t>
      </w:r>
      <w:r w:rsidR="00907EFD" w:rsidRPr="00D2484E">
        <w:t xml:space="preserve"> has perpetuated other challenges, such as opening the PLAC to be a forum for dispute</w:t>
      </w:r>
      <w:r w:rsidR="007C4D10" w:rsidRPr="00D2484E">
        <w:t xml:space="preserve">, as discussed </w:t>
      </w:r>
      <w:r w:rsidR="0093771E" w:rsidRPr="00D2484E">
        <w:fldChar w:fldCharType="begin"/>
      </w:r>
      <w:r w:rsidR="0093771E" w:rsidRPr="00D2484E">
        <w:instrText xml:space="preserve"> REF _Ref76635251 \p \h </w:instrText>
      </w:r>
      <w:r w:rsidR="00895537" w:rsidRPr="00D2484E">
        <w:instrText xml:space="preserve"> \* MERGEFORMAT </w:instrText>
      </w:r>
      <w:r w:rsidR="0093771E" w:rsidRPr="00D2484E">
        <w:fldChar w:fldCharType="separate"/>
      </w:r>
      <w:r w:rsidR="00475597" w:rsidRPr="00D2484E">
        <w:t>above</w:t>
      </w:r>
      <w:r w:rsidR="0093771E" w:rsidRPr="00D2484E">
        <w:fldChar w:fldCharType="end"/>
      </w:r>
      <w:r w:rsidR="007C4D10" w:rsidRPr="00D2484E">
        <w:t xml:space="preserve"> at </w:t>
      </w:r>
      <w:r w:rsidR="00365590" w:rsidRPr="00D2484E">
        <w:t xml:space="preserve">Section </w:t>
      </w:r>
      <w:r w:rsidR="007C4D10" w:rsidRPr="00D2484E">
        <w:fldChar w:fldCharType="begin"/>
      </w:r>
      <w:r w:rsidR="007C4D10" w:rsidRPr="00D2484E">
        <w:instrText xml:space="preserve"> REF _Ref76635251 \r \h </w:instrText>
      </w:r>
      <w:r w:rsidR="00895537" w:rsidRPr="00D2484E">
        <w:instrText xml:space="preserve"> \* MERGEFORMAT </w:instrText>
      </w:r>
      <w:r w:rsidR="007C4D10" w:rsidRPr="00D2484E">
        <w:fldChar w:fldCharType="separate"/>
      </w:r>
      <w:r w:rsidR="00475597" w:rsidRPr="00D2484E">
        <w:t>4.1.3</w:t>
      </w:r>
      <w:r w:rsidR="007C4D10" w:rsidRPr="00D2484E">
        <w:fldChar w:fldCharType="end"/>
      </w:r>
      <w:r w:rsidR="00907EFD" w:rsidRPr="00D2484E">
        <w:t xml:space="preserve">. </w:t>
      </w:r>
      <w:r w:rsidR="002C1319" w:rsidRPr="00D2484E">
        <w:t xml:space="preserve">While the triage system has been recognised as improving the </w:t>
      </w:r>
      <w:r w:rsidR="00566390" w:rsidRPr="00D2484E">
        <w:t xml:space="preserve">focus </w:t>
      </w:r>
      <w:r w:rsidR="002C1319" w:rsidRPr="00D2484E">
        <w:t>of</w:t>
      </w:r>
      <w:r w:rsidR="00566390" w:rsidRPr="00D2484E">
        <w:t xml:space="preserve"> </w:t>
      </w:r>
      <w:r w:rsidR="00CA3075" w:rsidRPr="00D2484E">
        <w:t xml:space="preserve">the </w:t>
      </w:r>
      <w:r w:rsidR="00566390" w:rsidRPr="00D2484E">
        <w:t>PLAC’s</w:t>
      </w:r>
      <w:r w:rsidR="002C1319" w:rsidRPr="00D2484E">
        <w:t xml:space="preserve"> work, </w:t>
      </w:r>
      <w:r w:rsidR="00512B29" w:rsidRPr="00D2484E">
        <w:t xml:space="preserve">the volume of work continues to pose a challenge to the PLAC. </w:t>
      </w:r>
    </w:p>
    <w:p w14:paraId="1F8D5B1A" w14:textId="2B4C6C5F" w:rsidR="0068484A" w:rsidRPr="00762990" w:rsidRDefault="0068484A" w:rsidP="00762990">
      <w:pPr>
        <w:pStyle w:val="Heading4"/>
      </w:pPr>
      <w:r w:rsidRPr="00762990">
        <w:t>Time to review meeting papers</w:t>
      </w:r>
    </w:p>
    <w:p w14:paraId="1CEF092F" w14:textId="0DE33D0F" w:rsidR="00C735F3" w:rsidRPr="005A2F16" w:rsidRDefault="00691D02" w:rsidP="005A2F16">
      <w:r w:rsidRPr="005A2F16">
        <w:t xml:space="preserve">The PLAC Operational Guidance stipulates that </w:t>
      </w:r>
      <w:r w:rsidR="00776D5D" w:rsidRPr="005A2F16">
        <w:t xml:space="preserve">the </w:t>
      </w:r>
      <w:r w:rsidRPr="005A2F16">
        <w:t>Secretariat</w:t>
      </w:r>
      <w:r w:rsidR="0045609B" w:rsidRPr="005A2F16">
        <w:t xml:space="preserve"> (based in </w:t>
      </w:r>
      <w:r w:rsidR="00AB4599" w:rsidRPr="005A2F16">
        <w:t>the</w:t>
      </w:r>
      <w:r w:rsidR="0045609B" w:rsidRPr="005A2F16">
        <w:t xml:space="preserve"> </w:t>
      </w:r>
      <w:r w:rsidR="005A01A2" w:rsidRPr="005A2F16">
        <w:t>TAAD</w:t>
      </w:r>
      <w:r w:rsidR="0045609B" w:rsidRPr="005A2F16">
        <w:t>)</w:t>
      </w:r>
      <w:r w:rsidRPr="005A2F16">
        <w:t xml:space="preserve"> circulates meeting papers to members two calendar weeks prior to a meeting</w:t>
      </w:r>
      <w:r w:rsidR="0068484A" w:rsidRPr="005A2F16">
        <w:t xml:space="preserve">. </w:t>
      </w:r>
      <w:r w:rsidR="00CE460C" w:rsidRPr="005A2F16">
        <w:t>Some</w:t>
      </w:r>
      <w:r w:rsidRPr="005A2F16">
        <w:t xml:space="preserve"> PLAC </w:t>
      </w:r>
      <w:r w:rsidR="00C52B90" w:rsidRPr="005A2F16">
        <w:t>Members</w:t>
      </w:r>
      <w:r w:rsidR="00CE460C" w:rsidRPr="005A2F16">
        <w:t xml:space="preserve"> reported that they</w:t>
      </w:r>
      <w:r w:rsidR="0068484A" w:rsidRPr="005A2F16">
        <w:t xml:space="preserve"> </w:t>
      </w:r>
      <w:r w:rsidR="00EC7F97" w:rsidRPr="005A2F16">
        <w:t>typically received</w:t>
      </w:r>
      <w:r w:rsidR="0068484A" w:rsidRPr="005A2F16">
        <w:t xml:space="preserve"> p</w:t>
      </w:r>
      <w:r w:rsidRPr="005A2F16">
        <w:t xml:space="preserve">apers </w:t>
      </w:r>
      <w:r w:rsidR="0045609B" w:rsidRPr="005A2F16">
        <w:t>in the week</w:t>
      </w:r>
      <w:r w:rsidR="008B4D6D" w:rsidRPr="005A2F16">
        <w:t xml:space="preserve"> prior</w:t>
      </w:r>
      <w:r w:rsidR="00CE460C" w:rsidRPr="005A2F16">
        <w:t>, although it may be that th</w:t>
      </w:r>
      <w:r w:rsidR="00A33A37" w:rsidRPr="005A2F16">
        <w:t xml:space="preserve">e papers were </w:t>
      </w:r>
      <w:r w:rsidR="004436E8" w:rsidRPr="005A2F16">
        <w:t xml:space="preserve">only accessed by those </w:t>
      </w:r>
      <w:r w:rsidR="00A33A37" w:rsidRPr="005A2F16">
        <w:t xml:space="preserve">members </w:t>
      </w:r>
      <w:r w:rsidR="004436E8" w:rsidRPr="005A2F16">
        <w:t xml:space="preserve">at that </w:t>
      </w:r>
      <w:proofErr w:type="gramStart"/>
      <w:r w:rsidR="004436E8" w:rsidRPr="005A2F16">
        <w:t>particular time</w:t>
      </w:r>
      <w:proofErr w:type="gramEnd"/>
      <w:r w:rsidR="002F50C2" w:rsidRPr="005A2F16">
        <w:t>.</w:t>
      </w:r>
    </w:p>
    <w:p w14:paraId="23F865F6" w14:textId="77777777" w:rsidR="0068484A" w:rsidRPr="00762990" w:rsidRDefault="0068484A" w:rsidP="00762990">
      <w:pPr>
        <w:pStyle w:val="Heading4"/>
      </w:pPr>
      <w:r w:rsidRPr="00762990">
        <w:lastRenderedPageBreak/>
        <w:t>Volume of meeting papers</w:t>
      </w:r>
    </w:p>
    <w:p w14:paraId="1887F8DE" w14:textId="2F80E702" w:rsidR="006A2CEF" w:rsidRPr="00E45667" w:rsidRDefault="0068484A" w:rsidP="00E45667">
      <w:r w:rsidRPr="00D2484E">
        <w:t xml:space="preserve">Papers for PLAC Meetings were not available for this Review, however packs were </w:t>
      </w:r>
      <w:r w:rsidR="00740FC8" w:rsidRPr="00D2484E">
        <w:t xml:space="preserve">frequently </w:t>
      </w:r>
      <w:r w:rsidRPr="00D2484E">
        <w:t xml:space="preserve">‘voluminous’, amounting to several hundreds of pages per cycle. </w:t>
      </w:r>
      <w:r w:rsidR="00341A28" w:rsidRPr="00D2484E">
        <w:t>T</w:t>
      </w:r>
      <w:r w:rsidR="002C0694" w:rsidRPr="00D2484E">
        <w:t xml:space="preserve">he volume of information provided is </w:t>
      </w:r>
      <w:r w:rsidR="00740FC8" w:rsidRPr="00D2484E">
        <w:t xml:space="preserve">said </w:t>
      </w:r>
      <w:r w:rsidR="00341A28" w:rsidRPr="00D2484E">
        <w:t xml:space="preserve">to be </w:t>
      </w:r>
      <w:r w:rsidR="002C0694" w:rsidRPr="00D2484E">
        <w:t xml:space="preserve">untenable, </w:t>
      </w:r>
      <w:r w:rsidR="00C84349" w:rsidRPr="00D2484E">
        <w:t>wi</w:t>
      </w:r>
      <w:r w:rsidR="00C84349" w:rsidRPr="00E45667">
        <w:t xml:space="preserve">th many </w:t>
      </w:r>
      <w:r w:rsidR="00341A28" w:rsidRPr="00E45667">
        <w:t>stating</w:t>
      </w:r>
      <w:r w:rsidR="00C84349" w:rsidRPr="00E45667">
        <w:t xml:space="preserve"> that it is not possible to comprehensively review </w:t>
      </w:r>
      <w:r w:rsidR="0024540F" w:rsidRPr="00E45667">
        <w:t xml:space="preserve">and scrutinise </w:t>
      </w:r>
      <w:r w:rsidR="00C84349" w:rsidRPr="00E45667">
        <w:t xml:space="preserve">papers </w:t>
      </w:r>
      <w:r w:rsidR="0024540F" w:rsidRPr="00E45667">
        <w:t>with</w:t>
      </w:r>
      <w:r w:rsidR="00C84349" w:rsidRPr="00E45667">
        <w:t>in the given timeframes.</w:t>
      </w:r>
    </w:p>
    <w:p w14:paraId="5280776B" w14:textId="6E20FB8B" w:rsidR="00864F05" w:rsidRPr="00E45667" w:rsidRDefault="00864F05" w:rsidP="00E45667">
      <w:r w:rsidRPr="00E45667">
        <w:t xml:space="preserve">The volume of applications has also been attributed as an additional reason </w:t>
      </w:r>
      <w:r w:rsidR="00F839FE" w:rsidRPr="00E45667">
        <w:t xml:space="preserve">for the PLAC’s limited </w:t>
      </w:r>
      <w:r w:rsidR="00A57BF9" w:rsidRPr="00E45667">
        <w:t>capacity for post-</w:t>
      </w:r>
      <w:r w:rsidR="007755C1" w:rsidRPr="00E45667">
        <w:t>listing</w:t>
      </w:r>
      <w:r w:rsidR="00A57BF9" w:rsidRPr="00E45667">
        <w:t xml:space="preserve"> review</w:t>
      </w:r>
      <w:r w:rsidR="00D904EB" w:rsidRPr="00E45667">
        <w:t xml:space="preserve">. </w:t>
      </w:r>
    </w:p>
    <w:p w14:paraId="469EB1BC" w14:textId="6D4F982F" w:rsidR="00435077" w:rsidRPr="00762990" w:rsidRDefault="009937C9" w:rsidP="00762990">
      <w:pPr>
        <w:pStyle w:val="Heading4"/>
      </w:pPr>
      <w:r w:rsidRPr="00762990">
        <w:t xml:space="preserve">Availability of sponsor’s initial application </w:t>
      </w:r>
    </w:p>
    <w:p w14:paraId="2F4BE4A4" w14:textId="166AE347" w:rsidR="00792E46" w:rsidRPr="00E45667" w:rsidRDefault="009937C9" w:rsidP="00E45667">
      <w:r w:rsidRPr="00D2484E">
        <w:t xml:space="preserve">Despite </w:t>
      </w:r>
      <w:r w:rsidR="00C46A26" w:rsidRPr="00D2484E">
        <w:t xml:space="preserve">the significant amount of documentation provided to </w:t>
      </w:r>
      <w:r w:rsidR="00C52B90" w:rsidRPr="00D2484E">
        <w:t>PLAC Members</w:t>
      </w:r>
      <w:r w:rsidR="00C46A26" w:rsidRPr="00D2484E">
        <w:t xml:space="preserve">, </w:t>
      </w:r>
      <w:r w:rsidR="006C657B" w:rsidRPr="00D2484E">
        <w:t>the sponsor’s initial application is stated to not be included</w:t>
      </w:r>
      <w:r w:rsidR="00B879F0" w:rsidRPr="00D2484E">
        <w:t xml:space="preserve"> for review</w:t>
      </w:r>
      <w:r w:rsidR="009F65BD" w:rsidRPr="00D2484E">
        <w:t>, however, it is acknowledged all sponsor submissio</w:t>
      </w:r>
      <w:r w:rsidR="009F65BD" w:rsidRPr="00E45667">
        <w:t xml:space="preserve">ns are assessed by the CAGs or the </w:t>
      </w:r>
      <w:proofErr w:type="spellStart"/>
      <w:r w:rsidR="009F65BD" w:rsidRPr="00E45667">
        <w:t>PoCE</w:t>
      </w:r>
      <w:proofErr w:type="spellEnd"/>
      <w:r w:rsidR="00B879F0" w:rsidRPr="00E45667">
        <w:t xml:space="preserve">. </w:t>
      </w:r>
    </w:p>
    <w:p w14:paraId="0D9D669B" w14:textId="5415C3FC" w:rsidR="00C46A26" w:rsidRPr="00E45667" w:rsidRDefault="007D01F0" w:rsidP="00E45667">
      <w:r w:rsidRPr="00E45667">
        <w:t xml:space="preserve">Participants </w:t>
      </w:r>
      <w:r w:rsidR="00216347" w:rsidRPr="00E45667">
        <w:t>suggested</w:t>
      </w:r>
      <w:r w:rsidRPr="00E45667">
        <w:t xml:space="preserve"> that</w:t>
      </w:r>
      <w:r w:rsidR="0097282F" w:rsidRPr="00E45667">
        <w:t>, if PLAC were to have a more active role in making decisions, then</w:t>
      </w:r>
      <w:r w:rsidRPr="00E45667">
        <w:t xml:space="preserve"> </w:t>
      </w:r>
      <w:r w:rsidR="00194964" w:rsidRPr="00E45667">
        <w:t>increasing the time available to review</w:t>
      </w:r>
      <w:r w:rsidR="00304530" w:rsidRPr="00E45667">
        <w:t>, or lessening the volume of documentation to review would be required.</w:t>
      </w:r>
    </w:p>
    <w:p w14:paraId="35B1EE96" w14:textId="132AD247" w:rsidR="00DF704D" w:rsidRPr="00762990" w:rsidRDefault="00871451" w:rsidP="00762990">
      <w:pPr>
        <w:pStyle w:val="Heading4"/>
      </w:pPr>
      <w:r w:rsidRPr="00762990">
        <w:t>Advocacy and dispute between</w:t>
      </w:r>
      <w:r w:rsidR="00DF704D" w:rsidRPr="00762990">
        <w:t xml:space="preserve"> </w:t>
      </w:r>
      <w:r w:rsidR="00321D90" w:rsidRPr="00762990">
        <w:t>Advisory Member</w:t>
      </w:r>
      <w:r w:rsidR="00DF704D" w:rsidRPr="00762990">
        <w:t>s</w:t>
      </w:r>
    </w:p>
    <w:p w14:paraId="6213C875" w14:textId="499525D5" w:rsidR="007D7022" w:rsidRPr="005A2F16" w:rsidRDefault="00411474" w:rsidP="005A2F16">
      <w:r w:rsidRPr="005A2F16">
        <w:t xml:space="preserve">As noted in Section </w:t>
      </w:r>
      <w:r w:rsidRPr="005A2F16">
        <w:fldChar w:fldCharType="begin"/>
      </w:r>
      <w:r w:rsidRPr="005A2F16">
        <w:instrText xml:space="preserve"> REF _Ref76635251 \r \h </w:instrText>
      </w:r>
      <w:r w:rsidR="00895537" w:rsidRPr="005A2F16">
        <w:instrText xml:space="preserve"> \* MERGEFORMAT </w:instrText>
      </w:r>
      <w:r w:rsidRPr="005A2F16">
        <w:fldChar w:fldCharType="separate"/>
      </w:r>
      <w:r w:rsidR="00475597" w:rsidRPr="005A2F16">
        <w:t>4.1.3</w:t>
      </w:r>
      <w:r w:rsidRPr="005A2F16">
        <w:fldChar w:fldCharType="end"/>
      </w:r>
      <w:r w:rsidRPr="005A2F16">
        <w:t>,</w:t>
      </w:r>
      <w:r w:rsidR="00544EAB" w:rsidRPr="005A2F16">
        <w:t xml:space="preserve"> significant PLAC meeting time is </w:t>
      </w:r>
      <w:r w:rsidR="006E5BB0" w:rsidRPr="005A2F16">
        <w:t>consumed by</w:t>
      </w:r>
      <w:r w:rsidR="00871451" w:rsidRPr="005A2F16">
        <w:t xml:space="preserve"> advocacy and dispute between Advisory Members </w:t>
      </w:r>
      <w:r w:rsidR="006E5BB0" w:rsidRPr="005A2F16">
        <w:t xml:space="preserve">limiting the capacity of the PLAC to </w:t>
      </w:r>
      <w:r w:rsidR="0018376C" w:rsidRPr="005A2F16">
        <w:t>properly fulfil its requirements.</w:t>
      </w:r>
    </w:p>
    <w:p w14:paraId="6B2C5BDE" w14:textId="715CEB5B" w:rsidR="003A5ACF" w:rsidRDefault="00A35211" w:rsidP="00675361">
      <w:pPr>
        <w:pStyle w:val="EYHeading2"/>
      </w:pPr>
      <w:bookmarkStart w:id="127" w:name="_Ref76661614"/>
      <w:bookmarkStart w:id="128" w:name="_Toc77329450"/>
      <w:r w:rsidRPr="00D2484E">
        <w:t xml:space="preserve">Support from the </w:t>
      </w:r>
      <w:bookmarkEnd w:id="127"/>
      <w:bookmarkEnd w:id="128"/>
      <w:r w:rsidR="00970A2B" w:rsidRPr="00D2484E">
        <w:t>Department</w:t>
      </w:r>
    </w:p>
    <w:p w14:paraId="6403B41A" w14:textId="77777777" w:rsidR="00762990" w:rsidRPr="00762990" w:rsidRDefault="00762990" w:rsidP="00762990">
      <w:pPr>
        <w:pStyle w:val="Boxtext"/>
        <w:rPr>
          <w:rStyle w:val="Strong"/>
        </w:rPr>
      </w:pPr>
      <w:r w:rsidRPr="00762990">
        <w:rPr>
          <w:rStyle w:val="Strong"/>
        </w:rPr>
        <w:t>Finding 3</w:t>
      </w:r>
    </w:p>
    <w:p w14:paraId="7D2137D0" w14:textId="77777777" w:rsidR="00762990" w:rsidRPr="00762990" w:rsidRDefault="00762990" w:rsidP="00762990">
      <w:pPr>
        <w:pStyle w:val="Boxtext"/>
        <w:rPr>
          <w:rStyle w:val="Strong"/>
        </w:rPr>
      </w:pPr>
      <w:r w:rsidRPr="00762990">
        <w:rPr>
          <w:rStyle w:val="Strong"/>
        </w:rPr>
        <w:t xml:space="preserve">The Department is constrained in its ability </w:t>
      </w:r>
      <w:proofErr w:type="gramStart"/>
      <w:r w:rsidRPr="00762990">
        <w:rPr>
          <w:rStyle w:val="Strong"/>
        </w:rPr>
        <w:t>to  provide</w:t>
      </w:r>
      <w:proofErr w:type="gramEnd"/>
      <w:r w:rsidRPr="00762990">
        <w:rPr>
          <w:rStyle w:val="Strong"/>
        </w:rPr>
        <w:t xml:space="preserve"> the necessary data and information to enable the PLAC to conduct its post-listing review responsibilities.</w:t>
      </w:r>
    </w:p>
    <w:p w14:paraId="7E6715C1" w14:textId="77777777" w:rsidR="00762990" w:rsidRDefault="00762990" w:rsidP="00762990">
      <w:pPr>
        <w:pStyle w:val="Boxtext"/>
      </w:pPr>
      <w:r w:rsidRPr="00762990">
        <w:rPr>
          <w:rStyle w:val="Strong"/>
        </w:rPr>
        <w:t>Summary</w:t>
      </w:r>
      <w:r>
        <w:t xml:space="preserve">: There are limited provisions in the legislation that support post-listing reviews, even though it is a responsibility of the PLAC. </w:t>
      </w:r>
    </w:p>
    <w:p w14:paraId="14BDEDE2" w14:textId="53BA7C3B" w:rsidR="00762990" w:rsidRPr="00762990" w:rsidRDefault="00762990" w:rsidP="00762990">
      <w:pPr>
        <w:pStyle w:val="Boxtext"/>
      </w:pPr>
      <w:r>
        <w:t xml:space="preserve">The Department has limited capability and capacity to conduct post-listing price, </w:t>
      </w:r>
      <w:proofErr w:type="gramStart"/>
      <w:r>
        <w:t>utilisation</w:t>
      </w:r>
      <w:proofErr w:type="gramEnd"/>
      <w:r>
        <w:t xml:space="preserve"> and clinical outcome surveillance to take to the PLAC for consideration. This is, in part, due to the volume of applications received per PLAC Meeting, but also due to limitations associated with data availability and analytical capabilities to provide PLAC with insights on medical devices utilisation, prices and clinical outcomes.</w:t>
      </w:r>
    </w:p>
    <w:p w14:paraId="2BD43734" w14:textId="6B110F49" w:rsidR="009C2503" w:rsidRPr="00D2484E" w:rsidRDefault="0095554F" w:rsidP="00510194">
      <w:pPr>
        <w:pStyle w:val="EYHeading3"/>
      </w:pPr>
      <w:bookmarkStart w:id="129" w:name="_Ref76466026"/>
      <w:r w:rsidRPr="00D2484E">
        <w:t>R</w:t>
      </w:r>
      <w:r w:rsidR="00683A7C" w:rsidRPr="00D2484E">
        <w:t>ole</w:t>
      </w:r>
      <w:r w:rsidR="009C2503" w:rsidRPr="00D2484E">
        <w:t xml:space="preserve"> of the </w:t>
      </w:r>
      <w:r w:rsidR="005265A1" w:rsidRPr="00D2484E">
        <w:t>Technology Assessment and Access Division</w:t>
      </w:r>
      <w:r w:rsidR="005265A1" w:rsidRPr="00D2484E" w:rsidDel="005265A1">
        <w:t xml:space="preserve"> </w:t>
      </w:r>
      <w:bookmarkEnd w:id="129"/>
      <w:r w:rsidR="009C2503" w:rsidRPr="00D2484E">
        <w:t xml:space="preserve"> </w:t>
      </w:r>
    </w:p>
    <w:p w14:paraId="0B2712C3" w14:textId="19294868" w:rsidR="00520884" w:rsidRPr="005A2F16" w:rsidRDefault="00521527" w:rsidP="005A2F16">
      <w:r w:rsidRPr="005A2F16">
        <w:t xml:space="preserve">TAAD is a division of the </w:t>
      </w:r>
      <w:r w:rsidR="009E7C8F" w:rsidRPr="005A2F16">
        <w:t xml:space="preserve">Department which </w:t>
      </w:r>
      <w:r w:rsidR="00324C33" w:rsidRPr="005A2F16">
        <w:t xml:space="preserve">currently </w:t>
      </w:r>
      <w:r w:rsidR="00B143AF" w:rsidRPr="005A2F16">
        <w:t xml:space="preserve">supports the work of </w:t>
      </w:r>
      <w:r w:rsidR="004F2083" w:rsidRPr="005A2F16">
        <w:t xml:space="preserve">the PLAC and provides </w:t>
      </w:r>
      <w:r w:rsidR="005D6A0E" w:rsidRPr="005A2F16">
        <w:t xml:space="preserve">administration of the </w:t>
      </w:r>
      <w:r w:rsidR="00452733" w:rsidRPr="005A2F16">
        <w:t>PLAC</w:t>
      </w:r>
      <w:r w:rsidR="005D6A0E" w:rsidRPr="005A2F16">
        <w:t xml:space="preserve"> in</w:t>
      </w:r>
      <w:r w:rsidR="009713FA" w:rsidRPr="005A2F16">
        <w:t>:</w:t>
      </w:r>
    </w:p>
    <w:p w14:paraId="2B359C1D" w14:textId="0F2FEE35" w:rsidR="009713FA" w:rsidRPr="00D2484E" w:rsidRDefault="00174832" w:rsidP="002D1775">
      <w:pPr>
        <w:pStyle w:val="EYBullet1"/>
      </w:pPr>
      <w:r w:rsidRPr="00D2484E">
        <w:t>M</w:t>
      </w:r>
      <w:r w:rsidR="009713FA" w:rsidRPr="00D2484E">
        <w:t xml:space="preserve">anagement of applications by Department staff, including: </w:t>
      </w:r>
    </w:p>
    <w:p w14:paraId="4AB9EA5F" w14:textId="7D3C009E" w:rsidR="009713FA" w:rsidRPr="00B5027D" w:rsidRDefault="009713FA" w:rsidP="00831172">
      <w:pPr>
        <w:pStyle w:val="EYBullet2"/>
      </w:pPr>
      <w:r w:rsidRPr="00B5027D">
        <w:t>initial assessment to ensure the application is valid</w:t>
      </w:r>
      <w:r w:rsidR="008E05DC" w:rsidRPr="00B5027D">
        <w:t>;</w:t>
      </w:r>
      <w:r w:rsidRPr="00B5027D">
        <w:t xml:space="preserve"> and</w:t>
      </w:r>
    </w:p>
    <w:p w14:paraId="5A6672A5" w14:textId="33CFECBD" w:rsidR="009713FA" w:rsidRPr="00B5027D" w:rsidRDefault="009713FA" w:rsidP="00831172">
      <w:pPr>
        <w:pStyle w:val="EYBullet2"/>
      </w:pPr>
      <w:r w:rsidRPr="00B5027D">
        <w:t>liaising with applicants on the requirements and progress of the application</w:t>
      </w:r>
    </w:p>
    <w:p w14:paraId="27491276" w14:textId="5B10EEA0" w:rsidR="009713FA" w:rsidRPr="00D2484E" w:rsidRDefault="00174832" w:rsidP="002D1775">
      <w:pPr>
        <w:pStyle w:val="EYBullet1"/>
      </w:pPr>
      <w:r w:rsidRPr="00D2484E">
        <w:t>Provision</w:t>
      </w:r>
      <w:r w:rsidR="009713FA" w:rsidRPr="00D2484E">
        <w:t xml:space="preserve"> of secretariat support by the </w:t>
      </w:r>
      <w:r w:rsidR="00F007AA" w:rsidRPr="00D2484E">
        <w:t>Department</w:t>
      </w:r>
      <w:r w:rsidR="009713FA" w:rsidRPr="00D2484E">
        <w:t xml:space="preserve"> to the PLAC and its sub-committees, including organising meetings and preparing </w:t>
      </w:r>
      <w:proofErr w:type="gramStart"/>
      <w:r w:rsidR="009713FA" w:rsidRPr="00D2484E">
        <w:t>papers</w:t>
      </w:r>
      <w:r w:rsidR="007C4BF1" w:rsidRPr="00D2484E">
        <w:t>;</w:t>
      </w:r>
      <w:proofErr w:type="gramEnd"/>
    </w:p>
    <w:p w14:paraId="39560FA3" w14:textId="2E54BCD5" w:rsidR="009713FA" w:rsidRPr="00D2484E" w:rsidRDefault="00174832" w:rsidP="002D1775">
      <w:pPr>
        <w:pStyle w:val="EYBullet1"/>
      </w:pPr>
      <w:r w:rsidRPr="00D2484E">
        <w:t>Assessment</w:t>
      </w:r>
      <w:r w:rsidR="009713FA" w:rsidRPr="00D2484E">
        <w:t xml:space="preserve"> of applications against the criteria for listing by the PLAC and its </w:t>
      </w:r>
      <w:r w:rsidR="004E3165" w:rsidRPr="00D2484E">
        <w:t>sub-committee</w:t>
      </w:r>
      <w:r w:rsidR="009713FA" w:rsidRPr="00D2484E">
        <w:t xml:space="preserve">s and making recommendations to the Minister or the Minister’s </w:t>
      </w:r>
      <w:proofErr w:type="gramStart"/>
      <w:r w:rsidR="009713FA" w:rsidRPr="00D2484E">
        <w:t>delegate</w:t>
      </w:r>
      <w:r w:rsidR="007C4BF1" w:rsidRPr="00D2484E">
        <w:t>;</w:t>
      </w:r>
      <w:proofErr w:type="gramEnd"/>
    </w:p>
    <w:p w14:paraId="35A2A0BB" w14:textId="03DCF02E" w:rsidR="009713FA" w:rsidRPr="00D2484E" w:rsidRDefault="00174832" w:rsidP="002D1775">
      <w:pPr>
        <w:pStyle w:val="EYBullet1"/>
      </w:pPr>
      <w:r w:rsidRPr="00D2484E">
        <w:t xml:space="preserve">Making </w:t>
      </w:r>
      <w:r w:rsidR="009713FA" w:rsidRPr="00D2484E">
        <w:t xml:space="preserve">the Prostheses </w:t>
      </w:r>
      <w:proofErr w:type="gramStart"/>
      <w:r w:rsidR="009713FA" w:rsidRPr="00D2484E">
        <w:t>Rules</w:t>
      </w:r>
      <w:r w:rsidR="007C4BF1" w:rsidRPr="00D2484E">
        <w:t>;</w:t>
      </w:r>
      <w:proofErr w:type="gramEnd"/>
    </w:p>
    <w:p w14:paraId="3AFCE878" w14:textId="4DF6BC0C" w:rsidR="009713FA" w:rsidRPr="00D2484E" w:rsidRDefault="00174832" w:rsidP="002D1775">
      <w:pPr>
        <w:pStyle w:val="EYBullet1"/>
      </w:pPr>
      <w:r w:rsidRPr="00D2484E">
        <w:t xml:space="preserve">Developing </w:t>
      </w:r>
      <w:r w:rsidR="009713FA" w:rsidRPr="00D2484E">
        <w:t>and maintaining IT systems to support the Prostheses List arrangements</w:t>
      </w:r>
      <w:r w:rsidR="007C4BF1" w:rsidRPr="00D2484E">
        <w:t>;</w:t>
      </w:r>
      <w:r w:rsidR="009713FA" w:rsidRPr="00D2484E">
        <w:t xml:space="preserve"> and</w:t>
      </w:r>
    </w:p>
    <w:p w14:paraId="136F28D3" w14:textId="41A42846" w:rsidR="009713FA" w:rsidRPr="00D2484E" w:rsidRDefault="00174832" w:rsidP="002D1775">
      <w:pPr>
        <w:pStyle w:val="EYBullet1"/>
      </w:pPr>
      <w:r w:rsidRPr="00D2484E">
        <w:lastRenderedPageBreak/>
        <w:t>Providing</w:t>
      </w:r>
      <w:r w:rsidR="009713FA" w:rsidRPr="00D2484E">
        <w:t xml:space="preserve"> and maintaining information for stakeholders about the Prostheses List processes and policy on the </w:t>
      </w:r>
      <w:r w:rsidR="00F007AA" w:rsidRPr="00D2484E">
        <w:t>Department</w:t>
      </w:r>
      <w:r w:rsidR="009713FA" w:rsidRPr="00D2484E">
        <w:t>’s website.</w:t>
      </w:r>
      <w:r w:rsidR="000D0FEA" w:rsidRPr="00D2484E">
        <w:rPr>
          <w:rStyle w:val="FootnoteReference"/>
          <w:rFonts w:ascii="Arial" w:hAnsi="Arial"/>
        </w:rPr>
        <w:footnoteReference w:id="13"/>
      </w:r>
    </w:p>
    <w:p w14:paraId="78A2D4F5" w14:textId="5FCB6EEF" w:rsidR="00FA77AF" w:rsidRPr="005A2F16" w:rsidRDefault="007D02A1" w:rsidP="005A2F16">
      <w:r w:rsidRPr="005A2F16">
        <w:t xml:space="preserve">TAAD </w:t>
      </w:r>
      <w:r w:rsidR="00FA77AF" w:rsidRPr="005A2F16">
        <w:t xml:space="preserve">also provides </w:t>
      </w:r>
      <w:r w:rsidR="00125FB2" w:rsidRPr="005A2F16">
        <w:t xml:space="preserve">support to </w:t>
      </w:r>
      <w:r w:rsidR="006818BA" w:rsidRPr="005A2F16">
        <w:t xml:space="preserve">the </w:t>
      </w:r>
      <w:r w:rsidR="00125FB2" w:rsidRPr="005A2F16">
        <w:t xml:space="preserve">MSAC and </w:t>
      </w:r>
      <w:r w:rsidR="006818BA" w:rsidRPr="005A2F16">
        <w:t xml:space="preserve">the </w:t>
      </w:r>
      <w:r w:rsidR="00125FB2" w:rsidRPr="005A2F16">
        <w:t xml:space="preserve">PBAC, and </w:t>
      </w:r>
      <w:proofErr w:type="gramStart"/>
      <w:r w:rsidR="00FA77AF" w:rsidRPr="005A2F16">
        <w:t>high level</w:t>
      </w:r>
      <w:proofErr w:type="gramEnd"/>
      <w:r w:rsidR="00FA77AF" w:rsidRPr="005A2F16">
        <w:t xml:space="preserve"> policy advice and briefings for the Senior Executive, Minister and Government.</w:t>
      </w:r>
    </w:p>
    <w:p w14:paraId="3CB47315" w14:textId="1A6BA6A9" w:rsidR="004D7F50" w:rsidRPr="00E45667" w:rsidRDefault="004D7F50" w:rsidP="00E45667">
      <w:r w:rsidRPr="00D2484E">
        <w:t>As such, although this Review does not formally include</w:t>
      </w:r>
      <w:r w:rsidRPr="00E45667">
        <w:t xml:space="preserve"> an assessment of </w:t>
      </w:r>
      <w:r w:rsidR="007D02A1" w:rsidRPr="00E45667">
        <w:t xml:space="preserve">TAAD </w:t>
      </w:r>
      <w:r w:rsidRPr="00E45667">
        <w:t xml:space="preserve">itself, </w:t>
      </w:r>
      <w:r w:rsidR="00C70F81" w:rsidRPr="00E45667">
        <w:t xml:space="preserve">its role </w:t>
      </w:r>
      <w:r w:rsidR="0020360D" w:rsidRPr="00E45667">
        <w:t>in supporting the PLAC through provision of</w:t>
      </w:r>
      <w:r w:rsidRPr="00E45667">
        <w:t xml:space="preserve"> documentation and recall of prior decisions (‘precedent’) are </w:t>
      </w:r>
      <w:r w:rsidR="0020360D" w:rsidRPr="00E45667">
        <w:t>important considerations.</w:t>
      </w:r>
    </w:p>
    <w:p w14:paraId="5B17B637" w14:textId="30CA4B9B" w:rsidR="006A2915" w:rsidRPr="00D2484E" w:rsidRDefault="0019132C" w:rsidP="00E45667">
      <w:r w:rsidRPr="00E45667">
        <w:t>Stakeholders consulted generally regarded the</w:t>
      </w:r>
      <w:r w:rsidR="00BC6436" w:rsidRPr="00E45667">
        <w:t xml:space="preserve"> </w:t>
      </w:r>
      <w:r w:rsidR="004A55D9" w:rsidRPr="00E45667">
        <w:t xml:space="preserve">efforts of </w:t>
      </w:r>
      <w:r w:rsidR="007D02A1" w:rsidRPr="00E45667">
        <w:t xml:space="preserve">TAAD </w:t>
      </w:r>
      <w:r w:rsidR="00A80E7F" w:rsidRPr="00E45667">
        <w:t>positively</w:t>
      </w:r>
      <w:r w:rsidR="00510CE5" w:rsidRPr="00E45667">
        <w:t xml:space="preserve"> and </w:t>
      </w:r>
      <w:r w:rsidR="00997B60" w:rsidRPr="00E45667">
        <w:t xml:space="preserve">praised </w:t>
      </w:r>
      <w:r w:rsidR="00510CE5" w:rsidRPr="00E45667">
        <w:t xml:space="preserve">improvement in </w:t>
      </w:r>
      <w:r w:rsidR="00C72FAE" w:rsidRPr="00E45667">
        <w:t>the quality</w:t>
      </w:r>
      <w:r w:rsidR="00A94C69" w:rsidRPr="00E45667">
        <w:t xml:space="preserve"> of its</w:t>
      </w:r>
      <w:r w:rsidR="005A0317" w:rsidRPr="00E45667">
        <w:t xml:space="preserve"> work</w:t>
      </w:r>
      <w:r w:rsidR="003D2328" w:rsidRPr="00E45667">
        <w:t xml:space="preserve"> </w:t>
      </w:r>
      <w:r w:rsidR="008820D5" w:rsidRPr="00E45667">
        <w:t>over</w:t>
      </w:r>
      <w:r w:rsidR="001E1D40" w:rsidRPr="00E45667">
        <w:t xml:space="preserve"> the </w:t>
      </w:r>
      <w:r w:rsidR="008820D5" w:rsidRPr="00E45667">
        <w:t xml:space="preserve">last </w:t>
      </w:r>
      <w:r w:rsidR="003D2328" w:rsidRPr="00E45667">
        <w:t>1</w:t>
      </w:r>
      <w:r w:rsidR="003D2328" w:rsidRPr="00D2484E">
        <w:t>2 months</w:t>
      </w:r>
      <w:r w:rsidR="001E1D40" w:rsidRPr="00D2484E">
        <w:t xml:space="preserve">. </w:t>
      </w:r>
      <w:r w:rsidR="004F3F18" w:rsidRPr="00D2484E">
        <w:t xml:space="preserve">The considerable volume of </w:t>
      </w:r>
      <w:r w:rsidR="00A03E52" w:rsidRPr="00D2484E">
        <w:t xml:space="preserve">applications triaged </w:t>
      </w:r>
      <w:r w:rsidR="004F3F18" w:rsidRPr="00D2484E">
        <w:t xml:space="preserve">(approximately 400 to </w:t>
      </w:r>
      <w:r w:rsidR="00B6277D" w:rsidRPr="00D2484E">
        <w:t>6</w:t>
      </w:r>
      <w:r w:rsidR="004F3F18" w:rsidRPr="00D2484E">
        <w:t>00 applications</w:t>
      </w:r>
      <w:r w:rsidR="0062448C" w:rsidRPr="00D2484E">
        <w:t xml:space="preserve"> per meeting) by </w:t>
      </w:r>
      <w:r w:rsidR="007D02A1" w:rsidRPr="00D2484E">
        <w:t xml:space="preserve">TAAD </w:t>
      </w:r>
      <w:r w:rsidR="0062448C" w:rsidRPr="00D2484E">
        <w:t>is</w:t>
      </w:r>
      <w:r w:rsidR="002F063F" w:rsidRPr="00D2484E">
        <w:t xml:space="preserve"> both recognised and</w:t>
      </w:r>
      <w:r w:rsidR="0062448C" w:rsidRPr="00D2484E">
        <w:t xml:space="preserve"> </w:t>
      </w:r>
      <w:r w:rsidR="006B1E2C" w:rsidRPr="00D2484E">
        <w:t xml:space="preserve">appreciated by PLAC </w:t>
      </w:r>
      <w:r w:rsidR="00C52B90" w:rsidRPr="00D2484E">
        <w:t>Members</w:t>
      </w:r>
      <w:r w:rsidR="00C86C71" w:rsidRPr="00D2484E">
        <w:t>.</w:t>
      </w:r>
    </w:p>
    <w:p w14:paraId="2420AFD3" w14:textId="23319AF1" w:rsidR="00121005" w:rsidRPr="00762990" w:rsidRDefault="00121005" w:rsidP="00762990">
      <w:pPr>
        <w:pStyle w:val="Heading4"/>
      </w:pPr>
      <w:r w:rsidRPr="00762990">
        <w:t>Resourcing</w:t>
      </w:r>
    </w:p>
    <w:p w14:paraId="68DD03DD" w14:textId="5BC33F24" w:rsidR="00046D37" w:rsidRPr="005A2F16" w:rsidRDefault="00083F57" w:rsidP="005A2F16">
      <w:r w:rsidRPr="005A2F16">
        <w:t xml:space="preserve">This </w:t>
      </w:r>
      <w:r w:rsidR="005140C0" w:rsidRPr="005A2F16">
        <w:t>R</w:t>
      </w:r>
      <w:r w:rsidRPr="005A2F16">
        <w:t>eview is unable to determine the current</w:t>
      </w:r>
      <w:r w:rsidR="00D30AD8" w:rsidRPr="005A2F16">
        <w:t xml:space="preserve"> nor required</w:t>
      </w:r>
      <w:r w:rsidRPr="005A2F16">
        <w:t xml:space="preserve"> resourcing of </w:t>
      </w:r>
      <w:r w:rsidR="006744F4" w:rsidRPr="005A2F16">
        <w:t xml:space="preserve">TAAD </w:t>
      </w:r>
      <w:r w:rsidR="001D6ECF" w:rsidRPr="005A2F16">
        <w:t>to support</w:t>
      </w:r>
      <w:r w:rsidRPr="005A2F16">
        <w:t xml:space="preserve"> the work of the PLAC. T</w:t>
      </w:r>
      <w:r w:rsidR="00A24BAF" w:rsidRPr="005A2F16">
        <w:t xml:space="preserve">he </w:t>
      </w:r>
      <w:r w:rsidR="00F0389F" w:rsidRPr="005A2F16">
        <w:t xml:space="preserve">number </w:t>
      </w:r>
      <w:r w:rsidR="006C3670" w:rsidRPr="005A2F16">
        <w:t xml:space="preserve">of </w:t>
      </w:r>
      <w:proofErr w:type="gramStart"/>
      <w:r w:rsidR="006C3670" w:rsidRPr="005A2F16">
        <w:t>full time</w:t>
      </w:r>
      <w:proofErr w:type="gramEnd"/>
      <w:r w:rsidR="006C3670" w:rsidRPr="005A2F16">
        <w:t xml:space="preserve"> employees</w:t>
      </w:r>
      <w:r w:rsidRPr="005A2F16">
        <w:t xml:space="preserve"> dedicated to supporting the PLAC</w:t>
      </w:r>
      <w:r w:rsidR="006C3670" w:rsidRPr="005A2F16">
        <w:t xml:space="preserve"> is not available in the Department of Health Cost Recovery Implementation Statement – Administration of the Prostheses List.</w:t>
      </w:r>
      <w:r w:rsidR="000B28CA" w:rsidRPr="005A2F16">
        <w:t xml:space="preserve"> It is recognised that </w:t>
      </w:r>
      <w:r w:rsidR="00A24BAF" w:rsidRPr="005A2F16">
        <w:t xml:space="preserve">configuration of the cost recovery scheme associated with the administration of the </w:t>
      </w:r>
      <w:r w:rsidR="008E1C4F" w:rsidRPr="005A2F16">
        <w:t xml:space="preserve">Prostheses List and supporting </w:t>
      </w:r>
      <w:r w:rsidR="00452733" w:rsidRPr="005A2F16">
        <w:t>PLAC</w:t>
      </w:r>
      <w:r w:rsidR="00A24BAF" w:rsidRPr="005A2F16">
        <w:t xml:space="preserve"> is not aligned with requirements of the</w:t>
      </w:r>
      <w:r w:rsidR="00D10DD9" w:rsidRPr="005A2F16">
        <w:t xml:space="preserve"> Australian Government Charging Framework (AGCF) which sets out the whole of Government charging policy, and consequently, is not in alignment with the</w:t>
      </w:r>
      <w:r w:rsidR="00A24BAF" w:rsidRPr="005A2F16">
        <w:t xml:space="preserve"> Public Governance, Performance and Accountability Act 2013 (</w:t>
      </w:r>
      <w:proofErr w:type="spellStart"/>
      <w:r w:rsidR="00A24BAF" w:rsidRPr="005A2F16">
        <w:t>Cth</w:t>
      </w:r>
      <w:proofErr w:type="spellEnd"/>
      <w:r w:rsidR="00A24BAF" w:rsidRPr="005A2F16">
        <w:t>).</w:t>
      </w:r>
      <w:r w:rsidR="00A24BAF" w:rsidRPr="005A2F16">
        <w:footnoteReference w:id="14"/>
      </w:r>
      <w:r w:rsidR="00D84153" w:rsidRPr="005A2F16">
        <w:t xml:space="preserve"> </w:t>
      </w:r>
    </w:p>
    <w:p w14:paraId="01ED8B91" w14:textId="64CFE9BF" w:rsidR="006E2524" w:rsidRPr="00E45667" w:rsidRDefault="00D30AD8" w:rsidP="00E45667">
      <w:r w:rsidRPr="00D2484E">
        <w:t xml:space="preserve">An assessment </w:t>
      </w:r>
      <w:r w:rsidR="00510221" w:rsidRPr="00D2484E">
        <w:t xml:space="preserve">should be conducted </w:t>
      </w:r>
      <w:r w:rsidR="005C09E2" w:rsidRPr="00D2484E">
        <w:t>into</w:t>
      </w:r>
      <w:r w:rsidRPr="00D2484E">
        <w:t xml:space="preserve"> </w:t>
      </w:r>
      <w:r w:rsidR="00BF13FB" w:rsidRPr="00D2484E">
        <w:t xml:space="preserve">the </w:t>
      </w:r>
      <w:r w:rsidR="006F6185" w:rsidRPr="00D2484E">
        <w:t xml:space="preserve">resources </w:t>
      </w:r>
      <w:r w:rsidRPr="00D2484E">
        <w:t xml:space="preserve">required </w:t>
      </w:r>
      <w:r w:rsidR="00E664E8" w:rsidRPr="00D2484E">
        <w:t xml:space="preserve">by the </w:t>
      </w:r>
      <w:r w:rsidR="002E199B" w:rsidRPr="00D2484E">
        <w:t xml:space="preserve">Department </w:t>
      </w:r>
      <w:r w:rsidR="00E664E8" w:rsidRPr="00D2484E">
        <w:t xml:space="preserve">in </w:t>
      </w:r>
      <w:r w:rsidRPr="00D2484E">
        <w:t>support</w:t>
      </w:r>
      <w:r w:rsidR="00E664E8" w:rsidRPr="00D2484E">
        <w:t>ing</w:t>
      </w:r>
      <w:r w:rsidRPr="00D2484E">
        <w:t xml:space="preserve"> </w:t>
      </w:r>
      <w:r w:rsidR="00E664E8" w:rsidRPr="00D2484E">
        <w:t>any reforms to the</w:t>
      </w:r>
      <w:r w:rsidR="009819D9" w:rsidRPr="00D2484E">
        <w:t xml:space="preserve"> </w:t>
      </w:r>
      <w:r w:rsidR="00740DB8" w:rsidRPr="00D2484E">
        <w:t xml:space="preserve">PLAC </w:t>
      </w:r>
      <w:r w:rsidR="00E664E8" w:rsidRPr="00D2484E">
        <w:t xml:space="preserve">following this </w:t>
      </w:r>
      <w:r w:rsidR="003256E1" w:rsidRPr="00D2484E">
        <w:t>R</w:t>
      </w:r>
      <w:r w:rsidR="006F6185" w:rsidRPr="00D2484E">
        <w:t>eview.</w:t>
      </w:r>
      <w:r w:rsidR="008B54A0" w:rsidRPr="00D2484E">
        <w:t xml:space="preserve"> </w:t>
      </w:r>
      <w:r w:rsidR="00BE7E45" w:rsidRPr="00D2484E">
        <w:t>The reforms plans announced in the 2021-22 Budget (May 2021) indicate the Department will be updating the existing cost recovery arrangements to align with the AGCF.</w:t>
      </w:r>
    </w:p>
    <w:p w14:paraId="394E187D" w14:textId="6BC045DE" w:rsidR="00EE3D52" w:rsidRPr="00D2484E" w:rsidRDefault="00EE3D52" w:rsidP="00510194">
      <w:pPr>
        <w:pStyle w:val="EYHeading3"/>
      </w:pPr>
      <w:r w:rsidRPr="00D2484E">
        <w:t>Supporting listing and/or benefits review</w:t>
      </w:r>
    </w:p>
    <w:p w14:paraId="62CFF7BD" w14:textId="0F0DEEA8" w:rsidR="00DC0231" w:rsidRPr="00762990" w:rsidRDefault="008C2838" w:rsidP="00762990">
      <w:pPr>
        <w:pStyle w:val="Heading4"/>
      </w:pPr>
      <w:r w:rsidRPr="00762990">
        <w:t>Volume of applications</w:t>
      </w:r>
    </w:p>
    <w:p w14:paraId="5EC1F545" w14:textId="17472905" w:rsidR="00AA2986" w:rsidRPr="00E45667" w:rsidRDefault="00AF1A36" w:rsidP="00E45667">
      <w:r w:rsidRPr="00D2484E">
        <w:t>I</w:t>
      </w:r>
      <w:r w:rsidR="003B40D9" w:rsidRPr="00D2484E">
        <w:t xml:space="preserve">n </w:t>
      </w:r>
      <w:r w:rsidRPr="00D2484E">
        <w:t>competitive markets for prostheses</w:t>
      </w:r>
      <w:r w:rsidR="003B40D9" w:rsidRPr="00D2484E">
        <w:t>,</w:t>
      </w:r>
      <w:r w:rsidRPr="00D2484E">
        <w:t xml:space="preserve"> prices for </w:t>
      </w:r>
      <w:r w:rsidR="00AC4C3C" w:rsidRPr="00D2484E">
        <w:t>item</w:t>
      </w:r>
      <w:r w:rsidRPr="00D2484E">
        <w:t>s</w:t>
      </w:r>
      <w:r w:rsidR="00AC4C3C" w:rsidRPr="00D2484E">
        <w:t xml:space="preserve"> which </w:t>
      </w:r>
      <w:r w:rsidRPr="00D2484E">
        <w:t>have been available</w:t>
      </w:r>
      <w:r w:rsidR="000A6249" w:rsidRPr="00D2484E">
        <w:t xml:space="preserve"> for an extended </w:t>
      </w:r>
      <w:proofErr w:type="gramStart"/>
      <w:r w:rsidR="000A6249" w:rsidRPr="00D2484E">
        <w:t>period of time</w:t>
      </w:r>
      <w:proofErr w:type="gramEnd"/>
      <w:r w:rsidR="000E5206" w:rsidRPr="00D2484E">
        <w:t xml:space="preserve"> </w:t>
      </w:r>
      <w:r w:rsidR="005F1E03" w:rsidRPr="00D2484E">
        <w:t>tend to</w:t>
      </w:r>
      <w:r w:rsidR="000E5206" w:rsidRPr="00D2484E">
        <w:t xml:space="preserve"> </w:t>
      </w:r>
      <w:r w:rsidR="00E844B2" w:rsidRPr="00D2484E">
        <w:t>reduce</w:t>
      </w:r>
      <w:r w:rsidR="000E5206" w:rsidRPr="00D2484E">
        <w:t xml:space="preserve"> in pri</w:t>
      </w:r>
      <w:r w:rsidR="00DE6C67" w:rsidRPr="00D2484E">
        <w:t>ce as like, newer or improved items emerge</w:t>
      </w:r>
      <w:r w:rsidR="005F1E03" w:rsidRPr="00D2484E">
        <w:t>.</w:t>
      </w:r>
      <w:r w:rsidR="00E844B2" w:rsidRPr="00D2484E">
        <w:t xml:space="preserve"> </w:t>
      </w:r>
      <w:r w:rsidR="00E41B6E" w:rsidRPr="00D2484E">
        <w:t>S</w:t>
      </w:r>
      <w:r w:rsidR="00333325" w:rsidRPr="00D2484E">
        <w:t>everal</w:t>
      </w:r>
      <w:r w:rsidR="004A0947" w:rsidRPr="00D2484E">
        <w:t xml:space="preserve"> stakeholders </w:t>
      </w:r>
      <w:r w:rsidR="00E41B6E" w:rsidRPr="00D2484E">
        <w:t xml:space="preserve">therefore </w:t>
      </w:r>
      <w:r w:rsidR="004A0947" w:rsidRPr="00D2484E">
        <w:t>consider that part of the PLAC’s role</w:t>
      </w:r>
      <w:r w:rsidR="004A0947" w:rsidRPr="00E45667">
        <w:t xml:space="preserve"> should be to</w:t>
      </w:r>
      <w:r w:rsidR="00DE6C67" w:rsidRPr="00E45667">
        <w:t xml:space="preserve"> </w:t>
      </w:r>
      <w:r w:rsidR="004A0947" w:rsidRPr="00E45667">
        <w:t xml:space="preserve">maintain or reduce the benefits of items </w:t>
      </w:r>
      <w:r w:rsidR="00D27509" w:rsidRPr="00E45667">
        <w:t xml:space="preserve">already </w:t>
      </w:r>
      <w:r w:rsidR="004A0947" w:rsidRPr="00E45667">
        <w:t>on the Prostheses List where possible.</w:t>
      </w:r>
    </w:p>
    <w:p w14:paraId="6E657E28" w14:textId="57FD8A7B" w:rsidR="004E115E" w:rsidRPr="00D2484E" w:rsidRDefault="00D27509" w:rsidP="00E45667">
      <w:r w:rsidRPr="00E45667">
        <w:t xml:space="preserve">However, </w:t>
      </w:r>
      <w:r w:rsidR="00CF4DA7" w:rsidRPr="00E45667">
        <w:t xml:space="preserve">as discussed in Section </w:t>
      </w:r>
      <w:r w:rsidR="00CF4DA7" w:rsidRPr="00E45667">
        <w:fldChar w:fldCharType="begin"/>
      </w:r>
      <w:r w:rsidR="00CF4DA7" w:rsidRPr="00E45667">
        <w:instrText xml:space="preserve"> REF _Ref76464792 \r \h </w:instrText>
      </w:r>
      <w:r w:rsidR="00895537" w:rsidRPr="00E45667">
        <w:instrText xml:space="preserve"> \* MERGEFORMAT </w:instrText>
      </w:r>
      <w:r w:rsidR="00CF4DA7" w:rsidRPr="00E45667">
        <w:fldChar w:fldCharType="separate"/>
      </w:r>
      <w:r w:rsidR="00475597" w:rsidRPr="00E45667">
        <w:t>4.2</w:t>
      </w:r>
      <w:r w:rsidR="00CF4DA7" w:rsidRPr="00E45667">
        <w:fldChar w:fldCharType="end"/>
      </w:r>
      <w:r w:rsidR="00CF4DA7" w:rsidRPr="00E45667">
        <w:t xml:space="preserve">, </w:t>
      </w:r>
      <w:r w:rsidR="00EF1930" w:rsidRPr="00E45667">
        <w:t xml:space="preserve">the PLAC and </w:t>
      </w:r>
      <w:r w:rsidRPr="00E45667">
        <w:t xml:space="preserve">the </w:t>
      </w:r>
      <w:r w:rsidR="00EF1930" w:rsidRPr="00E45667">
        <w:t xml:space="preserve">CAGs do not often </w:t>
      </w:r>
      <w:r w:rsidR="00F07A00" w:rsidRPr="00E45667">
        <w:t>conduct post-</w:t>
      </w:r>
      <w:r w:rsidR="007755C1" w:rsidRPr="00E45667">
        <w:t>list</w:t>
      </w:r>
      <w:r w:rsidRPr="00E45667">
        <w:t>ing</w:t>
      </w:r>
      <w:r w:rsidR="00EF1930" w:rsidRPr="00E45667">
        <w:t xml:space="preserve"> review</w:t>
      </w:r>
      <w:r w:rsidRPr="00E45667">
        <w:t xml:space="preserve">s due to </w:t>
      </w:r>
      <w:r w:rsidR="00876D35" w:rsidRPr="00E45667">
        <w:t>the large volume of applications for listing</w:t>
      </w:r>
      <w:r w:rsidR="007B773E" w:rsidRPr="00E45667">
        <w:t xml:space="preserve"> an</w:t>
      </w:r>
      <w:r w:rsidR="007B773E" w:rsidRPr="00D2484E">
        <w:t>d the focus this requires</w:t>
      </w:r>
      <w:r w:rsidR="005F1DA4" w:rsidRPr="00D2484E">
        <w:t>.</w:t>
      </w:r>
      <w:r w:rsidR="005D6A3E" w:rsidRPr="00D2484E">
        <w:t xml:space="preserve"> </w:t>
      </w:r>
    </w:p>
    <w:p w14:paraId="77B90F89" w14:textId="1AF8C99A" w:rsidR="00570C73" w:rsidRPr="00762990" w:rsidRDefault="007755C1" w:rsidP="00762990">
      <w:pPr>
        <w:pStyle w:val="Heading4"/>
      </w:pPr>
      <w:r w:rsidRPr="00762990">
        <w:t>Post-listing</w:t>
      </w:r>
      <w:r w:rsidR="00570C73" w:rsidRPr="00762990">
        <w:t xml:space="preserve"> </w:t>
      </w:r>
      <w:r w:rsidR="00C344B1" w:rsidRPr="00762990">
        <w:t xml:space="preserve">price, </w:t>
      </w:r>
      <w:proofErr w:type="gramStart"/>
      <w:r w:rsidR="00C344B1" w:rsidRPr="00762990">
        <w:t>utilisation</w:t>
      </w:r>
      <w:proofErr w:type="gramEnd"/>
      <w:r w:rsidR="00C344B1" w:rsidRPr="00762990">
        <w:t xml:space="preserve"> and clinical outcome </w:t>
      </w:r>
      <w:r w:rsidR="00570C73" w:rsidRPr="00762990">
        <w:t>surveillance</w:t>
      </w:r>
    </w:p>
    <w:p w14:paraId="00ED4366" w14:textId="1FFD561F" w:rsidR="00115080" w:rsidRPr="00D2484E" w:rsidRDefault="002C5EEF" w:rsidP="00E45667">
      <w:r w:rsidRPr="00D2484E">
        <w:t>There is general</w:t>
      </w:r>
      <w:r w:rsidR="008709F5" w:rsidRPr="00D2484E">
        <w:t xml:space="preserve"> aware</w:t>
      </w:r>
      <w:r w:rsidRPr="00D2484E">
        <w:t>ness</w:t>
      </w:r>
      <w:r w:rsidR="008709F5" w:rsidRPr="00D2484E">
        <w:t xml:space="preserve"> that</w:t>
      </w:r>
      <w:r w:rsidR="00E64F74" w:rsidRPr="00D2484E">
        <w:t xml:space="preserve"> </w:t>
      </w:r>
      <w:r w:rsidR="0035622F" w:rsidRPr="00D2484E">
        <w:t xml:space="preserve">post-market </w:t>
      </w:r>
      <w:r w:rsidRPr="00D2484E">
        <w:t xml:space="preserve">prices </w:t>
      </w:r>
      <w:r w:rsidR="0035622F" w:rsidRPr="00D2484E">
        <w:t>for medical devices</w:t>
      </w:r>
      <w:r w:rsidRPr="00D2484E">
        <w:t xml:space="preserve"> on the Prostheses List</w:t>
      </w:r>
      <w:r w:rsidR="0035622F" w:rsidRPr="00D2484E">
        <w:t xml:space="preserve"> </w:t>
      </w:r>
      <w:r w:rsidR="00E64F74" w:rsidRPr="00D2484E">
        <w:t>in Australia remain inflated</w:t>
      </w:r>
      <w:r w:rsidR="008709F5" w:rsidRPr="00D2484E">
        <w:t xml:space="preserve"> compared to international medical devices markets</w:t>
      </w:r>
      <w:r w:rsidR="00A36870" w:rsidRPr="00D2484E">
        <w:t>.</w:t>
      </w:r>
    </w:p>
    <w:p w14:paraId="57099234" w14:textId="62DE8ED1" w:rsidR="002C5EEF" w:rsidRPr="00D2484E" w:rsidRDefault="002C5EEF" w:rsidP="00E45667">
      <w:r w:rsidRPr="00D2484E">
        <w:t xml:space="preserve">However, PLAC Members have noted that the PLAC rarely reviews existing listings and/or benefits of the Prostheses List. This is supported through the Minutes, which demonstrate an absence of post-listing review. This may be attributed both to documentary limitations (Section </w:t>
      </w:r>
      <w:r w:rsidRPr="00D2484E">
        <w:fldChar w:fldCharType="begin"/>
      </w:r>
      <w:r w:rsidRPr="00D2484E">
        <w:instrText xml:space="preserve"> REF _Ref76634945 \r \h  \* MERGEFORMAT </w:instrText>
      </w:r>
      <w:r w:rsidRPr="00D2484E">
        <w:fldChar w:fldCharType="separate"/>
      </w:r>
      <w:r w:rsidR="00475597" w:rsidRPr="00D2484E">
        <w:t>4.4.1</w:t>
      </w:r>
      <w:r w:rsidRPr="00D2484E">
        <w:fldChar w:fldCharType="end"/>
      </w:r>
      <w:r w:rsidRPr="00D2484E">
        <w:t xml:space="preserve">) and resourcing restrictions of </w:t>
      </w:r>
      <w:r w:rsidR="002E199B" w:rsidRPr="00D2484E">
        <w:t xml:space="preserve">TAAD </w:t>
      </w:r>
      <w:r w:rsidRPr="00D2484E">
        <w:t xml:space="preserve">(Section </w:t>
      </w:r>
      <w:r w:rsidRPr="00D2484E">
        <w:fldChar w:fldCharType="begin"/>
      </w:r>
      <w:r w:rsidRPr="00D2484E">
        <w:instrText xml:space="preserve"> REF _Ref76466026 \r \h  \* MERGEFORMAT </w:instrText>
      </w:r>
      <w:r w:rsidRPr="00D2484E">
        <w:fldChar w:fldCharType="separate"/>
      </w:r>
      <w:r w:rsidR="00475597" w:rsidRPr="00D2484E">
        <w:t>4.3.1</w:t>
      </w:r>
      <w:r w:rsidRPr="00D2484E">
        <w:fldChar w:fldCharType="end"/>
      </w:r>
      <w:r w:rsidRPr="00D2484E">
        <w:t>).</w:t>
      </w:r>
    </w:p>
    <w:p w14:paraId="2041D843" w14:textId="77777777" w:rsidR="005A2F16" w:rsidRDefault="005A2F16">
      <w:pPr>
        <w:autoSpaceDE/>
        <w:autoSpaceDN/>
        <w:adjustRightInd/>
        <w:spacing w:before="0" w:after="0"/>
      </w:pPr>
      <w:r>
        <w:br w:type="page"/>
      </w:r>
    </w:p>
    <w:p w14:paraId="1FFADEF3" w14:textId="719C9D0C" w:rsidR="008E2C50" w:rsidRPr="005A2F16" w:rsidRDefault="00F30E97" w:rsidP="005A2F16">
      <w:r w:rsidRPr="005A2F16">
        <w:lastRenderedPageBreak/>
        <w:t>Other reasons include</w:t>
      </w:r>
      <w:r w:rsidR="008E2C50" w:rsidRPr="005A2F16">
        <w:t xml:space="preserve">: </w:t>
      </w:r>
    </w:p>
    <w:p w14:paraId="7330AAB7" w14:textId="77777777" w:rsidR="004D44EA" w:rsidRPr="00762990" w:rsidRDefault="00F30E97" w:rsidP="00BC7A67">
      <w:pPr>
        <w:pStyle w:val="ExampleQuotations"/>
        <w:shd w:val="clear" w:color="auto" w:fill="FFFACC" w:themeFill="text2" w:themeFillTint="33"/>
        <w:spacing w:after="0"/>
        <w:rPr>
          <w:rStyle w:val="Strong"/>
        </w:rPr>
      </w:pPr>
      <w:r w:rsidRPr="00762990">
        <w:rPr>
          <w:rStyle w:val="Strong"/>
        </w:rPr>
        <w:t xml:space="preserve">Processes for </w:t>
      </w:r>
      <w:r w:rsidR="00640C3D" w:rsidRPr="00762990">
        <w:rPr>
          <w:rStyle w:val="Strong"/>
        </w:rPr>
        <w:t xml:space="preserve">reviewing items </w:t>
      </w:r>
      <w:proofErr w:type="gramStart"/>
      <w:r w:rsidR="00640C3D" w:rsidRPr="00762990">
        <w:rPr>
          <w:rStyle w:val="Strong"/>
        </w:rPr>
        <w:t>similar to</w:t>
      </w:r>
      <w:proofErr w:type="gramEnd"/>
      <w:r w:rsidR="00640C3D" w:rsidRPr="00762990">
        <w:rPr>
          <w:rStyle w:val="Strong"/>
        </w:rPr>
        <w:t xml:space="preserve"> new items</w:t>
      </w:r>
    </w:p>
    <w:p w14:paraId="7309183C" w14:textId="56E93FEE" w:rsidR="008E2C50" w:rsidRPr="00D2484E" w:rsidRDefault="006E23D7" w:rsidP="00BC7A67">
      <w:pPr>
        <w:pStyle w:val="ExampleQuotations"/>
        <w:shd w:val="clear" w:color="auto" w:fill="FFFACC" w:themeFill="text2" w:themeFillTint="33"/>
      </w:pPr>
      <w:r w:rsidRPr="00D2484E">
        <w:t xml:space="preserve">Members </w:t>
      </w:r>
      <w:r w:rsidR="008E2C50" w:rsidRPr="00D2484E">
        <w:t xml:space="preserve">reported that </w:t>
      </w:r>
      <w:r w:rsidR="00640C3D" w:rsidRPr="00D2484E">
        <w:t>although</w:t>
      </w:r>
      <w:r w:rsidR="008E2C50" w:rsidRPr="00D2484E">
        <w:t xml:space="preserve"> a </w:t>
      </w:r>
      <w:r w:rsidR="00073BB5" w:rsidRPr="00D2484E">
        <w:t xml:space="preserve">substantial </w:t>
      </w:r>
      <w:proofErr w:type="gramStart"/>
      <w:r w:rsidR="00073BB5" w:rsidRPr="00D2484E">
        <w:t>amount</w:t>
      </w:r>
      <w:proofErr w:type="gramEnd"/>
      <w:r w:rsidR="00073BB5" w:rsidRPr="00D2484E">
        <w:t xml:space="preserve"> </w:t>
      </w:r>
      <w:r w:rsidR="008E2C50" w:rsidRPr="00D2484E">
        <w:t xml:space="preserve">of applications </w:t>
      </w:r>
      <w:r w:rsidR="00073BB5" w:rsidRPr="00D2484E">
        <w:t xml:space="preserve">for listing </w:t>
      </w:r>
      <w:r w:rsidR="008E2C50" w:rsidRPr="00D2484E">
        <w:t xml:space="preserve">are for </w:t>
      </w:r>
      <w:r w:rsidR="00073BB5" w:rsidRPr="00D2484E">
        <w:t xml:space="preserve">‘like items’, </w:t>
      </w:r>
      <w:r w:rsidR="00AF15BC" w:rsidRPr="00D2484E">
        <w:t xml:space="preserve">there is no process </w:t>
      </w:r>
      <w:r w:rsidR="00E90284" w:rsidRPr="00D2484E">
        <w:t>to guide the PLAC</w:t>
      </w:r>
      <w:r w:rsidR="00AF15BC" w:rsidRPr="00D2484E">
        <w:t xml:space="preserve"> </w:t>
      </w:r>
      <w:r w:rsidR="00276FE8" w:rsidRPr="00D2484E">
        <w:t xml:space="preserve">on how to assess </w:t>
      </w:r>
      <w:r w:rsidR="00E5562A" w:rsidRPr="00D2484E">
        <w:t xml:space="preserve">benefits </w:t>
      </w:r>
      <w:r w:rsidR="00E5562A" w:rsidRPr="00D2484E" w:rsidDel="00DA772E">
        <w:t xml:space="preserve">for </w:t>
      </w:r>
      <w:r w:rsidR="00DA772E" w:rsidRPr="00D2484E">
        <w:t xml:space="preserve">comparable </w:t>
      </w:r>
      <w:r w:rsidR="00AF15BC" w:rsidRPr="00D2484E">
        <w:t xml:space="preserve">items </w:t>
      </w:r>
      <w:r w:rsidRPr="00D2484E">
        <w:t>post-listing and so the PLAC is hesitant in fulfilling this duty</w:t>
      </w:r>
      <w:r w:rsidR="00E5562A" w:rsidRPr="00D2484E">
        <w:t xml:space="preserve">. Some reported that </w:t>
      </w:r>
      <w:r w:rsidR="00A967F5" w:rsidRPr="00D2484E">
        <w:t xml:space="preserve">this </w:t>
      </w:r>
      <w:r w:rsidRPr="00D2484E">
        <w:t>hesitation</w:t>
      </w:r>
      <w:r w:rsidR="00A967F5" w:rsidRPr="00D2484E">
        <w:t xml:space="preserve"> prevents </w:t>
      </w:r>
      <w:r w:rsidR="00E349EF" w:rsidRPr="00D2484E">
        <w:t>the PLAC</w:t>
      </w:r>
      <w:r w:rsidR="00A967F5" w:rsidRPr="00D2484E">
        <w:t xml:space="preserve"> from fulfilling its review and oversight role. </w:t>
      </w:r>
    </w:p>
    <w:p w14:paraId="6E17AB18" w14:textId="77777777" w:rsidR="004D44EA" w:rsidRPr="00762990" w:rsidRDefault="000F0FE0" w:rsidP="00BC7A67">
      <w:pPr>
        <w:pStyle w:val="ExampleQuotations"/>
        <w:shd w:val="clear" w:color="auto" w:fill="FFFACC" w:themeFill="text2" w:themeFillTint="33"/>
        <w:spacing w:after="0"/>
        <w:rPr>
          <w:rStyle w:val="Strong"/>
        </w:rPr>
      </w:pPr>
      <w:r w:rsidRPr="00762990">
        <w:rPr>
          <w:rStyle w:val="Strong"/>
        </w:rPr>
        <w:t>Limited use of dat</w:t>
      </w:r>
      <w:r w:rsidR="005734DE" w:rsidRPr="00762990">
        <w:rPr>
          <w:rStyle w:val="Strong"/>
        </w:rPr>
        <w:t>a</w:t>
      </w:r>
    </w:p>
    <w:p w14:paraId="35E918F8" w14:textId="5A7D72E7" w:rsidR="00EB0931" w:rsidRPr="00D2484E" w:rsidRDefault="00EC4BBD" w:rsidP="00BC7A67">
      <w:pPr>
        <w:pStyle w:val="ExampleQuotations"/>
        <w:shd w:val="clear" w:color="auto" w:fill="FFFACC" w:themeFill="text2" w:themeFillTint="33"/>
      </w:pPr>
      <w:r w:rsidRPr="00D2484E">
        <w:t>P</w:t>
      </w:r>
      <w:r w:rsidR="00AF3EF8" w:rsidRPr="00D2484E">
        <w:t>otential</w:t>
      </w:r>
      <w:r w:rsidR="00004603" w:rsidRPr="00D2484E">
        <w:t xml:space="preserve"> sources for utilisation </w:t>
      </w:r>
      <w:r w:rsidR="0035447F" w:rsidRPr="00D2484E">
        <w:t xml:space="preserve">and clinical outcome </w:t>
      </w:r>
      <w:r w:rsidR="00004603" w:rsidRPr="00D2484E">
        <w:t xml:space="preserve">data on medical devices </w:t>
      </w:r>
      <w:r w:rsidR="00AF3EF8" w:rsidRPr="00D2484E">
        <w:t>are</w:t>
      </w:r>
      <w:r w:rsidR="00D4344D" w:rsidRPr="00D2484E">
        <w:t xml:space="preserve"> </w:t>
      </w:r>
      <w:r w:rsidR="00AF3EF8" w:rsidRPr="00D2484E">
        <w:t>not currently used</w:t>
      </w:r>
      <w:r w:rsidR="00FF0957" w:rsidRPr="00D2484E">
        <w:t xml:space="preserve"> by the PLAC or </w:t>
      </w:r>
      <w:r w:rsidR="006F170D" w:rsidRPr="00D2484E">
        <w:t xml:space="preserve">TAAD </w:t>
      </w:r>
      <w:r w:rsidR="00AF3EF8" w:rsidRPr="00D2484E">
        <w:t xml:space="preserve">for the purposes of </w:t>
      </w:r>
      <w:r w:rsidR="00FF0957" w:rsidRPr="00D2484E">
        <w:t>post-</w:t>
      </w:r>
      <w:r w:rsidR="000F6B55" w:rsidRPr="00D2484E">
        <w:t xml:space="preserve">listing reviews of </w:t>
      </w:r>
      <w:r w:rsidR="00004603" w:rsidRPr="00D2484E">
        <w:t xml:space="preserve">the </w:t>
      </w:r>
      <w:r w:rsidR="00894E53" w:rsidRPr="00D2484E">
        <w:t>Prostheses List</w:t>
      </w:r>
      <w:r w:rsidR="00004603" w:rsidRPr="00D2484E">
        <w:t xml:space="preserve">. </w:t>
      </w:r>
    </w:p>
    <w:p w14:paraId="37368477" w14:textId="29A18E9E" w:rsidR="00D32AE0" w:rsidRPr="00D2484E" w:rsidRDefault="00FD433A" w:rsidP="00BC7A67">
      <w:pPr>
        <w:pStyle w:val="ExampleQuotations"/>
        <w:shd w:val="clear" w:color="auto" w:fill="FFFACC" w:themeFill="text2" w:themeFillTint="33"/>
      </w:pPr>
      <w:r w:rsidRPr="00D2484E">
        <w:t xml:space="preserve">Five </w:t>
      </w:r>
      <w:r w:rsidR="00004603" w:rsidRPr="00D2484E">
        <w:t xml:space="preserve">possible sources of data have been identified </w:t>
      </w:r>
      <w:r w:rsidR="00EA0376" w:rsidRPr="00D2484E">
        <w:t xml:space="preserve">to gain utilisation data: (1) </w:t>
      </w:r>
      <w:r w:rsidR="00FB18C4" w:rsidRPr="00D2484E">
        <w:t xml:space="preserve">Hospital </w:t>
      </w:r>
      <w:proofErr w:type="spellStart"/>
      <w:r w:rsidR="00FB18C4" w:rsidRPr="00D2484E">
        <w:t>Casemix</w:t>
      </w:r>
      <w:proofErr w:type="spellEnd"/>
      <w:r w:rsidR="00FB18C4" w:rsidRPr="00D2484E">
        <w:t xml:space="preserve"> Protocol (</w:t>
      </w:r>
      <w:r w:rsidR="00EA0376" w:rsidRPr="00D2484E">
        <w:t>‘HCP1’</w:t>
      </w:r>
      <w:r w:rsidR="00FB18C4" w:rsidRPr="00D2484E">
        <w:t>)</w:t>
      </w:r>
      <w:r w:rsidR="00EA0376" w:rsidRPr="00D2484E">
        <w:t xml:space="preserve"> Data</w:t>
      </w:r>
      <w:r w:rsidR="00B32409" w:rsidRPr="00D2484E">
        <w:t>; (</w:t>
      </w:r>
      <w:r w:rsidR="003D0DE4" w:rsidRPr="00D2484E">
        <w:t>2</w:t>
      </w:r>
      <w:r w:rsidR="00B32409" w:rsidRPr="00D2484E">
        <w:t>)</w:t>
      </w:r>
      <w:r w:rsidR="003D0DE4" w:rsidRPr="00D2484E">
        <w:t xml:space="preserve"> registry data, such as the National Joint Replacement Registry; (3) </w:t>
      </w:r>
      <w:r w:rsidR="008F481C" w:rsidRPr="00D2484E">
        <w:t xml:space="preserve">health fund data, for benefits paid for usage of medical devices; (4) </w:t>
      </w:r>
      <w:r w:rsidR="00EC4945" w:rsidRPr="00D2484E">
        <w:t>aggregated data, provided by IHPA; and (5) post-market surveillance, conducted by the TGA.</w:t>
      </w:r>
    </w:p>
    <w:p w14:paraId="497AA767" w14:textId="19ADE55B" w:rsidR="00282457" w:rsidRPr="00E45667" w:rsidRDefault="00C131F4" w:rsidP="00E45667">
      <w:r w:rsidRPr="00D2484E">
        <w:t xml:space="preserve">Several stakeholders expressed concern at the accuracy and </w:t>
      </w:r>
      <w:r w:rsidR="00D32AE0" w:rsidRPr="00D2484E">
        <w:t xml:space="preserve">up-to-date relevance of the </w:t>
      </w:r>
      <w:r w:rsidR="005D0DE5" w:rsidRPr="00D2484E">
        <w:t xml:space="preserve">above data sources, including the </w:t>
      </w:r>
      <w:r w:rsidR="00D32AE0" w:rsidRPr="00D2484E">
        <w:t>HCP1 dataset</w:t>
      </w:r>
      <w:r w:rsidR="00B61835" w:rsidRPr="00D2484E">
        <w:t>. However</w:t>
      </w:r>
      <w:r w:rsidR="00F83C80" w:rsidRPr="00D2484E">
        <w:t xml:space="preserve">, </w:t>
      </w:r>
      <w:r w:rsidR="002C507F" w:rsidRPr="00D2484E">
        <w:t>despite some limitations regarding recency, this is an accurate and detailed dataset with</w:t>
      </w:r>
      <w:r w:rsidR="004F4D3B" w:rsidRPr="00D2484E">
        <w:t xml:space="preserve"> significant</w:t>
      </w:r>
      <w:r w:rsidR="002C507F" w:rsidRPr="00D2484E">
        <w:t xml:space="preserve"> untapped</w:t>
      </w:r>
      <w:r w:rsidR="004F4D3B" w:rsidRPr="00D2484E">
        <w:t xml:space="preserve"> p</w:t>
      </w:r>
      <w:r w:rsidR="004F4D3B" w:rsidRPr="00E45667">
        <w:t xml:space="preserve">otential for </w:t>
      </w:r>
      <w:r w:rsidR="00AE6F48" w:rsidRPr="00E45667">
        <w:t xml:space="preserve">TAAD </w:t>
      </w:r>
      <w:r w:rsidR="003D35B1" w:rsidRPr="00E45667">
        <w:t xml:space="preserve">and </w:t>
      </w:r>
      <w:r w:rsidR="004F4D3B" w:rsidRPr="00E45667">
        <w:t xml:space="preserve">PLAC to </w:t>
      </w:r>
      <w:r w:rsidR="009E061B" w:rsidRPr="00E45667">
        <w:t xml:space="preserve">understand recent trends </w:t>
      </w:r>
      <w:r w:rsidR="00C22270" w:rsidRPr="00E45667">
        <w:t xml:space="preserve">and drivers of </w:t>
      </w:r>
      <w:r w:rsidR="009E061B" w:rsidRPr="00E45667">
        <w:t>utilisation at a granular level.</w:t>
      </w:r>
    </w:p>
    <w:p w14:paraId="41794A02" w14:textId="45F8E2F2" w:rsidR="0035447F" w:rsidRPr="00D2484E" w:rsidRDefault="00FD433A" w:rsidP="00E45667">
      <w:r w:rsidRPr="00E45667">
        <w:t>This Review</w:t>
      </w:r>
      <w:r w:rsidR="009E061B" w:rsidRPr="00E45667">
        <w:t xml:space="preserve"> suggest</w:t>
      </w:r>
      <w:r w:rsidRPr="00E45667">
        <w:t>s</w:t>
      </w:r>
      <w:r w:rsidR="009E061B" w:rsidRPr="00E45667">
        <w:t xml:space="preserve"> that the </w:t>
      </w:r>
      <w:r w:rsidR="00AE6F48" w:rsidRPr="00E45667">
        <w:t xml:space="preserve">Department </w:t>
      </w:r>
      <w:r w:rsidR="001E42C9" w:rsidRPr="00E45667">
        <w:t xml:space="preserve">explores ways of better using this dataset, including, if necessary, </w:t>
      </w:r>
      <w:r w:rsidR="00595C2A" w:rsidRPr="00E45667">
        <w:t xml:space="preserve">tightening data collection processes to </w:t>
      </w:r>
      <w:r w:rsidR="00262308" w:rsidRPr="00E45667">
        <w:t xml:space="preserve">improve </w:t>
      </w:r>
      <w:r w:rsidR="00595C2A" w:rsidRPr="00E45667">
        <w:t>recency and accuracy.</w:t>
      </w:r>
      <w:r w:rsidR="005B1CC1" w:rsidRPr="00E45667">
        <w:t xml:space="preserve"> </w:t>
      </w:r>
      <w:r w:rsidR="00250757" w:rsidRPr="00E45667">
        <w:t>In addition, g</w:t>
      </w:r>
      <w:r w:rsidR="005B1CC1" w:rsidRPr="00E45667">
        <w:t xml:space="preserve">iven the levels of </w:t>
      </w:r>
      <w:r w:rsidR="00D86B37" w:rsidRPr="00E45667">
        <w:t xml:space="preserve">uncertainty </w:t>
      </w:r>
      <w:r w:rsidR="005B1CC1" w:rsidRPr="00E45667">
        <w:t xml:space="preserve">in the </w:t>
      </w:r>
      <w:r w:rsidR="00250757" w:rsidRPr="00E45667">
        <w:t>datasets available to the PL</w:t>
      </w:r>
      <w:r w:rsidR="00250757" w:rsidRPr="00D2484E">
        <w:t xml:space="preserve">AC, </w:t>
      </w:r>
      <w:r w:rsidR="00782436" w:rsidRPr="00D2484E">
        <w:t xml:space="preserve">it is suggested </w:t>
      </w:r>
      <w:r w:rsidR="00250757" w:rsidRPr="00D2484E">
        <w:t xml:space="preserve">that </w:t>
      </w:r>
      <w:r w:rsidR="00AE6F48" w:rsidRPr="00D2484E">
        <w:t xml:space="preserve">TAAD </w:t>
      </w:r>
      <w:r w:rsidR="004F079D" w:rsidRPr="00D2484E">
        <w:t xml:space="preserve">provide </w:t>
      </w:r>
      <w:r w:rsidR="00E56DDE" w:rsidRPr="00D2484E">
        <w:t>i</w:t>
      </w:r>
      <w:r w:rsidR="00E56DDE" w:rsidRPr="00E45667">
        <w:t>nformation-sharing sessions on th</w:t>
      </w:r>
      <w:r w:rsidR="004F2695" w:rsidRPr="00E45667">
        <w:t xml:space="preserve">e </w:t>
      </w:r>
      <w:r w:rsidR="00B00142" w:rsidRPr="00E45667">
        <w:t>process</w:t>
      </w:r>
      <w:r w:rsidR="00133471" w:rsidRPr="00E45667">
        <w:t>es</w:t>
      </w:r>
      <w:r w:rsidR="00B00142" w:rsidRPr="00E45667">
        <w:t xml:space="preserve"> and structures that exist around those datasets.</w:t>
      </w:r>
    </w:p>
    <w:p w14:paraId="0CD25014" w14:textId="5FD1CF82" w:rsidR="00C963CF" w:rsidRPr="005A2F16" w:rsidRDefault="00F045A4" w:rsidP="005A2F16">
      <w:r w:rsidRPr="005A2F16">
        <w:t xml:space="preserve">The </w:t>
      </w:r>
      <w:r w:rsidR="00332A00" w:rsidRPr="005A2F16">
        <w:t xml:space="preserve">absence of a formal pathway </w:t>
      </w:r>
      <w:r w:rsidR="00BE07B1" w:rsidRPr="005A2F16">
        <w:t xml:space="preserve">for the </w:t>
      </w:r>
      <w:r w:rsidR="00AE6F48" w:rsidRPr="005A2F16">
        <w:t xml:space="preserve">Department </w:t>
      </w:r>
      <w:r w:rsidR="00332A00" w:rsidRPr="005A2F16">
        <w:t xml:space="preserve">to share </w:t>
      </w:r>
      <w:r w:rsidRPr="005A2F16">
        <w:t xml:space="preserve">post-market information </w:t>
      </w:r>
      <w:r w:rsidR="00332A00" w:rsidRPr="005A2F16">
        <w:t xml:space="preserve">with the PLAC has challenged </w:t>
      </w:r>
      <w:r w:rsidR="00432796" w:rsidRPr="005A2F16">
        <w:t xml:space="preserve">its </w:t>
      </w:r>
      <w:r w:rsidR="006A18CF" w:rsidRPr="005A2F16">
        <w:t>ability to review items and</w:t>
      </w:r>
      <w:r w:rsidR="00432796" w:rsidRPr="005A2F16">
        <w:t>/or</w:t>
      </w:r>
      <w:r w:rsidR="006A18CF" w:rsidRPr="005A2F16">
        <w:t xml:space="preserve"> benefits. </w:t>
      </w:r>
    </w:p>
    <w:p w14:paraId="6E81C9A9" w14:textId="42274619" w:rsidR="00DC0231" w:rsidRPr="00C470B6" w:rsidRDefault="008C2838" w:rsidP="00762990">
      <w:pPr>
        <w:pStyle w:val="Heading4"/>
      </w:pPr>
      <w:r w:rsidRPr="00C470B6">
        <w:t>Perception of responsibility</w:t>
      </w:r>
    </w:p>
    <w:p w14:paraId="7684B14D" w14:textId="78273E1E" w:rsidR="00BF43CA" w:rsidRPr="005A2F16" w:rsidRDefault="00F032BB" w:rsidP="005A2F16">
      <w:r w:rsidRPr="005A2F16">
        <w:t>The r</w:t>
      </w:r>
      <w:r w:rsidR="00EF1930" w:rsidRPr="005A2F16">
        <w:t xml:space="preserve">esponsibility </w:t>
      </w:r>
      <w:r w:rsidR="008C2838" w:rsidRPr="005A2F16">
        <w:t xml:space="preserve">for </w:t>
      </w:r>
      <w:r w:rsidR="00087543" w:rsidRPr="005A2F16">
        <w:t xml:space="preserve">post-listing </w:t>
      </w:r>
      <w:r w:rsidR="008C2838" w:rsidRPr="005A2F16">
        <w:t>review</w:t>
      </w:r>
      <w:r w:rsidR="00087543" w:rsidRPr="005A2F16">
        <w:t xml:space="preserve">s </w:t>
      </w:r>
      <w:r w:rsidR="00EF1930" w:rsidRPr="005A2F16">
        <w:t>is set out in both the PLAC Terms of Reference and the CAG Terms of Reference</w:t>
      </w:r>
      <w:r w:rsidRPr="005A2F16">
        <w:t xml:space="preserve">. </w:t>
      </w:r>
      <w:r w:rsidR="000E4D32" w:rsidRPr="005A2F16">
        <w:t>Despite this</w:t>
      </w:r>
      <w:r w:rsidR="00D55FC9" w:rsidRPr="005A2F16">
        <w:t>,</w:t>
      </w:r>
      <w:r w:rsidR="008C2838" w:rsidRPr="005A2F16">
        <w:t xml:space="preserve"> </w:t>
      </w:r>
      <w:r w:rsidR="00BF1E02" w:rsidRPr="005A2F16">
        <w:t>some</w:t>
      </w:r>
      <w:r w:rsidR="0035709D" w:rsidRPr="005A2F16">
        <w:t xml:space="preserve"> </w:t>
      </w:r>
      <w:r w:rsidR="00503200" w:rsidRPr="005A2F16">
        <w:t xml:space="preserve">stakeholders consulted </w:t>
      </w:r>
      <w:r w:rsidR="0035709D" w:rsidRPr="005A2F16">
        <w:t xml:space="preserve">maintain a strong belief that the </w:t>
      </w:r>
      <w:r w:rsidR="00AB1A88" w:rsidRPr="005A2F16">
        <w:t xml:space="preserve">PLAC has no responsibility </w:t>
      </w:r>
      <w:r w:rsidR="0047349C" w:rsidRPr="005A2F16">
        <w:t xml:space="preserve">for post-listing </w:t>
      </w:r>
      <w:r w:rsidR="0035709D" w:rsidRPr="005A2F16">
        <w:t>review</w:t>
      </w:r>
      <w:r w:rsidR="00B72836" w:rsidRPr="005A2F16">
        <w:t xml:space="preserve">, and that </w:t>
      </w:r>
      <w:r w:rsidR="00206030" w:rsidRPr="005A2F16">
        <w:t xml:space="preserve">this responsibility </w:t>
      </w:r>
      <w:r w:rsidR="00B72836" w:rsidRPr="005A2F16">
        <w:t xml:space="preserve">should </w:t>
      </w:r>
      <w:r w:rsidR="00402AF1" w:rsidRPr="005A2F16">
        <w:t>lie with</w:t>
      </w:r>
      <w:r w:rsidR="00206030" w:rsidRPr="005A2F16">
        <w:t xml:space="preserve"> the </w:t>
      </w:r>
      <w:r w:rsidR="00812F94" w:rsidRPr="005A2F16">
        <w:t>Department</w:t>
      </w:r>
      <w:r w:rsidR="00206030" w:rsidRPr="005A2F16">
        <w:t>.</w:t>
      </w:r>
      <w:r w:rsidR="00B72836" w:rsidRPr="005A2F16">
        <w:t xml:space="preserve"> </w:t>
      </w:r>
      <w:r w:rsidR="005E7AD2" w:rsidRPr="005A2F16">
        <w:t xml:space="preserve">As a result, </w:t>
      </w:r>
      <w:r w:rsidR="00DF7FD6" w:rsidRPr="005A2F16">
        <w:t xml:space="preserve">such </w:t>
      </w:r>
      <w:r w:rsidR="0039562A" w:rsidRPr="005A2F16">
        <w:t>regular post-listing</w:t>
      </w:r>
      <w:r w:rsidR="00DF7FD6" w:rsidRPr="005A2F16">
        <w:t xml:space="preserve"> reviews </w:t>
      </w:r>
      <w:r w:rsidR="00782436" w:rsidRPr="005A2F16">
        <w:t xml:space="preserve">were not </w:t>
      </w:r>
      <w:r w:rsidR="00DF7FD6" w:rsidRPr="005A2F16">
        <w:t>conducted</w:t>
      </w:r>
      <w:r w:rsidR="0039562A" w:rsidRPr="005A2F16">
        <w:t xml:space="preserve"> by </w:t>
      </w:r>
      <w:r w:rsidR="00616384" w:rsidRPr="005A2F16">
        <w:t xml:space="preserve">TAAD </w:t>
      </w:r>
      <w:r w:rsidR="0039562A" w:rsidRPr="005A2F16">
        <w:t>and PLAC</w:t>
      </w:r>
      <w:r w:rsidR="00B80345" w:rsidRPr="005A2F16">
        <w:t>.</w:t>
      </w:r>
    </w:p>
    <w:p w14:paraId="3777B472" w14:textId="09F471B2" w:rsidR="00E31910" w:rsidRDefault="00E31910" w:rsidP="00675361">
      <w:pPr>
        <w:pStyle w:val="EYHeading2"/>
      </w:pPr>
      <w:bookmarkStart w:id="130" w:name="_Ref76661631"/>
      <w:bookmarkStart w:id="131" w:name="_Toc77329451"/>
      <w:r w:rsidRPr="00D2484E">
        <w:t xml:space="preserve">Consistency of advice from </w:t>
      </w:r>
      <w:r w:rsidR="0064376D" w:rsidRPr="00D2484E">
        <w:t xml:space="preserve">the </w:t>
      </w:r>
      <w:r w:rsidRPr="00D2484E">
        <w:t>PLAC</w:t>
      </w:r>
      <w:bookmarkEnd w:id="130"/>
      <w:bookmarkEnd w:id="131"/>
    </w:p>
    <w:p w14:paraId="2329FFE4" w14:textId="77777777" w:rsidR="00762990" w:rsidRPr="00762990" w:rsidRDefault="00762990" w:rsidP="00762990">
      <w:pPr>
        <w:pStyle w:val="Boxtext"/>
        <w:rPr>
          <w:rStyle w:val="Strong"/>
        </w:rPr>
      </w:pPr>
      <w:r w:rsidRPr="00762990">
        <w:rPr>
          <w:rStyle w:val="Strong"/>
        </w:rPr>
        <w:t>Finding 3</w:t>
      </w:r>
    </w:p>
    <w:p w14:paraId="1D4A89EC" w14:textId="77777777" w:rsidR="00762990" w:rsidRPr="00762990" w:rsidRDefault="00762990" w:rsidP="00762990">
      <w:pPr>
        <w:pStyle w:val="Boxtext"/>
        <w:rPr>
          <w:rStyle w:val="Strong"/>
        </w:rPr>
      </w:pPr>
      <w:r w:rsidRPr="00762990">
        <w:rPr>
          <w:rStyle w:val="Strong"/>
        </w:rPr>
        <w:t xml:space="preserve">The Department is constrained in its ability </w:t>
      </w:r>
      <w:proofErr w:type="gramStart"/>
      <w:r w:rsidRPr="00762990">
        <w:rPr>
          <w:rStyle w:val="Strong"/>
        </w:rPr>
        <w:t>to  provide</w:t>
      </w:r>
      <w:proofErr w:type="gramEnd"/>
      <w:r w:rsidRPr="00762990">
        <w:rPr>
          <w:rStyle w:val="Strong"/>
        </w:rPr>
        <w:t xml:space="preserve"> the necessary data and information to enable the PLAC to conduct its post-listing review responsibilities.</w:t>
      </w:r>
    </w:p>
    <w:p w14:paraId="4F99F022" w14:textId="77777777" w:rsidR="00762990" w:rsidRDefault="00762990" w:rsidP="00762990">
      <w:pPr>
        <w:pStyle w:val="Boxtext"/>
      </w:pPr>
      <w:r w:rsidRPr="00762990">
        <w:rPr>
          <w:rStyle w:val="Strong"/>
        </w:rPr>
        <w:t>Summary</w:t>
      </w:r>
      <w:r>
        <w:t xml:space="preserve">: There are limited provisions in the legislation that support post-listing reviews, even though it is a responsibility of the PLAC. </w:t>
      </w:r>
    </w:p>
    <w:p w14:paraId="01BA7589" w14:textId="5F9E3A8A" w:rsidR="00762990" w:rsidRPr="00762990" w:rsidRDefault="00762990" w:rsidP="00762990">
      <w:pPr>
        <w:pStyle w:val="Boxtext"/>
      </w:pPr>
      <w:r>
        <w:t xml:space="preserve">The Department has limited capability and capacity to conduct post-listing price, </w:t>
      </w:r>
      <w:proofErr w:type="gramStart"/>
      <w:r>
        <w:t>utilisation</w:t>
      </w:r>
      <w:proofErr w:type="gramEnd"/>
      <w:r>
        <w:t xml:space="preserve"> and clinical outcome surveillance to take to the PLAC for consideration. This is, in part, due to the volume of applications received per PLAC Meeting, but also due to limitations associated with data availability and analytical capabilities to provide PLAC with insights on medical devices utilisation, prices and clinical outcomes.</w:t>
      </w:r>
    </w:p>
    <w:p w14:paraId="754490EE" w14:textId="354FCDAC" w:rsidR="00D53C9B" w:rsidRPr="00D2484E" w:rsidRDefault="00D53C9B" w:rsidP="00510194">
      <w:pPr>
        <w:pStyle w:val="EYHeading3"/>
      </w:pPr>
      <w:bookmarkStart w:id="132" w:name="_Ref76634945"/>
      <w:r w:rsidRPr="00D2484E">
        <w:lastRenderedPageBreak/>
        <w:t>Documentation and precedent</w:t>
      </w:r>
      <w:bookmarkEnd w:id="132"/>
    </w:p>
    <w:p w14:paraId="6278F8DD" w14:textId="21701D2C" w:rsidR="00D53C9B" w:rsidRPr="005A2F16" w:rsidRDefault="006F10B9" w:rsidP="005A2F16">
      <w:r w:rsidRPr="005A2F16">
        <w:t>Members</w:t>
      </w:r>
      <w:r w:rsidR="00D53C9B" w:rsidRPr="005A2F16">
        <w:t xml:space="preserve"> </w:t>
      </w:r>
      <w:r w:rsidR="00DC2027" w:rsidRPr="005A2F16">
        <w:t xml:space="preserve">had </w:t>
      </w:r>
      <w:r w:rsidR="00D53C9B" w:rsidRPr="005A2F16">
        <w:t>diverse views on the quality and content of advice provided by the PLAC and its sub-committees</w:t>
      </w:r>
      <w:r w:rsidR="006542E3" w:rsidRPr="005A2F16">
        <w:t>.</w:t>
      </w:r>
      <w:r w:rsidR="00D53C9B" w:rsidRPr="005A2F16">
        <w:t xml:space="preserve"> </w:t>
      </w:r>
      <w:r w:rsidR="009C5ABA" w:rsidRPr="005A2F16">
        <w:t>Issues in quality and content relate to</w:t>
      </w:r>
      <w:r w:rsidR="00D53C9B" w:rsidRPr="005A2F16">
        <w:t>:</w:t>
      </w:r>
    </w:p>
    <w:p w14:paraId="55F0209B" w14:textId="13B63F88" w:rsidR="00D53C9B" w:rsidRPr="00D2484E" w:rsidRDefault="009C5ABA" w:rsidP="002D1775">
      <w:pPr>
        <w:pStyle w:val="EYBullet1"/>
      </w:pPr>
      <w:r w:rsidRPr="00D2484E">
        <w:t xml:space="preserve">Limited </w:t>
      </w:r>
      <w:r w:rsidR="00D53C9B" w:rsidRPr="00D2484E">
        <w:t xml:space="preserve">documentation of advice issued by </w:t>
      </w:r>
      <w:proofErr w:type="gramStart"/>
      <w:r w:rsidR="00D53C9B" w:rsidRPr="00D2484E">
        <w:t>CAGs</w:t>
      </w:r>
      <w:r w:rsidR="00140377" w:rsidRPr="00D2484E">
        <w:t>;</w:t>
      </w:r>
      <w:proofErr w:type="gramEnd"/>
    </w:p>
    <w:p w14:paraId="781FD0D8" w14:textId="51B01062" w:rsidR="00D53C9B" w:rsidRPr="00D2484E" w:rsidRDefault="009C716D" w:rsidP="002D1775">
      <w:pPr>
        <w:pStyle w:val="EYBullet1"/>
      </w:pPr>
      <w:r w:rsidRPr="00D2484E">
        <w:t xml:space="preserve">Absence of </w:t>
      </w:r>
      <w:r w:rsidR="00D53C9B" w:rsidRPr="00D2484E">
        <w:t>CAG</w:t>
      </w:r>
      <w:r w:rsidR="00503200" w:rsidRPr="00D2484E">
        <w:t xml:space="preserve"> Chairs</w:t>
      </w:r>
      <w:r w:rsidR="00D53C9B" w:rsidRPr="00D2484E">
        <w:t xml:space="preserve"> on the PLAC</w:t>
      </w:r>
      <w:r w:rsidR="00503200" w:rsidRPr="00D2484E">
        <w:t xml:space="preserve"> parent </w:t>
      </w:r>
      <w:proofErr w:type="gramStart"/>
      <w:r w:rsidR="00503200" w:rsidRPr="00D2484E">
        <w:t>committee</w:t>
      </w:r>
      <w:r w:rsidR="00140377" w:rsidRPr="00D2484E">
        <w:t>;</w:t>
      </w:r>
      <w:proofErr w:type="gramEnd"/>
      <w:r w:rsidR="00D53C9B" w:rsidRPr="00D2484E">
        <w:t xml:space="preserve"> </w:t>
      </w:r>
    </w:p>
    <w:p w14:paraId="18CE3226" w14:textId="1A8F4992" w:rsidR="00EA770C" w:rsidRPr="00D2484E" w:rsidRDefault="00EA770C" w:rsidP="002D1775">
      <w:pPr>
        <w:pStyle w:val="EYBullet1"/>
      </w:pPr>
      <w:r w:rsidRPr="00D2484E">
        <w:t>Lack of systems to recall precedent</w:t>
      </w:r>
      <w:r w:rsidR="002E09BF" w:rsidRPr="00D2484E">
        <w:t>; and</w:t>
      </w:r>
    </w:p>
    <w:p w14:paraId="2C5E6C81" w14:textId="5EE422CC" w:rsidR="006D3A55" w:rsidRPr="00D2484E" w:rsidRDefault="002E09BF" w:rsidP="002D1775">
      <w:pPr>
        <w:pStyle w:val="EYBullet1"/>
      </w:pPr>
      <w:r w:rsidRPr="00D2484E">
        <w:t>No formal criteria to commence a focused HTA.</w:t>
      </w:r>
    </w:p>
    <w:p w14:paraId="28D3C1F2" w14:textId="7117E172" w:rsidR="009A048B" w:rsidRPr="00E45667" w:rsidRDefault="009A048B" w:rsidP="00E45667">
      <w:r w:rsidRPr="00E45667">
        <w:t>These points are discussed in more detail below.</w:t>
      </w:r>
    </w:p>
    <w:p w14:paraId="130DC5DE" w14:textId="6B594553" w:rsidR="00161D89" w:rsidRPr="00762990" w:rsidRDefault="00D53C9B" w:rsidP="00762990">
      <w:pPr>
        <w:pStyle w:val="Heading4"/>
      </w:pPr>
      <w:r w:rsidRPr="00762990">
        <w:t>Limited documentation of advice issued by CAGs</w:t>
      </w:r>
    </w:p>
    <w:p w14:paraId="4E4C36BA" w14:textId="12044609" w:rsidR="00740CC6" w:rsidRPr="00E45667" w:rsidRDefault="00D53C9B" w:rsidP="00E45667">
      <w:r w:rsidRPr="00E45667">
        <w:t xml:space="preserve">The applications for listing on the </w:t>
      </w:r>
      <w:r w:rsidR="00491177" w:rsidRPr="00E45667">
        <w:t>Protheses L</w:t>
      </w:r>
      <w:r w:rsidRPr="00E45667">
        <w:t xml:space="preserve">ist are not provided to </w:t>
      </w:r>
      <w:r w:rsidR="009A048B" w:rsidRPr="00E45667">
        <w:t xml:space="preserve">the </w:t>
      </w:r>
      <w:r w:rsidRPr="00E45667">
        <w:t xml:space="preserve">PLAC </w:t>
      </w:r>
      <w:r w:rsidR="00993BC1" w:rsidRPr="00E45667">
        <w:t>Member</w:t>
      </w:r>
      <w:r w:rsidR="009A048B" w:rsidRPr="00E45667">
        <w:t>s</w:t>
      </w:r>
      <w:r w:rsidR="00BF52B0" w:rsidRPr="00E45667">
        <w:t>, which</w:t>
      </w:r>
      <w:r w:rsidRPr="00E45667">
        <w:t xml:space="preserve"> has been identified as a key challenge by</w:t>
      </w:r>
      <w:r w:rsidR="00A93CCA" w:rsidRPr="00E45667">
        <w:t xml:space="preserve"> M</w:t>
      </w:r>
      <w:r w:rsidRPr="00E45667">
        <w:t xml:space="preserve">embers. </w:t>
      </w:r>
      <w:r w:rsidR="00BF52B0" w:rsidRPr="00E45667">
        <w:t xml:space="preserve">The </w:t>
      </w:r>
      <w:r w:rsidRPr="00E45667">
        <w:t>CAGs are responsible for providing the preliminary advice to the PLAC</w:t>
      </w:r>
      <w:r w:rsidR="009F7426" w:rsidRPr="00E45667">
        <w:t xml:space="preserve">, </w:t>
      </w:r>
      <w:r w:rsidRPr="00E45667">
        <w:t xml:space="preserve">which </w:t>
      </w:r>
      <w:r w:rsidR="00EE29B6" w:rsidRPr="00E45667">
        <w:t>consider</w:t>
      </w:r>
      <w:r w:rsidR="00AF29B6" w:rsidRPr="00E45667">
        <w:t>s the advice along</w:t>
      </w:r>
      <w:r w:rsidRPr="00E45667">
        <w:t xml:space="preserve"> with further information prepared by </w:t>
      </w:r>
      <w:r w:rsidR="001415DF" w:rsidRPr="00E45667">
        <w:t xml:space="preserve"> </w:t>
      </w:r>
      <w:r w:rsidR="00813A56" w:rsidRPr="00E45667">
        <w:t xml:space="preserve"> </w:t>
      </w:r>
      <w:r w:rsidR="00A22DD6" w:rsidRPr="00E45667">
        <w:t xml:space="preserve"> </w:t>
      </w:r>
      <w:r w:rsidR="006F170D" w:rsidRPr="00E45667">
        <w:t xml:space="preserve">TAAD </w:t>
      </w:r>
      <w:r w:rsidR="007911D0" w:rsidRPr="00E45667">
        <w:t>on the application</w:t>
      </w:r>
      <w:r w:rsidRPr="00E45667">
        <w:t xml:space="preserve">. </w:t>
      </w:r>
    </w:p>
    <w:p w14:paraId="306B78E9" w14:textId="52C48033" w:rsidR="00D53C9B" w:rsidRPr="00E45667" w:rsidRDefault="00D53C9B" w:rsidP="00E45667">
      <w:r w:rsidRPr="00E45667">
        <w:t xml:space="preserve">While the CAGs are held in high regard for their expert knowledge by </w:t>
      </w:r>
      <w:proofErr w:type="gramStart"/>
      <w:r w:rsidR="00BF52B0" w:rsidRPr="00E45667">
        <w:t xml:space="preserve">the </w:t>
      </w:r>
      <w:r w:rsidRPr="00E45667">
        <w:t>majority of</w:t>
      </w:r>
      <w:proofErr w:type="gramEnd"/>
      <w:r w:rsidRPr="00E45667">
        <w:t xml:space="preserve"> participants, </w:t>
      </w:r>
      <w:r w:rsidR="00BF52B0" w:rsidRPr="00E45667">
        <w:t>it was</w:t>
      </w:r>
      <w:r w:rsidRPr="00E45667">
        <w:t xml:space="preserve"> noted that </w:t>
      </w:r>
      <w:r w:rsidR="00BF52B0" w:rsidRPr="00E45667">
        <w:t>they</w:t>
      </w:r>
      <w:r w:rsidRPr="00E45667">
        <w:t xml:space="preserve"> occasionally provide </w:t>
      </w:r>
      <w:r w:rsidR="00AF6A5E" w:rsidRPr="00E45667">
        <w:t>limited</w:t>
      </w:r>
      <w:r w:rsidR="00C40B24" w:rsidRPr="00E45667">
        <w:t xml:space="preserve"> supporting</w:t>
      </w:r>
      <w:r w:rsidR="00AF6A5E" w:rsidRPr="00E45667">
        <w:t xml:space="preserve"> </w:t>
      </w:r>
      <w:r w:rsidRPr="00E45667">
        <w:t>information to the PLAC</w:t>
      </w:r>
      <w:r w:rsidR="00C40B24" w:rsidRPr="00E45667">
        <w:t xml:space="preserve"> regarding a recommendation to support or reject an item’s listing.</w:t>
      </w:r>
      <w:r w:rsidRPr="00E45667">
        <w:t xml:space="preserve"> </w:t>
      </w:r>
    </w:p>
    <w:p w14:paraId="5EDF42BF" w14:textId="1D86E66F" w:rsidR="00161D89" w:rsidRPr="00762990" w:rsidRDefault="009C716D" w:rsidP="00762990">
      <w:pPr>
        <w:pStyle w:val="Heading4"/>
      </w:pPr>
      <w:r w:rsidRPr="00762990">
        <w:t xml:space="preserve">Absence </w:t>
      </w:r>
      <w:r w:rsidR="00D53C9B" w:rsidRPr="00762990">
        <w:t>of CAG Chairs on the PLAC</w:t>
      </w:r>
    </w:p>
    <w:p w14:paraId="260A4DF3" w14:textId="333E2AF5" w:rsidR="00D53C9B" w:rsidRPr="00E45667" w:rsidRDefault="00D53C9B" w:rsidP="00E45667">
      <w:r w:rsidRPr="00E45667">
        <w:t xml:space="preserve">The issue of limited documentation </w:t>
      </w:r>
      <w:r w:rsidR="00784D0A" w:rsidRPr="00E45667">
        <w:t xml:space="preserve">supporting </w:t>
      </w:r>
      <w:r w:rsidRPr="00E45667">
        <w:t xml:space="preserve">a CAG’s advice is </w:t>
      </w:r>
      <w:r w:rsidR="001A3A03" w:rsidRPr="00E45667">
        <w:t>exacerbated as some</w:t>
      </w:r>
      <w:r w:rsidRPr="00E45667">
        <w:t xml:space="preserve"> CAG Chairs are not members of the PLAC. This </w:t>
      </w:r>
      <w:r w:rsidR="001A3A03" w:rsidRPr="00E45667">
        <w:t xml:space="preserve">further limits </w:t>
      </w:r>
      <w:r w:rsidRPr="00E45667">
        <w:t xml:space="preserve">the PLAC’s ability to </w:t>
      </w:r>
      <w:r w:rsidR="00763CC8" w:rsidRPr="00E45667">
        <w:t>understand</w:t>
      </w:r>
      <w:r w:rsidRPr="00E45667">
        <w:t xml:space="preserve"> insight</w:t>
      </w:r>
      <w:r w:rsidR="00A400F7" w:rsidRPr="00E45667">
        <w:t>s from the CAG</w:t>
      </w:r>
      <w:r w:rsidRPr="00E45667">
        <w:t xml:space="preserve">. For this reason, participants generally voiced support for requiring CAG Chairs to be represented on the PLAC. </w:t>
      </w:r>
    </w:p>
    <w:p w14:paraId="40A999A0" w14:textId="3D36A493" w:rsidR="00161D89" w:rsidRPr="00762990" w:rsidRDefault="00EA770C" w:rsidP="00762990">
      <w:pPr>
        <w:pStyle w:val="Heading4"/>
      </w:pPr>
      <w:r w:rsidRPr="00762990">
        <w:t>Lack of s</w:t>
      </w:r>
      <w:r w:rsidR="00D53C9B" w:rsidRPr="00762990">
        <w:t>ystem</w:t>
      </w:r>
      <w:r w:rsidRPr="00762990">
        <w:t>s</w:t>
      </w:r>
      <w:r w:rsidR="00D53C9B" w:rsidRPr="00762990">
        <w:t xml:space="preserve"> to recall </w:t>
      </w:r>
      <w:r w:rsidR="00C84187" w:rsidRPr="00762990">
        <w:t xml:space="preserve">previous decisions </w:t>
      </w:r>
    </w:p>
    <w:p w14:paraId="5B904485" w14:textId="008C311C" w:rsidR="00C3723F" w:rsidRPr="00E45667" w:rsidRDefault="00D53C9B" w:rsidP="00E45667">
      <w:r w:rsidRPr="00D2484E">
        <w:t xml:space="preserve">The PLAC does not have a system through which it is able to recall </w:t>
      </w:r>
      <w:r w:rsidR="003A2B8C" w:rsidRPr="00D2484E">
        <w:t>the reasons for previous decisions and recommendations</w:t>
      </w:r>
      <w:r w:rsidRPr="00D2484E">
        <w:t xml:space="preserve">. The </w:t>
      </w:r>
      <w:r w:rsidR="00894E53" w:rsidRPr="00D2484E">
        <w:t>Prostheses List</w:t>
      </w:r>
      <w:r w:rsidRPr="00D2484E">
        <w:t xml:space="preserve"> is managed through the Prostheses List Management System (PLMS)</w:t>
      </w:r>
      <w:r w:rsidR="00B726D8" w:rsidRPr="00D2484E">
        <w:t>.</w:t>
      </w:r>
      <w:r w:rsidRPr="00D2484E">
        <w:rPr>
          <w:rStyle w:val="FootnoteReference"/>
          <w:rFonts w:ascii="Arial" w:hAnsi="Arial"/>
        </w:rPr>
        <w:footnoteReference w:id="15"/>
      </w:r>
      <w:r w:rsidRPr="00D2484E">
        <w:t xml:space="preserve"> </w:t>
      </w:r>
      <w:r w:rsidR="00B726D8" w:rsidRPr="00D2484E">
        <w:t>H</w:t>
      </w:r>
      <w:r w:rsidRPr="00D2484E">
        <w:t>owever, this system cannot easily recall specific details on historical reas</w:t>
      </w:r>
      <w:r w:rsidRPr="00E45667">
        <w:t>ons for decisions relating to a listing application</w:t>
      </w:r>
      <w:r w:rsidR="00AC67DA" w:rsidRPr="00E45667">
        <w:t xml:space="preserve"> to provide further information </w:t>
      </w:r>
      <w:r w:rsidR="00811CE5" w:rsidRPr="00E45667">
        <w:t xml:space="preserve">on </w:t>
      </w:r>
      <w:r w:rsidR="00210C8E" w:rsidRPr="00E45667">
        <w:t xml:space="preserve">prior </w:t>
      </w:r>
      <w:r w:rsidR="00D41D34" w:rsidRPr="00E45667">
        <w:t xml:space="preserve">decisions relating to </w:t>
      </w:r>
      <w:r w:rsidR="00811CE5" w:rsidRPr="00E45667">
        <w:t>like</w:t>
      </w:r>
      <w:r w:rsidR="006A0642" w:rsidRPr="00E45667">
        <w:t xml:space="preserve"> or</w:t>
      </w:r>
      <w:r w:rsidR="00BA4CBA" w:rsidRPr="00E45667">
        <w:t xml:space="preserve"> similar products</w:t>
      </w:r>
      <w:r w:rsidR="000A67A4" w:rsidRPr="00E45667">
        <w:t>.</w:t>
      </w:r>
      <w:r w:rsidR="00811CE5" w:rsidRPr="00E45667">
        <w:t xml:space="preserve"> </w:t>
      </w:r>
      <w:r w:rsidR="004B5136" w:rsidRPr="00E45667">
        <w:t>T</w:t>
      </w:r>
      <w:r w:rsidR="00EE2D2D" w:rsidRPr="00E45667">
        <w:t xml:space="preserve">his is a risk to the PLAC, as it increases the risk of litigation </w:t>
      </w:r>
      <w:r w:rsidR="00192D2A" w:rsidRPr="00E45667">
        <w:t xml:space="preserve">where like-items are not </w:t>
      </w:r>
      <w:proofErr w:type="gramStart"/>
      <w:r w:rsidR="00192D2A" w:rsidRPr="00E45667">
        <w:t>listed, or</w:t>
      </w:r>
      <w:proofErr w:type="gramEnd"/>
      <w:r w:rsidR="00192D2A" w:rsidRPr="00E45667">
        <w:t xml:space="preserve"> are inconsistent in the benefit level proposed due to inconsistent assessments</w:t>
      </w:r>
      <w:r w:rsidR="00FF3BE8" w:rsidRPr="00E45667">
        <w:t>.</w:t>
      </w:r>
      <w:r w:rsidR="00500E89" w:rsidRPr="00E45667">
        <w:t xml:space="preserve"> As such, the PLAC has developed a dependence on the corporate memory of PLAC members. </w:t>
      </w:r>
    </w:p>
    <w:p w14:paraId="02780126" w14:textId="5B5EA282" w:rsidR="00584358" w:rsidRPr="00E45667" w:rsidRDefault="0072306D" w:rsidP="00E45667">
      <w:r w:rsidRPr="00E45667">
        <w:t>However, some stakeholders consulted</w:t>
      </w:r>
      <w:r w:rsidR="00D53C9B" w:rsidRPr="00E45667">
        <w:t xml:space="preserve"> do not support </w:t>
      </w:r>
      <w:r w:rsidR="002776ED" w:rsidRPr="00E45667">
        <w:t xml:space="preserve">a </w:t>
      </w:r>
      <w:r w:rsidR="00D53C9B" w:rsidRPr="00E45667">
        <w:t>requirement to refer to precedent. The PLAC Operational Guidelines do not stipulate the need to refer to precedent</w:t>
      </w:r>
      <w:r w:rsidR="009B2CE6" w:rsidRPr="00E45667">
        <w:t>.</w:t>
      </w:r>
      <w:r w:rsidR="00C76F55" w:rsidRPr="00E45667">
        <w:t xml:space="preserve"> </w:t>
      </w:r>
      <w:r w:rsidR="00B445D7" w:rsidRPr="00E45667" w:rsidDel="00BB6A68">
        <w:t xml:space="preserve"> </w:t>
      </w:r>
    </w:p>
    <w:p w14:paraId="745D2BCE" w14:textId="588D33DC" w:rsidR="00D53C9B" w:rsidRPr="00E45667" w:rsidRDefault="00584358" w:rsidP="00E45667">
      <w:r w:rsidRPr="00E45667">
        <w:t>The</w:t>
      </w:r>
      <w:r w:rsidR="00D53C9B" w:rsidRPr="00E45667">
        <w:t xml:space="preserve"> unavailability of a formal system to recall precedent limits the PLAC’s capability </w:t>
      </w:r>
      <w:r w:rsidR="00D45C5A" w:rsidRPr="00E45667">
        <w:t>to conduct post-listing review</w:t>
      </w:r>
      <w:r w:rsidR="00D53C9B" w:rsidRPr="00E45667">
        <w:t xml:space="preserve">. </w:t>
      </w:r>
    </w:p>
    <w:p w14:paraId="13EA4BCE" w14:textId="3C0B6892" w:rsidR="00121005" w:rsidRPr="00762990" w:rsidRDefault="002E09BF" w:rsidP="00762990">
      <w:pPr>
        <w:pStyle w:val="Heading4"/>
      </w:pPr>
      <w:r w:rsidRPr="00762990">
        <w:t>No formal c</w:t>
      </w:r>
      <w:r w:rsidR="00121005" w:rsidRPr="00762990">
        <w:t>riteria to commence a focused HTA</w:t>
      </w:r>
    </w:p>
    <w:p w14:paraId="1E6AD9C8" w14:textId="347683F4" w:rsidR="00121005" w:rsidRPr="00E45667" w:rsidRDefault="00121005" w:rsidP="00E45667">
      <w:r w:rsidRPr="00E45667">
        <w:t xml:space="preserve">Full </w:t>
      </w:r>
      <w:r w:rsidR="002A597F" w:rsidRPr="00E45667">
        <w:t>and</w:t>
      </w:r>
      <w:r w:rsidRPr="00E45667">
        <w:t xml:space="preserve"> </w:t>
      </w:r>
      <w:r w:rsidR="009227D7" w:rsidRPr="00E45667">
        <w:t xml:space="preserve">focused </w:t>
      </w:r>
      <w:r w:rsidRPr="00E45667">
        <w:t xml:space="preserve">HTAs are the responsibility of </w:t>
      </w:r>
      <w:r w:rsidR="006818BA" w:rsidRPr="00E45667">
        <w:t xml:space="preserve">the </w:t>
      </w:r>
      <w:r w:rsidRPr="00E45667">
        <w:t>MSAC</w:t>
      </w:r>
      <w:r w:rsidR="00D25685" w:rsidRPr="00E45667">
        <w:t>. The MSAC</w:t>
      </w:r>
      <w:r w:rsidRPr="00E45667">
        <w:t xml:space="preserve"> uses scientific evidence to assess the quality, safety, </w:t>
      </w:r>
      <w:proofErr w:type="gramStart"/>
      <w:r w:rsidRPr="00E45667">
        <w:t>efficacy</w:t>
      </w:r>
      <w:proofErr w:type="gramEnd"/>
      <w:r w:rsidR="007037E1" w:rsidRPr="00E45667">
        <w:t xml:space="preserve"> </w:t>
      </w:r>
      <w:r w:rsidRPr="00E45667">
        <w:t xml:space="preserve">and cost effectiveness of health services and to provide the necessary information to understand the benefits and comparative value of health technologies and procedures. In certain circumstances, the PLAC may request a focused HTA to assess certain aspects of an application by an external contractor, usually </w:t>
      </w:r>
      <w:proofErr w:type="spellStart"/>
      <w:r w:rsidRPr="00E45667">
        <w:t>Hereco</w:t>
      </w:r>
      <w:proofErr w:type="spellEnd"/>
      <w:r w:rsidRPr="00E45667">
        <w:t xml:space="preserve">. </w:t>
      </w:r>
    </w:p>
    <w:p w14:paraId="7D04C417" w14:textId="76A4CE5A" w:rsidR="00855B81" w:rsidRPr="005E2C10" w:rsidRDefault="00121005" w:rsidP="005E2C10">
      <w:r w:rsidRPr="00E45667">
        <w:lastRenderedPageBreak/>
        <w:t xml:space="preserve">Although full and focused HTAs maintain a defined role in the process of listing a device on the </w:t>
      </w:r>
      <w:r w:rsidR="00452733" w:rsidRPr="00E45667">
        <w:t>PLAC</w:t>
      </w:r>
      <w:r w:rsidRPr="00E45667">
        <w:t>, the PLAC has previous</w:t>
      </w:r>
      <w:r w:rsidR="00E51C52" w:rsidRPr="00E45667">
        <w:t>ly</w:t>
      </w:r>
      <w:r w:rsidRPr="00E45667">
        <w:t xml:space="preserve"> raised concern</w:t>
      </w:r>
      <w:r w:rsidR="00E51C52" w:rsidRPr="00E45667">
        <w:t>s</w:t>
      </w:r>
      <w:r w:rsidRPr="00E45667">
        <w:t xml:space="preserve"> with both the </w:t>
      </w:r>
      <w:r w:rsidR="00D83FF4" w:rsidRPr="00E45667">
        <w:t>criteria</w:t>
      </w:r>
      <w:r w:rsidRPr="00E45667">
        <w:t xml:space="preserve"> to commence a formal HTA, and the assessment process itself. </w:t>
      </w:r>
      <w:r w:rsidR="005E761D" w:rsidRPr="00E45667">
        <w:t>There are no</w:t>
      </w:r>
      <w:r w:rsidRPr="00E45667">
        <w:t xml:space="preserve"> </w:t>
      </w:r>
      <w:r w:rsidR="00D83FF4" w:rsidRPr="00E45667">
        <w:t xml:space="preserve">formal </w:t>
      </w:r>
      <w:r w:rsidR="005E761D" w:rsidRPr="00E45667">
        <w:t xml:space="preserve">criteria </w:t>
      </w:r>
      <w:r w:rsidR="006E73F2" w:rsidRPr="00E45667">
        <w:t>on</w:t>
      </w:r>
      <w:r w:rsidRPr="00E45667">
        <w:t xml:space="preserve"> </w:t>
      </w:r>
      <w:r w:rsidR="00152CF5" w:rsidRPr="00E45667">
        <w:t>the</w:t>
      </w:r>
      <w:r w:rsidRPr="00E45667">
        <w:t xml:space="preserve"> factors to trigger an HTA, nor </w:t>
      </w:r>
      <w:r w:rsidR="00113D5B" w:rsidRPr="00E45667">
        <w:t xml:space="preserve">guidance on the </w:t>
      </w:r>
      <w:r w:rsidRPr="00E45667">
        <w:t>process</w:t>
      </w:r>
      <w:r w:rsidR="00113D5B" w:rsidRPr="00E45667">
        <w:t>es</w:t>
      </w:r>
      <w:r w:rsidRPr="00E45667">
        <w:t xml:space="preserve"> to be followed should an HTA be required. PLAC </w:t>
      </w:r>
      <w:r w:rsidR="00894E53" w:rsidRPr="00E45667">
        <w:t xml:space="preserve">Members </w:t>
      </w:r>
      <w:r w:rsidRPr="00E45667">
        <w:t xml:space="preserve">acknowledge that this has been a source of confusion in the past. </w:t>
      </w:r>
    </w:p>
    <w:p w14:paraId="48FC0F89" w14:textId="5FF2F80D" w:rsidR="00E31910" w:rsidRDefault="001211D2" w:rsidP="00675361">
      <w:pPr>
        <w:pStyle w:val="EYHeading2"/>
      </w:pPr>
      <w:bookmarkStart w:id="133" w:name="_Ref76107501"/>
      <w:bookmarkStart w:id="134" w:name="_Ref76627966"/>
      <w:bookmarkStart w:id="135" w:name="_Toc77329452"/>
      <w:r w:rsidRPr="00D2484E">
        <w:t>R</w:t>
      </w:r>
      <w:r w:rsidR="00946016" w:rsidRPr="00D2484E">
        <w:t xml:space="preserve">elationship with </w:t>
      </w:r>
      <w:r w:rsidR="00102164" w:rsidRPr="00D2484E">
        <w:t xml:space="preserve">the </w:t>
      </w:r>
      <w:r w:rsidR="001360FA" w:rsidRPr="00D2484E">
        <w:t>MSAC</w:t>
      </w:r>
      <w:r w:rsidR="00946016" w:rsidRPr="00D2484E">
        <w:t xml:space="preserve">, </w:t>
      </w:r>
      <w:r w:rsidR="00C07000" w:rsidRPr="00D2484E">
        <w:t xml:space="preserve">the PBAC, </w:t>
      </w:r>
      <w:r w:rsidR="003020AC" w:rsidRPr="00D2484E">
        <w:t xml:space="preserve">the </w:t>
      </w:r>
      <w:r w:rsidR="00946016" w:rsidRPr="00D2484E">
        <w:t>TGA and</w:t>
      </w:r>
      <w:r w:rsidR="00155FB5" w:rsidRPr="00D2484E">
        <w:t xml:space="preserve"> the</w:t>
      </w:r>
      <w:r w:rsidR="00946016" w:rsidRPr="00D2484E">
        <w:t xml:space="preserve"> IHPA</w:t>
      </w:r>
      <w:bookmarkEnd w:id="133"/>
      <w:bookmarkEnd w:id="134"/>
      <w:bookmarkEnd w:id="135"/>
    </w:p>
    <w:p w14:paraId="11FC1383" w14:textId="77777777" w:rsidR="00762990" w:rsidRPr="00762990" w:rsidRDefault="00762990" w:rsidP="00762990">
      <w:pPr>
        <w:pStyle w:val="Boxtext"/>
        <w:rPr>
          <w:rStyle w:val="Strong"/>
        </w:rPr>
      </w:pPr>
      <w:r w:rsidRPr="00762990">
        <w:rPr>
          <w:rStyle w:val="Strong"/>
        </w:rPr>
        <w:t>Finding 5</w:t>
      </w:r>
    </w:p>
    <w:p w14:paraId="0E854A3B" w14:textId="77777777" w:rsidR="00762990" w:rsidRPr="00762990" w:rsidRDefault="00762990" w:rsidP="00762990">
      <w:pPr>
        <w:pStyle w:val="Boxtext"/>
        <w:rPr>
          <w:rStyle w:val="Strong"/>
        </w:rPr>
      </w:pPr>
      <w:r w:rsidRPr="00762990">
        <w:rPr>
          <w:rStyle w:val="Strong"/>
        </w:rPr>
        <w:t>The PLAC does not maintain strong relationships with other HTA committees.</w:t>
      </w:r>
    </w:p>
    <w:p w14:paraId="2A7D7168" w14:textId="68028FAE" w:rsidR="00762990" w:rsidRDefault="00762990" w:rsidP="00762990">
      <w:pPr>
        <w:pStyle w:val="Boxtext"/>
      </w:pPr>
      <w:r w:rsidRPr="00762990">
        <w:rPr>
          <w:rStyle w:val="Strong"/>
        </w:rPr>
        <w:t>Summary</w:t>
      </w:r>
      <w:r>
        <w:t xml:space="preserve">: The PLAC maintains diverse views on the perceived mandate, </w:t>
      </w:r>
      <w:proofErr w:type="gramStart"/>
      <w:r>
        <w:t>function</w:t>
      </w:r>
      <w:proofErr w:type="gramEnd"/>
      <w:r>
        <w:t xml:space="preserve"> and responsibilities of other HTA committees. The PLAC does not maintain strong relationships with other HTA committees. Furthermore, these committees do not frequently leverage expert skills from one another. This is also relevant to the PLAC’s relationships with the TGA.</w:t>
      </w:r>
    </w:p>
    <w:p w14:paraId="0722F460" w14:textId="2974708F" w:rsidR="00762990" w:rsidRPr="00762990" w:rsidRDefault="00762990" w:rsidP="00762990">
      <w:pPr>
        <w:pStyle w:val="Boxtext"/>
      </w:pPr>
      <w:r>
        <w:t>Further, the PLAC currently has limited awareness and understanding of the role IHPA will have in the reforms, and how it will impact on their work.</w:t>
      </w:r>
    </w:p>
    <w:p w14:paraId="1D84E66A" w14:textId="004A3F0E" w:rsidR="00121005" w:rsidRPr="00E45667" w:rsidRDefault="00C75B1B" w:rsidP="00E45667">
      <w:r w:rsidRPr="00D2484E">
        <w:t>As a</w:t>
      </w:r>
      <w:r w:rsidR="00D42CD9" w:rsidRPr="00D2484E">
        <w:t xml:space="preserve">n HTA </w:t>
      </w:r>
      <w:r w:rsidRPr="00D2484E">
        <w:t>committee, the PLAC</w:t>
      </w:r>
      <w:r w:rsidR="00D42CD9" w:rsidRPr="00D2484E">
        <w:t xml:space="preserve"> maintains </w:t>
      </w:r>
      <w:r w:rsidR="001253FD" w:rsidRPr="00D2484E">
        <w:t>functional relationship</w:t>
      </w:r>
      <w:r w:rsidR="00F82229" w:rsidRPr="00D2484E">
        <w:t>s</w:t>
      </w:r>
      <w:r w:rsidR="001253FD" w:rsidRPr="00D2484E">
        <w:t xml:space="preserve"> </w:t>
      </w:r>
      <w:r w:rsidR="00D42CD9" w:rsidRPr="00D2484E">
        <w:t>with the TGA</w:t>
      </w:r>
      <w:r w:rsidR="001253FD" w:rsidRPr="00D2484E">
        <w:t>, PBAC and MSAC</w:t>
      </w:r>
      <w:r w:rsidR="0092207C" w:rsidRPr="00D2484E">
        <w:t>, although it is apparent that the</w:t>
      </w:r>
      <w:r w:rsidR="00B32955" w:rsidRPr="00D2484E">
        <w:t xml:space="preserve">re is little </w:t>
      </w:r>
      <w:r w:rsidR="00F8522B" w:rsidRPr="00D2484E">
        <w:t xml:space="preserve">understanding of </w:t>
      </w:r>
      <w:r w:rsidR="00524BE7" w:rsidRPr="00D2484E">
        <w:t xml:space="preserve">each committee’s specific </w:t>
      </w:r>
      <w:r w:rsidR="00D419D3" w:rsidRPr="00D2484E">
        <w:t xml:space="preserve">role </w:t>
      </w:r>
      <w:r w:rsidR="00524BE7" w:rsidRPr="00D2484E">
        <w:t xml:space="preserve">in </w:t>
      </w:r>
      <w:r w:rsidR="00E514F4" w:rsidRPr="00D2484E">
        <w:t xml:space="preserve">relation </w:t>
      </w:r>
      <w:r w:rsidR="00717E87" w:rsidRPr="00D2484E">
        <w:t xml:space="preserve">to </w:t>
      </w:r>
      <w:r w:rsidR="00D419D3" w:rsidRPr="00D2484E">
        <w:t>governance of</w:t>
      </w:r>
      <w:r w:rsidR="00E514F4" w:rsidRPr="00D2484E">
        <w:t xml:space="preserve"> </w:t>
      </w:r>
      <w:r w:rsidR="00524BE7" w:rsidRPr="00D2484E">
        <w:t xml:space="preserve">the </w:t>
      </w:r>
      <w:r w:rsidR="00CE0185" w:rsidRPr="00D2484E">
        <w:t>Prostheses List</w:t>
      </w:r>
      <w:r w:rsidR="00524BE7" w:rsidRPr="00D2484E">
        <w:t xml:space="preserve">. </w:t>
      </w:r>
      <w:r w:rsidR="00F12440" w:rsidRPr="00D2484E">
        <w:t xml:space="preserve">Approximately </w:t>
      </w:r>
      <w:r w:rsidR="00CE0185" w:rsidRPr="00D2484E">
        <w:t xml:space="preserve">20 </w:t>
      </w:r>
      <w:r w:rsidR="00FF2CE0" w:rsidRPr="00D2484E">
        <w:t>per cent</w:t>
      </w:r>
      <w:r w:rsidR="00CE0185" w:rsidRPr="00D2484E">
        <w:t xml:space="preserve"> </w:t>
      </w:r>
      <w:r w:rsidR="00F12440" w:rsidRPr="00D2484E">
        <w:t xml:space="preserve">of all applications are </w:t>
      </w:r>
      <w:r w:rsidR="00CE0185" w:rsidRPr="00D2484E">
        <w:t>referred to the PLAC</w:t>
      </w:r>
      <w:r w:rsidR="00121005" w:rsidRPr="00D2484E">
        <w:t xml:space="preserve">. The </w:t>
      </w:r>
      <w:r w:rsidR="00121005" w:rsidRPr="00D2484E">
        <w:rPr>
          <w:i/>
        </w:rPr>
        <w:t>PLAC</w:t>
      </w:r>
      <w:r w:rsidR="00121005" w:rsidRPr="00D2484E">
        <w:t xml:space="preserve"> </w:t>
      </w:r>
      <w:r w:rsidR="00121005" w:rsidRPr="00D2484E">
        <w:rPr>
          <w:i/>
        </w:rPr>
        <w:t>Terms of Reference</w:t>
      </w:r>
      <w:r w:rsidR="00121005" w:rsidRPr="00D2484E">
        <w:t xml:space="preserve"> provides the authority </w:t>
      </w:r>
      <w:r w:rsidR="00CE0185" w:rsidRPr="00D2484E">
        <w:t xml:space="preserve">to refer </w:t>
      </w:r>
      <w:r w:rsidR="00121005" w:rsidRPr="00D2484E">
        <w:t>applications to other HTA committees, including</w:t>
      </w:r>
      <w:r w:rsidR="00865CFC" w:rsidRPr="00D2484E">
        <w:t xml:space="preserve"> the</w:t>
      </w:r>
      <w:r w:rsidR="00121005" w:rsidRPr="00D2484E">
        <w:t xml:space="preserve"> MSAC, </w:t>
      </w:r>
      <w:r w:rsidR="000F36B3" w:rsidRPr="00D2484E">
        <w:t xml:space="preserve">the </w:t>
      </w:r>
      <w:r w:rsidR="00121005" w:rsidRPr="00D2484E">
        <w:t xml:space="preserve">PBAC and </w:t>
      </w:r>
      <w:r w:rsidR="000F36B3" w:rsidRPr="00D2484E">
        <w:t xml:space="preserve">the </w:t>
      </w:r>
      <w:r w:rsidR="00121005" w:rsidRPr="00D2484E">
        <w:t xml:space="preserve">TGA. </w:t>
      </w:r>
    </w:p>
    <w:p w14:paraId="6E5E1DE8" w14:textId="3535A6CD" w:rsidR="006D3A55" w:rsidRPr="00D2484E" w:rsidRDefault="00361508" w:rsidP="00510194">
      <w:pPr>
        <w:pStyle w:val="EYHeading3"/>
      </w:pPr>
      <w:r w:rsidRPr="00D2484E">
        <w:t xml:space="preserve">Medical Services Advisory Committee </w:t>
      </w:r>
    </w:p>
    <w:p w14:paraId="2BAE2D6A" w14:textId="730EE641" w:rsidR="006D3A55" w:rsidRPr="00E45667" w:rsidRDefault="006D3A55" w:rsidP="00E45667">
      <w:r w:rsidRPr="00D2484E">
        <w:t>The</w:t>
      </w:r>
      <w:r w:rsidRPr="00D2484E">
        <w:rPr>
          <w:i/>
        </w:rPr>
        <w:t xml:space="preserve"> PLAC</w:t>
      </w:r>
      <w:r w:rsidRPr="00D2484E">
        <w:t xml:space="preserve"> </w:t>
      </w:r>
      <w:r w:rsidRPr="00D2484E">
        <w:rPr>
          <w:i/>
        </w:rPr>
        <w:t>Terms of Reference</w:t>
      </w:r>
      <w:r w:rsidRPr="00D2484E">
        <w:t xml:space="preserve"> enable</w:t>
      </w:r>
      <w:r w:rsidR="00D419D3" w:rsidRPr="00D2484E">
        <w:t>s</w:t>
      </w:r>
      <w:r w:rsidRPr="00D2484E">
        <w:t xml:space="preserve"> the PLAC to refer applications to the MSAC and its ESC where:</w:t>
      </w:r>
    </w:p>
    <w:p w14:paraId="54111725" w14:textId="6BED1E84" w:rsidR="006D3A55" w:rsidRPr="00D2484E" w:rsidRDefault="004744C3" w:rsidP="002D1775">
      <w:pPr>
        <w:pStyle w:val="EYBullet1"/>
      </w:pPr>
      <w:r w:rsidRPr="00D2484E">
        <w:t>T</w:t>
      </w:r>
      <w:r w:rsidR="006D3A55" w:rsidRPr="00D2484E">
        <w:t xml:space="preserve">he new medical device employs a medical service that is not currently covered in the </w:t>
      </w:r>
      <w:proofErr w:type="gramStart"/>
      <w:r w:rsidR="006D3A55" w:rsidRPr="00D2484E">
        <w:t>MBS</w:t>
      </w:r>
      <w:r w:rsidR="00082097" w:rsidRPr="00D2484E">
        <w:t>;</w:t>
      </w:r>
      <w:proofErr w:type="gramEnd"/>
      <w:r w:rsidR="006D3A55" w:rsidRPr="00D2484E">
        <w:t xml:space="preserve"> </w:t>
      </w:r>
    </w:p>
    <w:p w14:paraId="2EB1C5E7" w14:textId="02B89821" w:rsidR="006D3A55" w:rsidRPr="00D2484E" w:rsidRDefault="004744C3" w:rsidP="002D1775">
      <w:pPr>
        <w:pStyle w:val="EYBullet1"/>
      </w:pPr>
      <w:r w:rsidRPr="00D2484E">
        <w:t>T</w:t>
      </w:r>
      <w:r w:rsidR="006D3A55" w:rsidRPr="00D2484E">
        <w:t>he new medical device might be used in a medical service that is currently described in the MBS, but potentially extends the range of indications/patients beyond the original intent of the MBS item/</w:t>
      </w:r>
      <w:proofErr w:type="gramStart"/>
      <w:r w:rsidR="006D3A55" w:rsidRPr="00D2484E">
        <w:t>s;</w:t>
      </w:r>
      <w:proofErr w:type="gramEnd"/>
      <w:r w:rsidR="006D3A55" w:rsidRPr="00D2484E">
        <w:t xml:space="preserve"> </w:t>
      </w:r>
    </w:p>
    <w:p w14:paraId="7501F220" w14:textId="7EB0EC4C" w:rsidR="006D3A55" w:rsidRPr="00D2484E" w:rsidRDefault="004744C3" w:rsidP="002D1775">
      <w:pPr>
        <w:pStyle w:val="EYBullet1"/>
      </w:pPr>
      <w:r w:rsidRPr="00D2484E">
        <w:t>T</w:t>
      </w:r>
      <w:r w:rsidR="006D3A55" w:rsidRPr="00D2484E">
        <w:t xml:space="preserve">he applicant claims use of a medical device delivers superior health outcomes relative to existing alternative devices, and seeks a higher </w:t>
      </w:r>
      <w:proofErr w:type="gramStart"/>
      <w:r w:rsidR="006D3A55" w:rsidRPr="00D2484E">
        <w:t>benefit;</w:t>
      </w:r>
      <w:proofErr w:type="gramEnd"/>
      <w:r w:rsidR="006D3A55" w:rsidRPr="00D2484E">
        <w:t xml:space="preserve"> </w:t>
      </w:r>
    </w:p>
    <w:p w14:paraId="66B2B334" w14:textId="6466164C" w:rsidR="006D3A55" w:rsidRPr="00D2484E" w:rsidRDefault="000205C3" w:rsidP="002D1775">
      <w:pPr>
        <w:pStyle w:val="EYBullet1"/>
      </w:pPr>
      <w:r w:rsidRPr="00D2484E">
        <w:t>T</w:t>
      </w:r>
      <w:r w:rsidR="006D3A55" w:rsidRPr="00D2484E">
        <w:t xml:space="preserve">he application is for a first in class medical device; </w:t>
      </w:r>
      <w:r w:rsidR="000158DA" w:rsidRPr="00D2484E">
        <w:t>or</w:t>
      </w:r>
    </w:p>
    <w:p w14:paraId="7091BC36" w14:textId="3B7247BD" w:rsidR="006D3A55" w:rsidRPr="00D2484E" w:rsidRDefault="000205C3" w:rsidP="002D1775">
      <w:pPr>
        <w:pStyle w:val="EYBullet1"/>
      </w:pPr>
      <w:r w:rsidRPr="00D2484E">
        <w:t>T</w:t>
      </w:r>
      <w:r w:rsidR="006D3A55" w:rsidRPr="00D2484E">
        <w:t xml:space="preserve">he application is for an innovative medical device where an appropriate comparator listed on the Prostheses List cannot be easily identified. This may relate to the device itself, the patient </w:t>
      </w:r>
      <w:proofErr w:type="gramStart"/>
      <w:r w:rsidR="006D3A55" w:rsidRPr="00D2484E">
        <w:t>population</w:t>
      </w:r>
      <w:proofErr w:type="gramEnd"/>
      <w:r w:rsidR="006D3A55" w:rsidRPr="00D2484E">
        <w:t xml:space="preserve"> or the circumstances of use of the device.</w:t>
      </w:r>
      <w:r w:rsidR="006D3A55" w:rsidRPr="00D2484E">
        <w:rPr>
          <w:rStyle w:val="FootnoteReference"/>
          <w:rFonts w:ascii="Arial" w:hAnsi="Arial"/>
        </w:rPr>
        <w:footnoteReference w:id="16"/>
      </w:r>
    </w:p>
    <w:p w14:paraId="21EE5A28" w14:textId="1412B0E5" w:rsidR="006D3A55" w:rsidRPr="00E45667" w:rsidRDefault="006D3A55" w:rsidP="00E45667">
      <w:r w:rsidRPr="00E45667">
        <w:t xml:space="preserve">In some circumstances, applications may be submitted directly to </w:t>
      </w:r>
      <w:r w:rsidR="00865CFC" w:rsidRPr="00E45667">
        <w:t xml:space="preserve">the </w:t>
      </w:r>
      <w:r w:rsidRPr="00E45667">
        <w:t xml:space="preserve">MSAC, bypassing the </w:t>
      </w:r>
      <w:r w:rsidR="00452733" w:rsidRPr="00E45667">
        <w:t>PLAC</w:t>
      </w:r>
      <w:r w:rsidRPr="00E45667">
        <w:t xml:space="preserve">, if there are no appropriate MBS items associated with the use of the device, or if it is a novel technology. </w:t>
      </w:r>
    </w:p>
    <w:p w14:paraId="500571CB" w14:textId="34844493" w:rsidR="006D3A55" w:rsidRPr="00E45667" w:rsidRDefault="006D3A55" w:rsidP="00E45667">
      <w:r w:rsidRPr="00E45667">
        <w:t xml:space="preserve">The </w:t>
      </w:r>
      <w:r w:rsidR="00F007AA" w:rsidRPr="00E45667">
        <w:t>Department</w:t>
      </w:r>
      <w:r w:rsidRPr="00E45667">
        <w:t xml:space="preserve"> reports </w:t>
      </w:r>
      <w:r w:rsidR="009C1AB7" w:rsidRPr="00E45667">
        <w:t xml:space="preserve">that </w:t>
      </w:r>
      <w:r w:rsidRPr="00E45667">
        <w:t xml:space="preserve">approximately </w:t>
      </w:r>
      <w:r w:rsidR="000675FF" w:rsidRPr="00E45667">
        <w:t>four</w:t>
      </w:r>
      <w:r w:rsidRPr="00E45667">
        <w:t xml:space="preserve"> to </w:t>
      </w:r>
      <w:r w:rsidR="000675FF" w:rsidRPr="00E45667">
        <w:t xml:space="preserve">five </w:t>
      </w:r>
      <w:r w:rsidRPr="00E45667">
        <w:t xml:space="preserve">applications </w:t>
      </w:r>
      <w:r w:rsidR="009C1AB7" w:rsidRPr="00E45667">
        <w:t xml:space="preserve">are </w:t>
      </w:r>
      <w:r w:rsidRPr="00E45667">
        <w:t>referred to</w:t>
      </w:r>
      <w:r w:rsidR="00865CFC" w:rsidRPr="00E45667">
        <w:t xml:space="preserve"> the</w:t>
      </w:r>
      <w:r w:rsidRPr="00E45667">
        <w:t xml:space="preserve"> MSAC per cycle. Most members </w:t>
      </w:r>
      <w:r w:rsidR="009C1AB7" w:rsidRPr="00E45667">
        <w:t xml:space="preserve">report having </w:t>
      </w:r>
      <w:r w:rsidRPr="00E45667">
        <w:t xml:space="preserve">clarity on the criteria for </w:t>
      </w:r>
      <w:r w:rsidR="00865CFC" w:rsidRPr="00E45667">
        <w:t xml:space="preserve">the </w:t>
      </w:r>
      <w:r w:rsidRPr="00E45667">
        <w:t xml:space="preserve">MSAC referral due </w:t>
      </w:r>
      <w:r w:rsidR="005C0993" w:rsidRPr="00E45667">
        <w:t xml:space="preserve">its </w:t>
      </w:r>
      <w:r w:rsidRPr="00E45667">
        <w:t xml:space="preserve">availability </w:t>
      </w:r>
      <w:r w:rsidR="009C1AB7" w:rsidRPr="00E45667">
        <w:t>in the PLAC Terms of Reference</w:t>
      </w:r>
      <w:r w:rsidRPr="00E45667">
        <w:t xml:space="preserve">. </w:t>
      </w:r>
    </w:p>
    <w:p w14:paraId="7BEB5A99" w14:textId="1E727A8D" w:rsidR="006D3A55" w:rsidRPr="00D2484E" w:rsidRDefault="00361508" w:rsidP="00510194">
      <w:pPr>
        <w:pStyle w:val="EYHeading3"/>
      </w:pPr>
      <w:r w:rsidRPr="00D2484E">
        <w:t xml:space="preserve">Pharmaceutical Benefits Advisory Committee </w:t>
      </w:r>
    </w:p>
    <w:p w14:paraId="0EFFA854" w14:textId="2A525FCF" w:rsidR="006D3A55" w:rsidRPr="005A2F16" w:rsidRDefault="006D3A55" w:rsidP="005A2F16">
      <w:r w:rsidRPr="005A2F16">
        <w:t>The PLAC Terms of Reference stipulate that the PLAC should liaise with</w:t>
      </w:r>
      <w:r w:rsidR="001165E8" w:rsidRPr="005A2F16">
        <w:t xml:space="preserve"> the</w:t>
      </w:r>
      <w:r w:rsidRPr="005A2F16">
        <w:t xml:space="preserve"> PBAC and/or its </w:t>
      </w:r>
      <w:r w:rsidR="004E3165" w:rsidRPr="005A2F16">
        <w:t>sub-committee</w:t>
      </w:r>
      <w:r w:rsidRPr="005A2F16">
        <w:t>s for:</w:t>
      </w:r>
    </w:p>
    <w:p w14:paraId="00E96507" w14:textId="3532523B" w:rsidR="006D3A55" w:rsidRPr="00D2484E" w:rsidRDefault="00053058" w:rsidP="002D1775">
      <w:pPr>
        <w:pStyle w:val="EYBullet1"/>
      </w:pPr>
      <w:r w:rsidRPr="00D2484E">
        <w:lastRenderedPageBreak/>
        <w:t>A</w:t>
      </w:r>
      <w:r w:rsidR="006D3A55" w:rsidRPr="00D2484E">
        <w:t>dvice on comparative clinical effectiveness and cost effectiveness of a new medical device incorporating a medicine</w:t>
      </w:r>
      <w:r w:rsidR="00D10CD7" w:rsidRPr="00D2484E">
        <w:t xml:space="preserve">; </w:t>
      </w:r>
      <w:r w:rsidR="006D3A55" w:rsidRPr="00D2484E">
        <w:t>or</w:t>
      </w:r>
    </w:p>
    <w:p w14:paraId="14D56E19" w14:textId="66896697" w:rsidR="006D3A55" w:rsidRPr="00D2484E" w:rsidRDefault="00053058" w:rsidP="002D1775">
      <w:pPr>
        <w:pStyle w:val="EYBullet1"/>
      </w:pPr>
      <w:r w:rsidRPr="00D2484E">
        <w:t>T</w:t>
      </w:r>
      <w:r w:rsidR="006D3A55" w:rsidRPr="00D2484E">
        <w:t>he development of assessment processes that maximise the use of the clinical and technical expertise of each body and reduce duplication of assessment.</w:t>
      </w:r>
      <w:r w:rsidR="006D3A55" w:rsidRPr="00D2484E">
        <w:rPr>
          <w:rStyle w:val="FootnoteReference"/>
          <w:rFonts w:ascii="Arial" w:hAnsi="Arial"/>
        </w:rPr>
        <w:footnoteReference w:id="17"/>
      </w:r>
    </w:p>
    <w:p w14:paraId="5AED8388" w14:textId="26F86D27" w:rsidR="006D3A55" w:rsidRPr="00AB6646" w:rsidRDefault="006D3A55" w:rsidP="00AB6646">
      <w:r w:rsidRPr="00AB6646">
        <w:t xml:space="preserve">Although the PLAC Terms of Reference enables this, the PLAC does not appear to liaise with </w:t>
      </w:r>
      <w:r w:rsidR="0010604A" w:rsidRPr="00AB6646">
        <w:t xml:space="preserve">the </w:t>
      </w:r>
      <w:r w:rsidRPr="00AB6646">
        <w:t>PBAC in PLAC Meetings</w:t>
      </w:r>
      <w:r w:rsidR="00053058" w:rsidRPr="00AB6646">
        <w:t xml:space="preserve">. </w:t>
      </w:r>
      <w:r w:rsidR="007A792B" w:rsidRPr="00AB6646">
        <w:t xml:space="preserve">Stakeholders consulted </w:t>
      </w:r>
      <w:r w:rsidR="00FB71F9" w:rsidRPr="00AB6646">
        <w:t xml:space="preserve">also did not report </w:t>
      </w:r>
      <w:r w:rsidRPr="00AB6646">
        <w:t>frequent liaison with the PBAC.</w:t>
      </w:r>
    </w:p>
    <w:p w14:paraId="64DBE490" w14:textId="707E146F" w:rsidR="006D3A55" w:rsidRPr="00D2484E" w:rsidRDefault="00361508" w:rsidP="00510194">
      <w:pPr>
        <w:pStyle w:val="EYHeading3"/>
      </w:pPr>
      <w:bookmarkStart w:id="136" w:name="_Ref76627963"/>
      <w:r w:rsidRPr="00D2484E">
        <w:t>Therapeutic Goods Administration</w:t>
      </w:r>
      <w:bookmarkEnd w:id="136"/>
    </w:p>
    <w:p w14:paraId="05BB3C65" w14:textId="168D2B7B" w:rsidR="00C70E21" w:rsidRPr="00AB6646" w:rsidRDefault="00AF3435" w:rsidP="00AB6646">
      <w:r w:rsidRPr="00D2484E">
        <w:t xml:space="preserve">As </w:t>
      </w:r>
      <w:r w:rsidR="00CF3CF9" w:rsidRPr="00D2484E">
        <w:t>part of</w:t>
      </w:r>
      <w:r w:rsidRPr="00D2484E">
        <w:t xml:space="preserve"> an Australian Government Department, the </w:t>
      </w:r>
      <w:r w:rsidR="006E6516" w:rsidRPr="00D2484E">
        <w:t xml:space="preserve">TGA does not </w:t>
      </w:r>
      <w:r w:rsidR="4EAF119D" w:rsidRPr="00D2484E">
        <w:t xml:space="preserve">currently </w:t>
      </w:r>
      <w:r w:rsidR="006E6516" w:rsidRPr="00D2484E">
        <w:t xml:space="preserve">have a formal </w:t>
      </w:r>
      <w:r w:rsidR="00552079" w:rsidRPr="00D2484E">
        <w:t>Exper</w:t>
      </w:r>
      <w:r w:rsidR="00552079" w:rsidRPr="00AB6646">
        <w:t xml:space="preserve">t Advisor </w:t>
      </w:r>
      <w:r w:rsidR="006E6516" w:rsidRPr="00AB6646">
        <w:t xml:space="preserve">role on the PLAC. </w:t>
      </w:r>
    </w:p>
    <w:p w14:paraId="4C76B5AB" w14:textId="7346263A" w:rsidR="00462D98" w:rsidRPr="00D2484E" w:rsidRDefault="00AC6B16" w:rsidP="00AB6646">
      <w:r w:rsidRPr="00AB6646">
        <w:t>T</w:t>
      </w:r>
      <w:r w:rsidR="00CC2FF7" w:rsidRPr="00AB6646">
        <w:t xml:space="preserve">he TGA’s role in </w:t>
      </w:r>
      <w:r w:rsidR="009247D8" w:rsidRPr="00AB6646">
        <w:t xml:space="preserve">HTA </w:t>
      </w:r>
      <w:r w:rsidR="00212267" w:rsidRPr="00AB6646">
        <w:t xml:space="preserve">is in the assessment of safety, </w:t>
      </w:r>
      <w:proofErr w:type="gramStart"/>
      <w:r w:rsidR="00212267" w:rsidRPr="00AB6646">
        <w:t>quality</w:t>
      </w:r>
      <w:proofErr w:type="gramEnd"/>
      <w:r w:rsidR="00212267" w:rsidRPr="00AB6646">
        <w:t xml:space="preserve"> and </w:t>
      </w:r>
      <w:r w:rsidR="0083460A" w:rsidRPr="00AB6646">
        <w:t xml:space="preserve">performance </w:t>
      </w:r>
      <w:r w:rsidR="00212267" w:rsidRPr="00AB6646">
        <w:t xml:space="preserve">of new health technologies for entering on the ARTG. </w:t>
      </w:r>
      <w:r w:rsidR="00E87930" w:rsidRPr="00AB6646">
        <w:t xml:space="preserve">Manufacturers and sponsors may then also apply for their item to undergo an HTA for reimbursement </w:t>
      </w:r>
      <w:r w:rsidR="002101BB" w:rsidRPr="00AB6646">
        <w:t xml:space="preserve">through private health insurance arrangements, as per the </w:t>
      </w:r>
      <w:r w:rsidR="00894E53" w:rsidRPr="00AB6646">
        <w:t>P</w:t>
      </w:r>
      <w:r w:rsidR="00894E53" w:rsidRPr="00D2484E">
        <w:t>rostheses List</w:t>
      </w:r>
      <w:r w:rsidR="002101BB" w:rsidRPr="00D2484E">
        <w:t xml:space="preserve">. </w:t>
      </w:r>
    </w:p>
    <w:p w14:paraId="62B6BBA8" w14:textId="694326C1" w:rsidR="006E6516" w:rsidRPr="005A2F16" w:rsidRDefault="002101BB" w:rsidP="005A2F16">
      <w:r w:rsidRPr="005A2F16">
        <w:t xml:space="preserve">Both </w:t>
      </w:r>
      <w:r w:rsidR="00F50E67" w:rsidRPr="005A2F16">
        <w:t>the</w:t>
      </w:r>
      <w:r w:rsidR="006D3A55" w:rsidRPr="005A2F16">
        <w:t xml:space="preserve"> PLAC Terms of Reference </w:t>
      </w:r>
      <w:r w:rsidR="00F50E67" w:rsidRPr="005A2F16">
        <w:t xml:space="preserve">and CAG Terms of Reference </w:t>
      </w:r>
      <w:r w:rsidR="006D3A55" w:rsidRPr="005A2F16">
        <w:t>enable the PLAC</w:t>
      </w:r>
      <w:r w:rsidR="00097E59" w:rsidRPr="005A2F16">
        <w:t xml:space="preserve"> and CAGs</w:t>
      </w:r>
      <w:r w:rsidR="006D3A55" w:rsidRPr="005A2F16">
        <w:t xml:space="preserve"> to refer items to the TGA for further investigation and appropriate action where there are concerns about the safety of medical devices that arise during the assessment of an application</w:t>
      </w:r>
      <w:r w:rsidR="00363D2B" w:rsidRPr="005A2F16">
        <w:t xml:space="preserve"> as seen </w:t>
      </w:r>
      <w:r w:rsidR="00363D2B" w:rsidRPr="005A2F16">
        <w:fldChar w:fldCharType="begin"/>
      </w:r>
      <w:r w:rsidR="00363D2B" w:rsidRPr="005A2F16">
        <w:instrText xml:space="preserve"> REF _Ref77314118 \p \h </w:instrText>
      </w:r>
      <w:r w:rsidR="00DC29E9" w:rsidRPr="005A2F16">
        <w:instrText xml:space="preserve"> \* MERGEFORMAT </w:instrText>
      </w:r>
      <w:r w:rsidR="00363D2B" w:rsidRPr="005A2F16">
        <w:fldChar w:fldCharType="separate"/>
      </w:r>
      <w:r w:rsidR="00475597" w:rsidRPr="005A2F16">
        <w:t>below</w:t>
      </w:r>
      <w:r w:rsidR="00363D2B" w:rsidRPr="005A2F16">
        <w:fldChar w:fldCharType="end"/>
      </w:r>
      <w:r w:rsidR="00363D2B" w:rsidRPr="005A2F16">
        <w:t xml:space="preserve"> in </w:t>
      </w:r>
      <w:r w:rsidR="00363D2B" w:rsidRPr="005A2F16">
        <w:fldChar w:fldCharType="begin"/>
      </w:r>
      <w:r w:rsidR="00363D2B" w:rsidRPr="005A2F16">
        <w:instrText xml:space="preserve"> REF _Ref77314116 \h </w:instrText>
      </w:r>
      <w:r w:rsidR="00DC29E9" w:rsidRPr="005A2F16">
        <w:instrText xml:space="preserve"> \* MERGEFORMAT </w:instrText>
      </w:r>
      <w:r w:rsidR="00363D2B" w:rsidRPr="005A2F16">
        <w:fldChar w:fldCharType="separate"/>
      </w:r>
      <w:r w:rsidR="00475597" w:rsidRPr="005A2F16">
        <w:t>Table 9</w:t>
      </w:r>
      <w:r w:rsidR="00363D2B" w:rsidRPr="005A2F16">
        <w:fldChar w:fldCharType="end"/>
      </w:r>
      <w:r w:rsidR="00091A27" w:rsidRPr="005A2F16">
        <w:t>:</w:t>
      </w:r>
    </w:p>
    <w:p w14:paraId="0B7E9739" w14:textId="192072A2" w:rsidR="0078523A" w:rsidRPr="00CA6DBA" w:rsidRDefault="00363D2B" w:rsidP="00CA6DBA">
      <w:pPr>
        <w:pStyle w:val="Caption"/>
      </w:pPr>
      <w:bookmarkStart w:id="137" w:name="_Ref77314116"/>
      <w:bookmarkStart w:id="138" w:name="_Ref77314118"/>
      <w:r w:rsidRPr="00CA6DBA">
        <w:t xml:space="preserve">Table </w:t>
      </w:r>
      <w:r w:rsidRPr="00CA6DBA">
        <w:fldChar w:fldCharType="begin"/>
      </w:r>
      <w:r w:rsidRPr="00CA6DBA">
        <w:instrText xml:space="preserve"> SEQ Table \* ARABIC </w:instrText>
      </w:r>
      <w:r w:rsidRPr="00CA6DBA">
        <w:fldChar w:fldCharType="separate"/>
      </w:r>
      <w:r w:rsidR="00475597" w:rsidRPr="00CA6DBA">
        <w:t>9</w:t>
      </w:r>
      <w:r w:rsidRPr="00CA6DBA">
        <w:fldChar w:fldCharType="end"/>
      </w:r>
      <w:bookmarkEnd w:id="137"/>
      <w:r w:rsidRPr="00CA6DBA">
        <w:t xml:space="preserve"> - Comparison of TGA referrals between PLAC and CAG</w:t>
      </w:r>
      <w:bookmarkEnd w:id="138"/>
    </w:p>
    <w:tbl>
      <w:tblPr>
        <w:tblStyle w:val="Style1"/>
        <w:tblW w:w="0" w:type="auto"/>
        <w:tblLook w:val="04A0" w:firstRow="1" w:lastRow="0" w:firstColumn="1" w:lastColumn="0" w:noHBand="0" w:noVBand="1"/>
        <w:tblDescription w:val="Table 9 is a list of comparison of TGA referrals between PLAC and CAG"/>
      </w:tblPr>
      <w:tblGrid>
        <w:gridCol w:w="4509"/>
        <w:gridCol w:w="4510"/>
      </w:tblGrid>
      <w:tr w:rsidR="00091A27" w:rsidRPr="00AB6646" w14:paraId="11379680" w14:textId="77777777" w:rsidTr="00AB6646">
        <w:trPr>
          <w:cnfStyle w:val="100000000000" w:firstRow="1" w:lastRow="0" w:firstColumn="0" w:lastColumn="0" w:oddVBand="0" w:evenVBand="0" w:oddHBand="0" w:evenHBand="0" w:firstRowFirstColumn="0" w:firstRowLastColumn="0" w:lastRowFirstColumn="0" w:lastRowLastColumn="0"/>
        </w:trPr>
        <w:tc>
          <w:tcPr>
            <w:tcW w:w="4509" w:type="dxa"/>
          </w:tcPr>
          <w:p w14:paraId="3BA93356" w14:textId="7185BF97" w:rsidR="00091A27" w:rsidRPr="00AB6646" w:rsidRDefault="00091A27" w:rsidP="00AB6646">
            <w:r w:rsidRPr="00AB6646">
              <w:t>PLAC Terms of Reference</w:t>
            </w:r>
            <w:r w:rsidR="001041F2" w:rsidRPr="00762990">
              <w:rPr>
                <w:rStyle w:val="FootnoteReference"/>
              </w:rPr>
              <w:footnoteReference w:id="18"/>
            </w:r>
          </w:p>
        </w:tc>
        <w:tc>
          <w:tcPr>
            <w:tcW w:w="4510" w:type="dxa"/>
          </w:tcPr>
          <w:p w14:paraId="65232B0E" w14:textId="79F91230" w:rsidR="00091A27" w:rsidRPr="00AB6646" w:rsidRDefault="00091A27" w:rsidP="00AB6646">
            <w:r w:rsidRPr="00AB6646">
              <w:t>CAG Terms of Reference</w:t>
            </w:r>
            <w:r w:rsidR="001041F2" w:rsidRPr="00762990">
              <w:rPr>
                <w:rStyle w:val="FootnoteReference"/>
              </w:rPr>
              <w:footnoteReference w:id="19"/>
            </w:r>
          </w:p>
        </w:tc>
      </w:tr>
      <w:tr w:rsidR="00091A27" w:rsidRPr="00AB6646" w14:paraId="41CA5999" w14:textId="77777777" w:rsidTr="00AB6646">
        <w:tc>
          <w:tcPr>
            <w:tcW w:w="4509" w:type="dxa"/>
          </w:tcPr>
          <w:p w14:paraId="1C955AE2" w14:textId="36A9E16B" w:rsidR="00091A27" w:rsidRPr="00AB6646" w:rsidRDefault="00091A27" w:rsidP="00AB6646">
            <w:r w:rsidRPr="00AB6646">
              <w:t>“The PLAC will refer any concerns about safety of medical devices that arise during assessment of applications to list medical devices to the Therapeutic Goods Administration for investigation and appropriate action.”</w:t>
            </w:r>
          </w:p>
        </w:tc>
        <w:tc>
          <w:tcPr>
            <w:tcW w:w="4510" w:type="dxa"/>
          </w:tcPr>
          <w:p w14:paraId="28CC544A" w14:textId="2720764F" w:rsidR="00B047F5" w:rsidRPr="00AB6646" w:rsidRDefault="00B047F5" w:rsidP="00AB6646">
            <w:r w:rsidRPr="00AB6646">
              <w:t>“Advising the PLAC of any anomalies identified, in particular, in relation to safety and performance concerns for reference to the Therapeutic Goods Administration…”</w:t>
            </w:r>
          </w:p>
        </w:tc>
      </w:tr>
    </w:tbl>
    <w:p w14:paraId="487D1C10" w14:textId="76CA9318" w:rsidR="009E0751" w:rsidRPr="00AB6646" w:rsidRDefault="006D3A55" w:rsidP="00AB6646">
      <w:r w:rsidRPr="00AB6646">
        <w:t>The TGA has supported this process with the availability of the TGA Medical Device Incident Report and Investigation Scheme (IRIS), which manages all reports of adverse events or problems associated with medical devices for further investigation</w:t>
      </w:r>
      <w:r w:rsidR="00462D98" w:rsidRPr="00AB6646">
        <w:t xml:space="preserve">. </w:t>
      </w:r>
      <w:r w:rsidR="00FE4808" w:rsidRPr="00AB6646">
        <w:t xml:space="preserve">The IRIS is not </w:t>
      </w:r>
      <w:r w:rsidR="00BC3E44" w:rsidRPr="00AB6646">
        <w:t>specifically designed for HTA committees</w:t>
      </w:r>
      <w:r w:rsidR="004739E8" w:rsidRPr="00AB6646">
        <w:t>, and no specific process exists for HTA committees to report such concerns.</w:t>
      </w:r>
    </w:p>
    <w:p w14:paraId="548DC4C0" w14:textId="7BD4BF37" w:rsidR="00901148" w:rsidRPr="00AB6646" w:rsidRDefault="00B75021" w:rsidP="00AB6646">
      <w:r w:rsidRPr="00AB6646">
        <w:t xml:space="preserve">Some </w:t>
      </w:r>
      <w:r w:rsidR="006D3A55" w:rsidRPr="00AB6646">
        <w:t xml:space="preserve">PLAC </w:t>
      </w:r>
      <w:r w:rsidR="7D9CA6FA" w:rsidRPr="00AB6646">
        <w:t xml:space="preserve">and CAG </w:t>
      </w:r>
      <w:r w:rsidR="004B7B46" w:rsidRPr="00AB6646">
        <w:t>Members reported</w:t>
      </w:r>
      <w:r w:rsidR="005E51FC" w:rsidRPr="00AB6646">
        <w:t xml:space="preserve"> that</w:t>
      </w:r>
      <w:r w:rsidR="00BA3618" w:rsidRPr="00AB6646">
        <w:t xml:space="preserve"> </w:t>
      </w:r>
      <w:r w:rsidR="000753E3" w:rsidRPr="00AB6646">
        <w:t xml:space="preserve">CAGs </w:t>
      </w:r>
      <w:r w:rsidR="00EA7CB3" w:rsidRPr="00AB6646">
        <w:t>have provided safety and efficacy advice despite this being the role of the TGA</w:t>
      </w:r>
      <w:r w:rsidR="00901148" w:rsidRPr="00AB6646">
        <w:t>, and there is little evidence to demonstrate the PLAC’s referral of applications to the TGA</w:t>
      </w:r>
      <w:r w:rsidR="0024710B" w:rsidRPr="00AB6646">
        <w:t xml:space="preserve">. However, </w:t>
      </w:r>
      <w:r w:rsidR="00330477" w:rsidRPr="00AB6646">
        <w:t>this point is contended</w:t>
      </w:r>
      <w:r w:rsidR="006D3A55" w:rsidRPr="00AB6646">
        <w:t>.</w:t>
      </w:r>
    </w:p>
    <w:p w14:paraId="2BB88F47" w14:textId="58047326" w:rsidR="00C66247" w:rsidRPr="00D2484E" w:rsidRDefault="00DA74E9" w:rsidP="007D57C4">
      <w:pPr>
        <w:pStyle w:val="EYHeading3"/>
      </w:pPr>
      <w:r w:rsidRPr="00D2484E">
        <w:t>Independent Hospital Pricing Authority</w:t>
      </w:r>
    </w:p>
    <w:p w14:paraId="3DC25C89" w14:textId="547A0444" w:rsidR="003F6B0E" w:rsidRPr="00AB6646" w:rsidRDefault="00B477CA" w:rsidP="00AB6646">
      <w:r w:rsidRPr="00AB6646">
        <w:t xml:space="preserve">IHPA is </w:t>
      </w:r>
      <w:r w:rsidR="00C94A4C" w:rsidRPr="00AB6646">
        <w:t>currently</w:t>
      </w:r>
      <w:r w:rsidRPr="00AB6646">
        <w:t xml:space="preserve"> supporting the Department </w:t>
      </w:r>
      <w:r w:rsidR="00C94A4C" w:rsidRPr="00AB6646">
        <w:t>i</w:t>
      </w:r>
      <w:r w:rsidRPr="00AB6646">
        <w:t xml:space="preserve">n </w:t>
      </w:r>
      <w:r w:rsidR="00F21D3E" w:rsidRPr="00AB6646">
        <w:t>reducing the benefits</w:t>
      </w:r>
      <w:r w:rsidRPr="00AB6646">
        <w:t xml:space="preserve"> of items on the Prostheses List</w:t>
      </w:r>
      <w:r w:rsidR="00A03296" w:rsidRPr="00AB6646">
        <w:t xml:space="preserve">. Despite </w:t>
      </w:r>
      <w:r w:rsidR="00F21D3E" w:rsidRPr="00AB6646">
        <w:t xml:space="preserve">PLAC also </w:t>
      </w:r>
      <w:r w:rsidR="00A03296" w:rsidRPr="00AB6646">
        <w:t>having</w:t>
      </w:r>
      <w:r w:rsidR="00343434" w:rsidRPr="00AB6646">
        <w:t xml:space="preserve"> </w:t>
      </w:r>
      <w:r w:rsidR="00F21D3E" w:rsidRPr="00AB6646">
        <w:t>a</w:t>
      </w:r>
      <w:r w:rsidR="00343434" w:rsidRPr="00AB6646">
        <w:t xml:space="preserve"> responsibility for benefit setting, </w:t>
      </w:r>
      <w:r w:rsidR="00D221B0" w:rsidRPr="00AB6646">
        <w:t xml:space="preserve">the PLAC </w:t>
      </w:r>
      <w:r w:rsidR="00C90ABD" w:rsidRPr="00AB6646">
        <w:t xml:space="preserve">and CAG members are generally unaware of </w:t>
      </w:r>
      <w:r w:rsidR="008A423A" w:rsidRPr="00AB6646">
        <w:t>how IHPA’s</w:t>
      </w:r>
      <w:r w:rsidR="00027A21" w:rsidRPr="00AB6646">
        <w:t xml:space="preserve"> public reference pricing </w:t>
      </w:r>
      <w:r w:rsidR="00C94A4C" w:rsidRPr="00AB6646">
        <w:t>work</w:t>
      </w:r>
      <w:r w:rsidR="00027A21" w:rsidRPr="00AB6646">
        <w:t xml:space="preserve"> would impact the PLAC’s</w:t>
      </w:r>
      <w:r w:rsidR="00B30E67" w:rsidRPr="00AB6646">
        <w:t xml:space="preserve"> work.</w:t>
      </w:r>
    </w:p>
    <w:p w14:paraId="303BD79D" w14:textId="6670C540" w:rsidR="00B739DE" w:rsidRPr="00AB6646" w:rsidRDefault="00B739DE" w:rsidP="00AB6646">
      <w:r w:rsidRPr="00AB6646">
        <w:lastRenderedPageBreak/>
        <w:t xml:space="preserve">The Department advises </w:t>
      </w:r>
      <w:r w:rsidR="006E78C7" w:rsidRPr="00AB6646">
        <w:t>that t</w:t>
      </w:r>
      <w:r w:rsidRPr="00AB6646">
        <w:t xml:space="preserve">his </w:t>
      </w:r>
      <w:proofErr w:type="gramStart"/>
      <w:r w:rsidR="006E78C7" w:rsidRPr="00AB6646">
        <w:t xml:space="preserve">will </w:t>
      </w:r>
      <w:r w:rsidRPr="00AB6646">
        <w:t>likely</w:t>
      </w:r>
      <w:proofErr w:type="gramEnd"/>
      <w:r w:rsidRPr="00AB6646">
        <w:t xml:space="preserve"> become clearer as the reforms progress. The role of IHPA in supporting the Department to benchmark the P</w:t>
      </w:r>
      <w:r w:rsidR="00AF5190" w:rsidRPr="00AB6646">
        <w:t>rostheses List</w:t>
      </w:r>
      <w:r w:rsidRPr="00AB6646">
        <w:t xml:space="preserve"> to prices in public hospitals commenced from 1 July 2021, </w:t>
      </w:r>
      <w:r w:rsidR="006E78C7" w:rsidRPr="00AB6646">
        <w:t xml:space="preserve">which </w:t>
      </w:r>
      <w:r w:rsidR="00D70D25" w:rsidRPr="00AB6646">
        <w:t xml:space="preserve">was after </w:t>
      </w:r>
      <w:r w:rsidRPr="00AB6646">
        <w:t xml:space="preserve">consultation for this </w:t>
      </w:r>
      <w:r w:rsidR="006E78C7" w:rsidRPr="00AB6646">
        <w:t>R</w:t>
      </w:r>
      <w:r w:rsidRPr="00AB6646">
        <w:t>eview</w:t>
      </w:r>
      <w:r w:rsidR="006E78C7" w:rsidRPr="00AB6646">
        <w:t xml:space="preserve"> </w:t>
      </w:r>
      <w:r w:rsidR="00D70D25" w:rsidRPr="00AB6646">
        <w:t>had been</w:t>
      </w:r>
      <w:r w:rsidR="006E78C7" w:rsidRPr="00AB6646">
        <w:t xml:space="preserve"> completed</w:t>
      </w:r>
      <w:r w:rsidRPr="00AB6646">
        <w:t>.</w:t>
      </w:r>
    </w:p>
    <w:p w14:paraId="1F70D7A7" w14:textId="6535692B" w:rsidR="000E557F" w:rsidRPr="00D2484E" w:rsidRDefault="001B0628" w:rsidP="00675361">
      <w:pPr>
        <w:pStyle w:val="EYHeading1"/>
      </w:pPr>
      <w:bookmarkStart w:id="139" w:name="_Toc76666409"/>
      <w:bookmarkStart w:id="140" w:name="_Toc76666410"/>
      <w:bookmarkStart w:id="141" w:name="_Ref77322035"/>
      <w:bookmarkStart w:id="142" w:name="_Ref77322038"/>
      <w:bookmarkStart w:id="143" w:name="_Toc77329453"/>
      <w:bookmarkEnd w:id="122"/>
      <w:bookmarkEnd w:id="139"/>
      <w:bookmarkEnd w:id="140"/>
      <w:r w:rsidRPr="00D2484E">
        <w:lastRenderedPageBreak/>
        <w:t>Potential o</w:t>
      </w:r>
      <w:r w:rsidR="000E557F" w:rsidRPr="00D2484E">
        <w:t>ptions for reform to the Prosthes</w:t>
      </w:r>
      <w:r w:rsidR="00306B8A" w:rsidRPr="00D2484E">
        <w:t>e</w:t>
      </w:r>
      <w:r w:rsidR="000E557F" w:rsidRPr="00D2484E">
        <w:t>s List accession process</w:t>
      </w:r>
      <w:bookmarkEnd w:id="141"/>
      <w:bookmarkEnd w:id="142"/>
      <w:bookmarkEnd w:id="143"/>
    </w:p>
    <w:p w14:paraId="393A90A8" w14:textId="4322DE1E" w:rsidR="00F34E82" w:rsidRPr="00AB6646" w:rsidRDefault="00AE286A" w:rsidP="00AB6646">
      <w:r w:rsidRPr="00D2484E">
        <w:t xml:space="preserve">Based on the Findings </w:t>
      </w:r>
      <w:r w:rsidR="00B546E2" w:rsidRPr="00D2484E">
        <w:t xml:space="preserve">in Section </w:t>
      </w:r>
      <w:r w:rsidR="00B546E2" w:rsidRPr="00D2484E">
        <w:fldChar w:fldCharType="begin"/>
      </w:r>
      <w:r w:rsidR="00B546E2" w:rsidRPr="00D2484E">
        <w:instrText xml:space="preserve"> REF _Ref76374061 \r \h </w:instrText>
      </w:r>
      <w:r w:rsidR="006D5479" w:rsidRPr="00D2484E">
        <w:instrText xml:space="preserve"> \* MERGEFORMAT </w:instrText>
      </w:r>
      <w:r w:rsidR="00B546E2" w:rsidRPr="00D2484E">
        <w:fldChar w:fldCharType="separate"/>
      </w:r>
      <w:r w:rsidR="00475597" w:rsidRPr="00D2484E">
        <w:t>4</w:t>
      </w:r>
      <w:r w:rsidR="00B546E2" w:rsidRPr="00D2484E">
        <w:fldChar w:fldCharType="end"/>
      </w:r>
      <w:r w:rsidRPr="00D2484E">
        <w:t xml:space="preserve">, </w:t>
      </w:r>
      <w:r w:rsidR="009118EB" w:rsidRPr="00D2484E">
        <w:t xml:space="preserve">a </w:t>
      </w:r>
      <w:r w:rsidR="00430F91" w:rsidRPr="00D2484E">
        <w:t xml:space="preserve">high-level set </w:t>
      </w:r>
      <w:r w:rsidR="009118EB" w:rsidRPr="00D2484E">
        <w:t>of</w:t>
      </w:r>
      <w:r w:rsidR="00430F91" w:rsidRPr="00D2484E">
        <w:t xml:space="preserve"> potential</w:t>
      </w:r>
      <w:r w:rsidR="009118EB" w:rsidRPr="00D2484E">
        <w:t xml:space="preserve"> </w:t>
      </w:r>
      <w:r w:rsidR="00430F91" w:rsidRPr="00D2484E">
        <w:t>o</w:t>
      </w:r>
      <w:r w:rsidRPr="00D2484E">
        <w:t>ptions</w:t>
      </w:r>
      <w:r w:rsidR="00287CE9" w:rsidRPr="00D2484E">
        <w:t xml:space="preserve"> have been identified</w:t>
      </w:r>
      <w:r w:rsidRPr="00D2484E">
        <w:t xml:space="preserve"> </w:t>
      </w:r>
      <w:r w:rsidR="000852A2" w:rsidRPr="00AB6646">
        <w:t>to reform the Prostheses List accession process</w:t>
      </w:r>
      <w:r w:rsidR="00A071DD" w:rsidRPr="00AB6646">
        <w:t>, with</w:t>
      </w:r>
      <w:r w:rsidR="00116A6B" w:rsidRPr="00AB6646">
        <w:t xml:space="preserve"> implications on the PLAC</w:t>
      </w:r>
      <w:r w:rsidR="00D272D3" w:rsidRPr="00AB6646">
        <w:t xml:space="preserve"> and its </w:t>
      </w:r>
      <w:r w:rsidR="00A071DD" w:rsidRPr="00AB6646">
        <w:t xml:space="preserve">associated </w:t>
      </w:r>
      <w:r w:rsidR="00D272D3" w:rsidRPr="00AB6646">
        <w:t xml:space="preserve">sub-committees. </w:t>
      </w:r>
      <w:r w:rsidR="009118EB" w:rsidRPr="00AB6646">
        <w:t xml:space="preserve">These </w:t>
      </w:r>
      <w:r w:rsidR="00430F91" w:rsidRPr="00AB6646">
        <w:t>potential o</w:t>
      </w:r>
      <w:r w:rsidR="001F3B1B" w:rsidRPr="00AB6646">
        <w:t xml:space="preserve">ptions have been </w:t>
      </w:r>
      <w:r w:rsidR="00C16FD9" w:rsidRPr="00AB6646">
        <w:t xml:space="preserve">developed </w:t>
      </w:r>
      <w:r w:rsidR="009118EB" w:rsidRPr="00AB6646">
        <w:t xml:space="preserve">for the </w:t>
      </w:r>
      <w:r w:rsidR="00F007AA" w:rsidRPr="00AB6646">
        <w:t>Department</w:t>
      </w:r>
      <w:r w:rsidR="009118EB" w:rsidRPr="00AB6646">
        <w:t xml:space="preserve">’s consideration </w:t>
      </w:r>
      <w:r w:rsidR="001F3B1B" w:rsidRPr="00AB6646">
        <w:t xml:space="preserve">based on the </w:t>
      </w:r>
      <w:r w:rsidR="008B2FE8" w:rsidRPr="00AB6646">
        <w:t>information</w:t>
      </w:r>
      <w:r w:rsidR="00C41608" w:rsidRPr="00AB6646">
        <w:t xml:space="preserve"> available and within scope of this </w:t>
      </w:r>
      <w:r w:rsidR="003256E1" w:rsidRPr="00AB6646">
        <w:t>Review</w:t>
      </w:r>
      <w:r w:rsidR="00F34E82" w:rsidRPr="00AB6646">
        <w:t xml:space="preserve">. </w:t>
      </w:r>
    </w:p>
    <w:p w14:paraId="011F4CF6" w14:textId="1A6D6318" w:rsidR="001F3B1B" w:rsidRPr="00AB6646" w:rsidRDefault="00F34E82" w:rsidP="00AB6646">
      <w:r w:rsidRPr="00AB6646">
        <w:t xml:space="preserve">Although there are </w:t>
      </w:r>
      <w:proofErr w:type="gramStart"/>
      <w:r w:rsidRPr="00AB6646">
        <w:t>a number of</w:t>
      </w:r>
      <w:proofErr w:type="gramEnd"/>
      <w:r w:rsidRPr="00AB6646">
        <w:t xml:space="preserve"> options which the </w:t>
      </w:r>
      <w:r w:rsidR="00F007AA" w:rsidRPr="00AB6646">
        <w:t>Department</w:t>
      </w:r>
      <w:r w:rsidR="00032862" w:rsidRPr="00AB6646">
        <w:t xml:space="preserve"> </w:t>
      </w:r>
      <w:r w:rsidRPr="00AB6646">
        <w:t>may consider,</w:t>
      </w:r>
      <w:r w:rsidR="00DD0427" w:rsidRPr="00AB6646">
        <w:t xml:space="preserve"> in Section </w:t>
      </w:r>
      <w:r w:rsidR="00DD0427" w:rsidRPr="00AB6646">
        <w:fldChar w:fldCharType="begin"/>
      </w:r>
      <w:r w:rsidR="00DD0427" w:rsidRPr="00AB6646">
        <w:instrText xml:space="preserve"> REF _Ref77322041 \r \h </w:instrText>
      </w:r>
      <w:r w:rsidR="00DD5AA5" w:rsidRPr="00AB6646">
        <w:instrText xml:space="preserve"> \* MERGEFORMAT </w:instrText>
      </w:r>
      <w:r w:rsidR="00DD0427" w:rsidRPr="00AB6646">
        <w:fldChar w:fldCharType="separate"/>
      </w:r>
      <w:r w:rsidR="00475597" w:rsidRPr="00AB6646">
        <w:t>6</w:t>
      </w:r>
      <w:r w:rsidR="00DD0427" w:rsidRPr="00AB6646">
        <w:fldChar w:fldCharType="end"/>
      </w:r>
      <w:r w:rsidR="00DD0427" w:rsidRPr="00AB6646">
        <w:t xml:space="preserve"> it is explained why</w:t>
      </w:r>
      <w:r w:rsidRPr="00AB6646">
        <w:t xml:space="preserve"> </w:t>
      </w:r>
      <w:r w:rsidR="009B58B3" w:rsidRPr="00AB6646">
        <w:t xml:space="preserve">Option </w:t>
      </w:r>
      <w:r w:rsidR="00413BEB" w:rsidRPr="00AB6646">
        <w:t xml:space="preserve">3 </w:t>
      </w:r>
      <w:r w:rsidR="00782436" w:rsidRPr="00AB6646">
        <w:t xml:space="preserve">was assessed as </w:t>
      </w:r>
      <w:r w:rsidR="005F3FED" w:rsidRPr="00AB6646">
        <w:t>best</w:t>
      </w:r>
      <w:r w:rsidR="00413BEB" w:rsidRPr="00AB6646">
        <w:t xml:space="preserve"> meet</w:t>
      </w:r>
      <w:r w:rsidR="00782436" w:rsidRPr="00AB6646">
        <w:t xml:space="preserve">ing </w:t>
      </w:r>
      <w:r w:rsidR="00413BEB" w:rsidRPr="00AB6646">
        <w:t>the objectives of this Review, including</w:t>
      </w:r>
      <w:r w:rsidR="001F3B1B" w:rsidRPr="00AB6646">
        <w:t>:</w:t>
      </w:r>
    </w:p>
    <w:p w14:paraId="28D81F5C" w14:textId="120D9C6A" w:rsidR="001F3B1B" w:rsidRPr="00D2484E" w:rsidRDefault="00413BEB" w:rsidP="002D1775">
      <w:pPr>
        <w:pStyle w:val="EYBullet1"/>
      </w:pPr>
      <w:r w:rsidRPr="00D2484E">
        <w:t>D</w:t>
      </w:r>
      <w:r w:rsidR="001F3B1B" w:rsidRPr="00D2484E">
        <w:t>eliver</w:t>
      </w:r>
      <w:r w:rsidRPr="00D2484E">
        <w:t xml:space="preserve">ing </w:t>
      </w:r>
      <w:r w:rsidR="001F3B1B" w:rsidRPr="00D2484E">
        <w:t xml:space="preserve">sufficient scrutiny of new and amendment </w:t>
      </w:r>
      <w:proofErr w:type="gramStart"/>
      <w:r w:rsidR="001F3B1B" w:rsidRPr="00D2484E">
        <w:t>applications;</w:t>
      </w:r>
      <w:proofErr w:type="gramEnd"/>
    </w:p>
    <w:p w14:paraId="0637C36D" w14:textId="17CC9FD9" w:rsidR="001F3B1B" w:rsidRPr="00D2484E" w:rsidRDefault="00413BEB" w:rsidP="002D1775">
      <w:pPr>
        <w:pStyle w:val="EYBullet1"/>
      </w:pPr>
      <w:r w:rsidRPr="00D2484E">
        <w:t>P</w:t>
      </w:r>
      <w:r w:rsidR="001F3B1B" w:rsidRPr="00D2484E">
        <w:t>rovid</w:t>
      </w:r>
      <w:r w:rsidRPr="00D2484E">
        <w:t xml:space="preserve">ing </w:t>
      </w:r>
      <w:r w:rsidR="001F3B1B" w:rsidRPr="00D2484E">
        <w:t xml:space="preserve">enhanced advice to the Minister on the suitability of a medical device for the Prostheses </w:t>
      </w:r>
      <w:proofErr w:type="gramStart"/>
      <w:r w:rsidR="001F3B1B" w:rsidRPr="00D2484E">
        <w:t>List;</w:t>
      </w:r>
      <w:proofErr w:type="gramEnd"/>
    </w:p>
    <w:p w14:paraId="2450D1A7" w14:textId="17121581" w:rsidR="001F3B1B" w:rsidRPr="00D2484E" w:rsidRDefault="00413BEB" w:rsidP="002D1775">
      <w:pPr>
        <w:pStyle w:val="EYBullet1"/>
      </w:pPr>
      <w:r w:rsidRPr="00D2484E">
        <w:t>S</w:t>
      </w:r>
      <w:r w:rsidR="001F3B1B" w:rsidRPr="00D2484E">
        <w:t>trengthen</w:t>
      </w:r>
      <w:r w:rsidRPr="00D2484E">
        <w:t>ing</w:t>
      </w:r>
      <w:r w:rsidR="001F3B1B" w:rsidRPr="00D2484E">
        <w:t xml:space="preserve"> the Department’s </w:t>
      </w:r>
      <w:r w:rsidR="00EA6684" w:rsidRPr="00D2484E">
        <w:t>HTA</w:t>
      </w:r>
      <w:r w:rsidR="001F3B1B" w:rsidRPr="00D2484E">
        <w:t xml:space="preserve"> capability, particularly in its clinical and economic assessments; </w:t>
      </w:r>
      <w:r w:rsidR="0091487C" w:rsidRPr="00D2484E">
        <w:t>and</w:t>
      </w:r>
    </w:p>
    <w:p w14:paraId="4B87B378" w14:textId="2BCFA957" w:rsidR="001F3B1B" w:rsidRPr="00D2484E" w:rsidRDefault="00413BEB" w:rsidP="002D1775">
      <w:pPr>
        <w:pStyle w:val="EYBullet1"/>
      </w:pPr>
      <w:r w:rsidRPr="00D2484E">
        <w:t>P</w:t>
      </w:r>
      <w:r w:rsidR="001F3B1B" w:rsidRPr="00D2484E">
        <w:t>rovid</w:t>
      </w:r>
      <w:r w:rsidRPr="00D2484E">
        <w:t xml:space="preserve">ing </w:t>
      </w:r>
      <w:r w:rsidR="001F3B1B" w:rsidRPr="00D2484E">
        <w:t xml:space="preserve">streamlined ongoing administration of the Prostheses List, including </w:t>
      </w:r>
      <w:r w:rsidR="007755C1" w:rsidRPr="00D2484E">
        <w:t>post-listing</w:t>
      </w:r>
      <w:r w:rsidR="001F3B1B" w:rsidRPr="00D2484E">
        <w:t xml:space="preserve"> review.</w:t>
      </w:r>
    </w:p>
    <w:p w14:paraId="371BA10D" w14:textId="1E0E62C8" w:rsidR="00ED4C9B" w:rsidRDefault="00032862" w:rsidP="000E557F">
      <w:pPr>
        <w:rPr>
          <w:color w:val="000000"/>
        </w:rPr>
      </w:pPr>
      <w:r w:rsidRPr="00AB6646">
        <w:t xml:space="preserve">The </w:t>
      </w:r>
      <w:r w:rsidR="00F007AA" w:rsidRPr="00AB6646">
        <w:t>Department</w:t>
      </w:r>
      <w:r w:rsidRPr="00AB6646">
        <w:t xml:space="preserve"> should consider these </w:t>
      </w:r>
      <w:r w:rsidR="00EE1E65" w:rsidRPr="00AB6646">
        <w:t>potent</w:t>
      </w:r>
      <w:r w:rsidR="00DD0427" w:rsidRPr="00AB6646">
        <w:t xml:space="preserve">ial </w:t>
      </w:r>
      <w:r w:rsidR="00AD7790" w:rsidRPr="00AB6646">
        <w:t xml:space="preserve">options </w:t>
      </w:r>
      <w:r w:rsidRPr="00AB6646">
        <w:t xml:space="preserve">and any relevant </w:t>
      </w:r>
      <w:r w:rsidR="00AD7790" w:rsidRPr="00AB6646">
        <w:t>r</w:t>
      </w:r>
      <w:r w:rsidRPr="00AB6646">
        <w:t xml:space="preserve">ecommendations within the context </w:t>
      </w:r>
      <w:r w:rsidR="00191EC4" w:rsidRPr="00AB6646">
        <w:t>and intent of t</w:t>
      </w:r>
      <w:r w:rsidR="00191EC4" w:rsidRPr="00D2484E">
        <w:rPr>
          <w:color w:val="000000"/>
        </w:rPr>
        <w:t>he broader Prostheses List Reforms.</w:t>
      </w:r>
    </w:p>
    <w:p w14:paraId="23713175" w14:textId="77777777" w:rsidR="00097B4C" w:rsidRPr="00097B4C" w:rsidRDefault="00097B4C" w:rsidP="00F23454">
      <w:pPr>
        <w:pStyle w:val="Boxtextoptions"/>
      </w:pPr>
      <w:r w:rsidRPr="00F23454">
        <w:rPr>
          <w:rStyle w:val="Strong"/>
        </w:rPr>
        <w:t>Option 1</w:t>
      </w:r>
      <w:r w:rsidRPr="00097B4C">
        <w:t xml:space="preserve">: Retain the PLAC in its current form, </w:t>
      </w:r>
      <w:proofErr w:type="gramStart"/>
      <w:r w:rsidRPr="00097B4C">
        <w:t>function</w:t>
      </w:r>
      <w:proofErr w:type="gramEnd"/>
      <w:r w:rsidRPr="00097B4C">
        <w:t xml:space="preserve"> and membership.</w:t>
      </w:r>
    </w:p>
    <w:p w14:paraId="28F0574B" w14:textId="48832BBF" w:rsidR="00097B4C" w:rsidRPr="00AB6646" w:rsidRDefault="00097B4C" w:rsidP="00097B4C">
      <w:pPr>
        <w:pStyle w:val="Boxtext"/>
      </w:pPr>
      <w:r w:rsidRPr="00F23454">
        <w:rPr>
          <w:rStyle w:val="Strong"/>
        </w:rPr>
        <w:t>Remarks</w:t>
      </w:r>
      <w:r w:rsidRPr="00097B4C">
        <w:t>: Although this option is the least disruptive, the issues identified in this Review would continue to persist. The Department would need to take into consideration how an unchanged PLAC may meet the overall intent of the Prostheses List Reforms.</w:t>
      </w:r>
    </w:p>
    <w:p w14:paraId="5A34E33D" w14:textId="36DF8085" w:rsidR="000E557F" w:rsidRDefault="000E557F" w:rsidP="00AB6646">
      <w:r w:rsidRPr="00AB6646">
        <w:t xml:space="preserve">The </w:t>
      </w:r>
      <w:r w:rsidR="00F007AA" w:rsidRPr="00AB6646">
        <w:t>Department</w:t>
      </w:r>
      <w:r w:rsidRPr="00AB6646">
        <w:t xml:space="preserve"> retains the PLAC in its current form, </w:t>
      </w:r>
      <w:proofErr w:type="gramStart"/>
      <w:r w:rsidRPr="00AB6646">
        <w:t>function</w:t>
      </w:r>
      <w:proofErr w:type="gramEnd"/>
      <w:r w:rsidRPr="00AB6646">
        <w:t xml:space="preserve"> and membership. Issues identified in this Review will require further consideration to meet the overall intent of the </w:t>
      </w:r>
      <w:r w:rsidR="00894E53" w:rsidRPr="00AB6646">
        <w:t>Prostheses List</w:t>
      </w:r>
      <w:r w:rsidRPr="00AB6646">
        <w:t xml:space="preserve"> Reforms.</w:t>
      </w:r>
    </w:p>
    <w:p w14:paraId="275B1EA2" w14:textId="77777777" w:rsidR="00F23454" w:rsidRDefault="00F23454" w:rsidP="00F23454">
      <w:pPr>
        <w:pStyle w:val="Boxtextoptions"/>
      </w:pPr>
      <w:r w:rsidRPr="00F23454">
        <w:rPr>
          <w:rStyle w:val="Strong"/>
        </w:rPr>
        <w:t>Option 2</w:t>
      </w:r>
      <w:r>
        <w:t>: Abolish the PLAC and have the existing CAGs and Panel of Clinical Experts report directly to the relevant area of the Department who will advise the Minister on the listing and/or setting of benefits for medical devices.</w:t>
      </w:r>
    </w:p>
    <w:p w14:paraId="37522C5C" w14:textId="6DB2E57F" w:rsidR="00097B4C" w:rsidRPr="00AB6646" w:rsidRDefault="00F23454" w:rsidP="00F23454">
      <w:pPr>
        <w:pStyle w:val="Boxtext"/>
      </w:pPr>
      <w:r w:rsidRPr="00F23454">
        <w:rPr>
          <w:rStyle w:val="Strong"/>
        </w:rPr>
        <w:t>Remarks</w:t>
      </w:r>
      <w:r>
        <w:t xml:space="preserve">: This option removes the PLAC as an oversight </w:t>
      </w:r>
      <w:proofErr w:type="gramStart"/>
      <w:r>
        <w:t>body, but</w:t>
      </w:r>
      <w:proofErr w:type="gramEnd"/>
      <w:r>
        <w:t xml:space="preserve"> enables the Department to maintain clinical advisors and expertise through the existing CAGs and the Panel of Clinical Experts. The Department would require resourcing and capability to absorb the PLAC’s functions. Maintenance of the CAGs and Panel would continue to pose an administrative burden upon the Department and any issues pertaining to the membership of those bodies would continue.</w:t>
      </w:r>
    </w:p>
    <w:p w14:paraId="79BC45BD" w14:textId="418583DF" w:rsidR="00F23454" w:rsidRDefault="000E557F" w:rsidP="00AB6646">
      <w:r w:rsidRPr="00AB6646">
        <w:t xml:space="preserve">The </w:t>
      </w:r>
      <w:r w:rsidR="00F007AA" w:rsidRPr="00AB6646">
        <w:t>Department</w:t>
      </w:r>
      <w:r w:rsidRPr="00AB6646">
        <w:t xml:space="preserve"> abolishes the </w:t>
      </w:r>
      <w:proofErr w:type="gramStart"/>
      <w:r w:rsidRPr="00AB6646">
        <w:t>PLAC</w:t>
      </w:r>
      <w:proofErr w:type="gramEnd"/>
      <w:r w:rsidRPr="00AB6646">
        <w:t xml:space="preserve"> and </w:t>
      </w:r>
      <w:r w:rsidR="00936B07" w:rsidRPr="00AB6646">
        <w:t>the</w:t>
      </w:r>
      <w:r w:rsidR="006F170D" w:rsidRPr="00AB6646">
        <w:t xml:space="preserve"> relevant area of the Department absorbs </w:t>
      </w:r>
      <w:r w:rsidRPr="00AB6646">
        <w:t xml:space="preserve">its role and functions. The CAGs are </w:t>
      </w:r>
      <w:proofErr w:type="gramStart"/>
      <w:r w:rsidRPr="00AB6646">
        <w:t>retained, but</w:t>
      </w:r>
      <w:proofErr w:type="gramEnd"/>
      <w:r w:rsidRPr="00AB6646">
        <w:t xml:space="preserve"> are reconstituted to report directly to </w:t>
      </w:r>
      <w:r w:rsidR="00936B07" w:rsidRPr="00AB6646">
        <w:t>the</w:t>
      </w:r>
      <w:r w:rsidR="000A3022" w:rsidRPr="00AB6646">
        <w:t xml:space="preserve"> relevant area of the Department</w:t>
      </w:r>
      <w:r w:rsidRPr="00AB6646">
        <w:t xml:space="preserve">. The </w:t>
      </w:r>
      <w:r w:rsidR="000A3022" w:rsidRPr="00AB6646">
        <w:t xml:space="preserve">Department </w:t>
      </w:r>
      <w:r w:rsidRPr="00AB6646">
        <w:t xml:space="preserve">will refer matters for specialist clinical advice to the </w:t>
      </w:r>
      <w:proofErr w:type="gramStart"/>
      <w:r w:rsidRPr="00AB6646">
        <w:t>CAGs, and</w:t>
      </w:r>
      <w:proofErr w:type="gramEnd"/>
      <w:r w:rsidRPr="00AB6646">
        <w:t xml:space="preserve"> be primarily responsible for advising the Minister on the listing of items and/or benefits setting on the Prostheses List.</w:t>
      </w:r>
    </w:p>
    <w:p w14:paraId="3A20E18C" w14:textId="77777777" w:rsidR="00F23454" w:rsidRDefault="00F23454">
      <w:pPr>
        <w:autoSpaceDE/>
        <w:autoSpaceDN/>
        <w:adjustRightInd/>
        <w:spacing w:before="0" w:after="0"/>
      </w:pPr>
      <w:r>
        <w:br w:type="page"/>
      </w:r>
    </w:p>
    <w:p w14:paraId="631A518D" w14:textId="6F285021" w:rsidR="00F23454" w:rsidRDefault="00F23454" w:rsidP="00F23454">
      <w:pPr>
        <w:pStyle w:val="Boxtextoptions"/>
      </w:pPr>
      <w:r w:rsidRPr="00F23454">
        <w:rPr>
          <w:rStyle w:val="Strong"/>
        </w:rPr>
        <w:lastRenderedPageBreak/>
        <w:t>Option 3</w:t>
      </w:r>
      <w:r>
        <w:t xml:space="preserve">: </w:t>
      </w:r>
      <w:r>
        <w:t>The PLAC be replaced by:</w:t>
      </w:r>
    </w:p>
    <w:p w14:paraId="03B76CA3" w14:textId="77777777" w:rsidR="00F23454" w:rsidRDefault="00F23454" w:rsidP="00F23454">
      <w:pPr>
        <w:pStyle w:val="Boxtextoptions"/>
      </w:pPr>
      <w:r>
        <w:t xml:space="preserve">A Prostheses List Clinical Advisory Committee (PLCAC) composed of an independent Chair, clinical experts, epidemiologists, medical bioengineers, health economics expertise, medical device logistics management expertise, and at least two consumer representatives. </w:t>
      </w:r>
    </w:p>
    <w:p w14:paraId="2ECF5799" w14:textId="77777777" w:rsidR="00F23454" w:rsidRDefault="00F23454" w:rsidP="00F23454">
      <w:pPr>
        <w:pStyle w:val="Boxtextoptions"/>
      </w:pPr>
      <w:r>
        <w:t xml:space="preserve">This committee would initially report to the Department but could eventually become a committee of the MSAC. This committee would advise the Department on the clinical benefits, appropriate </w:t>
      </w:r>
      <w:proofErr w:type="gramStart"/>
      <w:r>
        <w:t>utilisation</w:t>
      </w:r>
      <w:proofErr w:type="gramEnd"/>
      <w:r>
        <w:t xml:space="preserve"> and value for money of both listed medical devices and new applications for listing. </w:t>
      </w:r>
    </w:p>
    <w:p w14:paraId="63604CC4" w14:textId="77777777" w:rsidR="00F23454" w:rsidRDefault="00F23454" w:rsidP="00F23454">
      <w:pPr>
        <w:pStyle w:val="Boxtextoptions"/>
      </w:pPr>
      <w:r>
        <w:t xml:space="preserve">The PLCAC will retain the formal advisory role to the Minister on governance of the Prostheses List. </w:t>
      </w:r>
    </w:p>
    <w:p w14:paraId="006DE049" w14:textId="77777777" w:rsidR="00F23454" w:rsidRDefault="00F23454" w:rsidP="00F23454">
      <w:pPr>
        <w:pStyle w:val="Boxtextoptions"/>
      </w:pPr>
      <w:r>
        <w:t xml:space="preserve">A Prostheses List Industry Working Group (PLIWG) composed of medical device industry representatives, private hospital representatives, private health insurance representatives, health economics expertise and at least two consumer representatives. </w:t>
      </w:r>
    </w:p>
    <w:p w14:paraId="12420546" w14:textId="77777777" w:rsidR="00F23454" w:rsidRDefault="00F23454" w:rsidP="00F23454">
      <w:pPr>
        <w:pStyle w:val="Boxtextoptions"/>
      </w:pPr>
      <w:r>
        <w:t xml:space="preserve">This committee would advise the Department on the policy matters affecting the medical device benefit setting scheme as well as providing the industry and funder views on the levels of benefits set for medical devices under the scheme including issues relating to IHPA’s determination of medical device benefits. </w:t>
      </w:r>
    </w:p>
    <w:p w14:paraId="09D0FD1D" w14:textId="77777777" w:rsidR="00F23454" w:rsidRDefault="00F23454" w:rsidP="00F23454">
      <w:pPr>
        <w:pStyle w:val="Boxtextoptions"/>
      </w:pPr>
      <w:r>
        <w:t xml:space="preserve">The PLIWG will act in an advisory capacity to the PLCAC and should not have any formal reporting or decision-making role. </w:t>
      </w:r>
    </w:p>
    <w:p w14:paraId="0D36339B" w14:textId="318B06BC" w:rsidR="00F23454" w:rsidRPr="00F23454" w:rsidRDefault="00F23454" w:rsidP="00F23454">
      <w:pPr>
        <w:pStyle w:val="Boxtext"/>
      </w:pPr>
      <w:r w:rsidRPr="00F23454">
        <w:rPr>
          <w:rStyle w:val="Strong"/>
        </w:rPr>
        <w:t>Remarks</w:t>
      </w:r>
      <w:r>
        <w:t xml:space="preserve">: This option is mildly </w:t>
      </w:r>
      <w:proofErr w:type="gramStart"/>
      <w:r>
        <w:t>disruptive, but</w:t>
      </w:r>
      <w:proofErr w:type="gramEnd"/>
      <w:r>
        <w:t xml:space="preserve"> is underpinned by structures which are intended to address the issues found in this Report.</w:t>
      </w:r>
    </w:p>
    <w:p w14:paraId="38D9873B" w14:textId="3505A663" w:rsidR="000E557F" w:rsidRDefault="00AA0BA0" w:rsidP="00AB6646">
      <w:r w:rsidRPr="00AB6646">
        <w:t xml:space="preserve">Under this </w:t>
      </w:r>
      <w:r w:rsidR="00AD7790" w:rsidRPr="00AB6646">
        <w:t>option</w:t>
      </w:r>
      <w:r w:rsidRPr="00AB6646">
        <w:t>, t</w:t>
      </w:r>
      <w:r w:rsidR="000E557F" w:rsidRPr="00AB6646">
        <w:t xml:space="preserve">he </w:t>
      </w:r>
      <w:r w:rsidR="00F007AA" w:rsidRPr="00AB6646">
        <w:t>Department</w:t>
      </w:r>
      <w:r w:rsidR="000E557F" w:rsidRPr="00AB6646">
        <w:t xml:space="preserve"> terminate</w:t>
      </w:r>
      <w:r w:rsidR="00073498" w:rsidRPr="00AB6646">
        <w:t>s</w:t>
      </w:r>
      <w:r w:rsidR="000E557F" w:rsidRPr="00AB6646">
        <w:t xml:space="preserve"> the operations of the PLAC</w:t>
      </w:r>
      <w:r w:rsidR="003E44AA" w:rsidRPr="00AB6646">
        <w:t>, the CAGs and the Panel</w:t>
      </w:r>
      <w:r w:rsidR="000E557F" w:rsidRPr="00AB6646">
        <w:t>, and divide</w:t>
      </w:r>
      <w:r w:rsidR="00073498" w:rsidRPr="00AB6646">
        <w:t>s</w:t>
      </w:r>
      <w:r w:rsidR="000E557F" w:rsidRPr="00AB6646">
        <w:t xml:space="preserve"> its functions across a</w:t>
      </w:r>
      <w:r w:rsidR="00B501CA" w:rsidRPr="00AB6646">
        <w:t xml:space="preserve"> newly established</w:t>
      </w:r>
      <w:r w:rsidR="000E557F" w:rsidRPr="00AB6646">
        <w:t xml:space="preserve"> </w:t>
      </w:r>
      <w:r w:rsidR="00B501CA" w:rsidRPr="00AB6646">
        <w:t>Clinical Expert Panel (CEP)</w:t>
      </w:r>
      <w:r w:rsidR="000E557F" w:rsidRPr="00AB6646">
        <w:t xml:space="preserve">, supported with complementary input from an industry working group. </w:t>
      </w:r>
    </w:p>
    <w:p w14:paraId="79651C9A" w14:textId="3DC0A13E" w:rsidR="00F23454" w:rsidRDefault="00F23454" w:rsidP="00F23454">
      <w:pPr>
        <w:pStyle w:val="Boxtextoptions"/>
      </w:pPr>
      <w:r w:rsidRPr="00F23454">
        <w:rPr>
          <w:rStyle w:val="Strong"/>
        </w:rPr>
        <w:t>Option 4</w:t>
      </w:r>
      <w:r>
        <w:t xml:space="preserve">: </w:t>
      </w:r>
      <w:r>
        <w:t>Abolish the PLAC and the CAGs and establish an alternative mechanism for the Department to access clinical expert advice regarding medical devices.</w:t>
      </w:r>
    </w:p>
    <w:p w14:paraId="370727CC" w14:textId="77777777" w:rsidR="00F23454" w:rsidRDefault="00F23454" w:rsidP="00F23454">
      <w:pPr>
        <w:pStyle w:val="Boxtext"/>
      </w:pPr>
      <w:r w:rsidRPr="00F23454">
        <w:rPr>
          <w:rStyle w:val="Strong"/>
        </w:rPr>
        <w:t>Remarks</w:t>
      </w:r>
      <w:r>
        <w:t>: This option requires the most change and will require significant consideration by the Department. The abolishment of the PLAC and the CAGs means there would be no formal channel for regular clinical advice and so this responsibility would now sit solely with the Department.</w:t>
      </w:r>
    </w:p>
    <w:p w14:paraId="34CCEA79" w14:textId="288E8DA9" w:rsidR="00F23454" w:rsidRPr="00AB6646" w:rsidRDefault="00F23454" w:rsidP="00F23454">
      <w:pPr>
        <w:pStyle w:val="Boxtext"/>
      </w:pPr>
      <w:r>
        <w:t>The relevant area of the Department which will absorb the PLAC’s functions would require resourcing and in-house HTA capability development.</w:t>
      </w:r>
    </w:p>
    <w:p w14:paraId="3B152076" w14:textId="50A68E24" w:rsidR="000E557F" w:rsidRPr="00AB6646" w:rsidRDefault="000E557F" w:rsidP="00AB6646">
      <w:r w:rsidRPr="00AB6646">
        <w:t xml:space="preserve">The </w:t>
      </w:r>
      <w:r w:rsidR="00F007AA" w:rsidRPr="00AB6646">
        <w:t>Department</w:t>
      </w:r>
      <w:r w:rsidRPr="00AB6646">
        <w:t xml:space="preserve"> abolishes both the PLAC and </w:t>
      </w:r>
      <w:r w:rsidR="00073498" w:rsidRPr="00AB6646">
        <w:t xml:space="preserve">the </w:t>
      </w:r>
      <w:r w:rsidRPr="00AB6646">
        <w:t xml:space="preserve">CAGs. The </w:t>
      </w:r>
      <w:r w:rsidR="00411AF7" w:rsidRPr="00AB6646">
        <w:t xml:space="preserve">Department </w:t>
      </w:r>
      <w:r w:rsidRPr="00AB6646">
        <w:t xml:space="preserve">will absorb the PLAC’s functions, </w:t>
      </w:r>
      <w:r w:rsidR="00D83FF4" w:rsidRPr="00AB6646">
        <w:t>however,</w:t>
      </w:r>
      <w:r w:rsidRPr="00AB6646">
        <w:t xml:space="preserve"> will need to identify a pathway forward to source and access clinical expert advice on </w:t>
      </w:r>
      <w:r w:rsidR="00AD76DC" w:rsidRPr="00AB6646">
        <w:t>medical devices</w:t>
      </w:r>
      <w:r w:rsidRPr="00AB6646">
        <w:t xml:space="preserve"> to support its responsibilities. </w:t>
      </w:r>
    </w:p>
    <w:p w14:paraId="768EB995" w14:textId="382B1472" w:rsidR="00586B8D" w:rsidRPr="00D2484E" w:rsidRDefault="00170390" w:rsidP="00C470B6">
      <w:pPr>
        <w:pStyle w:val="EYHeading2"/>
      </w:pPr>
      <w:r w:rsidRPr="00D2484E">
        <w:t>Review of the Prostheses List Reform</w:t>
      </w:r>
    </w:p>
    <w:p w14:paraId="67BC1DE5" w14:textId="101D9CBB" w:rsidR="00170390" w:rsidRPr="005A2F16" w:rsidRDefault="0083606B" w:rsidP="005A2F16">
      <w:r w:rsidRPr="005A2F16">
        <w:t xml:space="preserve">Although it does not impact the </w:t>
      </w:r>
      <w:r w:rsidR="003E0DE7" w:rsidRPr="005A2F16">
        <w:t xml:space="preserve">options </w:t>
      </w:r>
      <w:r w:rsidR="001D36A5" w:rsidRPr="005A2F16">
        <w:t>listed above, th</w:t>
      </w:r>
      <w:r w:rsidR="00CE5628" w:rsidRPr="005A2F16">
        <w:t>e Department</w:t>
      </w:r>
      <w:r w:rsidR="00020B21" w:rsidRPr="005A2F16">
        <w:t xml:space="preserve"> has outlined its intention to review the Prostheses</w:t>
      </w:r>
      <w:r w:rsidR="00790BF9" w:rsidRPr="005A2F16">
        <w:t xml:space="preserve"> List Reform to ensure that</w:t>
      </w:r>
      <w:r w:rsidR="00A5400C" w:rsidRPr="005A2F16">
        <w:t xml:space="preserve"> activities have delivered upon their intended outcomes</w:t>
      </w:r>
      <w:r w:rsidR="000176D9" w:rsidRPr="005A2F16">
        <w:t xml:space="preserve">. </w:t>
      </w:r>
      <w:r w:rsidR="005A62C0" w:rsidRPr="005A2F16">
        <w:t xml:space="preserve">This may present further </w:t>
      </w:r>
      <w:r w:rsidR="003E0DE7" w:rsidRPr="005A2F16">
        <w:t xml:space="preserve">options </w:t>
      </w:r>
      <w:r w:rsidR="005A62C0" w:rsidRPr="005A2F16">
        <w:t>which are not available at the time of this Review.</w:t>
      </w:r>
    </w:p>
    <w:p w14:paraId="568EFCFD" w14:textId="5E265D13" w:rsidR="000E557F" w:rsidRPr="00D2484E" w:rsidRDefault="000E557F" w:rsidP="00675361">
      <w:pPr>
        <w:pStyle w:val="EYHeading1"/>
      </w:pPr>
      <w:bookmarkStart w:id="144" w:name="_Toc77329454"/>
      <w:bookmarkStart w:id="145" w:name="_Toc77329455"/>
      <w:bookmarkStart w:id="146" w:name="_Ref77322041"/>
      <w:bookmarkStart w:id="147" w:name="_Toc77329456"/>
      <w:bookmarkEnd w:id="144"/>
      <w:bookmarkEnd w:id="145"/>
      <w:r w:rsidRPr="00D2484E">
        <w:lastRenderedPageBreak/>
        <w:t>Recommendations</w:t>
      </w:r>
      <w:bookmarkEnd w:id="146"/>
      <w:bookmarkEnd w:id="147"/>
    </w:p>
    <w:p w14:paraId="04FBB007" w14:textId="67825A63" w:rsidR="000726A5" w:rsidRPr="00D2484E" w:rsidRDefault="000E557F" w:rsidP="00AB6646">
      <w:r w:rsidRPr="00D2484E">
        <w:t xml:space="preserve">This Review </w:t>
      </w:r>
      <w:r w:rsidR="00577F8A" w:rsidRPr="00D2484E">
        <w:t>makes</w:t>
      </w:r>
      <w:r w:rsidRPr="00D2484E">
        <w:t xml:space="preserve"> 11 recommendations, pursuant of Option 3</w:t>
      </w:r>
      <w:r w:rsidR="00315945" w:rsidRPr="00D2484E">
        <w:t xml:space="preserve">, which </w:t>
      </w:r>
      <w:r w:rsidR="00B921CE" w:rsidRPr="00D2484E">
        <w:t>are intended</w:t>
      </w:r>
      <w:r w:rsidRPr="00D2484E">
        <w:t xml:space="preserve"> address </w:t>
      </w:r>
      <w:r w:rsidR="00884F25" w:rsidRPr="00D2484E">
        <w:t xml:space="preserve">the Findings in Section </w:t>
      </w:r>
      <w:r w:rsidR="00884F25" w:rsidRPr="00D2484E">
        <w:fldChar w:fldCharType="begin"/>
      </w:r>
      <w:r w:rsidR="00884F25" w:rsidRPr="00D2484E">
        <w:instrText xml:space="preserve"> REF _Ref76374061 \r \h </w:instrText>
      </w:r>
      <w:r w:rsidR="006D5479" w:rsidRPr="00D2484E">
        <w:instrText xml:space="preserve"> \* MERGEFORMAT </w:instrText>
      </w:r>
      <w:r w:rsidR="00884F25" w:rsidRPr="00D2484E">
        <w:fldChar w:fldCharType="separate"/>
      </w:r>
      <w:r w:rsidR="00475597" w:rsidRPr="00D2484E">
        <w:t>4</w:t>
      </w:r>
      <w:r w:rsidR="00884F25" w:rsidRPr="00D2484E">
        <w:fldChar w:fldCharType="end"/>
      </w:r>
      <w:r w:rsidR="00315945" w:rsidRPr="00D2484E">
        <w:t>.</w:t>
      </w:r>
      <w:r w:rsidR="00AB4ACD" w:rsidRPr="00D2484E">
        <w:t xml:space="preserve"> </w:t>
      </w:r>
      <w:r w:rsidR="00A07652" w:rsidRPr="00D2484E">
        <w:t xml:space="preserve">This section will provide </w:t>
      </w:r>
      <w:r w:rsidR="006B7EE6" w:rsidRPr="00D2484E">
        <w:t>Recommendations using the following structure:</w:t>
      </w:r>
    </w:p>
    <w:p w14:paraId="3F3F4D3D" w14:textId="5DC8D749" w:rsidR="006B7EE6" w:rsidRPr="00D2484E" w:rsidRDefault="00396594" w:rsidP="002D1775">
      <w:pPr>
        <w:pStyle w:val="EYBullet1"/>
        <w:rPr>
          <w:b/>
        </w:rPr>
      </w:pPr>
      <w:r w:rsidRPr="00D2484E">
        <w:rPr>
          <w:b/>
        </w:rPr>
        <w:t>Recommendation</w:t>
      </w:r>
      <w:r w:rsidR="00BC706D" w:rsidRPr="00D2484E">
        <w:rPr>
          <w:b/>
        </w:rPr>
        <w:t>:</w:t>
      </w:r>
      <w:r w:rsidR="00BC706D" w:rsidRPr="00D2484E">
        <w:t xml:space="preserve"> A recommendatio</w:t>
      </w:r>
      <w:r w:rsidR="00C82F16" w:rsidRPr="00D2484E">
        <w:t xml:space="preserve">n on actions for consideration by the Department in reforming </w:t>
      </w:r>
      <w:r w:rsidR="005167A0" w:rsidRPr="00D2484E">
        <w:t xml:space="preserve">governance of the Prostheses List </w:t>
      </w:r>
      <w:r w:rsidR="007528C8" w:rsidRPr="00D2484E">
        <w:t xml:space="preserve">accession </w:t>
      </w:r>
      <w:proofErr w:type="gramStart"/>
      <w:r w:rsidR="007528C8" w:rsidRPr="00D2484E">
        <w:t>process</w:t>
      </w:r>
      <w:r w:rsidR="00490C15" w:rsidRPr="00D2484E">
        <w:t>;</w:t>
      </w:r>
      <w:proofErr w:type="gramEnd"/>
    </w:p>
    <w:p w14:paraId="7A82FE7D" w14:textId="48B2A4AC" w:rsidR="006B7EE6" w:rsidRPr="00D2484E" w:rsidRDefault="00CA5630" w:rsidP="002D1775">
      <w:pPr>
        <w:pStyle w:val="EYBullet1"/>
      </w:pPr>
      <w:r w:rsidRPr="00D2484E">
        <w:rPr>
          <w:b/>
        </w:rPr>
        <w:t>Rationale</w:t>
      </w:r>
      <w:r w:rsidR="006B7EE6" w:rsidRPr="00D2484E">
        <w:rPr>
          <w:b/>
        </w:rPr>
        <w:t>:</w:t>
      </w:r>
      <w:r w:rsidRPr="00D2484E">
        <w:rPr>
          <w:b/>
        </w:rPr>
        <w:t xml:space="preserve"> </w:t>
      </w:r>
      <w:r w:rsidRPr="00D2484E">
        <w:t xml:space="preserve">A high-level summary of reasons and benefits </w:t>
      </w:r>
      <w:r w:rsidR="000F7FEE" w:rsidRPr="00D2484E">
        <w:t xml:space="preserve">which can be expected </w:t>
      </w:r>
      <w:r w:rsidR="00753C6C" w:rsidRPr="00D2484E">
        <w:t xml:space="preserve">from </w:t>
      </w:r>
      <w:r w:rsidR="002C4869" w:rsidRPr="00D2484E">
        <w:t xml:space="preserve">the </w:t>
      </w:r>
      <w:r w:rsidR="00753C6C" w:rsidRPr="00D2484E">
        <w:t xml:space="preserve">implementation </w:t>
      </w:r>
      <w:r w:rsidR="002C4869" w:rsidRPr="00D2484E">
        <w:t xml:space="preserve">of the </w:t>
      </w:r>
      <w:proofErr w:type="gramStart"/>
      <w:r w:rsidR="002C4869" w:rsidRPr="00D2484E">
        <w:t>recommendation</w:t>
      </w:r>
      <w:r w:rsidR="005055DE" w:rsidRPr="00D2484E">
        <w:t>;</w:t>
      </w:r>
      <w:proofErr w:type="gramEnd"/>
    </w:p>
    <w:p w14:paraId="5E9DE261" w14:textId="72412D89" w:rsidR="006B7EE6" w:rsidRPr="00D2484E" w:rsidRDefault="006B7EE6" w:rsidP="002D1775">
      <w:pPr>
        <w:pStyle w:val="EYBullet1"/>
      </w:pPr>
      <w:r w:rsidRPr="00D2484E">
        <w:rPr>
          <w:b/>
        </w:rPr>
        <w:t>Detailed explanation:</w:t>
      </w:r>
      <w:r w:rsidRPr="00D2484E">
        <w:t xml:space="preserve"> </w:t>
      </w:r>
      <w:r w:rsidR="00490C15" w:rsidRPr="00D2484E">
        <w:t xml:space="preserve">Further detail provided to the recommendation, including any processes or arrangements which the Department need to consider. </w:t>
      </w:r>
    </w:p>
    <w:p w14:paraId="41062B00" w14:textId="7F2BF503" w:rsidR="002F7B0C" w:rsidRPr="00D2484E" w:rsidRDefault="002F7B0C" w:rsidP="00AB6646">
      <w:r w:rsidRPr="00D2484E">
        <w:t>To ensure alignment between</w:t>
      </w:r>
      <w:r w:rsidR="002E5F39" w:rsidRPr="00D2484E">
        <w:t xml:space="preserve"> the Findings of the Review and the proposed Recommendations,</w:t>
      </w:r>
      <w:r w:rsidRPr="00D2484E">
        <w:t xml:space="preserve"> </w:t>
      </w:r>
      <w:r w:rsidR="00FE6B63" w:rsidRPr="00D2484E">
        <w:fldChar w:fldCharType="begin"/>
      </w:r>
      <w:r w:rsidR="00FE6B63" w:rsidRPr="00D2484E">
        <w:instrText xml:space="preserve"> REF _Ref77329131 \h </w:instrText>
      </w:r>
      <w:r w:rsidR="00DC29E9" w:rsidRPr="00D2484E">
        <w:instrText xml:space="preserve"> \* MERGEFORMAT </w:instrText>
      </w:r>
      <w:r w:rsidR="00FE6B63" w:rsidRPr="00D2484E">
        <w:fldChar w:fldCharType="separate"/>
      </w:r>
      <w:r w:rsidR="00475597" w:rsidRPr="00D2484E">
        <w:t>Table 10</w:t>
      </w:r>
      <w:r w:rsidR="00FE6B63" w:rsidRPr="00D2484E">
        <w:fldChar w:fldCharType="end"/>
      </w:r>
      <w:r w:rsidR="00FE6B63" w:rsidRPr="00D2484E">
        <w:t xml:space="preserve"> </w:t>
      </w:r>
      <w:r w:rsidR="00132BB0" w:rsidRPr="00D2484E">
        <w:t>provides a mapping of the relationship between Findings and the relevant Recommendation</w:t>
      </w:r>
      <w:r w:rsidR="00DF1CEB" w:rsidRPr="00D2484E">
        <w:t>s</w:t>
      </w:r>
      <w:r w:rsidR="00132BB0" w:rsidRPr="00D2484E">
        <w:t xml:space="preserve">. </w:t>
      </w:r>
      <w:r w:rsidRPr="00D2484E">
        <w:t xml:space="preserve"> </w:t>
      </w:r>
    </w:p>
    <w:p w14:paraId="1F0FF54C" w14:textId="77777777" w:rsidR="00485858" w:rsidRPr="00D2484E" w:rsidRDefault="00485858" w:rsidP="002D1775">
      <w:pPr>
        <w:pStyle w:val="EYBullet1"/>
        <w:numPr>
          <w:ilvl w:val="0"/>
          <w:numId w:val="0"/>
        </w:numPr>
        <w:sectPr w:rsidR="00485858" w:rsidRPr="00D2484E" w:rsidSect="000609EB">
          <w:footerReference w:type="default" r:id="rId24"/>
          <w:pgSz w:w="11909" w:h="16834" w:code="9"/>
          <w:pgMar w:top="1440" w:right="1440" w:bottom="1440" w:left="1440" w:header="720" w:footer="333" w:gutter="0"/>
          <w:cols w:space="720"/>
          <w:docGrid w:linePitch="360"/>
        </w:sectPr>
      </w:pPr>
    </w:p>
    <w:p w14:paraId="5B7B89CA" w14:textId="57269D90" w:rsidR="00485858" w:rsidRPr="00CA6DBA" w:rsidRDefault="004F6E1C" w:rsidP="00CA6DBA">
      <w:pPr>
        <w:pStyle w:val="Caption"/>
      </w:pPr>
      <w:bookmarkStart w:id="148" w:name="_Ref77329131"/>
      <w:bookmarkStart w:id="149" w:name="_Ref77323302"/>
      <w:r w:rsidRPr="00CA6DBA">
        <w:lastRenderedPageBreak/>
        <w:t xml:space="preserve">Table </w:t>
      </w:r>
      <w:r w:rsidRPr="00CA6DBA">
        <w:fldChar w:fldCharType="begin"/>
      </w:r>
      <w:r w:rsidRPr="00CA6DBA">
        <w:instrText xml:space="preserve"> SEQ Table \* ARABIC </w:instrText>
      </w:r>
      <w:r w:rsidRPr="00CA6DBA">
        <w:fldChar w:fldCharType="separate"/>
      </w:r>
      <w:r w:rsidR="00475597" w:rsidRPr="00CA6DBA">
        <w:t>10</w:t>
      </w:r>
      <w:r w:rsidRPr="00CA6DBA">
        <w:fldChar w:fldCharType="end"/>
      </w:r>
      <w:bookmarkEnd w:id="148"/>
      <w:r w:rsidRPr="00CA6DBA">
        <w:t xml:space="preserve"> - Mapping of Findings and Recommendations of this Review</w:t>
      </w:r>
      <w:bookmarkEnd w:id="149"/>
    </w:p>
    <w:tbl>
      <w:tblPr>
        <w:tblStyle w:val="Style1"/>
        <w:tblW w:w="0" w:type="auto"/>
        <w:tblLook w:val="04A0" w:firstRow="1" w:lastRow="0" w:firstColumn="1" w:lastColumn="0" w:noHBand="0" w:noVBand="1"/>
        <w:tblDescription w:val="Table 10 is a list mapping of findings and recommendations of this Review"/>
      </w:tblPr>
      <w:tblGrid>
        <w:gridCol w:w="439"/>
        <w:gridCol w:w="2640"/>
        <w:gridCol w:w="2513"/>
        <w:gridCol w:w="2149"/>
        <w:gridCol w:w="1828"/>
        <w:gridCol w:w="2003"/>
        <w:gridCol w:w="2372"/>
      </w:tblGrid>
      <w:tr w:rsidR="00C976B4" w:rsidRPr="00C976B4" w14:paraId="16BD9B2C" w14:textId="77777777" w:rsidTr="00C976B4">
        <w:trPr>
          <w:cnfStyle w:val="100000000000" w:firstRow="1" w:lastRow="0" w:firstColumn="0" w:lastColumn="0" w:oddVBand="0" w:evenVBand="0" w:oddHBand="0" w:evenHBand="0" w:firstRowFirstColumn="0" w:firstRowLastColumn="0" w:lastRowFirstColumn="0" w:lastRowLastColumn="0"/>
          <w:trHeight w:val="651"/>
          <w:tblHeader/>
        </w:trPr>
        <w:tc>
          <w:tcPr>
            <w:tcW w:w="0" w:type="auto"/>
            <w:gridSpan w:val="2"/>
          </w:tcPr>
          <w:p w14:paraId="09AFB829" w14:textId="286872E3" w:rsidR="00C0017E" w:rsidRPr="00C976B4" w:rsidRDefault="00C0017E" w:rsidP="00544133">
            <w:pPr>
              <w:pStyle w:val="EYTableHeadingWhite"/>
            </w:pPr>
            <w:r w:rsidRPr="00C976B4">
              <w:t>Recommendations</w:t>
            </w:r>
          </w:p>
        </w:tc>
        <w:tc>
          <w:tcPr>
            <w:tcW w:w="0" w:type="auto"/>
          </w:tcPr>
          <w:p w14:paraId="3538AF66" w14:textId="08C720F3" w:rsidR="00C0017E" w:rsidRPr="00C976B4" w:rsidRDefault="00C976B4" w:rsidP="00544133">
            <w:pPr>
              <w:pStyle w:val="EYTableHeadingWhite"/>
            </w:pPr>
            <w:r w:rsidRPr="00C976B4">
              <w:t xml:space="preserve">Finding 1: </w:t>
            </w:r>
            <w:r w:rsidR="00C0017E" w:rsidRPr="00C976B4">
              <w:t>Structure, focus and composition of the PLAC and its sub-committees</w:t>
            </w:r>
          </w:p>
        </w:tc>
        <w:tc>
          <w:tcPr>
            <w:tcW w:w="0" w:type="auto"/>
          </w:tcPr>
          <w:p w14:paraId="5AAD9FDD" w14:textId="59F18BAA" w:rsidR="00C0017E" w:rsidRPr="00C976B4" w:rsidRDefault="00C976B4" w:rsidP="00544133">
            <w:pPr>
              <w:pStyle w:val="EYTableHeadingWhite"/>
            </w:pPr>
            <w:r w:rsidRPr="00C976B4">
              <w:t>Finding 2</w:t>
            </w:r>
            <w:r w:rsidRPr="00C976B4">
              <w:t xml:space="preserve">: </w:t>
            </w:r>
            <w:r w:rsidR="00C0017E" w:rsidRPr="00C976B4">
              <w:t>Management of the workload of the PLAC</w:t>
            </w:r>
          </w:p>
        </w:tc>
        <w:tc>
          <w:tcPr>
            <w:tcW w:w="0" w:type="auto"/>
          </w:tcPr>
          <w:p w14:paraId="51DAC9E2" w14:textId="64243967" w:rsidR="00C0017E" w:rsidRPr="00C976B4" w:rsidRDefault="00C976B4" w:rsidP="00544133">
            <w:pPr>
              <w:pStyle w:val="EYTableHeadingWhite"/>
            </w:pPr>
            <w:r w:rsidRPr="00C976B4">
              <w:t xml:space="preserve">Finding </w:t>
            </w:r>
            <w:r w:rsidRPr="00C976B4">
              <w:t xml:space="preserve">3: </w:t>
            </w:r>
            <w:r w:rsidR="00C0017E" w:rsidRPr="00C976B4">
              <w:t xml:space="preserve">Support from the </w:t>
            </w:r>
            <w:r w:rsidR="00970A2B" w:rsidRPr="00C976B4">
              <w:t>Department</w:t>
            </w:r>
          </w:p>
        </w:tc>
        <w:tc>
          <w:tcPr>
            <w:tcW w:w="0" w:type="auto"/>
          </w:tcPr>
          <w:p w14:paraId="517FD2D2" w14:textId="32C1B574" w:rsidR="00C0017E" w:rsidRPr="00C976B4" w:rsidRDefault="00C976B4" w:rsidP="00544133">
            <w:pPr>
              <w:pStyle w:val="EYTableHeadingWhite"/>
            </w:pPr>
            <w:r w:rsidRPr="00C976B4">
              <w:t xml:space="preserve">Finding </w:t>
            </w:r>
            <w:r w:rsidRPr="00C976B4">
              <w:t xml:space="preserve">4: </w:t>
            </w:r>
            <w:r w:rsidR="00C0017E" w:rsidRPr="00C976B4">
              <w:t>Consistency of advice from the PLAC</w:t>
            </w:r>
          </w:p>
        </w:tc>
        <w:tc>
          <w:tcPr>
            <w:tcW w:w="0" w:type="auto"/>
          </w:tcPr>
          <w:p w14:paraId="2FC79576" w14:textId="1AC5F08D" w:rsidR="00C0017E" w:rsidRPr="00C976B4" w:rsidRDefault="00C976B4" w:rsidP="00544133">
            <w:pPr>
              <w:pStyle w:val="EYTableHeadingWhite"/>
            </w:pPr>
            <w:r w:rsidRPr="00C976B4">
              <w:t xml:space="preserve">Finding </w:t>
            </w:r>
            <w:r w:rsidRPr="00C976B4">
              <w:t xml:space="preserve">5: </w:t>
            </w:r>
            <w:r w:rsidR="00C0017E" w:rsidRPr="00C976B4">
              <w:t>Relationship with the MSAC, the PBAC, the TGA and IHPA</w:t>
            </w:r>
          </w:p>
        </w:tc>
      </w:tr>
      <w:tr w:rsidR="00C0017E" w:rsidRPr="00D2484E" w14:paraId="7057C6CA" w14:textId="77777777" w:rsidTr="00C976B4">
        <w:tc>
          <w:tcPr>
            <w:tcW w:w="0" w:type="auto"/>
          </w:tcPr>
          <w:p w14:paraId="482028F5" w14:textId="6E094E12" w:rsidR="00C0017E" w:rsidRPr="00D2484E" w:rsidRDefault="00C0017E" w:rsidP="00544133">
            <w:pPr>
              <w:pStyle w:val="EYTableText"/>
            </w:pPr>
            <w:r w:rsidRPr="00D2484E">
              <w:t>1</w:t>
            </w:r>
          </w:p>
        </w:tc>
        <w:tc>
          <w:tcPr>
            <w:tcW w:w="0" w:type="auto"/>
          </w:tcPr>
          <w:p w14:paraId="1E576EA8" w14:textId="34DD9620" w:rsidR="00C0017E" w:rsidRPr="00C976B4" w:rsidRDefault="00E76C82" w:rsidP="00544133">
            <w:pPr>
              <w:pStyle w:val="EYTableText"/>
            </w:pPr>
            <w:r w:rsidRPr="00C976B4">
              <w:t>Replace the</w:t>
            </w:r>
            <w:r w:rsidR="006B23E1" w:rsidRPr="00C976B4">
              <w:t xml:space="preserve"> PLAC and its functions </w:t>
            </w:r>
            <w:r w:rsidRPr="00C976B4">
              <w:t xml:space="preserve">with </w:t>
            </w:r>
            <w:r w:rsidR="006B23E1" w:rsidRPr="00C976B4">
              <w:t xml:space="preserve">the </w:t>
            </w:r>
            <w:r w:rsidR="001629F0" w:rsidRPr="00C976B4">
              <w:t>PLCAC</w:t>
            </w:r>
            <w:r w:rsidR="006B23E1" w:rsidRPr="00C976B4">
              <w:t xml:space="preserve"> and the </w:t>
            </w:r>
            <w:r w:rsidR="001629F0" w:rsidRPr="00C976B4">
              <w:t>PLIWG</w:t>
            </w:r>
          </w:p>
        </w:tc>
        <w:tc>
          <w:tcPr>
            <w:tcW w:w="0" w:type="auto"/>
          </w:tcPr>
          <w:p w14:paraId="14D00E95" w14:textId="08FDDBB3" w:rsidR="00C0017E"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0CCC19DD" w14:textId="77777777" w:rsidR="00C0017E" w:rsidRPr="00D2484E" w:rsidRDefault="00C0017E" w:rsidP="00C976B4">
            <w:pPr>
              <w:pStyle w:val="Tabletextleft"/>
            </w:pPr>
          </w:p>
        </w:tc>
        <w:tc>
          <w:tcPr>
            <w:tcW w:w="0" w:type="auto"/>
          </w:tcPr>
          <w:p w14:paraId="0D08DB73" w14:textId="77777777" w:rsidR="00C0017E" w:rsidRPr="00D2484E" w:rsidRDefault="00C0017E" w:rsidP="00C976B4">
            <w:pPr>
              <w:pStyle w:val="Tabletextleft"/>
            </w:pPr>
          </w:p>
        </w:tc>
        <w:tc>
          <w:tcPr>
            <w:tcW w:w="0" w:type="auto"/>
          </w:tcPr>
          <w:p w14:paraId="27D78C0B" w14:textId="77777777" w:rsidR="00C0017E" w:rsidRPr="00D2484E" w:rsidRDefault="00C0017E" w:rsidP="00C976B4">
            <w:pPr>
              <w:pStyle w:val="Tabletextleft"/>
            </w:pPr>
          </w:p>
        </w:tc>
        <w:tc>
          <w:tcPr>
            <w:tcW w:w="0" w:type="auto"/>
          </w:tcPr>
          <w:p w14:paraId="13243D7E" w14:textId="6D7356EE" w:rsidR="00C0017E" w:rsidRPr="00D2484E" w:rsidRDefault="00C0017E" w:rsidP="00C976B4">
            <w:pPr>
              <w:pStyle w:val="Tabletextleft"/>
            </w:pPr>
          </w:p>
        </w:tc>
      </w:tr>
      <w:tr w:rsidR="00B028D4" w:rsidRPr="00D2484E" w14:paraId="78746CC2" w14:textId="77777777" w:rsidTr="00C976B4">
        <w:tc>
          <w:tcPr>
            <w:tcW w:w="0" w:type="auto"/>
          </w:tcPr>
          <w:p w14:paraId="7272202D" w14:textId="1CE47F34" w:rsidR="00B028D4" w:rsidRPr="00D2484E" w:rsidRDefault="00B028D4" w:rsidP="00544133">
            <w:pPr>
              <w:pStyle w:val="EYTableText"/>
            </w:pPr>
            <w:r w:rsidRPr="00D2484E">
              <w:t>2</w:t>
            </w:r>
          </w:p>
        </w:tc>
        <w:tc>
          <w:tcPr>
            <w:tcW w:w="0" w:type="auto"/>
          </w:tcPr>
          <w:p w14:paraId="7A5A9621" w14:textId="33D50F16" w:rsidR="00B028D4" w:rsidRPr="00C976B4" w:rsidRDefault="00B028D4" w:rsidP="00544133">
            <w:pPr>
              <w:pStyle w:val="EYTableText"/>
            </w:pPr>
            <w:r w:rsidRPr="00C976B4">
              <w:t xml:space="preserve">Introduce a </w:t>
            </w:r>
            <w:r w:rsidR="0043123A" w:rsidRPr="00C976B4">
              <w:t xml:space="preserve">reconstituted </w:t>
            </w:r>
            <w:r w:rsidR="00130E67" w:rsidRPr="00C976B4">
              <w:t>CEP</w:t>
            </w:r>
          </w:p>
        </w:tc>
        <w:tc>
          <w:tcPr>
            <w:tcW w:w="0" w:type="auto"/>
          </w:tcPr>
          <w:p w14:paraId="1F4954A9" w14:textId="13090554"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5B41AA0A" w14:textId="5C1E130C"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012528E3" w14:textId="77777777" w:rsidR="00B028D4" w:rsidRPr="00D2484E" w:rsidRDefault="00B028D4" w:rsidP="00C976B4">
            <w:pPr>
              <w:pStyle w:val="Tabletextleft"/>
            </w:pPr>
          </w:p>
        </w:tc>
        <w:tc>
          <w:tcPr>
            <w:tcW w:w="0" w:type="auto"/>
          </w:tcPr>
          <w:p w14:paraId="099E4B7C" w14:textId="77777777" w:rsidR="00B028D4" w:rsidRPr="00D2484E" w:rsidRDefault="00B028D4" w:rsidP="00C976B4">
            <w:pPr>
              <w:pStyle w:val="Tabletextleft"/>
            </w:pPr>
          </w:p>
        </w:tc>
        <w:tc>
          <w:tcPr>
            <w:tcW w:w="0" w:type="auto"/>
          </w:tcPr>
          <w:p w14:paraId="18C27E4F" w14:textId="77777777" w:rsidR="00B028D4" w:rsidRPr="00D2484E" w:rsidRDefault="00B028D4" w:rsidP="00C976B4">
            <w:pPr>
              <w:pStyle w:val="Tabletextleft"/>
            </w:pPr>
          </w:p>
        </w:tc>
      </w:tr>
      <w:tr w:rsidR="00C0017E" w:rsidRPr="00D2484E" w14:paraId="2BC7F7B7" w14:textId="77777777" w:rsidTr="00C976B4">
        <w:tc>
          <w:tcPr>
            <w:tcW w:w="0" w:type="auto"/>
          </w:tcPr>
          <w:p w14:paraId="257D3EAF" w14:textId="14B5FE33" w:rsidR="00C0017E" w:rsidRPr="00D2484E" w:rsidRDefault="00C0017E" w:rsidP="00544133">
            <w:pPr>
              <w:pStyle w:val="EYTableText"/>
            </w:pPr>
            <w:r w:rsidRPr="00D2484E">
              <w:t>3</w:t>
            </w:r>
          </w:p>
        </w:tc>
        <w:tc>
          <w:tcPr>
            <w:tcW w:w="0" w:type="auto"/>
          </w:tcPr>
          <w:p w14:paraId="38E98C5B" w14:textId="23F39443" w:rsidR="00C0017E" w:rsidRPr="00C976B4" w:rsidRDefault="00C0017E" w:rsidP="00544133">
            <w:pPr>
              <w:pStyle w:val="EYTableText"/>
            </w:pPr>
            <w:r w:rsidRPr="00C976B4">
              <w:t>Improve functional relationships between HTA committees</w:t>
            </w:r>
          </w:p>
        </w:tc>
        <w:tc>
          <w:tcPr>
            <w:tcW w:w="0" w:type="auto"/>
          </w:tcPr>
          <w:p w14:paraId="50DA8688" w14:textId="4DC926FD" w:rsidR="00C0017E" w:rsidRPr="00D2484E" w:rsidRDefault="00C0017E" w:rsidP="00C976B4">
            <w:pPr>
              <w:pStyle w:val="Tabletextleft"/>
            </w:pPr>
          </w:p>
        </w:tc>
        <w:tc>
          <w:tcPr>
            <w:tcW w:w="0" w:type="auto"/>
          </w:tcPr>
          <w:p w14:paraId="6A67E9C4" w14:textId="77777777" w:rsidR="00C0017E" w:rsidRPr="00D2484E" w:rsidRDefault="00C0017E" w:rsidP="00C976B4">
            <w:pPr>
              <w:pStyle w:val="Tabletextleft"/>
            </w:pPr>
          </w:p>
        </w:tc>
        <w:tc>
          <w:tcPr>
            <w:tcW w:w="0" w:type="auto"/>
          </w:tcPr>
          <w:p w14:paraId="2F8006A8" w14:textId="77777777" w:rsidR="00C0017E" w:rsidRPr="00D2484E" w:rsidRDefault="00C0017E" w:rsidP="00C976B4">
            <w:pPr>
              <w:pStyle w:val="Tabletextleft"/>
            </w:pPr>
          </w:p>
        </w:tc>
        <w:tc>
          <w:tcPr>
            <w:tcW w:w="0" w:type="auto"/>
          </w:tcPr>
          <w:p w14:paraId="5D8C1792" w14:textId="65E9015C" w:rsidR="00C0017E"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62713340" w14:textId="16066D0D" w:rsidR="00C0017E" w:rsidRPr="00D2484E" w:rsidRDefault="00B028D4" w:rsidP="00544133">
            <w:pPr>
              <w:pStyle w:val="EYTableText"/>
            </w:pPr>
            <w:r w:rsidRPr="00D2484E">
              <w:rPr>
                <w:rFonts w:ascii="Segoe UI Symbol" w:hAnsi="Segoe UI Symbol" w:cs="Segoe UI Symbol"/>
                <w:shd w:val="clear" w:color="auto" w:fill="FFFFFF"/>
              </w:rPr>
              <w:t>✓</w:t>
            </w:r>
          </w:p>
        </w:tc>
      </w:tr>
      <w:tr w:rsidR="00B028D4" w:rsidRPr="00D2484E" w14:paraId="6A183FAD" w14:textId="77777777" w:rsidTr="00C976B4">
        <w:tc>
          <w:tcPr>
            <w:tcW w:w="0" w:type="auto"/>
          </w:tcPr>
          <w:p w14:paraId="3176FCAD" w14:textId="420699A8" w:rsidR="00B028D4" w:rsidRPr="00D2484E" w:rsidRDefault="00B028D4" w:rsidP="00544133">
            <w:pPr>
              <w:pStyle w:val="EYTableText"/>
            </w:pPr>
            <w:r w:rsidRPr="00D2484E">
              <w:t>4</w:t>
            </w:r>
          </w:p>
        </w:tc>
        <w:tc>
          <w:tcPr>
            <w:tcW w:w="0" w:type="auto"/>
          </w:tcPr>
          <w:p w14:paraId="4B6ED9D3" w14:textId="256465BC" w:rsidR="00B028D4" w:rsidRPr="00C976B4" w:rsidRDefault="003603CC" w:rsidP="00544133">
            <w:pPr>
              <w:pStyle w:val="EYTableText"/>
            </w:pPr>
            <w:r w:rsidRPr="00C976B4">
              <w:t xml:space="preserve">Introduce </w:t>
            </w:r>
            <w:r w:rsidR="00B028D4" w:rsidRPr="00C976B4">
              <w:t>regular review</w:t>
            </w:r>
            <w:r w:rsidRPr="00C976B4">
              <w:t>s</w:t>
            </w:r>
            <w:r w:rsidR="00B028D4" w:rsidRPr="00C976B4">
              <w:t xml:space="preserve"> of clinical appropriateness and utilisation medical device</w:t>
            </w:r>
          </w:p>
        </w:tc>
        <w:tc>
          <w:tcPr>
            <w:tcW w:w="0" w:type="auto"/>
          </w:tcPr>
          <w:p w14:paraId="3CC8407B" w14:textId="206485D4" w:rsidR="00B028D4" w:rsidRPr="00D2484E" w:rsidRDefault="00B028D4" w:rsidP="00C976B4">
            <w:pPr>
              <w:pStyle w:val="Tabletextleft"/>
            </w:pPr>
          </w:p>
        </w:tc>
        <w:tc>
          <w:tcPr>
            <w:tcW w:w="0" w:type="auto"/>
          </w:tcPr>
          <w:p w14:paraId="695E7B09" w14:textId="77777777" w:rsidR="00B028D4" w:rsidRPr="00D2484E" w:rsidRDefault="00B028D4" w:rsidP="00C976B4">
            <w:pPr>
              <w:pStyle w:val="Tabletextleft"/>
            </w:pPr>
          </w:p>
        </w:tc>
        <w:tc>
          <w:tcPr>
            <w:tcW w:w="0" w:type="auto"/>
          </w:tcPr>
          <w:p w14:paraId="68A2E5A1" w14:textId="391DCA71"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4C5037C4" w14:textId="46EC2964"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3C7831B8" w14:textId="77777777" w:rsidR="00B028D4" w:rsidRPr="00D2484E" w:rsidRDefault="00B028D4" w:rsidP="00C976B4">
            <w:pPr>
              <w:pStyle w:val="Tabletextleft"/>
            </w:pPr>
          </w:p>
        </w:tc>
      </w:tr>
      <w:tr w:rsidR="00B028D4" w:rsidRPr="00D2484E" w14:paraId="5B1FF39C" w14:textId="77777777" w:rsidTr="00C976B4">
        <w:tc>
          <w:tcPr>
            <w:tcW w:w="0" w:type="auto"/>
          </w:tcPr>
          <w:p w14:paraId="3F4FB5E6" w14:textId="39B52C6A" w:rsidR="00B028D4" w:rsidRPr="00D2484E" w:rsidRDefault="00B028D4" w:rsidP="00544133">
            <w:pPr>
              <w:pStyle w:val="EYTableText"/>
            </w:pPr>
            <w:r w:rsidRPr="00D2484E">
              <w:t>5</w:t>
            </w:r>
          </w:p>
        </w:tc>
        <w:tc>
          <w:tcPr>
            <w:tcW w:w="0" w:type="auto"/>
          </w:tcPr>
          <w:p w14:paraId="2C92C6E1" w14:textId="5FD141DD" w:rsidR="00B028D4" w:rsidRPr="00C976B4" w:rsidRDefault="00845B70" w:rsidP="00544133">
            <w:pPr>
              <w:pStyle w:val="EYTableText"/>
            </w:pPr>
            <w:r w:rsidRPr="00C976B4">
              <w:t>Increas</w:t>
            </w:r>
            <w:r w:rsidR="001E1706" w:rsidRPr="00C976B4">
              <w:t>e</w:t>
            </w:r>
            <w:r w:rsidR="00565D45" w:rsidRPr="00C976B4">
              <w:t xml:space="preserve"> </w:t>
            </w:r>
            <w:r w:rsidR="000E7935" w:rsidRPr="00C976B4">
              <w:t xml:space="preserve">the </w:t>
            </w:r>
            <w:r w:rsidR="00411AF7" w:rsidRPr="00C976B4">
              <w:t>Department</w:t>
            </w:r>
            <w:r w:rsidRPr="00C976B4">
              <w:t>’s</w:t>
            </w:r>
            <w:r w:rsidR="00B028D4" w:rsidRPr="00C976B4">
              <w:t xml:space="preserve"> capability for post-listing surveillance</w:t>
            </w:r>
          </w:p>
        </w:tc>
        <w:tc>
          <w:tcPr>
            <w:tcW w:w="0" w:type="auto"/>
          </w:tcPr>
          <w:p w14:paraId="70022187" w14:textId="2697E757" w:rsidR="00B028D4" w:rsidRPr="00D2484E" w:rsidRDefault="00B028D4" w:rsidP="00C976B4">
            <w:pPr>
              <w:pStyle w:val="Tabletextleft"/>
            </w:pPr>
          </w:p>
        </w:tc>
        <w:tc>
          <w:tcPr>
            <w:tcW w:w="0" w:type="auto"/>
          </w:tcPr>
          <w:p w14:paraId="1CCD243E" w14:textId="77777777" w:rsidR="00B028D4" w:rsidRPr="00D2484E" w:rsidRDefault="00B028D4" w:rsidP="00C976B4">
            <w:pPr>
              <w:pStyle w:val="Tabletextleft"/>
            </w:pPr>
          </w:p>
        </w:tc>
        <w:tc>
          <w:tcPr>
            <w:tcW w:w="0" w:type="auto"/>
          </w:tcPr>
          <w:p w14:paraId="04F41D18" w14:textId="2E5533D7"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240CC889" w14:textId="15B29966"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1975E6B2" w14:textId="77777777" w:rsidR="00B028D4" w:rsidRPr="00D2484E" w:rsidRDefault="00B028D4" w:rsidP="00C976B4">
            <w:pPr>
              <w:pStyle w:val="Tabletextleft"/>
            </w:pPr>
          </w:p>
        </w:tc>
      </w:tr>
      <w:tr w:rsidR="00B028D4" w:rsidRPr="00D2484E" w14:paraId="55558422" w14:textId="77777777" w:rsidTr="00C976B4">
        <w:tc>
          <w:tcPr>
            <w:tcW w:w="0" w:type="auto"/>
          </w:tcPr>
          <w:p w14:paraId="73D1834E" w14:textId="1F9A13DE" w:rsidR="00B028D4" w:rsidRPr="00D2484E" w:rsidRDefault="00B028D4" w:rsidP="00544133">
            <w:pPr>
              <w:pStyle w:val="EYTableText"/>
            </w:pPr>
            <w:r w:rsidRPr="00D2484E">
              <w:t>6</w:t>
            </w:r>
          </w:p>
        </w:tc>
        <w:tc>
          <w:tcPr>
            <w:tcW w:w="0" w:type="auto"/>
          </w:tcPr>
          <w:p w14:paraId="2F09BF93" w14:textId="6497F304" w:rsidR="00B028D4" w:rsidRPr="00C976B4" w:rsidRDefault="00B028D4" w:rsidP="00544133">
            <w:pPr>
              <w:pStyle w:val="EYTableText"/>
            </w:pPr>
            <w:r w:rsidRPr="00C976B4">
              <w:t>Enhance documentation o</w:t>
            </w:r>
            <w:r w:rsidR="00305E73" w:rsidRPr="00C976B4">
              <w:t>f</w:t>
            </w:r>
            <w:r w:rsidRPr="00C976B4">
              <w:t xml:space="preserve"> </w:t>
            </w:r>
            <w:r w:rsidR="00EE1365" w:rsidRPr="00C976B4">
              <w:t xml:space="preserve">prior </w:t>
            </w:r>
            <w:r w:rsidRPr="00C976B4">
              <w:t>decisions</w:t>
            </w:r>
          </w:p>
        </w:tc>
        <w:tc>
          <w:tcPr>
            <w:tcW w:w="0" w:type="auto"/>
          </w:tcPr>
          <w:p w14:paraId="47A74D28" w14:textId="192EAF5A" w:rsidR="00B028D4" w:rsidRPr="00D2484E" w:rsidRDefault="00B028D4" w:rsidP="00C976B4">
            <w:pPr>
              <w:pStyle w:val="Tabletextleft"/>
            </w:pPr>
          </w:p>
        </w:tc>
        <w:tc>
          <w:tcPr>
            <w:tcW w:w="0" w:type="auto"/>
          </w:tcPr>
          <w:p w14:paraId="7847E141" w14:textId="4DAA38C0"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78995FC3" w14:textId="165000E2"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2EFBC46F" w14:textId="163E9D7E"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0BABB543" w14:textId="77777777" w:rsidR="00B028D4" w:rsidRPr="00D2484E" w:rsidRDefault="00B028D4" w:rsidP="00C976B4">
            <w:pPr>
              <w:pStyle w:val="Tabletextleft"/>
            </w:pPr>
          </w:p>
        </w:tc>
      </w:tr>
      <w:tr w:rsidR="00B028D4" w:rsidRPr="00D2484E" w14:paraId="429553E6" w14:textId="77777777" w:rsidTr="00C976B4">
        <w:trPr>
          <w:trHeight w:val="510"/>
        </w:trPr>
        <w:tc>
          <w:tcPr>
            <w:tcW w:w="0" w:type="auto"/>
          </w:tcPr>
          <w:p w14:paraId="4301A1B5" w14:textId="74C056F7" w:rsidR="00B028D4" w:rsidRPr="00D2484E" w:rsidRDefault="00B028D4" w:rsidP="00544133">
            <w:pPr>
              <w:pStyle w:val="EYTableText"/>
            </w:pPr>
            <w:r w:rsidRPr="00D2484E">
              <w:t>7</w:t>
            </w:r>
          </w:p>
        </w:tc>
        <w:tc>
          <w:tcPr>
            <w:tcW w:w="0" w:type="auto"/>
          </w:tcPr>
          <w:p w14:paraId="522AF7E8" w14:textId="63364480" w:rsidR="00B028D4" w:rsidRPr="00C976B4" w:rsidRDefault="00637E79" w:rsidP="00544133">
            <w:pPr>
              <w:pStyle w:val="EYTableText"/>
            </w:pPr>
            <w:r w:rsidRPr="00C976B4">
              <w:t>Refer matters</w:t>
            </w:r>
            <w:r w:rsidR="00E76C82" w:rsidRPr="00C976B4">
              <w:t xml:space="preserve"> relating to </w:t>
            </w:r>
            <w:r w:rsidR="00B028D4" w:rsidRPr="00C976B4">
              <w:t>safety and efficacy to the TGA</w:t>
            </w:r>
          </w:p>
        </w:tc>
        <w:tc>
          <w:tcPr>
            <w:tcW w:w="0" w:type="auto"/>
          </w:tcPr>
          <w:p w14:paraId="30A574A5" w14:textId="30CD61BA" w:rsidR="00B028D4" w:rsidRPr="00D2484E" w:rsidRDefault="00B028D4" w:rsidP="00C976B4">
            <w:pPr>
              <w:pStyle w:val="Tabletextleft"/>
            </w:pPr>
          </w:p>
        </w:tc>
        <w:tc>
          <w:tcPr>
            <w:tcW w:w="0" w:type="auto"/>
          </w:tcPr>
          <w:p w14:paraId="5678BA41" w14:textId="77777777" w:rsidR="00B028D4" w:rsidRPr="00D2484E" w:rsidRDefault="00B028D4" w:rsidP="00C976B4">
            <w:pPr>
              <w:pStyle w:val="Tabletextleft"/>
            </w:pPr>
          </w:p>
        </w:tc>
        <w:tc>
          <w:tcPr>
            <w:tcW w:w="0" w:type="auto"/>
          </w:tcPr>
          <w:p w14:paraId="708E210F" w14:textId="77777777" w:rsidR="00B028D4" w:rsidRPr="00D2484E" w:rsidRDefault="00B028D4" w:rsidP="00C976B4">
            <w:pPr>
              <w:pStyle w:val="Tabletextleft"/>
            </w:pPr>
          </w:p>
        </w:tc>
        <w:tc>
          <w:tcPr>
            <w:tcW w:w="0" w:type="auto"/>
          </w:tcPr>
          <w:p w14:paraId="1797274D" w14:textId="14B3D6B1"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1CCB695A" w14:textId="523FF5FA" w:rsidR="00B028D4" w:rsidRPr="00D2484E" w:rsidRDefault="00B028D4" w:rsidP="00544133">
            <w:pPr>
              <w:pStyle w:val="EYTableText"/>
            </w:pPr>
            <w:r w:rsidRPr="00D2484E">
              <w:rPr>
                <w:rFonts w:ascii="Segoe UI Symbol" w:hAnsi="Segoe UI Symbol" w:cs="Segoe UI Symbol"/>
                <w:shd w:val="clear" w:color="auto" w:fill="FFFFFF"/>
              </w:rPr>
              <w:t>✓</w:t>
            </w:r>
          </w:p>
        </w:tc>
      </w:tr>
      <w:tr w:rsidR="00B028D4" w:rsidRPr="00D2484E" w14:paraId="0EC05258" w14:textId="77777777" w:rsidTr="00C976B4">
        <w:tc>
          <w:tcPr>
            <w:tcW w:w="0" w:type="auto"/>
          </w:tcPr>
          <w:p w14:paraId="75C06CDA" w14:textId="3E72DD47" w:rsidR="00B028D4" w:rsidRPr="00D2484E" w:rsidRDefault="00B028D4" w:rsidP="00544133">
            <w:pPr>
              <w:pStyle w:val="EYTableText"/>
            </w:pPr>
            <w:r w:rsidRPr="00D2484E">
              <w:t>8</w:t>
            </w:r>
          </w:p>
        </w:tc>
        <w:tc>
          <w:tcPr>
            <w:tcW w:w="0" w:type="auto"/>
          </w:tcPr>
          <w:p w14:paraId="5CBC8CCD" w14:textId="77777777" w:rsidR="00B028D4" w:rsidRPr="00C976B4" w:rsidRDefault="00B028D4" w:rsidP="00544133">
            <w:pPr>
              <w:pStyle w:val="EYTableText"/>
            </w:pPr>
            <w:r w:rsidRPr="00C976B4">
              <w:t xml:space="preserve">Develop </w:t>
            </w:r>
            <w:r w:rsidR="00FE6B63" w:rsidRPr="00C976B4">
              <w:t>clear criteri</w:t>
            </w:r>
            <w:r w:rsidR="0032537A" w:rsidRPr="00C976B4">
              <w:t>a</w:t>
            </w:r>
            <w:r w:rsidRPr="00C976B4">
              <w:t xml:space="preserve"> which outline the Prostheses List assessment process</w:t>
            </w:r>
          </w:p>
        </w:tc>
        <w:tc>
          <w:tcPr>
            <w:tcW w:w="0" w:type="auto"/>
          </w:tcPr>
          <w:p w14:paraId="721CE047" w14:textId="480757B5" w:rsidR="00B028D4" w:rsidRPr="00D2484E" w:rsidRDefault="00B028D4" w:rsidP="00C976B4">
            <w:pPr>
              <w:pStyle w:val="Tabletextleft"/>
            </w:pPr>
          </w:p>
        </w:tc>
        <w:tc>
          <w:tcPr>
            <w:tcW w:w="0" w:type="auto"/>
          </w:tcPr>
          <w:p w14:paraId="58D4F203" w14:textId="41641ABF"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7C553E6B" w14:textId="3862D845"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6D488D33" w14:textId="430FADED" w:rsidR="00B028D4"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135DC0F6" w14:textId="77777777" w:rsidR="00B028D4" w:rsidRPr="00D2484E" w:rsidRDefault="00B028D4" w:rsidP="00C976B4">
            <w:pPr>
              <w:pStyle w:val="Tabletextleft"/>
            </w:pPr>
          </w:p>
        </w:tc>
      </w:tr>
      <w:tr w:rsidR="00C0017E" w:rsidRPr="00D2484E" w14:paraId="44A3361A" w14:textId="77777777" w:rsidTr="00C976B4">
        <w:tc>
          <w:tcPr>
            <w:tcW w:w="0" w:type="auto"/>
          </w:tcPr>
          <w:p w14:paraId="0323BD8F" w14:textId="17EA7B59" w:rsidR="00C0017E" w:rsidRPr="00D2484E" w:rsidRDefault="00C0017E" w:rsidP="00544133">
            <w:pPr>
              <w:pStyle w:val="EYTableText"/>
            </w:pPr>
            <w:r w:rsidRPr="00D2484E">
              <w:lastRenderedPageBreak/>
              <w:t>9</w:t>
            </w:r>
          </w:p>
        </w:tc>
        <w:tc>
          <w:tcPr>
            <w:tcW w:w="0" w:type="auto"/>
          </w:tcPr>
          <w:p w14:paraId="23BB486B" w14:textId="60EE1DD4" w:rsidR="00C0017E" w:rsidRPr="00C976B4" w:rsidRDefault="00C0017E" w:rsidP="00544133">
            <w:pPr>
              <w:pStyle w:val="EYTableText"/>
            </w:pPr>
            <w:r w:rsidRPr="00C976B4">
              <w:t xml:space="preserve">Develop </w:t>
            </w:r>
            <w:r w:rsidR="00FE6B63" w:rsidRPr="00C976B4">
              <w:t>clear criteri</w:t>
            </w:r>
            <w:r w:rsidR="00C07F60" w:rsidRPr="00C976B4">
              <w:t>a</w:t>
            </w:r>
            <w:r w:rsidRPr="00C976B4">
              <w:t xml:space="preserve"> to identify </w:t>
            </w:r>
            <w:r w:rsidR="00212048" w:rsidRPr="00C976B4">
              <w:t>an</w:t>
            </w:r>
            <w:r w:rsidR="00C07F60" w:rsidRPr="00C976B4">
              <w:t xml:space="preserve"> </w:t>
            </w:r>
            <w:r w:rsidRPr="00C976B4">
              <w:t>HTA requirement</w:t>
            </w:r>
          </w:p>
        </w:tc>
        <w:tc>
          <w:tcPr>
            <w:tcW w:w="0" w:type="auto"/>
          </w:tcPr>
          <w:p w14:paraId="0D2BC449" w14:textId="3C3A4D7B" w:rsidR="00C0017E" w:rsidRPr="00D2484E" w:rsidRDefault="00C0017E" w:rsidP="00C976B4">
            <w:pPr>
              <w:pStyle w:val="Tabletextleft"/>
            </w:pPr>
          </w:p>
        </w:tc>
        <w:tc>
          <w:tcPr>
            <w:tcW w:w="0" w:type="auto"/>
          </w:tcPr>
          <w:p w14:paraId="6315D3E0" w14:textId="0B95C882" w:rsidR="00C0017E"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576E216A" w14:textId="15DEAD7A" w:rsidR="00C0017E"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3704C363" w14:textId="77777777" w:rsidR="00C0017E" w:rsidRPr="00D2484E" w:rsidRDefault="00C0017E" w:rsidP="00C976B4">
            <w:pPr>
              <w:pStyle w:val="Tabletextleft"/>
            </w:pPr>
          </w:p>
        </w:tc>
        <w:tc>
          <w:tcPr>
            <w:tcW w:w="0" w:type="auto"/>
          </w:tcPr>
          <w:p w14:paraId="4CC88BAC" w14:textId="77777777" w:rsidR="00C0017E" w:rsidRPr="00D2484E" w:rsidRDefault="00C0017E" w:rsidP="00C976B4">
            <w:pPr>
              <w:pStyle w:val="Tabletextleft"/>
            </w:pPr>
          </w:p>
        </w:tc>
      </w:tr>
      <w:tr w:rsidR="00C0017E" w:rsidRPr="00D2484E" w14:paraId="6919B4D6" w14:textId="77777777" w:rsidTr="00C976B4">
        <w:tc>
          <w:tcPr>
            <w:tcW w:w="0" w:type="auto"/>
          </w:tcPr>
          <w:p w14:paraId="445F5D82" w14:textId="11360C84" w:rsidR="00C0017E" w:rsidRPr="00D2484E" w:rsidRDefault="00C0017E" w:rsidP="00544133">
            <w:pPr>
              <w:pStyle w:val="EYTableText"/>
            </w:pPr>
            <w:r w:rsidRPr="00D2484E">
              <w:t>10</w:t>
            </w:r>
          </w:p>
        </w:tc>
        <w:tc>
          <w:tcPr>
            <w:tcW w:w="0" w:type="auto"/>
          </w:tcPr>
          <w:p w14:paraId="091F1D0C" w14:textId="0FB08115" w:rsidR="00C0017E" w:rsidRPr="00C976B4" w:rsidRDefault="00E76C82" w:rsidP="00544133">
            <w:pPr>
              <w:pStyle w:val="EYTableText"/>
            </w:pPr>
            <w:r w:rsidRPr="00C976B4">
              <w:t xml:space="preserve">More effectively </w:t>
            </w:r>
            <w:r w:rsidR="00212048" w:rsidRPr="00C976B4">
              <w:t>streamlining</w:t>
            </w:r>
            <w:r w:rsidRPr="00C976B4">
              <w:t xml:space="preserve"> t</w:t>
            </w:r>
            <w:r w:rsidR="008A663E" w:rsidRPr="00C976B4">
              <w:t xml:space="preserve">he workload of the </w:t>
            </w:r>
            <w:r w:rsidR="001629F0" w:rsidRPr="00C976B4">
              <w:t>PLCAC</w:t>
            </w:r>
            <w:r w:rsidR="008A663E" w:rsidRPr="00C976B4">
              <w:t xml:space="preserve"> and the CEP</w:t>
            </w:r>
          </w:p>
        </w:tc>
        <w:tc>
          <w:tcPr>
            <w:tcW w:w="0" w:type="auto"/>
          </w:tcPr>
          <w:p w14:paraId="19932ACE" w14:textId="4CE505DF" w:rsidR="00C0017E" w:rsidRPr="00D2484E" w:rsidRDefault="00C0017E" w:rsidP="00C976B4">
            <w:pPr>
              <w:pStyle w:val="Tabletextleft"/>
            </w:pPr>
          </w:p>
        </w:tc>
        <w:tc>
          <w:tcPr>
            <w:tcW w:w="0" w:type="auto"/>
          </w:tcPr>
          <w:p w14:paraId="3DDDEDDD" w14:textId="41D3F20C" w:rsidR="00C0017E"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05FB06A3" w14:textId="133ACB10" w:rsidR="00C0017E"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0A3A5C68" w14:textId="77777777" w:rsidR="00C0017E" w:rsidRPr="00D2484E" w:rsidRDefault="00C0017E" w:rsidP="00C976B4">
            <w:pPr>
              <w:pStyle w:val="Tabletextleft"/>
            </w:pPr>
          </w:p>
        </w:tc>
        <w:tc>
          <w:tcPr>
            <w:tcW w:w="0" w:type="auto"/>
          </w:tcPr>
          <w:p w14:paraId="7BF7B64D" w14:textId="74A1F8B5" w:rsidR="00C0017E" w:rsidRPr="00D2484E" w:rsidRDefault="00020A76" w:rsidP="00544133">
            <w:pPr>
              <w:pStyle w:val="EYTableText"/>
            </w:pPr>
            <w:r w:rsidRPr="00D2484E">
              <w:rPr>
                <w:rFonts w:ascii="Segoe UI Symbol" w:hAnsi="Segoe UI Symbol" w:cs="Segoe UI Symbol"/>
                <w:shd w:val="clear" w:color="auto" w:fill="FFFFFF"/>
              </w:rPr>
              <w:t>✓</w:t>
            </w:r>
          </w:p>
        </w:tc>
      </w:tr>
      <w:tr w:rsidR="00C0017E" w:rsidRPr="00D2484E" w14:paraId="4016544E" w14:textId="77777777" w:rsidTr="00C976B4">
        <w:tc>
          <w:tcPr>
            <w:tcW w:w="0" w:type="auto"/>
          </w:tcPr>
          <w:p w14:paraId="1A3B622B" w14:textId="792BF9D5" w:rsidR="00C0017E" w:rsidRPr="00D2484E" w:rsidRDefault="00C0017E" w:rsidP="00544133">
            <w:pPr>
              <w:pStyle w:val="EYTableText"/>
            </w:pPr>
            <w:r w:rsidRPr="00D2484E">
              <w:t>11</w:t>
            </w:r>
          </w:p>
        </w:tc>
        <w:tc>
          <w:tcPr>
            <w:tcW w:w="0" w:type="auto"/>
          </w:tcPr>
          <w:p w14:paraId="29109F1A" w14:textId="5B76C625" w:rsidR="00C0017E" w:rsidRPr="00C976B4" w:rsidRDefault="00C0017E" w:rsidP="00544133">
            <w:pPr>
              <w:pStyle w:val="EYTableText"/>
            </w:pPr>
            <w:r w:rsidRPr="00C976B4">
              <w:t>Introduce review dates for all medical device listings</w:t>
            </w:r>
          </w:p>
        </w:tc>
        <w:tc>
          <w:tcPr>
            <w:tcW w:w="0" w:type="auto"/>
          </w:tcPr>
          <w:p w14:paraId="7331B8BA" w14:textId="44270C53" w:rsidR="00C0017E" w:rsidRPr="00D2484E" w:rsidRDefault="00C0017E" w:rsidP="00C976B4">
            <w:pPr>
              <w:pStyle w:val="Tabletextleft"/>
            </w:pPr>
          </w:p>
        </w:tc>
        <w:tc>
          <w:tcPr>
            <w:tcW w:w="0" w:type="auto"/>
          </w:tcPr>
          <w:p w14:paraId="55889EBF" w14:textId="77777777" w:rsidR="00C0017E" w:rsidRPr="00D2484E" w:rsidRDefault="00C0017E" w:rsidP="00C976B4">
            <w:pPr>
              <w:pStyle w:val="Tabletextleft"/>
            </w:pPr>
          </w:p>
        </w:tc>
        <w:tc>
          <w:tcPr>
            <w:tcW w:w="0" w:type="auto"/>
          </w:tcPr>
          <w:p w14:paraId="753EE3DE" w14:textId="6A4279C0" w:rsidR="00C0017E"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08B8BDBA" w14:textId="3C96253A" w:rsidR="00C0017E" w:rsidRPr="00D2484E" w:rsidRDefault="00B028D4" w:rsidP="00544133">
            <w:pPr>
              <w:pStyle w:val="EYTableText"/>
            </w:pPr>
            <w:r w:rsidRPr="00D2484E">
              <w:rPr>
                <w:rFonts w:ascii="Segoe UI Symbol" w:hAnsi="Segoe UI Symbol" w:cs="Segoe UI Symbol"/>
                <w:shd w:val="clear" w:color="auto" w:fill="FFFFFF"/>
              </w:rPr>
              <w:t>✓</w:t>
            </w:r>
          </w:p>
        </w:tc>
        <w:tc>
          <w:tcPr>
            <w:tcW w:w="0" w:type="auto"/>
          </w:tcPr>
          <w:p w14:paraId="325348A3" w14:textId="77777777" w:rsidR="00C0017E" w:rsidRPr="00D2484E" w:rsidRDefault="00C0017E" w:rsidP="00C976B4">
            <w:pPr>
              <w:pStyle w:val="Tabletextleft"/>
            </w:pPr>
          </w:p>
        </w:tc>
      </w:tr>
    </w:tbl>
    <w:p w14:paraId="2377CF2B" w14:textId="77777777" w:rsidR="00485858" w:rsidRPr="00D2484E" w:rsidRDefault="00485858">
      <w:pPr>
        <w:autoSpaceDE/>
        <w:autoSpaceDN/>
        <w:adjustRightInd/>
        <w:rPr>
          <w:b/>
          <w:color w:val="787890" w:themeColor="text1" w:themeTint="99"/>
          <w:sz w:val="28"/>
          <w:szCs w:val="24"/>
        </w:rPr>
        <w:sectPr w:rsidR="00485858" w:rsidRPr="00D2484E" w:rsidSect="00C829A6">
          <w:footerReference w:type="default" r:id="rId25"/>
          <w:pgSz w:w="16834" w:h="11909" w:orient="landscape" w:code="9"/>
          <w:pgMar w:top="993" w:right="1440" w:bottom="993" w:left="1440" w:header="720" w:footer="333" w:gutter="0"/>
          <w:cols w:space="720"/>
          <w:docGrid w:linePitch="360"/>
        </w:sectPr>
      </w:pPr>
    </w:p>
    <w:p w14:paraId="11830872" w14:textId="77777777" w:rsidR="00C829A6" w:rsidRDefault="00C829A6" w:rsidP="00C829A6">
      <w:pPr>
        <w:pStyle w:val="Boxtextoptions"/>
      </w:pPr>
      <w:r w:rsidRPr="00C829A6">
        <w:rPr>
          <w:rStyle w:val="Strong"/>
        </w:rPr>
        <w:lastRenderedPageBreak/>
        <w:t>Recommendation 1</w:t>
      </w:r>
      <w:r>
        <w:t>: Replace the PLAC and its functions with a PLCAC and PLIWG</w:t>
      </w:r>
    </w:p>
    <w:p w14:paraId="6AE7B216" w14:textId="77777777" w:rsidR="00C829A6" w:rsidRDefault="00C829A6" w:rsidP="00C829A6">
      <w:pPr>
        <w:pStyle w:val="Boxtextoptions"/>
      </w:pPr>
      <w:r>
        <w:t>The PLAC should be replaced by:</w:t>
      </w:r>
    </w:p>
    <w:p w14:paraId="55A7EA6E" w14:textId="77777777" w:rsidR="00C829A6" w:rsidRDefault="00C829A6" w:rsidP="00C829A6">
      <w:pPr>
        <w:pStyle w:val="Boxtextoptions"/>
      </w:pPr>
      <w:r>
        <w:t xml:space="preserve">A Prostheses List Clinical Advisory Committee (PLCAC) composed of an independent Chair, clinical experts, epidemiologists, medical bioengineers, health economics expertise, medical device logistics management expertise, and at least two consumer representatives. </w:t>
      </w:r>
    </w:p>
    <w:p w14:paraId="25D9624B" w14:textId="77777777" w:rsidR="00C829A6" w:rsidRDefault="00C829A6" w:rsidP="00C829A6">
      <w:pPr>
        <w:pStyle w:val="Boxtextoptions"/>
      </w:pPr>
      <w:r>
        <w:t xml:space="preserve">This committee would initially report to the Department but could eventually become a committee of the MSAC. This committee would advise the Department on the clinical benefits, appropriate </w:t>
      </w:r>
      <w:proofErr w:type="gramStart"/>
      <w:r>
        <w:t>utilisation</w:t>
      </w:r>
      <w:proofErr w:type="gramEnd"/>
      <w:r>
        <w:t xml:space="preserve"> and value for money of both listed medical devices and new applications for listing. </w:t>
      </w:r>
    </w:p>
    <w:p w14:paraId="1F9C930B" w14:textId="77777777" w:rsidR="00C829A6" w:rsidRDefault="00C829A6" w:rsidP="00C829A6">
      <w:pPr>
        <w:pStyle w:val="Boxtextoptions"/>
      </w:pPr>
      <w:r>
        <w:t xml:space="preserve">The PLCAC will retain the formal advisory </w:t>
      </w:r>
      <w:proofErr w:type="gramStart"/>
      <w:r>
        <w:t>role  to</w:t>
      </w:r>
      <w:proofErr w:type="gramEnd"/>
      <w:r>
        <w:t xml:space="preserve"> the Minister on governance of the Prostheses List. </w:t>
      </w:r>
    </w:p>
    <w:p w14:paraId="54C1BE86" w14:textId="77777777" w:rsidR="00C829A6" w:rsidRDefault="00C829A6" w:rsidP="00C829A6">
      <w:pPr>
        <w:pStyle w:val="Boxtextoptions"/>
      </w:pPr>
      <w:r>
        <w:t xml:space="preserve">A Prostheses List Industry Working Group (PLIWG) composed of medical device industry representatives, private hospital representatives, private health insurance representatives, health economics expertise and at least two consumer representatives. </w:t>
      </w:r>
    </w:p>
    <w:p w14:paraId="27B6F6FE" w14:textId="77777777" w:rsidR="00C829A6" w:rsidRDefault="00C829A6" w:rsidP="00C829A6">
      <w:pPr>
        <w:pStyle w:val="Boxtextoptions"/>
      </w:pPr>
      <w:r>
        <w:t xml:space="preserve">This committee would advise the Department on the policy matters affecting the medical device benefit setting scheme as well as providing the industry and funder views on the levels of benefits set for medical devices under the scheme including issues relating to IHPA’s determination of medical device benefits. </w:t>
      </w:r>
    </w:p>
    <w:p w14:paraId="312E3FB9" w14:textId="77777777" w:rsidR="00C829A6" w:rsidRDefault="00C829A6" w:rsidP="00C829A6">
      <w:pPr>
        <w:pStyle w:val="Boxtextoptions"/>
      </w:pPr>
      <w:r>
        <w:t xml:space="preserve">The PLIWG will act in an advisory capacity to the PLCAC and should not have any formal reporting or decision-making role. </w:t>
      </w:r>
    </w:p>
    <w:p w14:paraId="3E3D40E4" w14:textId="3667AA0A" w:rsidR="00C829A6" w:rsidRDefault="00C829A6" w:rsidP="00C829A6">
      <w:pPr>
        <w:pStyle w:val="Boxtext"/>
      </w:pPr>
      <w:r w:rsidRPr="00C829A6">
        <w:rPr>
          <w:rStyle w:val="Strong"/>
        </w:rPr>
        <w:t>Rationale</w:t>
      </w:r>
      <w:r>
        <w:t xml:space="preserve">: Division of the PLAC’s functions into clinical and industry advisory bodies will enable the Minister to receive more robust and consistent clinical advice (from the PLCAC), while maintaining a broader view of policy matters relating to the medical device benefit setting scheme (from the PLIWG). </w:t>
      </w:r>
    </w:p>
    <w:p w14:paraId="4EEF3575" w14:textId="77777777" w:rsidR="00C829A6" w:rsidRDefault="00C829A6" w:rsidP="00C829A6">
      <w:pPr>
        <w:pStyle w:val="Boxtext"/>
      </w:pPr>
      <w:r w:rsidRPr="00C829A6">
        <w:rPr>
          <w:rStyle w:val="Strong"/>
        </w:rPr>
        <w:t>Relevant Findings</w:t>
      </w:r>
      <w:r>
        <w:t>:</w:t>
      </w:r>
    </w:p>
    <w:p w14:paraId="048717FF" w14:textId="49E2A00C" w:rsidR="00C829A6" w:rsidRDefault="00C829A6" w:rsidP="00C829A6">
      <w:pPr>
        <w:pStyle w:val="Boxtext"/>
      </w:pPr>
      <w:r>
        <w:t>Finding 1 - Structure, focus and composition of the PLAC and its sub-committees</w:t>
      </w:r>
    </w:p>
    <w:p w14:paraId="3281C40C" w14:textId="5DEDBD61" w:rsidR="005F6501" w:rsidRPr="00D2484E" w:rsidRDefault="00E116F1" w:rsidP="0019005E">
      <w:pPr>
        <w:sectPr w:rsidR="005F6501" w:rsidRPr="00D2484E" w:rsidSect="000609EB">
          <w:footerReference w:type="default" r:id="rId26"/>
          <w:pgSz w:w="11909" w:h="16834" w:code="9"/>
          <w:pgMar w:top="1440" w:right="1440" w:bottom="1440" w:left="1440" w:header="720" w:footer="333" w:gutter="0"/>
          <w:cols w:space="720"/>
          <w:docGrid w:linePitch="360"/>
        </w:sectPr>
      </w:pPr>
      <w:r w:rsidRPr="00D2484E">
        <w:t xml:space="preserve">The division of the PLAC’s functions </w:t>
      </w:r>
      <w:r w:rsidR="000E557F" w:rsidRPr="00D2484E">
        <w:t xml:space="preserve">between a clinical </w:t>
      </w:r>
      <w:r w:rsidR="00D60D19" w:rsidRPr="00D2484E">
        <w:t>advisory</w:t>
      </w:r>
      <w:r w:rsidR="000E557F" w:rsidRPr="00D2484E">
        <w:t xml:space="preserve"> </w:t>
      </w:r>
      <w:r w:rsidR="001B736B" w:rsidRPr="00D2484E">
        <w:t>body</w:t>
      </w:r>
      <w:r w:rsidR="000E557F" w:rsidRPr="00D2484E">
        <w:t xml:space="preserve"> and an industry working group</w:t>
      </w:r>
      <w:r w:rsidR="00D03389" w:rsidRPr="00D2484E">
        <w:t xml:space="preserve"> are</w:t>
      </w:r>
      <w:r w:rsidR="000E557F" w:rsidRPr="00D2484E">
        <w:t xml:space="preserve"> demonstrated in</w:t>
      </w:r>
      <w:r w:rsidR="001346D0" w:rsidRPr="00D2484E">
        <w:t xml:space="preserve"> </w:t>
      </w:r>
      <w:r w:rsidR="001346D0" w:rsidRPr="00D2484E">
        <w:fldChar w:fldCharType="begin"/>
      </w:r>
      <w:r w:rsidR="001346D0" w:rsidRPr="00D2484E">
        <w:instrText xml:space="preserve"> REF _Ref77600330 \h </w:instrText>
      </w:r>
      <w:r w:rsidR="000A30C5" w:rsidRPr="00D2484E">
        <w:instrText xml:space="preserve"> \* MERGEFORMAT </w:instrText>
      </w:r>
      <w:r w:rsidR="001346D0" w:rsidRPr="00D2484E">
        <w:fldChar w:fldCharType="separate"/>
      </w:r>
      <w:r w:rsidR="00475597" w:rsidRPr="00D2484E">
        <w:t xml:space="preserve">Figure </w:t>
      </w:r>
      <w:r w:rsidR="00475597" w:rsidRPr="00D2484E">
        <w:rPr>
          <w:noProof/>
        </w:rPr>
        <w:t>3</w:t>
      </w:r>
      <w:r w:rsidR="001346D0" w:rsidRPr="00D2484E">
        <w:fldChar w:fldCharType="end"/>
      </w:r>
      <w:r w:rsidR="00391B26" w:rsidRPr="00D2484E">
        <w:t xml:space="preserve"> and </w:t>
      </w:r>
      <w:r w:rsidR="00391B26" w:rsidRPr="00D2484E">
        <w:fldChar w:fldCharType="begin"/>
      </w:r>
      <w:r w:rsidR="00391B26" w:rsidRPr="00D2484E">
        <w:instrText xml:space="preserve"> REF _Ref76738002 \h </w:instrText>
      </w:r>
      <w:r w:rsidR="00DC29E9" w:rsidRPr="00D2484E">
        <w:instrText xml:space="preserve"> \* MERGEFORMAT </w:instrText>
      </w:r>
      <w:r w:rsidR="00391B26" w:rsidRPr="00D2484E">
        <w:fldChar w:fldCharType="separate"/>
      </w:r>
      <w:r w:rsidR="00475597" w:rsidRPr="00D2484E">
        <w:t xml:space="preserve">Figure </w:t>
      </w:r>
      <w:r w:rsidR="00475597" w:rsidRPr="00D2484E">
        <w:rPr>
          <w:noProof/>
        </w:rPr>
        <w:t>4</w:t>
      </w:r>
      <w:r w:rsidR="00391B26" w:rsidRPr="00D2484E">
        <w:fldChar w:fldCharType="end"/>
      </w:r>
      <w:r w:rsidR="000E00BB" w:rsidRPr="00D2484E">
        <w:t>.</w:t>
      </w:r>
    </w:p>
    <w:p w14:paraId="56F27287" w14:textId="50F38B05" w:rsidR="00D60205" w:rsidRPr="00CA6DBA" w:rsidRDefault="00AF26BE" w:rsidP="00CA6DBA">
      <w:pPr>
        <w:pStyle w:val="Caption"/>
      </w:pPr>
      <w:bookmarkStart w:id="150" w:name="_Ref77600330"/>
      <w:bookmarkStart w:id="151" w:name="_Ref77321945"/>
      <w:r w:rsidRPr="00CA6DBA">
        <w:lastRenderedPageBreak/>
        <w:t xml:space="preserve">Figure </w:t>
      </w:r>
      <w:bookmarkStart w:id="152" w:name="_Ref76738001"/>
      <w:r w:rsidRPr="00CA6DBA">
        <w:fldChar w:fldCharType="begin"/>
      </w:r>
      <w:r w:rsidRPr="00CA6DBA">
        <w:instrText xml:space="preserve"> SEQ Figure \* ARABIC </w:instrText>
      </w:r>
      <w:r w:rsidRPr="00CA6DBA">
        <w:fldChar w:fldCharType="separate"/>
      </w:r>
      <w:r w:rsidR="00475597" w:rsidRPr="00CA6DBA">
        <w:t>3</w:t>
      </w:r>
      <w:r w:rsidRPr="00CA6DBA">
        <w:fldChar w:fldCharType="end"/>
      </w:r>
      <w:bookmarkEnd w:id="150"/>
      <w:bookmarkEnd w:id="152"/>
      <w:r w:rsidRPr="00CA6DBA">
        <w:t xml:space="preserve"> - Proposed role of the </w:t>
      </w:r>
      <w:r w:rsidR="001629F0" w:rsidRPr="00CA6DBA">
        <w:t>PLCAC</w:t>
      </w:r>
      <w:r w:rsidRPr="00CA6DBA">
        <w:t xml:space="preserve"> in HTA</w:t>
      </w:r>
      <w:bookmarkEnd w:id="151"/>
    </w:p>
    <w:p w14:paraId="001B78DA" w14:textId="615DD30F" w:rsidR="005F6501" w:rsidRPr="00CA6DBA" w:rsidRDefault="006E4125" w:rsidP="00CA6DBA">
      <w:pPr>
        <w:pStyle w:val="Caption"/>
      </w:pPr>
      <w:r w:rsidRPr="00CA6DBA">
        <w:rPr>
          <w:noProof/>
        </w:rPr>
        <w:drawing>
          <wp:inline distT="0" distB="0" distL="0" distR="0" wp14:anchorId="3D6F1E76" wp14:editId="6CDAF267">
            <wp:extent cx="8860790" cy="4553585"/>
            <wp:effectExtent l="0" t="0" r="0" b="0"/>
            <wp:docPr id="2" name="Picture 2" descr="Figure 3 is a flow chart showing the proposed role of the PLCAC in HTA. The division of the PLAC’s functions between a clinical advisory body and an industry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is a flow chart showing the proposed role of the PLCAC in HTA. The division of the PLAC’s functions between a clinical advisory body and an industry working group"/>
                    <pic:cNvPicPr/>
                  </pic:nvPicPr>
                  <pic:blipFill>
                    <a:blip r:embed="rId27">
                      <a:extLst>
                        <a:ext uri="{28A0092B-C50C-407E-A947-70E740481C1C}">
                          <a14:useLocalDpi xmlns:a14="http://schemas.microsoft.com/office/drawing/2010/main" val="0"/>
                        </a:ext>
                      </a:extLst>
                    </a:blip>
                    <a:stretch>
                      <a:fillRect/>
                    </a:stretch>
                  </pic:blipFill>
                  <pic:spPr>
                    <a:xfrm>
                      <a:off x="0" y="0"/>
                      <a:ext cx="8860790" cy="4553585"/>
                    </a:xfrm>
                    <a:prstGeom prst="rect">
                      <a:avLst/>
                    </a:prstGeom>
                  </pic:spPr>
                </pic:pic>
              </a:graphicData>
            </a:graphic>
          </wp:inline>
        </w:drawing>
      </w:r>
    </w:p>
    <w:p w14:paraId="22BB37BE" w14:textId="7FAF07FB" w:rsidR="0053266E" w:rsidRPr="00D2484E" w:rsidRDefault="0053266E">
      <w:pPr>
        <w:autoSpaceDE/>
        <w:autoSpaceDN/>
        <w:adjustRightInd/>
      </w:pPr>
      <w:r w:rsidRPr="00D2484E">
        <w:br w:type="page"/>
      </w:r>
    </w:p>
    <w:p w14:paraId="3990E2B9" w14:textId="27B318A0" w:rsidR="00AF26BE" w:rsidRPr="00CA6DBA" w:rsidRDefault="0053266E" w:rsidP="00CA6DBA">
      <w:pPr>
        <w:pStyle w:val="Caption"/>
      </w:pPr>
      <w:bookmarkStart w:id="153" w:name="_Ref76738002"/>
      <w:r w:rsidRPr="00CA6DBA">
        <w:lastRenderedPageBreak/>
        <w:t xml:space="preserve">Figure </w:t>
      </w:r>
      <w:r w:rsidRPr="00CA6DBA">
        <w:fldChar w:fldCharType="begin"/>
      </w:r>
      <w:r w:rsidRPr="00CA6DBA">
        <w:instrText xml:space="preserve"> SEQ Figure \* ARABIC </w:instrText>
      </w:r>
      <w:r w:rsidRPr="00CA6DBA">
        <w:fldChar w:fldCharType="separate"/>
      </w:r>
      <w:r w:rsidR="00475597" w:rsidRPr="00CA6DBA">
        <w:t>4</w:t>
      </w:r>
      <w:r w:rsidRPr="00CA6DBA">
        <w:fldChar w:fldCharType="end"/>
      </w:r>
      <w:bookmarkEnd w:id="153"/>
      <w:r w:rsidRPr="00CA6DBA">
        <w:t xml:space="preserve"> - Proposed </w:t>
      </w:r>
      <w:r w:rsidR="00D60205" w:rsidRPr="00CA6DBA">
        <w:t>structure</w:t>
      </w:r>
      <w:r w:rsidRPr="00CA6DBA">
        <w:t xml:space="preserve"> of the </w:t>
      </w:r>
      <w:r w:rsidR="001629F0" w:rsidRPr="00CA6DBA">
        <w:t>PLCAC</w:t>
      </w:r>
    </w:p>
    <w:p w14:paraId="6610C792" w14:textId="0FF063DD" w:rsidR="00B42A3A" w:rsidRPr="00D2484E" w:rsidRDefault="00B42A3A" w:rsidP="00D37241">
      <w:pPr>
        <w:jc w:val="center"/>
        <w:sectPr w:rsidR="00B42A3A" w:rsidRPr="00D2484E" w:rsidSect="00D37241">
          <w:headerReference w:type="default" r:id="rId28"/>
          <w:footerReference w:type="default" r:id="rId29"/>
          <w:pgSz w:w="16834" w:h="11909" w:orient="landscape" w:code="9"/>
          <w:pgMar w:top="1440" w:right="1440" w:bottom="1440" w:left="1440" w:header="720" w:footer="333" w:gutter="0"/>
          <w:cols w:space="720"/>
          <w:docGrid w:linePitch="360"/>
        </w:sectPr>
      </w:pPr>
      <w:r w:rsidRPr="00D2484E">
        <w:rPr>
          <w:noProof/>
        </w:rPr>
        <w:drawing>
          <wp:inline distT="0" distB="0" distL="0" distR="0" wp14:anchorId="1433C16C" wp14:editId="2BC5E578">
            <wp:extent cx="8410755" cy="5400628"/>
            <wp:effectExtent l="0" t="0" r="0" b="0"/>
            <wp:docPr id="9" name="Picture 9" descr="Figure 4 is a flow chart showing the proposed structure of the PLCAC. The division of the PLAC’s functions between a clinical advisory body and an industry working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4 is a flow chart showing the proposed structure of the PLCAC. The division of the PLAC’s functions between a clinical advisory body and an industry working group"/>
                    <pic:cNvPicPr/>
                  </pic:nvPicPr>
                  <pic:blipFill>
                    <a:blip r:embed="rId30">
                      <a:extLst>
                        <a:ext uri="{28A0092B-C50C-407E-A947-70E740481C1C}">
                          <a14:useLocalDpi xmlns:a14="http://schemas.microsoft.com/office/drawing/2010/main" val="0"/>
                        </a:ext>
                      </a:extLst>
                    </a:blip>
                    <a:stretch>
                      <a:fillRect/>
                    </a:stretch>
                  </pic:blipFill>
                  <pic:spPr>
                    <a:xfrm>
                      <a:off x="0" y="0"/>
                      <a:ext cx="8412950" cy="5402037"/>
                    </a:xfrm>
                    <a:prstGeom prst="rect">
                      <a:avLst/>
                    </a:prstGeom>
                  </pic:spPr>
                </pic:pic>
              </a:graphicData>
            </a:graphic>
          </wp:inline>
        </w:drawing>
      </w:r>
    </w:p>
    <w:p w14:paraId="153E7954" w14:textId="4C3481F9" w:rsidR="000E557F" w:rsidRPr="00D2484E" w:rsidRDefault="000E557F" w:rsidP="00C470B6">
      <w:pPr>
        <w:pStyle w:val="EYHeading2"/>
      </w:pPr>
      <w:r w:rsidRPr="00D2484E">
        <w:lastRenderedPageBreak/>
        <w:t xml:space="preserve">Prostheses </w:t>
      </w:r>
      <w:r w:rsidR="00FD61A6" w:rsidRPr="00D2484E">
        <w:t xml:space="preserve">List </w:t>
      </w:r>
      <w:r w:rsidRPr="00D2484E">
        <w:t xml:space="preserve">Clinical Advisory Committee </w:t>
      </w:r>
    </w:p>
    <w:p w14:paraId="18C14EF4" w14:textId="05850602" w:rsidR="000E557F" w:rsidRPr="0019005E" w:rsidRDefault="006C661C" w:rsidP="0019005E">
      <w:r w:rsidRPr="0019005E">
        <w:t>To enable a</w:t>
      </w:r>
      <w:r w:rsidR="000E557F" w:rsidRPr="0019005E">
        <w:t xml:space="preserve"> continuance of a formal advisory function to the Minister on </w:t>
      </w:r>
      <w:r w:rsidRPr="0019005E">
        <w:t xml:space="preserve">matters </w:t>
      </w:r>
      <w:r w:rsidR="000E557F" w:rsidRPr="0019005E">
        <w:t xml:space="preserve">relating to </w:t>
      </w:r>
      <w:r w:rsidR="00663799" w:rsidRPr="0019005E">
        <w:t>assessment for listing</w:t>
      </w:r>
      <w:r w:rsidR="000E557F" w:rsidRPr="0019005E">
        <w:t xml:space="preserve"> and</w:t>
      </w:r>
      <w:r w:rsidR="00663799" w:rsidRPr="0019005E">
        <w:t xml:space="preserve"> post-listing</w:t>
      </w:r>
      <w:r w:rsidR="000E557F" w:rsidRPr="0019005E">
        <w:t xml:space="preserve"> review of items and/or benefits on the </w:t>
      </w:r>
      <w:r w:rsidR="00894E53" w:rsidRPr="0019005E">
        <w:t>Prostheses List</w:t>
      </w:r>
      <w:r w:rsidR="000E557F" w:rsidRPr="0019005E">
        <w:t xml:space="preserve">, a </w:t>
      </w:r>
      <w:r w:rsidR="001629F0" w:rsidRPr="0019005E">
        <w:t>PLCAC</w:t>
      </w:r>
      <w:r w:rsidR="000E557F" w:rsidRPr="0019005E">
        <w:t xml:space="preserve"> should be </w:t>
      </w:r>
      <w:r w:rsidR="00753159" w:rsidRPr="0019005E">
        <w:t>established</w:t>
      </w:r>
      <w:r w:rsidR="000E557F" w:rsidRPr="0019005E">
        <w:t>.</w:t>
      </w:r>
    </w:p>
    <w:p w14:paraId="4AFEAC66" w14:textId="213A078A" w:rsidR="000E557F" w:rsidRPr="00D2484E" w:rsidRDefault="0041798A" w:rsidP="000066A2">
      <w:pPr>
        <w:pStyle w:val="Heading3"/>
      </w:pPr>
      <w:r w:rsidRPr="00D2484E">
        <w:t>Terms of Reference</w:t>
      </w:r>
    </w:p>
    <w:p w14:paraId="2728A304" w14:textId="33F9D93B" w:rsidR="000E557F" w:rsidRPr="00D2484E" w:rsidRDefault="004560BF" w:rsidP="00C829A6">
      <w:r w:rsidRPr="0019005E">
        <w:t>T</w:t>
      </w:r>
      <w:r w:rsidR="000E557F" w:rsidRPr="0019005E">
        <w:t xml:space="preserve">he </w:t>
      </w:r>
      <w:r w:rsidR="001629F0" w:rsidRPr="0019005E">
        <w:t>PLCAC</w:t>
      </w:r>
      <w:r w:rsidRPr="0019005E">
        <w:t>’s</w:t>
      </w:r>
      <w:r w:rsidR="000E557F" w:rsidRPr="0019005E">
        <w:t xml:space="preserve"> </w:t>
      </w:r>
      <w:r w:rsidRPr="0019005E">
        <w:t>T</w:t>
      </w:r>
      <w:r w:rsidR="00BC2BE7" w:rsidRPr="0019005E">
        <w:t xml:space="preserve">erms of </w:t>
      </w:r>
      <w:r w:rsidRPr="0019005E">
        <w:t>R</w:t>
      </w:r>
      <w:r w:rsidR="00BC2BE7" w:rsidRPr="0019005E">
        <w:t xml:space="preserve">eference </w:t>
      </w:r>
      <w:r w:rsidR="000E557F" w:rsidRPr="0019005E">
        <w:t xml:space="preserve">should be strengthened to clarify and reinforce the </w:t>
      </w:r>
      <w:r w:rsidR="001629F0" w:rsidRPr="0019005E">
        <w:t>PLCAC</w:t>
      </w:r>
      <w:r w:rsidR="000E557F" w:rsidRPr="0019005E">
        <w:t xml:space="preserve">’s </w:t>
      </w:r>
      <w:r w:rsidR="00683A7C" w:rsidRPr="0019005E">
        <w:t>purpose</w:t>
      </w:r>
      <w:r w:rsidR="000E557F" w:rsidRPr="0019005E">
        <w:t xml:space="preserve">, </w:t>
      </w:r>
      <w:proofErr w:type="gramStart"/>
      <w:r w:rsidR="00683A7C" w:rsidRPr="0019005E">
        <w:t>role</w:t>
      </w:r>
      <w:r w:rsidR="000E557F" w:rsidRPr="0019005E">
        <w:t>s</w:t>
      </w:r>
      <w:proofErr w:type="gramEnd"/>
      <w:r w:rsidR="000E557F" w:rsidRPr="0019005E">
        <w:t xml:space="preserve"> and </w:t>
      </w:r>
      <w:r w:rsidR="00683A7C" w:rsidRPr="0019005E">
        <w:t>function</w:t>
      </w:r>
      <w:r w:rsidR="000E557F" w:rsidRPr="0019005E">
        <w:t xml:space="preserve"> </w:t>
      </w:r>
      <w:r w:rsidRPr="0019005E">
        <w:t xml:space="preserve">in </w:t>
      </w:r>
      <w:r w:rsidR="000E557F" w:rsidRPr="0019005E">
        <w:t xml:space="preserve">making recommendations to the Minister on clinical benefits, appropriate utilisation and value for money of both listed </w:t>
      </w:r>
      <w:r w:rsidR="00B61496" w:rsidRPr="0019005E">
        <w:t>medical devices</w:t>
      </w:r>
      <w:r w:rsidR="000E557F" w:rsidRPr="0019005E">
        <w:t xml:space="preserve"> and new applications for listings. </w:t>
      </w:r>
      <w:r w:rsidR="0077178B" w:rsidRPr="0019005E">
        <w:t xml:space="preserve">The Terms of Reference should also </w:t>
      </w:r>
      <w:r w:rsidR="0078724B" w:rsidRPr="0019005E">
        <w:t>outline the functional relationships of t</w:t>
      </w:r>
      <w:r w:rsidR="0078724B" w:rsidRPr="00D2484E">
        <w:t xml:space="preserve">he </w:t>
      </w:r>
      <w:r w:rsidR="001629F0" w:rsidRPr="00D2484E">
        <w:t>PLCAC</w:t>
      </w:r>
      <w:r w:rsidR="0078724B" w:rsidRPr="00D2484E">
        <w:t xml:space="preserve">, particularly with the TGA, MSAC, </w:t>
      </w:r>
      <w:r w:rsidR="00415064" w:rsidRPr="00D2484E">
        <w:t>the Department</w:t>
      </w:r>
      <w:r w:rsidR="00DC351C" w:rsidRPr="00D2484E">
        <w:t xml:space="preserve"> </w:t>
      </w:r>
      <w:r w:rsidR="0078724B" w:rsidRPr="00D2484E">
        <w:t xml:space="preserve">and </w:t>
      </w:r>
      <w:r w:rsidR="001629F0" w:rsidRPr="00D2484E">
        <w:t>PLIWG</w:t>
      </w:r>
      <w:r w:rsidR="0078724B" w:rsidRPr="00D2484E">
        <w:t>.</w:t>
      </w:r>
    </w:p>
    <w:p w14:paraId="49041FA9" w14:textId="77777777" w:rsidR="000E557F" w:rsidRPr="00D2484E" w:rsidRDefault="000E557F" w:rsidP="000066A2">
      <w:pPr>
        <w:pStyle w:val="Heading3"/>
      </w:pPr>
      <w:r w:rsidRPr="00D2484E">
        <w:t>Membership</w:t>
      </w:r>
    </w:p>
    <w:p w14:paraId="3E3F793A" w14:textId="6FAD1B90" w:rsidR="000E557F" w:rsidRPr="005C4002" w:rsidRDefault="000E557F" w:rsidP="005C4002">
      <w:r w:rsidRPr="005C4002">
        <w:t xml:space="preserve">In alignment with other HTA committees, the </w:t>
      </w:r>
      <w:r w:rsidR="001629F0" w:rsidRPr="005C4002">
        <w:t>PLCAC</w:t>
      </w:r>
      <w:r w:rsidRPr="005C4002">
        <w:t xml:space="preserve"> should prioritise clinical expertise </w:t>
      </w:r>
      <w:r w:rsidR="007D71D6" w:rsidRPr="005C4002">
        <w:t xml:space="preserve">to </w:t>
      </w:r>
      <w:r w:rsidRPr="005C4002">
        <w:t xml:space="preserve">assess clinical and cost effectiveness. The </w:t>
      </w:r>
      <w:r w:rsidR="001629F0" w:rsidRPr="005C4002">
        <w:t>PLCAC</w:t>
      </w:r>
      <w:r w:rsidRPr="005C4002">
        <w:t xml:space="preserve"> should be composed of:</w:t>
      </w:r>
    </w:p>
    <w:p w14:paraId="241A6FF4" w14:textId="793C7641" w:rsidR="000E557F" w:rsidRPr="00D2484E" w:rsidRDefault="00EE4775" w:rsidP="002D1775">
      <w:pPr>
        <w:pStyle w:val="EYBullet1"/>
      </w:pPr>
      <w:r w:rsidRPr="00D2484E">
        <w:t xml:space="preserve">An </w:t>
      </w:r>
      <w:r w:rsidR="000E557F" w:rsidRPr="00D2484E">
        <w:t xml:space="preserve">Independent </w:t>
      </w:r>
      <w:proofErr w:type="gramStart"/>
      <w:r w:rsidR="000E557F" w:rsidRPr="00D2484E">
        <w:t>Chair</w:t>
      </w:r>
      <w:r w:rsidR="00386FA2" w:rsidRPr="00D2484E">
        <w:t>;</w:t>
      </w:r>
      <w:proofErr w:type="gramEnd"/>
    </w:p>
    <w:p w14:paraId="25459ADD" w14:textId="47B5B69D" w:rsidR="000E557F" w:rsidRPr="00D2484E" w:rsidRDefault="000E557F" w:rsidP="002D1775">
      <w:pPr>
        <w:pStyle w:val="EYBullet1"/>
      </w:pPr>
      <w:r w:rsidRPr="00D2484E">
        <w:t xml:space="preserve">Clinical </w:t>
      </w:r>
      <w:proofErr w:type="gramStart"/>
      <w:r w:rsidRPr="00D2484E">
        <w:t>experts</w:t>
      </w:r>
      <w:r w:rsidR="00386FA2" w:rsidRPr="00D2484E">
        <w:t>;</w:t>
      </w:r>
      <w:proofErr w:type="gramEnd"/>
    </w:p>
    <w:p w14:paraId="7A52E51A" w14:textId="38841A78" w:rsidR="000E557F" w:rsidRPr="00D2484E" w:rsidRDefault="000E557F" w:rsidP="002D1775">
      <w:pPr>
        <w:pStyle w:val="EYBullet1"/>
      </w:pPr>
      <w:proofErr w:type="gramStart"/>
      <w:r w:rsidRPr="00D2484E">
        <w:t>Epidemiologists</w:t>
      </w:r>
      <w:r w:rsidR="00386FA2" w:rsidRPr="00D2484E">
        <w:t>;</w:t>
      </w:r>
      <w:proofErr w:type="gramEnd"/>
    </w:p>
    <w:p w14:paraId="592C07F6" w14:textId="185F64D2" w:rsidR="000E557F" w:rsidRPr="00D2484E" w:rsidRDefault="000E557F" w:rsidP="002D1775">
      <w:pPr>
        <w:pStyle w:val="EYBullet1"/>
      </w:pPr>
      <w:r w:rsidRPr="00D2484E">
        <w:t xml:space="preserve">Medical </w:t>
      </w:r>
      <w:proofErr w:type="gramStart"/>
      <w:r w:rsidRPr="00D2484E">
        <w:t>bioengineers</w:t>
      </w:r>
      <w:r w:rsidR="00386FA2" w:rsidRPr="00D2484E">
        <w:t>;</w:t>
      </w:r>
      <w:proofErr w:type="gramEnd"/>
    </w:p>
    <w:p w14:paraId="093A4967" w14:textId="29A7E7B4" w:rsidR="000E557F" w:rsidRPr="00D2484E" w:rsidRDefault="000E557F" w:rsidP="002D1775">
      <w:pPr>
        <w:pStyle w:val="EYBullet1"/>
      </w:pPr>
      <w:r w:rsidRPr="00D2484E">
        <w:t xml:space="preserve">Health economics </w:t>
      </w:r>
      <w:proofErr w:type="gramStart"/>
      <w:r w:rsidRPr="00D2484E">
        <w:t>expertise</w:t>
      </w:r>
      <w:r w:rsidR="00386FA2" w:rsidRPr="00D2484E">
        <w:t>;</w:t>
      </w:r>
      <w:proofErr w:type="gramEnd"/>
    </w:p>
    <w:p w14:paraId="1C1EB083" w14:textId="7FEA8CD6" w:rsidR="000E557F" w:rsidRPr="00D2484E" w:rsidRDefault="000E557F" w:rsidP="002D1775">
      <w:pPr>
        <w:pStyle w:val="EYBullet1"/>
      </w:pPr>
      <w:r w:rsidRPr="00D2484E">
        <w:t>Prostheses logistics management expertise</w:t>
      </w:r>
      <w:r w:rsidR="00386FA2" w:rsidRPr="00D2484E">
        <w:t>; and</w:t>
      </w:r>
    </w:p>
    <w:p w14:paraId="60665EFD" w14:textId="7B5ECA98" w:rsidR="000E557F" w:rsidRPr="00D2484E" w:rsidRDefault="000E557F" w:rsidP="002D1775">
      <w:pPr>
        <w:pStyle w:val="EYBullet1"/>
      </w:pPr>
      <w:r w:rsidRPr="00D2484E">
        <w:t>At least two consumer representatives</w:t>
      </w:r>
      <w:r w:rsidR="00386FA2" w:rsidRPr="00D2484E">
        <w:t>.</w:t>
      </w:r>
    </w:p>
    <w:p w14:paraId="5257021A" w14:textId="5F07464B" w:rsidR="000E557F" w:rsidRPr="005C4002" w:rsidRDefault="000E557F" w:rsidP="005C4002">
      <w:r w:rsidRPr="005C4002">
        <w:t xml:space="preserve">The </w:t>
      </w:r>
      <w:r w:rsidR="001629F0" w:rsidRPr="005C4002">
        <w:t>PLCAC</w:t>
      </w:r>
      <w:r w:rsidRPr="005C4002">
        <w:t xml:space="preserve"> should not merely transpose the current membership of the PLAC; members should be carefully selected with consideration of the </w:t>
      </w:r>
      <w:r w:rsidR="00913987" w:rsidRPr="005C4002">
        <w:t>F</w:t>
      </w:r>
      <w:r w:rsidRPr="005C4002">
        <w:t xml:space="preserve">indings of this Review. </w:t>
      </w:r>
    </w:p>
    <w:p w14:paraId="034A1D12" w14:textId="79F8B7FC" w:rsidR="00E0655D" w:rsidRPr="005C4002" w:rsidRDefault="00536198" w:rsidP="005C4002">
      <w:r w:rsidRPr="005C4002">
        <w:t xml:space="preserve">The Department </w:t>
      </w:r>
      <w:r w:rsidR="00306D32" w:rsidRPr="005C4002">
        <w:t>should</w:t>
      </w:r>
      <w:r w:rsidRPr="005C4002">
        <w:t xml:space="preserve"> consider reviewing the Clinical Advisory Groups and Panel of Clinical Experts Nomination and Appointment Process </w:t>
      </w:r>
      <w:r w:rsidR="00C14662" w:rsidRPr="005C4002">
        <w:t xml:space="preserve">in line with Findings of this Review to </w:t>
      </w:r>
      <w:r w:rsidR="005F5384" w:rsidRPr="005C4002">
        <w:t xml:space="preserve">ensure that </w:t>
      </w:r>
      <w:r w:rsidR="003D50DD" w:rsidRPr="005C4002">
        <w:t xml:space="preserve">the process supports the nomination and appointment of </w:t>
      </w:r>
      <w:r w:rsidR="008064C2" w:rsidRPr="005C4002">
        <w:t>appropriate</w:t>
      </w:r>
      <w:r w:rsidR="00F434A2" w:rsidRPr="005C4002">
        <w:t xml:space="preserve">ly skilled </w:t>
      </w:r>
      <w:r w:rsidR="00212048" w:rsidRPr="005C4002">
        <w:t>experienced</w:t>
      </w:r>
      <w:r w:rsidR="00F434A2" w:rsidRPr="005C4002">
        <w:t xml:space="preserve"> </w:t>
      </w:r>
      <w:r w:rsidR="008064C2" w:rsidRPr="005C4002">
        <w:t xml:space="preserve">individuals. </w:t>
      </w:r>
    </w:p>
    <w:p w14:paraId="4F4AF4BF" w14:textId="0F6DD326" w:rsidR="003535C0" w:rsidRPr="0019005E" w:rsidRDefault="00E0655D" w:rsidP="005C4002">
      <w:r w:rsidRPr="005C4002">
        <w:t>Current members should also no</w:t>
      </w:r>
      <w:r w:rsidRPr="0019005E">
        <w:t>t automatically qualify as part of the reconstituted Clinical Expert Panel.</w:t>
      </w:r>
    </w:p>
    <w:p w14:paraId="6EF87263" w14:textId="6A93988C" w:rsidR="000E557F" w:rsidRPr="00D2484E" w:rsidRDefault="000E557F" w:rsidP="000066A2">
      <w:pPr>
        <w:pStyle w:val="Heading3"/>
      </w:pPr>
      <w:r w:rsidRPr="00D2484E">
        <w:t>Reporting</w:t>
      </w:r>
    </w:p>
    <w:p w14:paraId="4C494317" w14:textId="3B53B207" w:rsidR="000E557F" w:rsidRPr="0019005E" w:rsidRDefault="00213764" w:rsidP="00C829A6">
      <w:r w:rsidRPr="00D2484E">
        <w:t>While the</w:t>
      </w:r>
      <w:r w:rsidR="000E557F" w:rsidRPr="00D2484E">
        <w:t xml:space="preserve"> </w:t>
      </w:r>
      <w:r w:rsidR="00CD1271" w:rsidRPr="00D2484E">
        <w:t>Prosth</w:t>
      </w:r>
      <w:r w:rsidR="00CD1271" w:rsidRPr="0019005E">
        <w:t>eses List</w:t>
      </w:r>
      <w:r w:rsidR="000E557F" w:rsidRPr="0019005E">
        <w:t xml:space="preserve"> Reforms</w:t>
      </w:r>
      <w:r w:rsidRPr="0019005E">
        <w:t xml:space="preserve"> are</w:t>
      </w:r>
      <w:r w:rsidR="00DD13D0" w:rsidRPr="0019005E">
        <w:t xml:space="preserve"> implemented</w:t>
      </w:r>
      <w:r w:rsidR="000E557F" w:rsidRPr="0019005E">
        <w:t xml:space="preserve">, the </w:t>
      </w:r>
      <w:r w:rsidR="001629F0" w:rsidRPr="0019005E">
        <w:t>PLCAC</w:t>
      </w:r>
      <w:r w:rsidR="000E557F" w:rsidRPr="0019005E">
        <w:t xml:space="preserve"> would initially report to </w:t>
      </w:r>
      <w:proofErr w:type="gramStart"/>
      <w:r w:rsidR="00F643E3" w:rsidRPr="0019005E">
        <w:t xml:space="preserve">the </w:t>
      </w:r>
      <w:r w:rsidR="006F170D" w:rsidRPr="0019005E">
        <w:t xml:space="preserve"> relevant</w:t>
      </w:r>
      <w:proofErr w:type="gramEnd"/>
      <w:r w:rsidR="006F170D" w:rsidRPr="0019005E">
        <w:t xml:space="preserve"> area of the Department</w:t>
      </w:r>
      <w:r w:rsidR="000E557F" w:rsidRPr="0019005E">
        <w:t xml:space="preserve">. Following a Review of whether the intent of the </w:t>
      </w:r>
      <w:r w:rsidR="00CD1271" w:rsidRPr="0019005E">
        <w:t xml:space="preserve">Prostheses List </w:t>
      </w:r>
      <w:r w:rsidR="000E557F" w:rsidRPr="0019005E">
        <w:t xml:space="preserve">Reforms have been realised (scheduled for 2024), further consideration </w:t>
      </w:r>
      <w:r w:rsidR="00CB58EB" w:rsidRPr="0019005E">
        <w:t xml:space="preserve">should </w:t>
      </w:r>
      <w:r w:rsidR="000E557F" w:rsidRPr="0019005E">
        <w:t xml:space="preserve">be made as to whether the </w:t>
      </w:r>
      <w:r w:rsidR="001629F0" w:rsidRPr="0019005E">
        <w:t>PLCAC</w:t>
      </w:r>
      <w:r w:rsidR="000E557F" w:rsidRPr="0019005E">
        <w:t xml:space="preserve"> may be more effective in becoming a </w:t>
      </w:r>
      <w:r w:rsidR="00066731" w:rsidRPr="0019005E">
        <w:t>sub-</w:t>
      </w:r>
      <w:r w:rsidR="000E557F" w:rsidRPr="0019005E">
        <w:t xml:space="preserve">committee of the MSAC. </w:t>
      </w:r>
    </w:p>
    <w:p w14:paraId="319F9E66" w14:textId="2B2ADFC2" w:rsidR="000E557F" w:rsidRPr="00D2484E" w:rsidRDefault="000E557F" w:rsidP="00C829A6">
      <w:r w:rsidRPr="0019005E">
        <w:t xml:space="preserve">In its reconstitution, the </w:t>
      </w:r>
      <w:r w:rsidR="001629F0" w:rsidRPr="0019005E">
        <w:t>PLCAC</w:t>
      </w:r>
      <w:r w:rsidRPr="0019005E">
        <w:t xml:space="preserve"> </w:t>
      </w:r>
      <w:r w:rsidR="00D3076C" w:rsidRPr="0019005E">
        <w:t xml:space="preserve">should </w:t>
      </w:r>
      <w:r w:rsidRPr="0019005E">
        <w:t xml:space="preserve">consider input from the </w:t>
      </w:r>
      <w:r w:rsidR="001629F0" w:rsidRPr="0019005E">
        <w:t>PLIWG</w:t>
      </w:r>
      <w:r w:rsidR="00E9004C" w:rsidRPr="0019005E">
        <w:t>,</w:t>
      </w:r>
      <w:r w:rsidRPr="0019005E">
        <w:t xml:space="preserve"> but</w:t>
      </w:r>
      <w:r w:rsidR="00FB5CF3" w:rsidRPr="0019005E">
        <w:t xml:space="preserve"> economic input should be primarily sought from the MSAC ESC.</w:t>
      </w:r>
      <w:r w:rsidR="00FB5CF3" w:rsidRPr="00D2484E">
        <w:t xml:space="preserve"> </w:t>
      </w:r>
      <w:r w:rsidRPr="00D2484E">
        <w:t xml:space="preserve"> </w:t>
      </w:r>
    </w:p>
    <w:p w14:paraId="538C8F1D" w14:textId="77777777" w:rsidR="000E557F" w:rsidRPr="00D2484E" w:rsidRDefault="000E557F" w:rsidP="00C470B6">
      <w:pPr>
        <w:pStyle w:val="EYHeading2"/>
      </w:pPr>
      <w:r w:rsidRPr="00D2484E">
        <w:t xml:space="preserve">Prostheses Industry Working Group </w:t>
      </w:r>
    </w:p>
    <w:p w14:paraId="525B2021" w14:textId="1EC486CF" w:rsidR="000E557F" w:rsidRPr="0019005E" w:rsidRDefault="000E557F" w:rsidP="0019005E">
      <w:r w:rsidRPr="0019005E">
        <w:t xml:space="preserve">To reorient the work of the </w:t>
      </w:r>
      <w:r w:rsidR="001629F0" w:rsidRPr="0019005E">
        <w:t>PLCAC</w:t>
      </w:r>
      <w:r w:rsidRPr="0019005E">
        <w:t xml:space="preserve">, a separate </w:t>
      </w:r>
      <w:r w:rsidR="001629F0" w:rsidRPr="0019005E">
        <w:t>PLIWG</w:t>
      </w:r>
      <w:r w:rsidRPr="0019005E">
        <w:t xml:space="preserve"> should be developed as an alternative channel for feedback.  </w:t>
      </w:r>
    </w:p>
    <w:p w14:paraId="0CEC6E9A" w14:textId="4FB84D0E" w:rsidR="000E557F" w:rsidRPr="00D2484E" w:rsidRDefault="00CA1BBF" w:rsidP="000066A2">
      <w:pPr>
        <w:pStyle w:val="Heading3"/>
      </w:pPr>
      <w:r w:rsidRPr="00D2484E">
        <w:t>Terms of Reference</w:t>
      </w:r>
    </w:p>
    <w:p w14:paraId="655BD0E7" w14:textId="3CFFB0AB" w:rsidR="000E557F" w:rsidRPr="0019005E" w:rsidRDefault="00E1445B" w:rsidP="0019005E">
      <w:r w:rsidRPr="00D2484E">
        <w:t xml:space="preserve">Terms </w:t>
      </w:r>
      <w:r w:rsidR="00BC2BE7" w:rsidRPr="00D2484E">
        <w:t>of reference</w:t>
      </w:r>
      <w:r w:rsidR="000E557F" w:rsidRPr="00D2484E">
        <w:t xml:space="preserve"> and operational guidelines should </w:t>
      </w:r>
      <w:r w:rsidRPr="00D2484E">
        <w:t xml:space="preserve">be developed to </w:t>
      </w:r>
      <w:r w:rsidR="000E557F" w:rsidRPr="00D2484E">
        <w:t xml:space="preserve">guide the </w:t>
      </w:r>
      <w:r w:rsidR="00683A7C" w:rsidRPr="00D2484E">
        <w:t>purpose</w:t>
      </w:r>
      <w:r w:rsidR="000E557F" w:rsidRPr="00D2484E">
        <w:t xml:space="preserve">, </w:t>
      </w:r>
      <w:proofErr w:type="gramStart"/>
      <w:r w:rsidR="00683A7C" w:rsidRPr="00D2484E">
        <w:t>role</w:t>
      </w:r>
      <w:proofErr w:type="gramEnd"/>
      <w:r w:rsidR="000E557F" w:rsidRPr="00D2484E">
        <w:t xml:space="preserve"> and </w:t>
      </w:r>
      <w:r w:rsidR="00683A7C" w:rsidRPr="00D2484E">
        <w:t>function</w:t>
      </w:r>
      <w:r w:rsidR="000E557F" w:rsidRPr="00D2484E">
        <w:t xml:space="preserve"> of the </w:t>
      </w:r>
      <w:r w:rsidR="001629F0" w:rsidRPr="00D2484E">
        <w:t>PL</w:t>
      </w:r>
      <w:r w:rsidR="001629F0" w:rsidRPr="0019005E">
        <w:t>IWG</w:t>
      </w:r>
      <w:r w:rsidR="000E557F" w:rsidRPr="0019005E">
        <w:t xml:space="preserve">. The </w:t>
      </w:r>
      <w:r w:rsidR="001629F0" w:rsidRPr="0019005E">
        <w:t>PLIWG</w:t>
      </w:r>
      <w:r w:rsidR="000E557F" w:rsidRPr="0019005E">
        <w:t xml:space="preserve"> </w:t>
      </w:r>
      <w:r w:rsidR="005E0435" w:rsidRPr="0019005E">
        <w:t xml:space="preserve">would </w:t>
      </w:r>
      <w:r w:rsidRPr="0019005E">
        <w:t xml:space="preserve">not </w:t>
      </w:r>
      <w:r w:rsidR="00F80433" w:rsidRPr="0019005E">
        <w:t>have a</w:t>
      </w:r>
      <w:r w:rsidR="000E557F" w:rsidRPr="0019005E">
        <w:t xml:space="preserve"> formal advisory function </w:t>
      </w:r>
      <w:r w:rsidR="00F80433" w:rsidRPr="0019005E">
        <w:t>nor formal</w:t>
      </w:r>
      <w:r w:rsidR="000E557F" w:rsidRPr="0019005E">
        <w:t xml:space="preserve"> reporting </w:t>
      </w:r>
      <w:r w:rsidR="00EB35DE" w:rsidRPr="0019005E">
        <w:t>line</w:t>
      </w:r>
      <w:r w:rsidR="000E557F" w:rsidRPr="0019005E">
        <w:t xml:space="preserve"> to either the </w:t>
      </w:r>
      <w:r w:rsidR="001629F0" w:rsidRPr="0019005E">
        <w:t>PLCAC</w:t>
      </w:r>
      <w:r w:rsidR="000E557F" w:rsidRPr="0019005E">
        <w:t xml:space="preserve"> </w:t>
      </w:r>
      <w:r w:rsidR="008A7ECF" w:rsidRPr="0019005E">
        <w:t>or</w:t>
      </w:r>
      <w:r w:rsidR="000E557F" w:rsidRPr="0019005E">
        <w:t xml:space="preserve"> the </w:t>
      </w:r>
      <w:r w:rsidR="00DF11F4" w:rsidRPr="0019005E">
        <w:t>Department</w:t>
      </w:r>
      <w:r w:rsidR="000E557F" w:rsidRPr="0019005E">
        <w:t>.</w:t>
      </w:r>
    </w:p>
    <w:p w14:paraId="0E6A0849" w14:textId="38295BCD" w:rsidR="000E557F" w:rsidRPr="00D2484E" w:rsidRDefault="000E557F" w:rsidP="0019005E">
      <w:r w:rsidRPr="0019005E">
        <w:t xml:space="preserve">The </w:t>
      </w:r>
      <w:r w:rsidR="001629F0" w:rsidRPr="0019005E">
        <w:t>PLIWG</w:t>
      </w:r>
      <w:r w:rsidRPr="0019005E">
        <w:t xml:space="preserve"> may incidentally advise the </w:t>
      </w:r>
      <w:r w:rsidR="00DF11F4" w:rsidRPr="0019005E">
        <w:t>Department</w:t>
      </w:r>
      <w:r w:rsidR="00900ADB" w:rsidRPr="0019005E">
        <w:t xml:space="preserve"> </w:t>
      </w:r>
      <w:r w:rsidRPr="0019005E">
        <w:t xml:space="preserve">on policy matters which may affect the </w:t>
      </w:r>
      <w:r w:rsidR="007550D3" w:rsidRPr="0019005E">
        <w:t>medical device</w:t>
      </w:r>
      <w:r w:rsidRPr="0019005E">
        <w:t xml:space="preserve"> benefit setting sch</w:t>
      </w:r>
      <w:r w:rsidRPr="00D2484E">
        <w:t>eme more broadly. It may also provide view</w:t>
      </w:r>
      <w:r w:rsidR="00265759" w:rsidRPr="00D2484E">
        <w:t>s</w:t>
      </w:r>
      <w:r w:rsidRPr="00D2484E">
        <w:t xml:space="preserve"> on benefit </w:t>
      </w:r>
      <w:r w:rsidRPr="0019005E">
        <w:lastRenderedPageBreak/>
        <w:t>levels under the scheme, including any issues relating to IHPA’s determination</w:t>
      </w:r>
      <w:r w:rsidR="00A37052" w:rsidRPr="0019005E">
        <w:t>s</w:t>
      </w:r>
      <w:r w:rsidRPr="0019005E">
        <w:t xml:space="preserve"> of </w:t>
      </w:r>
      <w:r w:rsidR="007550D3" w:rsidRPr="0019005E">
        <w:t>medical device</w:t>
      </w:r>
      <w:r w:rsidRPr="0019005E">
        <w:t xml:space="preserve"> benefit</w:t>
      </w:r>
      <w:r w:rsidR="00B624EF" w:rsidRPr="0019005E">
        <w:t xml:space="preserve"> l</w:t>
      </w:r>
      <w:r w:rsidR="00B624EF" w:rsidRPr="00D2484E">
        <w:t>evels</w:t>
      </w:r>
      <w:r w:rsidR="0015397C" w:rsidRPr="00D2484E">
        <w:t>, and to the Department more</w:t>
      </w:r>
      <w:r w:rsidR="00336923" w:rsidRPr="00D2484E">
        <w:t xml:space="preserve"> broadly where required</w:t>
      </w:r>
      <w:r w:rsidRPr="00D2484E">
        <w:t xml:space="preserve">. </w:t>
      </w:r>
    </w:p>
    <w:p w14:paraId="14CC8E3F" w14:textId="77777777" w:rsidR="000E557F" w:rsidRPr="00D2484E" w:rsidRDefault="000E557F" w:rsidP="000066A2">
      <w:pPr>
        <w:pStyle w:val="Heading3"/>
      </w:pPr>
      <w:r w:rsidRPr="00D2484E">
        <w:t>Membership</w:t>
      </w:r>
    </w:p>
    <w:p w14:paraId="0679C36F" w14:textId="25B38C7C" w:rsidR="000E557F" w:rsidRPr="005C4002" w:rsidRDefault="000E557F" w:rsidP="005C4002">
      <w:r w:rsidRPr="005C4002">
        <w:t xml:space="preserve">The membership of the </w:t>
      </w:r>
      <w:r w:rsidR="001629F0" w:rsidRPr="005C4002">
        <w:t>PLIWG</w:t>
      </w:r>
      <w:r w:rsidRPr="005C4002">
        <w:t xml:space="preserve"> should be advisory rather than advocating in nature, and may include:</w:t>
      </w:r>
    </w:p>
    <w:p w14:paraId="084B23D0" w14:textId="2144CC8E" w:rsidR="000E557F" w:rsidRPr="00D2484E" w:rsidRDefault="000E557F" w:rsidP="002D1775">
      <w:pPr>
        <w:pStyle w:val="EYBullet1"/>
      </w:pPr>
      <w:r w:rsidRPr="00D2484E">
        <w:t xml:space="preserve">Prostheses industry </w:t>
      </w:r>
      <w:proofErr w:type="gramStart"/>
      <w:r w:rsidRPr="00D2484E">
        <w:t>representatives</w:t>
      </w:r>
      <w:r w:rsidR="000303B8" w:rsidRPr="00D2484E">
        <w:t>;</w:t>
      </w:r>
      <w:proofErr w:type="gramEnd"/>
    </w:p>
    <w:p w14:paraId="45A995AA" w14:textId="67681B2E" w:rsidR="000E557F" w:rsidRPr="00D2484E" w:rsidRDefault="000E557F" w:rsidP="002D1775">
      <w:pPr>
        <w:pStyle w:val="EYBullet1"/>
      </w:pPr>
      <w:r w:rsidRPr="00D2484E">
        <w:t xml:space="preserve">Private health insurance </w:t>
      </w:r>
      <w:proofErr w:type="gramStart"/>
      <w:r w:rsidRPr="00D2484E">
        <w:t>representatives</w:t>
      </w:r>
      <w:r w:rsidR="000303B8" w:rsidRPr="00D2484E">
        <w:t>;</w:t>
      </w:r>
      <w:proofErr w:type="gramEnd"/>
    </w:p>
    <w:p w14:paraId="3002244C" w14:textId="7640AC09" w:rsidR="00A23929" w:rsidRPr="00D2484E" w:rsidRDefault="00A23929" w:rsidP="002D1775">
      <w:pPr>
        <w:pStyle w:val="EYBullet1"/>
      </w:pPr>
      <w:r w:rsidRPr="00D2484E">
        <w:t xml:space="preserve">Private hospital </w:t>
      </w:r>
      <w:proofErr w:type="gramStart"/>
      <w:r w:rsidRPr="00D2484E">
        <w:t>representatives;</w:t>
      </w:r>
      <w:proofErr w:type="gramEnd"/>
    </w:p>
    <w:p w14:paraId="15DF6FF4" w14:textId="15A6386D" w:rsidR="000E557F" w:rsidRPr="00D2484E" w:rsidRDefault="000E557F" w:rsidP="002D1775">
      <w:pPr>
        <w:pStyle w:val="EYBullet1"/>
      </w:pPr>
      <w:r w:rsidRPr="00D2484E">
        <w:t>Health economics expertise</w:t>
      </w:r>
      <w:r w:rsidR="000303B8" w:rsidRPr="00D2484E">
        <w:t>;</w:t>
      </w:r>
      <w:r w:rsidRPr="00D2484E">
        <w:t xml:space="preserve"> and </w:t>
      </w:r>
    </w:p>
    <w:p w14:paraId="37D6AB46" w14:textId="4424D80E" w:rsidR="000E557F" w:rsidRPr="00D2484E" w:rsidRDefault="000E557F" w:rsidP="002D1775">
      <w:pPr>
        <w:pStyle w:val="EYBullet1"/>
      </w:pPr>
      <w:r w:rsidRPr="00D2484E">
        <w:t>At least two consumer representatives</w:t>
      </w:r>
      <w:r w:rsidR="000303B8" w:rsidRPr="00D2484E">
        <w:t>.</w:t>
      </w:r>
    </w:p>
    <w:p w14:paraId="417568C8" w14:textId="08C6C9DF" w:rsidR="000E557F" w:rsidRPr="0019005E" w:rsidRDefault="000E557F" w:rsidP="0019005E">
      <w:proofErr w:type="gramStart"/>
      <w:r w:rsidRPr="00D2484E">
        <w:t>Similar to</w:t>
      </w:r>
      <w:proofErr w:type="gramEnd"/>
      <w:r w:rsidRPr="0019005E">
        <w:t xml:space="preserve"> the approach taken by the </w:t>
      </w:r>
      <w:r w:rsidR="001629F0" w:rsidRPr="0019005E">
        <w:t>PLCAC</w:t>
      </w:r>
      <w:r w:rsidRPr="0019005E">
        <w:t xml:space="preserve">, the </w:t>
      </w:r>
      <w:r w:rsidR="001629F0" w:rsidRPr="0019005E">
        <w:t>PLIWG</w:t>
      </w:r>
      <w:r w:rsidRPr="0019005E">
        <w:t xml:space="preserve"> should not merely be a transposition of current advisory participants of the PLAC, but rather, selected on the basis of their ability to provide the advice required per the </w:t>
      </w:r>
      <w:r w:rsidR="00683A7C" w:rsidRPr="0019005E">
        <w:t>purpose</w:t>
      </w:r>
      <w:r w:rsidRPr="0019005E">
        <w:t xml:space="preserve">, </w:t>
      </w:r>
      <w:r w:rsidR="00683A7C" w:rsidRPr="0019005E">
        <w:t>role</w:t>
      </w:r>
      <w:r w:rsidRPr="0019005E">
        <w:t xml:space="preserve"> and </w:t>
      </w:r>
      <w:r w:rsidR="00683A7C" w:rsidRPr="0019005E">
        <w:t>function</w:t>
      </w:r>
      <w:r w:rsidRPr="0019005E">
        <w:t xml:space="preserve"> of the </w:t>
      </w:r>
      <w:r w:rsidR="001629F0" w:rsidRPr="0019005E">
        <w:t>PLIWG</w:t>
      </w:r>
      <w:r w:rsidRPr="0019005E">
        <w:t xml:space="preserve">. </w:t>
      </w:r>
      <w:r w:rsidR="00864A64" w:rsidRPr="0019005E">
        <w:t xml:space="preserve">A separate nomination and appointment process should be developed to support </w:t>
      </w:r>
      <w:r w:rsidR="00466539" w:rsidRPr="0019005E">
        <w:t>thi</w:t>
      </w:r>
      <w:r w:rsidR="004B2DB3" w:rsidRPr="0019005E">
        <w:t xml:space="preserve">s. </w:t>
      </w:r>
    </w:p>
    <w:p w14:paraId="656FBAA2" w14:textId="4D3B304D" w:rsidR="0071172B" w:rsidRPr="00D2484E" w:rsidRDefault="0071172B" w:rsidP="0019005E">
      <w:r w:rsidRPr="0019005E">
        <w:t>The Department may also cho</w:t>
      </w:r>
      <w:r w:rsidRPr="00D2484E">
        <w:t xml:space="preserve">ose to </w:t>
      </w:r>
      <w:r w:rsidR="00CE7CC7" w:rsidRPr="00D2484E">
        <w:t xml:space="preserve">make the </w:t>
      </w:r>
      <w:r w:rsidR="001629F0" w:rsidRPr="00D2484E">
        <w:t>PLIWG</w:t>
      </w:r>
      <w:r w:rsidR="00CE7CC7" w:rsidRPr="00D2484E">
        <w:t xml:space="preserve"> available for consultation more broadly. </w:t>
      </w:r>
    </w:p>
    <w:p w14:paraId="50419E04" w14:textId="77777777" w:rsidR="000E557F" w:rsidRPr="00D2484E" w:rsidRDefault="000E557F" w:rsidP="000066A2">
      <w:pPr>
        <w:pStyle w:val="Heading3"/>
      </w:pPr>
      <w:r w:rsidRPr="00D2484E">
        <w:t>Reporting</w:t>
      </w:r>
    </w:p>
    <w:p w14:paraId="0057E5BC" w14:textId="4C736ED9" w:rsidR="000E557F" w:rsidRPr="0019005E" w:rsidRDefault="000E557F" w:rsidP="0019005E">
      <w:r w:rsidRPr="00D2484E">
        <w:t xml:space="preserve">Members of the </w:t>
      </w:r>
      <w:r w:rsidR="001629F0" w:rsidRPr="00D2484E">
        <w:t>PLIW</w:t>
      </w:r>
      <w:r w:rsidR="001629F0" w:rsidRPr="0019005E">
        <w:t>G</w:t>
      </w:r>
      <w:r w:rsidRPr="0019005E">
        <w:t xml:space="preserve"> may be able to make formal submissions on specific applications to the </w:t>
      </w:r>
      <w:r w:rsidR="006F170D" w:rsidRPr="0019005E">
        <w:t>Department</w:t>
      </w:r>
      <w:r w:rsidRPr="0019005E">
        <w:t xml:space="preserve">. This information may be considered by the </w:t>
      </w:r>
      <w:proofErr w:type="gramStart"/>
      <w:r w:rsidR="006F170D" w:rsidRPr="0019005E">
        <w:t>Department</w:t>
      </w:r>
      <w:r w:rsidRPr="0019005E">
        <w:t>, and</w:t>
      </w:r>
      <w:proofErr w:type="gramEnd"/>
      <w:r w:rsidRPr="0019005E">
        <w:t xml:space="preserve"> provided as part of papers prepared for the </w:t>
      </w:r>
      <w:r w:rsidR="001629F0" w:rsidRPr="0019005E">
        <w:t>PLCAC</w:t>
      </w:r>
      <w:r w:rsidRPr="0019005E">
        <w:t xml:space="preserve">. The </w:t>
      </w:r>
      <w:r w:rsidR="00DF11F4" w:rsidRPr="0019005E">
        <w:t xml:space="preserve">Department </w:t>
      </w:r>
      <w:r w:rsidRPr="0019005E">
        <w:t xml:space="preserve">and </w:t>
      </w:r>
      <w:r w:rsidR="001629F0" w:rsidRPr="0019005E">
        <w:t>PLCAC</w:t>
      </w:r>
      <w:r w:rsidRPr="0019005E">
        <w:t xml:space="preserve"> members should be guided in their consideration of such advice but are not obligated to accept the </w:t>
      </w:r>
      <w:r w:rsidR="001629F0" w:rsidRPr="0019005E">
        <w:t>PLIWG</w:t>
      </w:r>
      <w:r w:rsidRPr="0019005E">
        <w:t xml:space="preserve">’s advice. </w:t>
      </w:r>
    </w:p>
    <w:p w14:paraId="39F4221C" w14:textId="454EE645" w:rsidR="00DB41EE" w:rsidRDefault="000E557F" w:rsidP="0019005E">
      <w:r w:rsidRPr="0019005E">
        <w:t xml:space="preserve">The </w:t>
      </w:r>
      <w:r w:rsidR="001629F0" w:rsidRPr="0019005E">
        <w:t>PLIWG</w:t>
      </w:r>
      <w:r w:rsidRPr="0019005E">
        <w:t xml:space="preserve"> may prepare sub</w:t>
      </w:r>
      <w:r w:rsidRPr="00D2484E">
        <w:t xml:space="preserve">missions for minor issues. The </w:t>
      </w:r>
      <w:r w:rsidR="00DF11F4" w:rsidRPr="00D2484E">
        <w:t xml:space="preserve">Department </w:t>
      </w:r>
      <w:r w:rsidRPr="00D2484E">
        <w:t xml:space="preserve">may determine the course of action required to address concerns or issues raised </w:t>
      </w:r>
      <w:r w:rsidR="00060860" w:rsidRPr="00D2484E">
        <w:t>i</w:t>
      </w:r>
      <w:r w:rsidRPr="00D2484E">
        <w:t>n any such submissions.</w:t>
      </w:r>
    </w:p>
    <w:p w14:paraId="3561E488" w14:textId="77777777" w:rsidR="000066A2" w:rsidRDefault="000066A2" w:rsidP="000066A2">
      <w:pPr>
        <w:pStyle w:val="Boxtextoptions"/>
      </w:pPr>
      <w:r w:rsidRPr="000066A2">
        <w:rPr>
          <w:rStyle w:val="Strong"/>
        </w:rPr>
        <w:t>Recommendation 2</w:t>
      </w:r>
      <w:r>
        <w:t>: Introduce a reconstituted Clinical Experts Panel</w:t>
      </w:r>
    </w:p>
    <w:p w14:paraId="078911F2" w14:textId="77777777" w:rsidR="000066A2" w:rsidRDefault="000066A2" w:rsidP="000066A2">
      <w:pPr>
        <w:pStyle w:val="Boxtextoptions"/>
      </w:pPr>
      <w:r>
        <w:t>A reconstituted Clinical Experts Panel (CEP) should be introduced to replace the abolished CAGs and to provide specialised clinical advice to support the PLCAC and the Department as required.</w:t>
      </w:r>
    </w:p>
    <w:p w14:paraId="308230E7" w14:textId="77777777" w:rsidR="000066A2" w:rsidRDefault="000066A2" w:rsidP="000066A2">
      <w:pPr>
        <w:pStyle w:val="Boxtextoptions"/>
      </w:pPr>
      <w:r>
        <w:t xml:space="preserve">The CEP should provide specialised clinical advice on the clinical utility of medical devices and the clinical outcomes associated with the use of those medical devices to the PLCAC, by request or requirement of the PLCAC. Clinical utility should include consideration of the relative value of the medical device to other medical devices, drawing upon health economics expertise as necessary. This clinical advice should focus on those medical devices already listed and those proposed to be listed on the Prostheses List. </w:t>
      </w:r>
    </w:p>
    <w:p w14:paraId="0D9AEC68" w14:textId="77777777" w:rsidR="000066A2" w:rsidRDefault="000066A2" w:rsidP="000066A2">
      <w:pPr>
        <w:pStyle w:val="Boxtextoptions"/>
      </w:pPr>
      <w:r>
        <w:t xml:space="preserve">This body should not be focussed on clinical safety and efficacy issues with medical devices, which is the responsibility of the TGA. Where safety and efficacy issues are raised by the Panel, the matter should be referred by the PLCAC to the TGA for consideration. </w:t>
      </w:r>
    </w:p>
    <w:p w14:paraId="0B6C0722" w14:textId="77777777" w:rsidR="000066A2" w:rsidRDefault="000066A2" w:rsidP="000066A2">
      <w:pPr>
        <w:pStyle w:val="Boxtextoptions"/>
      </w:pPr>
      <w:r>
        <w:t xml:space="preserve">The Panel’s membership should include those with functional clinical expertise, with a particular focus on orthopaedics and cardiology. </w:t>
      </w:r>
    </w:p>
    <w:p w14:paraId="4A5A636A" w14:textId="77777777" w:rsidR="000066A2" w:rsidRDefault="000066A2" w:rsidP="000066A2">
      <w:pPr>
        <w:pStyle w:val="Boxtextoptions"/>
      </w:pPr>
      <w:r>
        <w:t xml:space="preserve">The Department should consider how perceived, </w:t>
      </w:r>
      <w:proofErr w:type="gramStart"/>
      <w:r>
        <w:t>actual</w:t>
      </w:r>
      <w:proofErr w:type="gramEnd"/>
      <w:r>
        <w:t xml:space="preserve"> and potential conflict of interests of Panel members will be managed.</w:t>
      </w:r>
    </w:p>
    <w:p w14:paraId="08A4BEF7" w14:textId="77777777" w:rsidR="000066A2" w:rsidRDefault="000066A2" w:rsidP="000066A2">
      <w:pPr>
        <w:pStyle w:val="Boxtext"/>
      </w:pPr>
      <w:r w:rsidRPr="000066A2">
        <w:rPr>
          <w:rStyle w:val="Strong"/>
        </w:rPr>
        <w:t>Rationale</w:t>
      </w:r>
      <w:r>
        <w:t xml:space="preserve">: A reconstituted CEP that replaces the abolished CAGs will provide both the Department and PLCAC with the specialised advice it requires across all Prostheses List Categories regarding the clinical utility of medical devices and the clinical outcomes </w:t>
      </w:r>
      <w:r>
        <w:lastRenderedPageBreak/>
        <w:t>associated with the use of those medical devices. Having a smaller group of clinical experts to manage will also reduce the administrative burden on the Department.</w:t>
      </w:r>
    </w:p>
    <w:p w14:paraId="333EBAF6" w14:textId="77777777" w:rsidR="000066A2" w:rsidRDefault="000066A2" w:rsidP="000066A2">
      <w:pPr>
        <w:pStyle w:val="Boxtext"/>
      </w:pPr>
      <w:r w:rsidRPr="000066A2">
        <w:rPr>
          <w:rStyle w:val="Strong"/>
        </w:rPr>
        <w:t>Relevant Findings</w:t>
      </w:r>
      <w:r>
        <w:t>:</w:t>
      </w:r>
    </w:p>
    <w:p w14:paraId="08972FCF" w14:textId="77777777" w:rsidR="000066A2" w:rsidRDefault="000066A2" w:rsidP="000066A2">
      <w:pPr>
        <w:pStyle w:val="Boxtext"/>
      </w:pPr>
      <w:r>
        <w:t>Finding 1 - Structure, focus and composition of the PLAC and its sub-committees</w:t>
      </w:r>
    </w:p>
    <w:p w14:paraId="5C46C329" w14:textId="2B11D3C5" w:rsidR="005C4002" w:rsidRPr="00D2484E" w:rsidRDefault="000066A2" w:rsidP="000066A2">
      <w:pPr>
        <w:pStyle w:val="Boxtext"/>
      </w:pPr>
      <w:r>
        <w:t>Finding 2 - Management of the workload of the PLAC</w:t>
      </w:r>
    </w:p>
    <w:p w14:paraId="0937B00B" w14:textId="77777777" w:rsidR="000E557F" w:rsidRPr="000066A2" w:rsidRDefault="000E557F" w:rsidP="000066A2">
      <w:pPr>
        <w:pStyle w:val="Heading3"/>
      </w:pPr>
      <w:r w:rsidRPr="00D2484E">
        <w:t xml:space="preserve">Reconstitution of the Panel of Clinical Experts </w:t>
      </w:r>
    </w:p>
    <w:p w14:paraId="29E66A12" w14:textId="5D5B7CAB" w:rsidR="00854528" w:rsidRPr="0019005E" w:rsidRDefault="000E557F" w:rsidP="0019005E">
      <w:r w:rsidRPr="00D2484E">
        <w:t>Altho</w:t>
      </w:r>
      <w:r w:rsidRPr="0019005E">
        <w:t xml:space="preserve">ugh </w:t>
      </w:r>
      <w:r w:rsidR="001736D0" w:rsidRPr="0019005E">
        <w:t xml:space="preserve">the utility and </w:t>
      </w:r>
      <w:r w:rsidR="009C1CBC" w:rsidRPr="0019005E">
        <w:t xml:space="preserve">positive </w:t>
      </w:r>
      <w:r w:rsidR="001736D0" w:rsidRPr="0019005E">
        <w:t xml:space="preserve">contribution of </w:t>
      </w:r>
      <w:r w:rsidR="009C1CBC" w:rsidRPr="0019005E">
        <w:t xml:space="preserve">the </w:t>
      </w:r>
      <w:r w:rsidR="001736D0" w:rsidRPr="0019005E">
        <w:t>CAGs</w:t>
      </w:r>
      <w:r w:rsidRPr="0019005E">
        <w:t xml:space="preserve"> were identified in this Review, the configuration and membership of CAGs </w:t>
      </w:r>
      <w:r w:rsidR="00D80FA9" w:rsidRPr="0019005E">
        <w:t xml:space="preserve">(in their current form) </w:t>
      </w:r>
      <w:r w:rsidR="002234B9" w:rsidRPr="0019005E">
        <w:t xml:space="preserve">do not </w:t>
      </w:r>
      <w:r w:rsidRPr="0019005E">
        <w:t>e</w:t>
      </w:r>
      <w:r w:rsidR="002234B9" w:rsidRPr="0019005E">
        <w:t>nable</w:t>
      </w:r>
      <w:r w:rsidRPr="0019005E">
        <w:t xml:space="preserve"> the PLAC to fulfill its core </w:t>
      </w:r>
      <w:r w:rsidR="00865FE8" w:rsidRPr="0019005E">
        <w:t>f</w:t>
      </w:r>
      <w:r w:rsidRPr="0019005E">
        <w:t>unction</w:t>
      </w:r>
      <w:r w:rsidR="002D5C2B" w:rsidRPr="0019005E">
        <w:t>s</w:t>
      </w:r>
      <w:r w:rsidRPr="0019005E">
        <w:t xml:space="preserve"> and </w:t>
      </w:r>
      <w:r w:rsidR="00683A7C" w:rsidRPr="0019005E">
        <w:t>purpose</w:t>
      </w:r>
      <w:r w:rsidRPr="0019005E">
        <w:t xml:space="preserve">. </w:t>
      </w:r>
      <w:r w:rsidR="00EF7773" w:rsidRPr="0019005E">
        <w:t>As such, t</w:t>
      </w:r>
      <w:r w:rsidRPr="0019005E">
        <w:t>he</w:t>
      </w:r>
      <w:r w:rsidR="00A94DDA" w:rsidRPr="0019005E">
        <w:t xml:space="preserve"> CAGs should be </w:t>
      </w:r>
      <w:proofErr w:type="gramStart"/>
      <w:r w:rsidR="00A94DDA" w:rsidRPr="0019005E">
        <w:t>abolished</w:t>
      </w:r>
      <w:proofErr w:type="gramEnd"/>
      <w:r w:rsidR="00A94DDA" w:rsidRPr="0019005E">
        <w:t xml:space="preserve"> and the</w:t>
      </w:r>
      <w:r w:rsidRPr="0019005E">
        <w:t xml:space="preserve"> existing Panel should be reconstituted into a </w:t>
      </w:r>
      <w:r w:rsidR="006A3943" w:rsidRPr="0019005E">
        <w:t>CEP</w:t>
      </w:r>
      <w:r w:rsidR="0005082D" w:rsidRPr="0019005E">
        <w:t xml:space="preserve"> </w:t>
      </w:r>
      <w:r w:rsidRPr="0019005E">
        <w:t xml:space="preserve">which the </w:t>
      </w:r>
      <w:r w:rsidR="001629F0" w:rsidRPr="0019005E">
        <w:t>PLCAC</w:t>
      </w:r>
      <w:r w:rsidRPr="0019005E">
        <w:t xml:space="preserve"> may draw upon for advice relating to specific applications. </w:t>
      </w:r>
    </w:p>
    <w:p w14:paraId="3869546A" w14:textId="19CA99AB" w:rsidR="000E557F" w:rsidRPr="0019005E" w:rsidRDefault="000E557F" w:rsidP="0019005E">
      <w:r w:rsidRPr="0019005E">
        <w:t xml:space="preserve">To ensure alignment with this revised approach, a </w:t>
      </w:r>
      <w:proofErr w:type="gramStart"/>
      <w:r w:rsidR="00BC2BE7" w:rsidRPr="0019005E">
        <w:t>t</w:t>
      </w:r>
      <w:r w:rsidRPr="0019005E">
        <w:t>erms</w:t>
      </w:r>
      <w:proofErr w:type="gramEnd"/>
      <w:r w:rsidRPr="0019005E">
        <w:t xml:space="preserve"> of </w:t>
      </w:r>
      <w:r w:rsidR="00BC2BE7" w:rsidRPr="0019005E">
        <w:t>r</w:t>
      </w:r>
      <w:r w:rsidRPr="0019005E">
        <w:t>eference and operating guidelines should be</w:t>
      </w:r>
      <w:r w:rsidR="00237993" w:rsidRPr="0019005E">
        <w:t xml:space="preserve"> designed for </w:t>
      </w:r>
      <w:r w:rsidRPr="0019005E">
        <w:t xml:space="preserve">the </w:t>
      </w:r>
      <w:r w:rsidR="006A3943" w:rsidRPr="0019005E">
        <w:t>CEP</w:t>
      </w:r>
      <w:r w:rsidRPr="0019005E">
        <w:t xml:space="preserve">. These should outline the responsibilities of the </w:t>
      </w:r>
      <w:proofErr w:type="gramStart"/>
      <w:r w:rsidR="001629F0" w:rsidRPr="0019005E">
        <w:t>PLCAC</w:t>
      </w:r>
      <w:r w:rsidRPr="0019005E">
        <w:t>, and</w:t>
      </w:r>
      <w:proofErr w:type="gramEnd"/>
      <w:r w:rsidRPr="0019005E">
        <w:t xml:space="preserve"> formalise arrangements for engagement. </w:t>
      </w:r>
    </w:p>
    <w:p w14:paraId="3BD825BF" w14:textId="252B73F5" w:rsidR="000E557F" w:rsidRPr="00D2484E" w:rsidRDefault="000E557F" w:rsidP="0019005E">
      <w:r w:rsidRPr="0019005E">
        <w:t xml:space="preserve">To streamline matters, the </w:t>
      </w:r>
      <w:r w:rsidR="00BA64E6" w:rsidRPr="0019005E">
        <w:t>Department</w:t>
      </w:r>
      <w:r w:rsidR="00537004" w:rsidRPr="0019005E">
        <w:t xml:space="preserve"> </w:t>
      </w:r>
      <w:r w:rsidRPr="0019005E">
        <w:t xml:space="preserve">may refer matters for specialised clinical advice to the </w:t>
      </w:r>
      <w:r w:rsidR="006A3943" w:rsidRPr="0019005E">
        <w:t>CEP</w:t>
      </w:r>
      <w:r w:rsidRPr="0019005E">
        <w:t>. The</w:t>
      </w:r>
      <w:r w:rsidRPr="00D2484E">
        <w:t>se may include specialised clinical advice on</w:t>
      </w:r>
      <w:r w:rsidR="00D53E8C" w:rsidRPr="00D2484E">
        <w:t xml:space="preserve"> the</w:t>
      </w:r>
      <w:r w:rsidRPr="00D2484E">
        <w:t xml:space="preserve">: </w:t>
      </w:r>
    </w:p>
    <w:p w14:paraId="6E2CF5E9" w14:textId="45F384DB" w:rsidR="000E557F" w:rsidRPr="00D2484E" w:rsidRDefault="000E557F" w:rsidP="002D1775">
      <w:pPr>
        <w:pStyle w:val="EYBullet1"/>
      </w:pPr>
      <w:r w:rsidRPr="00D2484E">
        <w:t>Clinical utility of a medical device</w:t>
      </w:r>
      <w:r w:rsidR="004E17F4" w:rsidRPr="00D2484E">
        <w:t>;</w:t>
      </w:r>
      <w:r w:rsidRPr="00D2484E">
        <w:t xml:space="preserve"> or</w:t>
      </w:r>
    </w:p>
    <w:p w14:paraId="4DE2F091" w14:textId="2998F448" w:rsidR="000E557F" w:rsidRPr="00D2484E" w:rsidRDefault="000E557F" w:rsidP="002D1775">
      <w:pPr>
        <w:pStyle w:val="EYBullet1"/>
      </w:pPr>
      <w:r w:rsidRPr="00D2484E">
        <w:t xml:space="preserve">Clinical outcomes associated with the use of a medical device, including </w:t>
      </w:r>
      <w:r w:rsidR="00690D30" w:rsidRPr="00D2484E">
        <w:t xml:space="preserve">the </w:t>
      </w:r>
      <w:r w:rsidRPr="00D2484E">
        <w:t xml:space="preserve">relative value of </w:t>
      </w:r>
      <w:r w:rsidR="00690D30" w:rsidRPr="00D2484E">
        <w:t xml:space="preserve">the </w:t>
      </w:r>
      <w:r w:rsidRPr="00D2484E">
        <w:t>applicant medical device against rel</w:t>
      </w:r>
      <w:r w:rsidR="00690D30" w:rsidRPr="00D2484E">
        <w:t>eva</w:t>
      </w:r>
      <w:r w:rsidRPr="00D2484E">
        <w:t xml:space="preserve">nt alternatives. </w:t>
      </w:r>
    </w:p>
    <w:p w14:paraId="45D1C871" w14:textId="0C75FE08" w:rsidR="008B090C" w:rsidRPr="0019005E" w:rsidRDefault="000E557F" w:rsidP="0019005E">
      <w:r w:rsidRPr="00D2484E">
        <w:t>The ord</w:t>
      </w:r>
      <w:r w:rsidRPr="0019005E">
        <w:t xml:space="preserve">inary work of the </w:t>
      </w:r>
      <w:r w:rsidR="0079018F" w:rsidRPr="0019005E">
        <w:t>CEP</w:t>
      </w:r>
      <w:r w:rsidRPr="0019005E">
        <w:t xml:space="preserve"> should be in supporting the </w:t>
      </w:r>
      <w:r w:rsidR="00BA64E6" w:rsidRPr="0019005E">
        <w:t>Department</w:t>
      </w:r>
      <w:r w:rsidR="00E64FE0" w:rsidRPr="0019005E">
        <w:t xml:space="preserve"> </w:t>
      </w:r>
      <w:r w:rsidRPr="0019005E">
        <w:t>in its assessments</w:t>
      </w:r>
      <w:r w:rsidR="00A45082" w:rsidRPr="0019005E">
        <w:t xml:space="preserve"> where require</w:t>
      </w:r>
      <w:r w:rsidR="00955947" w:rsidRPr="0019005E">
        <w:t>d</w:t>
      </w:r>
      <w:r w:rsidR="00387CF4" w:rsidRPr="0019005E">
        <w:t>. T</w:t>
      </w:r>
      <w:r w:rsidR="00A45082" w:rsidRPr="0019005E">
        <w:t xml:space="preserve">his </w:t>
      </w:r>
      <w:r w:rsidRPr="0019005E">
        <w:t xml:space="preserve">advice from the </w:t>
      </w:r>
      <w:r w:rsidR="0079018F" w:rsidRPr="0019005E">
        <w:t>CEP</w:t>
      </w:r>
      <w:r w:rsidRPr="0019005E">
        <w:t xml:space="preserve"> should constitute part of the</w:t>
      </w:r>
      <w:r w:rsidR="00A45082" w:rsidRPr="0019005E">
        <w:t xml:space="preserve"> briefing</w:t>
      </w:r>
      <w:r w:rsidRPr="0019005E">
        <w:t xml:space="preserve"> information required by the </w:t>
      </w:r>
      <w:r w:rsidR="001629F0" w:rsidRPr="0019005E">
        <w:t>PLCAC</w:t>
      </w:r>
      <w:r w:rsidRPr="0019005E">
        <w:t xml:space="preserve"> to make a recommendation.</w:t>
      </w:r>
    </w:p>
    <w:p w14:paraId="4AAC64A6" w14:textId="5FFF9154" w:rsidR="00955947" w:rsidRPr="0019005E" w:rsidRDefault="000E557F" w:rsidP="0019005E">
      <w:r w:rsidRPr="0019005E">
        <w:t xml:space="preserve">The </w:t>
      </w:r>
      <w:r w:rsidR="00BA64E6" w:rsidRPr="0019005E">
        <w:t>Department</w:t>
      </w:r>
      <w:r w:rsidR="005C51C0" w:rsidRPr="0019005E">
        <w:t xml:space="preserve"> </w:t>
      </w:r>
      <w:r w:rsidRPr="0019005E">
        <w:t xml:space="preserve">should be clear in its reasons for referring matters to the </w:t>
      </w:r>
      <w:r w:rsidR="0079018F" w:rsidRPr="0019005E">
        <w:t>CEP</w:t>
      </w:r>
      <w:r w:rsidRPr="0019005E">
        <w:t xml:space="preserve">. It should provide the </w:t>
      </w:r>
      <w:r w:rsidR="0079018F" w:rsidRPr="0019005E">
        <w:t>CEP</w:t>
      </w:r>
      <w:r w:rsidRPr="0019005E">
        <w:t xml:space="preserve"> with any assessment criteria as a frame of </w:t>
      </w:r>
      <w:proofErr w:type="gramStart"/>
      <w:r w:rsidRPr="0019005E">
        <w:t>reference, and</w:t>
      </w:r>
      <w:proofErr w:type="gramEnd"/>
      <w:r w:rsidRPr="0019005E">
        <w:t xml:space="preserve"> receive its advice in alignment with </w:t>
      </w:r>
      <w:r w:rsidR="00935A72" w:rsidRPr="0019005E">
        <w:t xml:space="preserve">new </w:t>
      </w:r>
      <w:r w:rsidRPr="0019005E">
        <w:t>documentary standards</w:t>
      </w:r>
      <w:r w:rsidR="00935A72" w:rsidRPr="0019005E">
        <w:t>.</w:t>
      </w:r>
    </w:p>
    <w:p w14:paraId="1633CD82" w14:textId="259F2245" w:rsidR="000E557F" w:rsidRPr="0019005E" w:rsidRDefault="000E557F" w:rsidP="0019005E">
      <w:r w:rsidRPr="0019005E">
        <w:t xml:space="preserve">Where the </w:t>
      </w:r>
      <w:r w:rsidR="001629F0" w:rsidRPr="0019005E">
        <w:t>PLCAC</w:t>
      </w:r>
      <w:r w:rsidRPr="0019005E">
        <w:t xml:space="preserve"> requires further information, its referral of matters to the </w:t>
      </w:r>
      <w:r w:rsidR="0079018F" w:rsidRPr="0019005E">
        <w:t>CEP</w:t>
      </w:r>
      <w:r w:rsidRPr="0019005E">
        <w:t xml:space="preserve"> should be consistent with the process</w:t>
      </w:r>
      <w:r w:rsidR="00EA31F0" w:rsidRPr="0019005E">
        <w:t>es</w:t>
      </w:r>
      <w:r w:rsidRPr="0019005E">
        <w:t xml:space="preserve"> followed by the </w:t>
      </w:r>
      <w:r w:rsidR="00BA64E6" w:rsidRPr="0019005E">
        <w:t>Department</w:t>
      </w:r>
      <w:r w:rsidRPr="0019005E">
        <w:t xml:space="preserve">. This will assist the </w:t>
      </w:r>
      <w:r w:rsidR="0079018F" w:rsidRPr="0019005E">
        <w:t>CEP</w:t>
      </w:r>
      <w:r w:rsidRPr="0019005E">
        <w:t xml:space="preserve"> in remaining focused and oriented upon providing relevant </w:t>
      </w:r>
      <w:proofErr w:type="gramStart"/>
      <w:r w:rsidRPr="0019005E">
        <w:t>expertise, and</w:t>
      </w:r>
      <w:proofErr w:type="gramEnd"/>
      <w:r w:rsidRPr="0019005E">
        <w:t xml:space="preserve"> heighten the level of impartiality and scrutiny required by members in assessing applications. </w:t>
      </w:r>
    </w:p>
    <w:p w14:paraId="5C5FBE1B" w14:textId="64F26EBB" w:rsidR="000E557F" w:rsidRPr="0019005E" w:rsidRDefault="000E557F" w:rsidP="0019005E">
      <w:r w:rsidRPr="0019005E">
        <w:t xml:space="preserve">Where a </w:t>
      </w:r>
      <w:r w:rsidR="001D242C" w:rsidRPr="0019005E">
        <w:t>question</w:t>
      </w:r>
      <w:r w:rsidRPr="0019005E">
        <w:t xml:space="preserve"> of a medical device’s safety and efficacy is raised in advice from the </w:t>
      </w:r>
      <w:r w:rsidR="0079018F" w:rsidRPr="0019005E">
        <w:t>CEP</w:t>
      </w:r>
      <w:r w:rsidRPr="0019005E">
        <w:t>, this matter should be referred to the TGA. A</w:t>
      </w:r>
      <w:r w:rsidR="001D242C" w:rsidRPr="0019005E">
        <w:t>ny a</w:t>
      </w:r>
      <w:r w:rsidRPr="0019005E">
        <w:t xml:space="preserve">dvice from the </w:t>
      </w:r>
      <w:r w:rsidR="0079018F" w:rsidRPr="0019005E">
        <w:t>CEP</w:t>
      </w:r>
      <w:r w:rsidRPr="0019005E">
        <w:t xml:space="preserve"> which constitutes as safety and efficacy should not be included in advice to </w:t>
      </w:r>
      <w:r w:rsidR="001D242C" w:rsidRPr="0019005E">
        <w:t xml:space="preserve">the </w:t>
      </w:r>
      <w:r w:rsidR="001629F0" w:rsidRPr="0019005E">
        <w:t>PLCAC</w:t>
      </w:r>
      <w:r w:rsidR="001D242C" w:rsidRPr="0019005E">
        <w:t xml:space="preserve"> as they are not constituted to do so. </w:t>
      </w:r>
    </w:p>
    <w:p w14:paraId="3EC8146F" w14:textId="77777777" w:rsidR="00EA39C2" w:rsidRPr="00D2484E" w:rsidRDefault="00EA39C2" w:rsidP="000066A2">
      <w:pPr>
        <w:pStyle w:val="Heading3"/>
      </w:pPr>
      <w:r w:rsidRPr="00D2484E">
        <w:t>Membership</w:t>
      </w:r>
    </w:p>
    <w:p w14:paraId="6E115F28" w14:textId="5C7D5E24" w:rsidR="00EA39C2" w:rsidRPr="0019005E" w:rsidRDefault="000E557F" w:rsidP="0019005E">
      <w:r w:rsidRPr="00D2484E">
        <w:t>T</w:t>
      </w:r>
      <w:r w:rsidRPr="0019005E">
        <w:t xml:space="preserve">he </w:t>
      </w:r>
      <w:r w:rsidR="006F170D" w:rsidRPr="0019005E">
        <w:t xml:space="preserve">Department </w:t>
      </w:r>
      <w:r w:rsidRPr="0019005E">
        <w:t xml:space="preserve">should place significant consideration into how it manages and arranges the </w:t>
      </w:r>
      <w:r w:rsidR="0079018F" w:rsidRPr="0019005E">
        <w:t>CEP</w:t>
      </w:r>
      <w:r w:rsidRPr="0019005E">
        <w:t xml:space="preserve">. It should not merely transpose CAG members onto the </w:t>
      </w:r>
      <w:proofErr w:type="gramStart"/>
      <w:r w:rsidR="0079018F" w:rsidRPr="0019005E">
        <w:t>CEP</w:t>
      </w:r>
      <w:r w:rsidR="00EA39C2" w:rsidRPr="0019005E">
        <w:t>, but</w:t>
      </w:r>
      <w:proofErr w:type="gramEnd"/>
      <w:r w:rsidR="00EA39C2" w:rsidRPr="0019005E">
        <w:t xml:space="preserve"> identify those with the relevant functional clinical expertise required for the </w:t>
      </w:r>
      <w:r w:rsidR="00976360" w:rsidRPr="0019005E">
        <w:t xml:space="preserve">Department </w:t>
      </w:r>
      <w:r w:rsidR="00EA39C2" w:rsidRPr="0019005E">
        <w:t xml:space="preserve">and </w:t>
      </w:r>
      <w:r w:rsidR="001629F0" w:rsidRPr="0019005E">
        <w:t>PLCAC</w:t>
      </w:r>
      <w:r w:rsidR="00EA39C2" w:rsidRPr="0019005E">
        <w:t xml:space="preserve"> to fulfill their respective functions. Given the significant volume and complexity in orthopaedics and cardiology, the CEP </w:t>
      </w:r>
      <w:r w:rsidRPr="0019005E">
        <w:t>should</w:t>
      </w:r>
      <w:r w:rsidR="00EA39C2" w:rsidRPr="0019005E">
        <w:t xml:space="preserve">, at a minimum, have functional clinical expertise in these specialisations. </w:t>
      </w:r>
    </w:p>
    <w:p w14:paraId="7541300D" w14:textId="0A8B92D6" w:rsidR="000E557F" w:rsidRDefault="004B2675" w:rsidP="0019005E">
      <w:r w:rsidRPr="0019005E">
        <w:t xml:space="preserve">The Department </w:t>
      </w:r>
      <w:r w:rsidR="000E557F" w:rsidRPr="0019005E">
        <w:t xml:space="preserve">should </w:t>
      </w:r>
      <w:r w:rsidRPr="0019005E">
        <w:t>also</w:t>
      </w:r>
      <w:r w:rsidR="000E557F" w:rsidRPr="0019005E">
        <w:t xml:space="preserve"> consider how perceived, </w:t>
      </w:r>
      <w:proofErr w:type="gramStart"/>
      <w:r w:rsidR="000E557F" w:rsidRPr="0019005E">
        <w:t>actual</w:t>
      </w:r>
      <w:proofErr w:type="gramEnd"/>
      <w:r w:rsidR="000E557F" w:rsidRPr="0019005E">
        <w:t xml:space="preserve"> and potential conflicts will be mana</w:t>
      </w:r>
      <w:r w:rsidR="000E557F" w:rsidRPr="00D2484E">
        <w:t xml:space="preserve">ged. </w:t>
      </w:r>
    </w:p>
    <w:p w14:paraId="0F681D21" w14:textId="77777777" w:rsidR="000066A2" w:rsidRDefault="000066A2" w:rsidP="000066A2">
      <w:pPr>
        <w:pStyle w:val="Boxtextoptions"/>
      </w:pPr>
      <w:r w:rsidRPr="000066A2">
        <w:rPr>
          <w:rStyle w:val="Strong"/>
        </w:rPr>
        <w:t>Recommendation 3</w:t>
      </w:r>
      <w:r>
        <w:t>: Improve functional relationships between HTA committees</w:t>
      </w:r>
    </w:p>
    <w:p w14:paraId="28323DE7" w14:textId="77777777" w:rsidR="000066A2" w:rsidRDefault="000066A2" w:rsidP="000066A2">
      <w:pPr>
        <w:pStyle w:val="Boxtextoptions"/>
      </w:pPr>
      <w:r>
        <w:t xml:space="preserve">Processes for each HTA committee to access the relevant expertise of other HTA committees should be established. The MSAC, PBAC, IHPA and the TGA should be provided access to the PLCAC and the CEP to advise on clinical matters upon request. </w:t>
      </w:r>
    </w:p>
    <w:p w14:paraId="2A7D8243" w14:textId="37F12F7D" w:rsidR="000066A2" w:rsidRDefault="000066A2" w:rsidP="000066A2">
      <w:pPr>
        <w:pStyle w:val="Boxtextoptions"/>
      </w:pPr>
      <w:r>
        <w:lastRenderedPageBreak/>
        <w:t>Further, the PLCAC should strengthen the functional relationships with these bodies and their sub-committees and refer relevant matters to these bodies to enhance its advisory functions.</w:t>
      </w:r>
    </w:p>
    <w:p w14:paraId="2BFB18C9" w14:textId="77777777" w:rsidR="000066A2" w:rsidRDefault="000066A2" w:rsidP="000066A2">
      <w:pPr>
        <w:pStyle w:val="Boxtext"/>
      </w:pPr>
      <w:r w:rsidRPr="000066A2">
        <w:rPr>
          <w:rStyle w:val="Strong"/>
        </w:rPr>
        <w:t>Rationale</w:t>
      </w:r>
      <w:r>
        <w:t>: The establishment of the PLCAC and the CEP provides an opportunity to make their expertise available to other HTA committees (the MSAC, IHPA and the TGA), which may enhance collaboration and functionality between the PLCAC and other committees. This will benefit HTA more broadly through reduced duplication of efforts and better use of the full range of skills available to the Department.</w:t>
      </w:r>
    </w:p>
    <w:p w14:paraId="5AF2A5B1" w14:textId="77777777" w:rsidR="000066A2" w:rsidRDefault="000066A2" w:rsidP="000066A2">
      <w:pPr>
        <w:pStyle w:val="Boxtext"/>
      </w:pPr>
      <w:r>
        <w:t>To facilitate this, the PLCAC and CEP should strengthen its functional relationships with other HTA committees.</w:t>
      </w:r>
    </w:p>
    <w:p w14:paraId="29CB6CDD" w14:textId="77777777" w:rsidR="000066A2" w:rsidRDefault="000066A2" w:rsidP="000066A2">
      <w:pPr>
        <w:pStyle w:val="Boxtext"/>
      </w:pPr>
      <w:r w:rsidRPr="000066A2">
        <w:rPr>
          <w:rStyle w:val="Strong"/>
        </w:rPr>
        <w:t>Relevant Findings</w:t>
      </w:r>
      <w:r>
        <w:t>:</w:t>
      </w:r>
    </w:p>
    <w:p w14:paraId="7C1C33E5" w14:textId="77777777" w:rsidR="000066A2" w:rsidRDefault="000066A2" w:rsidP="000066A2">
      <w:pPr>
        <w:pStyle w:val="Boxtext"/>
      </w:pPr>
      <w:r>
        <w:t>Finding 4 – Consistency of advice from the PLAC</w:t>
      </w:r>
    </w:p>
    <w:p w14:paraId="278CD284" w14:textId="60FFE1AF" w:rsidR="000066A2" w:rsidRPr="00D2484E" w:rsidRDefault="000066A2" w:rsidP="000066A2">
      <w:pPr>
        <w:pStyle w:val="Boxtext"/>
      </w:pPr>
      <w:r>
        <w:t>Finding 5 - Relationship with the MSAC, the PBAC, the TGA and IHPA</w:t>
      </w:r>
    </w:p>
    <w:p w14:paraId="54D8CD06" w14:textId="5631B120" w:rsidR="000E557F" w:rsidRPr="00D2484E" w:rsidRDefault="000E557F" w:rsidP="000066A2">
      <w:pPr>
        <w:pStyle w:val="Heading3"/>
      </w:pPr>
      <w:r w:rsidRPr="00D2484E">
        <w:t xml:space="preserve">Referrals to and from the </w:t>
      </w:r>
      <w:r w:rsidR="001629F0" w:rsidRPr="00D2484E">
        <w:t>PLCAC</w:t>
      </w:r>
      <w:r w:rsidRPr="00D2484E">
        <w:t xml:space="preserve"> and </w:t>
      </w:r>
      <w:r w:rsidR="00EC7D8D" w:rsidRPr="00D2484E">
        <w:t xml:space="preserve">the </w:t>
      </w:r>
      <w:r w:rsidR="0079018F" w:rsidRPr="00D2484E">
        <w:t>CEP</w:t>
      </w:r>
    </w:p>
    <w:p w14:paraId="03BE3819" w14:textId="4B64EE0B" w:rsidR="00566ED2" w:rsidRPr="0019005E" w:rsidRDefault="00566ED2" w:rsidP="0019005E">
      <w:r w:rsidRPr="00D2484E">
        <w:t>H</w:t>
      </w:r>
      <w:r w:rsidRPr="0019005E">
        <w:t xml:space="preserve">TA in Australia </w:t>
      </w:r>
      <w:r w:rsidR="0070747E" w:rsidRPr="0019005E">
        <w:t xml:space="preserve">will </w:t>
      </w:r>
      <w:r w:rsidRPr="0019005E">
        <w:t xml:space="preserve">be enhanced through increasing access to the </w:t>
      </w:r>
      <w:r w:rsidR="001629F0" w:rsidRPr="0019005E">
        <w:t>PLCAC</w:t>
      </w:r>
      <w:r w:rsidRPr="0019005E">
        <w:t xml:space="preserve"> and </w:t>
      </w:r>
      <w:r w:rsidR="00840E3F" w:rsidRPr="0019005E">
        <w:t xml:space="preserve">the </w:t>
      </w:r>
      <w:r w:rsidRPr="0019005E">
        <w:t xml:space="preserve">CEP by HTA committees and other relevant bodies. </w:t>
      </w:r>
    </w:p>
    <w:p w14:paraId="224F31F0" w14:textId="7A0CF888" w:rsidR="00FB717B" w:rsidRPr="0019005E" w:rsidRDefault="000E557F" w:rsidP="0019005E">
      <w:r w:rsidRPr="0019005E">
        <w:t xml:space="preserve">The reconstitution of the </w:t>
      </w:r>
      <w:r w:rsidR="001629F0" w:rsidRPr="0019005E">
        <w:t>PLCAC</w:t>
      </w:r>
      <w:r w:rsidRPr="0019005E">
        <w:t xml:space="preserve"> and </w:t>
      </w:r>
      <w:r w:rsidR="004B1570" w:rsidRPr="0019005E">
        <w:t xml:space="preserve">the </w:t>
      </w:r>
      <w:r w:rsidR="0079018F" w:rsidRPr="0019005E">
        <w:t>CEP</w:t>
      </w:r>
      <w:r w:rsidRPr="0019005E">
        <w:t xml:space="preserve"> emphasise </w:t>
      </w:r>
      <w:r w:rsidR="00FC4008" w:rsidRPr="0019005E">
        <w:t xml:space="preserve">the need for </w:t>
      </w:r>
      <w:r w:rsidRPr="0019005E">
        <w:t xml:space="preserve">functional clinical acumen and expertise to rigorously test medical devices for their clinical and cost effectiveness. </w:t>
      </w:r>
    </w:p>
    <w:p w14:paraId="1D9D9FA8" w14:textId="5EA75FC2" w:rsidR="00FB717B" w:rsidRPr="0019005E" w:rsidRDefault="00FB717B" w:rsidP="0019005E">
      <w:r w:rsidRPr="0019005E">
        <w:t xml:space="preserve">Governing documents, such as terms of reference and operating guidance, should outline arrangements to enable HTA and other various bodies to access the </w:t>
      </w:r>
      <w:r w:rsidR="001629F0" w:rsidRPr="0019005E">
        <w:t>PLCAC</w:t>
      </w:r>
      <w:r w:rsidRPr="0019005E">
        <w:t xml:space="preserve"> and the CEP.</w:t>
      </w:r>
    </w:p>
    <w:p w14:paraId="1E1218F8" w14:textId="494DB7A9" w:rsidR="000E557F" w:rsidRPr="0019005E" w:rsidRDefault="000E557F" w:rsidP="0019005E">
      <w:r w:rsidRPr="0019005E">
        <w:t xml:space="preserve">Referral and relational pathways should be redefined to provide clarification across all HTA committees as to the </w:t>
      </w:r>
      <w:r w:rsidR="001629F0" w:rsidRPr="0019005E">
        <w:t>PLCAC</w:t>
      </w:r>
      <w:r w:rsidRPr="0019005E">
        <w:t xml:space="preserve">’s revised role in HTA, and the circumstances in which referrals and advice may be sought from the </w:t>
      </w:r>
      <w:r w:rsidR="001629F0" w:rsidRPr="0019005E">
        <w:t>PLCAC</w:t>
      </w:r>
      <w:r w:rsidRPr="0019005E">
        <w:t xml:space="preserve">. These should be developed and harmonised with the development of the </w:t>
      </w:r>
      <w:r w:rsidR="001629F0" w:rsidRPr="0019005E">
        <w:t>PLCAC</w:t>
      </w:r>
      <w:r w:rsidRPr="0019005E">
        <w:t xml:space="preserve">’s assessment and outward referral criteria. This will ensure that the </w:t>
      </w:r>
      <w:r w:rsidR="001629F0" w:rsidRPr="0019005E">
        <w:t>PLCAC</w:t>
      </w:r>
      <w:r w:rsidRPr="0019005E">
        <w:t xml:space="preserve"> has clarity in its role </w:t>
      </w:r>
      <w:r w:rsidR="003D06F5" w:rsidRPr="0019005E">
        <w:t xml:space="preserve">of </w:t>
      </w:r>
      <w:r w:rsidRPr="0019005E">
        <w:t xml:space="preserve">supporting </w:t>
      </w:r>
      <w:r w:rsidR="000C4E43" w:rsidRPr="0019005E">
        <w:t xml:space="preserve">governance </w:t>
      </w:r>
      <w:r w:rsidRPr="0019005E">
        <w:t xml:space="preserve">of the </w:t>
      </w:r>
      <w:r w:rsidR="00452733" w:rsidRPr="0019005E">
        <w:t>P</w:t>
      </w:r>
      <w:r w:rsidR="00793E99" w:rsidRPr="0019005E">
        <w:t>rostheses List</w:t>
      </w:r>
      <w:r w:rsidRPr="0019005E">
        <w:t xml:space="preserve"> and enhance its advisory capabilities. </w:t>
      </w:r>
    </w:p>
    <w:p w14:paraId="7E8D057B" w14:textId="3B327E63" w:rsidR="00781A8E" w:rsidRPr="0019005E" w:rsidRDefault="000E557F" w:rsidP="0019005E">
      <w:r w:rsidRPr="0019005E">
        <w:t xml:space="preserve">Further efforts may consider a variety of approaches, such as increased information sharing and updates between committees, or reviewing administrative arrangements to streamline referrals between bodies. Requests for advice from the </w:t>
      </w:r>
      <w:r w:rsidR="001629F0" w:rsidRPr="0019005E">
        <w:t>PLCAC</w:t>
      </w:r>
      <w:r w:rsidRPr="0019005E">
        <w:t xml:space="preserve"> and </w:t>
      </w:r>
      <w:r w:rsidR="007B0A77" w:rsidRPr="0019005E">
        <w:t xml:space="preserve">the </w:t>
      </w:r>
      <w:r w:rsidR="0079018F" w:rsidRPr="0019005E">
        <w:t>CEP</w:t>
      </w:r>
      <w:r w:rsidRPr="0019005E">
        <w:t xml:space="preserve"> should align with new documentary </w:t>
      </w:r>
      <w:r w:rsidR="00987FD9" w:rsidRPr="0019005E">
        <w:t>standards</w:t>
      </w:r>
      <w:r w:rsidRPr="0019005E">
        <w:t xml:space="preserve">. </w:t>
      </w:r>
    </w:p>
    <w:p w14:paraId="705A00AA" w14:textId="55D09223" w:rsidR="000E557F" w:rsidRPr="0019005E" w:rsidRDefault="000E557F" w:rsidP="0019005E">
      <w:r w:rsidRPr="0019005E">
        <w:t xml:space="preserve">Uplifting the quality and consistency of advice issued by the </w:t>
      </w:r>
      <w:r w:rsidR="001629F0" w:rsidRPr="0019005E">
        <w:t>PLCAC</w:t>
      </w:r>
      <w:r w:rsidRPr="0019005E">
        <w:t xml:space="preserve"> and </w:t>
      </w:r>
      <w:r w:rsidR="008C1342" w:rsidRPr="0019005E">
        <w:t xml:space="preserve">the </w:t>
      </w:r>
      <w:r w:rsidR="0079018F" w:rsidRPr="0019005E">
        <w:t>CEP</w:t>
      </w:r>
      <w:r w:rsidRPr="0019005E">
        <w:t xml:space="preserve"> will engender external confidence in the </w:t>
      </w:r>
      <w:r w:rsidR="001629F0" w:rsidRPr="0019005E">
        <w:t>PLCAC</w:t>
      </w:r>
      <w:r w:rsidRPr="0019005E">
        <w:t xml:space="preserve"> and </w:t>
      </w:r>
      <w:r w:rsidR="008C1342" w:rsidRPr="0019005E">
        <w:t xml:space="preserve">the </w:t>
      </w:r>
      <w:proofErr w:type="gramStart"/>
      <w:r w:rsidR="008C1342" w:rsidRPr="0019005E">
        <w:t>CEP,</w:t>
      </w:r>
      <w:r w:rsidRPr="0019005E">
        <w:t xml:space="preserve"> and</w:t>
      </w:r>
      <w:proofErr w:type="gramEnd"/>
      <w:r w:rsidRPr="0019005E">
        <w:t xml:space="preserve"> contribute to broader enhancements of HTA. </w:t>
      </w:r>
    </w:p>
    <w:p w14:paraId="46F50A03" w14:textId="09C3F6D6" w:rsidR="000066A2" w:rsidRPr="000066A2" w:rsidRDefault="000066A2" w:rsidP="000066A2">
      <w:pPr>
        <w:pStyle w:val="Boxtextoptions"/>
      </w:pPr>
      <w:r w:rsidRPr="000066A2">
        <w:rPr>
          <w:rStyle w:val="Strong"/>
        </w:rPr>
        <w:t>Recommendation 4</w:t>
      </w:r>
      <w:r w:rsidRPr="000066A2">
        <w:t>: Introduce regular reviews of clinical appropriateness and utilisation medical device</w:t>
      </w:r>
    </w:p>
    <w:p w14:paraId="418DE3D7" w14:textId="77777777" w:rsidR="000066A2" w:rsidRPr="000066A2" w:rsidRDefault="000066A2" w:rsidP="000066A2">
      <w:pPr>
        <w:pStyle w:val="Boxtextoptions"/>
      </w:pPr>
      <w:r w:rsidRPr="000066A2">
        <w:t xml:space="preserve">Reviews of the clinical appropriateness, </w:t>
      </w:r>
      <w:proofErr w:type="gramStart"/>
      <w:r w:rsidRPr="000066A2">
        <w:t>utilisation</w:t>
      </w:r>
      <w:proofErr w:type="gramEnd"/>
      <w:r w:rsidRPr="000066A2">
        <w:t xml:space="preserve"> and benefits of medical devices on the Prostheses List should occur more regularly. The PLCAC should regularly make recommendations to remove obsolete and ineffective medical devices and consider advice for the Department on the revision of benefits where price and unexpected utilisation movements have been noted in the domestic or international market for listed medical devices. </w:t>
      </w:r>
    </w:p>
    <w:p w14:paraId="7B6A8545" w14:textId="77777777" w:rsidR="000066A2" w:rsidRPr="000066A2" w:rsidRDefault="000066A2" w:rsidP="000066A2">
      <w:pPr>
        <w:pStyle w:val="Boxtextoptions"/>
      </w:pPr>
      <w:r w:rsidRPr="000066A2">
        <w:t>Disputed post-listing benefit revisions should be discussed by industry and funding representatives at the PLIWG for consideration by the Department.</w:t>
      </w:r>
    </w:p>
    <w:p w14:paraId="4087A3EC" w14:textId="77777777" w:rsidR="000066A2" w:rsidRPr="000066A2" w:rsidRDefault="000066A2" w:rsidP="000066A2">
      <w:pPr>
        <w:pStyle w:val="Boxtext"/>
      </w:pPr>
      <w:r w:rsidRPr="000066A2">
        <w:rPr>
          <w:rStyle w:val="Strong"/>
        </w:rPr>
        <w:t>Rationale</w:t>
      </w:r>
      <w:r w:rsidRPr="000066A2">
        <w:t>:  Regular review will ensure that products on the Prostheses List are continuously and rigorously tested for clinical effectiveness and value for money, which will drive competition and encourage industry innovation.</w:t>
      </w:r>
    </w:p>
    <w:p w14:paraId="2EA87851" w14:textId="77777777" w:rsidR="000066A2" w:rsidRPr="000066A2" w:rsidRDefault="000066A2" w:rsidP="000066A2">
      <w:pPr>
        <w:pStyle w:val="Boxtext"/>
      </w:pPr>
      <w:r w:rsidRPr="000066A2">
        <w:rPr>
          <w:rStyle w:val="Strong"/>
        </w:rPr>
        <w:lastRenderedPageBreak/>
        <w:t>Relevant Findings</w:t>
      </w:r>
      <w:r w:rsidRPr="000066A2">
        <w:t>:</w:t>
      </w:r>
    </w:p>
    <w:p w14:paraId="101C7E44" w14:textId="77777777" w:rsidR="000066A2" w:rsidRPr="000066A2" w:rsidRDefault="000066A2" w:rsidP="000066A2">
      <w:pPr>
        <w:pStyle w:val="Boxtext"/>
      </w:pPr>
      <w:r w:rsidRPr="000066A2">
        <w:t>Finding 3 - Support from the Department</w:t>
      </w:r>
    </w:p>
    <w:p w14:paraId="680A47E3" w14:textId="3024AB14" w:rsidR="000C146F" w:rsidRPr="00D2484E" w:rsidRDefault="000066A2" w:rsidP="000066A2">
      <w:pPr>
        <w:pStyle w:val="Boxtext"/>
      </w:pPr>
      <w:r w:rsidRPr="000066A2">
        <w:t>Finding 4 – Consistency of advice from the PLAC</w:t>
      </w:r>
    </w:p>
    <w:p w14:paraId="1323EBDF" w14:textId="436604B9" w:rsidR="000E557F" w:rsidRPr="00D2484E" w:rsidRDefault="7B825658" w:rsidP="00F25D6C">
      <w:pPr>
        <w:pStyle w:val="Heading3"/>
      </w:pPr>
      <w:r w:rsidRPr="00D2484E">
        <w:t>R</w:t>
      </w:r>
      <w:r w:rsidR="000E557F" w:rsidRPr="00D2484E">
        <w:t xml:space="preserve">egular review of the </w:t>
      </w:r>
      <w:r w:rsidR="00894E53" w:rsidRPr="00D2484E">
        <w:t>Prostheses List</w:t>
      </w:r>
    </w:p>
    <w:p w14:paraId="031E3920" w14:textId="0BE716F7" w:rsidR="00F51A90" w:rsidRPr="0019005E" w:rsidRDefault="000E557F" w:rsidP="0019005E">
      <w:r w:rsidRPr="00D2484E">
        <w:t>T</w:t>
      </w:r>
      <w:r w:rsidR="00E35237" w:rsidRPr="00D2484E">
        <w:t>o</w:t>
      </w:r>
      <w:r w:rsidRPr="00D2484E">
        <w:t xml:space="preserve"> rectify ongoing concern of the P</w:t>
      </w:r>
      <w:r w:rsidR="00C259E0" w:rsidRPr="00D2484E">
        <w:t>L</w:t>
      </w:r>
      <w:r w:rsidRPr="00D2484E">
        <w:t xml:space="preserve">AC’s limited fulfilment of </w:t>
      </w:r>
      <w:r w:rsidR="00546147" w:rsidRPr="00D2484E">
        <w:t xml:space="preserve">post-listing </w:t>
      </w:r>
      <w:r w:rsidRPr="00D2484E">
        <w:t xml:space="preserve">review, the reconstituted </w:t>
      </w:r>
      <w:r w:rsidR="001629F0" w:rsidRPr="00D2484E">
        <w:t>PLCAC</w:t>
      </w:r>
      <w:r w:rsidR="00FF5CF9" w:rsidRPr="00D2484E">
        <w:t>’s</w:t>
      </w:r>
      <w:r w:rsidRPr="00D2484E">
        <w:t xml:space="preserve"> </w:t>
      </w:r>
      <w:r w:rsidR="00F51A90" w:rsidRPr="00D2484E">
        <w:t>t</w:t>
      </w:r>
      <w:r w:rsidRPr="00D2484E">
        <w:t xml:space="preserve">erms of </w:t>
      </w:r>
      <w:r w:rsidR="00F51A90" w:rsidRPr="00D2484E">
        <w:t>r</w:t>
      </w:r>
      <w:r w:rsidRPr="00D2484E">
        <w:t xml:space="preserve">eference and any operating guidelines should uplift its responsibility </w:t>
      </w:r>
      <w:r w:rsidRPr="0019005E">
        <w:t xml:space="preserve">for </w:t>
      </w:r>
      <w:r w:rsidR="00C31F9B" w:rsidRPr="0019005E">
        <w:t>post-listing monitoring</w:t>
      </w:r>
      <w:r w:rsidRPr="0019005E">
        <w:t xml:space="preserve"> of medical devices upon the </w:t>
      </w:r>
      <w:r w:rsidR="00894E53" w:rsidRPr="0019005E">
        <w:t>Prostheses List</w:t>
      </w:r>
      <w:r w:rsidRPr="0019005E">
        <w:t xml:space="preserve">. </w:t>
      </w:r>
    </w:p>
    <w:p w14:paraId="641C7DC9" w14:textId="72994F06" w:rsidR="000E557F" w:rsidRPr="0019005E" w:rsidRDefault="000E557F" w:rsidP="0019005E">
      <w:r w:rsidRPr="0019005E">
        <w:t xml:space="preserve">Reconstitution should be supported through the introduction of new criteria to support triggering a review. </w:t>
      </w:r>
    </w:p>
    <w:p w14:paraId="1A43267A" w14:textId="31BFA59A" w:rsidR="00F51A90" w:rsidRPr="0019005E" w:rsidRDefault="000E557F" w:rsidP="0019005E">
      <w:r w:rsidRPr="0019005E">
        <w:t xml:space="preserve">Revisions to the </w:t>
      </w:r>
      <w:r w:rsidR="001629F0" w:rsidRPr="0019005E">
        <w:t>PLCAC</w:t>
      </w:r>
      <w:r w:rsidRPr="0019005E">
        <w:t xml:space="preserve"> </w:t>
      </w:r>
      <w:r w:rsidR="00F51A90" w:rsidRPr="0019005E">
        <w:t>t</w:t>
      </w:r>
      <w:r w:rsidRPr="0019005E">
        <w:t xml:space="preserve">erms of </w:t>
      </w:r>
      <w:r w:rsidR="00F51A90" w:rsidRPr="0019005E">
        <w:t>r</w:t>
      </w:r>
      <w:r w:rsidRPr="0019005E">
        <w:t xml:space="preserve">eference and any operating guidelines should align the </w:t>
      </w:r>
      <w:r w:rsidR="001629F0" w:rsidRPr="0019005E">
        <w:t>PLCAC</w:t>
      </w:r>
      <w:r w:rsidRPr="0019005E">
        <w:t>’s priorit</w:t>
      </w:r>
      <w:r w:rsidR="003752C2" w:rsidRPr="0019005E">
        <w:t>ies</w:t>
      </w:r>
      <w:r w:rsidRPr="0019005E">
        <w:t xml:space="preserve"> across both assessing new applications and benefits setting with regular review, and the </w:t>
      </w:r>
      <w:r w:rsidR="001629F0" w:rsidRPr="0019005E">
        <w:t>PLCAC</w:t>
      </w:r>
      <w:r w:rsidRPr="0019005E">
        <w:t xml:space="preserve"> should, in practice, not discriminate or prioritise </w:t>
      </w:r>
      <w:r w:rsidR="00F51A90" w:rsidRPr="0019005E">
        <w:t>fulfillment of</w:t>
      </w:r>
      <w:r w:rsidRPr="0019005E">
        <w:t xml:space="preserve"> one against the other. Reviews of significant medical devices should constitute as a standing item at each </w:t>
      </w:r>
      <w:r w:rsidR="001629F0" w:rsidRPr="0019005E">
        <w:t>PLCAC</w:t>
      </w:r>
      <w:r w:rsidRPr="0019005E">
        <w:t xml:space="preserve"> </w:t>
      </w:r>
      <w:r w:rsidR="004C3C12" w:rsidRPr="0019005E">
        <w:t>Meeting</w:t>
      </w:r>
      <w:r w:rsidRPr="0019005E">
        <w:t xml:space="preserve">. </w:t>
      </w:r>
    </w:p>
    <w:p w14:paraId="34127591" w14:textId="2040C3D0" w:rsidR="000E557F" w:rsidRPr="00D2484E" w:rsidRDefault="000E557F" w:rsidP="0019005E">
      <w:r w:rsidRPr="0019005E">
        <w:t xml:space="preserve">To support this, the </w:t>
      </w:r>
      <w:r w:rsidR="00A0185C" w:rsidRPr="0019005E">
        <w:t>Department</w:t>
      </w:r>
      <w:r w:rsidR="0056608A" w:rsidRPr="0019005E">
        <w:t xml:space="preserve"> </w:t>
      </w:r>
      <w:r w:rsidRPr="0019005E">
        <w:t xml:space="preserve">should provide reasons for a medical device’s review, to guide the </w:t>
      </w:r>
      <w:r w:rsidR="001629F0" w:rsidRPr="0019005E">
        <w:t>PLCAC</w:t>
      </w:r>
      <w:r w:rsidRPr="0019005E">
        <w:t>’s review discussions</w:t>
      </w:r>
      <w:r w:rsidRPr="00D2484E">
        <w:t xml:space="preserve"> and ensure sustained focus upon scrutinising the item’s continued clinical appropriateness and cost effectiveness. Reasons may include:</w:t>
      </w:r>
    </w:p>
    <w:p w14:paraId="43350495" w14:textId="77777777" w:rsidR="000E557F" w:rsidRPr="00D2484E" w:rsidRDefault="000E557F" w:rsidP="002D1775">
      <w:pPr>
        <w:pStyle w:val="EYBullet1"/>
      </w:pPr>
      <w:r w:rsidRPr="00D2484E">
        <w:rPr>
          <w:b/>
        </w:rPr>
        <w:t xml:space="preserve">Obsolescence: </w:t>
      </w:r>
      <w:r w:rsidRPr="00D2484E">
        <w:t xml:space="preserve">A medical device may be grandfathered, become obsolete or no longer available upon the market, and therefore should be removed from the list. </w:t>
      </w:r>
    </w:p>
    <w:p w14:paraId="63FD97DA" w14:textId="61A614D1" w:rsidR="000E557F" w:rsidRPr="00D2484E" w:rsidRDefault="000E557F" w:rsidP="002D1775">
      <w:pPr>
        <w:pStyle w:val="EYBullet1"/>
      </w:pPr>
      <w:r w:rsidRPr="00D2484E">
        <w:rPr>
          <w:b/>
        </w:rPr>
        <w:t>Clinically ineffective:</w:t>
      </w:r>
      <w:r w:rsidRPr="00D2484E">
        <w:t xml:space="preserve"> </w:t>
      </w:r>
      <w:proofErr w:type="gramStart"/>
      <w:r w:rsidRPr="00D2484E">
        <w:t>Post-market</w:t>
      </w:r>
      <w:proofErr w:type="gramEnd"/>
      <w:r w:rsidRPr="00D2484E">
        <w:t xml:space="preserve"> surveillance data has demonstrated that the medical device is not clinically effective compared to others on the market. This may include where devices lead to increased remedial work or infections.</w:t>
      </w:r>
    </w:p>
    <w:p w14:paraId="52D4DA12" w14:textId="3DAC6A97" w:rsidR="000E557F" w:rsidRPr="0019005E" w:rsidRDefault="00B73A60" w:rsidP="0019005E">
      <w:r w:rsidRPr="00D2484E">
        <w:t>Given</w:t>
      </w:r>
      <w:r w:rsidR="00C932E2" w:rsidRPr="00D2484E">
        <w:t xml:space="preserve"> the potential for obsolescence and </w:t>
      </w:r>
      <w:r w:rsidR="008409D0" w:rsidRPr="00D2484E">
        <w:t xml:space="preserve">clinical ineffectiveness, </w:t>
      </w:r>
      <w:r w:rsidR="00673BA2" w:rsidRPr="00D2484E">
        <w:t xml:space="preserve">there is a </w:t>
      </w:r>
      <w:r w:rsidR="00FC7D55" w:rsidRPr="00D2484E">
        <w:t xml:space="preserve">need for a </w:t>
      </w:r>
      <w:r w:rsidR="002E1B13" w:rsidRPr="00D2484E">
        <w:t xml:space="preserve">pre-determined </w:t>
      </w:r>
      <w:r w:rsidR="0001652D" w:rsidRPr="00D2484E">
        <w:t xml:space="preserve">post-listing review date </w:t>
      </w:r>
      <w:r w:rsidR="00673BA2" w:rsidRPr="00D2484E">
        <w:t>to accompany</w:t>
      </w:r>
      <w:r w:rsidR="000E557F" w:rsidRPr="00D2484E">
        <w:t xml:space="preserve"> all new items</w:t>
      </w:r>
      <w:r w:rsidR="00F95E64" w:rsidRPr="00D2484E">
        <w:t xml:space="preserve">. </w:t>
      </w:r>
      <w:r w:rsidR="000E557F" w:rsidRPr="00D2484E">
        <w:t xml:space="preserve">This may be particularly </w:t>
      </w:r>
      <w:r w:rsidR="000E557F" w:rsidRPr="0019005E">
        <w:t xml:space="preserve">relevant where the market has demonstrated rapid innovation for certain medical technologies. </w:t>
      </w:r>
    </w:p>
    <w:p w14:paraId="4ABEBF5A" w14:textId="1F2FF50E" w:rsidR="000E557F" w:rsidRPr="0019005E" w:rsidRDefault="001B77F6" w:rsidP="0019005E">
      <w:r w:rsidRPr="0019005E">
        <w:t>Regular review of the Prostheses List will demonstrate t</w:t>
      </w:r>
      <w:r w:rsidR="00865FE8" w:rsidRPr="0019005E">
        <w:t xml:space="preserve">he </w:t>
      </w:r>
      <w:r w:rsidR="001629F0" w:rsidRPr="0019005E">
        <w:t>PLCAC</w:t>
      </w:r>
      <w:r w:rsidR="00865FE8" w:rsidRPr="0019005E">
        <w:t xml:space="preserve">’s efforts to increase accountability, </w:t>
      </w:r>
      <w:proofErr w:type="gramStart"/>
      <w:r w:rsidR="00865FE8" w:rsidRPr="0019005E">
        <w:t>transparency</w:t>
      </w:r>
      <w:proofErr w:type="gramEnd"/>
      <w:r w:rsidR="00865FE8" w:rsidRPr="0019005E">
        <w:t xml:space="preserve"> and product accessibility in line with broader Prostheses List Reforms</w:t>
      </w:r>
      <w:r w:rsidRPr="0019005E">
        <w:t xml:space="preserve">. This will enhance the </w:t>
      </w:r>
      <w:r w:rsidR="001629F0" w:rsidRPr="0019005E">
        <w:t>PLCAC</w:t>
      </w:r>
      <w:r w:rsidRPr="0019005E">
        <w:t>’s advisory responsibilities to the Minister, strengthening overall management and oversight capabilities.</w:t>
      </w:r>
      <w:r w:rsidRPr="0019005E" w:rsidDel="001B77F6">
        <w:t xml:space="preserve"> </w:t>
      </w:r>
    </w:p>
    <w:p w14:paraId="6118049C" w14:textId="680FBDA4" w:rsidR="000E557F" w:rsidRPr="0019005E" w:rsidRDefault="000E557F" w:rsidP="0019005E">
      <w:r w:rsidRPr="0019005E">
        <w:t xml:space="preserve">Post-market data to support regular </w:t>
      </w:r>
      <w:r w:rsidR="00894E53" w:rsidRPr="0019005E">
        <w:t>Prostheses List</w:t>
      </w:r>
      <w:r w:rsidRPr="0019005E">
        <w:t xml:space="preserve"> review should draw upon both the domestic and international market to ensure that consumers are continuously being provided value for money</w:t>
      </w:r>
      <w:r w:rsidR="007D53F7" w:rsidRPr="0019005E">
        <w:t>.</w:t>
      </w:r>
      <w:r w:rsidRPr="0019005E">
        <w:t xml:space="preserve">  </w:t>
      </w:r>
    </w:p>
    <w:p w14:paraId="7175CE21" w14:textId="0DD8D49C" w:rsidR="000E557F" w:rsidRPr="00D2484E" w:rsidRDefault="000E557F" w:rsidP="00F25D6C">
      <w:pPr>
        <w:pStyle w:val="Heading3"/>
      </w:pPr>
      <w:r w:rsidRPr="00D2484E">
        <w:t xml:space="preserve">Advice from </w:t>
      </w:r>
      <w:r w:rsidR="001629F0" w:rsidRPr="00D2484E">
        <w:t>PLIWG</w:t>
      </w:r>
      <w:r w:rsidRPr="00D2484E">
        <w:t xml:space="preserve"> on benefit revision disputes</w:t>
      </w:r>
    </w:p>
    <w:p w14:paraId="4F71B2B0" w14:textId="52829965" w:rsidR="000E557F" w:rsidRPr="0019005E" w:rsidRDefault="000E557F" w:rsidP="0019005E">
      <w:r w:rsidRPr="0019005E">
        <w:t>In instances where the revision</w:t>
      </w:r>
      <w:r w:rsidR="7940A398" w:rsidRPr="0019005E">
        <w:t xml:space="preserve"> or setting</w:t>
      </w:r>
      <w:r w:rsidRPr="0019005E">
        <w:t xml:space="preserve"> of benefits for a medical device are disputed, the </w:t>
      </w:r>
      <w:r w:rsidR="001629F0" w:rsidRPr="0019005E">
        <w:t>PLCAC</w:t>
      </w:r>
      <w:r w:rsidRPr="0019005E">
        <w:t xml:space="preserve"> may seek </w:t>
      </w:r>
      <w:r w:rsidR="00896A89" w:rsidRPr="0019005E">
        <w:t xml:space="preserve">input </w:t>
      </w:r>
      <w:r w:rsidRPr="0019005E">
        <w:t xml:space="preserve">on a case-by-case scenario from the </w:t>
      </w:r>
      <w:r w:rsidR="001629F0" w:rsidRPr="0019005E">
        <w:t>PLIWG</w:t>
      </w:r>
      <w:r w:rsidRPr="0019005E">
        <w:t xml:space="preserve"> to consider as a part of </w:t>
      </w:r>
      <w:r w:rsidR="001629F0" w:rsidRPr="0019005E">
        <w:t>PLCAC</w:t>
      </w:r>
      <w:r w:rsidRPr="0019005E">
        <w:t xml:space="preserve"> discussions. Formal reasons for the </w:t>
      </w:r>
      <w:r w:rsidR="001629F0" w:rsidRPr="0019005E">
        <w:t>PLIWG</w:t>
      </w:r>
      <w:r w:rsidRPr="0019005E">
        <w:t xml:space="preserve">’s advice should be consolidated for review by </w:t>
      </w:r>
      <w:r w:rsidR="006F170D" w:rsidRPr="0019005E">
        <w:t xml:space="preserve">TAAD </w:t>
      </w:r>
      <w:r w:rsidRPr="0019005E">
        <w:t xml:space="preserve">ahead of distribution to the </w:t>
      </w:r>
      <w:r w:rsidR="001629F0" w:rsidRPr="0019005E">
        <w:t>PLCAC</w:t>
      </w:r>
      <w:r w:rsidRPr="0019005E">
        <w:t xml:space="preserve"> for discussion. These reasons should be made in line with enhanced documentation </w:t>
      </w:r>
      <w:r w:rsidR="00481258" w:rsidRPr="0019005E">
        <w:t>requirements</w:t>
      </w:r>
      <w:r w:rsidRPr="0019005E">
        <w:t xml:space="preserve">. This approach will ensure that industry stakeholders are provided with a formal channel to provide </w:t>
      </w:r>
      <w:proofErr w:type="gramStart"/>
      <w:r w:rsidRPr="0019005E">
        <w:t>input, but</w:t>
      </w:r>
      <w:proofErr w:type="gramEnd"/>
      <w:r w:rsidRPr="0019005E">
        <w:t xml:space="preserve"> allow the </w:t>
      </w:r>
      <w:r w:rsidR="001629F0" w:rsidRPr="0019005E">
        <w:t>PLCAC</w:t>
      </w:r>
      <w:r w:rsidRPr="0019005E">
        <w:t xml:space="preserve"> to remain focused on the assessment of clinical and cost effectiveness. </w:t>
      </w:r>
    </w:p>
    <w:p w14:paraId="2F8900F4" w14:textId="3B10DA98" w:rsidR="00E1736D" w:rsidRPr="00D2484E" w:rsidRDefault="00521C51" w:rsidP="00F25D6C">
      <w:pPr>
        <w:pStyle w:val="Heading3"/>
      </w:pPr>
      <w:r w:rsidRPr="00D2484E">
        <w:t xml:space="preserve">Alignment with </w:t>
      </w:r>
      <w:r w:rsidR="00E1736D" w:rsidRPr="00D2484E">
        <w:t>2021-22 Budget</w:t>
      </w:r>
      <w:r w:rsidRPr="00D2484E">
        <w:t xml:space="preserve"> announcement</w:t>
      </w:r>
    </w:p>
    <w:p w14:paraId="243CB536" w14:textId="65C5B254" w:rsidR="000066A2" w:rsidRDefault="00202750" w:rsidP="00C470B6">
      <w:r w:rsidRPr="00D2484E">
        <w:t>It is noted that R</w:t>
      </w:r>
      <w:r w:rsidR="000907BD" w:rsidRPr="00D2484E">
        <w:t xml:space="preserve">eforms plans announced in the 2021-22 Budget (May 2021) indicate </w:t>
      </w:r>
      <w:r w:rsidR="00D70D25" w:rsidRPr="00D2484E">
        <w:t>that</w:t>
      </w:r>
      <w:r w:rsidR="000907BD" w:rsidRPr="00D2484E">
        <w:t xml:space="preserve"> the Department will be improving post-listing monitoring, including an enhanced program of utilisation reviews.</w:t>
      </w:r>
    </w:p>
    <w:p w14:paraId="6C572345" w14:textId="77777777" w:rsidR="000066A2" w:rsidRDefault="000066A2">
      <w:pPr>
        <w:autoSpaceDE/>
        <w:autoSpaceDN/>
        <w:adjustRightInd/>
        <w:spacing w:before="0" w:after="0"/>
      </w:pPr>
      <w:r>
        <w:br w:type="page"/>
      </w:r>
    </w:p>
    <w:p w14:paraId="30A10C8D" w14:textId="77777777" w:rsidR="000066A2" w:rsidRDefault="000066A2" w:rsidP="000066A2">
      <w:pPr>
        <w:pStyle w:val="Boxtextoptions"/>
      </w:pPr>
      <w:r w:rsidRPr="000066A2">
        <w:rPr>
          <w:rStyle w:val="Strong"/>
        </w:rPr>
        <w:lastRenderedPageBreak/>
        <w:t>Recommendation 5</w:t>
      </w:r>
      <w:r>
        <w:t>: Increase the Department’s capability for post-listing surveillance</w:t>
      </w:r>
    </w:p>
    <w:p w14:paraId="2D6B49CD" w14:textId="77777777" w:rsidR="000066A2" w:rsidRDefault="000066A2" w:rsidP="000066A2">
      <w:pPr>
        <w:pStyle w:val="Boxtextoptions"/>
      </w:pPr>
      <w:r>
        <w:t>The Department’s capability for post-listing price, utilisation and clinical outcome surveillance should continue to be increased. This should include the development of data and information sources for medical device utilisation, price and clinical outcome monitoring as well as strengthening of the HTA process.</w:t>
      </w:r>
    </w:p>
    <w:p w14:paraId="07FB0961" w14:textId="77777777" w:rsidR="000066A2" w:rsidRDefault="000066A2" w:rsidP="000066A2">
      <w:pPr>
        <w:pStyle w:val="Boxtext"/>
      </w:pPr>
      <w:r w:rsidRPr="000066A2">
        <w:rPr>
          <w:rStyle w:val="Strong"/>
        </w:rPr>
        <w:t>Rationale</w:t>
      </w:r>
      <w:r>
        <w:t>: By continuing to enhance the Department’s responsibility for post-listing surveillance, the PLCAC will be able to focus its attention on interpreting the clinical drivers and implications of the results and making recommendations accordingly.</w:t>
      </w:r>
    </w:p>
    <w:p w14:paraId="44A381CA" w14:textId="77777777" w:rsidR="000066A2" w:rsidRDefault="000066A2" w:rsidP="000066A2">
      <w:pPr>
        <w:pStyle w:val="Boxtext"/>
      </w:pPr>
      <w:r w:rsidRPr="000066A2">
        <w:rPr>
          <w:rStyle w:val="Strong"/>
        </w:rPr>
        <w:t>Relevant Findings</w:t>
      </w:r>
      <w:r>
        <w:t>:</w:t>
      </w:r>
    </w:p>
    <w:p w14:paraId="4FB6FB06" w14:textId="77777777" w:rsidR="000066A2" w:rsidRDefault="000066A2" w:rsidP="000066A2">
      <w:pPr>
        <w:pStyle w:val="Boxtext"/>
      </w:pPr>
      <w:r>
        <w:t>Finding 3 - Support from the Department</w:t>
      </w:r>
    </w:p>
    <w:p w14:paraId="7F5640EE" w14:textId="39C8EA73" w:rsidR="000066A2" w:rsidRPr="000066A2" w:rsidRDefault="000066A2" w:rsidP="000066A2">
      <w:pPr>
        <w:pStyle w:val="Boxtext"/>
      </w:pPr>
      <w:r>
        <w:t>Finding 4 – Consistency of advice from the PLAC</w:t>
      </w:r>
    </w:p>
    <w:p w14:paraId="0C1302CE" w14:textId="77777777" w:rsidR="000E557F" w:rsidRPr="00D2484E" w:rsidRDefault="000E557F" w:rsidP="00F25D6C">
      <w:pPr>
        <w:pStyle w:val="Heading3"/>
      </w:pPr>
      <w:r w:rsidRPr="00D2484E">
        <w:t>Consideration of a criteria to review</w:t>
      </w:r>
    </w:p>
    <w:p w14:paraId="71A63BE7" w14:textId="450DF491" w:rsidR="00B40FB9" w:rsidRPr="0019005E" w:rsidRDefault="000E557F" w:rsidP="00C470B6">
      <w:r w:rsidRPr="0019005E">
        <w:t xml:space="preserve">The </w:t>
      </w:r>
      <w:r w:rsidR="00851AD1" w:rsidRPr="0019005E">
        <w:t xml:space="preserve">Department </w:t>
      </w:r>
      <w:r w:rsidRPr="0019005E">
        <w:t xml:space="preserve">should consider developing an </w:t>
      </w:r>
      <w:r w:rsidR="008A7ECF" w:rsidRPr="0019005E">
        <w:t>internal criterion</w:t>
      </w:r>
      <w:r w:rsidRPr="0019005E">
        <w:t xml:space="preserve"> to support regular </w:t>
      </w:r>
      <w:r w:rsidR="00481258" w:rsidRPr="0019005E">
        <w:t xml:space="preserve">post-listing </w:t>
      </w:r>
      <w:r w:rsidRPr="0019005E">
        <w:t xml:space="preserve">review by the </w:t>
      </w:r>
      <w:r w:rsidR="001629F0" w:rsidRPr="0019005E">
        <w:t>PLCAC</w:t>
      </w:r>
      <w:r w:rsidRPr="0019005E">
        <w:t xml:space="preserve">. </w:t>
      </w:r>
      <w:proofErr w:type="gramStart"/>
      <w:r w:rsidRPr="0019005E">
        <w:t>This criteria</w:t>
      </w:r>
      <w:proofErr w:type="gramEnd"/>
      <w:r w:rsidR="00A14D60" w:rsidRPr="0019005E">
        <w:t xml:space="preserve"> s</w:t>
      </w:r>
      <w:r w:rsidRPr="0019005E">
        <w:t xml:space="preserve">hould assist </w:t>
      </w:r>
      <w:r w:rsidR="00187A6F" w:rsidRPr="0019005E">
        <w:t>the</w:t>
      </w:r>
      <w:r w:rsidR="004D12C6" w:rsidRPr="0019005E">
        <w:t xml:space="preserve"> relevant area of the</w:t>
      </w:r>
      <w:r w:rsidR="00187A6F" w:rsidRPr="0019005E">
        <w:t xml:space="preserve"> </w:t>
      </w:r>
      <w:r w:rsidR="00251E17" w:rsidRPr="0019005E">
        <w:t xml:space="preserve">Department </w:t>
      </w:r>
      <w:r w:rsidRPr="0019005E">
        <w:t xml:space="preserve">in developing the datasets required to inform the need and necessity for both the </w:t>
      </w:r>
      <w:r w:rsidR="00CF1372" w:rsidRPr="0019005E">
        <w:t>Department</w:t>
      </w:r>
      <w:r w:rsidR="00251E17" w:rsidRPr="0019005E">
        <w:t xml:space="preserve"> </w:t>
      </w:r>
      <w:r w:rsidRPr="0019005E">
        <w:t xml:space="preserve">and the </w:t>
      </w:r>
      <w:r w:rsidR="001629F0" w:rsidRPr="0019005E">
        <w:t>PLCAC</w:t>
      </w:r>
      <w:r w:rsidRPr="0019005E">
        <w:t xml:space="preserve"> to conduct </w:t>
      </w:r>
      <w:r w:rsidR="000E32E5" w:rsidRPr="0019005E">
        <w:t>post-listing review</w:t>
      </w:r>
      <w:r w:rsidRPr="0019005E">
        <w:t xml:space="preserve">. </w:t>
      </w:r>
    </w:p>
    <w:p w14:paraId="505F4438" w14:textId="518EE2F9" w:rsidR="000E557F" w:rsidRPr="0019005E" w:rsidRDefault="000E557F" w:rsidP="00C470B6">
      <w:r w:rsidRPr="0019005E">
        <w:t>Where anomalies in data extracted from post-market surveillance are detected, process</w:t>
      </w:r>
      <w:r w:rsidR="00674699" w:rsidRPr="0019005E">
        <w:t>es</w:t>
      </w:r>
      <w:r w:rsidRPr="0019005E">
        <w:t xml:space="preserve"> should accompany the criteria to enable further investigation and information gathering to inform a new recommendation. </w:t>
      </w:r>
    </w:p>
    <w:p w14:paraId="71C8F8B3" w14:textId="77777777" w:rsidR="000E557F" w:rsidRPr="00D2484E" w:rsidRDefault="000E557F" w:rsidP="00F25D6C">
      <w:pPr>
        <w:pStyle w:val="Heading3"/>
      </w:pPr>
      <w:r w:rsidRPr="00D2484E">
        <w:t>Enhancement of post-market intelligence sources</w:t>
      </w:r>
    </w:p>
    <w:p w14:paraId="45F9DB7F" w14:textId="77777777" w:rsidR="000E557F" w:rsidRPr="0019005E" w:rsidRDefault="000E557F" w:rsidP="0019005E">
      <w:r w:rsidRPr="0019005E">
        <w:t>This Review has identified five central sources for post-market intelligence:</w:t>
      </w:r>
    </w:p>
    <w:p w14:paraId="1D666357" w14:textId="567964DC" w:rsidR="000E557F" w:rsidRPr="00D2484E" w:rsidRDefault="000E557F" w:rsidP="002D1775">
      <w:pPr>
        <w:pStyle w:val="EYBullet1"/>
      </w:pPr>
      <w:r w:rsidRPr="00D2484E">
        <w:t xml:space="preserve">Hospital </w:t>
      </w:r>
      <w:proofErr w:type="spellStart"/>
      <w:r w:rsidRPr="00D2484E">
        <w:t>Casemix</w:t>
      </w:r>
      <w:proofErr w:type="spellEnd"/>
      <w:r w:rsidRPr="00D2484E">
        <w:t xml:space="preserve"> Protocol (‘HCP1’) </w:t>
      </w:r>
      <w:proofErr w:type="gramStart"/>
      <w:r w:rsidRPr="00D2484E">
        <w:t>Data</w:t>
      </w:r>
      <w:r w:rsidR="00C13DE6" w:rsidRPr="00D2484E">
        <w:t>;</w:t>
      </w:r>
      <w:proofErr w:type="gramEnd"/>
    </w:p>
    <w:p w14:paraId="7BFDD007" w14:textId="0A1F36C6" w:rsidR="000E557F" w:rsidRPr="00D2484E" w:rsidRDefault="000E557F" w:rsidP="002D1775">
      <w:pPr>
        <w:pStyle w:val="EYBullet1"/>
      </w:pPr>
      <w:r w:rsidRPr="00D2484E">
        <w:t xml:space="preserve">Registry data, such as the National Joint Replacement </w:t>
      </w:r>
      <w:proofErr w:type="gramStart"/>
      <w:r w:rsidRPr="00D2484E">
        <w:t>Registry</w:t>
      </w:r>
      <w:r w:rsidR="00C13DE6" w:rsidRPr="00D2484E">
        <w:t>;</w:t>
      </w:r>
      <w:proofErr w:type="gramEnd"/>
    </w:p>
    <w:p w14:paraId="53228B10" w14:textId="6A84FE27" w:rsidR="000E557F" w:rsidRPr="00D2484E" w:rsidRDefault="000E557F" w:rsidP="002D1775">
      <w:pPr>
        <w:pStyle w:val="EYBullet1"/>
      </w:pPr>
      <w:r w:rsidRPr="00D2484E">
        <w:t xml:space="preserve">Health fund data, for benefits paid for usage of medical </w:t>
      </w:r>
      <w:proofErr w:type="gramStart"/>
      <w:r w:rsidRPr="00D2484E">
        <w:t>devices</w:t>
      </w:r>
      <w:r w:rsidR="00C13DE6" w:rsidRPr="00D2484E">
        <w:t>;</w:t>
      </w:r>
      <w:proofErr w:type="gramEnd"/>
    </w:p>
    <w:p w14:paraId="6F3DBBA7" w14:textId="0EAD6E71" w:rsidR="000E557F" w:rsidRPr="00D2484E" w:rsidRDefault="000E557F" w:rsidP="002D1775">
      <w:pPr>
        <w:pStyle w:val="EYBullet1"/>
      </w:pPr>
      <w:r w:rsidRPr="00D2484E">
        <w:t>Aggregated data, provided by IHPA</w:t>
      </w:r>
      <w:r w:rsidR="00C13DE6" w:rsidRPr="00D2484E">
        <w:t>;</w:t>
      </w:r>
      <w:r w:rsidRPr="00D2484E">
        <w:t xml:space="preserve"> and</w:t>
      </w:r>
    </w:p>
    <w:p w14:paraId="2E54E384" w14:textId="77777777" w:rsidR="000E557F" w:rsidRPr="00D2484E" w:rsidRDefault="000E557F" w:rsidP="002D1775">
      <w:pPr>
        <w:pStyle w:val="EYBullet1"/>
      </w:pPr>
      <w:r w:rsidRPr="00D2484E">
        <w:t>Post-market surveillance and incident reporting, conducted by the TGA.</w:t>
      </w:r>
    </w:p>
    <w:p w14:paraId="09A8FD86" w14:textId="436C257C" w:rsidR="000E557F" w:rsidRPr="0019005E" w:rsidRDefault="000E557F" w:rsidP="0019005E">
      <w:r w:rsidRPr="0019005E">
        <w:t xml:space="preserve">The </w:t>
      </w:r>
      <w:bookmarkStart w:id="154" w:name="_Hlk78377019"/>
      <w:r w:rsidR="00040C9E" w:rsidRPr="0019005E">
        <w:t xml:space="preserve">Department </w:t>
      </w:r>
      <w:bookmarkEnd w:id="154"/>
      <w:r w:rsidRPr="0019005E">
        <w:t xml:space="preserve">should develop a </w:t>
      </w:r>
      <w:r w:rsidR="00A34503" w:rsidRPr="0019005E">
        <w:t xml:space="preserve">data </w:t>
      </w:r>
      <w:r w:rsidRPr="0019005E">
        <w:t>strategy</w:t>
      </w:r>
      <w:r w:rsidR="00A34503" w:rsidRPr="0019005E">
        <w:t xml:space="preserve"> for</w:t>
      </w:r>
      <w:r w:rsidR="0026235E" w:rsidRPr="0019005E">
        <w:t xml:space="preserve"> supporting </w:t>
      </w:r>
      <w:r w:rsidR="00B87059" w:rsidRPr="0019005E">
        <w:t>post-market</w:t>
      </w:r>
      <w:r w:rsidRPr="0019005E">
        <w:t xml:space="preserve"> </w:t>
      </w:r>
      <w:r w:rsidR="00B87059" w:rsidRPr="0019005E">
        <w:t>p</w:t>
      </w:r>
      <w:r w:rsidRPr="0019005E">
        <w:t xml:space="preserve">rice, </w:t>
      </w:r>
      <w:proofErr w:type="gramStart"/>
      <w:r w:rsidRPr="0019005E">
        <w:t>utilisation</w:t>
      </w:r>
      <w:proofErr w:type="gramEnd"/>
      <w:r w:rsidRPr="0019005E">
        <w:t xml:space="preserve"> and clinical outcome surveillance. </w:t>
      </w:r>
      <w:r w:rsidR="00324E00" w:rsidRPr="0019005E">
        <w:t xml:space="preserve">In doing so, it should </w:t>
      </w:r>
      <w:r w:rsidR="002C790D" w:rsidRPr="0019005E">
        <w:t>aim to ensure accurate and recent data is available</w:t>
      </w:r>
      <w:r w:rsidR="009B197C" w:rsidRPr="0019005E">
        <w:t>,</w:t>
      </w:r>
      <w:r w:rsidR="00AC14C8" w:rsidRPr="0019005E">
        <w:t xml:space="preserve"> and work with the </w:t>
      </w:r>
      <w:r w:rsidR="001629F0" w:rsidRPr="0019005E">
        <w:t>PLCAC</w:t>
      </w:r>
      <w:r w:rsidR="00AC14C8" w:rsidRPr="0019005E">
        <w:t xml:space="preserve"> to </w:t>
      </w:r>
      <w:r w:rsidRPr="0019005E">
        <w:t xml:space="preserve">identify </w:t>
      </w:r>
      <w:r w:rsidR="00EF664B" w:rsidRPr="0019005E">
        <w:t xml:space="preserve">key </w:t>
      </w:r>
      <w:r w:rsidR="00F37F45" w:rsidRPr="0019005E">
        <w:t xml:space="preserve">metrics and </w:t>
      </w:r>
      <w:r w:rsidR="00ED3013" w:rsidRPr="0019005E">
        <w:t xml:space="preserve">reporting </w:t>
      </w:r>
      <w:r w:rsidR="00EF664B" w:rsidRPr="0019005E">
        <w:t>requirements.</w:t>
      </w:r>
    </w:p>
    <w:p w14:paraId="3312A47E" w14:textId="5A103909" w:rsidR="000E557F" w:rsidRPr="00D2484E" w:rsidRDefault="000E557F" w:rsidP="00F25D6C">
      <w:pPr>
        <w:pStyle w:val="Heading3"/>
      </w:pPr>
      <w:r w:rsidRPr="00D2484E">
        <w:t xml:space="preserve">Development of </w:t>
      </w:r>
      <w:r w:rsidR="00B75FE0" w:rsidRPr="00D2484E">
        <w:t xml:space="preserve">the </w:t>
      </w:r>
      <w:r w:rsidR="00040C9E" w:rsidRPr="00D2484E">
        <w:t>Department</w:t>
      </w:r>
      <w:r w:rsidR="00B75FE0" w:rsidRPr="00D2484E">
        <w:t>’s</w:t>
      </w:r>
      <w:r w:rsidR="00040C9E" w:rsidRPr="00D2484E">
        <w:t xml:space="preserve"> </w:t>
      </w:r>
      <w:r w:rsidRPr="00D2484E">
        <w:t>post-market intelligence capability</w:t>
      </w:r>
    </w:p>
    <w:p w14:paraId="6D3D530F" w14:textId="26E6D27A" w:rsidR="00D34019" w:rsidRPr="0019005E" w:rsidRDefault="000E557F" w:rsidP="0019005E">
      <w:proofErr w:type="gramStart"/>
      <w:r w:rsidRPr="0019005E">
        <w:t>In order to</w:t>
      </w:r>
      <w:proofErr w:type="gramEnd"/>
      <w:r w:rsidRPr="0019005E">
        <w:t xml:space="preserve"> manage post-market intelligence sources, the Department should place due consideration into building its internal capability to manage, analyse and synthesise the data so that it may be utilised to inform regular review. </w:t>
      </w:r>
      <w:r w:rsidR="002408E8" w:rsidRPr="0019005E">
        <w:t xml:space="preserve">These Departmental resources </w:t>
      </w:r>
      <w:r w:rsidRPr="0019005E">
        <w:t xml:space="preserve">should be skilled in identifying errors or anomalies in reporting to escalate or trigger a review or further </w:t>
      </w:r>
      <w:proofErr w:type="gramStart"/>
      <w:r w:rsidRPr="0019005E">
        <w:t>investigation, and</w:t>
      </w:r>
      <w:proofErr w:type="gramEnd"/>
      <w:r w:rsidRPr="0019005E">
        <w:t xml:space="preserve"> guide continuous improvement efforts with data owners to ensure that the data required meets the needs of the </w:t>
      </w:r>
      <w:r w:rsidR="001629F0" w:rsidRPr="0019005E">
        <w:t>PLCAC</w:t>
      </w:r>
      <w:r w:rsidRPr="0019005E">
        <w:t xml:space="preserve">. </w:t>
      </w:r>
    </w:p>
    <w:p w14:paraId="64A845C2" w14:textId="77777777" w:rsidR="000E557F" w:rsidRPr="00D2484E" w:rsidRDefault="000E557F" w:rsidP="00F25D6C">
      <w:pPr>
        <w:pStyle w:val="Heading3"/>
      </w:pPr>
      <w:r w:rsidRPr="00D2484E">
        <w:t>Development of formal processes to support post-market information sharing</w:t>
      </w:r>
    </w:p>
    <w:p w14:paraId="2688FF1E" w14:textId="383ED62F" w:rsidR="00DC0A30" w:rsidRPr="005A2F16" w:rsidRDefault="000E557F" w:rsidP="005A2F16">
      <w:r w:rsidRPr="005A2F16">
        <w:t xml:space="preserve">It is recognised that post-market intelligence may arise from </w:t>
      </w:r>
      <w:r w:rsidR="004A0266" w:rsidRPr="005A2F16">
        <w:t xml:space="preserve">these </w:t>
      </w:r>
      <w:r w:rsidRPr="005A2F16">
        <w:t xml:space="preserve">five central sources. The Department should collaborate with information owners to identify and develop comprehensive information sharing arrangements </w:t>
      </w:r>
      <w:r w:rsidR="000F4CEA" w:rsidRPr="005A2F16">
        <w:t>for</w:t>
      </w:r>
      <w:r w:rsidRPr="005A2F16">
        <w:t xml:space="preserve"> post-market information</w:t>
      </w:r>
      <w:r w:rsidR="00FB7A97" w:rsidRPr="005A2F16">
        <w:t xml:space="preserve">. These arrangements should also consider the </w:t>
      </w:r>
      <w:r w:rsidR="001629F0" w:rsidRPr="005A2F16">
        <w:t>PLCAC</w:t>
      </w:r>
      <w:r w:rsidRPr="005A2F16">
        <w:t xml:space="preserve"> and </w:t>
      </w:r>
      <w:r w:rsidR="00902AC0" w:rsidRPr="005A2F16">
        <w:t xml:space="preserve">the </w:t>
      </w:r>
      <w:r w:rsidR="0079018F" w:rsidRPr="005A2F16">
        <w:t>CEP</w:t>
      </w:r>
      <w:r w:rsidRPr="005A2F16">
        <w:t xml:space="preserve">. The development of such systems and processes may include additional policies, procedures or guidelines which consider quality, </w:t>
      </w:r>
      <w:proofErr w:type="gramStart"/>
      <w:r w:rsidRPr="005A2F16">
        <w:t>efficiency</w:t>
      </w:r>
      <w:proofErr w:type="gramEnd"/>
      <w:r w:rsidRPr="005A2F16">
        <w:t xml:space="preserve"> and accessibility of information to inform decision-making.</w:t>
      </w:r>
    </w:p>
    <w:p w14:paraId="337E3A04" w14:textId="77777777" w:rsidR="00F25D6C" w:rsidRPr="00F25D6C" w:rsidRDefault="00F25D6C" w:rsidP="00F25D6C">
      <w:pPr>
        <w:pStyle w:val="Boxtextoptions"/>
      </w:pPr>
      <w:r w:rsidRPr="00F25D6C">
        <w:rPr>
          <w:rStyle w:val="Strong"/>
        </w:rPr>
        <w:t>Recommendation 6</w:t>
      </w:r>
      <w:r w:rsidRPr="00F25D6C">
        <w:t>: Enhance documentation of decisions</w:t>
      </w:r>
    </w:p>
    <w:p w14:paraId="0C846AC5" w14:textId="0B121F6A" w:rsidR="00F25D6C" w:rsidRPr="00F25D6C" w:rsidRDefault="00F25D6C" w:rsidP="00F25D6C">
      <w:pPr>
        <w:pStyle w:val="Boxtextoptions"/>
      </w:pPr>
      <w:r w:rsidRPr="00F25D6C">
        <w:lastRenderedPageBreak/>
        <w:t>The Department should continue to provide documentation of prior Prostheses List decisions to improve the consistency of decision-making in the future.</w:t>
      </w:r>
    </w:p>
    <w:p w14:paraId="4F00CDB3" w14:textId="77777777" w:rsidR="00F25D6C" w:rsidRPr="00F25D6C" w:rsidRDefault="00F25D6C" w:rsidP="00F25D6C">
      <w:pPr>
        <w:pStyle w:val="Boxtext"/>
      </w:pPr>
      <w:r w:rsidRPr="00F25D6C">
        <w:rPr>
          <w:rStyle w:val="Strong"/>
        </w:rPr>
        <w:t>Rationale</w:t>
      </w:r>
      <w:r w:rsidRPr="00F25D6C">
        <w:t xml:space="preserve">: The introduction of standard templates for responses, which include explanations and reasons for referrals and decisions, will improve the consistency of decision-making. </w:t>
      </w:r>
    </w:p>
    <w:p w14:paraId="6CE02677" w14:textId="77777777" w:rsidR="00F25D6C" w:rsidRPr="00F25D6C" w:rsidRDefault="00F25D6C" w:rsidP="00F25D6C">
      <w:pPr>
        <w:pStyle w:val="Boxtext"/>
      </w:pPr>
      <w:r w:rsidRPr="00F25D6C">
        <w:t>These templates should be designed to be comprehensive covering all key aspects of the application, the context at the time and the rationale for decisions/recommendations made. This will provide future assessments with a detailed understanding on which to base those decisions.</w:t>
      </w:r>
    </w:p>
    <w:p w14:paraId="6E308648" w14:textId="77777777" w:rsidR="00F25D6C" w:rsidRPr="00F25D6C" w:rsidRDefault="00F25D6C" w:rsidP="00F25D6C">
      <w:pPr>
        <w:pStyle w:val="Boxtext"/>
      </w:pPr>
      <w:r w:rsidRPr="00F25D6C">
        <w:rPr>
          <w:rStyle w:val="Strong"/>
        </w:rPr>
        <w:t>Relevant Findings</w:t>
      </w:r>
      <w:r w:rsidRPr="00F25D6C">
        <w:t>:</w:t>
      </w:r>
    </w:p>
    <w:p w14:paraId="569C7D74" w14:textId="77777777" w:rsidR="00F25D6C" w:rsidRPr="00F25D6C" w:rsidRDefault="00F25D6C" w:rsidP="00F25D6C">
      <w:pPr>
        <w:pStyle w:val="Boxtext"/>
      </w:pPr>
      <w:r w:rsidRPr="00F25D6C">
        <w:t xml:space="preserve">Finding 2 - Management of the workload of the PLAC </w:t>
      </w:r>
    </w:p>
    <w:p w14:paraId="4C85AA60" w14:textId="77777777" w:rsidR="00F25D6C" w:rsidRPr="00F25D6C" w:rsidRDefault="00F25D6C" w:rsidP="00F25D6C">
      <w:pPr>
        <w:pStyle w:val="Boxtext"/>
      </w:pPr>
      <w:r w:rsidRPr="00F25D6C">
        <w:t>Finding 3 - Support from the Department</w:t>
      </w:r>
    </w:p>
    <w:p w14:paraId="5DAB8B02" w14:textId="3EE5F98B" w:rsidR="00F25D6C" w:rsidRPr="00D2484E" w:rsidRDefault="00F25D6C" w:rsidP="00F25D6C">
      <w:pPr>
        <w:pStyle w:val="Boxtext"/>
      </w:pPr>
      <w:r w:rsidRPr="00F25D6C">
        <w:t>Finding 4 – Consistency of advice from the PLAC</w:t>
      </w:r>
    </w:p>
    <w:p w14:paraId="1A20A4A5" w14:textId="77777777" w:rsidR="000E557F" w:rsidRPr="00D2484E" w:rsidRDefault="000E557F" w:rsidP="00F25D6C">
      <w:pPr>
        <w:pStyle w:val="Heading3"/>
      </w:pPr>
      <w:r w:rsidRPr="00D2484E">
        <w:t>Development of standard templates</w:t>
      </w:r>
    </w:p>
    <w:p w14:paraId="66F222F5" w14:textId="0FCBA375" w:rsidR="00420AA3" w:rsidRPr="0019005E" w:rsidRDefault="000E557F" w:rsidP="0019005E">
      <w:r w:rsidRPr="00D2484E">
        <w:t xml:space="preserve">To uplift the quality and standard of documentary evidence, the Department should develop templates to document </w:t>
      </w:r>
      <w:r w:rsidR="00902AC0" w:rsidRPr="00D2484E">
        <w:t xml:space="preserve">the </w:t>
      </w:r>
      <w:r w:rsidR="001629F0" w:rsidRPr="00D2484E">
        <w:t>PLCAC</w:t>
      </w:r>
      <w:r w:rsidRPr="00D2484E">
        <w:t xml:space="preserve">’s recommendations and advice to the Minister. This would enable for a more uniform approach </w:t>
      </w:r>
      <w:r w:rsidR="00420AA3" w:rsidRPr="00D2484E">
        <w:t xml:space="preserve">to </w:t>
      </w:r>
      <w:r w:rsidRPr="00D2484E">
        <w:t xml:space="preserve">corporate and historical </w:t>
      </w:r>
      <w:proofErr w:type="gramStart"/>
      <w:r w:rsidRPr="00D2484E">
        <w:t>record-keeping, and</w:t>
      </w:r>
      <w:proofErr w:type="gramEnd"/>
      <w:r w:rsidRPr="00D2484E">
        <w:t xml:space="preserve"> enhance the abili</w:t>
      </w:r>
      <w:r w:rsidRPr="0019005E">
        <w:t xml:space="preserve">ty to recall precedent. These templates should, at a minimum, provide </w:t>
      </w:r>
      <w:r w:rsidR="00902AC0" w:rsidRPr="0019005E">
        <w:t xml:space="preserve">the </w:t>
      </w:r>
      <w:r w:rsidR="001629F0" w:rsidRPr="0019005E">
        <w:t>PLCAC</w:t>
      </w:r>
      <w:r w:rsidRPr="0019005E">
        <w:t xml:space="preserve">’s final recommendation to the Minister; substantive reasoning for this recommendation; and provide any material facts from advice sought to inform this recommendation, such as any referrals made to </w:t>
      </w:r>
      <w:r w:rsidR="00865CFC" w:rsidRPr="0019005E">
        <w:t xml:space="preserve">the </w:t>
      </w:r>
      <w:r w:rsidRPr="0019005E">
        <w:t xml:space="preserve">MSAC, the TGA or </w:t>
      </w:r>
      <w:r w:rsidR="00C92D2E" w:rsidRPr="0019005E">
        <w:t xml:space="preserve">the </w:t>
      </w:r>
      <w:r w:rsidR="0079018F" w:rsidRPr="0019005E">
        <w:t>CEP</w:t>
      </w:r>
      <w:r w:rsidRPr="0019005E">
        <w:t>. These templates should</w:t>
      </w:r>
      <w:r w:rsidR="00420AA3" w:rsidRPr="0019005E">
        <w:t xml:space="preserve"> also </w:t>
      </w:r>
      <w:r w:rsidRPr="0019005E">
        <w:t>demonstrate how the medical device has met the criteria for assessment for listing and benefits setting</w:t>
      </w:r>
      <w:r w:rsidR="00A14D60" w:rsidRPr="0019005E">
        <w:t>.</w:t>
      </w:r>
      <w:r w:rsidRPr="0019005E">
        <w:t xml:space="preserve"> </w:t>
      </w:r>
    </w:p>
    <w:p w14:paraId="71590011" w14:textId="124A7994" w:rsidR="000E557F" w:rsidRPr="00D2484E" w:rsidRDefault="00420AA3" w:rsidP="0019005E">
      <w:r w:rsidRPr="0019005E">
        <w:t>This templat</w:t>
      </w:r>
      <w:r w:rsidRPr="00D2484E">
        <w:t xml:space="preserve">e should also be appropriated for the CEP’s advice to the </w:t>
      </w:r>
      <w:r w:rsidR="001629F0" w:rsidRPr="00D2484E">
        <w:t>PLCAC</w:t>
      </w:r>
      <w:r w:rsidRPr="00D2484E">
        <w:t xml:space="preserve">. </w:t>
      </w:r>
    </w:p>
    <w:p w14:paraId="7E6479DE" w14:textId="16279FCC" w:rsidR="000E557F" w:rsidRPr="00D2484E" w:rsidRDefault="000E557F" w:rsidP="00F25D6C">
      <w:pPr>
        <w:pStyle w:val="Heading3"/>
      </w:pPr>
      <w:r w:rsidRPr="00D2484E">
        <w:t>Integration with IT solution</w:t>
      </w:r>
      <w:r w:rsidR="00C92D2E" w:rsidRPr="00D2484E">
        <w:t>s</w:t>
      </w:r>
    </w:p>
    <w:p w14:paraId="235F6CC9" w14:textId="77777777" w:rsidR="00203D1F" w:rsidRPr="0019005E" w:rsidRDefault="000E557F" w:rsidP="0019005E">
      <w:r w:rsidRPr="00D2484E">
        <w:t xml:space="preserve">These templates should be developed with the intent of strengthening documentation </w:t>
      </w:r>
      <w:r w:rsidR="00203D1F" w:rsidRPr="00D2484E">
        <w:t>and record-ke</w:t>
      </w:r>
      <w:r w:rsidR="00203D1F" w:rsidRPr="0019005E">
        <w:t xml:space="preserve">eping </w:t>
      </w:r>
      <w:r w:rsidRPr="0019005E">
        <w:t xml:space="preserve">of government </w:t>
      </w:r>
      <w:proofErr w:type="gramStart"/>
      <w:r w:rsidRPr="0019005E">
        <w:t>decision-making, and</w:t>
      </w:r>
      <w:proofErr w:type="gramEnd"/>
      <w:r w:rsidRPr="0019005E">
        <w:t xml:space="preserve"> should be supported by an integrated IT solution for applications management which enables the ability to recall precedent. </w:t>
      </w:r>
    </w:p>
    <w:p w14:paraId="6FA436DA" w14:textId="4E26CD79" w:rsidR="000E557F" w:rsidRPr="00D2484E" w:rsidRDefault="000E557F" w:rsidP="0019005E">
      <w:r w:rsidRPr="0019005E">
        <w:t>Completed templates should be archived and itemised in such a way that enables swift identification of the relevant medical devices (</w:t>
      </w:r>
      <w:proofErr w:type="gramStart"/>
      <w:r w:rsidRPr="0019005E">
        <w:t>e.g.</w:t>
      </w:r>
      <w:proofErr w:type="gramEnd"/>
      <w:r w:rsidRPr="0019005E">
        <w:t xml:space="preserve"> reference code), and consistent with any government recordkeeping requirements. This IT solution should be usable by </w:t>
      </w:r>
      <w:r w:rsidR="00180CAA" w:rsidRPr="0019005E">
        <w:t xml:space="preserve">the </w:t>
      </w:r>
      <w:r w:rsidR="00B25A9F" w:rsidRPr="0019005E">
        <w:t>Department</w:t>
      </w:r>
      <w:r w:rsidR="00180CAA" w:rsidRPr="0019005E">
        <w:t>,</w:t>
      </w:r>
      <w:r w:rsidR="00F42613" w:rsidRPr="0019005E">
        <w:t xml:space="preserve"> the</w:t>
      </w:r>
      <w:r w:rsidR="00180CAA" w:rsidRPr="0019005E">
        <w:t xml:space="preserve"> </w:t>
      </w:r>
      <w:r w:rsidR="001629F0" w:rsidRPr="0019005E">
        <w:t>PLCAC</w:t>
      </w:r>
      <w:r w:rsidRPr="0019005E">
        <w:t xml:space="preserve"> </w:t>
      </w:r>
      <w:r w:rsidR="00180CAA" w:rsidRPr="0019005E">
        <w:t>a</w:t>
      </w:r>
      <w:r w:rsidR="00180CAA" w:rsidRPr="00D2484E">
        <w:t>nd</w:t>
      </w:r>
      <w:r w:rsidR="00CB490D" w:rsidRPr="00D2484E">
        <w:t xml:space="preserve"> the</w:t>
      </w:r>
      <w:r w:rsidR="00180CAA" w:rsidRPr="00D2484E">
        <w:t xml:space="preserve"> CEP </w:t>
      </w:r>
      <w:r w:rsidRPr="00D2484E">
        <w:t xml:space="preserve">members to enable </w:t>
      </w:r>
      <w:r w:rsidR="008768B4" w:rsidRPr="00D2484E">
        <w:t xml:space="preserve">easier </w:t>
      </w:r>
      <w:r w:rsidRPr="00D2484E">
        <w:t>refer</w:t>
      </w:r>
      <w:r w:rsidR="008768B4" w:rsidRPr="00D2484E">
        <w:t>ence</w:t>
      </w:r>
      <w:r w:rsidRPr="00D2484E">
        <w:t xml:space="preserve"> to precedent. </w:t>
      </w:r>
    </w:p>
    <w:p w14:paraId="09D9371E" w14:textId="77777777" w:rsidR="000E557F" w:rsidRPr="00D2484E" w:rsidRDefault="000E557F" w:rsidP="00F25D6C">
      <w:pPr>
        <w:pStyle w:val="Heading3"/>
      </w:pPr>
      <w:r w:rsidRPr="00D2484E">
        <w:t>Inclusion in minutes and with contemporaneous applications</w:t>
      </w:r>
    </w:p>
    <w:p w14:paraId="6D243F5B" w14:textId="516A823A" w:rsidR="000E557F" w:rsidRPr="0019005E" w:rsidRDefault="000E557F" w:rsidP="0019005E">
      <w:r w:rsidRPr="0019005E">
        <w:t xml:space="preserve">The minutes for </w:t>
      </w:r>
      <w:r w:rsidR="001629F0" w:rsidRPr="0019005E">
        <w:t>PLCAC</w:t>
      </w:r>
      <w:r w:rsidRPr="0019005E">
        <w:t xml:space="preserve"> </w:t>
      </w:r>
      <w:r w:rsidR="004C3C12" w:rsidRPr="0019005E">
        <w:t>Meeting</w:t>
      </w:r>
      <w:r w:rsidR="00CB490D" w:rsidRPr="0019005E">
        <w:t>s</w:t>
      </w:r>
      <w:r w:rsidRPr="0019005E">
        <w:t xml:space="preserve"> should include reference codes for </w:t>
      </w:r>
      <w:r w:rsidR="008768B4" w:rsidRPr="0019005E">
        <w:t xml:space="preserve">the </w:t>
      </w:r>
      <w:r w:rsidRPr="0019005E">
        <w:t xml:space="preserve">documentation </w:t>
      </w:r>
      <w:r w:rsidR="008768B4" w:rsidRPr="0019005E">
        <w:t xml:space="preserve">of </w:t>
      </w:r>
      <w:r w:rsidRPr="0019005E">
        <w:t xml:space="preserve">the </w:t>
      </w:r>
      <w:r w:rsidR="001629F0" w:rsidRPr="0019005E">
        <w:t>PLCAC</w:t>
      </w:r>
      <w:r w:rsidR="008768B4" w:rsidRPr="0019005E">
        <w:t xml:space="preserve">’s </w:t>
      </w:r>
      <w:r w:rsidRPr="0019005E">
        <w:t>final decision</w:t>
      </w:r>
      <w:r w:rsidR="008768B4" w:rsidRPr="0019005E">
        <w:t>. This</w:t>
      </w:r>
      <w:r w:rsidRPr="0019005E">
        <w:t xml:space="preserve"> </w:t>
      </w:r>
      <w:r w:rsidR="008768B4" w:rsidRPr="0019005E">
        <w:t>will</w:t>
      </w:r>
      <w:r w:rsidRPr="0019005E">
        <w:t xml:space="preserve"> streamline the ability to </w:t>
      </w:r>
      <w:proofErr w:type="gramStart"/>
      <w:r w:rsidRPr="0019005E">
        <w:t>refer back</w:t>
      </w:r>
      <w:proofErr w:type="gramEnd"/>
      <w:r w:rsidRPr="0019005E">
        <w:t xml:space="preserve"> to the </w:t>
      </w:r>
      <w:r w:rsidR="001629F0" w:rsidRPr="0019005E">
        <w:t>PLCAC</w:t>
      </w:r>
      <w:r w:rsidRPr="0019005E">
        <w:t>’s final recommendations and reasoning</w:t>
      </w:r>
      <w:r w:rsidR="008768B4" w:rsidRPr="0019005E">
        <w:t xml:space="preserve"> where precedent is required in a decision</w:t>
      </w:r>
      <w:r w:rsidRPr="0019005E">
        <w:t xml:space="preserve">. Further, where new applications are escalated to the </w:t>
      </w:r>
      <w:r w:rsidR="001629F0" w:rsidRPr="0019005E">
        <w:t>PLCAC</w:t>
      </w:r>
      <w:r w:rsidRPr="0019005E">
        <w:t xml:space="preserve"> for consideration, the </w:t>
      </w:r>
      <w:r w:rsidR="00B25A9F" w:rsidRPr="0019005E">
        <w:t>Department</w:t>
      </w:r>
      <w:r w:rsidR="009B1983" w:rsidRPr="0019005E">
        <w:t xml:space="preserve"> </w:t>
      </w:r>
      <w:r w:rsidRPr="0019005E">
        <w:t xml:space="preserve">should include references to any precedent which may be relevant to the </w:t>
      </w:r>
      <w:r w:rsidR="001629F0" w:rsidRPr="0019005E">
        <w:t>PLCAC</w:t>
      </w:r>
      <w:r w:rsidRPr="0019005E">
        <w:t xml:space="preserve">’s decision-making process. Completed templates should be attached as supplementary material to enable </w:t>
      </w:r>
      <w:r w:rsidR="001629F0" w:rsidRPr="0019005E">
        <w:t>PLCAC</w:t>
      </w:r>
      <w:r w:rsidRPr="0019005E">
        <w:t xml:space="preserve"> members to consider as a frame of reference. </w:t>
      </w:r>
    </w:p>
    <w:p w14:paraId="229F6E83" w14:textId="77777777" w:rsidR="000E557F" w:rsidRPr="00D2484E" w:rsidRDefault="000E557F" w:rsidP="00F25D6C">
      <w:pPr>
        <w:pStyle w:val="Heading3"/>
      </w:pPr>
      <w:r w:rsidRPr="00D2484E">
        <w:t>Timing</w:t>
      </w:r>
    </w:p>
    <w:p w14:paraId="595F5328" w14:textId="514BD8FC" w:rsidR="000E557F" w:rsidRPr="005A2F16" w:rsidRDefault="000E557F" w:rsidP="005A2F16">
      <w:r w:rsidRPr="005A2F16">
        <w:t xml:space="preserve">With consideration of other process improvements and streamlining efforts recommended in this Review, documentation for each </w:t>
      </w:r>
      <w:r w:rsidR="001629F0" w:rsidRPr="005A2F16">
        <w:t>PLCAC</w:t>
      </w:r>
      <w:r w:rsidRPr="005A2F16">
        <w:t xml:space="preserve"> </w:t>
      </w:r>
      <w:r w:rsidR="004C3C12" w:rsidRPr="005A2F16">
        <w:t>Meeting</w:t>
      </w:r>
      <w:r w:rsidRPr="005A2F16">
        <w:t xml:space="preserve"> should be made available at least two weeks prior to meetings. Although this is outlined in the current </w:t>
      </w:r>
      <w:r w:rsidR="00AF4C3B" w:rsidRPr="005A2F16">
        <w:t xml:space="preserve">PLAC </w:t>
      </w:r>
      <w:r w:rsidRPr="005A2F16">
        <w:t xml:space="preserve">Terms of Reference, this is not often fulfilled by </w:t>
      </w:r>
      <w:r w:rsidR="00DC0A30" w:rsidRPr="005A2F16">
        <w:t>TAAD</w:t>
      </w:r>
      <w:r w:rsidRPr="005A2F16">
        <w:t xml:space="preserve">. The </w:t>
      </w:r>
      <w:r w:rsidR="00AF27F4" w:rsidRPr="005A2F16">
        <w:t>Department</w:t>
      </w:r>
      <w:r w:rsidR="00333B45" w:rsidRPr="005A2F16">
        <w:t xml:space="preserve"> </w:t>
      </w:r>
      <w:r w:rsidRPr="005A2F16">
        <w:t xml:space="preserve">should consider integrating this as part of its internal performance measures. </w:t>
      </w:r>
    </w:p>
    <w:p w14:paraId="1036E506" w14:textId="77777777" w:rsidR="00F25D6C" w:rsidRPr="00F25D6C" w:rsidRDefault="00F25D6C" w:rsidP="00F25D6C">
      <w:pPr>
        <w:pStyle w:val="Boxtextoptions"/>
      </w:pPr>
      <w:r w:rsidRPr="00F25D6C">
        <w:rPr>
          <w:rStyle w:val="Strong"/>
        </w:rPr>
        <w:t>Recommendation 7</w:t>
      </w:r>
      <w:r w:rsidRPr="00F25D6C">
        <w:t>: Increase referrals on safety and efficacy to the TGA</w:t>
      </w:r>
    </w:p>
    <w:p w14:paraId="24FCCB2F" w14:textId="77777777" w:rsidR="00F25D6C" w:rsidRPr="00F25D6C" w:rsidRDefault="00F25D6C" w:rsidP="00F25D6C">
      <w:pPr>
        <w:pStyle w:val="Boxtextoptions"/>
      </w:pPr>
      <w:r w:rsidRPr="00F25D6C">
        <w:lastRenderedPageBreak/>
        <w:t xml:space="preserve">All matters relating to safety and efficacy of medical devices should be referred by the PLCAC to the TGA for action. The PLCAC should strengthen its functional relationship with the TGA to enable referrals and enhance its advisory functions.  </w:t>
      </w:r>
    </w:p>
    <w:p w14:paraId="110B7FCD" w14:textId="77777777" w:rsidR="00F25D6C" w:rsidRPr="00F25D6C" w:rsidRDefault="00F25D6C" w:rsidP="00F25D6C">
      <w:pPr>
        <w:pStyle w:val="Boxtext"/>
      </w:pPr>
      <w:r w:rsidRPr="00F25D6C">
        <w:rPr>
          <w:rStyle w:val="Strong"/>
        </w:rPr>
        <w:t>Rationale</w:t>
      </w:r>
      <w:r w:rsidRPr="00F25D6C">
        <w:t xml:space="preserve">: These matters are the responsibility of the TGA and align with its expertise. The PLCAC or CEP considering similar matters would either create inefficiencies or risk inconsistencies in findings.  </w:t>
      </w:r>
    </w:p>
    <w:p w14:paraId="01329805" w14:textId="77777777" w:rsidR="00F25D6C" w:rsidRPr="00F25D6C" w:rsidRDefault="00F25D6C" w:rsidP="00F25D6C">
      <w:pPr>
        <w:pStyle w:val="Boxtext"/>
      </w:pPr>
      <w:r w:rsidRPr="00F25D6C">
        <w:rPr>
          <w:rStyle w:val="Strong"/>
        </w:rPr>
        <w:t>Relevant Findings</w:t>
      </w:r>
      <w:r w:rsidRPr="00F25D6C">
        <w:t>:</w:t>
      </w:r>
    </w:p>
    <w:p w14:paraId="0CFEA24E" w14:textId="77777777" w:rsidR="00F25D6C" w:rsidRPr="00F25D6C" w:rsidRDefault="00F25D6C" w:rsidP="00F25D6C">
      <w:pPr>
        <w:pStyle w:val="Boxtext"/>
      </w:pPr>
      <w:r w:rsidRPr="00F25D6C">
        <w:t>Finding 4 – Consistency of advice from the PLAC</w:t>
      </w:r>
    </w:p>
    <w:p w14:paraId="65D00D37" w14:textId="1FA53D71" w:rsidR="00F25D6C" w:rsidRPr="00D2484E" w:rsidRDefault="00F25D6C" w:rsidP="00F25D6C">
      <w:pPr>
        <w:pStyle w:val="Boxtext"/>
      </w:pPr>
      <w:r w:rsidRPr="00F25D6C">
        <w:t>Finding 5 - Relationship with the MSAC, the PBAC, the TGA and IHPA</w:t>
      </w:r>
    </w:p>
    <w:p w14:paraId="3CCF4A6E" w14:textId="77777777" w:rsidR="000E557F" w:rsidRPr="00D2484E" w:rsidRDefault="000E557F" w:rsidP="00F25D6C">
      <w:pPr>
        <w:pStyle w:val="Heading3"/>
      </w:pPr>
      <w:r w:rsidRPr="00D2484E">
        <w:t>Clarification of guidelines to refer matters to TGA</w:t>
      </w:r>
    </w:p>
    <w:p w14:paraId="776729A3" w14:textId="054DD322" w:rsidR="000E557F" w:rsidRPr="00011698" w:rsidRDefault="000E557F" w:rsidP="00011698">
      <w:r w:rsidRPr="00D2484E">
        <w:t xml:space="preserve">The </w:t>
      </w:r>
      <w:r w:rsidR="001629F0" w:rsidRPr="00D2484E">
        <w:t>PLCAC</w:t>
      </w:r>
      <w:r w:rsidRPr="00D2484E">
        <w:t>’s reconstitution and reorientation should enable it to focus predominantly on clini</w:t>
      </w:r>
      <w:r w:rsidRPr="00011698">
        <w:t xml:space="preserve">cal benefits, appropriate </w:t>
      </w:r>
      <w:proofErr w:type="gramStart"/>
      <w:r w:rsidRPr="00011698">
        <w:t>utilisation</w:t>
      </w:r>
      <w:proofErr w:type="gramEnd"/>
      <w:r w:rsidRPr="00011698">
        <w:t xml:space="preserve"> and value for money of medical devices for recommendation to the Minister. However, this should strictly preclude </w:t>
      </w:r>
      <w:proofErr w:type="gramStart"/>
      <w:r w:rsidRPr="00011698">
        <w:t>any and all</w:t>
      </w:r>
      <w:proofErr w:type="gramEnd"/>
      <w:r w:rsidRPr="00011698">
        <w:t xml:space="preserve"> matters relating to safety and efficacy, and the </w:t>
      </w:r>
      <w:r w:rsidR="001629F0" w:rsidRPr="00011698">
        <w:t>PLCAC</w:t>
      </w:r>
      <w:r w:rsidRPr="00011698">
        <w:t xml:space="preserve"> should ensure that it does not deviate into dealing with such matters. </w:t>
      </w:r>
    </w:p>
    <w:p w14:paraId="4BB53D96" w14:textId="2161D849" w:rsidR="000E557F" w:rsidRPr="00D2484E" w:rsidRDefault="000E557F" w:rsidP="00011698">
      <w:r w:rsidRPr="00011698">
        <w:t xml:space="preserve">To support this, the </w:t>
      </w:r>
      <w:r w:rsidR="001629F0" w:rsidRPr="00011698">
        <w:t>PLCAC</w:t>
      </w:r>
      <w:r w:rsidRPr="00011698">
        <w:t xml:space="preserve">’s reconstituted </w:t>
      </w:r>
      <w:r w:rsidR="00A31348" w:rsidRPr="00011698">
        <w:t>terms</w:t>
      </w:r>
      <w:r w:rsidRPr="00011698">
        <w:t xml:space="preserve"> of </w:t>
      </w:r>
      <w:r w:rsidR="00A31348" w:rsidRPr="00011698">
        <w:t>reference</w:t>
      </w:r>
      <w:r w:rsidRPr="00011698">
        <w:t xml:space="preserve"> and </w:t>
      </w:r>
      <w:r w:rsidR="00A31348" w:rsidRPr="00011698">
        <w:t>operating guidelines</w:t>
      </w:r>
      <w:r w:rsidRPr="00011698">
        <w:t xml:space="preserve"> should be </w:t>
      </w:r>
      <w:r w:rsidR="5AE74181" w:rsidRPr="00011698">
        <w:t>designed</w:t>
      </w:r>
      <w:r w:rsidRPr="00011698">
        <w:t xml:space="preserve"> to clarify the </w:t>
      </w:r>
      <w:r w:rsidR="00B873AD" w:rsidRPr="00011698">
        <w:t xml:space="preserve">criteria </w:t>
      </w:r>
      <w:r w:rsidRPr="00011698">
        <w:t xml:space="preserve">and process </w:t>
      </w:r>
      <w:r w:rsidR="00B873AD" w:rsidRPr="00011698">
        <w:t xml:space="preserve">for </w:t>
      </w:r>
      <w:r w:rsidRPr="00011698">
        <w:t>refer</w:t>
      </w:r>
      <w:r w:rsidR="00B873AD" w:rsidRPr="00011698">
        <w:t xml:space="preserve">ring </w:t>
      </w:r>
      <w:r w:rsidRPr="00011698">
        <w:t xml:space="preserve">matters to the TGA. These revisions should be modelled upon the current PLAC Terms of Reference </w:t>
      </w:r>
      <w:r w:rsidR="00D927BA" w:rsidRPr="00011698">
        <w:t>and its</w:t>
      </w:r>
      <w:r w:rsidRPr="00011698">
        <w:t xml:space="preserve"> provision of a criteria for ap</w:t>
      </w:r>
      <w:r w:rsidRPr="00D2484E">
        <w:t xml:space="preserve">plications </w:t>
      </w:r>
      <w:r w:rsidR="00D927BA" w:rsidRPr="00D2484E">
        <w:t>for referral</w:t>
      </w:r>
      <w:r w:rsidRPr="00D2484E">
        <w:t xml:space="preserve"> to </w:t>
      </w:r>
      <w:r w:rsidR="00904535" w:rsidRPr="00D2484E">
        <w:t xml:space="preserve">the </w:t>
      </w:r>
      <w:r w:rsidRPr="00D2484E">
        <w:t>MSAC</w:t>
      </w:r>
      <w:r w:rsidR="00D927BA" w:rsidRPr="00D2484E">
        <w:t>. S</w:t>
      </w:r>
      <w:r w:rsidRPr="00D2484E">
        <w:t xml:space="preserve">imilarly, </w:t>
      </w:r>
      <w:r w:rsidR="008A7ECF" w:rsidRPr="00D2484E">
        <w:t>this criterion</w:t>
      </w:r>
      <w:r w:rsidRPr="00D2484E">
        <w:t xml:space="preserve"> should propose a threshold and provide a uniform understanding of ‘safety’ and ‘efficacy’ for </w:t>
      </w:r>
      <w:r w:rsidR="001629F0" w:rsidRPr="00D2484E">
        <w:t>PLCAC</w:t>
      </w:r>
      <w:r w:rsidRPr="00D2484E">
        <w:t xml:space="preserve"> members. </w:t>
      </w:r>
    </w:p>
    <w:p w14:paraId="03088893" w14:textId="77777777" w:rsidR="000E557F" w:rsidRPr="00D2484E" w:rsidRDefault="000E557F" w:rsidP="00F25D6C">
      <w:pPr>
        <w:pStyle w:val="Heading3"/>
      </w:pPr>
      <w:r w:rsidRPr="00D2484E">
        <w:t>Strengthening the functional relationship with the TGA</w:t>
      </w:r>
    </w:p>
    <w:p w14:paraId="0B2D45B7" w14:textId="0F4E76ED" w:rsidR="00367932" w:rsidRPr="00011698" w:rsidRDefault="000E557F" w:rsidP="00011698">
      <w:r w:rsidRPr="00D2484E">
        <w:t xml:space="preserve">The </w:t>
      </w:r>
      <w:r w:rsidR="007C20BE" w:rsidRPr="00D2484E">
        <w:t>advice sought from the T</w:t>
      </w:r>
      <w:r w:rsidR="007C20BE" w:rsidRPr="00011698">
        <w:t>GA on</w:t>
      </w:r>
      <w:r w:rsidRPr="00011698">
        <w:t xml:space="preserve"> safety and efficacy</w:t>
      </w:r>
      <w:r w:rsidR="00BF0370" w:rsidRPr="00011698">
        <w:t xml:space="preserve"> should</w:t>
      </w:r>
      <w:r w:rsidRPr="00011698">
        <w:t xml:space="preserve"> </w:t>
      </w:r>
      <w:r w:rsidR="007C20BE" w:rsidRPr="00011698">
        <w:t xml:space="preserve">be </w:t>
      </w:r>
      <w:r w:rsidRPr="00011698">
        <w:t xml:space="preserve">included </w:t>
      </w:r>
      <w:r w:rsidR="007C20BE" w:rsidRPr="00011698">
        <w:t xml:space="preserve">in </w:t>
      </w:r>
      <w:r w:rsidR="0008527B" w:rsidRPr="00011698">
        <w:t xml:space="preserve">the </w:t>
      </w:r>
      <w:r w:rsidR="001629F0" w:rsidRPr="00011698">
        <w:t>PLCAC</w:t>
      </w:r>
      <w:r w:rsidR="0008527B" w:rsidRPr="00011698">
        <w:t>’s</w:t>
      </w:r>
      <w:r w:rsidRPr="00011698">
        <w:t xml:space="preserve"> recommendations for listing and benefits setting.</w:t>
      </w:r>
      <w:r w:rsidR="0008527B" w:rsidRPr="00011698">
        <w:t xml:space="preserve"> </w:t>
      </w:r>
      <w:r w:rsidR="00367932" w:rsidRPr="00011698">
        <w:t xml:space="preserve">Any referrals to the TGA, and advice from the TGA received by the </w:t>
      </w:r>
      <w:r w:rsidR="001629F0" w:rsidRPr="00011698">
        <w:t>PLCAC</w:t>
      </w:r>
      <w:r w:rsidR="00367932" w:rsidRPr="00011698">
        <w:t xml:space="preserve">, should be included as reasons. </w:t>
      </w:r>
    </w:p>
    <w:p w14:paraId="133163E0" w14:textId="4F1448FD" w:rsidR="00264DA3" w:rsidRPr="00011698" w:rsidRDefault="00367932" w:rsidP="00011698">
      <w:bookmarkStart w:id="155" w:name="_Ref76374749"/>
      <w:r w:rsidRPr="00011698">
        <w:t xml:space="preserve">To enable this to occur, </w:t>
      </w:r>
      <w:r w:rsidR="000E557F" w:rsidRPr="00011698">
        <w:t xml:space="preserve">the </w:t>
      </w:r>
      <w:r w:rsidR="00AF27F4" w:rsidRPr="00011698">
        <w:t>Department</w:t>
      </w:r>
      <w:r w:rsidR="00416AD5" w:rsidRPr="00011698">
        <w:t xml:space="preserve"> </w:t>
      </w:r>
      <w:r w:rsidR="000E557F" w:rsidRPr="00011698">
        <w:t xml:space="preserve">and </w:t>
      </w:r>
      <w:r w:rsidR="001629F0" w:rsidRPr="00011698">
        <w:t>PLCAC</w:t>
      </w:r>
      <w:r w:rsidR="000E557F" w:rsidRPr="00011698">
        <w:t xml:space="preserve"> should consider ways in which </w:t>
      </w:r>
      <w:r w:rsidR="00C13D42" w:rsidRPr="00011698">
        <w:t>they</w:t>
      </w:r>
      <w:r w:rsidR="000E557F" w:rsidRPr="00011698">
        <w:t xml:space="preserve"> may strengthen </w:t>
      </w:r>
      <w:r w:rsidR="00C13D42" w:rsidRPr="00011698">
        <w:t>their</w:t>
      </w:r>
      <w:r w:rsidR="000E557F" w:rsidRPr="00011698">
        <w:t xml:space="preserve"> relationship with the TGA.</w:t>
      </w:r>
      <w:r w:rsidRPr="00011698">
        <w:t xml:space="preserve"> </w:t>
      </w:r>
      <w:r w:rsidR="000E557F" w:rsidRPr="00011698">
        <w:t xml:space="preserve">This </w:t>
      </w:r>
      <w:r w:rsidR="000E63E1" w:rsidRPr="00011698">
        <w:t>may also</w:t>
      </w:r>
      <w:r w:rsidR="000E557F" w:rsidRPr="00011698">
        <w:t xml:space="preserve"> include functional improvements, such as providing greater visibility </w:t>
      </w:r>
      <w:r w:rsidR="008A276A" w:rsidRPr="00011698">
        <w:t xml:space="preserve">to the TGA </w:t>
      </w:r>
      <w:r w:rsidR="000E557F" w:rsidRPr="00011698">
        <w:t xml:space="preserve">of the carriage of the </w:t>
      </w:r>
      <w:r w:rsidR="00AF27F4" w:rsidRPr="00011698">
        <w:t>Department</w:t>
      </w:r>
      <w:r w:rsidR="006805E4" w:rsidRPr="00011698">
        <w:t xml:space="preserve">’s </w:t>
      </w:r>
      <w:r w:rsidR="000E557F" w:rsidRPr="00011698">
        <w:t xml:space="preserve">and </w:t>
      </w:r>
      <w:r w:rsidR="001629F0" w:rsidRPr="00011698">
        <w:t>PLCAC</w:t>
      </w:r>
      <w:r w:rsidR="000E557F" w:rsidRPr="00011698">
        <w:t xml:space="preserve">’s work, or in </w:t>
      </w:r>
      <w:r w:rsidR="008A276A" w:rsidRPr="00011698">
        <w:t xml:space="preserve">the TGA’s </w:t>
      </w:r>
      <w:r w:rsidR="000E557F" w:rsidRPr="00011698">
        <w:t xml:space="preserve">ability to provide relevant updates and information at </w:t>
      </w:r>
      <w:r w:rsidR="001629F0" w:rsidRPr="00011698">
        <w:t>PLCAC</w:t>
      </w:r>
      <w:r w:rsidR="000E557F" w:rsidRPr="00011698">
        <w:t xml:space="preserve"> </w:t>
      </w:r>
      <w:r w:rsidR="004C3C12" w:rsidRPr="00011698">
        <w:t>Meeting</w:t>
      </w:r>
      <w:r w:rsidR="000E557F" w:rsidRPr="00011698">
        <w:t xml:space="preserve">s. </w:t>
      </w:r>
    </w:p>
    <w:p w14:paraId="1AE5C157" w14:textId="2C0D7037" w:rsidR="00C06A2D" w:rsidRDefault="000E557F" w:rsidP="00C06A2D">
      <w:r w:rsidRPr="00011698">
        <w:t xml:space="preserve">As a part of this, the </w:t>
      </w:r>
      <w:r w:rsidR="006805E4" w:rsidRPr="00011698">
        <w:t>Departm</w:t>
      </w:r>
      <w:r w:rsidR="006805E4" w:rsidRPr="00D2484E">
        <w:t xml:space="preserve">ent </w:t>
      </w:r>
      <w:r w:rsidRPr="00D2484E">
        <w:t xml:space="preserve">and </w:t>
      </w:r>
      <w:r w:rsidR="001629F0" w:rsidRPr="00D2484E">
        <w:t>PLCAC</w:t>
      </w:r>
      <w:r w:rsidRPr="00D2484E">
        <w:t xml:space="preserve"> should also consider ways in which referrals to the TGA may be streamlined. This will ensure that safety and efficacy considerations are addressed in a uniform </w:t>
      </w:r>
      <w:proofErr w:type="gramStart"/>
      <w:r w:rsidRPr="00D2484E">
        <w:t>manner, and</w:t>
      </w:r>
      <w:proofErr w:type="gramEnd"/>
      <w:r w:rsidRPr="00D2484E">
        <w:t xml:space="preserve"> enhance the consistency and quality of </w:t>
      </w:r>
      <w:r w:rsidR="006805E4" w:rsidRPr="00D2484E">
        <w:t xml:space="preserve">the Department’s </w:t>
      </w:r>
      <w:r w:rsidRPr="00D2484E">
        <w:t xml:space="preserve">and </w:t>
      </w:r>
      <w:r w:rsidR="001629F0" w:rsidRPr="00D2484E">
        <w:t>PLCAC</w:t>
      </w:r>
      <w:r w:rsidRPr="00D2484E">
        <w:t>’s advisory functions.</w:t>
      </w:r>
      <w:r w:rsidR="00C06A2D">
        <w:br w:type="page"/>
      </w:r>
    </w:p>
    <w:p w14:paraId="158781CF" w14:textId="77777777" w:rsidR="00F25D6C" w:rsidRDefault="00F25D6C" w:rsidP="00F25D6C">
      <w:pPr>
        <w:pStyle w:val="Boxtextoptions"/>
      </w:pPr>
      <w:r w:rsidRPr="00F25D6C">
        <w:rPr>
          <w:rStyle w:val="Strong"/>
        </w:rPr>
        <w:lastRenderedPageBreak/>
        <w:t>Recommendation 8</w:t>
      </w:r>
      <w:r>
        <w:t>: Develop clear criteria which outline the Prostheses List assessment process</w:t>
      </w:r>
    </w:p>
    <w:p w14:paraId="0A8B9395" w14:textId="5AAC09E1" w:rsidR="00F25D6C" w:rsidRDefault="00F25D6C" w:rsidP="00F25D6C">
      <w:pPr>
        <w:pStyle w:val="Boxtextoptions"/>
      </w:pPr>
      <w:r>
        <w:t>Clear assessment criteria for medical device listing, benefit setting, utilisation review and benefit review should be developed by the Department. IHPA should publish its process and methodology for public reference pricing.</w:t>
      </w:r>
    </w:p>
    <w:p w14:paraId="27A96324" w14:textId="77777777" w:rsidR="00F25D6C" w:rsidRDefault="00F25D6C" w:rsidP="00F25D6C">
      <w:pPr>
        <w:pStyle w:val="Boxtext"/>
      </w:pPr>
      <w:r w:rsidRPr="00F25D6C">
        <w:rPr>
          <w:rStyle w:val="Strong"/>
        </w:rPr>
        <w:t>Rationale</w:t>
      </w:r>
      <w:r>
        <w:t>: Clear assessment criteria for medical device listing, benefit setting, utilisation review and benefit review should be published by the Department.</w:t>
      </w:r>
    </w:p>
    <w:p w14:paraId="284D35C5" w14:textId="77777777" w:rsidR="00F25D6C" w:rsidRDefault="00F25D6C" w:rsidP="00F25D6C">
      <w:pPr>
        <w:pStyle w:val="Boxtext"/>
      </w:pPr>
      <w:r>
        <w:t>This will improve the consistency and transparency of advice relating to the listing and benefits of items on the Prostheses List.</w:t>
      </w:r>
    </w:p>
    <w:p w14:paraId="35148A4D" w14:textId="77777777" w:rsidR="00F25D6C" w:rsidRDefault="00F25D6C" w:rsidP="00F25D6C">
      <w:pPr>
        <w:pStyle w:val="Boxtext"/>
      </w:pPr>
      <w:r w:rsidRPr="00F25D6C">
        <w:rPr>
          <w:rStyle w:val="Strong"/>
        </w:rPr>
        <w:t>Relevant Findings</w:t>
      </w:r>
      <w:r>
        <w:t>:</w:t>
      </w:r>
    </w:p>
    <w:p w14:paraId="700A8D9A" w14:textId="77777777" w:rsidR="00F25D6C" w:rsidRDefault="00F25D6C" w:rsidP="00F25D6C">
      <w:pPr>
        <w:pStyle w:val="Boxtext"/>
      </w:pPr>
      <w:r>
        <w:t xml:space="preserve">Finding 2 - Management of the workload of the PLAC </w:t>
      </w:r>
    </w:p>
    <w:p w14:paraId="5FE740C8" w14:textId="77777777" w:rsidR="00F25D6C" w:rsidRDefault="00F25D6C" w:rsidP="00F25D6C">
      <w:pPr>
        <w:pStyle w:val="Boxtext"/>
      </w:pPr>
      <w:r>
        <w:t>Finding 3 - Support from the Department</w:t>
      </w:r>
    </w:p>
    <w:p w14:paraId="5908B0FC" w14:textId="45AD31F7" w:rsidR="00F25D6C" w:rsidRPr="00D2484E" w:rsidRDefault="00F25D6C" w:rsidP="00F25D6C">
      <w:pPr>
        <w:pStyle w:val="Boxtext"/>
      </w:pPr>
      <w:r>
        <w:t>Finding 4 – Consistency of advice from the PLAC</w:t>
      </w:r>
    </w:p>
    <w:p w14:paraId="6DE14920" w14:textId="7B058E44" w:rsidR="000E557F" w:rsidRPr="00D2484E" w:rsidRDefault="000E557F" w:rsidP="00F25D6C">
      <w:pPr>
        <w:pStyle w:val="Heading3"/>
      </w:pPr>
      <w:r w:rsidRPr="00D2484E">
        <w:t>Clarification of the assessment criteria of listing and benefits setting</w:t>
      </w:r>
    </w:p>
    <w:p w14:paraId="06E85AD3" w14:textId="3AF43118" w:rsidR="00536E4A" w:rsidRPr="005A2F16" w:rsidRDefault="000E557F" w:rsidP="005A2F16">
      <w:r w:rsidRPr="005A2F16">
        <w:t xml:space="preserve">The Department should establish </w:t>
      </w:r>
      <w:r w:rsidR="008A7ECF" w:rsidRPr="005A2F16">
        <w:t xml:space="preserve">clear </w:t>
      </w:r>
      <w:r w:rsidR="00EA75BC" w:rsidRPr="005A2F16">
        <w:t xml:space="preserve">and accessible </w:t>
      </w:r>
      <w:r w:rsidR="008A7ECF" w:rsidRPr="005A2F16">
        <w:t>assessment criter</w:t>
      </w:r>
      <w:r w:rsidR="00F15E82" w:rsidRPr="005A2F16">
        <w:t>ia</w:t>
      </w:r>
      <w:r w:rsidRPr="005A2F16">
        <w:t xml:space="preserve"> to guide how the </w:t>
      </w:r>
      <w:r w:rsidR="001629F0" w:rsidRPr="005A2F16">
        <w:t>PLCAC</w:t>
      </w:r>
      <w:r w:rsidRPr="005A2F16">
        <w:t xml:space="preserve"> should make recommendations for </w:t>
      </w:r>
      <w:r w:rsidR="00AE22FB" w:rsidRPr="005A2F16">
        <w:t>prostheses</w:t>
      </w:r>
      <w:r w:rsidRPr="005A2F16">
        <w:t xml:space="preserve"> listing and benefits setting. This should be developed by the </w:t>
      </w:r>
      <w:r w:rsidR="00AB6092" w:rsidRPr="005A2F16">
        <w:t>Department</w:t>
      </w:r>
      <w:r w:rsidR="003E4115" w:rsidRPr="005A2F16">
        <w:t xml:space="preserve"> </w:t>
      </w:r>
      <w:r w:rsidRPr="005A2F16">
        <w:t xml:space="preserve">with the aim of heightening the accessibility of the Prostheses Rules. </w:t>
      </w:r>
    </w:p>
    <w:p w14:paraId="68C2D99C" w14:textId="450C3930" w:rsidR="00177FD4" w:rsidRPr="005A2F16" w:rsidRDefault="000E557F" w:rsidP="005A2F16">
      <w:r w:rsidRPr="005A2F16">
        <w:t xml:space="preserve">This assessment criteria should harmonise with the development of templates, and clearly demonstrate why the medical device qualifies for listing, and reasons for the benefits recommended. </w:t>
      </w:r>
      <w:proofErr w:type="gramStart"/>
      <w:r w:rsidR="008A7ECF" w:rsidRPr="005A2F16">
        <w:t>This criteri</w:t>
      </w:r>
      <w:r w:rsidR="006B4E66" w:rsidRPr="005A2F16">
        <w:t>a</w:t>
      </w:r>
      <w:proofErr w:type="gramEnd"/>
      <w:r w:rsidRPr="005A2F16">
        <w:t xml:space="preserve"> should not replace the existing Prostheses Rules, but increase its accessibility to the </w:t>
      </w:r>
      <w:r w:rsidR="00AB6092" w:rsidRPr="005A2F16">
        <w:t>Department</w:t>
      </w:r>
      <w:r w:rsidR="00163074" w:rsidRPr="005A2F16">
        <w:t xml:space="preserve">, </w:t>
      </w:r>
      <w:r w:rsidR="006B4E66" w:rsidRPr="005A2F16">
        <w:t xml:space="preserve">the </w:t>
      </w:r>
      <w:r w:rsidR="001629F0" w:rsidRPr="005A2F16">
        <w:t>PLCAC</w:t>
      </w:r>
      <w:r w:rsidRPr="005A2F16">
        <w:t xml:space="preserve"> </w:t>
      </w:r>
      <w:r w:rsidR="00163074" w:rsidRPr="005A2F16">
        <w:t xml:space="preserve">and </w:t>
      </w:r>
      <w:r w:rsidR="006B4E66" w:rsidRPr="005A2F16">
        <w:t xml:space="preserve">the </w:t>
      </w:r>
      <w:r w:rsidR="00163074" w:rsidRPr="005A2F16">
        <w:t xml:space="preserve">CEP </w:t>
      </w:r>
      <w:r w:rsidRPr="005A2F16">
        <w:t xml:space="preserve">to ensure a uniform understanding </w:t>
      </w:r>
      <w:r w:rsidR="00177FD4" w:rsidRPr="005A2F16">
        <w:t xml:space="preserve">and applicability </w:t>
      </w:r>
      <w:r w:rsidRPr="005A2F16">
        <w:t xml:space="preserve">across </w:t>
      </w:r>
      <w:r w:rsidR="004113F4" w:rsidRPr="005A2F16">
        <w:t>all</w:t>
      </w:r>
      <w:r w:rsidRPr="005A2F16">
        <w:t xml:space="preserve">. </w:t>
      </w:r>
    </w:p>
    <w:p w14:paraId="1FC13DE9" w14:textId="30AEDE72" w:rsidR="000E557F" w:rsidRPr="005A2F16" w:rsidRDefault="008A7ECF" w:rsidP="005A2F16">
      <w:proofErr w:type="gramStart"/>
      <w:r w:rsidRPr="005A2F16">
        <w:t>This criteri</w:t>
      </w:r>
      <w:r w:rsidR="006B4E66" w:rsidRPr="005A2F16">
        <w:t>a</w:t>
      </w:r>
      <w:proofErr w:type="gramEnd"/>
      <w:r w:rsidR="000E557F" w:rsidRPr="005A2F16">
        <w:t xml:space="preserve"> should provide a frame of reference </w:t>
      </w:r>
      <w:r w:rsidR="00381EF0" w:rsidRPr="005A2F16">
        <w:t xml:space="preserve">for when matters </w:t>
      </w:r>
      <w:r w:rsidR="000E557F" w:rsidRPr="005A2F16">
        <w:t xml:space="preserve">require </w:t>
      </w:r>
      <w:r w:rsidR="00C1700E" w:rsidRPr="005A2F16">
        <w:t xml:space="preserve">referral </w:t>
      </w:r>
      <w:r w:rsidR="000E557F" w:rsidRPr="005A2F16">
        <w:t xml:space="preserve">to the </w:t>
      </w:r>
      <w:r w:rsidR="001629F0" w:rsidRPr="005A2F16">
        <w:t>PLCAC</w:t>
      </w:r>
      <w:r w:rsidR="000E557F" w:rsidRPr="005A2F16">
        <w:t xml:space="preserve"> </w:t>
      </w:r>
      <w:r w:rsidR="00381EF0" w:rsidRPr="005A2F16">
        <w:t xml:space="preserve">or </w:t>
      </w:r>
      <w:r w:rsidR="00C1700E" w:rsidRPr="005A2F16">
        <w:t xml:space="preserve">the </w:t>
      </w:r>
      <w:r w:rsidR="00381EF0" w:rsidRPr="005A2F16">
        <w:t xml:space="preserve">CEP </w:t>
      </w:r>
      <w:r w:rsidR="000E557F" w:rsidRPr="005A2F16">
        <w:t xml:space="preserve">by the </w:t>
      </w:r>
      <w:r w:rsidR="00AB6092" w:rsidRPr="005A2F16">
        <w:t>Department</w:t>
      </w:r>
      <w:r w:rsidR="000E557F" w:rsidRPr="005A2F16">
        <w:t>.</w:t>
      </w:r>
      <w:r w:rsidR="00A2535B" w:rsidRPr="005A2F16">
        <w:t xml:space="preserve"> This should assist in </w:t>
      </w:r>
      <w:r w:rsidR="000E557F" w:rsidRPr="005A2F16">
        <w:t>orient</w:t>
      </w:r>
      <w:r w:rsidR="00A2535B" w:rsidRPr="005A2F16">
        <w:t xml:space="preserve">ing </w:t>
      </w:r>
      <w:r w:rsidR="001629F0" w:rsidRPr="005A2F16">
        <w:t>PLCAC</w:t>
      </w:r>
      <w:r w:rsidR="000E557F" w:rsidRPr="005A2F16">
        <w:t xml:space="preserve"> discussions and mitigate its tendency to deviate from its core purpose. Th</w:t>
      </w:r>
      <w:r w:rsidR="00560EE1" w:rsidRPr="005A2F16">
        <w:t>e</w:t>
      </w:r>
      <w:r w:rsidR="000E557F" w:rsidRPr="005A2F16">
        <w:t xml:space="preserve"> criteria should also identify the circumstances in which referrals for further advice should be made, such as </w:t>
      </w:r>
      <w:r w:rsidR="006D72F6" w:rsidRPr="005A2F16">
        <w:t xml:space="preserve">matters </w:t>
      </w:r>
      <w:r w:rsidR="000E557F" w:rsidRPr="005A2F16">
        <w:t xml:space="preserve">of safety and efficacy to the TGA. </w:t>
      </w:r>
    </w:p>
    <w:p w14:paraId="5370E816" w14:textId="3B091395" w:rsidR="000E557F" w:rsidRPr="005A2F16" w:rsidRDefault="000E557F" w:rsidP="005A2F16">
      <w:r w:rsidRPr="005A2F16">
        <w:t xml:space="preserve">The criteria should clarify how submissions of advice tendered by the </w:t>
      </w:r>
      <w:r w:rsidR="001629F0" w:rsidRPr="005A2F16">
        <w:t>PLIWG</w:t>
      </w:r>
      <w:r w:rsidRPr="005A2F16">
        <w:t xml:space="preserve"> to the </w:t>
      </w:r>
      <w:r w:rsidR="004B741C" w:rsidRPr="005A2F16">
        <w:t xml:space="preserve">Department </w:t>
      </w:r>
      <w:r w:rsidRPr="005A2F16">
        <w:t xml:space="preserve">should be considered by both the </w:t>
      </w:r>
      <w:r w:rsidR="00AB6092" w:rsidRPr="005A2F16">
        <w:t xml:space="preserve">Department </w:t>
      </w:r>
      <w:r w:rsidRPr="005A2F16">
        <w:t xml:space="preserve">and the </w:t>
      </w:r>
      <w:r w:rsidR="001629F0" w:rsidRPr="005A2F16">
        <w:t>PLCAC</w:t>
      </w:r>
      <w:r w:rsidRPr="005A2F16">
        <w:t xml:space="preserve">. The </w:t>
      </w:r>
      <w:r w:rsidR="00AB6092" w:rsidRPr="005A2F16">
        <w:t>Department</w:t>
      </w:r>
      <w:r w:rsidR="004B741C" w:rsidRPr="005A2F16">
        <w:t xml:space="preserve"> </w:t>
      </w:r>
      <w:r w:rsidRPr="005A2F16">
        <w:t xml:space="preserve">and the </w:t>
      </w:r>
      <w:r w:rsidR="001629F0" w:rsidRPr="005A2F16">
        <w:t>PLCAC</w:t>
      </w:r>
      <w:r w:rsidRPr="005A2F16">
        <w:t xml:space="preserve"> should have no obligation to accept the advice tendered by the </w:t>
      </w:r>
      <w:r w:rsidR="001629F0" w:rsidRPr="005A2F16">
        <w:t>PLIWG</w:t>
      </w:r>
      <w:r w:rsidRPr="005A2F16">
        <w:t xml:space="preserve">. Advice tendered by the </w:t>
      </w:r>
      <w:r w:rsidR="001629F0" w:rsidRPr="005A2F16">
        <w:t>PLIWG</w:t>
      </w:r>
      <w:r w:rsidRPr="005A2F16">
        <w:t xml:space="preserve"> may be referred onwards to the MSAC</w:t>
      </w:r>
      <w:r w:rsidR="00440A39" w:rsidRPr="005A2F16">
        <w:t xml:space="preserve">’s ESC </w:t>
      </w:r>
      <w:r w:rsidRPr="005A2F16">
        <w:t xml:space="preserve">should the </w:t>
      </w:r>
      <w:r w:rsidR="004C2E0D" w:rsidRPr="005A2F16">
        <w:t>Department</w:t>
      </w:r>
      <w:r w:rsidR="004B741C" w:rsidRPr="005A2F16">
        <w:t xml:space="preserve"> </w:t>
      </w:r>
      <w:r w:rsidRPr="005A2F16">
        <w:t xml:space="preserve">and </w:t>
      </w:r>
      <w:r w:rsidR="001629F0" w:rsidRPr="005A2F16">
        <w:t>PLCAC</w:t>
      </w:r>
      <w:r w:rsidRPr="005A2F16">
        <w:t xml:space="preserve"> require further validation of advice independent of </w:t>
      </w:r>
      <w:r w:rsidR="008A7ECF" w:rsidRPr="005A2F16">
        <w:t>stakeholders’</w:t>
      </w:r>
      <w:r w:rsidRPr="005A2F16">
        <w:t xml:space="preserve"> interests.  </w:t>
      </w:r>
    </w:p>
    <w:p w14:paraId="2D848908" w14:textId="58118A65" w:rsidR="000E557F" w:rsidRPr="005A2F16" w:rsidRDefault="000E557F" w:rsidP="005A2F16">
      <w:r w:rsidRPr="005A2F16">
        <w:t>Th</w:t>
      </w:r>
      <w:r w:rsidR="00C539F6" w:rsidRPr="005A2F16">
        <w:t>e</w:t>
      </w:r>
      <w:r w:rsidRPr="005A2F16">
        <w:t xml:space="preserve"> criteria should also be made available to the </w:t>
      </w:r>
      <w:r w:rsidR="0079018F" w:rsidRPr="005A2F16">
        <w:t>CEP</w:t>
      </w:r>
      <w:r w:rsidRPr="005A2F16">
        <w:t xml:space="preserve"> as a frame of reference, and to guide </w:t>
      </w:r>
      <w:r w:rsidR="00313519" w:rsidRPr="005A2F16">
        <w:t xml:space="preserve">where </w:t>
      </w:r>
      <w:r w:rsidRPr="005A2F16">
        <w:t xml:space="preserve">advice </w:t>
      </w:r>
      <w:r w:rsidR="00313519" w:rsidRPr="005A2F16">
        <w:t xml:space="preserve">is being </w:t>
      </w:r>
      <w:r w:rsidRPr="005A2F16">
        <w:t xml:space="preserve">sought. </w:t>
      </w:r>
    </w:p>
    <w:p w14:paraId="5089C71B" w14:textId="77777777" w:rsidR="000E557F" w:rsidRPr="00D2484E" w:rsidRDefault="000E557F" w:rsidP="00F25D6C">
      <w:pPr>
        <w:pStyle w:val="Heading3"/>
      </w:pPr>
      <w:r w:rsidRPr="00D2484E">
        <w:t>Publication of public reference pricing</w:t>
      </w:r>
    </w:p>
    <w:p w14:paraId="50A8306C" w14:textId="6641138B" w:rsidR="000E557F" w:rsidRPr="005A2F16" w:rsidRDefault="000E557F" w:rsidP="005A2F16">
      <w:r w:rsidRPr="005A2F16">
        <w:t xml:space="preserve">It is commonly acknowledged that functional clinical experts may not necessarily have </w:t>
      </w:r>
      <w:r w:rsidR="00FD6947" w:rsidRPr="005A2F16">
        <w:t xml:space="preserve">requisite </w:t>
      </w:r>
      <w:r w:rsidRPr="005A2F16">
        <w:t xml:space="preserve">skills </w:t>
      </w:r>
      <w:r w:rsidR="00FD6947" w:rsidRPr="005A2F16">
        <w:t xml:space="preserve">to </w:t>
      </w:r>
      <w:r w:rsidR="003C2B53" w:rsidRPr="005A2F16">
        <w:t xml:space="preserve">perform </w:t>
      </w:r>
      <w:r w:rsidRPr="005A2F16">
        <w:t xml:space="preserve">benefits setting. To support the </w:t>
      </w:r>
      <w:r w:rsidR="001629F0" w:rsidRPr="005A2F16">
        <w:t>PLCAC</w:t>
      </w:r>
      <w:r w:rsidRPr="005A2F16">
        <w:t xml:space="preserve">’s function, IHPA should publish the process and methodology it uses to develop public reference pricing. This should enhance transparency and enable robust debate on value for money; decrease the information asymmetry currently being exhibited between those in a clinical advisory capacity and industry advocates; and contribute to an application’s satisfaction of the </w:t>
      </w:r>
      <w:proofErr w:type="gramStart"/>
      <w:r w:rsidRPr="005A2F16">
        <w:t>aforementioned assessment</w:t>
      </w:r>
      <w:proofErr w:type="gramEnd"/>
      <w:r w:rsidRPr="005A2F16">
        <w:t xml:space="preserve"> criteria for benefits setting. </w:t>
      </w:r>
    </w:p>
    <w:p w14:paraId="5F56825D" w14:textId="77777777" w:rsidR="000E557F" w:rsidRPr="00D2484E" w:rsidRDefault="000E557F" w:rsidP="00F25D6C">
      <w:pPr>
        <w:pStyle w:val="Heading3"/>
      </w:pPr>
      <w:r w:rsidRPr="00D2484E">
        <w:lastRenderedPageBreak/>
        <w:t>Clarification of criteria for utilisation and benefits review</w:t>
      </w:r>
    </w:p>
    <w:p w14:paraId="14D40F8A" w14:textId="79373FAB" w:rsidR="000E557F" w:rsidRPr="005A2F16" w:rsidRDefault="000E557F" w:rsidP="005A2F16">
      <w:r w:rsidRPr="005A2F16">
        <w:t xml:space="preserve">Efforts to streamline work related to the </w:t>
      </w:r>
      <w:r w:rsidR="00667A6B" w:rsidRPr="005A2F16">
        <w:t>Prostheses List</w:t>
      </w:r>
      <w:r w:rsidRPr="005A2F16">
        <w:t xml:space="preserve"> should enable the </w:t>
      </w:r>
      <w:r w:rsidR="00C074EC" w:rsidRPr="005A2F16">
        <w:t xml:space="preserve">relevant area of the Department </w:t>
      </w:r>
      <w:r w:rsidRPr="005A2F16">
        <w:t xml:space="preserve">and </w:t>
      </w:r>
      <w:r w:rsidR="008C101B" w:rsidRPr="005A2F16">
        <w:t xml:space="preserve">the </w:t>
      </w:r>
      <w:r w:rsidR="001629F0" w:rsidRPr="005A2F16">
        <w:t>PLCAC</w:t>
      </w:r>
      <w:r w:rsidRPr="005A2F16">
        <w:t xml:space="preserve"> to increase </w:t>
      </w:r>
      <w:r w:rsidR="00A178B6" w:rsidRPr="005A2F16">
        <w:t>their</w:t>
      </w:r>
      <w:r w:rsidRPr="005A2F16">
        <w:t xml:space="preserve"> capacity for </w:t>
      </w:r>
      <w:r w:rsidR="00F36B93" w:rsidRPr="005A2F16">
        <w:t>post-listing</w:t>
      </w:r>
      <w:r w:rsidRPr="005A2F16">
        <w:t xml:space="preserve"> review. Currently, no criteri</w:t>
      </w:r>
      <w:r w:rsidR="00214820" w:rsidRPr="005A2F16">
        <w:t>on</w:t>
      </w:r>
      <w:r w:rsidRPr="005A2F16">
        <w:t xml:space="preserve"> </w:t>
      </w:r>
      <w:r w:rsidR="008A7ECF" w:rsidRPr="005A2F16">
        <w:t>exist</w:t>
      </w:r>
      <w:r w:rsidR="00F36B93" w:rsidRPr="005A2F16">
        <w:t>s</w:t>
      </w:r>
      <w:r w:rsidRPr="005A2F16">
        <w:t xml:space="preserve"> to instigate a </w:t>
      </w:r>
      <w:r w:rsidR="00707560" w:rsidRPr="005A2F16">
        <w:t xml:space="preserve">post-listing </w:t>
      </w:r>
      <w:r w:rsidRPr="005A2F16">
        <w:t xml:space="preserve">review. Clarification of a criteria for </w:t>
      </w:r>
      <w:r w:rsidR="00707560" w:rsidRPr="005A2F16">
        <w:t xml:space="preserve">a </w:t>
      </w:r>
      <w:r w:rsidRPr="005A2F16">
        <w:t xml:space="preserve">review </w:t>
      </w:r>
      <w:r w:rsidR="00707560" w:rsidRPr="005A2F16">
        <w:t xml:space="preserve">of utilisation and benefits </w:t>
      </w:r>
      <w:r w:rsidRPr="005A2F16">
        <w:t xml:space="preserve">would strengthen the </w:t>
      </w:r>
      <w:r w:rsidR="00730A44" w:rsidRPr="005A2F16">
        <w:t>Department’s</w:t>
      </w:r>
      <w:r w:rsidR="00C074EC" w:rsidRPr="005A2F16">
        <w:t xml:space="preserve"> </w:t>
      </w:r>
      <w:r w:rsidRPr="005A2F16">
        <w:t xml:space="preserve">and </w:t>
      </w:r>
      <w:r w:rsidR="008C101B" w:rsidRPr="005A2F16">
        <w:t xml:space="preserve">the </w:t>
      </w:r>
      <w:r w:rsidR="001629F0" w:rsidRPr="005A2F16">
        <w:t>PLCAC</w:t>
      </w:r>
      <w:r w:rsidRPr="005A2F16">
        <w:t xml:space="preserve">’s support </w:t>
      </w:r>
      <w:r w:rsidR="00707560" w:rsidRPr="005A2F16">
        <w:t xml:space="preserve">of </w:t>
      </w:r>
      <w:r w:rsidRPr="005A2F16">
        <w:t xml:space="preserve">the Minister </w:t>
      </w:r>
      <w:r w:rsidR="00707560" w:rsidRPr="005A2F16">
        <w:t xml:space="preserve">and overall governance of the </w:t>
      </w:r>
      <w:r w:rsidR="00F04E1B" w:rsidRPr="005A2F16">
        <w:t>Prostheses List</w:t>
      </w:r>
      <w:r w:rsidRPr="005A2F16">
        <w:t xml:space="preserve">. A range of circumstances should be considered, such as: </w:t>
      </w:r>
    </w:p>
    <w:p w14:paraId="2664EE3C" w14:textId="3CE27FCA" w:rsidR="000E557F" w:rsidRPr="00D2484E" w:rsidRDefault="000E557F" w:rsidP="002D1775">
      <w:pPr>
        <w:pStyle w:val="EYBullet1"/>
      </w:pPr>
      <w:r w:rsidRPr="00D2484E">
        <w:rPr>
          <w:b/>
        </w:rPr>
        <w:t>Utilisation anomalies:</w:t>
      </w:r>
      <w:r w:rsidRPr="00D2484E">
        <w:t xml:space="preserve"> With due consideration of enhanced post-market surveillance, the </w:t>
      </w:r>
      <w:r w:rsidR="006F170D" w:rsidRPr="00D2484E">
        <w:t xml:space="preserve">Department </w:t>
      </w:r>
      <w:r w:rsidRPr="00D2484E">
        <w:t>should review items where there is an excess or deficiency in the utilisation of the device</w:t>
      </w:r>
      <w:r w:rsidR="00552840" w:rsidRPr="00D2484E">
        <w:t>,</w:t>
      </w:r>
      <w:r w:rsidRPr="00D2484E">
        <w:t xml:space="preserve"> which is not aligned with the data supplied by the manufacturer or sponsor. </w:t>
      </w:r>
    </w:p>
    <w:p w14:paraId="09144A1E" w14:textId="57927097" w:rsidR="000E557F" w:rsidRPr="00D2484E" w:rsidRDefault="000E557F" w:rsidP="002D1775">
      <w:pPr>
        <w:pStyle w:val="EYBullet1"/>
      </w:pPr>
      <w:r w:rsidRPr="00D2484E">
        <w:rPr>
          <w:b/>
        </w:rPr>
        <w:t>Incident reporting:</w:t>
      </w:r>
      <w:r w:rsidRPr="00D2484E">
        <w:t xml:space="preserve"> With due consideration of an enhanced functional relationship with the TGA, where the TGA shares issues of safety and efficiency regarding a medical device with the </w:t>
      </w:r>
      <w:r w:rsidR="001629F0" w:rsidRPr="00D2484E">
        <w:t>PLCAC</w:t>
      </w:r>
      <w:r w:rsidRPr="00D2484E">
        <w:t xml:space="preserve">, the </w:t>
      </w:r>
      <w:r w:rsidR="006F170D" w:rsidRPr="00D2484E">
        <w:t>Department</w:t>
      </w:r>
      <w:r w:rsidR="00C074EC" w:rsidRPr="00D2484E" w:rsidDel="00C074EC">
        <w:t xml:space="preserve"> </w:t>
      </w:r>
      <w:r w:rsidRPr="00D2484E">
        <w:t xml:space="preserve">should review medical devices </w:t>
      </w:r>
      <w:proofErr w:type="gramStart"/>
      <w:r w:rsidRPr="00D2484E">
        <w:t>with regard to</w:t>
      </w:r>
      <w:proofErr w:type="gramEnd"/>
      <w:r w:rsidRPr="00D2484E">
        <w:t xml:space="preserve"> the impact of safety and efficiency upon potential utilisation. </w:t>
      </w:r>
    </w:p>
    <w:p w14:paraId="732D903F" w14:textId="27F6393B" w:rsidR="000E557F" w:rsidRPr="005A2F16" w:rsidRDefault="000E557F" w:rsidP="005A2F16">
      <w:r w:rsidRPr="005A2F16">
        <w:t xml:space="preserve">The </w:t>
      </w:r>
      <w:r w:rsidR="00C074EC" w:rsidRPr="005A2F16">
        <w:t>Department</w:t>
      </w:r>
      <w:r w:rsidR="00C074EC" w:rsidRPr="005A2F16" w:rsidDel="00C074EC">
        <w:t xml:space="preserve"> </w:t>
      </w:r>
      <w:r w:rsidRPr="005A2F16">
        <w:t>should identify baselines and threshold</w:t>
      </w:r>
      <w:r w:rsidR="00AA6FAF" w:rsidRPr="005A2F16">
        <w:t>s</w:t>
      </w:r>
      <w:r w:rsidRPr="005A2F16">
        <w:t xml:space="preserve"> required to trigger reviews and</w:t>
      </w:r>
      <w:r w:rsidR="009F75B2" w:rsidRPr="005A2F16">
        <w:t>,</w:t>
      </w:r>
      <w:r w:rsidRPr="005A2F16">
        <w:t xml:space="preserve"> as such, utilisation and benefits review should be made a standing item in the </w:t>
      </w:r>
      <w:r w:rsidR="00C074EC" w:rsidRPr="005A2F16">
        <w:t>TAAD</w:t>
      </w:r>
      <w:r w:rsidR="00C074EC" w:rsidRPr="005A2F16" w:rsidDel="00C074EC">
        <w:t xml:space="preserve"> </w:t>
      </w:r>
      <w:r w:rsidRPr="005A2F16">
        <w:t xml:space="preserve">and </w:t>
      </w:r>
      <w:r w:rsidR="009F75B2" w:rsidRPr="005A2F16">
        <w:t xml:space="preserve">the </w:t>
      </w:r>
      <w:r w:rsidR="001629F0" w:rsidRPr="005A2F16">
        <w:t>PLCAC</w:t>
      </w:r>
      <w:r w:rsidRPr="005A2F16">
        <w:t xml:space="preserve">’s ordinary work. </w:t>
      </w:r>
    </w:p>
    <w:p w14:paraId="4F29BC68" w14:textId="77777777" w:rsidR="00C06A2D" w:rsidRPr="00C06A2D" w:rsidRDefault="00C06A2D" w:rsidP="00C06A2D">
      <w:pPr>
        <w:pStyle w:val="Boxtextoptions"/>
      </w:pPr>
      <w:r w:rsidRPr="00C06A2D">
        <w:rPr>
          <w:rStyle w:val="Strong"/>
        </w:rPr>
        <w:t>Recommendation 9</w:t>
      </w:r>
      <w:r w:rsidRPr="00C06A2D">
        <w:t>: Develop clear criteria to identify an HTA requirement</w:t>
      </w:r>
    </w:p>
    <w:p w14:paraId="0F2DCCB5" w14:textId="77777777" w:rsidR="00C06A2D" w:rsidRPr="00C06A2D" w:rsidRDefault="00C06A2D" w:rsidP="00C06A2D">
      <w:pPr>
        <w:pStyle w:val="Boxtextoptions"/>
      </w:pPr>
      <w:r w:rsidRPr="00C06A2D">
        <w:t xml:space="preserve">Clear criteria should be established by the Department to define when a formal HTA will be conducted prior to the consideration of new applications or benefit revisions.  </w:t>
      </w:r>
    </w:p>
    <w:p w14:paraId="6B12F6F2" w14:textId="77777777" w:rsidR="00C06A2D" w:rsidRPr="00C06A2D" w:rsidRDefault="00C06A2D" w:rsidP="00C06A2D">
      <w:pPr>
        <w:pStyle w:val="Boxtext"/>
      </w:pPr>
      <w:r w:rsidRPr="00C06A2D">
        <w:rPr>
          <w:rStyle w:val="Strong"/>
        </w:rPr>
        <w:t>Rationale</w:t>
      </w:r>
      <w:r w:rsidRPr="00C06A2D">
        <w:t>: Clear criteria for an HTA will enable the Department to run a consistent, well-</w:t>
      </w:r>
      <w:proofErr w:type="gramStart"/>
      <w:r w:rsidRPr="00C06A2D">
        <w:t>understood  and</w:t>
      </w:r>
      <w:proofErr w:type="gramEnd"/>
      <w:r w:rsidRPr="00C06A2D">
        <w:t xml:space="preserve"> efficient triaging system for applications; and also allow the PLCAC and the CEP to determine if an application should be referred for a HTA process as this may only become evident once an assessment has occurred.</w:t>
      </w:r>
    </w:p>
    <w:p w14:paraId="51988EC9" w14:textId="77777777" w:rsidR="00C06A2D" w:rsidRPr="00C06A2D" w:rsidRDefault="00C06A2D" w:rsidP="00C06A2D">
      <w:pPr>
        <w:pStyle w:val="Boxtext"/>
      </w:pPr>
      <w:r w:rsidRPr="00C06A2D">
        <w:rPr>
          <w:rStyle w:val="Strong"/>
        </w:rPr>
        <w:t>Relevant Findings</w:t>
      </w:r>
      <w:r w:rsidRPr="00C06A2D">
        <w:t>:</w:t>
      </w:r>
    </w:p>
    <w:p w14:paraId="64AA8C02" w14:textId="77777777" w:rsidR="00C06A2D" w:rsidRPr="00C06A2D" w:rsidRDefault="00C06A2D" w:rsidP="00C06A2D">
      <w:pPr>
        <w:pStyle w:val="Boxtext"/>
      </w:pPr>
      <w:r w:rsidRPr="00C06A2D">
        <w:t xml:space="preserve">Finding 2 - Management of the workload of the PLAC </w:t>
      </w:r>
    </w:p>
    <w:p w14:paraId="02E187ED" w14:textId="7DCA2481" w:rsidR="00DD2E13" w:rsidRPr="00D2484E" w:rsidRDefault="00C06A2D" w:rsidP="00C06A2D">
      <w:pPr>
        <w:pStyle w:val="Boxtext"/>
      </w:pPr>
      <w:r w:rsidRPr="00C06A2D">
        <w:t>Finding 3 - Support from the Department</w:t>
      </w:r>
    </w:p>
    <w:p w14:paraId="0B2F404F" w14:textId="77777777" w:rsidR="000E557F" w:rsidRPr="00D2484E" w:rsidRDefault="000E557F" w:rsidP="00F25D6C">
      <w:pPr>
        <w:pStyle w:val="Heading3"/>
      </w:pPr>
      <w:r w:rsidRPr="00D2484E">
        <w:t>Clarification on criteria for focused and formal Health Technology Assessments</w:t>
      </w:r>
    </w:p>
    <w:p w14:paraId="7CFACCA7" w14:textId="3951E5B2" w:rsidR="005E458B" w:rsidRPr="005A2F16" w:rsidRDefault="003A191C" w:rsidP="005A2F16">
      <w:r w:rsidRPr="005A2F16">
        <w:t>The</w:t>
      </w:r>
      <w:r w:rsidR="000E557F" w:rsidRPr="005A2F16">
        <w:t xml:space="preserve"> </w:t>
      </w:r>
      <w:r w:rsidR="000769A2" w:rsidRPr="005A2F16">
        <w:t>Department</w:t>
      </w:r>
      <w:r w:rsidR="00C074EC" w:rsidRPr="005A2F16" w:rsidDel="00C074EC">
        <w:t xml:space="preserve"> </w:t>
      </w:r>
      <w:r w:rsidR="000E557F" w:rsidRPr="005A2F16">
        <w:t xml:space="preserve">should clarify the circumstances in which a formal HTA is required prior to the consideration of new applications or benefit revisions. </w:t>
      </w:r>
      <w:proofErr w:type="gramStart"/>
      <w:r w:rsidR="000E557F" w:rsidRPr="005A2F16">
        <w:t>This criteria</w:t>
      </w:r>
      <w:proofErr w:type="gramEnd"/>
      <w:r w:rsidR="000E557F" w:rsidRPr="005A2F16">
        <w:t xml:space="preserve"> should harmonise with the assessment criteria for </w:t>
      </w:r>
      <w:r w:rsidR="007550D3" w:rsidRPr="005A2F16">
        <w:t>medical device</w:t>
      </w:r>
      <w:r w:rsidR="000E557F" w:rsidRPr="005A2F16">
        <w:t xml:space="preserve"> listing and benefit setting to guide the information sought through the HTA. </w:t>
      </w:r>
    </w:p>
    <w:p w14:paraId="2EC2C5E8" w14:textId="309DFD9B" w:rsidR="000E557F" w:rsidRPr="005A2F16" w:rsidRDefault="000E557F" w:rsidP="005A2F16">
      <w:r w:rsidRPr="005A2F16">
        <w:t>The criteria should consider the circumstances in which a focused HTA</w:t>
      </w:r>
      <w:r w:rsidR="00EE02CB" w:rsidRPr="005A2F16">
        <w:t xml:space="preserve"> or a</w:t>
      </w:r>
      <w:r w:rsidRPr="005A2F16">
        <w:t xml:space="preserve"> formal HTA may be required. An assessment </w:t>
      </w:r>
      <w:r w:rsidR="0059582B" w:rsidRPr="005A2F16">
        <w:t xml:space="preserve">against </w:t>
      </w:r>
      <w:proofErr w:type="gramStart"/>
      <w:r w:rsidR="0059582B" w:rsidRPr="005A2F16">
        <w:t>this</w:t>
      </w:r>
      <w:r w:rsidRPr="005A2F16">
        <w:t xml:space="preserve"> criteria</w:t>
      </w:r>
      <w:proofErr w:type="gramEnd"/>
      <w:r w:rsidRPr="005A2F16">
        <w:t xml:space="preserve"> should occur prior to </w:t>
      </w:r>
      <w:r w:rsidR="00E404D9" w:rsidRPr="005A2F16">
        <w:t>considering new</w:t>
      </w:r>
      <w:r w:rsidRPr="005A2F16">
        <w:t xml:space="preserve"> applications or benefit reviews</w:t>
      </w:r>
      <w:r w:rsidR="00E404D9" w:rsidRPr="005A2F16">
        <w:t>. This will enable</w:t>
      </w:r>
      <w:r w:rsidRPr="005A2F16">
        <w:t xml:space="preserve"> the </w:t>
      </w:r>
      <w:r w:rsidR="000769A2" w:rsidRPr="005A2F16">
        <w:t>Department</w:t>
      </w:r>
      <w:r w:rsidR="00270D59" w:rsidRPr="005A2F16" w:rsidDel="00270D59">
        <w:t xml:space="preserve"> </w:t>
      </w:r>
      <w:r w:rsidR="00011265" w:rsidRPr="005A2F16">
        <w:t xml:space="preserve">to </w:t>
      </w:r>
      <w:r w:rsidR="000F0D57" w:rsidRPr="005A2F16">
        <w:t xml:space="preserve">receive the further information required to </w:t>
      </w:r>
      <w:r w:rsidR="00011265" w:rsidRPr="005A2F16">
        <w:t>determine</w:t>
      </w:r>
      <w:r w:rsidRPr="005A2F16">
        <w:t xml:space="preserve"> the need to escalate discussions on a medical device to the </w:t>
      </w:r>
      <w:r w:rsidR="001629F0" w:rsidRPr="005A2F16">
        <w:t>PLCAC</w:t>
      </w:r>
      <w:r w:rsidRPr="005A2F16">
        <w:t xml:space="preserve">, </w:t>
      </w:r>
      <w:r w:rsidR="00A91BA5" w:rsidRPr="005A2F16">
        <w:t xml:space="preserve">as well as </w:t>
      </w:r>
      <w:r w:rsidR="0095540A" w:rsidRPr="005A2F16">
        <w:t xml:space="preserve">enabling </w:t>
      </w:r>
      <w:r w:rsidRPr="005A2F16">
        <w:t xml:space="preserve">HTA information </w:t>
      </w:r>
      <w:r w:rsidR="00326567" w:rsidRPr="005A2F16">
        <w:t xml:space="preserve">to </w:t>
      </w:r>
      <w:r w:rsidRPr="005A2F16">
        <w:t xml:space="preserve">be included for discussion at the </w:t>
      </w:r>
      <w:r w:rsidR="001629F0" w:rsidRPr="005A2F16">
        <w:t>PLCAC</w:t>
      </w:r>
      <w:r w:rsidRPr="005A2F16">
        <w:t xml:space="preserve">. </w:t>
      </w:r>
    </w:p>
    <w:p w14:paraId="012F1965" w14:textId="10418482" w:rsidR="00C06A2D" w:rsidRPr="005A2F16" w:rsidRDefault="000E557F" w:rsidP="005A2F16">
      <w:r w:rsidRPr="005A2F16">
        <w:t xml:space="preserve">The criteria should seek to provide the </w:t>
      </w:r>
      <w:r w:rsidR="000769A2" w:rsidRPr="005A2F16">
        <w:t>Department</w:t>
      </w:r>
      <w:r w:rsidR="00270D59" w:rsidRPr="005A2F16" w:rsidDel="00270D59">
        <w:t xml:space="preserve"> </w:t>
      </w:r>
      <w:r w:rsidRPr="005A2F16">
        <w:t xml:space="preserve">and </w:t>
      </w:r>
      <w:r w:rsidR="001629F0" w:rsidRPr="005A2F16">
        <w:t>PLCAC</w:t>
      </w:r>
      <w:r w:rsidRPr="005A2F16">
        <w:t xml:space="preserve"> with identifying information gaps</w:t>
      </w:r>
      <w:r w:rsidR="00E633AC" w:rsidRPr="005A2F16">
        <w:t xml:space="preserve"> in applications. This will reduce the </w:t>
      </w:r>
      <w:r w:rsidRPr="005A2F16">
        <w:t xml:space="preserve">need </w:t>
      </w:r>
      <w:r w:rsidR="00E633AC" w:rsidRPr="005A2F16">
        <w:t xml:space="preserve">for the </w:t>
      </w:r>
      <w:proofErr w:type="gramStart"/>
      <w:r w:rsidR="000769A2" w:rsidRPr="005A2F16">
        <w:t xml:space="preserve">Department </w:t>
      </w:r>
      <w:r w:rsidR="00B3723D" w:rsidRPr="005A2F16" w:rsidDel="00B3723D">
        <w:t xml:space="preserve"> </w:t>
      </w:r>
      <w:r w:rsidR="00E633AC" w:rsidRPr="005A2F16">
        <w:t>and</w:t>
      </w:r>
      <w:proofErr w:type="gramEnd"/>
      <w:r w:rsidR="00E633AC" w:rsidRPr="005A2F16">
        <w:t xml:space="preserve"> </w:t>
      </w:r>
      <w:r w:rsidR="001629F0" w:rsidRPr="005A2F16">
        <w:t>PLCAC</w:t>
      </w:r>
      <w:r w:rsidR="00E633AC" w:rsidRPr="005A2F16">
        <w:t xml:space="preserve"> to </w:t>
      </w:r>
      <w:r w:rsidRPr="005A2F16">
        <w:t xml:space="preserve">call upon industry advocates to provide further information for a manufacturer or sponsor’s application. These efforts should ensure that any needs for further information are mitigated ahead of </w:t>
      </w:r>
      <w:r w:rsidR="001629F0" w:rsidRPr="005A2F16">
        <w:t>PLCAC</w:t>
      </w:r>
      <w:r w:rsidRPr="005A2F16">
        <w:t xml:space="preserve"> </w:t>
      </w:r>
      <w:r w:rsidR="004C3C12" w:rsidRPr="005A2F16">
        <w:t>Meeting</w:t>
      </w:r>
      <w:r w:rsidRPr="005A2F16">
        <w:t xml:space="preserve">s, enabling them to </w:t>
      </w:r>
      <w:r w:rsidR="00771489" w:rsidRPr="005A2F16">
        <w:t>make informed decisions more efficiently.</w:t>
      </w:r>
      <w:r w:rsidRPr="005A2F16">
        <w:t xml:space="preserve"> </w:t>
      </w:r>
    </w:p>
    <w:p w14:paraId="3C852F37" w14:textId="77777777" w:rsidR="00C06A2D" w:rsidRDefault="00C06A2D">
      <w:pPr>
        <w:autoSpaceDE/>
        <w:autoSpaceDN/>
        <w:adjustRightInd/>
        <w:spacing w:before="0" w:after="0"/>
        <w:rPr>
          <w:rFonts w:eastAsia="Tahoma"/>
          <w:szCs w:val="24"/>
        </w:rPr>
      </w:pPr>
      <w:r>
        <w:br w:type="page"/>
      </w:r>
    </w:p>
    <w:p w14:paraId="304C63EC" w14:textId="77777777" w:rsidR="00C06A2D" w:rsidRPr="00C06A2D" w:rsidRDefault="00C06A2D" w:rsidP="00C06A2D">
      <w:pPr>
        <w:pStyle w:val="Boxtextoptions"/>
      </w:pPr>
      <w:r w:rsidRPr="00C06A2D">
        <w:rPr>
          <w:rStyle w:val="Strong"/>
        </w:rPr>
        <w:lastRenderedPageBreak/>
        <w:t>Recommendation 10</w:t>
      </w:r>
      <w:r w:rsidRPr="00C06A2D">
        <w:t>: Streamline workloads to optimise clinical capability available for assessments</w:t>
      </w:r>
    </w:p>
    <w:p w14:paraId="7DA22461" w14:textId="77777777" w:rsidR="00C06A2D" w:rsidRPr="00C06A2D" w:rsidRDefault="00C06A2D" w:rsidP="00C06A2D">
      <w:pPr>
        <w:pStyle w:val="Boxtextoptions"/>
      </w:pPr>
      <w:r w:rsidRPr="00C06A2D">
        <w:t xml:space="preserve">The workload of the PLCAC should be more effectively streamlined so that only applications and revisions of a significant nature are considered by the PLCAC. </w:t>
      </w:r>
    </w:p>
    <w:p w14:paraId="505AA0A9" w14:textId="77777777" w:rsidR="00C06A2D" w:rsidRPr="00C06A2D" w:rsidRDefault="00C06A2D" w:rsidP="00C06A2D">
      <w:pPr>
        <w:pStyle w:val="Boxtextoptions"/>
      </w:pPr>
      <w:r w:rsidRPr="00C06A2D">
        <w:t xml:space="preserve">Significant matters should include all novel medical device applications, significant benefit revisions and removals of medical devices from the Prostheses List. </w:t>
      </w:r>
    </w:p>
    <w:p w14:paraId="3FD26450" w14:textId="77777777" w:rsidR="00C06A2D" w:rsidRPr="00C06A2D" w:rsidRDefault="00C06A2D" w:rsidP="00C06A2D">
      <w:pPr>
        <w:pStyle w:val="Boxtextoptions"/>
      </w:pPr>
      <w:r w:rsidRPr="00C06A2D">
        <w:t>Other matters should be the subject of consideration of the relevant area of the Department with the proposed advice to the Minister published for each matter for 28 days so that industry or funders can review these delegated advisory decisions and raise them for discussion at the Department.</w:t>
      </w:r>
    </w:p>
    <w:p w14:paraId="055F20A4" w14:textId="77777777" w:rsidR="00C06A2D" w:rsidRPr="00C06A2D" w:rsidRDefault="00C06A2D" w:rsidP="00C06A2D">
      <w:pPr>
        <w:pStyle w:val="Boxtext"/>
      </w:pPr>
      <w:r w:rsidRPr="00C06A2D">
        <w:rPr>
          <w:rStyle w:val="Strong"/>
        </w:rPr>
        <w:t>Rationale</w:t>
      </w:r>
      <w:r w:rsidRPr="00C06A2D">
        <w:t>: This change is intended to reduce inefficiencies in the assessment process.</w:t>
      </w:r>
    </w:p>
    <w:p w14:paraId="2D73E34F" w14:textId="77777777" w:rsidR="00C06A2D" w:rsidRPr="00C06A2D" w:rsidRDefault="00C06A2D" w:rsidP="00C06A2D">
      <w:pPr>
        <w:pStyle w:val="Boxtext"/>
      </w:pPr>
      <w:r w:rsidRPr="00C06A2D">
        <w:t>This would mean that only applications and revisions of a significant nature are considered by the PLCAC, with more straightforward matters and/or matters that are not expected to have a material impact on overall funding through the Prostheses List to be considered by the Department.</w:t>
      </w:r>
    </w:p>
    <w:p w14:paraId="51E41C39" w14:textId="77777777" w:rsidR="00C06A2D" w:rsidRPr="00C06A2D" w:rsidRDefault="00C06A2D" w:rsidP="00C06A2D">
      <w:pPr>
        <w:pStyle w:val="Boxtext"/>
      </w:pPr>
      <w:r w:rsidRPr="00C06A2D">
        <w:t>The PLCAC and CEP bring unique clinical skills to the assessment process and so add the most value to the assessment of complicated matters and/or matters that may have a material impact on overall funding through the Prostheses List. Meanwhile, the Department is capable of appropriately assessing uncomplicated applications efficiently.</w:t>
      </w:r>
    </w:p>
    <w:p w14:paraId="371B9E55" w14:textId="77777777" w:rsidR="00C06A2D" w:rsidRPr="00C06A2D" w:rsidRDefault="00C06A2D" w:rsidP="00C06A2D">
      <w:pPr>
        <w:pStyle w:val="Boxtext"/>
      </w:pPr>
      <w:r w:rsidRPr="00C06A2D">
        <w:rPr>
          <w:rStyle w:val="Strong"/>
        </w:rPr>
        <w:t>Relevant Findings:</w:t>
      </w:r>
    </w:p>
    <w:p w14:paraId="399604BC" w14:textId="77777777" w:rsidR="00C06A2D" w:rsidRPr="00C06A2D" w:rsidRDefault="00C06A2D" w:rsidP="00C06A2D">
      <w:pPr>
        <w:pStyle w:val="Boxtext"/>
      </w:pPr>
      <w:r w:rsidRPr="00C06A2D">
        <w:t xml:space="preserve">Finding 2 - Management of the workload of the PLAC </w:t>
      </w:r>
    </w:p>
    <w:p w14:paraId="4B4082AD" w14:textId="77777777" w:rsidR="00C06A2D" w:rsidRPr="00C06A2D" w:rsidRDefault="00C06A2D" w:rsidP="00C06A2D">
      <w:pPr>
        <w:pStyle w:val="Boxtext"/>
      </w:pPr>
      <w:r w:rsidRPr="00C06A2D">
        <w:t>Finding 3 - Support from the Department</w:t>
      </w:r>
    </w:p>
    <w:p w14:paraId="6847D8E6" w14:textId="04E213A6" w:rsidR="00C06A2D" w:rsidRPr="00D2484E" w:rsidRDefault="00C06A2D" w:rsidP="00C06A2D">
      <w:pPr>
        <w:pStyle w:val="Boxtext"/>
      </w:pPr>
      <w:r w:rsidRPr="00C06A2D">
        <w:t>Finding 5 - Relationship with the MSAC, the PBAC, the TGA and IHPA</w:t>
      </w:r>
    </w:p>
    <w:p w14:paraId="52B6718D" w14:textId="092083EA" w:rsidR="000E557F" w:rsidRPr="00D2484E" w:rsidRDefault="00270FB4" w:rsidP="00C06A2D">
      <w:pPr>
        <w:pStyle w:val="Heading3"/>
      </w:pPr>
      <w:r w:rsidRPr="00D2484E">
        <w:t xml:space="preserve">Streamlining </w:t>
      </w:r>
      <w:r w:rsidR="00BF1BDE" w:rsidRPr="00D2484E">
        <w:t>workload through</w:t>
      </w:r>
      <w:r w:rsidRPr="00D2484E">
        <w:t xml:space="preserve"> i</w:t>
      </w:r>
      <w:r w:rsidR="000E557F" w:rsidRPr="00D2484E">
        <w:t>mplementation of an escalation process</w:t>
      </w:r>
    </w:p>
    <w:p w14:paraId="3C7066CC" w14:textId="055D3254" w:rsidR="003417A3" w:rsidRPr="00011698" w:rsidRDefault="003A191C" w:rsidP="00011698">
      <w:r w:rsidRPr="00D2484E">
        <w:t>T</w:t>
      </w:r>
      <w:r w:rsidRPr="00011698">
        <w:t>he</w:t>
      </w:r>
      <w:r w:rsidR="000E557F" w:rsidRPr="00011698">
        <w:t xml:space="preserve"> </w:t>
      </w:r>
      <w:r w:rsidR="00472C07" w:rsidRPr="00011698">
        <w:t>Department</w:t>
      </w:r>
      <w:r w:rsidR="006F170D" w:rsidRPr="00011698">
        <w:t xml:space="preserve"> </w:t>
      </w:r>
      <w:r w:rsidR="000E557F" w:rsidRPr="00011698">
        <w:t xml:space="preserve">should formalise </w:t>
      </w:r>
      <w:r w:rsidR="00533DAC" w:rsidRPr="00011698">
        <w:t>a</w:t>
      </w:r>
      <w:r w:rsidR="000E557F" w:rsidRPr="00011698">
        <w:t xml:space="preserve"> </w:t>
      </w:r>
      <w:r w:rsidR="00233EE8" w:rsidRPr="00011698">
        <w:t>criteria and</w:t>
      </w:r>
      <w:r w:rsidR="000E557F" w:rsidRPr="00011698">
        <w:t xml:space="preserve"> process for which matters should be escalated to the </w:t>
      </w:r>
      <w:r w:rsidR="001629F0" w:rsidRPr="00011698">
        <w:t>PLCAC</w:t>
      </w:r>
      <w:r w:rsidR="00D4163D" w:rsidRPr="00011698">
        <w:t xml:space="preserve"> to </w:t>
      </w:r>
      <w:r w:rsidR="000B2637" w:rsidRPr="00011698">
        <w:t xml:space="preserve">maximise </w:t>
      </w:r>
      <w:r w:rsidR="00FE6C1C" w:rsidRPr="00011698">
        <w:t xml:space="preserve">use of the </w:t>
      </w:r>
      <w:r w:rsidR="003343FB" w:rsidRPr="00011698">
        <w:t xml:space="preserve">relevant </w:t>
      </w:r>
      <w:r w:rsidR="00FE6C1C" w:rsidRPr="00011698">
        <w:t>clinical capability</w:t>
      </w:r>
      <w:r w:rsidR="003343FB" w:rsidRPr="00011698">
        <w:t xml:space="preserve"> required for assessments.</w:t>
      </w:r>
    </w:p>
    <w:p w14:paraId="3C2F037E" w14:textId="07CCF7C0" w:rsidR="000E557F" w:rsidRPr="00011698" w:rsidRDefault="003343FB" w:rsidP="00011698">
      <w:r w:rsidRPr="00011698">
        <w:t>T</w:t>
      </w:r>
      <w:r w:rsidR="000E557F" w:rsidRPr="00011698">
        <w:t xml:space="preserve">he introduction of criteria for new applications and reviews should clarify </w:t>
      </w:r>
      <w:r w:rsidR="002D3F46" w:rsidRPr="00011698">
        <w:t xml:space="preserve">escalation points in </w:t>
      </w:r>
      <w:r w:rsidR="000E557F" w:rsidRPr="00011698">
        <w:t xml:space="preserve">the assessment of medical devices for listing and review of medical devices and benefits on the </w:t>
      </w:r>
      <w:r w:rsidR="00344201" w:rsidRPr="00011698">
        <w:t>Prostheses List</w:t>
      </w:r>
      <w:r w:rsidR="000E557F" w:rsidRPr="00011698">
        <w:t xml:space="preserve">. </w:t>
      </w:r>
      <w:r w:rsidR="00FB1DB8" w:rsidRPr="00011698">
        <w:t xml:space="preserve">The criteria </w:t>
      </w:r>
      <w:r w:rsidR="003B280E" w:rsidRPr="00011698">
        <w:t xml:space="preserve">based upon the clinical capability required </w:t>
      </w:r>
      <w:r w:rsidR="00FB1DB8" w:rsidRPr="00011698">
        <w:t xml:space="preserve">should provide guidance as to what may be considered a ‘minor matter’ </w:t>
      </w:r>
      <w:r w:rsidR="00B06215" w:rsidRPr="00011698">
        <w:t>for action</w:t>
      </w:r>
      <w:r w:rsidR="00FB1DB8" w:rsidRPr="00011698">
        <w:t xml:space="preserve"> by the </w:t>
      </w:r>
      <w:r w:rsidR="00472C07" w:rsidRPr="00011698">
        <w:t>Department</w:t>
      </w:r>
      <w:r w:rsidR="00FA4BC7" w:rsidRPr="00011698">
        <w:t>.</w:t>
      </w:r>
      <w:r w:rsidR="003B280E" w:rsidRPr="00011698">
        <w:t xml:space="preserve"> This may include </w:t>
      </w:r>
      <w:r w:rsidR="003D6939" w:rsidRPr="00011698">
        <w:t xml:space="preserve">matters which are relatively uncomplicated, or do not require specialised clinical experience. </w:t>
      </w:r>
      <w:proofErr w:type="gramStart"/>
      <w:r w:rsidR="003D6939" w:rsidRPr="00011698">
        <w:t>This criteria</w:t>
      </w:r>
      <w:proofErr w:type="gramEnd"/>
      <w:r w:rsidR="003D6939" w:rsidRPr="00011698">
        <w:t xml:space="preserve"> </w:t>
      </w:r>
      <w:r w:rsidR="00111B47" w:rsidRPr="00011698">
        <w:t>will</w:t>
      </w:r>
      <w:r w:rsidR="000E557F" w:rsidRPr="00011698">
        <w:t xml:space="preserve"> enhance the </w:t>
      </w:r>
      <w:r w:rsidR="00472C07" w:rsidRPr="00011698">
        <w:t>Department</w:t>
      </w:r>
      <w:r w:rsidR="000E557F" w:rsidRPr="00011698">
        <w:t xml:space="preserve">’s internal decision-making capability, making it less reliant upon the </w:t>
      </w:r>
      <w:r w:rsidR="001629F0" w:rsidRPr="00011698">
        <w:t>PLCAC</w:t>
      </w:r>
      <w:r w:rsidR="000E557F" w:rsidRPr="00011698">
        <w:t xml:space="preserve"> for minor matters or matters outside of the </w:t>
      </w:r>
      <w:r w:rsidR="001629F0" w:rsidRPr="00011698">
        <w:t>PLCAC</w:t>
      </w:r>
      <w:r w:rsidR="000E557F" w:rsidRPr="00011698">
        <w:t>’s scope of responsibilities.</w:t>
      </w:r>
    </w:p>
    <w:p w14:paraId="72A5C75F" w14:textId="5D4928C3" w:rsidR="000E557F" w:rsidRPr="00D2484E" w:rsidRDefault="000E557F" w:rsidP="00011698">
      <w:r w:rsidRPr="00011698">
        <w:t>The</w:t>
      </w:r>
      <w:r w:rsidRPr="00D2484E">
        <w:t xml:space="preserve"> escalation process should consider trigger points to which the </w:t>
      </w:r>
      <w:r w:rsidR="00472C07" w:rsidRPr="00D2484E">
        <w:t>Department</w:t>
      </w:r>
      <w:r w:rsidR="00E86FD6" w:rsidRPr="00D2484E">
        <w:t xml:space="preserve"> </w:t>
      </w:r>
      <w:r w:rsidRPr="00D2484E">
        <w:t xml:space="preserve">should refer matters onwards to the </w:t>
      </w:r>
      <w:r w:rsidR="001629F0" w:rsidRPr="00D2484E">
        <w:t>PLCAC</w:t>
      </w:r>
      <w:r w:rsidR="00A25E45" w:rsidRPr="00D2484E">
        <w:t xml:space="preserve"> where it requires </w:t>
      </w:r>
      <w:r w:rsidR="00DF024A" w:rsidRPr="00D2484E">
        <w:t>further clinical capability</w:t>
      </w:r>
      <w:r w:rsidRPr="00D2484E">
        <w:t xml:space="preserve">. </w:t>
      </w:r>
      <w:r w:rsidR="004E614B" w:rsidRPr="00D2484E">
        <w:t xml:space="preserve">These </w:t>
      </w:r>
      <w:r w:rsidR="0028697D" w:rsidRPr="00D2484E">
        <w:t>points</w:t>
      </w:r>
      <w:r w:rsidRPr="00D2484E">
        <w:t xml:space="preserve"> may be due to limited in-house capability in the need for functional clinical expertise, or </w:t>
      </w:r>
      <w:r w:rsidR="00E47CE9" w:rsidRPr="00D2484E">
        <w:t xml:space="preserve">if </w:t>
      </w:r>
      <w:r w:rsidRPr="00D2484E">
        <w:t>robust debate is required to rigorously test an item such as for a novel technology. Trigger points may also include instances such as:</w:t>
      </w:r>
    </w:p>
    <w:p w14:paraId="5CDE761B" w14:textId="76D582F1" w:rsidR="000E557F" w:rsidRPr="00D2484E" w:rsidRDefault="000E557F" w:rsidP="002D1775">
      <w:pPr>
        <w:pStyle w:val="EYBullet1"/>
      </w:pPr>
      <w:r w:rsidRPr="00D2484E">
        <w:rPr>
          <w:b/>
        </w:rPr>
        <w:t>Novel applications for listing</w:t>
      </w:r>
      <w:r w:rsidRPr="00D2484E">
        <w:t xml:space="preserve">: Where a new technology has </w:t>
      </w:r>
      <w:r w:rsidR="00A863F5" w:rsidRPr="00D2484E">
        <w:t>arisen,</w:t>
      </w:r>
      <w:r w:rsidRPr="00D2484E">
        <w:t xml:space="preserve"> which is new and novel</w:t>
      </w:r>
      <w:r w:rsidR="00113B4C" w:rsidRPr="00D2484E">
        <w:t xml:space="preserve"> and therefore requires </w:t>
      </w:r>
      <w:proofErr w:type="gramStart"/>
      <w:r w:rsidR="00113B4C" w:rsidRPr="00D2484E">
        <w:t>a</w:t>
      </w:r>
      <w:proofErr w:type="gramEnd"/>
      <w:r w:rsidR="006151F5" w:rsidRPr="00D2484E">
        <w:t xml:space="preserve"> HTA</w:t>
      </w:r>
      <w:r w:rsidRPr="00D2484E">
        <w:t xml:space="preserve">, and no like devices are available to comparatively assess all or some of the device. </w:t>
      </w:r>
    </w:p>
    <w:p w14:paraId="5D65C78B" w14:textId="7A036006" w:rsidR="000E557F" w:rsidRPr="00D2484E" w:rsidRDefault="000E557F" w:rsidP="002D1775">
      <w:pPr>
        <w:pStyle w:val="EYBullet1"/>
      </w:pPr>
      <w:r w:rsidRPr="00D2484E">
        <w:rPr>
          <w:b/>
        </w:rPr>
        <w:t>Significant benefit revisions</w:t>
      </w:r>
      <w:r w:rsidRPr="00D2484E">
        <w:t xml:space="preserve">: Where a substantive data anomaly in utilisation detected by the </w:t>
      </w:r>
      <w:r w:rsidR="00472C07" w:rsidRPr="00D2484E">
        <w:t>Department</w:t>
      </w:r>
      <w:r w:rsidR="00E86FD6" w:rsidRPr="00D2484E">
        <w:t xml:space="preserve"> </w:t>
      </w:r>
      <w:r w:rsidRPr="00D2484E">
        <w:t xml:space="preserve">has warranted further scrutiny due to misalignment with information provided by the sponsor and/or manufacturer. </w:t>
      </w:r>
    </w:p>
    <w:p w14:paraId="24A50241" w14:textId="249AA1B6" w:rsidR="000E557F" w:rsidRPr="00D2484E" w:rsidRDefault="000E557F" w:rsidP="002D1775">
      <w:pPr>
        <w:pStyle w:val="EYBullet1"/>
      </w:pPr>
      <w:r w:rsidRPr="00D2484E">
        <w:rPr>
          <w:b/>
        </w:rPr>
        <w:lastRenderedPageBreak/>
        <w:t xml:space="preserve">Removal of medical devices from </w:t>
      </w:r>
      <w:r w:rsidR="00B31099" w:rsidRPr="00D2484E">
        <w:rPr>
          <w:b/>
        </w:rPr>
        <w:t>Prostheses List</w:t>
      </w:r>
      <w:r w:rsidRPr="00D2484E">
        <w:t>: Where the TGA has raised significant concern</w:t>
      </w:r>
      <w:r w:rsidR="0075400D" w:rsidRPr="00D2484E">
        <w:t>s</w:t>
      </w:r>
      <w:r w:rsidRPr="00D2484E">
        <w:t xml:space="preserve"> as to the safety of a medical device listed on the </w:t>
      </w:r>
      <w:r w:rsidR="00B31099" w:rsidRPr="00D2484E">
        <w:t>Prostheses List</w:t>
      </w:r>
      <w:r w:rsidR="00270AFA" w:rsidRPr="00D2484E">
        <w:t xml:space="preserve">, which has led to the </w:t>
      </w:r>
      <w:r w:rsidRPr="00D2484E">
        <w:t xml:space="preserve">ARTG </w:t>
      </w:r>
      <w:r w:rsidR="00270AFA" w:rsidRPr="00D2484E">
        <w:t>entry being changed for</w:t>
      </w:r>
      <w:r w:rsidRPr="00D2484E">
        <w:t xml:space="preserve"> a medical device due to evidence of increased risk. </w:t>
      </w:r>
    </w:p>
    <w:p w14:paraId="73A2C4D8" w14:textId="5B3A9097" w:rsidR="00C50F8A" w:rsidRPr="00011698" w:rsidRDefault="00C50F8A" w:rsidP="00011698">
      <w:r w:rsidRPr="00D2484E">
        <w:t>This process should consider whether all information required has been sought from relevant so</w:t>
      </w:r>
      <w:r w:rsidRPr="00011698">
        <w:t xml:space="preserve">urces, such as safety and efficacy considerations from the TGA, before escalation to the </w:t>
      </w:r>
      <w:r w:rsidR="001629F0" w:rsidRPr="00011698">
        <w:t>PLCAC</w:t>
      </w:r>
      <w:r w:rsidRPr="00011698">
        <w:t xml:space="preserve">. </w:t>
      </w:r>
    </w:p>
    <w:p w14:paraId="69543A86" w14:textId="70C9EA03" w:rsidR="000E557F" w:rsidRPr="00D2484E" w:rsidRDefault="000E557F" w:rsidP="00011698">
      <w:r w:rsidRPr="00011698">
        <w:t xml:space="preserve">All matters escalated to the </w:t>
      </w:r>
      <w:r w:rsidR="001629F0" w:rsidRPr="00011698">
        <w:t>PLCAC</w:t>
      </w:r>
      <w:r w:rsidRPr="00011698">
        <w:t xml:space="preserve"> should include a high-level summary of </w:t>
      </w:r>
      <w:r w:rsidR="008E2CE8" w:rsidRPr="00011698">
        <w:t xml:space="preserve">the </w:t>
      </w:r>
      <w:r w:rsidR="00472C07" w:rsidRPr="00011698">
        <w:t>Department</w:t>
      </w:r>
      <w:r w:rsidRPr="00011698">
        <w:t>’s re</w:t>
      </w:r>
      <w:r w:rsidRPr="00D2484E">
        <w:t xml:space="preserve">quirement </w:t>
      </w:r>
      <w:r w:rsidR="008E2CE8" w:rsidRPr="00D2484E">
        <w:t xml:space="preserve">and decision </w:t>
      </w:r>
      <w:r w:rsidRPr="00D2484E">
        <w:t>to escalate. This will contribute to</w:t>
      </w:r>
      <w:r w:rsidR="00F20728" w:rsidRPr="00D2484E">
        <w:t xml:space="preserve"> the</w:t>
      </w:r>
      <w:r w:rsidRPr="00D2484E">
        <w:t xml:space="preserve"> </w:t>
      </w:r>
      <w:r w:rsidR="00472C07" w:rsidRPr="00D2484E">
        <w:t>Department</w:t>
      </w:r>
      <w:r w:rsidR="00C02CAC" w:rsidRPr="00D2484E">
        <w:t>’s</w:t>
      </w:r>
      <w:r w:rsidRPr="00D2484E">
        <w:t xml:space="preserve"> continuous improvement efforts in enabling identification of capability and resource planning to further streamline its functionality. </w:t>
      </w:r>
    </w:p>
    <w:p w14:paraId="5F560862" w14:textId="77777777" w:rsidR="000E557F" w:rsidRPr="00D2484E" w:rsidRDefault="000E557F" w:rsidP="00C06A2D">
      <w:pPr>
        <w:pStyle w:val="Heading3"/>
      </w:pPr>
      <w:r w:rsidRPr="00D2484E">
        <w:t>Publication of minor matters</w:t>
      </w:r>
    </w:p>
    <w:p w14:paraId="028C926A" w14:textId="0CBBFB65" w:rsidR="000E557F" w:rsidRPr="00011698" w:rsidRDefault="000E557F" w:rsidP="00011698">
      <w:r w:rsidRPr="00D2484E">
        <w:t xml:space="preserve">To further relieve the </w:t>
      </w:r>
      <w:r w:rsidR="00472C07" w:rsidRPr="00D2484E">
        <w:t>Department</w:t>
      </w:r>
      <w:r w:rsidR="00E86FD6" w:rsidRPr="00D2484E">
        <w:t xml:space="preserve"> </w:t>
      </w:r>
      <w:r w:rsidRPr="00D2484E">
        <w:t xml:space="preserve">and </w:t>
      </w:r>
      <w:r w:rsidR="003E39AD" w:rsidRPr="00D2484E">
        <w:t xml:space="preserve">the </w:t>
      </w:r>
      <w:r w:rsidR="001629F0" w:rsidRPr="00D2484E">
        <w:t>PLCAC</w:t>
      </w:r>
      <w:r w:rsidRPr="00D2484E">
        <w:t xml:space="preserve"> </w:t>
      </w:r>
      <w:r w:rsidR="003E39AD" w:rsidRPr="00D2484E">
        <w:t>from</w:t>
      </w:r>
      <w:r w:rsidRPr="00D2484E">
        <w:t xml:space="preserve"> dealing with</w:t>
      </w:r>
      <w:r w:rsidR="0000607D" w:rsidRPr="00D2484E">
        <w:t xml:space="preserve"> matters that are</w:t>
      </w:r>
      <w:r w:rsidRPr="00D2484E">
        <w:t xml:space="preserve"> </w:t>
      </w:r>
      <w:r w:rsidR="00223CE5" w:rsidRPr="00D2484E">
        <w:t>straightforward and/or are not expected to have a material impact on overall funding through the Prostheses List</w:t>
      </w:r>
      <w:r w:rsidRPr="00D2484E">
        <w:t xml:space="preserve">, a process should be identified through which the </w:t>
      </w:r>
      <w:r w:rsidR="00472C07" w:rsidRPr="00D2484E">
        <w:t>Department</w:t>
      </w:r>
      <w:r w:rsidR="00E86FD6" w:rsidRPr="00D2484E">
        <w:t xml:space="preserve"> </w:t>
      </w:r>
      <w:r w:rsidRPr="00D2484E">
        <w:t xml:space="preserve">should publish </w:t>
      </w:r>
      <w:r w:rsidR="0000607D" w:rsidRPr="00D2484E">
        <w:t xml:space="preserve">such </w:t>
      </w:r>
      <w:r w:rsidRPr="00D2484E">
        <w:t>matters for review by stakeholders. Where further advice is sought, applications should be made a</w:t>
      </w:r>
      <w:r w:rsidRPr="00011698">
        <w:t xml:space="preserve">vailable </w:t>
      </w:r>
      <w:r w:rsidR="007C2905" w:rsidRPr="00011698">
        <w:t xml:space="preserve">for 28 days </w:t>
      </w:r>
      <w:r w:rsidR="00035BDC" w:rsidRPr="00011698">
        <w:t>(</w:t>
      </w:r>
      <w:r w:rsidR="007C2905" w:rsidRPr="00011698">
        <w:t>or</w:t>
      </w:r>
      <w:r w:rsidR="00035BDC" w:rsidRPr="00011698">
        <w:t xml:space="preserve"> some</w:t>
      </w:r>
      <w:r w:rsidR="007C2905" w:rsidRPr="00011698">
        <w:t xml:space="preserve"> other relevant period</w:t>
      </w:r>
      <w:r w:rsidR="00035BDC" w:rsidRPr="00011698">
        <w:t>)</w:t>
      </w:r>
      <w:r w:rsidRPr="00011698">
        <w:t xml:space="preserve"> to relevant stakeholders to provide further comment. In the absence of a formal contributory role, the </w:t>
      </w:r>
      <w:r w:rsidR="001629F0" w:rsidRPr="00011698">
        <w:t>PLIWG</w:t>
      </w:r>
      <w:r w:rsidRPr="00011698">
        <w:t xml:space="preserve"> may respond to </w:t>
      </w:r>
      <w:r w:rsidR="00006CC1" w:rsidRPr="00011698">
        <w:t xml:space="preserve">these </w:t>
      </w:r>
      <w:r w:rsidRPr="00011698">
        <w:t xml:space="preserve">matters in writing for consideration by the </w:t>
      </w:r>
      <w:r w:rsidR="00472C07" w:rsidRPr="00011698">
        <w:t>Department</w:t>
      </w:r>
      <w:r w:rsidRPr="00011698">
        <w:t xml:space="preserve">. Publication may occur at any time to avoid backloading immediately ahead of a </w:t>
      </w:r>
      <w:r w:rsidR="001629F0" w:rsidRPr="00011698">
        <w:t>PLCAC</w:t>
      </w:r>
      <w:r w:rsidRPr="00011698">
        <w:t xml:space="preserve"> </w:t>
      </w:r>
      <w:r w:rsidR="004C3C12" w:rsidRPr="00011698">
        <w:t>Meeting</w:t>
      </w:r>
      <w:r w:rsidRPr="00011698">
        <w:t xml:space="preserve">. </w:t>
      </w:r>
    </w:p>
    <w:p w14:paraId="65D994D1" w14:textId="5F74937F" w:rsidR="000E557F" w:rsidRDefault="000E557F" w:rsidP="00011698">
      <w:r w:rsidRPr="00011698">
        <w:t>This approach should mitigate challenges currently experienced by the PLAC in the tendency for disputes to aris</w:t>
      </w:r>
      <w:r w:rsidRPr="00D2484E">
        <w:t xml:space="preserve">e between industry </w:t>
      </w:r>
      <w:proofErr w:type="gramStart"/>
      <w:r w:rsidR="00183660" w:rsidRPr="00D2484E">
        <w:t>stakeholders</w:t>
      </w:r>
      <w:r w:rsidRPr="00D2484E">
        <w:t>, and</w:t>
      </w:r>
      <w:proofErr w:type="gramEnd"/>
      <w:r w:rsidRPr="00D2484E">
        <w:t xml:space="preserve"> provide a</w:t>
      </w:r>
      <w:r w:rsidR="00B70521" w:rsidRPr="00D2484E">
        <w:t xml:space="preserve">n optional </w:t>
      </w:r>
      <w:r w:rsidRPr="00D2484E">
        <w:t xml:space="preserve">channel </w:t>
      </w:r>
      <w:r w:rsidR="00B70521" w:rsidRPr="00D2484E">
        <w:t xml:space="preserve">to seek </w:t>
      </w:r>
      <w:r w:rsidR="00572477" w:rsidRPr="00D2484E">
        <w:t xml:space="preserve">industry </w:t>
      </w:r>
      <w:r w:rsidRPr="00D2484E">
        <w:t>contribution</w:t>
      </w:r>
      <w:r w:rsidR="003019F6" w:rsidRPr="00D2484E">
        <w:t>s</w:t>
      </w:r>
      <w:r w:rsidRPr="00D2484E">
        <w:t>.</w:t>
      </w:r>
    </w:p>
    <w:p w14:paraId="37814E69" w14:textId="77777777" w:rsidR="00C829A6" w:rsidRDefault="00C829A6" w:rsidP="00C829A6">
      <w:pPr>
        <w:pStyle w:val="Boxtextoptions"/>
      </w:pPr>
      <w:r w:rsidRPr="00C829A6">
        <w:rPr>
          <w:rStyle w:val="Strong"/>
        </w:rPr>
        <w:t>Recommendation 11</w:t>
      </w:r>
      <w:r>
        <w:t>: Introduce review dates for all medical device listings</w:t>
      </w:r>
    </w:p>
    <w:p w14:paraId="76A9EFCD" w14:textId="77777777" w:rsidR="00C829A6" w:rsidRDefault="00C829A6" w:rsidP="00C829A6">
      <w:pPr>
        <w:pStyle w:val="Boxtextoptions"/>
      </w:pPr>
      <w:r>
        <w:t xml:space="preserve">All listings to the Prostheses List should be accompanied by a review date for the relevant area of the Department to consider the ongoing need for the medical device to be on the Protheses List and the level of the benefit set.  </w:t>
      </w:r>
    </w:p>
    <w:p w14:paraId="70618D9F" w14:textId="77777777" w:rsidR="00C829A6" w:rsidRDefault="00C829A6" w:rsidP="00C829A6">
      <w:pPr>
        <w:pStyle w:val="Boxtext"/>
      </w:pPr>
      <w:r w:rsidRPr="00C829A6">
        <w:rPr>
          <w:rStyle w:val="Strong"/>
        </w:rPr>
        <w:t>Rationale</w:t>
      </w:r>
      <w:r>
        <w:t>: At that point, the Department would consider the ongoing need for the medical device to be on the Protheses List and the level of the benefit set.</w:t>
      </w:r>
    </w:p>
    <w:p w14:paraId="6982FA3B" w14:textId="77777777" w:rsidR="00C829A6" w:rsidRDefault="00C829A6" w:rsidP="00C829A6">
      <w:pPr>
        <w:pStyle w:val="Boxtext"/>
      </w:pPr>
      <w:r>
        <w:t>A mandatory and defined trigger for review will support greater competition and innovation on the Prostheses List.</w:t>
      </w:r>
    </w:p>
    <w:p w14:paraId="60C691CF" w14:textId="77777777" w:rsidR="00C829A6" w:rsidRDefault="00C829A6" w:rsidP="00C829A6">
      <w:pPr>
        <w:pStyle w:val="Boxtext"/>
      </w:pPr>
      <w:r w:rsidRPr="00C829A6">
        <w:rPr>
          <w:rStyle w:val="Strong"/>
        </w:rPr>
        <w:t>Relevant Findings</w:t>
      </w:r>
      <w:r>
        <w:t>:</w:t>
      </w:r>
    </w:p>
    <w:p w14:paraId="3CD48D03" w14:textId="77777777" w:rsidR="00C829A6" w:rsidRDefault="00C829A6" w:rsidP="00C829A6">
      <w:pPr>
        <w:pStyle w:val="Boxtext"/>
      </w:pPr>
      <w:r>
        <w:t>Finding 3 – Support from the Department</w:t>
      </w:r>
    </w:p>
    <w:p w14:paraId="164B483B" w14:textId="41328BA0" w:rsidR="00C829A6" w:rsidRPr="00D2484E" w:rsidRDefault="00C829A6" w:rsidP="00C829A6">
      <w:pPr>
        <w:pStyle w:val="Boxtext"/>
      </w:pPr>
      <w:r>
        <w:t>Finding 4 – Consistency of advice from the PLAC</w:t>
      </w:r>
    </w:p>
    <w:p w14:paraId="56B1F1E2" w14:textId="77777777" w:rsidR="000E557F" w:rsidRPr="00D2484E" w:rsidRDefault="000E557F" w:rsidP="00C06A2D">
      <w:pPr>
        <w:pStyle w:val="Heading3"/>
      </w:pPr>
      <w:r w:rsidRPr="00D2484E">
        <w:t>Introduction of planned review dates</w:t>
      </w:r>
    </w:p>
    <w:p w14:paraId="2EC8BA1A" w14:textId="75E2F80B" w:rsidR="009D4F0F" w:rsidRPr="00011698" w:rsidRDefault="000E557F" w:rsidP="00011698">
      <w:r w:rsidRPr="00D2484E">
        <w:t xml:space="preserve">To enhance the Minister’s responsibility for oversight and management of the </w:t>
      </w:r>
      <w:r w:rsidR="00A46BA7" w:rsidRPr="00D2484E">
        <w:t>Prostheses</w:t>
      </w:r>
      <w:r w:rsidR="00CC519A" w:rsidRPr="00D2484E">
        <w:t xml:space="preserve"> List</w:t>
      </w:r>
      <w:r w:rsidRPr="00D2484E">
        <w:t>, all new listings fo</w:t>
      </w:r>
      <w:r w:rsidRPr="00011698">
        <w:t xml:space="preserve">r the </w:t>
      </w:r>
      <w:r w:rsidR="00CC519A" w:rsidRPr="00011698">
        <w:t>Prostheses List</w:t>
      </w:r>
      <w:r w:rsidRPr="00011698">
        <w:t xml:space="preserve"> should include a review date by the </w:t>
      </w:r>
      <w:r w:rsidR="004F1EC7" w:rsidRPr="00011698">
        <w:t xml:space="preserve">Department </w:t>
      </w:r>
      <w:r w:rsidRPr="00011698">
        <w:t>and</w:t>
      </w:r>
      <w:r w:rsidR="007C7342" w:rsidRPr="00011698">
        <w:t>,</w:t>
      </w:r>
      <w:r w:rsidRPr="00011698">
        <w:t xml:space="preserve"> if necessary, the </w:t>
      </w:r>
      <w:r w:rsidR="001629F0" w:rsidRPr="00011698">
        <w:t>PLCAC</w:t>
      </w:r>
      <w:r w:rsidRPr="00011698">
        <w:t xml:space="preserve">. This approach will </w:t>
      </w:r>
      <w:r w:rsidR="003A191C" w:rsidRPr="00011698">
        <w:t xml:space="preserve">strengthen </w:t>
      </w:r>
      <w:r w:rsidRPr="00011698">
        <w:t xml:space="preserve">the </w:t>
      </w:r>
      <w:r w:rsidR="004F1EC7" w:rsidRPr="00011698">
        <w:t xml:space="preserve">Department </w:t>
      </w:r>
      <w:r w:rsidRPr="00011698">
        <w:t xml:space="preserve">and </w:t>
      </w:r>
      <w:r w:rsidR="005A5C88" w:rsidRPr="00011698">
        <w:t xml:space="preserve">the </w:t>
      </w:r>
      <w:r w:rsidR="001629F0" w:rsidRPr="00011698">
        <w:t>PLCAC</w:t>
      </w:r>
      <w:r w:rsidRPr="00011698">
        <w:t xml:space="preserve">’s review </w:t>
      </w:r>
      <w:proofErr w:type="gramStart"/>
      <w:r w:rsidRPr="00011698">
        <w:t>functions, and</w:t>
      </w:r>
      <w:proofErr w:type="gramEnd"/>
      <w:r w:rsidRPr="00011698">
        <w:t xml:space="preserve"> will contribute to efforts to enhance transparency and accountability arrangements which underpin the </w:t>
      </w:r>
      <w:r w:rsidR="00CC519A" w:rsidRPr="00011698">
        <w:t>Prostheses List</w:t>
      </w:r>
      <w:r w:rsidRPr="00011698">
        <w:t xml:space="preserve">. </w:t>
      </w:r>
    </w:p>
    <w:p w14:paraId="03995E7F" w14:textId="1F52C5A8" w:rsidR="000E557F" w:rsidRPr="00011698" w:rsidRDefault="00060A99" w:rsidP="00011698">
      <w:r w:rsidRPr="00011698">
        <w:t>The</w:t>
      </w:r>
      <w:r w:rsidR="00DD6EDE" w:rsidRPr="00011698">
        <w:t xml:space="preserve"> relevant area of the</w:t>
      </w:r>
      <w:r w:rsidRPr="00011698">
        <w:t xml:space="preserve"> </w:t>
      </w:r>
      <w:r w:rsidR="004F1EC7" w:rsidRPr="00011698">
        <w:t xml:space="preserve">Department </w:t>
      </w:r>
      <w:r w:rsidRPr="00011698">
        <w:t xml:space="preserve">and </w:t>
      </w:r>
      <w:r w:rsidR="001629F0" w:rsidRPr="00011698">
        <w:t>PLCAC</w:t>
      </w:r>
      <w:r w:rsidRPr="00011698">
        <w:t xml:space="preserve"> should also develop a workplan to review all current items listed on the Prostheses List.</w:t>
      </w:r>
    </w:p>
    <w:p w14:paraId="74DD6127" w14:textId="7235E72C" w:rsidR="00724942" w:rsidRPr="00D2484E" w:rsidRDefault="009D4F0F" w:rsidP="00011698">
      <w:r w:rsidRPr="00011698">
        <w:t xml:space="preserve">The introduction of planned review dates should contribute to resource and capability planning for the </w:t>
      </w:r>
      <w:r w:rsidR="00DD6EDE" w:rsidRPr="00011698">
        <w:t>Department</w:t>
      </w:r>
      <w:r w:rsidRPr="00011698">
        <w:t xml:space="preserve">.  </w:t>
      </w:r>
      <w:r w:rsidR="000E557F" w:rsidRPr="00011698">
        <w:t xml:space="preserve">Reviews will be further enhanced by the </w:t>
      </w:r>
      <w:r w:rsidR="00E939D6" w:rsidRPr="00011698">
        <w:t>regular provision and</w:t>
      </w:r>
      <w:r w:rsidR="000E557F" w:rsidRPr="00011698">
        <w:t xml:space="preserve"> availability of relevant post-market data, such as utilisation </w:t>
      </w:r>
      <w:r w:rsidR="00574D80" w:rsidRPr="00011698">
        <w:t>trends</w:t>
      </w:r>
      <w:r w:rsidR="00BA13EB" w:rsidRPr="00011698">
        <w:t>.</w:t>
      </w:r>
      <w:r w:rsidR="00F1607F" w:rsidRPr="00011698">
        <w:t xml:space="preserve"> As such, </w:t>
      </w:r>
      <w:r w:rsidR="000E557F" w:rsidRPr="00011698">
        <w:t xml:space="preserve">the </w:t>
      </w:r>
      <w:r w:rsidR="00DD6EDE" w:rsidRPr="00011698">
        <w:t xml:space="preserve">Department </w:t>
      </w:r>
      <w:r w:rsidR="00F1607F" w:rsidRPr="00011698">
        <w:t xml:space="preserve">will need to develop data </w:t>
      </w:r>
      <w:r w:rsidR="00D4409C" w:rsidRPr="00011698">
        <w:t xml:space="preserve">strategies </w:t>
      </w:r>
      <w:r w:rsidR="000E557F" w:rsidRPr="00011698">
        <w:t>to meet re</w:t>
      </w:r>
      <w:r w:rsidR="000E557F" w:rsidRPr="00D2484E">
        <w:t>view needs</w:t>
      </w:r>
      <w:r w:rsidR="00E05AB8" w:rsidRPr="00D2484E">
        <w:t>.</w:t>
      </w:r>
      <w:bookmarkEnd w:id="155"/>
    </w:p>
    <w:p w14:paraId="4C2D42D4" w14:textId="7E6902B2" w:rsidR="00662E32" w:rsidRPr="005A2F16" w:rsidRDefault="00662E32" w:rsidP="005A2F16">
      <w:pPr>
        <w:sectPr w:rsidR="00662E32" w:rsidRPr="005A2F16" w:rsidSect="00D37241">
          <w:headerReference w:type="default" r:id="rId31"/>
          <w:footerReference w:type="default" r:id="rId32"/>
          <w:pgSz w:w="11909" w:h="16834" w:code="9"/>
          <w:pgMar w:top="1440" w:right="1440" w:bottom="1440" w:left="1440" w:header="720" w:footer="333" w:gutter="0"/>
          <w:cols w:space="720"/>
          <w:docGrid w:linePitch="360"/>
        </w:sectPr>
      </w:pPr>
    </w:p>
    <w:p w14:paraId="58B9EAED" w14:textId="7EA6218F" w:rsidR="00FF2013" w:rsidRPr="00D2484E" w:rsidRDefault="006353E9" w:rsidP="00C06A2D">
      <w:pPr>
        <w:pStyle w:val="EYHeading1"/>
      </w:pPr>
      <w:bookmarkStart w:id="156" w:name="_Toc47106765"/>
      <w:bookmarkStart w:id="157" w:name="_Toc77329457"/>
      <w:proofErr w:type="spellStart"/>
      <w:r w:rsidRPr="00D2484E">
        <w:lastRenderedPageBreak/>
        <w:t>Reliances</w:t>
      </w:r>
      <w:proofErr w:type="spellEnd"/>
      <w:r w:rsidR="00FF2013" w:rsidRPr="00D2484E">
        <w:t xml:space="preserve"> and limitations</w:t>
      </w:r>
      <w:bookmarkEnd w:id="156"/>
      <w:bookmarkEnd w:id="157"/>
    </w:p>
    <w:p w14:paraId="33C62844" w14:textId="28566855" w:rsidR="00BD4559" w:rsidRPr="00011698" w:rsidRDefault="00BD4559" w:rsidP="00011698">
      <w:r w:rsidRPr="00D2484E">
        <w:t>This report was prepared at the request of the Department solely for the purposes set out in the scope section/proposal (hereafter “</w:t>
      </w:r>
      <w:r w:rsidRPr="00D2484E">
        <w:rPr>
          <w:b/>
        </w:rPr>
        <w:t>the Project</w:t>
      </w:r>
      <w:r w:rsidRPr="00D2484E">
        <w:t xml:space="preserve">”) pursuant to the terms of our engagement </w:t>
      </w:r>
      <w:r w:rsidRPr="00011698">
        <w:t xml:space="preserve">letter dated </w:t>
      </w:r>
      <w:r w:rsidR="005C55C1" w:rsidRPr="00011698">
        <w:t>27 May 2021</w:t>
      </w:r>
      <w:r w:rsidRPr="00011698">
        <w:t xml:space="preserve"> and it is not appropriate for use for other purposes.</w:t>
      </w:r>
    </w:p>
    <w:p w14:paraId="540383B5" w14:textId="77777777" w:rsidR="00BD4559" w:rsidRPr="00011698" w:rsidRDefault="00BD4559" w:rsidP="00011698">
      <w:r w:rsidRPr="00011698">
        <w:t xml:space="preserve">EY assumes no responsibility to any user of the information contained herein. No representation, warranty or undertaking is </w:t>
      </w:r>
      <w:proofErr w:type="gramStart"/>
      <w:r w:rsidRPr="00011698">
        <w:t>made</w:t>
      </w:r>
      <w:proofErr w:type="gramEnd"/>
      <w:r w:rsidRPr="00011698">
        <w:t xml:space="preserve"> or liability is accepted by EY as to the adequacy, completeness or factual accuracy of the contents of our report. In addition, we disclaim all responsibility to any party for any loss or liability that any party may suffer or incur arising from or relating to or in any way connected with the contents of our report, the provision of our report to any party or the reliance upon our report by any party.</w:t>
      </w:r>
    </w:p>
    <w:p w14:paraId="25E089C7" w14:textId="77777777" w:rsidR="00BD4559" w:rsidRPr="00011698" w:rsidRDefault="00BD4559" w:rsidP="00011698">
      <w:r w:rsidRPr="00011698">
        <w:t xml:space="preserve">This report may only be used by the Department for the purposes of the Project. However, any other party other than the Department who access this report shall only do so for their general information only and this report should not be taken as providing specific advice to those parties on any issue, nor may this report be relied upon in any way by any party other than the Department. A party other than the Department accessing this report should exercise its own skill and care with respect to use of this </w:t>
      </w:r>
      <w:proofErr w:type="gramStart"/>
      <w:r w:rsidRPr="00011698">
        <w:t>report, and</w:t>
      </w:r>
      <w:proofErr w:type="gramEnd"/>
      <w:r w:rsidRPr="00011698">
        <w:t xml:space="preserve"> obtain independent advice on any specific issues concerning it.</w:t>
      </w:r>
    </w:p>
    <w:p w14:paraId="321254A9" w14:textId="45C3C997" w:rsidR="00BD4559" w:rsidRPr="00011698" w:rsidRDefault="00BD4559" w:rsidP="00011698">
      <w:r w:rsidRPr="00011698">
        <w:t xml:space="preserve">In carrying out the work and preparing this report, EY has worked solely on the instructions of the </w:t>
      </w:r>
      <w:proofErr w:type="gramStart"/>
      <w:r w:rsidRPr="00011698">
        <w:t>Department, and</w:t>
      </w:r>
      <w:proofErr w:type="gramEnd"/>
      <w:r w:rsidRPr="00011698">
        <w:t xml:space="preserve"> has not taken into account the interests of any party other than the Department. The report has been constructed based on information current as of </w:t>
      </w:r>
      <w:r w:rsidR="00213896" w:rsidRPr="00011698">
        <w:t xml:space="preserve">19 </w:t>
      </w:r>
      <w:r w:rsidR="00963761" w:rsidRPr="00011698">
        <w:t xml:space="preserve">July </w:t>
      </w:r>
      <w:r w:rsidRPr="00011698">
        <w:t>202</w:t>
      </w:r>
      <w:r w:rsidR="00963761" w:rsidRPr="00011698">
        <w:t>1</w:t>
      </w:r>
      <w:r w:rsidRPr="00011698">
        <w:t>, some of which has been provided by the Department. Since this date, material events may have occurred since completion which is not reflected in the report. The report is based in part on information and data supplied by the Department. We have not sought to verify the accuracy of data or information provided to us by the Department.</w:t>
      </w:r>
    </w:p>
    <w:p w14:paraId="0446A82C" w14:textId="5EAC80EA" w:rsidR="00BD4559" w:rsidRPr="00011698" w:rsidRDefault="00BD4559" w:rsidP="00011698">
      <w:r w:rsidRPr="00011698">
        <w:t>Other specific limitations to the report are described in Section</w:t>
      </w:r>
      <w:r w:rsidR="003E2836" w:rsidRPr="00011698">
        <w:t xml:space="preserve"> </w:t>
      </w:r>
      <w:r w:rsidR="003E2836" w:rsidRPr="00011698">
        <w:fldChar w:fldCharType="begin"/>
      </w:r>
      <w:r w:rsidR="003E2836" w:rsidRPr="00011698">
        <w:instrText xml:space="preserve"> REF _Ref77065156 \r \h </w:instrText>
      </w:r>
      <w:r w:rsidR="00895537" w:rsidRPr="00011698">
        <w:instrText xml:space="preserve"> \* MERGEFORMAT </w:instrText>
      </w:r>
      <w:r w:rsidR="003E2836" w:rsidRPr="00011698">
        <w:fldChar w:fldCharType="separate"/>
      </w:r>
      <w:r w:rsidR="00475597" w:rsidRPr="00011698">
        <w:t>2.4</w:t>
      </w:r>
      <w:r w:rsidR="003E2836" w:rsidRPr="00011698">
        <w:fldChar w:fldCharType="end"/>
      </w:r>
      <w:r w:rsidRPr="00011698">
        <w:t>.</w:t>
      </w:r>
    </w:p>
    <w:p w14:paraId="25AE4C1E" w14:textId="77777777" w:rsidR="00BD4559" w:rsidRPr="00011698" w:rsidRDefault="00BD4559" w:rsidP="00011698">
      <w:r w:rsidRPr="00011698">
        <w:t xml:space="preserve">EY does not accept any responsibility for use of the information contained in the report and makes no guarantee nor accepts any legal liability whatsoever arising from or connected to the accuracy, reliability, </w:t>
      </w:r>
      <w:proofErr w:type="gramStart"/>
      <w:r w:rsidRPr="00011698">
        <w:t>currency</w:t>
      </w:r>
      <w:proofErr w:type="gramEnd"/>
      <w:r w:rsidRPr="00011698">
        <w:t xml:space="preserve"> or completeness of any material contained in this report. EY and all other parties involved in the preparation and publication of this report expressly disclaim all liability for any costs, loss, damage, </w:t>
      </w:r>
      <w:proofErr w:type="gramStart"/>
      <w:r w:rsidRPr="00011698">
        <w:t>injury</w:t>
      </w:r>
      <w:proofErr w:type="gramEnd"/>
      <w:r w:rsidRPr="00011698">
        <w:t xml:space="preserve"> or other consequence which may arise directly or indirectly from use of, or reliance on, the report.</w:t>
      </w:r>
    </w:p>
    <w:p w14:paraId="2AAAF437" w14:textId="77777777" w:rsidR="00BD4559" w:rsidRPr="00011698" w:rsidRDefault="00BD4559" w:rsidP="00011698">
      <w:r w:rsidRPr="00011698">
        <w:t>This report (or any part of it) may not be copied or otherwise reproduced except with the written consent of EY.</w:t>
      </w:r>
    </w:p>
    <w:p w14:paraId="7B67A93C" w14:textId="77777777" w:rsidR="00BD4559" w:rsidRPr="00D2484E" w:rsidRDefault="00BD4559" w:rsidP="00011698">
      <w:pPr>
        <w:rPr>
          <w:rFonts w:eastAsia="Tahoma"/>
          <w:szCs w:val="24"/>
        </w:rPr>
      </w:pPr>
      <w:r w:rsidRPr="00011698">
        <w:t>Liabilit</w:t>
      </w:r>
      <w:r w:rsidRPr="00D2484E">
        <w:rPr>
          <w:rFonts w:eastAsia="Tahoma"/>
          <w:szCs w:val="24"/>
        </w:rPr>
        <w:t>y limited under a scheme approved under Professional Standards Legislation.</w:t>
      </w:r>
    </w:p>
    <w:p w14:paraId="7F755E92" w14:textId="03197881" w:rsidR="00DA0E7E" w:rsidRPr="00D2484E" w:rsidRDefault="00DA0E7E" w:rsidP="00C06A2D">
      <w:pPr>
        <w:pStyle w:val="EYHeading1"/>
      </w:pPr>
      <w:bookmarkStart w:id="158" w:name="_Toc77329458"/>
      <w:r w:rsidRPr="00D2484E">
        <w:lastRenderedPageBreak/>
        <w:t>Appendi</w:t>
      </w:r>
      <w:r w:rsidR="004E25F5" w:rsidRPr="00D2484E">
        <w:t>ces</w:t>
      </w:r>
      <w:bookmarkStart w:id="159" w:name="_Toc76634778"/>
      <w:bookmarkStart w:id="160" w:name="_Toc76648805"/>
      <w:bookmarkStart w:id="161" w:name="_Toc76648871"/>
      <w:bookmarkStart w:id="162" w:name="_Toc76666418"/>
      <w:bookmarkStart w:id="163" w:name="_Ref76629159"/>
      <w:bookmarkEnd w:id="158"/>
      <w:bookmarkEnd w:id="159"/>
      <w:bookmarkEnd w:id="160"/>
      <w:bookmarkEnd w:id="161"/>
      <w:bookmarkEnd w:id="162"/>
    </w:p>
    <w:p w14:paraId="6AF9AF56" w14:textId="7B0439E4" w:rsidR="00076DC6" w:rsidRPr="00D2484E" w:rsidRDefault="00076DC6" w:rsidP="00011698">
      <w:pPr>
        <w:pStyle w:val="Appendix"/>
      </w:pPr>
      <w:bookmarkStart w:id="164" w:name="_Ref76723999"/>
      <w:bookmarkStart w:id="165" w:name="_Ref77065230"/>
      <w:bookmarkStart w:id="166" w:name="Appendix"/>
      <w:bookmarkEnd w:id="166"/>
      <w:r w:rsidRPr="00D2484E">
        <w:t xml:space="preserve">Appendix </w:t>
      </w:r>
      <w:r w:rsidRPr="00D2484E">
        <w:fldChar w:fldCharType="begin"/>
      </w:r>
      <w:r w:rsidRPr="00D2484E">
        <w:instrText xml:space="preserve"> SEQ Appendix \* ALPHABETIC </w:instrText>
      </w:r>
      <w:r w:rsidRPr="00D2484E">
        <w:fldChar w:fldCharType="separate"/>
      </w:r>
      <w:r w:rsidR="00475597" w:rsidRPr="00D2484E">
        <w:rPr>
          <w:noProof/>
        </w:rPr>
        <w:t>A</w:t>
      </w:r>
      <w:r w:rsidRPr="00D2484E">
        <w:fldChar w:fldCharType="end"/>
      </w:r>
      <w:bookmarkEnd w:id="164"/>
      <w:bookmarkEnd w:id="165"/>
      <w:r w:rsidRPr="00D2484E">
        <w:t xml:space="preserve"> </w:t>
      </w:r>
      <w:r w:rsidR="00AA3ED8" w:rsidRPr="00D2484E">
        <w:t>–</w:t>
      </w:r>
      <w:r w:rsidRPr="00D2484E">
        <w:t xml:space="preserve"> </w:t>
      </w:r>
      <w:r w:rsidR="00AA3ED8" w:rsidRPr="00D2484E">
        <w:t>Structure of the Prostheses List</w:t>
      </w:r>
    </w:p>
    <w:p w14:paraId="5AF5E8DC" w14:textId="795F4832" w:rsidR="00AA3ED8" w:rsidRPr="00D2484E" w:rsidRDefault="00AA3ED8" w:rsidP="00011698">
      <w:r w:rsidRPr="00D2484E">
        <w:t>As of 2021, the Prostheses List contains three parts:</w:t>
      </w:r>
    </w:p>
    <w:p w14:paraId="26F31A4A" w14:textId="79DD2599" w:rsidR="00AA3ED8" w:rsidRPr="00D2484E" w:rsidRDefault="00AA3ED8" w:rsidP="002D1775">
      <w:pPr>
        <w:pStyle w:val="EYBullet1"/>
      </w:pPr>
      <w:r w:rsidRPr="00D2484E">
        <w:rPr>
          <w:b/>
        </w:rPr>
        <w:t>Part A</w:t>
      </w:r>
      <w:r w:rsidRPr="00D2484E">
        <w:t xml:space="preserve"> - Surgically implantable devices and integral single-use aids used to implant </w:t>
      </w:r>
      <w:r w:rsidR="00D278FB" w:rsidRPr="00D2484E">
        <w:t xml:space="preserve">or maintain </w:t>
      </w:r>
      <w:r w:rsidRPr="00D2484E">
        <w:t xml:space="preserve">the </w:t>
      </w:r>
      <w:r w:rsidR="00D278FB" w:rsidRPr="00D2484E">
        <w:t xml:space="preserve">implanted </w:t>
      </w:r>
      <w:proofErr w:type="gramStart"/>
      <w:r w:rsidRPr="00D2484E">
        <w:t>device;</w:t>
      </w:r>
      <w:proofErr w:type="gramEnd"/>
    </w:p>
    <w:p w14:paraId="57443E9B" w14:textId="60C69AFA" w:rsidR="00AA3ED8" w:rsidRPr="00D2484E" w:rsidRDefault="00AA3ED8" w:rsidP="002D1775">
      <w:pPr>
        <w:pStyle w:val="EYBullet1"/>
      </w:pPr>
      <w:r w:rsidRPr="00D2484E">
        <w:rPr>
          <w:b/>
        </w:rPr>
        <w:t>Part B</w:t>
      </w:r>
      <w:r w:rsidRPr="00D2484E">
        <w:t xml:space="preserve"> - Human tissue-based products that are regulated by the TGA as 'biologicals'; and</w:t>
      </w:r>
    </w:p>
    <w:p w14:paraId="7022A336" w14:textId="77777777" w:rsidR="00AA3ED8" w:rsidRPr="00D2484E" w:rsidRDefault="00AA3ED8" w:rsidP="002D1775">
      <w:pPr>
        <w:pStyle w:val="EYBullet1"/>
      </w:pPr>
      <w:r w:rsidRPr="00D2484E">
        <w:rPr>
          <w:b/>
        </w:rPr>
        <w:t>Part C</w:t>
      </w:r>
      <w:r w:rsidRPr="00D2484E">
        <w:t xml:space="preserve"> - Devices which do not meet the criteria for Parts A or B and are determined at the Minister's discretion.</w:t>
      </w:r>
      <w:r w:rsidRPr="00D2484E">
        <w:rPr>
          <w:rStyle w:val="FootnoteReference"/>
          <w:rFonts w:ascii="Arial" w:hAnsi="Arial"/>
        </w:rPr>
        <w:footnoteReference w:id="20"/>
      </w:r>
    </w:p>
    <w:p w14:paraId="7BDC45D3" w14:textId="11DB52BB" w:rsidR="00AA3ED8" w:rsidRDefault="00AA3ED8" w:rsidP="00011698">
      <w:r w:rsidRPr="00D2484E">
        <w:t xml:space="preserve">Parts A and B are divided in a tiered system: categories, subcategories, </w:t>
      </w:r>
      <w:proofErr w:type="gramStart"/>
      <w:r w:rsidRPr="00D2484E">
        <w:t>groups</w:t>
      </w:r>
      <w:proofErr w:type="gramEnd"/>
      <w:r w:rsidRPr="00D2484E">
        <w:t xml:space="preserve"> and subgroups. The categories of the Prostheses List are:</w:t>
      </w:r>
    </w:p>
    <w:p w14:paraId="7A2E784D" w14:textId="665C8819" w:rsidR="005E2C10" w:rsidRDefault="005E2C10" w:rsidP="005E2C10">
      <w:pPr>
        <w:pStyle w:val="EYBullet1"/>
      </w:pPr>
      <w:r>
        <w:t>01 - Ophthalmic</w:t>
      </w:r>
    </w:p>
    <w:p w14:paraId="63CA2445" w14:textId="0F3216C4" w:rsidR="005E2C10" w:rsidRDefault="005E2C10" w:rsidP="005E2C10">
      <w:pPr>
        <w:pStyle w:val="EYBullet1"/>
      </w:pPr>
      <w:r>
        <w:t>02 - Ear Nose and Throat</w:t>
      </w:r>
    </w:p>
    <w:p w14:paraId="5CDE6679" w14:textId="0942852E" w:rsidR="005E2C10" w:rsidRDefault="005E2C10" w:rsidP="005E2C10">
      <w:pPr>
        <w:pStyle w:val="EYBullet1"/>
      </w:pPr>
      <w:r>
        <w:t>03 - General Miscellaneous</w:t>
      </w:r>
    </w:p>
    <w:p w14:paraId="33D9479B" w14:textId="69D62A3A" w:rsidR="005E2C10" w:rsidRDefault="005E2C10" w:rsidP="005E2C10">
      <w:pPr>
        <w:pStyle w:val="EYBullet1"/>
      </w:pPr>
      <w:r>
        <w:t xml:space="preserve">04 </w:t>
      </w:r>
      <w:r>
        <w:t>–</w:t>
      </w:r>
      <w:r>
        <w:t xml:space="preserve"> Neurosurgical</w:t>
      </w:r>
    </w:p>
    <w:p w14:paraId="45893E0C" w14:textId="38C68B42" w:rsidR="005E2C10" w:rsidRDefault="005E2C10" w:rsidP="005E2C10">
      <w:pPr>
        <w:pStyle w:val="EYBullet1"/>
      </w:pPr>
      <w:r>
        <w:t>05 - Urogenital</w:t>
      </w:r>
    </w:p>
    <w:p w14:paraId="3D1E2EF9" w14:textId="31403177" w:rsidR="005E2C10" w:rsidRDefault="005E2C10" w:rsidP="005E2C10">
      <w:pPr>
        <w:pStyle w:val="EYBullet1"/>
      </w:pPr>
      <w:r>
        <w:t>06 - Specialist Orthopaedic</w:t>
      </w:r>
    </w:p>
    <w:p w14:paraId="26017985" w14:textId="3ED7EE7A" w:rsidR="005E2C10" w:rsidRDefault="005E2C10" w:rsidP="005E2C10">
      <w:pPr>
        <w:pStyle w:val="EYBullet1"/>
      </w:pPr>
      <w:r>
        <w:t>07 - Plastic and reconstructive</w:t>
      </w:r>
    </w:p>
    <w:p w14:paraId="35FA438A" w14:textId="18472C28" w:rsidR="005E2C10" w:rsidRDefault="005E2C10" w:rsidP="005E2C10">
      <w:pPr>
        <w:pStyle w:val="EYBullet1"/>
      </w:pPr>
      <w:r>
        <w:t>08 - Cardiac</w:t>
      </w:r>
    </w:p>
    <w:p w14:paraId="5CFDE590" w14:textId="2956153C" w:rsidR="005E2C10" w:rsidRDefault="005E2C10" w:rsidP="005E2C10">
      <w:pPr>
        <w:pStyle w:val="EYBullet1"/>
      </w:pPr>
      <w:r>
        <w:t>09 - Cardiothoracic</w:t>
      </w:r>
    </w:p>
    <w:p w14:paraId="135CBCC0" w14:textId="57EB9260" w:rsidR="005E2C10" w:rsidRDefault="005E2C10" w:rsidP="005E2C10">
      <w:pPr>
        <w:pStyle w:val="EYBullet1"/>
      </w:pPr>
      <w:r>
        <w:t>10 - Vascular</w:t>
      </w:r>
    </w:p>
    <w:p w14:paraId="67C1D9C1" w14:textId="6204D182" w:rsidR="005E2C10" w:rsidRDefault="005E2C10" w:rsidP="005E2C10">
      <w:pPr>
        <w:pStyle w:val="EYBullet1"/>
      </w:pPr>
      <w:r>
        <w:t>11 - Hip</w:t>
      </w:r>
    </w:p>
    <w:p w14:paraId="74BE3E9A" w14:textId="3056209F" w:rsidR="005E2C10" w:rsidRDefault="005E2C10" w:rsidP="005E2C10">
      <w:pPr>
        <w:pStyle w:val="EYBullet1"/>
      </w:pPr>
      <w:r>
        <w:t xml:space="preserve">12 </w:t>
      </w:r>
      <w:r>
        <w:t>–</w:t>
      </w:r>
      <w:r>
        <w:t xml:space="preserve"> Knee</w:t>
      </w:r>
    </w:p>
    <w:p w14:paraId="7CE49EC0" w14:textId="62F539FB" w:rsidR="005E2C10" w:rsidRPr="00D2484E" w:rsidRDefault="005E2C10" w:rsidP="005E2C10">
      <w:pPr>
        <w:pStyle w:val="EYBullet1"/>
      </w:pPr>
      <w:r>
        <w:t>13 – Spinal.</w:t>
      </w:r>
    </w:p>
    <w:p w14:paraId="504F9F30" w14:textId="77777777" w:rsidR="00B21150" w:rsidRPr="00011698" w:rsidRDefault="00AA3ED8" w:rsidP="00011698">
      <w:r w:rsidRPr="00D2484E">
        <w:t xml:space="preserve">These categories are then divided into sub-categories, and allocated into groups which reflects the devices’: </w:t>
      </w:r>
    </w:p>
    <w:p w14:paraId="620535AE" w14:textId="3E34558B" w:rsidR="00B21150" w:rsidRPr="00D2484E" w:rsidRDefault="00AA3ED8" w:rsidP="002D1775">
      <w:pPr>
        <w:pStyle w:val="EYBullet1"/>
      </w:pPr>
      <w:proofErr w:type="gramStart"/>
      <w:r w:rsidRPr="00D2484E">
        <w:t>function;</w:t>
      </w:r>
      <w:proofErr w:type="gramEnd"/>
      <w:r w:rsidRPr="00D2484E">
        <w:t xml:space="preserve"> </w:t>
      </w:r>
    </w:p>
    <w:p w14:paraId="1B52FAF9" w14:textId="78C27E79" w:rsidR="00B21150" w:rsidRPr="00D2484E" w:rsidRDefault="00AA3ED8" w:rsidP="002D1775">
      <w:pPr>
        <w:pStyle w:val="EYBullet1"/>
      </w:pPr>
      <w:proofErr w:type="gramStart"/>
      <w:r w:rsidRPr="00D2484E">
        <w:t>design;</w:t>
      </w:r>
      <w:proofErr w:type="gramEnd"/>
      <w:r w:rsidRPr="00D2484E">
        <w:t xml:space="preserve"> </w:t>
      </w:r>
    </w:p>
    <w:p w14:paraId="24DF4B00" w14:textId="587AE503" w:rsidR="00B21150" w:rsidRPr="00D2484E" w:rsidRDefault="00AA3ED8" w:rsidP="002D1775">
      <w:pPr>
        <w:pStyle w:val="EYBullet1"/>
      </w:pPr>
      <w:r w:rsidRPr="00D2484E">
        <w:t>performance; and</w:t>
      </w:r>
    </w:p>
    <w:p w14:paraId="7F9175FA" w14:textId="7EAB3FCD" w:rsidR="00B21150" w:rsidRPr="00D2484E" w:rsidRDefault="00AA3ED8" w:rsidP="002D1775">
      <w:pPr>
        <w:pStyle w:val="EYBullet1"/>
      </w:pPr>
      <w:r w:rsidRPr="00D2484E">
        <w:t>expected outcome.</w:t>
      </w:r>
    </w:p>
    <w:p w14:paraId="5F9837D4" w14:textId="58DF0A0D" w:rsidR="00AA3ED8" w:rsidRPr="00D2484E" w:rsidRDefault="00AA3ED8" w:rsidP="00011698">
      <w:r w:rsidRPr="00D2484E">
        <w:t xml:space="preserve">The Prostheses List also provides information including: </w:t>
      </w:r>
    </w:p>
    <w:p w14:paraId="6DA2AA43" w14:textId="77777777" w:rsidR="00AA3ED8" w:rsidRPr="00D2484E" w:rsidRDefault="00AA3ED8" w:rsidP="002D1775">
      <w:pPr>
        <w:pStyle w:val="EYBullet1"/>
      </w:pPr>
      <w:r w:rsidRPr="00D2484E">
        <w:t xml:space="preserve">the billing code for each </w:t>
      </w:r>
      <w:proofErr w:type="gramStart"/>
      <w:r w:rsidRPr="00D2484E">
        <w:t>product;</w:t>
      </w:r>
      <w:proofErr w:type="gramEnd"/>
    </w:p>
    <w:p w14:paraId="146ABBE9" w14:textId="77777777" w:rsidR="00AA3ED8" w:rsidRPr="00D2484E" w:rsidRDefault="00AA3ED8" w:rsidP="002D1775">
      <w:pPr>
        <w:pStyle w:val="EYBullet1"/>
      </w:pPr>
      <w:r w:rsidRPr="00D2484E">
        <w:t>a name, description and size(s) of each product listed under the billing code; and</w:t>
      </w:r>
    </w:p>
    <w:p w14:paraId="5DB79EF4" w14:textId="77777777" w:rsidR="00AA3ED8" w:rsidRPr="00D2484E" w:rsidRDefault="00AA3ED8" w:rsidP="002D1775">
      <w:pPr>
        <w:pStyle w:val="EYBullet1"/>
      </w:pPr>
      <w:r w:rsidRPr="00D2484E">
        <w:t xml:space="preserve">the minimum amount of benefit insurers </w:t>
      </w:r>
      <w:proofErr w:type="gramStart"/>
      <w:r w:rsidRPr="00D2484E">
        <w:t>pay</w:t>
      </w:r>
      <w:proofErr w:type="gramEnd"/>
      <w:r w:rsidRPr="00D2484E">
        <w:t xml:space="preserve"> for each product.</w:t>
      </w:r>
      <w:r w:rsidRPr="00D2484E">
        <w:rPr>
          <w:rStyle w:val="FootnoteReference"/>
          <w:rFonts w:ascii="Arial" w:hAnsi="Arial"/>
          <w:szCs w:val="24"/>
        </w:rPr>
        <w:footnoteReference w:id="21"/>
      </w:r>
    </w:p>
    <w:p w14:paraId="6859D127" w14:textId="77777777" w:rsidR="00AA3ED8" w:rsidRPr="00D2484E" w:rsidRDefault="00AA3ED8" w:rsidP="00011698">
      <w:r w:rsidRPr="00D2484E">
        <w:t>The Prostheses List is updated approximately three times a year in ‘</w:t>
      </w:r>
      <w:proofErr w:type="gramStart"/>
      <w:r w:rsidRPr="00D2484E">
        <w:t>cycles’</w:t>
      </w:r>
      <w:proofErr w:type="gramEnd"/>
      <w:r w:rsidRPr="00D2484E">
        <w:t xml:space="preserve">. </w:t>
      </w:r>
    </w:p>
    <w:p w14:paraId="3CB3D639" w14:textId="77777777" w:rsidR="008343FC" w:rsidRPr="00011698" w:rsidRDefault="008343FC" w:rsidP="00011698">
      <w:bookmarkStart w:id="167" w:name="_Ref76667788"/>
      <w:r w:rsidRPr="00011698">
        <w:br w:type="page"/>
      </w:r>
    </w:p>
    <w:p w14:paraId="3CC1EF7C" w14:textId="397989A3" w:rsidR="00CD3D41" w:rsidRPr="00D2484E" w:rsidRDefault="00CD3D41" w:rsidP="00011698">
      <w:pPr>
        <w:pStyle w:val="Appendix"/>
      </w:pPr>
      <w:bookmarkStart w:id="168" w:name="AppendixB"/>
      <w:bookmarkEnd w:id="168"/>
      <w:r w:rsidRPr="00D2484E">
        <w:lastRenderedPageBreak/>
        <w:t xml:space="preserve">Appendix </w:t>
      </w:r>
      <w:r w:rsidRPr="00D2484E">
        <w:fldChar w:fldCharType="begin"/>
      </w:r>
      <w:r w:rsidRPr="00D2484E">
        <w:instrText xml:space="preserve"> SEQ Appendix \* ALPHABETIC </w:instrText>
      </w:r>
      <w:r w:rsidRPr="00D2484E">
        <w:fldChar w:fldCharType="separate"/>
      </w:r>
      <w:r w:rsidR="00475597" w:rsidRPr="00D2484E">
        <w:rPr>
          <w:noProof/>
        </w:rPr>
        <w:t>B</w:t>
      </w:r>
      <w:r w:rsidRPr="00D2484E">
        <w:fldChar w:fldCharType="end"/>
      </w:r>
      <w:bookmarkEnd w:id="163"/>
      <w:bookmarkEnd w:id="167"/>
      <w:r w:rsidRPr="00D2484E">
        <w:t xml:space="preserve"> - Terms of Reference</w:t>
      </w:r>
    </w:p>
    <w:p w14:paraId="57E32987" w14:textId="6D977418" w:rsidR="005E2C10" w:rsidRPr="00544133" w:rsidRDefault="00CD3D41" w:rsidP="00544133">
      <w:pPr>
        <w:pStyle w:val="EYTableText"/>
      </w:pPr>
      <w:r w:rsidRPr="00544133">
        <w:t xml:space="preserve">EY was engaged </w:t>
      </w:r>
      <w:r w:rsidR="001C7CFC" w:rsidRPr="00544133">
        <w:t xml:space="preserve">by the </w:t>
      </w:r>
      <w:r w:rsidR="00F007AA" w:rsidRPr="00544133">
        <w:t>Department</w:t>
      </w:r>
      <w:r w:rsidR="001C7CFC" w:rsidRPr="00544133">
        <w:t xml:space="preserve"> to undertake this Review of the PLAC and its associated sub-committees</w:t>
      </w:r>
      <w:r w:rsidR="0079755B" w:rsidRPr="00544133">
        <w:t xml:space="preserve"> with the following Terms of Reference:</w:t>
      </w:r>
    </w:p>
    <w:tbl>
      <w:tblPr>
        <w:tblStyle w:val="Style1"/>
        <w:tblW w:w="0" w:type="auto"/>
        <w:tblLook w:val="04A0" w:firstRow="1" w:lastRow="0" w:firstColumn="1" w:lastColumn="0" w:noHBand="0" w:noVBand="1"/>
      </w:tblPr>
      <w:tblGrid>
        <w:gridCol w:w="6936"/>
        <w:gridCol w:w="2083"/>
      </w:tblGrid>
      <w:tr w:rsidR="005D03E5" w:rsidRPr="00D2484E" w14:paraId="6F0304C9" w14:textId="77777777" w:rsidTr="005E2C10">
        <w:trPr>
          <w:cnfStyle w:val="100000000000" w:firstRow="1" w:lastRow="0" w:firstColumn="0" w:lastColumn="0" w:oddVBand="0" w:evenVBand="0" w:oddHBand="0" w:evenHBand="0" w:firstRowFirstColumn="0" w:firstRowLastColumn="0" w:lastRowFirstColumn="0" w:lastRowLastColumn="0"/>
          <w:trHeight w:val="283"/>
          <w:tblHeader/>
        </w:trPr>
        <w:tc>
          <w:tcPr>
            <w:tcW w:w="0" w:type="auto"/>
            <w:gridSpan w:val="2"/>
            <w:vAlign w:val="center"/>
          </w:tcPr>
          <w:p w14:paraId="09391C65" w14:textId="4FD715FB" w:rsidR="005D03E5" w:rsidRPr="00D2484E" w:rsidRDefault="005D03E5" w:rsidP="00544133">
            <w:pPr>
              <w:pStyle w:val="EYTableHeadingWhite"/>
            </w:pPr>
            <w:r w:rsidRPr="00D2484E">
              <w:t>Current role/purpose</w:t>
            </w:r>
          </w:p>
        </w:tc>
      </w:tr>
      <w:tr w:rsidR="005D03E5" w:rsidRPr="00D2484E" w14:paraId="005D7407" w14:textId="5C0A9BCE" w:rsidTr="005E2C10">
        <w:trPr>
          <w:trHeight w:val="469"/>
        </w:trPr>
        <w:tc>
          <w:tcPr>
            <w:tcW w:w="0" w:type="auto"/>
          </w:tcPr>
          <w:p w14:paraId="56D9E61B" w14:textId="340A79CA" w:rsidR="005D03E5" w:rsidRPr="00D2484E" w:rsidRDefault="005D03E5" w:rsidP="00544133">
            <w:pPr>
              <w:pStyle w:val="EYTablebullet1"/>
            </w:pPr>
            <w:r w:rsidRPr="00D2484E">
              <w:t xml:space="preserve">Is the role of PLAC clearly defined and well understood? </w:t>
            </w:r>
          </w:p>
        </w:tc>
        <w:tc>
          <w:tcPr>
            <w:tcW w:w="0" w:type="auto"/>
          </w:tcPr>
          <w:p w14:paraId="1E08275F" w14:textId="72BC92B9" w:rsidR="005D03E5" w:rsidRPr="00544133" w:rsidRDefault="004D6119" w:rsidP="00544133">
            <w:pPr>
              <w:pStyle w:val="EYTableText"/>
            </w:pPr>
            <w:r w:rsidRPr="00544133">
              <w:t>Findings 1 – 2, 5</w:t>
            </w:r>
          </w:p>
        </w:tc>
      </w:tr>
      <w:tr w:rsidR="005D03E5" w:rsidRPr="00D2484E" w14:paraId="75338E90" w14:textId="15040FC1" w:rsidTr="005E2C10">
        <w:trPr>
          <w:trHeight w:val="771"/>
        </w:trPr>
        <w:tc>
          <w:tcPr>
            <w:tcW w:w="0" w:type="auto"/>
          </w:tcPr>
          <w:p w14:paraId="636001D7" w14:textId="2AAF7A53" w:rsidR="005D03E5" w:rsidRPr="00D2484E" w:rsidRDefault="005D03E5" w:rsidP="00544133">
            <w:pPr>
              <w:pStyle w:val="EYTablebullet1"/>
            </w:pPr>
            <w:r w:rsidRPr="00D2484E">
              <w:t xml:space="preserve">Is the current membership, </w:t>
            </w:r>
            <w:proofErr w:type="gramStart"/>
            <w:r w:rsidRPr="00D2484E">
              <w:t>composition</w:t>
            </w:r>
            <w:proofErr w:type="gramEnd"/>
            <w:r w:rsidRPr="00D2484E">
              <w:t xml:space="preserve"> and structure of PLAC fit for the purpose of providing advice to the Minister for Health? </w:t>
            </w:r>
          </w:p>
        </w:tc>
        <w:tc>
          <w:tcPr>
            <w:tcW w:w="0" w:type="auto"/>
          </w:tcPr>
          <w:p w14:paraId="57DD0B05" w14:textId="25F822D5" w:rsidR="005D03E5" w:rsidRPr="00544133" w:rsidRDefault="004D6119" w:rsidP="00544133">
            <w:pPr>
              <w:pStyle w:val="EYTableText"/>
            </w:pPr>
            <w:r w:rsidRPr="00544133">
              <w:t xml:space="preserve">Findings 1 </w:t>
            </w:r>
            <w:r w:rsidR="00903F2C" w:rsidRPr="00544133">
              <w:t>– 2, 4</w:t>
            </w:r>
          </w:p>
        </w:tc>
      </w:tr>
      <w:tr w:rsidR="005D03E5" w:rsidRPr="00D2484E" w14:paraId="7381CAAA" w14:textId="5D5DEC12" w:rsidTr="005E2C10">
        <w:trPr>
          <w:trHeight w:val="1137"/>
        </w:trPr>
        <w:tc>
          <w:tcPr>
            <w:tcW w:w="0" w:type="auto"/>
          </w:tcPr>
          <w:p w14:paraId="2862DB3F" w14:textId="6A2E3645" w:rsidR="005D03E5" w:rsidRPr="00D2484E" w:rsidRDefault="005D03E5" w:rsidP="00544133">
            <w:pPr>
              <w:pStyle w:val="EYTablebullet1"/>
              <w:rPr>
                <w:rStyle w:val="CommentReference"/>
              </w:rPr>
            </w:pPr>
            <w:r w:rsidRPr="00D2484E">
              <w:t>Is the PLAC providing sufficient scrutiny of new and amendment applications, for the delegate to have confidence in its advice? If not, what changes would be needed for PLAC to meet this mandate?</w:t>
            </w:r>
          </w:p>
        </w:tc>
        <w:tc>
          <w:tcPr>
            <w:tcW w:w="0" w:type="auto"/>
          </w:tcPr>
          <w:p w14:paraId="773644B4" w14:textId="413CD7A2" w:rsidR="005D03E5" w:rsidRPr="00544133" w:rsidRDefault="00880441" w:rsidP="00544133">
            <w:pPr>
              <w:pStyle w:val="EYTableText"/>
            </w:pPr>
            <w:r w:rsidRPr="00544133">
              <w:t>Findings 1</w:t>
            </w:r>
            <w:r w:rsidR="00F3585E" w:rsidRPr="00544133">
              <w:t xml:space="preserve"> </w:t>
            </w:r>
            <w:r w:rsidR="005E2C10" w:rsidRPr="00544133">
              <w:t>–</w:t>
            </w:r>
            <w:r w:rsidR="00F3585E" w:rsidRPr="00544133">
              <w:t xml:space="preserve"> 4</w:t>
            </w:r>
          </w:p>
        </w:tc>
      </w:tr>
      <w:tr w:rsidR="005D03E5" w:rsidRPr="00D2484E" w14:paraId="77181073" w14:textId="77777777" w:rsidTr="005E2C10">
        <w:trPr>
          <w:trHeight w:val="340"/>
        </w:trPr>
        <w:tc>
          <w:tcPr>
            <w:tcW w:w="0" w:type="auto"/>
            <w:gridSpan w:val="2"/>
            <w:shd w:val="clear" w:color="auto" w:fill="000000" w:themeFill="background2"/>
            <w:vAlign w:val="center"/>
          </w:tcPr>
          <w:p w14:paraId="7C2373A2" w14:textId="7D7DC63B" w:rsidR="005D03E5" w:rsidRPr="00D2484E" w:rsidRDefault="005D03E5" w:rsidP="00544133">
            <w:pPr>
              <w:pStyle w:val="EYTableHeadingWhite"/>
            </w:pPr>
            <w:r w:rsidRPr="00D2484E">
              <w:t>Potential role</w:t>
            </w:r>
          </w:p>
        </w:tc>
      </w:tr>
      <w:tr w:rsidR="005D03E5" w:rsidRPr="00D2484E" w14:paraId="60CC1B29" w14:textId="0C410D69" w:rsidTr="005E2C10">
        <w:tc>
          <w:tcPr>
            <w:tcW w:w="0" w:type="auto"/>
          </w:tcPr>
          <w:p w14:paraId="04A9CD3F" w14:textId="3DB20985" w:rsidR="005D03E5" w:rsidRPr="00544133" w:rsidRDefault="005D03E5" w:rsidP="00544133">
            <w:pPr>
              <w:pStyle w:val="EYTableText"/>
            </w:pPr>
            <w:r w:rsidRPr="00544133">
              <w:t xml:space="preserve">Implementation of Prostheses List Reforms </w:t>
            </w:r>
          </w:p>
          <w:p w14:paraId="3470A73A" w14:textId="3720FA7A" w:rsidR="005D03E5" w:rsidRPr="00D2484E" w:rsidRDefault="005D03E5" w:rsidP="00544133">
            <w:pPr>
              <w:pStyle w:val="EYTablebullet1"/>
            </w:pPr>
            <w:r w:rsidRPr="00D2484E">
              <w:t xml:space="preserve">What, if any, role would there be for the PLAC in the implementation of Prostheses List reforms? </w:t>
            </w:r>
          </w:p>
        </w:tc>
        <w:tc>
          <w:tcPr>
            <w:tcW w:w="0" w:type="auto"/>
          </w:tcPr>
          <w:p w14:paraId="36AC33DC" w14:textId="04D2DEC6" w:rsidR="005D03E5" w:rsidRPr="00544133" w:rsidRDefault="003C5641" w:rsidP="00544133">
            <w:pPr>
              <w:pStyle w:val="EYTableText"/>
            </w:pPr>
            <w:r w:rsidRPr="00544133">
              <w:t xml:space="preserve">Recommendations 1 </w:t>
            </w:r>
            <w:r w:rsidR="005E2C10" w:rsidRPr="00544133">
              <w:t>–</w:t>
            </w:r>
            <w:r w:rsidRPr="00544133">
              <w:t xml:space="preserve"> 3</w:t>
            </w:r>
          </w:p>
        </w:tc>
      </w:tr>
      <w:tr w:rsidR="005D03E5" w:rsidRPr="00D2484E" w14:paraId="6A04A6D5" w14:textId="450A3D1F" w:rsidTr="005E2C10">
        <w:tc>
          <w:tcPr>
            <w:tcW w:w="0" w:type="auto"/>
          </w:tcPr>
          <w:p w14:paraId="41BC25D8" w14:textId="15EE72FF" w:rsidR="005D03E5" w:rsidRPr="00B5027D" w:rsidRDefault="005D03E5" w:rsidP="00544133">
            <w:pPr>
              <w:pStyle w:val="EYTablebullet2"/>
            </w:pPr>
            <w:r w:rsidRPr="00B5027D">
              <w:t xml:space="preserve">Specifically, in relation to the Department strengthening its health technology assessment capability through systematic and formalised assessment of both clinical and economic evidence conducted through academic evaluation units taking on </w:t>
            </w:r>
            <w:proofErr w:type="gramStart"/>
            <w:r w:rsidRPr="00B5027D">
              <w:t>the majority of</w:t>
            </w:r>
            <w:proofErr w:type="gramEnd"/>
            <w:r w:rsidRPr="00B5027D">
              <w:t xml:space="preserve"> assessments rather than by Clinical Advisory Groups?</w:t>
            </w:r>
          </w:p>
        </w:tc>
        <w:tc>
          <w:tcPr>
            <w:tcW w:w="0" w:type="auto"/>
          </w:tcPr>
          <w:p w14:paraId="34D7A2DB" w14:textId="455862AB" w:rsidR="005D03E5" w:rsidRPr="00544133" w:rsidRDefault="00FD75D1" w:rsidP="00544133">
            <w:pPr>
              <w:pStyle w:val="EYTableText"/>
            </w:pPr>
            <w:r w:rsidRPr="00544133">
              <w:t xml:space="preserve">Recommendations 1 </w:t>
            </w:r>
            <w:r w:rsidR="003D7AFE" w:rsidRPr="00544133">
              <w:t>–</w:t>
            </w:r>
            <w:r w:rsidRPr="00544133">
              <w:t xml:space="preserve"> </w:t>
            </w:r>
            <w:r w:rsidR="00491513" w:rsidRPr="00544133">
              <w:t>3</w:t>
            </w:r>
            <w:r w:rsidR="003D7AFE" w:rsidRPr="00544133">
              <w:t>, 6 -</w:t>
            </w:r>
            <w:r w:rsidR="003C5641" w:rsidRPr="00544133">
              <w:t xml:space="preserve"> 11</w:t>
            </w:r>
          </w:p>
        </w:tc>
      </w:tr>
      <w:tr w:rsidR="005D03E5" w:rsidRPr="00D2484E" w14:paraId="0D760643" w14:textId="3847E5EA" w:rsidTr="005E2C10">
        <w:trPr>
          <w:trHeight w:val="1139"/>
        </w:trPr>
        <w:tc>
          <w:tcPr>
            <w:tcW w:w="0" w:type="auto"/>
          </w:tcPr>
          <w:p w14:paraId="113AD6FE" w14:textId="77777777" w:rsidR="005D03E5" w:rsidRPr="005E2C10" w:rsidRDefault="005D03E5" w:rsidP="00544133">
            <w:pPr>
              <w:pStyle w:val="EYTableText"/>
            </w:pPr>
            <w:r w:rsidRPr="005E2C10">
              <w:t xml:space="preserve">Ongoing administration of the Prostheses List </w:t>
            </w:r>
          </w:p>
          <w:p w14:paraId="252166EB" w14:textId="0BADC455" w:rsidR="005D03E5" w:rsidRPr="00D2484E" w:rsidRDefault="005D03E5" w:rsidP="00544133">
            <w:pPr>
              <w:pStyle w:val="EYTablebullet1"/>
            </w:pPr>
            <w:r w:rsidRPr="00D2484E">
              <w:t>What role, if any, should there be for PLAC in the ongoing administration of the Prostheses List once reforms are implemented?</w:t>
            </w:r>
          </w:p>
        </w:tc>
        <w:tc>
          <w:tcPr>
            <w:tcW w:w="0" w:type="auto"/>
          </w:tcPr>
          <w:p w14:paraId="394C1E18" w14:textId="0973182D" w:rsidR="005D03E5" w:rsidRPr="00544133" w:rsidRDefault="00880441" w:rsidP="00544133">
            <w:pPr>
              <w:pStyle w:val="EYTableText"/>
            </w:pPr>
            <w:r w:rsidRPr="00544133">
              <w:t>Recommendations 1 – 3, 8, 10</w:t>
            </w:r>
          </w:p>
        </w:tc>
      </w:tr>
      <w:tr w:rsidR="005D03E5" w:rsidRPr="00D2484E" w14:paraId="77146F85" w14:textId="6D37B4EB" w:rsidTr="005E2C10">
        <w:trPr>
          <w:trHeight w:val="351"/>
        </w:trPr>
        <w:tc>
          <w:tcPr>
            <w:tcW w:w="0" w:type="auto"/>
          </w:tcPr>
          <w:p w14:paraId="14540A1B" w14:textId="1C1BF268" w:rsidR="005D03E5" w:rsidRPr="00D2484E" w:rsidRDefault="005D03E5" w:rsidP="00544133">
            <w:pPr>
              <w:pStyle w:val="EYTablebullet1"/>
              <w:rPr>
                <w:i/>
              </w:rPr>
            </w:pPr>
            <w:r w:rsidRPr="00D2484E">
              <w:t xml:space="preserve">What role, if any, should PLAC undertake in the ongoing review of items listed on the Prostheses List? </w:t>
            </w:r>
          </w:p>
        </w:tc>
        <w:tc>
          <w:tcPr>
            <w:tcW w:w="0" w:type="auto"/>
          </w:tcPr>
          <w:p w14:paraId="0D249715" w14:textId="632C1D15" w:rsidR="005D03E5" w:rsidRPr="00544133" w:rsidRDefault="00880441" w:rsidP="00544133">
            <w:pPr>
              <w:pStyle w:val="EYTableText"/>
            </w:pPr>
            <w:r w:rsidRPr="00544133">
              <w:t>Recommendations 4</w:t>
            </w:r>
            <w:r w:rsidR="005E2C10" w:rsidRPr="00544133">
              <w:t xml:space="preserve"> – </w:t>
            </w:r>
            <w:r w:rsidRPr="00544133">
              <w:t>5, 8, 11</w:t>
            </w:r>
          </w:p>
        </w:tc>
      </w:tr>
      <w:tr w:rsidR="005D03E5" w:rsidRPr="005E2C10" w14:paraId="2F31D83B" w14:textId="77777777" w:rsidTr="005E2C10">
        <w:trPr>
          <w:trHeight w:val="340"/>
        </w:trPr>
        <w:tc>
          <w:tcPr>
            <w:tcW w:w="0" w:type="auto"/>
            <w:gridSpan w:val="2"/>
            <w:shd w:val="clear" w:color="auto" w:fill="000000" w:themeFill="background2"/>
            <w:vAlign w:val="center"/>
          </w:tcPr>
          <w:p w14:paraId="7406427E" w14:textId="2F87F67D" w:rsidR="005D03E5" w:rsidRPr="005E2C10" w:rsidRDefault="005D03E5" w:rsidP="00544133">
            <w:pPr>
              <w:pStyle w:val="EYTableHeadingWhite"/>
            </w:pPr>
            <w:r w:rsidRPr="005E2C10">
              <w:t>Composition and governance</w:t>
            </w:r>
          </w:p>
        </w:tc>
      </w:tr>
      <w:tr w:rsidR="005D03E5" w:rsidRPr="00D2484E" w14:paraId="444F73E0" w14:textId="71DB863B" w:rsidTr="005E2C10">
        <w:trPr>
          <w:trHeight w:val="369"/>
        </w:trPr>
        <w:tc>
          <w:tcPr>
            <w:tcW w:w="0" w:type="auto"/>
          </w:tcPr>
          <w:p w14:paraId="1E3A7962" w14:textId="17687181" w:rsidR="005D03E5" w:rsidRPr="00D2484E" w:rsidRDefault="005D03E5" w:rsidP="00544133">
            <w:pPr>
              <w:pStyle w:val="EYTablebullet1"/>
            </w:pPr>
            <w:r w:rsidRPr="00D2484E">
              <w:t xml:space="preserve">What should be the composition of PLAC? </w:t>
            </w:r>
          </w:p>
        </w:tc>
        <w:tc>
          <w:tcPr>
            <w:tcW w:w="0" w:type="auto"/>
          </w:tcPr>
          <w:p w14:paraId="0DB974EE" w14:textId="6EE0192E" w:rsidR="005D03E5" w:rsidRPr="00544133" w:rsidRDefault="007E4419" w:rsidP="00544133">
            <w:pPr>
              <w:pStyle w:val="EYTableText"/>
            </w:pPr>
            <w:r w:rsidRPr="00544133">
              <w:t xml:space="preserve">Recommendations 1 – 2 </w:t>
            </w:r>
          </w:p>
        </w:tc>
      </w:tr>
      <w:tr w:rsidR="00380B14" w:rsidRPr="00D2484E" w14:paraId="1FBAD094" w14:textId="75135290" w:rsidTr="005E2C10">
        <w:trPr>
          <w:trHeight w:val="159"/>
        </w:trPr>
        <w:tc>
          <w:tcPr>
            <w:tcW w:w="0" w:type="auto"/>
          </w:tcPr>
          <w:p w14:paraId="75E9A70F" w14:textId="084C80DB" w:rsidR="00380B14" w:rsidRPr="00D2484E" w:rsidRDefault="00380B14" w:rsidP="00544133">
            <w:pPr>
              <w:pStyle w:val="EYTablebullet1"/>
            </w:pPr>
            <w:r w:rsidRPr="00D2484E">
              <w:t>How should potential members be identified and appointed?</w:t>
            </w:r>
          </w:p>
        </w:tc>
        <w:tc>
          <w:tcPr>
            <w:tcW w:w="0" w:type="auto"/>
          </w:tcPr>
          <w:p w14:paraId="0153627D" w14:textId="3439DF51" w:rsidR="00380B14" w:rsidRPr="00544133" w:rsidRDefault="00380B14" w:rsidP="00544133">
            <w:pPr>
              <w:pStyle w:val="EYTableText"/>
            </w:pPr>
            <w:r w:rsidRPr="00544133">
              <w:t xml:space="preserve">Recommendations 1 – 2 </w:t>
            </w:r>
          </w:p>
        </w:tc>
      </w:tr>
      <w:tr w:rsidR="00380B14" w:rsidRPr="00D2484E" w14:paraId="0B35DF37" w14:textId="443DDA77" w:rsidTr="005E2C10">
        <w:trPr>
          <w:trHeight w:val="932"/>
        </w:trPr>
        <w:tc>
          <w:tcPr>
            <w:tcW w:w="0" w:type="auto"/>
          </w:tcPr>
          <w:p w14:paraId="41A00E63" w14:textId="77777777" w:rsidR="00380B14" w:rsidRPr="00D2484E" w:rsidRDefault="00380B14" w:rsidP="00544133">
            <w:pPr>
              <w:pStyle w:val="EYTablebullet1"/>
            </w:pPr>
            <w:r w:rsidRPr="00D2484E">
              <w:t xml:space="preserve">What should be the governance structure of PLAC? </w:t>
            </w:r>
          </w:p>
          <w:p w14:paraId="5B2DE84E" w14:textId="69B2E5B5" w:rsidR="00380B14" w:rsidRPr="00B5027D" w:rsidRDefault="00380B14" w:rsidP="00544133">
            <w:pPr>
              <w:pStyle w:val="EYTablebullet2"/>
            </w:pPr>
            <w:proofErr w:type="gramStart"/>
            <w:r w:rsidRPr="00B5027D">
              <w:t>In particular could</w:t>
            </w:r>
            <w:proofErr w:type="gramEnd"/>
            <w:r w:rsidRPr="00B5027D">
              <w:t xml:space="preserve"> it be a sub-committee of the MSAC or an independent committee/expert panel (that would seek HTA advice from the MSAC)?</w:t>
            </w:r>
          </w:p>
        </w:tc>
        <w:tc>
          <w:tcPr>
            <w:tcW w:w="0" w:type="auto"/>
          </w:tcPr>
          <w:p w14:paraId="13F2D71B" w14:textId="0BB824F3" w:rsidR="00380B14" w:rsidRPr="00544133" w:rsidRDefault="00380B14" w:rsidP="00544133">
            <w:pPr>
              <w:pStyle w:val="EYTableText"/>
            </w:pPr>
            <w:r w:rsidRPr="00544133">
              <w:t xml:space="preserve">Recommendations 1 – 2 </w:t>
            </w:r>
          </w:p>
        </w:tc>
      </w:tr>
    </w:tbl>
    <w:p w14:paraId="3F0644A6" w14:textId="77777777" w:rsidR="008C51D8" w:rsidRPr="00D2484E" w:rsidRDefault="008C51D8" w:rsidP="00317389">
      <w:pPr>
        <w:autoSpaceDE/>
        <w:autoSpaceDN/>
        <w:adjustRightInd/>
      </w:pPr>
    </w:p>
    <w:p w14:paraId="55565E88" w14:textId="77777777" w:rsidR="00DA0E7E" w:rsidRPr="00D2484E" w:rsidRDefault="00DA0E7E" w:rsidP="00011698">
      <w:pPr>
        <w:pStyle w:val="Appendix"/>
        <w:sectPr w:rsidR="00DA0E7E" w:rsidRPr="00D2484E" w:rsidSect="00CB44D4">
          <w:headerReference w:type="default" r:id="rId33"/>
          <w:footerReference w:type="default" r:id="rId34"/>
          <w:pgSz w:w="11909" w:h="16834" w:code="9"/>
          <w:pgMar w:top="1440" w:right="1440" w:bottom="1440" w:left="1440" w:header="720" w:footer="720" w:gutter="0"/>
          <w:cols w:space="720"/>
          <w:docGrid w:linePitch="360"/>
        </w:sectPr>
      </w:pPr>
      <w:bookmarkStart w:id="169" w:name="_Ref76629354"/>
    </w:p>
    <w:p w14:paraId="6E846E71" w14:textId="7B948150" w:rsidR="0014101F" w:rsidRPr="00D2484E" w:rsidRDefault="00BD6E43" w:rsidP="00011698">
      <w:pPr>
        <w:pStyle w:val="Appendix"/>
      </w:pPr>
      <w:bookmarkStart w:id="170" w:name="_Ref77063350"/>
      <w:bookmarkStart w:id="171" w:name="AppendixC"/>
      <w:bookmarkEnd w:id="171"/>
      <w:r w:rsidRPr="00D2484E">
        <w:lastRenderedPageBreak/>
        <w:t xml:space="preserve">Appendix </w:t>
      </w:r>
      <w:r w:rsidRPr="00D2484E">
        <w:fldChar w:fldCharType="begin"/>
      </w:r>
      <w:r w:rsidRPr="00D2484E">
        <w:instrText xml:space="preserve"> SEQ Appendix \* ALPHABETIC </w:instrText>
      </w:r>
      <w:r w:rsidRPr="00D2484E">
        <w:fldChar w:fldCharType="separate"/>
      </w:r>
      <w:r w:rsidR="00475597" w:rsidRPr="00D2484E">
        <w:rPr>
          <w:noProof/>
        </w:rPr>
        <w:t>C</w:t>
      </w:r>
      <w:r w:rsidRPr="00D2484E">
        <w:fldChar w:fldCharType="end"/>
      </w:r>
      <w:bookmarkEnd w:id="169"/>
      <w:r w:rsidRPr="00D2484E">
        <w:t xml:space="preserve"> - Schedule of Documents</w:t>
      </w:r>
      <w:bookmarkEnd w:id="170"/>
    </w:p>
    <w:p w14:paraId="05E34FAC" w14:textId="1DD570BD" w:rsidR="000C61CC" w:rsidRPr="00544133" w:rsidRDefault="006E5EE7" w:rsidP="00544133">
      <w:r w:rsidRPr="00544133">
        <w:t xml:space="preserve">The documents listed below were used by EY </w:t>
      </w:r>
      <w:r w:rsidR="00A96613" w:rsidRPr="00544133">
        <w:t xml:space="preserve">for the </w:t>
      </w:r>
      <w:r w:rsidR="00C607C7" w:rsidRPr="00544133">
        <w:t xml:space="preserve">purposes of the </w:t>
      </w:r>
      <w:r w:rsidR="00A96613" w:rsidRPr="00544133">
        <w:t xml:space="preserve">desktop review. </w:t>
      </w:r>
    </w:p>
    <w:p w14:paraId="0A9EBDD0" w14:textId="77777777" w:rsidR="00F73137" w:rsidRPr="00C06A2D" w:rsidRDefault="00F73137" w:rsidP="00F93CC0">
      <w:pPr>
        <w:pStyle w:val="Heading2"/>
      </w:pPr>
      <w:bookmarkStart w:id="172" w:name="_Ref76629401"/>
      <w:r w:rsidRPr="00CA6DBA">
        <w:t>Governance documents</w:t>
      </w:r>
    </w:p>
    <w:p w14:paraId="0FC20E47" w14:textId="7F6C98E8" w:rsidR="00FE2DF0" w:rsidRPr="00D2484E" w:rsidRDefault="00FE2DF0" w:rsidP="002D1775">
      <w:pPr>
        <w:pStyle w:val="EYBullet1"/>
        <w:rPr>
          <w:b/>
          <w:bCs/>
        </w:rPr>
      </w:pPr>
      <w:r w:rsidRPr="00D2484E">
        <w:rPr>
          <w:b/>
          <w:bCs/>
        </w:rPr>
        <w:t>Commonwealth of Australia</w:t>
      </w:r>
    </w:p>
    <w:p w14:paraId="33D629BE" w14:textId="0E7F19B1" w:rsidR="00FE2DF0" w:rsidRPr="00B5027D" w:rsidRDefault="00FE2DF0" w:rsidP="00831172">
      <w:pPr>
        <w:pStyle w:val="EYBullet2"/>
      </w:pPr>
      <w:r w:rsidRPr="00B5027D">
        <w:t>Australian Government Charging Framework</w:t>
      </w:r>
      <w:r w:rsidR="003B0819" w:rsidRPr="00B5027D">
        <w:t>.</w:t>
      </w:r>
    </w:p>
    <w:p w14:paraId="3D7BA3C4" w14:textId="16211F7F" w:rsidR="00633A11" w:rsidRPr="00D2484E" w:rsidRDefault="00633A11" w:rsidP="002D1775">
      <w:pPr>
        <w:pStyle w:val="EYBullet1"/>
        <w:rPr>
          <w:b/>
          <w:bCs/>
        </w:rPr>
      </w:pPr>
      <w:r w:rsidRPr="00D2484E">
        <w:rPr>
          <w:b/>
          <w:bCs/>
        </w:rPr>
        <w:t>Department of Health</w:t>
      </w:r>
    </w:p>
    <w:p w14:paraId="3237B6E6" w14:textId="25326DF3" w:rsidR="00CA06CC" w:rsidRPr="00B5027D" w:rsidRDefault="00CA06CC" w:rsidP="00831172">
      <w:pPr>
        <w:pStyle w:val="EYBullet2"/>
      </w:pPr>
      <w:r w:rsidRPr="00B5027D">
        <w:t>Health Technology Assessment Committees Conflict of Interest Process Guide</w:t>
      </w:r>
      <w:r w:rsidR="00693604" w:rsidRPr="00B5027D">
        <w:t xml:space="preserve">, June </w:t>
      </w:r>
      <w:proofErr w:type="gramStart"/>
      <w:r w:rsidR="00693604" w:rsidRPr="00B5027D">
        <w:t>2020</w:t>
      </w:r>
      <w:r w:rsidRPr="00B5027D">
        <w:t>;</w:t>
      </w:r>
      <w:proofErr w:type="gramEnd"/>
    </w:p>
    <w:p w14:paraId="02B0F9FC" w14:textId="29DCE4B0" w:rsidR="00891E2D" w:rsidRPr="00B5027D" w:rsidRDefault="002C3F81" w:rsidP="00831172">
      <w:pPr>
        <w:pStyle w:val="EYBullet2"/>
      </w:pPr>
      <w:r w:rsidRPr="00B5027D">
        <w:t xml:space="preserve">Cost Recovery Implementation Statement </w:t>
      </w:r>
      <w:r w:rsidR="005622E5" w:rsidRPr="00B5027D">
        <w:t>‘</w:t>
      </w:r>
      <w:r w:rsidRPr="00B5027D">
        <w:t>Administration of the Prostheses List</w:t>
      </w:r>
      <w:r w:rsidR="005622E5" w:rsidRPr="00B5027D">
        <w:t>’</w:t>
      </w:r>
      <w:r w:rsidR="00F16B8A" w:rsidRPr="00B5027D">
        <w:t>, July 2021</w:t>
      </w:r>
    </w:p>
    <w:p w14:paraId="1A3E0E9A" w14:textId="0D36EDBD" w:rsidR="00F16B8A" w:rsidRPr="00B5027D" w:rsidRDefault="00F16B8A" w:rsidP="00831172">
      <w:pPr>
        <w:pStyle w:val="EYBullet2"/>
      </w:pPr>
      <w:r w:rsidRPr="00B5027D">
        <w:t>Cost Recovery Implementation Statement</w:t>
      </w:r>
      <w:r w:rsidR="00425E3C" w:rsidRPr="00B5027D">
        <w:t xml:space="preserve"> ‘</w:t>
      </w:r>
      <w:r w:rsidRPr="00B5027D">
        <w:t>Prostheses List</w:t>
      </w:r>
      <w:r w:rsidR="00425E3C" w:rsidRPr="00B5027D">
        <w:t xml:space="preserve">’, April </w:t>
      </w:r>
      <w:proofErr w:type="gramStart"/>
      <w:r w:rsidR="00425E3C" w:rsidRPr="00B5027D">
        <w:t>202</w:t>
      </w:r>
      <w:r w:rsidR="00693604" w:rsidRPr="00B5027D">
        <w:t>1;</w:t>
      </w:r>
      <w:proofErr w:type="gramEnd"/>
    </w:p>
    <w:p w14:paraId="5D493C53" w14:textId="34F77888" w:rsidR="00B42C91" w:rsidRPr="00B5027D" w:rsidRDefault="00B42C91" w:rsidP="00831172">
      <w:pPr>
        <w:pStyle w:val="EYBullet2"/>
      </w:pPr>
      <w:r w:rsidRPr="00B5027D">
        <w:t>Prostheses List Guide, February 2020</w:t>
      </w:r>
      <w:r w:rsidR="00CF7FC3" w:rsidRPr="00B5027D">
        <w:t>.</w:t>
      </w:r>
    </w:p>
    <w:p w14:paraId="5F186584" w14:textId="50E0070F" w:rsidR="007E6028" w:rsidRPr="00D2484E" w:rsidRDefault="00D859AD" w:rsidP="002D1775">
      <w:pPr>
        <w:pStyle w:val="EYBullet1"/>
        <w:rPr>
          <w:b/>
          <w:bCs/>
        </w:rPr>
      </w:pPr>
      <w:r w:rsidRPr="00D2484E">
        <w:rPr>
          <w:b/>
          <w:bCs/>
        </w:rPr>
        <w:t>Prostheses List Advisory Committee</w:t>
      </w:r>
      <w:r w:rsidR="00D74EF5" w:rsidRPr="00D2484E">
        <w:rPr>
          <w:b/>
          <w:bCs/>
        </w:rPr>
        <w:t xml:space="preserve"> </w:t>
      </w:r>
    </w:p>
    <w:p w14:paraId="170D7D1F" w14:textId="637E1AC4" w:rsidR="00D859AD" w:rsidRPr="00B5027D" w:rsidRDefault="007E6028" w:rsidP="00831172">
      <w:pPr>
        <w:pStyle w:val="EYBullet2"/>
      </w:pPr>
      <w:r w:rsidRPr="00B5027D">
        <w:t>Parent committee</w:t>
      </w:r>
    </w:p>
    <w:p w14:paraId="35C24FCC" w14:textId="6DEBF551" w:rsidR="00C84151" w:rsidRPr="00D2484E" w:rsidRDefault="00C84151" w:rsidP="00B5027D">
      <w:pPr>
        <w:pStyle w:val="EYBullet3"/>
      </w:pPr>
      <w:r w:rsidRPr="00D2484E">
        <w:t>Current membership, as per the Department of Health</w:t>
      </w:r>
      <w:r w:rsidR="004F559D" w:rsidRPr="00D2484E">
        <w:t xml:space="preserve"> </w:t>
      </w:r>
      <w:proofErr w:type="gramStart"/>
      <w:r w:rsidR="004F559D" w:rsidRPr="00D2484E">
        <w:t>at</w:t>
      </w:r>
      <w:proofErr w:type="gramEnd"/>
      <w:r w:rsidR="004F559D" w:rsidRPr="00D2484E">
        <w:t xml:space="preserve"> July 2021</w:t>
      </w:r>
      <w:r w:rsidR="00216CC7" w:rsidRPr="00D2484E">
        <w:t>;</w:t>
      </w:r>
    </w:p>
    <w:p w14:paraId="1EC1ED70" w14:textId="6BE1BE65" w:rsidR="00C44F48" w:rsidRPr="00D2484E" w:rsidRDefault="00BF764B" w:rsidP="00B5027D">
      <w:pPr>
        <w:pStyle w:val="EYBullet3"/>
      </w:pPr>
      <w:r w:rsidRPr="00D2484E">
        <w:t>Terms of Reference</w:t>
      </w:r>
      <w:r w:rsidR="00E72180" w:rsidRPr="00D2484E">
        <w:t xml:space="preserve">, June </w:t>
      </w:r>
      <w:proofErr w:type="gramStart"/>
      <w:r w:rsidR="00E72180" w:rsidRPr="00D2484E">
        <w:t>2017</w:t>
      </w:r>
      <w:r w:rsidR="00216CC7" w:rsidRPr="00D2484E">
        <w:t>;</w:t>
      </w:r>
      <w:proofErr w:type="gramEnd"/>
    </w:p>
    <w:p w14:paraId="7A72C3D4" w14:textId="33FAC749" w:rsidR="00BF764B" w:rsidRPr="00D2484E" w:rsidRDefault="00BF764B" w:rsidP="00B5027D">
      <w:pPr>
        <w:pStyle w:val="EYBullet3"/>
      </w:pPr>
      <w:r w:rsidRPr="00D2484E">
        <w:t>Operating Guidelines</w:t>
      </w:r>
      <w:r w:rsidR="00C1238D" w:rsidRPr="00D2484E">
        <w:t xml:space="preserve">, April </w:t>
      </w:r>
      <w:proofErr w:type="gramStart"/>
      <w:r w:rsidR="00C1238D" w:rsidRPr="00D2484E">
        <w:t>2019</w:t>
      </w:r>
      <w:r w:rsidR="00216CC7" w:rsidRPr="00D2484E">
        <w:t>;</w:t>
      </w:r>
      <w:proofErr w:type="gramEnd"/>
    </w:p>
    <w:p w14:paraId="7D032CA0" w14:textId="40843EBF" w:rsidR="00A428E2" w:rsidRPr="00D2484E" w:rsidRDefault="00A428E2" w:rsidP="00B5027D">
      <w:pPr>
        <w:pStyle w:val="EYBullet3"/>
      </w:pPr>
      <w:r w:rsidRPr="00D2484E">
        <w:t>Meeting Minutes</w:t>
      </w:r>
      <w:r w:rsidR="00D74EF5" w:rsidRPr="00D2484E">
        <w:t>: May 2020</w:t>
      </w:r>
      <w:r w:rsidR="00216CC7" w:rsidRPr="00D2484E">
        <w:t>;</w:t>
      </w:r>
      <w:r w:rsidR="00D74EF5" w:rsidRPr="00D2484E">
        <w:t xml:space="preserve"> September 2020</w:t>
      </w:r>
      <w:r w:rsidR="00216CC7" w:rsidRPr="00D2484E">
        <w:t>;</w:t>
      </w:r>
      <w:r w:rsidR="00D74EF5" w:rsidRPr="00D2484E">
        <w:t xml:space="preserve"> November </w:t>
      </w:r>
      <w:proofErr w:type="gramStart"/>
      <w:r w:rsidR="00D74EF5" w:rsidRPr="00D2484E">
        <w:t>2020</w:t>
      </w:r>
      <w:r w:rsidR="00216CC7" w:rsidRPr="00D2484E">
        <w:t>;</w:t>
      </w:r>
      <w:proofErr w:type="gramEnd"/>
    </w:p>
    <w:p w14:paraId="3EE05637" w14:textId="09F69C2B" w:rsidR="00D74EF5" w:rsidRPr="00B5027D" w:rsidRDefault="007E6028" w:rsidP="00831172">
      <w:pPr>
        <w:pStyle w:val="EYBullet2"/>
      </w:pPr>
      <w:r w:rsidRPr="00B5027D">
        <w:t>Clinical Advisory Groups</w:t>
      </w:r>
    </w:p>
    <w:p w14:paraId="2E260F83" w14:textId="17E41EF4" w:rsidR="00051F47" w:rsidRPr="00D2484E" w:rsidRDefault="00051F47" w:rsidP="00B5027D">
      <w:pPr>
        <w:pStyle w:val="EYBullet3"/>
      </w:pPr>
      <w:r w:rsidRPr="00D2484E">
        <w:t>Current membership, as per the Department of Health</w:t>
      </w:r>
      <w:r w:rsidR="004F559D" w:rsidRPr="00D2484E">
        <w:t xml:space="preserve"> </w:t>
      </w:r>
      <w:proofErr w:type="gramStart"/>
      <w:r w:rsidR="004F559D" w:rsidRPr="00D2484E">
        <w:t>at</w:t>
      </w:r>
      <w:proofErr w:type="gramEnd"/>
      <w:r w:rsidR="004F559D" w:rsidRPr="00D2484E">
        <w:t xml:space="preserve"> July 2021</w:t>
      </w:r>
      <w:r w:rsidR="000E6F39" w:rsidRPr="00D2484E">
        <w:t>;</w:t>
      </w:r>
    </w:p>
    <w:p w14:paraId="492816AF" w14:textId="0D9F9C0B" w:rsidR="007E6028" w:rsidRPr="00D2484E" w:rsidRDefault="007E6028" w:rsidP="00B5027D">
      <w:pPr>
        <w:pStyle w:val="EYBullet3"/>
      </w:pPr>
      <w:r w:rsidRPr="00D2484E">
        <w:t>Terms of Reference</w:t>
      </w:r>
      <w:r w:rsidR="00E82ACC" w:rsidRPr="00D2484E">
        <w:t xml:space="preserve">, June </w:t>
      </w:r>
      <w:proofErr w:type="gramStart"/>
      <w:r w:rsidR="00E82ACC" w:rsidRPr="00D2484E">
        <w:t>2017</w:t>
      </w:r>
      <w:r w:rsidR="000E6F39" w:rsidRPr="00D2484E">
        <w:t>;</w:t>
      </w:r>
      <w:proofErr w:type="gramEnd"/>
    </w:p>
    <w:p w14:paraId="21FB0919" w14:textId="493D0677" w:rsidR="007E6028" w:rsidRPr="00D2484E" w:rsidRDefault="007E6028" w:rsidP="00B5027D">
      <w:pPr>
        <w:pStyle w:val="EYBullet3"/>
      </w:pPr>
      <w:r w:rsidRPr="00D2484E">
        <w:t>Operating Guidelines</w:t>
      </w:r>
      <w:r w:rsidR="00614CD1" w:rsidRPr="00D2484E">
        <w:t xml:space="preserve">, May </w:t>
      </w:r>
      <w:proofErr w:type="gramStart"/>
      <w:r w:rsidR="00614CD1" w:rsidRPr="00D2484E">
        <w:t>2017</w:t>
      </w:r>
      <w:r w:rsidR="000E6F39" w:rsidRPr="00D2484E">
        <w:t>;</w:t>
      </w:r>
      <w:proofErr w:type="gramEnd"/>
    </w:p>
    <w:p w14:paraId="718F7EA7" w14:textId="488D55F1" w:rsidR="00C63685" w:rsidRPr="00D2484E" w:rsidRDefault="00C63685" w:rsidP="00B5027D">
      <w:pPr>
        <w:pStyle w:val="EYBullet3"/>
      </w:pPr>
      <w:r w:rsidRPr="00D2484E">
        <w:t>Clinical Advisory Groups and Panel of Clinical Experts Nomination and Appointment Process</w:t>
      </w:r>
      <w:r w:rsidR="00BE540A" w:rsidRPr="00D2484E">
        <w:t xml:space="preserve">, February </w:t>
      </w:r>
      <w:proofErr w:type="gramStart"/>
      <w:r w:rsidR="00BE540A" w:rsidRPr="00D2484E">
        <w:t>2020</w:t>
      </w:r>
      <w:r w:rsidR="000E6F39" w:rsidRPr="00D2484E">
        <w:t>;</w:t>
      </w:r>
      <w:proofErr w:type="gramEnd"/>
    </w:p>
    <w:p w14:paraId="411C56A3" w14:textId="5AB28FA6" w:rsidR="007E6028" w:rsidRPr="00B5027D" w:rsidRDefault="00A50E2F" w:rsidP="00831172">
      <w:pPr>
        <w:pStyle w:val="EYBullet2"/>
      </w:pPr>
      <w:r w:rsidRPr="00B5027D">
        <w:t>Panel of Clinical Experts</w:t>
      </w:r>
    </w:p>
    <w:p w14:paraId="26000E78" w14:textId="77777777" w:rsidR="004F559D" w:rsidRPr="00D2484E" w:rsidRDefault="004F559D" w:rsidP="00B5027D">
      <w:pPr>
        <w:pStyle w:val="EYBullet3"/>
      </w:pPr>
      <w:r w:rsidRPr="00D2484E">
        <w:t xml:space="preserve">Current membership, as per the Department of Health </w:t>
      </w:r>
      <w:proofErr w:type="gramStart"/>
      <w:r w:rsidRPr="00D2484E">
        <w:t>at</w:t>
      </w:r>
      <w:proofErr w:type="gramEnd"/>
      <w:r w:rsidRPr="00D2484E">
        <w:t xml:space="preserve"> July 2021;</w:t>
      </w:r>
    </w:p>
    <w:p w14:paraId="77348487" w14:textId="724F877B" w:rsidR="007E6028" w:rsidRPr="00D2484E" w:rsidRDefault="007E6028" w:rsidP="00B5027D">
      <w:pPr>
        <w:pStyle w:val="EYBullet3"/>
      </w:pPr>
      <w:r w:rsidRPr="00D2484E">
        <w:t>Terms of Reference</w:t>
      </w:r>
      <w:r w:rsidR="000940F4" w:rsidRPr="00D2484E">
        <w:t xml:space="preserve">, February </w:t>
      </w:r>
      <w:proofErr w:type="gramStart"/>
      <w:r w:rsidR="000940F4" w:rsidRPr="00D2484E">
        <w:t>2018</w:t>
      </w:r>
      <w:r w:rsidR="000E6F39" w:rsidRPr="00D2484E">
        <w:t>;</w:t>
      </w:r>
      <w:proofErr w:type="gramEnd"/>
    </w:p>
    <w:p w14:paraId="581ECEA2" w14:textId="6B692ADB" w:rsidR="00912CA8" w:rsidRPr="00D2484E" w:rsidRDefault="007E6028" w:rsidP="00B5027D">
      <w:pPr>
        <w:pStyle w:val="EYBullet3"/>
      </w:pPr>
      <w:r w:rsidRPr="00D2484E">
        <w:t>Operating Guidelines</w:t>
      </w:r>
      <w:r w:rsidR="00B22532" w:rsidRPr="00D2484E">
        <w:t xml:space="preserve">, no </w:t>
      </w:r>
      <w:proofErr w:type="gramStart"/>
      <w:r w:rsidR="00B22532" w:rsidRPr="00D2484E">
        <w:t>date</w:t>
      </w:r>
      <w:r w:rsidR="000E6F39" w:rsidRPr="00D2484E">
        <w:t>;</w:t>
      </w:r>
      <w:proofErr w:type="gramEnd"/>
    </w:p>
    <w:p w14:paraId="6A9CCD1B" w14:textId="149E96C0" w:rsidR="00912CA8" w:rsidRPr="00D2484E" w:rsidRDefault="00ED540C" w:rsidP="00B5027D">
      <w:pPr>
        <w:pStyle w:val="EYBullet3"/>
      </w:pPr>
      <w:r w:rsidRPr="00D2484E">
        <w:t>Clinical Advisory Groups and Panel of Clinical Experts Nomination and Appointment Process</w:t>
      </w:r>
      <w:r w:rsidR="004F416D" w:rsidRPr="00D2484E">
        <w:t xml:space="preserve">, February </w:t>
      </w:r>
      <w:proofErr w:type="gramStart"/>
      <w:r w:rsidR="004F416D" w:rsidRPr="00D2484E">
        <w:t>2020</w:t>
      </w:r>
      <w:r w:rsidR="000E6F39" w:rsidRPr="00D2484E">
        <w:t>;</w:t>
      </w:r>
      <w:proofErr w:type="gramEnd"/>
    </w:p>
    <w:p w14:paraId="0277EA05" w14:textId="2684FB3D" w:rsidR="00836FF6" w:rsidRPr="00D2484E" w:rsidRDefault="00836FF6" w:rsidP="00831172">
      <w:pPr>
        <w:pStyle w:val="EYBullet2"/>
      </w:pPr>
      <w:r w:rsidRPr="00D2484E">
        <w:t>Health Economics Sub-Committee (inactive)</w:t>
      </w:r>
    </w:p>
    <w:p w14:paraId="4D596F5F" w14:textId="4F26360C" w:rsidR="00836FF6" w:rsidRPr="00D2484E" w:rsidRDefault="00836FF6" w:rsidP="00B5027D">
      <w:pPr>
        <w:pStyle w:val="EYBullet3"/>
      </w:pPr>
      <w:r w:rsidRPr="00D2484E">
        <w:t>Terms of Reference</w:t>
      </w:r>
      <w:r w:rsidR="00014592" w:rsidRPr="00D2484E">
        <w:t xml:space="preserve">, August </w:t>
      </w:r>
      <w:proofErr w:type="gramStart"/>
      <w:r w:rsidR="00014592" w:rsidRPr="00D2484E">
        <w:t>2017</w:t>
      </w:r>
      <w:r w:rsidR="000E6F39" w:rsidRPr="00D2484E">
        <w:t>;</w:t>
      </w:r>
      <w:proofErr w:type="gramEnd"/>
    </w:p>
    <w:p w14:paraId="7B127A22" w14:textId="1D0AD829" w:rsidR="00836FF6" w:rsidRPr="00D2484E" w:rsidRDefault="00836FF6" w:rsidP="00B5027D">
      <w:pPr>
        <w:pStyle w:val="EYBullet3"/>
      </w:pPr>
      <w:r w:rsidRPr="00D2484E">
        <w:t>Operating Guidelines</w:t>
      </w:r>
      <w:r w:rsidR="00014592" w:rsidRPr="00D2484E">
        <w:t>, August 2017</w:t>
      </w:r>
      <w:r w:rsidR="00DF1F09" w:rsidRPr="00D2484E">
        <w:t>.</w:t>
      </w:r>
    </w:p>
    <w:p w14:paraId="0DBC17CB" w14:textId="7E2D3D22" w:rsidR="007E6028" w:rsidRPr="00D2484E" w:rsidRDefault="00D63754" w:rsidP="002D1775">
      <w:pPr>
        <w:pStyle w:val="EYBullet1"/>
        <w:rPr>
          <w:b/>
          <w:bCs/>
        </w:rPr>
      </w:pPr>
      <w:r w:rsidRPr="00D2484E">
        <w:rPr>
          <w:b/>
          <w:bCs/>
        </w:rPr>
        <w:t>Medical Services Advisory Committee</w:t>
      </w:r>
    </w:p>
    <w:p w14:paraId="789E7FCD" w14:textId="133BEE2F" w:rsidR="00C84151" w:rsidRPr="00B5027D" w:rsidRDefault="00C84151" w:rsidP="00831172">
      <w:pPr>
        <w:pStyle w:val="EYBullet2"/>
      </w:pPr>
      <w:r w:rsidRPr="00B5027D">
        <w:t>Current membership, as per the Department of Health</w:t>
      </w:r>
      <w:r w:rsidR="007879B4" w:rsidRPr="00B5027D">
        <w:t xml:space="preserve"> </w:t>
      </w:r>
      <w:proofErr w:type="gramStart"/>
      <w:r w:rsidR="007879B4" w:rsidRPr="00B5027D">
        <w:t>at</w:t>
      </w:r>
      <w:proofErr w:type="gramEnd"/>
      <w:r w:rsidR="007879B4" w:rsidRPr="00B5027D">
        <w:t xml:space="preserve"> July 2021</w:t>
      </w:r>
      <w:r w:rsidR="000E6F39" w:rsidRPr="00B5027D">
        <w:t>;</w:t>
      </w:r>
    </w:p>
    <w:p w14:paraId="23B61E5E" w14:textId="7CE74B4C" w:rsidR="00D63754" w:rsidRPr="00B5027D" w:rsidRDefault="004C723E" w:rsidP="00831172">
      <w:pPr>
        <w:pStyle w:val="EYBullet2"/>
      </w:pPr>
      <w:r w:rsidRPr="00B5027D">
        <w:t>Terms of Reference</w:t>
      </w:r>
      <w:r w:rsidR="004C72F0" w:rsidRPr="00B5027D">
        <w:t xml:space="preserve">, November </w:t>
      </w:r>
      <w:proofErr w:type="gramStart"/>
      <w:r w:rsidR="004C72F0" w:rsidRPr="00B5027D">
        <w:t>2020</w:t>
      </w:r>
      <w:r w:rsidR="000E6F39" w:rsidRPr="00B5027D">
        <w:t>;</w:t>
      </w:r>
      <w:proofErr w:type="gramEnd"/>
    </w:p>
    <w:p w14:paraId="0E2962A4" w14:textId="0E7B5586" w:rsidR="00C63685" w:rsidRPr="00B5027D" w:rsidRDefault="00216CC7" w:rsidP="00831172">
      <w:pPr>
        <w:pStyle w:val="EYBullet2"/>
      </w:pPr>
      <w:r w:rsidRPr="00B5027D">
        <w:t>Public Summaries: July 2020</w:t>
      </w:r>
      <w:r w:rsidR="000E6F39" w:rsidRPr="00B5027D">
        <w:t>;</w:t>
      </w:r>
      <w:r w:rsidRPr="00B5027D">
        <w:t xml:space="preserve"> November 2020</w:t>
      </w:r>
      <w:r w:rsidR="000E6F39" w:rsidRPr="00B5027D">
        <w:t>;</w:t>
      </w:r>
      <w:r w:rsidRPr="00B5027D">
        <w:t xml:space="preserve"> April </w:t>
      </w:r>
      <w:proofErr w:type="gramStart"/>
      <w:r w:rsidRPr="00B5027D">
        <w:t>202</w:t>
      </w:r>
      <w:r w:rsidR="00DF1F09" w:rsidRPr="00B5027D">
        <w:t>0</w:t>
      </w:r>
      <w:r w:rsidR="00262B42" w:rsidRPr="00B5027D">
        <w:t>;</w:t>
      </w:r>
      <w:proofErr w:type="gramEnd"/>
    </w:p>
    <w:p w14:paraId="4E67D623" w14:textId="12788ECB" w:rsidR="00B02290" w:rsidRPr="00B5027D" w:rsidRDefault="00B02290" w:rsidP="00831172">
      <w:pPr>
        <w:pStyle w:val="EYBullet2"/>
      </w:pPr>
      <w:r w:rsidRPr="00B5027D">
        <w:t>Economics Sub-Committee</w:t>
      </w:r>
    </w:p>
    <w:p w14:paraId="18559993" w14:textId="5A86D9B2" w:rsidR="008E178F" w:rsidRPr="00D2484E" w:rsidRDefault="00B02290" w:rsidP="00B5027D">
      <w:pPr>
        <w:pStyle w:val="EYBullet3"/>
      </w:pPr>
      <w:r w:rsidRPr="00D2484E">
        <w:t xml:space="preserve">Terms of Reference, </w:t>
      </w:r>
      <w:r w:rsidR="00262B42" w:rsidRPr="00D2484E">
        <w:t>October 2012.</w:t>
      </w:r>
    </w:p>
    <w:p w14:paraId="67A881B4" w14:textId="42A66EA8" w:rsidR="00121180" w:rsidRPr="00D2484E" w:rsidRDefault="00121180" w:rsidP="002D1775">
      <w:pPr>
        <w:pStyle w:val="EYBullet1"/>
        <w:rPr>
          <w:b/>
          <w:bCs/>
        </w:rPr>
      </w:pPr>
      <w:r w:rsidRPr="00D2484E">
        <w:rPr>
          <w:b/>
          <w:bCs/>
        </w:rPr>
        <w:t>Pharmaceutical Benefits Advisory Committee</w:t>
      </w:r>
    </w:p>
    <w:p w14:paraId="3E2AF8FD" w14:textId="51E8DAC0" w:rsidR="00413200" w:rsidRPr="00B5027D" w:rsidRDefault="00413200" w:rsidP="00831172">
      <w:pPr>
        <w:pStyle w:val="EYBullet2"/>
      </w:pPr>
      <w:r w:rsidRPr="00B5027D">
        <w:t>Operating Guidelines</w:t>
      </w:r>
      <w:r w:rsidR="00806A3B" w:rsidRPr="00B5027D">
        <w:t xml:space="preserve">, September </w:t>
      </w:r>
      <w:proofErr w:type="gramStart"/>
      <w:r w:rsidR="00806A3B" w:rsidRPr="00B5027D">
        <w:t>2016</w:t>
      </w:r>
      <w:r w:rsidRPr="00B5027D">
        <w:t>;</w:t>
      </w:r>
      <w:proofErr w:type="gramEnd"/>
    </w:p>
    <w:p w14:paraId="404C005C" w14:textId="3A12FF3D" w:rsidR="0051482D" w:rsidRPr="00B5027D" w:rsidRDefault="00E65282" w:rsidP="00831172">
      <w:pPr>
        <w:pStyle w:val="EYBullet2"/>
      </w:pPr>
      <w:r w:rsidRPr="00B5027D">
        <w:t>Procedure guidance for listing medicines on the Pharmaceutical Benefits Scheme</w:t>
      </w:r>
      <w:r w:rsidR="00104051" w:rsidRPr="00B5027D">
        <w:t xml:space="preserve">, December </w:t>
      </w:r>
      <w:proofErr w:type="gramStart"/>
      <w:r w:rsidR="00104051" w:rsidRPr="00B5027D">
        <w:t>2020</w:t>
      </w:r>
      <w:r w:rsidR="00C962C6" w:rsidRPr="00B5027D">
        <w:t>;</w:t>
      </w:r>
      <w:proofErr w:type="gramEnd"/>
    </w:p>
    <w:p w14:paraId="3E82E321" w14:textId="053B4199" w:rsidR="00C564F4" w:rsidRPr="00D2484E" w:rsidRDefault="00C962C6" w:rsidP="002D1775">
      <w:pPr>
        <w:pStyle w:val="EYBullet1"/>
        <w:rPr>
          <w:b/>
          <w:bCs/>
          <w:i/>
        </w:rPr>
      </w:pPr>
      <w:r w:rsidRPr="00D2484E">
        <w:rPr>
          <w:b/>
          <w:bCs/>
        </w:rPr>
        <w:t>Medical Technology Association of Australia</w:t>
      </w:r>
    </w:p>
    <w:p w14:paraId="40D8CB9F" w14:textId="7AA4B726" w:rsidR="00934793" w:rsidRPr="00B5027D" w:rsidRDefault="00934793" w:rsidP="00831172">
      <w:pPr>
        <w:pStyle w:val="EYBullet2"/>
      </w:pPr>
      <w:r w:rsidRPr="00B5027D">
        <w:t>Hibernation of Agreement with the Medical Technology Association of Australia (MTAA)</w:t>
      </w:r>
      <w:r w:rsidR="007F6EB1" w:rsidRPr="00B5027D">
        <w:t>, July 2020</w:t>
      </w:r>
    </w:p>
    <w:p w14:paraId="4D5043E7" w14:textId="1FD4FDBC" w:rsidR="00C962C6" w:rsidRPr="00B5027D" w:rsidRDefault="00C962C6" w:rsidP="00831172">
      <w:pPr>
        <w:pStyle w:val="EYBullet2"/>
      </w:pPr>
      <w:r w:rsidRPr="00B5027D">
        <w:t>Agreement between the Government and the Medical Technology Association of Australia</w:t>
      </w:r>
      <w:r w:rsidR="00934793" w:rsidRPr="00B5027D">
        <w:t xml:space="preserve"> (MTAA)</w:t>
      </w:r>
      <w:r w:rsidR="000940F4" w:rsidRPr="00B5027D">
        <w:t>, October 2017.</w:t>
      </w:r>
    </w:p>
    <w:p w14:paraId="57B0E6EB" w14:textId="61FB0507" w:rsidR="00CA06CC" w:rsidRPr="00D2484E" w:rsidRDefault="00985A67" w:rsidP="00887B0D">
      <w:pPr>
        <w:pStyle w:val="Heading2"/>
      </w:pPr>
      <w:proofErr w:type="gramStart"/>
      <w:r w:rsidRPr="00D2484E">
        <w:t>Open Source</w:t>
      </w:r>
      <w:proofErr w:type="gramEnd"/>
      <w:r w:rsidRPr="00D2484E">
        <w:t xml:space="preserve"> Information</w:t>
      </w:r>
    </w:p>
    <w:p w14:paraId="5D662EAF" w14:textId="77777777" w:rsidR="00985A67" w:rsidRPr="00D2484E" w:rsidRDefault="00985A67" w:rsidP="002D1775">
      <w:pPr>
        <w:pStyle w:val="EYBullet1"/>
        <w:rPr>
          <w:b/>
          <w:bCs/>
        </w:rPr>
      </w:pPr>
      <w:r w:rsidRPr="00D2484E">
        <w:rPr>
          <w:b/>
          <w:bCs/>
        </w:rPr>
        <w:t>Department of Health</w:t>
      </w:r>
    </w:p>
    <w:p w14:paraId="5DA3E9EB" w14:textId="77777777" w:rsidR="00985A67" w:rsidRPr="00B5027D" w:rsidRDefault="00985A67" w:rsidP="00831172">
      <w:pPr>
        <w:pStyle w:val="EYBullet2"/>
      </w:pPr>
      <w:r w:rsidRPr="00B5027D">
        <w:lastRenderedPageBreak/>
        <w:t>Post-Budget stakeholder briefing on ‘Modernising and improving the private health insurance Prostheses List</w:t>
      </w:r>
      <w:proofErr w:type="gramStart"/>
      <w:r w:rsidRPr="00B5027D">
        <w:t>’;</w:t>
      </w:r>
      <w:proofErr w:type="gramEnd"/>
    </w:p>
    <w:p w14:paraId="7451C232" w14:textId="3AF726F6" w:rsidR="00985A67" w:rsidRPr="00B5027D" w:rsidRDefault="00985A67" w:rsidP="00831172">
      <w:pPr>
        <w:pStyle w:val="EYBullet2"/>
      </w:pPr>
      <w:r w:rsidRPr="00B5027D">
        <w:t>Fact Sheet ‘Modernising and improving the private health insurance’</w:t>
      </w:r>
      <w:r w:rsidR="000E1EDB" w:rsidRPr="00B5027D">
        <w:t>.</w:t>
      </w:r>
    </w:p>
    <w:p w14:paraId="60FD6783" w14:textId="3E0C50E4" w:rsidR="007E6028" w:rsidRPr="00D2484E" w:rsidRDefault="007A095C" w:rsidP="00887B0D">
      <w:pPr>
        <w:pStyle w:val="Heading2"/>
      </w:pPr>
      <w:r w:rsidRPr="00D2484E">
        <w:t>Reports</w:t>
      </w:r>
    </w:p>
    <w:p w14:paraId="376E1437" w14:textId="1CB4D801" w:rsidR="00247B33" w:rsidRPr="00D2484E" w:rsidRDefault="00247B33" w:rsidP="002D1775">
      <w:pPr>
        <w:pStyle w:val="EYBullet1"/>
      </w:pPr>
      <w:r w:rsidRPr="00D2484E">
        <w:rPr>
          <w:i/>
          <w:iCs/>
        </w:rPr>
        <w:t xml:space="preserve">Stopping the death spiral </w:t>
      </w:r>
      <w:r w:rsidR="00B96FD8" w:rsidRPr="00D2484E">
        <w:rPr>
          <w:i/>
          <w:iCs/>
        </w:rPr>
        <w:t>–</w:t>
      </w:r>
      <w:r w:rsidRPr="00D2484E">
        <w:rPr>
          <w:i/>
          <w:iCs/>
        </w:rPr>
        <w:t xml:space="preserve"> </w:t>
      </w:r>
      <w:r w:rsidR="00B96FD8" w:rsidRPr="00D2484E">
        <w:rPr>
          <w:i/>
          <w:iCs/>
        </w:rPr>
        <w:t>creating a future for private health</w:t>
      </w:r>
      <w:r w:rsidR="00B96FD8" w:rsidRPr="00D2484E">
        <w:t xml:space="preserve">, Grattan Institute, May </w:t>
      </w:r>
      <w:proofErr w:type="gramStart"/>
      <w:r w:rsidR="00B96FD8" w:rsidRPr="00D2484E">
        <w:t>2021;</w:t>
      </w:r>
      <w:proofErr w:type="gramEnd"/>
    </w:p>
    <w:p w14:paraId="75FD97D3" w14:textId="60CF69D0" w:rsidR="00D74EF5" w:rsidRPr="00D2484E" w:rsidRDefault="007E0736" w:rsidP="002D1775">
      <w:pPr>
        <w:pStyle w:val="EYBullet1"/>
      </w:pPr>
      <w:r w:rsidRPr="00D2484E">
        <w:rPr>
          <w:i/>
          <w:iCs/>
        </w:rPr>
        <w:t>Review of the General Miscellaneous Category of the Prostheses List</w:t>
      </w:r>
      <w:r w:rsidRPr="00D2484E">
        <w:t xml:space="preserve">, EY, July </w:t>
      </w:r>
      <w:proofErr w:type="gramStart"/>
      <w:r w:rsidRPr="00D2484E">
        <w:t>2020</w:t>
      </w:r>
      <w:r w:rsidR="00B96FD8" w:rsidRPr="00D2484E">
        <w:t>;</w:t>
      </w:r>
      <w:proofErr w:type="gramEnd"/>
    </w:p>
    <w:p w14:paraId="168B63C8" w14:textId="183B017D" w:rsidR="00F80B34" w:rsidRPr="00D2484E" w:rsidRDefault="000429AD" w:rsidP="002D1775">
      <w:pPr>
        <w:pStyle w:val="EYBullet1"/>
      </w:pPr>
      <w:r w:rsidRPr="00D2484E">
        <w:rPr>
          <w:i/>
          <w:iCs/>
        </w:rPr>
        <w:t>Options for a Revised Framework for Setting and Reviewing Benefits for the Prostheses</w:t>
      </w:r>
      <w:r w:rsidR="00F80B34" w:rsidRPr="00D2484E">
        <w:t>,</w:t>
      </w:r>
      <w:r w:rsidR="008F7A80" w:rsidRPr="00D2484E">
        <w:t xml:space="preserve"> Menzies Centre for Health Policy,</w:t>
      </w:r>
      <w:r w:rsidR="00F80B34" w:rsidRPr="00D2484E">
        <w:t xml:space="preserve"> </w:t>
      </w:r>
      <w:r w:rsidR="008F7A80" w:rsidRPr="00D2484E">
        <w:t xml:space="preserve">December </w:t>
      </w:r>
      <w:proofErr w:type="gramStart"/>
      <w:r w:rsidR="00F80B34" w:rsidRPr="00D2484E">
        <w:t>2020</w:t>
      </w:r>
      <w:r w:rsidR="00B96FD8" w:rsidRPr="00D2484E">
        <w:t>;</w:t>
      </w:r>
      <w:proofErr w:type="gramEnd"/>
    </w:p>
    <w:p w14:paraId="0C3E9D8B" w14:textId="2AB4CAD7" w:rsidR="00F80B34" w:rsidRPr="00D2484E" w:rsidRDefault="00F80B34" w:rsidP="002D1775">
      <w:pPr>
        <w:pStyle w:val="EYBullet1"/>
      </w:pPr>
      <w:r w:rsidRPr="00D2484E">
        <w:rPr>
          <w:i/>
          <w:iCs/>
        </w:rPr>
        <w:t xml:space="preserve">Prostheses Benefit Setting Framework: Comparative analysis of benefit setting </w:t>
      </w:r>
      <w:r w:rsidR="00FE425F" w:rsidRPr="00D2484E">
        <w:rPr>
          <w:i/>
          <w:iCs/>
        </w:rPr>
        <w:t>m</w:t>
      </w:r>
      <w:r w:rsidRPr="00D2484E">
        <w:rPr>
          <w:i/>
          <w:iCs/>
        </w:rPr>
        <w:t>odels</w:t>
      </w:r>
      <w:r w:rsidRPr="00D2484E">
        <w:t xml:space="preserve">, </w:t>
      </w:r>
      <w:proofErr w:type="gramStart"/>
      <w:r w:rsidRPr="00D2484E">
        <w:t>2017</w:t>
      </w:r>
      <w:r w:rsidR="00B96FD8" w:rsidRPr="00D2484E">
        <w:t>;</w:t>
      </w:r>
      <w:proofErr w:type="gramEnd"/>
    </w:p>
    <w:p w14:paraId="50FB0FDD" w14:textId="5DD26EA2" w:rsidR="001423B4" w:rsidRPr="00D2484E" w:rsidRDefault="001423B4" w:rsidP="002D1775">
      <w:pPr>
        <w:pStyle w:val="EYBullet1"/>
      </w:pPr>
      <w:r w:rsidRPr="00D2484E">
        <w:rPr>
          <w:i/>
          <w:iCs/>
        </w:rPr>
        <w:t xml:space="preserve">Revised Benefit Setting and Review Framework Industry Working Group </w:t>
      </w:r>
      <w:r w:rsidR="002E606C" w:rsidRPr="00D2484E">
        <w:rPr>
          <w:i/>
          <w:iCs/>
        </w:rPr>
        <w:t>M</w:t>
      </w:r>
      <w:r w:rsidRPr="00D2484E">
        <w:rPr>
          <w:i/>
          <w:iCs/>
        </w:rPr>
        <w:t xml:space="preserve">eeting </w:t>
      </w:r>
      <w:proofErr w:type="gramStart"/>
      <w:r w:rsidR="002E606C" w:rsidRPr="00D2484E">
        <w:rPr>
          <w:i/>
          <w:iCs/>
        </w:rPr>
        <w:t>C</w:t>
      </w:r>
      <w:r w:rsidRPr="00D2484E">
        <w:rPr>
          <w:i/>
          <w:iCs/>
        </w:rPr>
        <w:t>ommuniques</w:t>
      </w:r>
      <w:r w:rsidR="00331D39" w:rsidRPr="00D2484E">
        <w:t>;</w:t>
      </w:r>
      <w:proofErr w:type="gramEnd"/>
    </w:p>
    <w:p w14:paraId="7E751F40" w14:textId="24299BFB" w:rsidR="007E0736" w:rsidRPr="00D2484E" w:rsidRDefault="00F80B34" w:rsidP="00B5027D">
      <w:pPr>
        <w:pStyle w:val="EYBullet1"/>
      </w:pPr>
      <w:r w:rsidRPr="00D2484E">
        <w:rPr>
          <w:i/>
          <w:iCs/>
        </w:rPr>
        <w:t>Senate Community Affairs Reference Committee: Price regulation associated with Prostheses List Framework</w:t>
      </w:r>
      <w:r w:rsidR="0061329C" w:rsidRPr="00D2484E">
        <w:t>, Commonwealth of Australia, May 2017</w:t>
      </w:r>
      <w:r w:rsidR="00B96FD8" w:rsidRPr="00D2484E">
        <w:t>.</w:t>
      </w:r>
    </w:p>
    <w:p w14:paraId="07992C12" w14:textId="0718ACC0" w:rsidR="00025B89" w:rsidRPr="00D2484E" w:rsidRDefault="00025B89">
      <w:pPr>
        <w:autoSpaceDE/>
        <w:autoSpaceDN/>
        <w:adjustRightInd/>
        <w:rPr>
          <w:rFonts w:eastAsia="Tahoma"/>
          <w:szCs w:val="24"/>
        </w:rPr>
      </w:pPr>
      <w:r w:rsidRPr="00D2484E">
        <w:br w:type="page"/>
      </w:r>
    </w:p>
    <w:p w14:paraId="0D5CF5B7" w14:textId="77777777" w:rsidR="00DA0E7E" w:rsidRPr="00D2484E" w:rsidRDefault="00DA0E7E" w:rsidP="00011698">
      <w:pPr>
        <w:pStyle w:val="Appendix"/>
        <w:sectPr w:rsidR="00DA0E7E" w:rsidRPr="00D2484E" w:rsidSect="00CB44D4">
          <w:pgSz w:w="11909" w:h="16834" w:code="9"/>
          <w:pgMar w:top="1440" w:right="1440" w:bottom="1440" w:left="1440" w:header="720" w:footer="720" w:gutter="0"/>
          <w:cols w:space="720"/>
          <w:docGrid w:linePitch="360"/>
        </w:sectPr>
      </w:pPr>
    </w:p>
    <w:p w14:paraId="05BAEBA8" w14:textId="44C3A8B8" w:rsidR="00BD6E43" w:rsidRPr="00D2484E" w:rsidRDefault="004D5FAC" w:rsidP="00011698">
      <w:pPr>
        <w:pStyle w:val="Appendix"/>
      </w:pPr>
      <w:bookmarkStart w:id="173" w:name="_Ref77063540"/>
      <w:r w:rsidRPr="00D2484E">
        <w:lastRenderedPageBreak/>
        <w:t xml:space="preserve">Appendix </w:t>
      </w:r>
      <w:bookmarkEnd w:id="172"/>
      <w:bookmarkEnd w:id="173"/>
      <w:r w:rsidR="009A6390" w:rsidRPr="00D2484E">
        <w:t>D</w:t>
      </w:r>
      <w:r w:rsidRPr="00D2484E">
        <w:t xml:space="preserve"> </w:t>
      </w:r>
      <w:r w:rsidR="00E841FC" w:rsidRPr="00D2484E">
        <w:t>–</w:t>
      </w:r>
      <w:r w:rsidRPr="00D2484E">
        <w:t xml:space="preserve"> </w:t>
      </w:r>
      <w:r w:rsidR="00E841FC" w:rsidRPr="00D2484E">
        <w:t>Stakeholder Consultation List</w:t>
      </w:r>
    </w:p>
    <w:p w14:paraId="174F53C9" w14:textId="34B29A7B" w:rsidR="0081690D" w:rsidRPr="00544133" w:rsidRDefault="00E841FC" w:rsidP="00544133">
      <w:r w:rsidRPr="00544133">
        <w:t xml:space="preserve">The list below provides the stakeholders consulted as part of this Review. </w:t>
      </w:r>
    </w:p>
    <w:tbl>
      <w:tblPr>
        <w:tblStyle w:val="Style1"/>
        <w:tblW w:w="5000" w:type="pct"/>
        <w:tblLayout w:type="fixed"/>
        <w:tblLook w:val="04A0" w:firstRow="1" w:lastRow="0" w:firstColumn="1" w:lastColumn="0" w:noHBand="0" w:noVBand="1"/>
      </w:tblPr>
      <w:tblGrid>
        <w:gridCol w:w="2408"/>
        <w:gridCol w:w="3682"/>
        <w:gridCol w:w="2929"/>
      </w:tblGrid>
      <w:tr w:rsidR="009C0DAD" w:rsidRPr="005E2C10" w14:paraId="23B3B2A0" w14:textId="77777777" w:rsidTr="005E2C10">
        <w:trPr>
          <w:cnfStyle w:val="100000000000" w:firstRow="1" w:lastRow="0" w:firstColumn="0" w:lastColumn="0" w:oddVBand="0" w:evenVBand="0" w:oddHBand="0" w:evenHBand="0" w:firstRowFirstColumn="0" w:firstRowLastColumn="0" w:lastRowFirstColumn="0" w:lastRowLastColumn="0"/>
          <w:trHeight w:val="454"/>
          <w:tblHeader/>
        </w:trPr>
        <w:tc>
          <w:tcPr>
            <w:tcW w:w="1335" w:type="pct"/>
            <w:noWrap/>
            <w:vAlign w:val="center"/>
          </w:tcPr>
          <w:p w14:paraId="04E06A27" w14:textId="22A9CF22" w:rsidR="0068482E" w:rsidRPr="005E2C10" w:rsidRDefault="0068482E" w:rsidP="00544133">
            <w:pPr>
              <w:pStyle w:val="EYTableHeadingWhite"/>
            </w:pPr>
            <w:r w:rsidRPr="005E2C10">
              <w:t>Organisation</w:t>
            </w:r>
          </w:p>
        </w:tc>
        <w:tc>
          <w:tcPr>
            <w:tcW w:w="2041" w:type="pct"/>
            <w:noWrap/>
            <w:vAlign w:val="center"/>
          </w:tcPr>
          <w:p w14:paraId="30551F54" w14:textId="7856143A" w:rsidR="0068482E" w:rsidRPr="005E2C10" w:rsidRDefault="00644EF0" w:rsidP="00544133">
            <w:pPr>
              <w:pStyle w:val="EYTableHeadingWhite"/>
            </w:pPr>
            <w:r w:rsidRPr="005E2C10">
              <w:t>Representative</w:t>
            </w:r>
          </w:p>
        </w:tc>
        <w:tc>
          <w:tcPr>
            <w:tcW w:w="1624" w:type="pct"/>
            <w:vAlign w:val="center"/>
          </w:tcPr>
          <w:p w14:paraId="4C9FA618" w14:textId="0A1B86ED" w:rsidR="0068482E" w:rsidRPr="005E2C10" w:rsidRDefault="0050624D" w:rsidP="00544133">
            <w:pPr>
              <w:pStyle w:val="EYTableHeadingWhite"/>
            </w:pPr>
            <w:r w:rsidRPr="005E2C10">
              <w:t>Role</w:t>
            </w:r>
          </w:p>
        </w:tc>
      </w:tr>
      <w:tr w:rsidR="006950F6" w:rsidRPr="00D2484E" w14:paraId="5A469467" w14:textId="77777777" w:rsidTr="005A2FD1">
        <w:trPr>
          <w:trHeight w:val="20"/>
        </w:trPr>
        <w:tc>
          <w:tcPr>
            <w:tcW w:w="5000" w:type="pct"/>
            <w:gridSpan w:val="3"/>
            <w:shd w:val="clear" w:color="auto" w:fill="F2F2F2" w:themeFill="background1" w:themeFillShade="F2"/>
            <w:noWrap/>
          </w:tcPr>
          <w:p w14:paraId="1B2AF6B1" w14:textId="1D4E1B66" w:rsidR="006950F6" w:rsidRPr="00D2484E" w:rsidRDefault="006950F6" w:rsidP="00544133">
            <w:pPr>
              <w:pStyle w:val="EYTableText"/>
              <w:rPr>
                <w:lang w:eastAsia="en-AU"/>
              </w:rPr>
            </w:pPr>
            <w:r w:rsidRPr="00D2484E">
              <w:rPr>
                <w:lang w:eastAsia="en-AU"/>
              </w:rPr>
              <w:t>Prostheses List Advisory Committee</w:t>
            </w:r>
          </w:p>
        </w:tc>
      </w:tr>
      <w:tr w:rsidR="006950F6" w:rsidRPr="00D2484E" w14:paraId="565C5346" w14:textId="2F4EBC13" w:rsidTr="005A2FD1">
        <w:trPr>
          <w:trHeight w:val="20"/>
        </w:trPr>
        <w:tc>
          <w:tcPr>
            <w:tcW w:w="1335" w:type="pct"/>
            <w:vMerge w:val="restart"/>
            <w:noWrap/>
          </w:tcPr>
          <w:p w14:paraId="195202B6" w14:textId="483B2916" w:rsidR="006950F6" w:rsidRPr="00D2484E" w:rsidRDefault="006950F6" w:rsidP="00544133">
            <w:pPr>
              <w:pStyle w:val="EYTableText"/>
              <w:rPr>
                <w:lang w:eastAsia="en-AU"/>
              </w:rPr>
            </w:pPr>
          </w:p>
        </w:tc>
        <w:tc>
          <w:tcPr>
            <w:tcW w:w="2041" w:type="pct"/>
            <w:noWrap/>
          </w:tcPr>
          <w:p w14:paraId="7A3ECD71" w14:textId="3529DBDA" w:rsidR="006950F6" w:rsidRPr="00C829A6" w:rsidRDefault="006950F6" w:rsidP="00544133">
            <w:pPr>
              <w:pStyle w:val="EYTableText"/>
            </w:pPr>
            <w:r w:rsidRPr="00C829A6">
              <w:t>Professor Terry Campbell (AM)</w:t>
            </w:r>
          </w:p>
        </w:tc>
        <w:tc>
          <w:tcPr>
            <w:tcW w:w="1624" w:type="pct"/>
          </w:tcPr>
          <w:p w14:paraId="7A920435" w14:textId="496BD455" w:rsidR="006950F6" w:rsidRPr="00C829A6" w:rsidRDefault="006950F6" w:rsidP="00544133">
            <w:pPr>
              <w:pStyle w:val="EYTableText"/>
            </w:pPr>
            <w:r w:rsidRPr="00C829A6">
              <w:t>Chair</w:t>
            </w:r>
          </w:p>
        </w:tc>
      </w:tr>
      <w:tr w:rsidR="006950F6" w:rsidRPr="00D2484E" w14:paraId="40ABB95B" w14:textId="77777777" w:rsidTr="005A2FD1">
        <w:trPr>
          <w:trHeight w:val="20"/>
        </w:trPr>
        <w:tc>
          <w:tcPr>
            <w:tcW w:w="1335" w:type="pct"/>
            <w:vMerge/>
            <w:noWrap/>
          </w:tcPr>
          <w:p w14:paraId="3BB641D7" w14:textId="77777777" w:rsidR="006950F6" w:rsidRPr="00D2484E" w:rsidRDefault="006950F6" w:rsidP="00544133">
            <w:pPr>
              <w:pStyle w:val="EYTableText"/>
              <w:rPr>
                <w:lang w:eastAsia="en-AU"/>
              </w:rPr>
            </w:pPr>
          </w:p>
        </w:tc>
        <w:tc>
          <w:tcPr>
            <w:tcW w:w="2041" w:type="pct"/>
            <w:noWrap/>
          </w:tcPr>
          <w:p w14:paraId="5A0898B1" w14:textId="46FF6AC5" w:rsidR="006950F6" w:rsidRPr="00C829A6" w:rsidRDefault="006950F6" w:rsidP="00544133">
            <w:pPr>
              <w:pStyle w:val="EYTableText"/>
            </w:pPr>
            <w:r w:rsidRPr="00C829A6">
              <w:t>Professor David Morgan OAM</w:t>
            </w:r>
          </w:p>
        </w:tc>
        <w:tc>
          <w:tcPr>
            <w:tcW w:w="1624" w:type="pct"/>
          </w:tcPr>
          <w:p w14:paraId="16D69200" w14:textId="6F6A4FB8" w:rsidR="006950F6" w:rsidRPr="00C829A6" w:rsidRDefault="006950F6" w:rsidP="00544133">
            <w:pPr>
              <w:pStyle w:val="EYTableText"/>
            </w:pPr>
            <w:r w:rsidRPr="00C829A6">
              <w:t>Expert Member</w:t>
            </w:r>
          </w:p>
        </w:tc>
      </w:tr>
      <w:tr w:rsidR="006950F6" w:rsidRPr="00D2484E" w14:paraId="7577D014" w14:textId="77777777" w:rsidTr="005A2FD1">
        <w:trPr>
          <w:trHeight w:val="20"/>
        </w:trPr>
        <w:tc>
          <w:tcPr>
            <w:tcW w:w="1335" w:type="pct"/>
            <w:vMerge/>
            <w:noWrap/>
          </w:tcPr>
          <w:p w14:paraId="16F2AA1C" w14:textId="77777777" w:rsidR="006950F6" w:rsidRPr="00D2484E" w:rsidRDefault="006950F6" w:rsidP="00544133">
            <w:pPr>
              <w:pStyle w:val="EYTableText"/>
              <w:rPr>
                <w:lang w:eastAsia="en-AU"/>
              </w:rPr>
            </w:pPr>
          </w:p>
        </w:tc>
        <w:tc>
          <w:tcPr>
            <w:tcW w:w="2041" w:type="pct"/>
            <w:noWrap/>
          </w:tcPr>
          <w:p w14:paraId="7674A3AC" w14:textId="15FA6FB1" w:rsidR="006950F6" w:rsidRPr="00C829A6" w:rsidRDefault="006950F6" w:rsidP="00544133">
            <w:pPr>
              <w:pStyle w:val="EYTableText"/>
            </w:pPr>
            <w:r w:rsidRPr="00C829A6">
              <w:t>Professor Bill Heddle</w:t>
            </w:r>
          </w:p>
        </w:tc>
        <w:tc>
          <w:tcPr>
            <w:tcW w:w="1624" w:type="pct"/>
          </w:tcPr>
          <w:p w14:paraId="73B803D4" w14:textId="6EC8F549" w:rsidR="006950F6" w:rsidRPr="00C829A6" w:rsidRDefault="006950F6" w:rsidP="00544133">
            <w:pPr>
              <w:pStyle w:val="EYTableText"/>
            </w:pPr>
            <w:r w:rsidRPr="00C829A6">
              <w:t>Expert Member</w:t>
            </w:r>
          </w:p>
        </w:tc>
      </w:tr>
      <w:tr w:rsidR="006950F6" w:rsidRPr="00D2484E" w14:paraId="639410BB" w14:textId="77777777" w:rsidTr="005A2FD1">
        <w:trPr>
          <w:trHeight w:val="20"/>
        </w:trPr>
        <w:tc>
          <w:tcPr>
            <w:tcW w:w="1335" w:type="pct"/>
            <w:vMerge/>
            <w:noWrap/>
          </w:tcPr>
          <w:p w14:paraId="1076770B" w14:textId="77777777" w:rsidR="006950F6" w:rsidRPr="00D2484E" w:rsidRDefault="006950F6" w:rsidP="00544133">
            <w:pPr>
              <w:pStyle w:val="EYTableText"/>
              <w:rPr>
                <w:lang w:eastAsia="en-AU"/>
              </w:rPr>
            </w:pPr>
          </w:p>
        </w:tc>
        <w:tc>
          <w:tcPr>
            <w:tcW w:w="2041" w:type="pct"/>
            <w:noWrap/>
          </w:tcPr>
          <w:p w14:paraId="2BC1AA81" w14:textId="439BA8A6" w:rsidR="006950F6" w:rsidRPr="00C829A6" w:rsidRDefault="006950F6" w:rsidP="00544133">
            <w:pPr>
              <w:pStyle w:val="EYTableText"/>
            </w:pPr>
            <w:r w:rsidRPr="00C829A6">
              <w:t>Professor Allan Glanville</w:t>
            </w:r>
          </w:p>
        </w:tc>
        <w:tc>
          <w:tcPr>
            <w:tcW w:w="1624" w:type="pct"/>
          </w:tcPr>
          <w:p w14:paraId="3FB6D19B" w14:textId="721D4C73" w:rsidR="006950F6" w:rsidRPr="00C829A6" w:rsidRDefault="006950F6" w:rsidP="00544133">
            <w:pPr>
              <w:pStyle w:val="EYTableText"/>
            </w:pPr>
            <w:r w:rsidRPr="00C829A6">
              <w:t>Expert Member</w:t>
            </w:r>
          </w:p>
        </w:tc>
      </w:tr>
      <w:tr w:rsidR="006950F6" w:rsidRPr="00D2484E" w14:paraId="230E8579" w14:textId="77777777" w:rsidTr="005A2FD1">
        <w:trPr>
          <w:trHeight w:val="20"/>
        </w:trPr>
        <w:tc>
          <w:tcPr>
            <w:tcW w:w="1335" w:type="pct"/>
            <w:vMerge/>
            <w:noWrap/>
          </w:tcPr>
          <w:p w14:paraId="4252C594" w14:textId="77777777" w:rsidR="006950F6" w:rsidRPr="00D2484E" w:rsidRDefault="006950F6" w:rsidP="00544133">
            <w:pPr>
              <w:pStyle w:val="EYTableText"/>
              <w:rPr>
                <w:lang w:eastAsia="en-AU"/>
              </w:rPr>
            </w:pPr>
          </w:p>
        </w:tc>
        <w:tc>
          <w:tcPr>
            <w:tcW w:w="2041" w:type="pct"/>
            <w:noWrap/>
          </w:tcPr>
          <w:p w14:paraId="7C728AF7" w14:textId="032F5AE2" w:rsidR="006950F6" w:rsidRPr="00C829A6" w:rsidRDefault="006950F6" w:rsidP="00544133">
            <w:pPr>
              <w:pStyle w:val="EYTableText"/>
            </w:pPr>
            <w:r w:rsidRPr="00C829A6">
              <w:t xml:space="preserve">Associate Professor Rosemary </w:t>
            </w:r>
            <w:proofErr w:type="spellStart"/>
            <w:r w:rsidRPr="00C829A6">
              <w:t>Korda</w:t>
            </w:r>
            <w:proofErr w:type="spellEnd"/>
          </w:p>
        </w:tc>
        <w:tc>
          <w:tcPr>
            <w:tcW w:w="1624" w:type="pct"/>
          </w:tcPr>
          <w:p w14:paraId="514A1B84" w14:textId="690AD37B" w:rsidR="006950F6" w:rsidRPr="00C829A6" w:rsidRDefault="006950F6" w:rsidP="00544133">
            <w:pPr>
              <w:pStyle w:val="EYTableText"/>
            </w:pPr>
            <w:r w:rsidRPr="00C829A6">
              <w:t>Expert Member</w:t>
            </w:r>
          </w:p>
        </w:tc>
      </w:tr>
      <w:tr w:rsidR="006950F6" w:rsidRPr="00D2484E" w14:paraId="3ACB2324" w14:textId="77777777" w:rsidTr="005A2FD1">
        <w:trPr>
          <w:trHeight w:val="20"/>
        </w:trPr>
        <w:tc>
          <w:tcPr>
            <w:tcW w:w="1335" w:type="pct"/>
            <w:vMerge/>
            <w:noWrap/>
          </w:tcPr>
          <w:p w14:paraId="7F2349B8" w14:textId="77777777" w:rsidR="006950F6" w:rsidRPr="00D2484E" w:rsidRDefault="006950F6" w:rsidP="00544133">
            <w:pPr>
              <w:pStyle w:val="EYTableText"/>
              <w:rPr>
                <w:lang w:eastAsia="en-AU"/>
              </w:rPr>
            </w:pPr>
          </w:p>
        </w:tc>
        <w:tc>
          <w:tcPr>
            <w:tcW w:w="2041" w:type="pct"/>
            <w:noWrap/>
          </w:tcPr>
          <w:p w14:paraId="07D02516" w14:textId="4ABE53FC" w:rsidR="006950F6" w:rsidRPr="00C829A6" w:rsidRDefault="006950F6" w:rsidP="00544133">
            <w:pPr>
              <w:pStyle w:val="EYTableText"/>
            </w:pPr>
            <w:r w:rsidRPr="00C829A6">
              <w:t>Professor Anne Simmons</w:t>
            </w:r>
          </w:p>
        </w:tc>
        <w:tc>
          <w:tcPr>
            <w:tcW w:w="1624" w:type="pct"/>
          </w:tcPr>
          <w:p w14:paraId="572B7F9A" w14:textId="5F6011B0" w:rsidR="006950F6" w:rsidRPr="00C829A6" w:rsidRDefault="006950F6" w:rsidP="00544133">
            <w:pPr>
              <w:pStyle w:val="EYTableText"/>
            </w:pPr>
            <w:r w:rsidRPr="00C829A6">
              <w:t>Expert Member</w:t>
            </w:r>
          </w:p>
        </w:tc>
      </w:tr>
      <w:tr w:rsidR="006950F6" w:rsidRPr="00D2484E" w14:paraId="016BFF34" w14:textId="77777777" w:rsidTr="005A2FD1">
        <w:trPr>
          <w:trHeight w:val="20"/>
        </w:trPr>
        <w:tc>
          <w:tcPr>
            <w:tcW w:w="1335" w:type="pct"/>
            <w:vMerge/>
            <w:noWrap/>
          </w:tcPr>
          <w:p w14:paraId="1E100102" w14:textId="77777777" w:rsidR="006950F6" w:rsidRPr="00D2484E" w:rsidRDefault="006950F6" w:rsidP="00544133">
            <w:pPr>
              <w:pStyle w:val="EYTableText"/>
              <w:rPr>
                <w:lang w:eastAsia="en-AU"/>
              </w:rPr>
            </w:pPr>
          </w:p>
        </w:tc>
        <w:tc>
          <w:tcPr>
            <w:tcW w:w="2041" w:type="pct"/>
            <w:noWrap/>
          </w:tcPr>
          <w:p w14:paraId="670376E7" w14:textId="02A8DA1F" w:rsidR="006950F6" w:rsidRPr="00C829A6" w:rsidRDefault="006950F6" w:rsidP="00544133">
            <w:pPr>
              <w:pStyle w:val="EYTableText"/>
            </w:pPr>
            <w:r w:rsidRPr="00C829A6">
              <w:t>Adjunct Professor Jim Butler</w:t>
            </w:r>
          </w:p>
        </w:tc>
        <w:tc>
          <w:tcPr>
            <w:tcW w:w="1624" w:type="pct"/>
          </w:tcPr>
          <w:p w14:paraId="0AF55935" w14:textId="03937E62" w:rsidR="006950F6" w:rsidRPr="00C829A6" w:rsidRDefault="006950F6" w:rsidP="00544133">
            <w:pPr>
              <w:pStyle w:val="EYTableText"/>
            </w:pPr>
            <w:r w:rsidRPr="00C829A6">
              <w:t>Expert Member</w:t>
            </w:r>
          </w:p>
        </w:tc>
      </w:tr>
      <w:tr w:rsidR="006950F6" w:rsidRPr="00D2484E" w14:paraId="525C5130" w14:textId="77777777" w:rsidTr="005A2FD1">
        <w:trPr>
          <w:trHeight w:val="20"/>
        </w:trPr>
        <w:tc>
          <w:tcPr>
            <w:tcW w:w="5000" w:type="pct"/>
            <w:gridSpan w:val="3"/>
            <w:shd w:val="clear" w:color="auto" w:fill="F2F2F2" w:themeFill="background1" w:themeFillShade="F2"/>
            <w:noWrap/>
          </w:tcPr>
          <w:p w14:paraId="6DBBA2AA" w14:textId="02942640" w:rsidR="006950F6" w:rsidRPr="00D2484E" w:rsidRDefault="006950F6" w:rsidP="00544133">
            <w:pPr>
              <w:pStyle w:val="EYTableText"/>
              <w:rPr>
                <w:lang w:eastAsia="en-AU"/>
              </w:rPr>
            </w:pPr>
            <w:r w:rsidRPr="00D2484E">
              <w:rPr>
                <w:lang w:eastAsia="en-AU"/>
              </w:rPr>
              <w:t>PLAC Clinical Advisory Groups</w:t>
            </w:r>
          </w:p>
        </w:tc>
      </w:tr>
      <w:tr w:rsidR="006950F6" w:rsidRPr="00D2484E" w14:paraId="3D6C1374" w14:textId="77777777" w:rsidTr="005A2FD1">
        <w:trPr>
          <w:trHeight w:val="20"/>
        </w:trPr>
        <w:tc>
          <w:tcPr>
            <w:tcW w:w="1335" w:type="pct"/>
            <w:noWrap/>
          </w:tcPr>
          <w:p w14:paraId="272A232B" w14:textId="533BCD16" w:rsidR="006950F6" w:rsidRPr="00C829A6" w:rsidRDefault="006950F6" w:rsidP="00544133">
            <w:pPr>
              <w:pStyle w:val="EYTableText"/>
            </w:pPr>
            <w:r w:rsidRPr="00C829A6">
              <w:t xml:space="preserve">Cardiac </w:t>
            </w:r>
          </w:p>
        </w:tc>
        <w:tc>
          <w:tcPr>
            <w:tcW w:w="2041" w:type="pct"/>
            <w:noWrap/>
          </w:tcPr>
          <w:p w14:paraId="1693E1B8" w14:textId="7AFBF413" w:rsidR="006950F6" w:rsidRPr="00C829A6" w:rsidRDefault="006950F6" w:rsidP="00544133">
            <w:pPr>
              <w:pStyle w:val="EYTableText"/>
            </w:pPr>
            <w:r w:rsidRPr="00C829A6">
              <w:t>Associate Professor Glenn Young</w:t>
            </w:r>
            <w:r w:rsidR="006E61B7" w:rsidRPr="00C829A6">
              <w:t>*</w:t>
            </w:r>
            <w:r w:rsidR="0089449B" w:rsidRPr="00C829A6">
              <w:t>*</w:t>
            </w:r>
          </w:p>
        </w:tc>
        <w:tc>
          <w:tcPr>
            <w:tcW w:w="1624" w:type="pct"/>
          </w:tcPr>
          <w:p w14:paraId="42471E8E" w14:textId="4317579A" w:rsidR="006950F6" w:rsidRPr="00C829A6" w:rsidRDefault="00B86428" w:rsidP="00544133">
            <w:pPr>
              <w:pStyle w:val="EYTableText"/>
            </w:pPr>
            <w:r w:rsidRPr="00C829A6">
              <w:t>Chair</w:t>
            </w:r>
          </w:p>
        </w:tc>
      </w:tr>
      <w:tr w:rsidR="00B86428" w:rsidRPr="00D2484E" w14:paraId="12C1E8C3" w14:textId="77777777" w:rsidTr="005A2FD1">
        <w:trPr>
          <w:trHeight w:val="20"/>
        </w:trPr>
        <w:tc>
          <w:tcPr>
            <w:tcW w:w="1335" w:type="pct"/>
            <w:noWrap/>
          </w:tcPr>
          <w:p w14:paraId="3AE07A8E" w14:textId="3837A1E7" w:rsidR="00B86428" w:rsidRPr="00C829A6" w:rsidRDefault="00B86428" w:rsidP="00544133">
            <w:pPr>
              <w:pStyle w:val="EYTableText"/>
            </w:pPr>
            <w:r w:rsidRPr="00C829A6">
              <w:t xml:space="preserve">Cardiothoracic </w:t>
            </w:r>
          </w:p>
        </w:tc>
        <w:tc>
          <w:tcPr>
            <w:tcW w:w="2041" w:type="pct"/>
            <w:noWrap/>
          </w:tcPr>
          <w:p w14:paraId="50CA7B71" w14:textId="75DCBD40" w:rsidR="00B86428" w:rsidRPr="00C829A6" w:rsidRDefault="00B86428" w:rsidP="00544133">
            <w:pPr>
              <w:pStyle w:val="EYTableText"/>
            </w:pPr>
            <w:r w:rsidRPr="00C829A6">
              <w:t xml:space="preserve">Professor Jayme </w:t>
            </w:r>
            <w:proofErr w:type="spellStart"/>
            <w:r w:rsidRPr="00C829A6">
              <w:t>Bennetts</w:t>
            </w:r>
            <w:proofErr w:type="spellEnd"/>
          </w:p>
        </w:tc>
        <w:tc>
          <w:tcPr>
            <w:tcW w:w="1624" w:type="pct"/>
          </w:tcPr>
          <w:p w14:paraId="02EE8070" w14:textId="1D0ABE43" w:rsidR="00B86428" w:rsidRPr="00C829A6" w:rsidRDefault="00B86428" w:rsidP="00544133">
            <w:pPr>
              <w:pStyle w:val="EYTableText"/>
            </w:pPr>
            <w:r w:rsidRPr="00C829A6">
              <w:t>Chair</w:t>
            </w:r>
          </w:p>
        </w:tc>
      </w:tr>
      <w:tr w:rsidR="00B86428" w:rsidRPr="00D2484E" w14:paraId="111F2ADB" w14:textId="77777777" w:rsidTr="005A2FD1">
        <w:trPr>
          <w:trHeight w:val="20"/>
        </w:trPr>
        <w:tc>
          <w:tcPr>
            <w:tcW w:w="1335" w:type="pct"/>
            <w:noWrap/>
          </w:tcPr>
          <w:p w14:paraId="340B2A6E" w14:textId="50219613" w:rsidR="00B86428" w:rsidRPr="00C829A6" w:rsidRDefault="00B86428" w:rsidP="00544133">
            <w:pPr>
              <w:pStyle w:val="EYTableText"/>
            </w:pPr>
            <w:r w:rsidRPr="00C829A6">
              <w:t xml:space="preserve">Hip </w:t>
            </w:r>
          </w:p>
        </w:tc>
        <w:tc>
          <w:tcPr>
            <w:tcW w:w="2041" w:type="pct"/>
            <w:noWrap/>
          </w:tcPr>
          <w:p w14:paraId="2B67812C" w14:textId="30553C68" w:rsidR="00B86428" w:rsidRPr="00C829A6" w:rsidRDefault="00B86428" w:rsidP="00544133">
            <w:pPr>
              <w:pStyle w:val="EYTableText"/>
            </w:pPr>
            <w:r w:rsidRPr="00C829A6">
              <w:t>Professor Stephen Graves</w:t>
            </w:r>
          </w:p>
        </w:tc>
        <w:tc>
          <w:tcPr>
            <w:tcW w:w="1624" w:type="pct"/>
          </w:tcPr>
          <w:p w14:paraId="3CD34C34" w14:textId="4031DCB1" w:rsidR="00B86428" w:rsidRPr="00C829A6" w:rsidRDefault="00B86428" w:rsidP="00544133">
            <w:pPr>
              <w:pStyle w:val="EYTableText"/>
            </w:pPr>
            <w:r w:rsidRPr="00C829A6">
              <w:t>Chair</w:t>
            </w:r>
          </w:p>
        </w:tc>
      </w:tr>
      <w:tr w:rsidR="00B86428" w:rsidRPr="00D2484E" w14:paraId="1B509C7E" w14:textId="77777777" w:rsidTr="005A2FD1">
        <w:trPr>
          <w:trHeight w:val="20"/>
        </w:trPr>
        <w:tc>
          <w:tcPr>
            <w:tcW w:w="1335" w:type="pct"/>
            <w:noWrap/>
          </w:tcPr>
          <w:p w14:paraId="73BBBD5E" w14:textId="5CF578A1" w:rsidR="00B86428" w:rsidRPr="00C829A6" w:rsidRDefault="00B86428" w:rsidP="00544133">
            <w:pPr>
              <w:pStyle w:val="EYTableText"/>
            </w:pPr>
            <w:r w:rsidRPr="00C829A6">
              <w:t xml:space="preserve">Ophthalmic </w:t>
            </w:r>
          </w:p>
        </w:tc>
        <w:tc>
          <w:tcPr>
            <w:tcW w:w="2041" w:type="pct"/>
            <w:noWrap/>
          </w:tcPr>
          <w:p w14:paraId="045CA6A1" w14:textId="50FB3ADF" w:rsidR="00B86428" w:rsidRPr="00C829A6" w:rsidRDefault="00B86428" w:rsidP="00544133">
            <w:pPr>
              <w:pStyle w:val="EYTableText"/>
            </w:pPr>
            <w:r w:rsidRPr="00C829A6">
              <w:t xml:space="preserve">Dr Con </w:t>
            </w:r>
            <w:proofErr w:type="spellStart"/>
            <w:r w:rsidRPr="00C829A6">
              <w:t>Moshegov</w:t>
            </w:r>
            <w:proofErr w:type="spellEnd"/>
          </w:p>
        </w:tc>
        <w:tc>
          <w:tcPr>
            <w:tcW w:w="1624" w:type="pct"/>
          </w:tcPr>
          <w:p w14:paraId="71711C1E" w14:textId="53EC4FA9" w:rsidR="00B86428" w:rsidRPr="00C829A6" w:rsidRDefault="00B86428" w:rsidP="00544133">
            <w:pPr>
              <w:pStyle w:val="EYTableText"/>
            </w:pPr>
            <w:r w:rsidRPr="00C829A6">
              <w:t>Chair</w:t>
            </w:r>
          </w:p>
        </w:tc>
      </w:tr>
      <w:tr w:rsidR="00B86428" w:rsidRPr="00D2484E" w14:paraId="35C927B7" w14:textId="77777777" w:rsidTr="005A2FD1">
        <w:trPr>
          <w:trHeight w:val="20"/>
        </w:trPr>
        <w:tc>
          <w:tcPr>
            <w:tcW w:w="1335" w:type="pct"/>
            <w:noWrap/>
          </w:tcPr>
          <w:p w14:paraId="7E904F55" w14:textId="33872BB9" w:rsidR="00B86428" w:rsidRPr="00C829A6" w:rsidRDefault="00B86428" w:rsidP="00544133">
            <w:pPr>
              <w:pStyle w:val="EYTableText"/>
            </w:pPr>
            <w:r w:rsidRPr="00C829A6">
              <w:t>Specialist</w:t>
            </w:r>
          </w:p>
        </w:tc>
        <w:tc>
          <w:tcPr>
            <w:tcW w:w="2041" w:type="pct"/>
            <w:noWrap/>
          </w:tcPr>
          <w:p w14:paraId="01406D9D" w14:textId="510E55BA" w:rsidR="00B86428" w:rsidRPr="00C829A6" w:rsidRDefault="00B86428" w:rsidP="00544133">
            <w:pPr>
              <w:pStyle w:val="EYTableText"/>
            </w:pPr>
            <w:r w:rsidRPr="00C829A6">
              <w:t>Dr David Gill</w:t>
            </w:r>
          </w:p>
        </w:tc>
        <w:tc>
          <w:tcPr>
            <w:tcW w:w="1624" w:type="pct"/>
          </w:tcPr>
          <w:p w14:paraId="1FB9CBB8" w14:textId="2BB8ECAC" w:rsidR="00B86428" w:rsidRPr="00C829A6" w:rsidRDefault="00B86428" w:rsidP="00544133">
            <w:pPr>
              <w:pStyle w:val="EYTableText"/>
            </w:pPr>
            <w:r w:rsidRPr="00C829A6">
              <w:t>Chair</w:t>
            </w:r>
          </w:p>
        </w:tc>
      </w:tr>
      <w:tr w:rsidR="00B86428" w:rsidRPr="00D2484E" w14:paraId="419D228C" w14:textId="77777777" w:rsidTr="005A2FD1">
        <w:trPr>
          <w:trHeight w:val="20"/>
        </w:trPr>
        <w:tc>
          <w:tcPr>
            <w:tcW w:w="1335" w:type="pct"/>
            <w:noWrap/>
          </w:tcPr>
          <w:p w14:paraId="01055C9B" w14:textId="63A5235C" w:rsidR="00B86428" w:rsidRPr="00C829A6" w:rsidRDefault="00B86428" w:rsidP="00544133">
            <w:pPr>
              <w:pStyle w:val="EYTableText"/>
            </w:pPr>
            <w:r w:rsidRPr="00C829A6">
              <w:t xml:space="preserve">Spinal </w:t>
            </w:r>
          </w:p>
        </w:tc>
        <w:tc>
          <w:tcPr>
            <w:tcW w:w="2041" w:type="pct"/>
            <w:noWrap/>
          </w:tcPr>
          <w:p w14:paraId="45BE5C42" w14:textId="2DFB9CCF" w:rsidR="00B86428" w:rsidRPr="00C829A6" w:rsidRDefault="00B86428" w:rsidP="00544133">
            <w:pPr>
              <w:pStyle w:val="EYTableText"/>
            </w:pPr>
            <w:r w:rsidRPr="00C829A6">
              <w:t xml:space="preserve">Dr </w:t>
            </w:r>
            <w:proofErr w:type="spellStart"/>
            <w:r w:rsidRPr="00C829A6">
              <w:t>Orso</w:t>
            </w:r>
            <w:proofErr w:type="spellEnd"/>
            <w:r w:rsidRPr="00C829A6">
              <w:t xml:space="preserve"> </w:t>
            </w:r>
            <w:proofErr w:type="spellStart"/>
            <w:r w:rsidRPr="00C829A6">
              <w:t>Osti</w:t>
            </w:r>
            <w:proofErr w:type="spellEnd"/>
          </w:p>
        </w:tc>
        <w:tc>
          <w:tcPr>
            <w:tcW w:w="1624" w:type="pct"/>
          </w:tcPr>
          <w:p w14:paraId="32E6216D" w14:textId="705C59FF" w:rsidR="00B86428" w:rsidRPr="00C829A6" w:rsidRDefault="00B86428" w:rsidP="00544133">
            <w:pPr>
              <w:pStyle w:val="EYTableText"/>
            </w:pPr>
            <w:r w:rsidRPr="00C829A6">
              <w:t>Chair</w:t>
            </w:r>
          </w:p>
        </w:tc>
      </w:tr>
      <w:tr w:rsidR="00B86428" w:rsidRPr="00D2484E" w14:paraId="4997996D" w14:textId="77777777" w:rsidTr="005A2FD1">
        <w:trPr>
          <w:trHeight w:val="20"/>
        </w:trPr>
        <w:tc>
          <w:tcPr>
            <w:tcW w:w="1335" w:type="pct"/>
            <w:noWrap/>
          </w:tcPr>
          <w:p w14:paraId="4443276E" w14:textId="514A6161" w:rsidR="00B86428" w:rsidRPr="00C829A6" w:rsidRDefault="00B86428" w:rsidP="00544133">
            <w:pPr>
              <w:pStyle w:val="EYTableText"/>
            </w:pPr>
            <w:r w:rsidRPr="00C829A6">
              <w:t xml:space="preserve">Vascular </w:t>
            </w:r>
          </w:p>
        </w:tc>
        <w:tc>
          <w:tcPr>
            <w:tcW w:w="2041" w:type="pct"/>
            <w:noWrap/>
          </w:tcPr>
          <w:p w14:paraId="5F4C873E" w14:textId="28BB7BAE" w:rsidR="00B86428" w:rsidRPr="00C829A6" w:rsidRDefault="00B86428" w:rsidP="00544133">
            <w:pPr>
              <w:pStyle w:val="EYTableText"/>
            </w:pPr>
            <w:r w:rsidRPr="00C829A6">
              <w:t xml:space="preserve">Dr Peter </w:t>
            </w:r>
            <w:proofErr w:type="spellStart"/>
            <w:r w:rsidRPr="00C829A6">
              <w:t>Thursby</w:t>
            </w:r>
            <w:proofErr w:type="spellEnd"/>
            <w:r w:rsidRPr="00C829A6">
              <w:t xml:space="preserve"> OAM</w:t>
            </w:r>
          </w:p>
        </w:tc>
        <w:tc>
          <w:tcPr>
            <w:tcW w:w="1624" w:type="pct"/>
          </w:tcPr>
          <w:p w14:paraId="15ED3F06" w14:textId="21F591D6" w:rsidR="00B86428" w:rsidRPr="00C829A6" w:rsidRDefault="00B86428" w:rsidP="00544133">
            <w:pPr>
              <w:pStyle w:val="EYTableText"/>
            </w:pPr>
            <w:r w:rsidRPr="00C829A6">
              <w:t>Chair</w:t>
            </w:r>
          </w:p>
        </w:tc>
      </w:tr>
      <w:tr w:rsidR="006F03E0" w:rsidRPr="00D2484E" w14:paraId="325FB096" w14:textId="77777777" w:rsidTr="005E2C10">
        <w:trPr>
          <w:trHeight w:val="20"/>
        </w:trPr>
        <w:tc>
          <w:tcPr>
            <w:tcW w:w="5000" w:type="pct"/>
            <w:gridSpan w:val="3"/>
            <w:shd w:val="clear" w:color="auto" w:fill="F2F2F2" w:themeFill="background1" w:themeFillShade="F2"/>
            <w:noWrap/>
          </w:tcPr>
          <w:p w14:paraId="23B358BB" w14:textId="093F127F" w:rsidR="006F03E0" w:rsidRPr="00C829A6" w:rsidRDefault="006F03E0" w:rsidP="00544133">
            <w:pPr>
              <w:pStyle w:val="EYTableText"/>
            </w:pPr>
            <w:r w:rsidRPr="00C829A6">
              <w:t>Panel of Clinical Experts</w:t>
            </w:r>
          </w:p>
        </w:tc>
      </w:tr>
      <w:tr w:rsidR="006F03E0" w:rsidRPr="00D2484E" w14:paraId="2A0C48AE" w14:textId="77777777" w:rsidTr="005A2FD1">
        <w:trPr>
          <w:trHeight w:val="20"/>
        </w:trPr>
        <w:tc>
          <w:tcPr>
            <w:tcW w:w="1335" w:type="pct"/>
            <w:noWrap/>
          </w:tcPr>
          <w:p w14:paraId="2B011DEB" w14:textId="0E8BEC3C" w:rsidR="006F03E0" w:rsidRPr="00C829A6" w:rsidRDefault="00627A39" w:rsidP="00544133">
            <w:pPr>
              <w:pStyle w:val="EYTableText"/>
            </w:pPr>
            <w:r w:rsidRPr="00C829A6">
              <w:t xml:space="preserve">Ear, Nose &amp; Throat </w:t>
            </w:r>
          </w:p>
        </w:tc>
        <w:tc>
          <w:tcPr>
            <w:tcW w:w="2041" w:type="pct"/>
            <w:noWrap/>
          </w:tcPr>
          <w:p w14:paraId="64E57C76" w14:textId="3CFB5D25" w:rsidR="006F03E0" w:rsidRPr="00C829A6" w:rsidRDefault="001F4727" w:rsidP="00544133">
            <w:pPr>
              <w:pStyle w:val="EYTableText"/>
            </w:pPr>
            <w:r w:rsidRPr="00C829A6">
              <w:t>Professor Stephen O'Leary</w:t>
            </w:r>
          </w:p>
        </w:tc>
        <w:tc>
          <w:tcPr>
            <w:tcW w:w="1624" w:type="pct"/>
          </w:tcPr>
          <w:p w14:paraId="52E4AEA1" w14:textId="184026AB" w:rsidR="006F03E0" w:rsidRPr="00C829A6" w:rsidRDefault="00627A39" w:rsidP="00544133">
            <w:pPr>
              <w:pStyle w:val="EYTableText"/>
            </w:pPr>
            <w:r w:rsidRPr="00C829A6">
              <w:t xml:space="preserve">Panellist </w:t>
            </w:r>
          </w:p>
        </w:tc>
      </w:tr>
      <w:tr w:rsidR="00627A39" w:rsidRPr="00D2484E" w14:paraId="5A6AFA33" w14:textId="77777777" w:rsidTr="005A2FD1">
        <w:trPr>
          <w:trHeight w:val="20"/>
        </w:trPr>
        <w:tc>
          <w:tcPr>
            <w:tcW w:w="1335" w:type="pct"/>
            <w:noWrap/>
          </w:tcPr>
          <w:p w14:paraId="344D0E28" w14:textId="28F278F7" w:rsidR="00627A39" w:rsidRPr="00C829A6" w:rsidRDefault="00627A39" w:rsidP="00544133">
            <w:pPr>
              <w:pStyle w:val="EYTableText"/>
            </w:pPr>
            <w:r w:rsidRPr="00C829A6">
              <w:t xml:space="preserve">Plastic &amp; Reconstructive </w:t>
            </w:r>
          </w:p>
        </w:tc>
        <w:tc>
          <w:tcPr>
            <w:tcW w:w="2041" w:type="pct"/>
            <w:noWrap/>
          </w:tcPr>
          <w:p w14:paraId="0B24F14C" w14:textId="0508B3B7" w:rsidR="00627A39" w:rsidRPr="00C829A6" w:rsidRDefault="00627A39" w:rsidP="00544133">
            <w:pPr>
              <w:pStyle w:val="EYTableText"/>
            </w:pPr>
            <w:r w:rsidRPr="00C829A6">
              <w:t>Dr Gillian Farrell</w:t>
            </w:r>
          </w:p>
        </w:tc>
        <w:tc>
          <w:tcPr>
            <w:tcW w:w="1624" w:type="pct"/>
          </w:tcPr>
          <w:p w14:paraId="23499F24" w14:textId="2ED4ABAC" w:rsidR="00627A39" w:rsidRPr="00C829A6" w:rsidRDefault="00B86428" w:rsidP="00544133">
            <w:pPr>
              <w:pStyle w:val="EYTableText"/>
            </w:pPr>
            <w:r w:rsidRPr="00C829A6">
              <w:t>Panellist</w:t>
            </w:r>
          </w:p>
        </w:tc>
      </w:tr>
      <w:tr w:rsidR="00627A39" w:rsidRPr="00D2484E" w14:paraId="0F9FC5A0" w14:textId="77777777" w:rsidTr="005A2FD1">
        <w:trPr>
          <w:trHeight w:val="20"/>
        </w:trPr>
        <w:tc>
          <w:tcPr>
            <w:tcW w:w="1335" w:type="pct"/>
            <w:noWrap/>
          </w:tcPr>
          <w:p w14:paraId="550D535D" w14:textId="791753EC" w:rsidR="00627A39" w:rsidRPr="00C829A6" w:rsidRDefault="00627A39" w:rsidP="00544133">
            <w:pPr>
              <w:pStyle w:val="EYTableText"/>
            </w:pPr>
            <w:r w:rsidRPr="00C829A6">
              <w:t xml:space="preserve">Neurosurgical </w:t>
            </w:r>
          </w:p>
        </w:tc>
        <w:tc>
          <w:tcPr>
            <w:tcW w:w="2041" w:type="pct"/>
            <w:noWrap/>
          </w:tcPr>
          <w:p w14:paraId="7B43F2A5" w14:textId="39E3321F" w:rsidR="00627A39" w:rsidRPr="00C829A6" w:rsidRDefault="00627A39" w:rsidP="00544133">
            <w:pPr>
              <w:pStyle w:val="EYTableText"/>
            </w:pPr>
            <w:r w:rsidRPr="00C829A6">
              <w:t>Dr Patrick Lo</w:t>
            </w:r>
          </w:p>
        </w:tc>
        <w:tc>
          <w:tcPr>
            <w:tcW w:w="1624" w:type="pct"/>
          </w:tcPr>
          <w:p w14:paraId="78C0984D" w14:textId="151A9444" w:rsidR="00627A39" w:rsidRPr="00C829A6" w:rsidRDefault="00B86428" w:rsidP="00544133">
            <w:pPr>
              <w:pStyle w:val="EYTableText"/>
            </w:pPr>
            <w:r w:rsidRPr="00C829A6">
              <w:t>Panellist</w:t>
            </w:r>
          </w:p>
        </w:tc>
      </w:tr>
      <w:tr w:rsidR="006950F6" w:rsidRPr="00D2484E" w14:paraId="426BB98C" w14:textId="77777777" w:rsidTr="005A2FD1">
        <w:trPr>
          <w:trHeight w:val="20"/>
        </w:trPr>
        <w:tc>
          <w:tcPr>
            <w:tcW w:w="5000" w:type="pct"/>
            <w:gridSpan w:val="3"/>
            <w:shd w:val="clear" w:color="auto" w:fill="F2F2F2" w:themeFill="background1" w:themeFillShade="F2"/>
            <w:noWrap/>
          </w:tcPr>
          <w:p w14:paraId="307638BF" w14:textId="79432D97" w:rsidR="006950F6" w:rsidRPr="00D2484E" w:rsidRDefault="006950F6" w:rsidP="00544133">
            <w:pPr>
              <w:pStyle w:val="EYTableText"/>
              <w:rPr>
                <w:lang w:eastAsia="en-AU"/>
              </w:rPr>
            </w:pPr>
            <w:r w:rsidRPr="00D2484E">
              <w:rPr>
                <w:lang w:eastAsia="en-AU"/>
              </w:rPr>
              <w:t>Government committees and agencies</w:t>
            </w:r>
          </w:p>
        </w:tc>
      </w:tr>
      <w:tr w:rsidR="009C0DAD" w:rsidRPr="00D2484E" w14:paraId="1519D224" w14:textId="196B63FD" w:rsidTr="005A2FD1">
        <w:trPr>
          <w:trHeight w:val="20"/>
        </w:trPr>
        <w:tc>
          <w:tcPr>
            <w:tcW w:w="1335" w:type="pct"/>
            <w:noWrap/>
            <w:hideMark/>
          </w:tcPr>
          <w:p w14:paraId="09E4084B" w14:textId="77777777" w:rsidR="006950F6" w:rsidRPr="00D2484E" w:rsidRDefault="006950F6" w:rsidP="00544133">
            <w:pPr>
              <w:pStyle w:val="EYTableText"/>
              <w:rPr>
                <w:lang w:eastAsia="en-AU"/>
              </w:rPr>
            </w:pPr>
            <w:r w:rsidRPr="00D2484E">
              <w:rPr>
                <w:lang w:eastAsia="en-AU"/>
              </w:rPr>
              <w:t>Therapeutic Goods Administration</w:t>
            </w:r>
          </w:p>
        </w:tc>
        <w:tc>
          <w:tcPr>
            <w:tcW w:w="2041" w:type="pct"/>
            <w:noWrap/>
            <w:hideMark/>
          </w:tcPr>
          <w:p w14:paraId="0C1ECFE2" w14:textId="77777777" w:rsidR="006950F6" w:rsidRPr="00D2484E" w:rsidRDefault="006950F6" w:rsidP="00544133">
            <w:pPr>
              <w:pStyle w:val="EYTableText"/>
              <w:rPr>
                <w:lang w:eastAsia="en-AU"/>
              </w:rPr>
            </w:pPr>
            <w:r w:rsidRPr="00D2484E">
              <w:rPr>
                <w:lang w:eastAsia="en-AU"/>
              </w:rPr>
              <w:t>Tracey Duffy</w:t>
            </w:r>
          </w:p>
        </w:tc>
        <w:tc>
          <w:tcPr>
            <w:tcW w:w="1624" w:type="pct"/>
          </w:tcPr>
          <w:p w14:paraId="47E78DA4" w14:textId="6F70B2DC" w:rsidR="006950F6" w:rsidRPr="00D2484E" w:rsidRDefault="005806A7" w:rsidP="00544133">
            <w:pPr>
              <w:pStyle w:val="EYTableText"/>
              <w:rPr>
                <w:lang w:eastAsia="en-AU"/>
              </w:rPr>
            </w:pPr>
            <w:r w:rsidRPr="00D2484E">
              <w:rPr>
                <w:lang w:eastAsia="en-AU"/>
              </w:rPr>
              <w:t>First Assistant Secretary, Medical Devices and Product Quality Division</w:t>
            </w:r>
          </w:p>
        </w:tc>
      </w:tr>
      <w:tr w:rsidR="009C0DAD" w:rsidRPr="00D2484E" w14:paraId="524745AC" w14:textId="72654748" w:rsidTr="005A2FD1">
        <w:trPr>
          <w:trHeight w:val="20"/>
        </w:trPr>
        <w:tc>
          <w:tcPr>
            <w:tcW w:w="1335" w:type="pct"/>
            <w:noWrap/>
          </w:tcPr>
          <w:p w14:paraId="4ACCA1F7" w14:textId="0E612521" w:rsidR="006950F6" w:rsidRPr="00D2484E" w:rsidRDefault="006950F6" w:rsidP="00544133">
            <w:pPr>
              <w:pStyle w:val="EYTableText"/>
              <w:rPr>
                <w:lang w:eastAsia="en-AU"/>
              </w:rPr>
            </w:pPr>
            <w:r w:rsidRPr="00D2484E">
              <w:rPr>
                <w:lang w:eastAsia="en-AU"/>
              </w:rPr>
              <w:t>Pharmaceutical Benefits Advisory Committee</w:t>
            </w:r>
          </w:p>
        </w:tc>
        <w:tc>
          <w:tcPr>
            <w:tcW w:w="2041" w:type="pct"/>
            <w:noWrap/>
          </w:tcPr>
          <w:p w14:paraId="276E6C8E" w14:textId="3FDA2107" w:rsidR="006950F6" w:rsidRPr="00D2484E" w:rsidRDefault="006950F6" w:rsidP="00544133">
            <w:pPr>
              <w:pStyle w:val="EYTableText"/>
              <w:rPr>
                <w:lang w:eastAsia="en-AU"/>
              </w:rPr>
            </w:pPr>
            <w:r w:rsidRPr="00D2484E">
              <w:rPr>
                <w:lang w:eastAsia="en-AU"/>
              </w:rPr>
              <w:t>Professor Andrew Wilson</w:t>
            </w:r>
          </w:p>
        </w:tc>
        <w:tc>
          <w:tcPr>
            <w:tcW w:w="1624" w:type="pct"/>
          </w:tcPr>
          <w:p w14:paraId="326C9150" w14:textId="4106FDBE" w:rsidR="006950F6" w:rsidRPr="00D2484E" w:rsidRDefault="005806A7" w:rsidP="00544133">
            <w:pPr>
              <w:pStyle w:val="EYTableText"/>
              <w:rPr>
                <w:lang w:eastAsia="en-AU"/>
              </w:rPr>
            </w:pPr>
            <w:r w:rsidRPr="00D2484E">
              <w:rPr>
                <w:lang w:eastAsia="en-AU"/>
              </w:rPr>
              <w:t>Chair</w:t>
            </w:r>
          </w:p>
        </w:tc>
      </w:tr>
      <w:tr w:rsidR="009C0DAD" w:rsidRPr="00D2484E" w14:paraId="39E6E674" w14:textId="4DFD8556" w:rsidTr="005A2FD1">
        <w:trPr>
          <w:trHeight w:val="20"/>
        </w:trPr>
        <w:tc>
          <w:tcPr>
            <w:tcW w:w="1335" w:type="pct"/>
            <w:noWrap/>
          </w:tcPr>
          <w:p w14:paraId="1348B945" w14:textId="2E31F2AB" w:rsidR="006950F6" w:rsidRPr="00D2484E" w:rsidRDefault="006950F6" w:rsidP="00544133">
            <w:pPr>
              <w:pStyle w:val="EYTableText"/>
              <w:rPr>
                <w:lang w:eastAsia="en-AU"/>
              </w:rPr>
            </w:pPr>
            <w:r w:rsidRPr="00D2484E">
              <w:rPr>
                <w:lang w:eastAsia="en-AU"/>
              </w:rPr>
              <w:t>Medical Services Advisory Committee </w:t>
            </w:r>
          </w:p>
        </w:tc>
        <w:tc>
          <w:tcPr>
            <w:tcW w:w="2041" w:type="pct"/>
            <w:noWrap/>
          </w:tcPr>
          <w:p w14:paraId="67F8411D" w14:textId="4D375DE4" w:rsidR="006950F6" w:rsidRPr="00D2484E" w:rsidRDefault="006950F6" w:rsidP="00544133">
            <w:pPr>
              <w:pStyle w:val="EYTableText"/>
              <w:rPr>
                <w:lang w:eastAsia="en-AU"/>
              </w:rPr>
            </w:pPr>
            <w:r w:rsidRPr="00D2484E">
              <w:rPr>
                <w:lang w:eastAsia="en-AU"/>
              </w:rPr>
              <w:t>Professor Robyn Ward</w:t>
            </w:r>
          </w:p>
        </w:tc>
        <w:tc>
          <w:tcPr>
            <w:tcW w:w="1624" w:type="pct"/>
          </w:tcPr>
          <w:p w14:paraId="11F12516" w14:textId="01D1F2AC" w:rsidR="006950F6" w:rsidRPr="00D2484E" w:rsidRDefault="00C14423" w:rsidP="00544133">
            <w:pPr>
              <w:pStyle w:val="EYTableText"/>
              <w:rPr>
                <w:lang w:eastAsia="en-AU"/>
              </w:rPr>
            </w:pPr>
            <w:r w:rsidRPr="00D2484E">
              <w:rPr>
                <w:lang w:eastAsia="en-AU"/>
              </w:rPr>
              <w:t>Chair</w:t>
            </w:r>
          </w:p>
        </w:tc>
      </w:tr>
      <w:tr w:rsidR="009C0DAD" w:rsidRPr="00D2484E" w14:paraId="0089FB7D" w14:textId="0EB61843" w:rsidTr="005A2FD1">
        <w:trPr>
          <w:trHeight w:val="20"/>
        </w:trPr>
        <w:tc>
          <w:tcPr>
            <w:tcW w:w="1335" w:type="pct"/>
            <w:vMerge w:val="restart"/>
            <w:noWrap/>
          </w:tcPr>
          <w:p w14:paraId="2E4A1157" w14:textId="6A4281C7" w:rsidR="006950F6" w:rsidRPr="00D2484E" w:rsidRDefault="006950F6" w:rsidP="00544133">
            <w:pPr>
              <w:pStyle w:val="EYTableText"/>
              <w:rPr>
                <w:lang w:eastAsia="en-AU"/>
              </w:rPr>
            </w:pPr>
            <w:r w:rsidRPr="00D2484E">
              <w:rPr>
                <w:lang w:eastAsia="en-AU"/>
              </w:rPr>
              <w:t>Independent Hospital Pricing Authority</w:t>
            </w:r>
          </w:p>
        </w:tc>
        <w:tc>
          <w:tcPr>
            <w:tcW w:w="2041" w:type="pct"/>
            <w:noWrap/>
          </w:tcPr>
          <w:p w14:paraId="6A880DE5" w14:textId="1479ACA7" w:rsidR="006950F6" w:rsidRPr="00D2484E" w:rsidRDefault="006950F6" w:rsidP="00544133">
            <w:pPr>
              <w:pStyle w:val="EYTableText"/>
              <w:rPr>
                <w:lang w:eastAsia="en-AU"/>
              </w:rPr>
            </w:pPr>
            <w:r w:rsidRPr="00D2484E">
              <w:rPr>
                <w:lang w:eastAsia="en-AU"/>
              </w:rPr>
              <w:t>Joanne Fitzgerald</w:t>
            </w:r>
          </w:p>
        </w:tc>
        <w:tc>
          <w:tcPr>
            <w:tcW w:w="1624" w:type="pct"/>
          </w:tcPr>
          <w:p w14:paraId="7ACD871F" w14:textId="47C39E11" w:rsidR="006950F6" w:rsidRPr="00D2484E" w:rsidRDefault="00894E53" w:rsidP="00544133">
            <w:pPr>
              <w:pStyle w:val="EYTableText"/>
              <w:rPr>
                <w:lang w:eastAsia="en-AU"/>
              </w:rPr>
            </w:pPr>
            <w:r w:rsidRPr="00D2484E">
              <w:rPr>
                <w:lang w:eastAsia="en-AU"/>
              </w:rPr>
              <w:t>Executive Director of Hospital Policy and Classification</w:t>
            </w:r>
          </w:p>
        </w:tc>
      </w:tr>
      <w:tr w:rsidR="009C0DAD" w:rsidRPr="00D2484E" w14:paraId="6DEB0AAF" w14:textId="215E0F65" w:rsidTr="005A2FD1">
        <w:trPr>
          <w:trHeight w:val="20"/>
        </w:trPr>
        <w:tc>
          <w:tcPr>
            <w:tcW w:w="1335" w:type="pct"/>
            <w:vMerge/>
            <w:noWrap/>
          </w:tcPr>
          <w:p w14:paraId="48819019" w14:textId="77777777" w:rsidR="006950F6" w:rsidRPr="00D2484E" w:rsidRDefault="006950F6" w:rsidP="00544133">
            <w:pPr>
              <w:pStyle w:val="EYTableText"/>
              <w:rPr>
                <w:lang w:eastAsia="en-AU"/>
              </w:rPr>
            </w:pPr>
          </w:p>
        </w:tc>
        <w:tc>
          <w:tcPr>
            <w:tcW w:w="2041" w:type="pct"/>
            <w:noWrap/>
          </w:tcPr>
          <w:p w14:paraId="2D81F6EF" w14:textId="1AE131BA" w:rsidR="006950F6" w:rsidRPr="00D2484E" w:rsidRDefault="006950F6" w:rsidP="00544133">
            <w:pPr>
              <w:pStyle w:val="EYTableText"/>
              <w:rPr>
                <w:lang w:eastAsia="en-AU"/>
              </w:rPr>
            </w:pPr>
            <w:r w:rsidRPr="00D2484E">
              <w:rPr>
                <w:lang w:eastAsia="en-AU"/>
              </w:rPr>
              <w:t xml:space="preserve">James </w:t>
            </w:r>
            <w:proofErr w:type="spellStart"/>
            <w:r w:rsidRPr="00D2484E">
              <w:rPr>
                <w:lang w:eastAsia="en-AU"/>
              </w:rPr>
              <w:t>Downie</w:t>
            </w:r>
            <w:proofErr w:type="spellEnd"/>
          </w:p>
        </w:tc>
        <w:tc>
          <w:tcPr>
            <w:tcW w:w="1624" w:type="pct"/>
          </w:tcPr>
          <w:p w14:paraId="30815575" w14:textId="1D31EEFE" w:rsidR="006950F6" w:rsidRPr="00D2484E" w:rsidRDefault="00894E53" w:rsidP="00544133">
            <w:pPr>
              <w:pStyle w:val="EYTableText"/>
              <w:rPr>
                <w:lang w:eastAsia="en-AU"/>
              </w:rPr>
            </w:pPr>
            <w:r w:rsidRPr="00D2484E">
              <w:rPr>
                <w:lang w:eastAsia="en-AU"/>
              </w:rPr>
              <w:t>Chief Executive Officer</w:t>
            </w:r>
            <w:r w:rsidR="00F761E3" w:rsidRPr="00D2484E">
              <w:rPr>
                <w:lang w:eastAsia="en-AU"/>
              </w:rPr>
              <w:t xml:space="preserve"> </w:t>
            </w:r>
          </w:p>
        </w:tc>
      </w:tr>
      <w:tr w:rsidR="00AB28CA" w:rsidRPr="00D2484E" w14:paraId="0FB68C58" w14:textId="3931A2C5" w:rsidTr="005A2FD1">
        <w:trPr>
          <w:trHeight w:val="20"/>
        </w:trPr>
        <w:tc>
          <w:tcPr>
            <w:tcW w:w="5000" w:type="pct"/>
            <w:gridSpan w:val="3"/>
            <w:shd w:val="clear" w:color="auto" w:fill="F2F2F2" w:themeFill="background1" w:themeFillShade="F2"/>
            <w:noWrap/>
          </w:tcPr>
          <w:p w14:paraId="403E3044" w14:textId="5F657578" w:rsidR="00AB28CA" w:rsidRPr="00D2484E" w:rsidRDefault="00AB28CA" w:rsidP="00544133">
            <w:pPr>
              <w:pStyle w:val="EYTableText"/>
              <w:rPr>
                <w:lang w:eastAsia="en-AU"/>
              </w:rPr>
            </w:pPr>
            <w:r w:rsidRPr="00D2484E">
              <w:rPr>
                <w:lang w:eastAsia="en-AU"/>
              </w:rPr>
              <w:t>Non-government organisations</w:t>
            </w:r>
          </w:p>
        </w:tc>
      </w:tr>
      <w:tr w:rsidR="009C0DAD" w:rsidRPr="00D2484E" w14:paraId="2C326731" w14:textId="69499264" w:rsidTr="005A2FD1">
        <w:trPr>
          <w:trHeight w:val="20"/>
        </w:trPr>
        <w:tc>
          <w:tcPr>
            <w:tcW w:w="1335" w:type="pct"/>
            <w:noWrap/>
            <w:hideMark/>
          </w:tcPr>
          <w:p w14:paraId="1A9F7C08" w14:textId="77777777" w:rsidR="006950F6" w:rsidRPr="00D2484E" w:rsidRDefault="006950F6" w:rsidP="00544133">
            <w:pPr>
              <w:pStyle w:val="EYTableText"/>
              <w:rPr>
                <w:lang w:eastAsia="en-AU"/>
              </w:rPr>
            </w:pPr>
            <w:r w:rsidRPr="00D2484E">
              <w:rPr>
                <w:lang w:eastAsia="en-AU"/>
              </w:rPr>
              <w:t>Consumer Health Forum of Australia</w:t>
            </w:r>
          </w:p>
        </w:tc>
        <w:tc>
          <w:tcPr>
            <w:tcW w:w="2041" w:type="pct"/>
            <w:noWrap/>
            <w:hideMark/>
          </w:tcPr>
          <w:p w14:paraId="73660749" w14:textId="77777777" w:rsidR="006950F6" w:rsidRPr="00D2484E" w:rsidRDefault="006950F6" w:rsidP="00544133">
            <w:pPr>
              <w:pStyle w:val="EYTableText"/>
              <w:rPr>
                <w:lang w:eastAsia="en-AU"/>
              </w:rPr>
            </w:pPr>
            <w:r w:rsidRPr="00D2484E">
              <w:rPr>
                <w:lang w:eastAsia="en-AU"/>
              </w:rPr>
              <w:t>Jo Root</w:t>
            </w:r>
          </w:p>
        </w:tc>
        <w:tc>
          <w:tcPr>
            <w:tcW w:w="1624" w:type="pct"/>
          </w:tcPr>
          <w:p w14:paraId="4681FB5E" w14:textId="627F3A45" w:rsidR="006950F6" w:rsidRPr="00D2484E" w:rsidRDefault="00194317" w:rsidP="00544133">
            <w:pPr>
              <w:pStyle w:val="EYTableText"/>
              <w:rPr>
                <w:lang w:eastAsia="en-AU"/>
              </w:rPr>
            </w:pPr>
            <w:r w:rsidRPr="00D2484E">
              <w:rPr>
                <w:lang w:eastAsia="en-AU"/>
              </w:rPr>
              <w:t>Policy Director</w:t>
            </w:r>
          </w:p>
        </w:tc>
      </w:tr>
      <w:tr w:rsidR="009C0DAD" w:rsidRPr="00D2484E" w14:paraId="2FE5C08C" w14:textId="227EEE0C" w:rsidTr="005A2FD1">
        <w:trPr>
          <w:trHeight w:val="20"/>
        </w:trPr>
        <w:tc>
          <w:tcPr>
            <w:tcW w:w="1335" w:type="pct"/>
            <w:noWrap/>
            <w:hideMark/>
          </w:tcPr>
          <w:p w14:paraId="24AD9D64" w14:textId="77777777" w:rsidR="006950F6" w:rsidRPr="00D2484E" w:rsidRDefault="006950F6" w:rsidP="00544133">
            <w:pPr>
              <w:pStyle w:val="EYTableText"/>
              <w:rPr>
                <w:lang w:eastAsia="en-AU"/>
              </w:rPr>
            </w:pPr>
            <w:r w:rsidRPr="00D2484E">
              <w:rPr>
                <w:lang w:eastAsia="en-AU"/>
              </w:rPr>
              <w:t>Medical Technology Association of Australia</w:t>
            </w:r>
          </w:p>
        </w:tc>
        <w:tc>
          <w:tcPr>
            <w:tcW w:w="2041" w:type="pct"/>
            <w:noWrap/>
            <w:hideMark/>
          </w:tcPr>
          <w:p w14:paraId="337BCFF5" w14:textId="615763B5" w:rsidR="006950F6" w:rsidRPr="00D2484E" w:rsidRDefault="006950F6" w:rsidP="00544133">
            <w:pPr>
              <w:pStyle w:val="EYTableText"/>
              <w:rPr>
                <w:lang w:eastAsia="en-AU"/>
              </w:rPr>
            </w:pPr>
            <w:r w:rsidRPr="00D2484E">
              <w:rPr>
                <w:lang w:eastAsia="en-AU"/>
              </w:rPr>
              <w:t>Paul Dale</w:t>
            </w:r>
            <w:r w:rsidR="00B90533" w:rsidRPr="00D2484E">
              <w:rPr>
                <w:lang w:eastAsia="en-AU"/>
              </w:rPr>
              <w:t>*</w:t>
            </w:r>
          </w:p>
        </w:tc>
        <w:tc>
          <w:tcPr>
            <w:tcW w:w="1624" w:type="pct"/>
          </w:tcPr>
          <w:p w14:paraId="7A7F01BF" w14:textId="5CF75BDF" w:rsidR="006950F6" w:rsidRPr="00D2484E" w:rsidRDefault="004327DD" w:rsidP="00544133">
            <w:pPr>
              <w:pStyle w:val="EYTableText"/>
              <w:rPr>
                <w:lang w:eastAsia="en-AU"/>
              </w:rPr>
            </w:pPr>
            <w:r w:rsidRPr="00D2484E">
              <w:rPr>
                <w:lang w:eastAsia="en-AU"/>
              </w:rPr>
              <w:t>Policy Director</w:t>
            </w:r>
          </w:p>
        </w:tc>
      </w:tr>
      <w:tr w:rsidR="009C0DAD" w:rsidRPr="00D2484E" w14:paraId="409505E6" w14:textId="1E81E8F8" w:rsidTr="005A2FD1">
        <w:trPr>
          <w:trHeight w:val="20"/>
        </w:trPr>
        <w:tc>
          <w:tcPr>
            <w:tcW w:w="1335" w:type="pct"/>
            <w:noWrap/>
          </w:tcPr>
          <w:p w14:paraId="1C188CD5" w14:textId="612F3617" w:rsidR="002E5F8A" w:rsidRPr="00D2484E" w:rsidRDefault="006950F6" w:rsidP="00544133">
            <w:pPr>
              <w:pStyle w:val="EYTableText"/>
              <w:rPr>
                <w:lang w:eastAsia="en-AU"/>
              </w:rPr>
            </w:pPr>
            <w:r w:rsidRPr="00D2484E">
              <w:rPr>
                <w:lang w:eastAsia="en-AU"/>
              </w:rPr>
              <w:t>Private Healthcare Australia</w:t>
            </w:r>
          </w:p>
        </w:tc>
        <w:tc>
          <w:tcPr>
            <w:tcW w:w="2041" w:type="pct"/>
            <w:noWrap/>
          </w:tcPr>
          <w:p w14:paraId="74DF9647" w14:textId="12A865D5" w:rsidR="006950F6" w:rsidRPr="00D2484E" w:rsidRDefault="006950F6" w:rsidP="00544133">
            <w:pPr>
              <w:pStyle w:val="EYTableText"/>
              <w:rPr>
                <w:lang w:eastAsia="en-AU"/>
              </w:rPr>
            </w:pPr>
            <w:r w:rsidRPr="00D2484E">
              <w:rPr>
                <w:lang w:eastAsia="en-AU"/>
              </w:rPr>
              <w:t>Ben Harris</w:t>
            </w:r>
            <w:r w:rsidR="00B90533" w:rsidRPr="00D2484E">
              <w:rPr>
                <w:lang w:eastAsia="en-AU"/>
              </w:rPr>
              <w:t>*</w:t>
            </w:r>
          </w:p>
        </w:tc>
        <w:tc>
          <w:tcPr>
            <w:tcW w:w="1624" w:type="pct"/>
          </w:tcPr>
          <w:p w14:paraId="78D329D6" w14:textId="6BDEE46F" w:rsidR="006950F6" w:rsidRPr="00D2484E" w:rsidRDefault="007D3735" w:rsidP="00544133">
            <w:pPr>
              <w:pStyle w:val="EYTableText"/>
              <w:rPr>
                <w:lang w:eastAsia="en-AU"/>
              </w:rPr>
            </w:pPr>
            <w:r w:rsidRPr="00D2484E">
              <w:rPr>
                <w:lang w:eastAsia="en-AU"/>
              </w:rPr>
              <w:t>Director Policy &amp; Research</w:t>
            </w:r>
          </w:p>
        </w:tc>
      </w:tr>
      <w:tr w:rsidR="00894E53" w:rsidRPr="00D2484E" w14:paraId="4009A18B" w14:textId="32FDC2E2" w:rsidTr="005A2FD1">
        <w:trPr>
          <w:trHeight w:val="20"/>
        </w:trPr>
        <w:tc>
          <w:tcPr>
            <w:tcW w:w="1335" w:type="pct"/>
            <w:vMerge w:val="restart"/>
            <w:noWrap/>
          </w:tcPr>
          <w:p w14:paraId="301015CF" w14:textId="31EECCA4" w:rsidR="00894E53" w:rsidRPr="00D2484E" w:rsidRDefault="00894E53" w:rsidP="00544133">
            <w:pPr>
              <w:pStyle w:val="EYTableText"/>
              <w:rPr>
                <w:lang w:eastAsia="en-AU"/>
              </w:rPr>
            </w:pPr>
            <w:r w:rsidRPr="00D2484E">
              <w:rPr>
                <w:lang w:eastAsia="en-AU"/>
              </w:rPr>
              <w:t>Members Health Fund Alliance</w:t>
            </w:r>
          </w:p>
        </w:tc>
        <w:tc>
          <w:tcPr>
            <w:tcW w:w="2041" w:type="pct"/>
            <w:noWrap/>
          </w:tcPr>
          <w:p w14:paraId="74216416" w14:textId="312D8C57" w:rsidR="00894E53" w:rsidRPr="00D2484E" w:rsidRDefault="00894E53" w:rsidP="00544133">
            <w:pPr>
              <w:pStyle w:val="EYTableText"/>
              <w:rPr>
                <w:lang w:eastAsia="en-AU"/>
              </w:rPr>
            </w:pPr>
            <w:r w:rsidRPr="00D2484E">
              <w:rPr>
                <w:lang w:eastAsia="en-AU"/>
              </w:rPr>
              <w:t xml:space="preserve">Matthew </w:t>
            </w:r>
            <w:proofErr w:type="spellStart"/>
            <w:r w:rsidRPr="00D2484E">
              <w:rPr>
                <w:lang w:eastAsia="en-AU"/>
              </w:rPr>
              <w:t>Koce</w:t>
            </w:r>
            <w:proofErr w:type="spellEnd"/>
            <w:r w:rsidRPr="00D2484E">
              <w:rPr>
                <w:lang w:eastAsia="en-AU"/>
              </w:rPr>
              <w:t xml:space="preserve"> </w:t>
            </w:r>
          </w:p>
        </w:tc>
        <w:tc>
          <w:tcPr>
            <w:tcW w:w="1624" w:type="pct"/>
          </w:tcPr>
          <w:p w14:paraId="4C2A16D1" w14:textId="1A525151" w:rsidR="00894E53" w:rsidRPr="00D2484E" w:rsidRDefault="00894E53" w:rsidP="00544133">
            <w:pPr>
              <w:pStyle w:val="EYTableText"/>
              <w:rPr>
                <w:lang w:eastAsia="en-AU"/>
              </w:rPr>
            </w:pPr>
            <w:r w:rsidRPr="00D2484E">
              <w:rPr>
                <w:lang w:eastAsia="en-AU"/>
              </w:rPr>
              <w:t xml:space="preserve">Chief Executive Officer </w:t>
            </w:r>
          </w:p>
        </w:tc>
      </w:tr>
      <w:tr w:rsidR="00AB28CA" w:rsidRPr="00D2484E" w14:paraId="265E7A1E" w14:textId="15BE13E9" w:rsidTr="005A2FD1">
        <w:trPr>
          <w:trHeight w:val="20"/>
        </w:trPr>
        <w:tc>
          <w:tcPr>
            <w:tcW w:w="1335" w:type="pct"/>
            <w:vMerge/>
            <w:noWrap/>
          </w:tcPr>
          <w:p w14:paraId="4C872D95" w14:textId="69D67312" w:rsidR="00AB28CA" w:rsidRPr="00D2484E" w:rsidRDefault="00AB28CA" w:rsidP="00544133">
            <w:pPr>
              <w:pStyle w:val="EYTableText"/>
              <w:rPr>
                <w:lang w:eastAsia="en-AU"/>
              </w:rPr>
            </w:pPr>
          </w:p>
        </w:tc>
        <w:tc>
          <w:tcPr>
            <w:tcW w:w="2041" w:type="pct"/>
            <w:noWrap/>
          </w:tcPr>
          <w:p w14:paraId="78EC9008" w14:textId="3B6DBA80" w:rsidR="00AB28CA" w:rsidRPr="00D2484E" w:rsidRDefault="00AB28CA" w:rsidP="00544133">
            <w:pPr>
              <w:pStyle w:val="EYTableText"/>
              <w:rPr>
                <w:lang w:eastAsia="en-AU"/>
              </w:rPr>
            </w:pPr>
            <w:r w:rsidRPr="00D2484E">
              <w:rPr>
                <w:lang w:eastAsia="en-AU"/>
              </w:rPr>
              <w:t xml:space="preserve">Dr </w:t>
            </w:r>
            <w:proofErr w:type="spellStart"/>
            <w:r w:rsidRPr="00D2484E">
              <w:rPr>
                <w:lang w:eastAsia="en-AU"/>
              </w:rPr>
              <w:t>Jui</w:t>
            </w:r>
            <w:proofErr w:type="spellEnd"/>
            <w:r w:rsidRPr="00D2484E">
              <w:rPr>
                <w:lang w:eastAsia="en-AU"/>
              </w:rPr>
              <w:t xml:space="preserve"> </w:t>
            </w:r>
            <w:proofErr w:type="spellStart"/>
            <w:r w:rsidRPr="00D2484E">
              <w:rPr>
                <w:lang w:eastAsia="en-AU"/>
              </w:rPr>
              <w:t>Tham</w:t>
            </w:r>
            <w:proofErr w:type="spellEnd"/>
          </w:p>
        </w:tc>
        <w:tc>
          <w:tcPr>
            <w:tcW w:w="1624" w:type="pct"/>
          </w:tcPr>
          <w:p w14:paraId="380E7FE0" w14:textId="1B0AE4C3" w:rsidR="00AB28CA" w:rsidRPr="00D2484E" w:rsidRDefault="002A7F99" w:rsidP="00544133">
            <w:pPr>
              <w:pStyle w:val="EYTableText"/>
              <w:rPr>
                <w:lang w:eastAsia="en-AU"/>
              </w:rPr>
            </w:pPr>
            <w:r w:rsidRPr="00D2484E">
              <w:rPr>
                <w:lang w:eastAsia="en-AU"/>
              </w:rPr>
              <w:t>Medical Officer, Strategy &amp; Development</w:t>
            </w:r>
          </w:p>
        </w:tc>
      </w:tr>
      <w:tr w:rsidR="00AB28CA" w:rsidRPr="00D2484E" w14:paraId="2F087CB5" w14:textId="0C251F04" w:rsidTr="005A2FD1">
        <w:trPr>
          <w:trHeight w:val="20"/>
        </w:trPr>
        <w:tc>
          <w:tcPr>
            <w:tcW w:w="1335" w:type="pct"/>
            <w:vMerge/>
            <w:noWrap/>
          </w:tcPr>
          <w:p w14:paraId="117FAA71" w14:textId="06DD8AD2" w:rsidR="00AB28CA" w:rsidRPr="00D2484E" w:rsidRDefault="00AB28CA" w:rsidP="00544133">
            <w:pPr>
              <w:pStyle w:val="EYTableText"/>
              <w:rPr>
                <w:lang w:eastAsia="en-AU"/>
              </w:rPr>
            </w:pPr>
          </w:p>
        </w:tc>
        <w:tc>
          <w:tcPr>
            <w:tcW w:w="2041" w:type="pct"/>
            <w:noWrap/>
          </w:tcPr>
          <w:p w14:paraId="69BA66D9" w14:textId="59EE8D53" w:rsidR="00AB28CA" w:rsidRPr="00D2484E" w:rsidRDefault="00AB28CA" w:rsidP="00544133">
            <w:pPr>
              <w:pStyle w:val="EYTableText"/>
              <w:rPr>
                <w:lang w:eastAsia="en-AU"/>
              </w:rPr>
            </w:pPr>
            <w:r w:rsidRPr="00D2484E">
              <w:rPr>
                <w:lang w:eastAsia="en-AU"/>
              </w:rPr>
              <w:t>Eddie Morton</w:t>
            </w:r>
          </w:p>
        </w:tc>
        <w:tc>
          <w:tcPr>
            <w:tcW w:w="1624" w:type="pct"/>
          </w:tcPr>
          <w:p w14:paraId="0723922E" w14:textId="5266BFE9" w:rsidR="00AB28CA" w:rsidRPr="00D2484E" w:rsidRDefault="00D666FB" w:rsidP="00544133">
            <w:pPr>
              <w:pStyle w:val="EYTableText"/>
              <w:rPr>
                <w:lang w:eastAsia="en-AU"/>
              </w:rPr>
            </w:pPr>
            <w:r w:rsidRPr="00D2484E">
              <w:rPr>
                <w:lang w:eastAsia="en-AU"/>
              </w:rPr>
              <w:t>N/A</w:t>
            </w:r>
          </w:p>
        </w:tc>
      </w:tr>
      <w:tr w:rsidR="00894E53" w:rsidRPr="00D2484E" w14:paraId="35976A35" w14:textId="77777777" w:rsidTr="005A2FD1">
        <w:trPr>
          <w:trHeight w:val="20"/>
        </w:trPr>
        <w:tc>
          <w:tcPr>
            <w:tcW w:w="1335" w:type="pct"/>
            <w:vMerge w:val="restart"/>
            <w:noWrap/>
          </w:tcPr>
          <w:p w14:paraId="68344261" w14:textId="53F56DC5" w:rsidR="00894E53" w:rsidRPr="00D2484E" w:rsidRDefault="00894E53" w:rsidP="00544133">
            <w:pPr>
              <w:pStyle w:val="EYTableText"/>
              <w:rPr>
                <w:lang w:eastAsia="en-AU"/>
              </w:rPr>
            </w:pPr>
            <w:r w:rsidRPr="00D2484E">
              <w:rPr>
                <w:lang w:eastAsia="en-AU"/>
              </w:rPr>
              <w:t>Day Hospitals</w:t>
            </w:r>
          </w:p>
        </w:tc>
        <w:tc>
          <w:tcPr>
            <w:tcW w:w="2041" w:type="pct"/>
            <w:noWrap/>
          </w:tcPr>
          <w:p w14:paraId="37E364DF" w14:textId="0980F197" w:rsidR="00894E53" w:rsidRPr="00D2484E" w:rsidRDefault="00894E53" w:rsidP="00544133">
            <w:pPr>
              <w:pStyle w:val="EYTableText"/>
              <w:rPr>
                <w:lang w:eastAsia="en-AU"/>
              </w:rPr>
            </w:pPr>
            <w:r w:rsidRPr="00D2484E">
              <w:rPr>
                <w:lang w:eastAsia="en-AU"/>
              </w:rPr>
              <w:t>Jane Griffiths</w:t>
            </w:r>
          </w:p>
        </w:tc>
        <w:tc>
          <w:tcPr>
            <w:tcW w:w="1624" w:type="pct"/>
          </w:tcPr>
          <w:p w14:paraId="29A18C7D" w14:textId="53DD6ADD" w:rsidR="00894E53" w:rsidRPr="00D2484E" w:rsidRDefault="00894E53" w:rsidP="00544133">
            <w:pPr>
              <w:pStyle w:val="EYTableText"/>
              <w:rPr>
                <w:lang w:eastAsia="en-AU"/>
              </w:rPr>
            </w:pPr>
            <w:r w:rsidRPr="00D2484E">
              <w:rPr>
                <w:lang w:eastAsia="en-AU"/>
              </w:rPr>
              <w:t xml:space="preserve">Chief Executive Officer </w:t>
            </w:r>
          </w:p>
        </w:tc>
      </w:tr>
      <w:tr w:rsidR="002D2A42" w:rsidRPr="00D2484E" w14:paraId="28796F6A" w14:textId="77777777" w:rsidTr="005A2FD1">
        <w:trPr>
          <w:trHeight w:val="20"/>
        </w:trPr>
        <w:tc>
          <w:tcPr>
            <w:tcW w:w="1335" w:type="pct"/>
            <w:vMerge/>
            <w:noWrap/>
          </w:tcPr>
          <w:p w14:paraId="0CD24215" w14:textId="77777777" w:rsidR="002D2A42" w:rsidRPr="00D2484E" w:rsidRDefault="002D2A42" w:rsidP="00544133">
            <w:pPr>
              <w:pStyle w:val="EYTableText"/>
              <w:rPr>
                <w:lang w:eastAsia="en-AU"/>
              </w:rPr>
            </w:pPr>
          </w:p>
        </w:tc>
        <w:tc>
          <w:tcPr>
            <w:tcW w:w="2041" w:type="pct"/>
            <w:noWrap/>
          </w:tcPr>
          <w:p w14:paraId="793DD666" w14:textId="2F595F43" w:rsidR="002D2A42" w:rsidRPr="00D2484E" w:rsidRDefault="002D2A42" w:rsidP="00544133">
            <w:pPr>
              <w:pStyle w:val="EYTableText"/>
              <w:rPr>
                <w:lang w:eastAsia="en-AU"/>
              </w:rPr>
            </w:pPr>
            <w:r w:rsidRPr="00D2484E">
              <w:rPr>
                <w:lang w:eastAsia="en-AU"/>
              </w:rPr>
              <w:t>Gabby Moreland</w:t>
            </w:r>
            <w:r w:rsidR="00B90533" w:rsidRPr="00D2484E">
              <w:rPr>
                <w:lang w:eastAsia="en-AU"/>
              </w:rPr>
              <w:t>*</w:t>
            </w:r>
          </w:p>
        </w:tc>
        <w:tc>
          <w:tcPr>
            <w:tcW w:w="1624" w:type="pct"/>
          </w:tcPr>
          <w:p w14:paraId="5456FECA" w14:textId="30D04FB6" w:rsidR="002D2A42" w:rsidRPr="00D2484E" w:rsidRDefault="00765380" w:rsidP="00544133">
            <w:pPr>
              <w:pStyle w:val="EYTableText"/>
              <w:rPr>
                <w:lang w:eastAsia="en-AU"/>
              </w:rPr>
            </w:pPr>
            <w:r w:rsidRPr="00D2484E">
              <w:rPr>
                <w:lang w:eastAsia="en-AU"/>
              </w:rPr>
              <w:t>ACT Member Director</w:t>
            </w:r>
          </w:p>
        </w:tc>
      </w:tr>
      <w:tr w:rsidR="002D2A42" w:rsidRPr="00D2484E" w14:paraId="014A13AC" w14:textId="77777777" w:rsidTr="005A2FD1">
        <w:trPr>
          <w:trHeight w:val="20"/>
        </w:trPr>
        <w:tc>
          <w:tcPr>
            <w:tcW w:w="1335" w:type="pct"/>
            <w:vMerge w:val="restart"/>
            <w:noWrap/>
          </w:tcPr>
          <w:p w14:paraId="32E31C59" w14:textId="2E0CBA7B" w:rsidR="002D2A42" w:rsidRPr="00D2484E" w:rsidRDefault="002D2A42" w:rsidP="00544133">
            <w:pPr>
              <w:pStyle w:val="EYTableText"/>
              <w:rPr>
                <w:lang w:eastAsia="en-AU"/>
              </w:rPr>
            </w:pPr>
            <w:r w:rsidRPr="00D2484E">
              <w:rPr>
                <w:lang w:eastAsia="en-AU"/>
              </w:rPr>
              <w:t>Catholic Health Australia</w:t>
            </w:r>
          </w:p>
        </w:tc>
        <w:tc>
          <w:tcPr>
            <w:tcW w:w="2041" w:type="pct"/>
            <w:noWrap/>
          </w:tcPr>
          <w:p w14:paraId="4DC353C7" w14:textId="395AD32E" w:rsidR="002D2A42" w:rsidRPr="00D2484E" w:rsidRDefault="002D2A42" w:rsidP="00544133">
            <w:pPr>
              <w:pStyle w:val="EYTableText"/>
              <w:rPr>
                <w:lang w:eastAsia="en-AU"/>
              </w:rPr>
            </w:pPr>
            <w:r w:rsidRPr="00D2484E">
              <w:rPr>
                <w:lang w:eastAsia="en-AU"/>
              </w:rPr>
              <w:t>James Kemp</w:t>
            </w:r>
          </w:p>
        </w:tc>
        <w:tc>
          <w:tcPr>
            <w:tcW w:w="1624" w:type="pct"/>
          </w:tcPr>
          <w:p w14:paraId="5971E424" w14:textId="7C6E4DA5" w:rsidR="002D2A42" w:rsidRPr="00D2484E" w:rsidRDefault="009C0DAD" w:rsidP="00544133">
            <w:pPr>
              <w:pStyle w:val="EYTableText"/>
              <w:rPr>
                <w:lang w:eastAsia="en-AU"/>
              </w:rPr>
            </w:pPr>
            <w:r w:rsidRPr="00D2484E">
              <w:rPr>
                <w:lang w:eastAsia="en-AU"/>
              </w:rPr>
              <w:t>Chief Operating Officer</w:t>
            </w:r>
          </w:p>
        </w:tc>
      </w:tr>
      <w:tr w:rsidR="002D2A42" w:rsidRPr="00D2484E" w14:paraId="1A4BF365" w14:textId="77777777" w:rsidTr="005A2FD1">
        <w:trPr>
          <w:trHeight w:val="20"/>
        </w:trPr>
        <w:tc>
          <w:tcPr>
            <w:tcW w:w="1335" w:type="pct"/>
            <w:vMerge/>
            <w:noWrap/>
          </w:tcPr>
          <w:p w14:paraId="11E151C1" w14:textId="77777777" w:rsidR="002D2A42" w:rsidRPr="00D2484E" w:rsidRDefault="002D2A42" w:rsidP="00544133">
            <w:pPr>
              <w:pStyle w:val="EYTableText"/>
              <w:rPr>
                <w:lang w:eastAsia="en-AU"/>
              </w:rPr>
            </w:pPr>
          </w:p>
        </w:tc>
        <w:tc>
          <w:tcPr>
            <w:tcW w:w="2041" w:type="pct"/>
            <w:noWrap/>
          </w:tcPr>
          <w:p w14:paraId="0C0A094C" w14:textId="6C646506" w:rsidR="002D2A42" w:rsidRPr="00D2484E" w:rsidRDefault="002D2A42" w:rsidP="00544133">
            <w:pPr>
              <w:pStyle w:val="EYTableText"/>
              <w:rPr>
                <w:lang w:eastAsia="en-AU"/>
              </w:rPr>
            </w:pPr>
            <w:r w:rsidRPr="00D2484E">
              <w:rPr>
                <w:lang w:eastAsia="en-AU"/>
              </w:rPr>
              <w:t xml:space="preserve">Stephanie </w:t>
            </w:r>
            <w:proofErr w:type="spellStart"/>
            <w:r w:rsidRPr="00D2484E">
              <w:rPr>
                <w:lang w:eastAsia="en-AU"/>
              </w:rPr>
              <w:t>Panchision</w:t>
            </w:r>
            <w:proofErr w:type="spellEnd"/>
          </w:p>
        </w:tc>
        <w:tc>
          <w:tcPr>
            <w:tcW w:w="1624" w:type="pct"/>
          </w:tcPr>
          <w:p w14:paraId="78135FB7" w14:textId="1EDE1A0B" w:rsidR="002D2A42" w:rsidRPr="00D2484E" w:rsidRDefault="00537A89" w:rsidP="00544133">
            <w:pPr>
              <w:pStyle w:val="EYTableText"/>
              <w:rPr>
                <w:lang w:eastAsia="en-AU"/>
              </w:rPr>
            </w:pPr>
            <w:r w:rsidRPr="00D2484E">
              <w:rPr>
                <w:lang w:eastAsia="en-AU"/>
              </w:rPr>
              <w:t>Senior Policy Advisor</w:t>
            </w:r>
          </w:p>
        </w:tc>
      </w:tr>
      <w:tr w:rsidR="00894E53" w:rsidRPr="00D2484E" w14:paraId="3D0EB73B" w14:textId="77777777" w:rsidTr="005A2FD1">
        <w:trPr>
          <w:trHeight w:val="20"/>
        </w:trPr>
        <w:tc>
          <w:tcPr>
            <w:tcW w:w="1335" w:type="pct"/>
            <w:vMerge w:val="restart"/>
            <w:noWrap/>
          </w:tcPr>
          <w:p w14:paraId="16254A9B" w14:textId="267757DA" w:rsidR="00894E53" w:rsidRPr="00D2484E" w:rsidRDefault="00894E53" w:rsidP="00544133">
            <w:pPr>
              <w:pStyle w:val="EYTableText"/>
              <w:rPr>
                <w:lang w:eastAsia="en-AU"/>
              </w:rPr>
            </w:pPr>
            <w:r w:rsidRPr="00D2484E">
              <w:rPr>
                <w:lang w:eastAsia="en-AU"/>
              </w:rPr>
              <w:t>Australian Private Hospital Association</w:t>
            </w:r>
          </w:p>
        </w:tc>
        <w:tc>
          <w:tcPr>
            <w:tcW w:w="2041" w:type="pct"/>
            <w:noWrap/>
          </w:tcPr>
          <w:p w14:paraId="2FABDD1F" w14:textId="10E77C6D" w:rsidR="00894E53" w:rsidRPr="00D2484E" w:rsidRDefault="00894E53" w:rsidP="00544133">
            <w:pPr>
              <w:pStyle w:val="EYTableText"/>
              <w:rPr>
                <w:lang w:eastAsia="en-AU"/>
              </w:rPr>
            </w:pPr>
            <w:r w:rsidRPr="00D2484E">
              <w:rPr>
                <w:lang w:eastAsia="en-AU"/>
              </w:rPr>
              <w:t>Lucy Cheetham</w:t>
            </w:r>
          </w:p>
        </w:tc>
        <w:tc>
          <w:tcPr>
            <w:tcW w:w="1624" w:type="pct"/>
          </w:tcPr>
          <w:p w14:paraId="6F4ECCAB" w14:textId="374692C4" w:rsidR="00894E53" w:rsidRPr="00D2484E" w:rsidRDefault="00894E53" w:rsidP="00544133">
            <w:pPr>
              <w:pStyle w:val="EYTableText"/>
              <w:rPr>
                <w:lang w:eastAsia="en-AU"/>
              </w:rPr>
            </w:pPr>
            <w:r w:rsidRPr="00D2484E">
              <w:rPr>
                <w:lang w:eastAsia="en-AU"/>
              </w:rPr>
              <w:t xml:space="preserve">Acting Chief Executive Officer </w:t>
            </w:r>
          </w:p>
        </w:tc>
      </w:tr>
      <w:tr w:rsidR="00894E53" w:rsidRPr="00D2484E" w14:paraId="239A4E64" w14:textId="77777777" w:rsidTr="005A2FD1">
        <w:trPr>
          <w:trHeight w:val="20"/>
        </w:trPr>
        <w:tc>
          <w:tcPr>
            <w:tcW w:w="1335" w:type="pct"/>
            <w:vMerge/>
            <w:noWrap/>
          </w:tcPr>
          <w:p w14:paraId="789816B1" w14:textId="77777777" w:rsidR="00894E53" w:rsidRPr="00D2484E" w:rsidRDefault="00894E53" w:rsidP="00544133">
            <w:pPr>
              <w:pStyle w:val="EYTableText"/>
              <w:rPr>
                <w:lang w:eastAsia="en-AU"/>
              </w:rPr>
            </w:pPr>
          </w:p>
        </w:tc>
        <w:tc>
          <w:tcPr>
            <w:tcW w:w="2041" w:type="pct"/>
            <w:noWrap/>
          </w:tcPr>
          <w:p w14:paraId="7DAB7058" w14:textId="443E914F" w:rsidR="00894E53" w:rsidRPr="00D2484E" w:rsidRDefault="00894E53" w:rsidP="00544133">
            <w:pPr>
              <w:pStyle w:val="EYTableText"/>
              <w:rPr>
                <w:lang w:eastAsia="en-AU"/>
              </w:rPr>
            </w:pPr>
            <w:r w:rsidRPr="00D2484E">
              <w:rPr>
                <w:lang w:eastAsia="en-AU"/>
              </w:rPr>
              <w:t xml:space="preserve">Emma </w:t>
            </w:r>
            <w:proofErr w:type="spellStart"/>
            <w:r w:rsidRPr="00D2484E">
              <w:rPr>
                <w:lang w:eastAsia="en-AU"/>
              </w:rPr>
              <w:t>Bognar</w:t>
            </w:r>
            <w:proofErr w:type="spellEnd"/>
            <w:r w:rsidRPr="00D2484E">
              <w:rPr>
                <w:lang w:eastAsia="en-AU"/>
              </w:rPr>
              <w:t>*</w:t>
            </w:r>
          </w:p>
        </w:tc>
        <w:tc>
          <w:tcPr>
            <w:tcW w:w="1624" w:type="pct"/>
          </w:tcPr>
          <w:p w14:paraId="3501DD7A" w14:textId="2CC0A4C4" w:rsidR="00894E53" w:rsidRPr="00D2484E" w:rsidRDefault="00894E53" w:rsidP="00544133">
            <w:pPr>
              <w:pStyle w:val="EYTableText"/>
              <w:rPr>
                <w:lang w:eastAsia="en-AU"/>
              </w:rPr>
            </w:pPr>
            <w:r w:rsidRPr="00D2484E">
              <w:rPr>
                <w:lang w:eastAsia="en-AU"/>
              </w:rPr>
              <w:t>N/A</w:t>
            </w:r>
          </w:p>
        </w:tc>
      </w:tr>
      <w:tr w:rsidR="00894E53" w:rsidRPr="00D2484E" w14:paraId="36F08D72" w14:textId="6E6C6167" w:rsidTr="005A2FD1">
        <w:trPr>
          <w:trHeight w:val="20"/>
        </w:trPr>
        <w:tc>
          <w:tcPr>
            <w:tcW w:w="1335" w:type="pct"/>
            <w:noWrap/>
          </w:tcPr>
          <w:p w14:paraId="1D6CCB2D" w14:textId="245B997C" w:rsidR="00894E53" w:rsidRPr="00D2484E" w:rsidRDefault="00894E53" w:rsidP="00544133">
            <w:pPr>
              <w:pStyle w:val="EYTableText"/>
              <w:rPr>
                <w:lang w:eastAsia="en-AU"/>
              </w:rPr>
            </w:pPr>
            <w:r w:rsidRPr="00D2484E">
              <w:rPr>
                <w:lang w:eastAsia="en-AU"/>
              </w:rPr>
              <w:t>Cabrini Health</w:t>
            </w:r>
          </w:p>
        </w:tc>
        <w:tc>
          <w:tcPr>
            <w:tcW w:w="2041" w:type="pct"/>
            <w:noWrap/>
          </w:tcPr>
          <w:p w14:paraId="71BB3BC3" w14:textId="220F6912" w:rsidR="00894E53" w:rsidRPr="00D2484E" w:rsidRDefault="00894E53" w:rsidP="00544133">
            <w:pPr>
              <w:pStyle w:val="EYTableText"/>
              <w:rPr>
                <w:lang w:eastAsia="en-AU"/>
              </w:rPr>
            </w:pPr>
            <w:r w:rsidRPr="00D2484E">
              <w:rPr>
                <w:lang w:eastAsia="en-AU"/>
              </w:rPr>
              <w:t>Cathy Ryan*</w:t>
            </w:r>
          </w:p>
        </w:tc>
        <w:tc>
          <w:tcPr>
            <w:tcW w:w="1624" w:type="pct"/>
          </w:tcPr>
          <w:p w14:paraId="4EE1AEF1" w14:textId="335FAED7" w:rsidR="00894E53" w:rsidRPr="00D2484E" w:rsidRDefault="00894E53" w:rsidP="00544133">
            <w:pPr>
              <w:pStyle w:val="EYTableText"/>
              <w:rPr>
                <w:lang w:eastAsia="en-AU"/>
              </w:rPr>
            </w:pPr>
            <w:r w:rsidRPr="00D2484E">
              <w:rPr>
                <w:lang w:eastAsia="en-AU"/>
              </w:rPr>
              <w:t>Group Director Health Funding &amp; Patient Services</w:t>
            </w:r>
          </w:p>
        </w:tc>
      </w:tr>
      <w:tr w:rsidR="00894E53" w:rsidRPr="00D2484E" w14:paraId="39CCC66D" w14:textId="2D495CC6" w:rsidTr="005A2FD1">
        <w:trPr>
          <w:trHeight w:val="20"/>
        </w:trPr>
        <w:tc>
          <w:tcPr>
            <w:tcW w:w="1335" w:type="pct"/>
            <w:noWrap/>
          </w:tcPr>
          <w:p w14:paraId="73A4F87A" w14:textId="0B08FEB7" w:rsidR="00894E53" w:rsidRPr="00D2484E" w:rsidRDefault="00894E53" w:rsidP="00544133">
            <w:pPr>
              <w:pStyle w:val="EYTableText"/>
              <w:rPr>
                <w:lang w:eastAsia="en-AU"/>
              </w:rPr>
            </w:pPr>
            <w:r w:rsidRPr="00D2484E">
              <w:rPr>
                <w:lang w:eastAsia="en-AU"/>
              </w:rPr>
              <w:t>Australian Medical Association</w:t>
            </w:r>
          </w:p>
        </w:tc>
        <w:tc>
          <w:tcPr>
            <w:tcW w:w="2041" w:type="pct"/>
            <w:noWrap/>
          </w:tcPr>
          <w:p w14:paraId="1ADD6086" w14:textId="73206D26" w:rsidR="00894E53" w:rsidRPr="00D2484E" w:rsidRDefault="00894E53" w:rsidP="00544133">
            <w:pPr>
              <w:pStyle w:val="EYTableText"/>
              <w:rPr>
                <w:lang w:eastAsia="en-AU"/>
              </w:rPr>
            </w:pPr>
            <w:r w:rsidRPr="00D2484E">
              <w:rPr>
                <w:lang w:eastAsia="en-AU"/>
              </w:rPr>
              <w:t>Tracey Cross</w:t>
            </w:r>
          </w:p>
        </w:tc>
        <w:tc>
          <w:tcPr>
            <w:tcW w:w="1624" w:type="pct"/>
          </w:tcPr>
          <w:p w14:paraId="7278EA59" w14:textId="0555CB8C" w:rsidR="00894E53" w:rsidRPr="00D2484E" w:rsidRDefault="00894E53" w:rsidP="00544133">
            <w:pPr>
              <w:pStyle w:val="EYTableText"/>
              <w:rPr>
                <w:lang w:eastAsia="en-AU"/>
              </w:rPr>
            </w:pPr>
            <w:r w:rsidRPr="00D2484E">
              <w:rPr>
                <w:lang w:eastAsia="en-AU"/>
              </w:rPr>
              <w:t>Senior Policy Advisor</w:t>
            </w:r>
          </w:p>
        </w:tc>
      </w:tr>
    </w:tbl>
    <w:p w14:paraId="1F6F0E8D" w14:textId="4CFF41E4" w:rsidR="0081690D" w:rsidRPr="005E2C10" w:rsidRDefault="00BA1DB0" w:rsidP="005E2C10">
      <w:pPr>
        <w:pStyle w:val="Footer"/>
      </w:pPr>
      <w:r w:rsidRPr="005E2C10">
        <w:t xml:space="preserve">* </w:t>
      </w:r>
      <w:proofErr w:type="gramStart"/>
      <w:r w:rsidRPr="005E2C10">
        <w:t>indicates</w:t>
      </w:r>
      <w:proofErr w:type="gramEnd"/>
      <w:r w:rsidRPr="005E2C10">
        <w:t xml:space="preserve"> that the representative is also a member of the PLAC.</w:t>
      </w:r>
    </w:p>
    <w:p w14:paraId="5D0045DE" w14:textId="007F2A36" w:rsidR="00630F04" w:rsidRPr="005E2C10" w:rsidRDefault="00BA1DB0" w:rsidP="005E2C10">
      <w:pPr>
        <w:pStyle w:val="Footer"/>
      </w:pPr>
      <w:r w:rsidRPr="005E2C10">
        <w:t xml:space="preserve">** indicates that the stakeholder provided a written submission to this Review. </w:t>
      </w:r>
    </w:p>
    <w:p w14:paraId="254F0FBC" w14:textId="5D13DD08" w:rsidR="00630F04" w:rsidRPr="00D2484E" w:rsidRDefault="00630F04" w:rsidP="00011698">
      <w:pPr>
        <w:pStyle w:val="Appendix"/>
      </w:pPr>
      <w:bookmarkStart w:id="174" w:name="_Ref77065824"/>
      <w:r w:rsidRPr="00D2484E">
        <w:t xml:space="preserve">Appendix </w:t>
      </w:r>
      <w:bookmarkEnd w:id="174"/>
      <w:r w:rsidR="00134DCA" w:rsidRPr="00D2484E">
        <w:t>E</w:t>
      </w:r>
      <w:r w:rsidRPr="00D2484E">
        <w:t xml:space="preserve"> – Schedule of PLAC Members, including CAGs and Panel of Clinical Experts</w:t>
      </w:r>
    </w:p>
    <w:p w14:paraId="3CAF48AE" w14:textId="314F6B41" w:rsidR="00905758" w:rsidRPr="00544133" w:rsidRDefault="00E44041" w:rsidP="00544133">
      <w:r w:rsidRPr="00544133">
        <w:t>The lists below provide the memberships of the</w:t>
      </w:r>
      <w:r w:rsidR="00542A78" w:rsidRPr="00544133">
        <w:t xml:space="preserve"> PLAC and its sub-committees</w:t>
      </w:r>
      <w:r w:rsidR="0020753E" w:rsidRPr="00544133">
        <w:t xml:space="preserve"> as </w:t>
      </w:r>
      <w:proofErr w:type="gramStart"/>
      <w:r w:rsidR="0020753E" w:rsidRPr="00544133">
        <w:t>at</w:t>
      </w:r>
      <w:proofErr w:type="gramEnd"/>
      <w:r w:rsidR="0020753E" w:rsidRPr="00544133">
        <w:t xml:space="preserve"> July 2021. </w:t>
      </w:r>
    </w:p>
    <w:p w14:paraId="681C97E9" w14:textId="00258C61" w:rsidR="00CD5299" w:rsidRPr="00D2484E" w:rsidRDefault="00905758" w:rsidP="005A2FD1">
      <w:pPr>
        <w:pStyle w:val="Heading2"/>
      </w:pPr>
      <w:r w:rsidRPr="00D2484E">
        <w:t>Prostheses List Advisory Committee</w:t>
      </w:r>
    </w:p>
    <w:tbl>
      <w:tblPr>
        <w:tblStyle w:val="Style1"/>
        <w:tblW w:w="5000" w:type="pct"/>
        <w:tblLook w:val="04A0" w:firstRow="1" w:lastRow="0" w:firstColumn="1" w:lastColumn="0" w:noHBand="0" w:noVBand="1"/>
      </w:tblPr>
      <w:tblGrid>
        <w:gridCol w:w="2972"/>
        <w:gridCol w:w="2955"/>
        <w:gridCol w:w="3092"/>
      </w:tblGrid>
      <w:tr w:rsidR="00E44041" w:rsidRPr="005A2FD1" w14:paraId="65C98B8B" w14:textId="77777777" w:rsidTr="005E2C10">
        <w:trPr>
          <w:cnfStyle w:val="100000000000" w:firstRow="1" w:lastRow="0" w:firstColumn="0" w:lastColumn="0" w:oddVBand="0" w:evenVBand="0" w:oddHBand="0" w:evenHBand="0" w:firstRowFirstColumn="0" w:firstRowLastColumn="0" w:lastRowFirstColumn="0" w:lastRowLastColumn="0"/>
          <w:trHeight w:val="397"/>
          <w:tblHeader/>
        </w:trPr>
        <w:tc>
          <w:tcPr>
            <w:tcW w:w="1648" w:type="pct"/>
            <w:vAlign w:val="center"/>
          </w:tcPr>
          <w:p w14:paraId="30415F1F" w14:textId="7998C302" w:rsidR="00E44041" w:rsidRPr="005A2FD1" w:rsidRDefault="004D0321" w:rsidP="00544133">
            <w:pPr>
              <w:pStyle w:val="EYTableHeadingWhite"/>
            </w:pPr>
            <w:r w:rsidRPr="005A2FD1">
              <w:t>Role</w:t>
            </w:r>
          </w:p>
        </w:tc>
        <w:tc>
          <w:tcPr>
            <w:tcW w:w="1638" w:type="pct"/>
            <w:vAlign w:val="center"/>
          </w:tcPr>
          <w:p w14:paraId="56EAF849" w14:textId="77777777" w:rsidR="00E44041" w:rsidRPr="005A2FD1" w:rsidRDefault="00E44041" w:rsidP="00544133">
            <w:pPr>
              <w:pStyle w:val="EYTableHeadingWhite"/>
            </w:pPr>
            <w:r w:rsidRPr="005A2FD1">
              <w:t>Name</w:t>
            </w:r>
          </w:p>
        </w:tc>
        <w:tc>
          <w:tcPr>
            <w:tcW w:w="1714" w:type="pct"/>
            <w:vAlign w:val="center"/>
          </w:tcPr>
          <w:p w14:paraId="0F43E210" w14:textId="77777777" w:rsidR="00E44041" w:rsidRPr="005A2FD1" w:rsidRDefault="00E44041" w:rsidP="00544133">
            <w:pPr>
              <w:pStyle w:val="EYTableHeadingWhite"/>
            </w:pPr>
            <w:r w:rsidRPr="005A2FD1">
              <w:t>Specialty / Representing</w:t>
            </w:r>
          </w:p>
        </w:tc>
      </w:tr>
      <w:tr w:rsidR="00E44041" w:rsidRPr="005A2FD1" w14:paraId="3963D94D" w14:textId="77777777" w:rsidTr="005A2FD1">
        <w:trPr>
          <w:trHeight w:val="20"/>
        </w:trPr>
        <w:tc>
          <w:tcPr>
            <w:tcW w:w="1648" w:type="pct"/>
            <w:hideMark/>
          </w:tcPr>
          <w:p w14:paraId="7FFB4695" w14:textId="77777777" w:rsidR="00E44041" w:rsidRPr="005A2FD1" w:rsidRDefault="00E44041" w:rsidP="00544133">
            <w:pPr>
              <w:pStyle w:val="EYTableText"/>
            </w:pPr>
            <w:r w:rsidRPr="005A2FD1">
              <w:t>Chair</w:t>
            </w:r>
          </w:p>
        </w:tc>
        <w:tc>
          <w:tcPr>
            <w:tcW w:w="1638" w:type="pct"/>
            <w:hideMark/>
          </w:tcPr>
          <w:p w14:paraId="65CFC254" w14:textId="77777777" w:rsidR="00E44041" w:rsidRPr="005A2FD1" w:rsidRDefault="00E44041" w:rsidP="00544133">
            <w:pPr>
              <w:pStyle w:val="EYTableText"/>
            </w:pPr>
            <w:r w:rsidRPr="005A2FD1">
              <w:t>Professor Terry Campbell (AM)</w:t>
            </w:r>
          </w:p>
        </w:tc>
        <w:tc>
          <w:tcPr>
            <w:tcW w:w="1714" w:type="pct"/>
            <w:hideMark/>
          </w:tcPr>
          <w:p w14:paraId="6E5F08A0" w14:textId="77777777" w:rsidR="00E44041" w:rsidRPr="005A2FD1" w:rsidRDefault="00E44041" w:rsidP="00544133">
            <w:pPr>
              <w:pStyle w:val="EYTableText"/>
            </w:pPr>
            <w:r w:rsidRPr="005A2FD1">
              <w:t> N/A</w:t>
            </w:r>
          </w:p>
        </w:tc>
      </w:tr>
      <w:tr w:rsidR="00E44041" w:rsidRPr="005A2FD1" w14:paraId="7814E6B0" w14:textId="77777777" w:rsidTr="005A2FD1">
        <w:trPr>
          <w:trHeight w:val="20"/>
        </w:trPr>
        <w:tc>
          <w:tcPr>
            <w:tcW w:w="1648" w:type="pct"/>
            <w:vMerge w:val="restart"/>
            <w:hideMark/>
          </w:tcPr>
          <w:p w14:paraId="46943909" w14:textId="77777777" w:rsidR="00E44041" w:rsidRPr="005A2FD1" w:rsidRDefault="00E44041" w:rsidP="00544133">
            <w:pPr>
              <w:pStyle w:val="EYTableText"/>
            </w:pPr>
            <w:r w:rsidRPr="005A2FD1">
              <w:t>Expert member</w:t>
            </w:r>
          </w:p>
        </w:tc>
        <w:tc>
          <w:tcPr>
            <w:tcW w:w="1638" w:type="pct"/>
            <w:hideMark/>
          </w:tcPr>
          <w:p w14:paraId="3F5CF4D9" w14:textId="77777777" w:rsidR="00E44041" w:rsidRPr="005A2FD1" w:rsidRDefault="00E44041" w:rsidP="00544133">
            <w:pPr>
              <w:pStyle w:val="EYTableText"/>
            </w:pPr>
            <w:r w:rsidRPr="005A2FD1">
              <w:t>Professor David Morgan OAM</w:t>
            </w:r>
          </w:p>
        </w:tc>
        <w:tc>
          <w:tcPr>
            <w:tcW w:w="1714" w:type="pct"/>
            <w:hideMark/>
          </w:tcPr>
          <w:p w14:paraId="6C29F5DB" w14:textId="77777777" w:rsidR="00E44041" w:rsidRPr="005A2FD1" w:rsidRDefault="00E44041" w:rsidP="00544133">
            <w:pPr>
              <w:pStyle w:val="EYTableText"/>
            </w:pPr>
            <w:r w:rsidRPr="005A2FD1">
              <w:t>Orthopaedic surgery</w:t>
            </w:r>
          </w:p>
        </w:tc>
      </w:tr>
      <w:tr w:rsidR="00E44041" w:rsidRPr="005A2FD1" w14:paraId="3DBBDB0D" w14:textId="77777777" w:rsidTr="005A2FD1">
        <w:trPr>
          <w:trHeight w:val="20"/>
        </w:trPr>
        <w:tc>
          <w:tcPr>
            <w:tcW w:w="1648" w:type="pct"/>
            <w:vMerge/>
            <w:hideMark/>
          </w:tcPr>
          <w:p w14:paraId="54E2F628" w14:textId="77777777" w:rsidR="00E44041" w:rsidRPr="005A2FD1" w:rsidRDefault="00E44041" w:rsidP="00544133">
            <w:pPr>
              <w:pStyle w:val="EYTableText"/>
            </w:pPr>
          </w:p>
        </w:tc>
        <w:tc>
          <w:tcPr>
            <w:tcW w:w="1638" w:type="pct"/>
            <w:hideMark/>
          </w:tcPr>
          <w:p w14:paraId="220A3F10" w14:textId="77777777" w:rsidR="00E44041" w:rsidRPr="005A2FD1" w:rsidRDefault="00E44041" w:rsidP="00544133">
            <w:pPr>
              <w:pStyle w:val="EYTableText"/>
            </w:pPr>
            <w:r w:rsidRPr="005A2FD1">
              <w:t xml:space="preserve">Dr </w:t>
            </w:r>
            <w:proofErr w:type="spellStart"/>
            <w:r w:rsidRPr="005A2FD1">
              <w:t>Orso</w:t>
            </w:r>
            <w:proofErr w:type="spellEnd"/>
            <w:r w:rsidRPr="005A2FD1">
              <w:t xml:space="preserve"> </w:t>
            </w:r>
            <w:proofErr w:type="spellStart"/>
            <w:r w:rsidRPr="005A2FD1">
              <w:t>Osti</w:t>
            </w:r>
            <w:proofErr w:type="spellEnd"/>
          </w:p>
        </w:tc>
        <w:tc>
          <w:tcPr>
            <w:tcW w:w="1714" w:type="pct"/>
            <w:hideMark/>
          </w:tcPr>
          <w:p w14:paraId="7E221D2E" w14:textId="77777777" w:rsidR="00E44041" w:rsidRPr="005A2FD1" w:rsidRDefault="00E44041" w:rsidP="00544133">
            <w:pPr>
              <w:pStyle w:val="EYTableText"/>
            </w:pPr>
            <w:r w:rsidRPr="005A2FD1">
              <w:t>Spinal surgery</w:t>
            </w:r>
          </w:p>
        </w:tc>
      </w:tr>
      <w:tr w:rsidR="00E44041" w:rsidRPr="005A2FD1" w14:paraId="357D5925" w14:textId="77777777" w:rsidTr="005A2FD1">
        <w:trPr>
          <w:trHeight w:val="20"/>
        </w:trPr>
        <w:tc>
          <w:tcPr>
            <w:tcW w:w="1648" w:type="pct"/>
            <w:vMerge/>
            <w:hideMark/>
          </w:tcPr>
          <w:p w14:paraId="6ACF6201" w14:textId="77777777" w:rsidR="00E44041" w:rsidRPr="005A2FD1" w:rsidRDefault="00E44041" w:rsidP="00544133">
            <w:pPr>
              <w:pStyle w:val="EYTableText"/>
            </w:pPr>
          </w:p>
        </w:tc>
        <w:tc>
          <w:tcPr>
            <w:tcW w:w="1638" w:type="pct"/>
            <w:hideMark/>
          </w:tcPr>
          <w:p w14:paraId="30EFA9DD" w14:textId="77777777" w:rsidR="00E44041" w:rsidRPr="005A2FD1" w:rsidRDefault="00E44041" w:rsidP="00544133">
            <w:pPr>
              <w:pStyle w:val="EYTableText"/>
            </w:pPr>
            <w:r w:rsidRPr="005A2FD1">
              <w:t xml:space="preserve">Associate Professor Rosemary </w:t>
            </w:r>
            <w:proofErr w:type="spellStart"/>
            <w:r w:rsidRPr="005A2FD1">
              <w:t>Korda</w:t>
            </w:r>
            <w:proofErr w:type="spellEnd"/>
          </w:p>
        </w:tc>
        <w:tc>
          <w:tcPr>
            <w:tcW w:w="1714" w:type="pct"/>
            <w:hideMark/>
          </w:tcPr>
          <w:p w14:paraId="75545388" w14:textId="77777777" w:rsidR="00E44041" w:rsidRPr="005A2FD1" w:rsidRDefault="00E44041" w:rsidP="00544133">
            <w:pPr>
              <w:pStyle w:val="EYTableText"/>
            </w:pPr>
            <w:r w:rsidRPr="005A2FD1">
              <w:t>Epidemiology</w:t>
            </w:r>
          </w:p>
        </w:tc>
      </w:tr>
      <w:tr w:rsidR="00E44041" w:rsidRPr="005A2FD1" w14:paraId="3B8EC0B0" w14:textId="77777777" w:rsidTr="005A2FD1">
        <w:trPr>
          <w:trHeight w:val="20"/>
        </w:trPr>
        <w:tc>
          <w:tcPr>
            <w:tcW w:w="1648" w:type="pct"/>
            <w:vMerge/>
            <w:hideMark/>
          </w:tcPr>
          <w:p w14:paraId="24D1B304" w14:textId="77777777" w:rsidR="00E44041" w:rsidRPr="005A2FD1" w:rsidRDefault="00E44041" w:rsidP="00544133">
            <w:pPr>
              <w:pStyle w:val="EYTableText"/>
            </w:pPr>
          </w:p>
        </w:tc>
        <w:tc>
          <w:tcPr>
            <w:tcW w:w="1638" w:type="pct"/>
            <w:hideMark/>
          </w:tcPr>
          <w:p w14:paraId="1BCD5A60" w14:textId="77777777" w:rsidR="00E44041" w:rsidRPr="005A2FD1" w:rsidRDefault="00E44041" w:rsidP="00544133">
            <w:pPr>
              <w:pStyle w:val="EYTableText"/>
            </w:pPr>
            <w:r w:rsidRPr="005A2FD1">
              <w:t>Professor Bill Heddle</w:t>
            </w:r>
          </w:p>
        </w:tc>
        <w:tc>
          <w:tcPr>
            <w:tcW w:w="1714" w:type="pct"/>
            <w:hideMark/>
          </w:tcPr>
          <w:p w14:paraId="3010D803" w14:textId="77777777" w:rsidR="00E44041" w:rsidRPr="005A2FD1" w:rsidRDefault="00E44041" w:rsidP="00544133">
            <w:pPr>
              <w:pStyle w:val="EYTableText"/>
            </w:pPr>
            <w:r w:rsidRPr="005A2FD1">
              <w:t>Cardiology</w:t>
            </w:r>
          </w:p>
        </w:tc>
      </w:tr>
      <w:tr w:rsidR="00E44041" w:rsidRPr="005A2FD1" w14:paraId="57F08FB7" w14:textId="77777777" w:rsidTr="005A2FD1">
        <w:trPr>
          <w:trHeight w:val="20"/>
        </w:trPr>
        <w:tc>
          <w:tcPr>
            <w:tcW w:w="1648" w:type="pct"/>
            <w:vMerge/>
            <w:hideMark/>
          </w:tcPr>
          <w:p w14:paraId="6E82EFBC" w14:textId="77777777" w:rsidR="00E44041" w:rsidRPr="005A2FD1" w:rsidRDefault="00E44041" w:rsidP="00544133">
            <w:pPr>
              <w:pStyle w:val="EYTableText"/>
            </w:pPr>
          </w:p>
        </w:tc>
        <w:tc>
          <w:tcPr>
            <w:tcW w:w="1638" w:type="pct"/>
            <w:hideMark/>
          </w:tcPr>
          <w:p w14:paraId="3033EA4C" w14:textId="77777777" w:rsidR="00E44041" w:rsidRPr="005A2FD1" w:rsidRDefault="00E44041" w:rsidP="00544133">
            <w:pPr>
              <w:pStyle w:val="EYTableText"/>
            </w:pPr>
            <w:r w:rsidRPr="005A2FD1">
              <w:t>Professor Allan Glanville</w:t>
            </w:r>
          </w:p>
        </w:tc>
        <w:tc>
          <w:tcPr>
            <w:tcW w:w="1714" w:type="pct"/>
            <w:hideMark/>
          </w:tcPr>
          <w:p w14:paraId="52B027C5" w14:textId="77777777" w:rsidR="00E44041" w:rsidRPr="005A2FD1" w:rsidRDefault="00E44041" w:rsidP="00544133">
            <w:pPr>
              <w:pStyle w:val="EYTableText"/>
            </w:pPr>
            <w:r w:rsidRPr="005A2FD1">
              <w:t>Thoracic medicine</w:t>
            </w:r>
          </w:p>
        </w:tc>
      </w:tr>
      <w:tr w:rsidR="00E44041" w:rsidRPr="005A2FD1" w14:paraId="03206B25" w14:textId="77777777" w:rsidTr="005A2FD1">
        <w:trPr>
          <w:trHeight w:val="20"/>
        </w:trPr>
        <w:tc>
          <w:tcPr>
            <w:tcW w:w="1648" w:type="pct"/>
            <w:vMerge/>
            <w:hideMark/>
          </w:tcPr>
          <w:p w14:paraId="42C650C6" w14:textId="77777777" w:rsidR="00E44041" w:rsidRPr="005A2FD1" w:rsidRDefault="00E44041" w:rsidP="00544133">
            <w:pPr>
              <w:pStyle w:val="EYTableText"/>
            </w:pPr>
          </w:p>
        </w:tc>
        <w:tc>
          <w:tcPr>
            <w:tcW w:w="1638" w:type="pct"/>
            <w:hideMark/>
          </w:tcPr>
          <w:p w14:paraId="4D1587FB" w14:textId="77777777" w:rsidR="00E44041" w:rsidRPr="005A2FD1" w:rsidRDefault="00E44041" w:rsidP="00544133">
            <w:pPr>
              <w:pStyle w:val="EYTableText"/>
            </w:pPr>
            <w:r w:rsidRPr="005A2FD1">
              <w:t>Professor Anne Simmons</w:t>
            </w:r>
          </w:p>
        </w:tc>
        <w:tc>
          <w:tcPr>
            <w:tcW w:w="1714" w:type="pct"/>
            <w:hideMark/>
          </w:tcPr>
          <w:p w14:paraId="4E0E9009" w14:textId="77777777" w:rsidR="00E44041" w:rsidRPr="005A2FD1" w:rsidRDefault="00E44041" w:rsidP="00544133">
            <w:pPr>
              <w:pStyle w:val="EYTableText"/>
            </w:pPr>
            <w:r w:rsidRPr="005A2FD1">
              <w:t>Bioengineering</w:t>
            </w:r>
          </w:p>
        </w:tc>
      </w:tr>
      <w:tr w:rsidR="00E44041" w:rsidRPr="005A2FD1" w14:paraId="4724FEF4" w14:textId="77777777" w:rsidTr="005A2FD1">
        <w:trPr>
          <w:trHeight w:val="20"/>
        </w:trPr>
        <w:tc>
          <w:tcPr>
            <w:tcW w:w="1648" w:type="pct"/>
            <w:vMerge/>
            <w:hideMark/>
          </w:tcPr>
          <w:p w14:paraId="0DBB0BA3" w14:textId="77777777" w:rsidR="00E44041" w:rsidRPr="005A2FD1" w:rsidRDefault="00E44041" w:rsidP="00544133">
            <w:pPr>
              <w:pStyle w:val="EYTableText"/>
            </w:pPr>
          </w:p>
        </w:tc>
        <w:tc>
          <w:tcPr>
            <w:tcW w:w="1638" w:type="pct"/>
            <w:hideMark/>
          </w:tcPr>
          <w:p w14:paraId="5BBA3199" w14:textId="77777777" w:rsidR="00E44041" w:rsidRPr="005A2FD1" w:rsidRDefault="00E44041" w:rsidP="00544133">
            <w:pPr>
              <w:pStyle w:val="EYTableText"/>
            </w:pPr>
            <w:r w:rsidRPr="005A2FD1">
              <w:t>Professor Abdullah Omari</w:t>
            </w:r>
          </w:p>
        </w:tc>
        <w:tc>
          <w:tcPr>
            <w:tcW w:w="1714" w:type="pct"/>
            <w:hideMark/>
          </w:tcPr>
          <w:p w14:paraId="110DB312" w14:textId="77777777" w:rsidR="00E44041" w:rsidRPr="005A2FD1" w:rsidRDefault="00E44041" w:rsidP="00544133">
            <w:pPr>
              <w:pStyle w:val="EYTableText"/>
            </w:pPr>
            <w:r w:rsidRPr="005A2FD1">
              <w:t>Vascular medicine</w:t>
            </w:r>
          </w:p>
        </w:tc>
      </w:tr>
      <w:tr w:rsidR="00E44041" w:rsidRPr="005A2FD1" w14:paraId="5EE8D3AF" w14:textId="77777777" w:rsidTr="005A2FD1">
        <w:trPr>
          <w:trHeight w:val="20"/>
        </w:trPr>
        <w:tc>
          <w:tcPr>
            <w:tcW w:w="1648" w:type="pct"/>
            <w:vMerge/>
          </w:tcPr>
          <w:p w14:paraId="7155A4A3" w14:textId="77777777" w:rsidR="00E44041" w:rsidRPr="005A2FD1" w:rsidRDefault="00E44041" w:rsidP="00544133">
            <w:pPr>
              <w:pStyle w:val="EYTableText"/>
            </w:pPr>
          </w:p>
        </w:tc>
        <w:tc>
          <w:tcPr>
            <w:tcW w:w="1638" w:type="pct"/>
          </w:tcPr>
          <w:p w14:paraId="7D9A04C9" w14:textId="77777777" w:rsidR="00E44041" w:rsidRPr="005A2FD1" w:rsidRDefault="00E44041" w:rsidP="00544133">
            <w:pPr>
              <w:pStyle w:val="EYTableText"/>
            </w:pPr>
            <w:r w:rsidRPr="005A2FD1">
              <w:t>Professor Robyn Ward</w:t>
            </w:r>
          </w:p>
        </w:tc>
        <w:tc>
          <w:tcPr>
            <w:tcW w:w="1714" w:type="pct"/>
          </w:tcPr>
          <w:p w14:paraId="18B691BA" w14:textId="77777777" w:rsidR="00E44041" w:rsidRPr="005A2FD1" w:rsidRDefault="00E44041" w:rsidP="00544133">
            <w:pPr>
              <w:pStyle w:val="EYTableText"/>
            </w:pPr>
            <w:r w:rsidRPr="005A2FD1">
              <w:t>Medical Services Advisory Committee Representative</w:t>
            </w:r>
          </w:p>
        </w:tc>
      </w:tr>
      <w:tr w:rsidR="00E44041" w:rsidRPr="005A2FD1" w14:paraId="13B415C7" w14:textId="77777777" w:rsidTr="005A2FD1">
        <w:trPr>
          <w:trHeight w:val="20"/>
        </w:trPr>
        <w:tc>
          <w:tcPr>
            <w:tcW w:w="1648" w:type="pct"/>
            <w:vMerge/>
            <w:hideMark/>
          </w:tcPr>
          <w:p w14:paraId="250DC98D" w14:textId="77777777" w:rsidR="00E44041" w:rsidRPr="005A2FD1" w:rsidRDefault="00E44041" w:rsidP="00544133">
            <w:pPr>
              <w:pStyle w:val="EYTableText"/>
            </w:pPr>
          </w:p>
        </w:tc>
        <w:tc>
          <w:tcPr>
            <w:tcW w:w="1638" w:type="pct"/>
            <w:hideMark/>
          </w:tcPr>
          <w:p w14:paraId="1CF9EC0F" w14:textId="77777777" w:rsidR="00E44041" w:rsidRPr="005A2FD1" w:rsidRDefault="00E44041" w:rsidP="00544133">
            <w:pPr>
              <w:pStyle w:val="EYTableText"/>
            </w:pPr>
            <w:r w:rsidRPr="005A2FD1">
              <w:t>Adjunct Professor Jim Butler</w:t>
            </w:r>
          </w:p>
        </w:tc>
        <w:tc>
          <w:tcPr>
            <w:tcW w:w="1714" w:type="pct"/>
            <w:hideMark/>
          </w:tcPr>
          <w:p w14:paraId="3AE1BA04" w14:textId="77777777" w:rsidR="00E44041" w:rsidRPr="005A2FD1" w:rsidRDefault="00E44041" w:rsidP="00544133">
            <w:pPr>
              <w:pStyle w:val="EYTableText"/>
            </w:pPr>
            <w:r w:rsidRPr="005A2FD1">
              <w:t>Health economics</w:t>
            </w:r>
          </w:p>
        </w:tc>
      </w:tr>
      <w:tr w:rsidR="00E44041" w:rsidRPr="005A2FD1" w14:paraId="390F3500" w14:textId="77777777" w:rsidTr="005A2FD1">
        <w:trPr>
          <w:trHeight w:val="20"/>
        </w:trPr>
        <w:tc>
          <w:tcPr>
            <w:tcW w:w="1648" w:type="pct"/>
            <w:vMerge w:val="restart"/>
            <w:hideMark/>
          </w:tcPr>
          <w:p w14:paraId="6112074C" w14:textId="1DEC7BAE" w:rsidR="00E44041" w:rsidRPr="005A2FD1" w:rsidRDefault="00E44041" w:rsidP="00544133">
            <w:pPr>
              <w:pStyle w:val="EYTableText"/>
            </w:pPr>
            <w:r w:rsidRPr="005A2FD1">
              <w:t>Advisory member</w:t>
            </w:r>
          </w:p>
        </w:tc>
        <w:tc>
          <w:tcPr>
            <w:tcW w:w="1638" w:type="pct"/>
            <w:hideMark/>
          </w:tcPr>
          <w:p w14:paraId="0BAEDCD5" w14:textId="77777777" w:rsidR="00E44041" w:rsidRPr="005A2FD1" w:rsidRDefault="00E44041" w:rsidP="00544133">
            <w:pPr>
              <w:pStyle w:val="EYTableText"/>
            </w:pPr>
            <w:r w:rsidRPr="005A2FD1">
              <w:t xml:space="preserve">Ms Emma </w:t>
            </w:r>
            <w:proofErr w:type="spellStart"/>
            <w:r w:rsidRPr="005A2FD1">
              <w:t>Bognar</w:t>
            </w:r>
            <w:proofErr w:type="spellEnd"/>
          </w:p>
        </w:tc>
        <w:tc>
          <w:tcPr>
            <w:tcW w:w="1714" w:type="pct"/>
            <w:hideMark/>
          </w:tcPr>
          <w:p w14:paraId="4E5A9246" w14:textId="77777777" w:rsidR="00E44041" w:rsidRPr="005A2FD1" w:rsidRDefault="00E44041" w:rsidP="00544133">
            <w:pPr>
              <w:pStyle w:val="EYTableText"/>
            </w:pPr>
            <w:r w:rsidRPr="005A2FD1">
              <w:t>Australian Private Hospitals Association</w:t>
            </w:r>
          </w:p>
        </w:tc>
      </w:tr>
      <w:tr w:rsidR="00E44041" w:rsidRPr="005A2FD1" w14:paraId="3FC705C2" w14:textId="77777777" w:rsidTr="005A2FD1">
        <w:trPr>
          <w:trHeight w:val="20"/>
        </w:trPr>
        <w:tc>
          <w:tcPr>
            <w:tcW w:w="1648" w:type="pct"/>
            <w:vMerge/>
            <w:hideMark/>
          </w:tcPr>
          <w:p w14:paraId="17710DF4" w14:textId="77777777" w:rsidR="00E44041" w:rsidRPr="005A2FD1" w:rsidRDefault="00E44041" w:rsidP="00544133">
            <w:pPr>
              <w:pStyle w:val="EYTableText"/>
            </w:pPr>
          </w:p>
        </w:tc>
        <w:tc>
          <w:tcPr>
            <w:tcW w:w="1638" w:type="pct"/>
            <w:hideMark/>
          </w:tcPr>
          <w:p w14:paraId="67311205" w14:textId="77777777" w:rsidR="00E44041" w:rsidRPr="005A2FD1" w:rsidRDefault="00E44041" w:rsidP="00544133">
            <w:pPr>
              <w:pStyle w:val="EYTableText"/>
            </w:pPr>
            <w:r w:rsidRPr="005A2FD1">
              <w:t>Ms Cathy Ryan</w:t>
            </w:r>
          </w:p>
        </w:tc>
        <w:tc>
          <w:tcPr>
            <w:tcW w:w="1714" w:type="pct"/>
            <w:hideMark/>
          </w:tcPr>
          <w:p w14:paraId="608D357D" w14:textId="77777777" w:rsidR="00E44041" w:rsidRPr="005A2FD1" w:rsidRDefault="00E44041" w:rsidP="00544133">
            <w:pPr>
              <w:pStyle w:val="EYTableText"/>
            </w:pPr>
            <w:r w:rsidRPr="005A2FD1">
              <w:t>Cabrini Health</w:t>
            </w:r>
          </w:p>
        </w:tc>
      </w:tr>
      <w:tr w:rsidR="00E44041" w:rsidRPr="005A2FD1" w14:paraId="5817B5E2" w14:textId="77777777" w:rsidTr="005A2FD1">
        <w:trPr>
          <w:trHeight w:val="20"/>
        </w:trPr>
        <w:tc>
          <w:tcPr>
            <w:tcW w:w="1648" w:type="pct"/>
            <w:vMerge/>
            <w:hideMark/>
          </w:tcPr>
          <w:p w14:paraId="5134BE24" w14:textId="77777777" w:rsidR="00E44041" w:rsidRPr="005A2FD1" w:rsidRDefault="00E44041" w:rsidP="00544133">
            <w:pPr>
              <w:pStyle w:val="EYTableText"/>
            </w:pPr>
          </w:p>
        </w:tc>
        <w:tc>
          <w:tcPr>
            <w:tcW w:w="1638" w:type="pct"/>
            <w:hideMark/>
          </w:tcPr>
          <w:p w14:paraId="6F6F3CAC" w14:textId="77777777" w:rsidR="00E44041" w:rsidRPr="005A2FD1" w:rsidRDefault="00E44041" w:rsidP="00544133">
            <w:pPr>
              <w:pStyle w:val="EYTableText"/>
            </w:pPr>
            <w:r w:rsidRPr="005A2FD1">
              <w:t xml:space="preserve">Dr </w:t>
            </w:r>
            <w:proofErr w:type="spellStart"/>
            <w:r w:rsidRPr="005A2FD1">
              <w:t>Jui</w:t>
            </w:r>
            <w:proofErr w:type="spellEnd"/>
            <w:r w:rsidRPr="005A2FD1">
              <w:t xml:space="preserve"> </w:t>
            </w:r>
            <w:proofErr w:type="spellStart"/>
            <w:r w:rsidRPr="005A2FD1">
              <w:t>Tham</w:t>
            </w:r>
            <w:proofErr w:type="spellEnd"/>
          </w:p>
        </w:tc>
        <w:tc>
          <w:tcPr>
            <w:tcW w:w="1714" w:type="pct"/>
            <w:hideMark/>
          </w:tcPr>
          <w:p w14:paraId="19778B45" w14:textId="77777777" w:rsidR="00E44041" w:rsidRPr="005A2FD1" w:rsidRDefault="00E44041" w:rsidP="00544133">
            <w:pPr>
              <w:pStyle w:val="EYTableText"/>
            </w:pPr>
            <w:r w:rsidRPr="005A2FD1">
              <w:t>Members Health</w:t>
            </w:r>
          </w:p>
        </w:tc>
      </w:tr>
      <w:tr w:rsidR="00E44041" w:rsidRPr="005A2FD1" w14:paraId="57F3A674" w14:textId="77777777" w:rsidTr="005A2FD1">
        <w:trPr>
          <w:trHeight w:val="20"/>
        </w:trPr>
        <w:tc>
          <w:tcPr>
            <w:tcW w:w="1648" w:type="pct"/>
            <w:vMerge/>
            <w:hideMark/>
          </w:tcPr>
          <w:p w14:paraId="20A994F7" w14:textId="77777777" w:rsidR="00E44041" w:rsidRPr="005A2FD1" w:rsidRDefault="00E44041" w:rsidP="00544133">
            <w:pPr>
              <w:pStyle w:val="EYTableText"/>
            </w:pPr>
          </w:p>
        </w:tc>
        <w:tc>
          <w:tcPr>
            <w:tcW w:w="1638" w:type="pct"/>
            <w:hideMark/>
          </w:tcPr>
          <w:p w14:paraId="24C496DB" w14:textId="77777777" w:rsidR="00E44041" w:rsidRPr="005A2FD1" w:rsidRDefault="00E44041" w:rsidP="00544133">
            <w:pPr>
              <w:pStyle w:val="EYTableText"/>
            </w:pPr>
            <w:r w:rsidRPr="005A2FD1">
              <w:t>Dr Greg Roger</w:t>
            </w:r>
          </w:p>
        </w:tc>
        <w:tc>
          <w:tcPr>
            <w:tcW w:w="1714" w:type="pct"/>
            <w:hideMark/>
          </w:tcPr>
          <w:p w14:paraId="24DC2235" w14:textId="77777777" w:rsidR="00E44041" w:rsidRPr="005A2FD1" w:rsidRDefault="00E44041" w:rsidP="00544133">
            <w:pPr>
              <w:pStyle w:val="EYTableText"/>
            </w:pPr>
            <w:proofErr w:type="spellStart"/>
            <w:r w:rsidRPr="005A2FD1">
              <w:t>AusBiotech</w:t>
            </w:r>
            <w:proofErr w:type="spellEnd"/>
          </w:p>
        </w:tc>
      </w:tr>
      <w:tr w:rsidR="00E44041" w:rsidRPr="005A2FD1" w14:paraId="33E53428" w14:textId="77777777" w:rsidTr="005A2FD1">
        <w:trPr>
          <w:trHeight w:val="20"/>
        </w:trPr>
        <w:tc>
          <w:tcPr>
            <w:tcW w:w="1648" w:type="pct"/>
            <w:vMerge/>
            <w:hideMark/>
          </w:tcPr>
          <w:p w14:paraId="3945A721" w14:textId="77777777" w:rsidR="00E44041" w:rsidRPr="005A2FD1" w:rsidRDefault="00E44041" w:rsidP="00544133">
            <w:pPr>
              <w:pStyle w:val="EYTableText"/>
            </w:pPr>
          </w:p>
        </w:tc>
        <w:tc>
          <w:tcPr>
            <w:tcW w:w="1638" w:type="pct"/>
            <w:hideMark/>
          </w:tcPr>
          <w:p w14:paraId="4029618C" w14:textId="77777777" w:rsidR="00E44041" w:rsidRPr="005A2FD1" w:rsidRDefault="00E44041" w:rsidP="00544133">
            <w:pPr>
              <w:pStyle w:val="EYTableText"/>
            </w:pPr>
            <w:r w:rsidRPr="005A2FD1">
              <w:t>Ms Gabrielle Moreland</w:t>
            </w:r>
          </w:p>
        </w:tc>
        <w:tc>
          <w:tcPr>
            <w:tcW w:w="1714" w:type="pct"/>
            <w:hideMark/>
          </w:tcPr>
          <w:p w14:paraId="0E90196B" w14:textId="77777777" w:rsidR="00E44041" w:rsidRPr="005A2FD1" w:rsidRDefault="00E44041" w:rsidP="00544133">
            <w:pPr>
              <w:pStyle w:val="EYTableText"/>
            </w:pPr>
            <w:r w:rsidRPr="005A2FD1">
              <w:t>Day Hospitals Australia</w:t>
            </w:r>
          </w:p>
        </w:tc>
      </w:tr>
      <w:tr w:rsidR="00E44041" w:rsidRPr="005A2FD1" w14:paraId="159624D3" w14:textId="77777777" w:rsidTr="005A2FD1">
        <w:trPr>
          <w:trHeight w:val="20"/>
        </w:trPr>
        <w:tc>
          <w:tcPr>
            <w:tcW w:w="1648" w:type="pct"/>
            <w:vMerge w:val="restart"/>
            <w:hideMark/>
          </w:tcPr>
          <w:p w14:paraId="7B0EB0FA" w14:textId="77777777" w:rsidR="00E44041" w:rsidRPr="005A2FD1" w:rsidRDefault="00E44041" w:rsidP="00544133">
            <w:pPr>
              <w:pStyle w:val="EYTableText"/>
            </w:pPr>
            <w:r w:rsidRPr="005A2FD1">
              <w:t>Invited attendee</w:t>
            </w:r>
          </w:p>
        </w:tc>
        <w:tc>
          <w:tcPr>
            <w:tcW w:w="1638" w:type="pct"/>
            <w:hideMark/>
          </w:tcPr>
          <w:p w14:paraId="7DA86DD6" w14:textId="77777777" w:rsidR="00E44041" w:rsidRPr="005A2FD1" w:rsidRDefault="00E44041" w:rsidP="00544133">
            <w:pPr>
              <w:pStyle w:val="EYTableText"/>
            </w:pPr>
            <w:r w:rsidRPr="005A2FD1">
              <w:t>Mr Paul Dale</w:t>
            </w:r>
          </w:p>
        </w:tc>
        <w:tc>
          <w:tcPr>
            <w:tcW w:w="1714" w:type="pct"/>
            <w:hideMark/>
          </w:tcPr>
          <w:p w14:paraId="418AB73C" w14:textId="77777777" w:rsidR="00E44041" w:rsidRPr="005A2FD1" w:rsidRDefault="00E44041" w:rsidP="00544133">
            <w:pPr>
              <w:pStyle w:val="EYTableText"/>
            </w:pPr>
            <w:r w:rsidRPr="005A2FD1">
              <w:t>Medical Technology Association of Australia</w:t>
            </w:r>
          </w:p>
        </w:tc>
      </w:tr>
      <w:tr w:rsidR="00E44041" w:rsidRPr="005A2FD1" w14:paraId="544F4B0E" w14:textId="77777777" w:rsidTr="005A2FD1">
        <w:trPr>
          <w:trHeight w:val="20"/>
        </w:trPr>
        <w:tc>
          <w:tcPr>
            <w:tcW w:w="1648" w:type="pct"/>
            <w:vMerge/>
            <w:hideMark/>
          </w:tcPr>
          <w:p w14:paraId="3C0F6D79" w14:textId="77777777" w:rsidR="00E44041" w:rsidRPr="005A2FD1" w:rsidRDefault="00E44041" w:rsidP="00544133">
            <w:pPr>
              <w:pStyle w:val="EYTableText"/>
            </w:pPr>
          </w:p>
        </w:tc>
        <w:tc>
          <w:tcPr>
            <w:tcW w:w="1638" w:type="pct"/>
            <w:hideMark/>
          </w:tcPr>
          <w:p w14:paraId="36E7907D" w14:textId="77777777" w:rsidR="00E44041" w:rsidRPr="005A2FD1" w:rsidRDefault="00E44041" w:rsidP="00544133">
            <w:pPr>
              <w:pStyle w:val="EYTableText"/>
            </w:pPr>
            <w:r w:rsidRPr="005A2FD1">
              <w:t>Mr Ben Harris</w:t>
            </w:r>
          </w:p>
        </w:tc>
        <w:tc>
          <w:tcPr>
            <w:tcW w:w="1714" w:type="pct"/>
            <w:hideMark/>
          </w:tcPr>
          <w:p w14:paraId="6C9EDF2D" w14:textId="77777777" w:rsidR="00E44041" w:rsidRPr="005A2FD1" w:rsidRDefault="00E44041" w:rsidP="00544133">
            <w:pPr>
              <w:pStyle w:val="EYTableText"/>
            </w:pPr>
            <w:r w:rsidRPr="005A2FD1">
              <w:t>Private Healthcare Australia</w:t>
            </w:r>
          </w:p>
        </w:tc>
      </w:tr>
      <w:tr w:rsidR="00E44041" w:rsidRPr="005A2FD1" w14:paraId="35E01401" w14:textId="77777777" w:rsidTr="005A2FD1">
        <w:trPr>
          <w:trHeight w:val="20"/>
        </w:trPr>
        <w:tc>
          <w:tcPr>
            <w:tcW w:w="1648" w:type="pct"/>
          </w:tcPr>
          <w:p w14:paraId="00FF354D" w14:textId="77777777" w:rsidR="00E44041" w:rsidRPr="005A2FD1" w:rsidRDefault="00E44041" w:rsidP="00544133">
            <w:pPr>
              <w:pStyle w:val="EYTableText"/>
            </w:pPr>
            <w:r w:rsidRPr="005A2FD1">
              <w:t>Consumer representative</w:t>
            </w:r>
          </w:p>
        </w:tc>
        <w:tc>
          <w:tcPr>
            <w:tcW w:w="1638" w:type="pct"/>
          </w:tcPr>
          <w:p w14:paraId="59AC7CF3" w14:textId="77777777" w:rsidR="00E44041" w:rsidRPr="005A2FD1" w:rsidRDefault="00E44041" w:rsidP="00544133">
            <w:pPr>
              <w:pStyle w:val="EYTableText"/>
            </w:pPr>
            <w:r w:rsidRPr="005A2FD1">
              <w:t>Dr Henry Ko</w:t>
            </w:r>
          </w:p>
        </w:tc>
        <w:tc>
          <w:tcPr>
            <w:tcW w:w="1714" w:type="pct"/>
          </w:tcPr>
          <w:p w14:paraId="49425609" w14:textId="77777777" w:rsidR="00E44041" w:rsidRPr="005A2FD1" w:rsidRDefault="00E44041" w:rsidP="00544133">
            <w:pPr>
              <w:pStyle w:val="EYTableText"/>
            </w:pPr>
            <w:r w:rsidRPr="005A2FD1">
              <w:t>N/A</w:t>
            </w:r>
          </w:p>
        </w:tc>
      </w:tr>
    </w:tbl>
    <w:p w14:paraId="25993051" w14:textId="01D10E7A" w:rsidR="009737FC" w:rsidRPr="00D2484E" w:rsidRDefault="009737FC" w:rsidP="005A2FD1">
      <w:pPr>
        <w:pStyle w:val="Heading2"/>
      </w:pPr>
      <w:r w:rsidRPr="00D2484E">
        <w:t xml:space="preserve">Clinical Advisory Groups </w:t>
      </w:r>
    </w:p>
    <w:tbl>
      <w:tblPr>
        <w:tblStyle w:val="Style1"/>
        <w:tblW w:w="5000" w:type="pct"/>
        <w:tblLook w:val="04A0" w:firstRow="1" w:lastRow="0" w:firstColumn="1" w:lastColumn="0" w:noHBand="0" w:noVBand="1"/>
      </w:tblPr>
      <w:tblGrid>
        <w:gridCol w:w="3030"/>
        <w:gridCol w:w="5989"/>
      </w:tblGrid>
      <w:tr w:rsidR="00B355C7" w:rsidRPr="005A2FD1" w14:paraId="4123B4EC" w14:textId="77777777" w:rsidTr="005A2FD1">
        <w:trPr>
          <w:cnfStyle w:val="100000000000" w:firstRow="1" w:lastRow="0" w:firstColumn="0" w:lastColumn="0" w:oddVBand="0" w:evenVBand="0" w:oddHBand="0" w:evenHBand="0" w:firstRowFirstColumn="0" w:firstRowLastColumn="0" w:lastRowFirstColumn="0" w:lastRowLastColumn="0"/>
          <w:trHeight w:val="20"/>
          <w:tblHeader/>
        </w:trPr>
        <w:tc>
          <w:tcPr>
            <w:tcW w:w="1680" w:type="pct"/>
            <w:hideMark/>
          </w:tcPr>
          <w:p w14:paraId="4C8D4FCA" w14:textId="27CA80E6" w:rsidR="00B355C7" w:rsidRPr="005A2FD1" w:rsidRDefault="004D0321" w:rsidP="00544133">
            <w:pPr>
              <w:pStyle w:val="EYTableHeadingWhite"/>
            </w:pPr>
            <w:bookmarkStart w:id="175" w:name="knee-prostheses-clinical-advisory-group"/>
            <w:bookmarkStart w:id="176" w:name="ophthalmic-prostheses-clinical-advisory-"/>
            <w:bookmarkStart w:id="177" w:name="specialist-orthopaedic-clinical-advisory"/>
            <w:bookmarkStart w:id="178" w:name="spinal-prostheses-clinical-advisory-grou"/>
            <w:bookmarkStart w:id="179" w:name="vascular-prostheses-clinical-advisory-gr"/>
            <w:bookmarkEnd w:id="175"/>
            <w:bookmarkEnd w:id="176"/>
            <w:bookmarkEnd w:id="177"/>
            <w:bookmarkEnd w:id="178"/>
            <w:bookmarkEnd w:id="179"/>
            <w:r w:rsidRPr="005A2FD1">
              <w:t>Role</w:t>
            </w:r>
          </w:p>
        </w:tc>
        <w:tc>
          <w:tcPr>
            <w:tcW w:w="3320" w:type="pct"/>
            <w:hideMark/>
          </w:tcPr>
          <w:p w14:paraId="643ADC56" w14:textId="77777777" w:rsidR="00B355C7" w:rsidRPr="005A2FD1" w:rsidRDefault="00B355C7" w:rsidP="00544133">
            <w:pPr>
              <w:pStyle w:val="EYTableHeadingWhite"/>
            </w:pPr>
            <w:r w:rsidRPr="005A2FD1">
              <w:t>Name</w:t>
            </w:r>
          </w:p>
        </w:tc>
      </w:tr>
      <w:tr w:rsidR="00F45CED" w:rsidRPr="005A2FD1" w14:paraId="5960710C" w14:textId="77777777" w:rsidTr="005A2FD1">
        <w:trPr>
          <w:trHeight w:val="20"/>
        </w:trPr>
        <w:tc>
          <w:tcPr>
            <w:tcW w:w="5000" w:type="pct"/>
            <w:gridSpan w:val="2"/>
            <w:shd w:val="clear" w:color="auto" w:fill="F2F2F2" w:themeFill="background1" w:themeFillShade="F2"/>
            <w:hideMark/>
          </w:tcPr>
          <w:p w14:paraId="6DC92A16" w14:textId="161D18C9" w:rsidR="00F45CED" w:rsidRPr="005A2FD1" w:rsidRDefault="00F45CED" w:rsidP="00544133">
            <w:pPr>
              <w:pStyle w:val="EYTableText"/>
            </w:pPr>
            <w:r w:rsidRPr="005A2FD1">
              <w:t>Cardiac Prostheses Clinical Advisory Group</w:t>
            </w:r>
          </w:p>
        </w:tc>
      </w:tr>
      <w:tr w:rsidR="00B355C7" w:rsidRPr="005A2FD1" w14:paraId="68F4077B" w14:textId="77777777" w:rsidTr="005A2FD1">
        <w:trPr>
          <w:trHeight w:val="20"/>
        </w:trPr>
        <w:tc>
          <w:tcPr>
            <w:tcW w:w="1680" w:type="pct"/>
            <w:hideMark/>
          </w:tcPr>
          <w:p w14:paraId="63DDB84B" w14:textId="77777777" w:rsidR="00B355C7" w:rsidRPr="005A2FD1" w:rsidRDefault="00B355C7" w:rsidP="00544133">
            <w:pPr>
              <w:pStyle w:val="EYTableText"/>
            </w:pPr>
            <w:r w:rsidRPr="005A2FD1">
              <w:t>Chair</w:t>
            </w:r>
          </w:p>
        </w:tc>
        <w:tc>
          <w:tcPr>
            <w:tcW w:w="3320" w:type="pct"/>
            <w:hideMark/>
          </w:tcPr>
          <w:p w14:paraId="4BF3F468" w14:textId="77777777" w:rsidR="00B355C7" w:rsidRPr="005A2FD1" w:rsidRDefault="00B355C7" w:rsidP="00544133">
            <w:pPr>
              <w:pStyle w:val="EYTableText"/>
            </w:pPr>
            <w:r w:rsidRPr="005A2FD1">
              <w:t>Associate Professor Glenn Young</w:t>
            </w:r>
          </w:p>
        </w:tc>
      </w:tr>
      <w:tr w:rsidR="00B355C7" w:rsidRPr="005A2FD1" w14:paraId="1C0814EF" w14:textId="77777777" w:rsidTr="005A2FD1">
        <w:trPr>
          <w:trHeight w:val="20"/>
        </w:trPr>
        <w:tc>
          <w:tcPr>
            <w:tcW w:w="1680" w:type="pct"/>
            <w:vMerge w:val="restart"/>
            <w:hideMark/>
          </w:tcPr>
          <w:p w14:paraId="74CFE162" w14:textId="77777777" w:rsidR="00B355C7" w:rsidRPr="005A2FD1" w:rsidRDefault="00B355C7" w:rsidP="00544133">
            <w:pPr>
              <w:pStyle w:val="EYTableText"/>
            </w:pPr>
            <w:r w:rsidRPr="005A2FD1">
              <w:t>Member</w:t>
            </w:r>
          </w:p>
        </w:tc>
        <w:tc>
          <w:tcPr>
            <w:tcW w:w="3320" w:type="pct"/>
            <w:hideMark/>
          </w:tcPr>
          <w:p w14:paraId="6606556D" w14:textId="77777777" w:rsidR="00B355C7" w:rsidRPr="005A2FD1" w:rsidRDefault="00B355C7" w:rsidP="00544133">
            <w:pPr>
              <w:pStyle w:val="EYTableText"/>
            </w:pPr>
            <w:r w:rsidRPr="005A2FD1">
              <w:t xml:space="preserve">Associate Professor Jayme </w:t>
            </w:r>
            <w:proofErr w:type="spellStart"/>
            <w:r w:rsidRPr="005A2FD1">
              <w:t>Bennetts</w:t>
            </w:r>
            <w:proofErr w:type="spellEnd"/>
          </w:p>
        </w:tc>
      </w:tr>
      <w:tr w:rsidR="00B355C7" w:rsidRPr="005A2FD1" w14:paraId="415FDA07" w14:textId="77777777" w:rsidTr="005A2FD1">
        <w:trPr>
          <w:trHeight w:val="20"/>
        </w:trPr>
        <w:tc>
          <w:tcPr>
            <w:tcW w:w="1680" w:type="pct"/>
            <w:vMerge/>
            <w:hideMark/>
          </w:tcPr>
          <w:p w14:paraId="7D17E299" w14:textId="77777777" w:rsidR="00B355C7" w:rsidRPr="005A2FD1" w:rsidRDefault="00B355C7" w:rsidP="00544133">
            <w:pPr>
              <w:pStyle w:val="EYTableText"/>
            </w:pPr>
          </w:p>
        </w:tc>
        <w:tc>
          <w:tcPr>
            <w:tcW w:w="3320" w:type="pct"/>
            <w:hideMark/>
          </w:tcPr>
          <w:p w14:paraId="185CF641" w14:textId="77777777" w:rsidR="00B355C7" w:rsidRPr="005A2FD1" w:rsidRDefault="00B355C7" w:rsidP="00544133">
            <w:pPr>
              <w:pStyle w:val="EYTableText"/>
            </w:pPr>
            <w:r w:rsidRPr="005A2FD1">
              <w:t>Dr Russell Denman</w:t>
            </w:r>
          </w:p>
        </w:tc>
      </w:tr>
      <w:tr w:rsidR="00B355C7" w:rsidRPr="005A2FD1" w14:paraId="1C50FCA8" w14:textId="77777777" w:rsidTr="005A2FD1">
        <w:trPr>
          <w:trHeight w:val="20"/>
        </w:trPr>
        <w:tc>
          <w:tcPr>
            <w:tcW w:w="1680" w:type="pct"/>
            <w:vMerge/>
            <w:hideMark/>
          </w:tcPr>
          <w:p w14:paraId="153C2426" w14:textId="77777777" w:rsidR="00B355C7" w:rsidRPr="005A2FD1" w:rsidRDefault="00B355C7" w:rsidP="00544133">
            <w:pPr>
              <w:pStyle w:val="EYTableText"/>
            </w:pPr>
          </w:p>
        </w:tc>
        <w:tc>
          <w:tcPr>
            <w:tcW w:w="3320" w:type="pct"/>
            <w:hideMark/>
          </w:tcPr>
          <w:p w14:paraId="3F4384F8" w14:textId="77777777" w:rsidR="00B355C7" w:rsidRPr="005A2FD1" w:rsidRDefault="00B355C7" w:rsidP="00544133">
            <w:pPr>
              <w:pStyle w:val="EYTableText"/>
            </w:pPr>
            <w:r w:rsidRPr="005A2FD1">
              <w:t>Dr Angas Hamer</w:t>
            </w:r>
          </w:p>
        </w:tc>
      </w:tr>
      <w:tr w:rsidR="00B355C7" w:rsidRPr="005A2FD1" w14:paraId="0339880C" w14:textId="77777777" w:rsidTr="005A2FD1">
        <w:trPr>
          <w:trHeight w:val="20"/>
        </w:trPr>
        <w:tc>
          <w:tcPr>
            <w:tcW w:w="1680" w:type="pct"/>
            <w:vMerge/>
            <w:hideMark/>
          </w:tcPr>
          <w:p w14:paraId="69F97559" w14:textId="77777777" w:rsidR="00B355C7" w:rsidRPr="005A2FD1" w:rsidRDefault="00B355C7" w:rsidP="00544133">
            <w:pPr>
              <w:pStyle w:val="EYTableText"/>
            </w:pPr>
          </w:p>
        </w:tc>
        <w:tc>
          <w:tcPr>
            <w:tcW w:w="3320" w:type="pct"/>
            <w:hideMark/>
          </w:tcPr>
          <w:p w14:paraId="2217B9A4" w14:textId="77777777" w:rsidR="00B355C7" w:rsidRPr="005A2FD1" w:rsidRDefault="00B355C7" w:rsidP="00544133">
            <w:pPr>
              <w:pStyle w:val="EYTableText"/>
            </w:pPr>
            <w:r w:rsidRPr="005A2FD1">
              <w:t>Dr Sharad Shetty</w:t>
            </w:r>
          </w:p>
        </w:tc>
      </w:tr>
      <w:tr w:rsidR="00B355C7" w:rsidRPr="005A2FD1" w14:paraId="4673CF52" w14:textId="77777777" w:rsidTr="005A2FD1">
        <w:trPr>
          <w:trHeight w:val="20"/>
        </w:trPr>
        <w:tc>
          <w:tcPr>
            <w:tcW w:w="1680" w:type="pct"/>
            <w:vMerge/>
            <w:hideMark/>
          </w:tcPr>
          <w:p w14:paraId="5124E211" w14:textId="77777777" w:rsidR="00B355C7" w:rsidRPr="005A2FD1" w:rsidRDefault="00B355C7" w:rsidP="00544133">
            <w:pPr>
              <w:pStyle w:val="EYTableText"/>
            </w:pPr>
          </w:p>
        </w:tc>
        <w:tc>
          <w:tcPr>
            <w:tcW w:w="3320" w:type="pct"/>
            <w:hideMark/>
          </w:tcPr>
          <w:p w14:paraId="0F017861" w14:textId="77777777" w:rsidR="00B355C7" w:rsidRPr="005A2FD1" w:rsidRDefault="00B355C7" w:rsidP="00544133">
            <w:pPr>
              <w:pStyle w:val="EYTableText"/>
            </w:pPr>
            <w:r w:rsidRPr="005A2FD1">
              <w:t>Professor Darren Walters</w:t>
            </w:r>
          </w:p>
        </w:tc>
      </w:tr>
      <w:tr w:rsidR="00B355C7" w:rsidRPr="005A2FD1" w14:paraId="2DFDCC94" w14:textId="77777777" w:rsidTr="005A2FD1">
        <w:trPr>
          <w:trHeight w:val="20"/>
        </w:trPr>
        <w:tc>
          <w:tcPr>
            <w:tcW w:w="1680" w:type="pct"/>
            <w:hideMark/>
          </w:tcPr>
          <w:p w14:paraId="63E54B76" w14:textId="77777777" w:rsidR="00B355C7" w:rsidRPr="005A2FD1" w:rsidRDefault="00B355C7" w:rsidP="00544133">
            <w:pPr>
              <w:pStyle w:val="EYTableText"/>
            </w:pPr>
            <w:r w:rsidRPr="005A2FD1">
              <w:t>Consumer representative</w:t>
            </w:r>
          </w:p>
        </w:tc>
        <w:tc>
          <w:tcPr>
            <w:tcW w:w="3320" w:type="pct"/>
            <w:hideMark/>
          </w:tcPr>
          <w:p w14:paraId="6E8CE36D" w14:textId="77777777" w:rsidR="00B355C7" w:rsidRPr="005A2FD1" w:rsidRDefault="00B355C7" w:rsidP="00544133">
            <w:pPr>
              <w:pStyle w:val="EYTableText"/>
            </w:pPr>
            <w:r w:rsidRPr="005A2FD1">
              <w:t xml:space="preserve">Ms Eileen </w:t>
            </w:r>
            <w:proofErr w:type="spellStart"/>
            <w:r w:rsidRPr="005A2FD1">
              <w:t>Jerga</w:t>
            </w:r>
            <w:proofErr w:type="spellEnd"/>
            <w:r w:rsidRPr="005A2FD1">
              <w:t xml:space="preserve"> AM</w:t>
            </w:r>
          </w:p>
        </w:tc>
      </w:tr>
      <w:tr w:rsidR="00F45CED" w:rsidRPr="005A2FD1" w14:paraId="63347325" w14:textId="77777777" w:rsidTr="005A2FD1">
        <w:trPr>
          <w:trHeight w:val="20"/>
        </w:trPr>
        <w:tc>
          <w:tcPr>
            <w:tcW w:w="5000" w:type="pct"/>
            <w:gridSpan w:val="2"/>
            <w:shd w:val="clear" w:color="auto" w:fill="F2F2F2" w:themeFill="background1" w:themeFillShade="F2"/>
            <w:hideMark/>
          </w:tcPr>
          <w:p w14:paraId="556D7528" w14:textId="6478FBE7" w:rsidR="00F45CED" w:rsidRPr="005A2FD1" w:rsidRDefault="00F45CED" w:rsidP="00544133">
            <w:pPr>
              <w:pStyle w:val="EYTableText"/>
            </w:pPr>
            <w:r w:rsidRPr="005A2FD1">
              <w:t>Cardiothoracic Prostheses Clinical Advisory Group</w:t>
            </w:r>
          </w:p>
        </w:tc>
      </w:tr>
      <w:tr w:rsidR="00B355C7" w:rsidRPr="005A2FD1" w14:paraId="37DDF848" w14:textId="77777777" w:rsidTr="005A2FD1">
        <w:trPr>
          <w:trHeight w:val="20"/>
        </w:trPr>
        <w:tc>
          <w:tcPr>
            <w:tcW w:w="1680" w:type="pct"/>
            <w:hideMark/>
          </w:tcPr>
          <w:p w14:paraId="6E3236B1" w14:textId="77777777" w:rsidR="00B355C7" w:rsidRPr="005A2FD1" w:rsidRDefault="00B355C7" w:rsidP="00544133">
            <w:pPr>
              <w:pStyle w:val="EYTableText"/>
            </w:pPr>
            <w:r w:rsidRPr="005A2FD1">
              <w:t>Chair</w:t>
            </w:r>
          </w:p>
        </w:tc>
        <w:tc>
          <w:tcPr>
            <w:tcW w:w="3320" w:type="pct"/>
            <w:hideMark/>
          </w:tcPr>
          <w:p w14:paraId="176925DB" w14:textId="77777777" w:rsidR="00B355C7" w:rsidRPr="005A2FD1" w:rsidRDefault="00B355C7" w:rsidP="00544133">
            <w:pPr>
              <w:pStyle w:val="EYTableText"/>
            </w:pPr>
            <w:r w:rsidRPr="005A2FD1">
              <w:t xml:space="preserve">Associate Professor Jayme </w:t>
            </w:r>
            <w:proofErr w:type="spellStart"/>
            <w:r w:rsidRPr="005A2FD1">
              <w:t>Bennetts</w:t>
            </w:r>
            <w:proofErr w:type="spellEnd"/>
          </w:p>
        </w:tc>
      </w:tr>
      <w:tr w:rsidR="00B355C7" w:rsidRPr="005A2FD1" w14:paraId="6E1677DB" w14:textId="77777777" w:rsidTr="005A2FD1">
        <w:trPr>
          <w:trHeight w:val="20"/>
        </w:trPr>
        <w:tc>
          <w:tcPr>
            <w:tcW w:w="1680" w:type="pct"/>
            <w:vMerge w:val="restart"/>
            <w:hideMark/>
          </w:tcPr>
          <w:p w14:paraId="598AC50F" w14:textId="77777777" w:rsidR="00B355C7" w:rsidRPr="005A2FD1" w:rsidRDefault="00B355C7" w:rsidP="00544133">
            <w:pPr>
              <w:pStyle w:val="EYTableText"/>
            </w:pPr>
            <w:r w:rsidRPr="005A2FD1">
              <w:lastRenderedPageBreak/>
              <w:t>Member</w:t>
            </w:r>
          </w:p>
        </w:tc>
        <w:tc>
          <w:tcPr>
            <w:tcW w:w="3320" w:type="pct"/>
            <w:hideMark/>
          </w:tcPr>
          <w:p w14:paraId="3BB6C7A9" w14:textId="77777777" w:rsidR="00B355C7" w:rsidRPr="005A2FD1" w:rsidRDefault="00B355C7" w:rsidP="00544133">
            <w:pPr>
              <w:pStyle w:val="EYTableText"/>
            </w:pPr>
            <w:r w:rsidRPr="005A2FD1">
              <w:t>Mr Bruce Davis</w:t>
            </w:r>
          </w:p>
        </w:tc>
      </w:tr>
      <w:tr w:rsidR="00B355C7" w:rsidRPr="005A2FD1" w14:paraId="6385C3B4" w14:textId="77777777" w:rsidTr="005A2FD1">
        <w:trPr>
          <w:trHeight w:val="20"/>
        </w:trPr>
        <w:tc>
          <w:tcPr>
            <w:tcW w:w="1680" w:type="pct"/>
            <w:vMerge/>
            <w:hideMark/>
          </w:tcPr>
          <w:p w14:paraId="6F01081D" w14:textId="77777777" w:rsidR="00B355C7" w:rsidRPr="005A2FD1" w:rsidRDefault="00B355C7" w:rsidP="00544133">
            <w:pPr>
              <w:pStyle w:val="EYTableText"/>
            </w:pPr>
          </w:p>
        </w:tc>
        <w:tc>
          <w:tcPr>
            <w:tcW w:w="3320" w:type="pct"/>
            <w:hideMark/>
          </w:tcPr>
          <w:p w14:paraId="15A12E9C" w14:textId="77777777" w:rsidR="00B355C7" w:rsidRPr="005A2FD1" w:rsidRDefault="00B355C7" w:rsidP="00544133">
            <w:pPr>
              <w:pStyle w:val="EYTableText"/>
            </w:pPr>
            <w:r w:rsidRPr="005A2FD1">
              <w:t>Dr Hugh Wolfenden</w:t>
            </w:r>
          </w:p>
        </w:tc>
      </w:tr>
      <w:tr w:rsidR="00B355C7" w:rsidRPr="005A2FD1" w14:paraId="1766ECE8" w14:textId="77777777" w:rsidTr="005A2FD1">
        <w:trPr>
          <w:trHeight w:val="20"/>
        </w:trPr>
        <w:tc>
          <w:tcPr>
            <w:tcW w:w="1680" w:type="pct"/>
            <w:vMerge/>
            <w:hideMark/>
          </w:tcPr>
          <w:p w14:paraId="1DB1B09A" w14:textId="77777777" w:rsidR="00B355C7" w:rsidRPr="005A2FD1" w:rsidRDefault="00B355C7" w:rsidP="00544133">
            <w:pPr>
              <w:pStyle w:val="EYTableText"/>
            </w:pPr>
          </w:p>
        </w:tc>
        <w:tc>
          <w:tcPr>
            <w:tcW w:w="3320" w:type="pct"/>
            <w:hideMark/>
          </w:tcPr>
          <w:p w14:paraId="44D0C01D" w14:textId="77777777" w:rsidR="00B355C7" w:rsidRPr="005A2FD1" w:rsidRDefault="00B355C7" w:rsidP="00544133">
            <w:pPr>
              <w:pStyle w:val="EYTableText"/>
            </w:pPr>
            <w:r w:rsidRPr="005A2FD1">
              <w:t>Dr Morgan Windsor</w:t>
            </w:r>
          </w:p>
        </w:tc>
      </w:tr>
      <w:tr w:rsidR="00B355C7" w:rsidRPr="005A2FD1" w14:paraId="0CE818AD" w14:textId="77777777" w:rsidTr="005A2FD1">
        <w:trPr>
          <w:trHeight w:val="20"/>
        </w:trPr>
        <w:tc>
          <w:tcPr>
            <w:tcW w:w="1680" w:type="pct"/>
            <w:hideMark/>
          </w:tcPr>
          <w:p w14:paraId="629B47FC" w14:textId="77777777" w:rsidR="00B355C7" w:rsidRPr="005A2FD1" w:rsidRDefault="00B355C7" w:rsidP="00544133">
            <w:pPr>
              <w:pStyle w:val="EYTableText"/>
            </w:pPr>
            <w:r w:rsidRPr="005A2FD1">
              <w:t>Consumer representative</w:t>
            </w:r>
          </w:p>
        </w:tc>
        <w:tc>
          <w:tcPr>
            <w:tcW w:w="3320" w:type="pct"/>
            <w:hideMark/>
          </w:tcPr>
          <w:p w14:paraId="7A25883A" w14:textId="77777777" w:rsidR="00B355C7" w:rsidRPr="005A2FD1" w:rsidRDefault="00B355C7" w:rsidP="00544133">
            <w:pPr>
              <w:pStyle w:val="EYTableText"/>
            </w:pPr>
            <w:r w:rsidRPr="005A2FD1">
              <w:t>Mrs Monica Schlesinger</w:t>
            </w:r>
          </w:p>
        </w:tc>
      </w:tr>
      <w:tr w:rsidR="00F45CED" w:rsidRPr="005A2FD1" w14:paraId="5B0A523C" w14:textId="77777777" w:rsidTr="005A2FD1">
        <w:trPr>
          <w:trHeight w:val="20"/>
        </w:trPr>
        <w:tc>
          <w:tcPr>
            <w:tcW w:w="5000" w:type="pct"/>
            <w:gridSpan w:val="2"/>
            <w:shd w:val="clear" w:color="auto" w:fill="F2F2F2" w:themeFill="background1" w:themeFillShade="F2"/>
            <w:hideMark/>
          </w:tcPr>
          <w:p w14:paraId="19C2A395" w14:textId="6E0E3E21" w:rsidR="00F45CED" w:rsidRPr="005A2FD1" w:rsidRDefault="00F45CED" w:rsidP="00544133">
            <w:pPr>
              <w:pStyle w:val="EYTableText"/>
            </w:pPr>
            <w:r w:rsidRPr="005A2FD1">
              <w:t>Hip Prostheses Clinical Advisory Group</w:t>
            </w:r>
          </w:p>
        </w:tc>
      </w:tr>
      <w:tr w:rsidR="00B355C7" w:rsidRPr="005A2FD1" w14:paraId="5C24A1C0" w14:textId="77777777" w:rsidTr="005A2FD1">
        <w:trPr>
          <w:trHeight w:val="20"/>
        </w:trPr>
        <w:tc>
          <w:tcPr>
            <w:tcW w:w="1680" w:type="pct"/>
            <w:hideMark/>
          </w:tcPr>
          <w:p w14:paraId="3601B019" w14:textId="77777777" w:rsidR="00B355C7" w:rsidRPr="005A2FD1" w:rsidRDefault="00B355C7" w:rsidP="00544133">
            <w:pPr>
              <w:pStyle w:val="EYTableText"/>
            </w:pPr>
            <w:r w:rsidRPr="005A2FD1">
              <w:t>Chair</w:t>
            </w:r>
          </w:p>
        </w:tc>
        <w:tc>
          <w:tcPr>
            <w:tcW w:w="3320" w:type="pct"/>
            <w:hideMark/>
          </w:tcPr>
          <w:p w14:paraId="79CD82EC" w14:textId="77777777" w:rsidR="00B355C7" w:rsidRPr="005A2FD1" w:rsidRDefault="00B355C7" w:rsidP="00544133">
            <w:pPr>
              <w:pStyle w:val="EYTableText"/>
            </w:pPr>
            <w:r w:rsidRPr="005A2FD1">
              <w:t>Professor Stephen Graves</w:t>
            </w:r>
          </w:p>
        </w:tc>
      </w:tr>
      <w:tr w:rsidR="00B355C7" w:rsidRPr="005A2FD1" w14:paraId="410191A2" w14:textId="77777777" w:rsidTr="005A2FD1">
        <w:trPr>
          <w:trHeight w:val="20"/>
        </w:trPr>
        <w:tc>
          <w:tcPr>
            <w:tcW w:w="1680" w:type="pct"/>
            <w:vMerge w:val="restart"/>
            <w:hideMark/>
          </w:tcPr>
          <w:p w14:paraId="045E3312" w14:textId="77777777" w:rsidR="00B355C7" w:rsidRPr="005A2FD1" w:rsidRDefault="00B355C7" w:rsidP="00544133">
            <w:pPr>
              <w:pStyle w:val="EYTableText"/>
            </w:pPr>
            <w:r w:rsidRPr="005A2FD1">
              <w:t>Member</w:t>
            </w:r>
          </w:p>
        </w:tc>
        <w:tc>
          <w:tcPr>
            <w:tcW w:w="3320" w:type="pct"/>
            <w:hideMark/>
          </w:tcPr>
          <w:p w14:paraId="2CD9F7BB" w14:textId="77777777" w:rsidR="00B355C7" w:rsidRPr="005A2FD1" w:rsidRDefault="00B355C7" w:rsidP="00544133">
            <w:pPr>
              <w:pStyle w:val="EYTableText"/>
            </w:pPr>
            <w:r w:rsidRPr="005A2FD1">
              <w:t>Mr John Harris</w:t>
            </w:r>
          </w:p>
        </w:tc>
      </w:tr>
      <w:tr w:rsidR="00B355C7" w:rsidRPr="005A2FD1" w14:paraId="22F3B8CF" w14:textId="77777777" w:rsidTr="005A2FD1">
        <w:trPr>
          <w:trHeight w:val="20"/>
        </w:trPr>
        <w:tc>
          <w:tcPr>
            <w:tcW w:w="1680" w:type="pct"/>
            <w:vMerge/>
            <w:hideMark/>
          </w:tcPr>
          <w:p w14:paraId="743CBF60" w14:textId="77777777" w:rsidR="00B355C7" w:rsidRPr="005A2FD1" w:rsidRDefault="00B355C7" w:rsidP="00544133">
            <w:pPr>
              <w:pStyle w:val="EYTableText"/>
            </w:pPr>
          </w:p>
        </w:tc>
        <w:tc>
          <w:tcPr>
            <w:tcW w:w="3320" w:type="pct"/>
            <w:hideMark/>
          </w:tcPr>
          <w:p w14:paraId="5986C9AC" w14:textId="77777777" w:rsidR="00B355C7" w:rsidRPr="005A2FD1" w:rsidRDefault="00B355C7" w:rsidP="00544133">
            <w:pPr>
              <w:pStyle w:val="EYTableText"/>
            </w:pPr>
            <w:r w:rsidRPr="005A2FD1">
              <w:t>Associate Professor Graham Mercer</w:t>
            </w:r>
          </w:p>
        </w:tc>
      </w:tr>
      <w:tr w:rsidR="00B355C7" w:rsidRPr="005A2FD1" w14:paraId="5F02C304" w14:textId="77777777" w:rsidTr="005A2FD1">
        <w:trPr>
          <w:trHeight w:val="20"/>
        </w:trPr>
        <w:tc>
          <w:tcPr>
            <w:tcW w:w="1680" w:type="pct"/>
            <w:vMerge/>
            <w:hideMark/>
          </w:tcPr>
          <w:p w14:paraId="7B059132" w14:textId="77777777" w:rsidR="00B355C7" w:rsidRPr="005A2FD1" w:rsidRDefault="00B355C7" w:rsidP="00544133">
            <w:pPr>
              <w:pStyle w:val="EYTableText"/>
            </w:pPr>
          </w:p>
        </w:tc>
        <w:tc>
          <w:tcPr>
            <w:tcW w:w="3320" w:type="pct"/>
            <w:hideMark/>
          </w:tcPr>
          <w:p w14:paraId="1FA02D9E" w14:textId="77777777" w:rsidR="00B355C7" w:rsidRPr="005A2FD1" w:rsidRDefault="00B355C7" w:rsidP="00544133">
            <w:pPr>
              <w:pStyle w:val="EYTableText"/>
            </w:pPr>
            <w:r w:rsidRPr="005A2FD1">
              <w:t>Mr James Stoney</w:t>
            </w:r>
          </w:p>
        </w:tc>
      </w:tr>
      <w:tr w:rsidR="00B355C7" w:rsidRPr="005A2FD1" w14:paraId="187015B7" w14:textId="77777777" w:rsidTr="005A2FD1">
        <w:trPr>
          <w:trHeight w:val="20"/>
        </w:trPr>
        <w:tc>
          <w:tcPr>
            <w:tcW w:w="1680" w:type="pct"/>
            <w:hideMark/>
          </w:tcPr>
          <w:p w14:paraId="08004846" w14:textId="77777777" w:rsidR="00B355C7" w:rsidRPr="005A2FD1" w:rsidRDefault="00B355C7" w:rsidP="00544133">
            <w:pPr>
              <w:pStyle w:val="EYTableText"/>
            </w:pPr>
            <w:r w:rsidRPr="005A2FD1">
              <w:t>Consumer representative</w:t>
            </w:r>
          </w:p>
        </w:tc>
        <w:tc>
          <w:tcPr>
            <w:tcW w:w="3320" w:type="pct"/>
            <w:hideMark/>
          </w:tcPr>
          <w:p w14:paraId="0DE1546A" w14:textId="77777777" w:rsidR="00B355C7" w:rsidRPr="005A2FD1" w:rsidRDefault="00B355C7" w:rsidP="00544133">
            <w:pPr>
              <w:pStyle w:val="EYTableText"/>
            </w:pPr>
            <w:r w:rsidRPr="005A2FD1">
              <w:t>Mr Neville Millen</w:t>
            </w:r>
          </w:p>
        </w:tc>
      </w:tr>
      <w:tr w:rsidR="00774E8D" w:rsidRPr="005A2FD1" w14:paraId="6360C1F6" w14:textId="77777777" w:rsidTr="005A2FD1">
        <w:trPr>
          <w:trHeight w:val="20"/>
        </w:trPr>
        <w:tc>
          <w:tcPr>
            <w:tcW w:w="5000" w:type="pct"/>
            <w:gridSpan w:val="2"/>
            <w:shd w:val="clear" w:color="auto" w:fill="F2F2F2" w:themeFill="background1" w:themeFillShade="F2"/>
            <w:hideMark/>
          </w:tcPr>
          <w:p w14:paraId="0A5E6BF8" w14:textId="6CF9F0C9" w:rsidR="00774E8D" w:rsidRPr="005A2FD1" w:rsidRDefault="00774E8D" w:rsidP="00544133">
            <w:pPr>
              <w:pStyle w:val="EYTableText"/>
            </w:pPr>
            <w:r w:rsidRPr="005A2FD1">
              <w:t>Knee Prostheses Clinical Advisory Group</w:t>
            </w:r>
          </w:p>
        </w:tc>
      </w:tr>
      <w:tr w:rsidR="00B355C7" w:rsidRPr="005A2FD1" w14:paraId="0C2F890E" w14:textId="77777777" w:rsidTr="005A2FD1">
        <w:trPr>
          <w:trHeight w:val="20"/>
        </w:trPr>
        <w:tc>
          <w:tcPr>
            <w:tcW w:w="1680" w:type="pct"/>
            <w:hideMark/>
          </w:tcPr>
          <w:p w14:paraId="11FDF567" w14:textId="77777777" w:rsidR="00B355C7" w:rsidRPr="005A2FD1" w:rsidRDefault="00B355C7" w:rsidP="00544133">
            <w:pPr>
              <w:pStyle w:val="EYTableText"/>
            </w:pPr>
            <w:r w:rsidRPr="005A2FD1">
              <w:t>Chair</w:t>
            </w:r>
          </w:p>
        </w:tc>
        <w:tc>
          <w:tcPr>
            <w:tcW w:w="3320" w:type="pct"/>
            <w:hideMark/>
          </w:tcPr>
          <w:p w14:paraId="56BC2DA2" w14:textId="77777777" w:rsidR="00B355C7" w:rsidRPr="005A2FD1" w:rsidRDefault="00B355C7" w:rsidP="00544133">
            <w:pPr>
              <w:pStyle w:val="EYTableText"/>
            </w:pPr>
            <w:r w:rsidRPr="005A2FD1">
              <w:t>Dr Peter Lewis</w:t>
            </w:r>
          </w:p>
        </w:tc>
      </w:tr>
      <w:tr w:rsidR="00B355C7" w:rsidRPr="005A2FD1" w14:paraId="672C1D9F" w14:textId="77777777" w:rsidTr="005A2FD1">
        <w:trPr>
          <w:trHeight w:val="20"/>
        </w:trPr>
        <w:tc>
          <w:tcPr>
            <w:tcW w:w="1680" w:type="pct"/>
            <w:vMerge w:val="restart"/>
            <w:hideMark/>
          </w:tcPr>
          <w:p w14:paraId="16A99277" w14:textId="77777777" w:rsidR="00B355C7" w:rsidRPr="005A2FD1" w:rsidRDefault="00B355C7" w:rsidP="00544133">
            <w:pPr>
              <w:pStyle w:val="EYTableText"/>
            </w:pPr>
            <w:r w:rsidRPr="005A2FD1">
              <w:t>Member</w:t>
            </w:r>
          </w:p>
        </w:tc>
        <w:tc>
          <w:tcPr>
            <w:tcW w:w="3320" w:type="pct"/>
            <w:hideMark/>
          </w:tcPr>
          <w:p w14:paraId="02649170" w14:textId="77777777" w:rsidR="00B355C7" w:rsidRPr="005A2FD1" w:rsidRDefault="00B355C7" w:rsidP="00544133">
            <w:pPr>
              <w:pStyle w:val="EYTableText"/>
            </w:pPr>
            <w:r w:rsidRPr="005A2FD1">
              <w:t>Professor Stephen Graves</w:t>
            </w:r>
          </w:p>
        </w:tc>
      </w:tr>
      <w:tr w:rsidR="00B355C7" w:rsidRPr="005A2FD1" w14:paraId="475B127E" w14:textId="77777777" w:rsidTr="005A2FD1">
        <w:trPr>
          <w:trHeight w:val="20"/>
        </w:trPr>
        <w:tc>
          <w:tcPr>
            <w:tcW w:w="1680" w:type="pct"/>
            <w:vMerge/>
            <w:hideMark/>
          </w:tcPr>
          <w:p w14:paraId="227955DA" w14:textId="77777777" w:rsidR="00B355C7" w:rsidRPr="005A2FD1" w:rsidRDefault="00B355C7" w:rsidP="00544133">
            <w:pPr>
              <w:pStyle w:val="EYTableText"/>
            </w:pPr>
          </w:p>
        </w:tc>
        <w:tc>
          <w:tcPr>
            <w:tcW w:w="3320" w:type="pct"/>
            <w:hideMark/>
          </w:tcPr>
          <w:p w14:paraId="23DF44B1" w14:textId="77777777" w:rsidR="00B355C7" w:rsidRPr="005A2FD1" w:rsidRDefault="00B355C7" w:rsidP="00544133">
            <w:pPr>
              <w:pStyle w:val="EYTableText"/>
            </w:pPr>
            <w:r w:rsidRPr="005A2FD1">
              <w:t xml:space="preserve">Associate Professor Stephen </w:t>
            </w:r>
            <w:proofErr w:type="spellStart"/>
            <w:r w:rsidRPr="005A2FD1">
              <w:t>Rackemann</w:t>
            </w:r>
            <w:proofErr w:type="spellEnd"/>
          </w:p>
        </w:tc>
      </w:tr>
      <w:tr w:rsidR="00B355C7" w:rsidRPr="005A2FD1" w14:paraId="63CDDBD7" w14:textId="77777777" w:rsidTr="005A2FD1">
        <w:trPr>
          <w:trHeight w:val="20"/>
        </w:trPr>
        <w:tc>
          <w:tcPr>
            <w:tcW w:w="1680" w:type="pct"/>
            <w:vMerge/>
            <w:hideMark/>
          </w:tcPr>
          <w:p w14:paraId="0BE13D99" w14:textId="77777777" w:rsidR="00B355C7" w:rsidRPr="005A2FD1" w:rsidRDefault="00B355C7" w:rsidP="00544133">
            <w:pPr>
              <w:pStyle w:val="EYTableText"/>
            </w:pPr>
          </w:p>
        </w:tc>
        <w:tc>
          <w:tcPr>
            <w:tcW w:w="3320" w:type="pct"/>
            <w:hideMark/>
          </w:tcPr>
          <w:p w14:paraId="5B04D78B" w14:textId="77777777" w:rsidR="00B355C7" w:rsidRPr="005A2FD1" w:rsidRDefault="00B355C7" w:rsidP="00544133">
            <w:pPr>
              <w:pStyle w:val="EYTableText"/>
            </w:pPr>
            <w:r w:rsidRPr="005A2FD1">
              <w:t xml:space="preserve">Associate Professor Christopher </w:t>
            </w:r>
            <w:proofErr w:type="spellStart"/>
            <w:r w:rsidRPr="005A2FD1">
              <w:t>Vertullo</w:t>
            </w:r>
            <w:proofErr w:type="spellEnd"/>
          </w:p>
        </w:tc>
      </w:tr>
      <w:tr w:rsidR="00B355C7" w:rsidRPr="005A2FD1" w14:paraId="3700BC5D" w14:textId="77777777" w:rsidTr="005A2FD1">
        <w:trPr>
          <w:trHeight w:val="20"/>
        </w:trPr>
        <w:tc>
          <w:tcPr>
            <w:tcW w:w="1680" w:type="pct"/>
            <w:hideMark/>
          </w:tcPr>
          <w:p w14:paraId="6B77B9F8" w14:textId="77777777" w:rsidR="00B355C7" w:rsidRPr="005A2FD1" w:rsidRDefault="00B355C7" w:rsidP="00544133">
            <w:pPr>
              <w:pStyle w:val="EYTableText"/>
            </w:pPr>
            <w:r w:rsidRPr="005A2FD1">
              <w:t>Consumer representative</w:t>
            </w:r>
          </w:p>
        </w:tc>
        <w:tc>
          <w:tcPr>
            <w:tcW w:w="3320" w:type="pct"/>
            <w:hideMark/>
          </w:tcPr>
          <w:p w14:paraId="6B264A64" w14:textId="77777777" w:rsidR="00B355C7" w:rsidRPr="005A2FD1" w:rsidRDefault="00B355C7" w:rsidP="00544133">
            <w:pPr>
              <w:pStyle w:val="EYTableText"/>
            </w:pPr>
            <w:r w:rsidRPr="005A2FD1">
              <w:t xml:space="preserve">Dr Colleen </w:t>
            </w:r>
            <w:proofErr w:type="spellStart"/>
            <w:r w:rsidRPr="005A2FD1">
              <w:t>Papadopolos</w:t>
            </w:r>
            <w:proofErr w:type="spellEnd"/>
          </w:p>
        </w:tc>
      </w:tr>
      <w:tr w:rsidR="00774E8D" w:rsidRPr="005A2FD1" w14:paraId="6F7B61AF" w14:textId="77777777" w:rsidTr="005A2FD1">
        <w:trPr>
          <w:trHeight w:val="20"/>
        </w:trPr>
        <w:tc>
          <w:tcPr>
            <w:tcW w:w="5000" w:type="pct"/>
            <w:gridSpan w:val="2"/>
            <w:shd w:val="clear" w:color="auto" w:fill="F2F2F2" w:themeFill="background1" w:themeFillShade="F2"/>
            <w:hideMark/>
          </w:tcPr>
          <w:p w14:paraId="6BDBEF62" w14:textId="0ACAC5FB" w:rsidR="00774E8D" w:rsidRPr="005A2FD1" w:rsidRDefault="00774E8D" w:rsidP="00544133">
            <w:pPr>
              <w:pStyle w:val="EYTableText"/>
            </w:pPr>
            <w:r w:rsidRPr="005A2FD1">
              <w:t>Knee Prostheses Clinical Advisory Group</w:t>
            </w:r>
          </w:p>
        </w:tc>
      </w:tr>
      <w:tr w:rsidR="00B355C7" w:rsidRPr="005A2FD1" w14:paraId="361889D7" w14:textId="77777777" w:rsidTr="005A2FD1">
        <w:trPr>
          <w:trHeight w:val="20"/>
        </w:trPr>
        <w:tc>
          <w:tcPr>
            <w:tcW w:w="1680" w:type="pct"/>
            <w:hideMark/>
          </w:tcPr>
          <w:p w14:paraId="6B5F63BE" w14:textId="77777777" w:rsidR="00B355C7" w:rsidRPr="005A2FD1" w:rsidRDefault="00B355C7" w:rsidP="00544133">
            <w:pPr>
              <w:pStyle w:val="EYTableText"/>
            </w:pPr>
            <w:r w:rsidRPr="005A2FD1">
              <w:t>Chair</w:t>
            </w:r>
          </w:p>
        </w:tc>
        <w:tc>
          <w:tcPr>
            <w:tcW w:w="3320" w:type="pct"/>
            <w:hideMark/>
          </w:tcPr>
          <w:p w14:paraId="458262E3" w14:textId="77777777" w:rsidR="00B355C7" w:rsidRPr="005A2FD1" w:rsidRDefault="00B355C7" w:rsidP="00544133">
            <w:pPr>
              <w:pStyle w:val="EYTableText"/>
            </w:pPr>
            <w:r w:rsidRPr="005A2FD1">
              <w:t>Dr Peter Lewis</w:t>
            </w:r>
          </w:p>
        </w:tc>
      </w:tr>
      <w:tr w:rsidR="00B355C7" w:rsidRPr="005A2FD1" w14:paraId="56AFD492" w14:textId="77777777" w:rsidTr="005A2FD1">
        <w:trPr>
          <w:trHeight w:val="20"/>
        </w:trPr>
        <w:tc>
          <w:tcPr>
            <w:tcW w:w="1680" w:type="pct"/>
            <w:vMerge w:val="restart"/>
            <w:hideMark/>
          </w:tcPr>
          <w:p w14:paraId="666CBBBE" w14:textId="77777777" w:rsidR="00B355C7" w:rsidRPr="005A2FD1" w:rsidRDefault="00B355C7" w:rsidP="00544133">
            <w:pPr>
              <w:pStyle w:val="EYTableText"/>
            </w:pPr>
            <w:r w:rsidRPr="005A2FD1">
              <w:t>Member</w:t>
            </w:r>
          </w:p>
        </w:tc>
        <w:tc>
          <w:tcPr>
            <w:tcW w:w="3320" w:type="pct"/>
            <w:hideMark/>
          </w:tcPr>
          <w:p w14:paraId="746B6287" w14:textId="77777777" w:rsidR="00B355C7" w:rsidRPr="005A2FD1" w:rsidRDefault="00B355C7" w:rsidP="00544133">
            <w:pPr>
              <w:pStyle w:val="EYTableText"/>
            </w:pPr>
            <w:r w:rsidRPr="005A2FD1">
              <w:t>Professor Stephen Graves</w:t>
            </w:r>
          </w:p>
        </w:tc>
      </w:tr>
      <w:tr w:rsidR="00B355C7" w:rsidRPr="005A2FD1" w14:paraId="5C009FC9" w14:textId="77777777" w:rsidTr="005A2FD1">
        <w:trPr>
          <w:trHeight w:val="20"/>
        </w:trPr>
        <w:tc>
          <w:tcPr>
            <w:tcW w:w="1680" w:type="pct"/>
            <w:vMerge/>
            <w:hideMark/>
          </w:tcPr>
          <w:p w14:paraId="327AC4E0" w14:textId="77777777" w:rsidR="00B355C7" w:rsidRPr="005A2FD1" w:rsidRDefault="00B355C7" w:rsidP="00544133">
            <w:pPr>
              <w:pStyle w:val="EYTableText"/>
            </w:pPr>
          </w:p>
        </w:tc>
        <w:tc>
          <w:tcPr>
            <w:tcW w:w="3320" w:type="pct"/>
            <w:hideMark/>
          </w:tcPr>
          <w:p w14:paraId="2ADF8511" w14:textId="77777777" w:rsidR="00B355C7" w:rsidRPr="005A2FD1" w:rsidRDefault="00B355C7" w:rsidP="00544133">
            <w:pPr>
              <w:pStyle w:val="EYTableText"/>
            </w:pPr>
            <w:r w:rsidRPr="005A2FD1">
              <w:t xml:space="preserve">Associate Professor Stephen </w:t>
            </w:r>
            <w:proofErr w:type="spellStart"/>
            <w:r w:rsidRPr="005A2FD1">
              <w:t>Rackemann</w:t>
            </w:r>
            <w:proofErr w:type="spellEnd"/>
          </w:p>
        </w:tc>
      </w:tr>
      <w:tr w:rsidR="00B355C7" w:rsidRPr="005A2FD1" w14:paraId="3B0ECFD2" w14:textId="77777777" w:rsidTr="005A2FD1">
        <w:trPr>
          <w:trHeight w:val="20"/>
        </w:trPr>
        <w:tc>
          <w:tcPr>
            <w:tcW w:w="1680" w:type="pct"/>
            <w:vMerge/>
            <w:hideMark/>
          </w:tcPr>
          <w:p w14:paraId="1EFECE38" w14:textId="77777777" w:rsidR="00B355C7" w:rsidRPr="005A2FD1" w:rsidRDefault="00B355C7" w:rsidP="00544133">
            <w:pPr>
              <w:pStyle w:val="EYTableText"/>
            </w:pPr>
          </w:p>
        </w:tc>
        <w:tc>
          <w:tcPr>
            <w:tcW w:w="3320" w:type="pct"/>
            <w:hideMark/>
          </w:tcPr>
          <w:p w14:paraId="3039F8E9" w14:textId="77777777" w:rsidR="00B355C7" w:rsidRPr="005A2FD1" w:rsidRDefault="00B355C7" w:rsidP="00544133">
            <w:pPr>
              <w:pStyle w:val="EYTableText"/>
            </w:pPr>
            <w:r w:rsidRPr="005A2FD1">
              <w:t xml:space="preserve">Associate Professor Christopher </w:t>
            </w:r>
            <w:proofErr w:type="spellStart"/>
            <w:r w:rsidRPr="005A2FD1">
              <w:t>Vertullo</w:t>
            </w:r>
            <w:proofErr w:type="spellEnd"/>
          </w:p>
        </w:tc>
      </w:tr>
      <w:tr w:rsidR="00B355C7" w:rsidRPr="005A2FD1" w14:paraId="768B77C0" w14:textId="77777777" w:rsidTr="005A2FD1">
        <w:trPr>
          <w:trHeight w:val="20"/>
        </w:trPr>
        <w:tc>
          <w:tcPr>
            <w:tcW w:w="1680" w:type="pct"/>
            <w:hideMark/>
          </w:tcPr>
          <w:p w14:paraId="42478893" w14:textId="77777777" w:rsidR="00B355C7" w:rsidRPr="005A2FD1" w:rsidRDefault="00B355C7" w:rsidP="00544133">
            <w:pPr>
              <w:pStyle w:val="EYTableText"/>
            </w:pPr>
            <w:r w:rsidRPr="005A2FD1">
              <w:t>Consumer representative</w:t>
            </w:r>
          </w:p>
        </w:tc>
        <w:tc>
          <w:tcPr>
            <w:tcW w:w="3320" w:type="pct"/>
            <w:hideMark/>
          </w:tcPr>
          <w:p w14:paraId="4D4F4EB6" w14:textId="77777777" w:rsidR="00B355C7" w:rsidRPr="005A2FD1" w:rsidRDefault="00B355C7" w:rsidP="00544133">
            <w:pPr>
              <w:pStyle w:val="EYTableText"/>
            </w:pPr>
            <w:r w:rsidRPr="005A2FD1">
              <w:t xml:space="preserve">Dr Colleen </w:t>
            </w:r>
            <w:proofErr w:type="spellStart"/>
            <w:r w:rsidRPr="005A2FD1">
              <w:t>Papadopolos</w:t>
            </w:r>
            <w:proofErr w:type="spellEnd"/>
          </w:p>
        </w:tc>
      </w:tr>
      <w:tr w:rsidR="00774E8D" w:rsidRPr="005A2FD1" w14:paraId="1F2A35FF" w14:textId="77777777" w:rsidTr="005A2FD1">
        <w:trPr>
          <w:trHeight w:val="20"/>
        </w:trPr>
        <w:tc>
          <w:tcPr>
            <w:tcW w:w="5000" w:type="pct"/>
            <w:gridSpan w:val="2"/>
            <w:shd w:val="clear" w:color="auto" w:fill="F2F2F2" w:themeFill="background1" w:themeFillShade="F2"/>
            <w:hideMark/>
          </w:tcPr>
          <w:p w14:paraId="00CEF8C4" w14:textId="0EE84598" w:rsidR="00774E8D" w:rsidRPr="005A2FD1" w:rsidRDefault="00774E8D" w:rsidP="00544133">
            <w:pPr>
              <w:pStyle w:val="EYTableText"/>
            </w:pPr>
            <w:r w:rsidRPr="005A2FD1">
              <w:t>Knee Prostheses Clinical Advisory Group</w:t>
            </w:r>
          </w:p>
        </w:tc>
      </w:tr>
      <w:tr w:rsidR="00B355C7" w:rsidRPr="005A2FD1" w14:paraId="2C7E8BC4" w14:textId="77777777" w:rsidTr="005A2FD1">
        <w:trPr>
          <w:trHeight w:val="20"/>
        </w:trPr>
        <w:tc>
          <w:tcPr>
            <w:tcW w:w="1680" w:type="pct"/>
            <w:hideMark/>
          </w:tcPr>
          <w:p w14:paraId="3166335B" w14:textId="77777777" w:rsidR="00B355C7" w:rsidRPr="005A2FD1" w:rsidRDefault="00B355C7" w:rsidP="00544133">
            <w:pPr>
              <w:pStyle w:val="EYTableText"/>
            </w:pPr>
            <w:r w:rsidRPr="005A2FD1">
              <w:t>Chair</w:t>
            </w:r>
          </w:p>
        </w:tc>
        <w:tc>
          <w:tcPr>
            <w:tcW w:w="3320" w:type="pct"/>
            <w:hideMark/>
          </w:tcPr>
          <w:p w14:paraId="38CD067C" w14:textId="77777777" w:rsidR="00B355C7" w:rsidRPr="005A2FD1" w:rsidRDefault="00B355C7" w:rsidP="00544133">
            <w:pPr>
              <w:pStyle w:val="EYTableText"/>
            </w:pPr>
            <w:r w:rsidRPr="005A2FD1">
              <w:t>Dr Peter Lewis</w:t>
            </w:r>
          </w:p>
        </w:tc>
      </w:tr>
      <w:tr w:rsidR="00B355C7" w:rsidRPr="005A2FD1" w14:paraId="17D642A6" w14:textId="77777777" w:rsidTr="005A2FD1">
        <w:trPr>
          <w:trHeight w:val="20"/>
        </w:trPr>
        <w:tc>
          <w:tcPr>
            <w:tcW w:w="1680" w:type="pct"/>
            <w:vMerge w:val="restart"/>
            <w:hideMark/>
          </w:tcPr>
          <w:p w14:paraId="0DC4AFBA" w14:textId="77777777" w:rsidR="00B355C7" w:rsidRPr="005A2FD1" w:rsidRDefault="00B355C7" w:rsidP="00544133">
            <w:pPr>
              <w:pStyle w:val="EYTableText"/>
            </w:pPr>
            <w:r w:rsidRPr="005A2FD1">
              <w:t>Member</w:t>
            </w:r>
          </w:p>
        </w:tc>
        <w:tc>
          <w:tcPr>
            <w:tcW w:w="3320" w:type="pct"/>
            <w:hideMark/>
          </w:tcPr>
          <w:p w14:paraId="4D963E06" w14:textId="77777777" w:rsidR="00B355C7" w:rsidRPr="005A2FD1" w:rsidRDefault="00B355C7" w:rsidP="00544133">
            <w:pPr>
              <w:pStyle w:val="EYTableText"/>
            </w:pPr>
            <w:r w:rsidRPr="005A2FD1">
              <w:t>Professor Stephen Graves</w:t>
            </w:r>
          </w:p>
        </w:tc>
      </w:tr>
      <w:tr w:rsidR="00B355C7" w:rsidRPr="005A2FD1" w14:paraId="11C56894" w14:textId="77777777" w:rsidTr="005A2FD1">
        <w:trPr>
          <w:trHeight w:val="20"/>
        </w:trPr>
        <w:tc>
          <w:tcPr>
            <w:tcW w:w="1680" w:type="pct"/>
            <w:vMerge/>
            <w:hideMark/>
          </w:tcPr>
          <w:p w14:paraId="11C7A550" w14:textId="77777777" w:rsidR="00B355C7" w:rsidRPr="005A2FD1" w:rsidRDefault="00B355C7" w:rsidP="00544133">
            <w:pPr>
              <w:pStyle w:val="EYTableText"/>
            </w:pPr>
          </w:p>
        </w:tc>
        <w:tc>
          <w:tcPr>
            <w:tcW w:w="3320" w:type="pct"/>
            <w:hideMark/>
          </w:tcPr>
          <w:p w14:paraId="331D9AB9" w14:textId="77777777" w:rsidR="00B355C7" w:rsidRPr="005A2FD1" w:rsidRDefault="00B355C7" w:rsidP="00544133">
            <w:pPr>
              <w:pStyle w:val="EYTableText"/>
            </w:pPr>
            <w:r w:rsidRPr="005A2FD1">
              <w:t xml:space="preserve">Associate Professor Stephen </w:t>
            </w:r>
            <w:proofErr w:type="spellStart"/>
            <w:r w:rsidRPr="005A2FD1">
              <w:t>Rackemann</w:t>
            </w:r>
            <w:proofErr w:type="spellEnd"/>
          </w:p>
        </w:tc>
      </w:tr>
      <w:tr w:rsidR="00B355C7" w:rsidRPr="005A2FD1" w14:paraId="529727C8" w14:textId="77777777" w:rsidTr="005A2FD1">
        <w:trPr>
          <w:trHeight w:val="20"/>
        </w:trPr>
        <w:tc>
          <w:tcPr>
            <w:tcW w:w="1680" w:type="pct"/>
            <w:vMerge/>
            <w:hideMark/>
          </w:tcPr>
          <w:p w14:paraId="5D49A02C" w14:textId="77777777" w:rsidR="00B355C7" w:rsidRPr="005A2FD1" w:rsidRDefault="00B355C7" w:rsidP="00544133">
            <w:pPr>
              <w:pStyle w:val="EYTableText"/>
            </w:pPr>
          </w:p>
        </w:tc>
        <w:tc>
          <w:tcPr>
            <w:tcW w:w="3320" w:type="pct"/>
            <w:hideMark/>
          </w:tcPr>
          <w:p w14:paraId="6C92B0D7" w14:textId="77777777" w:rsidR="00B355C7" w:rsidRPr="005A2FD1" w:rsidRDefault="00B355C7" w:rsidP="00544133">
            <w:pPr>
              <w:pStyle w:val="EYTableText"/>
            </w:pPr>
            <w:r w:rsidRPr="005A2FD1">
              <w:t xml:space="preserve">Associate Professor Christopher </w:t>
            </w:r>
            <w:proofErr w:type="spellStart"/>
            <w:r w:rsidRPr="005A2FD1">
              <w:t>Vertullo</w:t>
            </w:r>
            <w:proofErr w:type="spellEnd"/>
          </w:p>
        </w:tc>
      </w:tr>
      <w:tr w:rsidR="00B355C7" w:rsidRPr="005A2FD1" w14:paraId="60A58BB9" w14:textId="77777777" w:rsidTr="005A2FD1">
        <w:trPr>
          <w:trHeight w:val="20"/>
        </w:trPr>
        <w:tc>
          <w:tcPr>
            <w:tcW w:w="1680" w:type="pct"/>
            <w:hideMark/>
          </w:tcPr>
          <w:p w14:paraId="0BDE1148" w14:textId="77777777" w:rsidR="00B355C7" w:rsidRPr="005A2FD1" w:rsidRDefault="00B355C7" w:rsidP="00544133">
            <w:pPr>
              <w:pStyle w:val="EYTableText"/>
            </w:pPr>
            <w:r w:rsidRPr="005A2FD1">
              <w:t>Consumer representative</w:t>
            </w:r>
          </w:p>
        </w:tc>
        <w:tc>
          <w:tcPr>
            <w:tcW w:w="3320" w:type="pct"/>
            <w:hideMark/>
          </w:tcPr>
          <w:p w14:paraId="6149A0AA" w14:textId="77777777" w:rsidR="00B355C7" w:rsidRPr="005A2FD1" w:rsidRDefault="00B355C7" w:rsidP="00544133">
            <w:pPr>
              <w:pStyle w:val="EYTableText"/>
            </w:pPr>
            <w:r w:rsidRPr="005A2FD1">
              <w:t xml:space="preserve">Dr Colleen </w:t>
            </w:r>
            <w:proofErr w:type="spellStart"/>
            <w:r w:rsidRPr="005A2FD1">
              <w:t>Papadopolos</w:t>
            </w:r>
            <w:proofErr w:type="spellEnd"/>
          </w:p>
        </w:tc>
      </w:tr>
      <w:tr w:rsidR="00774E8D" w:rsidRPr="005A2FD1" w14:paraId="14CFE6E2" w14:textId="77777777" w:rsidTr="005A2FD1">
        <w:trPr>
          <w:trHeight w:val="20"/>
        </w:trPr>
        <w:tc>
          <w:tcPr>
            <w:tcW w:w="5000" w:type="pct"/>
            <w:gridSpan w:val="2"/>
            <w:shd w:val="clear" w:color="auto" w:fill="F2F2F2" w:themeFill="background1" w:themeFillShade="F2"/>
            <w:hideMark/>
          </w:tcPr>
          <w:p w14:paraId="4ECC75CC" w14:textId="76A73853" w:rsidR="00774E8D" w:rsidRPr="005A2FD1" w:rsidRDefault="00774E8D" w:rsidP="00544133">
            <w:pPr>
              <w:pStyle w:val="EYTableText"/>
            </w:pPr>
            <w:r w:rsidRPr="005A2FD1">
              <w:t>Ophthalmic Prostheses Clinical Advisory Group</w:t>
            </w:r>
          </w:p>
        </w:tc>
      </w:tr>
      <w:tr w:rsidR="00B355C7" w:rsidRPr="005A2FD1" w14:paraId="547E53EC" w14:textId="77777777" w:rsidTr="005A2FD1">
        <w:trPr>
          <w:trHeight w:val="20"/>
        </w:trPr>
        <w:tc>
          <w:tcPr>
            <w:tcW w:w="1680" w:type="pct"/>
            <w:hideMark/>
          </w:tcPr>
          <w:p w14:paraId="06D9226E" w14:textId="77777777" w:rsidR="00B355C7" w:rsidRPr="005A2FD1" w:rsidRDefault="00B355C7" w:rsidP="00544133">
            <w:pPr>
              <w:pStyle w:val="EYTableText"/>
            </w:pPr>
            <w:r w:rsidRPr="005A2FD1">
              <w:lastRenderedPageBreak/>
              <w:t>Chair</w:t>
            </w:r>
          </w:p>
        </w:tc>
        <w:tc>
          <w:tcPr>
            <w:tcW w:w="3320" w:type="pct"/>
            <w:hideMark/>
          </w:tcPr>
          <w:p w14:paraId="530A7D86" w14:textId="77777777" w:rsidR="00B355C7" w:rsidRPr="005A2FD1" w:rsidRDefault="00B355C7" w:rsidP="00544133">
            <w:pPr>
              <w:pStyle w:val="EYTableText"/>
            </w:pPr>
            <w:r w:rsidRPr="005A2FD1">
              <w:t xml:space="preserve">Dr Con </w:t>
            </w:r>
            <w:proofErr w:type="spellStart"/>
            <w:r w:rsidRPr="005A2FD1">
              <w:t>Moshegov</w:t>
            </w:r>
            <w:proofErr w:type="spellEnd"/>
          </w:p>
        </w:tc>
      </w:tr>
      <w:tr w:rsidR="00B355C7" w:rsidRPr="005A2FD1" w14:paraId="7154CF76" w14:textId="77777777" w:rsidTr="005A2FD1">
        <w:trPr>
          <w:trHeight w:val="20"/>
        </w:trPr>
        <w:tc>
          <w:tcPr>
            <w:tcW w:w="1680" w:type="pct"/>
            <w:vMerge w:val="restart"/>
            <w:hideMark/>
          </w:tcPr>
          <w:p w14:paraId="0D666133" w14:textId="77777777" w:rsidR="00B355C7" w:rsidRPr="005A2FD1" w:rsidRDefault="00B355C7" w:rsidP="00544133">
            <w:pPr>
              <w:pStyle w:val="EYTableText"/>
            </w:pPr>
            <w:r w:rsidRPr="005A2FD1">
              <w:t>Member</w:t>
            </w:r>
          </w:p>
        </w:tc>
        <w:tc>
          <w:tcPr>
            <w:tcW w:w="3320" w:type="pct"/>
            <w:hideMark/>
          </w:tcPr>
          <w:p w14:paraId="2BAB9A8D" w14:textId="77777777" w:rsidR="00B355C7" w:rsidRPr="005A2FD1" w:rsidRDefault="00B355C7" w:rsidP="00544133">
            <w:pPr>
              <w:pStyle w:val="EYTableText"/>
            </w:pPr>
            <w:r w:rsidRPr="005A2FD1">
              <w:t>Dr Andrew Chang</w:t>
            </w:r>
          </w:p>
        </w:tc>
      </w:tr>
      <w:tr w:rsidR="00B355C7" w:rsidRPr="005A2FD1" w14:paraId="737D7CB0" w14:textId="77777777" w:rsidTr="005A2FD1">
        <w:trPr>
          <w:trHeight w:val="20"/>
        </w:trPr>
        <w:tc>
          <w:tcPr>
            <w:tcW w:w="1680" w:type="pct"/>
            <w:vMerge/>
            <w:hideMark/>
          </w:tcPr>
          <w:p w14:paraId="5DA7E391" w14:textId="77777777" w:rsidR="00B355C7" w:rsidRPr="005A2FD1" w:rsidRDefault="00B355C7" w:rsidP="00544133">
            <w:pPr>
              <w:pStyle w:val="EYTableText"/>
            </w:pPr>
          </w:p>
        </w:tc>
        <w:tc>
          <w:tcPr>
            <w:tcW w:w="3320" w:type="pct"/>
            <w:hideMark/>
          </w:tcPr>
          <w:p w14:paraId="0CD21BB4" w14:textId="77777777" w:rsidR="00B355C7" w:rsidRPr="005A2FD1" w:rsidRDefault="00B355C7" w:rsidP="00544133">
            <w:pPr>
              <w:pStyle w:val="EYTableText"/>
            </w:pPr>
            <w:r w:rsidRPr="005A2FD1">
              <w:t>Dr Iain Dunlop AM</w:t>
            </w:r>
          </w:p>
        </w:tc>
      </w:tr>
      <w:tr w:rsidR="00B355C7" w:rsidRPr="005A2FD1" w14:paraId="44AA690A" w14:textId="77777777" w:rsidTr="005A2FD1">
        <w:trPr>
          <w:trHeight w:val="20"/>
        </w:trPr>
        <w:tc>
          <w:tcPr>
            <w:tcW w:w="1680" w:type="pct"/>
            <w:vMerge/>
            <w:hideMark/>
          </w:tcPr>
          <w:p w14:paraId="302563E6" w14:textId="77777777" w:rsidR="00B355C7" w:rsidRPr="005A2FD1" w:rsidRDefault="00B355C7" w:rsidP="00544133">
            <w:pPr>
              <w:pStyle w:val="EYTableText"/>
            </w:pPr>
          </w:p>
        </w:tc>
        <w:tc>
          <w:tcPr>
            <w:tcW w:w="3320" w:type="pct"/>
            <w:hideMark/>
          </w:tcPr>
          <w:p w14:paraId="2576410D" w14:textId="77777777" w:rsidR="00B355C7" w:rsidRPr="005A2FD1" w:rsidRDefault="00B355C7" w:rsidP="00544133">
            <w:pPr>
              <w:pStyle w:val="EYTableText"/>
            </w:pPr>
            <w:r w:rsidRPr="005A2FD1">
              <w:t>Dr Ralph Higgins OAM</w:t>
            </w:r>
          </w:p>
        </w:tc>
      </w:tr>
      <w:tr w:rsidR="00B355C7" w:rsidRPr="005A2FD1" w14:paraId="7A9399FD" w14:textId="77777777" w:rsidTr="005A2FD1">
        <w:trPr>
          <w:trHeight w:val="20"/>
        </w:trPr>
        <w:tc>
          <w:tcPr>
            <w:tcW w:w="1680" w:type="pct"/>
            <w:vMerge/>
            <w:hideMark/>
          </w:tcPr>
          <w:p w14:paraId="588C6BE3" w14:textId="77777777" w:rsidR="00B355C7" w:rsidRPr="005A2FD1" w:rsidRDefault="00B355C7" w:rsidP="00544133">
            <w:pPr>
              <w:pStyle w:val="EYTableText"/>
            </w:pPr>
          </w:p>
        </w:tc>
        <w:tc>
          <w:tcPr>
            <w:tcW w:w="3320" w:type="pct"/>
            <w:hideMark/>
          </w:tcPr>
          <w:p w14:paraId="1E13D9B4" w14:textId="77777777" w:rsidR="00B355C7" w:rsidRPr="005A2FD1" w:rsidRDefault="00B355C7" w:rsidP="00544133">
            <w:pPr>
              <w:pStyle w:val="EYTableText"/>
            </w:pPr>
            <w:r w:rsidRPr="005A2FD1">
              <w:t>Dr Patrick Versace</w:t>
            </w:r>
          </w:p>
        </w:tc>
      </w:tr>
      <w:tr w:rsidR="00B355C7" w:rsidRPr="005A2FD1" w14:paraId="107B163B" w14:textId="77777777" w:rsidTr="005A2FD1">
        <w:trPr>
          <w:trHeight w:val="20"/>
        </w:trPr>
        <w:tc>
          <w:tcPr>
            <w:tcW w:w="1680" w:type="pct"/>
            <w:hideMark/>
          </w:tcPr>
          <w:p w14:paraId="0B8789AE" w14:textId="77777777" w:rsidR="00B355C7" w:rsidRPr="005A2FD1" w:rsidRDefault="00B355C7" w:rsidP="00544133">
            <w:pPr>
              <w:pStyle w:val="EYTableText"/>
            </w:pPr>
            <w:r w:rsidRPr="005A2FD1">
              <w:t>Consumer representative</w:t>
            </w:r>
          </w:p>
        </w:tc>
        <w:tc>
          <w:tcPr>
            <w:tcW w:w="3320" w:type="pct"/>
            <w:hideMark/>
          </w:tcPr>
          <w:p w14:paraId="69B99AF8" w14:textId="77777777" w:rsidR="00B355C7" w:rsidRPr="005A2FD1" w:rsidRDefault="00B355C7" w:rsidP="00544133">
            <w:pPr>
              <w:pStyle w:val="EYTableText"/>
            </w:pPr>
            <w:r w:rsidRPr="005A2FD1">
              <w:t>Ms Joanne Baumgartner</w:t>
            </w:r>
          </w:p>
        </w:tc>
      </w:tr>
      <w:tr w:rsidR="00774E8D" w:rsidRPr="005A2FD1" w14:paraId="2E2EC8A9" w14:textId="77777777" w:rsidTr="005A2FD1">
        <w:trPr>
          <w:trHeight w:val="20"/>
        </w:trPr>
        <w:tc>
          <w:tcPr>
            <w:tcW w:w="5000" w:type="pct"/>
            <w:gridSpan w:val="2"/>
            <w:shd w:val="clear" w:color="auto" w:fill="F2F2F2" w:themeFill="background1" w:themeFillShade="F2"/>
            <w:hideMark/>
          </w:tcPr>
          <w:p w14:paraId="5ECE5F67" w14:textId="5227ADBF" w:rsidR="00774E8D" w:rsidRPr="005A2FD1" w:rsidRDefault="00774E8D" w:rsidP="00544133">
            <w:pPr>
              <w:pStyle w:val="EYTableText"/>
            </w:pPr>
            <w:r w:rsidRPr="005A2FD1">
              <w:t>Specialist Orthopaedic Clinical Advisory Group</w:t>
            </w:r>
          </w:p>
        </w:tc>
      </w:tr>
      <w:tr w:rsidR="00B355C7" w:rsidRPr="005A2FD1" w14:paraId="20C1BF29" w14:textId="77777777" w:rsidTr="005A2FD1">
        <w:trPr>
          <w:trHeight w:val="20"/>
        </w:trPr>
        <w:tc>
          <w:tcPr>
            <w:tcW w:w="1680" w:type="pct"/>
            <w:hideMark/>
          </w:tcPr>
          <w:p w14:paraId="53D4D7DB" w14:textId="77777777" w:rsidR="00B355C7" w:rsidRPr="005A2FD1" w:rsidRDefault="00B355C7" w:rsidP="00544133">
            <w:pPr>
              <w:pStyle w:val="EYTableText"/>
            </w:pPr>
            <w:r w:rsidRPr="005A2FD1">
              <w:t>Chair</w:t>
            </w:r>
          </w:p>
        </w:tc>
        <w:tc>
          <w:tcPr>
            <w:tcW w:w="3320" w:type="pct"/>
            <w:hideMark/>
          </w:tcPr>
          <w:p w14:paraId="2769CBF2" w14:textId="77777777" w:rsidR="00B355C7" w:rsidRPr="005A2FD1" w:rsidRDefault="00B355C7" w:rsidP="00544133">
            <w:pPr>
              <w:pStyle w:val="EYTableText"/>
            </w:pPr>
            <w:r w:rsidRPr="005A2FD1">
              <w:t>Dr David Gill</w:t>
            </w:r>
          </w:p>
        </w:tc>
      </w:tr>
      <w:tr w:rsidR="00B355C7" w:rsidRPr="005A2FD1" w14:paraId="56C09347" w14:textId="77777777" w:rsidTr="005A2FD1">
        <w:trPr>
          <w:trHeight w:val="20"/>
        </w:trPr>
        <w:tc>
          <w:tcPr>
            <w:tcW w:w="1680" w:type="pct"/>
            <w:vMerge w:val="restart"/>
            <w:hideMark/>
          </w:tcPr>
          <w:p w14:paraId="43CF3CDE" w14:textId="77777777" w:rsidR="00B355C7" w:rsidRPr="005A2FD1" w:rsidRDefault="00B355C7" w:rsidP="00544133">
            <w:pPr>
              <w:pStyle w:val="EYTableText"/>
            </w:pPr>
            <w:r w:rsidRPr="005A2FD1">
              <w:t>Member</w:t>
            </w:r>
          </w:p>
        </w:tc>
        <w:tc>
          <w:tcPr>
            <w:tcW w:w="3320" w:type="pct"/>
            <w:hideMark/>
          </w:tcPr>
          <w:p w14:paraId="005EFA9A" w14:textId="77777777" w:rsidR="00B355C7" w:rsidRPr="005A2FD1" w:rsidRDefault="00B355C7" w:rsidP="00544133">
            <w:pPr>
              <w:pStyle w:val="EYTableText"/>
            </w:pPr>
            <w:r w:rsidRPr="005A2FD1">
              <w:t>Dr Christopher Brown</w:t>
            </w:r>
          </w:p>
        </w:tc>
      </w:tr>
      <w:tr w:rsidR="00B355C7" w:rsidRPr="005A2FD1" w14:paraId="7786D140" w14:textId="77777777" w:rsidTr="005A2FD1">
        <w:trPr>
          <w:trHeight w:val="20"/>
        </w:trPr>
        <w:tc>
          <w:tcPr>
            <w:tcW w:w="1680" w:type="pct"/>
            <w:vMerge/>
            <w:hideMark/>
          </w:tcPr>
          <w:p w14:paraId="34DEE083" w14:textId="77777777" w:rsidR="00B355C7" w:rsidRPr="005A2FD1" w:rsidRDefault="00B355C7" w:rsidP="00544133">
            <w:pPr>
              <w:pStyle w:val="EYTableText"/>
            </w:pPr>
          </w:p>
        </w:tc>
        <w:tc>
          <w:tcPr>
            <w:tcW w:w="3320" w:type="pct"/>
            <w:hideMark/>
          </w:tcPr>
          <w:p w14:paraId="6557E205" w14:textId="77777777" w:rsidR="00B355C7" w:rsidRPr="005A2FD1" w:rsidRDefault="00B355C7" w:rsidP="00544133">
            <w:pPr>
              <w:pStyle w:val="EYTableText"/>
            </w:pPr>
            <w:r w:rsidRPr="005A2FD1">
              <w:t>Dr Phillip Dalton</w:t>
            </w:r>
          </w:p>
        </w:tc>
      </w:tr>
      <w:tr w:rsidR="00B355C7" w:rsidRPr="005A2FD1" w14:paraId="72649DD8" w14:textId="77777777" w:rsidTr="005A2FD1">
        <w:trPr>
          <w:trHeight w:val="20"/>
        </w:trPr>
        <w:tc>
          <w:tcPr>
            <w:tcW w:w="1680" w:type="pct"/>
            <w:vMerge/>
            <w:hideMark/>
          </w:tcPr>
          <w:p w14:paraId="0A16729F" w14:textId="77777777" w:rsidR="00B355C7" w:rsidRPr="005A2FD1" w:rsidRDefault="00B355C7" w:rsidP="00544133">
            <w:pPr>
              <w:pStyle w:val="EYTableText"/>
            </w:pPr>
          </w:p>
        </w:tc>
        <w:tc>
          <w:tcPr>
            <w:tcW w:w="3320" w:type="pct"/>
            <w:hideMark/>
          </w:tcPr>
          <w:p w14:paraId="1A3806AB" w14:textId="77777777" w:rsidR="00B355C7" w:rsidRPr="005A2FD1" w:rsidRDefault="00B355C7" w:rsidP="00544133">
            <w:pPr>
              <w:pStyle w:val="EYTableText"/>
            </w:pPr>
            <w:r w:rsidRPr="005A2FD1">
              <w:t xml:space="preserve">Dr David </w:t>
            </w:r>
            <w:proofErr w:type="spellStart"/>
            <w:r w:rsidRPr="005A2FD1">
              <w:t>Lunz</w:t>
            </w:r>
            <w:proofErr w:type="spellEnd"/>
          </w:p>
        </w:tc>
      </w:tr>
      <w:tr w:rsidR="00B355C7" w:rsidRPr="005A2FD1" w14:paraId="6FE347E6" w14:textId="77777777" w:rsidTr="005A2FD1">
        <w:trPr>
          <w:trHeight w:val="20"/>
        </w:trPr>
        <w:tc>
          <w:tcPr>
            <w:tcW w:w="1680" w:type="pct"/>
            <w:vMerge/>
            <w:hideMark/>
          </w:tcPr>
          <w:p w14:paraId="19084B80" w14:textId="77777777" w:rsidR="00B355C7" w:rsidRPr="005A2FD1" w:rsidRDefault="00B355C7" w:rsidP="00544133">
            <w:pPr>
              <w:pStyle w:val="EYTableText"/>
            </w:pPr>
          </w:p>
        </w:tc>
        <w:tc>
          <w:tcPr>
            <w:tcW w:w="3320" w:type="pct"/>
            <w:hideMark/>
          </w:tcPr>
          <w:p w14:paraId="6E4533DB" w14:textId="77777777" w:rsidR="00B355C7" w:rsidRPr="005A2FD1" w:rsidRDefault="00B355C7" w:rsidP="00544133">
            <w:pPr>
              <w:pStyle w:val="EYTableText"/>
            </w:pPr>
            <w:r w:rsidRPr="005A2FD1">
              <w:t xml:space="preserve">Dr Ash </w:t>
            </w:r>
            <w:proofErr w:type="spellStart"/>
            <w:r w:rsidRPr="005A2FD1">
              <w:t>Moaveni</w:t>
            </w:r>
            <w:proofErr w:type="spellEnd"/>
          </w:p>
        </w:tc>
      </w:tr>
      <w:tr w:rsidR="00B355C7" w:rsidRPr="005A2FD1" w14:paraId="662C8583" w14:textId="77777777" w:rsidTr="005A2FD1">
        <w:trPr>
          <w:trHeight w:val="20"/>
        </w:trPr>
        <w:tc>
          <w:tcPr>
            <w:tcW w:w="1680" w:type="pct"/>
            <w:vMerge/>
            <w:hideMark/>
          </w:tcPr>
          <w:p w14:paraId="7D4A3FC2" w14:textId="77777777" w:rsidR="00B355C7" w:rsidRPr="005A2FD1" w:rsidRDefault="00B355C7" w:rsidP="00544133">
            <w:pPr>
              <w:pStyle w:val="EYTableText"/>
            </w:pPr>
          </w:p>
        </w:tc>
        <w:tc>
          <w:tcPr>
            <w:tcW w:w="3320" w:type="pct"/>
            <w:hideMark/>
          </w:tcPr>
          <w:p w14:paraId="247CE366" w14:textId="77777777" w:rsidR="00B355C7" w:rsidRPr="005A2FD1" w:rsidRDefault="00B355C7" w:rsidP="00544133">
            <w:pPr>
              <w:pStyle w:val="EYTableText"/>
            </w:pPr>
            <w:r w:rsidRPr="005A2FD1">
              <w:t>Dr John North</w:t>
            </w:r>
          </w:p>
        </w:tc>
      </w:tr>
      <w:tr w:rsidR="00B355C7" w:rsidRPr="005A2FD1" w14:paraId="3FF0EDEC" w14:textId="77777777" w:rsidTr="005A2FD1">
        <w:trPr>
          <w:trHeight w:val="20"/>
        </w:trPr>
        <w:tc>
          <w:tcPr>
            <w:tcW w:w="1680" w:type="pct"/>
            <w:vMerge/>
            <w:hideMark/>
          </w:tcPr>
          <w:p w14:paraId="550ADB0A" w14:textId="77777777" w:rsidR="00B355C7" w:rsidRPr="005A2FD1" w:rsidRDefault="00B355C7" w:rsidP="00544133">
            <w:pPr>
              <w:pStyle w:val="EYTableText"/>
            </w:pPr>
          </w:p>
        </w:tc>
        <w:tc>
          <w:tcPr>
            <w:tcW w:w="3320" w:type="pct"/>
            <w:hideMark/>
          </w:tcPr>
          <w:p w14:paraId="1C81F06B" w14:textId="77777777" w:rsidR="00B355C7" w:rsidRPr="005A2FD1" w:rsidRDefault="00B355C7" w:rsidP="00544133">
            <w:pPr>
              <w:pStyle w:val="EYTableText"/>
            </w:pPr>
            <w:r w:rsidRPr="005A2FD1">
              <w:t xml:space="preserve">Dr </w:t>
            </w:r>
            <w:proofErr w:type="spellStart"/>
            <w:r w:rsidRPr="005A2FD1">
              <w:t>Aneel</w:t>
            </w:r>
            <w:proofErr w:type="spellEnd"/>
            <w:r w:rsidRPr="005A2FD1">
              <w:t xml:space="preserve"> Nihal</w:t>
            </w:r>
          </w:p>
        </w:tc>
      </w:tr>
      <w:tr w:rsidR="00B355C7" w:rsidRPr="005A2FD1" w14:paraId="0D24F59A" w14:textId="77777777" w:rsidTr="005A2FD1">
        <w:trPr>
          <w:trHeight w:val="20"/>
        </w:trPr>
        <w:tc>
          <w:tcPr>
            <w:tcW w:w="1680" w:type="pct"/>
            <w:vMerge/>
            <w:hideMark/>
          </w:tcPr>
          <w:p w14:paraId="18E4414A" w14:textId="77777777" w:rsidR="00B355C7" w:rsidRPr="005A2FD1" w:rsidRDefault="00B355C7" w:rsidP="00544133">
            <w:pPr>
              <w:pStyle w:val="EYTableText"/>
            </w:pPr>
          </w:p>
        </w:tc>
        <w:tc>
          <w:tcPr>
            <w:tcW w:w="3320" w:type="pct"/>
            <w:hideMark/>
          </w:tcPr>
          <w:p w14:paraId="07A98376" w14:textId="77777777" w:rsidR="00B355C7" w:rsidRPr="005A2FD1" w:rsidRDefault="00B355C7" w:rsidP="00544133">
            <w:pPr>
              <w:pStyle w:val="EYTableText"/>
            </w:pPr>
            <w:r w:rsidRPr="005A2FD1">
              <w:t xml:space="preserve">Dr Jeffery </w:t>
            </w:r>
            <w:proofErr w:type="spellStart"/>
            <w:r w:rsidRPr="005A2FD1">
              <w:t>Peereboom</w:t>
            </w:r>
            <w:proofErr w:type="spellEnd"/>
          </w:p>
        </w:tc>
      </w:tr>
      <w:tr w:rsidR="00B355C7" w:rsidRPr="005A2FD1" w14:paraId="7953302D" w14:textId="77777777" w:rsidTr="005A2FD1">
        <w:trPr>
          <w:trHeight w:val="20"/>
        </w:trPr>
        <w:tc>
          <w:tcPr>
            <w:tcW w:w="1680" w:type="pct"/>
            <w:vMerge/>
            <w:hideMark/>
          </w:tcPr>
          <w:p w14:paraId="5DEEBD1B" w14:textId="77777777" w:rsidR="00B355C7" w:rsidRPr="005A2FD1" w:rsidRDefault="00B355C7" w:rsidP="00544133">
            <w:pPr>
              <w:pStyle w:val="EYTableText"/>
            </w:pPr>
          </w:p>
        </w:tc>
        <w:tc>
          <w:tcPr>
            <w:tcW w:w="3320" w:type="pct"/>
            <w:hideMark/>
          </w:tcPr>
          <w:p w14:paraId="2AD99C70" w14:textId="77777777" w:rsidR="00B355C7" w:rsidRPr="005A2FD1" w:rsidRDefault="00B355C7" w:rsidP="00544133">
            <w:pPr>
              <w:pStyle w:val="EYTableText"/>
            </w:pPr>
            <w:r w:rsidRPr="005A2FD1">
              <w:t xml:space="preserve">Associate Professor </w:t>
            </w:r>
            <w:proofErr w:type="spellStart"/>
            <w:r w:rsidRPr="005A2FD1">
              <w:t>Marinis</w:t>
            </w:r>
            <w:proofErr w:type="spellEnd"/>
            <w:r w:rsidRPr="005A2FD1">
              <w:t xml:space="preserve"> </w:t>
            </w:r>
            <w:proofErr w:type="spellStart"/>
            <w:r w:rsidRPr="005A2FD1">
              <w:t>Pirpiris</w:t>
            </w:r>
            <w:proofErr w:type="spellEnd"/>
          </w:p>
        </w:tc>
      </w:tr>
      <w:tr w:rsidR="00B355C7" w:rsidRPr="005A2FD1" w14:paraId="1FB439FD" w14:textId="77777777" w:rsidTr="005A2FD1">
        <w:trPr>
          <w:trHeight w:val="20"/>
        </w:trPr>
        <w:tc>
          <w:tcPr>
            <w:tcW w:w="1680" w:type="pct"/>
            <w:vMerge/>
            <w:hideMark/>
          </w:tcPr>
          <w:p w14:paraId="076C3718" w14:textId="77777777" w:rsidR="00B355C7" w:rsidRPr="005A2FD1" w:rsidRDefault="00B355C7" w:rsidP="00544133">
            <w:pPr>
              <w:pStyle w:val="EYTableText"/>
            </w:pPr>
          </w:p>
        </w:tc>
        <w:tc>
          <w:tcPr>
            <w:tcW w:w="3320" w:type="pct"/>
            <w:hideMark/>
          </w:tcPr>
          <w:p w14:paraId="5D8A5A3A" w14:textId="77777777" w:rsidR="00B355C7" w:rsidRPr="005A2FD1" w:rsidRDefault="00B355C7" w:rsidP="00544133">
            <w:pPr>
              <w:pStyle w:val="EYTableText"/>
            </w:pPr>
            <w:r w:rsidRPr="005A2FD1">
              <w:t xml:space="preserve">Dr Peter </w:t>
            </w:r>
            <w:proofErr w:type="spellStart"/>
            <w:r w:rsidRPr="005A2FD1">
              <w:t>Stavrou</w:t>
            </w:r>
            <w:proofErr w:type="spellEnd"/>
          </w:p>
        </w:tc>
      </w:tr>
      <w:tr w:rsidR="00B355C7" w:rsidRPr="005A2FD1" w14:paraId="63B33C3E" w14:textId="77777777" w:rsidTr="005A2FD1">
        <w:trPr>
          <w:trHeight w:val="20"/>
        </w:trPr>
        <w:tc>
          <w:tcPr>
            <w:tcW w:w="1680" w:type="pct"/>
            <w:hideMark/>
          </w:tcPr>
          <w:p w14:paraId="60216D5C" w14:textId="77777777" w:rsidR="00B355C7" w:rsidRPr="005A2FD1" w:rsidRDefault="00B355C7" w:rsidP="00544133">
            <w:pPr>
              <w:pStyle w:val="EYTableText"/>
            </w:pPr>
            <w:r w:rsidRPr="005A2FD1">
              <w:t>Consumer representative</w:t>
            </w:r>
          </w:p>
        </w:tc>
        <w:tc>
          <w:tcPr>
            <w:tcW w:w="3320" w:type="pct"/>
            <w:hideMark/>
          </w:tcPr>
          <w:p w14:paraId="7D6D4313" w14:textId="77777777" w:rsidR="00B355C7" w:rsidRPr="005A2FD1" w:rsidRDefault="00B355C7" w:rsidP="00544133">
            <w:pPr>
              <w:pStyle w:val="EYTableText"/>
            </w:pPr>
            <w:r w:rsidRPr="005A2FD1">
              <w:t>Dr Janney Wale</w:t>
            </w:r>
          </w:p>
        </w:tc>
      </w:tr>
      <w:tr w:rsidR="00774E8D" w:rsidRPr="005A2FD1" w14:paraId="2CF786E3" w14:textId="77777777" w:rsidTr="005A2FD1">
        <w:trPr>
          <w:trHeight w:val="20"/>
        </w:trPr>
        <w:tc>
          <w:tcPr>
            <w:tcW w:w="5000" w:type="pct"/>
            <w:gridSpan w:val="2"/>
            <w:shd w:val="clear" w:color="auto" w:fill="F2F2F2" w:themeFill="background1" w:themeFillShade="F2"/>
            <w:hideMark/>
          </w:tcPr>
          <w:p w14:paraId="26448037" w14:textId="6026B24A" w:rsidR="00774E8D" w:rsidRPr="005A2FD1" w:rsidRDefault="00774E8D" w:rsidP="00544133">
            <w:pPr>
              <w:pStyle w:val="EYTableText"/>
            </w:pPr>
            <w:r w:rsidRPr="005A2FD1">
              <w:t>Spin</w:t>
            </w:r>
            <w:r w:rsidRPr="005A2FD1">
              <w:rPr>
                <w:shd w:val="clear" w:color="auto" w:fill="F2F2F2" w:themeFill="background1" w:themeFillShade="F2"/>
              </w:rPr>
              <w:t>al Prostheses Clinical Advisory Group</w:t>
            </w:r>
          </w:p>
        </w:tc>
      </w:tr>
      <w:tr w:rsidR="00B355C7" w:rsidRPr="005A2FD1" w14:paraId="365674E1" w14:textId="77777777" w:rsidTr="005A2FD1">
        <w:trPr>
          <w:trHeight w:val="20"/>
        </w:trPr>
        <w:tc>
          <w:tcPr>
            <w:tcW w:w="1680" w:type="pct"/>
            <w:hideMark/>
          </w:tcPr>
          <w:p w14:paraId="2EFE8231" w14:textId="77777777" w:rsidR="00B355C7" w:rsidRPr="005A2FD1" w:rsidRDefault="00B355C7" w:rsidP="00544133">
            <w:pPr>
              <w:pStyle w:val="EYTableText"/>
            </w:pPr>
            <w:r w:rsidRPr="005A2FD1">
              <w:t>Chair</w:t>
            </w:r>
          </w:p>
        </w:tc>
        <w:tc>
          <w:tcPr>
            <w:tcW w:w="3320" w:type="pct"/>
            <w:hideMark/>
          </w:tcPr>
          <w:p w14:paraId="74D54F77" w14:textId="77777777" w:rsidR="00B355C7" w:rsidRPr="005A2FD1" w:rsidRDefault="00B355C7" w:rsidP="00544133">
            <w:pPr>
              <w:pStyle w:val="EYTableText"/>
            </w:pPr>
            <w:r w:rsidRPr="005A2FD1">
              <w:t xml:space="preserve">Dr </w:t>
            </w:r>
            <w:proofErr w:type="spellStart"/>
            <w:r w:rsidRPr="005A2FD1">
              <w:t>Orso</w:t>
            </w:r>
            <w:proofErr w:type="spellEnd"/>
            <w:r w:rsidRPr="005A2FD1">
              <w:t xml:space="preserve"> </w:t>
            </w:r>
            <w:proofErr w:type="spellStart"/>
            <w:r w:rsidRPr="005A2FD1">
              <w:t>Osti</w:t>
            </w:r>
            <w:proofErr w:type="spellEnd"/>
          </w:p>
        </w:tc>
      </w:tr>
      <w:tr w:rsidR="00B355C7" w:rsidRPr="005A2FD1" w14:paraId="27B0ACA1" w14:textId="77777777" w:rsidTr="005A2FD1">
        <w:trPr>
          <w:trHeight w:val="20"/>
        </w:trPr>
        <w:tc>
          <w:tcPr>
            <w:tcW w:w="1680" w:type="pct"/>
            <w:vMerge w:val="restart"/>
            <w:hideMark/>
          </w:tcPr>
          <w:p w14:paraId="2DCE9DE7" w14:textId="77777777" w:rsidR="00B355C7" w:rsidRPr="005A2FD1" w:rsidRDefault="00B355C7" w:rsidP="00544133">
            <w:pPr>
              <w:pStyle w:val="EYTableText"/>
            </w:pPr>
            <w:r w:rsidRPr="005A2FD1">
              <w:t>Member</w:t>
            </w:r>
          </w:p>
        </w:tc>
        <w:tc>
          <w:tcPr>
            <w:tcW w:w="3320" w:type="pct"/>
            <w:hideMark/>
          </w:tcPr>
          <w:p w14:paraId="6A8C694D" w14:textId="77777777" w:rsidR="00B355C7" w:rsidRPr="005A2FD1" w:rsidRDefault="00B355C7" w:rsidP="00544133">
            <w:pPr>
              <w:pStyle w:val="EYTableText"/>
            </w:pPr>
            <w:r w:rsidRPr="005A2FD1">
              <w:t>Dr Ian Cheung</w:t>
            </w:r>
          </w:p>
        </w:tc>
      </w:tr>
      <w:tr w:rsidR="00B355C7" w:rsidRPr="005A2FD1" w14:paraId="33702896" w14:textId="77777777" w:rsidTr="005A2FD1">
        <w:trPr>
          <w:trHeight w:val="20"/>
        </w:trPr>
        <w:tc>
          <w:tcPr>
            <w:tcW w:w="1680" w:type="pct"/>
            <w:vMerge/>
            <w:hideMark/>
          </w:tcPr>
          <w:p w14:paraId="3FDB676B" w14:textId="77777777" w:rsidR="00B355C7" w:rsidRPr="005A2FD1" w:rsidRDefault="00B355C7" w:rsidP="00544133">
            <w:pPr>
              <w:pStyle w:val="EYTableText"/>
            </w:pPr>
          </w:p>
        </w:tc>
        <w:tc>
          <w:tcPr>
            <w:tcW w:w="3320" w:type="pct"/>
            <w:hideMark/>
          </w:tcPr>
          <w:p w14:paraId="5F1B3FEC" w14:textId="77777777" w:rsidR="00B355C7" w:rsidRPr="005A2FD1" w:rsidRDefault="00B355C7" w:rsidP="00544133">
            <w:pPr>
              <w:pStyle w:val="EYTableText"/>
            </w:pPr>
            <w:r w:rsidRPr="005A2FD1">
              <w:t>Mr Patrick Chan</w:t>
            </w:r>
          </w:p>
        </w:tc>
      </w:tr>
      <w:tr w:rsidR="00B355C7" w:rsidRPr="005A2FD1" w14:paraId="21E46D90" w14:textId="77777777" w:rsidTr="005A2FD1">
        <w:trPr>
          <w:trHeight w:val="20"/>
        </w:trPr>
        <w:tc>
          <w:tcPr>
            <w:tcW w:w="1680" w:type="pct"/>
            <w:vMerge/>
            <w:hideMark/>
          </w:tcPr>
          <w:p w14:paraId="74E877B5" w14:textId="77777777" w:rsidR="00B355C7" w:rsidRPr="005A2FD1" w:rsidRDefault="00B355C7" w:rsidP="00544133">
            <w:pPr>
              <w:pStyle w:val="EYTableText"/>
            </w:pPr>
          </w:p>
        </w:tc>
        <w:tc>
          <w:tcPr>
            <w:tcW w:w="3320" w:type="pct"/>
            <w:hideMark/>
          </w:tcPr>
          <w:p w14:paraId="1545629A" w14:textId="77777777" w:rsidR="00B355C7" w:rsidRPr="005A2FD1" w:rsidRDefault="00B355C7" w:rsidP="00544133">
            <w:pPr>
              <w:pStyle w:val="EYTableText"/>
            </w:pPr>
            <w:r w:rsidRPr="005A2FD1">
              <w:t xml:space="preserve">Dr Xenia </w:t>
            </w:r>
            <w:proofErr w:type="spellStart"/>
            <w:r w:rsidRPr="005A2FD1">
              <w:t>Doorenbosch</w:t>
            </w:r>
            <w:proofErr w:type="spellEnd"/>
          </w:p>
        </w:tc>
      </w:tr>
      <w:tr w:rsidR="00B355C7" w:rsidRPr="005A2FD1" w14:paraId="5E0E438E" w14:textId="77777777" w:rsidTr="005A2FD1">
        <w:trPr>
          <w:trHeight w:val="20"/>
        </w:trPr>
        <w:tc>
          <w:tcPr>
            <w:tcW w:w="1680" w:type="pct"/>
            <w:vMerge/>
            <w:hideMark/>
          </w:tcPr>
          <w:p w14:paraId="534BE8F4" w14:textId="77777777" w:rsidR="00B355C7" w:rsidRPr="005A2FD1" w:rsidRDefault="00B355C7" w:rsidP="00544133">
            <w:pPr>
              <w:pStyle w:val="EYTableText"/>
            </w:pPr>
          </w:p>
        </w:tc>
        <w:tc>
          <w:tcPr>
            <w:tcW w:w="3320" w:type="pct"/>
            <w:hideMark/>
          </w:tcPr>
          <w:p w14:paraId="2234C8F6" w14:textId="77777777" w:rsidR="00B355C7" w:rsidRPr="005A2FD1" w:rsidRDefault="00B355C7" w:rsidP="00544133">
            <w:pPr>
              <w:pStyle w:val="EYTableText"/>
            </w:pPr>
            <w:r w:rsidRPr="005A2FD1">
              <w:t xml:space="preserve">Dr </w:t>
            </w:r>
            <w:proofErr w:type="spellStart"/>
            <w:r w:rsidRPr="005A2FD1">
              <w:t>Samya</w:t>
            </w:r>
            <w:proofErr w:type="spellEnd"/>
            <w:r w:rsidRPr="005A2FD1">
              <w:t xml:space="preserve"> </w:t>
            </w:r>
            <w:proofErr w:type="spellStart"/>
            <w:r w:rsidRPr="005A2FD1">
              <w:t>Lakis</w:t>
            </w:r>
            <w:proofErr w:type="spellEnd"/>
          </w:p>
        </w:tc>
      </w:tr>
      <w:tr w:rsidR="00A61459" w:rsidRPr="005A2FD1" w14:paraId="44A7FCB1" w14:textId="77777777" w:rsidTr="005A2FD1">
        <w:trPr>
          <w:trHeight w:val="20"/>
        </w:trPr>
        <w:tc>
          <w:tcPr>
            <w:tcW w:w="1680" w:type="pct"/>
          </w:tcPr>
          <w:p w14:paraId="7121160B" w14:textId="2F6D0C82" w:rsidR="00A61459" w:rsidRPr="005A2FD1" w:rsidRDefault="00A61459" w:rsidP="00544133">
            <w:pPr>
              <w:pStyle w:val="EYTableText"/>
            </w:pPr>
            <w:r w:rsidRPr="005A2FD1">
              <w:t>Consumer representative</w:t>
            </w:r>
          </w:p>
        </w:tc>
        <w:tc>
          <w:tcPr>
            <w:tcW w:w="3320" w:type="pct"/>
          </w:tcPr>
          <w:p w14:paraId="1D57997C" w14:textId="5AFDD223" w:rsidR="00A61459" w:rsidRPr="005A2FD1" w:rsidRDefault="00A61459" w:rsidP="00544133">
            <w:pPr>
              <w:pStyle w:val="EYTableText"/>
            </w:pPr>
            <w:r w:rsidRPr="005A2FD1">
              <w:t>Ms Elizabeth Carrigan</w:t>
            </w:r>
          </w:p>
        </w:tc>
      </w:tr>
      <w:tr w:rsidR="00774E8D" w:rsidRPr="005A2FD1" w14:paraId="1A85E4D1" w14:textId="77777777" w:rsidTr="005A2FD1">
        <w:trPr>
          <w:trHeight w:val="20"/>
        </w:trPr>
        <w:tc>
          <w:tcPr>
            <w:tcW w:w="5000" w:type="pct"/>
            <w:gridSpan w:val="2"/>
            <w:shd w:val="clear" w:color="auto" w:fill="F2F2F2" w:themeFill="background1" w:themeFillShade="F2"/>
            <w:hideMark/>
          </w:tcPr>
          <w:p w14:paraId="6973CCD5" w14:textId="19CCA4CE" w:rsidR="00774E8D" w:rsidRPr="005A2FD1" w:rsidRDefault="00774E8D" w:rsidP="00544133">
            <w:pPr>
              <w:pStyle w:val="EYTableText"/>
            </w:pPr>
            <w:r w:rsidRPr="005A2FD1">
              <w:t>Vascular Prostheses Clinical Advisory Grou</w:t>
            </w:r>
            <w:r w:rsidR="00BB2090" w:rsidRPr="005A2FD1">
              <w:t>p</w:t>
            </w:r>
          </w:p>
        </w:tc>
      </w:tr>
      <w:tr w:rsidR="00B355C7" w:rsidRPr="005A2FD1" w14:paraId="52356B6D" w14:textId="77777777" w:rsidTr="005A2FD1">
        <w:trPr>
          <w:trHeight w:val="20"/>
        </w:trPr>
        <w:tc>
          <w:tcPr>
            <w:tcW w:w="1680" w:type="pct"/>
            <w:hideMark/>
          </w:tcPr>
          <w:p w14:paraId="1DA7ECCF" w14:textId="77777777" w:rsidR="00B355C7" w:rsidRPr="005A2FD1" w:rsidRDefault="00B355C7" w:rsidP="00544133">
            <w:pPr>
              <w:pStyle w:val="EYTableText"/>
            </w:pPr>
            <w:r w:rsidRPr="005A2FD1">
              <w:t>Chair</w:t>
            </w:r>
          </w:p>
        </w:tc>
        <w:tc>
          <w:tcPr>
            <w:tcW w:w="3320" w:type="pct"/>
            <w:hideMark/>
          </w:tcPr>
          <w:p w14:paraId="4E349498" w14:textId="77777777" w:rsidR="00B355C7" w:rsidRPr="005A2FD1" w:rsidRDefault="00B355C7" w:rsidP="00544133">
            <w:pPr>
              <w:pStyle w:val="EYTableText"/>
            </w:pPr>
            <w:r w:rsidRPr="005A2FD1">
              <w:t xml:space="preserve">Dr Peter </w:t>
            </w:r>
            <w:proofErr w:type="spellStart"/>
            <w:r w:rsidRPr="005A2FD1">
              <w:t>Thursby</w:t>
            </w:r>
            <w:proofErr w:type="spellEnd"/>
            <w:r w:rsidRPr="005A2FD1">
              <w:t xml:space="preserve"> OAM</w:t>
            </w:r>
          </w:p>
        </w:tc>
      </w:tr>
      <w:tr w:rsidR="00BB2090" w:rsidRPr="005A2FD1" w14:paraId="3FDF8E21" w14:textId="77777777" w:rsidTr="005A2FD1">
        <w:trPr>
          <w:trHeight w:val="20"/>
        </w:trPr>
        <w:tc>
          <w:tcPr>
            <w:tcW w:w="1680" w:type="pct"/>
            <w:vMerge w:val="restart"/>
            <w:hideMark/>
          </w:tcPr>
          <w:p w14:paraId="66671720" w14:textId="003BC794" w:rsidR="00BB2090" w:rsidRPr="005A2FD1" w:rsidRDefault="00BB2090" w:rsidP="00544133">
            <w:pPr>
              <w:pStyle w:val="EYTableText"/>
            </w:pPr>
            <w:r w:rsidRPr="005A2FD1">
              <w:t>Member</w:t>
            </w:r>
          </w:p>
        </w:tc>
        <w:tc>
          <w:tcPr>
            <w:tcW w:w="3320" w:type="pct"/>
            <w:hideMark/>
          </w:tcPr>
          <w:p w14:paraId="1BEF215C" w14:textId="77777777" w:rsidR="00BB2090" w:rsidRPr="005A2FD1" w:rsidRDefault="00BB2090" w:rsidP="00544133">
            <w:pPr>
              <w:pStyle w:val="EYTableText"/>
            </w:pPr>
            <w:r w:rsidRPr="005A2FD1">
              <w:t>Dr Toby Cohen</w:t>
            </w:r>
          </w:p>
        </w:tc>
      </w:tr>
      <w:tr w:rsidR="00BB2090" w:rsidRPr="005A2FD1" w14:paraId="67D4E3E9" w14:textId="77777777" w:rsidTr="005A2FD1">
        <w:trPr>
          <w:trHeight w:val="20"/>
        </w:trPr>
        <w:tc>
          <w:tcPr>
            <w:tcW w:w="1680" w:type="pct"/>
            <w:vMerge/>
            <w:hideMark/>
          </w:tcPr>
          <w:p w14:paraId="7E5C5B4E" w14:textId="582F6696" w:rsidR="00BB2090" w:rsidRPr="005A2FD1" w:rsidRDefault="00BB2090" w:rsidP="00544133">
            <w:pPr>
              <w:pStyle w:val="EYTableText"/>
            </w:pPr>
          </w:p>
        </w:tc>
        <w:tc>
          <w:tcPr>
            <w:tcW w:w="3320" w:type="pct"/>
            <w:hideMark/>
          </w:tcPr>
          <w:p w14:paraId="3827BEF1" w14:textId="77777777" w:rsidR="00BB2090" w:rsidRPr="005A2FD1" w:rsidRDefault="00BB2090" w:rsidP="00544133">
            <w:pPr>
              <w:pStyle w:val="EYTableText"/>
            </w:pPr>
            <w:r w:rsidRPr="005A2FD1">
              <w:t>Dr Andrew Lennox</w:t>
            </w:r>
          </w:p>
        </w:tc>
      </w:tr>
      <w:tr w:rsidR="00BB2090" w:rsidRPr="005A2FD1" w14:paraId="6B5DC9AF" w14:textId="77777777" w:rsidTr="005A2FD1">
        <w:trPr>
          <w:trHeight w:val="20"/>
        </w:trPr>
        <w:tc>
          <w:tcPr>
            <w:tcW w:w="1680" w:type="pct"/>
            <w:vMerge/>
            <w:hideMark/>
          </w:tcPr>
          <w:p w14:paraId="6D3862F8" w14:textId="74ED74B5" w:rsidR="00BB2090" w:rsidRPr="005A2FD1" w:rsidRDefault="00BB2090" w:rsidP="00544133">
            <w:pPr>
              <w:pStyle w:val="EYTableText"/>
            </w:pPr>
          </w:p>
        </w:tc>
        <w:tc>
          <w:tcPr>
            <w:tcW w:w="3320" w:type="pct"/>
            <w:hideMark/>
          </w:tcPr>
          <w:p w14:paraId="2739B191" w14:textId="77777777" w:rsidR="00BB2090" w:rsidRPr="005A2FD1" w:rsidRDefault="00BB2090" w:rsidP="00544133">
            <w:pPr>
              <w:pStyle w:val="EYTableText"/>
            </w:pPr>
            <w:r w:rsidRPr="005A2FD1">
              <w:t>Professor Abdullah Omari</w:t>
            </w:r>
          </w:p>
        </w:tc>
      </w:tr>
      <w:tr w:rsidR="00B355C7" w:rsidRPr="005A2FD1" w14:paraId="3E3222B3" w14:textId="77777777" w:rsidTr="005A2FD1">
        <w:trPr>
          <w:trHeight w:val="20"/>
        </w:trPr>
        <w:tc>
          <w:tcPr>
            <w:tcW w:w="1680" w:type="pct"/>
            <w:hideMark/>
          </w:tcPr>
          <w:p w14:paraId="080F3FC1" w14:textId="77777777" w:rsidR="00B355C7" w:rsidRPr="005A2FD1" w:rsidRDefault="00B355C7" w:rsidP="00544133">
            <w:pPr>
              <w:pStyle w:val="EYTableText"/>
            </w:pPr>
            <w:r w:rsidRPr="005A2FD1">
              <w:t>Consumer representative</w:t>
            </w:r>
          </w:p>
        </w:tc>
        <w:tc>
          <w:tcPr>
            <w:tcW w:w="3320" w:type="pct"/>
            <w:hideMark/>
          </w:tcPr>
          <w:p w14:paraId="4C0D8848" w14:textId="77777777" w:rsidR="00B355C7" w:rsidRPr="005A2FD1" w:rsidRDefault="00B355C7" w:rsidP="00544133">
            <w:pPr>
              <w:pStyle w:val="EYTableText"/>
            </w:pPr>
            <w:r w:rsidRPr="005A2FD1">
              <w:t xml:space="preserve">Ms Eileen </w:t>
            </w:r>
            <w:proofErr w:type="spellStart"/>
            <w:r w:rsidRPr="005A2FD1">
              <w:t>Jerga</w:t>
            </w:r>
            <w:proofErr w:type="spellEnd"/>
            <w:r w:rsidRPr="005A2FD1">
              <w:t xml:space="preserve"> AM</w:t>
            </w:r>
          </w:p>
        </w:tc>
      </w:tr>
    </w:tbl>
    <w:p w14:paraId="3724687A" w14:textId="6B150804" w:rsidR="002A40DA" w:rsidRPr="00D2484E" w:rsidRDefault="002A40DA" w:rsidP="005A2FD1">
      <w:pPr>
        <w:pStyle w:val="Heading2"/>
        <w:pageBreakBefore/>
      </w:pPr>
      <w:r w:rsidRPr="00D2484E">
        <w:lastRenderedPageBreak/>
        <w:t>Panel of Clinical Experts</w:t>
      </w:r>
    </w:p>
    <w:tbl>
      <w:tblPr>
        <w:tblStyle w:val="Style1"/>
        <w:tblW w:w="5001" w:type="pct"/>
        <w:tblLook w:val="04A0" w:firstRow="1" w:lastRow="0" w:firstColumn="1" w:lastColumn="0" w:noHBand="0" w:noVBand="1"/>
      </w:tblPr>
      <w:tblGrid>
        <w:gridCol w:w="2975"/>
        <w:gridCol w:w="6046"/>
      </w:tblGrid>
      <w:tr w:rsidR="00D37241" w:rsidRPr="005A2FD1" w14:paraId="66C6E50D" w14:textId="77777777" w:rsidTr="005E2C10">
        <w:trPr>
          <w:cnfStyle w:val="100000000000" w:firstRow="1" w:lastRow="0" w:firstColumn="0" w:lastColumn="0" w:oddVBand="0" w:evenVBand="0" w:oddHBand="0" w:evenHBand="0" w:firstRowFirstColumn="0" w:firstRowLastColumn="0" w:lastRowFirstColumn="0" w:lastRowLastColumn="0"/>
          <w:trHeight w:val="454"/>
          <w:tblHeader/>
        </w:trPr>
        <w:tc>
          <w:tcPr>
            <w:tcW w:w="1649" w:type="pct"/>
            <w:vAlign w:val="center"/>
          </w:tcPr>
          <w:p w14:paraId="0AC8F314" w14:textId="63AFE835" w:rsidR="002A40DA" w:rsidRPr="005A2FD1" w:rsidRDefault="00C6709E" w:rsidP="00544133">
            <w:pPr>
              <w:pStyle w:val="EYTableHeadingWhite"/>
            </w:pPr>
            <w:r w:rsidRPr="005A2FD1">
              <w:t>Speciality</w:t>
            </w:r>
          </w:p>
        </w:tc>
        <w:tc>
          <w:tcPr>
            <w:tcW w:w="3351" w:type="pct"/>
            <w:vAlign w:val="center"/>
          </w:tcPr>
          <w:p w14:paraId="5A22092D" w14:textId="77777777" w:rsidR="002A40DA" w:rsidRPr="005A2FD1" w:rsidRDefault="002A40DA" w:rsidP="00544133">
            <w:pPr>
              <w:pStyle w:val="EYTableHeadingWhite"/>
            </w:pPr>
            <w:r w:rsidRPr="005A2FD1">
              <w:t>Name</w:t>
            </w:r>
          </w:p>
        </w:tc>
      </w:tr>
      <w:tr w:rsidR="00C6709E" w:rsidRPr="005A2FD1" w14:paraId="52E2A015" w14:textId="77777777" w:rsidTr="005A2FD1">
        <w:tc>
          <w:tcPr>
            <w:tcW w:w="1649" w:type="pct"/>
            <w:vMerge w:val="restart"/>
          </w:tcPr>
          <w:p w14:paraId="705A315E" w14:textId="08C5DF74" w:rsidR="00C6709E" w:rsidRPr="005A2FD1" w:rsidRDefault="00C6709E" w:rsidP="00544133">
            <w:pPr>
              <w:pStyle w:val="EYTableText"/>
            </w:pPr>
            <w:r w:rsidRPr="005A2FD1">
              <w:t xml:space="preserve">Ear, </w:t>
            </w:r>
            <w:proofErr w:type="gramStart"/>
            <w:r w:rsidRPr="005A2FD1">
              <w:t>nose</w:t>
            </w:r>
            <w:proofErr w:type="gramEnd"/>
            <w:r w:rsidRPr="005A2FD1">
              <w:t xml:space="preserve"> and throat</w:t>
            </w:r>
          </w:p>
        </w:tc>
        <w:tc>
          <w:tcPr>
            <w:tcW w:w="3351" w:type="pct"/>
          </w:tcPr>
          <w:p w14:paraId="4F24D3EA" w14:textId="2A1A159F" w:rsidR="00C6709E" w:rsidRPr="005A2FD1" w:rsidRDefault="00C6709E" w:rsidP="00544133">
            <w:pPr>
              <w:pStyle w:val="EYTableText"/>
            </w:pPr>
            <w:r w:rsidRPr="005A2FD1">
              <w:t>Dr Hannah Burns</w:t>
            </w:r>
          </w:p>
        </w:tc>
      </w:tr>
      <w:tr w:rsidR="00C6709E" w:rsidRPr="005A2FD1" w14:paraId="729BFF1F" w14:textId="77777777" w:rsidTr="005A2FD1">
        <w:tc>
          <w:tcPr>
            <w:tcW w:w="1649" w:type="pct"/>
            <w:vMerge/>
          </w:tcPr>
          <w:p w14:paraId="4B0A235D" w14:textId="129FC3C8" w:rsidR="00C6709E" w:rsidRPr="005A2FD1" w:rsidRDefault="00C6709E" w:rsidP="005E2C10">
            <w:pPr>
              <w:pStyle w:val="Tabletextleft"/>
            </w:pPr>
          </w:p>
        </w:tc>
        <w:tc>
          <w:tcPr>
            <w:tcW w:w="3351" w:type="pct"/>
          </w:tcPr>
          <w:p w14:paraId="5EFB87F7" w14:textId="615FFB4D" w:rsidR="00C6709E" w:rsidRPr="005A2FD1" w:rsidRDefault="00C6709E" w:rsidP="00544133">
            <w:pPr>
              <w:pStyle w:val="EYTableText"/>
            </w:pPr>
            <w:r w:rsidRPr="005A2FD1">
              <w:t>Professor Simon Carney</w:t>
            </w:r>
          </w:p>
        </w:tc>
      </w:tr>
      <w:tr w:rsidR="00C6709E" w:rsidRPr="005A2FD1" w14:paraId="3F4836F4" w14:textId="77777777" w:rsidTr="005A2FD1">
        <w:tc>
          <w:tcPr>
            <w:tcW w:w="1649" w:type="pct"/>
            <w:vMerge/>
          </w:tcPr>
          <w:p w14:paraId="49FE035B" w14:textId="162682FC" w:rsidR="00C6709E" w:rsidRPr="005A2FD1" w:rsidRDefault="00C6709E" w:rsidP="005E2C10">
            <w:pPr>
              <w:pStyle w:val="Tabletextleft"/>
            </w:pPr>
          </w:p>
        </w:tc>
        <w:tc>
          <w:tcPr>
            <w:tcW w:w="3351" w:type="pct"/>
          </w:tcPr>
          <w:p w14:paraId="30D39001" w14:textId="292852EF" w:rsidR="00C6709E" w:rsidRPr="005A2FD1" w:rsidRDefault="00C6709E" w:rsidP="00544133">
            <w:pPr>
              <w:pStyle w:val="EYTableText"/>
            </w:pPr>
            <w:r w:rsidRPr="005A2FD1">
              <w:t>Professor Peter Friedland</w:t>
            </w:r>
          </w:p>
        </w:tc>
      </w:tr>
      <w:tr w:rsidR="00C6709E" w:rsidRPr="005A2FD1" w14:paraId="76EE51AC" w14:textId="77777777" w:rsidTr="005A2FD1">
        <w:tc>
          <w:tcPr>
            <w:tcW w:w="1649" w:type="pct"/>
            <w:vMerge/>
          </w:tcPr>
          <w:p w14:paraId="44A5D849" w14:textId="5E7BC148" w:rsidR="00C6709E" w:rsidRPr="005A2FD1" w:rsidRDefault="00C6709E" w:rsidP="005E2C10">
            <w:pPr>
              <w:pStyle w:val="Tabletextleft"/>
            </w:pPr>
          </w:p>
        </w:tc>
        <w:tc>
          <w:tcPr>
            <w:tcW w:w="3351" w:type="pct"/>
          </w:tcPr>
          <w:p w14:paraId="296731CD" w14:textId="7337C97F" w:rsidR="00C6709E" w:rsidRPr="005A2FD1" w:rsidRDefault="00C6709E" w:rsidP="00544133">
            <w:pPr>
              <w:pStyle w:val="EYTableText"/>
            </w:pPr>
            <w:r w:rsidRPr="005A2FD1">
              <w:t>Professor Stephen O’Leary</w:t>
            </w:r>
          </w:p>
        </w:tc>
      </w:tr>
      <w:tr w:rsidR="00C6709E" w:rsidRPr="005A2FD1" w14:paraId="25BB20D7" w14:textId="77777777" w:rsidTr="005A2FD1">
        <w:tc>
          <w:tcPr>
            <w:tcW w:w="1649" w:type="pct"/>
            <w:vMerge/>
          </w:tcPr>
          <w:p w14:paraId="59FA9342" w14:textId="4CB2C8CA" w:rsidR="00C6709E" w:rsidRPr="005A2FD1" w:rsidRDefault="00C6709E" w:rsidP="005E2C10">
            <w:pPr>
              <w:pStyle w:val="Tabletextleft"/>
            </w:pPr>
          </w:p>
        </w:tc>
        <w:tc>
          <w:tcPr>
            <w:tcW w:w="3351" w:type="pct"/>
          </w:tcPr>
          <w:p w14:paraId="7CF03200" w14:textId="4FA3A7E1" w:rsidR="00C6709E" w:rsidRPr="005A2FD1" w:rsidRDefault="00C6709E" w:rsidP="00544133">
            <w:pPr>
              <w:pStyle w:val="EYTableText"/>
            </w:pPr>
            <w:r w:rsidRPr="005A2FD1">
              <w:t>Professor Raymond Sacks</w:t>
            </w:r>
          </w:p>
        </w:tc>
      </w:tr>
      <w:tr w:rsidR="00C6709E" w:rsidRPr="005A2FD1" w14:paraId="554B3A94" w14:textId="77777777" w:rsidTr="005A2FD1">
        <w:tc>
          <w:tcPr>
            <w:tcW w:w="1649" w:type="pct"/>
            <w:vMerge/>
          </w:tcPr>
          <w:p w14:paraId="44F3590D" w14:textId="01CDBADD" w:rsidR="00C6709E" w:rsidRPr="005A2FD1" w:rsidRDefault="00C6709E" w:rsidP="005E2C10">
            <w:pPr>
              <w:pStyle w:val="Tabletextleft"/>
            </w:pPr>
          </w:p>
        </w:tc>
        <w:tc>
          <w:tcPr>
            <w:tcW w:w="3351" w:type="pct"/>
          </w:tcPr>
          <w:p w14:paraId="46AC266F" w14:textId="567F7565" w:rsidR="00C6709E" w:rsidRPr="005A2FD1" w:rsidRDefault="00C6709E" w:rsidP="00544133">
            <w:pPr>
              <w:pStyle w:val="EYTableText"/>
            </w:pPr>
            <w:r w:rsidRPr="005A2FD1">
              <w:t>Melville Da Cruz</w:t>
            </w:r>
          </w:p>
        </w:tc>
      </w:tr>
      <w:tr w:rsidR="00C6709E" w:rsidRPr="005A2FD1" w14:paraId="5DFC1959" w14:textId="77777777" w:rsidTr="005A2FD1">
        <w:tc>
          <w:tcPr>
            <w:tcW w:w="1649" w:type="pct"/>
            <w:vMerge/>
          </w:tcPr>
          <w:p w14:paraId="3D33543F" w14:textId="4C865CB8" w:rsidR="00C6709E" w:rsidRPr="005A2FD1" w:rsidRDefault="00C6709E" w:rsidP="005E2C10">
            <w:pPr>
              <w:pStyle w:val="Tabletextleft"/>
            </w:pPr>
          </w:p>
        </w:tc>
        <w:tc>
          <w:tcPr>
            <w:tcW w:w="3351" w:type="pct"/>
          </w:tcPr>
          <w:p w14:paraId="7533C43C" w14:textId="6BA5EAE0" w:rsidR="00C6709E" w:rsidRPr="005A2FD1" w:rsidRDefault="00C6709E" w:rsidP="00544133">
            <w:pPr>
              <w:pStyle w:val="EYTableText"/>
            </w:pPr>
            <w:r w:rsidRPr="005A2FD1">
              <w:t>Associate Professor Daniel Novakovic</w:t>
            </w:r>
          </w:p>
        </w:tc>
      </w:tr>
      <w:tr w:rsidR="00C6709E" w:rsidRPr="005A2FD1" w14:paraId="1263F187" w14:textId="77777777" w:rsidTr="005A2FD1">
        <w:tc>
          <w:tcPr>
            <w:tcW w:w="1649" w:type="pct"/>
            <w:vMerge w:val="restart"/>
          </w:tcPr>
          <w:p w14:paraId="08A3F6AD" w14:textId="57308830" w:rsidR="00C6709E" w:rsidRPr="005A2FD1" w:rsidRDefault="00C6709E" w:rsidP="00544133">
            <w:pPr>
              <w:pStyle w:val="EYTableText"/>
            </w:pPr>
            <w:r w:rsidRPr="005A2FD1">
              <w:t>General miscellaneous</w:t>
            </w:r>
          </w:p>
        </w:tc>
        <w:tc>
          <w:tcPr>
            <w:tcW w:w="3351" w:type="pct"/>
          </w:tcPr>
          <w:p w14:paraId="153AF8B5" w14:textId="7BE57A2B" w:rsidR="00C6709E" w:rsidRPr="005A2FD1" w:rsidRDefault="00C6709E" w:rsidP="00544133">
            <w:pPr>
              <w:pStyle w:val="EYTableText"/>
            </w:pPr>
            <w:r w:rsidRPr="005A2FD1">
              <w:t>Dr Andrew Cotterill</w:t>
            </w:r>
          </w:p>
        </w:tc>
      </w:tr>
      <w:tr w:rsidR="00C6709E" w:rsidRPr="005A2FD1" w14:paraId="634402D7" w14:textId="77777777" w:rsidTr="005A2FD1">
        <w:tc>
          <w:tcPr>
            <w:tcW w:w="1649" w:type="pct"/>
            <w:vMerge/>
          </w:tcPr>
          <w:p w14:paraId="7C923CC8" w14:textId="599FCDAB" w:rsidR="00C6709E" w:rsidRPr="005A2FD1" w:rsidRDefault="00C6709E" w:rsidP="005E2C10">
            <w:pPr>
              <w:pStyle w:val="Tabletextleft"/>
            </w:pPr>
          </w:p>
        </w:tc>
        <w:tc>
          <w:tcPr>
            <w:tcW w:w="3351" w:type="pct"/>
          </w:tcPr>
          <w:p w14:paraId="1132C1DD" w14:textId="095E88B7" w:rsidR="00C6709E" w:rsidRPr="005A2FD1" w:rsidRDefault="00C6709E" w:rsidP="00544133">
            <w:pPr>
              <w:pStyle w:val="EYTableText"/>
            </w:pPr>
            <w:r w:rsidRPr="005A2FD1">
              <w:t>Dr Charles Fisher</w:t>
            </w:r>
          </w:p>
        </w:tc>
      </w:tr>
      <w:tr w:rsidR="00C6709E" w:rsidRPr="005A2FD1" w14:paraId="3D2F3E75" w14:textId="77777777" w:rsidTr="005A2FD1">
        <w:tc>
          <w:tcPr>
            <w:tcW w:w="1649" w:type="pct"/>
            <w:vMerge/>
          </w:tcPr>
          <w:p w14:paraId="3BA633C0" w14:textId="62A20D42" w:rsidR="00C6709E" w:rsidRPr="005A2FD1" w:rsidRDefault="00C6709E" w:rsidP="005E2C10">
            <w:pPr>
              <w:pStyle w:val="Tabletextleft"/>
            </w:pPr>
          </w:p>
        </w:tc>
        <w:tc>
          <w:tcPr>
            <w:tcW w:w="3351" w:type="pct"/>
          </w:tcPr>
          <w:p w14:paraId="721C27C9" w14:textId="0AC33665" w:rsidR="00C6709E" w:rsidRPr="005A2FD1" w:rsidRDefault="00C6709E" w:rsidP="00544133">
            <w:pPr>
              <w:pStyle w:val="EYTableText"/>
            </w:pPr>
            <w:r w:rsidRPr="005A2FD1">
              <w:t>Dr Bill Fleming</w:t>
            </w:r>
          </w:p>
        </w:tc>
      </w:tr>
      <w:tr w:rsidR="00C6709E" w:rsidRPr="005A2FD1" w14:paraId="4EEE2E33" w14:textId="77777777" w:rsidTr="005A2FD1">
        <w:tc>
          <w:tcPr>
            <w:tcW w:w="1649" w:type="pct"/>
            <w:vMerge/>
          </w:tcPr>
          <w:p w14:paraId="29D0DAA9" w14:textId="7DE38BA4" w:rsidR="00C6709E" w:rsidRPr="005A2FD1" w:rsidRDefault="00C6709E" w:rsidP="005E2C10">
            <w:pPr>
              <w:pStyle w:val="Tabletextleft"/>
            </w:pPr>
          </w:p>
        </w:tc>
        <w:tc>
          <w:tcPr>
            <w:tcW w:w="3351" w:type="pct"/>
          </w:tcPr>
          <w:p w14:paraId="4C6161B5" w14:textId="737EB720" w:rsidR="00C6709E" w:rsidRPr="005A2FD1" w:rsidRDefault="00C6709E" w:rsidP="00544133">
            <w:pPr>
              <w:pStyle w:val="EYTableText"/>
            </w:pPr>
            <w:r w:rsidRPr="005A2FD1">
              <w:t>Professor Allan Glanville</w:t>
            </w:r>
          </w:p>
        </w:tc>
      </w:tr>
      <w:tr w:rsidR="00C6709E" w:rsidRPr="005A2FD1" w14:paraId="668EDA33" w14:textId="77777777" w:rsidTr="005A2FD1">
        <w:tc>
          <w:tcPr>
            <w:tcW w:w="1649" w:type="pct"/>
            <w:vMerge/>
          </w:tcPr>
          <w:p w14:paraId="295FF5DC" w14:textId="1D711DA6" w:rsidR="00C6709E" w:rsidRPr="005A2FD1" w:rsidRDefault="00C6709E" w:rsidP="005E2C10">
            <w:pPr>
              <w:pStyle w:val="Tabletextleft"/>
            </w:pPr>
          </w:p>
        </w:tc>
        <w:tc>
          <w:tcPr>
            <w:tcW w:w="3351" w:type="pct"/>
          </w:tcPr>
          <w:p w14:paraId="6167CF76" w14:textId="56DA21BB" w:rsidR="00C6709E" w:rsidRPr="005A2FD1" w:rsidRDefault="00C6709E" w:rsidP="00544133">
            <w:pPr>
              <w:pStyle w:val="EYTableText"/>
            </w:pPr>
            <w:r w:rsidRPr="005A2FD1">
              <w:t>Dr Jane Holmes-Walker</w:t>
            </w:r>
          </w:p>
        </w:tc>
      </w:tr>
      <w:tr w:rsidR="00C6709E" w:rsidRPr="005A2FD1" w14:paraId="45F3067E" w14:textId="77777777" w:rsidTr="005A2FD1">
        <w:tc>
          <w:tcPr>
            <w:tcW w:w="1649" w:type="pct"/>
            <w:vMerge/>
          </w:tcPr>
          <w:p w14:paraId="4A1ED0A9" w14:textId="178B2194" w:rsidR="00C6709E" w:rsidRPr="005A2FD1" w:rsidRDefault="00C6709E" w:rsidP="005E2C10">
            <w:pPr>
              <w:pStyle w:val="Tabletextleft"/>
            </w:pPr>
          </w:p>
        </w:tc>
        <w:tc>
          <w:tcPr>
            <w:tcW w:w="3351" w:type="pct"/>
          </w:tcPr>
          <w:p w14:paraId="1B37C7A7" w14:textId="66147A36" w:rsidR="00C6709E" w:rsidRPr="005A2FD1" w:rsidRDefault="00C6709E" w:rsidP="00544133">
            <w:pPr>
              <w:pStyle w:val="EYTableText"/>
            </w:pPr>
            <w:r w:rsidRPr="005A2FD1">
              <w:t>Dr Meron Pitcher</w:t>
            </w:r>
          </w:p>
        </w:tc>
      </w:tr>
      <w:tr w:rsidR="00C6709E" w:rsidRPr="005A2FD1" w14:paraId="127B5852" w14:textId="77777777" w:rsidTr="005A2FD1">
        <w:tc>
          <w:tcPr>
            <w:tcW w:w="1649" w:type="pct"/>
            <w:vMerge/>
          </w:tcPr>
          <w:p w14:paraId="44CDE0F9" w14:textId="4F93EE0D" w:rsidR="00C6709E" w:rsidRPr="005A2FD1" w:rsidRDefault="00C6709E" w:rsidP="005E2C10">
            <w:pPr>
              <w:pStyle w:val="Tabletextleft"/>
            </w:pPr>
          </w:p>
        </w:tc>
        <w:tc>
          <w:tcPr>
            <w:tcW w:w="3351" w:type="pct"/>
          </w:tcPr>
          <w:p w14:paraId="293C89B3" w14:textId="58D38398" w:rsidR="00C6709E" w:rsidRPr="005A2FD1" w:rsidRDefault="00C6709E" w:rsidP="00544133">
            <w:pPr>
              <w:pStyle w:val="EYTableText"/>
            </w:pPr>
            <w:r w:rsidRPr="005A2FD1">
              <w:t>Associate Professor Glynis Ross</w:t>
            </w:r>
          </w:p>
        </w:tc>
      </w:tr>
      <w:tr w:rsidR="00C6709E" w:rsidRPr="005A2FD1" w14:paraId="73F0486E" w14:textId="77777777" w:rsidTr="005A2FD1">
        <w:tc>
          <w:tcPr>
            <w:tcW w:w="1649" w:type="pct"/>
            <w:vMerge/>
          </w:tcPr>
          <w:p w14:paraId="00DF0FCC" w14:textId="792046E8" w:rsidR="00C6709E" w:rsidRPr="005A2FD1" w:rsidRDefault="00C6709E" w:rsidP="005E2C10">
            <w:pPr>
              <w:pStyle w:val="Tabletextleft"/>
            </w:pPr>
          </w:p>
        </w:tc>
        <w:tc>
          <w:tcPr>
            <w:tcW w:w="3351" w:type="pct"/>
          </w:tcPr>
          <w:p w14:paraId="086DB61E" w14:textId="67C2DA2C" w:rsidR="00C6709E" w:rsidRPr="005A2FD1" w:rsidRDefault="00C6709E" w:rsidP="00544133">
            <w:pPr>
              <w:pStyle w:val="EYTableText"/>
            </w:pPr>
            <w:r w:rsidRPr="005A2FD1">
              <w:t xml:space="preserve">Mr Gil </w:t>
            </w:r>
            <w:proofErr w:type="spellStart"/>
            <w:r w:rsidRPr="005A2FD1">
              <w:t>Shardey</w:t>
            </w:r>
            <w:proofErr w:type="spellEnd"/>
          </w:p>
        </w:tc>
      </w:tr>
      <w:tr w:rsidR="00C6709E" w:rsidRPr="005A2FD1" w14:paraId="6FE234C7" w14:textId="77777777" w:rsidTr="005A2FD1">
        <w:tc>
          <w:tcPr>
            <w:tcW w:w="1649" w:type="pct"/>
            <w:vMerge/>
          </w:tcPr>
          <w:p w14:paraId="596A8622" w14:textId="664D187B" w:rsidR="00C6709E" w:rsidRPr="005A2FD1" w:rsidRDefault="00C6709E" w:rsidP="005E2C10">
            <w:pPr>
              <w:pStyle w:val="Tabletextleft"/>
            </w:pPr>
          </w:p>
        </w:tc>
        <w:tc>
          <w:tcPr>
            <w:tcW w:w="3351" w:type="pct"/>
          </w:tcPr>
          <w:p w14:paraId="66A8AC2D" w14:textId="52A8C57F" w:rsidR="00C6709E" w:rsidRPr="005A2FD1" w:rsidRDefault="00C6709E" w:rsidP="00544133">
            <w:pPr>
              <w:pStyle w:val="EYTableText"/>
            </w:pPr>
            <w:r w:rsidRPr="005A2FD1">
              <w:t>Dr Siew-</w:t>
            </w:r>
            <w:proofErr w:type="spellStart"/>
            <w:r w:rsidRPr="005A2FD1">
              <w:t>Piau</w:t>
            </w:r>
            <w:proofErr w:type="spellEnd"/>
            <w:r w:rsidRPr="005A2FD1">
              <w:t xml:space="preserve"> Tan</w:t>
            </w:r>
          </w:p>
        </w:tc>
      </w:tr>
      <w:tr w:rsidR="00C6709E" w:rsidRPr="005A2FD1" w14:paraId="6A2BE5F2" w14:textId="77777777" w:rsidTr="005A2FD1">
        <w:tc>
          <w:tcPr>
            <w:tcW w:w="1649" w:type="pct"/>
            <w:vMerge/>
          </w:tcPr>
          <w:p w14:paraId="239C489D" w14:textId="36B11D98" w:rsidR="00C6709E" w:rsidRPr="005A2FD1" w:rsidRDefault="00C6709E" w:rsidP="005E2C10">
            <w:pPr>
              <w:pStyle w:val="Tabletextleft"/>
            </w:pPr>
          </w:p>
        </w:tc>
        <w:tc>
          <w:tcPr>
            <w:tcW w:w="3351" w:type="pct"/>
          </w:tcPr>
          <w:p w14:paraId="3D9A794A" w14:textId="2DE9BDEE" w:rsidR="00C6709E" w:rsidRPr="005A2FD1" w:rsidRDefault="00C6709E" w:rsidP="00544133">
            <w:pPr>
              <w:pStyle w:val="EYTableText"/>
            </w:pPr>
            <w:r w:rsidRPr="005A2FD1">
              <w:t>Dr Scott Williams</w:t>
            </w:r>
          </w:p>
        </w:tc>
      </w:tr>
      <w:tr w:rsidR="00C6709E" w:rsidRPr="005A2FD1" w14:paraId="5AA445FE" w14:textId="77777777" w:rsidTr="005A2FD1">
        <w:tc>
          <w:tcPr>
            <w:tcW w:w="1649" w:type="pct"/>
            <w:vMerge/>
          </w:tcPr>
          <w:p w14:paraId="41E130D2" w14:textId="43C9342C" w:rsidR="00C6709E" w:rsidRPr="005A2FD1" w:rsidRDefault="00C6709E" w:rsidP="005E2C10">
            <w:pPr>
              <w:pStyle w:val="Tabletextleft"/>
            </w:pPr>
          </w:p>
        </w:tc>
        <w:tc>
          <w:tcPr>
            <w:tcW w:w="3351" w:type="pct"/>
          </w:tcPr>
          <w:p w14:paraId="771ACFD6" w14:textId="4ED79AB9" w:rsidR="00C6709E" w:rsidRPr="005A2FD1" w:rsidRDefault="00C6709E" w:rsidP="00544133">
            <w:pPr>
              <w:pStyle w:val="EYTableText"/>
            </w:pPr>
            <w:r w:rsidRPr="005A2FD1">
              <w:t>Dr Morgan Windsor</w:t>
            </w:r>
          </w:p>
        </w:tc>
      </w:tr>
      <w:tr w:rsidR="00C6709E" w:rsidRPr="005A2FD1" w14:paraId="34C8E0F9" w14:textId="77777777" w:rsidTr="005A2FD1">
        <w:tc>
          <w:tcPr>
            <w:tcW w:w="1649" w:type="pct"/>
            <w:vMerge/>
          </w:tcPr>
          <w:p w14:paraId="3928710F" w14:textId="18E361AA" w:rsidR="00C6709E" w:rsidRPr="005A2FD1" w:rsidRDefault="00C6709E" w:rsidP="005E2C10">
            <w:pPr>
              <w:pStyle w:val="Tabletextleft"/>
            </w:pPr>
          </w:p>
        </w:tc>
        <w:tc>
          <w:tcPr>
            <w:tcW w:w="3351" w:type="pct"/>
          </w:tcPr>
          <w:p w14:paraId="5F860DB6" w14:textId="78D16C71" w:rsidR="00C6709E" w:rsidRPr="005A2FD1" w:rsidRDefault="00C6709E" w:rsidP="00544133">
            <w:pPr>
              <w:pStyle w:val="EYTableText"/>
            </w:pPr>
            <w:r w:rsidRPr="005A2FD1">
              <w:t>Mr Michael Johnston</w:t>
            </w:r>
          </w:p>
        </w:tc>
      </w:tr>
      <w:tr w:rsidR="00C6709E" w:rsidRPr="005A2FD1" w14:paraId="28E4B2F6" w14:textId="77777777" w:rsidTr="005A2FD1">
        <w:tc>
          <w:tcPr>
            <w:tcW w:w="1649" w:type="pct"/>
            <w:vMerge/>
          </w:tcPr>
          <w:p w14:paraId="766D6614" w14:textId="66267CE4" w:rsidR="00C6709E" w:rsidRPr="005A2FD1" w:rsidRDefault="00C6709E" w:rsidP="005E2C10">
            <w:pPr>
              <w:pStyle w:val="Tabletextleft"/>
            </w:pPr>
          </w:p>
        </w:tc>
        <w:tc>
          <w:tcPr>
            <w:tcW w:w="3351" w:type="pct"/>
          </w:tcPr>
          <w:p w14:paraId="5DF20633" w14:textId="72AE78F6" w:rsidR="00C6709E" w:rsidRPr="005A2FD1" w:rsidRDefault="00C6709E" w:rsidP="00544133">
            <w:pPr>
              <w:pStyle w:val="EYTableText"/>
            </w:pPr>
            <w:r w:rsidRPr="005A2FD1">
              <w:t>Michael Mar Fan</w:t>
            </w:r>
          </w:p>
        </w:tc>
      </w:tr>
      <w:tr w:rsidR="00C6709E" w:rsidRPr="005A2FD1" w14:paraId="10AF8FCC" w14:textId="77777777" w:rsidTr="005A2FD1">
        <w:tc>
          <w:tcPr>
            <w:tcW w:w="1649" w:type="pct"/>
            <w:vMerge w:val="restart"/>
          </w:tcPr>
          <w:p w14:paraId="65039B47" w14:textId="2A6374BF" w:rsidR="00C6709E" w:rsidRPr="005A2FD1" w:rsidRDefault="00C6709E" w:rsidP="00544133">
            <w:pPr>
              <w:pStyle w:val="EYTableText"/>
            </w:pPr>
            <w:r w:rsidRPr="005A2FD1">
              <w:t>Neurosurgical</w:t>
            </w:r>
          </w:p>
        </w:tc>
        <w:tc>
          <w:tcPr>
            <w:tcW w:w="3351" w:type="pct"/>
          </w:tcPr>
          <w:p w14:paraId="5668E1E9" w14:textId="44829522" w:rsidR="00C6709E" w:rsidRPr="005A2FD1" w:rsidRDefault="00C6709E" w:rsidP="00544133">
            <w:pPr>
              <w:pStyle w:val="EYTableText"/>
            </w:pPr>
            <w:r w:rsidRPr="005A2FD1">
              <w:t>Dr Jerry Day</w:t>
            </w:r>
          </w:p>
        </w:tc>
      </w:tr>
      <w:tr w:rsidR="00C6709E" w:rsidRPr="005A2FD1" w14:paraId="3581CFEF" w14:textId="77777777" w:rsidTr="005A2FD1">
        <w:tc>
          <w:tcPr>
            <w:tcW w:w="1649" w:type="pct"/>
            <w:vMerge/>
          </w:tcPr>
          <w:p w14:paraId="45E779C0" w14:textId="6D921144" w:rsidR="00C6709E" w:rsidRPr="005A2FD1" w:rsidRDefault="00C6709E" w:rsidP="005E2C10">
            <w:pPr>
              <w:pStyle w:val="Tabletextleft"/>
            </w:pPr>
          </w:p>
        </w:tc>
        <w:tc>
          <w:tcPr>
            <w:tcW w:w="3351" w:type="pct"/>
          </w:tcPr>
          <w:p w14:paraId="5C369869" w14:textId="79072538" w:rsidR="00C6709E" w:rsidRPr="005A2FD1" w:rsidRDefault="00C6709E" w:rsidP="00544133">
            <w:pPr>
              <w:pStyle w:val="EYTableText"/>
            </w:pPr>
            <w:r w:rsidRPr="005A2FD1">
              <w:t>Dr David Johnson</w:t>
            </w:r>
          </w:p>
        </w:tc>
      </w:tr>
      <w:tr w:rsidR="00C6709E" w:rsidRPr="005A2FD1" w14:paraId="117D429D" w14:textId="77777777" w:rsidTr="005A2FD1">
        <w:tc>
          <w:tcPr>
            <w:tcW w:w="1649" w:type="pct"/>
            <w:vMerge/>
          </w:tcPr>
          <w:p w14:paraId="371746CB" w14:textId="17AD40C3" w:rsidR="00C6709E" w:rsidRPr="005A2FD1" w:rsidRDefault="00C6709E" w:rsidP="005E2C10">
            <w:pPr>
              <w:pStyle w:val="Tabletextleft"/>
            </w:pPr>
          </w:p>
        </w:tc>
        <w:tc>
          <w:tcPr>
            <w:tcW w:w="3351" w:type="pct"/>
          </w:tcPr>
          <w:p w14:paraId="1303BD2E" w14:textId="049E2534" w:rsidR="00C6709E" w:rsidRPr="005A2FD1" w:rsidRDefault="00C6709E" w:rsidP="00544133">
            <w:pPr>
              <w:pStyle w:val="EYTableText"/>
            </w:pPr>
            <w:r w:rsidRPr="005A2FD1">
              <w:t>Dr Patrick Lo</w:t>
            </w:r>
          </w:p>
        </w:tc>
      </w:tr>
      <w:tr w:rsidR="00C6709E" w:rsidRPr="005A2FD1" w14:paraId="686785AA" w14:textId="77777777" w:rsidTr="005A2FD1">
        <w:tc>
          <w:tcPr>
            <w:tcW w:w="1649" w:type="pct"/>
            <w:vMerge/>
          </w:tcPr>
          <w:p w14:paraId="41C6F564" w14:textId="6C9A3169" w:rsidR="00C6709E" w:rsidRPr="005A2FD1" w:rsidRDefault="00C6709E" w:rsidP="005E2C10">
            <w:pPr>
              <w:pStyle w:val="Tabletextleft"/>
            </w:pPr>
          </w:p>
        </w:tc>
        <w:tc>
          <w:tcPr>
            <w:tcW w:w="3351" w:type="pct"/>
          </w:tcPr>
          <w:p w14:paraId="08C0D2E6" w14:textId="76B4723A" w:rsidR="00C6709E" w:rsidRPr="005A2FD1" w:rsidRDefault="00C6709E" w:rsidP="00544133">
            <w:pPr>
              <w:pStyle w:val="EYTableText"/>
            </w:pPr>
            <w:r w:rsidRPr="005A2FD1">
              <w:t>Dr Raoul Pope</w:t>
            </w:r>
          </w:p>
        </w:tc>
      </w:tr>
      <w:tr w:rsidR="00C6709E" w:rsidRPr="005A2FD1" w14:paraId="5B3332A4" w14:textId="77777777" w:rsidTr="005A2FD1">
        <w:tc>
          <w:tcPr>
            <w:tcW w:w="1649" w:type="pct"/>
            <w:vMerge/>
          </w:tcPr>
          <w:p w14:paraId="656651C5" w14:textId="7266684D" w:rsidR="00C6709E" w:rsidRPr="005A2FD1" w:rsidRDefault="00C6709E" w:rsidP="005E2C10">
            <w:pPr>
              <w:pStyle w:val="Tabletextleft"/>
            </w:pPr>
          </w:p>
        </w:tc>
        <w:tc>
          <w:tcPr>
            <w:tcW w:w="3351" w:type="pct"/>
          </w:tcPr>
          <w:p w14:paraId="215BD626" w14:textId="20D1A3BD" w:rsidR="00C6709E" w:rsidRPr="005A2FD1" w:rsidRDefault="00C6709E" w:rsidP="00544133">
            <w:pPr>
              <w:pStyle w:val="EYTableText"/>
            </w:pPr>
            <w:r w:rsidRPr="005A2FD1">
              <w:t>Dr David James Taylor</w:t>
            </w:r>
          </w:p>
        </w:tc>
      </w:tr>
      <w:tr w:rsidR="00C6709E" w:rsidRPr="005A2FD1" w14:paraId="1670127C" w14:textId="77777777" w:rsidTr="005A2FD1">
        <w:tc>
          <w:tcPr>
            <w:tcW w:w="1649" w:type="pct"/>
            <w:vMerge w:val="restart"/>
          </w:tcPr>
          <w:p w14:paraId="2A316593" w14:textId="258346A7" w:rsidR="00C6709E" w:rsidRPr="005A2FD1" w:rsidRDefault="00C6709E" w:rsidP="00544133">
            <w:pPr>
              <w:pStyle w:val="EYTableText"/>
            </w:pPr>
            <w:r w:rsidRPr="005A2FD1">
              <w:t>Plastic and reconstructive</w:t>
            </w:r>
          </w:p>
        </w:tc>
        <w:tc>
          <w:tcPr>
            <w:tcW w:w="3351" w:type="pct"/>
          </w:tcPr>
          <w:p w14:paraId="44128B20" w14:textId="383A48F7" w:rsidR="00C6709E" w:rsidRPr="005A2FD1" w:rsidRDefault="00C6709E" w:rsidP="00544133">
            <w:pPr>
              <w:pStyle w:val="EYTableText"/>
            </w:pPr>
            <w:r w:rsidRPr="005A2FD1">
              <w:t xml:space="preserve">Dr Paul </w:t>
            </w:r>
            <w:proofErr w:type="spellStart"/>
            <w:r w:rsidRPr="005A2FD1">
              <w:t>Coceanig</w:t>
            </w:r>
            <w:proofErr w:type="spellEnd"/>
          </w:p>
        </w:tc>
      </w:tr>
      <w:tr w:rsidR="00C6709E" w:rsidRPr="005A2FD1" w14:paraId="1DF861B4" w14:textId="77777777" w:rsidTr="005A2FD1">
        <w:tc>
          <w:tcPr>
            <w:tcW w:w="1649" w:type="pct"/>
            <w:vMerge/>
          </w:tcPr>
          <w:p w14:paraId="6D64B942" w14:textId="5DBC462F" w:rsidR="00C6709E" w:rsidRPr="005A2FD1" w:rsidRDefault="00C6709E" w:rsidP="005E2C10">
            <w:pPr>
              <w:pStyle w:val="Tabletextleft"/>
            </w:pPr>
          </w:p>
        </w:tc>
        <w:tc>
          <w:tcPr>
            <w:tcW w:w="3351" w:type="pct"/>
          </w:tcPr>
          <w:p w14:paraId="4C240C4A" w14:textId="44358F09" w:rsidR="00C6709E" w:rsidRPr="005A2FD1" w:rsidRDefault="00C6709E" w:rsidP="00544133">
            <w:pPr>
              <w:pStyle w:val="EYTableText"/>
            </w:pPr>
            <w:r w:rsidRPr="005A2FD1">
              <w:t xml:space="preserve">Dr Miles </w:t>
            </w:r>
            <w:proofErr w:type="spellStart"/>
            <w:r w:rsidRPr="005A2FD1">
              <w:t>Doddridge</w:t>
            </w:r>
            <w:proofErr w:type="spellEnd"/>
          </w:p>
        </w:tc>
      </w:tr>
      <w:tr w:rsidR="00C6709E" w:rsidRPr="005A2FD1" w14:paraId="432A0627" w14:textId="77777777" w:rsidTr="005A2FD1">
        <w:tc>
          <w:tcPr>
            <w:tcW w:w="1649" w:type="pct"/>
            <w:vMerge/>
          </w:tcPr>
          <w:p w14:paraId="6BE9FBFC" w14:textId="1ADD6ECA" w:rsidR="00C6709E" w:rsidRPr="005A2FD1" w:rsidRDefault="00C6709E" w:rsidP="005E2C10">
            <w:pPr>
              <w:pStyle w:val="Tabletextleft"/>
            </w:pPr>
          </w:p>
        </w:tc>
        <w:tc>
          <w:tcPr>
            <w:tcW w:w="3351" w:type="pct"/>
          </w:tcPr>
          <w:p w14:paraId="0A74F00E" w14:textId="54467386" w:rsidR="00C6709E" w:rsidRPr="005A2FD1" w:rsidRDefault="00C6709E" w:rsidP="00544133">
            <w:pPr>
              <w:pStyle w:val="EYTableText"/>
            </w:pPr>
            <w:r w:rsidRPr="005A2FD1">
              <w:t>Dr Gillian Farrell</w:t>
            </w:r>
          </w:p>
        </w:tc>
      </w:tr>
      <w:tr w:rsidR="00C6709E" w:rsidRPr="005A2FD1" w14:paraId="4DB5FA57" w14:textId="77777777" w:rsidTr="005A2FD1">
        <w:tc>
          <w:tcPr>
            <w:tcW w:w="1649" w:type="pct"/>
            <w:vMerge/>
          </w:tcPr>
          <w:p w14:paraId="0427C45F" w14:textId="3BEFFC92" w:rsidR="00C6709E" w:rsidRPr="005A2FD1" w:rsidRDefault="00C6709E" w:rsidP="005E2C10">
            <w:pPr>
              <w:pStyle w:val="Tabletextleft"/>
            </w:pPr>
          </w:p>
        </w:tc>
        <w:tc>
          <w:tcPr>
            <w:tcW w:w="3351" w:type="pct"/>
          </w:tcPr>
          <w:p w14:paraId="04A51F7F" w14:textId="56D8C783" w:rsidR="00C6709E" w:rsidRPr="005A2FD1" w:rsidRDefault="00C6709E" w:rsidP="00544133">
            <w:pPr>
              <w:pStyle w:val="EYTableText"/>
            </w:pPr>
            <w:r w:rsidRPr="005A2FD1">
              <w:t>Dr Walter Flapper</w:t>
            </w:r>
          </w:p>
        </w:tc>
      </w:tr>
      <w:tr w:rsidR="00C6709E" w:rsidRPr="005A2FD1" w14:paraId="42C512AF" w14:textId="77777777" w:rsidTr="005A2FD1">
        <w:tc>
          <w:tcPr>
            <w:tcW w:w="1649" w:type="pct"/>
          </w:tcPr>
          <w:p w14:paraId="050F011D" w14:textId="556ABFC2" w:rsidR="00C6709E" w:rsidRPr="005A2FD1" w:rsidRDefault="00C6709E" w:rsidP="00544133">
            <w:pPr>
              <w:pStyle w:val="EYTableText"/>
            </w:pPr>
            <w:r w:rsidRPr="005A2FD1">
              <w:t>Urogenital</w:t>
            </w:r>
          </w:p>
        </w:tc>
        <w:tc>
          <w:tcPr>
            <w:tcW w:w="3351" w:type="pct"/>
          </w:tcPr>
          <w:p w14:paraId="2BAA63D8" w14:textId="7B4B6724" w:rsidR="00C6709E" w:rsidRPr="005A2FD1" w:rsidRDefault="00C6709E" w:rsidP="00544133">
            <w:pPr>
              <w:pStyle w:val="EYTableText"/>
            </w:pPr>
            <w:r w:rsidRPr="005A2FD1">
              <w:t xml:space="preserve">Dr Emmanuel </w:t>
            </w:r>
            <w:proofErr w:type="spellStart"/>
            <w:r w:rsidRPr="005A2FD1">
              <w:t>Karantanis</w:t>
            </w:r>
            <w:proofErr w:type="spellEnd"/>
          </w:p>
        </w:tc>
      </w:tr>
    </w:tbl>
    <w:p w14:paraId="39DF52D3" w14:textId="77777777" w:rsidR="00887B0D" w:rsidRPr="00B22C43" w:rsidRDefault="00887B0D" w:rsidP="00544133">
      <w:pPr>
        <w:pageBreakBefore/>
      </w:pPr>
      <w:r w:rsidRPr="00B22C43">
        <w:rPr>
          <w:b/>
        </w:rPr>
        <w:lastRenderedPageBreak/>
        <w:t>EY</w:t>
      </w:r>
      <w:r w:rsidRPr="00495497">
        <w:t xml:space="preserve"> </w:t>
      </w:r>
      <w:r w:rsidRPr="00DE24BB">
        <w:t xml:space="preserve">| </w:t>
      </w:r>
      <w:r w:rsidRPr="00B22C43">
        <w:t>Assurance | Tax | Transactions | Advisory</w:t>
      </w:r>
    </w:p>
    <w:p w14:paraId="4779396D" w14:textId="77777777" w:rsidR="00887B0D" w:rsidRPr="00887B0D" w:rsidRDefault="00887B0D" w:rsidP="00887B0D">
      <w:r w:rsidRPr="00887B0D">
        <w:t>About EY</w:t>
      </w:r>
    </w:p>
    <w:p w14:paraId="109CDD19" w14:textId="77777777" w:rsidR="00887B0D" w:rsidRPr="00887B0D" w:rsidRDefault="00887B0D" w:rsidP="00887B0D">
      <w:r w:rsidRPr="00887B0D">
        <w:t xml:space="preserve">EY is a global leader in assurance, tax, </w:t>
      </w:r>
      <w:proofErr w:type="gramStart"/>
      <w:r w:rsidRPr="00887B0D">
        <w:t>transaction</w:t>
      </w:r>
      <w:proofErr w:type="gramEnd"/>
      <w:r w:rsidRPr="00887B0D">
        <w:t xml:space="preserve"> and advisory services. The insights and quality services we deliver help build trust and confidence in the capital markets and in economies the world over. We develop outstanding leaders who team to deliver on our promises to </w:t>
      </w:r>
      <w:proofErr w:type="gramStart"/>
      <w:r w:rsidRPr="00887B0D">
        <w:t>all of</w:t>
      </w:r>
      <w:proofErr w:type="gramEnd"/>
      <w:r w:rsidRPr="00887B0D">
        <w:t xml:space="preserve"> our stakeholders. In so doing, we play a critical role in building a better working world for our people, for our clients and for our communities.</w:t>
      </w:r>
    </w:p>
    <w:p w14:paraId="6CDABB08" w14:textId="77777777" w:rsidR="00887B0D" w:rsidRPr="00887B0D" w:rsidRDefault="00887B0D" w:rsidP="00887B0D">
      <w:r w:rsidRPr="00887B0D">
        <w:t xml:space="preserve">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w:t>
      </w:r>
      <w:proofErr w:type="gramStart"/>
      <w:r w:rsidRPr="00887B0D">
        <w:t>data</w:t>
      </w:r>
      <w:proofErr w:type="gramEnd"/>
      <w:r w:rsidRPr="00887B0D">
        <w:t xml:space="preserve"> and a description of the rights individuals have under data protection legislation is available via ey.com/privacy. For more information about our organization, please visit ey.com.</w:t>
      </w:r>
    </w:p>
    <w:p w14:paraId="1E460F87" w14:textId="77777777" w:rsidR="00887B0D" w:rsidRPr="00887B0D" w:rsidRDefault="00887B0D" w:rsidP="00887B0D">
      <w:r w:rsidRPr="00887B0D">
        <w:t>© 2021 Ernst &amp; Young, Australia</w:t>
      </w:r>
      <w:r w:rsidRPr="00887B0D">
        <w:br/>
        <w:t>All Rights Reserved.</w:t>
      </w:r>
    </w:p>
    <w:p w14:paraId="00CE7DFF" w14:textId="77777777" w:rsidR="00887B0D" w:rsidRPr="00887B0D" w:rsidRDefault="00887B0D" w:rsidP="00887B0D">
      <w:r w:rsidRPr="00887B0D">
        <w:t>Liability limited by a scheme approved under Professional Standards Legislation.</w:t>
      </w:r>
    </w:p>
    <w:p w14:paraId="0CC44BD9" w14:textId="77777777" w:rsidR="00887B0D" w:rsidRPr="00887B0D" w:rsidRDefault="00887B0D" w:rsidP="00887B0D">
      <w:r w:rsidRPr="00887B0D">
        <w:t>ED None</w:t>
      </w:r>
    </w:p>
    <w:p w14:paraId="619E7DC0" w14:textId="77777777" w:rsidR="00887B0D" w:rsidRPr="00887B0D" w:rsidRDefault="00887B0D" w:rsidP="00887B0D">
      <w:r w:rsidRPr="00887B0D">
        <w:t>In line with EY’s commitment to minimize its impact on the environment, this document has been printed on paper with a high recycled content.</w:t>
      </w:r>
    </w:p>
    <w:p w14:paraId="184B23C1" w14:textId="77777777" w:rsidR="00887B0D" w:rsidRPr="00887B0D" w:rsidRDefault="00887B0D" w:rsidP="00887B0D">
      <w:r w:rsidRPr="00887B0D">
        <w:t>Ernst &amp; Young is a registered trademark.</w:t>
      </w:r>
    </w:p>
    <w:p w14:paraId="15A75B9D" w14:textId="77777777" w:rsidR="00887B0D" w:rsidRPr="00887B0D" w:rsidRDefault="00887B0D" w:rsidP="00887B0D">
      <w:r w:rsidRPr="00887B0D">
        <w:t>Our report may be relied upon by the Department of Health for the purposes set out in the scope section/proposal pursuant to the terms of our engagement letter dated 27 May 2021. We disclaim all responsibility to any other party for any loss or liability that the other party may suffer or incur arising from or relating to or in any way connected with the contents of our report, the provision of our report to the other party or the reliance upon our report by the other party.</w:t>
      </w:r>
    </w:p>
    <w:p w14:paraId="5B43558F" w14:textId="3E582DA5" w:rsidR="00887B0D" w:rsidRPr="00887B0D" w:rsidRDefault="00887B0D" w:rsidP="00887B0D">
      <w:r w:rsidRPr="00887B0D">
        <w:t>ey.com</w:t>
      </w:r>
    </w:p>
    <w:sectPr w:rsidR="00887B0D" w:rsidRPr="00887B0D" w:rsidSect="00887B0D">
      <w:pgSz w:w="11909" w:h="16834" w:code="9"/>
      <w:pgMar w:top="1440" w:right="1440" w:bottom="284" w:left="1440" w:header="720" w:footer="2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2000" w14:textId="77777777" w:rsidR="000B1C8C" w:rsidRDefault="000B1C8C">
      <w:r>
        <w:separator/>
      </w:r>
    </w:p>
  </w:endnote>
  <w:endnote w:type="continuationSeparator" w:id="0">
    <w:p w14:paraId="5DB01378" w14:textId="77777777" w:rsidR="000B1C8C" w:rsidRDefault="000B1C8C">
      <w:r>
        <w:continuationSeparator/>
      </w:r>
    </w:p>
  </w:endnote>
  <w:endnote w:type="continuationNotice" w:id="1">
    <w:p w14:paraId="4437745B" w14:textId="77777777" w:rsidR="000B1C8C" w:rsidRDefault="000B1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00"/>
    <w:family w:val="auto"/>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C656" w14:textId="77777777" w:rsidR="00745BF8" w:rsidRDefault="00745BF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BB2C" w14:textId="2DEFE41C" w:rsidR="002D7E29" w:rsidRPr="000066A2" w:rsidRDefault="00745BF8" w:rsidP="00745BF8">
    <w:pPr>
      <w:pStyle w:val="Footer"/>
      <w:tabs>
        <w:tab w:val="clear" w:pos="8640"/>
        <w:tab w:val="left" w:pos="12900"/>
      </w:tabs>
    </w:pPr>
    <w:r>
      <w:t>Department of Health | Review of the Prostheses List Advisory Committee and associated sub-</w:t>
    </w:r>
    <w:proofErr w:type="spellStart"/>
    <w:r>
      <w:t>committees</w:t>
    </w:r>
    <w:r w:rsidRPr="00034F78">
      <w:rPr>
        <w:b/>
      </w:rPr>
      <w:t>EY</w:t>
    </w:r>
    <w:proofErr w:type="spellEnd"/>
    <w:r w:rsidRPr="00034F78">
      <w:t xml:space="preserve"> </w:t>
    </w:r>
    <w:r w:rsidRPr="00034F78">
      <w:rPr>
        <w:color w:val="FFE600" w:themeColor="text2"/>
      </w:rPr>
      <w:t>|</w:t>
    </w:r>
    <w:r w:rsidRPr="00034F78">
      <w:t xml:space="preserve"> </w:t>
    </w:r>
    <w:r w:rsidRPr="00034F78">
      <w:fldChar w:fldCharType="begin"/>
    </w:r>
    <w:r w:rsidRPr="00034F78">
      <w:instrText xml:space="preserve"> PAGE </w:instrText>
    </w:r>
    <w:r w:rsidRPr="00034F78">
      <w:fldChar w:fldCharType="separate"/>
    </w:r>
    <w:r>
      <w:t>38</w:t>
    </w:r>
    <w:r w:rsidRPr="00034F78">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2DFA" w14:textId="42B3D1A9" w:rsidR="005A2FD1" w:rsidRDefault="005A2FD1" w:rsidP="005A2FD1">
    <w:pPr>
      <w:pStyle w:val="Footer"/>
    </w:pPr>
    <w:r w:rsidRPr="005A2FD1">
      <w:t>Department of Health</w:t>
    </w:r>
    <w:r w:rsidRPr="005A2FD1">
      <w:tab/>
    </w:r>
    <w:r>
      <w:t xml:space="preserve"> | </w:t>
    </w:r>
    <w:r w:rsidRPr="005A2FD1">
      <w:t>Review of the Prostheses List Advisory Committee and associated sub-committees</w:t>
    </w:r>
    <w:r w:rsidRPr="005A2FD1">
      <w:tab/>
      <w:t>EY | 68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3CD2" w14:textId="77777777" w:rsidR="00745BF8" w:rsidRDefault="00745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AD1B" w14:textId="77777777" w:rsidR="00745BF8" w:rsidRDefault="00745B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AB40" w14:textId="7667C4A5" w:rsidR="002D7E29" w:rsidRPr="008868D6" w:rsidRDefault="008868D6" w:rsidP="008868D6">
    <w:pPr>
      <w:pStyle w:val="Footer"/>
    </w:pPr>
    <w:r w:rsidRPr="008868D6">
      <w:t>Department of Health | Australian Government</w:t>
    </w:r>
    <w:r>
      <w:t xml:space="preserve"> | </w:t>
    </w:r>
    <w:r w:rsidRPr="008868D6">
      <w:t xml:space="preserve">Review of the Prostheses List Advisory </w:t>
    </w:r>
    <w:proofErr w:type="gramStart"/>
    <w:r w:rsidRPr="008868D6">
      <w:t>Committee  and</w:t>
    </w:r>
    <w:proofErr w:type="gramEnd"/>
    <w:r w:rsidRPr="008868D6">
      <w:t xml:space="preserve"> associated sub-committees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759A" w14:textId="6F7E7579" w:rsidR="002D7E29" w:rsidRPr="00831172" w:rsidRDefault="00B6664A" w:rsidP="00B6664A">
    <w:pPr>
      <w:pStyle w:val="Footer"/>
    </w:pPr>
    <w:r w:rsidRPr="00B67966">
      <w:t>Department of Health</w:t>
    </w:r>
    <w:r>
      <w:t xml:space="preserve"> </w:t>
    </w:r>
    <w:r w:rsidRPr="00A227E3">
      <w:t>Review of the Prostheses List Advisory Committee and associated sub-committees</w:t>
    </w:r>
    <w:r>
      <w:tab/>
    </w:r>
    <w:r w:rsidRPr="00A227E3">
      <w:rPr>
        <w:b/>
      </w:rPr>
      <w:t>EY</w:t>
    </w:r>
    <w:r w:rsidRPr="00A227E3">
      <w:t xml:space="preserve"> </w:t>
    </w:r>
    <w:r w:rsidRPr="00A227E3">
      <w:rPr>
        <w:color w:val="FFE600" w:themeColor="text2"/>
      </w:rPr>
      <w:t>|</w:t>
    </w:r>
    <w:r w:rsidRPr="00A227E3">
      <w:t xml:space="preserve"> </w:t>
    </w:r>
    <w:r w:rsidRPr="00A227E3">
      <w:fldChar w:fldCharType="begin"/>
    </w:r>
    <w:r w:rsidRPr="00A227E3">
      <w:instrText xml:space="preserve"> PAGE </w:instrText>
    </w:r>
    <w:r w:rsidRPr="00A227E3">
      <w:fldChar w:fldCharType="separate"/>
    </w:r>
    <w:r>
      <w:t>4</w:t>
    </w:r>
    <w:r w:rsidRPr="00A227E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AB73" w14:textId="02D202DD" w:rsidR="002D7E29" w:rsidRPr="00292F1A" w:rsidRDefault="00B67966" w:rsidP="00B67966">
    <w:pPr>
      <w:pStyle w:val="Footer"/>
    </w:pPr>
    <w:r w:rsidRPr="00B67966">
      <w:t>Department of Health</w:t>
    </w:r>
    <w:r>
      <w:t xml:space="preserve"> </w:t>
    </w:r>
    <w:r w:rsidRPr="00A227E3">
      <w:t>Review of the Prostheses List Advisory Committee and associated sub-committees</w:t>
    </w:r>
    <w:r>
      <w:tab/>
    </w:r>
    <w:r w:rsidRPr="00A227E3">
      <w:rPr>
        <w:b/>
      </w:rPr>
      <w:t>EY</w:t>
    </w:r>
    <w:r w:rsidRPr="00A227E3">
      <w:t xml:space="preserve"> </w:t>
    </w:r>
    <w:r w:rsidRPr="00A227E3">
      <w:rPr>
        <w:color w:val="FFE600" w:themeColor="text2"/>
      </w:rPr>
      <w:t>|</w:t>
    </w:r>
    <w:r w:rsidRPr="00A227E3">
      <w:t xml:space="preserve"> </w:t>
    </w:r>
    <w:r w:rsidRPr="00A227E3">
      <w:fldChar w:fldCharType="begin"/>
    </w:r>
    <w:r w:rsidRPr="00A227E3">
      <w:instrText xml:space="preserve"> PAGE </w:instrText>
    </w:r>
    <w:r w:rsidRPr="00A227E3">
      <w:fldChar w:fldCharType="separate"/>
    </w:r>
    <w:r>
      <w:t>1</w:t>
    </w:r>
    <w:r w:rsidRPr="00A227E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78A5" w14:textId="056D109F" w:rsidR="002D7E29" w:rsidRPr="0021038E" w:rsidRDefault="0021038E" w:rsidP="0021038E">
    <w:pPr>
      <w:pStyle w:val="Footer"/>
      <w:tabs>
        <w:tab w:val="clear" w:pos="8640"/>
        <w:tab w:val="left" w:pos="12900"/>
      </w:tabs>
    </w:pPr>
    <w:r>
      <w:t>Department of Health | Review of the Prostheses List Advisory Committee and associated sub-committees</w:t>
    </w:r>
    <w:r>
      <w:tab/>
    </w:r>
    <w:r>
      <w:tab/>
    </w:r>
    <w:r w:rsidRPr="00034F78">
      <w:rPr>
        <w:b/>
      </w:rPr>
      <w:t>EY</w:t>
    </w:r>
    <w:r w:rsidRPr="00034F78">
      <w:t xml:space="preserve"> </w:t>
    </w:r>
    <w:r w:rsidRPr="00034F78">
      <w:rPr>
        <w:color w:val="FFE600" w:themeColor="text2"/>
      </w:rPr>
      <w:t>|</w:t>
    </w:r>
    <w:r w:rsidRPr="00034F78">
      <w:t xml:space="preserve"> </w:t>
    </w:r>
    <w:r w:rsidRPr="00034F78">
      <w:fldChar w:fldCharType="begin"/>
    </w:r>
    <w:r w:rsidRPr="00034F78">
      <w:instrText xml:space="preserve"> PAGE </w:instrText>
    </w:r>
    <w:r w:rsidRPr="00034F78">
      <w:fldChar w:fldCharType="separate"/>
    </w:r>
    <w:r>
      <w:t>37</w:t>
    </w:r>
    <w:r w:rsidRPr="00034F78">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8103" w14:textId="2C707665" w:rsidR="002D7E29" w:rsidRPr="00292F1A" w:rsidRDefault="00745BF8" w:rsidP="00745BF8">
    <w:pPr>
      <w:pStyle w:val="Footer"/>
      <w:tabs>
        <w:tab w:val="clear" w:pos="8640"/>
        <w:tab w:val="left" w:pos="12900"/>
      </w:tabs>
    </w:pPr>
    <w:r>
      <w:t>Department of Health | Review of the Prostheses List Advisory Committee and associated sub-</w:t>
    </w:r>
    <w:proofErr w:type="spellStart"/>
    <w:r>
      <w:t>committees</w:t>
    </w:r>
    <w:r w:rsidRPr="00034F78">
      <w:rPr>
        <w:b/>
      </w:rPr>
      <w:t>EY</w:t>
    </w:r>
    <w:proofErr w:type="spellEnd"/>
    <w:r w:rsidRPr="00034F78">
      <w:t xml:space="preserve"> </w:t>
    </w:r>
    <w:r w:rsidRPr="00034F78">
      <w:rPr>
        <w:color w:val="FFE600" w:themeColor="text2"/>
      </w:rPr>
      <w:t>|</w:t>
    </w:r>
    <w:r w:rsidRPr="00034F78">
      <w:t xml:space="preserve"> </w:t>
    </w:r>
    <w:r w:rsidRPr="00034F78">
      <w:fldChar w:fldCharType="begin"/>
    </w:r>
    <w:r w:rsidRPr="00034F78">
      <w:instrText xml:space="preserve"> PAGE </w:instrText>
    </w:r>
    <w:r w:rsidRPr="00034F78">
      <w:fldChar w:fldCharType="separate"/>
    </w:r>
    <w:r>
      <w:t>38</w:t>
    </w:r>
    <w:r w:rsidRPr="00034F78">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1BBB" w14:textId="1AC5B43D" w:rsidR="002D7E29" w:rsidRPr="00292F1A" w:rsidRDefault="00745BF8" w:rsidP="00745BF8">
    <w:pPr>
      <w:pStyle w:val="Footer"/>
      <w:tabs>
        <w:tab w:val="clear" w:pos="8640"/>
        <w:tab w:val="left" w:pos="12900"/>
      </w:tabs>
    </w:pPr>
    <w:r>
      <w:t>Department of Health | Review of the Prostheses List Advisory Committee and associated sub-committees</w:t>
    </w:r>
    <w:r>
      <w:tab/>
    </w:r>
    <w:r>
      <w:tab/>
    </w:r>
    <w:r w:rsidRPr="00034F78">
      <w:rPr>
        <w:b/>
      </w:rPr>
      <w:t>EY</w:t>
    </w:r>
    <w:r w:rsidRPr="00034F78">
      <w:t xml:space="preserve"> </w:t>
    </w:r>
    <w:r w:rsidRPr="00034F78">
      <w:rPr>
        <w:color w:val="FFE600" w:themeColor="text2"/>
      </w:rPr>
      <w:t>|</w:t>
    </w:r>
    <w:r w:rsidRPr="00034F78">
      <w:t xml:space="preserve"> </w:t>
    </w:r>
    <w:r w:rsidRPr="00034F78">
      <w:fldChar w:fldCharType="begin"/>
    </w:r>
    <w:r w:rsidRPr="00034F78">
      <w:instrText xml:space="preserve"> PAGE </w:instrText>
    </w:r>
    <w:r w:rsidRPr="00034F78">
      <w:fldChar w:fldCharType="separate"/>
    </w:r>
    <w:r>
      <w:t>38</w:t>
    </w:r>
    <w:r w:rsidRPr="00034F7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5F8B" w14:textId="77777777" w:rsidR="000B1C8C" w:rsidRDefault="000B1C8C">
      <w:r>
        <w:separator/>
      </w:r>
    </w:p>
  </w:footnote>
  <w:footnote w:type="continuationSeparator" w:id="0">
    <w:p w14:paraId="2F8D1634" w14:textId="77777777" w:rsidR="000B1C8C" w:rsidRDefault="000B1C8C">
      <w:r>
        <w:continuationSeparator/>
      </w:r>
    </w:p>
  </w:footnote>
  <w:footnote w:type="continuationNotice" w:id="1">
    <w:p w14:paraId="692D46D0" w14:textId="77777777" w:rsidR="000B1C8C" w:rsidRDefault="000B1C8C"/>
  </w:footnote>
  <w:footnote w:id="2">
    <w:p w14:paraId="6C77512E" w14:textId="77777777" w:rsidR="002D7E29" w:rsidRPr="00357D67" w:rsidRDefault="002D7E29" w:rsidP="001F12DD">
      <w:pPr>
        <w:rPr>
          <w:szCs w:val="16"/>
        </w:rPr>
      </w:pPr>
      <w:r w:rsidRPr="00357D67">
        <w:rPr>
          <w:rStyle w:val="FootnoteReference"/>
          <w:rFonts w:ascii="Arial" w:hAnsi="Arial"/>
          <w:sz w:val="16"/>
          <w:szCs w:val="16"/>
        </w:rPr>
        <w:footnoteRef/>
      </w:r>
      <w:r w:rsidRPr="00357D67">
        <w:rPr>
          <w:szCs w:val="16"/>
        </w:rPr>
        <w:t xml:space="preserve"> Fact Sheet on ‘Modernising and improving the private health insurance Prostheses List’, Department of Health.</w:t>
      </w:r>
    </w:p>
  </w:footnote>
  <w:footnote w:id="3">
    <w:p w14:paraId="31338658" w14:textId="77777777" w:rsidR="002D7E29" w:rsidRPr="00357D67" w:rsidRDefault="002D7E29" w:rsidP="00356D3B">
      <w:pPr>
        <w:rPr>
          <w:i/>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 Terms of Reference, </w:t>
      </w:r>
      <w:r w:rsidRPr="00357D67">
        <w:rPr>
          <w:szCs w:val="16"/>
        </w:rPr>
        <w:t>Department of Health.</w:t>
      </w:r>
    </w:p>
  </w:footnote>
  <w:footnote w:id="4">
    <w:p w14:paraId="6D5DB66E" w14:textId="77777777" w:rsidR="002D7E29" w:rsidRPr="00357D67" w:rsidRDefault="002D7E29" w:rsidP="00356D3B">
      <w:pPr>
        <w:rPr>
          <w:szCs w:val="16"/>
        </w:rPr>
      </w:pPr>
      <w:r w:rsidRPr="00357D67">
        <w:rPr>
          <w:rStyle w:val="FootnoteReference"/>
          <w:rFonts w:ascii="Arial" w:hAnsi="Arial"/>
          <w:sz w:val="16"/>
          <w:szCs w:val="16"/>
        </w:rPr>
        <w:footnoteRef/>
      </w:r>
      <w:r w:rsidRPr="00357D67">
        <w:rPr>
          <w:szCs w:val="16"/>
        </w:rPr>
        <w:t xml:space="preserve"> </w:t>
      </w:r>
      <w:hyperlink r:id="rId1" w:history="1">
        <w:r w:rsidRPr="00357D67">
          <w:rPr>
            <w:szCs w:val="16"/>
          </w:rPr>
          <w:t>About</w:t>
        </w:r>
      </w:hyperlink>
      <w:r w:rsidRPr="00357D67">
        <w:rPr>
          <w:szCs w:val="16"/>
        </w:rPr>
        <w:t xml:space="preserve"> Health Technology Assessment, Department of Health, available at</w:t>
      </w:r>
      <w:r w:rsidRPr="00357D67">
        <w:rPr>
          <w:rStyle w:val="Hyperlink"/>
          <w:rFonts w:ascii="Arial" w:hAnsi="Arial"/>
          <w:sz w:val="16"/>
          <w:szCs w:val="16"/>
        </w:rPr>
        <w:t xml:space="preserve"> https://www1.health.gov.au/internet/hta/publishing.nsf/Content/about-1</w:t>
      </w:r>
    </w:p>
  </w:footnote>
  <w:footnote w:id="5">
    <w:p w14:paraId="4A37C612" w14:textId="73F3AB99" w:rsidR="002D7E29" w:rsidRPr="002045E3" w:rsidRDefault="002D7E29">
      <w:pPr>
        <w:rPr>
          <w:rFonts w:ascii="EYInterstate Light" w:hAnsi="EYInterstate Light"/>
        </w:rPr>
      </w:pPr>
      <w:r w:rsidRPr="00357D67">
        <w:rPr>
          <w:rStyle w:val="FootnoteReference"/>
          <w:rFonts w:ascii="Arial" w:hAnsi="Arial"/>
        </w:rPr>
        <w:footnoteRef/>
      </w:r>
      <w:r w:rsidRPr="00357D67">
        <w:t xml:space="preserve"> Above n 3.</w:t>
      </w:r>
      <w:r w:rsidRPr="002045E3">
        <w:rPr>
          <w:rFonts w:ascii="EYInterstate Light" w:hAnsi="EYInterstate Light"/>
        </w:rPr>
        <w:t xml:space="preserve"> </w:t>
      </w:r>
    </w:p>
  </w:footnote>
  <w:footnote w:id="6">
    <w:p w14:paraId="601872B9" w14:textId="605BF1BB" w:rsidR="002D7E29" w:rsidRPr="00357D67" w:rsidRDefault="002D7E29" w:rsidP="00356D3B">
      <w:pPr>
        <w:rPr>
          <w:szCs w:val="16"/>
        </w:rPr>
      </w:pPr>
      <w:r w:rsidRPr="00357D67">
        <w:rPr>
          <w:rStyle w:val="FootnoteReference"/>
          <w:rFonts w:ascii="Arial" w:hAnsi="Arial"/>
          <w:sz w:val="16"/>
          <w:szCs w:val="16"/>
        </w:rPr>
        <w:footnoteRef/>
      </w:r>
      <w:r w:rsidRPr="00357D67">
        <w:rPr>
          <w:szCs w:val="16"/>
        </w:rPr>
        <w:t xml:space="preserve"> Prostheses List Advisory Committee’, Department of Health, accessed at </w:t>
      </w:r>
      <w:hyperlink r:id="rId2" w:history="1">
        <w:r w:rsidRPr="00357D67">
          <w:rPr>
            <w:rStyle w:val="Hyperlink"/>
            <w:rFonts w:ascii="Arial" w:hAnsi="Arial"/>
            <w:sz w:val="16"/>
            <w:szCs w:val="16"/>
          </w:rPr>
          <w:t>https://www.health.gov.au/committees-and-groups/prostheses-list-advisory-committee-plac</w:t>
        </w:r>
      </w:hyperlink>
      <w:r w:rsidRPr="00357D67">
        <w:rPr>
          <w:szCs w:val="16"/>
        </w:rPr>
        <w:t xml:space="preserve">. </w:t>
      </w:r>
    </w:p>
  </w:footnote>
  <w:footnote w:id="7">
    <w:p w14:paraId="3F1CB9F1" w14:textId="1B9AB583" w:rsidR="002D7E29" w:rsidRPr="00357D67" w:rsidRDefault="002D7E29">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Clinical Advisory Groups - Terms of Reference, </w:t>
      </w:r>
      <w:r w:rsidRPr="00357D67">
        <w:rPr>
          <w:szCs w:val="16"/>
        </w:rPr>
        <w:t>Department of Health.</w:t>
      </w:r>
    </w:p>
  </w:footnote>
  <w:footnote w:id="8">
    <w:p w14:paraId="7FAD08AF" w14:textId="6FFC215D" w:rsidR="002D7E29" w:rsidRPr="00357D67" w:rsidRDefault="002D7E29" w:rsidP="00272D5B">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Panel of Clinical Experts - Terms of Reference, </w:t>
      </w:r>
      <w:r w:rsidRPr="00357D67">
        <w:rPr>
          <w:szCs w:val="16"/>
        </w:rPr>
        <w:t>Department of Health.</w:t>
      </w:r>
    </w:p>
  </w:footnote>
  <w:footnote w:id="9">
    <w:p w14:paraId="2C332CB8" w14:textId="3698E87E" w:rsidR="002D7E29" w:rsidRPr="00357D67" w:rsidRDefault="002D7E29" w:rsidP="00272D5B">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Clinical Advisory Groups - Terms of Reference, </w:t>
      </w:r>
      <w:r w:rsidRPr="00357D67">
        <w:rPr>
          <w:szCs w:val="16"/>
        </w:rPr>
        <w:t>Department of Health.</w:t>
      </w:r>
    </w:p>
  </w:footnote>
  <w:footnote w:id="10">
    <w:p w14:paraId="7E3E6DED" w14:textId="77777777" w:rsidR="002D7E29" w:rsidRPr="00357D67" w:rsidRDefault="002D7E29" w:rsidP="00BE1DBC">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Panel of Clinical Experts - Terms of Reference, </w:t>
      </w:r>
      <w:r w:rsidRPr="00357D67">
        <w:rPr>
          <w:szCs w:val="16"/>
        </w:rPr>
        <w:t>Department of Health.</w:t>
      </w:r>
    </w:p>
  </w:footnote>
  <w:footnote w:id="11">
    <w:p w14:paraId="3C0C0985" w14:textId="77777777" w:rsidR="002D7E29" w:rsidRPr="00292F1A" w:rsidRDefault="002D7E29" w:rsidP="00BE1DBC">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Clinical Advisory Groups - Terms of Reference, </w:t>
      </w:r>
      <w:r w:rsidRPr="00357D67">
        <w:rPr>
          <w:szCs w:val="16"/>
        </w:rPr>
        <w:t>Department of Health.</w:t>
      </w:r>
    </w:p>
  </w:footnote>
  <w:footnote w:id="12">
    <w:p w14:paraId="46D3ED57" w14:textId="6FB1F377" w:rsidR="002D7E29" w:rsidRPr="00357D67" w:rsidRDefault="002D7E29" w:rsidP="00356D3B">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 Terms of Reference, </w:t>
      </w:r>
      <w:r w:rsidRPr="00357D67">
        <w:rPr>
          <w:szCs w:val="16"/>
        </w:rPr>
        <w:t>Department of Health.</w:t>
      </w:r>
    </w:p>
  </w:footnote>
  <w:footnote w:id="13">
    <w:p w14:paraId="711D7126" w14:textId="62E684E7" w:rsidR="002D7E29" w:rsidRPr="00357D67" w:rsidRDefault="002D7E29">
      <w:pPr>
        <w:rPr>
          <w:szCs w:val="16"/>
        </w:rPr>
      </w:pPr>
      <w:r w:rsidRPr="00357D67">
        <w:rPr>
          <w:rStyle w:val="FootnoteReference"/>
          <w:rFonts w:ascii="Arial" w:hAnsi="Arial"/>
          <w:sz w:val="16"/>
          <w:szCs w:val="16"/>
        </w:rPr>
        <w:footnoteRef/>
      </w:r>
      <w:r w:rsidRPr="00357D67">
        <w:rPr>
          <w:szCs w:val="16"/>
        </w:rPr>
        <w:t xml:space="preserve"> Provided by the Department of Health. </w:t>
      </w:r>
    </w:p>
  </w:footnote>
  <w:footnote w:id="14">
    <w:p w14:paraId="78DD9A55" w14:textId="77777777" w:rsidR="002D7E29" w:rsidRPr="00292F1A" w:rsidRDefault="002D7E29" w:rsidP="00356D3B">
      <w:pPr>
        <w:rPr>
          <w:szCs w:val="16"/>
        </w:rPr>
      </w:pPr>
      <w:r w:rsidRPr="00357D67">
        <w:rPr>
          <w:rStyle w:val="FootnoteReference"/>
          <w:rFonts w:ascii="Arial" w:hAnsi="Arial"/>
          <w:sz w:val="16"/>
          <w:szCs w:val="16"/>
        </w:rPr>
        <w:footnoteRef/>
      </w:r>
      <w:r w:rsidRPr="00357D67">
        <w:rPr>
          <w:szCs w:val="16"/>
        </w:rPr>
        <w:t xml:space="preserve"> Alignment of cost recovery arrangements will be aligned with legislative requirements as a part of broader PLAC Reforms.</w:t>
      </w:r>
      <w:r w:rsidRPr="00292F1A">
        <w:rPr>
          <w:szCs w:val="16"/>
        </w:rPr>
        <w:t xml:space="preserve"> </w:t>
      </w:r>
    </w:p>
  </w:footnote>
  <w:footnote w:id="15">
    <w:p w14:paraId="35667772" w14:textId="106FCCC7" w:rsidR="002D7E29" w:rsidRPr="00357D67" w:rsidRDefault="002D7E29" w:rsidP="00356D3B">
      <w:pPr>
        <w:rPr>
          <w:szCs w:val="16"/>
        </w:rPr>
      </w:pPr>
      <w:r w:rsidRPr="00357D67">
        <w:rPr>
          <w:rStyle w:val="FootnoteReference"/>
          <w:rFonts w:ascii="Arial" w:hAnsi="Arial"/>
          <w:sz w:val="16"/>
          <w:szCs w:val="16"/>
        </w:rPr>
        <w:footnoteRef/>
      </w:r>
      <w:r w:rsidRPr="00357D67">
        <w:rPr>
          <w:szCs w:val="16"/>
        </w:rPr>
        <w:t xml:space="preserve"> At the time of this Review, this system is due to be subsumed through expansion of the Health Products Portal.</w:t>
      </w:r>
    </w:p>
  </w:footnote>
  <w:footnote w:id="16">
    <w:p w14:paraId="33705858" w14:textId="2C0FA0DF" w:rsidR="002D7E29" w:rsidRPr="00357D67" w:rsidRDefault="002D7E29" w:rsidP="00356D3B">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 Terms of Reference, </w:t>
      </w:r>
      <w:r w:rsidRPr="00357D67">
        <w:rPr>
          <w:szCs w:val="16"/>
        </w:rPr>
        <w:t>Department of Health.</w:t>
      </w:r>
    </w:p>
  </w:footnote>
  <w:footnote w:id="17">
    <w:p w14:paraId="77FA0494" w14:textId="56108FF2" w:rsidR="002D7E29" w:rsidRPr="00292F1A" w:rsidRDefault="002D7E29" w:rsidP="00356D3B">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 Terms of Reference, </w:t>
      </w:r>
      <w:r w:rsidRPr="00357D67">
        <w:rPr>
          <w:szCs w:val="16"/>
        </w:rPr>
        <w:t>Department of Health.</w:t>
      </w:r>
    </w:p>
  </w:footnote>
  <w:footnote w:id="18">
    <w:p w14:paraId="33140435" w14:textId="1416116C" w:rsidR="002D7E29" w:rsidRPr="00357D67" w:rsidRDefault="002D7E29" w:rsidP="00356D3B">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 Terms of Reference, </w:t>
      </w:r>
      <w:r w:rsidRPr="00357D67">
        <w:rPr>
          <w:szCs w:val="16"/>
        </w:rPr>
        <w:t>Department of Health.</w:t>
      </w:r>
    </w:p>
  </w:footnote>
  <w:footnote w:id="19">
    <w:p w14:paraId="633BA6E2" w14:textId="435CB174" w:rsidR="002D7E29" w:rsidRPr="00292F1A" w:rsidRDefault="002D7E29" w:rsidP="00356D3B">
      <w:pPr>
        <w:rPr>
          <w:szCs w:val="16"/>
        </w:rPr>
      </w:pPr>
      <w:r w:rsidRPr="00357D67">
        <w:rPr>
          <w:rStyle w:val="FootnoteReference"/>
          <w:rFonts w:ascii="Arial" w:hAnsi="Arial"/>
          <w:sz w:val="16"/>
          <w:szCs w:val="16"/>
        </w:rPr>
        <w:footnoteRef/>
      </w:r>
      <w:r w:rsidRPr="00357D67">
        <w:rPr>
          <w:szCs w:val="16"/>
        </w:rPr>
        <w:t xml:space="preserve"> </w:t>
      </w:r>
      <w:r w:rsidRPr="00357D67">
        <w:rPr>
          <w:i/>
          <w:szCs w:val="16"/>
        </w:rPr>
        <w:t xml:space="preserve">Prostheses List Advisory Committee Clinical Advisory Group - Terms of Reference, </w:t>
      </w:r>
      <w:r w:rsidRPr="00357D67">
        <w:rPr>
          <w:szCs w:val="16"/>
        </w:rPr>
        <w:t>Department of Health.</w:t>
      </w:r>
    </w:p>
  </w:footnote>
  <w:footnote w:id="20">
    <w:p w14:paraId="34B150CE" w14:textId="77777777" w:rsidR="002D7E29" w:rsidRPr="00357D67" w:rsidRDefault="002D7E29" w:rsidP="00356D3B">
      <w:pPr>
        <w:rPr>
          <w:szCs w:val="16"/>
        </w:rPr>
      </w:pPr>
      <w:r w:rsidRPr="00357D67">
        <w:rPr>
          <w:rStyle w:val="FootnoteReference"/>
          <w:rFonts w:ascii="Arial" w:hAnsi="Arial"/>
          <w:sz w:val="16"/>
          <w:szCs w:val="16"/>
        </w:rPr>
        <w:footnoteRef/>
      </w:r>
      <w:r w:rsidRPr="00357D67">
        <w:rPr>
          <w:szCs w:val="16"/>
        </w:rPr>
        <w:t xml:space="preserve"> Commonwealth of Australia, </w:t>
      </w:r>
      <w:r w:rsidRPr="00357D67">
        <w:rPr>
          <w:i/>
          <w:szCs w:val="16"/>
        </w:rPr>
        <w:t>Price regulation associated with the Prostheses List Framework</w:t>
      </w:r>
      <w:r w:rsidRPr="00357D67">
        <w:rPr>
          <w:szCs w:val="16"/>
        </w:rPr>
        <w:t xml:space="preserve">, available at </w:t>
      </w:r>
      <w:hyperlink r:id="rId3" w:history="1">
        <w:r w:rsidRPr="00357D67">
          <w:rPr>
            <w:rStyle w:val="Hyperlink"/>
            <w:rFonts w:ascii="Arial" w:hAnsi="Arial"/>
            <w:sz w:val="16"/>
            <w:szCs w:val="16"/>
          </w:rPr>
          <w:t>https://www.aph.gov.au/Parliamentary_Business/Committees/Senate/Community_Affairs/ProsthesesListFramework/Report</w:t>
        </w:r>
      </w:hyperlink>
      <w:r w:rsidRPr="00357D67">
        <w:rPr>
          <w:szCs w:val="16"/>
        </w:rPr>
        <w:t xml:space="preserve">. </w:t>
      </w:r>
    </w:p>
  </w:footnote>
  <w:footnote w:id="21">
    <w:p w14:paraId="1175BE0A" w14:textId="42557F21" w:rsidR="002D7E29" w:rsidRPr="006615CD" w:rsidRDefault="002D7E29" w:rsidP="00356D3B">
      <w:pPr>
        <w:rPr>
          <w:rFonts w:ascii="EYInterstate Light" w:hAnsi="EYInterstate Light"/>
          <w:szCs w:val="16"/>
        </w:rPr>
      </w:pPr>
      <w:r w:rsidRPr="00357D67">
        <w:rPr>
          <w:rStyle w:val="FootnoteReference"/>
          <w:rFonts w:ascii="Arial" w:hAnsi="Arial"/>
          <w:sz w:val="16"/>
          <w:szCs w:val="16"/>
        </w:rPr>
        <w:footnoteRef/>
      </w:r>
      <w:r w:rsidRPr="00357D67">
        <w:rPr>
          <w:szCs w:val="16"/>
        </w:rPr>
        <w:t xml:space="preserve"> </w:t>
      </w:r>
      <w:hyperlink r:id="rId4" w:anchor="what-is-the-prostheses-list" w:history="1">
        <w:r w:rsidRPr="00357D67">
          <w:rPr>
            <w:szCs w:val="16"/>
          </w:rPr>
          <w:t>Above</w:t>
        </w:r>
      </w:hyperlink>
      <w:r w:rsidRPr="00357D67">
        <w:rPr>
          <w:szCs w:val="16"/>
        </w:rPr>
        <w:t xml:space="preserve"> n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6502" w14:textId="77777777" w:rsidR="00745BF8" w:rsidRDefault="00745BF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338F" w14:textId="673D2552" w:rsidR="002D7E29" w:rsidRPr="00E462BE" w:rsidRDefault="002D7E29" w:rsidP="00463B2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6622" w14:textId="2FCD971A" w:rsidR="002D7E29" w:rsidRPr="00E462BE" w:rsidRDefault="002D7E29" w:rsidP="00463B2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28F9" w14:textId="7D2A91E4" w:rsidR="002D7E29" w:rsidRPr="00E462BE" w:rsidRDefault="002D7E29" w:rsidP="00463B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47F0" w14:textId="77777777" w:rsidR="00745BF8" w:rsidRDefault="00745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F1C" w14:textId="77777777" w:rsidR="00745BF8" w:rsidRDefault="00745B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B373" w14:textId="54C01046" w:rsidR="002D7E29" w:rsidRDefault="002D7E29"/>
  <w:p w14:paraId="5FB2010B" w14:textId="77777777" w:rsidR="002D7E29" w:rsidRDefault="002D7E29"/>
  <w:p w14:paraId="4ADEDAA9" w14:textId="77777777" w:rsidR="002D7E29" w:rsidRDefault="002D7E2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F012" w14:textId="06F96BCB" w:rsidR="002D7E29" w:rsidRPr="00E462BE" w:rsidRDefault="002D7E29" w:rsidP="00463B2D">
    <w:pPr>
      <w:ind w:left="-56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53B7" w14:textId="29A908B7" w:rsidR="002D7E29" w:rsidRDefault="002D7E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201F" w14:textId="392CDD8D" w:rsidR="002D7E29" w:rsidRDefault="002D7E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91EF" w14:textId="093C4A22" w:rsidR="002D7E29" w:rsidRPr="00C829A6" w:rsidRDefault="002D7E29" w:rsidP="00C829A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FC35" w14:textId="55EE7C8C" w:rsidR="002D7E29" w:rsidRDefault="002D7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5E09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E0C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C0D3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267884"/>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939C3B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802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B6B696"/>
    <w:lvl w:ilvl="0">
      <w:start w:val="1"/>
      <w:numFmt w:val="bullet"/>
      <w:pStyle w:val="ListBullet3"/>
      <w:lvlText w:val="u"/>
      <w:lvlJc w:val="left"/>
      <w:pPr>
        <w:ind w:left="530" w:hanging="360"/>
      </w:pPr>
      <w:rPr>
        <w:rFonts w:ascii="Wingdings 3" w:hAnsi="Wingdings 3" w:hint="default"/>
        <w:color w:val="auto"/>
        <w:sz w:val="12"/>
      </w:rPr>
    </w:lvl>
  </w:abstractNum>
  <w:abstractNum w:abstractNumId="7" w15:restartNumberingAfterBreak="0">
    <w:nsid w:val="FFFFFF83"/>
    <w:multiLevelType w:val="singleLevel"/>
    <w:tmpl w:val="631A45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EA0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C2D4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14A8"/>
    <w:multiLevelType w:val="multilevel"/>
    <w:tmpl w:val="5ACC96D2"/>
    <w:lvl w:ilvl="0">
      <w:start w:val="1"/>
      <w:numFmt w:val="decimal"/>
      <w:lvlRestart w:val="0"/>
      <w:pStyle w:val="EYHeading1"/>
      <w:lvlText w:val="%1."/>
      <w:lvlJc w:val="left"/>
      <w:pPr>
        <w:ind w:left="851" w:hanging="851"/>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YHeading2"/>
      <w:lvlText w:val="%1.%2"/>
      <w:lvlJc w:val="left"/>
      <w:pPr>
        <w:tabs>
          <w:tab w:val="num" w:pos="1560"/>
        </w:tabs>
        <w:ind w:left="2411" w:hanging="851"/>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YHeading3"/>
      <w:lvlText w:val="%1.%2.%3"/>
      <w:lvlJc w:val="left"/>
      <w:pPr>
        <w:tabs>
          <w:tab w:val="num" w:pos="2411"/>
        </w:tabs>
        <w:ind w:left="3262" w:hanging="851"/>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84"/>
        </w:tabs>
        <w:ind w:left="1135" w:hanging="851"/>
      </w:pPr>
      <w:rPr>
        <w:rFonts w:ascii="Calibri Light" w:hAnsi="Calibri Light" w:hint="default"/>
        <w:b/>
        <w:i w:val="0"/>
        <w:color w:val="000000"/>
        <w:sz w:val="22"/>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1" w15:restartNumberingAfterBreak="0">
    <w:nsid w:val="1B362C16"/>
    <w:multiLevelType w:val="hybridMultilevel"/>
    <w:tmpl w:val="0298CDD6"/>
    <w:lvl w:ilvl="0" w:tplc="8BC6B28E">
      <w:start w:val="1"/>
      <w:numFmt w:val="bullet"/>
      <w:lvlText w:val="u"/>
      <w:lvlJc w:val="left"/>
      <w:pPr>
        <w:ind w:left="720" w:hanging="360"/>
      </w:pPr>
      <w:rPr>
        <w:rFonts w:ascii="Wingdings 3" w:hAnsi="Wingdings 3" w:hint="default"/>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43653B"/>
    <w:multiLevelType w:val="multilevel"/>
    <w:tmpl w:val="9F7C04DE"/>
    <w:styleLink w:val="EYPlainBulletList"/>
    <w:lvl w:ilvl="0">
      <w:start w:val="1"/>
      <w:numFmt w:val="bullet"/>
      <w:lvlText w:val="►"/>
      <w:lvlJc w:val="left"/>
      <w:pPr>
        <w:ind w:left="425" w:hanging="425"/>
      </w:pPr>
      <w:rPr>
        <w:rFonts w:ascii="EYInterstate" w:hAnsi="EYInterstate" w:hint="default"/>
        <w:sz w:val="16"/>
      </w:rPr>
    </w:lvl>
    <w:lvl w:ilvl="1">
      <w:start w:val="1"/>
      <w:numFmt w:val="bullet"/>
      <w:lvlText w:val="►"/>
      <w:lvlJc w:val="left"/>
      <w:pPr>
        <w:ind w:left="850" w:hanging="425"/>
      </w:pPr>
      <w:rPr>
        <w:rFonts w:ascii="EYInterstate" w:hAnsi="EYInterstate" w:hint="default"/>
        <w:sz w:val="16"/>
      </w:rPr>
    </w:lvl>
    <w:lvl w:ilvl="2">
      <w:start w:val="1"/>
      <w:numFmt w:val="bullet"/>
      <w:lvlText w:val="►"/>
      <w:lvlJc w:val="left"/>
      <w:pPr>
        <w:ind w:left="1275" w:hanging="425"/>
      </w:pPr>
      <w:rPr>
        <w:rFonts w:ascii="EYInterstate" w:hAnsi="EYInterstate" w:hint="default"/>
        <w:sz w:val="16"/>
      </w:rPr>
    </w:lvl>
    <w:lvl w:ilvl="3">
      <w:start w:val="1"/>
      <w:numFmt w:val="bullet"/>
      <w:lvlText w:val="►"/>
      <w:lvlJc w:val="left"/>
      <w:pPr>
        <w:ind w:left="1700" w:hanging="425"/>
      </w:pPr>
      <w:rPr>
        <w:rFonts w:ascii="EYInterstate" w:hAnsi="EYInterstate" w:hint="default"/>
        <w:sz w:val="16"/>
      </w:rPr>
    </w:lvl>
    <w:lvl w:ilvl="4">
      <w:start w:val="1"/>
      <w:numFmt w:val="bullet"/>
      <w:lvlText w:val="►"/>
      <w:lvlJc w:val="left"/>
      <w:pPr>
        <w:ind w:left="2125" w:hanging="425"/>
      </w:pPr>
      <w:rPr>
        <w:rFonts w:ascii="EYInterstate" w:hAnsi="EYInterstate" w:hint="default"/>
        <w:sz w:val="16"/>
      </w:rPr>
    </w:lvl>
    <w:lvl w:ilvl="5">
      <w:start w:val="1"/>
      <w:numFmt w:val="bullet"/>
      <w:lvlText w:val="►"/>
      <w:lvlJc w:val="left"/>
      <w:pPr>
        <w:ind w:left="2550" w:hanging="425"/>
      </w:pPr>
      <w:rPr>
        <w:rFonts w:ascii="EYInterstate" w:hAnsi="EYInterstate" w:hint="default"/>
        <w:sz w:val="16"/>
      </w:rPr>
    </w:lvl>
    <w:lvl w:ilvl="6">
      <w:start w:val="1"/>
      <w:numFmt w:val="bullet"/>
      <w:lvlText w:val="►"/>
      <w:lvlJc w:val="left"/>
      <w:pPr>
        <w:ind w:left="2975" w:hanging="425"/>
      </w:pPr>
      <w:rPr>
        <w:rFonts w:ascii="EYInterstate" w:hAnsi="EYInterstate" w:hint="default"/>
        <w:sz w:val="16"/>
      </w:rPr>
    </w:lvl>
    <w:lvl w:ilvl="7">
      <w:start w:val="1"/>
      <w:numFmt w:val="bullet"/>
      <w:lvlText w:val="►"/>
      <w:lvlJc w:val="left"/>
      <w:pPr>
        <w:ind w:left="3400" w:hanging="425"/>
      </w:pPr>
      <w:rPr>
        <w:rFonts w:ascii="EYInterstate" w:hAnsi="EYInterstate" w:hint="default"/>
        <w:sz w:val="16"/>
      </w:rPr>
    </w:lvl>
    <w:lvl w:ilvl="8">
      <w:start w:val="1"/>
      <w:numFmt w:val="bullet"/>
      <w:lvlText w:val="►"/>
      <w:lvlJc w:val="left"/>
      <w:pPr>
        <w:ind w:left="3825" w:hanging="425"/>
      </w:pPr>
      <w:rPr>
        <w:rFonts w:ascii="EYInterstate" w:hAnsi="EYInterstate" w:hint="default"/>
        <w:sz w:val="16"/>
      </w:rPr>
    </w:lvl>
  </w:abstractNum>
  <w:abstractNum w:abstractNumId="13" w15:restartNumberingAfterBreak="0">
    <w:nsid w:val="3C096FE3"/>
    <w:multiLevelType w:val="hybridMultilevel"/>
    <w:tmpl w:val="74D455AC"/>
    <w:lvl w:ilvl="0" w:tplc="B434A47A">
      <w:start w:val="1"/>
      <w:numFmt w:val="bullet"/>
      <w:pStyle w:val="EYBullet1"/>
      <w:lvlText w:val="u"/>
      <w:lvlJc w:val="left"/>
      <w:pPr>
        <w:ind w:left="720" w:hanging="360"/>
      </w:pPr>
      <w:rPr>
        <w:rFonts w:ascii="Wingdings 3" w:hAnsi="Wingdings 3" w:hint="default"/>
        <w:color w:val="auto"/>
        <w:sz w:val="12"/>
      </w:rPr>
    </w:lvl>
    <w:lvl w:ilvl="1" w:tplc="0C090003">
      <w:start w:val="1"/>
      <w:numFmt w:val="bullet"/>
      <w:lvlText w:val="o"/>
      <w:lvlJc w:val="left"/>
      <w:pPr>
        <w:ind w:left="1440" w:hanging="360"/>
      </w:pPr>
      <w:rPr>
        <w:rFonts w:ascii="Segoe UI" w:hAnsi="Segoe UI" w:cs="Segoe UI" w:hint="default"/>
      </w:rPr>
    </w:lvl>
    <w:lvl w:ilvl="2" w:tplc="0C090005" w:tentative="1">
      <w:start w:val="1"/>
      <w:numFmt w:val="bullet"/>
      <w:lvlText w:val=""/>
      <w:lvlJc w:val="left"/>
      <w:pPr>
        <w:ind w:left="2160" w:hanging="360"/>
      </w:pPr>
      <w:rPr>
        <w:rFonts w:ascii="Segoe UI Emoji" w:hAnsi="Segoe UI Emoji" w:hint="default"/>
      </w:rPr>
    </w:lvl>
    <w:lvl w:ilvl="3" w:tplc="0C090001" w:tentative="1">
      <w:start w:val="1"/>
      <w:numFmt w:val="bullet"/>
      <w:lvlText w:val=""/>
      <w:lvlJc w:val="left"/>
      <w:pPr>
        <w:ind w:left="2880" w:hanging="360"/>
      </w:pPr>
      <w:rPr>
        <w:rFonts w:ascii="Cambria Math" w:hAnsi="Cambria Math" w:hint="default"/>
      </w:rPr>
    </w:lvl>
    <w:lvl w:ilvl="4" w:tplc="0C090003" w:tentative="1">
      <w:start w:val="1"/>
      <w:numFmt w:val="bullet"/>
      <w:lvlText w:val="o"/>
      <w:lvlJc w:val="left"/>
      <w:pPr>
        <w:ind w:left="3600" w:hanging="360"/>
      </w:pPr>
      <w:rPr>
        <w:rFonts w:ascii="Segoe UI" w:hAnsi="Segoe UI" w:cs="Segoe UI" w:hint="default"/>
      </w:rPr>
    </w:lvl>
    <w:lvl w:ilvl="5" w:tplc="0C090005" w:tentative="1">
      <w:start w:val="1"/>
      <w:numFmt w:val="bullet"/>
      <w:lvlText w:val=""/>
      <w:lvlJc w:val="left"/>
      <w:pPr>
        <w:ind w:left="4320" w:hanging="360"/>
      </w:pPr>
      <w:rPr>
        <w:rFonts w:ascii="Segoe UI Emoji" w:hAnsi="Segoe UI Emoji" w:hint="default"/>
      </w:rPr>
    </w:lvl>
    <w:lvl w:ilvl="6" w:tplc="0C090001" w:tentative="1">
      <w:start w:val="1"/>
      <w:numFmt w:val="bullet"/>
      <w:lvlText w:val=""/>
      <w:lvlJc w:val="left"/>
      <w:pPr>
        <w:ind w:left="5040" w:hanging="360"/>
      </w:pPr>
      <w:rPr>
        <w:rFonts w:ascii="Cambria Math" w:hAnsi="Cambria Math" w:hint="default"/>
      </w:rPr>
    </w:lvl>
    <w:lvl w:ilvl="7" w:tplc="0C090003" w:tentative="1">
      <w:start w:val="1"/>
      <w:numFmt w:val="bullet"/>
      <w:lvlText w:val="o"/>
      <w:lvlJc w:val="left"/>
      <w:pPr>
        <w:ind w:left="5760" w:hanging="360"/>
      </w:pPr>
      <w:rPr>
        <w:rFonts w:ascii="Segoe UI" w:hAnsi="Segoe UI" w:cs="Segoe UI" w:hint="default"/>
      </w:rPr>
    </w:lvl>
    <w:lvl w:ilvl="8" w:tplc="0C090005" w:tentative="1">
      <w:start w:val="1"/>
      <w:numFmt w:val="bullet"/>
      <w:lvlText w:val=""/>
      <w:lvlJc w:val="left"/>
      <w:pPr>
        <w:ind w:left="6480" w:hanging="360"/>
      </w:pPr>
      <w:rPr>
        <w:rFonts w:ascii="Segoe UI Emoji" w:hAnsi="Segoe UI Emoji" w:hint="default"/>
      </w:rPr>
    </w:lvl>
  </w:abstractNum>
  <w:abstractNum w:abstractNumId="14" w15:restartNumberingAfterBreak="0">
    <w:nsid w:val="447E4E06"/>
    <w:multiLevelType w:val="multilevel"/>
    <w:tmpl w:val="B6A088A2"/>
    <w:styleLink w:val="EYBulletList"/>
    <w:lvl w:ilvl="0">
      <w:start w:val="1"/>
      <w:numFmt w:val="bullet"/>
      <w:lvlText w:val="►"/>
      <w:lvlJc w:val="left"/>
      <w:pPr>
        <w:ind w:left="425" w:hanging="425"/>
      </w:pPr>
      <w:rPr>
        <w:rFonts w:ascii="EYInterstate" w:hAnsi="EYInterstate" w:hint="default"/>
        <w:color w:val="auto"/>
        <w:sz w:val="16"/>
        <w:szCs w:val="20"/>
      </w:rPr>
    </w:lvl>
    <w:lvl w:ilvl="1">
      <w:start w:val="1"/>
      <w:numFmt w:val="bullet"/>
      <w:lvlText w:val="►"/>
      <w:lvlJc w:val="left"/>
      <w:pPr>
        <w:ind w:left="850" w:hanging="425"/>
      </w:pPr>
      <w:rPr>
        <w:rFonts w:ascii="EYInterstate" w:hAnsi="EYInterstate" w:hint="default"/>
        <w:sz w:val="16"/>
      </w:rPr>
    </w:lvl>
    <w:lvl w:ilvl="2">
      <w:start w:val="1"/>
      <w:numFmt w:val="bullet"/>
      <w:lvlText w:val="►"/>
      <w:lvlJc w:val="left"/>
      <w:pPr>
        <w:ind w:left="1275" w:hanging="425"/>
      </w:pPr>
      <w:rPr>
        <w:rFonts w:ascii="EYInterstate" w:hAnsi="EYInterstate" w:hint="default"/>
        <w:sz w:val="16"/>
      </w:rPr>
    </w:lvl>
    <w:lvl w:ilvl="3">
      <w:start w:val="1"/>
      <w:numFmt w:val="bullet"/>
      <w:lvlText w:val="►"/>
      <w:lvlJc w:val="left"/>
      <w:pPr>
        <w:ind w:left="1700" w:hanging="425"/>
      </w:pPr>
      <w:rPr>
        <w:rFonts w:ascii="EYInterstate" w:hAnsi="EYInterstate" w:hint="default"/>
        <w:sz w:val="16"/>
      </w:rPr>
    </w:lvl>
    <w:lvl w:ilvl="4">
      <w:start w:val="1"/>
      <w:numFmt w:val="bullet"/>
      <w:lvlText w:val="►"/>
      <w:lvlJc w:val="left"/>
      <w:pPr>
        <w:ind w:left="2125" w:hanging="425"/>
      </w:pPr>
      <w:rPr>
        <w:rFonts w:ascii="EYInterstate" w:hAnsi="EYInterstate" w:hint="default"/>
        <w:sz w:val="16"/>
      </w:rPr>
    </w:lvl>
    <w:lvl w:ilvl="5">
      <w:start w:val="1"/>
      <w:numFmt w:val="bullet"/>
      <w:lvlText w:val="►"/>
      <w:lvlJc w:val="left"/>
      <w:pPr>
        <w:ind w:left="2550" w:hanging="425"/>
      </w:pPr>
      <w:rPr>
        <w:rFonts w:ascii="EYInterstate" w:hAnsi="EYInterstate" w:hint="default"/>
        <w:sz w:val="16"/>
      </w:rPr>
    </w:lvl>
    <w:lvl w:ilvl="6">
      <w:start w:val="1"/>
      <w:numFmt w:val="bullet"/>
      <w:lvlText w:val="►"/>
      <w:lvlJc w:val="left"/>
      <w:pPr>
        <w:ind w:left="2975" w:hanging="425"/>
      </w:pPr>
      <w:rPr>
        <w:rFonts w:ascii="EYInterstate" w:hAnsi="EYInterstate" w:hint="default"/>
        <w:sz w:val="16"/>
      </w:rPr>
    </w:lvl>
    <w:lvl w:ilvl="7">
      <w:start w:val="1"/>
      <w:numFmt w:val="bullet"/>
      <w:lvlText w:val="►"/>
      <w:lvlJc w:val="left"/>
      <w:pPr>
        <w:ind w:left="3400" w:hanging="425"/>
      </w:pPr>
      <w:rPr>
        <w:rFonts w:ascii="EYInterstate" w:hAnsi="EYInterstate" w:hint="default"/>
        <w:sz w:val="16"/>
      </w:rPr>
    </w:lvl>
    <w:lvl w:ilvl="8">
      <w:start w:val="1"/>
      <w:numFmt w:val="bullet"/>
      <w:lvlText w:val="►"/>
      <w:lvlJc w:val="left"/>
      <w:pPr>
        <w:ind w:left="3825" w:hanging="425"/>
      </w:pPr>
      <w:rPr>
        <w:rFonts w:ascii="EYInterstate" w:hAnsi="EYInterstate" w:hint="default"/>
        <w:sz w:val="16"/>
      </w:rPr>
    </w:lvl>
  </w:abstractNum>
  <w:abstractNum w:abstractNumId="15" w15:restartNumberingAfterBreak="0">
    <w:nsid w:val="4C18701D"/>
    <w:multiLevelType w:val="multilevel"/>
    <w:tmpl w:val="553650F2"/>
    <w:styleLink w:val="EYAlphaNumList"/>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E9209EF"/>
    <w:multiLevelType w:val="hybridMultilevel"/>
    <w:tmpl w:val="F83C9880"/>
    <w:lvl w:ilvl="0" w:tplc="B112857A">
      <w:start w:val="1"/>
      <w:numFmt w:val="bullet"/>
      <w:pStyle w:val="EYBullet3"/>
      <w:lvlText w:val=""/>
      <w:lvlJc w:val="left"/>
      <w:pPr>
        <w:ind w:left="1778" w:hanging="360"/>
      </w:pPr>
      <w:rPr>
        <w:rFonts w:ascii="Wingdings" w:hAnsi="Wingdings" w:hint="default"/>
        <w:color w:val="787890" w:themeColor="text1" w:themeTint="99"/>
        <w:sz w:val="12"/>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15:restartNumberingAfterBreak="0">
    <w:nsid w:val="5737249C"/>
    <w:multiLevelType w:val="hybridMultilevel"/>
    <w:tmpl w:val="75BC2BD0"/>
    <w:lvl w:ilvl="0" w:tplc="1A581B90">
      <w:start w:val="1"/>
      <w:numFmt w:val="bullet"/>
      <w:lvlText w:val="u"/>
      <w:lvlJc w:val="left"/>
      <w:pPr>
        <w:ind w:left="1800" w:hanging="360"/>
      </w:pPr>
      <w:rPr>
        <w:rFonts w:ascii="Wingdings 3" w:hAnsi="Wingdings 3" w:hint="default"/>
        <w:color w:val="auto"/>
        <w:sz w:val="1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15:restartNumberingAfterBreak="0">
    <w:nsid w:val="73A37718"/>
    <w:multiLevelType w:val="multilevel"/>
    <w:tmpl w:val="B12A2EF4"/>
    <w:lvl w:ilvl="0">
      <w:start w:val="1"/>
      <w:numFmt w:val="bullet"/>
      <w:pStyle w:val="EYTablebullet1"/>
      <w:lvlText w:val="►"/>
      <w:lvlJc w:val="left"/>
      <w:pPr>
        <w:tabs>
          <w:tab w:val="num" w:pos="284"/>
        </w:tabs>
        <w:ind w:left="284" w:hanging="284"/>
      </w:pPr>
      <w:rPr>
        <w:rFonts w:ascii="EYInterstate" w:hAnsi="EYInterstate" w:cs="Arial" w:hint="default"/>
        <w:b w:val="0"/>
        <w:bCs/>
        <w:i w:val="0"/>
        <w:color w:val="auto"/>
        <w:sz w:val="12"/>
        <w:szCs w:val="24"/>
      </w:rPr>
    </w:lvl>
    <w:lvl w:ilvl="1">
      <w:start w:val="1"/>
      <w:numFmt w:val="bullet"/>
      <w:pStyle w:val="EYTablebullet2"/>
      <w:lvlText w:val="►"/>
      <w:lvlJc w:val="left"/>
      <w:pPr>
        <w:tabs>
          <w:tab w:val="num" w:pos="567"/>
        </w:tabs>
        <w:ind w:left="567" w:hanging="283"/>
      </w:pPr>
      <w:rPr>
        <w:rFonts w:ascii="EYInterstate" w:hAnsi="EYInterstate" w:cs="Arial"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9" w15:restartNumberingAfterBreak="0">
    <w:nsid w:val="74936E1C"/>
    <w:multiLevelType w:val="hybridMultilevel"/>
    <w:tmpl w:val="EB5A9B04"/>
    <w:lvl w:ilvl="0" w:tplc="E8F80918">
      <w:start w:val="1"/>
      <w:numFmt w:val="bullet"/>
      <w:lvlText w:val="u"/>
      <w:lvlJc w:val="left"/>
      <w:pPr>
        <w:ind w:left="720" w:hanging="360"/>
      </w:pPr>
      <w:rPr>
        <w:rFonts w:ascii="Wingdings 3" w:hAnsi="Wingdings 3" w:hint="default"/>
        <w:color w:val="FFE600" w:themeColor="text2"/>
        <w:sz w:val="12"/>
      </w:rPr>
    </w:lvl>
    <w:lvl w:ilvl="1" w:tplc="0C090003">
      <w:start w:val="1"/>
      <w:numFmt w:val="bullet"/>
      <w:lvlText w:val="o"/>
      <w:lvlJc w:val="left"/>
      <w:pPr>
        <w:ind w:left="1440" w:hanging="360"/>
      </w:pPr>
      <w:rPr>
        <w:rFonts w:ascii="Segoe UI" w:hAnsi="Segoe UI" w:cs="Segoe UI" w:hint="default"/>
      </w:rPr>
    </w:lvl>
    <w:lvl w:ilvl="2" w:tplc="0C090005" w:tentative="1">
      <w:start w:val="1"/>
      <w:numFmt w:val="bullet"/>
      <w:lvlText w:val=""/>
      <w:lvlJc w:val="left"/>
      <w:pPr>
        <w:ind w:left="2160" w:hanging="360"/>
      </w:pPr>
      <w:rPr>
        <w:rFonts w:ascii="Segoe UI Emoji" w:hAnsi="Segoe UI Emoji" w:hint="default"/>
      </w:rPr>
    </w:lvl>
    <w:lvl w:ilvl="3" w:tplc="0C090001" w:tentative="1">
      <w:start w:val="1"/>
      <w:numFmt w:val="bullet"/>
      <w:lvlText w:val=""/>
      <w:lvlJc w:val="left"/>
      <w:pPr>
        <w:ind w:left="2880" w:hanging="360"/>
      </w:pPr>
      <w:rPr>
        <w:rFonts w:ascii="Cambria Math" w:hAnsi="Cambria Math" w:hint="default"/>
      </w:rPr>
    </w:lvl>
    <w:lvl w:ilvl="4" w:tplc="0C090003" w:tentative="1">
      <w:start w:val="1"/>
      <w:numFmt w:val="bullet"/>
      <w:lvlText w:val="o"/>
      <w:lvlJc w:val="left"/>
      <w:pPr>
        <w:ind w:left="3600" w:hanging="360"/>
      </w:pPr>
      <w:rPr>
        <w:rFonts w:ascii="Segoe UI" w:hAnsi="Segoe UI" w:cs="Segoe UI" w:hint="default"/>
      </w:rPr>
    </w:lvl>
    <w:lvl w:ilvl="5" w:tplc="0C090005" w:tentative="1">
      <w:start w:val="1"/>
      <w:numFmt w:val="bullet"/>
      <w:lvlText w:val=""/>
      <w:lvlJc w:val="left"/>
      <w:pPr>
        <w:ind w:left="4320" w:hanging="360"/>
      </w:pPr>
      <w:rPr>
        <w:rFonts w:ascii="Segoe UI Emoji" w:hAnsi="Segoe UI Emoji" w:hint="default"/>
      </w:rPr>
    </w:lvl>
    <w:lvl w:ilvl="6" w:tplc="0C090001" w:tentative="1">
      <w:start w:val="1"/>
      <w:numFmt w:val="bullet"/>
      <w:lvlText w:val=""/>
      <w:lvlJc w:val="left"/>
      <w:pPr>
        <w:ind w:left="5040" w:hanging="360"/>
      </w:pPr>
      <w:rPr>
        <w:rFonts w:ascii="Cambria Math" w:hAnsi="Cambria Math" w:hint="default"/>
      </w:rPr>
    </w:lvl>
    <w:lvl w:ilvl="7" w:tplc="0C090003" w:tentative="1">
      <w:start w:val="1"/>
      <w:numFmt w:val="bullet"/>
      <w:lvlText w:val="o"/>
      <w:lvlJc w:val="left"/>
      <w:pPr>
        <w:ind w:left="5760" w:hanging="360"/>
      </w:pPr>
      <w:rPr>
        <w:rFonts w:ascii="Segoe UI" w:hAnsi="Segoe UI" w:cs="Segoe UI" w:hint="default"/>
      </w:rPr>
    </w:lvl>
    <w:lvl w:ilvl="8" w:tplc="0C090005" w:tentative="1">
      <w:start w:val="1"/>
      <w:numFmt w:val="bullet"/>
      <w:lvlText w:val=""/>
      <w:lvlJc w:val="left"/>
      <w:pPr>
        <w:ind w:left="6480" w:hanging="360"/>
      </w:pPr>
      <w:rPr>
        <w:rFonts w:ascii="Segoe UI Emoji" w:hAnsi="Segoe UI Emoji" w:hint="default"/>
      </w:rPr>
    </w:lvl>
  </w:abstractNum>
  <w:abstractNum w:abstractNumId="20" w15:restartNumberingAfterBreak="0">
    <w:nsid w:val="779730BE"/>
    <w:multiLevelType w:val="multilevel"/>
    <w:tmpl w:val="12209E72"/>
    <w:styleLink w:val="StyleNumbered"/>
    <w:lvl w:ilvl="0">
      <w:start w:val="1"/>
      <w:numFmt w:val="lowerRoman"/>
      <w:lvlText w:val="%1)"/>
      <w:lvlJc w:val="left"/>
      <w:pPr>
        <w:tabs>
          <w:tab w:val="num" w:pos="360"/>
        </w:tabs>
        <w:ind w:left="360" w:hanging="360"/>
      </w:pPr>
      <w:rPr>
        <w:rFonts w:ascii="Calibri Light" w:hAnsi="Calibri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10"/>
  </w:num>
  <w:num w:numId="2">
    <w:abstractNumId w:val="12"/>
  </w:num>
  <w:num w:numId="3">
    <w:abstractNumId w:val="18"/>
  </w:num>
  <w:num w:numId="4">
    <w:abstractNumId w:val="15"/>
  </w:num>
  <w:num w:numId="5">
    <w:abstractNumId w:val="14"/>
  </w:num>
  <w:num w:numId="6">
    <w:abstractNumId w:val="20"/>
  </w:num>
  <w:num w:numId="7">
    <w:abstractNumId w:val="19"/>
  </w:num>
  <w:num w:numId="8">
    <w:abstractNumId w:val="13"/>
  </w:num>
  <w:num w:numId="9">
    <w:abstractNumId w:val="11"/>
  </w:num>
  <w:num w:numId="10">
    <w:abstractNumId w:val="6"/>
  </w:num>
  <w:num w:numId="11">
    <w:abstractNumId w:val="8"/>
  </w:num>
  <w:num w:numId="12">
    <w:abstractNumId w:val="3"/>
  </w:num>
  <w:num w:numId="13">
    <w:abstractNumId w:val="8"/>
    <w:lvlOverride w:ilvl="0">
      <w:startOverride w:val="1"/>
    </w:lvlOverride>
  </w:num>
  <w:num w:numId="14">
    <w:abstractNumId w:val="17"/>
  </w:num>
  <w:num w:numId="15">
    <w:abstractNumId w:val="16"/>
  </w:num>
  <w:num w:numId="16">
    <w:abstractNumId w:val="9"/>
  </w:num>
  <w:num w:numId="17">
    <w:abstractNumId w:val="7"/>
  </w:num>
  <w:num w:numId="18">
    <w:abstractNumId w:val="5"/>
  </w:num>
  <w:num w:numId="19">
    <w:abstractNumId w:val="4"/>
  </w:num>
  <w:num w:numId="20">
    <w:abstractNumId w:val="2"/>
  </w:num>
  <w:num w:numId="21">
    <w:abstractNumId w:val="1"/>
  </w:num>
  <w:num w:numId="2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425"/>
  <w:drawingGridHorizontalSpacing w:val="23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4E"/>
    <w:rsid w:val="00000067"/>
    <w:rsid w:val="000000CA"/>
    <w:rsid w:val="00000297"/>
    <w:rsid w:val="000002E0"/>
    <w:rsid w:val="00000429"/>
    <w:rsid w:val="00000506"/>
    <w:rsid w:val="000007C2"/>
    <w:rsid w:val="00000860"/>
    <w:rsid w:val="00000A40"/>
    <w:rsid w:val="00000B1E"/>
    <w:rsid w:val="00000CEF"/>
    <w:rsid w:val="00000CF5"/>
    <w:rsid w:val="00000D75"/>
    <w:rsid w:val="00000DCA"/>
    <w:rsid w:val="00000E80"/>
    <w:rsid w:val="00000EFA"/>
    <w:rsid w:val="00000FCB"/>
    <w:rsid w:val="000010CF"/>
    <w:rsid w:val="000012C0"/>
    <w:rsid w:val="0000150E"/>
    <w:rsid w:val="0000173C"/>
    <w:rsid w:val="0000176E"/>
    <w:rsid w:val="00001793"/>
    <w:rsid w:val="000018F9"/>
    <w:rsid w:val="00001A52"/>
    <w:rsid w:val="00001B84"/>
    <w:rsid w:val="00001C06"/>
    <w:rsid w:val="00001C0C"/>
    <w:rsid w:val="00001F8B"/>
    <w:rsid w:val="00002184"/>
    <w:rsid w:val="0000229E"/>
    <w:rsid w:val="000022E7"/>
    <w:rsid w:val="00002304"/>
    <w:rsid w:val="000025DF"/>
    <w:rsid w:val="000027A9"/>
    <w:rsid w:val="00002800"/>
    <w:rsid w:val="00002832"/>
    <w:rsid w:val="000028A1"/>
    <w:rsid w:val="00002B73"/>
    <w:rsid w:val="00002C41"/>
    <w:rsid w:val="00002D6A"/>
    <w:rsid w:val="00003155"/>
    <w:rsid w:val="00003331"/>
    <w:rsid w:val="000033DF"/>
    <w:rsid w:val="0000351B"/>
    <w:rsid w:val="00003555"/>
    <w:rsid w:val="000035C5"/>
    <w:rsid w:val="00003643"/>
    <w:rsid w:val="0000388E"/>
    <w:rsid w:val="0000389A"/>
    <w:rsid w:val="000039F1"/>
    <w:rsid w:val="000039FB"/>
    <w:rsid w:val="00003B6D"/>
    <w:rsid w:val="00003B9E"/>
    <w:rsid w:val="00003BCF"/>
    <w:rsid w:val="00003CCE"/>
    <w:rsid w:val="00003CF6"/>
    <w:rsid w:val="00003E8C"/>
    <w:rsid w:val="00004244"/>
    <w:rsid w:val="000042A5"/>
    <w:rsid w:val="00004603"/>
    <w:rsid w:val="00004691"/>
    <w:rsid w:val="000046C5"/>
    <w:rsid w:val="000046E6"/>
    <w:rsid w:val="00004757"/>
    <w:rsid w:val="00004784"/>
    <w:rsid w:val="00004C19"/>
    <w:rsid w:val="00004C69"/>
    <w:rsid w:val="00004EF8"/>
    <w:rsid w:val="00004FED"/>
    <w:rsid w:val="0000505F"/>
    <w:rsid w:val="00005132"/>
    <w:rsid w:val="0000518B"/>
    <w:rsid w:val="0000519A"/>
    <w:rsid w:val="000051AE"/>
    <w:rsid w:val="000051D7"/>
    <w:rsid w:val="000051DC"/>
    <w:rsid w:val="000051E5"/>
    <w:rsid w:val="00005258"/>
    <w:rsid w:val="00005332"/>
    <w:rsid w:val="00005387"/>
    <w:rsid w:val="00005538"/>
    <w:rsid w:val="000056BD"/>
    <w:rsid w:val="000056F9"/>
    <w:rsid w:val="000057AC"/>
    <w:rsid w:val="000057B8"/>
    <w:rsid w:val="000057D5"/>
    <w:rsid w:val="00005A2F"/>
    <w:rsid w:val="00005B6D"/>
    <w:rsid w:val="00005C37"/>
    <w:rsid w:val="00005CF3"/>
    <w:rsid w:val="0000602C"/>
    <w:rsid w:val="0000607D"/>
    <w:rsid w:val="00006186"/>
    <w:rsid w:val="0000638B"/>
    <w:rsid w:val="000064FA"/>
    <w:rsid w:val="000065EA"/>
    <w:rsid w:val="00006607"/>
    <w:rsid w:val="000066A2"/>
    <w:rsid w:val="000067C3"/>
    <w:rsid w:val="00006890"/>
    <w:rsid w:val="000068C1"/>
    <w:rsid w:val="000068FD"/>
    <w:rsid w:val="0000697C"/>
    <w:rsid w:val="00006B2B"/>
    <w:rsid w:val="00006B5F"/>
    <w:rsid w:val="00006C5B"/>
    <w:rsid w:val="00006C63"/>
    <w:rsid w:val="00006CC1"/>
    <w:rsid w:val="00006DAF"/>
    <w:rsid w:val="00006E7A"/>
    <w:rsid w:val="00006EDF"/>
    <w:rsid w:val="00007117"/>
    <w:rsid w:val="00007135"/>
    <w:rsid w:val="000072B1"/>
    <w:rsid w:val="000079D4"/>
    <w:rsid w:val="000101B4"/>
    <w:rsid w:val="000101D1"/>
    <w:rsid w:val="00010210"/>
    <w:rsid w:val="00010360"/>
    <w:rsid w:val="000103AF"/>
    <w:rsid w:val="00010543"/>
    <w:rsid w:val="00010683"/>
    <w:rsid w:val="000106C1"/>
    <w:rsid w:val="00010795"/>
    <w:rsid w:val="000109C6"/>
    <w:rsid w:val="00010A22"/>
    <w:rsid w:val="00010B6C"/>
    <w:rsid w:val="00010BB4"/>
    <w:rsid w:val="00010C0E"/>
    <w:rsid w:val="00010F6A"/>
    <w:rsid w:val="00010FB8"/>
    <w:rsid w:val="00011265"/>
    <w:rsid w:val="00011375"/>
    <w:rsid w:val="0001137C"/>
    <w:rsid w:val="000113D5"/>
    <w:rsid w:val="0001159B"/>
    <w:rsid w:val="000115FE"/>
    <w:rsid w:val="00011611"/>
    <w:rsid w:val="00011698"/>
    <w:rsid w:val="000116CB"/>
    <w:rsid w:val="00011774"/>
    <w:rsid w:val="000117AF"/>
    <w:rsid w:val="00011AC7"/>
    <w:rsid w:val="00011E3F"/>
    <w:rsid w:val="00011F8E"/>
    <w:rsid w:val="00011FB1"/>
    <w:rsid w:val="0001205F"/>
    <w:rsid w:val="00012294"/>
    <w:rsid w:val="000122BF"/>
    <w:rsid w:val="0001245D"/>
    <w:rsid w:val="00012475"/>
    <w:rsid w:val="00012558"/>
    <w:rsid w:val="000127DC"/>
    <w:rsid w:val="000128BD"/>
    <w:rsid w:val="00012C0F"/>
    <w:rsid w:val="00012D77"/>
    <w:rsid w:val="00012E3A"/>
    <w:rsid w:val="00012F6C"/>
    <w:rsid w:val="000131DE"/>
    <w:rsid w:val="0001324B"/>
    <w:rsid w:val="0001328A"/>
    <w:rsid w:val="00013539"/>
    <w:rsid w:val="00013607"/>
    <w:rsid w:val="000138F9"/>
    <w:rsid w:val="000138FF"/>
    <w:rsid w:val="000139DD"/>
    <w:rsid w:val="00013A65"/>
    <w:rsid w:val="00013B4E"/>
    <w:rsid w:val="00013D43"/>
    <w:rsid w:val="00013D46"/>
    <w:rsid w:val="00013DD5"/>
    <w:rsid w:val="00013E28"/>
    <w:rsid w:val="00013EA8"/>
    <w:rsid w:val="00013EF7"/>
    <w:rsid w:val="00014092"/>
    <w:rsid w:val="0001420D"/>
    <w:rsid w:val="00014230"/>
    <w:rsid w:val="00014241"/>
    <w:rsid w:val="00014262"/>
    <w:rsid w:val="00014274"/>
    <w:rsid w:val="00014295"/>
    <w:rsid w:val="00014336"/>
    <w:rsid w:val="00014396"/>
    <w:rsid w:val="0001443D"/>
    <w:rsid w:val="000144A1"/>
    <w:rsid w:val="000144AA"/>
    <w:rsid w:val="000144DE"/>
    <w:rsid w:val="00014502"/>
    <w:rsid w:val="0001453A"/>
    <w:rsid w:val="0001455D"/>
    <w:rsid w:val="00014592"/>
    <w:rsid w:val="000145A2"/>
    <w:rsid w:val="0001483D"/>
    <w:rsid w:val="0001486C"/>
    <w:rsid w:val="000148DA"/>
    <w:rsid w:val="0001492F"/>
    <w:rsid w:val="000149B2"/>
    <w:rsid w:val="00014B85"/>
    <w:rsid w:val="00014C9E"/>
    <w:rsid w:val="00014DA7"/>
    <w:rsid w:val="00014E9E"/>
    <w:rsid w:val="00014FAC"/>
    <w:rsid w:val="00015216"/>
    <w:rsid w:val="0001536F"/>
    <w:rsid w:val="0001537B"/>
    <w:rsid w:val="0001548A"/>
    <w:rsid w:val="000154DC"/>
    <w:rsid w:val="0001568D"/>
    <w:rsid w:val="000156AB"/>
    <w:rsid w:val="000156E6"/>
    <w:rsid w:val="00015744"/>
    <w:rsid w:val="000158DA"/>
    <w:rsid w:val="000159CA"/>
    <w:rsid w:val="00015A27"/>
    <w:rsid w:val="00015D00"/>
    <w:rsid w:val="00015D49"/>
    <w:rsid w:val="00015DF1"/>
    <w:rsid w:val="00015E84"/>
    <w:rsid w:val="0001601B"/>
    <w:rsid w:val="00016071"/>
    <w:rsid w:val="000162F5"/>
    <w:rsid w:val="00016346"/>
    <w:rsid w:val="000163E2"/>
    <w:rsid w:val="00016402"/>
    <w:rsid w:val="0001650A"/>
    <w:rsid w:val="0001652D"/>
    <w:rsid w:val="0001659C"/>
    <w:rsid w:val="0001663E"/>
    <w:rsid w:val="000166A7"/>
    <w:rsid w:val="00016932"/>
    <w:rsid w:val="000169E7"/>
    <w:rsid w:val="00016A4B"/>
    <w:rsid w:val="00016A60"/>
    <w:rsid w:val="00016BE6"/>
    <w:rsid w:val="00016D30"/>
    <w:rsid w:val="00016D60"/>
    <w:rsid w:val="00016EBF"/>
    <w:rsid w:val="00016EDE"/>
    <w:rsid w:val="00017040"/>
    <w:rsid w:val="000171AD"/>
    <w:rsid w:val="0001727C"/>
    <w:rsid w:val="00017389"/>
    <w:rsid w:val="000173B9"/>
    <w:rsid w:val="00017429"/>
    <w:rsid w:val="000174AD"/>
    <w:rsid w:val="000176D9"/>
    <w:rsid w:val="0001791C"/>
    <w:rsid w:val="00017A87"/>
    <w:rsid w:val="00017C7C"/>
    <w:rsid w:val="00017E32"/>
    <w:rsid w:val="000200EA"/>
    <w:rsid w:val="000201F5"/>
    <w:rsid w:val="0002021C"/>
    <w:rsid w:val="000203BA"/>
    <w:rsid w:val="000204B2"/>
    <w:rsid w:val="000205BD"/>
    <w:rsid w:val="000205C3"/>
    <w:rsid w:val="00020A58"/>
    <w:rsid w:val="00020A76"/>
    <w:rsid w:val="00020ABE"/>
    <w:rsid w:val="00020B21"/>
    <w:rsid w:val="00020C65"/>
    <w:rsid w:val="00020CE5"/>
    <w:rsid w:val="00020CFA"/>
    <w:rsid w:val="00020D36"/>
    <w:rsid w:val="00020D94"/>
    <w:rsid w:val="00020E6A"/>
    <w:rsid w:val="00020F50"/>
    <w:rsid w:val="00021169"/>
    <w:rsid w:val="000211A8"/>
    <w:rsid w:val="00021206"/>
    <w:rsid w:val="00021336"/>
    <w:rsid w:val="00021353"/>
    <w:rsid w:val="00021491"/>
    <w:rsid w:val="000218EB"/>
    <w:rsid w:val="000218F4"/>
    <w:rsid w:val="00021912"/>
    <w:rsid w:val="000219F9"/>
    <w:rsid w:val="00021AD2"/>
    <w:rsid w:val="00021D84"/>
    <w:rsid w:val="00021F74"/>
    <w:rsid w:val="00021FAA"/>
    <w:rsid w:val="00021FC8"/>
    <w:rsid w:val="000220A0"/>
    <w:rsid w:val="000223A5"/>
    <w:rsid w:val="00022442"/>
    <w:rsid w:val="000224EE"/>
    <w:rsid w:val="00022684"/>
    <w:rsid w:val="000226EE"/>
    <w:rsid w:val="0002282F"/>
    <w:rsid w:val="000229F4"/>
    <w:rsid w:val="00022AA8"/>
    <w:rsid w:val="00023215"/>
    <w:rsid w:val="000233B0"/>
    <w:rsid w:val="00023421"/>
    <w:rsid w:val="00023447"/>
    <w:rsid w:val="00023477"/>
    <w:rsid w:val="000234C2"/>
    <w:rsid w:val="00023594"/>
    <w:rsid w:val="0002369B"/>
    <w:rsid w:val="000236D1"/>
    <w:rsid w:val="00023815"/>
    <w:rsid w:val="000238D6"/>
    <w:rsid w:val="00023989"/>
    <w:rsid w:val="00023BFF"/>
    <w:rsid w:val="00023C8B"/>
    <w:rsid w:val="00023DC7"/>
    <w:rsid w:val="00023EA8"/>
    <w:rsid w:val="00023F4B"/>
    <w:rsid w:val="00023FCB"/>
    <w:rsid w:val="000241D1"/>
    <w:rsid w:val="00024259"/>
    <w:rsid w:val="00024324"/>
    <w:rsid w:val="000244FC"/>
    <w:rsid w:val="00024733"/>
    <w:rsid w:val="0002473F"/>
    <w:rsid w:val="00024A9C"/>
    <w:rsid w:val="00024C5A"/>
    <w:rsid w:val="00024D1A"/>
    <w:rsid w:val="00024D75"/>
    <w:rsid w:val="00025034"/>
    <w:rsid w:val="00025222"/>
    <w:rsid w:val="0002548C"/>
    <w:rsid w:val="00025951"/>
    <w:rsid w:val="00025ADB"/>
    <w:rsid w:val="00025B28"/>
    <w:rsid w:val="00025B89"/>
    <w:rsid w:val="00025CFB"/>
    <w:rsid w:val="00025E77"/>
    <w:rsid w:val="00025F24"/>
    <w:rsid w:val="0002609C"/>
    <w:rsid w:val="000260E7"/>
    <w:rsid w:val="000260F3"/>
    <w:rsid w:val="00026128"/>
    <w:rsid w:val="0002615C"/>
    <w:rsid w:val="00026175"/>
    <w:rsid w:val="000261E7"/>
    <w:rsid w:val="00026293"/>
    <w:rsid w:val="0002641F"/>
    <w:rsid w:val="000269F5"/>
    <w:rsid w:val="00026C12"/>
    <w:rsid w:val="00026E1F"/>
    <w:rsid w:val="00026EAD"/>
    <w:rsid w:val="00027468"/>
    <w:rsid w:val="00027585"/>
    <w:rsid w:val="0002764E"/>
    <w:rsid w:val="0002769A"/>
    <w:rsid w:val="0002774D"/>
    <w:rsid w:val="0002777F"/>
    <w:rsid w:val="000277EA"/>
    <w:rsid w:val="000278FF"/>
    <w:rsid w:val="00027A21"/>
    <w:rsid w:val="00027AD1"/>
    <w:rsid w:val="00027B1E"/>
    <w:rsid w:val="00027B61"/>
    <w:rsid w:val="00027FAA"/>
    <w:rsid w:val="000303B8"/>
    <w:rsid w:val="000304B0"/>
    <w:rsid w:val="00030691"/>
    <w:rsid w:val="000306CA"/>
    <w:rsid w:val="00030820"/>
    <w:rsid w:val="00030915"/>
    <w:rsid w:val="00030951"/>
    <w:rsid w:val="00030B03"/>
    <w:rsid w:val="00030C1D"/>
    <w:rsid w:val="00030DA8"/>
    <w:rsid w:val="00031296"/>
    <w:rsid w:val="0003132F"/>
    <w:rsid w:val="0003187E"/>
    <w:rsid w:val="00031AA7"/>
    <w:rsid w:val="00031C93"/>
    <w:rsid w:val="00031DC3"/>
    <w:rsid w:val="00031DE3"/>
    <w:rsid w:val="00031F1B"/>
    <w:rsid w:val="0003216B"/>
    <w:rsid w:val="000321CC"/>
    <w:rsid w:val="000323DA"/>
    <w:rsid w:val="0003247C"/>
    <w:rsid w:val="000325B7"/>
    <w:rsid w:val="000325D5"/>
    <w:rsid w:val="00032814"/>
    <w:rsid w:val="00032861"/>
    <w:rsid w:val="00032862"/>
    <w:rsid w:val="00032DCA"/>
    <w:rsid w:val="00032DED"/>
    <w:rsid w:val="00032F01"/>
    <w:rsid w:val="00032F87"/>
    <w:rsid w:val="00033031"/>
    <w:rsid w:val="00033097"/>
    <w:rsid w:val="0003311F"/>
    <w:rsid w:val="00033419"/>
    <w:rsid w:val="000334A3"/>
    <w:rsid w:val="00033766"/>
    <w:rsid w:val="0003393C"/>
    <w:rsid w:val="00033AD4"/>
    <w:rsid w:val="00033C2D"/>
    <w:rsid w:val="00033C9C"/>
    <w:rsid w:val="00033CCE"/>
    <w:rsid w:val="00033DEE"/>
    <w:rsid w:val="0003408F"/>
    <w:rsid w:val="0003411B"/>
    <w:rsid w:val="000341DE"/>
    <w:rsid w:val="00034463"/>
    <w:rsid w:val="00034617"/>
    <w:rsid w:val="000347BC"/>
    <w:rsid w:val="0003493F"/>
    <w:rsid w:val="00034AD3"/>
    <w:rsid w:val="00034DB6"/>
    <w:rsid w:val="00034E6D"/>
    <w:rsid w:val="00034ECB"/>
    <w:rsid w:val="00034F78"/>
    <w:rsid w:val="000350A5"/>
    <w:rsid w:val="000350F9"/>
    <w:rsid w:val="00035169"/>
    <w:rsid w:val="00035460"/>
    <w:rsid w:val="0003560B"/>
    <w:rsid w:val="000356CC"/>
    <w:rsid w:val="00035796"/>
    <w:rsid w:val="00035B0B"/>
    <w:rsid w:val="00035B93"/>
    <w:rsid w:val="00035BDC"/>
    <w:rsid w:val="00035C2C"/>
    <w:rsid w:val="00035CF4"/>
    <w:rsid w:val="00035EFD"/>
    <w:rsid w:val="00035FFA"/>
    <w:rsid w:val="0003606B"/>
    <w:rsid w:val="00036256"/>
    <w:rsid w:val="000362B9"/>
    <w:rsid w:val="000366A1"/>
    <w:rsid w:val="00036900"/>
    <w:rsid w:val="00036A0E"/>
    <w:rsid w:val="00036C34"/>
    <w:rsid w:val="0003717A"/>
    <w:rsid w:val="00037269"/>
    <w:rsid w:val="00037315"/>
    <w:rsid w:val="00037357"/>
    <w:rsid w:val="000373B9"/>
    <w:rsid w:val="00037425"/>
    <w:rsid w:val="0003797C"/>
    <w:rsid w:val="00037AAA"/>
    <w:rsid w:val="00037B83"/>
    <w:rsid w:val="00037D09"/>
    <w:rsid w:val="00037D6D"/>
    <w:rsid w:val="00037DF7"/>
    <w:rsid w:val="00037E62"/>
    <w:rsid w:val="00040015"/>
    <w:rsid w:val="000402AC"/>
    <w:rsid w:val="000402EA"/>
    <w:rsid w:val="00040315"/>
    <w:rsid w:val="0004054B"/>
    <w:rsid w:val="000407DD"/>
    <w:rsid w:val="00040974"/>
    <w:rsid w:val="00040ACC"/>
    <w:rsid w:val="00040B31"/>
    <w:rsid w:val="00040BDC"/>
    <w:rsid w:val="00040BF1"/>
    <w:rsid w:val="00040C56"/>
    <w:rsid w:val="00040C9E"/>
    <w:rsid w:val="00040D9D"/>
    <w:rsid w:val="00040E95"/>
    <w:rsid w:val="000410C2"/>
    <w:rsid w:val="00041142"/>
    <w:rsid w:val="00041143"/>
    <w:rsid w:val="0004124A"/>
    <w:rsid w:val="00041350"/>
    <w:rsid w:val="00041474"/>
    <w:rsid w:val="00041774"/>
    <w:rsid w:val="000417A4"/>
    <w:rsid w:val="00041976"/>
    <w:rsid w:val="00041ACC"/>
    <w:rsid w:val="00041B82"/>
    <w:rsid w:val="00041C81"/>
    <w:rsid w:val="00041DFE"/>
    <w:rsid w:val="00041EE0"/>
    <w:rsid w:val="00041FB1"/>
    <w:rsid w:val="00042137"/>
    <w:rsid w:val="0004229B"/>
    <w:rsid w:val="0004236E"/>
    <w:rsid w:val="00042377"/>
    <w:rsid w:val="0004238E"/>
    <w:rsid w:val="000423F6"/>
    <w:rsid w:val="00042412"/>
    <w:rsid w:val="0004243D"/>
    <w:rsid w:val="0004248D"/>
    <w:rsid w:val="000424B0"/>
    <w:rsid w:val="00042635"/>
    <w:rsid w:val="00042886"/>
    <w:rsid w:val="000429AD"/>
    <w:rsid w:val="000429DB"/>
    <w:rsid w:val="000429DE"/>
    <w:rsid w:val="00042B5D"/>
    <w:rsid w:val="00042B8C"/>
    <w:rsid w:val="00042C0A"/>
    <w:rsid w:val="00042E11"/>
    <w:rsid w:val="00042E61"/>
    <w:rsid w:val="00042E8F"/>
    <w:rsid w:val="00042EBB"/>
    <w:rsid w:val="00042F29"/>
    <w:rsid w:val="00042F3E"/>
    <w:rsid w:val="00042F7A"/>
    <w:rsid w:val="00043375"/>
    <w:rsid w:val="0004350E"/>
    <w:rsid w:val="0004354C"/>
    <w:rsid w:val="00043709"/>
    <w:rsid w:val="00043714"/>
    <w:rsid w:val="0004378C"/>
    <w:rsid w:val="000437A8"/>
    <w:rsid w:val="000439BA"/>
    <w:rsid w:val="00043AB3"/>
    <w:rsid w:val="00043D4F"/>
    <w:rsid w:val="00043ED6"/>
    <w:rsid w:val="00043F21"/>
    <w:rsid w:val="00044041"/>
    <w:rsid w:val="00044084"/>
    <w:rsid w:val="0004413F"/>
    <w:rsid w:val="000441CA"/>
    <w:rsid w:val="000442AD"/>
    <w:rsid w:val="0004442E"/>
    <w:rsid w:val="00044569"/>
    <w:rsid w:val="00044619"/>
    <w:rsid w:val="000447E5"/>
    <w:rsid w:val="000448B5"/>
    <w:rsid w:val="000449DA"/>
    <w:rsid w:val="00044A3A"/>
    <w:rsid w:val="00044D8A"/>
    <w:rsid w:val="00044D9C"/>
    <w:rsid w:val="00044E04"/>
    <w:rsid w:val="00044E11"/>
    <w:rsid w:val="00044F32"/>
    <w:rsid w:val="00045325"/>
    <w:rsid w:val="0004532A"/>
    <w:rsid w:val="000453BB"/>
    <w:rsid w:val="0004545F"/>
    <w:rsid w:val="0004546A"/>
    <w:rsid w:val="000456B5"/>
    <w:rsid w:val="00045730"/>
    <w:rsid w:val="000457CC"/>
    <w:rsid w:val="000459F9"/>
    <w:rsid w:val="00045CED"/>
    <w:rsid w:val="00045D72"/>
    <w:rsid w:val="00045DD4"/>
    <w:rsid w:val="000462A0"/>
    <w:rsid w:val="00046357"/>
    <w:rsid w:val="00046596"/>
    <w:rsid w:val="000466CD"/>
    <w:rsid w:val="00046D37"/>
    <w:rsid w:val="00046E8D"/>
    <w:rsid w:val="00046FB0"/>
    <w:rsid w:val="00046FCC"/>
    <w:rsid w:val="000470D3"/>
    <w:rsid w:val="000472B7"/>
    <w:rsid w:val="000473EC"/>
    <w:rsid w:val="000475A6"/>
    <w:rsid w:val="000476D4"/>
    <w:rsid w:val="000478C5"/>
    <w:rsid w:val="000479B0"/>
    <w:rsid w:val="00047AC3"/>
    <w:rsid w:val="00047B0E"/>
    <w:rsid w:val="00047DA1"/>
    <w:rsid w:val="00047EC5"/>
    <w:rsid w:val="00050007"/>
    <w:rsid w:val="0005010D"/>
    <w:rsid w:val="00050236"/>
    <w:rsid w:val="000502D6"/>
    <w:rsid w:val="00050431"/>
    <w:rsid w:val="0005058E"/>
    <w:rsid w:val="000506FF"/>
    <w:rsid w:val="00050767"/>
    <w:rsid w:val="000507D6"/>
    <w:rsid w:val="000507E7"/>
    <w:rsid w:val="0005082D"/>
    <w:rsid w:val="000508BE"/>
    <w:rsid w:val="00050977"/>
    <w:rsid w:val="00050B52"/>
    <w:rsid w:val="00050D00"/>
    <w:rsid w:val="00050DC7"/>
    <w:rsid w:val="00050E8E"/>
    <w:rsid w:val="0005107A"/>
    <w:rsid w:val="0005124A"/>
    <w:rsid w:val="000513C4"/>
    <w:rsid w:val="000514CE"/>
    <w:rsid w:val="000516DF"/>
    <w:rsid w:val="0005170E"/>
    <w:rsid w:val="00051C2D"/>
    <w:rsid w:val="00051EC4"/>
    <w:rsid w:val="00051F47"/>
    <w:rsid w:val="00051F69"/>
    <w:rsid w:val="000521D8"/>
    <w:rsid w:val="000521E0"/>
    <w:rsid w:val="00052210"/>
    <w:rsid w:val="0005223F"/>
    <w:rsid w:val="000523DE"/>
    <w:rsid w:val="00052655"/>
    <w:rsid w:val="0005266D"/>
    <w:rsid w:val="00052883"/>
    <w:rsid w:val="0005293C"/>
    <w:rsid w:val="00052BD8"/>
    <w:rsid w:val="00052C59"/>
    <w:rsid w:val="00052CFB"/>
    <w:rsid w:val="00052EC5"/>
    <w:rsid w:val="00053058"/>
    <w:rsid w:val="0005326D"/>
    <w:rsid w:val="00053347"/>
    <w:rsid w:val="00053488"/>
    <w:rsid w:val="000534D3"/>
    <w:rsid w:val="000534DC"/>
    <w:rsid w:val="0005372F"/>
    <w:rsid w:val="0005376E"/>
    <w:rsid w:val="00053788"/>
    <w:rsid w:val="000539C3"/>
    <w:rsid w:val="00053A5D"/>
    <w:rsid w:val="00053AD1"/>
    <w:rsid w:val="00053B2C"/>
    <w:rsid w:val="00053BBE"/>
    <w:rsid w:val="00053DA0"/>
    <w:rsid w:val="00053FE8"/>
    <w:rsid w:val="00053FFD"/>
    <w:rsid w:val="00054005"/>
    <w:rsid w:val="0005421D"/>
    <w:rsid w:val="00054361"/>
    <w:rsid w:val="000546D4"/>
    <w:rsid w:val="00054760"/>
    <w:rsid w:val="000547AE"/>
    <w:rsid w:val="00054908"/>
    <w:rsid w:val="000549A6"/>
    <w:rsid w:val="00054A50"/>
    <w:rsid w:val="00054AAC"/>
    <w:rsid w:val="00054AD9"/>
    <w:rsid w:val="00054B56"/>
    <w:rsid w:val="00054B60"/>
    <w:rsid w:val="00054E15"/>
    <w:rsid w:val="00054E69"/>
    <w:rsid w:val="00055497"/>
    <w:rsid w:val="000555B4"/>
    <w:rsid w:val="00055726"/>
    <w:rsid w:val="00055867"/>
    <w:rsid w:val="000559EA"/>
    <w:rsid w:val="00055A4C"/>
    <w:rsid w:val="00055ABE"/>
    <w:rsid w:val="00055D02"/>
    <w:rsid w:val="00055D83"/>
    <w:rsid w:val="00056070"/>
    <w:rsid w:val="000560A4"/>
    <w:rsid w:val="00056268"/>
    <w:rsid w:val="000562A3"/>
    <w:rsid w:val="000568AB"/>
    <w:rsid w:val="0005696A"/>
    <w:rsid w:val="000569A4"/>
    <w:rsid w:val="000569BA"/>
    <w:rsid w:val="00056A01"/>
    <w:rsid w:val="00056B32"/>
    <w:rsid w:val="00056B73"/>
    <w:rsid w:val="00056BC9"/>
    <w:rsid w:val="00056C6A"/>
    <w:rsid w:val="00056DD4"/>
    <w:rsid w:val="00056F22"/>
    <w:rsid w:val="000570F5"/>
    <w:rsid w:val="00057227"/>
    <w:rsid w:val="000572A7"/>
    <w:rsid w:val="00057357"/>
    <w:rsid w:val="00057407"/>
    <w:rsid w:val="0005742E"/>
    <w:rsid w:val="00057707"/>
    <w:rsid w:val="000578A8"/>
    <w:rsid w:val="00057A1E"/>
    <w:rsid w:val="00057B31"/>
    <w:rsid w:val="00057B9A"/>
    <w:rsid w:val="00057C5C"/>
    <w:rsid w:val="00057CBA"/>
    <w:rsid w:val="00057D0C"/>
    <w:rsid w:val="0006005A"/>
    <w:rsid w:val="000600B4"/>
    <w:rsid w:val="000603A6"/>
    <w:rsid w:val="000603F0"/>
    <w:rsid w:val="000604FC"/>
    <w:rsid w:val="00060643"/>
    <w:rsid w:val="000606CF"/>
    <w:rsid w:val="00060860"/>
    <w:rsid w:val="0006094A"/>
    <w:rsid w:val="000609EB"/>
    <w:rsid w:val="00060A99"/>
    <w:rsid w:val="00060C2A"/>
    <w:rsid w:val="00060CA3"/>
    <w:rsid w:val="00060D0F"/>
    <w:rsid w:val="00060F76"/>
    <w:rsid w:val="00061006"/>
    <w:rsid w:val="0006101A"/>
    <w:rsid w:val="000610C0"/>
    <w:rsid w:val="00061243"/>
    <w:rsid w:val="0006144C"/>
    <w:rsid w:val="000618F6"/>
    <w:rsid w:val="000619B3"/>
    <w:rsid w:val="00061AC4"/>
    <w:rsid w:val="00061AF7"/>
    <w:rsid w:val="00061B03"/>
    <w:rsid w:val="00061CAA"/>
    <w:rsid w:val="00061D50"/>
    <w:rsid w:val="00061DC1"/>
    <w:rsid w:val="000623A6"/>
    <w:rsid w:val="00062497"/>
    <w:rsid w:val="000625DB"/>
    <w:rsid w:val="000625EA"/>
    <w:rsid w:val="000626F6"/>
    <w:rsid w:val="00062867"/>
    <w:rsid w:val="00062AA4"/>
    <w:rsid w:val="00062B26"/>
    <w:rsid w:val="00062BFC"/>
    <w:rsid w:val="00062CAC"/>
    <w:rsid w:val="00062ED5"/>
    <w:rsid w:val="00063088"/>
    <w:rsid w:val="000631FD"/>
    <w:rsid w:val="00063302"/>
    <w:rsid w:val="0006330D"/>
    <w:rsid w:val="00063378"/>
    <w:rsid w:val="000634B2"/>
    <w:rsid w:val="000634CC"/>
    <w:rsid w:val="00063711"/>
    <w:rsid w:val="00063717"/>
    <w:rsid w:val="00063775"/>
    <w:rsid w:val="00063AA3"/>
    <w:rsid w:val="00063D44"/>
    <w:rsid w:val="00063E6E"/>
    <w:rsid w:val="00063EC3"/>
    <w:rsid w:val="00063F3B"/>
    <w:rsid w:val="00063F9F"/>
    <w:rsid w:val="00064122"/>
    <w:rsid w:val="000642DC"/>
    <w:rsid w:val="000644C1"/>
    <w:rsid w:val="000644FC"/>
    <w:rsid w:val="000645D7"/>
    <w:rsid w:val="000646BF"/>
    <w:rsid w:val="00064741"/>
    <w:rsid w:val="000647B9"/>
    <w:rsid w:val="0006485D"/>
    <w:rsid w:val="00064889"/>
    <w:rsid w:val="00064A44"/>
    <w:rsid w:val="00064D92"/>
    <w:rsid w:val="00064D9C"/>
    <w:rsid w:val="000650E1"/>
    <w:rsid w:val="0006517D"/>
    <w:rsid w:val="000651FD"/>
    <w:rsid w:val="00065235"/>
    <w:rsid w:val="000652A0"/>
    <w:rsid w:val="000653C3"/>
    <w:rsid w:val="000653EF"/>
    <w:rsid w:val="0006542B"/>
    <w:rsid w:val="00065473"/>
    <w:rsid w:val="00065488"/>
    <w:rsid w:val="00065497"/>
    <w:rsid w:val="00065544"/>
    <w:rsid w:val="00065669"/>
    <w:rsid w:val="00065789"/>
    <w:rsid w:val="000657BB"/>
    <w:rsid w:val="0006587B"/>
    <w:rsid w:val="000658D9"/>
    <w:rsid w:val="00065CA8"/>
    <w:rsid w:val="00065FB6"/>
    <w:rsid w:val="0006627E"/>
    <w:rsid w:val="000664DD"/>
    <w:rsid w:val="00066521"/>
    <w:rsid w:val="0006658D"/>
    <w:rsid w:val="000665D0"/>
    <w:rsid w:val="00066684"/>
    <w:rsid w:val="00066731"/>
    <w:rsid w:val="00066C41"/>
    <w:rsid w:val="00066E7F"/>
    <w:rsid w:val="000670B5"/>
    <w:rsid w:val="000671E8"/>
    <w:rsid w:val="000671F1"/>
    <w:rsid w:val="000672E5"/>
    <w:rsid w:val="00067379"/>
    <w:rsid w:val="000675C3"/>
    <w:rsid w:val="000675FF"/>
    <w:rsid w:val="000677B7"/>
    <w:rsid w:val="000677F2"/>
    <w:rsid w:val="00067975"/>
    <w:rsid w:val="00067A2A"/>
    <w:rsid w:val="00067C03"/>
    <w:rsid w:val="00067E16"/>
    <w:rsid w:val="00067EC6"/>
    <w:rsid w:val="00070112"/>
    <w:rsid w:val="000701A8"/>
    <w:rsid w:val="000702DF"/>
    <w:rsid w:val="000702FB"/>
    <w:rsid w:val="00070341"/>
    <w:rsid w:val="000704E6"/>
    <w:rsid w:val="000706E9"/>
    <w:rsid w:val="000707D8"/>
    <w:rsid w:val="00070870"/>
    <w:rsid w:val="00070A33"/>
    <w:rsid w:val="00070CEA"/>
    <w:rsid w:val="00070E30"/>
    <w:rsid w:val="00070FC5"/>
    <w:rsid w:val="00071010"/>
    <w:rsid w:val="00071166"/>
    <w:rsid w:val="000714F8"/>
    <w:rsid w:val="0007160C"/>
    <w:rsid w:val="0007168A"/>
    <w:rsid w:val="0007188F"/>
    <w:rsid w:val="0007191F"/>
    <w:rsid w:val="00071ACC"/>
    <w:rsid w:val="00071B31"/>
    <w:rsid w:val="00071B50"/>
    <w:rsid w:val="00071CDA"/>
    <w:rsid w:val="00071E69"/>
    <w:rsid w:val="00071EE2"/>
    <w:rsid w:val="00072126"/>
    <w:rsid w:val="000722B7"/>
    <w:rsid w:val="00072412"/>
    <w:rsid w:val="00072515"/>
    <w:rsid w:val="00072592"/>
    <w:rsid w:val="000726A5"/>
    <w:rsid w:val="000726B5"/>
    <w:rsid w:val="00072814"/>
    <w:rsid w:val="00072891"/>
    <w:rsid w:val="000729D4"/>
    <w:rsid w:val="000729EA"/>
    <w:rsid w:val="00072B39"/>
    <w:rsid w:val="00072D68"/>
    <w:rsid w:val="00072ED3"/>
    <w:rsid w:val="00073120"/>
    <w:rsid w:val="00073150"/>
    <w:rsid w:val="00073324"/>
    <w:rsid w:val="0007338C"/>
    <w:rsid w:val="000733CC"/>
    <w:rsid w:val="00073498"/>
    <w:rsid w:val="000734FD"/>
    <w:rsid w:val="00073526"/>
    <w:rsid w:val="00073559"/>
    <w:rsid w:val="000735A9"/>
    <w:rsid w:val="000736A8"/>
    <w:rsid w:val="0007396B"/>
    <w:rsid w:val="00073A88"/>
    <w:rsid w:val="00073AC2"/>
    <w:rsid w:val="00073BB5"/>
    <w:rsid w:val="00073BFD"/>
    <w:rsid w:val="00073D21"/>
    <w:rsid w:val="0007412A"/>
    <w:rsid w:val="0007414D"/>
    <w:rsid w:val="0007436D"/>
    <w:rsid w:val="000744FC"/>
    <w:rsid w:val="0007480D"/>
    <w:rsid w:val="0007487F"/>
    <w:rsid w:val="000748FA"/>
    <w:rsid w:val="000749C0"/>
    <w:rsid w:val="00074C0C"/>
    <w:rsid w:val="00074D8A"/>
    <w:rsid w:val="00075161"/>
    <w:rsid w:val="00075263"/>
    <w:rsid w:val="000753E3"/>
    <w:rsid w:val="00075452"/>
    <w:rsid w:val="00075498"/>
    <w:rsid w:val="00075589"/>
    <w:rsid w:val="000755FF"/>
    <w:rsid w:val="000758F3"/>
    <w:rsid w:val="00075A17"/>
    <w:rsid w:val="00075B3F"/>
    <w:rsid w:val="00075B99"/>
    <w:rsid w:val="00075BDC"/>
    <w:rsid w:val="00075C1C"/>
    <w:rsid w:val="00075C89"/>
    <w:rsid w:val="00075EF0"/>
    <w:rsid w:val="00076230"/>
    <w:rsid w:val="00076278"/>
    <w:rsid w:val="00076507"/>
    <w:rsid w:val="0007672E"/>
    <w:rsid w:val="000767E0"/>
    <w:rsid w:val="00076814"/>
    <w:rsid w:val="000769A2"/>
    <w:rsid w:val="00076A1E"/>
    <w:rsid w:val="00076A9B"/>
    <w:rsid w:val="00076C36"/>
    <w:rsid w:val="00076C58"/>
    <w:rsid w:val="00076C6E"/>
    <w:rsid w:val="00076DC6"/>
    <w:rsid w:val="00076DE0"/>
    <w:rsid w:val="00076E43"/>
    <w:rsid w:val="00077056"/>
    <w:rsid w:val="000773E6"/>
    <w:rsid w:val="00077534"/>
    <w:rsid w:val="00077724"/>
    <w:rsid w:val="000778CD"/>
    <w:rsid w:val="000778E0"/>
    <w:rsid w:val="00077952"/>
    <w:rsid w:val="0007799B"/>
    <w:rsid w:val="00077AFE"/>
    <w:rsid w:val="00077B32"/>
    <w:rsid w:val="00077F80"/>
    <w:rsid w:val="00077FA6"/>
    <w:rsid w:val="000801C6"/>
    <w:rsid w:val="0008029F"/>
    <w:rsid w:val="000803FE"/>
    <w:rsid w:val="00080428"/>
    <w:rsid w:val="000804FE"/>
    <w:rsid w:val="00080794"/>
    <w:rsid w:val="00080B41"/>
    <w:rsid w:val="00080C76"/>
    <w:rsid w:val="00080E41"/>
    <w:rsid w:val="00080E7B"/>
    <w:rsid w:val="00081020"/>
    <w:rsid w:val="0008107B"/>
    <w:rsid w:val="000811E2"/>
    <w:rsid w:val="0008123A"/>
    <w:rsid w:val="00081319"/>
    <w:rsid w:val="00081455"/>
    <w:rsid w:val="00081809"/>
    <w:rsid w:val="00081B03"/>
    <w:rsid w:val="00081C4C"/>
    <w:rsid w:val="00081E08"/>
    <w:rsid w:val="00081E40"/>
    <w:rsid w:val="00081F87"/>
    <w:rsid w:val="00081FC7"/>
    <w:rsid w:val="00081FEF"/>
    <w:rsid w:val="00082049"/>
    <w:rsid w:val="00082097"/>
    <w:rsid w:val="000820CD"/>
    <w:rsid w:val="00082185"/>
    <w:rsid w:val="000822B5"/>
    <w:rsid w:val="000822EB"/>
    <w:rsid w:val="00082360"/>
    <w:rsid w:val="000823AA"/>
    <w:rsid w:val="000823D4"/>
    <w:rsid w:val="00082404"/>
    <w:rsid w:val="00082570"/>
    <w:rsid w:val="00082715"/>
    <w:rsid w:val="0008278E"/>
    <w:rsid w:val="00082811"/>
    <w:rsid w:val="00082BFF"/>
    <w:rsid w:val="00082C48"/>
    <w:rsid w:val="00082D46"/>
    <w:rsid w:val="00082D84"/>
    <w:rsid w:val="0008325B"/>
    <w:rsid w:val="00083261"/>
    <w:rsid w:val="00083306"/>
    <w:rsid w:val="00083614"/>
    <w:rsid w:val="00083679"/>
    <w:rsid w:val="00083728"/>
    <w:rsid w:val="0008374B"/>
    <w:rsid w:val="0008399C"/>
    <w:rsid w:val="000839B7"/>
    <w:rsid w:val="00083ACE"/>
    <w:rsid w:val="00083B94"/>
    <w:rsid w:val="00083BA8"/>
    <w:rsid w:val="00083BCC"/>
    <w:rsid w:val="00083D1F"/>
    <w:rsid w:val="00083E75"/>
    <w:rsid w:val="00083F29"/>
    <w:rsid w:val="00083F31"/>
    <w:rsid w:val="00083F57"/>
    <w:rsid w:val="00084049"/>
    <w:rsid w:val="00084141"/>
    <w:rsid w:val="00084209"/>
    <w:rsid w:val="000843D8"/>
    <w:rsid w:val="00084681"/>
    <w:rsid w:val="000849D0"/>
    <w:rsid w:val="000849EC"/>
    <w:rsid w:val="00084BAD"/>
    <w:rsid w:val="00084C85"/>
    <w:rsid w:val="0008505F"/>
    <w:rsid w:val="00085088"/>
    <w:rsid w:val="000851BF"/>
    <w:rsid w:val="0008527B"/>
    <w:rsid w:val="000852A2"/>
    <w:rsid w:val="00085531"/>
    <w:rsid w:val="000855A5"/>
    <w:rsid w:val="000856A2"/>
    <w:rsid w:val="00085CA2"/>
    <w:rsid w:val="00085D03"/>
    <w:rsid w:val="00085FFE"/>
    <w:rsid w:val="00086370"/>
    <w:rsid w:val="000864AE"/>
    <w:rsid w:val="0008667B"/>
    <w:rsid w:val="00086820"/>
    <w:rsid w:val="00086946"/>
    <w:rsid w:val="00086D37"/>
    <w:rsid w:val="00086E72"/>
    <w:rsid w:val="00086EDB"/>
    <w:rsid w:val="00086FE8"/>
    <w:rsid w:val="00087342"/>
    <w:rsid w:val="000873F1"/>
    <w:rsid w:val="00087488"/>
    <w:rsid w:val="000874DE"/>
    <w:rsid w:val="00087543"/>
    <w:rsid w:val="0008754E"/>
    <w:rsid w:val="00087ACF"/>
    <w:rsid w:val="00087D1F"/>
    <w:rsid w:val="00087D3E"/>
    <w:rsid w:val="00087DC2"/>
    <w:rsid w:val="00087E8C"/>
    <w:rsid w:val="00090037"/>
    <w:rsid w:val="000900C5"/>
    <w:rsid w:val="00090171"/>
    <w:rsid w:val="0009017C"/>
    <w:rsid w:val="0009028B"/>
    <w:rsid w:val="000902B3"/>
    <w:rsid w:val="000903E4"/>
    <w:rsid w:val="000907BD"/>
    <w:rsid w:val="000907D9"/>
    <w:rsid w:val="00090825"/>
    <w:rsid w:val="0009086C"/>
    <w:rsid w:val="00090948"/>
    <w:rsid w:val="00090C7A"/>
    <w:rsid w:val="00090F00"/>
    <w:rsid w:val="00090F0A"/>
    <w:rsid w:val="00090F84"/>
    <w:rsid w:val="0009116E"/>
    <w:rsid w:val="000912B9"/>
    <w:rsid w:val="0009148F"/>
    <w:rsid w:val="00091509"/>
    <w:rsid w:val="000915A8"/>
    <w:rsid w:val="0009176D"/>
    <w:rsid w:val="000917B0"/>
    <w:rsid w:val="000917ED"/>
    <w:rsid w:val="00091A1C"/>
    <w:rsid w:val="00091A27"/>
    <w:rsid w:val="00091AE4"/>
    <w:rsid w:val="00091B78"/>
    <w:rsid w:val="00091C48"/>
    <w:rsid w:val="00091CE8"/>
    <w:rsid w:val="00091DCD"/>
    <w:rsid w:val="00091FC6"/>
    <w:rsid w:val="0009215D"/>
    <w:rsid w:val="00092202"/>
    <w:rsid w:val="0009239E"/>
    <w:rsid w:val="000923A1"/>
    <w:rsid w:val="000923FA"/>
    <w:rsid w:val="0009241D"/>
    <w:rsid w:val="0009276F"/>
    <w:rsid w:val="000929E1"/>
    <w:rsid w:val="000930FA"/>
    <w:rsid w:val="000931A8"/>
    <w:rsid w:val="00093291"/>
    <w:rsid w:val="000932BB"/>
    <w:rsid w:val="0009334D"/>
    <w:rsid w:val="0009336D"/>
    <w:rsid w:val="0009349A"/>
    <w:rsid w:val="00093703"/>
    <w:rsid w:val="00093714"/>
    <w:rsid w:val="0009384C"/>
    <w:rsid w:val="0009394E"/>
    <w:rsid w:val="00093A9C"/>
    <w:rsid w:val="00093C66"/>
    <w:rsid w:val="00093FA7"/>
    <w:rsid w:val="000940F4"/>
    <w:rsid w:val="000941A5"/>
    <w:rsid w:val="00094255"/>
    <w:rsid w:val="00094284"/>
    <w:rsid w:val="000943D8"/>
    <w:rsid w:val="00094561"/>
    <w:rsid w:val="0009479A"/>
    <w:rsid w:val="000947EF"/>
    <w:rsid w:val="0009488C"/>
    <w:rsid w:val="00094973"/>
    <w:rsid w:val="00094AEA"/>
    <w:rsid w:val="00094BED"/>
    <w:rsid w:val="00094C64"/>
    <w:rsid w:val="00094D04"/>
    <w:rsid w:val="00094EDF"/>
    <w:rsid w:val="00095267"/>
    <w:rsid w:val="000953DA"/>
    <w:rsid w:val="00095456"/>
    <w:rsid w:val="00095485"/>
    <w:rsid w:val="00095595"/>
    <w:rsid w:val="000955C0"/>
    <w:rsid w:val="000957DE"/>
    <w:rsid w:val="0009586A"/>
    <w:rsid w:val="000958F1"/>
    <w:rsid w:val="00095B8F"/>
    <w:rsid w:val="00095D0C"/>
    <w:rsid w:val="00095E03"/>
    <w:rsid w:val="00095E8D"/>
    <w:rsid w:val="00095EAC"/>
    <w:rsid w:val="00095F59"/>
    <w:rsid w:val="00095FC5"/>
    <w:rsid w:val="00096011"/>
    <w:rsid w:val="000960D7"/>
    <w:rsid w:val="00096343"/>
    <w:rsid w:val="000963BC"/>
    <w:rsid w:val="00096580"/>
    <w:rsid w:val="000965BA"/>
    <w:rsid w:val="00096775"/>
    <w:rsid w:val="0009677A"/>
    <w:rsid w:val="00096781"/>
    <w:rsid w:val="00096915"/>
    <w:rsid w:val="00096AA1"/>
    <w:rsid w:val="00096C6F"/>
    <w:rsid w:val="00096CE8"/>
    <w:rsid w:val="00096D58"/>
    <w:rsid w:val="00096D59"/>
    <w:rsid w:val="00096D6F"/>
    <w:rsid w:val="00096D78"/>
    <w:rsid w:val="00096EC3"/>
    <w:rsid w:val="00096F2E"/>
    <w:rsid w:val="0009727A"/>
    <w:rsid w:val="000973F9"/>
    <w:rsid w:val="000974CD"/>
    <w:rsid w:val="000977A8"/>
    <w:rsid w:val="000977C8"/>
    <w:rsid w:val="00097864"/>
    <w:rsid w:val="000978EB"/>
    <w:rsid w:val="00097971"/>
    <w:rsid w:val="00097A84"/>
    <w:rsid w:val="00097B4C"/>
    <w:rsid w:val="00097B5D"/>
    <w:rsid w:val="00097C0F"/>
    <w:rsid w:val="00097D8C"/>
    <w:rsid w:val="00097DA0"/>
    <w:rsid w:val="00097E59"/>
    <w:rsid w:val="00097F1F"/>
    <w:rsid w:val="000A0048"/>
    <w:rsid w:val="000A01A0"/>
    <w:rsid w:val="000A0244"/>
    <w:rsid w:val="000A06BE"/>
    <w:rsid w:val="000A0726"/>
    <w:rsid w:val="000A083C"/>
    <w:rsid w:val="000A08AA"/>
    <w:rsid w:val="000A09DD"/>
    <w:rsid w:val="000A09DE"/>
    <w:rsid w:val="000A0A31"/>
    <w:rsid w:val="000A0A3D"/>
    <w:rsid w:val="000A0A72"/>
    <w:rsid w:val="000A0C33"/>
    <w:rsid w:val="000A0EBB"/>
    <w:rsid w:val="000A1135"/>
    <w:rsid w:val="000A1273"/>
    <w:rsid w:val="000A14CC"/>
    <w:rsid w:val="000A14DF"/>
    <w:rsid w:val="000A176A"/>
    <w:rsid w:val="000A1952"/>
    <w:rsid w:val="000A1A41"/>
    <w:rsid w:val="000A1BBA"/>
    <w:rsid w:val="000A1BBC"/>
    <w:rsid w:val="000A1D7E"/>
    <w:rsid w:val="000A1E62"/>
    <w:rsid w:val="000A2008"/>
    <w:rsid w:val="000A206D"/>
    <w:rsid w:val="000A2214"/>
    <w:rsid w:val="000A24A5"/>
    <w:rsid w:val="000A2586"/>
    <w:rsid w:val="000A26B1"/>
    <w:rsid w:val="000A2B96"/>
    <w:rsid w:val="000A2CB8"/>
    <w:rsid w:val="000A2E0C"/>
    <w:rsid w:val="000A2E67"/>
    <w:rsid w:val="000A2F0E"/>
    <w:rsid w:val="000A2F2B"/>
    <w:rsid w:val="000A2F94"/>
    <w:rsid w:val="000A3022"/>
    <w:rsid w:val="000A304F"/>
    <w:rsid w:val="000A30C5"/>
    <w:rsid w:val="000A3550"/>
    <w:rsid w:val="000A366C"/>
    <w:rsid w:val="000A3744"/>
    <w:rsid w:val="000A3A79"/>
    <w:rsid w:val="000A3C52"/>
    <w:rsid w:val="000A3D65"/>
    <w:rsid w:val="000A3DA2"/>
    <w:rsid w:val="000A3E53"/>
    <w:rsid w:val="000A3F27"/>
    <w:rsid w:val="000A3F58"/>
    <w:rsid w:val="000A402E"/>
    <w:rsid w:val="000A4052"/>
    <w:rsid w:val="000A40DC"/>
    <w:rsid w:val="000A41D6"/>
    <w:rsid w:val="000A4201"/>
    <w:rsid w:val="000A42A7"/>
    <w:rsid w:val="000A42FB"/>
    <w:rsid w:val="000A4332"/>
    <w:rsid w:val="000A4381"/>
    <w:rsid w:val="000A44C9"/>
    <w:rsid w:val="000A48A8"/>
    <w:rsid w:val="000A4A1B"/>
    <w:rsid w:val="000A4A48"/>
    <w:rsid w:val="000A4A8C"/>
    <w:rsid w:val="000A4ADE"/>
    <w:rsid w:val="000A4B3F"/>
    <w:rsid w:val="000A4B74"/>
    <w:rsid w:val="000A4B75"/>
    <w:rsid w:val="000A4B9A"/>
    <w:rsid w:val="000A4DBC"/>
    <w:rsid w:val="000A4E3D"/>
    <w:rsid w:val="000A4E92"/>
    <w:rsid w:val="000A4F75"/>
    <w:rsid w:val="000A5006"/>
    <w:rsid w:val="000A504D"/>
    <w:rsid w:val="000A529C"/>
    <w:rsid w:val="000A5385"/>
    <w:rsid w:val="000A54EA"/>
    <w:rsid w:val="000A55B3"/>
    <w:rsid w:val="000A55BE"/>
    <w:rsid w:val="000A585E"/>
    <w:rsid w:val="000A58B0"/>
    <w:rsid w:val="000A5EA7"/>
    <w:rsid w:val="000A5EC3"/>
    <w:rsid w:val="000A5EEE"/>
    <w:rsid w:val="000A6059"/>
    <w:rsid w:val="000A60CC"/>
    <w:rsid w:val="000A6242"/>
    <w:rsid w:val="000A6249"/>
    <w:rsid w:val="000A62AA"/>
    <w:rsid w:val="000A63A6"/>
    <w:rsid w:val="000A63B2"/>
    <w:rsid w:val="000A6428"/>
    <w:rsid w:val="000A65C0"/>
    <w:rsid w:val="000A6617"/>
    <w:rsid w:val="000A6649"/>
    <w:rsid w:val="000A67A4"/>
    <w:rsid w:val="000A67D4"/>
    <w:rsid w:val="000A683E"/>
    <w:rsid w:val="000A6851"/>
    <w:rsid w:val="000A6943"/>
    <w:rsid w:val="000A6999"/>
    <w:rsid w:val="000A6B8C"/>
    <w:rsid w:val="000A6C64"/>
    <w:rsid w:val="000A6CA7"/>
    <w:rsid w:val="000A6CAE"/>
    <w:rsid w:val="000A6D2D"/>
    <w:rsid w:val="000A6D48"/>
    <w:rsid w:val="000A6F53"/>
    <w:rsid w:val="000A6F81"/>
    <w:rsid w:val="000A71D3"/>
    <w:rsid w:val="000A767F"/>
    <w:rsid w:val="000A7879"/>
    <w:rsid w:val="000A795D"/>
    <w:rsid w:val="000A79B8"/>
    <w:rsid w:val="000A7B44"/>
    <w:rsid w:val="000A7C01"/>
    <w:rsid w:val="000A7DBC"/>
    <w:rsid w:val="000A7E3B"/>
    <w:rsid w:val="000B0133"/>
    <w:rsid w:val="000B033A"/>
    <w:rsid w:val="000B041F"/>
    <w:rsid w:val="000B0438"/>
    <w:rsid w:val="000B0473"/>
    <w:rsid w:val="000B0670"/>
    <w:rsid w:val="000B0678"/>
    <w:rsid w:val="000B081A"/>
    <w:rsid w:val="000B0925"/>
    <w:rsid w:val="000B09D9"/>
    <w:rsid w:val="000B0BE7"/>
    <w:rsid w:val="000B1022"/>
    <w:rsid w:val="000B11E3"/>
    <w:rsid w:val="000B127D"/>
    <w:rsid w:val="000B1318"/>
    <w:rsid w:val="000B13C0"/>
    <w:rsid w:val="000B1490"/>
    <w:rsid w:val="000B15AC"/>
    <w:rsid w:val="000B1608"/>
    <w:rsid w:val="000B181F"/>
    <w:rsid w:val="000B1C8C"/>
    <w:rsid w:val="000B1F22"/>
    <w:rsid w:val="000B2042"/>
    <w:rsid w:val="000B2325"/>
    <w:rsid w:val="000B24A7"/>
    <w:rsid w:val="000B2637"/>
    <w:rsid w:val="000B2694"/>
    <w:rsid w:val="000B26AF"/>
    <w:rsid w:val="000B277A"/>
    <w:rsid w:val="000B27C1"/>
    <w:rsid w:val="000B281B"/>
    <w:rsid w:val="000B28B2"/>
    <w:rsid w:val="000B28C2"/>
    <w:rsid w:val="000B28CA"/>
    <w:rsid w:val="000B29A1"/>
    <w:rsid w:val="000B29AA"/>
    <w:rsid w:val="000B29B9"/>
    <w:rsid w:val="000B2ABE"/>
    <w:rsid w:val="000B2BAB"/>
    <w:rsid w:val="000B2D7E"/>
    <w:rsid w:val="000B2E24"/>
    <w:rsid w:val="000B2E7C"/>
    <w:rsid w:val="000B2E8C"/>
    <w:rsid w:val="000B2EC6"/>
    <w:rsid w:val="000B2F64"/>
    <w:rsid w:val="000B312B"/>
    <w:rsid w:val="000B31AA"/>
    <w:rsid w:val="000B3203"/>
    <w:rsid w:val="000B3286"/>
    <w:rsid w:val="000B33D0"/>
    <w:rsid w:val="000B3489"/>
    <w:rsid w:val="000B3657"/>
    <w:rsid w:val="000B375B"/>
    <w:rsid w:val="000B3822"/>
    <w:rsid w:val="000B3856"/>
    <w:rsid w:val="000B39E3"/>
    <w:rsid w:val="000B3B22"/>
    <w:rsid w:val="000B3E28"/>
    <w:rsid w:val="000B3EDA"/>
    <w:rsid w:val="000B415E"/>
    <w:rsid w:val="000B4192"/>
    <w:rsid w:val="000B43CF"/>
    <w:rsid w:val="000B43E2"/>
    <w:rsid w:val="000B44A6"/>
    <w:rsid w:val="000B453E"/>
    <w:rsid w:val="000B47B6"/>
    <w:rsid w:val="000B47E6"/>
    <w:rsid w:val="000B4879"/>
    <w:rsid w:val="000B4A3C"/>
    <w:rsid w:val="000B4C06"/>
    <w:rsid w:val="000B4E27"/>
    <w:rsid w:val="000B4E95"/>
    <w:rsid w:val="000B4F3A"/>
    <w:rsid w:val="000B4FEB"/>
    <w:rsid w:val="000B50B3"/>
    <w:rsid w:val="000B5139"/>
    <w:rsid w:val="000B51B2"/>
    <w:rsid w:val="000B52B8"/>
    <w:rsid w:val="000B52EC"/>
    <w:rsid w:val="000B5338"/>
    <w:rsid w:val="000B534E"/>
    <w:rsid w:val="000B535D"/>
    <w:rsid w:val="000B5399"/>
    <w:rsid w:val="000B5440"/>
    <w:rsid w:val="000B5524"/>
    <w:rsid w:val="000B5744"/>
    <w:rsid w:val="000B5935"/>
    <w:rsid w:val="000B5B4A"/>
    <w:rsid w:val="000B5F20"/>
    <w:rsid w:val="000B5F28"/>
    <w:rsid w:val="000B5F68"/>
    <w:rsid w:val="000B636F"/>
    <w:rsid w:val="000B6587"/>
    <w:rsid w:val="000B66BA"/>
    <w:rsid w:val="000B68CD"/>
    <w:rsid w:val="000B6A24"/>
    <w:rsid w:val="000B6B03"/>
    <w:rsid w:val="000B6B3D"/>
    <w:rsid w:val="000B6C42"/>
    <w:rsid w:val="000B6C4E"/>
    <w:rsid w:val="000B6D8F"/>
    <w:rsid w:val="000B6F7D"/>
    <w:rsid w:val="000B700F"/>
    <w:rsid w:val="000B705D"/>
    <w:rsid w:val="000B70AF"/>
    <w:rsid w:val="000B737F"/>
    <w:rsid w:val="000B74BE"/>
    <w:rsid w:val="000B75C6"/>
    <w:rsid w:val="000B7889"/>
    <w:rsid w:val="000B7932"/>
    <w:rsid w:val="000B79A7"/>
    <w:rsid w:val="000B79E5"/>
    <w:rsid w:val="000B7A45"/>
    <w:rsid w:val="000B7D92"/>
    <w:rsid w:val="000B7E7B"/>
    <w:rsid w:val="000B7FB6"/>
    <w:rsid w:val="000C027E"/>
    <w:rsid w:val="000C055B"/>
    <w:rsid w:val="000C059B"/>
    <w:rsid w:val="000C06A5"/>
    <w:rsid w:val="000C0792"/>
    <w:rsid w:val="000C097C"/>
    <w:rsid w:val="000C0D5E"/>
    <w:rsid w:val="000C0D94"/>
    <w:rsid w:val="000C0D98"/>
    <w:rsid w:val="000C0DCA"/>
    <w:rsid w:val="000C0FED"/>
    <w:rsid w:val="000C146F"/>
    <w:rsid w:val="000C152A"/>
    <w:rsid w:val="000C1657"/>
    <w:rsid w:val="000C1881"/>
    <w:rsid w:val="000C18BE"/>
    <w:rsid w:val="000C1961"/>
    <w:rsid w:val="000C19C1"/>
    <w:rsid w:val="000C1A40"/>
    <w:rsid w:val="000C1BA0"/>
    <w:rsid w:val="000C1BBD"/>
    <w:rsid w:val="000C1CA9"/>
    <w:rsid w:val="000C1D27"/>
    <w:rsid w:val="000C1EDB"/>
    <w:rsid w:val="000C1FBF"/>
    <w:rsid w:val="000C1FD8"/>
    <w:rsid w:val="000C229D"/>
    <w:rsid w:val="000C2384"/>
    <w:rsid w:val="000C2388"/>
    <w:rsid w:val="000C23FC"/>
    <w:rsid w:val="000C2423"/>
    <w:rsid w:val="000C2471"/>
    <w:rsid w:val="000C248A"/>
    <w:rsid w:val="000C2495"/>
    <w:rsid w:val="000C2A41"/>
    <w:rsid w:val="000C2A99"/>
    <w:rsid w:val="000C2B41"/>
    <w:rsid w:val="000C2C76"/>
    <w:rsid w:val="000C2D81"/>
    <w:rsid w:val="000C2E63"/>
    <w:rsid w:val="000C2E8E"/>
    <w:rsid w:val="000C2F26"/>
    <w:rsid w:val="000C2F91"/>
    <w:rsid w:val="000C30E6"/>
    <w:rsid w:val="000C3102"/>
    <w:rsid w:val="000C31E7"/>
    <w:rsid w:val="000C33E1"/>
    <w:rsid w:val="000C3600"/>
    <w:rsid w:val="000C3677"/>
    <w:rsid w:val="000C371B"/>
    <w:rsid w:val="000C3746"/>
    <w:rsid w:val="000C3784"/>
    <w:rsid w:val="000C37F3"/>
    <w:rsid w:val="000C387D"/>
    <w:rsid w:val="000C3A0A"/>
    <w:rsid w:val="000C3A13"/>
    <w:rsid w:val="000C3A73"/>
    <w:rsid w:val="000C3A75"/>
    <w:rsid w:val="000C3AE9"/>
    <w:rsid w:val="000C3EE7"/>
    <w:rsid w:val="000C3FB5"/>
    <w:rsid w:val="000C4165"/>
    <w:rsid w:val="000C444A"/>
    <w:rsid w:val="000C457A"/>
    <w:rsid w:val="000C45EC"/>
    <w:rsid w:val="000C4632"/>
    <w:rsid w:val="000C463A"/>
    <w:rsid w:val="000C4870"/>
    <w:rsid w:val="000C4A34"/>
    <w:rsid w:val="000C4C8D"/>
    <w:rsid w:val="000C4E43"/>
    <w:rsid w:val="000C5027"/>
    <w:rsid w:val="000C521F"/>
    <w:rsid w:val="000C5275"/>
    <w:rsid w:val="000C534A"/>
    <w:rsid w:val="000C5502"/>
    <w:rsid w:val="000C56F6"/>
    <w:rsid w:val="000C5719"/>
    <w:rsid w:val="000C571B"/>
    <w:rsid w:val="000C5785"/>
    <w:rsid w:val="000C59DA"/>
    <w:rsid w:val="000C5A5B"/>
    <w:rsid w:val="000C5B3F"/>
    <w:rsid w:val="000C5B50"/>
    <w:rsid w:val="000C5B6A"/>
    <w:rsid w:val="000C5D04"/>
    <w:rsid w:val="000C5D7F"/>
    <w:rsid w:val="000C5D8B"/>
    <w:rsid w:val="000C5EC8"/>
    <w:rsid w:val="000C6119"/>
    <w:rsid w:val="000C61CC"/>
    <w:rsid w:val="000C6589"/>
    <w:rsid w:val="000C65B6"/>
    <w:rsid w:val="000C6835"/>
    <w:rsid w:val="000C688B"/>
    <w:rsid w:val="000C690B"/>
    <w:rsid w:val="000C697F"/>
    <w:rsid w:val="000C69EA"/>
    <w:rsid w:val="000C69F9"/>
    <w:rsid w:val="000C6B61"/>
    <w:rsid w:val="000C6BB6"/>
    <w:rsid w:val="000C6C8E"/>
    <w:rsid w:val="000C6D03"/>
    <w:rsid w:val="000C6E5F"/>
    <w:rsid w:val="000C70BF"/>
    <w:rsid w:val="000C70E0"/>
    <w:rsid w:val="000C71F4"/>
    <w:rsid w:val="000C72BB"/>
    <w:rsid w:val="000C72C7"/>
    <w:rsid w:val="000C7493"/>
    <w:rsid w:val="000C77BF"/>
    <w:rsid w:val="000C7D1B"/>
    <w:rsid w:val="000C7D59"/>
    <w:rsid w:val="000C7D7A"/>
    <w:rsid w:val="000C7D87"/>
    <w:rsid w:val="000C7E1D"/>
    <w:rsid w:val="000C7E58"/>
    <w:rsid w:val="000C7EA2"/>
    <w:rsid w:val="000C7EB1"/>
    <w:rsid w:val="000C7ECB"/>
    <w:rsid w:val="000C7FC5"/>
    <w:rsid w:val="000D01B7"/>
    <w:rsid w:val="000D0508"/>
    <w:rsid w:val="000D0699"/>
    <w:rsid w:val="000D08CA"/>
    <w:rsid w:val="000D09B7"/>
    <w:rsid w:val="000D0A50"/>
    <w:rsid w:val="000D0C2E"/>
    <w:rsid w:val="000D0C35"/>
    <w:rsid w:val="000D0CDA"/>
    <w:rsid w:val="000D0D46"/>
    <w:rsid w:val="000D0D5D"/>
    <w:rsid w:val="000D0D96"/>
    <w:rsid w:val="000D0DBD"/>
    <w:rsid w:val="000D0FEA"/>
    <w:rsid w:val="000D1163"/>
    <w:rsid w:val="000D11F1"/>
    <w:rsid w:val="000D143B"/>
    <w:rsid w:val="000D1806"/>
    <w:rsid w:val="000D185A"/>
    <w:rsid w:val="000D1911"/>
    <w:rsid w:val="000D1A17"/>
    <w:rsid w:val="000D1A24"/>
    <w:rsid w:val="000D1A32"/>
    <w:rsid w:val="000D1C50"/>
    <w:rsid w:val="000D1FBE"/>
    <w:rsid w:val="000D1FC1"/>
    <w:rsid w:val="000D20AC"/>
    <w:rsid w:val="000D2210"/>
    <w:rsid w:val="000D2286"/>
    <w:rsid w:val="000D242A"/>
    <w:rsid w:val="000D2560"/>
    <w:rsid w:val="000D26FF"/>
    <w:rsid w:val="000D2779"/>
    <w:rsid w:val="000D27AE"/>
    <w:rsid w:val="000D291C"/>
    <w:rsid w:val="000D2B7D"/>
    <w:rsid w:val="000D2BA3"/>
    <w:rsid w:val="000D2C94"/>
    <w:rsid w:val="000D2D98"/>
    <w:rsid w:val="000D2E0F"/>
    <w:rsid w:val="000D3061"/>
    <w:rsid w:val="000D3138"/>
    <w:rsid w:val="000D3158"/>
    <w:rsid w:val="000D31F3"/>
    <w:rsid w:val="000D3292"/>
    <w:rsid w:val="000D330A"/>
    <w:rsid w:val="000D33B5"/>
    <w:rsid w:val="000D34F7"/>
    <w:rsid w:val="000D3709"/>
    <w:rsid w:val="000D3874"/>
    <w:rsid w:val="000D387B"/>
    <w:rsid w:val="000D3928"/>
    <w:rsid w:val="000D3ABF"/>
    <w:rsid w:val="000D3AF2"/>
    <w:rsid w:val="000D3C28"/>
    <w:rsid w:val="000D3D49"/>
    <w:rsid w:val="000D3DA8"/>
    <w:rsid w:val="000D3DC6"/>
    <w:rsid w:val="000D3E9D"/>
    <w:rsid w:val="000D3F7F"/>
    <w:rsid w:val="000D3FB1"/>
    <w:rsid w:val="000D40B8"/>
    <w:rsid w:val="000D43C3"/>
    <w:rsid w:val="000D43DC"/>
    <w:rsid w:val="000D461C"/>
    <w:rsid w:val="000D481A"/>
    <w:rsid w:val="000D4823"/>
    <w:rsid w:val="000D4845"/>
    <w:rsid w:val="000D4AC9"/>
    <w:rsid w:val="000D4D47"/>
    <w:rsid w:val="000D4DD8"/>
    <w:rsid w:val="000D4E53"/>
    <w:rsid w:val="000D4E99"/>
    <w:rsid w:val="000D4F9D"/>
    <w:rsid w:val="000D5090"/>
    <w:rsid w:val="000D50BB"/>
    <w:rsid w:val="000D51CD"/>
    <w:rsid w:val="000D53FB"/>
    <w:rsid w:val="000D5416"/>
    <w:rsid w:val="000D54CC"/>
    <w:rsid w:val="000D56AC"/>
    <w:rsid w:val="000D5864"/>
    <w:rsid w:val="000D5B1C"/>
    <w:rsid w:val="000D5BB6"/>
    <w:rsid w:val="000D5C67"/>
    <w:rsid w:val="000D5D92"/>
    <w:rsid w:val="000D5DC8"/>
    <w:rsid w:val="000D5DCD"/>
    <w:rsid w:val="000D5F5B"/>
    <w:rsid w:val="000D5FCD"/>
    <w:rsid w:val="000D628E"/>
    <w:rsid w:val="000D6321"/>
    <w:rsid w:val="000D632E"/>
    <w:rsid w:val="000D6449"/>
    <w:rsid w:val="000D64A4"/>
    <w:rsid w:val="000D64B4"/>
    <w:rsid w:val="000D64B5"/>
    <w:rsid w:val="000D64F8"/>
    <w:rsid w:val="000D664F"/>
    <w:rsid w:val="000D66FE"/>
    <w:rsid w:val="000D689F"/>
    <w:rsid w:val="000D6947"/>
    <w:rsid w:val="000D6B31"/>
    <w:rsid w:val="000D6B41"/>
    <w:rsid w:val="000D6C15"/>
    <w:rsid w:val="000D6CC6"/>
    <w:rsid w:val="000D6D8E"/>
    <w:rsid w:val="000D6E76"/>
    <w:rsid w:val="000D705F"/>
    <w:rsid w:val="000D7BF2"/>
    <w:rsid w:val="000D7E90"/>
    <w:rsid w:val="000D7ED3"/>
    <w:rsid w:val="000E00BB"/>
    <w:rsid w:val="000E00D7"/>
    <w:rsid w:val="000E0138"/>
    <w:rsid w:val="000E0335"/>
    <w:rsid w:val="000E041F"/>
    <w:rsid w:val="000E0725"/>
    <w:rsid w:val="000E083B"/>
    <w:rsid w:val="000E0907"/>
    <w:rsid w:val="000E0C6D"/>
    <w:rsid w:val="000E0E3F"/>
    <w:rsid w:val="000E102C"/>
    <w:rsid w:val="000E10F7"/>
    <w:rsid w:val="000E114E"/>
    <w:rsid w:val="000E1155"/>
    <w:rsid w:val="000E1172"/>
    <w:rsid w:val="000E11AB"/>
    <w:rsid w:val="000E11EA"/>
    <w:rsid w:val="000E14BB"/>
    <w:rsid w:val="000E1550"/>
    <w:rsid w:val="000E164D"/>
    <w:rsid w:val="000E16CB"/>
    <w:rsid w:val="000E1796"/>
    <w:rsid w:val="000E19C2"/>
    <w:rsid w:val="000E19F9"/>
    <w:rsid w:val="000E1A75"/>
    <w:rsid w:val="000E1ABF"/>
    <w:rsid w:val="000E1C7B"/>
    <w:rsid w:val="000E1CE0"/>
    <w:rsid w:val="000E1EB4"/>
    <w:rsid w:val="000E1EDB"/>
    <w:rsid w:val="000E2032"/>
    <w:rsid w:val="000E204C"/>
    <w:rsid w:val="000E20EE"/>
    <w:rsid w:val="000E2176"/>
    <w:rsid w:val="000E21CE"/>
    <w:rsid w:val="000E22C9"/>
    <w:rsid w:val="000E233C"/>
    <w:rsid w:val="000E2419"/>
    <w:rsid w:val="000E244F"/>
    <w:rsid w:val="000E25E8"/>
    <w:rsid w:val="000E26E3"/>
    <w:rsid w:val="000E290C"/>
    <w:rsid w:val="000E2AE5"/>
    <w:rsid w:val="000E2C47"/>
    <w:rsid w:val="000E2E07"/>
    <w:rsid w:val="000E3022"/>
    <w:rsid w:val="000E32E5"/>
    <w:rsid w:val="000E357F"/>
    <w:rsid w:val="000E36C8"/>
    <w:rsid w:val="000E3776"/>
    <w:rsid w:val="000E37E7"/>
    <w:rsid w:val="000E39EC"/>
    <w:rsid w:val="000E3B3F"/>
    <w:rsid w:val="000E3CA8"/>
    <w:rsid w:val="000E3CDC"/>
    <w:rsid w:val="000E42F7"/>
    <w:rsid w:val="000E4535"/>
    <w:rsid w:val="000E4628"/>
    <w:rsid w:val="000E469D"/>
    <w:rsid w:val="000E46B8"/>
    <w:rsid w:val="000E491E"/>
    <w:rsid w:val="000E4932"/>
    <w:rsid w:val="000E4939"/>
    <w:rsid w:val="000E4B37"/>
    <w:rsid w:val="000E4D30"/>
    <w:rsid w:val="000E4D32"/>
    <w:rsid w:val="000E4E0B"/>
    <w:rsid w:val="000E4FAB"/>
    <w:rsid w:val="000E4FE2"/>
    <w:rsid w:val="000E4FEC"/>
    <w:rsid w:val="000E50D7"/>
    <w:rsid w:val="000E5125"/>
    <w:rsid w:val="000E5199"/>
    <w:rsid w:val="000E5206"/>
    <w:rsid w:val="000E524E"/>
    <w:rsid w:val="000E52D8"/>
    <w:rsid w:val="000E537F"/>
    <w:rsid w:val="000E557F"/>
    <w:rsid w:val="000E5775"/>
    <w:rsid w:val="000E5A7B"/>
    <w:rsid w:val="000E5A82"/>
    <w:rsid w:val="000E5B8A"/>
    <w:rsid w:val="000E5C3D"/>
    <w:rsid w:val="000E5E8A"/>
    <w:rsid w:val="000E5F0E"/>
    <w:rsid w:val="000E5F58"/>
    <w:rsid w:val="000E6017"/>
    <w:rsid w:val="000E6215"/>
    <w:rsid w:val="000E63B2"/>
    <w:rsid w:val="000E63E1"/>
    <w:rsid w:val="000E6538"/>
    <w:rsid w:val="000E65FA"/>
    <w:rsid w:val="000E67FF"/>
    <w:rsid w:val="000E68BE"/>
    <w:rsid w:val="000E69CC"/>
    <w:rsid w:val="000E6A24"/>
    <w:rsid w:val="000E6F39"/>
    <w:rsid w:val="000E6F52"/>
    <w:rsid w:val="000E7059"/>
    <w:rsid w:val="000E714C"/>
    <w:rsid w:val="000E737C"/>
    <w:rsid w:val="000E76FC"/>
    <w:rsid w:val="000E77B9"/>
    <w:rsid w:val="000E7880"/>
    <w:rsid w:val="000E7935"/>
    <w:rsid w:val="000E7C08"/>
    <w:rsid w:val="000E7C7C"/>
    <w:rsid w:val="000E7CBE"/>
    <w:rsid w:val="000E7E0A"/>
    <w:rsid w:val="000F001E"/>
    <w:rsid w:val="000F003B"/>
    <w:rsid w:val="000F0100"/>
    <w:rsid w:val="000F0172"/>
    <w:rsid w:val="000F0433"/>
    <w:rsid w:val="000F059C"/>
    <w:rsid w:val="000F0636"/>
    <w:rsid w:val="000F06AF"/>
    <w:rsid w:val="000F071C"/>
    <w:rsid w:val="000F0740"/>
    <w:rsid w:val="000F0821"/>
    <w:rsid w:val="000F096F"/>
    <w:rsid w:val="000F0AC4"/>
    <w:rsid w:val="000F0BC3"/>
    <w:rsid w:val="000F0BC8"/>
    <w:rsid w:val="000F0D57"/>
    <w:rsid w:val="000F0D59"/>
    <w:rsid w:val="000F0D98"/>
    <w:rsid w:val="000F0F14"/>
    <w:rsid w:val="000F0FE0"/>
    <w:rsid w:val="000F11D2"/>
    <w:rsid w:val="000F133F"/>
    <w:rsid w:val="000F1495"/>
    <w:rsid w:val="000F1496"/>
    <w:rsid w:val="000F15D9"/>
    <w:rsid w:val="000F1600"/>
    <w:rsid w:val="000F1710"/>
    <w:rsid w:val="000F1809"/>
    <w:rsid w:val="000F1943"/>
    <w:rsid w:val="000F195D"/>
    <w:rsid w:val="000F1978"/>
    <w:rsid w:val="000F1F08"/>
    <w:rsid w:val="000F1F13"/>
    <w:rsid w:val="000F1F41"/>
    <w:rsid w:val="000F1FD0"/>
    <w:rsid w:val="000F20FA"/>
    <w:rsid w:val="000F220C"/>
    <w:rsid w:val="000F2293"/>
    <w:rsid w:val="000F2632"/>
    <w:rsid w:val="000F26D8"/>
    <w:rsid w:val="000F287A"/>
    <w:rsid w:val="000F2B76"/>
    <w:rsid w:val="000F2C91"/>
    <w:rsid w:val="000F2F2E"/>
    <w:rsid w:val="000F30CC"/>
    <w:rsid w:val="000F3100"/>
    <w:rsid w:val="000F326D"/>
    <w:rsid w:val="000F35AA"/>
    <w:rsid w:val="000F36B3"/>
    <w:rsid w:val="000F3892"/>
    <w:rsid w:val="000F3A84"/>
    <w:rsid w:val="000F3AA9"/>
    <w:rsid w:val="000F3DC4"/>
    <w:rsid w:val="000F3DE5"/>
    <w:rsid w:val="000F3EE7"/>
    <w:rsid w:val="000F4199"/>
    <w:rsid w:val="000F4287"/>
    <w:rsid w:val="000F4401"/>
    <w:rsid w:val="000F4442"/>
    <w:rsid w:val="000F4539"/>
    <w:rsid w:val="000F45BA"/>
    <w:rsid w:val="000F45BF"/>
    <w:rsid w:val="000F46B3"/>
    <w:rsid w:val="000F4717"/>
    <w:rsid w:val="000F4784"/>
    <w:rsid w:val="000F4866"/>
    <w:rsid w:val="000F49BB"/>
    <w:rsid w:val="000F4A22"/>
    <w:rsid w:val="000F4A44"/>
    <w:rsid w:val="000F4B09"/>
    <w:rsid w:val="000F4C77"/>
    <w:rsid w:val="000F4CEA"/>
    <w:rsid w:val="000F4EB9"/>
    <w:rsid w:val="000F53A6"/>
    <w:rsid w:val="000F5416"/>
    <w:rsid w:val="000F55A9"/>
    <w:rsid w:val="000F56D5"/>
    <w:rsid w:val="000F56EC"/>
    <w:rsid w:val="000F572B"/>
    <w:rsid w:val="000F57A2"/>
    <w:rsid w:val="000F5D5D"/>
    <w:rsid w:val="000F5DD0"/>
    <w:rsid w:val="000F62B5"/>
    <w:rsid w:val="000F6800"/>
    <w:rsid w:val="000F69C6"/>
    <w:rsid w:val="000F69FD"/>
    <w:rsid w:val="000F6B12"/>
    <w:rsid w:val="000F6B44"/>
    <w:rsid w:val="000F6B55"/>
    <w:rsid w:val="000F6BCF"/>
    <w:rsid w:val="000F6D3B"/>
    <w:rsid w:val="000F6DAA"/>
    <w:rsid w:val="000F6E52"/>
    <w:rsid w:val="000F6FF5"/>
    <w:rsid w:val="000F722C"/>
    <w:rsid w:val="000F727A"/>
    <w:rsid w:val="000F72FA"/>
    <w:rsid w:val="000F73C4"/>
    <w:rsid w:val="000F7475"/>
    <w:rsid w:val="000F752F"/>
    <w:rsid w:val="000F76A5"/>
    <w:rsid w:val="000F7770"/>
    <w:rsid w:val="000F7775"/>
    <w:rsid w:val="000F77BB"/>
    <w:rsid w:val="000F78A3"/>
    <w:rsid w:val="000F78F5"/>
    <w:rsid w:val="000F7A87"/>
    <w:rsid w:val="000F7B09"/>
    <w:rsid w:val="000F7C40"/>
    <w:rsid w:val="000F7CAF"/>
    <w:rsid w:val="000F7F19"/>
    <w:rsid w:val="000F7FEE"/>
    <w:rsid w:val="001000D7"/>
    <w:rsid w:val="001001CF"/>
    <w:rsid w:val="001001ED"/>
    <w:rsid w:val="0010047F"/>
    <w:rsid w:val="001004FC"/>
    <w:rsid w:val="0010067F"/>
    <w:rsid w:val="00100753"/>
    <w:rsid w:val="0010076B"/>
    <w:rsid w:val="0010077A"/>
    <w:rsid w:val="001007D8"/>
    <w:rsid w:val="001007DD"/>
    <w:rsid w:val="0010087E"/>
    <w:rsid w:val="001008CB"/>
    <w:rsid w:val="0010098B"/>
    <w:rsid w:val="00100A48"/>
    <w:rsid w:val="00100A6F"/>
    <w:rsid w:val="00100B59"/>
    <w:rsid w:val="00100B90"/>
    <w:rsid w:val="00100BED"/>
    <w:rsid w:val="00100C65"/>
    <w:rsid w:val="00100E27"/>
    <w:rsid w:val="00100ED4"/>
    <w:rsid w:val="00100F60"/>
    <w:rsid w:val="00100F70"/>
    <w:rsid w:val="00100F7F"/>
    <w:rsid w:val="00101066"/>
    <w:rsid w:val="00101187"/>
    <w:rsid w:val="00101201"/>
    <w:rsid w:val="0010129D"/>
    <w:rsid w:val="001013FF"/>
    <w:rsid w:val="001014F0"/>
    <w:rsid w:val="00101663"/>
    <w:rsid w:val="001016BF"/>
    <w:rsid w:val="00101801"/>
    <w:rsid w:val="00101A5F"/>
    <w:rsid w:val="00101A6F"/>
    <w:rsid w:val="00101A97"/>
    <w:rsid w:val="00101B03"/>
    <w:rsid w:val="00101B92"/>
    <w:rsid w:val="00101C1C"/>
    <w:rsid w:val="00101DC5"/>
    <w:rsid w:val="00101E03"/>
    <w:rsid w:val="00101FB0"/>
    <w:rsid w:val="00102164"/>
    <w:rsid w:val="001021D1"/>
    <w:rsid w:val="00102502"/>
    <w:rsid w:val="001025BE"/>
    <w:rsid w:val="001025E1"/>
    <w:rsid w:val="00102784"/>
    <w:rsid w:val="00102862"/>
    <w:rsid w:val="00102BD4"/>
    <w:rsid w:val="00102D13"/>
    <w:rsid w:val="00102DAA"/>
    <w:rsid w:val="0010332B"/>
    <w:rsid w:val="00103462"/>
    <w:rsid w:val="001034E8"/>
    <w:rsid w:val="00103590"/>
    <w:rsid w:val="00103892"/>
    <w:rsid w:val="001038E8"/>
    <w:rsid w:val="001038FA"/>
    <w:rsid w:val="00103A81"/>
    <w:rsid w:val="00103CC0"/>
    <w:rsid w:val="00104051"/>
    <w:rsid w:val="001041A9"/>
    <w:rsid w:val="001041CE"/>
    <w:rsid w:val="001041DF"/>
    <w:rsid w:val="001041F2"/>
    <w:rsid w:val="0010425E"/>
    <w:rsid w:val="001043F7"/>
    <w:rsid w:val="001044CC"/>
    <w:rsid w:val="0010459E"/>
    <w:rsid w:val="00104628"/>
    <w:rsid w:val="00104913"/>
    <w:rsid w:val="001049D5"/>
    <w:rsid w:val="00104AA1"/>
    <w:rsid w:val="00104C52"/>
    <w:rsid w:val="00104C9A"/>
    <w:rsid w:val="00104DD6"/>
    <w:rsid w:val="00104E54"/>
    <w:rsid w:val="00105144"/>
    <w:rsid w:val="0010517A"/>
    <w:rsid w:val="00105266"/>
    <w:rsid w:val="001052C3"/>
    <w:rsid w:val="0010538A"/>
    <w:rsid w:val="001055DE"/>
    <w:rsid w:val="0010579A"/>
    <w:rsid w:val="0010588F"/>
    <w:rsid w:val="001059C8"/>
    <w:rsid w:val="00105A91"/>
    <w:rsid w:val="00105CB1"/>
    <w:rsid w:val="00105DB3"/>
    <w:rsid w:val="00105E9C"/>
    <w:rsid w:val="00105F39"/>
    <w:rsid w:val="0010604A"/>
    <w:rsid w:val="001060DE"/>
    <w:rsid w:val="00106151"/>
    <w:rsid w:val="001061B6"/>
    <w:rsid w:val="00106262"/>
    <w:rsid w:val="00106273"/>
    <w:rsid w:val="001064F4"/>
    <w:rsid w:val="001066D8"/>
    <w:rsid w:val="001067FF"/>
    <w:rsid w:val="0010681F"/>
    <w:rsid w:val="0010687E"/>
    <w:rsid w:val="001068CB"/>
    <w:rsid w:val="00106AD3"/>
    <w:rsid w:val="00106E4B"/>
    <w:rsid w:val="00106F8B"/>
    <w:rsid w:val="001074C4"/>
    <w:rsid w:val="00107550"/>
    <w:rsid w:val="001076FF"/>
    <w:rsid w:val="001079D8"/>
    <w:rsid w:val="00107B0B"/>
    <w:rsid w:val="00107C20"/>
    <w:rsid w:val="00107C7D"/>
    <w:rsid w:val="0011009D"/>
    <w:rsid w:val="00110185"/>
    <w:rsid w:val="001101CA"/>
    <w:rsid w:val="001101CD"/>
    <w:rsid w:val="001102F4"/>
    <w:rsid w:val="00110337"/>
    <w:rsid w:val="001107F0"/>
    <w:rsid w:val="00110E2F"/>
    <w:rsid w:val="00110E5D"/>
    <w:rsid w:val="00110E77"/>
    <w:rsid w:val="00110FD2"/>
    <w:rsid w:val="00111064"/>
    <w:rsid w:val="0011109F"/>
    <w:rsid w:val="001110A7"/>
    <w:rsid w:val="001111A3"/>
    <w:rsid w:val="001113E8"/>
    <w:rsid w:val="00111496"/>
    <w:rsid w:val="0011152F"/>
    <w:rsid w:val="001115D3"/>
    <w:rsid w:val="00111752"/>
    <w:rsid w:val="00111753"/>
    <w:rsid w:val="0011182B"/>
    <w:rsid w:val="001118CD"/>
    <w:rsid w:val="0011194E"/>
    <w:rsid w:val="00111969"/>
    <w:rsid w:val="001119A4"/>
    <w:rsid w:val="00111A05"/>
    <w:rsid w:val="00111A7C"/>
    <w:rsid w:val="00111B47"/>
    <w:rsid w:val="00111B68"/>
    <w:rsid w:val="00111BCB"/>
    <w:rsid w:val="00111DDE"/>
    <w:rsid w:val="00111EEF"/>
    <w:rsid w:val="00111F05"/>
    <w:rsid w:val="0011210A"/>
    <w:rsid w:val="00112119"/>
    <w:rsid w:val="0011217D"/>
    <w:rsid w:val="00112300"/>
    <w:rsid w:val="0011236B"/>
    <w:rsid w:val="001123DA"/>
    <w:rsid w:val="001124D3"/>
    <w:rsid w:val="0011279C"/>
    <w:rsid w:val="001128DE"/>
    <w:rsid w:val="001128E0"/>
    <w:rsid w:val="0011293F"/>
    <w:rsid w:val="001129A5"/>
    <w:rsid w:val="001129D4"/>
    <w:rsid w:val="001129FF"/>
    <w:rsid w:val="00112AA3"/>
    <w:rsid w:val="00112ACB"/>
    <w:rsid w:val="00112BEE"/>
    <w:rsid w:val="00112C0A"/>
    <w:rsid w:val="00112C11"/>
    <w:rsid w:val="00112DA9"/>
    <w:rsid w:val="00113024"/>
    <w:rsid w:val="001130B1"/>
    <w:rsid w:val="0011324F"/>
    <w:rsid w:val="001132D4"/>
    <w:rsid w:val="001135B2"/>
    <w:rsid w:val="001135D3"/>
    <w:rsid w:val="001138E6"/>
    <w:rsid w:val="001139FB"/>
    <w:rsid w:val="00113A04"/>
    <w:rsid w:val="00113A32"/>
    <w:rsid w:val="00113AEB"/>
    <w:rsid w:val="00113AEF"/>
    <w:rsid w:val="00113AFA"/>
    <w:rsid w:val="00113B4C"/>
    <w:rsid w:val="00113C45"/>
    <w:rsid w:val="00113C55"/>
    <w:rsid w:val="00113D5B"/>
    <w:rsid w:val="00113DED"/>
    <w:rsid w:val="00113E19"/>
    <w:rsid w:val="00114097"/>
    <w:rsid w:val="001142DC"/>
    <w:rsid w:val="0011438B"/>
    <w:rsid w:val="0011445B"/>
    <w:rsid w:val="00114953"/>
    <w:rsid w:val="001149EF"/>
    <w:rsid w:val="00114A36"/>
    <w:rsid w:val="00114B2A"/>
    <w:rsid w:val="00114C43"/>
    <w:rsid w:val="00114C4C"/>
    <w:rsid w:val="00114C59"/>
    <w:rsid w:val="00114D23"/>
    <w:rsid w:val="00114E3A"/>
    <w:rsid w:val="00114EDE"/>
    <w:rsid w:val="00114F83"/>
    <w:rsid w:val="00115047"/>
    <w:rsid w:val="00115080"/>
    <w:rsid w:val="001150BB"/>
    <w:rsid w:val="001150D7"/>
    <w:rsid w:val="001152B0"/>
    <w:rsid w:val="001152F6"/>
    <w:rsid w:val="00115390"/>
    <w:rsid w:val="001155E6"/>
    <w:rsid w:val="001156EB"/>
    <w:rsid w:val="001157A2"/>
    <w:rsid w:val="00115826"/>
    <w:rsid w:val="001158BC"/>
    <w:rsid w:val="0011596E"/>
    <w:rsid w:val="00115971"/>
    <w:rsid w:val="00115985"/>
    <w:rsid w:val="001159CC"/>
    <w:rsid w:val="00115C4A"/>
    <w:rsid w:val="00115D49"/>
    <w:rsid w:val="00115F41"/>
    <w:rsid w:val="0011602F"/>
    <w:rsid w:val="0011615B"/>
    <w:rsid w:val="001161FA"/>
    <w:rsid w:val="001165CD"/>
    <w:rsid w:val="001165E8"/>
    <w:rsid w:val="001166B9"/>
    <w:rsid w:val="001166F6"/>
    <w:rsid w:val="00116784"/>
    <w:rsid w:val="001168FB"/>
    <w:rsid w:val="00116A6B"/>
    <w:rsid w:val="00116B67"/>
    <w:rsid w:val="00116CD8"/>
    <w:rsid w:val="00116D40"/>
    <w:rsid w:val="00116EB7"/>
    <w:rsid w:val="00116FDF"/>
    <w:rsid w:val="001170E2"/>
    <w:rsid w:val="00117164"/>
    <w:rsid w:val="0011717F"/>
    <w:rsid w:val="00117225"/>
    <w:rsid w:val="0011726F"/>
    <w:rsid w:val="001172BA"/>
    <w:rsid w:val="00117607"/>
    <w:rsid w:val="0011768A"/>
    <w:rsid w:val="001177AD"/>
    <w:rsid w:val="0011781A"/>
    <w:rsid w:val="00117833"/>
    <w:rsid w:val="0011783C"/>
    <w:rsid w:val="001178BD"/>
    <w:rsid w:val="00117957"/>
    <w:rsid w:val="0011798F"/>
    <w:rsid w:val="00117C50"/>
    <w:rsid w:val="00117DB5"/>
    <w:rsid w:val="00120055"/>
    <w:rsid w:val="00120122"/>
    <w:rsid w:val="00120392"/>
    <w:rsid w:val="001203A6"/>
    <w:rsid w:val="0012046A"/>
    <w:rsid w:val="00120539"/>
    <w:rsid w:val="00120568"/>
    <w:rsid w:val="001207E8"/>
    <w:rsid w:val="001208CD"/>
    <w:rsid w:val="0012094E"/>
    <w:rsid w:val="00120C08"/>
    <w:rsid w:val="00120CB9"/>
    <w:rsid w:val="00120F7A"/>
    <w:rsid w:val="00120FBA"/>
    <w:rsid w:val="00120FEB"/>
    <w:rsid w:val="00121005"/>
    <w:rsid w:val="00121180"/>
    <w:rsid w:val="001211D2"/>
    <w:rsid w:val="00121300"/>
    <w:rsid w:val="001214F5"/>
    <w:rsid w:val="00121579"/>
    <w:rsid w:val="001215C9"/>
    <w:rsid w:val="001217AB"/>
    <w:rsid w:val="001219A0"/>
    <w:rsid w:val="00121A96"/>
    <w:rsid w:val="00121C01"/>
    <w:rsid w:val="00121C09"/>
    <w:rsid w:val="00121CE7"/>
    <w:rsid w:val="00121DB9"/>
    <w:rsid w:val="00121E78"/>
    <w:rsid w:val="00122243"/>
    <w:rsid w:val="00122330"/>
    <w:rsid w:val="001223C0"/>
    <w:rsid w:val="001223E3"/>
    <w:rsid w:val="0012281C"/>
    <w:rsid w:val="00122834"/>
    <w:rsid w:val="0012293B"/>
    <w:rsid w:val="00122986"/>
    <w:rsid w:val="00122D25"/>
    <w:rsid w:val="00122F28"/>
    <w:rsid w:val="00122FD1"/>
    <w:rsid w:val="00123150"/>
    <w:rsid w:val="0012317D"/>
    <w:rsid w:val="001234B2"/>
    <w:rsid w:val="001234F7"/>
    <w:rsid w:val="00123667"/>
    <w:rsid w:val="00123792"/>
    <w:rsid w:val="00123850"/>
    <w:rsid w:val="00123868"/>
    <w:rsid w:val="0012398A"/>
    <w:rsid w:val="001239F8"/>
    <w:rsid w:val="00123D24"/>
    <w:rsid w:val="00123FAE"/>
    <w:rsid w:val="001240FA"/>
    <w:rsid w:val="001241EF"/>
    <w:rsid w:val="001242EC"/>
    <w:rsid w:val="001243C3"/>
    <w:rsid w:val="001244F5"/>
    <w:rsid w:val="001245EE"/>
    <w:rsid w:val="001246D5"/>
    <w:rsid w:val="001247F4"/>
    <w:rsid w:val="00124ABE"/>
    <w:rsid w:val="00124CA8"/>
    <w:rsid w:val="00124D39"/>
    <w:rsid w:val="00124D44"/>
    <w:rsid w:val="00124D6A"/>
    <w:rsid w:val="00124EC2"/>
    <w:rsid w:val="00124F19"/>
    <w:rsid w:val="00124F5A"/>
    <w:rsid w:val="00125086"/>
    <w:rsid w:val="00125122"/>
    <w:rsid w:val="00125284"/>
    <w:rsid w:val="001253FD"/>
    <w:rsid w:val="00125538"/>
    <w:rsid w:val="001255D4"/>
    <w:rsid w:val="001259DF"/>
    <w:rsid w:val="00125B4E"/>
    <w:rsid w:val="00125BDC"/>
    <w:rsid w:val="00125D92"/>
    <w:rsid w:val="00125D9E"/>
    <w:rsid w:val="00125E32"/>
    <w:rsid w:val="00125FB2"/>
    <w:rsid w:val="0012609A"/>
    <w:rsid w:val="001260C6"/>
    <w:rsid w:val="001262B1"/>
    <w:rsid w:val="00126545"/>
    <w:rsid w:val="001265E7"/>
    <w:rsid w:val="001265FE"/>
    <w:rsid w:val="00126A3D"/>
    <w:rsid w:val="00126AA8"/>
    <w:rsid w:val="00126AD4"/>
    <w:rsid w:val="00126B19"/>
    <w:rsid w:val="00126B62"/>
    <w:rsid w:val="00126C02"/>
    <w:rsid w:val="00126DBC"/>
    <w:rsid w:val="00127060"/>
    <w:rsid w:val="0012739D"/>
    <w:rsid w:val="001274A3"/>
    <w:rsid w:val="001274C9"/>
    <w:rsid w:val="001275C5"/>
    <w:rsid w:val="001275D3"/>
    <w:rsid w:val="00127646"/>
    <w:rsid w:val="00127654"/>
    <w:rsid w:val="0012766C"/>
    <w:rsid w:val="001276AC"/>
    <w:rsid w:val="00127730"/>
    <w:rsid w:val="0012784F"/>
    <w:rsid w:val="001279DB"/>
    <w:rsid w:val="00127B6A"/>
    <w:rsid w:val="00127EE9"/>
    <w:rsid w:val="00127FC6"/>
    <w:rsid w:val="00127FE3"/>
    <w:rsid w:val="00130102"/>
    <w:rsid w:val="001301BE"/>
    <w:rsid w:val="001301C4"/>
    <w:rsid w:val="00130408"/>
    <w:rsid w:val="00130530"/>
    <w:rsid w:val="001308D4"/>
    <w:rsid w:val="00130C27"/>
    <w:rsid w:val="00130E67"/>
    <w:rsid w:val="00130EF0"/>
    <w:rsid w:val="001310F2"/>
    <w:rsid w:val="001310F7"/>
    <w:rsid w:val="00131173"/>
    <w:rsid w:val="0013136F"/>
    <w:rsid w:val="0013155C"/>
    <w:rsid w:val="00131748"/>
    <w:rsid w:val="00131771"/>
    <w:rsid w:val="001318A1"/>
    <w:rsid w:val="001319C8"/>
    <w:rsid w:val="00131B14"/>
    <w:rsid w:val="00131C69"/>
    <w:rsid w:val="00131CD4"/>
    <w:rsid w:val="00131DC3"/>
    <w:rsid w:val="00131F1F"/>
    <w:rsid w:val="001320D4"/>
    <w:rsid w:val="001321F7"/>
    <w:rsid w:val="001322A6"/>
    <w:rsid w:val="0013242E"/>
    <w:rsid w:val="00132624"/>
    <w:rsid w:val="001326C6"/>
    <w:rsid w:val="001326F3"/>
    <w:rsid w:val="00132711"/>
    <w:rsid w:val="00132731"/>
    <w:rsid w:val="0013275E"/>
    <w:rsid w:val="0013280D"/>
    <w:rsid w:val="0013288A"/>
    <w:rsid w:val="001328F8"/>
    <w:rsid w:val="00132A42"/>
    <w:rsid w:val="00132A67"/>
    <w:rsid w:val="00132AA3"/>
    <w:rsid w:val="00132B36"/>
    <w:rsid w:val="00132BB0"/>
    <w:rsid w:val="00132E71"/>
    <w:rsid w:val="00132EFA"/>
    <w:rsid w:val="00133471"/>
    <w:rsid w:val="00133514"/>
    <w:rsid w:val="0013362F"/>
    <w:rsid w:val="0013399E"/>
    <w:rsid w:val="001339F0"/>
    <w:rsid w:val="00133A3A"/>
    <w:rsid w:val="00133A96"/>
    <w:rsid w:val="00133C97"/>
    <w:rsid w:val="00133D60"/>
    <w:rsid w:val="00133DC6"/>
    <w:rsid w:val="001341D0"/>
    <w:rsid w:val="0013421C"/>
    <w:rsid w:val="00134327"/>
    <w:rsid w:val="001344ED"/>
    <w:rsid w:val="001345D5"/>
    <w:rsid w:val="0013469D"/>
    <w:rsid w:val="001346B0"/>
    <w:rsid w:val="001346CB"/>
    <w:rsid w:val="001346D0"/>
    <w:rsid w:val="001348BA"/>
    <w:rsid w:val="001348C4"/>
    <w:rsid w:val="00134971"/>
    <w:rsid w:val="00134AB0"/>
    <w:rsid w:val="00134AE5"/>
    <w:rsid w:val="00134C24"/>
    <w:rsid w:val="00134C5D"/>
    <w:rsid w:val="00134DCA"/>
    <w:rsid w:val="00134E1F"/>
    <w:rsid w:val="00134E8F"/>
    <w:rsid w:val="00134E93"/>
    <w:rsid w:val="00134FF2"/>
    <w:rsid w:val="00135169"/>
    <w:rsid w:val="001351DB"/>
    <w:rsid w:val="00135210"/>
    <w:rsid w:val="001352C8"/>
    <w:rsid w:val="00135627"/>
    <w:rsid w:val="0013570D"/>
    <w:rsid w:val="00135889"/>
    <w:rsid w:val="0013595A"/>
    <w:rsid w:val="001359D3"/>
    <w:rsid w:val="00135A4F"/>
    <w:rsid w:val="00135C2B"/>
    <w:rsid w:val="00135CC7"/>
    <w:rsid w:val="00135DC4"/>
    <w:rsid w:val="00135E52"/>
    <w:rsid w:val="00135F2B"/>
    <w:rsid w:val="001360F2"/>
    <w:rsid w:val="001360FA"/>
    <w:rsid w:val="001362CC"/>
    <w:rsid w:val="001363C7"/>
    <w:rsid w:val="001363EF"/>
    <w:rsid w:val="0013668A"/>
    <w:rsid w:val="00136741"/>
    <w:rsid w:val="001368B7"/>
    <w:rsid w:val="00136956"/>
    <w:rsid w:val="00136A4D"/>
    <w:rsid w:val="00136B0F"/>
    <w:rsid w:val="00136C71"/>
    <w:rsid w:val="00136E15"/>
    <w:rsid w:val="00136E4C"/>
    <w:rsid w:val="00136E54"/>
    <w:rsid w:val="00136E77"/>
    <w:rsid w:val="00136FD0"/>
    <w:rsid w:val="00137178"/>
    <w:rsid w:val="001371FE"/>
    <w:rsid w:val="0013721C"/>
    <w:rsid w:val="0013769B"/>
    <w:rsid w:val="0013786E"/>
    <w:rsid w:val="001378A9"/>
    <w:rsid w:val="001379CD"/>
    <w:rsid w:val="00137A71"/>
    <w:rsid w:val="00137AF9"/>
    <w:rsid w:val="00137C38"/>
    <w:rsid w:val="00137E09"/>
    <w:rsid w:val="00137E9C"/>
    <w:rsid w:val="00137F85"/>
    <w:rsid w:val="0014002F"/>
    <w:rsid w:val="0014004D"/>
    <w:rsid w:val="00140164"/>
    <w:rsid w:val="0014020A"/>
    <w:rsid w:val="001402B2"/>
    <w:rsid w:val="00140377"/>
    <w:rsid w:val="00140450"/>
    <w:rsid w:val="0014058D"/>
    <w:rsid w:val="00140750"/>
    <w:rsid w:val="00140810"/>
    <w:rsid w:val="00140880"/>
    <w:rsid w:val="001408C1"/>
    <w:rsid w:val="001409FB"/>
    <w:rsid w:val="00140C26"/>
    <w:rsid w:val="00140C6D"/>
    <w:rsid w:val="00140D08"/>
    <w:rsid w:val="00140DFD"/>
    <w:rsid w:val="00140E87"/>
    <w:rsid w:val="0014101F"/>
    <w:rsid w:val="00141025"/>
    <w:rsid w:val="00141128"/>
    <w:rsid w:val="001411F4"/>
    <w:rsid w:val="00141390"/>
    <w:rsid w:val="00141498"/>
    <w:rsid w:val="00141555"/>
    <w:rsid w:val="001415DF"/>
    <w:rsid w:val="0014167C"/>
    <w:rsid w:val="001416C3"/>
    <w:rsid w:val="001417F8"/>
    <w:rsid w:val="001418E6"/>
    <w:rsid w:val="00141901"/>
    <w:rsid w:val="001419BF"/>
    <w:rsid w:val="00141A75"/>
    <w:rsid w:val="00141C56"/>
    <w:rsid w:val="00141C86"/>
    <w:rsid w:val="00141F15"/>
    <w:rsid w:val="00141FBD"/>
    <w:rsid w:val="00141FC3"/>
    <w:rsid w:val="0014207B"/>
    <w:rsid w:val="00142138"/>
    <w:rsid w:val="00142266"/>
    <w:rsid w:val="001423B4"/>
    <w:rsid w:val="00142411"/>
    <w:rsid w:val="001425E6"/>
    <w:rsid w:val="0014277C"/>
    <w:rsid w:val="00142B26"/>
    <w:rsid w:val="00142D52"/>
    <w:rsid w:val="0014309E"/>
    <w:rsid w:val="0014311D"/>
    <w:rsid w:val="0014334E"/>
    <w:rsid w:val="00143426"/>
    <w:rsid w:val="0014367F"/>
    <w:rsid w:val="0014373B"/>
    <w:rsid w:val="00143908"/>
    <w:rsid w:val="0014390B"/>
    <w:rsid w:val="00143949"/>
    <w:rsid w:val="00143966"/>
    <w:rsid w:val="00143B65"/>
    <w:rsid w:val="00143E0F"/>
    <w:rsid w:val="00143EBF"/>
    <w:rsid w:val="00143F1C"/>
    <w:rsid w:val="00143F92"/>
    <w:rsid w:val="0014400B"/>
    <w:rsid w:val="00144014"/>
    <w:rsid w:val="0014410F"/>
    <w:rsid w:val="001442E4"/>
    <w:rsid w:val="001443D3"/>
    <w:rsid w:val="001443E6"/>
    <w:rsid w:val="001444B5"/>
    <w:rsid w:val="001444CD"/>
    <w:rsid w:val="001447BD"/>
    <w:rsid w:val="00144A54"/>
    <w:rsid w:val="00144A5B"/>
    <w:rsid w:val="00144AC6"/>
    <w:rsid w:val="00144E4E"/>
    <w:rsid w:val="00144E86"/>
    <w:rsid w:val="00144F17"/>
    <w:rsid w:val="00144F75"/>
    <w:rsid w:val="001450DB"/>
    <w:rsid w:val="00145144"/>
    <w:rsid w:val="00145500"/>
    <w:rsid w:val="00145810"/>
    <w:rsid w:val="0014589F"/>
    <w:rsid w:val="00145971"/>
    <w:rsid w:val="00145979"/>
    <w:rsid w:val="0014597C"/>
    <w:rsid w:val="00145986"/>
    <w:rsid w:val="00145AA0"/>
    <w:rsid w:val="00145CB0"/>
    <w:rsid w:val="00145ED3"/>
    <w:rsid w:val="00145F0D"/>
    <w:rsid w:val="00145FDB"/>
    <w:rsid w:val="001460ED"/>
    <w:rsid w:val="00146194"/>
    <w:rsid w:val="001461A9"/>
    <w:rsid w:val="00146278"/>
    <w:rsid w:val="00146323"/>
    <w:rsid w:val="00146337"/>
    <w:rsid w:val="001463D0"/>
    <w:rsid w:val="001464B6"/>
    <w:rsid w:val="0014651B"/>
    <w:rsid w:val="00146559"/>
    <w:rsid w:val="001465B3"/>
    <w:rsid w:val="001465D7"/>
    <w:rsid w:val="001466E0"/>
    <w:rsid w:val="00146715"/>
    <w:rsid w:val="00146965"/>
    <w:rsid w:val="00146A4B"/>
    <w:rsid w:val="00146BEF"/>
    <w:rsid w:val="00146D0D"/>
    <w:rsid w:val="00146FF5"/>
    <w:rsid w:val="00147045"/>
    <w:rsid w:val="00147065"/>
    <w:rsid w:val="001470F8"/>
    <w:rsid w:val="0014718E"/>
    <w:rsid w:val="0014756A"/>
    <w:rsid w:val="00147610"/>
    <w:rsid w:val="0014769C"/>
    <w:rsid w:val="00147A16"/>
    <w:rsid w:val="00147A2F"/>
    <w:rsid w:val="00147A80"/>
    <w:rsid w:val="00147AA0"/>
    <w:rsid w:val="00147B8E"/>
    <w:rsid w:val="00147F8F"/>
    <w:rsid w:val="00147FA6"/>
    <w:rsid w:val="00150066"/>
    <w:rsid w:val="001501EE"/>
    <w:rsid w:val="00150745"/>
    <w:rsid w:val="001507B3"/>
    <w:rsid w:val="00150937"/>
    <w:rsid w:val="001509B8"/>
    <w:rsid w:val="00150A4A"/>
    <w:rsid w:val="00150ADF"/>
    <w:rsid w:val="00150BAD"/>
    <w:rsid w:val="00151130"/>
    <w:rsid w:val="0015114C"/>
    <w:rsid w:val="001511D4"/>
    <w:rsid w:val="00151206"/>
    <w:rsid w:val="00151385"/>
    <w:rsid w:val="00151627"/>
    <w:rsid w:val="00151745"/>
    <w:rsid w:val="0015180F"/>
    <w:rsid w:val="00151861"/>
    <w:rsid w:val="00151869"/>
    <w:rsid w:val="00151B2B"/>
    <w:rsid w:val="00151B8E"/>
    <w:rsid w:val="00151BAF"/>
    <w:rsid w:val="00151FA2"/>
    <w:rsid w:val="001521C0"/>
    <w:rsid w:val="00152211"/>
    <w:rsid w:val="0015228B"/>
    <w:rsid w:val="00152362"/>
    <w:rsid w:val="0015237A"/>
    <w:rsid w:val="0015259C"/>
    <w:rsid w:val="001526F4"/>
    <w:rsid w:val="00152879"/>
    <w:rsid w:val="001528B6"/>
    <w:rsid w:val="001529E6"/>
    <w:rsid w:val="00152ACD"/>
    <w:rsid w:val="00152BAE"/>
    <w:rsid w:val="00152C28"/>
    <w:rsid w:val="00152C3C"/>
    <w:rsid w:val="00152CF5"/>
    <w:rsid w:val="00152DFC"/>
    <w:rsid w:val="00152FEA"/>
    <w:rsid w:val="00153060"/>
    <w:rsid w:val="0015309B"/>
    <w:rsid w:val="001530E7"/>
    <w:rsid w:val="001531CC"/>
    <w:rsid w:val="001532E0"/>
    <w:rsid w:val="0015342F"/>
    <w:rsid w:val="001534BB"/>
    <w:rsid w:val="001534FF"/>
    <w:rsid w:val="00153874"/>
    <w:rsid w:val="0015397C"/>
    <w:rsid w:val="001539B3"/>
    <w:rsid w:val="00153C24"/>
    <w:rsid w:val="00153C33"/>
    <w:rsid w:val="00153C9C"/>
    <w:rsid w:val="00153DAA"/>
    <w:rsid w:val="00153F52"/>
    <w:rsid w:val="00153F8E"/>
    <w:rsid w:val="0015445B"/>
    <w:rsid w:val="001547E7"/>
    <w:rsid w:val="0015490A"/>
    <w:rsid w:val="00154969"/>
    <w:rsid w:val="00154A94"/>
    <w:rsid w:val="00154C38"/>
    <w:rsid w:val="00154DAB"/>
    <w:rsid w:val="00154FF7"/>
    <w:rsid w:val="0015514C"/>
    <w:rsid w:val="001554B3"/>
    <w:rsid w:val="0015554A"/>
    <w:rsid w:val="001558F0"/>
    <w:rsid w:val="00155A0D"/>
    <w:rsid w:val="00155D22"/>
    <w:rsid w:val="00155D39"/>
    <w:rsid w:val="00155DBE"/>
    <w:rsid w:val="00155E02"/>
    <w:rsid w:val="00155EBC"/>
    <w:rsid w:val="00155FB5"/>
    <w:rsid w:val="0015607E"/>
    <w:rsid w:val="00156205"/>
    <w:rsid w:val="00156221"/>
    <w:rsid w:val="0015627C"/>
    <w:rsid w:val="0015632C"/>
    <w:rsid w:val="001563DC"/>
    <w:rsid w:val="00156587"/>
    <w:rsid w:val="00156600"/>
    <w:rsid w:val="00156753"/>
    <w:rsid w:val="00156AF5"/>
    <w:rsid w:val="00156F59"/>
    <w:rsid w:val="00156F71"/>
    <w:rsid w:val="00156F97"/>
    <w:rsid w:val="001570D0"/>
    <w:rsid w:val="001570EF"/>
    <w:rsid w:val="0015716A"/>
    <w:rsid w:val="001571B5"/>
    <w:rsid w:val="00157248"/>
    <w:rsid w:val="001572C7"/>
    <w:rsid w:val="00157418"/>
    <w:rsid w:val="00157457"/>
    <w:rsid w:val="00157468"/>
    <w:rsid w:val="00157516"/>
    <w:rsid w:val="0015780D"/>
    <w:rsid w:val="0015790B"/>
    <w:rsid w:val="0015794A"/>
    <w:rsid w:val="00157959"/>
    <w:rsid w:val="001579FC"/>
    <w:rsid w:val="00157C1E"/>
    <w:rsid w:val="00157CD4"/>
    <w:rsid w:val="00157CFA"/>
    <w:rsid w:val="00157E2F"/>
    <w:rsid w:val="00157EB8"/>
    <w:rsid w:val="001601AC"/>
    <w:rsid w:val="001602DB"/>
    <w:rsid w:val="001605FE"/>
    <w:rsid w:val="00160625"/>
    <w:rsid w:val="00160644"/>
    <w:rsid w:val="0016069C"/>
    <w:rsid w:val="00160977"/>
    <w:rsid w:val="00160D74"/>
    <w:rsid w:val="00160ECC"/>
    <w:rsid w:val="00160EDD"/>
    <w:rsid w:val="00160F25"/>
    <w:rsid w:val="00161097"/>
    <w:rsid w:val="00161130"/>
    <w:rsid w:val="001611F5"/>
    <w:rsid w:val="00161251"/>
    <w:rsid w:val="0016136A"/>
    <w:rsid w:val="001613AD"/>
    <w:rsid w:val="001613BD"/>
    <w:rsid w:val="0016140C"/>
    <w:rsid w:val="001614E0"/>
    <w:rsid w:val="00161552"/>
    <w:rsid w:val="001617B6"/>
    <w:rsid w:val="001617BE"/>
    <w:rsid w:val="00161966"/>
    <w:rsid w:val="00161D89"/>
    <w:rsid w:val="001621F1"/>
    <w:rsid w:val="001623F4"/>
    <w:rsid w:val="001624DD"/>
    <w:rsid w:val="00162993"/>
    <w:rsid w:val="001629F0"/>
    <w:rsid w:val="00162A4B"/>
    <w:rsid w:val="00162B64"/>
    <w:rsid w:val="0016300A"/>
    <w:rsid w:val="00163074"/>
    <w:rsid w:val="001631AD"/>
    <w:rsid w:val="001631BC"/>
    <w:rsid w:val="00163206"/>
    <w:rsid w:val="0016335A"/>
    <w:rsid w:val="001633FB"/>
    <w:rsid w:val="00163414"/>
    <w:rsid w:val="00163538"/>
    <w:rsid w:val="00163890"/>
    <w:rsid w:val="0016398E"/>
    <w:rsid w:val="00163A1D"/>
    <w:rsid w:val="00163A59"/>
    <w:rsid w:val="00163CA6"/>
    <w:rsid w:val="00163D48"/>
    <w:rsid w:val="00163EF3"/>
    <w:rsid w:val="00163F93"/>
    <w:rsid w:val="001641D9"/>
    <w:rsid w:val="0016447A"/>
    <w:rsid w:val="001644A5"/>
    <w:rsid w:val="00164515"/>
    <w:rsid w:val="00164613"/>
    <w:rsid w:val="00164789"/>
    <w:rsid w:val="00164904"/>
    <w:rsid w:val="00164DA0"/>
    <w:rsid w:val="00165005"/>
    <w:rsid w:val="001650CC"/>
    <w:rsid w:val="0016522B"/>
    <w:rsid w:val="0016527E"/>
    <w:rsid w:val="00165312"/>
    <w:rsid w:val="001653B3"/>
    <w:rsid w:val="00165497"/>
    <w:rsid w:val="001654E0"/>
    <w:rsid w:val="001656A4"/>
    <w:rsid w:val="001658B2"/>
    <w:rsid w:val="001659DA"/>
    <w:rsid w:val="001659E0"/>
    <w:rsid w:val="00165A20"/>
    <w:rsid w:val="00165A37"/>
    <w:rsid w:val="00165ADC"/>
    <w:rsid w:val="00165BC8"/>
    <w:rsid w:val="00166039"/>
    <w:rsid w:val="001660ED"/>
    <w:rsid w:val="001661DC"/>
    <w:rsid w:val="00166288"/>
    <w:rsid w:val="0016639A"/>
    <w:rsid w:val="001664A4"/>
    <w:rsid w:val="00166787"/>
    <w:rsid w:val="00166BDD"/>
    <w:rsid w:val="00166C36"/>
    <w:rsid w:val="00166D18"/>
    <w:rsid w:val="00166D23"/>
    <w:rsid w:val="00166E5E"/>
    <w:rsid w:val="00166EA6"/>
    <w:rsid w:val="00166F32"/>
    <w:rsid w:val="0016700D"/>
    <w:rsid w:val="00167209"/>
    <w:rsid w:val="00167434"/>
    <w:rsid w:val="001675E2"/>
    <w:rsid w:val="0016764D"/>
    <w:rsid w:val="001677BB"/>
    <w:rsid w:val="00167896"/>
    <w:rsid w:val="00167A5B"/>
    <w:rsid w:val="00167C78"/>
    <w:rsid w:val="00167E22"/>
    <w:rsid w:val="00167EBC"/>
    <w:rsid w:val="00167EE9"/>
    <w:rsid w:val="00170002"/>
    <w:rsid w:val="00170183"/>
    <w:rsid w:val="00170390"/>
    <w:rsid w:val="00170421"/>
    <w:rsid w:val="0017048B"/>
    <w:rsid w:val="001705EC"/>
    <w:rsid w:val="001706A6"/>
    <w:rsid w:val="00170A01"/>
    <w:rsid w:val="00170A83"/>
    <w:rsid w:val="00170B78"/>
    <w:rsid w:val="00170C18"/>
    <w:rsid w:val="00170EA1"/>
    <w:rsid w:val="00171220"/>
    <w:rsid w:val="00171260"/>
    <w:rsid w:val="00171509"/>
    <w:rsid w:val="001716DA"/>
    <w:rsid w:val="001717D0"/>
    <w:rsid w:val="00171819"/>
    <w:rsid w:val="001718E2"/>
    <w:rsid w:val="001719D0"/>
    <w:rsid w:val="00171A30"/>
    <w:rsid w:val="00171B70"/>
    <w:rsid w:val="00171C83"/>
    <w:rsid w:val="00171CEA"/>
    <w:rsid w:val="00171D8E"/>
    <w:rsid w:val="00171FAF"/>
    <w:rsid w:val="00172063"/>
    <w:rsid w:val="001720CB"/>
    <w:rsid w:val="001721C0"/>
    <w:rsid w:val="001723D2"/>
    <w:rsid w:val="001723FC"/>
    <w:rsid w:val="001726BC"/>
    <w:rsid w:val="001726FB"/>
    <w:rsid w:val="00172723"/>
    <w:rsid w:val="0017277D"/>
    <w:rsid w:val="0017291A"/>
    <w:rsid w:val="00172BB6"/>
    <w:rsid w:val="00172BC9"/>
    <w:rsid w:val="00172DC7"/>
    <w:rsid w:val="00172EDA"/>
    <w:rsid w:val="00173038"/>
    <w:rsid w:val="001731EA"/>
    <w:rsid w:val="0017332E"/>
    <w:rsid w:val="001734C0"/>
    <w:rsid w:val="001734E7"/>
    <w:rsid w:val="00173558"/>
    <w:rsid w:val="001736D0"/>
    <w:rsid w:val="001737D4"/>
    <w:rsid w:val="00173896"/>
    <w:rsid w:val="001738F5"/>
    <w:rsid w:val="001739DF"/>
    <w:rsid w:val="00173B34"/>
    <w:rsid w:val="00173C06"/>
    <w:rsid w:val="00173C09"/>
    <w:rsid w:val="00173C6A"/>
    <w:rsid w:val="00173D10"/>
    <w:rsid w:val="00173EC5"/>
    <w:rsid w:val="00173FB2"/>
    <w:rsid w:val="0017404E"/>
    <w:rsid w:val="0017426D"/>
    <w:rsid w:val="001742F8"/>
    <w:rsid w:val="00174446"/>
    <w:rsid w:val="001746F9"/>
    <w:rsid w:val="00174832"/>
    <w:rsid w:val="0017485F"/>
    <w:rsid w:val="00174897"/>
    <w:rsid w:val="00174985"/>
    <w:rsid w:val="00174A04"/>
    <w:rsid w:val="00174A0E"/>
    <w:rsid w:val="00174D51"/>
    <w:rsid w:val="001750C1"/>
    <w:rsid w:val="0017520E"/>
    <w:rsid w:val="001752EA"/>
    <w:rsid w:val="0017532F"/>
    <w:rsid w:val="001753A7"/>
    <w:rsid w:val="001754CA"/>
    <w:rsid w:val="00175778"/>
    <w:rsid w:val="001757C7"/>
    <w:rsid w:val="001759CA"/>
    <w:rsid w:val="00175A04"/>
    <w:rsid w:val="00175D34"/>
    <w:rsid w:val="00175F0F"/>
    <w:rsid w:val="00176165"/>
    <w:rsid w:val="001761F7"/>
    <w:rsid w:val="0017620C"/>
    <w:rsid w:val="001765F0"/>
    <w:rsid w:val="001766F7"/>
    <w:rsid w:val="00176733"/>
    <w:rsid w:val="001767BD"/>
    <w:rsid w:val="00176801"/>
    <w:rsid w:val="0017695F"/>
    <w:rsid w:val="00176A85"/>
    <w:rsid w:val="00176AEF"/>
    <w:rsid w:val="00176C26"/>
    <w:rsid w:val="00176C7E"/>
    <w:rsid w:val="00176D00"/>
    <w:rsid w:val="00176F77"/>
    <w:rsid w:val="001772A7"/>
    <w:rsid w:val="001772B8"/>
    <w:rsid w:val="001777B0"/>
    <w:rsid w:val="0017780A"/>
    <w:rsid w:val="0017789F"/>
    <w:rsid w:val="00177992"/>
    <w:rsid w:val="00177A55"/>
    <w:rsid w:val="00177AD1"/>
    <w:rsid w:val="00177DED"/>
    <w:rsid w:val="00177E23"/>
    <w:rsid w:val="00177E3E"/>
    <w:rsid w:val="00177ECD"/>
    <w:rsid w:val="00177FD4"/>
    <w:rsid w:val="0018013A"/>
    <w:rsid w:val="001802C5"/>
    <w:rsid w:val="0018036D"/>
    <w:rsid w:val="0018093B"/>
    <w:rsid w:val="00180CAA"/>
    <w:rsid w:val="00180E1E"/>
    <w:rsid w:val="00180F62"/>
    <w:rsid w:val="0018113A"/>
    <w:rsid w:val="00181201"/>
    <w:rsid w:val="0018149E"/>
    <w:rsid w:val="001814A4"/>
    <w:rsid w:val="00181D85"/>
    <w:rsid w:val="00181E30"/>
    <w:rsid w:val="00182094"/>
    <w:rsid w:val="00182163"/>
    <w:rsid w:val="00182181"/>
    <w:rsid w:val="001822E7"/>
    <w:rsid w:val="001823B0"/>
    <w:rsid w:val="00182593"/>
    <w:rsid w:val="0018274A"/>
    <w:rsid w:val="00182A38"/>
    <w:rsid w:val="00182B44"/>
    <w:rsid w:val="00182BBA"/>
    <w:rsid w:val="00182F30"/>
    <w:rsid w:val="00182FC8"/>
    <w:rsid w:val="0018307E"/>
    <w:rsid w:val="0018310C"/>
    <w:rsid w:val="00183214"/>
    <w:rsid w:val="00183329"/>
    <w:rsid w:val="00183412"/>
    <w:rsid w:val="00183660"/>
    <w:rsid w:val="0018376C"/>
    <w:rsid w:val="001837E2"/>
    <w:rsid w:val="00183816"/>
    <w:rsid w:val="00183831"/>
    <w:rsid w:val="00183AEC"/>
    <w:rsid w:val="00183B41"/>
    <w:rsid w:val="00183B7B"/>
    <w:rsid w:val="00183D16"/>
    <w:rsid w:val="00183DB7"/>
    <w:rsid w:val="00183E36"/>
    <w:rsid w:val="00183F23"/>
    <w:rsid w:val="00183FF4"/>
    <w:rsid w:val="0018407F"/>
    <w:rsid w:val="001840B7"/>
    <w:rsid w:val="0018414A"/>
    <w:rsid w:val="0018422A"/>
    <w:rsid w:val="001842D7"/>
    <w:rsid w:val="00184388"/>
    <w:rsid w:val="0018444B"/>
    <w:rsid w:val="00184623"/>
    <w:rsid w:val="001846F8"/>
    <w:rsid w:val="001847C5"/>
    <w:rsid w:val="00184800"/>
    <w:rsid w:val="0018483A"/>
    <w:rsid w:val="001849C2"/>
    <w:rsid w:val="00184A33"/>
    <w:rsid w:val="00184CEC"/>
    <w:rsid w:val="00184D7C"/>
    <w:rsid w:val="00185089"/>
    <w:rsid w:val="001851F9"/>
    <w:rsid w:val="001852AB"/>
    <w:rsid w:val="001852AD"/>
    <w:rsid w:val="001853F2"/>
    <w:rsid w:val="0018548C"/>
    <w:rsid w:val="0018577E"/>
    <w:rsid w:val="001857AA"/>
    <w:rsid w:val="00185856"/>
    <w:rsid w:val="001859BE"/>
    <w:rsid w:val="00185BC2"/>
    <w:rsid w:val="00185EC7"/>
    <w:rsid w:val="00185F3F"/>
    <w:rsid w:val="001868B0"/>
    <w:rsid w:val="00186B9E"/>
    <w:rsid w:val="00186BFF"/>
    <w:rsid w:val="00186CE7"/>
    <w:rsid w:val="0018711D"/>
    <w:rsid w:val="00187282"/>
    <w:rsid w:val="001873B8"/>
    <w:rsid w:val="001874A1"/>
    <w:rsid w:val="00187689"/>
    <w:rsid w:val="001876D8"/>
    <w:rsid w:val="001877D3"/>
    <w:rsid w:val="0018783A"/>
    <w:rsid w:val="00187A28"/>
    <w:rsid w:val="00187A6F"/>
    <w:rsid w:val="00187A74"/>
    <w:rsid w:val="00187ACF"/>
    <w:rsid w:val="00187B77"/>
    <w:rsid w:val="00187C2D"/>
    <w:rsid w:val="00187C97"/>
    <w:rsid w:val="00187CE1"/>
    <w:rsid w:val="00187D7B"/>
    <w:rsid w:val="00187E28"/>
    <w:rsid w:val="00187ED8"/>
    <w:rsid w:val="00187F22"/>
    <w:rsid w:val="0019005E"/>
    <w:rsid w:val="00190165"/>
    <w:rsid w:val="0019024B"/>
    <w:rsid w:val="001902C7"/>
    <w:rsid w:val="0019051C"/>
    <w:rsid w:val="001906DE"/>
    <w:rsid w:val="00190A92"/>
    <w:rsid w:val="00190AF8"/>
    <w:rsid w:val="00190B0F"/>
    <w:rsid w:val="00190BD4"/>
    <w:rsid w:val="00190CF6"/>
    <w:rsid w:val="00190EA4"/>
    <w:rsid w:val="00190FFE"/>
    <w:rsid w:val="001911FD"/>
    <w:rsid w:val="00191205"/>
    <w:rsid w:val="0019132C"/>
    <w:rsid w:val="00191570"/>
    <w:rsid w:val="001915C0"/>
    <w:rsid w:val="001916EC"/>
    <w:rsid w:val="001917E6"/>
    <w:rsid w:val="00191BA4"/>
    <w:rsid w:val="00191BC5"/>
    <w:rsid w:val="00191CAE"/>
    <w:rsid w:val="00191EC4"/>
    <w:rsid w:val="00192619"/>
    <w:rsid w:val="00192899"/>
    <w:rsid w:val="00192A75"/>
    <w:rsid w:val="00192C05"/>
    <w:rsid w:val="00192C21"/>
    <w:rsid w:val="00192D2A"/>
    <w:rsid w:val="00192DAC"/>
    <w:rsid w:val="00192DB9"/>
    <w:rsid w:val="00193001"/>
    <w:rsid w:val="001931D8"/>
    <w:rsid w:val="0019328E"/>
    <w:rsid w:val="001934D4"/>
    <w:rsid w:val="001938C2"/>
    <w:rsid w:val="00193A20"/>
    <w:rsid w:val="00193AC1"/>
    <w:rsid w:val="00193B1F"/>
    <w:rsid w:val="00193C6F"/>
    <w:rsid w:val="00193CEE"/>
    <w:rsid w:val="00193DFE"/>
    <w:rsid w:val="00194245"/>
    <w:rsid w:val="0019426F"/>
    <w:rsid w:val="00194317"/>
    <w:rsid w:val="0019435A"/>
    <w:rsid w:val="0019436E"/>
    <w:rsid w:val="00194391"/>
    <w:rsid w:val="0019444D"/>
    <w:rsid w:val="001944A0"/>
    <w:rsid w:val="00194554"/>
    <w:rsid w:val="001945B1"/>
    <w:rsid w:val="00194641"/>
    <w:rsid w:val="0019464D"/>
    <w:rsid w:val="00194668"/>
    <w:rsid w:val="001946E6"/>
    <w:rsid w:val="001946F0"/>
    <w:rsid w:val="001947AC"/>
    <w:rsid w:val="00194888"/>
    <w:rsid w:val="001948D6"/>
    <w:rsid w:val="00194928"/>
    <w:rsid w:val="00194964"/>
    <w:rsid w:val="0019498D"/>
    <w:rsid w:val="001949BB"/>
    <w:rsid w:val="00194A2B"/>
    <w:rsid w:val="00194A2D"/>
    <w:rsid w:val="00194A32"/>
    <w:rsid w:val="00194AD6"/>
    <w:rsid w:val="00194BC3"/>
    <w:rsid w:val="00194D5D"/>
    <w:rsid w:val="00194D79"/>
    <w:rsid w:val="00194F6E"/>
    <w:rsid w:val="0019510B"/>
    <w:rsid w:val="001951CB"/>
    <w:rsid w:val="00195262"/>
    <w:rsid w:val="00195512"/>
    <w:rsid w:val="001956A0"/>
    <w:rsid w:val="00195712"/>
    <w:rsid w:val="0019576B"/>
    <w:rsid w:val="001959F5"/>
    <w:rsid w:val="00195B8F"/>
    <w:rsid w:val="00195C6B"/>
    <w:rsid w:val="00195C92"/>
    <w:rsid w:val="00195D28"/>
    <w:rsid w:val="00195D30"/>
    <w:rsid w:val="00195E5E"/>
    <w:rsid w:val="00195EFF"/>
    <w:rsid w:val="00195FE1"/>
    <w:rsid w:val="00196039"/>
    <w:rsid w:val="0019624C"/>
    <w:rsid w:val="0019632D"/>
    <w:rsid w:val="00196355"/>
    <w:rsid w:val="00196421"/>
    <w:rsid w:val="0019652D"/>
    <w:rsid w:val="00196682"/>
    <w:rsid w:val="001966C0"/>
    <w:rsid w:val="00196753"/>
    <w:rsid w:val="0019680B"/>
    <w:rsid w:val="001968AF"/>
    <w:rsid w:val="001968E3"/>
    <w:rsid w:val="001968FB"/>
    <w:rsid w:val="0019690C"/>
    <w:rsid w:val="00196ACA"/>
    <w:rsid w:val="00196C88"/>
    <w:rsid w:val="00196CF3"/>
    <w:rsid w:val="00196E73"/>
    <w:rsid w:val="00196EC9"/>
    <w:rsid w:val="00197068"/>
    <w:rsid w:val="00197069"/>
    <w:rsid w:val="001970DD"/>
    <w:rsid w:val="0019718B"/>
    <w:rsid w:val="0019732E"/>
    <w:rsid w:val="0019735D"/>
    <w:rsid w:val="0019741C"/>
    <w:rsid w:val="0019753F"/>
    <w:rsid w:val="001975BC"/>
    <w:rsid w:val="001976D5"/>
    <w:rsid w:val="001978F6"/>
    <w:rsid w:val="00197934"/>
    <w:rsid w:val="00197DF7"/>
    <w:rsid w:val="001A004A"/>
    <w:rsid w:val="001A0060"/>
    <w:rsid w:val="001A00B7"/>
    <w:rsid w:val="001A019C"/>
    <w:rsid w:val="001A0471"/>
    <w:rsid w:val="001A064A"/>
    <w:rsid w:val="001A0702"/>
    <w:rsid w:val="001A0761"/>
    <w:rsid w:val="001A0867"/>
    <w:rsid w:val="001A08D7"/>
    <w:rsid w:val="001A0932"/>
    <w:rsid w:val="001A0A88"/>
    <w:rsid w:val="001A0CC7"/>
    <w:rsid w:val="001A0CF1"/>
    <w:rsid w:val="001A0D7F"/>
    <w:rsid w:val="001A0DD0"/>
    <w:rsid w:val="001A0E11"/>
    <w:rsid w:val="001A0E5C"/>
    <w:rsid w:val="001A0EBA"/>
    <w:rsid w:val="001A1018"/>
    <w:rsid w:val="001A10C0"/>
    <w:rsid w:val="001A14DC"/>
    <w:rsid w:val="001A1570"/>
    <w:rsid w:val="001A1E2C"/>
    <w:rsid w:val="001A1F90"/>
    <w:rsid w:val="001A20F8"/>
    <w:rsid w:val="001A2321"/>
    <w:rsid w:val="001A2421"/>
    <w:rsid w:val="001A24AB"/>
    <w:rsid w:val="001A24E5"/>
    <w:rsid w:val="001A2597"/>
    <w:rsid w:val="001A269C"/>
    <w:rsid w:val="001A26C9"/>
    <w:rsid w:val="001A275A"/>
    <w:rsid w:val="001A2790"/>
    <w:rsid w:val="001A2A98"/>
    <w:rsid w:val="001A2AA8"/>
    <w:rsid w:val="001A2CA2"/>
    <w:rsid w:val="001A2E8E"/>
    <w:rsid w:val="001A3372"/>
    <w:rsid w:val="001A33EE"/>
    <w:rsid w:val="001A3599"/>
    <w:rsid w:val="001A37C5"/>
    <w:rsid w:val="001A37DC"/>
    <w:rsid w:val="001A3809"/>
    <w:rsid w:val="001A3886"/>
    <w:rsid w:val="001A3891"/>
    <w:rsid w:val="001A395B"/>
    <w:rsid w:val="001A3988"/>
    <w:rsid w:val="001A3A03"/>
    <w:rsid w:val="001A3A2B"/>
    <w:rsid w:val="001A3B7D"/>
    <w:rsid w:val="001A3D3B"/>
    <w:rsid w:val="001A3F58"/>
    <w:rsid w:val="001A425C"/>
    <w:rsid w:val="001A4386"/>
    <w:rsid w:val="001A475D"/>
    <w:rsid w:val="001A47CC"/>
    <w:rsid w:val="001A496D"/>
    <w:rsid w:val="001A4DC7"/>
    <w:rsid w:val="001A4E6B"/>
    <w:rsid w:val="001A4F19"/>
    <w:rsid w:val="001A5061"/>
    <w:rsid w:val="001A514E"/>
    <w:rsid w:val="001A517A"/>
    <w:rsid w:val="001A5264"/>
    <w:rsid w:val="001A531C"/>
    <w:rsid w:val="001A532D"/>
    <w:rsid w:val="001A562E"/>
    <w:rsid w:val="001A5813"/>
    <w:rsid w:val="001A5A2E"/>
    <w:rsid w:val="001A5A52"/>
    <w:rsid w:val="001A5AAD"/>
    <w:rsid w:val="001A5ADC"/>
    <w:rsid w:val="001A5AEA"/>
    <w:rsid w:val="001A5B11"/>
    <w:rsid w:val="001A5B3E"/>
    <w:rsid w:val="001A5C4E"/>
    <w:rsid w:val="001A5D2D"/>
    <w:rsid w:val="001A5DB0"/>
    <w:rsid w:val="001A5E4D"/>
    <w:rsid w:val="001A5EE7"/>
    <w:rsid w:val="001A5FF1"/>
    <w:rsid w:val="001A613C"/>
    <w:rsid w:val="001A6236"/>
    <w:rsid w:val="001A6259"/>
    <w:rsid w:val="001A62E4"/>
    <w:rsid w:val="001A635D"/>
    <w:rsid w:val="001A6361"/>
    <w:rsid w:val="001A63CB"/>
    <w:rsid w:val="001A6460"/>
    <w:rsid w:val="001A666A"/>
    <w:rsid w:val="001A673A"/>
    <w:rsid w:val="001A6744"/>
    <w:rsid w:val="001A676A"/>
    <w:rsid w:val="001A689E"/>
    <w:rsid w:val="001A6A34"/>
    <w:rsid w:val="001A6BDC"/>
    <w:rsid w:val="001A6C82"/>
    <w:rsid w:val="001A6F1C"/>
    <w:rsid w:val="001A6F4A"/>
    <w:rsid w:val="001A714A"/>
    <w:rsid w:val="001A72C8"/>
    <w:rsid w:val="001A740C"/>
    <w:rsid w:val="001A76FD"/>
    <w:rsid w:val="001A7727"/>
    <w:rsid w:val="001A7787"/>
    <w:rsid w:val="001A795C"/>
    <w:rsid w:val="001A7AB2"/>
    <w:rsid w:val="001A7B8D"/>
    <w:rsid w:val="001B0368"/>
    <w:rsid w:val="001B036B"/>
    <w:rsid w:val="001B037E"/>
    <w:rsid w:val="001B0628"/>
    <w:rsid w:val="001B0885"/>
    <w:rsid w:val="001B0921"/>
    <w:rsid w:val="001B0BA1"/>
    <w:rsid w:val="001B0DB7"/>
    <w:rsid w:val="001B0E1F"/>
    <w:rsid w:val="001B0EE3"/>
    <w:rsid w:val="001B0F07"/>
    <w:rsid w:val="001B0FB6"/>
    <w:rsid w:val="001B1002"/>
    <w:rsid w:val="001B1155"/>
    <w:rsid w:val="001B1440"/>
    <w:rsid w:val="001B176E"/>
    <w:rsid w:val="001B17C0"/>
    <w:rsid w:val="001B19BF"/>
    <w:rsid w:val="001B1A89"/>
    <w:rsid w:val="001B1B39"/>
    <w:rsid w:val="001B1B52"/>
    <w:rsid w:val="001B1CBA"/>
    <w:rsid w:val="001B20D9"/>
    <w:rsid w:val="001B2198"/>
    <w:rsid w:val="001B219E"/>
    <w:rsid w:val="001B220F"/>
    <w:rsid w:val="001B228F"/>
    <w:rsid w:val="001B246D"/>
    <w:rsid w:val="001B24EC"/>
    <w:rsid w:val="001B250B"/>
    <w:rsid w:val="001B2543"/>
    <w:rsid w:val="001B26D2"/>
    <w:rsid w:val="001B26F0"/>
    <w:rsid w:val="001B2711"/>
    <w:rsid w:val="001B2803"/>
    <w:rsid w:val="001B29B8"/>
    <w:rsid w:val="001B2A3D"/>
    <w:rsid w:val="001B2B6D"/>
    <w:rsid w:val="001B2D82"/>
    <w:rsid w:val="001B2E2A"/>
    <w:rsid w:val="001B308D"/>
    <w:rsid w:val="001B30F4"/>
    <w:rsid w:val="001B3163"/>
    <w:rsid w:val="001B31E5"/>
    <w:rsid w:val="001B32EF"/>
    <w:rsid w:val="001B33C3"/>
    <w:rsid w:val="001B34B8"/>
    <w:rsid w:val="001B355C"/>
    <w:rsid w:val="001B371B"/>
    <w:rsid w:val="001B3765"/>
    <w:rsid w:val="001B377F"/>
    <w:rsid w:val="001B3846"/>
    <w:rsid w:val="001B38D8"/>
    <w:rsid w:val="001B3BF7"/>
    <w:rsid w:val="001B4073"/>
    <w:rsid w:val="001B40F4"/>
    <w:rsid w:val="001B41D3"/>
    <w:rsid w:val="001B42BB"/>
    <w:rsid w:val="001B43DD"/>
    <w:rsid w:val="001B4459"/>
    <w:rsid w:val="001B4549"/>
    <w:rsid w:val="001B461A"/>
    <w:rsid w:val="001B46A5"/>
    <w:rsid w:val="001B48EB"/>
    <w:rsid w:val="001B4BD6"/>
    <w:rsid w:val="001B4C04"/>
    <w:rsid w:val="001B4C27"/>
    <w:rsid w:val="001B4EF6"/>
    <w:rsid w:val="001B50DE"/>
    <w:rsid w:val="001B51A9"/>
    <w:rsid w:val="001B54CB"/>
    <w:rsid w:val="001B54D9"/>
    <w:rsid w:val="001B5541"/>
    <w:rsid w:val="001B5814"/>
    <w:rsid w:val="001B582C"/>
    <w:rsid w:val="001B5850"/>
    <w:rsid w:val="001B587E"/>
    <w:rsid w:val="001B5AB4"/>
    <w:rsid w:val="001B5E4F"/>
    <w:rsid w:val="001B5F9A"/>
    <w:rsid w:val="001B618F"/>
    <w:rsid w:val="001B61CF"/>
    <w:rsid w:val="001B62F2"/>
    <w:rsid w:val="001B658B"/>
    <w:rsid w:val="001B6596"/>
    <w:rsid w:val="001B6695"/>
    <w:rsid w:val="001B685D"/>
    <w:rsid w:val="001B6ADF"/>
    <w:rsid w:val="001B6BE5"/>
    <w:rsid w:val="001B6C1B"/>
    <w:rsid w:val="001B6D5E"/>
    <w:rsid w:val="001B6DE6"/>
    <w:rsid w:val="001B7055"/>
    <w:rsid w:val="001B736B"/>
    <w:rsid w:val="001B7494"/>
    <w:rsid w:val="001B75E8"/>
    <w:rsid w:val="001B762D"/>
    <w:rsid w:val="001B7794"/>
    <w:rsid w:val="001B77F6"/>
    <w:rsid w:val="001B7828"/>
    <w:rsid w:val="001B7868"/>
    <w:rsid w:val="001B7A4A"/>
    <w:rsid w:val="001B7B23"/>
    <w:rsid w:val="001B7B8A"/>
    <w:rsid w:val="001B7C33"/>
    <w:rsid w:val="001B7C47"/>
    <w:rsid w:val="001B7DF7"/>
    <w:rsid w:val="001B7E52"/>
    <w:rsid w:val="001B7EB0"/>
    <w:rsid w:val="001B7F3C"/>
    <w:rsid w:val="001C001F"/>
    <w:rsid w:val="001C0069"/>
    <w:rsid w:val="001C00AF"/>
    <w:rsid w:val="001C0111"/>
    <w:rsid w:val="001C017C"/>
    <w:rsid w:val="001C01D0"/>
    <w:rsid w:val="001C01DE"/>
    <w:rsid w:val="001C01E6"/>
    <w:rsid w:val="001C0477"/>
    <w:rsid w:val="001C04D8"/>
    <w:rsid w:val="001C06CC"/>
    <w:rsid w:val="001C0764"/>
    <w:rsid w:val="001C0775"/>
    <w:rsid w:val="001C082C"/>
    <w:rsid w:val="001C08A7"/>
    <w:rsid w:val="001C0AD2"/>
    <w:rsid w:val="001C0BF6"/>
    <w:rsid w:val="001C0D00"/>
    <w:rsid w:val="001C0DE4"/>
    <w:rsid w:val="001C0FB6"/>
    <w:rsid w:val="001C10C4"/>
    <w:rsid w:val="001C120A"/>
    <w:rsid w:val="001C12E7"/>
    <w:rsid w:val="001C138B"/>
    <w:rsid w:val="001C1704"/>
    <w:rsid w:val="001C1783"/>
    <w:rsid w:val="001C181A"/>
    <w:rsid w:val="001C1921"/>
    <w:rsid w:val="001C1A34"/>
    <w:rsid w:val="001C1B88"/>
    <w:rsid w:val="001C1D8D"/>
    <w:rsid w:val="001C1E45"/>
    <w:rsid w:val="001C1E4E"/>
    <w:rsid w:val="001C1E72"/>
    <w:rsid w:val="001C1E7F"/>
    <w:rsid w:val="001C1F7B"/>
    <w:rsid w:val="001C20F8"/>
    <w:rsid w:val="001C214F"/>
    <w:rsid w:val="001C21C0"/>
    <w:rsid w:val="001C2368"/>
    <w:rsid w:val="001C241A"/>
    <w:rsid w:val="001C284A"/>
    <w:rsid w:val="001C2BD6"/>
    <w:rsid w:val="001C2CD5"/>
    <w:rsid w:val="001C2D32"/>
    <w:rsid w:val="001C30B8"/>
    <w:rsid w:val="001C3118"/>
    <w:rsid w:val="001C3186"/>
    <w:rsid w:val="001C32CA"/>
    <w:rsid w:val="001C3307"/>
    <w:rsid w:val="001C3439"/>
    <w:rsid w:val="001C376A"/>
    <w:rsid w:val="001C38E5"/>
    <w:rsid w:val="001C393A"/>
    <w:rsid w:val="001C3948"/>
    <w:rsid w:val="001C3C04"/>
    <w:rsid w:val="001C3E9B"/>
    <w:rsid w:val="001C40D6"/>
    <w:rsid w:val="001C40E6"/>
    <w:rsid w:val="001C41B8"/>
    <w:rsid w:val="001C43EB"/>
    <w:rsid w:val="001C4677"/>
    <w:rsid w:val="001C46AF"/>
    <w:rsid w:val="001C4724"/>
    <w:rsid w:val="001C47C8"/>
    <w:rsid w:val="001C48EE"/>
    <w:rsid w:val="001C4966"/>
    <w:rsid w:val="001C4975"/>
    <w:rsid w:val="001C4D08"/>
    <w:rsid w:val="001C4D29"/>
    <w:rsid w:val="001C4D33"/>
    <w:rsid w:val="001C4FFE"/>
    <w:rsid w:val="001C52FB"/>
    <w:rsid w:val="001C5377"/>
    <w:rsid w:val="001C5420"/>
    <w:rsid w:val="001C5426"/>
    <w:rsid w:val="001C5526"/>
    <w:rsid w:val="001C579D"/>
    <w:rsid w:val="001C5914"/>
    <w:rsid w:val="001C5AF6"/>
    <w:rsid w:val="001C5B4C"/>
    <w:rsid w:val="001C5BA5"/>
    <w:rsid w:val="001C5C13"/>
    <w:rsid w:val="001C5CEB"/>
    <w:rsid w:val="001C5EEC"/>
    <w:rsid w:val="001C6063"/>
    <w:rsid w:val="001C60CD"/>
    <w:rsid w:val="001C6161"/>
    <w:rsid w:val="001C6187"/>
    <w:rsid w:val="001C620E"/>
    <w:rsid w:val="001C6225"/>
    <w:rsid w:val="001C6361"/>
    <w:rsid w:val="001C64A0"/>
    <w:rsid w:val="001C64CF"/>
    <w:rsid w:val="001C65A7"/>
    <w:rsid w:val="001C65FB"/>
    <w:rsid w:val="001C672A"/>
    <w:rsid w:val="001C6842"/>
    <w:rsid w:val="001C6897"/>
    <w:rsid w:val="001C68D2"/>
    <w:rsid w:val="001C699B"/>
    <w:rsid w:val="001C69B9"/>
    <w:rsid w:val="001C6AD3"/>
    <w:rsid w:val="001C6D1D"/>
    <w:rsid w:val="001C6D52"/>
    <w:rsid w:val="001C6EBE"/>
    <w:rsid w:val="001C6EC5"/>
    <w:rsid w:val="001C6F26"/>
    <w:rsid w:val="001C6F7A"/>
    <w:rsid w:val="001C701F"/>
    <w:rsid w:val="001C706C"/>
    <w:rsid w:val="001C7079"/>
    <w:rsid w:val="001C7146"/>
    <w:rsid w:val="001C72D8"/>
    <w:rsid w:val="001C72D9"/>
    <w:rsid w:val="001C7532"/>
    <w:rsid w:val="001C7584"/>
    <w:rsid w:val="001C76B2"/>
    <w:rsid w:val="001C76C1"/>
    <w:rsid w:val="001C7859"/>
    <w:rsid w:val="001C790D"/>
    <w:rsid w:val="001C7A29"/>
    <w:rsid w:val="001C7AC1"/>
    <w:rsid w:val="001C7C37"/>
    <w:rsid w:val="001C7CFC"/>
    <w:rsid w:val="001C7E78"/>
    <w:rsid w:val="001C7E8A"/>
    <w:rsid w:val="001C7EAD"/>
    <w:rsid w:val="001C7F5C"/>
    <w:rsid w:val="001D018F"/>
    <w:rsid w:val="001D02D1"/>
    <w:rsid w:val="001D0505"/>
    <w:rsid w:val="001D07AE"/>
    <w:rsid w:val="001D0820"/>
    <w:rsid w:val="001D0AA2"/>
    <w:rsid w:val="001D0B7B"/>
    <w:rsid w:val="001D0BDC"/>
    <w:rsid w:val="001D0C80"/>
    <w:rsid w:val="001D0D8D"/>
    <w:rsid w:val="001D0DCE"/>
    <w:rsid w:val="001D0DE5"/>
    <w:rsid w:val="001D0EB5"/>
    <w:rsid w:val="001D1054"/>
    <w:rsid w:val="001D1151"/>
    <w:rsid w:val="001D182E"/>
    <w:rsid w:val="001D1D2D"/>
    <w:rsid w:val="001D1FB3"/>
    <w:rsid w:val="001D1FED"/>
    <w:rsid w:val="001D1FF2"/>
    <w:rsid w:val="001D2281"/>
    <w:rsid w:val="001D2293"/>
    <w:rsid w:val="001D22BB"/>
    <w:rsid w:val="001D240E"/>
    <w:rsid w:val="001D2426"/>
    <w:rsid w:val="001D242C"/>
    <w:rsid w:val="001D266B"/>
    <w:rsid w:val="001D29EA"/>
    <w:rsid w:val="001D29F0"/>
    <w:rsid w:val="001D2B70"/>
    <w:rsid w:val="001D2C79"/>
    <w:rsid w:val="001D2CC6"/>
    <w:rsid w:val="001D2DBC"/>
    <w:rsid w:val="001D2DC8"/>
    <w:rsid w:val="001D2E0D"/>
    <w:rsid w:val="001D2E76"/>
    <w:rsid w:val="001D2F2B"/>
    <w:rsid w:val="001D301F"/>
    <w:rsid w:val="001D30E3"/>
    <w:rsid w:val="001D316F"/>
    <w:rsid w:val="001D32CF"/>
    <w:rsid w:val="001D334C"/>
    <w:rsid w:val="001D36A5"/>
    <w:rsid w:val="001D36DA"/>
    <w:rsid w:val="001D36E1"/>
    <w:rsid w:val="001D3973"/>
    <w:rsid w:val="001D3A7A"/>
    <w:rsid w:val="001D3C58"/>
    <w:rsid w:val="001D3E4A"/>
    <w:rsid w:val="001D3F60"/>
    <w:rsid w:val="001D4044"/>
    <w:rsid w:val="001D41A7"/>
    <w:rsid w:val="001D42E5"/>
    <w:rsid w:val="001D4655"/>
    <w:rsid w:val="001D4795"/>
    <w:rsid w:val="001D49F6"/>
    <w:rsid w:val="001D4A3B"/>
    <w:rsid w:val="001D4AA3"/>
    <w:rsid w:val="001D4C32"/>
    <w:rsid w:val="001D4D61"/>
    <w:rsid w:val="001D4DE1"/>
    <w:rsid w:val="001D4F99"/>
    <w:rsid w:val="001D4FF7"/>
    <w:rsid w:val="001D4FFD"/>
    <w:rsid w:val="001D519E"/>
    <w:rsid w:val="001D51E3"/>
    <w:rsid w:val="001D549A"/>
    <w:rsid w:val="001D560E"/>
    <w:rsid w:val="001D562D"/>
    <w:rsid w:val="001D56CF"/>
    <w:rsid w:val="001D5806"/>
    <w:rsid w:val="001D5B39"/>
    <w:rsid w:val="001D5BC5"/>
    <w:rsid w:val="001D6036"/>
    <w:rsid w:val="001D607C"/>
    <w:rsid w:val="001D60A1"/>
    <w:rsid w:val="001D616F"/>
    <w:rsid w:val="001D6225"/>
    <w:rsid w:val="001D65E8"/>
    <w:rsid w:val="001D6792"/>
    <w:rsid w:val="001D67BA"/>
    <w:rsid w:val="001D6800"/>
    <w:rsid w:val="001D6A63"/>
    <w:rsid w:val="001D6AC9"/>
    <w:rsid w:val="001D6B52"/>
    <w:rsid w:val="001D6C2E"/>
    <w:rsid w:val="001D6D70"/>
    <w:rsid w:val="001D6E0F"/>
    <w:rsid w:val="001D6ECF"/>
    <w:rsid w:val="001D6EEF"/>
    <w:rsid w:val="001D6FA6"/>
    <w:rsid w:val="001D6FD6"/>
    <w:rsid w:val="001D705F"/>
    <w:rsid w:val="001D70FD"/>
    <w:rsid w:val="001D7116"/>
    <w:rsid w:val="001D7152"/>
    <w:rsid w:val="001D72BE"/>
    <w:rsid w:val="001D730C"/>
    <w:rsid w:val="001D7445"/>
    <w:rsid w:val="001D7817"/>
    <w:rsid w:val="001D783E"/>
    <w:rsid w:val="001D7912"/>
    <w:rsid w:val="001D7B35"/>
    <w:rsid w:val="001D7B9B"/>
    <w:rsid w:val="001D7CB5"/>
    <w:rsid w:val="001D7F4C"/>
    <w:rsid w:val="001E0115"/>
    <w:rsid w:val="001E0139"/>
    <w:rsid w:val="001E0308"/>
    <w:rsid w:val="001E0420"/>
    <w:rsid w:val="001E0498"/>
    <w:rsid w:val="001E055F"/>
    <w:rsid w:val="001E066E"/>
    <w:rsid w:val="001E0894"/>
    <w:rsid w:val="001E08A4"/>
    <w:rsid w:val="001E093C"/>
    <w:rsid w:val="001E0A09"/>
    <w:rsid w:val="001E0A3B"/>
    <w:rsid w:val="001E0BAF"/>
    <w:rsid w:val="001E0C13"/>
    <w:rsid w:val="001E0D5F"/>
    <w:rsid w:val="001E0E14"/>
    <w:rsid w:val="001E0EDB"/>
    <w:rsid w:val="001E13EA"/>
    <w:rsid w:val="001E13ED"/>
    <w:rsid w:val="001E144D"/>
    <w:rsid w:val="001E14E5"/>
    <w:rsid w:val="001E1593"/>
    <w:rsid w:val="001E1680"/>
    <w:rsid w:val="001E168D"/>
    <w:rsid w:val="001E1706"/>
    <w:rsid w:val="001E1810"/>
    <w:rsid w:val="001E1B90"/>
    <w:rsid w:val="001E1D40"/>
    <w:rsid w:val="001E20AD"/>
    <w:rsid w:val="001E219B"/>
    <w:rsid w:val="001E2375"/>
    <w:rsid w:val="001E2397"/>
    <w:rsid w:val="001E23BC"/>
    <w:rsid w:val="001E23E8"/>
    <w:rsid w:val="001E262A"/>
    <w:rsid w:val="001E262C"/>
    <w:rsid w:val="001E279B"/>
    <w:rsid w:val="001E27F8"/>
    <w:rsid w:val="001E289A"/>
    <w:rsid w:val="001E2BAD"/>
    <w:rsid w:val="001E2C64"/>
    <w:rsid w:val="001E2D9A"/>
    <w:rsid w:val="001E2FC4"/>
    <w:rsid w:val="001E3040"/>
    <w:rsid w:val="001E30E2"/>
    <w:rsid w:val="001E329A"/>
    <w:rsid w:val="001E334C"/>
    <w:rsid w:val="001E3412"/>
    <w:rsid w:val="001E36BB"/>
    <w:rsid w:val="001E36F0"/>
    <w:rsid w:val="001E38A4"/>
    <w:rsid w:val="001E3A53"/>
    <w:rsid w:val="001E3AB6"/>
    <w:rsid w:val="001E3BA2"/>
    <w:rsid w:val="001E3D55"/>
    <w:rsid w:val="001E3DF5"/>
    <w:rsid w:val="001E41D6"/>
    <w:rsid w:val="001E42A9"/>
    <w:rsid w:val="001E42C9"/>
    <w:rsid w:val="001E4529"/>
    <w:rsid w:val="001E45C0"/>
    <w:rsid w:val="001E46C2"/>
    <w:rsid w:val="001E4719"/>
    <w:rsid w:val="001E4778"/>
    <w:rsid w:val="001E4929"/>
    <w:rsid w:val="001E4C61"/>
    <w:rsid w:val="001E4C9B"/>
    <w:rsid w:val="001E4CF7"/>
    <w:rsid w:val="001E4D48"/>
    <w:rsid w:val="001E4DFC"/>
    <w:rsid w:val="001E4E22"/>
    <w:rsid w:val="001E4E55"/>
    <w:rsid w:val="001E4E5B"/>
    <w:rsid w:val="001E4F69"/>
    <w:rsid w:val="001E522D"/>
    <w:rsid w:val="001E52E8"/>
    <w:rsid w:val="001E52F5"/>
    <w:rsid w:val="001E5376"/>
    <w:rsid w:val="001E5515"/>
    <w:rsid w:val="001E55F3"/>
    <w:rsid w:val="001E56A9"/>
    <w:rsid w:val="001E584B"/>
    <w:rsid w:val="001E5880"/>
    <w:rsid w:val="001E58A4"/>
    <w:rsid w:val="001E5954"/>
    <w:rsid w:val="001E5DCC"/>
    <w:rsid w:val="001E5E6A"/>
    <w:rsid w:val="001E5EAE"/>
    <w:rsid w:val="001E6084"/>
    <w:rsid w:val="001E60BC"/>
    <w:rsid w:val="001E651E"/>
    <w:rsid w:val="001E6B16"/>
    <w:rsid w:val="001E6C03"/>
    <w:rsid w:val="001E6C36"/>
    <w:rsid w:val="001E6CD5"/>
    <w:rsid w:val="001E6EE7"/>
    <w:rsid w:val="001E7054"/>
    <w:rsid w:val="001E7193"/>
    <w:rsid w:val="001E71DA"/>
    <w:rsid w:val="001E7261"/>
    <w:rsid w:val="001E73B8"/>
    <w:rsid w:val="001E74E9"/>
    <w:rsid w:val="001E796C"/>
    <w:rsid w:val="001E79C8"/>
    <w:rsid w:val="001E7A5E"/>
    <w:rsid w:val="001E7A6A"/>
    <w:rsid w:val="001E7BE1"/>
    <w:rsid w:val="001E7D29"/>
    <w:rsid w:val="001E7D89"/>
    <w:rsid w:val="001E7E6C"/>
    <w:rsid w:val="001E7EE4"/>
    <w:rsid w:val="001E7F0F"/>
    <w:rsid w:val="001F00DD"/>
    <w:rsid w:val="001F01C1"/>
    <w:rsid w:val="001F01F7"/>
    <w:rsid w:val="001F0332"/>
    <w:rsid w:val="001F033E"/>
    <w:rsid w:val="001F04A2"/>
    <w:rsid w:val="001F050A"/>
    <w:rsid w:val="001F0523"/>
    <w:rsid w:val="001F05CA"/>
    <w:rsid w:val="001F07E4"/>
    <w:rsid w:val="001F0901"/>
    <w:rsid w:val="001F097A"/>
    <w:rsid w:val="001F097C"/>
    <w:rsid w:val="001F09A9"/>
    <w:rsid w:val="001F09DC"/>
    <w:rsid w:val="001F09F9"/>
    <w:rsid w:val="001F0C5B"/>
    <w:rsid w:val="001F0C6E"/>
    <w:rsid w:val="001F0F89"/>
    <w:rsid w:val="001F0FAB"/>
    <w:rsid w:val="001F0FD5"/>
    <w:rsid w:val="001F119A"/>
    <w:rsid w:val="001F11B7"/>
    <w:rsid w:val="001F124B"/>
    <w:rsid w:val="001F12DD"/>
    <w:rsid w:val="001F136B"/>
    <w:rsid w:val="001F140F"/>
    <w:rsid w:val="001F1531"/>
    <w:rsid w:val="001F16B5"/>
    <w:rsid w:val="001F1A72"/>
    <w:rsid w:val="001F1B0A"/>
    <w:rsid w:val="001F1B2A"/>
    <w:rsid w:val="001F1CA6"/>
    <w:rsid w:val="001F216E"/>
    <w:rsid w:val="001F221B"/>
    <w:rsid w:val="001F2319"/>
    <w:rsid w:val="001F2714"/>
    <w:rsid w:val="001F276F"/>
    <w:rsid w:val="001F286D"/>
    <w:rsid w:val="001F2B92"/>
    <w:rsid w:val="001F2BA4"/>
    <w:rsid w:val="001F2D28"/>
    <w:rsid w:val="001F304B"/>
    <w:rsid w:val="001F309F"/>
    <w:rsid w:val="001F31BA"/>
    <w:rsid w:val="001F32BC"/>
    <w:rsid w:val="001F334E"/>
    <w:rsid w:val="001F3467"/>
    <w:rsid w:val="001F362A"/>
    <w:rsid w:val="001F3B1B"/>
    <w:rsid w:val="001F3D37"/>
    <w:rsid w:val="001F3D3B"/>
    <w:rsid w:val="001F4026"/>
    <w:rsid w:val="001F403F"/>
    <w:rsid w:val="001F41A8"/>
    <w:rsid w:val="001F43E2"/>
    <w:rsid w:val="001F43E8"/>
    <w:rsid w:val="001F4658"/>
    <w:rsid w:val="001F466F"/>
    <w:rsid w:val="001F4727"/>
    <w:rsid w:val="001F47DA"/>
    <w:rsid w:val="001F4A55"/>
    <w:rsid w:val="001F4CC4"/>
    <w:rsid w:val="001F4D2A"/>
    <w:rsid w:val="001F4DCB"/>
    <w:rsid w:val="001F4F9D"/>
    <w:rsid w:val="001F502B"/>
    <w:rsid w:val="001F51C5"/>
    <w:rsid w:val="001F52E8"/>
    <w:rsid w:val="001F537B"/>
    <w:rsid w:val="001F540E"/>
    <w:rsid w:val="001F56E9"/>
    <w:rsid w:val="001F5865"/>
    <w:rsid w:val="001F5931"/>
    <w:rsid w:val="001F5C8A"/>
    <w:rsid w:val="001F5D21"/>
    <w:rsid w:val="001F5D5C"/>
    <w:rsid w:val="001F60D6"/>
    <w:rsid w:val="001F6465"/>
    <w:rsid w:val="001F666C"/>
    <w:rsid w:val="001F67B7"/>
    <w:rsid w:val="001F681F"/>
    <w:rsid w:val="001F6897"/>
    <w:rsid w:val="001F6AA1"/>
    <w:rsid w:val="001F6CB5"/>
    <w:rsid w:val="001F6F5A"/>
    <w:rsid w:val="001F6FA7"/>
    <w:rsid w:val="001F6FB3"/>
    <w:rsid w:val="001F7034"/>
    <w:rsid w:val="001F7381"/>
    <w:rsid w:val="001F75D4"/>
    <w:rsid w:val="001F7762"/>
    <w:rsid w:val="001F7803"/>
    <w:rsid w:val="001F79BF"/>
    <w:rsid w:val="001F7AD1"/>
    <w:rsid w:val="001F7AE6"/>
    <w:rsid w:val="001F7B2E"/>
    <w:rsid w:val="001F7D9C"/>
    <w:rsid w:val="001F7DDE"/>
    <w:rsid w:val="001F7EC4"/>
    <w:rsid w:val="00200046"/>
    <w:rsid w:val="002000AF"/>
    <w:rsid w:val="00200115"/>
    <w:rsid w:val="00200406"/>
    <w:rsid w:val="002004FE"/>
    <w:rsid w:val="00200553"/>
    <w:rsid w:val="002006AA"/>
    <w:rsid w:val="00200894"/>
    <w:rsid w:val="002008BF"/>
    <w:rsid w:val="002008D9"/>
    <w:rsid w:val="00200929"/>
    <w:rsid w:val="00200A69"/>
    <w:rsid w:val="00200CFD"/>
    <w:rsid w:val="00200F89"/>
    <w:rsid w:val="0020116C"/>
    <w:rsid w:val="00201193"/>
    <w:rsid w:val="002011B4"/>
    <w:rsid w:val="002012D7"/>
    <w:rsid w:val="002014AF"/>
    <w:rsid w:val="002014EF"/>
    <w:rsid w:val="002015C6"/>
    <w:rsid w:val="0020161A"/>
    <w:rsid w:val="002016C7"/>
    <w:rsid w:val="00201715"/>
    <w:rsid w:val="002017BD"/>
    <w:rsid w:val="00201823"/>
    <w:rsid w:val="00201B26"/>
    <w:rsid w:val="00201B29"/>
    <w:rsid w:val="00201B36"/>
    <w:rsid w:val="00201B8D"/>
    <w:rsid w:val="00201E61"/>
    <w:rsid w:val="00201EA4"/>
    <w:rsid w:val="0020219B"/>
    <w:rsid w:val="00202254"/>
    <w:rsid w:val="002022D9"/>
    <w:rsid w:val="00202334"/>
    <w:rsid w:val="002024D0"/>
    <w:rsid w:val="00202636"/>
    <w:rsid w:val="002026D3"/>
    <w:rsid w:val="00202750"/>
    <w:rsid w:val="00202B0F"/>
    <w:rsid w:val="00202C8A"/>
    <w:rsid w:val="00202CC9"/>
    <w:rsid w:val="00202E12"/>
    <w:rsid w:val="00202F78"/>
    <w:rsid w:val="00203152"/>
    <w:rsid w:val="002034F0"/>
    <w:rsid w:val="0020360D"/>
    <w:rsid w:val="00203679"/>
    <w:rsid w:val="002038D5"/>
    <w:rsid w:val="002039A3"/>
    <w:rsid w:val="00203B9A"/>
    <w:rsid w:val="00203BE1"/>
    <w:rsid w:val="00203C3D"/>
    <w:rsid w:val="00203D1F"/>
    <w:rsid w:val="00203D5E"/>
    <w:rsid w:val="00203F74"/>
    <w:rsid w:val="002040ED"/>
    <w:rsid w:val="002041D9"/>
    <w:rsid w:val="002043D6"/>
    <w:rsid w:val="002043F1"/>
    <w:rsid w:val="002045E3"/>
    <w:rsid w:val="002047A1"/>
    <w:rsid w:val="0020482E"/>
    <w:rsid w:val="00204881"/>
    <w:rsid w:val="00204947"/>
    <w:rsid w:val="0020494F"/>
    <w:rsid w:val="00204AF8"/>
    <w:rsid w:val="00204B6C"/>
    <w:rsid w:val="00204BEB"/>
    <w:rsid w:val="00204C93"/>
    <w:rsid w:val="00204DBC"/>
    <w:rsid w:val="00204EFF"/>
    <w:rsid w:val="00204FB7"/>
    <w:rsid w:val="0020504A"/>
    <w:rsid w:val="00205086"/>
    <w:rsid w:val="002051BF"/>
    <w:rsid w:val="0020520C"/>
    <w:rsid w:val="0020525D"/>
    <w:rsid w:val="00205341"/>
    <w:rsid w:val="0020557C"/>
    <w:rsid w:val="002055C4"/>
    <w:rsid w:val="00205629"/>
    <w:rsid w:val="0020582F"/>
    <w:rsid w:val="00205998"/>
    <w:rsid w:val="00205AFD"/>
    <w:rsid w:val="00205B7B"/>
    <w:rsid w:val="00205B83"/>
    <w:rsid w:val="00205E19"/>
    <w:rsid w:val="00205EE9"/>
    <w:rsid w:val="00205F70"/>
    <w:rsid w:val="00206030"/>
    <w:rsid w:val="002060E8"/>
    <w:rsid w:val="00206128"/>
    <w:rsid w:val="0020628E"/>
    <w:rsid w:val="00206493"/>
    <w:rsid w:val="0020650C"/>
    <w:rsid w:val="002065C2"/>
    <w:rsid w:val="002065EC"/>
    <w:rsid w:val="00206632"/>
    <w:rsid w:val="0020675C"/>
    <w:rsid w:val="002067BA"/>
    <w:rsid w:val="002067EE"/>
    <w:rsid w:val="00206A5A"/>
    <w:rsid w:val="00206C20"/>
    <w:rsid w:val="00206DF6"/>
    <w:rsid w:val="00207290"/>
    <w:rsid w:val="002072F2"/>
    <w:rsid w:val="002072FB"/>
    <w:rsid w:val="0020735F"/>
    <w:rsid w:val="00207402"/>
    <w:rsid w:val="0020753E"/>
    <w:rsid w:val="00207773"/>
    <w:rsid w:val="00207A96"/>
    <w:rsid w:val="00207B3E"/>
    <w:rsid w:val="00207CB1"/>
    <w:rsid w:val="00207FDD"/>
    <w:rsid w:val="002100CA"/>
    <w:rsid w:val="002100F9"/>
    <w:rsid w:val="002101B1"/>
    <w:rsid w:val="002101BB"/>
    <w:rsid w:val="00210336"/>
    <w:rsid w:val="0021038E"/>
    <w:rsid w:val="00210395"/>
    <w:rsid w:val="0021042A"/>
    <w:rsid w:val="002104FA"/>
    <w:rsid w:val="002105B2"/>
    <w:rsid w:val="0021060E"/>
    <w:rsid w:val="0021089A"/>
    <w:rsid w:val="00210A59"/>
    <w:rsid w:val="00210BCB"/>
    <w:rsid w:val="00210C8E"/>
    <w:rsid w:val="00210FCA"/>
    <w:rsid w:val="00211018"/>
    <w:rsid w:val="0021103E"/>
    <w:rsid w:val="002111E9"/>
    <w:rsid w:val="00211258"/>
    <w:rsid w:val="0021139C"/>
    <w:rsid w:val="002114FA"/>
    <w:rsid w:val="002115CC"/>
    <w:rsid w:val="0021174D"/>
    <w:rsid w:val="00211994"/>
    <w:rsid w:val="00211B01"/>
    <w:rsid w:val="00211B99"/>
    <w:rsid w:val="00211D63"/>
    <w:rsid w:val="00211E17"/>
    <w:rsid w:val="00212048"/>
    <w:rsid w:val="00212267"/>
    <w:rsid w:val="00212307"/>
    <w:rsid w:val="0021233F"/>
    <w:rsid w:val="0021237B"/>
    <w:rsid w:val="002124D0"/>
    <w:rsid w:val="002124D9"/>
    <w:rsid w:val="00212623"/>
    <w:rsid w:val="0021267D"/>
    <w:rsid w:val="00212973"/>
    <w:rsid w:val="00212A9E"/>
    <w:rsid w:val="00212BA9"/>
    <w:rsid w:val="00212CB9"/>
    <w:rsid w:val="00212D84"/>
    <w:rsid w:val="00212E5F"/>
    <w:rsid w:val="00212F68"/>
    <w:rsid w:val="00213000"/>
    <w:rsid w:val="002131B9"/>
    <w:rsid w:val="0021325B"/>
    <w:rsid w:val="002132E0"/>
    <w:rsid w:val="00213420"/>
    <w:rsid w:val="00213764"/>
    <w:rsid w:val="00213896"/>
    <w:rsid w:val="002138E0"/>
    <w:rsid w:val="00213996"/>
    <w:rsid w:val="00213B8B"/>
    <w:rsid w:val="00213C4D"/>
    <w:rsid w:val="00213DF0"/>
    <w:rsid w:val="00213DF5"/>
    <w:rsid w:val="00214160"/>
    <w:rsid w:val="00214189"/>
    <w:rsid w:val="002141DD"/>
    <w:rsid w:val="00214402"/>
    <w:rsid w:val="002144E2"/>
    <w:rsid w:val="0021477C"/>
    <w:rsid w:val="00214820"/>
    <w:rsid w:val="00214920"/>
    <w:rsid w:val="00214B4A"/>
    <w:rsid w:val="00214BDC"/>
    <w:rsid w:val="0021535D"/>
    <w:rsid w:val="0021571D"/>
    <w:rsid w:val="0021582D"/>
    <w:rsid w:val="00215883"/>
    <w:rsid w:val="00215A3D"/>
    <w:rsid w:val="00215D4E"/>
    <w:rsid w:val="00215D80"/>
    <w:rsid w:val="00215F42"/>
    <w:rsid w:val="00216021"/>
    <w:rsid w:val="00216034"/>
    <w:rsid w:val="00216147"/>
    <w:rsid w:val="0021615D"/>
    <w:rsid w:val="00216347"/>
    <w:rsid w:val="00216444"/>
    <w:rsid w:val="0021652A"/>
    <w:rsid w:val="00216542"/>
    <w:rsid w:val="00216568"/>
    <w:rsid w:val="002165AD"/>
    <w:rsid w:val="00216615"/>
    <w:rsid w:val="00216784"/>
    <w:rsid w:val="00216AA0"/>
    <w:rsid w:val="00216B7E"/>
    <w:rsid w:val="00216CC7"/>
    <w:rsid w:val="00216CCE"/>
    <w:rsid w:val="00216CE3"/>
    <w:rsid w:val="00216CF6"/>
    <w:rsid w:val="002170A9"/>
    <w:rsid w:val="002172DA"/>
    <w:rsid w:val="0021735E"/>
    <w:rsid w:val="00217488"/>
    <w:rsid w:val="002174FA"/>
    <w:rsid w:val="002175A9"/>
    <w:rsid w:val="00217835"/>
    <w:rsid w:val="00217A46"/>
    <w:rsid w:val="00217C5C"/>
    <w:rsid w:val="00217D5B"/>
    <w:rsid w:val="00217F00"/>
    <w:rsid w:val="00217F12"/>
    <w:rsid w:val="00217F42"/>
    <w:rsid w:val="002200D8"/>
    <w:rsid w:val="00220169"/>
    <w:rsid w:val="002201DA"/>
    <w:rsid w:val="00220230"/>
    <w:rsid w:val="00220352"/>
    <w:rsid w:val="002207B3"/>
    <w:rsid w:val="002207E1"/>
    <w:rsid w:val="0022083C"/>
    <w:rsid w:val="0022087B"/>
    <w:rsid w:val="0022095E"/>
    <w:rsid w:val="00220A20"/>
    <w:rsid w:val="00220B38"/>
    <w:rsid w:val="00220CFE"/>
    <w:rsid w:val="00220F55"/>
    <w:rsid w:val="00221015"/>
    <w:rsid w:val="00221089"/>
    <w:rsid w:val="0022112F"/>
    <w:rsid w:val="00221156"/>
    <w:rsid w:val="0022117B"/>
    <w:rsid w:val="00221503"/>
    <w:rsid w:val="00221557"/>
    <w:rsid w:val="002215AE"/>
    <w:rsid w:val="00221699"/>
    <w:rsid w:val="00221777"/>
    <w:rsid w:val="00221A0A"/>
    <w:rsid w:val="00221A2E"/>
    <w:rsid w:val="00221B1C"/>
    <w:rsid w:val="00221B43"/>
    <w:rsid w:val="00221C67"/>
    <w:rsid w:val="00221C8F"/>
    <w:rsid w:val="00221C9A"/>
    <w:rsid w:val="00221CEF"/>
    <w:rsid w:val="00221D4E"/>
    <w:rsid w:val="00221E93"/>
    <w:rsid w:val="00221F80"/>
    <w:rsid w:val="002220D3"/>
    <w:rsid w:val="00222146"/>
    <w:rsid w:val="00222162"/>
    <w:rsid w:val="00222489"/>
    <w:rsid w:val="002225EB"/>
    <w:rsid w:val="002226DE"/>
    <w:rsid w:val="00222945"/>
    <w:rsid w:val="00222957"/>
    <w:rsid w:val="002229E1"/>
    <w:rsid w:val="00222A97"/>
    <w:rsid w:val="00222B67"/>
    <w:rsid w:val="00222C72"/>
    <w:rsid w:val="00222D41"/>
    <w:rsid w:val="00222EAE"/>
    <w:rsid w:val="002232B3"/>
    <w:rsid w:val="00223306"/>
    <w:rsid w:val="00223331"/>
    <w:rsid w:val="00223391"/>
    <w:rsid w:val="002234B9"/>
    <w:rsid w:val="00223A47"/>
    <w:rsid w:val="00223B05"/>
    <w:rsid w:val="00223CE5"/>
    <w:rsid w:val="00223EB3"/>
    <w:rsid w:val="00223F00"/>
    <w:rsid w:val="00223F58"/>
    <w:rsid w:val="00223F77"/>
    <w:rsid w:val="00224214"/>
    <w:rsid w:val="002242CA"/>
    <w:rsid w:val="00224393"/>
    <w:rsid w:val="002243FB"/>
    <w:rsid w:val="002245BA"/>
    <w:rsid w:val="002245E7"/>
    <w:rsid w:val="00224679"/>
    <w:rsid w:val="002246AC"/>
    <w:rsid w:val="00224825"/>
    <w:rsid w:val="00224A85"/>
    <w:rsid w:val="00224D90"/>
    <w:rsid w:val="002250EC"/>
    <w:rsid w:val="00225123"/>
    <w:rsid w:val="00225131"/>
    <w:rsid w:val="002251FC"/>
    <w:rsid w:val="0022522C"/>
    <w:rsid w:val="002252D3"/>
    <w:rsid w:val="00225574"/>
    <w:rsid w:val="0022571F"/>
    <w:rsid w:val="00225837"/>
    <w:rsid w:val="0022584A"/>
    <w:rsid w:val="002259B6"/>
    <w:rsid w:val="002259F5"/>
    <w:rsid w:val="00225ACB"/>
    <w:rsid w:val="00225D68"/>
    <w:rsid w:val="00225EAC"/>
    <w:rsid w:val="00226321"/>
    <w:rsid w:val="00226347"/>
    <w:rsid w:val="0022650B"/>
    <w:rsid w:val="0022670B"/>
    <w:rsid w:val="00226B44"/>
    <w:rsid w:val="00226D32"/>
    <w:rsid w:val="00226E93"/>
    <w:rsid w:val="00226EF3"/>
    <w:rsid w:val="00226EFC"/>
    <w:rsid w:val="00226F20"/>
    <w:rsid w:val="00226F52"/>
    <w:rsid w:val="00226F6B"/>
    <w:rsid w:val="002270CC"/>
    <w:rsid w:val="00227257"/>
    <w:rsid w:val="00227598"/>
    <w:rsid w:val="002278A1"/>
    <w:rsid w:val="002278D4"/>
    <w:rsid w:val="0022791B"/>
    <w:rsid w:val="00227AEC"/>
    <w:rsid w:val="00227AFB"/>
    <w:rsid w:val="00227AFC"/>
    <w:rsid w:val="00227B67"/>
    <w:rsid w:val="00227C0C"/>
    <w:rsid w:val="00227C5F"/>
    <w:rsid w:val="00227C72"/>
    <w:rsid w:val="00227D29"/>
    <w:rsid w:val="00227D46"/>
    <w:rsid w:val="00227E27"/>
    <w:rsid w:val="00227F5E"/>
    <w:rsid w:val="00227FE9"/>
    <w:rsid w:val="0023002C"/>
    <w:rsid w:val="0023008D"/>
    <w:rsid w:val="002302A8"/>
    <w:rsid w:val="002303A9"/>
    <w:rsid w:val="002303D3"/>
    <w:rsid w:val="002304DC"/>
    <w:rsid w:val="002304FB"/>
    <w:rsid w:val="002305F3"/>
    <w:rsid w:val="002306C5"/>
    <w:rsid w:val="00230736"/>
    <w:rsid w:val="002308D5"/>
    <w:rsid w:val="0023095B"/>
    <w:rsid w:val="002309DD"/>
    <w:rsid w:val="00230ACA"/>
    <w:rsid w:val="00230C8B"/>
    <w:rsid w:val="00230D59"/>
    <w:rsid w:val="00230D94"/>
    <w:rsid w:val="00230EF2"/>
    <w:rsid w:val="00231206"/>
    <w:rsid w:val="0023122E"/>
    <w:rsid w:val="002314FC"/>
    <w:rsid w:val="00231533"/>
    <w:rsid w:val="002317E2"/>
    <w:rsid w:val="00231827"/>
    <w:rsid w:val="00231C24"/>
    <w:rsid w:val="00231E8D"/>
    <w:rsid w:val="00231EC2"/>
    <w:rsid w:val="002322DD"/>
    <w:rsid w:val="00232A54"/>
    <w:rsid w:val="00232AB3"/>
    <w:rsid w:val="00232BCD"/>
    <w:rsid w:val="00232C33"/>
    <w:rsid w:val="00232D9B"/>
    <w:rsid w:val="00232EB0"/>
    <w:rsid w:val="0023306C"/>
    <w:rsid w:val="002331CB"/>
    <w:rsid w:val="0023326F"/>
    <w:rsid w:val="002334F0"/>
    <w:rsid w:val="00233600"/>
    <w:rsid w:val="00233691"/>
    <w:rsid w:val="002338B1"/>
    <w:rsid w:val="002338FA"/>
    <w:rsid w:val="00233BAC"/>
    <w:rsid w:val="00233C99"/>
    <w:rsid w:val="00233EE8"/>
    <w:rsid w:val="00233F31"/>
    <w:rsid w:val="002341C8"/>
    <w:rsid w:val="002341CF"/>
    <w:rsid w:val="0023454C"/>
    <w:rsid w:val="00234564"/>
    <w:rsid w:val="0023461A"/>
    <w:rsid w:val="002346BA"/>
    <w:rsid w:val="00234751"/>
    <w:rsid w:val="00234863"/>
    <w:rsid w:val="00234878"/>
    <w:rsid w:val="0023493C"/>
    <w:rsid w:val="00234A99"/>
    <w:rsid w:val="00234AFB"/>
    <w:rsid w:val="00234C07"/>
    <w:rsid w:val="00234E16"/>
    <w:rsid w:val="00234FD9"/>
    <w:rsid w:val="002350CA"/>
    <w:rsid w:val="00235611"/>
    <w:rsid w:val="00235640"/>
    <w:rsid w:val="0023569F"/>
    <w:rsid w:val="002359FE"/>
    <w:rsid w:val="00235A23"/>
    <w:rsid w:val="00235ACD"/>
    <w:rsid w:val="0023608A"/>
    <w:rsid w:val="0023612F"/>
    <w:rsid w:val="0023627D"/>
    <w:rsid w:val="002364A3"/>
    <w:rsid w:val="002364DB"/>
    <w:rsid w:val="002365E7"/>
    <w:rsid w:val="00236607"/>
    <w:rsid w:val="0023681C"/>
    <w:rsid w:val="00236A26"/>
    <w:rsid w:val="00236E10"/>
    <w:rsid w:val="00236E25"/>
    <w:rsid w:val="00236E7B"/>
    <w:rsid w:val="00236F24"/>
    <w:rsid w:val="00236F40"/>
    <w:rsid w:val="002370D7"/>
    <w:rsid w:val="002372D1"/>
    <w:rsid w:val="00237545"/>
    <w:rsid w:val="002375CE"/>
    <w:rsid w:val="0023768F"/>
    <w:rsid w:val="002376AD"/>
    <w:rsid w:val="0023777F"/>
    <w:rsid w:val="002377C1"/>
    <w:rsid w:val="00237857"/>
    <w:rsid w:val="00237876"/>
    <w:rsid w:val="00237993"/>
    <w:rsid w:val="002379BD"/>
    <w:rsid w:val="00237A15"/>
    <w:rsid w:val="00237A62"/>
    <w:rsid w:val="00237AD4"/>
    <w:rsid w:val="00237B2D"/>
    <w:rsid w:val="00237BBF"/>
    <w:rsid w:val="00237DB5"/>
    <w:rsid w:val="00237DC8"/>
    <w:rsid w:val="00240073"/>
    <w:rsid w:val="002403FE"/>
    <w:rsid w:val="002404FD"/>
    <w:rsid w:val="0024075C"/>
    <w:rsid w:val="002407E5"/>
    <w:rsid w:val="00240802"/>
    <w:rsid w:val="00240869"/>
    <w:rsid w:val="002408E8"/>
    <w:rsid w:val="0024096C"/>
    <w:rsid w:val="00240DEB"/>
    <w:rsid w:val="00240DFB"/>
    <w:rsid w:val="00240E8B"/>
    <w:rsid w:val="00240F74"/>
    <w:rsid w:val="002410C3"/>
    <w:rsid w:val="002411ED"/>
    <w:rsid w:val="002411F6"/>
    <w:rsid w:val="0024135E"/>
    <w:rsid w:val="002413B2"/>
    <w:rsid w:val="0024185A"/>
    <w:rsid w:val="002418B7"/>
    <w:rsid w:val="00241B76"/>
    <w:rsid w:val="00241C02"/>
    <w:rsid w:val="00241C2D"/>
    <w:rsid w:val="00241CE8"/>
    <w:rsid w:val="00241D7D"/>
    <w:rsid w:val="00241E44"/>
    <w:rsid w:val="00241F6B"/>
    <w:rsid w:val="00241FAD"/>
    <w:rsid w:val="0024223F"/>
    <w:rsid w:val="0024224C"/>
    <w:rsid w:val="0024238D"/>
    <w:rsid w:val="0024239D"/>
    <w:rsid w:val="00242453"/>
    <w:rsid w:val="0024246E"/>
    <w:rsid w:val="0024255C"/>
    <w:rsid w:val="00242621"/>
    <w:rsid w:val="00242C4C"/>
    <w:rsid w:val="00243084"/>
    <w:rsid w:val="002433BA"/>
    <w:rsid w:val="0024357D"/>
    <w:rsid w:val="0024370A"/>
    <w:rsid w:val="00243734"/>
    <w:rsid w:val="00243A67"/>
    <w:rsid w:val="00243D8E"/>
    <w:rsid w:val="00243E56"/>
    <w:rsid w:val="0024405C"/>
    <w:rsid w:val="0024432B"/>
    <w:rsid w:val="002443B8"/>
    <w:rsid w:val="002443DC"/>
    <w:rsid w:val="00244437"/>
    <w:rsid w:val="0024448B"/>
    <w:rsid w:val="002444E5"/>
    <w:rsid w:val="00244602"/>
    <w:rsid w:val="00244638"/>
    <w:rsid w:val="002447E6"/>
    <w:rsid w:val="002448C2"/>
    <w:rsid w:val="002448FA"/>
    <w:rsid w:val="0024496C"/>
    <w:rsid w:val="00244AC5"/>
    <w:rsid w:val="00244B8A"/>
    <w:rsid w:val="00244C9D"/>
    <w:rsid w:val="00244DB8"/>
    <w:rsid w:val="002450D2"/>
    <w:rsid w:val="002450EE"/>
    <w:rsid w:val="002452A3"/>
    <w:rsid w:val="0024540F"/>
    <w:rsid w:val="002454B2"/>
    <w:rsid w:val="002454FE"/>
    <w:rsid w:val="002455C4"/>
    <w:rsid w:val="002455C8"/>
    <w:rsid w:val="00245656"/>
    <w:rsid w:val="00245707"/>
    <w:rsid w:val="00245930"/>
    <w:rsid w:val="00245945"/>
    <w:rsid w:val="00245A9E"/>
    <w:rsid w:val="00245BB7"/>
    <w:rsid w:val="00245BE5"/>
    <w:rsid w:val="00245FD2"/>
    <w:rsid w:val="002460C8"/>
    <w:rsid w:val="002460D7"/>
    <w:rsid w:val="00246298"/>
    <w:rsid w:val="00246474"/>
    <w:rsid w:val="002464CB"/>
    <w:rsid w:val="0024663F"/>
    <w:rsid w:val="002466AF"/>
    <w:rsid w:val="002466D9"/>
    <w:rsid w:val="00246789"/>
    <w:rsid w:val="002467AE"/>
    <w:rsid w:val="00246885"/>
    <w:rsid w:val="00246A1E"/>
    <w:rsid w:val="00246A9A"/>
    <w:rsid w:val="00246C45"/>
    <w:rsid w:val="00246EEF"/>
    <w:rsid w:val="00246F6A"/>
    <w:rsid w:val="0024710B"/>
    <w:rsid w:val="00247191"/>
    <w:rsid w:val="002471A7"/>
    <w:rsid w:val="002471A8"/>
    <w:rsid w:val="0024731E"/>
    <w:rsid w:val="00247693"/>
    <w:rsid w:val="0024793E"/>
    <w:rsid w:val="0024795B"/>
    <w:rsid w:val="00247A6A"/>
    <w:rsid w:val="00247B24"/>
    <w:rsid w:val="00247B33"/>
    <w:rsid w:val="00247BE2"/>
    <w:rsid w:val="00247C82"/>
    <w:rsid w:val="00247F19"/>
    <w:rsid w:val="00247F92"/>
    <w:rsid w:val="00250098"/>
    <w:rsid w:val="002502FB"/>
    <w:rsid w:val="002503AB"/>
    <w:rsid w:val="00250677"/>
    <w:rsid w:val="0025069E"/>
    <w:rsid w:val="002506C3"/>
    <w:rsid w:val="0025071D"/>
    <w:rsid w:val="00250736"/>
    <w:rsid w:val="00250757"/>
    <w:rsid w:val="00250811"/>
    <w:rsid w:val="00250840"/>
    <w:rsid w:val="00250841"/>
    <w:rsid w:val="00250BAD"/>
    <w:rsid w:val="00250BDE"/>
    <w:rsid w:val="00250C7C"/>
    <w:rsid w:val="00250D87"/>
    <w:rsid w:val="002511FE"/>
    <w:rsid w:val="00251362"/>
    <w:rsid w:val="00251379"/>
    <w:rsid w:val="002514FD"/>
    <w:rsid w:val="00251653"/>
    <w:rsid w:val="002517D6"/>
    <w:rsid w:val="00251823"/>
    <w:rsid w:val="002518DA"/>
    <w:rsid w:val="00251A89"/>
    <w:rsid w:val="00251DEE"/>
    <w:rsid w:val="00251E17"/>
    <w:rsid w:val="00251FED"/>
    <w:rsid w:val="0025214B"/>
    <w:rsid w:val="00252249"/>
    <w:rsid w:val="002522A8"/>
    <w:rsid w:val="00252691"/>
    <w:rsid w:val="0025275C"/>
    <w:rsid w:val="00252A55"/>
    <w:rsid w:val="00252B02"/>
    <w:rsid w:val="00252DAD"/>
    <w:rsid w:val="00252DD2"/>
    <w:rsid w:val="00252E7C"/>
    <w:rsid w:val="00252FA5"/>
    <w:rsid w:val="00253000"/>
    <w:rsid w:val="0025314B"/>
    <w:rsid w:val="002531A6"/>
    <w:rsid w:val="002533EB"/>
    <w:rsid w:val="0025341C"/>
    <w:rsid w:val="00253694"/>
    <w:rsid w:val="002536F3"/>
    <w:rsid w:val="002537ED"/>
    <w:rsid w:val="0025391D"/>
    <w:rsid w:val="00253CD3"/>
    <w:rsid w:val="00253E86"/>
    <w:rsid w:val="00253E8E"/>
    <w:rsid w:val="00253ECB"/>
    <w:rsid w:val="00254311"/>
    <w:rsid w:val="00254433"/>
    <w:rsid w:val="0025458E"/>
    <w:rsid w:val="002545AB"/>
    <w:rsid w:val="002546A4"/>
    <w:rsid w:val="00254784"/>
    <w:rsid w:val="002547A1"/>
    <w:rsid w:val="002547FE"/>
    <w:rsid w:val="00254814"/>
    <w:rsid w:val="00254966"/>
    <w:rsid w:val="002549F0"/>
    <w:rsid w:val="00254A4F"/>
    <w:rsid w:val="00254AE6"/>
    <w:rsid w:val="00254CE5"/>
    <w:rsid w:val="00254D94"/>
    <w:rsid w:val="00254F19"/>
    <w:rsid w:val="0025502C"/>
    <w:rsid w:val="002552E3"/>
    <w:rsid w:val="0025531D"/>
    <w:rsid w:val="002555EA"/>
    <w:rsid w:val="00255643"/>
    <w:rsid w:val="00255694"/>
    <w:rsid w:val="00255734"/>
    <w:rsid w:val="0025585E"/>
    <w:rsid w:val="00255C9B"/>
    <w:rsid w:val="00255CEF"/>
    <w:rsid w:val="00255D03"/>
    <w:rsid w:val="00255D5E"/>
    <w:rsid w:val="00255E04"/>
    <w:rsid w:val="00255E09"/>
    <w:rsid w:val="00255E8F"/>
    <w:rsid w:val="00255F22"/>
    <w:rsid w:val="002561B3"/>
    <w:rsid w:val="002561F4"/>
    <w:rsid w:val="00256657"/>
    <w:rsid w:val="00256701"/>
    <w:rsid w:val="00256789"/>
    <w:rsid w:val="002567F2"/>
    <w:rsid w:val="002568E4"/>
    <w:rsid w:val="00256B0A"/>
    <w:rsid w:val="00256D3B"/>
    <w:rsid w:val="00256FAE"/>
    <w:rsid w:val="00257023"/>
    <w:rsid w:val="00257204"/>
    <w:rsid w:val="00257282"/>
    <w:rsid w:val="00257581"/>
    <w:rsid w:val="0025762B"/>
    <w:rsid w:val="002577BB"/>
    <w:rsid w:val="00257B7D"/>
    <w:rsid w:val="00257CD8"/>
    <w:rsid w:val="00257E29"/>
    <w:rsid w:val="00257FE0"/>
    <w:rsid w:val="00257FE7"/>
    <w:rsid w:val="002600B7"/>
    <w:rsid w:val="002600E1"/>
    <w:rsid w:val="00260111"/>
    <w:rsid w:val="00260238"/>
    <w:rsid w:val="00260435"/>
    <w:rsid w:val="002604A5"/>
    <w:rsid w:val="002604B0"/>
    <w:rsid w:val="002604BC"/>
    <w:rsid w:val="002604E6"/>
    <w:rsid w:val="00260537"/>
    <w:rsid w:val="002605A0"/>
    <w:rsid w:val="00260644"/>
    <w:rsid w:val="00260666"/>
    <w:rsid w:val="0026078A"/>
    <w:rsid w:val="002607E3"/>
    <w:rsid w:val="00260992"/>
    <w:rsid w:val="00260B0C"/>
    <w:rsid w:val="00260F94"/>
    <w:rsid w:val="0026111E"/>
    <w:rsid w:val="00261B25"/>
    <w:rsid w:val="00261BC5"/>
    <w:rsid w:val="00261FCB"/>
    <w:rsid w:val="00262119"/>
    <w:rsid w:val="00262187"/>
    <w:rsid w:val="00262248"/>
    <w:rsid w:val="00262308"/>
    <w:rsid w:val="0026235E"/>
    <w:rsid w:val="0026243B"/>
    <w:rsid w:val="0026250E"/>
    <w:rsid w:val="0026259C"/>
    <w:rsid w:val="002625BE"/>
    <w:rsid w:val="002625ED"/>
    <w:rsid w:val="00262667"/>
    <w:rsid w:val="00262695"/>
    <w:rsid w:val="002626AE"/>
    <w:rsid w:val="002626E7"/>
    <w:rsid w:val="00262704"/>
    <w:rsid w:val="0026276E"/>
    <w:rsid w:val="0026278B"/>
    <w:rsid w:val="002627DF"/>
    <w:rsid w:val="00262865"/>
    <w:rsid w:val="00262890"/>
    <w:rsid w:val="00262943"/>
    <w:rsid w:val="002629D2"/>
    <w:rsid w:val="00262A4E"/>
    <w:rsid w:val="00262A70"/>
    <w:rsid w:val="00262ABB"/>
    <w:rsid w:val="00262B42"/>
    <w:rsid w:val="00262BDE"/>
    <w:rsid w:val="00262EC0"/>
    <w:rsid w:val="00262FA8"/>
    <w:rsid w:val="0026305C"/>
    <w:rsid w:val="00263081"/>
    <w:rsid w:val="0026311A"/>
    <w:rsid w:val="00263385"/>
    <w:rsid w:val="00263407"/>
    <w:rsid w:val="0026340D"/>
    <w:rsid w:val="0026344C"/>
    <w:rsid w:val="00263599"/>
    <w:rsid w:val="002635E7"/>
    <w:rsid w:val="00263643"/>
    <w:rsid w:val="002636B4"/>
    <w:rsid w:val="0026382C"/>
    <w:rsid w:val="0026387E"/>
    <w:rsid w:val="00263896"/>
    <w:rsid w:val="00263A25"/>
    <w:rsid w:val="00263A80"/>
    <w:rsid w:val="00263B08"/>
    <w:rsid w:val="00263BE5"/>
    <w:rsid w:val="00263D9C"/>
    <w:rsid w:val="00263EE5"/>
    <w:rsid w:val="00263F1B"/>
    <w:rsid w:val="002641B1"/>
    <w:rsid w:val="00264213"/>
    <w:rsid w:val="0026434F"/>
    <w:rsid w:val="00264427"/>
    <w:rsid w:val="0026454C"/>
    <w:rsid w:val="002646CF"/>
    <w:rsid w:val="002646E9"/>
    <w:rsid w:val="00264924"/>
    <w:rsid w:val="002649DE"/>
    <w:rsid w:val="00264C6E"/>
    <w:rsid w:val="00264D82"/>
    <w:rsid w:val="00264D88"/>
    <w:rsid w:val="00264DA3"/>
    <w:rsid w:val="00264E31"/>
    <w:rsid w:val="00264FEE"/>
    <w:rsid w:val="00265055"/>
    <w:rsid w:val="00265315"/>
    <w:rsid w:val="0026537C"/>
    <w:rsid w:val="002653C4"/>
    <w:rsid w:val="002653E4"/>
    <w:rsid w:val="0026551B"/>
    <w:rsid w:val="00265583"/>
    <w:rsid w:val="0026567B"/>
    <w:rsid w:val="002656B4"/>
    <w:rsid w:val="00265759"/>
    <w:rsid w:val="002657F9"/>
    <w:rsid w:val="002658B3"/>
    <w:rsid w:val="002658CA"/>
    <w:rsid w:val="00265B98"/>
    <w:rsid w:val="00265F7C"/>
    <w:rsid w:val="00265FCD"/>
    <w:rsid w:val="0026609D"/>
    <w:rsid w:val="002660CE"/>
    <w:rsid w:val="00266127"/>
    <w:rsid w:val="00266318"/>
    <w:rsid w:val="00266411"/>
    <w:rsid w:val="00266415"/>
    <w:rsid w:val="002666D2"/>
    <w:rsid w:val="00266848"/>
    <w:rsid w:val="00266896"/>
    <w:rsid w:val="002669E5"/>
    <w:rsid w:val="002669EE"/>
    <w:rsid w:val="002669F9"/>
    <w:rsid w:val="00266BA6"/>
    <w:rsid w:val="00266C57"/>
    <w:rsid w:val="00266CDB"/>
    <w:rsid w:val="00267024"/>
    <w:rsid w:val="00267119"/>
    <w:rsid w:val="00267182"/>
    <w:rsid w:val="002671DF"/>
    <w:rsid w:val="00267365"/>
    <w:rsid w:val="00267545"/>
    <w:rsid w:val="00267554"/>
    <w:rsid w:val="00267615"/>
    <w:rsid w:val="0026773B"/>
    <w:rsid w:val="0026774C"/>
    <w:rsid w:val="0026775D"/>
    <w:rsid w:val="00267827"/>
    <w:rsid w:val="002679E3"/>
    <w:rsid w:val="002679EA"/>
    <w:rsid w:val="002679EF"/>
    <w:rsid w:val="00267B58"/>
    <w:rsid w:val="00267E5B"/>
    <w:rsid w:val="002700A8"/>
    <w:rsid w:val="00270129"/>
    <w:rsid w:val="00270153"/>
    <w:rsid w:val="002701E2"/>
    <w:rsid w:val="0027030F"/>
    <w:rsid w:val="0027035D"/>
    <w:rsid w:val="0027038E"/>
    <w:rsid w:val="0027054A"/>
    <w:rsid w:val="00270597"/>
    <w:rsid w:val="00270631"/>
    <w:rsid w:val="00270639"/>
    <w:rsid w:val="0027071E"/>
    <w:rsid w:val="00270741"/>
    <w:rsid w:val="002707F2"/>
    <w:rsid w:val="00270805"/>
    <w:rsid w:val="00270A5B"/>
    <w:rsid w:val="00270AA8"/>
    <w:rsid w:val="00270AFA"/>
    <w:rsid w:val="00270CCE"/>
    <w:rsid w:val="00270D59"/>
    <w:rsid w:val="00270DF5"/>
    <w:rsid w:val="00270F5C"/>
    <w:rsid w:val="00270FB4"/>
    <w:rsid w:val="0027100D"/>
    <w:rsid w:val="0027108C"/>
    <w:rsid w:val="002710C5"/>
    <w:rsid w:val="00271193"/>
    <w:rsid w:val="00271320"/>
    <w:rsid w:val="00271582"/>
    <w:rsid w:val="00271786"/>
    <w:rsid w:val="00271AA5"/>
    <w:rsid w:val="00271B7D"/>
    <w:rsid w:val="00271DA0"/>
    <w:rsid w:val="00271E3E"/>
    <w:rsid w:val="00271EDC"/>
    <w:rsid w:val="00272056"/>
    <w:rsid w:val="002720B8"/>
    <w:rsid w:val="00272436"/>
    <w:rsid w:val="00272493"/>
    <w:rsid w:val="002724F3"/>
    <w:rsid w:val="00272561"/>
    <w:rsid w:val="00272579"/>
    <w:rsid w:val="002725FF"/>
    <w:rsid w:val="0027267B"/>
    <w:rsid w:val="0027271F"/>
    <w:rsid w:val="00272883"/>
    <w:rsid w:val="002728B0"/>
    <w:rsid w:val="0027298C"/>
    <w:rsid w:val="00272BDA"/>
    <w:rsid w:val="00272C23"/>
    <w:rsid w:val="00272D5B"/>
    <w:rsid w:val="00272E65"/>
    <w:rsid w:val="00272F94"/>
    <w:rsid w:val="00272F9E"/>
    <w:rsid w:val="0027304B"/>
    <w:rsid w:val="00273062"/>
    <w:rsid w:val="0027307E"/>
    <w:rsid w:val="002730D8"/>
    <w:rsid w:val="002733AD"/>
    <w:rsid w:val="00273483"/>
    <w:rsid w:val="002734D6"/>
    <w:rsid w:val="002735FD"/>
    <w:rsid w:val="0027368E"/>
    <w:rsid w:val="002736FD"/>
    <w:rsid w:val="0027382E"/>
    <w:rsid w:val="00273C75"/>
    <w:rsid w:val="00273D26"/>
    <w:rsid w:val="00273DEA"/>
    <w:rsid w:val="00273FB7"/>
    <w:rsid w:val="00274030"/>
    <w:rsid w:val="00274133"/>
    <w:rsid w:val="00274180"/>
    <w:rsid w:val="002741ED"/>
    <w:rsid w:val="00274263"/>
    <w:rsid w:val="00274319"/>
    <w:rsid w:val="00274412"/>
    <w:rsid w:val="00274624"/>
    <w:rsid w:val="00274678"/>
    <w:rsid w:val="00274691"/>
    <w:rsid w:val="002747E8"/>
    <w:rsid w:val="0027486E"/>
    <w:rsid w:val="002748C5"/>
    <w:rsid w:val="002748D6"/>
    <w:rsid w:val="00274A58"/>
    <w:rsid w:val="00274B1F"/>
    <w:rsid w:val="00274B44"/>
    <w:rsid w:val="00274B5A"/>
    <w:rsid w:val="00274D2A"/>
    <w:rsid w:val="00274E4A"/>
    <w:rsid w:val="00274E76"/>
    <w:rsid w:val="00274F9D"/>
    <w:rsid w:val="00275075"/>
    <w:rsid w:val="002750E3"/>
    <w:rsid w:val="0027522D"/>
    <w:rsid w:val="00275580"/>
    <w:rsid w:val="002755B8"/>
    <w:rsid w:val="00275604"/>
    <w:rsid w:val="002756C8"/>
    <w:rsid w:val="00275884"/>
    <w:rsid w:val="00275955"/>
    <w:rsid w:val="00275B0F"/>
    <w:rsid w:val="00275BAB"/>
    <w:rsid w:val="00275BDF"/>
    <w:rsid w:val="00275DBD"/>
    <w:rsid w:val="00275E1B"/>
    <w:rsid w:val="00275E5C"/>
    <w:rsid w:val="00275F59"/>
    <w:rsid w:val="00275F8B"/>
    <w:rsid w:val="00276006"/>
    <w:rsid w:val="00276091"/>
    <w:rsid w:val="0027615F"/>
    <w:rsid w:val="00276381"/>
    <w:rsid w:val="002763E9"/>
    <w:rsid w:val="00276507"/>
    <w:rsid w:val="002765D4"/>
    <w:rsid w:val="0027664D"/>
    <w:rsid w:val="002766B2"/>
    <w:rsid w:val="00276731"/>
    <w:rsid w:val="002769DD"/>
    <w:rsid w:val="00276AAA"/>
    <w:rsid w:val="00276ADF"/>
    <w:rsid w:val="00276C58"/>
    <w:rsid w:val="00276C8A"/>
    <w:rsid w:val="00276CE5"/>
    <w:rsid w:val="00276DC2"/>
    <w:rsid w:val="00276F23"/>
    <w:rsid w:val="00276F62"/>
    <w:rsid w:val="00276FE8"/>
    <w:rsid w:val="00277128"/>
    <w:rsid w:val="0027717C"/>
    <w:rsid w:val="00277227"/>
    <w:rsid w:val="002773D6"/>
    <w:rsid w:val="00277515"/>
    <w:rsid w:val="0027768E"/>
    <w:rsid w:val="002776ED"/>
    <w:rsid w:val="00277725"/>
    <w:rsid w:val="00277902"/>
    <w:rsid w:val="00277A5A"/>
    <w:rsid w:val="00277AAC"/>
    <w:rsid w:val="00277C96"/>
    <w:rsid w:val="00277CCA"/>
    <w:rsid w:val="00277D60"/>
    <w:rsid w:val="00277F93"/>
    <w:rsid w:val="002800FF"/>
    <w:rsid w:val="002801B7"/>
    <w:rsid w:val="002801EF"/>
    <w:rsid w:val="002802D3"/>
    <w:rsid w:val="00280381"/>
    <w:rsid w:val="0028039D"/>
    <w:rsid w:val="002803D8"/>
    <w:rsid w:val="00280466"/>
    <w:rsid w:val="00280575"/>
    <w:rsid w:val="002805FF"/>
    <w:rsid w:val="002807A3"/>
    <w:rsid w:val="0028083B"/>
    <w:rsid w:val="00280876"/>
    <w:rsid w:val="00280987"/>
    <w:rsid w:val="00280A3A"/>
    <w:rsid w:val="00280A7C"/>
    <w:rsid w:val="00280AA9"/>
    <w:rsid w:val="00280C99"/>
    <w:rsid w:val="00280CEF"/>
    <w:rsid w:val="00280D00"/>
    <w:rsid w:val="00280DC3"/>
    <w:rsid w:val="00280E27"/>
    <w:rsid w:val="00280F21"/>
    <w:rsid w:val="00280FD2"/>
    <w:rsid w:val="0028105E"/>
    <w:rsid w:val="00281269"/>
    <w:rsid w:val="002813B0"/>
    <w:rsid w:val="002813B9"/>
    <w:rsid w:val="002813E2"/>
    <w:rsid w:val="0028141C"/>
    <w:rsid w:val="002814B5"/>
    <w:rsid w:val="002815C7"/>
    <w:rsid w:val="00281862"/>
    <w:rsid w:val="0028196E"/>
    <w:rsid w:val="00281B69"/>
    <w:rsid w:val="00281CC6"/>
    <w:rsid w:val="00281CCD"/>
    <w:rsid w:val="00281D0A"/>
    <w:rsid w:val="00281E82"/>
    <w:rsid w:val="00281EEF"/>
    <w:rsid w:val="00282170"/>
    <w:rsid w:val="00282457"/>
    <w:rsid w:val="002825A2"/>
    <w:rsid w:val="00282630"/>
    <w:rsid w:val="0028265E"/>
    <w:rsid w:val="0028267B"/>
    <w:rsid w:val="002827F8"/>
    <w:rsid w:val="002828F1"/>
    <w:rsid w:val="00282A21"/>
    <w:rsid w:val="00282A29"/>
    <w:rsid w:val="00282A53"/>
    <w:rsid w:val="00282E42"/>
    <w:rsid w:val="00282F40"/>
    <w:rsid w:val="00283030"/>
    <w:rsid w:val="00283139"/>
    <w:rsid w:val="00283201"/>
    <w:rsid w:val="00283440"/>
    <w:rsid w:val="00283457"/>
    <w:rsid w:val="00283649"/>
    <w:rsid w:val="002837FE"/>
    <w:rsid w:val="002838AE"/>
    <w:rsid w:val="00283990"/>
    <w:rsid w:val="0028399C"/>
    <w:rsid w:val="00283D1B"/>
    <w:rsid w:val="00283E60"/>
    <w:rsid w:val="00283EC5"/>
    <w:rsid w:val="00283FAF"/>
    <w:rsid w:val="00283FC5"/>
    <w:rsid w:val="00284125"/>
    <w:rsid w:val="0028412D"/>
    <w:rsid w:val="0028433A"/>
    <w:rsid w:val="002844B5"/>
    <w:rsid w:val="002844B8"/>
    <w:rsid w:val="002845C0"/>
    <w:rsid w:val="0028465F"/>
    <w:rsid w:val="00284729"/>
    <w:rsid w:val="002847A4"/>
    <w:rsid w:val="00284837"/>
    <w:rsid w:val="00284A8A"/>
    <w:rsid w:val="00284B38"/>
    <w:rsid w:val="00284E5C"/>
    <w:rsid w:val="00284EE2"/>
    <w:rsid w:val="002850F6"/>
    <w:rsid w:val="00285155"/>
    <w:rsid w:val="0028518E"/>
    <w:rsid w:val="00285273"/>
    <w:rsid w:val="00285287"/>
    <w:rsid w:val="0028529C"/>
    <w:rsid w:val="00285487"/>
    <w:rsid w:val="00285589"/>
    <w:rsid w:val="002855E6"/>
    <w:rsid w:val="00285618"/>
    <w:rsid w:val="00285684"/>
    <w:rsid w:val="00285C6F"/>
    <w:rsid w:val="00285E70"/>
    <w:rsid w:val="00285E7E"/>
    <w:rsid w:val="00286188"/>
    <w:rsid w:val="002861BF"/>
    <w:rsid w:val="0028623B"/>
    <w:rsid w:val="0028623F"/>
    <w:rsid w:val="00286405"/>
    <w:rsid w:val="002864A4"/>
    <w:rsid w:val="00286742"/>
    <w:rsid w:val="00286889"/>
    <w:rsid w:val="0028692E"/>
    <w:rsid w:val="0028697D"/>
    <w:rsid w:val="002869F3"/>
    <w:rsid w:val="00286A2C"/>
    <w:rsid w:val="00286AED"/>
    <w:rsid w:val="00286C5E"/>
    <w:rsid w:val="00286D5E"/>
    <w:rsid w:val="00286DA3"/>
    <w:rsid w:val="00287013"/>
    <w:rsid w:val="0028701B"/>
    <w:rsid w:val="00287067"/>
    <w:rsid w:val="0028706B"/>
    <w:rsid w:val="002870AE"/>
    <w:rsid w:val="0028734F"/>
    <w:rsid w:val="00287452"/>
    <w:rsid w:val="00287587"/>
    <w:rsid w:val="0028786E"/>
    <w:rsid w:val="00287AF1"/>
    <w:rsid w:val="00287C78"/>
    <w:rsid w:val="00287CE9"/>
    <w:rsid w:val="00287DCE"/>
    <w:rsid w:val="00287DD9"/>
    <w:rsid w:val="00287F38"/>
    <w:rsid w:val="00287FC2"/>
    <w:rsid w:val="00290033"/>
    <w:rsid w:val="00290215"/>
    <w:rsid w:val="00290252"/>
    <w:rsid w:val="00290334"/>
    <w:rsid w:val="002903FE"/>
    <w:rsid w:val="002905A3"/>
    <w:rsid w:val="002907B1"/>
    <w:rsid w:val="0029089F"/>
    <w:rsid w:val="002908BC"/>
    <w:rsid w:val="002908E6"/>
    <w:rsid w:val="0029098F"/>
    <w:rsid w:val="00290B3E"/>
    <w:rsid w:val="00290C04"/>
    <w:rsid w:val="00290D37"/>
    <w:rsid w:val="00290D98"/>
    <w:rsid w:val="00290DB7"/>
    <w:rsid w:val="00290E19"/>
    <w:rsid w:val="00290EDC"/>
    <w:rsid w:val="00290F20"/>
    <w:rsid w:val="00290FA1"/>
    <w:rsid w:val="002911AE"/>
    <w:rsid w:val="00291358"/>
    <w:rsid w:val="002913C1"/>
    <w:rsid w:val="0029166E"/>
    <w:rsid w:val="00291699"/>
    <w:rsid w:val="0029173C"/>
    <w:rsid w:val="002918B3"/>
    <w:rsid w:val="0029194D"/>
    <w:rsid w:val="002919E1"/>
    <w:rsid w:val="002919E8"/>
    <w:rsid w:val="00291B5A"/>
    <w:rsid w:val="00291E3D"/>
    <w:rsid w:val="00291E52"/>
    <w:rsid w:val="00291E83"/>
    <w:rsid w:val="0029211A"/>
    <w:rsid w:val="00292143"/>
    <w:rsid w:val="00292307"/>
    <w:rsid w:val="00292427"/>
    <w:rsid w:val="002924F0"/>
    <w:rsid w:val="0029253F"/>
    <w:rsid w:val="002927AE"/>
    <w:rsid w:val="002929AD"/>
    <w:rsid w:val="002929F9"/>
    <w:rsid w:val="00292A6B"/>
    <w:rsid w:val="00292C90"/>
    <w:rsid w:val="00292F1A"/>
    <w:rsid w:val="002930BC"/>
    <w:rsid w:val="00293202"/>
    <w:rsid w:val="0029342A"/>
    <w:rsid w:val="0029360B"/>
    <w:rsid w:val="00293769"/>
    <w:rsid w:val="00293A22"/>
    <w:rsid w:val="00293AC1"/>
    <w:rsid w:val="00293B54"/>
    <w:rsid w:val="00293C15"/>
    <w:rsid w:val="00293C51"/>
    <w:rsid w:val="00293C65"/>
    <w:rsid w:val="00293D27"/>
    <w:rsid w:val="00293E33"/>
    <w:rsid w:val="00293E8C"/>
    <w:rsid w:val="002940F8"/>
    <w:rsid w:val="00294256"/>
    <w:rsid w:val="002942D5"/>
    <w:rsid w:val="00294312"/>
    <w:rsid w:val="00294327"/>
    <w:rsid w:val="0029445C"/>
    <w:rsid w:val="0029494D"/>
    <w:rsid w:val="00294CCA"/>
    <w:rsid w:val="00294D51"/>
    <w:rsid w:val="00294D9C"/>
    <w:rsid w:val="00294FD8"/>
    <w:rsid w:val="0029502F"/>
    <w:rsid w:val="0029504F"/>
    <w:rsid w:val="002952D5"/>
    <w:rsid w:val="0029571D"/>
    <w:rsid w:val="0029574B"/>
    <w:rsid w:val="002957B0"/>
    <w:rsid w:val="0029583B"/>
    <w:rsid w:val="00295841"/>
    <w:rsid w:val="00295A6F"/>
    <w:rsid w:val="00295A75"/>
    <w:rsid w:val="00295AB1"/>
    <w:rsid w:val="00295B4B"/>
    <w:rsid w:val="00295DF6"/>
    <w:rsid w:val="00295E8F"/>
    <w:rsid w:val="00295F01"/>
    <w:rsid w:val="00296310"/>
    <w:rsid w:val="0029639E"/>
    <w:rsid w:val="002964D4"/>
    <w:rsid w:val="0029656F"/>
    <w:rsid w:val="0029660F"/>
    <w:rsid w:val="00296638"/>
    <w:rsid w:val="0029683B"/>
    <w:rsid w:val="0029686D"/>
    <w:rsid w:val="002968EE"/>
    <w:rsid w:val="0029699C"/>
    <w:rsid w:val="00296D9B"/>
    <w:rsid w:val="00296FB6"/>
    <w:rsid w:val="0029700F"/>
    <w:rsid w:val="0029707F"/>
    <w:rsid w:val="002970AA"/>
    <w:rsid w:val="002970D4"/>
    <w:rsid w:val="00297190"/>
    <w:rsid w:val="002972E5"/>
    <w:rsid w:val="0029763F"/>
    <w:rsid w:val="00297968"/>
    <w:rsid w:val="002979C3"/>
    <w:rsid w:val="002979D9"/>
    <w:rsid w:val="00297A82"/>
    <w:rsid w:val="00297B63"/>
    <w:rsid w:val="00297C1C"/>
    <w:rsid w:val="00297CE6"/>
    <w:rsid w:val="00297CF1"/>
    <w:rsid w:val="00297D36"/>
    <w:rsid w:val="002A0243"/>
    <w:rsid w:val="002A027C"/>
    <w:rsid w:val="002A0398"/>
    <w:rsid w:val="002A03A3"/>
    <w:rsid w:val="002A04AA"/>
    <w:rsid w:val="002A05A2"/>
    <w:rsid w:val="002A067B"/>
    <w:rsid w:val="002A0683"/>
    <w:rsid w:val="002A084B"/>
    <w:rsid w:val="002A0AC9"/>
    <w:rsid w:val="002A0DCF"/>
    <w:rsid w:val="002A0FC6"/>
    <w:rsid w:val="002A0FCD"/>
    <w:rsid w:val="002A1040"/>
    <w:rsid w:val="002A1112"/>
    <w:rsid w:val="002A1192"/>
    <w:rsid w:val="002A157A"/>
    <w:rsid w:val="002A15D8"/>
    <w:rsid w:val="002A16C5"/>
    <w:rsid w:val="002A1812"/>
    <w:rsid w:val="002A1A53"/>
    <w:rsid w:val="002A1CEF"/>
    <w:rsid w:val="002A1D27"/>
    <w:rsid w:val="002A1DE4"/>
    <w:rsid w:val="002A1F6B"/>
    <w:rsid w:val="002A1F6C"/>
    <w:rsid w:val="002A1F8A"/>
    <w:rsid w:val="002A1FC8"/>
    <w:rsid w:val="002A1FE8"/>
    <w:rsid w:val="002A1FED"/>
    <w:rsid w:val="002A2090"/>
    <w:rsid w:val="002A280C"/>
    <w:rsid w:val="002A28EA"/>
    <w:rsid w:val="002A29C4"/>
    <w:rsid w:val="002A29CC"/>
    <w:rsid w:val="002A29DC"/>
    <w:rsid w:val="002A2A84"/>
    <w:rsid w:val="002A2B15"/>
    <w:rsid w:val="002A2BB2"/>
    <w:rsid w:val="002A2C9C"/>
    <w:rsid w:val="002A2D07"/>
    <w:rsid w:val="002A2D4E"/>
    <w:rsid w:val="002A2F59"/>
    <w:rsid w:val="002A2FF1"/>
    <w:rsid w:val="002A302C"/>
    <w:rsid w:val="002A3049"/>
    <w:rsid w:val="002A3063"/>
    <w:rsid w:val="002A31E3"/>
    <w:rsid w:val="002A3229"/>
    <w:rsid w:val="002A3360"/>
    <w:rsid w:val="002A36CF"/>
    <w:rsid w:val="002A3880"/>
    <w:rsid w:val="002A3D43"/>
    <w:rsid w:val="002A3E30"/>
    <w:rsid w:val="002A3E3F"/>
    <w:rsid w:val="002A3F44"/>
    <w:rsid w:val="002A40DA"/>
    <w:rsid w:val="002A40F6"/>
    <w:rsid w:val="002A4142"/>
    <w:rsid w:val="002A43B2"/>
    <w:rsid w:val="002A457F"/>
    <w:rsid w:val="002A464F"/>
    <w:rsid w:val="002A46D7"/>
    <w:rsid w:val="002A474C"/>
    <w:rsid w:val="002A47B2"/>
    <w:rsid w:val="002A4888"/>
    <w:rsid w:val="002A4955"/>
    <w:rsid w:val="002A4B17"/>
    <w:rsid w:val="002A4BF0"/>
    <w:rsid w:val="002A4DDD"/>
    <w:rsid w:val="002A4E6B"/>
    <w:rsid w:val="002A4EB6"/>
    <w:rsid w:val="002A50B1"/>
    <w:rsid w:val="002A51A4"/>
    <w:rsid w:val="002A52DE"/>
    <w:rsid w:val="002A53B1"/>
    <w:rsid w:val="002A540F"/>
    <w:rsid w:val="002A557C"/>
    <w:rsid w:val="002A56E0"/>
    <w:rsid w:val="002A586C"/>
    <w:rsid w:val="002A5899"/>
    <w:rsid w:val="002A597F"/>
    <w:rsid w:val="002A5A78"/>
    <w:rsid w:val="002A5AEE"/>
    <w:rsid w:val="002A5B0C"/>
    <w:rsid w:val="002A5C70"/>
    <w:rsid w:val="002A5D62"/>
    <w:rsid w:val="002A5F3B"/>
    <w:rsid w:val="002A61B6"/>
    <w:rsid w:val="002A620B"/>
    <w:rsid w:val="002A62B2"/>
    <w:rsid w:val="002A6347"/>
    <w:rsid w:val="002A64E6"/>
    <w:rsid w:val="002A65BC"/>
    <w:rsid w:val="002A6637"/>
    <w:rsid w:val="002A6769"/>
    <w:rsid w:val="002A67BA"/>
    <w:rsid w:val="002A681A"/>
    <w:rsid w:val="002A68E7"/>
    <w:rsid w:val="002A69F2"/>
    <w:rsid w:val="002A6AA7"/>
    <w:rsid w:val="002A6B21"/>
    <w:rsid w:val="002A6C60"/>
    <w:rsid w:val="002A6C72"/>
    <w:rsid w:val="002A6CC7"/>
    <w:rsid w:val="002A6DAF"/>
    <w:rsid w:val="002A6FB9"/>
    <w:rsid w:val="002A6FC6"/>
    <w:rsid w:val="002A7114"/>
    <w:rsid w:val="002A7255"/>
    <w:rsid w:val="002A7284"/>
    <w:rsid w:val="002A758E"/>
    <w:rsid w:val="002A76E0"/>
    <w:rsid w:val="002A785D"/>
    <w:rsid w:val="002A78DA"/>
    <w:rsid w:val="002A7A4B"/>
    <w:rsid w:val="002A7E03"/>
    <w:rsid w:val="002A7F99"/>
    <w:rsid w:val="002B0258"/>
    <w:rsid w:val="002B041D"/>
    <w:rsid w:val="002B047D"/>
    <w:rsid w:val="002B0624"/>
    <w:rsid w:val="002B071C"/>
    <w:rsid w:val="002B0852"/>
    <w:rsid w:val="002B087A"/>
    <w:rsid w:val="002B087D"/>
    <w:rsid w:val="002B0954"/>
    <w:rsid w:val="002B0A09"/>
    <w:rsid w:val="002B0A56"/>
    <w:rsid w:val="002B0A82"/>
    <w:rsid w:val="002B0B18"/>
    <w:rsid w:val="002B0BBE"/>
    <w:rsid w:val="002B0C14"/>
    <w:rsid w:val="002B0C2B"/>
    <w:rsid w:val="002B0C2F"/>
    <w:rsid w:val="002B0F83"/>
    <w:rsid w:val="002B1156"/>
    <w:rsid w:val="002B13AD"/>
    <w:rsid w:val="002B164C"/>
    <w:rsid w:val="002B17B0"/>
    <w:rsid w:val="002B1800"/>
    <w:rsid w:val="002B1928"/>
    <w:rsid w:val="002B1A49"/>
    <w:rsid w:val="002B1A54"/>
    <w:rsid w:val="002B1B37"/>
    <w:rsid w:val="002B1E5B"/>
    <w:rsid w:val="002B1F5D"/>
    <w:rsid w:val="002B212A"/>
    <w:rsid w:val="002B21CA"/>
    <w:rsid w:val="002B2259"/>
    <w:rsid w:val="002B243C"/>
    <w:rsid w:val="002B24AC"/>
    <w:rsid w:val="002B26B5"/>
    <w:rsid w:val="002B27C7"/>
    <w:rsid w:val="002B2858"/>
    <w:rsid w:val="002B28FA"/>
    <w:rsid w:val="002B2937"/>
    <w:rsid w:val="002B2A31"/>
    <w:rsid w:val="002B2BF4"/>
    <w:rsid w:val="002B31EA"/>
    <w:rsid w:val="002B327E"/>
    <w:rsid w:val="002B32A0"/>
    <w:rsid w:val="002B333C"/>
    <w:rsid w:val="002B33D6"/>
    <w:rsid w:val="002B3453"/>
    <w:rsid w:val="002B3501"/>
    <w:rsid w:val="002B3601"/>
    <w:rsid w:val="002B3683"/>
    <w:rsid w:val="002B3697"/>
    <w:rsid w:val="002B3866"/>
    <w:rsid w:val="002B387B"/>
    <w:rsid w:val="002B38E7"/>
    <w:rsid w:val="002B39C6"/>
    <w:rsid w:val="002B3A83"/>
    <w:rsid w:val="002B3B4D"/>
    <w:rsid w:val="002B3D0B"/>
    <w:rsid w:val="002B3F58"/>
    <w:rsid w:val="002B3FCB"/>
    <w:rsid w:val="002B434E"/>
    <w:rsid w:val="002B4532"/>
    <w:rsid w:val="002B456D"/>
    <w:rsid w:val="002B4701"/>
    <w:rsid w:val="002B47E8"/>
    <w:rsid w:val="002B480A"/>
    <w:rsid w:val="002B49DD"/>
    <w:rsid w:val="002B4AA8"/>
    <w:rsid w:val="002B4BD6"/>
    <w:rsid w:val="002B4E0A"/>
    <w:rsid w:val="002B5174"/>
    <w:rsid w:val="002B52FC"/>
    <w:rsid w:val="002B535A"/>
    <w:rsid w:val="002B54B2"/>
    <w:rsid w:val="002B5564"/>
    <w:rsid w:val="002B5847"/>
    <w:rsid w:val="002B58EA"/>
    <w:rsid w:val="002B5945"/>
    <w:rsid w:val="002B5948"/>
    <w:rsid w:val="002B5AE2"/>
    <w:rsid w:val="002B5B6F"/>
    <w:rsid w:val="002B5CF6"/>
    <w:rsid w:val="002B5ECB"/>
    <w:rsid w:val="002B5EE7"/>
    <w:rsid w:val="002B6130"/>
    <w:rsid w:val="002B6262"/>
    <w:rsid w:val="002B6360"/>
    <w:rsid w:val="002B6571"/>
    <w:rsid w:val="002B65A9"/>
    <w:rsid w:val="002B65B7"/>
    <w:rsid w:val="002B65BB"/>
    <w:rsid w:val="002B66F8"/>
    <w:rsid w:val="002B699F"/>
    <w:rsid w:val="002B6DEE"/>
    <w:rsid w:val="002B6F64"/>
    <w:rsid w:val="002B6FDA"/>
    <w:rsid w:val="002B715E"/>
    <w:rsid w:val="002B7162"/>
    <w:rsid w:val="002B7274"/>
    <w:rsid w:val="002B732D"/>
    <w:rsid w:val="002B740E"/>
    <w:rsid w:val="002B7451"/>
    <w:rsid w:val="002B74A9"/>
    <w:rsid w:val="002B74FD"/>
    <w:rsid w:val="002B7587"/>
    <w:rsid w:val="002B7590"/>
    <w:rsid w:val="002B759C"/>
    <w:rsid w:val="002B765A"/>
    <w:rsid w:val="002B7681"/>
    <w:rsid w:val="002B7848"/>
    <w:rsid w:val="002B78D9"/>
    <w:rsid w:val="002B799A"/>
    <w:rsid w:val="002B7B14"/>
    <w:rsid w:val="002B7B32"/>
    <w:rsid w:val="002B7BC6"/>
    <w:rsid w:val="002B7D0C"/>
    <w:rsid w:val="002B7D2A"/>
    <w:rsid w:val="002B7E78"/>
    <w:rsid w:val="002C0241"/>
    <w:rsid w:val="002C026B"/>
    <w:rsid w:val="002C0322"/>
    <w:rsid w:val="002C0623"/>
    <w:rsid w:val="002C0694"/>
    <w:rsid w:val="002C080F"/>
    <w:rsid w:val="002C0A10"/>
    <w:rsid w:val="002C0A16"/>
    <w:rsid w:val="002C0A2F"/>
    <w:rsid w:val="002C0C16"/>
    <w:rsid w:val="002C0E0B"/>
    <w:rsid w:val="002C128B"/>
    <w:rsid w:val="002C1296"/>
    <w:rsid w:val="002C1319"/>
    <w:rsid w:val="002C139E"/>
    <w:rsid w:val="002C13FF"/>
    <w:rsid w:val="002C160E"/>
    <w:rsid w:val="002C1693"/>
    <w:rsid w:val="002C17AA"/>
    <w:rsid w:val="002C19AA"/>
    <w:rsid w:val="002C1B04"/>
    <w:rsid w:val="002C1D03"/>
    <w:rsid w:val="002C1EC5"/>
    <w:rsid w:val="002C1F64"/>
    <w:rsid w:val="002C1FE5"/>
    <w:rsid w:val="002C2022"/>
    <w:rsid w:val="002C202C"/>
    <w:rsid w:val="002C21C1"/>
    <w:rsid w:val="002C230F"/>
    <w:rsid w:val="002C23A3"/>
    <w:rsid w:val="002C25BA"/>
    <w:rsid w:val="002C25FC"/>
    <w:rsid w:val="002C2694"/>
    <w:rsid w:val="002C26DD"/>
    <w:rsid w:val="002C2866"/>
    <w:rsid w:val="002C291F"/>
    <w:rsid w:val="002C2AAC"/>
    <w:rsid w:val="002C2D9E"/>
    <w:rsid w:val="002C2EC9"/>
    <w:rsid w:val="002C2F24"/>
    <w:rsid w:val="002C318E"/>
    <w:rsid w:val="002C3334"/>
    <w:rsid w:val="002C3488"/>
    <w:rsid w:val="002C3855"/>
    <w:rsid w:val="002C38BE"/>
    <w:rsid w:val="002C3AB3"/>
    <w:rsid w:val="002C3BEC"/>
    <w:rsid w:val="002C3E86"/>
    <w:rsid w:val="002C3E9C"/>
    <w:rsid w:val="002C3F62"/>
    <w:rsid w:val="002C3F66"/>
    <w:rsid w:val="002C3F81"/>
    <w:rsid w:val="002C42B5"/>
    <w:rsid w:val="002C454F"/>
    <w:rsid w:val="002C4555"/>
    <w:rsid w:val="002C45E1"/>
    <w:rsid w:val="002C4869"/>
    <w:rsid w:val="002C4CDF"/>
    <w:rsid w:val="002C4CF5"/>
    <w:rsid w:val="002C4E6E"/>
    <w:rsid w:val="002C507F"/>
    <w:rsid w:val="002C5164"/>
    <w:rsid w:val="002C523E"/>
    <w:rsid w:val="002C5376"/>
    <w:rsid w:val="002C5498"/>
    <w:rsid w:val="002C557E"/>
    <w:rsid w:val="002C573F"/>
    <w:rsid w:val="002C58C1"/>
    <w:rsid w:val="002C59EF"/>
    <w:rsid w:val="002C5A8D"/>
    <w:rsid w:val="002C5AA4"/>
    <w:rsid w:val="002C5B17"/>
    <w:rsid w:val="002C5E7D"/>
    <w:rsid w:val="002C5EEF"/>
    <w:rsid w:val="002C5FB2"/>
    <w:rsid w:val="002C6032"/>
    <w:rsid w:val="002C61CE"/>
    <w:rsid w:val="002C6293"/>
    <w:rsid w:val="002C64D6"/>
    <w:rsid w:val="002C662C"/>
    <w:rsid w:val="002C66BB"/>
    <w:rsid w:val="002C6C10"/>
    <w:rsid w:val="002C6D7C"/>
    <w:rsid w:val="002C6E05"/>
    <w:rsid w:val="002C6FC8"/>
    <w:rsid w:val="002C70D5"/>
    <w:rsid w:val="002C70E0"/>
    <w:rsid w:val="002C718C"/>
    <w:rsid w:val="002C7225"/>
    <w:rsid w:val="002C7269"/>
    <w:rsid w:val="002C72B1"/>
    <w:rsid w:val="002C748A"/>
    <w:rsid w:val="002C76A5"/>
    <w:rsid w:val="002C7703"/>
    <w:rsid w:val="002C77C6"/>
    <w:rsid w:val="002C7839"/>
    <w:rsid w:val="002C7847"/>
    <w:rsid w:val="002C7903"/>
    <w:rsid w:val="002C790D"/>
    <w:rsid w:val="002C7A4B"/>
    <w:rsid w:val="002C7B9B"/>
    <w:rsid w:val="002C7BF9"/>
    <w:rsid w:val="002C7C3D"/>
    <w:rsid w:val="002D00B1"/>
    <w:rsid w:val="002D0158"/>
    <w:rsid w:val="002D0178"/>
    <w:rsid w:val="002D0204"/>
    <w:rsid w:val="002D0224"/>
    <w:rsid w:val="002D022F"/>
    <w:rsid w:val="002D0499"/>
    <w:rsid w:val="002D07CB"/>
    <w:rsid w:val="002D0957"/>
    <w:rsid w:val="002D0C04"/>
    <w:rsid w:val="002D0C6D"/>
    <w:rsid w:val="002D0D40"/>
    <w:rsid w:val="002D0FB9"/>
    <w:rsid w:val="002D1007"/>
    <w:rsid w:val="002D1045"/>
    <w:rsid w:val="002D14DB"/>
    <w:rsid w:val="002D1775"/>
    <w:rsid w:val="002D1928"/>
    <w:rsid w:val="002D194F"/>
    <w:rsid w:val="002D1B16"/>
    <w:rsid w:val="002D1C80"/>
    <w:rsid w:val="002D1E55"/>
    <w:rsid w:val="002D1EA1"/>
    <w:rsid w:val="002D1EA3"/>
    <w:rsid w:val="002D1F24"/>
    <w:rsid w:val="002D1F87"/>
    <w:rsid w:val="002D217F"/>
    <w:rsid w:val="002D231F"/>
    <w:rsid w:val="002D23B6"/>
    <w:rsid w:val="002D23FB"/>
    <w:rsid w:val="002D26CE"/>
    <w:rsid w:val="002D2721"/>
    <w:rsid w:val="002D295E"/>
    <w:rsid w:val="002D2A42"/>
    <w:rsid w:val="002D2A6D"/>
    <w:rsid w:val="002D2B0C"/>
    <w:rsid w:val="002D2B1A"/>
    <w:rsid w:val="002D2D93"/>
    <w:rsid w:val="002D2DEF"/>
    <w:rsid w:val="002D2E2C"/>
    <w:rsid w:val="002D2E6A"/>
    <w:rsid w:val="002D2F01"/>
    <w:rsid w:val="002D2F6C"/>
    <w:rsid w:val="002D3000"/>
    <w:rsid w:val="002D317A"/>
    <w:rsid w:val="002D3245"/>
    <w:rsid w:val="002D331A"/>
    <w:rsid w:val="002D356C"/>
    <w:rsid w:val="002D3614"/>
    <w:rsid w:val="002D3776"/>
    <w:rsid w:val="002D3B2E"/>
    <w:rsid w:val="002D3F46"/>
    <w:rsid w:val="002D4213"/>
    <w:rsid w:val="002D4257"/>
    <w:rsid w:val="002D42C6"/>
    <w:rsid w:val="002D43C1"/>
    <w:rsid w:val="002D43C7"/>
    <w:rsid w:val="002D43FC"/>
    <w:rsid w:val="002D43FE"/>
    <w:rsid w:val="002D46E4"/>
    <w:rsid w:val="002D4769"/>
    <w:rsid w:val="002D48AD"/>
    <w:rsid w:val="002D4C01"/>
    <w:rsid w:val="002D4C86"/>
    <w:rsid w:val="002D4DCD"/>
    <w:rsid w:val="002D4E10"/>
    <w:rsid w:val="002D4FAB"/>
    <w:rsid w:val="002D506A"/>
    <w:rsid w:val="002D50D2"/>
    <w:rsid w:val="002D511F"/>
    <w:rsid w:val="002D55BA"/>
    <w:rsid w:val="002D5623"/>
    <w:rsid w:val="002D587E"/>
    <w:rsid w:val="002D59AA"/>
    <w:rsid w:val="002D5A71"/>
    <w:rsid w:val="002D5C2B"/>
    <w:rsid w:val="002D5D3E"/>
    <w:rsid w:val="002D5DAA"/>
    <w:rsid w:val="002D5F45"/>
    <w:rsid w:val="002D60C2"/>
    <w:rsid w:val="002D6119"/>
    <w:rsid w:val="002D616D"/>
    <w:rsid w:val="002D624A"/>
    <w:rsid w:val="002D63AC"/>
    <w:rsid w:val="002D6408"/>
    <w:rsid w:val="002D671A"/>
    <w:rsid w:val="002D685C"/>
    <w:rsid w:val="002D6895"/>
    <w:rsid w:val="002D68A1"/>
    <w:rsid w:val="002D68DE"/>
    <w:rsid w:val="002D6907"/>
    <w:rsid w:val="002D6B01"/>
    <w:rsid w:val="002D6C05"/>
    <w:rsid w:val="002D6C10"/>
    <w:rsid w:val="002D6CD6"/>
    <w:rsid w:val="002D6D5A"/>
    <w:rsid w:val="002D6EDA"/>
    <w:rsid w:val="002D6FFB"/>
    <w:rsid w:val="002D7086"/>
    <w:rsid w:val="002D7160"/>
    <w:rsid w:val="002D7172"/>
    <w:rsid w:val="002D72EB"/>
    <w:rsid w:val="002D732D"/>
    <w:rsid w:val="002D73DF"/>
    <w:rsid w:val="002D748F"/>
    <w:rsid w:val="002D7503"/>
    <w:rsid w:val="002D755A"/>
    <w:rsid w:val="002D7588"/>
    <w:rsid w:val="002D764F"/>
    <w:rsid w:val="002D7702"/>
    <w:rsid w:val="002D7916"/>
    <w:rsid w:val="002D7926"/>
    <w:rsid w:val="002D7A6E"/>
    <w:rsid w:val="002D7AEF"/>
    <w:rsid w:val="002D7B30"/>
    <w:rsid w:val="002D7C4C"/>
    <w:rsid w:val="002D7C54"/>
    <w:rsid w:val="002D7D4C"/>
    <w:rsid w:val="002D7D99"/>
    <w:rsid w:val="002D7E29"/>
    <w:rsid w:val="002D7E42"/>
    <w:rsid w:val="002D7F35"/>
    <w:rsid w:val="002E00B6"/>
    <w:rsid w:val="002E00CF"/>
    <w:rsid w:val="002E011C"/>
    <w:rsid w:val="002E03C9"/>
    <w:rsid w:val="002E03E8"/>
    <w:rsid w:val="002E044B"/>
    <w:rsid w:val="002E072B"/>
    <w:rsid w:val="002E09BF"/>
    <w:rsid w:val="002E0A9B"/>
    <w:rsid w:val="002E0BE8"/>
    <w:rsid w:val="002E0D05"/>
    <w:rsid w:val="002E0DF1"/>
    <w:rsid w:val="002E0EA6"/>
    <w:rsid w:val="002E1209"/>
    <w:rsid w:val="002E1480"/>
    <w:rsid w:val="002E14AC"/>
    <w:rsid w:val="002E14E2"/>
    <w:rsid w:val="002E16CB"/>
    <w:rsid w:val="002E1702"/>
    <w:rsid w:val="002E1738"/>
    <w:rsid w:val="002E1770"/>
    <w:rsid w:val="002E178C"/>
    <w:rsid w:val="002E180A"/>
    <w:rsid w:val="002E18CF"/>
    <w:rsid w:val="002E199B"/>
    <w:rsid w:val="002E1A01"/>
    <w:rsid w:val="002E1A0E"/>
    <w:rsid w:val="002E1AC5"/>
    <w:rsid w:val="002E1B13"/>
    <w:rsid w:val="002E1C38"/>
    <w:rsid w:val="002E1C3A"/>
    <w:rsid w:val="002E1E32"/>
    <w:rsid w:val="002E1FD1"/>
    <w:rsid w:val="002E2060"/>
    <w:rsid w:val="002E2082"/>
    <w:rsid w:val="002E2372"/>
    <w:rsid w:val="002E23D9"/>
    <w:rsid w:val="002E264E"/>
    <w:rsid w:val="002E2809"/>
    <w:rsid w:val="002E2894"/>
    <w:rsid w:val="002E2FBD"/>
    <w:rsid w:val="002E3232"/>
    <w:rsid w:val="002E3330"/>
    <w:rsid w:val="002E3528"/>
    <w:rsid w:val="002E352B"/>
    <w:rsid w:val="002E3584"/>
    <w:rsid w:val="002E3651"/>
    <w:rsid w:val="002E3672"/>
    <w:rsid w:val="002E380C"/>
    <w:rsid w:val="002E3890"/>
    <w:rsid w:val="002E392C"/>
    <w:rsid w:val="002E395B"/>
    <w:rsid w:val="002E39CF"/>
    <w:rsid w:val="002E3B65"/>
    <w:rsid w:val="002E3CFD"/>
    <w:rsid w:val="002E3DF2"/>
    <w:rsid w:val="002E3EC9"/>
    <w:rsid w:val="002E3F77"/>
    <w:rsid w:val="002E425F"/>
    <w:rsid w:val="002E4384"/>
    <w:rsid w:val="002E46BA"/>
    <w:rsid w:val="002E4762"/>
    <w:rsid w:val="002E477F"/>
    <w:rsid w:val="002E497B"/>
    <w:rsid w:val="002E4A3B"/>
    <w:rsid w:val="002E4B1F"/>
    <w:rsid w:val="002E4C3F"/>
    <w:rsid w:val="002E4DEF"/>
    <w:rsid w:val="002E4FE0"/>
    <w:rsid w:val="002E514B"/>
    <w:rsid w:val="002E518D"/>
    <w:rsid w:val="002E51DA"/>
    <w:rsid w:val="002E5245"/>
    <w:rsid w:val="002E52BA"/>
    <w:rsid w:val="002E52BF"/>
    <w:rsid w:val="002E53D3"/>
    <w:rsid w:val="002E58E5"/>
    <w:rsid w:val="002E5918"/>
    <w:rsid w:val="002E5B8A"/>
    <w:rsid w:val="002E5D60"/>
    <w:rsid w:val="002E5ED9"/>
    <w:rsid w:val="002E5EEE"/>
    <w:rsid w:val="002E5F39"/>
    <w:rsid w:val="002E5F8A"/>
    <w:rsid w:val="002E606C"/>
    <w:rsid w:val="002E61DC"/>
    <w:rsid w:val="002E61E1"/>
    <w:rsid w:val="002E6327"/>
    <w:rsid w:val="002E6447"/>
    <w:rsid w:val="002E65A0"/>
    <w:rsid w:val="002E65D3"/>
    <w:rsid w:val="002E6698"/>
    <w:rsid w:val="002E6726"/>
    <w:rsid w:val="002E6733"/>
    <w:rsid w:val="002E676B"/>
    <w:rsid w:val="002E6801"/>
    <w:rsid w:val="002E6965"/>
    <w:rsid w:val="002E6A20"/>
    <w:rsid w:val="002E6A65"/>
    <w:rsid w:val="002E6B28"/>
    <w:rsid w:val="002E6E54"/>
    <w:rsid w:val="002E7058"/>
    <w:rsid w:val="002E70A8"/>
    <w:rsid w:val="002E7111"/>
    <w:rsid w:val="002E7166"/>
    <w:rsid w:val="002E71C6"/>
    <w:rsid w:val="002E71D6"/>
    <w:rsid w:val="002E720C"/>
    <w:rsid w:val="002E7222"/>
    <w:rsid w:val="002E725B"/>
    <w:rsid w:val="002E739D"/>
    <w:rsid w:val="002E74D9"/>
    <w:rsid w:val="002E75D5"/>
    <w:rsid w:val="002E7759"/>
    <w:rsid w:val="002E776D"/>
    <w:rsid w:val="002E794D"/>
    <w:rsid w:val="002E7970"/>
    <w:rsid w:val="002E79BF"/>
    <w:rsid w:val="002E79CA"/>
    <w:rsid w:val="002E7A21"/>
    <w:rsid w:val="002E7A2C"/>
    <w:rsid w:val="002E7A7D"/>
    <w:rsid w:val="002E7C2B"/>
    <w:rsid w:val="002E7DF5"/>
    <w:rsid w:val="002E7E2F"/>
    <w:rsid w:val="002E7F04"/>
    <w:rsid w:val="002F063F"/>
    <w:rsid w:val="002F073E"/>
    <w:rsid w:val="002F0976"/>
    <w:rsid w:val="002F0A67"/>
    <w:rsid w:val="002F0DE9"/>
    <w:rsid w:val="002F0F1A"/>
    <w:rsid w:val="002F10B6"/>
    <w:rsid w:val="002F123D"/>
    <w:rsid w:val="002F1253"/>
    <w:rsid w:val="002F1363"/>
    <w:rsid w:val="002F1391"/>
    <w:rsid w:val="002F168F"/>
    <w:rsid w:val="002F16BA"/>
    <w:rsid w:val="002F1880"/>
    <w:rsid w:val="002F1989"/>
    <w:rsid w:val="002F1C53"/>
    <w:rsid w:val="002F1C8F"/>
    <w:rsid w:val="002F1D1B"/>
    <w:rsid w:val="002F212F"/>
    <w:rsid w:val="002F2214"/>
    <w:rsid w:val="002F231D"/>
    <w:rsid w:val="002F2395"/>
    <w:rsid w:val="002F24CB"/>
    <w:rsid w:val="002F25F4"/>
    <w:rsid w:val="002F2618"/>
    <w:rsid w:val="002F2634"/>
    <w:rsid w:val="002F26F6"/>
    <w:rsid w:val="002F2758"/>
    <w:rsid w:val="002F28AB"/>
    <w:rsid w:val="002F2AA1"/>
    <w:rsid w:val="002F2BD3"/>
    <w:rsid w:val="002F2F04"/>
    <w:rsid w:val="002F2FAE"/>
    <w:rsid w:val="002F2FD3"/>
    <w:rsid w:val="002F31D2"/>
    <w:rsid w:val="002F3285"/>
    <w:rsid w:val="002F32B4"/>
    <w:rsid w:val="002F3313"/>
    <w:rsid w:val="002F3574"/>
    <w:rsid w:val="002F3667"/>
    <w:rsid w:val="002F3816"/>
    <w:rsid w:val="002F38A4"/>
    <w:rsid w:val="002F3A4F"/>
    <w:rsid w:val="002F3C87"/>
    <w:rsid w:val="002F3D15"/>
    <w:rsid w:val="002F3D1E"/>
    <w:rsid w:val="002F3DC1"/>
    <w:rsid w:val="002F3F6B"/>
    <w:rsid w:val="002F3FB3"/>
    <w:rsid w:val="002F4001"/>
    <w:rsid w:val="002F42DB"/>
    <w:rsid w:val="002F444B"/>
    <w:rsid w:val="002F459F"/>
    <w:rsid w:val="002F47AE"/>
    <w:rsid w:val="002F484C"/>
    <w:rsid w:val="002F4880"/>
    <w:rsid w:val="002F48F1"/>
    <w:rsid w:val="002F49A9"/>
    <w:rsid w:val="002F4C7E"/>
    <w:rsid w:val="002F4DC9"/>
    <w:rsid w:val="002F4E6B"/>
    <w:rsid w:val="002F4F68"/>
    <w:rsid w:val="002F503D"/>
    <w:rsid w:val="002F505B"/>
    <w:rsid w:val="002F50C1"/>
    <w:rsid w:val="002F50C2"/>
    <w:rsid w:val="002F51F2"/>
    <w:rsid w:val="002F547D"/>
    <w:rsid w:val="002F5496"/>
    <w:rsid w:val="002F56B7"/>
    <w:rsid w:val="002F5D12"/>
    <w:rsid w:val="002F5E3D"/>
    <w:rsid w:val="002F5ED5"/>
    <w:rsid w:val="002F5F64"/>
    <w:rsid w:val="002F6105"/>
    <w:rsid w:val="002F6157"/>
    <w:rsid w:val="002F640C"/>
    <w:rsid w:val="002F65CE"/>
    <w:rsid w:val="002F6706"/>
    <w:rsid w:val="002F6978"/>
    <w:rsid w:val="002F6A4C"/>
    <w:rsid w:val="002F6B07"/>
    <w:rsid w:val="002F6B2D"/>
    <w:rsid w:val="002F6BA9"/>
    <w:rsid w:val="002F6BB6"/>
    <w:rsid w:val="002F6C64"/>
    <w:rsid w:val="002F6C91"/>
    <w:rsid w:val="002F6CA3"/>
    <w:rsid w:val="002F6D2C"/>
    <w:rsid w:val="002F6D9E"/>
    <w:rsid w:val="002F6F94"/>
    <w:rsid w:val="002F711D"/>
    <w:rsid w:val="002F71F9"/>
    <w:rsid w:val="002F7251"/>
    <w:rsid w:val="002F72FA"/>
    <w:rsid w:val="002F7333"/>
    <w:rsid w:val="002F741F"/>
    <w:rsid w:val="002F7637"/>
    <w:rsid w:val="002F767C"/>
    <w:rsid w:val="002F76EC"/>
    <w:rsid w:val="002F7935"/>
    <w:rsid w:val="002F7B0C"/>
    <w:rsid w:val="002F7B4F"/>
    <w:rsid w:val="002F7BBA"/>
    <w:rsid w:val="002F7E0C"/>
    <w:rsid w:val="002F7F2F"/>
    <w:rsid w:val="002F7F82"/>
    <w:rsid w:val="002F7FA5"/>
    <w:rsid w:val="002F7FBC"/>
    <w:rsid w:val="0030005E"/>
    <w:rsid w:val="0030011A"/>
    <w:rsid w:val="00300141"/>
    <w:rsid w:val="00300175"/>
    <w:rsid w:val="00300254"/>
    <w:rsid w:val="003004CE"/>
    <w:rsid w:val="0030054C"/>
    <w:rsid w:val="00300581"/>
    <w:rsid w:val="003005AE"/>
    <w:rsid w:val="003006F8"/>
    <w:rsid w:val="00300802"/>
    <w:rsid w:val="0030093F"/>
    <w:rsid w:val="0030097F"/>
    <w:rsid w:val="00300A75"/>
    <w:rsid w:val="00300B66"/>
    <w:rsid w:val="00300B7D"/>
    <w:rsid w:val="00300C62"/>
    <w:rsid w:val="00300CAA"/>
    <w:rsid w:val="00300EFA"/>
    <w:rsid w:val="00300F7E"/>
    <w:rsid w:val="00300FB3"/>
    <w:rsid w:val="00300FE7"/>
    <w:rsid w:val="00301166"/>
    <w:rsid w:val="003013A6"/>
    <w:rsid w:val="00301402"/>
    <w:rsid w:val="0030140F"/>
    <w:rsid w:val="0030141E"/>
    <w:rsid w:val="003015D2"/>
    <w:rsid w:val="003016EE"/>
    <w:rsid w:val="003017A9"/>
    <w:rsid w:val="003019F6"/>
    <w:rsid w:val="00301B94"/>
    <w:rsid w:val="00301D08"/>
    <w:rsid w:val="00301EA8"/>
    <w:rsid w:val="00302023"/>
    <w:rsid w:val="003020AC"/>
    <w:rsid w:val="00302136"/>
    <w:rsid w:val="00302225"/>
    <w:rsid w:val="00302288"/>
    <w:rsid w:val="003022D0"/>
    <w:rsid w:val="00302569"/>
    <w:rsid w:val="003027AD"/>
    <w:rsid w:val="0030281F"/>
    <w:rsid w:val="0030290A"/>
    <w:rsid w:val="00302925"/>
    <w:rsid w:val="00302968"/>
    <w:rsid w:val="00302A64"/>
    <w:rsid w:val="00302C98"/>
    <w:rsid w:val="00302D59"/>
    <w:rsid w:val="00302EAD"/>
    <w:rsid w:val="0030301F"/>
    <w:rsid w:val="0030303B"/>
    <w:rsid w:val="003031AB"/>
    <w:rsid w:val="003031DF"/>
    <w:rsid w:val="0030323E"/>
    <w:rsid w:val="00303894"/>
    <w:rsid w:val="00303AD8"/>
    <w:rsid w:val="00303BEC"/>
    <w:rsid w:val="00303CDA"/>
    <w:rsid w:val="00303E0A"/>
    <w:rsid w:val="00303EA0"/>
    <w:rsid w:val="00303F78"/>
    <w:rsid w:val="0030408E"/>
    <w:rsid w:val="003042F9"/>
    <w:rsid w:val="00304436"/>
    <w:rsid w:val="00304530"/>
    <w:rsid w:val="00304590"/>
    <w:rsid w:val="003045DA"/>
    <w:rsid w:val="003047EE"/>
    <w:rsid w:val="003047FE"/>
    <w:rsid w:val="003048BF"/>
    <w:rsid w:val="00304D50"/>
    <w:rsid w:val="00304DC4"/>
    <w:rsid w:val="003050D4"/>
    <w:rsid w:val="0030537F"/>
    <w:rsid w:val="00305508"/>
    <w:rsid w:val="0030558F"/>
    <w:rsid w:val="003057E5"/>
    <w:rsid w:val="003058F6"/>
    <w:rsid w:val="003059D7"/>
    <w:rsid w:val="00305AB5"/>
    <w:rsid w:val="00305C5B"/>
    <w:rsid w:val="00305CD5"/>
    <w:rsid w:val="00305D7D"/>
    <w:rsid w:val="00305DD4"/>
    <w:rsid w:val="00305E64"/>
    <w:rsid w:val="00305E73"/>
    <w:rsid w:val="00306150"/>
    <w:rsid w:val="0030659C"/>
    <w:rsid w:val="0030697C"/>
    <w:rsid w:val="00306B8A"/>
    <w:rsid w:val="00306CED"/>
    <w:rsid w:val="00306D32"/>
    <w:rsid w:val="00306D6C"/>
    <w:rsid w:val="00306DA4"/>
    <w:rsid w:val="00306E64"/>
    <w:rsid w:val="0030705D"/>
    <w:rsid w:val="003071B0"/>
    <w:rsid w:val="003071B2"/>
    <w:rsid w:val="0030735C"/>
    <w:rsid w:val="0030749E"/>
    <w:rsid w:val="003077E6"/>
    <w:rsid w:val="0030785B"/>
    <w:rsid w:val="0030796F"/>
    <w:rsid w:val="0030799D"/>
    <w:rsid w:val="00307A4C"/>
    <w:rsid w:val="00307AD6"/>
    <w:rsid w:val="00307AE4"/>
    <w:rsid w:val="00307E6F"/>
    <w:rsid w:val="00307F0D"/>
    <w:rsid w:val="00307FE9"/>
    <w:rsid w:val="00310165"/>
    <w:rsid w:val="003101B5"/>
    <w:rsid w:val="00310248"/>
    <w:rsid w:val="0031029C"/>
    <w:rsid w:val="0031055A"/>
    <w:rsid w:val="0031057C"/>
    <w:rsid w:val="003105C6"/>
    <w:rsid w:val="0031086A"/>
    <w:rsid w:val="0031086E"/>
    <w:rsid w:val="003108A2"/>
    <w:rsid w:val="003108DE"/>
    <w:rsid w:val="00310A56"/>
    <w:rsid w:val="00310BD6"/>
    <w:rsid w:val="00310C1C"/>
    <w:rsid w:val="00310CC9"/>
    <w:rsid w:val="00310D1D"/>
    <w:rsid w:val="00310DC2"/>
    <w:rsid w:val="00310EAD"/>
    <w:rsid w:val="00310FAE"/>
    <w:rsid w:val="00311195"/>
    <w:rsid w:val="0031134D"/>
    <w:rsid w:val="0031136B"/>
    <w:rsid w:val="003113F5"/>
    <w:rsid w:val="003114C1"/>
    <w:rsid w:val="003114DB"/>
    <w:rsid w:val="00311822"/>
    <w:rsid w:val="003118B7"/>
    <w:rsid w:val="0031196B"/>
    <w:rsid w:val="00311BA2"/>
    <w:rsid w:val="00311BEE"/>
    <w:rsid w:val="00311DA4"/>
    <w:rsid w:val="00311F80"/>
    <w:rsid w:val="00311FAD"/>
    <w:rsid w:val="00311FEF"/>
    <w:rsid w:val="003121CD"/>
    <w:rsid w:val="003123C6"/>
    <w:rsid w:val="0031245A"/>
    <w:rsid w:val="003124A8"/>
    <w:rsid w:val="003128A4"/>
    <w:rsid w:val="00312BDD"/>
    <w:rsid w:val="00312E17"/>
    <w:rsid w:val="00312F13"/>
    <w:rsid w:val="00312FF7"/>
    <w:rsid w:val="00313124"/>
    <w:rsid w:val="003133D8"/>
    <w:rsid w:val="00313519"/>
    <w:rsid w:val="003137E3"/>
    <w:rsid w:val="00313876"/>
    <w:rsid w:val="003139E6"/>
    <w:rsid w:val="00313C24"/>
    <w:rsid w:val="00313C54"/>
    <w:rsid w:val="00313CEC"/>
    <w:rsid w:val="00313DDF"/>
    <w:rsid w:val="00313DFD"/>
    <w:rsid w:val="00313EB3"/>
    <w:rsid w:val="00313EDB"/>
    <w:rsid w:val="00314029"/>
    <w:rsid w:val="0031415E"/>
    <w:rsid w:val="003141DD"/>
    <w:rsid w:val="00314342"/>
    <w:rsid w:val="00314513"/>
    <w:rsid w:val="00314656"/>
    <w:rsid w:val="0031471F"/>
    <w:rsid w:val="00314905"/>
    <w:rsid w:val="00314A40"/>
    <w:rsid w:val="00314B99"/>
    <w:rsid w:val="00314EAC"/>
    <w:rsid w:val="00314FBE"/>
    <w:rsid w:val="0031520D"/>
    <w:rsid w:val="00315497"/>
    <w:rsid w:val="00315555"/>
    <w:rsid w:val="0031556D"/>
    <w:rsid w:val="00315579"/>
    <w:rsid w:val="00315612"/>
    <w:rsid w:val="00315841"/>
    <w:rsid w:val="00315851"/>
    <w:rsid w:val="003158C1"/>
    <w:rsid w:val="00315921"/>
    <w:rsid w:val="00315945"/>
    <w:rsid w:val="003159D0"/>
    <w:rsid w:val="003159D2"/>
    <w:rsid w:val="003159F3"/>
    <w:rsid w:val="00315A7A"/>
    <w:rsid w:val="00315AAE"/>
    <w:rsid w:val="00315E03"/>
    <w:rsid w:val="00315E9A"/>
    <w:rsid w:val="003161A1"/>
    <w:rsid w:val="0031632D"/>
    <w:rsid w:val="0031636C"/>
    <w:rsid w:val="003163FA"/>
    <w:rsid w:val="003164EE"/>
    <w:rsid w:val="003165A9"/>
    <w:rsid w:val="00316706"/>
    <w:rsid w:val="0031674D"/>
    <w:rsid w:val="003167A8"/>
    <w:rsid w:val="0031689F"/>
    <w:rsid w:val="00316A1E"/>
    <w:rsid w:val="00316A36"/>
    <w:rsid w:val="00316C05"/>
    <w:rsid w:val="00316CA4"/>
    <w:rsid w:val="00316EE8"/>
    <w:rsid w:val="0031707F"/>
    <w:rsid w:val="00317121"/>
    <w:rsid w:val="00317389"/>
    <w:rsid w:val="003173B0"/>
    <w:rsid w:val="0031742D"/>
    <w:rsid w:val="00317497"/>
    <w:rsid w:val="00317523"/>
    <w:rsid w:val="003175EE"/>
    <w:rsid w:val="0031776E"/>
    <w:rsid w:val="00317A07"/>
    <w:rsid w:val="00317B12"/>
    <w:rsid w:val="00317BB6"/>
    <w:rsid w:val="00317D5B"/>
    <w:rsid w:val="00320202"/>
    <w:rsid w:val="00320523"/>
    <w:rsid w:val="00320A03"/>
    <w:rsid w:val="00320AC0"/>
    <w:rsid w:val="00320ADB"/>
    <w:rsid w:val="00320B20"/>
    <w:rsid w:val="00320C19"/>
    <w:rsid w:val="00320C30"/>
    <w:rsid w:val="00320C33"/>
    <w:rsid w:val="00320E2F"/>
    <w:rsid w:val="00320E52"/>
    <w:rsid w:val="00320FF0"/>
    <w:rsid w:val="003211E9"/>
    <w:rsid w:val="003212B3"/>
    <w:rsid w:val="00321697"/>
    <w:rsid w:val="003218C2"/>
    <w:rsid w:val="003219BC"/>
    <w:rsid w:val="00321A33"/>
    <w:rsid w:val="00321B6A"/>
    <w:rsid w:val="00321CDD"/>
    <w:rsid w:val="00321D90"/>
    <w:rsid w:val="00321E31"/>
    <w:rsid w:val="003220DA"/>
    <w:rsid w:val="003220F4"/>
    <w:rsid w:val="00322161"/>
    <w:rsid w:val="0032237C"/>
    <w:rsid w:val="0032252A"/>
    <w:rsid w:val="00322779"/>
    <w:rsid w:val="003227FE"/>
    <w:rsid w:val="003228D5"/>
    <w:rsid w:val="00322B49"/>
    <w:rsid w:val="00322BDC"/>
    <w:rsid w:val="00322BE0"/>
    <w:rsid w:val="00322DE0"/>
    <w:rsid w:val="00322EA4"/>
    <w:rsid w:val="00322EB4"/>
    <w:rsid w:val="003231DA"/>
    <w:rsid w:val="003231F1"/>
    <w:rsid w:val="003234AD"/>
    <w:rsid w:val="00323C50"/>
    <w:rsid w:val="00323D0F"/>
    <w:rsid w:val="00323E70"/>
    <w:rsid w:val="00323FDD"/>
    <w:rsid w:val="0032400C"/>
    <w:rsid w:val="003240FF"/>
    <w:rsid w:val="00324312"/>
    <w:rsid w:val="0032434F"/>
    <w:rsid w:val="003247E9"/>
    <w:rsid w:val="003247FC"/>
    <w:rsid w:val="0032482A"/>
    <w:rsid w:val="003249C1"/>
    <w:rsid w:val="00324A5C"/>
    <w:rsid w:val="00324ADC"/>
    <w:rsid w:val="00324B48"/>
    <w:rsid w:val="00324C17"/>
    <w:rsid w:val="00324C33"/>
    <w:rsid w:val="00324D8C"/>
    <w:rsid w:val="00324E00"/>
    <w:rsid w:val="0032537A"/>
    <w:rsid w:val="0032556A"/>
    <w:rsid w:val="003255C2"/>
    <w:rsid w:val="0032568B"/>
    <w:rsid w:val="003256E1"/>
    <w:rsid w:val="00325716"/>
    <w:rsid w:val="00325766"/>
    <w:rsid w:val="003258C1"/>
    <w:rsid w:val="00325973"/>
    <w:rsid w:val="003259C5"/>
    <w:rsid w:val="00325A46"/>
    <w:rsid w:val="00325A7B"/>
    <w:rsid w:val="00325AFC"/>
    <w:rsid w:val="003260C6"/>
    <w:rsid w:val="0032615A"/>
    <w:rsid w:val="003261B5"/>
    <w:rsid w:val="003261D8"/>
    <w:rsid w:val="0032636C"/>
    <w:rsid w:val="00326404"/>
    <w:rsid w:val="00326567"/>
    <w:rsid w:val="00326778"/>
    <w:rsid w:val="003267AC"/>
    <w:rsid w:val="00326806"/>
    <w:rsid w:val="00326A1E"/>
    <w:rsid w:val="00326BF8"/>
    <w:rsid w:val="00326F55"/>
    <w:rsid w:val="00327268"/>
    <w:rsid w:val="00327377"/>
    <w:rsid w:val="00327380"/>
    <w:rsid w:val="0032739F"/>
    <w:rsid w:val="003273B8"/>
    <w:rsid w:val="003273F8"/>
    <w:rsid w:val="0032757A"/>
    <w:rsid w:val="003275C6"/>
    <w:rsid w:val="003277AE"/>
    <w:rsid w:val="003277B3"/>
    <w:rsid w:val="00327892"/>
    <w:rsid w:val="003278FE"/>
    <w:rsid w:val="0032798F"/>
    <w:rsid w:val="003279F4"/>
    <w:rsid w:val="00327AF3"/>
    <w:rsid w:val="00327DE3"/>
    <w:rsid w:val="00327EAA"/>
    <w:rsid w:val="00327F11"/>
    <w:rsid w:val="00327FA6"/>
    <w:rsid w:val="0033021A"/>
    <w:rsid w:val="00330406"/>
    <w:rsid w:val="00330477"/>
    <w:rsid w:val="00330547"/>
    <w:rsid w:val="00330648"/>
    <w:rsid w:val="00330681"/>
    <w:rsid w:val="0033076C"/>
    <w:rsid w:val="003307D8"/>
    <w:rsid w:val="003307EB"/>
    <w:rsid w:val="003309D6"/>
    <w:rsid w:val="00330A04"/>
    <w:rsid w:val="00330BDC"/>
    <w:rsid w:val="00330D36"/>
    <w:rsid w:val="00331054"/>
    <w:rsid w:val="003310F1"/>
    <w:rsid w:val="003311C8"/>
    <w:rsid w:val="0033128B"/>
    <w:rsid w:val="00331327"/>
    <w:rsid w:val="003314DA"/>
    <w:rsid w:val="00331677"/>
    <w:rsid w:val="00331706"/>
    <w:rsid w:val="0033197B"/>
    <w:rsid w:val="003319B3"/>
    <w:rsid w:val="00331C0E"/>
    <w:rsid w:val="00331C2C"/>
    <w:rsid w:val="00331D39"/>
    <w:rsid w:val="00331D63"/>
    <w:rsid w:val="00331F1E"/>
    <w:rsid w:val="003320F3"/>
    <w:rsid w:val="00332268"/>
    <w:rsid w:val="003322A6"/>
    <w:rsid w:val="00332370"/>
    <w:rsid w:val="00332471"/>
    <w:rsid w:val="0033264C"/>
    <w:rsid w:val="003326FF"/>
    <w:rsid w:val="00332723"/>
    <w:rsid w:val="00332770"/>
    <w:rsid w:val="00332845"/>
    <w:rsid w:val="0033294A"/>
    <w:rsid w:val="00332A00"/>
    <w:rsid w:val="00332A02"/>
    <w:rsid w:val="00332BB7"/>
    <w:rsid w:val="00332C84"/>
    <w:rsid w:val="00332CB0"/>
    <w:rsid w:val="00332F35"/>
    <w:rsid w:val="00333017"/>
    <w:rsid w:val="00333325"/>
    <w:rsid w:val="00333333"/>
    <w:rsid w:val="003333D3"/>
    <w:rsid w:val="003338C0"/>
    <w:rsid w:val="003338C5"/>
    <w:rsid w:val="00333B45"/>
    <w:rsid w:val="00333C5C"/>
    <w:rsid w:val="00333EB3"/>
    <w:rsid w:val="00334161"/>
    <w:rsid w:val="00334224"/>
    <w:rsid w:val="003343FB"/>
    <w:rsid w:val="00334413"/>
    <w:rsid w:val="003344E0"/>
    <w:rsid w:val="0033469C"/>
    <w:rsid w:val="003349E8"/>
    <w:rsid w:val="003349F1"/>
    <w:rsid w:val="00334A1B"/>
    <w:rsid w:val="00334AA2"/>
    <w:rsid w:val="00334C5D"/>
    <w:rsid w:val="00334D19"/>
    <w:rsid w:val="00335050"/>
    <w:rsid w:val="003350DD"/>
    <w:rsid w:val="00335382"/>
    <w:rsid w:val="00335442"/>
    <w:rsid w:val="0033565C"/>
    <w:rsid w:val="003357EE"/>
    <w:rsid w:val="00335A99"/>
    <w:rsid w:val="00335C05"/>
    <w:rsid w:val="00335C32"/>
    <w:rsid w:val="00335C6F"/>
    <w:rsid w:val="00335CEE"/>
    <w:rsid w:val="00335D90"/>
    <w:rsid w:val="00335EFA"/>
    <w:rsid w:val="00336165"/>
    <w:rsid w:val="003361BD"/>
    <w:rsid w:val="0033623A"/>
    <w:rsid w:val="003362FF"/>
    <w:rsid w:val="00336341"/>
    <w:rsid w:val="00336463"/>
    <w:rsid w:val="00336480"/>
    <w:rsid w:val="0033648A"/>
    <w:rsid w:val="00336591"/>
    <w:rsid w:val="003365D2"/>
    <w:rsid w:val="003366BB"/>
    <w:rsid w:val="003366F4"/>
    <w:rsid w:val="00336888"/>
    <w:rsid w:val="00336901"/>
    <w:rsid w:val="00336923"/>
    <w:rsid w:val="00336A3E"/>
    <w:rsid w:val="00336B9F"/>
    <w:rsid w:val="00336C01"/>
    <w:rsid w:val="00336D3E"/>
    <w:rsid w:val="00336D61"/>
    <w:rsid w:val="00336DFE"/>
    <w:rsid w:val="00337049"/>
    <w:rsid w:val="00337318"/>
    <w:rsid w:val="00337464"/>
    <w:rsid w:val="0033748F"/>
    <w:rsid w:val="003374E2"/>
    <w:rsid w:val="003375A3"/>
    <w:rsid w:val="003375D0"/>
    <w:rsid w:val="00337834"/>
    <w:rsid w:val="003378D0"/>
    <w:rsid w:val="00337968"/>
    <w:rsid w:val="003379DE"/>
    <w:rsid w:val="00337A6F"/>
    <w:rsid w:val="00337A7D"/>
    <w:rsid w:val="00337B77"/>
    <w:rsid w:val="00337C6B"/>
    <w:rsid w:val="00337D09"/>
    <w:rsid w:val="00337E1A"/>
    <w:rsid w:val="00337E2D"/>
    <w:rsid w:val="00337E68"/>
    <w:rsid w:val="00337E72"/>
    <w:rsid w:val="00337F26"/>
    <w:rsid w:val="0034018F"/>
    <w:rsid w:val="003401D8"/>
    <w:rsid w:val="00340435"/>
    <w:rsid w:val="0034071B"/>
    <w:rsid w:val="0034078B"/>
    <w:rsid w:val="00340924"/>
    <w:rsid w:val="00340A3F"/>
    <w:rsid w:val="00340C68"/>
    <w:rsid w:val="00340C71"/>
    <w:rsid w:val="00340C80"/>
    <w:rsid w:val="00340D99"/>
    <w:rsid w:val="00340DBA"/>
    <w:rsid w:val="0034108E"/>
    <w:rsid w:val="003410A5"/>
    <w:rsid w:val="003410BD"/>
    <w:rsid w:val="003410D0"/>
    <w:rsid w:val="00341356"/>
    <w:rsid w:val="003413A3"/>
    <w:rsid w:val="0034173D"/>
    <w:rsid w:val="003417A3"/>
    <w:rsid w:val="003417B8"/>
    <w:rsid w:val="00341890"/>
    <w:rsid w:val="003418DE"/>
    <w:rsid w:val="003418F5"/>
    <w:rsid w:val="0034191A"/>
    <w:rsid w:val="00341A28"/>
    <w:rsid w:val="00341B2E"/>
    <w:rsid w:val="00341B4D"/>
    <w:rsid w:val="00341C79"/>
    <w:rsid w:val="00341DE1"/>
    <w:rsid w:val="00341E85"/>
    <w:rsid w:val="00341EAB"/>
    <w:rsid w:val="00341FCB"/>
    <w:rsid w:val="003420D1"/>
    <w:rsid w:val="0034247C"/>
    <w:rsid w:val="00342559"/>
    <w:rsid w:val="0034273B"/>
    <w:rsid w:val="00342768"/>
    <w:rsid w:val="00342793"/>
    <w:rsid w:val="00342800"/>
    <w:rsid w:val="00342882"/>
    <w:rsid w:val="00342C0F"/>
    <w:rsid w:val="00342D06"/>
    <w:rsid w:val="00343323"/>
    <w:rsid w:val="00343434"/>
    <w:rsid w:val="0034349A"/>
    <w:rsid w:val="00343607"/>
    <w:rsid w:val="00343613"/>
    <w:rsid w:val="003439D3"/>
    <w:rsid w:val="00343A48"/>
    <w:rsid w:val="00343BAB"/>
    <w:rsid w:val="00343C3B"/>
    <w:rsid w:val="00343D1B"/>
    <w:rsid w:val="00343E49"/>
    <w:rsid w:val="00343E52"/>
    <w:rsid w:val="00343F8D"/>
    <w:rsid w:val="003440F9"/>
    <w:rsid w:val="0034411F"/>
    <w:rsid w:val="0034417E"/>
    <w:rsid w:val="00344201"/>
    <w:rsid w:val="0034425D"/>
    <w:rsid w:val="003446A9"/>
    <w:rsid w:val="00344824"/>
    <w:rsid w:val="00344B6F"/>
    <w:rsid w:val="00344B7F"/>
    <w:rsid w:val="00344CC9"/>
    <w:rsid w:val="00344D31"/>
    <w:rsid w:val="00344F16"/>
    <w:rsid w:val="00344F88"/>
    <w:rsid w:val="003452BF"/>
    <w:rsid w:val="003452F9"/>
    <w:rsid w:val="00345329"/>
    <w:rsid w:val="00345445"/>
    <w:rsid w:val="00345458"/>
    <w:rsid w:val="003455A3"/>
    <w:rsid w:val="0034571F"/>
    <w:rsid w:val="0034574F"/>
    <w:rsid w:val="003457D4"/>
    <w:rsid w:val="003457E4"/>
    <w:rsid w:val="0034581F"/>
    <w:rsid w:val="00345936"/>
    <w:rsid w:val="00345A8F"/>
    <w:rsid w:val="00345DBC"/>
    <w:rsid w:val="003461CF"/>
    <w:rsid w:val="00346337"/>
    <w:rsid w:val="003464BD"/>
    <w:rsid w:val="00346573"/>
    <w:rsid w:val="003467B0"/>
    <w:rsid w:val="003467B3"/>
    <w:rsid w:val="00346869"/>
    <w:rsid w:val="00346942"/>
    <w:rsid w:val="00346B71"/>
    <w:rsid w:val="00346B72"/>
    <w:rsid w:val="00346C3B"/>
    <w:rsid w:val="00346DFD"/>
    <w:rsid w:val="00346E56"/>
    <w:rsid w:val="00346F2B"/>
    <w:rsid w:val="00346F5C"/>
    <w:rsid w:val="00347088"/>
    <w:rsid w:val="0034708D"/>
    <w:rsid w:val="00347190"/>
    <w:rsid w:val="003472AC"/>
    <w:rsid w:val="00347444"/>
    <w:rsid w:val="003474F8"/>
    <w:rsid w:val="00347537"/>
    <w:rsid w:val="0034759C"/>
    <w:rsid w:val="00347614"/>
    <w:rsid w:val="00347671"/>
    <w:rsid w:val="00347740"/>
    <w:rsid w:val="00347849"/>
    <w:rsid w:val="0034799D"/>
    <w:rsid w:val="00347B33"/>
    <w:rsid w:val="00347CA7"/>
    <w:rsid w:val="00347CD2"/>
    <w:rsid w:val="00347DCF"/>
    <w:rsid w:val="00350042"/>
    <w:rsid w:val="003502F5"/>
    <w:rsid w:val="00350344"/>
    <w:rsid w:val="003507BD"/>
    <w:rsid w:val="003507EB"/>
    <w:rsid w:val="00350978"/>
    <w:rsid w:val="003509C8"/>
    <w:rsid w:val="00350A16"/>
    <w:rsid w:val="00350B09"/>
    <w:rsid w:val="00350DEB"/>
    <w:rsid w:val="003511BD"/>
    <w:rsid w:val="003512C7"/>
    <w:rsid w:val="00351356"/>
    <w:rsid w:val="003513A5"/>
    <w:rsid w:val="00351479"/>
    <w:rsid w:val="003514BB"/>
    <w:rsid w:val="003514E1"/>
    <w:rsid w:val="00351587"/>
    <w:rsid w:val="003515DF"/>
    <w:rsid w:val="003517C8"/>
    <w:rsid w:val="003517E7"/>
    <w:rsid w:val="003519BE"/>
    <w:rsid w:val="00351A9E"/>
    <w:rsid w:val="00351AE9"/>
    <w:rsid w:val="00351AF6"/>
    <w:rsid w:val="00351E7D"/>
    <w:rsid w:val="00351ED3"/>
    <w:rsid w:val="00351F52"/>
    <w:rsid w:val="0035204A"/>
    <w:rsid w:val="0035205E"/>
    <w:rsid w:val="003520DB"/>
    <w:rsid w:val="003522E8"/>
    <w:rsid w:val="0035279A"/>
    <w:rsid w:val="003528A0"/>
    <w:rsid w:val="003528D8"/>
    <w:rsid w:val="00352958"/>
    <w:rsid w:val="003529E1"/>
    <w:rsid w:val="00352A60"/>
    <w:rsid w:val="00352B03"/>
    <w:rsid w:val="00352B2C"/>
    <w:rsid w:val="00352CAA"/>
    <w:rsid w:val="00352FD3"/>
    <w:rsid w:val="0035304C"/>
    <w:rsid w:val="00353292"/>
    <w:rsid w:val="003533D0"/>
    <w:rsid w:val="00353518"/>
    <w:rsid w:val="0035354F"/>
    <w:rsid w:val="00353559"/>
    <w:rsid w:val="003535C0"/>
    <w:rsid w:val="00353821"/>
    <w:rsid w:val="0035383D"/>
    <w:rsid w:val="003539E9"/>
    <w:rsid w:val="003539FE"/>
    <w:rsid w:val="00353A20"/>
    <w:rsid w:val="00353CDC"/>
    <w:rsid w:val="00353DDE"/>
    <w:rsid w:val="00353EA2"/>
    <w:rsid w:val="00353FB5"/>
    <w:rsid w:val="00354105"/>
    <w:rsid w:val="003542B0"/>
    <w:rsid w:val="003542B1"/>
    <w:rsid w:val="00354353"/>
    <w:rsid w:val="0035447C"/>
    <w:rsid w:val="0035447F"/>
    <w:rsid w:val="003545AB"/>
    <w:rsid w:val="00354A9C"/>
    <w:rsid w:val="00354C49"/>
    <w:rsid w:val="00354D25"/>
    <w:rsid w:val="00354D47"/>
    <w:rsid w:val="00354D7C"/>
    <w:rsid w:val="00354EDD"/>
    <w:rsid w:val="0035502F"/>
    <w:rsid w:val="00355197"/>
    <w:rsid w:val="00355278"/>
    <w:rsid w:val="003552D4"/>
    <w:rsid w:val="0035542B"/>
    <w:rsid w:val="00355560"/>
    <w:rsid w:val="0035557A"/>
    <w:rsid w:val="00355682"/>
    <w:rsid w:val="00355848"/>
    <w:rsid w:val="00355851"/>
    <w:rsid w:val="003558EF"/>
    <w:rsid w:val="00355A5E"/>
    <w:rsid w:val="00355AEC"/>
    <w:rsid w:val="00355B0E"/>
    <w:rsid w:val="00355C86"/>
    <w:rsid w:val="00355D2B"/>
    <w:rsid w:val="00355E86"/>
    <w:rsid w:val="00355EA0"/>
    <w:rsid w:val="00355EA3"/>
    <w:rsid w:val="00355EAC"/>
    <w:rsid w:val="00356056"/>
    <w:rsid w:val="003560E3"/>
    <w:rsid w:val="0035622F"/>
    <w:rsid w:val="0035647D"/>
    <w:rsid w:val="0035651E"/>
    <w:rsid w:val="00356617"/>
    <w:rsid w:val="00356658"/>
    <w:rsid w:val="00356743"/>
    <w:rsid w:val="0035680D"/>
    <w:rsid w:val="0035696C"/>
    <w:rsid w:val="00356A5A"/>
    <w:rsid w:val="00356ACA"/>
    <w:rsid w:val="00356B04"/>
    <w:rsid w:val="00356BB1"/>
    <w:rsid w:val="00356BBC"/>
    <w:rsid w:val="00356D3B"/>
    <w:rsid w:val="00356DB7"/>
    <w:rsid w:val="00357064"/>
    <w:rsid w:val="0035709D"/>
    <w:rsid w:val="003570C8"/>
    <w:rsid w:val="0035726C"/>
    <w:rsid w:val="0035750B"/>
    <w:rsid w:val="003575FA"/>
    <w:rsid w:val="0035771F"/>
    <w:rsid w:val="0035772E"/>
    <w:rsid w:val="00357752"/>
    <w:rsid w:val="00357A68"/>
    <w:rsid w:val="00357AD0"/>
    <w:rsid w:val="00357B64"/>
    <w:rsid w:val="00357B93"/>
    <w:rsid w:val="00357BDF"/>
    <w:rsid w:val="00357D67"/>
    <w:rsid w:val="00357DBA"/>
    <w:rsid w:val="00357E47"/>
    <w:rsid w:val="00357FCC"/>
    <w:rsid w:val="00357FE9"/>
    <w:rsid w:val="00360034"/>
    <w:rsid w:val="00360261"/>
    <w:rsid w:val="003603CC"/>
    <w:rsid w:val="003605C9"/>
    <w:rsid w:val="00360621"/>
    <w:rsid w:val="00360A34"/>
    <w:rsid w:val="00360C4A"/>
    <w:rsid w:val="00360C58"/>
    <w:rsid w:val="0036102C"/>
    <w:rsid w:val="00361066"/>
    <w:rsid w:val="003612A9"/>
    <w:rsid w:val="00361498"/>
    <w:rsid w:val="00361508"/>
    <w:rsid w:val="00361728"/>
    <w:rsid w:val="00361745"/>
    <w:rsid w:val="003617F0"/>
    <w:rsid w:val="00361849"/>
    <w:rsid w:val="0036187B"/>
    <w:rsid w:val="0036192C"/>
    <w:rsid w:val="00361A56"/>
    <w:rsid w:val="00361C38"/>
    <w:rsid w:val="00361D57"/>
    <w:rsid w:val="00361E92"/>
    <w:rsid w:val="0036208B"/>
    <w:rsid w:val="003620A3"/>
    <w:rsid w:val="0036217F"/>
    <w:rsid w:val="00362446"/>
    <w:rsid w:val="00362556"/>
    <w:rsid w:val="00362805"/>
    <w:rsid w:val="00362813"/>
    <w:rsid w:val="003629A8"/>
    <w:rsid w:val="003629D4"/>
    <w:rsid w:val="003629E4"/>
    <w:rsid w:val="003629FC"/>
    <w:rsid w:val="00362A27"/>
    <w:rsid w:val="00362A63"/>
    <w:rsid w:val="00362B51"/>
    <w:rsid w:val="00362BCF"/>
    <w:rsid w:val="00363054"/>
    <w:rsid w:val="0036314C"/>
    <w:rsid w:val="003634F4"/>
    <w:rsid w:val="003635AE"/>
    <w:rsid w:val="00363A7C"/>
    <w:rsid w:val="00363CEE"/>
    <w:rsid w:val="00363D07"/>
    <w:rsid w:val="00363D2B"/>
    <w:rsid w:val="0036411E"/>
    <w:rsid w:val="0036415E"/>
    <w:rsid w:val="0036417E"/>
    <w:rsid w:val="003641BC"/>
    <w:rsid w:val="00364205"/>
    <w:rsid w:val="00364256"/>
    <w:rsid w:val="0036432D"/>
    <w:rsid w:val="003643B1"/>
    <w:rsid w:val="003643D7"/>
    <w:rsid w:val="0036458D"/>
    <w:rsid w:val="00364620"/>
    <w:rsid w:val="003646FB"/>
    <w:rsid w:val="00364703"/>
    <w:rsid w:val="00364899"/>
    <w:rsid w:val="0036492E"/>
    <w:rsid w:val="003649A1"/>
    <w:rsid w:val="00364A90"/>
    <w:rsid w:val="00364BED"/>
    <w:rsid w:val="00364CF0"/>
    <w:rsid w:val="00364F72"/>
    <w:rsid w:val="00364F8C"/>
    <w:rsid w:val="00365079"/>
    <w:rsid w:val="0036508D"/>
    <w:rsid w:val="00365097"/>
    <w:rsid w:val="003650FC"/>
    <w:rsid w:val="00365158"/>
    <w:rsid w:val="00365590"/>
    <w:rsid w:val="00365603"/>
    <w:rsid w:val="00365790"/>
    <w:rsid w:val="003657C3"/>
    <w:rsid w:val="003657DF"/>
    <w:rsid w:val="00365964"/>
    <w:rsid w:val="003659D1"/>
    <w:rsid w:val="00365B2E"/>
    <w:rsid w:val="00365D7A"/>
    <w:rsid w:val="00365E39"/>
    <w:rsid w:val="00365F8B"/>
    <w:rsid w:val="00365FF3"/>
    <w:rsid w:val="00366183"/>
    <w:rsid w:val="00366436"/>
    <w:rsid w:val="0036649B"/>
    <w:rsid w:val="0036655E"/>
    <w:rsid w:val="00366632"/>
    <w:rsid w:val="003668B3"/>
    <w:rsid w:val="00366AC4"/>
    <w:rsid w:val="00366CD7"/>
    <w:rsid w:val="00367130"/>
    <w:rsid w:val="00367283"/>
    <w:rsid w:val="003672E0"/>
    <w:rsid w:val="00367367"/>
    <w:rsid w:val="00367416"/>
    <w:rsid w:val="00367425"/>
    <w:rsid w:val="003676A7"/>
    <w:rsid w:val="00367715"/>
    <w:rsid w:val="00367737"/>
    <w:rsid w:val="00367932"/>
    <w:rsid w:val="00367AAC"/>
    <w:rsid w:val="00367BD4"/>
    <w:rsid w:val="00367C37"/>
    <w:rsid w:val="00367D38"/>
    <w:rsid w:val="00367DC8"/>
    <w:rsid w:val="00367E3B"/>
    <w:rsid w:val="00367F19"/>
    <w:rsid w:val="00370089"/>
    <w:rsid w:val="0037012A"/>
    <w:rsid w:val="00370252"/>
    <w:rsid w:val="0037029E"/>
    <w:rsid w:val="00370482"/>
    <w:rsid w:val="003704E7"/>
    <w:rsid w:val="003706CE"/>
    <w:rsid w:val="0037085F"/>
    <w:rsid w:val="00370973"/>
    <w:rsid w:val="003709F9"/>
    <w:rsid w:val="00370BB4"/>
    <w:rsid w:val="00370C0B"/>
    <w:rsid w:val="00370D13"/>
    <w:rsid w:val="00370E91"/>
    <w:rsid w:val="003710BA"/>
    <w:rsid w:val="003711D1"/>
    <w:rsid w:val="003713E6"/>
    <w:rsid w:val="003713F1"/>
    <w:rsid w:val="0037146A"/>
    <w:rsid w:val="003714D2"/>
    <w:rsid w:val="00371527"/>
    <w:rsid w:val="00371663"/>
    <w:rsid w:val="00371788"/>
    <w:rsid w:val="003718F4"/>
    <w:rsid w:val="00371902"/>
    <w:rsid w:val="0037192B"/>
    <w:rsid w:val="00371948"/>
    <w:rsid w:val="003719D7"/>
    <w:rsid w:val="00371B6D"/>
    <w:rsid w:val="00371B73"/>
    <w:rsid w:val="00371CDE"/>
    <w:rsid w:val="0037211F"/>
    <w:rsid w:val="00372234"/>
    <w:rsid w:val="0037224A"/>
    <w:rsid w:val="003722BF"/>
    <w:rsid w:val="003722E8"/>
    <w:rsid w:val="00372315"/>
    <w:rsid w:val="003723F6"/>
    <w:rsid w:val="00372603"/>
    <w:rsid w:val="003726B6"/>
    <w:rsid w:val="003727F9"/>
    <w:rsid w:val="003727FC"/>
    <w:rsid w:val="003728E9"/>
    <w:rsid w:val="00372A88"/>
    <w:rsid w:val="00372BBB"/>
    <w:rsid w:val="00372BBE"/>
    <w:rsid w:val="00372D7B"/>
    <w:rsid w:val="00372E57"/>
    <w:rsid w:val="00372E8B"/>
    <w:rsid w:val="00372F91"/>
    <w:rsid w:val="003730B0"/>
    <w:rsid w:val="00373248"/>
    <w:rsid w:val="00373310"/>
    <w:rsid w:val="003733FE"/>
    <w:rsid w:val="00373644"/>
    <w:rsid w:val="00373714"/>
    <w:rsid w:val="0037372B"/>
    <w:rsid w:val="00373776"/>
    <w:rsid w:val="003737A3"/>
    <w:rsid w:val="003738B2"/>
    <w:rsid w:val="003738D2"/>
    <w:rsid w:val="003739D1"/>
    <w:rsid w:val="00373AEE"/>
    <w:rsid w:val="00373D0B"/>
    <w:rsid w:val="00373D99"/>
    <w:rsid w:val="003741BB"/>
    <w:rsid w:val="003741BE"/>
    <w:rsid w:val="00374220"/>
    <w:rsid w:val="003742AA"/>
    <w:rsid w:val="00374338"/>
    <w:rsid w:val="003744AB"/>
    <w:rsid w:val="00374538"/>
    <w:rsid w:val="003745B7"/>
    <w:rsid w:val="00374704"/>
    <w:rsid w:val="003747A8"/>
    <w:rsid w:val="0037493F"/>
    <w:rsid w:val="003749E8"/>
    <w:rsid w:val="00374A94"/>
    <w:rsid w:val="00374CB8"/>
    <w:rsid w:val="00374CE5"/>
    <w:rsid w:val="00374D33"/>
    <w:rsid w:val="00374F67"/>
    <w:rsid w:val="00375065"/>
    <w:rsid w:val="00375122"/>
    <w:rsid w:val="003752C2"/>
    <w:rsid w:val="003753FA"/>
    <w:rsid w:val="0037546C"/>
    <w:rsid w:val="00375528"/>
    <w:rsid w:val="00375737"/>
    <w:rsid w:val="00375998"/>
    <w:rsid w:val="003759D8"/>
    <w:rsid w:val="00375AD4"/>
    <w:rsid w:val="00375B6D"/>
    <w:rsid w:val="00375C6F"/>
    <w:rsid w:val="00375CEC"/>
    <w:rsid w:val="00375FC6"/>
    <w:rsid w:val="003761CD"/>
    <w:rsid w:val="00376544"/>
    <w:rsid w:val="00376649"/>
    <w:rsid w:val="003766B7"/>
    <w:rsid w:val="00376961"/>
    <w:rsid w:val="00376B88"/>
    <w:rsid w:val="00376C37"/>
    <w:rsid w:val="00376C3D"/>
    <w:rsid w:val="00376C84"/>
    <w:rsid w:val="00376CD0"/>
    <w:rsid w:val="00376E74"/>
    <w:rsid w:val="00376F23"/>
    <w:rsid w:val="003770E9"/>
    <w:rsid w:val="00377222"/>
    <w:rsid w:val="00377454"/>
    <w:rsid w:val="00377916"/>
    <w:rsid w:val="00377994"/>
    <w:rsid w:val="00377CA0"/>
    <w:rsid w:val="00377D53"/>
    <w:rsid w:val="00377EC0"/>
    <w:rsid w:val="00377EF0"/>
    <w:rsid w:val="003802E6"/>
    <w:rsid w:val="003804FA"/>
    <w:rsid w:val="003805E8"/>
    <w:rsid w:val="00380981"/>
    <w:rsid w:val="00380B14"/>
    <w:rsid w:val="00380EE0"/>
    <w:rsid w:val="00380F27"/>
    <w:rsid w:val="00381258"/>
    <w:rsid w:val="00381446"/>
    <w:rsid w:val="0038168E"/>
    <w:rsid w:val="00381820"/>
    <w:rsid w:val="003819D2"/>
    <w:rsid w:val="00381A15"/>
    <w:rsid w:val="00381A9D"/>
    <w:rsid w:val="00381D50"/>
    <w:rsid w:val="00381E5B"/>
    <w:rsid w:val="00381EB1"/>
    <w:rsid w:val="00381EF0"/>
    <w:rsid w:val="003820F9"/>
    <w:rsid w:val="003822FD"/>
    <w:rsid w:val="00382312"/>
    <w:rsid w:val="003823AD"/>
    <w:rsid w:val="003823CA"/>
    <w:rsid w:val="0038272D"/>
    <w:rsid w:val="00382BAA"/>
    <w:rsid w:val="00382BB1"/>
    <w:rsid w:val="00382C92"/>
    <w:rsid w:val="00382EEF"/>
    <w:rsid w:val="00383280"/>
    <w:rsid w:val="00383373"/>
    <w:rsid w:val="0038338E"/>
    <w:rsid w:val="00383438"/>
    <w:rsid w:val="003834BB"/>
    <w:rsid w:val="003836C7"/>
    <w:rsid w:val="003836CC"/>
    <w:rsid w:val="00383879"/>
    <w:rsid w:val="003839C0"/>
    <w:rsid w:val="00383CCC"/>
    <w:rsid w:val="00383D58"/>
    <w:rsid w:val="00383DBC"/>
    <w:rsid w:val="00383EFC"/>
    <w:rsid w:val="00384198"/>
    <w:rsid w:val="003841C5"/>
    <w:rsid w:val="003842AC"/>
    <w:rsid w:val="003843B3"/>
    <w:rsid w:val="003845B2"/>
    <w:rsid w:val="003845ED"/>
    <w:rsid w:val="003845FB"/>
    <w:rsid w:val="00384BD1"/>
    <w:rsid w:val="00384BE8"/>
    <w:rsid w:val="00384C65"/>
    <w:rsid w:val="00384CA0"/>
    <w:rsid w:val="00384E5F"/>
    <w:rsid w:val="00384F71"/>
    <w:rsid w:val="003850A0"/>
    <w:rsid w:val="003850A2"/>
    <w:rsid w:val="00385254"/>
    <w:rsid w:val="00385305"/>
    <w:rsid w:val="00385496"/>
    <w:rsid w:val="0038552E"/>
    <w:rsid w:val="003856DE"/>
    <w:rsid w:val="00385723"/>
    <w:rsid w:val="003857B1"/>
    <w:rsid w:val="003857F2"/>
    <w:rsid w:val="00385AF0"/>
    <w:rsid w:val="00385AFC"/>
    <w:rsid w:val="00385B46"/>
    <w:rsid w:val="00385B5B"/>
    <w:rsid w:val="00385BA3"/>
    <w:rsid w:val="00386049"/>
    <w:rsid w:val="003860F5"/>
    <w:rsid w:val="003862A6"/>
    <w:rsid w:val="003862F5"/>
    <w:rsid w:val="00386368"/>
    <w:rsid w:val="00386935"/>
    <w:rsid w:val="00386992"/>
    <w:rsid w:val="00386CB2"/>
    <w:rsid w:val="00386E78"/>
    <w:rsid w:val="00386FA2"/>
    <w:rsid w:val="00386FBC"/>
    <w:rsid w:val="003870BB"/>
    <w:rsid w:val="00387309"/>
    <w:rsid w:val="00387586"/>
    <w:rsid w:val="003875A3"/>
    <w:rsid w:val="00387931"/>
    <w:rsid w:val="00387A83"/>
    <w:rsid w:val="00387CF4"/>
    <w:rsid w:val="00387D13"/>
    <w:rsid w:val="00387D19"/>
    <w:rsid w:val="00387DBC"/>
    <w:rsid w:val="00390492"/>
    <w:rsid w:val="00390748"/>
    <w:rsid w:val="0039099B"/>
    <w:rsid w:val="00390A3F"/>
    <w:rsid w:val="00390D58"/>
    <w:rsid w:val="00390DF4"/>
    <w:rsid w:val="003910D9"/>
    <w:rsid w:val="00391269"/>
    <w:rsid w:val="00391288"/>
    <w:rsid w:val="003913EE"/>
    <w:rsid w:val="0039142D"/>
    <w:rsid w:val="003916C6"/>
    <w:rsid w:val="003917DE"/>
    <w:rsid w:val="00391922"/>
    <w:rsid w:val="003919AA"/>
    <w:rsid w:val="00391B26"/>
    <w:rsid w:val="00391CD2"/>
    <w:rsid w:val="00391D0B"/>
    <w:rsid w:val="00391D81"/>
    <w:rsid w:val="00391DAD"/>
    <w:rsid w:val="00391F5D"/>
    <w:rsid w:val="00391F69"/>
    <w:rsid w:val="00391FB4"/>
    <w:rsid w:val="00391FBD"/>
    <w:rsid w:val="0039208F"/>
    <w:rsid w:val="003925A8"/>
    <w:rsid w:val="003925BC"/>
    <w:rsid w:val="0039262E"/>
    <w:rsid w:val="00392900"/>
    <w:rsid w:val="00392CEA"/>
    <w:rsid w:val="00392DE6"/>
    <w:rsid w:val="00392E44"/>
    <w:rsid w:val="00392E45"/>
    <w:rsid w:val="00392F3F"/>
    <w:rsid w:val="003931BF"/>
    <w:rsid w:val="00393278"/>
    <w:rsid w:val="00393288"/>
    <w:rsid w:val="00393385"/>
    <w:rsid w:val="003934F6"/>
    <w:rsid w:val="0039355D"/>
    <w:rsid w:val="0039356B"/>
    <w:rsid w:val="00393667"/>
    <w:rsid w:val="0039382E"/>
    <w:rsid w:val="00393836"/>
    <w:rsid w:val="0039386C"/>
    <w:rsid w:val="00393936"/>
    <w:rsid w:val="0039394F"/>
    <w:rsid w:val="00393BB4"/>
    <w:rsid w:val="00393F65"/>
    <w:rsid w:val="00394099"/>
    <w:rsid w:val="0039428A"/>
    <w:rsid w:val="003943B2"/>
    <w:rsid w:val="00394407"/>
    <w:rsid w:val="0039444B"/>
    <w:rsid w:val="00394586"/>
    <w:rsid w:val="003945E2"/>
    <w:rsid w:val="00394633"/>
    <w:rsid w:val="00394685"/>
    <w:rsid w:val="0039484E"/>
    <w:rsid w:val="00394875"/>
    <w:rsid w:val="00394A01"/>
    <w:rsid w:val="00394A0B"/>
    <w:rsid w:val="00394A7D"/>
    <w:rsid w:val="00394AA8"/>
    <w:rsid w:val="00394B16"/>
    <w:rsid w:val="00394E74"/>
    <w:rsid w:val="00394EB5"/>
    <w:rsid w:val="00394EE5"/>
    <w:rsid w:val="00394F05"/>
    <w:rsid w:val="00395012"/>
    <w:rsid w:val="0039501E"/>
    <w:rsid w:val="003951FB"/>
    <w:rsid w:val="0039528E"/>
    <w:rsid w:val="00395373"/>
    <w:rsid w:val="00395412"/>
    <w:rsid w:val="003955B7"/>
    <w:rsid w:val="0039562A"/>
    <w:rsid w:val="003956E7"/>
    <w:rsid w:val="003959FF"/>
    <w:rsid w:val="003961C1"/>
    <w:rsid w:val="003961CA"/>
    <w:rsid w:val="003961F7"/>
    <w:rsid w:val="003963BA"/>
    <w:rsid w:val="00396550"/>
    <w:rsid w:val="00396594"/>
    <w:rsid w:val="003965DA"/>
    <w:rsid w:val="00396603"/>
    <w:rsid w:val="0039676E"/>
    <w:rsid w:val="00396880"/>
    <w:rsid w:val="003968B6"/>
    <w:rsid w:val="00396AB3"/>
    <w:rsid w:val="00396C63"/>
    <w:rsid w:val="00396CD0"/>
    <w:rsid w:val="00396D92"/>
    <w:rsid w:val="00396EEF"/>
    <w:rsid w:val="00396F68"/>
    <w:rsid w:val="00396FD5"/>
    <w:rsid w:val="00397023"/>
    <w:rsid w:val="00397041"/>
    <w:rsid w:val="0039707A"/>
    <w:rsid w:val="00397091"/>
    <w:rsid w:val="003970DB"/>
    <w:rsid w:val="003970E4"/>
    <w:rsid w:val="0039725A"/>
    <w:rsid w:val="0039738E"/>
    <w:rsid w:val="003973AD"/>
    <w:rsid w:val="00397438"/>
    <w:rsid w:val="00397471"/>
    <w:rsid w:val="0039754E"/>
    <w:rsid w:val="00397639"/>
    <w:rsid w:val="003976D5"/>
    <w:rsid w:val="00397AAC"/>
    <w:rsid w:val="00397AAD"/>
    <w:rsid w:val="00397B52"/>
    <w:rsid w:val="00397D84"/>
    <w:rsid w:val="00397DAB"/>
    <w:rsid w:val="00397FFA"/>
    <w:rsid w:val="003A00AC"/>
    <w:rsid w:val="003A00F3"/>
    <w:rsid w:val="003A0365"/>
    <w:rsid w:val="003A0445"/>
    <w:rsid w:val="003A051B"/>
    <w:rsid w:val="003A0615"/>
    <w:rsid w:val="003A0692"/>
    <w:rsid w:val="003A071F"/>
    <w:rsid w:val="003A095B"/>
    <w:rsid w:val="003A0AA6"/>
    <w:rsid w:val="003A0CED"/>
    <w:rsid w:val="003A0D0A"/>
    <w:rsid w:val="003A0E2A"/>
    <w:rsid w:val="003A0E61"/>
    <w:rsid w:val="003A1102"/>
    <w:rsid w:val="003A11AA"/>
    <w:rsid w:val="003A1211"/>
    <w:rsid w:val="003A13A6"/>
    <w:rsid w:val="003A13DE"/>
    <w:rsid w:val="003A1531"/>
    <w:rsid w:val="003A1720"/>
    <w:rsid w:val="003A18E3"/>
    <w:rsid w:val="003A191C"/>
    <w:rsid w:val="003A1941"/>
    <w:rsid w:val="003A1A02"/>
    <w:rsid w:val="003A1B34"/>
    <w:rsid w:val="003A1BC7"/>
    <w:rsid w:val="003A1D4D"/>
    <w:rsid w:val="003A1DA9"/>
    <w:rsid w:val="003A1E57"/>
    <w:rsid w:val="003A1EF9"/>
    <w:rsid w:val="003A21FE"/>
    <w:rsid w:val="003A229E"/>
    <w:rsid w:val="003A242A"/>
    <w:rsid w:val="003A24E0"/>
    <w:rsid w:val="003A2521"/>
    <w:rsid w:val="003A2671"/>
    <w:rsid w:val="003A29EA"/>
    <w:rsid w:val="003A2B8C"/>
    <w:rsid w:val="003A2CB8"/>
    <w:rsid w:val="003A2D0C"/>
    <w:rsid w:val="003A32FA"/>
    <w:rsid w:val="003A34DE"/>
    <w:rsid w:val="003A3572"/>
    <w:rsid w:val="003A358E"/>
    <w:rsid w:val="003A35ED"/>
    <w:rsid w:val="003A38B1"/>
    <w:rsid w:val="003A38E7"/>
    <w:rsid w:val="003A391F"/>
    <w:rsid w:val="003A3C40"/>
    <w:rsid w:val="003A3EF6"/>
    <w:rsid w:val="003A423A"/>
    <w:rsid w:val="003A42AE"/>
    <w:rsid w:val="003A43C3"/>
    <w:rsid w:val="003A441E"/>
    <w:rsid w:val="003A4477"/>
    <w:rsid w:val="003A4605"/>
    <w:rsid w:val="003A47A2"/>
    <w:rsid w:val="003A47CE"/>
    <w:rsid w:val="003A4A05"/>
    <w:rsid w:val="003A4A3C"/>
    <w:rsid w:val="003A4C95"/>
    <w:rsid w:val="003A4CBD"/>
    <w:rsid w:val="003A4DB4"/>
    <w:rsid w:val="003A5103"/>
    <w:rsid w:val="003A51B8"/>
    <w:rsid w:val="003A5297"/>
    <w:rsid w:val="003A53ED"/>
    <w:rsid w:val="003A5558"/>
    <w:rsid w:val="003A5561"/>
    <w:rsid w:val="003A55A1"/>
    <w:rsid w:val="003A55DD"/>
    <w:rsid w:val="003A56A3"/>
    <w:rsid w:val="003A56BD"/>
    <w:rsid w:val="003A56F1"/>
    <w:rsid w:val="003A5722"/>
    <w:rsid w:val="003A5797"/>
    <w:rsid w:val="003A5AAE"/>
    <w:rsid w:val="003A5ACF"/>
    <w:rsid w:val="003A5AE2"/>
    <w:rsid w:val="003A5AE9"/>
    <w:rsid w:val="003A5B4D"/>
    <w:rsid w:val="003A5C4D"/>
    <w:rsid w:val="003A5C79"/>
    <w:rsid w:val="003A5D21"/>
    <w:rsid w:val="003A6189"/>
    <w:rsid w:val="003A61FD"/>
    <w:rsid w:val="003A6296"/>
    <w:rsid w:val="003A62B3"/>
    <w:rsid w:val="003A6502"/>
    <w:rsid w:val="003A6602"/>
    <w:rsid w:val="003A6655"/>
    <w:rsid w:val="003A672D"/>
    <w:rsid w:val="003A6921"/>
    <w:rsid w:val="003A69D2"/>
    <w:rsid w:val="003A6E68"/>
    <w:rsid w:val="003A6FC4"/>
    <w:rsid w:val="003A7039"/>
    <w:rsid w:val="003A7111"/>
    <w:rsid w:val="003A72BF"/>
    <w:rsid w:val="003A7395"/>
    <w:rsid w:val="003A74E3"/>
    <w:rsid w:val="003A750C"/>
    <w:rsid w:val="003A770E"/>
    <w:rsid w:val="003A7796"/>
    <w:rsid w:val="003A7890"/>
    <w:rsid w:val="003A78DE"/>
    <w:rsid w:val="003A7C2C"/>
    <w:rsid w:val="003A7D7B"/>
    <w:rsid w:val="003A7DAB"/>
    <w:rsid w:val="003A7F5F"/>
    <w:rsid w:val="003A7FCE"/>
    <w:rsid w:val="003B023F"/>
    <w:rsid w:val="003B0247"/>
    <w:rsid w:val="003B050C"/>
    <w:rsid w:val="003B059F"/>
    <w:rsid w:val="003B05CF"/>
    <w:rsid w:val="003B07BB"/>
    <w:rsid w:val="003B07CC"/>
    <w:rsid w:val="003B0819"/>
    <w:rsid w:val="003B08F9"/>
    <w:rsid w:val="003B0904"/>
    <w:rsid w:val="003B0951"/>
    <w:rsid w:val="003B0A04"/>
    <w:rsid w:val="003B0B47"/>
    <w:rsid w:val="003B0C80"/>
    <w:rsid w:val="003B0C86"/>
    <w:rsid w:val="003B0CAE"/>
    <w:rsid w:val="003B0D67"/>
    <w:rsid w:val="003B0E8B"/>
    <w:rsid w:val="003B0E92"/>
    <w:rsid w:val="003B0EDB"/>
    <w:rsid w:val="003B0EF8"/>
    <w:rsid w:val="003B136D"/>
    <w:rsid w:val="003B137D"/>
    <w:rsid w:val="003B18D6"/>
    <w:rsid w:val="003B1A08"/>
    <w:rsid w:val="003B1AEF"/>
    <w:rsid w:val="003B1C51"/>
    <w:rsid w:val="003B1C8A"/>
    <w:rsid w:val="003B1C97"/>
    <w:rsid w:val="003B1D51"/>
    <w:rsid w:val="003B1E82"/>
    <w:rsid w:val="003B1F0E"/>
    <w:rsid w:val="003B1FC6"/>
    <w:rsid w:val="003B200C"/>
    <w:rsid w:val="003B230A"/>
    <w:rsid w:val="003B2476"/>
    <w:rsid w:val="003B280E"/>
    <w:rsid w:val="003B28FD"/>
    <w:rsid w:val="003B29AE"/>
    <w:rsid w:val="003B29C4"/>
    <w:rsid w:val="003B2A18"/>
    <w:rsid w:val="003B2AD1"/>
    <w:rsid w:val="003B2B23"/>
    <w:rsid w:val="003B2E16"/>
    <w:rsid w:val="003B33DC"/>
    <w:rsid w:val="003B34D5"/>
    <w:rsid w:val="003B3578"/>
    <w:rsid w:val="003B3628"/>
    <w:rsid w:val="003B36D1"/>
    <w:rsid w:val="003B37BB"/>
    <w:rsid w:val="003B37E8"/>
    <w:rsid w:val="003B3A46"/>
    <w:rsid w:val="003B3A58"/>
    <w:rsid w:val="003B3B63"/>
    <w:rsid w:val="003B3BD7"/>
    <w:rsid w:val="003B3C5E"/>
    <w:rsid w:val="003B3D66"/>
    <w:rsid w:val="003B3D9D"/>
    <w:rsid w:val="003B40D9"/>
    <w:rsid w:val="003B4311"/>
    <w:rsid w:val="003B4535"/>
    <w:rsid w:val="003B4A8B"/>
    <w:rsid w:val="003B4ADD"/>
    <w:rsid w:val="003B4B54"/>
    <w:rsid w:val="003B4F06"/>
    <w:rsid w:val="003B4F57"/>
    <w:rsid w:val="003B4FDA"/>
    <w:rsid w:val="003B5098"/>
    <w:rsid w:val="003B50FE"/>
    <w:rsid w:val="003B52B5"/>
    <w:rsid w:val="003B5442"/>
    <w:rsid w:val="003B5462"/>
    <w:rsid w:val="003B5483"/>
    <w:rsid w:val="003B5589"/>
    <w:rsid w:val="003B5617"/>
    <w:rsid w:val="003B5641"/>
    <w:rsid w:val="003B57D4"/>
    <w:rsid w:val="003B5898"/>
    <w:rsid w:val="003B5976"/>
    <w:rsid w:val="003B5AE5"/>
    <w:rsid w:val="003B5C7C"/>
    <w:rsid w:val="003B5F26"/>
    <w:rsid w:val="003B5FAB"/>
    <w:rsid w:val="003B6087"/>
    <w:rsid w:val="003B60F2"/>
    <w:rsid w:val="003B6247"/>
    <w:rsid w:val="003B6253"/>
    <w:rsid w:val="003B6320"/>
    <w:rsid w:val="003B634F"/>
    <w:rsid w:val="003B6426"/>
    <w:rsid w:val="003B649D"/>
    <w:rsid w:val="003B6507"/>
    <w:rsid w:val="003B6708"/>
    <w:rsid w:val="003B6756"/>
    <w:rsid w:val="003B67E4"/>
    <w:rsid w:val="003B6942"/>
    <w:rsid w:val="003B6998"/>
    <w:rsid w:val="003B69D0"/>
    <w:rsid w:val="003B6A79"/>
    <w:rsid w:val="003B6ABC"/>
    <w:rsid w:val="003B6C84"/>
    <w:rsid w:val="003B6CB5"/>
    <w:rsid w:val="003B6CF5"/>
    <w:rsid w:val="003B6D23"/>
    <w:rsid w:val="003B6D31"/>
    <w:rsid w:val="003B6E02"/>
    <w:rsid w:val="003B6F3C"/>
    <w:rsid w:val="003B7112"/>
    <w:rsid w:val="003B7324"/>
    <w:rsid w:val="003B739A"/>
    <w:rsid w:val="003B7841"/>
    <w:rsid w:val="003B7846"/>
    <w:rsid w:val="003B7860"/>
    <w:rsid w:val="003B7D7D"/>
    <w:rsid w:val="003B7FAD"/>
    <w:rsid w:val="003C0051"/>
    <w:rsid w:val="003C00A0"/>
    <w:rsid w:val="003C00CF"/>
    <w:rsid w:val="003C023C"/>
    <w:rsid w:val="003C02F0"/>
    <w:rsid w:val="003C030E"/>
    <w:rsid w:val="003C048A"/>
    <w:rsid w:val="003C04C8"/>
    <w:rsid w:val="003C063B"/>
    <w:rsid w:val="003C0745"/>
    <w:rsid w:val="003C0754"/>
    <w:rsid w:val="003C078E"/>
    <w:rsid w:val="003C07E1"/>
    <w:rsid w:val="003C08AE"/>
    <w:rsid w:val="003C0969"/>
    <w:rsid w:val="003C0BBA"/>
    <w:rsid w:val="003C0D7C"/>
    <w:rsid w:val="003C0E88"/>
    <w:rsid w:val="003C1017"/>
    <w:rsid w:val="003C11B2"/>
    <w:rsid w:val="003C1209"/>
    <w:rsid w:val="003C13AA"/>
    <w:rsid w:val="003C15A0"/>
    <w:rsid w:val="003C17FF"/>
    <w:rsid w:val="003C183F"/>
    <w:rsid w:val="003C188D"/>
    <w:rsid w:val="003C19F7"/>
    <w:rsid w:val="003C1B2D"/>
    <w:rsid w:val="003C1C5D"/>
    <w:rsid w:val="003C1D40"/>
    <w:rsid w:val="003C1E12"/>
    <w:rsid w:val="003C1F44"/>
    <w:rsid w:val="003C1F9E"/>
    <w:rsid w:val="003C1FB5"/>
    <w:rsid w:val="003C2051"/>
    <w:rsid w:val="003C21BF"/>
    <w:rsid w:val="003C24FA"/>
    <w:rsid w:val="003C2638"/>
    <w:rsid w:val="003C26AF"/>
    <w:rsid w:val="003C278F"/>
    <w:rsid w:val="003C27D4"/>
    <w:rsid w:val="003C29BF"/>
    <w:rsid w:val="003C2A5B"/>
    <w:rsid w:val="003C2AD6"/>
    <w:rsid w:val="003C2B3F"/>
    <w:rsid w:val="003C2B53"/>
    <w:rsid w:val="003C2BF8"/>
    <w:rsid w:val="003C2C8E"/>
    <w:rsid w:val="003C2CD0"/>
    <w:rsid w:val="003C2D7B"/>
    <w:rsid w:val="003C2DF2"/>
    <w:rsid w:val="003C340C"/>
    <w:rsid w:val="003C341C"/>
    <w:rsid w:val="003C3460"/>
    <w:rsid w:val="003C34E7"/>
    <w:rsid w:val="003C35FC"/>
    <w:rsid w:val="003C36C8"/>
    <w:rsid w:val="003C3826"/>
    <w:rsid w:val="003C386A"/>
    <w:rsid w:val="003C38B3"/>
    <w:rsid w:val="003C3966"/>
    <w:rsid w:val="003C3A28"/>
    <w:rsid w:val="003C3A46"/>
    <w:rsid w:val="003C3AC4"/>
    <w:rsid w:val="003C3AC8"/>
    <w:rsid w:val="003C3D1D"/>
    <w:rsid w:val="003C3DDA"/>
    <w:rsid w:val="003C3E46"/>
    <w:rsid w:val="003C3EF7"/>
    <w:rsid w:val="003C3FDF"/>
    <w:rsid w:val="003C4135"/>
    <w:rsid w:val="003C4336"/>
    <w:rsid w:val="003C43FB"/>
    <w:rsid w:val="003C4805"/>
    <w:rsid w:val="003C4868"/>
    <w:rsid w:val="003C4A5B"/>
    <w:rsid w:val="003C4AFC"/>
    <w:rsid w:val="003C4B36"/>
    <w:rsid w:val="003C4EF7"/>
    <w:rsid w:val="003C50F8"/>
    <w:rsid w:val="003C5140"/>
    <w:rsid w:val="003C5189"/>
    <w:rsid w:val="003C52AE"/>
    <w:rsid w:val="003C54D5"/>
    <w:rsid w:val="003C5583"/>
    <w:rsid w:val="003C5641"/>
    <w:rsid w:val="003C57D4"/>
    <w:rsid w:val="003C586B"/>
    <w:rsid w:val="003C587A"/>
    <w:rsid w:val="003C59AA"/>
    <w:rsid w:val="003C5B43"/>
    <w:rsid w:val="003C5ECF"/>
    <w:rsid w:val="003C5FEC"/>
    <w:rsid w:val="003C60CD"/>
    <w:rsid w:val="003C60E1"/>
    <w:rsid w:val="003C60E2"/>
    <w:rsid w:val="003C61C4"/>
    <w:rsid w:val="003C6280"/>
    <w:rsid w:val="003C6340"/>
    <w:rsid w:val="003C6444"/>
    <w:rsid w:val="003C6447"/>
    <w:rsid w:val="003C6467"/>
    <w:rsid w:val="003C646B"/>
    <w:rsid w:val="003C65B3"/>
    <w:rsid w:val="003C6711"/>
    <w:rsid w:val="003C677C"/>
    <w:rsid w:val="003C68B0"/>
    <w:rsid w:val="003C699E"/>
    <w:rsid w:val="003C69B4"/>
    <w:rsid w:val="003C6D11"/>
    <w:rsid w:val="003C6E29"/>
    <w:rsid w:val="003C6F2F"/>
    <w:rsid w:val="003C706B"/>
    <w:rsid w:val="003C7144"/>
    <w:rsid w:val="003C7157"/>
    <w:rsid w:val="003C7282"/>
    <w:rsid w:val="003C72EC"/>
    <w:rsid w:val="003C738E"/>
    <w:rsid w:val="003C749C"/>
    <w:rsid w:val="003C74B8"/>
    <w:rsid w:val="003C76E0"/>
    <w:rsid w:val="003C772E"/>
    <w:rsid w:val="003C7784"/>
    <w:rsid w:val="003C7898"/>
    <w:rsid w:val="003C79C2"/>
    <w:rsid w:val="003C7A14"/>
    <w:rsid w:val="003C7E25"/>
    <w:rsid w:val="003C7EA0"/>
    <w:rsid w:val="003D0089"/>
    <w:rsid w:val="003D0167"/>
    <w:rsid w:val="003D0273"/>
    <w:rsid w:val="003D03B2"/>
    <w:rsid w:val="003D0539"/>
    <w:rsid w:val="003D05E0"/>
    <w:rsid w:val="003D06F5"/>
    <w:rsid w:val="003D070A"/>
    <w:rsid w:val="003D083E"/>
    <w:rsid w:val="003D0ADF"/>
    <w:rsid w:val="003D0C20"/>
    <w:rsid w:val="003D0DE4"/>
    <w:rsid w:val="003D0F30"/>
    <w:rsid w:val="003D10D2"/>
    <w:rsid w:val="003D140D"/>
    <w:rsid w:val="003D157C"/>
    <w:rsid w:val="003D15CA"/>
    <w:rsid w:val="003D1652"/>
    <w:rsid w:val="003D1754"/>
    <w:rsid w:val="003D17E7"/>
    <w:rsid w:val="003D1910"/>
    <w:rsid w:val="003D1E39"/>
    <w:rsid w:val="003D21F4"/>
    <w:rsid w:val="003D2228"/>
    <w:rsid w:val="003D2328"/>
    <w:rsid w:val="003D23A7"/>
    <w:rsid w:val="003D23D0"/>
    <w:rsid w:val="003D245D"/>
    <w:rsid w:val="003D2461"/>
    <w:rsid w:val="003D251A"/>
    <w:rsid w:val="003D2575"/>
    <w:rsid w:val="003D27C0"/>
    <w:rsid w:val="003D27F7"/>
    <w:rsid w:val="003D28C7"/>
    <w:rsid w:val="003D2A40"/>
    <w:rsid w:val="003D2B22"/>
    <w:rsid w:val="003D2C82"/>
    <w:rsid w:val="003D2F02"/>
    <w:rsid w:val="003D303A"/>
    <w:rsid w:val="003D316B"/>
    <w:rsid w:val="003D324B"/>
    <w:rsid w:val="003D35B1"/>
    <w:rsid w:val="003D3BBB"/>
    <w:rsid w:val="003D3EC6"/>
    <w:rsid w:val="003D3FFC"/>
    <w:rsid w:val="003D421D"/>
    <w:rsid w:val="003D421E"/>
    <w:rsid w:val="003D4565"/>
    <w:rsid w:val="003D45F0"/>
    <w:rsid w:val="003D47DE"/>
    <w:rsid w:val="003D4A4C"/>
    <w:rsid w:val="003D4EAE"/>
    <w:rsid w:val="003D5059"/>
    <w:rsid w:val="003D50C3"/>
    <w:rsid w:val="003D50DD"/>
    <w:rsid w:val="003D51CE"/>
    <w:rsid w:val="003D51D8"/>
    <w:rsid w:val="003D52E7"/>
    <w:rsid w:val="003D537B"/>
    <w:rsid w:val="003D537E"/>
    <w:rsid w:val="003D540A"/>
    <w:rsid w:val="003D56CE"/>
    <w:rsid w:val="003D5A13"/>
    <w:rsid w:val="003D5B46"/>
    <w:rsid w:val="003D5B56"/>
    <w:rsid w:val="003D5C71"/>
    <w:rsid w:val="003D5CCC"/>
    <w:rsid w:val="003D5E8A"/>
    <w:rsid w:val="003D5F5A"/>
    <w:rsid w:val="003D6143"/>
    <w:rsid w:val="003D6308"/>
    <w:rsid w:val="003D644D"/>
    <w:rsid w:val="003D6484"/>
    <w:rsid w:val="003D6673"/>
    <w:rsid w:val="003D66D0"/>
    <w:rsid w:val="003D6825"/>
    <w:rsid w:val="003D6859"/>
    <w:rsid w:val="003D6939"/>
    <w:rsid w:val="003D699C"/>
    <w:rsid w:val="003D6D03"/>
    <w:rsid w:val="003D7030"/>
    <w:rsid w:val="003D70FF"/>
    <w:rsid w:val="003D7352"/>
    <w:rsid w:val="003D73C3"/>
    <w:rsid w:val="003D75B1"/>
    <w:rsid w:val="003D7744"/>
    <w:rsid w:val="003D7756"/>
    <w:rsid w:val="003D77E7"/>
    <w:rsid w:val="003D78CF"/>
    <w:rsid w:val="003D7A4F"/>
    <w:rsid w:val="003D7AFE"/>
    <w:rsid w:val="003D7BAB"/>
    <w:rsid w:val="003D7BFD"/>
    <w:rsid w:val="003D7DED"/>
    <w:rsid w:val="003D7EBD"/>
    <w:rsid w:val="003E0097"/>
    <w:rsid w:val="003E00C2"/>
    <w:rsid w:val="003E010A"/>
    <w:rsid w:val="003E0402"/>
    <w:rsid w:val="003E04A6"/>
    <w:rsid w:val="003E04AD"/>
    <w:rsid w:val="003E059F"/>
    <w:rsid w:val="003E0636"/>
    <w:rsid w:val="003E0669"/>
    <w:rsid w:val="003E07DE"/>
    <w:rsid w:val="003E0833"/>
    <w:rsid w:val="003E08BF"/>
    <w:rsid w:val="003E0AF8"/>
    <w:rsid w:val="003E0B6B"/>
    <w:rsid w:val="003E0C8A"/>
    <w:rsid w:val="003E0DD3"/>
    <w:rsid w:val="003E0DD4"/>
    <w:rsid w:val="003E0DE7"/>
    <w:rsid w:val="003E0F1B"/>
    <w:rsid w:val="003E0F95"/>
    <w:rsid w:val="003E10AB"/>
    <w:rsid w:val="003E1242"/>
    <w:rsid w:val="003E12FF"/>
    <w:rsid w:val="003E13FC"/>
    <w:rsid w:val="003E1551"/>
    <w:rsid w:val="003E158A"/>
    <w:rsid w:val="003E1624"/>
    <w:rsid w:val="003E1832"/>
    <w:rsid w:val="003E19A7"/>
    <w:rsid w:val="003E1A1C"/>
    <w:rsid w:val="003E1B33"/>
    <w:rsid w:val="003E1E2B"/>
    <w:rsid w:val="003E1EED"/>
    <w:rsid w:val="003E1FDE"/>
    <w:rsid w:val="003E210C"/>
    <w:rsid w:val="003E21A3"/>
    <w:rsid w:val="003E22FB"/>
    <w:rsid w:val="003E249A"/>
    <w:rsid w:val="003E252E"/>
    <w:rsid w:val="003E25D3"/>
    <w:rsid w:val="003E273F"/>
    <w:rsid w:val="003E2804"/>
    <w:rsid w:val="003E2836"/>
    <w:rsid w:val="003E2B6E"/>
    <w:rsid w:val="003E2C37"/>
    <w:rsid w:val="003E2C3A"/>
    <w:rsid w:val="003E2E14"/>
    <w:rsid w:val="003E2E92"/>
    <w:rsid w:val="003E3036"/>
    <w:rsid w:val="003E306B"/>
    <w:rsid w:val="003E32CD"/>
    <w:rsid w:val="003E3598"/>
    <w:rsid w:val="003E39AD"/>
    <w:rsid w:val="003E3A29"/>
    <w:rsid w:val="003E3ADC"/>
    <w:rsid w:val="003E3BE0"/>
    <w:rsid w:val="003E3C0D"/>
    <w:rsid w:val="003E3D24"/>
    <w:rsid w:val="003E3D94"/>
    <w:rsid w:val="003E3DFC"/>
    <w:rsid w:val="003E3EAD"/>
    <w:rsid w:val="003E3ED1"/>
    <w:rsid w:val="003E3F29"/>
    <w:rsid w:val="003E3FAC"/>
    <w:rsid w:val="003E4115"/>
    <w:rsid w:val="003E4211"/>
    <w:rsid w:val="003E42CB"/>
    <w:rsid w:val="003E433D"/>
    <w:rsid w:val="003E4347"/>
    <w:rsid w:val="003E44AA"/>
    <w:rsid w:val="003E4616"/>
    <w:rsid w:val="003E46F5"/>
    <w:rsid w:val="003E4868"/>
    <w:rsid w:val="003E49C7"/>
    <w:rsid w:val="003E4EB6"/>
    <w:rsid w:val="003E4F0D"/>
    <w:rsid w:val="003E4F5D"/>
    <w:rsid w:val="003E50DC"/>
    <w:rsid w:val="003E50EA"/>
    <w:rsid w:val="003E5192"/>
    <w:rsid w:val="003E520C"/>
    <w:rsid w:val="003E5237"/>
    <w:rsid w:val="003E53BB"/>
    <w:rsid w:val="003E53DD"/>
    <w:rsid w:val="003E5A61"/>
    <w:rsid w:val="003E5B02"/>
    <w:rsid w:val="003E5BCE"/>
    <w:rsid w:val="003E5CDE"/>
    <w:rsid w:val="003E5D33"/>
    <w:rsid w:val="003E5FED"/>
    <w:rsid w:val="003E608F"/>
    <w:rsid w:val="003E617D"/>
    <w:rsid w:val="003E6328"/>
    <w:rsid w:val="003E6462"/>
    <w:rsid w:val="003E650B"/>
    <w:rsid w:val="003E653E"/>
    <w:rsid w:val="003E65A9"/>
    <w:rsid w:val="003E666B"/>
    <w:rsid w:val="003E6710"/>
    <w:rsid w:val="003E6872"/>
    <w:rsid w:val="003E6A17"/>
    <w:rsid w:val="003E6C52"/>
    <w:rsid w:val="003E6F1A"/>
    <w:rsid w:val="003E6F20"/>
    <w:rsid w:val="003E6F39"/>
    <w:rsid w:val="003E6FF2"/>
    <w:rsid w:val="003E7275"/>
    <w:rsid w:val="003E727D"/>
    <w:rsid w:val="003E73B2"/>
    <w:rsid w:val="003E747D"/>
    <w:rsid w:val="003E76F2"/>
    <w:rsid w:val="003E7746"/>
    <w:rsid w:val="003E79D8"/>
    <w:rsid w:val="003E7AD5"/>
    <w:rsid w:val="003E7B2C"/>
    <w:rsid w:val="003E7BF3"/>
    <w:rsid w:val="003E7C27"/>
    <w:rsid w:val="003E7C98"/>
    <w:rsid w:val="003E7CE1"/>
    <w:rsid w:val="003E7DB6"/>
    <w:rsid w:val="003E7F6B"/>
    <w:rsid w:val="003F066A"/>
    <w:rsid w:val="003F06D7"/>
    <w:rsid w:val="003F0819"/>
    <w:rsid w:val="003F08C0"/>
    <w:rsid w:val="003F0AFB"/>
    <w:rsid w:val="003F0E79"/>
    <w:rsid w:val="003F0EDA"/>
    <w:rsid w:val="003F107D"/>
    <w:rsid w:val="003F1111"/>
    <w:rsid w:val="003F1458"/>
    <w:rsid w:val="003F1794"/>
    <w:rsid w:val="003F17A4"/>
    <w:rsid w:val="003F17D4"/>
    <w:rsid w:val="003F1892"/>
    <w:rsid w:val="003F18D3"/>
    <w:rsid w:val="003F1C97"/>
    <w:rsid w:val="003F1CE1"/>
    <w:rsid w:val="003F1F29"/>
    <w:rsid w:val="003F1FD1"/>
    <w:rsid w:val="003F2020"/>
    <w:rsid w:val="003F211E"/>
    <w:rsid w:val="003F2138"/>
    <w:rsid w:val="003F23BF"/>
    <w:rsid w:val="003F2606"/>
    <w:rsid w:val="003F27E4"/>
    <w:rsid w:val="003F295C"/>
    <w:rsid w:val="003F2C0E"/>
    <w:rsid w:val="003F2D85"/>
    <w:rsid w:val="003F2F93"/>
    <w:rsid w:val="003F2FA5"/>
    <w:rsid w:val="003F2FFB"/>
    <w:rsid w:val="003F3177"/>
    <w:rsid w:val="003F3185"/>
    <w:rsid w:val="003F31DD"/>
    <w:rsid w:val="003F346A"/>
    <w:rsid w:val="003F351C"/>
    <w:rsid w:val="003F3679"/>
    <w:rsid w:val="003F399F"/>
    <w:rsid w:val="003F3B00"/>
    <w:rsid w:val="003F3B0B"/>
    <w:rsid w:val="003F3EE4"/>
    <w:rsid w:val="003F404D"/>
    <w:rsid w:val="003F4159"/>
    <w:rsid w:val="003F41E7"/>
    <w:rsid w:val="003F425A"/>
    <w:rsid w:val="003F43CB"/>
    <w:rsid w:val="003F45A8"/>
    <w:rsid w:val="003F46DF"/>
    <w:rsid w:val="003F486A"/>
    <w:rsid w:val="003F4B43"/>
    <w:rsid w:val="003F4D3B"/>
    <w:rsid w:val="003F4E6C"/>
    <w:rsid w:val="003F4EB6"/>
    <w:rsid w:val="003F5045"/>
    <w:rsid w:val="003F51ED"/>
    <w:rsid w:val="003F5285"/>
    <w:rsid w:val="003F5300"/>
    <w:rsid w:val="003F530F"/>
    <w:rsid w:val="003F535B"/>
    <w:rsid w:val="003F55BC"/>
    <w:rsid w:val="003F5666"/>
    <w:rsid w:val="003F5698"/>
    <w:rsid w:val="003F5893"/>
    <w:rsid w:val="003F5AE0"/>
    <w:rsid w:val="003F5AF4"/>
    <w:rsid w:val="003F5B7F"/>
    <w:rsid w:val="003F5BDA"/>
    <w:rsid w:val="003F609F"/>
    <w:rsid w:val="003F61D9"/>
    <w:rsid w:val="003F6431"/>
    <w:rsid w:val="003F6482"/>
    <w:rsid w:val="003F64A1"/>
    <w:rsid w:val="003F64E8"/>
    <w:rsid w:val="003F664D"/>
    <w:rsid w:val="003F6668"/>
    <w:rsid w:val="003F68F7"/>
    <w:rsid w:val="003F6933"/>
    <w:rsid w:val="003F69A7"/>
    <w:rsid w:val="003F6A15"/>
    <w:rsid w:val="003F6B0E"/>
    <w:rsid w:val="003F6B72"/>
    <w:rsid w:val="003F6BEB"/>
    <w:rsid w:val="003F6CA6"/>
    <w:rsid w:val="003F6E34"/>
    <w:rsid w:val="003F715C"/>
    <w:rsid w:val="003F71C5"/>
    <w:rsid w:val="003F7234"/>
    <w:rsid w:val="003F7397"/>
    <w:rsid w:val="003F7514"/>
    <w:rsid w:val="003F753E"/>
    <w:rsid w:val="003F7619"/>
    <w:rsid w:val="003F7710"/>
    <w:rsid w:val="003F77C6"/>
    <w:rsid w:val="003F78C3"/>
    <w:rsid w:val="003F799B"/>
    <w:rsid w:val="003F7A37"/>
    <w:rsid w:val="003F7ABB"/>
    <w:rsid w:val="003F7B0C"/>
    <w:rsid w:val="003F7C66"/>
    <w:rsid w:val="003F7CBE"/>
    <w:rsid w:val="003F7F42"/>
    <w:rsid w:val="003F7F69"/>
    <w:rsid w:val="003F7FC8"/>
    <w:rsid w:val="004001CD"/>
    <w:rsid w:val="004002FF"/>
    <w:rsid w:val="004003B1"/>
    <w:rsid w:val="004005E8"/>
    <w:rsid w:val="00400609"/>
    <w:rsid w:val="0040065B"/>
    <w:rsid w:val="004006BE"/>
    <w:rsid w:val="004006D8"/>
    <w:rsid w:val="004007C7"/>
    <w:rsid w:val="00400833"/>
    <w:rsid w:val="00400A8A"/>
    <w:rsid w:val="00400DD1"/>
    <w:rsid w:val="00400E15"/>
    <w:rsid w:val="00400F64"/>
    <w:rsid w:val="00401091"/>
    <w:rsid w:val="0040128B"/>
    <w:rsid w:val="0040129A"/>
    <w:rsid w:val="004012A0"/>
    <w:rsid w:val="004012DC"/>
    <w:rsid w:val="004013EE"/>
    <w:rsid w:val="004014F3"/>
    <w:rsid w:val="004015A9"/>
    <w:rsid w:val="00401781"/>
    <w:rsid w:val="00401867"/>
    <w:rsid w:val="00401AA0"/>
    <w:rsid w:val="00401BEF"/>
    <w:rsid w:val="00401C87"/>
    <w:rsid w:val="00401CCC"/>
    <w:rsid w:val="00401D9D"/>
    <w:rsid w:val="00401DE0"/>
    <w:rsid w:val="00401DF8"/>
    <w:rsid w:val="00401ED3"/>
    <w:rsid w:val="00401F25"/>
    <w:rsid w:val="00402294"/>
    <w:rsid w:val="004024F5"/>
    <w:rsid w:val="004025AC"/>
    <w:rsid w:val="0040263E"/>
    <w:rsid w:val="004026CF"/>
    <w:rsid w:val="00402AF1"/>
    <w:rsid w:val="00402B2B"/>
    <w:rsid w:val="00402B74"/>
    <w:rsid w:val="00402C66"/>
    <w:rsid w:val="00402E84"/>
    <w:rsid w:val="00402F82"/>
    <w:rsid w:val="0040301B"/>
    <w:rsid w:val="00403054"/>
    <w:rsid w:val="0040323B"/>
    <w:rsid w:val="00403417"/>
    <w:rsid w:val="00403439"/>
    <w:rsid w:val="0040369C"/>
    <w:rsid w:val="00403A54"/>
    <w:rsid w:val="00403A70"/>
    <w:rsid w:val="00403D76"/>
    <w:rsid w:val="00403DA7"/>
    <w:rsid w:val="00403F55"/>
    <w:rsid w:val="00403FAB"/>
    <w:rsid w:val="0040409D"/>
    <w:rsid w:val="00404112"/>
    <w:rsid w:val="00404362"/>
    <w:rsid w:val="004043FE"/>
    <w:rsid w:val="0040444E"/>
    <w:rsid w:val="00404542"/>
    <w:rsid w:val="00404670"/>
    <w:rsid w:val="00404702"/>
    <w:rsid w:val="00404731"/>
    <w:rsid w:val="0040494A"/>
    <w:rsid w:val="00404A62"/>
    <w:rsid w:val="00404DB1"/>
    <w:rsid w:val="00404E33"/>
    <w:rsid w:val="00404F54"/>
    <w:rsid w:val="00404FC4"/>
    <w:rsid w:val="0040511C"/>
    <w:rsid w:val="004051ED"/>
    <w:rsid w:val="00405216"/>
    <w:rsid w:val="004052AE"/>
    <w:rsid w:val="004052CA"/>
    <w:rsid w:val="004052D7"/>
    <w:rsid w:val="004053AF"/>
    <w:rsid w:val="0040547D"/>
    <w:rsid w:val="00405590"/>
    <w:rsid w:val="0040576A"/>
    <w:rsid w:val="00405A65"/>
    <w:rsid w:val="00405B16"/>
    <w:rsid w:val="00405BF4"/>
    <w:rsid w:val="00405C72"/>
    <w:rsid w:val="004060D7"/>
    <w:rsid w:val="0040632B"/>
    <w:rsid w:val="00406353"/>
    <w:rsid w:val="0040640F"/>
    <w:rsid w:val="004064D2"/>
    <w:rsid w:val="00406623"/>
    <w:rsid w:val="0040669F"/>
    <w:rsid w:val="004069B5"/>
    <w:rsid w:val="00406E0A"/>
    <w:rsid w:val="00407137"/>
    <w:rsid w:val="004071A0"/>
    <w:rsid w:val="004072E0"/>
    <w:rsid w:val="00407521"/>
    <w:rsid w:val="00407554"/>
    <w:rsid w:val="004075F1"/>
    <w:rsid w:val="004078CC"/>
    <w:rsid w:val="00407E1C"/>
    <w:rsid w:val="00407E8B"/>
    <w:rsid w:val="00407F1A"/>
    <w:rsid w:val="004100BC"/>
    <w:rsid w:val="00410262"/>
    <w:rsid w:val="00410428"/>
    <w:rsid w:val="0041052F"/>
    <w:rsid w:val="0041092F"/>
    <w:rsid w:val="0041097D"/>
    <w:rsid w:val="00410A29"/>
    <w:rsid w:val="00410D14"/>
    <w:rsid w:val="00410DF6"/>
    <w:rsid w:val="00411035"/>
    <w:rsid w:val="00411156"/>
    <w:rsid w:val="00411331"/>
    <w:rsid w:val="00411375"/>
    <w:rsid w:val="004113F4"/>
    <w:rsid w:val="00411464"/>
    <w:rsid w:val="00411474"/>
    <w:rsid w:val="004114A8"/>
    <w:rsid w:val="004114B7"/>
    <w:rsid w:val="00411663"/>
    <w:rsid w:val="0041166C"/>
    <w:rsid w:val="0041175A"/>
    <w:rsid w:val="00411818"/>
    <w:rsid w:val="0041184A"/>
    <w:rsid w:val="0041189D"/>
    <w:rsid w:val="00411963"/>
    <w:rsid w:val="00411AF7"/>
    <w:rsid w:val="00411B11"/>
    <w:rsid w:val="00411B5E"/>
    <w:rsid w:val="00411CC2"/>
    <w:rsid w:val="00411F04"/>
    <w:rsid w:val="00411FB4"/>
    <w:rsid w:val="00411FDF"/>
    <w:rsid w:val="0041211A"/>
    <w:rsid w:val="004121D1"/>
    <w:rsid w:val="004125DA"/>
    <w:rsid w:val="00412699"/>
    <w:rsid w:val="00412A13"/>
    <w:rsid w:val="00412A91"/>
    <w:rsid w:val="00412BA2"/>
    <w:rsid w:val="00412BE2"/>
    <w:rsid w:val="00412C2E"/>
    <w:rsid w:val="00412CF6"/>
    <w:rsid w:val="00412E4B"/>
    <w:rsid w:val="00412E63"/>
    <w:rsid w:val="004131DA"/>
    <w:rsid w:val="00413200"/>
    <w:rsid w:val="0041320F"/>
    <w:rsid w:val="0041345A"/>
    <w:rsid w:val="00413528"/>
    <w:rsid w:val="00413615"/>
    <w:rsid w:val="004136E3"/>
    <w:rsid w:val="00413BEB"/>
    <w:rsid w:val="00413C20"/>
    <w:rsid w:val="00413C62"/>
    <w:rsid w:val="00413C99"/>
    <w:rsid w:val="00413F48"/>
    <w:rsid w:val="00414025"/>
    <w:rsid w:val="004141EC"/>
    <w:rsid w:val="004142C5"/>
    <w:rsid w:val="00414426"/>
    <w:rsid w:val="0041444E"/>
    <w:rsid w:val="004145B8"/>
    <w:rsid w:val="004146CB"/>
    <w:rsid w:val="004146EF"/>
    <w:rsid w:val="00414744"/>
    <w:rsid w:val="00414780"/>
    <w:rsid w:val="00414939"/>
    <w:rsid w:val="00414A7D"/>
    <w:rsid w:val="00414AC8"/>
    <w:rsid w:val="00414BDF"/>
    <w:rsid w:val="00414CB2"/>
    <w:rsid w:val="00414CD0"/>
    <w:rsid w:val="00414D18"/>
    <w:rsid w:val="00414DE4"/>
    <w:rsid w:val="00414EAD"/>
    <w:rsid w:val="00414EAE"/>
    <w:rsid w:val="00415064"/>
    <w:rsid w:val="00415119"/>
    <w:rsid w:val="0041517F"/>
    <w:rsid w:val="00415415"/>
    <w:rsid w:val="004155A2"/>
    <w:rsid w:val="0041562E"/>
    <w:rsid w:val="00415704"/>
    <w:rsid w:val="00415812"/>
    <w:rsid w:val="0041589A"/>
    <w:rsid w:val="00415ACD"/>
    <w:rsid w:val="00415C65"/>
    <w:rsid w:val="00415C76"/>
    <w:rsid w:val="00415CF2"/>
    <w:rsid w:val="00415D83"/>
    <w:rsid w:val="0041607A"/>
    <w:rsid w:val="0041635C"/>
    <w:rsid w:val="00416391"/>
    <w:rsid w:val="00416392"/>
    <w:rsid w:val="004163DC"/>
    <w:rsid w:val="00416436"/>
    <w:rsid w:val="00416492"/>
    <w:rsid w:val="00416511"/>
    <w:rsid w:val="00416574"/>
    <w:rsid w:val="00416674"/>
    <w:rsid w:val="00416704"/>
    <w:rsid w:val="0041680E"/>
    <w:rsid w:val="0041693A"/>
    <w:rsid w:val="00416946"/>
    <w:rsid w:val="00416AD5"/>
    <w:rsid w:val="00416B0C"/>
    <w:rsid w:val="00416B3F"/>
    <w:rsid w:val="00416BA5"/>
    <w:rsid w:val="00416C26"/>
    <w:rsid w:val="00416CEF"/>
    <w:rsid w:val="00416ECD"/>
    <w:rsid w:val="00417016"/>
    <w:rsid w:val="004171EE"/>
    <w:rsid w:val="00417311"/>
    <w:rsid w:val="004174D1"/>
    <w:rsid w:val="0041756C"/>
    <w:rsid w:val="00417596"/>
    <w:rsid w:val="00417609"/>
    <w:rsid w:val="0041766F"/>
    <w:rsid w:val="004176E1"/>
    <w:rsid w:val="00417832"/>
    <w:rsid w:val="004178B2"/>
    <w:rsid w:val="0041798A"/>
    <w:rsid w:val="004179E7"/>
    <w:rsid w:val="00417A17"/>
    <w:rsid w:val="00417AC4"/>
    <w:rsid w:val="00417ACD"/>
    <w:rsid w:val="00417B5D"/>
    <w:rsid w:val="00417C36"/>
    <w:rsid w:val="00417CCA"/>
    <w:rsid w:val="00417E74"/>
    <w:rsid w:val="00417ECA"/>
    <w:rsid w:val="00417F17"/>
    <w:rsid w:val="00417F8D"/>
    <w:rsid w:val="00417FDB"/>
    <w:rsid w:val="00420351"/>
    <w:rsid w:val="004204C5"/>
    <w:rsid w:val="00420546"/>
    <w:rsid w:val="0042061B"/>
    <w:rsid w:val="004206B0"/>
    <w:rsid w:val="00420704"/>
    <w:rsid w:val="004207F9"/>
    <w:rsid w:val="0042084C"/>
    <w:rsid w:val="00420AA3"/>
    <w:rsid w:val="00420AFE"/>
    <w:rsid w:val="00420BC7"/>
    <w:rsid w:val="00420BF8"/>
    <w:rsid w:val="00420F4E"/>
    <w:rsid w:val="00421044"/>
    <w:rsid w:val="004210F0"/>
    <w:rsid w:val="004213EC"/>
    <w:rsid w:val="00421432"/>
    <w:rsid w:val="00421600"/>
    <w:rsid w:val="00421638"/>
    <w:rsid w:val="00421683"/>
    <w:rsid w:val="00421842"/>
    <w:rsid w:val="00422187"/>
    <w:rsid w:val="0042234D"/>
    <w:rsid w:val="00422380"/>
    <w:rsid w:val="0042247C"/>
    <w:rsid w:val="004224E5"/>
    <w:rsid w:val="00422622"/>
    <w:rsid w:val="004226D9"/>
    <w:rsid w:val="004226DE"/>
    <w:rsid w:val="00422703"/>
    <w:rsid w:val="00422793"/>
    <w:rsid w:val="00422A85"/>
    <w:rsid w:val="00422CD5"/>
    <w:rsid w:val="00422D15"/>
    <w:rsid w:val="00422E6B"/>
    <w:rsid w:val="00422EB3"/>
    <w:rsid w:val="00422FFA"/>
    <w:rsid w:val="00423033"/>
    <w:rsid w:val="00423077"/>
    <w:rsid w:val="004230A9"/>
    <w:rsid w:val="00423152"/>
    <w:rsid w:val="00423188"/>
    <w:rsid w:val="004231D5"/>
    <w:rsid w:val="004232A3"/>
    <w:rsid w:val="004232AC"/>
    <w:rsid w:val="00423308"/>
    <w:rsid w:val="00423447"/>
    <w:rsid w:val="004235A4"/>
    <w:rsid w:val="00423902"/>
    <w:rsid w:val="004239C9"/>
    <w:rsid w:val="00423BBF"/>
    <w:rsid w:val="00423CFF"/>
    <w:rsid w:val="00423D03"/>
    <w:rsid w:val="00423E6F"/>
    <w:rsid w:val="0042427E"/>
    <w:rsid w:val="004246C2"/>
    <w:rsid w:val="00424945"/>
    <w:rsid w:val="0042498F"/>
    <w:rsid w:val="00424D8D"/>
    <w:rsid w:val="00424DA3"/>
    <w:rsid w:val="00424E32"/>
    <w:rsid w:val="00424ED3"/>
    <w:rsid w:val="00425025"/>
    <w:rsid w:val="00425098"/>
    <w:rsid w:val="004250A7"/>
    <w:rsid w:val="004250BA"/>
    <w:rsid w:val="00425234"/>
    <w:rsid w:val="00425257"/>
    <w:rsid w:val="0042526D"/>
    <w:rsid w:val="0042530F"/>
    <w:rsid w:val="004254A2"/>
    <w:rsid w:val="004254C2"/>
    <w:rsid w:val="00425839"/>
    <w:rsid w:val="00425A9C"/>
    <w:rsid w:val="00425AF0"/>
    <w:rsid w:val="00425CD2"/>
    <w:rsid w:val="00425DE1"/>
    <w:rsid w:val="00425E3C"/>
    <w:rsid w:val="00425FC3"/>
    <w:rsid w:val="00426032"/>
    <w:rsid w:val="00426280"/>
    <w:rsid w:val="004264B5"/>
    <w:rsid w:val="004266E1"/>
    <w:rsid w:val="00426946"/>
    <w:rsid w:val="0042699D"/>
    <w:rsid w:val="00426C5E"/>
    <w:rsid w:val="00426CB9"/>
    <w:rsid w:val="00426CC3"/>
    <w:rsid w:val="00426CED"/>
    <w:rsid w:val="00426D0F"/>
    <w:rsid w:val="00427052"/>
    <w:rsid w:val="00427309"/>
    <w:rsid w:val="004273A7"/>
    <w:rsid w:val="0042775A"/>
    <w:rsid w:val="004279B6"/>
    <w:rsid w:val="00427A52"/>
    <w:rsid w:val="00427D70"/>
    <w:rsid w:val="00427EB5"/>
    <w:rsid w:val="004300AE"/>
    <w:rsid w:val="00430470"/>
    <w:rsid w:val="004306D8"/>
    <w:rsid w:val="0043087F"/>
    <w:rsid w:val="00430BBF"/>
    <w:rsid w:val="00430CE9"/>
    <w:rsid w:val="00430D13"/>
    <w:rsid w:val="00430F91"/>
    <w:rsid w:val="00431061"/>
    <w:rsid w:val="0043123A"/>
    <w:rsid w:val="00431275"/>
    <w:rsid w:val="004314BA"/>
    <w:rsid w:val="004316D5"/>
    <w:rsid w:val="00431AED"/>
    <w:rsid w:val="00431B22"/>
    <w:rsid w:val="00431B52"/>
    <w:rsid w:val="00431DDF"/>
    <w:rsid w:val="00432012"/>
    <w:rsid w:val="00432058"/>
    <w:rsid w:val="00432063"/>
    <w:rsid w:val="0043207E"/>
    <w:rsid w:val="00432410"/>
    <w:rsid w:val="0043263A"/>
    <w:rsid w:val="00432796"/>
    <w:rsid w:val="004327DD"/>
    <w:rsid w:val="0043293F"/>
    <w:rsid w:val="004330A1"/>
    <w:rsid w:val="0043318F"/>
    <w:rsid w:val="00433195"/>
    <w:rsid w:val="00433598"/>
    <w:rsid w:val="004335BF"/>
    <w:rsid w:val="004335D2"/>
    <w:rsid w:val="00433635"/>
    <w:rsid w:val="0043387E"/>
    <w:rsid w:val="004338B2"/>
    <w:rsid w:val="0043390F"/>
    <w:rsid w:val="00433A85"/>
    <w:rsid w:val="00433B23"/>
    <w:rsid w:val="00433B66"/>
    <w:rsid w:val="00433DA0"/>
    <w:rsid w:val="00433EA2"/>
    <w:rsid w:val="00433EC7"/>
    <w:rsid w:val="00433F0B"/>
    <w:rsid w:val="00433FFC"/>
    <w:rsid w:val="00434374"/>
    <w:rsid w:val="00434422"/>
    <w:rsid w:val="004345D9"/>
    <w:rsid w:val="004346F1"/>
    <w:rsid w:val="00434789"/>
    <w:rsid w:val="004348C4"/>
    <w:rsid w:val="004348C8"/>
    <w:rsid w:val="004349CB"/>
    <w:rsid w:val="00434AE4"/>
    <w:rsid w:val="00434B0B"/>
    <w:rsid w:val="00434B89"/>
    <w:rsid w:val="00434C15"/>
    <w:rsid w:val="00434DB4"/>
    <w:rsid w:val="00435077"/>
    <w:rsid w:val="004351C2"/>
    <w:rsid w:val="0043532D"/>
    <w:rsid w:val="004356F2"/>
    <w:rsid w:val="0043575E"/>
    <w:rsid w:val="00435865"/>
    <w:rsid w:val="004358D2"/>
    <w:rsid w:val="00435947"/>
    <w:rsid w:val="00435A50"/>
    <w:rsid w:val="00435B81"/>
    <w:rsid w:val="00435C22"/>
    <w:rsid w:val="00435D8D"/>
    <w:rsid w:val="00435DE8"/>
    <w:rsid w:val="00435E3D"/>
    <w:rsid w:val="00435F06"/>
    <w:rsid w:val="00436006"/>
    <w:rsid w:val="0043616A"/>
    <w:rsid w:val="0043616F"/>
    <w:rsid w:val="00436243"/>
    <w:rsid w:val="0043639D"/>
    <w:rsid w:val="00436432"/>
    <w:rsid w:val="004364C5"/>
    <w:rsid w:val="00436506"/>
    <w:rsid w:val="00436511"/>
    <w:rsid w:val="004365D4"/>
    <w:rsid w:val="004367F2"/>
    <w:rsid w:val="0043703D"/>
    <w:rsid w:val="00437334"/>
    <w:rsid w:val="0043735D"/>
    <w:rsid w:val="0043740E"/>
    <w:rsid w:val="00437575"/>
    <w:rsid w:val="00437654"/>
    <w:rsid w:val="00437E71"/>
    <w:rsid w:val="00437EA6"/>
    <w:rsid w:val="00437F0B"/>
    <w:rsid w:val="00440035"/>
    <w:rsid w:val="0044004F"/>
    <w:rsid w:val="00440092"/>
    <w:rsid w:val="004402A7"/>
    <w:rsid w:val="00440352"/>
    <w:rsid w:val="004403B9"/>
    <w:rsid w:val="004406B7"/>
    <w:rsid w:val="004407F6"/>
    <w:rsid w:val="00440871"/>
    <w:rsid w:val="00440896"/>
    <w:rsid w:val="00440940"/>
    <w:rsid w:val="00440A39"/>
    <w:rsid w:val="00440A52"/>
    <w:rsid w:val="00440B4D"/>
    <w:rsid w:val="00440BC8"/>
    <w:rsid w:val="00440DAE"/>
    <w:rsid w:val="00440DF9"/>
    <w:rsid w:val="00440E52"/>
    <w:rsid w:val="004412CC"/>
    <w:rsid w:val="0044153D"/>
    <w:rsid w:val="0044179D"/>
    <w:rsid w:val="004418CB"/>
    <w:rsid w:val="004419C6"/>
    <w:rsid w:val="004419F5"/>
    <w:rsid w:val="00441AD1"/>
    <w:rsid w:val="00441B12"/>
    <w:rsid w:val="00441CC0"/>
    <w:rsid w:val="00441DEC"/>
    <w:rsid w:val="00441EE9"/>
    <w:rsid w:val="00442267"/>
    <w:rsid w:val="004423C2"/>
    <w:rsid w:val="004423E3"/>
    <w:rsid w:val="0044247F"/>
    <w:rsid w:val="00443156"/>
    <w:rsid w:val="0044322B"/>
    <w:rsid w:val="004432DB"/>
    <w:rsid w:val="0044345F"/>
    <w:rsid w:val="0044352A"/>
    <w:rsid w:val="004435BA"/>
    <w:rsid w:val="00443661"/>
    <w:rsid w:val="004436D3"/>
    <w:rsid w:val="004436DA"/>
    <w:rsid w:val="004436E8"/>
    <w:rsid w:val="00443750"/>
    <w:rsid w:val="004438EA"/>
    <w:rsid w:val="004438EC"/>
    <w:rsid w:val="00443A9B"/>
    <w:rsid w:val="00443A9E"/>
    <w:rsid w:val="00443BC9"/>
    <w:rsid w:val="00443C22"/>
    <w:rsid w:val="00443F11"/>
    <w:rsid w:val="0044400C"/>
    <w:rsid w:val="0044410B"/>
    <w:rsid w:val="0044414C"/>
    <w:rsid w:val="00444232"/>
    <w:rsid w:val="0044425F"/>
    <w:rsid w:val="004442BF"/>
    <w:rsid w:val="004442DA"/>
    <w:rsid w:val="00444373"/>
    <w:rsid w:val="00444478"/>
    <w:rsid w:val="0044451B"/>
    <w:rsid w:val="0044458E"/>
    <w:rsid w:val="004445E0"/>
    <w:rsid w:val="004446E7"/>
    <w:rsid w:val="004446ED"/>
    <w:rsid w:val="0044487D"/>
    <w:rsid w:val="00444B05"/>
    <w:rsid w:val="00444B68"/>
    <w:rsid w:val="00444E3A"/>
    <w:rsid w:val="0044500E"/>
    <w:rsid w:val="004450DE"/>
    <w:rsid w:val="00445265"/>
    <w:rsid w:val="00445379"/>
    <w:rsid w:val="004455B2"/>
    <w:rsid w:val="0044569C"/>
    <w:rsid w:val="0044589B"/>
    <w:rsid w:val="0044590A"/>
    <w:rsid w:val="004459A6"/>
    <w:rsid w:val="004459F8"/>
    <w:rsid w:val="00445A51"/>
    <w:rsid w:val="00445AE9"/>
    <w:rsid w:val="00445B1A"/>
    <w:rsid w:val="00445B7E"/>
    <w:rsid w:val="00445BF9"/>
    <w:rsid w:val="00445C41"/>
    <w:rsid w:val="00445DCD"/>
    <w:rsid w:val="00445F40"/>
    <w:rsid w:val="004461F0"/>
    <w:rsid w:val="004461FF"/>
    <w:rsid w:val="0044621C"/>
    <w:rsid w:val="00446337"/>
    <w:rsid w:val="00446650"/>
    <w:rsid w:val="00446A74"/>
    <w:rsid w:val="00446BA8"/>
    <w:rsid w:val="00446BAC"/>
    <w:rsid w:val="00446BFC"/>
    <w:rsid w:val="00446CDF"/>
    <w:rsid w:val="00446D41"/>
    <w:rsid w:val="00446D60"/>
    <w:rsid w:val="00446F3C"/>
    <w:rsid w:val="00447015"/>
    <w:rsid w:val="00447209"/>
    <w:rsid w:val="00447248"/>
    <w:rsid w:val="004473FA"/>
    <w:rsid w:val="00447479"/>
    <w:rsid w:val="004476A9"/>
    <w:rsid w:val="0044777D"/>
    <w:rsid w:val="0044793B"/>
    <w:rsid w:val="00447A8C"/>
    <w:rsid w:val="00447BDB"/>
    <w:rsid w:val="00447CCD"/>
    <w:rsid w:val="00447CF8"/>
    <w:rsid w:val="00447D19"/>
    <w:rsid w:val="00447D24"/>
    <w:rsid w:val="00447E14"/>
    <w:rsid w:val="00447E2C"/>
    <w:rsid w:val="00447F47"/>
    <w:rsid w:val="004500BA"/>
    <w:rsid w:val="00450191"/>
    <w:rsid w:val="00450497"/>
    <w:rsid w:val="00450882"/>
    <w:rsid w:val="0045091D"/>
    <w:rsid w:val="00450A41"/>
    <w:rsid w:val="00450AC1"/>
    <w:rsid w:val="00450BD7"/>
    <w:rsid w:val="00450C19"/>
    <w:rsid w:val="00450E9C"/>
    <w:rsid w:val="00450F18"/>
    <w:rsid w:val="00450F21"/>
    <w:rsid w:val="00450F99"/>
    <w:rsid w:val="00450FA4"/>
    <w:rsid w:val="00450FF7"/>
    <w:rsid w:val="004512FB"/>
    <w:rsid w:val="004515A7"/>
    <w:rsid w:val="00451756"/>
    <w:rsid w:val="0045187C"/>
    <w:rsid w:val="00451887"/>
    <w:rsid w:val="00451B82"/>
    <w:rsid w:val="00451D6E"/>
    <w:rsid w:val="00451DBA"/>
    <w:rsid w:val="00451E86"/>
    <w:rsid w:val="00451EBA"/>
    <w:rsid w:val="00451F2C"/>
    <w:rsid w:val="00451FDE"/>
    <w:rsid w:val="004520BD"/>
    <w:rsid w:val="004520C0"/>
    <w:rsid w:val="00452313"/>
    <w:rsid w:val="00452370"/>
    <w:rsid w:val="00452501"/>
    <w:rsid w:val="0045251D"/>
    <w:rsid w:val="00452586"/>
    <w:rsid w:val="00452733"/>
    <w:rsid w:val="004528E0"/>
    <w:rsid w:val="004529E9"/>
    <w:rsid w:val="00452A01"/>
    <w:rsid w:val="00452D4A"/>
    <w:rsid w:val="00452F64"/>
    <w:rsid w:val="00452F7E"/>
    <w:rsid w:val="004530CA"/>
    <w:rsid w:val="00453368"/>
    <w:rsid w:val="004533BF"/>
    <w:rsid w:val="0045346A"/>
    <w:rsid w:val="004535EA"/>
    <w:rsid w:val="00453800"/>
    <w:rsid w:val="00453900"/>
    <w:rsid w:val="0045398A"/>
    <w:rsid w:val="00453D28"/>
    <w:rsid w:val="00453E49"/>
    <w:rsid w:val="00453FCA"/>
    <w:rsid w:val="004542CC"/>
    <w:rsid w:val="0045463E"/>
    <w:rsid w:val="004546A9"/>
    <w:rsid w:val="00454784"/>
    <w:rsid w:val="004547C5"/>
    <w:rsid w:val="00454900"/>
    <w:rsid w:val="00454A78"/>
    <w:rsid w:val="00454EFE"/>
    <w:rsid w:val="00454F0D"/>
    <w:rsid w:val="00454F2E"/>
    <w:rsid w:val="004551A0"/>
    <w:rsid w:val="004552DC"/>
    <w:rsid w:val="00455352"/>
    <w:rsid w:val="00455362"/>
    <w:rsid w:val="0045582D"/>
    <w:rsid w:val="00455881"/>
    <w:rsid w:val="004558DD"/>
    <w:rsid w:val="004558E3"/>
    <w:rsid w:val="00455A0C"/>
    <w:rsid w:val="00455F21"/>
    <w:rsid w:val="0045609B"/>
    <w:rsid w:val="004560BF"/>
    <w:rsid w:val="004560CD"/>
    <w:rsid w:val="0045610B"/>
    <w:rsid w:val="004564CE"/>
    <w:rsid w:val="00456785"/>
    <w:rsid w:val="00456B1D"/>
    <w:rsid w:val="00456B9A"/>
    <w:rsid w:val="00456D20"/>
    <w:rsid w:val="00456D68"/>
    <w:rsid w:val="00456FCA"/>
    <w:rsid w:val="00456FE3"/>
    <w:rsid w:val="00457369"/>
    <w:rsid w:val="0045747B"/>
    <w:rsid w:val="004574D1"/>
    <w:rsid w:val="0045764E"/>
    <w:rsid w:val="004576F1"/>
    <w:rsid w:val="00457720"/>
    <w:rsid w:val="004578AE"/>
    <w:rsid w:val="004578E8"/>
    <w:rsid w:val="0045796C"/>
    <w:rsid w:val="0045798F"/>
    <w:rsid w:val="00457A55"/>
    <w:rsid w:val="00457B53"/>
    <w:rsid w:val="00457BB6"/>
    <w:rsid w:val="00457EEB"/>
    <w:rsid w:val="004601D0"/>
    <w:rsid w:val="004601DE"/>
    <w:rsid w:val="004601EC"/>
    <w:rsid w:val="004602B2"/>
    <w:rsid w:val="00460306"/>
    <w:rsid w:val="00460331"/>
    <w:rsid w:val="0046049B"/>
    <w:rsid w:val="004604EF"/>
    <w:rsid w:val="0046054D"/>
    <w:rsid w:val="00460553"/>
    <w:rsid w:val="004605F5"/>
    <w:rsid w:val="00460816"/>
    <w:rsid w:val="00460881"/>
    <w:rsid w:val="00460AC6"/>
    <w:rsid w:val="00460DA9"/>
    <w:rsid w:val="00460DB0"/>
    <w:rsid w:val="00460F23"/>
    <w:rsid w:val="00460F70"/>
    <w:rsid w:val="00461128"/>
    <w:rsid w:val="004611EE"/>
    <w:rsid w:val="004611FC"/>
    <w:rsid w:val="004612AB"/>
    <w:rsid w:val="00461481"/>
    <w:rsid w:val="0046152D"/>
    <w:rsid w:val="004617C1"/>
    <w:rsid w:val="004617EE"/>
    <w:rsid w:val="004618CA"/>
    <w:rsid w:val="00461B75"/>
    <w:rsid w:val="00461E40"/>
    <w:rsid w:val="00461F42"/>
    <w:rsid w:val="00461FAF"/>
    <w:rsid w:val="004621A0"/>
    <w:rsid w:val="0046238C"/>
    <w:rsid w:val="0046239E"/>
    <w:rsid w:val="004624C2"/>
    <w:rsid w:val="004625D1"/>
    <w:rsid w:val="0046263C"/>
    <w:rsid w:val="00462668"/>
    <w:rsid w:val="004626FE"/>
    <w:rsid w:val="00462899"/>
    <w:rsid w:val="00462D98"/>
    <w:rsid w:val="00462E8C"/>
    <w:rsid w:val="00462FC5"/>
    <w:rsid w:val="0046325B"/>
    <w:rsid w:val="00463534"/>
    <w:rsid w:val="004636DB"/>
    <w:rsid w:val="00463743"/>
    <w:rsid w:val="0046393B"/>
    <w:rsid w:val="00463977"/>
    <w:rsid w:val="004639A3"/>
    <w:rsid w:val="00463A2D"/>
    <w:rsid w:val="00463AAF"/>
    <w:rsid w:val="00463B2D"/>
    <w:rsid w:val="00463C7C"/>
    <w:rsid w:val="00463CA6"/>
    <w:rsid w:val="00463D4F"/>
    <w:rsid w:val="00463E99"/>
    <w:rsid w:val="00464028"/>
    <w:rsid w:val="0046412A"/>
    <w:rsid w:val="004645BE"/>
    <w:rsid w:val="00464629"/>
    <w:rsid w:val="0046462A"/>
    <w:rsid w:val="00464653"/>
    <w:rsid w:val="004646B3"/>
    <w:rsid w:val="00464820"/>
    <w:rsid w:val="00464ADF"/>
    <w:rsid w:val="00464C3B"/>
    <w:rsid w:val="00464CD3"/>
    <w:rsid w:val="00464D8D"/>
    <w:rsid w:val="00464DAA"/>
    <w:rsid w:val="00464DCA"/>
    <w:rsid w:val="00464EEA"/>
    <w:rsid w:val="00464F3D"/>
    <w:rsid w:val="004652B5"/>
    <w:rsid w:val="00465471"/>
    <w:rsid w:val="004654EC"/>
    <w:rsid w:val="00465D44"/>
    <w:rsid w:val="00465DA2"/>
    <w:rsid w:val="00465FC2"/>
    <w:rsid w:val="00466023"/>
    <w:rsid w:val="0046620A"/>
    <w:rsid w:val="00466263"/>
    <w:rsid w:val="00466539"/>
    <w:rsid w:val="00466540"/>
    <w:rsid w:val="00466542"/>
    <w:rsid w:val="0046660A"/>
    <w:rsid w:val="0046666C"/>
    <w:rsid w:val="00466985"/>
    <w:rsid w:val="00466F47"/>
    <w:rsid w:val="00466F79"/>
    <w:rsid w:val="00466FDF"/>
    <w:rsid w:val="00467016"/>
    <w:rsid w:val="0046713C"/>
    <w:rsid w:val="0046751C"/>
    <w:rsid w:val="0046755B"/>
    <w:rsid w:val="004675A0"/>
    <w:rsid w:val="00467641"/>
    <w:rsid w:val="0046781C"/>
    <w:rsid w:val="00467873"/>
    <w:rsid w:val="004678D5"/>
    <w:rsid w:val="00467940"/>
    <w:rsid w:val="004679AB"/>
    <w:rsid w:val="00467AA4"/>
    <w:rsid w:val="00467B5A"/>
    <w:rsid w:val="00467C4F"/>
    <w:rsid w:val="00467CB4"/>
    <w:rsid w:val="00467D47"/>
    <w:rsid w:val="004700D1"/>
    <w:rsid w:val="004701C9"/>
    <w:rsid w:val="004706ED"/>
    <w:rsid w:val="004708CC"/>
    <w:rsid w:val="00470A04"/>
    <w:rsid w:val="00470A5D"/>
    <w:rsid w:val="00470AFF"/>
    <w:rsid w:val="00470C47"/>
    <w:rsid w:val="00470C8A"/>
    <w:rsid w:val="00470EA6"/>
    <w:rsid w:val="00471036"/>
    <w:rsid w:val="004713DD"/>
    <w:rsid w:val="004713FE"/>
    <w:rsid w:val="00471606"/>
    <w:rsid w:val="00471732"/>
    <w:rsid w:val="004717BF"/>
    <w:rsid w:val="0047185B"/>
    <w:rsid w:val="004718F3"/>
    <w:rsid w:val="00471F7A"/>
    <w:rsid w:val="00472124"/>
    <w:rsid w:val="004721FD"/>
    <w:rsid w:val="00472213"/>
    <w:rsid w:val="004723DF"/>
    <w:rsid w:val="0047249A"/>
    <w:rsid w:val="00472588"/>
    <w:rsid w:val="00472599"/>
    <w:rsid w:val="00472660"/>
    <w:rsid w:val="004728AA"/>
    <w:rsid w:val="00472C07"/>
    <w:rsid w:val="00472C1D"/>
    <w:rsid w:val="00472C70"/>
    <w:rsid w:val="00472CE2"/>
    <w:rsid w:val="00472F2D"/>
    <w:rsid w:val="00472F4C"/>
    <w:rsid w:val="00472F73"/>
    <w:rsid w:val="00472FB6"/>
    <w:rsid w:val="004730B1"/>
    <w:rsid w:val="0047326D"/>
    <w:rsid w:val="004733F9"/>
    <w:rsid w:val="0047346D"/>
    <w:rsid w:val="0047349C"/>
    <w:rsid w:val="00473690"/>
    <w:rsid w:val="00473734"/>
    <w:rsid w:val="00473760"/>
    <w:rsid w:val="004737E6"/>
    <w:rsid w:val="0047396A"/>
    <w:rsid w:val="004739E8"/>
    <w:rsid w:val="00473B25"/>
    <w:rsid w:val="00473B96"/>
    <w:rsid w:val="00473D1F"/>
    <w:rsid w:val="00473F07"/>
    <w:rsid w:val="00473FBD"/>
    <w:rsid w:val="004740ED"/>
    <w:rsid w:val="00474154"/>
    <w:rsid w:val="00474229"/>
    <w:rsid w:val="0047423D"/>
    <w:rsid w:val="004742BB"/>
    <w:rsid w:val="00474396"/>
    <w:rsid w:val="004743FC"/>
    <w:rsid w:val="00474470"/>
    <w:rsid w:val="004744B1"/>
    <w:rsid w:val="004744C3"/>
    <w:rsid w:val="0047460D"/>
    <w:rsid w:val="004746D1"/>
    <w:rsid w:val="00474856"/>
    <w:rsid w:val="00474907"/>
    <w:rsid w:val="00474A8D"/>
    <w:rsid w:val="00474C39"/>
    <w:rsid w:val="00474CDD"/>
    <w:rsid w:val="00474DD6"/>
    <w:rsid w:val="00474DD9"/>
    <w:rsid w:val="00474E27"/>
    <w:rsid w:val="00474F67"/>
    <w:rsid w:val="004751D4"/>
    <w:rsid w:val="004753DE"/>
    <w:rsid w:val="00475597"/>
    <w:rsid w:val="00475697"/>
    <w:rsid w:val="004759CE"/>
    <w:rsid w:val="00475D1D"/>
    <w:rsid w:val="00475E0E"/>
    <w:rsid w:val="004761B7"/>
    <w:rsid w:val="004764C6"/>
    <w:rsid w:val="0047650F"/>
    <w:rsid w:val="004769C1"/>
    <w:rsid w:val="00476BA4"/>
    <w:rsid w:val="00476BEA"/>
    <w:rsid w:val="00476C4A"/>
    <w:rsid w:val="00476D5C"/>
    <w:rsid w:val="00476FC3"/>
    <w:rsid w:val="00477114"/>
    <w:rsid w:val="00477198"/>
    <w:rsid w:val="004771D4"/>
    <w:rsid w:val="00477318"/>
    <w:rsid w:val="004775CC"/>
    <w:rsid w:val="0047775C"/>
    <w:rsid w:val="004777CC"/>
    <w:rsid w:val="00477A8A"/>
    <w:rsid w:val="00477AFA"/>
    <w:rsid w:val="00477BEA"/>
    <w:rsid w:val="00477C8E"/>
    <w:rsid w:val="00477CA1"/>
    <w:rsid w:val="0048021D"/>
    <w:rsid w:val="0048038A"/>
    <w:rsid w:val="00480404"/>
    <w:rsid w:val="004804F9"/>
    <w:rsid w:val="0048059B"/>
    <w:rsid w:val="004805F1"/>
    <w:rsid w:val="0048076C"/>
    <w:rsid w:val="00480792"/>
    <w:rsid w:val="004809DC"/>
    <w:rsid w:val="00480DC3"/>
    <w:rsid w:val="00480E3D"/>
    <w:rsid w:val="00480FD3"/>
    <w:rsid w:val="0048111E"/>
    <w:rsid w:val="00481226"/>
    <w:rsid w:val="00481258"/>
    <w:rsid w:val="004816A3"/>
    <w:rsid w:val="0048184E"/>
    <w:rsid w:val="00481873"/>
    <w:rsid w:val="00481895"/>
    <w:rsid w:val="00481949"/>
    <w:rsid w:val="004819E8"/>
    <w:rsid w:val="00481AE2"/>
    <w:rsid w:val="00481EC7"/>
    <w:rsid w:val="00482049"/>
    <w:rsid w:val="00482064"/>
    <w:rsid w:val="004820FB"/>
    <w:rsid w:val="00482174"/>
    <w:rsid w:val="004821B5"/>
    <w:rsid w:val="00482463"/>
    <w:rsid w:val="0048253F"/>
    <w:rsid w:val="004826B7"/>
    <w:rsid w:val="00482754"/>
    <w:rsid w:val="0048277D"/>
    <w:rsid w:val="00482A07"/>
    <w:rsid w:val="00482A40"/>
    <w:rsid w:val="00482BA9"/>
    <w:rsid w:val="00482C08"/>
    <w:rsid w:val="00482C3C"/>
    <w:rsid w:val="00482CB1"/>
    <w:rsid w:val="00482CDE"/>
    <w:rsid w:val="0048313E"/>
    <w:rsid w:val="00483623"/>
    <w:rsid w:val="004837EE"/>
    <w:rsid w:val="00483A09"/>
    <w:rsid w:val="00483AFE"/>
    <w:rsid w:val="00483E5B"/>
    <w:rsid w:val="00483E9F"/>
    <w:rsid w:val="00483F68"/>
    <w:rsid w:val="00483F9D"/>
    <w:rsid w:val="00484109"/>
    <w:rsid w:val="0048412C"/>
    <w:rsid w:val="00484377"/>
    <w:rsid w:val="0048452F"/>
    <w:rsid w:val="004845CF"/>
    <w:rsid w:val="004846C2"/>
    <w:rsid w:val="0048474C"/>
    <w:rsid w:val="004848E7"/>
    <w:rsid w:val="0048497B"/>
    <w:rsid w:val="004849D7"/>
    <w:rsid w:val="00484A39"/>
    <w:rsid w:val="00484A75"/>
    <w:rsid w:val="00484ACD"/>
    <w:rsid w:val="00484BCB"/>
    <w:rsid w:val="00484D10"/>
    <w:rsid w:val="00484EF2"/>
    <w:rsid w:val="00484F9F"/>
    <w:rsid w:val="00484FBA"/>
    <w:rsid w:val="00485224"/>
    <w:rsid w:val="00485284"/>
    <w:rsid w:val="004852BA"/>
    <w:rsid w:val="004853CC"/>
    <w:rsid w:val="00485523"/>
    <w:rsid w:val="00485617"/>
    <w:rsid w:val="004856C9"/>
    <w:rsid w:val="004857F2"/>
    <w:rsid w:val="00485858"/>
    <w:rsid w:val="00485870"/>
    <w:rsid w:val="00485923"/>
    <w:rsid w:val="00485935"/>
    <w:rsid w:val="00485CEA"/>
    <w:rsid w:val="00485D15"/>
    <w:rsid w:val="004860E0"/>
    <w:rsid w:val="004862BD"/>
    <w:rsid w:val="004864EB"/>
    <w:rsid w:val="0048667B"/>
    <w:rsid w:val="00486752"/>
    <w:rsid w:val="00486A48"/>
    <w:rsid w:val="00486C18"/>
    <w:rsid w:val="00486CB0"/>
    <w:rsid w:val="00486D1B"/>
    <w:rsid w:val="00486E02"/>
    <w:rsid w:val="00486E92"/>
    <w:rsid w:val="00486EB0"/>
    <w:rsid w:val="00486F29"/>
    <w:rsid w:val="004875FE"/>
    <w:rsid w:val="00487A6B"/>
    <w:rsid w:val="00487B38"/>
    <w:rsid w:val="00487C05"/>
    <w:rsid w:val="00487EF3"/>
    <w:rsid w:val="004900AB"/>
    <w:rsid w:val="004901F8"/>
    <w:rsid w:val="00490428"/>
    <w:rsid w:val="00490517"/>
    <w:rsid w:val="0049056B"/>
    <w:rsid w:val="0049058C"/>
    <w:rsid w:val="0049061F"/>
    <w:rsid w:val="0049081B"/>
    <w:rsid w:val="004909FE"/>
    <w:rsid w:val="00490A03"/>
    <w:rsid w:val="00490C15"/>
    <w:rsid w:val="00490E01"/>
    <w:rsid w:val="00490FE9"/>
    <w:rsid w:val="0049105F"/>
    <w:rsid w:val="00491177"/>
    <w:rsid w:val="004911E0"/>
    <w:rsid w:val="004912C9"/>
    <w:rsid w:val="0049137B"/>
    <w:rsid w:val="00491513"/>
    <w:rsid w:val="00491537"/>
    <w:rsid w:val="004917EE"/>
    <w:rsid w:val="004918AA"/>
    <w:rsid w:val="00491965"/>
    <w:rsid w:val="00491989"/>
    <w:rsid w:val="00491BA5"/>
    <w:rsid w:val="00491BEB"/>
    <w:rsid w:val="00491CD2"/>
    <w:rsid w:val="00491D0F"/>
    <w:rsid w:val="00491D83"/>
    <w:rsid w:val="00492004"/>
    <w:rsid w:val="00492071"/>
    <w:rsid w:val="00492167"/>
    <w:rsid w:val="004921A1"/>
    <w:rsid w:val="004922C8"/>
    <w:rsid w:val="00492343"/>
    <w:rsid w:val="00492611"/>
    <w:rsid w:val="0049273C"/>
    <w:rsid w:val="0049276C"/>
    <w:rsid w:val="00492785"/>
    <w:rsid w:val="004927AF"/>
    <w:rsid w:val="0049281C"/>
    <w:rsid w:val="0049285B"/>
    <w:rsid w:val="0049288B"/>
    <w:rsid w:val="00492931"/>
    <w:rsid w:val="00492945"/>
    <w:rsid w:val="0049298F"/>
    <w:rsid w:val="00492B89"/>
    <w:rsid w:val="00492B90"/>
    <w:rsid w:val="00492BA6"/>
    <w:rsid w:val="00492BD4"/>
    <w:rsid w:val="00492CFA"/>
    <w:rsid w:val="00492D0C"/>
    <w:rsid w:val="00492D67"/>
    <w:rsid w:val="00492E4D"/>
    <w:rsid w:val="00492F17"/>
    <w:rsid w:val="00492FCC"/>
    <w:rsid w:val="0049301D"/>
    <w:rsid w:val="00493054"/>
    <w:rsid w:val="004930DC"/>
    <w:rsid w:val="00493188"/>
    <w:rsid w:val="00493377"/>
    <w:rsid w:val="0049348C"/>
    <w:rsid w:val="0049352D"/>
    <w:rsid w:val="0049364C"/>
    <w:rsid w:val="0049367B"/>
    <w:rsid w:val="00493760"/>
    <w:rsid w:val="004937C3"/>
    <w:rsid w:val="004938B9"/>
    <w:rsid w:val="00493AD0"/>
    <w:rsid w:val="00493B12"/>
    <w:rsid w:val="00493D4C"/>
    <w:rsid w:val="00493DD4"/>
    <w:rsid w:val="00493ECC"/>
    <w:rsid w:val="00493F2E"/>
    <w:rsid w:val="00493F3E"/>
    <w:rsid w:val="00494009"/>
    <w:rsid w:val="004940CF"/>
    <w:rsid w:val="0049416F"/>
    <w:rsid w:val="00494239"/>
    <w:rsid w:val="004943CA"/>
    <w:rsid w:val="00494468"/>
    <w:rsid w:val="004944DE"/>
    <w:rsid w:val="0049450E"/>
    <w:rsid w:val="00494587"/>
    <w:rsid w:val="004946AB"/>
    <w:rsid w:val="004946ED"/>
    <w:rsid w:val="004948E5"/>
    <w:rsid w:val="0049499B"/>
    <w:rsid w:val="00494A57"/>
    <w:rsid w:val="00494B2C"/>
    <w:rsid w:val="00494B91"/>
    <w:rsid w:val="00494C79"/>
    <w:rsid w:val="004950D9"/>
    <w:rsid w:val="00495144"/>
    <w:rsid w:val="00495609"/>
    <w:rsid w:val="004959AE"/>
    <w:rsid w:val="00495C0C"/>
    <w:rsid w:val="00495E6D"/>
    <w:rsid w:val="00495FC3"/>
    <w:rsid w:val="0049614F"/>
    <w:rsid w:val="00496265"/>
    <w:rsid w:val="004962A8"/>
    <w:rsid w:val="00496340"/>
    <w:rsid w:val="004964DF"/>
    <w:rsid w:val="00496547"/>
    <w:rsid w:val="00496580"/>
    <w:rsid w:val="0049658F"/>
    <w:rsid w:val="0049660C"/>
    <w:rsid w:val="004967AF"/>
    <w:rsid w:val="00496852"/>
    <w:rsid w:val="004968DB"/>
    <w:rsid w:val="004969C5"/>
    <w:rsid w:val="004972DF"/>
    <w:rsid w:val="00497351"/>
    <w:rsid w:val="00497358"/>
    <w:rsid w:val="0049755F"/>
    <w:rsid w:val="0049768B"/>
    <w:rsid w:val="004976F6"/>
    <w:rsid w:val="00497848"/>
    <w:rsid w:val="00497879"/>
    <w:rsid w:val="00497A06"/>
    <w:rsid w:val="00497A8B"/>
    <w:rsid w:val="00497C2F"/>
    <w:rsid w:val="00497CD6"/>
    <w:rsid w:val="00497D7A"/>
    <w:rsid w:val="00497EE0"/>
    <w:rsid w:val="00497F0E"/>
    <w:rsid w:val="004A008F"/>
    <w:rsid w:val="004A012C"/>
    <w:rsid w:val="004A0266"/>
    <w:rsid w:val="004A033B"/>
    <w:rsid w:val="004A0366"/>
    <w:rsid w:val="004A0628"/>
    <w:rsid w:val="004A06DF"/>
    <w:rsid w:val="004A079A"/>
    <w:rsid w:val="004A0947"/>
    <w:rsid w:val="004A0A05"/>
    <w:rsid w:val="004A0C34"/>
    <w:rsid w:val="004A0C4A"/>
    <w:rsid w:val="004A0CB2"/>
    <w:rsid w:val="004A0D64"/>
    <w:rsid w:val="004A0D9C"/>
    <w:rsid w:val="004A0E12"/>
    <w:rsid w:val="004A0F2E"/>
    <w:rsid w:val="004A1218"/>
    <w:rsid w:val="004A13DF"/>
    <w:rsid w:val="004A1757"/>
    <w:rsid w:val="004A1B8F"/>
    <w:rsid w:val="004A1C48"/>
    <w:rsid w:val="004A1CC4"/>
    <w:rsid w:val="004A1D3C"/>
    <w:rsid w:val="004A1E9D"/>
    <w:rsid w:val="004A2117"/>
    <w:rsid w:val="004A2127"/>
    <w:rsid w:val="004A21D8"/>
    <w:rsid w:val="004A2354"/>
    <w:rsid w:val="004A245A"/>
    <w:rsid w:val="004A2553"/>
    <w:rsid w:val="004A25D1"/>
    <w:rsid w:val="004A2660"/>
    <w:rsid w:val="004A287A"/>
    <w:rsid w:val="004A2977"/>
    <w:rsid w:val="004A2A1F"/>
    <w:rsid w:val="004A2ACF"/>
    <w:rsid w:val="004A2CE9"/>
    <w:rsid w:val="004A2D8A"/>
    <w:rsid w:val="004A2DFF"/>
    <w:rsid w:val="004A2E57"/>
    <w:rsid w:val="004A311A"/>
    <w:rsid w:val="004A31DF"/>
    <w:rsid w:val="004A31F1"/>
    <w:rsid w:val="004A3381"/>
    <w:rsid w:val="004A34CB"/>
    <w:rsid w:val="004A3571"/>
    <w:rsid w:val="004A35EE"/>
    <w:rsid w:val="004A3823"/>
    <w:rsid w:val="004A382C"/>
    <w:rsid w:val="004A3831"/>
    <w:rsid w:val="004A38B4"/>
    <w:rsid w:val="004A38F2"/>
    <w:rsid w:val="004A3B98"/>
    <w:rsid w:val="004A3C75"/>
    <w:rsid w:val="004A3CA9"/>
    <w:rsid w:val="004A3CB9"/>
    <w:rsid w:val="004A3DF5"/>
    <w:rsid w:val="004A3FAE"/>
    <w:rsid w:val="004A40C0"/>
    <w:rsid w:val="004A40E9"/>
    <w:rsid w:val="004A4255"/>
    <w:rsid w:val="004A425B"/>
    <w:rsid w:val="004A4265"/>
    <w:rsid w:val="004A426A"/>
    <w:rsid w:val="004A43DE"/>
    <w:rsid w:val="004A449D"/>
    <w:rsid w:val="004A4506"/>
    <w:rsid w:val="004A4527"/>
    <w:rsid w:val="004A4962"/>
    <w:rsid w:val="004A498C"/>
    <w:rsid w:val="004A4ABD"/>
    <w:rsid w:val="004A4E61"/>
    <w:rsid w:val="004A4E83"/>
    <w:rsid w:val="004A4F21"/>
    <w:rsid w:val="004A4F83"/>
    <w:rsid w:val="004A5019"/>
    <w:rsid w:val="004A5054"/>
    <w:rsid w:val="004A52CE"/>
    <w:rsid w:val="004A52FE"/>
    <w:rsid w:val="004A5343"/>
    <w:rsid w:val="004A5385"/>
    <w:rsid w:val="004A54BF"/>
    <w:rsid w:val="004A5564"/>
    <w:rsid w:val="004A55D9"/>
    <w:rsid w:val="004A5938"/>
    <w:rsid w:val="004A5B10"/>
    <w:rsid w:val="004A5BF9"/>
    <w:rsid w:val="004A5C97"/>
    <w:rsid w:val="004A5D75"/>
    <w:rsid w:val="004A5E27"/>
    <w:rsid w:val="004A5E43"/>
    <w:rsid w:val="004A5F76"/>
    <w:rsid w:val="004A60C1"/>
    <w:rsid w:val="004A61A7"/>
    <w:rsid w:val="004A61C3"/>
    <w:rsid w:val="004A6292"/>
    <w:rsid w:val="004A62A8"/>
    <w:rsid w:val="004A62DA"/>
    <w:rsid w:val="004A637D"/>
    <w:rsid w:val="004A63E6"/>
    <w:rsid w:val="004A6856"/>
    <w:rsid w:val="004A6873"/>
    <w:rsid w:val="004A68E4"/>
    <w:rsid w:val="004A6AD5"/>
    <w:rsid w:val="004A6BCC"/>
    <w:rsid w:val="004A6CDD"/>
    <w:rsid w:val="004A6D8C"/>
    <w:rsid w:val="004A7007"/>
    <w:rsid w:val="004A70BA"/>
    <w:rsid w:val="004A721C"/>
    <w:rsid w:val="004A74C9"/>
    <w:rsid w:val="004A7526"/>
    <w:rsid w:val="004A75A9"/>
    <w:rsid w:val="004A7665"/>
    <w:rsid w:val="004A7981"/>
    <w:rsid w:val="004A798D"/>
    <w:rsid w:val="004A7BF2"/>
    <w:rsid w:val="004A7DAC"/>
    <w:rsid w:val="004A7EFE"/>
    <w:rsid w:val="004A7FD4"/>
    <w:rsid w:val="004B003F"/>
    <w:rsid w:val="004B0043"/>
    <w:rsid w:val="004B017C"/>
    <w:rsid w:val="004B01F3"/>
    <w:rsid w:val="004B03E4"/>
    <w:rsid w:val="004B05D8"/>
    <w:rsid w:val="004B066E"/>
    <w:rsid w:val="004B07EA"/>
    <w:rsid w:val="004B087C"/>
    <w:rsid w:val="004B0AB7"/>
    <w:rsid w:val="004B0C9D"/>
    <w:rsid w:val="004B0D2E"/>
    <w:rsid w:val="004B0E73"/>
    <w:rsid w:val="004B1016"/>
    <w:rsid w:val="004B1570"/>
    <w:rsid w:val="004B15CC"/>
    <w:rsid w:val="004B1696"/>
    <w:rsid w:val="004B16F4"/>
    <w:rsid w:val="004B16F7"/>
    <w:rsid w:val="004B1881"/>
    <w:rsid w:val="004B18D1"/>
    <w:rsid w:val="004B18F6"/>
    <w:rsid w:val="004B1945"/>
    <w:rsid w:val="004B1B5A"/>
    <w:rsid w:val="004B1C34"/>
    <w:rsid w:val="004B1D71"/>
    <w:rsid w:val="004B1DBF"/>
    <w:rsid w:val="004B1F65"/>
    <w:rsid w:val="004B2396"/>
    <w:rsid w:val="004B239E"/>
    <w:rsid w:val="004B23DB"/>
    <w:rsid w:val="004B23FB"/>
    <w:rsid w:val="004B2675"/>
    <w:rsid w:val="004B2694"/>
    <w:rsid w:val="004B27CC"/>
    <w:rsid w:val="004B28C9"/>
    <w:rsid w:val="004B2C0A"/>
    <w:rsid w:val="004B2D61"/>
    <w:rsid w:val="004B2DB3"/>
    <w:rsid w:val="004B2F77"/>
    <w:rsid w:val="004B3007"/>
    <w:rsid w:val="004B3145"/>
    <w:rsid w:val="004B315A"/>
    <w:rsid w:val="004B319B"/>
    <w:rsid w:val="004B3234"/>
    <w:rsid w:val="004B326C"/>
    <w:rsid w:val="004B35A5"/>
    <w:rsid w:val="004B3831"/>
    <w:rsid w:val="004B3979"/>
    <w:rsid w:val="004B3D13"/>
    <w:rsid w:val="004B3F41"/>
    <w:rsid w:val="004B406C"/>
    <w:rsid w:val="004B41B7"/>
    <w:rsid w:val="004B439F"/>
    <w:rsid w:val="004B4434"/>
    <w:rsid w:val="004B4543"/>
    <w:rsid w:val="004B4751"/>
    <w:rsid w:val="004B47E7"/>
    <w:rsid w:val="004B49D9"/>
    <w:rsid w:val="004B4A88"/>
    <w:rsid w:val="004B4A89"/>
    <w:rsid w:val="004B4E8D"/>
    <w:rsid w:val="004B4F34"/>
    <w:rsid w:val="004B4F90"/>
    <w:rsid w:val="004B508D"/>
    <w:rsid w:val="004B5136"/>
    <w:rsid w:val="004B51C6"/>
    <w:rsid w:val="004B528E"/>
    <w:rsid w:val="004B5397"/>
    <w:rsid w:val="004B554A"/>
    <w:rsid w:val="004B555D"/>
    <w:rsid w:val="004B5802"/>
    <w:rsid w:val="004B5B0D"/>
    <w:rsid w:val="004B5D6E"/>
    <w:rsid w:val="004B5E87"/>
    <w:rsid w:val="004B5F0D"/>
    <w:rsid w:val="004B5F0F"/>
    <w:rsid w:val="004B604C"/>
    <w:rsid w:val="004B60B3"/>
    <w:rsid w:val="004B60CF"/>
    <w:rsid w:val="004B64D6"/>
    <w:rsid w:val="004B64FF"/>
    <w:rsid w:val="004B65AF"/>
    <w:rsid w:val="004B65E1"/>
    <w:rsid w:val="004B65FF"/>
    <w:rsid w:val="004B6703"/>
    <w:rsid w:val="004B67EA"/>
    <w:rsid w:val="004B69C1"/>
    <w:rsid w:val="004B6B1D"/>
    <w:rsid w:val="004B6BCD"/>
    <w:rsid w:val="004B6D0B"/>
    <w:rsid w:val="004B6D10"/>
    <w:rsid w:val="004B6E63"/>
    <w:rsid w:val="004B6F2E"/>
    <w:rsid w:val="004B6F52"/>
    <w:rsid w:val="004B70A5"/>
    <w:rsid w:val="004B7129"/>
    <w:rsid w:val="004B7404"/>
    <w:rsid w:val="004B741C"/>
    <w:rsid w:val="004B75DD"/>
    <w:rsid w:val="004B7712"/>
    <w:rsid w:val="004B78C6"/>
    <w:rsid w:val="004B79E5"/>
    <w:rsid w:val="004B7AA0"/>
    <w:rsid w:val="004B7B46"/>
    <w:rsid w:val="004B7BB1"/>
    <w:rsid w:val="004B7C45"/>
    <w:rsid w:val="004C0039"/>
    <w:rsid w:val="004C02B6"/>
    <w:rsid w:val="004C02EB"/>
    <w:rsid w:val="004C080E"/>
    <w:rsid w:val="004C0970"/>
    <w:rsid w:val="004C0982"/>
    <w:rsid w:val="004C0BD9"/>
    <w:rsid w:val="004C0C06"/>
    <w:rsid w:val="004C0C26"/>
    <w:rsid w:val="004C0D05"/>
    <w:rsid w:val="004C0D7B"/>
    <w:rsid w:val="004C0DA4"/>
    <w:rsid w:val="004C0F29"/>
    <w:rsid w:val="004C109E"/>
    <w:rsid w:val="004C1190"/>
    <w:rsid w:val="004C1214"/>
    <w:rsid w:val="004C126D"/>
    <w:rsid w:val="004C161E"/>
    <w:rsid w:val="004C1CC3"/>
    <w:rsid w:val="004C1F62"/>
    <w:rsid w:val="004C1FB5"/>
    <w:rsid w:val="004C201A"/>
    <w:rsid w:val="004C21CC"/>
    <w:rsid w:val="004C2240"/>
    <w:rsid w:val="004C2680"/>
    <w:rsid w:val="004C2767"/>
    <w:rsid w:val="004C28E0"/>
    <w:rsid w:val="004C2943"/>
    <w:rsid w:val="004C2C22"/>
    <w:rsid w:val="004C2C96"/>
    <w:rsid w:val="004C2E0D"/>
    <w:rsid w:val="004C2EFE"/>
    <w:rsid w:val="004C2FFB"/>
    <w:rsid w:val="004C3195"/>
    <w:rsid w:val="004C31DA"/>
    <w:rsid w:val="004C3249"/>
    <w:rsid w:val="004C3364"/>
    <w:rsid w:val="004C346A"/>
    <w:rsid w:val="004C3670"/>
    <w:rsid w:val="004C367F"/>
    <w:rsid w:val="004C36EC"/>
    <w:rsid w:val="004C37D6"/>
    <w:rsid w:val="004C39F0"/>
    <w:rsid w:val="004C3BD9"/>
    <w:rsid w:val="004C3C12"/>
    <w:rsid w:val="004C3CF0"/>
    <w:rsid w:val="004C3CF2"/>
    <w:rsid w:val="004C3D78"/>
    <w:rsid w:val="004C3E58"/>
    <w:rsid w:val="004C42A9"/>
    <w:rsid w:val="004C42E3"/>
    <w:rsid w:val="004C4345"/>
    <w:rsid w:val="004C43AF"/>
    <w:rsid w:val="004C448B"/>
    <w:rsid w:val="004C4696"/>
    <w:rsid w:val="004C496E"/>
    <w:rsid w:val="004C49E5"/>
    <w:rsid w:val="004C4E13"/>
    <w:rsid w:val="004C4E5A"/>
    <w:rsid w:val="004C4EF7"/>
    <w:rsid w:val="004C4F02"/>
    <w:rsid w:val="004C505E"/>
    <w:rsid w:val="004C5239"/>
    <w:rsid w:val="004C5274"/>
    <w:rsid w:val="004C534D"/>
    <w:rsid w:val="004C549B"/>
    <w:rsid w:val="004C54B6"/>
    <w:rsid w:val="004C56A5"/>
    <w:rsid w:val="004C5972"/>
    <w:rsid w:val="004C5A91"/>
    <w:rsid w:val="004C5B11"/>
    <w:rsid w:val="004C605F"/>
    <w:rsid w:val="004C6188"/>
    <w:rsid w:val="004C6260"/>
    <w:rsid w:val="004C6539"/>
    <w:rsid w:val="004C653F"/>
    <w:rsid w:val="004C673A"/>
    <w:rsid w:val="004C6796"/>
    <w:rsid w:val="004C6A75"/>
    <w:rsid w:val="004C6AA7"/>
    <w:rsid w:val="004C6B0E"/>
    <w:rsid w:val="004C6CC3"/>
    <w:rsid w:val="004C6D60"/>
    <w:rsid w:val="004C6DF7"/>
    <w:rsid w:val="004C6E14"/>
    <w:rsid w:val="004C6E51"/>
    <w:rsid w:val="004C6EF5"/>
    <w:rsid w:val="004C7021"/>
    <w:rsid w:val="004C70D2"/>
    <w:rsid w:val="004C723E"/>
    <w:rsid w:val="004C72F0"/>
    <w:rsid w:val="004C73BF"/>
    <w:rsid w:val="004C74E4"/>
    <w:rsid w:val="004C7632"/>
    <w:rsid w:val="004C76DA"/>
    <w:rsid w:val="004C7742"/>
    <w:rsid w:val="004C7BD2"/>
    <w:rsid w:val="004C7CA7"/>
    <w:rsid w:val="004C7DCA"/>
    <w:rsid w:val="004C7E67"/>
    <w:rsid w:val="004D01D4"/>
    <w:rsid w:val="004D0321"/>
    <w:rsid w:val="004D042C"/>
    <w:rsid w:val="004D0503"/>
    <w:rsid w:val="004D0832"/>
    <w:rsid w:val="004D0840"/>
    <w:rsid w:val="004D08BE"/>
    <w:rsid w:val="004D0967"/>
    <w:rsid w:val="004D09A8"/>
    <w:rsid w:val="004D0A4B"/>
    <w:rsid w:val="004D0A5C"/>
    <w:rsid w:val="004D0B8B"/>
    <w:rsid w:val="004D0BBC"/>
    <w:rsid w:val="004D0EB1"/>
    <w:rsid w:val="004D0EBD"/>
    <w:rsid w:val="004D10EC"/>
    <w:rsid w:val="004D1242"/>
    <w:rsid w:val="004D12C6"/>
    <w:rsid w:val="004D1421"/>
    <w:rsid w:val="004D16B7"/>
    <w:rsid w:val="004D17A3"/>
    <w:rsid w:val="004D1935"/>
    <w:rsid w:val="004D1954"/>
    <w:rsid w:val="004D1AF9"/>
    <w:rsid w:val="004D1DB9"/>
    <w:rsid w:val="004D1DDE"/>
    <w:rsid w:val="004D1DED"/>
    <w:rsid w:val="004D1E3F"/>
    <w:rsid w:val="004D1E4B"/>
    <w:rsid w:val="004D1E5C"/>
    <w:rsid w:val="004D2083"/>
    <w:rsid w:val="004D2356"/>
    <w:rsid w:val="004D2439"/>
    <w:rsid w:val="004D245F"/>
    <w:rsid w:val="004D285C"/>
    <w:rsid w:val="004D29D1"/>
    <w:rsid w:val="004D2A23"/>
    <w:rsid w:val="004D2A3D"/>
    <w:rsid w:val="004D2C5B"/>
    <w:rsid w:val="004D2CAA"/>
    <w:rsid w:val="004D2D69"/>
    <w:rsid w:val="004D2D95"/>
    <w:rsid w:val="004D2EEB"/>
    <w:rsid w:val="004D2F09"/>
    <w:rsid w:val="004D2FC4"/>
    <w:rsid w:val="004D3324"/>
    <w:rsid w:val="004D34BB"/>
    <w:rsid w:val="004D362A"/>
    <w:rsid w:val="004D3796"/>
    <w:rsid w:val="004D37ED"/>
    <w:rsid w:val="004D3813"/>
    <w:rsid w:val="004D38E2"/>
    <w:rsid w:val="004D3A2E"/>
    <w:rsid w:val="004D3B36"/>
    <w:rsid w:val="004D3B61"/>
    <w:rsid w:val="004D3DD8"/>
    <w:rsid w:val="004D3E3A"/>
    <w:rsid w:val="004D3ECE"/>
    <w:rsid w:val="004D3F43"/>
    <w:rsid w:val="004D3FAF"/>
    <w:rsid w:val="004D40BC"/>
    <w:rsid w:val="004D4138"/>
    <w:rsid w:val="004D4185"/>
    <w:rsid w:val="004D434B"/>
    <w:rsid w:val="004D43BA"/>
    <w:rsid w:val="004D442E"/>
    <w:rsid w:val="004D44EA"/>
    <w:rsid w:val="004D4659"/>
    <w:rsid w:val="004D4739"/>
    <w:rsid w:val="004D4861"/>
    <w:rsid w:val="004D4882"/>
    <w:rsid w:val="004D49A7"/>
    <w:rsid w:val="004D4AD3"/>
    <w:rsid w:val="004D4B61"/>
    <w:rsid w:val="004D4C55"/>
    <w:rsid w:val="004D4C7F"/>
    <w:rsid w:val="004D4EC0"/>
    <w:rsid w:val="004D4F27"/>
    <w:rsid w:val="004D4FB0"/>
    <w:rsid w:val="004D4FB4"/>
    <w:rsid w:val="004D50AA"/>
    <w:rsid w:val="004D5288"/>
    <w:rsid w:val="004D5342"/>
    <w:rsid w:val="004D540C"/>
    <w:rsid w:val="004D5466"/>
    <w:rsid w:val="004D5589"/>
    <w:rsid w:val="004D5895"/>
    <w:rsid w:val="004D58FA"/>
    <w:rsid w:val="004D599F"/>
    <w:rsid w:val="004D5B74"/>
    <w:rsid w:val="004D5E88"/>
    <w:rsid w:val="004D5EBB"/>
    <w:rsid w:val="004D5FAC"/>
    <w:rsid w:val="004D6014"/>
    <w:rsid w:val="004D6039"/>
    <w:rsid w:val="004D60AB"/>
    <w:rsid w:val="004D60DA"/>
    <w:rsid w:val="004D6119"/>
    <w:rsid w:val="004D6189"/>
    <w:rsid w:val="004D623D"/>
    <w:rsid w:val="004D6372"/>
    <w:rsid w:val="004D65A0"/>
    <w:rsid w:val="004D65D3"/>
    <w:rsid w:val="004D6606"/>
    <w:rsid w:val="004D6979"/>
    <w:rsid w:val="004D6A5C"/>
    <w:rsid w:val="004D6C0C"/>
    <w:rsid w:val="004D6CD3"/>
    <w:rsid w:val="004D6D6E"/>
    <w:rsid w:val="004D6DF1"/>
    <w:rsid w:val="004D6E7C"/>
    <w:rsid w:val="004D6EA0"/>
    <w:rsid w:val="004D7064"/>
    <w:rsid w:val="004D7072"/>
    <w:rsid w:val="004D70D6"/>
    <w:rsid w:val="004D71F3"/>
    <w:rsid w:val="004D724B"/>
    <w:rsid w:val="004D7250"/>
    <w:rsid w:val="004D7361"/>
    <w:rsid w:val="004D7397"/>
    <w:rsid w:val="004D745D"/>
    <w:rsid w:val="004D756D"/>
    <w:rsid w:val="004D757C"/>
    <w:rsid w:val="004D766A"/>
    <w:rsid w:val="004D76F4"/>
    <w:rsid w:val="004D77A1"/>
    <w:rsid w:val="004D787C"/>
    <w:rsid w:val="004D79BE"/>
    <w:rsid w:val="004D7C7B"/>
    <w:rsid w:val="004D7E25"/>
    <w:rsid w:val="004D7F33"/>
    <w:rsid w:val="004D7F50"/>
    <w:rsid w:val="004D7FC1"/>
    <w:rsid w:val="004E0125"/>
    <w:rsid w:val="004E015E"/>
    <w:rsid w:val="004E0179"/>
    <w:rsid w:val="004E026D"/>
    <w:rsid w:val="004E0323"/>
    <w:rsid w:val="004E05DB"/>
    <w:rsid w:val="004E0631"/>
    <w:rsid w:val="004E0651"/>
    <w:rsid w:val="004E0677"/>
    <w:rsid w:val="004E085E"/>
    <w:rsid w:val="004E0917"/>
    <w:rsid w:val="004E0B3D"/>
    <w:rsid w:val="004E10A3"/>
    <w:rsid w:val="004E115E"/>
    <w:rsid w:val="004E11C4"/>
    <w:rsid w:val="004E12E5"/>
    <w:rsid w:val="004E13EC"/>
    <w:rsid w:val="004E1420"/>
    <w:rsid w:val="004E17F4"/>
    <w:rsid w:val="004E1878"/>
    <w:rsid w:val="004E1CCF"/>
    <w:rsid w:val="004E1D05"/>
    <w:rsid w:val="004E1D7C"/>
    <w:rsid w:val="004E1E57"/>
    <w:rsid w:val="004E1FED"/>
    <w:rsid w:val="004E2039"/>
    <w:rsid w:val="004E21E3"/>
    <w:rsid w:val="004E220D"/>
    <w:rsid w:val="004E2319"/>
    <w:rsid w:val="004E2356"/>
    <w:rsid w:val="004E2413"/>
    <w:rsid w:val="004E24DB"/>
    <w:rsid w:val="004E2535"/>
    <w:rsid w:val="004E25F5"/>
    <w:rsid w:val="004E277A"/>
    <w:rsid w:val="004E27EA"/>
    <w:rsid w:val="004E285A"/>
    <w:rsid w:val="004E2902"/>
    <w:rsid w:val="004E2A42"/>
    <w:rsid w:val="004E2BDD"/>
    <w:rsid w:val="004E2BE0"/>
    <w:rsid w:val="004E2C89"/>
    <w:rsid w:val="004E2F1D"/>
    <w:rsid w:val="004E3140"/>
    <w:rsid w:val="004E3165"/>
    <w:rsid w:val="004E32DB"/>
    <w:rsid w:val="004E33E5"/>
    <w:rsid w:val="004E3495"/>
    <w:rsid w:val="004E3589"/>
    <w:rsid w:val="004E379F"/>
    <w:rsid w:val="004E385E"/>
    <w:rsid w:val="004E3D76"/>
    <w:rsid w:val="004E3D81"/>
    <w:rsid w:val="004E3F6E"/>
    <w:rsid w:val="004E4090"/>
    <w:rsid w:val="004E41CD"/>
    <w:rsid w:val="004E41FE"/>
    <w:rsid w:val="004E4312"/>
    <w:rsid w:val="004E4412"/>
    <w:rsid w:val="004E4465"/>
    <w:rsid w:val="004E44C9"/>
    <w:rsid w:val="004E459A"/>
    <w:rsid w:val="004E45FF"/>
    <w:rsid w:val="004E46D6"/>
    <w:rsid w:val="004E4722"/>
    <w:rsid w:val="004E4832"/>
    <w:rsid w:val="004E4A7D"/>
    <w:rsid w:val="004E4DBC"/>
    <w:rsid w:val="004E4DF7"/>
    <w:rsid w:val="004E50E7"/>
    <w:rsid w:val="004E51D3"/>
    <w:rsid w:val="004E5269"/>
    <w:rsid w:val="004E52CF"/>
    <w:rsid w:val="004E53F0"/>
    <w:rsid w:val="004E55E1"/>
    <w:rsid w:val="004E5764"/>
    <w:rsid w:val="004E5795"/>
    <w:rsid w:val="004E5946"/>
    <w:rsid w:val="004E5A92"/>
    <w:rsid w:val="004E5B6F"/>
    <w:rsid w:val="004E5BE4"/>
    <w:rsid w:val="004E5C64"/>
    <w:rsid w:val="004E5CC4"/>
    <w:rsid w:val="004E5EF5"/>
    <w:rsid w:val="004E5FE7"/>
    <w:rsid w:val="004E6106"/>
    <w:rsid w:val="004E614B"/>
    <w:rsid w:val="004E61D3"/>
    <w:rsid w:val="004E65DA"/>
    <w:rsid w:val="004E66F2"/>
    <w:rsid w:val="004E67F0"/>
    <w:rsid w:val="004E6A31"/>
    <w:rsid w:val="004E6B7A"/>
    <w:rsid w:val="004E6C87"/>
    <w:rsid w:val="004E6DBB"/>
    <w:rsid w:val="004E6E1D"/>
    <w:rsid w:val="004E6E68"/>
    <w:rsid w:val="004E6E69"/>
    <w:rsid w:val="004E6FC6"/>
    <w:rsid w:val="004E700F"/>
    <w:rsid w:val="004E7022"/>
    <w:rsid w:val="004E7245"/>
    <w:rsid w:val="004E740B"/>
    <w:rsid w:val="004E7563"/>
    <w:rsid w:val="004E761B"/>
    <w:rsid w:val="004E779C"/>
    <w:rsid w:val="004E7852"/>
    <w:rsid w:val="004E7997"/>
    <w:rsid w:val="004E7A40"/>
    <w:rsid w:val="004E7A52"/>
    <w:rsid w:val="004E7A77"/>
    <w:rsid w:val="004E7B5E"/>
    <w:rsid w:val="004E7D2D"/>
    <w:rsid w:val="004E7D36"/>
    <w:rsid w:val="004E7F13"/>
    <w:rsid w:val="004E7F6D"/>
    <w:rsid w:val="004F01B6"/>
    <w:rsid w:val="004F023F"/>
    <w:rsid w:val="004F02D4"/>
    <w:rsid w:val="004F0337"/>
    <w:rsid w:val="004F0741"/>
    <w:rsid w:val="004F079D"/>
    <w:rsid w:val="004F081F"/>
    <w:rsid w:val="004F0904"/>
    <w:rsid w:val="004F093E"/>
    <w:rsid w:val="004F0AB4"/>
    <w:rsid w:val="004F0ABE"/>
    <w:rsid w:val="004F0C21"/>
    <w:rsid w:val="004F0E84"/>
    <w:rsid w:val="004F0ED1"/>
    <w:rsid w:val="004F0F43"/>
    <w:rsid w:val="004F109F"/>
    <w:rsid w:val="004F1329"/>
    <w:rsid w:val="004F141A"/>
    <w:rsid w:val="004F1473"/>
    <w:rsid w:val="004F14CD"/>
    <w:rsid w:val="004F156A"/>
    <w:rsid w:val="004F16FB"/>
    <w:rsid w:val="004F190C"/>
    <w:rsid w:val="004F1A60"/>
    <w:rsid w:val="004F1AFD"/>
    <w:rsid w:val="004F1B4D"/>
    <w:rsid w:val="004F1D5B"/>
    <w:rsid w:val="004F1E6D"/>
    <w:rsid w:val="004F1EA9"/>
    <w:rsid w:val="004F1EC7"/>
    <w:rsid w:val="004F2010"/>
    <w:rsid w:val="004F2028"/>
    <w:rsid w:val="004F2083"/>
    <w:rsid w:val="004F21B9"/>
    <w:rsid w:val="004F2276"/>
    <w:rsid w:val="004F2463"/>
    <w:rsid w:val="004F25BB"/>
    <w:rsid w:val="004F25E2"/>
    <w:rsid w:val="004F262B"/>
    <w:rsid w:val="004F2695"/>
    <w:rsid w:val="004F28C5"/>
    <w:rsid w:val="004F290E"/>
    <w:rsid w:val="004F2AAE"/>
    <w:rsid w:val="004F2B16"/>
    <w:rsid w:val="004F2C17"/>
    <w:rsid w:val="004F2DC0"/>
    <w:rsid w:val="004F2DD9"/>
    <w:rsid w:val="004F2FD8"/>
    <w:rsid w:val="004F32A8"/>
    <w:rsid w:val="004F330B"/>
    <w:rsid w:val="004F3859"/>
    <w:rsid w:val="004F389F"/>
    <w:rsid w:val="004F39A5"/>
    <w:rsid w:val="004F3F18"/>
    <w:rsid w:val="004F40C4"/>
    <w:rsid w:val="004F410E"/>
    <w:rsid w:val="004F416D"/>
    <w:rsid w:val="004F41FF"/>
    <w:rsid w:val="004F433B"/>
    <w:rsid w:val="004F441C"/>
    <w:rsid w:val="004F44C5"/>
    <w:rsid w:val="004F44FD"/>
    <w:rsid w:val="004F4514"/>
    <w:rsid w:val="004F45BB"/>
    <w:rsid w:val="004F4658"/>
    <w:rsid w:val="004F4832"/>
    <w:rsid w:val="004F48D3"/>
    <w:rsid w:val="004F4927"/>
    <w:rsid w:val="004F4C8D"/>
    <w:rsid w:val="004F4D3B"/>
    <w:rsid w:val="004F4DF7"/>
    <w:rsid w:val="004F4EA2"/>
    <w:rsid w:val="004F4EE4"/>
    <w:rsid w:val="004F4F19"/>
    <w:rsid w:val="004F4FC6"/>
    <w:rsid w:val="004F508D"/>
    <w:rsid w:val="004F50CE"/>
    <w:rsid w:val="004F5287"/>
    <w:rsid w:val="004F543C"/>
    <w:rsid w:val="004F544D"/>
    <w:rsid w:val="004F54CB"/>
    <w:rsid w:val="004F5552"/>
    <w:rsid w:val="004F559D"/>
    <w:rsid w:val="004F5637"/>
    <w:rsid w:val="004F568E"/>
    <w:rsid w:val="004F584D"/>
    <w:rsid w:val="004F589B"/>
    <w:rsid w:val="004F599A"/>
    <w:rsid w:val="004F5A06"/>
    <w:rsid w:val="004F5A66"/>
    <w:rsid w:val="004F5B47"/>
    <w:rsid w:val="004F5B5E"/>
    <w:rsid w:val="004F5DD2"/>
    <w:rsid w:val="004F5F48"/>
    <w:rsid w:val="004F5F9A"/>
    <w:rsid w:val="004F6129"/>
    <w:rsid w:val="004F61E6"/>
    <w:rsid w:val="004F620D"/>
    <w:rsid w:val="004F626E"/>
    <w:rsid w:val="004F64CD"/>
    <w:rsid w:val="004F658D"/>
    <w:rsid w:val="004F65AB"/>
    <w:rsid w:val="004F660B"/>
    <w:rsid w:val="004F696B"/>
    <w:rsid w:val="004F6981"/>
    <w:rsid w:val="004F6BB1"/>
    <w:rsid w:val="004F6CD0"/>
    <w:rsid w:val="004F6D24"/>
    <w:rsid w:val="004F6E16"/>
    <w:rsid w:val="004F6E1C"/>
    <w:rsid w:val="004F70D1"/>
    <w:rsid w:val="004F70DE"/>
    <w:rsid w:val="004F7232"/>
    <w:rsid w:val="004F743B"/>
    <w:rsid w:val="004F77FC"/>
    <w:rsid w:val="004F78F8"/>
    <w:rsid w:val="004F79B0"/>
    <w:rsid w:val="004F79E7"/>
    <w:rsid w:val="004F7A01"/>
    <w:rsid w:val="004F7B8C"/>
    <w:rsid w:val="004F7BD4"/>
    <w:rsid w:val="004F7C62"/>
    <w:rsid w:val="004F7E51"/>
    <w:rsid w:val="004F7E81"/>
    <w:rsid w:val="004F7F4D"/>
    <w:rsid w:val="005000BD"/>
    <w:rsid w:val="00500157"/>
    <w:rsid w:val="005001E2"/>
    <w:rsid w:val="005001F3"/>
    <w:rsid w:val="005004B9"/>
    <w:rsid w:val="00500511"/>
    <w:rsid w:val="00500574"/>
    <w:rsid w:val="005006A9"/>
    <w:rsid w:val="00500923"/>
    <w:rsid w:val="0050095E"/>
    <w:rsid w:val="00500A12"/>
    <w:rsid w:val="00500E89"/>
    <w:rsid w:val="0050100C"/>
    <w:rsid w:val="0050111E"/>
    <w:rsid w:val="00501172"/>
    <w:rsid w:val="00501444"/>
    <w:rsid w:val="0050144A"/>
    <w:rsid w:val="005015AF"/>
    <w:rsid w:val="005015FE"/>
    <w:rsid w:val="00501711"/>
    <w:rsid w:val="0050176E"/>
    <w:rsid w:val="005017E3"/>
    <w:rsid w:val="005018C4"/>
    <w:rsid w:val="005019D0"/>
    <w:rsid w:val="00501A9A"/>
    <w:rsid w:val="00501AAA"/>
    <w:rsid w:val="00501C68"/>
    <w:rsid w:val="00501CA7"/>
    <w:rsid w:val="00501E4B"/>
    <w:rsid w:val="00501E69"/>
    <w:rsid w:val="00501EDF"/>
    <w:rsid w:val="00502175"/>
    <w:rsid w:val="005021D3"/>
    <w:rsid w:val="00502294"/>
    <w:rsid w:val="0050242F"/>
    <w:rsid w:val="00502646"/>
    <w:rsid w:val="005026EA"/>
    <w:rsid w:val="00502810"/>
    <w:rsid w:val="00502891"/>
    <w:rsid w:val="00502FB5"/>
    <w:rsid w:val="00503200"/>
    <w:rsid w:val="00503267"/>
    <w:rsid w:val="0050328B"/>
    <w:rsid w:val="0050330B"/>
    <w:rsid w:val="005033AD"/>
    <w:rsid w:val="005033C2"/>
    <w:rsid w:val="00503407"/>
    <w:rsid w:val="00503457"/>
    <w:rsid w:val="00503A71"/>
    <w:rsid w:val="00503BCA"/>
    <w:rsid w:val="00503C28"/>
    <w:rsid w:val="00503C49"/>
    <w:rsid w:val="00503CE2"/>
    <w:rsid w:val="00503D86"/>
    <w:rsid w:val="00503E6A"/>
    <w:rsid w:val="0050426B"/>
    <w:rsid w:val="005047DA"/>
    <w:rsid w:val="0050494B"/>
    <w:rsid w:val="00504965"/>
    <w:rsid w:val="00504A83"/>
    <w:rsid w:val="00504E20"/>
    <w:rsid w:val="00505423"/>
    <w:rsid w:val="0050554E"/>
    <w:rsid w:val="005055DE"/>
    <w:rsid w:val="005057A2"/>
    <w:rsid w:val="00505B62"/>
    <w:rsid w:val="00505DAA"/>
    <w:rsid w:val="00505E3C"/>
    <w:rsid w:val="00505F83"/>
    <w:rsid w:val="005061B4"/>
    <w:rsid w:val="00506219"/>
    <w:rsid w:val="0050624D"/>
    <w:rsid w:val="0050627B"/>
    <w:rsid w:val="00506406"/>
    <w:rsid w:val="00506416"/>
    <w:rsid w:val="0050645A"/>
    <w:rsid w:val="00506620"/>
    <w:rsid w:val="005067AD"/>
    <w:rsid w:val="005069A7"/>
    <w:rsid w:val="00506DBA"/>
    <w:rsid w:val="00507307"/>
    <w:rsid w:val="0050734C"/>
    <w:rsid w:val="00507575"/>
    <w:rsid w:val="00507588"/>
    <w:rsid w:val="0050791A"/>
    <w:rsid w:val="00507A42"/>
    <w:rsid w:val="00507AB5"/>
    <w:rsid w:val="00507C61"/>
    <w:rsid w:val="00507CCC"/>
    <w:rsid w:val="00507E17"/>
    <w:rsid w:val="00507E85"/>
    <w:rsid w:val="00510194"/>
    <w:rsid w:val="00510221"/>
    <w:rsid w:val="005103CC"/>
    <w:rsid w:val="0051048E"/>
    <w:rsid w:val="005104B6"/>
    <w:rsid w:val="0051050A"/>
    <w:rsid w:val="005105F4"/>
    <w:rsid w:val="005106CA"/>
    <w:rsid w:val="00510A31"/>
    <w:rsid w:val="00510B1C"/>
    <w:rsid w:val="00510BF3"/>
    <w:rsid w:val="00510C3B"/>
    <w:rsid w:val="00510C3D"/>
    <w:rsid w:val="00510C66"/>
    <w:rsid w:val="00510C83"/>
    <w:rsid w:val="00510CE5"/>
    <w:rsid w:val="00510CE6"/>
    <w:rsid w:val="00510D09"/>
    <w:rsid w:val="00510F56"/>
    <w:rsid w:val="00510FE6"/>
    <w:rsid w:val="0051107C"/>
    <w:rsid w:val="005110AC"/>
    <w:rsid w:val="0051129E"/>
    <w:rsid w:val="005112ED"/>
    <w:rsid w:val="00511300"/>
    <w:rsid w:val="0051130D"/>
    <w:rsid w:val="0051136D"/>
    <w:rsid w:val="00511506"/>
    <w:rsid w:val="005115D9"/>
    <w:rsid w:val="005116F4"/>
    <w:rsid w:val="00511987"/>
    <w:rsid w:val="00511A0A"/>
    <w:rsid w:val="00511AB2"/>
    <w:rsid w:val="00511AC5"/>
    <w:rsid w:val="00511BFA"/>
    <w:rsid w:val="00511CEF"/>
    <w:rsid w:val="00511E15"/>
    <w:rsid w:val="00512282"/>
    <w:rsid w:val="005122D5"/>
    <w:rsid w:val="00512353"/>
    <w:rsid w:val="005124C7"/>
    <w:rsid w:val="0051259A"/>
    <w:rsid w:val="00512704"/>
    <w:rsid w:val="00512A00"/>
    <w:rsid w:val="00512B1C"/>
    <w:rsid w:val="00512B29"/>
    <w:rsid w:val="00512B7B"/>
    <w:rsid w:val="00512B8B"/>
    <w:rsid w:val="00512CF4"/>
    <w:rsid w:val="00512E4F"/>
    <w:rsid w:val="00513120"/>
    <w:rsid w:val="00513197"/>
    <w:rsid w:val="005131F6"/>
    <w:rsid w:val="00513392"/>
    <w:rsid w:val="005133EF"/>
    <w:rsid w:val="0051354F"/>
    <w:rsid w:val="00513600"/>
    <w:rsid w:val="0051387F"/>
    <w:rsid w:val="005139E1"/>
    <w:rsid w:val="00513B16"/>
    <w:rsid w:val="00513C14"/>
    <w:rsid w:val="00513D6A"/>
    <w:rsid w:val="005140C0"/>
    <w:rsid w:val="005141A0"/>
    <w:rsid w:val="005141AA"/>
    <w:rsid w:val="00514323"/>
    <w:rsid w:val="0051448C"/>
    <w:rsid w:val="00514703"/>
    <w:rsid w:val="00514793"/>
    <w:rsid w:val="005147CC"/>
    <w:rsid w:val="005147E9"/>
    <w:rsid w:val="0051482D"/>
    <w:rsid w:val="005148AE"/>
    <w:rsid w:val="00514A8A"/>
    <w:rsid w:val="00514CA6"/>
    <w:rsid w:val="00514CB6"/>
    <w:rsid w:val="00514CDD"/>
    <w:rsid w:val="00514FFA"/>
    <w:rsid w:val="00515142"/>
    <w:rsid w:val="00515211"/>
    <w:rsid w:val="00515421"/>
    <w:rsid w:val="0051567E"/>
    <w:rsid w:val="005159A3"/>
    <w:rsid w:val="00515ABD"/>
    <w:rsid w:val="00515B0D"/>
    <w:rsid w:val="00515C9F"/>
    <w:rsid w:val="00515FAD"/>
    <w:rsid w:val="00515FB8"/>
    <w:rsid w:val="00515FBF"/>
    <w:rsid w:val="00516177"/>
    <w:rsid w:val="0051617B"/>
    <w:rsid w:val="00516264"/>
    <w:rsid w:val="005164E7"/>
    <w:rsid w:val="00516722"/>
    <w:rsid w:val="005167A0"/>
    <w:rsid w:val="005167A4"/>
    <w:rsid w:val="0051682E"/>
    <w:rsid w:val="0051683C"/>
    <w:rsid w:val="005168B9"/>
    <w:rsid w:val="005168EE"/>
    <w:rsid w:val="005169DC"/>
    <w:rsid w:val="00516A12"/>
    <w:rsid w:val="00516ABE"/>
    <w:rsid w:val="00516BBF"/>
    <w:rsid w:val="00517369"/>
    <w:rsid w:val="005174A6"/>
    <w:rsid w:val="00517659"/>
    <w:rsid w:val="0051784D"/>
    <w:rsid w:val="00517AD9"/>
    <w:rsid w:val="00517B0F"/>
    <w:rsid w:val="00517B22"/>
    <w:rsid w:val="00517E67"/>
    <w:rsid w:val="00517FB4"/>
    <w:rsid w:val="005200BD"/>
    <w:rsid w:val="0052015E"/>
    <w:rsid w:val="0052025E"/>
    <w:rsid w:val="005205B0"/>
    <w:rsid w:val="005205D9"/>
    <w:rsid w:val="005206CB"/>
    <w:rsid w:val="00520884"/>
    <w:rsid w:val="00520893"/>
    <w:rsid w:val="00520AA5"/>
    <w:rsid w:val="00520B5F"/>
    <w:rsid w:val="00520BD7"/>
    <w:rsid w:val="00520C4F"/>
    <w:rsid w:val="00520EB9"/>
    <w:rsid w:val="005210A3"/>
    <w:rsid w:val="005210AF"/>
    <w:rsid w:val="005212B2"/>
    <w:rsid w:val="00521527"/>
    <w:rsid w:val="005217F1"/>
    <w:rsid w:val="005217F3"/>
    <w:rsid w:val="00521874"/>
    <w:rsid w:val="00521C51"/>
    <w:rsid w:val="00521CE0"/>
    <w:rsid w:val="00521F8B"/>
    <w:rsid w:val="00521FDE"/>
    <w:rsid w:val="0052213D"/>
    <w:rsid w:val="005221D1"/>
    <w:rsid w:val="005222CA"/>
    <w:rsid w:val="00522352"/>
    <w:rsid w:val="00522499"/>
    <w:rsid w:val="005224C0"/>
    <w:rsid w:val="005224F9"/>
    <w:rsid w:val="0052272D"/>
    <w:rsid w:val="00522830"/>
    <w:rsid w:val="00522908"/>
    <w:rsid w:val="00522959"/>
    <w:rsid w:val="00522C1E"/>
    <w:rsid w:val="00522DE6"/>
    <w:rsid w:val="00522EDD"/>
    <w:rsid w:val="00523062"/>
    <w:rsid w:val="00523176"/>
    <w:rsid w:val="00523443"/>
    <w:rsid w:val="00523482"/>
    <w:rsid w:val="00523793"/>
    <w:rsid w:val="00523B39"/>
    <w:rsid w:val="00523BDD"/>
    <w:rsid w:val="00523C69"/>
    <w:rsid w:val="00523C86"/>
    <w:rsid w:val="00523EBC"/>
    <w:rsid w:val="00523EE5"/>
    <w:rsid w:val="00523F3F"/>
    <w:rsid w:val="0052442B"/>
    <w:rsid w:val="0052450B"/>
    <w:rsid w:val="0052456E"/>
    <w:rsid w:val="005247E2"/>
    <w:rsid w:val="00524803"/>
    <w:rsid w:val="005248BB"/>
    <w:rsid w:val="00524A9F"/>
    <w:rsid w:val="00524AEF"/>
    <w:rsid w:val="00524B78"/>
    <w:rsid w:val="00524BE7"/>
    <w:rsid w:val="00524D46"/>
    <w:rsid w:val="00524ED1"/>
    <w:rsid w:val="00524EDC"/>
    <w:rsid w:val="00525079"/>
    <w:rsid w:val="005251C2"/>
    <w:rsid w:val="005251E2"/>
    <w:rsid w:val="005252D3"/>
    <w:rsid w:val="0052533C"/>
    <w:rsid w:val="0052537C"/>
    <w:rsid w:val="00525416"/>
    <w:rsid w:val="00525750"/>
    <w:rsid w:val="005258C3"/>
    <w:rsid w:val="00525B33"/>
    <w:rsid w:val="00525D7E"/>
    <w:rsid w:val="00525DFB"/>
    <w:rsid w:val="00525F3C"/>
    <w:rsid w:val="00525F71"/>
    <w:rsid w:val="00525FF9"/>
    <w:rsid w:val="005260DF"/>
    <w:rsid w:val="005261DF"/>
    <w:rsid w:val="00526259"/>
    <w:rsid w:val="00526527"/>
    <w:rsid w:val="005265A1"/>
    <w:rsid w:val="00526603"/>
    <w:rsid w:val="00526724"/>
    <w:rsid w:val="005267D3"/>
    <w:rsid w:val="005267E1"/>
    <w:rsid w:val="00526958"/>
    <w:rsid w:val="00526ABD"/>
    <w:rsid w:val="00526AE8"/>
    <w:rsid w:val="00526BEA"/>
    <w:rsid w:val="00526C50"/>
    <w:rsid w:val="00526F68"/>
    <w:rsid w:val="00526F9E"/>
    <w:rsid w:val="00526FBF"/>
    <w:rsid w:val="00527233"/>
    <w:rsid w:val="00527418"/>
    <w:rsid w:val="005274F0"/>
    <w:rsid w:val="0052750C"/>
    <w:rsid w:val="00527520"/>
    <w:rsid w:val="005275D6"/>
    <w:rsid w:val="005276BF"/>
    <w:rsid w:val="0052778C"/>
    <w:rsid w:val="00527822"/>
    <w:rsid w:val="00527941"/>
    <w:rsid w:val="00527AAA"/>
    <w:rsid w:val="00527D60"/>
    <w:rsid w:val="00527DD9"/>
    <w:rsid w:val="00527F85"/>
    <w:rsid w:val="00527FDB"/>
    <w:rsid w:val="0053009D"/>
    <w:rsid w:val="0053013C"/>
    <w:rsid w:val="00530156"/>
    <w:rsid w:val="005303D5"/>
    <w:rsid w:val="00530407"/>
    <w:rsid w:val="0053041B"/>
    <w:rsid w:val="00530456"/>
    <w:rsid w:val="0053072D"/>
    <w:rsid w:val="0053086D"/>
    <w:rsid w:val="0053099C"/>
    <w:rsid w:val="00530B2B"/>
    <w:rsid w:val="00530B92"/>
    <w:rsid w:val="00530CD6"/>
    <w:rsid w:val="00530DD0"/>
    <w:rsid w:val="00530F05"/>
    <w:rsid w:val="005310F8"/>
    <w:rsid w:val="00531112"/>
    <w:rsid w:val="0053126B"/>
    <w:rsid w:val="0053133B"/>
    <w:rsid w:val="0053135B"/>
    <w:rsid w:val="0053144E"/>
    <w:rsid w:val="00531501"/>
    <w:rsid w:val="005315A7"/>
    <w:rsid w:val="00531693"/>
    <w:rsid w:val="005317A7"/>
    <w:rsid w:val="005319D5"/>
    <w:rsid w:val="005319F7"/>
    <w:rsid w:val="00531D12"/>
    <w:rsid w:val="00532191"/>
    <w:rsid w:val="00532233"/>
    <w:rsid w:val="00532320"/>
    <w:rsid w:val="0053235C"/>
    <w:rsid w:val="00532501"/>
    <w:rsid w:val="0053266E"/>
    <w:rsid w:val="0053281C"/>
    <w:rsid w:val="00532860"/>
    <w:rsid w:val="005329B3"/>
    <w:rsid w:val="00532AC8"/>
    <w:rsid w:val="00532AE6"/>
    <w:rsid w:val="005331BD"/>
    <w:rsid w:val="005332C6"/>
    <w:rsid w:val="005333EC"/>
    <w:rsid w:val="00533436"/>
    <w:rsid w:val="00533529"/>
    <w:rsid w:val="0053368C"/>
    <w:rsid w:val="0053377D"/>
    <w:rsid w:val="005337D6"/>
    <w:rsid w:val="005338C0"/>
    <w:rsid w:val="0053392D"/>
    <w:rsid w:val="00533AE5"/>
    <w:rsid w:val="00533B71"/>
    <w:rsid w:val="00533B8F"/>
    <w:rsid w:val="00533C22"/>
    <w:rsid w:val="00533DAC"/>
    <w:rsid w:val="00533DBF"/>
    <w:rsid w:val="00534163"/>
    <w:rsid w:val="00534647"/>
    <w:rsid w:val="00534779"/>
    <w:rsid w:val="005347C2"/>
    <w:rsid w:val="0053482D"/>
    <w:rsid w:val="00534B35"/>
    <w:rsid w:val="00534C84"/>
    <w:rsid w:val="00535023"/>
    <w:rsid w:val="00535551"/>
    <w:rsid w:val="00535AB4"/>
    <w:rsid w:val="00535B45"/>
    <w:rsid w:val="00535BB3"/>
    <w:rsid w:val="00535D25"/>
    <w:rsid w:val="00536198"/>
    <w:rsid w:val="00536373"/>
    <w:rsid w:val="00536375"/>
    <w:rsid w:val="00536685"/>
    <w:rsid w:val="0053669C"/>
    <w:rsid w:val="0053681C"/>
    <w:rsid w:val="00536852"/>
    <w:rsid w:val="005368DA"/>
    <w:rsid w:val="005369B8"/>
    <w:rsid w:val="00536B4D"/>
    <w:rsid w:val="00536C72"/>
    <w:rsid w:val="00536DF6"/>
    <w:rsid w:val="00536E4A"/>
    <w:rsid w:val="00536F01"/>
    <w:rsid w:val="00537004"/>
    <w:rsid w:val="0053706F"/>
    <w:rsid w:val="005370B0"/>
    <w:rsid w:val="00537109"/>
    <w:rsid w:val="0053710D"/>
    <w:rsid w:val="0053732A"/>
    <w:rsid w:val="0053739C"/>
    <w:rsid w:val="005373AA"/>
    <w:rsid w:val="005373AE"/>
    <w:rsid w:val="00537476"/>
    <w:rsid w:val="00537495"/>
    <w:rsid w:val="005376E8"/>
    <w:rsid w:val="00537777"/>
    <w:rsid w:val="005377B2"/>
    <w:rsid w:val="0053791E"/>
    <w:rsid w:val="00537962"/>
    <w:rsid w:val="00537A89"/>
    <w:rsid w:val="00537AA0"/>
    <w:rsid w:val="00537AD0"/>
    <w:rsid w:val="00537C41"/>
    <w:rsid w:val="0054039E"/>
    <w:rsid w:val="005403B1"/>
    <w:rsid w:val="005403B3"/>
    <w:rsid w:val="00540406"/>
    <w:rsid w:val="005404E9"/>
    <w:rsid w:val="00540637"/>
    <w:rsid w:val="005407A4"/>
    <w:rsid w:val="00540808"/>
    <w:rsid w:val="00540849"/>
    <w:rsid w:val="0054098D"/>
    <w:rsid w:val="00540C56"/>
    <w:rsid w:val="00540C60"/>
    <w:rsid w:val="00540C8D"/>
    <w:rsid w:val="00540F9C"/>
    <w:rsid w:val="00540FFF"/>
    <w:rsid w:val="0054101D"/>
    <w:rsid w:val="00541203"/>
    <w:rsid w:val="005412EE"/>
    <w:rsid w:val="00541392"/>
    <w:rsid w:val="005414FD"/>
    <w:rsid w:val="005415D1"/>
    <w:rsid w:val="00541735"/>
    <w:rsid w:val="00541BDE"/>
    <w:rsid w:val="00541C38"/>
    <w:rsid w:val="00541C92"/>
    <w:rsid w:val="00541DE9"/>
    <w:rsid w:val="00541E21"/>
    <w:rsid w:val="00541E5D"/>
    <w:rsid w:val="00542038"/>
    <w:rsid w:val="00542051"/>
    <w:rsid w:val="005420B8"/>
    <w:rsid w:val="005421D6"/>
    <w:rsid w:val="005422A6"/>
    <w:rsid w:val="005423E3"/>
    <w:rsid w:val="00542463"/>
    <w:rsid w:val="005424B2"/>
    <w:rsid w:val="005425AE"/>
    <w:rsid w:val="005425E2"/>
    <w:rsid w:val="00542790"/>
    <w:rsid w:val="00542940"/>
    <w:rsid w:val="00542957"/>
    <w:rsid w:val="00542A49"/>
    <w:rsid w:val="00542A74"/>
    <w:rsid w:val="00542A78"/>
    <w:rsid w:val="00542B59"/>
    <w:rsid w:val="00542BFC"/>
    <w:rsid w:val="00542E81"/>
    <w:rsid w:val="00542EF5"/>
    <w:rsid w:val="00543227"/>
    <w:rsid w:val="005432F5"/>
    <w:rsid w:val="00543312"/>
    <w:rsid w:val="0054350D"/>
    <w:rsid w:val="005435A6"/>
    <w:rsid w:val="005435BC"/>
    <w:rsid w:val="005435BE"/>
    <w:rsid w:val="005439A3"/>
    <w:rsid w:val="00543D94"/>
    <w:rsid w:val="00543DD9"/>
    <w:rsid w:val="00543EE2"/>
    <w:rsid w:val="00543F59"/>
    <w:rsid w:val="00543FA9"/>
    <w:rsid w:val="00543FD3"/>
    <w:rsid w:val="00544130"/>
    <w:rsid w:val="00544133"/>
    <w:rsid w:val="0054431E"/>
    <w:rsid w:val="00544675"/>
    <w:rsid w:val="005447B1"/>
    <w:rsid w:val="00544B1E"/>
    <w:rsid w:val="00544BD6"/>
    <w:rsid w:val="00544E09"/>
    <w:rsid w:val="00544EAB"/>
    <w:rsid w:val="00544F84"/>
    <w:rsid w:val="0054503F"/>
    <w:rsid w:val="00545217"/>
    <w:rsid w:val="00545335"/>
    <w:rsid w:val="0054549C"/>
    <w:rsid w:val="005454DA"/>
    <w:rsid w:val="0054550D"/>
    <w:rsid w:val="00545636"/>
    <w:rsid w:val="00545954"/>
    <w:rsid w:val="00545F18"/>
    <w:rsid w:val="00546073"/>
    <w:rsid w:val="005460DB"/>
    <w:rsid w:val="00546106"/>
    <w:rsid w:val="00546147"/>
    <w:rsid w:val="005468B6"/>
    <w:rsid w:val="005469E7"/>
    <w:rsid w:val="00546AA7"/>
    <w:rsid w:val="00546C31"/>
    <w:rsid w:val="00546CED"/>
    <w:rsid w:val="00546FC7"/>
    <w:rsid w:val="0054745D"/>
    <w:rsid w:val="00547489"/>
    <w:rsid w:val="0054748D"/>
    <w:rsid w:val="00547505"/>
    <w:rsid w:val="00547696"/>
    <w:rsid w:val="0054780E"/>
    <w:rsid w:val="00547BD5"/>
    <w:rsid w:val="00547E6F"/>
    <w:rsid w:val="00547F41"/>
    <w:rsid w:val="00547F86"/>
    <w:rsid w:val="00550004"/>
    <w:rsid w:val="0055021B"/>
    <w:rsid w:val="005504E0"/>
    <w:rsid w:val="005504E6"/>
    <w:rsid w:val="00550580"/>
    <w:rsid w:val="005506EA"/>
    <w:rsid w:val="00550794"/>
    <w:rsid w:val="00550AC9"/>
    <w:rsid w:val="00550B07"/>
    <w:rsid w:val="00550C9F"/>
    <w:rsid w:val="00550D69"/>
    <w:rsid w:val="00550FE5"/>
    <w:rsid w:val="005512E6"/>
    <w:rsid w:val="00551330"/>
    <w:rsid w:val="00551358"/>
    <w:rsid w:val="00551380"/>
    <w:rsid w:val="005513D5"/>
    <w:rsid w:val="005514B4"/>
    <w:rsid w:val="0055150C"/>
    <w:rsid w:val="0055160A"/>
    <w:rsid w:val="005516CF"/>
    <w:rsid w:val="0055176C"/>
    <w:rsid w:val="00551813"/>
    <w:rsid w:val="0055189A"/>
    <w:rsid w:val="005518CE"/>
    <w:rsid w:val="00551966"/>
    <w:rsid w:val="00551A14"/>
    <w:rsid w:val="00551A78"/>
    <w:rsid w:val="00551AB5"/>
    <w:rsid w:val="00551BA7"/>
    <w:rsid w:val="00551C55"/>
    <w:rsid w:val="00551DA8"/>
    <w:rsid w:val="00551DE3"/>
    <w:rsid w:val="00551FA3"/>
    <w:rsid w:val="00552042"/>
    <w:rsid w:val="00552079"/>
    <w:rsid w:val="00552154"/>
    <w:rsid w:val="0055255B"/>
    <w:rsid w:val="0055258A"/>
    <w:rsid w:val="00552817"/>
    <w:rsid w:val="00552840"/>
    <w:rsid w:val="00552B1B"/>
    <w:rsid w:val="00552B34"/>
    <w:rsid w:val="00552CD9"/>
    <w:rsid w:val="00552CE7"/>
    <w:rsid w:val="00552E87"/>
    <w:rsid w:val="00552E94"/>
    <w:rsid w:val="00552E9E"/>
    <w:rsid w:val="00552EDD"/>
    <w:rsid w:val="0055303F"/>
    <w:rsid w:val="00553074"/>
    <w:rsid w:val="00553359"/>
    <w:rsid w:val="0055341C"/>
    <w:rsid w:val="0055348B"/>
    <w:rsid w:val="00553521"/>
    <w:rsid w:val="005536E1"/>
    <w:rsid w:val="00553871"/>
    <w:rsid w:val="005538C6"/>
    <w:rsid w:val="005539D8"/>
    <w:rsid w:val="00553A26"/>
    <w:rsid w:val="00553C04"/>
    <w:rsid w:val="00553C38"/>
    <w:rsid w:val="00554062"/>
    <w:rsid w:val="00554207"/>
    <w:rsid w:val="00554451"/>
    <w:rsid w:val="0055450C"/>
    <w:rsid w:val="0055457E"/>
    <w:rsid w:val="005546C1"/>
    <w:rsid w:val="005547B5"/>
    <w:rsid w:val="005547C1"/>
    <w:rsid w:val="005548D1"/>
    <w:rsid w:val="0055499E"/>
    <w:rsid w:val="00554A35"/>
    <w:rsid w:val="00554BB0"/>
    <w:rsid w:val="00554D52"/>
    <w:rsid w:val="00554D70"/>
    <w:rsid w:val="00554DF1"/>
    <w:rsid w:val="00554F28"/>
    <w:rsid w:val="00554F4E"/>
    <w:rsid w:val="0055505D"/>
    <w:rsid w:val="0055545A"/>
    <w:rsid w:val="0055546A"/>
    <w:rsid w:val="0055552D"/>
    <w:rsid w:val="00555796"/>
    <w:rsid w:val="00555911"/>
    <w:rsid w:val="00555A7C"/>
    <w:rsid w:val="00555AB1"/>
    <w:rsid w:val="00555BDC"/>
    <w:rsid w:val="0055615E"/>
    <w:rsid w:val="005561AD"/>
    <w:rsid w:val="00556515"/>
    <w:rsid w:val="00556C26"/>
    <w:rsid w:val="00556C52"/>
    <w:rsid w:val="0055706E"/>
    <w:rsid w:val="0055711B"/>
    <w:rsid w:val="00557291"/>
    <w:rsid w:val="00557657"/>
    <w:rsid w:val="005576D1"/>
    <w:rsid w:val="00557783"/>
    <w:rsid w:val="00557A69"/>
    <w:rsid w:val="00557AFF"/>
    <w:rsid w:val="00557CF1"/>
    <w:rsid w:val="00557D9A"/>
    <w:rsid w:val="00557E80"/>
    <w:rsid w:val="0056000D"/>
    <w:rsid w:val="0056037D"/>
    <w:rsid w:val="0056039E"/>
    <w:rsid w:val="005605E7"/>
    <w:rsid w:val="005606BA"/>
    <w:rsid w:val="00560EE1"/>
    <w:rsid w:val="0056121C"/>
    <w:rsid w:val="00561757"/>
    <w:rsid w:val="00561792"/>
    <w:rsid w:val="005617D6"/>
    <w:rsid w:val="005618E5"/>
    <w:rsid w:val="00561A5E"/>
    <w:rsid w:val="00561B1F"/>
    <w:rsid w:val="00561C2D"/>
    <w:rsid w:val="00561D13"/>
    <w:rsid w:val="00561E61"/>
    <w:rsid w:val="005622E5"/>
    <w:rsid w:val="0056232C"/>
    <w:rsid w:val="005623E9"/>
    <w:rsid w:val="00562748"/>
    <w:rsid w:val="00562844"/>
    <w:rsid w:val="0056288F"/>
    <w:rsid w:val="005628D9"/>
    <w:rsid w:val="00562B02"/>
    <w:rsid w:val="00562B6D"/>
    <w:rsid w:val="00562C1A"/>
    <w:rsid w:val="00562E11"/>
    <w:rsid w:val="0056307F"/>
    <w:rsid w:val="005631DB"/>
    <w:rsid w:val="0056324D"/>
    <w:rsid w:val="005632A4"/>
    <w:rsid w:val="005634C2"/>
    <w:rsid w:val="0056356D"/>
    <w:rsid w:val="0056361F"/>
    <w:rsid w:val="0056364A"/>
    <w:rsid w:val="0056368F"/>
    <w:rsid w:val="0056389D"/>
    <w:rsid w:val="00563AA9"/>
    <w:rsid w:val="00563D8F"/>
    <w:rsid w:val="00563E53"/>
    <w:rsid w:val="00564030"/>
    <w:rsid w:val="00564046"/>
    <w:rsid w:val="00564353"/>
    <w:rsid w:val="005644D3"/>
    <w:rsid w:val="0056458A"/>
    <w:rsid w:val="00564678"/>
    <w:rsid w:val="00564734"/>
    <w:rsid w:val="00564828"/>
    <w:rsid w:val="00564966"/>
    <w:rsid w:val="00564A75"/>
    <w:rsid w:val="00564A97"/>
    <w:rsid w:val="00564B14"/>
    <w:rsid w:val="00564D92"/>
    <w:rsid w:val="005650B4"/>
    <w:rsid w:val="00565133"/>
    <w:rsid w:val="0056553C"/>
    <w:rsid w:val="005656C7"/>
    <w:rsid w:val="005657E0"/>
    <w:rsid w:val="00565848"/>
    <w:rsid w:val="00565939"/>
    <w:rsid w:val="00565C6F"/>
    <w:rsid w:val="00565D45"/>
    <w:rsid w:val="00565E86"/>
    <w:rsid w:val="00565EEB"/>
    <w:rsid w:val="0056608A"/>
    <w:rsid w:val="005661CB"/>
    <w:rsid w:val="00566390"/>
    <w:rsid w:val="005663C4"/>
    <w:rsid w:val="00566617"/>
    <w:rsid w:val="005666D1"/>
    <w:rsid w:val="00566728"/>
    <w:rsid w:val="00566735"/>
    <w:rsid w:val="00566ACB"/>
    <w:rsid w:val="00566C23"/>
    <w:rsid w:val="00566CCD"/>
    <w:rsid w:val="00566ED2"/>
    <w:rsid w:val="00566ED5"/>
    <w:rsid w:val="005670AF"/>
    <w:rsid w:val="005670FE"/>
    <w:rsid w:val="0056747C"/>
    <w:rsid w:val="00567535"/>
    <w:rsid w:val="0056756B"/>
    <w:rsid w:val="005675AD"/>
    <w:rsid w:val="005675D9"/>
    <w:rsid w:val="0056766A"/>
    <w:rsid w:val="005676AA"/>
    <w:rsid w:val="00567985"/>
    <w:rsid w:val="00567ACF"/>
    <w:rsid w:val="00567BBD"/>
    <w:rsid w:val="00567C27"/>
    <w:rsid w:val="00567D05"/>
    <w:rsid w:val="00567E0C"/>
    <w:rsid w:val="00570105"/>
    <w:rsid w:val="005701B5"/>
    <w:rsid w:val="00570479"/>
    <w:rsid w:val="00570505"/>
    <w:rsid w:val="00570532"/>
    <w:rsid w:val="00570624"/>
    <w:rsid w:val="005708AC"/>
    <w:rsid w:val="0057090D"/>
    <w:rsid w:val="00570945"/>
    <w:rsid w:val="00570946"/>
    <w:rsid w:val="00570A41"/>
    <w:rsid w:val="00570A43"/>
    <w:rsid w:val="00570B1D"/>
    <w:rsid w:val="00570B4B"/>
    <w:rsid w:val="00570B7B"/>
    <w:rsid w:val="00570C3A"/>
    <w:rsid w:val="00570C73"/>
    <w:rsid w:val="00570CDB"/>
    <w:rsid w:val="00570D3F"/>
    <w:rsid w:val="00570F0F"/>
    <w:rsid w:val="00570F49"/>
    <w:rsid w:val="00571086"/>
    <w:rsid w:val="00571163"/>
    <w:rsid w:val="005711CB"/>
    <w:rsid w:val="005711FF"/>
    <w:rsid w:val="005714AD"/>
    <w:rsid w:val="005714BA"/>
    <w:rsid w:val="00571560"/>
    <w:rsid w:val="00571674"/>
    <w:rsid w:val="00571709"/>
    <w:rsid w:val="0057177E"/>
    <w:rsid w:val="00571930"/>
    <w:rsid w:val="00571A17"/>
    <w:rsid w:val="00571AB1"/>
    <w:rsid w:val="00571AE7"/>
    <w:rsid w:val="00571B01"/>
    <w:rsid w:val="00571BBD"/>
    <w:rsid w:val="00571D81"/>
    <w:rsid w:val="00571F45"/>
    <w:rsid w:val="00571F9C"/>
    <w:rsid w:val="00571FFE"/>
    <w:rsid w:val="005721B2"/>
    <w:rsid w:val="00572243"/>
    <w:rsid w:val="00572339"/>
    <w:rsid w:val="00572477"/>
    <w:rsid w:val="005725B1"/>
    <w:rsid w:val="0057270D"/>
    <w:rsid w:val="00572958"/>
    <w:rsid w:val="005729DE"/>
    <w:rsid w:val="00572A1E"/>
    <w:rsid w:val="00572A95"/>
    <w:rsid w:val="00572ABE"/>
    <w:rsid w:val="00572B0D"/>
    <w:rsid w:val="00572BAA"/>
    <w:rsid w:val="00572BB2"/>
    <w:rsid w:val="00572D05"/>
    <w:rsid w:val="00572D80"/>
    <w:rsid w:val="00572DB1"/>
    <w:rsid w:val="00573148"/>
    <w:rsid w:val="00573244"/>
    <w:rsid w:val="0057326C"/>
    <w:rsid w:val="005734DE"/>
    <w:rsid w:val="005735BA"/>
    <w:rsid w:val="00573627"/>
    <w:rsid w:val="00573747"/>
    <w:rsid w:val="00573827"/>
    <w:rsid w:val="0057387F"/>
    <w:rsid w:val="00573889"/>
    <w:rsid w:val="00573938"/>
    <w:rsid w:val="005739BF"/>
    <w:rsid w:val="00573A34"/>
    <w:rsid w:val="00573BC2"/>
    <w:rsid w:val="00573DE5"/>
    <w:rsid w:val="00573E3C"/>
    <w:rsid w:val="00573F4C"/>
    <w:rsid w:val="00574016"/>
    <w:rsid w:val="00574404"/>
    <w:rsid w:val="00574408"/>
    <w:rsid w:val="00574565"/>
    <w:rsid w:val="00574992"/>
    <w:rsid w:val="00574AF6"/>
    <w:rsid w:val="00574B56"/>
    <w:rsid w:val="00574D80"/>
    <w:rsid w:val="00574DFC"/>
    <w:rsid w:val="00574F4F"/>
    <w:rsid w:val="00574F92"/>
    <w:rsid w:val="005750A0"/>
    <w:rsid w:val="005750ED"/>
    <w:rsid w:val="005753BF"/>
    <w:rsid w:val="0057556E"/>
    <w:rsid w:val="00575593"/>
    <w:rsid w:val="00575761"/>
    <w:rsid w:val="00575838"/>
    <w:rsid w:val="0057584A"/>
    <w:rsid w:val="00575867"/>
    <w:rsid w:val="00575AE2"/>
    <w:rsid w:val="00575C0B"/>
    <w:rsid w:val="00575DAF"/>
    <w:rsid w:val="00575DFB"/>
    <w:rsid w:val="00575EB6"/>
    <w:rsid w:val="00575EF3"/>
    <w:rsid w:val="00575F1D"/>
    <w:rsid w:val="005761E7"/>
    <w:rsid w:val="00576201"/>
    <w:rsid w:val="0057637D"/>
    <w:rsid w:val="005763D7"/>
    <w:rsid w:val="005764E9"/>
    <w:rsid w:val="005764FB"/>
    <w:rsid w:val="0057665C"/>
    <w:rsid w:val="005766FF"/>
    <w:rsid w:val="00576758"/>
    <w:rsid w:val="005767D0"/>
    <w:rsid w:val="00576908"/>
    <w:rsid w:val="0057699F"/>
    <w:rsid w:val="00576A6C"/>
    <w:rsid w:val="00576BC9"/>
    <w:rsid w:val="00576BD1"/>
    <w:rsid w:val="00576F7F"/>
    <w:rsid w:val="00577293"/>
    <w:rsid w:val="005773C8"/>
    <w:rsid w:val="005773F1"/>
    <w:rsid w:val="005774AB"/>
    <w:rsid w:val="005776C4"/>
    <w:rsid w:val="005776ED"/>
    <w:rsid w:val="00577844"/>
    <w:rsid w:val="00577883"/>
    <w:rsid w:val="005778AF"/>
    <w:rsid w:val="0057799A"/>
    <w:rsid w:val="00577ADB"/>
    <w:rsid w:val="00577B81"/>
    <w:rsid w:val="00577CF6"/>
    <w:rsid w:val="00577D62"/>
    <w:rsid w:val="00577D8D"/>
    <w:rsid w:val="00577ECD"/>
    <w:rsid w:val="00577F1C"/>
    <w:rsid w:val="00577F65"/>
    <w:rsid w:val="00577F8A"/>
    <w:rsid w:val="00577FFA"/>
    <w:rsid w:val="00580109"/>
    <w:rsid w:val="0058011D"/>
    <w:rsid w:val="00580162"/>
    <w:rsid w:val="00580470"/>
    <w:rsid w:val="005805E3"/>
    <w:rsid w:val="005806A7"/>
    <w:rsid w:val="005807B2"/>
    <w:rsid w:val="00580A0B"/>
    <w:rsid w:val="00580A9D"/>
    <w:rsid w:val="00580B10"/>
    <w:rsid w:val="00580C2F"/>
    <w:rsid w:val="00580DC1"/>
    <w:rsid w:val="00580E31"/>
    <w:rsid w:val="00580E53"/>
    <w:rsid w:val="00580F31"/>
    <w:rsid w:val="00581144"/>
    <w:rsid w:val="00581309"/>
    <w:rsid w:val="005813C6"/>
    <w:rsid w:val="00581405"/>
    <w:rsid w:val="00581475"/>
    <w:rsid w:val="00581502"/>
    <w:rsid w:val="005817A7"/>
    <w:rsid w:val="005817AA"/>
    <w:rsid w:val="00581881"/>
    <w:rsid w:val="005818E1"/>
    <w:rsid w:val="00581986"/>
    <w:rsid w:val="00581A61"/>
    <w:rsid w:val="00581B29"/>
    <w:rsid w:val="00581D96"/>
    <w:rsid w:val="00581DC6"/>
    <w:rsid w:val="00581E35"/>
    <w:rsid w:val="00581ECE"/>
    <w:rsid w:val="00582120"/>
    <w:rsid w:val="0058214C"/>
    <w:rsid w:val="005824A9"/>
    <w:rsid w:val="00582558"/>
    <w:rsid w:val="0058258F"/>
    <w:rsid w:val="005826E5"/>
    <w:rsid w:val="00582816"/>
    <w:rsid w:val="00582843"/>
    <w:rsid w:val="005828FF"/>
    <w:rsid w:val="00582989"/>
    <w:rsid w:val="00582AA1"/>
    <w:rsid w:val="00582B27"/>
    <w:rsid w:val="00582CDB"/>
    <w:rsid w:val="00582D42"/>
    <w:rsid w:val="00582DB6"/>
    <w:rsid w:val="00582EA1"/>
    <w:rsid w:val="00582ED6"/>
    <w:rsid w:val="005834D5"/>
    <w:rsid w:val="00583536"/>
    <w:rsid w:val="00583689"/>
    <w:rsid w:val="005838B3"/>
    <w:rsid w:val="00583903"/>
    <w:rsid w:val="00583969"/>
    <w:rsid w:val="00583A3D"/>
    <w:rsid w:val="00583A90"/>
    <w:rsid w:val="00583AAC"/>
    <w:rsid w:val="00583B43"/>
    <w:rsid w:val="00583BA9"/>
    <w:rsid w:val="00583CA1"/>
    <w:rsid w:val="00583CD9"/>
    <w:rsid w:val="0058420C"/>
    <w:rsid w:val="00584358"/>
    <w:rsid w:val="00584397"/>
    <w:rsid w:val="005843B1"/>
    <w:rsid w:val="005844C0"/>
    <w:rsid w:val="005844C2"/>
    <w:rsid w:val="00584795"/>
    <w:rsid w:val="00584853"/>
    <w:rsid w:val="0058490E"/>
    <w:rsid w:val="005849C4"/>
    <w:rsid w:val="00584CEB"/>
    <w:rsid w:val="00584D84"/>
    <w:rsid w:val="0058503A"/>
    <w:rsid w:val="0058508B"/>
    <w:rsid w:val="005850BC"/>
    <w:rsid w:val="00585180"/>
    <w:rsid w:val="00585239"/>
    <w:rsid w:val="005853AB"/>
    <w:rsid w:val="005853D6"/>
    <w:rsid w:val="00585642"/>
    <w:rsid w:val="00585695"/>
    <w:rsid w:val="005856E6"/>
    <w:rsid w:val="00585772"/>
    <w:rsid w:val="00585858"/>
    <w:rsid w:val="00585B2C"/>
    <w:rsid w:val="00585BEB"/>
    <w:rsid w:val="00585EB9"/>
    <w:rsid w:val="00585F29"/>
    <w:rsid w:val="00585FA1"/>
    <w:rsid w:val="00585FE5"/>
    <w:rsid w:val="0058612C"/>
    <w:rsid w:val="005861E8"/>
    <w:rsid w:val="0058634E"/>
    <w:rsid w:val="005864E0"/>
    <w:rsid w:val="00586698"/>
    <w:rsid w:val="00586A45"/>
    <w:rsid w:val="00586AAF"/>
    <w:rsid w:val="00586AFD"/>
    <w:rsid w:val="00586B8D"/>
    <w:rsid w:val="00586C2B"/>
    <w:rsid w:val="00586C51"/>
    <w:rsid w:val="00586C59"/>
    <w:rsid w:val="00586D92"/>
    <w:rsid w:val="0058713D"/>
    <w:rsid w:val="0058723B"/>
    <w:rsid w:val="005872EB"/>
    <w:rsid w:val="0058733F"/>
    <w:rsid w:val="00587411"/>
    <w:rsid w:val="0058762F"/>
    <w:rsid w:val="0058764A"/>
    <w:rsid w:val="00587670"/>
    <w:rsid w:val="00587740"/>
    <w:rsid w:val="00587916"/>
    <w:rsid w:val="00587A34"/>
    <w:rsid w:val="00587A4E"/>
    <w:rsid w:val="00587B0B"/>
    <w:rsid w:val="00587B1D"/>
    <w:rsid w:val="00587B41"/>
    <w:rsid w:val="00587B71"/>
    <w:rsid w:val="00587BC4"/>
    <w:rsid w:val="00587CD7"/>
    <w:rsid w:val="00587DC5"/>
    <w:rsid w:val="00587E1B"/>
    <w:rsid w:val="00587E2B"/>
    <w:rsid w:val="00587E4C"/>
    <w:rsid w:val="00590160"/>
    <w:rsid w:val="005901E6"/>
    <w:rsid w:val="00590233"/>
    <w:rsid w:val="005904F6"/>
    <w:rsid w:val="0059066E"/>
    <w:rsid w:val="0059087E"/>
    <w:rsid w:val="00590964"/>
    <w:rsid w:val="00590B6B"/>
    <w:rsid w:val="00590BEF"/>
    <w:rsid w:val="00590CD3"/>
    <w:rsid w:val="00590F6F"/>
    <w:rsid w:val="00590FB0"/>
    <w:rsid w:val="0059117A"/>
    <w:rsid w:val="0059122E"/>
    <w:rsid w:val="00591525"/>
    <w:rsid w:val="00591694"/>
    <w:rsid w:val="005917DC"/>
    <w:rsid w:val="0059185C"/>
    <w:rsid w:val="00591957"/>
    <w:rsid w:val="00591B71"/>
    <w:rsid w:val="00591B9F"/>
    <w:rsid w:val="00591BFA"/>
    <w:rsid w:val="00591D39"/>
    <w:rsid w:val="00591EAB"/>
    <w:rsid w:val="00592095"/>
    <w:rsid w:val="00592150"/>
    <w:rsid w:val="0059216B"/>
    <w:rsid w:val="005922FA"/>
    <w:rsid w:val="0059232B"/>
    <w:rsid w:val="0059244E"/>
    <w:rsid w:val="0059256B"/>
    <w:rsid w:val="00592681"/>
    <w:rsid w:val="005926F1"/>
    <w:rsid w:val="00592855"/>
    <w:rsid w:val="00592A16"/>
    <w:rsid w:val="00592A4D"/>
    <w:rsid w:val="00592C1B"/>
    <w:rsid w:val="00592C2A"/>
    <w:rsid w:val="00593245"/>
    <w:rsid w:val="005932DB"/>
    <w:rsid w:val="00593420"/>
    <w:rsid w:val="005934F0"/>
    <w:rsid w:val="005935AA"/>
    <w:rsid w:val="00593696"/>
    <w:rsid w:val="005936A6"/>
    <w:rsid w:val="00593709"/>
    <w:rsid w:val="0059379F"/>
    <w:rsid w:val="005938E0"/>
    <w:rsid w:val="00593928"/>
    <w:rsid w:val="00593B99"/>
    <w:rsid w:val="00593C7A"/>
    <w:rsid w:val="00593D0A"/>
    <w:rsid w:val="00593EC2"/>
    <w:rsid w:val="00593FFB"/>
    <w:rsid w:val="0059402D"/>
    <w:rsid w:val="0059409F"/>
    <w:rsid w:val="005940E9"/>
    <w:rsid w:val="005940F0"/>
    <w:rsid w:val="00594213"/>
    <w:rsid w:val="0059443C"/>
    <w:rsid w:val="00594605"/>
    <w:rsid w:val="0059466C"/>
    <w:rsid w:val="005947E2"/>
    <w:rsid w:val="005947EB"/>
    <w:rsid w:val="00594958"/>
    <w:rsid w:val="00594CFD"/>
    <w:rsid w:val="0059515E"/>
    <w:rsid w:val="00595166"/>
    <w:rsid w:val="005951DA"/>
    <w:rsid w:val="005951DD"/>
    <w:rsid w:val="0059526D"/>
    <w:rsid w:val="005955AD"/>
    <w:rsid w:val="005955B0"/>
    <w:rsid w:val="005955D2"/>
    <w:rsid w:val="0059560C"/>
    <w:rsid w:val="0059566C"/>
    <w:rsid w:val="00595680"/>
    <w:rsid w:val="00595699"/>
    <w:rsid w:val="005956E0"/>
    <w:rsid w:val="0059582B"/>
    <w:rsid w:val="005958AA"/>
    <w:rsid w:val="00595A05"/>
    <w:rsid w:val="00595A11"/>
    <w:rsid w:val="00595AD3"/>
    <w:rsid w:val="00595C2A"/>
    <w:rsid w:val="00595CF9"/>
    <w:rsid w:val="00595D3C"/>
    <w:rsid w:val="00595E47"/>
    <w:rsid w:val="00595F69"/>
    <w:rsid w:val="00595FE9"/>
    <w:rsid w:val="0059603E"/>
    <w:rsid w:val="005960E3"/>
    <w:rsid w:val="005960E5"/>
    <w:rsid w:val="00596223"/>
    <w:rsid w:val="005962CE"/>
    <w:rsid w:val="00596300"/>
    <w:rsid w:val="00596749"/>
    <w:rsid w:val="005969A0"/>
    <w:rsid w:val="005969AF"/>
    <w:rsid w:val="005969E6"/>
    <w:rsid w:val="00596AB9"/>
    <w:rsid w:val="00596B93"/>
    <w:rsid w:val="005970F1"/>
    <w:rsid w:val="00597131"/>
    <w:rsid w:val="00597144"/>
    <w:rsid w:val="00597266"/>
    <w:rsid w:val="00597463"/>
    <w:rsid w:val="00597471"/>
    <w:rsid w:val="005977D7"/>
    <w:rsid w:val="005978C7"/>
    <w:rsid w:val="005979E9"/>
    <w:rsid w:val="00597A46"/>
    <w:rsid w:val="00597A51"/>
    <w:rsid w:val="00597B72"/>
    <w:rsid w:val="00597C0D"/>
    <w:rsid w:val="00597E24"/>
    <w:rsid w:val="00597ED4"/>
    <w:rsid w:val="00597EEC"/>
    <w:rsid w:val="005A01A2"/>
    <w:rsid w:val="005A01DD"/>
    <w:rsid w:val="005A0317"/>
    <w:rsid w:val="005A038D"/>
    <w:rsid w:val="005A0540"/>
    <w:rsid w:val="005A0606"/>
    <w:rsid w:val="005A06D9"/>
    <w:rsid w:val="005A06F2"/>
    <w:rsid w:val="005A07F4"/>
    <w:rsid w:val="005A083B"/>
    <w:rsid w:val="005A0848"/>
    <w:rsid w:val="005A09ED"/>
    <w:rsid w:val="005A0A71"/>
    <w:rsid w:val="005A0DEB"/>
    <w:rsid w:val="005A106E"/>
    <w:rsid w:val="005A10AD"/>
    <w:rsid w:val="005A1184"/>
    <w:rsid w:val="005A124B"/>
    <w:rsid w:val="005A14B5"/>
    <w:rsid w:val="005A15ED"/>
    <w:rsid w:val="005A1825"/>
    <w:rsid w:val="005A192B"/>
    <w:rsid w:val="005A1CB0"/>
    <w:rsid w:val="005A1CB2"/>
    <w:rsid w:val="005A209C"/>
    <w:rsid w:val="005A21F8"/>
    <w:rsid w:val="005A220E"/>
    <w:rsid w:val="005A23D1"/>
    <w:rsid w:val="005A2572"/>
    <w:rsid w:val="005A2738"/>
    <w:rsid w:val="005A2813"/>
    <w:rsid w:val="005A288D"/>
    <w:rsid w:val="005A2902"/>
    <w:rsid w:val="005A29C4"/>
    <w:rsid w:val="005A2AEE"/>
    <w:rsid w:val="005A2CA1"/>
    <w:rsid w:val="005A2D03"/>
    <w:rsid w:val="005A2D9D"/>
    <w:rsid w:val="005A2F16"/>
    <w:rsid w:val="005A2FD1"/>
    <w:rsid w:val="005A328F"/>
    <w:rsid w:val="005A33E7"/>
    <w:rsid w:val="005A34D1"/>
    <w:rsid w:val="005A3669"/>
    <w:rsid w:val="005A3792"/>
    <w:rsid w:val="005A37AD"/>
    <w:rsid w:val="005A38D2"/>
    <w:rsid w:val="005A3975"/>
    <w:rsid w:val="005A3A5B"/>
    <w:rsid w:val="005A3B13"/>
    <w:rsid w:val="005A3E43"/>
    <w:rsid w:val="005A4032"/>
    <w:rsid w:val="005A403D"/>
    <w:rsid w:val="005A40A2"/>
    <w:rsid w:val="005A414F"/>
    <w:rsid w:val="005A41F4"/>
    <w:rsid w:val="005A42EF"/>
    <w:rsid w:val="005A44EB"/>
    <w:rsid w:val="005A459E"/>
    <w:rsid w:val="005A468A"/>
    <w:rsid w:val="005A46BB"/>
    <w:rsid w:val="005A480A"/>
    <w:rsid w:val="005A48DF"/>
    <w:rsid w:val="005A49A5"/>
    <w:rsid w:val="005A4AA3"/>
    <w:rsid w:val="005A4DCF"/>
    <w:rsid w:val="005A4DF9"/>
    <w:rsid w:val="005A4F09"/>
    <w:rsid w:val="005A53A4"/>
    <w:rsid w:val="005A54D6"/>
    <w:rsid w:val="005A573D"/>
    <w:rsid w:val="005A5877"/>
    <w:rsid w:val="005A59DF"/>
    <w:rsid w:val="005A5C88"/>
    <w:rsid w:val="005A5DC6"/>
    <w:rsid w:val="005A5E75"/>
    <w:rsid w:val="005A5EAC"/>
    <w:rsid w:val="005A5ED2"/>
    <w:rsid w:val="005A619E"/>
    <w:rsid w:val="005A62C0"/>
    <w:rsid w:val="005A653E"/>
    <w:rsid w:val="005A6663"/>
    <w:rsid w:val="005A6696"/>
    <w:rsid w:val="005A66CF"/>
    <w:rsid w:val="005A67C3"/>
    <w:rsid w:val="005A67DE"/>
    <w:rsid w:val="005A6867"/>
    <w:rsid w:val="005A689E"/>
    <w:rsid w:val="005A690D"/>
    <w:rsid w:val="005A6CE3"/>
    <w:rsid w:val="005A6E0B"/>
    <w:rsid w:val="005A6E98"/>
    <w:rsid w:val="005A6F03"/>
    <w:rsid w:val="005A6F87"/>
    <w:rsid w:val="005A6FBA"/>
    <w:rsid w:val="005A7542"/>
    <w:rsid w:val="005A75AE"/>
    <w:rsid w:val="005A78F8"/>
    <w:rsid w:val="005A7A0D"/>
    <w:rsid w:val="005A7A71"/>
    <w:rsid w:val="005A7DFF"/>
    <w:rsid w:val="005A7EF3"/>
    <w:rsid w:val="005A7F2B"/>
    <w:rsid w:val="005B01C3"/>
    <w:rsid w:val="005B01E2"/>
    <w:rsid w:val="005B06DF"/>
    <w:rsid w:val="005B0838"/>
    <w:rsid w:val="005B0855"/>
    <w:rsid w:val="005B0881"/>
    <w:rsid w:val="005B08A2"/>
    <w:rsid w:val="005B0A07"/>
    <w:rsid w:val="005B0A5D"/>
    <w:rsid w:val="005B0BB6"/>
    <w:rsid w:val="005B0C04"/>
    <w:rsid w:val="005B0CC1"/>
    <w:rsid w:val="005B0DF4"/>
    <w:rsid w:val="005B0E10"/>
    <w:rsid w:val="005B0E2C"/>
    <w:rsid w:val="005B1017"/>
    <w:rsid w:val="005B1082"/>
    <w:rsid w:val="005B1332"/>
    <w:rsid w:val="005B13CF"/>
    <w:rsid w:val="005B14D6"/>
    <w:rsid w:val="005B1510"/>
    <w:rsid w:val="005B174E"/>
    <w:rsid w:val="005B1892"/>
    <w:rsid w:val="005B189A"/>
    <w:rsid w:val="005B1AA0"/>
    <w:rsid w:val="005B1B5D"/>
    <w:rsid w:val="005B1CC1"/>
    <w:rsid w:val="005B1D19"/>
    <w:rsid w:val="005B1D38"/>
    <w:rsid w:val="005B1FF1"/>
    <w:rsid w:val="005B2147"/>
    <w:rsid w:val="005B225D"/>
    <w:rsid w:val="005B2274"/>
    <w:rsid w:val="005B2380"/>
    <w:rsid w:val="005B23D9"/>
    <w:rsid w:val="005B26B1"/>
    <w:rsid w:val="005B26E2"/>
    <w:rsid w:val="005B27B8"/>
    <w:rsid w:val="005B2802"/>
    <w:rsid w:val="005B2857"/>
    <w:rsid w:val="005B29A3"/>
    <w:rsid w:val="005B2C85"/>
    <w:rsid w:val="005B2E1B"/>
    <w:rsid w:val="005B2E2D"/>
    <w:rsid w:val="005B2E5C"/>
    <w:rsid w:val="005B30AF"/>
    <w:rsid w:val="005B3214"/>
    <w:rsid w:val="005B325C"/>
    <w:rsid w:val="005B336E"/>
    <w:rsid w:val="005B33DA"/>
    <w:rsid w:val="005B342E"/>
    <w:rsid w:val="005B3465"/>
    <w:rsid w:val="005B3502"/>
    <w:rsid w:val="005B367E"/>
    <w:rsid w:val="005B36B3"/>
    <w:rsid w:val="005B3707"/>
    <w:rsid w:val="005B387D"/>
    <w:rsid w:val="005B38B1"/>
    <w:rsid w:val="005B38FA"/>
    <w:rsid w:val="005B397C"/>
    <w:rsid w:val="005B3B05"/>
    <w:rsid w:val="005B3BC6"/>
    <w:rsid w:val="005B3C86"/>
    <w:rsid w:val="005B3C99"/>
    <w:rsid w:val="005B4074"/>
    <w:rsid w:val="005B409E"/>
    <w:rsid w:val="005B4344"/>
    <w:rsid w:val="005B46EF"/>
    <w:rsid w:val="005B4AC0"/>
    <w:rsid w:val="005B4BD5"/>
    <w:rsid w:val="005B512B"/>
    <w:rsid w:val="005B517C"/>
    <w:rsid w:val="005B51B2"/>
    <w:rsid w:val="005B51F5"/>
    <w:rsid w:val="005B522B"/>
    <w:rsid w:val="005B53B8"/>
    <w:rsid w:val="005B543B"/>
    <w:rsid w:val="005B5460"/>
    <w:rsid w:val="005B55F4"/>
    <w:rsid w:val="005B5731"/>
    <w:rsid w:val="005B5830"/>
    <w:rsid w:val="005B596C"/>
    <w:rsid w:val="005B5997"/>
    <w:rsid w:val="005B5A90"/>
    <w:rsid w:val="005B5C93"/>
    <w:rsid w:val="005B5CEC"/>
    <w:rsid w:val="005B5D1B"/>
    <w:rsid w:val="005B5E56"/>
    <w:rsid w:val="005B5F76"/>
    <w:rsid w:val="005B5FD1"/>
    <w:rsid w:val="005B62BC"/>
    <w:rsid w:val="005B637D"/>
    <w:rsid w:val="005B6622"/>
    <w:rsid w:val="005B6699"/>
    <w:rsid w:val="005B66CC"/>
    <w:rsid w:val="005B6A90"/>
    <w:rsid w:val="005B6BD2"/>
    <w:rsid w:val="005B6DC7"/>
    <w:rsid w:val="005B6DD9"/>
    <w:rsid w:val="005B6F19"/>
    <w:rsid w:val="005B70E3"/>
    <w:rsid w:val="005B71D5"/>
    <w:rsid w:val="005B7518"/>
    <w:rsid w:val="005B7746"/>
    <w:rsid w:val="005B7747"/>
    <w:rsid w:val="005B78C6"/>
    <w:rsid w:val="005B7A73"/>
    <w:rsid w:val="005B7ADB"/>
    <w:rsid w:val="005B7B28"/>
    <w:rsid w:val="005B7BAF"/>
    <w:rsid w:val="005B7D41"/>
    <w:rsid w:val="005C01D9"/>
    <w:rsid w:val="005C0477"/>
    <w:rsid w:val="005C0667"/>
    <w:rsid w:val="005C0926"/>
    <w:rsid w:val="005C0993"/>
    <w:rsid w:val="005C09E2"/>
    <w:rsid w:val="005C0A23"/>
    <w:rsid w:val="005C0AF5"/>
    <w:rsid w:val="005C0B1A"/>
    <w:rsid w:val="005C0B92"/>
    <w:rsid w:val="005C0D72"/>
    <w:rsid w:val="005C0EFA"/>
    <w:rsid w:val="005C0F1D"/>
    <w:rsid w:val="005C0F55"/>
    <w:rsid w:val="005C0F9E"/>
    <w:rsid w:val="005C0FEB"/>
    <w:rsid w:val="005C1187"/>
    <w:rsid w:val="005C135E"/>
    <w:rsid w:val="005C1454"/>
    <w:rsid w:val="005C15B4"/>
    <w:rsid w:val="005C15FD"/>
    <w:rsid w:val="005C1AD2"/>
    <w:rsid w:val="005C1CF0"/>
    <w:rsid w:val="005C1E46"/>
    <w:rsid w:val="005C1EEB"/>
    <w:rsid w:val="005C1FB1"/>
    <w:rsid w:val="005C1FD1"/>
    <w:rsid w:val="005C1FDF"/>
    <w:rsid w:val="005C2057"/>
    <w:rsid w:val="005C230B"/>
    <w:rsid w:val="005C2448"/>
    <w:rsid w:val="005C246C"/>
    <w:rsid w:val="005C24C2"/>
    <w:rsid w:val="005C26F3"/>
    <w:rsid w:val="005C287A"/>
    <w:rsid w:val="005C2885"/>
    <w:rsid w:val="005C29E7"/>
    <w:rsid w:val="005C2A44"/>
    <w:rsid w:val="005C2AA4"/>
    <w:rsid w:val="005C2ADA"/>
    <w:rsid w:val="005C2C2C"/>
    <w:rsid w:val="005C2D93"/>
    <w:rsid w:val="005C2DA5"/>
    <w:rsid w:val="005C2E0C"/>
    <w:rsid w:val="005C3086"/>
    <w:rsid w:val="005C31B0"/>
    <w:rsid w:val="005C32E6"/>
    <w:rsid w:val="005C3389"/>
    <w:rsid w:val="005C3481"/>
    <w:rsid w:val="005C385C"/>
    <w:rsid w:val="005C3992"/>
    <w:rsid w:val="005C3DC6"/>
    <w:rsid w:val="005C3E59"/>
    <w:rsid w:val="005C3F17"/>
    <w:rsid w:val="005C4002"/>
    <w:rsid w:val="005C40D7"/>
    <w:rsid w:val="005C41A3"/>
    <w:rsid w:val="005C422D"/>
    <w:rsid w:val="005C4287"/>
    <w:rsid w:val="005C4559"/>
    <w:rsid w:val="005C4605"/>
    <w:rsid w:val="005C46FA"/>
    <w:rsid w:val="005C4956"/>
    <w:rsid w:val="005C4C86"/>
    <w:rsid w:val="005C4D42"/>
    <w:rsid w:val="005C4DEE"/>
    <w:rsid w:val="005C4E07"/>
    <w:rsid w:val="005C4E98"/>
    <w:rsid w:val="005C4F60"/>
    <w:rsid w:val="005C4FC1"/>
    <w:rsid w:val="005C5094"/>
    <w:rsid w:val="005C509C"/>
    <w:rsid w:val="005C50F9"/>
    <w:rsid w:val="005C51C0"/>
    <w:rsid w:val="005C51C9"/>
    <w:rsid w:val="005C54E2"/>
    <w:rsid w:val="005C55C1"/>
    <w:rsid w:val="005C55CD"/>
    <w:rsid w:val="005C56E3"/>
    <w:rsid w:val="005C5A2A"/>
    <w:rsid w:val="005C5A31"/>
    <w:rsid w:val="005C5A55"/>
    <w:rsid w:val="005C5ABB"/>
    <w:rsid w:val="005C5CAB"/>
    <w:rsid w:val="005C5D23"/>
    <w:rsid w:val="005C5EAB"/>
    <w:rsid w:val="005C5FB2"/>
    <w:rsid w:val="005C6098"/>
    <w:rsid w:val="005C61B0"/>
    <w:rsid w:val="005C6218"/>
    <w:rsid w:val="005C62FD"/>
    <w:rsid w:val="005C6334"/>
    <w:rsid w:val="005C6386"/>
    <w:rsid w:val="005C64BD"/>
    <w:rsid w:val="005C64EA"/>
    <w:rsid w:val="005C6517"/>
    <w:rsid w:val="005C65C8"/>
    <w:rsid w:val="005C670B"/>
    <w:rsid w:val="005C68B3"/>
    <w:rsid w:val="005C69B1"/>
    <w:rsid w:val="005C69DA"/>
    <w:rsid w:val="005C6A2C"/>
    <w:rsid w:val="005C6B27"/>
    <w:rsid w:val="005C6BA8"/>
    <w:rsid w:val="005C6C0E"/>
    <w:rsid w:val="005C6C3D"/>
    <w:rsid w:val="005C6FED"/>
    <w:rsid w:val="005C7245"/>
    <w:rsid w:val="005C75E1"/>
    <w:rsid w:val="005C7703"/>
    <w:rsid w:val="005C7834"/>
    <w:rsid w:val="005C7874"/>
    <w:rsid w:val="005C7B0A"/>
    <w:rsid w:val="005C7C4F"/>
    <w:rsid w:val="005C7D9E"/>
    <w:rsid w:val="005C7F58"/>
    <w:rsid w:val="005C7F8E"/>
    <w:rsid w:val="005D0037"/>
    <w:rsid w:val="005D003A"/>
    <w:rsid w:val="005D0041"/>
    <w:rsid w:val="005D03E5"/>
    <w:rsid w:val="005D05C3"/>
    <w:rsid w:val="005D0697"/>
    <w:rsid w:val="005D06F7"/>
    <w:rsid w:val="005D073C"/>
    <w:rsid w:val="005D07CC"/>
    <w:rsid w:val="005D0A02"/>
    <w:rsid w:val="005D0B9D"/>
    <w:rsid w:val="005D0BDB"/>
    <w:rsid w:val="005D0CEF"/>
    <w:rsid w:val="005D0DBD"/>
    <w:rsid w:val="005D0DE5"/>
    <w:rsid w:val="005D0F05"/>
    <w:rsid w:val="005D0F47"/>
    <w:rsid w:val="005D0F78"/>
    <w:rsid w:val="005D1002"/>
    <w:rsid w:val="005D1016"/>
    <w:rsid w:val="005D104A"/>
    <w:rsid w:val="005D10DC"/>
    <w:rsid w:val="005D1117"/>
    <w:rsid w:val="005D1354"/>
    <w:rsid w:val="005D14F7"/>
    <w:rsid w:val="005D1576"/>
    <w:rsid w:val="005D165A"/>
    <w:rsid w:val="005D16C5"/>
    <w:rsid w:val="005D1734"/>
    <w:rsid w:val="005D176C"/>
    <w:rsid w:val="005D18E6"/>
    <w:rsid w:val="005D197F"/>
    <w:rsid w:val="005D19CC"/>
    <w:rsid w:val="005D19D7"/>
    <w:rsid w:val="005D1B54"/>
    <w:rsid w:val="005D1BBD"/>
    <w:rsid w:val="005D1D10"/>
    <w:rsid w:val="005D1D8D"/>
    <w:rsid w:val="005D1D9B"/>
    <w:rsid w:val="005D1ECB"/>
    <w:rsid w:val="005D2060"/>
    <w:rsid w:val="005D20E7"/>
    <w:rsid w:val="005D2191"/>
    <w:rsid w:val="005D21B1"/>
    <w:rsid w:val="005D2312"/>
    <w:rsid w:val="005D23FE"/>
    <w:rsid w:val="005D2423"/>
    <w:rsid w:val="005D254C"/>
    <w:rsid w:val="005D2647"/>
    <w:rsid w:val="005D2668"/>
    <w:rsid w:val="005D2678"/>
    <w:rsid w:val="005D2933"/>
    <w:rsid w:val="005D2965"/>
    <w:rsid w:val="005D2A15"/>
    <w:rsid w:val="005D2A69"/>
    <w:rsid w:val="005D2A6D"/>
    <w:rsid w:val="005D2B45"/>
    <w:rsid w:val="005D2B84"/>
    <w:rsid w:val="005D2DD4"/>
    <w:rsid w:val="005D2F98"/>
    <w:rsid w:val="005D3482"/>
    <w:rsid w:val="005D34D4"/>
    <w:rsid w:val="005D359F"/>
    <w:rsid w:val="005D38C9"/>
    <w:rsid w:val="005D3950"/>
    <w:rsid w:val="005D3A00"/>
    <w:rsid w:val="005D3AF5"/>
    <w:rsid w:val="005D3BA2"/>
    <w:rsid w:val="005D3BCE"/>
    <w:rsid w:val="005D3C2E"/>
    <w:rsid w:val="005D3F41"/>
    <w:rsid w:val="005D4040"/>
    <w:rsid w:val="005D410D"/>
    <w:rsid w:val="005D43B4"/>
    <w:rsid w:val="005D4460"/>
    <w:rsid w:val="005D4500"/>
    <w:rsid w:val="005D453A"/>
    <w:rsid w:val="005D46FD"/>
    <w:rsid w:val="005D489D"/>
    <w:rsid w:val="005D48BA"/>
    <w:rsid w:val="005D4984"/>
    <w:rsid w:val="005D4A3F"/>
    <w:rsid w:val="005D4ED6"/>
    <w:rsid w:val="005D4F7C"/>
    <w:rsid w:val="005D5063"/>
    <w:rsid w:val="005D5082"/>
    <w:rsid w:val="005D528F"/>
    <w:rsid w:val="005D5403"/>
    <w:rsid w:val="005D5418"/>
    <w:rsid w:val="005D55E3"/>
    <w:rsid w:val="005D5650"/>
    <w:rsid w:val="005D5692"/>
    <w:rsid w:val="005D5749"/>
    <w:rsid w:val="005D58AA"/>
    <w:rsid w:val="005D5AE0"/>
    <w:rsid w:val="005D5BD5"/>
    <w:rsid w:val="005D5CCF"/>
    <w:rsid w:val="005D5D21"/>
    <w:rsid w:val="005D5DE3"/>
    <w:rsid w:val="005D5E31"/>
    <w:rsid w:val="005D6079"/>
    <w:rsid w:val="005D62BC"/>
    <w:rsid w:val="005D66E7"/>
    <w:rsid w:val="005D66F2"/>
    <w:rsid w:val="005D6A0E"/>
    <w:rsid w:val="005D6A3E"/>
    <w:rsid w:val="005D6B60"/>
    <w:rsid w:val="005D6B9B"/>
    <w:rsid w:val="005D6CC7"/>
    <w:rsid w:val="005D6CD2"/>
    <w:rsid w:val="005D6D87"/>
    <w:rsid w:val="005D6E0B"/>
    <w:rsid w:val="005D6F6B"/>
    <w:rsid w:val="005D6FC2"/>
    <w:rsid w:val="005D7106"/>
    <w:rsid w:val="005D71D1"/>
    <w:rsid w:val="005D7256"/>
    <w:rsid w:val="005D72F3"/>
    <w:rsid w:val="005D7393"/>
    <w:rsid w:val="005D73F8"/>
    <w:rsid w:val="005D7409"/>
    <w:rsid w:val="005D741D"/>
    <w:rsid w:val="005D7581"/>
    <w:rsid w:val="005D76D1"/>
    <w:rsid w:val="005D7767"/>
    <w:rsid w:val="005D7A17"/>
    <w:rsid w:val="005D7A9D"/>
    <w:rsid w:val="005D7ADF"/>
    <w:rsid w:val="005D7B44"/>
    <w:rsid w:val="005D7B76"/>
    <w:rsid w:val="005D7C24"/>
    <w:rsid w:val="005D7C84"/>
    <w:rsid w:val="005D7CD0"/>
    <w:rsid w:val="005D7D25"/>
    <w:rsid w:val="005D7E1F"/>
    <w:rsid w:val="005D7EC7"/>
    <w:rsid w:val="005D7F4C"/>
    <w:rsid w:val="005E0171"/>
    <w:rsid w:val="005E01B0"/>
    <w:rsid w:val="005E02F3"/>
    <w:rsid w:val="005E0435"/>
    <w:rsid w:val="005E0AA9"/>
    <w:rsid w:val="005E0E1D"/>
    <w:rsid w:val="005E0E53"/>
    <w:rsid w:val="005E0EBB"/>
    <w:rsid w:val="005E0F9F"/>
    <w:rsid w:val="005E13B2"/>
    <w:rsid w:val="005E140C"/>
    <w:rsid w:val="005E143E"/>
    <w:rsid w:val="005E1636"/>
    <w:rsid w:val="005E1666"/>
    <w:rsid w:val="005E1AA8"/>
    <w:rsid w:val="005E1B04"/>
    <w:rsid w:val="005E1C49"/>
    <w:rsid w:val="005E1F5D"/>
    <w:rsid w:val="005E2042"/>
    <w:rsid w:val="005E2060"/>
    <w:rsid w:val="005E209D"/>
    <w:rsid w:val="005E2302"/>
    <w:rsid w:val="005E23BB"/>
    <w:rsid w:val="005E2730"/>
    <w:rsid w:val="005E27E5"/>
    <w:rsid w:val="005E2831"/>
    <w:rsid w:val="005E2862"/>
    <w:rsid w:val="005E2B16"/>
    <w:rsid w:val="005E2C10"/>
    <w:rsid w:val="005E2C37"/>
    <w:rsid w:val="005E2CF1"/>
    <w:rsid w:val="005E2E69"/>
    <w:rsid w:val="005E2F5F"/>
    <w:rsid w:val="005E2FCA"/>
    <w:rsid w:val="005E305C"/>
    <w:rsid w:val="005E310E"/>
    <w:rsid w:val="005E32BF"/>
    <w:rsid w:val="005E334E"/>
    <w:rsid w:val="005E34D2"/>
    <w:rsid w:val="005E374D"/>
    <w:rsid w:val="005E37EC"/>
    <w:rsid w:val="005E3860"/>
    <w:rsid w:val="005E3869"/>
    <w:rsid w:val="005E38C5"/>
    <w:rsid w:val="005E38E7"/>
    <w:rsid w:val="005E3A5D"/>
    <w:rsid w:val="005E3AB7"/>
    <w:rsid w:val="005E3E35"/>
    <w:rsid w:val="005E3F79"/>
    <w:rsid w:val="005E402B"/>
    <w:rsid w:val="005E40B6"/>
    <w:rsid w:val="005E40BD"/>
    <w:rsid w:val="005E40CD"/>
    <w:rsid w:val="005E4134"/>
    <w:rsid w:val="005E4185"/>
    <w:rsid w:val="005E4443"/>
    <w:rsid w:val="005E458B"/>
    <w:rsid w:val="005E4710"/>
    <w:rsid w:val="005E48C7"/>
    <w:rsid w:val="005E49FF"/>
    <w:rsid w:val="005E4A19"/>
    <w:rsid w:val="005E4BE8"/>
    <w:rsid w:val="005E4D02"/>
    <w:rsid w:val="005E4D4A"/>
    <w:rsid w:val="005E51B2"/>
    <w:rsid w:val="005E51FC"/>
    <w:rsid w:val="005E583A"/>
    <w:rsid w:val="005E59AF"/>
    <w:rsid w:val="005E5A09"/>
    <w:rsid w:val="005E5E81"/>
    <w:rsid w:val="005E6029"/>
    <w:rsid w:val="005E6040"/>
    <w:rsid w:val="005E609C"/>
    <w:rsid w:val="005E61AB"/>
    <w:rsid w:val="005E61C3"/>
    <w:rsid w:val="005E6254"/>
    <w:rsid w:val="005E62E0"/>
    <w:rsid w:val="005E63E1"/>
    <w:rsid w:val="005E64F6"/>
    <w:rsid w:val="005E6551"/>
    <w:rsid w:val="005E6621"/>
    <w:rsid w:val="005E672B"/>
    <w:rsid w:val="005E68E5"/>
    <w:rsid w:val="005E6AE1"/>
    <w:rsid w:val="005E6AFC"/>
    <w:rsid w:val="005E6C8D"/>
    <w:rsid w:val="005E6FEE"/>
    <w:rsid w:val="005E7023"/>
    <w:rsid w:val="005E70DE"/>
    <w:rsid w:val="005E70E6"/>
    <w:rsid w:val="005E7293"/>
    <w:rsid w:val="005E7430"/>
    <w:rsid w:val="005E761D"/>
    <w:rsid w:val="005E77ED"/>
    <w:rsid w:val="005E78EF"/>
    <w:rsid w:val="005E79AC"/>
    <w:rsid w:val="005E7A51"/>
    <w:rsid w:val="005E7A81"/>
    <w:rsid w:val="005E7AD2"/>
    <w:rsid w:val="005E7B55"/>
    <w:rsid w:val="005E7CB5"/>
    <w:rsid w:val="005E7D15"/>
    <w:rsid w:val="005E7EB2"/>
    <w:rsid w:val="005E7EEB"/>
    <w:rsid w:val="005F0169"/>
    <w:rsid w:val="005F01EA"/>
    <w:rsid w:val="005F0295"/>
    <w:rsid w:val="005F031C"/>
    <w:rsid w:val="005F0334"/>
    <w:rsid w:val="005F03A6"/>
    <w:rsid w:val="005F03F6"/>
    <w:rsid w:val="005F0486"/>
    <w:rsid w:val="005F06FB"/>
    <w:rsid w:val="005F0801"/>
    <w:rsid w:val="005F0824"/>
    <w:rsid w:val="005F08AF"/>
    <w:rsid w:val="005F09FE"/>
    <w:rsid w:val="005F0A19"/>
    <w:rsid w:val="005F0B12"/>
    <w:rsid w:val="005F0BEC"/>
    <w:rsid w:val="005F0D9D"/>
    <w:rsid w:val="005F0DA5"/>
    <w:rsid w:val="005F0DC0"/>
    <w:rsid w:val="005F0F03"/>
    <w:rsid w:val="005F0F7F"/>
    <w:rsid w:val="005F11CD"/>
    <w:rsid w:val="005F14C3"/>
    <w:rsid w:val="005F153E"/>
    <w:rsid w:val="005F173F"/>
    <w:rsid w:val="005F17C6"/>
    <w:rsid w:val="005F1861"/>
    <w:rsid w:val="005F1A1F"/>
    <w:rsid w:val="005F1B63"/>
    <w:rsid w:val="005F1D99"/>
    <w:rsid w:val="005F1DA4"/>
    <w:rsid w:val="005F1E03"/>
    <w:rsid w:val="005F22D4"/>
    <w:rsid w:val="005F230B"/>
    <w:rsid w:val="005F2355"/>
    <w:rsid w:val="005F24E9"/>
    <w:rsid w:val="005F2680"/>
    <w:rsid w:val="005F26EB"/>
    <w:rsid w:val="005F2A81"/>
    <w:rsid w:val="005F2A8B"/>
    <w:rsid w:val="005F2B13"/>
    <w:rsid w:val="005F2CD6"/>
    <w:rsid w:val="005F2D03"/>
    <w:rsid w:val="005F2DFD"/>
    <w:rsid w:val="005F2F15"/>
    <w:rsid w:val="005F2F26"/>
    <w:rsid w:val="005F2FB3"/>
    <w:rsid w:val="005F306B"/>
    <w:rsid w:val="005F3194"/>
    <w:rsid w:val="005F3246"/>
    <w:rsid w:val="005F34FB"/>
    <w:rsid w:val="005F3518"/>
    <w:rsid w:val="005F35AC"/>
    <w:rsid w:val="005F37C2"/>
    <w:rsid w:val="005F382C"/>
    <w:rsid w:val="005F388B"/>
    <w:rsid w:val="005F3B02"/>
    <w:rsid w:val="005F3BB0"/>
    <w:rsid w:val="005F3C41"/>
    <w:rsid w:val="005F3C42"/>
    <w:rsid w:val="005F3F6F"/>
    <w:rsid w:val="005F3FBA"/>
    <w:rsid w:val="005F3FBE"/>
    <w:rsid w:val="005F3FED"/>
    <w:rsid w:val="005F40A3"/>
    <w:rsid w:val="005F4119"/>
    <w:rsid w:val="005F4213"/>
    <w:rsid w:val="005F43BB"/>
    <w:rsid w:val="005F4746"/>
    <w:rsid w:val="005F4769"/>
    <w:rsid w:val="005F494D"/>
    <w:rsid w:val="005F49B2"/>
    <w:rsid w:val="005F49C7"/>
    <w:rsid w:val="005F4A07"/>
    <w:rsid w:val="005F4C0F"/>
    <w:rsid w:val="005F4C16"/>
    <w:rsid w:val="005F4D1C"/>
    <w:rsid w:val="005F4D74"/>
    <w:rsid w:val="005F4EA8"/>
    <w:rsid w:val="005F50E7"/>
    <w:rsid w:val="005F5102"/>
    <w:rsid w:val="005F5384"/>
    <w:rsid w:val="005F550D"/>
    <w:rsid w:val="005F5553"/>
    <w:rsid w:val="005F5729"/>
    <w:rsid w:val="005F593B"/>
    <w:rsid w:val="005F5D45"/>
    <w:rsid w:val="005F5D8E"/>
    <w:rsid w:val="005F5DD4"/>
    <w:rsid w:val="005F5E2F"/>
    <w:rsid w:val="005F60C8"/>
    <w:rsid w:val="005F60D0"/>
    <w:rsid w:val="005F6269"/>
    <w:rsid w:val="005F6279"/>
    <w:rsid w:val="005F6501"/>
    <w:rsid w:val="005F6548"/>
    <w:rsid w:val="005F6618"/>
    <w:rsid w:val="005F678C"/>
    <w:rsid w:val="005F680A"/>
    <w:rsid w:val="005F6884"/>
    <w:rsid w:val="005F6A64"/>
    <w:rsid w:val="005F6A6D"/>
    <w:rsid w:val="005F6BF5"/>
    <w:rsid w:val="005F6C1E"/>
    <w:rsid w:val="005F6CA5"/>
    <w:rsid w:val="005F6CD8"/>
    <w:rsid w:val="005F6D54"/>
    <w:rsid w:val="005F70C4"/>
    <w:rsid w:val="005F73D1"/>
    <w:rsid w:val="005F741E"/>
    <w:rsid w:val="005F745A"/>
    <w:rsid w:val="005F7545"/>
    <w:rsid w:val="005F7552"/>
    <w:rsid w:val="005F75E6"/>
    <w:rsid w:val="005F7822"/>
    <w:rsid w:val="005F78A3"/>
    <w:rsid w:val="005F7915"/>
    <w:rsid w:val="005F791A"/>
    <w:rsid w:val="005F7980"/>
    <w:rsid w:val="005F7D3B"/>
    <w:rsid w:val="005F7E1F"/>
    <w:rsid w:val="006000CA"/>
    <w:rsid w:val="0060011A"/>
    <w:rsid w:val="00600280"/>
    <w:rsid w:val="006006B1"/>
    <w:rsid w:val="006006B2"/>
    <w:rsid w:val="00600777"/>
    <w:rsid w:val="006008BD"/>
    <w:rsid w:val="00600C06"/>
    <w:rsid w:val="00600C1A"/>
    <w:rsid w:val="00600D1A"/>
    <w:rsid w:val="00600D24"/>
    <w:rsid w:val="00600D4F"/>
    <w:rsid w:val="00600D55"/>
    <w:rsid w:val="00600E5D"/>
    <w:rsid w:val="00600F98"/>
    <w:rsid w:val="00601003"/>
    <w:rsid w:val="00601153"/>
    <w:rsid w:val="0060142B"/>
    <w:rsid w:val="006014ED"/>
    <w:rsid w:val="00601634"/>
    <w:rsid w:val="00601881"/>
    <w:rsid w:val="006018F8"/>
    <w:rsid w:val="00601FD0"/>
    <w:rsid w:val="00602044"/>
    <w:rsid w:val="00602239"/>
    <w:rsid w:val="00602249"/>
    <w:rsid w:val="00602426"/>
    <w:rsid w:val="006025ED"/>
    <w:rsid w:val="006026C0"/>
    <w:rsid w:val="00602756"/>
    <w:rsid w:val="00602884"/>
    <w:rsid w:val="006028D8"/>
    <w:rsid w:val="00602C0C"/>
    <w:rsid w:val="00602C85"/>
    <w:rsid w:val="00602F59"/>
    <w:rsid w:val="00602FD4"/>
    <w:rsid w:val="00602FF1"/>
    <w:rsid w:val="0060309E"/>
    <w:rsid w:val="006031B4"/>
    <w:rsid w:val="006031F2"/>
    <w:rsid w:val="00603257"/>
    <w:rsid w:val="006032EC"/>
    <w:rsid w:val="006033CD"/>
    <w:rsid w:val="00603445"/>
    <w:rsid w:val="0060345B"/>
    <w:rsid w:val="00603474"/>
    <w:rsid w:val="00603506"/>
    <w:rsid w:val="00603523"/>
    <w:rsid w:val="006035E5"/>
    <w:rsid w:val="006036ED"/>
    <w:rsid w:val="0060372F"/>
    <w:rsid w:val="00603A20"/>
    <w:rsid w:val="00603FE8"/>
    <w:rsid w:val="00604050"/>
    <w:rsid w:val="00604319"/>
    <w:rsid w:val="0060431F"/>
    <w:rsid w:val="00604616"/>
    <w:rsid w:val="006047ED"/>
    <w:rsid w:val="006048B1"/>
    <w:rsid w:val="00604AAC"/>
    <w:rsid w:val="00604BF7"/>
    <w:rsid w:val="00604CA1"/>
    <w:rsid w:val="00604FAE"/>
    <w:rsid w:val="0060503F"/>
    <w:rsid w:val="00605080"/>
    <w:rsid w:val="006052D4"/>
    <w:rsid w:val="0060543E"/>
    <w:rsid w:val="006054B9"/>
    <w:rsid w:val="0060554F"/>
    <w:rsid w:val="0060557A"/>
    <w:rsid w:val="00605586"/>
    <w:rsid w:val="006055BD"/>
    <w:rsid w:val="006055E7"/>
    <w:rsid w:val="0060563A"/>
    <w:rsid w:val="006056EA"/>
    <w:rsid w:val="0060583C"/>
    <w:rsid w:val="00605953"/>
    <w:rsid w:val="006059D1"/>
    <w:rsid w:val="006059EE"/>
    <w:rsid w:val="00605D74"/>
    <w:rsid w:val="00605D9C"/>
    <w:rsid w:val="00605E18"/>
    <w:rsid w:val="00605E4A"/>
    <w:rsid w:val="0060604E"/>
    <w:rsid w:val="0060644F"/>
    <w:rsid w:val="00606877"/>
    <w:rsid w:val="0060688C"/>
    <w:rsid w:val="006068D1"/>
    <w:rsid w:val="006069B8"/>
    <w:rsid w:val="00606A7E"/>
    <w:rsid w:val="00606B5F"/>
    <w:rsid w:val="00606C02"/>
    <w:rsid w:val="00606C2E"/>
    <w:rsid w:val="00606C61"/>
    <w:rsid w:val="00606C6C"/>
    <w:rsid w:val="00606EF8"/>
    <w:rsid w:val="0060731A"/>
    <w:rsid w:val="00607544"/>
    <w:rsid w:val="0060754E"/>
    <w:rsid w:val="006076A8"/>
    <w:rsid w:val="00607A8B"/>
    <w:rsid w:val="00607D81"/>
    <w:rsid w:val="00607D89"/>
    <w:rsid w:val="00610101"/>
    <w:rsid w:val="00610106"/>
    <w:rsid w:val="006101FE"/>
    <w:rsid w:val="00610696"/>
    <w:rsid w:val="00610804"/>
    <w:rsid w:val="00610849"/>
    <w:rsid w:val="006109D1"/>
    <w:rsid w:val="00610B51"/>
    <w:rsid w:val="00610C22"/>
    <w:rsid w:val="00610D58"/>
    <w:rsid w:val="00610DEC"/>
    <w:rsid w:val="0061103F"/>
    <w:rsid w:val="006110D6"/>
    <w:rsid w:val="006110ED"/>
    <w:rsid w:val="0061121C"/>
    <w:rsid w:val="006113DC"/>
    <w:rsid w:val="00611408"/>
    <w:rsid w:val="00611588"/>
    <w:rsid w:val="00611647"/>
    <w:rsid w:val="00611917"/>
    <w:rsid w:val="0061193D"/>
    <w:rsid w:val="00611CDF"/>
    <w:rsid w:val="00611D26"/>
    <w:rsid w:val="00611DD5"/>
    <w:rsid w:val="00612076"/>
    <w:rsid w:val="0061207B"/>
    <w:rsid w:val="006122E0"/>
    <w:rsid w:val="006123AB"/>
    <w:rsid w:val="006124D5"/>
    <w:rsid w:val="0061252B"/>
    <w:rsid w:val="0061266B"/>
    <w:rsid w:val="00612ADC"/>
    <w:rsid w:val="00612C28"/>
    <w:rsid w:val="00612D58"/>
    <w:rsid w:val="00612E47"/>
    <w:rsid w:val="00612EF7"/>
    <w:rsid w:val="00612FBD"/>
    <w:rsid w:val="006131E9"/>
    <w:rsid w:val="0061329C"/>
    <w:rsid w:val="00613991"/>
    <w:rsid w:val="00613A67"/>
    <w:rsid w:val="00613AE6"/>
    <w:rsid w:val="00613BD5"/>
    <w:rsid w:val="00613BEE"/>
    <w:rsid w:val="00613E0E"/>
    <w:rsid w:val="00613ED7"/>
    <w:rsid w:val="00613EFB"/>
    <w:rsid w:val="00613F7B"/>
    <w:rsid w:val="00613F92"/>
    <w:rsid w:val="0061409A"/>
    <w:rsid w:val="0061429B"/>
    <w:rsid w:val="006142CE"/>
    <w:rsid w:val="006142F8"/>
    <w:rsid w:val="00614362"/>
    <w:rsid w:val="006143D9"/>
    <w:rsid w:val="006143E4"/>
    <w:rsid w:val="0061441B"/>
    <w:rsid w:val="006144D1"/>
    <w:rsid w:val="00614544"/>
    <w:rsid w:val="006145EB"/>
    <w:rsid w:val="00614719"/>
    <w:rsid w:val="00614A72"/>
    <w:rsid w:val="00614AB0"/>
    <w:rsid w:val="00614CD1"/>
    <w:rsid w:val="00614D74"/>
    <w:rsid w:val="0061517D"/>
    <w:rsid w:val="006151F5"/>
    <w:rsid w:val="00615297"/>
    <w:rsid w:val="0061533B"/>
    <w:rsid w:val="0061535D"/>
    <w:rsid w:val="0061536B"/>
    <w:rsid w:val="00615682"/>
    <w:rsid w:val="006157E9"/>
    <w:rsid w:val="00615994"/>
    <w:rsid w:val="006159DF"/>
    <w:rsid w:val="00615A42"/>
    <w:rsid w:val="00615C27"/>
    <w:rsid w:val="00615E51"/>
    <w:rsid w:val="0061605F"/>
    <w:rsid w:val="00616074"/>
    <w:rsid w:val="00616384"/>
    <w:rsid w:val="006163E4"/>
    <w:rsid w:val="0061644E"/>
    <w:rsid w:val="0061645B"/>
    <w:rsid w:val="0061686C"/>
    <w:rsid w:val="006168D9"/>
    <w:rsid w:val="006169A6"/>
    <w:rsid w:val="00616AC3"/>
    <w:rsid w:val="00616E18"/>
    <w:rsid w:val="00616EF1"/>
    <w:rsid w:val="00616FDE"/>
    <w:rsid w:val="00617137"/>
    <w:rsid w:val="0061717F"/>
    <w:rsid w:val="00617268"/>
    <w:rsid w:val="00617383"/>
    <w:rsid w:val="00617447"/>
    <w:rsid w:val="0061753C"/>
    <w:rsid w:val="006175E5"/>
    <w:rsid w:val="006176B9"/>
    <w:rsid w:val="00617944"/>
    <w:rsid w:val="00617B15"/>
    <w:rsid w:val="00617B4D"/>
    <w:rsid w:val="00617D18"/>
    <w:rsid w:val="00617D66"/>
    <w:rsid w:val="00617E15"/>
    <w:rsid w:val="00617EB0"/>
    <w:rsid w:val="00617FBD"/>
    <w:rsid w:val="006200E4"/>
    <w:rsid w:val="006200F7"/>
    <w:rsid w:val="00620187"/>
    <w:rsid w:val="00620620"/>
    <w:rsid w:val="0062070E"/>
    <w:rsid w:val="00620722"/>
    <w:rsid w:val="00620814"/>
    <w:rsid w:val="006209DB"/>
    <w:rsid w:val="00620A25"/>
    <w:rsid w:val="00620BC9"/>
    <w:rsid w:val="00620E19"/>
    <w:rsid w:val="00620E5B"/>
    <w:rsid w:val="00620E81"/>
    <w:rsid w:val="00620F62"/>
    <w:rsid w:val="00621157"/>
    <w:rsid w:val="00621200"/>
    <w:rsid w:val="00621358"/>
    <w:rsid w:val="006213C3"/>
    <w:rsid w:val="006218E0"/>
    <w:rsid w:val="006219E7"/>
    <w:rsid w:val="00621A3F"/>
    <w:rsid w:val="00621A74"/>
    <w:rsid w:val="00621A8E"/>
    <w:rsid w:val="00621C3B"/>
    <w:rsid w:val="00621C9C"/>
    <w:rsid w:val="00621D93"/>
    <w:rsid w:val="00621DBA"/>
    <w:rsid w:val="00621EBB"/>
    <w:rsid w:val="0062226F"/>
    <w:rsid w:val="006224B0"/>
    <w:rsid w:val="00622530"/>
    <w:rsid w:val="00622769"/>
    <w:rsid w:val="006227E9"/>
    <w:rsid w:val="00622B49"/>
    <w:rsid w:val="00622CCB"/>
    <w:rsid w:val="00622CD1"/>
    <w:rsid w:val="00622CF6"/>
    <w:rsid w:val="00622DB1"/>
    <w:rsid w:val="00622DCB"/>
    <w:rsid w:val="00622E92"/>
    <w:rsid w:val="00622FCF"/>
    <w:rsid w:val="006231A6"/>
    <w:rsid w:val="006231E9"/>
    <w:rsid w:val="00623249"/>
    <w:rsid w:val="006232BD"/>
    <w:rsid w:val="006233D2"/>
    <w:rsid w:val="00623418"/>
    <w:rsid w:val="006234FB"/>
    <w:rsid w:val="00623610"/>
    <w:rsid w:val="0062368A"/>
    <w:rsid w:val="0062375A"/>
    <w:rsid w:val="0062387B"/>
    <w:rsid w:val="00623A91"/>
    <w:rsid w:val="00623AEE"/>
    <w:rsid w:val="00623B0D"/>
    <w:rsid w:val="00623CC1"/>
    <w:rsid w:val="00623DDF"/>
    <w:rsid w:val="0062418F"/>
    <w:rsid w:val="006241E8"/>
    <w:rsid w:val="0062448C"/>
    <w:rsid w:val="006244CC"/>
    <w:rsid w:val="00624583"/>
    <w:rsid w:val="006245AF"/>
    <w:rsid w:val="0062462D"/>
    <w:rsid w:val="00624634"/>
    <w:rsid w:val="006246BE"/>
    <w:rsid w:val="00624973"/>
    <w:rsid w:val="00624A9A"/>
    <w:rsid w:val="00625064"/>
    <w:rsid w:val="00625075"/>
    <w:rsid w:val="00625080"/>
    <w:rsid w:val="0062508D"/>
    <w:rsid w:val="0062542E"/>
    <w:rsid w:val="00625469"/>
    <w:rsid w:val="0062558F"/>
    <w:rsid w:val="006255ED"/>
    <w:rsid w:val="00625635"/>
    <w:rsid w:val="00625752"/>
    <w:rsid w:val="006257AC"/>
    <w:rsid w:val="006259C5"/>
    <w:rsid w:val="00625AD1"/>
    <w:rsid w:val="00625C48"/>
    <w:rsid w:val="00625C4A"/>
    <w:rsid w:val="00625D85"/>
    <w:rsid w:val="00625E46"/>
    <w:rsid w:val="00625EC7"/>
    <w:rsid w:val="00625F55"/>
    <w:rsid w:val="006260BD"/>
    <w:rsid w:val="00626153"/>
    <w:rsid w:val="006265C5"/>
    <w:rsid w:val="006266D0"/>
    <w:rsid w:val="00626931"/>
    <w:rsid w:val="00626963"/>
    <w:rsid w:val="006269BB"/>
    <w:rsid w:val="00626A9C"/>
    <w:rsid w:val="00626B08"/>
    <w:rsid w:val="00626CC1"/>
    <w:rsid w:val="00626CFC"/>
    <w:rsid w:val="00626F75"/>
    <w:rsid w:val="00626FB9"/>
    <w:rsid w:val="00626FF8"/>
    <w:rsid w:val="006270E0"/>
    <w:rsid w:val="00627272"/>
    <w:rsid w:val="0062738B"/>
    <w:rsid w:val="006274E9"/>
    <w:rsid w:val="0062760C"/>
    <w:rsid w:val="00627647"/>
    <w:rsid w:val="006277AE"/>
    <w:rsid w:val="0062788A"/>
    <w:rsid w:val="0062797C"/>
    <w:rsid w:val="00627A39"/>
    <w:rsid w:val="00627B80"/>
    <w:rsid w:val="00627D71"/>
    <w:rsid w:val="0063016E"/>
    <w:rsid w:val="00630179"/>
    <w:rsid w:val="006301D9"/>
    <w:rsid w:val="0063043B"/>
    <w:rsid w:val="0063053A"/>
    <w:rsid w:val="00630873"/>
    <w:rsid w:val="00630967"/>
    <w:rsid w:val="00630A4C"/>
    <w:rsid w:val="00630B49"/>
    <w:rsid w:val="00630C1A"/>
    <w:rsid w:val="00630C22"/>
    <w:rsid w:val="00630CA3"/>
    <w:rsid w:val="00630D8C"/>
    <w:rsid w:val="00630F04"/>
    <w:rsid w:val="00631141"/>
    <w:rsid w:val="0063158E"/>
    <w:rsid w:val="006316AC"/>
    <w:rsid w:val="00631819"/>
    <w:rsid w:val="006318BF"/>
    <w:rsid w:val="00631C35"/>
    <w:rsid w:val="00631CA2"/>
    <w:rsid w:val="00631D0B"/>
    <w:rsid w:val="00631D28"/>
    <w:rsid w:val="00631E0B"/>
    <w:rsid w:val="00631E57"/>
    <w:rsid w:val="00632001"/>
    <w:rsid w:val="00632269"/>
    <w:rsid w:val="006322B5"/>
    <w:rsid w:val="00632551"/>
    <w:rsid w:val="00632A06"/>
    <w:rsid w:val="00632ACC"/>
    <w:rsid w:val="00632AD2"/>
    <w:rsid w:val="00632BA5"/>
    <w:rsid w:val="00632C24"/>
    <w:rsid w:val="00632D3C"/>
    <w:rsid w:val="00632D8D"/>
    <w:rsid w:val="00632E0C"/>
    <w:rsid w:val="00632E9D"/>
    <w:rsid w:val="00632FC9"/>
    <w:rsid w:val="006330B0"/>
    <w:rsid w:val="00633176"/>
    <w:rsid w:val="006332EB"/>
    <w:rsid w:val="006333DC"/>
    <w:rsid w:val="00633551"/>
    <w:rsid w:val="00633581"/>
    <w:rsid w:val="0063362C"/>
    <w:rsid w:val="006337C2"/>
    <w:rsid w:val="006338FA"/>
    <w:rsid w:val="00633A11"/>
    <w:rsid w:val="00633A2A"/>
    <w:rsid w:val="00633A8D"/>
    <w:rsid w:val="00633B5E"/>
    <w:rsid w:val="00633CB8"/>
    <w:rsid w:val="00633DF9"/>
    <w:rsid w:val="00633EFE"/>
    <w:rsid w:val="00633F5B"/>
    <w:rsid w:val="00634065"/>
    <w:rsid w:val="0063408D"/>
    <w:rsid w:val="00634174"/>
    <w:rsid w:val="00634310"/>
    <w:rsid w:val="006344A6"/>
    <w:rsid w:val="006344C4"/>
    <w:rsid w:val="0063455C"/>
    <w:rsid w:val="00634592"/>
    <w:rsid w:val="006347DD"/>
    <w:rsid w:val="006347E2"/>
    <w:rsid w:val="006348E9"/>
    <w:rsid w:val="00634DD3"/>
    <w:rsid w:val="00634FDF"/>
    <w:rsid w:val="006350FE"/>
    <w:rsid w:val="006353AB"/>
    <w:rsid w:val="006353E9"/>
    <w:rsid w:val="006354AA"/>
    <w:rsid w:val="006355B8"/>
    <w:rsid w:val="00635844"/>
    <w:rsid w:val="00635AFC"/>
    <w:rsid w:val="00635CC5"/>
    <w:rsid w:val="00635D15"/>
    <w:rsid w:val="00635D8F"/>
    <w:rsid w:val="00636056"/>
    <w:rsid w:val="0063610F"/>
    <w:rsid w:val="0063617F"/>
    <w:rsid w:val="00636205"/>
    <w:rsid w:val="006362C3"/>
    <w:rsid w:val="00636583"/>
    <w:rsid w:val="00636600"/>
    <w:rsid w:val="00636622"/>
    <w:rsid w:val="0063698F"/>
    <w:rsid w:val="006369C0"/>
    <w:rsid w:val="00636B48"/>
    <w:rsid w:val="00636B8C"/>
    <w:rsid w:val="00636C13"/>
    <w:rsid w:val="00636C47"/>
    <w:rsid w:val="00636F62"/>
    <w:rsid w:val="00636FCC"/>
    <w:rsid w:val="00636FD7"/>
    <w:rsid w:val="00636FEA"/>
    <w:rsid w:val="00637071"/>
    <w:rsid w:val="0063723E"/>
    <w:rsid w:val="00637451"/>
    <w:rsid w:val="0063755B"/>
    <w:rsid w:val="00637821"/>
    <w:rsid w:val="00637ABF"/>
    <w:rsid w:val="00637B2E"/>
    <w:rsid w:val="00637CCD"/>
    <w:rsid w:val="00637CE5"/>
    <w:rsid w:val="00637D0D"/>
    <w:rsid w:val="00637D35"/>
    <w:rsid w:val="00637E63"/>
    <w:rsid w:val="00637E79"/>
    <w:rsid w:val="00640173"/>
    <w:rsid w:val="00640297"/>
    <w:rsid w:val="00640341"/>
    <w:rsid w:val="00640415"/>
    <w:rsid w:val="006406DC"/>
    <w:rsid w:val="00640909"/>
    <w:rsid w:val="0064093C"/>
    <w:rsid w:val="00640B6A"/>
    <w:rsid w:val="00640B88"/>
    <w:rsid w:val="00640C3D"/>
    <w:rsid w:val="00640C4A"/>
    <w:rsid w:val="00640C5C"/>
    <w:rsid w:val="00640CBF"/>
    <w:rsid w:val="00640D42"/>
    <w:rsid w:val="00640D6E"/>
    <w:rsid w:val="00640D90"/>
    <w:rsid w:val="00640DE3"/>
    <w:rsid w:val="00640FC0"/>
    <w:rsid w:val="00640FEF"/>
    <w:rsid w:val="0064116B"/>
    <w:rsid w:val="00641285"/>
    <w:rsid w:val="0064158A"/>
    <w:rsid w:val="00641743"/>
    <w:rsid w:val="006417DF"/>
    <w:rsid w:val="00641878"/>
    <w:rsid w:val="006418BB"/>
    <w:rsid w:val="00641B58"/>
    <w:rsid w:val="00641BB6"/>
    <w:rsid w:val="00641C2E"/>
    <w:rsid w:val="00641DCC"/>
    <w:rsid w:val="00641F45"/>
    <w:rsid w:val="00641F63"/>
    <w:rsid w:val="006423C1"/>
    <w:rsid w:val="00642551"/>
    <w:rsid w:val="006425C8"/>
    <w:rsid w:val="006426A5"/>
    <w:rsid w:val="00642755"/>
    <w:rsid w:val="00642A3A"/>
    <w:rsid w:val="00642D49"/>
    <w:rsid w:val="00642F7B"/>
    <w:rsid w:val="00643031"/>
    <w:rsid w:val="006430B5"/>
    <w:rsid w:val="00643487"/>
    <w:rsid w:val="00643759"/>
    <w:rsid w:val="0064376D"/>
    <w:rsid w:val="006437AC"/>
    <w:rsid w:val="006437FF"/>
    <w:rsid w:val="00643896"/>
    <w:rsid w:val="00643900"/>
    <w:rsid w:val="00643A2D"/>
    <w:rsid w:val="00643B4E"/>
    <w:rsid w:val="00643D3D"/>
    <w:rsid w:val="00643E8A"/>
    <w:rsid w:val="0064411C"/>
    <w:rsid w:val="00644686"/>
    <w:rsid w:val="006446CC"/>
    <w:rsid w:val="006449A0"/>
    <w:rsid w:val="00644A2D"/>
    <w:rsid w:val="00644AC4"/>
    <w:rsid w:val="00644BDB"/>
    <w:rsid w:val="00644CB2"/>
    <w:rsid w:val="00644D4F"/>
    <w:rsid w:val="00644DA0"/>
    <w:rsid w:val="00644DFB"/>
    <w:rsid w:val="00644E00"/>
    <w:rsid w:val="00644EF0"/>
    <w:rsid w:val="00644F76"/>
    <w:rsid w:val="00644FB1"/>
    <w:rsid w:val="006451C3"/>
    <w:rsid w:val="00645398"/>
    <w:rsid w:val="0064556A"/>
    <w:rsid w:val="00645680"/>
    <w:rsid w:val="00645706"/>
    <w:rsid w:val="006457DC"/>
    <w:rsid w:val="006457E3"/>
    <w:rsid w:val="00645876"/>
    <w:rsid w:val="0064598B"/>
    <w:rsid w:val="006459CB"/>
    <w:rsid w:val="00645C65"/>
    <w:rsid w:val="00645DA7"/>
    <w:rsid w:val="00645E74"/>
    <w:rsid w:val="00646137"/>
    <w:rsid w:val="006461AA"/>
    <w:rsid w:val="006463E3"/>
    <w:rsid w:val="00646A92"/>
    <w:rsid w:val="00646A99"/>
    <w:rsid w:val="00646AD9"/>
    <w:rsid w:val="00646B2F"/>
    <w:rsid w:val="00646C47"/>
    <w:rsid w:val="00646EAD"/>
    <w:rsid w:val="00646F85"/>
    <w:rsid w:val="00646FF5"/>
    <w:rsid w:val="00646FF7"/>
    <w:rsid w:val="00647107"/>
    <w:rsid w:val="006473B1"/>
    <w:rsid w:val="006473FD"/>
    <w:rsid w:val="00647478"/>
    <w:rsid w:val="006476DA"/>
    <w:rsid w:val="00647748"/>
    <w:rsid w:val="006477D7"/>
    <w:rsid w:val="006479A6"/>
    <w:rsid w:val="006479A9"/>
    <w:rsid w:val="00647AAE"/>
    <w:rsid w:val="00647B86"/>
    <w:rsid w:val="00647C78"/>
    <w:rsid w:val="00647E4B"/>
    <w:rsid w:val="00647E4D"/>
    <w:rsid w:val="00647E6F"/>
    <w:rsid w:val="00650249"/>
    <w:rsid w:val="006505EB"/>
    <w:rsid w:val="00650659"/>
    <w:rsid w:val="0065077D"/>
    <w:rsid w:val="0065091E"/>
    <w:rsid w:val="00650AE0"/>
    <w:rsid w:val="00650AEF"/>
    <w:rsid w:val="00650AF7"/>
    <w:rsid w:val="00650CDB"/>
    <w:rsid w:val="00650D3E"/>
    <w:rsid w:val="00650D4C"/>
    <w:rsid w:val="00650F96"/>
    <w:rsid w:val="006510D5"/>
    <w:rsid w:val="00651346"/>
    <w:rsid w:val="0065147F"/>
    <w:rsid w:val="006514DD"/>
    <w:rsid w:val="00651513"/>
    <w:rsid w:val="006515CD"/>
    <w:rsid w:val="006516DF"/>
    <w:rsid w:val="0065182B"/>
    <w:rsid w:val="0065189A"/>
    <w:rsid w:val="006518E0"/>
    <w:rsid w:val="00651A10"/>
    <w:rsid w:val="00651A13"/>
    <w:rsid w:val="00651AB8"/>
    <w:rsid w:val="00651C4B"/>
    <w:rsid w:val="00651D06"/>
    <w:rsid w:val="00651D0D"/>
    <w:rsid w:val="00651E0D"/>
    <w:rsid w:val="006520A6"/>
    <w:rsid w:val="006520D5"/>
    <w:rsid w:val="006520E9"/>
    <w:rsid w:val="0065220D"/>
    <w:rsid w:val="0065238E"/>
    <w:rsid w:val="006523B5"/>
    <w:rsid w:val="006523CF"/>
    <w:rsid w:val="00652479"/>
    <w:rsid w:val="006525A0"/>
    <w:rsid w:val="0065289E"/>
    <w:rsid w:val="006528CD"/>
    <w:rsid w:val="0065297C"/>
    <w:rsid w:val="006529FF"/>
    <w:rsid w:val="00652B04"/>
    <w:rsid w:val="00652B7B"/>
    <w:rsid w:val="00652CF7"/>
    <w:rsid w:val="00652E0F"/>
    <w:rsid w:val="00653076"/>
    <w:rsid w:val="006530F0"/>
    <w:rsid w:val="00653148"/>
    <w:rsid w:val="00653301"/>
    <w:rsid w:val="006533FF"/>
    <w:rsid w:val="00653403"/>
    <w:rsid w:val="00653406"/>
    <w:rsid w:val="006534D1"/>
    <w:rsid w:val="0065363B"/>
    <w:rsid w:val="00653733"/>
    <w:rsid w:val="006538A8"/>
    <w:rsid w:val="006538BD"/>
    <w:rsid w:val="00653A03"/>
    <w:rsid w:val="00653B45"/>
    <w:rsid w:val="00653D13"/>
    <w:rsid w:val="00653D1C"/>
    <w:rsid w:val="00653E3A"/>
    <w:rsid w:val="0065418D"/>
    <w:rsid w:val="00654231"/>
    <w:rsid w:val="006542E3"/>
    <w:rsid w:val="00654513"/>
    <w:rsid w:val="0065456C"/>
    <w:rsid w:val="0065460E"/>
    <w:rsid w:val="0065478F"/>
    <w:rsid w:val="00654798"/>
    <w:rsid w:val="0065494F"/>
    <w:rsid w:val="00654997"/>
    <w:rsid w:val="00654A69"/>
    <w:rsid w:val="00654B43"/>
    <w:rsid w:val="00654B54"/>
    <w:rsid w:val="00654BA9"/>
    <w:rsid w:val="00654C26"/>
    <w:rsid w:val="00654CE2"/>
    <w:rsid w:val="00654D10"/>
    <w:rsid w:val="00654D2F"/>
    <w:rsid w:val="00654F17"/>
    <w:rsid w:val="00654FC5"/>
    <w:rsid w:val="00655234"/>
    <w:rsid w:val="00655430"/>
    <w:rsid w:val="006557DA"/>
    <w:rsid w:val="006558EC"/>
    <w:rsid w:val="00655BB5"/>
    <w:rsid w:val="00655C8F"/>
    <w:rsid w:val="00655DE8"/>
    <w:rsid w:val="00655DFF"/>
    <w:rsid w:val="00656021"/>
    <w:rsid w:val="006561C7"/>
    <w:rsid w:val="00656250"/>
    <w:rsid w:val="0065636D"/>
    <w:rsid w:val="006564D2"/>
    <w:rsid w:val="00656606"/>
    <w:rsid w:val="006566C1"/>
    <w:rsid w:val="006567F7"/>
    <w:rsid w:val="006568F5"/>
    <w:rsid w:val="00656968"/>
    <w:rsid w:val="0065698A"/>
    <w:rsid w:val="00656CD6"/>
    <w:rsid w:val="00656DC9"/>
    <w:rsid w:val="00656ED9"/>
    <w:rsid w:val="00656FD6"/>
    <w:rsid w:val="00657002"/>
    <w:rsid w:val="00657046"/>
    <w:rsid w:val="006570FC"/>
    <w:rsid w:val="006577B3"/>
    <w:rsid w:val="00657883"/>
    <w:rsid w:val="00657A90"/>
    <w:rsid w:val="00657C9C"/>
    <w:rsid w:val="00657D99"/>
    <w:rsid w:val="00657DD7"/>
    <w:rsid w:val="00657F2B"/>
    <w:rsid w:val="00660330"/>
    <w:rsid w:val="0066041A"/>
    <w:rsid w:val="00660553"/>
    <w:rsid w:val="0066058C"/>
    <w:rsid w:val="00660B99"/>
    <w:rsid w:val="00660C09"/>
    <w:rsid w:val="00660C70"/>
    <w:rsid w:val="00660C7D"/>
    <w:rsid w:val="00660DB1"/>
    <w:rsid w:val="006611FF"/>
    <w:rsid w:val="006612F9"/>
    <w:rsid w:val="00661319"/>
    <w:rsid w:val="006613A0"/>
    <w:rsid w:val="006613AE"/>
    <w:rsid w:val="006613B6"/>
    <w:rsid w:val="0066158A"/>
    <w:rsid w:val="006615CD"/>
    <w:rsid w:val="006615DA"/>
    <w:rsid w:val="006618DB"/>
    <w:rsid w:val="00661DBB"/>
    <w:rsid w:val="00661F6C"/>
    <w:rsid w:val="00661FCB"/>
    <w:rsid w:val="00661FF4"/>
    <w:rsid w:val="006621AE"/>
    <w:rsid w:val="006622B0"/>
    <w:rsid w:val="00662433"/>
    <w:rsid w:val="006624DB"/>
    <w:rsid w:val="0066265E"/>
    <w:rsid w:val="0066270A"/>
    <w:rsid w:val="0066288D"/>
    <w:rsid w:val="00662E32"/>
    <w:rsid w:val="00662F86"/>
    <w:rsid w:val="00662F88"/>
    <w:rsid w:val="0066306B"/>
    <w:rsid w:val="006630A5"/>
    <w:rsid w:val="00663222"/>
    <w:rsid w:val="0066323F"/>
    <w:rsid w:val="0066324A"/>
    <w:rsid w:val="00663428"/>
    <w:rsid w:val="00663466"/>
    <w:rsid w:val="00663471"/>
    <w:rsid w:val="0066360C"/>
    <w:rsid w:val="006636EB"/>
    <w:rsid w:val="00663799"/>
    <w:rsid w:val="00663923"/>
    <w:rsid w:val="00663970"/>
    <w:rsid w:val="00663A22"/>
    <w:rsid w:val="00663BC3"/>
    <w:rsid w:val="00663D0E"/>
    <w:rsid w:val="00663D5D"/>
    <w:rsid w:val="00663DA0"/>
    <w:rsid w:val="00663E2B"/>
    <w:rsid w:val="00663F8F"/>
    <w:rsid w:val="006640D5"/>
    <w:rsid w:val="00664189"/>
    <w:rsid w:val="00664359"/>
    <w:rsid w:val="006644D7"/>
    <w:rsid w:val="00664573"/>
    <w:rsid w:val="00664574"/>
    <w:rsid w:val="00664624"/>
    <w:rsid w:val="00664A9B"/>
    <w:rsid w:val="00664CEA"/>
    <w:rsid w:val="0066525D"/>
    <w:rsid w:val="006652E5"/>
    <w:rsid w:val="00665323"/>
    <w:rsid w:val="006654F2"/>
    <w:rsid w:val="006656CF"/>
    <w:rsid w:val="00665839"/>
    <w:rsid w:val="00665A96"/>
    <w:rsid w:val="00665ACE"/>
    <w:rsid w:val="00665B20"/>
    <w:rsid w:val="00665B9B"/>
    <w:rsid w:val="00665C4C"/>
    <w:rsid w:val="00665D29"/>
    <w:rsid w:val="00665FA7"/>
    <w:rsid w:val="00665FB4"/>
    <w:rsid w:val="00665FF9"/>
    <w:rsid w:val="00666658"/>
    <w:rsid w:val="00666785"/>
    <w:rsid w:val="006667A9"/>
    <w:rsid w:val="006669C4"/>
    <w:rsid w:val="00666A01"/>
    <w:rsid w:val="00666AD0"/>
    <w:rsid w:val="00666B08"/>
    <w:rsid w:val="00666B28"/>
    <w:rsid w:val="00666B67"/>
    <w:rsid w:val="00666BED"/>
    <w:rsid w:val="00667032"/>
    <w:rsid w:val="00667281"/>
    <w:rsid w:val="00667327"/>
    <w:rsid w:val="00667373"/>
    <w:rsid w:val="006673D7"/>
    <w:rsid w:val="006673F1"/>
    <w:rsid w:val="00667691"/>
    <w:rsid w:val="006676A9"/>
    <w:rsid w:val="00667724"/>
    <w:rsid w:val="00667822"/>
    <w:rsid w:val="006678D0"/>
    <w:rsid w:val="00667A16"/>
    <w:rsid w:val="00667A6B"/>
    <w:rsid w:val="00667C02"/>
    <w:rsid w:val="00667C21"/>
    <w:rsid w:val="00667E09"/>
    <w:rsid w:val="00667E61"/>
    <w:rsid w:val="00667F82"/>
    <w:rsid w:val="00667F9C"/>
    <w:rsid w:val="0067007F"/>
    <w:rsid w:val="00670311"/>
    <w:rsid w:val="00670B5E"/>
    <w:rsid w:val="00670B71"/>
    <w:rsid w:val="00670BFB"/>
    <w:rsid w:val="00670C0D"/>
    <w:rsid w:val="00670C40"/>
    <w:rsid w:val="00670E49"/>
    <w:rsid w:val="00670ED0"/>
    <w:rsid w:val="00670FFB"/>
    <w:rsid w:val="0067127E"/>
    <w:rsid w:val="0067129F"/>
    <w:rsid w:val="006712C3"/>
    <w:rsid w:val="0067135D"/>
    <w:rsid w:val="0067146F"/>
    <w:rsid w:val="006715CC"/>
    <w:rsid w:val="00671989"/>
    <w:rsid w:val="00671994"/>
    <w:rsid w:val="00671A27"/>
    <w:rsid w:val="00671A4F"/>
    <w:rsid w:val="00671D7D"/>
    <w:rsid w:val="00671DEB"/>
    <w:rsid w:val="00671F3F"/>
    <w:rsid w:val="00671F98"/>
    <w:rsid w:val="006723A0"/>
    <w:rsid w:val="00672474"/>
    <w:rsid w:val="00672630"/>
    <w:rsid w:val="00672956"/>
    <w:rsid w:val="006729AF"/>
    <w:rsid w:val="00672D7E"/>
    <w:rsid w:val="00672E5C"/>
    <w:rsid w:val="00672E9F"/>
    <w:rsid w:val="0067354E"/>
    <w:rsid w:val="006737E9"/>
    <w:rsid w:val="006738D1"/>
    <w:rsid w:val="0067398C"/>
    <w:rsid w:val="0067399A"/>
    <w:rsid w:val="006739F5"/>
    <w:rsid w:val="00673BA2"/>
    <w:rsid w:val="00673CD8"/>
    <w:rsid w:val="00673FE0"/>
    <w:rsid w:val="00674030"/>
    <w:rsid w:val="006741C5"/>
    <w:rsid w:val="00674372"/>
    <w:rsid w:val="00674390"/>
    <w:rsid w:val="006744F4"/>
    <w:rsid w:val="00674627"/>
    <w:rsid w:val="00674699"/>
    <w:rsid w:val="00674A82"/>
    <w:rsid w:val="00674B4D"/>
    <w:rsid w:val="00674BB7"/>
    <w:rsid w:val="00674C37"/>
    <w:rsid w:val="00674C67"/>
    <w:rsid w:val="00674D2A"/>
    <w:rsid w:val="0067504F"/>
    <w:rsid w:val="0067509C"/>
    <w:rsid w:val="00675121"/>
    <w:rsid w:val="006751A3"/>
    <w:rsid w:val="00675283"/>
    <w:rsid w:val="0067528E"/>
    <w:rsid w:val="006752EB"/>
    <w:rsid w:val="00675361"/>
    <w:rsid w:val="006756D0"/>
    <w:rsid w:val="006757E1"/>
    <w:rsid w:val="00675800"/>
    <w:rsid w:val="00675828"/>
    <w:rsid w:val="0067595D"/>
    <w:rsid w:val="00675A73"/>
    <w:rsid w:val="00675A9E"/>
    <w:rsid w:val="00675BC2"/>
    <w:rsid w:val="00675C1C"/>
    <w:rsid w:val="00675C5E"/>
    <w:rsid w:val="00675E89"/>
    <w:rsid w:val="00676255"/>
    <w:rsid w:val="0067647E"/>
    <w:rsid w:val="00676545"/>
    <w:rsid w:val="00676602"/>
    <w:rsid w:val="00676701"/>
    <w:rsid w:val="00676730"/>
    <w:rsid w:val="00676751"/>
    <w:rsid w:val="00676AC6"/>
    <w:rsid w:val="00676C02"/>
    <w:rsid w:val="00676D09"/>
    <w:rsid w:val="00676E60"/>
    <w:rsid w:val="00676F9D"/>
    <w:rsid w:val="00677154"/>
    <w:rsid w:val="006773A8"/>
    <w:rsid w:val="00677489"/>
    <w:rsid w:val="00677620"/>
    <w:rsid w:val="00677629"/>
    <w:rsid w:val="006776E5"/>
    <w:rsid w:val="006776EC"/>
    <w:rsid w:val="00677851"/>
    <w:rsid w:val="00677923"/>
    <w:rsid w:val="00677AED"/>
    <w:rsid w:val="00677CC8"/>
    <w:rsid w:val="00677F68"/>
    <w:rsid w:val="006800C6"/>
    <w:rsid w:val="00680423"/>
    <w:rsid w:val="0068044E"/>
    <w:rsid w:val="00680524"/>
    <w:rsid w:val="0068056B"/>
    <w:rsid w:val="006805E4"/>
    <w:rsid w:val="00680604"/>
    <w:rsid w:val="0068063A"/>
    <w:rsid w:val="00680C0D"/>
    <w:rsid w:val="00680CA7"/>
    <w:rsid w:val="00680CCE"/>
    <w:rsid w:val="00680CD9"/>
    <w:rsid w:val="00680D34"/>
    <w:rsid w:val="00680E9C"/>
    <w:rsid w:val="00680FBD"/>
    <w:rsid w:val="00681163"/>
    <w:rsid w:val="006811D9"/>
    <w:rsid w:val="006813F6"/>
    <w:rsid w:val="0068140F"/>
    <w:rsid w:val="00681445"/>
    <w:rsid w:val="00681590"/>
    <w:rsid w:val="006817DA"/>
    <w:rsid w:val="00681837"/>
    <w:rsid w:val="006818BA"/>
    <w:rsid w:val="0068190E"/>
    <w:rsid w:val="0068199E"/>
    <w:rsid w:val="00681AC2"/>
    <w:rsid w:val="00681BD0"/>
    <w:rsid w:val="00681C29"/>
    <w:rsid w:val="00681D01"/>
    <w:rsid w:val="00681E19"/>
    <w:rsid w:val="00681E7E"/>
    <w:rsid w:val="00681ED3"/>
    <w:rsid w:val="00681EEC"/>
    <w:rsid w:val="00681F5C"/>
    <w:rsid w:val="00681FEE"/>
    <w:rsid w:val="0068211D"/>
    <w:rsid w:val="00682133"/>
    <w:rsid w:val="0068231B"/>
    <w:rsid w:val="00682639"/>
    <w:rsid w:val="00682719"/>
    <w:rsid w:val="006827C6"/>
    <w:rsid w:val="0068296A"/>
    <w:rsid w:val="00682CD1"/>
    <w:rsid w:val="00682E40"/>
    <w:rsid w:val="00682F72"/>
    <w:rsid w:val="006831AB"/>
    <w:rsid w:val="00683294"/>
    <w:rsid w:val="00683793"/>
    <w:rsid w:val="00683A7C"/>
    <w:rsid w:val="00683A8E"/>
    <w:rsid w:val="00683AE6"/>
    <w:rsid w:val="00683B21"/>
    <w:rsid w:val="00683B40"/>
    <w:rsid w:val="00683C13"/>
    <w:rsid w:val="00683C1F"/>
    <w:rsid w:val="00683CFA"/>
    <w:rsid w:val="00683D8E"/>
    <w:rsid w:val="00683DAD"/>
    <w:rsid w:val="00683F91"/>
    <w:rsid w:val="00683FC1"/>
    <w:rsid w:val="00684010"/>
    <w:rsid w:val="006840B2"/>
    <w:rsid w:val="006840E9"/>
    <w:rsid w:val="006841F3"/>
    <w:rsid w:val="006844E0"/>
    <w:rsid w:val="00684525"/>
    <w:rsid w:val="006845BD"/>
    <w:rsid w:val="006846E4"/>
    <w:rsid w:val="006847B1"/>
    <w:rsid w:val="006847B2"/>
    <w:rsid w:val="0068482E"/>
    <w:rsid w:val="0068484A"/>
    <w:rsid w:val="00684878"/>
    <w:rsid w:val="00684883"/>
    <w:rsid w:val="006848C3"/>
    <w:rsid w:val="00684ADC"/>
    <w:rsid w:val="00684C93"/>
    <w:rsid w:val="00684D3A"/>
    <w:rsid w:val="00684E8A"/>
    <w:rsid w:val="00684EC3"/>
    <w:rsid w:val="00685195"/>
    <w:rsid w:val="006851A9"/>
    <w:rsid w:val="0068527E"/>
    <w:rsid w:val="006855FC"/>
    <w:rsid w:val="00685663"/>
    <w:rsid w:val="00685669"/>
    <w:rsid w:val="006857CA"/>
    <w:rsid w:val="00685B20"/>
    <w:rsid w:val="00685B8A"/>
    <w:rsid w:val="00685D34"/>
    <w:rsid w:val="00685E46"/>
    <w:rsid w:val="00686012"/>
    <w:rsid w:val="006860C4"/>
    <w:rsid w:val="006860D9"/>
    <w:rsid w:val="00686253"/>
    <w:rsid w:val="00686298"/>
    <w:rsid w:val="00686825"/>
    <w:rsid w:val="00686910"/>
    <w:rsid w:val="00686958"/>
    <w:rsid w:val="00686BA1"/>
    <w:rsid w:val="00686BD4"/>
    <w:rsid w:val="00686D0D"/>
    <w:rsid w:val="00686D69"/>
    <w:rsid w:val="00686E90"/>
    <w:rsid w:val="0068711B"/>
    <w:rsid w:val="0068716A"/>
    <w:rsid w:val="00687188"/>
    <w:rsid w:val="00687277"/>
    <w:rsid w:val="006872C1"/>
    <w:rsid w:val="006873F2"/>
    <w:rsid w:val="00687422"/>
    <w:rsid w:val="0068748E"/>
    <w:rsid w:val="00687702"/>
    <w:rsid w:val="00687713"/>
    <w:rsid w:val="00687770"/>
    <w:rsid w:val="00687789"/>
    <w:rsid w:val="00687975"/>
    <w:rsid w:val="00687A65"/>
    <w:rsid w:val="00687B5E"/>
    <w:rsid w:val="00687D65"/>
    <w:rsid w:val="00687DC0"/>
    <w:rsid w:val="006900A5"/>
    <w:rsid w:val="006902FD"/>
    <w:rsid w:val="00690432"/>
    <w:rsid w:val="006904C2"/>
    <w:rsid w:val="00690576"/>
    <w:rsid w:val="0069088A"/>
    <w:rsid w:val="00690995"/>
    <w:rsid w:val="00690A33"/>
    <w:rsid w:val="00690B51"/>
    <w:rsid w:val="00690D30"/>
    <w:rsid w:val="00690D38"/>
    <w:rsid w:val="00690DA5"/>
    <w:rsid w:val="00690E41"/>
    <w:rsid w:val="00690EED"/>
    <w:rsid w:val="00691049"/>
    <w:rsid w:val="006911E5"/>
    <w:rsid w:val="00691308"/>
    <w:rsid w:val="0069141D"/>
    <w:rsid w:val="006916E8"/>
    <w:rsid w:val="00691755"/>
    <w:rsid w:val="006917FC"/>
    <w:rsid w:val="00691A81"/>
    <w:rsid w:val="00691AF0"/>
    <w:rsid w:val="00691AFB"/>
    <w:rsid w:val="00691C02"/>
    <w:rsid w:val="00691C0D"/>
    <w:rsid w:val="00691D02"/>
    <w:rsid w:val="00691E3F"/>
    <w:rsid w:val="00691F3B"/>
    <w:rsid w:val="006920B5"/>
    <w:rsid w:val="006920FE"/>
    <w:rsid w:val="00692214"/>
    <w:rsid w:val="00692333"/>
    <w:rsid w:val="00692733"/>
    <w:rsid w:val="0069274E"/>
    <w:rsid w:val="006928AF"/>
    <w:rsid w:val="00692913"/>
    <w:rsid w:val="00692945"/>
    <w:rsid w:val="006929EC"/>
    <w:rsid w:val="00692BA5"/>
    <w:rsid w:val="00692C64"/>
    <w:rsid w:val="00692C91"/>
    <w:rsid w:val="00692DF1"/>
    <w:rsid w:val="00692EC6"/>
    <w:rsid w:val="00692FB9"/>
    <w:rsid w:val="00693060"/>
    <w:rsid w:val="0069310D"/>
    <w:rsid w:val="006931F7"/>
    <w:rsid w:val="00693279"/>
    <w:rsid w:val="00693371"/>
    <w:rsid w:val="0069356B"/>
    <w:rsid w:val="006935C0"/>
    <w:rsid w:val="00693604"/>
    <w:rsid w:val="006936A0"/>
    <w:rsid w:val="00693738"/>
    <w:rsid w:val="00693956"/>
    <w:rsid w:val="00693A2B"/>
    <w:rsid w:val="00693CAB"/>
    <w:rsid w:val="00693E89"/>
    <w:rsid w:val="00694102"/>
    <w:rsid w:val="006941A8"/>
    <w:rsid w:val="006943F3"/>
    <w:rsid w:val="00694504"/>
    <w:rsid w:val="00694594"/>
    <w:rsid w:val="006945F1"/>
    <w:rsid w:val="0069460E"/>
    <w:rsid w:val="00694818"/>
    <w:rsid w:val="00694AF0"/>
    <w:rsid w:val="00694E85"/>
    <w:rsid w:val="00695050"/>
    <w:rsid w:val="006950F6"/>
    <w:rsid w:val="006952DB"/>
    <w:rsid w:val="006952ED"/>
    <w:rsid w:val="006954CB"/>
    <w:rsid w:val="006955E8"/>
    <w:rsid w:val="006955FD"/>
    <w:rsid w:val="006956DE"/>
    <w:rsid w:val="0069571F"/>
    <w:rsid w:val="00695879"/>
    <w:rsid w:val="00695A14"/>
    <w:rsid w:val="00695A6F"/>
    <w:rsid w:val="00695B5C"/>
    <w:rsid w:val="00695CBF"/>
    <w:rsid w:val="00695D87"/>
    <w:rsid w:val="00695E6F"/>
    <w:rsid w:val="00695FB7"/>
    <w:rsid w:val="00696153"/>
    <w:rsid w:val="00696296"/>
    <w:rsid w:val="006962A4"/>
    <w:rsid w:val="006962FA"/>
    <w:rsid w:val="0069636B"/>
    <w:rsid w:val="00696628"/>
    <w:rsid w:val="00696752"/>
    <w:rsid w:val="006967C9"/>
    <w:rsid w:val="00696899"/>
    <w:rsid w:val="0069694E"/>
    <w:rsid w:val="00696ADC"/>
    <w:rsid w:val="00696AE5"/>
    <w:rsid w:val="00696D3E"/>
    <w:rsid w:val="00696ED9"/>
    <w:rsid w:val="00696F34"/>
    <w:rsid w:val="00697184"/>
    <w:rsid w:val="00697376"/>
    <w:rsid w:val="006974AC"/>
    <w:rsid w:val="006974FB"/>
    <w:rsid w:val="00697769"/>
    <w:rsid w:val="006978D4"/>
    <w:rsid w:val="00697D4E"/>
    <w:rsid w:val="00697E60"/>
    <w:rsid w:val="006A001C"/>
    <w:rsid w:val="006A012F"/>
    <w:rsid w:val="006A0144"/>
    <w:rsid w:val="006A01FD"/>
    <w:rsid w:val="006A0242"/>
    <w:rsid w:val="006A02B4"/>
    <w:rsid w:val="006A0369"/>
    <w:rsid w:val="006A039B"/>
    <w:rsid w:val="006A062F"/>
    <w:rsid w:val="006A0642"/>
    <w:rsid w:val="006A0681"/>
    <w:rsid w:val="006A06EF"/>
    <w:rsid w:val="006A0A05"/>
    <w:rsid w:val="006A0A6B"/>
    <w:rsid w:val="006A0D8F"/>
    <w:rsid w:val="006A0E2D"/>
    <w:rsid w:val="006A1331"/>
    <w:rsid w:val="006A1387"/>
    <w:rsid w:val="006A1521"/>
    <w:rsid w:val="006A163A"/>
    <w:rsid w:val="006A1754"/>
    <w:rsid w:val="006A1788"/>
    <w:rsid w:val="006A178A"/>
    <w:rsid w:val="006A1826"/>
    <w:rsid w:val="006A18B7"/>
    <w:rsid w:val="006A18CF"/>
    <w:rsid w:val="006A1934"/>
    <w:rsid w:val="006A1A25"/>
    <w:rsid w:val="006A1B7E"/>
    <w:rsid w:val="006A1C4D"/>
    <w:rsid w:val="006A1D3F"/>
    <w:rsid w:val="006A1E34"/>
    <w:rsid w:val="006A1E39"/>
    <w:rsid w:val="006A1E5F"/>
    <w:rsid w:val="006A2158"/>
    <w:rsid w:val="006A22F0"/>
    <w:rsid w:val="006A2577"/>
    <w:rsid w:val="006A260E"/>
    <w:rsid w:val="006A265A"/>
    <w:rsid w:val="006A2821"/>
    <w:rsid w:val="006A2915"/>
    <w:rsid w:val="006A294E"/>
    <w:rsid w:val="006A29BF"/>
    <w:rsid w:val="006A2B9C"/>
    <w:rsid w:val="006A2CEF"/>
    <w:rsid w:val="006A2DDE"/>
    <w:rsid w:val="006A2EC3"/>
    <w:rsid w:val="006A3148"/>
    <w:rsid w:val="006A341C"/>
    <w:rsid w:val="006A34DE"/>
    <w:rsid w:val="006A3570"/>
    <w:rsid w:val="006A35D0"/>
    <w:rsid w:val="006A37BF"/>
    <w:rsid w:val="006A3943"/>
    <w:rsid w:val="006A3B5C"/>
    <w:rsid w:val="006A3BB1"/>
    <w:rsid w:val="006A3C8B"/>
    <w:rsid w:val="006A3E0C"/>
    <w:rsid w:val="006A3EBB"/>
    <w:rsid w:val="006A3ECC"/>
    <w:rsid w:val="006A42EC"/>
    <w:rsid w:val="006A43C7"/>
    <w:rsid w:val="006A4426"/>
    <w:rsid w:val="006A44AD"/>
    <w:rsid w:val="006A47AE"/>
    <w:rsid w:val="006A49A6"/>
    <w:rsid w:val="006A4CBC"/>
    <w:rsid w:val="006A4D81"/>
    <w:rsid w:val="006A4E72"/>
    <w:rsid w:val="006A5082"/>
    <w:rsid w:val="006A5116"/>
    <w:rsid w:val="006A5221"/>
    <w:rsid w:val="006A5416"/>
    <w:rsid w:val="006A541F"/>
    <w:rsid w:val="006A5491"/>
    <w:rsid w:val="006A57AB"/>
    <w:rsid w:val="006A5A5C"/>
    <w:rsid w:val="006A5B90"/>
    <w:rsid w:val="006A5C75"/>
    <w:rsid w:val="006A5E34"/>
    <w:rsid w:val="006A615F"/>
    <w:rsid w:val="006A6203"/>
    <w:rsid w:val="006A62A8"/>
    <w:rsid w:val="006A62FE"/>
    <w:rsid w:val="006A6324"/>
    <w:rsid w:val="006A65C6"/>
    <w:rsid w:val="006A6807"/>
    <w:rsid w:val="006A695D"/>
    <w:rsid w:val="006A6A06"/>
    <w:rsid w:val="006A6A1E"/>
    <w:rsid w:val="006A6A42"/>
    <w:rsid w:val="006A6E53"/>
    <w:rsid w:val="006A6F7C"/>
    <w:rsid w:val="006A7145"/>
    <w:rsid w:val="006A7201"/>
    <w:rsid w:val="006A7230"/>
    <w:rsid w:val="006A72D9"/>
    <w:rsid w:val="006A734B"/>
    <w:rsid w:val="006A775C"/>
    <w:rsid w:val="006A7848"/>
    <w:rsid w:val="006A7ADE"/>
    <w:rsid w:val="006A7CBB"/>
    <w:rsid w:val="006A9A4F"/>
    <w:rsid w:val="006B00CE"/>
    <w:rsid w:val="006B0164"/>
    <w:rsid w:val="006B0210"/>
    <w:rsid w:val="006B02E0"/>
    <w:rsid w:val="006B047C"/>
    <w:rsid w:val="006B049B"/>
    <w:rsid w:val="006B04F5"/>
    <w:rsid w:val="006B062D"/>
    <w:rsid w:val="006B06CA"/>
    <w:rsid w:val="006B07B2"/>
    <w:rsid w:val="006B0D83"/>
    <w:rsid w:val="006B0DF3"/>
    <w:rsid w:val="006B0E60"/>
    <w:rsid w:val="006B0F20"/>
    <w:rsid w:val="006B0F5E"/>
    <w:rsid w:val="006B109E"/>
    <w:rsid w:val="006B10C7"/>
    <w:rsid w:val="006B126F"/>
    <w:rsid w:val="006B13D1"/>
    <w:rsid w:val="006B13D3"/>
    <w:rsid w:val="006B14DA"/>
    <w:rsid w:val="006B14FA"/>
    <w:rsid w:val="006B17D8"/>
    <w:rsid w:val="006B185C"/>
    <w:rsid w:val="006B18D0"/>
    <w:rsid w:val="006B1C14"/>
    <w:rsid w:val="006B1CDE"/>
    <w:rsid w:val="006B1D0A"/>
    <w:rsid w:val="006B1E2C"/>
    <w:rsid w:val="006B1F99"/>
    <w:rsid w:val="006B1FE3"/>
    <w:rsid w:val="006B20F8"/>
    <w:rsid w:val="006B2198"/>
    <w:rsid w:val="006B219E"/>
    <w:rsid w:val="006B21B4"/>
    <w:rsid w:val="006B23E1"/>
    <w:rsid w:val="006B2410"/>
    <w:rsid w:val="006B26B6"/>
    <w:rsid w:val="006B2781"/>
    <w:rsid w:val="006B27B6"/>
    <w:rsid w:val="006B27B7"/>
    <w:rsid w:val="006B2AD3"/>
    <w:rsid w:val="006B2B30"/>
    <w:rsid w:val="006B2BE5"/>
    <w:rsid w:val="006B2C04"/>
    <w:rsid w:val="006B2C79"/>
    <w:rsid w:val="006B2DF7"/>
    <w:rsid w:val="006B2E25"/>
    <w:rsid w:val="006B2EAA"/>
    <w:rsid w:val="006B2EC9"/>
    <w:rsid w:val="006B2F67"/>
    <w:rsid w:val="006B2F71"/>
    <w:rsid w:val="006B30E7"/>
    <w:rsid w:val="006B315F"/>
    <w:rsid w:val="006B336A"/>
    <w:rsid w:val="006B342E"/>
    <w:rsid w:val="006B343A"/>
    <w:rsid w:val="006B3769"/>
    <w:rsid w:val="006B38C4"/>
    <w:rsid w:val="006B3930"/>
    <w:rsid w:val="006B39B4"/>
    <w:rsid w:val="006B3A6D"/>
    <w:rsid w:val="006B3B00"/>
    <w:rsid w:val="006B3CB9"/>
    <w:rsid w:val="006B3D18"/>
    <w:rsid w:val="006B3EF0"/>
    <w:rsid w:val="006B3F12"/>
    <w:rsid w:val="006B4012"/>
    <w:rsid w:val="006B4150"/>
    <w:rsid w:val="006B430D"/>
    <w:rsid w:val="006B4331"/>
    <w:rsid w:val="006B466B"/>
    <w:rsid w:val="006B47E9"/>
    <w:rsid w:val="006B4912"/>
    <w:rsid w:val="006B4DCB"/>
    <w:rsid w:val="006B4E29"/>
    <w:rsid w:val="006B4E64"/>
    <w:rsid w:val="006B4E66"/>
    <w:rsid w:val="006B4F0F"/>
    <w:rsid w:val="006B4FB6"/>
    <w:rsid w:val="006B5089"/>
    <w:rsid w:val="006B508D"/>
    <w:rsid w:val="006B509E"/>
    <w:rsid w:val="006B50A1"/>
    <w:rsid w:val="006B5236"/>
    <w:rsid w:val="006B527A"/>
    <w:rsid w:val="006B5502"/>
    <w:rsid w:val="006B5605"/>
    <w:rsid w:val="006B5674"/>
    <w:rsid w:val="006B5807"/>
    <w:rsid w:val="006B5812"/>
    <w:rsid w:val="006B584E"/>
    <w:rsid w:val="006B589D"/>
    <w:rsid w:val="006B5A33"/>
    <w:rsid w:val="006B5B92"/>
    <w:rsid w:val="006B5BBF"/>
    <w:rsid w:val="006B5BDD"/>
    <w:rsid w:val="006B5CC0"/>
    <w:rsid w:val="006B5DB3"/>
    <w:rsid w:val="006B5DEF"/>
    <w:rsid w:val="006B60A2"/>
    <w:rsid w:val="006B619D"/>
    <w:rsid w:val="006B6241"/>
    <w:rsid w:val="006B657A"/>
    <w:rsid w:val="006B6608"/>
    <w:rsid w:val="006B6659"/>
    <w:rsid w:val="006B6754"/>
    <w:rsid w:val="006B6942"/>
    <w:rsid w:val="006B6B03"/>
    <w:rsid w:val="006B6BFA"/>
    <w:rsid w:val="006B6C34"/>
    <w:rsid w:val="006B6E89"/>
    <w:rsid w:val="006B6F2E"/>
    <w:rsid w:val="006B7247"/>
    <w:rsid w:val="006B724B"/>
    <w:rsid w:val="006B7440"/>
    <w:rsid w:val="006B75AA"/>
    <w:rsid w:val="006B77EC"/>
    <w:rsid w:val="006B7831"/>
    <w:rsid w:val="006B7939"/>
    <w:rsid w:val="006B7944"/>
    <w:rsid w:val="006B7C85"/>
    <w:rsid w:val="006B7EE6"/>
    <w:rsid w:val="006B7FA6"/>
    <w:rsid w:val="006C0038"/>
    <w:rsid w:val="006C0166"/>
    <w:rsid w:val="006C0248"/>
    <w:rsid w:val="006C0251"/>
    <w:rsid w:val="006C032A"/>
    <w:rsid w:val="006C035A"/>
    <w:rsid w:val="006C037C"/>
    <w:rsid w:val="006C0468"/>
    <w:rsid w:val="006C0725"/>
    <w:rsid w:val="006C07F1"/>
    <w:rsid w:val="006C0850"/>
    <w:rsid w:val="006C08EF"/>
    <w:rsid w:val="006C09A2"/>
    <w:rsid w:val="006C0B55"/>
    <w:rsid w:val="006C0DAA"/>
    <w:rsid w:val="006C0E2B"/>
    <w:rsid w:val="006C0EA7"/>
    <w:rsid w:val="006C10A3"/>
    <w:rsid w:val="006C11A6"/>
    <w:rsid w:val="006C1225"/>
    <w:rsid w:val="006C13A4"/>
    <w:rsid w:val="006C13B6"/>
    <w:rsid w:val="006C14C1"/>
    <w:rsid w:val="006C1685"/>
    <w:rsid w:val="006C1825"/>
    <w:rsid w:val="006C199E"/>
    <w:rsid w:val="006C1AEA"/>
    <w:rsid w:val="006C1AFF"/>
    <w:rsid w:val="006C1C21"/>
    <w:rsid w:val="006C1C49"/>
    <w:rsid w:val="006C1C5A"/>
    <w:rsid w:val="006C1C71"/>
    <w:rsid w:val="006C1D79"/>
    <w:rsid w:val="006C1DF0"/>
    <w:rsid w:val="006C1FDA"/>
    <w:rsid w:val="006C204A"/>
    <w:rsid w:val="006C21B9"/>
    <w:rsid w:val="006C24D7"/>
    <w:rsid w:val="006C2881"/>
    <w:rsid w:val="006C28D8"/>
    <w:rsid w:val="006C28F2"/>
    <w:rsid w:val="006C2909"/>
    <w:rsid w:val="006C292C"/>
    <w:rsid w:val="006C2AD5"/>
    <w:rsid w:val="006C2B89"/>
    <w:rsid w:val="006C2C27"/>
    <w:rsid w:val="006C2CC5"/>
    <w:rsid w:val="006C2D58"/>
    <w:rsid w:val="006C2EA2"/>
    <w:rsid w:val="006C2FD3"/>
    <w:rsid w:val="006C3082"/>
    <w:rsid w:val="006C313C"/>
    <w:rsid w:val="006C3160"/>
    <w:rsid w:val="006C3204"/>
    <w:rsid w:val="006C32CC"/>
    <w:rsid w:val="006C33B2"/>
    <w:rsid w:val="006C33F3"/>
    <w:rsid w:val="006C3407"/>
    <w:rsid w:val="006C344F"/>
    <w:rsid w:val="006C34DE"/>
    <w:rsid w:val="006C354D"/>
    <w:rsid w:val="006C35E6"/>
    <w:rsid w:val="006C3634"/>
    <w:rsid w:val="006C3670"/>
    <w:rsid w:val="006C37D3"/>
    <w:rsid w:val="006C39A3"/>
    <w:rsid w:val="006C39FD"/>
    <w:rsid w:val="006C3A60"/>
    <w:rsid w:val="006C3B8B"/>
    <w:rsid w:val="006C3BF3"/>
    <w:rsid w:val="006C3C85"/>
    <w:rsid w:val="006C3CE4"/>
    <w:rsid w:val="006C3FFD"/>
    <w:rsid w:val="006C407A"/>
    <w:rsid w:val="006C4093"/>
    <w:rsid w:val="006C41F6"/>
    <w:rsid w:val="006C4358"/>
    <w:rsid w:val="006C438A"/>
    <w:rsid w:val="006C4736"/>
    <w:rsid w:val="006C4832"/>
    <w:rsid w:val="006C485B"/>
    <w:rsid w:val="006C48C8"/>
    <w:rsid w:val="006C490D"/>
    <w:rsid w:val="006C494A"/>
    <w:rsid w:val="006C4AF1"/>
    <w:rsid w:val="006C4B97"/>
    <w:rsid w:val="006C4CBE"/>
    <w:rsid w:val="006C4CFB"/>
    <w:rsid w:val="006C4F00"/>
    <w:rsid w:val="006C4FAC"/>
    <w:rsid w:val="006C508F"/>
    <w:rsid w:val="006C51B8"/>
    <w:rsid w:val="006C520B"/>
    <w:rsid w:val="006C5361"/>
    <w:rsid w:val="006C536C"/>
    <w:rsid w:val="006C536E"/>
    <w:rsid w:val="006C5757"/>
    <w:rsid w:val="006C5767"/>
    <w:rsid w:val="006C5916"/>
    <w:rsid w:val="006C5924"/>
    <w:rsid w:val="006C5930"/>
    <w:rsid w:val="006C5F4D"/>
    <w:rsid w:val="006C5F7A"/>
    <w:rsid w:val="006C5FBA"/>
    <w:rsid w:val="006C5FF6"/>
    <w:rsid w:val="006C6092"/>
    <w:rsid w:val="006C6107"/>
    <w:rsid w:val="006C61C0"/>
    <w:rsid w:val="006C6305"/>
    <w:rsid w:val="006C646C"/>
    <w:rsid w:val="006C650B"/>
    <w:rsid w:val="006C657B"/>
    <w:rsid w:val="006C661C"/>
    <w:rsid w:val="006C6AC4"/>
    <w:rsid w:val="006C6AF6"/>
    <w:rsid w:val="006C6B5D"/>
    <w:rsid w:val="006C6C9D"/>
    <w:rsid w:val="006C6ECD"/>
    <w:rsid w:val="006C6ECE"/>
    <w:rsid w:val="006C6F4B"/>
    <w:rsid w:val="006C6F8A"/>
    <w:rsid w:val="006C715C"/>
    <w:rsid w:val="006C7354"/>
    <w:rsid w:val="006C74A6"/>
    <w:rsid w:val="006C7531"/>
    <w:rsid w:val="006C787E"/>
    <w:rsid w:val="006C7926"/>
    <w:rsid w:val="006C79A1"/>
    <w:rsid w:val="006C7DBA"/>
    <w:rsid w:val="006C7E2F"/>
    <w:rsid w:val="006C7F11"/>
    <w:rsid w:val="006D0077"/>
    <w:rsid w:val="006D00BA"/>
    <w:rsid w:val="006D0308"/>
    <w:rsid w:val="006D0549"/>
    <w:rsid w:val="006D073C"/>
    <w:rsid w:val="006D0AF4"/>
    <w:rsid w:val="006D0BF0"/>
    <w:rsid w:val="006D0E69"/>
    <w:rsid w:val="006D0EC1"/>
    <w:rsid w:val="006D108D"/>
    <w:rsid w:val="006D1110"/>
    <w:rsid w:val="006D1359"/>
    <w:rsid w:val="006D1405"/>
    <w:rsid w:val="006D14AE"/>
    <w:rsid w:val="006D1527"/>
    <w:rsid w:val="006D1690"/>
    <w:rsid w:val="006D1849"/>
    <w:rsid w:val="006D1914"/>
    <w:rsid w:val="006D1944"/>
    <w:rsid w:val="006D1966"/>
    <w:rsid w:val="006D1982"/>
    <w:rsid w:val="006D1A51"/>
    <w:rsid w:val="006D1B73"/>
    <w:rsid w:val="006D1B85"/>
    <w:rsid w:val="006D1DED"/>
    <w:rsid w:val="006D1ED7"/>
    <w:rsid w:val="006D1F40"/>
    <w:rsid w:val="006D1F5D"/>
    <w:rsid w:val="006D1F9E"/>
    <w:rsid w:val="006D2012"/>
    <w:rsid w:val="006D2083"/>
    <w:rsid w:val="006D2106"/>
    <w:rsid w:val="006D238B"/>
    <w:rsid w:val="006D2416"/>
    <w:rsid w:val="006D25BA"/>
    <w:rsid w:val="006D26D1"/>
    <w:rsid w:val="006D270E"/>
    <w:rsid w:val="006D28AA"/>
    <w:rsid w:val="006D294D"/>
    <w:rsid w:val="006D2A20"/>
    <w:rsid w:val="006D2A9C"/>
    <w:rsid w:val="006D2B5E"/>
    <w:rsid w:val="006D2C64"/>
    <w:rsid w:val="006D2F40"/>
    <w:rsid w:val="006D3019"/>
    <w:rsid w:val="006D305E"/>
    <w:rsid w:val="006D32B0"/>
    <w:rsid w:val="006D335E"/>
    <w:rsid w:val="006D33F5"/>
    <w:rsid w:val="006D38C0"/>
    <w:rsid w:val="006D3963"/>
    <w:rsid w:val="006D39D2"/>
    <w:rsid w:val="006D3A55"/>
    <w:rsid w:val="006D3BDF"/>
    <w:rsid w:val="006D3C21"/>
    <w:rsid w:val="006D3CA3"/>
    <w:rsid w:val="006D3DAC"/>
    <w:rsid w:val="006D407F"/>
    <w:rsid w:val="006D40D2"/>
    <w:rsid w:val="006D41A2"/>
    <w:rsid w:val="006D429B"/>
    <w:rsid w:val="006D42DF"/>
    <w:rsid w:val="006D4352"/>
    <w:rsid w:val="006D444F"/>
    <w:rsid w:val="006D44EC"/>
    <w:rsid w:val="006D4584"/>
    <w:rsid w:val="006D4680"/>
    <w:rsid w:val="006D47A0"/>
    <w:rsid w:val="006D47A6"/>
    <w:rsid w:val="006D48D6"/>
    <w:rsid w:val="006D4963"/>
    <w:rsid w:val="006D49A4"/>
    <w:rsid w:val="006D4A0F"/>
    <w:rsid w:val="006D4B13"/>
    <w:rsid w:val="006D4BAD"/>
    <w:rsid w:val="006D4C7C"/>
    <w:rsid w:val="006D4DD7"/>
    <w:rsid w:val="006D4DE8"/>
    <w:rsid w:val="006D4E88"/>
    <w:rsid w:val="006D51BD"/>
    <w:rsid w:val="006D52BC"/>
    <w:rsid w:val="006D5361"/>
    <w:rsid w:val="006D5369"/>
    <w:rsid w:val="006D5479"/>
    <w:rsid w:val="006D5516"/>
    <w:rsid w:val="006D5786"/>
    <w:rsid w:val="006D5CD3"/>
    <w:rsid w:val="006D6002"/>
    <w:rsid w:val="006D621D"/>
    <w:rsid w:val="006D63D4"/>
    <w:rsid w:val="006D643C"/>
    <w:rsid w:val="006D6611"/>
    <w:rsid w:val="006D679F"/>
    <w:rsid w:val="006D685E"/>
    <w:rsid w:val="006D69A4"/>
    <w:rsid w:val="006D69F0"/>
    <w:rsid w:val="006D6B4E"/>
    <w:rsid w:val="006D6E02"/>
    <w:rsid w:val="006D6F61"/>
    <w:rsid w:val="006D7171"/>
    <w:rsid w:val="006D72F6"/>
    <w:rsid w:val="006D7362"/>
    <w:rsid w:val="006D73F3"/>
    <w:rsid w:val="006D769A"/>
    <w:rsid w:val="006D76BC"/>
    <w:rsid w:val="006D7833"/>
    <w:rsid w:val="006D7AE5"/>
    <w:rsid w:val="006D7B08"/>
    <w:rsid w:val="006D7E0E"/>
    <w:rsid w:val="006D7ECD"/>
    <w:rsid w:val="006D7F17"/>
    <w:rsid w:val="006D7FEA"/>
    <w:rsid w:val="006E005C"/>
    <w:rsid w:val="006E052E"/>
    <w:rsid w:val="006E061C"/>
    <w:rsid w:val="006E0920"/>
    <w:rsid w:val="006E09F5"/>
    <w:rsid w:val="006E0A5B"/>
    <w:rsid w:val="006E0AED"/>
    <w:rsid w:val="006E0B35"/>
    <w:rsid w:val="006E0FF9"/>
    <w:rsid w:val="006E1248"/>
    <w:rsid w:val="006E1353"/>
    <w:rsid w:val="006E1403"/>
    <w:rsid w:val="006E1530"/>
    <w:rsid w:val="006E156E"/>
    <w:rsid w:val="006E1662"/>
    <w:rsid w:val="006E17AE"/>
    <w:rsid w:val="006E185F"/>
    <w:rsid w:val="006E19DA"/>
    <w:rsid w:val="006E1BBD"/>
    <w:rsid w:val="006E1D01"/>
    <w:rsid w:val="006E1D0A"/>
    <w:rsid w:val="006E1F60"/>
    <w:rsid w:val="006E21C6"/>
    <w:rsid w:val="006E23D7"/>
    <w:rsid w:val="006E2524"/>
    <w:rsid w:val="006E25B9"/>
    <w:rsid w:val="006E2713"/>
    <w:rsid w:val="006E272B"/>
    <w:rsid w:val="006E2779"/>
    <w:rsid w:val="006E27B4"/>
    <w:rsid w:val="006E28C7"/>
    <w:rsid w:val="006E2968"/>
    <w:rsid w:val="006E2A5D"/>
    <w:rsid w:val="006E2A64"/>
    <w:rsid w:val="006E2AA3"/>
    <w:rsid w:val="006E3040"/>
    <w:rsid w:val="006E3079"/>
    <w:rsid w:val="006E30EF"/>
    <w:rsid w:val="006E312A"/>
    <w:rsid w:val="006E314B"/>
    <w:rsid w:val="006E31C5"/>
    <w:rsid w:val="006E328C"/>
    <w:rsid w:val="006E33C9"/>
    <w:rsid w:val="006E361D"/>
    <w:rsid w:val="006E3853"/>
    <w:rsid w:val="006E3976"/>
    <w:rsid w:val="006E3EA9"/>
    <w:rsid w:val="006E3F75"/>
    <w:rsid w:val="006E407A"/>
    <w:rsid w:val="006E4125"/>
    <w:rsid w:val="006E4257"/>
    <w:rsid w:val="006E4305"/>
    <w:rsid w:val="006E4511"/>
    <w:rsid w:val="006E4552"/>
    <w:rsid w:val="006E45CB"/>
    <w:rsid w:val="006E4612"/>
    <w:rsid w:val="006E47A2"/>
    <w:rsid w:val="006E47F7"/>
    <w:rsid w:val="006E4936"/>
    <w:rsid w:val="006E4959"/>
    <w:rsid w:val="006E4AAA"/>
    <w:rsid w:val="006E4AC3"/>
    <w:rsid w:val="006E4B9C"/>
    <w:rsid w:val="006E4D57"/>
    <w:rsid w:val="006E4DCD"/>
    <w:rsid w:val="006E4F56"/>
    <w:rsid w:val="006E5837"/>
    <w:rsid w:val="006E59A8"/>
    <w:rsid w:val="006E5ABE"/>
    <w:rsid w:val="006E5BB0"/>
    <w:rsid w:val="006E5CD0"/>
    <w:rsid w:val="006E5DDD"/>
    <w:rsid w:val="006E5E55"/>
    <w:rsid w:val="006E5EE7"/>
    <w:rsid w:val="006E6076"/>
    <w:rsid w:val="006E60E9"/>
    <w:rsid w:val="006E60ED"/>
    <w:rsid w:val="006E60F0"/>
    <w:rsid w:val="006E6102"/>
    <w:rsid w:val="006E61B7"/>
    <w:rsid w:val="006E63B6"/>
    <w:rsid w:val="006E63C6"/>
    <w:rsid w:val="006E63CE"/>
    <w:rsid w:val="006E640A"/>
    <w:rsid w:val="006E6516"/>
    <w:rsid w:val="006E655E"/>
    <w:rsid w:val="006E6CA3"/>
    <w:rsid w:val="006E6CAD"/>
    <w:rsid w:val="006E6CBF"/>
    <w:rsid w:val="006E6F76"/>
    <w:rsid w:val="006E6FA9"/>
    <w:rsid w:val="006E701C"/>
    <w:rsid w:val="006E721D"/>
    <w:rsid w:val="006E7398"/>
    <w:rsid w:val="006E73F2"/>
    <w:rsid w:val="006E75DE"/>
    <w:rsid w:val="006E75ED"/>
    <w:rsid w:val="006E7651"/>
    <w:rsid w:val="006E7719"/>
    <w:rsid w:val="006E7777"/>
    <w:rsid w:val="006E7877"/>
    <w:rsid w:val="006E78C7"/>
    <w:rsid w:val="006E794A"/>
    <w:rsid w:val="006E7A13"/>
    <w:rsid w:val="006E7A44"/>
    <w:rsid w:val="006E7B57"/>
    <w:rsid w:val="006E7F49"/>
    <w:rsid w:val="006E7FA9"/>
    <w:rsid w:val="006F0131"/>
    <w:rsid w:val="006F0298"/>
    <w:rsid w:val="006F0306"/>
    <w:rsid w:val="006F03A7"/>
    <w:rsid w:val="006F03E0"/>
    <w:rsid w:val="006F0504"/>
    <w:rsid w:val="006F0514"/>
    <w:rsid w:val="006F0700"/>
    <w:rsid w:val="006F072B"/>
    <w:rsid w:val="006F07B5"/>
    <w:rsid w:val="006F0854"/>
    <w:rsid w:val="006F09D0"/>
    <w:rsid w:val="006F09FB"/>
    <w:rsid w:val="006F0C99"/>
    <w:rsid w:val="006F0D19"/>
    <w:rsid w:val="006F0E4C"/>
    <w:rsid w:val="006F0FCB"/>
    <w:rsid w:val="006F10B9"/>
    <w:rsid w:val="006F1122"/>
    <w:rsid w:val="006F1172"/>
    <w:rsid w:val="006F11D4"/>
    <w:rsid w:val="006F1273"/>
    <w:rsid w:val="006F132E"/>
    <w:rsid w:val="006F1336"/>
    <w:rsid w:val="006F136E"/>
    <w:rsid w:val="006F14B1"/>
    <w:rsid w:val="006F14FB"/>
    <w:rsid w:val="006F1512"/>
    <w:rsid w:val="006F170D"/>
    <w:rsid w:val="006F1850"/>
    <w:rsid w:val="006F1991"/>
    <w:rsid w:val="006F1DC4"/>
    <w:rsid w:val="006F1E74"/>
    <w:rsid w:val="006F1F82"/>
    <w:rsid w:val="006F200B"/>
    <w:rsid w:val="006F201F"/>
    <w:rsid w:val="006F21D7"/>
    <w:rsid w:val="006F221A"/>
    <w:rsid w:val="006F22D1"/>
    <w:rsid w:val="006F22FE"/>
    <w:rsid w:val="006F237E"/>
    <w:rsid w:val="006F2398"/>
    <w:rsid w:val="006F26B1"/>
    <w:rsid w:val="006F281B"/>
    <w:rsid w:val="006F28BB"/>
    <w:rsid w:val="006F28FA"/>
    <w:rsid w:val="006F29E3"/>
    <w:rsid w:val="006F2B8D"/>
    <w:rsid w:val="006F2D71"/>
    <w:rsid w:val="006F2E65"/>
    <w:rsid w:val="006F2EC1"/>
    <w:rsid w:val="006F2F69"/>
    <w:rsid w:val="006F2FA2"/>
    <w:rsid w:val="006F3060"/>
    <w:rsid w:val="006F30ED"/>
    <w:rsid w:val="006F30F3"/>
    <w:rsid w:val="006F32C4"/>
    <w:rsid w:val="006F32EA"/>
    <w:rsid w:val="006F32F4"/>
    <w:rsid w:val="006F32FA"/>
    <w:rsid w:val="006F348E"/>
    <w:rsid w:val="006F351B"/>
    <w:rsid w:val="006F370E"/>
    <w:rsid w:val="006F3D08"/>
    <w:rsid w:val="006F3D27"/>
    <w:rsid w:val="006F3DC5"/>
    <w:rsid w:val="006F3F51"/>
    <w:rsid w:val="006F3F53"/>
    <w:rsid w:val="006F3F80"/>
    <w:rsid w:val="006F4038"/>
    <w:rsid w:val="006F4136"/>
    <w:rsid w:val="006F428F"/>
    <w:rsid w:val="006F4306"/>
    <w:rsid w:val="006F4369"/>
    <w:rsid w:val="006F43D1"/>
    <w:rsid w:val="006F44E0"/>
    <w:rsid w:val="006F4629"/>
    <w:rsid w:val="006F47A4"/>
    <w:rsid w:val="006F47D4"/>
    <w:rsid w:val="006F484F"/>
    <w:rsid w:val="006F4920"/>
    <w:rsid w:val="006F4A62"/>
    <w:rsid w:val="006F4B6B"/>
    <w:rsid w:val="006F4B6D"/>
    <w:rsid w:val="006F4B7A"/>
    <w:rsid w:val="006F4D5F"/>
    <w:rsid w:val="006F4D8F"/>
    <w:rsid w:val="006F4E5B"/>
    <w:rsid w:val="006F5098"/>
    <w:rsid w:val="006F515E"/>
    <w:rsid w:val="006F51FF"/>
    <w:rsid w:val="006F5225"/>
    <w:rsid w:val="006F5302"/>
    <w:rsid w:val="006F5331"/>
    <w:rsid w:val="006F5507"/>
    <w:rsid w:val="006F56E8"/>
    <w:rsid w:val="006F573C"/>
    <w:rsid w:val="006F5865"/>
    <w:rsid w:val="006F5904"/>
    <w:rsid w:val="006F591D"/>
    <w:rsid w:val="006F59F1"/>
    <w:rsid w:val="006F5AD7"/>
    <w:rsid w:val="006F5C32"/>
    <w:rsid w:val="006F5C7F"/>
    <w:rsid w:val="006F5E62"/>
    <w:rsid w:val="006F5F19"/>
    <w:rsid w:val="006F5F69"/>
    <w:rsid w:val="006F6117"/>
    <w:rsid w:val="006F6185"/>
    <w:rsid w:val="006F6376"/>
    <w:rsid w:val="006F64F4"/>
    <w:rsid w:val="006F6680"/>
    <w:rsid w:val="006F6930"/>
    <w:rsid w:val="006F6A50"/>
    <w:rsid w:val="006F6C2B"/>
    <w:rsid w:val="006F6C30"/>
    <w:rsid w:val="006F6CC8"/>
    <w:rsid w:val="006F6EB2"/>
    <w:rsid w:val="006F7128"/>
    <w:rsid w:val="006F715A"/>
    <w:rsid w:val="006F7509"/>
    <w:rsid w:val="006F756B"/>
    <w:rsid w:val="006F7603"/>
    <w:rsid w:val="006F7710"/>
    <w:rsid w:val="006F78C9"/>
    <w:rsid w:val="006F7957"/>
    <w:rsid w:val="006F79DF"/>
    <w:rsid w:val="006F7B28"/>
    <w:rsid w:val="006F7B57"/>
    <w:rsid w:val="006F7B65"/>
    <w:rsid w:val="006F7C31"/>
    <w:rsid w:val="00700365"/>
    <w:rsid w:val="007003E2"/>
    <w:rsid w:val="00700419"/>
    <w:rsid w:val="00700829"/>
    <w:rsid w:val="007008D5"/>
    <w:rsid w:val="00700AE9"/>
    <w:rsid w:val="00700E46"/>
    <w:rsid w:val="00700F7A"/>
    <w:rsid w:val="007010D9"/>
    <w:rsid w:val="007011DC"/>
    <w:rsid w:val="00701430"/>
    <w:rsid w:val="007014D9"/>
    <w:rsid w:val="007017D4"/>
    <w:rsid w:val="0070189C"/>
    <w:rsid w:val="00701AF8"/>
    <w:rsid w:val="00701B3B"/>
    <w:rsid w:val="00701B4C"/>
    <w:rsid w:val="00701B53"/>
    <w:rsid w:val="00701C5E"/>
    <w:rsid w:val="00701D09"/>
    <w:rsid w:val="00701E5B"/>
    <w:rsid w:val="00701EF5"/>
    <w:rsid w:val="00702059"/>
    <w:rsid w:val="0070206B"/>
    <w:rsid w:val="00702088"/>
    <w:rsid w:val="007021E5"/>
    <w:rsid w:val="00702210"/>
    <w:rsid w:val="0070224D"/>
    <w:rsid w:val="007022A0"/>
    <w:rsid w:val="007024E7"/>
    <w:rsid w:val="0070252D"/>
    <w:rsid w:val="007025AD"/>
    <w:rsid w:val="007025B0"/>
    <w:rsid w:val="007026F8"/>
    <w:rsid w:val="0070279E"/>
    <w:rsid w:val="0070291B"/>
    <w:rsid w:val="00702B83"/>
    <w:rsid w:val="00702BE5"/>
    <w:rsid w:val="00702F17"/>
    <w:rsid w:val="00702F37"/>
    <w:rsid w:val="00703066"/>
    <w:rsid w:val="00703068"/>
    <w:rsid w:val="0070309F"/>
    <w:rsid w:val="007030B5"/>
    <w:rsid w:val="0070318A"/>
    <w:rsid w:val="007031FB"/>
    <w:rsid w:val="00703471"/>
    <w:rsid w:val="00703476"/>
    <w:rsid w:val="0070348B"/>
    <w:rsid w:val="00703601"/>
    <w:rsid w:val="00703732"/>
    <w:rsid w:val="007037E1"/>
    <w:rsid w:val="0070381D"/>
    <w:rsid w:val="00703830"/>
    <w:rsid w:val="00703C64"/>
    <w:rsid w:val="00703EAB"/>
    <w:rsid w:val="00703F74"/>
    <w:rsid w:val="00703FC8"/>
    <w:rsid w:val="007041FD"/>
    <w:rsid w:val="0070426F"/>
    <w:rsid w:val="007043B6"/>
    <w:rsid w:val="0070449C"/>
    <w:rsid w:val="007044DF"/>
    <w:rsid w:val="007045AE"/>
    <w:rsid w:val="00704667"/>
    <w:rsid w:val="00704893"/>
    <w:rsid w:val="007048BA"/>
    <w:rsid w:val="00704983"/>
    <w:rsid w:val="00704988"/>
    <w:rsid w:val="007049AE"/>
    <w:rsid w:val="00704B42"/>
    <w:rsid w:val="00704B7D"/>
    <w:rsid w:val="00704D1E"/>
    <w:rsid w:val="00704FE4"/>
    <w:rsid w:val="00705035"/>
    <w:rsid w:val="007050AC"/>
    <w:rsid w:val="0070513B"/>
    <w:rsid w:val="007051D7"/>
    <w:rsid w:val="007052E1"/>
    <w:rsid w:val="007053FC"/>
    <w:rsid w:val="0070567F"/>
    <w:rsid w:val="00705738"/>
    <w:rsid w:val="00705902"/>
    <w:rsid w:val="00705995"/>
    <w:rsid w:val="00705A45"/>
    <w:rsid w:val="00705BF2"/>
    <w:rsid w:val="00705C1E"/>
    <w:rsid w:val="00705CB3"/>
    <w:rsid w:val="00705D66"/>
    <w:rsid w:val="00705EF6"/>
    <w:rsid w:val="00705F4D"/>
    <w:rsid w:val="0070635D"/>
    <w:rsid w:val="0070660F"/>
    <w:rsid w:val="00706673"/>
    <w:rsid w:val="00706987"/>
    <w:rsid w:val="0070699B"/>
    <w:rsid w:val="007069BB"/>
    <w:rsid w:val="00706A17"/>
    <w:rsid w:val="00706A6B"/>
    <w:rsid w:val="00706BEA"/>
    <w:rsid w:val="00706DB0"/>
    <w:rsid w:val="00706DD9"/>
    <w:rsid w:val="00706E38"/>
    <w:rsid w:val="007070E7"/>
    <w:rsid w:val="0070716E"/>
    <w:rsid w:val="007071EA"/>
    <w:rsid w:val="00707242"/>
    <w:rsid w:val="00707275"/>
    <w:rsid w:val="0070741E"/>
    <w:rsid w:val="0070747E"/>
    <w:rsid w:val="007074D6"/>
    <w:rsid w:val="00707540"/>
    <w:rsid w:val="00707560"/>
    <w:rsid w:val="0070756B"/>
    <w:rsid w:val="00707574"/>
    <w:rsid w:val="00707600"/>
    <w:rsid w:val="007076BC"/>
    <w:rsid w:val="00707A5C"/>
    <w:rsid w:val="00707CF4"/>
    <w:rsid w:val="00707FCE"/>
    <w:rsid w:val="0071005B"/>
    <w:rsid w:val="00710187"/>
    <w:rsid w:val="007101D2"/>
    <w:rsid w:val="00710294"/>
    <w:rsid w:val="007102D8"/>
    <w:rsid w:val="00710338"/>
    <w:rsid w:val="007103A7"/>
    <w:rsid w:val="00710619"/>
    <w:rsid w:val="00710643"/>
    <w:rsid w:val="0071065E"/>
    <w:rsid w:val="00710835"/>
    <w:rsid w:val="007108F3"/>
    <w:rsid w:val="007108FD"/>
    <w:rsid w:val="0071092D"/>
    <w:rsid w:val="007109C7"/>
    <w:rsid w:val="00710C20"/>
    <w:rsid w:val="00710C4B"/>
    <w:rsid w:val="00710C81"/>
    <w:rsid w:val="00710C9D"/>
    <w:rsid w:val="00710E58"/>
    <w:rsid w:val="00710E7A"/>
    <w:rsid w:val="00710E95"/>
    <w:rsid w:val="00710F72"/>
    <w:rsid w:val="00711302"/>
    <w:rsid w:val="0071137C"/>
    <w:rsid w:val="00711384"/>
    <w:rsid w:val="00711511"/>
    <w:rsid w:val="0071162E"/>
    <w:rsid w:val="0071166E"/>
    <w:rsid w:val="0071172B"/>
    <w:rsid w:val="00711851"/>
    <w:rsid w:val="00711875"/>
    <w:rsid w:val="007118FF"/>
    <w:rsid w:val="00711944"/>
    <w:rsid w:val="007119B5"/>
    <w:rsid w:val="00711EE5"/>
    <w:rsid w:val="00711F4A"/>
    <w:rsid w:val="00712171"/>
    <w:rsid w:val="007121BE"/>
    <w:rsid w:val="007121F1"/>
    <w:rsid w:val="00712225"/>
    <w:rsid w:val="007123B7"/>
    <w:rsid w:val="0071246F"/>
    <w:rsid w:val="00712481"/>
    <w:rsid w:val="00712653"/>
    <w:rsid w:val="0071272E"/>
    <w:rsid w:val="00712735"/>
    <w:rsid w:val="007127A4"/>
    <w:rsid w:val="00712812"/>
    <w:rsid w:val="007128F8"/>
    <w:rsid w:val="00712963"/>
    <w:rsid w:val="00712A13"/>
    <w:rsid w:val="00712BBD"/>
    <w:rsid w:val="00712BC1"/>
    <w:rsid w:val="00712BFB"/>
    <w:rsid w:val="00712C30"/>
    <w:rsid w:val="00712C4F"/>
    <w:rsid w:val="00712CC2"/>
    <w:rsid w:val="00712CF4"/>
    <w:rsid w:val="00713293"/>
    <w:rsid w:val="00713455"/>
    <w:rsid w:val="007135E4"/>
    <w:rsid w:val="0071362D"/>
    <w:rsid w:val="00713728"/>
    <w:rsid w:val="00713932"/>
    <w:rsid w:val="007139C8"/>
    <w:rsid w:val="00713AEC"/>
    <w:rsid w:val="00713BC8"/>
    <w:rsid w:val="00713BFD"/>
    <w:rsid w:val="00713C82"/>
    <w:rsid w:val="00713F27"/>
    <w:rsid w:val="00713F3F"/>
    <w:rsid w:val="007140EC"/>
    <w:rsid w:val="0071410E"/>
    <w:rsid w:val="00714600"/>
    <w:rsid w:val="007149B0"/>
    <w:rsid w:val="00714A67"/>
    <w:rsid w:val="00714C16"/>
    <w:rsid w:val="00714CDB"/>
    <w:rsid w:val="00714EA2"/>
    <w:rsid w:val="00714EDC"/>
    <w:rsid w:val="0071504D"/>
    <w:rsid w:val="0071507E"/>
    <w:rsid w:val="0071512F"/>
    <w:rsid w:val="0071514C"/>
    <w:rsid w:val="0071516C"/>
    <w:rsid w:val="007153B5"/>
    <w:rsid w:val="007153D9"/>
    <w:rsid w:val="00715569"/>
    <w:rsid w:val="00715977"/>
    <w:rsid w:val="00715978"/>
    <w:rsid w:val="00715AD2"/>
    <w:rsid w:val="00715AF8"/>
    <w:rsid w:val="00715B8C"/>
    <w:rsid w:val="00715BC4"/>
    <w:rsid w:val="00715C86"/>
    <w:rsid w:val="00715D24"/>
    <w:rsid w:val="00715F16"/>
    <w:rsid w:val="00716180"/>
    <w:rsid w:val="00716195"/>
    <w:rsid w:val="007161C3"/>
    <w:rsid w:val="00716328"/>
    <w:rsid w:val="0071634B"/>
    <w:rsid w:val="0071659E"/>
    <w:rsid w:val="0071671B"/>
    <w:rsid w:val="00716765"/>
    <w:rsid w:val="007169BD"/>
    <w:rsid w:val="00716B2F"/>
    <w:rsid w:val="00716D67"/>
    <w:rsid w:val="00717188"/>
    <w:rsid w:val="007172EF"/>
    <w:rsid w:val="0071742C"/>
    <w:rsid w:val="0071744E"/>
    <w:rsid w:val="00717790"/>
    <w:rsid w:val="007178D0"/>
    <w:rsid w:val="00717B0C"/>
    <w:rsid w:val="00717E87"/>
    <w:rsid w:val="00720051"/>
    <w:rsid w:val="0072016A"/>
    <w:rsid w:val="007201C1"/>
    <w:rsid w:val="00720216"/>
    <w:rsid w:val="0072026A"/>
    <w:rsid w:val="007202BB"/>
    <w:rsid w:val="0072030D"/>
    <w:rsid w:val="0072037E"/>
    <w:rsid w:val="007204CE"/>
    <w:rsid w:val="007204F5"/>
    <w:rsid w:val="00720521"/>
    <w:rsid w:val="00720567"/>
    <w:rsid w:val="0072074A"/>
    <w:rsid w:val="0072077E"/>
    <w:rsid w:val="00720878"/>
    <w:rsid w:val="007208D7"/>
    <w:rsid w:val="00720AAD"/>
    <w:rsid w:val="00720BF2"/>
    <w:rsid w:val="00720CCD"/>
    <w:rsid w:val="00720D1B"/>
    <w:rsid w:val="00720F65"/>
    <w:rsid w:val="00720F66"/>
    <w:rsid w:val="00721140"/>
    <w:rsid w:val="0072151A"/>
    <w:rsid w:val="00721562"/>
    <w:rsid w:val="00721612"/>
    <w:rsid w:val="00721784"/>
    <w:rsid w:val="007217BD"/>
    <w:rsid w:val="00721815"/>
    <w:rsid w:val="00721A06"/>
    <w:rsid w:val="00721ACC"/>
    <w:rsid w:val="00721BE8"/>
    <w:rsid w:val="00721C53"/>
    <w:rsid w:val="00721CD1"/>
    <w:rsid w:val="00721F94"/>
    <w:rsid w:val="007223D0"/>
    <w:rsid w:val="007224FE"/>
    <w:rsid w:val="00722534"/>
    <w:rsid w:val="00722539"/>
    <w:rsid w:val="00722B30"/>
    <w:rsid w:val="00722C43"/>
    <w:rsid w:val="00722CA7"/>
    <w:rsid w:val="00722DC1"/>
    <w:rsid w:val="00722F7F"/>
    <w:rsid w:val="00722FB5"/>
    <w:rsid w:val="0072306D"/>
    <w:rsid w:val="0072331F"/>
    <w:rsid w:val="00723453"/>
    <w:rsid w:val="00723741"/>
    <w:rsid w:val="00723C7B"/>
    <w:rsid w:val="00723FDB"/>
    <w:rsid w:val="0072405E"/>
    <w:rsid w:val="00724090"/>
    <w:rsid w:val="007243BF"/>
    <w:rsid w:val="0072445E"/>
    <w:rsid w:val="0072446D"/>
    <w:rsid w:val="007247DE"/>
    <w:rsid w:val="007248A8"/>
    <w:rsid w:val="007248CC"/>
    <w:rsid w:val="00724942"/>
    <w:rsid w:val="007249CB"/>
    <w:rsid w:val="007249D3"/>
    <w:rsid w:val="00724AF3"/>
    <w:rsid w:val="00724B53"/>
    <w:rsid w:val="00724BEA"/>
    <w:rsid w:val="00724C0D"/>
    <w:rsid w:val="00724C8C"/>
    <w:rsid w:val="00724FBF"/>
    <w:rsid w:val="00725004"/>
    <w:rsid w:val="007250B9"/>
    <w:rsid w:val="007250FB"/>
    <w:rsid w:val="00725145"/>
    <w:rsid w:val="00725294"/>
    <w:rsid w:val="007259FF"/>
    <w:rsid w:val="00725AC9"/>
    <w:rsid w:val="00725C5F"/>
    <w:rsid w:val="00725F80"/>
    <w:rsid w:val="00726008"/>
    <w:rsid w:val="00726522"/>
    <w:rsid w:val="00726765"/>
    <w:rsid w:val="007267D9"/>
    <w:rsid w:val="007267DD"/>
    <w:rsid w:val="007268B1"/>
    <w:rsid w:val="00726925"/>
    <w:rsid w:val="007269B4"/>
    <w:rsid w:val="00726C6E"/>
    <w:rsid w:val="00726C82"/>
    <w:rsid w:val="00726CF1"/>
    <w:rsid w:val="00726D09"/>
    <w:rsid w:val="00726D0E"/>
    <w:rsid w:val="00726E0C"/>
    <w:rsid w:val="00726E93"/>
    <w:rsid w:val="00726ED6"/>
    <w:rsid w:val="00726F03"/>
    <w:rsid w:val="007270A5"/>
    <w:rsid w:val="007270E7"/>
    <w:rsid w:val="00727118"/>
    <w:rsid w:val="007272B5"/>
    <w:rsid w:val="007273AF"/>
    <w:rsid w:val="00727451"/>
    <w:rsid w:val="007275D5"/>
    <w:rsid w:val="0072764C"/>
    <w:rsid w:val="00727682"/>
    <w:rsid w:val="007276C8"/>
    <w:rsid w:val="00727898"/>
    <w:rsid w:val="00727C60"/>
    <w:rsid w:val="00727D57"/>
    <w:rsid w:val="00727D99"/>
    <w:rsid w:val="00727EEA"/>
    <w:rsid w:val="0073012B"/>
    <w:rsid w:val="007303D2"/>
    <w:rsid w:val="007304ED"/>
    <w:rsid w:val="007305A4"/>
    <w:rsid w:val="00730605"/>
    <w:rsid w:val="00730623"/>
    <w:rsid w:val="007306BA"/>
    <w:rsid w:val="0073082B"/>
    <w:rsid w:val="00730A44"/>
    <w:rsid w:val="00730B41"/>
    <w:rsid w:val="00730C16"/>
    <w:rsid w:val="00730D23"/>
    <w:rsid w:val="00730D86"/>
    <w:rsid w:val="00730DE3"/>
    <w:rsid w:val="00730E93"/>
    <w:rsid w:val="00731131"/>
    <w:rsid w:val="00731166"/>
    <w:rsid w:val="0073139D"/>
    <w:rsid w:val="007314F0"/>
    <w:rsid w:val="00731551"/>
    <w:rsid w:val="00731606"/>
    <w:rsid w:val="00731643"/>
    <w:rsid w:val="00731692"/>
    <w:rsid w:val="0073169E"/>
    <w:rsid w:val="007316B8"/>
    <w:rsid w:val="007318B3"/>
    <w:rsid w:val="007319E3"/>
    <w:rsid w:val="007319F6"/>
    <w:rsid w:val="00731A64"/>
    <w:rsid w:val="00731ADA"/>
    <w:rsid w:val="00731BB9"/>
    <w:rsid w:val="00731DA1"/>
    <w:rsid w:val="00731DD3"/>
    <w:rsid w:val="00731E14"/>
    <w:rsid w:val="00731EC0"/>
    <w:rsid w:val="00731F91"/>
    <w:rsid w:val="00732079"/>
    <w:rsid w:val="007320B7"/>
    <w:rsid w:val="007322B3"/>
    <w:rsid w:val="00732381"/>
    <w:rsid w:val="00732421"/>
    <w:rsid w:val="00732518"/>
    <w:rsid w:val="007325B1"/>
    <w:rsid w:val="007325F1"/>
    <w:rsid w:val="00732AAF"/>
    <w:rsid w:val="00732C09"/>
    <w:rsid w:val="00732C82"/>
    <w:rsid w:val="00732E6E"/>
    <w:rsid w:val="00732ECF"/>
    <w:rsid w:val="0073316D"/>
    <w:rsid w:val="007332AD"/>
    <w:rsid w:val="00733341"/>
    <w:rsid w:val="007333E4"/>
    <w:rsid w:val="00733788"/>
    <w:rsid w:val="007337E2"/>
    <w:rsid w:val="007339EE"/>
    <w:rsid w:val="00733B16"/>
    <w:rsid w:val="00733CB2"/>
    <w:rsid w:val="00733DB1"/>
    <w:rsid w:val="00733E97"/>
    <w:rsid w:val="0073401A"/>
    <w:rsid w:val="00734026"/>
    <w:rsid w:val="00734034"/>
    <w:rsid w:val="0073427A"/>
    <w:rsid w:val="00734299"/>
    <w:rsid w:val="00734337"/>
    <w:rsid w:val="00734451"/>
    <w:rsid w:val="007344CA"/>
    <w:rsid w:val="0073459C"/>
    <w:rsid w:val="007345D7"/>
    <w:rsid w:val="00734626"/>
    <w:rsid w:val="00734848"/>
    <w:rsid w:val="00734AC3"/>
    <w:rsid w:val="00734C45"/>
    <w:rsid w:val="00734D44"/>
    <w:rsid w:val="00734DB8"/>
    <w:rsid w:val="00734DDE"/>
    <w:rsid w:val="00734E0D"/>
    <w:rsid w:val="00734F78"/>
    <w:rsid w:val="0073508D"/>
    <w:rsid w:val="0073512A"/>
    <w:rsid w:val="007351B2"/>
    <w:rsid w:val="00735599"/>
    <w:rsid w:val="00735622"/>
    <w:rsid w:val="00735825"/>
    <w:rsid w:val="00735965"/>
    <w:rsid w:val="00735AEE"/>
    <w:rsid w:val="00735B43"/>
    <w:rsid w:val="00735BAE"/>
    <w:rsid w:val="00735BC3"/>
    <w:rsid w:val="00735D0B"/>
    <w:rsid w:val="00735D9B"/>
    <w:rsid w:val="00735FD3"/>
    <w:rsid w:val="00736030"/>
    <w:rsid w:val="00736043"/>
    <w:rsid w:val="00736079"/>
    <w:rsid w:val="0073618C"/>
    <w:rsid w:val="00736263"/>
    <w:rsid w:val="007363C5"/>
    <w:rsid w:val="00736441"/>
    <w:rsid w:val="0073648F"/>
    <w:rsid w:val="0073655D"/>
    <w:rsid w:val="00736A77"/>
    <w:rsid w:val="00736B68"/>
    <w:rsid w:val="00736C02"/>
    <w:rsid w:val="00736C63"/>
    <w:rsid w:val="00736CC2"/>
    <w:rsid w:val="00736E41"/>
    <w:rsid w:val="00736E87"/>
    <w:rsid w:val="00736EA1"/>
    <w:rsid w:val="00736F21"/>
    <w:rsid w:val="00736FD1"/>
    <w:rsid w:val="00737013"/>
    <w:rsid w:val="00737161"/>
    <w:rsid w:val="007371E5"/>
    <w:rsid w:val="0073721B"/>
    <w:rsid w:val="007375FD"/>
    <w:rsid w:val="007377D5"/>
    <w:rsid w:val="0073790F"/>
    <w:rsid w:val="0073793C"/>
    <w:rsid w:val="00737ABF"/>
    <w:rsid w:val="00737B62"/>
    <w:rsid w:val="00737E6D"/>
    <w:rsid w:val="00737E97"/>
    <w:rsid w:val="0074001A"/>
    <w:rsid w:val="00740098"/>
    <w:rsid w:val="00740230"/>
    <w:rsid w:val="00740265"/>
    <w:rsid w:val="007402FD"/>
    <w:rsid w:val="007403F4"/>
    <w:rsid w:val="00740433"/>
    <w:rsid w:val="00740484"/>
    <w:rsid w:val="0074073D"/>
    <w:rsid w:val="00740870"/>
    <w:rsid w:val="007409FB"/>
    <w:rsid w:val="00740A99"/>
    <w:rsid w:val="00740AA8"/>
    <w:rsid w:val="00740BF0"/>
    <w:rsid w:val="00740C1A"/>
    <w:rsid w:val="00740C47"/>
    <w:rsid w:val="00740CC6"/>
    <w:rsid w:val="00740DB8"/>
    <w:rsid w:val="00740E5E"/>
    <w:rsid w:val="00740EC8"/>
    <w:rsid w:val="00740FA8"/>
    <w:rsid w:val="00740FC8"/>
    <w:rsid w:val="00740FDA"/>
    <w:rsid w:val="0074109E"/>
    <w:rsid w:val="007410A1"/>
    <w:rsid w:val="007410AA"/>
    <w:rsid w:val="00741368"/>
    <w:rsid w:val="0074138B"/>
    <w:rsid w:val="007413AC"/>
    <w:rsid w:val="007413D2"/>
    <w:rsid w:val="0074159D"/>
    <w:rsid w:val="00741657"/>
    <w:rsid w:val="00741819"/>
    <w:rsid w:val="007418E1"/>
    <w:rsid w:val="00741906"/>
    <w:rsid w:val="00741943"/>
    <w:rsid w:val="0074198E"/>
    <w:rsid w:val="00741C70"/>
    <w:rsid w:val="00741D46"/>
    <w:rsid w:val="00741DB2"/>
    <w:rsid w:val="00742001"/>
    <w:rsid w:val="0074208B"/>
    <w:rsid w:val="007420E4"/>
    <w:rsid w:val="00742121"/>
    <w:rsid w:val="007421B5"/>
    <w:rsid w:val="007422A6"/>
    <w:rsid w:val="00742441"/>
    <w:rsid w:val="007426E0"/>
    <w:rsid w:val="007429BD"/>
    <w:rsid w:val="00742A11"/>
    <w:rsid w:val="00742A62"/>
    <w:rsid w:val="00742A67"/>
    <w:rsid w:val="00742AC7"/>
    <w:rsid w:val="00742AE2"/>
    <w:rsid w:val="00742C77"/>
    <w:rsid w:val="00742E32"/>
    <w:rsid w:val="0074314F"/>
    <w:rsid w:val="007431E5"/>
    <w:rsid w:val="0074320B"/>
    <w:rsid w:val="0074327D"/>
    <w:rsid w:val="0074334F"/>
    <w:rsid w:val="0074339C"/>
    <w:rsid w:val="0074345F"/>
    <w:rsid w:val="0074376A"/>
    <w:rsid w:val="007437D1"/>
    <w:rsid w:val="007439BF"/>
    <w:rsid w:val="00743B12"/>
    <w:rsid w:val="00743B75"/>
    <w:rsid w:val="00743BF9"/>
    <w:rsid w:val="00743EBD"/>
    <w:rsid w:val="00743FDA"/>
    <w:rsid w:val="00743FF5"/>
    <w:rsid w:val="00744106"/>
    <w:rsid w:val="007442EC"/>
    <w:rsid w:val="00744426"/>
    <w:rsid w:val="0074450E"/>
    <w:rsid w:val="007446C1"/>
    <w:rsid w:val="007446F0"/>
    <w:rsid w:val="00744866"/>
    <w:rsid w:val="007448D8"/>
    <w:rsid w:val="00744DF5"/>
    <w:rsid w:val="00745008"/>
    <w:rsid w:val="00745013"/>
    <w:rsid w:val="00745096"/>
    <w:rsid w:val="00745142"/>
    <w:rsid w:val="00745294"/>
    <w:rsid w:val="007453BB"/>
    <w:rsid w:val="00745437"/>
    <w:rsid w:val="00745798"/>
    <w:rsid w:val="00745BF8"/>
    <w:rsid w:val="00745EA1"/>
    <w:rsid w:val="00745F85"/>
    <w:rsid w:val="0074603A"/>
    <w:rsid w:val="00746181"/>
    <w:rsid w:val="0074634D"/>
    <w:rsid w:val="00746390"/>
    <w:rsid w:val="007466C2"/>
    <w:rsid w:val="007466C3"/>
    <w:rsid w:val="00746872"/>
    <w:rsid w:val="0074689B"/>
    <w:rsid w:val="0074698C"/>
    <w:rsid w:val="00746B39"/>
    <w:rsid w:val="00746B43"/>
    <w:rsid w:val="00746BBA"/>
    <w:rsid w:val="00746BC6"/>
    <w:rsid w:val="00746CA1"/>
    <w:rsid w:val="00746F50"/>
    <w:rsid w:val="00746FB2"/>
    <w:rsid w:val="00746FF3"/>
    <w:rsid w:val="00747167"/>
    <w:rsid w:val="0074719F"/>
    <w:rsid w:val="007471F2"/>
    <w:rsid w:val="0074726E"/>
    <w:rsid w:val="00747293"/>
    <w:rsid w:val="00747469"/>
    <w:rsid w:val="0074767C"/>
    <w:rsid w:val="00747688"/>
    <w:rsid w:val="0074768E"/>
    <w:rsid w:val="0074772A"/>
    <w:rsid w:val="00747873"/>
    <w:rsid w:val="0074799F"/>
    <w:rsid w:val="00747A69"/>
    <w:rsid w:val="00747A6D"/>
    <w:rsid w:val="00747E4A"/>
    <w:rsid w:val="00747F49"/>
    <w:rsid w:val="0075028C"/>
    <w:rsid w:val="00750302"/>
    <w:rsid w:val="00750430"/>
    <w:rsid w:val="0075081C"/>
    <w:rsid w:val="0075097D"/>
    <w:rsid w:val="00750A74"/>
    <w:rsid w:val="00750ED9"/>
    <w:rsid w:val="00750F1E"/>
    <w:rsid w:val="00750F20"/>
    <w:rsid w:val="00750F30"/>
    <w:rsid w:val="00750F83"/>
    <w:rsid w:val="00751102"/>
    <w:rsid w:val="0075120C"/>
    <w:rsid w:val="00751335"/>
    <w:rsid w:val="0075134E"/>
    <w:rsid w:val="00751393"/>
    <w:rsid w:val="007513F6"/>
    <w:rsid w:val="0075156F"/>
    <w:rsid w:val="00751618"/>
    <w:rsid w:val="007517B5"/>
    <w:rsid w:val="007517E6"/>
    <w:rsid w:val="00751842"/>
    <w:rsid w:val="0075193C"/>
    <w:rsid w:val="00751AE2"/>
    <w:rsid w:val="00751AED"/>
    <w:rsid w:val="00751B25"/>
    <w:rsid w:val="00751C60"/>
    <w:rsid w:val="00751CBE"/>
    <w:rsid w:val="00751DD4"/>
    <w:rsid w:val="00751ECB"/>
    <w:rsid w:val="0075201D"/>
    <w:rsid w:val="0075210E"/>
    <w:rsid w:val="00752125"/>
    <w:rsid w:val="007522E9"/>
    <w:rsid w:val="007524B9"/>
    <w:rsid w:val="00752500"/>
    <w:rsid w:val="00752554"/>
    <w:rsid w:val="00752574"/>
    <w:rsid w:val="007525FF"/>
    <w:rsid w:val="007528C8"/>
    <w:rsid w:val="00752A82"/>
    <w:rsid w:val="00752B0B"/>
    <w:rsid w:val="00752B5B"/>
    <w:rsid w:val="00752CFD"/>
    <w:rsid w:val="00752F11"/>
    <w:rsid w:val="00753159"/>
    <w:rsid w:val="00753186"/>
    <w:rsid w:val="00753215"/>
    <w:rsid w:val="00753224"/>
    <w:rsid w:val="00753231"/>
    <w:rsid w:val="0075330D"/>
    <w:rsid w:val="00753490"/>
    <w:rsid w:val="00753492"/>
    <w:rsid w:val="0075350B"/>
    <w:rsid w:val="0075378D"/>
    <w:rsid w:val="00753813"/>
    <w:rsid w:val="00753849"/>
    <w:rsid w:val="00753BC9"/>
    <w:rsid w:val="00753C6C"/>
    <w:rsid w:val="00753C83"/>
    <w:rsid w:val="00753C8D"/>
    <w:rsid w:val="00753DDA"/>
    <w:rsid w:val="00753DEE"/>
    <w:rsid w:val="00753ECE"/>
    <w:rsid w:val="00753F9F"/>
    <w:rsid w:val="0075400D"/>
    <w:rsid w:val="00754111"/>
    <w:rsid w:val="00754124"/>
    <w:rsid w:val="007544B3"/>
    <w:rsid w:val="007544BB"/>
    <w:rsid w:val="007544F0"/>
    <w:rsid w:val="007545A3"/>
    <w:rsid w:val="007546DB"/>
    <w:rsid w:val="0075485F"/>
    <w:rsid w:val="00754B64"/>
    <w:rsid w:val="00754BB6"/>
    <w:rsid w:val="00754CB9"/>
    <w:rsid w:val="007550D0"/>
    <w:rsid w:val="007550D3"/>
    <w:rsid w:val="00755147"/>
    <w:rsid w:val="00755238"/>
    <w:rsid w:val="0075569A"/>
    <w:rsid w:val="00755721"/>
    <w:rsid w:val="007557C5"/>
    <w:rsid w:val="00755A61"/>
    <w:rsid w:val="00755C16"/>
    <w:rsid w:val="007560B7"/>
    <w:rsid w:val="007560DC"/>
    <w:rsid w:val="007560E9"/>
    <w:rsid w:val="007561BB"/>
    <w:rsid w:val="00756270"/>
    <w:rsid w:val="0075633D"/>
    <w:rsid w:val="0075640E"/>
    <w:rsid w:val="00756485"/>
    <w:rsid w:val="0075656A"/>
    <w:rsid w:val="00756585"/>
    <w:rsid w:val="00756655"/>
    <w:rsid w:val="00756660"/>
    <w:rsid w:val="007566F0"/>
    <w:rsid w:val="0075692C"/>
    <w:rsid w:val="00756B38"/>
    <w:rsid w:val="00756BAD"/>
    <w:rsid w:val="00756D24"/>
    <w:rsid w:val="00756DDD"/>
    <w:rsid w:val="00756E67"/>
    <w:rsid w:val="00757082"/>
    <w:rsid w:val="007571A8"/>
    <w:rsid w:val="007571BC"/>
    <w:rsid w:val="007571FE"/>
    <w:rsid w:val="007572B6"/>
    <w:rsid w:val="0075734E"/>
    <w:rsid w:val="00757382"/>
    <w:rsid w:val="007573C5"/>
    <w:rsid w:val="0075775F"/>
    <w:rsid w:val="0075788D"/>
    <w:rsid w:val="0075789F"/>
    <w:rsid w:val="007578CA"/>
    <w:rsid w:val="0075792A"/>
    <w:rsid w:val="0075792B"/>
    <w:rsid w:val="00757B13"/>
    <w:rsid w:val="00757BE4"/>
    <w:rsid w:val="00760307"/>
    <w:rsid w:val="00760321"/>
    <w:rsid w:val="007603E2"/>
    <w:rsid w:val="00760487"/>
    <w:rsid w:val="007605B2"/>
    <w:rsid w:val="007607CE"/>
    <w:rsid w:val="00760910"/>
    <w:rsid w:val="00760B59"/>
    <w:rsid w:val="00760C60"/>
    <w:rsid w:val="00760C86"/>
    <w:rsid w:val="00760DAC"/>
    <w:rsid w:val="00760E1A"/>
    <w:rsid w:val="00760E8D"/>
    <w:rsid w:val="0076116F"/>
    <w:rsid w:val="00761194"/>
    <w:rsid w:val="0076122C"/>
    <w:rsid w:val="00761249"/>
    <w:rsid w:val="00761323"/>
    <w:rsid w:val="00761389"/>
    <w:rsid w:val="007614E7"/>
    <w:rsid w:val="007615E3"/>
    <w:rsid w:val="00761612"/>
    <w:rsid w:val="00761706"/>
    <w:rsid w:val="00761785"/>
    <w:rsid w:val="0076186D"/>
    <w:rsid w:val="00761894"/>
    <w:rsid w:val="00761AE7"/>
    <w:rsid w:val="00761B18"/>
    <w:rsid w:val="00761C55"/>
    <w:rsid w:val="00761CB0"/>
    <w:rsid w:val="00761CBB"/>
    <w:rsid w:val="00761FAC"/>
    <w:rsid w:val="007620AD"/>
    <w:rsid w:val="007620D5"/>
    <w:rsid w:val="00762177"/>
    <w:rsid w:val="007622C6"/>
    <w:rsid w:val="00762694"/>
    <w:rsid w:val="00762990"/>
    <w:rsid w:val="00762A13"/>
    <w:rsid w:val="00762AE9"/>
    <w:rsid w:val="00762BCE"/>
    <w:rsid w:val="00762DC2"/>
    <w:rsid w:val="00762E7D"/>
    <w:rsid w:val="00762EE2"/>
    <w:rsid w:val="00762EF6"/>
    <w:rsid w:val="00762FD3"/>
    <w:rsid w:val="00763033"/>
    <w:rsid w:val="007633C0"/>
    <w:rsid w:val="0076345B"/>
    <w:rsid w:val="007634CE"/>
    <w:rsid w:val="007638E3"/>
    <w:rsid w:val="00763CC8"/>
    <w:rsid w:val="00763D8C"/>
    <w:rsid w:val="00763DAA"/>
    <w:rsid w:val="00763EE4"/>
    <w:rsid w:val="00763F3A"/>
    <w:rsid w:val="00763F93"/>
    <w:rsid w:val="00764068"/>
    <w:rsid w:val="007641C1"/>
    <w:rsid w:val="00764201"/>
    <w:rsid w:val="00764361"/>
    <w:rsid w:val="007643C5"/>
    <w:rsid w:val="0076454E"/>
    <w:rsid w:val="00764597"/>
    <w:rsid w:val="00764707"/>
    <w:rsid w:val="00764774"/>
    <w:rsid w:val="007647A5"/>
    <w:rsid w:val="00764853"/>
    <w:rsid w:val="00764955"/>
    <w:rsid w:val="00764A01"/>
    <w:rsid w:val="00764D3F"/>
    <w:rsid w:val="00764D5C"/>
    <w:rsid w:val="00764EB9"/>
    <w:rsid w:val="00764FF4"/>
    <w:rsid w:val="00765091"/>
    <w:rsid w:val="00765206"/>
    <w:rsid w:val="00765307"/>
    <w:rsid w:val="0076531D"/>
    <w:rsid w:val="00765380"/>
    <w:rsid w:val="007653B1"/>
    <w:rsid w:val="007655A6"/>
    <w:rsid w:val="0076590C"/>
    <w:rsid w:val="00765A45"/>
    <w:rsid w:val="00765AAF"/>
    <w:rsid w:val="00765BEB"/>
    <w:rsid w:val="00765D9A"/>
    <w:rsid w:val="00765F8F"/>
    <w:rsid w:val="0076602E"/>
    <w:rsid w:val="0076615F"/>
    <w:rsid w:val="00766212"/>
    <w:rsid w:val="007662A4"/>
    <w:rsid w:val="00766676"/>
    <w:rsid w:val="007666C3"/>
    <w:rsid w:val="007666F4"/>
    <w:rsid w:val="007666FE"/>
    <w:rsid w:val="00766703"/>
    <w:rsid w:val="0076671A"/>
    <w:rsid w:val="00766BED"/>
    <w:rsid w:val="00766CC2"/>
    <w:rsid w:val="00766E02"/>
    <w:rsid w:val="00766F7B"/>
    <w:rsid w:val="00766F93"/>
    <w:rsid w:val="00767112"/>
    <w:rsid w:val="007671C6"/>
    <w:rsid w:val="007674A5"/>
    <w:rsid w:val="007674F4"/>
    <w:rsid w:val="007676B1"/>
    <w:rsid w:val="007677EC"/>
    <w:rsid w:val="00767920"/>
    <w:rsid w:val="00767A3B"/>
    <w:rsid w:val="00767E6C"/>
    <w:rsid w:val="00767EE1"/>
    <w:rsid w:val="00767F30"/>
    <w:rsid w:val="00770211"/>
    <w:rsid w:val="007703D7"/>
    <w:rsid w:val="0077042F"/>
    <w:rsid w:val="007705FF"/>
    <w:rsid w:val="007707F8"/>
    <w:rsid w:val="007707FF"/>
    <w:rsid w:val="0077096D"/>
    <w:rsid w:val="00770A19"/>
    <w:rsid w:val="00770A5B"/>
    <w:rsid w:val="00770D9B"/>
    <w:rsid w:val="00770DD2"/>
    <w:rsid w:val="00770DD7"/>
    <w:rsid w:val="00770E04"/>
    <w:rsid w:val="00770F2B"/>
    <w:rsid w:val="00770FBB"/>
    <w:rsid w:val="00770FE7"/>
    <w:rsid w:val="0077118E"/>
    <w:rsid w:val="00771266"/>
    <w:rsid w:val="007712A6"/>
    <w:rsid w:val="0077130D"/>
    <w:rsid w:val="007713CD"/>
    <w:rsid w:val="00771489"/>
    <w:rsid w:val="0077148E"/>
    <w:rsid w:val="0077178B"/>
    <w:rsid w:val="00771A03"/>
    <w:rsid w:val="00771A68"/>
    <w:rsid w:val="00771A9D"/>
    <w:rsid w:val="00771AA4"/>
    <w:rsid w:val="00771B1E"/>
    <w:rsid w:val="00771C80"/>
    <w:rsid w:val="00771E89"/>
    <w:rsid w:val="00771E9F"/>
    <w:rsid w:val="00771F54"/>
    <w:rsid w:val="00771F60"/>
    <w:rsid w:val="00771FAE"/>
    <w:rsid w:val="0077202D"/>
    <w:rsid w:val="007720C0"/>
    <w:rsid w:val="0077230C"/>
    <w:rsid w:val="007723A2"/>
    <w:rsid w:val="00772446"/>
    <w:rsid w:val="007727C5"/>
    <w:rsid w:val="0077287B"/>
    <w:rsid w:val="00772BB2"/>
    <w:rsid w:val="00772C27"/>
    <w:rsid w:val="00772E93"/>
    <w:rsid w:val="00772ECE"/>
    <w:rsid w:val="00772F29"/>
    <w:rsid w:val="00772FBE"/>
    <w:rsid w:val="00773054"/>
    <w:rsid w:val="007732FE"/>
    <w:rsid w:val="0077332C"/>
    <w:rsid w:val="00773552"/>
    <w:rsid w:val="00773555"/>
    <w:rsid w:val="007735FD"/>
    <w:rsid w:val="0077367A"/>
    <w:rsid w:val="007737B6"/>
    <w:rsid w:val="00773895"/>
    <w:rsid w:val="007738CD"/>
    <w:rsid w:val="00773975"/>
    <w:rsid w:val="00773B1C"/>
    <w:rsid w:val="00773BC0"/>
    <w:rsid w:val="007740CD"/>
    <w:rsid w:val="0077416B"/>
    <w:rsid w:val="0077416C"/>
    <w:rsid w:val="007744E2"/>
    <w:rsid w:val="0077474E"/>
    <w:rsid w:val="007747A8"/>
    <w:rsid w:val="0077483D"/>
    <w:rsid w:val="00774A88"/>
    <w:rsid w:val="00774A9E"/>
    <w:rsid w:val="00774B56"/>
    <w:rsid w:val="00774BB7"/>
    <w:rsid w:val="00774CE7"/>
    <w:rsid w:val="00774DD1"/>
    <w:rsid w:val="00774E8D"/>
    <w:rsid w:val="007750ED"/>
    <w:rsid w:val="007750FC"/>
    <w:rsid w:val="007751F3"/>
    <w:rsid w:val="00775375"/>
    <w:rsid w:val="007754F7"/>
    <w:rsid w:val="00775516"/>
    <w:rsid w:val="00775522"/>
    <w:rsid w:val="007755AC"/>
    <w:rsid w:val="007755C1"/>
    <w:rsid w:val="0077567F"/>
    <w:rsid w:val="00775713"/>
    <w:rsid w:val="00775846"/>
    <w:rsid w:val="0077590E"/>
    <w:rsid w:val="00775951"/>
    <w:rsid w:val="00775983"/>
    <w:rsid w:val="00775A4C"/>
    <w:rsid w:val="00775B60"/>
    <w:rsid w:val="00775B89"/>
    <w:rsid w:val="00775BA0"/>
    <w:rsid w:val="00775CF2"/>
    <w:rsid w:val="0077601A"/>
    <w:rsid w:val="0077610B"/>
    <w:rsid w:val="00776215"/>
    <w:rsid w:val="007762AC"/>
    <w:rsid w:val="0077668B"/>
    <w:rsid w:val="007766BA"/>
    <w:rsid w:val="00776840"/>
    <w:rsid w:val="00776859"/>
    <w:rsid w:val="007768B7"/>
    <w:rsid w:val="00776BD6"/>
    <w:rsid w:val="00776C7B"/>
    <w:rsid w:val="00776D5D"/>
    <w:rsid w:val="00776DD3"/>
    <w:rsid w:val="00776E04"/>
    <w:rsid w:val="00776E88"/>
    <w:rsid w:val="00777196"/>
    <w:rsid w:val="007773F6"/>
    <w:rsid w:val="007775C6"/>
    <w:rsid w:val="0077768C"/>
    <w:rsid w:val="007777A8"/>
    <w:rsid w:val="00777886"/>
    <w:rsid w:val="00777AAD"/>
    <w:rsid w:val="00777AB9"/>
    <w:rsid w:val="00777AD9"/>
    <w:rsid w:val="00777B53"/>
    <w:rsid w:val="00777B92"/>
    <w:rsid w:val="00777D64"/>
    <w:rsid w:val="00777D7B"/>
    <w:rsid w:val="00777D7C"/>
    <w:rsid w:val="00777DC5"/>
    <w:rsid w:val="00777E05"/>
    <w:rsid w:val="00777E43"/>
    <w:rsid w:val="00777F01"/>
    <w:rsid w:val="00780092"/>
    <w:rsid w:val="00780173"/>
    <w:rsid w:val="007801B3"/>
    <w:rsid w:val="00780B5B"/>
    <w:rsid w:val="00780C58"/>
    <w:rsid w:val="00780C83"/>
    <w:rsid w:val="00780F48"/>
    <w:rsid w:val="00781162"/>
    <w:rsid w:val="00781205"/>
    <w:rsid w:val="0078142C"/>
    <w:rsid w:val="007814C1"/>
    <w:rsid w:val="00781522"/>
    <w:rsid w:val="007815C6"/>
    <w:rsid w:val="00781685"/>
    <w:rsid w:val="0078179E"/>
    <w:rsid w:val="00781807"/>
    <w:rsid w:val="00781861"/>
    <w:rsid w:val="00781954"/>
    <w:rsid w:val="00781981"/>
    <w:rsid w:val="00781A8E"/>
    <w:rsid w:val="00781B33"/>
    <w:rsid w:val="00781B92"/>
    <w:rsid w:val="00781C68"/>
    <w:rsid w:val="00781D56"/>
    <w:rsid w:val="00781D7A"/>
    <w:rsid w:val="00781E32"/>
    <w:rsid w:val="00781EFC"/>
    <w:rsid w:val="00781F67"/>
    <w:rsid w:val="00782106"/>
    <w:rsid w:val="00782157"/>
    <w:rsid w:val="00782436"/>
    <w:rsid w:val="007824D2"/>
    <w:rsid w:val="007827C3"/>
    <w:rsid w:val="007828A8"/>
    <w:rsid w:val="00782904"/>
    <w:rsid w:val="00782999"/>
    <w:rsid w:val="007829A2"/>
    <w:rsid w:val="00782AC6"/>
    <w:rsid w:val="00782B6F"/>
    <w:rsid w:val="00782BE7"/>
    <w:rsid w:val="00782CBA"/>
    <w:rsid w:val="00782CCB"/>
    <w:rsid w:val="00782DC1"/>
    <w:rsid w:val="00782DE0"/>
    <w:rsid w:val="00782E65"/>
    <w:rsid w:val="00782E70"/>
    <w:rsid w:val="00782F8B"/>
    <w:rsid w:val="00783098"/>
    <w:rsid w:val="00783159"/>
    <w:rsid w:val="007831BB"/>
    <w:rsid w:val="00783285"/>
    <w:rsid w:val="0078333C"/>
    <w:rsid w:val="0078367F"/>
    <w:rsid w:val="0078379E"/>
    <w:rsid w:val="007837E2"/>
    <w:rsid w:val="007839E5"/>
    <w:rsid w:val="00783FB0"/>
    <w:rsid w:val="007841C6"/>
    <w:rsid w:val="007842DF"/>
    <w:rsid w:val="0078443D"/>
    <w:rsid w:val="007844D1"/>
    <w:rsid w:val="00784551"/>
    <w:rsid w:val="0078469E"/>
    <w:rsid w:val="0078477E"/>
    <w:rsid w:val="0078499A"/>
    <w:rsid w:val="00784A0F"/>
    <w:rsid w:val="00784A98"/>
    <w:rsid w:val="00784AC0"/>
    <w:rsid w:val="00784B67"/>
    <w:rsid w:val="00784B6A"/>
    <w:rsid w:val="00784BC0"/>
    <w:rsid w:val="00784BE4"/>
    <w:rsid w:val="00784BEE"/>
    <w:rsid w:val="00784D0A"/>
    <w:rsid w:val="00784FEF"/>
    <w:rsid w:val="0078523A"/>
    <w:rsid w:val="007852EB"/>
    <w:rsid w:val="007853EC"/>
    <w:rsid w:val="007855F3"/>
    <w:rsid w:val="00785685"/>
    <w:rsid w:val="007856A8"/>
    <w:rsid w:val="007856E0"/>
    <w:rsid w:val="00785C1E"/>
    <w:rsid w:val="00785D68"/>
    <w:rsid w:val="00785F26"/>
    <w:rsid w:val="00786236"/>
    <w:rsid w:val="00786414"/>
    <w:rsid w:val="00786476"/>
    <w:rsid w:val="00786516"/>
    <w:rsid w:val="00786590"/>
    <w:rsid w:val="00786615"/>
    <w:rsid w:val="007867DD"/>
    <w:rsid w:val="0078691F"/>
    <w:rsid w:val="00786C55"/>
    <w:rsid w:val="00786CC2"/>
    <w:rsid w:val="00786D65"/>
    <w:rsid w:val="00786E5C"/>
    <w:rsid w:val="00786FB6"/>
    <w:rsid w:val="00787188"/>
    <w:rsid w:val="0078724B"/>
    <w:rsid w:val="00787906"/>
    <w:rsid w:val="0078794A"/>
    <w:rsid w:val="007879B4"/>
    <w:rsid w:val="00787CD5"/>
    <w:rsid w:val="00787CD7"/>
    <w:rsid w:val="00787CE7"/>
    <w:rsid w:val="00787E9D"/>
    <w:rsid w:val="00787F9E"/>
    <w:rsid w:val="00787FA4"/>
    <w:rsid w:val="00790065"/>
    <w:rsid w:val="0079018F"/>
    <w:rsid w:val="00790257"/>
    <w:rsid w:val="00790347"/>
    <w:rsid w:val="00790380"/>
    <w:rsid w:val="00790410"/>
    <w:rsid w:val="00790433"/>
    <w:rsid w:val="0079054E"/>
    <w:rsid w:val="007905CF"/>
    <w:rsid w:val="0079061D"/>
    <w:rsid w:val="00790679"/>
    <w:rsid w:val="007907ED"/>
    <w:rsid w:val="007908A3"/>
    <w:rsid w:val="007908B9"/>
    <w:rsid w:val="00790A52"/>
    <w:rsid w:val="00790A8C"/>
    <w:rsid w:val="00790AD9"/>
    <w:rsid w:val="00790B31"/>
    <w:rsid w:val="00790B78"/>
    <w:rsid w:val="00790B7E"/>
    <w:rsid w:val="00790BF9"/>
    <w:rsid w:val="00790BFB"/>
    <w:rsid w:val="00790C3D"/>
    <w:rsid w:val="00790CB7"/>
    <w:rsid w:val="00790EDA"/>
    <w:rsid w:val="00790F6B"/>
    <w:rsid w:val="0079113C"/>
    <w:rsid w:val="007911D0"/>
    <w:rsid w:val="00791211"/>
    <w:rsid w:val="007912AE"/>
    <w:rsid w:val="007913C4"/>
    <w:rsid w:val="00791575"/>
    <w:rsid w:val="007915B3"/>
    <w:rsid w:val="007916AF"/>
    <w:rsid w:val="00791914"/>
    <w:rsid w:val="00791A94"/>
    <w:rsid w:val="00791AA5"/>
    <w:rsid w:val="00791BD9"/>
    <w:rsid w:val="00791C9B"/>
    <w:rsid w:val="00791D31"/>
    <w:rsid w:val="00791D44"/>
    <w:rsid w:val="00791DAE"/>
    <w:rsid w:val="00792032"/>
    <w:rsid w:val="00792255"/>
    <w:rsid w:val="00792348"/>
    <w:rsid w:val="00792454"/>
    <w:rsid w:val="007925C9"/>
    <w:rsid w:val="00792636"/>
    <w:rsid w:val="00792711"/>
    <w:rsid w:val="007928DE"/>
    <w:rsid w:val="0079291B"/>
    <w:rsid w:val="007929E7"/>
    <w:rsid w:val="00792B30"/>
    <w:rsid w:val="00792C99"/>
    <w:rsid w:val="00792CDC"/>
    <w:rsid w:val="00792E46"/>
    <w:rsid w:val="00792E5E"/>
    <w:rsid w:val="00792F47"/>
    <w:rsid w:val="0079315D"/>
    <w:rsid w:val="00793178"/>
    <w:rsid w:val="00793192"/>
    <w:rsid w:val="00793226"/>
    <w:rsid w:val="00793232"/>
    <w:rsid w:val="0079366E"/>
    <w:rsid w:val="00793985"/>
    <w:rsid w:val="007939AF"/>
    <w:rsid w:val="00793A17"/>
    <w:rsid w:val="00793B26"/>
    <w:rsid w:val="00793B70"/>
    <w:rsid w:val="00793CB3"/>
    <w:rsid w:val="00793D70"/>
    <w:rsid w:val="00793E99"/>
    <w:rsid w:val="00793FCF"/>
    <w:rsid w:val="0079409D"/>
    <w:rsid w:val="0079410D"/>
    <w:rsid w:val="007941BA"/>
    <w:rsid w:val="007941F6"/>
    <w:rsid w:val="00794249"/>
    <w:rsid w:val="00794263"/>
    <w:rsid w:val="0079429D"/>
    <w:rsid w:val="00794334"/>
    <w:rsid w:val="007944DD"/>
    <w:rsid w:val="00794520"/>
    <w:rsid w:val="0079468E"/>
    <w:rsid w:val="007947DF"/>
    <w:rsid w:val="00794A47"/>
    <w:rsid w:val="00794AC2"/>
    <w:rsid w:val="00794C50"/>
    <w:rsid w:val="00794D20"/>
    <w:rsid w:val="00794D69"/>
    <w:rsid w:val="00794F66"/>
    <w:rsid w:val="00794F7C"/>
    <w:rsid w:val="00795316"/>
    <w:rsid w:val="00795449"/>
    <w:rsid w:val="0079545D"/>
    <w:rsid w:val="00795822"/>
    <w:rsid w:val="0079588F"/>
    <w:rsid w:val="00795B4F"/>
    <w:rsid w:val="00795CBA"/>
    <w:rsid w:val="00795D26"/>
    <w:rsid w:val="00795DAB"/>
    <w:rsid w:val="00795FAA"/>
    <w:rsid w:val="00795FBC"/>
    <w:rsid w:val="0079603D"/>
    <w:rsid w:val="007962CC"/>
    <w:rsid w:val="0079633D"/>
    <w:rsid w:val="007963CA"/>
    <w:rsid w:val="007963E8"/>
    <w:rsid w:val="007966D5"/>
    <w:rsid w:val="007967E5"/>
    <w:rsid w:val="0079699F"/>
    <w:rsid w:val="007969D4"/>
    <w:rsid w:val="00796CB1"/>
    <w:rsid w:val="00796F6E"/>
    <w:rsid w:val="00796FBF"/>
    <w:rsid w:val="00796FC8"/>
    <w:rsid w:val="0079723B"/>
    <w:rsid w:val="0079726E"/>
    <w:rsid w:val="00797432"/>
    <w:rsid w:val="00797470"/>
    <w:rsid w:val="0079755B"/>
    <w:rsid w:val="0079764D"/>
    <w:rsid w:val="007977A3"/>
    <w:rsid w:val="00797810"/>
    <w:rsid w:val="0079787B"/>
    <w:rsid w:val="0079798B"/>
    <w:rsid w:val="00797A08"/>
    <w:rsid w:val="00797B1F"/>
    <w:rsid w:val="00797D4D"/>
    <w:rsid w:val="00797DDE"/>
    <w:rsid w:val="00797F2F"/>
    <w:rsid w:val="007A0182"/>
    <w:rsid w:val="007A02ED"/>
    <w:rsid w:val="007A0660"/>
    <w:rsid w:val="007A095C"/>
    <w:rsid w:val="007A09E1"/>
    <w:rsid w:val="007A0EDF"/>
    <w:rsid w:val="007A0F2D"/>
    <w:rsid w:val="007A104D"/>
    <w:rsid w:val="007A1118"/>
    <w:rsid w:val="007A152C"/>
    <w:rsid w:val="007A1714"/>
    <w:rsid w:val="007A18A9"/>
    <w:rsid w:val="007A191A"/>
    <w:rsid w:val="007A1A0F"/>
    <w:rsid w:val="007A1A4F"/>
    <w:rsid w:val="007A1A54"/>
    <w:rsid w:val="007A1C26"/>
    <w:rsid w:val="007A1C33"/>
    <w:rsid w:val="007A208D"/>
    <w:rsid w:val="007A21FA"/>
    <w:rsid w:val="007A2239"/>
    <w:rsid w:val="007A2249"/>
    <w:rsid w:val="007A2365"/>
    <w:rsid w:val="007A236E"/>
    <w:rsid w:val="007A24ED"/>
    <w:rsid w:val="007A253C"/>
    <w:rsid w:val="007A259E"/>
    <w:rsid w:val="007A282E"/>
    <w:rsid w:val="007A2979"/>
    <w:rsid w:val="007A2ADF"/>
    <w:rsid w:val="007A2ECA"/>
    <w:rsid w:val="007A2F11"/>
    <w:rsid w:val="007A2FF8"/>
    <w:rsid w:val="007A3018"/>
    <w:rsid w:val="007A3171"/>
    <w:rsid w:val="007A31A0"/>
    <w:rsid w:val="007A325E"/>
    <w:rsid w:val="007A3263"/>
    <w:rsid w:val="007A3294"/>
    <w:rsid w:val="007A34BB"/>
    <w:rsid w:val="007A3622"/>
    <w:rsid w:val="007A3662"/>
    <w:rsid w:val="007A384D"/>
    <w:rsid w:val="007A38B8"/>
    <w:rsid w:val="007A399F"/>
    <w:rsid w:val="007A3A3E"/>
    <w:rsid w:val="007A3A92"/>
    <w:rsid w:val="007A3B4A"/>
    <w:rsid w:val="007A3B4C"/>
    <w:rsid w:val="007A3BC1"/>
    <w:rsid w:val="007A4164"/>
    <w:rsid w:val="007A416E"/>
    <w:rsid w:val="007A44B2"/>
    <w:rsid w:val="007A473E"/>
    <w:rsid w:val="007A480C"/>
    <w:rsid w:val="007A48D3"/>
    <w:rsid w:val="007A48D7"/>
    <w:rsid w:val="007A4A25"/>
    <w:rsid w:val="007A4AAC"/>
    <w:rsid w:val="007A4C37"/>
    <w:rsid w:val="007A4D29"/>
    <w:rsid w:val="007A4DA5"/>
    <w:rsid w:val="007A4E13"/>
    <w:rsid w:val="007A51B3"/>
    <w:rsid w:val="007A528A"/>
    <w:rsid w:val="007A52DC"/>
    <w:rsid w:val="007A5353"/>
    <w:rsid w:val="007A537B"/>
    <w:rsid w:val="007A53C4"/>
    <w:rsid w:val="007A5475"/>
    <w:rsid w:val="007A54FB"/>
    <w:rsid w:val="007A550F"/>
    <w:rsid w:val="007A558B"/>
    <w:rsid w:val="007A58A3"/>
    <w:rsid w:val="007A59C8"/>
    <w:rsid w:val="007A5A71"/>
    <w:rsid w:val="007A5B2F"/>
    <w:rsid w:val="007A5DB5"/>
    <w:rsid w:val="007A5FB4"/>
    <w:rsid w:val="007A6151"/>
    <w:rsid w:val="007A6181"/>
    <w:rsid w:val="007A667C"/>
    <w:rsid w:val="007A6750"/>
    <w:rsid w:val="007A6755"/>
    <w:rsid w:val="007A6962"/>
    <w:rsid w:val="007A6972"/>
    <w:rsid w:val="007A699F"/>
    <w:rsid w:val="007A6AAA"/>
    <w:rsid w:val="007A6AD4"/>
    <w:rsid w:val="007A6C0E"/>
    <w:rsid w:val="007A6C70"/>
    <w:rsid w:val="007A6CC4"/>
    <w:rsid w:val="007A6DE2"/>
    <w:rsid w:val="007A6DEF"/>
    <w:rsid w:val="007A6EA9"/>
    <w:rsid w:val="007A6EF2"/>
    <w:rsid w:val="007A7028"/>
    <w:rsid w:val="007A71E3"/>
    <w:rsid w:val="007A7365"/>
    <w:rsid w:val="007A73DD"/>
    <w:rsid w:val="007A73E3"/>
    <w:rsid w:val="007A7439"/>
    <w:rsid w:val="007A745F"/>
    <w:rsid w:val="007A7718"/>
    <w:rsid w:val="007A792B"/>
    <w:rsid w:val="007A79CF"/>
    <w:rsid w:val="007A7B2E"/>
    <w:rsid w:val="007A7C06"/>
    <w:rsid w:val="007A7CD8"/>
    <w:rsid w:val="007A7DF9"/>
    <w:rsid w:val="007A7EBC"/>
    <w:rsid w:val="007A7F31"/>
    <w:rsid w:val="007A7FA8"/>
    <w:rsid w:val="007A7FB1"/>
    <w:rsid w:val="007B00D0"/>
    <w:rsid w:val="007B01A1"/>
    <w:rsid w:val="007B0236"/>
    <w:rsid w:val="007B0260"/>
    <w:rsid w:val="007B0506"/>
    <w:rsid w:val="007B060B"/>
    <w:rsid w:val="007B07F2"/>
    <w:rsid w:val="007B0855"/>
    <w:rsid w:val="007B0A77"/>
    <w:rsid w:val="007B0C27"/>
    <w:rsid w:val="007B0CF0"/>
    <w:rsid w:val="007B0F42"/>
    <w:rsid w:val="007B0F88"/>
    <w:rsid w:val="007B1114"/>
    <w:rsid w:val="007B1121"/>
    <w:rsid w:val="007B11D4"/>
    <w:rsid w:val="007B1320"/>
    <w:rsid w:val="007B13C9"/>
    <w:rsid w:val="007B146E"/>
    <w:rsid w:val="007B14A1"/>
    <w:rsid w:val="007B151D"/>
    <w:rsid w:val="007B15D9"/>
    <w:rsid w:val="007B163E"/>
    <w:rsid w:val="007B16CB"/>
    <w:rsid w:val="007B16D8"/>
    <w:rsid w:val="007B17AE"/>
    <w:rsid w:val="007B17C4"/>
    <w:rsid w:val="007B1A33"/>
    <w:rsid w:val="007B1B12"/>
    <w:rsid w:val="007B1B3A"/>
    <w:rsid w:val="007B1E5F"/>
    <w:rsid w:val="007B1EDA"/>
    <w:rsid w:val="007B2022"/>
    <w:rsid w:val="007B25BC"/>
    <w:rsid w:val="007B25EE"/>
    <w:rsid w:val="007B2637"/>
    <w:rsid w:val="007B2787"/>
    <w:rsid w:val="007B27BF"/>
    <w:rsid w:val="007B28C0"/>
    <w:rsid w:val="007B28F6"/>
    <w:rsid w:val="007B2935"/>
    <w:rsid w:val="007B2936"/>
    <w:rsid w:val="007B2A1D"/>
    <w:rsid w:val="007B2A8E"/>
    <w:rsid w:val="007B2AD8"/>
    <w:rsid w:val="007B2D76"/>
    <w:rsid w:val="007B2DC0"/>
    <w:rsid w:val="007B2DEA"/>
    <w:rsid w:val="007B2F1B"/>
    <w:rsid w:val="007B2F70"/>
    <w:rsid w:val="007B2F99"/>
    <w:rsid w:val="007B325F"/>
    <w:rsid w:val="007B35DB"/>
    <w:rsid w:val="007B3613"/>
    <w:rsid w:val="007B37A0"/>
    <w:rsid w:val="007B390B"/>
    <w:rsid w:val="007B3971"/>
    <w:rsid w:val="007B3D8A"/>
    <w:rsid w:val="007B3EEA"/>
    <w:rsid w:val="007B4096"/>
    <w:rsid w:val="007B40A2"/>
    <w:rsid w:val="007B4214"/>
    <w:rsid w:val="007B4259"/>
    <w:rsid w:val="007B42EF"/>
    <w:rsid w:val="007B4343"/>
    <w:rsid w:val="007B4453"/>
    <w:rsid w:val="007B44F4"/>
    <w:rsid w:val="007B4504"/>
    <w:rsid w:val="007B450D"/>
    <w:rsid w:val="007B4510"/>
    <w:rsid w:val="007B45C0"/>
    <w:rsid w:val="007B4730"/>
    <w:rsid w:val="007B47C0"/>
    <w:rsid w:val="007B484D"/>
    <w:rsid w:val="007B4916"/>
    <w:rsid w:val="007B496D"/>
    <w:rsid w:val="007B49B8"/>
    <w:rsid w:val="007B49C9"/>
    <w:rsid w:val="007B4BCF"/>
    <w:rsid w:val="007B4C1B"/>
    <w:rsid w:val="007B4DD5"/>
    <w:rsid w:val="007B5248"/>
    <w:rsid w:val="007B538B"/>
    <w:rsid w:val="007B5802"/>
    <w:rsid w:val="007B595D"/>
    <w:rsid w:val="007B5A5F"/>
    <w:rsid w:val="007B5B9A"/>
    <w:rsid w:val="007B5CA8"/>
    <w:rsid w:val="007B5E3A"/>
    <w:rsid w:val="007B5EB6"/>
    <w:rsid w:val="007B6028"/>
    <w:rsid w:val="007B6095"/>
    <w:rsid w:val="007B644D"/>
    <w:rsid w:val="007B656B"/>
    <w:rsid w:val="007B65A7"/>
    <w:rsid w:val="007B6927"/>
    <w:rsid w:val="007B69B4"/>
    <w:rsid w:val="007B6D28"/>
    <w:rsid w:val="007B7266"/>
    <w:rsid w:val="007B7283"/>
    <w:rsid w:val="007B74FB"/>
    <w:rsid w:val="007B7598"/>
    <w:rsid w:val="007B75C2"/>
    <w:rsid w:val="007B7649"/>
    <w:rsid w:val="007B76C0"/>
    <w:rsid w:val="007B76F3"/>
    <w:rsid w:val="007B770A"/>
    <w:rsid w:val="007B773E"/>
    <w:rsid w:val="007B79C2"/>
    <w:rsid w:val="007B7A18"/>
    <w:rsid w:val="007B7B04"/>
    <w:rsid w:val="007B7C3C"/>
    <w:rsid w:val="007B7E51"/>
    <w:rsid w:val="007C0003"/>
    <w:rsid w:val="007C007E"/>
    <w:rsid w:val="007C0099"/>
    <w:rsid w:val="007C00D7"/>
    <w:rsid w:val="007C010B"/>
    <w:rsid w:val="007C030C"/>
    <w:rsid w:val="007C0340"/>
    <w:rsid w:val="007C05BD"/>
    <w:rsid w:val="007C0614"/>
    <w:rsid w:val="007C09CC"/>
    <w:rsid w:val="007C0F41"/>
    <w:rsid w:val="007C1124"/>
    <w:rsid w:val="007C14E3"/>
    <w:rsid w:val="007C1715"/>
    <w:rsid w:val="007C18D1"/>
    <w:rsid w:val="007C19F0"/>
    <w:rsid w:val="007C1C18"/>
    <w:rsid w:val="007C1D1E"/>
    <w:rsid w:val="007C1E12"/>
    <w:rsid w:val="007C1F71"/>
    <w:rsid w:val="007C1F75"/>
    <w:rsid w:val="007C20BE"/>
    <w:rsid w:val="007C2139"/>
    <w:rsid w:val="007C215D"/>
    <w:rsid w:val="007C217B"/>
    <w:rsid w:val="007C21B4"/>
    <w:rsid w:val="007C242F"/>
    <w:rsid w:val="007C26FC"/>
    <w:rsid w:val="007C286F"/>
    <w:rsid w:val="007C2905"/>
    <w:rsid w:val="007C29B8"/>
    <w:rsid w:val="007C2BC8"/>
    <w:rsid w:val="007C2D12"/>
    <w:rsid w:val="007C308C"/>
    <w:rsid w:val="007C3160"/>
    <w:rsid w:val="007C31DD"/>
    <w:rsid w:val="007C321C"/>
    <w:rsid w:val="007C35E5"/>
    <w:rsid w:val="007C378F"/>
    <w:rsid w:val="007C37E6"/>
    <w:rsid w:val="007C39D1"/>
    <w:rsid w:val="007C3A45"/>
    <w:rsid w:val="007C3CAB"/>
    <w:rsid w:val="007C3D0A"/>
    <w:rsid w:val="007C3D20"/>
    <w:rsid w:val="007C3DA4"/>
    <w:rsid w:val="007C3E8B"/>
    <w:rsid w:val="007C3FF9"/>
    <w:rsid w:val="007C4242"/>
    <w:rsid w:val="007C43D3"/>
    <w:rsid w:val="007C441D"/>
    <w:rsid w:val="007C4435"/>
    <w:rsid w:val="007C4751"/>
    <w:rsid w:val="007C4844"/>
    <w:rsid w:val="007C486F"/>
    <w:rsid w:val="007C496E"/>
    <w:rsid w:val="007C4994"/>
    <w:rsid w:val="007C4BF1"/>
    <w:rsid w:val="007C4BF5"/>
    <w:rsid w:val="007C4CED"/>
    <w:rsid w:val="007C4D10"/>
    <w:rsid w:val="007C4D98"/>
    <w:rsid w:val="007C4E38"/>
    <w:rsid w:val="007C4EE5"/>
    <w:rsid w:val="007C512C"/>
    <w:rsid w:val="007C5515"/>
    <w:rsid w:val="007C5572"/>
    <w:rsid w:val="007C56A4"/>
    <w:rsid w:val="007C584A"/>
    <w:rsid w:val="007C59A0"/>
    <w:rsid w:val="007C5A91"/>
    <w:rsid w:val="007C5AA4"/>
    <w:rsid w:val="007C5B07"/>
    <w:rsid w:val="007C5B6B"/>
    <w:rsid w:val="007C5DB2"/>
    <w:rsid w:val="007C5EE9"/>
    <w:rsid w:val="007C5FF6"/>
    <w:rsid w:val="007C6150"/>
    <w:rsid w:val="007C64C2"/>
    <w:rsid w:val="007C658B"/>
    <w:rsid w:val="007C683D"/>
    <w:rsid w:val="007C6964"/>
    <w:rsid w:val="007C6AB2"/>
    <w:rsid w:val="007C6C4C"/>
    <w:rsid w:val="007C6CED"/>
    <w:rsid w:val="007C6F99"/>
    <w:rsid w:val="007C7342"/>
    <w:rsid w:val="007C73F2"/>
    <w:rsid w:val="007C770F"/>
    <w:rsid w:val="007C7913"/>
    <w:rsid w:val="007C7A8A"/>
    <w:rsid w:val="007C7CA2"/>
    <w:rsid w:val="007C7D33"/>
    <w:rsid w:val="007C7ED5"/>
    <w:rsid w:val="007C7FF5"/>
    <w:rsid w:val="007CFC1C"/>
    <w:rsid w:val="007D000A"/>
    <w:rsid w:val="007D00A0"/>
    <w:rsid w:val="007D016B"/>
    <w:rsid w:val="007D01B0"/>
    <w:rsid w:val="007D01B1"/>
    <w:rsid w:val="007D01F0"/>
    <w:rsid w:val="007D02A1"/>
    <w:rsid w:val="007D0634"/>
    <w:rsid w:val="007D07A1"/>
    <w:rsid w:val="007D0831"/>
    <w:rsid w:val="007D0BD3"/>
    <w:rsid w:val="007D0BD7"/>
    <w:rsid w:val="007D0CF1"/>
    <w:rsid w:val="007D0DF2"/>
    <w:rsid w:val="007D0E29"/>
    <w:rsid w:val="007D0EDA"/>
    <w:rsid w:val="007D0F8F"/>
    <w:rsid w:val="007D1094"/>
    <w:rsid w:val="007D1343"/>
    <w:rsid w:val="007D13A4"/>
    <w:rsid w:val="007D13D9"/>
    <w:rsid w:val="007D14FA"/>
    <w:rsid w:val="007D1523"/>
    <w:rsid w:val="007D15C0"/>
    <w:rsid w:val="007D1621"/>
    <w:rsid w:val="007D1687"/>
    <w:rsid w:val="007D1923"/>
    <w:rsid w:val="007D1968"/>
    <w:rsid w:val="007D1986"/>
    <w:rsid w:val="007D19EE"/>
    <w:rsid w:val="007D1A5E"/>
    <w:rsid w:val="007D1AF4"/>
    <w:rsid w:val="007D1B63"/>
    <w:rsid w:val="007D1C0C"/>
    <w:rsid w:val="007D1C11"/>
    <w:rsid w:val="007D1D51"/>
    <w:rsid w:val="007D2284"/>
    <w:rsid w:val="007D2391"/>
    <w:rsid w:val="007D2392"/>
    <w:rsid w:val="007D251A"/>
    <w:rsid w:val="007D25BB"/>
    <w:rsid w:val="007D25E1"/>
    <w:rsid w:val="007D266D"/>
    <w:rsid w:val="007D2ACA"/>
    <w:rsid w:val="007D2AD4"/>
    <w:rsid w:val="007D2B51"/>
    <w:rsid w:val="007D2F0D"/>
    <w:rsid w:val="007D2F4C"/>
    <w:rsid w:val="007D3197"/>
    <w:rsid w:val="007D31A9"/>
    <w:rsid w:val="007D31EB"/>
    <w:rsid w:val="007D3304"/>
    <w:rsid w:val="007D331F"/>
    <w:rsid w:val="007D33E5"/>
    <w:rsid w:val="007D3446"/>
    <w:rsid w:val="007D349E"/>
    <w:rsid w:val="007D35D6"/>
    <w:rsid w:val="007D363D"/>
    <w:rsid w:val="007D3666"/>
    <w:rsid w:val="007D36D2"/>
    <w:rsid w:val="007D3735"/>
    <w:rsid w:val="007D3759"/>
    <w:rsid w:val="007D378F"/>
    <w:rsid w:val="007D37A1"/>
    <w:rsid w:val="007D37FB"/>
    <w:rsid w:val="007D38DC"/>
    <w:rsid w:val="007D390F"/>
    <w:rsid w:val="007D39BB"/>
    <w:rsid w:val="007D39CD"/>
    <w:rsid w:val="007D3A85"/>
    <w:rsid w:val="007D3AEB"/>
    <w:rsid w:val="007D3D00"/>
    <w:rsid w:val="007D3E70"/>
    <w:rsid w:val="007D3EB7"/>
    <w:rsid w:val="007D408F"/>
    <w:rsid w:val="007D419E"/>
    <w:rsid w:val="007D422C"/>
    <w:rsid w:val="007D437A"/>
    <w:rsid w:val="007D439E"/>
    <w:rsid w:val="007D451F"/>
    <w:rsid w:val="007D4771"/>
    <w:rsid w:val="007D494C"/>
    <w:rsid w:val="007D49FD"/>
    <w:rsid w:val="007D4B57"/>
    <w:rsid w:val="007D4C21"/>
    <w:rsid w:val="007D4DA9"/>
    <w:rsid w:val="007D4F7C"/>
    <w:rsid w:val="007D509E"/>
    <w:rsid w:val="007D51AD"/>
    <w:rsid w:val="007D53F7"/>
    <w:rsid w:val="007D5406"/>
    <w:rsid w:val="007D5418"/>
    <w:rsid w:val="007D547F"/>
    <w:rsid w:val="007D55B3"/>
    <w:rsid w:val="007D5673"/>
    <w:rsid w:val="007D56DD"/>
    <w:rsid w:val="007D579C"/>
    <w:rsid w:val="007D57C4"/>
    <w:rsid w:val="007D591B"/>
    <w:rsid w:val="007D5948"/>
    <w:rsid w:val="007D5954"/>
    <w:rsid w:val="007D59EB"/>
    <w:rsid w:val="007D5E75"/>
    <w:rsid w:val="007D6092"/>
    <w:rsid w:val="007D60B6"/>
    <w:rsid w:val="007D61DD"/>
    <w:rsid w:val="007D61E6"/>
    <w:rsid w:val="007D6425"/>
    <w:rsid w:val="007D64EA"/>
    <w:rsid w:val="007D659F"/>
    <w:rsid w:val="007D65C8"/>
    <w:rsid w:val="007D6651"/>
    <w:rsid w:val="007D6683"/>
    <w:rsid w:val="007D69FA"/>
    <w:rsid w:val="007D6A0E"/>
    <w:rsid w:val="007D6C4A"/>
    <w:rsid w:val="007D7022"/>
    <w:rsid w:val="007D7189"/>
    <w:rsid w:val="007D71D6"/>
    <w:rsid w:val="007D7217"/>
    <w:rsid w:val="007D73FC"/>
    <w:rsid w:val="007D7579"/>
    <w:rsid w:val="007D760D"/>
    <w:rsid w:val="007D765D"/>
    <w:rsid w:val="007D7D7B"/>
    <w:rsid w:val="007D7DC1"/>
    <w:rsid w:val="007D7DC2"/>
    <w:rsid w:val="007D7DCE"/>
    <w:rsid w:val="007D7EF1"/>
    <w:rsid w:val="007D7F87"/>
    <w:rsid w:val="007DC38A"/>
    <w:rsid w:val="007E0033"/>
    <w:rsid w:val="007E04C5"/>
    <w:rsid w:val="007E0736"/>
    <w:rsid w:val="007E083C"/>
    <w:rsid w:val="007E0911"/>
    <w:rsid w:val="007E092D"/>
    <w:rsid w:val="007E0F18"/>
    <w:rsid w:val="007E1005"/>
    <w:rsid w:val="007E1104"/>
    <w:rsid w:val="007E1195"/>
    <w:rsid w:val="007E1259"/>
    <w:rsid w:val="007E142D"/>
    <w:rsid w:val="007E1587"/>
    <w:rsid w:val="007E15D5"/>
    <w:rsid w:val="007E16ED"/>
    <w:rsid w:val="007E1A0B"/>
    <w:rsid w:val="007E1AF4"/>
    <w:rsid w:val="007E1B19"/>
    <w:rsid w:val="007E1B5D"/>
    <w:rsid w:val="007E1C31"/>
    <w:rsid w:val="007E1CA6"/>
    <w:rsid w:val="007E1E28"/>
    <w:rsid w:val="007E204C"/>
    <w:rsid w:val="007E207F"/>
    <w:rsid w:val="007E2148"/>
    <w:rsid w:val="007E225B"/>
    <w:rsid w:val="007E26BD"/>
    <w:rsid w:val="007E2767"/>
    <w:rsid w:val="007E27B3"/>
    <w:rsid w:val="007E2CA6"/>
    <w:rsid w:val="007E2CD9"/>
    <w:rsid w:val="007E2DA5"/>
    <w:rsid w:val="007E2DED"/>
    <w:rsid w:val="007E2EF1"/>
    <w:rsid w:val="007E2F86"/>
    <w:rsid w:val="007E2FB9"/>
    <w:rsid w:val="007E3066"/>
    <w:rsid w:val="007E3146"/>
    <w:rsid w:val="007E33CA"/>
    <w:rsid w:val="007E37A0"/>
    <w:rsid w:val="007E384A"/>
    <w:rsid w:val="007E3918"/>
    <w:rsid w:val="007E3B6C"/>
    <w:rsid w:val="007E3BF5"/>
    <w:rsid w:val="007E3EF4"/>
    <w:rsid w:val="007E4241"/>
    <w:rsid w:val="007E42AA"/>
    <w:rsid w:val="007E4419"/>
    <w:rsid w:val="007E449A"/>
    <w:rsid w:val="007E45A0"/>
    <w:rsid w:val="007E45A1"/>
    <w:rsid w:val="007E461E"/>
    <w:rsid w:val="007E482C"/>
    <w:rsid w:val="007E4B32"/>
    <w:rsid w:val="007E4B8C"/>
    <w:rsid w:val="007E4BB2"/>
    <w:rsid w:val="007E4C91"/>
    <w:rsid w:val="007E4EE9"/>
    <w:rsid w:val="007E4F44"/>
    <w:rsid w:val="007E4FC7"/>
    <w:rsid w:val="007E5026"/>
    <w:rsid w:val="007E5A99"/>
    <w:rsid w:val="007E5C48"/>
    <w:rsid w:val="007E5C51"/>
    <w:rsid w:val="007E5D1C"/>
    <w:rsid w:val="007E5D27"/>
    <w:rsid w:val="007E5E37"/>
    <w:rsid w:val="007E5E79"/>
    <w:rsid w:val="007E5F52"/>
    <w:rsid w:val="007E5FDF"/>
    <w:rsid w:val="007E6028"/>
    <w:rsid w:val="007E60B1"/>
    <w:rsid w:val="007E62BB"/>
    <w:rsid w:val="007E6379"/>
    <w:rsid w:val="007E65A0"/>
    <w:rsid w:val="007E6684"/>
    <w:rsid w:val="007E66D3"/>
    <w:rsid w:val="007E67A8"/>
    <w:rsid w:val="007E69B2"/>
    <w:rsid w:val="007E6AD8"/>
    <w:rsid w:val="007E6B1C"/>
    <w:rsid w:val="007E6B7C"/>
    <w:rsid w:val="007E6B95"/>
    <w:rsid w:val="007E6C44"/>
    <w:rsid w:val="007E6D6F"/>
    <w:rsid w:val="007E6DD0"/>
    <w:rsid w:val="007E6FCC"/>
    <w:rsid w:val="007E70A8"/>
    <w:rsid w:val="007E71B4"/>
    <w:rsid w:val="007E72EC"/>
    <w:rsid w:val="007E77A2"/>
    <w:rsid w:val="007E77EA"/>
    <w:rsid w:val="007E7BA5"/>
    <w:rsid w:val="007E7CAD"/>
    <w:rsid w:val="007E7F0F"/>
    <w:rsid w:val="007F0054"/>
    <w:rsid w:val="007F00BB"/>
    <w:rsid w:val="007F0374"/>
    <w:rsid w:val="007F056C"/>
    <w:rsid w:val="007F0589"/>
    <w:rsid w:val="007F0795"/>
    <w:rsid w:val="007F0AE9"/>
    <w:rsid w:val="007F0D28"/>
    <w:rsid w:val="007F0DE8"/>
    <w:rsid w:val="007F0E6F"/>
    <w:rsid w:val="007F0FD1"/>
    <w:rsid w:val="007F108A"/>
    <w:rsid w:val="007F124F"/>
    <w:rsid w:val="007F12CC"/>
    <w:rsid w:val="007F140D"/>
    <w:rsid w:val="007F143D"/>
    <w:rsid w:val="007F1815"/>
    <w:rsid w:val="007F1A1D"/>
    <w:rsid w:val="007F1A71"/>
    <w:rsid w:val="007F1AB2"/>
    <w:rsid w:val="007F1BAF"/>
    <w:rsid w:val="007F1FF3"/>
    <w:rsid w:val="007F214D"/>
    <w:rsid w:val="007F228C"/>
    <w:rsid w:val="007F2354"/>
    <w:rsid w:val="007F242D"/>
    <w:rsid w:val="007F246D"/>
    <w:rsid w:val="007F2475"/>
    <w:rsid w:val="007F255F"/>
    <w:rsid w:val="007F257B"/>
    <w:rsid w:val="007F275D"/>
    <w:rsid w:val="007F287E"/>
    <w:rsid w:val="007F2919"/>
    <w:rsid w:val="007F2C2F"/>
    <w:rsid w:val="007F2CA1"/>
    <w:rsid w:val="007F2E13"/>
    <w:rsid w:val="007F301E"/>
    <w:rsid w:val="007F30F8"/>
    <w:rsid w:val="007F31DF"/>
    <w:rsid w:val="007F31F5"/>
    <w:rsid w:val="007F32DF"/>
    <w:rsid w:val="007F3646"/>
    <w:rsid w:val="007F36B5"/>
    <w:rsid w:val="007F370B"/>
    <w:rsid w:val="007F3720"/>
    <w:rsid w:val="007F392C"/>
    <w:rsid w:val="007F3AD9"/>
    <w:rsid w:val="007F3B65"/>
    <w:rsid w:val="007F3B92"/>
    <w:rsid w:val="007F3CC7"/>
    <w:rsid w:val="007F3E9B"/>
    <w:rsid w:val="007F3F39"/>
    <w:rsid w:val="007F3F59"/>
    <w:rsid w:val="007F3FDC"/>
    <w:rsid w:val="007F411A"/>
    <w:rsid w:val="007F4133"/>
    <w:rsid w:val="007F4159"/>
    <w:rsid w:val="007F4182"/>
    <w:rsid w:val="007F4237"/>
    <w:rsid w:val="007F42A5"/>
    <w:rsid w:val="007F4327"/>
    <w:rsid w:val="007F43CA"/>
    <w:rsid w:val="007F443A"/>
    <w:rsid w:val="007F449E"/>
    <w:rsid w:val="007F44DF"/>
    <w:rsid w:val="007F47F8"/>
    <w:rsid w:val="007F4977"/>
    <w:rsid w:val="007F4A01"/>
    <w:rsid w:val="007F4ADD"/>
    <w:rsid w:val="007F4CC6"/>
    <w:rsid w:val="007F4CDC"/>
    <w:rsid w:val="007F4CE6"/>
    <w:rsid w:val="007F4EF6"/>
    <w:rsid w:val="007F4F6C"/>
    <w:rsid w:val="007F518C"/>
    <w:rsid w:val="007F53EC"/>
    <w:rsid w:val="007F542D"/>
    <w:rsid w:val="007F5622"/>
    <w:rsid w:val="007F56AC"/>
    <w:rsid w:val="007F5762"/>
    <w:rsid w:val="007F5856"/>
    <w:rsid w:val="007F5B7C"/>
    <w:rsid w:val="007F5C14"/>
    <w:rsid w:val="007F5E25"/>
    <w:rsid w:val="007F5F06"/>
    <w:rsid w:val="007F62B4"/>
    <w:rsid w:val="007F645F"/>
    <w:rsid w:val="007F651E"/>
    <w:rsid w:val="007F65B3"/>
    <w:rsid w:val="007F6A0E"/>
    <w:rsid w:val="007F6EB1"/>
    <w:rsid w:val="007F70ED"/>
    <w:rsid w:val="007F72BB"/>
    <w:rsid w:val="007F730D"/>
    <w:rsid w:val="007F737D"/>
    <w:rsid w:val="007F7956"/>
    <w:rsid w:val="007F7A4E"/>
    <w:rsid w:val="007F7D55"/>
    <w:rsid w:val="00800040"/>
    <w:rsid w:val="00800237"/>
    <w:rsid w:val="008002CA"/>
    <w:rsid w:val="0080032A"/>
    <w:rsid w:val="00800391"/>
    <w:rsid w:val="008006D3"/>
    <w:rsid w:val="008007D1"/>
    <w:rsid w:val="00800803"/>
    <w:rsid w:val="00800A0D"/>
    <w:rsid w:val="00800A34"/>
    <w:rsid w:val="00800BE4"/>
    <w:rsid w:val="00800CE5"/>
    <w:rsid w:val="00800CFF"/>
    <w:rsid w:val="00800D32"/>
    <w:rsid w:val="00801315"/>
    <w:rsid w:val="0080150B"/>
    <w:rsid w:val="0080168A"/>
    <w:rsid w:val="00801694"/>
    <w:rsid w:val="00801AE5"/>
    <w:rsid w:val="00801C91"/>
    <w:rsid w:val="00801D9D"/>
    <w:rsid w:val="00801E54"/>
    <w:rsid w:val="00801E8C"/>
    <w:rsid w:val="00801F1F"/>
    <w:rsid w:val="00801F21"/>
    <w:rsid w:val="00802033"/>
    <w:rsid w:val="00802078"/>
    <w:rsid w:val="00802374"/>
    <w:rsid w:val="00802676"/>
    <w:rsid w:val="008027C3"/>
    <w:rsid w:val="0080290F"/>
    <w:rsid w:val="00802986"/>
    <w:rsid w:val="008029ED"/>
    <w:rsid w:val="00802AB6"/>
    <w:rsid w:val="00802B6C"/>
    <w:rsid w:val="00802C2C"/>
    <w:rsid w:val="00802C5F"/>
    <w:rsid w:val="00802CAD"/>
    <w:rsid w:val="00802CD5"/>
    <w:rsid w:val="00802EED"/>
    <w:rsid w:val="00802FF5"/>
    <w:rsid w:val="008030BB"/>
    <w:rsid w:val="008030FF"/>
    <w:rsid w:val="00803226"/>
    <w:rsid w:val="0080335D"/>
    <w:rsid w:val="0080345B"/>
    <w:rsid w:val="0080348D"/>
    <w:rsid w:val="00803509"/>
    <w:rsid w:val="00803657"/>
    <w:rsid w:val="0080368F"/>
    <w:rsid w:val="00803829"/>
    <w:rsid w:val="00803B75"/>
    <w:rsid w:val="00803BB7"/>
    <w:rsid w:val="00803C92"/>
    <w:rsid w:val="00803D76"/>
    <w:rsid w:val="008041A8"/>
    <w:rsid w:val="008041F9"/>
    <w:rsid w:val="008048CF"/>
    <w:rsid w:val="00804C38"/>
    <w:rsid w:val="00804EEB"/>
    <w:rsid w:val="008050DF"/>
    <w:rsid w:val="0080511A"/>
    <w:rsid w:val="0080511C"/>
    <w:rsid w:val="0080513B"/>
    <w:rsid w:val="008051D5"/>
    <w:rsid w:val="008052A0"/>
    <w:rsid w:val="008053DD"/>
    <w:rsid w:val="00805481"/>
    <w:rsid w:val="00805581"/>
    <w:rsid w:val="00805615"/>
    <w:rsid w:val="00805633"/>
    <w:rsid w:val="00805752"/>
    <w:rsid w:val="00805819"/>
    <w:rsid w:val="00805B60"/>
    <w:rsid w:val="00805DC6"/>
    <w:rsid w:val="00805EBD"/>
    <w:rsid w:val="0080619B"/>
    <w:rsid w:val="008063A3"/>
    <w:rsid w:val="0080649D"/>
    <w:rsid w:val="008064BF"/>
    <w:rsid w:val="008064C2"/>
    <w:rsid w:val="00806526"/>
    <w:rsid w:val="0080668E"/>
    <w:rsid w:val="0080674A"/>
    <w:rsid w:val="00806851"/>
    <w:rsid w:val="00806950"/>
    <w:rsid w:val="00806A3B"/>
    <w:rsid w:val="00806B95"/>
    <w:rsid w:val="00806CF3"/>
    <w:rsid w:val="00806F32"/>
    <w:rsid w:val="00806F35"/>
    <w:rsid w:val="00806F7E"/>
    <w:rsid w:val="00806FED"/>
    <w:rsid w:val="00807017"/>
    <w:rsid w:val="00807025"/>
    <w:rsid w:val="0080705E"/>
    <w:rsid w:val="00807086"/>
    <w:rsid w:val="00807093"/>
    <w:rsid w:val="0080725B"/>
    <w:rsid w:val="008073A2"/>
    <w:rsid w:val="00807462"/>
    <w:rsid w:val="008077EF"/>
    <w:rsid w:val="00807924"/>
    <w:rsid w:val="00807ADE"/>
    <w:rsid w:val="00807B8B"/>
    <w:rsid w:val="00807D6B"/>
    <w:rsid w:val="00807E2B"/>
    <w:rsid w:val="0081029C"/>
    <w:rsid w:val="008102D4"/>
    <w:rsid w:val="008105B4"/>
    <w:rsid w:val="008105DE"/>
    <w:rsid w:val="0081061A"/>
    <w:rsid w:val="008109E9"/>
    <w:rsid w:val="00810A8B"/>
    <w:rsid w:val="00810A91"/>
    <w:rsid w:val="00810B4B"/>
    <w:rsid w:val="00810CDF"/>
    <w:rsid w:val="00810DE0"/>
    <w:rsid w:val="00810E13"/>
    <w:rsid w:val="008111AB"/>
    <w:rsid w:val="00811429"/>
    <w:rsid w:val="008117DB"/>
    <w:rsid w:val="0081187A"/>
    <w:rsid w:val="008119E3"/>
    <w:rsid w:val="00811B6C"/>
    <w:rsid w:val="00811C7D"/>
    <w:rsid w:val="00811CA7"/>
    <w:rsid w:val="00811CE5"/>
    <w:rsid w:val="00811D1F"/>
    <w:rsid w:val="00811D48"/>
    <w:rsid w:val="00811EFF"/>
    <w:rsid w:val="00811F50"/>
    <w:rsid w:val="00811FDD"/>
    <w:rsid w:val="00812057"/>
    <w:rsid w:val="00812100"/>
    <w:rsid w:val="0081212A"/>
    <w:rsid w:val="008122D8"/>
    <w:rsid w:val="00812417"/>
    <w:rsid w:val="008124DA"/>
    <w:rsid w:val="00812611"/>
    <w:rsid w:val="008126D1"/>
    <w:rsid w:val="0081273B"/>
    <w:rsid w:val="00812768"/>
    <w:rsid w:val="008128DD"/>
    <w:rsid w:val="008128FB"/>
    <w:rsid w:val="00812ACF"/>
    <w:rsid w:val="00812EED"/>
    <w:rsid w:val="00812F94"/>
    <w:rsid w:val="00813305"/>
    <w:rsid w:val="008133A5"/>
    <w:rsid w:val="00813596"/>
    <w:rsid w:val="0081363D"/>
    <w:rsid w:val="008136AF"/>
    <w:rsid w:val="00813958"/>
    <w:rsid w:val="00813A33"/>
    <w:rsid w:val="00813A56"/>
    <w:rsid w:val="00814177"/>
    <w:rsid w:val="00814414"/>
    <w:rsid w:val="008144C8"/>
    <w:rsid w:val="00814537"/>
    <w:rsid w:val="0081460F"/>
    <w:rsid w:val="00814618"/>
    <w:rsid w:val="008148DD"/>
    <w:rsid w:val="00814A04"/>
    <w:rsid w:val="00814AE8"/>
    <w:rsid w:val="00814B5D"/>
    <w:rsid w:val="00814B84"/>
    <w:rsid w:val="00814C1E"/>
    <w:rsid w:val="00814FF8"/>
    <w:rsid w:val="008150C7"/>
    <w:rsid w:val="00815121"/>
    <w:rsid w:val="00815140"/>
    <w:rsid w:val="0081515F"/>
    <w:rsid w:val="008151DF"/>
    <w:rsid w:val="00815235"/>
    <w:rsid w:val="00815245"/>
    <w:rsid w:val="008153CB"/>
    <w:rsid w:val="008153F0"/>
    <w:rsid w:val="00815481"/>
    <w:rsid w:val="008154E5"/>
    <w:rsid w:val="008156AE"/>
    <w:rsid w:val="00815821"/>
    <w:rsid w:val="00815881"/>
    <w:rsid w:val="008159A9"/>
    <w:rsid w:val="008159AD"/>
    <w:rsid w:val="008159DB"/>
    <w:rsid w:val="00815A02"/>
    <w:rsid w:val="00815A21"/>
    <w:rsid w:val="00815AB8"/>
    <w:rsid w:val="00815B39"/>
    <w:rsid w:val="00815DCB"/>
    <w:rsid w:val="008160A8"/>
    <w:rsid w:val="008162A4"/>
    <w:rsid w:val="00816444"/>
    <w:rsid w:val="00816450"/>
    <w:rsid w:val="00816465"/>
    <w:rsid w:val="0081653C"/>
    <w:rsid w:val="008165A3"/>
    <w:rsid w:val="00816749"/>
    <w:rsid w:val="00816893"/>
    <w:rsid w:val="0081690D"/>
    <w:rsid w:val="00816A59"/>
    <w:rsid w:val="00816AA1"/>
    <w:rsid w:val="00816AB8"/>
    <w:rsid w:val="00816C77"/>
    <w:rsid w:val="00816F94"/>
    <w:rsid w:val="00817021"/>
    <w:rsid w:val="008170B0"/>
    <w:rsid w:val="008173EC"/>
    <w:rsid w:val="008173FC"/>
    <w:rsid w:val="008174AE"/>
    <w:rsid w:val="008175CF"/>
    <w:rsid w:val="0081765A"/>
    <w:rsid w:val="008176CD"/>
    <w:rsid w:val="00817798"/>
    <w:rsid w:val="0081785C"/>
    <w:rsid w:val="0081793B"/>
    <w:rsid w:val="00817A6A"/>
    <w:rsid w:val="00817A9F"/>
    <w:rsid w:val="00817CE9"/>
    <w:rsid w:val="00817DB6"/>
    <w:rsid w:val="00817E30"/>
    <w:rsid w:val="00817EE3"/>
    <w:rsid w:val="00817FE3"/>
    <w:rsid w:val="008203AF"/>
    <w:rsid w:val="008203C5"/>
    <w:rsid w:val="00820512"/>
    <w:rsid w:val="00820664"/>
    <w:rsid w:val="0082068C"/>
    <w:rsid w:val="008207DA"/>
    <w:rsid w:val="00820857"/>
    <w:rsid w:val="0082085D"/>
    <w:rsid w:val="008208BC"/>
    <w:rsid w:val="00820925"/>
    <w:rsid w:val="0082094B"/>
    <w:rsid w:val="00820ADC"/>
    <w:rsid w:val="00820B57"/>
    <w:rsid w:val="00820B8A"/>
    <w:rsid w:val="00820C77"/>
    <w:rsid w:val="00820D61"/>
    <w:rsid w:val="00820E90"/>
    <w:rsid w:val="00820EDC"/>
    <w:rsid w:val="008212DA"/>
    <w:rsid w:val="0082139F"/>
    <w:rsid w:val="00821422"/>
    <w:rsid w:val="00821535"/>
    <w:rsid w:val="00821996"/>
    <w:rsid w:val="00821B0E"/>
    <w:rsid w:val="00821C4A"/>
    <w:rsid w:val="00821E0E"/>
    <w:rsid w:val="00821F57"/>
    <w:rsid w:val="00821F67"/>
    <w:rsid w:val="00821F91"/>
    <w:rsid w:val="00822011"/>
    <w:rsid w:val="008221B9"/>
    <w:rsid w:val="008221FB"/>
    <w:rsid w:val="00822244"/>
    <w:rsid w:val="008223F3"/>
    <w:rsid w:val="00822402"/>
    <w:rsid w:val="008225FC"/>
    <w:rsid w:val="008227C8"/>
    <w:rsid w:val="0082282B"/>
    <w:rsid w:val="00822987"/>
    <w:rsid w:val="00822A77"/>
    <w:rsid w:val="00822B86"/>
    <w:rsid w:val="00822FDD"/>
    <w:rsid w:val="00823009"/>
    <w:rsid w:val="00823017"/>
    <w:rsid w:val="0082323D"/>
    <w:rsid w:val="008232EE"/>
    <w:rsid w:val="008233C0"/>
    <w:rsid w:val="00823520"/>
    <w:rsid w:val="00823574"/>
    <w:rsid w:val="008235AB"/>
    <w:rsid w:val="0082370B"/>
    <w:rsid w:val="00823AFA"/>
    <w:rsid w:val="00823ED5"/>
    <w:rsid w:val="00823EE6"/>
    <w:rsid w:val="00823F45"/>
    <w:rsid w:val="00823F98"/>
    <w:rsid w:val="00824057"/>
    <w:rsid w:val="008240EF"/>
    <w:rsid w:val="008240F8"/>
    <w:rsid w:val="0082411A"/>
    <w:rsid w:val="008241C0"/>
    <w:rsid w:val="00824204"/>
    <w:rsid w:val="0082460D"/>
    <w:rsid w:val="0082468F"/>
    <w:rsid w:val="008246B8"/>
    <w:rsid w:val="00824893"/>
    <w:rsid w:val="00824B13"/>
    <w:rsid w:val="00824B81"/>
    <w:rsid w:val="00824B9F"/>
    <w:rsid w:val="00824C1C"/>
    <w:rsid w:val="00824E3C"/>
    <w:rsid w:val="00825169"/>
    <w:rsid w:val="00825379"/>
    <w:rsid w:val="008254D2"/>
    <w:rsid w:val="0082555F"/>
    <w:rsid w:val="00825689"/>
    <w:rsid w:val="008258CA"/>
    <w:rsid w:val="00825A28"/>
    <w:rsid w:val="00825B28"/>
    <w:rsid w:val="00825D0D"/>
    <w:rsid w:val="00825D3C"/>
    <w:rsid w:val="00825FC0"/>
    <w:rsid w:val="00826200"/>
    <w:rsid w:val="00826349"/>
    <w:rsid w:val="008264FF"/>
    <w:rsid w:val="00826702"/>
    <w:rsid w:val="0082685F"/>
    <w:rsid w:val="0082689A"/>
    <w:rsid w:val="00826B45"/>
    <w:rsid w:val="00826D5B"/>
    <w:rsid w:val="00826ED5"/>
    <w:rsid w:val="008272E5"/>
    <w:rsid w:val="008279C9"/>
    <w:rsid w:val="00827A36"/>
    <w:rsid w:val="00827B11"/>
    <w:rsid w:val="00827B2B"/>
    <w:rsid w:val="00827BC1"/>
    <w:rsid w:val="00827C24"/>
    <w:rsid w:val="00827DBA"/>
    <w:rsid w:val="008300E8"/>
    <w:rsid w:val="00830338"/>
    <w:rsid w:val="008305C4"/>
    <w:rsid w:val="00830991"/>
    <w:rsid w:val="00830AD2"/>
    <w:rsid w:val="00830DE8"/>
    <w:rsid w:val="00830E95"/>
    <w:rsid w:val="00830EAD"/>
    <w:rsid w:val="00830EC2"/>
    <w:rsid w:val="0083101E"/>
    <w:rsid w:val="00831172"/>
    <w:rsid w:val="0083120A"/>
    <w:rsid w:val="00831433"/>
    <w:rsid w:val="00831450"/>
    <w:rsid w:val="0083158B"/>
    <w:rsid w:val="00831709"/>
    <w:rsid w:val="00831AAB"/>
    <w:rsid w:val="008322E0"/>
    <w:rsid w:val="00832354"/>
    <w:rsid w:val="008324E6"/>
    <w:rsid w:val="008325D2"/>
    <w:rsid w:val="008325E9"/>
    <w:rsid w:val="00832650"/>
    <w:rsid w:val="0083291B"/>
    <w:rsid w:val="008329C2"/>
    <w:rsid w:val="00832B72"/>
    <w:rsid w:val="00832BDC"/>
    <w:rsid w:val="00832C19"/>
    <w:rsid w:val="00832D23"/>
    <w:rsid w:val="00832D5A"/>
    <w:rsid w:val="00832E76"/>
    <w:rsid w:val="00832E87"/>
    <w:rsid w:val="00833182"/>
    <w:rsid w:val="0083319A"/>
    <w:rsid w:val="00833322"/>
    <w:rsid w:val="00833395"/>
    <w:rsid w:val="008333F8"/>
    <w:rsid w:val="00833437"/>
    <w:rsid w:val="00833696"/>
    <w:rsid w:val="008336FF"/>
    <w:rsid w:val="00833788"/>
    <w:rsid w:val="00833869"/>
    <w:rsid w:val="008338B8"/>
    <w:rsid w:val="008339C8"/>
    <w:rsid w:val="00833C2C"/>
    <w:rsid w:val="00833C35"/>
    <w:rsid w:val="00833DA8"/>
    <w:rsid w:val="00833F6B"/>
    <w:rsid w:val="008342F7"/>
    <w:rsid w:val="0083430A"/>
    <w:rsid w:val="00834362"/>
    <w:rsid w:val="008343FC"/>
    <w:rsid w:val="00834447"/>
    <w:rsid w:val="0083456D"/>
    <w:rsid w:val="00834572"/>
    <w:rsid w:val="00834607"/>
    <w:rsid w:val="0083460A"/>
    <w:rsid w:val="0083464B"/>
    <w:rsid w:val="0083474F"/>
    <w:rsid w:val="00834817"/>
    <w:rsid w:val="00834845"/>
    <w:rsid w:val="008348E0"/>
    <w:rsid w:val="00834942"/>
    <w:rsid w:val="00834A93"/>
    <w:rsid w:val="00834B7C"/>
    <w:rsid w:val="00834CD0"/>
    <w:rsid w:val="00834E27"/>
    <w:rsid w:val="00834E93"/>
    <w:rsid w:val="00834EB2"/>
    <w:rsid w:val="00834F15"/>
    <w:rsid w:val="0083504E"/>
    <w:rsid w:val="008354C3"/>
    <w:rsid w:val="008355B1"/>
    <w:rsid w:val="008355B3"/>
    <w:rsid w:val="00835675"/>
    <w:rsid w:val="00835751"/>
    <w:rsid w:val="00835BA4"/>
    <w:rsid w:val="00835D72"/>
    <w:rsid w:val="00835DB9"/>
    <w:rsid w:val="00835F2E"/>
    <w:rsid w:val="00835F4D"/>
    <w:rsid w:val="0083600C"/>
    <w:rsid w:val="0083606B"/>
    <w:rsid w:val="00836136"/>
    <w:rsid w:val="008361E1"/>
    <w:rsid w:val="008362DE"/>
    <w:rsid w:val="008364DC"/>
    <w:rsid w:val="0083652F"/>
    <w:rsid w:val="008368A9"/>
    <w:rsid w:val="008369F9"/>
    <w:rsid w:val="00836B4E"/>
    <w:rsid w:val="00836B50"/>
    <w:rsid w:val="00836BE5"/>
    <w:rsid w:val="00836C4B"/>
    <w:rsid w:val="00836D6E"/>
    <w:rsid w:val="00836E3F"/>
    <w:rsid w:val="00836EB0"/>
    <w:rsid w:val="00836FF6"/>
    <w:rsid w:val="00837073"/>
    <w:rsid w:val="008370A1"/>
    <w:rsid w:val="008370BA"/>
    <w:rsid w:val="00837192"/>
    <w:rsid w:val="00837194"/>
    <w:rsid w:val="008371A9"/>
    <w:rsid w:val="008371CF"/>
    <w:rsid w:val="008372D3"/>
    <w:rsid w:val="00837313"/>
    <w:rsid w:val="00837369"/>
    <w:rsid w:val="0083755F"/>
    <w:rsid w:val="008375D4"/>
    <w:rsid w:val="008375F7"/>
    <w:rsid w:val="00837735"/>
    <w:rsid w:val="0083785A"/>
    <w:rsid w:val="00837917"/>
    <w:rsid w:val="008379D0"/>
    <w:rsid w:val="00837A8D"/>
    <w:rsid w:val="00837EC1"/>
    <w:rsid w:val="00837F4C"/>
    <w:rsid w:val="00837F89"/>
    <w:rsid w:val="00840159"/>
    <w:rsid w:val="0084046F"/>
    <w:rsid w:val="008404FE"/>
    <w:rsid w:val="00840566"/>
    <w:rsid w:val="008407D5"/>
    <w:rsid w:val="00840836"/>
    <w:rsid w:val="00840856"/>
    <w:rsid w:val="008409D0"/>
    <w:rsid w:val="00840A97"/>
    <w:rsid w:val="00840AC9"/>
    <w:rsid w:val="00840B46"/>
    <w:rsid w:val="00840C35"/>
    <w:rsid w:val="00840CB9"/>
    <w:rsid w:val="00840DE5"/>
    <w:rsid w:val="00840E09"/>
    <w:rsid w:val="00840E3F"/>
    <w:rsid w:val="008410A4"/>
    <w:rsid w:val="00841223"/>
    <w:rsid w:val="008413B5"/>
    <w:rsid w:val="008415B2"/>
    <w:rsid w:val="00841650"/>
    <w:rsid w:val="00841949"/>
    <w:rsid w:val="00841978"/>
    <w:rsid w:val="008419DF"/>
    <w:rsid w:val="008419F2"/>
    <w:rsid w:val="00841A08"/>
    <w:rsid w:val="00841A52"/>
    <w:rsid w:val="00841B3F"/>
    <w:rsid w:val="00841B52"/>
    <w:rsid w:val="00841B6C"/>
    <w:rsid w:val="00841B8F"/>
    <w:rsid w:val="00841C2C"/>
    <w:rsid w:val="00841C42"/>
    <w:rsid w:val="00841C69"/>
    <w:rsid w:val="00841D5F"/>
    <w:rsid w:val="00841E04"/>
    <w:rsid w:val="00841E67"/>
    <w:rsid w:val="00841E96"/>
    <w:rsid w:val="00841F17"/>
    <w:rsid w:val="00842030"/>
    <w:rsid w:val="00842200"/>
    <w:rsid w:val="0084231E"/>
    <w:rsid w:val="0084239D"/>
    <w:rsid w:val="00842441"/>
    <w:rsid w:val="0084248B"/>
    <w:rsid w:val="00842496"/>
    <w:rsid w:val="00842685"/>
    <w:rsid w:val="0084276D"/>
    <w:rsid w:val="00842779"/>
    <w:rsid w:val="008427DE"/>
    <w:rsid w:val="0084281D"/>
    <w:rsid w:val="00842B7C"/>
    <w:rsid w:val="00842C55"/>
    <w:rsid w:val="0084320E"/>
    <w:rsid w:val="0084335D"/>
    <w:rsid w:val="00843529"/>
    <w:rsid w:val="00843592"/>
    <w:rsid w:val="0084381D"/>
    <w:rsid w:val="00843AED"/>
    <w:rsid w:val="00843B30"/>
    <w:rsid w:val="00843CB9"/>
    <w:rsid w:val="00843DCD"/>
    <w:rsid w:val="00843EE5"/>
    <w:rsid w:val="00843F61"/>
    <w:rsid w:val="008440AF"/>
    <w:rsid w:val="008440CF"/>
    <w:rsid w:val="008441A1"/>
    <w:rsid w:val="0084426B"/>
    <w:rsid w:val="0084431E"/>
    <w:rsid w:val="00844471"/>
    <w:rsid w:val="008444A7"/>
    <w:rsid w:val="0084452B"/>
    <w:rsid w:val="008445D6"/>
    <w:rsid w:val="008445FB"/>
    <w:rsid w:val="008446D0"/>
    <w:rsid w:val="00844951"/>
    <w:rsid w:val="00844B4A"/>
    <w:rsid w:val="00844B88"/>
    <w:rsid w:val="00844BBC"/>
    <w:rsid w:val="00844C35"/>
    <w:rsid w:val="00844C88"/>
    <w:rsid w:val="00844CFE"/>
    <w:rsid w:val="00844F97"/>
    <w:rsid w:val="0084506B"/>
    <w:rsid w:val="008452F3"/>
    <w:rsid w:val="0084534C"/>
    <w:rsid w:val="00845470"/>
    <w:rsid w:val="008455D7"/>
    <w:rsid w:val="008455D9"/>
    <w:rsid w:val="00845638"/>
    <w:rsid w:val="00845693"/>
    <w:rsid w:val="0084578B"/>
    <w:rsid w:val="008457AC"/>
    <w:rsid w:val="0084597A"/>
    <w:rsid w:val="00845A46"/>
    <w:rsid w:val="00845B70"/>
    <w:rsid w:val="00845BE7"/>
    <w:rsid w:val="00845C0E"/>
    <w:rsid w:val="00845C3A"/>
    <w:rsid w:val="00845CA9"/>
    <w:rsid w:val="00845D61"/>
    <w:rsid w:val="00845E05"/>
    <w:rsid w:val="00845F79"/>
    <w:rsid w:val="00846026"/>
    <w:rsid w:val="00846054"/>
    <w:rsid w:val="008460FF"/>
    <w:rsid w:val="00846448"/>
    <w:rsid w:val="00846589"/>
    <w:rsid w:val="00846745"/>
    <w:rsid w:val="0084675E"/>
    <w:rsid w:val="008467AE"/>
    <w:rsid w:val="00846806"/>
    <w:rsid w:val="0084681A"/>
    <w:rsid w:val="0084686E"/>
    <w:rsid w:val="008469D0"/>
    <w:rsid w:val="008469EC"/>
    <w:rsid w:val="00846A1A"/>
    <w:rsid w:val="00846B70"/>
    <w:rsid w:val="00846C4E"/>
    <w:rsid w:val="00846F1D"/>
    <w:rsid w:val="00846F3E"/>
    <w:rsid w:val="00847139"/>
    <w:rsid w:val="008472F1"/>
    <w:rsid w:val="008473D9"/>
    <w:rsid w:val="008476E3"/>
    <w:rsid w:val="008478C0"/>
    <w:rsid w:val="00847925"/>
    <w:rsid w:val="00847B15"/>
    <w:rsid w:val="008500E0"/>
    <w:rsid w:val="008500FA"/>
    <w:rsid w:val="008501E7"/>
    <w:rsid w:val="00850224"/>
    <w:rsid w:val="0085022F"/>
    <w:rsid w:val="0085045F"/>
    <w:rsid w:val="00850502"/>
    <w:rsid w:val="0085050A"/>
    <w:rsid w:val="008505EA"/>
    <w:rsid w:val="00850685"/>
    <w:rsid w:val="008506F6"/>
    <w:rsid w:val="008507CD"/>
    <w:rsid w:val="00850981"/>
    <w:rsid w:val="00850AC7"/>
    <w:rsid w:val="00850D5E"/>
    <w:rsid w:val="00851035"/>
    <w:rsid w:val="008510BA"/>
    <w:rsid w:val="00851315"/>
    <w:rsid w:val="0085131D"/>
    <w:rsid w:val="0085168E"/>
    <w:rsid w:val="008516CD"/>
    <w:rsid w:val="008519F5"/>
    <w:rsid w:val="00851A44"/>
    <w:rsid w:val="00851AD1"/>
    <w:rsid w:val="00851D94"/>
    <w:rsid w:val="00852182"/>
    <w:rsid w:val="008521AC"/>
    <w:rsid w:val="00852201"/>
    <w:rsid w:val="00852230"/>
    <w:rsid w:val="0085244E"/>
    <w:rsid w:val="008526C3"/>
    <w:rsid w:val="008526CF"/>
    <w:rsid w:val="00852805"/>
    <w:rsid w:val="00852851"/>
    <w:rsid w:val="00852866"/>
    <w:rsid w:val="00852E2B"/>
    <w:rsid w:val="00852E6A"/>
    <w:rsid w:val="00852F6F"/>
    <w:rsid w:val="008535D8"/>
    <w:rsid w:val="00853619"/>
    <w:rsid w:val="008536FF"/>
    <w:rsid w:val="00853704"/>
    <w:rsid w:val="0085390F"/>
    <w:rsid w:val="00853A05"/>
    <w:rsid w:val="00853ABB"/>
    <w:rsid w:val="00853D63"/>
    <w:rsid w:val="00853D69"/>
    <w:rsid w:val="00853F13"/>
    <w:rsid w:val="008540DE"/>
    <w:rsid w:val="00854182"/>
    <w:rsid w:val="008541A7"/>
    <w:rsid w:val="008542AF"/>
    <w:rsid w:val="00854479"/>
    <w:rsid w:val="0085450E"/>
    <w:rsid w:val="00854528"/>
    <w:rsid w:val="00854713"/>
    <w:rsid w:val="008547F5"/>
    <w:rsid w:val="0085488A"/>
    <w:rsid w:val="00854959"/>
    <w:rsid w:val="00854B60"/>
    <w:rsid w:val="00854BC4"/>
    <w:rsid w:val="00854CEF"/>
    <w:rsid w:val="00854CF2"/>
    <w:rsid w:val="00854CF7"/>
    <w:rsid w:val="00854F19"/>
    <w:rsid w:val="00855014"/>
    <w:rsid w:val="00855376"/>
    <w:rsid w:val="0085537D"/>
    <w:rsid w:val="00855450"/>
    <w:rsid w:val="00855486"/>
    <w:rsid w:val="008554D2"/>
    <w:rsid w:val="008554D9"/>
    <w:rsid w:val="0085563E"/>
    <w:rsid w:val="00855686"/>
    <w:rsid w:val="008557BF"/>
    <w:rsid w:val="008559BD"/>
    <w:rsid w:val="00855ABE"/>
    <w:rsid w:val="00855B1C"/>
    <w:rsid w:val="00855B81"/>
    <w:rsid w:val="00855B88"/>
    <w:rsid w:val="00855C64"/>
    <w:rsid w:val="00855C6A"/>
    <w:rsid w:val="00855CF6"/>
    <w:rsid w:val="00855D19"/>
    <w:rsid w:val="00855EEB"/>
    <w:rsid w:val="00855FC0"/>
    <w:rsid w:val="008560CA"/>
    <w:rsid w:val="008561AC"/>
    <w:rsid w:val="008566A1"/>
    <w:rsid w:val="008569E7"/>
    <w:rsid w:val="00856EFC"/>
    <w:rsid w:val="00857051"/>
    <w:rsid w:val="008570EF"/>
    <w:rsid w:val="008571A3"/>
    <w:rsid w:val="00857320"/>
    <w:rsid w:val="0085738F"/>
    <w:rsid w:val="008573DE"/>
    <w:rsid w:val="0085746B"/>
    <w:rsid w:val="00857503"/>
    <w:rsid w:val="00857660"/>
    <w:rsid w:val="008576C1"/>
    <w:rsid w:val="00857911"/>
    <w:rsid w:val="00857A60"/>
    <w:rsid w:val="00857AEE"/>
    <w:rsid w:val="00857DAE"/>
    <w:rsid w:val="00857E09"/>
    <w:rsid w:val="00857E7D"/>
    <w:rsid w:val="00857E86"/>
    <w:rsid w:val="0086016D"/>
    <w:rsid w:val="00860173"/>
    <w:rsid w:val="00860239"/>
    <w:rsid w:val="008602AA"/>
    <w:rsid w:val="008602AE"/>
    <w:rsid w:val="00860309"/>
    <w:rsid w:val="008603F9"/>
    <w:rsid w:val="008604EA"/>
    <w:rsid w:val="00860670"/>
    <w:rsid w:val="00860838"/>
    <w:rsid w:val="0086088D"/>
    <w:rsid w:val="0086089A"/>
    <w:rsid w:val="008608BD"/>
    <w:rsid w:val="00860962"/>
    <w:rsid w:val="008609AA"/>
    <w:rsid w:val="00860CAF"/>
    <w:rsid w:val="00860D4C"/>
    <w:rsid w:val="00860D73"/>
    <w:rsid w:val="00860E41"/>
    <w:rsid w:val="00861084"/>
    <w:rsid w:val="008610DC"/>
    <w:rsid w:val="0086110F"/>
    <w:rsid w:val="0086111C"/>
    <w:rsid w:val="00861130"/>
    <w:rsid w:val="0086146C"/>
    <w:rsid w:val="0086168F"/>
    <w:rsid w:val="00861991"/>
    <w:rsid w:val="00861A7A"/>
    <w:rsid w:val="00861AF5"/>
    <w:rsid w:val="00861B2F"/>
    <w:rsid w:val="00861BB0"/>
    <w:rsid w:val="00861CCC"/>
    <w:rsid w:val="00861CDB"/>
    <w:rsid w:val="00862145"/>
    <w:rsid w:val="0086214A"/>
    <w:rsid w:val="0086222E"/>
    <w:rsid w:val="008624F3"/>
    <w:rsid w:val="0086267E"/>
    <w:rsid w:val="00862730"/>
    <w:rsid w:val="0086273B"/>
    <w:rsid w:val="008627A3"/>
    <w:rsid w:val="008629B3"/>
    <w:rsid w:val="00862AB8"/>
    <w:rsid w:val="00862BC5"/>
    <w:rsid w:val="00862BCD"/>
    <w:rsid w:val="00862BDD"/>
    <w:rsid w:val="00862DB0"/>
    <w:rsid w:val="00862DD5"/>
    <w:rsid w:val="00862E6C"/>
    <w:rsid w:val="00862EEE"/>
    <w:rsid w:val="0086343C"/>
    <w:rsid w:val="0086344B"/>
    <w:rsid w:val="0086354C"/>
    <w:rsid w:val="0086354E"/>
    <w:rsid w:val="008635C7"/>
    <w:rsid w:val="0086379C"/>
    <w:rsid w:val="008637CC"/>
    <w:rsid w:val="00863947"/>
    <w:rsid w:val="00863A75"/>
    <w:rsid w:val="008640E1"/>
    <w:rsid w:val="00864550"/>
    <w:rsid w:val="0086474D"/>
    <w:rsid w:val="0086479E"/>
    <w:rsid w:val="00864851"/>
    <w:rsid w:val="00864949"/>
    <w:rsid w:val="00864A64"/>
    <w:rsid w:val="00864CD1"/>
    <w:rsid w:val="00864CE8"/>
    <w:rsid w:val="00864DD7"/>
    <w:rsid w:val="00864E03"/>
    <w:rsid w:val="00864F05"/>
    <w:rsid w:val="00864F22"/>
    <w:rsid w:val="00864F40"/>
    <w:rsid w:val="00864F46"/>
    <w:rsid w:val="00865011"/>
    <w:rsid w:val="008650E8"/>
    <w:rsid w:val="00865155"/>
    <w:rsid w:val="00865601"/>
    <w:rsid w:val="00865679"/>
    <w:rsid w:val="008656F2"/>
    <w:rsid w:val="00865A6D"/>
    <w:rsid w:val="00865A8D"/>
    <w:rsid w:val="00865AD3"/>
    <w:rsid w:val="00865B02"/>
    <w:rsid w:val="00865BE3"/>
    <w:rsid w:val="00865CFC"/>
    <w:rsid w:val="00865D28"/>
    <w:rsid w:val="00865D2A"/>
    <w:rsid w:val="00865FE8"/>
    <w:rsid w:val="00866004"/>
    <w:rsid w:val="008661C2"/>
    <w:rsid w:val="0086624E"/>
    <w:rsid w:val="00866323"/>
    <w:rsid w:val="0086638B"/>
    <w:rsid w:val="00866417"/>
    <w:rsid w:val="008664C5"/>
    <w:rsid w:val="0086654A"/>
    <w:rsid w:val="00866912"/>
    <w:rsid w:val="00866A60"/>
    <w:rsid w:val="00866AF6"/>
    <w:rsid w:val="00866D86"/>
    <w:rsid w:val="00866F6F"/>
    <w:rsid w:val="00866F78"/>
    <w:rsid w:val="00867000"/>
    <w:rsid w:val="008671F9"/>
    <w:rsid w:val="0086725F"/>
    <w:rsid w:val="00867489"/>
    <w:rsid w:val="0086748E"/>
    <w:rsid w:val="008674A2"/>
    <w:rsid w:val="008674C5"/>
    <w:rsid w:val="0086755A"/>
    <w:rsid w:val="0086760F"/>
    <w:rsid w:val="008677F6"/>
    <w:rsid w:val="0086789F"/>
    <w:rsid w:val="008678C5"/>
    <w:rsid w:val="00867A2D"/>
    <w:rsid w:val="00867AB9"/>
    <w:rsid w:val="00867C6D"/>
    <w:rsid w:val="00867E5E"/>
    <w:rsid w:val="00867E74"/>
    <w:rsid w:val="00870145"/>
    <w:rsid w:val="008701B8"/>
    <w:rsid w:val="008702E7"/>
    <w:rsid w:val="008704CF"/>
    <w:rsid w:val="00870517"/>
    <w:rsid w:val="0087054F"/>
    <w:rsid w:val="008705A6"/>
    <w:rsid w:val="008705EF"/>
    <w:rsid w:val="0087089F"/>
    <w:rsid w:val="0087095E"/>
    <w:rsid w:val="008709F5"/>
    <w:rsid w:val="00870A69"/>
    <w:rsid w:val="00870B68"/>
    <w:rsid w:val="00871224"/>
    <w:rsid w:val="0087125C"/>
    <w:rsid w:val="008712FA"/>
    <w:rsid w:val="00871410"/>
    <w:rsid w:val="0087142E"/>
    <w:rsid w:val="00871451"/>
    <w:rsid w:val="008718CB"/>
    <w:rsid w:val="008718F0"/>
    <w:rsid w:val="008719B2"/>
    <w:rsid w:val="00871B6B"/>
    <w:rsid w:val="00871C54"/>
    <w:rsid w:val="00871D72"/>
    <w:rsid w:val="00871D83"/>
    <w:rsid w:val="00871DAB"/>
    <w:rsid w:val="00871E66"/>
    <w:rsid w:val="00871F25"/>
    <w:rsid w:val="00871F3A"/>
    <w:rsid w:val="00871FC7"/>
    <w:rsid w:val="0087229F"/>
    <w:rsid w:val="00872326"/>
    <w:rsid w:val="0087234D"/>
    <w:rsid w:val="00872625"/>
    <w:rsid w:val="0087285F"/>
    <w:rsid w:val="00872B0A"/>
    <w:rsid w:val="00872B49"/>
    <w:rsid w:val="00872B5F"/>
    <w:rsid w:val="00872CDF"/>
    <w:rsid w:val="00872D3F"/>
    <w:rsid w:val="00872DA2"/>
    <w:rsid w:val="00872FEA"/>
    <w:rsid w:val="00873077"/>
    <w:rsid w:val="0087313E"/>
    <w:rsid w:val="00873273"/>
    <w:rsid w:val="00873490"/>
    <w:rsid w:val="008735AC"/>
    <w:rsid w:val="00873772"/>
    <w:rsid w:val="00873853"/>
    <w:rsid w:val="00873859"/>
    <w:rsid w:val="00873896"/>
    <w:rsid w:val="008738AF"/>
    <w:rsid w:val="008739E3"/>
    <w:rsid w:val="00873AB7"/>
    <w:rsid w:val="00873B43"/>
    <w:rsid w:val="00873B74"/>
    <w:rsid w:val="00873BD9"/>
    <w:rsid w:val="00873EF6"/>
    <w:rsid w:val="00874185"/>
    <w:rsid w:val="00874199"/>
    <w:rsid w:val="008741D6"/>
    <w:rsid w:val="0087428D"/>
    <w:rsid w:val="0087437B"/>
    <w:rsid w:val="00874757"/>
    <w:rsid w:val="00874BA3"/>
    <w:rsid w:val="00874DC0"/>
    <w:rsid w:val="00874E78"/>
    <w:rsid w:val="00874F3F"/>
    <w:rsid w:val="00875323"/>
    <w:rsid w:val="0087549D"/>
    <w:rsid w:val="00875534"/>
    <w:rsid w:val="008755BA"/>
    <w:rsid w:val="00875839"/>
    <w:rsid w:val="008758BF"/>
    <w:rsid w:val="00875952"/>
    <w:rsid w:val="0087598D"/>
    <w:rsid w:val="00875B33"/>
    <w:rsid w:val="00875DE6"/>
    <w:rsid w:val="0087601B"/>
    <w:rsid w:val="00876151"/>
    <w:rsid w:val="0087623C"/>
    <w:rsid w:val="0087625A"/>
    <w:rsid w:val="008762E7"/>
    <w:rsid w:val="008763C4"/>
    <w:rsid w:val="008763C5"/>
    <w:rsid w:val="0087670F"/>
    <w:rsid w:val="008768B4"/>
    <w:rsid w:val="008768CE"/>
    <w:rsid w:val="00876A44"/>
    <w:rsid w:val="00876A59"/>
    <w:rsid w:val="00876C99"/>
    <w:rsid w:val="00876D35"/>
    <w:rsid w:val="00876D98"/>
    <w:rsid w:val="00876E05"/>
    <w:rsid w:val="0087714E"/>
    <w:rsid w:val="0087725E"/>
    <w:rsid w:val="0087762A"/>
    <w:rsid w:val="008776A7"/>
    <w:rsid w:val="008776C1"/>
    <w:rsid w:val="008777C3"/>
    <w:rsid w:val="008778B0"/>
    <w:rsid w:val="00877AA6"/>
    <w:rsid w:val="00877AE9"/>
    <w:rsid w:val="00877BC8"/>
    <w:rsid w:val="00877C01"/>
    <w:rsid w:val="00877E65"/>
    <w:rsid w:val="00880134"/>
    <w:rsid w:val="0088017C"/>
    <w:rsid w:val="008801B2"/>
    <w:rsid w:val="008801C0"/>
    <w:rsid w:val="00880269"/>
    <w:rsid w:val="008802E4"/>
    <w:rsid w:val="00880441"/>
    <w:rsid w:val="0088049A"/>
    <w:rsid w:val="008805AC"/>
    <w:rsid w:val="008805B9"/>
    <w:rsid w:val="00880624"/>
    <w:rsid w:val="00880633"/>
    <w:rsid w:val="00880A4D"/>
    <w:rsid w:val="00880CBB"/>
    <w:rsid w:val="00880DA2"/>
    <w:rsid w:val="00880E16"/>
    <w:rsid w:val="00880FBA"/>
    <w:rsid w:val="008810BB"/>
    <w:rsid w:val="0088136C"/>
    <w:rsid w:val="008814F7"/>
    <w:rsid w:val="00881739"/>
    <w:rsid w:val="0088195E"/>
    <w:rsid w:val="00881A82"/>
    <w:rsid w:val="00881C40"/>
    <w:rsid w:val="00881DC3"/>
    <w:rsid w:val="008820CF"/>
    <w:rsid w:val="008820D5"/>
    <w:rsid w:val="00882232"/>
    <w:rsid w:val="00882290"/>
    <w:rsid w:val="008822A1"/>
    <w:rsid w:val="0088238A"/>
    <w:rsid w:val="0088249C"/>
    <w:rsid w:val="008824F7"/>
    <w:rsid w:val="0088270C"/>
    <w:rsid w:val="00882743"/>
    <w:rsid w:val="008827FB"/>
    <w:rsid w:val="008827FF"/>
    <w:rsid w:val="00882879"/>
    <w:rsid w:val="00882894"/>
    <w:rsid w:val="0088295C"/>
    <w:rsid w:val="00882A11"/>
    <w:rsid w:val="00882C00"/>
    <w:rsid w:val="00882F41"/>
    <w:rsid w:val="00882FFB"/>
    <w:rsid w:val="00883195"/>
    <w:rsid w:val="008833B1"/>
    <w:rsid w:val="0088346F"/>
    <w:rsid w:val="00883592"/>
    <w:rsid w:val="008835A7"/>
    <w:rsid w:val="0088381A"/>
    <w:rsid w:val="008838D0"/>
    <w:rsid w:val="0088392F"/>
    <w:rsid w:val="00883950"/>
    <w:rsid w:val="008839C3"/>
    <w:rsid w:val="00883AAD"/>
    <w:rsid w:val="00883BC5"/>
    <w:rsid w:val="00883D47"/>
    <w:rsid w:val="00883E19"/>
    <w:rsid w:val="00883F1F"/>
    <w:rsid w:val="00884036"/>
    <w:rsid w:val="00884089"/>
    <w:rsid w:val="008841DA"/>
    <w:rsid w:val="00884251"/>
    <w:rsid w:val="008845AC"/>
    <w:rsid w:val="00884682"/>
    <w:rsid w:val="00884708"/>
    <w:rsid w:val="00884C90"/>
    <w:rsid w:val="00884E52"/>
    <w:rsid w:val="00884EA4"/>
    <w:rsid w:val="00884F25"/>
    <w:rsid w:val="008850B2"/>
    <w:rsid w:val="00885161"/>
    <w:rsid w:val="008851F2"/>
    <w:rsid w:val="008855CA"/>
    <w:rsid w:val="00885648"/>
    <w:rsid w:val="00885775"/>
    <w:rsid w:val="008857E3"/>
    <w:rsid w:val="00885836"/>
    <w:rsid w:val="008859EF"/>
    <w:rsid w:val="00885B3E"/>
    <w:rsid w:val="00885B6C"/>
    <w:rsid w:val="00885CBC"/>
    <w:rsid w:val="00885DE9"/>
    <w:rsid w:val="00886029"/>
    <w:rsid w:val="00886110"/>
    <w:rsid w:val="008862FE"/>
    <w:rsid w:val="00886721"/>
    <w:rsid w:val="00886725"/>
    <w:rsid w:val="00886727"/>
    <w:rsid w:val="008867C1"/>
    <w:rsid w:val="008868D6"/>
    <w:rsid w:val="00886B96"/>
    <w:rsid w:val="00886CCD"/>
    <w:rsid w:val="00886D48"/>
    <w:rsid w:val="00886DA4"/>
    <w:rsid w:val="00886E8B"/>
    <w:rsid w:val="00887203"/>
    <w:rsid w:val="0088747F"/>
    <w:rsid w:val="008874BA"/>
    <w:rsid w:val="008875AC"/>
    <w:rsid w:val="008875AE"/>
    <w:rsid w:val="008875DA"/>
    <w:rsid w:val="00887601"/>
    <w:rsid w:val="0088765C"/>
    <w:rsid w:val="00887771"/>
    <w:rsid w:val="008878F1"/>
    <w:rsid w:val="00887949"/>
    <w:rsid w:val="00887AD5"/>
    <w:rsid w:val="00887B0D"/>
    <w:rsid w:val="00887D92"/>
    <w:rsid w:val="00887DAA"/>
    <w:rsid w:val="00887DD9"/>
    <w:rsid w:val="00887F4D"/>
    <w:rsid w:val="0089015A"/>
    <w:rsid w:val="008901CF"/>
    <w:rsid w:val="008901E3"/>
    <w:rsid w:val="0089038D"/>
    <w:rsid w:val="008906EB"/>
    <w:rsid w:val="00890734"/>
    <w:rsid w:val="00890783"/>
    <w:rsid w:val="0089080D"/>
    <w:rsid w:val="00890EAF"/>
    <w:rsid w:val="00890F9B"/>
    <w:rsid w:val="00890FD4"/>
    <w:rsid w:val="008912A8"/>
    <w:rsid w:val="00891409"/>
    <w:rsid w:val="008914FC"/>
    <w:rsid w:val="0089159C"/>
    <w:rsid w:val="008915AD"/>
    <w:rsid w:val="00891738"/>
    <w:rsid w:val="00891865"/>
    <w:rsid w:val="008918D6"/>
    <w:rsid w:val="008919F5"/>
    <w:rsid w:val="00891AE7"/>
    <w:rsid w:val="00891D75"/>
    <w:rsid w:val="00891DDD"/>
    <w:rsid w:val="00891E2D"/>
    <w:rsid w:val="00891E56"/>
    <w:rsid w:val="00891E5F"/>
    <w:rsid w:val="00891EB2"/>
    <w:rsid w:val="00892044"/>
    <w:rsid w:val="00892123"/>
    <w:rsid w:val="008924F8"/>
    <w:rsid w:val="00892594"/>
    <w:rsid w:val="0089261C"/>
    <w:rsid w:val="00892944"/>
    <w:rsid w:val="00892AE0"/>
    <w:rsid w:val="00892C7C"/>
    <w:rsid w:val="00892CDF"/>
    <w:rsid w:val="0089301D"/>
    <w:rsid w:val="008931B5"/>
    <w:rsid w:val="008931F0"/>
    <w:rsid w:val="00893200"/>
    <w:rsid w:val="0089334B"/>
    <w:rsid w:val="00893655"/>
    <w:rsid w:val="0089388A"/>
    <w:rsid w:val="008938D4"/>
    <w:rsid w:val="00893A7E"/>
    <w:rsid w:val="00893AEA"/>
    <w:rsid w:val="00893B94"/>
    <w:rsid w:val="00893C81"/>
    <w:rsid w:val="00893E80"/>
    <w:rsid w:val="00893F22"/>
    <w:rsid w:val="00894163"/>
    <w:rsid w:val="008943AC"/>
    <w:rsid w:val="00894407"/>
    <w:rsid w:val="0089449B"/>
    <w:rsid w:val="008945B2"/>
    <w:rsid w:val="008945E7"/>
    <w:rsid w:val="00894638"/>
    <w:rsid w:val="0089463F"/>
    <w:rsid w:val="00894663"/>
    <w:rsid w:val="008946E5"/>
    <w:rsid w:val="008949FA"/>
    <w:rsid w:val="00894A0A"/>
    <w:rsid w:val="00894B6B"/>
    <w:rsid w:val="00894E53"/>
    <w:rsid w:val="00894F23"/>
    <w:rsid w:val="00894F3C"/>
    <w:rsid w:val="008950F2"/>
    <w:rsid w:val="0089536A"/>
    <w:rsid w:val="00895537"/>
    <w:rsid w:val="00895553"/>
    <w:rsid w:val="008955B3"/>
    <w:rsid w:val="00895701"/>
    <w:rsid w:val="00895C19"/>
    <w:rsid w:val="00895DB8"/>
    <w:rsid w:val="00895EB0"/>
    <w:rsid w:val="00896034"/>
    <w:rsid w:val="00896067"/>
    <w:rsid w:val="008960E4"/>
    <w:rsid w:val="008960EE"/>
    <w:rsid w:val="00896393"/>
    <w:rsid w:val="00896523"/>
    <w:rsid w:val="008966A5"/>
    <w:rsid w:val="00896847"/>
    <w:rsid w:val="0089695F"/>
    <w:rsid w:val="00896A89"/>
    <w:rsid w:val="00896BCE"/>
    <w:rsid w:val="00896C78"/>
    <w:rsid w:val="00896CC1"/>
    <w:rsid w:val="00896D04"/>
    <w:rsid w:val="00896D1F"/>
    <w:rsid w:val="00896EF8"/>
    <w:rsid w:val="00896F72"/>
    <w:rsid w:val="00897037"/>
    <w:rsid w:val="0089706B"/>
    <w:rsid w:val="00897583"/>
    <w:rsid w:val="00897972"/>
    <w:rsid w:val="00897A1D"/>
    <w:rsid w:val="00897A21"/>
    <w:rsid w:val="00897AD6"/>
    <w:rsid w:val="00897CB7"/>
    <w:rsid w:val="00897CEC"/>
    <w:rsid w:val="00897E04"/>
    <w:rsid w:val="00897F73"/>
    <w:rsid w:val="008A01B7"/>
    <w:rsid w:val="008A01BF"/>
    <w:rsid w:val="008A01E0"/>
    <w:rsid w:val="008A038F"/>
    <w:rsid w:val="008A040E"/>
    <w:rsid w:val="008A043C"/>
    <w:rsid w:val="008A047C"/>
    <w:rsid w:val="008A05AF"/>
    <w:rsid w:val="008A0718"/>
    <w:rsid w:val="008A0C26"/>
    <w:rsid w:val="008A0CC1"/>
    <w:rsid w:val="008A0D54"/>
    <w:rsid w:val="008A0EFC"/>
    <w:rsid w:val="008A120C"/>
    <w:rsid w:val="008A12D5"/>
    <w:rsid w:val="008A1389"/>
    <w:rsid w:val="008A142C"/>
    <w:rsid w:val="008A163E"/>
    <w:rsid w:val="008A17C5"/>
    <w:rsid w:val="008A1A5A"/>
    <w:rsid w:val="008A1A60"/>
    <w:rsid w:val="008A1ACA"/>
    <w:rsid w:val="008A1D93"/>
    <w:rsid w:val="008A20F8"/>
    <w:rsid w:val="008A217D"/>
    <w:rsid w:val="008A2371"/>
    <w:rsid w:val="008A2430"/>
    <w:rsid w:val="008A2547"/>
    <w:rsid w:val="008A26A7"/>
    <w:rsid w:val="008A276A"/>
    <w:rsid w:val="008A27B0"/>
    <w:rsid w:val="008A2828"/>
    <w:rsid w:val="008A2A99"/>
    <w:rsid w:val="008A2B94"/>
    <w:rsid w:val="008A2C4A"/>
    <w:rsid w:val="008A2CCD"/>
    <w:rsid w:val="008A2CD0"/>
    <w:rsid w:val="008A2DA6"/>
    <w:rsid w:val="008A2F13"/>
    <w:rsid w:val="008A30C4"/>
    <w:rsid w:val="008A30F4"/>
    <w:rsid w:val="008A3103"/>
    <w:rsid w:val="008A3147"/>
    <w:rsid w:val="008A31FC"/>
    <w:rsid w:val="008A3212"/>
    <w:rsid w:val="008A3252"/>
    <w:rsid w:val="008A335E"/>
    <w:rsid w:val="008A3572"/>
    <w:rsid w:val="008A359E"/>
    <w:rsid w:val="008A3641"/>
    <w:rsid w:val="008A3688"/>
    <w:rsid w:val="008A37B4"/>
    <w:rsid w:val="008A3838"/>
    <w:rsid w:val="008A386F"/>
    <w:rsid w:val="008A39AB"/>
    <w:rsid w:val="008A3AA5"/>
    <w:rsid w:val="008A3B87"/>
    <w:rsid w:val="008A3B9F"/>
    <w:rsid w:val="008A3BFB"/>
    <w:rsid w:val="008A3D49"/>
    <w:rsid w:val="008A3EB0"/>
    <w:rsid w:val="008A3F0C"/>
    <w:rsid w:val="008A4031"/>
    <w:rsid w:val="008A423A"/>
    <w:rsid w:val="008A425C"/>
    <w:rsid w:val="008A427A"/>
    <w:rsid w:val="008A4349"/>
    <w:rsid w:val="008A4356"/>
    <w:rsid w:val="008A4377"/>
    <w:rsid w:val="008A438F"/>
    <w:rsid w:val="008A4451"/>
    <w:rsid w:val="008A4558"/>
    <w:rsid w:val="008A4867"/>
    <w:rsid w:val="008A491D"/>
    <w:rsid w:val="008A4A41"/>
    <w:rsid w:val="008A4A45"/>
    <w:rsid w:val="008A4A90"/>
    <w:rsid w:val="008A4CD2"/>
    <w:rsid w:val="008A4DB9"/>
    <w:rsid w:val="008A4DBE"/>
    <w:rsid w:val="008A4E7D"/>
    <w:rsid w:val="008A4F4A"/>
    <w:rsid w:val="008A5065"/>
    <w:rsid w:val="008A50DF"/>
    <w:rsid w:val="008A5174"/>
    <w:rsid w:val="008A528A"/>
    <w:rsid w:val="008A541F"/>
    <w:rsid w:val="008A546D"/>
    <w:rsid w:val="008A54C4"/>
    <w:rsid w:val="008A5535"/>
    <w:rsid w:val="008A55E9"/>
    <w:rsid w:val="008A5605"/>
    <w:rsid w:val="008A560C"/>
    <w:rsid w:val="008A5728"/>
    <w:rsid w:val="008A5745"/>
    <w:rsid w:val="008A57CB"/>
    <w:rsid w:val="008A5922"/>
    <w:rsid w:val="008A5E4E"/>
    <w:rsid w:val="008A5EB8"/>
    <w:rsid w:val="008A6033"/>
    <w:rsid w:val="008A6071"/>
    <w:rsid w:val="008A624E"/>
    <w:rsid w:val="008A62BD"/>
    <w:rsid w:val="008A63DB"/>
    <w:rsid w:val="008A648E"/>
    <w:rsid w:val="008A659D"/>
    <w:rsid w:val="008A65D7"/>
    <w:rsid w:val="008A663A"/>
    <w:rsid w:val="008A663E"/>
    <w:rsid w:val="008A66B5"/>
    <w:rsid w:val="008A6845"/>
    <w:rsid w:val="008A6A41"/>
    <w:rsid w:val="008A6B4A"/>
    <w:rsid w:val="008A6B4B"/>
    <w:rsid w:val="008A6CA7"/>
    <w:rsid w:val="008A6CB1"/>
    <w:rsid w:val="008A6E57"/>
    <w:rsid w:val="008A6F97"/>
    <w:rsid w:val="008A732F"/>
    <w:rsid w:val="008A7431"/>
    <w:rsid w:val="008A7625"/>
    <w:rsid w:val="008A762C"/>
    <w:rsid w:val="008A7777"/>
    <w:rsid w:val="008A785E"/>
    <w:rsid w:val="008A78CA"/>
    <w:rsid w:val="008A7B05"/>
    <w:rsid w:val="008A7BE2"/>
    <w:rsid w:val="008A7C9C"/>
    <w:rsid w:val="008A7E2C"/>
    <w:rsid w:val="008A7E3E"/>
    <w:rsid w:val="008A7ECF"/>
    <w:rsid w:val="008A7F66"/>
    <w:rsid w:val="008B0166"/>
    <w:rsid w:val="008B01F2"/>
    <w:rsid w:val="008B02D4"/>
    <w:rsid w:val="008B0343"/>
    <w:rsid w:val="008B04DF"/>
    <w:rsid w:val="008B074A"/>
    <w:rsid w:val="008B090C"/>
    <w:rsid w:val="008B0EBB"/>
    <w:rsid w:val="008B0F6B"/>
    <w:rsid w:val="008B0F7C"/>
    <w:rsid w:val="008B0FB1"/>
    <w:rsid w:val="008B112F"/>
    <w:rsid w:val="008B135D"/>
    <w:rsid w:val="008B153F"/>
    <w:rsid w:val="008B15CF"/>
    <w:rsid w:val="008B18D8"/>
    <w:rsid w:val="008B18DE"/>
    <w:rsid w:val="008B1918"/>
    <w:rsid w:val="008B1A27"/>
    <w:rsid w:val="008B1AD3"/>
    <w:rsid w:val="008B1BC9"/>
    <w:rsid w:val="008B1F48"/>
    <w:rsid w:val="008B2044"/>
    <w:rsid w:val="008B21C0"/>
    <w:rsid w:val="008B2243"/>
    <w:rsid w:val="008B23BA"/>
    <w:rsid w:val="008B24C5"/>
    <w:rsid w:val="008B27CF"/>
    <w:rsid w:val="008B28E5"/>
    <w:rsid w:val="008B28F0"/>
    <w:rsid w:val="008B29EA"/>
    <w:rsid w:val="008B2B3F"/>
    <w:rsid w:val="008B2C0C"/>
    <w:rsid w:val="008B2C26"/>
    <w:rsid w:val="008B2C94"/>
    <w:rsid w:val="008B2E16"/>
    <w:rsid w:val="008B2E80"/>
    <w:rsid w:val="008B2EFB"/>
    <w:rsid w:val="008B2F00"/>
    <w:rsid w:val="008B2FE8"/>
    <w:rsid w:val="008B3143"/>
    <w:rsid w:val="008B325E"/>
    <w:rsid w:val="008B32D0"/>
    <w:rsid w:val="008B3405"/>
    <w:rsid w:val="008B343F"/>
    <w:rsid w:val="008B365F"/>
    <w:rsid w:val="008B3866"/>
    <w:rsid w:val="008B3868"/>
    <w:rsid w:val="008B3AAD"/>
    <w:rsid w:val="008B3E3F"/>
    <w:rsid w:val="008B3E86"/>
    <w:rsid w:val="008B3FA3"/>
    <w:rsid w:val="008B414E"/>
    <w:rsid w:val="008B4488"/>
    <w:rsid w:val="008B44D8"/>
    <w:rsid w:val="008B465F"/>
    <w:rsid w:val="008B46BA"/>
    <w:rsid w:val="008B4700"/>
    <w:rsid w:val="008B479E"/>
    <w:rsid w:val="008B48E8"/>
    <w:rsid w:val="008B49B8"/>
    <w:rsid w:val="008B4A07"/>
    <w:rsid w:val="008B4C48"/>
    <w:rsid w:val="008B4D6D"/>
    <w:rsid w:val="008B4DA7"/>
    <w:rsid w:val="008B4FDA"/>
    <w:rsid w:val="008B507C"/>
    <w:rsid w:val="008B5082"/>
    <w:rsid w:val="008B50B1"/>
    <w:rsid w:val="008B5237"/>
    <w:rsid w:val="008B5399"/>
    <w:rsid w:val="008B546B"/>
    <w:rsid w:val="008B54A0"/>
    <w:rsid w:val="008B5566"/>
    <w:rsid w:val="008B55F4"/>
    <w:rsid w:val="008B5616"/>
    <w:rsid w:val="008B5B61"/>
    <w:rsid w:val="008B5B7B"/>
    <w:rsid w:val="008B5D5C"/>
    <w:rsid w:val="008B5DCB"/>
    <w:rsid w:val="008B6087"/>
    <w:rsid w:val="008B6266"/>
    <w:rsid w:val="008B6269"/>
    <w:rsid w:val="008B63B2"/>
    <w:rsid w:val="008B63BF"/>
    <w:rsid w:val="008B6803"/>
    <w:rsid w:val="008B684C"/>
    <w:rsid w:val="008B68F2"/>
    <w:rsid w:val="008B699A"/>
    <w:rsid w:val="008B6C65"/>
    <w:rsid w:val="008B6E0D"/>
    <w:rsid w:val="008B7137"/>
    <w:rsid w:val="008B72AE"/>
    <w:rsid w:val="008B72BF"/>
    <w:rsid w:val="008B7301"/>
    <w:rsid w:val="008B735C"/>
    <w:rsid w:val="008B795B"/>
    <w:rsid w:val="008B79A8"/>
    <w:rsid w:val="008B7A30"/>
    <w:rsid w:val="008B7D4E"/>
    <w:rsid w:val="008B7FB3"/>
    <w:rsid w:val="008B7FF0"/>
    <w:rsid w:val="008C0036"/>
    <w:rsid w:val="008C003B"/>
    <w:rsid w:val="008C05FB"/>
    <w:rsid w:val="008C064C"/>
    <w:rsid w:val="008C067A"/>
    <w:rsid w:val="008C06BD"/>
    <w:rsid w:val="008C084A"/>
    <w:rsid w:val="008C098C"/>
    <w:rsid w:val="008C0A9F"/>
    <w:rsid w:val="008C0B0A"/>
    <w:rsid w:val="008C0C2D"/>
    <w:rsid w:val="008C0D16"/>
    <w:rsid w:val="008C0DF3"/>
    <w:rsid w:val="008C0F50"/>
    <w:rsid w:val="008C0F8E"/>
    <w:rsid w:val="008C101B"/>
    <w:rsid w:val="008C10DA"/>
    <w:rsid w:val="008C1342"/>
    <w:rsid w:val="008C148B"/>
    <w:rsid w:val="008C14D5"/>
    <w:rsid w:val="008C166F"/>
    <w:rsid w:val="008C16FD"/>
    <w:rsid w:val="008C1881"/>
    <w:rsid w:val="008C193C"/>
    <w:rsid w:val="008C1A50"/>
    <w:rsid w:val="008C1B40"/>
    <w:rsid w:val="008C1BC9"/>
    <w:rsid w:val="008C1C04"/>
    <w:rsid w:val="008C1CEC"/>
    <w:rsid w:val="008C1D9D"/>
    <w:rsid w:val="008C1FEC"/>
    <w:rsid w:val="008C2025"/>
    <w:rsid w:val="008C210A"/>
    <w:rsid w:val="008C21A9"/>
    <w:rsid w:val="008C221F"/>
    <w:rsid w:val="008C2259"/>
    <w:rsid w:val="008C225C"/>
    <w:rsid w:val="008C239D"/>
    <w:rsid w:val="008C2459"/>
    <w:rsid w:val="008C260F"/>
    <w:rsid w:val="008C26F1"/>
    <w:rsid w:val="008C273C"/>
    <w:rsid w:val="008C2752"/>
    <w:rsid w:val="008C27EE"/>
    <w:rsid w:val="008C2838"/>
    <w:rsid w:val="008C2910"/>
    <w:rsid w:val="008C2AC9"/>
    <w:rsid w:val="008C2BCB"/>
    <w:rsid w:val="008C2F12"/>
    <w:rsid w:val="008C3099"/>
    <w:rsid w:val="008C31BC"/>
    <w:rsid w:val="008C31D4"/>
    <w:rsid w:val="008C31D6"/>
    <w:rsid w:val="008C332A"/>
    <w:rsid w:val="008C3338"/>
    <w:rsid w:val="008C33F3"/>
    <w:rsid w:val="008C34A5"/>
    <w:rsid w:val="008C3591"/>
    <w:rsid w:val="008C35B8"/>
    <w:rsid w:val="008C3688"/>
    <w:rsid w:val="008C37F3"/>
    <w:rsid w:val="008C3ADE"/>
    <w:rsid w:val="008C3AE5"/>
    <w:rsid w:val="008C3C1A"/>
    <w:rsid w:val="008C3C53"/>
    <w:rsid w:val="008C429D"/>
    <w:rsid w:val="008C42DC"/>
    <w:rsid w:val="008C4306"/>
    <w:rsid w:val="008C437A"/>
    <w:rsid w:val="008C43D0"/>
    <w:rsid w:val="008C442B"/>
    <w:rsid w:val="008C4446"/>
    <w:rsid w:val="008C4686"/>
    <w:rsid w:val="008C48E1"/>
    <w:rsid w:val="008C4B90"/>
    <w:rsid w:val="008C4BCE"/>
    <w:rsid w:val="008C4C49"/>
    <w:rsid w:val="008C4D63"/>
    <w:rsid w:val="008C4E22"/>
    <w:rsid w:val="008C5012"/>
    <w:rsid w:val="008C501E"/>
    <w:rsid w:val="008C517C"/>
    <w:rsid w:val="008C51D8"/>
    <w:rsid w:val="008C52A9"/>
    <w:rsid w:val="008C52B1"/>
    <w:rsid w:val="008C54CA"/>
    <w:rsid w:val="008C5679"/>
    <w:rsid w:val="008C57AD"/>
    <w:rsid w:val="008C5A8E"/>
    <w:rsid w:val="008C5ABE"/>
    <w:rsid w:val="008C5C23"/>
    <w:rsid w:val="008C5DB2"/>
    <w:rsid w:val="008C5E05"/>
    <w:rsid w:val="008C5FCB"/>
    <w:rsid w:val="008C602F"/>
    <w:rsid w:val="008C60A2"/>
    <w:rsid w:val="008C614F"/>
    <w:rsid w:val="008C618A"/>
    <w:rsid w:val="008C63F3"/>
    <w:rsid w:val="008C64A5"/>
    <w:rsid w:val="008C6517"/>
    <w:rsid w:val="008C656E"/>
    <w:rsid w:val="008C667E"/>
    <w:rsid w:val="008C66FE"/>
    <w:rsid w:val="008C6772"/>
    <w:rsid w:val="008C67C2"/>
    <w:rsid w:val="008C699F"/>
    <w:rsid w:val="008C6A97"/>
    <w:rsid w:val="008C6B0A"/>
    <w:rsid w:val="008C6B60"/>
    <w:rsid w:val="008C6CAA"/>
    <w:rsid w:val="008C6EBA"/>
    <w:rsid w:val="008C6EEF"/>
    <w:rsid w:val="008C70EC"/>
    <w:rsid w:val="008C7153"/>
    <w:rsid w:val="008C7180"/>
    <w:rsid w:val="008C730F"/>
    <w:rsid w:val="008C7552"/>
    <w:rsid w:val="008C76D1"/>
    <w:rsid w:val="008C7705"/>
    <w:rsid w:val="008C7720"/>
    <w:rsid w:val="008C774C"/>
    <w:rsid w:val="008C788A"/>
    <w:rsid w:val="008C7C01"/>
    <w:rsid w:val="008C7C58"/>
    <w:rsid w:val="008C7D81"/>
    <w:rsid w:val="008C7FCD"/>
    <w:rsid w:val="008D024F"/>
    <w:rsid w:val="008D02E3"/>
    <w:rsid w:val="008D04EB"/>
    <w:rsid w:val="008D052E"/>
    <w:rsid w:val="008D0581"/>
    <w:rsid w:val="008D0A94"/>
    <w:rsid w:val="008D0B31"/>
    <w:rsid w:val="008D0C18"/>
    <w:rsid w:val="008D0D2F"/>
    <w:rsid w:val="008D0D56"/>
    <w:rsid w:val="008D0E50"/>
    <w:rsid w:val="008D0EC0"/>
    <w:rsid w:val="008D11B4"/>
    <w:rsid w:val="008D12DE"/>
    <w:rsid w:val="008D1497"/>
    <w:rsid w:val="008D14F0"/>
    <w:rsid w:val="008D154C"/>
    <w:rsid w:val="008D160D"/>
    <w:rsid w:val="008D1685"/>
    <w:rsid w:val="008D16DA"/>
    <w:rsid w:val="008D1772"/>
    <w:rsid w:val="008D189F"/>
    <w:rsid w:val="008D19DF"/>
    <w:rsid w:val="008D1BA1"/>
    <w:rsid w:val="008D1C2F"/>
    <w:rsid w:val="008D1DB2"/>
    <w:rsid w:val="008D1E84"/>
    <w:rsid w:val="008D2433"/>
    <w:rsid w:val="008D2470"/>
    <w:rsid w:val="008D260D"/>
    <w:rsid w:val="008D264E"/>
    <w:rsid w:val="008D2661"/>
    <w:rsid w:val="008D27C3"/>
    <w:rsid w:val="008D2985"/>
    <w:rsid w:val="008D299D"/>
    <w:rsid w:val="008D29B4"/>
    <w:rsid w:val="008D2A93"/>
    <w:rsid w:val="008D2C4B"/>
    <w:rsid w:val="008D2CCC"/>
    <w:rsid w:val="008D2DAE"/>
    <w:rsid w:val="008D2E1B"/>
    <w:rsid w:val="008D31FA"/>
    <w:rsid w:val="008D3365"/>
    <w:rsid w:val="008D33C1"/>
    <w:rsid w:val="008D377D"/>
    <w:rsid w:val="008D390B"/>
    <w:rsid w:val="008D3D95"/>
    <w:rsid w:val="008D3DA4"/>
    <w:rsid w:val="008D3EC8"/>
    <w:rsid w:val="008D3EE5"/>
    <w:rsid w:val="008D3F44"/>
    <w:rsid w:val="008D3FBA"/>
    <w:rsid w:val="008D3FBB"/>
    <w:rsid w:val="008D440C"/>
    <w:rsid w:val="008D445B"/>
    <w:rsid w:val="008D4540"/>
    <w:rsid w:val="008D4582"/>
    <w:rsid w:val="008D4628"/>
    <w:rsid w:val="008D473E"/>
    <w:rsid w:val="008D47F1"/>
    <w:rsid w:val="008D4875"/>
    <w:rsid w:val="008D490A"/>
    <w:rsid w:val="008D4AF8"/>
    <w:rsid w:val="008D5007"/>
    <w:rsid w:val="008D500F"/>
    <w:rsid w:val="008D51D4"/>
    <w:rsid w:val="008D52A8"/>
    <w:rsid w:val="008D5731"/>
    <w:rsid w:val="008D5863"/>
    <w:rsid w:val="008D5919"/>
    <w:rsid w:val="008D5A55"/>
    <w:rsid w:val="008D5A5D"/>
    <w:rsid w:val="008D5CD5"/>
    <w:rsid w:val="008D5D28"/>
    <w:rsid w:val="008D5D2B"/>
    <w:rsid w:val="008D60E1"/>
    <w:rsid w:val="008D6123"/>
    <w:rsid w:val="008D6169"/>
    <w:rsid w:val="008D61DC"/>
    <w:rsid w:val="008D645F"/>
    <w:rsid w:val="008D6573"/>
    <w:rsid w:val="008D66C0"/>
    <w:rsid w:val="008D688F"/>
    <w:rsid w:val="008D68A8"/>
    <w:rsid w:val="008D69ED"/>
    <w:rsid w:val="008D6A79"/>
    <w:rsid w:val="008D6B67"/>
    <w:rsid w:val="008D6D23"/>
    <w:rsid w:val="008D6EAD"/>
    <w:rsid w:val="008D6EB9"/>
    <w:rsid w:val="008D70B0"/>
    <w:rsid w:val="008D724F"/>
    <w:rsid w:val="008D7292"/>
    <w:rsid w:val="008D7572"/>
    <w:rsid w:val="008D75AA"/>
    <w:rsid w:val="008D7636"/>
    <w:rsid w:val="008D76EB"/>
    <w:rsid w:val="008D78A0"/>
    <w:rsid w:val="008D79A1"/>
    <w:rsid w:val="008D79BC"/>
    <w:rsid w:val="008D7AF1"/>
    <w:rsid w:val="008D7C37"/>
    <w:rsid w:val="008D7E53"/>
    <w:rsid w:val="008D7E7F"/>
    <w:rsid w:val="008D7E8F"/>
    <w:rsid w:val="008D7FB0"/>
    <w:rsid w:val="008E007C"/>
    <w:rsid w:val="008E00B9"/>
    <w:rsid w:val="008E012E"/>
    <w:rsid w:val="008E01AD"/>
    <w:rsid w:val="008E01AE"/>
    <w:rsid w:val="008E05DC"/>
    <w:rsid w:val="008E06F0"/>
    <w:rsid w:val="008E07CD"/>
    <w:rsid w:val="008E0813"/>
    <w:rsid w:val="008E087A"/>
    <w:rsid w:val="008E088B"/>
    <w:rsid w:val="008E0B61"/>
    <w:rsid w:val="008E0BC0"/>
    <w:rsid w:val="008E0C32"/>
    <w:rsid w:val="008E0D9F"/>
    <w:rsid w:val="008E0DC5"/>
    <w:rsid w:val="008E1148"/>
    <w:rsid w:val="008E11F3"/>
    <w:rsid w:val="008E12A1"/>
    <w:rsid w:val="008E1481"/>
    <w:rsid w:val="008E14AB"/>
    <w:rsid w:val="008E1564"/>
    <w:rsid w:val="008E15E6"/>
    <w:rsid w:val="008E177B"/>
    <w:rsid w:val="008E178F"/>
    <w:rsid w:val="008E17AC"/>
    <w:rsid w:val="008E19AA"/>
    <w:rsid w:val="008E1B8B"/>
    <w:rsid w:val="008E1C4F"/>
    <w:rsid w:val="008E1C8A"/>
    <w:rsid w:val="008E1C9D"/>
    <w:rsid w:val="008E1E8C"/>
    <w:rsid w:val="008E1F87"/>
    <w:rsid w:val="008E1FFA"/>
    <w:rsid w:val="008E2138"/>
    <w:rsid w:val="008E2153"/>
    <w:rsid w:val="008E21DD"/>
    <w:rsid w:val="008E23AB"/>
    <w:rsid w:val="008E2845"/>
    <w:rsid w:val="008E29DA"/>
    <w:rsid w:val="008E2A14"/>
    <w:rsid w:val="008E2A15"/>
    <w:rsid w:val="008E2B2F"/>
    <w:rsid w:val="008E2C10"/>
    <w:rsid w:val="008E2C50"/>
    <w:rsid w:val="008E2CAD"/>
    <w:rsid w:val="008E2CE8"/>
    <w:rsid w:val="008E2DDC"/>
    <w:rsid w:val="008E2E66"/>
    <w:rsid w:val="008E309E"/>
    <w:rsid w:val="008E3131"/>
    <w:rsid w:val="008E3295"/>
    <w:rsid w:val="008E3372"/>
    <w:rsid w:val="008E3438"/>
    <w:rsid w:val="008E3467"/>
    <w:rsid w:val="008E347A"/>
    <w:rsid w:val="008E34DD"/>
    <w:rsid w:val="008E35B6"/>
    <w:rsid w:val="008E38EA"/>
    <w:rsid w:val="008E39B4"/>
    <w:rsid w:val="008E3A57"/>
    <w:rsid w:val="008E3A7A"/>
    <w:rsid w:val="008E3D86"/>
    <w:rsid w:val="008E3DAD"/>
    <w:rsid w:val="008E3DE1"/>
    <w:rsid w:val="008E3E5A"/>
    <w:rsid w:val="008E3E87"/>
    <w:rsid w:val="008E42DA"/>
    <w:rsid w:val="008E4468"/>
    <w:rsid w:val="008E4487"/>
    <w:rsid w:val="008E45FE"/>
    <w:rsid w:val="008E4663"/>
    <w:rsid w:val="008E4696"/>
    <w:rsid w:val="008E4981"/>
    <w:rsid w:val="008E4AE1"/>
    <w:rsid w:val="008E4AF6"/>
    <w:rsid w:val="008E4C76"/>
    <w:rsid w:val="008E4F5D"/>
    <w:rsid w:val="008E50B8"/>
    <w:rsid w:val="008E523B"/>
    <w:rsid w:val="008E5275"/>
    <w:rsid w:val="008E5317"/>
    <w:rsid w:val="008E53A0"/>
    <w:rsid w:val="008E53B1"/>
    <w:rsid w:val="008E5701"/>
    <w:rsid w:val="008E576B"/>
    <w:rsid w:val="008E588E"/>
    <w:rsid w:val="008E5B11"/>
    <w:rsid w:val="008E5B17"/>
    <w:rsid w:val="008E5BBC"/>
    <w:rsid w:val="008E5C63"/>
    <w:rsid w:val="008E5E01"/>
    <w:rsid w:val="008E5E6B"/>
    <w:rsid w:val="008E5FCA"/>
    <w:rsid w:val="008E5FF4"/>
    <w:rsid w:val="008E606F"/>
    <w:rsid w:val="008E607C"/>
    <w:rsid w:val="008E6129"/>
    <w:rsid w:val="008E6281"/>
    <w:rsid w:val="008E63A7"/>
    <w:rsid w:val="008E64AB"/>
    <w:rsid w:val="008E65C2"/>
    <w:rsid w:val="008E665D"/>
    <w:rsid w:val="008E67A9"/>
    <w:rsid w:val="008E6980"/>
    <w:rsid w:val="008E69AB"/>
    <w:rsid w:val="008E69ED"/>
    <w:rsid w:val="008E6A58"/>
    <w:rsid w:val="008E6BDF"/>
    <w:rsid w:val="008E6CEA"/>
    <w:rsid w:val="008E6CF7"/>
    <w:rsid w:val="008E6D6E"/>
    <w:rsid w:val="008E6D7C"/>
    <w:rsid w:val="008E6E2A"/>
    <w:rsid w:val="008E6EFC"/>
    <w:rsid w:val="008E70B6"/>
    <w:rsid w:val="008E721E"/>
    <w:rsid w:val="008E7226"/>
    <w:rsid w:val="008E7352"/>
    <w:rsid w:val="008E7400"/>
    <w:rsid w:val="008E74DF"/>
    <w:rsid w:val="008E76FF"/>
    <w:rsid w:val="008E77A9"/>
    <w:rsid w:val="008E77DA"/>
    <w:rsid w:val="008E7B73"/>
    <w:rsid w:val="008E7D6E"/>
    <w:rsid w:val="008E7DF9"/>
    <w:rsid w:val="008E7E8A"/>
    <w:rsid w:val="008E7EEE"/>
    <w:rsid w:val="008E7F80"/>
    <w:rsid w:val="008E7F91"/>
    <w:rsid w:val="008F0022"/>
    <w:rsid w:val="008F01A0"/>
    <w:rsid w:val="008F0379"/>
    <w:rsid w:val="008F03BC"/>
    <w:rsid w:val="008F0608"/>
    <w:rsid w:val="008F0805"/>
    <w:rsid w:val="008F091D"/>
    <w:rsid w:val="008F0AE9"/>
    <w:rsid w:val="008F0B9C"/>
    <w:rsid w:val="008F0C04"/>
    <w:rsid w:val="008F0CCF"/>
    <w:rsid w:val="008F100B"/>
    <w:rsid w:val="008F1248"/>
    <w:rsid w:val="008F1331"/>
    <w:rsid w:val="008F1378"/>
    <w:rsid w:val="008F16B2"/>
    <w:rsid w:val="008F197F"/>
    <w:rsid w:val="008F19CF"/>
    <w:rsid w:val="008F1A70"/>
    <w:rsid w:val="008F1A9F"/>
    <w:rsid w:val="008F1B65"/>
    <w:rsid w:val="008F1C47"/>
    <w:rsid w:val="008F1DDE"/>
    <w:rsid w:val="008F1F20"/>
    <w:rsid w:val="008F1F9E"/>
    <w:rsid w:val="008F1FB6"/>
    <w:rsid w:val="008F208B"/>
    <w:rsid w:val="008F208D"/>
    <w:rsid w:val="008F2291"/>
    <w:rsid w:val="008F2451"/>
    <w:rsid w:val="008F253F"/>
    <w:rsid w:val="008F2B5E"/>
    <w:rsid w:val="008F2B60"/>
    <w:rsid w:val="008F2BF9"/>
    <w:rsid w:val="008F2C09"/>
    <w:rsid w:val="008F2DA3"/>
    <w:rsid w:val="008F2F6C"/>
    <w:rsid w:val="008F306F"/>
    <w:rsid w:val="008F326A"/>
    <w:rsid w:val="008F32E6"/>
    <w:rsid w:val="008F330E"/>
    <w:rsid w:val="008F36F8"/>
    <w:rsid w:val="008F3BBD"/>
    <w:rsid w:val="008F3F4D"/>
    <w:rsid w:val="008F3FA4"/>
    <w:rsid w:val="008F3FE5"/>
    <w:rsid w:val="008F3FF5"/>
    <w:rsid w:val="008F4144"/>
    <w:rsid w:val="008F4200"/>
    <w:rsid w:val="008F4221"/>
    <w:rsid w:val="008F43DB"/>
    <w:rsid w:val="008F4493"/>
    <w:rsid w:val="008F458D"/>
    <w:rsid w:val="008F481C"/>
    <w:rsid w:val="008F4834"/>
    <w:rsid w:val="008F4957"/>
    <w:rsid w:val="008F4B1B"/>
    <w:rsid w:val="008F4C59"/>
    <w:rsid w:val="008F4C99"/>
    <w:rsid w:val="008F50C0"/>
    <w:rsid w:val="008F5130"/>
    <w:rsid w:val="008F5212"/>
    <w:rsid w:val="008F5285"/>
    <w:rsid w:val="008F528D"/>
    <w:rsid w:val="008F52B9"/>
    <w:rsid w:val="008F5356"/>
    <w:rsid w:val="008F5400"/>
    <w:rsid w:val="008F5450"/>
    <w:rsid w:val="008F5551"/>
    <w:rsid w:val="008F55BF"/>
    <w:rsid w:val="008F5A2B"/>
    <w:rsid w:val="008F5BD1"/>
    <w:rsid w:val="008F5DAA"/>
    <w:rsid w:val="008F60EF"/>
    <w:rsid w:val="008F6136"/>
    <w:rsid w:val="008F613F"/>
    <w:rsid w:val="008F6279"/>
    <w:rsid w:val="008F635E"/>
    <w:rsid w:val="008F652D"/>
    <w:rsid w:val="008F65B9"/>
    <w:rsid w:val="008F6652"/>
    <w:rsid w:val="008F66A1"/>
    <w:rsid w:val="008F674E"/>
    <w:rsid w:val="008F6813"/>
    <w:rsid w:val="008F6839"/>
    <w:rsid w:val="008F6864"/>
    <w:rsid w:val="008F69F9"/>
    <w:rsid w:val="008F6B35"/>
    <w:rsid w:val="008F6B43"/>
    <w:rsid w:val="008F71FA"/>
    <w:rsid w:val="008F764A"/>
    <w:rsid w:val="008F7692"/>
    <w:rsid w:val="008F77F8"/>
    <w:rsid w:val="008F7899"/>
    <w:rsid w:val="008F7A80"/>
    <w:rsid w:val="008F7E2F"/>
    <w:rsid w:val="008F7E3E"/>
    <w:rsid w:val="008F7EF8"/>
    <w:rsid w:val="008F7F9C"/>
    <w:rsid w:val="0090003B"/>
    <w:rsid w:val="009000D8"/>
    <w:rsid w:val="009000F2"/>
    <w:rsid w:val="0090018A"/>
    <w:rsid w:val="009003A6"/>
    <w:rsid w:val="009004C0"/>
    <w:rsid w:val="00900513"/>
    <w:rsid w:val="0090051F"/>
    <w:rsid w:val="00900744"/>
    <w:rsid w:val="0090078C"/>
    <w:rsid w:val="00900796"/>
    <w:rsid w:val="009008C8"/>
    <w:rsid w:val="00900AD8"/>
    <w:rsid w:val="00900ADB"/>
    <w:rsid w:val="00900B03"/>
    <w:rsid w:val="00900C10"/>
    <w:rsid w:val="00900F46"/>
    <w:rsid w:val="00901055"/>
    <w:rsid w:val="009010E2"/>
    <w:rsid w:val="00901148"/>
    <w:rsid w:val="0090122F"/>
    <w:rsid w:val="00901409"/>
    <w:rsid w:val="009015E3"/>
    <w:rsid w:val="009015E6"/>
    <w:rsid w:val="00901628"/>
    <w:rsid w:val="0090163D"/>
    <w:rsid w:val="00901673"/>
    <w:rsid w:val="009019B0"/>
    <w:rsid w:val="00901AC1"/>
    <w:rsid w:val="00901B37"/>
    <w:rsid w:val="00901B6E"/>
    <w:rsid w:val="00901DB2"/>
    <w:rsid w:val="00901DBA"/>
    <w:rsid w:val="00901DF7"/>
    <w:rsid w:val="009021C6"/>
    <w:rsid w:val="00902223"/>
    <w:rsid w:val="009022E0"/>
    <w:rsid w:val="009023E8"/>
    <w:rsid w:val="00902445"/>
    <w:rsid w:val="009027B2"/>
    <w:rsid w:val="00902807"/>
    <w:rsid w:val="00902AC0"/>
    <w:rsid w:val="00902B77"/>
    <w:rsid w:val="00902CB4"/>
    <w:rsid w:val="00902D58"/>
    <w:rsid w:val="00902F24"/>
    <w:rsid w:val="0090300E"/>
    <w:rsid w:val="009030DF"/>
    <w:rsid w:val="009030FF"/>
    <w:rsid w:val="0090320F"/>
    <w:rsid w:val="0090328B"/>
    <w:rsid w:val="0090329B"/>
    <w:rsid w:val="0090343D"/>
    <w:rsid w:val="00903509"/>
    <w:rsid w:val="0090367B"/>
    <w:rsid w:val="009036C0"/>
    <w:rsid w:val="009036DC"/>
    <w:rsid w:val="00903707"/>
    <w:rsid w:val="00903760"/>
    <w:rsid w:val="009037E8"/>
    <w:rsid w:val="0090393B"/>
    <w:rsid w:val="00903A32"/>
    <w:rsid w:val="00903ADD"/>
    <w:rsid w:val="00903C52"/>
    <w:rsid w:val="00903DB9"/>
    <w:rsid w:val="00903F2C"/>
    <w:rsid w:val="00904011"/>
    <w:rsid w:val="00904199"/>
    <w:rsid w:val="00904236"/>
    <w:rsid w:val="009044E2"/>
    <w:rsid w:val="00904535"/>
    <w:rsid w:val="00904569"/>
    <w:rsid w:val="009045CE"/>
    <w:rsid w:val="009046A6"/>
    <w:rsid w:val="0090474B"/>
    <w:rsid w:val="0090476F"/>
    <w:rsid w:val="009047C9"/>
    <w:rsid w:val="00904838"/>
    <w:rsid w:val="00904958"/>
    <w:rsid w:val="009049BD"/>
    <w:rsid w:val="00904CCD"/>
    <w:rsid w:val="00904D86"/>
    <w:rsid w:val="00904FDB"/>
    <w:rsid w:val="00904FE0"/>
    <w:rsid w:val="00905013"/>
    <w:rsid w:val="00905039"/>
    <w:rsid w:val="009050B2"/>
    <w:rsid w:val="0090511A"/>
    <w:rsid w:val="009051BC"/>
    <w:rsid w:val="0090533A"/>
    <w:rsid w:val="0090544C"/>
    <w:rsid w:val="00905524"/>
    <w:rsid w:val="00905576"/>
    <w:rsid w:val="00905636"/>
    <w:rsid w:val="00905758"/>
    <w:rsid w:val="00905869"/>
    <w:rsid w:val="0090594F"/>
    <w:rsid w:val="0090595C"/>
    <w:rsid w:val="00905AF7"/>
    <w:rsid w:val="00905EB3"/>
    <w:rsid w:val="00906027"/>
    <w:rsid w:val="009061DF"/>
    <w:rsid w:val="00906264"/>
    <w:rsid w:val="009062DC"/>
    <w:rsid w:val="0090646A"/>
    <w:rsid w:val="00906685"/>
    <w:rsid w:val="00906726"/>
    <w:rsid w:val="009068BE"/>
    <w:rsid w:val="00906D15"/>
    <w:rsid w:val="00906D53"/>
    <w:rsid w:val="00906D75"/>
    <w:rsid w:val="00906DCF"/>
    <w:rsid w:val="00906DE1"/>
    <w:rsid w:val="00906EFD"/>
    <w:rsid w:val="00906F02"/>
    <w:rsid w:val="0090703D"/>
    <w:rsid w:val="009073CF"/>
    <w:rsid w:val="00907468"/>
    <w:rsid w:val="009075C9"/>
    <w:rsid w:val="00907609"/>
    <w:rsid w:val="00907755"/>
    <w:rsid w:val="00907864"/>
    <w:rsid w:val="009078FE"/>
    <w:rsid w:val="0090792D"/>
    <w:rsid w:val="00907B2E"/>
    <w:rsid w:val="00907B7B"/>
    <w:rsid w:val="00907C43"/>
    <w:rsid w:val="00907E2B"/>
    <w:rsid w:val="00907EFD"/>
    <w:rsid w:val="00907F19"/>
    <w:rsid w:val="00907FE7"/>
    <w:rsid w:val="0091017D"/>
    <w:rsid w:val="009103AD"/>
    <w:rsid w:val="009104BD"/>
    <w:rsid w:val="0091051D"/>
    <w:rsid w:val="00910553"/>
    <w:rsid w:val="00910644"/>
    <w:rsid w:val="00910651"/>
    <w:rsid w:val="009106A5"/>
    <w:rsid w:val="009106CD"/>
    <w:rsid w:val="00910A80"/>
    <w:rsid w:val="00910BB2"/>
    <w:rsid w:val="00910D89"/>
    <w:rsid w:val="00910E40"/>
    <w:rsid w:val="009110EE"/>
    <w:rsid w:val="00911144"/>
    <w:rsid w:val="009111E5"/>
    <w:rsid w:val="009111EB"/>
    <w:rsid w:val="0091120D"/>
    <w:rsid w:val="0091126F"/>
    <w:rsid w:val="00911390"/>
    <w:rsid w:val="009118EB"/>
    <w:rsid w:val="00911BA2"/>
    <w:rsid w:val="00911C08"/>
    <w:rsid w:val="00911C42"/>
    <w:rsid w:val="00911D7E"/>
    <w:rsid w:val="00911E3B"/>
    <w:rsid w:val="009122D7"/>
    <w:rsid w:val="00912357"/>
    <w:rsid w:val="0091243D"/>
    <w:rsid w:val="009124B2"/>
    <w:rsid w:val="00912554"/>
    <w:rsid w:val="00912611"/>
    <w:rsid w:val="0091272D"/>
    <w:rsid w:val="009127B8"/>
    <w:rsid w:val="009128D2"/>
    <w:rsid w:val="0091299F"/>
    <w:rsid w:val="009129E6"/>
    <w:rsid w:val="00912A93"/>
    <w:rsid w:val="00912B65"/>
    <w:rsid w:val="00912BED"/>
    <w:rsid w:val="00912CA8"/>
    <w:rsid w:val="00912CB8"/>
    <w:rsid w:val="00912E0A"/>
    <w:rsid w:val="00912E19"/>
    <w:rsid w:val="00912F07"/>
    <w:rsid w:val="00913010"/>
    <w:rsid w:val="0091307C"/>
    <w:rsid w:val="00913135"/>
    <w:rsid w:val="0091320F"/>
    <w:rsid w:val="00913229"/>
    <w:rsid w:val="00913284"/>
    <w:rsid w:val="00913480"/>
    <w:rsid w:val="009134B2"/>
    <w:rsid w:val="009135C0"/>
    <w:rsid w:val="00913987"/>
    <w:rsid w:val="00913B10"/>
    <w:rsid w:val="00913BB8"/>
    <w:rsid w:val="00913C1A"/>
    <w:rsid w:val="00913CE9"/>
    <w:rsid w:val="00913DA9"/>
    <w:rsid w:val="00913F8B"/>
    <w:rsid w:val="009140B6"/>
    <w:rsid w:val="009141FB"/>
    <w:rsid w:val="0091422C"/>
    <w:rsid w:val="00914299"/>
    <w:rsid w:val="00914311"/>
    <w:rsid w:val="0091447C"/>
    <w:rsid w:val="00914545"/>
    <w:rsid w:val="0091456C"/>
    <w:rsid w:val="00914798"/>
    <w:rsid w:val="0091487C"/>
    <w:rsid w:val="009148D0"/>
    <w:rsid w:val="00914AA1"/>
    <w:rsid w:val="00914ACC"/>
    <w:rsid w:val="00914B51"/>
    <w:rsid w:val="00914B9B"/>
    <w:rsid w:val="00914C94"/>
    <w:rsid w:val="00914D47"/>
    <w:rsid w:val="00914D5E"/>
    <w:rsid w:val="00914F6A"/>
    <w:rsid w:val="00915079"/>
    <w:rsid w:val="009154F0"/>
    <w:rsid w:val="009155DE"/>
    <w:rsid w:val="00915795"/>
    <w:rsid w:val="00915848"/>
    <w:rsid w:val="00915902"/>
    <w:rsid w:val="0091590E"/>
    <w:rsid w:val="009159AE"/>
    <w:rsid w:val="009159C8"/>
    <w:rsid w:val="00915A0E"/>
    <w:rsid w:val="00915B8E"/>
    <w:rsid w:val="00915BD5"/>
    <w:rsid w:val="00915C46"/>
    <w:rsid w:val="00915FEE"/>
    <w:rsid w:val="009161E8"/>
    <w:rsid w:val="009162B0"/>
    <w:rsid w:val="00916758"/>
    <w:rsid w:val="00916800"/>
    <w:rsid w:val="0091689B"/>
    <w:rsid w:val="0091689F"/>
    <w:rsid w:val="00916926"/>
    <w:rsid w:val="00916969"/>
    <w:rsid w:val="00916AE8"/>
    <w:rsid w:val="00916B76"/>
    <w:rsid w:val="00916B86"/>
    <w:rsid w:val="00916BEC"/>
    <w:rsid w:val="00916E8D"/>
    <w:rsid w:val="0091703F"/>
    <w:rsid w:val="0091709F"/>
    <w:rsid w:val="0091718A"/>
    <w:rsid w:val="0091732E"/>
    <w:rsid w:val="00917425"/>
    <w:rsid w:val="0091748D"/>
    <w:rsid w:val="00917525"/>
    <w:rsid w:val="0091762D"/>
    <w:rsid w:val="00917663"/>
    <w:rsid w:val="0091776C"/>
    <w:rsid w:val="009177A0"/>
    <w:rsid w:val="009177C6"/>
    <w:rsid w:val="009177CA"/>
    <w:rsid w:val="0091788C"/>
    <w:rsid w:val="009178A0"/>
    <w:rsid w:val="009179A7"/>
    <w:rsid w:val="00917C4D"/>
    <w:rsid w:val="00917D43"/>
    <w:rsid w:val="00917D66"/>
    <w:rsid w:val="00917E53"/>
    <w:rsid w:val="00917E60"/>
    <w:rsid w:val="00917EA0"/>
    <w:rsid w:val="00917EE9"/>
    <w:rsid w:val="0092012A"/>
    <w:rsid w:val="009202D9"/>
    <w:rsid w:val="00920382"/>
    <w:rsid w:val="00920681"/>
    <w:rsid w:val="009208B9"/>
    <w:rsid w:val="009209A5"/>
    <w:rsid w:val="00920AC2"/>
    <w:rsid w:val="00920B04"/>
    <w:rsid w:val="00920BD6"/>
    <w:rsid w:val="00920D61"/>
    <w:rsid w:val="00920DED"/>
    <w:rsid w:val="00920EA2"/>
    <w:rsid w:val="00921150"/>
    <w:rsid w:val="009213B7"/>
    <w:rsid w:val="0092143C"/>
    <w:rsid w:val="00921646"/>
    <w:rsid w:val="009216BA"/>
    <w:rsid w:val="009216E4"/>
    <w:rsid w:val="0092187E"/>
    <w:rsid w:val="00921981"/>
    <w:rsid w:val="009219E6"/>
    <w:rsid w:val="00921B50"/>
    <w:rsid w:val="00921FE6"/>
    <w:rsid w:val="0092207C"/>
    <w:rsid w:val="009221F2"/>
    <w:rsid w:val="009224CE"/>
    <w:rsid w:val="0092252F"/>
    <w:rsid w:val="009225EA"/>
    <w:rsid w:val="009226D6"/>
    <w:rsid w:val="00922799"/>
    <w:rsid w:val="009227D7"/>
    <w:rsid w:val="0092286A"/>
    <w:rsid w:val="00922906"/>
    <w:rsid w:val="00922A9E"/>
    <w:rsid w:val="00922B83"/>
    <w:rsid w:val="00922E14"/>
    <w:rsid w:val="00922E17"/>
    <w:rsid w:val="00922E41"/>
    <w:rsid w:val="00923223"/>
    <w:rsid w:val="00923432"/>
    <w:rsid w:val="009235C2"/>
    <w:rsid w:val="00923789"/>
    <w:rsid w:val="00923873"/>
    <w:rsid w:val="00923F8C"/>
    <w:rsid w:val="009242FE"/>
    <w:rsid w:val="00924458"/>
    <w:rsid w:val="009246A7"/>
    <w:rsid w:val="00924720"/>
    <w:rsid w:val="009247D8"/>
    <w:rsid w:val="00924871"/>
    <w:rsid w:val="00924B93"/>
    <w:rsid w:val="00924BAF"/>
    <w:rsid w:val="00924C77"/>
    <w:rsid w:val="00924CC9"/>
    <w:rsid w:val="00924CE4"/>
    <w:rsid w:val="00924E3F"/>
    <w:rsid w:val="00924EC9"/>
    <w:rsid w:val="00924FAA"/>
    <w:rsid w:val="009259A9"/>
    <w:rsid w:val="00925A66"/>
    <w:rsid w:val="00925B7A"/>
    <w:rsid w:val="00926123"/>
    <w:rsid w:val="0092629C"/>
    <w:rsid w:val="0092651B"/>
    <w:rsid w:val="009265D3"/>
    <w:rsid w:val="009267C2"/>
    <w:rsid w:val="00926829"/>
    <w:rsid w:val="00926ABE"/>
    <w:rsid w:val="00926B3C"/>
    <w:rsid w:val="00926C07"/>
    <w:rsid w:val="00926DBE"/>
    <w:rsid w:val="00926EEE"/>
    <w:rsid w:val="00926F54"/>
    <w:rsid w:val="00926F8C"/>
    <w:rsid w:val="0092706D"/>
    <w:rsid w:val="009271A1"/>
    <w:rsid w:val="009271A3"/>
    <w:rsid w:val="009272DF"/>
    <w:rsid w:val="00927388"/>
    <w:rsid w:val="009273E5"/>
    <w:rsid w:val="0092762A"/>
    <w:rsid w:val="00927748"/>
    <w:rsid w:val="0092780C"/>
    <w:rsid w:val="009278A2"/>
    <w:rsid w:val="00927CEF"/>
    <w:rsid w:val="00927E00"/>
    <w:rsid w:val="00927EE0"/>
    <w:rsid w:val="0093007A"/>
    <w:rsid w:val="009300B2"/>
    <w:rsid w:val="009300E6"/>
    <w:rsid w:val="009300FF"/>
    <w:rsid w:val="00930122"/>
    <w:rsid w:val="00930144"/>
    <w:rsid w:val="0093028D"/>
    <w:rsid w:val="009302F0"/>
    <w:rsid w:val="0093033A"/>
    <w:rsid w:val="0093034E"/>
    <w:rsid w:val="009305D2"/>
    <w:rsid w:val="009306F3"/>
    <w:rsid w:val="009309A7"/>
    <w:rsid w:val="009309FE"/>
    <w:rsid w:val="00930BF2"/>
    <w:rsid w:val="00930C1F"/>
    <w:rsid w:val="00930D67"/>
    <w:rsid w:val="00930F3D"/>
    <w:rsid w:val="0093100E"/>
    <w:rsid w:val="00931158"/>
    <w:rsid w:val="00931247"/>
    <w:rsid w:val="00931395"/>
    <w:rsid w:val="009314E3"/>
    <w:rsid w:val="009314FF"/>
    <w:rsid w:val="00931571"/>
    <w:rsid w:val="00931733"/>
    <w:rsid w:val="00931790"/>
    <w:rsid w:val="00931880"/>
    <w:rsid w:val="00931BA1"/>
    <w:rsid w:val="00931CFD"/>
    <w:rsid w:val="00931D71"/>
    <w:rsid w:val="00931E3F"/>
    <w:rsid w:val="00931EAF"/>
    <w:rsid w:val="00931ED6"/>
    <w:rsid w:val="00931FFA"/>
    <w:rsid w:val="009321DD"/>
    <w:rsid w:val="0093223C"/>
    <w:rsid w:val="009322DE"/>
    <w:rsid w:val="0093268E"/>
    <w:rsid w:val="00932726"/>
    <w:rsid w:val="0093273B"/>
    <w:rsid w:val="009328CC"/>
    <w:rsid w:val="00932B60"/>
    <w:rsid w:val="00932BFD"/>
    <w:rsid w:val="00932C71"/>
    <w:rsid w:val="00932D93"/>
    <w:rsid w:val="00932FAC"/>
    <w:rsid w:val="00933346"/>
    <w:rsid w:val="00933387"/>
    <w:rsid w:val="00933517"/>
    <w:rsid w:val="009335CA"/>
    <w:rsid w:val="00933688"/>
    <w:rsid w:val="00933733"/>
    <w:rsid w:val="00933791"/>
    <w:rsid w:val="00933936"/>
    <w:rsid w:val="00933A57"/>
    <w:rsid w:val="00933A72"/>
    <w:rsid w:val="00933DF0"/>
    <w:rsid w:val="009341E7"/>
    <w:rsid w:val="00934345"/>
    <w:rsid w:val="00934441"/>
    <w:rsid w:val="00934451"/>
    <w:rsid w:val="009344AF"/>
    <w:rsid w:val="0093466E"/>
    <w:rsid w:val="009346B7"/>
    <w:rsid w:val="00934763"/>
    <w:rsid w:val="00934793"/>
    <w:rsid w:val="009347BF"/>
    <w:rsid w:val="009347F2"/>
    <w:rsid w:val="009347FA"/>
    <w:rsid w:val="00934870"/>
    <w:rsid w:val="009349DE"/>
    <w:rsid w:val="009349E7"/>
    <w:rsid w:val="00934D2F"/>
    <w:rsid w:val="009350C2"/>
    <w:rsid w:val="009352B7"/>
    <w:rsid w:val="0093546A"/>
    <w:rsid w:val="0093561E"/>
    <w:rsid w:val="009356CC"/>
    <w:rsid w:val="009356EB"/>
    <w:rsid w:val="0093582B"/>
    <w:rsid w:val="0093588E"/>
    <w:rsid w:val="00935A45"/>
    <w:rsid w:val="00935A72"/>
    <w:rsid w:val="00935BA1"/>
    <w:rsid w:val="00935C02"/>
    <w:rsid w:val="00935D4A"/>
    <w:rsid w:val="00935E20"/>
    <w:rsid w:val="009361EC"/>
    <w:rsid w:val="00936280"/>
    <w:rsid w:val="009362C1"/>
    <w:rsid w:val="009362E0"/>
    <w:rsid w:val="0093633B"/>
    <w:rsid w:val="0093644A"/>
    <w:rsid w:val="0093645F"/>
    <w:rsid w:val="0093699A"/>
    <w:rsid w:val="00936A48"/>
    <w:rsid w:val="00936AC7"/>
    <w:rsid w:val="00936AF2"/>
    <w:rsid w:val="00936B07"/>
    <w:rsid w:val="00936C32"/>
    <w:rsid w:val="00936E69"/>
    <w:rsid w:val="00936EDF"/>
    <w:rsid w:val="00936FBF"/>
    <w:rsid w:val="00936FC9"/>
    <w:rsid w:val="00936FD0"/>
    <w:rsid w:val="00936FEC"/>
    <w:rsid w:val="009370EF"/>
    <w:rsid w:val="00937201"/>
    <w:rsid w:val="00937216"/>
    <w:rsid w:val="00937231"/>
    <w:rsid w:val="009372D6"/>
    <w:rsid w:val="0093732A"/>
    <w:rsid w:val="0093743D"/>
    <w:rsid w:val="0093771E"/>
    <w:rsid w:val="00937750"/>
    <w:rsid w:val="0093783C"/>
    <w:rsid w:val="009378F4"/>
    <w:rsid w:val="00937C2B"/>
    <w:rsid w:val="00937E72"/>
    <w:rsid w:val="009402C1"/>
    <w:rsid w:val="00940585"/>
    <w:rsid w:val="00940719"/>
    <w:rsid w:val="00940769"/>
    <w:rsid w:val="009408F0"/>
    <w:rsid w:val="009409C6"/>
    <w:rsid w:val="00940DF8"/>
    <w:rsid w:val="00940E00"/>
    <w:rsid w:val="00940F5A"/>
    <w:rsid w:val="009410AA"/>
    <w:rsid w:val="009410EA"/>
    <w:rsid w:val="009410FF"/>
    <w:rsid w:val="00941185"/>
    <w:rsid w:val="009411D1"/>
    <w:rsid w:val="009411F9"/>
    <w:rsid w:val="00941279"/>
    <w:rsid w:val="009412A2"/>
    <w:rsid w:val="00941501"/>
    <w:rsid w:val="00941662"/>
    <w:rsid w:val="00941727"/>
    <w:rsid w:val="0094182B"/>
    <w:rsid w:val="00941859"/>
    <w:rsid w:val="009419D5"/>
    <w:rsid w:val="00941DB3"/>
    <w:rsid w:val="00941F10"/>
    <w:rsid w:val="00941F27"/>
    <w:rsid w:val="009420E4"/>
    <w:rsid w:val="00942148"/>
    <w:rsid w:val="0094214B"/>
    <w:rsid w:val="009422AB"/>
    <w:rsid w:val="0094262A"/>
    <w:rsid w:val="0094284B"/>
    <w:rsid w:val="00942956"/>
    <w:rsid w:val="00942C44"/>
    <w:rsid w:val="00942CD7"/>
    <w:rsid w:val="00942D93"/>
    <w:rsid w:val="00942EDB"/>
    <w:rsid w:val="00942F37"/>
    <w:rsid w:val="00942F76"/>
    <w:rsid w:val="00943064"/>
    <w:rsid w:val="0094307A"/>
    <w:rsid w:val="009430F8"/>
    <w:rsid w:val="00943137"/>
    <w:rsid w:val="00943418"/>
    <w:rsid w:val="00943510"/>
    <w:rsid w:val="009435A1"/>
    <w:rsid w:val="009437FF"/>
    <w:rsid w:val="00943806"/>
    <w:rsid w:val="00943836"/>
    <w:rsid w:val="00943889"/>
    <w:rsid w:val="009438FC"/>
    <w:rsid w:val="00943989"/>
    <w:rsid w:val="00943D9C"/>
    <w:rsid w:val="00943F50"/>
    <w:rsid w:val="00943FD6"/>
    <w:rsid w:val="00944050"/>
    <w:rsid w:val="009441F3"/>
    <w:rsid w:val="009442E9"/>
    <w:rsid w:val="00944636"/>
    <w:rsid w:val="009446A1"/>
    <w:rsid w:val="00944700"/>
    <w:rsid w:val="0094482C"/>
    <w:rsid w:val="00944878"/>
    <w:rsid w:val="00944A84"/>
    <w:rsid w:val="00944AD4"/>
    <w:rsid w:val="00944B50"/>
    <w:rsid w:val="00944E2E"/>
    <w:rsid w:val="00944E7A"/>
    <w:rsid w:val="00944E7C"/>
    <w:rsid w:val="00944F95"/>
    <w:rsid w:val="009452B6"/>
    <w:rsid w:val="0094532E"/>
    <w:rsid w:val="00945339"/>
    <w:rsid w:val="009455F8"/>
    <w:rsid w:val="00945699"/>
    <w:rsid w:val="009456BC"/>
    <w:rsid w:val="00945775"/>
    <w:rsid w:val="00945A7D"/>
    <w:rsid w:val="00945A8C"/>
    <w:rsid w:val="00945B40"/>
    <w:rsid w:val="00945EED"/>
    <w:rsid w:val="00946016"/>
    <w:rsid w:val="00946296"/>
    <w:rsid w:val="009462CD"/>
    <w:rsid w:val="0094631D"/>
    <w:rsid w:val="0094679A"/>
    <w:rsid w:val="0094679B"/>
    <w:rsid w:val="0094680C"/>
    <w:rsid w:val="009468C8"/>
    <w:rsid w:val="0094693F"/>
    <w:rsid w:val="0094695B"/>
    <w:rsid w:val="009469C4"/>
    <w:rsid w:val="00946A10"/>
    <w:rsid w:val="00946B58"/>
    <w:rsid w:val="00946D54"/>
    <w:rsid w:val="00946EDE"/>
    <w:rsid w:val="00946FE4"/>
    <w:rsid w:val="00947050"/>
    <w:rsid w:val="009471C7"/>
    <w:rsid w:val="009471F7"/>
    <w:rsid w:val="0094732D"/>
    <w:rsid w:val="00947396"/>
    <w:rsid w:val="009473F4"/>
    <w:rsid w:val="00947602"/>
    <w:rsid w:val="009476E3"/>
    <w:rsid w:val="009476FE"/>
    <w:rsid w:val="0094786E"/>
    <w:rsid w:val="00947B2F"/>
    <w:rsid w:val="00947C99"/>
    <w:rsid w:val="00947C9D"/>
    <w:rsid w:val="00947F30"/>
    <w:rsid w:val="00947FFE"/>
    <w:rsid w:val="00950031"/>
    <w:rsid w:val="0095003D"/>
    <w:rsid w:val="00950240"/>
    <w:rsid w:val="00950243"/>
    <w:rsid w:val="009502FC"/>
    <w:rsid w:val="0095040B"/>
    <w:rsid w:val="00950427"/>
    <w:rsid w:val="00950457"/>
    <w:rsid w:val="00950536"/>
    <w:rsid w:val="0095062E"/>
    <w:rsid w:val="0095081C"/>
    <w:rsid w:val="0095095F"/>
    <w:rsid w:val="00950B15"/>
    <w:rsid w:val="00950D46"/>
    <w:rsid w:val="00950DE2"/>
    <w:rsid w:val="009511A0"/>
    <w:rsid w:val="00951339"/>
    <w:rsid w:val="009513FE"/>
    <w:rsid w:val="00951485"/>
    <w:rsid w:val="009516C1"/>
    <w:rsid w:val="00951A81"/>
    <w:rsid w:val="00951C56"/>
    <w:rsid w:val="00951D92"/>
    <w:rsid w:val="00951DC2"/>
    <w:rsid w:val="00951DE2"/>
    <w:rsid w:val="00952132"/>
    <w:rsid w:val="0095228E"/>
    <w:rsid w:val="009522FB"/>
    <w:rsid w:val="009523E3"/>
    <w:rsid w:val="00952662"/>
    <w:rsid w:val="00952DD7"/>
    <w:rsid w:val="00952EDC"/>
    <w:rsid w:val="0095300B"/>
    <w:rsid w:val="00953102"/>
    <w:rsid w:val="009531C9"/>
    <w:rsid w:val="0095322F"/>
    <w:rsid w:val="009532D4"/>
    <w:rsid w:val="00953329"/>
    <w:rsid w:val="0095338F"/>
    <w:rsid w:val="009535B7"/>
    <w:rsid w:val="00953894"/>
    <w:rsid w:val="00953AD1"/>
    <w:rsid w:val="00953B08"/>
    <w:rsid w:val="00953DF2"/>
    <w:rsid w:val="00953FB5"/>
    <w:rsid w:val="009540EF"/>
    <w:rsid w:val="009542DE"/>
    <w:rsid w:val="0095436E"/>
    <w:rsid w:val="00954412"/>
    <w:rsid w:val="009545E8"/>
    <w:rsid w:val="0095475F"/>
    <w:rsid w:val="009548D9"/>
    <w:rsid w:val="00954990"/>
    <w:rsid w:val="00954997"/>
    <w:rsid w:val="00954B5F"/>
    <w:rsid w:val="00954BD6"/>
    <w:rsid w:val="00954FB2"/>
    <w:rsid w:val="00955004"/>
    <w:rsid w:val="0095503C"/>
    <w:rsid w:val="009550FC"/>
    <w:rsid w:val="00955165"/>
    <w:rsid w:val="0095536A"/>
    <w:rsid w:val="0095540A"/>
    <w:rsid w:val="0095554F"/>
    <w:rsid w:val="009555A6"/>
    <w:rsid w:val="009555AF"/>
    <w:rsid w:val="009555B8"/>
    <w:rsid w:val="00955670"/>
    <w:rsid w:val="009556C4"/>
    <w:rsid w:val="00955840"/>
    <w:rsid w:val="00955947"/>
    <w:rsid w:val="009559E1"/>
    <w:rsid w:val="00955C73"/>
    <w:rsid w:val="00955D79"/>
    <w:rsid w:val="0095627D"/>
    <w:rsid w:val="009564FB"/>
    <w:rsid w:val="009566E1"/>
    <w:rsid w:val="00956781"/>
    <w:rsid w:val="00956791"/>
    <w:rsid w:val="009567A8"/>
    <w:rsid w:val="009568C1"/>
    <w:rsid w:val="00956A9F"/>
    <w:rsid w:val="00956CAE"/>
    <w:rsid w:val="00956D7D"/>
    <w:rsid w:val="00956FE2"/>
    <w:rsid w:val="009570AD"/>
    <w:rsid w:val="0095713B"/>
    <w:rsid w:val="00957384"/>
    <w:rsid w:val="0095739E"/>
    <w:rsid w:val="009575CC"/>
    <w:rsid w:val="00957A05"/>
    <w:rsid w:val="00957A1E"/>
    <w:rsid w:val="00957B36"/>
    <w:rsid w:val="00957BBE"/>
    <w:rsid w:val="00957EB2"/>
    <w:rsid w:val="00957F09"/>
    <w:rsid w:val="00957F37"/>
    <w:rsid w:val="00957FE9"/>
    <w:rsid w:val="00960005"/>
    <w:rsid w:val="00960171"/>
    <w:rsid w:val="009602F7"/>
    <w:rsid w:val="0096042B"/>
    <w:rsid w:val="00960432"/>
    <w:rsid w:val="0096043F"/>
    <w:rsid w:val="0096049E"/>
    <w:rsid w:val="0096054D"/>
    <w:rsid w:val="009606B8"/>
    <w:rsid w:val="009606C1"/>
    <w:rsid w:val="0096083F"/>
    <w:rsid w:val="00960921"/>
    <w:rsid w:val="00960922"/>
    <w:rsid w:val="00960941"/>
    <w:rsid w:val="009609DC"/>
    <w:rsid w:val="00960AD4"/>
    <w:rsid w:val="00960B91"/>
    <w:rsid w:val="00960BEF"/>
    <w:rsid w:val="00960C96"/>
    <w:rsid w:val="00960DF6"/>
    <w:rsid w:val="00960E8B"/>
    <w:rsid w:val="00960EC2"/>
    <w:rsid w:val="00960F24"/>
    <w:rsid w:val="00960F35"/>
    <w:rsid w:val="00961031"/>
    <w:rsid w:val="00961165"/>
    <w:rsid w:val="009612C2"/>
    <w:rsid w:val="00961396"/>
    <w:rsid w:val="009614B6"/>
    <w:rsid w:val="009615A4"/>
    <w:rsid w:val="0096171D"/>
    <w:rsid w:val="009618BB"/>
    <w:rsid w:val="00961979"/>
    <w:rsid w:val="00961B2C"/>
    <w:rsid w:val="00961BC1"/>
    <w:rsid w:val="00961CCA"/>
    <w:rsid w:val="00961D74"/>
    <w:rsid w:val="00961E87"/>
    <w:rsid w:val="00961F5A"/>
    <w:rsid w:val="00962097"/>
    <w:rsid w:val="009620A1"/>
    <w:rsid w:val="009620D9"/>
    <w:rsid w:val="00962303"/>
    <w:rsid w:val="0096242F"/>
    <w:rsid w:val="00962635"/>
    <w:rsid w:val="00962682"/>
    <w:rsid w:val="0096275B"/>
    <w:rsid w:val="00962996"/>
    <w:rsid w:val="00962A63"/>
    <w:rsid w:val="00962D46"/>
    <w:rsid w:val="00962D5C"/>
    <w:rsid w:val="00962D79"/>
    <w:rsid w:val="00962D8E"/>
    <w:rsid w:val="00962E23"/>
    <w:rsid w:val="00962E8B"/>
    <w:rsid w:val="00963055"/>
    <w:rsid w:val="009630CE"/>
    <w:rsid w:val="009630D7"/>
    <w:rsid w:val="00963401"/>
    <w:rsid w:val="009634E2"/>
    <w:rsid w:val="009635B3"/>
    <w:rsid w:val="00963761"/>
    <w:rsid w:val="00963871"/>
    <w:rsid w:val="00963BBD"/>
    <w:rsid w:val="00963C0E"/>
    <w:rsid w:val="00963DE5"/>
    <w:rsid w:val="00963FF8"/>
    <w:rsid w:val="0096402A"/>
    <w:rsid w:val="009640EA"/>
    <w:rsid w:val="009641A1"/>
    <w:rsid w:val="00964267"/>
    <w:rsid w:val="0096431E"/>
    <w:rsid w:val="00964495"/>
    <w:rsid w:val="00964684"/>
    <w:rsid w:val="00964AC1"/>
    <w:rsid w:val="00964D69"/>
    <w:rsid w:val="00964D79"/>
    <w:rsid w:val="009650E3"/>
    <w:rsid w:val="0096564C"/>
    <w:rsid w:val="00965717"/>
    <w:rsid w:val="009658B1"/>
    <w:rsid w:val="00965927"/>
    <w:rsid w:val="009659F7"/>
    <w:rsid w:val="00965A2B"/>
    <w:rsid w:val="00965BF6"/>
    <w:rsid w:val="00965D0E"/>
    <w:rsid w:val="00965DD2"/>
    <w:rsid w:val="00965DE1"/>
    <w:rsid w:val="00965E5A"/>
    <w:rsid w:val="00965FC4"/>
    <w:rsid w:val="00965FE9"/>
    <w:rsid w:val="0096600E"/>
    <w:rsid w:val="00966012"/>
    <w:rsid w:val="0096608C"/>
    <w:rsid w:val="0096625D"/>
    <w:rsid w:val="009662E0"/>
    <w:rsid w:val="009663CD"/>
    <w:rsid w:val="00966505"/>
    <w:rsid w:val="009666AB"/>
    <w:rsid w:val="009666B5"/>
    <w:rsid w:val="009666D6"/>
    <w:rsid w:val="00966829"/>
    <w:rsid w:val="009668F3"/>
    <w:rsid w:val="009669CB"/>
    <w:rsid w:val="009669F0"/>
    <w:rsid w:val="00966AF2"/>
    <w:rsid w:val="00966AFF"/>
    <w:rsid w:val="00966B1E"/>
    <w:rsid w:val="00966C4D"/>
    <w:rsid w:val="00966CA0"/>
    <w:rsid w:val="00966D41"/>
    <w:rsid w:val="00966DBB"/>
    <w:rsid w:val="00966E61"/>
    <w:rsid w:val="00966EAC"/>
    <w:rsid w:val="009671D6"/>
    <w:rsid w:val="0096743F"/>
    <w:rsid w:val="0096746C"/>
    <w:rsid w:val="0096778B"/>
    <w:rsid w:val="00967792"/>
    <w:rsid w:val="0096785D"/>
    <w:rsid w:val="00967970"/>
    <w:rsid w:val="00967AC0"/>
    <w:rsid w:val="00967E30"/>
    <w:rsid w:val="00967F15"/>
    <w:rsid w:val="00967F90"/>
    <w:rsid w:val="00970034"/>
    <w:rsid w:val="00970053"/>
    <w:rsid w:val="00970451"/>
    <w:rsid w:val="00970460"/>
    <w:rsid w:val="009706EE"/>
    <w:rsid w:val="00970939"/>
    <w:rsid w:val="00970A0A"/>
    <w:rsid w:val="00970A2B"/>
    <w:rsid w:val="00970C2F"/>
    <w:rsid w:val="00970CAC"/>
    <w:rsid w:val="00970D3C"/>
    <w:rsid w:val="00970E40"/>
    <w:rsid w:val="00970F75"/>
    <w:rsid w:val="0097104C"/>
    <w:rsid w:val="009713FA"/>
    <w:rsid w:val="009714C8"/>
    <w:rsid w:val="0097158A"/>
    <w:rsid w:val="00971655"/>
    <w:rsid w:val="009718D5"/>
    <w:rsid w:val="0097191B"/>
    <w:rsid w:val="009719D5"/>
    <w:rsid w:val="00971A7B"/>
    <w:rsid w:val="00971D7E"/>
    <w:rsid w:val="00971EA2"/>
    <w:rsid w:val="00971EFA"/>
    <w:rsid w:val="00971F1A"/>
    <w:rsid w:val="00971FC3"/>
    <w:rsid w:val="00971FD7"/>
    <w:rsid w:val="0097214D"/>
    <w:rsid w:val="00972222"/>
    <w:rsid w:val="009722A1"/>
    <w:rsid w:val="009722F1"/>
    <w:rsid w:val="00972334"/>
    <w:rsid w:val="0097244C"/>
    <w:rsid w:val="00972617"/>
    <w:rsid w:val="00972662"/>
    <w:rsid w:val="0097282F"/>
    <w:rsid w:val="00972873"/>
    <w:rsid w:val="009728C5"/>
    <w:rsid w:val="00972AED"/>
    <w:rsid w:val="00972EE6"/>
    <w:rsid w:val="00973086"/>
    <w:rsid w:val="0097323A"/>
    <w:rsid w:val="00973263"/>
    <w:rsid w:val="00973719"/>
    <w:rsid w:val="00973755"/>
    <w:rsid w:val="009737FC"/>
    <w:rsid w:val="00973D4C"/>
    <w:rsid w:val="00973E44"/>
    <w:rsid w:val="00973FC4"/>
    <w:rsid w:val="00974043"/>
    <w:rsid w:val="009740E8"/>
    <w:rsid w:val="00974104"/>
    <w:rsid w:val="00974184"/>
    <w:rsid w:val="009741F1"/>
    <w:rsid w:val="0097432C"/>
    <w:rsid w:val="00974399"/>
    <w:rsid w:val="0097443F"/>
    <w:rsid w:val="00974562"/>
    <w:rsid w:val="009745D4"/>
    <w:rsid w:val="00974647"/>
    <w:rsid w:val="009746F2"/>
    <w:rsid w:val="00974805"/>
    <w:rsid w:val="009748C1"/>
    <w:rsid w:val="009748E7"/>
    <w:rsid w:val="00974AC4"/>
    <w:rsid w:val="00974B16"/>
    <w:rsid w:val="00974CBF"/>
    <w:rsid w:val="00974EAD"/>
    <w:rsid w:val="00974F37"/>
    <w:rsid w:val="009750A1"/>
    <w:rsid w:val="00975141"/>
    <w:rsid w:val="0097519C"/>
    <w:rsid w:val="009751F2"/>
    <w:rsid w:val="0097533E"/>
    <w:rsid w:val="00975365"/>
    <w:rsid w:val="0097561B"/>
    <w:rsid w:val="009756DD"/>
    <w:rsid w:val="0097578C"/>
    <w:rsid w:val="0097584A"/>
    <w:rsid w:val="0097592D"/>
    <w:rsid w:val="00975A20"/>
    <w:rsid w:val="00975A37"/>
    <w:rsid w:val="00975B42"/>
    <w:rsid w:val="00975B63"/>
    <w:rsid w:val="00975B81"/>
    <w:rsid w:val="00975B88"/>
    <w:rsid w:val="00975BC1"/>
    <w:rsid w:val="00975D54"/>
    <w:rsid w:val="00975DB4"/>
    <w:rsid w:val="00976164"/>
    <w:rsid w:val="0097616B"/>
    <w:rsid w:val="009761BA"/>
    <w:rsid w:val="00976360"/>
    <w:rsid w:val="00976474"/>
    <w:rsid w:val="0097647D"/>
    <w:rsid w:val="009764C6"/>
    <w:rsid w:val="009768E7"/>
    <w:rsid w:val="00976A78"/>
    <w:rsid w:val="00976BF7"/>
    <w:rsid w:val="00976C32"/>
    <w:rsid w:val="00976C87"/>
    <w:rsid w:val="0097700D"/>
    <w:rsid w:val="00977050"/>
    <w:rsid w:val="009771E7"/>
    <w:rsid w:val="00977209"/>
    <w:rsid w:val="00977467"/>
    <w:rsid w:val="00977603"/>
    <w:rsid w:val="00977621"/>
    <w:rsid w:val="0097765A"/>
    <w:rsid w:val="009777E6"/>
    <w:rsid w:val="00977BBC"/>
    <w:rsid w:val="00977C29"/>
    <w:rsid w:val="00977CC9"/>
    <w:rsid w:val="00977DE2"/>
    <w:rsid w:val="00977EC7"/>
    <w:rsid w:val="00977EE3"/>
    <w:rsid w:val="00977F10"/>
    <w:rsid w:val="00977F91"/>
    <w:rsid w:val="0098026A"/>
    <w:rsid w:val="00980462"/>
    <w:rsid w:val="0098047B"/>
    <w:rsid w:val="0098069D"/>
    <w:rsid w:val="009806EA"/>
    <w:rsid w:val="0098073C"/>
    <w:rsid w:val="009807D7"/>
    <w:rsid w:val="00980897"/>
    <w:rsid w:val="00980B6C"/>
    <w:rsid w:val="00980C5C"/>
    <w:rsid w:val="00980E1A"/>
    <w:rsid w:val="00980EAB"/>
    <w:rsid w:val="00980EE7"/>
    <w:rsid w:val="00981029"/>
    <w:rsid w:val="00981047"/>
    <w:rsid w:val="00981079"/>
    <w:rsid w:val="00981195"/>
    <w:rsid w:val="009812CA"/>
    <w:rsid w:val="009816FE"/>
    <w:rsid w:val="00981758"/>
    <w:rsid w:val="0098177C"/>
    <w:rsid w:val="009819BC"/>
    <w:rsid w:val="009819D9"/>
    <w:rsid w:val="00981A02"/>
    <w:rsid w:val="00981AB3"/>
    <w:rsid w:val="00981C00"/>
    <w:rsid w:val="00981C4B"/>
    <w:rsid w:val="00981C7E"/>
    <w:rsid w:val="00981E01"/>
    <w:rsid w:val="00981F62"/>
    <w:rsid w:val="009821A9"/>
    <w:rsid w:val="009821AD"/>
    <w:rsid w:val="00982247"/>
    <w:rsid w:val="00982286"/>
    <w:rsid w:val="0098249F"/>
    <w:rsid w:val="009826B5"/>
    <w:rsid w:val="00982C63"/>
    <w:rsid w:val="00982C64"/>
    <w:rsid w:val="00982D98"/>
    <w:rsid w:val="009833A4"/>
    <w:rsid w:val="009834C8"/>
    <w:rsid w:val="00983565"/>
    <w:rsid w:val="00983655"/>
    <w:rsid w:val="00983744"/>
    <w:rsid w:val="0098375F"/>
    <w:rsid w:val="00983782"/>
    <w:rsid w:val="00983C42"/>
    <w:rsid w:val="00983D23"/>
    <w:rsid w:val="00983D97"/>
    <w:rsid w:val="00983DE8"/>
    <w:rsid w:val="009842DD"/>
    <w:rsid w:val="0098434A"/>
    <w:rsid w:val="00984368"/>
    <w:rsid w:val="009843A7"/>
    <w:rsid w:val="00984424"/>
    <w:rsid w:val="00984990"/>
    <w:rsid w:val="00984AF8"/>
    <w:rsid w:val="00984CE4"/>
    <w:rsid w:val="00984DB5"/>
    <w:rsid w:val="00984E05"/>
    <w:rsid w:val="00984E4D"/>
    <w:rsid w:val="00984F18"/>
    <w:rsid w:val="00984F4B"/>
    <w:rsid w:val="009850F8"/>
    <w:rsid w:val="0098510B"/>
    <w:rsid w:val="0098514B"/>
    <w:rsid w:val="0098517D"/>
    <w:rsid w:val="009851B6"/>
    <w:rsid w:val="00985561"/>
    <w:rsid w:val="0098557B"/>
    <w:rsid w:val="0098565B"/>
    <w:rsid w:val="00985790"/>
    <w:rsid w:val="009857BC"/>
    <w:rsid w:val="00985A64"/>
    <w:rsid w:val="00985A67"/>
    <w:rsid w:val="00985B2E"/>
    <w:rsid w:val="00985BDA"/>
    <w:rsid w:val="00985C5D"/>
    <w:rsid w:val="00985C60"/>
    <w:rsid w:val="00985CCE"/>
    <w:rsid w:val="00985DF8"/>
    <w:rsid w:val="00985E9C"/>
    <w:rsid w:val="00985F6E"/>
    <w:rsid w:val="00986037"/>
    <w:rsid w:val="00986468"/>
    <w:rsid w:val="0098697C"/>
    <w:rsid w:val="00986998"/>
    <w:rsid w:val="0098713A"/>
    <w:rsid w:val="009871BE"/>
    <w:rsid w:val="00987212"/>
    <w:rsid w:val="00987286"/>
    <w:rsid w:val="0098737B"/>
    <w:rsid w:val="0098737F"/>
    <w:rsid w:val="0098748E"/>
    <w:rsid w:val="009874B0"/>
    <w:rsid w:val="00987658"/>
    <w:rsid w:val="00987755"/>
    <w:rsid w:val="009877D3"/>
    <w:rsid w:val="00987A7D"/>
    <w:rsid w:val="00987A9A"/>
    <w:rsid w:val="00987D5C"/>
    <w:rsid w:val="00987D81"/>
    <w:rsid w:val="00987DF4"/>
    <w:rsid w:val="00987EA2"/>
    <w:rsid w:val="00987FD9"/>
    <w:rsid w:val="00990034"/>
    <w:rsid w:val="00990054"/>
    <w:rsid w:val="00990230"/>
    <w:rsid w:val="0099038B"/>
    <w:rsid w:val="00990457"/>
    <w:rsid w:val="00990524"/>
    <w:rsid w:val="009905F9"/>
    <w:rsid w:val="00990612"/>
    <w:rsid w:val="0099073D"/>
    <w:rsid w:val="00990755"/>
    <w:rsid w:val="009907E0"/>
    <w:rsid w:val="00990B6A"/>
    <w:rsid w:val="00990B73"/>
    <w:rsid w:val="00990C22"/>
    <w:rsid w:val="00990DE8"/>
    <w:rsid w:val="00990F8E"/>
    <w:rsid w:val="009911D1"/>
    <w:rsid w:val="009914B4"/>
    <w:rsid w:val="00991502"/>
    <w:rsid w:val="00991582"/>
    <w:rsid w:val="009915BE"/>
    <w:rsid w:val="0099167F"/>
    <w:rsid w:val="009916E7"/>
    <w:rsid w:val="009918E8"/>
    <w:rsid w:val="00991912"/>
    <w:rsid w:val="00991B00"/>
    <w:rsid w:val="00991B39"/>
    <w:rsid w:val="00991B50"/>
    <w:rsid w:val="00991C72"/>
    <w:rsid w:val="00991ED8"/>
    <w:rsid w:val="0099204C"/>
    <w:rsid w:val="009921F0"/>
    <w:rsid w:val="009922D4"/>
    <w:rsid w:val="0099246B"/>
    <w:rsid w:val="009926F4"/>
    <w:rsid w:val="00992702"/>
    <w:rsid w:val="0099280C"/>
    <w:rsid w:val="00992913"/>
    <w:rsid w:val="0099293F"/>
    <w:rsid w:val="00992978"/>
    <w:rsid w:val="00992986"/>
    <w:rsid w:val="009929A0"/>
    <w:rsid w:val="00992B50"/>
    <w:rsid w:val="00992CB8"/>
    <w:rsid w:val="00992CC0"/>
    <w:rsid w:val="00992DC4"/>
    <w:rsid w:val="0099309D"/>
    <w:rsid w:val="009930DA"/>
    <w:rsid w:val="00993137"/>
    <w:rsid w:val="00993339"/>
    <w:rsid w:val="00993367"/>
    <w:rsid w:val="0099339A"/>
    <w:rsid w:val="009934AC"/>
    <w:rsid w:val="0099351F"/>
    <w:rsid w:val="00993538"/>
    <w:rsid w:val="009937C9"/>
    <w:rsid w:val="00993953"/>
    <w:rsid w:val="00993967"/>
    <w:rsid w:val="00993BC1"/>
    <w:rsid w:val="009941F4"/>
    <w:rsid w:val="0099429A"/>
    <w:rsid w:val="009942FD"/>
    <w:rsid w:val="00994562"/>
    <w:rsid w:val="00994718"/>
    <w:rsid w:val="009947F0"/>
    <w:rsid w:val="00994848"/>
    <w:rsid w:val="00994B4D"/>
    <w:rsid w:val="00994B60"/>
    <w:rsid w:val="00994C55"/>
    <w:rsid w:val="00994DE6"/>
    <w:rsid w:val="00995075"/>
    <w:rsid w:val="009950A4"/>
    <w:rsid w:val="00995177"/>
    <w:rsid w:val="0099524D"/>
    <w:rsid w:val="009952F7"/>
    <w:rsid w:val="00995415"/>
    <w:rsid w:val="009954B0"/>
    <w:rsid w:val="009955B1"/>
    <w:rsid w:val="00995746"/>
    <w:rsid w:val="00995789"/>
    <w:rsid w:val="00995BD4"/>
    <w:rsid w:val="00995CAF"/>
    <w:rsid w:val="00995ED6"/>
    <w:rsid w:val="00995F44"/>
    <w:rsid w:val="00996019"/>
    <w:rsid w:val="0099633D"/>
    <w:rsid w:val="00996350"/>
    <w:rsid w:val="00996466"/>
    <w:rsid w:val="009964C9"/>
    <w:rsid w:val="00996525"/>
    <w:rsid w:val="0099664F"/>
    <w:rsid w:val="009968A4"/>
    <w:rsid w:val="0099712B"/>
    <w:rsid w:val="0099728B"/>
    <w:rsid w:val="0099740F"/>
    <w:rsid w:val="0099788F"/>
    <w:rsid w:val="00997A3B"/>
    <w:rsid w:val="00997A72"/>
    <w:rsid w:val="00997B60"/>
    <w:rsid w:val="00997C16"/>
    <w:rsid w:val="00997CAC"/>
    <w:rsid w:val="00997E7A"/>
    <w:rsid w:val="009A0030"/>
    <w:rsid w:val="009A0084"/>
    <w:rsid w:val="009A0092"/>
    <w:rsid w:val="009A0161"/>
    <w:rsid w:val="009A0225"/>
    <w:rsid w:val="009A0462"/>
    <w:rsid w:val="009A048B"/>
    <w:rsid w:val="009A04C7"/>
    <w:rsid w:val="009A052C"/>
    <w:rsid w:val="009A0569"/>
    <w:rsid w:val="009A058C"/>
    <w:rsid w:val="009A0732"/>
    <w:rsid w:val="009A0757"/>
    <w:rsid w:val="009A078C"/>
    <w:rsid w:val="009A0990"/>
    <w:rsid w:val="009A09F2"/>
    <w:rsid w:val="009A0BBD"/>
    <w:rsid w:val="009A0D25"/>
    <w:rsid w:val="009A0F05"/>
    <w:rsid w:val="009A12A9"/>
    <w:rsid w:val="009A12AF"/>
    <w:rsid w:val="009A13DE"/>
    <w:rsid w:val="009A13E8"/>
    <w:rsid w:val="009A1440"/>
    <w:rsid w:val="009A168E"/>
    <w:rsid w:val="009A1760"/>
    <w:rsid w:val="009A1BA3"/>
    <w:rsid w:val="009A1BAD"/>
    <w:rsid w:val="009A1D17"/>
    <w:rsid w:val="009A1D54"/>
    <w:rsid w:val="009A1D9E"/>
    <w:rsid w:val="009A1E2B"/>
    <w:rsid w:val="009A1F5A"/>
    <w:rsid w:val="009A1FF7"/>
    <w:rsid w:val="009A2025"/>
    <w:rsid w:val="009A2156"/>
    <w:rsid w:val="009A2193"/>
    <w:rsid w:val="009A21CC"/>
    <w:rsid w:val="009A2238"/>
    <w:rsid w:val="009A2528"/>
    <w:rsid w:val="009A253D"/>
    <w:rsid w:val="009A2574"/>
    <w:rsid w:val="009A25A7"/>
    <w:rsid w:val="009A261C"/>
    <w:rsid w:val="009A276A"/>
    <w:rsid w:val="009A289E"/>
    <w:rsid w:val="009A2957"/>
    <w:rsid w:val="009A29ED"/>
    <w:rsid w:val="009A2B13"/>
    <w:rsid w:val="009A2D55"/>
    <w:rsid w:val="009A2DF8"/>
    <w:rsid w:val="009A3084"/>
    <w:rsid w:val="009A32A4"/>
    <w:rsid w:val="009A32B5"/>
    <w:rsid w:val="009A3395"/>
    <w:rsid w:val="009A339C"/>
    <w:rsid w:val="009A33B8"/>
    <w:rsid w:val="009A33D4"/>
    <w:rsid w:val="009A344C"/>
    <w:rsid w:val="009A3501"/>
    <w:rsid w:val="009A351A"/>
    <w:rsid w:val="009A35C5"/>
    <w:rsid w:val="009A37A2"/>
    <w:rsid w:val="009A37D7"/>
    <w:rsid w:val="009A3911"/>
    <w:rsid w:val="009A3F0A"/>
    <w:rsid w:val="009A40FD"/>
    <w:rsid w:val="009A415B"/>
    <w:rsid w:val="009A41E9"/>
    <w:rsid w:val="009A441D"/>
    <w:rsid w:val="009A4420"/>
    <w:rsid w:val="009A449E"/>
    <w:rsid w:val="009A4537"/>
    <w:rsid w:val="009A45F6"/>
    <w:rsid w:val="009A4610"/>
    <w:rsid w:val="009A4611"/>
    <w:rsid w:val="009A461B"/>
    <w:rsid w:val="009A464A"/>
    <w:rsid w:val="009A468B"/>
    <w:rsid w:val="009A4710"/>
    <w:rsid w:val="009A4880"/>
    <w:rsid w:val="009A4958"/>
    <w:rsid w:val="009A4965"/>
    <w:rsid w:val="009A4976"/>
    <w:rsid w:val="009A4AFC"/>
    <w:rsid w:val="009A4B18"/>
    <w:rsid w:val="009A4C11"/>
    <w:rsid w:val="009A4EAD"/>
    <w:rsid w:val="009A4EE6"/>
    <w:rsid w:val="009A4FFD"/>
    <w:rsid w:val="009A501D"/>
    <w:rsid w:val="009A533B"/>
    <w:rsid w:val="009A5360"/>
    <w:rsid w:val="009A557B"/>
    <w:rsid w:val="009A55BC"/>
    <w:rsid w:val="009A5D27"/>
    <w:rsid w:val="009A5DE6"/>
    <w:rsid w:val="009A5FD4"/>
    <w:rsid w:val="009A61E2"/>
    <w:rsid w:val="009A6291"/>
    <w:rsid w:val="009A6390"/>
    <w:rsid w:val="009A67BA"/>
    <w:rsid w:val="009A6AFB"/>
    <w:rsid w:val="009A6DA3"/>
    <w:rsid w:val="009A6E7E"/>
    <w:rsid w:val="009A7170"/>
    <w:rsid w:val="009A71CA"/>
    <w:rsid w:val="009A7229"/>
    <w:rsid w:val="009A7284"/>
    <w:rsid w:val="009A74F3"/>
    <w:rsid w:val="009A77F1"/>
    <w:rsid w:val="009A784D"/>
    <w:rsid w:val="009A7C78"/>
    <w:rsid w:val="009A7E27"/>
    <w:rsid w:val="009A7EA2"/>
    <w:rsid w:val="009A7F0F"/>
    <w:rsid w:val="009A7F3F"/>
    <w:rsid w:val="009B00F2"/>
    <w:rsid w:val="009B04D7"/>
    <w:rsid w:val="009B04D8"/>
    <w:rsid w:val="009B0582"/>
    <w:rsid w:val="009B05A3"/>
    <w:rsid w:val="009B0778"/>
    <w:rsid w:val="009B078D"/>
    <w:rsid w:val="009B08F6"/>
    <w:rsid w:val="009B0A2B"/>
    <w:rsid w:val="009B0C70"/>
    <w:rsid w:val="009B0DCB"/>
    <w:rsid w:val="009B0E68"/>
    <w:rsid w:val="009B10A3"/>
    <w:rsid w:val="009B117F"/>
    <w:rsid w:val="009B1210"/>
    <w:rsid w:val="009B1511"/>
    <w:rsid w:val="009B17D9"/>
    <w:rsid w:val="009B1855"/>
    <w:rsid w:val="009B197C"/>
    <w:rsid w:val="009B1983"/>
    <w:rsid w:val="009B1B4C"/>
    <w:rsid w:val="009B1B75"/>
    <w:rsid w:val="009B1E14"/>
    <w:rsid w:val="009B1EA4"/>
    <w:rsid w:val="009B1EDC"/>
    <w:rsid w:val="009B2301"/>
    <w:rsid w:val="009B232F"/>
    <w:rsid w:val="009B24C7"/>
    <w:rsid w:val="009B24F9"/>
    <w:rsid w:val="009B257E"/>
    <w:rsid w:val="009B27B2"/>
    <w:rsid w:val="009B27DF"/>
    <w:rsid w:val="009B2979"/>
    <w:rsid w:val="009B29F2"/>
    <w:rsid w:val="009B2A1A"/>
    <w:rsid w:val="009B2AAE"/>
    <w:rsid w:val="009B2CE6"/>
    <w:rsid w:val="009B2E2E"/>
    <w:rsid w:val="009B3128"/>
    <w:rsid w:val="009B31DB"/>
    <w:rsid w:val="009B327F"/>
    <w:rsid w:val="009B3374"/>
    <w:rsid w:val="009B3459"/>
    <w:rsid w:val="009B350E"/>
    <w:rsid w:val="009B35B9"/>
    <w:rsid w:val="009B3605"/>
    <w:rsid w:val="009B3746"/>
    <w:rsid w:val="009B3828"/>
    <w:rsid w:val="009B38B8"/>
    <w:rsid w:val="009B3945"/>
    <w:rsid w:val="009B395C"/>
    <w:rsid w:val="009B39E9"/>
    <w:rsid w:val="009B3A46"/>
    <w:rsid w:val="009B3EEC"/>
    <w:rsid w:val="009B4155"/>
    <w:rsid w:val="009B434A"/>
    <w:rsid w:val="009B4397"/>
    <w:rsid w:val="009B4430"/>
    <w:rsid w:val="009B44E8"/>
    <w:rsid w:val="009B44FF"/>
    <w:rsid w:val="009B468B"/>
    <w:rsid w:val="009B472E"/>
    <w:rsid w:val="009B473E"/>
    <w:rsid w:val="009B480E"/>
    <w:rsid w:val="009B4889"/>
    <w:rsid w:val="009B4968"/>
    <w:rsid w:val="009B498A"/>
    <w:rsid w:val="009B4C98"/>
    <w:rsid w:val="009B4CA3"/>
    <w:rsid w:val="009B508F"/>
    <w:rsid w:val="009B50BD"/>
    <w:rsid w:val="009B515B"/>
    <w:rsid w:val="009B56A9"/>
    <w:rsid w:val="009B577E"/>
    <w:rsid w:val="009B58B3"/>
    <w:rsid w:val="009B5988"/>
    <w:rsid w:val="009B599B"/>
    <w:rsid w:val="009B59A7"/>
    <w:rsid w:val="009B59B3"/>
    <w:rsid w:val="009B5BDD"/>
    <w:rsid w:val="009B5F4F"/>
    <w:rsid w:val="009B613F"/>
    <w:rsid w:val="009B6149"/>
    <w:rsid w:val="009B6178"/>
    <w:rsid w:val="009B62FD"/>
    <w:rsid w:val="009B6355"/>
    <w:rsid w:val="009B64EC"/>
    <w:rsid w:val="009B67B7"/>
    <w:rsid w:val="009B67C7"/>
    <w:rsid w:val="009B6839"/>
    <w:rsid w:val="009B6859"/>
    <w:rsid w:val="009B688D"/>
    <w:rsid w:val="009B6C56"/>
    <w:rsid w:val="009B6C97"/>
    <w:rsid w:val="009B6D3C"/>
    <w:rsid w:val="009B6DAD"/>
    <w:rsid w:val="009B6E78"/>
    <w:rsid w:val="009B6E87"/>
    <w:rsid w:val="009B6EE9"/>
    <w:rsid w:val="009B6F28"/>
    <w:rsid w:val="009B71AE"/>
    <w:rsid w:val="009B72CD"/>
    <w:rsid w:val="009B7625"/>
    <w:rsid w:val="009B7649"/>
    <w:rsid w:val="009B79DE"/>
    <w:rsid w:val="009B7D16"/>
    <w:rsid w:val="009B7ED3"/>
    <w:rsid w:val="009B7F52"/>
    <w:rsid w:val="009C0095"/>
    <w:rsid w:val="009C00CC"/>
    <w:rsid w:val="009C0124"/>
    <w:rsid w:val="009C01CF"/>
    <w:rsid w:val="009C0422"/>
    <w:rsid w:val="009C04D4"/>
    <w:rsid w:val="009C04DC"/>
    <w:rsid w:val="009C077D"/>
    <w:rsid w:val="009C091C"/>
    <w:rsid w:val="009C0A47"/>
    <w:rsid w:val="009C0B37"/>
    <w:rsid w:val="009C0DAD"/>
    <w:rsid w:val="009C0EEC"/>
    <w:rsid w:val="009C0FBA"/>
    <w:rsid w:val="009C10A0"/>
    <w:rsid w:val="009C10AB"/>
    <w:rsid w:val="009C11EF"/>
    <w:rsid w:val="009C145D"/>
    <w:rsid w:val="009C152E"/>
    <w:rsid w:val="009C1557"/>
    <w:rsid w:val="009C1584"/>
    <w:rsid w:val="009C1785"/>
    <w:rsid w:val="009C17D6"/>
    <w:rsid w:val="009C17DE"/>
    <w:rsid w:val="009C181E"/>
    <w:rsid w:val="009C1AB7"/>
    <w:rsid w:val="009C1CBC"/>
    <w:rsid w:val="009C1D81"/>
    <w:rsid w:val="009C1E47"/>
    <w:rsid w:val="009C1EB8"/>
    <w:rsid w:val="009C1EE0"/>
    <w:rsid w:val="009C20E7"/>
    <w:rsid w:val="009C2261"/>
    <w:rsid w:val="009C2431"/>
    <w:rsid w:val="009C2503"/>
    <w:rsid w:val="009C264E"/>
    <w:rsid w:val="009C268D"/>
    <w:rsid w:val="009C281B"/>
    <w:rsid w:val="009C2913"/>
    <w:rsid w:val="009C2BD6"/>
    <w:rsid w:val="009C2E37"/>
    <w:rsid w:val="009C3050"/>
    <w:rsid w:val="009C3133"/>
    <w:rsid w:val="009C328D"/>
    <w:rsid w:val="009C35B3"/>
    <w:rsid w:val="009C3749"/>
    <w:rsid w:val="009C378C"/>
    <w:rsid w:val="009C37A9"/>
    <w:rsid w:val="009C37F3"/>
    <w:rsid w:val="009C38BD"/>
    <w:rsid w:val="009C3930"/>
    <w:rsid w:val="009C3A31"/>
    <w:rsid w:val="009C3A73"/>
    <w:rsid w:val="009C3C22"/>
    <w:rsid w:val="009C3D00"/>
    <w:rsid w:val="009C4139"/>
    <w:rsid w:val="009C415F"/>
    <w:rsid w:val="009C420D"/>
    <w:rsid w:val="009C421D"/>
    <w:rsid w:val="009C438F"/>
    <w:rsid w:val="009C462C"/>
    <w:rsid w:val="009C46B8"/>
    <w:rsid w:val="009C47CB"/>
    <w:rsid w:val="009C47D7"/>
    <w:rsid w:val="009C48F6"/>
    <w:rsid w:val="009C4947"/>
    <w:rsid w:val="009C49EC"/>
    <w:rsid w:val="009C4B7B"/>
    <w:rsid w:val="009C4DB1"/>
    <w:rsid w:val="009C4E17"/>
    <w:rsid w:val="009C4EA2"/>
    <w:rsid w:val="009C504B"/>
    <w:rsid w:val="009C512C"/>
    <w:rsid w:val="009C5158"/>
    <w:rsid w:val="009C5269"/>
    <w:rsid w:val="009C55E6"/>
    <w:rsid w:val="009C58BB"/>
    <w:rsid w:val="009C5A48"/>
    <w:rsid w:val="009C5ABA"/>
    <w:rsid w:val="009C5B4C"/>
    <w:rsid w:val="009C5B5C"/>
    <w:rsid w:val="009C5BC2"/>
    <w:rsid w:val="009C5C00"/>
    <w:rsid w:val="009C5CA0"/>
    <w:rsid w:val="009C5E10"/>
    <w:rsid w:val="009C6037"/>
    <w:rsid w:val="009C60F6"/>
    <w:rsid w:val="009C6166"/>
    <w:rsid w:val="009C6190"/>
    <w:rsid w:val="009C621D"/>
    <w:rsid w:val="009C6283"/>
    <w:rsid w:val="009C631D"/>
    <w:rsid w:val="009C6326"/>
    <w:rsid w:val="009C64FB"/>
    <w:rsid w:val="009C6622"/>
    <w:rsid w:val="009C677A"/>
    <w:rsid w:val="009C6830"/>
    <w:rsid w:val="009C6978"/>
    <w:rsid w:val="009C6AD4"/>
    <w:rsid w:val="009C6F36"/>
    <w:rsid w:val="009C7023"/>
    <w:rsid w:val="009C716D"/>
    <w:rsid w:val="009C7685"/>
    <w:rsid w:val="009C77ED"/>
    <w:rsid w:val="009C7A6E"/>
    <w:rsid w:val="009C7A76"/>
    <w:rsid w:val="009C7C3E"/>
    <w:rsid w:val="009C7DAD"/>
    <w:rsid w:val="009C7ED5"/>
    <w:rsid w:val="009D0124"/>
    <w:rsid w:val="009D0361"/>
    <w:rsid w:val="009D0481"/>
    <w:rsid w:val="009D082B"/>
    <w:rsid w:val="009D0BA1"/>
    <w:rsid w:val="009D0BED"/>
    <w:rsid w:val="009D0D39"/>
    <w:rsid w:val="009D11AF"/>
    <w:rsid w:val="009D1314"/>
    <w:rsid w:val="009D131F"/>
    <w:rsid w:val="009D1415"/>
    <w:rsid w:val="009D143D"/>
    <w:rsid w:val="009D156B"/>
    <w:rsid w:val="009D1622"/>
    <w:rsid w:val="009D16F7"/>
    <w:rsid w:val="009D1784"/>
    <w:rsid w:val="009D180A"/>
    <w:rsid w:val="009D18C4"/>
    <w:rsid w:val="009D1AE7"/>
    <w:rsid w:val="009D1D4C"/>
    <w:rsid w:val="009D1DFF"/>
    <w:rsid w:val="009D1F71"/>
    <w:rsid w:val="009D202E"/>
    <w:rsid w:val="009D20BD"/>
    <w:rsid w:val="009D2171"/>
    <w:rsid w:val="009D2227"/>
    <w:rsid w:val="009D22F0"/>
    <w:rsid w:val="009D232A"/>
    <w:rsid w:val="009D24B1"/>
    <w:rsid w:val="009D2534"/>
    <w:rsid w:val="009D25AE"/>
    <w:rsid w:val="009D2616"/>
    <w:rsid w:val="009D27B4"/>
    <w:rsid w:val="009D2852"/>
    <w:rsid w:val="009D293C"/>
    <w:rsid w:val="009D2945"/>
    <w:rsid w:val="009D2A1F"/>
    <w:rsid w:val="009D2BB2"/>
    <w:rsid w:val="009D2C15"/>
    <w:rsid w:val="009D2C74"/>
    <w:rsid w:val="009D2F23"/>
    <w:rsid w:val="009D3496"/>
    <w:rsid w:val="009D34BA"/>
    <w:rsid w:val="009D34DB"/>
    <w:rsid w:val="009D35C7"/>
    <w:rsid w:val="009D3738"/>
    <w:rsid w:val="009D37FB"/>
    <w:rsid w:val="009D3805"/>
    <w:rsid w:val="009D38EF"/>
    <w:rsid w:val="009D3951"/>
    <w:rsid w:val="009D39BA"/>
    <w:rsid w:val="009D3CBE"/>
    <w:rsid w:val="009D3E27"/>
    <w:rsid w:val="009D3EBB"/>
    <w:rsid w:val="009D3FF9"/>
    <w:rsid w:val="009D4094"/>
    <w:rsid w:val="009D40A3"/>
    <w:rsid w:val="009D429A"/>
    <w:rsid w:val="009D42DB"/>
    <w:rsid w:val="009D450E"/>
    <w:rsid w:val="009D45A0"/>
    <w:rsid w:val="009D45DB"/>
    <w:rsid w:val="009D472D"/>
    <w:rsid w:val="009D4B96"/>
    <w:rsid w:val="009D4BE2"/>
    <w:rsid w:val="009D4D07"/>
    <w:rsid w:val="009D4F0F"/>
    <w:rsid w:val="009D4FFB"/>
    <w:rsid w:val="009D4FFC"/>
    <w:rsid w:val="009D52F4"/>
    <w:rsid w:val="009D52F7"/>
    <w:rsid w:val="009D53B8"/>
    <w:rsid w:val="009D55F5"/>
    <w:rsid w:val="009D5774"/>
    <w:rsid w:val="009D57E4"/>
    <w:rsid w:val="009D5889"/>
    <w:rsid w:val="009D5893"/>
    <w:rsid w:val="009D5B29"/>
    <w:rsid w:val="009D5B5B"/>
    <w:rsid w:val="009D5D03"/>
    <w:rsid w:val="009D5E15"/>
    <w:rsid w:val="009D5ECA"/>
    <w:rsid w:val="009D5F72"/>
    <w:rsid w:val="009D605C"/>
    <w:rsid w:val="009D638C"/>
    <w:rsid w:val="009D6390"/>
    <w:rsid w:val="009D63DA"/>
    <w:rsid w:val="009D6579"/>
    <w:rsid w:val="009D66D1"/>
    <w:rsid w:val="009D6774"/>
    <w:rsid w:val="009D689A"/>
    <w:rsid w:val="009D6ACC"/>
    <w:rsid w:val="009D6B5E"/>
    <w:rsid w:val="009D6B63"/>
    <w:rsid w:val="009D6C4D"/>
    <w:rsid w:val="009D6D9E"/>
    <w:rsid w:val="009D6DA4"/>
    <w:rsid w:val="009D6EC4"/>
    <w:rsid w:val="009D6F6D"/>
    <w:rsid w:val="009D6F96"/>
    <w:rsid w:val="009D7477"/>
    <w:rsid w:val="009D74AB"/>
    <w:rsid w:val="009D74B7"/>
    <w:rsid w:val="009D7788"/>
    <w:rsid w:val="009D7856"/>
    <w:rsid w:val="009D78E4"/>
    <w:rsid w:val="009D7975"/>
    <w:rsid w:val="009D79EC"/>
    <w:rsid w:val="009D7AC9"/>
    <w:rsid w:val="009D7C95"/>
    <w:rsid w:val="009D7DD1"/>
    <w:rsid w:val="009D7F63"/>
    <w:rsid w:val="009E0178"/>
    <w:rsid w:val="009E0380"/>
    <w:rsid w:val="009E048A"/>
    <w:rsid w:val="009E051B"/>
    <w:rsid w:val="009E0531"/>
    <w:rsid w:val="009E061B"/>
    <w:rsid w:val="009E0751"/>
    <w:rsid w:val="009E0764"/>
    <w:rsid w:val="009E099F"/>
    <w:rsid w:val="009E0BC0"/>
    <w:rsid w:val="009E0CC5"/>
    <w:rsid w:val="009E0E00"/>
    <w:rsid w:val="009E0E2A"/>
    <w:rsid w:val="009E0EBB"/>
    <w:rsid w:val="009E0F9B"/>
    <w:rsid w:val="009E1238"/>
    <w:rsid w:val="009E12D6"/>
    <w:rsid w:val="009E1421"/>
    <w:rsid w:val="009E1457"/>
    <w:rsid w:val="009E1796"/>
    <w:rsid w:val="009E19F0"/>
    <w:rsid w:val="009E1A25"/>
    <w:rsid w:val="009E1AA2"/>
    <w:rsid w:val="009E1B86"/>
    <w:rsid w:val="009E1C85"/>
    <w:rsid w:val="009E1D0D"/>
    <w:rsid w:val="009E1DEB"/>
    <w:rsid w:val="009E1E24"/>
    <w:rsid w:val="009E1EED"/>
    <w:rsid w:val="009E1EF2"/>
    <w:rsid w:val="009E1FF9"/>
    <w:rsid w:val="009E2007"/>
    <w:rsid w:val="009E204C"/>
    <w:rsid w:val="009E209E"/>
    <w:rsid w:val="009E23D9"/>
    <w:rsid w:val="009E258B"/>
    <w:rsid w:val="009E27A5"/>
    <w:rsid w:val="009E287C"/>
    <w:rsid w:val="009E2893"/>
    <w:rsid w:val="009E28AA"/>
    <w:rsid w:val="009E2909"/>
    <w:rsid w:val="009E29B7"/>
    <w:rsid w:val="009E2AA2"/>
    <w:rsid w:val="009E2B79"/>
    <w:rsid w:val="009E2C93"/>
    <w:rsid w:val="009E2CCD"/>
    <w:rsid w:val="009E302E"/>
    <w:rsid w:val="009E3257"/>
    <w:rsid w:val="009E32B8"/>
    <w:rsid w:val="009E32D1"/>
    <w:rsid w:val="009E334F"/>
    <w:rsid w:val="009E33DB"/>
    <w:rsid w:val="009E3635"/>
    <w:rsid w:val="009E379B"/>
    <w:rsid w:val="009E3844"/>
    <w:rsid w:val="009E38B5"/>
    <w:rsid w:val="009E3B84"/>
    <w:rsid w:val="009E3B95"/>
    <w:rsid w:val="009E3CA3"/>
    <w:rsid w:val="009E3D64"/>
    <w:rsid w:val="009E3E16"/>
    <w:rsid w:val="009E3E7A"/>
    <w:rsid w:val="009E3F46"/>
    <w:rsid w:val="009E4127"/>
    <w:rsid w:val="009E41A3"/>
    <w:rsid w:val="009E41F2"/>
    <w:rsid w:val="009E43CB"/>
    <w:rsid w:val="009E43D1"/>
    <w:rsid w:val="009E4426"/>
    <w:rsid w:val="009E444E"/>
    <w:rsid w:val="009E4512"/>
    <w:rsid w:val="009E454C"/>
    <w:rsid w:val="009E45D1"/>
    <w:rsid w:val="009E4637"/>
    <w:rsid w:val="009E46FC"/>
    <w:rsid w:val="009E494C"/>
    <w:rsid w:val="009E4D99"/>
    <w:rsid w:val="009E4E5C"/>
    <w:rsid w:val="009E5023"/>
    <w:rsid w:val="009E51A6"/>
    <w:rsid w:val="009E51C0"/>
    <w:rsid w:val="009E51EE"/>
    <w:rsid w:val="009E526E"/>
    <w:rsid w:val="009E52E6"/>
    <w:rsid w:val="009E5309"/>
    <w:rsid w:val="009E5337"/>
    <w:rsid w:val="009E5393"/>
    <w:rsid w:val="009E5621"/>
    <w:rsid w:val="009E566C"/>
    <w:rsid w:val="009E56D7"/>
    <w:rsid w:val="009E588E"/>
    <w:rsid w:val="009E59B4"/>
    <w:rsid w:val="009E5BF6"/>
    <w:rsid w:val="009E5CE4"/>
    <w:rsid w:val="009E5DC4"/>
    <w:rsid w:val="009E5FA8"/>
    <w:rsid w:val="009E617C"/>
    <w:rsid w:val="009E62BA"/>
    <w:rsid w:val="009E632D"/>
    <w:rsid w:val="009E635A"/>
    <w:rsid w:val="009E6394"/>
    <w:rsid w:val="009E63E7"/>
    <w:rsid w:val="009E6528"/>
    <w:rsid w:val="009E65EC"/>
    <w:rsid w:val="009E6690"/>
    <w:rsid w:val="009E6897"/>
    <w:rsid w:val="009E68A2"/>
    <w:rsid w:val="009E6AAE"/>
    <w:rsid w:val="009E6E43"/>
    <w:rsid w:val="009E6E47"/>
    <w:rsid w:val="009E6F60"/>
    <w:rsid w:val="009E6FB7"/>
    <w:rsid w:val="009E6FC3"/>
    <w:rsid w:val="009E72E1"/>
    <w:rsid w:val="009E72EB"/>
    <w:rsid w:val="009E738A"/>
    <w:rsid w:val="009E7557"/>
    <w:rsid w:val="009E7598"/>
    <w:rsid w:val="009E782D"/>
    <w:rsid w:val="009E79A8"/>
    <w:rsid w:val="009E79F5"/>
    <w:rsid w:val="009E7C8F"/>
    <w:rsid w:val="009E7D7E"/>
    <w:rsid w:val="009E7E94"/>
    <w:rsid w:val="009E7FA4"/>
    <w:rsid w:val="009F0094"/>
    <w:rsid w:val="009F023A"/>
    <w:rsid w:val="009F0307"/>
    <w:rsid w:val="009F03DF"/>
    <w:rsid w:val="009F05DB"/>
    <w:rsid w:val="009F0733"/>
    <w:rsid w:val="009F08F7"/>
    <w:rsid w:val="009F0978"/>
    <w:rsid w:val="009F097B"/>
    <w:rsid w:val="009F0A96"/>
    <w:rsid w:val="009F0BA4"/>
    <w:rsid w:val="009F0E50"/>
    <w:rsid w:val="009F1612"/>
    <w:rsid w:val="009F16E0"/>
    <w:rsid w:val="009F1960"/>
    <w:rsid w:val="009F1CA9"/>
    <w:rsid w:val="009F1E34"/>
    <w:rsid w:val="009F208A"/>
    <w:rsid w:val="009F2569"/>
    <w:rsid w:val="009F259F"/>
    <w:rsid w:val="009F2708"/>
    <w:rsid w:val="009F27E8"/>
    <w:rsid w:val="009F2B13"/>
    <w:rsid w:val="009F2B1C"/>
    <w:rsid w:val="009F2B96"/>
    <w:rsid w:val="009F2D2F"/>
    <w:rsid w:val="009F2D8B"/>
    <w:rsid w:val="009F2ECC"/>
    <w:rsid w:val="009F307A"/>
    <w:rsid w:val="009F30FF"/>
    <w:rsid w:val="009F3130"/>
    <w:rsid w:val="009F3162"/>
    <w:rsid w:val="009F31EB"/>
    <w:rsid w:val="009F3415"/>
    <w:rsid w:val="009F3472"/>
    <w:rsid w:val="009F347C"/>
    <w:rsid w:val="009F3493"/>
    <w:rsid w:val="009F359F"/>
    <w:rsid w:val="009F3610"/>
    <w:rsid w:val="009F3787"/>
    <w:rsid w:val="009F39C0"/>
    <w:rsid w:val="009F3AF1"/>
    <w:rsid w:val="009F3DCB"/>
    <w:rsid w:val="009F3DDD"/>
    <w:rsid w:val="009F3EDE"/>
    <w:rsid w:val="009F3FA5"/>
    <w:rsid w:val="009F3FCB"/>
    <w:rsid w:val="009F4022"/>
    <w:rsid w:val="009F418A"/>
    <w:rsid w:val="009F4382"/>
    <w:rsid w:val="009F45EF"/>
    <w:rsid w:val="009F46A6"/>
    <w:rsid w:val="009F4C48"/>
    <w:rsid w:val="009F4DDD"/>
    <w:rsid w:val="009F4E4A"/>
    <w:rsid w:val="009F5091"/>
    <w:rsid w:val="009F5525"/>
    <w:rsid w:val="009F56D2"/>
    <w:rsid w:val="009F56D4"/>
    <w:rsid w:val="009F5830"/>
    <w:rsid w:val="009F5A78"/>
    <w:rsid w:val="009F5BE4"/>
    <w:rsid w:val="009F5E04"/>
    <w:rsid w:val="009F5E27"/>
    <w:rsid w:val="009F5E46"/>
    <w:rsid w:val="009F5E72"/>
    <w:rsid w:val="009F5F4B"/>
    <w:rsid w:val="009F5FEF"/>
    <w:rsid w:val="009F5FF6"/>
    <w:rsid w:val="009F627A"/>
    <w:rsid w:val="009F6300"/>
    <w:rsid w:val="009F636F"/>
    <w:rsid w:val="009F63EB"/>
    <w:rsid w:val="009F6515"/>
    <w:rsid w:val="009F659E"/>
    <w:rsid w:val="009F65BD"/>
    <w:rsid w:val="009F671A"/>
    <w:rsid w:val="009F690E"/>
    <w:rsid w:val="009F6912"/>
    <w:rsid w:val="009F6962"/>
    <w:rsid w:val="009F6B67"/>
    <w:rsid w:val="009F6C38"/>
    <w:rsid w:val="009F6F14"/>
    <w:rsid w:val="009F7133"/>
    <w:rsid w:val="009F73A4"/>
    <w:rsid w:val="009F73C3"/>
    <w:rsid w:val="009F7426"/>
    <w:rsid w:val="009F7459"/>
    <w:rsid w:val="009F74F4"/>
    <w:rsid w:val="009F75B2"/>
    <w:rsid w:val="009F760F"/>
    <w:rsid w:val="009F7652"/>
    <w:rsid w:val="009F78BE"/>
    <w:rsid w:val="009F79B0"/>
    <w:rsid w:val="009F79ED"/>
    <w:rsid w:val="009F7B8E"/>
    <w:rsid w:val="009F7CF7"/>
    <w:rsid w:val="009F7DC0"/>
    <w:rsid w:val="009F7FC1"/>
    <w:rsid w:val="00A00221"/>
    <w:rsid w:val="00A0023E"/>
    <w:rsid w:val="00A002B5"/>
    <w:rsid w:val="00A00399"/>
    <w:rsid w:val="00A003D9"/>
    <w:rsid w:val="00A0046A"/>
    <w:rsid w:val="00A00559"/>
    <w:rsid w:val="00A005C5"/>
    <w:rsid w:val="00A0067D"/>
    <w:rsid w:val="00A006A6"/>
    <w:rsid w:val="00A006AE"/>
    <w:rsid w:val="00A0077D"/>
    <w:rsid w:val="00A0082C"/>
    <w:rsid w:val="00A00946"/>
    <w:rsid w:val="00A0099E"/>
    <w:rsid w:val="00A00B19"/>
    <w:rsid w:val="00A00B37"/>
    <w:rsid w:val="00A00B75"/>
    <w:rsid w:val="00A00B7D"/>
    <w:rsid w:val="00A00C33"/>
    <w:rsid w:val="00A00D3D"/>
    <w:rsid w:val="00A00DB0"/>
    <w:rsid w:val="00A00ECD"/>
    <w:rsid w:val="00A00F02"/>
    <w:rsid w:val="00A00F53"/>
    <w:rsid w:val="00A00FF9"/>
    <w:rsid w:val="00A01023"/>
    <w:rsid w:val="00A01088"/>
    <w:rsid w:val="00A0118A"/>
    <w:rsid w:val="00A013AF"/>
    <w:rsid w:val="00A015E8"/>
    <w:rsid w:val="00A016A4"/>
    <w:rsid w:val="00A01702"/>
    <w:rsid w:val="00A01708"/>
    <w:rsid w:val="00A0185C"/>
    <w:rsid w:val="00A01B40"/>
    <w:rsid w:val="00A01C96"/>
    <w:rsid w:val="00A01DA3"/>
    <w:rsid w:val="00A0207B"/>
    <w:rsid w:val="00A020EB"/>
    <w:rsid w:val="00A022F5"/>
    <w:rsid w:val="00A02377"/>
    <w:rsid w:val="00A023FE"/>
    <w:rsid w:val="00A0255E"/>
    <w:rsid w:val="00A025AF"/>
    <w:rsid w:val="00A02615"/>
    <w:rsid w:val="00A0278F"/>
    <w:rsid w:val="00A02BA5"/>
    <w:rsid w:val="00A02BB2"/>
    <w:rsid w:val="00A02C95"/>
    <w:rsid w:val="00A02D57"/>
    <w:rsid w:val="00A02D8D"/>
    <w:rsid w:val="00A02E88"/>
    <w:rsid w:val="00A03053"/>
    <w:rsid w:val="00A031D0"/>
    <w:rsid w:val="00A031ED"/>
    <w:rsid w:val="00A03296"/>
    <w:rsid w:val="00A03453"/>
    <w:rsid w:val="00A034D6"/>
    <w:rsid w:val="00A035EF"/>
    <w:rsid w:val="00A03680"/>
    <w:rsid w:val="00A036DD"/>
    <w:rsid w:val="00A03854"/>
    <w:rsid w:val="00A03A09"/>
    <w:rsid w:val="00A03ADD"/>
    <w:rsid w:val="00A03C67"/>
    <w:rsid w:val="00A03D8A"/>
    <w:rsid w:val="00A03E52"/>
    <w:rsid w:val="00A03EB6"/>
    <w:rsid w:val="00A0415E"/>
    <w:rsid w:val="00A0430B"/>
    <w:rsid w:val="00A04322"/>
    <w:rsid w:val="00A0455A"/>
    <w:rsid w:val="00A045E2"/>
    <w:rsid w:val="00A0463E"/>
    <w:rsid w:val="00A0475B"/>
    <w:rsid w:val="00A047D6"/>
    <w:rsid w:val="00A047F3"/>
    <w:rsid w:val="00A04845"/>
    <w:rsid w:val="00A04A63"/>
    <w:rsid w:val="00A04B75"/>
    <w:rsid w:val="00A04B87"/>
    <w:rsid w:val="00A04D87"/>
    <w:rsid w:val="00A04FB6"/>
    <w:rsid w:val="00A04FF0"/>
    <w:rsid w:val="00A050AA"/>
    <w:rsid w:val="00A05157"/>
    <w:rsid w:val="00A052E1"/>
    <w:rsid w:val="00A0537E"/>
    <w:rsid w:val="00A05496"/>
    <w:rsid w:val="00A054ED"/>
    <w:rsid w:val="00A05909"/>
    <w:rsid w:val="00A05A6E"/>
    <w:rsid w:val="00A05AD5"/>
    <w:rsid w:val="00A05E19"/>
    <w:rsid w:val="00A061A8"/>
    <w:rsid w:val="00A061EC"/>
    <w:rsid w:val="00A0620B"/>
    <w:rsid w:val="00A0635A"/>
    <w:rsid w:val="00A06465"/>
    <w:rsid w:val="00A06480"/>
    <w:rsid w:val="00A06591"/>
    <w:rsid w:val="00A065E9"/>
    <w:rsid w:val="00A067C1"/>
    <w:rsid w:val="00A0699E"/>
    <w:rsid w:val="00A06AB4"/>
    <w:rsid w:val="00A06E1E"/>
    <w:rsid w:val="00A06FAB"/>
    <w:rsid w:val="00A071DD"/>
    <w:rsid w:val="00A07216"/>
    <w:rsid w:val="00A0726C"/>
    <w:rsid w:val="00A0733E"/>
    <w:rsid w:val="00A073C8"/>
    <w:rsid w:val="00A0748A"/>
    <w:rsid w:val="00A075D3"/>
    <w:rsid w:val="00A0762C"/>
    <w:rsid w:val="00A07652"/>
    <w:rsid w:val="00A077B1"/>
    <w:rsid w:val="00A0781D"/>
    <w:rsid w:val="00A0798A"/>
    <w:rsid w:val="00A07A90"/>
    <w:rsid w:val="00A07B58"/>
    <w:rsid w:val="00A07BCF"/>
    <w:rsid w:val="00A07C1B"/>
    <w:rsid w:val="00A07EA7"/>
    <w:rsid w:val="00A07EBC"/>
    <w:rsid w:val="00A07F03"/>
    <w:rsid w:val="00A07F63"/>
    <w:rsid w:val="00A1000D"/>
    <w:rsid w:val="00A10029"/>
    <w:rsid w:val="00A1015B"/>
    <w:rsid w:val="00A10482"/>
    <w:rsid w:val="00A10578"/>
    <w:rsid w:val="00A105DA"/>
    <w:rsid w:val="00A10614"/>
    <w:rsid w:val="00A1077D"/>
    <w:rsid w:val="00A109CC"/>
    <w:rsid w:val="00A10AFA"/>
    <w:rsid w:val="00A10D71"/>
    <w:rsid w:val="00A10DF7"/>
    <w:rsid w:val="00A10E7D"/>
    <w:rsid w:val="00A10F1B"/>
    <w:rsid w:val="00A10F34"/>
    <w:rsid w:val="00A1102A"/>
    <w:rsid w:val="00A11155"/>
    <w:rsid w:val="00A11167"/>
    <w:rsid w:val="00A111A0"/>
    <w:rsid w:val="00A112E8"/>
    <w:rsid w:val="00A11315"/>
    <w:rsid w:val="00A11407"/>
    <w:rsid w:val="00A1174D"/>
    <w:rsid w:val="00A11882"/>
    <w:rsid w:val="00A118F4"/>
    <w:rsid w:val="00A118F9"/>
    <w:rsid w:val="00A11925"/>
    <w:rsid w:val="00A1193B"/>
    <w:rsid w:val="00A11BE1"/>
    <w:rsid w:val="00A11C85"/>
    <w:rsid w:val="00A11D76"/>
    <w:rsid w:val="00A11E05"/>
    <w:rsid w:val="00A11E9B"/>
    <w:rsid w:val="00A11FC9"/>
    <w:rsid w:val="00A1235C"/>
    <w:rsid w:val="00A123AA"/>
    <w:rsid w:val="00A123C0"/>
    <w:rsid w:val="00A123EA"/>
    <w:rsid w:val="00A1246A"/>
    <w:rsid w:val="00A1250A"/>
    <w:rsid w:val="00A125E9"/>
    <w:rsid w:val="00A126F3"/>
    <w:rsid w:val="00A12742"/>
    <w:rsid w:val="00A127FB"/>
    <w:rsid w:val="00A1291A"/>
    <w:rsid w:val="00A12F2C"/>
    <w:rsid w:val="00A130DB"/>
    <w:rsid w:val="00A131F5"/>
    <w:rsid w:val="00A13231"/>
    <w:rsid w:val="00A134D5"/>
    <w:rsid w:val="00A13768"/>
    <w:rsid w:val="00A13913"/>
    <w:rsid w:val="00A13B2E"/>
    <w:rsid w:val="00A13BB8"/>
    <w:rsid w:val="00A143A2"/>
    <w:rsid w:val="00A143B0"/>
    <w:rsid w:val="00A14646"/>
    <w:rsid w:val="00A1466C"/>
    <w:rsid w:val="00A14821"/>
    <w:rsid w:val="00A1493B"/>
    <w:rsid w:val="00A14969"/>
    <w:rsid w:val="00A14A03"/>
    <w:rsid w:val="00A14A67"/>
    <w:rsid w:val="00A14AA1"/>
    <w:rsid w:val="00A14AB2"/>
    <w:rsid w:val="00A14D60"/>
    <w:rsid w:val="00A14E2C"/>
    <w:rsid w:val="00A14FAA"/>
    <w:rsid w:val="00A15179"/>
    <w:rsid w:val="00A1557B"/>
    <w:rsid w:val="00A1558F"/>
    <w:rsid w:val="00A1561F"/>
    <w:rsid w:val="00A15672"/>
    <w:rsid w:val="00A156BF"/>
    <w:rsid w:val="00A15842"/>
    <w:rsid w:val="00A15973"/>
    <w:rsid w:val="00A159B3"/>
    <w:rsid w:val="00A159B5"/>
    <w:rsid w:val="00A15AB0"/>
    <w:rsid w:val="00A15ACF"/>
    <w:rsid w:val="00A15CC5"/>
    <w:rsid w:val="00A15CD5"/>
    <w:rsid w:val="00A15E59"/>
    <w:rsid w:val="00A15ECB"/>
    <w:rsid w:val="00A15F7B"/>
    <w:rsid w:val="00A16324"/>
    <w:rsid w:val="00A1644F"/>
    <w:rsid w:val="00A1673F"/>
    <w:rsid w:val="00A16791"/>
    <w:rsid w:val="00A16815"/>
    <w:rsid w:val="00A1683C"/>
    <w:rsid w:val="00A1693E"/>
    <w:rsid w:val="00A16ADD"/>
    <w:rsid w:val="00A16F66"/>
    <w:rsid w:val="00A16FA5"/>
    <w:rsid w:val="00A17245"/>
    <w:rsid w:val="00A17442"/>
    <w:rsid w:val="00A174EE"/>
    <w:rsid w:val="00A17833"/>
    <w:rsid w:val="00A17868"/>
    <w:rsid w:val="00A17898"/>
    <w:rsid w:val="00A178B6"/>
    <w:rsid w:val="00A178B9"/>
    <w:rsid w:val="00A179D8"/>
    <w:rsid w:val="00A17A40"/>
    <w:rsid w:val="00A17A9B"/>
    <w:rsid w:val="00A17C89"/>
    <w:rsid w:val="00A17D9A"/>
    <w:rsid w:val="00A17E21"/>
    <w:rsid w:val="00A17EB4"/>
    <w:rsid w:val="00A17F4F"/>
    <w:rsid w:val="00A17FB3"/>
    <w:rsid w:val="00A20076"/>
    <w:rsid w:val="00A20171"/>
    <w:rsid w:val="00A2020F"/>
    <w:rsid w:val="00A2038D"/>
    <w:rsid w:val="00A20406"/>
    <w:rsid w:val="00A20535"/>
    <w:rsid w:val="00A2056F"/>
    <w:rsid w:val="00A20614"/>
    <w:rsid w:val="00A20836"/>
    <w:rsid w:val="00A208A6"/>
    <w:rsid w:val="00A208BA"/>
    <w:rsid w:val="00A208C1"/>
    <w:rsid w:val="00A2093D"/>
    <w:rsid w:val="00A2094F"/>
    <w:rsid w:val="00A209BD"/>
    <w:rsid w:val="00A20B8B"/>
    <w:rsid w:val="00A20C8A"/>
    <w:rsid w:val="00A20E84"/>
    <w:rsid w:val="00A20F98"/>
    <w:rsid w:val="00A20FF8"/>
    <w:rsid w:val="00A210BB"/>
    <w:rsid w:val="00A210F4"/>
    <w:rsid w:val="00A210F7"/>
    <w:rsid w:val="00A21248"/>
    <w:rsid w:val="00A2138D"/>
    <w:rsid w:val="00A215E7"/>
    <w:rsid w:val="00A215FA"/>
    <w:rsid w:val="00A216C8"/>
    <w:rsid w:val="00A2179E"/>
    <w:rsid w:val="00A2187E"/>
    <w:rsid w:val="00A21946"/>
    <w:rsid w:val="00A219A5"/>
    <w:rsid w:val="00A219B9"/>
    <w:rsid w:val="00A21B9B"/>
    <w:rsid w:val="00A21BEE"/>
    <w:rsid w:val="00A21CFB"/>
    <w:rsid w:val="00A21EC4"/>
    <w:rsid w:val="00A21EC6"/>
    <w:rsid w:val="00A22093"/>
    <w:rsid w:val="00A220BC"/>
    <w:rsid w:val="00A22129"/>
    <w:rsid w:val="00A2213F"/>
    <w:rsid w:val="00A2214E"/>
    <w:rsid w:val="00A223D4"/>
    <w:rsid w:val="00A22430"/>
    <w:rsid w:val="00A22726"/>
    <w:rsid w:val="00A2274D"/>
    <w:rsid w:val="00A22786"/>
    <w:rsid w:val="00A2278F"/>
    <w:rsid w:val="00A227B8"/>
    <w:rsid w:val="00A227E3"/>
    <w:rsid w:val="00A2282D"/>
    <w:rsid w:val="00A22847"/>
    <w:rsid w:val="00A22875"/>
    <w:rsid w:val="00A22BB1"/>
    <w:rsid w:val="00A22C88"/>
    <w:rsid w:val="00A22DC8"/>
    <w:rsid w:val="00A22DD6"/>
    <w:rsid w:val="00A22E28"/>
    <w:rsid w:val="00A2306E"/>
    <w:rsid w:val="00A232DD"/>
    <w:rsid w:val="00A2330A"/>
    <w:rsid w:val="00A2353B"/>
    <w:rsid w:val="00A23666"/>
    <w:rsid w:val="00A23929"/>
    <w:rsid w:val="00A23A3F"/>
    <w:rsid w:val="00A23A80"/>
    <w:rsid w:val="00A23BC2"/>
    <w:rsid w:val="00A23E57"/>
    <w:rsid w:val="00A23F4C"/>
    <w:rsid w:val="00A23F99"/>
    <w:rsid w:val="00A23FDF"/>
    <w:rsid w:val="00A24137"/>
    <w:rsid w:val="00A242AB"/>
    <w:rsid w:val="00A2435A"/>
    <w:rsid w:val="00A243F6"/>
    <w:rsid w:val="00A24447"/>
    <w:rsid w:val="00A2453C"/>
    <w:rsid w:val="00A245C5"/>
    <w:rsid w:val="00A2467C"/>
    <w:rsid w:val="00A24784"/>
    <w:rsid w:val="00A249FE"/>
    <w:rsid w:val="00A24A34"/>
    <w:rsid w:val="00A24BAF"/>
    <w:rsid w:val="00A24D86"/>
    <w:rsid w:val="00A24E68"/>
    <w:rsid w:val="00A24E94"/>
    <w:rsid w:val="00A24FBD"/>
    <w:rsid w:val="00A251FF"/>
    <w:rsid w:val="00A252E0"/>
    <w:rsid w:val="00A2535B"/>
    <w:rsid w:val="00A253C7"/>
    <w:rsid w:val="00A254A7"/>
    <w:rsid w:val="00A25529"/>
    <w:rsid w:val="00A258FC"/>
    <w:rsid w:val="00A25935"/>
    <w:rsid w:val="00A259D2"/>
    <w:rsid w:val="00A25AB7"/>
    <w:rsid w:val="00A25CA5"/>
    <w:rsid w:val="00A25CD1"/>
    <w:rsid w:val="00A25DA1"/>
    <w:rsid w:val="00A25E45"/>
    <w:rsid w:val="00A25F10"/>
    <w:rsid w:val="00A26081"/>
    <w:rsid w:val="00A26117"/>
    <w:rsid w:val="00A26142"/>
    <w:rsid w:val="00A2623E"/>
    <w:rsid w:val="00A26242"/>
    <w:rsid w:val="00A26316"/>
    <w:rsid w:val="00A2636E"/>
    <w:rsid w:val="00A2648B"/>
    <w:rsid w:val="00A264F0"/>
    <w:rsid w:val="00A2655F"/>
    <w:rsid w:val="00A2677B"/>
    <w:rsid w:val="00A267D3"/>
    <w:rsid w:val="00A2681F"/>
    <w:rsid w:val="00A26A42"/>
    <w:rsid w:val="00A26B3B"/>
    <w:rsid w:val="00A26B9D"/>
    <w:rsid w:val="00A26BAE"/>
    <w:rsid w:val="00A26C30"/>
    <w:rsid w:val="00A26CD0"/>
    <w:rsid w:val="00A26D9B"/>
    <w:rsid w:val="00A27186"/>
    <w:rsid w:val="00A2724F"/>
    <w:rsid w:val="00A273BC"/>
    <w:rsid w:val="00A273E8"/>
    <w:rsid w:val="00A27465"/>
    <w:rsid w:val="00A27952"/>
    <w:rsid w:val="00A27993"/>
    <w:rsid w:val="00A27E34"/>
    <w:rsid w:val="00A3014E"/>
    <w:rsid w:val="00A30272"/>
    <w:rsid w:val="00A30380"/>
    <w:rsid w:val="00A30496"/>
    <w:rsid w:val="00A306A1"/>
    <w:rsid w:val="00A30948"/>
    <w:rsid w:val="00A30A6C"/>
    <w:rsid w:val="00A30B4A"/>
    <w:rsid w:val="00A30B9D"/>
    <w:rsid w:val="00A30C8E"/>
    <w:rsid w:val="00A30E93"/>
    <w:rsid w:val="00A30ED7"/>
    <w:rsid w:val="00A31151"/>
    <w:rsid w:val="00A312C8"/>
    <w:rsid w:val="00A31348"/>
    <w:rsid w:val="00A313C1"/>
    <w:rsid w:val="00A315DF"/>
    <w:rsid w:val="00A31634"/>
    <w:rsid w:val="00A3164F"/>
    <w:rsid w:val="00A316C7"/>
    <w:rsid w:val="00A3184D"/>
    <w:rsid w:val="00A318BB"/>
    <w:rsid w:val="00A31A9E"/>
    <w:rsid w:val="00A31CF1"/>
    <w:rsid w:val="00A32167"/>
    <w:rsid w:val="00A32212"/>
    <w:rsid w:val="00A32596"/>
    <w:rsid w:val="00A325D9"/>
    <w:rsid w:val="00A32650"/>
    <w:rsid w:val="00A32774"/>
    <w:rsid w:val="00A32AE0"/>
    <w:rsid w:val="00A32BF0"/>
    <w:rsid w:val="00A32C28"/>
    <w:rsid w:val="00A32DAD"/>
    <w:rsid w:val="00A32FB8"/>
    <w:rsid w:val="00A330E0"/>
    <w:rsid w:val="00A3328D"/>
    <w:rsid w:val="00A332DA"/>
    <w:rsid w:val="00A332DF"/>
    <w:rsid w:val="00A33378"/>
    <w:rsid w:val="00A333D2"/>
    <w:rsid w:val="00A333D7"/>
    <w:rsid w:val="00A333DD"/>
    <w:rsid w:val="00A334EF"/>
    <w:rsid w:val="00A33682"/>
    <w:rsid w:val="00A338C3"/>
    <w:rsid w:val="00A338DF"/>
    <w:rsid w:val="00A33991"/>
    <w:rsid w:val="00A33A37"/>
    <w:rsid w:val="00A33BC0"/>
    <w:rsid w:val="00A33D8D"/>
    <w:rsid w:val="00A33EE6"/>
    <w:rsid w:val="00A33FD0"/>
    <w:rsid w:val="00A340C8"/>
    <w:rsid w:val="00A34163"/>
    <w:rsid w:val="00A341A9"/>
    <w:rsid w:val="00A34211"/>
    <w:rsid w:val="00A34358"/>
    <w:rsid w:val="00A34394"/>
    <w:rsid w:val="00A34503"/>
    <w:rsid w:val="00A34579"/>
    <w:rsid w:val="00A3459B"/>
    <w:rsid w:val="00A34654"/>
    <w:rsid w:val="00A346CB"/>
    <w:rsid w:val="00A347DF"/>
    <w:rsid w:val="00A34813"/>
    <w:rsid w:val="00A34A79"/>
    <w:rsid w:val="00A34AD9"/>
    <w:rsid w:val="00A34DD3"/>
    <w:rsid w:val="00A34FA8"/>
    <w:rsid w:val="00A35016"/>
    <w:rsid w:val="00A35106"/>
    <w:rsid w:val="00A35208"/>
    <w:rsid w:val="00A35211"/>
    <w:rsid w:val="00A35263"/>
    <w:rsid w:val="00A3541B"/>
    <w:rsid w:val="00A354F8"/>
    <w:rsid w:val="00A355A3"/>
    <w:rsid w:val="00A3585E"/>
    <w:rsid w:val="00A358B9"/>
    <w:rsid w:val="00A3592F"/>
    <w:rsid w:val="00A35C33"/>
    <w:rsid w:val="00A35CBF"/>
    <w:rsid w:val="00A35CDB"/>
    <w:rsid w:val="00A35D1E"/>
    <w:rsid w:val="00A35D43"/>
    <w:rsid w:val="00A35F83"/>
    <w:rsid w:val="00A360B0"/>
    <w:rsid w:val="00A36166"/>
    <w:rsid w:val="00A36296"/>
    <w:rsid w:val="00A36575"/>
    <w:rsid w:val="00A36735"/>
    <w:rsid w:val="00A36870"/>
    <w:rsid w:val="00A369E0"/>
    <w:rsid w:val="00A36C48"/>
    <w:rsid w:val="00A36CA6"/>
    <w:rsid w:val="00A36CBA"/>
    <w:rsid w:val="00A36F77"/>
    <w:rsid w:val="00A36F8D"/>
    <w:rsid w:val="00A36FA4"/>
    <w:rsid w:val="00A37003"/>
    <w:rsid w:val="00A37052"/>
    <w:rsid w:val="00A370CD"/>
    <w:rsid w:val="00A370D4"/>
    <w:rsid w:val="00A37277"/>
    <w:rsid w:val="00A372CD"/>
    <w:rsid w:val="00A372FA"/>
    <w:rsid w:val="00A37358"/>
    <w:rsid w:val="00A3757F"/>
    <w:rsid w:val="00A37898"/>
    <w:rsid w:val="00A37972"/>
    <w:rsid w:val="00A37D6D"/>
    <w:rsid w:val="00A37E7A"/>
    <w:rsid w:val="00A400F7"/>
    <w:rsid w:val="00A4014A"/>
    <w:rsid w:val="00A40269"/>
    <w:rsid w:val="00A402B4"/>
    <w:rsid w:val="00A40392"/>
    <w:rsid w:val="00A404E5"/>
    <w:rsid w:val="00A40506"/>
    <w:rsid w:val="00A40671"/>
    <w:rsid w:val="00A40674"/>
    <w:rsid w:val="00A407D8"/>
    <w:rsid w:val="00A40951"/>
    <w:rsid w:val="00A4095C"/>
    <w:rsid w:val="00A40961"/>
    <w:rsid w:val="00A40BBE"/>
    <w:rsid w:val="00A40F23"/>
    <w:rsid w:val="00A41154"/>
    <w:rsid w:val="00A41311"/>
    <w:rsid w:val="00A4132A"/>
    <w:rsid w:val="00A41490"/>
    <w:rsid w:val="00A41533"/>
    <w:rsid w:val="00A41548"/>
    <w:rsid w:val="00A416BF"/>
    <w:rsid w:val="00A416EC"/>
    <w:rsid w:val="00A41715"/>
    <w:rsid w:val="00A41842"/>
    <w:rsid w:val="00A4185F"/>
    <w:rsid w:val="00A41901"/>
    <w:rsid w:val="00A41961"/>
    <w:rsid w:val="00A41B32"/>
    <w:rsid w:val="00A41BD9"/>
    <w:rsid w:val="00A41C17"/>
    <w:rsid w:val="00A41D8F"/>
    <w:rsid w:val="00A41F41"/>
    <w:rsid w:val="00A420FD"/>
    <w:rsid w:val="00A421FD"/>
    <w:rsid w:val="00A4225E"/>
    <w:rsid w:val="00A422BF"/>
    <w:rsid w:val="00A422E9"/>
    <w:rsid w:val="00A42341"/>
    <w:rsid w:val="00A424ED"/>
    <w:rsid w:val="00A4260A"/>
    <w:rsid w:val="00A4267F"/>
    <w:rsid w:val="00A426F0"/>
    <w:rsid w:val="00A42804"/>
    <w:rsid w:val="00A42831"/>
    <w:rsid w:val="00A428E2"/>
    <w:rsid w:val="00A4294A"/>
    <w:rsid w:val="00A42AEC"/>
    <w:rsid w:val="00A42B08"/>
    <w:rsid w:val="00A42C20"/>
    <w:rsid w:val="00A42DFC"/>
    <w:rsid w:val="00A42FAA"/>
    <w:rsid w:val="00A43088"/>
    <w:rsid w:val="00A430A2"/>
    <w:rsid w:val="00A43484"/>
    <w:rsid w:val="00A434CB"/>
    <w:rsid w:val="00A4354A"/>
    <w:rsid w:val="00A4360C"/>
    <w:rsid w:val="00A43843"/>
    <w:rsid w:val="00A4385E"/>
    <w:rsid w:val="00A4420F"/>
    <w:rsid w:val="00A44259"/>
    <w:rsid w:val="00A44326"/>
    <w:rsid w:val="00A443CE"/>
    <w:rsid w:val="00A44530"/>
    <w:rsid w:val="00A4478A"/>
    <w:rsid w:val="00A448AF"/>
    <w:rsid w:val="00A44917"/>
    <w:rsid w:val="00A44A8D"/>
    <w:rsid w:val="00A44C33"/>
    <w:rsid w:val="00A44C86"/>
    <w:rsid w:val="00A44E1F"/>
    <w:rsid w:val="00A44EBA"/>
    <w:rsid w:val="00A44EDB"/>
    <w:rsid w:val="00A45082"/>
    <w:rsid w:val="00A450B1"/>
    <w:rsid w:val="00A4538F"/>
    <w:rsid w:val="00A45489"/>
    <w:rsid w:val="00A454B9"/>
    <w:rsid w:val="00A454F2"/>
    <w:rsid w:val="00A454F4"/>
    <w:rsid w:val="00A45539"/>
    <w:rsid w:val="00A455B1"/>
    <w:rsid w:val="00A45646"/>
    <w:rsid w:val="00A456E1"/>
    <w:rsid w:val="00A45829"/>
    <w:rsid w:val="00A45A96"/>
    <w:rsid w:val="00A45B2D"/>
    <w:rsid w:val="00A45CBB"/>
    <w:rsid w:val="00A45F0D"/>
    <w:rsid w:val="00A45F53"/>
    <w:rsid w:val="00A45F6E"/>
    <w:rsid w:val="00A46047"/>
    <w:rsid w:val="00A460CF"/>
    <w:rsid w:val="00A4621C"/>
    <w:rsid w:val="00A46226"/>
    <w:rsid w:val="00A4628D"/>
    <w:rsid w:val="00A46895"/>
    <w:rsid w:val="00A46A41"/>
    <w:rsid w:val="00A46B06"/>
    <w:rsid w:val="00A46B40"/>
    <w:rsid w:val="00A46BA7"/>
    <w:rsid w:val="00A46EBD"/>
    <w:rsid w:val="00A46EC6"/>
    <w:rsid w:val="00A46F6A"/>
    <w:rsid w:val="00A4709C"/>
    <w:rsid w:val="00A470A5"/>
    <w:rsid w:val="00A4722A"/>
    <w:rsid w:val="00A4723D"/>
    <w:rsid w:val="00A47463"/>
    <w:rsid w:val="00A476A2"/>
    <w:rsid w:val="00A47748"/>
    <w:rsid w:val="00A47AD5"/>
    <w:rsid w:val="00A47C46"/>
    <w:rsid w:val="00A47D27"/>
    <w:rsid w:val="00A47D2E"/>
    <w:rsid w:val="00A47D74"/>
    <w:rsid w:val="00A47E5E"/>
    <w:rsid w:val="00A47E6B"/>
    <w:rsid w:val="00A47FAC"/>
    <w:rsid w:val="00A5004A"/>
    <w:rsid w:val="00A5011E"/>
    <w:rsid w:val="00A50320"/>
    <w:rsid w:val="00A50369"/>
    <w:rsid w:val="00A505EF"/>
    <w:rsid w:val="00A506B4"/>
    <w:rsid w:val="00A50724"/>
    <w:rsid w:val="00A50896"/>
    <w:rsid w:val="00A50932"/>
    <w:rsid w:val="00A50935"/>
    <w:rsid w:val="00A50B13"/>
    <w:rsid w:val="00A50BAC"/>
    <w:rsid w:val="00A50BBE"/>
    <w:rsid w:val="00A50C1C"/>
    <w:rsid w:val="00A50DE9"/>
    <w:rsid w:val="00A50E2F"/>
    <w:rsid w:val="00A50FCD"/>
    <w:rsid w:val="00A512FC"/>
    <w:rsid w:val="00A51367"/>
    <w:rsid w:val="00A513DF"/>
    <w:rsid w:val="00A5143E"/>
    <w:rsid w:val="00A516DF"/>
    <w:rsid w:val="00A516F2"/>
    <w:rsid w:val="00A51913"/>
    <w:rsid w:val="00A51977"/>
    <w:rsid w:val="00A51A4C"/>
    <w:rsid w:val="00A51C2D"/>
    <w:rsid w:val="00A51D17"/>
    <w:rsid w:val="00A51E92"/>
    <w:rsid w:val="00A52268"/>
    <w:rsid w:val="00A522F7"/>
    <w:rsid w:val="00A5247A"/>
    <w:rsid w:val="00A52501"/>
    <w:rsid w:val="00A52503"/>
    <w:rsid w:val="00A52587"/>
    <w:rsid w:val="00A525B6"/>
    <w:rsid w:val="00A526FA"/>
    <w:rsid w:val="00A52741"/>
    <w:rsid w:val="00A52766"/>
    <w:rsid w:val="00A5276A"/>
    <w:rsid w:val="00A52AEA"/>
    <w:rsid w:val="00A52B1C"/>
    <w:rsid w:val="00A52DC2"/>
    <w:rsid w:val="00A52DDC"/>
    <w:rsid w:val="00A52E73"/>
    <w:rsid w:val="00A53073"/>
    <w:rsid w:val="00A530EC"/>
    <w:rsid w:val="00A53435"/>
    <w:rsid w:val="00A53444"/>
    <w:rsid w:val="00A535A3"/>
    <w:rsid w:val="00A535B0"/>
    <w:rsid w:val="00A5372B"/>
    <w:rsid w:val="00A537DD"/>
    <w:rsid w:val="00A538B2"/>
    <w:rsid w:val="00A538E6"/>
    <w:rsid w:val="00A538F6"/>
    <w:rsid w:val="00A539D8"/>
    <w:rsid w:val="00A53AA2"/>
    <w:rsid w:val="00A53BA8"/>
    <w:rsid w:val="00A53D02"/>
    <w:rsid w:val="00A53ECE"/>
    <w:rsid w:val="00A53FDB"/>
    <w:rsid w:val="00A5400C"/>
    <w:rsid w:val="00A54231"/>
    <w:rsid w:val="00A542D8"/>
    <w:rsid w:val="00A5435E"/>
    <w:rsid w:val="00A5438D"/>
    <w:rsid w:val="00A54493"/>
    <w:rsid w:val="00A54557"/>
    <w:rsid w:val="00A54572"/>
    <w:rsid w:val="00A54579"/>
    <w:rsid w:val="00A54789"/>
    <w:rsid w:val="00A54934"/>
    <w:rsid w:val="00A54C26"/>
    <w:rsid w:val="00A54D3A"/>
    <w:rsid w:val="00A54FE0"/>
    <w:rsid w:val="00A55041"/>
    <w:rsid w:val="00A552CD"/>
    <w:rsid w:val="00A552DE"/>
    <w:rsid w:val="00A5532A"/>
    <w:rsid w:val="00A55340"/>
    <w:rsid w:val="00A5541B"/>
    <w:rsid w:val="00A55466"/>
    <w:rsid w:val="00A556E7"/>
    <w:rsid w:val="00A55712"/>
    <w:rsid w:val="00A557BB"/>
    <w:rsid w:val="00A5580B"/>
    <w:rsid w:val="00A55963"/>
    <w:rsid w:val="00A55CFE"/>
    <w:rsid w:val="00A55D73"/>
    <w:rsid w:val="00A56019"/>
    <w:rsid w:val="00A56030"/>
    <w:rsid w:val="00A56076"/>
    <w:rsid w:val="00A561A4"/>
    <w:rsid w:val="00A56351"/>
    <w:rsid w:val="00A563A6"/>
    <w:rsid w:val="00A5650D"/>
    <w:rsid w:val="00A56876"/>
    <w:rsid w:val="00A5688F"/>
    <w:rsid w:val="00A568D0"/>
    <w:rsid w:val="00A56B3A"/>
    <w:rsid w:val="00A56C9C"/>
    <w:rsid w:val="00A56DB4"/>
    <w:rsid w:val="00A56E4A"/>
    <w:rsid w:val="00A56F77"/>
    <w:rsid w:val="00A57065"/>
    <w:rsid w:val="00A571A2"/>
    <w:rsid w:val="00A571EC"/>
    <w:rsid w:val="00A572C8"/>
    <w:rsid w:val="00A572D9"/>
    <w:rsid w:val="00A577F0"/>
    <w:rsid w:val="00A578B5"/>
    <w:rsid w:val="00A578EA"/>
    <w:rsid w:val="00A57989"/>
    <w:rsid w:val="00A57A71"/>
    <w:rsid w:val="00A57A75"/>
    <w:rsid w:val="00A57ADE"/>
    <w:rsid w:val="00A57BF9"/>
    <w:rsid w:val="00A57EC6"/>
    <w:rsid w:val="00A57F2B"/>
    <w:rsid w:val="00A60069"/>
    <w:rsid w:val="00A602BF"/>
    <w:rsid w:val="00A602C8"/>
    <w:rsid w:val="00A602DE"/>
    <w:rsid w:val="00A602EF"/>
    <w:rsid w:val="00A60434"/>
    <w:rsid w:val="00A60579"/>
    <w:rsid w:val="00A60679"/>
    <w:rsid w:val="00A60768"/>
    <w:rsid w:val="00A60783"/>
    <w:rsid w:val="00A60B8C"/>
    <w:rsid w:val="00A60BF3"/>
    <w:rsid w:val="00A60CAC"/>
    <w:rsid w:val="00A60D55"/>
    <w:rsid w:val="00A60EA0"/>
    <w:rsid w:val="00A6109C"/>
    <w:rsid w:val="00A610DA"/>
    <w:rsid w:val="00A61178"/>
    <w:rsid w:val="00A61459"/>
    <w:rsid w:val="00A61599"/>
    <w:rsid w:val="00A6166F"/>
    <w:rsid w:val="00A6176F"/>
    <w:rsid w:val="00A617BD"/>
    <w:rsid w:val="00A61944"/>
    <w:rsid w:val="00A6199D"/>
    <w:rsid w:val="00A619F1"/>
    <w:rsid w:val="00A61C90"/>
    <w:rsid w:val="00A61F80"/>
    <w:rsid w:val="00A622AA"/>
    <w:rsid w:val="00A623B8"/>
    <w:rsid w:val="00A6248E"/>
    <w:rsid w:val="00A626BB"/>
    <w:rsid w:val="00A6272A"/>
    <w:rsid w:val="00A628D5"/>
    <w:rsid w:val="00A62A41"/>
    <w:rsid w:val="00A62A92"/>
    <w:rsid w:val="00A62D08"/>
    <w:rsid w:val="00A62D3A"/>
    <w:rsid w:val="00A62DD5"/>
    <w:rsid w:val="00A63081"/>
    <w:rsid w:val="00A63085"/>
    <w:rsid w:val="00A63122"/>
    <w:rsid w:val="00A63141"/>
    <w:rsid w:val="00A63179"/>
    <w:rsid w:val="00A6318C"/>
    <w:rsid w:val="00A63298"/>
    <w:rsid w:val="00A632CA"/>
    <w:rsid w:val="00A6347B"/>
    <w:rsid w:val="00A63554"/>
    <w:rsid w:val="00A635A0"/>
    <w:rsid w:val="00A6370A"/>
    <w:rsid w:val="00A63834"/>
    <w:rsid w:val="00A638B9"/>
    <w:rsid w:val="00A63967"/>
    <w:rsid w:val="00A63DC0"/>
    <w:rsid w:val="00A6416A"/>
    <w:rsid w:val="00A64287"/>
    <w:rsid w:val="00A64352"/>
    <w:rsid w:val="00A64465"/>
    <w:rsid w:val="00A644F5"/>
    <w:rsid w:val="00A6463F"/>
    <w:rsid w:val="00A64686"/>
    <w:rsid w:val="00A648F4"/>
    <w:rsid w:val="00A64AA5"/>
    <w:rsid w:val="00A64C5B"/>
    <w:rsid w:val="00A64CD6"/>
    <w:rsid w:val="00A64F38"/>
    <w:rsid w:val="00A64F52"/>
    <w:rsid w:val="00A64F6A"/>
    <w:rsid w:val="00A6516A"/>
    <w:rsid w:val="00A651B3"/>
    <w:rsid w:val="00A651BB"/>
    <w:rsid w:val="00A653D1"/>
    <w:rsid w:val="00A655AE"/>
    <w:rsid w:val="00A65768"/>
    <w:rsid w:val="00A6579B"/>
    <w:rsid w:val="00A6581E"/>
    <w:rsid w:val="00A65C05"/>
    <w:rsid w:val="00A65C43"/>
    <w:rsid w:val="00A65FDE"/>
    <w:rsid w:val="00A65FF2"/>
    <w:rsid w:val="00A6603B"/>
    <w:rsid w:val="00A661C4"/>
    <w:rsid w:val="00A6630E"/>
    <w:rsid w:val="00A66616"/>
    <w:rsid w:val="00A66763"/>
    <w:rsid w:val="00A66800"/>
    <w:rsid w:val="00A6688F"/>
    <w:rsid w:val="00A668E4"/>
    <w:rsid w:val="00A66B83"/>
    <w:rsid w:val="00A66DCD"/>
    <w:rsid w:val="00A66DE8"/>
    <w:rsid w:val="00A66F7A"/>
    <w:rsid w:val="00A673EB"/>
    <w:rsid w:val="00A674EE"/>
    <w:rsid w:val="00A6756F"/>
    <w:rsid w:val="00A67589"/>
    <w:rsid w:val="00A675C2"/>
    <w:rsid w:val="00A675F9"/>
    <w:rsid w:val="00A676FE"/>
    <w:rsid w:val="00A677B5"/>
    <w:rsid w:val="00A67938"/>
    <w:rsid w:val="00A67A40"/>
    <w:rsid w:val="00A67A73"/>
    <w:rsid w:val="00A67B44"/>
    <w:rsid w:val="00A67B53"/>
    <w:rsid w:val="00A67E11"/>
    <w:rsid w:val="00A67F47"/>
    <w:rsid w:val="00A67FD4"/>
    <w:rsid w:val="00A701C7"/>
    <w:rsid w:val="00A702A0"/>
    <w:rsid w:val="00A7040A"/>
    <w:rsid w:val="00A7043A"/>
    <w:rsid w:val="00A7046E"/>
    <w:rsid w:val="00A70528"/>
    <w:rsid w:val="00A7098C"/>
    <w:rsid w:val="00A709F5"/>
    <w:rsid w:val="00A70A11"/>
    <w:rsid w:val="00A70A89"/>
    <w:rsid w:val="00A70BF1"/>
    <w:rsid w:val="00A71195"/>
    <w:rsid w:val="00A7140A"/>
    <w:rsid w:val="00A7149E"/>
    <w:rsid w:val="00A714E4"/>
    <w:rsid w:val="00A717DE"/>
    <w:rsid w:val="00A7183D"/>
    <w:rsid w:val="00A71B6C"/>
    <w:rsid w:val="00A71BCC"/>
    <w:rsid w:val="00A71E17"/>
    <w:rsid w:val="00A71F44"/>
    <w:rsid w:val="00A71FD6"/>
    <w:rsid w:val="00A7246A"/>
    <w:rsid w:val="00A7250D"/>
    <w:rsid w:val="00A72572"/>
    <w:rsid w:val="00A725B0"/>
    <w:rsid w:val="00A7267B"/>
    <w:rsid w:val="00A72993"/>
    <w:rsid w:val="00A72995"/>
    <w:rsid w:val="00A72AC4"/>
    <w:rsid w:val="00A72C9F"/>
    <w:rsid w:val="00A72CB5"/>
    <w:rsid w:val="00A72D1E"/>
    <w:rsid w:val="00A72EEF"/>
    <w:rsid w:val="00A72F8F"/>
    <w:rsid w:val="00A72FED"/>
    <w:rsid w:val="00A73027"/>
    <w:rsid w:val="00A73127"/>
    <w:rsid w:val="00A73649"/>
    <w:rsid w:val="00A73A28"/>
    <w:rsid w:val="00A73BE2"/>
    <w:rsid w:val="00A73C72"/>
    <w:rsid w:val="00A73DF5"/>
    <w:rsid w:val="00A73EED"/>
    <w:rsid w:val="00A74175"/>
    <w:rsid w:val="00A7425B"/>
    <w:rsid w:val="00A74440"/>
    <w:rsid w:val="00A74636"/>
    <w:rsid w:val="00A7479B"/>
    <w:rsid w:val="00A747CD"/>
    <w:rsid w:val="00A74845"/>
    <w:rsid w:val="00A74880"/>
    <w:rsid w:val="00A74AF0"/>
    <w:rsid w:val="00A74B29"/>
    <w:rsid w:val="00A74BE4"/>
    <w:rsid w:val="00A74C1A"/>
    <w:rsid w:val="00A74C98"/>
    <w:rsid w:val="00A74F2E"/>
    <w:rsid w:val="00A74FE4"/>
    <w:rsid w:val="00A7500B"/>
    <w:rsid w:val="00A7507D"/>
    <w:rsid w:val="00A750B2"/>
    <w:rsid w:val="00A750BA"/>
    <w:rsid w:val="00A751A9"/>
    <w:rsid w:val="00A7526B"/>
    <w:rsid w:val="00A75517"/>
    <w:rsid w:val="00A75686"/>
    <w:rsid w:val="00A75731"/>
    <w:rsid w:val="00A75771"/>
    <w:rsid w:val="00A758B8"/>
    <w:rsid w:val="00A75A6E"/>
    <w:rsid w:val="00A75B72"/>
    <w:rsid w:val="00A75C81"/>
    <w:rsid w:val="00A75EE1"/>
    <w:rsid w:val="00A760C0"/>
    <w:rsid w:val="00A7637B"/>
    <w:rsid w:val="00A76542"/>
    <w:rsid w:val="00A7676D"/>
    <w:rsid w:val="00A7688E"/>
    <w:rsid w:val="00A76973"/>
    <w:rsid w:val="00A76990"/>
    <w:rsid w:val="00A769AF"/>
    <w:rsid w:val="00A769DD"/>
    <w:rsid w:val="00A76AD4"/>
    <w:rsid w:val="00A76BBA"/>
    <w:rsid w:val="00A76C10"/>
    <w:rsid w:val="00A76CD6"/>
    <w:rsid w:val="00A76F97"/>
    <w:rsid w:val="00A7712C"/>
    <w:rsid w:val="00A77140"/>
    <w:rsid w:val="00A7742A"/>
    <w:rsid w:val="00A77666"/>
    <w:rsid w:val="00A77719"/>
    <w:rsid w:val="00A779D3"/>
    <w:rsid w:val="00A77D9A"/>
    <w:rsid w:val="00A77DAC"/>
    <w:rsid w:val="00A77EAE"/>
    <w:rsid w:val="00A77F04"/>
    <w:rsid w:val="00A77FAD"/>
    <w:rsid w:val="00A77FC8"/>
    <w:rsid w:val="00A800A8"/>
    <w:rsid w:val="00A8013E"/>
    <w:rsid w:val="00A8058F"/>
    <w:rsid w:val="00A80626"/>
    <w:rsid w:val="00A80840"/>
    <w:rsid w:val="00A80A2C"/>
    <w:rsid w:val="00A80E7F"/>
    <w:rsid w:val="00A8100B"/>
    <w:rsid w:val="00A8118E"/>
    <w:rsid w:val="00A81343"/>
    <w:rsid w:val="00A81351"/>
    <w:rsid w:val="00A81403"/>
    <w:rsid w:val="00A8169A"/>
    <w:rsid w:val="00A81792"/>
    <w:rsid w:val="00A8199C"/>
    <w:rsid w:val="00A819C2"/>
    <w:rsid w:val="00A81B57"/>
    <w:rsid w:val="00A81C07"/>
    <w:rsid w:val="00A81CA4"/>
    <w:rsid w:val="00A81D92"/>
    <w:rsid w:val="00A81DB6"/>
    <w:rsid w:val="00A81DED"/>
    <w:rsid w:val="00A81E38"/>
    <w:rsid w:val="00A82620"/>
    <w:rsid w:val="00A826AC"/>
    <w:rsid w:val="00A8273B"/>
    <w:rsid w:val="00A8273F"/>
    <w:rsid w:val="00A82756"/>
    <w:rsid w:val="00A82768"/>
    <w:rsid w:val="00A829F9"/>
    <w:rsid w:val="00A82B32"/>
    <w:rsid w:val="00A82C65"/>
    <w:rsid w:val="00A82C7D"/>
    <w:rsid w:val="00A82C98"/>
    <w:rsid w:val="00A82D9E"/>
    <w:rsid w:val="00A82E3E"/>
    <w:rsid w:val="00A82FC4"/>
    <w:rsid w:val="00A83070"/>
    <w:rsid w:val="00A831F7"/>
    <w:rsid w:val="00A83283"/>
    <w:rsid w:val="00A83513"/>
    <w:rsid w:val="00A835C7"/>
    <w:rsid w:val="00A839F8"/>
    <w:rsid w:val="00A83A0D"/>
    <w:rsid w:val="00A83C4B"/>
    <w:rsid w:val="00A84072"/>
    <w:rsid w:val="00A8415C"/>
    <w:rsid w:val="00A84269"/>
    <w:rsid w:val="00A842C8"/>
    <w:rsid w:val="00A844FC"/>
    <w:rsid w:val="00A845F9"/>
    <w:rsid w:val="00A84632"/>
    <w:rsid w:val="00A8481C"/>
    <w:rsid w:val="00A84B59"/>
    <w:rsid w:val="00A84C98"/>
    <w:rsid w:val="00A84F06"/>
    <w:rsid w:val="00A84FDE"/>
    <w:rsid w:val="00A8508F"/>
    <w:rsid w:val="00A85090"/>
    <w:rsid w:val="00A8519A"/>
    <w:rsid w:val="00A851A2"/>
    <w:rsid w:val="00A852B3"/>
    <w:rsid w:val="00A85354"/>
    <w:rsid w:val="00A85750"/>
    <w:rsid w:val="00A857FF"/>
    <w:rsid w:val="00A8583D"/>
    <w:rsid w:val="00A85857"/>
    <w:rsid w:val="00A858BD"/>
    <w:rsid w:val="00A85B04"/>
    <w:rsid w:val="00A85C37"/>
    <w:rsid w:val="00A85C95"/>
    <w:rsid w:val="00A85E0D"/>
    <w:rsid w:val="00A860FA"/>
    <w:rsid w:val="00A8614E"/>
    <w:rsid w:val="00A861EC"/>
    <w:rsid w:val="00A862B2"/>
    <w:rsid w:val="00A862F2"/>
    <w:rsid w:val="00A863F5"/>
    <w:rsid w:val="00A86443"/>
    <w:rsid w:val="00A86535"/>
    <w:rsid w:val="00A86560"/>
    <w:rsid w:val="00A865EE"/>
    <w:rsid w:val="00A86628"/>
    <w:rsid w:val="00A8666F"/>
    <w:rsid w:val="00A8675F"/>
    <w:rsid w:val="00A867EB"/>
    <w:rsid w:val="00A868A4"/>
    <w:rsid w:val="00A868AD"/>
    <w:rsid w:val="00A86AD5"/>
    <w:rsid w:val="00A86C82"/>
    <w:rsid w:val="00A86C87"/>
    <w:rsid w:val="00A86DF0"/>
    <w:rsid w:val="00A86E53"/>
    <w:rsid w:val="00A86ED9"/>
    <w:rsid w:val="00A86F27"/>
    <w:rsid w:val="00A86F81"/>
    <w:rsid w:val="00A870C1"/>
    <w:rsid w:val="00A870C3"/>
    <w:rsid w:val="00A87130"/>
    <w:rsid w:val="00A87133"/>
    <w:rsid w:val="00A872C6"/>
    <w:rsid w:val="00A8775E"/>
    <w:rsid w:val="00A8786D"/>
    <w:rsid w:val="00A879AB"/>
    <w:rsid w:val="00A87A96"/>
    <w:rsid w:val="00A87D81"/>
    <w:rsid w:val="00A87DBF"/>
    <w:rsid w:val="00A87ECB"/>
    <w:rsid w:val="00A87EF6"/>
    <w:rsid w:val="00A87F62"/>
    <w:rsid w:val="00A87FD9"/>
    <w:rsid w:val="00A87FDB"/>
    <w:rsid w:val="00A9001F"/>
    <w:rsid w:val="00A90050"/>
    <w:rsid w:val="00A900A3"/>
    <w:rsid w:val="00A90124"/>
    <w:rsid w:val="00A9033A"/>
    <w:rsid w:val="00A9040F"/>
    <w:rsid w:val="00A904FD"/>
    <w:rsid w:val="00A90522"/>
    <w:rsid w:val="00A905B2"/>
    <w:rsid w:val="00A90675"/>
    <w:rsid w:val="00A9068B"/>
    <w:rsid w:val="00A909F9"/>
    <w:rsid w:val="00A90BCF"/>
    <w:rsid w:val="00A90EEA"/>
    <w:rsid w:val="00A9128E"/>
    <w:rsid w:val="00A912D6"/>
    <w:rsid w:val="00A9159C"/>
    <w:rsid w:val="00A9171E"/>
    <w:rsid w:val="00A9172E"/>
    <w:rsid w:val="00A91915"/>
    <w:rsid w:val="00A91979"/>
    <w:rsid w:val="00A919A0"/>
    <w:rsid w:val="00A91AA2"/>
    <w:rsid w:val="00A91AF7"/>
    <w:rsid w:val="00A91BA5"/>
    <w:rsid w:val="00A92330"/>
    <w:rsid w:val="00A92345"/>
    <w:rsid w:val="00A92447"/>
    <w:rsid w:val="00A92667"/>
    <w:rsid w:val="00A926A8"/>
    <w:rsid w:val="00A9274E"/>
    <w:rsid w:val="00A92810"/>
    <w:rsid w:val="00A9282B"/>
    <w:rsid w:val="00A928A2"/>
    <w:rsid w:val="00A928B6"/>
    <w:rsid w:val="00A9291A"/>
    <w:rsid w:val="00A929B7"/>
    <w:rsid w:val="00A92AAA"/>
    <w:rsid w:val="00A92B0F"/>
    <w:rsid w:val="00A92B70"/>
    <w:rsid w:val="00A93032"/>
    <w:rsid w:val="00A93086"/>
    <w:rsid w:val="00A9331D"/>
    <w:rsid w:val="00A9343E"/>
    <w:rsid w:val="00A934E1"/>
    <w:rsid w:val="00A939BF"/>
    <w:rsid w:val="00A93AF9"/>
    <w:rsid w:val="00A93B36"/>
    <w:rsid w:val="00A93BED"/>
    <w:rsid w:val="00A93CCA"/>
    <w:rsid w:val="00A93D7E"/>
    <w:rsid w:val="00A94044"/>
    <w:rsid w:val="00A940B7"/>
    <w:rsid w:val="00A942DF"/>
    <w:rsid w:val="00A94411"/>
    <w:rsid w:val="00A946C6"/>
    <w:rsid w:val="00A946EC"/>
    <w:rsid w:val="00A9482C"/>
    <w:rsid w:val="00A94906"/>
    <w:rsid w:val="00A94999"/>
    <w:rsid w:val="00A949FD"/>
    <w:rsid w:val="00A94AA0"/>
    <w:rsid w:val="00A94B3E"/>
    <w:rsid w:val="00A94B86"/>
    <w:rsid w:val="00A94C69"/>
    <w:rsid w:val="00A94D6B"/>
    <w:rsid w:val="00A94DDA"/>
    <w:rsid w:val="00A94E64"/>
    <w:rsid w:val="00A94F32"/>
    <w:rsid w:val="00A95058"/>
    <w:rsid w:val="00A95114"/>
    <w:rsid w:val="00A9518F"/>
    <w:rsid w:val="00A951E0"/>
    <w:rsid w:val="00A952E4"/>
    <w:rsid w:val="00A95302"/>
    <w:rsid w:val="00A9532B"/>
    <w:rsid w:val="00A95386"/>
    <w:rsid w:val="00A95497"/>
    <w:rsid w:val="00A95586"/>
    <w:rsid w:val="00A956A6"/>
    <w:rsid w:val="00A958F3"/>
    <w:rsid w:val="00A95C02"/>
    <w:rsid w:val="00A95C0F"/>
    <w:rsid w:val="00A95DBC"/>
    <w:rsid w:val="00A95E1A"/>
    <w:rsid w:val="00A960C7"/>
    <w:rsid w:val="00A96168"/>
    <w:rsid w:val="00A96193"/>
    <w:rsid w:val="00A963C9"/>
    <w:rsid w:val="00A96421"/>
    <w:rsid w:val="00A96541"/>
    <w:rsid w:val="00A96613"/>
    <w:rsid w:val="00A967B6"/>
    <w:rsid w:val="00A967F5"/>
    <w:rsid w:val="00A968C6"/>
    <w:rsid w:val="00A96B28"/>
    <w:rsid w:val="00A96BB3"/>
    <w:rsid w:val="00A96C01"/>
    <w:rsid w:val="00A96FC8"/>
    <w:rsid w:val="00A970B0"/>
    <w:rsid w:val="00A9718F"/>
    <w:rsid w:val="00A971FC"/>
    <w:rsid w:val="00A972B0"/>
    <w:rsid w:val="00A972C5"/>
    <w:rsid w:val="00A973B2"/>
    <w:rsid w:val="00A973F1"/>
    <w:rsid w:val="00A97464"/>
    <w:rsid w:val="00A975EB"/>
    <w:rsid w:val="00A97664"/>
    <w:rsid w:val="00A9775C"/>
    <w:rsid w:val="00A9794B"/>
    <w:rsid w:val="00A97A0C"/>
    <w:rsid w:val="00A97ABB"/>
    <w:rsid w:val="00A97C6E"/>
    <w:rsid w:val="00A97CDA"/>
    <w:rsid w:val="00A97E0B"/>
    <w:rsid w:val="00A97FF6"/>
    <w:rsid w:val="00AA03A0"/>
    <w:rsid w:val="00AA0458"/>
    <w:rsid w:val="00AA04E4"/>
    <w:rsid w:val="00AA0666"/>
    <w:rsid w:val="00AA078F"/>
    <w:rsid w:val="00AA08B1"/>
    <w:rsid w:val="00AA090F"/>
    <w:rsid w:val="00AA0ACC"/>
    <w:rsid w:val="00AA0BA0"/>
    <w:rsid w:val="00AA0BA5"/>
    <w:rsid w:val="00AA0BBE"/>
    <w:rsid w:val="00AA0D22"/>
    <w:rsid w:val="00AA0D5B"/>
    <w:rsid w:val="00AA0E4A"/>
    <w:rsid w:val="00AA0F3B"/>
    <w:rsid w:val="00AA1095"/>
    <w:rsid w:val="00AA110B"/>
    <w:rsid w:val="00AA132E"/>
    <w:rsid w:val="00AA14A7"/>
    <w:rsid w:val="00AA14AE"/>
    <w:rsid w:val="00AA15AA"/>
    <w:rsid w:val="00AA1708"/>
    <w:rsid w:val="00AA1773"/>
    <w:rsid w:val="00AA18E0"/>
    <w:rsid w:val="00AA1C02"/>
    <w:rsid w:val="00AA1FB2"/>
    <w:rsid w:val="00AA1FB9"/>
    <w:rsid w:val="00AA2025"/>
    <w:rsid w:val="00AA228E"/>
    <w:rsid w:val="00AA264F"/>
    <w:rsid w:val="00AA27CA"/>
    <w:rsid w:val="00AA2803"/>
    <w:rsid w:val="00AA295C"/>
    <w:rsid w:val="00AA2986"/>
    <w:rsid w:val="00AA29F3"/>
    <w:rsid w:val="00AA2AA5"/>
    <w:rsid w:val="00AA2B0B"/>
    <w:rsid w:val="00AA2B3B"/>
    <w:rsid w:val="00AA2D75"/>
    <w:rsid w:val="00AA2EED"/>
    <w:rsid w:val="00AA2F44"/>
    <w:rsid w:val="00AA2F74"/>
    <w:rsid w:val="00AA2FA4"/>
    <w:rsid w:val="00AA2FE8"/>
    <w:rsid w:val="00AA3188"/>
    <w:rsid w:val="00AA366F"/>
    <w:rsid w:val="00AA3A4E"/>
    <w:rsid w:val="00AA3AE9"/>
    <w:rsid w:val="00AA3B4C"/>
    <w:rsid w:val="00AA3C7D"/>
    <w:rsid w:val="00AA3C86"/>
    <w:rsid w:val="00AA3E84"/>
    <w:rsid w:val="00AA3EAB"/>
    <w:rsid w:val="00AA3ED8"/>
    <w:rsid w:val="00AA3F96"/>
    <w:rsid w:val="00AA4236"/>
    <w:rsid w:val="00AA4383"/>
    <w:rsid w:val="00AA4468"/>
    <w:rsid w:val="00AA44DF"/>
    <w:rsid w:val="00AA45D1"/>
    <w:rsid w:val="00AA46E6"/>
    <w:rsid w:val="00AA4857"/>
    <w:rsid w:val="00AA4999"/>
    <w:rsid w:val="00AA49DB"/>
    <w:rsid w:val="00AA4B51"/>
    <w:rsid w:val="00AA4BDE"/>
    <w:rsid w:val="00AA4D44"/>
    <w:rsid w:val="00AA4DF2"/>
    <w:rsid w:val="00AA4E43"/>
    <w:rsid w:val="00AA4F96"/>
    <w:rsid w:val="00AA514D"/>
    <w:rsid w:val="00AA5177"/>
    <w:rsid w:val="00AA5408"/>
    <w:rsid w:val="00AA57F1"/>
    <w:rsid w:val="00AA58C8"/>
    <w:rsid w:val="00AA58D8"/>
    <w:rsid w:val="00AA5975"/>
    <w:rsid w:val="00AA59C7"/>
    <w:rsid w:val="00AA5A77"/>
    <w:rsid w:val="00AA5ACD"/>
    <w:rsid w:val="00AA5B4E"/>
    <w:rsid w:val="00AA5F1C"/>
    <w:rsid w:val="00AA5F2B"/>
    <w:rsid w:val="00AA60DB"/>
    <w:rsid w:val="00AA6100"/>
    <w:rsid w:val="00AA6117"/>
    <w:rsid w:val="00AA61BA"/>
    <w:rsid w:val="00AA624A"/>
    <w:rsid w:val="00AA649D"/>
    <w:rsid w:val="00AA6506"/>
    <w:rsid w:val="00AA6511"/>
    <w:rsid w:val="00AA652F"/>
    <w:rsid w:val="00AA65DB"/>
    <w:rsid w:val="00AA67A9"/>
    <w:rsid w:val="00AA6963"/>
    <w:rsid w:val="00AA6AD8"/>
    <w:rsid w:val="00AA6DA4"/>
    <w:rsid w:val="00AA6DD8"/>
    <w:rsid w:val="00AA6FAF"/>
    <w:rsid w:val="00AA71AA"/>
    <w:rsid w:val="00AA744D"/>
    <w:rsid w:val="00AA754D"/>
    <w:rsid w:val="00AA75FC"/>
    <w:rsid w:val="00AA76BD"/>
    <w:rsid w:val="00AA76C6"/>
    <w:rsid w:val="00AA76EA"/>
    <w:rsid w:val="00AA7708"/>
    <w:rsid w:val="00AA77B6"/>
    <w:rsid w:val="00AA7923"/>
    <w:rsid w:val="00AA79E0"/>
    <w:rsid w:val="00AA7DFA"/>
    <w:rsid w:val="00AA7E0D"/>
    <w:rsid w:val="00AB0054"/>
    <w:rsid w:val="00AB030C"/>
    <w:rsid w:val="00AB0407"/>
    <w:rsid w:val="00AB049D"/>
    <w:rsid w:val="00AB0680"/>
    <w:rsid w:val="00AB072E"/>
    <w:rsid w:val="00AB07A3"/>
    <w:rsid w:val="00AB087F"/>
    <w:rsid w:val="00AB08CA"/>
    <w:rsid w:val="00AB0A76"/>
    <w:rsid w:val="00AB0B95"/>
    <w:rsid w:val="00AB0D13"/>
    <w:rsid w:val="00AB0D4A"/>
    <w:rsid w:val="00AB1404"/>
    <w:rsid w:val="00AB15DD"/>
    <w:rsid w:val="00AB1683"/>
    <w:rsid w:val="00AB16E5"/>
    <w:rsid w:val="00AB1837"/>
    <w:rsid w:val="00AB18EF"/>
    <w:rsid w:val="00AB197D"/>
    <w:rsid w:val="00AB19AD"/>
    <w:rsid w:val="00AB1A88"/>
    <w:rsid w:val="00AB1A97"/>
    <w:rsid w:val="00AB1B3F"/>
    <w:rsid w:val="00AB1B60"/>
    <w:rsid w:val="00AB1BCB"/>
    <w:rsid w:val="00AB1C2F"/>
    <w:rsid w:val="00AB1C59"/>
    <w:rsid w:val="00AB1D86"/>
    <w:rsid w:val="00AB1FB9"/>
    <w:rsid w:val="00AB1FC7"/>
    <w:rsid w:val="00AB206C"/>
    <w:rsid w:val="00AB20F8"/>
    <w:rsid w:val="00AB2130"/>
    <w:rsid w:val="00AB2262"/>
    <w:rsid w:val="00AB22C1"/>
    <w:rsid w:val="00AB22EB"/>
    <w:rsid w:val="00AB242C"/>
    <w:rsid w:val="00AB24CC"/>
    <w:rsid w:val="00AB24D6"/>
    <w:rsid w:val="00AB259B"/>
    <w:rsid w:val="00AB2842"/>
    <w:rsid w:val="00AB285F"/>
    <w:rsid w:val="00AB28CA"/>
    <w:rsid w:val="00AB2A46"/>
    <w:rsid w:val="00AB2AA8"/>
    <w:rsid w:val="00AB2B5E"/>
    <w:rsid w:val="00AB2D29"/>
    <w:rsid w:val="00AB2DC1"/>
    <w:rsid w:val="00AB2F2D"/>
    <w:rsid w:val="00AB3137"/>
    <w:rsid w:val="00AB31A3"/>
    <w:rsid w:val="00AB3377"/>
    <w:rsid w:val="00AB3436"/>
    <w:rsid w:val="00AB35FC"/>
    <w:rsid w:val="00AB372D"/>
    <w:rsid w:val="00AB37DF"/>
    <w:rsid w:val="00AB38EA"/>
    <w:rsid w:val="00AB3986"/>
    <w:rsid w:val="00AB3A59"/>
    <w:rsid w:val="00AB3AC1"/>
    <w:rsid w:val="00AB3D6A"/>
    <w:rsid w:val="00AB3D91"/>
    <w:rsid w:val="00AB3EF1"/>
    <w:rsid w:val="00AB3F0B"/>
    <w:rsid w:val="00AB4074"/>
    <w:rsid w:val="00AB409B"/>
    <w:rsid w:val="00AB41B5"/>
    <w:rsid w:val="00AB41BD"/>
    <w:rsid w:val="00AB41D4"/>
    <w:rsid w:val="00AB430F"/>
    <w:rsid w:val="00AB43A1"/>
    <w:rsid w:val="00AB43B6"/>
    <w:rsid w:val="00AB43DE"/>
    <w:rsid w:val="00AB4599"/>
    <w:rsid w:val="00AB45CD"/>
    <w:rsid w:val="00AB45DB"/>
    <w:rsid w:val="00AB4641"/>
    <w:rsid w:val="00AB46F9"/>
    <w:rsid w:val="00AB4728"/>
    <w:rsid w:val="00AB472D"/>
    <w:rsid w:val="00AB47B4"/>
    <w:rsid w:val="00AB47B9"/>
    <w:rsid w:val="00AB49B0"/>
    <w:rsid w:val="00AB4ACD"/>
    <w:rsid w:val="00AB4C11"/>
    <w:rsid w:val="00AB4ECE"/>
    <w:rsid w:val="00AB4FE1"/>
    <w:rsid w:val="00AB500B"/>
    <w:rsid w:val="00AB5151"/>
    <w:rsid w:val="00AB522A"/>
    <w:rsid w:val="00AB5470"/>
    <w:rsid w:val="00AB58FD"/>
    <w:rsid w:val="00AB5A95"/>
    <w:rsid w:val="00AB5B68"/>
    <w:rsid w:val="00AB5C36"/>
    <w:rsid w:val="00AB6092"/>
    <w:rsid w:val="00AB62AA"/>
    <w:rsid w:val="00AB64AF"/>
    <w:rsid w:val="00AB6646"/>
    <w:rsid w:val="00AB6924"/>
    <w:rsid w:val="00AB6A2F"/>
    <w:rsid w:val="00AB6AFF"/>
    <w:rsid w:val="00AB6BD3"/>
    <w:rsid w:val="00AB6D37"/>
    <w:rsid w:val="00AB6EC9"/>
    <w:rsid w:val="00AB6FDE"/>
    <w:rsid w:val="00AB7242"/>
    <w:rsid w:val="00AB730F"/>
    <w:rsid w:val="00AB7A77"/>
    <w:rsid w:val="00AB7C3A"/>
    <w:rsid w:val="00AB7E92"/>
    <w:rsid w:val="00AB7F70"/>
    <w:rsid w:val="00AC01BB"/>
    <w:rsid w:val="00AC02AB"/>
    <w:rsid w:val="00AC0326"/>
    <w:rsid w:val="00AC04C5"/>
    <w:rsid w:val="00AC063D"/>
    <w:rsid w:val="00AC07C7"/>
    <w:rsid w:val="00AC0A54"/>
    <w:rsid w:val="00AC0A9A"/>
    <w:rsid w:val="00AC0BC0"/>
    <w:rsid w:val="00AC0D40"/>
    <w:rsid w:val="00AC0FED"/>
    <w:rsid w:val="00AC1084"/>
    <w:rsid w:val="00AC1272"/>
    <w:rsid w:val="00AC1275"/>
    <w:rsid w:val="00AC1380"/>
    <w:rsid w:val="00AC14C8"/>
    <w:rsid w:val="00AC15BA"/>
    <w:rsid w:val="00AC167C"/>
    <w:rsid w:val="00AC168B"/>
    <w:rsid w:val="00AC1729"/>
    <w:rsid w:val="00AC17B7"/>
    <w:rsid w:val="00AC1BFF"/>
    <w:rsid w:val="00AC1C4C"/>
    <w:rsid w:val="00AC1CD2"/>
    <w:rsid w:val="00AC1D9B"/>
    <w:rsid w:val="00AC1EEA"/>
    <w:rsid w:val="00AC1F0D"/>
    <w:rsid w:val="00AC1F8A"/>
    <w:rsid w:val="00AC20D1"/>
    <w:rsid w:val="00AC220C"/>
    <w:rsid w:val="00AC2340"/>
    <w:rsid w:val="00AC2413"/>
    <w:rsid w:val="00AC244A"/>
    <w:rsid w:val="00AC24CA"/>
    <w:rsid w:val="00AC2544"/>
    <w:rsid w:val="00AC27BA"/>
    <w:rsid w:val="00AC27EC"/>
    <w:rsid w:val="00AC2893"/>
    <w:rsid w:val="00AC29CC"/>
    <w:rsid w:val="00AC2A2C"/>
    <w:rsid w:val="00AC2E4C"/>
    <w:rsid w:val="00AC2EC6"/>
    <w:rsid w:val="00AC2F36"/>
    <w:rsid w:val="00AC3309"/>
    <w:rsid w:val="00AC35E2"/>
    <w:rsid w:val="00AC3670"/>
    <w:rsid w:val="00AC37B5"/>
    <w:rsid w:val="00AC38FE"/>
    <w:rsid w:val="00AC3926"/>
    <w:rsid w:val="00AC39C3"/>
    <w:rsid w:val="00AC3D30"/>
    <w:rsid w:val="00AC3DBA"/>
    <w:rsid w:val="00AC3FC2"/>
    <w:rsid w:val="00AC408E"/>
    <w:rsid w:val="00AC4136"/>
    <w:rsid w:val="00AC4663"/>
    <w:rsid w:val="00AC46C3"/>
    <w:rsid w:val="00AC479C"/>
    <w:rsid w:val="00AC4891"/>
    <w:rsid w:val="00AC48D4"/>
    <w:rsid w:val="00AC495F"/>
    <w:rsid w:val="00AC498B"/>
    <w:rsid w:val="00AC49C9"/>
    <w:rsid w:val="00AC4B30"/>
    <w:rsid w:val="00AC4C3C"/>
    <w:rsid w:val="00AC4CA8"/>
    <w:rsid w:val="00AC4CB7"/>
    <w:rsid w:val="00AC4DE5"/>
    <w:rsid w:val="00AC53B0"/>
    <w:rsid w:val="00AC5519"/>
    <w:rsid w:val="00AC5604"/>
    <w:rsid w:val="00AC5623"/>
    <w:rsid w:val="00AC59A1"/>
    <w:rsid w:val="00AC59CF"/>
    <w:rsid w:val="00AC5BC6"/>
    <w:rsid w:val="00AC5D80"/>
    <w:rsid w:val="00AC5F10"/>
    <w:rsid w:val="00AC6158"/>
    <w:rsid w:val="00AC615C"/>
    <w:rsid w:val="00AC616D"/>
    <w:rsid w:val="00AC618E"/>
    <w:rsid w:val="00AC61A8"/>
    <w:rsid w:val="00AC628B"/>
    <w:rsid w:val="00AC62A7"/>
    <w:rsid w:val="00AC62E5"/>
    <w:rsid w:val="00AC6482"/>
    <w:rsid w:val="00AC6512"/>
    <w:rsid w:val="00AC66B9"/>
    <w:rsid w:val="00AC67DA"/>
    <w:rsid w:val="00AC67DC"/>
    <w:rsid w:val="00AC67E1"/>
    <w:rsid w:val="00AC6874"/>
    <w:rsid w:val="00AC68CA"/>
    <w:rsid w:val="00AC6B16"/>
    <w:rsid w:val="00AC6C58"/>
    <w:rsid w:val="00AC6CED"/>
    <w:rsid w:val="00AC6F16"/>
    <w:rsid w:val="00AC6F6A"/>
    <w:rsid w:val="00AC718E"/>
    <w:rsid w:val="00AC72E9"/>
    <w:rsid w:val="00AC7471"/>
    <w:rsid w:val="00AC7503"/>
    <w:rsid w:val="00AC7824"/>
    <w:rsid w:val="00AC782C"/>
    <w:rsid w:val="00AC7BF7"/>
    <w:rsid w:val="00AC7C7B"/>
    <w:rsid w:val="00AC7D09"/>
    <w:rsid w:val="00AC7E75"/>
    <w:rsid w:val="00AD0165"/>
    <w:rsid w:val="00AD0289"/>
    <w:rsid w:val="00AD0434"/>
    <w:rsid w:val="00AD0445"/>
    <w:rsid w:val="00AD05D1"/>
    <w:rsid w:val="00AD06F6"/>
    <w:rsid w:val="00AD0776"/>
    <w:rsid w:val="00AD08E0"/>
    <w:rsid w:val="00AD0926"/>
    <w:rsid w:val="00AD0B24"/>
    <w:rsid w:val="00AD0C56"/>
    <w:rsid w:val="00AD0E8C"/>
    <w:rsid w:val="00AD0F4A"/>
    <w:rsid w:val="00AD1274"/>
    <w:rsid w:val="00AD14B0"/>
    <w:rsid w:val="00AD1898"/>
    <w:rsid w:val="00AD18EC"/>
    <w:rsid w:val="00AD18F5"/>
    <w:rsid w:val="00AD1AC3"/>
    <w:rsid w:val="00AD1B6D"/>
    <w:rsid w:val="00AD1DDF"/>
    <w:rsid w:val="00AD1F9C"/>
    <w:rsid w:val="00AD256C"/>
    <w:rsid w:val="00AD25C1"/>
    <w:rsid w:val="00AD25EF"/>
    <w:rsid w:val="00AD25F8"/>
    <w:rsid w:val="00AD26D2"/>
    <w:rsid w:val="00AD26E5"/>
    <w:rsid w:val="00AD28BE"/>
    <w:rsid w:val="00AD2A46"/>
    <w:rsid w:val="00AD2A6D"/>
    <w:rsid w:val="00AD2AFD"/>
    <w:rsid w:val="00AD2B5E"/>
    <w:rsid w:val="00AD2ECB"/>
    <w:rsid w:val="00AD2EFC"/>
    <w:rsid w:val="00AD2F2E"/>
    <w:rsid w:val="00AD312B"/>
    <w:rsid w:val="00AD337F"/>
    <w:rsid w:val="00AD34C4"/>
    <w:rsid w:val="00AD3C62"/>
    <w:rsid w:val="00AD3CB9"/>
    <w:rsid w:val="00AD3D43"/>
    <w:rsid w:val="00AD3E39"/>
    <w:rsid w:val="00AD42B1"/>
    <w:rsid w:val="00AD43A8"/>
    <w:rsid w:val="00AD43A9"/>
    <w:rsid w:val="00AD440B"/>
    <w:rsid w:val="00AD441A"/>
    <w:rsid w:val="00AD44E1"/>
    <w:rsid w:val="00AD4547"/>
    <w:rsid w:val="00AD4591"/>
    <w:rsid w:val="00AD4711"/>
    <w:rsid w:val="00AD4736"/>
    <w:rsid w:val="00AD489A"/>
    <w:rsid w:val="00AD4982"/>
    <w:rsid w:val="00AD4A2D"/>
    <w:rsid w:val="00AD4C2B"/>
    <w:rsid w:val="00AD4D94"/>
    <w:rsid w:val="00AD4FE4"/>
    <w:rsid w:val="00AD524D"/>
    <w:rsid w:val="00AD5335"/>
    <w:rsid w:val="00AD55A5"/>
    <w:rsid w:val="00AD55C0"/>
    <w:rsid w:val="00AD56AB"/>
    <w:rsid w:val="00AD5703"/>
    <w:rsid w:val="00AD5775"/>
    <w:rsid w:val="00AD5850"/>
    <w:rsid w:val="00AD5891"/>
    <w:rsid w:val="00AD5A72"/>
    <w:rsid w:val="00AD5B68"/>
    <w:rsid w:val="00AD5BF3"/>
    <w:rsid w:val="00AD5D77"/>
    <w:rsid w:val="00AD5D99"/>
    <w:rsid w:val="00AD5F8D"/>
    <w:rsid w:val="00AD5FA1"/>
    <w:rsid w:val="00AD604D"/>
    <w:rsid w:val="00AD617E"/>
    <w:rsid w:val="00AD62A1"/>
    <w:rsid w:val="00AD6366"/>
    <w:rsid w:val="00AD6534"/>
    <w:rsid w:val="00AD6718"/>
    <w:rsid w:val="00AD671B"/>
    <w:rsid w:val="00AD6926"/>
    <w:rsid w:val="00AD69B7"/>
    <w:rsid w:val="00AD6C7D"/>
    <w:rsid w:val="00AD76DC"/>
    <w:rsid w:val="00AD7756"/>
    <w:rsid w:val="00AD7790"/>
    <w:rsid w:val="00AD78A6"/>
    <w:rsid w:val="00AD7A1F"/>
    <w:rsid w:val="00AD7ACC"/>
    <w:rsid w:val="00AD7B05"/>
    <w:rsid w:val="00AD7EBB"/>
    <w:rsid w:val="00AD7F30"/>
    <w:rsid w:val="00AD7FD3"/>
    <w:rsid w:val="00AD7FD5"/>
    <w:rsid w:val="00AE0012"/>
    <w:rsid w:val="00AE00B2"/>
    <w:rsid w:val="00AE01BE"/>
    <w:rsid w:val="00AE0258"/>
    <w:rsid w:val="00AE02B6"/>
    <w:rsid w:val="00AE03C2"/>
    <w:rsid w:val="00AE05F4"/>
    <w:rsid w:val="00AE05FB"/>
    <w:rsid w:val="00AE066A"/>
    <w:rsid w:val="00AE076A"/>
    <w:rsid w:val="00AE092B"/>
    <w:rsid w:val="00AE0990"/>
    <w:rsid w:val="00AE0AF2"/>
    <w:rsid w:val="00AE0B6A"/>
    <w:rsid w:val="00AE0E3B"/>
    <w:rsid w:val="00AE0FBB"/>
    <w:rsid w:val="00AE10D0"/>
    <w:rsid w:val="00AE159B"/>
    <w:rsid w:val="00AE17A7"/>
    <w:rsid w:val="00AE17BB"/>
    <w:rsid w:val="00AE18BD"/>
    <w:rsid w:val="00AE1A85"/>
    <w:rsid w:val="00AE1AB1"/>
    <w:rsid w:val="00AE1B14"/>
    <w:rsid w:val="00AE1E6C"/>
    <w:rsid w:val="00AE1F1D"/>
    <w:rsid w:val="00AE22D6"/>
    <w:rsid w:val="00AE22FB"/>
    <w:rsid w:val="00AE2344"/>
    <w:rsid w:val="00AE24EF"/>
    <w:rsid w:val="00AE2575"/>
    <w:rsid w:val="00AE286A"/>
    <w:rsid w:val="00AE28B8"/>
    <w:rsid w:val="00AE2ADC"/>
    <w:rsid w:val="00AE2C51"/>
    <w:rsid w:val="00AE2E22"/>
    <w:rsid w:val="00AE2EA5"/>
    <w:rsid w:val="00AE2EBA"/>
    <w:rsid w:val="00AE2F3A"/>
    <w:rsid w:val="00AE2FA8"/>
    <w:rsid w:val="00AE30E3"/>
    <w:rsid w:val="00AE3111"/>
    <w:rsid w:val="00AE31DE"/>
    <w:rsid w:val="00AE31F6"/>
    <w:rsid w:val="00AE33CD"/>
    <w:rsid w:val="00AE342D"/>
    <w:rsid w:val="00AE361E"/>
    <w:rsid w:val="00AE362A"/>
    <w:rsid w:val="00AE36E3"/>
    <w:rsid w:val="00AE3741"/>
    <w:rsid w:val="00AE3A5E"/>
    <w:rsid w:val="00AE3C20"/>
    <w:rsid w:val="00AE3C28"/>
    <w:rsid w:val="00AE3D78"/>
    <w:rsid w:val="00AE3E8D"/>
    <w:rsid w:val="00AE3FE9"/>
    <w:rsid w:val="00AE400C"/>
    <w:rsid w:val="00AE4099"/>
    <w:rsid w:val="00AE40FE"/>
    <w:rsid w:val="00AE42F4"/>
    <w:rsid w:val="00AE4502"/>
    <w:rsid w:val="00AE45ED"/>
    <w:rsid w:val="00AE4666"/>
    <w:rsid w:val="00AE4762"/>
    <w:rsid w:val="00AE4872"/>
    <w:rsid w:val="00AE492B"/>
    <w:rsid w:val="00AE4C25"/>
    <w:rsid w:val="00AE4D25"/>
    <w:rsid w:val="00AE4EA6"/>
    <w:rsid w:val="00AE4F75"/>
    <w:rsid w:val="00AE5040"/>
    <w:rsid w:val="00AE523B"/>
    <w:rsid w:val="00AE5426"/>
    <w:rsid w:val="00AE5771"/>
    <w:rsid w:val="00AE5A14"/>
    <w:rsid w:val="00AE5A3B"/>
    <w:rsid w:val="00AE5CA9"/>
    <w:rsid w:val="00AE5E2E"/>
    <w:rsid w:val="00AE5F60"/>
    <w:rsid w:val="00AE61A0"/>
    <w:rsid w:val="00AE6297"/>
    <w:rsid w:val="00AE63C3"/>
    <w:rsid w:val="00AE63D3"/>
    <w:rsid w:val="00AE6643"/>
    <w:rsid w:val="00AE66C8"/>
    <w:rsid w:val="00AE69FD"/>
    <w:rsid w:val="00AE6BFC"/>
    <w:rsid w:val="00AE6C95"/>
    <w:rsid w:val="00AE6CF6"/>
    <w:rsid w:val="00AE6D70"/>
    <w:rsid w:val="00AE6EE6"/>
    <w:rsid w:val="00AE6F16"/>
    <w:rsid w:val="00AE6F48"/>
    <w:rsid w:val="00AE6F4C"/>
    <w:rsid w:val="00AE7017"/>
    <w:rsid w:val="00AE703F"/>
    <w:rsid w:val="00AE71A4"/>
    <w:rsid w:val="00AE73E2"/>
    <w:rsid w:val="00AE73E3"/>
    <w:rsid w:val="00AE74C6"/>
    <w:rsid w:val="00AE7563"/>
    <w:rsid w:val="00AE75DE"/>
    <w:rsid w:val="00AE75EB"/>
    <w:rsid w:val="00AE77B0"/>
    <w:rsid w:val="00AE77FF"/>
    <w:rsid w:val="00AE7945"/>
    <w:rsid w:val="00AE7B3C"/>
    <w:rsid w:val="00AE7B3F"/>
    <w:rsid w:val="00AE7ED9"/>
    <w:rsid w:val="00AE7F42"/>
    <w:rsid w:val="00AF0220"/>
    <w:rsid w:val="00AF0312"/>
    <w:rsid w:val="00AF07D9"/>
    <w:rsid w:val="00AF094C"/>
    <w:rsid w:val="00AF0A83"/>
    <w:rsid w:val="00AF0DC0"/>
    <w:rsid w:val="00AF0E8C"/>
    <w:rsid w:val="00AF104D"/>
    <w:rsid w:val="00AF10D7"/>
    <w:rsid w:val="00AF11F8"/>
    <w:rsid w:val="00AF12CC"/>
    <w:rsid w:val="00AF1352"/>
    <w:rsid w:val="00AF152D"/>
    <w:rsid w:val="00AF15BC"/>
    <w:rsid w:val="00AF18FD"/>
    <w:rsid w:val="00AF1A36"/>
    <w:rsid w:val="00AF1B7B"/>
    <w:rsid w:val="00AF1D4E"/>
    <w:rsid w:val="00AF1E3E"/>
    <w:rsid w:val="00AF1E71"/>
    <w:rsid w:val="00AF1ED9"/>
    <w:rsid w:val="00AF1FDE"/>
    <w:rsid w:val="00AF20F6"/>
    <w:rsid w:val="00AF2442"/>
    <w:rsid w:val="00AF247E"/>
    <w:rsid w:val="00AF2522"/>
    <w:rsid w:val="00AF25CA"/>
    <w:rsid w:val="00AF26BE"/>
    <w:rsid w:val="00AF26D4"/>
    <w:rsid w:val="00AF2712"/>
    <w:rsid w:val="00AF27F4"/>
    <w:rsid w:val="00AF28F2"/>
    <w:rsid w:val="00AF29B6"/>
    <w:rsid w:val="00AF2B0E"/>
    <w:rsid w:val="00AF2B7D"/>
    <w:rsid w:val="00AF2C30"/>
    <w:rsid w:val="00AF2CC4"/>
    <w:rsid w:val="00AF2E2C"/>
    <w:rsid w:val="00AF311C"/>
    <w:rsid w:val="00AF315A"/>
    <w:rsid w:val="00AF33E1"/>
    <w:rsid w:val="00AF3435"/>
    <w:rsid w:val="00AF349B"/>
    <w:rsid w:val="00AF3608"/>
    <w:rsid w:val="00AF362E"/>
    <w:rsid w:val="00AF366D"/>
    <w:rsid w:val="00AF379D"/>
    <w:rsid w:val="00AF3878"/>
    <w:rsid w:val="00AF3933"/>
    <w:rsid w:val="00AF3AAB"/>
    <w:rsid w:val="00AF3B71"/>
    <w:rsid w:val="00AF3BA1"/>
    <w:rsid w:val="00AF3BFD"/>
    <w:rsid w:val="00AF3CE9"/>
    <w:rsid w:val="00AF3E16"/>
    <w:rsid w:val="00AF3E4C"/>
    <w:rsid w:val="00AF3EF8"/>
    <w:rsid w:val="00AF3F75"/>
    <w:rsid w:val="00AF41C5"/>
    <w:rsid w:val="00AF41F8"/>
    <w:rsid w:val="00AF43EF"/>
    <w:rsid w:val="00AF4AFD"/>
    <w:rsid w:val="00AF4BCF"/>
    <w:rsid w:val="00AF4BED"/>
    <w:rsid w:val="00AF4C3B"/>
    <w:rsid w:val="00AF4D5B"/>
    <w:rsid w:val="00AF4F29"/>
    <w:rsid w:val="00AF4F6A"/>
    <w:rsid w:val="00AF5190"/>
    <w:rsid w:val="00AF52DB"/>
    <w:rsid w:val="00AF5339"/>
    <w:rsid w:val="00AF53D6"/>
    <w:rsid w:val="00AF5443"/>
    <w:rsid w:val="00AF555C"/>
    <w:rsid w:val="00AF57AD"/>
    <w:rsid w:val="00AF58E3"/>
    <w:rsid w:val="00AF5937"/>
    <w:rsid w:val="00AF5969"/>
    <w:rsid w:val="00AF597F"/>
    <w:rsid w:val="00AF59CA"/>
    <w:rsid w:val="00AF5AE8"/>
    <w:rsid w:val="00AF5AF4"/>
    <w:rsid w:val="00AF5C3D"/>
    <w:rsid w:val="00AF5C4E"/>
    <w:rsid w:val="00AF5D63"/>
    <w:rsid w:val="00AF5DB0"/>
    <w:rsid w:val="00AF5DDB"/>
    <w:rsid w:val="00AF5E13"/>
    <w:rsid w:val="00AF5F2F"/>
    <w:rsid w:val="00AF6353"/>
    <w:rsid w:val="00AF65B1"/>
    <w:rsid w:val="00AF65DF"/>
    <w:rsid w:val="00AF6623"/>
    <w:rsid w:val="00AF6694"/>
    <w:rsid w:val="00AF6886"/>
    <w:rsid w:val="00AF6934"/>
    <w:rsid w:val="00AF6A5E"/>
    <w:rsid w:val="00AF6C23"/>
    <w:rsid w:val="00AF6DC5"/>
    <w:rsid w:val="00AF6E06"/>
    <w:rsid w:val="00AF70D9"/>
    <w:rsid w:val="00AF71A8"/>
    <w:rsid w:val="00AF7287"/>
    <w:rsid w:val="00AF745F"/>
    <w:rsid w:val="00AF74DE"/>
    <w:rsid w:val="00AF759A"/>
    <w:rsid w:val="00AF7621"/>
    <w:rsid w:val="00AF7717"/>
    <w:rsid w:val="00AF7734"/>
    <w:rsid w:val="00AF7C74"/>
    <w:rsid w:val="00AF7C79"/>
    <w:rsid w:val="00AF7CBA"/>
    <w:rsid w:val="00B00142"/>
    <w:rsid w:val="00B0031A"/>
    <w:rsid w:val="00B0032D"/>
    <w:rsid w:val="00B00527"/>
    <w:rsid w:val="00B00660"/>
    <w:rsid w:val="00B006ED"/>
    <w:rsid w:val="00B00983"/>
    <w:rsid w:val="00B00BE9"/>
    <w:rsid w:val="00B00CA2"/>
    <w:rsid w:val="00B00CE1"/>
    <w:rsid w:val="00B00CE2"/>
    <w:rsid w:val="00B00D1D"/>
    <w:rsid w:val="00B00D26"/>
    <w:rsid w:val="00B00E65"/>
    <w:rsid w:val="00B00F64"/>
    <w:rsid w:val="00B01014"/>
    <w:rsid w:val="00B011CC"/>
    <w:rsid w:val="00B013FD"/>
    <w:rsid w:val="00B014F6"/>
    <w:rsid w:val="00B0153B"/>
    <w:rsid w:val="00B01752"/>
    <w:rsid w:val="00B01770"/>
    <w:rsid w:val="00B017C3"/>
    <w:rsid w:val="00B01838"/>
    <w:rsid w:val="00B01916"/>
    <w:rsid w:val="00B01B00"/>
    <w:rsid w:val="00B01C41"/>
    <w:rsid w:val="00B01DA1"/>
    <w:rsid w:val="00B01DD8"/>
    <w:rsid w:val="00B02130"/>
    <w:rsid w:val="00B02162"/>
    <w:rsid w:val="00B02290"/>
    <w:rsid w:val="00B02326"/>
    <w:rsid w:val="00B027CF"/>
    <w:rsid w:val="00B028D4"/>
    <w:rsid w:val="00B0296C"/>
    <w:rsid w:val="00B02A0B"/>
    <w:rsid w:val="00B02B12"/>
    <w:rsid w:val="00B02B33"/>
    <w:rsid w:val="00B02BB4"/>
    <w:rsid w:val="00B02E3B"/>
    <w:rsid w:val="00B03070"/>
    <w:rsid w:val="00B030E8"/>
    <w:rsid w:val="00B031C1"/>
    <w:rsid w:val="00B031EB"/>
    <w:rsid w:val="00B033B8"/>
    <w:rsid w:val="00B033E5"/>
    <w:rsid w:val="00B03526"/>
    <w:rsid w:val="00B03540"/>
    <w:rsid w:val="00B03601"/>
    <w:rsid w:val="00B037F6"/>
    <w:rsid w:val="00B03873"/>
    <w:rsid w:val="00B03B05"/>
    <w:rsid w:val="00B03B7D"/>
    <w:rsid w:val="00B03F10"/>
    <w:rsid w:val="00B0408F"/>
    <w:rsid w:val="00B041C4"/>
    <w:rsid w:val="00B041E7"/>
    <w:rsid w:val="00B04320"/>
    <w:rsid w:val="00B043DD"/>
    <w:rsid w:val="00B044BC"/>
    <w:rsid w:val="00B04624"/>
    <w:rsid w:val="00B047F5"/>
    <w:rsid w:val="00B04A60"/>
    <w:rsid w:val="00B04A81"/>
    <w:rsid w:val="00B04AF3"/>
    <w:rsid w:val="00B04BEE"/>
    <w:rsid w:val="00B04EE8"/>
    <w:rsid w:val="00B051D7"/>
    <w:rsid w:val="00B05309"/>
    <w:rsid w:val="00B05342"/>
    <w:rsid w:val="00B0583B"/>
    <w:rsid w:val="00B059AA"/>
    <w:rsid w:val="00B059BF"/>
    <w:rsid w:val="00B05B65"/>
    <w:rsid w:val="00B05B6B"/>
    <w:rsid w:val="00B05D15"/>
    <w:rsid w:val="00B05E2C"/>
    <w:rsid w:val="00B05F3E"/>
    <w:rsid w:val="00B05F7E"/>
    <w:rsid w:val="00B05FF2"/>
    <w:rsid w:val="00B06215"/>
    <w:rsid w:val="00B062B0"/>
    <w:rsid w:val="00B0670A"/>
    <w:rsid w:val="00B06722"/>
    <w:rsid w:val="00B068A0"/>
    <w:rsid w:val="00B068CD"/>
    <w:rsid w:val="00B069E9"/>
    <w:rsid w:val="00B06A3D"/>
    <w:rsid w:val="00B06A95"/>
    <w:rsid w:val="00B06BA2"/>
    <w:rsid w:val="00B06BE0"/>
    <w:rsid w:val="00B06C41"/>
    <w:rsid w:val="00B06CA1"/>
    <w:rsid w:val="00B0713C"/>
    <w:rsid w:val="00B072AC"/>
    <w:rsid w:val="00B074F3"/>
    <w:rsid w:val="00B0752D"/>
    <w:rsid w:val="00B07595"/>
    <w:rsid w:val="00B07624"/>
    <w:rsid w:val="00B0777E"/>
    <w:rsid w:val="00B077BD"/>
    <w:rsid w:val="00B07917"/>
    <w:rsid w:val="00B07919"/>
    <w:rsid w:val="00B07C75"/>
    <w:rsid w:val="00B07D93"/>
    <w:rsid w:val="00B07D94"/>
    <w:rsid w:val="00B07E84"/>
    <w:rsid w:val="00B07F04"/>
    <w:rsid w:val="00B07F54"/>
    <w:rsid w:val="00B100B0"/>
    <w:rsid w:val="00B100B7"/>
    <w:rsid w:val="00B10152"/>
    <w:rsid w:val="00B1039E"/>
    <w:rsid w:val="00B10580"/>
    <w:rsid w:val="00B105F1"/>
    <w:rsid w:val="00B1073D"/>
    <w:rsid w:val="00B107B0"/>
    <w:rsid w:val="00B10AF5"/>
    <w:rsid w:val="00B10B5F"/>
    <w:rsid w:val="00B10BB9"/>
    <w:rsid w:val="00B10BC3"/>
    <w:rsid w:val="00B10E24"/>
    <w:rsid w:val="00B10F06"/>
    <w:rsid w:val="00B10FCB"/>
    <w:rsid w:val="00B11167"/>
    <w:rsid w:val="00B113C5"/>
    <w:rsid w:val="00B115A1"/>
    <w:rsid w:val="00B11663"/>
    <w:rsid w:val="00B116B3"/>
    <w:rsid w:val="00B11774"/>
    <w:rsid w:val="00B119E2"/>
    <w:rsid w:val="00B11AA8"/>
    <w:rsid w:val="00B11B05"/>
    <w:rsid w:val="00B11B2A"/>
    <w:rsid w:val="00B11B84"/>
    <w:rsid w:val="00B11CC3"/>
    <w:rsid w:val="00B11D24"/>
    <w:rsid w:val="00B11D92"/>
    <w:rsid w:val="00B11F1D"/>
    <w:rsid w:val="00B11F62"/>
    <w:rsid w:val="00B121C6"/>
    <w:rsid w:val="00B122F8"/>
    <w:rsid w:val="00B1241C"/>
    <w:rsid w:val="00B1263C"/>
    <w:rsid w:val="00B1265B"/>
    <w:rsid w:val="00B1278A"/>
    <w:rsid w:val="00B12A83"/>
    <w:rsid w:val="00B12AFC"/>
    <w:rsid w:val="00B12C2F"/>
    <w:rsid w:val="00B12C76"/>
    <w:rsid w:val="00B13050"/>
    <w:rsid w:val="00B13068"/>
    <w:rsid w:val="00B1318B"/>
    <w:rsid w:val="00B131B8"/>
    <w:rsid w:val="00B132A1"/>
    <w:rsid w:val="00B1348C"/>
    <w:rsid w:val="00B135DA"/>
    <w:rsid w:val="00B137BA"/>
    <w:rsid w:val="00B13818"/>
    <w:rsid w:val="00B13909"/>
    <w:rsid w:val="00B13930"/>
    <w:rsid w:val="00B13973"/>
    <w:rsid w:val="00B13BA9"/>
    <w:rsid w:val="00B13C03"/>
    <w:rsid w:val="00B13D21"/>
    <w:rsid w:val="00B13D75"/>
    <w:rsid w:val="00B13D7C"/>
    <w:rsid w:val="00B13F82"/>
    <w:rsid w:val="00B13FDD"/>
    <w:rsid w:val="00B1419C"/>
    <w:rsid w:val="00B1420F"/>
    <w:rsid w:val="00B14331"/>
    <w:rsid w:val="00B14398"/>
    <w:rsid w:val="00B143AF"/>
    <w:rsid w:val="00B144C8"/>
    <w:rsid w:val="00B146A6"/>
    <w:rsid w:val="00B148C5"/>
    <w:rsid w:val="00B148CA"/>
    <w:rsid w:val="00B1494A"/>
    <w:rsid w:val="00B14983"/>
    <w:rsid w:val="00B14B34"/>
    <w:rsid w:val="00B14D41"/>
    <w:rsid w:val="00B14DDC"/>
    <w:rsid w:val="00B14EFA"/>
    <w:rsid w:val="00B14FE4"/>
    <w:rsid w:val="00B15261"/>
    <w:rsid w:val="00B15323"/>
    <w:rsid w:val="00B153DB"/>
    <w:rsid w:val="00B158CD"/>
    <w:rsid w:val="00B15A47"/>
    <w:rsid w:val="00B15B6E"/>
    <w:rsid w:val="00B15B9D"/>
    <w:rsid w:val="00B15C41"/>
    <w:rsid w:val="00B15F6C"/>
    <w:rsid w:val="00B1626E"/>
    <w:rsid w:val="00B1629C"/>
    <w:rsid w:val="00B162C2"/>
    <w:rsid w:val="00B162F5"/>
    <w:rsid w:val="00B16341"/>
    <w:rsid w:val="00B1679E"/>
    <w:rsid w:val="00B167D0"/>
    <w:rsid w:val="00B1681B"/>
    <w:rsid w:val="00B168C7"/>
    <w:rsid w:val="00B1694D"/>
    <w:rsid w:val="00B16B00"/>
    <w:rsid w:val="00B16B5C"/>
    <w:rsid w:val="00B16BD2"/>
    <w:rsid w:val="00B16F59"/>
    <w:rsid w:val="00B17047"/>
    <w:rsid w:val="00B172E3"/>
    <w:rsid w:val="00B17315"/>
    <w:rsid w:val="00B1736A"/>
    <w:rsid w:val="00B1739D"/>
    <w:rsid w:val="00B174CA"/>
    <w:rsid w:val="00B176F3"/>
    <w:rsid w:val="00B177D9"/>
    <w:rsid w:val="00B178D0"/>
    <w:rsid w:val="00B178DA"/>
    <w:rsid w:val="00B17AF7"/>
    <w:rsid w:val="00B17AFA"/>
    <w:rsid w:val="00B17C11"/>
    <w:rsid w:val="00B17C2E"/>
    <w:rsid w:val="00B17D4C"/>
    <w:rsid w:val="00B200A9"/>
    <w:rsid w:val="00B201E6"/>
    <w:rsid w:val="00B203B5"/>
    <w:rsid w:val="00B205C6"/>
    <w:rsid w:val="00B205CE"/>
    <w:rsid w:val="00B20622"/>
    <w:rsid w:val="00B20635"/>
    <w:rsid w:val="00B206AD"/>
    <w:rsid w:val="00B207D7"/>
    <w:rsid w:val="00B209DC"/>
    <w:rsid w:val="00B20A5D"/>
    <w:rsid w:val="00B20B79"/>
    <w:rsid w:val="00B20D12"/>
    <w:rsid w:val="00B20F5C"/>
    <w:rsid w:val="00B20F75"/>
    <w:rsid w:val="00B210EB"/>
    <w:rsid w:val="00B21150"/>
    <w:rsid w:val="00B2116C"/>
    <w:rsid w:val="00B2117A"/>
    <w:rsid w:val="00B21349"/>
    <w:rsid w:val="00B2142B"/>
    <w:rsid w:val="00B21891"/>
    <w:rsid w:val="00B21ACB"/>
    <w:rsid w:val="00B21AD1"/>
    <w:rsid w:val="00B21B98"/>
    <w:rsid w:val="00B21D2D"/>
    <w:rsid w:val="00B21ED9"/>
    <w:rsid w:val="00B21FD6"/>
    <w:rsid w:val="00B22051"/>
    <w:rsid w:val="00B22480"/>
    <w:rsid w:val="00B224BB"/>
    <w:rsid w:val="00B22523"/>
    <w:rsid w:val="00B22532"/>
    <w:rsid w:val="00B22778"/>
    <w:rsid w:val="00B2287A"/>
    <w:rsid w:val="00B229B0"/>
    <w:rsid w:val="00B22A62"/>
    <w:rsid w:val="00B22C5B"/>
    <w:rsid w:val="00B22DEE"/>
    <w:rsid w:val="00B22EBC"/>
    <w:rsid w:val="00B231EA"/>
    <w:rsid w:val="00B23405"/>
    <w:rsid w:val="00B2340B"/>
    <w:rsid w:val="00B23452"/>
    <w:rsid w:val="00B235C7"/>
    <w:rsid w:val="00B235FE"/>
    <w:rsid w:val="00B2366E"/>
    <w:rsid w:val="00B236BF"/>
    <w:rsid w:val="00B23704"/>
    <w:rsid w:val="00B23D4F"/>
    <w:rsid w:val="00B23E12"/>
    <w:rsid w:val="00B23EB8"/>
    <w:rsid w:val="00B23EEE"/>
    <w:rsid w:val="00B2429C"/>
    <w:rsid w:val="00B242AF"/>
    <w:rsid w:val="00B244B5"/>
    <w:rsid w:val="00B24515"/>
    <w:rsid w:val="00B24585"/>
    <w:rsid w:val="00B2468B"/>
    <w:rsid w:val="00B24757"/>
    <w:rsid w:val="00B247FD"/>
    <w:rsid w:val="00B24839"/>
    <w:rsid w:val="00B2486E"/>
    <w:rsid w:val="00B248B1"/>
    <w:rsid w:val="00B24B42"/>
    <w:rsid w:val="00B24DC2"/>
    <w:rsid w:val="00B24E41"/>
    <w:rsid w:val="00B24FF9"/>
    <w:rsid w:val="00B25032"/>
    <w:rsid w:val="00B25306"/>
    <w:rsid w:val="00B25338"/>
    <w:rsid w:val="00B2557C"/>
    <w:rsid w:val="00B2585B"/>
    <w:rsid w:val="00B25A9F"/>
    <w:rsid w:val="00B25C82"/>
    <w:rsid w:val="00B26235"/>
    <w:rsid w:val="00B262B3"/>
    <w:rsid w:val="00B263A4"/>
    <w:rsid w:val="00B26426"/>
    <w:rsid w:val="00B2655D"/>
    <w:rsid w:val="00B265D7"/>
    <w:rsid w:val="00B268BC"/>
    <w:rsid w:val="00B2690A"/>
    <w:rsid w:val="00B26C4B"/>
    <w:rsid w:val="00B26C92"/>
    <w:rsid w:val="00B26E91"/>
    <w:rsid w:val="00B26EB9"/>
    <w:rsid w:val="00B2705E"/>
    <w:rsid w:val="00B2708D"/>
    <w:rsid w:val="00B27115"/>
    <w:rsid w:val="00B27232"/>
    <w:rsid w:val="00B2748A"/>
    <w:rsid w:val="00B275D9"/>
    <w:rsid w:val="00B276DB"/>
    <w:rsid w:val="00B276E6"/>
    <w:rsid w:val="00B277DB"/>
    <w:rsid w:val="00B27864"/>
    <w:rsid w:val="00B27895"/>
    <w:rsid w:val="00B278B1"/>
    <w:rsid w:val="00B27926"/>
    <w:rsid w:val="00B2792D"/>
    <w:rsid w:val="00B279CF"/>
    <w:rsid w:val="00B27CF7"/>
    <w:rsid w:val="00B27F64"/>
    <w:rsid w:val="00B301F9"/>
    <w:rsid w:val="00B3021B"/>
    <w:rsid w:val="00B30355"/>
    <w:rsid w:val="00B30412"/>
    <w:rsid w:val="00B3042B"/>
    <w:rsid w:val="00B307CD"/>
    <w:rsid w:val="00B30A44"/>
    <w:rsid w:val="00B30AD6"/>
    <w:rsid w:val="00B30AD9"/>
    <w:rsid w:val="00B30DF3"/>
    <w:rsid w:val="00B30E67"/>
    <w:rsid w:val="00B30EB1"/>
    <w:rsid w:val="00B30ED3"/>
    <w:rsid w:val="00B30F1B"/>
    <w:rsid w:val="00B30F8A"/>
    <w:rsid w:val="00B30FD9"/>
    <w:rsid w:val="00B31099"/>
    <w:rsid w:val="00B31179"/>
    <w:rsid w:val="00B3122A"/>
    <w:rsid w:val="00B3125E"/>
    <w:rsid w:val="00B31274"/>
    <w:rsid w:val="00B312AA"/>
    <w:rsid w:val="00B312D4"/>
    <w:rsid w:val="00B315A7"/>
    <w:rsid w:val="00B315B1"/>
    <w:rsid w:val="00B316CE"/>
    <w:rsid w:val="00B31781"/>
    <w:rsid w:val="00B3180A"/>
    <w:rsid w:val="00B318B8"/>
    <w:rsid w:val="00B31B6A"/>
    <w:rsid w:val="00B31BA8"/>
    <w:rsid w:val="00B31BE8"/>
    <w:rsid w:val="00B31C4B"/>
    <w:rsid w:val="00B31CC9"/>
    <w:rsid w:val="00B31D72"/>
    <w:rsid w:val="00B321EA"/>
    <w:rsid w:val="00B32409"/>
    <w:rsid w:val="00B3252A"/>
    <w:rsid w:val="00B32531"/>
    <w:rsid w:val="00B32702"/>
    <w:rsid w:val="00B3272B"/>
    <w:rsid w:val="00B3282B"/>
    <w:rsid w:val="00B32955"/>
    <w:rsid w:val="00B32B95"/>
    <w:rsid w:val="00B32C0A"/>
    <w:rsid w:val="00B32DC6"/>
    <w:rsid w:val="00B32E6D"/>
    <w:rsid w:val="00B33093"/>
    <w:rsid w:val="00B33152"/>
    <w:rsid w:val="00B331EC"/>
    <w:rsid w:val="00B334E3"/>
    <w:rsid w:val="00B3351B"/>
    <w:rsid w:val="00B3352B"/>
    <w:rsid w:val="00B3356B"/>
    <w:rsid w:val="00B33B74"/>
    <w:rsid w:val="00B33C43"/>
    <w:rsid w:val="00B3418A"/>
    <w:rsid w:val="00B341C4"/>
    <w:rsid w:val="00B341F5"/>
    <w:rsid w:val="00B342C9"/>
    <w:rsid w:val="00B3448E"/>
    <w:rsid w:val="00B344B6"/>
    <w:rsid w:val="00B34583"/>
    <w:rsid w:val="00B34664"/>
    <w:rsid w:val="00B347D3"/>
    <w:rsid w:val="00B34864"/>
    <w:rsid w:val="00B34A0D"/>
    <w:rsid w:val="00B34B33"/>
    <w:rsid w:val="00B34B52"/>
    <w:rsid w:val="00B34B65"/>
    <w:rsid w:val="00B34C1E"/>
    <w:rsid w:val="00B350FA"/>
    <w:rsid w:val="00B351D5"/>
    <w:rsid w:val="00B35265"/>
    <w:rsid w:val="00B355C7"/>
    <w:rsid w:val="00B35626"/>
    <w:rsid w:val="00B357D7"/>
    <w:rsid w:val="00B35815"/>
    <w:rsid w:val="00B35829"/>
    <w:rsid w:val="00B35894"/>
    <w:rsid w:val="00B358A2"/>
    <w:rsid w:val="00B359E7"/>
    <w:rsid w:val="00B35B7F"/>
    <w:rsid w:val="00B35BA4"/>
    <w:rsid w:val="00B35BE2"/>
    <w:rsid w:val="00B35C95"/>
    <w:rsid w:val="00B35D06"/>
    <w:rsid w:val="00B35D93"/>
    <w:rsid w:val="00B35DB9"/>
    <w:rsid w:val="00B35FE4"/>
    <w:rsid w:val="00B35FEE"/>
    <w:rsid w:val="00B36033"/>
    <w:rsid w:val="00B360EF"/>
    <w:rsid w:val="00B36366"/>
    <w:rsid w:val="00B366C2"/>
    <w:rsid w:val="00B3689F"/>
    <w:rsid w:val="00B36925"/>
    <w:rsid w:val="00B36932"/>
    <w:rsid w:val="00B36989"/>
    <w:rsid w:val="00B36A15"/>
    <w:rsid w:val="00B36A23"/>
    <w:rsid w:val="00B36B43"/>
    <w:rsid w:val="00B37036"/>
    <w:rsid w:val="00B37106"/>
    <w:rsid w:val="00B3723D"/>
    <w:rsid w:val="00B37245"/>
    <w:rsid w:val="00B3726F"/>
    <w:rsid w:val="00B3733E"/>
    <w:rsid w:val="00B3747B"/>
    <w:rsid w:val="00B374EB"/>
    <w:rsid w:val="00B375AB"/>
    <w:rsid w:val="00B37688"/>
    <w:rsid w:val="00B3775A"/>
    <w:rsid w:val="00B37772"/>
    <w:rsid w:val="00B37788"/>
    <w:rsid w:val="00B37896"/>
    <w:rsid w:val="00B379C2"/>
    <w:rsid w:val="00B379F1"/>
    <w:rsid w:val="00B37B41"/>
    <w:rsid w:val="00B37B51"/>
    <w:rsid w:val="00B37C4A"/>
    <w:rsid w:val="00B40123"/>
    <w:rsid w:val="00B401BF"/>
    <w:rsid w:val="00B40225"/>
    <w:rsid w:val="00B402F4"/>
    <w:rsid w:val="00B40455"/>
    <w:rsid w:val="00B405B1"/>
    <w:rsid w:val="00B40785"/>
    <w:rsid w:val="00B407DA"/>
    <w:rsid w:val="00B408D0"/>
    <w:rsid w:val="00B4099D"/>
    <w:rsid w:val="00B40C32"/>
    <w:rsid w:val="00B40C57"/>
    <w:rsid w:val="00B40C97"/>
    <w:rsid w:val="00B40CAA"/>
    <w:rsid w:val="00B40CBE"/>
    <w:rsid w:val="00B40CDD"/>
    <w:rsid w:val="00B40D01"/>
    <w:rsid w:val="00B40DA7"/>
    <w:rsid w:val="00B40F68"/>
    <w:rsid w:val="00B40FB9"/>
    <w:rsid w:val="00B40FBC"/>
    <w:rsid w:val="00B410C8"/>
    <w:rsid w:val="00B411E0"/>
    <w:rsid w:val="00B41209"/>
    <w:rsid w:val="00B4139D"/>
    <w:rsid w:val="00B415DD"/>
    <w:rsid w:val="00B41672"/>
    <w:rsid w:val="00B41812"/>
    <w:rsid w:val="00B4184A"/>
    <w:rsid w:val="00B41977"/>
    <w:rsid w:val="00B4197E"/>
    <w:rsid w:val="00B419E9"/>
    <w:rsid w:val="00B419FE"/>
    <w:rsid w:val="00B41A67"/>
    <w:rsid w:val="00B41A8E"/>
    <w:rsid w:val="00B41C62"/>
    <w:rsid w:val="00B41EA5"/>
    <w:rsid w:val="00B42079"/>
    <w:rsid w:val="00B42150"/>
    <w:rsid w:val="00B42226"/>
    <w:rsid w:val="00B4223E"/>
    <w:rsid w:val="00B42256"/>
    <w:rsid w:val="00B42306"/>
    <w:rsid w:val="00B42476"/>
    <w:rsid w:val="00B4269F"/>
    <w:rsid w:val="00B42809"/>
    <w:rsid w:val="00B42988"/>
    <w:rsid w:val="00B42A3A"/>
    <w:rsid w:val="00B42C91"/>
    <w:rsid w:val="00B42E4D"/>
    <w:rsid w:val="00B42EA3"/>
    <w:rsid w:val="00B42FB7"/>
    <w:rsid w:val="00B4300E"/>
    <w:rsid w:val="00B43014"/>
    <w:rsid w:val="00B434A5"/>
    <w:rsid w:val="00B437A4"/>
    <w:rsid w:val="00B43855"/>
    <w:rsid w:val="00B43B67"/>
    <w:rsid w:val="00B43C4B"/>
    <w:rsid w:val="00B43CB6"/>
    <w:rsid w:val="00B43D2B"/>
    <w:rsid w:val="00B43D62"/>
    <w:rsid w:val="00B43DF6"/>
    <w:rsid w:val="00B43F20"/>
    <w:rsid w:val="00B44196"/>
    <w:rsid w:val="00B4433D"/>
    <w:rsid w:val="00B44395"/>
    <w:rsid w:val="00B44434"/>
    <w:rsid w:val="00B445D7"/>
    <w:rsid w:val="00B44616"/>
    <w:rsid w:val="00B44728"/>
    <w:rsid w:val="00B447CA"/>
    <w:rsid w:val="00B4481E"/>
    <w:rsid w:val="00B44875"/>
    <w:rsid w:val="00B44901"/>
    <w:rsid w:val="00B44BC2"/>
    <w:rsid w:val="00B44C8A"/>
    <w:rsid w:val="00B44CBC"/>
    <w:rsid w:val="00B44D67"/>
    <w:rsid w:val="00B452CF"/>
    <w:rsid w:val="00B4534A"/>
    <w:rsid w:val="00B4538A"/>
    <w:rsid w:val="00B4566A"/>
    <w:rsid w:val="00B4581F"/>
    <w:rsid w:val="00B45943"/>
    <w:rsid w:val="00B45985"/>
    <w:rsid w:val="00B459A4"/>
    <w:rsid w:val="00B45A1C"/>
    <w:rsid w:val="00B45AE6"/>
    <w:rsid w:val="00B45B9C"/>
    <w:rsid w:val="00B45C82"/>
    <w:rsid w:val="00B45D3D"/>
    <w:rsid w:val="00B45D69"/>
    <w:rsid w:val="00B45EBA"/>
    <w:rsid w:val="00B46028"/>
    <w:rsid w:val="00B46033"/>
    <w:rsid w:val="00B460DE"/>
    <w:rsid w:val="00B464BC"/>
    <w:rsid w:val="00B464F4"/>
    <w:rsid w:val="00B46721"/>
    <w:rsid w:val="00B46850"/>
    <w:rsid w:val="00B46853"/>
    <w:rsid w:val="00B468C3"/>
    <w:rsid w:val="00B469D8"/>
    <w:rsid w:val="00B46B32"/>
    <w:rsid w:val="00B46B37"/>
    <w:rsid w:val="00B46D44"/>
    <w:rsid w:val="00B46EB6"/>
    <w:rsid w:val="00B46FE3"/>
    <w:rsid w:val="00B47100"/>
    <w:rsid w:val="00B47227"/>
    <w:rsid w:val="00B47267"/>
    <w:rsid w:val="00B47300"/>
    <w:rsid w:val="00B47325"/>
    <w:rsid w:val="00B473AB"/>
    <w:rsid w:val="00B475E3"/>
    <w:rsid w:val="00B477CA"/>
    <w:rsid w:val="00B4784B"/>
    <w:rsid w:val="00B478E2"/>
    <w:rsid w:val="00B47975"/>
    <w:rsid w:val="00B47B29"/>
    <w:rsid w:val="00B47E7E"/>
    <w:rsid w:val="00B47F38"/>
    <w:rsid w:val="00B501CA"/>
    <w:rsid w:val="00B5027D"/>
    <w:rsid w:val="00B5054D"/>
    <w:rsid w:val="00B505EB"/>
    <w:rsid w:val="00B507EE"/>
    <w:rsid w:val="00B507F3"/>
    <w:rsid w:val="00B50836"/>
    <w:rsid w:val="00B50900"/>
    <w:rsid w:val="00B50A77"/>
    <w:rsid w:val="00B50B59"/>
    <w:rsid w:val="00B50BB8"/>
    <w:rsid w:val="00B50C4E"/>
    <w:rsid w:val="00B50CDB"/>
    <w:rsid w:val="00B50D5A"/>
    <w:rsid w:val="00B50D65"/>
    <w:rsid w:val="00B50D88"/>
    <w:rsid w:val="00B50DEE"/>
    <w:rsid w:val="00B50F19"/>
    <w:rsid w:val="00B50F84"/>
    <w:rsid w:val="00B510E9"/>
    <w:rsid w:val="00B510FB"/>
    <w:rsid w:val="00B5113F"/>
    <w:rsid w:val="00B511A1"/>
    <w:rsid w:val="00B511DD"/>
    <w:rsid w:val="00B51221"/>
    <w:rsid w:val="00B5139F"/>
    <w:rsid w:val="00B5145F"/>
    <w:rsid w:val="00B5149B"/>
    <w:rsid w:val="00B51624"/>
    <w:rsid w:val="00B5163F"/>
    <w:rsid w:val="00B517E7"/>
    <w:rsid w:val="00B51896"/>
    <w:rsid w:val="00B51CB0"/>
    <w:rsid w:val="00B51EB7"/>
    <w:rsid w:val="00B5218C"/>
    <w:rsid w:val="00B521A4"/>
    <w:rsid w:val="00B5237A"/>
    <w:rsid w:val="00B5276E"/>
    <w:rsid w:val="00B52774"/>
    <w:rsid w:val="00B528EB"/>
    <w:rsid w:val="00B52A08"/>
    <w:rsid w:val="00B52DEB"/>
    <w:rsid w:val="00B52FED"/>
    <w:rsid w:val="00B530DF"/>
    <w:rsid w:val="00B53176"/>
    <w:rsid w:val="00B53192"/>
    <w:rsid w:val="00B531A5"/>
    <w:rsid w:val="00B533AE"/>
    <w:rsid w:val="00B5347D"/>
    <w:rsid w:val="00B535C8"/>
    <w:rsid w:val="00B53A40"/>
    <w:rsid w:val="00B53B42"/>
    <w:rsid w:val="00B53EE0"/>
    <w:rsid w:val="00B54294"/>
    <w:rsid w:val="00B543F7"/>
    <w:rsid w:val="00B54481"/>
    <w:rsid w:val="00B545DF"/>
    <w:rsid w:val="00B546E2"/>
    <w:rsid w:val="00B54798"/>
    <w:rsid w:val="00B54943"/>
    <w:rsid w:val="00B54A68"/>
    <w:rsid w:val="00B54AB1"/>
    <w:rsid w:val="00B54C80"/>
    <w:rsid w:val="00B54D8F"/>
    <w:rsid w:val="00B54F60"/>
    <w:rsid w:val="00B55021"/>
    <w:rsid w:val="00B55053"/>
    <w:rsid w:val="00B55101"/>
    <w:rsid w:val="00B552CA"/>
    <w:rsid w:val="00B55356"/>
    <w:rsid w:val="00B553A4"/>
    <w:rsid w:val="00B554A0"/>
    <w:rsid w:val="00B5559A"/>
    <w:rsid w:val="00B556D0"/>
    <w:rsid w:val="00B55795"/>
    <w:rsid w:val="00B558FD"/>
    <w:rsid w:val="00B559DB"/>
    <w:rsid w:val="00B559FB"/>
    <w:rsid w:val="00B55B0B"/>
    <w:rsid w:val="00B55C4F"/>
    <w:rsid w:val="00B55D75"/>
    <w:rsid w:val="00B55ECA"/>
    <w:rsid w:val="00B56004"/>
    <w:rsid w:val="00B5608E"/>
    <w:rsid w:val="00B561C3"/>
    <w:rsid w:val="00B561C8"/>
    <w:rsid w:val="00B563A4"/>
    <w:rsid w:val="00B563E3"/>
    <w:rsid w:val="00B564EF"/>
    <w:rsid w:val="00B56616"/>
    <w:rsid w:val="00B56626"/>
    <w:rsid w:val="00B566FD"/>
    <w:rsid w:val="00B5683A"/>
    <w:rsid w:val="00B569AA"/>
    <w:rsid w:val="00B56A0E"/>
    <w:rsid w:val="00B56A10"/>
    <w:rsid w:val="00B56E5E"/>
    <w:rsid w:val="00B56FC5"/>
    <w:rsid w:val="00B57062"/>
    <w:rsid w:val="00B5744B"/>
    <w:rsid w:val="00B574C7"/>
    <w:rsid w:val="00B5759D"/>
    <w:rsid w:val="00B5761B"/>
    <w:rsid w:val="00B576B4"/>
    <w:rsid w:val="00B57748"/>
    <w:rsid w:val="00B57B7E"/>
    <w:rsid w:val="00B57C96"/>
    <w:rsid w:val="00B57DB2"/>
    <w:rsid w:val="00B57E18"/>
    <w:rsid w:val="00B57E48"/>
    <w:rsid w:val="00B602B3"/>
    <w:rsid w:val="00B6034A"/>
    <w:rsid w:val="00B604F0"/>
    <w:rsid w:val="00B6077C"/>
    <w:rsid w:val="00B6084F"/>
    <w:rsid w:val="00B608DA"/>
    <w:rsid w:val="00B6096E"/>
    <w:rsid w:val="00B60B6E"/>
    <w:rsid w:val="00B60CC8"/>
    <w:rsid w:val="00B61300"/>
    <w:rsid w:val="00B61387"/>
    <w:rsid w:val="00B61393"/>
    <w:rsid w:val="00B6140C"/>
    <w:rsid w:val="00B61496"/>
    <w:rsid w:val="00B61497"/>
    <w:rsid w:val="00B61570"/>
    <w:rsid w:val="00B615B3"/>
    <w:rsid w:val="00B6178B"/>
    <w:rsid w:val="00B61835"/>
    <w:rsid w:val="00B619A5"/>
    <w:rsid w:val="00B61C97"/>
    <w:rsid w:val="00B61CD6"/>
    <w:rsid w:val="00B61CDE"/>
    <w:rsid w:val="00B61E23"/>
    <w:rsid w:val="00B61EA5"/>
    <w:rsid w:val="00B61EF7"/>
    <w:rsid w:val="00B61FFA"/>
    <w:rsid w:val="00B62024"/>
    <w:rsid w:val="00B62054"/>
    <w:rsid w:val="00B620F4"/>
    <w:rsid w:val="00B621DB"/>
    <w:rsid w:val="00B62343"/>
    <w:rsid w:val="00B623D4"/>
    <w:rsid w:val="00B623DB"/>
    <w:rsid w:val="00B624EF"/>
    <w:rsid w:val="00B6277D"/>
    <w:rsid w:val="00B62799"/>
    <w:rsid w:val="00B6279F"/>
    <w:rsid w:val="00B62819"/>
    <w:rsid w:val="00B62847"/>
    <w:rsid w:val="00B62907"/>
    <w:rsid w:val="00B629A3"/>
    <w:rsid w:val="00B62EC0"/>
    <w:rsid w:val="00B62ED5"/>
    <w:rsid w:val="00B633F1"/>
    <w:rsid w:val="00B63795"/>
    <w:rsid w:val="00B63861"/>
    <w:rsid w:val="00B63A9A"/>
    <w:rsid w:val="00B63ADA"/>
    <w:rsid w:val="00B63B1B"/>
    <w:rsid w:val="00B63B58"/>
    <w:rsid w:val="00B63C3B"/>
    <w:rsid w:val="00B63DFA"/>
    <w:rsid w:val="00B63EDE"/>
    <w:rsid w:val="00B63F06"/>
    <w:rsid w:val="00B63FEA"/>
    <w:rsid w:val="00B64367"/>
    <w:rsid w:val="00B643BF"/>
    <w:rsid w:val="00B64412"/>
    <w:rsid w:val="00B6452E"/>
    <w:rsid w:val="00B6457C"/>
    <w:rsid w:val="00B64A09"/>
    <w:rsid w:val="00B64A92"/>
    <w:rsid w:val="00B64B25"/>
    <w:rsid w:val="00B64D6E"/>
    <w:rsid w:val="00B64FEC"/>
    <w:rsid w:val="00B65001"/>
    <w:rsid w:val="00B6509E"/>
    <w:rsid w:val="00B6515E"/>
    <w:rsid w:val="00B653D8"/>
    <w:rsid w:val="00B65425"/>
    <w:rsid w:val="00B654F0"/>
    <w:rsid w:val="00B6555F"/>
    <w:rsid w:val="00B6566F"/>
    <w:rsid w:val="00B657DD"/>
    <w:rsid w:val="00B6585C"/>
    <w:rsid w:val="00B65875"/>
    <w:rsid w:val="00B658A8"/>
    <w:rsid w:val="00B658CF"/>
    <w:rsid w:val="00B658E8"/>
    <w:rsid w:val="00B65911"/>
    <w:rsid w:val="00B65ADE"/>
    <w:rsid w:val="00B65C04"/>
    <w:rsid w:val="00B65ECF"/>
    <w:rsid w:val="00B6602E"/>
    <w:rsid w:val="00B66052"/>
    <w:rsid w:val="00B6611E"/>
    <w:rsid w:val="00B6647B"/>
    <w:rsid w:val="00B66547"/>
    <w:rsid w:val="00B6656E"/>
    <w:rsid w:val="00B6664A"/>
    <w:rsid w:val="00B66893"/>
    <w:rsid w:val="00B6699E"/>
    <w:rsid w:val="00B669B3"/>
    <w:rsid w:val="00B66A01"/>
    <w:rsid w:val="00B66ADF"/>
    <w:rsid w:val="00B66CAC"/>
    <w:rsid w:val="00B66CBB"/>
    <w:rsid w:val="00B66CF7"/>
    <w:rsid w:val="00B66D54"/>
    <w:rsid w:val="00B66D58"/>
    <w:rsid w:val="00B66EB3"/>
    <w:rsid w:val="00B66ED5"/>
    <w:rsid w:val="00B66F50"/>
    <w:rsid w:val="00B66FC3"/>
    <w:rsid w:val="00B67345"/>
    <w:rsid w:val="00B673A6"/>
    <w:rsid w:val="00B673ED"/>
    <w:rsid w:val="00B674CF"/>
    <w:rsid w:val="00B67966"/>
    <w:rsid w:val="00B67994"/>
    <w:rsid w:val="00B67B65"/>
    <w:rsid w:val="00B67CAB"/>
    <w:rsid w:val="00B67CC7"/>
    <w:rsid w:val="00B67CFE"/>
    <w:rsid w:val="00B67F8D"/>
    <w:rsid w:val="00B67FE5"/>
    <w:rsid w:val="00B7029A"/>
    <w:rsid w:val="00B702CC"/>
    <w:rsid w:val="00B70321"/>
    <w:rsid w:val="00B70521"/>
    <w:rsid w:val="00B7053E"/>
    <w:rsid w:val="00B70593"/>
    <w:rsid w:val="00B70632"/>
    <w:rsid w:val="00B7066F"/>
    <w:rsid w:val="00B707C7"/>
    <w:rsid w:val="00B70809"/>
    <w:rsid w:val="00B70898"/>
    <w:rsid w:val="00B7094E"/>
    <w:rsid w:val="00B70962"/>
    <w:rsid w:val="00B70969"/>
    <w:rsid w:val="00B70B21"/>
    <w:rsid w:val="00B70B4C"/>
    <w:rsid w:val="00B70D1E"/>
    <w:rsid w:val="00B70E24"/>
    <w:rsid w:val="00B70F23"/>
    <w:rsid w:val="00B710D0"/>
    <w:rsid w:val="00B71343"/>
    <w:rsid w:val="00B7136B"/>
    <w:rsid w:val="00B71416"/>
    <w:rsid w:val="00B71433"/>
    <w:rsid w:val="00B71491"/>
    <w:rsid w:val="00B71609"/>
    <w:rsid w:val="00B71672"/>
    <w:rsid w:val="00B716CF"/>
    <w:rsid w:val="00B7186D"/>
    <w:rsid w:val="00B7188D"/>
    <w:rsid w:val="00B71933"/>
    <w:rsid w:val="00B71B0D"/>
    <w:rsid w:val="00B71B10"/>
    <w:rsid w:val="00B71C2E"/>
    <w:rsid w:val="00B71C34"/>
    <w:rsid w:val="00B71FDA"/>
    <w:rsid w:val="00B720F8"/>
    <w:rsid w:val="00B72335"/>
    <w:rsid w:val="00B72356"/>
    <w:rsid w:val="00B72435"/>
    <w:rsid w:val="00B726D8"/>
    <w:rsid w:val="00B72836"/>
    <w:rsid w:val="00B72897"/>
    <w:rsid w:val="00B72AB5"/>
    <w:rsid w:val="00B72ACC"/>
    <w:rsid w:val="00B72B71"/>
    <w:rsid w:val="00B72BBD"/>
    <w:rsid w:val="00B72CAE"/>
    <w:rsid w:val="00B72DE1"/>
    <w:rsid w:val="00B72FDE"/>
    <w:rsid w:val="00B73233"/>
    <w:rsid w:val="00B73293"/>
    <w:rsid w:val="00B7342E"/>
    <w:rsid w:val="00B7343B"/>
    <w:rsid w:val="00B7368F"/>
    <w:rsid w:val="00B736BC"/>
    <w:rsid w:val="00B7386D"/>
    <w:rsid w:val="00B739DE"/>
    <w:rsid w:val="00B73A60"/>
    <w:rsid w:val="00B73B69"/>
    <w:rsid w:val="00B73BB3"/>
    <w:rsid w:val="00B73BE9"/>
    <w:rsid w:val="00B73D5A"/>
    <w:rsid w:val="00B73DD8"/>
    <w:rsid w:val="00B73E1B"/>
    <w:rsid w:val="00B74316"/>
    <w:rsid w:val="00B74785"/>
    <w:rsid w:val="00B747B6"/>
    <w:rsid w:val="00B7485C"/>
    <w:rsid w:val="00B74D16"/>
    <w:rsid w:val="00B74E9B"/>
    <w:rsid w:val="00B74E9F"/>
    <w:rsid w:val="00B74F46"/>
    <w:rsid w:val="00B74F9F"/>
    <w:rsid w:val="00B75021"/>
    <w:rsid w:val="00B75078"/>
    <w:rsid w:val="00B750BC"/>
    <w:rsid w:val="00B7514B"/>
    <w:rsid w:val="00B7519C"/>
    <w:rsid w:val="00B75248"/>
    <w:rsid w:val="00B754F6"/>
    <w:rsid w:val="00B7572E"/>
    <w:rsid w:val="00B75896"/>
    <w:rsid w:val="00B75AC5"/>
    <w:rsid w:val="00B75BB8"/>
    <w:rsid w:val="00B75DAF"/>
    <w:rsid w:val="00B75E08"/>
    <w:rsid w:val="00B75FAC"/>
    <w:rsid w:val="00B75FE0"/>
    <w:rsid w:val="00B76147"/>
    <w:rsid w:val="00B7619C"/>
    <w:rsid w:val="00B76219"/>
    <w:rsid w:val="00B76258"/>
    <w:rsid w:val="00B76433"/>
    <w:rsid w:val="00B7657F"/>
    <w:rsid w:val="00B76BE9"/>
    <w:rsid w:val="00B76D55"/>
    <w:rsid w:val="00B76D85"/>
    <w:rsid w:val="00B76E1F"/>
    <w:rsid w:val="00B76E7F"/>
    <w:rsid w:val="00B76EBD"/>
    <w:rsid w:val="00B7734C"/>
    <w:rsid w:val="00B77488"/>
    <w:rsid w:val="00B774FF"/>
    <w:rsid w:val="00B77581"/>
    <w:rsid w:val="00B776A5"/>
    <w:rsid w:val="00B776D2"/>
    <w:rsid w:val="00B778D3"/>
    <w:rsid w:val="00B778FC"/>
    <w:rsid w:val="00B77C4E"/>
    <w:rsid w:val="00B77E6D"/>
    <w:rsid w:val="00B77EF0"/>
    <w:rsid w:val="00B77F85"/>
    <w:rsid w:val="00B80163"/>
    <w:rsid w:val="00B8016A"/>
    <w:rsid w:val="00B80235"/>
    <w:rsid w:val="00B8023B"/>
    <w:rsid w:val="00B80345"/>
    <w:rsid w:val="00B80390"/>
    <w:rsid w:val="00B80434"/>
    <w:rsid w:val="00B804E3"/>
    <w:rsid w:val="00B80589"/>
    <w:rsid w:val="00B8061D"/>
    <w:rsid w:val="00B8063A"/>
    <w:rsid w:val="00B80645"/>
    <w:rsid w:val="00B807D4"/>
    <w:rsid w:val="00B8086D"/>
    <w:rsid w:val="00B808CB"/>
    <w:rsid w:val="00B80B8A"/>
    <w:rsid w:val="00B80C60"/>
    <w:rsid w:val="00B80CB0"/>
    <w:rsid w:val="00B80D69"/>
    <w:rsid w:val="00B80EC5"/>
    <w:rsid w:val="00B81022"/>
    <w:rsid w:val="00B810A8"/>
    <w:rsid w:val="00B810CB"/>
    <w:rsid w:val="00B8132E"/>
    <w:rsid w:val="00B8136A"/>
    <w:rsid w:val="00B815A9"/>
    <w:rsid w:val="00B81643"/>
    <w:rsid w:val="00B81664"/>
    <w:rsid w:val="00B816E3"/>
    <w:rsid w:val="00B817C0"/>
    <w:rsid w:val="00B81F08"/>
    <w:rsid w:val="00B8201B"/>
    <w:rsid w:val="00B82111"/>
    <w:rsid w:val="00B82278"/>
    <w:rsid w:val="00B82696"/>
    <w:rsid w:val="00B82843"/>
    <w:rsid w:val="00B8286C"/>
    <w:rsid w:val="00B829BE"/>
    <w:rsid w:val="00B829E8"/>
    <w:rsid w:val="00B82A7F"/>
    <w:rsid w:val="00B82ACD"/>
    <w:rsid w:val="00B82ADD"/>
    <w:rsid w:val="00B82CA5"/>
    <w:rsid w:val="00B82D14"/>
    <w:rsid w:val="00B82D84"/>
    <w:rsid w:val="00B82ED0"/>
    <w:rsid w:val="00B82ED7"/>
    <w:rsid w:val="00B82FB3"/>
    <w:rsid w:val="00B832B4"/>
    <w:rsid w:val="00B83355"/>
    <w:rsid w:val="00B833A9"/>
    <w:rsid w:val="00B834FB"/>
    <w:rsid w:val="00B83637"/>
    <w:rsid w:val="00B83692"/>
    <w:rsid w:val="00B8375F"/>
    <w:rsid w:val="00B83783"/>
    <w:rsid w:val="00B837AE"/>
    <w:rsid w:val="00B83802"/>
    <w:rsid w:val="00B83993"/>
    <w:rsid w:val="00B83A12"/>
    <w:rsid w:val="00B83AAD"/>
    <w:rsid w:val="00B83BB7"/>
    <w:rsid w:val="00B83BC4"/>
    <w:rsid w:val="00B83C5E"/>
    <w:rsid w:val="00B83EB6"/>
    <w:rsid w:val="00B83F3D"/>
    <w:rsid w:val="00B83F64"/>
    <w:rsid w:val="00B83F7E"/>
    <w:rsid w:val="00B83FBF"/>
    <w:rsid w:val="00B83FDC"/>
    <w:rsid w:val="00B84001"/>
    <w:rsid w:val="00B84236"/>
    <w:rsid w:val="00B8424D"/>
    <w:rsid w:val="00B842E5"/>
    <w:rsid w:val="00B8441A"/>
    <w:rsid w:val="00B84628"/>
    <w:rsid w:val="00B84666"/>
    <w:rsid w:val="00B84693"/>
    <w:rsid w:val="00B8484A"/>
    <w:rsid w:val="00B848B4"/>
    <w:rsid w:val="00B84954"/>
    <w:rsid w:val="00B84B8A"/>
    <w:rsid w:val="00B84C54"/>
    <w:rsid w:val="00B8503F"/>
    <w:rsid w:val="00B8509C"/>
    <w:rsid w:val="00B852B6"/>
    <w:rsid w:val="00B852E3"/>
    <w:rsid w:val="00B858E8"/>
    <w:rsid w:val="00B859A6"/>
    <w:rsid w:val="00B85B6B"/>
    <w:rsid w:val="00B85C58"/>
    <w:rsid w:val="00B85C6C"/>
    <w:rsid w:val="00B85DA2"/>
    <w:rsid w:val="00B85E2E"/>
    <w:rsid w:val="00B8617E"/>
    <w:rsid w:val="00B861CE"/>
    <w:rsid w:val="00B862EF"/>
    <w:rsid w:val="00B86428"/>
    <w:rsid w:val="00B864FB"/>
    <w:rsid w:val="00B866A9"/>
    <w:rsid w:val="00B86755"/>
    <w:rsid w:val="00B8690F"/>
    <w:rsid w:val="00B869E5"/>
    <w:rsid w:val="00B869E7"/>
    <w:rsid w:val="00B86B03"/>
    <w:rsid w:val="00B86B93"/>
    <w:rsid w:val="00B86C38"/>
    <w:rsid w:val="00B86CAF"/>
    <w:rsid w:val="00B86CBE"/>
    <w:rsid w:val="00B86E23"/>
    <w:rsid w:val="00B87059"/>
    <w:rsid w:val="00B87141"/>
    <w:rsid w:val="00B8719F"/>
    <w:rsid w:val="00B87334"/>
    <w:rsid w:val="00B873AD"/>
    <w:rsid w:val="00B87505"/>
    <w:rsid w:val="00B876BD"/>
    <w:rsid w:val="00B87733"/>
    <w:rsid w:val="00B87798"/>
    <w:rsid w:val="00B87862"/>
    <w:rsid w:val="00B878B0"/>
    <w:rsid w:val="00B87958"/>
    <w:rsid w:val="00B879D9"/>
    <w:rsid w:val="00B879F0"/>
    <w:rsid w:val="00B87B4D"/>
    <w:rsid w:val="00B87BCD"/>
    <w:rsid w:val="00B87CF7"/>
    <w:rsid w:val="00B87D63"/>
    <w:rsid w:val="00B87D96"/>
    <w:rsid w:val="00B87F3F"/>
    <w:rsid w:val="00B90009"/>
    <w:rsid w:val="00B900BB"/>
    <w:rsid w:val="00B90114"/>
    <w:rsid w:val="00B90287"/>
    <w:rsid w:val="00B90337"/>
    <w:rsid w:val="00B903D1"/>
    <w:rsid w:val="00B9049E"/>
    <w:rsid w:val="00B904D0"/>
    <w:rsid w:val="00B90533"/>
    <w:rsid w:val="00B90964"/>
    <w:rsid w:val="00B909CF"/>
    <w:rsid w:val="00B90AD1"/>
    <w:rsid w:val="00B90B05"/>
    <w:rsid w:val="00B90C98"/>
    <w:rsid w:val="00B90E38"/>
    <w:rsid w:val="00B90FDD"/>
    <w:rsid w:val="00B90FEF"/>
    <w:rsid w:val="00B910A2"/>
    <w:rsid w:val="00B9113C"/>
    <w:rsid w:val="00B911A3"/>
    <w:rsid w:val="00B91412"/>
    <w:rsid w:val="00B915CA"/>
    <w:rsid w:val="00B915EE"/>
    <w:rsid w:val="00B9168F"/>
    <w:rsid w:val="00B9182A"/>
    <w:rsid w:val="00B91838"/>
    <w:rsid w:val="00B91856"/>
    <w:rsid w:val="00B91A12"/>
    <w:rsid w:val="00B91B0D"/>
    <w:rsid w:val="00B91B81"/>
    <w:rsid w:val="00B91B9C"/>
    <w:rsid w:val="00B91D39"/>
    <w:rsid w:val="00B91D76"/>
    <w:rsid w:val="00B91E83"/>
    <w:rsid w:val="00B91E96"/>
    <w:rsid w:val="00B91FE0"/>
    <w:rsid w:val="00B920A7"/>
    <w:rsid w:val="00B920C1"/>
    <w:rsid w:val="00B92125"/>
    <w:rsid w:val="00B921CE"/>
    <w:rsid w:val="00B9228E"/>
    <w:rsid w:val="00B92317"/>
    <w:rsid w:val="00B92411"/>
    <w:rsid w:val="00B9245F"/>
    <w:rsid w:val="00B92498"/>
    <w:rsid w:val="00B9276B"/>
    <w:rsid w:val="00B92878"/>
    <w:rsid w:val="00B92BAD"/>
    <w:rsid w:val="00B92C29"/>
    <w:rsid w:val="00B92C5A"/>
    <w:rsid w:val="00B92C77"/>
    <w:rsid w:val="00B92D43"/>
    <w:rsid w:val="00B92E5B"/>
    <w:rsid w:val="00B9302D"/>
    <w:rsid w:val="00B9310C"/>
    <w:rsid w:val="00B935DB"/>
    <w:rsid w:val="00B935ED"/>
    <w:rsid w:val="00B9375B"/>
    <w:rsid w:val="00B93834"/>
    <w:rsid w:val="00B9390B"/>
    <w:rsid w:val="00B93952"/>
    <w:rsid w:val="00B939DF"/>
    <w:rsid w:val="00B93A00"/>
    <w:rsid w:val="00B93A0A"/>
    <w:rsid w:val="00B93AC8"/>
    <w:rsid w:val="00B93B66"/>
    <w:rsid w:val="00B93BC4"/>
    <w:rsid w:val="00B93C18"/>
    <w:rsid w:val="00B93DCF"/>
    <w:rsid w:val="00B93FBA"/>
    <w:rsid w:val="00B93FBE"/>
    <w:rsid w:val="00B94071"/>
    <w:rsid w:val="00B94105"/>
    <w:rsid w:val="00B941DA"/>
    <w:rsid w:val="00B9422C"/>
    <w:rsid w:val="00B9435E"/>
    <w:rsid w:val="00B943B6"/>
    <w:rsid w:val="00B943DC"/>
    <w:rsid w:val="00B94406"/>
    <w:rsid w:val="00B945AC"/>
    <w:rsid w:val="00B94649"/>
    <w:rsid w:val="00B946DC"/>
    <w:rsid w:val="00B9473C"/>
    <w:rsid w:val="00B947C4"/>
    <w:rsid w:val="00B9481A"/>
    <w:rsid w:val="00B9488E"/>
    <w:rsid w:val="00B94C35"/>
    <w:rsid w:val="00B94D0C"/>
    <w:rsid w:val="00B94EED"/>
    <w:rsid w:val="00B94F4C"/>
    <w:rsid w:val="00B94FD3"/>
    <w:rsid w:val="00B952A3"/>
    <w:rsid w:val="00B95447"/>
    <w:rsid w:val="00B95458"/>
    <w:rsid w:val="00B955ED"/>
    <w:rsid w:val="00B95717"/>
    <w:rsid w:val="00B95BC4"/>
    <w:rsid w:val="00B96476"/>
    <w:rsid w:val="00B964CD"/>
    <w:rsid w:val="00B96592"/>
    <w:rsid w:val="00B9670A"/>
    <w:rsid w:val="00B967B3"/>
    <w:rsid w:val="00B96844"/>
    <w:rsid w:val="00B96AF1"/>
    <w:rsid w:val="00B96B4D"/>
    <w:rsid w:val="00B96B7A"/>
    <w:rsid w:val="00B96BA6"/>
    <w:rsid w:val="00B96BDB"/>
    <w:rsid w:val="00B96D50"/>
    <w:rsid w:val="00B96DC3"/>
    <w:rsid w:val="00B96FD8"/>
    <w:rsid w:val="00B970DE"/>
    <w:rsid w:val="00B973CE"/>
    <w:rsid w:val="00B97498"/>
    <w:rsid w:val="00B979E0"/>
    <w:rsid w:val="00B97C1E"/>
    <w:rsid w:val="00B97D2C"/>
    <w:rsid w:val="00B97DEA"/>
    <w:rsid w:val="00B97E27"/>
    <w:rsid w:val="00B97FCC"/>
    <w:rsid w:val="00BA00D7"/>
    <w:rsid w:val="00BA0118"/>
    <w:rsid w:val="00BA02C8"/>
    <w:rsid w:val="00BA060C"/>
    <w:rsid w:val="00BA062E"/>
    <w:rsid w:val="00BA0827"/>
    <w:rsid w:val="00BA09CE"/>
    <w:rsid w:val="00BA0C0E"/>
    <w:rsid w:val="00BA0C39"/>
    <w:rsid w:val="00BA0C83"/>
    <w:rsid w:val="00BA0E0E"/>
    <w:rsid w:val="00BA0F2B"/>
    <w:rsid w:val="00BA11E4"/>
    <w:rsid w:val="00BA1278"/>
    <w:rsid w:val="00BA13EB"/>
    <w:rsid w:val="00BA13F8"/>
    <w:rsid w:val="00BA15D6"/>
    <w:rsid w:val="00BA165F"/>
    <w:rsid w:val="00BA1685"/>
    <w:rsid w:val="00BA1718"/>
    <w:rsid w:val="00BA1A78"/>
    <w:rsid w:val="00BA1AF5"/>
    <w:rsid w:val="00BA1C9A"/>
    <w:rsid w:val="00BA1CA3"/>
    <w:rsid w:val="00BA1D1B"/>
    <w:rsid w:val="00BA1DB0"/>
    <w:rsid w:val="00BA229C"/>
    <w:rsid w:val="00BA2319"/>
    <w:rsid w:val="00BA23D6"/>
    <w:rsid w:val="00BA24BD"/>
    <w:rsid w:val="00BA2535"/>
    <w:rsid w:val="00BA2D03"/>
    <w:rsid w:val="00BA30AC"/>
    <w:rsid w:val="00BA30CB"/>
    <w:rsid w:val="00BA3159"/>
    <w:rsid w:val="00BA3186"/>
    <w:rsid w:val="00BA3564"/>
    <w:rsid w:val="00BA3572"/>
    <w:rsid w:val="00BA3618"/>
    <w:rsid w:val="00BA366C"/>
    <w:rsid w:val="00BA36BD"/>
    <w:rsid w:val="00BA3720"/>
    <w:rsid w:val="00BA38C5"/>
    <w:rsid w:val="00BA3917"/>
    <w:rsid w:val="00BA3A29"/>
    <w:rsid w:val="00BA3A66"/>
    <w:rsid w:val="00BA3CC8"/>
    <w:rsid w:val="00BA3E69"/>
    <w:rsid w:val="00BA3EB3"/>
    <w:rsid w:val="00BA4589"/>
    <w:rsid w:val="00BA4592"/>
    <w:rsid w:val="00BA4981"/>
    <w:rsid w:val="00BA4C29"/>
    <w:rsid w:val="00BA4CBA"/>
    <w:rsid w:val="00BA4E22"/>
    <w:rsid w:val="00BA4E2B"/>
    <w:rsid w:val="00BA4ED6"/>
    <w:rsid w:val="00BA4FAF"/>
    <w:rsid w:val="00BA501B"/>
    <w:rsid w:val="00BA5254"/>
    <w:rsid w:val="00BA52AF"/>
    <w:rsid w:val="00BA5543"/>
    <w:rsid w:val="00BA55A1"/>
    <w:rsid w:val="00BA56D6"/>
    <w:rsid w:val="00BA5707"/>
    <w:rsid w:val="00BA5738"/>
    <w:rsid w:val="00BA57A5"/>
    <w:rsid w:val="00BA57B1"/>
    <w:rsid w:val="00BA57C5"/>
    <w:rsid w:val="00BA57E3"/>
    <w:rsid w:val="00BA57FC"/>
    <w:rsid w:val="00BA5930"/>
    <w:rsid w:val="00BA5B58"/>
    <w:rsid w:val="00BA5C8E"/>
    <w:rsid w:val="00BA5CA5"/>
    <w:rsid w:val="00BA5CE7"/>
    <w:rsid w:val="00BA5F2E"/>
    <w:rsid w:val="00BA5F39"/>
    <w:rsid w:val="00BA5FB7"/>
    <w:rsid w:val="00BA5FCB"/>
    <w:rsid w:val="00BA600A"/>
    <w:rsid w:val="00BA633C"/>
    <w:rsid w:val="00BA63BD"/>
    <w:rsid w:val="00BA6433"/>
    <w:rsid w:val="00BA64B3"/>
    <w:rsid w:val="00BA64D6"/>
    <w:rsid w:val="00BA64E6"/>
    <w:rsid w:val="00BA6533"/>
    <w:rsid w:val="00BA6571"/>
    <w:rsid w:val="00BA65C5"/>
    <w:rsid w:val="00BA66F1"/>
    <w:rsid w:val="00BA6746"/>
    <w:rsid w:val="00BA692A"/>
    <w:rsid w:val="00BA693F"/>
    <w:rsid w:val="00BA6AF9"/>
    <w:rsid w:val="00BA6B7E"/>
    <w:rsid w:val="00BA6D58"/>
    <w:rsid w:val="00BA6D94"/>
    <w:rsid w:val="00BA71C5"/>
    <w:rsid w:val="00BA71DC"/>
    <w:rsid w:val="00BA7265"/>
    <w:rsid w:val="00BA7325"/>
    <w:rsid w:val="00BA74B8"/>
    <w:rsid w:val="00BA74D0"/>
    <w:rsid w:val="00BA7711"/>
    <w:rsid w:val="00BA77B5"/>
    <w:rsid w:val="00BA7921"/>
    <w:rsid w:val="00BA7A74"/>
    <w:rsid w:val="00BA7AAA"/>
    <w:rsid w:val="00BA7B24"/>
    <w:rsid w:val="00BB00CF"/>
    <w:rsid w:val="00BB0210"/>
    <w:rsid w:val="00BB0233"/>
    <w:rsid w:val="00BB02B0"/>
    <w:rsid w:val="00BB04CD"/>
    <w:rsid w:val="00BB082F"/>
    <w:rsid w:val="00BB0947"/>
    <w:rsid w:val="00BB09D2"/>
    <w:rsid w:val="00BB0A0E"/>
    <w:rsid w:val="00BB0BA4"/>
    <w:rsid w:val="00BB0C27"/>
    <w:rsid w:val="00BB0DD7"/>
    <w:rsid w:val="00BB0EC6"/>
    <w:rsid w:val="00BB1117"/>
    <w:rsid w:val="00BB1135"/>
    <w:rsid w:val="00BB1325"/>
    <w:rsid w:val="00BB140C"/>
    <w:rsid w:val="00BB1451"/>
    <w:rsid w:val="00BB1531"/>
    <w:rsid w:val="00BB1540"/>
    <w:rsid w:val="00BB1729"/>
    <w:rsid w:val="00BB1918"/>
    <w:rsid w:val="00BB19D1"/>
    <w:rsid w:val="00BB1A7B"/>
    <w:rsid w:val="00BB1A8C"/>
    <w:rsid w:val="00BB1AAF"/>
    <w:rsid w:val="00BB1D59"/>
    <w:rsid w:val="00BB1DF5"/>
    <w:rsid w:val="00BB1E0C"/>
    <w:rsid w:val="00BB2090"/>
    <w:rsid w:val="00BB20F6"/>
    <w:rsid w:val="00BB23F8"/>
    <w:rsid w:val="00BB2571"/>
    <w:rsid w:val="00BB25F3"/>
    <w:rsid w:val="00BB2609"/>
    <w:rsid w:val="00BB2620"/>
    <w:rsid w:val="00BB2773"/>
    <w:rsid w:val="00BB2809"/>
    <w:rsid w:val="00BB2ACA"/>
    <w:rsid w:val="00BB2F92"/>
    <w:rsid w:val="00BB2FF0"/>
    <w:rsid w:val="00BB31C0"/>
    <w:rsid w:val="00BB3401"/>
    <w:rsid w:val="00BB3603"/>
    <w:rsid w:val="00BB3694"/>
    <w:rsid w:val="00BB3695"/>
    <w:rsid w:val="00BB3B66"/>
    <w:rsid w:val="00BB3DFF"/>
    <w:rsid w:val="00BB3F10"/>
    <w:rsid w:val="00BB40EE"/>
    <w:rsid w:val="00BB41AA"/>
    <w:rsid w:val="00BB434F"/>
    <w:rsid w:val="00BB4354"/>
    <w:rsid w:val="00BB4418"/>
    <w:rsid w:val="00BB441F"/>
    <w:rsid w:val="00BB4918"/>
    <w:rsid w:val="00BB493E"/>
    <w:rsid w:val="00BB4A07"/>
    <w:rsid w:val="00BB4A55"/>
    <w:rsid w:val="00BB4A9A"/>
    <w:rsid w:val="00BB5026"/>
    <w:rsid w:val="00BB5290"/>
    <w:rsid w:val="00BB5452"/>
    <w:rsid w:val="00BB5465"/>
    <w:rsid w:val="00BB54AE"/>
    <w:rsid w:val="00BB54B2"/>
    <w:rsid w:val="00BB5628"/>
    <w:rsid w:val="00BB59B2"/>
    <w:rsid w:val="00BB5A7B"/>
    <w:rsid w:val="00BB5AB4"/>
    <w:rsid w:val="00BB5C2C"/>
    <w:rsid w:val="00BB5C8D"/>
    <w:rsid w:val="00BB5D95"/>
    <w:rsid w:val="00BB5DA0"/>
    <w:rsid w:val="00BB5DAB"/>
    <w:rsid w:val="00BB5E7D"/>
    <w:rsid w:val="00BB5F6F"/>
    <w:rsid w:val="00BB6052"/>
    <w:rsid w:val="00BB6067"/>
    <w:rsid w:val="00BB6253"/>
    <w:rsid w:val="00BB660F"/>
    <w:rsid w:val="00BB66BA"/>
    <w:rsid w:val="00BB679D"/>
    <w:rsid w:val="00BB67BC"/>
    <w:rsid w:val="00BB6876"/>
    <w:rsid w:val="00BB6A68"/>
    <w:rsid w:val="00BB6AD0"/>
    <w:rsid w:val="00BB6DB7"/>
    <w:rsid w:val="00BB7031"/>
    <w:rsid w:val="00BB7076"/>
    <w:rsid w:val="00BB70E3"/>
    <w:rsid w:val="00BB7154"/>
    <w:rsid w:val="00BB7398"/>
    <w:rsid w:val="00BB7410"/>
    <w:rsid w:val="00BB741C"/>
    <w:rsid w:val="00BB7450"/>
    <w:rsid w:val="00BB7551"/>
    <w:rsid w:val="00BB76C2"/>
    <w:rsid w:val="00BB77BC"/>
    <w:rsid w:val="00BB7853"/>
    <w:rsid w:val="00BB7859"/>
    <w:rsid w:val="00BB786A"/>
    <w:rsid w:val="00BB79FB"/>
    <w:rsid w:val="00BB7B18"/>
    <w:rsid w:val="00BB7B2E"/>
    <w:rsid w:val="00BB7CA3"/>
    <w:rsid w:val="00BB7D07"/>
    <w:rsid w:val="00BB7D6E"/>
    <w:rsid w:val="00BB7DC5"/>
    <w:rsid w:val="00BC0204"/>
    <w:rsid w:val="00BC0539"/>
    <w:rsid w:val="00BC06E0"/>
    <w:rsid w:val="00BC06F4"/>
    <w:rsid w:val="00BC0771"/>
    <w:rsid w:val="00BC0774"/>
    <w:rsid w:val="00BC07C9"/>
    <w:rsid w:val="00BC08E6"/>
    <w:rsid w:val="00BC0A8D"/>
    <w:rsid w:val="00BC0C26"/>
    <w:rsid w:val="00BC0CD6"/>
    <w:rsid w:val="00BC0E28"/>
    <w:rsid w:val="00BC0FC4"/>
    <w:rsid w:val="00BC1429"/>
    <w:rsid w:val="00BC14D4"/>
    <w:rsid w:val="00BC16CA"/>
    <w:rsid w:val="00BC16DB"/>
    <w:rsid w:val="00BC172C"/>
    <w:rsid w:val="00BC1C26"/>
    <w:rsid w:val="00BC1C36"/>
    <w:rsid w:val="00BC1DF3"/>
    <w:rsid w:val="00BC1E55"/>
    <w:rsid w:val="00BC2234"/>
    <w:rsid w:val="00BC225F"/>
    <w:rsid w:val="00BC22D2"/>
    <w:rsid w:val="00BC2361"/>
    <w:rsid w:val="00BC23A7"/>
    <w:rsid w:val="00BC23E3"/>
    <w:rsid w:val="00BC24D9"/>
    <w:rsid w:val="00BC26CA"/>
    <w:rsid w:val="00BC2724"/>
    <w:rsid w:val="00BC288D"/>
    <w:rsid w:val="00BC2A96"/>
    <w:rsid w:val="00BC2AA2"/>
    <w:rsid w:val="00BC2B58"/>
    <w:rsid w:val="00BC2BA9"/>
    <w:rsid w:val="00BC2BE7"/>
    <w:rsid w:val="00BC2D57"/>
    <w:rsid w:val="00BC2EEB"/>
    <w:rsid w:val="00BC2F93"/>
    <w:rsid w:val="00BC32E6"/>
    <w:rsid w:val="00BC3359"/>
    <w:rsid w:val="00BC3497"/>
    <w:rsid w:val="00BC3508"/>
    <w:rsid w:val="00BC3805"/>
    <w:rsid w:val="00BC3BE4"/>
    <w:rsid w:val="00BC3E44"/>
    <w:rsid w:val="00BC3E5D"/>
    <w:rsid w:val="00BC3E82"/>
    <w:rsid w:val="00BC3EC6"/>
    <w:rsid w:val="00BC3FDA"/>
    <w:rsid w:val="00BC4194"/>
    <w:rsid w:val="00BC41AF"/>
    <w:rsid w:val="00BC43C3"/>
    <w:rsid w:val="00BC48C5"/>
    <w:rsid w:val="00BC4A92"/>
    <w:rsid w:val="00BC4CA5"/>
    <w:rsid w:val="00BC4CB6"/>
    <w:rsid w:val="00BC5261"/>
    <w:rsid w:val="00BC546B"/>
    <w:rsid w:val="00BC548E"/>
    <w:rsid w:val="00BC54DB"/>
    <w:rsid w:val="00BC55F5"/>
    <w:rsid w:val="00BC59E7"/>
    <w:rsid w:val="00BC5E79"/>
    <w:rsid w:val="00BC5EEB"/>
    <w:rsid w:val="00BC5F4A"/>
    <w:rsid w:val="00BC5F7D"/>
    <w:rsid w:val="00BC600C"/>
    <w:rsid w:val="00BC60AC"/>
    <w:rsid w:val="00BC60B1"/>
    <w:rsid w:val="00BC61BF"/>
    <w:rsid w:val="00BC6246"/>
    <w:rsid w:val="00BC6298"/>
    <w:rsid w:val="00BC62AF"/>
    <w:rsid w:val="00BC6382"/>
    <w:rsid w:val="00BC6436"/>
    <w:rsid w:val="00BC6483"/>
    <w:rsid w:val="00BC669F"/>
    <w:rsid w:val="00BC66ED"/>
    <w:rsid w:val="00BC68CC"/>
    <w:rsid w:val="00BC6B27"/>
    <w:rsid w:val="00BC6C8B"/>
    <w:rsid w:val="00BC6ECD"/>
    <w:rsid w:val="00BC6F1F"/>
    <w:rsid w:val="00BC6FFB"/>
    <w:rsid w:val="00BC706D"/>
    <w:rsid w:val="00BC7134"/>
    <w:rsid w:val="00BC7286"/>
    <w:rsid w:val="00BC7364"/>
    <w:rsid w:val="00BC7384"/>
    <w:rsid w:val="00BC738B"/>
    <w:rsid w:val="00BC7631"/>
    <w:rsid w:val="00BC787C"/>
    <w:rsid w:val="00BC799C"/>
    <w:rsid w:val="00BC7A67"/>
    <w:rsid w:val="00BC7BB0"/>
    <w:rsid w:val="00BC7BF1"/>
    <w:rsid w:val="00BC7FB0"/>
    <w:rsid w:val="00BD0164"/>
    <w:rsid w:val="00BD02D4"/>
    <w:rsid w:val="00BD0483"/>
    <w:rsid w:val="00BD0724"/>
    <w:rsid w:val="00BD08BD"/>
    <w:rsid w:val="00BD0931"/>
    <w:rsid w:val="00BD09E3"/>
    <w:rsid w:val="00BD0AAF"/>
    <w:rsid w:val="00BD0B1F"/>
    <w:rsid w:val="00BD0E2D"/>
    <w:rsid w:val="00BD1018"/>
    <w:rsid w:val="00BD1029"/>
    <w:rsid w:val="00BD1218"/>
    <w:rsid w:val="00BD140C"/>
    <w:rsid w:val="00BD143A"/>
    <w:rsid w:val="00BD16EB"/>
    <w:rsid w:val="00BD1790"/>
    <w:rsid w:val="00BD17AF"/>
    <w:rsid w:val="00BD1A0D"/>
    <w:rsid w:val="00BD1B29"/>
    <w:rsid w:val="00BD1B7F"/>
    <w:rsid w:val="00BD1B90"/>
    <w:rsid w:val="00BD1D04"/>
    <w:rsid w:val="00BD1FA4"/>
    <w:rsid w:val="00BD2187"/>
    <w:rsid w:val="00BD223F"/>
    <w:rsid w:val="00BD235A"/>
    <w:rsid w:val="00BD2389"/>
    <w:rsid w:val="00BD23BA"/>
    <w:rsid w:val="00BD247F"/>
    <w:rsid w:val="00BD25D4"/>
    <w:rsid w:val="00BD25E8"/>
    <w:rsid w:val="00BD25ED"/>
    <w:rsid w:val="00BD272F"/>
    <w:rsid w:val="00BD27AE"/>
    <w:rsid w:val="00BD2BEC"/>
    <w:rsid w:val="00BD2D62"/>
    <w:rsid w:val="00BD2D67"/>
    <w:rsid w:val="00BD30C1"/>
    <w:rsid w:val="00BD320C"/>
    <w:rsid w:val="00BD3280"/>
    <w:rsid w:val="00BD3334"/>
    <w:rsid w:val="00BD3605"/>
    <w:rsid w:val="00BD390F"/>
    <w:rsid w:val="00BD39E2"/>
    <w:rsid w:val="00BD3AE2"/>
    <w:rsid w:val="00BD3AEC"/>
    <w:rsid w:val="00BD3BA8"/>
    <w:rsid w:val="00BD440C"/>
    <w:rsid w:val="00BD4464"/>
    <w:rsid w:val="00BD4513"/>
    <w:rsid w:val="00BD4559"/>
    <w:rsid w:val="00BD463C"/>
    <w:rsid w:val="00BD46F7"/>
    <w:rsid w:val="00BD4997"/>
    <w:rsid w:val="00BD49CE"/>
    <w:rsid w:val="00BD49E2"/>
    <w:rsid w:val="00BD4A30"/>
    <w:rsid w:val="00BD4A50"/>
    <w:rsid w:val="00BD4A76"/>
    <w:rsid w:val="00BD4AB3"/>
    <w:rsid w:val="00BD4B1F"/>
    <w:rsid w:val="00BD4D56"/>
    <w:rsid w:val="00BD4DC4"/>
    <w:rsid w:val="00BD4F7E"/>
    <w:rsid w:val="00BD5049"/>
    <w:rsid w:val="00BD5184"/>
    <w:rsid w:val="00BD53DB"/>
    <w:rsid w:val="00BD548E"/>
    <w:rsid w:val="00BD592A"/>
    <w:rsid w:val="00BD59F5"/>
    <w:rsid w:val="00BD5B40"/>
    <w:rsid w:val="00BD5B47"/>
    <w:rsid w:val="00BD5EAB"/>
    <w:rsid w:val="00BD5EEF"/>
    <w:rsid w:val="00BD5FAD"/>
    <w:rsid w:val="00BD62B1"/>
    <w:rsid w:val="00BD62C5"/>
    <w:rsid w:val="00BD62CB"/>
    <w:rsid w:val="00BD62E8"/>
    <w:rsid w:val="00BD6361"/>
    <w:rsid w:val="00BD63BD"/>
    <w:rsid w:val="00BD63E3"/>
    <w:rsid w:val="00BD649C"/>
    <w:rsid w:val="00BD64F5"/>
    <w:rsid w:val="00BD683D"/>
    <w:rsid w:val="00BD6958"/>
    <w:rsid w:val="00BD698E"/>
    <w:rsid w:val="00BD6A77"/>
    <w:rsid w:val="00BD6A7E"/>
    <w:rsid w:val="00BD6E43"/>
    <w:rsid w:val="00BD7152"/>
    <w:rsid w:val="00BD7274"/>
    <w:rsid w:val="00BD75F6"/>
    <w:rsid w:val="00BD76BB"/>
    <w:rsid w:val="00BD76F5"/>
    <w:rsid w:val="00BD7752"/>
    <w:rsid w:val="00BD7890"/>
    <w:rsid w:val="00BD78EF"/>
    <w:rsid w:val="00BD7AC5"/>
    <w:rsid w:val="00BD7B56"/>
    <w:rsid w:val="00BD7B78"/>
    <w:rsid w:val="00BD7E35"/>
    <w:rsid w:val="00BD7EEA"/>
    <w:rsid w:val="00BD7F6E"/>
    <w:rsid w:val="00BE016D"/>
    <w:rsid w:val="00BE017F"/>
    <w:rsid w:val="00BE0198"/>
    <w:rsid w:val="00BE01C8"/>
    <w:rsid w:val="00BE045D"/>
    <w:rsid w:val="00BE0669"/>
    <w:rsid w:val="00BE07B1"/>
    <w:rsid w:val="00BE0946"/>
    <w:rsid w:val="00BE09D4"/>
    <w:rsid w:val="00BE0A43"/>
    <w:rsid w:val="00BE0AB7"/>
    <w:rsid w:val="00BE0B00"/>
    <w:rsid w:val="00BE0B58"/>
    <w:rsid w:val="00BE0B8C"/>
    <w:rsid w:val="00BE0D69"/>
    <w:rsid w:val="00BE0DD9"/>
    <w:rsid w:val="00BE0DF7"/>
    <w:rsid w:val="00BE12DB"/>
    <w:rsid w:val="00BE1582"/>
    <w:rsid w:val="00BE15D1"/>
    <w:rsid w:val="00BE1692"/>
    <w:rsid w:val="00BE16C2"/>
    <w:rsid w:val="00BE16CB"/>
    <w:rsid w:val="00BE1756"/>
    <w:rsid w:val="00BE18C6"/>
    <w:rsid w:val="00BE1918"/>
    <w:rsid w:val="00BE1921"/>
    <w:rsid w:val="00BE1C0C"/>
    <w:rsid w:val="00BE1C41"/>
    <w:rsid w:val="00BE1CD7"/>
    <w:rsid w:val="00BE1DBC"/>
    <w:rsid w:val="00BE1FAF"/>
    <w:rsid w:val="00BE1FE9"/>
    <w:rsid w:val="00BE2518"/>
    <w:rsid w:val="00BE256A"/>
    <w:rsid w:val="00BE2590"/>
    <w:rsid w:val="00BE265D"/>
    <w:rsid w:val="00BE2782"/>
    <w:rsid w:val="00BE27B5"/>
    <w:rsid w:val="00BE2814"/>
    <w:rsid w:val="00BE28FC"/>
    <w:rsid w:val="00BE29FC"/>
    <w:rsid w:val="00BE2AD3"/>
    <w:rsid w:val="00BE2CA4"/>
    <w:rsid w:val="00BE2EA5"/>
    <w:rsid w:val="00BE2F7E"/>
    <w:rsid w:val="00BE3142"/>
    <w:rsid w:val="00BE31D8"/>
    <w:rsid w:val="00BE344D"/>
    <w:rsid w:val="00BE3626"/>
    <w:rsid w:val="00BE370E"/>
    <w:rsid w:val="00BE37A9"/>
    <w:rsid w:val="00BE3B71"/>
    <w:rsid w:val="00BE3BC2"/>
    <w:rsid w:val="00BE3BDF"/>
    <w:rsid w:val="00BE3CA1"/>
    <w:rsid w:val="00BE3EDB"/>
    <w:rsid w:val="00BE3F6F"/>
    <w:rsid w:val="00BE40EF"/>
    <w:rsid w:val="00BE42CD"/>
    <w:rsid w:val="00BE4523"/>
    <w:rsid w:val="00BE47A6"/>
    <w:rsid w:val="00BE4887"/>
    <w:rsid w:val="00BE48B0"/>
    <w:rsid w:val="00BE48D1"/>
    <w:rsid w:val="00BE4A3C"/>
    <w:rsid w:val="00BE4C66"/>
    <w:rsid w:val="00BE50A9"/>
    <w:rsid w:val="00BE515F"/>
    <w:rsid w:val="00BE51EB"/>
    <w:rsid w:val="00BE540A"/>
    <w:rsid w:val="00BE5410"/>
    <w:rsid w:val="00BE55AF"/>
    <w:rsid w:val="00BE57D2"/>
    <w:rsid w:val="00BE57EE"/>
    <w:rsid w:val="00BE58FC"/>
    <w:rsid w:val="00BE5914"/>
    <w:rsid w:val="00BE5ABD"/>
    <w:rsid w:val="00BE5AEC"/>
    <w:rsid w:val="00BE5C3A"/>
    <w:rsid w:val="00BE5C75"/>
    <w:rsid w:val="00BE5D0A"/>
    <w:rsid w:val="00BE5DAC"/>
    <w:rsid w:val="00BE5E53"/>
    <w:rsid w:val="00BE6061"/>
    <w:rsid w:val="00BE6152"/>
    <w:rsid w:val="00BE6202"/>
    <w:rsid w:val="00BE62D5"/>
    <w:rsid w:val="00BE62E9"/>
    <w:rsid w:val="00BE637F"/>
    <w:rsid w:val="00BE644D"/>
    <w:rsid w:val="00BE65F9"/>
    <w:rsid w:val="00BE6774"/>
    <w:rsid w:val="00BE67B2"/>
    <w:rsid w:val="00BE68BF"/>
    <w:rsid w:val="00BE6915"/>
    <w:rsid w:val="00BE6E1F"/>
    <w:rsid w:val="00BE6F44"/>
    <w:rsid w:val="00BE71DD"/>
    <w:rsid w:val="00BE7242"/>
    <w:rsid w:val="00BE7609"/>
    <w:rsid w:val="00BE77E9"/>
    <w:rsid w:val="00BE789B"/>
    <w:rsid w:val="00BE79E1"/>
    <w:rsid w:val="00BE7A8A"/>
    <w:rsid w:val="00BE7D76"/>
    <w:rsid w:val="00BE7E45"/>
    <w:rsid w:val="00BE7E9D"/>
    <w:rsid w:val="00BE7F60"/>
    <w:rsid w:val="00BF014E"/>
    <w:rsid w:val="00BF016D"/>
    <w:rsid w:val="00BF01D8"/>
    <w:rsid w:val="00BF0370"/>
    <w:rsid w:val="00BF03D3"/>
    <w:rsid w:val="00BF0597"/>
    <w:rsid w:val="00BF0BA1"/>
    <w:rsid w:val="00BF0DA9"/>
    <w:rsid w:val="00BF0F37"/>
    <w:rsid w:val="00BF1082"/>
    <w:rsid w:val="00BF11DF"/>
    <w:rsid w:val="00BF121B"/>
    <w:rsid w:val="00BF1296"/>
    <w:rsid w:val="00BF12C0"/>
    <w:rsid w:val="00BF13C2"/>
    <w:rsid w:val="00BF13FB"/>
    <w:rsid w:val="00BF14A3"/>
    <w:rsid w:val="00BF15E2"/>
    <w:rsid w:val="00BF17F7"/>
    <w:rsid w:val="00BF1BDE"/>
    <w:rsid w:val="00BF1C19"/>
    <w:rsid w:val="00BF1C7C"/>
    <w:rsid w:val="00BF1D80"/>
    <w:rsid w:val="00BF1DC6"/>
    <w:rsid w:val="00BF1E02"/>
    <w:rsid w:val="00BF1E0F"/>
    <w:rsid w:val="00BF1EFA"/>
    <w:rsid w:val="00BF21C2"/>
    <w:rsid w:val="00BF225E"/>
    <w:rsid w:val="00BF25D4"/>
    <w:rsid w:val="00BF276E"/>
    <w:rsid w:val="00BF27EF"/>
    <w:rsid w:val="00BF2916"/>
    <w:rsid w:val="00BF293D"/>
    <w:rsid w:val="00BF294B"/>
    <w:rsid w:val="00BF29AE"/>
    <w:rsid w:val="00BF2B11"/>
    <w:rsid w:val="00BF2C01"/>
    <w:rsid w:val="00BF3026"/>
    <w:rsid w:val="00BF306E"/>
    <w:rsid w:val="00BF308A"/>
    <w:rsid w:val="00BF3371"/>
    <w:rsid w:val="00BF33C0"/>
    <w:rsid w:val="00BF3429"/>
    <w:rsid w:val="00BF3570"/>
    <w:rsid w:val="00BF35E4"/>
    <w:rsid w:val="00BF3809"/>
    <w:rsid w:val="00BF3825"/>
    <w:rsid w:val="00BF3A5A"/>
    <w:rsid w:val="00BF3B48"/>
    <w:rsid w:val="00BF3BEF"/>
    <w:rsid w:val="00BF3EE5"/>
    <w:rsid w:val="00BF438D"/>
    <w:rsid w:val="00BF43CA"/>
    <w:rsid w:val="00BF4536"/>
    <w:rsid w:val="00BF45D5"/>
    <w:rsid w:val="00BF45F8"/>
    <w:rsid w:val="00BF4613"/>
    <w:rsid w:val="00BF475E"/>
    <w:rsid w:val="00BF4902"/>
    <w:rsid w:val="00BF4932"/>
    <w:rsid w:val="00BF4982"/>
    <w:rsid w:val="00BF4A37"/>
    <w:rsid w:val="00BF4A85"/>
    <w:rsid w:val="00BF4AEA"/>
    <w:rsid w:val="00BF4B72"/>
    <w:rsid w:val="00BF4BFC"/>
    <w:rsid w:val="00BF4FB5"/>
    <w:rsid w:val="00BF5191"/>
    <w:rsid w:val="00BF52A5"/>
    <w:rsid w:val="00BF52B0"/>
    <w:rsid w:val="00BF533F"/>
    <w:rsid w:val="00BF538A"/>
    <w:rsid w:val="00BF5403"/>
    <w:rsid w:val="00BF542A"/>
    <w:rsid w:val="00BF548D"/>
    <w:rsid w:val="00BF5776"/>
    <w:rsid w:val="00BF57D9"/>
    <w:rsid w:val="00BF58D3"/>
    <w:rsid w:val="00BF59ED"/>
    <w:rsid w:val="00BF5BBE"/>
    <w:rsid w:val="00BF5C52"/>
    <w:rsid w:val="00BF5D71"/>
    <w:rsid w:val="00BF5DAB"/>
    <w:rsid w:val="00BF5EA4"/>
    <w:rsid w:val="00BF5ED8"/>
    <w:rsid w:val="00BF5EF5"/>
    <w:rsid w:val="00BF5F15"/>
    <w:rsid w:val="00BF5F79"/>
    <w:rsid w:val="00BF6000"/>
    <w:rsid w:val="00BF60F3"/>
    <w:rsid w:val="00BF6185"/>
    <w:rsid w:val="00BF6265"/>
    <w:rsid w:val="00BF6360"/>
    <w:rsid w:val="00BF6506"/>
    <w:rsid w:val="00BF6521"/>
    <w:rsid w:val="00BF6669"/>
    <w:rsid w:val="00BF668C"/>
    <w:rsid w:val="00BF69DD"/>
    <w:rsid w:val="00BF6A4D"/>
    <w:rsid w:val="00BF6A93"/>
    <w:rsid w:val="00BF6B9A"/>
    <w:rsid w:val="00BF6BB2"/>
    <w:rsid w:val="00BF6BC8"/>
    <w:rsid w:val="00BF6CC2"/>
    <w:rsid w:val="00BF6D57"/>
    <w:rsid w:val="00BF6DE6"/>
    <w:rsid w:val="00BF6F7F"/>
    <w:rsid w:val="00BF6FE7"/>
    <w:rsid w:val="00BF7213"/>
    <w:rsid w:val="00BF7254"/>
    <w:rsid w:val="00BF72A5"/>
    <w:rsid w:val="00BF7319"/>
    <w:rsid w:val="00BF745A"/>
    <w:rsid w:val="00BF74EC"/>
    <w:rsid w:val="00BF75A4"/>
    <w:rsid w:val="00BF764B"/>
    <w:rsid w:val="00BF78D8"/>
    <w:rsid w:val="00BF794E"/>
    <w:rsid w:val="00BF7966"/>
    <w:rsid w:val="00BF79AF"/>
    <w:rsid w:val="00BF7A41"/>
    <w:rsid w:val="00BF7BE1"/>
    <w:rsid w:val="00BF7D57"/>
    <w:rsid w:val="00BF7D77"/>
    <w:rsid w:val="00BF7EC1"/>
    <w:rsid w:val="00BF7F03"/>
    <w:rsid w:val="00C0017E"/>
    <w:rsid w:val="00C00194"/>
    <w:rsid w:val="00C00236"/>
    <w:rsid w:val="00C005E1"/>
    <w:rsid w:val="00C005F0"/>
    <w:rsid w:val="00C00734"/>
    <w:rsid w:val="00C008BA"/>
    <w:rsid w:val="00C00A29"/>
    <w:rsid w:val="00C00D96"/>
    <w:rsid w:val="00C00E80"/>
    <w:rsid w:val="00C00F0A"/>
    <w:rsid w:val="00C00F37"/>
    <w:rsid w:val="00C00FCB"/>
    <w:rsid w:val="00C010D1"/>
    <w:rsid w:val="00C01291"/>
    <w:rsid w:val="00C01536"/>
    <w:rsid w:val="00C01543"/>
    <w:rsid w:val="00C015F1"/>
    <w:rsid w:val="00C019D7"/>
    <w:rsid w:val="00C019FB"/>
    <w:rsid w:val="00C01A57"/>
    <w:rsid w:val="00C01C56"/>
    <w:rsid w:val="00C01D65"/>
    <w:rsid w:val="00C01D7E"/>
    <w:rsid w:val="00C01E67"/>
    <w:rsid w:val="00C01F5B"/>
    <w:rsid w:val="00C01F68"/>
    <w:rsid w:val="00C01FBD"/>
    <w:rsid w:val="00C02159"/>
    <w:rsid w:val="00C022E4"/>
    <w:rsid w:val="00C02492"/>
    <w:rsid w:val="00C024A5"/>
    <w:rsid w:val="00C024F8"/>
    <w:rsid w:val="00C02576"/>
    <w:rsid w:val="00C0297D"/>
    <w:rsid w:val="00C02CAC"/>
    <w:rsid w:val="00C02D17"/>
    <w:rsid w:val="00C02E34"/>
    <w:rsid w:val="00C02E9E"/>
    <w:rsid w:val="00C03089"/>
    <w:rsid w:val="00C03236"/>
    <w:rsid w:val="00C03525"/>
    <w:rsid w:val="00C03558"/>
    <w:rsid w:val="00C0355B"/>
    <w:rsid w:val="00C03629"/>
    <w:rsid w:val="00C03931"/>
    <w:rsid w:val="00C03A65"/>
    <w:rsid w:val="00C03D85"/>
    <w:rsid w:val="00C03DEA"/>
    <w:rsid w:val="00C03F1D"/>
    <w:rsid w:val="00C040F5"/>
    <w:rsid w:val="00C04211"/>
    <w:rsid w:val="00C04500"/>
    <w:rsid w:val="00C0458A"/>
    <w:rsid w:val="00C045AF"/>
    <w:rsid w:val="00C04AD0"/>
    <w:rsid w:val="00C04AF5"/>
    <w:rsid w:val="00C04BB7"/>
    <w:rsid w:val="00C04C09"/>
    <w:rsid w:val="00C04C6C"/>
    <w:rsid w:val="00C04CB3"/>
    <w:rsid w:val="00C04E33"/>
    <w:rsid w:val="00C04EAC"/>
    <w:rsid w:val="00C04EDA"/>
    <w:rsid w:val="00C04F5C"/>
    <w:rsid w:val="00C050C7"/>
    <w:rsid w:val="00C0518B"/>
    <w:rsid w:val="00C05293"/>
    <w:rsid w:val="00C052D7"/>
    <w:rsid w:val="00C05372"/>
    <w:rsid w:val="00C053DB"/>
    <w:rsid w:val="00C053E0"/>
    <w:rsid w:val="00C05424"/>
    <w:rsid w:val="00C05813"/>
    <w:rsid w:val="00C05899"/>
    <w:rsid w:val="00C05A47"/>
    <w:rsid w:val="00C05C5F"/>
    <w:rsid w:val="00C05EDC"/>
    <w:rsid w:val="00C060F2"/>
    <w:rsid w:val="00C061BD"/>
    <w:rsid w:val="00C061FD"/>
    <w:rsid w:val="00C062BB"/>
    <w:rsid w:val="00C06355"/>
    <w:rsid w:val="00C06441"/>
    <w:rsid w:val="00C0667B"/>
    <w:rsid w:val="00C066A0"/>
    <w:rsid w:val="00C067E9"/>
    <w:rsid w:val="00C06994"/>
    <w:rsid w:val="00C069EB"/>
    <w:rsid w:val="00C06A2D"/>
    <w:rsid w:val="00C06C67"/>
    <w:rsid w:val="00C06C7C"/>
    <w:rsid w:val="00C07000"/>
    <w:rsid w:val="00C07047"/>
    <w:rsid w:val="00C0707B"/>
    <w:rsid w:val="00C071A0"/>
    <w:rsid w:val="00C07230"/>
    <w:rsid w:val="00C0727E"/>
    <w:rsid w:val="00C072F7"/>
    <w:rsid w:val="00C07412"/>
    <w:rsid w:val="00C07419"/>
    <w:rsid w:val="00C074EC"/>
    <w:rsid w:val="00C0774E"/>
    <w:rsid w:val="00C077D3"/>
    <w:rsid w:val="00C077E5"/>
    <w:rsid w:val="00C07954"/>
    <w:rsid w:val="00C07AE4"/>
    <w:rsid w:val="00C07BDD"/>
    <w:rsid w:val="00C07C82"/>
    <w:rsid w:val="00C07D1D"/>
    <w:rsid w:val="00C07EC6"/>
    <w:rsid w:val="00C07ED5"/>
    <w:rsid w:val="00C07F44"/>
    <w:rsid w:val="00C07F60"/>
    <w:rsid w:val="00C101FC"/>
    <w:rsid w:val="00C10347"/>
    <w:rsid w:val="00C10349"/>
    <w:rsid w:val="00C103D3"/>
    <w:rsid w:val="00C1053B"/>
    <w:rsid w:val="00C1058B"/>
    <w:rsid w:val="00C10617"/>
    <w:rsid w:val="00C108CD"/>
    <w:rsid w:val="00C10A92"/>
    <w:rsid w:val="00C10ADA"/>
    <w:rsid w:val="00C10B28"/>
    <w:rsid w:val="00C10C13"/>
    <w:rsid w:val="00C10D30"/>
    <w:rsid w:val="00C1100D"/>
    <w:rsid w:val="00C11186"/>
    <w:rsid w:val="00C112D7"/>
    <w:rsid w:val="00C1157F"/>
    <w:rsid w:val="00C115AA"/>
    <w:rsid w:val="00C115CC"/>
    <w:rsid w:val="00C11768"/>
    <w:rsid w:val="00C118BE"/>
    <w:rsid w:val="00C11956"/>
    <w:rsid w:val="00C11BB9"/>
    <w:rsid w:val="00C11C6B"/>
    <w:rsid w:val="00C11E61"/>
    <w:rsid w:val="00C121E2"/>
    <w:rsid w:val="00C1224F"/>
    <w:rsid w:val="00C12293"/>
    <w:rsid w:val="00C122EC"/>
    <w:rsid w:val="00C1237E"/>
    <w:rsid w:val="00C1238D"/>
    <w:rsid w:val="00C12457"/>
    <w:rsid w:val="00C125D5"/>
    <w:rsid w:val="00C125E4"/>
    <w:rsid w:val="00C12600"/>
    <w:rsid w:val="00C127B2"/>
    <w:rsid w:val="00C129B8"/>
    <w:rsid w:val="00C129FB"/>
    <w:rsid w:val="00C12A51"/>
    <w:rsid w:val="00C12BE0"/>
    <w:rsid w:val="00C12C7E"/>
    <w:rsid w:val="00C12CE1"/>
    <w:rsid w:val="00C12DD1"/>
    <w:rsid w:val="00C12EBA"/>
    <w:rsid w:val="00C13115"/>
    <w:rsid w:val="00C13136"/>
    <w:rsid w:val="00C131F4"/>
    <w:rsid w:val="00C1339F"/>
    <w:rsid w:val="00C13448"/>
    <w:rsid w:val="00C135B5"/>
    <w:rsid w:val="00C13677"/>
    <w:rsid w:val="00C1369B"/>
    <w:rsid w:val="00C1376E"/>
    <w:rsid w:val="00C138ED"/>
    <w:rsid w:val="00C139E4"/>
    <w:rsid w:val="00C13D42"/>
    <w:rsid w:val="00C13DE6"/>
    <w:rsid w:val="00C13EF6"/>
    <w:rsid w:val="00C13FFB"/>
    <w:rsid w:val="00C14084"/>
    <w:rsid w:val="00C140A2"/>
    <w:rsid w:val="00C1426D"/>
    <w:rsid w:val="00C1430D"/>
    <w:rsid w:val="00C143B5"/>
    <w:rsid w:val="00C14423"/>
    <w:rsid w:val="00C14467"/>
    <w:rsid w:val="00C14662"/>
    <w:rsid w:val="00C148E0"/>
    <w:rsid w:val="00C149BC"/>
    <w:rsid w:val="00C14A1E"/>
    <w:rsid w:val="00C14BDE"/>
    <w:rsid w:val="00C14CB6"/>
    <w:rsid w:val="00C14D67"/>
    <w:rsid w:val="00C14D73"/>
    <w:rsid w:val="00C14FF7"/>
    <w:rsid w:val="00C150EE"/>
    <w:rsid w:val="00C15151"/>
    <w:rsid w:val="00C15167"/>
    <w:rsid w:val="00C15788"/>
    <w:rsid w:val="00C1587D"/>
    <w:rsid w:val="00C15921"/>
    <w:rsid w:val="00C1592E"/>
    <w:rsid w:val="00C1593E"/>
    <w:rsid w:val="00C159AB"/>
    <w:rsid w:val="00C15B66"/>
    <w:rsid w:val="00C15D36"/>
    <w:rsid w:val="00C15EB4"/>
    <w:rsid w:val="00C15EF6"/>
    <w:rsid w:val="00C16252"/>
    <w:rsid w:val="00C1638D"/>
    <w:rsid w:val="00C1653C"/>
    <w:rsid w:val="00C168DC"/>
    <w:rsid w:val="00C169D5"/>
    <w:rsid w:val="00C16A90"/>
    <w:rsid w:val="00C16F5D"/>
    <w:rsid w:val="00C16FAD"/>
    <w:rsid w:val="00C16FD9"/>
    <w:rsid w:val="00C1700E"/>
    <w:rsid w:val="00C170A4"/>
    <w:rsid w:val="00C17253"/>
    <w:rsid w:val="00C17268"/>
    <w:rsid w:val="00C1740A"/>
    <w:rsid w:val="00C17555"/>
    <w:rsid w:val="00C1770B"/>
    <w:rsid w:val="00C17963"/>
    <w:rsid w:val="00C17A8F"/>
    <w:rsid w:val="00C17BF3"/>
    <w:rsid w:val="00C17D7B"/>
    <w:rsid w:val="00C17D97"/>
    <w:rsid w:val="00C17F04"/>
    <w:rsid w:val="00C17F71"/>
    <w:rsid w:val="00C201A0"/>
    <w:rsid w:val="00C20291"/>
    <w:rsid w:val="00C202E0"/>
    <w:rsid w:val="00C20357"/>
    <w:rsid w:val="00C204F0"/>
    <w:rsid w:val="00C2051D"/>
    <w:rsid w:val="00C2055C"/>
    <w:rsid w:val="00C205B7"/>
    <w:rsid w:val="00C20805"/>
    <w:rsid w:val="00C20927"/>
    <w:rsid w:val="00C20A6D"/>
    <w:rsid w:val="00C20BBC"/>
    <w:rsid w:val="00C20C15"/>
    <w:rsid w:val="00C20D47"/>
    <w:rsid w:val="00C20D73"/>
    <w:rsid w:val="00C20E21"/>
    <w:rsid w:val="00C20F1D"/>
    <w:rsid w:val="00C21056"/>
    <w:rsid w:val="00C21121"/>
    <w:rsid w:val="00C211B3"/>
    <w:rsid w:val="00C214E9"/>
    <w:rsid w:val="00C219EA"/>
    <w:rsid w:val="00C21C0D"/>
    <w:rsid w:val="00C21E8A"/>
    <w:rsid w:val="00C21F23"/>
    <w:rsid w:val="00C21F7D"/>
    <w:rsid w:val="00C220E5"/>
    <w:rsid w:val="00C220EE"/>
    <w:rsid w:val="00C22270"/>
    <w:rsid w:val="00C22296"/>
    <w:rsid w:val="00C222C1"/>
    <w:rsid w:val="00C22364"/>
    <w:rsid w:val="00C2244D"/>
    <w:rsid w:val="00C2253A"/>
    <w:rsid w:val="00C2275C"/>
    <w:rsid w:val="00C2291C"/>
    <w:rsid w:val="00C22A55"/>
    <w:rsid w:val="00C22AB1"/>
    <w:rsid w:val="00C22BE4"/>
    <w:rsid w:val="00C22D18"/>
    <w:rsid w:val="00C22E47"/>
    <w:rsid w:val="00C22F63"/>
    <w:rsid w:val="00C2300B"/>
    <w:rsid w:val="00C23047"/>
    <w:rsid w:val="00C23091"/>
    <w:rsid w:val="00C23096"/>
    <w:rsid w:val="00C232CE"/>
    <w:rsid w:val="00C23420"/>
    <w:rsid w:val="00C234C7"/>
    <w:rsid w:val="00C234E1"/>
    <w:rsid w:val="00C2351F"/>
    <w:rsid w:val="00C236B0"/>
    <w:rsid w:val="00C236D0"/>
    <w:rsid w:val="00C238C7"/>
    <w:rsid w:val="00C239D1"/>
    <w:rsid w:val="00C23A39"/>
    <w:rsid w:val="00C23B0C"/>
    <w:rsid w:val="00C23EAB"/>
    <w:rsid w:val="00C2406A"/>
    <w:rsid w:val="00C240E6"/>
    <w:rsid w:val="00C24136"/>
    <w:rsid w:val="00C24177"/>
    <w:rsid w:val="00C241EC"/>
    <w:rsid w:val="00C242D2"/>
    <w:rsid w:val="00C24472"/>
    <w:rsid w:val="00C24585"/>
    <w:rsid w:val="00C245C2"/>
    <w:rsid w:val="00C24653"/>
    <w:rsid w:val="00C24929"/>
    <w:rsid w:val="00C249BA"/>
    <w:rsid w:val="00C249BD"/>
    <w:rsid w:val="00C24ABB"/>
    <w:rsid w:val="00C24D11"/>
    <w:rsid w:val="00C24D14"/>
    <w:rsid w:val="00C24E18"/>
    <w:rsid w:val="00C24F71"/>
    <w:rsid w:val="00C250C6"/>
    <w:rsid w:val="00C25421"/>
    <w:rsid w:val="00C25576"/>
    <w:rsid w:val="00C2561B"/>
    <w:rsid w:val="00C2568F"/>
    <w:rsid w:val="00C256CB"/>
    <w:rsid w:val="00C25761"/>
    <w:rsid w:val="00C25856"/>
    <w:rsid w:val="00C2592C"/>
    <w:rsid w:val="00C259E0"/>
    <w:rsid w:val="00C259FC"/>
    <w:rsid w:val="00C25AE8"/>
    <w:rsid w:val="00C25BCC"/>
    <w:rsid w:val="00C25BEA"/>
    <w:rsid w:val="00C25D5E"/>
    <w:rsid w:val="00C25D7B"/>
    <w:rsid w:val="00C25DE7"/>
    <w:rsid w:val="00C25F32"/>
    <w:rsid w:val="00C25F76"/>
    <w:rsid w:val="00C25F7D"/>
    <w:rsid w:val="00C26153"/>
    <w:rsid w:val="00C2616B"/>
    <w:rsid w:val="00C26399"/>
    <w:rsid w:val="00C263C0"/>
    <w:rsid w:val="00C265CE"/>
    <w:rsid w:val="00C2697A"/>
    <w:rsid w:val="00C2699A"/>
    <w:rsid w:val="00C26BEC"/>
    <w:rsid w:val="00C26D65"/>
    <w:rsid w:val="00C26D7A"/>
    <w:rsid w:val="00C26F84"/>
    <w:rsid w:val="00C271E0"/>
    <w:rsid w:val="00C272AE"/>
    <w:rsid w:val="00C2733F"/>
    <w:rsid w:val="00C27361"/>
    <w:rsid w:val="00C27378"/>
    <w:rsid w:val="00C273F3"/>
    <w:rsid w:val="00C274DF"/>
    <w:rsid w:val="00C27668"/>
    <w:rsid w:val="00C2795B"/>
    <w:rsid w:val="00C27BB0"/>
    <w:rsid w:val="00C27F04"/>
    <w:rsid w:val="00C30380"/>
    <w:rsid w:val="00C30BEA"/>
    <w:rsid w:val="00C30BFE"/>
    <w:rsid w:val="00C30C03"/>
    <w:rsid w:val="00C30D90"/>
    <w:rsid w:val="00C30FC4"/>
    <w:rsid w:val="00C31072"/>
    <w:rsid w:val="00C31331"/>
    <w:rsid w:val="00C313B9"/>
    <w:rsid w:val="00C31402"/>
    <w:rsid w:val="00C31469"/>
    <w:rsid w:val="00C315FF"/>
    <w:rsid w:val="00C316C0"/>
    <w:rsid w:val="00C31A3D"/>
    <w:rsid w:val="00C31AB1"/>
    <w:rsid w:val="00C31AC8"/>
    <w:rsid w:val="00C31AF7"/>
    <w:rsid w:val="00C31B8A"/>
    <w:rsid w:val="00C31CE7"/>
    <w:rsid w:val="00C31D87"/>
    <w:rsid w:val="00C31EE8"/>
    <w:rsid w:val="00C31F9B"/>
    <w:rsid w:val="00C320B5"/>
    <w:rsid w:val="00C32820"/>
    <w:rsid w:val="00C329DC"/>
    <w:rsid w:val="00C32B96"/>
    <w:rsid w:val="00C32BBC"/>
    <w:rsid w:val="00C32CB1"/>
    <w:rsid w:val="00C32CC5"/>
    <w:rsid w:val="00C32DC6"/>
    <w:rsid w:val="00C32EE0"/>
    <w:rsid w:val="00C32EFB"/>
    <w:rsid w:val="00C32F03"/>
    <w:rsid w:val="00C32F11"/>
    <w:rsid w:val="00C33104"/>
    <w:rsid w:val="00C33221"/>
    <w:rsid w:val="00C33381"/>
    <w:rsid w:val="00C333C8"/>
    <w:rsid w:val="00C3341C"/>
    <w:rsid w:val="00C336B6"/>
    <w:rsid w:val="00C337DD"/>
    <w:rsid w:val="00C3381C"/>
    <w:rsid w:val="00C3382D"/>
    <w:rsid w:val="00C33A03"/>
    <w:rsid w:val="00C33A75"/>
    <w:rsid w:val="00C33BC7"/>
    <w:rsid w:val="00C33C53"/>
    <w:rsid w:val="00C33D58"/>
    <w:rsid w:val="00C33E8F"/>
    <w:rsid w:val="00C3403A"/>
    <w:rsid w:val="00C34062"/>
    <w:rsid w:val="00C340B7"/>
    <w:rsid w:val="00C34198"/>
    <w:rsid w:val="00C34243"/>
    <w:rsid w:val="00C343C3"/>
    <w:rsid w:val="00C34402"/>
    <w:rsid w:val="00C3443D"/>
    <w:rsid w:val="00C34479"/>
    <w:rsid w:val="00C344B1"/>
    <w:rsid w:val="00C3460F"/>
    <w:rsid w:val="00C3462B"/>
    <w:rsid w:val="00C34633"/>
    <w:rsid w:val="00C34845"/>
    <w:rsid w:val="00C34865"/>
    <w:rsid w:val="00C348EC"/>
    <w:rsid w:val="00C34908"/>
    <w:rsid w:val="00C34BAD"/>
    <w:rsid w:val="00C34CB1"/>
    <w:rsid w:val="00C34E91"/>
    <w:rsid w:val="00C34F0C"/>
    <w:rsid w:val="00C34FA5"/>
    <w:rsid w:val="00C350E0"/>
    <w:rsid w:val="00C35448"/>
    <w:rsid w:val="00C35460"/>
    <w:rsid w:val="00C35612"/>
    <w:rsid w:val="00C35697"/>
    <w:rsid w:val="00C3592B"/>
    <w:rsid w:val="00C3594B"/>
    <w:rsid w:val="00C3594D"/>
    <w:rsid w:val="00C35A8B"/>
    <w:rsid w:val="00C35AA5"/>
    <w:rsid w:val="00C35C62"/>
    <w:rsid w:val="00C35F73"/>
    <w:rsid w:val="00C35F8A"/>
    <w:rsid w:val="00C35FE9"/>
    <w:rsid w:val="00C36117"/>
    <w:rsid w:val="00C36371"/>
    <w:rsid w:val="00C36398"/>
    <w:rsid w:val="00C36433"/>
    <w:rsid w:val="00C3650E"/>
    <w:rsid w:val="00C368AA"/>
    <w:rsid w:val="00C368D5"/>
    <w:rsid w:val="00C36A87"/>
    <w:rsid w:val="00C36A8F"/>
    <w:rsid w:val="00C36B49"/>
    <w:rsid w:val="00C36EA9"/>
    <w:rsid w:val="00C36F13"/>
    <w:rsid w:val="00C37198"/>
    <w:rsid w:val="00C371B4"/>
    <w:rsid w:val="00C37205"/>
    <w:rsid w:val="00C3723F"/>
    <w:rsid w:val="00C3727F"/>
    <w:rsid w:val="00C372B5"/>
    <w:rsid w:val="00C37465"/>
    <w:rsid w:val="00C37617"/>
    <w:rsid w:val="00C37622"/>
    <w:rsid w:val="00C37A6E"/>
    <w:rsid w:val="00C37B24"/>
    <w:rsid w:val="00C37BA0"/>
    <w:rsid w:val="00C37C68"/>
    <w:rsid w:val="00C37D7D"/>
    <w:rsid w:val="00C37E40"/>
    <w:rsid w:val="00C37E63"/>
    <w:rsid w:val="00C37F0F"/>
    <w:rsid w:val="00C40133"/>
    <w:rsid w:val="00C402FF"/>
    <w:rsid w:val="00C403A8"/>
    <w:rsid w:val="00C405F2"/>
    <w:rsid w:val="00C406F6"/>
    <w:rsid w:val="00C40850"/>
    <w:rsid w:val="00C40883"/>
    <w:rsid w:val="00C408AA"/>
    <w:rsid w:val="00C40AF0"/>
    <w:rsid w:val="00C40B24"/>
    <w:rsid w:val="00C40CA8"/>
    <w:rsid w:val="00C40D6A"/>
    <w:rsid w:val="00C40F1A"/>
    <w:rsid w:val="00C40FB6"/>
    <w:rsid w:val="00C41282"/>
    <w:rsid w:val="00C413AE"/>
    <w:rsid w:val="00C41608"/>
    <w:rsid w:val="00C4160C"/>
    <w:rsid w:val="00C4172F"/>
    <w:rsid w:val="00C4173C"/>
    <w:rsid w:val="00C41D19"/>
    <w:rsid w:val="00C41DA0"/>
    <w:rsid w:val="00C41E69"/>
    <w:rsid w:val="00C42015"/>
    <w:rsid w:val="00C42029"/>
    <w:rsid w:val="00C42240"/>
    <w:rsid w:val="00C4236F"/>
    <w:rsid w:val="00C425AC"/>
    <w:rsid w:val="00C42A8F"/>
    <w:rsid w:val="00C42F7D"/>
    <w:rsid w:val="00C43035"/>
    <w:rsid w:val="00C43151"/>
    <w:rsid w:val="00C43176"/>
    <w:rsid w:val="00C433DF"/>
    <w:rsid w:val="00C43451"/>
    <w:rsid w:val="00C4349A"/>
    <w:rsid w:val="00C434D7"/>
    <w:rsid w:val="00C435FA"/>
    <w:rsid w:val="00C4373B"/>
    <w:rsid w:val="00C4383C"/>
    <w:rsid w:val="00C43A75"/>
    <w:rsid w:val="00C43B58"/>
    <w:rsid w:val="00C43C21"/>
    <w:rsid w:val="00C43C6E"/>
    <w:rsid w:val="00C43D8B"/>
    <w:rsid w:val="00C43EB1"/>
    <w:rsid w:val="00C43F14"/>
    <w:rsid w:val="00C44022"/>
    <w:rsid w:val="00C4415C"/>
    <w:rsid w:val="00C441DB"/>
    <w:rsid w:val="00C44242"/>
    <w:rsid w:val="00C44250"/>
    <w:rsid w:val="00C44343"/>
    <w:rsid w:val="00C444C5"/>
    <w:rsid w:val="00C4494D"/>
    <w:rsid w:val="00C44A15"/>
    <w:rsid w:val="00C44C46"/>
    <w:rsid w:val="00C44F48"/>
    <w:rsid w:val="00C45234"/>
    <w:rsid w:val="00C45504"/>
    <w:rsid w:val="00C45547"/>
    <w:rsid w:val="00C45649"/>
    <w:rsid w:val="00C45927"/>
    <w:rsid w:val="00C459B0"/>
    <w:rsid w:val="00C45B63"/>
    <w:rsid w:val="00C45BDB"/>
    <w:rsid w:val="00C45D2A"/>
    <w:rsid w:val="00C45D3A"/>
    <w:rsid w:val="00C45D95"/>
    <w:rsid w:val="00C46009"/>
    <w:rsid w:val="00C4609B"/>
    <w:rsid w:val="00C46268"/>
    <w:rsid w:val="00C464E7"/>
    <w:rsid w:val="00C465C9"/>
    <w:rsid w:val="00C46620"/>
    <w:rsid w:val="00C466F4"/>
    <w:rsid w:val="00C467F3"/>
    <w:rsid w:val="00C4687B"/>
    <w:rsid w:val="00C46902"/>
    <w:rsid w:val="00C46A26"/>
    <w:rsid w:val="00C46E8E"/>
    <w:rsid w:val="00C46EA2"/>
    <w:rsid w:val="00C46F31"/>
    <w:rsid w:val="00C46F96"/>
    <w:rsid w:val="00C46FC5"/>
    <w:rsid w:val="00C46FC9"/>
    <w:rsid w:val="00C4700D"/>
    <w:rsid w:val="00C470B6"/>
    <w:rsid w:val="00C472DD"/>
    <w:rsid w:val="00C47375"/>
    <w:rsid w:val="00C4741C"/>
    <w:rsid w:val="00C47792"/>
    <w:rsid w:val="00C47A72"/>
    <w:rsid w:val="00C47ADE"/>
    <w:rsid w:val="00C47B5E"/>
    <w:rsid w:val="00C47BA4"/>
    <w:rsid w:val="00C47C39"/>
    <w:rsid w:val="00C47C68"/>
    <w:rsid w:val="00C47C6A"/>
    <w:rsid w:val="00C47F2C"/>
    <w:rsid w:val="00C47F8F"/>
    <w:rsid w:val="00C47FE3"/>
    <w:rsid w:val="00C5004C"/>
    <w:rsid w:val="00C500D6"/>
    <w:rsid w:val="00C502CF"/>
    <w:rsid w:val="00C50395"/>
    <w:rsid w:val="00C503FF"/>
    <w:rsid w:val="00C5054A"/>
    <w:rsid w:val="00C505C1"/>
    <w:rsid w:val="00C505EA"/>
    <w:rsid w:val="00C5062A"/>
    <w:rsid w:val="00C50C74"/>
    <w:rsid w:val="00C50C97"/>
    <w:rsid w:val="00C50D35"/>
    <w:rsid w:val="00C50DF9"/>
    <w:rsid w:val="00C50E2E"/>
    <w:rsid w:val="00C50EF2"/>
    <w:rsid w:val="00C50EFD"/>
    <w:rsid w:val="00C50F8A"/>
    <w:rsid w:val="00C51165"/>
    <w:rsid w:val="00C51176"/>
    <w:rsid w:val="00C5125C"/>
    <w:rsid w:val="00C5135A"/>
    <w:rsid w:val="00C51481"/>
    <w:rsid w:val="00C514FD"/>
    <w:rsid w:val="00C51721"/>
    <w:rsid w:val="00C5178E"/>
    <w:rsid w:val="00C51879"/>
    <w:rsid w:val="00C5196E"/>
    <w:rsid w:val="00C519BC"/>
    <w:rsid w:val="00C51A44"/>
    <w:rsid w:val="00C51AF5"/>
    <w:rsid w:val="00C51C29"/>
    <w:rsid w:val="00C51C6E"/>
    <w:rsid w:val="00C51D9C"/>
    <w:rsid w:val="00C51DA7"/>
    <w:rsid w:val="00C51E62"/>
    <w:rsid w:val="00C5209F"/>
    <w:rsid w:val="00C52310"/>
    <w:rsid w:val="00C523A5"/>
    <w:rsid w:val="00C5256A"/>
    <w:rsid w:val="00C52A9A"/>
    <w:rsid w:val="00C52B2C"/>
    <w:rsid w:val="00C52B90"/>
    <w:rsid w:val="00C52C5E"/>
    <w:rsid w:val="00C52D45"/>
    <w:rsid w:val="00C52EAC"/>
    <w:rsid w:val="00C53052"/>
    <w:rsid w:val="00C531A1"/>
    <w:rsid w:val="00C53207"/>
    <w:rsid w:val="00C53396"/>
    <w:rsid w:val="00C53485"/>
    <w:rsid w:val="00C5352F"/>
    <w:rsid w:val="00C53533"/>
    <w:rsid w:val="00C5365C"/>
    <w:rsid w:val="00C53715"/>
    <w:rsid w:val="00C53745"/>
    <w:rsid w:val="00C53788"/>
    <w:rsid w:val="00C537A8"/>
    <w:rsid w:val="00C537C3"/>
    <w:rsid w:val="00C53930"/>
    <w:rsid w:val="00C539F6"/>
    <w:rsid w:val="00C53AAC"/>
    <w:rsid w:val="00C540AB"/>
    <w:rsid w:val="00C540DF"/>
    <w:rsid w:val="00C54138"/>
    <w:rsid w:val="00C54220"/>
    <w:rsid w:val="00C5429B"/>
    <w:rsid w:val="00C54322"/>
    <w:rsid w:val="00C5437C"/>
    <w:rsid w:val="00C548A9"/>
    <w:rsid w:val="00C54A15"/>
    <w:rsid w:val="00C54AD9"/>
    <w:rsid w:val="00C54AF5"/>
    <w:rsid w:val="00C54BAC"/>
    <w:rsid w:val="00C54E0D"/>
    <w:rsid w:val="00C55003"/>
    <w:rsid w:val="00C5507C"/>
    <w:rsid w:val="00C55112"/>
    <w:rsid w:val="00C55189"/>
    <w:rsid w:val="00C55202"/>
    <w:rsid w:val="00C5540D"/>
    <w:rsid w:val="00C5573A"/>
    <w:rsid w:val="00C558BD"/>
    <w:rsid w:val="00C55949"/>
    <w:rsid w:val="00C55A19"/>
    <w:rsid w:val="00C55AE7"/>
    <w:rsid w:val="00C55C77"/>
    <w:rsid w:val="00C56003"/>
    <w:rsid w:val="00C56070"/>
    <w:rsid w:val="00C5617A"/>
    <w:rsid w:val="00C563A9"/>
    <w:rsid w:val="00C56425"/>
    <w:rsid w:val="00C564F4"/>
    <w:rsid w:val="00C56529"/>
    <w:rsid w:val="00C5680C"/>
    <w:rsid w:val="00C5693A"/>
    <w:rsid w:val="00C569B5"/>
    <w:rsid w:val="00C56E5C"/>
    <w:rsid w:val="00C56F5C"/>
    <w:rsid w:val="00C5725B"/>
    <w:rsid w:val="00C572BB"/>
    <w:rsid w:val="00C5759D"/>
    <w:rsid w:val="00C57680"/>
    <w:rsid w:val="00C576D5"/>
    <w:rsid w:val="00C5772F"/>
    <w:rsid w:val="00C578BF"/>
    <w:rsid w:val="00C57DDD"/>
    <w:rsid w:val="00C57DDE"/>
    <w:rsid w:val="00C60075"/>
    <w:rsid w:val="00C600C3"/>
    <w:rsid w:val="00C6018B"/>
    <w:rsid w:val="00C601A5"/>
    <w:rsid w:val="00C60418"/>
    <w:rsid w:val="00C604DF"/>
    <w:rsid w:val="00C607C7"/>
    <w:rsid w:val="00C60813"/>
    <w:rsid w:val="00C60884"/>
    <w:rsid w:val="00C60889"/>
    <w:rsid w:val="00C60980"/>
    <w:rsid w:val="00C60B6D"/>
    <w:rsid w:val="00C60DED"/>
    <w:rsid w:val="00C60E60"/>
    <w:rsid w:val="00C61072"/>
    <w:rsid w:val="00C610FA"/>
    <w:rsid w:val="00C611AF"/>
    <w:rsid w:val="00C61376"/>
    <w:rsid w:val="00C615D4"/>
    <w:rsid w:val="00C621AF"/>
    <w:rsid w:val="00C622F4"/>
    <w:rsid w:val="00C62327"/>
    <w:rsid w:val="00C62524"/>
    <w:rsid w:val="00C62528"/>
    <w:rsid w:val="00C62543"/>
    <w:rsid w:val="00C626BD"/>
    <w:rsid w:val="00C627AE"/>
    <w:rsid w:val="00C62A40"/>
    <w:rsid w:val="00C62BF2"/>
    <w:rsid w:val="00C631C3"/>
    <w:rsid w:val="00C632E0"/>
    <w:rsid w:val="00C634F0"/>
    <w:rsid w:val="00C63599"/>
    <w:rsid w:val="00C63685"/>
    <w:rsid w:val="00C637F7"/>
    <w:rsid w:val="00C63888"/>
    <w:rsid w:val="00C6390E"/>
    <w:rsid w:val="00C63AB7"/>
    <w:rsid w:val="00C63ACA"/>
    <w:rsid w:val="00C63DCF"/>
    <w:rsid w:val="00C6410C"/>
    <w:rsid w:val="00C64126"/>
    <w:rsid w:val="00C64348"/>
    <w:rsid w:val="00C6489E"/>
    <w:rsid w:val="00C64971"/>
    <w:rsid w:val="00C649EF"/>
    <w:rsid w:val="00C64A76"/>
    <w:rsid w:val="00C64CC8"/>
    <w:rsid w:val="00C64D96"/>
    <w:rsid w:val="00C64F1C"/>
    <w:rsid w:val="00C65067"/>
    <w:rsid w:val="00C652CE"/>
    <w:rsid w:val="00C65748"/>
    <w:rsid w:val="00C65769"/>
    <w:rsid w:val="00C657A9"/>
    <w:rsid w:val="00C65963"/>
    <w:rsid w:val="00C65AA7"/>
    <w:rsid w:val="00C65AC2"/>
    <w:rsid w:val="00C65B48"/>
    <w:rsid w:val="00C65CD1"/>
    <w:rsid w:val="00C65CD2"/>
    <w:rsid w:val="00C65D49"/>
    <w:rsid w:val="00C65D71"/>
    <w:rsid w:val="00C65E3E"/>
    <w:rsid w:val="00C65E47"/>
    <w:rsid w:val="00C65F59"/>
    <w:rsid w:val="00C660D3"/>
    <w:rsid w:val="00C661BF"/>
    <w:rsid w:val="00C66247"/>
    <w:rsid w:val="00C6625A"/>
    <w:rsid w:val="00C662DC"/>
    <w:rsid w:val="00C6654E"/>
    <w:rsid w:val="00C66657"/>
    <w:rsid w:val="00C66667"/>
    <w:rsid w:val="00C666BD"/>
    <w:rsid w:val="00C667D2"/>
    <w:rsid w:val="00C66920"/>
    <w:rsid w:val="00C66958"/>
    <w:rsid w:val="00C66AE1"/>
    <w:rsid w:val="00C66F08"/>
    <w:rsid w:val="00C67096"/>
    <w:rsid w:val="00C6709E"/>
    <w:rsid w:val="00C6710E"/>
    <w:rsid w:val="00C67287"/>
    <w:rsid w:val="00C67353"/>
    <w:rsid w:val="00C6738E"/>
    <w:rsid w:val="00C6739C"/>
    <w:rsid w:val="00C67459"/>
    <w:rsid w:val="00C674B2"/>
    <w:rsid w:val="00C6773B"/>
    <w:rsid w:val="00C6789F"/>
    <w:rsid w:val="00C67A38"/>
    <w:rsid w:val="00C67C87"/>
    <w:rsid w:val="00C67D05"/>
    <w:rsid w:val="00C67D69"/>
    <w:rsid w:val="00C70125"/>
    <w:rsid w:val="00C70417"/>
    <w:rsid w:val="00C7050A"/>
    <w:rsid w:val="00C7057B"/>
    <w:rsid w:val="00C70B6E"/>
    <w:rsid w:val="00C70E21"/>
    <w:rsid w:val="00C70EE7"/>
    <w:rsid w:val="00C70F1D"/>
    <w:rsid w:val="00C70F6D"/>
    <w:rsid w:val="00C70F81"/>
    <w:rsid w:val="00C70FCC"/>
    <w:rsid w:val="00C70FDE"/>
    <w:rsid w:val="00C71039"/>
    <w:rsid w:val="00C710B3"/>
    <w:rsid w:val="00C7141F"/>
    <w:rsid w:val="00C7144A"/>
    <w:rsid w:val="00C71536"/>
    <w:rsid w:val="00C71820"/>
    <w:rsid w:val="00C7186B"/>
    <w:rsid w:val="00C71ACA"/>
    <w:rsid w:val="00C71C03"/>
    <w:rsid w:val="00C71C63"/>
    <w:rsid w:val="00C71D72"/>
    <w:rsid w:val="00C71EE2"/>
    <w:rsid w:val="00C71EE7"/>
    <w:rsid w:val="00C71EFD"/>
    <w:rsid w:val="00C72083"/>
    <w:rsid w:val="00C7209E"/>
    <w:rsid w:val="00C72528"/>
    <w:rsid w:val="00C72720"/>
    <w:rsid w:val="00C72842"/>
    <w:rsid w:val="00C729D0"/>
    <w:rsid w:val="00C729EA"/>
    <w:rsid w:val="00C72A0F"/>
    <w:rsid w:val="00C72A75"/>
    <w:rsid w:val="00C72BEE"/>
    <w:rsid w:val="00C72F0B"/>
    <w:rsid w:val="00C72FA7"/>
    <w:rsid w:val="00C72FAD"/>
    <w:rsid w:val="00C72FAE"/>
    <w:rsid w:val="00C7311B"/>
    <w:rsid w:val="00C73135"/>
    <w:rsid w:val="00C731C7"/>
    <w:rsid w:val="00C73219"/>
    <w:rsid w:val="00C73334"/>
    <w:rsid w:val="00C7333C"/>
    <w:rsid w:val="00C73466"/>
    <w:rsid w:val="00C73509"/>
    <w:rsid w:val="00C735F3"/>
    <w:rsid w:val="00C737A2"/>
    <w:rsid w:val="00C73910"/>
    <w:rsid w:val="00C7393D"/>
    <w:rsid w:val="00C73A97"/>
    <w:rsid w:val="00C73D1B"/>
    <w:rsid w:val="00C73D93"/>
    <w:rsid w:val="00C73F38"/>
    <w:rsid w:val="00C7402B"/>
    <w:rsid w:val="00C743BB"/>
    <w:rsid w:val="00C74400"/>
    <w:rsid w:val="00C7479E"/>
    <w:rsid w:val="00C747C1"/>
    <w:rsid w:val="00C7486F"/>
    <w:rsid w:val="00C7491A"/>
    <w:rsid w:val="00C74943"/>
    <w:rsid w:val="00C74B5C"/>
    <w:rsid w:val="00C74C3A"/>
    <w:rsid w:val="00C74DB5"/>
    <w:rsid w:val="00C74DBD"/>
    <w:rsid w:val="00C74EC8"/>
    <w:rsid w:val="00C74FDB"/>
    <w:rsid w:val="00C7501C"/>
    <w:rsid w:val="00C7502E"/>
    <w:rsid w:val="00C7507F"/>
    <w:rsid w:val="00C75111"/>
    <w:rsid w:val="00C75155"/>
    <w:rsid w:val="00C751B2"/>
    <w:rsid w:val="00C7543E"/>
    <w:rsid w:val="00C7552C"/>
    <w:rsid w:val="00C757FE"/>
    <w:rsid w:val="00C75877"/>
    <w:rsid w:val="00C75921"/>
    <w:rsid w:val="00C759D1"/>
    <w:rsid w:val="00C75B1B"/>
    <w:rsid w:val="00C75E40"/>
    <w:rsid w:val="00C75F2C"/>
    <w:rsid w:val="00C76087"/>
    <w:rsid w:val="00C760A2"/>
    <w:rsid w:val="00C76144"/>
    <w:rsid w:val="00C76881"/>
    <w:rsid w:val="00C7689E"/>
    <w:rsid w:val="00C76A31"/>
    <w:rsid w:val="00C76A66"/>
    <w:rsid w:val="00C76D5D"/>
    <w:rsid w:val="00C76D94"/>
    <w:rsid w:val="00C76EC9"/>
    <w:rsid w:val="00C76F55"/>
    <w:rsid w:val="00C7703A"/>
    <w:rsid w:val="00C77191"/>
    <w:rsid w:val="00C771BE"/>
    <w:rsid w:val="00C771FD"/>
    <w:rsid w:val="00C77499"/>
    <w:rsid w:val="00C77559"/>
    <w:rsid w:val="00C775D9"/>
    <w:rsid w:val="00C77626"/>
    <w:rsid w:val="00C779FB"/>
    <w:rsid w:val="00C77B50"/>
    <w:rsid w:val="00C77CE7"/>
    <w:rsid w:val="00C77E15"/>
    <w:rsid w:val="00C77F1B"/>
    <w:rsid w:val="00C77FB0"/>
    <w:rsid w:val="00C77FFA"/>
    <w:rsid w:val="00C800AE"/>
    <w:rsid w:val="00C800E0"/>
    <w:rsid w:val="00C800E2"/>
    <w:rsid w:val="00C80103"/>
    <w:rsid w:val="00C80114"/>
    <w:rsid w:val="00C80142"/>
    <w:rsid w:val="00C80183"/>
    <w:rsid w:val="00C801AB"/>
    <w:rsid w:val="00C804B3"/>
    <w:rsid w:val="00C80681"/>
    <w:rsid w:val="00C8080E"/>
    <w:rsid w:val="00C80820"/>
    <w:rsid w:val="00C8083D"/>
    <w:rsid w:val="00C808AE"/>
    <w:rsid w:val="00C80924"/>
    <w:rsid w:val="00C80BDC"/>
    <w:rsid w:val="00C80CA1"/>
    <w:rsid w:val="00C80CB5"/>
    <w:rsid w:val="00C80CB7"/>
    <w:rsid w:val="00C80D09"/>
    <w:rsid w:val="00C80D36"/>
    <w:rsid w:val="00C80E70"/>
    <w:rsid w:val="00C80F2A"/>
    <w:rsid w:val="00C81120"/>
    <w:rsid w:val="00C811BB"/>
    <w:rsid w:val="00C812AA"/>
    <w:rsid w:val="00C812F2"/>
    <w:rsid w:val="00C81516"/>
    <w:rsid w:val="00C8162B"/>
    <w:rsid w:val="00C8170C"/>
    <w:rsid w:val="00C8181B"/>
    <w:rsid w:val="00C81877"/>
    <w:rsid w:val="00C818B7"/>
    <w:rsid w:val="00C81D46"/>
    <w:rsid w:val="00C81D76"/>
    <w:rsid w:val="00C81F8A"/>
    <w:rsid w:val="00C8200D"/>
    <w:rsid w:val="00C8220F"/>
    <w:rsid w:val="00C82214"/>
    <w:rsid w:val="00C82273"/>
    <w:rsid w:val="00C824A1"/>
    <w:rsid w:val="00C825C5"/>
    <w:rsid w:val="00C8279F"/>
    <w:rsid w:val="00C829A6"/>
    <w:rsid w:val="00C82BD1"/>
    <w:rsid w:val="00C82C7C"/>
    <w:rsid w:val="00C82D75"/>
    <w:rsid w:val="00C82DFB"/>
    <w:rsid w:val="00C82E23"/>
    <w:rsid w:val="00C82F16"/>
    <w:rsid w:val="00C82F27"/>
    <w:rsid w:val="00C82F34"/>
    <w:rsid w:val="00C83129"/>
    <w:rsid w:val="00C83219"/>
    <w:rsid w:val="00C8329E"/>
    <w:rsid w:val="00C83316"/>
    <w:rsid w:val="00C8338A"/>
    <w:rsid w:val="00C835CD"/>
    <w:rsid w:val="00C83899"/>
    <w:rsid w:val="00C83A4B"/>
    <w:rsid w:val="00C83B52"/>
    <w:rsid w:val="00C83BC0"/>
    <w:rsid w:val="00C84151"/>
    <w:rsid w:val="00C84187"/>
    <w:rsid w:val="00C8419D"/>
    <w:rsid w:val="00C84349"/>
    <w:rsid w:val="00C84582"/>
    <w:rsid w:val="00C84594"/>
    <w:rsid w:val="00C84676"/>
    <w:rsid w:val="00C846D5"/>
    <w:rsid w:val="00C84837"/>
    <w:rsid w:val="00C84D12"/>
    <w:rsid w:val="00C84E86"/>
    <w:rsid w:val="00C84EE6"/>
    <w:rsid w:val="00C84F2C"/>
    <w:rsid w:val="00C84F49"/>
    <w:rsid w:val="00C84F55"/>
    <w:rsid w:val="00C84FC9"/>
    <w:rsid w:val="00C85060"/>
    <w:rsid w:val="00C851DA"/>
    <w:rsid w:val="00C8528F"/>
    <w:rsid w:val="00C853E1"/>
    <w:rsid w:val="00C85510"/>
    <w:rsid w:val="00C855E1"/>
    <w:rsid w:val="00C8566D"/>
    <w:rsid w:val="00C856BB"/>
    <w:rsid w:val="00C85ABE"/>
    <w:rsid w:val="00C85C24"/>
    <w:rsid w:val="00C85C55"/>
    <w:rsid w:val="00C86171"/>
    <w:rsid w:val="00C86193"/>
    <w:rsid w:val="00C862F7"/>
    <w:rsid w:val="00C8643A"/>
    <w:rsid w:val="00C86442"/>
    <w:rsid w:val="00C865B5"/>
    <w:rsid w:val="00C8673C"/>
    <w:rsid w:val="00C8684F"/>
    <w:rsid w:val="00C8690B"/>
    <w:rsid w:val="00C8696B"/>
    <w:rsid w:val="00C86C71"/>
    <w:rsid w:val="00C86EC6"/>
    <w:rsid w:val="00C86F11"/>
    <w:rsid w:val="00C86F9D"/>
    <w:rsid w:val="00C872F4"/>
    <w:rsid w:val="00C8740D"/>
    <w:rsid w:val="00C8750A"/>
    <w:rsid w:val="00C876F4"/>
    <w:rsid w:val="00C876F9"/>
    <w:rsid w:val="00C877C2"/>
    <w:rsid w:val="00C87922"/>
    <w:rsid w:val="00C87953"/>
    <w:rsid w:val="00C87D61"/>
    <w:rsid w:val="00C87F1E"/>
    <w:rsid w:val="00C87F7A"/>
    <w:rsid w:val="00C901F8"/>
    <w:rsid w:val="00C90407"/>
    <w:rsid w:val="00C90576"/>
    <w:rsid w:val="00C90675"/>
    <w:rsid w:val="00C9072E"/>
    <w:rsid w:val="00C9099F"/>
    <w:rsid w:val="00C90ABD"/>
    <w:rsid w:val="00C90B96"/>
    <w:rsid w:val="00C90C95"/>
    <w:rsid w:val="00C90CA1"/>
    <w:rsid w:val="00C90EE4"/>
    <w:rsid w:val="00C90F13"/>
    <w:rsid w:val="00C91047"/>
    <w:rsid w:val="00C9116A"/>
    <w:rsid w:val="00C91373"/>
    <w:rsid w:val="00C9139A"/>
    <w:rsid w:val="00C9167A"/>
    <w:rsid w:val="00C9183B"/>
    <w:rsid w:val="00C91842"/>
    <w:rsid w:val="00C91E13"/>
    <w:rsid w:val="00C91E43"/>
    <w:rsid w:val="00C91F2E"/>
    <w:rsid w:val="00C91FD5"/>
    <w:rsid w:val="00C9206D"/>
    <w:rsid w:val="00C92628"/>
    <w:rsid w:val="00C9268A"/>
    <w:rsid w:val="00C9272A"/>
    <w:rsid w:val="00C9288D"/>
    <w:rsid w:val="00C92A51"/>
    <w:rsid w:val="00C92AEA"/>
    <w:rsid w:val="00C92C5A"/>
    <w:rsid w:val="00C92D2E"/>
    <w:rsid w:val="00C92F4A"/>
    <w:rsid w:val="00C93250"/>
    <w:rsid w:val="00C932E2"/>
    <w:rsid w:val="00C9331E"/>
    <w:rsid w:val="00C93543"/>
    <w:rsid w:val="00C9359B"/>
    <w:rsid w:val="00C936B3"/>
    <w:rsid w:val="00C93A92"/>
    <w:rsid w:val="00C93ACC"/>
    <w:rsid w:val="00C93B22"/>
    <w:rsid w:val="00C93B5D"/>
    <w:rsid w:val="00C93E0E"/>
    <w:rsid w:val="00C93E44"/>
    <w:rsid w:val="00C93E76"/>
    <w:rsid w:val="00C93FA5"/>
    <w:rsid w:val="00C9408D"/>
    <w:rsid w:val="00C942B6"/>
    <w:rsid w:val="00C94493"/>
    <w:rsid w:val="00C944C3"/>
    <w:rsid w:val="00C94537"/>
    <w:rsid w:val="00C9465F"/>
    <w:rsid w:val="00C94973"/>
    <w:rsid w:val="00C94A4C"/>
    <w:rsid w:val="00C94C8C"/>
    <w:rsid w:val="00C94CE5"/>
    <w:rsid w:val="00C94D66"/>
    <w:rsid w:val="00C94ED0"/>
    <w:rsid w:val="00C94FEB"/>
    <w:rsid w:val="00C950DA"/>
    <w:rsid w:val="00C95385"/>
    <w:rsid w:val="00C95473"/>
    <w:rsid w:val="00C957FB"/>
    <w:rsid w:val="00C9585A"/>
    <w:rsid w:val="00C958B7"/>
    <w:rsid w:val="00C958C9"/>
    <w:rsid w:val="00C95AEB"/>
    <w:rsid w:val="00C95B1B"/>
    <w:rsid w:val="00C95FAE"/>
    <w:rsid w:val="00C95FBB"/>
    <w:rsid w:val="00C9600A"/>
    <w:rsid w:val="00C9623D"/>
    <w:rsid w:val="00C962BD"/>
    <w:rsid w:val="00C962C6"/>
    <w:rsid w:val="00C963CF"/>
    <w:rsid w:val="00C9655F"/>
    <w:rsid w:val="00C965D1"/>
    <w:rsid w:val="00C9679C"/>
    <w:rsid w:val="00C96823"/>
    <w:rsid w:val="00C96A1D"/>
    <w:rsid w:val="00C96CB3"/>
    <w:rsid w:val="00C96FC8"/>
    <w:rsid w:val="00C97088"/>
    <w:rsid w:val="00C970F7"/>
    <w:rsid w:val="00C974FC"/>
    <w:rsid w:val="00C976B4"/>
    <w:rsid w:val="00C976F5"/>
    <w:rsid w:val="00C97AE7"/>
    <w:rsid w:val="00C97AFE"/>
    <w:rsid w:val="00C97BE6"/>
    <w:rsid w:val="00C97C4B"/>
    <w:rsid w:val="00C97C6E"/>
    <w:rsid w:val="00C97E03"/>
    <w:rsid w:val="00CA0008"/>
    <w:rsid w:val="00CA0029"/>
    <w:rsid w:val="00CA024C"/>
    <w:rsid w:val="00CA0275"/>
    <w:rsid w:val="00CA0412"/>
    <w:rsid w:val="00CA052A"/>
    <w:rsid w:val="00CA06CC"/>
    <w:rsid w:val="00CA07E2"/>
    <w:rsid w:val="00CA0838"/>
    <w:rsid w:val="00CA083A"/>
    <w:rsid w:val="00CA0B42"/>
    <w:rsid w:val="00CA0D4E"/>
    <w:rsid w:val="00CA0EF3"/>
    <w:rsid w:val="00CA0F09"/>
    <w:rsid w:val="00CA0F8B"/>
    <w:rsid w:val="00CA10DE"/>
    <w:rsid w:val="00CA115A"/>
    <w:rsid w:val="00CA118D"/>
    <w:rsid w:val="00CA1428"/>
    <w:rsid w:val="00CA155D"/>
    <w:rsid w:val="00CA157A"/>
    <w:rsid w:val="00CA16CA"/>
    <w:rsid w:val="00CA1710"/>
    <w:rsid w:val="00CA1B38"/>
    <w:rsid w:val="00CA1B3E"/>
    <w:rsid w:val="00CA1B8E"/>
    <w:rsid w:val="00CA1BBF"/>
    <w:rsid w:val="00CA1C22"/>
    <w:rsid w:val="00CA1D22"/>
    <w:rsid w:val="00CA201C"/>
    <w:rsid w:val="00CA2429"/>
    <w:rsid w:val="00CA2467"/>
    <w:rsid w:val="00CA25AC"/>
    <w:rsid w:val="00CA27C6"/>
    <w:rsid w:val="00CA27DC"/>
    <w:rsid w:val="00CA27ED"/>
    <w:rsid w:val="00CA28AA"/>
    <w:rsid w:val="00CA28CC"/>
    <w:rsid w:val="00CA28E6"/>
    <w:rsid w:val="00CA297F"/>
    <w:rsid w:val="00CA299C"/>
    <w:rsid w:val="00CA2A8D"/>
    <w:rsid w:val="00CA2AFB"/>
    <w:rsid w:val="00CA2C23"/>
    <w:rsid w:val="00CA2F26"/>
    <w:rsid w:val="00CA3043"/>
    <w:rsid w:val="00CA3075"/>
    <w:rsid w:val="00CA34A4"/>
    <w:rsid w:val="00CA3828"/>
    <w:rsid w:val="00CA3A26"/>
    <w:rsid w:val="00CA3A7B"/>
    <w:rsid w:val="00CA3ADB"/>
    <w:rsid w:val="00CA3B2E"/>
    <w:rsid w:val="00CA3B76"/>
    <w:rsid w:val="00CA3C6C"/>
    <w:rsid w:val="00CA3D46"/>
    <w:rsid w:val="00CA3EAB"/>
    <w:rsid w:val="00CA3EEC"/>
    <w:rsid w:val="00CA4060"/>
    <w:rsid w:val="00CA407F"/>
    <w:rsid w:val="00CA4125"/>
    <w:rsid w:val="00CA414B"/>
    <w:rsid w:val="00CA41A6"/>
    <w:rsid w:val="00CA41EA"/>
    <w:rsid w:val="00CA4240"/>
    <w:rsid w:val="00CA4473"/>
    <w:rsid w:val="00CA46AA"/>
    <w:rsid w:val="00CA4807"/>
    <w:rsid w:val="00CA4C3B"/>
    <w:rsid w:val="00CA4D93"/>
    <w:rsid w:val="00CA4EA3"/>
    <w:rsid w:val="00CA50A0"/>
    <w:rsid w:val="00CA50A2"/>
    <w:rsid w:val="00CA51C7"/>
    <w:rsid w:val="00CA51DE"/>
    <w:rsid w:val="00CA5221"/>
    <w:rsid w:val="00CA5332"/>
    <w:rsid w:val="00CA54B1"/>
    <w:rsid w:val="00CA553A"/>
    <w:rsid w:val="00CA558E"/>
    <w:rsid w:val="00CA5630"/>
    <w:rsid w:val="00CA5743"/>
    <w:rsid w:val="00CA5830"/>
    <w:rsid w:val="00CA589B"/>
    <w:rsid w:val="00CA5A39"/>
    <w:rsid w:val="00CA5A6F"/>
    <w:rsid w:val="00CA5C19"/>
    <w:rsid w:val="00CA5C62"/>
    <w:rsid w:val="00CA5CAB"/>
    <w:rsid w:val="00CA5EEE"/>
    <w:rsid w:val="00CA5F50"/>
    <w:rsid w:val="00CA6058"/>
    <w:rsid w:val="00CA609F"/>
    <w:rsid w:val="00CA6121"/>
    <w:rsid w:val="00CA64E8"/>
    <w:rsid w:val="00CA663B"/>
    <w:rsid w:val="00CA665F"/>
    <w:rsid w:val="00CA66DF"/>
    <w:rsid w:val="00CA6A6C"/>
    <w:rsid w:val="00CA6D4A"/>
    <w:rsid w:val="00CA6DBA"/>
    <w:rsid w:val="00CA6DCE"/>
    <w:rsid w:val="00CA6F6C"/>
    <w:rsid w:val="00CA7079"/>
    <w:rsid w:val="00CA711B"/>
    <w:rsid w:val="00CA7172"/>
    <w:rsid w:val="00CA74F3"/>
    <w:rsid w:val="00CA756D"/>
    <w:rsid w:val="00CA75AC"/>
    <w:rsid w:val="00CA7649"/>
    <w:rsid w:val="00CA7723"/>
    <w:rsid w:val="00CA7957"/>
    <w:rsid w:val="00CA79D8"/>
    <w:rsid w:val="00CA7C2E"/>
    <w:rsid w:val="00CA7E51"/>
    <w:rsid w:val="00CA7E58"/>
    <w:rsid w:val="00CB026A"/>
    <w:rsid w:val="00CB0468"/>
    <w:rsid w:val="00CB048F"/>
    <w:rsid w:val="00CB082A"/>
    <w:rsid w:val="00CB0837"/>
    <w:rsid w:val="00CB0868"/>
    <w:rsid w:val="00CB0872"/>
    <w:rsid w:val="00CB0895"/>
    <w:rsid w:val="00CB0B83"/>
    <w:rsid w:val="00CB0B96"/>
    <w:rsid w:val="00CB0CAF"/>
    <w:rsid w:val="00CB0D30"/>
    <w:rsid w:val="00CB0DA8"/>
    <w:rsid w:val="00CB0F7F"/>
    <w:rsid w:val="00CB1084"/>
    <w:rsid w:val="00CB10BD"/>
    <w:rsid w:val="00CB113A"/>
    <w:rsid w:val="00CB11DA"/>
    <w:rsid w:val="00CB11DD"/>
    <w:rsid w:val="00CB13CE"/>
    <w:rsid w:val="00CB1474"/>
    <w:rsid w:val="00CB171F"/>
    <w:rsid w:val="00CB1795"/>
    <w:rsid w:val="00CB17B4"/>
    <w:rsid w:val="00CB199D"/>
    <w:rsid w:val="00CB19BD"/>
    <w:rsid w:val="00CB1D04"/>
    <w:rsid w:val="00CB1E28"/>
    <w:rsid w:val="00CB207C"/>
    <w:rsid w:val="00CB21CA"/>
    <w:rsid w:val="00CB22C1"/>
    <w:rsid w:val="00CB22C9"/>
    <w:rsid w:val="00CB2380"/>
    <w:rsid w:val="00CB27C9"/>
    <w:rsid w:val="00CB2902"/>
    <w:rsid w:val="00CB2921"/>
    <w:rsid w:val="00CB299D"/>
    <w:rsid w:val="00CB2AAD"/>
    <w:rsid w:val="00CB2B61"/>
    <w:rsid w:val="00CB2D71"/>
    <w:rsid w:val="00CB2E11"/>
    <w:rsid w:val="00CB2E7B"/>
    <w:rsid w:val="00CB2F45"/>
    <w:rsid w:val="00CB2F46"/>
    <w:rsid w:val="00CB2FDE"/>
    <w:rsid w:val="00CB3144"/>
    <w:rsid w:val="00CB3189"/>
    <w:rsid w:val="00CB3487"/>
    <w:rsid w:val="00CB34CB"/>
    <w:rsid w:val="00CB34D9"/>
    <w:rsid w:val="00CB3643"/>
    <w:rsid w:val="00CB3973"/>
    <w:rsid w:val="00CB3B37"/>
    <w:rsid w:val="00CB44D4"/>
    <w:rsid w:val="00CB44D5"/>
    <w:rsid w:val="00CB451A"/>
    <w:rsid w:val="00CB458E"/>
    <w:rsid w:val="00CB4646"/>
    <w:rsid w:val="00CB47E0"/>
    <w:rsid w:val="00CB47F2"/>
    <w:rsid w:val="00CB484B"/>
    <w:rsid w:val="00CB490D"/>
    <w:rsid w:val="00CB4BA0"/>
    <w:rsid w:val="00CB4C4B"/>
    <w:rsid w:val="00CB4C65"/>
    <w:rsid w:val="00CB4DC1"/>
    <w:rsid w:val="00CB4DF4"/>
    <w:rsid w:val="00CB4E0F"/>
    <w:rsid w:val="00CB4F8A"/>
    <w:rsid w:val="00CB5030"/>
    <w:rsid w:val="00CB5052"/>
    <w:rsid w:val="00CB507F"/>
    <w:rsid w:val="00CB50FD"/>
    <w:rsid w:val="00CB53BB"/>
    <w:rsid w:val="00CB53C9"/>
    <w:rsid w:val="00CB5479"/>
    <w:rsid w:val="00CB5733"/>
    <w:rsid w:val="00CB573C"/>
    <w:rsid w:val="00CB57BE"/>
    <w:rsid w:val="00CB5875"/>
    <w:rsid w:val="00CB58C8"/>
    <w:rsid w:val="00CB58D7"/>
    <w:rsid w:val="00CB58EB"/>
    <w:rsid w:val="00CB5A58"/>
    <w:rsid w:val="00CB5B82"/>
    <w:rsid w:val="00CB5D1C"/>
    <w:rsid w:val="00CB5D27"/>
    <w:rsid w:val="00CB5DC9"/>
    <w:rsid w:val="00CB5DCE"/>
    <w:rsid w:val="00CB5E20"/>
    <w:rsid w:val="00CB5FCD"/>
    <w:rsid w:val="00CB622C"/>
    <w:rsid w:val="00CB651B"/>
    <w:rsid w:val="00CB6583"/>
    <w:rsid w:val="00CB6734"/>
    <w:rsid w:val="00CB6AD1"/>
    <w:rsid w:val="00CB6AE4"/>
    <w:rsid w:val="00CB6B17"/>
    <w:rsid w:val="00CB6B58"/>
    <w:rsid w:val="00CB6B71"/>
    <w:rsid w:val="00CB6B91"/>
    <w:rsid w:val="00CB6CE4"/>
    <w:rsid w:val="00CB6D27"/>
    <w:rsid w:val="00CB6E5A"/>
    <w:rsid w:val="00CB708B"/>
    <w:rsid w:val="00CB7140"/>
    <w:rsid w:val="00CB72DD"/>
    <w:rsid w:val="00CB7368"/>
    <w:rsid w:val="00CB73C5"/>
    <w:rsid w:val="00CB744A"/>
    <w:rsid w:val="00CB74FB"/>
    <w:rsid w:val="00CB7952"/>
    <w:rsid w:val="00CB7B69"/>
    <w:rsid w:val="00CB7C75"/>
    <w:rsid w:val="00CB7D54"/>
    <w:rsid w:val="00CB7E0A"/>
    <w:rsid w:val="00CB7EE7"/>
    <w:rsid w:val="00CB7F16"/>
    <w:rsid w:val="00CB7FA6"/>
    <w:rsid w:val="00CC0079"/>
    <w:rsid w:val="00CC011F"/>
    <w:rsid w:val="00CC0126"/>
    <w:rsid w:val="00CC02CC"/>
    <w:rsid w:val="00CC02D4"/>
    <w:rsid w:val="00CC034A"/>
    <w:rsid w:val="00CC03B1"/>
    <w:rsid w:val="00CC03F1"/>
    <w:rsid w:val="00CC043A"/>
    <w:rsid w:val="00CC0453"/>
    <w:rsid w:val="00CC05C7"/>
    <w:rsid w:val="00CC0685"/>
    <w:rsid w:val="00CC0877"/>
    <w:rsid w:val="00CC0B55"/>
    <w:rsid w:val="00CC0B64"/>
    <w:rsid w:val="00CC0D0F"/>
    <w:rsid w:val="00CC0D75"/>
    <w:rsid w:val="00CC11BF"/>
    <w:rsid w:val="00CC12D3"/>
    <w:rsid w:val="00CC13E9"/>
    <w:rsid w:val="00CC13EA"/>
    <w:rsid w:val="00CC141F"/>
    <w:rsid w:val="00CC1792"/>
    <w:rsid w:val="00CC18C1"/>
    <w:rsid w:val="00CC18DB"/>
    <w:rsid w:val="00CC1A14"/>
    <w:rsid w:val="00CC1A46"/>
    <w:rsid w:val="00CC1C5A"/>
    <w:rsid w:val="00CC1D98"/>
    <w:rsid w:val="00CC1DC5"/>
    <w:rsid w:val="00CC2025"/>
    <w:rsid w:val="00CC203A"/>
    <w:rsid w:val="00CC2099"/>
    <w:rsid w:val="00CC2105"/>
    <w:rsid w:val="00CC2397"/>
    <w:rsid w:val="00CC2543"/>
    <w:rsid w:val="00CC2600"/>
    <w:rsid w:val="00CC2723"/>
    <w:rsid w:val="00CC28DB"/>
    <w:rsid w:val="00CC2A26"/>
    <w:rsid w:val="00CC2B06"/>
    <w:rsid w:val="00CC2FBD"/>
    <w:rsid w:val="00CC2FF7"/>
    <w:rsid w:val="00CC3013"/>
    <w:rsid w:val="00CC3073"/>
    <w:rsid w:val="00CC30D7"/>
    <w:rsid w:val="00CC3119"/>
    <w:rsid w:val="00CC315E"/>
    <w:rsid w:val="00CC3218"/>
    <w:rsid w:val="00CC3323"/>
    <w:rsid w:val="00CC35A6"/>
    <w:rsid w:val="00CC35FE"/>
    <w:rsid w:val="00CC37D7"/>
    <w:rsid w:val="00CC3855"/>
    <w:rsid w:val="00CC3924"/>
    <w:rsid w:val="00CC3A38"/>
    <w:rsid w:val="00CC3B47"/>
    <w:rsid w:val="00CC3B8C"/>
    <w:rsid w:val="00CC3C16"/>
    <w:rsid w:val="00CC3D92"/>
    <w:rsid w:val="00CC3DB1"/>
    <w:rsid w:val="00CC40A1"/>
    <w:rsid w:val="00CC42E6"/>
    <w:rsid w:val="00CC4485"/>
    <w:rsid w:val="00CC44AC"/>
    <w:rsid w:val="00CC4593"/>
    <w:rsid w:val="00CC4A50"/>
    <w:rsid w:val="00CC4BB4"/>
    <w:rsid w:val="00CC4DC3"/>
    <w:rsid w:val="00CC519A"/>
    <w:rsid w:val="00CC51F7"/>
    <w:rsid w:val="00CC52FD"/>
    <w:rsid w:val="00CC55A5"/>
    <w:rsid w:val="00CC564C"/>
    <w:rsid w:val="00CC5860"/>
    <w:rsid w:val="00CC58C5"/>
    <w:rsid w:val="00CC5952"/>
    <w:rsid w:val="00CC5D83"/>
    <w:rsid w:val="00CC5FAF"/>
    <w:rsid w:val="00CC6160"/>
    <w:rsid w:val="00CC61D7"/>
    <w:rsid w:val="00CC6578"/>
    <w:rsid w:val="00CC6660"/>
    <w:rsid w:val="00CC6764"/>
    <w:rsid w:val="00CC682D"/>
    <w:rsid w:val="00CC6974"/>
    <w:rsid w:val="00CC6A5D"/>
    <w:rsid w:val="00CC6BB4"/>
    <w:rsid w:val="00CC6C21"/>
    <w:rsid w:val="00CC6C53"/>
    <w:rsid w:val="00CC6F6B"/>
    <w:rsid w:val="00CC7122"/>
    <w:rsid w:val="00CC7228"/>
    <w:rsid w:val="00CC72B8"/>
    <w:rsid w:val="00CC7331"/>
    <w:rsid w:val="00CC760C"/>
    <w:rsid w:val="00CC7733"/>
    <w:rsid w:val="00CC7874"/>
    <w:rsid w:val="00CC7A5C"/>
    <w:rsid w:val="00CC7AFC"/>
    <w:rsid w:val="00CC7B1A"/>
    <w:rsid w:val="00CC7E29"/>
    <w:rsid w:val="00CC7E4D"/>
    <w:rsid w:val="00CC7EC8"/>
    <w:rsid w:val="00CD01D2"/>
    <w:rsid w:val="00CD01DF"/>
    <w:rsid w:val="00CD02E3"/>
    <w:rsid w:val="00CD0325"/>
    <w:rsid w:val="00CD037E"/>
    <w:rsid w:val="00CD03D2"/>
    <w:rsid w:val="00CD03D4"/>
    <w:rsid w:val="00CD04A9"/>
    <w:rsid w:val="00CD085A"/>
    <w:rsid w:val="00CD089B"/>
    <w:rsid w:val="00CD0900"/>
    <w:rsid w:val="00CD0921"/>
    <w:rsid w:val="00CD093B"/>
    <w:rsid w:val="00CD0C19"/>
    <w:rsid w:val="00CD0F5A"/>
    <w:rsid w:val="00CD10D9"/>
    <w:rsid w:val="00CD10F5"/>
    <w:rsid w:val="00CD1118"/>
    <w:rsid w:val="00CD1245"/>
    <w:rsid w:val="00CD1271"/>
    <w:rsid w:val="00CD132D"/>
    <w:rsid w:val="00CD13F4"/>
    <w:rsid w:val="00CD160A"/>
    <w:rsid w:val="00CD1839"/>
    <w:rsid w:val="00CD194B"/>
    <w:rsid w:val="00CD1980"/>
    <w:rsid w:val="00CD1BF0"/>
    <w:rsid w:val="00CD1CA1"/>
    <w:rsid w:val="00CD1D7C"/>
    <w:rsid w:val="00CD1E1B"/>
    <w:rsid w:val="00CD1E38"/>
    <w:rsid w:val="00CD1EB5"/>
    <w:rsid w:val="00CD1FB3"/>
    <w:rsid w:val="00CD205A"/>
    <w:rsid w:val="00CD215C"/>
    <w:rsid w:val="00CD2165"/>
    <w:rsid w:val="00CD2215"/>
    <w:rsid w:val="00CD22A1"/>
    <w:rsid w:val="00CD241B"/>
    <w:rsid w:val="00CD2644"/>
    <w:rsid w:val="00CD2648"/>
    <w:rsid w:val="00CD27BD"/>
    <w:rsid w:val="00CD2B4E"/>
    <w:rsid w:val="00CD2BE3"/>
    <w:rsid w:val="00CD2C60"/>
    <w:rsid w:val="00CD2C8F"/>
    <w:rsid w:val="00CD2CD0"/>
    <w:rsid w:val="00CD2D0A"/>
    <w:rsid w:val="00CD2D0E"/>
    <w:rsid w:val="00CD2FC0"/>
    <w:rsid w:val="00CD2FF5"/>
    <w:rsid w:val="00CD323E"/>
    <w:rsid w:val="00CD327E"/>
    <w:rsid w:val="00CD33ED"/>
    <w:rsid w:val="00CD3404"/>
    <w:rsid w:val="00CD35C4"/>
    <w:rsid w:val="00CD3944"/>
    <w:rsid w:val="00CD3A53"/>
    <w:rsid w:val="00CD3D41"/>
    <w:rsid w:val="00CD3E25"/>
    <w:rsid w:val="00CD3F9B"/>
    <w:rsid w:val="00CD40E0"/>
    <w:rsid w:val="00CD42D0"/>
    <w:rsid w:val="00CD452E"/>
    <w:rsid w:val="00CD458E"/>
    <w:rsid w:val="00CD45D9"/>
    <w:rsid w:val="00CD45DB"/>
    <w:rsid w:val="00CD4612"/>
    <w:rsid w:val="00CD4739"/>
    <w:rsid w:val="00CD4811"/>
    <w:rsid w:val="00CD4857"/>
    <w:rsid w:val="00CD4CDC"/>
    <w:rsid w:val="00CD5094"/>
    <w:rsid w:val="00CD5299"/>
    <w:rsid w:val="00CD52DA"/>
    <w:rsid w:val="00CD540A"/>
    <w:rsid w:val="00CD54CD"/>
    <w:rsid w:val="00CD54F7"/>
    <w:rsid w:val="00CD566E"/>
    <w:rsid w:val="00CD56B1"/>
    <w:rsid w:val="00CD56D0"/>
    <w:rsid w:val="00CD578E"/>
    <w:rsid w:val="00CD5975"/>
    <w:rsid w:val="00CD5982"/>
    <w:rsid w:val="00CD5DCC"/>
    <w:rsid w:val="00CD5EB0"/>
    <w:rsid w:val="00CD5EE6"/>
    <w:rsid w:val="00CD5F0C"/>
    <w:rsid w:val="00CD5F8A"/>
    <w:rsid w:val="00CD607E"/>
    <w:rsid w:val="00CD6150"/>
    <w:rsid w:val="00CD6235"/>
    <w:rsid w:val="00CD62AE"/>
    <w:rsid w:val="00CD62EA"/>
    <w:rsid w:val="00CD6301"/>
    <w:rsid w:val="00CD6426"/>
    <w:rsid w:val="00CD6456"/>
    <w:rsid w:val="00CD64EC"/>
    <w:rsid w:val="00CD651C"/>
    <w:rsid w:val="00CD65CF"/>
    <w:rsid w:val="00CD66BC"/>
    <w:rsid w:val="00CD66BE"/>
    <w:rsid w:val="00CD6805"/>
    <w:rsid w:val="00CD6B2E"/>
    <w:rsid w:val="00CD6B55"/>
    <w:rsid w:val="00CD6C59"/>
    <w:rsid w:val="00CD6CA3"/>
    <w:rsid w:val="00CD7008"/>
    <w:rsid w:val="00CD742A"/>
    <w:rsid w:val="00CD7497"/>
    <w:rsid w:val="00CD7912"/>
    <w:rsid w:val="00CD7945"/>
    <w:rsid w:val="00CD7AEF"/>
    <w:rsid w:val="00CD7B39"/>
    <w:rsid w:val="00CD7E28"/>
    <w:rsid w:val="00CD7F80"/>
    <w:rsid w:val="00CE0185"/>
    <w:rsid w:val="00CE019E"/>
    <w:rsid w:val="00CE03FB"/>
    <w:rsid w:val="00CE046E"/>
    <w:rsid w:val="00CE07A5"/>
    <w:rsid w:val="00CE0A31"/>
    <w:rsid w:val="00CE0B38"/>
    <w:rsid w:val="00CE0B86"/>
    <w:rsid w:val="00CE0BCF"/>
    <w:rsid w:val="00CE0D13"/>
    <w:rsid w:val="00CE0DA3"/>
    <w:rsid w:val="00CE103B"/>
    <w:rsid w:val="00CE1121"/>
    <w:rsid w:val="00CE12C9"/>
    <w:rsid w:val="00CE12E9"/>
    <w:rsid w:val="00CE1336"/>
    <w:rsid w:val="00CE133B"/>
    <w:rsid w:val="00CE138E"/>
    <w:rsid w:val="00CE14C7"/>
    <w:rsid w:val="00CE153B"/>
    <w:rsid w:val="00CE17C0"/>
    <w:rsid w:val="00CE1A13"/>
    <w:rsid w:val="00CE1ABB"/>
    <w:rsid w:val="00CE1FE3"/>
    <w:rsid w:val="00CE1FEA"/>
    <w:rsid w:val="00CE2127"/>
    <w:rsid w:val="00CE22F2"/>
    <w:rsid w:val="00CE2516"/>
    <w:rsid w:val="00CE2611"/>
    <w:rsid w:val="00CE2626"/>
    <w:rsid w:val="00CE268D"/>
    <w:rsid w:val="00CE28D9"/>
    <w:rsid w:val="00CE290B"/>
    <w:rsid w:val="00CE292E"/>
    <w:rsid w:val="00CE2965"/>
    <w:rsid w:val="00CE2A4A"/>
    <w:rsid w:val="00CE2B94"/>
    <w:rsid w:val="00CE2C0E"/>
    <w:rsid w:val="00CE2CDE"/>
    <w:rsid w:val="00CE2FA3"/>
    <w:rsid w:val="00CE311A"/>
    <w:rsid w:val="00CE3523"/>
    <w:rsid w:val="00CE356A"/>
    <w:rsid w:val="00CE35EB"/>
    <w:rsid w:val="00CE35FC"/>
    <w:rsid w:val="00CE365A"/>
    <w:rsid w:val="00CE36EF"/>
    <w:rsid w:val="00CE3890"/>
    <w:rsid w:val="00CE3A96"/>
    <w:rsid w:val="00CE3C27"/>
    <w:rsid w:val="00CE3D0D"/>
    <w:rsid w:val="00CE3DA8"/>
    <w:rsid w:val="00CE3E0B"/>
    <w:rsid w:val="00CE4151"/>
    <w:rsid w:val="00CE43AC"/>
    <w:rsid w:val="00CE453F"/>
    <w:rsid w:val="00CE460C"/>
    <w:rsid w:val="00CE461E"/>
    <w:rsid w:val="00CE464B"/>
    <w:rsid w:val="00CE47D0"/>
    <w:rsid w:val="00CE4885"/>
    <w:rsid w:val="00CE49B0"/>
    <w:rsid w:val="00CE4A28"/>
    <w:rsid w:val="00CE4A7F"/>
    <w:rsid w:val="00CE4B2C"/>
    <w:rsid w:val="00CE4BAA"/>
    <w:rsid w:val="00CE4BBA"/>
    <w:rsid w:val="00CE4C3C"/>
    <w:rsid w:val="00CE4DD0"/>
    <w:rsid w:val="00CE4E34"/>
    <w:rsid w:val="00CE4EC6"/>
    <w:rsid w:val="00CE4EE0"/>
    <w:rsid w:val="00CE52F7"/>
    <w:rsid w:val="00CE53BA"/>
    <w:rsid w:val="00CE5450"/>
    <w:rsid w:val="00CE54FD"/>
    <w:rsid w:val="00CE5567"/>
    <w:rsid w:val="00CE5628"/>
    <w:rsid w:val="00CE564F"/>
    <w:rsid w:val="00CE579A"/>
    <w:rsid w:val="00CE57FA"/>
    <w:rsid w:val="00CE5889"/>
    <w:rsid w:val="00CE59DB"/>
    <w:rsid w:val="00CE5B18"/>
    <w:rsid w:val="00CE5D69"/>
    <w:rsid w:val="00CE5DB9"/>
    <w:rsid w:val="00CE5EDD"/>
    <w:rsid w:val="00CE610E"/>
    <w:rsid w:val="00CE614D"/>
    <w:rsid w:val="00CE6475"/>
    <w:rsid w:val="00CE6523"/>
    <w:rsid w:val="00CE6573"/>
    <w:rsid w:val="00CE6608"/>
    <w:rsid w:val="00CE673F"/>
    <w:rsid w:val="00CE67B1"/>
    <w:rsid w:val="00CE69C5"/>
    <w:rsid w:val="00CE69CC"/>
    <w:rsid w:val="00CE6A92"/>
    <w:rsid w:val="00CE6B51"/>
    <w:rsid w:val="00CE6CB4"/>
    <w:rsid w:val="00CE6DB4"/>
    <w:rsid w:val="00CE6DBC"/>
    <w:rsid w:val="00CE6DCE"/>
    <w:rsid w:val="00CE6F60"/>
    <w:rsid w:val="00CE7039"/>
    <w:rsid w:val="00CE70D7"/>
    <w:rsid w:val="00CE71DC"/>
    <w:rsid w:val="00CE74B7"/>
    <w:rsid w:val="00CE762B"/>
    <w:rsid w:val="00CE7794"/>
    <w:rsid w:val="00CE7B93"/>
    <w:rsid w:val="00CE7BAD"/>
    <w:rsid w:val="00CE7C2B"/>
    <w:rsid w:val="00CE7CC7"/>
    <w:rsid w:val="00CE7DC2"/>
    <w:rsid w:val="00CE7F3A"/>
    <w:rsid w:val="00CF009A"/>
    <w:rsid w:val="00CF0255"/>
    <w:rsid w:val="00CF031A"/>
    <w:rsid w:val="00CF04D2"/>
    <w:rsid w:val="00CF051A"/>
    <w:rsid w:val="00CF052D"/>
    <w:rsid w:val="00CF06EF"/>
    <w:rsid w:val="00CF0764"/>
    <w:rsid w:val="00CF0777"/>
    <w:rsid w:val="00CF08A1"/>
    <w:rsid w:val="00CF093B"/>
    <w:rsid w:val="00CF0A2E"/>
    <w:rsid w:val="00CF0BBF"/>
    <w:rsid w:val="00CF0E55"/>
    <w:rsid w:val="00CF0E6D"/>
    <w:rsid w:val="00CF1069"/>
    <w:rsid w:val="00CF1325"/>
    <w:rsid w:val="00CF1372"/>
    <w:rsid w:val="00CF1445"/>
    <w:rsid w:val="00CF1464"/>
    <w:rsid w:val="00CF14E0"/>
    <w:rsid w:val="00CF1585"/>
    <w:rsid w:val="00CF15DA"/>
    <w:rsid w:val="00CF17C3"/>
    <w:rsid w:val="00CF1871"/>
    <w:rsid w:val="00CF18AA"/>
    <w:rsid w:val="00CF18D2"/>
    <w:rsid w:val="00CF1908"/>
    <w:rsid w:val="00CF1B0C"/>
    <w:rsid w:val="00CF1B7F"/>
    <w:rsid w:val="00CF1BE6"/>
    <w:rsid w:val="00CF1C7E"/>
    <w:rsid w:val="00CF1D30"/>
    <w:rsid w:val="00CF2113"/>
    <w:rsid w:val="00CF211A"/>
    <w:rsid w:val="00CF2198"/>
    <w:rsid w:val="00CF21BF"/>
    <w:rsid w:val="00CF21D6"/>
    <w:rsid w:val="00CF22E2"/>
    <w:rsid w:val="00CF2355"/>
    <w:rsid w:val="00CF244D"/>
    <w:rsid w:val="00CF255F"/>
    <w:rsid w:val="00CF25CA"/>
    <w:rsid w:val="00CF27D3"/>
    <w:rsid w:val="00CF286D"/>
    <w:rsid w:val="00CF2886"/>
    <w:rsid w:val="00CF28C8"/>
    <w:rsid w:val="00CF29B2"/>
    <w:rsid w:val="00CF2B90"/>
    <w:rsid w:val="00CF2C5D"/>
    <w:rsid w:val="00CF2E0B"/>
    <w:rsid w:val="00CF2F85"/>
    <w:rsid w:val="00CF3079"/>
    <w:rsid w:val="00CF30AA"/>
    <w:rsid w:val="00CF3135"/>
    <w:rsid w:val="00CF3183"/>
    <w:rsid w:val="00CF31C6"/>
    <w:rsid w:val="00CF31ED"/>
    <w:rsid w:val="00CF31FD"/>
    <w:rsid w:val="00CF3215"/>
    <w:rsid w:val="00CF3317"/>
    <w:rsid w:val="00CF3325"/>
    <w:rsid w:val="00CF34E6"/>
    <w:rsid w:val="00CF3625"/>
    <w:rsid w:val="00CF3718"/>
    <w:rsid w:val="00CF3834"/>
    <w:rsid w:val="00CF390C"/>
    <w:rsid w:val="00CF3A39"/>
    <w:rsid w:val="00CF3C41"/>
    <w:rsid w:val="00CF3C62"/>
    <w:rsid w:val="00CF3CF9"/>
    <w:rsid w:val="00CF3F58"/>
    <w:rsid w:val="00CF400B"/>
    <w:rsid w:val="00CF4129"/>
    <w:rsid w:val="00CF4195"/>
    <w:rsid w:val="00CF4341"/>
    <w:rsid w:val="00CF446A"/>
    <w:rsid w:val="00CF4755"/>
    <w:rsid w:val="00CF4785"/>
    <w:rsid w:val="00CF4817"/>
    <w:rsid w:val="00CF4821"/>
    <w:rsid w:val="00CF484B"/>
    <w:rsid w:val="00CF48D6"/>
    <w:rsid w:val="00CF4934"/>
    <w:rsid w:val="00CF4BA1"/>
    <w:rsid w:val="00CF4D30"/>
    <w:rsid w:val="00CF4D4A"/>
    <w:rsid w:val="00CF4D5F"/>
    <w:rsid w:val="00CF4DA7"/>
    <w:rsid w:val="00CF4DDD"/>
    <w:rsid w:val="00CF4F69"/>
    <w:rsid w:val="00CF5020"/>
    <w:rsid w:val="00CF50D4"/>
    <w:rsid w:val="00CF53EF"/>
    <w:rsid w:val="00CF546A"/>
    <w:rsid w:val="00CF54D5"/>
    <w:rsid w:val="00CF5543"/>
    <w:rsid w:val="00CF5544"/>
    <w:rsid w:val="00CF5619"/>
    <w:rsid w:val="00CF5717"/>
    <w:rsid w:val="00CF5797"/>
    <w:rsid w:val="00CF5A53"/>
    <w:rsid w:val="00CF5B27"/>
    <w:rsid w:val="00CF5C7B"/>
    <w:rsid w:val="00CF5CE2"/>
    <w:rsid w:val="00CF5D2A"/>
    <w:rsid w:val="00CF5EBF"/>
    <w:rsid w:val="00CF60E9"/>
    <w:rsid w:val="00CF6159"/>
    <w:rsid w:val="00CF660F"/>
    <w:rsid w:val="00CF689C"/>
    <w:rsid w:val="00CF68F5"/>
    <w:rsid w:val="00CF6AC4"/>
    <w:rsid w:val="00CF6C2D"/>
    <w:rsid w:val="00CF6F92"/>
    <w:rsid w:val="00CF6F9A"/>
    <w:rsid w:val="00CF7591"/>
    <w:rsid w:val="00CF76A3"/>
    <w:rsid w:val="00CF7A67"/>
    <w:rsid w:val="00CF7B03"/>
    <w:rsid w:val="00CF7BB7"/>
    <w:rsid w:val="00CF7D64"/>
    <w:rsid w:val="00CF7FC0"/>
    <w:rsid w:val="00CF7FC3"/>
    <w:rsid w:val="00D00006"/>
    <w:rsid w:val="00D0002D"/>
    <w:rsid w:val="00D002C9"/>
    <w:rsid w:val="00D0038D"/>
    <w:rsid w:val="00D00733"/>
    <w:rsid w:val="00D008D9"/>
    <w:rsid w:val="00D00906"/>
    <w:rsid w:val="00D00920"/>
    <w:rsid w:val="00D00988"/>
    <w:rsid w:val="00D00B69"/>
    <w:rsid w:val="00D00CBC"/>
    <w:rsid w:val="00D00CF8"/>
    <w:rsid w:val="00D01098"/>
    <w:rsid w:val="00D011FF"/>
    <w:rsid w:val="00D0121D"/>
    <w:rsid w:val="00D012AA"/>
    <w:rsid w:val="00D01493"/>
    <w:rsid w:val="00D01515"/>
    <w:rsid w:val="00D01522"/>
    <w:rsid w:val="00D01666"/>
    <w:rsid w:val="00D017EE"/>
    <w:rsid w:val="00D019AB"/>
    <w:rsid w:val="00D01A0E"/>
    <w:rsid w:val="00D01B55"/>
    <w:rsid w:val="00D01D23"/>
    <w:rsid w:val="00D01E9D"/>
    <w:rsid w:val="00D01F0F"/>
    <w:rsid w:val="00D01F6A"/>
    <w:rsid w:val="00D020A4"/>
    <w:rsid w:val="00D02462"/>
    <w:rsid w:val="00D024F9"/>
    <w:rsid w:val="00D0262E"/>
    <w:rsid w:val="00D02823"/>
    <w:rsid w:val="00D02A6A"/>
    <w:rsid w:val="00D02F07"/>
    <w:rsid w:val="00D03051"/>
    <w:rsid w:val="00D0309A"/>
    <w:rsid w:val="00D03389"/>
    <w:rsid w:val="00D033AC"/>
    <w:rsid w:val="00D03445"/>
    <w:rsid w:val="00D034C4"/>
    <w:rsid w:val="00D036D9"/>
    <w:rsid w:val="00D0384D"/>
    <w:rsid w:val="00D03908"/>
    <w:rsid w:val="00D03941"/>
    <w:rsid w:val="00D03AA5"/>
    <w:rsid w:val="00D03B1C"/>
    <w:rsid w:val="00D03BBA"/>
    <w:rsid w:val="00D03CC3"/>
    <w:rsid w:val="00D03EBB"/>
    <w:rsid w:val="00D0406F"/>
    <w:rsid w:val="00D04135"/>
    <w:rsid w:val="00D041E0"/>
    <w:rsid w:val="00D045AE"/>
    <w:rsid w:val="00D04836"/>
    <w:rsid w:val="00D049D4"/>
    <w:rsid w:val="00D04A95"/>
    <w:rsid w:val="00D04F4D"/>
    <w:rsid w:val="00D04FE6"/>
    <w:rsid w:val="00D0507D"/>
    <w:rsid w:val="00D05102"/>
    <w:rsid w:val="00D05140"/>
    <w:rsid w:val="00D0530A"/>
    <w:rsid w:val="00D053B9"/>
    <w:rsid w:val="00D056DA"/>
    <w:rsid w:val="00D056F0"/>
    <w:rsid w:val="00D0571D"/>
    <w:rsid w:val="00D058AE"/>
    <w:rsid w:val="00D0592E"/>
    <w:rsid w:val="00D05948"/>
    <w:rsid w:val="00D0595D"/>
    <w:rsid w:val="00D05AE1"/>
    <w:rsid w:val="00D05AEF"/>
    <w:rsid w:val="00D05B7D"/>
    <w:rsid w:val="00D05BA8"/>
    <w:rsid w:val="00D05D2A"/>
    <w:rsid w:val="00D05D45"/>
    <w:rsid w:val="00D05E90"/>
    <w:rsid w:val="00D05FA8"/>
    <w:rsid w:val="00D05FB9"/>
    <w:rsid w:val="00D05FC4"/>
    <w:rsid w:val="00D06063"/>
    <w:rsid w:val="00D060DB"/>
    <w:rsid w:val="00D063B8"/>
    <w:rsid w:val="00D067C8"/>
    <w:rsid w:val="00D0683F"/>
    <w:rsid w:val="00D06857"/>
    <w:rsid w:val="00D06941"/>
    <w:rsid w:val="00D06984"/>
    <w:rsid w:val="00D069FE"/>
    <w:rsid w:val="00D06B3C"/>
    <w:rsid w:val="00D06C06"/>
    <w:rsid w:val="00D06D47"/>
    <w:rsid w:val="00D06D84"/>
    <w:rsid w:val="00D06DCA"/>
    <w:rsid w:val="00D06EFE"/>
    <w:rsid w:val="00D06F1E"/>
    <w:rsid w:val="00D06F95"/>
    <w:rsid w:val="00D0703B"/>
    <w:rsid w:val="00D07085"/>
    <w:rsid w:val="00D07193"/>
    <w:rsid w:val="00D0733A"/>
    <w:rsid w:val="00D07425"/>
    <w:rsid w:val="00D075B6"/>
    <w:rsid w:val="00D07872"/>
    <w:rsid w:val="00D07945"/>
    <w:rsid w:val="00D07953"/>
    <w:rsid w:val="00D07B1C"/>
    <w:rsid w:val="00D07BE6"/>
    <w:rsid w:val="00D07C08"/>
    <w:rsid w:val="00D07CBE"/>
    <w:rsid w:val="00D07D37"/>
    <w:rsid w:val="00D07DAE"/>
    <w:rsid w:val="00D07F88"/>
    <w:rsid w:val="00D1017C"/>
    <w:rsid w:val="00D101F0"/>
    <w:rsid w:val="00D10244"/>
    <w:rsid w:val="00D10372"/>
    <w:rsid w:val="00D10485"/>
    <w:rsid w:val="00D10516"/>
    <w:rsid w:val="00D108B2"/>
    <w:rsid w:val="00D108C7"/>
    <w:rsid w:val="00D10B85"/>
    <w:rsid w:val="00D10B8A"/>
    <w:rsid w:val="00D10C75"/>
    <w:rsid w:val="00D10CD7"/>
    <w:rsid w:val="00D10DD9"/>
    <w:rsid w:val="00D10F9C"/>
    <w:rsid w:val="00D1104C"/>
    <w:rsid w:val="00D11100"/>
    <w:rsid w:val="00D11315"/>
    <w:rsid w:val="00D113B2"/>
    <w:rsid w:val="00D11472"/>
    <w:rsid w:val="00D1153A"/>
    <w:rsid w:val="00D1157B"/>
    <w:rsid w:val="00D115AF"/>
    <w:rsid w:val="00D115E4"/>
    <w:rsid w:val="00D115F8"/>
    <w:rsid w:val="00D1165D"/>
    <w:rsid w:val="00D11D68"/>
    <w:rsid w:val="00D11DA6"/>
    <w:rsid w:val="00D11EDC"/>
    <w:rsid w:val="00D11F1D"/>
    <w:rsid w:val="00D120B8"/>
    <w:rsid w:val="00D122D1"/>
    <w:rsid w:val="00D12684"/>
    <w:rsid w:val="00D1279E"/>
    <w:rsid w:val="00D127D7"/>
    <w:rsid w:val="00D1294F"/>
    <w:rsid w:val="00D12A45"/>
    <w:rsid w:val="00D12B5E"/>
    <w:rsid w:val="00D12CD4"/>
    <w:rsid w:val="00D130EC"/>
    <w:rsid w:val="00D13398"/>
    <w:rsid w:val="00D13593"/>
    <w:rsid w:val="00D1370C"/>
    <w:rsid w:val="00D1378C"/>
    <w:rsid w:val="00D137B8"/>
    <w:rsid w:val="00D137DD"/>
    <w:rsid w:val="00D137FC"/>
    <w:rsid w:val="00D13981"/>
    <w:rsid w:val="00D13DA5"/>
    <w:rsid w:val="00D13E6B"/>
    <w:rsid w:val="00D1412B"/>
    <w:rsid w:val="00D14306"/>
    <w:rsid w:val="00D1433F"/>
    <w:rsid w:val="00D1438F"/>
    <w:rsid w:val="00D14503"/>
    <w:rsid w:val="00D14644"/>
    <w:rsid w:val="00D1465B"/>
    <w:rsid w:val="00D1475B"/>
    <w:rsid w:val="00D14923"/>
    <w:rsid w:val="00D14BD3"/>
    <w:rsid w:val="00D14CF9"/>
    <w:rsid w:val="00D14D6E"/>
    <w:rsid w:val="00D15010"/>
    <w:rsid w:val="00D1510F"/>
    <w:rsid w:val="00D15115"/>
    <w:rsid w:val="00D154FA"/>
    <w:rsid w:val="00D15627"/>
    <w:rsid w:val="00D157FC"/>
    <w:rsid w:val="00D15944"/>
    <w:rsid w:val="00D15A02"/>
    <w:rsid w:val="00D15A95"/>
    <w:rsid w:val="00D15B85"/>
    <w:rsid w:val="00D15BB4"/>
    <w:rsid w:val="00D15C09"/>
    <w:rsid w:val="00D15C16"/>
    <w:rsid w:val="00D15C4C"/>
    <w:rsid w:val="00D15CBA"/>
    <w:rsid w:val="00D15D89"/>
    <w:rsid w:val="00D15DCD"/>
    <w:rsid w:val="00D15FAC"/>
    <w:rsid w:val="00D1614C"/>
    <w:rsid w:val="00D16204"/>
    <w:rsid w:val="00D1637C"/>
    <w:rsid w:val="00D1647B"/>
    <w:rsid w:val="00D16944"/>
    <w:rsid w:val="00D1696F"/>
    <w:rsid w:val="00D169E9"/>
    <w:rsid w:val="00D16B94"/>
    <w:rsid w:val="00D16C72"/>
    <w:rsid w:val="00D16CE2"/>
    <w:rsid w:val="00D16DE7"/>
    <w:rsid w:val="00D16E97"/>
    <w:rsid w:val="00D16EE8"/>
    <w:rsid w:val="00D16FD3"/>
    <w:rsid w:val="00D17257"/>
    <w:rsid w:val="00D17529"/>
    <w:rsid w:val="00D17559"/>
    <w:rsid w:val="00D17A7E"/>
    <w:rsid w:val="00D17AD3"/>
    <w:rsid w:val="00D17BAE"/>
    <w:rsid w:val="00D17C1B"/>
    <w:rsid w:val="00D17C36"/>
    <w:rsid w:val="00D17D05"/>
    <w:rsid w:val="00D17F6F"/>
    <w:rsid w:val="00D2013D"/>
    <w:rsid w:val="00D201D6"/>
    <w:rsid w:val="00D203BC"/>
    <w:rsid w:val="00D205B6"/>
    <w:rsid w:val="00D205D3"/>
    <w:rsid w:val="00D20693"/>
    <w:rsid w:val="00D207A6"/>
    <w:rsid w:val="00D20824"/>
    <w:rsid w:val="00D2086A"/>
    <w:rsid w:val="00D2088D"/>
    <w:rsid w:val="00D20924"/>
    <w:rsid w:val="00D20D10"/>
    <w:rsid w:val="00D2101F"/>
    <w:rsid w:val="00D213C0"/>
    <w:rsid w:val="00D215F1"/>
    <w:rsid w:val="00D2164D"/>
    <w:rsid w:val="00D2177A"/>
    <w:rsid w:val="00D217AB"/>
    <w:rsid w:val="00D21954"/>
    <w:rsid w:val="00D21C51"/>
    <w:rsid w:val="00D21C9D"/>
    <w:rsid w:val="00D21D8A"/>
    <w:rsid w:val="00D21E20"/>
    <w:rsid w:val="00D21F4B"/>
    <w:rsid w:val="00D2206B"/>
    <w:rsid w:val="00D221B0"/>
    <w:rsid w:val="00D221E4"/>
    <w:rsid w:val="00D2222F"/>
    <w:rsid w:val="00D22262"/>
    <w:rsid w:val="00D22313"/>
    <w:rsid w:val="00D22592"/>
    <w:rsid w:val="00D2268E"/>
    <w:rsid w:val="00D226D0"/>
    <w:rsid w:val="00D22719"/>
    <w:rsid w:val="00D22730"/>
    <w:rsid w:val="00D22804"/>
    <w:rsid w:val="00D22AE1"/>
    <w:rsid w:val="00D22CF2"/>
    <w:rsid w:val="00D22D22"/>
    <w:rsid w:val="00D22D5A"/>
    <w:rsid w:val="00D22DA9"/>
    <w:rsid w:val="00D22DB1"/>
    <w:rsid w:val="00D2316A"/>
    <w:rsid w:val="00D2316B"/>
    <w:rsid w:val="00D2327D"/>
    <w:rsid w:val="00D232F5"/>
    <w:rsid w:val="00D23338"/>
    <w:rsid w:val="00D23386"/>
    <w:rsid w:val="00D23588"/>
    <w:rsid w:val="00D23641"/>
    <w:rsid w:val="00D2387B"/>
    <w:rsid w:val="00D239F8"/>
    <w:rsid w:val="00D23A73"/>
    <w:rsid w:val="00D23FB8"/>
    <w:rsid w:val="00D23FD5"/>
    <w:rsid w:val="00D240DB"/>
    <w:rsid w:val="00D240EF"/>
    <w:rsid w:val="00D242C6"/>
    <w:rsid w:val="00D243F3"/>
    <w:rsid w:val="00D24485"/>
    <w:rsid w:val="00D24487"/>
    <w:rsid w:val="00D24546"/>
    <w:rsid w:val="00D24637"/>
    <w:rsid w:val="00D24692"/>
    <w:rsid w:val="00D2484E"/>
    <w:rsid w:val="00D2489C"/>
    <w:rsid w:val="00D248E4"/>
    <w:rsid w:val="00D249D7"/>
    <w:rsid w:val="00D24A0D"/>
    <w:rsid w:val="00D24AB1"/>
    <w:rsid w:val="00D24AC5"/>
    <w:rsid w:val="00D24AD5"/>
    <w:rsid w:val="00D24AD9"/>
    <w:rsid w:val="00D24C53"/>
    <w:rsid w:val="00D24DC3"/>
    <w:rsid w:val="00D24EF3"/>
    <w:rsid w:val="00D25135"/>
    <w:rsid w:val="00D2517C"/>
    <w:rsid w:val="00D2518B"/>
    <w:rsid w:val="00D25391"/>
    <w:rsid w:val="00D254F2"/>
    <w:rsid w:val="00D25556"/>
    <w:rsid w:val="00D2561A"/>
    <w:rsid w:val="00D25685"/>
    <w:rsid w:val="00D25719"/>
    <w:rsid w:val="00D258A6"/>
    <w:rsid w:val="00D258F2"/>
    <w:rsid w:val="00D25A47"/>
    <w:rsid w:val="00D25A6D"/>
    <w:rsid w:val="00D25B27"/>
    <w:rsid w:val="00D25D95"/>
    <w:rsid w:val="00D25E1F"/>
    <w:rsid w:val="00D25EE5"/>
    <w:rsid w:val="00D25F03"/>
    <w:rsid w:val="00D261F4"/>
    <w:rsid w:val="00D2638E"/>
    <w:rsid w:val="00D26435"/>
    <w:rsid w:val="00D265C1"/>
    <w:rsid w:val="00D26687"/>
    <w:rsid w:val="00D267BD"/>
    <w:rsid w:val="00D26917"/>
    <w:rsid w:val="00D2697A"/>
    <w:rsid w:val="00D26D3F"/>
    <w:rsid w:val="00D2701C"/>
    <w:rsid w:val="00D27051"/>
    <w:rsid w:val="00D272D3"/>
    <w:rsid w:val="00D2747E"/>
    <w:rsid w:val="00D27509"/>
    <w:rsid w:val="00D275DC"/>
    <w:rsid w:val="00D276FD"/>
    <w:rsid w:val="00D2775F"/>
    <w:rsid w:val="00D278FB"/>
    <w:rsid w:val="00D27BFD"/>
    <w:rsid w:val="00D27EE2"/>
    <w:rsid w:val="00D27F92"/>
    <w:rsid w:val="00D27FE5"/>
    <w:rsid w:val="00D3006B"/>
    <w:rsid w:val="00D300FF"/>
    <w:rsid w:val="00D30311"/>
    <w:rsid w:val="00D30351"/>
    <w:rsid w:val="00D30388"/>
    <w:rsid w:val="00D303F3"/>
    <w:rsid w:val="00D30478"/>
    <w:rsid w:val="00D30734"/>
    <w:rsid w:val="00D3076C"/>
    <w:rsid w:val="00D30921"/>
    <w:rsid w:val="00D30A0D"/>
    <w:rsid w:val="00D30AD8"/>
    <w:rsid w:val="00D30B64"/>
    <w:rsid w:val="00D30D72"/>
    <w:rsid w:val="00D30E44"/>
    <w:rsid w:val="00D30F21"/>
    <w:rsid w:val="00D30FD2"/>
    <w:rsid w:val="00D31399"/>
    <w:rsid w:val="00D31406"/>
    <w:rsid w:val="00D31485"/>
    <w:rsid w:val="00D31613"/>
    <w:rsid w:val="00D31774"/>
    <w:rsid w:val="00D317FB"/>
    <w:rsid w:val="00D31831"/>
    <w:rsid w:val="00D31833"/>
    <w:rsid w:val="00D31896"/>
    <w:rsid w:val="00D318D3"/>
    <w:rsid w:val="00D318F8"/>
    <w:rsid w:val="00D31A18"/>
    <w:rsid w:val="00D31A76"/>
    <w:rsid w:val="00D31AD6"/>
    <w:rsid w:val="00D31CD2"/>
    <w:rsid w:val="00D31CFB"/>
    <w:rsid w:val="00D31E37"/>
    <w:rsid w:val="00D31E8B"/>
    <w:rsid w:val="00D322A2"/>
    <w:rsid w:val="00D322B9"/>
    <w:rsid w:val="00D3230E"/>
    <w:rsid w:val="00D329D7"/>
    <w:rsid w:val="00D32AE0"/>
    <w:rsid w:val="00D32B01"/>
    <w:rsid w:val="00D32BB5"/>
    <w:rsid w:val="00D32BB9"/>
    <w:rsid w:val="00D32BBC"/>
    <w:rsid w:val="00D32E42"/>
    <w:rsid w:val="00D32ED6"/>
    <w:rsid w:val="00D331D6"/>
    <w:rsid w:val="00D33289"/>
    <w:rsid w:val="00D33483"/>
    <w:rsid w:val="00D33662"/>
    <w:rsid w:val="00D337FF"/>
    <w:rsid w:val="00D3397A"/>
    <w:rsid w:val="00D33A06"/>
    <w:rsid w:val="00D33C18"/>
    <w:rsid w:val="00D33C1F"/>
    <w:rsid w:val="00D33D26"/>
    <w:rsid w:val="00D33E40"/>
    <w:rsid w:val="00D34019"/>
    <w:rsid w:val="00D340F3"/>
    <w:rsid w:val="00D34293"/>
    <w:rsid w:val="00D345ED"/>
    <w:rsid w:val="00D347E0"/>
    <w:rsid w:val="00D3497D"/>
    <w:rsid w:val="00D34AD3"/>
    <w:rsid w:val="00D34B16"/>
    <w:rsid w:val="00D34C47"/>
    <w:rsid w:val="00D34DFD"/>
    <w:rsid w:val="00D34E33"/>
    <w:rsid w:val="00D351AF"/>
    <w:rsid w:val="00D351FE"/>
    <w:rsid w:val="00D35246"/>
    <w:rsid w:val="00D352D1"/>
    <w:rsid w:val="00D3572B"/>
    <w:rsid w:val="00D35891"/>
    <w:rsid w:val="00D35AC2"/>
    <w:rsid w:val="00D35B06"/>
    <w:rsid w:val="00D35C93"/>
    <w:rsid w:val="00D35DD7"/>
    <w:rsid w:val="00D35E19"/>
    <w:rsid w:val="00D35F3C"/>
    <w:rsid w:val="00D35FE0"/>
    <w:rsid w:val="00D361EA"/>
    <w:rsid w:val="00D36261"/>
    <w:rsid w:val="00D363A5"/>
    <w:rsid w:val="00D3666D"/>
    <w:rsid w:val="00D36680"/>
    <w:rsid w:val="00D3699B"/>
    <w:rsid w:val="00D36A09"/>
    <w:rsid w:val="00D36A67"/>
    <w:rsid w:val="00D36BBE"/>
    <w:rsid w:val="00D36F2C"/>
    <w:rsid w:val="00D37035"/>
    <w:rsid w:val="00D3717F"/>
    <w:rsid w:val="00D37228"/>
    <w:rsid w:val="00D37241"/>
    <w:rsid w:val="00D37283"/>
    <w:rsid w:val="00D372BA"/>
    <w:rsid w:val="00D37304"/>
    <w:rsid w:val="00D37470"/>
    <w:rsid w:val="00D374A6"/>
    <w:rsid w:val="00D3753C"/>
    <w:rsid w:val="00D375CE"/>
    <w:rsid w:val="00D37672"/>
    <w:rsid w:val="00D37717"/>
    <w:rsid w:val="00D3774C"/>
    <w:rsid w:val="00D37874"/>
    <w:rsid w:val="00D37A23"/>
    <w:rsid w:val="00D37A6B"/>
    <w:rsid w:val="00D37B1F"/>
    <w:rsid w:val="00D37C4E"/>
    <w:rsid w:val="00D37C83"/>
    <w:rsid w:val="00D37F2D"/>
    <w:rsid w:val="00D40030"/>
    <w:rsid w:val="00D4015E"/>
    <w:rsid w:val="00D405A5"/>
    <w:rsid w:val="00D4067D"/>
    <w:rsid w:val="00D40889"/>
    <w:rsid w:val="00D40962"/>
    <w:rsid w:val="00D4098D"/>
    <w:rsid w:val="00D40B46"/>
    <w:rsid w:val="00D40BB0"/>
    <w:rsid w:val="00D40BFC"/>
    <w:rsid w:val="00D40D6D"/>
    <w:rsid w:val="00D41140"/>
    <w:rsid w:val="00D41413"/>
    <w:rsid w:val="00D4154E"/>
    <w:rsid w:val="00D4163D"/>
    <w:rsid w:val="00D4163E"/>
    <w:rsid w:val="00D41649"/>
    <w:rsid w:val="00D41939"/>
    <w:rsid w:val="00D419D3"/>
    <w:rsid w:val="00D41B5C"/>
    <w:rsid w:val="00D41C19"/>
    <w:rsid w:val="00D41CC4"/>
    <w:rsid w:val="00D41D34"/>
    <w:rsid w:val="00D41DB5"/>
    <w:rsid w:val="00D41E00"/>
    <w:rsid w:val="00D41F85"/>
    <w:rsid w:val="00D4206E"/>
    <w:rsid w:val="00D42098"/>
    <w:rsid w:val="00D42257"/>
    <w:rsid w:val="00D42339"/>
    <w:rsid w:val="00D4247B"/>
    <w:rsid w:val="00D4252E"/>
    <w:rsid w:val="00D426FF"/>
    <w:rsid w:val="00D42749"/>
    <w:rsid w:val="00D4277A"/>
    <w:rsid w:val="00D428B9"/>
    <w:rsid w:val="00D42915"/>
    <w:rsid w:val="00D429CD"/>
    <w:rsid w:val="00D42BFB"/>
    <w:rsid w:val="00D42C38"/>
    <w:rsid w:val="00D42CD9"/>
    <w:rsid w:val="00D42E99"/>
    <w:rsid w:val="00D430F4"/>
    <w:rsid w:val="00D43198"/>
    <w:rsid w:val="00D4344D"/>
    <w:rsid w:val="00D4348C"/>
    <w:rsid w:val="00D43530"/>
    <w:rsid w:val="00D436C5"/>
    <w:rsid w:val="00D436D3"/>
    <w:rsid w:val="00D436E4"/>
    <w:rsid w:val="00D438A8"/>
    <w:rsid w:val="00D43A3E"/>
    <w:rsid w:val="00D43A69"/>
    <w:rsid w:val="00D43A7B"/>
    <w:rsid w:val="00D43C6E"/>
    <w:rsid w:val="00D43E70"/>
    <w:rsid w:val="00D43F2E"/>
    <w:rsid w:val="00D4403E"/>
    <w:rsid w:val="00D4409C"/>
    <w:rsid w:val="00D44129"/>
    <w:rsid w:val="00D441E0"/>
    <w:rsid w:val="00D4436E"/>
    <w:rsid w:val="00D443B3"/>
    <w:rsid w:val="00D445AB"/>
    <w:rsid w:val="00D44688"/>
    <w:rsid w:val="00D446A8"/>
    <w:rsid w:val="00D44715"/>
    <w:rsid w:val="00D447DC"/>
    <w:rsid w:val="00D44915"/>
    <w:rsid w:val="00D44AD1"/>
    <w:rsid w:val="00D44DCD"/>
    <w:rsid w:val="00D4501E"/>
    <w:rsid w:val="00D4519F"/>
    <w:rsid w:val="00D451F4"/>
    <w:rsid w:val="00D45346"/>
    <w:rsid w:val="00D45544"/>
    <w:rsid w:val="00D458F7"/>
    <w:rsid w:val="00D45C21"/>
    <w:rsid w:val="00D45C5A"/>
    <w:rsid w:val="00D45CDA"/>
    <w:rsid w:val="00D45D73"/>
    <w:rsid w:val="00D45DD3"/>
    <w:rsid w:val="00D45E4E"/>
    <w:rsid w:val="00D45E59"/>
    <w:rsid w:val="00D45E79"/>
    <w:rsid w:val="00D45EA8"/>
    <w:rsid w:val="00D4605A"/>
    <w:rsid w:val="00D46100"/>
    <w:rsid w:val="00D4644D"/>
    <w:rsid w:val="00D4663F"/>
    <w:rsid w:val="00D466FA"/>
    <w:rsid w:val="00D4674D"/>
    <w:rsid w:val="00D468E5"/>
    <w:rsid w:val="00D469A2"/>
    <w:rsid w:val="00D46A73"/>
    <w:rsid w:val="00D46ACD"/>
    <w:rsid w:val="00D46E45"/>
    <w:rsid w:val="00D46E56"/>
    <w:rsid w:val="00D470C0"/>
    <w:rsid w:val="00D470E5"/>
    <w:rsid w:val="00D47526"/>
    <w:rsid w:val="00D476A7"/>
    <w:rsid w:val="00D47B50"/>
    <w:rsid w:val="00D47B93"/>
    <w:rsid w:val="00D47BE9"/>
    <w:rsid w:val="00D47C2B"/>
    <w:rsid w:val="00D47C50"/>
    <w:rsid w:val="00D47FB2"/>
    <w:rsid w:val="00D50144"/>
    <w:rsid w:val="00D50182"/>
    <w:rsid w:val="00D502EE"/>
    <w:rsid w:val="00D50405"/>
    <w:rsid w:val="00D504CC"/>
    <w:rsid w:val="00D50681"/>
    <w:rsid w:val="00D508B3"/>
    <w:rsid w:val="00D50A07"/>
    <w:rsid w:val="00D50A8D"/>
    <w:rsid w:val="00D50BA1"/>
    <w:rsid w:val="00D50BF7"/>
    <w:rsid w:val="00D50C24"/>
    <w:rsid w:val="00D50FA9"/>
    <w:rsid w:val="00D510C7"/>
    <w:rsid w:val="00D510FC"/>
    <w:rsid w:val="00D51166"/>
    <w:rsid w:val="00D51268"/>
    <w:rsid w:val="00D51369"/>
    <w:rsid w:val="00D513B3"/>
    <w:rsid w:val="00D51494"/>
    <w:rsid w:val="00D514C9"/>
    <w:rsid w:val="00D5159A"/>
    <w:rsid w:val="00D51654"/>
    <w:rsid w:val="00D51656"/>
    <w:rsid w:val="00D516CF"/>
    <w:rsid w:val="00D518E3"/>
    <w:rsid w:val="00D51CB8"/>
    <w:rsid w:val="00D51DEC"/>
    <w:rsid w:val="00D520FD"/>
    <w:rsid w:val="00D52167"/>
    <w:rsid w:val="00D5222C"/>
    <w:rsid w:val="00D5232D"/>
    <w:rsid w:val="00D52342"/>
    <w:rsid w:val="00D52423"/>
    <w:rsid w:val="00D5260F"/>
    <w:rsid w:val="00D52B10"/>
    <w:rsid w:val="00D52B70"/>
    <w:rsid w:val="00D52B71"/>
    <w:rsid w:val="00D52CCD"/>
    <w:rsid w:val="00D52DB3"/>
    <w:rsid w:val="00D52F55"/>
    <w:rsid w:val="00D52F98"/>
    <w:rsid w:val="00D5305C"/>
    <w:rsid w:val="00D530DB"/>
    <w:rsid w:val="00D5349B"/>
    <w:rsid w:val="00D53536"/>
    <w:rsid w:val="00D5359A"/>
    <w:rsid w:val="00D5377A"/>
    <w:rsid w:val="00D539D8"/>
    <w:rsid w:val="00D53A10"/>
    <w:rsid w:val="00D53A46"/>
    <w:rsid w:val="00D53B1D"/>
    <w:rsid w:val="00D53C5F"/>
    <w:rsid w:val="00D53C9B"/>
    <w:rsid w:val="00D53E4E"/>
    <w:rsid w:val="00D53E8C"/>
    <w:rsid w:val="00D54147"/>
    <w:rsid w:val="00D5423A"/>
    <w:rsid w:val="00D54241"/>
    <w:rsid w:val="00D54441"/>
    <w:rsid w:val="00D54455"/>
    <w:rsid w:val="00D544CB"/>
    <w:rsid w:val="00D545D9"/>
    <w:rsid w:val="00D546FD"/>
    <w:rsid w:val="00D547C6"/>
    <w:rsid w:val="00D54828"/>
    <w:rsid w:val="00D54ABD"/>
    <w:rsid w:val="00D54BC3"/>
    <w:rsid w:val="00D54C3A"/>
    <w:rsid w:val="00D54C48"/>
    <w:rsid w:val="00D54C86"/>
    <w:rsid w:val="00D54CFD"/>
    <w:rsid w:val="00D54D3C"/>
    <w:rsid w:val="00D55669"/>
    <w:rsid w:val="00D55696"/>
    <w:rsid w:val="00D55771"/>
    <w:rsid w:val="00D55790"/>
    <w:rsid w:val="00D5587C"/>
    <w:rsid w:val="00D558CE"/>
    <w:rsid w:val="00D558ED"/>
    <w:rsid w:val="00D5599E"/>
    <w:rsid w:val="00D55A3C"/>
    <w:rsid w:val="00D55C80"/>
    <w:rsid w:val="00D55CAD"/>
    <w:rsid w:val="00D55CD5"/>
    <w:rsid w:val="00D55D3E"/>
    <w:rsid w:val="00D55F7B"/>
    <w:rsid w:val="00D55FC3"/>
    <w:rsid w:val="00D55FC9"/>
    <w:rsid w:val="00D564BA"/>
    <w:rsid w:val="00D564C4"/>
    <w:rsid w:val="00D5686F"/>
    <w:rsid w:val="00D56C64"/>
    <w:rsid w:val="00D56D8A"/>
    <w:rsid w:val="00D56F76"/>
    <w:rsid w:val="00D56FA1"/>
    <w:rsid w:val="00D570BE"/>
    <w:rsid w:val="00D57167"/>
    <w:rsid w:val="00D573D9"/>
    <w:rsid w:val="00D57430"/>
    <w:rsid w:val="00D5757B"/>
    <w:rsid w:val="00D575B3"/>
    <w:rsid w:val="00D57959"/>
    <w:rsid w:val="00D57A04"/>
    <w:rsid w:val="00D57A89"/>
    <w:rsid w:val="00D57B3A"/>
    <w:rsid w:val="00D57F33"/>
    <w:rsid w:val="00D60099"/>
    <w:rsid w:val="00D600D1"/>
    <w:rsid w:val="00D60205"/>
    <w:rsid w:val="00D60239"/>
    <w:rsid w:val="00D602DF"/>
    <w:rsid w:val="00D60467"/>
    <w:rsid w:val="00D60669"/>
    <w:rsid w:val="00D607F5"/>
    <w:rsid w:val="00D608BB"/>
    <w:rsid w:val="00D60908"/>
    <w:rsid w:val="00D60A78"/>
    <w:rsid w:val="00D60D19"/>
    <w:rsid w:val="00D60D72"/>
    <w:rsid w:val="00D60DAD"/>
    <w:rsid w:val="00D60E86"/>
    <w:rsid w:val="00D610D4"/>
    <w:rsid w:val="00D610E2"/>
    <w:rsid w:val="00D611AF"/>
    <w:rsid w:val="00D614AB"/>
    <w:rsid w:val="00D61721"/>
    <w:rsid w:val="00D6176A"/>
    <w:rsid w:val="00D617BC"/>
    <w:rsid w:val="00D61BA3"/>
    <w:rsid w:val="00D61C4E"/>
    <w:rsid w:val="00D61E24"/>
    <w:rsid w:val="00D61F7B"/>
    <w:rsid w:val="00D6201B"/>
    <w:rsid w:val="00D62040"/>
    <w:rsid w:val="00D62128"/>
    <w:rsid w:val="00D62153"/>
    <w:rsid w:val="00D623C5"/>
    <w:rsid w:val="00D624BC"/>
    <w:rsid w:val="00D62586"/>
    <w:rsid w:val="00D626E4"/>
    <w:rsid w:val="00D6289A"/>
    <w:rsid w:val="00D629E6"/>
    <w:rsid w:val="00D62AF5"/>
    <w:rsid w:val="00D62AF6"/>
    <w:rsid w:val="00D62CEA"/>
    <w:rsid w:val="00D62E6C"/>
    <w:rsid w:val="00D62F85"/>
    <w:rsid w:val="00D63084"/>
    <w:rsid w:val="00D6318B"/>
    <w:rsid w:val="00D633B0"/>
    <w:rsid w:val="00D63754"/>
    <w:rsid w:val="00D63866"/>
    <w:rsid w:val="00D638A0"/>
    <w:rsid w:val="00D63C51"/>
    <w:rsid w:val="00D63C73"/>
    <w:rsid w:val="00D63F89"/>
    <w:rsid w:val="00D645DB"/>
    <w:rsid w:val="00D6499A"/>
    <w:rsid w:val="00D649D9"/>
    <w:rsid w:val="00D649F1"/>
    <w:rsid w:val="00D64BDE"/>
    <w:rsid w:val="00D64BFE"/>
    <w:rsid w:val="00D64D8A"/>
    <w:rsid w:val="00D64EFF"/>
    <w:rsid w:val="00D65029"/>
    <w:rsid w:val="00D65455"/>
    <w:rsid w:val="00D6547F"/>
    <w:rsid w:val="00D654C7"/>
    <w:rsid w:val="00D65789"/>
    <w:rsid w:val="00D65832"/>
    <w:rsid w:val="00D65A97"/>
    <w:rsid w:val="00D65EAA"/>
    <w:rsid w:val="00D661F7"/>
    <w:rsid w:val="00D662B6"/>
    <w:rsid w:val="00D66509"/>
    <w:rsid w:val="00D66510"/>
    <w:rsid w:val="00D6652A"/>
    <w:rsid w:val="00D665A0"/>
    <w:rsid w:val="00D666FB"/>
    <w:rsid w:val="00D667AF"/>
    <w:rsid w:val="00D6697D"/>
    <w:rsid w:val="00D66A07"/>
    <w:rsid w:val="00D66A14"/>
    <w:rsid w:val="00D66D8C"/>
    <w:rsid w:val="00D671BC"/>
    <w:rsid w:val="00D67247"/>
    <w:rsid w:val="00D673E5"/>
    <w:rsid w:val="00D67521"/>
    <w:rsid w:val="00D675B7"/>
    <w:rsid w:val="00D67810"/>
    <w:rsid w:val="00D67886"/>
    <w:rsid w:val="00D678C0"/>
    <w:rsid w:val="00D67A05"/>
    <w:rsid w:val="00D67ACA"/>
    <w:rsid w:val="00D67B02"/>
    <w:rsid w:val="00D67B25"/>
    <w:rsid w:val="00D67CC4"/>
    <w:rsid w:val="00D67E10"/>
    <w:rsid w:val="00D7022C"/>
    <w:rsid w:val="00D702DD"/>
    <w:rsid w:val="00D702FF"/>
    <w:rsid w:val="00D70394"/>
    <w:rsid w:val="00D70474"/>
    <w:rsid w:val="00D705D1"/>
    <w:rsid w:val="00D706A7"/>
    <w:rsid w:val="00D7076A"/>
    <w:rsid w:val="00D707B5"/>
    <w:rsid w:val="00D70AAD"/>
    <w:rsid w:val="00D70B0F"/>
    <w:rsid w:val="00D70B4D"/>
    <w:rsid w:val="00D70D25"/>
    <w:rsid w:val="00D7104A"/>
    <w:rsid w:val="00D711EC"/>
    <w:rsid w:val="00D71203"/>
    <w:rsid w:val="00D714DB"/>
    <w:rsid w:val="00D7163B"/>
    <w:rsid w:val="00D7179B"/>
    <w:rsid w:val="00D71ACA"/>
    <w:rsid w:val="00D71AE7"/>
    <w:rsid w:val="00D71D3D"/>
    <w:rsid w:val="00D720D3"/>
    <w:rsid w:val="00D721C2"/>
    <w:rsid w:val="00D72292"/>
    <w:rsid w:val="00D72293"/>
    <w:rsid w:val="00D72435"/>
    <w:rsid w:val="00D724B6"/>
    <w:rsid w:val="00D726E9"/>
    <w:rsid w:val="00D727C4"/>
    <w:rsid w:val="00D7285A"/>
    <w:rsid w:val="00D72A34"/>
    <w:rsid w:val="00D72C1B"/>
    <w:rsid w:val="00D72D83"/>
    <w:rsid w:val="00D72DCE"/>
    <w:rsid w:val="00D72EE4"/>
    <w:rsid w:val="00D72F2E"/>
    <w:rsid w:val="00D72FE8"/>
    <w:rsid w:val="00D734E0"/>
    <w:rsid w:val="00D7355F"/>
    <w:rsid w:val="00D735FB"/>
    <w:rsid w:val="00D737A1"/>
    <w:rsid w:val="00D73C61"/>
    <w:rsid w:val="00D73C6C"/>
    <w:rsid w:val="00D73CD8"/>
    <w:rsid w:val="00D73D1F"/>
    <w:rsid w:val="00D73E49"/>
    <w:rsid w:val="00D73EAE"/>
    <w:rsid w:val="00D73EC1"/>
    <w:rsid w:val="00D73F05"/>
    <w:rsid w:val="00D74054"/>
    <w:rsid w:val="00D74176"/>
    <w:rsid w:val="00D74208"/>
    <w:rsid w:val="00D74237"/>
    <w:rsid w:val="00D7454B"/>
    <w:rsid w:val="00D7495C"/>
    <w:rsid w:val="00D74A0F"/>
    <w:rsid w:val="00D74A2F"/>
    <w:rsid w:val="00D74A77"/>
    <w:rsid w:val="00D74C34"/>
    <w:rsid w:val="00D74CCD"/>
    <w:rsid w:val="00D74CFB"/>
    <w:rsid w:val="00D74EF5"/>
    <w:rsid w:val="00D751D7"/>
    <w:rsid w:val="00D75387"/>
    <w:rsid w:val="00D753C3"/>
    <w:rsid w:val="00D7547A"/>
    <w:rsid w:val="00D754B2"/>
    <w:rsid w:val="00D75599"/>
    <w:rsid w:val="00D75615"/>
    <w:rsid w:val="00D7561D"/>
    <w:rsid w:val="00D75624"/>
    <w:rsid w:val="00D75699"/>
    <w:rsid w:val="00D75757"/>
    <w:rsid w:val="00D7588A"/>
    <w:rsid w:val="00D75907"/>
    <w:rsid w:val="00D7592A"/>
    <w:rsid w:val="00D759EF"/>
    <w:rsid w:val="00D759F6"/>
    <w:rsid w:val="00D75C34"/>
    <w:rsid w:val="00D75DEE"/>
    <w:rsid w:val="00D76035"/>
    <w:rsid w:val="00D765A6"/>
    <w:rsid w:val="00D765AE"/>
    <w:rsid w:val="00D765E1"/>
    <w:rsid w:val="00D76650"/>
    <w:rsid w:val="00D768B9"/>
    <w:rsid w:val="00D76993"/>
    <w:rsid w:val="00D76A87"/>
    <w:rsid w:val="00D76D7F"/>
    <w:rsid w:val="00D76E84"/>
    <w:rsid w:val="00D76F84"/>
    <w:rsid w:val="00D7704B"/>
    <w:rsid w:val="00D77248"/>
    <w:rsid w:val="00D77262"/>
    <w:rsid w:val="00D77387"/>
    <w:rsid w:val="00D7764F"/>
    <w:rsid w:val="00D77A53"/>
    <w:rsid w:val="00D77B41"/>
    <w:rsid w:val="00D77B87"/>
    <w:rsid w:val="00D8014E"/>
    <w:rsid w:val="00D80169"/>
    <w:rsid w:val="00D8024D"/>
    <w:rsid w:val="00D80318"/>
    <w:rsid w:val="00D80451"/>
    <w:rsid w:val="00D80498"/>
    <w:rsid w:val="00D80795"/>
    <w:rsid w:val="00D80913"/>
    <w:rsid w:val="00D809C0"/>
    <w:rsid w:val="00D80C0D"/>
    <w:rsid w:val="00D80D9C"/>
    <w:rsid w:val="00D80E10"/>
    <w:rsid w:val="00D80FA9"/>
    <w:rsid w:val="00D81173"/>
    <w:rsid w:val="00D81341"/>
    <w:rsid w:val="00D814E3"/>
    <w:rsid w:val="00D81698"/>
    <w:rsid w:val="00D81742"/>
    <w:rsid w:val="00D81775"/>
    <w:rsid w:val="00D81EA1"/>
    <w:rsid w:val="00D8202A"/>
    <w:rsid w:val="00D820EF"/>
    <w:rsid w:val="00D820F1"/>
    <w:rsid w:val="00D820F6"/>
    <w:rsid w:val="00D8241F"/>
    <w:rsid w:val="00D824E8"/>
    <w:rsid w:val="00D82684"/>
    <w:rsid w:val="00D826B7"/>
    <w:rsid w:val="00D82870"/>
    <w:rsid w:val="00D8290C"/>
    <w:rsid w:val="00D82C67"/>
    <w:rsid w:val="00D82C7B"/>
    <w:rsid w:val="00D82C8C"/>
    <w:rsid w:val="00D82CE2"/>
    <w:rsid w:val="00D82DFA"/>
    <w:rsid w:val="00D82EE9"/>
    <w:rsid w:val="00D82EF2"/>
    <w:rsid w:val="00D82FA5"/>
    <w:rsid w:val="00D82FD3"/>
    <w:rsid w:val="00D8301E"/>
    <w:rsid w:val="00D83211"/>
    <w:rsid w:val="00D833A5"/>
    <w:rsid w:val="00D83701"/>
    <w:rsid w:val="00D83939"/>
    <w:rsid w:val="00D83DC6"/>
    <w:rsid w:val="00D83FF4"/>
    <w:rsid w:val="00D84153"/>
    <w:rsid w:val="00D84372"/>
    <w:rsid w:val="00D847D8"/>
    <w:rsid w:val="00D84817"/>
    <w:rsid w:val="00D848ED"/>
    <w:rsid w:val="00D84D80"/>
    <w:rsid w:val="00D84E60"/>
    <w:rsid w:val="00D8502B"/>
    <w:rsid w:val="00D85042"/>
    <w:rsid w:val="00D851A3"/>
    <w:rsid w:val="00D85274"/>
    <w:rsid w:val="00D8528B"/>
    <w:rsid w:val="00D85307"/>
    <w:rsid w:val="00D85368"/>
    <w:rsid w:val="00D85391"/>
    <w:rsid w:val="00D854D7"/>
    <w:rsid w:val="00D85564"/>
    <w:rsid w:val="00D8559E"/>
    <w:rsid w:val="00D857F7"/>
    <w:rsid w:val="00D859AD"/>
    <w:rsid w:val="00D85A4D"/>
    <w:rsid w:val="00D85AB1"/>
    <w:rsid w:val="00D85C45"/>
    <w:rsid w:val="00D85D3F"/>
    <w:rsid w:val="00D85DF3"/>
    <w:rsid w:val="00D85EA3"/>
    <w:rsid w:val="00D85F72"/>
    <w:rsid w:val="00D86076"/>
    <w:rsid w:val="00D860C0"/>
    <w:rsid w:val="00D860C9"/>
    <w:rsid w:val="00D8624A"/>
    <w:rsid w:val="00D863D0"/>
    <w:rsid w:val="00D865DE"/>
    <w:rsid w:val="00D8686F"/>
    <w:rsid w:val="00D86B37"/>
    <w:rsid w:val="00D86F7B"/>
    <w:rsid w:val="00D870EF"/>
    <w:rsid w:val="00D8722C"/>
    <w:rsid w:val="00D8726E"/>
    <w:rsid w:val="00D874F4"/>
    <w:rsid w:val="00D87528"/>
    <w:rsid w:val="00D875D4"/>
    <w:rsid w:val="00D8761E"/>
    <w:rsid w:val="00D876CC"/>
    <w:rsid w:val="00D87727"/>
    <w:rsid w:val="00D87824"/>
    <w:rsid w:val="00D8787F"/>
    <w:rsid w:val="00D87914"/>
    <w:rsid w:val="00D87A02"/>
    <w:rsid w:val="00D87C28"/>
    <w:rsid w:val="00D87EC9"/>
    <w:rsid w:val="00D90189"/>
    <w:rsid w:val="00D901BD"/>
    <w:rsid w:val="00D901D6"/>
    <w:rsid w:val="00D90271"/>
    <w:rsid w:val="00D903C6"/>
    <w:rsid w:val="00D90473"/>
    <w:rsid w:val="00D904EB"/>
    <w:rsid w:val="00D90718"/>
    <w:rsid w:val="00D9084A"/>
    <w:rsid w:val="00D90AEE"/>
    <w:rsid w:val="00D90BF7"/>
    <w:rsid w:val="00D90D71"/>
    <w:rsid w:val="00D90E4D"/>
    <w:rsid w:val="00D90EDE"/>
    <w:rsid w:val="00D911FC"/>
    <w:rsid w:val="00D912F5"/>
    <w:rsid w:val="00D913B0"/>
    <w:rsid w:val="00D915ED"/>
    <w:rsid w:val="00D9162D"/>
    <w:rsid w:val="00D9164A"/>
    <w:rsid w:val="00D91656"/>
    <w:rsid w:val="00D9169F"/>
    <w:rsid w:val="00D91A32"/>
    <w:rsid w:val="00D91B64"/>
    <w:rsid w:val="00D91C74"/>
    <w:rsid w:val="00D92130"/>
    <w:rsid w:val="00D9218B"/>
    <w:rsid w:val="00D92248"/>
    <w:rsid w:val="00D92446"/>
    <w:rsid w:val="00D92662"/>
    <w:rsid w:val="00D926B6"/>
    <w:rsid w:val="00D927A8"/>
    <w:rsid w:val="00D927BA"/>
    <w:rsid w:val="00D927E9"/>
    <w:rsid w:val="00D9285C"/>
    <w:rsid w:val="00D928E5"/>
    <w:rsid w:val="00D92A53"/>
    <w:rsid w:val="00D92AD9"/>
    <w:rsid w:val="00D92D7D"/>
    <w:rsid w:val="00D92E29"/>
    <w:rsid w:val="00D92E77"/>
    <w:rsid w:val="00D92F2F"/>
    <w:rsid w:val="00D92F3A"/>
    <w:rsid w:val="00D9318B"/>
    <w:rsid w:val="00D93455"/>
    <w:rsid w:val="00D935CA"/>
    <w:rsid w:val="00D936AA"/>
    <w:rsid w:val="00D93AAF"/>
    <w:rsid w:val="00D93CDE"/>
    <w:rsid w:val="00D93E28"/>
    <w:rsid w:val="00D93F99"/>
    <w:rsid w:val="00D94004"/>
    <w:rsid w:val="00D9415E"/>
    <w:rsid w:val="00D941A5"/>
    <w:rsid w:val="00D941B4"/>
    <w:rsid w:val="00D9445A"/>
    <w:rsid w:val="00D94650"/>
    <w:rsid w:val="00D9466F"/>
    <w:rsid w:val="00D94AA7"/>
    <w:rsid w:val="00D94C5D"/>
    <w:rsid w:val="00D94F11"/>
    <w:rsid w:val="00D94FFE"/>
    <w:rsid w:val="00D950F9"/>
    <w:rsid w:val="00D95173"/>
    <w:rsid w:val="00D95384"/>
    <w:rsid w:val="00D953F7"/>
    <w:rsid w:val="00D95427"/>
    <w:rsid w:val="00D956CD"/>
    <w:rsid w:val="00D959CE"/>
    <w:rsid w:val="00D95A78"/>
    <w:rsid w:val="00D95DCD"/>
    <w:rsid w:val="00D95F2C"/>
    <w:rsid w:val="00D960C0"/>
    <w:rsid w:val="00D96111"/>
    <w:rsid w:val="00D9611A"/>
    <w:rsid w:val="00D96502"/>
    <w:rsid w:val="00D9654F"/>
    <w:rsid w:val="00D965B3"/>
    <w:rsid w:val="00D96693"/>
    <w:rsid w:val="00D967AB"/>
    <w:rsid w:val="00D9698E"/>
    <w:rsid w:val="00D96A07"/>
    <w:rsid w:val="00D96A87"/>
    <w:rsid w:val="00D96C5B"/>
    <w:rsid w:val="00D96FED"/>
    <w:rsid w:val="00D97006"/>
    <w:rsid w:val="00D9701B"/>
    <w:rsid w:val="00D970ED"/>
    <w:rsid w:val="00D9724C"/>
    <w:rsid w:val="00D972B5"/>
    <w:rsid w:val="00D974B0"/>
    <w:rsid w:val="00D975BF"/>
    <w:rsid w:val="00D9762C"/>
    <w:rsid w:val="00D976A1"/>
    <w:rsid w:val="00D97830"/>
    <w:rsid w:val="00D978C9"/>
    <w:rsid w:val="00D97A99"/>
    <w:rsid w:val="00D97FAD"/>
    <w:rsid w:val="00DA031C"/>
    <w:rsid w:val="00DA03B2"/>
    <w:rsid w:val="00DA09AC"/>
    <w:rsid w:val="00DA0C50"/>
    <w:rsid w:val="00DA0E0B"/>
    <w:rsid w:val="00DA0E45"/>
    <w:rsid w:val="00DA0E7E"/>
    <w:rsid w:val="00DA0F02"/>
    <w:rsid w:val="00DA0F2F"/>
    <w:rsid w:val="00DA0F55"/>
    <w:rsid w:val="00DA0FE7"/>
    <w:rsid w:val="00DA12BC"/>
    <w:rsid w:val="00DA14C3"/>
    <w:rsid w:val="00DA14E7"/>
    <w:rsid w:val="00DA1592"/>
    <w:rsid w:val="00DA15FE"/>
    <w:rsid w:val="00DA165A"/>
    <w:rsid w:val="00DA1893"/>
    <w:rsid w:val="00DA1B9D"/>
    <w:rsid w:val="00DA1C2D"/>
    <w:rsid w:val="00DA1CD7"/>
    <w:rsid w:val="00DA1DF1"/>
    <w:rsid w:val="00DA1EC7"/>
    <w:rsid w:val="00DA1F13"/>
    <w:rsid w:val="00DA1F7A"/>
    <w:rsid w:val="00DA1FA9"/>
    <w:rsid w:val="00DA20A8"/>
    <w:rsid w:val="00DA2179"/>
    <w:rsid w:val="00DA2392"/>
    <w:rsid w:val="00DA23EA"/>
    <w:rsid w:val="00DA2746"/>
    <w:rsid w:val="00DA2770"/>
    <w:rsid w:val="00DA281D"/>
    <w:rsid w:val="00DA2899"/>
    <w:rsid w:val="00DA298D"/>
    <w:rsid w:val="00DA2A9E"/>
    <w:rsid w:val="00DA2C24"/>
    <w:rsid w:val="00DA2DAE"/>
    <w:rsid w:val="00DA30D5"/>
    <w:rsid w:val="00DA333E"/>
    <w:rsid w:val="00DA34B9"/>
    <w:rsid w:val="00DA350A"/>
    <w:rsid w:val="00DA35F9"/>
    <w:rsid w:val="00DA3673"/>
    <w:rsid w:val="00DA36CE"/>
    <w:rsid w:val="00DA3743"/>
    <w:rsid w:val="00DA3B6A"/>
    <w:rsid w:val="00DA3BB3"/>
    <w:rsid w:val="00DA3E5C"/>
    <w:rsid w:val="00DA40B7"/>
    <w:rsid w:val="00DA4189"/>
    <w:rsid w:val="00DA41DB"/>
    <w:rsid w:val="00DA431F"/>
    <w:rsid w:val="00DA4406"/>
    <w:rsid w:val="00DA4591"/>
    <w:rsid w:val="00DA46A0"/>
    <w:rsid w:val="00DA4777"/>
    <w:rsid w:val="00DA4C2A"/>
    <w:rsid w:val="00DA4EB8"/>
    <w:rsid w:val="00DA4F55"/>
    <w:rsid w:val="00DA525C"/>
    <w:rsid w:val="00DA52F2"/>
    <w:rsid w:val="00DA5300"/>
    <w:rsid w:val="00DA5375"/>
    <w:rsid w:val="00DA53E8"/>
    <w:rsid w:val="00DA5513"/>
    <w:rsid w:val="00DA5521"/>
    <w:rsid w:val="00DA5639"/>
    <w:rsid w:val="00DA588B"/>
    <w:rsid w:val="00DA5A83"/>
    <w:rsid w:val="00DA5AF9"/>
    <w:rsid w:val="00DA5B3A"/>
    <w:rsid w:val="00DA5CF7"/>
    <w:rsid w:val="00DA614E"/>
    <w:rsid w:val="00DA61E5"/>
    <w:rsid w:val="00DA6253"/>
    <w:rsid w:val="00DA652B"/>
    <w:rsid w:val="00DA6651"/>
    <w:rsid w:val="00DA67D5"/>
    <w:rsid w:val="00DA694B"/>
    <w:rsid w:val="00DA6A47"/>
    <w:rsid w:val="00DA6BAA"/>
    <w:rsid w:val="00DA6C44"/>
    <w:rsid w:val="00DA6D66"/>
    <w:rsid w:val="00DA71C4"/>
    <w:rsid w:val="00DA7224"/>
    <w:rsid w:val="00DA7231"/>
    <w:rsid w:val="00DA72D3"/>
    <w:rsid w:val="00DA7363"/>
    <w:rsid w:val="00DA74E9"/>
    <w:rsid w:val="00DA7607"/>
    <w:rsid w:val="00DA772E"/>
    <w:rsid w:val="00DA774F"/>
    <w:rsid w:val="00DA783F"/>
    <w:rsid w:val="00DA7982"/>
    <w:rsid w:val="00DA7BE2"/>
    <w:rsid w:val="00DA7C14"/>
    <w:rsid w:val="00DA7D1A"/>
    <w:rsid w:val="00DA7D4A"/>
    <w:rsid w:val="00DA7D90"/>
    <w:rsid w:val="00DA7DEB"/>
    <w:rsid w:val="00DA7E13"/>
    <w:rsid w:val="00DA7F88"/>
    <w:rsid w:val="00DB0048"/>
    <w:rsid w:val="00DB00F4"/>
    <w:rsid w:val="00DB042B"/>
    <w:rsid w:val="00DB0553"/>
    <w:rsid w:val="00DB06A0"/>
    <w:rsid w:val="00DB07D1"/>
    <w:rsid w:val="00DB0843"/>
    <w:rsid w:val="00DB0941"/>
    <w:rsid w:val="00DB0A9D"/>
    <w:rsid w:val="00DB0B9D"/>
    <w:rsid w:val="00DB0E26"/>
    <w:rsid w:val="00DB0E2B"/>
    <w:rsid w:val="00DB0ED8"/>
    <w:rsid w:val="00DB0F22"/>
    <w:rsid w:val="00DB0FDF"/>
    <w:rsid w:val="00DB102F"/>
    <w:rsid w:val="00DB1279"/>
    <w:rsid w:val="00DB12E7"/>
    <w:rsid w:val="00DB1347"/>
    <w:rsid w:val="00DB1497"/>
    <w:rsid w:val="00DB14AB"/>
    <w:rsid w:val="00DB14F9"/>
    <w:rsid w:val="00DB1616"/>
    <w:rsid w:val="00DB162F"/>
    <w:rsid w:val="00DB16B5"/>
    <w:rsid w:val="00DB1A65"/>
    <w:rsid w:val="00DB1ABA"/>
    <w:rsid w:val="00DB1C1E"/>
    <w:rsid w:val="00DB20E2"/>
    <w:rsid w:val="00DB2295"/>
    <w:rsid w:val="00DB2452"/>
    <w:rsid w:val="00DB24E0"/>
    <w:rsid w:val="00DB2544"/>
    <w:rsid w:val="00DB2590"/>
    <w:rsid w:val="00DB26F5"/>
    <w:rsid w:val="00DB2744"/>
    <w:rsid w:val="00DB2872"/>
    <w:rsid w:val="00DB2976"/>
    <w:rsid w:val="00DB298C"/>
    <w:rsid w:val="00DB2A25"/>
    <w:rsid w:val="00DB2C35"/>
    <w:rsid w:val="00DB2DDF"/>
    <w:rsid w:val="00DB30AB"/>
    <w:rsid w:val="00DB32E2"/>
    <w:rsid w:val="00DB3375"/>
    <w:rsid w:val="00DB3398"/>
    <w:rsid w:val="00DB33A3"/>
    <w:rsid w:val="00DB3428"/>
    <w:rsid w:val="00DB3449"/>
    <w:rsid w:val="00DB34D3"/>
    <w:rsid w:val="00DB359B"/>
    <w:rsid w:val="00DB36F3"/>
    <w:rsid w:val="00DB395C"/>
    <w:rsid w:val="00DB3A6D"/>
    <w:rsid w:val="00DB3A6F"/>
    <w:rsid w:val="00DB3C46"/>
    <w:rsid w:val="00DB3CA3"/>
    <w:rsid w:val="00DB3CD4"/>
    <w:rsid w:val="00DB3D59"/>
    <w:rsid w:val="00DB3DE4"/>
    <w:rsid w:val="00DB3E64"/>
    <w:rsid w:val="00DB3F7B"/>
    <w:rsid w:val="00DB3FD9"/>
    <w:rsid w:val="00DB401B"/>
    <w:rsid w:val="00DB41EE"/>
    <w:rsid w:val="00DB4263"/>
    <w:rsid w:val="00DB435D"/>
    <w:rsid w:val="00DB4503"/>
    <w:rsid w:val="00DB4603"/>
    <w:rsid w:val="00DB4A00"/>
    <w:rsid w:val="00DB4A91"/>
    <w:rsid w:val="00DB4BB7"/>
    <w:rsid w:val="00DB4BD6"/>
    <w:rsid w:val="00DB4C62"/>
    <w:rsid w:val="00DB4DAC"/>
    <w:rsid w:val="00DB5126"/>
    <w:rsid w:val="00DB52E1"/>
    <w:rsid w:val="00DB5594"/>
    <w:rsid w:val="00DB56C2"/>
    <w:rsid w:val="00DB571E"/>
    <w:rsid w:val="00DB5A4D"/>
    <w:rsid w:val="00DB5AD1"/>
    <w:rsid w:val="00DB5B53"/>
    <w:rsid w:val="00DB5BD3"/>
    <w:rsid w:val="00DB5C61"/>
    <w:rsid w:val="00DB5D11"/>
    <w:rsid w:val="00DB5DBD"/>
    <w:rsid w:val="00DB5E8A"/>
    <w:rsid w:val="00DB5F2A"/>
    <w:rsid w:val="00DB5FCA"/>
    <w:rsid w:val="00DB611F"/>
    <w:rsid w:val="00DB621E"/>
    <w:rsid w:val="00DB627F"/>
    <w:rsid w:val="00DB649A"/>
    <w:rsid w:val="00DB6594"/>
    <w:rsid w:val="00DB67E8"/>
    <w:rsid w:val="00DB685D"/>
    <w:rsid w:val="00DB691A"/>
    <w:rsid w:val="00DB6AEA"/>
    <w:rsid w:val="00DB6B92"/>
    <w:rsid w:val="00DB6B9C"/>
    <w:rsid w:val="00DB6DCF"/>
    <w:rsid w:val="00DB6E95"/>
    <w:rsid w:val="00DB6FFE"/>
    <w:rsid w:val="00DB7016"/>
    <w:rsid w:val="00DB7027"/>
    <w:rsid w:val="00DB703E"/>
    <w:rsid w:val="00DB7052"/>
    <w:rsid w:val="00DB710C"/>
    <w:rsid w:val="00DB72EC"/>
    <w:rsid w:val="00DB74BB"/>
    <w:rsid w:val="00DB7606"/>
    <w:rsid w:val="00DB7650"/>
    <w:rsid w:val="00DB7663"/>
    <w:rsid w:val="00DB7670"/>
    <w:rsid w:val="00DB795B"/>
    <w:rsid w:val="00DB7C05"/>
    <w:rsid w:val="00DB7D99"/>
    <w:rsid w:val="00DB7FCC"/>
    <w:rsid w:val="00DB7FD3"/>
    <w:rsid w:val="00DC0231"/>
    <w:rsid w:val="00DC03B3"/>
    <w:rsid w:val="00DC047C"/>
    <w:rsid w:val="00DC048B"/>
    <w:rsid w:val="00DC0575"/>
    <w:rsid w:val="00DC0796"/>
    <w:rsid w:val="00DC0A30"/>
    <w:rsid w:val="00DC0B30"/>
    <w:rsid w:val="00DC0DB0"/>
    <w:rsid w:val="00DC0DB7"/>
    <w:rsid w:val="00DC0EEA"/>
    <w:rsid w:val="00DC0F20"/>
    <w:rsid w:val="00DC0F57"/>
    <w:rsid w:val="00DC1013"/>
    <w:rsid w:val="00DC12E8"/>
    <w:rsid w:val="00DC1455"/>
    <w:rsid w:val="00DC158A"/>
    <w:rsid w:val="00DC15F9"/>
    <w:rsid w:val="00DC19E6"/>
    <w:rsid w:val="00DC1A73"/>
    <w:rsid w:val="00DC1A85"/>
    <w:rsid w:val="00DC1AEC"/>
    <w:rsid w:val="00DC1B10"/>
    <w:rsid w:val="00DC1B3A"/>
    <w:rsid w:val="00DC1B8A"/>
    <w:rsid w:val="00DC1D6E"/>
    <w:rsid w:val="00DC1E46"/>
    <w:rsid w:val="00DC1FC1"/>
    <w:rsid w:val="00DC2027"/>
    <w:rsid w:val="00DC2427"/>
    <w:rsid w:val="00DC2496"/>
    <w:rsid w:val="00DC25A2"/>
    <w:rsid w:val="00DC2671"/>
    <w:rsid w:val="00DC294A"/>
    <w:rsid w:val="00DC29E9"/>
    <w:rsid w:val="00DC2C1F"/>
    <w:rsid w:val="00DC2C96"/>
    <w:rsid w:val="00DC2CBE"/>
    <w:rsid w:val="00DC2CF2"/>
    <w:rsid w:val="00DC2D55"/>
    <w:rsid w:val="00DC2ECF"/>
    <w:rsid w:val="00DC2F0B"/>
    <w:rsid w:val="00DC351C"/>
    <w:rsid w:val="00DC35C1"/>
    <w:rsid w:val="00DC3801"/>
    <w:rsid w:val="00DC3836"/>
    <w:rsid w:val="00DC3941"/>
    <w:rsid w:val="00DC39C8"/>
    <w:rsid w:val="00DC3C30"/>
    <w:rsid w:val="00DC3CA0"/>
    <w:rsid w:val="00DC3D8F"/>
    <w:rsid w:val="00DC3E06"/>
    <w:rsid w:val="00DC3F43"/>
    <w:rsid w:val="00DC434E"/>
    <w:rsid w:val="00DC43EE"/>
    <w:rsid w:val="00DC495F"/>
    <w:rsid w:val="00DC4B24"/>
    <w:rsid w:val="00DC4BE3"/>
    <w:rsid w:val="00DC4F41"/>
    <w:rsid w:val="00DC5004"/>
    <w:rsid w:val="00DC542F"/>
    <w:rsid w:val="00DC565F"/>
    <w:rsid w:val="00DC57EB"/>
    <w:rsid w:val="00DC5911"/>
    <w:rsid w:val="00DC5932"/>
    <w:rsid w:val="00DC5BD8"/>
    <w:rsid w:val="00DC5C70"/>
    <w:rsid w:val="00DC5D67"/>
    <w:rsid w:val="00DC5DB2"/>
    <w:rsid w:val="00DC600F"/>
    <w:rsid w:val="00DC612F"/>
    <w:rsid w:val="00DC623E"/>
    <w:rsid w:val="00DC6328"/>
    <w:rsid w:val="00DC636B"/>
    <w:rsid w:val="00DC64EF"/>
    <w:rsid w:val="00DC654C"/>
    <w:rsid w:val="00DC6553"/>
    <w:rsid w:val="00DC66B6"/>
    <w:rsid w:val="00DC66D5"/>
    <w:rsid w:val="00DC6703"/>
    <w:rsid w:val="00DC6766"/>
    <w:rsid w:val="00DC6916"/>
    <w:rsid w:val="00DC6A97"/>
    <w:rsid w:val="00DC6AAE"/>
    <w:rsid w:val="00DC6BE3"/>
    <w:rsid w:val="00DC6E2D"/>
    <w:rsid w:val="00DC6F30"/>
    <w:rsid w:val="00DC6FEF"/>
    <w:rsid w:val="00DC71B2"/>
    <w:rsid w:val="00DC728A"/>
    <w:rsid w:val="00DC72C6"/>
    <w:rsid w:val="00DC7334"/>
    <w:rsid w:val="00DC7425"/>
    <w:rsid w:val="00DC74F5"/>
    <w:rsid w:val="00DC7663"/>
    <w:rsid w:val="00DC7683"/>
    <w:rsid w:val="00DC7918"/>
    <w:rsid w:val="00DC79A7"/>
    <w:rsid w:val="00DC7CAE"/>
    <w:rsid w:val="00DC7D71"/>
    <w:rsid w:val="00DC7E67"/>
    <w:rsid w:val="00DC7E68"/>
    <w:rsid w:val="00DD00AA"/>
    <w:rsid w:val="00DD01CD"/>
    <w:rsid w:val="00DD03BB"/>
    <w:rsid w:val="00DD03EC"/>
    <w:rsid w:val="00DD0427"/>
    <w:rsid w:val="00DD088A"/>
    <w:rsid w:val="00DD0A3D"/>
    <w:rsid w:val="00DD0B5C"/>
    <w:rsid w:val="00DD0B8D"/>
    <w:rsid w:val="00DD0DDB"/>
    <w:rsid w:val="00DD11C0"/>
    <w:rsid w:val="00DD1236"/>
    <w:rsid w:val="00DD1377"/>
    <w:rsid w:val="00DD13D0"/>
    <w:rsid w:val="00DD14CA"/>
    <w:rsid w:val="00DD1516"/>
    <w:rsid w:val="00DD1689"/>
    <w:rsid w:val="00DD196F"/>
    <w:rsid w:val="00DD1CC7"/>
    <w:rsid w:val="00DD1CCC"/>
    <w:rsid w:val="00DD1D88"/>
    <w:rsid w:val="00DD1E57"/>
    <w:rsid w:val="00DD2022"/>
    <w:rsid w:val="00DD2163"/>
    <w:rsid w:val="00DD21A7"/>
    <w:rsid w:val="00DD235F"/>
    <w:rsid w:val="00DD26DE"/>
    <w:rsid w:val="00DD2B45"/>
    <w:rsid w:val="00DD2D19"/>
    <w:rsid w:val="00DD2D5F"/>
    <w:rsid w:val="00DD2E13"/>
    <w:rsid w:val="00DD2E41"/>
    <w:rsid w:val="00DD300A"/>
    <w:rsid w:val="00DD32C8"/>
    <w:rsid w:val="00DD33D6"/>
    <w:rsid w:val="00DD340A"/>
    <w:rsid w:val="00DD3602"/>
    <w:rsid w:val="00DD3732"/>
    <w:rsid w:val="00DD373F"/>
    <w:rsid w:val="00DD3781"/>
    <w:rsid w:val="00DD3866"/>
    <w:rsid w:val="00DD393C"/>
    <w:rsid w:val="00DD3974"/>
    <w:rsid w:val="00DD3992"/>
    <w:rsid w:val="00DD3A1D"/>
    <w:rsid w:val="00DD3AB2"/>
    <w:rsid w:val="00DD3B9F"/>
    <w:rsid w:val="00DD3BB5"/>
    <w:rsid w:val="00DD402A"/>
    <w:rsid w:val="00DD42A1"/>
    <w:rsid w:val="00DD42D8"/>
    <w:rsid w:val="00DD4393"/>
    <w:rsid w:val="00DD44A1"/>
    <w:rsid w:val="00DD44E2"/>
    <w:rsid w:val="00DD45F7"/>
    <w:rsid w:val="00DD46C0"/>
    <w:rsid w:val="00DD4AD8"/>
    <w:rsid w:val="00DD4EA5"/>
    <w:rsid w:val="00DD50EA"/>
    <w:rsid w:val="00DD51AA"/>
    <w:rsid w:val="00DD54F7"/>
    <w:rsid w:val="00DD5578"/>
    <w:rsid w:val="00DD56D7"/>
    <w:rsid w:val="00DD56F5"/>
    <w:rsid w:val="00DD58B6"/>
    <w:rsid w:val="00DD594B"/>
    <w:rsid w:val="00DD5AA5"/>
    <w:rsid w:val="00DD5C21"/>
    <w:rsid w:val="00DD5D13"/>
    <w:rsid w:val="00DD5D93"/>
    <w:rsid w:val="00DD5F06"/>
    <w:rsid w:val="00DD5F38"/>
    <w:rsid w:val="00DD621C"/>
    <w:rsid w:val="00DD624D"/>
    <w:rsid w:val="00DD627A"/>
    <w:rsid w:val="00DD651E"/>
    <w:rsid w:val="00DD677B"/>
    <w:rsid w:val="00DD67E9"/>
    <w:rsid w:val="00DD686B"/>
    <w:rsid w:val="00DD6981"/>
    <w:rsid w:val="00DD698B"/>
    <w:rsid w:val="00DD69E9"/>
    <w:rsid w:val="00DD6AFD"/>
    <w:rsid w:val="00DD6D8A"/>
    <w:rsid w:val="00DD6DAB"/>
    <w:rsid w:val="00DD6E39"/>
    <w:rsid w:val="00DD6E79"/>
    <w:rsid w:val="00DD6EDE"/>
    <w:rsid w:val="00DD6EFD"/>
    <w:rsid w:val="00DD703E"/>
    <w:rsid w:val="00DD70C8"/>
    <w:rsid w:val="00DD7166"/>
    <w:rsid w:val="00DD71F1"/>
    <w:rsid w:val="00DD74BB"/>
    <w:rsid w:val="00DD776F"/>
    <w:rsid w:val="00DD77CE"/>
    <w:rsid w:val="00DD7985"/>
    <w:rsid w:val="00DD79EB"/>
    <w:rsid w:val="00DD7AC6"/>
    <w:rsid w:val="00DD7C64"/>
    <w:rsid w:val="00DE0080"/>
    <w:rsid w:val="00DE00D1"/>
    <w:rsid w:val="00DE021F"/>
    <w:rsid w:val="00DE04D3"/>
    <w:rsid w:val="00DE057F"/>
    <w:rsid w:val="00DE081D"/>
    <w:rsid w:val="00DE0903"/>
    <w:rsid w:val="00DE0B98"/>
    <w:rsid w:val="00DE0C8D"/>
    <w:rsid w:val="00DE0D5E"/>
    <w:rsid w:val="00DE0DBB"/>
    <w:rsid w:val="00DE0FB1"/>
    <w:rsid w:val="00DE0FEA"/>
    <w:rsid w:val="00DE1140"/>
    <w:rsid w:val="00DE120C"/>
    <w:rsid w:val="00DE1244"/>
    <w:rsid w:val="00DE148F"/>
    <w:rsid w:val="00DE16FC"/>
    <w:rsid w:val="00DE17EE"/>
    <w:rsid w:val="00DE18D5"/>
    <w:rsid w:val="00DE1A80"/>
    <w:rsid w:val="00DE1DC6"/>
    <w:rsid w:val="00DE1E21"/>
    <w:rsid w:val="00DE200F"/>
    <w:rsid w:val="00DE20A9"/>
    <w:rsid w:val="00DE21B5"/>
    <w:rsid w:val="00DE21E4"/>
    <w:rsid w:val="00DE2253"/>
    <w:rsid w:val="00DE2328"/>
    <w:rsid w:val="00DE2594"/>
    <w:rsid w:val="00DE2674"/>
    <w:rsid w:val="00DE290F"/>
    <w:rsid w:val="00DE29FE"/>
    <w:rsid w:val="00DE2CCC"/>
    <w:rsid w:val="00DE2EA0"/>
    <w:rsid w:val="00DE2F4E"/>
    <w:rsid w:val="00DE3120"/>
    <w:rsid w:val="00DE319F"/>
    <w:rsid w:val="00DE320F"/>
    <w:rsid w:val="00DE325B"/>
    <w:rsid w:val="00DE3506"/>
    <w:rsid w:val="00DE351B"/>
    <w:rsid w:val="00DE373E"/>
    <w:rsid w:val="00DE384D"/>
    <w:rsid w:val="00DE3B30"/>
    <w:rsid w:val="00DE3B72"/>
    <w:rsid w:val="00DE3B77"/>
    <w:rsid w:val="00DE3BD5"/>
    <w:rsid w:val="00DE3BEA"/>
    <w:rsid w:val="00DE3C19"/>
    <w:rsid w:val="00DE3C40"/>
    <w:rsid w:val="00DE3D77"/>
    <w:rsid w:val="00DE3E36"/>
    <w:rsid w:val="00DE3EA8"/>
    <w:rsid w:val="00DE40EB"/>
    <w:rsid w:val="00DE42C9"/>
    <w:rsid w:val="00DE44EC"/>
    <w:rsid w:val="00DE454A"/>
    <w:rsid w:val="00DE46C4"/>
    <w:rsid w:val="00DE4861"/>
    <w:rsid w:val="00DE4881"/>
    <w:rsid w:val="00DE4ABB"/>
    <w:rsid w:val="00DE4C8A"/>
    <w:rsid w:val="00DE4E38"/>
    <w:rsid w:val="00DE4E76"/>
    <w:rsid w:val="00DE4F12"/>
    <w:rsid w:val="00DE515D"/>
    <w:rsid w:val="00DE522B"/>
    <w:rsid w:val="00DE54A6"/>
    <w:rsid w:val="00DE551D"/>
    <w:rsid w:val="00DE5548"/>
    <w:rsid w:val="00DE569B"/>
    <w:rsid w:val="00DE56E4"/>
    <w:rsid w:val="00DE56FC"/>
    <w:rsid w:val="00DE5827"/>
    <w:rsid w:val="00DE58C1"/>
    <w:rsid w:val="00DE5C97"/>
    <w:rsid w:val="00DE5DB6"/>
    <w:rsid w:val="00DE5EA3"/>
    <w:rsid w:val="00DE6041"/>
    <w:rsid w:val="00DE628F"/>
    <w:rsid w:val="00DE62F3"/>
    <w:rsid w:val="00DE635E"/>
    <w:rsid w:val="00DE640C"/>
    <w:rsid w:val="00DE6486"/>
    <w:rsid w:val="00DE651D"/>
    <w:rsid w:val="00DE65D8"/>
    <w:rsid w:val="00DE6832"/>
    <w:rsid w:val="00DE6994"/>
    <w:rsid w:val="00DE6A08"/>
    <w:rsid w:val="00DE6A12"/>
    <w:rsid w:val="00DE6A55"/>
    <w:rsid w:val="00DE6AB9"/>
    <w:rsid w:val="00DE6AEB"/>
    <w:rsid w:val="00DE6B3A"/>
    <w:rsid w:val="00DE6C67"/>
    <w:rsid w:val="00DE6D2F"/>
    <w:rsid w:val="00DE715D"/>
    <w:rsid w:val="00DE72F5"/>
    <w:rsid w:val="00DE7389"/>
    <w:rsid w:val="00DE7431"/>
    <w:rsid w:val="00DE75C2"/>
    <w:rsid w:val="00DE7723"/>
    <w:rsid w:val="00DE773C"/>
    <w:rsid w:val="00DE7895"/>
    <w:rsid w:val="00DE7908"/>
    <w:rsid w:val="00DE79DB"/>
    <w:rsid w:val="00DE7AB9"/>
    <w:rsid w:val="00DE7B40"/>
    <w:rsid w:val="00DE7D46"/>
    <w:rsid w:val="00DE7DF5"/>
    <w:rsid w:val="00DE7E20"/>
    <w:rsid w:val="00DE7F0D"/>
    <w:rsid w:val="00DF016C"/>
    <w:rsid w:val="00DF01CA"/>
    <w:rsid w:val="00DF024A"/>
    <w:rsid w:val="00DF041E"/>
    <w:rsid w:val="00DF0429"/>
    <w:rsid w:val="00DF0724"/>
    <w:rsid w:val="00DF0758"/>
    <w:rsid w:val="00DF07EB"/>
    <w:rsid w:val="00DF09D0"/>
    <w:rsid w:val="00DF0A29"/>
    <w:rsid w:val="00DF0D6B"/>
    <w:rsid w:val="00DF0FA1"/>
    <w:rsid w:val="00DF1134"/>
    <w:rsid w:val="00DF11F4"/>
    <w:rsid w:val="00DF11FD"/>
    <w:rsid w:val="00DF1231"/>
    <w:rsid w:val="00DF1320"/>
    <w:rsid w:val="00DF1436"/>
    <w:rsid w:val="00DF15E8"/>
    <w:rsid w:val="00DF164D"/>
    <w:rsid w:val="00DF171B"/>
    <w:rsid w:val="00DF1873"/>
    <w:rsid w:val="00DF198A"/>
    <w:rsid w:val="00DF19B7"/>
    <w:rsid w:val="00DF19E4"/>
    <w:rsid w:val="00DF1B8C"/>
    <w:rsid w:val="00DF1CEB"/>
    <w:rsid w:val="00DF1D4F"/>
    <w:rsid w:val="00DF1DF1"/>
    <w:rsid w:val="00DF1DF2"/>
    <w:rsid w:val="00DF1F09"/>
    <w:rsid w:val="00DF1F21"/>
    <w:rsid w:val="00DF2013"/>
    <w:rsid w:val="00DF21E2"/>
    <w:rsid w:val="00DF2205"/>
    <w:rsid w:val="00DF2383"/>
    <w:rsid w:val="00DF26CE"/>
    <w:rsid w:val="00DF27F1"/>
    <w:rsid w:val="00DF2921"/>
    <w:rsid w:val="00DF2B8D"/>
    <w:rsid w:val="00DF32D5"/>
    <w:rsid w:val="00DF348F"/>
    <w:rsid w:val="00DF363F"/>
    <w:rsid w:val="00DF3719"/>
    <w:rsid w:val="00DF3772"/>
    <w:rsid w:val="00DF37A5"/>
    <w:rsid w:val="00DF37C4"/>
    <w:rsid w:val="00DF3959"/>
    <w:rsid w:val="00DF3AD5"/>
    <w:rsid w:val="00DF3B2C"/>
    <w:rsid w:val="00DF3D65"/>
    <w:rsid w:val="00DF3E50"/>
    <w:rsid w:val="00DF3E94"/>
    <w:rsid w:val="00DF4007"/>
    <w:rsid w:val="00DF40B0"/>
    <w:rsid w:val="00DF40BF"/>
    <w:rsid w:val="00DF425A"/>
    <w:rsid w:val="00DF453C"/>
    <w:rsid w:val="00DF4573"/>
    <w:rsid w:val="00DF4669"/>
    <w:rsid w:val="00DF4755"/>
    <w:rsid w:val="00DF49AE"/>
    <w:rsid w:val="00DF4C72"/>
    <w:rsid w:val="00DF4DD3"/>
    <w:rsid w:val="00DF5223"/>
    <w:rsid w:val="00DF529E"/>
    <w:rsid w:val="00DF536D"/>
    <w:rsid w:val="00DF5381"/>
    <w:rsid w:val="00DF53BA"/>
    <w:rsid w:val="00DF551F"/>
    <w:rsid w:val="00DF5569"/>
    <w:rsid w:val="00DF556A"/>
    <w:rsid w:val="00DF5658"/>
    <w:rsid w:val="00DF56D6"/>
    <w:rsid w:val="00DF56F1"/>
    <w:rsid w:val="00DF585C"/>
    <w:rsid w:val="00DF595B"/>
    <w:rsid w:val="00DF5B36"/>
    <w:rsid w:val="00DF5BCF"/>
    <w:rsid w:val="00DF5BF2"/>
    <w:rsid w:val="00DF5E6A"/>
    <w:rsid w:val="00DF60E3"/>
    <w:rsid w:val="00DF6186"/>
    <w:rsid w:val="00DF644F"/>
    <w:rsid w:val="00DF6493"/>
    <w:rsid w:val="00DF64DA"/>
    <w:rsid w:val="00DF6557"/>
    <w:rsid w:val="00DF65AA"/>
    <w:rsid w:val="00DF65DD"/>
    <w:rsid w:val="00DF66EC"/>
    <w:rsid w:val="00DF6AB5"/>
    <w:rsid w:val="00DF6D37"/>
    <w:rsid w:val="00DF6EE4"/>
    <w:rsid w:val="00DF704D"/>
    <w:rsid w:val="00DF707E"/>
    <w:rsid w:val="00DF716B"/>
    <w:rsid w:val="00DF727C"/>
    <w:rsid w:val="00DF73B4"/>
    <w:rsid w:val="00DF74EB"/>
    <w:rsid w:val="00DF75EC"/>
    <w:rsid w:val="00DF769F"/>
    <w:rsid w:val="00DF76B1"/>
    <w:rsid w:val="00DF7766"/>
    <w:rsid w:val="00DF793F"/>
    <w:rsid w:val="00DF7BFF"/>
    <w:rsid w:val="00DF7EDD"/>
    <w:rsid w:val="00DF7FD6"/>
    <w:rsid w:val="00E00025"/>
    <w:rsid w:val="00E000F7"/>
    <w:rsid w:val="00E00163"/>
    <w:rsid w:val="00E00248"/>
    <w:rsid w:val="00E00352"/>
    <w:rsid w:val="00E00616"/>
    <w:rsid w:val="00E0062C"/>
    <w:rsid w:val="00E00844"/>
    <w:rsid w:val="00E009B0"/>
    <w:rsid w:val="00E00AF4"/>
    <w:rsid w:val="00E00B30"/>
    <w:rsid w:val="00E00BA2"/>
    <w:rsid w:val="00E00BED"/>
    <w:rsid w:val="00E00C4B"/>
    <w:rsid w:val="00E00F11"/>
    <w:rsid w:val="00E011E4"/>
    <w:rsid w:val="00E012C2"/>
    <w:rsid w:val="00E0133E"/>
    <w:rsid w:val="00E01453"/>
    <w:rsid w:val="00E0189F"/>
    <w:rsid w:val="00E019E5"/>
    <w:rsid w:val="00E01D16"/>
    <w:rsid w:val="00E01E32"/>
    <w:rsid w:val="00E01E5C"/>
    <w:rsid w:val="00E01F36"/>
    <w:rsid w:val="00E01F80"/>
    <w:rsid w:val="00E01FD4"/>
    <w:rsid w:val="00E021C0"/>
    <w:rsid w:val="00E025E2"/>
    <w:rsid w:val="00E02AD6"/>
    <w:rsid w:val="00E02B53"/>
    <w:rsid w:val="00E02B70"/>
    <w:rsid w:val="00E02C68"/>
    <w:rsid w:val="00E02D48"/>
    <w:rsid w:val="00E02D8A"/>
    <w:rsid w:val="00E02E54"/>
    <w:rsid w:val="00E02E98"/>
    <w:rsid w:val="00E02F9F"/>
    <w:rsid w:val="00E03012"/>
    <w:rsid w:val="00E03217"/>
    <w:rsid w:val="00E03298"/>
    <w:rsid w:val="00E03306"/>
    <w:rsid w:val="00E033A0"/>
    <w:rsid w:val="00E03460"/>
    <w:rsid w:val="00E0366C"/>
    <w:rsid w:val="00E036E3"/>
    <w:rsid w:val="00E037B4"/>
    <w:rsid w:val="00E039C4"/>
    <w:rsid w:val="00E03A51"/>
    <w:rsid w:val="00E03A8C"/>
    <w:rsid w:val="00E03B46"/>
    <w:rsid w:val="00E03DBC"/>
    <w:rsid w:val="00E03DE7"/>
    <w:rsid w:val="00E03E01"/>
    <w:rsid w:val="00E03FBE"/>
    <w:rsid w:val="00E0402F"/>
    <w:rsid w:val="00E04047"/>
    <w:rsid w:val="00E040BE"/>
    <w:rsid w:val="00E040C2"/>
    <w:rsid w:val="00E040CF"/>
    <w:rsid w:val="00E040D1"/>
    <w:rsid w:val="00E04340"/>
    <w:rsid w:val="00E04619"/>
    <w:rsid w:val="00E0468C"/>
    <w:rsid w:val="00E04AD2"/>
    <w:rsid w:val="00E04B4E"/>
    <w:rsid w:val="00E04BB2"/>
    <w:rsid w:val="00E04CB5"/>
    <w:rsid w:val="00E04EB7"/>
    <w:rsid w:val="00E04FBD"/>
    <w:rsid w:val="00E0507B"/>
    <w:rsid w:val="00E050EB"/>
    <w:rsid w:val="00E051A1"/>
    <w:rsid w:val="00E0530C"/>
    <w:rsid w:val="00E05543"/>
    <w:rsid w:val="00E05690"/>
    <w:rsid w:val="00E056ED"/>
    <w:rsid w:val="00E057AA"/>
    <w:rsid w:val="00E05AB8"/>
    <w:rsid w:val="00E05B96"/>
    <w:rsid w:val="00E05C6A"/>
    <w:rsid w:val="00E05D24"/>
    <w:rsid w:val="00E05D93"/>
    <w:rsid w:val="00E05EE2"/>
    <w:rsid w:val="00E05F83"/>
    <w:rsid w:val="00E06046"/>
    <w:rsid w:val="00E06383"/>
    <w:rsid w:val="00E0650D"/>
    <w:rsid w:val="00E0651B"/>
    <w:rsid w:val="00E0655D"/>
    <w:rsid w:val="00E0657C"/>
    <w:rsid w:val="00E06612"/>
    <w:rsid w:val="00E0671C"/>
    <w:rsid w:val="00E06787"/>
    <w:rsid w:val="00E06887"/>
    <w:rsid w:val="00E068B7"/>
    <w:rsid w:val="00E06995"/>
    <w:rsid w:val="00E06ADD"/>
    <w:rsid w:val="00E06B66"/>
    <w:rsid w:val="00E06BD3"/>
    <w:rsid w:val="00E06D27"/>
    <w:rsid w:val="00E06F35"/>
    <w:rsid w:val="00E06FDD"/>
    <w:rsid w:val="00E07074"/>
    <w:rsid w:val="00E070C9"/>
    <w:rsid w:val="00E07138"/>
    <w:rsid w:val="00E0714E"/>
    <w:rsid w:val="00E07287"/>
    <w:rsid w:val="00E072E2"/>
    <w:rsid w:val="00E07853"/>
    <w:rsid w:val="00E0788E"/>
    <w:rsid w:val="00E07922"/>
    <w:rsid w:val="00E1026C"/>
    <w:rsid w:val="00E102D5"/>
    <w:rsid w:val="00E102D6"/>
    <w:rsid w:val="00E10467"/>
    <w:rsid w:val="00E105BB"/>
    <w:rsid w:val="00E10612"/>
    <w:rsid w:val="00E10654"/>
    <w:rsid w:val="00E10923"/>
    <w:rsid w:val="00E10938"/>
    <w:rsid w:val="00E10A48"/>
    <w:rsid w:val="00E10A63"/>
    <w:rsid w:val="00E10C3E"/>
    <w:rsid w:val="00E10C7E"/>
    <w:rsid w:val="00E10D33"/>
    <w:rsid w:val="00E10D89"/>
    <w:rsid w:val="00E10FD5"/>
    <w:rsid w:val="00E11106"/>
    <w:rsid w:val="00E111DA"/>
    <w:rsid w:val="00E11237"/>
    <w:rsid w:val="00E11276"/>
    <w:rsid w:val="00E112F3"/>
    <w:rsid w:val="00E11462"/>
    <w:rsid w:val="00E114C1"/>
    <w:rsid w:val="00E116F1"/>
    <w:rsid w:val="00E11933"/>
    <w:rsid w:val="00E11B9B"/>
    <w:rsid w:val="00E11BC6"/>
    <w:rsid w:val="00E11C4D"/>
    <w:rsid w:val="00E11D90"/>
    <w:rsid w:val="00E11E05"/>
    <w:rsid w:val="00E1203C"/>
    <w:rsid w:val="00E12075"/>
    <w:rsid w:val="00E122D6"/>
    <w:rsid w:val="00E1233D"/>
    <w:rsid w:val="00E12579"/>
    <w:rsid w:val="00E125BC"/>
    <w:rsid w:val="00E12688"/>
    <w:rsid w:val="00E1277B"/>
    <w:rsid w:val="00E12782"/>
    <w:rsid w:val="00E127B4"/>
    <w:rsid w:val="00E12837"/>
    <w:rsid w:val="00E12881"/>
    <w:rsid w:val="00E129E2"/>
    <w:rsid w:val="00E12A0F"/>
    <w:rsid w:val="00E12A3F"/>
    <w:rsid w:val="00E12B37"/>
    <w:rsid w:val="00E12B69"/>
    <w:rsid w:val="00E12B7B"/>
    <w:rsid w:val="00E12C1F"/>
    <w:rsid w:val="00E12C42"/>
    <w:rsid w:val="00E12E26"/>
    <w:rsid w:val="00E12E9B"/>
    <w:rsid w:val="00E12EBD"/>
    <w:rsid w:val="00E12FF0"/>
    <w:rsid w:val="00E1364E"/>
    <w:rsid w:val="00E13704"/>
    <w:rsid w:val="00E137DC"/>
    <w:rsid w:val="00E13825"/>
    <w:rsid w:val="00E13AEB"/>
    <w:rsid w:val="00E13B0A"/>
    <w:rsid w:val="00E13BAA"/>
    <w:rsid w:val="00E13EC4"/>
    <w:rsid w:val="00E13EFF"/>
    <w:rsid w:val="00E13F4B"/>
    <w:rsid w:val="00E13FD2"/>
    <w:rsid w:val="00E14106"/>
    <w:rsid w:val="00E14131"/>
    <w:rsid w:val="00E1413F"/>
    <w:rsid w:val="00E14303"/>
    <w:rsid w:val="00E143A0"/>
    <w:rsid w:val="00E1445B"/>
    <w:rsid w:val="00E1455A"/>
    <w:rsid w:val="00E145E8"/>
    <w:rsid w:val="00E145EF"/>
    <w:rsid w:val="00E147F4"/>
    <w:rsid w:val="00E148CD"/>
    <w:rsid w:val="00E14A99"/>
    <w:rsid w:val="00E14AE7"/>
    <w:rsid w:val="00E14BBF"/>
    <w:rsid w:val="00E14C37"/>
    <w:rsid w:val="00E14CC9"/>
    <w:rsid w:val="00E14E2C"/>
    <w:rsid w:val="00E14F85"/>
    <w:rsid w:val="00E14FEE"/>
    <w:rsid w:val="00E1507B"/>
    <w:rsid w:val="00E1511A"/>
    <w:rsid w:val="00E151BE"/>
    <w:rsid w:val="00E15373"/>
    <w:rsid w:val="00E153F6"/>
    <w:rsid w:val="00E15518"/>
    <w:rsid w:val="00E1559F"/>
    <w:rsid w:val="00E157AA"/>
    <w:rsid w:val="00E158F1"/>
    <w:rsid w:val="00E15B6E"/>
    <w:rsid w:val="00E15CDE"/>
    <w:rsid w:val="00E1607D"/>
    <w:rsid w:val="00E160CB"/>
    <w:rsid w:val="00E1629C"/>
    <w:rsid w:val="00E163AD"/>
    <w:rsid w:val="00E16421"/>
    <w:rsid w:val="00E165CC"/>
    <w:rsid w:val="00E16637"/>
    <w:rsid w:val="00E16764"/>
    <w:rsid w:val="00E167A8"/>
    <w:rsid w:val="00E167BE"/>
    <w:rsid w:val="00E16819"/>
    <w:rsid w:val="00E16906"/>
    <w:rsid w:val="00E16A82"/>
    <w:rsid w:val="00E16A9F"/>
    <w:rsid w:val="00E16EF0"/>
    <w:rsid w:val="00E16F6F"/>
    <w:rsid w:val="00E16F9B"/>
    <w:rsid w:val="00E16FFF"/>
    <w:rsid w:val="00E17076"/>
    <w:rsid w:val="00E17265"/>
    <w:rsid w:val="00E1736D"/>
    <w:rsid w:val="00E1737F"/>
    <w:rsid w:val="00E1741F"/>
    <w:rsid w:val="00E1745E"/>
    <w:rsid w:val="00E1789F"/>
    <w:rsid w:val="00E179C9"/>
    <w:rsid w:val="00E17B4A"/>
    <w:rsid w:val="00E17B97"/>
    <w:rsid w:val="00E17CE2"/>
    <w:rsid w:val="00E17D7F"/>
    <w:rsid w:val="00E17E81"/>
    <w:rsid w:val="00E17F78"/>
    <w:rsid w:val="00E17F9A"/>
    <w:rsid w:val="00E20159"/>
    <w:rsid w:val="00E2030F"/>
    <w:rsid w:val="00E2040F"/>
    <w:rsid w:val="00E20487"/>
    <w:rsid w:val="00E20501"/>
    <w:rsid w:val="00E20563"/>
    <w:rsid w:val="00E205DE"/>
    <w:rsid w:val="00E20763"/>
    <w:rsid w:val="00E2083F"/>
    <w:rsid w:val="00E20856"/>
    <w:rsid w:val="00E208AB"/>
    <w:rsid w:val="00E209C1"/>
    <w:rsid w:val="00E20AA1"/>
    <w:rsid w:val="00E20ACA"/>
    <w:rsid w:val="00E20DC9"/>
    <w:rsid w:val="00E20DCC"/>
    <w:rsid w:val="00E20DD6"/>
    <w:rsid w:val="00E20F5C"/>
    <w:rsid w:val="00E21130"/>
    <w:rsid w:val="00E2163B"/>
    <w:rsid w:val="00E216AD"/>
    <w:rsid w:val="00E219F6"/>
    <w:rsid w:val="00E21AED"/>
    <w:rsid w:val="00E21D33"/>
    <w:rsid w:val="00E21E95"/>
    <w:rsid w:val="00E220CC"/>
    <w:rsid w:val="00E2217F"/>
    <w:rsid w:val="00E22306"/>
    <w:rsid w:val="00E22322"/>
    <w:rsid w:val="00E223F1"/>
    <w:rsid w:val="00E224E3"/>
    <w:rsid w:val="00E2265B"/>
    <w:rsid w:val="00E227B3"/>
    <w:rsid w:val="00E2281E"/>
    <w:rsid w:val="00E2296D"/>
    <w:rsid w:val="00E22A38"/>
    <w:rsid w:val="00E22A40"/>
    <w:rsid w:val="00E22A59"/>
    <w:rsid w:val="00E22A72"/>
    <w:rsid w:val="00E22AB5"/>
    <w:rsid w:val="00E22E42"/>
    <w:rsid w:val="00E22EFC"/>
    <w:rsid w:val="00E22F2B"/>
    <w:rsid w:val="00E23163"/>
    <w:rsid w:val="00E2318F"/>
    <w:rsid w:val="00E231A8"/>
    <w:rsid w:val="00E232AC"/>
    <w:rsid w:val="00E23501"/>
    <w:rsid w:val="00E23CA8"/>
    <w:rsid w:val="00E23D58"/>
    <w:rsid w:val="00E23D91"/>
    <w:rsid w:val="00E23E5F"/>
    <w:rsid w:val="00E240BE"/>
    <w:rsid w:val="00E24209"/>
    <w:rsid w:val="00E2424A"/>
    <w:rsid w:val="00E2457D"/>
    <w:rsid w:val="00E2459E"/>
    <w:rsid w:val="00E245DC"/>
    <w:rsid w:val="00E247F6"/>
    <w:rsid w:val="00E24835"/>
    <w:rsid w:val="00E24BE1"/>
    <w:rsid w:val="00E24F07"/>
    <w:rsid w:val="00E24F7C"/>
    <w:rsid w:val="00E25003"/>
    <w:rsid w:val="00E25078"/>
    <w:rsid w:val="00E25245"/>
    <w:rsid w:val="00E252BB"/>
    <w:rsid w:val="00E25326"/>
    <w:rsid w:val="00E25543"/>
    <w:rsid w:val="00E25578"/>
    <w:rsid w:val="00E25724"/>
    <w:rsid w:val="00E25765"/>
    <w:rsid w:val="00E25784"/>
    <w:rsid w:val="00E257B0"/>
    <w:rsid w:val="00E257C7"/>
    <w:rsid w:val="00E259D5"/>
    <w:rsid w:val="00E25B30"/>
    <w:rsid w:val="00E25CCA"/>
    <w:rsid w:val="00E25D53"/>
    <w:rsid w:val="00E25E5B"/>
    <w:rsid w:val="00E2613B"/>
    <w:rsid w:val="00E2627A"/>
    <w:rsid w:val="00E262F7"/>
    <w:rsid w:val="00E263D3"/>
    <w:rsid w:val="00E263D4"/>
    <w:rsid w:val="00E2648B"/>
    <w:rsid w:val="00E264C2"/>
    <w:rsid w:val="00E26546"/>
    <w:rsid w:val="00E26979"/>
    <w:rsid w:val="00E26A60"/>
    <w:rsid w:val="00E26C05"/>
    <w:rsid w:val="00E26C90"/>
    <w:rsid w:val="00E26CD0"/>
    <w:rsid w:val="00E26D08"/>
    <w:rsid w:val="00E26D0D"/>
    <w:rsid w:val="00E26D38"/>
    <w:rsid w:val="00E26ECC"/>
    <w:rsid w:val="00E270A4"/>
    <w:rsid w:val="00E27295"/>
    <w:rsid w:val="00E2731D"/>
    <w:rsid w:val="00E27530"/>
    <w:rsid w:val="00E27536"/>
    <w:rsid w:val="00E276D3"/>
    <w:rsid w:val="00E27706"/>
    <w:rsid w:val="00E278EA"/>
    <w:rsid w:val="00E27A9F"/>
    <w:rsid w:val="00E27C27"/>
    <w:rsid w:val="00E27F7E"/>
    <w:rsid w:val="00E27FB1"/>
    <w:rsid w:val="00E3041D"/>
    <w:rsid w:val="00E30473"/>
    <w:rsid w:val="00E3055E"/>
    <w:rsid w:val="00E305F4"/>
    <w:rsid w:val="00E3068C"/>
    <w:rsid w:val="00E306B8"/>
    <w:rsid w:val="00E3079F"/>
    <w:rsid w:val="00E30BB7"/>
    <w:rsid w:val="00E30BB9"/>
    <w:rsid w:val="00E30BD9"/>
    <w:rsid w:val="00E30C7B"/>
    <w:rsid w:val="00E30EAB"/>
    <w:rsid w:val="00E30EBE"/>
    <w:rsid w:val="00E31493"/>
    <w:rsid w:val="00E314A5"/>
    <w:rsid w:val="00E31542"/>
    <w:rsid w:val="00E316B9"/>
    <w:rsid w:val="00E316E8"/>
    <w:rsid w:val="00E317B5"/>
    <w:rsid w:val="00E3182D"/>
    <w:rsid w:val="00E3185F"/>
    <w:rsid w:val="00E318BA"/>
    <w:rsid w:val="00E318C5"/>
    <w:rsid w:val="00E3190B"/>
    <w:rsid w:val="00E31910"/>
    <w:rsid w:val="00E3198B"/>
    <w:rsid w:val="00E3198F"/>
    <w:rsid w:val="00E31B4A"/>
    <w:rsid w:val="00E31BA7"/>
    <w:rsid w:val="00E31E03"/>
    <w:rsid w:val="00E320DB"/>
    <w:rsid w:val="00E321BD"/>
    <w:rsid w:val="00E32267"/>
    <w:rsid w:val="00E32314"/>
    <w:rsid w:val="00E324DD"/>
    <w:rsid w:val="00E32545"/>
    <w:rsid w:val="00E32610"/>
    <w:rsid w:val="00E3274B"/>
    <w:rsid w:val="00E32756"/>
    <w:rsid w:val="00E327C1"/>
    <w:rsid w:val="00E32969"/>
    <w:rsid w:val="00E329B6"/>
    <w:rsid w:val="00E329C7"/>
    <w:rsid w:val="00E32C13"/>
    <w:rsid w:val="00E32CBF"/>
    <w:rsid w:val="00E32CEB"/>
    <w:rsid w:val="00E32D5D"/>
    <w:rsid w:val="00E32D64"/>
    <w:rsid w:val="00E32E08"/>
    <w:rsid w:val="00E32F18"/>
    <w:rsid w:val="00E32F5A"/>
    <w:rsid w:val="00E32FB2"/>
    <w:rsid w:val="00E33230"/>
    <w:rsid w:val="00E33315"/>
    <w:rsid w:val="00E334AE"/>
    <w:rsid w:val="00E334DD"/>
    <w:rsid w:val="00E33543"/>
    <w:rsid w:val="00E33681"/>
    <w:rsid w:val="00E33A83"/>
    <w:rsid w:val="00E33B17"/>
    <w:rsid w:val="00E33C92"/>
    <w:rsid w:val="00E33C93"/>
    <w:rsid w:val="00E33E79"/>
    <w:rsid w:val="00E340AE"/>
    <w:rsid w:val="00E34132"/>
    <w:rsid w:val="00E34146"/>
    <w:rsid w:val="00E341DF"/>
    <w:rsid w:val="00E3427A"/>
    <w:rsid w:val="00E343C8"/>
    <w:rsid w:val="00E34842"/>
    <w:rsid w:val="00E348BD"/>
    <w:rsid w:val="00E3499B"/>
    <w:rsid w:val="00E349EF"/>
    <w:rsid w:val="00E349F4"/>
    <w:rsid w:val="00E34C56"/>
    <w:rsid w:val="00E34DF4"/>
    <w:rsid w:val="00E35050"/>
    <w:rsid w:val="00E3516D"/>
    <w:rsid w:val="00E35237"/>
    <w:rsid w:val="00E355C9"/>
    <w:rsid w:val="00E3582F"/>
    <w:rsid w:val="00E358E1"/>
    <w:rsid w:val="00E35A27"/>
    <w:rsid w:val="00E35B02"/>
    <w:rsid w:val="00E35D5B"/>
    <w:rsid w:val="00E35F01"/>
    <w:rsid w:val="00E360EC"/>
    <w:rsid w:val="00E3618E"/>
    <w:rsid w:val="00E36250"/>
    <w:rsid w:val="00E364A7"/>
    <w:rsid w:val="00E3657D"/>
    <w:rsid w:val="00E366CE"/>
    <w:rsid w:val="00E366F8"/>
    <w:rsid w:val="00E36725"/>
    <w:rsid w:val="00E3691A"/>
    <w:rsid w:val="00E36B1C"/>
    <w:rsid w:val="00E36D36"/>
    <w:rsid w:val="00E36D37"/>
    <w:rsid w:val="00E36D90"/>
    <w:rsid w:val="00E36DF1"/>
    <w:rsid w:val="00E36E8C"/>
    <w:rsid w:val="00E36F47"/>
    <w:rsid w:val="00E3729A"/>
    <w:rsid w:val="00E373BF"/>
    <w:rsid w:val="00E37738"/>
    <w:rsid w:val="00E37762"/>
    <w:rsid w:val="00E3790E"/>
    <w:rsid w:val="00E37B6E"/>
    <w:rsid w:val="00E37BD4"/>
    <w:rsid w:val="00E37D58"/>
    <w:rsid w:val="00E37D6A"/>
    <w:rsid w:val="00E37DFC"/>
    <w:rsid w:val="00E37F46"/>
    <w:rsid w:val="00E3BDC9"/>
    <w:rsid w:val="00E40378"/>
    <w:rsid w:val="00E403B5"/>
    <w:rsid w:val="00E404D9"/>
    <w:rsid w:val="00E40635"/>
    <w:rsid w:val="00E40696"/>
    <w:rsid w:val="00E40783"/>
    <w:rsid w:val="00E408A5"/>
    <w:rsid w:val="00E4093F"/>
    <w:rsid w:val="00E40C7E"/>
    <w:rsid w:val="00E40CA8"/>
    <w:rsid w:val="00E40F72"/>
    <w:rsid w:val="00E41185"/>
    <w:rsid w:val="00E41357"/>
    <w:rsid w:val="00E414CD"/>
    <w:rsid w:val="00E4157A"/>
    <w:rsid w:val="00E4159B"/>
    <w:rsid w:val="00E41822"/>
    <w:rsid w:val="00E41825"/>
    <w:rsid w:val="00E41844"/>
    <w:rsid w:val="00E41AF6"/>
    <w:rsid w:val="00E41B44"/>
    <w:rsid w:val="00E41B6E"/>
    <w:rsid w:val="00E41E64"/>
    <w:rsid w:val="00E420F7"/>
    <w:rsid w:val="00E42182"/>
    <w:rsid w:val="00E42383"/>
    <w:rsid w:val="00E423C8"/>
    <w:rsid w:val="00E4240A"/>
    <w:rsid w:val="00E42608"/>
    <w:rsid w:val="00E42664"/>
    <w:rsid w:val="00E426F6"/>
    <w:rsid w:val="00E427EB"/>
    <w:rsid w:val="00E42810"/>
    <w:rsid w:val="00E42917"/>
    <w:rsid w:val="00E42927"/>
    <w:rsid w:val="00E4297A"/>
    <w:rsid w:val="00E429CD"/>
    <w:rsid w:val="00E42A6B"/>
    <w:rsid w:val="00E42B2C"/>
    <w:rsid w:val="00E42BA5"/>
    <w:rsid w:val="00E42BBF"/>
    <w:rsid w:val="00E42FF3"/>
    <w:rsid w:val="00E4306D"/>
    <w:rsid w:val="00E430BE"/>
    <w:rsid w:val="00E4353F"/>
    <w:rsid w:val="00E43597"/>
    <w:rsid w:val="00E435F6"/>
    <w:rsid w:val="00E43958"/>
    <w:rsid w:val="00E43A3E"/>
    <w:rsid w:val="00E43A4B"/>
    <w:rsid w:val="00E43BC2"/>
    <w:rsid w:val="00E43E5C"/>
    <w:rsid w:val="00E43EB4"/>
    <w:rsid w:val="00E43F7A"/>
    <w:rsid w:val="00E4400C"/>
    <w:rsid w:val="00E44025"/>
    <w:rsid w:val="00E44041"/>
    <w:rsid w:val="00E44065"/>
    <w:rsid w:val="00E44196"/>
    <w:rsid w:val="00E441F6"/>
    <w:rsid w:val="00E44254"/>
    <w:rsid w:val="00E442D5"/>
    <w:rsid w:val="00E44468"/>
    <w:rsid w:val="00E44593"/>
    <w:rsid w:val="00E4462E"/>
    <w:rsid w:val="00E44B20"/>
    <w:rsid w:val="00E44B40"/>
    <w:rsid w:val="00E44DE3"/>
    <w:rsid w:val="00E4506B"/>
    <w:rsid w:val="00E451DA"/>
    <w:rsid w:val="00E452F0"/>
    <w:rsid w:val="00E45488"/>
    <w:rsid w:val="00E45509"/>
    <w:rsid w:val="00E4555C"/>
    <w:rsid w:val="00E45586"/>
    <w:rsid w:val="00E4559C"/>
    <w:rsid w:val="00E45667"/>
    <w:rsid w:val="00E4578B"/>
    <w:rsid w:val="00E45833"/>
    <w:rsid w:val="00E45857"/>
    <w:rsid w:val="00E45878"/>
    <w:rsid w:val="00E45A11"/>
    <w:rsid w:val="00E45B8D"/>
    <w:rsid w:val="00E45C41"/>
    <w:rsid w:val="00E460C1"/>
    <w:rsid w:val="00E460F7"/>
    <w:rsid w:val="00E4621B"/>
    <w:rsid w:val="00E462A1"/>
    <w:rsid w:val="00E462AA"/>
    <w:rsid w:val="00E46334"/>
    <w:rsid w:val="00E4674E"/>
    <w:rsid w:val="00E4698A"/>
    <w:rsid w:val="00E469CA"/>
    <w:rsid w:val="00E46A42"/>
    <w:rsid w:val="00E46A53"/>
    <w:rsid w:val="00E46AC7"/>
    <w:rsid w:val="00E46E1B"/>
    <w:rsid w:val="00E46EDA"/>
    <w:rsid w:val="00E46F3A"/>
    <w:rsid w:val="00E4744D"/>
    <w:rsid w:val="00E474F2"/>
    <w:rsid w:val="00E474F9"/>
    <w:rsid w:val="00E475AA"/>
    <w:rsid w:val="00E479C2"/>
    <w:rsid w:val="00E47CE9"/>
    <w:rsid w:val="00E47D51"/>
    <w:rsid w:val="00E47DE6"/>
    <w:rsid w:val="00E47F5F"/>
    <w:rsid w:val="00E47FB3"/>
    <w:rsid w:val="00E47FD7"/>
    <w:rsid w:val="00E500C2"/>
    <w:rsid w:val="00E50172"/>
    <w:rsid w:val="00E5029A"/>
    <w:rsid w:val="00E5051E"/>
    <w:rsid w:val="00E50988"/>
    <w:rsid w:val="00E509EE"/>
    <w:rsid w:val="00E50BB4"/>
    <w:rsid w:val="00E50BD7"/>
    <w:rsid w:val="00E50BDC"/>
    <w:rsid w:val="00E50D2A"/>
    <w:rsid w:val="00E50EB6"/>
    <w:rsid w:val="00E50F0E"/>
    <w:rsid w:val="00E50F64"/>
    <w:rsid w:val="00E510BB"/>
    <w:rsid w:val="00E51112"/>
    <w:rsid w:val="00E5134B"/>
    <w:rsid w:val="00E5137F"/>
    <w:rsid w:val="00E514F4"/>
    <w:rsid w:val="00E519D1"/>
    <w:rsid w:val="00E51C18"/>
    <w:rsid w:val="00E51C52"/>
    <w:rsid w:val="00E51CC3"/>
    <w:rsid w:val="00E51D87"/>
    <w:rsid w:val="00E51D9E"/>
    <w:rsid w:val="00E51E3B"/>
    <w:rsid w:val="00E51EA7"/>
    <w:rsid w:val="00E52289"/>
    <w:rsid w:val="00E5232D"/>
    <w:rsid w:val="00E52614"/>
    <w:rsid w:val="00E5265E"/>
    <w:rsid w:val="00E529B4"/>
    <w:rsid w:val="00E52A38"/>
    <w:rsid w:val="00E52B0C"/>
    <w:rsid w:val="00E52BA6"/>
    <w:rsid w:val="00E52C80"/>
    <w:rsid w:val="00E52CE0"/>
    <w:rsid w:val="00E52DE9"/>
    <w:rsid w:val="00E52E30"/>
    <w:rsid w:val="00E52F6B"/>
    <w:rsid w:val="00E52F6C"/>
    <w:rsid w:val="00E530B8"/>
    <w:rsid w:val="00E53110"/>
    <w:rsid w:val="00E5315D"/>
    <w:rsid w:val="00E5324D"/>
    <w:rsid w:val="00E5324F"/>
    <w:rsid w:val="00E53545"/>
    <w:rsid w:val="00E536A2"/>
    <w:rsid w:val="00E536C1"/>
    <w:rsid w:val="00E536E0"/>
    <w:rsid w:val="00E53847"/>
    <w:rsid w:val="00E5399C"/>
    <w:rsid w:val="00E53AEA"/>
    <w:rsid w:val="00E53CB6"/>
    <w:rsid w:val="00E53D5E"/>
    <w:rsid w:val="00E53E13"/>
    <w:rsid w:val="00E53E46"/>
    <w:rsid w:val="00E53F21"/>
    <w:rsid w:val="00E5414B"/>
    <w:rsid w:val="00E5415F"/>
    <w:rsid w:val="00E5426D"/>
    <w:rsid w:val="00E5430B"/>
    <w:rsid w:val="00E5430E"/>
    <w:rsid w:val="00E54414"/>
    <w:rsid w:val="00E54729"/>
    <w:rsid w:val="00E5479B"/>
    <w:rsid w:val="00E54AAA"/>
    <w:rsid w:val="00E54C11"/>
    <w:rsid w:val="00E54D2C"/>
    <w:rsid w:val="00E54DB0"/>
    <w:rsid w:val="00E54E8C"/>
    <w:rsid w:val="00E54F8D"/>
    <w:rsid w:val="00E55071"/>
    <w:rsid w:val="00E550F4"/>
    <w:rsid w:val="00E55105"/>
    <w:rsid w:val="00E5520D"/>
    <w:rsid w:val="00E5524B"/>
    <w:rsid w:val="00E55296"/>
    <w:rsid w:val="00E553DB"/>
    <w:rsid w:val="00E55495"/>
    <w:rsid w:val="00E55558"/>
    <w:rsid w:val="00E5562A"/>
    <w:rsid w:val="00E5563A"/>
    <w:rsid w:val="00E5578E"/>
    <w:rsid w:val="00E55A37"/>
    <w:rsid w:val="00E55B09"/>
    <w:rsid w:val="00E55C5B"/>
    <w:rsid w:val="00E55D1A"/>
    <w:rsid w:val="00E55D4F"/>
    <w:rsid w:val="00E56042"/>
    <w:rsid w:val="00E5612B"/>
    <w:rsid w:val="00E56298"/>
    <w:rsid w:val="00E56473"/>
    <w:rsid w:val="00E56588"/>
    <w:rsid w:val="00E5668A"/>
    <w:rsid w:val="00E56701"/>
    <w:rsid w:val="00E56774"/>
    <w:rsid w:val="00E5688F"/>
    <w:rsid w:val="00E56948"/>
    <w:rsid w:val="00E56AFB"/>
    <w:rsid w:val="00E56DDE"/>
    <w:rsid w:val="00E56E36"/>
    <w:rsid w:val="00E571E3"/>
    <w:rsid w:val="00E5731A"/>
    <w:rsid w:val="00E57485"/>
    <w:rsid w:val="00E57523"/>
    <w:rsid w:val="00E57544"/>
    <w:rsid w:val="00E57598"/>
    <w:rsid w:val="00E5783F"/>
    <w:rsid w:val="00E57851"/>
    <w:rsid w:val="00E57863"/>
    <w:rsid w:val="00E57898"/>
    <w:rsid w:val="00E57961"/>
    <w:rsid w:val="00E57B0C"/>
    <w:rsid w:val="00E57C45"/>
    <w:rsid w:val="00E57CFF"/>
    <w:rsid w:val="00E57EE9"/>
    <w:rsid w:val="00E57F95"/>
    <w:rsid w:val="00E6002D"/>
    <w:rsid w:val="00E60193"/>
    <w:rsid w:val="00E601BE"/>
    <w:rsid w:val="00E6020A"/>
    <w:rsid w:val="00E60235"/>
    <w:rsid w:val="00E6031A"/>
    <w:rsid w:val="00E60552"/>
    <w:rsid w:val="00E6059D"/>
    <w:rsid w:val="00E60620"/>
    <w:rsid w:val="00E60734"/>
    <w:rsid w:val="00E60820"/>
    <w:rsid w:val="00E60A08"/>
    <w:rsid w:val="00E60AA1"/>
    <w:rsid w:val="00E60B22"/>
    <w:rsid w:val="00E60D5D"/>
    <w:rsid w:val="00E60FC1"/>
    <w:rsid w:val="00E6108B"/>
    <w:rsid w:val="00E61091"/>
    <w:rsid w:val="00E61119"/>
    <w:rsid w:val="00E61254"/>
    <w:rsid w:val="00E61300"/>
    <w:rsid w:val="00E614AA"/>
    <w:rsid w:val="00E61557"/>
    <w:rsid w:val="00E6160C"/>
    <w:rsid w:val="00E61639"/>
    <w:rsid w:val="00E616A7"/>
    <w:rsid w:val="00E617EA"/>
    <w:rsid w:val="00E619D4"/>
    <w:rsid w:val="00E61AAC"/>
    <w:rsid w:val="00E61ADA"/>
    <w:rsid w:val="00E61F63"/>
    <w:rsid w:val="00E62095"/>
    <w:rsid w:val="00E620A2"/>
    <w:rsid w:val="00E620F6"/>
    <w:rsid w:val="00E6219D"/>
    <w:rsid w:val="00E622A6"/>
    <w:rsid w:val="00E62560"/>
    <w:rsid w:val="00E62676"/>
    <w:rsid w:val="00E62747"/>
    <w:rsid w:val="00E629EE"/>
    <w:rsid w:val="00E62D99"/>
    <w:rsid w:val="00E62FB3"/>
    <w:rsid w:val="00E62FE7"/>
    <w:rsid w:val="00E631B2"/>
    <w:rsid w:val="00E631C1"/>
    <w:rsid w:val="00E632F1"/>
    <w:rsid w:val="00E63396"/>
    <w:rsid w:val="00E633AC"/>
    <w:rsid w:val="00E634E0"/>
    <w:rsid w:val="00E6350D"/>
    <w:rsid w:val="00E63598"/>
    <w:rsid w:val="00E636B8"/>
    <w:rsid w:val="00E63716"/>
    <w:rsid w:val="00E63720"/>
    <w:rsid w:val="00E637C8"/>
    <w:rsid w:val="00E637CF"/>
    <w:rsid w:val="00E63847"/>
    <w:rsid w:val="00E63979"/>
    <w:rsid w:val="00E639CA"/>
    <w:rsid w:val="00E63B4F"/>
    <w:rsid w:val="00E63BD9"/>
    <w:rsid w:val="00E63CE7"/>
    <w:rsid w:val="00E63DAF"/>
    <w:rsid w:val="00E63DF3"/>
    <w:rsid w:val="00E63FF3"/>
    <w:rsid w:val="00E64049"/>
    <w:rsid w:val="00E64104"/>
    <w:rsid w:val="00E64435"/>
    <w:rsid w:val="00E645D3"/>
    <w:rsid w:val="00E647AC"/>
    <w:rsid w:val="00E64801"/>
    <w:rsid w:val="00E64992"/>
    <w:rsid w:val="00E64AF9"/>
    <w:rsid w:val="00E64B54"/>
    <w:rsid w:val="00E64B5A"/>
    <w:rsid w:val="00E64BF9"/>
    <w:rsid w:val="00E64D4D"/>
    <w:rsid w:val="00E64DAD"/>
    <w:rsid w:val="00E64F74"/>
    <w:rsid w:val="00E64FE0"/>
    <w:rsid w:val="00E6511D"/>
    <w:rsid w:val="00E6514A"/>
    <w:rsid w:val="00E6524E"/>
    <w:rsid w:val="00E65263"/>
    <w:rsid w:val="00E65282"/>
    <w:rsid w:val="00E652E1"/>
    <w:rsid w:val="00E65341"/>
    <w:rsid w:val="00E6551C"/>
    <w:rsid w:val="00E6551E"/>
    <w:rsid w:val="00E65531"/>
    <w:rsid w:val="00E6555C"/>
    <w:rsid w:val="00E655E7"/>
    <w:rsid w:val="00E65714"/>
    <w:rsid w:val="00E65741"/>
    <w:rsid w:val="00E65755"/>
    <w:rsid w:val="00E6576A"/>
    <w:rsid w:val="00E65838"/>
    <w:rsid w:val="00E65A31"/>
    <w:rsid w:val="00E65D22"/>
    <w:rsid w:val="00E65DEA"/>
    <w:rsid w:val="00E65E11"/>
    <w:rsid w:val="00E65F52"/>
    <w:rsid w:val="00E65FE3"/>
    <w:rsid w:val="00E663CB"/>
    <w:rsid w:val="00E6641C"/>
    <w:rsid w:val="00E66496"/>
    <w:rsid w:val="00E664BF"/>
    <w:rsid w:val="00E664E8"/>
    <w:rsid w:val="00E665E4"/>
    <w:rsid w:val="00E66748"/>
    <w:rsid w:val="00E667AD"/>
    <w:rsid w:val="00E667E4"/>
    <w:rsid w:val="00E66811"/>
    <w:rsid w:val="00E668BF"/>
    <w:rsid w:val="00E668D5"/>
    <w:rsid w:val="00E6696C"/>
    <w:rsid w:val="00E66B3E"/>
    <w:rsid w:val="00E66E44"/>
    <w:rsid w:val="00E66FAC"/>
    <w:rsid w:val="00E67033"/>
    <w:rsid w:val="00E670B7"/>
    <w:rsid w:val="00E672CB"/>
    <w:rsid w:val="00E67471"/>
    <w:rsid w:val="00E67533"/>
    <w:rsid w:val="00E675E2"/>
    <w:rsid w:val="00E6761A"/>
    <w:rsid w:val="00E676E0"/>
    <w:rsid w:val="00E677AD"/>
    <w:rsid w:val="00E6784E"/>
    <w:rsid w:val="00E67857"/>
    <w:rsid w:val="00E67A98"/>
    <w:rsid w:val="00E67AB6"/>
    <w:rsid w:val="00E67AF0"/>
    <w:rsid w:val="00E67C11"/>
    <w:rsid w:val="00E67C61"/>
    <w:rsid w:val="00E67C6E"/>
    <w:rsid w:val="00E67E98"/>
    <w:rsid w:val="00E67F0C"/>
    <w:rsid w:val="00E67F34"/>
    <w:rsid w:val="00E70157"/>
    <w:rsid w:val="00E7018E"/>
    <w:rsid w:val="00E701C8"/>
    <w:rsid w:val="00E701F7"/>
    <w:rsid w:val="00E70207"/>
    <w:rsid w:val="00E7025E"/>
    <w:rsid w:val="00E703C3"/>
    <w:rsid w:val="00E7066D"/>
    <w:rsid w:val="00E70771"/>
    <w:rsid w:val="00E70924"/>
    <w:rsid w:val="00E70A76"/>
    <w:rsid w:val="00E70C97"/>
    <w:rsid w:val="00E70F3B"/>
    <w:rsid w:val="00E70F9F"/>
    <w:rsid w:val="00E71044"/>
    <w:rsid w:val="00E7105C"/>
    <w:rsid w:val="00E710C2"/>
    <w:rsid w:val="00E71135"/>
    <w:rsid w:val="00E71217"/>
    <w:rsid w:val="00E7122B"/>
    <w:rsid w:val="00E71317"/>
    <w:rsid w:val="00E713DE"/>
    <w:rsid w:val="00E714C9"/>
    <w:rsid w:val="00E7180A"/>
    <w:rsid w:val="00E7184C"/>
    <w:rsid w:val="00E71873"/>
    <w:rsid w:val="00E71A15"/>
    <w:rsid w:val="00E71A71"/>
    <w:rsid w:val="00E72059"/>
    <w:rsid w:val="00E72180"/>
    <w:rsid w:val="00E72204"/>
    <w:rsid w:val="00E722CA"/>
    <w:rsid w:val="00E7246E"/>
    <w:rsid w:val="00E724CB"/>
    <w:rsid w:val="00E72535"/>
    <w:rsid w:val="00E7255F"/>
    <w:rsid w:val="00E72815"/>
    <w:rsid w:val="00E72899"/>
    <w:rsid w:val="00E728E2"/>
    <w:rsid w:val="00E7299B"/>
    <w:rsid w:val="00E7299E"/>
    <w:rsid w:val="00E72B22"/>
    <w:rsid w:val="00E72EFB"/>
    <w:rsid w:val="00E7310E"/>
    <w:rsid w:val="00E734D0"/>
    <w:rsid w:val="00E734F3"/>
    <w:rsid w:val="00E7363B"/>
    <w:rsid w:val="00E7382B"/>
    <w:rsid w:val="00E738EA"/>
    <w:rsid w:val="00E73A4E"/>
    <w:rsid w:val="00E73B9E"/>
    <w:rsid w:val="00E73CFC"/>
    <w:rsid w:val="00E73D97"/>
    <w:rsid w:val="00E73DA5"/>
    <w:rsid w:val="00E73EA6"/>
    <w:rsid w:val="00E74120"/>
    <w:rsid w:val="00E742B2"/>
    <w:rsid w:val="00E742B4"/>
    <w:rsid w:val="00E743C4"/>
    <w:rsid w:val="00E74413"/>
    <w:rsid w:val="00E744D0"/>
    <w:rsid w:val="00E74638"/>
    <w:rsid w:val="00E74651"/>
    <w:rsid w:val="00E748D9"/>
    <w:rsid w:val="00E74AC9"/>
    <w:rsid w:val="00E74BF1"/>
    <w:rsid w:val="00E74D1D"/>
    <w:rsid w:val="00E74D3D"/>
    <w:rsid w:val="00E74DD4"/>
    <w:rsid w:val="00E74E3B"/>
    <w:rsid w:val="00E74E6F"/>
    <w:rsid w:val="00E750C7"/>
    <w:rsid w:val="00E7553A"/>
    <w:rsid w:val="00E7558F"/>
    <w:rsid w:val="00E756D1"/>
    <w:rsid w:val="00E75797"/>
    <w:rsid w:val="00E7580B"/>
    <w:rsid w:val="00E758F1"/>
    <w:rsid w:val="00E75941"/>
    <w:rsid w:val="00E75A4A"/>
    <w:rsid w:val="00E75B0B"/>
    <w:rsid w:val="00E75B27"/>
    <w:rsid w:val="00E75B95"/>
    <w:rsid w:val="00E7611A"/>
    <w:rsid w:val="00E7624B"/>
    <w:rsid w:val="00E76406"/>
    <w:rsid w:val="00E765A8"/>
    <w:rsid w:val="00E7673A"/>
    <w:rsid w:val="00E76A75"/>
    <w:rsid w:val="00E76AB5"/>
    <w:rsid w:val="00E76B59"/>
    <w:rsid w:val="00E76C1B"/>
    <w:rsid w:val="00E76C25"/>
    <w:rsid w:val="00E76C82"/>
    <w:rsid w:val="00E76E37"/>
    <w:rsid w:val="00E76F12"/>
    <w:rsid w:val="00E76F33"/>
    <w:rsid w:val="00E77182"/>
    <w:rsid w:val="00E771C1"/>
    <w:rsid w:val="00E77398"/>
    <w:rsid w:val="00E77447"/>
    <w:rsid w:val="00E774F5"/>
    <w:rsid w:val="00E7753C"/>
    <w:rsid w:val="00E77582"/>
    <w:rsid w:val="00E776DD"/>
    <w:rsid w:val="00E776F0"/>
    <w:rsid w:val="00E77932"/>
    <w:rsid w:val="00E77A65"/>
    <w:rsid w:val="00E77A70"/>
    <w:rsid w:val="00E77D09"/>
    <w:rsid w:val="00E77E1D"/>
    <w:rsid w:val="00E77E28"/>
    <w:rsid w:val="00E77E38"/>
    <w:rsid w:val="00E77F4D"/>
    <w:rsid w:val="00E80182"/>
    <w:rsid w:val="00E801A5"/>
    <w:rsid w:val="00E80280"/>
    <w:rsid w:val="00E80514"/>
    <w:rsid w:val="00E807F2"/>
    <w:rsid w:val="00E80833"/>
    <w:rsid w:val="00E808FA"/>
    <w:rsid w:val="00E809B2"/>
    <w:rsid w:val="00E80B87"/>
    <w:rsid w:val="00E80C40"/>
    <w:rsid w:val="00E80D7C"/>
    <w:rsid w:val="00E80D88"/>
    <w:rsid w:val="00E81227"/>
    <w:rsid w:val="00E813C3"/>
    <w:rsid w:val="00E814B3"/>
    <w:rsid w:val="00E816DC"/>
    <w:rsid w:val="00E81778"/>
    <w:rsid w:val="00E818D3"/>
    <w:rsid w:val="00E8191C"/>
    <w:rsid w:val="00E81ABC"/>
    <w:rsid w:val="00E81D2D"/>
    <w:rsid w:val="00E82297"/>
    <w:rsid w:val="00E8231C"/>
    <w:rsid w:val="00E8233F"/>
    <w:rsid w:val="00E82399"/>
    <w:rsid w:val="00E827DA"/>
    <w:rsid w:val="00E8295A"/>
    <w:rsid w:val="00E82ACB"/>
    <w:rsid w:val="00E82ACC"/>
    <w:rsid w:val="00E82B6C"/>
    <w:rsid w:val="00E82D74"/>
    <w:rsid w:val="00E82F44"/>
    <w:rsid w:val="00E8336E"/>
    <w:rsid w:val="00E83418"/>
    <w:rsid w:val="00E8347A"/>
    <w:rsid w:val="00E83556"/>
    <w:rsid w:val="00E835B1"/>
    <w:rsid w:val="00E835E3"/>
    <w:rsid w:val="00E83641"/>
    <w:rsid w:val="00E836E4"/>
    <w:rsid w:val="00E83B6C"/>
    <w:rsid w:val="00E83C14"/>
    <w:rsid w:val="00E83C62"/>
    <w:rsid w:val="00E83DF4"/>
    <w:rsid w:val="00E83ECD"/>
    <w:rsid w:val="00E83FD2"/>
    <w:rsid w:val="00E84022"/>
    <w:rsid w:val="00E841FC"/>
    <w:rsid w:val="00E84213"/>
    <w:rsid w:val="00E843A0"/>
    <w:rsid w:val="00E84426"/>
    <w:rsid w:val="00E844B2"/>
    <w:rsid w:val="00E847B7"/>
    <w:rsid w:val="00E84A44"/>
    <w:rsid w:val="00E84A65"/>
    <w:rsid w:val="00E84A92"/>
    <w:rsid w:val="00E84AC0"/>
    <w:rsid w:val="00E84C64"/>
    <w:rsid w:val="00E84CB5"/>
    <w:rsid w:val="00E84CE3"/>
    <w:rsid w:val="00E84D77"/>
    <w:rsid w:val="00E85029"/>
    <w:rsid w:val="00E85324"/>
    <w:rsid w:val="00E8541C"/>
    <w:rsid w:val="00E85642"/>
    <w:rsid w:val="00E8567B"/>
    <w:rsid w:val="00E85A28"/>
    <w:rsid w:val="00E85A4D"/>
    <w:rsid w:val="00E85E74"/>
    <w:rsid w:val="00E85ED4"/>
    <w:rsid w:val="00E85F02"/>
    <w:rsid w:val="00E85F63"/>
    <w:rsid w:val="00E8627B"/>
    <w:rsid w:val="00E8641D"/>
    <w:rsid w:val="00E86538"/>
    <w:rsid w:val="00E86714"/>
    <w:rsid w:val="00E867C5"/>
    <w:rsid w:val="00E867DC"/>
    <w:rsid w:val="00E868B0"/>
    <w:rsid w:val="00E86944"/>
    <w:rsid w:val="00E8695A"/>
    <w:rsid w:val="00E869AA"/>
    <w:rsid w:val="00E86DBA"/>
    <w:rsid w:val="00E86F6F"/>
    <w:rsid w:val="00E86FD6"/>
    <w:rsid w:val="00E87179"/>
    <w:rsid w:val="00E871D9"/>
    <w:rsid w:val="00E87333"/>
    <w:rsid w:val="00E87429"/>
    <w:rsid w:val="00E87595"/>
    <w:rsid w:val="00E87930"/>
    <w:rsid w:val="00E87938"/>
    <w:rsid w:val="00E8797D"/>
    <w:rsid w:val="00E87992"/>
    <w:rsid w:val="00E879C3"/>
    <w:rsid w:val="00E879CC"/>
    <w:rsid w:val="00E87A15"/>
    <w:rsid w:val="00E87B2D"/>
    <w:rsid w:val="00E87B81"/>
    <w:rsid w:val="00E87D87"/>
    <w:rsid w:val="00E87EFC"/>
    <w:rsid w:val="00E87F51"/>
    <w:rsid w:val="00E90000"/>
    <w:rsid w:val="00E90029"/>
    <w:rsid w:val="00E9004C"/>
    <w:rsid w:val="00E901CA"/>
    <w:rsid w:val="00E90284"/>
    <w:rsid w:val="00E90404"/>
    <w:rsid w:val="00E905E0"/>
    <w:rsid w:val="00E9068E"/>
    <w:rsid w:val="00E90766"/>
    <w:rsid w:val="00E90A16"/>
    <w:rsid w:val="00E90BDB"/>
    <w:rsid w:val="00E90CC1"/>
    <w:rsid w:val="00E91368"/>
    <w:rsid w:val="00E9136C"/>
    <w:rsid w:val="00E91382"/>
    <w:rsid w:val="00E91567"/>
    <w:rsid w:val="00E916CE"/>
    <w:rsid w:val="00E9192B"/>
    <w:rsid w:val="00E91965"/>
    <w:rsid w:val="00E91A70"/>
    <w:rsid w:val="00E91C86"/>
    <w:rsid w:val="00E91D5C"/>
    <w:rsid w:val="00E91E6C"/>
    <w:rsid w:val="00E91FF8"/>
    <w:rsid w:val="00E92077"/>
    <w:rsid w:val="00E92228"/>
    <w:rsid w:val="00E9229E"/>
    <w:rsid w:val="00E922BE"/>
    <w:rsid w:val="00E92309"/>
    <w:rsid w:val="00E923C3"/>
    <w:rsid w:val="00E923F8"/>
    <w:rsid w:val="00E9283A"/>
    <w:rsid w:val="00E9288F"/>
    <w:rsid w:val="00E928A5"/>
    <w:rsid w:val="00E92961"/>
    <w:rsid w:val="00E929DD"/>
    <w:rsid w:val="00E92AFB"/>
    <w:rsid w:val="00E92B6A"/>
    <w:rsid w:val="00E92D03"/>
    <w:rsid w:val="00E92D4D"/>
    <w:rsid w:val="00E92D61"/>
    <w:rsid w:val="00E92F18"/>
    <w:rsid w:val="00E93065"/>
    <w:rsid w:val="00E9315D"/>
    <w:rsid w:val="00E9329F"/>
    <w:rsid w:val="00E934CF"/>
    <w:rsid w:val="00E93653"/>
    <w:rsid w:val="00E93878"/>
    <w:rsid w:val="00E938B2"/>
    <w:rsid w:val="00E938CC"/>
    <w:rsid w:val="00E9390D"/>
    <w:rsid w:val="00E939D6"/>
    <w:rsid w:val="00E93A2C"/>
    <w:rsid w:val="00E93E41"/>
    <w:rsid w:val="00E93EDF"/>
    <w:rsid w:val="00E93EE2"/>
    <w:rsid w:val="00E93FB6"/>
    <w:rsid w:val="00E93FCA"/>
    <w:rsid w:val="00E93FF5"/>
    <w:rsid w:val="00E940AA"/>
    <w:rsid w:val="00E942DE"/>
    <w:rsid w:val="00E94386"/>
    <w:rsid w:val="00E9457B"/>
    <w:rsid w:val="00E94666"/>
    <w:rsid w:val="00E9475F"/>
    <w:rsid w:val="00E94770"/>
    <w:rsid w:val="00E947B6"/>
    <w:rsid w:val="00E9483C"/>
    <w:rsid w:val="00E94A05"/>
    <w:rsid w:val="00E94AEA"/>
    <w:rsid w:val="00E94CAA"/>
    <w:rsid w:val="00E94D2A"/>
    <w:rsid w:val="00E94E9A"/>
    <w:rsid w:val="00E94EF0"/>
    <w:rsid w:val="00E95139"/>
    <w:rsid w:val="00E9524D"/>
    <w:rsid w:val="00E9540E"/>
    <w:rsid w:val="00E9546B"/>
    <w:rsid w:val="00E9562B"/>
    <w:rsid w:val="00E9582F"/>
    <w:rsid w:val="00E958A4"/>
    <w:rsid w:val="00E95A27"/>
    <w:rsid w:val="00E95AB4"/>
    <w:rsid w:val="00E95B11"/>
    <w:rsid w:val="00E95F08"/>
    <w:rsid w:val="00E95FB2"/>
    <w:rsid w:val="00E960CB"/>
    <w:rsid w:val="00E96158"/>
    <w:rsid w:val="00E961C9"/>
    <w:rsid w:val="00E96207"/>
    <w:rsid w:val="00E9645A"/>
    <w:rsid w:val="00E964BA"/>
    <w:rsid w:val="00E964D1"/>
    <w:rsid w:val="00E96539"/>
    <w:rsid w:val="00E96623"/>
    <w:rsid w:val="00E96671"/>
    <w:rsid w:val="00E967DD"/>
    <w:rsid w:val="00E9693D"/>
    <w:rsid w:val="00E96ACC"/>
    <w:rsid w:val="00E96C9C"/>
    <w:rsid w:val="00E96CE9"/>
    <w:rsid w:val="00E96E77"/>
    <w:rsid w:val="00E96F56"/>
    <w:rsid w:val="00E96F9B"/>
    <w:rsid w:val="00E96FF0"/>
    <w:rsid w:val="00E971AA"/>
    <w:rsid w:val="00E971AE"/>
    <w:rsid w:val="00E971B8"/>
    <w:rsid w:val="00E9730A"/>
    <w:rsid w:val="00E9736A"/>
    <w:rsid w:val="00E97391"/>
    <w:rsid w:val="00E9755C"/>
    <w:rsid w:val="00E97597"/>
    <w:rsid w:val="00E9774D"/>
    <w:rsid w:val="00E97943"/>
    <w:rsid w:val="00E979C1"/>
    <w:rsid w:val="00E97A41"/>
    <w:rsid w:val="00E97CFB"/>
    <w:rsid w:val="00E97DA5"/>
    <w:rsid w:val="00E97F65"/>
    <w:rsid w:val="00EA0036"/>
    <w:rsid w:val="00EA007D"/>
    <w:rsid w:val="00EA00B7"/>
    <w:rsid w:val="00EA0116"/>
    <w:rsid w:val="00EA0117"/>
    <w:rsid w:val="00EA0159"/>
    <w:rsid w:val="00EA019E"/>
    <w:rsid w:val="00EA01AA"/>
    <w:rsid w:val="00EA0225"/>
    <w:rsid w:val="00EA029B"/>
    <w:rsid w:val="00EA02E0"/>
    <w:rsid w:val="00EA0333"/>
    <w:rsid w:val="00EA036F"/>
    <w:rsid w:val="00EA0376"/>
    <w:rsid w:val="00EA0403"/>
    <w:rsid w:val="00EA04A1"/>
    <w:rsid w:val="00EA0726"/>
    <w:rsid w:val="00EA0813"/>
    <w:rsid w:val="00EA0935"/>
    <w:rsid w:val="00EA0936"/>
    <w:rsid w:val="00EA0A4D"/>
    <w:rsid w:val="00EA0AF1"/>
    <w:rsid w:val="00EA0B04"/>
    <w:rsid w:val="00EA0B68"/>
    <w:rsid w:val="00EA0E88"/>
    <w:rsid w:val="00EA0F5A"/>
    <w:rsid w:val="00EA128E"/>
    <w:rsid w:val="00EA161F"/>
    <w:rsid w:val="00EA16FA"/>
    <w:rsid w:val="00EA1916"/>
    <w:rsid w:val="00EA1BF6"/>
    <w:rsid w:val="00EA1C77"/>
    <w:rsid w:val="00EA1D25"/>
    <w:rsid w:val="00EA201D"/>
    <w:rsid w:val="00EA208A"/>
    <w:rsid w:val="00EA2137"/>
    <w:rsid w:val="00EA23B7"/>
    <w:rsid w:val="00EA2494"/>
    <w:rsid w:val="00EA2511"/>
    <w:rsid w:val="00EA2693"/>
    <w:rsid w:val="00EA27A1"/>
    <w:rsid w:val="00EA27DC"/>
    <w:rsid w:val="00EA27E3"/>
    <w:rsid w:val="00EA293F"/>
    <w:rsid w:val="00EA2941"/>
    <w:rsid w:val="00EA29E1"/>
    <w:rsid w:val="00EA2A9F"/>
    <w:rsid w:val="00EA2C33"/>
    <w:rsid w:val="00EA2CF2"/>
    <w:rsid w:val="00EA2DFF"/>
    <w:rsid w:val="00EA2F30"/>
    <w:rsid w:val="00EA2F6B"/>
    <w:rsid w:val="00EA304C"/>
    <w:rsid w:val="00EA31F0"/>
    <w:rsid w:val="00EA33CA"/>
    <w:rsid w:val="00EA33E6"/>
    <w:rsid w:val="00EA357D"/>
    <w:rsid w:val="00EA36F1"/>
    <w:rsid w:val="00EA372A"/>
    <w:rsid w:val="00EA39C2"/>
    <w:rsid w:val="00EA3CB2"/>
    <w:rsid w:val="00EA3ED7"/>
    <w:rsid w:val="00EA3F1F"/>
    <w:rsid w:val="00EA414E"/>
    <w:rsid w:val="00EA419D"/>
    <w:rsid w:val="00EA433B"/>
    <w:rsid w:val="00EA44C5"/>
    <w:rsid w:val="00EA450D"/>
    <w:rsid w:val="00EA4551"/>
    <w:rsid w:val="00EA461A"/>
    <w:rsid w:val="00EA4727"/>
    <w:rsid w:val="00EA486F"/>
    <w:rsid w:val="00EA49D9"/>
    <w:rsid w:val="00EA4BE6"/>
    <w:rsid w:val="00EA4C7C"/>
    <w:rsid w:val="00EA4D08"/>
    <w:rsid w:val="00EA4D27"/>
    <w:rsid w:val="00EA4E7D"/>
    <w:rsid w:val="00EA4ECB"/>
    <w:rsid w:val="00EA5060"/>
    <w:rsid w:val="00EA5250"/>
    <w:rsid w:val="00EA5257"/>
    <w:rsid w:val="00EA53D7"/>
    <w:rsid w:val="00EA5418"/>
    <w:rsid w:val="00EA5478"/>
    <w:rsid w:val="00EA5614"/>
    <w:rsid w:val="00EA5839"/>
    <w:rsid w:val="00EA58E3"/>
    <w:rsid w:val="00EA595F"/>
    <w:rsid w:val="00EA5C1C"/>
    <w:rsid w:val="00EA5C36"/>
    <w:rsid w:val="00EA5C73"/>
    <w:rsid w:val="00EA5D40"/>
    <w:rsid w:val="00EA5E44"/>
    <w:rsid w:val="00EA6214"/>
    <w:rsid w:val="00EA62E0"/>
    <w:rsid w:val="00EA63BA"/>
    <w:rsid w:val="00EA6684"/>
    <w:rsid w:val="00EA6845"/>
    <w:rsid w:val="00EA6C39"/>
    <w:rsid w:val="00EA6DD3"/>
    <w:rsid w:val="00EA6EB5"/>
    <w:rsid w:val="00EA6F1F"/>
    <w:rsid w:val="00EA6FBD"/>
    <w:rsid w:val="00EA7167"/>
    <w:rsid w:val="00EA7268"/>
    <w:rsid w:val="00EA72CC"/>
    <w:rsid w:val="00EA72E1"/>
    <w:rsid w:val="00EA74DB"/>
    <w:rsid w:val="00EA75BC"/>
    <w:rsid w:val="00EA770C"/>
    <w:rsid w:val="00EA7768"/>
    <w:rsid w:val="00EA7827"/>
    <w:rsid w:val="00EA7C7D"/>
    <w:rsid w:val="00EA7CB3"/>
    <w:rsid w:val="00EA7CDD"/>
    <w:rsid w:val="00EA7D3F"/>
    <w:rsid w:val="00EA7F7A"/>
    <w:rsid w:val="00EB00FE"/>
    <w:rsid w:val="00EB0150"/>
    <w:rsid w:val="00EB03A7"/>
    <w:rsid w:val="00EB04C6"/>
    <w:rsid w:val="00EB0507"/>
    <w:rsid w:val="00EB0703"/>
    <w:rsid w:val="00EB081C"/>
    <w:rsid w:val="00EB0837"/>
    <w:rsid w:val="00EB08E2"/>
    <w:rsid w:val="00EB0931"/>
    <w:rsid w:val="00EB0975"/>
    <w:rsid w:val="00EB0DB6"/>
    <w:rsid w:val="00EB0DEB"/>
    <w:rsid w:val="00EB0E9F"/>
    <w:rsid w:val="00EB0EA4"/>
    <w:rsid w:val="00EB0EF3"/>
    <w:rsid w:val="00EB0F57"/>
    <w:rsid w:val="00EB0F8E"/>
    <w:rsid w:val="00EB10D2"/>
    <w:rsid w:val="00EB1525"/>
    <w:rsid w:val="00EB156E"/>
    <w:rsid w:val="00EB15D0"/>
    <w:rsid w:val="00EB16B9"/>
    <w:rsid w:val="00EB180D"/>
    <w:rsid w:val="00EB18FC"/>
    <w:rsid w:val="00EB1DB8"/>
    <w:rsid w:val="00EB1EE3"/>
    <w:rsid w:val="00EB21F1"/>
    <w:rsid w:val="00EB231B"/>
    <w:rsid w:val="00EB2531"/>
    <w:rsid w:val="00EB281E"/>
    <w:rsid w:val="00EB2B59"/>
    <w:rsid w:val="00EB2B9E"/>
    <w:rsid w:val="00EB2C01"/>
    <w:rsid w:val="00EB2C3B"/>
    <w:rsid w:val="00EB2E41"/>
    <w:rsid w:val="00EB2E85"/>
    <w:rsid w:val="00EB2E94"/>
    <w:rsid w:val="00EB3064"/>
    <w:rsid w:val="00EB310D"/>
    <w:rsid w:val="00EB324B"/>
    <w:rsid w:val="00EB3364"/>
    <w:rsid w:val="00EB3368"/>
    <w:rsid w:val="00EB33F1"/>
    <w:rsid w:val="00EB347E"/>
    <w:rsid w:val="00EB35DE"/>
    <w:rsid w:val="00EB35E5"/>
    <w:rsid w:val="00EB37D7"/>
    <w:rsid w:val="00EB3891"/>
    <w:rsid w:val="00EB3922"/>
    <w:rsid w:val="00EB3A13"/>
    <w:rsid w:val="00EB3B00"/>
    <w:rsid w:val="00EB3D8A"/>
    <w:rsid w:val="00EB3F56"/>
    <w:rsid w:val="00EB409B"/>
    <w:rsid w:val="00EB40C8"/>
    <w:rsid w:val="00EB40E2"/>
    <w:rsid w:val="00EB4410"/>
    <w:rsid w:val="00EB4588"/>
    <w:rsid w:val="00EB468B"/>
    <w:rsid w:val="00EB47AA"/>
    <w:rsid w:val="00EB47D9"/>
    <w:rsid w:val="00EB4ABB"/>
    <w:rsid w:val="00EB4AE9"/>
    <w:rsid w:val="00EB4B44"/>
    <w:rsid w:val="00EB4B73"/>
    <w:rsid w:val="00EB4D40"/>
    <w:rsid w:val="00EB4EB6"/>
    <w:rsid w:val="00EB5099"/>
    <w:rsid w:val="00EB50B6"/>
    <w:rsid w:val="00EB512F"/>
    <w:rsid w:val="00EB5154"/>
    <w:rsid w:val="00EB5278"/>
    <w:rsid w:val="00EB5287"/>
    <w:rsid w:val="00EB54BD"/>
    <w:rsid w:val="00EB551A"/>
    <w:rsid w:val="00EB5914"/>
    <w:rsid w:val="00EB5AA6"/>
    <w:rsid w:val="00EB5ABF"/>
    <w:rsid w:val="00EB5B83"/>
    <w:rsid w:val="00EB5C31"/>
    <w:rsid w:val="00EB5C57"/>
    <w:rsid w:val="00EB5C93"/>
    <w:rsid w:val="00EB5E51"/>
    <w:rsid w:val="00EB5E65"/>
    <w:rsid w:val="00EB5EF1"/>
    <w:rsid w:val="00EB5F20"/>
    <w:rsid w:val="00EB60D9"/>
    <w:rsid w:val="00EB60FB"/>
    <w:rsid w:val="00EB61E5"/>
    <w:rsid w:val="00EB6265"/>
    <w:rsid w:val="00EB6313"/>
    <w:rsid w:val="00EB6332"/>
    <w:rsid w:val="00EB63FF"/>
    <w:rsid w:val="00EB6494"/>
    <w:rsid w:val="00EB64A7"/>
    <w:rsid w:val="00EB64D4"/>
    <w:rsid w:val="00EB6501"/>
    <w:rsid w:val="00EB659A"/>
    <w:rsid w:val="00EB65C3"/>
    <w:rsid w:val="00EB6891"/>
    <w:rsid w:val="00EB68E8"/>
    <w:rsid w:val="00EB6BB0"/>
    <w:rsid w:val="00EB6BE7"/>
    <w:rsid w:val="00EB6DB2"/>
    <w:rsid w:val="00EB6E65"/>
    <w:rsid w:val="00EB6EEA"/>
    <w:rsid w:val="00EB702F"/>
    <w:rsid w:val="00EB7129"/>
    <w:rsid w:val="00EB730F"/>
    <w:rsid w:val="00EB73E8"/>
    <w:rsid w:val="00EB742A"/>
    <w:rsid w:val="00EB75A8"/>
    <w:rsid w:val="00EB75EA"/>
    <w:rsid w:val="00EB768E"/>
    <w:rsid w:val="00EB7782"/>
    <w:rsid w:val="00EB778C"/>
    <w:rsid w:val="00EB7A34"/>
    <w:rsid w:val="00EB7A6C"/>
    <w:rsid w:val="00EB7CC6"/>
    <w:rsid w:val="00EB7D42"/>
    <w:rsid w:val="00EB7D52"/>
    <w:rsid w:val="00EB7F80"/>
    <w:rsid w:val="00EC02BD"/>
    <w:rsid w:val="00EC03B1"/>
    <w:rsid w:val="00EC03D3"/>
    <w:rsid w:val="00EC078C"/>
    <w:rsid w:val="00EC0808"/>
    <w:rsid w:val="00EC0B9C"/>
    <w:rsid w:val="00EC0C63"/>
    <w:rsid w:val="00EC0D09"/>
    <w:rsid w:val="00EC0E9E"/>
    <w:rsid w:val="00EC0EF5"/>
    <w:rsid w:val="00EC113F"/>
    <w:rsid w:val="00EC12C2"/>
    <w:rsid w:val="00EC130B"/>
    <w:rsid w:val="00EC135F"/>
    <w:rsid w:val="00EC143C"/>
    <w:rsid w:val="00EC1665"/>
    <w:rsid w:val="00EC1834"/>
    <w:rsid w:val="00EC187E"/>
    <w:rsid w:val="00EC1892"/>
    <w:rsid w:val="00EC1C52"/>
    <w:rsid w:val="00EC1DB7"/>
    <w:rsid w:val="00EC1E22"/>
    <w:rsid w:val="00EC1E5A"/>
    <w:rsid w:val="00EC2084"/>
    <w:rsid w:val="00EC20A1"/>
    <w:rsid w:val="00EC210B"/>
    <w:rsid w:val="00EC218E"/>
    <w:rsid w:val="00EC230E"/>
    <w:rsid w:val="00EC2450"/>
    <w:rsid w:val="00EC24D4"/>
    <w:rsid w:val="00EC267F"/>
    <w:rsid w:val="00EC2683"/>
    <w:rsid w:val="00EC26EA"/>
    <w:rsid w:val="00EC2729"/>
    <w:rsid w:val="00EC278D"/>
    <w:rsid w:val="00EC2AC7"/>
    <w:rsid w:val="00EC2AC8"/>
    <w:rsid w:val="00EC2ADD"/>
    <w:rsid w:val="00EC2B2F"/>
    <w:rsid w:val="00EC2C00"/>
    <w:rsid w:val="00EC2C57"/>
    <w:rsid w:val="00EC2C63"/>
    <w:rsid w:val="00EC2E0E"/>
    <w:rsid w:val="00EC2E50"/>
    <w:rsid w:val="00EC3024"/>
    <w:rsid w:val="00EC30AC"/>
    <w:rsid w:val="00EC316F"/>
    <w:rsid w:val="00EC3484"/>
    <w:rsid w:val="00EC3528"/>
    <w:rsid w:val="00EC355A"/>
    <w:rsid w:val="00EC3565"/>
    <w:rsid w:val="00EC365A"/>
    <w:rsid w:val="00EC3793"/>
    <w:rsid w:val="00EC37AB"/>
    <w:rsid w:val="00EC383C"/>
    <w:rsid w:val="00EC38CF"/>
    <w:rsid w:val="00EC3A9C"/>
    <w:rsid w:val="00EC3B80"/>
    <w:rsid w:val="00EC3BF8"/>
    <w:rsid w:val="00EC3CE7"/>
    <w:rsid w:val="00EC3CEE"/>
    <w:rsid w:val="00EC3FB6"/>
    <w:rsid w:val="00EC40B8"/>
    <w:rsid w:val="00EC4463"/>
    <w:rsid w:val="00EC44D8"/>
    <w:rsid w:val="00EC4575"/>
    <w:rsid w:val="00EC466B"/>
    <w:rsid w:val="00EC48B6"/>
    <w:rsid w:val="00EC4945"/>
    <w:rsid w:val="00EC4964"/>
    <w:rsid w:val="00EC4A2C"/>
    <w:rsid w:val="00EC4A70"/>
    <w:rsid w:val="00EC4BBD"/>
    <w:rsid w:val="00EC4C4F"/>
    <w:rsid w:val="00EC4C6D"/>
    <w:rsid w:val="00EC5022"/>
    <w:rsid w:val="00EC52F2"/>
    <w:rsid w:val="00EC5434"/>
    <w:rsid w:val="00EC54CD"/>
    <w:rsid w:val="00EC54FD"/>
    <w:rsid w:val="00EC5685"/>
    <w:rsid w:val="00EC5824"/>
    <w:rsid w:val="00EC592B"/>
    <w:rsid w:val="00EC5995"/>
    <w:rsid w:val="00EC5A58"/>
    <w:rsid w:val="00EC5D6C"/>
    <w:rsid w:val="00EC5FD1"/>
    <w:rsid w:val="00EC6010"/>
    <w:rsid w:val="00EC6297"/>
    <w:rsid w:val="00EC6361"/>
    <w:rsid w:val="00EC639E"/>
    <w:rsid w:val="00EC6488"/>
    <w:rsid w:val="00EC6685"/>
    <w:rsid w:val="00EC6701"/>
    <w:rsid w:val="00EC67C4"/>
    <w:rsid w:val="00EC67C7"/>
    <w:rsid w:val="00EC689E"/>
    <w:rsid w:val="00EC68C1"/>
    <w:rsid w:val="00EC69F8"/>
    <w:rsid w:val="00EC6A90"/>
    <w:rsid w:val="00EC6A97"/>
    <w:rsid w:val="00EC6AA0"/>
    <w:rsid w:val="00EC6B88"/>
    <w:rsid w:val="00EC6B9D"/>
    <w:rsid w:val="00EC6CDF"/>
    <w:rsid w:val="00EC6D91"/>
    <w:rsid w:val="00EC6D95"/>
    <w:rsid w:val="00EC6E33"/>
    <w:rsid w:val="00EC6E4A"/>
    <w:rsid w:val="00EC6E68"/>
    <w:rsid w:val="00EC6EEE"/>
    <w:rsid w:val="00EC729D"/>
    <w:rsid w:val="00EC72FD"/>
    <w:rsid w:val="00EC73F2"/>
    <w:rsid w:val="00EC751F"/>
    <w:rsid w:val="00EC75D7"/>
    <w:rsid w:val="00EC764C"/>
    <w:rsid w:val="00EC7658"/>
    <w:rsid w:val="00EC781D"/>
    <w:rsid w:val="00EC788F"/>
    <w:rsid w:val="00EC78A3"/>
    <w:rsid w:val="00EC7A42"/>
    <w:rsid w:val="00EC7AF6"/>
    <w:rsid w:val="00EC7B3E"/>
    <w:rsid w:val="00EC7B97"/>
    <w:rsid w:val="00EC7BFD"/>
    <w:rsid w:val="00EC7CB5"/>
    <w:rsid w:val="00EC7D8D"/>
    <w:rsid w:val="00EC7EA8"/>
    <w:rsid w:val="00EC7F7A"/>
    <w:rsid w:val="00EC7F97"/>
    <w:rsid w:val="00ED0057"/>
    <w:rsid w:val="00ED00DC"/>
    <w:rsid w:val="00ED012E"/>
    <w:rsid w:val="00ED02B4"/>
    <w:rsid w:val="00ED0539"/>
    <w:rsid w:val="00ED0543"/>
    <w:rsid w:val="00ED0588"/>
    <w:rsid w:val="00ED05C0"/>
    <w:rsid w:val="00ED0638"/>
    <w:rsid w:val="00ED06C3"/>
    <w:rsid w:val="00ED0700"/>
    <w:rsid w:val="00ED0895"/>
    <w:rsid w:val="00ED09E1"/>
    <w:rsid w:val="00ED0C11"/>
    <w:rsid w:val="00ED0CB9"/>
    <w:rsid w:val="00ED0E46"/>
    <w:rsid w:val="00ED0EE5"/>
    <w:rsid w:val="00ED11C5"/>
    <w:rsid w:val="00ED1246"/>
    <w:rsid w:val="00ED127A"/>
    <w:rsid w:val="00ED128C"/>
    <w:rsid w:val="00ED12D4"/>
    <w:rsid w:val="00ED12E6"/>
    <w:rsid w:val="00ED133F"/>
    <w:rsid w:val="00ED1387"/>
    <w:rsid w:val="00ED14CA"/>
    <w:rsid w:val="00ED1637"/>
    <w:rsid w:val="00ED196B"/>
    <w:rsid w:val="00ED19E1"/>
    <w:rsid w:val="00ED1AFB"/>
    <w:rsid w:val="00ED1C94"/>
    <w:rsid w:val="00ED1E8B"/>
    <w:rsid w:val="00ED1ED8"/>
    <w:rsid w:val="00ED1F24"/>
    <w:rsid w:val="00ED1F36"/>
    <w:rsid w:val="00ED1FBF"/>
    <w:rsid w:val="00ED2318"/>
    <w:rsid w:val="00ED2469"/>
    <w:rsid w:val="00ED24AF"/>
    <w:rsid w:val="00ED265D"/>
    <w:rsid w:val="00ED26BA"/>
    <w:rsid w:val="00ED26E1"/>
    <w:rsid w:val="00ED2749"/>
    <w:rsid w:val="00ED27BD"/>
    <w:rsid w:val="00ED296E"/>
    <w:rsid w:val="00ED2A0C"/>
    <w:rsid w:val="00ED2A21"/>
    <w:rsid w:val="00ED2CF3"/>
    <w:rsid w:val="00ED2EEE"/>
    <w:rsid w:val="00ED2F02"/>
    <w:rsid w:val="00ED2FE9"/>
    <w:rsid w:val="00ED3013"/>
    <w:rsid w:val="00ED302E"/>
    <w:rsid w:val="00ED3058"/>
    <w:rsid w:val="00ED31D7"/>
    <w:rsid w:val="00ED33BC"/>
    <w:rsid w:val="00ED347E"/>
    <w:rsid w:val="00ED37D4"/>
    <w:rsid w:val="00ED380D"/>
    <w:rsid w:val="00ED3965"/>
    <w:rsid w:val="00ED3AA3"/>
    <w:rsid w:val="00ED3AD1"/>
    <w:rsid w:val="00ED3AF5"/>
    <w:rsid w:val="00ED3CAF"/>
    <w:rsid w:val="00ED3CB0"/>
    <w:rsid w:val="00ED3CD9"/>
    <w:rsid w:val="00ED3DFE"/>
    <w:rsid w:val="00ED3E31"/>
    <w:rsid w:val="00ED3E3B"/>
    <w:rsid w:val="00ED3F49"/>
    <w:rsid w:val="00ED3FEF"/>
    <w:rsid w:val="00ED41BE"/>
    <w:rsid w:val="00ED4238"/>
    <w:rsid w:val="00ED42E3"/>
    <w:rsid w:val="00ED4649"/>
    <w:rsid w:val="00ED48E5"/>
    <w:rsid w:val="00ED49FD"/>
    <w:rsid w:val="00ED4A28"/>
    <w:rsid w:val="00ED4B54"/>
    <w:rsid w:val="00ED4C9B"/>
    <w:rsid w:val="00ED4DDF"/>
    <w:rsid w:val="00ED4E08"/>
    <w:rsid w:val="00ED4ED0"/>
    <w:rsid w:val="00ED4FB3"/>
    <w:rsid w:val="00ED511C"/>
    <w:rsid w:val="00ED5404"/>
    <w:rsid w:val="00ED540C"/>
    <w:rsid w:val="00ED54F9"/>
    <w:rsid w:val="00ED5508"/>
    <w:rsid w:val="00ED5554"/>
    <w:rsid w:val="00ED55AD"/>
    <w:rsid w:val="00ED563E"/>
    <w:rsid w:val="00ED5650"/>
    <w:rsid w:val="00ED56DA"/>
    <w:rsid w:val="00ED57AC"/>
    <w:rsid w:val="00ED5A8C"/>
    <w:rsid w:val="00ED5B34"/>
    <w:rsid w:val="00ED5C15"/>
    <w:rsid w:val="00ED5F5F"/>
    <w:rsid w:val="00ED5F86"/>
    <w:rsid w:val="00ED5F8D"/>
    <w:rsid w:val="00ED5FAD"/>
    <w:rsid w:val="00ED60C0"/>
    <w:rsid w:val="00ED6160"/>
    <w:rsid w:val="00ED61D3"/>
    <w:rsid w:val="00ED61F2"/>
    <w:rsid w:val="00ED6234"/>
    <w:rsid w:val="00ED6238"/>
    <w:rsid w:val="00ED6247"/>
    <w:rsid w:val="00ED637E"/>
    <w:rsid w:val="00ED644B"/>
    <w:rsid w:val="00ED654F"/>
    <w:rsid w:val="00ED65E3"/>
    <w:rsid w:val="00ED6720"/>
    <w:rsid w:val="00ED672C"/>
    <w:rsid w:val="00ED690B"/>
    <w:rsid w:val="00ED6929"/>
    <w:rsid w:val="00ED6988"/>
    <w:rsid w:val="00ED69D1"/>
    <w:rsid w:val="00ED6B21"/>
    <w:rsid w:val="00ED6BA3"/>
    <w:rsid w:val="00ED6C25"/>
    <w:rsid w:val="00ED7085"/>
    <w:rsid w:val="00ED71A0"/>
    <w:rsid w:val="00ED71C6"/>
    <w:rsid w:val="00ED72FC"/>
    <w:rsid w:val="00ED7332"/>
    <w:rsid w:val="00ED7393"/>
    <w:rsid w:val="00ED73BA"/>
    <w:rsid w:val="00ED742D"/>
    <w:rsid w:val="00ED74DD"/>
    <w:rsid w:val="00ED7864"/>
    <w:rsid w:val="00ED7891"/>
    <w:rsid w:val="00ED78A8"/>
    <w:rsid w:val="00ED7B4D"/>
    <w:rsid w:val="00ED7C10"/>
    <w:rsid w:val="00EE00C2"/>
    <w:rsid w:val="00EE0132"/>
    <w:rsid w:val="00EE01BC"/>
    <w:rsid w:val="00EE0215"/>
    <w:rsid w:val="00EE02CB"/>
    <w:rsid w:val="00EE0343"/>
    <w:rsid w:val="00EE039D"/>
    <w:rsid w:val="00EE03F8"/>
    <w:rsid w:val="00EE05D3"/>
    <w:rsid w:val="00EE06CB"/>
    <w:rsid w:val="00EE0799"/>
    <w:rsid w:val="00EE0923"/>
    <w:rsid w:val="00EE096C"/>
    <w:rsid w:val="00EE0CB9"/>
    <w:rsid w:val="00EE0CBA"/>
    <w:rsid w:val="00EE107B"/>
    <w:rsid w:val="00EE10A6"/>
    <w:rsid w:val="00EE1104"/>
    <w:rsid w:val="00EE116B"/>
    <w:rsid w:val="00EE1229"/>
    <w:rsid w:val="00EE12C1"/>
    <w:rsid w:val="00EE12DA"/>
    <w:rsid w:val="00EE1365"/>
    <w:rsid w:val="00EE1676"/>
    <w:rsid w:val="00EE1875"/>
    <w:rsid w:val="00EE1958"/>
    <w:rsid w:val="00EE19F9"/>
    <w:rsid w:val="00EE1A88"/>
    <w:rsid w:val="00EE1BDD"/>
    <w:rsid w:val="00EE1E65"/>
    <w:rsid w:val="00EE1F50"/>
    <w:rsid w:val="00EE1F54"/>
    <w:rsid w:val="00EE2469"/>
    <w:rsid w:val="00EE2489"/>
    <w:rsid w:val="00EE24DA"/>
    <w:rsid w:val="00EE266E"/>
    <w:rsid w:val="00EE28E5"/>
    <w:rsid w:val="00EE2930"/>
    <w:rsid w:val="00EE2937"/>
    <w:rsid w:val="00EE29B6"/>
    <w:rsid w:val="00EE2A7D"/>
    <w:rsid w:val="00EE2ABD"/>
    <w:rsid w:val="00EE2D2D"/>
    <w:rsid w:val="00EE342E"/>
    <w:rsid w:val="00EE35DC"/>
    <w:rsid w:val="00EE370C"/>
    <w:rsid w:val="00EE375A"/>
    <w:rsid w:val="00EE3939"/>
    <w:rsid w:val="00EE3AA5"/>
    <w:rsid w:val="00EE3ADC"/>
    <w:rsid w:val="00EE3BFB"/>
    <w:rsid w:val="00EE3D52"/>
    <w:rsid w:val="00EE3DF3"/>
    <w:rsid w:val="00EE3E8D"/>
    <w:rsid w:val="00EE3F8F"/>
    <w:rsid w:val="00EE44E3"/>
    <w:rsid w:val="00EE4623"/>
    <w:rsid w:val="00EE4683"/>
    <w:rsid w:val="00EE469E"/>
    <w:rsid w:val="00EE46D1"/>
    <w:rsid w:val="00EE46E6"/>
    <w:rsid w:val="00EE46F6"/>
    <w:rsid w:val="00EE4775"/>
    <w:rsid w:val="00EE47E6"/>
    <w:rsid w:val="00EE4B52"/>
    <w:rsid w:val="00EE4B88"/>
    <w:rsid w:val="00EE4CC3"/>
    <w:rsid w:val="00EE4D83"/>
    <w:rsid w:val="00EE4DE7"/>
    <w:rsid w:val="00EE4E80"/>
    <w:rsid w:val="00EE5106"/>
    <w:rsid w:val="00EE517B"/>
    <w:rsid w:val="00EE5237"/>
    <w:rsid w:val="00EE5261"/>
    <w:rsid w:val="00EE528D"/>
    <w:rsid w:val="00EE548A"/>
    <w:rsid w:val="00EE55D7"/>
    <w:rsid w:val="00EE56C8"/>
    <w:rsid w:val="00EE582D"/>
    <w:rsid w:val="00EE5836"/>
    <w:rsid w:val="00EE58B5"/>
    <w:rsid w:val="00EE58D4"/>
    <w:rsid w:val="00EE59FD"/>
    <w:rsid w:val="00EE5A09"/>
    <w:rsid w:val="00EE5AC1"/>
    <w:rsid w:val="00EE5B62"/>
    <w:rsid w:val="00EE5BB4"/>
    <w:rsid w:val="00EE5C2E"/>
    <w:rsid w:val="00EE5C9D"/>
    <w:rsid w:val="00EE5CF2"/>
    <w:rsid w:val="00EE5DA9"/>
    <w:rsid w:val="00EE5F59"/>
    <w:rsid w:val="00EE5F5D"/>
    <w:rsid w:val="00EE601C"/>
    <w:rsid w:val="00EE6063"/>
    <w:rsid w:val="00EE617C"/>
    <w:rsid w:val="00EE6378"/>
    <w:rsid w:val="00EE67FA"/>
    <w:rsid w:val="00EE681F"/>
    <w:rsid w:val="00EE682A"/>
    <w:rsid w:val="00EE6958"/>
    <w:rsid w:val="00EE69C7"/>
    <w:rsid w:val="00EE6AA6"/>
    <w:rsid w:val="00EE6ACF"/>
    <w:rsid w:val="00EE6ED9"/>
    <w:rsid w:val="00EE714E"/>
    <w:rsid w:val="00EE7456"/>
    <w:rsid w:val="00EE7657"/>
    <w:rsid w:val="00EE7C02"/>
    <w:rsid w:val="00EE7CC3"/>
    <w:rsid w:val="00EE7CE4"/>
    <w:rsid w:val="00EE7E7C"/>
    <w:rsid w:val="00EE7ED4"/>
    <w:rsid w:val="00EF00B6"/>
    <w:rsid w:val="00EF0316"/>
    <w:rsid w:val="00EF0488"/>
    <w:rsid w:val="00EF06DD"/>
    <w:rsid w:val="00EF08A1"/>
    <w:rsid w:val="00EF092D"/>
    <w:rsid w:val="00EF0A20"/>
    <w:rsid w:val="00EF0AF4"/>
    <w:rsid w:val="00EF0BD3"/>
    <w:rsid w:val="00EF0D88"/>
    <w:rsid w:val="00EF0DD9"/>
    <w:rsid w:val="00EF0E83"/>
    <w:rsid w:val="00EF0F27"/>
    <w:rsid w:val="00EF0FE1"/>
    <w:rsid w:val="00EF1027"/>
    <w:rsid w:val="00EF1519"/>
    <w:rsid w:val="00EF1570"/>
    <w:rsid w:val="00EF168E"/>
    <w:rsid w:val="00EF1841"/>
    <w:rsid w:val="00EF18B6"/>
    <w:rsid w:val="00EF1930"/>
    <w:rsid w:val="00EF1996"/>
    <w:rsid w:val="00EF1AC3"/>
    <w:rsid w:val="00EF1ADE"/>
    <w:rsid w:val="00EF1B27"/>
    <w:rsid w:val="00EF1C58"/>
    <w:rsid w:val="00EF1CD5"/>
    <w:rsid w:val="00EF1DAB"/>
    <w:rsid w:val="00EF1DFE"/>
    <w:rsid w:val="00EF1F0C"/>
    <w:rsid w:val="00EF1F32"/>
    <w:rsid w:val="00EF1F9D"/>
    <w:rsid w:val="00EF2283"/>
    <w:rsid w:val="00EF22FC"/>
    <w:rsid w:val="00EF239D"/>
    <w:rsid w:val="00EF23AE"/>
    <w:rsid w:val="00EF2527"/>
    <w:rsid w:val="00EF2529"/>
    <w:rsid w:val="00EF26F6"/>
    <w:rsid w:val="00EF27C0"/>
    <w:rsid w:val="00EF2853"/>
    <w:rsid w:val="00EF297C"/>
    <w:rsid w:val="00EF2A28"/>
    <w:rsid w:val="00EF2D28"/>
    <w:rsid w:val="00EF2DC8"/>
    <w:rsid w:val="00EF2E45"/>
    <w:rsid w:val="00EF313B"/>
    <w:rsid w:val="00EF321B"/>
    <w:rsid w:val="00EF3518"/>
    <w:rsid w:val="00EF352A"/>
    <w:rsid w:val="00EF358B"/>
    <w:rsid w:val="00EF36D7"/>
    <w:rsid w:val="00EF36DD"/>
    <w:rsid w:val="00EF3841"/>
    <w:rsid w:val="00EF393E"/>
    <w:rsid w:val="00EF399C"/>
    <w:rsid w:val="00EF39C0"/>
    <w:rsid w:val="00EF39DE"/>
    <w:rsid w:val="00EF3AAC"/>
    <w:rsid w:val="00EF3ADC"/>
    <w:rsid w:val="00EF3B53"/>
    <w:rsid w:val="00EF3C91"/>
    <w:rsid w:val="00EF3E51"/>
    <w:rsid w:val="00EF40A8"/>
    <w:rsid w:val="00EF4235"/>
    <w:rsid w:val="00EF42A8"/>
    <w:rsid w:val="00EF45BE"/>
    <w:rsid w:val="00EF4609"/>
    <w:rsid w:val="00EF4633"/>
    <w:rsid w:val="00EF469E"/>
    <w:rsid w:val="00EF477A"/>
    <w:rsid w:val="00EF4802"/>
    <w:rsid w:val="00EF4878"/>
    <w:rsid w:val="00EF4AAE"/>
    <w:rsid w:val="00EF4B0F"/>
    <w:rsid w:val="00EF4B7E"/>
    <w:rsid w:val="00EF4C1C"/>
    <w:rsid w:val="00EF4C29"/>
    <w:rsid w:val="00EF4E2E"/>
    <w:rsid w:val="00EF4ECD"/>
    <w:rsid w:val="00EF4F54"/>
    <w:rsid w:val="00EF5116"/>
    <w:rsid w:val="00EF524D"/>
    <w:rsid w:val="00EF5839"/>
    <w:rsid w:val="00EF5A87"/>
    <w:rsid w:val="00EF5ABC"/>
    <w:rsid w:val="00EF5D45"/>
    <w:rsid w:val="00EF5F6E"/>
    <w:rsid w:val="00EF600F"/>
    <w:rsid w:val="00EF6090"/>
    <w:rsid w:val="00EF609B"/>
    <w:rsid w:val="00EF60BB"/>
    <w:rsid w:val="00EF6128"/>
    <w:rsid w:val="00EF632C"/>
    <w:rsid w:val="00EF63A0"/>
    <w:rsid w:val="00EF64DD"/>
    <w:rsid w:val="00EF664B"/>
    <w:rsid w:val="00EF68FB"/>
    <w:rsid w:val="00EF6A1A"/>
    <w:rsid w:val="00EF6A70"/>
    <w:rsid w:val="00EF6A85"/>
    <w:rsid w:val="00EF6CFA"/>
    <w:rsid w:val="00EF6DA8"/>
    <w:rsid w:val="00EF7007"/>
    <w:rsid w:val="00EF71D7"/>
    <w:rsid w:val="00EF72B8"/>
    <w:rsid w:val="00EF72D4"/>
    <w:rsid w:val="00EF74DB"/>
    <w:rsid w:val="00EF7507"/>
    <w:rsid w:val="00EF7524"/>
    <w:rsid w:val="00EF772D"/>
    <w:rsid w:val="00EF7773"/>
    <w:rsid w:val="00EF77EC"/>
    <w:rsid w:val="00EF7969"/>
    <w:rsid w:val="00EF79F3"/>
    <w:rsid w:val="00EF7C90"/>
    <w:rsid w:val="00EF7D11"/>
    <w:rsid w:val="00EF7D9B"/>
    <w:rsid w:val="00F00128"/>
    <w:rsid w:val="00F0044B"/>
    <w:rsid w:val="00F0077D"/>
    <w:rsid w:val="00F007AA"/>
    <w:rsid w:val="00F00864"/>
    <w:rsid w:val="00F008A1"/>
    <w:rsid w:val="00F009A5"/>
    <w:rsid w:val="00F009F4"/>
    <w:rsid w:val="00F00ADE"/>
    <w:rsid w:val="00F00D65"/>
    <w:rsid w:val="00F00E3A"/>
    <w:rsid w:val="00F00FD3"/>
    <w:rsid w:val="00F00FF6"/>
    <w:rsid w:val="00F01043"/>
    <w:rsid w:val="00F013BB"/>
    <w:rsid w:val="00F015E1"/>
    <w:rsid w:val="00F0173F"/>
    <w:rsid w:val="00F01982"/>
    <w:rsid w:val="00F01A49"/>
    <w:rsid w:val="00F01CB1"/>
    <w:rsid w:val="00F01E12"/>
    <w:rsid w:val="00F01E99"/>
    <w:rsid w:val="00F02250"/>
    <w:rsid w:val="00F02284"/>
    <w:rsid w:val="00F02306"/>
    <w:rsid w:val="00F02380"/>
    <w:rsid w:val="00F02399"/>
    <w:rsid w:val="00F02435"/>
    <w:rsid w:val="00F0258B"/>
    <w:rsid w:val="00F025A1"/>
    <w:rsid w:val="00F02667"/>
    <w:rsid w:val="00F02698"/>
    <w:rsid w:val="00F027D4"/>
    <w:rsid w:val="00F02812"/>
    <w:rsid w:val="00F028E6"/>
    <w:rsid w:val="00F029D1"/>
    <w:rsid w:val="00F02AA0"/>
    <w:rsid w:val="00F02B21"/>
    <w:rsid w:val="00F02B80"/>
    <w:rsid w:val="00F02CEB"/>
    <w:rsid w:val="00F02DB0"/>
    <w:rsid w:val="00F02E29"/>
    <w:rsid w:val="00F02FB7"/>
    <w:rsid w:val="00F02FF5"/>
    <w:rsid w:val="00F0317C"/>
    <w:rsid w:val="00F031DC"/>
    <w:rsid w:val="00F032BB"/>
    <w:rsid w:val="00F03472"/>
    <w:rsid w:val="00F03675"/>
    <w:rsid w:val="00F0389F"/>
    <w:rsid w:val="00F038EF"/>
    <w:rsid w:val="00F03959"/>
    <w:rsid w:val="00F03966"/>
    <w:rsid w:val="00F039CB"/>
    <w:rsid w:val="00F03BE2"/>
    <w:rsid w:val="00F03DE2"/>
    <w:rsid w:val="00F03F1B"/>
    <w:rsid w:val="00F03F58"/>
    <w:rsid w:val="00F045A4"/>
    <w:rsid w:val="00F04670"/>
    <w:rsid w:val="00F0476E"/>
    <w:rsid w:val="00F0492F"/>
    <w:rsid w:val="00F0499E"/>
    <w:rsid w:val="00F049B5"/>
    <w:rsid w:val="00F04B5E"/>
    <w:rsid w:val="00F04C00"/>
    <w:rsid w:val="00F04C1C"/>
    <w:rsid w:val="00F04C51"/>
    <w:rsid w:val="00F04CB9"/>
    <w:rsid w:val="00F04E07"/>
    <w:rsid w:val="00F04E1B"/>
    <w:rsid w:val="00F04F0D"/>
    <w:rsid w:val="00F04FF5"/>
    <w:rsid w:val="00F0505A"/>
    <w:rsid w:val="00F05171"/>
    <w:rsid w:val="00F05351"/>
    <w:rsid w:val="00F0553E"/>
    <w:rsid w:val="00F05555"/>
    <w:rsid w:val="00F0556E"/>
    <w:rsid w:val="00F057B4"/>
    <w:rsid w:val="00F057BB"/>
    <w:rsid w:val="00F057EB"/>
    <w:rsid w:val="00F05947"/>
    <w:rsid w:val="00F05B6D"/>
    <w:rsid w:val="00F05C21"/>
    <w:rsid w:val="00F05F30"/>
    <w:rsid w:val="00F05FD6"/>
    <w:rsid w:val="00F05FE1"/>
    <w:rsid w:val="00F064FA"/>
    <w:rsid w:val="00F065A4"/>
    <w:rsid w:val="00F0662B"/>
    <w:rsid w:val="00F0667B"/>
    <w:rsid w:val="00F06685"/>
    <w:rsid w:val="00F069CE"/>
    <w:rsid w:val="00F06BD3"/>
    <w:rsid w:val="00F06CF1"/>
    <w:rsid w:val="00F06D03"/>
    <w:rsid w:val="00F06F9A"/>
    <w:rsid w:val="00F071C1"/>
    <w:rsid w:val="00F07375"/>
    <w:rsid w:val="00F0746F"/>
    <w:rsid w:val="00F074A4"/>
    <w:rsid w:val="00F074B1"/>
    <w:rsid w:val="00F07570"/>
    <w:rsid w:val="00F075A1"/>
    <w:rsid w:val="00F075D3"/>
    <w:rsid w:val="00F075E3"/>
    <w:rsid w:val="00F07627"/>
    <w:rsid w:val="00F07661"/>
    <w:rsid w:val="00F0769A"/>
    <w:rsid w:val="00F0780A"/>
    <w:rsid w:val="00F079E2"/>
    <w:rsid w:val="00F07A00"/>
    <w:rsid w:val="00F07A33"/>
    <w:rsid w:val="00F07A73"/>
    <w:rsid w:val="00F07A9F"/>
    <w:rsid w:val="00F07B10"/>
    <w:rsid w:val="00F07BDE"/>
    <w:rsid w:val="00F07E13"/>
    <w:rsid w:val="00F07F2D"/>
    <w:rsid w:val="00F07FC4"/>
    <w:rsid w:val="00F10010"/>
    <w:rsid w:val="00F10107"/>
    <w:rsid w:val="00F10124"/>
    <w:rsid w:val="00F10141"/>
    <w:rsid w:val="00F10204"/>
    <w:rsid w:val="00F1033E"/>
    <w:rsid w:val="00F103D5"/>
    <w:rsid w:val="00F10461"/>
    <w:rsid w:val="00F10598"/>
    <w:rsid w:val="00F1070B"/>
    <w:rsid w:val="00F10931"/>
    <w:rsid w:val="00F109E5"/>
    <w:rsid w:val="00F10A0D"/>
    <w:rsid w:val="00F10AD9"/>
    <w:rsid w:val="00F10AEE"/>
    <w:rsid w:val="00F10B1D"/>
    <w:rsid w:val="00F11170"/>
    <w:rsid w:val="00F1137B"/>
    <w:rsid w:val="00F114D2"/>
    <w:rsid w:val="00F11588"/>
    <w:rsid w:val="00F1177D"/>
    <w:rsid w:val="00F118C5"/>
    <w:rsid w:val="00F11A93"/>
    <w:rsid w:val="00F11AC1"/>
    <w:rsid w:val="00F11C94"/>
    <w:rsid w:val="00F120E9"/>
    <w:rsid w:val="00F12100"/>
    <w:rsid w:val="00F1235B"/>
    <w:rsid w:val="00F12440"/>
    <w:rsid w:val="00F12535"/>
    <w:rsid w:val="00F1255D"/>
    <w:rsid w:val="00F125EE"/>
    <w:rsid w:val="00F127F0"/>
    <w:rsid w:val="00F127F2"/>
    <w:rsid w:val="00F12894"/>
    <w:rsid w:val="00F1296B"/>
    <w:rsid w:val="00F129AB"/>
    <w:rsid w:val="00F12A24"/>
    <w:rsid w:val="00F12A25"/>
    <w:rsid w:val="00F13029"/>
    <w:rsid w:val="00F132C8"/>
    <w:rsid w:val="00F13452"/>
    <w:rsid w:val="00F13459"/>
    <w:rsid w:val="00F13741"/>
    <w:rsid w:val="00F1377A"/>
    <w:rsid w:val="00F137DC"/>
    <w:rsid w:val="00F13A62"/>
    <w:rsid w:val="00F13C5F"/>
    <w:rsid w:val="00F13CA0"/>
    <w:rsid w:val="00F13DBB"/>
    <w:rsid w:val="00F1401B"/>
    <w:rsid w:val="00F140A8"/>
    <w:rsid w:val="00F1426E"/>
    <w:rsid w:val="00F14319"/>
    <w:rsid w:val="00F143CF"/>
    <w:rsid w:val="00F1453D"/>
    <w:rsid w:val="00F145AB"/>
    <w:rsid w:val="00F14603"/>
    <w:rsid w:val="00F14646"/>
    <w:rsid w:val="00F14771"/>
    <w:rsid w:val="00F1497F"/>
    <w:rsid w:val="00F14AA5"/>
    <w:rsid w:val="00F14B1D"/>
    <w:rsid w:val="00F14CC9"/>
    <w:rsid w:val="00F14D78"/>
    <w:rsid w:val="00F14ED2"/>
    <w:rsid w:val="00F15293"/>
    <w:rsid w:val="00F1577C"/>
    <w:rsid w:val="00F15E05"/>
    <w:rsid w:val="00F15E82"/>
    <w:rsid w:val="00F15EF5"/>
    <w:rsid w:val="00F1607F"/>
    <w:rsid w:val="00F160F9"/>
    <w:rsid w:val="00F1612B"/>
    <w:rsid w:val="00F161E0"/>
    <w:rsid w:val="00F16222"/>
    <w:rsid w:val="00F1626B"/>
    <w:rsid w:val="00F16675"/>
    <w:rsid w:val="00F1672B"/>
    <w:rsid w:val="00F16802"/>
    <w:rsid w:val="00F16952"/>
    <w:rsid w:val="00F16AFC"/>
    <w:rsid w:val="00F16B19"/>
    <w:rsid w:val="00F16B8A"/>
    <w:rsid w:val="00F16CB1"/>
    <w:rsid w:val="00F16D43"/>
    <w:rsid w:val="00F16E12"/>
    <w:rsid w:val="00F171A0"/>
    <w:rsid w:val="00F17200"/>
    <w:rsid w:val="00F1725B"/>
    <w:rsid w:val="00F1727A"/>
    <w:rsid w:val="00F1730D"/>
    <w:rsid w:val="00F17580"/>
    <w:rsid w:val="00F175FB"/>
    <w:rsid w:val="00F178A3"/>
    <w:rsid w:val="00F17A2B"/>
    <w:rsid w:val="00F17A9C"/>
    <w:rsid w:val="00F17EF3"/>
    <w:rsid w:val="00F200A3"/>
    <w:rsid w:val="00F2015F"/>
    <w:rsid w:val="00F2031B"/>
    <w:rsid w:val="00F20436"/>
    <w:rsid w:val="00F2061F"/>
    <w:rsid w:val="00F20623"/>
    <w:rsid w:val="00F2071C"/>
    <w:rsid w:val="00F20728"/>
    <w:rsid w:val="00F208A7"/>
    <w:rsid w:val="00F208D7"/>
    <w:rsid w:val="00F20A35"/>
    <w:rsid w:val="00F20B00"/>
    <w:rsid w:val="00F20B25"/>
    <w:rsid w:val="00F20B3E"/>
    <w:rsid w:val="00F20EB5"/>
    <w:rsid w:val="00F2111F"/>
    <w:rsid w:val="00F21143"/>
    <w:rsid w:val="00F21160"/>
    <w:rsid w:val="00F2119A"/>
    <w:rsid w:val="00F213F3"/>
    <w:rsid w:val="00F21905"/>
    <w:rsid w:val="00F21A7D"/>
    <w:rsid w:val="00F21CB4"/>
    <w:rsid w:val="00F21CCC"/>
    <w:rsid w:val="00F21D3E"/>
    <w:rsid w:val="00F21D8E"/>
    <w:rsid w:val="00F21E91"/>
    <w:rsid w:val="00F21EE1"/>
    <w:rsid w:val="00F21F71"/>
    <w:rsid w:val="00F221A0"/>
    <w:rsid w:val="00F2223E"/>
    <w:rsid w:val="00F222FF"/>
    <w:rsid w:val="00F22365"/>
    <w:rsid w:val="00F2261C"/>
    <w:rsid w:val="00F226EE"/>
    <w:rsid w:val="00F22809"/>
    <w:rsid w:val="00F228FA"/>
    <w:rsid w:val="00F22C7D"/>
    <w:rsid w:val="00F231A7"/>
    <w:rsid w:val="00F23232"/>
    <w:rsid w:val="00F232E4"/>
    <w:rsid w:val="00F232F9"/>
    <w:rsid w:val="00F23454"/>
    <w:rsid w:val="00F23477"/>
    <w:rsid w:val="00F236E7"/>
    <w:rsid w:val="00F237FF"/>
    <w:rsid w:val="00F23872"/>
    <w:rsid w:val="00F238C1"/>
    <w:rsid w:val="00F23B1A"/>
    <w:rsid w:val="00F23DAE"/>
    <w:rsid w:val="00F23DFF"/>
    <w:rsid w:val="00F23E04"/>
    <w:rsid w:val="00F23F1C"/>
    <w:rsid w:val="00F23F20"/>
    <w:rsid w:val="00F23F5C"/>
    <w:rsid w:val="00F2405C"/>
    <w:rsid w:val="00F24189"/>
    <w:rsid w:val="00F24211"/>
    <w:rsid w:val="00F24487"/>
    <w:rsid w:val="00F2469F"/>
    <w:rsid w:val="00F247E6"/>
    <w:rsid w:val="00F2483F"/>
    <w:rsid w:val="00F24BF3"/>
    <w:rsid w:val="00F24CED"/>
    <w:rsid w:val="00F24D43"/>
    <w:rsid w:val="00F24E5C"/>
    <w:rsid w:val="00F24EA8"/>
    <w:rsid w:val="00F24EAE"/>
    <w:rsid w:val="00F24EC0"/>
    <w:rsid w:val="00F251C7"/>
    <w:rsid w:val="00F25399"/>
    <w:rsid w:val="00F25813"/>
    <w:rsid w:val="00F25A6A"/>
    <w:rsid w:val="00F25A98"/>
    <w:rsid w:val="00F25BA6"/>
    <w:rsid w:val="00F25D6C"/>
    <w:rsid w:val="00F25FC9"/>
    <w:rsid w:val="00F26037"/>
    <w:rsid w:val="00F261D6"/>
    <w:rsid w:val="00F261FD"/>
    <w:rsid w:val="00F26227"/>
    <w:rsid w:val="00F26260"/>
    <w:rsid w:val="00F264C3"/>
    <w:rsid w:val="00F2657A"/>
    <w:rsid w:val="00F266EA"/>
    <w:rsid w:val="00F26927"/>
    <w:rsid w:val="00F26973"/>
    <w:rsid w:val="00F26982"/>
    <w:rsid w:val="00F26989"/>
    <w:rsid w:val="00F26BB6"/>
    <w:rsid w:val="00F26BF0"/>
    <w:rsid w:val="00F26C7A"/>
    <w:rsid w:val="00F26CE2"/>
    <w:rsid w:val="00F26E1B"/>
    <w:rsid w:val="00F26F2A"/>
    <w:rsid w:val="00F26F87"/>
    <w:rsid w:val="00F2704D"/>
    <w:rsid w:val="00F27081"/>
    <w:rsid w:val="00F27094"/>
    <w:rsid w:val="00F2709C"/>
    <w:rsid w:val="00F27291"/>
    <w:rsid w:val="00F273BB"/>
    <w:rsid w:val="00F27427"/>
    <w:rsid w:val="00F276C3"/>
    <w:rsid w:val="00F276F9"/>
    <w:rsid w:val="00F279B2"/>
    <w:rsid w:val="00F27A1E"/>
    <w:rsid w:val="00F27A97"/>
    <w:rsid w:val="00F27BB8"/>
    <w:rsid w:val="00F27CA7"/>
    <w:rsid w:val="00F27E29"/>
    <w:rsid w:val="00F27E49"/>
    <w:rsid w:val="00F27EB6"/>
    <w:rsid w:val="00F30090"/>
    <w:rsid w:val="00F3015F"/>
    <w:rsid w:val="00F303AE"/>
    <w:rsid w:val="00F304E5"/>
    <w:rsid w:val="00F3059E"/>
    <w:rsid w:val="00F305D8"/>
    <w:rsid w:val="00F30614"/>
    <w:rsid w:val="00F3066D"/>
    <w:rsid w:val="00F3067A"/>
    <w:rsid w:val="00F307FC"/>
    <w:rsid w:val="00F308B8"/>
    <w:rsid w:val="00F30A87"/>
    <w:rsid w:val="00F30B86"/>
    <w:rsid w:val="00F30BBF"/>
    <w:rsid w:val="00F30C2D"/>
    <w:rsid w:val="00F30E97"/>
    <w:rsid w:val="00F310A4"/>
    <w:rsid w:val="00F313F3"/>
    <w:rsid w:val="00F31459"/>
    <w:rsid w:val="00F3157B"/>
    <w:rsid w:val="00F316C6"/>
    <w:rsid w:val="00F316CA"/>
    <w:rsid w:val="00F316E0"/>
    <w:rsid w:val="00F31784"/>
    <w:rsid w:val="00F317F7"/>
    <w:rsid w:val="00F31824"/>
    <w:rsid w:val="00F31AF8"/>
    <w:rsid w:val="00F31B6D"/>
    <w:rsid w:val="00F31E3B"/>
    <w:rsid w:val="00F31F2C"/>
    <w:rsid w:val="00F31FC3"/>
    <w:rsid w:val="00F32027"/>
    <w:rsid w:val="00F32476"/>
    <w:rsid w:val="00F3268F"/>
    <w:rsid w:val="00F327C5"/>
    <w:rsid w:val="00F327CC"/>
    <w:rsid w:val="00F32889"/>
    <w:rsid w:val="00F328B3"/>
    <w:rsid w:val="00F329C0"/>
    <w:rsid w:val="00F32B48"/>
    <w:rsid w:val="00F32BE5"/>
    <w:rsid w:val="00F32C77"/>
    <w:rsid w:val="00F32DFD"/>
    <w:rsid w:val="00F32F56"/>
    <w:rsid w:val="00F33004"/>
    <w:rsid w:val="00F33080"/>
    <w:rsid w:val="00F3310B"/>
    <w:rsid w:val="00F331CD"/>
    <w:rsid w:val="00F3323D"/>
    <w:rsid w:val="00F332E4"/>
    <w:rsid w:val="00F334BC"/>
    <w:rsid w:val="00F334C2"/>
    <w:rsid w:val="00F3364C"/>
    <w:rsid w:val="00F3367B"/>
    <w:rsid w:val="00F33844"/>
    <w:rsid w:val="00F33A7F"/>
    <w:rsid w:val="00F33BAD"/>
    <w:rsid w:val="00F33C8A"/>
    <w:rsid w:val="00F33F77"/>
    <w:rsid w:val="00F34134"/>
    <w:rsid w:val="00F34308"/>
    <w:rsid w:val="00F34409"/>
    <w:rsid w:val="00F345F4"/>
    <w:rsid w:val="00F34824"/>
    <w:rsid w:val="00F3496E"/>
    <w:rsid w:val="00F34DDB"/>
    <w:rsid w:val="00F34E82"/>
    <w:rsid w:val="00F34EA4"/>
    <w:rsid w:val="00F34EC4"/>
    <w:rsid w:val="00F35199"/>
    <w:rsid w:val="00F351B6"/>
    <w:rsid w:val="00F351C2"/>
    <w:rsid w:val="00F35577"/>
    <w:rsid w:val="00F35582"/>
    <w:rsid w:val="00F3559C"/>
    <w:rsid w:val="00F3579A"/>
    <w:rsid w:val="00F3584A"/>
    <w:rsid w:val="00F3585E"/>
    <w:rsid w:val="00F358A8"/>
    <w:rsid w:val="00F35A43"/>
    <w:rsid w:val="00F35BA2"/>
    <w:rsid w:val="00F35C8D"/>
    <w:rsid w:val="00F35D3C"/>
    <w:rsid w:val="00F35F62"/>
    <w:rsid w:val="00F36103"/>
    <w:rsid w:val="00F36234"/>
    <w:rsid w:val="00F3639D"/>
    <w:rsid w:val="00F366ED"/>
    <w:rsid w:val="00F366F5"/>
    <w:rsid w:val="00F367D9"/>
    <w:rsid w:val="00F36821"/>
    <w:rsid w:val="00F3695F"/>
    <w:rsid w:val="00F36A8D"/>
    <w:rsid w:val="00F36AB4"/>
    <w:rsid w:val="00F36AC4"/>
    <w:rsid w:val="00F36B11"/>
    <w:rsid w:val="00F36B86"/>
    <w:rsid w:val="00F36B93"/>
    <w:rsid w:val="00F36BCF"/>
    <w:rsid w:val="00F36D39"/>
    <w:rsid w:val="00F36DE3"/>
    <w:rsid w:val="00F371A9"/>
    <w:rsid w:val="00F3742E"/>
    <w:rsid w:val="00F374CB"/>
    <w:rsid w:val="00F377D3"/>
    <w:rsid w:val="00F37859"/>
    <w:rsid w:val="00F379CF"/>
    <w:rsid w:val="00F37D9D"/>
    <w:rsid w:val="00F37DA9"/>
    <w:rsid w:val="00F37DBE"/>
    <w:rsid w:val="00F37DC9"/>
    <w:rsid w:val="00F37E17"/>
    <w:rsid w:val="00F37F45"/>
    <w:rsid w:val="00F4008D"/>
    <w:rsid w:val="00F402D8"/>
    <w:rsid w:val="00F40620"/>
    <w:rsid w:val="00F4072F"/>
    <w:rsid w:val="00F40916"/>
    <w:rsid w:val="00F40A90"/>
    <w:rsid w:val="00F40C8C"/>
    <w:rsid w:val="00F40DC5"/>
    <w:rsid w:val="00F40E23"/>
    <w:rsid w:val="00F40E85"/>
    <w:rsid w:val="00F4109F"/>
    <w:rsid w:val="00F4114B"/>
    <w:rsid w:val="00F4126A"/>
    <w:rsid w:val="00F41310"/>
    <w:rsid w:val="00F413F3"/>
    <w:rsid w:val="00F4185D"/>
    <w:rsid w:val="00F41A08"/>
    <w:rsid w:val="00F41CBF"/>
    <w:rsid w:val="00F41CD1"/>
    <w:rsid w:val="00F41DFB"/>
    <w:rsid w:val="00F41E42"/>
    <w:rsid w:val="00F41E8E"/>
    <w:rsid w:val="00F42042"/>
    <w:rsid w:val="00F4211A"/>
    <w:rsid w:val="00F42208"/>
    <w:rsid w:val="00F42245"/>
    <w:rsid w:val="00F422B0"/>
    <w:rsid w:val="00F422D7"/>
    <w:rsid w:val="00F4241D"/>
    <w:rsid w:val="00F42538"/>
    <w:rsid w:val="00F425B1"/>
    <w:rsid w:val="00F42613"/>
    <w:rsid w:val="00F42940"/>
    <w:rsid w:val="00F42B11"/>
    <w:rsid w:val="00F42B5F"/>
    <w:rsid w:val="00F42B92"/>
    <w:rsid w:val="00F42F76"/>
    <w:rsid w:val="00F42FAD"/>
    <w:rsid w:val="00F430D6"/>
    <w:rsid w:val="00F43152"/>
    <w:rsid w:val="00F433AA"/>
    <w:rsid w:val="00F434A2"/>
    <w:rsid w:val="00F43547"/>
    <w:rsid w:val="00F43572"/>
    <w:rsid w:val="00F43708"/>
    <w:rsid w:val="00F4375C"/>
    <w:rsid w:val="00F43768"/>
    <w:rsid w:val="00F43894"/>
    <w:rsid w:val="00F439A6"/>
    <w:rsid w:val="00F43D36"/>
    <w:rsid w:val="00F43F9B"/>
    <w:rsid w:val="00F43FE9"/>
    <w:rsid w:val="00F4402F"/>
    <w:rsid w:val="00F44105"/>
    <w:rsid w:val="00F441FE"/>
    <w:rsid w:val="00F442A2"/>
    <w:rsid w:val="00F44308"/>
    <w:rsid w:val="00F4440B"/>
    <w:rsid w:val="00F4443C"/>
    <w:rsid w:val="00F44629"/>
    <w:rsid w:val="00F4468D"/>
    <w:rsid w:val="00F44773"/>
    <w:rsid w:val="00F44886"/>
    <w:rsid w:val="00F448EB"/>
    <w:rsid w:val="00F44A42"/>
    <w:rsid w:val="00F44B2F"/>
    <w:rsid w:val="00F44DDF"/>
    <w:rsid w:val="00F44F3E"/>
    <w:rsid w:val="00F44F79"/>
    <w:rsid w:val="00F45053"/>
    <w:rsid w:val="00F4512D"/>
    <w:rsid w:val="00F45586"/>
    <w:rsid w:val="00F455A6"/>
    <w:rsid w:val="00F456B5"/>
    <w:rsid w:val="00F45845"/>
    <w:rsid w:val="00F458FC"/>
    <w:rsid w:val="00F459E9"/>
    <w:rsid w:val="00F45A86"/>
    <w:rsid w:val="00F45B08"/>
    <w:rsid w:val="00F45CED"/>
    <w:rsid w:val="00F45D0B"/>
    <w:rsid w:val="00F45D61"/>
    <w:rsid w:val="00F45D70"/>
    <w:rsid w:val="00F45DCA"/>
    <w:rsid w:val="00F45E25"/>
    <w:rsid w:val="00F45FA2"/>
    <w:rsid w:val="00F46310"/>
    <w:rsid w:val="00F4636F"/>
    <w:rsid w:val="00F463B2"/>
    <w:rsid w:val="00F463DB"/>
    <w:rsid w:val="00F46445"/>
    <w:rsid w:val="00F465AE"/>
    <w:rsid w:val="00F465FB"/>
    <w:rsid w:val="00F4673E"/>
    <w:rsid w:val="00F467DA"/>
    <w:rsid w:val="00F46B13"/>
    <w:rsid w:val="00F46D71"/>
    <w:rsid w:val="00F46E88"/>
    <w:rsid w:val="00F46F63"/>
    <w:rsid w:val="00F47010"/>
    <w:rsid w:val="00F47014"/>
    <w:rsid w:val="00F47298"/>
    <w:rsid w:val="00F472BD"/>
    <w:rsid w:val="00F472E1"/>
    <w:rsid w:val="00F473B7"/>
    <w:rsid w:val="00F47508"/>
    <w:rsid w:val="00F4774F"/>
    <w:rsid w:val="00F477C4"/>
    <w:rsid w:val="00F477EC"/>
    <w:rsid w:val="00F47B4B"/>
    <w:rsid w:val="00F47C1A"/>
    <w:rsid w:val="00F47DC3"/>
    <w:rsid w:val="00F47EA4"/>
    <w:rsid w:val="00F5026F"/>
    <w:rsid w:val="00F502B5"/>
    <w:rsid w:val="00F502D4"/>
    <w:rsid w:val="00F502E0"/>
    <w:rsid w:val="00F5032F"/>
    <w:rsid w:val="00F50676"/>
    <w:rsid w:val="00F5078A"/>
    <w:rsid w:val="00F50829"/>
    <w:rsid w:val="00F50B22"/>
    <w:rsid w:val="00F50CE7"/>
    <w:rsid w:val="00F50D9C"/>
    <w:rsid w:val="00F50E67"/>
    <w:rsid w:val="00F510AB"/>
    <w:rsid w:val="00F51641"/>
    <w:rsid w:val="00F516E3"/>
    <w:rsid w:val="00F51A90"/>
    <w:rsid w:val="00F51D1E"/>
    <w:rsid w:val="00F51D63"/>
    <w:rsid w:val="00F51E09"/>
    <w:rsid w:val="00F51E21"/>
    <w:rsid w:val="00F5205C"/>
    <w:rsid w:val="00F521B8"/>
    <w:rsid w:val="00F52259"/>
    <w:rsid w:val="00F5226D"/>
    <w:rsid w:val="00F524E4"/>
    <w:rsid w:val="00F526A1"/>
    <w:rsid w:val="00F5270F"/>
    <w:rsid w:val="00F5273E"/>
    <w:rsid w:val="00F52997"/>
    <w:rsid w:val="00F529EE"/>
    <w:rsid w:val="00F52A4F"/>
    <w:rsid w:val="00F52A93"/>
    <w:rsid w:val="00F52BD1"/>
    <w:rsid w:val="00F52FBB"/>
    <w:rsid w:val="00F530DC"/>
    <w:rsid w:val="00F5319D"/>
    <w:rsid w:val="00F5323F"/>
    <w:rsid w:val="00F532B9"/>
    <w:rsid w:val="00F534DD"/>
    <w:rsid w:val="00F53532"/>
    <w:rsid w:val="00F53652"/>
    <w:rsid w:val="00F538D2"/>
    <w:rsid w:val="00F53962"/>
    <w:rsid w:val="00F53A0C"/>
    <w:rsid w:val="00F53BBE"/>
    <w:rsid w:val="00F53C21"/>
    <w:rsid w:val="00F53C51"/>
    <w:rsid w:val="00F53E6B"/>
    <w:rsid w:val="00F53EA8"/>
    <w:rsid w:val="00F53FF4"/>
    <w:rsid w:val="00F5420E"/>
    <w:rsid w:val="00F543D4"/>
    <w:rsid w:val="00F544F9"/>
    <w:rsid w:val="00F545A4"/>
    <w:rsid w:val="00F547DF"/>
    <w:rsid w:val="00F54845"/>
    <w:rsid w:val="00F548C2"/>
    <w:rsid w:val="00F54A9E"/>
    <w:rsid w:val="00F54AA2"/>
    <w:rsid w:val="00F54B42"/>
    <w:rsid w:val="00F54B57"/>
    <w:rsid w:val="00F54D3B"/>
    <w:rsid w:val="00F54ED5"/>
    <w:rsid w:val="00F550F8"/>
    <w:rsid w:val="00F551BC"/>
    <w:rsid w:val="00F55290"/>
    <w:rsid w:val="00F552F6"/>
    <w:rsid w:val="00F554ED"/>
    <w:rsid w:val="00F55524"/>
    <w:rsid w:val="00F555BF"/>
    <w:rsid w:val="00F55644"/>
    <w:rsid w:val="00F55809"/>
    <w:rsid w:val="00F55953"/>
    <w:rsid w:val="00F55AA1"/>
    <w:rsid w:val="00F55BE8"/>
    <w:rsid w:val="00F55D67"/>
    <w:rsid w:val="00F55DD9"/>
    <w:rsid w:val="00F55EFF"/>
    <w:rsid w:val="00F55F99"/>
    <w:rsid w:val="00F5615C"/>
    <w:rsid w:val="00F563B2"/>
    <w:rsid w:val="00F563DB"/>
    <w:rsid w:val="00F5644B"/>
    <w:rsid w:val="00F56669"/>
    <w:rsid w:val="00F566B1"/>
    <w:rsid w:val="00F566C0"/>
    <w:rsid w:val="00F567DE"/>
    <w:rsid w:val="00F56838"/>
    <w:rsid w:val="00F5690A"/>
    <w:rsid w:val="00F56AC0"/>
    <w:rsid w:val="00F56CE1"/>
    <w:rsid w:val="00F570B2"/>
    <w:rsid w:val="00F570C5"/>
    <w:rsid w:val="00F57230"/>
    <w:rsid w:val="00F57326"/>
    <w:rsid w:val="00F5739D"/>
    <w:rsid w:val="00F574E3"/>
    <w:rsid w:val="00F576A8"/>
    <w:rsid w:val="00F576CE"/>
    <w:rsid w:val="00F57831"/>
    <w:rsid w:val="00F57915"/>
    <w:rsid w:val="00F57A1C"/>
    <w:rsid w:val="00F57B77"/>
    <w:rsid w:val="00F57EA5"/>
    <w:rsid w:val="00F57F9F"/>
    <w:rsid w:val="00F600A0"/>
    <w:rsid w:val="00F603BB"/>
    <w:rsid w:val="00F604A0"/>
    <w:rsid w:val="00F6050F"/>
    <w:rsid w:val="00F6056A"/>
    <w:rsid w:val="00F60612"/>
    <w:rsid w:val="00F607B1"/>
    <w:rsid w:val="00F60843"/>
    <w:rsid w:val="00F60905"/>
    <w:rsid w:val="00F610D3"/>
    <w:rsid w:val="00F6146E"/>
    <w:rsid w:val="00F61669"/>
    <w:rsid w:val="00F616FB"/>
    <w:rsid w:val="00F61A1F"/>
    <w:rsid w:val="00F61B58"/>
    <w:rsid w:val="00F61BDB"/>
    <w:rsid w:val="00F61C3C"/>
    <w:rsid w:val="00F61DF1"/>
    <w:rsid w:val="00F61FBE"/>
    <w:rsid w:val="00F61FD9"/>
    <w:rsid w:val="00F6201D"/>
    <w:rsid w:val="00F62098"/>
    <w:rsid w:val="00F6231E"/>
    <w:rsid w:val="00F62324"/>
    <w:rsid w:val="00F623A0"/>
    <w:rsid w:val="00F623AB"/>
    <w:rsid w:val="00F6271C"/>
    <w:rsid w:val="00F6271E"/>
    <w:rsid w:val="00F6291C"/>
    <w:rsid w:val="00F6292E"/>
    <w:rsid w:val="00F62AC7"/>
    <w:rsid w:val="00F62B53"/>
    <w:rsid w:val="00F62CD8"/>
    <w:rsid w:val="00F63055"/>
    <w:rsid w:val="00F630C1"/>
    <w:rsid w:val="00F630F9"/>
    <w:rsid w:val="00F632BB"/>
    <w:rsid w:val="00F635E5"/>
    <w:rsid w:val="00F63AF6"/>
    <w:rsid w:val="00F63BEB"/>
    <w:rsid w:val="00F63C4F"/>
    <w:rsid w:val="00F63C5D"/>
    <w:rsid w:val="00F63D8A"/>
    <w:rsid w:val="00F63D9F"/>
    <w:rsid w:val="00F63E50"/>
    <w:rsid w:val="00F63FC3"/>
    <w:rsid w:val="00F64130"/>
    <w:rsid w:val="00F6419B"/>
    <w:rsid w:val="00F641C4"/>
    <w:rsid w:val="00F641FA"/>
    <w:rsid w:val="00F643E3"/>
    <w:rsid w:val="00F643F7"/>
    <w:rsid w:val="00F6442C"/>
    <w:rsid w:val="00F6444C"/>
    <w:rsid w:val="00F6454B"/>
    <w:rsid w:val="00F64587"/>
    <w:rsid w:val="00F645DC"/>
    <w:rsid w:val="00F64AB5"/>
    <w:rsid w:val="00F64B85"/>
    <w:rsid w:val="00F64C59"/>
    <w:rsid w:val="00F64C66"/>
    <w:rsid w:val="00F64F27"/>
    <w:rsid w:val="00F64F7A"/>
    <w:rsid w:val="00F65152"/>
    <w:rsid w:val="00F651DE"/>
    <w:rsid w:val="00F652A6"/>
    <w:rsid w:val="00F6532D"/>
    <w:rsid w:val="00F653AF"/>
    <w:rsid w:val="00F655EB"/>
    <w:rsid w:val="00F6589E"/>
    <w:rsid w:val="00F65986"/>
    <w:rsid w:val="00F659CD"/>
    <w:rsid w:val="00F65B04"/>
    <w:rsid w:val="00F65B18"/>
    <w:rsid w:val="00F65B63"/>
    <w:rsid w:val="00F65B80"/>
    <w:rsid w:val="00F65D78"/>
    <w:rsid w:val="00F65DBD"/>
    <w:rsid w:val="00F65EB0"/>
    <w:rsid w:val="00F65F38"/>
    <w:rsid w:val="00F65F4A"/>
    <w:rsid w:val="00F65F75"/>
    <w:rsid w:val="00F65F97"/>
    <w:rsid w:val="00F66188"/>
    <w:rsid w:val="00F6627D"/>
    <w:rsid w:val="00F66750"/>
    <w:rsid w:val="00F667D1"/>
    <w:rsid w:val="00F6692F"/>
    <w:rsid w:val="00F669BB"/>
    <w:rsid w:val="00F66A19"/>
    <w:rsid w:val="00F66A49"/>
    <w:rsid w:val="00F66A4F"/>
    <w:rsid w:val="00F66AF7"/>
    <w:rsid w:val="00F66F71"/>
    <w:rsid w:val="00F670C1"/>
    <w:rsid w:val="00F6715E"/>
    <w:rsid w:val="00F67633"/>
    <w:rsid w:val="00F67643"/>
    <w:rsid w:val="00F6773E"/>
    <w:rsid w:val="00F67756"/>
    <w:rsid w:val="00F6775A"/>
    <w:rsid w:val="00F67A69"/>
    <w:rsid w:val="00F67D14"/>
    <w:rsid w:val="00F67EF4"/>
    <w:rsid w:val="00F70267"/>
    <w:rsid w:val="00F7038F"/>
    <w:rsid w:val="00F70399"/>
    <w:rsid w:val="00F703D3"/>
    <w:rsid w:val="00F705C0"/>
    <w:rsid w:val="00F706FB"/>
    <w:rsid w:val="00F707F1"/>
    <w:rsid w:val="00F70885"/>
    <w:rsid w:val="00F70A3F"/>
    <w:rsid w:val="00F70B59"/>
    <w:rsid w:val="00F70C0D"/>
    <w:rsid w:val="00F70CF7"/>
    <w:rsid w:val="00F70D18"/>
    <w:rsid w:val="00F70F22"/>
    <w:rsid w:val="00F7113C"/>
    <w:rsid w:val="00F7118F"/>
    <w:rsid w:val="00F711B2"/>
    <w:rsid w:val="00F711D4"/>
    <w:rsid w:val="00F71217"/>
    <w:rsid w:val="00F71286"/>
    <w:rsid w:val="00F714DF"/>
    <w:rsid w:val="00F714F0"/>
    <w:rsid w:val="00F71508"/>
    <w:rsid w:val="00F71530"/>
    <w:rsid w:val="00F71566"/>
    <w:rsid w:val="00F717CD"/>
    <w:rsid w:val="00F718E6"/>
    <w:rsid w:val="00F71912"/>
    <w:rsid w:val="00F719A2"/>
    <w:rsid w:val="00F71A47"/>
    <w:rsid w:val="00F71AF4"/>
    <w:rsid w:val="00F71D9A"/>
    <w:rsid w:val="00F720A5"/>
    <w:rsid w:val="00F720AE"/>
    <w:rsid w:val="00F72186"/>
    <w:rsid w:val="00F72211"/>
    <w:rsid w:val="00F7227B"/>
    <w:rsid w:val="00F722DB"/>
    <w:rsid w:val="00F7252F"/>
    <w:rsid w:val="00F72773"/>
    <w:rsid w:val="00F72AC8"/>
    <w:rsid w:val="00F72BF1"/>
    <w:rsid w:val="00F72F02"/>
    <w:rsid w:val="00F72F98"/>
    <w:rsid w:val="00F72FE1"/>
    <w:rsid w:val="00F7312F"/>
    <w:rsid w:val="00F73137"/>
    <w:rsid w:val="00F73142"/>
    <w:rsid w:val="00F731BD"/>
    <w:rsid w:val="00F731F6"/>
    <w:rsid w:val="00F7344D"/>
    <w:rsid w:val="00F7347B"/>
    <w:rsid w:val="00F735F7"/>
    <w:rsid w:val="00F73641"/>
    <w:rsid w:val="00F7382D"/>
    <w:rsid w:val="00F7384F"/>
    <w:rsid w:val="00F738EA"/>
    <w:rsid w:val="00F7398C"/>
    <w:rsid w:val="00F73B0F"/>
    <w:rsid w:val="00F73C46"/>
    <w:rsid w:val="00F73E0A"/>
    <w:rsid w:val="00F73EAB"/>
    <w:rsid w:val="00F74175"/>
    <w:rsid w:val="00F74234"/>
    <w:rsid w:val="00F745FE"/>
    <w:rsid w:val="00F7469B"/>
    <w:rsid w:val="00F747EB"/>
    <w:rsid w:val="00F74B49"/>
    <w:rsid w:val="00F74BD1"/>
    <w:rsid w:val="00F74BE0"/>
    <w:rsid w:val="00F74C3E"/>
    <w:rsid w:val="00F74FC3"/>
    <w:rsid w:val="00F7508E"/>
    <w:rsid w:val="00F75212"/>
    <w:rsid w:val="00F75321"/>
    <w:rsid w:val="00F75351"/>
    <w:rsid w:val="00F753AF"/>
    <w:rsid w:val="00F7548C"/>
    <w:rsid w:val="00F754C0"/>
    <w:rsid w:val="00F75578"/>
    <w:rsid w:val="00F755C0"/>
    <w:rsid w:val="00F75616"/>
    <w:rsid w:val="00F756A8"/>
    <w:rsid w:val="00F75788"/>
    <w:rsid w:val="00F758D9"/>
    <w:rsid w:val="00F7598B"/>
    <w:rsid w:val="00F759E5"/>
    <w:rsid w:val="00F75B39"/>
    <w:rsid w:val="00F75C4D"/>
    <w:rsid w:val="00F75EF3"/>
    <w:rsid w:val="00F75F05"/>
    <w:rsid w:val="00F75F0E"/>
    <w:rsid w:val="00F75F8C"/>
    <w:rsid w:val="00F75FE6"/>
    <w:rsid w:val="00F76080"/>
    <w:rsid w:val="00F760E7"/>
    <w:rsid w:val="00F761E3"/>
    <w:rsid w:val="00F76300"/>
    <w:rsid w:val="00F763A9"/>
    <w:rsid w:val="00F763AC"/>
    <w:rsid w:val="00F764B0"/>
    <w:rsid w:val="00F765BC"/>
    <w:rsid w:val="00F76630"/>
    <w:rsid w:val="00F76776"/>
    <w:rsid w:val="00F7688F"/>
    <w:rsid w:val="00F769C7"/>
    <w:rsid w:val="00F769D5"/>
    <w:rsid w:val="00F76AEC"/>
    <w:rsid w:val="00F76BC8"/>
    <w:rsid w:val="00F76C2B"/>
    <w:rsid w:val="00F76C42"/>
    <w:rsid w:val="00F76E2B"/>
    <w:rsid w:val="00F76E2F"/>
    <w:rsid w:val="00F77004"/>
    <w:rsid w:val="00F770B8"/>
    <w:rsid w:val="00F771EC"/>
    <w:rsid w:val="00F772DF"/>
    <w:rsid w:val="00F7752E"/>
    <w:rsid w:val="00F77885"/>
    <w:rsid w:val="00F77B1F"/>
    <w:rsid w:val="00F77F41"/>
    <w:rsid w:val="00F80433"/>
    <w:rsid w:val="00F805AE"/>
    <w:rsid w:val="00F807CB"/>
    <w:rsid w:val="00F80B34"/>
    <w:rsid w:val="00F81086"/>
    <w:rsid w:val="00F81426"/>
    <w:rsid w:val="00F81608"/>
    <w:rsid w:val="00F81793"/>
    <w:rsid w:val="00F8187E"/>
    <w:rsid w:val="00F81E55"/>
    <w:rsid w:val="00F81EB7"/>
    <w:rsid w:val="00F81EFD"/>
    <w:rsid w:val="00F82229"/>
    <w:rsid w:val="00F822E7"/>
    <w:rsid w:val="00F8231D"/>
    <w:rsid w:val="00F82356"/>
    <w:rsid w:val="00F8235B"/>
    <w:rsid w:val="00F8239E"/>
    <w:rsid w:val="00F82593"/>
    <w:rsid w:val="00F825DC"/>
    <w:rsid w:val="00F8266A"/>
    <w:rsid w:val="00F827DE"/>
    <w:rsid w:val="00F82A6E"/>
    <w:rsid w:val="00F82B36"/>
    <w:rsid w:val="00F82C74"/>
    <w:rsid w:val="00F82DC5"/>
    <w:rsid w:val="00F82DCB"/>
    <w:rsid w:val="00F82E96"/>
    <w:rsid w:val="00F82EFC"/>
    <w:rsid w:val="00F82F7C"/>
    <w:rsid w:val="00F83260"/>
    <w:rsid w:val="00F83272"/>
    <w:rsid w:val="00F832DB"/>
    <w:rsid w:val="00F8330C"/>
    <w:rsid w:val="00F83340"/>
    <w:rsid w:val="00F83560"/>
    <w:rsid w:val="00F835F3"/>
    <w:rsid w:val="00F83689"/>
    <w:rsid w:val="00F836C1"/>
    <w:rsid w:val="00F839FE"/>
    <w:rsid w:val="00F83AD1"/>
    <w:rsid w:val="00F83B13"/>
    <w:rsid w:val="00F83B35"/>
    <w:rsid w:val="00F83B82"/>
    <w:rsid w:val="00F83BA1"/>
    <w:rsid w:val="00F83C80"/>
    <w:rsid w:val="00F840A0"/>
    <w:rsid w:val="00F8416C"/>
    <w:rsid w:val="00F84185"/>
    <w:rsid w:val="00F8425B"/>
    <w:rsid w:val="00F843C1"/>
    <w:rsid w:val="00F84400"/>
    <w:rsid w:val="00F844D5"/>
    <w:rsid w:val="00F845B0"/>
    <w:rsid w:val="00F846D6"/>
    <w:rsid w:val="00F846DD"/>
    <w:rsid w:val="00F84A2C"/>
    <w:rsid w:val="00F84AC9"/>
    <w:rsid w:val="00F84C78"/>
    <w:rsid w:val="00F84DB2"/>
    <w:rsid w:val="00F84E89"/>
    <w:rsid w:val="00F84EFA"/>
    <w:rsid w:val="00F84FF8"/>
    <w:rsid w:val="00F85006"/>
    <w:rsid w:val="00F8512C"/>
    <w:rsid w:val="00F85166"/>
    <w:rsid w:val="00F8522B"/>
    <w:rsid w:val="00F85258"/>
    <w:rsid w:val="00F852AA"/>
    <w:rsid w:val="00F852C0"/>
    <w:rsid w:val="00F8531B"/>
    <w:rsid w:val="00F85373"/>
    <w:rsid w:val="00F854BE"/>
    <w:rsid w:val="00F8556D"/>
    <w:rsid w:val="00F85781"/>
    <w:rsid w:val="00F858A6"/>
    <w:rsid w:val="00F85A28"/>
    <w:rsid w:val="00F85B35"/>
    <w:rsid w:val="00F85B38"/>
    <w:rsid w:val="00F85D9D"/>
    <w:rsid w:val="00F85E03"/>
    <w:rsid w:val="00F85E11"/>
    <w:rsid w:val="00F85FBA"/>
    <w:rsid w:val="00F86075"/>
    <w:rsid w:val="00F86099"/>
    <w:rsid w:val="00F860A2"/>
    <w:rsid w:val="00F860CB"/>
    <w:rsid w:val="00F86360"/>
    <w:rsid w:val="00F865DE"/>
    <w:rsid w:val="00F8666D"/>
    <w:rsid w:val="00F86719"/>
    <w:rsid w:val="00F867EA"/>
    <w:rsid w:val="00F86819"/>
    <w:rsid w:val="00F86C91"/>
    <w:rsid w:val="00F86E58"/>
    <w:rsid w:val="00F87050"/>
    <w:rsid w:val="00F871BD"/>
    <w:rsid w:val="00F871C5"/>
    <w:rsid w:val="00F871CB"/>
    <w:rsid w:val="00F87212"/>
    <w:rsid w:val="00F8724F"/>
    <w:rsid w:val="00F8728A"/>
    <w:rsid w:val="00F8737C"/>
    <w:rsid w:val="00F874D3"/>
    <w:rsid w:val="00F8753E"/>
    <w:rsid w:val="00F875B0"/>
    <w:rsid w:val="00F87704"/>
    <w:rsid w:val="00F87796"/>
    <w:rsid w:val="00F877F4"/>
    <w:rsid w:val="00F8782A"/>
    <w:rsid w:val="00F878E9"/>
    <w:rsid w:val="00F879BD"/>
    <w:rsid w:val="00F87AD5"/>
    <w:rsid w:val="00F87C07"/>
    <w:rsid w:val="00F87D0B"/>
    <w:rsid w:val="00F87D99"/>
    <w:rsid w:val="00F87DC2"/>
    <w:rsid w:val="00F87ECF"/>
    <w:rsid w:val="00F87F9E"/>
    <w:rsid w:val="00F905C5"/>
    <w:rsid w:val="00F9064D"/>
    <w:rsid w:val="00F9079F"/>
    <w:rsid w:val="00F907B4"/>
    <w:rsid w:val="00F90889"/>
    <w:rsid w:val="00F9089E"/>
    <w:rsid w:val="00F90936"/>
    <w:rsid w:val="00F90BB0"/>
    <w:rsid w:val="00F90C50"/>
    <w:rsid w:val="00F90E4F"/>
    <w:rsid w:val="00F90ECA"/>
    <w:rsid w:val="00F90F53"/>
    <w:rsid w:val="00F9101A"/>
    <w:rsid w:val="00F910E5"/>
    <w:rsid w:val="00F9121D"/>
    <w:rsid w:val="00F91323"/>
    <w:rsid w:val="00F91666"/>
    <w:rsid w:val="00F916E5"/>
    <w:rsid w:val="00F91765"/>
    <w:rsid w:val="00F91777"/>
    <w:rsid w:val="00F917A6"/>
    <w:rsid w:val="00F91822"/>
    <w:rsid w:val="00F918AD"/>
    <w:rsid w:val="00F91934"/>
    <w:rsid w:val="00F91A2D"/>
    <w:rsid w:val="00F91A8C"/>
    <w:rsid w:val="00F91BAD"/>
    <w:rsid w:val="00F91C78"/>
    <w:rsid w:val="00F91CDC"/>
    <w:rsid w:val="00F91DD6"/>
    <w:rsid w:val="00F91F93"/>
    <w:rsid w:val="00F92014"/>
    <w:rsid w:val="00F921A7"/>
    <w:rsid w:val="00F92266"/>
    <w:rsid w:val="00F9238F"/>
    <w:rsid w:val="00F9244C"/>
    <w:rsid w:val="00F924EF"/>
    <w:rsid w:val="00F92590"/>
    <w:rsid w:val="00F92663"/>
    <w:rsid w:val="00F929C4"/>
    <w:rsid w:val="00F92BD4"/>
    <w:rsid w:val="00F92E0D"/>
    <w:rsid w:val="00F92E7B"/>
    <w:rsid w:val="00F92EA2"/>
    <w:rsid w:val="00F930CA"/>
    <w:rsid w:val="00F93118"/>
    <w:rsid w:val="00F932C1"/>
    <w:rsid w:val="00F934BF"/>
    <w:rsid w:val="00F9354D"/>
    <w:rsid w:val="00F93665"/>
    <w:rsid w:val="00F936E2"/>
    <w:rsid w:val="00F9383B"/>
    <w:rsid w:val="00F93A10"/>
    <w:rsid w:val="00F93CC0"/>
    <w:rsid w:val="00F9400C"/>
    <w:rsid w:val="00F941B5"/>
    <w:rsid w:val="00F941E9"/>
    <w:rsid w:val="00F94246"/>
    <w:rsid w:val="00F94291"/>
    <w:rsid w:val="00F9434E"/>
    <w:rsid w:val="00F94427"/>
    <w:rsid w:val="00F9446B"/>
    <w:rsid w:val="00F94564"/>
    <w:rsid w:val="00F94652"/>
    <w:rsid w:val="00F946E3"/>
    <w:rsid w:val="00F94868"/>
    <w:rsid w:val="00F948A0"/>
    <w:rsid w:val="00F948E1"/>
    <w:rsid w:val="00F94982"/>
    <w:rsid w:val="00F949EB"/>
    <w:rsid w:val="00F94C0C"/>
    <w:rsid w:val="00F94ED2"/>
    <w:rsid w:val="00F94EF6"/>
    <w:rsid w:val="00F94F6A"/>
    <w:rsid w:val="00F9507E"/>
    <w:rsid w:val="00F95105"/>
    <w:rsid w:val="00F951BD"/>
    <w:rsid w:val="00F95230"/>
    <w:rsid w:val="00F9531D"/>
    <w:rsid w:val="00F954EC"/>
    <w:rsid w:val="00F95673"/>
    <w:rsid w:val="00F957D7"/>
    <w:rsid w:val="00F95A31"/>
    <w:rsid w:val="00F95B72"/>
    <w:rsid w:val="00F95D58"/>
    <w:rsid w:val="00F95E64"/>
    <w:rsid w:val="00F961A1"/>
    <w:rsid w:val="00F96295"/>
    <w:rsid w:val="00F962DA"/>
    <w:rsid w:val="00F96371"/>
    <w:rsid w:val="00F9641A"/>
    <w:rsid w:val="00F9653C"/>
    <w:rsid w:val="00F96782"/>
    <w:rsid w:val="00F969CB"/>
    <w:rsid w:val="00F96B2C"/>
    <w:rsid w:val="00F96B40"/>
    <w:rsid w:val="00F96E4E"/>
    <w:rsid w:val="00F96F2D"/>
    <w:rsid w:val="00F97118"/>
    <w:rsid w:val="00F971A9"/>
    <w:rsid w:val="00F97268"/>
    <w:rsid w:val="00F972B8"/>
    <w:rsid w:val="00F9738B"/>
    <w:rsid w:val="00F974DC"/>
    <w:rsid w:val="00F975BB"/>
    <w:rsid w:val="00F97737"/>
    <w:rsid w:val="00F97826"/>
    <w:rsid w:val="00F97896"/>
    <w:rsid w:val="00F9790E"/>
    <w:rsid w:val="00F97B69"/>
    <w:rsid w:val="00F97BC9"/>
    <w:rsid w:val="00F97D94"/>
    <w:rsid w:val="00FA005D"/>
    <w:rsid w:val="00FA0071"/>
    <w:rsid w:val="00FA00D3"/>
    <w:rsid w:val="00FA02E2"/>
    <w:rsid w:val="00FA0356"/>
    <w:rsid w:val="00FA045C"/>
    <w:rsid w:val="00FA046E"/>
    <w:rsid w:val="00FA04A1"/>
    <w:rsid w:val="00FA051A"/>
    <w:rsid w:val="00FA05DF"/>
    <w:rsid w:val="00FA06CB"/>
    <w:rsid w:val="00FA0799"/>
    <w:rsid w:val="00FA094E"/>
    <w:rsid w:val="00FA09BA"/>
    <w:rsid w:val="00FA0A9D"/>
    <w:rsid w:val="00FA0BB0"/>
    <w:rsid w:val="00FA0DB0"/>
    <w:rsid w:val="00FA0E89"/>
    <w:rsid w:val="00FA0FAF"/>
    <w:rsid w:val="00FA0FD1"/>
    <w:rsid w:val="00FA129A"/>
    <w:rsid w:val="00FA13F1"/>
    <w:rsid w:val="00FA1557"/>
    <w:rsid w:val="00FA161C"/>
    <w:rsid w:val="00FA16D6"/>
    <w:rsid w:val="00FA17BC"/>
    <w:rsid w:val="00FA1A01"/>
    <w:rsid w:val="00FA1A59"/>
    <w:rsid w:val="00FA1C4F"/>
    <w:rsid w:val="00FA1CC6"/>
    <w:rsid w:val="00FA1D28"/>
    <w:rsid w:val="00FA1E9E"/>
    <w:rsid w:val="00FA205F"/>
    <w:rsid w:val="00FA2065"/>
    <w:rsid w:val="00FA236E"/>
    <w:rsid w:val="00FA243A"/>
    <w:rsid w:val="00FA2521"/>
    <w:rsid w:val="00FA281B"/>
    <w:rsid w:val="00FA29C8"/>
    <w:rsid w:val="00FA2BD8"/>
    <w:rsid w:val="00FA2F6E"/>
    <w:rsid w:val="00FA3086"/>
    <w:rsid w:val="00FA3101"/>
    <w:rsid w:val="00FA3405"/>
    <w:rsid w:val="00FA34A4"/>
    <w:rsid w:val="00FA3558"/>
    <w:rsid w:val="00FA35A2"/>
    <w:rsid w:val="00FA3865"/>
    <w:rsid w:val="00FA3A77"/>
    <w:rsid w:val="00FA3A9A"/>
    <w:rsid w:val="00FA3C1C"/>
    <w:rsid w:val="00FA3D32"/>
    <w:rsid w:val="00FA3D7B"/>
    <w:rsid w:val="00FA3EB0"/>
    <w:rsid w:val="00FA3ECA"/>
    <w:rsid w:val="00FA3F51"/>
    <w:rsid w:val="00FA405A"/>
    <w:rsid w:val="00FA411B"/>
    <w:rsid w:val="00FA4233"/>
    <w:rsid w:val="00FA4349"/>
    <w:rsid w:val="00FA43C3"/>
    <w:rsid w:val="00FA44E5"/>
    <w:rsid w:val="00FA45CC"/>
    <w:rsid w:val="00FA4663"/>
    <w:rsid w:val="00FA46AB"/>
    <w:rsid w:val="00FA4747"/>
    <w:rsid w:val="00FA47D8"/>
    <w:rsid w:val="00FA4953"/>
    <w:rsid w:val="00FA4A77"/>
    <w:rsid w:val="00FA4AFF"/>
    <w:rsid w:val="00FA4B16"/>
    <w:rsid w:val="00FA4BC7"/>
    <w:rsid w:val="00FA4BD1"/>
    <w:rsid w:val="00FA4D73"/>
    <w:rsid w:val="00FA4DC2"/>
    <w:rsid w:val="00FA4F9A"/>
    <w:rsid w:val="00FA5001"/>
    <w:rsid w:val="00FA511A"/>
    <w:rsid w:val="00FA516D"/>
    <w:rsid w:val="00FA5278"/>
    <w:rsid w:val="00FA52A4"/>
    <w:rsid w:val="00FA52FE"/>
    <w:rsid w:val="00FA538E"/>
    <w:rsid w:val="00FA5495"/>
    <w:rsid w:val="00FA5B04"/>
    <w:rsid w:val="00FA5DAC"/>
    <w:rsid w:val="00FA5EAB"/>
    <w:rsid w:val="00FA5F10"/>
    <w:rsid w:val="00FA5F51"/>
    <w:rsid w:val="00FA60DD"/>
    <w:rsid w:val="00FA60EF"/>
    <w:rsid w:val="00FA648B"/>
    <w:rsid w:val="00FA6B36"/>
    <w:rsid w:val="00FA6B8C"/>
    <w:rsid w:val="00FA6C33"/>
    <w:rsid w:val="00FA6C36"/>
    <w:rsid w:val="00FA6C5C"/>
    <w:rsid w:val="00FA6DDB"/>
    <w:rsid w:val="00FA7217"/>
    <w:rsid w:val="00FA72AF"/>
    <w:rsid w:val="00FA7512"/>
    <w:rsid w:val="00FA75BC"/>
    <w:rsid w:val="00FA760B"/>
    <w:rsid w:val="00FA7612"/>
    <w:rsid w:val="00FA77AF"/>
    <w:rsid w:val="00FA77F1"/>
    <w:rsid w:val="00FA790D"/>
    <w:rsid w:val="00FA7A5C"/>
    <w:rsid w:val="00FA7A78"/>
    <w:rsid w:val="00FA7C0A"/>
    <w:rsid w:val="00FA7C1E"/>
    <w:rsid w:val="00FA7D36"/>
    <w:rsid w:val="00FA7D97"/>
    <w:rsid w:val="00FA7FBC"/>
    <w:rsid w:val="00FB0155"/>
    <w:rsid w:val="00FB01DB"/>
    <w:rsid w:val="00FB020B"/>
    <w:rsid w:val="00FB0298"/>
    <w:rsid w:val="00FB02A2"/>
    <w:rsid w:val="00FB03A8"/>
    <w:rsid w:val="00FB03B6"/>
    <w:rsid w:val="00FB03E0"/>
    <w:rsid w:val="00FB06E3"/>
    <w:rsid w:val="00FB06EB"/>
    <w:rsid w:val="00FB0770"/>
    <w:rsid w:val="00FB0824"/>
    <w:rsid w:val="00FB085B"/>
    <w:rsid w:val="00FB0B82"/>
    <w:rsid w:val="00FB0C39"/>
    <w:rsid w:val="00FB0C48"/>
    <w:rsid w:val="00FB0C5D"/>
    <w:rsid w:val="00FB0D7E"/>
    <w:rsid w:val="00FB0EB1"/>
    <w:rsid w:val="00FB0F19"/>
    <w:rsid w:val="00FB0FC1"/>
    <w:rsid w:val="00FB111B"/>
    <w:rsid w:val="00FB1158"/>
    <w:rsid w:val="00FB11BA"/>
    <w:rsid w:val="00FB1344"/>
    <w:rsid w:val="00FB14FB"/>
    <w:rsid w:val="00FB17EA"/>
    <w:rsid w:val="00FB18C4"/>
    <w:rsid w:val="00FB1A3F"/>
    <w:rsid w:val="00FB1ACA"/>
    <w:rsid w:val="00FB1B1B"/>
    <w:rsid w:val="00FB1C0D"/>
    <w:rsid w:val="00FB1C48"/>
    <w:rsid w:val="00FB1D4E"/>
    <w:rsid w:val="00FB1D8F"/>
    <w:rsid w:val="00FB1DB8"/>
    <w:rsid w:val="00FB1E78"/>
    <w:rsid w:val="00FB1E8A"/>
    <w:rsid w:val="00FB1EB3"/>
    <w:rsid w:val="00FB1FDE"/>
    <w:rsid w:val="00FB2080"/>
    <w:rsid w:val="00FB2344"/>
    <w:rsid w:val="00FB252D"/>
    <w:rsid w:val="00FB2580"/>
    <w:rsid w:val="00FB25F0"/>
    <w:rsid w:val="00FB2772"/>
    <w:rsid w:val="00FB2803"/>
    <w:rsid w:val="00FB2820"/>
    <w:rsid w:val="00FB2824"/>
    <w:rsid w:val="00FB29CE"/>
    <w:rsid w:val="00FB2B29"/>
    <w:rsid w:val="00FB2C79"/>
    <w:rsid w:val="00FB2CE1"/>
    <w:rsid w:val="00FB2D09"/>
    <w:rsid w:val="00FB2F19"/>
    <w:rsid w:val="00FB321B"/>
    <w:rsid w:val="00FB3308"/>
    <w:rsid w:val="00FB33A3"/>
    <w:rsid w:val="00FB33B9"/>
    <w:rsid w:val="00FB35BC"/>
    <w:rsid w:val="00FB3939"/>
    <w:rsid w:val="00FB39F2"/>
    <w:rsid w:val="00FB3DE4"/>
    <w:rsid w:val="00FB3ED6"/>
    <w:rsid w:val="00FB4160"/>
    <w:rsid w:val="00FB4404"/>
    <w:rsid w:val="00FB445F"/>
    <w:rsid w:val="00FB464D"/>
    <w:rsid w:val="00FB490D"/>
    <w:rsid w:val="00FB49D6"/>
    <w:rsid w:val="00FB4AA4"/>
    <w:rsid w:val="00FB4AD6"/>
    <w:rsid w:val="00FB4C48"/>
    <w:rsid w:val="00FB4DBB"/>
    <w:rsid w:val="00FB4DCC"/>
    <w:rsid w:val="00FB4DD9"/>
    <w:rsid w:val="00FB50A0"/>
    <w:rsid w:val="00FB50CE"/>
    <w:rsid w:val="00FB5114"/>
    <w:rsid w:val="00FB5138"/>
    <w:rsid w:val="00FB51CA"/>
    <w:rsid w:val="00FB540D"/>
    <w:rsid w:val="00FB545C"/>
    <w:rsid w:val="00FB556F"/>
    <w:rsid w:val="00FB55C8"/>
    <w:rsid w:val="00FB57B5"/>
    <w:rsid w:val="00FB5860"/>
    <w:rsid w:val="00FB58E6"/>
    <w:rsid w:val="00FB5992"/>
    <w:rsid w:val="00FB5B55"/>
    <w:rsid w:val="00FB5CF3"/>
    <w:rsid w:val="00FB5D57"/>
    <w:rsid w:val="00FB5EE8"/>
    <w:rsid w:val="00FB5F1A"/>
    <w:rsid w:val="00FB606D"/>
    <w:rsid w:val="00FB6466"/>
    <w:rsid w:val="00FB6643"/>
    <w:rsid w:val="00FB6676"/>
    <w:rsid w:val="00FB685D"/>
    <w:rsid w:val="00FB6A08"/>
    <w:rsid w:val="00FB6A30"/>
    <w:rsid w:val="00FB6BAD"/>
    <w:rsid w:val="00FB6D43"/>
    <w:rsid w:val="00FB6F63"/>
    <w:rsid w:val="00FB6FE5"/>
    <w:rsid w:val="00FB7052"/>
    <w:rsid w:val="00FB717B"/>
    <w:rsid w:val="00FB71F9"/>
    <w:rsid w:val="00FB7398"/>
    <w:rsid w:val="00FB74BD"/>
    <w:rsid w:val="00FB75A0"/>
    <w:rsid w:val="00FB75D4"/>
    <w:rsid w:val="00FB784E"/>
    <w:rsid w:val="00FB7870"/>
    <w:rsid w:val="00FB788F"/>
    <w:rsid w:val="00FB7A0A"/>
    <w:rsid w:val="00FB7A97"/>
    <w:rsid w:val="00FB7AE4"/>
    <w:rsid w:val="00FB7B6B"/>
    <w:rsid w:val="00FB7B83"/>
    <w:rsid w:val="00FB7CF1"/>
    <w:rsid w:val="00FB7D17"/>
    <w:rsid w:val="00FC000F"/>
    <w:rsid w:val="00FC00C6"/>
    <w:rsid w:val="00FC0119"/>
    <w:rsid w:val="00FC02F2"/>
    <w:rsid w:val="00FC0363"/>
    <w:rsid w:val="00FC044B"/>
    <w:rsid w:val="00FC05F7"/>
    <w:rsid w:val="00FC067A"/>
    <w:rsid w:val="00FC0773"/>
    <w:rsid w:val="00FC0794"/>
    <w:rsid w:val="00FC08C9"/>
    <w:rsid w:val="00FC0991"/>
    <w:rsid w:val="00FC0A34"/>
    <w:rsid w:val="00FC0A8F"/>
    <w:rsid w:val="00FC0AA2"/>
    <w:rsid w:val="00FC0C49"/>
    <w:rsid w:val="00FC0E2E"/>
    <w:rsid w:val="00FC1050"/>
    <w:rsid w:val="00FC10E4"/>
    <w:rsid w:val="00FC11BB"/>
    <w:rsid w:val="00FC1202"/>
    <w:rsid w:val="00FC12F9"/>
    <w:rsid w:val="00FC137E"/>
    <w:rsid w:val="00FC13B4"/>
    <w:rsid w:val="00FC148F"/>
    <w:rsid w:val="00FC166E"/>
    <w:rsid w:val="00FC16B8"/>
    <w:rsid w:val="00FC181C"/>
    <w:rsid w:val="00FC1A95"/>
    <w:rsid w:val="00FC1ACE"/>
    <w:rsid w:val="00FC1AFC"/>
    <w:rsid w:val="00FC1B91"/>
    <w:rsid w:val="00FC1D13"/>
    <w:rsid w:val="00FC1D80"/>
    <w:rsid w:val="00FC1D98"/>
    <w:rsid w:val="00FC1DED"/>
    <w:rsid w:val="00FC1EDD"/>
    <w:rsid w:val="00FC1F37"/>
    <w:rsid w:val="00FC201F"/>
    <w:rsid w:val="00FC20BE"/>
    <w:rsid w:val="00FC2430"/>
    <w:rsid w:val="00FC24B1"/>
    <w:rsid w:val="00FC25DD"/>
    <w:rsid w:val="00FC2925"/>
    <w:rsid w:val="00FC29AA"/>
    <w:rsid w:val="00FC2AA7"/>
    <w:rsid w:val="00FC2C88"/>
    <w:rsid w:val="00FC2D45"/>
    <w:rsid w:val="00FC2D53"/>
    <w:rsid w:val="00FC2DC6"/>
    <w:rsid w:val="00FC2E8C"/>
    <w:rsid w:val="00FC2EA3"/>
    <w:rsid w:val="00FC2F2C"/>
    <w:rsid w:val="00FC318E"/>
    <w:rsid w:val="00FC319B"/>
    <w:rsid w:val="00FC31CA"/>
    <w:rsid w:val="00FC34AB"/>
    <w:rsid w:val="00FC352E"/>
    <w:rsid w:val="00FC3530"/>
    <w:rsid w:val="00FC35D9"/>
    <w:rsid w:val="00FC3626"/>
    <w:rsid w:val="00FC36C1"/>
    <w:rsid w:val="00FC372B"/>
    <w:rsid w:val="00FC37C0"/>
    <w:rsid w:val="00FC38D7"/>
    <w:rsid w:val="00FC38E8"/>
    <w:rsid w:val="00FC39A5"/>
    <w:rsid w:val="00FC3A94"/>
    <w:rsid w:val="00FC3B47"/>
    <w:rsid w:val="00FC3BF6"/>
    <w:rsid w:val="00FC3C00"/>
    <w:rsid w:val="00FC3D4C"/>
    <w:rsid w:val="00FC4008"/>
    <w:rsid w:val="00FC415C"/>
    <w:rsid w:val="00FC43B4"/>
    <w:rsid w:val="00FC444E"/>
    <w:rsid w:val="00FC445F"/>
    <w:rsid w:val="00FC4504"/>
    <w:rsid w:val="00FC45CB"/>
    <w:rsid w:val="00FC45CF"/>
    <w:rsid w:val="00FC4A39"/>
    <w:rsid w:val="00FC4ABA"/>
    <w:rsid w:val="00FC4ADA"/>
    <w:rsid w:val="00FC4B35"/>
    <w:rsid w:val="00FC4C63"/>
    <w:rsid w:val="00FC4EA7"/>
    <w:rsid w:val="00FC511E"/>
    <w:rsid w:val="00FC528E"/>
    <w:rsid w:val="00FC578C"/>
    <w:rsid w:val="00FC5909"/>
    <w:rsid w:val="00FC5B42"/>
    <w:rsid w:val="00FC5BDA"/>
    <w:rsid w:val="00FC5C04"/>
    <w:rsid w:val="00FC5EC2"/>
    <w:rsid w:val="00FC5FA4"/>
    <w:rsid w:val="00FC600A"/>
    <w:rsid w:val="00FC6149"/>
    <w:rsid w:val="00FC61EE"/>
    <w:rsid w:val="00FC63FB"/>
    <w:rsid w:val="00FC6601"/>
    <w:rsid w:val="00FC6984"/>
    <w:rsid w:val="00FC6BE7"/>
    <w:rsid w:val="00FC6C26"/>
    <w:rsid w:val="00FC6ECA"/>
    <w:rsid w:val="00FC6F72"/>
    <w:rsid w:val="00FC7002"/>
    <w:rsid w:val="00FC7370"/>
    <w:rsid w:val="00FC751C"/>
    <w:rsid w:val="00FC755A"/>
    <w:rsid w:val="00FC7647"/>
    <w:rsid w:val="00FC76D1"/>
    <w:rsid w:val="00FC77B1"/>
    <w:rsid w:val="00FC78BC"/>
    <w:rsid w:val="00FC78DE"/>
    <w:rsid w:val="00FC7A3E"/>
    <w:rsid w:val="00FC7BB3"/>
    <w:rsid w:val="00FC7BC7"/>
    <w:rsid w:val="00FC7BDB"/>
    <w:rsid w:val="00FC7C3C"/>
    <w:rsid w:val="00FC7D55"/>
    <w:rsid w:val="00FC7D79"/>
    <w:rsid w:val="00FC7E50"/>
    <w:rsid w:val="00FC7F77"/>
    <w:rsid w:val="00FD01C6"/>
    <w:rsid w:val="00FD0322"/>
    <w:rsid w:val="00FD0504"/>
    <w:rsid w:val="00FD060C"/>
    <w:rsid w:val="00FD06D2"/>
    <w:rsid w:val="00FD0734"/>
    <w:rsid w:val="00FD07C6"/>
    <w:rsid w:val="00FD081C"/>
    <w:rsid w:val="00FD09BC"/>
    <w:rsid w:val="00FD0A58"/>
    <w:rsid w:val="00FD0A9C"/>
    <w:rsid w:val="00FD0BA6"/>
    <w:rsid w:val="00FD0BDF"/>
    <w:rsid w:val="00FD0C03"/>
    <w:rsid w:val="00FD0C6D"/>
    <w:rsid w:val="00FD0CB7"/>
    <w:rsid w:val="00FD0DC2"/>
    <w:rsid w:val="00FD0DFD"/>
    <w:rsid w:val="00FD0E1B"/>
    <w:rsid w:val="00FD0E89"/>
    <w:rsid w:val="00FD1182"/>
    <w:rsid w:val="00FD1494"/>
    <w:rsid w:val="00FD14B3"/>
    <w:rsid w:val="00FD151D"/>
    <w:rsid w:val="00FD162F"/>
    <w:rsid w:val="00FD1957"/>
    <w:rsid w:val="00FD1A1F"/>
    <w:rsid w:val="00FD1A7C"/>
    <w:rsid w:val="00FD1BA7"/>
    <w:rsid w:val="00FD1DBD"/>
    <w:rsid w:val="00FD1EDB"/>
    <w:rsid w:val="00FD1EDD"/>
    <w:rsid w:val="00FD1FD8"/>
    <w:rsid w:val="00FD201B"/>
    <w:rsid w:val="00FD22B2"/>
    <w:rsid w:val="00FD2308"/>
    <w:rsid w:val="00FD235C"/>
    <w:rsid w:val="00FD2693"/>
    <w:rsid w:val="00FD28F1"/>
    <w:rsid w:val="00FD29F2"/>
    <w:rsid w:val="00FD29FD"/>
    <w:rsid w:val="00FD2A46"/>
    <w:rsid w:val="00FD2CD5"/>
    <w:rsid w:val="00FD305F"/>
    <w:rsid w:val="00FD3102"/>
    <w:rsid w:val="00FD3116"/>
    <w:rsid w:val="00FD3237"/>
    <w:rsid w:val="00FD326A"/>
    <w:rsid w:val="00FD32F2"/>
    <w:rsid w:val="00FD3354"/>
    <w:rsid w:val="00FD350A"/>
    <w:rsid w:val="00FD37C8"/>
    <w:rsid w:val="00FD391B"/>
    <w:rsid w:val="00FD39DF"/>
    <w:rsid w:val="00FD3B01"/>
    <w:rsid w:val="00FD3B2E"/>
    <w:rsid w:val="00FD3BAA"/>
    <w:rsid w:val="00FD3C5A"/>
    <w:rsid w:val="00FD3CCF"/>
    <w:rsid w:val="00FD3E9F"/>
    <w:rsid w:val="00FD433A"/>
    <w:rsid w:val="00FD435C"/>
    <w:rsid w:val="00FD43B6"/>
    <w:rsid w:val="00FD46D7"/>
    <w:rsid w:val="00FD47FF"/>
    <w:rsid w:val="00FD4840"/>
    <w:rsid w:val="00FD4878"/>
    <w:rsid w:val="00FD4921"/>
    <w:rsid w:val="00FD49DB"/>
    <w:rsid w:val="00FD4AB6"/>
    <w:rsid w:val="00FD4C4E"/>
    <w:rsid w:val="00FD4C8A"/>
    <w:rsid w:val="00FD4F03"/>
    <w:rsid w:val="00FD4F89"/>
    <w:rsid w:val="00FD4FE9"/>
    <w:rsid w:val="00FD5023"/>
    <w:rsid w:val="00FD51AA"/>
    <w:rsid w:val="00FD51D6"/>
    <w:rsid w:val="00FD5413"/>
    <w:rsid w:val="00FD591D"/>
    <w:rsid w:val="00FD591E"/>
    <w:rsid w:val="00FD598C"/>
    <w:rsid w:val="00FD5C49"/>
    <w:rsid w:val="00FD5E54"/>
    <w:rsid w:val="00FD5E89"/>
    <w:rsid w:val="00FD61A6"/>
    <w:rsid w:val="00FD6279"/>
    <w:rsid w:val="00FD62A1"/>
    <w:rsid w:val="00FD65A6"/>
    <w:rsid w:val="00FD660C"/>
    <w:rsid w:val="00FD6626"/>
    <w:rsid w:val="00FD6651"/>
    <w:rsid w:val="00FD675E"/>
    <w:rsid w:val="00FD67DB"/>
    <w:rsid w:val="00FD6947"/>
    <w:rsid w:val="00FD6974"/>
    <w:rsid w:val="00FD6A18"/>
    <w:rsid w:val="00FD6A7C"/>
    <w:rsid w:val="00FD6AC9"/>
    <w:rsid w:val="00FD6D3F"/>
    <w:rsid w:val="00FD6D73"/>
    <w:rsid w:val="00FD6D97"/>
    <w:rsid w:val="00FD6F77"/>
    <w:rsid w:val="00FD7041"/>
    <w:rsid w:val="00FD7182"/>
    <w:rsid w:val="00FD744A"/>
    <w:rsid w:val="00FD757E"/>
    <w:rsid w:val="00FD75D1"/>
    <w:rsid w:val="00FD760A"/>
    <w:rsid w:val="00FD7875"/>
    <w:rsid w:val="00FD79F7"/>
    <w:rsid w:val="00FD7AA9"/>
    <w:rsid w:val="00FD7B24"/>
    <w:rsid w:val="00FD7C32"/>
    <w:rsid w:val="00FE00B6"/>
    <w:rsid w:val="00FE0342"/>
    <w:rsid w:val="00FE06DF"/>
    <w:rsid w:val="00FE0765"/>
    <w:rsid w:val="00FE084C"/>
    <w:rsid w:val="00FE09BD"/>
    <w:rsid w:val="00FE0AB7"/>
    <w:rsid w:val="00FE0B4A"/>
    <w:rsid w:val="00FE0EFB"/>
    <w:rsid w:val="00FE0F69"/>
    <w:rsid w:val="00FE0FB2"/>
    <w:rsid w:val="00FE102D"/>
    <w:rsid w:val="00FE1048"/>
    <w:rsid w:val="00FE10A2"/>
    <w:rsid w:val="00FE115A"/>
    <w:rsid w:val="00FE11F0"/>
    <w:rsid w:val="00FE1206"/>
    <w:rsid w:val="00FE12DD"/>
    <w:rsid w:val="00FE1354"/>
    <w:rsid w:val="00FE137F"/>
    <w:rsid w:val="00FE157F"/>
    <w:rsid w:val="00FE1591"/>
    <w:rsid w:val="00FE159D"/>
    <w:rsid w:val="00FE16DA"/>
    <w:rsid w:val="00FE17B5"/>
    <w:rsid w:val="00FE1A72"/>
    <w:rsid w:val="00FE1B8B"/>
    <w:rsid w:val="00FE1BC6"/>
    <w:rsid w:val="00FE1DF8"/>
    <w:rsid w:val="00FE1EC3"/>
    <w:rsid w:val="00FE1FAD"/>
    <w:rsid w:val="00FE20AB"/>
    <w:rsid w:val="00FE2162"/>
    <w:rsid w:val="00FE2215"/>
    <w:rsid w:val="00FE2378"/>
    <w:rsid w:val="00FE253E"/>
    <w:rsid w:val="00FE2558"/>
    <w:rsid w:val="00FE2596"/>
    <w:rsid w:val="00FE2768"/>
    <w:rsid w:val="00FE2904"/>
    <w:rsid w:val="00FE2AEA"/>
    <w:rsid w:val="00FE2B8B"/>
    <w:rsid w:val="00FE2CD4"/>
    <w:rsid w:val="00FE2CEC"/>
    <w:rsid w:val="00FE2D9E"/>
    <w:rsid w:val="00FE2DA1"/>
    <w:rsid w:val="00FE2DF0"/>
    <w:rsid w:val="00FE2EEF"/>
    <w:rsid w:val="00FE31D2"/>
    <w:rsid w:val="00FE3220"/>
    <w:rsid w:val="00FE32A1"/>
    <w:rsid w:val="00FE32DA"/>
    <w:rsid w:val="00FE3333"/>
    <w:rsid w:val="00FE33F8"/>
    <w:rsid w:val="00FE35ED"/>
    <w:rsid w:val="00FE37F5"/>
    <w:rsid w:val="00FE39A8"/>
    <w:rsid w:val="00FE3E33"/>
    <w:rsid w:val="00FE4035"/>
    <w:rsid w:val="00FE425F"/>
    <w:rsid w:val="00FE4393"/>
    <w:rsid w:val="00FE43EA"/>
    <w:rsid w:val="00FE4546"/>
    <w:rsid w:val="00FE45D0"/>
    <w:rsid w:val="00FE4617"/>
    <w:rsid w:val="00FE4808"/>
    <w:rsid w:val="00FE489A"/>
    <w:rsid w:val="00FE49D6"/>
    <w:rsid w:val="00FE4A75"/>
    <w:rsid w:val="00FE4AA6"/>
    <w:rsid w:val="00FE4AF1"/>
    <w:rsid w:val="00FE4AFC"/>
    <w:rsid w:val="00FE4B85"/>
    <w:rsid w:val="00FE4C21"/>
    <w:rsid w:val="00FE4C91"/>
    <w:rsid w:val="00FE4DC6"/>
    <w:rsid w:val="00FE4E12"/>
    <w:rsid w:val="00FE4E3D"/>
    <w:rsid w:val="00FE4E5F"/>
    <w:rsid w:val="00FE507F"/>
    <w:rsid w:val="00FE5120"/>
    <w:rsid w:val="00FE52FB"/>
    <w:rsid w:val="00FE5344"/>
    <w:rsid w:val="00FE55B8"/>
    <w:rsid w:val="00FE567C"/>
    <w:rsid w:val="00FE5A7B"/>
    <w:rsid w:val="00FE5CAE"/>
    <w:rsid w:val="00FE5D2B"/>
    <w:rsid w:val="00FE5E30"/>
    <w:rsid w:val="00FE5F42"/>
    <w:rsid w:val="00FE5FFD"/>
    <w:rsid w:val="00FE6367"/>
    <w:rsid w:val="00FE6788"/>
    <w:rsid w:val="00FE6995"/>
    <w:rsid w:val="00FE6B26"/>
    <w:rsid w:val="00FE6B63"/>
    <w:rsid w:val="00FE6BAB"/>
    <w:rsid w:val="00FE6C1C"/>
    <w:rsid w:val="00FE6C2C"/>
    <w:rsid w:val="00FE6F28"/>
    <w:rsid w:val="00FE706B"/>
    <w:rsid w:val="00FE70FA"/>
    <w:rsid w:val="00FE7428"/>
    <w:rsid w:val="00FE7695"/>
    <w:rsid w:val="00FE76C4"/>
    <w:rsid w:val="00FE79FB"/>
    <w:rsid w:val="00FE7C07"/>
    <w:rsid w:val="00FE7CB0"/>
    <w:rsid w:val="00FE7F92"/>
    <w:rsid w:val="00FF00F8"/>
    <w:rsid w:val="00FF0227"/>
    <w:rsid w:val="00FF02E1"/>
    <w:rsid w:val="00FF0391"/>
    <w:rsid w:val="00FF0492"/>
    <w:rsid w:val="00FF06AC"/>
    <w:rsid w:val="00FF0768"/>
    <w:rsid w:val="00FF07A1"/>
    <w:rsid w:val="00FF0957"/>
    <w:rsid w:val="00FF0F60"/>
    <w:rsid w:val="00FF110E"/>
    <w:rsid w:val="00FF1702"/>
    <w:rsid w:val="00FF1758"/>
    <w:rsid w:val="00FF176E"/>
    <w:rsid w:val="00FF17C6"/>
    <w:rsid w:val="00FF18C5"/>
    <w:rsid w:val="00FF1935"/>
    <w:rsid w:val="00FF1945"/>
    <w:rsid w:val="00FF1B9A"/>
    <w:rsid w:val="00FF1C4B"/>
    <w:rsid w:val="00FF1DCE"/>
    <w:rsid w:val="00FF1E31"/>
    <w:rsid w:val="00FF1F73"/>
    <w:rsid w:val="00FF2013"/>
    <w:rsid w:val="00FF20ED"/>
    <w:rsid w:val="00FF211D"/>
    <w:rsid w:val="00FF216C"/>
    <w:rsid w:val="00FF2238"/>
    <w:rsid w:val="00FF23ED"/>
    <w:rsid w:val="00FF240B"/>
    <w:rsid w:val="00FF2568"/>
    <w:rsid w:val="00FF26E3"/>
    <w:rsid w:val="00FF2772"/>
    <w:rsid w:val="00FF2972"/>
    <w:rsid w:val="00FF2A99"/>
    <w:rsid w:val="00FF2B36"/>
    <w:rsid w:val="00FF2B6A"/>
    <w:rsid w:val="00FF2CE0"/>
    <w:rsid w:val="00FF2E02"/>
    <w:rsid w:val="00FF2E1F"/>
    <w:rsid w:val="00FF2E42"/>
    <w:rsid w:val="00FF2E6B"/>
    <w:rsid w:val="00FF2F28"/>
    <w:rsid w:val="00FF2F30"/>
    <w:rsid w:val="00FF2FDF"/>
    <w:rsid w:val="00FF2FE2"/>
    <w:rsid w:val="00FF3084"/>
    <w:rsid w:val="00FF3155"/>
    <w:rsid w:val="00FF3169"/>
    <w:rsid w:val="00FF3289"/>
    <w:rsid w:val="00FF3336"/>
    <w:rsid w:val="00FF3511"/>
    <w:rsid w:val="00FF351B"/>
    <w:rsid w:val="00FF3606"/>
    <w:rsid w:val="00FF3636"/>
    <w:rsid w:val="00FF37F7"/>
    <w:rsid w:val="00FF3808"/>
    <w:rsid w:val="00FF3BE8"/>
    <w:rsid w:val="00FF3D26"/>
    <w:rsid w:val="00FF4025"/>
    <w:rsid w:val="00FF41A0"/>
    <w:rsid w:val="00FF428E"/>
    <w:rsid w:val="00FF43BA"/>
    <w:rsid w:val="00FF43FD"/>
    <w:rsid w:val="00FF45A1"/>
    <w:rsid w:val="00FF461C"/>
    <w:rsid w:val="00FF4673"/>
    <w:rsid w:val="00FF4677"/>
    <w:rsid w:val="00FF481B"/>
    <w:rsid w:val="00FF484A"/>
    <w:rsid w:val="00FF48AC"/>
    <w:rsid w:val="00FF4971"/>
    <w:rsid w:val="00FF49B1"/>
    <w:rsid w:val="00FF4A38"/>
    <w:rsid w:val="00FF4EE1"/>
    <w:rsid w:val="00FF4EE9"/>
    <w:rsid w:val="00FF4FF7"/>
    <w:rsid w:val="00FF5073"/>
    <w:rsid w:val="00FF5222"/>
    <w:rsid w:val="00FF53CD"/>
    <w:rsid w:val="00FF54A8"/>
    <w:rsid w:val="00FF54D3"/>
    <w:rsid w:val="00FF5594"/>
    <w:rsid w:val="00FF5636"/>
    <w:rsid w:val="00FF573D"/>
    <w:rsid w:val="00FF5791"/>
    <w:rsid w:val="00FF57F9"/>
    <w:rsid w:val="00FF5813"/>
    <w:rsid w:val="00FF598B"/>
    <w:rsid w:val="00FF5A33"/>
    <w:rsid w:val="00FF5C33"/>
    <w:rsid w:val="00FF5CF9"/>
    <w:rsid w:val="00FF6100"/>
    <w:rsid w:val="00FF612F"/>
    <w:rsid w:val="00FF61B8"/>
    <w:rsid w:val="00FF61F0"/>
    <w:rsid w:val="00FF65A6"/>
    <w:rsid w:val="00FF6798"/>
    <w:rsid w:val="00FF69A6"/>
    <w:rsid w:val="00FF6A2D"/>
    <w:rsid w:val="00FF6A49"/>
    <w:rsid w:val="00FF6B50"/>
    <w:rsid w:val="00FF6B79"/>
    <w:rsid w:val="00FF6C9D"/>
    <w:rsid w:val="00FF6E6F"/>
    <w:rsid w:val="00FF6EB8"/>
    <w:rsid w:val="00FF706C"/>
    <w:rsid w:val="00FF7077"/>
    <w:rsid w:val="00FF710F"/>
    <w:rsid w:val="00FF726D"/>
    <w:rsid w:val="00FF72F9"/>
    <w:rsid w:val="00FF73D8"/>
    <w:rsid w:val="00FF7548"/>
    <w:rsid w:val="00FF75C2"/>
    <w:rsid w:val="00FF7631"/>
    <w:rsid w:val="00FF77D9"/>
    <w:rsid w:val="00FF78DA"/>
    <w:rsid w:val="00FF7908"/>
    <w:rsid w:val="00FF7977"/>
    <w:rsid w:val="00FF7AFF"/>
    <w:rsid w:val="00FF7B49"/>
    <w:rsid w:val="00FF7CCF"/>
    <w:rsid w:val="00FF7E1C"/>
    <w:rsid w:val="00FF7E67"/>
    <w:rsid w:val="00FF7F68"/>
    <w:rsid w:val="010ED01C"/>
    <w:rsid w:val="0110961C"/>
    <w:rsid w:val="0142908D"/>
    <w:rsid w:val="014F181C"/>
    <w:rsid w:val="017B4D4E"/>
    <w:rsid w:val="018D5C02"/>
    <w:rsid w:val="01BCF52E"/>
    <w:rsid w:val="01FA66C5"/>
    <w:rsid w:val="024C9346"/>
    <w:rsid w:val="0294B084"/>
    <w:rsid w:val="02A83A26"/>
    <w:rsid w:val="02CD5103"/>
    <w:rsid w:val="034A6A88"/>
    <w:rsid w:val="039B2089"/>
    <w:rsid w:val="03D99DBB"/>
    <w:rsid w:val="049E69F4"/>
    <w:rsid w:val="04CB6E95"/>
    <w:rsid w:val="04DC33A0"/>
    <w:rsid w:val="05502080"/>
    <w:rsid w:val="056C9D06"/>
    <w:rsid w:val="058DDDE8"/>
    <w:rsid w:val="05B56114"/>
    <w:rsid w:val="05D6D9B7"/>
    <w:rsid w:val="05DFA359"/>
    <w:rsid w:val="05E16269"/>
    <w:rsid w:val="05EDF1E0"/>
    <w:rsid w:val="0601E49C"/>
    <w:rsid w:val="06A7482D"/>
    <w:rsid w:val="06C5B8AF"/>
    <w:rsid w:val="06E79A83"/>
    <w:rsid w:val="07426850"/>
    <w:rsid w:val="08039908"/>
    <w:rsid w:val="080E3585"/>
    <w:rsid w:val="0816652F"/>
    <w:rsid w:val="082790C2"/>
    <w:rsid w:val="0871D62A"/>
    <w:rsid w:val="089A3FC5"/>
    <w:rsid w:val="08BDC2C6"/>
    <w:rsid w:val="090D3394"/>
    <w:rsid w:val="0986F005"/>
    <w:rsid w:val="09A0E856"/>
    <w:rsid w:val="09D7BEB3"/>
    <w:rsid w:val="0A0540BF"/>
    <w:rsid w:val="0A8E9F6F"/>
    <w:rsid w:val="0AA2AFCB"/>
    <w:rsid w:val="0AD81B20"/>
    <w:rsid w:val="0B02F015"/>
    <w:rsid w:val="0B2556C2"/>
    <w:rsid w:val="0B672792"/>
    <w:rsid w:val="0B77C1D2"/>
    <w:rsid w:val="0B8883D0"/>
    <w:rsid w:val="0BB157B9"/>
    <w:rsid w:val="0BF82515"/>
    <w:rsid w:val="0C035E2F"/>
    <w:rsid w:val="0C09E041"/>
    <w:rsid w:val="0C584F28"/>
    <w:rsid w:val="0C6B8CD5"/>
    <w:rsid w:val="0CC7F080"/>
    <w:rsid w:val="0CC8BF28"/>
    <w:rsid w:val="0CFC620B"/>
    <w:rsid w:val="0D918DD6"/>
    <w:rsid w:val="0D95D4C5"/>
    <w:rsid w:val="0DB8612B"/>
    <w:rsid w:val="0DD1770A"/>
    <w:rsid w:val="0EAAD9AC"/>
    <w:rsid w:val="0ED43253"/>
    <w:rsid w:val="0ED8674A"/>
    <w:rsid w:val="0FCE97BA"/>
    <w:rsid w:val="100DF08D"/>
    <w:rsid w:val="1024EC64"/>
    <w:rsid w:val="1072C847"/>
    <w:rsid w:val="10896479"/>
    <w:rsid w:val="10DBA8EF"/>
    <w:rsid w:val="10DE3590"/>
    <w:rsid w:val="10FF34A2"/>
    <w:rsid w:val="11E6B2B2"/>
    <w:rsid w:val="11EBB02A"/>
    <w:rsid w:val="11F15CA2"/>
    <w:rsid w:val="12260E0A"/>
    <w:rsid w:val="12415399"/>
    <w:rsid w:val="12AF9915"/>
    <w:rsid w:val="12C98FB1"/>
    <w:rsid w:val="12F6E766"/>
    <w:rsid w:val="130160F3"/>
    <w:rsid w:val="1302FD77"/>
    <w:rsid w:val="13341D4B"/>
    <w:rsid w:val="138806C6"/>
    <w:rsid w:val="138F8EAA"/>
    <w:rsid w:val="13E330BA"/>
    <w:rsid w:val="14467A0A"/>
    <w:rsid w:val="14527368"/>
    <w:rsid w:val="1486C71B"/>
    <w:rsid w:val="14870158"/>
    <w:rsid w:val="14A92BE2"/>
    <w:rsid w:val="14B9B135"/>
    <w:rsid w:val="15011113"/>
    <w:rsid w:val="156FB088"/>
    <w:rsid w:val="15C32113"/>
    <w:rsid w:val="15EADECB"/>
    <w:rsid w:val="1624310C"/>
    <w:rsid w:val="16DF7345"/>
    <w:rsid w:val="1700E812"/>
    <w:rsid w:val="170DECC3"/>
    <w:rsid w:val="17989BCD"/>
    <w:rsid w:val="17CB41DC"/>
    <w:rsid w:val="17ECF52E"/>
    <w:rsid w:val="17F0C02C"/>
    <w:rsid w:val="18624230"/>
    <w:rsid w:val="18EDB7F4"/>
    <w:rsid w:val="194B8C02"/>
    <w:rsid w:val="19FC804B"/>
    <w:rsid w:val="1A0A0750"/>
    <w:rsid w:val="1A8948BF"/>
    <w:rsid w:val="1ACF4029"/>
    <w:rsid w:val="1B1514DC"/>
    <w:rsid w:val="1B2C7922"/>
    <w:rsid w:val="1B2E5543"/>
    <w:rsid w:val="1B41D10E"/>
    <w:rsid w:val="1B4D2AD1"/>
    <w:rsid w:val="1B723988"/>
    <w:rsid w:val="1B9E4ED5"/>
    <w:rsid w:val="1BC2413C"/>
    <w:rsid w:val="1BC503C3"/>
    <w:rsid w:val="1BCF5FFD"/>
    <w:rsid w:val="1CA23287"/>
    <w:rsid w:val="1CDCCA33"/>
    <w:rsid w:val="1D0581D9"/>
    <w:rsid w:val="1D63D4D4"/>
    <w:rsid w:val="1DA1622D"/>
    <w:rsid w:val="1DB95B30"/>
    <w:rsid w:val="1DD64D18"/>
    <w:rsid w:val="1DE72AB5"/>
    <w:rsid w:val="1DE93FA2"/>
    <w:rsid w:val="1E37D256"/>
    <w:rsid w:val="1E736873"/>
    <w:rsid w:val="1F3D93B2"/>
    <w:rsid w:val="1FDD609B"/>
    <w:rsid w:val="20026B1E"/>
    <w:rsid w:val="200FD40A"/>
    <w:rsid w:val="20C2582B"/>
    <w:rsid w:val="20FEC34A"/>
    <w:rsid w:val="212C04A7"/>
    <w:rsid w:val="213D8487"/>
    <w:rsid w:val="21472689"/>
    <w:rsid w:val="214D976C"/>
    <w:rsid w:val="21705A80"/>
    <w:rsid w:val="21BC21C9"/>
    <w:rsid w:val="21E26C05"/>
    <w:rsid w:val="22080C46"/>
    <w:rsid w:val="2212CBB8"/>
    <w:rsid w:val="223FC93A"/>
    <w:rsid w:val="2295FAD8"/>
    <w:rsid w:val="22DC20DF"/>
    <w:rsid w:val="22E116A7"/>
    <w:rsid w:val="23041683"/>
    <w:rsid w:val="233F867F"/>
    <w:rsid w:val="2368A90B"/>
    <w:rsid w:val="237E01C3"/>
    <w:rsid w:val="23AF9D9E"/>
    <w:rsid w:val="23C707E9"/>
    <w:rsid w:val="23E57E8A"/>
    <w:rsid w:val="24A0A787"/>
    <w:rsid w:val="24D40FD2"/>
    <w:rsid w:val="24E8BB65"/>
    <w:rsid w:val="250FF4F6"/>
    <w:rsid w:val="25C9DD1C"/>
    <w:rsid w:val="25FCE1D2"/>
    <w:rsid w:val="26239EAC"/>
    <w:rsid w:val="26845451"/>
    <w:rsid w:val="27344143"/>
    <w:rsid w:val="2746FD1B"/>
    <w:rsid w:val="27FC2825"/>
    <w:rsid w:val="2824B839"/>
    <w:rsid w:val="282A85D0"/>
    <w:rsid w:val="284F8900"/>
    <w:rsid w:val="288A3746"/>
    <w:rsid w:val="28AA6510"/>
    <w:rsid w:val="292E0B1D"/>
    <w:rsid w:val="297B36F4"/>
    <w:rsid w:val="2A17A580"/>
    <w:rsid w:val="2A4CD02F"/>
    <w:rsid w:val="2A9E1C79"/>
    <w:rsid w:val="2ABC2E87"/>
    <w:rsid w:val="2AFF6B90"/>
    <w:rsid w:val="2B1AF977"/>
    <w:rsid w:val="2B48E5CF"/>
    <w:rsid w:val="2B784220"/>
    <w:rsid w:val="2BBE58F3"/>
    <w:rsid w:val="2C22327F"/>
    <w:rsid w:val="2C2D0D5B"/>
    <w:rsid w:val="2C5D1D10"/>
    <w:rsid w:val="2C696E89"/>
    <w:rsid w:val="2CEEDB10"/>
    <w:rsid w:val="2D040853"/>
    <w:rsid w:val="2D2F53DF"/>
    <w:rsid w:val="2D56519A"/>
    <w:rsid w:val="2D732F1F"/>
    <w:rsid w:val="2DC41479"/>
    <w:rsid w:val="2DD9C4AD"/>
    <w:rsid w:val="2E350A36"/>
    <w:rsid w:val="2F22A701"/>
    <w:rsid w:val="2F6CFFB4"/>
    <w:rsid w:val="2F774196"/>
    <w:rsid w:val="2FDA9477"/>
    <w:rsid w:val="3011DC64"/>
    <w:rsid w:val="302DA925"/>
    <w:rsid w:val="305A80A8"/>
    <w:rsid w:val="3065E116"/>
    <w:rsid w:val="3116B92E"/>
    <w:rsid w:val="314B2003"/>
    <w:rsid w:val="3158494D"/>
    <w:rsid w:val="3161D8A4"/>
    <w:rsid w:val="31A7B348"/>
    <w:rsid w:val="324646D8"/>
    <w:rsid w:val="328F8516"/>
    <w:rsid w:val="32A07F44"/>
    <w:rsid w:val="3353B692"/>
    <w:rsid w:val="3364825D"/>
    <w:rsid w:val="3397EE54"/>
    <w:rsid w:val="33A3C330"/>
    <w:rsid w:val="33CC0496"/>
    <w:rsid w:val="34545160"/>
    <w:rsid w:val="3546E053"/>
    <w:rsid w:val="3555E8E7"/>
    <w:rsid w:val="355CD5F3"/>
    <w:rsid w:val="35D26EB6"/>
    <w:rsid w:val="35E45505"/>
    <w:rsid w:val="35FB20C4"/>
    <w:rsid w:val="361F8469"/>
    <w:rsid w:val="3694D25E"/>
    <w:rsid w:val="3699139A"/>
    <w:rsid w:val="37B64AFA"/>
    <w:rsid w:val="37B9ACD3"/>
    <w:rsid w:val="37E62F4C"/>
    <w:rsid w:val="384FE4E7"/>
    <w:rsid w:val="389E4BFC"/>
    <w:rsid w:val="38C2B9CA"/>
    <w:rsid w:val="38D6CD04"/>
    <w:rsid w:val="38EDD9DE"/>
    <w:rsid w:val="3928397C"/>
    <w:rsid w:val="3958742D"/>
    <w:rsid w:val="397CE206"/>
    <w:rsid w:val="399560FC"/>
    <w:rsid w:val="39AA453C"/>
    <w:rsid w:val="3A48D3A6"/>
    <w:rsid w:val="3A59CAAD"/>
    <w:rsid w:val="3A6AE574"/>
    <w:rsid w:val="3A9B63FA"/>
    <w:rsid w:val="3AC4B2C9"/>
    <w:rsid w:val="3AE0ACB4"/>
    <w:rsid w:val="3AEDA986"/>
    <w:rsid w:val="3B191FAF"/>
    <w:rsid w:val="3B2E46CC"/>
    <w:rsid w:val="3BFD021B"/>
    <w:rsid w:val="3C022600"/>
    <w:rsid w:val="3C120630"/>
    <w:rsid w:val="3C1CDBCF"/>
    <w:rsid w:val="3C62DC5B"/>
    <w:rsid w:val="3C7ED56A"/>
    <w:rsid w:val="3C94515A"/>
    <w:rsid w:val="3CE29408"/>
    <w:rsid w:val="3D3495F9"/>
    <w:rsid w:val="3D37F125"/>
    <w:rsid w:val="3D5F9156"/>
    <w:rsid w:val="3D647EEC"/>
    <w:rsid w:val="3D96BBCB"/>
    <w:rsid w:val="3E18DA96"/>
    <w:rsid w:val="3E9F417F"/>
    <w:rsid w:val="3ECDE1F6"/>
    <w:rsid w:val="3EF1ED1E"/>
    <w:rsid w:val="3F1BE036"/>
    <w:rsid w:val="3F2EFCBE"/>
    <w:rsid w:val="3F56F161"/>
    <w:rsid w:val="3F5A9150"/>
    <w:rsid w:val="3FC7ABB7"/>
    <w:rsid w:val="402B0B88"/>
    <w:rsid w:val="4038776F"/>
    <w:rsid w:val="404C381F"/>
    <w:rsid w:val="405366AF"/>
    <w:rsid w:val="40A03F93"/>
    <w:rsid w:val="40E0E8AC"/>
    <w:rsid w:val="412B956D"/>
    <w:rsid w:val="412EAC22"/>
    <w:rsid w:val="414B078D"/>
    <w:rsid w:val="42110F1B"/>
    <w:rsid w:val="423A6712"/>
    <w:rsid w:val="423AA4CC"/>
    <w:rsid w:val="42A7DE82"/>
    <w:rsid w:val="42AD4917"/>
    <w:rsid w:val="42D3EDA5"/>
    <w:rsid w:val="432BAF49"/>
    <w:rsid w:val="43466AE4"/>
    <w:rsid w:val="439860EB"/>
    <w:rsid w:val="43C6571C"/>
    <w:rsid w:val="44133071"/>
    <w:rsid w:val="441E0B47"/>
    <w:rsid w:val="444A771D"/>
    <w:rsid w:val="4458D64A"/>
    <w:rsid w:val="44607B6D"/>
    <w:rsid w:val="44C859EF"/>
    <w:rsid w:val="450596A6"/>
    <w:rsid w:val="453C9830"/>
    <w:rsid w:val="454A6AB2"/>
    <w:rsid w:val="455ACC3D"/>
    <w:rsid w:val="45783553"/>
    <w:rsid w:val="4609952E"/>
    <w:rsid w:val="4650A07D"/>
    <w:rsid w:val="4727B558"/>
    <w:rsid w:val="475C738C"/>
    <w:rsid w:val="4770E029"/>
    <w:rsid w:val="477A4FEB"/>
    <w:rsid w:val="4793F92C"/>
    <w:rsid w:val="47C4F57A"/>
    <w:rsid w:val="47FBE46F"/>
    <w:rsid w:val="47FD1A8D"/>
    <w:rsid w:val="480C124F"/>
    <w:rsid w:val="482531A7"/>
    <w:rsid w:val="4865A32E"/>
    <w:rsid w:val="4897943D"/>
    <w:rsid w:val="48B5AC5F"/>
    <w:rsid w:val="48D3DCC8"/>
    <w:rsid w:val="491829E5"/>
    <w:rsid w:val="4991389E"/>
    <w:rsid w:val="49D25431"/>
    <w:rsid w:val="4A091E69"/>
    <w:rsid w:val="4A4BEA3C"/>
    <w:rsid w:val="4A4FB39A"/>
    <w:rsid w:val="4B2C8A4F"/>
    <w:rsid w:val="4B468E63"/>
    <w:rsid w:val="4B820FF5"/>
    <w:rsid w:val="4BD9F45D"/>
    <w:rsid w:val="4BF89CC2"/>
    <w:rsid w:val="4C10C805"/>
    <w:rsid w:val="4C11023D"/>
    <w:rsid w:val="4C190528"/>
    <w:rsid w:val="4C45A678"/>
    <w:rsid w:val="4C6C69BA"/>
    <w:rsid w:val="4D062F58"/>
    <w:rsid w:val="4D2816CA"/>
    <w:rsid w:val="4DC7736B"/>
    <w:rsid w:val="4EA64A95"/>
    <w:rsid w:val="4EAF119D"/>
    <w:rsid w:val="4EB4C7F6"/>
    <w:rsid w:val="4EE58E95"/>
    <w:rsid w:val="4EF275BB"/>
    <w:rsid w:val="4F01D192"/>
    <w:rsid w:val="4F27983C"/>
    <w:rsid w:val="4F42CFB5"/>
    <w:rsid w:val="4F4EBDA7"/>
    <w:rsid w:val="4F6F0D55"/>
    <w:rsid w:val="500D34FF"/>
    <w:rsid w:val="5033A7B7"/>
    <w:rsid w:val="5041C0BE"/>
    <w:rsid w:val="50493F10"/>
    <w:rsid w:val="50523B62"/>
    <w:rsid w:val="5085F431"/>
    <w:rsid w:val="508D6FEA"/>
    <w:rsid w:val="50DD8278"/>
    <w:rsid w:val="5145255D"/>
    <w:rsid w:val="518F5DC0"/>
    <w:rsid w:val="51BEADC0"/>
    <w:rsid w:val="528D8BB8"/>
    <w:rsid w:val="52AAF5F8"/>
    <w:rsid w:val="52DEAEAF"/>
    <w:rsid w:val="5304983F"/>
    <w:rsid w:val="53A78AD0"/>
    <w:rsid w:val="53A8C015"/>
    <w:rsid w:val="53B077B8"/>
    <w:rsid w:val="53E7A09E"/>
    <w:rsid w:val="53ED5F83"/>
    <w:rsid w:val="53F7CFD5"/>
    <w:rsid w:val="542A8576"/>
    <w:rsid w:val="54686503"/>
    <w:rsid w:val="54C59A20"/>
    <w:rsid w:val="5509DBDB"/>
    <w:rsid w:val="550F5090"/>
    <w:rsid w:val="55452C66"/>
    <w:rsid w:val="554D13CC"/>
    <w:rsid w:val="56814A12"/>
    <w:rsid w:val="568F77E8"/>
    <w:rsid w:val="571373CC"/>
    <w:rsid w:val="572833E9"/>
    <w:rsid w:val="573D7BC9"/>
    <w:rsid w:val="57E39BB6"/>
    <w:rsid w:val="58508986"/>
    <w:rsid w:val="58A1C677"/>
    <w:rsid w:val="58D78580"/>
    <w:rsid w:val="5904AEA1"/>
    <w:rsid w:val="59242F2C"/>
    <w:rsid w:val="59945D5A"/>
    <w:rsid w:val="59C6B12F"/>
    <w:rsid w:val="59EA4B73"/>
    <w:rsid w:val="5A25ACC8"/>
    <w:rsid w:val="5A384649"/>
    <w:rsid w:val="5AA9DC80"/>
    <w:rsid w:val="5AB6536E"/>
    <w:rsid w:val="5AE74181"/>
    <w:rsid w:val="5AF6B491"/>
    <w:rsid w:val="5B387FFB"/>
    <w:rsid w:val="5B5C9A89"/>
    <w:rsid w:val="5B85F06C"/>
    <w:rsid w:val="5C055A58"/>
    <w:rsid w:val="5C14F013"/>
    <w:rsid w:val="5C2FD574"/>
    <w:rsid w:val="5C42FFDA"/>
    <w:rsid w:val="5C6C441B"/>
    <w:rsid w:val="5C791D65"/>
    <w:rsid w:val="5CB595A4"/>
    <w:rsid w:val="5CE11EC9"/>
    <w:rsid w:val="5D373880"/>
    <w:rsid w:val="5D65FEA5"/>
    <w:rsid w:val="5D7DFA17"/>
    <w:rsid w:val="5E2330D1"/>
    <w:rsid w:val="5E4B0198"/>
    <w:rsid w:val="5E6CD0B8"/>
    <w:rsid w:val="5E71E7B5"/>
    <w:rsid w:val="5EF227C6"/>
    <w:rsid w:val="5F13C556"/>
    <w:rsid w:val="5F6465B9"/>
    <w:rsid w:val="5FBF6422"/>
    <w:rsid w:val="5FD0B956"/>
    <w:rsid w:val="60626F8E"/>
    <w:rsid w:val="607C10AD"/>
    <w:rsid w:val="60DA738D"/>
    <w:rsid w:val="610F3410"/>
    <w:rsid w:val="612509D5"/>
    <w:rsid w:val="620929F4"/>
    <w:rsid w:val="62574885"/>
    <w:rsid w:val="6278726A"/>
    <w:rsid w:val="629EAD6A"/>
    <w:rsid w:val="6300CCB1"/>
    <w:rsid w:val="63490F40"/>
    <w:rsid w:val="635874E2"/>
    <w:rsid w:val="63610310"/>
    <w:rsid w:val="63C8B34B"/>
    <w:rsid w:val="6416F088"/>
    <w:rsid w:val="6457DFBD"/>
    <w:rsid w:val="64B8670E"/>
    <w:rsid w:val="64C26693"/>
    <w:rsid w:val="64FDB405"/>
    <w:rsid w:val="64FE0826"/>
    <w:rsid w:val="650222D7"/>
    <w:rsid w:val="6529577A"/>
    <w:rsid w:val="654BDA3F"/>
    <w:rsid w:val="6594115E"/>
    <w:rsid w:val="65F551F1"/>
    <w:rsid w:val="660976B8"/>
    <w:rsid w:val="66136D8D"/>
    <w:rsid w:val="6616DEE5"/>
    <w:rsid w:val="674857B8"/>
    <w:rsid w:val="67571717"/>
    <w:rsid w:val="6789A67B"/>
    <w:rsid w:val="67A80A39"/>
    <w:rsid w:val="67B61F89"/>
    <w:rsid w:val="683D48A0"/>
    <w:rsid w:val="686C17E9"/>
    <w:rsid w:val="68977EB5"/>
    <w:rsid w:val="69240435"/>
    <w:rsid w:val="69662980"/>
    <w:rsid w:val="69876E0F"/>
    <w:rsid w:val="6A1564E9"/>
    <w:rsid w:val="6A3EF2AA"/>
    <w:rsid w:val="6AC3C079"/>
    <w:rsid w:val="6AD22C4F"/>
    <w:rsid w:val="6B51E673"/>
    <w:rsid w:val="6B66ECBB"/>
    <w:rsid w:val="6C1C15DF"/>
    <w:rsid w:val="6C62BA2D"/>
    <w:rsid w:val="6C7ED083"/>
    <w:rsid w:val="6C889518"/>
    <w:rsid w:val="6CC6D8E4"/>
    <w:rsid w:val="6CD0FDED"/>
    <w:rsid w:val="6D1362FB"/>
    <w:rsid w:val="6D1B18F9"/>
    <w:rsid w:val="6D34F011"/>
    <w:rsid w:val="6D6F2401"/>
    <w:rsid w:val="6D8C1B89"/>
    <w:rsid w:val="6DAF4FBF"/>
    <w:rsid w:val="6DCF9A27"/>
    <w:rsid w:val="6E1A4B14"/>
    <w:rsid w:val="6E3D0915"/>
    <w:rsid w:val="6E45CD1D"/>
    <w:rsid w:val="6E6C10CE"/>
    <w:rsid w:val="6E903C9A"/>
    <w:rsid w:val="6EB07325"/>
    <w:rsid w:val="6EC13FA9"/>
    <w:rsid w:val="6EEF0121"/>
    <w:rsid w:val="6EFC4FE8"/>
    <w:rsid w:val="6F28629E"/>
    <w:rsid w:val="6F83C5E0"/>
    <w:rsid w:val="700556AF"/>
    <w:rsid w:val="702FFC71"/>
    <w:rsid w:val="7058FB7A"/>
    <w:rsid w:val="709C6668"/>
    <w:rsid w:val="709CF8B4"/>
    <w:rsid w:val="70A1A9F0"/>
    <w:rsid w:val="70E8DA47"/>
    <w:rsid w:val="710ADF70"/>
    <w:rsid w:val="71250770"/>
    <w:rsid w:val="71563312"/>
    <w:rsid w:val="716DE3E2"/>
    <w:rsid w:val="71A49A46"/>
    <w:rsid w:val="71EAFCF4"/>
    <w:rsid w:val="71EE9D39"/>
    <w:rsid w:val="72285183"/>
    <w:rsid w:val="7239F805"/>
    <w:rsid w:val="726B2A6E"/>
    <w:rsid w:val="727C2C6D"/>
    <w:rsid w:val="72FBCFE0"/>
    <w:rsid w:val="734D0EA4"/>
    <w:rsid w:val="737BC361"/>
    <w:rsid w:val="738553E7"/>
    <w:rsid w:val="73DFBE61"/>
    <w:rsid w:val="743F9435"/>
    <w:rsid w:val="74831D23"/>
    <w:rsid w:val="7484D814"/>
    <w:rsid w:val="748F3E10"/>
    <w:rsid w:val="7492B089"/>
    <w:rsid w:val="749FC467"/>
    <w:rsid w:val="74A050AC"/>
    <w:rsid w:val="74C49CD9"/>
    <w:rsid w:val="7528F4AC"/>
    <w:rsid w:val="756D558D"/>
    <w:rsid w:val="757F0806"/>
    <w:rsid w:val="75B7BDA6"/>
    <w:rsid w:val="75C90362"/>
    <w:rsid w:val="75CC575F"/>
    <w:rsid w:val="764758E3"/>
    <w:rsid w:val="76603062"/>
    <w:rsid w:val="767AEAD6"/>
    <w:rsid w:val="76F93585"/>
    <w:rsid w:val="77479FAA"/>
    <w:rsid w:val="775703FB"/>
    <w:rsid w:val="77F54E19"/>
    <w:rsid w:val="781931F0"/>
    <w:rsid w:val="781F8C4E"/>
    <w:rsid w:val="78345E4C"/>
    <w:rsid w:val="78556B59"/>
    <w:rsid w:val="78755360"/>
    <w:rsid w:val="78BBF201"/>
    <w:rsid w:val="78C760AE"/>
    <w:rsid w:val="7912EF6D"/>
    <w:rsid w:val="79212247"/>
    <w:rsid w:val="7927AFF6"/>
    <w:rsid w:val="7940A398"/>
    <w:rsid w:val="799BFBFD"/>
    <w:rsid w:val="799E67DA"/>
    <w:rsid w:val="79BFF96E"/>
    <w:rsid w:val="7A02AF62"/>
    <w:rsid w:val="7A1EF250"/>
    <w:rsid w:val="7A39C360"/>
    <w:rsid w:val="7A5C9432"/>
    <w:rsid w:val="7A755AD9"/>
    <w:rsid w:val="7A8CF13F"/>
    <w:rsid w:val="7AE16659"/>
    <w:rsid w:val="7AE5219B"/>
    <w:rsid w:val="7B32B057"/>
    <w:rsid w:val="7B825658"/>
    <w:rsid w:val="7BAE44F8"/>
    <w:rsid w:val="7C021057"/>
    <w:rsid w:val="7C52CD7F"/>
    <w:rsid w:val="7CB36CC7"/>
    <w:rsid w:val="7CCF35E5"/>
    <w:rsid w:val="7D0D6E57"/>
    <w:rsid w:val="7D207135"/>
    <w:rsid w:val="7D2480A8"/>
    <w:rsid w:val="7D2F4502"/>
    <w:rsid w:val="7D4CF733"/>
    <w:rsid w:val="7D6A625B"/>
    <w:rsid w:val="7D8A6A73"/>
    <w:rsid w:val="7D93E468"/>
    <w:rsid w:val="7D9CA6FA"/>
    <w:rsid w:val="7DEC0724"/>
    <w:rsid w:val="7DF83B51"/>
    <w:rsid w:val="7E3D9864"/>
    <w:rsid w:val="7E514D79"/>
    <w:rsid w:val="7E58AF28"/>
    <w:rsid w:val="7EEFA1CE"/>
    <w:rsid w:val="7F3935E6"/>
    <w:rsid w:val="7FD61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7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Arial" w:hAnsi="Calibri Light" w:cs="Arial"/>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locked="0" w:semiHidden="1" w:uiPriority="35" w:unhideWhenUsed="1" w:qFormat="1"/>
    <w:lsdException w:name="table of figures" w:locked="0" w:semiHidden="1" w:uiPriority="99"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iPriority="99"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lsdException w:name="Table Theme" w:semiHidden="1" w:unhideWhenUsed="1"/>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locked="0"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5A2F16"/>
    <w:pPr>
      <w:autoSpaceDE w:val="0"/>
      <w:autoSpaceDN w:val="0"/>
      <w:adjustRightInd w:val="0"/>
      <w:spacing w:before="120" w:after="120"/>
    </w:pPr>
    <w:rPr>
      <w:rFonts w:ascii="Arial" w:hAnsi="Arial"/>
      <w:sz w:val="22"/>
      <w:lang w:val="en-AU"/>
    </w:rPr>
  </w:style>
  <w:style w:type="paragraph" w:styleId="Heading1">
    <w:name w:val="heading 1"/>
    <w:basedOn w:val="Normal"/>
    <w:next w:val="EYBodytextwithparaspace"/>
    <w:link w:val="Heading1Char"/>
    <w:uiPriority w:val="9"/>
    <w:qFormat/>
    <w:locked/>
    <w:rsid w:val="00F84400"/>
    <w:pPr>
      <w:keepNext/>
      <w:tabs>
        <w:tab w:val="left" w:pos="720"/>
      </w:tabs>
      <w:spacing w:after="240"/>
      <w:outlineLvl w:val="0"/>
    </w:pPr>
    <w:rPr>
      <w:b/>
      <w:bCs/>
      <w:sz w:val="32"/>
      <w:szCs w:val="24"/>
    </w:rPr>
  </w:style>
  <w:style w:type="paragraph" w:styleId="Heading2">
    <w:name w:val="heading 2"/>
    <w:basedOn w:val="EYHeading2"/>
    <w:next w:val="EYBodytextwithparaspace"/>
    <w:link w:val="Heading2Char"/>
    <w:uiPriority w:val="9"/>
    <w:qFormat/>
    <w:locked/>
    <w:rsid w:val="00CA6DBA"/>
    <w:pPr>
      <w:numPr>
        <w:ilvl w:val="0"/>
        <w:numId w:val="0"/>
      </w:numPr>
    </w:pPr>
    <w:rPr>
      <w:sz w:val="24"/>
    </w:rPr>
  </w:style>
  <w:style w:type="paragraph" w:styleId="Heading3">
    <w:name w:val="heading 3"/>
    <w:basedOn w:val="EYHeading2"/>
    <w:next w:val="Normal"/>
    <w:link w:val="Heading3Char"/>
    <w:uiPriority w:val="9"/>
    <w:qFormat/>
    <w:locked/>
    <w:rsid w:val="000066A2"/>
    <w:pPr>
      <w:numPr>
        <w:ilvl w:val="0"/>
        <w:numId w:val="0"/>
      </w:numPr>
      <w:spacing w:line="259" w:lineRule="auto"/>
      <w:outlineLvl w:val="2"/>
    </w:pPr>
    <w:rPr>
      <w:bCs/>
      <w:sz w:val="22"/>
    </w:rPr>
  </w:style>
  <w:style w:type="paragraph" w:styleId="Heading4">
    <w:name w:val="heading 4"/>
    <w:basedOn w:val="Heading3"/>
    <w:next w:val="Normal"/>
    <w:link w:val="Heading4Char"/>
    <w:uiPriority w:val="9"/>
    <w:qFormat/>
    <w:locked/>
    <w:rsid w:val="002242CA"/>
    <w:pPr>
      <w:outlineLvl w:val="3"/>
    </w:pPr>
  </w:style>
  <w:style w:type="paragraph" w:styleId="Heading5">
    <w:name w:val="heading 5"/>
    <w:basedOn w:val="Heading4"/>
    <w:next w:val="Normal"/>
    <w:link w:val="Heading5Char"/>
    <w:uiPriority w:val="9"/>
    <w:qFormat/>
    <w:locked/>
    <w:rsid w:val="00221C67"/>
    <w:pPr>
      <w:outlineLvl w:val="4"/>
    </w:pPr>
    <w:rPr>
      <w:color w:val="auto"/>
    </w:rPr>
  </w:style>
  <w:style w:type="paragraph" w:styleId="Heading6">
    <w:name w:val="heading 6"/>
    <w:basedOn w:val="Normal"/>
    <w:next w:val="EYBodytextwithparaspace"/>
    <w:link w:val="Heading6Char"/>
    <w:uiPriority w:val="9"/>
    <w:qFormat/>
    <w:locked/>
    <w:rsid w:val="00F84400"/>
    <w:pPr>
      <w:outlineLvl w:val="5"/>
    </w:pPr>
  </w:style>
  <w:style w:type="paragraph" w:styleId="Heading7">
    <w:name w:val="heading 7"/>
    <w:basedOn w:val="Normal"/>
    <w:next w:val="EYBodytextwithparaspace"/>
    <w:link w:val="Heading7Char"/>
    <w:locked/>
    <w:rsid w:val="00F84400"/>
    <w:pPr>
      <w:outlineLvl w:val="6"/>
    </w:pPr>
    <w:rPr>
      <w:b/>
    </w:rPr>
  </w:style>
  <w:style w:type="paragraph" w:styleId="Heading8">
    <w:name w:val="heading 8"/>
    <w:basedOn w:val="Normal"/>
    <w:next w:val="EYBodytextwithparaspace"/>
    <w:link w:val="Heading8Char"/>
    <w:locked/>
    <w:rsid w:val="00F84400"/>
    <w:pPr>
      <w:outlineLvl w:val="7"/>
    </w:pPr>
  </w:style>
  <w:style w:type="paragraph" w:styleId="Heading9">
    <w:name w:val="heading 9"/>
    <w:basedOn w:val="Normal"/>
    <w:next w:val="EYBodytextwithparaspace"/>
    <w:link w:val="Heading9Char"/>
    <w:locked/>
    <w:rsid w:val="00F84400"/>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YBodytextwithparaspace">
    <w:name w:val="EY Body text (with para space)"/>
    <w:basedOn w:val="EYBulletnoparaspace"/>
    <w:link w:val="EYBodytextwithparaspaceChar"/>
    <w:qFormat/>
    <w:locked/>
    <w:rsid w:val="00695E6F"/>
    <w:pPr>
      <w:ind w:left="0" w:firstLine="0"/>
      <w:jc w:val="both"/>
    </w:pPr>
  </w:style>
  <w:style w:type="paragraph" w:customStyle="1" w:styleId="EYBodytextwithoutparaspace">
    <w:name w:val="EY Body text (without para space)"/>
    <w:basedOn w:val="EYBodytextwithparaspace"/>
    <w:qFormat/>
    <w:locked/>
    <w:rsid w:val="00993967"/>
  </w:style>
  <w:style w:type="paragraph" w:styleId="Footer">
    <w:name w:val="footer"/>
    <w:aliases w:val="EY Footer"/>
    <w:basedOn w:val="EYNormal"/>
    <w:link w:val="FooterChar"/>
    <w:uiPriority w:val="99"/>
    <w:locked/>
    <w:rsid w:val="00F84400"/>
    <w:pPr>
      <w:widowControl w:val="0"/>
      <w:tabs>
        <w:tab w:val="center" w:pos="4320"/>
        <w:tab w:val="right" w:pos="8640"/>
      </w:tabs>
    </w:pPr>
    <w:rPr>
      <w:sz w:val="16"/>
    </w:rPr>
  </w:style>
  <w:style w:type="character" w:customStyle="1" w:styleId="FooterChar">
    <w:name w:val="Footer Char"/>
    <w:aliases w:val="EY Footer Char"/>
    <w:basedOn w:val="DefaultParagraphFont"/>
    <w:link w:val="Footer"/>
    <w:uiPriority w:val="99"/>
    <w:rsid w:val="00F84400"/>
    <w:rPr>
      <w:rFonts w:ascii="EYInterstate Light" w:hAnsi="EYInterstate Light"/>
      <w:sz w:val="16"/>
      <w:lang w:val="en-AU"/>
    </w:rPr>
  </w:style>
  <w:style w:type="paragraph" w:customStyle="1" w:styleId="Boxtext">
    <w:name w:val="Box text"/>
    <w:basedOn w:val="Normal"/>
    <w:link w:val="BoxtextChar"/>
    <w:qFormat/>
    <w:rsid w:val="00CA6DBA"/>
    <w:pPr>
      <w:pBdr>
        <w:top w:val="single" w:sz="4" w:space="1" w:color="auto"/>
        <w:left w:val="single" w:sz="4" w:space="4" w:color="auto"/>
        <w:bottom w:val="single" w:sz="4" w:space="1" w:color="auto"/>
        <w:right w:val="single" w:sz="4" w:space="4" w:color="auto"/>
      </w:pBdr>
    </w:pPr>
  </w:style>
  <w:style w:type="paragraph" w:styleId="Header">
    <w:name w:val="header"/>
    <w:basedOn w:val="EYNormal"/>
    <w:link w:val="HeaderChar"/>
    <w:uiPriority w:val="99"/>
    <w:locked/>
    <w:rsid w:val="00F84400"/>
    <w:pPr>
      <w:tabs>
        <w:tab w:val="center" w:pos="4513"/>
        <w:tab w:val="right" w:pos="9026"/>
      </w:tabs>
    </w:pPr>
    <w:rPr>
      <w:sz w:val="16"/>
    </w:rPr>
  </w:style>
  <w:style w:type="character" w:customStyle="1" w:styleId="HeaderChar">
    <w:name w:val="Header Char"/>
    <w:basedOn w:val="DefaultParagraphFont"/>
    <w:link w:val="Header"/>
    <w:uiPriority w:val="99"/>
    <w:rsid w:val="00F84400"/>
    <w:rPr>
      <w:rFonts w:ascii="EYInterstate Light" w:hAnsi="EYInterstate Light"/>
      <w:sz w:val="16"/>
      <w:lang w:val="en-AU"/>
    </w:rPr>
  </w:style>
  <w:style w:type="paragraph" w:customStyle="1" w:styleId="EYContents">
    <w:name w:val="EY Contents"/>
    <w:basedOn w:val="EYNormal"/>
    <w:next w:val="EYBodytextwithparaspace"/>
    <w:locked/>
    <w:rsid w:val="00F84400"/>
    <w:pPr>
      <w:keepNext/>
      <w:spacing w:after="240"/>
    </w:pPr>
    <w:rPr>
      <w:rFonts w:ascii="Cambria" w:hAnsi="Cambria"/>
      <w:color w:val="747480"/>
      <w:sz w:val="28"/>
      <w:szCs w:val="24"/>
    </w:rPr>
  </w:style>
  <w:style w:type="paragraph" w:customStyle="1" w:styleId="EYCoverTitle">
    <w:name w:val="EY Cover Title"/>
    <w:basedOn w:val="Normal"/>
    <w:locked/>
    <w:rsid w:val="00F84400"/>
    <w:pPr>
      <w:tabs>
        <w:tab w:val="right" w:pos="6750"/>
      </w:tabs>
      <w:spacing w:line="560" w:lineRule="atLeast"/>
    </w:pPr>
    <w:rPr>
      <w:color w:val="2E2E38"/>
      <w:sz w:val="48"/>
      <w:szCs w:val="48"/>
    </w:rPr>
  </w:style>
  <w:style w:type="paragraph" w:customStyle="1" w:styleId="EYHeading4">
    <w:name w:val="EY Heading 4"/>
    <w:basedOn w:val="EYNormal"/>
    <w:next w:val="EYBodytextwithparaspace"/>
    <w:qFormat/>
    <w:locked/>
    <w:rsid w:val="000B4FEB"/>
    <w:pPr>
      <w:keepNext/>
      <w:outlineLvl w:val="3"/>
    </w:pPr>
    <w:rPr>
      <w:rFonts w:ascii="Segoe UI Emoji" w:hAnsi="Segoe UI Emoji"/>
      <w:b/>
      <w:color w:val="787890" w:themeColor="text1" w:themeTint="99"/>
      <w:szCs w:val="24"/>
    </w:rPr>
  </w:style>
  <w:style w:type="paragraph" w:customStyle="1" w:styleId="EYIndent1">
    <w:name w:val="EY Indent 1"/>
    <w:basedOn w:val="EYNormal"/>
    <w:qFormat/>
    <w:locked/>
    <w:rsid w:val="00F84400"/>
    <w:pPr>
      <w:autoSpaceDE/>
      <w:autoSpaceDN/>
      <w:adjustRightInd/>
      <w:spacing w:after="240"/>
      <w:ind w:left="425"/>
    </w:pPr>
    <w:rPr>
      <w:kern w:val="12"/>
      <w:szCs w:val="24"/>
      <w:lang w:eastAsia="en-AU"/>
    </w:rPr>
  </w:style>
  <w:style w:type="paragraph" w:customStyle="1" w:styleId="EYSource">
    <w:name w:val="EY Source"/>
    <w:basedOn w:val="EYNormal"/>
    <w:next w:val="EYBodytextwithparaspace"/>
    <w:qFormat/>
    <w:locked/>
    <w:rsid w:val="00F84400"/>
    <w:pPr>
      <w:autoSpaceDE/>
      <w:autoSpaceDN/>
      <w:adjustRightInd/>
      <w:spacing w:before="60" w:after="60"/>
    </w:pPr>
    <w:rPr>
      <w:i/>
      <w:sz w:val="16"/>
      <w:szCs w:val="24"/>
    </w:rPr>
  </w:style>
  <w:style w:type="paragraph" w:customStyle="1" w:styleId="EYTableText">
    <w:name w:val="EY Table Text"/>
    <w:basedOn w:val="EYTableNormal"/>
    <w:qFormat/>
    <w:locked/>
    <w:rsid w:val="00544133"/>
    <w:rPr>
      <w:sz w:val="20"/>
    </w:rPr>
  </w:style>
  <w:style w:type="paragraph" w:customStyle="1" w:styleId="EYTableHeading">
    <w:name w:val="EY Table Heading"/>
    <w:basedOn w:val="EYTableNormal"/>
    <w:qFormat/>
    <w:locked/>
    <w:rsid w:val="00F84400"/>
    <w:pPr>
      <w:spacing w:before="60" w:after="60"/>
    </w:pPr>
    <w:rPr>
      <w:b/>
      <w:color w:val="747480"/>
    </w:rPr>
  </w:style>
  <w:style w:type="paragraph" w:customStyle="1" w:styleId="EYTabletextbold">
    <w:name w:val="EY Table text bold"/>
    <w:basedOn w:val="EYTableNormal"/>
    <w:next w:val="EYTableText"/>
    <w:locked/>
    <w:rsid w:val="00F84400"/>
    <w:pPr>
      <w:spacing w:before="60" w:after="60"/>
    </w:pPr>
    <w:rPr>
      <w:b/>
    </w:rPr>
  </w:style>
  <w:style w:type="character" w:styleId="Hyperlink">
    <w:name w:val="Hyperlink"/>
    <w:basedOn w:val="DefaultParagraphFont"/>
    <w:uiPriority w:val="99"/>
    <w:locked/>
    <w:rsid w:val="001351DB"/>
    <w:rPr>
      <w:rFonts w:ascii="Calibri Light" w:hAnsi="Calibri Light"/>
      <w:color w:val="155CB4"/>
      <w:sz w:val="20"/>
      <w:u w:val="single"/>
    </w:rPr>
  </w:style>
  <w:style w:type="paragraph" w:styleId="TOC1">
    <w:name w:val="toc 1"/>
    <w:basedOn w:val="Normal"/>
    <w:next w:val="Normal"/>
    <w:uiPriority w:val="39"/>
    <w:locked/>
    <w:rsid w:val="00F84400"/>
    <w:pPr>
      <w:tabs>
        <w:tab w:val="left" w:pos="600"/>
        <w:tab w:val="right" w:leader="dot" w:pos="13892"/>
      </w:tabs>
      <w:autoSpaceDE/>
      <w:autoSpaceDN/>
      <w:adjustRightInd/>
      <w:snapToGrid w:val="0"/>
    </w:pPr>
    <w:rPr>
      <w:noProof/>
      <w:szCs w:val="24"/>
      <w:lang w:eastAsia="en-GB"/>
    </w:rPr>
  </w:style>
  <w:style w:type="paragraph" w:styleId="TOC2">
    <w:name w:val="toc 2"/>
    <w:basedOn w:val="Normal"/>
    <w:next w:val="Normal"/>
    <w:uiPriority w:val="39"/>
    <w:locked/>
    <w:rsid w:val="00F84400"/>
    <w:pPr>
      <w:tabs>
        <w:tab w:val="left" w:pos="960"/>
        <w:tab w:val="right" w:leader="dot" w:pos="13892"/>
      </w:tabs>
      <w:autoSpaceDE/>
      <w:autoSpaceDN/>
      <w:adjustRightInd/>
      <w:snapToGrid w:val="0"/>
      <w:spacing w:before="60"/>
      <w:ind w:left="198"/>
    </w:pPr>
    <w:rPr>
      <w:noProof/>
      <w:szCs w:val="24"/>
      <w:lang w:eastAsia="en-GB"/>
    </w:rPr>
  </w:style>
  <w:style w:type="paragraph" w:customStyle="1" w:styleId="EYTableHeadingWhite">
    <w:name w:val="EY Table Heading (White)"/>
    <w:basedOn w:val="EYTableNormal"/>
    <w:qFormat/>
    <w:locked/>
    <w:rsid w:val="00544133"/>
    <w:pPr>
      <w:spacing w:before="60" w:after="60"/>
    </w:pPr>
    <w:rPr>
      <w:b/>
      <w:bCs/>
      <w:color w:val="FFFFFF"/>
      <w:sz w:val="22"/>
    </w:rPr>
  </w:style>
  <w:style w:type="paragraph" w:customStyle="1" w:styleId="EYCoverDate">
    <w:name w:val="EY Cover Date"/>
    <w:basedOn w:val="EYNormal"/>
    <w:locked/>
    <w:rsid w:val="00F84400"/>
    <w:pPr>
      <w:autoSpaceDE/>
      <w:autoSpaceDN/>
      <w:adjustRightInd/>
      <w:spacing w:line="320" w:lineRule="atLeast"/>
    </w:pPr>
    <w:rPr>
      <w:b/>
      <w:color w:val="2E2E38"/>
      <w:sz w:val="24"/>
      <w:szCs w:val="24"/>
    </w:rPr>
  </w:style>
  <w:style w:type="paragraph" w:customStyle="1" w:styleId="EYCoverSubTitle">
    <w:name w:val="EY Cover SubTitle"/>
    <w:basedOn w:val="EYNormal"/>
    <w:locked/>
    <w:rsid w:val="00F84400"/>
    <w:pPr>
      <w:spacing w:line="360" w:lineRule="atLeast"/>
    </w:pPr>
    <w:rPr>
      <w:rFonts w:ascii="Cambria" w:hAnsi="Cambria"/>
      <w:color w:val="2E2E38"/>
      <w:sz w:val="28"/>
      <w:szCs w:val="24"/>
    </w:rPr>
  </w:style>
  <w:style w:type="character" w:styleId="FootnoteReference">
    <w:name w:val="footnote reference"/>
    <w:aliases w:val="fr"/>
    <w:basedOn w:val="DefaultParagraphFont"/>
    <w:uiPriority w:val="99"/>
    <w:semiHidden/>
    <w:locked/>
    <w:rsid w:val="00F84400"/>
    <w:rPr>
      <w:rFonts w:ascii="Calibri Light" w:hAnsi="Calibri Light"/>
      <w:position w:val="0"/>
      <w:sz w:val="20"/>
      <w:szCs w:val="20"/>
      <w:vertAlign w:val="superscript"/>
    </w:rPr>
  </w:style>
  <w:style w:type="paragraph" w:customStyle="1" w:styleId="Boxtextoptions">
    <w:name w:val="Box text (options)"/>
    <w:basedOn w:val="Boxtext"/>
    <w:link w:val="BoxtextoptionsChar"/>
    <w:qFormat/>
    <w:rsid w:val="00F23454"/>
    <w:pPr>
      <w:shd w:val="clear" w:color="auto" w:fill="FFFACC" w:themeFill="text2" w:themeFillTint="33"/>
    </w:pPr>
  </w:style>
  <w:style w:type="paragraph" w:customStyle="1" w:styleId="Tabletextleft">
    <w:name w:val="Table text (left)"/>
    <w:basedOn w:val="Normal"/>
    <w:link w:val="TabletextleftChar"/>
    <w:qFormat/>
    <w:rsid w:val="00C829A6"/>
    <w:rPr>
      <w:sz w:val="18"/>
    </w:rPr>
  </w:style>
  <w:style w:type="character" w:customStyle="1" w:styleId="BoxtextoptionsChar">
    <w:name w:val="Box text (options) Char"/>
    <w:basedOn w:val="BoxtextChar"/>
    <w:link w:val="Boxtextoptions"/>
    <w:rsid w:val="00F23454"/>
    <w:rPr>
      <w:rFonts w:ascii="Arial" w:hAnsi="Arial"/>
      <w:sz w:val="22"/>
      <w:shd w:val="clear" w:color="auto" w:fill="FFFACC" w:themeFill="text2" w:themeFillTint="33"/>
      <w:lang w:val="en-AU"/>
    </w:rPr>
  </w:style>
  <w:style w:type="paragraph" w:customStyle="1" w:styleId="EYBulletnoparaspace">
    <w:name w:val="EY Bullet (no para space)"/>
    <w:basedOn w:val="EYNormal"/>
    <w:link w:val="EYBulletnoparaspaceChar"/>
    <w:locked/>
    <w:rsid w:val="00FF6EB8"/>
    <w:pPr>
      <w:autoSpaceDE/>
      <w:autoSpaceDN/>
      <w:adjustRightInd/>
      <w:ind w:left="1080" w:hanging="360"/>
    </w:pPr>
    <w:rPr>
      <w:rFonts w:ascii="Segoe UI Emoji" w:eastAsia="Tahoma" w:hAnsi="Segoe UI Emoji"/>
      <w:szCs w:val="24"/>
    </w:rPr>
  </w:style>
  <w:style w:type="paragraph" w:customStyle="1" w:styleId="EYBullet1">
    <w:name w:val="EY Bullet 1"/>
    <w:link w:val="EYBullet1Char"/>
    <w:qFormat/>
    <w:locked/>
    <w:rsid w:val="00831172"/>
    <w:pPr>
      <w:numPr>
        <w:numId w:val="8"/>
      </w:numPr>
      <w:spacing w:before="60"/>
      <w:ind w:left="714" w:hanging="357"/>
    </w:pPr>
    <w:rPr>
      <w:rFonts w:ascii="Arial" w:eastAsia="Tahoma" w:hAnsi="Arial"/>
      <w:sz w:val="22"/>
      <w:szCs w:val="24"/>
      <w:lang w:val="en-AU"/>
    </w:rPr>
  </w:style>
  <w:style w:type="paragraph" w:customStyle="1" w:styleId="EYBullet2">
    <w:name w:val="EY Bullet 2"/>
    <w:basedOn w:val="EYBullet1"/>
    <w:link w:val="EYBullet2Char"/>
    <w:qFormat/>
    <w:locked/>
    <w:rsid w:val="00831172"/>
    <w:pPr>
      <w:spacing w:before="0"/>
      <w:ind w:left="1208"/>
    </w:pPr>
  </w:style>
  <w:style w:type="paragraph" w:customStyle="1" w:styleId="EYLeader">
    <w:name w:val="EY Leader"/>
    <w:basedOn w:val="EYNormal"/>
    <w:next w:val="EYBodytextwithparaspace"/>
    <w:qFormat/>
    <w:locked/>
    <w:rsid w:val="00F84400"/>
    <w:pPr>
      <w:spacing w:after="280" w:line="280" w:lineRule="atLeast"/>
    </w:pPr>
    <w:rPr>
      <w:color w:val="747480"/>
      <w:sz w:val="24"/>
    </w:rPr>
  </w:style>
  <w:style w:type="paragraph" w:customStyle="1" w:styleId="EY1Number">
    <w:name w:val="EY1 ( Number)"/>
    <w:basedOn w:val="EYNormal"/>
    <w:qFormat/>
    <w:locked/>
    <w:rsid w:val="00F84400"/>
    <w:pPr>
      <w:autoSpaceDE/>
      <w:autoSpaceDN/>
      <w:adjustRightInd/>
      <w:spacing w:after="240"/>
      <w:ind w:left="425" w:hanging="425"/>
    </w:pPr>
    <w:rPr>
      <w:kern w:val="12"/>
      <w:szCs w:val="24"/>
      <w:lang w:eastAsia="en-AU"/>
    </w:rPr>
  </w:style>
  <w:style w:type="character" w:customStyle="1" w:styleId="BoxtextChar">
    <w:name w:val="Box text Char"/>
    <w:basedOn w:val="DefaultParagraphFont"/>
    <w:link w:val="Boxtext"/>
    <w:rsid w:val="00CA6DBA"/>
    <w:rPr>
      <w:rFonts w:ascii="Arial" w:hAnsi="Arial"/>
      <w:sz w:val="22"/>
      <w:lang w:val="en-AU"/>
    </w:rPr>
  </w:style>
  <w:style w:type="numbering" w:customStyle="1" w:styleId="EYBulletList">
    <w:name w:val="EYBulletList"/>
    <w:uiPriority w:val="99"/>
    <w:locked/>
    <w:rsid w:val="00F84400"/>
    <w:pPr>
      <w:numPr>
        <w:numId w:val="5"/>
      </w:numPr>
    </w:pPr>
  </w:style>
  <w:style w:type="numbering" w:customStyle="1" w:styleId="EYPlainBulletList">
    <w:name w:val="EYPlainBulletList"/>
    <w:uiPriority w:val="99"/>
    <w:locked/>
    <w:rsid w:val="00F84400"/>
    <w:pPr>
      <w:numPr>
        <w:numId w:val="2"/>
      </w:numPr>
    </w:pPr>
  </w:style>
  <w:style w:type="numbering" w:customStyle="1" w:styleId="EYAlphaNumList">
    <w:name w:val="EYAlphaNumList"/>
    <w:uiPriority w:val="99"/>
    <w:locked/>
    <w:rsid w:val="00F84400"/>
    <w:pPr>
      <w:numPr>
        <w:numId w:val="4"/>
      </w:numPr>
    </w:pPr>
  </w:style>
  <w:style w:type="character" w:customStyle="1" w:styleId="Heading4Char">
    <w:name w:val="Heading 4 Char"/>
    <w:basedOn w:val="DefaultParagraphFont"/>
    <w:link w:val="Heading4"/>
    <w:uiPriority w:val="9"/>
    <w:rsid w:val="002242CA"/>
    <w:rPr>
      <w:rFonts w:ascii="Arial" w:hAnsi="Arial"/>
      <w:b/>
      <w:bCs/>
      <w:color w:val="787890" w:themeColor="text1" w:themeTint="99"/>
      <w:sz w:val="22"/>
      <w:lang w:val="en-AU"/>
    </w:rPr>
  </w:style>
  <w:style w:type="character" w:customStyle="1" w:styleId="Heading5Char">
    <w:name w:val="Heading 5 Char"/>
    <w:basedOn w:val="DefaultParagraphFont"/>
    <w:link w:val="Heading5"/>
    <w:uiPriority w:val="9"/>
    <w:rsid w:val="00221C67"/>
    <w:rPr>
      <w:rFonts w:ascii="Arial" w:hAnsi="Arial"/>
      <w:b/>
      <w:bCs/>
      <w:sz w:val="22"/>
      <w:lang w:val="en-AU"/>
    </w:rPr>
  </w:style>
  <w:style w:type="character" w:customStyle="1" w:styleId="Heading6Char">
    <w:name w:val="Heading 6 Char"/>
    <w:basedOn w:val="DefaultParagraphFont"/>
    <w:link w:val="Heading6"/>
    <w:uiPriority w:val="9"/>
    <w:rsid w:val="00F84400"/>
    <w:rPr>
      <w:rFonts w:ascii="EYInterstate Light" w:hAnsi="EYInterstate Light"/>
      <w:sz w:val="22"/>
      <w:lang w:val="en-AU"/>
    </w:rPr>
  </w:style>
  <w:style w:type="character" w:customStyle="1" w:styleId="Heading7Char">
    <w:name w:val="Heading 7 Char"/>
    <w:basedOn w:val="DefaultParagraphFont"/>
    <w:link w:val="Heading7"/>
    <w:rsid w:val="00F84400"/>
    <w:rPr>
      <w:rFonts w:ascii="EYInterstate Light" w:hAnsi="EYInterstate Light"/>
      <w:b/>
      <w:lang w:val="en-AU"/>
    </w:rPr>
  </w:style>
  <w:style w:type="character" w:customStyle="1" w:styleId="Heading8Char">
    <w:name w:val="Heading 8 Char"/>
    <w:basedOn w:val="DefaultParagraphFont"/>
    <w:link w:val="Heading8"/>
    <w:rsid w:val="00F84400"/>
    <w:rPr>
      <w:rFonts w:ascii="EYInterstate Light" w:hAnsi="EYInterstate Light"/>
      <w:lang w:val="en-AU"/>
    </w:rPr>
  </w:style>
  <w:style w:type="character" w:customStyle="1" w:styleId="Heading9Char">
    <w:name w:val="Heading 9 Char"/>
    <w:basedOn w:val="DefaultParagraphFont"/>
    <w:link w:val="Heading9"/>
    <w:rsid w:val="00F84400"/>
    <w:rPr>
      <w:rFonts w:ascii="EYInterstate Light" w:hAnsi="EYInterstate Light"/>
      <w:i/>
      <w:lang w:val="en-AU"/>
    </w:rPr>
  </w:style>
  <w:style w:type="paragraph" w:customStyle="1" w:styleId="EYNormal">
    <w:name w:val="EY Normal"/>
    <w:basedOn w:val="Normal"/>
    <w:link w:val="EYNormalChar"/>
    <w:locked/>
    <w:rsid w:val="000822EB"/>
  </w:style>
  <w:style w:type="paragraph" w:customStyle="1" w:styleId="EYAppendixHeading2">
    <w:name w:val="EY Appendix Heading 2"/>
    <w:basedOn w:val="EYNormal"/>
    <w:next w:val="EYBodytextwithparaspace"/>
    <w:qFormat/>
    <w:locked/>
    <w:rsid w:val="00F84400"/>
    <w:pPr>
      <w:keepNext/>
      <w:autoSpaceDE/>
      <w:autoSpaceDN/>
      <w:adjustRightInd/>
    </w:pPr>
    <w:rPr>
      <w:b/>
      <w:sz w:val="28"/>
      <w:szCs w:val="24"/>
    </w:rPr>
  </w:style>
  <w:style w:type="paragraph" w:customStyle="1" w:styleId="EYAppendixHeading3">
    <w:name w:val="EY Appendix Heading 3"/>
    <w:basedOn w:val="EYNormal"/>
    <w:next w:val="EYBodytextwithparaspace"/>
    <w:qFormat/>
    <w:locked/>
    <w:rsid w:val="00841D5F"/>
    <w:pPr>
      <w:keepNext/>
      <w:autoSpaceDE/>
      <w:autoSpaceDN/>
      <w:adjustRightInd/>
    </w:pPr>
    <w:rPr>
      <w:b/>
      <w:color w:val="787890" w:themeColor="text1" w:themeTint="99"/>
      <w:sz w:val="24"/>
      <w:szCs w:val="22"/>
    </w:rPr>
  </w:style>
  <w:style w:type="paragraph" w:customStyle="1" w:styleId="EYBusinessaddress">
    <w:name w:val="EY Business address"/>
    <w:basedOn w:val="Normal"/>
    <w:locked/>
    <w:rsid w:val="00F84400"/>
    <w:pPr>
      <w:spacing w:line="170" w:lineRule="atLeast"/>
    </w:pPr>
    <w:rPr>
      <w:color w:val="666666"/>
      <w:sz w:val="15"/>
      <w:szCs w:val="24"/>
    </w:rPr>
  </w:style>
  <w:style w:type="paragraph" w:customStyle="1" w:styleId="EYBusinessaddressbold">
    <w:name w:val="EY Business address (bold)"/>
    <w:basedOn w:val="EYBusinessaddress"/>
    <w:next w:val="EYBusinessaddress"/>
    <w:locked/>
    <w:rsid w:val="00F84400"/>
    <w:rPr>
      <w:b/>
    </w:rPr>
  </w:style>
  <w:style w:type="paragraph" w:customStyle="1" w:styleId="EYIndent2">
    <w:name w:val="EY Indent 2"/>
    <w:basedOn w:val="EYIndent1"/>
    <w:qFormat/>
    <w:locked/>
    <w:rsid w:val="00F84400"/>
    <w:pPr>
      <w:ind w:left="851"/>
    </w:pPr>
  </w:style>
  <w:style w:type="paragraph" w:customStyle="1" w:styleId="EYIndent3">
    <w:name w:val="EY Indent 3"/>
    <w:basedOn w:val="EYIndent1"/>
    <w:qFormat/>
    <w:locked/>
    <w:rsid w:val="00F84400"/>
    <w:pPr>
      <w:ind w:left="1276"/>
    </w:pPr>
  </w:style>
  <w:style w:type="paragraph" w:customStyle="1" w:styleId="EYSubheading">
    <w:name w:val="EY Subheading"/>
    <w:basedOn w:val="EYNormal"/>
    <w:next w:val="EYBodytextwithparaspace"/>
    <w:qFormat/>
    <w:locked/>
    <w:rsid w:val="00F84400"/>
    <w:pPr>
      <w:keepNext/>
      <w:autoSpaceDE/>
      <w:autoSpaceDN/>
      <w:adjustRightInd/>
    </w:pPr>
    <w:rPr>
      <w:b/>
      <w:kern w:val="12"/>
      <w:szCs w:val="24"/>
      <w:lang w:eastAsia="en-AU"/>
    </w:rPr>
  </w:style>
  <w:style w:type="paragraph" w:customStyle="1" w:styleId="EYTableNormal">
    <w:name w:val="EY Table Normal"/>
    <w:basedOn w:val="Normal"/>
    <w:link w:val="EYTableNormalChar"/>
    <w:locked/>
    <w:rsid w:val="00F84400"/>
    <w:pPr>
      <w:autoSpaceDE/>
      <w:autoSpaceDN/>
      <w:adjustRightInd/>
    </w:pPr>
    <w:rPr>
      <w:sz w:val="16"/>
      <w:szCs w:val="24"/>
    </w:rPr>
  </w:style>
  <w:style w:type="paragraph" w:customStyle="1" w:styleId="EYTablebullet1">
    <w:name w:val="EY Table bullet 1"/>
    <w:basedOn w:val="EYTableNormal"/>
    <w:link w:val="EYTablebullet1Char"/>
    <w:qFormat/>
    <w:locked/>
    <w:rsid w:val="00544133"/>
    <w:pPr>
      <w:numPr>
        <w:numId w:val="3"/>
      </w:numPr>
      <w:spacing w:before="60" w:after="60"/>
    </w:pPr>
    <w:rPr>
      <w:sz w:val="20"/>
      <w:lang w:eastAsia="en-AU"/>
    </w:rPr>
  </w:style>
  <w:style w:type="paragraph" w:customStyle="1" w:styleId="EYTablebullet2">
    <w:name w:val="EY Table bullet 2"/>
    <w:basedOn w:val="EYTableNormal"/>
    <w:qFormat/>
    <w:locked/>
    <w:rsid w:val="00544133"/>
    <w:pPr>
      <w:numPr>
        <w:ilvl w:val="1"/>
        <w:numId w:val="3"/>
      </w:numPr>
      <w:spacing w:before="60" w:after="60"/>
    </w:pPr>
    <w:rPr>
      <w:sz w:val="20"/>
    </w:rPr>
  </w:style>
  <w:style w:type="paragraph" w:styleId="TOC3">
    <w:name w:val="toc 3"/>
    <w:basedOn w:val="Normal"/>
    <w:next w:val="Normal"/>
    <w:uiPriority w:val="39"/>
    <w:locked/>
    <w:rsid w:val="00F84400"/>
    <w:pPr>
      <w:tabs>
        <w:tab w:val="left" w:pos="1200"/>
        <w:tab w:val="right" w:leader="dot" w:pos="13892"/>
      </w:tabs>
      <w:autoSpaceDE/>
      <w:autoSpaceDN/>
      <w:adjustRightInd/>
      <w:snapToGrid w:val="0"/>
      <w:spacing w:before="60"/>
      <w:ind w:left="403"/>
    </w:pPr>
    <w:rPr>
      <w:noProof/>
      <w:szCs w:val="24"/>
      <w:lang w:eastAsia="en-GB"/>
    </w:rPr>
  </w:style>
  <w:style w:type="paragraph" w:styleId="TOC4">
    <w:name w:val="toc 4"/>
    <w:basedOn w:val="Normal"/>
    <w:next w:val="Normal"/>
    <w:uiPriority w:val="39"/>
    <w:locked/>
    <w:rsid w:val="00F84400"/>
    <w:pPr>
      <w:tabs>
        <w:tab w:val="left" w:pos="1680"/>
        <w:tab w:val="right" w:leader="dot" w:pos="13892"/>
      </w:tabs>
      <w:autoSpaceDE/>
      <w:autoSpaceDN/>
      <w:adjustRightInd/>
      <w:snapToGrid w:val="0"/>
      <w:spacing w:before="60"/>
      <w:ind w:left="601"/>
    </w:pPr>
    <w:rPr>
      <w:noProof/>
      <w:szCs w:val="24"/>
      <w:lang w:eastAsia="en-GB"/>
    </w:rPr>
  </w:style>
  <w:style w:type="paragraph" w:styleId="BalloonText">
    <w:name w:val="Balloon Text"/>
    <w:basedOn w:val="Normal"/>
    <w:link w:val="BalloonTextChar"/>
    <w:uiPriority w:val="99"/>
    <w:semiHidden/>
    <w:locked/>
    <w:rsid w:val="00F84400"/>
    <w:rPr>
      <w:rFonts w:ascii="MS Mincho" w:hAnsi="MS Mincho" w:cs="MS Mincho"/>
      <w:sz w:val="16"/>
      <w:szCs w:val="16"/>
    </w:rPr>
  </w:style>
  <w:style w:type="character" w:customStyle="1" w:styleId="BalloonTextChar">
    <w:name w:val="Balloon Text Char"/>
    <w:basedOn w:val="DefaultParagraphFont"/>
    <w:link w:val="BalloonText"/>
    <w:uiPriority w:val="99"/>
    <w:semiHidden/>
    <w:rsid w:val="00F84400"/>
    <w:rPr>
      <w:rFonts w:ascii="MS Mincho" w:hAnsi="MS Mincho" w:cs="MS Mincho"/>
      <w:sz w:val="16"/>
      <w:szCs w:val="16"/>
      <w:lang w:val="en-AU"/>
    </w:rPr>
  </w:style>
  <w:style w:type="character" w:styleId="EndnoteReference">
    <w:name w:val="endnote reference"/>
    <w:basedOn w:val="DefaultParagraphFont"/>
    <w:semiHidden/>
    <w:locked/>
    <w:rsid w:val="00F84400"/>
    <w:rPr>
      <w:vertAlign w:val="superscript"/>
    </w:rPr>
  </w:style>
  <w:style w:type="paragraph" w:styleId="EndnoteText">
    <w:name w:val="endnote text"/>
    <w:basedOn w:val="Normal"/>
    <w:link w:val="EndnoteTextChar"/>
    <w:semiHidden/>
    <w:locked/>
    <w:rsid w:val="00F84400"/>
  </w:style>
  <w:style w:type="character" w:customStyle="1" w:styleId="EndnoteTextChar">
    <w:name w:val="Endnote Text Char"/>
    <w:basedOn w:val="DefaultParagraphFont"/>
    <w:link w:val="EndnoteText"/>
    <w:semiHidden/>
    <w:rsid w:val="00F84400"/>
    <w:rPr>
      <w:rFonts w:ascii="EYInterstate Light" w:hAnsi="EYInterstate Light"/>
      <w:lang w:val="en-AU"/>
    </w:rPr>
  </w:style>
  <w:style w:type="numbering" w:customStyle="1" w:styleId="StyleNumbered">
    <w:name w:val="Style Numbered"/>
    <w:basedOn w:val="NoList"/>
    <w:locked/>
    <w:rsid w:val="00F84400"/>
    <w:pPr>
      <w:numPr>
        <w:numId w:val="6"/>
      </w:numPr>
    </w:pPr>
  </w:style>
  <w:style w:type="paragraph" w:styleId="Caption">
    <w:name w:val="caption"/>
    <w:basedOn w:val="Normal"/>
    <w:next w:val="Normal"/>
    <w:uiPriority w:val="35"/>
    <w:unhideWhenUsed/>
    <w:qFormat/>
    <w:locked/>
    <w:rsid w:val="00CA6DBA"/>
    <w:pPr>
      <w:keepNext/>
      <w:spacing w:after="60"/>
    </w:pPr>
    <w:rPr>
      <w:b/>
      <w:color w:val="747480"/>
      <w:sz w:val="18"/>
      <w:szCs w:val="18"/>
    </w:rPr>
  </w:style>
  <w:style w:type="paragraph" w:customStyle="1" w:styleId="EYHeading1">
    <w:name w:val="EY Heading 1"/>
    <w:basedOn w:val="Heading1"/>
    <w:next w:val="EYBodytextwithparaspace"/>
    <w:link w:val="EYHeading1Char"/>
    <w:qFormat/>
    <w:locked/>
    <w:rsid w:val="00B67966"/>
    <w:pPr>
      <w:pageBreakBefore/>
      <w:numPr>
        <w:numId w:val="1"/>
      </w:numPr>
      <w:tabs>
        <w:tab w:val="clear" w:pos="720"/>
        <w:tab w:val="left" w:pos="851"/>
      </w:tabs>
      <w:autoSpaceDE/>
      <w:autoSpaceDN/>
      <w:adjustRightInd/>
      <w:spacing w:after="120"/>
    </w:pPr>
    <w:rPr>
      <w:color w:val="747480"/>
    </w:rPr>
  </w:style>
  <w:style w:type="paragraph" w:customStyle="1" w:styleId="EYHeading2">
    <w:name w:val="EY Heading 2"/>
    <w:basedOn w:val="Normal"/>
    <w:next w:val="EYBodytextwithparaspace"/>
    <w:link w:val="EYHeading2Char"/>
    <w:qFormat/>
    <w:locked/>
    <w:rsid w:val="00A01088"/>
    <w:pPr>
      <w:keepNext/>
      <w:numPr>
        <w:ilvl w:val="1"/>
        <w:numId w:val="1"/>
      </w:numPr>
      <w:ind w:left="851"/>
      <w:outlineLvl w:val="1"/>
    </w:pPr>
    <w:rPr>
      <w:b/>
      <w:color w:val="787890" w:themeColor="text1" w:themeTint="99"/>
      <w:sz w:val="26"/>
      <w:szCs w:val="24"/>
    </w:rPr>
  </w:style>
  <w:style w:type="paragraph" w:customStyle="1" w:styleId="EYHeading3">
    <w:name w:val="EY Heading 3"/>
    <w:basedOn w:val="EYNormal"/>
    <w:next w:val="EYBodytextwithparaspace"/>
    <w:qFormat/>
    <w:locked/>
    <w:rsid w:val="00A01088"/>
    <w:pPr>
      <w:keepNext/>
      <w:numPr>
        <w:ilvl w:val="2"/>
        <w:numId w:val="1"/>
      </w:numPr>
      <w:ind w:left="851"/>
      <w:outlineLvl w:val="2"/>
    </w:pPr>
    <w:rPr>
      <w:rFonts w:eastAsia="EYInterstate"/>
      <w:b/>
      <w:color w:val="787890" w:themeColor="text1" w:themeTint="99"/>
      <w:sz w:val="26"/>
      <w:szCs w:val="24"/>
      <w:lang w:eastAsia="en-AU"/>
    </w:rPr>
  </w:style>
  <w:style w:type="character" w:styleId="CommentReference">
    <w:name w:val="annotation reference"/>
    <w:basedOn w:val="DefaultParagraphFont"/>
    <w:uiPriority w:val="99"/>
    <w:semiHidden/>
    <w:unhideWhenUsed/>
    <w:locked/>
    <w:rsid w:val="00C1638D"/>
    <w:rPr>
      <w:sz w:val="16"/>
      <w:szCs w:val="16"/>
    </w:rPr>
  </w:style>
  <w:style w:type="paragraph" w:styleId="CommentText">
    <w:name w:val="annotation text"/>
    <w:basedOn w:val="Normal"/>
    <w:link w:val="CommentTextChar"/>
    <w:uiPriority w:val="99"/>
    <w:unhideWhenUsed/>
    <w:locked/>
    <w:rsid w:val="00C1638D"/>
  </w:style>
  <w:style w:type="character" w:customStyle="1" w:styleId="CommentTextChar">
    <w:name w:val="Comment Text Char"/>
    <w:basedOn w:val="DefaultParagraphFont"/>
    <w:link w:val="CommentText"/>
    <w:uiPriority w:val="99"/>
    <w:rsid w:val="00C1638D"/>
    <w:rPr>
      <w:lang w:val="en-AU"/>
    </w:rPr>
  </w:style>
  <w:style w:type="paragraph" w:styleId="CommentSubject">
    <w:name w:val="annotation subject"/>
    <w:basedOn w:val="CommentText"/>
    <w:next w:val="CommentText"/>
    <w:link w:val="CommentSubjectChar"/>
    <w:uiPriority w:val="99"/>
    <w:semiHidden/>
    <w:unhideWhenUsed/>
    <w:locked/>
    <w:rsid w:val="00C1638D"/>
    <w:rPr>
      <w:b/>
      <w:bCs/>
    </w:rPr>
  </w:style>
  <w:style w:type="character" w:customStyle="1" w:styleId="CommentSubjectChar">
    <w:name w:val="Comment Subject Char"/>
    <w:basedOn w:val="CommentTextChar"/>
    <w:link w:val="CommentSubject"/>
    <w:uiPriority w:val="99"/>
    <w:semiHidden/>
    <w:rsid w:val="00C1638D"/>
    <w:rPr>
      <w:b/>
      <w:bCs/>
      <w:lang w:val="en-AU"/>
    </w:rPr>
  </w:style>
  <w:style w:type="table" w:styleId="TableGrid">
    <w:name w:val="Table Grid"/>
    <w:aliases w:val="none,CV table"/>
    <w:basedOn w:val="TableNormal"/>
    <w:locked/>
    <w:rsid w:val="00D06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088D"/>
    <w:rPr>
      <w:lang w:val="en-AU"/>
    </w:rPr>
  </w:style>
  <w:style w:type="character" w:customStyle="1" w:styleId="Heading1Char">
    <w:name w:val="Heading 1 Char"/>
    <w:basedOn w:val="DefaultParagraphFont"/>
    <w:link w:val="Heading1"/>
    <w:uiPriority w:val="9"/>
    <w:rsid w:val="004206B0"/>
    <w:rPr>
      <w:b/>
      <w:bCs/>
      <w:sz w:val="32"/>
      <w:szCs w:val="24"/>
      <w:lang w:val="en-AU"/>
    </w:rPr>
  </w:style>
  <w:style w:type="character" w:customStyle="1" w:styleId="Heading2Char">
    <w:name w:val="Heading 2 Char"/>
    <w:basedOn w:val="DefaultParagraphFont"/>
    <w:link w:val="Heading2"/>
    <w:uiPriority w:val="9"/>
    <w:rsid w:val="00CA6DBA"/>
    <w:rPr>
      <w:rFonts w:ascii="Arial" w:hAnsi="Arial"/>
      <w:b/>
      <w:color w:val="787890" w:themeColor="text1" w:themeTint="99"/>
      <w:sz w:val="24"/>
      <w:szCs w:val="24"/>
      <w:lang w:val="en-AU"/>
    </w:rPr>
  </w:style>
  <w:style w:type="character" w:customStyle="1" w:styleId="Heading3Char">
    <w:name w:val="Heading 3 Char"/>
    <w:basedOn w:val="DefaultParagraphFont"/>
    <w:link w:val="Heading3"/>
    <w:uiPriority w:val="9"/>
    <w:rsid w:val="000066A2"/>
    <w:rPr>
      <w:rFonts w:ascii="Arial" w:hAnsi="Arial"/>
      <w:b/>
      <w:bCs/>
      <w:color w:val="787890" w:themeColor="text1" w:themeTint="99"/>
      <w:sz w:val="22"/>
      <w:szCs w:val="24"/>
      <w:lang w:val="en-AU"/>
    </w:rPr>
  </w:style>
  <w:style w:type="table" w:styleId="GridTable3-Accent1">
    <w:name w:val="Grid Table 3 Accent 1"/>
    <w:basedOn w:val="TableNormal"/>
    <w:uiPriority w:val="48"/>
    <w:locked/>
    <w:rsid w:val="004206B0"/>
    <w:rPr>
      <w:rFonts w:asciiTheme="minorHAnsi" w:eastAsiaTheme="minorHAnsi" w:hAnsiTheme="minorHAnsi" w:cstheme="minorBidi"/>
      <w:sz w:val="22"/>
      <w:szCs w:val="22"/>
      <w:lang w:val="en-AU"/>
    </w:rPr>
    <w:tblPr>
      <w:tblStyleRowBandSize w:val="1"/>
      <w:tblStyleColBandSize w:val="1"/>
      <w:tblBorders>
        <w:top w:val="single" w:sz="4" w:space="0" w:color="77DD96" w:themeColor="accent1" w:themeTint="99"/>
        <w:left w:val="single" w:sz="4" w:space="0" w:color="77DD96" w:themeColor="accent1" w:themeTint="99"/>
        <w:bottom w:val="single" w:sz="4" w:space="0" w:color="77DD96" w:themeColor="accent1" w:themeTint="99"/>
        <w:right w:val="single" w:sz="4" w:space="0" w:color="77DD96" w:themeColor="accent1" w:themeTint="99"/>
        <w:insideH w:val="single" w:sz="4" w:space="0" w:color="77DD96" w:themeColor="accent1" w:themeTint="99"/>
        <w:insideV w:val="single" w:sz="4" w:space="0" w:color="77DD9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3DB" w:themeFill="accent1" w:themeFillTint="33"/>
      </w:tcPr>
    </w:tblStylePr>
    <w:tblStylePr w:type="band1Horz">
      <w:tblPr/>
      <w:tcPr>
        <w:shd w:val="clear" w:color="auto" w:fill="D1F3DB" w:themeFill="accent1" w:themeFillTint="33"/>
      </w:tcPr>
    </w:tblStylePr>
    <w:tblStylePr w:type="neCell">
      <w:tblPr/>
      <w:tcPr>
        <w:tcBorders>
          <w:bottom w:val="single" w:sz="4" w:space="0" w:color="77DD96" w:themeColor="accent1" w:themeTint="99"/>
        </w:tcBorders>
      </w:tcPr>
    </w:tblStylePr>
    <w:tblStylePr w:type="nwCell">
      <w:tblPr/>
      <w:tcPr>
        <w:tcBorders>
          <w:bottom w:val="single" w:sz="4" w:space="0" w:color="77DD96" w:themeColor="accent1" w:themeTint="99"/>
        </w:tcBorders>
      </w:tcPr>
    </w:tblStylePr>
    <w:tblStylePr w:type="seCell">
      <w:tblPr/>
      <w:tcPr>
        <w:tcBorders>
          <w:top w:val="single" w:sz="4" w:space="0" w:color="77DD96" w:themeColor="accent1" w:themeTint="99"/>
        </w:tcBorders>
      </w:tcPr>
    </w:tblStylePr>
    <w:tblStylePr w:type="swCell">
      <w:tblPr/>
      <w:tcPr>
        <w:tcBorders>
          <w:top w:val="single" w:sz="4" w:space="0" w:color="77DD96" w:themeColor="accent1" w:themeTint="99"/>
        </w:tcBorders>
      </w:tcPr>
    </w:tblStylePr>
  </w:style>
  <w:style w:type="table" w:styleId="GridTable1Light-Accent1">
    <w:name w:val="Grid Table 1 Light Accent 1"/>
    <w:basedOn w:val="TableNormal"/>
    <w:uiPriority w:val="46"/>
    <w:locked/>
    <w:rsid w:val="004206B0"/>
    <w:rPr>
      <w:rFonts w:asciiTheme="minorHAnsi" w:eastAsiaTheme="minorHAnsi" w:hAnsiTheme="minorHAnsi" w:cstheme="minorBidi"/>
      <w:sz w:val="22"/>
      <w:szCs w:val="22"/>
      <w:lang w:val="en-AU"/>
    </w:rPr>
    <w:tblPr>
      <w:tblStyleRowBandSize w:val="1"/>
      <w:tblStyleColBandSize w:val="1"/>
      <w:tblBorders>
        <w:top w:val="single" w:sz="4" w:space="0" w:color="A4E8B8" w:themeColor="accent1" w:themeTint="66"/>
        <w:left w:val="single" w:sz="4" w:space="0" w:color="A4E8B8" w:themeColor="accent1" w:themeTint="66"/>
        <w:bottom w:val="single" w:sz="4" w:space="0" w:color="A4E8B8" w:themeColor="accent1" w:themeTint="66"/>
        <w:right w:val="single" w:sz="4" w:space="0" w:color="A4E8B8" w:themeColor="accent1" w:themeTint="66"/>
        <w:insideH w:val="single" w:sz="4" w:space="0" w:color="A4E8B8" w:themeColor="accent1" w:themeTint="66"/>
        <w:insideV w:val="single" w:sz="4" w:space="0" w:color="A4E8B8" w:themeColor="accent1" w:themeTint="66"/>
      </w:tblBorders>
    </w:tblPr>
    <w:tblStylePr w:type="firstRow">
      <w:rPr>
        <w:b/>
        <w:bCs/>
      </w:rPr>
      <w:tblPr/>
      <w:tcPr>
        <w:tcBorders>
          <w:bottom w:val="single" w:sz="12" w:space="0" w:color="77DD96" w:themeColor="accent1" w:themeTint="99"/>
        </w:tcBorders>
      </w:tcPr>
    </w:tblStylePr>
    <w:tblStylePr w:type="lastRow">
      <w:rPr>
        <w:b/>
        <w:bCs/>
      </w:rPr>
      <w:tblPr/>
      <w:tcPr>
        <w:tcBorders>
          <w:top w:val="double" w:sz="2" w:space="0" w:color="77DD96" w:themeColor="accent1" w:themeTint="99"/>
        </w:tcBorders>
      </w:tcPr>
    </w:tblStylePr>
    <w:tblStylePr w:type="firstCol">
      <w:rPr>
        <w:b/>
        <w:bCs/>
      </w:rPr>
    </w:tblStylePr>
    <w:tblStylePr w:type="lastCol">
      <w:rPr>
        <w:b/>
        <w:bCs/>
      </w:rPr>
    </w:tblStylePr>
  </w:style>
  <w:style w:type="paragraph" w:styleId="Title">
    <w:name w:val="Title"/>
    <w:next w:val="Normal"/>
    <w:link w:val="TitleChar"/>
    <w:uiPriority w:val="10"/>
    <w:qFormat/>
    <w:locked/>
    <w:rsid w:val="0022112F"/>
    <w:pPr>
      <w:spacing w:before="120" w:after="120" w:line="259" w:lineRule="auto"/>
      <w:ind w:right="3969"/>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22112F"/>
    <w:rPr>
      <w:rFonts w:asciiTheme="majorHAnsi" w:eastAsiaTheme="majorEastAsia" w:hAnsiTheme="majorHAnsi" w:cstheme="majorBidi"/>
      <w:spacing w:val="-10"/>
      <w:kern w:val="28"/>
      <w:sz w:val="56"/>
      <w:szCs w:val="56"/>
      <w:lang w:val="en-AU"/>
    </w:rPr>
  </w:style>
  <w:style w:type="paragraph" w:styleId="Subtitle">
    <w:name w:val="Subtitle"/>
    <w:basedOn w:val="Title"/>
    <w:next w:val="Normal"/>
    <w:link w:val="SubtitleChar"/>
    <w:uiPriority w:val="11"/>
    <w:qFormat/>
    <w:locked/>
    <w:rsid w:val="0022112F"/>
    <w:pPr>
      <w:numPr>
        <w:ilvl w:val="1"/>
      </w:numPr>
      <w:spacing w:after="160"/>
      <w:ind w:right="6804"/>
    </w:pPr>
    <w:rPr>
      <w:rFonts w:ascii="Arial" w:eastAsiaTheme="minorEastAsia" w:hAnsi="Arial" w:cstheme="minorBidi"/>
      <w:spacing w:val="0"/>
      <w:sz w:val="28"/>
      <w:szCs w:val="22"/>
    </w:rPr>
  </w:style>
  <w:style w:type="character" w:customStyle="1" w:styleId="SubtitleChar">
    <w:name w:val="Subtitle Char"/>
    <w:basedOn w:val="DefaultParagraphFont"/>
    <w:link w:val="Subtitle"/>
    <w:uiPriority w:val="11"/>
    <w:rsid w:val="0022112F"/>
    <w:rPr>
      <w:rFonts w:ascii="Arial" w:eastAsiaTheme="minorEastAsia" w:hAnsi="Arial" w:cstheme="minorBidi"/>
      <w:kern w:val="28"/>
      <w:sz w:val="28"/>
      <w:szCs w:val="22"/>
      <w:lang w:val="en-AU"/>
    </w:rPr>
  </w:style>
  <w:style w:type="paragraph" w:styleId="Quote">
    <w:name w:val="Quote"/>
    <w:basedOn w:val="Normal"/>
    <w:link w:val="QuoteChar"/>
    <w:qFormat/>
    <w:locked/>
    <w:rsid w:val="004206B0"/>
    <w:pPr>
      <w:autoSpaceDE/>
      <w:autoSpaceDN/>
      <w:adjustRightInd/>
      <w:spacing w:after="240"/>
      <w:ind w:left="720" w:right="720"/>
    </w:pPr>
    <w:rPr>
      <w:color w:val="000000"/>
      <w:lang w:eastAsia="en-AU"/>
    </w:rPr>
  </w:style>
  <w:style w:type="character" w:customStyle="1" w:styleId="QuoteChar">
    <w:name w:val="Quote Char"/>
    <w:basedOn w:val="DefaultParagraphFont"/>
    <w:link w:val="Quote"/>
    <w:rsid w:val="004206B0"/>
    <w:rPr>
      <w:rFonts w:ascii="Arial" w:hAnsi="Arial"/>
      <w:color w:val="000000"/>
      <w:lang w:val="en-AU" w:eastAsia="en-AU"/>
    </w:rPr>
  </w:style>
  <w:style w:type="paragraph" w:styleId="NoSpacing">
    <w:name w:val="No Spacing"/>
    <w:link w:val="NoSpacingChar"/>
    <w:uiPriority w:val="1"/>
    <w:qFormat/>
    <w:locked/>
    <w:rsid w:val="004206B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206B0"/>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locked/>
    <w:rsid w:val="004206B0"/>
    <w:pPr>
      <w:keepLines/>
      <w:tabs>
        <w:tab w:val="clear" w:pos="720"/>
      </w:tabs>
      <w:autoSpaceDE/>
      <w:autoSpaceDN/>
      <w:adjustRightInd/>
      <w:spacing w:before="240" w:after="0" w:line="259" w:lineRule="auto"/>
      <w:outlineLvl w:val="9"/>
    </w:pPr>
    <w:rPr>
      <w:rFonts w:asciiTheme="majorHAnsi" w:eastAsiaTheme="majorEastAsia" w:hAnsiTheme="majorHAnsi" w:cstheme="majorBidi"/>
      <w:b w:val="0"/>
      <w:bCs w:val="0"/>
      <w:color w:val="218840" w:themeColor="accent1" w:themeShade="BF"/>
      <w:szCs w:val="32"/>
      <w:lang w:val="en-US"/>
    </w:rPr>
  </w:style>
  <w:style w:type="paragraph" w:styleId="TableofFigures">
    <w:name w:val="table of figures"/>
    <w:basedOn w:val="Normal"/>
    <w:next w:val="Normal"/>
    <w:uiPriority w:val="99"/>
    <w:unhideWhenUsed/>
    <w:locked/>
    <w:rsid w:val="004206B0"/>
    <w:pPr>
      <w:autoSpaceDE/>
      <w:autoSpaceDN/>
      <w:adjustRightInd/>
      <w:spacing w:line="259" w:lineRule="auto"/>
    </w:pPr>
    <w:rPr>
      <w:rFonts w:asciiTheme="minorHAnsi" w:eastAsiaTheme="minorHAnsi" w:hAnsiTheme="minorHAnsi" w:cstheme="minorBidi"/>
      <w:szCs w:val="22"/>
    </w:rPr>
  </w:style>
  <w:style w:type="character" w:customStyle="1" w:styleId="UnresolvedMention1">
    <w:name w:val="Unresolved Mention1"/>
    <w:basedOn w:val="DefaultParagraphFont"/>
    <w:uiPriority w:val="99"/>
    <w:unhideWhenUsed/>
    <w:locked/>
    <w:rsid w:val="004206B0"/>
    <w:rPr>
      <w:color w:val="605E5C"/>
      <w:shd w:val="clear" w:color="auto" w:fill="E1DFDD"/>
    </w:rPr>
  </w:style>
  <w:style w:type="character" w:customStyle="1" w:styleId="Mention1">
    <w:name w:val="Mention1"/>
    <w:basedOn w:val="DefaultParagraphFont"/>
    <w:uiPriority w:val="99"/>
    <w:unhideWhenUsed/>
    <w:locked/>
    <w:rsid w:val="001059C8"/>
    <w:rPr>
      <w:color w:val="2B579A"/>
      <w:shd w:val="clear" w:color="auto" w:fill="E1DFDD"/>
    </w:rPr>
  </w:style>
  <w:style w:type="table" w:customStyle="1" w:styleId="Style1">
    <w:name w:val="Style1"/>
    <w:basedOn w:val="TableNormal"/>
    <w:uiPriority w:val="99"/>
    <w:locked/>
    <w:rsid w:val="00C976B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2E2E38" w:themeFill="text1"/>
      </w:tcPr>
    </w:tblStylePr>
    <w:tblStylePr w:type="swCell">
      <w:rPr>
        <w:b/>
      </w:rPr>
    </w:tblStylePr>
  </w:style>
  <w:style w:type="character" w:styleId="FollowedHyperlink">
    <w:name w:val="FollowedHyperlink"/>
    <w:basedOn w:val="DefaultParagraphFont"/>
    <w:semiHidden/>
    <w:unhideWhenUsed/>
    <w:locked/>
    <w:rsid w:val="00902445"/>
    <w:rPr>
      <w:color w:val="800080" w:themeColor="followedHyperlink"/>
      <w:u w:val="single"/>
    </w:rPr>
  </w:style>
  <w:style w:type="character" w:customStyle="1" w:styleId="EYBodytextwithparaspaceChar">
    <w:name w:val="EY Body text (with para space) Char"/>
    <w:basedOn w:val="DefaultParagraphFont"/>
    <w:link w:val="EYBodytextwithparaspace"/>
    <w:rsid w:val="00DB7C05"/>
    <w:rPr>
      <w:rFonts w:ascii="EYInterstate Light" w:eastAsia="Calibri" w:hAnsi="EYInterstate Light"/>
      <w:szCs w:val="24"/>
      <w:lang w:val="en-AU"/>
    </w:rPr>
  </w:style>
  <w:style w:type="character" w:styleId="UnresolvedMention">
    <w:name w:val="Unresolved Mention"/>
    <w:basedOn w:val="DefaultParagraphFont"/>
    <w:uiPriority w:val="99"/>
    <w:unhideWhenUsed/>
    <w:locked/>
    <w:rsid w:val="00075B99"/>
    <w:rPr>
      <w:color w:val="605E5C"/>
      <w:shd w:val="clear" w:color="auto" w:fill="E1DFDD"/>
    </w:rPr>
  </w:style>
  <w:style w:type="character" w:styleId="Mention">
    <w:name w:val="Mention"/>
    <w:basedOn w:val="DefaultParagraphFont"/>
    <w:uiPriority w:val="99"/>
    <w:unhideWhenUsed/>
    <w:locked/>
    <w:rsid w:val="00075B99"/>
    <w:rPr>
      <w:color w:val="2B579A"/>
      <w:shd w:val="clear" w:color="auto" w:fill="E1DFDD"/>
    </w:rPr>
  </w:style>
  <w:style w:type="paragraph" w:customStyle="1" w:styleId="EYTable">
    <w:name w:val="EY Table"/>
    <w:aliases w:val="No bullet"/>
    <w:basedOn w:val="EYTablebullet1"/>
    <w:link w:val="EYTableChar"/>
    <w:qFormat/>
    <w:locked/>
    <w:rsid w:val="00BA7B24"/>
    <w:pPr>
      <w:numPr>
        <w:numId w:val="0"/>
      </w:numPr>
    </w:pPr>
  </w:style>
  <w:style w:type="paragraph" w:customStyle="1" w:styleId="EYBullet">
    <w:name w:val="EY Bullet"/>
    <w:aliases w:val="Black"/>
    <w:basedOn w:val="EYBulletnoparaspace"/>
    <w:link w:val="EYBulletChar"/>
    <w:qFormat/>
    <w:locked/>
    <w:rsid w:val="00C05293"/>
    <w:pPr>
      <w:ind w:left="720" w:firstLine="0"/>
    </w:pPr>
    <w:rPr>
      <w:rFonts w:ascii="EYInterstate Light" w:hAnsi="EYInterstate Light"/>
    </w:rPr>
  </w:style>
  <w:style w:type="character" w:customStyle="1" w:styleId="EYTableNormalChar">
    <w:name w:val="EY Table Normal Char"/>
    <w:basedOn w:val="DefaultParagraphFont"/>
    <w:link w:val="EYTableNormal"/>
    <w:rsid w:val="00BA7B24"/>
    <w:rPr>
      <w:sz w:val="16"/>
      <w:szCs w:val="24"/>
      <w:lang w:val="en-AU"/>
    </w:rPr>
  </w:style>
  <w:style w:type="character" w:customStyle="1" w:styleId="EYTablebullet1Char">
    <w:name w:val="EY Table bullet 1 Char"/>
    <w:basedOn w:val="EYTableNormalChar"/>
    <w:link w:val="EYTablebullet1"/>
    <w:rsid w:val="00544133"/>
    <w:rPr>
      <w:rFonts w:ascii="Arial" w:hAnsi="Arial"/>
      <w:sz w:val="16"/>
      <w:szCs w:val="24"/>
      <w:lang w:val="en-AU" w:eastAsia="en-AU"/>
    </w:rPr>
  </w:style>
  <w:style w:type="character" w:customStyle="1" w:styleId="EYTableChar">
    <w:name w:val="EY Table Char"/>
    <w:aliases w:val="No bullet Char"/>
    <w:basedOn w:val="EYTablebullet1Char"/>
    <w:link w:val="EYTable"/>
    <w:rsid w:val="00BA7B24"/>
    <w:rPr>
      <w:rFonts w:ascii="Arial" w:hAnsi="Arial"/>
      <w:sz w:val="16"/>
      <w:szCs w:val="24"/>
      <w:lang w:val="en-AU" w:eastAsia="en-AU"/>
    </w:rPr>
  </w:style>
  <w:style w:type="character" w:customStyle="1" w:styleId="EYNormalChar">
    <w:name w:val="EY Normal Char"/>
    <w:basedOn w:val="DefaultParagraphFont"/>
    <w:link w:val="EYNormal"/>
    <w:rsid w:val="007103A7"/>
    <w:rPr>
      <w:lang w:val="en-AU"/>
    </w:rPr>
  </w:style>
  <w:style w:type="character" w:customStyle="1" w:styleId="EYBulletnoparaspaceChar">
    <w:name w:val="EY Bullet (no para space) Char"/>
    <w:basedOn w:val="EYNormalChar"/>
    <w:link w:val="EYBulletnoparaspace"/>
    <w:rsid w:val="00FF6EB8"/>
    <w:rPr>
      <w:rFonts w:ascii="Segoe UI Emoji" w:eastAsia="Tahoma" w:hAnsi="Segoe UI Emoji"/>
      <w:szCs w:val="24"/>
      <w:lang w:val="en-AU"/>
    </w:rPr>
  </w:style>
  <w:style w:type="character" w:customStyle="1" w:styleId="EYBulletChar">
    <w:name w:val="EY Bullet Char"/>
    <w:aliases w:val="Black Char"/>
    <w:basedOn w:val="EYBulletnoparaspaceChar"/>
    <w:link w:val="EYBullet"/>
    <w:rsid w:val="00C05293"/>
    <w:rPr>
      <w:rFonts w:ascii="EYInterstate Light" w:eastAsia="Tahoma" w:hAnsi="EYInterstate Light"/>
      <w:szCs w:val="24"/>
      <w:lang w:val="en-AU"/>
    </w:rPr>
  </w:style>
  <w:style w:type="character" w:customStyle="1" w:styleId="EYHeading1Char">
    <w:name w:val="EY Heading 1 Char"/>
    <w:basedOn w:val="EYNormalChar"/>
    <w:link w:val="EYHeading1"/>
    <w:rsid w:val="00B67966"/>
    <w:rPr>
      <w:rFonts w:ascii="Arial" w:hAnsi="Arial"/>
      <w:b/>
      <w:bCs/>
      <w:color w:val="747480"/>
      <w:sz w:val="32"/>
      <w:szCs w:val="24"/>
      <w:lang w:val="en-AU"/>
    </w:rPr>
  </w:style>
  <w:style w:type="character" w:customStyle="1" w:styleId="EYHeading2Char">
    <w:name w:val="EY Heading 2 Char"/>
    <w:basedOn w:val="DefaultParagraphFont"/>
    <w:link w:val="EYHeading2"/>
    <w:rsid w:val="00A01088"/>
    <w:rPr>
      <w:rFonts w:ascii="Arial" w:hAnsi="Arial"/>
      <w:b/>
      <w:color w:val="787890" w:themeColor="text1" w:themeTint="99"/>
      <w:sz w:val="26"/>
      <w:szCs w:val="24"/>
      <w:lang w:val="en-AU"/>
    </w:rPr>
  </w:style>
  <w:style w:type="paragraph" w:customStyle="1" w:styleId="EYFootnote">
    <w:name w:val="EY Footnote"/>
    <w:basedOn w:val="Normal"/>
    <w:autoRedefine/>
    <w:qFormat/>
    <w:locked/>
    <w:rsid w:val="00762990"/>
    <w:pPr>
      <w:keepNext/>
      <w:keepLines/>
    </w:pPr>
    <w:rPr>
      <w:rFonts w:ascii="Segoe UI Emoji" w:eastAsia="Cambria Math" w:hAnsi="Segoe UI Emoji" w:cs="EYInterstate"/>
      <w:sz w:val="16"/>
      <w:szCs w:val="22"/>
    </w:rPr>
  </w:style>
  <w:style w:type="paragraph" w:customStyle="1" w:styleId="Headingnonumber">
    <w:name w:val="Heading no number"/>
    <w:basedOn w:val="EYHeading1"/>
    <w:link w:val="HeadingnonumberChar"/>
    <w:qFormat/>
    <w:locked/>
    <w:rsid w:val="00C13FFB"/>
    <w:pPr>
      <w:numPr>
        <w:numId w:val="0"/>
      </w:numPr>
      <w:ind w:left="851" w:hanging="851"/>
    </w:pPr>
  </w:style>
  <w:style w:type="character" w:customStyle="1" w:styleId="HeadingnonumberChar">
    <w:name w:val="Heading no number Char"/>
    <w:basedOn w:val="EYHeading1Char"/>
    <w:link w:val="Headingnonumber"/>
    <w:rsid w:val="00C13FFB"/>
    <w:rPr>
      <w:rFonts w:ascii="EYInterstate Light" w:hAnsi="EYInterstate Light"/>
      <w:b/>
      <w:bCs/>
      <w:color w:val="747480"/>
      <w:sz w:val="32"/>
      <w:szCs w:val="24"/>
      <w:lang w:val="en-AU"/>
    </w:rPr>
  </w:style>
  <w:style w:type="paragraph" w:styleId="BodyText">
    <w:name w:val="Body Text"/>
    <w:basedOn w:val="Normal"/>
    <w:link w:val="BodyTextChar"/>
    <w:unhideWhenUsed/>
    <w:locked/>
    <w:rsid w:val="00627B80"/>
  </w:style>
  <w:style w:type="character" w:customStyle="1" w:styleId="BodyTextChar">
    <w:name w:val="Body Text Char"/>
    <w:basedOn w:val="DefaultParagraphFont"/>
    <w:link w:val="BodyText"/>
    <w:rsid w:val="00627B80"/>
    <w:rPr>
      <w:lang w:val="en-AU"/>
    </w:rPr>
  </w:style>
  <w:style w:type="paragraph" w:styleId="NormalWeb">
    <w:name w:val="Normal (Web)"/>
    <w:basedOn w:val="Normal"/>
    <w:uiPriority w:val="99"/>
    <w:unhideWhenUsed/>
    <w:locked/>
    <w:rsid w:val="003B4B54"/>
    <w:pPr>
      <w:autoSpaceDE/>
      <w:autoSpaceDN/>
      <w:adjustRightInd/>
      <w:spacing w:before="100" w:beforeAutospacing="1" w:after="100" w:afterAutospacing="1"/>
    </w:pPr>
    <w:rPr>
      <w:sz w:val="24"/>
      <w:szCs w:val="24"/>
      <w:lang w:eastAsia="en-AU"/>
    </w:rPr>
  </w:style>
  <w:style w:type="character" w:styleId="Strong">
    <w:name w:val="Strong"/>
    <w:basedOn w:val="DefaultParagraphFont"/>
    <w:uiPriority w:val="22"/>
    <w:qFormat/>
    <w:locked/>
    <w:rsid w:val="003B4B54"/>
    <w:rPr>
      <w:b/>
      <w:bCs/>
    </w:rPr>
  </w:style>
  <w:style w:type="paragraph" w:customStyle="1" w:styleId="xxmsonormal">
    <w:name w:val="x_xmsonormal"/>
    <w:basedOn w:val="Normal"/>
    <w:locked/>
    <w:rsid w:val="00470A5D"/>
    <w:pPr>
      <w:autoSpaceDE/>
      <w:autoSpaceDN/>
      <w:adjustRightInd/>
    </w:pPr>
    <w:rPr>
      <w:rFonts w:ascii="Cambria Math" w:eastAsiaTheme="minorHAnsi" w:hAnsi="Cambria Math"/>
      <w:szCs w:val="22"/>
      <w:lang w:eastAsia="en-AU"/>
    </w:rPr>
  </w:style>
  <w:style w:type="paragraph" w:customStyle="1" w:styleId="xxmsolistparagraph">
    <w:name w:val="x_xmsolistparagraph"/>
    <w:basedOn w:val="Normal"/>
    <w:locked/>
    <w:rsid w:val="00470A5D"/>
    <w:pPr>
      <w:autoSpaceDE/>
      <w:autoSpaceDN/>
      <w:adjustRightInd/>
      <w:ind w:left="720"/>
    </w:pPr>
    <w:rPr>
      <w:rFonts w:ascii="Cambria Math" w:eastAsiaTheme="minorHAnsi" w:hAnsi="Cambria Math"/>
      <w:lang w:eastAsia="en-AU"/>
    </w:rPr>
  </w:style>
  <w:style w:type="paragraph" w:customStyle="1" w:styleId="Appendix">
    <w:name w:val="Appendix"/>
    <w:basedOn w:val="EYHeading1"/>
    <w:next w:val="EYBodytextwithparaspace"/>
    <w:link w:val="AppendixChar"/>
    <w:autoRedefine/>
    <w:qFormat/>
    <w:locked/>
    <w:rsid w:val="00011698"/>
    <w:pPr>
      <w:pageBreakBefore w:val="0"/>
      <w:numPr>
        <w:numId w:val="0"/>
      </w:numPr>
    </w:pPr>
    <w:rPr>
      <w:rFonts w:ascii="Segoe UI Emoji" w:hAnsi="Segoe UI Emoji"/>
      <w:sz w:val="28"/>
      <w:szCs w:val="22"/>
    </w:rPr>
  </w:style>
  <w:style w:type="character" w:customStyle="1" w:styleId="AppendixChar">
    <w:name w:val="Appendix Char"/>
    <w:basedOn w:val="EYHeading1Char"/>
    <w:link w:val="Appendix"/>
    <w:rsid w:val="00011698"/>
    <w:rPr>
      <w:rFonts w:ascii="Segoe UI Emoji" w:hAnsi="Segoe UI Emoji"/>
      <w:b/>
      <w:bCs/>
      <w:color w:val="747480"/>
      <w:sz w:val="28"/>
      <w:szCs w:val="22"/>
      <w:lang w:val="en-AU"/>
    </w:rPr>
  </w:style>
  <w:style w:type="paragraph" w:customStyle="1" w:styleId="RecHeading">
    <w:name w:val="Rec Heading"/>
    <w:basedOn w:val="EYBodytextwithparaspace"/>
    <w:link w:val="RecHeadingChar"/>
    <w:qFormat/>
    <w:locked/>
    <w:rsid w:val="007D5E75"/>
    <w:rPr>
      <w:b/>
      <w:bCs/>
      <w:sz w:val="24"/>
      <w:szCs w:val="32"/>
    </w:rPr>
  </w:style>
  <w:style w:type="character" w:customStyle="1" w:styleId="RecHeadingChar">
    <w:name w:val="Rec Heading Char"/>
    <w:basedOn w:val="EYBodytextwithparaspaceChar"/>
    <w:link w:val="RecHeading"/>
    <w:rsid w:val="007D5E75"/>
    <w:rPr>
      <w:rFonts w:ascii="EYInterstate Light" w:eastAsia="Calibri" w:hAnsi="EYInterstate Light"/>
      <w:b/>
      <w:bCs/>
      <w:sz w:val="24"/>
      <w:szCs w:val="32"/>
      <w:lang w:val="en-AU"/>
    </w:rPr>
  </w:style>
  <w:style w:type="paragraph" w:customStyle="1" w:styleId="ExampleQuotations">
    <w:name w:val="Example / Quotations"/>
    <w:basedOn w:val="EYBodytextwithparaspace"/>
    <w:link w:val="ExampleQuotationsChar"/>
    <w:qFormat/>
    <w:locked/>
    <w:rsid w:val="002242CA"/>
    <w:pPr>
      <w:pBdr>
        <w:top w:val="single" w:sz="4" w:space="1" w:color="FFE600" w:themeColor="text2"/>
        <w:left w:val="single" w:sz="4" w:space="4" w:color="FFE600" w:themeColor="text2"/>
        <w:bottom w:val="single" w:sz="4" w:space="0" w:color="FFE600" w:themeColor="text2"/>
        <w:right w:val="single" w:sz="4" w:space="4" w:color="FFE600" w:themeColor="text2"/>
      </w:pBdr>
      <w:ind w:left="567" w:right="805"/>
    </w:pPr>
    <w:rPr>
      <w:rFonts w:ascii="Arial" w:hAnsi="Arial"/>
      <w:bCs/>
      <w:iCs/>
    </w:rPr>
  </w:style>
  <w:style w:type="character" w:customStyle="1" w:styleId="ExampleQuotationsChar">
    <w:name w:val="Example / Quotations Char"/>
    <w:basedOn w:val="EYBodytextwithparaspaceChar"/>
    <w:link w:val="ExampleQuotations"/>
    <w:rsid w:val="002242CA"/>
    <w:rPr>
      <w:rFonts w:ascii="Arial" w:eastAsia="Tahoma" w:hAnsi="Arial"/>
      <w:bCs/>
      <w:iCs/>
      <w:sz w:val="22"/>
      <w:szCs w:val="24"/>
      <w:lang w:val="en-AU"/>
    </w:rPr>
  </w:style>
  <w:style w:type="paragraph" w:customStyle="1" w:styleId="TableHeading">
    <w:name w:val="Table Heading"/>
    <w:basedOn w:val="EYBodytextwithparaspace"/>
    <w:link w:val="TableHeadingChar"/>
    <w:qFormat/>
    <w:rsid w:val="005E2C10"/>
    <w:pPr>
      <w:spacing w:before="0" w:after="0"/>
      <w:contextualSpacing/>
      <w:jc w:val="left"/>
    </w:pPr>
    <w:rPr>
      <w:rFonts w:ascii="Arial" w:hAnsi="Arial"/>
      <w:bCs/>
      <w:sz w:val="20"/>
      <w:lang w:eastAsia="en-AU"/>
    </w:rPr>
  </w:style>
  <w:style w:type="paragraph" w:customStyle="1" w:styleId="EYBullet3">
    <w:name w:val="EY Bullet 3"/>
    <w:basedOn w:val="EYBullet2"/>
    <w:link w:val="EYBullet3Char"/>
    <w:qFormat/>
    <w:rsid w:val="00B5027D"/>
    <w:pPr>
      <w:numPr>
        <w:numId w:val="15"/>
      </w:numPr>
    </w:pPr>
  </w:style>
  <w:style w:type="character" w:customStyle="1" w:styleId="TableHeadingChar">
    <w:name w:val="Table Heading Char"/>
    <w:basedOn w:val="EYBodytextwithparaspaceChar"/>
    <w:link w:val="TableHeading"/>
    <w:rsid w:val="005E2C10"/>
    <w:rPr>
      <w:rFonts w:ascii="Arial" w:eastAsia="Tahoma" w:hAnsi="Arial"/>
      <w:bCs/>
      <w:szCs w:val="24"/>
      <w:lang w:val="en-AU" w:eastAsia="en-AU"/>
    </w:rPr>
  </w:style>
  <w:style w:type="character" w:customStyle="1" w:styleId="EYBullet1Char">
    <w:name w:val="EY Bullet 1 Char"/>
    <w:basedOn w:val="EYBulletnoparaspaceChar"/>
    <w:link w:val="EYBullet1"/>
    <w:rsid w:val="00831172"/>
    <w:rPr>
      <w:rFonts w:ascii="Arial" w:eastAsia="Tahoma" w:hAnsi="Arial"/>
      <w:sz w:val="22"/>
      <w:szCs w:val="24"/>
      <w:lang w:val="en-AU"/>
    </w:rPr>
  </w:style>
  <w:style w:type="character" w:customStyle="1" w:styleId="EYBullet2Char">
    <w:name w:val="EY Bullet 2 Char"/>
    <w:basedOn w:val="DefaultParagraphFont"/>
    <w:link w:val="EYBullet2"/>
    <w:rsid w:val="005A2FD1"/>
    <w:rPr>
      <w:rFonts w:ascii="Arial" w:eastAsia="Tahoma" w:hAnsi="Arial"/>
      <w:sz w:val="22"/>
      <w:szCs w:val="24"/>
      <w:lang w:val="en-AU"/>
    </w:rPr>
  </w:style>
  <w:style w:type="character" w:customStyle="1" w:styleId="EYBullet3Char">
    <w:name w:val="EY Bullet 3 Char"/>
    <w:basedOn w:val="EYBullet2Char"/>
    <w:link w:val="EYBullet3"/>
    <w:rsid w:val="00B5027D"/>
    <w:rPr>
      <w:rFonts w:ascii="Arial" w:eastAsia="Tahoma" w:hAnsi="Arial"/>
      <w:sz w:val="22"/>
      <w:szCs w:val="24"/>
      <w:lang w:val="en-AU"/>
    </w:rPr>
  </w:style>
  <w:style w:type="table" w:customStyle="1" w:styleId="CVtable1">
    <w:name w:val="CV table1"/>
    <w:basedOn w:val="TableNormal"/>
    <w:next w:val="TableGrid"/>
    <w:rsid w:val="00BD17AF"/>
    <w:rPr>
      <w:rFonts w:ascii="EYInterstate Light" w:eastAsia="Times New Roman" w:hAnsi="EYInterstate Light"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locked/>
    <w:rsid w:val="00B67966"/>
    <w:pPr>
      <w:numPr>
        <w:numId w:val="11"/>
      </w:numPr>
      <w:spacing w:before="120" w:after="120"/>
      <w:ind w:left="357" w:hanging="357"/>
    </w:pPr>
    <w:rPr>
      <w:rFonts w:ascii="Arial" w:hAnsi="Arial"/>
      <w:sz w:val="22"/>
      <w:lang w:val="en-AU"/>
    </w:rPr>
  </w:style>
  <w:style w:type="paragraph" w:styleId="ListNumber2">
    <w:name w:val="List Number 2"/>
    <w:basedOn w:val="ListNumber"/>
    <w:unhideWhenUsed/>
    <w:locked/>
    <w:rsid w:val="00B67966"/>
    <w:pPr>
      <w:numPr>
        <w:numId w:val="12"/>
      </w:numPr>
      <w:ind w:left="641" w:hanging="357"/>
    </w:pPr>
  </w:style>
  <w:style w:type="paragraph" w:styleId="ListBullet3">
    <w:name w:val="List Bullet 3"/>
    <w:basedOn w:val="Normal"/>
    <w:unhideWhenUsed/>
    <w:locked/>
    <w:rsid w:val="00B67966"/>
    <w:pPr>
      <w:numPr>
        <w:numId w:val="10"/>
      </w:numPr>
    </w:pPr>
  </w:style>
  <w:style w:type="table" w:styleId="ListTable3">
    <w:name w:val="List Table 3"/>
    <w:basedOn w:val="TableNormal"/>
    <w:uiPriority w:val="48"/>
    <w:locked/>
    <w:rsid w:val="00B67966"/>
    <w:rPr>
      <w:rFonts w:ascii="Arial" w:hAnsi="Arial"/>
    </w:rPr>
    <w:tblPr>
      <w:tblStyleRowBandSize w:val="1"/>
      <w:tblStyleColBandSize w:val="1"/>
      <w:tblBorders>
        <w:top w:val="single" w:sz="4" w:space="0" w:color="2E2E38" w:themeColor="text1"/>
        <w:left w:val="single" w:sz="4" w:space="0" w:color="2E2E38" w:themeColor="text1"/>
        <w:bottom w:val="single" w:sz="4" w:space="0" w:color="2E2E38" w:themeColor="text1"/>
        <w:right w:val="single" w:sz="4" w:space="0" w:color="2E2E38" w:themeColor="text1"/>
      </w:tblBorders>
    </w:tblPr>
    <w:tblStylePr w:type="firstRow">
      <w:rPr>
        <w:b/>
        <w:bCs/>
        <w:color w:val="FFFFFF" w:themeColor="background1"/>
      </w:rPr>
      <w:tblPr/>
      <w:tcPr>
        <w:shd w:val="clear" w:color="auto" w:fill="2E2E38" w:themeFill="text1"/>
      </w:tcPr>
    </w:tblStylePr>
    <w:tblStylePr w:type="lastRow">
      <w:rPr>
        <w:b/>
        <w:bCs/>
      </w:rPr>
      <w:tblPr/>
      <w:tcPr>
        <w:tcBorders>
          <w:top w:val="double" w:sz="4" w:space="0" w:color="2E2E3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2E38" w:themeColor="text1"/>
          <w:right w:val="single" w:sz="4" w:space="0" w:color="2E2E38" w:themeColor="text1"/>
        </w:tcBorders>
      </w:tcPr>
    </w:tblStylePr>
    <w:tblStylePr w:type="band1Horz">
      <w:tblPr/>
      <w:tcPr>
        <w:tcBorders>
          <w:top w:val="single" w:sz="4" w:space="0" w:color="2E2E38" w:themeColor="text1"/>
          <w:bottom w:val="single" w:sz="4" w:space="0" w:color="2E2E3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2E38" w:themeColor="text1"/>
          <w:left w:val="nil"/>
        </w:tcBorders>
      </w:tcPr>
    </w:tblStylePr>
    <w:tblStylePr w:type="swCell">
      <w:tblPr/>
      <w:tcPr>
        <w:tcBorders>
          <w:top w:val="double" w:sz="4" w:space="0" w:color="2E2E38" w:themeColor="text1"/>
          <w:right w:val="nil"/>
        </w:tcBorders>
      </w:tcPr>
    </w:tblStylePr>
  </w:style>
  <w:style w:type="table" w:styleId="TableGridLight">
    <w:name w:val="Grid Table Light"/>
    <w:basedOn w:val="TableNormal"/>
    <w:uiPriority w:val="40"/>
    <w:locked/>
    <w:rsid w:val="00B679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nhideWhenUsed/>
    <w:locked/>
    <w:rsid w:val="005E2C10"/>
    <w:pPr>
      <w:numPr>
        <w:numId w:val="16"/>
      </w:numPr>
      <w:contextualSpacing/>
    </w:pPr>
  </w:style>
  <w:style w:type="character" w:customStyle="1" w:styleId="TabletextleftChar">
    <w:name w:val="Table text (left) Char"/>
    <w:basedOn w:val="DefaultParagraphFont"/>
    <w:link w:val="Tabletextleft"/>
    <w:rsid w:val="00C829A6"/>
    <w:rPr>
      <w:rFonts w:ascii="Arial" w:hAnsi="Arial"/>
      <w:sz w:val="18"/>
      <w:lang w:val="en-AU"/>
    </w:rPr>
  </w:style>
  <w:style w:type="paragraph" w:styleId="ListBullet2">
    <w:name w:val="List Bullet 2"/>
    <w:basedOn w:val="Normal"/>
    <w:unhideWhenUsed/>
    <w:locked/>
    <w:rsid w:val="005E2C1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222">
      <w:bodyDiv w:val="1"/>
      <w:marLeft w:val="0"/>
      <w:marRight w:val="0"/>
      <w:marTop w:val="0"/>
      <w:marBottom w:val="0"/>
      <w:divBdr>
        <w:top w:val="none" w:sz="0" w:space="0" w:color="auto"/>
        <w:left w:val="none" w:sz="0" w:space="0" w:color="auto"/>
        <w:bottom w:val="none" w:sz="0" w:space="0" w:color="auto"/>
        <w:right w:val="none" w:sz="0" w:space="0" w:color="auto"/>
      </w:divBdr>
    </w:div>
    <w:div w:id="26488852">
      <w:bodyDiv w:val="1"/>
      <w:marLeft w:val="0"/>
      <w:marRight w:val="0"/>
      <w:marTop w:val="0"/>
      <w:marBottom w:val="0"/>
      <w:divBdr>
        <w:top w:val="none" w:sz="0" w:space="0" w:color="auto"/>
        <w:left w:val="none" w:sz="0" w:space="0" w:color="auto"/>
        <w:bottom w:val="none" w:sz="0" w:space="0" w:color="auto"/>
        <w:right w:val="none" w:sz="0" w:space="0" w:color="auto"/>
      </w:divBdr>
    </w:div>
    <w:div w:id="40440717">
      <w:bodyDiv w:val="1"/>
      <w:marLeft w:val="0"/>
      <w:marRight w:val="0"/>
      <w:marTop w:val="0"/>
      <w:marBottom w:val="0"/>
      <w:divBdr>
        <w:top w:val="none" w:sz="0" w:space="0" w:color="auto"/>
        <w:left w:val="none" w:sz="0" w:space="0" w:color="auto"/>
        <w:bottom w:val="none" w:sz="0" w:space="0" w:color="auto"/>
        <w:right w:val="none" w:sz="0" w:space="0" w:color="auto"/>
      </w:divBdr>
    </w:div>
    <w:div w:id="60297445">
      <w:bodyDiv w:val="1"/>
      <w:marLeft w:val="0"/>
      <w:marRight w:val="0"/>
      <w:marTop w:val="0"/>
      <w:marBottom w:val="0"/>
      <w:divBdr>
        <w:top w:val="none" w:sz="0" w:space="0" w:color="auto"/>
        <w:left w:val="none" w:sz="0" w:space="0" w:color="auto"/>
        <w:bottom w:val="none" w:sz="0" w:space="0" w:color="auto"/>
        <w:right w:val="none" w:sz="0" w:space="0" w:color="auto"/>
      </w:divBdr>
    </w:div>
    <w:div w:id="93134773">
      <w:bodyDiv w:val="1"/>
      <w:marLeft w:val="0"/>
      <w:marRight w:val="0"/>
      <w:marTop w:val="0"/>
      <w:marBottom w:val="0"/>
      <w:divBdr>
        <w:top w:val="none" w:sz="0" w:space="0" w:color="auto"/>
        <w:left w:val="none" w:sz="0" w:space="0" w:color="auto"/>
        <w:bottom w:val="none" w:sz="0" w:space="0" w:color="auto"/>
        <w:right w:val="none" w:sz="0" w:space="0" w:color="auto"/>
      </w:divBdr>
    </w:div>
    <w:div w:id="145048301">
      <w:bodyDiv w:val="1"/>
      <w:marLeft w:val="0"/>
      <w:marRight w:val="0"/>
      <w:marTop w:val="0"/>
      <w:marBottom w:val="0"/>
      <w:divBdr>
        <w:top w:val="none" w:sz="0" w:space="0" w:color="auto"/>
        <w:left w:val="none" w:sz="0" w:space="0" w:color="auto"/>
        <w:bottom w:val="none" w:sz="0" w:space="0" w:color="auto"/>
        <w:right w:val="none" w:sz="0" w:space="0" w:color="auto"/>
      </w:divBdr>
    </w:div>
    <w:div w:id="184557985">
      <w:bodyDiv w:val="1"/>
      <w:marLeft w:val="0"/>
      <w:marRight w:val="0"/>
      <w:marTop w:val="0"/>
      <w:marBottom w:val="0"/>
      <w:divBdr>
        <w:top w:val="none" w:sz="0" w:space="0" w:color="auto"/>
        <w:left w:val="none" w:sz="0" w:space="0" w:color="auto"/>
        <w:bottom w:val="none" w:sz="0" w:space="0" w:color="auto"/>
        <w:right w:val="none" w:sz="0" w:space="0" w:color="auto"/>
      </w:divBdr>
    </w:div>
    <w:div w:id="192615067">
      <w:bodyDiv w:val="1"/>
      <w:marLeft w:val="0"/>
      <w:marRight w:val="0"/>
      <w:marTop w:val="0"/>
      <w:marBottom w:val="0"/>
      <w:divBdr>
        <w:top w:val="none" w:sz="0" w:space="0" w:color="auto"/>
        <w:left w:val="none" w:sz="0" w:space="0" w:color="auto"/>
        <w:bottom w:val="none" w:sz="0" w:space="0" w:color="auto"/>
        <w:right w:val="none" w:sz="0" w:space="0" w:color="auto"/>
      </w:divBdr>
    </w:div>
    <w:div w:id="211618024">
      <w:bodyDiv w:val="1"/>
      <w:marLeft w:val="0"/>
      <w:marRight w:val="0"/>
      <w:marTop w:val="0"/>
      <w:marBottom w:val="0"/>
      <w:divBdr>
        <w:top w:val="none" w:sz="0" w:space="0" w:color="auto"/>
        <w:left w:val="none" w:sz="0" w:space="0" w:color="auto"/>
        <w:bottom w:val="none" w:sz="0" w:space="0" w:color="auto"/>
        <w:right w:val="none" w:sz="0" w:space="0" w:color="auto"/>
      </w:divBdr>
    </w:div>
    <w:div w:id="293684459">
      <w:bodyDiv w:val="1"/>
      <w:marLeft w:val="0"/>
      <w:marRight w:val="0"/>
      <w:marTop w:val="0"/>
      <w:marBottom w:val="0"/>
      <w:divBdr>
        <w:top w:val="none" w:sz="0" w:space="0" w:color="auto"/>
        <w:left w:val="none" w:sz="0" w:space="0" w:color="auto"/>
        <w:bottom w:val="none" w:sz="0" w:space="0" w:color="auto"/>
        <w:right w:val="none" w:sz="0" w:space="0" w:color="auto"/>
      </w:divBdr>
    </w:div>
    <w:div w:id="298070347">
      <w:bodyDiv w:val="1"/>
      <w:marLeft w:val="0"/>
      <w:marRight w:val="0"/>
      <w:marTop w:val="0"/>
      <w:marBottom w:val="0"/>
      <w:divBdr>
        <w:top w:val="none" w:sz="0" w:space="0" w:color="auto"/>
        <w:left w:val="none" w:sz="0" w:space="0" w:color="auto"/>
        <w:bottom w:val="none" w:sz="0" w:space="0" w:color="auto"/>
        <w:right w:val="none" w:sz="0" w:space="0" w:color="auto"/>
      </w:divBdr>
    </w:div>
    <w:div w:id="315427006">
      <w:bodyDiv w:val="1"/>
      <w:marLeft w:val="0"/>
      <w:marRight w:val="0"/>
      <w:marTop w:val="0"/>
      <w:marBottom w:val="0"/>
      <w:divBdr>
        <w:top w:val="none" w:sz="0" w:space="0" w:color="auto"/>
        <w:left w:val="none" w:sz="0" w:space="0" w:color="auto"/>
        <w:bottom w:val="none" w:sz="0" w:space="0" w:color="auto"/>
        <w:right w:val="none" w:sz="0" w:space="0" w:color="auto"/>
      </w:divBdr>
    </w:div>
    <w:div w:id="333386370">
      <w:bodyDiv w:val="1"/>
      <w:marLeft w:val="0"/>
      <w:marRight w:val="0"/>
      <w:marTop w:val="0"/>
      <w:marBottom w:val="0"/>
      <w:divBdr>
        <w:top w:val="none" w:sz="0" w:space="0" w:color="auto"/>
        <w:left w:val="none" w:sz="0" w:space="0" w:color="auto"/>
        <w:bottom w:val="none" w:sz="0" w:space="0" w:color="auto"/>
        <w:right w:val="none" w:sz="0" w:space="0" w:color="auto"/>
      </w:divBdr>
    </w:div>
    <w:div w:id="350962175">
      <w:bodyDiv w:val="1"/>
      <w:marLeft w:val="0"/>
      <w:marRight w:val="0"/>
      <w:marTop w:val="0"/>
      <w:marBottom w:val="0"/>
      <w:divBdr>
        <w:top w:val="none" w:sz="0" w:space="0" w:color="auto"/>
        <w:left w:val="none" w:sz="0" w:space="0" w:color="auto"/>
        <w:bottom w:val="none" w:sz="0" w:space="0" w:color="auto"/>
        <w:right w:val="none" w:sz="0" w:space="0" w:color="auto"/>
      </w:divBdr>
      <w:divsChild>
        <w:div w:id="72362209">
          <w:marLeft w:val="259"/>
          <w:marRight w:val="0"/>
          <w:marTop w:val="0"/>
          <w:marBottom w:val="0"/>
          <w:divBdr>
            <w:top w:val="none" w:sz="0" w:space="0" w:color="auto"/>
            <w:left w:val="none" w:sz="0" w:space="0" w:color="auto"/>
            <w:bottom w:val="none" w:sz="0" w:space="0" w:color="auto"/>
            <w:right w:val="none" w:sz="0" w:space="0" w:color="auto"/>
          </w:divBdr>
        </w:div>
        <w:div w:id="77211734">
          <w:marLeft w:val="259"/>
          <w:marRight w:val="0"/>
          <w:marTop w:val="0"/>
          <w:marBottom w:val="0"/>
          <w:divBdr>
            <w:top w:val="none" w:sz="0" w:space="0" w:color="auto"/>
            <w:left w:val="none" w:sz="0" w:space="0" w:color="auto"/>
            <w:bottom w:val="none" w:sz="0" w:space="0" w:color="auto"/>
            <w:right w:val="none" w:sz="0" w:space="0" w:color="auto"/>
          </w:divBdr>
        </w:div>
        <w:div w:id="1611888490">
          <w:marLeft w:val="259"/>
          <w:marRight w:val="0"/>
          <w:marTop w:val="0"/>
          <w:marBottom w:val="0"/>
          <w:divBdr>
            <w:top w:val="none" w:sz="0" w:space="0" w:color="auto"/>
            <w:left w:val="none" w:sz="0" w:space="0" w:color="auto"/>
            <w:bottom w:val="none" w:sz="0" w:space="0" w:color="auto"/>
            <w:right w:val="none" w:sz="0" w:space="0" w:color="auto"/>
          </w:divBdr>
        </w:div>
        <w:div w:id="1789623866">
          <w:marLeft w:val="259"/>
          <w:marRight w:val="0"/>
          <w:marTop w:val="0"/>
          <w:marBottom w:val="0"/>
          <w:divBdr>
            <w:top w:val="none" w:sz="0" w:space="0" w:color="auto"/>
            <w:left w:val="none" w:sz="0" w:space="0" w:color="auto"/>
            <w:bottom w:val="none" w:sz="0" w:space="0" w:color="auto"/>
            <w:right w:val="none" w:sz="0" w:space="0" w:color="auto"/>
          </w:divBdr>
        </w:div>
      </w:divsChild>
    </w:div>
    <w:div w:id="366294444">
      <w:bodyDiv w:val="1"/>
      <w:marLeft w:val="0"/>
      <w:marRight w:val="0"/>
      <w:marTop w:val="0"/>
      <w:marBottom w:val="0"/>
      <w:divBdr>
        <w:top w:val="none" w:sz="0" w:space="0" w:color="auto"/>
        <w:left w:val="none" w:sz="0" w:space="0" w:color="auto"/>
        <w:bottom w:val="none" w:sz="0" w:space="0" w:color="auto"/>
        <w:right w:val="none" w:sz="0" w:space="0" w:color="auto"/>
      </w:divBdr>
    </w:div>
    <w:div w:id="375087282">
      <w:bodyDiv w:val="1"/>
      <w:marLeft w:val="0"/>
      <w:marRight w:val="0"/>
      <w:marTop w:val="0"/>
      <w:marBottom w:val="0"/>
      <w:divBdr>
        <w:top w:val="none" w:sz="0" w:space="0" w:color="auto"/>
        <w:left w:val="none" w:sz="0" w:space="0" w:color="auto"/>
        <w:bottom w:val="none" w:sz="0" w:space="0" w:color="auto"/>
        <w:right w:val="none" w:sz="0" w:space="0" w:color="auto"/>
      </w:divBdr>
    </w:div>
    <w:div w:id="379592263">
      <w:bodyDiv w:val="1"/>
      <w:marLeft w:val="0"/>
      <w:marRight w:val="0"/>
      <w:marTop w:val="0"/>
      <w:marBottom w:val="0"/>
      <w:divBdr>
        <w:top w:val="none" w:sz="0" w:space="0" w:color="auto"/>
        <w:left w:val="none" w:sz="0" w:space="0" w:color="auto"/>
        <w:bottom w:val="none" w:sz="0" w:space="0" w:color="auto"/>
        <w:right w:val="none" w:sz="0" w:space="0" w:color="auto"/>
      </w:divBdr>
      <w:divsChild>
        <w:div w:id="150370400">
          <w:marLeft w:val="1224"/>
          <w:marRight w:val="0"/>
          <w:marTop w:val="0"/>
          <w:marBottom w:val="120"/>
          <w:divBdr>
            <w:top w:val="none" w:sz="0" w:space="0" w:color="auto"/>
            <w:left w:val="none" w:sz="0" w:space="0" w:color="auto"/>
            <w:bottom w:val="none" w:sz="0" w:space="0" w:color="auto"/>
            <w:right w:val="none" w:sz="0" w:space="0" w:color="auto"/>
          </w:divBdr>
        </w:div>
        <w:div w:id="232861297">
          <w:marLeft w:val="2002"/>
          <w:marRight w:val="0"/>
          <w:marTop w:val="0"/>
          <w:marBottom w:val="120"/>
          <w:divBdr>
            <w:top w:val="none" w:sz="0" w:space="0" w:color="auto"/>
            <w:left w:val="none" w:sz="0" w:space="0" w:color="auto"/>
            <w:bottom w:val="none" w:sz="0" w:space="0" w:color="auto"/>
            <w:right w:val="none" w:sz="0" w:space="0" w:color="auto"/>
          </w:divBdr>
        </w:div>
        <w:div w:id="355035476">
          <w:marLeft w:val="1224"/>
          <w:marRight w:val="0"/>
          <w:marTop w:val="0"/>
          <w:marBottom w:val="120"/>
          <w:divBdr>
            <w:top w:val="none" w:sz="0" w:space="0" w:color="auto"/>
            <w:left w:val="none" w:sz="0" w:space="0" w:color="auto"/>
            <w:bottom w:val="none" w:sz="0" w:space="0" w:color="auto"/>
            <w:right w:val="none" w:sz="0" w:space="0" w:color="auto"/>
          </w:divBdr>
        </w:div>
        <w:div w:id="505436332">
          <w:marLeft w:val="2002"/>
          <w:marRight w:val="0"/>
          <w:marTop w:val="0"/>
          <w:marBottom w:val="120"/>
          <w:divBdr>
            <w:top w:val="none" w:sz="0" w:space="0" w:color="auto"/>
            <w:left w:val="none" w:sz="0" w:space="0" w:color="auto"/>
            <w:bottom w:val="none" w:sz="0" w:space="0" w:color="auto"/>
            <w:right w:val="none" w:sz="0" w:space="0" w:color="auto"/>
          </w:divBdr>
        </w:div>
        <w:div w:id="977606199">
          <w:marLeft w:val="2002"/>
          <w:marRight w:val="0"/>
          <w:marTop w:val="0"/>
          <w:marBottom w:val="120"/>
          <w:divBdr>
            <w:top w:val="none" w:sz="0" w:space="0" w:color="auto"/>
            <w:left w:val="none" w:sz="0" w:space="0" w:color="auto"/>
            <w:bottom w:val="none" w:sz="0" w:space="0" w:color="auto"/>
            <w:right w:val="none" w:sz="0" w:space="0" w:color="auto"/>
          </w:divBdr>
        </w:div>
        <w:div w:id="1003897410">
          <w:marLeft w:val="2002"/>
          <w:marRight w:val="0"/>
          <w:marTop w:val="0"/>
          <w:marBottom w:val="120"/>
          <w:divBdr>
            <w:top w:val="none" w:sz="0" w:space="0" w:color="auto"/>
            <w:left w:val="none" w:sz="0" w:space="0" w:color="auto"/>
            <w:bottom w:val="none" w:sz="0" w:space="0" w:color="auto"/>
            <w:right w:val="none" w:sz="0" w:space="0" w:color="auto"/>
          </w:divBdr>
        </w:div>
        <w:div w:id="1079449601">
          <w:marLeft w:val="2002"/>
          <w:marRight w:val="0"/>
          <w:marTop w:val="0"/>
          <w:marBottom w:val="120"/>
          <w:divBdr>
            <w:top w:val="none" w:sz="0" w:space="0" w:color="auto"/>
            <w:left w:val="none" w:sz="0" w:space="0" w:color="auto"/>
            <w:bottom w:val="none" w:sz="0" w:space="0" w:color="auto"/>
            <w:right w:val="none" w:sz="0" w:space="0" w:color="auto"/>
          </w:divBdr>
        </w:div>
        <w:div w:id="1258976391">
          <w:marLeft w:val="2002"/>
          <w:marRight w:val="0"/>
          <w:marTop w:val="0"/>
          <w:marBottom w:val="120"/>
          <w:divBdr>
            <w:top w:val="none" w:sz="0" w:space="0" w:color="auto"/>
            <w:left w:val="none" w:sz="0" w:space="0" w:color="auto"/>
            <w:bottom w:val="none" w:sz="0" w:space="0" w:color="auto"/>
            <w:right w:val="none" w:sz="0" w:space="0" w:color="auto"/>
          </w:divBdr>
        </w:div>
        <w:div w:id="1585993058">
          <w:marLeft w:val="1224"/>
          <w:marRight w:val="0"/>
          <w:marTop w:val="0"/>
          <w:marBottom w:val="120"/>
          <w:divBdr>
            <w:top w:val="none" w:sz="0" w:space="0" w:color="auto"/>
            <w:left w:val="none" w:sz="0" w:space="0" w:color="auto"/>
            <w:bottom w:val="none" w:sz="0" w:space="0" w:color="auto"/>
            <w:right w:val="none" w:sz="0" w:space="0" w:color="auto"/>
          </w:divBdr>
        </w:div>
      </w:divsChild>
    </w:div>
    <w:div w:id="391078329">
      <w:bodyDiv w:val="1"/>
      <w:marLeft w:val="0"/>
      <w:marRight w:val="0"/>
      <w:marTop w:val="0"/>
      <w:marBottom w:val="0"/>
      <w:divBdr>
        <w:top w:val="none" w:sz="0" w:space="0" w:color="auto"/>
        <w:left w:val="none" w:sz="0" w:space="0" w:color="auto"/>
        <w:bottom w:val="none" w:sz="0" w:space="0" w:color="auto"/>
        <w:right w:val="none" w:sz="0" w:space="0" w:color="auto"/>
      </w:divBdr>
    </w:div>
    <w:div w:id="396828489">
      <w:bodyDiv w:val="1"/>
      <w:marLeft w:val="0"/>
      <w:marRight w:val="0"/>
      <w:marTop w:val="0"/>
      <w:marBottom w:val="0"/>
      <w:divBdr>
        <w:top w:val="none" w:sz="0" w:space="0" w:color="auto"/>
        <w:left w:val="none" w:sz="0" w:space="0" w:color="auto"/>
        <w:bottom w:val="none" w:sz="0" w:space="0" w:color="auto"/>
        <w:right w:val="none" w:sz="0" w:space="0" w:color="auto"/>
      </w:divBdr>
    </w:div>
    <w:div w:id="399400289">
      <w:bodyDiv w:val="1"/>
      <w:marLeft w:val="0"/>
      <w:marRight w:val="0"/>
      <w:marTop w:val="0"/>
      <w:marBottom w:val="0"/>
      <w:divBdr>
        <w:top w:val="none" w:sz="0" w:space="0" w:color="auto"/>
        <w:left w:val="none" w:sz="0" w:space="0" w:color="auto"/>
        <w:bottom w:val="none" w:sz="0" w:space="0" w:color="auto"/>
        <w:right w:val="none" w:sz="0" w:space="0" w:color="auto"/>
      </w:divBdr>
    </w:div>
    <w:div w:id="417747826">
      <w:bodyDiv w:val="1"/>
      <w:marLeft w:val="0"/>
      <w:marRight w:val="0"/>
      <w:marTop w:val="0"/>
      <w:marBottom w:val="0"/>
      <w:divBdr>
        <w:top w:val="none" w:sz="0" w:space="0" w:color="auto"/>
        <w:left w:val="none" w:sz="0" w:space="0" w:color="auto"/>
        <w:bottom w:val="none" w:sz="0" w:space="0" w:color="auto"/>
        <w:right w:val="none" w:sz="0" w:space="0" w:color="auto"/>
      </w:divBdr>
    </w:div>
    <w:div w:id="454254387">
      <w:bodyDiv w:val="1"/>
      <w:marLeft w:val="0"/>
      <w:marRight w:val="0"/>
      <w:marTop w:val="0"/>
      <w:marBottom w:val="0"/>
      <w:divBdr>
        <w:top w:val="none" w:sz="0" w:space="0" w:color="auto"/>
        <w:left w:val="none" w:sz="0" w:space="0" w:color="auto"/>
        <w:bottom w:val="none" w:sz="0" w:space="0" w:color="auto"/>
        <w:right w:val="none" w:sz="0" w:space="0" w:color="auto"/>
      </w:divBdr>
      <w:divsChild>
        <w:div w:id="340592037">
          <w:marLeft w:val="259"/>
          <w:marRight w:val="0"/>
          <w:marTop w:val="0"/>
          <w:marBottom w:val="0"/>
          <w:divBdr>
            <w:top w:val="none" w:sz="0" w:space="0" w:color="auto"/>
            <w:left w:val="none" w:sz="0" w:space="0" w:color="auto"/>
            <w:bottom w:val="none" w:sz="0" w:space="0" w:color="auto"/>
            <w:right w:val="none" w:sz="0" w:space="0" w:color="auto"/>
          </w:divBdr>
        </w:div>
      </w:divsChild>
    </w:div>
    <w:div w:id="497159183">
      <w:bodyDiv w:val="1"/>
      <w:marLeft w:val="0"/>
      <w:marRight w:val="0"/>
      <w:marTop w:val="0"/>
      <w:marBottom w:val="0"/>
      <w:divBdr>
        <w:top w:val="none" w:sz="0" w:space="0" w:color="auto"/>
        <w:left w:val="none" w:sz="0" w:space="0" w:color="auto"/>
        <w:bottom w:val="none" w:sz="0" w:space="0" w:color="auto"/>
        <w:right w:val="none" w:sz="0" w:space="0" w:color="auto"/>
      </w:divBdr>
    </w:div>
    <w:div w:id="564923251">
      <w:bodyDiv w:val="1"/>
      <w:marLeft w:val="0"/>
      <w:marRight w:val="0"/>
      <w:marTop w:val="0"/>
      <w:marBottom w:val="0"/>
      <w:divBdr>
        <w:top w:val="none" w:sz="0" w:space="0" w:color="auto"/>
        <w:left w:val="none" w:sz="0" w:space="0" w:color="auto"/>
        <w:bottom w:val="none" w:sz="0" w:space="0" w:color="auto"/>
        <w:right w:val="none" w:sz="0" w:space="0" w:color="auto"/>
      </w:divBdr>
    </w:div>
    <w:div w:id="661852626">
      <w:bodyDiv w:val="1"/>
      <w:marLeft w:val="0"/>
      <w:marRight w:val="0"/>
      <w:marTop w:val="0"/>
      <w:marBottom w:val="0"/>
      <w:divBdr>
        <w:top w:val="none" w:sz="0" w:space="0" w:color="auto"/>
        <w:left w:val="none" w:sz="0" w:space="0" w:color="auto"/>
        <w:bottom w:val="none" w:sz="0" w:space="0" w:color="auto"/>
        <w:right w:val="none" w:sz="0" w:space="0" w:color="auto"/>
      </w:divBdr>
    </w:div>
    <w:div w:id="662853166">
      <w:bodyDiv w:val="1"/>
      <w:marLeft w:val="0"/>
      <w:marRight w:val="0"/>
      <w:marTop w:val="0"/>
      <w:marBottom w:val="0"/>
      <w:divBdr>
        <w:top w:val="none" w:sz="0" w:space="0" w:color="auto"/>
        <w:left w:val="none" w:sz="0" w:space="0" w:color="auto"/>
        <w:bottom w:val="none" w:sz="0" w:space="0" w:color="auto"/>
        <w:right w:val="none" w:sz="0" w:space="0" w:color="auto"/>
      </w:divBdr>
      <w:divsChild>
        <w:div w:id="217280372">
          <w:marLeft w:val="2002"/>
          <w:marRight w:val="0"/>
          <w:marTop w:val="0"/>
          <w:marBottom w:val="120"/>
          <w:divBdr>
            <w:top w:val="none" w:sz="0" w:space="0" w:color="auto"/>
            <w:left w:val="none" w:sz="0" w:space="0" w:color="auto"/>
            <w:bottom w:val="none" w:sz="0" w:space="0" w:color="auto"/>
            <w:right w:val="none" w:sz="0" w:space="0" w:color="auto"/>
          </w:divBdr>
        </w:div>
        <w:div w:id="356194789">
          <w:marLeft w:val="1224"/>
          <w:marRight w:val="0"/>
          <w:marTop w:val="0"/>
          <w:marBottom w:val="120"/>
          <w:divBdr>
            <w:top w:val="none" w:sz="0" w:space="0" w:color="auto"/>
            <w:left w:val="none" w:sz="0" w:space="0" w:color="auto"/>
            <w:bottom w:val="none" w:sz="0" w:space="0" w:color="auto"/>
            <w:right w:val="none" w:sz="0" w:space="0" w:color="auto"/>
          </w:divBdr>
        </w:div>
        <w:div w:id="527987791">
          <w:marLeft w:val="2002"/>
          <w:marRight w:val="0"/>
          <w:marTop w:val="0"/>
          <w:marBottom w:val="120"/>
          <w:divBdr>
            <w:top w:val="none" w:sz="0" w:space="0" w:color="auto"/>
            <w:left w:val="none" w:sz="0" w:space="0" w:color="auto"/>
            <w:bottom w:val="none" w:sz="0" w:space="0" w:color="auto"/>
            <w:right w:val="none" w:sz="0" w:space="0" w:color="auto"/>
          </w:divBdr>
        </w:div>
        <w:div w:id="900166618">
          <w:marLeft w:val="2002"/>
          <w:marRight w:val="0"/>
          <w:marTop w:val="0"/>
          <w:marBottom w:val="120"/>
          <w:divBdr>
            <w:top w:val="none" w:sz="0" w:space="0" w:color="auto"/>
            <w:left w:val="none" w:sz="0" w:space="0" w:color="auto"/>
            <w:bottom w:val="none" w:sz="0" w:space="0" w:color="auto"/>
            <w:right w:val="none" w:sz="0" w:space="0" w:color="auto"/>
          </w:divBdr>
        </w:div>
        <w:div w:id="924269066">
          <w:marLeft w:val="1224"/>
          <w:marRight w:val="0"/>
          <w:marTop w:val="0"/>
          <w:marBottom w:val="120"/>
          <w:divBdr>
            <w:top w:val="none" w:sz="0" w:space="0" w:color="auto"/>
            <w:left w:val="none" w:sz="0" w:space="0" w:color="auto"/>
            <w:bottom w:val="none" w:sz="0" w:space="0" w:color="auto"/>
            <w:right w:val="none" w:sz="0" w:space="0" w:color="auto"/>
          </w:divBdr>
        </w:div>
        <w:div w:id="1081487011">
          <w:marLeft w:val="1224"/>
          <w:marRight w:val="0"/>
          <w:marTop w:val="0"/>
          <w:marBottom w:val="120"/>
          <w:divBdr>
            <w:top w:val="none" w:sz="0" w:space="0" w:color="auto"/>
            <w:left w:val="none" w:sz="0" w:space="0" w:color="auto"/>
            <w:bottom w:val="none" w:sz="0" w:space="0" w:color="auto"/>
            <w:right w:val="none" w:sz="0" w:space="0" w:color="auto"/>
          </w:divBdr>
        </w:div>
        <w:div w:id="1490319000">
          <w:marLeft w:val="1224"/>
          <w:marRight w:val="0"/>
          <w:marTop w:val="0"/>
          <w:marBottom w:val="120"/>
          <w:divBdr>
            <w:top w:val="none" w:sz="0" w:space="0" w:color="auto"/>
            <w:left w:val="none" w:sz="0" w:space="0" w:color="auto"/>
            <w:bottom w:val="none" w:sz="0" w:space="0" w:color="auto"/>
            <w:right w:val="none" w:sz="0" w:space="0" w:color="auto"/>
          </w:divBdr>
        </w:div>
        <w:div w:id="1717660420">
          <w:marLeft w:val="1224"/>
          <w:marRight w:val="0"/>
          <w:marTop w:val="0"/>
          <w:marBottom w:val="120"/>
          <w:divBdr>
            <w:top w:val="none" w:sz="0" w:space="0" w:color="auto"/>
            <w:left w:val="none" w:sz="0" w:space="0" w:color="auto"/>
            <w:bottom w:val="none" w:sz="0" w:space="0" w:color="auto"/>
            <w:right w:val="none" w:sz="0" w:space="0" w:color="auto"/>
          </w:divBdr>
        </w:div>
        <w:div w:id="1717660516">
          <w:marLeft w:val="1224"/>
          <w:marRight w:val="0"/>
          <w:marTop w:val="0"/>
          <w:marBottom w:val="120"/>
          <w:divBdr>
            <w:top w:val="none" w:sz="0" w:space="0" w:color="auto"/>
            <w:left w:val="none" w:sz="0" w:space="0" w:color="auto"/>
            <w:bottom w:val="none" w:sz="0" w:space="0" w:color="auto"/>
            <w:right w:val="none" w:sz="0" w:space="0" w:color="auto"/>
          </w:divBdr>
        </w:div>
        <w:div w:id="1727337840">
          <w:marLeft w:val="2002"/>
          <w:marRight w:val="0"/>
          <w:marTop w:val="0"/>
          <w:marBottom w:val="120"/>
          <w:divBdr>
            <w:top w:val="none" w:sz="0" w:space="0" w:color="auto"/>
            <w:left w:val="none" w:sz="0" w:space="0" w:color="auto"/>
            <w:bottom w:val="none" w:sz="0" w:space="0" w:color="auto"/>
            <w:right w:val="none" w:sz="0" w:space="0" w:color="auto"/>
          </w:divBdr>
        </w:div>
        <w:div w:id="2017615845">
          <w:marLeft w:val="1224"/>
          <w:marRight w:val="0"/>
          <w:marTop w:val="0"/>
          <w:marBottom w:val="120"/>
          <w:divBdr>
            <w:top w:val="none" w:sz="0" w:space="0" w:color="auto"/>
            <w:left w:val="none" w:sz="0" w:space="0" w:color="auto"/>
            <w:bottom w:val="none" w:sz="0" w:space="0" w:color="auto"/>
            <w:right w:val="none" w:sz="0" w:space="0" w:color="auto"/>
          </w:divBdr>
        </w:div>
        <w:div w:id="2079982212">
          <w:marLeft w:val="2002"/>
          <w:marRight w:val="0"/>
          <w:marTop w:val="0"/>
          <w:marBottom w:val="120"/>
          <w:divBdr>
            <w:top w:val="none" w:sz="0" w:space="0" w:color="auto"/>
            <w:left w:val="none" w:sz="0" w:space="0" w:color="auto"/>
            <w:bottom w:val="none" w:sz="0" w:space="0" w:color="auto"/>
            <w:right w:val="none" w:sz="0" w:space="0" w:color="auto"/>
          </w:divBdr>
        </w:div>
      </w:divsChild>
    </w:div>
    <w:div w:id="670912443">
      <w:bodyDiv w:val="1"/>
      <w:marLeft w:val="0"/>
      <w:marRight w:val="0"/>
      <w:marTop w:val="0"/>
      <w:marBottom w:val="0"/>
      <w:divBdr>
        <w:top w:val="none" w:sz="0" w:space="0" w:color="auto"/>
        <w:left w:val="none" w:sz="0" w:space="0" w:color="auto"/>
        <w:bottom w:val="none" w:sz="0" w:space="0" w:color="auto"/>
        <w:right w:val="none" w:sz="0" w:space="0" w:color="auto"/>
      </w:divBdr>
    </w:div>
    <w:div w:id="733239165">
      <w:bodyDiv w:val="1"/>
      <w:marLeft w:val="0"/>
      <w:marRight w:val="0"/>
      <w:marTop w:val="0"/>
      <w:marBottom w:val="0"/>
      <w:divBdr>
        <w:top w:val="none" w:sz="0" w:space="0" w:color="auto"/>
        <w:left w:val="none" w:sz="0" w:space="0" w:color="auto"/>
        <w:bottom w:val="none" w:sz="0" w:space="0" w:color="auto"/>
        <w:right w:val="none" w:sz="0" w:space="0" w:color="auto"/>
      </w:divBdr>
    </w:div>
    <w:div w:id="757479741">
      <w:bodyDiv w:val="1"/>
      <w:marLeft w:val="0"/>
      <w:marRight w:val="0"/>
      <w:marTop w:val="0"/>
      <w:marBottom w:val="0"/>
      <w:divBdr>
        <w:top w:val="none" w:sz="0" w:space="0" w:color="auto"/>
        <w:left w:val="none" w:sz="0" w:space="0" w:color="auto"/>
        <w:bottom w:val="none" w:sz="0" w:space="0" w:color="auto"/>
        <w:right w:val="none" w:sz="0" w:space="0" w:color="auto"/>
      </w:divBdr>
    </w:div>
    <w:div w:id="760374529">
      <w:bodyDiv w:val="1"/>
      <w:marLeft w:val="0"/>
      <w:marRight w:val="0"/>
      <w:marTop w:val="0"/>
      <w:marBottom w:val="0"/>
      <w:divBdr>
        <w:top w:val="none" w:sz="0" w:space="0" w:color="auto"/>
        <w:left w:val="none" w:sz="0" w:space="0" w:color="auto"/>
        <w:bottom w:val="none" w:sz="0" w:space="0" w:color="auto"/>
        <w:right w:val="none" w:sz="0" w:space="0" w:color="auto"/>
      </w:divBdr>
    </w:div>
    <w:div w:id="778337648">
      <w:bodyDiv w:val="1"/>
      <w:marLeft w:val="0"/>
      <w:marRight w:val="0"/>
      <w:marTop w:val="0"/>
      <w:marBottom w:val="0"/>
      <w:divBdr>
        <w:top w:val="none" w:sz="0" w:space="0" w:color="auto"/>
        <w:left w:val="none" w:sz="0" w:space="0" w:color="auto"/>
        <w:bottom w:val="none" w:sz="0" w:space="0" w:color="auto"/>
        <w:right w:val="none" w:sz="0" w:space="0" w:color="auto"/>
      </w:divBdr>
    </w:div>
    <w:div w:id="790905588">
      <w:bodyDiv w:val="1"/>
      <w:marLeft w:val="0"/>
      <w:marRight w:val="0"/>
      <w:marTop w:val="0"/>
      <w:marBottom w:val="0"/>
      <w:divBdr>
        <w:top w:val="none" w:sz="0" w:space="0" w:color="auto"/>
        <w:left w:val="none" w:sz="0" w:space="0" w:color="auto"/>
        <w:bottom w:val="none" w:sz="0" w:space="0" w:color="auto"/>
        <w:right w:val="none" w:sz="0" w:space="0" w:color="auto"/>
      </w:divBdr>
    </w:div>
    <w:div w:id="838959093">
      <w:bodyDiv w:val="1"/>
      <w:marLeft w:val="0"/>
      <w:marRight w:val="0"/>
      <w:marTop w:val="0"/>
      <w:marBottom w:val="0"/>
      <w:divBdr>
        <w:top w:val="none" w:sz="0" w:space="0" w:color="auto"/>
        <w:left w:val="none" w:sz="0" w:space="0" w:color="auto"/>
        <w:bottom w:val="none" w:sz="0" w:space="0" w:color="auto"/>
        <w:right w:val="none" w:sz="0" w:space="0" w:color="auto"/>
      </w:divBdr>
      <w:divsChild>
        <w:div w:id="1652632890">
          <w:marLeft w:val="259"/>
          <w:marRight w:val="0"/>
          <w:marTop w:val="0"/>
          <w:marBottom w:val="0"/>
          <w:divBdr>
            <w:top w:val="none" w:sz="0" w:space="0" w:color="auto"/>
            <w:left w:val="none" w:sz="0" w:space="0" w:color="auto"/>
            <w:bottom w:val="none" w:sz="0" w:space="0" w:color="auto"/>
            <w:right w:val="none" w:sz="0" w:space="0" w:color="auto"/>
          </w:divBdr>
        </w:div>
      </w:divsChild>
    </w:div>
    <w:div w:id="857890436">
      <w:bodyDiv w:val="1"/>
      <w:marLeft w:val="0"/>
      <w:marRight w:val="0"/>
      <w:marTop w:val="0"/>
      <w:marBottom w:val="0"/>
      <w:divBdr>
        <w:top w:val="none" w:sz="0" w:space="0" w:color="auto"/>
        <w:left w:val="none" w:sz="0" w:space="0" w:color="auto"/>
        <w:bottom w:val="none" w:sz="0" w:space="0" w:color="auto"/>
        <w:right w:val="none" w:sz="0" w:space="0" w:color="auto"/>
      </w:divBdr>
      <w:divsChild>
        <w:div w:id="2142111112">
          <w:marLeft w:val="230"/>
          <w:marRight w:val="0"/>
          <w:marTop w:val="0"/>
          <w:marBottom w:val="48"/>
          <w:divBdr>
            <w:top w:val="none" w:sz="0" w:space="0" w:color="auto"/>
            <w:left w:val="none" w:sz="0" w:space="0" w:color="auto"/>
            <w:bottom w:val="none" w:sz="0" w:space="0" w:color="auto"/>
            <w:right w:val="none" w:sz="0" w:space="0" w:color="auto"/>
          </w:divBdr>
        </w:div>
      </w:divsChild>
    </w:div>
    <w:div w:id="863442698">
      <w:bodyDiv w:val="1"/>
      <w:marLeft w:val="0"/>
      <w:marRight w:val="0"/>
      <w:marTop w:val="0"/>
      <w:marBottom w:val="0"/>
      <w:divBdr>
        <w:top w:val="none" w:sz="0" w:space="0" w:color="auto"/>
        <w:left w:val="none" w:sz="0" w:space="0" w:color="auto"/>
        <w:bottom w:val="none" w:sz="0" w:space="0" w:color="auto"/>
        <w:right w:val="none" w:sz="0" w:space="0" w:color="auto"/>
      </w:divBdr>
    </w:div>
    <w:div w:id="878513169">
      <w:bodyDiv w:val="1"/>
      <w:marLeft w:val="0"/>
      <w:marRight w:val="0"/>
      <w:marTop w:val="0"/>
      <w:marBottom w:val="0"/>
      <w:divBdr>
        <w:top w:val="none" w:sz="0" w:space="0" w:color="auto"/>
        <w:left w:val="none" w:sz="0" w:space="0" w:color="auto"/>
        <w:bottom w:val="none" w:sz="0" w:space="0" w:color="auto"/>
        <w:right w:val="none" w:sz="0" w:space="0" w:color="auto"/>
      </w:divBdr>
    </w:div>
    <w:div w:id="906652974">
      <w:bodyDiv w:val="1"/>
      <w:marLeft w:val="0"/>
      <w:marRight w:val="0"/>
      <w:marTop w:val="0"/>
      <w:marBottom w:val="0"/>
      <w:divBdr>
        <w:top w:val="none" w:sz="0" w:space="0" w:color="auto"/>
        <w:left w:val="none" w:sz="0" w:space="0" w:color="auto"/>
        <w:bottom w:val="none" w:sz="0" w:space="0" w:color="auto"/>
        <w:right w:val="none" w:sz="0" w:space="0" w:color="auto"/>
      </w:divBdr>
    </w:div>
    <w:div w:id="931663591">
      <w:bodyDiv w:val="1"/>
      <w:marLeft w:val="0"/>
      <w:marRight w:val="0"/>
      <w:marTop w:val="0"/>
      <w:marBottom w:val="0"/>
      <w:divBdr>
        <w:top w:val="none" w:sz="0" w:space="0" w:color="auto"/>
        <w:left w:val="none" w:sz="0" w:space="0" w:color="auto"/>
        <w:bottom w:val="none" w:sz="0" w:space="0" w:color="auto"/>
        <w:right w:val="none" w:sz="0" w:space="0" w:color="auto"/>
      </w:divBdr>
    </w:div>
    <w:div w:id="959459637">
      <w:bodyDiv w:val="1"/>
      <w:marLeft w:val="0"/>
      <w:marRight w:val="0"/>
      <w:marTop w:val="0"/>
      <w:marBottom w:val="0"/>
      <w:divBdr>
        <w:top w:val="none" w:sz="0" w:space="0" w:color="auto"/>
        <w:left w:val="none" w:sz="0" w:space="0" w:color="auto"/>
        <w:bottom w:val="none" w:sz="0" w:space="0" w:color="auto"/>
        <w:right w:val="none" w:sz="0" w:space="0" w:color="auto"/>
      </w:divBdr>
    </w:div>
    <w:div w:id="1022130981">
      <w:bodyDiv w:val="1"/>
      <w:marLeft w:val="0"/>
      <w:marRight w:val="0"/>
      <w:marTop w:val="0"/>
      <w:marBottom w:val="0"/>
      <w:divBdr>
        <w:top w:val="none" w:sz="0" w:space="0" w:color="auto"/>
        <w:left w:val="none" w:sz="0" w:space="0" w:color="auto"/>
        <w:bottom w:val="none" w:sz="0" w:space="0" w:color="auto"/>
        <w:right w:val="none" w:sz="0" w:space="0" w:color="auto"/>
      </w:divBdr>
    </w:div>
    <w:div w:id="1022317592">
      <w:bodyDiv w:val="1"/>
      <w:marLeft w:val="0"/>
      <w:marRight w:val="0"/>
      <w:marTop w:val="0"/>
      <w:marBottom w:val="0"/>
      <w:divBdr>
        <w:top w:val="none" w:sz="0" w:space="0" w:color="auto"/>
        <w:left w:val="none" w:sz="0" w:space="0" w:color="auto"/>
        <w:bottom w:val="none" w:sz="0" w:space="0" w:color="auto"/>
        <w:right w:val="none" w:sz="0" w:space="0" w:color="auto"/>
      </w:divBdr>
    </w:div>
    <w:div w:id="1032993764">
      <w:bodyDiv w:val="1"/>
      <w:marLeft w:val="0"/>
      <w:marRight w:val="0"/>
      <w:marTop w:val="0"/>
      <w:marBottom w:val="0"/>
      <w:divBdr>
        <w:top w:val="none" w:sz="0" w:space="0" w:color="auto"/>
        <w:left w:val="none" w:sz="0" w:space="0" w:color="auto"/>
        <w:bottom w:val="none" w:sz="0" w:space="0" w:color="auto"/>
        <w:right w:val="none" w:sz="0" w:space="0" w:color="auto"/>
      </w:divBdr>
      <w:divsChild>
        <w:div w:id="152188750">
          <w:marLeft w:val="259"/>
          <w:marRight w:val="0"/>
          <w:marTop w:val="0"/>
          <w:marBottom w:val="0"/>
          <w:divBdr>
            <w:top w:val="none" w:sz="0" w:space="0" w:color="auto"/>
            <w:left w:val="none" w:sz="0" w:space="0" w:color="auto"/>
            <w:bottom w:val="none" w:sz="0" w:space="0" w:color="auto"/>
            <w:right w:val="none" w:sz="0" w:space="0" w:color="auto"/>
          </w:divBdr>
        </w:div>
        <w:div w:id="1170215064">
          <w:marLeft w:val="1080"/>
          <w:marRight w:val="0"/>
          <w:marTop w:val="0"/>
          <w:marBottom w:val="0"/>
          <w:divBdr>
            <w:top w:val="none" w:sz="0" w:space="0" w:color="auto"/>
            <w:left w:val="none" w:sz="0" w:space="0" w:color="auto"/>
            <w:bottom w:val="none" w:sz="0" w:space="0" w:color="auto"/>
            <w:right w:val="none" w:sz="0" w:space="0" w:color="auto"/>
          </w:divBdr>
        </w:div>
        <w:div w:id="1336347343">
          <w:marLeft w:val="259"/>
          <w:marRight w:val="0"/>
          <w:marTop w:val="0"/>
          <w:marBottom w:val="0"/>
          <w:divBdr>
            <w:top w:val="none" w:sz="0" w:space="0" w:color="auto"/>
            <w:left w:val="none" w:sz="0" w:space="0" w:color="auto"/>
            <w:bottom w:val="none" w:sz="0" w:space="0" w:color="auto"/>
            <w:right w:val="none" w:sz="0" w:space="0" w:color="auto"/>
          </w:divBdr>
        </w:div>
        <w:div w:id="1489983756">
          <w:marLeft w:val="259"/>
          <w:marRight w:val="0"/>
          <w:marTop w:val="0"/>
          <w:marBottom w:val="0"/>
          <w:divBdr>
            <w:top w:val="none" w:sz="0" w:space="0" w:color="auto"/>
            <w:left w:val="none" w:sz="0" w:space="0" w:color="auto"/>
            <w:bottom w:val="none" w:sz="0" w:space="0" w:color="auto"/>
            <w:right w:val="none" w:sz="0" w:space="0" w:color="auto"/>
          </w:divBdr>
        </w:div>
      </w:divsChild>
    </w:div>
    <w:div w:id="1085224682">
      <w:bodyDiv w:val="1"/>
      <w:marLeft w:val="0"/>
      <w:marRight w:val="0"/>
      <w:marTop w:val="0"/>
      <w:marBottom w:val="0"/>
      <w:divBdr>
        <w:top w:val="none" w:sz="0" w:space="0" w:color="auto"/>
        <w:left w:val="none" w:sz="0" w:space="0" w:color="auto"/>
        <w:bottom w:val="none" w:sz="0" w:space="0" w:color="auto"/>
        <w:right w:val="none" w:sz="0" w:space="0" w:color="auto"/>
      </w:divBdr>
    </w:div>
    <w:div w:id="1131481164">
      <w:bodyDiv w:val="1"/>
      <w:marLeft w:val="0"/>
      <w:marRight w:val="0"/>
      <w:marTop w:val="0"/>
      <w:marBottom w:val="0"/>
      <w:divBdr>
        <w:top w:val="none" w:sz="0" w:space="0" w:color="auto"/>
        <w:left w:val="none" w:sz="0" w:space="0" w:color="auto"/>
        <w:bottom w:val="none" w:sz="0" w:space="0" w:color="auto"/>
        <w:right w:val="none" w:sz="0" w:space="0" w:color="auto"/>
      </w:divBdr>
    </w:div>
    <w:div w:id="1133408345">
      <w:bodyDiv w:val="1"/>
      <w:marLeft w:val="0"/>
      <w:marRight w:val="0"/>
      <w:marTop w:val="0"/>
      <w:marBottom w:val="0"/>
      <w:divBdr>
        <w:top w:val="none" w:sz="0" w:space="0" w:color="auto"/>
        <w:left w:val="none" w:sz="0" w:space="0" w:color="auto"/>
        <w:bottom w:val="none" w:sz="0" w:space="0" w:color="auto"/>
        <w:right w:val="none" w:sz="0" w:space="0" w:color="auto"/>
      </w:divBdr>
      <w:divsChild>
        <w:div w:id="863791487">
          <w:marLeft w:val="259"/>
          <w:marRight w:val="0"/>
          <w:marTop w:val="0"/>
          <w:marBottom w:val="0"/>
          <w:divBdr>
            <w:top w:val="none" w:sz="0" w:space="0" w:color="auto"/>
            <w:left w:val="none" w:sz="0" w:space="0" w:color="auto"/>
            <w:bottom w:val="none" w:sz="0" w:space="0" w:color="auto"/>
            <w:right w:val="none" w:sz="0" w:space="0" w:color="auto"/>
          </w:divBdr>
        </w:div>
        <w:div w:id="1150901002">
          <w:marLeft w:val="259"/>
          <w:marRight w:val="0"/>
          <w:marTop w:val="0"/>
          <w:marBottom w:val="0"/>
          <w:divBdr>
            <w:top w:val="none" w:sz="0" w:space="0" w:color="auto"/>
            <w:left w:val="none" w:sz="0" w:space="0" w:color="auto"/>
            <w:bottom w:val="none" w:sz="0" w:space="0" w:color="auto"/>
            <w:right w:val="none" w:sz="0" w:space="0" w:color="auto"/>
          </w:divBdr>
        </w:div>
        <w:div w:id="1890415866">
          <w:marLeft w:val="259"/>
          <w:marRight w:val="0"/>
          <w:marTop w:val="0"/>
          <w:marBottom w:val="0"/>
          <w:divBdr>
            <w:top w:val="none" w:sz="0" w:space="0" w:color="auto"/>
            <w:left w:val="none" w:sz="0" w:space="0" w:color="auto"/>
            <w:bottom w:val="none" w:sz="0" w:space="0" w:color="auto"/>
            <w:right w:val="none" w:sz="0" w:space="0" w:color="auto"/>
          </w:divBdr>
        </w:div>
      </w:divsChild>
    </w:div>
    <w:div w:id="1140656423">
      <w:bodyDiv w:val="1"/>
      <w:marLeft w:val="0"/>
      <w:marRight w:val="0"/>
      <w:marTop w:val="0"/>
      <w:marBottom w:val="0"/>
      <w:divBdr>
        <w:top w:val="none" w:sz="0" w:space="0" w:color="auto"/>
        <w:left w:val="none" w:sz="0" w:space="0" w:color="auto"/>
        <w:bottom w:val="none" w:sz="0" w:space="0" w:color="auto"/>
        <w:right w:val="none" w:sz="0" w:space="0" w:color="auto"/>
      </w:divBdr>
      <w:divsChild>
        <w:div w:id="121307973">
          <w:marLeft w:val="230"/>
          <w:marRight w:val="0"/>
          <w:marTop w:val="0"/>
          <w:marBottom w:val="48"/>
          <w:divBdr>
            <w:top w:val="none" w:sz="0" w:space="0" w:color="auto"/>
            <w:left w:val="none" w:sz="0" w:space="0" w:color="auto"/>
            <w:bottom w:val="none" w:sz="0" w:space="0" w:color="auto"/>
            <w:right w:val="none" w:sz="0" w:space="0" w:color="auto"/>
          </w:divBdr>
        </w:div>
        <w:div w:id="166529954">
          <w:marLeft w:val="230"/>
          <w:marRight w:val="0"/>
          <w:marTop w:val="0"/>
          <w:marBottom w:val="48"/>
          <w:divBdr>
            <w:top w:val="none" w:sz="0" w:space="0" w:color="auto"/>
            <w:left w:val="none" w:sz="0" w:space="0" w:color="auto"/>
            <w:bottom w:val="none" w:sz="0" w:space="0" w:color="auto"/>
            <w:right w:val="none" w:sz="0" w:space="0" w:color="auto"/>
          </w:divBdr>
        </w:div>
        <w:div w:id="583883191">
          <w:marLeft w:val="230"/>
          <w:marRight w:val="0"/>
          <w:marTop w:val="0"/>
          <w:marBottom w:val="48"/>
          <w:divBdr>
            <w:top w:val="none" w:sz="0" w:space="0" w:color="auto"/>
            <w:left w:val="none" w:sz="0" w:space="0" w:color="auto"/>
            <w:bottom w:val="none" w:sz="0" w:space="0" w:color="auto"/>
            <w:right w:val="none" w:sz="0" w:space="0" w:color="auto"/>
          </w:divBdr>
        </w:div>
        <w:div w:id="1542935918">
          <w:marLeft w:val="230"/>
          <w:marRight w:val="0"/>
          <w:marTop w:val="0"/>
          <w:marBottom w:val="48"/>
          <w:divBdr>
            <w:top w:val="none" w:sz="0" w:space="0" w:color="auto"/>
            <w:left w:val="none" w:sz="0" w:space="0" w:color="auto"/>
            <w:bottom w:val="none" w:sz="0" w:space="0" w:color="auto"/>
            <w:right w:val="none" w:sz="0" w:space="0" w:color="auto"/>
          </w:divBdr>
        </w:div>
        <w:div w:id="1812862930">
          <w:marLeft w:val="230"/>
          <w:marRight w:val="0"/>
          <w:marTop w:val="0"/>
          <w:marBottom w:val="48"/>
          <w:divBdr>
            <w:top w:val="none" w:sz="0" w:space="0" w:color="auto"/>
            <w:left w:val="none" w:sz="0" w:space="0" w:color="auto"/>
            <w:bottom w:val="none" w:sz="0" w:space="0" w:color="auto"/>
            <w:right w:val="none" w:sz="0" w:space="0" w:color="auto"/>
          </w:divBdr>
        </w:div>
      </w:divsChild>
    </w:div>
    <w:div w:id="1144464743">
      <w:bodyDiv w:val="1"/>
      <w:marLeft w:val="0"/>
      <w:marRight w:val="0"/>
      <w:marTop w:val="0"/>
      <w:marBottom w:val="0"/>
      <w:divBdr>
        <w:top w:val="none" w:sz="0" w:space="0" w:color="auto"/>
        <w:left w:val="none" w:sz="0" w:space="0" w:color="auto"/>
        <w:bottom w:val="none" w:sz="0" w:space="0" w:color="auto"/>
        <w:right w:val="none" w:sz="0" w:space="0" w:color="auto"/>
      </w:divBdr>
    </w:div>
    <w:div w:id="1268997682">
      <w:bodyDiv w:val="1"/>
      <w:marLeft w:val="0"/>
      <w:marRight w:val="0"/>
      <w:marTop w:val="0"/>
      <w:marBottom w:val="0"/>
      <w:divBdr>
        <w:top w:val="none" w:sz="0" w:space="0" w:color="auto"/>
        <w:left w:val="none" w:sz="0" w:space="0" w:color="auto"/>
        <w:bottom w:val="none" w:sz="0" w:space="0" w:color="auto"/>
        <w:right w:val="none" w:sz="0" w:space="0" w:color="auto"/>
      </w:divBdr>
    </w:div>
    <w:div w:id="1321931563">
      <w:bodyDiv w:val="1"/>
      <w:marLeft w:val="0"/>
      <w:marRight w:val="0"/>
      <w:marTop w:val="0"/>
      <w:marBottom w:val="0"/>
      <w:divBdr>
        <w:top w:val="none" w:sz="0" w:space="0" w:color="auto"/>
        <w:left w:val="none" w:sz="0" w:space="0" w:color="auto"/>
        <w:bottom w:val="none" w:sz="0" w:space="0" w:color="auto"/>
        <w:right w:val="none" w:sz="0" w:space="0" w:color="auto"/>
      </w:divBdr>
    </w:div>
    <w:div w:id="1498572571">
      <w:bodyDiv w:val="1"/>
      <w:marLeft w:val="0"/>
      <w:marRight w:val="0"/>
      <w:marTop w:val="0"/>
      <w:marBottom w:val="0"/>
      <w:divBdr>
        <w:top w:val="none" w:sz="0" w:space="0" w:color="auto"/>
        <w:left w:val="none" w:sz="0" w:space="0" w:color="auto"/>
        <w:bottom w:val="none" w:sz="0" w:space="0" w:color="auto"/>
        <w:right w:val="none" w:sz="0" w:space="0" w:color="auto"/>
      </w:divBdr>
    </w:div>
    <w:div w:id="1643732203">
      <w:bodyDiv w:val="1"/>
      <w:marLeft w:val="0"/>
      <w:marRight w:val="0"/>
      <w:marTop w:val="0"/>
      <w:marBottom w:val="0"/>
      <w:divBdr>
        <w:top w:val="none" w:sz="0" w:space="0" w:color="auto"/>
        <w:left w:val="none" w:sz="0" w:space="0" w:color="auto"/>
        <w:bottom w:val="none" w:sz="0" w:space="0" w:color="auto"/>
        <w:right w:val="none" w:sz="0" w:space="0" w:color="auto"/>
      </w:divBdr>
    </w:div>
    <w:div w:id="1788311999">
      <w:bodyDiv w:val="1"/>
      <w:marLeft w:val="0"/>
      <w:marRight w:val="0"/>
      <w:marTop w:val="0"/>
      <w:marBottom w:val="0"/>
      <w:divBdr>
        <w:top w:val="none" w:sz="0" w:space="0" w:color="auto"/>
        <w:left w:val="none" w:sz="0" w:space="0" w:color="auto"/>
        <w:bottom w:val="none" w:sz="0" w:space="0" w:color="auto"/>
        <w:right w:val="none" w:sz="0" w:space="0" w:color="auto"/>
      </w:divBdr>
    </w:div>
    <w:div w:id="1801191826">
      <w:bodyDiv w:val="1"/>
      <w:marLeft w:val="0"/>
      <w:marRight w:val="0"/>
      <w:marTop w:val="0"/>
      <w:marBottom w:val="0"/>
      <w:divBdr>
        <w:top w:val="none" w:sz="0" w:space="0" w:color="auto"/>
        <w:left w:val="none" w:sz="0" w:space="0" w:color="auto"/>
        <w:bottom w:val="none" w:sz="0" w:space="0" w:color="auto"/>
        <w:right w:val="none" w:sz="0" w:space="0" w:color="auto"/>
      </w:divBdr>
    </w:div>
    <w:div w:id="1866479284">
      <w:bodyDiv w:val="1"/>
      <w:marLeft w:val="0"/>
      <w:marRight w:val="0"/>
      <w:marTop w:val="0"/>
      <w:marBottom w:val="0"/>
      <w:divBdr>
        <w:top w:val="none" w:sz="0" w:space="0" w:color="auto"/>
        <w:left w:val="none" w:sz="0" w:space="0" w:color="auto"/>
        <w:bottom w:val="none" w:sz="0" w:space="0" w:color="auto"/>
        <w:right w:val="none" w:sz="0" w:space="0" w:color="auto"/>
      </w:divBdr>
    </w:div>
    <w:div w:id="1898399516">
      <w:bodyDiv w:val="1"/>
      <w:marLeft w:val="0"/>
      <w:marRight w:val="0"/>
      <w:marTop w:val="0"/>
      <w:marBottom w:val="0"/>
      <w:divBdr>
        <w:top w:val="none" w:sz="0" w:space="0" w:color="auto"/>
        <w:left w:val="none" w:sz="0" w:space="0" w:color="auto"/>
        <w:bottom w:val="none" w:sz="0" w:space="0" w:color="auto"/>
        <w:right w:val="none" w:sz="0" w:space="0" w:color="auto"/>
      </w:divBdr>
      <w:divsChild>
        <w:div w:id="1049111051">
          <w:marLeft w:val="230"/>
          <w:marRight w:val="0"/>
          <w:marTop w:val="0"/>
          <w:marBottom w:val="48"/>
          <w:divBdr>
            <w:top w:val="none" w:sz="0" w:space="0" w:color="auto"/>
            <w:left w:val="none" w:sz="0" w:space="0" w:color="auto"/>
            <w:bottom w:val="none" w:sz="0" w:space="0" w:color="auto"/>
            <w:right w:val="none" w:sz="0" w:space="0" w:color="auto"/>
          </w:divBdr>
        </w:div>
        <w:div w:id="1426263844">
          <w:marLeft w:val="230"/>
          <w:marRight w:val="0"/>
          <w:marTop w:val="0"/>
          <w:marBottom w:val="48"/>
          <w:divBdr>
            <w:top w:val="none" w:sz="0" w:space="0" w:color="auto"/>
            <w:left w:val="none" w:sz="0" w:space="0" w:color="auto"/>
            <w:bottom w:val="none" w:sz="0" w:space="0" w:color="auto"/>
            <w:right w:val="none" w:sz="0" w:space="0" w:color="auto"/>
          </w:divBdr>
        </w:div>
        <w:div w:id="1494754658">
          <w:marLeft w:val="230"/>
          <w:marRight w:val="0"/>
          <w:marTop w:val="0"/>
          <w:marBottom w:val="48"/>
          <w:divBdr>
            <w:top w:val="none" w:sz="0" w:space="0" w:color="auto"/>
            <w:left w:val="none" w:sz="0" w:space="0" w:color="auto"/>
            <w:bottom w:val="none" w:sz="0" w:space="0" w:color="auto"/>
            <w:right w:val="none" w:sz="0" w:space="0" w:color="auto"/>
          </w:divBdr>
        </w:div>
        <w:div w:id="1865049576">
          <w:marLeft w:val="230"/>
          <w:marRight w:val="0"/>
          <w:marTop w:val="0"/>
          <w:marBottom w:val="48"/>
          <w:divBdr>
            <w:top w:val="none" w:sz="0" w:space="0" w:color="auto"/>
            <w:left w:val="none" w:sz="0" w:space="0" w:color="auto"/>
            <w:bottom w:val="none" w:sz="0" w:space="0" w:color="auto"/>
            <w:right w:val="none" w:sz="0" w:space="0" w:color="auto"/>
          </w:divBdr>
        </w:div>
        <w:div w:id="1912227430">
          <w:marLeft w:val="230"/>
          <w:marRight w:val="0"/>
          <w:marTop w:val="0"/>
          <w:marBottom w:val="48"/>
          <w:divBdr>
            <w:top w:val="none" w:sz="0" w:space="0" w:color="auto"/>
            <w:left w:val="none" w:sz="0" w:space="0" w:color="auto"/>
            <w:bottom w:val="none" w:sz="0" w:space="0" w:color="auto"/>
            <w:right w:val="none" w:sz="0" w:space="0" w:color="auto"/>
          </w:divBdr>
        </w:div>
      </w:divsChild>
    </w:div>
    <w:div w:id="1918057925">
      <w:bodyDiv w:val="1"/>
      <w:marLeft w:val="0"/>
      <w:marRight w:val="0"/>
      <w:marTop w:val="0"/>
      <w:marBottom w:val="0"/>
      <w:divBdr>
        <w:top w:val="none" w:sz="0" w:space="0" w:color="auto"/>
        <w:left w:val="none" w:sz="0" w:space="0" w:color="auto"/>
        <w:bottom w:val="none" w:sz="0" w:space="0" w:color="auto"/>
        <w:right w:val="none" w:sz="0" w:space="0" w:color="auto"/>
      </w:divBdr>
      <w:divsChild>
        <w:div w:id="137036198">
          <w:marLeft w:val="1181"/>
          <w:marRight w:val="0"/>
          <w:marTop w:val="0"/>
          <w:marBottom w:val="48"/>
          <w:divBdr>
            <w:top w:val="none" w:sz="0" w:space="0" w:color="auto"/>
            <w:left w:val="none" w:sz="0" w:space="0" w:color="auto"/>
            <w:bottom w:val="none" w:sz="0" w:space="0" w:color="auto"/>
            <w:right w:val="none" w:sz="0" w:space="0" w:color="auto"/>
          </w:divBdr>
        </w:div>
        <w:div w:id="1116871064">
          <w:marLeft w:val="230"/>
          <w:marRight w:val="0"/>
          <w:marTop w:val="0"/>
          <w:marBottom w:val="48"/>
          <w:divBdr>
            <w:top w:val="none" w:sz="0" w:space="0" w:color="auto"/>
            <w:left w:val="none" w:sz="0" w:space="0" w:color="auto"/>
            <w:bottom w:val="none" w:sz="0" w:space="0" w:color="auto"/>
            <w:right w:val="none" w:sz="0" w:space="0" w:color="auto"/>
          </w:divBdr>
        </w:div>
        <w:div w:id="1121266632">
          <w:marLeft w:val="230"/>
          <w:marRight w:val="0"/>
          <w:marTop w:val="0"/>
          <w:marBottom w:val="48"/>
          <w:divBdr>
            <w:top w:val="none" w:sz="0" w:space="0" w:color="auto"/>
            <w:left w:val="none" w:sz="0" w:space="0" w:color="auto"/>
            <w:bottom w:val="none" w:sz="0" w:space="0" w:color="auto"/>
            <w:right w:val="none" w:sz="0" w:space="0" w:color="auto"/>
          </w:divBdr>
        </w:div>
        <w:div w:id="1528174446">
          <w:marLeft w:val="230"/>
          <w:marRight w:val="0"/>
          <w:marTop w:val="0"/>
          <w:marBottom w:val="48"/>
          <w:divBdr>
            <w:top w:val="none" w:sz="0" w:space="0" w:color="auto"/>
            <w:left w:val="none" w:sz="0" w:space="0" w:color="auto"/>
            <w:bottom w:val="none" w:sz="0" w:space="0" w:color="auto"/>
            <w:right w:val="none" w:sz="0" w:space="0" w:color="auto"/>
          </w:divBdr>
        </w:div>
        <w:div w:id="2123379124">
          <w:marLeft w:val="1181"/>
          <w:marRight w:val="0"/>
          <w:marTop w:val="0"/>
          <w:marBottom w:val="48"/>
          <w:divBdr>
            <w:top w:val="none" w:sz="0" w:space="0" w:color="auto"/>
            <w:left w:val="none" w:sz="0" w:space="0" w:color="auto"/>
            <w:bottom w:val="none" w:sz="0" w:space="0" w:color="auto"/>
            <w:right w:val="none" w:sz="0" w:space="0" w:color="auto"/>
          </w:divBdr>
        </w:div>
      </w:divsChild>
    </w:div>
    <w:div w:id="1923904430">
      <w:bodyDiv w:val="1"/>
      <w:marLeft w:val="0"/>
      <w:marRight w:val="0"/>
      <w:marTop w:val="0"/>
      <w:marBottom w:val="0"/>
      <w:divBdr>
        <w:top w:val="none" w:sz="0" w:space="0" w:color="auto"/>
        <w:left w:val="none" w:sz="0" w:space="0" w:color="auto"/>
        <w:bottom w:val="none" w:sz="0" w:space="0" w:color="auto"/>
        <w:right w:val="none" w:sz="0" w:space="0" w:color="auto"/>
      </w:divBdr>
    </w:div>
    <w:div w:id="1926723927">
      <w:bodyDiv w:val="1"/>
      <w:marLeft w:val="0"/>
      <w:marRight w:val="0"/>
      <w:marTop w:val="0"/>
      <w:marBottom w:val="0"/>
      <w:divBdr>
        <w:top w:val="none" w:sz="0" w:space="0" w:color="auto"/>
        <w:left w:val="none" w:sz="0" w:space="0" w:color="auto"/>
        <w:bottom w:val="none" w:sz="0" w:space="0" w:color="auto"/>
        <w:right w:val="none" w:sz="0" w:space="0" w:color="auto"/>
      </w:divBdr>
    </w:div>
    <w:div w:id="1943410996">
      <w:bodyDiv w:val="1"/>
      <w:marLeft w:val="0"/>
      <w:marRight w:val="0"/>
      <w:marTop w:val="0"/>
      <w:marBottom w:val="0"/>
      <w:divBdr>
        <w:top w:val="none" w:sz="0" w:space="0" w:color="auto"/>
        <w:left w:val="none" w:sz="0" w:space="0" w:color="auto"/>
        <w:bottom w:val="none" w:sz="0" w:space="0" w:color="auto"/>
        <w:right w:val="none" w:sz="0" w:space="0" w:color="auto"/>
      </w:divBdr>
    </w:div>
    <w:div w:id="1975678640">
      <w:bodyDiv w:val="1"/>
      <w:marLeft w:val="0"/>
      <w:marRight w:val="0"/>
      <w:marTop w:val="0"/>
      <w:marBottom w:val="0"/>
      <w:divBdr>
        <w:top w:val="none" w:sz="0" w:space="0" w:color="auto"/>
        <w:left w:val="none" w:sz="0" w:space="0" w:color="auto"/>
        <w:bottom w:val="none" w:sz="0" w:space="0" w:color="auto"/>
        <w:right w:val="none" w:sz="0" w:space="0" w:color="auto"/>
      </w:divBdr>
    </w:div>
    <w:div w:id="1985156949">
      <w:bodyDiv w:val="1"/>
      <w:marLeft w:val="0"/>
      <w:marRight w:val="0"/>
      <w:marTop w:val="0"/>
      <w:marBottom w:val="0"/>
      <w:divBdr>
        <w:top w:val="none" w:sz="0" w:space="0" w:color="auto"/>
        <w:left w:val="none" w:sz="0" w:space="0" w:color="auto"/>
        <w:bottom w:val="none" w:sz="0" w:space="0" w:color="auto"/>
        <w:right w:val="none" w:sz="0" w:space="0" w:color="auto"/>
      </w:divBdr>
    </w:div>
    <w:div w:id="2017346544">
      <w:bodyDiv w:val="1"/>
      <w:marLeft w:val="0"/>
      <w:marRight w:val="0"/>
      <w:marTop w:val="0"/>
      <w:marBottom w:val="0"/>
      <w:divBdr>
        <w:top w:val="none" w:sz="0" w:space="0" w:color="auto"/>
        <w:left w:val="none" w:sz="0" w:space="0" w:color="auto"/>
        <w:bottom w:val="none" w:sz="0" w:space="0" w:color="auto"/>
        <w:right w:val="none" w:sz="0" w:space="0" w:color="auto"/>
      </w:divBdr>
      <w:divsChild>
        <w:div w:id="782188677">
          <w:marLeft w:val="1181"/>
          <w:marRight w:val="0"/>
          <w:marTop w:val="0"/>
          <w:marBottom w:val="48"/>
          <w:divBdr>
            <w:top w:val="none" w:sz="0" w:space="0" w:color="auto"/>
            <w:left w:val="none" w:sz="0" w:space="0" w:color="auto"/>
            <w:bottom w:val="none" w:sz="0" w:space="0" w:color="auto"/>
            <w:right w:val="none" w:sz="0" w:space="0" w:color="auto"/>
          </w:divBdr>
        </w:div>
        <w:div w:id="839274124">
          <w:marLeft w:val="230"/>
          <w:marRight w:val="0"/>
          <w:marTop w:val="0"/>
          <w:marBottom w:val="48"/>
          <w:divBdr>
            <w:top w:val="none" w:sz="0" w:space="0" w:color="auto"/>
            <w:left w:val="none" w:sz="0" w:space="0" w:color="auto"/>
            <w:bottom w:val="none" w:sz="0" w:space="0" w:color="auto"/>
            <w:right w:val="none" w:sz="0" w:space="0" w:color="auto"/>
          </w:divBdr>
        </w:div>
        <w:div w:id="855194581">
          <w:marLeft w:val="1181"/>
          <w:marRight w:val="0"/>
          <w:marTop w:val="0"/>
          <w:marBottom w:val="48"/>
          <w:divBdr>
            <w:top w:val="none" w:sz="0" w:space="0" w:color="auto"/>
            <w:left w:val="none" w:sz="0" w:space="0" w:color="auto"/>
            <w:bottom w:val="none" w:sz="0" w:space="0" w:color="auto"/>
            <w:right w:val="none" w:sz="0" w:space="0" w:color="auto"/>
          </w:divBdr>
        </w:div>
        <w:div w:id="2030598879">
          <w:marLeft w:val="230"/>
          <w:marRight w:val="0"/>
          <w:marTop w:val="0"/>
          <w:marBottom w:val="48"/>
          <w:divBdr>
            <w:top w:val="none" w:sz="0" w:space="0" w:color="auto"/>
            <w:left w:val="none" w:sz="0" w:space="0" w:color="auto"/>
            <w:bottom w:val="none" w:sz="0" w:space="0" w:color="auto"/>
            <w:right w:val="none" w:sz="0" w:space="0" w:color="auto"/>
          </w:divBdr>
        </w:div>
        <w:div w:id="2042124918">
          <w:marLeft w:val="230"/>
          <w:marRight w:val="0"/>
          <w:marTop w:val="0"/>
          <w:marBottom w:val="48"/>
          <w:divBdr>
            <w:top w:val="none" w:sz="0" w:space="0" w:color="auto"/>
            <w:left w:val="none" w:sz="0" w:space="0" w:color="auto"/>
            <w:bottom w:val="none" w:sz="0" w:space="0" w:color="auto"/>
            <w:right w:val="none" w:sz="0" w:space="0" w:color="auto"/>
          </w:divBdr>
        </w:div>
      </w:divsChild>
    </w:div>
    <w:div w:id="2029523504">
      <w:bodyDiv w:val="1"/>
      <w:marLeft w:val="0"/>
      <w:marRight w:val="0"/>
      <w:marTop w:val="0"/>
      <w:marBottom w:val="0"/>
      <w:divBdr>
        <w:top w:val="none" w:sz="0" w:space="0" w:color="auto"/>
        <w:left w:val="none" w:sz="0" w:space="0" w:color="auto"/>
        <w:bottom w:val="none" w:sz="0" w:space="0" w:color="auto"/>
        <w:right w:val="none" w:sz="0" w:space="0" w:color="auto"/>
      </w:divBdr>
      <w:divsChild>
        <w:div w:id="895168779">
          <w:marLeft w:val="259"/>
          <w:marRight w:val="0"/>
          <w:marTop w:val="0"/>
          <w:marBottom w:val="0"/>
          <w:divBdr>
            <w:top w:val="none" w:sz="0" w:space="0" w:color="auto"/>
            <w:left w:val="none" w:sz="0" w:space="0" w:color="auto"/>
            <w:bottom w:val="none" w:sz="0" w:space="0" w:color="auto"/>
            <w:right w:val="none" w:sz="0" w:space="0" w:color="auto"/>
          </w:divBdr>
        </w:div>
        <w:div w:id="1414354833">
          <w:marLeft w:val="1080"/>
          <w:marRight w:val="0"/>
          <w:marTop w:val="0"/>
          <w:marBottom w:val="0"/>
          <w:divBdr>
            <w:top w:val="none" w:sz="0" w:space="0" w:color="auto"/>
            <w:left w:val="none" w:sz="0" w:space="0" w:color="auto"/>
            <w:bottom w:val="none" w:sz="0" w:space="0" w:color="auto"/>
            <w:right w:val="none" w:sz="0" w:space="0" w:color="auto"/>
          </w:divBdr>
        </w:div>
      </w:divsChild>
    </w:div>
    <w:div w:id="2039425973">
      <w:bodyDiv w:val="1"/>
      <w:marLeft w:val="0"/>
      <w:marRight w:val="0"/>
      <w:marTop w:val="0"/>
      <w:marBottom w:val="0"/>
      <w:divBdr>
        <w:top w:val="none" w:sz="0" w:space="0" w:color="auto"/>
        <w:left w:val="none" w:sz="0" w:space="0" w:color="auto"/>
        <w:bottom w:val="none" w:sz="0" w:space="0" w:color="auto"/>
        <w:right w:val="none" w:sz="0" w:space="0" w:color="auto"/>
      </w:divBdr>
      <w:divsChild>
        <w:div w:id="1827238269">
          <w:marLeft w:val="0"/>
          <w:marRight w:val="0"/>
          <w:marTop w:val="0"/>
          <w:marBottom w:val="0"/>
          <w:divBdr>
            <w:top w:val="none" w:sz="0" w:space="0" w:color="auto"/>
            <w:left w:val="none" w:sz="0" w:space="0" w:color="auto"/>
            <w:bottom w:val="none" w:sz="0" w:space="0" w:color="auto"/>
            <w:right w:val="none" w:sz="0" w:space="0" w:color="auto"/>
          </w:divBdr>
        </w:div>
      </w:divsChild>
    </w:div>
    <w:div w:id="2052144829">
      <w:bodyDiv w:val="1"/>
      <w:marLeft w:val="0"/>
      <w:marRight w:val="0"/>
      <w:marTop w:val="0"/>
      <w:marBottom w:val="0"/>
      <w:divBdr>
        <w:top w:val="none" w:sz="0" w:space="0" w:color="auto"/>
        <w:left w:val="none" w:sz="0" w:space="0" w:color="auto"/>
        <w:bottom w:val="none" w:sz="0" w:space="0" w:color="auto"/>
        <w:right w:val="none" w:sz="0" w:space="0" w:color="auto"/>
      </w:divBdr>
      <w:divsChild>
        <w:div w:id="392507181">
          <w:marLeft w:val="259"/>
          <w:marRight w:val="0"/>
          <w:marTop w:val="0"/>
          <w:marBottom w:val="0"/>
          <w:divBdr>
            <w:top w:val="none" w:sz="0" w:space="0" w:color="auto"/>
            <w:left w:val="none" w:sz="0" w:space="0" w:color="auto"/>
            <w:bottom w:val="none" w:sz="0" w:space="0" w:color="auto"/>
            <w:right w:val="none" w:sz="0" w:space="0" w:color="auto"/>
          </w:divBdr>
        </w:div>
        <w:div w:id="1281645783">
          <w:marLeft w:val="259"/>
          <w:marRight w:val="0"/>
          <w:marTop w:val="0"/>
          <w:marBottom w:val="0"/>
          <w:divBdr>
            <w:top w:val="none" w:sz="0" w:space="0" w:color="auto"/>
            <w:left w:val="none" w:sz="0" w:space="0" w:color="auto"/>
            <w:bottom w:val="none" w:sz="0" w:space="0" w:color="auto"/>
            <w:right w:val="none" w:sz="0" w:space="0" w:color="auto"/>
          </w:divBdr>
        </w:div>
        <w:div w:id="1467552616">
          <w:marLeft w:val="259"/>
          <w:marRight w:val="0"/>
          <w:marTop w:val="0"/>
          <w:marBottom w:val="0"/>
          <w:divBdr>
            <w:top w:val="none" w:sz="0" w:space="0" w:color="auto"/>
            <w:left w:val="none" w:sz="0" w:space="0" w:color="auto"/>
            <w:bottom w:val="none" w:sz="0" w:space="0" w:color="auto"/>
            <w:right w:val="none" w:sz="0" w:space="0" w:color="auto"/>
          </w:divBdr>
        </w:div>
        <w:div w:id="1555317216">
          <w:marLeft w:val="259"/>
          <w:marRight w:val="0"/>
          <w:marTop w:val="0"/>
          <w:marBottom w:val="0"/>
          <w:divBdr>
            <w:top w:val="none" w:sz="0" w:space="0" w:color="auto"/>
            <w:left w:val="none" w:sz="0" w:space="0" w:color="auto"/>
            <w:bottom w:val="none" w:sz="0" w:space="0" w:color="auto"/>
            <w:right w:val="none" w:sz="0" w:space="0" w:color="auto"/>
          </w:divBdr>
        </w:div>
      </w:divsChild>
    </w:div>
    <w:div w:id="2064937026">
      <w:bodyDiv w:val="1"/>
      <w:marLeft w:val="0"/>
      <w:marRight w:val="0"/>
      <w:marTop w:val="0"/>
      <w:marBottom w:val="0"/>
      <w:divBdr>
        <w:top w:val="none" w:sz="0" w:space="0" w:color="auto"/>
        <w:left w:val="none" w:sz="0" w:space="0" w:color="auto"/>
        <w:bottom w:val="none" w:sz="0" w:space="0" w:color="auto"/>
        <w:right w:val="none" w:sz="0" w:space="0" w:color="auto"/>
      </w:divBdr>
    </w:div>
    <w:div w:id="2069063035">
      <w:bodyDiv w:val="1"/>
      <w:marLeft w:val="0"/>
      <w:marRight w:val="0"/>
      <w:marTop w:val="0"/>
      <w:marBottom w:val="0"/>
      <w:divBdr>
        <w:top w:val="none" w:sz="0" w:space="0" w:color="auto"/>
        <w:left w:val="none" w:sz="0" w:space="0" w:color="auto"/>
        <w:bottom w:val="none" w:sz="0" w:space="0" w:color="auto"/>
        <w:right w:val="none" w:sz="0" w:space="0" w:color="auto"/>
      </w:divBdr>
    </w:div>
    <w:div w:id="212789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Parliamentary_Business/Committees/Senate/Community_Affairs/ProsthesesListFramework/Report" TargetMode="External"/><Relationship Id="rId2" Type="http://schemas.openxmlformats.org/officeDocument/2006/relationships/hyperlink" Target="https://www.health.gov.au/committees-and-groups/prostheses-list-advisory-committee-plac" TargetMode="External"/><Relationship Id="rId1" Type="http://schemas.openxmlformats.org/officeDocument/2006/relationships/hyperlink" Target="https://www1.health.gov.au/internet/hta/publishing.nsf/Content/about-1" TargetMode="External"/><Relationship Id="rId4" Type="http://schemas.openxmlformats.org/officeDocument/2006/relationships/hyperlink" Target="https://www.health.gov.au/health-topics/private-health-insurance/the-prostheses-list" TargetMode="External"/></Relationships>
</file>

<file path=word/theme/theme1.xml><?xml version="1.0" encoding="utf-8"?>
<a:theme xmlns:a="http://schemas.openxmlformats.org/drawingml/2006/main" name="Office Theme">
  <a:themeElements>
    <a:clrScheme name="EY Color">
      <a:dk1>
        <a:srgbClr val="2E2E38"/>
      </a:dk1>
      <a:lt1>
        <a:sysClr val="window" lastClr="FFFFFF"/>
      </a:lt1>
      <a:dk2>
        <a:srgbClr val="FFE600"/>
      </a:dk2>
      <a:lt2>
        <a:srgbClr val="000000"/>
      </a:lt2>
      <a:accent1>
        <a:srgbClr val="2DB757"/>
      </a:accent1>
      <a:accent2>
        <a:srgbClr val="27ACAA"/>
      </a:accent2>
      <a:accent3>
        <a:srgbClr val="188CE5"/>
      </a:accent3>
      <a:accent4>
        <a:srgbClr val="3D108A"/>
      </a:accent4>
      <a:accent5>
        <a:srgbClr val="FF4136"/>
      </a:accent5>
      <a:accent6>
        <a:srgbClr val="FF6D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EY colors">
        <a:dk1>
          <a:srgbClr val="000000"/>
        </a:dk1>
        <a:lt1>
          <a:srgbClr val="646464"/>
        </a:lt1>
        <a:dk2>
          <a:srgbClr val="FFFFFF"/>
        </a:dk2>
        <a:lt2>
          <a:srgbClr val="646464"/>
        </a:lt2>
        <a:accent1>
          <a:srgbClr val="808080"/>
        </a:accent1>
        <a:accent2>
          <a:srgbClr val="FFE600"/>
        </a:accent2>
        <a:accent3>
          <a:srgbClr val="999999"/>
        </a:accent3>
        <a:accent4>
          <a:srgbClr val="F0F0F0"/>
        </a:accent4>
        <a:accent5>
          <a:srgbClr val="00A3AE"/>
        </a:accent5>
        <a:accent6>
          <a:srgbClr val="C0C0C0"/>
        </a:accent6>
        <a:hlink>
          <a:srgbClr val="336699"/>
        </a:hlink>
        <a:folHlink>
          <a:srgbClr val="91278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A67B-B7E3-4F5A-BB08-EEBF6312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21764</Words>
  <Characters>123621</Characters>
  <Application>Microsoft Office Word</Application>
  <DocSecurity>0</DocSecurity>
  <Lines>2747</Lines>
  <Paragraphs>1181</Paragraphs>
  <ScaleCrop>false</ScaleCrop>
  <HeadingPairs>
    <vt:vector size="2" baseType="variant">
      <vt:variant>
        <vt:lpstr>Title</vt:lpstr>
      </vt:variant>
      <vt:variant>
        <vt:i4>1</vt:i4>
      </vt:variant>
    </vt:vector>
  </HeadingPairs>
  <TitlesOfParts>
    <vt:vector size="1" baseType="lpstr">
      <vt:lpstr>Review of the Prostheses List Advisory committee  and associated sub-committees</vt:lpstr>
    </vt:vector>
  </TitlesOfParts>
  <Manager/>
  <Company/>
  <LinksUpToDate>false</LinksUpToDate>
  <CharactersWithSpaces>144204</CharactersWithSpaces>
  <SharedDoc>false</SharedDoc>
  <HLinks>
    <vt:vector size="180" baseType="variant">
      <vt:variant>
        <vt:i4>1966136</vt:i4>
      </vt:variant>
      <vt:variant>
        <vt:i4>140</vt:i4>
      </vt:variant>
      <vt:variant>
        <vt:i4>0</vt:i4>
      </vt:variant>
      <vt:variant>
        <vt:i4>5</vt:i4>
      </vt:variant>
      <vt:variant>
        <vt:lpwstr/>
      </vt:variant>
      <vt:variant>
        <vt:lpwstr>_Toc77329458</vt:lpwstr>
      </vt:variant>
      <vt:variant>
        <vt:i4>1114168</vt:i4>
      </vt:variant>
      <vt:variant>
        <vt:i4>134</vt:i4>
      </vt:variant>
      <vt:variant>
        <vt:i4>0</vt:i4>
      </vt:variant>
      <vt:variant>
        <vt:i4>5</vt:i4>
      </vt:variant>
      <vt:variant>
        <vt:lpwstr/>
      </vt:variant>
      <vt:variant>
        <vt:lpwstr>_Toc77329457</vt:lpwstr>
      </vt:variant>
      <vt:variant>
        <vt:i4>1048632</vt:i4>
      </vt:variant>
      <vt:variant>
        <vt:i4>128</vt:i4>
      </vt:variant>
      <vt:variant>
        <vt:i4>0</vt:i4>
      </vt:variant>
      <vt:variant>
        <vt:i4>5</vt:i4>
      </vt:variant>
      <vt:variant>
        <vt:lpwstr/>
      </vt:variant>
      <vt:variant>
        <vt:lpwstr>_Toc77329456</vt:lpwstr>
      </vt:variant>
      <vt:variant>
        <vt:i4>1376312</vt:i4>
      </vt:variant>
      <vt:variant>
        <vt:i4>122</vt:i4>
      </vt:variant>
      <vt:variant>
        <vt:i4>0</vt:i4>
      </vt:variant>
      <vt:variant>
        <vt:i4>5</vt:i4>
      </vt:variant>
      <vt:variant>
        <vt:lpwstr/>
      </vt:variant>
      <vt:variant>
        <vt:lpwstr>_Toc77329453</vt:lpwstr>
      </vt:variant>
      <vt:variant>
        <vt:i4>1310776</vt:i4>
      </vt:variant>
      <vt:variant>
        <vt:i4>116</vt:i4>
      </vt:variant>
      <vt:variant>
        <vt:i4>0</vt:i4>
      </vt:variant>
      <vt:variant>
        <vt:i4>5</vt:i4>
      </vt:variant>
      <vt:variant>
        <vt:lpwstr/>
      </vt:variant>
      <vt:variant>
        <vt:lpwstr>_Toc77329452</vt:lpwstr>
      </vt:variant>
      <vt:variant>
        <vt:i4>1507384</vt:i4>
      </vt:variant>
      <vt:variant>
        <vt:i4>110</vt:i4>
      </vt:variant>
      <vt:variant>
        <vt:i4>0</vt:i4>
      </vt:variant>
      <vt:variant>
        <vt:i4>5</vt:i4>
      </vt:variant>
      <vt:variant>
        <vt:lpwstr/>
      </vt:variant>
      <vt:variant>
        <vt:lpwstr>_Toc77329451</vt:lpwstr>
      </vt:variant>
      <vt:variant>
        <vt:i4>1441848</vt:i4>
      </vt:variant>
      <vt:variant>
        <vt:i4>104</vt:i4>
      </vt:variant>
      <vt:variant>
        <vt:i4>0</vt:i4>
      </vt:variant>
      <vt:variant>
        <vt:i4>5</vt:i4>
      </vt:variant>
      <vt:variant>
        <vt:lpwstr/>
      </vt:variant>
      <vt:variant>
        <vt:lpwstr>_Toc77329450</vt:lpwstr>
      </vt:variant>
      <vt:variant>
        <vt:i4>2031673</vt:i4>
      </vt:variant>
      <vt:variant>
        <vt:i4>98</vt:i4>
      </vt:variant>
      <vt:variant>
        <vt:i4>0</vt:i4>
      </vt:variant>
      <vt:variant>
        <vt:i4>5</vt:i4>
      </vt:variant>
      <vt:variant>
        <vt:lpwstr/>
      </vt:variant>
      <vt:variant>
        <vt:lpwstr>_Toc77329449</vt:lpwstr>
      </vt:variant>
      <vt:variant>
        <vt:i4>1114169</vt:i4>
      </vt:variant>
      <vt:variant>
        <vt:i4>92</vt:i4>
      </vt:variant>
      <vt:variant>
        <vt:i4>0</vt:i4>
      </vt:variant>
      <vt:variant>
        <vt:i4>5</vt:i4>
      </vt:variant>
      <vt:variant>
        <vt:lpwstr/>
      </vt:variant>
      <vt:variant>
        <vt:lpwstr>_Toc77329447</vt:lpwstr>
      </vt:variant>
      <vt:variant>
        <vt:i4>1048633</vt:i4>
      </vt:variant>
      <vt:variant>
        <vt:i4>86</vt:i4>
      </vt:variant>
      <vt:variant>
        <vt:i4>0</vt:i4>
      </vt:variant>
      <vt:variant>
        <vt:i4>5</vt:i4>
      </vt:variant>
      <vt:variant>
        <vt:lpwstr/>
      </vt:variant>
      <vt:variant>
        <vt:lpwstr>_Toc77329446</vt:lpwstr>
      </vt:variant>
      <vt:variant>
        <vt:i4>1245241</vt:i4>
      </vt:variant>
      <vt:variant>
        <vt:i4>80</vt:i4>
      </vt:variant>
      <vt:variant>
        <vt:i4>0</vt:i4>
      </vt:variant>
      <vt:variant>
        <vt:i4>5</vt:i4>
      </vt:variant>
      <vt:variant>
        <vt:lpwstr/>
      </vt:variant>
      <vt:variant>
        <vt:lpwstr>_Toc77329445</vt:lpwstr>
      </vt:variant>
      <vt:variant>
        <vt:i4>1179705</vt:i4>
      </vt:variant>
      <vt:variant>
        <vt:i4>74</vt:i4>
      </vt:variant>
      <vt:variant>
        <vt:i4>0</vt:i4>
      </vt:variant>
      <vt:variant>
        <vt:i4>5</vt:i4>
      </vt:variant>
      <vt:variant>
        <vt:lpwstr/>
      </vt:variant>
      <vt:variant>
        <vt:lpwstr>_Toc77329444</vt:lpwstr>
      </vt:variant>
      <vt:variant>
        <vt:i4>1376313</vt:i4>
      </vt:variant>
      <vt:variant>
        <vt:i4>68</vt:i4>
      </vt:variant>
      <vt:variant>
        <vt:i4>0</vt:i4>
      </vt:variant>
      <vt:variant>
        <vt:i4>5</vt:i4>
      </vt:variant>
      <vt:variant>
        <vt:lpwstr/>
      </vt:variant>
      <vt:variant>
        <vt:lpwstr>_Toc77329443</vt:lpwstr>
      </vt:variant>
      <vt:variant>
        <vt:i4>1310777</vt:i4>
      </vt:variant>
      <vt:variant>
        <vt:i4>62</vt:i4>
      </vt:variant>
      <vt:variant>
        <vt:i4>0</vt:i4>
      </vt:variant>
      <vt:variant>
        <vt:i4>5</vt:i4>
      </vt:variant>
      <vt:variant>
        <vt:lpwstr/>
      </vt:variant>
      <vt:variant>
        <vt:lpwstr>_Toc77329442</vt:lpwstr>
      </vt:variant>
      <vt:variant>
        <vt:i4>1507385</vt:i4>
      </vt:variant>
      <vt:variant>
        <vt:i4>56</vt:i4>
      </vt:variant>
      <vt:variant>
        <vt:i4>0</vt:i4>
      </vt:variant>
      <vt:variant>
        <vt:i4>5</vt:i4>
      </vt:variant>
      <vt:variant>
        <vt:lpwstr/>
      </vt:variant>
      <vt:variant>
        <vt:lpwstr>_Toc77329441</vt:lpwstr>
      </vt:variant>
      <vt:variant>
        <vt:i4>1441849</vt:i4>
      </vt:variant>
      <vt:variant>
        <vt:i4>50</vt:i4>
      </vt:variant>
      <vt:variant>
        <vt:i4>0</vt:i4>
      </vt:variant>
      <vt:variant>
        <vt:i4>5</vt:i4>
      </vt:variant>
      <vt:variant>
        <vt:lpwstr/>
      </vt:variant>
      <vt:variant>
        <vt:lpwstr>_Toc77329440</vt:lpwstr>
      </vt:variant>
      <vt:variant>
        <vt:i4>2031678</vt:i4>
      </vt:variant>
      <vt:variant>
        <vt:i4>44</vt:i4>
      </vt:variant>
      <vt:variant>
        <vt:i4>0</vt:i4>
      </vt:variant>
      <vt:variant>
        <vt:i4>5</vt:i4>
      </vt:variant>
      <vt:variant>
        <vt:lpwstr/>
      </vt:variant>
      <vt:variant>
        <vt:lpwstr>_Toc77329439</vt:lpwstr>
      </vt:variant>
      <vt:variant>
        <vt:i4>1966142</vt:i4>
      </vt:variant>
      <vt:variant>
        <vt:i4>38</vt:i4>
      </vt:variant>
      <vt:variant>
        <vt:i4>0</vt:i4>
      </vt:variant>
      <vt:variant>
        <vt:i4>5</vt:i4>
      </vt:variant>
      <vt:variant>
        <vt:lpwstr/>
      </vt:variant>
      <vt:variant>
        <vt:lpwstr>_Toc77329438</vt:lpwstr>
      </vt:variant>
      <vt:variant>
        <vt:i4>1114174</vt:i4>
      </vt:variant>
      <vt:variant>
        <vt:i4>32</vt:i4>
      </vt:variant>
      <vt:variant>
        <vt:i4>0</vt:i4>
      </vt:variant>
      <vt:variant>
        <vt:i4>5</vt:i4>
      </vt:variant>
      <vt:variant>
        <vt:lpwstr/>
      </vt:variant>
      <vt:variant>
        <vt:lpwstr>_Toc77329437</vt:lpwstr>
      </vt:variant>
      <vt:variant>
        <vt:i4>1048638</vt:i4>
      </vt:variant>
      <vt:variant>
        <vt:i4>26</vt:i4>
      </vt:variant>
      <vt:variant>
        <vt:i4>0</vt:i4>
      </vt:variant>
      <vt:variant>
        <vt:i4>5</vt:i4>
      </vt:variant>
      <vt:variant>
        <vt:lpwstr/>
      </vt:variant>
      <vt:variant>
        <vt:lpwstr>_Toc77329436</vt:lpwstr>
      </vt:variant>
      <vt:variant>
        <vt:i4>1245246</vt:i4>
      </vt:variant>
      <vt:variant>
        <vt:i4>20</vt:i4>
      </vt:variant>
      <vt:variant>
        <vt:i4>0</vt:i4>
      </vt:variant>
      <vt:variant>
        <vt:i4>5</vt:i4>
      </vt:variant>
      <vt:variant>
        <vt:lpwstr/>
      </vt:variant>
      <vt:variant>
        <vt:lpwstr>_Toc77329435</vt:lpwstr>
      </vt:variant>
      <vt:variant>
        <vt:i4>1179710</vt:i4>
      </vt:variant>
      <vt:variant>
        <vt:i4>14</vt:i4>
      </vt:variant>
      <vt:variant>
        <vt:i4>0</vt:i4>
      </vt:variant>
      <vt:variant>
        <vt:i4>5</vt:i4>
      </vt:variant>
      <vt:variant>
        <vt:lpwstr/>
      </vt:variant>
      <vt:variant>
        <vt:lpwstr>_Toc77329434</vt:lpwstr>
      </vt:variant>
      <vt:variant>
        <vt:i4>1376318</vt:i4>
      </vt:variant>
      <vt:variant>
        <vt:i4>8</vt:i4>
      </vt:variant>
      <vt:variant>
        <vt:i4>0</vt:i4>
      </vt:variant>
      <vt:variant>
        <vt:i4>5</vt:i4>
      </vt:variant>
      <vt:variant>
        <vt:lpwstr/>
      </vt:variant>
      <vt:variant>
        <vt:lpwstr>_Toc77329433</vt:lpwstr>
      </vt:variant>
      <vt:variant>
        <vt:i4>1310782</vt:i4>
      </vt:variant>
      <vt:variant>
        <vt:i4>2</vt:i4>
      </vt:variant>
      <vt:variant>
        <vt:i4>0</vt:i4>
      </vt:variant>
      <vt:variant>
        <vt:i4>5</vt:i4>
      </vt:variant>
      <vt:variant>
        <vt:lpwstr/>
      </vt:variant>
      <vt:variant>
        <vt:lpwstr>_Toc77329432</vt:lpwstr>
      </vt:variant>
      <vt:variant>
        <vt:i4>2162748</vt:i4>
      </vt:variant>
      <vt:variant>
        <vt:i4>9</vt:i4>
      </vt:variant>
      <vt:variant>
        <vt:i4>0</vt:i4>
      </vt:variant>
      <vt:variant>
        <vt:i4>5</vt:i4>
      </vt:variant>
      <vt:variant>
        <vt:lpwstr>https://www.health.gov.au/health-topics/private-health-insurance/the-prostheses-list</vt:lpwstr>
      </vt:variant>
      <vt:variant>
        <vt:lpwstr>what-is-the-prostheses-list</vt:lpwstr>
      </vt:variant>
      <vt:variant>
        <vt:i4>7667808</vt:i4>
      </vt:variant>
      <vt:variant>
        <vt:i4>6</vt:i4>
      </vt:variant>
      <vt:variant>
        <vt:i4>0</vt:i4>
      </vt:variant>
      <vt:variant>
        <vt:i4>5</vt:i4>
      </vt:variant>
      <vt:variant>
        <vt:lpwstr>https://www.aph.gov.au/Parliamentary_Business/Committees/Senate/Community_Affairs/ProsthesesListFramework/Report</vt:lpwstr>
      </vt:variant>
      <vt:variant>
        <vt:lpwstr/>
      </vt:variant>
      <vt:variant>
        <vt:i4>6488185</vt:i4>
      </vt:variant>
      <vt:variant>
        <vt:i4>3</vt:i4>
      </vt:variant>
      <vt:variant>
        <vt:i4>0</vt:i4>
      </vt:variant>
      <vt:variant>
        <vt:i4>5</vt:i4>
      </vt:variant>
      <vt:variant>
        <vt:lpwstr>https://www.health.gov.au/committees-and-groups/prostheses-list-advisory-committee-plac</vt:lpwstr>
      </vt:variant>
      <vt:variant>
        <vt:lpwstr/>
      </vt:variant>
      <vt:variant>
        <vt:i4>7667751</vt:i4>
      </vt:variant>
      <vt:variant>
        <vt:i4>0</vt:i4>
      </vt:variant>
      <vt:variant>
        <vt:i4>0</vt:i4>
      </vt:variant>
      <vt:variant>
        <vt:i4>5</vt:i4>
      </vt:variant>
      <vt:variant>
        <vt:lpwstr>https://www1.health.gov.au/internet/hta/publishing.nsf/Content/about-1</vt:lpwstr>
      </vt:variant>
      <vt:variant>
        <vt:lpwstr/>
      </vt:variant>
      <vt:variant>
        <vt:i4>6815829</vt:i4>
      </vt:variant>
      <vt:variant>
        <vt:i4>3</vt:i4>
      </vt:variant>
      <vt:variant>
        <vt:i4>0</vt:i4>
      </vt:variant>
      <vt:variant>
        <vt:i4>5</vt:i4>
      </vt:variant>
      <vt:variant>
        <vt:lpwstr>mailto:Kelly.Hapgood@Health.gov.au</vt:lpwstr>
      </vt:variant>
      <vt:variant>
        <vt:lpwstr/>
      </vt:variant>
      <vt:variant>
        <vt:i4>6815829</vt:i4>
      </vt:variant>
      <vt:variant>
        <vt:i4>0</vt:i4>
      </vt:variant>
      <vt:variant>
        <vt:i4>0</vt:i4>
      </vt:variant>
      <vt:variant>
        <vt:i4>5</vt:i4>
      </vt:variant>
      <vt:variant>
        <vt:lpwstr>mailto:Kelly.Hapgood@Health.gov.au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Prostheses List Advisory committee  and associated sub-committees</dc:title>
  <dc:subject>Prostheses List</dc:subject>
  <dc:creator/>
  <cp:keywords>Prostheses List</cp:keywords>
  <dc:description/>
  <cp:lastModifiedBy/>
  <cp:revision>1</cp:revision>
  <dcterms:created xsi:type="dcterms:W3CDTF">2023-01-30T03:55:00Z</dcterms:created>
  <dcterms:modified xsi:type="dcterms:W3CDTF">2023-01-30T03:55:00Z</dcterms:modified>
  <cp:contentStatus/>
</cp:coreProperties>
</file>