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595C" w14:textId="607FD9C0" w:rsidR="00751A23" w:rsidRDefault="00077A30" w:rsidP="00B7222E">
      <w:pPr>
        <w:pStyle w:val="Title"/>
      </w:pPr>
      <w:r>
        <w:t xml:space="preserve">Prostheses List Reforms </w:t>
      </w:r>
      <w:r w:rsidR="0022446C" w:rsidRPr="0022446C">
        <w:t>–</w:t>
      </w:r>
      <w:r>
        <w:t xml:space="preserve"> </w:t>
      </w:r>
    </w:p>
    <w:p w14:paraId="334EF32B" w14:textId="1985C7CC" w:rsidR="00CA79CF" w:rsidRDefault="00BE7C87"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Pre-Listing Assessment Framework and Governance Structure</w:t>
      </w:r>
    </w:p>
    <w:p w14:paraId="76D37576" w14:textId="75D578BC" w:rsidR="00100F6D" w:rsidRPr="0022446C" w:rsidRDefault="00100F6D" w:rsidP="0022446C"/>
    <w:sdt>
      <w:sdtPr>
        <w:id w:val="976576827"/>
        <w:docPartObj>
          <w:docPartGallery w:val="Table of Contents"/>
          <w:docPartUnique/>
        </w:docPartObj>
      </w:sdtPr>
      <w:sdtEndPr>
        <w:rPr>
          <w:rFonts w:eastAsia="Times New Roman" w:cs="Times New Roman"/>
          <w:b/>
          <w:bCs/>
          <w:noProof/>
          <w:color w:val="000000" w:themeColor="text1"/>
          <w:sz w:val="22"/>
          <w:szCs w:val="24"/>
          <w:lang w:val="en-AU"/>
        </w:rPr>
      </w:sdtEndPr>
      <w:sdtContent>
        <w:p w14:paraId="2F81EC67" w14:textId="4D6B013B" w:rsidR="00967ADE" w:rsidRDefault="00967ADE">
          <w:pPr>
            <w:pStyle w:val="TOCHeading"/>
          </w:pPr>
          <w:r>
            <w:t>Contents</w:t>
          </w:r>
        </w:p>
        <w:p w14:paraId="3B69801A" w14:textId="015C56B2" w:rsidR="00967ADE" w:rsidRDefault="00967ADE">
          <w:pPr>
            <w:pStyle w:val="TOC1"/>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5985690" w:history="1">
            <w:r w:rsidRPr="00CA3159">
              <w:rPr>
                <w:rStyle w:val="Hyperlink"/>
                <w:noProof/>
              </w:rPr>
              <w:t>Summary</w:t>
            </w:r>
            <w:r>
              <w:rPr>
                <w:noProof/>
                <w:webHidden/>
              </w:rPr>
              <w:tab/>
            </w:r>
            <w:r>
              <w:rPr>
                <w:noProof/>
                <w:webHidden/>
              </w:rPr>
              <w:fldChar w:fldCharType="begin"/>
            </w:r>
            <w:r>
              <w:rPr>
                <w:noProof/>
                <w:webHidden/>
              </w:rPr>
              <w:instrText xml:space="preserve"> PAGEREF _Toc125985690 \h </w:instrText>
            </w:r>
            <w:r>
              <w:rPr>
                <w:noProof/>
                <w:webHidden/>
              </w:rPr>
            </w:r>
            <w:r>
              <w:rPr>
                <w:noProof/>
                <w:webHidden/>
              </w:rPr>
              <w:fldChar w:fldCharType="separate"/>
            </w:r>
            <w:r>
              <w:rPr>
                <w:noProof/>
                <w:webHidden/>
              </w:rPr>
              <w:t>3</w:t>
            </w:r>
            <w:r>
              <w:rPr>
                <w:noProof/>
                <w:webHidden/>
              </w:rPr>
              <w:fldChar w:fldCharType="end"/>
            </w:r>
          </w:hyperlink>
        </w:p>
        <w:p w14:paraId="59643C70" w14:textId="649D2EEF" w:rsidR="00967ADE" w:rsidRDefault="00967ADE">
          <w:pPr>
            <w:pStyle w:val="TOC1"/>
            <w:rPr>
              <w:rFonts w:asciiTheme="minorHAnsi" w:eastAsiaTheme="minorEastAsia" w:hAnsiTheme="minorHAnsi" w:cstheme="minorBidi"/>
              <w:noProof/>
              <w:color w:val="auto"/>
              <w:szCs w:val="22"/>
              <w:lang w:eastAsia="en-AU"/>
            </w:rPr>
          </w:pPr>
          <w:hyperlink w:anchor="_Toc125985691" w:history="1">
            <w:r w:rsidRPr="00CA3159">
              <w:rPr>
                <w:rStyle w:val="Hyperlink"/>
                <w:noProof/>
              </w:rPr>
              <w:t>Existing arrangements</w:t>
            </w:r>
            <w:r>
              <w:rPr>
                <w:noProof/>
                <w:webHidden/>
              </w:rPr>
              <w:tab/>
            </w:r>
            <w:r>
              <w:rPr>
                <w:noProof/>
                <w:webHidden/>
              </w:rPr>
              <w:fldChar w:fldCharType="begin"/>
            </w:r>
            <w:r>
              <w:rPr>
                <w:noProof/>
                <w:webHidden/>
              </w:rPr>
              <w:instrText xml:space="preserve"> PAGEREF _Toc125985691 \h </w:instrText>
            </w:r>
            <w:r>
              <w:rPr>
                <w:noProof/>
                <w:webHidden/>
              </w:rPr>
            </w:r>
            <w:r>
              <w:rPr>
                <w:noProof/>
                <w:webHidden/>
              </w:rPr>
              <w:fldChar w:fldCharType="separate"/>
            </w:r>
            <w:r>
              <w:rPr>
                <w:noProof/>
                <w:webHidden/>
              </w:rPr>
              <w:t>4</w:t>
            </w:r>
            <w:r>
              <w:rPr>
                <w:noProof/>
                <w:webHidden/>
              </w:rPr>
              <w:fldChar w:fldCharType="end"/>
            </w:r>
          </w:hyperlink>
        </w:p>
        <w:p w14:paraId="756F6A1A" w14:textId="4014A437" w:rsidR="00967ADE" w:rsidRDefault="00967ADE">
          <w:pPr>
            <w:pStyle w:val="TOC1"/>
            <w:rPr>
              <w:rFonts w:asciiTheme="minorHAnsi" w:eastAsiaTheme="minorEastAsia" w:hAnsiTheme="minorHAnsi" w:cstheme="minorBidi"/>
              <w:noProof/>
              <w:color w:val="auto"/>
              <w:szCs w:val="22"/>
              <w:lang w:eastAsia="en-AU"/>
            </w:rPr>
          </w:pPr>
          <w:hyperlink w:anchor="_Toc125985692" w:history="1">
            <w:r w:rsidRPr="00CA3159">
              <w:rPr>
                <w:rStyle w:val="Hyperlink"/>
                <w:noProof/>
              </w:rPr>
              <w:t>Departmental response to EY Report</w:t>
            </w:r>
            <w:r>
              <w:rPr>
                <w:noProof/>
                <w:webHidden/>
              </w:rPr>
              <w:tab/>
            </w:r>
            <w:r>
              <w:rPr>
                <w:noProof/>
                <w:webHidden/>
              </w:rPr>
              <w:fldChar w:fldCharType="begin"/>
            </w:r>
            <w:r>
              <w:rPr>
                <w:noProof/>
                <w:webHidden/>
              </w:rPr>
              <w:instrText xml:space="preserve"> PAGEREF _Toc125985692 \h </w:instrText>
            </w:r>
            <w:r>
              <w:rPr>
                <w:noProof/>
                <w:webHidden/>
              </w:rPr>
            </w:r>
            <w:r>
              <w:rPr>
                <w:noProof/>
                <w:webHidden/>
              </w:rPr>
              <w:fldChar w:fldCharType="separate"/>
            </w:r>
            <w:r>
              <w:rPr>
                <w:noProof/>
                <w:webHidden/>
              </w:rPr>
              <w:t>5</w:t>
            </w:r>
            <w:r>
              <w:rPr>
                <w:noProof/>
                <w:webHidden/>
              </w:rPr>
              <w:fldChar w:fldCharType="end"/>
            </w:r>
          </w:hyperlink>
        </w:p>
        <w:p w14:paraId="4E466A58" w14:textId="0E658A45" w:rsidR="00967ADE" w:rsidRDefault="00967ADE">
          <w:pPr>
            <w:pStyle w:val="TOC1"/>
            <w:rPr>
              <w:rFonts w:asciiTheme="minorHAnsi" w:eastAsiaTheme="minorEastAsia" w:hAnsiTheme="minorHAnsi" w:cstheme="minorBidi"/>
              <w:noProof/>
              <w:color w:val="auto"/>
              <w:szCs w:val="22"/>
              <w:lang w:eastAsia="en-AU"/>
            </w:rPr>
          </w:pPr>
          <w:hyperlink w:anchor="_Toc125985693" w:history="1">
            <w:r w:rsidRPr="00CA3159">
              <w:rPr>
                <w:rStyle w:val="Hyperlink"/>
                <w:noProof/>
              </w:rPr>
              <w:t>Departmental response to AHTA Report</w:t>
            </w:r>
            <w:r>
              <w:rPr>
                <w:noProof/>
                <w:webHidden/>
              </w:rPr>
              <w:tab/>
            </w:r>
            <w:r>
              <w:rPr>
                <w:noProof/>
                <w:webHidden/>
              </w:rPr>
              <w:fldChar w:fldCharType="begin"/>
            </w:r>
            <w:r>
              <w:rPr>
                <w:noProof/>
                <w:webHidden/>
              </w:rPr>
              <w:instrText xml:space="preserve"> PAGEREF _Toc125985693 \h </w:instrText>
            </w:r>
            <w:r>
              <w:rPr>
                <w:noProof/>
                <w:webHidden/>
              </w:rPr>
            </w:r>
            <w:r>
              <w:rPr>
                <w:noProof/>
                <w:webHidden/>
              </w:rPr>
              <w:fldChar w:fldCharType="separate"/>
            </w:r>
            <w:r>
              <w:rPr>
                <w:noProof/>
                <w:webHidden/>
              </w:rPr>
              <w:t>5</w:t>
            </w:r>
            <w:r>
              <w:rPr>
                <w:noProof/>
                <w:webHidden/>
              </w:rPr>
              <w:fldChar w:fldCharType="end"/>
            </w:r>
          </w:hyperlink>
        </w:p>
        <w:p w14:paraId="7E6A9864" w14:textId="457753A3" w:rsidR="00967ADE" w:rsidRDefault="00967ADE">
          <w:pPr>
            <w:pStyle w:val="TOC2"/>
            <w:tabs>
              <w:tab w:val="right" w:leader="dot" w:pos="9060"/>
            </w:tabs>
            <w:rPr>
              <w:rFonts w:asciiTheme="minorHAnsi" w:eastAsiaTheme="minorEastAsia" w:hAnsiTheme="minorHAnsi" w:cstheme="minorBidi"/>
              <w:noProof/>
              <w:color w:val="auto"/>
              <w:szCs w:val="22"/>
              <w:lang w:eastAsia="en-AU"/>
            </w:rPr>
          </w:pPr>
          <w:hyperlink w:anchor="_Toc125985694" w:history="1">
            <w:r w:rsidRPr="00CA3159">
              <w:rPr>
                <w:rStyle w:val="Hyperlink"/>
                <w:rFonts w:eastAsiaTheme="minorHAnsi"/>
                <w:noProof/>
              </w:rPr>
              <w:t>Optimising the current PLAC – proposed structure of the MDHTAC</w:t>
            </w:r>
            <w:r>
              <w:rPr>
                <w:noProof/>
                <w:webHidden/>
              </w:rPr>
              <w:tab/>
            </w:r>
            <w:r>
              <w:rPr>
                <w:noProof/>
                <w:webHidden/>
              </w:rPr>
              <w:fldChar w:fldCharType="begin"/>
            </w:r>
            <w:r>
              <w:rPr>
                <w:noProof/>
                <w:webHidden/>
              </w:rPr>
              <w:instrText xml:space="preserve"> PAGEREF _Toc125985694 \h </w:instrText>
            </w:r>
            <w:r>
              <w:rPr>
                <w:noProof/>
                <w:webHidden/>
              </w:rPr>
            </w:r>
            <w:r>
              <w:rPr>
                <w:noProof/>
                <w:webHidden/>
              </w:rPr>
              <w:fldChar w:fldCharType="separate"/>
            </w:r>
            <w:r>
              <w:rPr>
                <w:noProof/>
                <w:webHidden/>
              </w:rPr>
              <w:t>6</w:t>
            </w:r>
            <w:r>
              <w:rPr>
                <w:noProof/>
                <w:webHidden/>
              </w:rPr>
              <w:fldChar w:fldCharType="end"/>
            </w:r>
          </w:hyperlink>
        </w:p>
        <w:p w14:paraId="5A654025" w14:textId="182D5C74" w:rsidR="00967ADE" w:rsidRDefault="00967ADE">
          <w:pPr>
            <w:pStyle w:val="TOC2"/>
            <w:tabs>
              <w:tab w:val="right" w:leader="dot" w:pos="9060"/>
            </w:tabs>
            <w:rPr>
              <w:rFonts w:asciiTheme="minorHAnsi" w:eastAsiaTheme="minorEastAsia" w:hAnsiTheme="minorHAnsi" w:cstheme="minorBidi"/>
              <w:noProof/>
              <w:color w:val="auto"/>
              <w:szCs w:val="22"/>
              <w:lang w:eastAsia="en-AU"/>
            </w:rPr>
          </w:pPr>
          <w:hyperlink w:anchor="_Toc125985695" w:history="1">
            <w:r w:rsidRPr="00CA3159">
              <w:rPr>
                <w:rStyle w:val="Hyperlink"/>
                <w:rFonts w:eastAsiaTheme="minorHAnsi"/>
                <w:noProof/>
              </w:rPr>
              <w:t>The role of Industry representation</w:t>
            </w:r>
            <w:r>
              <w:rPr>
                <w:noProof/>
                <w:webHidden/>
              </w:rPr>
              <w:tab/>
            </w:r>
            <w:r>
              <w:rPr>
                <w:noProof/>
                <w:webHidden/>
              </w:rPr>
              <w:fldChar w:fldCharType="begin"/>
            </w:r>
            <w:r>
              <w:rPr>
                <w:noProof/>
                <w:webHidden/>
              </w:rPr>
              <w:instrText xml:space="preserve"> PAGEREF _Toc125985695 \h </w:instrText>
            </w:r>
            <w:r>
              <w:rPr>
                <w:noProof/>
                <w:webHidden/>
              </w:rPr>
            </w:r>
            <w:r>
              <w:rPr>
                <w:noProof/>
                <w:webHidden/>
              </w:rPr>
              <w:fldChar w:fldCharType="separate"/>
            </w:r>
            <w:r>
              <w:rPr>
                <w:noProof/>
                <w:webHidden/>
              </w:rPr>
              <w:t>7</w:t>
            </w:r>
            <w:r>
              <w:rPr>
                <w:noProof/>
                <w:webHidden/>
              </w:rPr>
              <w:fldChar w:fldCharType="end"/>
            </w:r>
          </w:hyperlink>
        </w:p>
        <w:p w14:paraId="795AA32E" w14:textId="541091CA" w:rsidR="00967ADE" w:rsidRDefault="00967ADE">
          <w:pPr>
            <w:pStyle w:val="TOC2"/>
            <w:tabs>
              <w:tab w:val="right" w:leader="dot" w:pos="9060"/>
            </w:tabs>
            <w:rPr>
              <w:rFonts w:asciiTheme="minorHAnsi" w:eastAsiaTheme="minorEastAsia" w:hAnsiTheme="minorHAnsi" w:cstheme="minorBidi"/>
              <w:noProof/>
              <w:color w:val="auto"/>
              <w:szCs w:val="22"/>
              <w:lang w:eastAsia="en-AU"/>
            </w:rPr>
          </w:pPr>
          <w:hyperlink w:anchor="_Toc125985696" w:history="1">
            <w:r w:rsidRPr="00CA3159">
              <w:rPr>
                <w:rStyle w:val="Hyperlink"/>
                <w:rFonts w:eastAsiaTheme="minorHAnsi"/>
                <w:noProof/>
              </w:rPr>
              <w:t>Publication of Committee Outcomes</w:t>
            </w:r>
            <w:r>
              <w:rPr>
                <w:noProof/>
                <w:webHidden/>
              </w:rPr>
              <w:tab/>
            </w:r>
            <w:r>
              <w:rPr>
                <w:noProof/>
                <w:webHidden/>
              </w:rPr>
              <w:fldChar w:fldCharType="begin"/>
            </w:r>
            <w:r>
              <w:rPr>
                <w:noProof/>
                <w:webHidden/>
              </w:rPr>
              <w:instrText xml:space="preserve"> PAGEREF _Toc125985696 \h </w:instrText>
            </w:r>
            <w:r>
              <w:rPr>
                <w:noProof/>
                <w:webHidden/>
              </w:rPr>
            </w:r>
            <w:r>
              <w:rPr>
                <w:noProof/>
                <w:webHidden/>
              </w:rPr>
              <w:fldChar w:fldCharType="separate"/>
            </w:r>
            <w:r>
              <w:rPr>
                <w:noProof/>
                <w:webHidden/>
              </w:rPr>
              <w:t>7</w:t>
            </w:r>
            <w:r>
              <w:rPr>
                <w:noProof/>
                <w:webHidden/>
              </w:rPr>
              <w:fldChar w:fldCharType="end"/>
            </w:r>
          </w:hyperlink>
        </w:p>
        <w:p w14:paraId="2656F90C" w14:textId="1AB5D9A3" w:rsidR="00967ADE" w:rsidRDefault="00967ADE">
          <w:r>
            <w:rPr>
              <w:b/>
              <w:bCs/>
              <w:noProof/>
            </w:rPr>
            <w:fldChar w:fldCharType="end"/>
          </w:r>
        </w:p>
      </w:sdtContent>
    </w:sdt>
    <w:p w14:paraId="51B25FA8" w14:textId="77777777" w:rsidR="00544E23" w:rsidRDefault="00544E23" w:rsidP="00346C4A"/>
    <w:p w14:paraId="430C915D" w14:textId="77777777" w:rsidR="00544E23" w:rsidRPr="004D1339" w:rsidRDefault="00544E23" w:rsidP="00346C4A">
      <w:pPr>
        <w:sectPr w:rsidR="00544E23"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5134168E" w14:textId="77777777" w:rsidR="004935E5" w:rsidRPr="004D1339" w:rsidRDefault="004935E5" w:rsidP="0022446C">
      <w:pPr>
        <w:pStyle w:val="Heading1"/>
      </w:pPr>
      <w:bookmarkStart w:id="0" w:name="_Toc109724593"/>
      <w:bookmarkStart w:id="1" w:name="_Toc107491905"/>
      <w:bookmarkStart w:id="2" w:name="_Toc125985690"/>
      <w:r>
        <w:lastRenderedPageBreak/>
        <w:t>Summary</w:t>
      </w:r>
      <w:bookmarkEnd w:id="0"/>
      <w:bookmarkEnd w:id="2"/>
    </w:p>
    <w:p w14:paraId="035EEDBE" w14:textId="0C4CAC41" w:rsidR="004B50C0" w:rsidRPr="0022446C" w:rsidRDefault="004B50C0" w:rsidP="0022446C">
      <w:pPr>
        <w:rPr>
          <w:rFonts w:eastAsiaTheme="minorHAnsi"/>
        </w:rPr>
      </w:pPr>
      <w:r w:rsidRPr="0022446C">
        <w:rPr>
          <w:rFonts w:eastAsiaTheme="minorHAnsi"/>
        </w:rPr>
        <w:t xml:space="preserve">In January 2022, the Department of Health and Aged Care (the Department) released </w:t>
      </w:r>
      <w:r w:rsidRPr="00077A30">
        <w:rPr>
          <w:rFonts w:eastAsiaTheme="minorHAnsi" w:cstheme="minorBidi"/>
          <w:i/>
          <w:iCs/>
          <w:szCs w:val="22"/>
        </w:rPr>
        <w:t>Consultation Paper 3</w:t>
      </w:r>
      <w:r>
        <w:rPr>
          <w:rFonts w:eastAsiaTheme="minorHAnsi" w:cstheme="minorBidi"/>
          <w:i/>
          <w:iCs/>
          <w:szCs w:val="22"/>
        </w:rPr>
        <w:t>(a)</w:t>
      </w:r>
      <w:r w:rsidRPr="00077A30">
        <w:rPr>
          <w:rFonts w:eastAsiaTheme="minorHAnsi" w:cstheme="minorBidi"/>
          <w:i/>
          <w:iCs/>
          <w:szCs w:val="22"/>
        </w:rPr>
        <w:t xml:space="preserve"> – </w:t>
      </w:r>
      <w:bookmarkStart w:id="3" w:name="_Hlk108428129"/>
      <w:r w:rsidRPr="00077A30">
        <w:rPr>
          <w:rFonts w:eastAsiaTheme="minorHAnsi" w:cstheme="minorBidi"/>
          <w:i/>
          <w:iCs/>
          <w:szCs w:val="22"/>
        </w:rPr>
        <w:t>Prostheses List – A modernised fit-for-purpose listing process</w:t>
      </w:r>
      <w:bookmarkEnd w:id="3"/>
      <w:r w:rsidRPr="0022446C">
        <w:rPr>
          <w:rFonts w:eastAsiaTheme="minorHAnsi"/>
        </w:rPr>
        <w:t>.  The aim of the paper was to canvass stakeholder views on the proposed three-tiered approach to the assessment of Prostheses List (PL) Part A and Part C applications.</w:t>
      </w:r>
    </w:p>
    <w:p w14:paraId="6BD33F0E" w14:textId="77777777" w:rsidR="004B50C0" w:rsidRPr="00077A30" w:rsidRDefault="004B50C0" w:rsidP="0022446C">
      <w:pPr>
        <w:rPr>
          <w:rFonts w:eastAsiaTheme="minorHAnsi"/>
        </w:rPr>
      </w:pPr>
      <w:r w:rsidRPr="00077A30">
        <w:rPr>
          <w:rFonts w:eastAsiaTheme="minorHAnsi"/>
        </w:rPr>
        <w:t xml:space="preserve">A total of 34 submissions were received from stakeholders representing the medical technology sector, private hospitals, private health insurers, clinical </w:t>
      </w:r>
      <w:proofErr w:type="gramStart"/>
      <w:r w:rsidRPr="00077A30">
        <w:rPr>
          <w:rFonts w:eastAsiaTheme="minorHAnsi"/>
        </w:rPr>
        <w:t>societies</w:t>
      </w:r>
      <w:proofErr w:type="gramEnd"/>
      <w:r w:rsidRPr="00077A30">
        <w:rPr>
          <w:rFonts w:eastAsiaTheme="minorHAnsi"/>
        </w:rPr>
        <w:t xml:space="preserve"> and individual consultants.</w:t>
      </w:r>
    </w:p>
    <w:p w14:paraId="2226DC4C" w14:textId="77777777" w:rsidR="004B50C0" w:rsidRPr="0022446C" w:rsidRDefault="004B50C0" w:rsidP="0022446C">
      <w:pPr>
        <w:rPr>
          <w:rFonts w:eastAsiaTheme="minorHAnsi"/>
        </w:rPr>
      </w:pPr>
      <w:r w:rsidRPr="0022446C">
        <w:rPr>
          <w:rFonts w:eastAsiaTheme="minorHAnsi"/>
        </w:rPr>
        <w:t xml:space="preserve">The paper did not explore the review of governance arrangements associated with the PL listing </w:t>
      </w:r>
      <w:proofErr w:type="gramStart"/>
      <w:r w:rsidRPr="0022446C">
        <w:rPr>
          <w:rFonts w:eastAsiaTheme="minorHAnsi"/>
        </w:rPr>
        <w:t>process,</w:t>
      </w:r>
      <w:proofErr w:type="gramEnd"/>
      <w:r w:rsidRPr="0022446C">
        <w:rPr>
          <w:rFonts w:eastAsiaTheme="minorHAnsi"/>
        </w:rPr>
        <w:t xml:space="preserve"> however, the Department recognises many stakeholders did provide feedback including, but not limited to, the future role of the Prostheses List Advisory Committee (PLAC), Clinical Advisory Groups (CAGs) and their membership.</w:t>
      </w:r>
    </w:p>
    <w:p w14:paraId="47DE0BC7" w14:textId="77777777" w:rsidR="004B50C0" w:rsidRPr="0022446C" w:rsidRDefault="004B50C0" w:rsidP="0022446C">
      <w:pPr>
        <w:rPr>
          <w:rFonts w:eastAsiaTheme="minorHAnsi"/>
        </w:rPr>
      </w:pPr>
      <w:r w:rsidRPr="0022446C">
        <w:rPr>
          <w:rFonts w:eastAsiaTheme="minorHAnsi"/>
        </w:rPr>
        <w:t>As part of the reforms to improve the PL and its arrangements, a review of the</w:t>
      </w:r>
      <w:r w:rsidRPr="0022446C">
        <w:t xml:space="preserve"> </w:t>
      </w:r>
      <w:r w:rsidRPr="0022446C">
        <w:rPr>
          <w:rFonts w:eastAsiaTheme="minorHAnsi"/>
        </w:rPr>
        <w:t xml:space="preserve">role, </w:t>
      </w:r>
      <w:proofErr w:type="gramStart"/>
      <w:r w:rsidRPr="0022446C">
        <w:rPr>
          <w:rFonts w:eastAsiaTheme="minorHAnsi"/>
        </w:rPr>
        <w:t>function</w:t>
      </w:r>
      <w:proofErr w:type="gramEnd"/>
      <w:r w:rsidRPr="0022446C">
        <w:rPr>
          <w:rFonts w:eastAsiaTheme="minorHAnsi"/>
        </w:rPr>
        <w:t xml:space="preserve"> and membership of the PLAC and its sub-committees was carried out by EY who provided advice in July 2021 (Attachment A).</w:t>
      </w:r>
    </w:p>
    <w:p w14:paraId="2C76A5AA" w14:textId="77777777" w:rsidR="004B50C0" w:rsidRPr="0022446C" w:rsidRDefault="004B50C0" w:rsidP="0022446C">
      <w:pPr>
        <w:rPr>
          <w:rFonts w:eastAsiaTheme="minorHAnsi"/>
        </w:rPr>
      </w:pPr>
      <w:r w:rsidRPr="0022446C">
        <w:rPr>
          <w:rFonts w:eastAsiaTheme="minorHAnsi"/>
        </w:rPr>
        <w:t>Building on the EY review, in 2022, the Adelaide Health Technology Assessment Group (AHTA), within the School of Population Health at the University of Adelaide, were engaged to develop Options for a Reformed Prostheses List Pre-Listing Assessment Framework and Governance Structure which would align the PL with the other health technology assessment processes conducted by the Department.</w:t>
      </w:r>
    </w:p>
    <w:p w14:paraId="5EBE3276" w14:textId="77777777" w:rsidR="004B50C0" w:rsidRPr="0022446C" w:rsidRDefault="004B50C0" w:rsidP="0022446C">
      <w:pPr>
        <w:rPr>
          <w:rFonts w:eastAsiaTheme="minorHAnsi"/>
        </w:rPr>
      </w:pPr>
      <w:r w:rsidRPr="0022446C">
        <w:rPr>
          <w:rFonts w:eastAsiaTheme="minorHAnsi"/>
        </w:rPr>
        <w:t xml:space="preserve">The development of the Final Report (Attachment B) has been informed by research and engagement with the PLAC Chair and Departmental representatives and provides information on each of the following four options, highlighting issues, </w:t>
      </w:r>
      <w:proofErr w:type="gramStart"/>
      <w:r w:rsidRPr="0022446C">
        <w:rPr>
          <w:rFonts w:eastAsiaTheme="minorHAnsi"/>
        </w:rPr>
        <w:t>risks</w:t>
      </w:r>
      <w:proofErr w:type="gramEnd"/>
      <w:r w:rsidRPr="0022446C">
        <w:rPr>
          <w:rFonts w:eastAsiaTheme="minorHAnsi"/>
        </w:rPr>
        <w:t xml:space="preserve"> and benefits:</w:t>
      </w:r>
    </w:p>
    <w:p w14:paraId="41A2D28D" w14:textId="77777777" w:rsidR="004B50C0" w:rsidRPr="0022446C" w:rsidRDefault="004B50C0" w:rsidP="0022446C">
      <w:pPr>
        <w:pStyle w:val="ListBullet"/>
        <w:rPr>
          <w:rFonts w:eastAsiaTheme="minorHAnsi"/>
        </w:rPr>
      </w:pPr>
      <w:r w:rsidRPr="0022446C">
        <w:rPr>
          <w:rFonts w:eastAsiaTheme="minorHAnsi"/>
        </w:rPr>
        <w:t xml:space="preserve">Option 1: </w:t>
      </w:r>
      <w:r w:rsidRPr="0022446C">
        <w:rPr>
          <w:rFonts w:eastAsiaTheme="minorHAnsi"/>
        </w:rPr>
        <w:tab/>
        <w:t>PLAC remains but optimised with discussants, and CAGs remain</w:t>
      </w:r>
    </w:p>
    <w:p w14:paraId="1E744477" w14:textId="77777777" w:rsidR="004B50C0" w:rsidRPr="0022446C" w:rsidRDefault="004B50C0" w:rsidP="0022446C">
      <w:pPr>
        <w:pStyle w:val="ListBullet"/>
        <w:rPr>
          <w:rFonts w:eastAsiaTheme="minorHAnsi"/>
        </w:rPr>
      </w:pPr>
      <w:r w:rsidRPr="0022446C">
        <w:rPr>
          <w:rFonts w:eastAsiaTheme="minorHAnsi"/>
        </w:rPr>
        <w:t xml:space="preserve">Option 2: </w:t>
      </w:r>
      <w:r w:rsidRPr="0022446C">
        <w:rPr>
          <w:rFonts w:eastAsiaTheme="minorHAnsi"/>
        </w:rPr>
        <w:tab/>
        <w:t>Optimisation of current PLAC and CAG configuration</w:t>
      </w:r>
    </w:p>
    <w:p w14:paraId="6D734984" w14:textId="77777777" w:rsidR="004B50C0" w:rsidRPr="0022446C" w:rsidRDefault="004B50C0" w:rsidP="0022446C">
      <w:pPr>
        <w:pStyle w:val="ListBullet"/>
        <w:rPr>
          <w:rFonts w:eastAsiaTheme="minorHAnsi"/>
        </w:rPr>
      </w:pPr>
      <w:r w:rsidRPr="0022446C">
        <w:rPr>
          <w:rFonts w:eastAsiaTheme="minorHAnsi"/>
        </w:rPr>
        <w:t xml:space="preserve">Option 3: </w:t>
      </w:r>
      <w:r w:rsidRPr="0022446C">
        <w:rPr>
          <w:rFonts w:eastAsiaTheme="minorHAnsi"/>
        </w:rPr>
        <w:tab/>
        <w:t>PLAC and sub-committees are dissolved and replaced by a panel of PL experts who can advise the Medical Services Advisory Committee (MSAC) Executive, whilst retaining optimisation</w:t>
      </w:r>
    </w:p>
    <w:p w14:paraId="7AD8474F" w14:textId="77777777" w:rsidR="004B50C0" w:rsidRPr="0022446C" w:rsidRDefault="004B50C0" w:rsidP="0022446C">
      <w:pPr>
        <w:pStyle w:val="ListBullet"/>
        <w:rPr>
          <w:rFonts w:eastAsiaTheme="minorHAnsi"/>
        </w:rPr>
      </w:pPr>
      <w:r w:rsidRPr="0022446C">
        <w:rPr>
          <w:rFonts w:eastAsiaTheme="minorHAnsi"/>
        </w:rPr>
        <w:t>Option 4:</w:t>
      </w:r>
      <w:r w:rsidRPr="0022446C">
        <w:rPr>
          <w:rFonts w:eastAsiaTheme="minorHAnsi"/>
        </w:rPr>
        <w:tab/>
        <w:t>PLAC and its sub-committees are dissolved and replaced by a smaller executive PL committee.</w:t>
      </w:r>
    </w:p>
    <w:p w14:paraId="5634935D" w14:textId="77777777" w:rsidR="004B50C0" w:rsidRPr="0022446C" w:rsidRDefault="004B50C0" w:rsidP="0022446C">
      <w:pPr>
        <w:rPr>
          <w:rFonts w:eastAsiaTheme="minorHAnsi"/>
        </w:rPr>
      </w:pPr>
      <w:r w:rsidRPr="00713FBE">
        <w:rPr>
          <w:rFonts w:eastAsiaTheme="minorHAnsi"/>
        </w:rPr>
        <w:t xml:space="preserve">Aligning the prices set for medical devices in the private system with those paid in the public system, thus improving the affordability and value of private health insurance for Australians is key to the PL reforms. </w:t>
      </w:r>
      <w:bookmarkStart w:id="4" w:name="_Hlk108428094"/>
      <w:r w:rsidRPr="00713FBE">
        <w:rPr>
          <w:rFonts w:eastAsiaTheme="minorHAnsi"/>
        </w:rPr>
        <w:t>Im</w:t>
      </w:r>
      <w:r w:rsidRPr="0022446C">
        <w:rPr>
          <w:rFonts w:eastAsiaTheme="minorHAnsi"/>
        </w:rPr>
        <w:t>portant messages the Department has received from stakeholders include the need for flexibility in the process; clear guidance material; transparency; elimination of repetition; and consistency of messaging.</w:t>
      </w:r>
      <w:bookmarkEnd w:id="4"/>
    </w:p>
    <w:p w14:paraId="3A0645C1" w14:textId="77777777" w:rsidR="004B50C0" w:rsidRPr="0022446C" w:rsidRDefault="004B50C0" w:rsidP="0022446C">
      <w:pPr>
        <w:rPr>
          <w:rFonts w:eastAsiaTheme="minorHAnsi"/>
        </w:rPr>
      </w:pPr>
      <w:r w:rsidRPr="00713FBE">
        <w:rPr>
          <w:rFonts w:eastAsiaTheme="minorHAnsi" w:cstheme="minorBidi"/>
          <w:szCs w:val="22"/>
        </w:rPr>
        <w:t>Given the increase in the number o</w:t>
      </w:r>
      <w:r w:rsidRPr="0022446C">
        <w:rPr>
          <w:rFonts w:eastAsiaTheme="minorHAnsi"/>
        </w:rPr>
        <w:t xml:space="preserve">f applications considered by PLAC and its sub-committees, and the complexity and variety of applications being reviewed, the reforms will refresh the current process and structure, and modernise the current governance arrangements.  This includes increasing the efficiency of the process by improving co-ordination and streamlining access to medical devices to support the sustainability of the PL. </w:t>
      </w:r>
    </w:p>
    <w:p w14:paraId="1DAED754" w14:textId="77777777" w:rsidR="004B50C0" w:rsidRPr="004D1339" w:rsidRDefault="004B50C0" w:rsidP="004B50C0">
      <w:pPr>
        <w:pStyle w:val="Heading1"/>
      </w:pPr>
      <w:bookmarkStart w:id="5" w:name="_Toc109724594"/>
      <w:bookmarkStart w:id="6" w:name="_Toc125985691"/>
      <w:r>
        <w:lastRenderedPageBreak/>
        <w:t>Existing arrangements</w:t>
      </w:r>
      <w:bookmarkEnd w:id="5"/>
      <w:bookmarkEnd w:id="6"/>
    </w:p>
    <w:p w14:paraId="57877FAA" w14:textId="77777777" w:rsidR="004B50C0" w:rsidRPr="00077A30" w:rsidRDefault="004B50C0" w:rsidP="0022446C">
      <w:pPr>
        <w:rPr>
          <w:rFonts w:eastAsiaTheme="minorHAnsi"/>
        </w:rPr>
      </w:pPr>
      <w:r w:rsidRPr="00077A30">
        <w:rPr>
          <w:rFonts w:eastAsiaTheme="minorHAnsi"/>
        </w:rPr>
        <w:t>Since its inception in 1985, the PL has been reviewed numerous times, with reviews identifying issues and challenges, including a</w:t>
      </w:r>
      <w:r>
        <w:rPr>
          <w:rFonts w:eastAsiaTheme="minorHAnsi"/>
        </w:rPr>
        <w:t>cknowledging a</w:t>
      </w:r>
      <w:r w:rsidRPr="00077A30">
        <w:rPr>
          <w:rFonts w:eastAsiaTheme="minorHAnsi"/>
        </w:rPr>
        <w:t xml:space="preserve"> lack of independence in the assessment process due to the involvement of key stakeholders in the </w:t>
      </w:r>
      <w:r>
        <w:rPr>
          <w:rFonts w:eastAsiaTheme="minorHAnsi"/>
        </w:rPr>
        <w:t>application assessment</w:t>
      </w:r>
      <w:r w:rsidRPr="00077A30">
        <w:rPr>
          <w:rFonts w:eastAsiaTheme="minorHAnsi"/>
        </w:rPr>
        <w:t xml:space="preserve"> process and the potential for conflicts of interest.</w:t>
      </w:r>
    </w:p>
    <w:p w14:paraId="043987E9" w14:textId="77777777" w:rsidR="004B50C0" w:rsidRPr="00077A30" w:rsidRDefault="004B50C0" w:rsidP="0022446C">
      <w:pPr>
        <w:rPr>
          <w:rFonts w:eastAsiaTheme="minorHAnsi"/>
        </w:rPr>
      </w:pPr>
      <w:r w:rsidRPr="00077A30">
        <w:rPr>
          <w:rFonts w:eastAsiaTheme="minorHAnsi"/>
        </w:rPr>
        <w:t>The principal role of the PLAC is to provide recommendations and advice on the clinical effectiveness and cost-effectiveness of devices, and other matters related to the PL to the Minister for Health and Aged Care and the Department</w:t>
      </w:r>
      <w:r>
        <w:rPr>
          <w:rFonts w:eastAsiaTheme="minorHAnsi"/>
        </w:rPr>
        <w:t>,</w:t>
      </w:r>
      <w:r w:rsidRPr="00077A30">
        <w:rPr>
          <w:rFonts w:eastAsiaTheme="minorHAnsi"/>
        </w:rPr>
        <w:t xml:space="preserve"> about the listing of devices on the PL and the benefits payable by private health insurers. </w:t>
      </w:r>
    </w:p>
    <w:p w14:paraId="2E1F9F62" w14:textId="77777777" w:rsidR="004B50C0" w:rsidRPr="00077A30" w:rsidRDefault="004B50C0" w:rsidP="0022446C">
      <w:pPr>
        <w:rPr>
          <w:rFonts w:eastAsiaTheme="minorHAnsi"/>
        </w:rPr>
      </w:pPr>
      <w:r w:rsidRPr="00077A30">
        <w:rPr>
          <w:rFonts w:eastAsiaTheme="minorHAnsi"/>
        </w:rPr>
        <w:t>Membership of the PLAC comprises of a Chair</w:t>
      </w:r>
      <w:r>
        <w:rPr>
          <w:rFonts w:eastAsiaTheme="minorHAnsi"/>
        </w:rPr>
        <w:t>, experts in orthopaedic surgery, spinal surgery, epidemiology, cardiology, thoracic medicine, bioengineering, and vascular medicine, the MSAC Chair</w:t>
      </w:r>
      <w:r w:rsidRPr="00077A30">
        <w:rPr>
          <w:rFonts w:eastAsiaTheme="minorHAnsi"/>
        </w:rPr>
        <w:t xml:space="preserve">, and a consumer representative.  Additionally, </w:t>
      </w:r>
      <w:r>
        <w:rPr>
          <w:rFonts w:eastAsiaTheme="minorHAnsi"/>
        </w:rPr>
        <w:t>stakeholder invited attendees represent</w:t>
      </w:r>
      <w:r w:rsidRPr="00077A30">
        <w:rPr>
          <w:rFonts w:eastAsiaTheme="minorHAnsi"/>
        </w:rPr>
        <w:t xml:space="preserve"> private hospital associations, the medical technology industry and private health insurance attend each meeting.  Representatives from the Department (including the Therapeutic Goods Administration) and the Department of Veterans’ Affairs also attend PLAC meetings.</w:t>
      </w:r>
    </w:p>
    <w:p w14:paraId="0E322CC0" w14:textId="77777777" w:rsidR="004B50C0" w:rsidRDefault="004B50C0" w:rsidP="0022446C">
      <w:pPr>
        <w:rPr>
          <w:rFonts w:cs="Arial"/>
          <w:lang w:eastAsia="en-AU"/>
        </w:rPr>
      </w:pPr>
      <w:r>
        <w:rPr>
          <w:rFonts w:eastAsiaTheme="minorHAnsi"/>
        </w:rPr>
        <w:t>While t</w:t>
      </w:r>
      <w:r w:rsidRPr="00E970E8">
        <w:rPr>
          <w:rFonts w:eastAsiaTheme="minorHAnsi"/>
        </w:rPr>
        <w:t xml:space="preserve">here are currently 13 categories of devices listed on the </w:t>
      </w:r>
      <w:r>
        <w:rPr>
          <w:rFonts w:eastAsiaTheme="minorHAnsi"/>
        </w:rPr>
        <w:t>Prostheses List Part A and C, t</w:t>
      </w:r>
      <w:r w:rsidRPr="00077A30">
        <w:rPr>
          <w:rFonts w:eastAsiaTheme="minorHAnsi"/>
        </w:rPr>
        <w:t>he PLAC is supported by CAG</w:t>
      </w:r>
      <w:r>
        <w:rPr>
          <w:rFonts w:eastAsiaTheme="minorHAnsi"/>
        </w:rPr>
        <w:t>s covering only eight of these categories (</w:t>
      </w:r>
      <w:r w:rsidRPr="00077A30">
        <w:rPr>
          <w:rFonts w:eastAsiaTheme="minorHAnsi"/>
        </w:rPr>
        <w:t xml:space="preserve">comprising </w:t>
      </w:r>
      <w:proofErr w:type="gramStart"/>
      <w:r>
        <w:rPr>
          <w:rFonts w:eastAsiaTheme="minorHAnsi"/>
        </w:rPr>
        <w:t>in excess of</w:t>
      </w:r>
      <w:proofErr w:type="gramEnd"/>
      <w:r>
        <w:rPr>
          <w:rFonts w:eastAsiaTheme="minorHAnsi"/>
        </w:rPr>
        <w:t xml:space="preserve"> 50 </w:t>
      </w:r>
      <w:r w:rsidRPr="00077A30">
        <w:rPr>
          <w:rFonts w:eastAsiaTheme="minorHAnsi"/>
        </w:rPr>
        <w:t>members with relevant subject matter expertise</w:t>
      </w:r>
      <w:r>
        <w:rPr>
          <w:rFonts w:eastAsiaTheme="minorHAnsi"/>
        </w:rPr>
        <w:t>). The CAGs</w:t>
      </w:r>
      <w:r w:rsidRPr="00077A30">
        <w:rPr>
          <w:rFonts w:eastAsiaTheme="minorHAnsi"/>
        </w:rPr>
        <w:t xml:space="preserve"> </w:t>
      </w:r>
      <w:r>
        <w:rPr>
          <w:rFonts w:eastAsiaTheme="minorHAnsi"/>
        </w:rPr>
        <w:t>provide advice throughout the</w:t>
      </w:r>
      <w:r w:rsidRPr="00077A30">
        <w:rPr>
          <w:rFonts w:eastAsiaTheme="minorHAnsi"/>
        </w:rPr>
        <w:t xml:space="preserve"> health technology assessment </w:t>
      </w:r>
      <w:r>
        <w:rPr>
          <w:rFonts w:eastAsiaTheme="minorHAnsi"/>
        </w:rPr>
        <w:t>by considering</w:t>
      </w:r>
      <w:r w:rsidRPr="00077A30">
        <w:rPr>
          <w:rFonts w:cs="Arial"/>
          <w:lang w:eastAsia="en-AU"/>
        </w:rPr>
        <w:t xml:space="preserve"> the comparative clinical function and effectiveness of devices to be considered for listing on the PL.  </w:t>
      </w:r>
      <w:r>
        <w:rPr>
          <w:rFonts w:cs="Arial"/>
          <w:lang w:eastAsia="en-AU"/>
        </w:rPr>
        <w:t>The eight CAGs are as follows:</w:t>
      </w:r>
    </w:p>
    <w:p w14:paraId="35EB736E" w14:textId="77777777" w:rsidR="004B50C0" w:rsidRPr="0022446C" w:rsidRDefault="004B50C0" w:rsidP="0022446C">
      <w:pPr>
        <w:pStyle w:val="ListBullet"/>
        <w:rPr>
          <w:rFonts w:eastAsiaTheme="minorHAnsi"/>
        </w:rPr>
      </w:pPr>
      <w:r w:rsidRPr="0022446C">
        <w:rPr>
          <w:rFonts w:eastAsiaTheme="minorHAnsi"/>
        </w:rPr>
        <w:t>Cardiac Prostheses Clinical Advisory Group</w:t>
      </w:r>
    </w:p>
    <w:p w14:paraId="24B806D9" w14:textId="77777777" w:rsidR="004B50C0" w:rsidRPr="0022446C" w:rsidRDefault="004B50C0" w:rsidP="0022446C">
      <w:pPr>
        <w:pStyle w:val="ListBullet"/>
        <w:rPr>
          <w:rFonts w:eastAsiaTheme="minorHAnsi"/>
        </w:rPr>
      </w:pPr>
      <w:r w:rsidRPr="0022446C">
        <w:rPr>
          <w:rFonts w:eastAsiaTheme="minorHAnsi"/>
        </w:rPr>
        <w:t>Cardiothoracic Prostheses Clinical Advisory Group</w:t>
      </w:r>
    </w:p>
    <w:p w14:paraId="42EB7C0A" w14:textId="77777777" w:rsidR="004B50C0" w:rsidRPr="0022446C" w:rsidRDefault="004B50C0" w:rsidP="0022446C">
      <w:pPr>
        <w:pStyle w:val="ListBullet"/>
        <w:rPr>
          <w:rFonts w:eastAsiaTheme="minorHAnsi"/>
        </w:rPr>
      </w:pPr>
      <w:r w:rsidRPr="0022446C">
        <w:rPr>
          <w:rFonts w:eastAsiaTheme="minorHAnsi"/>
        </w:rPr>
        <w:t>Hip Prostheses Clinical Advisory Group</w:t>
      </w:r>
    </w:p>
    <w:p w14:paraId="5F0250DD" w14:textId="77777777" w:rsidR="004B50C0" w:rsidRPr="0022446C" w:rsidRDefault="004B50C0" w:rsidP="0022446C">
      <w:pPr>
        <w:pStyle w:val="ListBullet"/>
        <w:rPr>
          <w:rFonts w:eastAsiaTheme="minorHAnsi"/>
        </w:rPr>
      </w:pPr>
      <w:r w:rsidRPr="0022446C">
        <w:rPr>
          <w:rFonts w:eastAsiaTheme="minorHAnsi"/>
        </w:rPr>
        <w:t>Knee Prostheses Clinical Advisory Group</w:t>
      </w:r>
    </w:p>
    <w:p w14:paraId="76E52831" w14:textId="77777777" w:rsidR="004B50C0" w:rsidRPr="0022446C" w:rsidRDefault="004B50C0" w:rsidP="0022446C">
      <w:pPr>
        <w:pStyle w:val="ListBullet"/>
        <w:rPr>
          <w:rFonts w:eastAsiaTheme="minorHAnsi"/>
        </w:rPr>
      </w:pPr>
      <w:r w:rsidRPr="0022446C">
        <w:rPr>
          <w:rFonts w:eastAsiaTheme="minorHAnsi"/>
        </w:rPr>
        <w:t>Ophthalmic Prostheses Clinical Advisory Group</w:t>
      </w:r>
    </w:p>
    <w:p w14:paraId="5043CDF2" w14:textId="77777777" w:rsidR="004B50C0" w:rsidRPr="0022446C" w:rsidRDefault="004B50C0" w:rsidP="0022446C">
      <w:pPr>
        <w:pStyle w:val="ListBullet"/>
        <w:rPr>
          <w:rFonts w:eastAsiaTheme="minorHAnsi"/>
        </w:rPr>
      </w:pPr>
      <w:r w:rsidRPr="0022446C">
        <w:rPr>
          <w:rFonts w:eastAsiaTheme="minorHAnsi"/>
        </w:rPr>
        <w:t>Specialist Orthopaedic Clinical Advisory Group</w:t>
      </w:r>
    </w:p>
    <w:p w14:paraId="5440975A" w14:textId="77777777" w:rsidR="004B50C0" w:rsidRPr="0022446C" w:rsidRDefault="004B50C0" w:rsidP="0022446C">
      <w:pPr>
        <w:pStyle w:val="ListBullet"/>
        <w:rPr>
          <w:rFonts w:eastAsiaTheme="minorHAnsi"/>
        </w:rPr>
      </w:pPr>
      <w:r w:rsidRPr="0022446C">
        <w:rPr>
          <w:rFonts w:eastAsiaTheme="minorHAnsi"/>
        </w:rPr>
        <w:t>Spinal Prostheses Clinical Advisory Group</w:t>
      </w:r>
    </w:p>
    <w:p w14:paraId="4CFB3AC0" w14:textId="77777777" w:rsidR="004B50C0" w:rsidRPr="0022446C" w:rsidRDefault="004B50C0" w:rsidP="0022446C">
      <w:pPr>
        <w:pStyle w:val="ListBullet"/>
      </w:pPr>
      <w:r w:rsidRPr="0022446C">
        <w:rPr>
          <w:rFonts w:eastAsiaTheme="minorHAnsi"/>
        </w:rPr>
        <w:t>Vascular Prostheses Clinical Advisory Group.</w:t>
      </w:r>
    </w:p>
    <w:p w14:paraId="5D09B688" w14:textId="77777777" w:rsidR="004B50C0" w:rsidRDefault="004B50C0" w:rsidP="0022446C">
      <w:pPr>
        <w:rPr>
          <w:lang w:eastAsia="en-AU"/>
        </w:rPr>
      </w:pPr>
      <w:r w:rsidRPr="00E970E8">
        <w:rPr>
          <w:lang w:eastAsia="en-AU"/>
        </w:rPr>
        <w:t xml:space="preserve">Other categories of devices </w:t>
      </w:r>
      <w:r w:rsidRPr="00266AF3">
        <w:rPr>
          <w:lang w:eastAsia="en-AU"/>
        </w:rPr>
        <w:t>(</w:t>
      </w:r>
      <w:r w:rsidRPr="00494E0C">
        <w:rPr>
          <w:lang w:eastAsia="en-AU"/>
        </w:rPr>
        <w:t>Ear Nose and Throat; General Miscellaneous; Plastic and Reconstructive;</w:t>
      </w:r>
      <w:r w:rsidRPr="00836B12">
        <w:rPr>
          <w:lang w:eastAsia="en-AU"/>
        </w:rPr>
        <w:t xml:space="preserve"> Urogenital; </w:t>
      </w:r>
      <w:r w:rsidRPr="001B0F0A">
        <w:rPr>
          <w:lang w:eastAsia="en-AU"/>
        </w:rPr>
        <w:t xml:space="preserve">Neurosurgical) are </w:t>
      </w:r>
      <w:r>
        <w:rPr>
          <w:lang w:eastAsia="en-AU"/>
        </w:rPr>
        <w:t>assessed</w:t>
      </w:r>
      <w:r w:rsidRPr="00E970E8">
        <w:rPr>
          <w:lang w:eastAsia="en-AU"/>
        </w:rPr>
        <w:t xml:space="preserve"> by the Panel of Clinical Experts (PoCE), comprising of over 25 clinicians. </w:t>
      </w:r>
    </w:p>
    <w:p w14:paraId="58AC76FE" w14:textId="77777777" w:rsidR="004B50C0" w:rsidRDefault="004B50C0" w:rsidP="0022446C">
      <w:pPr>
        <w:rPr>
          <w:lang w:eastAsia="en-AU"/>
        </w:rPr>
      </w:pPr>
      <w:r w:rsidRPr="00E970E8">
        <w:rPr>
          <w:lang w:eastAsia="en-AU"/>
        </w:rPr>
        <w:t xml:space="preserve">The difference between the CAGs and the PoCE is that CAGs have meetings </w:t>
      </w:r>
      <w:r>
        <w:rPr>
          <w:lang w:eastAsia="en-AU"/>
        </w:rPr>
        <w:t>three</w:t>
      </w:r>
      <w:r w:rsidRPr="00E970E8">
        <w:rPr>
          <w:lang w:eastAsia="en-AU"/>
        </w:rPr>
        <w:t xml:space="preserve"> times per year</w:t>
      </w:r>
      <w:r>
        <w:rPr>
          <w:lang w:eastAsia="en-AU"/>
        </w:rPr>
        <w:t xml:space="preserve"> to discuss their assessments, while individual</w:t>
      </w:r>
      <w:r w:rsidRPr="00E970E8">
        <w:rPr>
          <w:lang w:eastAsia="en-AU"/>
        </w:rPr>
        <w:t xml:space="preserve"> clinicians </w:t>
      </w:r>
      <w:r>
        <w:rPr>
          <w:lang w:eastAsia="en-AU"/>
        </w:rPr>
        <w:t>from</w:t>
      </w:r>
      <w:r w:rsidRPr="00E970E8">
        <w:rPr>
          <w:lang w:eastAsia="en-AU"/>
        </w:rPr>
        <w:t xml:space="preserve"> the PoCE</w:t>
      </w:r>
      <w:r>
        <w:rPr>
          <w:lang w:eastAsia="en-AU"/>
        </w:rPr>
        <w:t xml:space="preserve"> are approached to provide</w:t>
      </w:r>
      <w:r w:rsidRPr="00E970E8">
        <w:rPr>
          <w:lang w:eastAsia="en-AU"/>
        </w:rPr>
        <w:t xml:space="preserve"> </w:t>
      </w:r>
      <w:r>
        <w:rPr>
          <w:lang w:eastAsia="en-AU"/>
        </w:rPr>
        <w:t>their independent</w:t>
      </w:r>
      <w:r w:rsidRPr="00E970E8">
        <w:rPr>
          <w:lang w:eastAsia="en-AU"/>
        </w:rPr>
        <w:t xml:space="preserve"> assessment</w:t>
      </w:r>
      <w:r>
        <w:rPr>
          <w:lang w:eastAsia="en-AU"/>
        </w:rPr>
        <w:t xml:space="preserve"> of an application in their field of expertise</w:t>
      </w:r>
      <w:r w:rsidRPr="00E970E8">
        <w:rPr>
          <w:lang w:eastAsia="en-AU"/>
        </w:rPr>
        <w:t xml:space="preserve">. </w:t>
      </w:r>
    </w:p>
    <w:p w14:paraId="6B5DC437" w14:textId="77777777" w:rsidR="004B50C0" w:rsidRDefault="004B50C0" w:rsidP="0022446C">
      <w:pPr>
        <w:rPr>
          <w:lang w:eastAsia="en-AU"/>
        </w:rPr>
      </w:pPr>
      <w:r>
        <w:rPr>
          <w:lang w:eastAsia="en-AU"/>
        </w:rPr>
        <w:t xml:space="preserve">Assessments and advice </w:t>
      </w:r>
      <w:r w:rsidRPr="00E970E8">
        <w:rPr>
          <w:lang w:eastAsia="en-AU"/>
        </w:rPr>
        <w:t xml:space="preserve">from the </w:t>
      </w:r>
      <w:r>
        <w:rPr>
          <w:lang w:eastAsia="en-AU"/>
        </w:rPr>
        <w:t xml:space="preserve">relevant </w:t>
      </w:r>
      <w:r w:rsidRPr="00E970E8">
        <w:rPr>
          <w:lang w:eastAsia="en-AU"/>
        </w:rPr>
        <w:t>CAGs and PoCE are formulated and provided to PLAC for consideration</w:t>
      </w:r>
      <w:r>
        <w:rPr>
          <w:lang w:eastAsia="en-AU"/>
        </w:rPr>
        <w:t xml:space="preserve"> </w:t>
      </w:r>
      <w:r w:rsidRPr="005A071F">
        <w:rPr>
          <w:lang w:eastAsia="en-AU"/>
        </w:rPr>
        <w:t>(</w:t>
      </w:r>
      <w:r>
        <w:rPr>
          <w:lang w:eastAsia="en-AU"/>
        </w:rPr>
        <w:t>along with</w:t>
      </w:r>
      <w:r w:rsidRPr="005A071F">
        <w:rPr>
          <w:lang w:eastAsia="en-AU"/>
        </w:rPr>
        <w:t xml:space="preserve"> any further information provided by the applicant)</w:t>
      </w:r>
      <w:r>
        <w:rPr>
          <w:lang w:eastAsia="en-AU"/>
        </w:rPr>
        <w:t>.  These documents are used</w:t>
      </w:r>
      <w:r w:rsidRPr="005A071F">
        <w:rPr>
          <w:lang w:eastAsia="en-AU"/>
        </w:rPr>
        <w:t xml:space="preserve"> to inform </w:t>
      </w:r>
      <w:r>
        <w:rPr>
          <w:lang w:eastAsia="en-AU"/>
        </w:rPr>
        <w:t>PLACs</w:t>
      </w:r>
      <w:r w:rsidRPr="005A071F">
        <w:rPr>
          <w:lang w:eastAsia="en-AU"/>
        </w:rPr>
        <w:t xml:space="preserve"> discussions and subsequent recommendations </w:t>
      </w:r>
      <w:r>
        <w:rPr>
          <w:lang w:eastAsia="en-AU"/>
        </w:rPr>
        <w:t xml:space="preserve">to the Minister </w:t>
      </w:r>
      <w:r w:rsidRPr="005A071F">
        <w:rPr>
          <w:lang w:eastAsia="en-AU"/>
        </w:rPr>
        <w:t>regarding the clinical effectiveness of the device compared with other similar devices listed on the PL, or other available treatments</w:t>
      </w:r>
      <w:r>
        <w:rPr>
          <w:lang w:eastAsia="en-AU"/>
        </w:rPr>
        <w:t>.</w:t>
      </w:r>
    </w:p>
    <w:p w14:paraId="073D58F0" w14:textId="77777777" w:rsidR="004B50C0" w:rsidRPr="004D1339" w:rsidRDefault="004B50C0" w:rsidP="004B50C0">
      <w:pPr>
        <w:pStyle w:val="Heading1"/>
      </w:pPr>
      <w:bookmarkStart w:id="7" w:name="_Toc125985692"/>
      <w:r>
        <w:lastRenderedPageBreak/>
        <w:t>Departmental response to EY Report</w:t>
      </w:r>
      <w:bookmarkEnd w:id="7"/>
    </w:p>
    <w:p w14:paraId="5789927A" w14:textId="77777777" w:rsidR="004B50C0" w:rsidRDefault="004B50C0" w:rsidP="004B50C0">
      <w:pPr>
        <w:rPr>
          <w:rFonts w:cs="Arial"/>
          <w:szCs w:val="22"/>
          <w:lang w:eastAsia="en-AU"/>
        </w:rPr>
      </w:pPr>
      <w:r>
        <w:rPr>
          <w:rFonts w:cs="Arial"/>
          <w:szCs w:val="22"/>
          <w:lang w:eastAsia="en-AU"/>
        </w:rPr>
        <w:t>The Department considered the EY review and recommendations that found the current governance structure and membership composition was preventing PLAC from effectively fulfilling its purpose, recommending significant enhancement of PLAC.</w:t>
      </w:r>
    </w:p>
    <w:p w14:paraId="53C5415D" w14:textId="77777777" w:rsidR="004B50C0" w:rsidRPr="00E970E8" w:rsidRDefault="004B50C0" w:rsidP="004B50C0">
      <w:pPr>
        <w:rPr>
          <w:rFonts w:cs="Arial"/>
          <w:szCs w:val="22"/>
          <w:lang w:eastAsia="en-AU"/>
        </w:rPr>
      </w:pPr>
      <w:r>
        <w:rPr>
          <w:rFonts w:cs="Arial"/>
          <w:szCs w:val="22"/>
          <w:lang w:eastAsia="en-AU"/>
        </w:rPr>
        <w:t>The Department suggests stakeholders read the EY Report (</w:t>
      </w:r>
      <w:r w:rsidRPr="00016E0D">
        <w:rPr>
          <w:rFonts w:cs="Arial"/>
          <w:szCs w:val="22"/>
          <w:u w:val="single"/>
          <w:lang w:eastAsia="en-AU"/>
        </w:rPr>
        <w:t>Attachment A</w:t>
      </w:r>
      <w:r>
        <w:rPr>
          <w:rFonts w:cs="Arial"/>
          <w:szCs w:val="22"/>
          <w:lang w:eastAsia="en-AU"/>
        </w:rPr>
        <w:t>) in conjunction with the report by AHTA (</w:t>
      </w:r>
      <w:r w:rsidRPr="00016E0D">
        <w:rPr>
          <w:rFonts w:cs="Arial"/>
          <w:szCs w:val="22"/>
          <w:u w:val="single"/>
          <w:lang w:eastAsia="en-AU"/>
        </w:rPr>
        <w:t>Attachment B</w:t>
      </w:r>
      <w:r>
        <w:rPr>
          <w:rFonts w:cs="Arial"/>
          <w:szCs w:val="22"/>
          <w:lang w:eastAsia="en-AU"/>
        </w:rPr>
        <w:t>) and advises the EY Report reflects the views and perceptions of stakeholders at a particular point in time (</w:t>
      </w:r>
      <w:proofErr w:type="gramStart"/>
      <w:r>
        <w:rPr>
          <w:rFonts w:cs="Arial"/>
          <w:szCs w:val="22"/>
          <w:lang w:eastAsia="en-AU"/>
        </w:rPr>
        <w:t>i.e.</w:t>
      </w:r>
      <w:proofErr w:type="gramEnd"/>
      <w:r>
        <w:rPr>
          <w:rFonts w:cs="Arial"/>
          <w:szCs w:val="22"/>
          <w:lang w:eastAsia="en-AU"/>
        </w:rPr>
        <w:t xml:space="preserve"> July 2021) which may have changed over time.  The Department’s views were not represented in this report and there has been progress and changes made in the space since.  </w:t>
      </w:r>
    </w:p>
    <w:p w14:paraId="51696DF7" w14:textId="77777777" w:rsidR="004B50C0" w:rsidRPr="004D1339" w:rsidRDefault="004B50C0" w:rsidP="004B50C0">
      <w:pPr>
        <w:pStyle w:val="Heading1"/>
      </w:pPr>
      <w:bookmarkStart w:id="8" w:name="_Toc109724595"/>
      <w:bookmarkStart w:id="9" w:name="_Toc125985693"/>
      <w:r>
        <w:t>Departmental response to AHTA Report</w:t>
      </w:r>
      <w:bookmarkEnd w:id="8"/>
      <w:bookmarkEnd w:id="9"/>
    </w:p>
    <w:p w14:paraId="31A0FFFA" w14:textId="77777777" w:rsidR="004935E5" w:rsidRDefault="004B50C0" w:rsidP="0022446C">
      <w:pPr>
        <w:rPr>
          <w:rFonts w:eastAsiaTheme="minorHAnsi"/>
        </w:rPr>
      </w:pPr>
      <w:r w:rsidRPr="00320993">
        <w:rPr>
          <w:rFonts w:eastAsiaTheme="minorHAnsi"/>
        </w:rPr>
        <w:t>The Department has considered the Final Report and the options suggested by the AHTA.</w:t>
      </w:r>
    </w:p>
    <w:p w14:paraId="54AC8D1F" w14:textId="08E48DE2" w:rsidR="004B50C0" w:rsidRPr="00713FBE" w:rsidRDefault="004B50C0" w:rsidP="0022446C">
      <w:pPr>
        <w:rPr>
          <w:rFonts w:eastAsiaTheme="minorHAnsi"/>
        </w:rPr>
      </w:pPr>
      <w:bookmarkStart w:id="10" w:name="_Hlk108428292"/>
      <w:r>
        <w:rPr>
          <w:rFonts w:eastAsiaTheme="minorHAnsi"/>
        </w:rPr>
        <w:t xml:space="preserve">The </w:t>
      </w:r>
      <w:r w:rsidRPr="00713FBE">
        <w:rPr>
          <w:rFonts w:eastAsiaTheme="minorHAnsi"/>
        </w:rPr>
        <w:t>Minister</w:t>
      </w:r>
      <w:r>
        <w:rPr>
          <w:rFonts w:eastAsiaTheme="minorHAnsi"/>
        </w:rPr>
        <w:t xml:space="preserve"> for Health and Aged Care, the Hon Mark</w:t>
      </w:r>
      <w:r w:rsidRPr="00713FBE">
        <w:rPr>
          <w:rFonts w:eastAsiaTheme="minorHAnsi"/>
        </w:rPr>
        <w:t xml:space="preserve"> Butler</w:t>
      </w:r>
      <w:r>
        <w:rPr>
          <w:rFonts w:eastAsiaTheme="minorHAnsi"/>
        </w:rPr>
        <w:t xml:space="preserve"> MP</w:t>
      </w:r>
      <w:r w:rsidR="004935E5">
        <w:rPr>
          <w:rFonts w:eastAsiaTheme="minorHAnsi"/>
        </w:rPr>
        <w:t>,</w:t>
      </w:r>
      <w:r w:rsidRPr="00713FBE">
        <w:rPr>
          <w:rFonts w:eastAsiaTheme="minorHAnsi"/>
        </w:rPr>
        <w:t xml:space="preserve"> has used this report to inform an initial judgement on a way forward, to deliver improvement, assist with streamlining processes and allow for reasonable workloads, while delivering high quality advice to sponsors.  </w:t>
      </w:r>
      <w:proofErr w:type="gramStart"/>
      <w:r w:rsidRPr="00713FBE">
        <w:rPr>
          <w:rFonts w:eastAsiaTheme="minorHAnsi"/>
        </w:rPr>
        <w:t>With this in mind, Minister</w:t>
      </w:r>
      <w:proofErr w:type="gramEnd"/>
      <w:r w:rsidRPr="00713FBE">
        <w:rPr>
          <w:rFonts w:eastAsiaTheme="minorHAnsi"/>
        </w:rPr>
        <w:t xml:space="preserve"> Butler considers Option 1 is the most appropriate option moving forward as it </w:t>
      </w:r>
      <w:r w:rsidRPr="00713FBE">
        <w:rPr>
          <w:rFonts w:eastAsiaTheme="minorHAnsi"/>
          <w:bCs/>
        </w:rPr>
        <w:t xml:space="preserve">will improve the efficiency of the current process, particularly with the adoption of </w:t>
      </w:r>
      <w:r>
        <w:rPr>
          <w:rFonts w:eastAsiaTheme="minorHAnsi"/>
          <w:bCs/>
        </w:rPr>
        <w:t xml:space="preserve">improved application forms </w:t>
      </w:r>
      <w:r w:rsidRPr="00713FBE">
        <w:rPr>
          <w:rFonts w:eastAsiaTheme="minorHAnsi"/>
          <w:bCs/>
        </w:rPr>
        <w:t xml:space="preserve">and </w:t>
      </w:r>
      <w:r>
        <w:rPr>
          <w:rFonts w:eastAsiaTheme="minorHAnsi"/>
          <w:bCs/>
        </w:rPr>
        <w:t xml:space="preserve">revised </w:t>
      </w:r>
      <w:r w:rsidRPr="00713FBE">
        <w:rPr>
          <w:rFonts w:eastAsiaTheme="minorHAnsi"/>
          <w:bCs/>
        </w:rPr>
        <w:t xml:space="preserve">guidance materials for sponsors and external evaluators, however, with some continuity as a well-established structure remains.  This will be aided with </w:t>
      </w:r>
      <w:r w:rsidRPr="00713FBE">
        <w:rPr>
          <w:rFonts w:eastAsiaTheme="minorHAnsi"/>
        </w:rPr>
        <w:t>Professor Terry Campbell (AM),</w:t>
      </w:r>
      <w:r>
        <w:rPr>
          <w:rFonts w:eastAsiaTheme="minorHAnsi"/>
        </w:rPr>
        <w:t xml:space="preserve"> who has</w:t>
      </w:r>
      <w:r w:rsidRPr="00713FBE">
        <w:rPr>
          <w:rFonts w:eastAsiaTheme="minorHAnsi"/>
        </w:rPr>
        <w:t xml:space="preserve"> proven to be a highly effective Chair</w:t>
      </w:r>
      <w:r>
        <w:rPr>
          <w:rFonts w:eastAsiaTheme="minorHAnsi"/>
        </w:rPr>
        <w:t xml:space="preserve"> of the PLAC</w:t>
      </w:r>
      <w:r w:rsidRPr="00713FBE">
        <w:rPr>
          <w:rFonts w:eastAsiaTheme="minorHAnsi"/>
        </w:rPr>
        <w:t xml:space="preserve">, agreeing to be reappointed as Chair.  </w:t>
      </w:r>
    </w:p>
    <w:p w14:paraId="7AAEC9C8" w14:textId="77777777" w:rsidR="004B50C0" w:rsidRPr="00713FBE" w:rsidRDefault="004B50C0" w:rsidP="004B50C0">
      <w:pPr>
        <w:rPr>
          <w:rFonts w:eastAsiaTheme="minorHAnsi" w:cstheme="minorBidi"/>
          <w:szCs w:val="22"/>
        </w:rPr>
      </w:pPr>
      <w:bookmarkStart w:id="11" w:name="_Hlk108428408"/>
      <w:bookmarkEnd w:id="10"/>
      <w:r w:rsidRPr="00713FBE">
        <w:rPr>
          <w:rFonts w:eastAsiaTheme="minorHAnsi" w:cstheme="minorBidi"/>
          <w:szCs w:val="22"/>
        </w:rPr>
        <w:t>The key points of difference proposed from the existing governance design are:</w:t>
      </w:r>
    </w:p>
    <w:p w14:paraId="1E7FF099" w14:textId="77777777" w:rsidR="004B50C0" w:rsidRPr="0022446C" w:rsidRDefault="004B50C0" w:rsidP="0022446C">
      <w:pPr>
        <w:pStyle w:val="ListBullet"/>
        <w:rPr>
          <w:rFonts w:eastAsiaTheme="minorHAnsi"/>
        </w:rPr>
      </w:pPr>
      <w:r w:rsidRPr="0022446C">
        <w:rPr>
          <w:rFonts w:eastAsiaTheme="minorHAnsi"/>
        </w:rPr>
        <w:t>The PLAC is modernised with a change of name, the Medical Devices and Human Tissue Advisory Committee (MDHTAC)</w:t>
      </w:r>
    </w:p>
    <w:p w14:paraId="2D3DE9A3" w14:textId="77777777" w:rsidR="004B50C0" w:rsidRPr="0022446C" w:rsidRDefault="004B50C0" w:rsidP="0022446C">
      <w:pPr>
        <w:pStyle w:val="ListBullet"/>
        <w:rPr>
          <w:rFonts w:eastAsiaTheme="minorHAnsi"/>
        </w:rPr>
      </w:pPr>
      <w:r w:rsidRPr="0022446C">
        <w:rPr>
          <w:rFonts w:eastAsiaTheme="minorHAnsi"/>
        </w:rPr>
        <w:t>Representatives from the Medical Device, Private Hospitals and Private Health Insurance industries will be removed from the committee to reduce any perceived or actual conflict of interest within the committee membership</w:t>
      </w:r>
    </w:p>
    <w:p w14:paraId="3B38D3B4" w14:textId="77777777" w:rsidR="004B50C0" w:rsidRPr="0022446C" w:rsidRDefault="004B50C0" w:rsidP="0022446C">
      <w:pPr>
        <w:pStyle w:val="ListBullet"/>
        <w:rPr>
          <w:rFonts w:eastAsiaTheme="minorHAnsi"/>
        </w:rPr>
      </w:pPr>
      <w:bookmarkStart w:id="12" w:name="_Hlk122624388"/>
      <w:r w:rsidRPr="0022446C">
        <w:rPr>
          <w:rFonts w:eastAsiaTheme="minorHAnsi"/>
        </w:rPr>
        <w:t xml:space="preserve">The existing CAGs and </w:t>
      </w:r>
      <w:proofErr w:type="spellStart"/>
      <w:r w:rsidRPr="0022446C">
        <w:rPr>
          <w:rFonts w:eastAsiaTheme="minorHAnsi"/>
        </w:rPr>
        <w:t>PoCE</w:t>
      </w:r>
      <w:proofErr w:type="spellEnd"/>
      <w:r w:rsidRPr="0022446C">
        <w:rPr>
          <w:rFonts w:eastAsiaTheme="minorHAnsi"/>
        </w:rPr>
        <w:t xml:space="preserve"> will be re-structured into six Expert Clinical Advisory Groups (ECAGs), </w:t>
      </w:r>
      <w:bookmarkStart w:id="13" w:name="_Hlk122624716"/>
      <w:r w:rsidRPr="0022446C">
        <w:rPr>
          <w:rFonts w:eastAsiaTheme="minorHAnsi"/>
        </w:rPr>
        <w:t>with up to ten members residing on each ECAG</w:t>
      </w:r>
      <w:bookmarkEnd w:id="13"/>
    </w:p>
    <w:bookmarkEnd w:id="12"/>
    <w:p w14:paraId="0E1E70CB" w14:textId="77777777" w:rsidR="004B50C0" w:rsidRPr="0022446C" w:rsidRDefault="004B50C0" w:rsidP="0022446C">
      <w:pPr>
        <w:pStyle w:val="ListBullet"/>
        <w:rPr>
          <w:rFonts w:eastAsiaTheme="minorHAnsi"/>
        </w:rPr>
      </w:pPr>
      <w:r w:rsidRPr="0022446C">
        <w:rPr>
          <w:rFonts w:eastAsiaTheme="minorHAnsi"/>
        </w:rPr>
        <w:t>The MDHTAC will comprise of the six Chairs from each of the ECAGs who will provide not only clinical expertise but also a connection between the MDHTAC and the respective ECAG.  Additionally, a consumer representative; a health economist; and up to two clinical / health technology assessment experts who are not on an ECAG</w:t>
      </w:r>
    </w:p>
    <w:p w14:paraId="40D9CB67" w14:textId="77777777" w:rsidR="004B50C0" w:rsidRPr="0022446C" w:rsidRDefault="004B50C0" w:rsidP="0022446C">
      <w:pPr>
        <w:pStyle w:val="ListBullet"/>
        <w:rPr>
          <w:rFonts w:eastAsiaTheme="minorHAnsi"/>
        </w:rPr>
      </w:pPr>
      <w:r w:rsidRPr="0022446C">
        <w:rPr>
          <w:rFonts w:eastAsiaTheme="minorHAnsi"/>
        </w:rPr>
        <w:t>Revised guidance material will be developed for each of the three-tiered pathways processes and an enhanced application form via the Health Products Portal (HPP)</w:t>
      </w:r>
    </w:p>
    <w:p w14:paraId="7E5CF5F9" w14:textId="77777777" w:rsidR="004B50C0" w:rsidRPr="0022446C" w:rsidRDefault="004B50C0" w:rsidP="0022446C">
      <w:pPr>
        <w:pStyle w:val="ListBullet"/>
        <w:rPr>
          <w:rFonts w:eastAsiaTheme="minorHAnsi"/>
        </w:rPr>
      </w:pPr>
      <w:r w:rsidRPr="0022446C">
        <w:rPr>
          <w:rFonts w:eastAsiaTheme="minorHAnsi"/>
        </w:rPr>
        <w:t>Applications will be assessed against the requirements for eligibility for listing on the Prostheses List, however under Tier 1, there will be limited opportunity to amend or provide further information in the application</w:t>
      </w:r>
    </w:p>
    <w:p w14:paraId="4F553D34" w14:textId="77777777" w:rsidR="004B50C0" w:rsidRPr="0022446C" w:rsidRDefault="004B50C0" w:rsidP="0022446C">
      <w:pPr>
        <w:pStyle w:val="ListBullet"/>
        <w:rPr>
          <w:rFonts w:eastAsiaTheme="minorHAnsi"/>
        </w:rPr>
      </w:pPr>
      <w:r w:rsidRPr="0022446C">
        <w:rPr>
          <w:rFonts w:eastAsiaTheme="minorHAnsi"/>
        </w:rPr>
        <w:t>Applications that require Tier 2 or Tier 3 assessment are assessed by the relevant ECAG and external health technology experts or MSAC where required</w:t>
      </w:r>
    </w:p>
    <w:p w14:paraId="1419D586" w14:textId="77777777" w:rsidR="004B50C0" w:rsidRPr="0022446C" w:rsidRDefault="004B50C0" w:rsidP="0022446C">
      <w:pPr>
        <w:pStyle w:val="ListBullet"/>
        <w:rPr>
          <w:rFonts w:eastAsiaTheme="minorHAnsi"/>
        </w:rPr>
      </w:pPr>
      <w:r w:rsidRPr="0022446C">
        <w:rPr>
          <w:rFonts w:eastAsiaTheme="minorHAnsi"/>
        </w:rPr>
        <w:lastRenderedPageBreak/>
        <w:t>The assessments, including advice from external assessors, are presented to the MDHTAC.  This can be presented by the Chair of ECAG or one of the clinical experts (discussants).</w:t>
      </w:r>
    </w:p>
    <w:p w14:paraId="3E214328" w14:textId="77777777" w:rsidR="004B50C0" w:rsidRPr="0022446C" w:rsidRDefault="004B50C0" w:rsidP="004B50C0">
      <w:pPr>
        <w:pStyle w:val="Heading2"/>
        <w:rPr>
          <w:rFonts w:eastAsiaTheme="minorHAnsi"/>
        </w:rPr>
      </w:pPr>
      <w:bookmarkStart w:id="14" w:name="_Toc109724596"/>
      <w:bookmarkStart w:id="15" w:name="_Toc125985694"/>
      <w:bookmarkEnd w:id="11"/>
      <w:r w:rsidRPr="007677DB">
        <w:rPr>
          <w:rFonts w:eastAsiaTheme="minorHAnsi"/>
        </w:rPr>
        <w:t xml:space="preserve">Optimising the current PLAC </w:t>
      </w:r>
      <w:r>
        <w:rPr>
          <w:rFonts w:eastAsiaTheme="minorHAnsi"/>
        </w:rPr>
        <w:t>– proposed structure</w:t>
      </w:r>
      <w:bookmarkEnd w:id="14"/>
      <w:r>
        <w:rPr>
          <w:rFonts w:eastAsiaTheme="minorHAnsi"/>
        </w:rPr>
        <w:t xml:space="preserve"> of the MDHTAC</w:t>
      </w:r>
      <w:bookmarkEnd w:id="15"/>
    </w:p>
    <w:p w14:paraId="1D1A2854" w14:textId="77777777" w:rsidR="004B50C0" w:rsidRPr="0022446C" w:rsidRDefault="004B50C0" w:rsidP="0022446C">
      <w:pPr>
        <w:rPr>
          <w:rFonts w:eastAsiaTheme="minorHAnsi"/>
        </w:rPr>
      </w:pPr>
      <w:r w:rsidRPr="00713FBE">
        <w:rPr>
          <w:rFonts w:eastAsiaTheme="minorHAnsi"/>
        </w:rPr>
        <w:t xml:space="preserve">The </w:t>
      </w:r>
      <w:r w:rsidRPr="00C373EA">
        <w:rPr>
          <w:rFonts w:eastAsiaTheme="minorHAnsi"/>
          <w:bCs/>
        </w:rPr>
        <w:t>Medical Devices and Human Tissue Advisory Committee (MDHTAC)</w:t>
      </w:r>
      <w:r w:rsidRPr="00713FBE">
        <w:rPr>
          <w:rFonts w:eastAsiaTheme="minorHAnsi"/>
        </w:rPr>
        <w:t xml:space="preserve"> will continue to make</w:t>
      </w:r>
      <w:r w:rsidRPr="0022446C">
        <w:rPr>
          <w:rFonts w:eastAsiaTheme="minorHAnsi"/>
        </w:rPr>
        <w:t xml:space="preserve"> recommendations to the Minister (or Delegate) on whether the devices for listing on the PL they consider should be listed on the PL, the benefits payable by private health insurers, and other issues relevant to the PL.  </w:t>
      </w:r>
    </w:p>
    <w:p w14:paraId="0F89ED58" w14:textId="77777777" w:rsidR="004B50C0" w:rsidRPr="0022446C" w:rsidRDefault="004B50C0" w:rsidP="0022446C">
      <w:pPr>
        <w:rPr>
          <w:rFonts w:eastAsiaTheme="minorHAnsi"/>
        </w:rPr>
      </w:pPr>
      <w:r w:rsidRPr="0022446C">
        <w:rPr>
          <w:rFonts w:eastAsiaTheme="minorHAnsi"/>
        </w:rPr>
        <w:t>The Chair of each ECAG will be appointed by the Minister for terms of two-years, up until 30 June 2025.  Members will be departmentally appointed.</w:t>
      </w:r>
    </w:p>
    <w:p w14:paraId="3962FFBE" w14:textId="77777777" w:rsidR="004B50C0" w:rsidRPr="00832133" w:rsidRDefault="004B50C0" w:rsidP="0022446C">
      <w:pPr>
        <w:rPr>
          <w:rFonts w:eastAsiaTheme="minorHAnsi"/>
        </w:rPr>
      </w:pPr>
      <w:r w:rsidRPr="0022446C">
        <w:rPr>
          <w:rFonts w:eastAsiaTheme="minorHAnsi"/>
        </w:rPr>
        <w:t xml:space="preserve">It is expected additional clinicians may be required to provide advice on occasion, however, to avoid reinventing the </w:t>
      </w:r>
      <w:proofErr w:type="spellStart"/>
      <w:r w:rsidRPr="0022446C">
        <w:rPr>
          <w:rFonts w:eastAsiaTheme="minorHAnsi"/>
        </w:rPr>
        <w:t>PoCE</w:t>
      </w:r>
      <w:proofErr w:type="spellEnd"/>
      <w:r w:rsidRPr="0022446C">
        <w:rPr>
          <w:rFonts w:eastAsiaTheme="minorHAnsi"/>
        </w:rPr>
        <w:t>, it is proposed the Department should approach the relevant medical society to engage expertise, where relevant and as requi</w:t>
      </w:r>
      <w:r w:rsidRPr="00832133">
        <w:rPr>
          <w:rFonts w:eastAsiaTheme="minorHAnsi"/>
        </w:rPr>
        <w:t>red</w:t>
      </w:r>
      <w:r>
        <w:rPr>
          <w:rFonts w:eastAsiaTheme="minorHAnsi"/>
        </w:rPr>
        <w:t xml:space="preserve"> and practicable to do so</w:t>
      </w:r>
      <w:r w:rsidRPr="00832133">
        <w:rPr>
          <w:rFonts w:eastAsiaTheme="minorHAnsi"/>
        </w:rPr>
        <w:t>.</w:t>
      </w:r>
    </w:p>
    <w:p w14:paraId="25F9ED66" w14:textId="77777777" w:rsidR="004B50C0" w:rsidRPr="0022446C" w:rsidRDefault="004B50C0" w:rsidP="0022446C">
      <w:pPr>
        <w:rPr>
          <w:rFonts w:eastAsiaTheme="minorHAnsi"/>
        </w:rPr>
      </w:pPr>
      <w:r w:rsidRPr="0022446C">
        <w:rPr>
          <w:rFonts w:eastAsiaTheme="minorHAnsi"/>
        </w:rPr>
        <w:t xml:space="preserve">The proposed structure of the MDHTAC and each ECAG are at Figure 1 and Table 1.  </w:t>
      </w:r>
    </w:p>
    <w:p w14:paraId="4FAEC514" w14:textId="36D4A028" w:rsidR="0022446C" w:rsidRDefault="0022446C" w:rsidP="0022446C">
      <w:pPr>
        <w:pStyle w:val="Caption"/>
      </w:pPr>
      <w:r>
        <w:t xml:space="preserve">Figure </w:t>
      </w:r>
      <w:fldSimple w:instr=" SEQ Figure \* ARABIC ">
        <w:r>
          <w:rPr>
            <w:noProof/>
          </w:rPr>
          <w:t>1</w:t>
        </w:r>
      </w:fldSimple>
      <w:r>
        <w:t xml:space="preserve">: Proposed </w:t>
      </w:r>
      <w:r w:rsidRPr="0022446C">
        <w:t>structure of the MDHTAC</w:t>
      </w:r>
    </w:p>
    <w:p w14:paraId="456902C0" w14:textId="77777777" w:rsidR="004B50C0" w:rsidRPr="0022446C" w:rsidRDefault="004B50C0" w:rsidP="004B50C0">
      <w:r>
        <w:rPr>
          <w:rFonts w:ascii="Segoe UI" w:hAnsi="Segoe UI" w:cs="Segoe UI"/>
          <w:noProof/>
          <w:color w:val="000000"/>
          <w:szCs w:val="21"/>
          <w:lang w:eastAsia="en-AU"/>
        </w:rPr>
        <w:drawing>
          <wp:inline distT="0" distB="0" distL="0" distR="0" wp14:anchorId="549CAAA3" wp14:editId="194B0A8E">
            <wp:extent cx="5634594" cy="4051712"/>
            <wp:effectExtent l="95250" t="57150" r="99695" b="120650"/>
            <wp:docPr id="5" name="Diagram 5" descr="This figure describes the proposed structure for the optimised PLAC including role, membership and six expert clinical advisory grou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89B4A01" w14:textId="77777777" w:rsidR="004B50C0" w:rsidRPr="0022446C" w:rsidRDefault="004B50C0" w:rsidP="0022446C">
      <w:pPr>
        <w:pStyle w:val="FootnoteText"/>
      </w:pPr>
      <w:r w:rsidRPr="0022446C">
        <w:t>*</w:t>
      </w:r>
      <w:proofErr w:type="gramStart"/>
      <w:r w:rsidRPr="0022446C">
        <w:t>these</w:t>
      </w:r>
      <w:proofErr w:type="gramEnd"/>
      <w:r w:rsidRPr="0022446C">
        <w:t xml:space="preserve"> naming conventions are subject to change to align with updates to the legislation taking place as part of the reforms </w:t>
      </w:r>
      <w:r w:rsidRPr="0022446C">
        <w:br w:type="page"/>
      </w:r>
    </w:p>
    <w:p w14:paraId="2872F011" w14:textId="765C13CB" w:rsidR="004B50C0" w:rsidRPr="00557D5A" w:rsidRDefault="0022446C" w:rsidP="0022446C">
      <w:pPr>
        <w:pStyle w:val="Caption"/>
      </w:pPr>
      <w:r>
        <w:lastRenderedPageBreak/>
        <w:t xml:space="preserve">Table </w:t>
      </w:r>
      <w:fldSimple w:instr=" SEQ Table \* ARABIC ">
        <w:r>
          <w:rPr>
            <w:noProof/>
          </w:rPr>
          <w:t>1</w:t>
        </w:r>
      </w:fldSimple>
      <w:r w:rsidR="004B50C0">
        <w:t>: Proposed structure of the ECAG models</w:t>
      </w:r>
    </w:p>
    <w:tbl>
      <w:tblPr>
        <w:tblStyle w:val="DepartmentofHealthtable"/>
        <w:tblW w:w="9639" w:type="dxa"/>
        <w:tblLook w:val="04A0" w:firstRow="1" w:lastRow="0" w:firstColumn="1" w:lastColumn="0" w:noHBand="0" w:noVBand="1"/>
        <w:tblDescription w:val="Add Alt Text describing the content of the table"/>
      </w:tblPr>
      <w:tblGrid>
        <w:gridCol w:w="2410"/>
        <w:gridCol w:w="3827"/>
        <w:gridCol w:w="3402"/>
      </w:tblGrid>
      <w:tr w:rsidR="004B50C0" w:rsidRPr="00726DE5" w14:paraId="69DD8A6A" w14:textId="77777777" w:rsidTr="006E79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C707EA3" w14:textId="77777777" w:rsidR="004B50C0" w:rsidRPr="00726DE5" w:rsidRDefault="004B50C0" w:rsidP="006E7904">
            <w:pPr>
              <w:pStyle w:val="TableHeaderWhite"/>
              <w:rPr>
                <w:sz w:val="19"/>
                <w:szCs w:val="19"/>
              </w:rPr>
            </w:pPr>
            <w:r w:rsidRPr="00726DE5">
              <w:rPr>
                <w:sz w:val="19"/>
                <w:szCs w:val="19"/>
              </w:rPr>
              <w:t>ECAG</w:t>
            </w:r>
          </w:p>
        </w:tc>
        <w:tc>
          <w:tcPr>
            <w:tcW w:w="3827" w:type="dxa"/>
          </w:tcPr>
          <w:p w14:paraId="62B71179" w14:textId="77777777" w:rsidR="004B50C0" w:rsidRPr="00726DE5" w:rsidRDefault="004B50C0" w:rsidP="006E7904">
            <w:pPr>
              <w:pStyle w:val="TableHeader"/>
              <w:cnfStyle w:val="100000000000" w:firstRow="1" w:lastRow="0" w:firstColumn="0" w:lastColumn="0" w:oddVBand="0" w:evenVBand="0" w:oddHBand="0" w:evenHBand="0" w:firstRowFirstColumn="0" w:firstRowLastColumn="0" w:lastRowFirstColumn="0" w:lastRowLastColumn="0"/>
              <w:rPr>
                <w:sz w:val="19"/>
                <w:szCs w:val="19"/>
              </w:rPr>
            </w:pPr>
            <w:r w:rsidRPr="00726DE5">
              <w:rPr>
                <w:sz w:val="19"/>
                <w:szCs w:val="19"/>
              </w:rPr>
              <w:t>Areas of Specialty (Advice)</w:t>
            </w:r>
          </w:p>
        </w:tc>
        <w:tc>
          <w:tcPr>
            <w:tcW w:w="3402" w:type="dxa"/>
          </w:tcPr>
          <w:p w14:paraId="24263C21" w14:textId="77777777" w:rsidR="004B50C0" w:rsidRPr="00726DE5" w:rsidRDefault="004B50C0" w:rsidP="006E7904">
            <w:pPr>
              <w:pStyle w:val="TableHeader"/>
              <w:cnfStyle w:val="100000000000" w:firstRow="1" w:lastRow="0" w:firstColumn="0" w:lastColumn="0" w:oddVBand="0" w:evenVBand="0" w:oddHBand="0" w:evenHBand="0" w:firstRowFirstColumn="0" w:firstRowLastColumn="0" w:lastRowFirstColumn="0" w:lastRowLastColumn="0"/>
              <w:rPr>
                <w:sz w:val="19"/>
                <w:szCs w:val="19"/>
              </w:rPr>
            </w:pPr>
            <w:r w:rsidRPr="00726DE5">
              <w:rPr>
                <w:sz w:val="19"/>
                <w:szCs w:val="19"/>
              </w:rPr>
              <w:t>Replacement of Current</w:t>
            </w:r>
            <w:r w:rsidRPr="00726DE5">
              <w:rPr>
                <w:sz w:val="19"/>
                <w:szCs w:val="19"/>
              </w:rPr>
              <w:br/>
              <w:t>CAG / PoCE</w:t>
            </w:r>
          </w:p>
        </w:tc>
      </w:tr>
      <w:tr w:rsidR="004B50C0" w:rsidRPr="00726DE5" w14:paraId="560D60B5" w14:textId="77777777" w:rsidTr="006E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7313E8D6" w14:textId="77777777" w:rsidR="004B50C0" w:rsidRPr="0022446C" w:rsidRDefault="004B50C0" w:rsidP="0022446C">
            <w:r w:rsidRPr="0022446C">
              <w:t>Specialist Orthopaedic</w:t>
            </w:r>
          </w:p>
        </w:tc>
        <w:tc>
          <w:tcPr>
            <w:tcW w:w="3827" w:type="dxa"/>
            <w:hideMark/>
          </w:tcPr>
          <w:p w14:paraId="5DD83BE6"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Shoulder</w:t>
            </w:r>
          </w:p>
          <w:p w14:paraId="4B7EBE98"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 xml:space="preserve">Ankle </w:t>
            </w:r>
          </w:p>
          <w:p w14:paraId="5862B777"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Foot, Upper limb, Skeletal Reconstruction</w:t>
            </w:r>
          </w:p>
        </w:tc>
        <w:tc>
          <w:tcPr>
            <w:tcW w:w="3402" w:type="dxa"/>
            <w:hideMark/>
          </w:tcPr>
          <w:p w14:paraId="5E253FCC"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Specialist Orthopaedic (SOCAG)</w:t>
            </w:r>
          </w:p>
        </w:tc>
      </w:tr>
      <w:tr w:rsidR="004B50C0" w:rsidRPr="00726DE5" w14:paraId="6C035C6B" w14:textId="77777777" w:rsidTr="006E7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5A43D34C" w14:textId="77777777" w:rsidR="004B50C0" w:rsidRPr="0022446C" w:rsidRDefault="004B50C0" w:rsidP="0022446C">
            <w:r w:rsidRPr="0022446C">
              <w:t xml:space="preserve">Hip and Knee </w:t>
            </w:r>
          </w:p>
        </w:tc>
        <w:tc>
          <w:tcPr>
            <w:tcW w:w="3827" w:type="dxa"/>
            <w:hideMark/>
          </w:tcPr>
          <w:p w14:paraId="770DF8C0"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Knee</w:t>
            </w:r>
          </w:p>
          <w:p w14:paraId="6E0CDE66"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Hip </w:t>
            </w:r>
          </w:p>
        </w:tc>
        <w:tc>
          <w:tcPr>
            <w:tcW w:w="3402" w:type="dxa"/>
            <w:hideMark/>
          </w:tcPr>
          <w:p w14:paraId="7EBCEA9C"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Knee Prostheses (KPCAG)</w:t>
            </w:r>
          </w:p>
          <w:p w14:paraId="308150BE"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Hip Prostheses (HPCAG)</w:t>
            </w:r>
          </w:p>
        </w:tc>
      </w:tr>
      <w:tr w:rsidR="004B50C0" w:rsidRPr="00726DE5" w14:paraId="73F69663" w14:textId="77777777" w:rsidTr="006E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57FD5514" w14:textId="77777777" w:rsidR="004B50C0" w:rsidRPr="0022446C" w:rsidRDefault="004B50C0" w:rsidP="0022446C">
            <w:r w:rsidRPr="0022446C">
              <w:t xml:space="preserve">Ophthalmic </w:t>
            </w:r>
          </w:p>
        </w:tc>
        <w:tc>
          <w:tcPr>
            <w:tcW w:w="3827" w:type="dxa"/>
            <w:hideMark/>
          </w:tcPr>
          <w:p w14:paraId="2CB5C2CC"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Ophthalmic</w:t>
            </w:r>
          </w:p>
        </w:tc>
        <w:tc>
          <w:tcPr>
            <w:tcW w:w="3402" w:type="dxa"/>
            <w:hideMark/>
          </w:tcPr>
          <w:p w14:paraId="53FEE07A"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Ophthalmic Prostheses (OPCAG)</w:t>
            </w:r>
          </w:p>
        </w:tc>
      </w:tr>
      <w:tr w:rsidR="004B50C0" w:rsidRPr="00726DE5" w14:paraId="63D6B7F3" w14:textId="77777777" w:rsidTr="006E7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55F44DA6" w14:textId="77777777" w:rsidR="004B50C0" w:rsidRPr="0022446C" w:rsidRDefault="004B50C0" w:rsidP="0022446C">
            <w:r w:rsidRPr="0022446C">
              <w:t xml:space="preserve">Spinal and Neurosurgical </w:t>
            </w:r>
          </w:p>
        </w:tc>
        <w:tc>
          <w:tcPr>
            <w:tcW w:w="3827" w:type="dxa"/>
            <w:hideMark/>
          </w:tcPr>
          <w:p w14:paraId="1853B28C"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Spinal</w:t>
            </w:r>
          </w:p>
          <w:p w14:paraId="5DF56525"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Neurosurgical</w:t>
            </w:r>
          </w:p>
        </w:tc>
        <w:tc>
          <w:tcPr>
            <w:tcW w:w="3402" w:type="dxa"/>
            <w:hideMark/>
          </w:tcPr>
          <w:p w14:paraId="2A3636CD"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Spinal Prostheses (SPCAG)</w:t>
            </w:r>
          </w:p>
          <w:p w14:paraId="7CE121B3"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Neurosurgical </w:t>
            </w:r>
            <w:proofErr w:type="spellStart"/>
            <w:r w:rsidRPr="0022446C">
              <w:t>PoCE</w:t>
            </w:r>
            <w:proofErr w:type="spellEnd"/>
          </w:p>
        </w:tc>
      </w:tr>
      <w:tr w:rsidR="004B50C0" w:rsidRPr="00726DE5" w14:paraId="76DB17B2" w14:textId="77777777" w:rsidTr="006E7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3F5BE315" w14:textId="77777777" w:rsidR="004B50C0" w:rsidRPr="0022446C" w:rsidRDefault="004B50C0" w:rsidP="0022446C">
            <w:r w:rsidRPr="0022446C">
              <w:t xml:space="preserve">Cardiovascular </w:t>
            </w:r>
          </w:p>
        </w:tc>
        <w:tc>
          <w:tcPr>
            <w:tcW w:w="3827" w:type="dxa"/>
            <w:hideMark/>
          </w:tcPr>
          <w:p w14:paraId="4323757E"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Cardiac</w:t>
            </w:r>
          </w:p>
          <w:p w14:paraId="425F4CF2"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Cardiothoracic</w:t>
            </w:r>
          </w:p>
          <w:p w14:paraId="5D17C883"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Vascular</w:t>
            </w:r>
          </w:p>
        </w:tc>
        <w:tc>
          <w:tcPr>
            <w:tcW w:w="3402" w:type="dxa"/>
            <w:hideMark/>
          </w:tcPr>
          <w:p w14:paraId="7474394E"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Cardiac Prostheses (CPCAG)</w:t>
            </w:r>
          </w:p>
          <w:p w14:paraId="29C75EDF"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Cardiothoracic Prostheses (CTPCAG)</w:t>
            </w:r>
          </w:p>
          <w:p w14:paraId="608F5C76" w14:textId="77777777" w:rsidR="004B50C0" w:rsidRPr="0022446C" w:rsidRDefault="004B50C0" w:rsidP="0022446C">
            <w:pPr>
              <w:pStyle w:val="Tablelistbullet"/>
              <w:cnfStyle w:val="000000100000" w:firstRow="0" w:lastRow="0" w:firstColumn="0" w:lastColumn="0" w:oddVBand="0" w:evenVBand="0" w:oddHBand="1" w:evenHBand="0" w:firstRowFirstColumn="0" w:firstRowLastColumn="0" w:lastRowFirstColumn="0" w:lastRowLastColumn="0"/>
            </w:pPr>
            <w:r w:rsidRPr="0022446C">
              <w:t>Vascular Prostheses (VPCAG)</w:t>
            </w:r>
          </w:p>
        </w:tc>
      </w:tr>
      <w:tr w:rsidR="004B50C0" w:rsidRPr="00726DE5" w14:paraId="45DFF7FF" w14:textId="77777777" w:rsidTr="006E7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hideMark/>
          </w:tcPr>
          <w:p w14:paraId="4E28F908" w14:textId="77777777" w:rsidR="004B50C0" w:rsidRPr="0022446C" w:rsidRDefault="004B50C0" w:rsidP="0022446C">
            <w:r w:rsidRPr="0022446C">
              <w:t xml:space="preserve">General surgery </w:t>
            </w:r>
          </w:p>
        </w:tc>
        <w:tc>
          <w:tcPr>
            <w:tcW w:w="3827" w:type="dxa"/>
          </w:tcPr>
          <w:p w14:paraId="14E67B01"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Ear, Nose and Throat </w:t>
            </w:r>
          </w:p>
          <w:p w14:paraId="690999B2"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Plastic and Reconstruction</w:t>
            </w:r>
          </w:p>
          <w:p w14:paraId="305A34AE"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Urogenital</w:t>
            </w:r>
          </w:p>
          <w:p w14:paraId="0FA3CA16"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All other general surgery devices</w:t>
            </w:r>
          </w:p>
        </w:tc>
        <w:tc>
          <w:tcPr>
            <w:tcW w:w="3402" w:type="dxa"/>
            <w:hideMark/>
          </w:tcPr>
          <w:p w14:paraId="198C5D6D"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ENT </w:t>
            </w:r>
            <w:proofErr w:type="spellStart"/>
            <w:r w:rsidRPr="0022446C">
              <w:t>PoCE</w:t>
            </w:r>
            <w:proofErr w:type="spellEnd"/>
          </w:p>
          <w:p w14:paraId="38E8D140"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Plastic and Reconstructive </w:t>
            </w:r>
            <w:proofErr w:type="spellStart"/>
            <w:r w:rsidRPr="0022446C">
              <w:t>PoCE</w:t>
            </w:r>
            <w:proofErr w:type="spellEnd"/>
            <w:r w:rsidRPr="0022446C">
              <w:t xml:space="preserve"> </w:t>
            </w:r>
          </w:p>
          <w:p w14:paraId="56B055FF" w14:textId="77777777" w:rsidR="004B50C0" w:rsidRPr="0022446C" w:rsidRDefault="004B50C0" w:rsidP="0022446C">
            <w:pPr>
              <w:pStyle w:val="Tablelistbullet"/>
              <w:cnfStyle w:val="000000010000" w:firstRow="0" w:lastRow="0" w:firstColumn="0" w:lastColumn="0" w:oddVBand="0" w:evenVBand="0" w:oddHBand="0" w:evenHBand="1" w:firstRowFirstColumn="0" w:firstRowLastColumn="0" w:lastRowFirstColumn="0" w:lastRowLastColumn="0"/>
            </w:pPr>
            <w:r w:rsidRPr="0022446C">
              <w:t xml:space="preserve">General </w:t>
            </w:r>
            <w:proofErr w:type="spellStart"/>
            <w:r w:rsidRPr="0022446C">
              <w:t>Misc</w:t>
            </w:r>
            <w:proofErr w:type="spellEnd"/>
            <w:r w:rsidRPr="0022446C">
              <w:t xml:space="preserve"> and Urogenital </w:t>
            </w:r>
            <w:proofErr w:type="spellStart"/>
            <w:r w:rsidRPr="0022446C">
              <w:t>PoCE</w:t>
            </w:r>
            <w:proofErr w:type="spellEnd"/>
          </w:p>
        </w:tc>
      </w:tr>
    </w:tbl>
    <w:p w14:paraId="3C39BBBE" w14:textId="77777777" w:rsidR="004B50C0" w:rsidRPr="007677DB" w:rsidRDefault="004B50C0" w:rsidP="004B50C0">
      <w:pPr>
        <w:pStyle w:val="Heading2"/>
        <w:rPr>
          <w:rFonts w:eastAsiaTheme="minorHAnsi"/>
        </w:rPr>
      </w:pPr>
      <w:bookmarkStart w:id="16" w:name="_Toc109724597"/>
      <w:bookmarkStart w:id="17" w:name="_Toc125985695"/>
      <w:r w:rsidRPr="007677DB">
        <w:rPr>
          <w:rFonts w:eastAsiaTheme="minorHAnsi"/>
        </w:rPr>
        <w:t>The role of Industry representation</w:t>
      </w:r>
      <w:bookmarkEnd w:id="16"/>
      <w:bookmarkEnd w:id="17"/>
    </w:p>
    <w:p w14:paraId="0DE43427" w14:textId="77777777" w:rsidR="004B50C0" w:rsidRDefault="004B50C0" w:rsidP="0022446C">
      <w:pPr>
        <w:rPr>
          <w:rFonts w:eastAsiaTheme="minorHAnsi"/>
        </w:rPr>
      </w:pPr>
      <w:r>
        <w:rPr>
          <w:rFonts w:eastAsiaTheme="minorHAnsi"/>
        </w:rPr>
        <w:t>The Department acknowledges that t</w:t>
      </w:r>
      <w:r w:rsidRPr="00713FBE">
        <w:rPr>
          <w:rFonts w:eastAsiaTheme="minorHAnsi"/>
        </w:rPr>
        <w:t xml:space="preserve">here </w:t>
      </w:r>
      <w:r>
        <w:rPr>
          <w:rFonts w:eastAsiaTheme="minorHAnsi"/>
        </w:rPr>
        <w:t>is</w:t>
      </w:r>
      <w:r w:rsidRPr="00713FBE">
        <w:rPr>
          <w:rFonts w:eastAsiaTheme="minorHAnsi"/>
        </w:rPr>
        <w:t xml:space="preserve"> some concern</w:t>
      </w:r>
      <w:r>
        <w:rPr>
          <w:rFonts w:eastAsiaTheme="minorHAnsi"/>
        </w:rPr>
        <w:t xml:space="preserve"> from stakeholders the removal of</w:t>
      </w:r>
      <w:r w:rsidRPr="00713FBE">
        <w:rPr>
          <w:rFonts w:eastAsiaTheme="minorHAnsi"/>
        </w:rPr>
        <w:t xml:space="preserve"> industry </w:t>
      </w:r>
      <w:r>
        <w:rPr>
          <w:rFonts w:eastAsiaTheme="minorHAnsi"/>
        </w:rPr>
        <w:t xml:space="preserve">representation </w:t>
      </w:r>
      <w:r w:rsidRPr="00713FBE">
        <w:rPr>
          <w:rFonts w:eastAsiaTheme="minorHAnsi"/>
        </w:rPr>
        <w:t>from the committee</w:t>
      </w:r>
      <w:r>
        <w:rPr>
          <w:rFonts w:eastAsiaTheme="minorHAnsi"/>
        </w:rPr>
        <w:t xml:space="preserve"> (</w:t>
      </w:r>
      <w:proofErr w:type="gramStart"/>
      <w:r>
        <w:rPr>
          <w:rFonts w:eastAsiaTheme="minorHAnsi"/>
        </w:rPr>
        <w:t>i.e.</w:t>
      </w:r>
      <w:proofErr w:type="gramEnd"/>
      <w:r>
        <w:rPr>
          <w:rFonts w:eastAsiaTheme="minorHAnsi"/>
        </w:rPr>
        <w:t xml:space="preserve"> observers from the private health insurance and medical device industries)</w:t>
      </w:r>
      <w:r w:rsidRPr="00713FBE">
        <w:rPr>
          <w:rFonts w:eastAsiaTheme="minorHAnsi"/>
        </w:rPr>
        <w:t xml:space="preserve">.  </w:t>
      </w:r>
    </w:p>
    <w:p w14:paraId="06B184A1" w14:textId="77777777" w:rsidR="004B50C0" w:rsidRPr="00016E0D" w:rsidRDefault="004B50C0" w:rsidP="0022446C">
      <w:pPr>
        <w:rPr>
          <w:rFonts w:eastAsiaTheme="minorHAnsi"/>
        </w:rPr>
      </w:pPr>
      <w:r w:rsidRPr="00016E0D">
        <w:rPr>
          <w:rFonts w:eastAsiaTheme="minorHAnsi"/>
        </w:rPr>
        <w:t xml:space="preserve">Stakeholders will be able to raise concerns once an item has been listed. Any interested stakeholder </w:t>
      </w:r>
      <w:proofErr w:type="gramStart"/>
      <w:r w:rsidRPr="00016E0D">
        <w:rPr>
          <w:rFonts w:eastAsiaTheme="minorHAnsi"/>
        </w:rPr>
        <w:t>is able to</w:t>
      </w:r>
      <w:proofErr w:type="gramEnd"/>
      <w:r w:rsidRPr="00016E0D">
        <w:rPr>
          <w:rFonts w:eastAsiaTheme="minorHAnsi"/>
        </w:rPr>
        <w:t xml:space="preserve"> write to the Department (as the decision maker) to raise their concerns (including providing evidence) regarding the listing of any item on the PL.  </w:t>
      </w:r>
    </w:p>
    <w:p w14:paraId="6339BA66" w14:textId="77777777" w:rsidR="004B50C0" w:rsidRPr="00016E0D" w:rsidRDefault="004B50C0" w:rsidP="0022446C">
      <w:pPr>
        <w:rPr>
          <w:rFonts w:eastAsiaTheme="minorHAnsi"/>
        </w:rPr>
      </w:pPr>
      <w:r w:rsidRPr="00016E0D">
        <w:rPr>
          <w:rFonts w:eastAsiaTheme="minorHAnsi"/>
        </w:rPr>
        <w:t>Additionally, key stakeholders will be kept abreast of issues through the regular stakeholder forums and through the post-listing review process.</w:t>
      </w:r>
    </w:p>
    <w:p w14:paraId="38B0D7D0" w14:textId="77777777" w:rsidR="004B50C0" w:rsidRPr="004D41D7" w:rsidRDefault="004B50C0" w:rsidP="004B50C0">
      <w:pPr>
        <w:pStyle w:val="Heading2"/>
        <w:rPr>
          <w:rFonts w:eastAsiaTheme="minorHAnsi"/>
        </w:rPr>
      </w:pPr>
      <w:bookmarkStart w:id="18" w:name="_Toc109724598"/>
      <w:bookmarkStart w:id="19" w:name="_Toc125985696"/>
      <w:r w:rsidRPr="004D41D7">
        <w:rPr>
          <w:rFonts w:eastAsiaTheme="minorHAnsi"/>
        </w:rPr>
        <w:t>Publication of Committee Outcomes</w:t>
      </w:r>
      <w:bookmarkEnd w:id="18"/>
      <w:bookmarkEnd w:id="19"/>
    </w:p>
    <w:p w14:paraId="73540A98" w14:textId="77777777" w:rsidR="004B50C0" w:rsidRPr="00320993" w:rsidRDefault="004B50C0" w:rsidP="0022446C">
      <w:pPr>
        <w:rPr>
          <w:rFonts w:eastAsiaTheme="minorHAnsi"/>
        </w:rPr>
      </w:pPr>
      <w:r w:rsidRPr="00320993">
        <w:rPr>
          <w:rFonts w:eastAsiaTheme="minorHAnsi"/>
        </w:rPr>
        <w:t xml:space="preserve">It is acknowledged consultation on a </w:t>
      </w:r>
      <w:proofErr w:type="gramStart"/>
      <w:r w:rsidRPr="00320993">
        <w:rPr>
          <w:rFonts w:eastAsiaTheme="minorHAnsi"/>
        </w:rPr>
        <w:t>sponsors</w:t>
      </w:r>
      <w:proofErr w:type="gramEnd"/>
      <w:r w:rsidRPr="00320993">
        <w:rPr>
          <w:rFonts w:eastAsiaTheme="minorHAnsi"/>
        </w:rPr>
        <w:t xml:space="preserve"> application is the preference of some stakeholders, including the publishing of a Public Summary </w:t>
      </w:r>
      <w:r w:rsidRPr="00713FBE">
        <w:rPr>
          <w:rFonts w:eastAsiaTheme="minorHAnsi"/>
        </w:rPr>
        <w:t xml:space="preserve">Document which provides the critical thinking on an outcome. The Department recognises there is commercially sensitive information contained in an application and for this reason, the Department </w:t>
      </w:r>
      <w:r>
        <w:rPr>
          <w:rFonts w:eastAsiaTheme="minorHAnsi"/>
        </w:rPr>
        <w:t>is</w:t>
      </w:r>
      <w:r w:rsidRPr="00713FBE">
        <w:rPr>
          <w:rFonts w:eastAsiaTheme="minorHAnsi"/>
        </w:rPr>
        <w:t xml:space="preserve"> not </w:t>
      </w:r>
      <w:r>
        <w:rPr>
          <w:rFonts w:eastAsiaTheme="minorHAnsi"/>
        </w:rPr>
        <w:t xml:space="preserve">proposing to </w:t>
      </w:r>
      <w:r w:rsidRPr="00713FBE">
        <w:rPr>
          <w:rFonts w:eastAsiaTheme="minorHAnsi"/>
        </w:rPr>
        <w:t xml:space="preserve">disseminate applications for comment and </w:t>
      </w:r>
      <w:r>
        <w:rPr>
          <w:rFonts w:eastAsiaTheme="minorHAnsi"/>
        </w:rPr>
        <w:t>does not plan to</w:t>
      </w:r>
      <w:r w:rsidRPr="00713FBE">
        <w:rPr>
          <w:rFonts w:eastAsiaTheme="minorHAnsi"/>
        </w:rPr>
        <w:t xml:space="preserve"> publish Public Summary</w:t>
      </w:r>
      <w:r w:rsidRPr="00320993">
        <w:rPr>
          <w:rFonts w:eastAsiaTheme="minorHAnsi"/>
        </w:rPr>
        <w:t xml:space="preserve"> Documents on each application.  Further, the Department receives over 700 applications per cycle and the publication of these documents are resource intensive.  The likely resources required to produce this output is not feasible.</w:t>
      </w:r>
    </w:p>
    <w:p w14:paraId="6A73C4B3" w14:textId="209491BE" w:rsidR="007D0AB0" w:rsidRPr="00726DE5" w:rsidRDefault="004B50C0" w:rsidP="0022446C">
      <w:pPr>
        <w:rPr>
          <w:rFonts w:eastAsiaTheme="minorHAnsi"/>
        </w:rPr>
      </w:pPr>
      <w:r w:rsidRPr="00320993">
        <w:rPr>
          <w:rFonts w:eastAsiaTheme="minorHAnsi"/>
        </w:rPr>
        <w:t xml:space="preserve">Recognising concern while also addressing transparency, the Department </w:t>
      </w:r>
      <w:r>
        <w:rPr>
          <w:rFonts w:eastAsiaTheme="minorHAnsi"/>
        </w:rPr>
        <w:t xml:space="preserve">is considering the production of </w:t>
      </w:r>
      <w:r w:rsidRPr="00320993">
        <w:rPr>
          <w:rFonts w:eastAsiaTheme="minorHAnsi"/>
        </w:rPr>
        <w:t>a high</w:t>
      </w:r>
      <w:r>
        <w:rPr>
          <w:rFonts w:eastAsiaTheme="minorHAnsi"/>
        </w:rPr>
        <w:t>-</w:t>
      </w:r>
      <w:r w:rsidRPr="00320993">
        <w:rPr>
          <w:rFonts w:eastAsiaTheme="minorHAnsi"/>
        </w:rPr>
        <w:t xml:space="preserve">level meeting outcomes document of applications considered by the </w:t>
      </w:r>
      <w:r>
        <w:rPr>
          <w:rFonts w:eastAsiaTheme="minorHAnsi"/>
        </w:rPr>
        <w:lastRenderedPageBreak/>
        <w:t>MDHTAC</w:t>
      </w:r>
      <w:r w:rsidRPr="00320993">
        <w:rPr>
          <w:rFonts w:eastAsiaTheme="minorHAnsi"/>
        </w:rPr>
        <w:t xml:space="preserve">.  Information to be released will include the device name, its </w:t>
      </w:r>
      <w:proofErr w:type="gramStart"/>
      <w:r w:rsidRPr="00320993">
        <w:rPr>
          <w:rFonts w:eastAsiaTheme="minorHAnsi"/>
        </w:rPr>
        <w:t>use</w:t>
      </w:r>
      <w:proofErr w:type="gramEnd"/>
      <w:r w:rsidRPr="00320993">
        <w:rPr>
          <w:rFonts w:eastAsiaTheme="minorHAnsi"/>
        </w:rPr>
        <w:t xml:space="preserve"> and high</w:t>
      </w:r>
      <w:r>
        <w:rPr>
          <w:rFonts w:eastAsiaTheme="minorHAnsi"/>
        </w:rPr>
        <w:t>-</w:t>
      </w:r>
      <w:r w:rsidRPr="00320993">
        <w:rPr>
          <w:rFonts w:eastAsiaTheme="minorHAnsi"/>
        </w:rPr>
        <w:t>level outcome</w:t>
      </w:r>
      <w:r>
        <w:rPr>
          <w:rFonts w:eastAsiaTheme="minorHAnsi"/>
        </w:rPr>
        <w:t>s</w:t>
      </w:r>
      <w:r w:rsidRPr="00320993">
        <w:rPr>
          <w:rFonts w:eastAsiaTheme="minorHAnsi"/>
        </w:rPr>
        <w:t xml:space="preserve"> (including grouping where</w:t>
      </w:r>
      <w:r>
        <w:rPr>
          <w:rFonts w:eastAsiaTheme="minorHAnsi"/>
        </w:rPr>
        <w:t xml:space="preserve"> an</w:t>
      </w:r>
      <w:r w:rsidRPr="00320993">
        <w:rPr>
          <w:rFonts w:eastAsiaTheme="minorHAnsi"/>
        </w:rPr>
        <w:t xml:space="preserve"> application has been approved)</w:t>
      </w:r>
      <w:r>
        <w:rPr>
          <w:rFonts w:eastAsiaTheme="minorHAnsi"/>
        </w:rPr>
        <w:t xml:space="preserve"> and negative recommendations where applicable</w:t>
      </w:r>
      <w:r w:rsidRPr="00320993">
        <w:rPr>
          <w:rFonts w:eastAsiaTheme="minorHAnsi"/>
        </w:rPr>
        <w:t>.  The Department acknowledges concerns related to the publishing of high</w:t>
      </w:r>
      <w:r>
        <w:rPr>
          <w:rFonts w:eastAsiaTheme="minorHAnsi"/>
        </w:rPr>
        <w:t>-</w:t>
      </w:r>
      <w:r w:rsidRPr="00320993">
        <w:rPr>
          <w:rFonts w:eastAsiaTheme="minorHAnsi"/>
        </w:rPr>
        <w:t>level meeting outcomes and will monitor any unintended consequences of its implementation.</w:t>
      </w:r>
      <w:bookmarkEnd w:id="1"/>
    </w:p>
    <w:p w14:paraId="6A4CE30C" w14:textId="77777777" w:rsidR="00077A30" w:rsidRPr="004D1339" w:rsidRDefault="00077A30" w:rsidP="00346C4A">
      <w:pPr>
        <w:sectPr w:rsidR="00077A30" w:rsidRPr="004D1339" w:rsidSect="00077A30">
          <w:type w:val="oddPage"/>
          <w:pgSz w:w="11906" w:h="16838"/>
          <w:pgMar w:top="1701" w:right="1418" w:bottom="1418" w:left="1418" w:header="709" w:footer="709" w:gutter="0"/>
          <w:cols w:space="708"/>
          <w:docGrid w:linePitch="360"/>
        </w:sectPr>
      </w:pPr>
    </w:p>
    <w:p w14:paraId="22AF2C1C" w14:textId="77777777" w:rsidR="00205A93" w:rsidRPr="004D1339" w:rsidRDefault="00205A93" w:rsidP="00346C4A">
      <w:pPr>
        <w:pStyle w:val="URL"/>
      </w:pPr>
      <w:r w:rsidRPr="004D1339">
        <w:lastRenderedPageBreak/>
        <w:t>Health.gov.au</w:t>
      </w:r>
    </w:p>
    <w:p w14:paraId="353C0577" w14:textId="699ECE49"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456BF6">
        <w:t>December</w:t>
      </w:r>
      <w:r w:rsidR="00016E0D">
        <w:t xml:space="preserve"> </w:t>
      </w:r>
      <w:r w:rsidR="008E5F69">
        <w:t>2022</w:t>
      </w:r>
    </w:p>
    <w:sectPr w:rsidR="00205A93" w:rsidRPr="004D1339" w:rsidSect="00205A93">
      <w:headerReference w:type="default" r:id="rId24"/>
      <w:footerReference w:type="default" r:id="rId2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70DB" w14:textId="77777777" w:rsidR="00290ACF" w:rsidRDefault="00290ACF" w:rsidP="00346C4A">
      <w:r>
        <w:separator/>
      </w:r>
    </w:p>
    <w:p w14:paraId="60584704" w14:textId="77777777" w:rsidR="00290ACF" w:rsidRDefault="00290ACF" w:rsidP="00346C4A"/>
  </w:endnote>
  <w:endnote w:type="continuationSeparator" w:id="0">
    <w:p w14:paraId="3AF81BB3" w14:textId="77777777" w:rsidR="00290ACF" w:rsidRDefault="00290ACF" w:rsidP="00346C4A">
      <w:r>
        <w:continuationSeparator/>
      </w:r>
    </w:p>
    <w:p w14:paraId="5B4B7D70" w14:textId="77777777" w:rsidR="00290ACF" w:rsidRDefault="00290ACF" w:rsidP="00346C4A"/>
  </w:endnote>
  <w:endnote w:type="continuationNotice" w:id="1">
    <w:p w14:paraId="0AF463E3" w14:textId="77777777" w:rsidR="00290ACF" w:rsidRDefault="00290ACF"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93A2"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4F0E78E3" w14:textId="0B4E4ECB" w:rsidR="00236073" w:rsidRDefault="0066677A" w:rsidP="000D56E4">
        <w:pPr>
          <w:pStyle w:val="Footer"/>
        </w:pPr>
        <w:r>
          <w:t>Pre-listing Assessment Framework and Governance Structure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391D7A9C"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39DE"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B716" w14:textId="77777777" w:rsidR="00290ACF" w:rsidRDefault="00290ACF" w:rsidP="00346C4A">
      <w:r>
        <w:separator/>
      </w:r>
    </w:p>
    <w:p w14:paraId="5881A0C1" w14:textId="77777777" w:rsidR="00290ACF" w:rsidRDefault="00290ACF" w:rsidP="00346C4A"/>
  </w:footnote>
  <w:footnote w:type="continuationSeparator" w:id="0">
    <w:p w14:paraId="40FDAB39" w14:textId="77777777" w:rsidR="00290ACF" w:rsidRDefault="00290ACF" w:rsidP="00346C4A">
      <w:r>
        <w:continuationSeparator/>
      </w:r>
    </w:p>
    <w:p w14:paraId="5E9E778F" w14:textId="77777777" w:rsidR="00290ACF" w:rsidRDefault="00290ACF" w:rsidP="00346C4A"/>
  </w:footnote>
  <w:footnote w:type="continuationNotice" w:id="1">
    <w:p w14:paraId="1EEDCB5E" w14:textId="77777777" w:rsidR="00290ACF" w:rsidRDefault="00290ACF"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8DA"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2ECAD661" wp14:editId="368F0FC5">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D7BF"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295CCBD0" wp14:editId="6803BCD5">
          <wp:simplePos x="0" y="0"/>
          <wp:positionH relativeFrom="page">
            <wp:align>center</wp:align>
          </wp:positionH>
          <wp:positionV relativeFrom="page">
            <wp:align>center</wp:align>
          </wp:positionV>
          <wp:extent cx="7558768" cy="10692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2283"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930"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B60D"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336"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72702226" wp14:editId="52DB05CA">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20A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FA5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EE3B98"/>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CEAC18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102FEA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424539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60649A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107A7F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A061E"/>
    <w:multiLevelType w:val="hybridMultilevel"/>
    <w:tmpl w:val="94CE18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DFE1A36"/>
    <w:multiLevelType w:val="hybridMultilevel"/>
    <w:tmpl w:val="97ECDB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700630B2"/>
    <w:lvl w:ilvl="0" w:tplc="5D5039B6">
      <w:start w:val="1"/>
      <w:numFmt w:val="bullet"/>
      <w:pStyle w:val="Tablelist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DE711E"/>
    <w:multiLevelType w:val="hybridMultilevel"/>
    <w:tmpl w:val="B3FC63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17"/>
  </w:num>
  <w:num w:numId="3">
    <w:abstractNumId w:val="20"/>
  </w:num>
  <w:num w:numId="4">
    <w:abstractNumId w:val="9"/>
  </w:num>
  <w:num w:numId="5">
    <w:abstractNumId w:val="9"/>
    <w:lvlOverride w:ilvl="0">
      <w:startOverride w:val="1"/>
    </w:lvlOverride>
  </w:num>
  <w:num w:numId="6">
    <w:abstractNumId w:val="10"/>
  </w:num>
  <w:num w:numId="7">
    <w:abstractNumId w:val="15"/>
  </w:num>
  <w:num w:numId="8">
    <w:abstractNumId w:val="19"/>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2"/>
  </w:num>
  <w:num w:numId="17">
    <w:abstractNumId w:val="11"/>
  </w:num>
  <w:num w:numId="18">
    <w:abstractNumId w:val="12"/>
  </w:num>
  <w:num w:numId="19">
    <w:abstractNumId w:val="14"/>
  </w:num>
  <w:num w:numId="20">
    <w:abstractNumId w:val="16"/>
  </w:num>
  <w:num w:numId="21">
    <w:abstractNumId w:val="21"/>
  </w:num>
  <w:num w:numId="22">
    <w:abstractNumId w:val="13"/>
  </w:num>
  <w:num w:numId="23">
    <w:abstractNumId w:val="1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FF"/>
    <w:rsid w:val="00003743"/>
    <w:rsid w:val="000047B4"/>
    <w:rsid w:val="00005712"/>
    <w:rsid w:val="00007FD8"/>
    <w:rsid w:val="000117F8"/>
    <w:rsid w:val="00016E0D"/>
    <w:rsid w:val="00026139"/>
    <w:rsid w:val="00027071"/>
    <w:rsid w:val="00027601"/>
    <w:rsid w:val="00033321"/>
    <w:rsid w:val="000338E5"/>
    <w:rsid w:val="00033ECC"/>
    <w:rsid w:val="0003422F"/>
    <w:rsid w:val="00037C53"/>
    <w:rsid w:val="00046FF0"/>
    <w:rsid w:val="00050176"/>
    <w:rsid w:val="00050702"/>
    <w:rsid w:val="00062B65"/>
    <w:rsid w:val="00066C71"/>
    <w:rsid w:val="00067456"/>
    <w:rsid w:val="00071506"/>
    <w:rsid w:val="0007154F"/>
    <w:rsid w:val="000750D6"/>
    <w:rsid w:val="00077A30"/>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123C"/>
    <w:rsid w:val="000F2FED"/>
    <w:rsid w:val="000F44B2"/>
    <w:rsid w:val="00100F6D"/>
    <w:rsid w:val="0010616D"/>
    <w:rsid w:val="00110478"/>
    <w:rsid w:val="0011711B"/>
    <w:rsid w:val="00117F8A"/>
    <w:rsid w:val="00121B9B"/>
    <w:rsid w:val="00122ADC"/>
    <w:rsid w:val="00130F59"/>
    <w:rsid w:val="00131DD2"/>
    <w:rsid w:val="00133EC0"/>
    <w:rsid w:val="00141CE5"/>
    <w:rsid w:val="00144908"/>
    <w:rsid w:val="001571C7"/>
    <w:rsid w:val="00161094"/>
    <w:rsid w:val="00161168"/>
    <w:rsid w:val="00165D31"/>
    <w:rsid w:val="00172A55"/>
    <w:rsid w:val="001758CD"/>
    <w:rsid w:val="0017665C"/>
    <w:rsid w:val="0017720F"/>
    <w:rsid w:val="00177AD2"/>
    <w:rsid w:val="001815A8"/>
    <w:rsid w:val="001840FA"/>
    <w:rsid w:val="00190079"/>
    <w:rsid w:val="0019622E"/>
    <w:rsid w:val="001966A7"/>
    <w:rsid w:val="001A0432"/>
    <w:rsid w:val="001A4627"/>
    <w:rsid w:val="001A4979"/>
    <w:rsid w:val="001B0F0A"/>
    <w:rsid w:val="001B15D3"/>
    <w:rsid w:val="001B3443"/>
    <w:rsid w:val="001C0326"/>
    <w:rsid w:val="001C192F"/>
    <w:rsid w:val="001C3C42"/>
    <w:rsid w:val="001D7869"/>
    <w:rsid w:val="001F2F78"/>
    <w:rsid w:val="002024F0"/>
    <w:rsid w:val="002026CD"/>
    <w:rsid w:val="002033FC"/>
    <w:rsid w:val="0020352E"/>
    <w:rsid w:val="002044BB"/>
    <w:rsid w:val="00205A93"/>
    <w:rsid w:val="00207793"/>
    <w:rsid w:val="00210B09"/>
    <w:rsid w:val="00210C9E"/>
    <w:rsid w:val="00211840"/>
    <w:rsid w:val="00220E5F"/>
    <w:rsid w:val="002212B5"/>
    <w:rsid w:val="0022446C"/>
    <w:rsid w:val="00225ADA"/>
    <w:rsid w:val="00226668"/>
    <w:rsid w:val="00233809"/>
    <w:rsid w:val="00236073"/>
    <w:rsid w:val="00240046"/>
    <w:rsid w:val="0024797F"/>
    <w:rsid w:val="0025119E"/>
    <w:rsid w:val="00251269"/>
    <w:rsid w:val="002535C0"/>
    <w:rsid w:val="00254ABC"/>
    <w:rsid w:val="002579FE"/>
    <w:rsid w:val="0026311C"/>
    <w:rsid w:val="0026668C"/>
    <w:rsid w:val="00266AC1"/>
    <w:rsid w:val="00266AF3"/>
    <w:rsid w:val="0027178C"/>
    <w:rsid w:val="002719FA"/>
    <w:rsid w:val="00272668"/>
    <w:rsid w:val="0027330B"/>
    <w:rsid w:val="002803AD"/>
    <w:rsid w:val="00282052"/>
    <w:rsid w:val="0028519E"/>
    <w:rsid w:val="00285494"/>
    <w:rsid w:val="002856A5"/>
    <w:rsid w:val="002872ED"/>
    <w:rsid w:val="002905C2"/>
    <w:rsid w:val="00290ACF"/>
    <w:rsid w:val="00295AF2"/>
    <w:rsid w:val="00295C91"/>
    <w:rsid w:val="00297151"/>
    <w:rsid w:val="002A4C65"/>
    <w:rsid w:val="002B20E6"/>
    <w:rsid w:val="002B42A3"/>
    <w:rsid w:val="002C0CDD"/>
    <w:rsid w:val="002E1A1D"/>
    <w:rsid w:val="002E4081"/>
    <w:rsid w:val="002E5B78"/>
    <w:rsid w:val="002F15DF"/>
    <w:rsid w:val="002F3AE3"/>
    <w:rsid w:val="00303239"/>
    <w:rsid w:val="0030464B"/>
    <w:rsid w:val="0030786C"/>
    <w:rsid w:val="00320993"/>
    <w:rsid w:val="003233DE"/>
    <w:rsid w:val="0032466B"/>
    <w:rsid w:val="00327B44"/>
    <w:rsid w:val="00330FB0"/>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40B6"/>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0BA"/>
    <w:rsid w:val="00454B9B"/>
    <w:rsid w:val="00456BF6"/>
    <w:rsid w:val="00457858"/>
    <w:rsid w:val="004605BD"/>
    <w:rsid w:val="00460B0B"/>
    <w:rsid w:val="00461023"/>
    <w:rsid w:val="00462FAC"/>
    <w:rsid w:val="00464631"/>
    <w:rsid w:val="00464B79"/>
    <w:rsid w:val="00467BBF"/>
    <w:rsid w:val="004867E2"/>
    <w:rsid w:val="00491F98"/>
    <w:rsid w:val="004929A9"/>
    <w:rsid w:val="004935E5"/>
    <w:rsid w:val="00494E0C"/>
    <w:rsid w:val="004B50C0"/>
    <w:rsid w:val="004C2FEC"/>
    <w:rsid w:val="004C6BCF"/>
    <w:rsid w:val="004D1339"/>
    <w:rsid w:val="004D58BF"/>
    <w:rsid w:val="004D5F58"/>
    <w:rsid w:val="004E1D94"/>
    <w:rsid w:val="004E4335"/>
    <w:rsid w:val="004E5ACF"/>
    <w:rsid w:val="004F13EE"/>
    <w:rsid w:val="004F2022"/>
    <w:rsid w:val="004F7C05"/>
    <w:rsid w:val="00501C94"/>
    <w:rsid w:val="005040E4"/>
    <w:rsid w:val="00506432"/>
    <w:rsid w:val="0051242B"/>
    <w:rsid w:val="0052051D"/>
    <w:rsid w:val="00544E23"/>
    <w:rsid w:val="00545EE6"/>
    <w:rsid w:val="00546470"/>
    <w:rsid w:val="005550E7"/>
    <w:rsid w:val="005564FB"/>
    <w:rsid w:val="005572C7"/>
    <w:rsid w:val="00557D5A"/>
    <w:rsid w:val="0056486D"/>
    <w:rsid w:val="005650ED"/>
    <w:rsid w:val="00575754"/>
    <w:rsid w:val="005868E0"/>
    <w:rsid w:val="00587643"/>
    <w:rsid w:val="00591E20"/>
    <w:rsid w:val="00595408"/>
    <w:rsid w:val="00595E84"/>
    <w:rsid w:val="005A0C59"/>
    <w:rsid w:val="005A48EB"/>
    <w:rsid w:val="005A6CFB"/>
    <w:rsid w:val="005C5AEB"/>
    <w:rsid w:val="005E0A3F"/>
    <w:rsid w:val="005E6883"/>
    <w:rsid w:val="005E772F"/>
    <w:rsid w:val="005F4ECA"/>
    <w:rsid w:val="00602A2D"/>
    <w:rsid w:val="006041BE"/>
    <w:rsid w:val="006043C7"/>
    <w:rsid w:val="00624472"/>
    <w:rsid w:val="00624B52"/>
    <w:rsid w:val="00631DF4"/>
    <w:rsid w:val="00634175"/>
    <w:rsid w:val="0063572F"/>
    <w:rsid w:val="006408AC"/>
    <w:rsid w:val="006511B6"/>
    <w:rsid w:val="00652742"/>
    <w:rsid w:val="00657FF8"/>
    <w:rsid w:val="00663A66"/>
    <w:rsid w:val="0066677A"/>
    <w:rsid w:val="00670D99"/>
    <w:rsid w:val="00670E2B"/>
    <w:rsid w:val="006734BB"/>
    <w:rsid w:val="00677C86"/>
    <w:rsid w:val="00681A34"/>
    <w:rsid w:val="006821EB"/>
    <w:rsid w:val="006A0EFF"/>
    <w:rsid w:val="006B2286"/>
    <w:rsid w:val="006B56BB"/>
    <w:rsid w:val="006C027C"/>
    <w:rsid w:val="006C1EBF"/>
    <w:rsid w:val="006C77A8"/>
    <w:rsid w:val="006D4098"/>
    <w:rsid w:val="006D4224"/>
    <w:rsid w:val="006D7681"/>
    <w:rsid w:val="006D7B2E"/>
    <w:rsid w:val="006E02EA"/>
    <w:rsid w:val="006E0968"/>
    <w:rsid w:val="006E1BFF"/>
    <w:rsid w:val="006E2AF6"/>
    <w:rsid w:val="006E5334"/>
    <w:rsid w:val="00701275"/>
    <w:rsid w:val="00705803"/>
    <w:rsid w:val="00707F56"/>
    <w:rsid w:val="00713558"/>
    <w:rsid w:val="00713FBE"/>
    <w:rsid w:val="00720D08"/>
    <w:rsid w:val="007263B9"/>
    <w:rsid w:val="00726DE5"/>
    <w:rsid w:val="007334F8"/>
    <w:rsid w:val="007339CD"/>
    <w:rsid w:val="007359D8"/>
    <w:rsid w:val="007362D4"/>
    <w:rsid w:val="00751A23"/>
    <w:rsid w:val="0076672A"/>
    <w:rsid w:val="00766C25"/>
    <w:rsid w:val="00775E45"/>
    <w:rsid w:val="00776E74"/>
    <w:rsid w:val="00785169"/>
    <w:rsid w:val="007954AB"/>
    <w:rsid w:val="007A14C5"/>
    <w:rsid w:val="007A3E38"/>
    <w:rsid w:val="007A4A10"/>
    <w:rsid w:val="007B1760"/>
    <w:rsid w:val="007C6D9C"/>
    <w:rsid w:val="007C7AF4"/>
    <w:rsid w:val="007C7DDB"/>
    <w:rsid w:val="007D0AB0"/>
    <w:rsid w:val="007D2CC7"/>
    <w:rsid w:val="007D673D"/>
    <w:rsid w:val="007F2220"/>
    <w:rsid w:val="007F4B3E"/>
    <w:rsid w:val="007F588A"/>
    <w:rsid w:val="008127AF"/>
    <w:rsid w:val="00812B46"/>
    <w:rsid w:val="00815700"/>
    <w:rsid w:val="00817B70"/>
    <w:rsid w:val="008264EB"/>
    <w:rsid w:val="00826B8F"/>
    <w:rsid w:val="00831E8A"/>
    <w:rsid w:val="00832133"/>
    <w:rsid w:val="00835C76"/>
    <w:rsid w:val="00836B12"/>
    <w:rsid w:val="00841111"/>
    <w:rsid w:val="00843049"/>
    <w:rsid w:val="0085209B"/>
    <w:rsid w:val="00856B66"/>
    <w:rsid w:val="0085712B"/>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B7B1B"/>
    <w:rsid w:val="008C0278"/>
    <w:rsid w:val="008C24E9"/>
    <w:rsid w:val="008C5FD5"/>
    <w:rsid w:val="008D0533"/>
    <w:rsid w:val="008D42CB"/>
    <w:rsid w:val="008D48C9"/>
    <w:rsid w:val="008D5B79"/>
    <w:rsid w:val="008D6381"/>
    <w:rsid w:val="008E0C77"/>
    <w:rsid w:val="008E5F69"/>
    <w:rsid w:val="008E625F"/>
    <w:rsid w:val="008F264D"/>
    <w:rsid w:val="00902F06"/>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67ADE"/>
    <w:rsid w:val="00972BC1"/>
    <w:rsid w:val="00974B59"/>
    <w:rsid w:val="0098340B"/>
    <w:rsid w:val="00986830"/>
    <w:rsid w:val="009924C3"/>
    <w:rsid w:val="00993102"/>
    <w:rsid w:val="009B1266"/>
    <w:rsid w:val="009C4A39"/>
    <w:rsid w:val="009C6F10"/>
    <w:rsid w:val="009C7ECB"/>
    <w:rsid w:val="009D148F"/>
    <w:rsid w:val="009D3D70"/>
    <w:rsid w:val="009D4328"/>
    <w:rsid w:val="009E6F7E"/>
    <w:rsid w:val="009E7A57"/>
    <w:rsid w:val="009F3510"/>
    <w:rsid w:val="009F4F6A"/>
    <w:rsid w:val="00A04084"/>
    <w:rsid w:val="00A16E36"/>
    <w:rsid w:val="00A20231"/>
    <w:rsid w:val="00A24961"/>
    <w:rsid w:val="00A24B10"/>
    <w:rsid w:val="00A30E9B"/>
    <w:rsid w:val="00A42FE3"/>
    <w:rsid w:val="00A4512D"/>
    <w:rsid w:val="00A471F6"/>
    <w:rsid w:val="00A50244"/>
    <w:rsid w:val="00A5590A"/>
    <w:rsid w:val="00A56F17"/>
    <w:rsid w:val="00A627D7"/>
    <w:rsid w:val="00A656C7"/>
    <w:rsid w:val="00A705AF"/>
    <w:rsid w:val="00A72454"/>
    <w:rsid w:val="00A77696"/>
    <w:rsid w:val="00A80557"/>
    <w:rsid w:val="00A81D33"/>
    <w:rsid w:val="00A930AE"/>
    <w:rsid w:val="00A96B2F"/>
    <w:rsid w:val="00AA1A95"/>
    <w:rsid w:val="00AA260F"/>
    <w:rsid w:val="00AA763F"/>
    <w:rsid w:val="00AB0067"/>
    <w:rsid w:val="00AB1EE7"/>
    <w:rsid w:val="00AB4739"/>
    <w:rsid w:val="00AB4B37"/>
    <w:rsid w:val="00AB5762"/>
    <w:rsid w:val="00AC0C70"/>
    <w:rsid w:val="00AC168C"/>
    <w:rsid w:val="00AC2679"/>
    <w:rsid w:val="00AC4BE4"/>
    <w:rsid w:val="00AC6BF9"/>
    <w:rsid w:val="00AD05E6"/>
    <w:rsid w:val="00AD0D3F"/>
    <w:rsid w:val="00AE1D7D"/>
    <w:rsid w:val="00AE2A8B"/>
    <w:rsid w:val="00AE3F64"/>
    <w:rsid w:val="00AF7386"/>
    <w:rsid w:val="00AF7934"/>
    <w:rsid w:val="00B00B81"/>
    <w:rsid w:val="00B04580"/>
    <w:rsid w:val="00B04B09"/>
    <w:rsid w:val="00B06EAB"/>
    <w:rsid w:val="00B16A51"/>
    <w:rsid w:val="00B25440"/>
    <w:rsid w:val="00B27C81"/>
    <w:rsid w:val="00B32222"/>
    <w:rsid w:val="00B3618D"/>
    <w:rsid w:val="00B36233"/>
    <w:rsid w:val="00B42851"/>
    <w:rsid w:val="00B45AC7"/>
    <w:rsid w:val="00B5372F"/>
    <w:rsid w:val="00B61129"/>
    <w:rsid w:val="00B66740"/>
    <w:rsid w:val="00B66C49"/>
    <w:rsid w:val="00B67E7F"/>
    <w:rsid w:val="00B7222E"/>
    <w:rsid w:val="00B75A04"/>
    <w:rsid w:val="00B839B2"/>
    <w:rsid w:val="00B94252"/>
    <w:rsid w:val="00B94828"/>
    <w:rsid w:val="00B95BE6"/>
    <w:rsid w:val="00B9686B"/>
    <w:rsid w:val="00B9715A"/>
    <w:rsid w:val="00BA14BE"/>
    <w:rsid w:val="00BA2732"/>
    <w:rsid w:val="00BA293D"/>
    <w:rsid w:val="00BA49BC"/>
    <w:rsid w:val="00BA56B7"/>
    <w:rsid w:val="00BA70AB"/>
    <w:rsid w:val="00BA7A1E"/>
    <w:rsid w:val="00BA7CA9"/>
    <w:rsid w:val="00BB2F6C"/>
    <w:rsid w:val="00BB3875"/>
    <w:rsid w:val="00BB5860"/>
    <w:rsid w:val="00BB6AAD"/>
    <w:rsid w:val="00BC16F7"/>
    <w:rsid w:val="00BC4A19"/>
    <w:rsid w:val="00BC4E6D"/>
    <w:rsid w:val="00BD0617"/>
    <w:rsid w:val="00BD2E9B"/>
    <w:rsid w:val="00BD5CB3"/>
    <w:rsid w:val="00BE6DEE"/>
    <w:rsid w:val="00BE7C87"/>
    <w:rsid w:val="00BF5A1E"/>
    <w:rsid w:val="00BF6DC9"/>
    <w:rsid w:val="00C00930"/>
    <w:rsid w:val="00C060AD"/>
    <w:rsid w:val="00C0670D"/>
    <w:rsid w:val="00C111F1"/>
    <w:rsid w:val="00C113BF"/>
    <w:rsid w:val="00C2176E"/>
    <w:rsid w:val="00C23430"/>
    <w:rsid w:val="00C27D67"/>
    <w:rsid w:val="00C34DD0"/>
    <w:rsid w:val="00C4631F"/>
    <w:rsid w:val="00C50E16"/>
    <w:rsid w:val="00C55258"/>
    <w:rsid w:val="00C71393"/>
    <w:rsid w:val="00C82EEB"/>
    <w:rsid w:val="00C971DC"/>
    <w:rsid w:val="00CA1231"/>
    <w:rsid w:val="00CA16B7"/>
    <w:rsid w:val="00CA4BE3"/>
    <w:rsid w:val="00CA62AE"/>
    <w:rsid w:val="00CA6E74"/>
    <w:rsid w:val="00CA79CF"/>
    <w:rsid w:val="00CB5B1A"/>
    <w:rsid w:val="00CC220B"/>
    <w:rsid w:val="00CC4523"/>
    <w:rsid w:val="00CC5C43"/>
    <w:rsid w:val="00CD02AE"/>
    <w:rsid w:val="00CD2A4F"/>
    <w:rsid w:val="00CE03CA"/>
    <w:rsid w:val="00CE22F1"/>
    <w:rsid w:val="00CE50F2"/>
    <w:rsid w:val="00CE6502"/>
    <w:rsid w:val="00CF14A6"/>
    <w:rsid w:val="00CF7D3C"/>
    <w:rsid w:val="00D147EB"/>
    <w:rsid w:val="00D153BE"/>
    <w:rsid w:val="00D22F52"/>
    <w:rsid w:val="00D34667"/>
    <w:rsid w:val="00D401E1"/>
    <w:rsid w:val="00D408B4"/>
    <w:rsid w:val="00D45D94"/>
    <w:rsid w:val="00D50F45"/>
    <w:rsid w:val="00D524C8"/>
    <w:rsid w:val="00D53030"/>
    <w:rsid w:val="00D60E25"/>
    <w:rsid w:val="00D70E24"/>
    <w:rsid w:val="00D716B3"/>
    <w:rsid w:val="00D72B61"/>
    <w:rsid w:val="00DA3D1D"/>
    <w:rsid w:val="00DB0138"/>
    <w:rsid w:val="00DB6286"/>
    <w:rsid w:val="00DB645F"/>
    <w:rsid w:val="00DB6B9F"/>
    <w:rsid w:val="00DB76E9"/>
    <w:rsid w:val="00DC0A67"/>
    <w:rsid w:val="00DC1D5E"/>
    <w:rsid w:val="00DC2313"/>
    <w:rsid w:val="00DC5220"/>
    <w:rsid w:val="00DC7910"/>
    <w:rsid w:val="00DD0D13"/>
    <w:rsid w:val="00DD2061"/>
    <w:rsid w:val="00DD7DAB"/>
    <w:rsid w:val="00DE3355"/>
    <w:rsid w:val="00DF486F"/>
    <w:rsid w:val="00DF5B5B"/>
    <w:rsid w:val="00DF6950"/>
    <w:rsid w:val="00DF7619"/>
    <w:rsid w:val="00E042D8"/>
    <w:rsid w:val="00E07439"/>
    <w:rsid w:val="00E07EE7"/>
    <w:rsid w:val="00E1103B"/>
    <w:rsid w:val="00E15211"/>
    <w:rsid w:val="00E17B44"/>
    <w:rsid w:val="00E27FEA"/>
    <w:rsid w:val="00E3283D"/>
    <w:rsid w:val="00E4086F"/>
    <w:rsid w:val="00E4293C"/>
    <w:rsid w:val="00E43B3C"/>
    <w:rsid w:val="00E50188"/>
    <w:rsid w:val="00E515CB"/>
    <w:rsid w:val="00E51901"/>
    <w:rsid w:val="00E52260"/>
    <w:rsid w:val="00E555B5"/>
    <w:rsid w:val="00E639B6"/>
    <w:rsid w:val="00E6434B"/>
    <w:rsid w:val="00E6463D"/>
    <w:rsid w:val="00E72E9B"/>
    <w:rsid w:val="00E849DA"/>
    <w:rsid w:val="00E911F2"/>
    <w:rsid w:val="00E9462E"/>
    <w:rsid w:val="00E970E8"/>
    <w:rsid w:val="00EA470E"/>
    <w:rsid w:val="00EA47A7"/>
    <w:rsid w:val="00EA57EB"/>
    <w:rsid w:val="00EB3226"/>
    <w:rsid w:val="00EC213A"/>
    <w:rsid w:val="00EC6603"/>
    <w:rsid w:val="00EC7744"/>
    <w:rsid w:val="00ED0DAD"/>
    <w:rsid w:val="00ED0F46"/>
    <w:rsid w:val="00ED2373"/>
    <w:rsid w:val="00ED794D"/>
    <w:rsid w:val="00EE3E8A"/>
    <w:rsid w:val="00EF3199"/>
    <w:rsid w:val="00EF6ECA"/>
    <w:rsid w:val="00F024E1"/>
    <w:rsid w:val="00F06C10"/>
    <w:rsid w:val="00F1096F"/>
    <w:rsid w:val="00F12589"/>
    <w:rsid w:val="00F12595"/>
    <w:rsid w:val="00F134D9"/>
    <w:rsid w:val="00F1403D"/>
    <w:rsid w:val="00F1463F"/>
    <w:rsid w:val="00F21302"/>
    <w:rsid w:val="00F21360"/>
    <w:rsid w:val="00F24B5F"/>
    <w:rsid w:val="00F321DE"/>
    <w:rsid w:val="00F33777"/>
    <w:rsid w:val="00F40648"/>
    <w:rsid w:val="00F451BE"/>
    <w:rsid w:val="00F47DA2"/>
    <w:rsid w:val="00F519FC"/>
    <w:rsid w:val="00F6239D"/>
    <w:rsid w:val="00F715D2"/>
    <w:rsid w:val="00F7274F"/>
    <w:rsid w:val="00F72F30"/>
    <w:rsid w:val="00F76FA8"/>
    <w:rsid w:val="00F82917"/>
    <w:rsid w:val="00F86F85"/>
    <w:rsid w:val="00F93F08"/>
    <w:rsid w:val="00F94CED"/>
    <w:rsid w:val="00FA1409"/>
    <w:rsid w:val="00FA2CEE"/>
    <w:rsid w:val="00FA318C"/>
    <w:rsid w:val="00FB6F92"/>
    <w:rsid w:val="00FC026E"/>
    <w:rsid w:val="00FC4ADA"/>
    <w:rsid w:val="00FC5124"/>
    <w:rsid w:val="00FD4731"/>
    <w:rsid w:val="00FF0AB0"/>
    <w:rsid w:val="00FF256E"/>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235D3"/>
  <w15:docId w15:val="{9873432B-45C9-4226-A5A1-97E00AA9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446C"/>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F24B5F"/>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22446C"/>
    <w:pPr>
      <w:numPr>
        <w:numId w:val="3"/>
      </w:numPr>
      <w:spacing w:before="0" w:after="0"/>
      <w:contextualSpacing/>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TOCHeading">
    <w:name w:val="TOC Heading"/>
    <w:basedOn w:val="Heading1"/>
    <w:next w:val="Normal"/>
    <w:uiPriority w:val="39"/>
    <w:unhideWhenUsed/>
    <w:qFormat/>
    <w:rsid w:val="0022446C"/>
    <w:pPr>
      <w:keepLines/>
      <w:spacing w:before="120" w:after="120" w:line="259" w:lineRule="auto"/>
      <w:outlineLvl w:val="9"/>
    </w:pPr>
    <w:rPr>
      <w:rFonts w:eastAsiaTheme="majorEastAsia"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22446C"/>
    <w:pPr>
      <w:tabs>
        <w:tab w:val="right" w:leader="dot" w:pos="9060"/>
      </w:tabs>
      <w:spacing w:after="100"/>
    </w:pPr>
  </w:style>
  <w:style w:type="character" w:styleId="CommentReference">
    <w:name w:val="annotation reference"/>
    <w:basedOn w:val="DefaultParagraphFont"/>
    <w:semiHidden/>
    <w:unhideWhenUsed/>
    <w:rsid w:val="00066C71"/>
    <w:rPr>
      <w:sz w:val="16"/>
      <w:szCs w:val="16"/>
    </w:rPr>
  </w:style>
  <w:style w:type="paragraph" w:styleId="CommentText">
    <w:name w:val="annotation text"/>
    <w:basedOn w:val="Normal"/>
    <w:link w:val="CommentTextChar"/>
    <w:semiHidden/>
    <w:unhideWhenUsed/>
    <w:rsid w:val="00066C71"/>
    <w:pPr>
      <w:spacing w:line="240" w:lineRule="auto"/>
    </w:pPr>
    <w:rPr>
      <w:sz w:val="20"/>
      <w:szCs w:val="20"/>
    </w:rPr>
  </w:style>
  <w:style w:type="character" w:customStyle="1" w:styleId="CommentTextChar">
    <w:name w:val="Comment Text Char"/>
    <w:basedOn w:val="DefaultParagraphFont"/>
    <w:link w:val="CommentText"/>
    <w:semiHidden/>
    <w:rsid w:val="00066C7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66C71"/>
    <w:rPr>
      <w:b/>
      <w:bCs/>
    </w:rPr>
  </w:style>
  <w:style w:type="character" w:customStyle="1" w:styleId="CommentSubjectChar">
    <w:name w:val="Comment Subject Char"/>
    <w:basedOn w:val="CommentTextChar"/>
    <w:link w:val="CommentSubject"/>
    <w:semiHidden/>
    <w:rsid w:val="00066C71"/>
    <w:rPr>
      <w:rFonts w:ascii="Arial" w:hAnsi="Arial"/>
      <w:b/>
      <w:bCs/>
      <w:color w:val="000000" w:themeColor="text1"/>
      <w:lang w:eastAsia="en-US"/>
    </w:rPr>
  </w:style>
  <w:style w:type="paragraph" w:styleId="TOC2">
    <w:name w:val="toc 2"/>
    <w:basedOn w:val="Normal"/>
    <w:next w:val="Normal"/>
    <w:autoRedefine/>
    <w:uiPriority w:val="39"/>
    <w:unhideWhenUsed/>
    <w:rsid w:val="007D0AB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diagramColors" Target="diagrams/colors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8A3CD3-2884-41E2-86D3-1EBB61BF38AC}" type="doc">
      <dgm:prSet loTypeId="urn:microsoft.com/office/officeart/2005/8/layout/hierarchy4" loCatId="hierarchy" qsTypeId="urn:microsoft.com/office/officeart/2005/8/quickstyle/simple3" qsCatId="simple" csTypeId="urn:microsoft.com/office/officeart/2005/8/colors/accent6_5" csCatId="accent6" phldr="1"/>
      <dgm:spPr/>
      <dgm:t>
        <a:bodyPr/>
        <a:lstStyle/>
        <a:p>
          <a:endParaRPr lang="en-AU"/>
        </a:p>
      </dgm:t>
    </dgm:pt>
    <dgm:pt modelId="{4CABE3FA-6692-4B25-AD32-A24FABE506B2}">
      <dgm:prSet phldrT="[Text]"/>
      <dgm:spPr/>
      <dgm:t>
        <a:bodyPr/>
        <a:lstStyle/>
        <a:p>
          <a:pPr algn="ctr"/>
          <a:r>
            <a:rPr lang="en-AU" b="1" u="none"/>
            <a:t>MEDICAL DEVICES AND HUMAN TISSUE ADVISORY COMMITTEE (MDHTAC)</a:t>
          </a:r>
          <a:endParaRPr lang="en-AU" b="1"/>
        </a:p>
        <a:p>
          <a:pPr algn="l"/>
          <a:r>
            <a:rPr lang="en-AU"/>
            <a:t>Role:</a:t>
          </a:r>
        </a:p>
        <a:p>
          <a:pPr algn="l"/>
          <a:r>
            <a:rPr lang="en-AU" i="1"/>
            <a:t>To make recommendations to the Minister (or Delegate) on devices and human tissue products</a:t>
          </a:r>
          <a:r>
            <a:rPr lang="en-AU" i="1" u="none">
              <a:solidFill>
                <a:srgbClr val="FF0000"/>
              </a:solidFill>
            </a:rPr>
            <a:t> </a:t>
          </a:r>
          <a:r>
            <a:rPr lang="en-AU" i="1"/>
            <a:t>they consider should be listed on the Prostheses List* and the benefits payable by private health insurers. The Medical Devices and Human Tissue Advisory Committee* will also consider other issues relevant to the Prostheses List*. </a:t>
          </a:r>
          <a:endParaRPr lang="en-AU"/>
        </a:p>
        <a:p>
          <a:pPr algn="l"/>
          <a:r>
            <a:rPr lang="en-AU"/>
            <a:t>Membership: </a:t>
          </a:r>
        </a:p>
        <a:p>
          <a:pPr algn="l"/>
          <a:r>
            <a:rPr lang="en-AU"/>
            <a:t>	- a Chair </a:t>
          </a:r>
        </a:p>
        <a:p>
          <a:pPr algn="l"/>
          <a:r>
            <a:rPr lang="en-AU"/>
            <a:t>	- Chairs of each Expert Clinical Advisory Groups (ECAGs) who will be the discussants for each application    	  considered by their ECAG</a:t>
          </a:r>
        </a:p>
        <a:p>
          <a:pPr algn="l"/>
          <a:r>
            <a:rPr lang="en-AU"/>
            <a:t>	- consumer representative</a:t>
          </a:r>
        </a:p>
        <a:p>
          <a:pPr algn="l"/>
          <a:r>
            <a:rPr lang="en-AU"/>
            <a:t>	- health economist</a:t>
          </a:r>
        </a:p>
        <a:p>
          <a:pPr algn="l"/>
          <a:r>
            <a:rPr lang="en-AU"/>
            <a:t>	- other clinicians or experts who have proven background in HTA analysis from other Departmental 	  	  committees (not ECAG members)</a:t>
          </a:r>
        </a:p>
      </dgm:t>
    </dgm:pt>
    <dgm:pt modelId="{DDCDCF86-5647-4FCA-9884-02E751837232}" type="parTrans" cxnId="{A9314A1A-B2E6-4392-A50D-51F0FD1E38E4}">
      <dgm:prSet/>
      <dgm:spPr/>
      <dgm:t>
        <a:bodyPr/>
        <a:lstStyle/>
        <a:p>
          <a:endParaRPr lang="en-AU"/>
        </a:p>
      </dgm:t>
    </dgm:pt>
    <dgm:pt modelId="{82EC3A01-DC41-4839-8089-9E3CD0AFC04E}" type="sibTrans" cxnId="{A9314A1A-B2E6-4392-A50D-51F0FD1E38E4}">
      <dgm:prSet/>
      <dgm:spPr/>
      <dgm:t>
        <a:bodyPr/>
        <a:lstStyle/>
        <a:p>
          <a:endParaRPr lang="en-AU"/>
        </a:p>
      </dgm:t>
    </dgm:pt>
    <dgm:pt modelId="{66D44E3D-0C57-4011-9D7D-A3676DB5E3C3}">
      <dgm:prSet phldrT="[Text]"/>
      <dgm:spPr/>
      <dgm:t>
        <a:bodyPr/>
        <a:lstStyle/>
        <a:p>
          <a:r>
            <a:rPr lang="en-AU"/>
            <a:t>Specialist Orthopaedic Expert Clinical Advisory Group  </a:t>
          </a:r>
        </a:p>
      </dgm:t>
    </dgm:pt>
    <dgm:pt modelId="{DD3B4C81-9A82-4350-8EF2-BAF521A8AC3B}" type="parTrans" cxnId="{2ABA1C00-01C9-439E-B1B3-668BA7ED0519}">
      <dgm:prSet/>
      <dgm:spPr/>
      <dgm:t>
        <a:bodyPr/>
        <a:lstStyle/>
        <a:p>
          <a:endParaRPr lang="en-AU"/>
        </a:p>
      </dgm:t>
    </dgm:pt>
    <dgm:pt modelId="{BB9D175E-9783-4408-86EA-700DF226C24A}" type="sibTrans" cxnId="{2ABA1C00-01C9-439E-B1B3-668BA7ED0519}">
      <dgm:prSet/>
      <dgm:spPr/>
      <dgm:t>
        <a:bodyPr/>
        <a:lstStyle/>
        <a:p>
          <a:endParaRPr lang="en-AU"/>
        </a:p>
      </dgm:t>
    </dgm:pt>
    <dgm:pt modelId="{6A8B5BFD-7159-4ED6-9BD4-E6F9326F9DC8}">
      <dgm:prSet/>
      <dgm:spPr/>
      <dgm:t>
        <a:bodyPr/>
        <a:lstStyle/>
        <a:p>
          <a:r>
            <a:rPr lang="en-AU"/>
            <a:t>Spinal and Neurosurgical Expert Clinical Advisory Group </a:t>
          </a:r>
        </a:p>
      </dgm:t>
    </dgm:pt>
    <dgm:pt modelId="{DCAD20E0-E77A-4219-8E54-22586BAC94B3}" type="parTrans" cxnId="{3C9FF0F3-B349-44BC-9CD0-9DDC1CF68D60}">
      <dgm:prSet/>
      <dgm:spPr/>
      <dgm:t>
        <a:bodyPr/>
        <a:lstStyle/>
        <a:p>
          <a:endParaRPr lang="en-AU"/>
        </a:p>
      </dgm:t>
    </dgm:pt>
    <dgm:pt modelId="{ADE3737D-6DBF-442D-9B37-15EEA509E58E}" type="sibTrans" cxnId="{3C9FF0F3-B349-44BC-9CD0-9DDC1CF68D60}">
      <dgm:prSet/>
      <dgm:spPr/>
      <dgm:t>
        <a:bodyPr/>
        <a:lstStyle/>
        <a:p>
          <a:endParaRPr lang="en-AU"/>
        </a:p>
      </dgm:t>
    </dgm:pt>
    <dgm:pt modelId="{EDC61F4B-ED2B-42A8-A9B7-2316864EC394}">
      <dgm:prSet/>
      <dgm:spPr/>
      <dgm:t>
        <a:bodyPr/>
        <a:lstStyle/>
        <a:p>
          <a:r>
            <a:rPr lang="en-AU"/>
            <a:t>General Surgery Expert Clinical Advisory Group </a:t>
          </a:r>
        </a:p>
      </dgm:t>
    </dgm:pt>
    <dgm:pt modelId="{5EA339FA-0138-451D-B8A5-266BB5BA7043}" type="parTrans" cxnId="{ACA0FDE7-3B3D-489E-8B86-2BFEA1C4FD0C}">
      <dgm:prSet/>
      <dgm:spPr/>
      <dgm:t>
        <a:bodyPr/>
        <a:lstStyle/>
        <a:p>
          <a:endParaRPr lang="en-AU"/>
        </a:p>
      </dgm:t>
    </dgm:pt>
    <dgm:pt modelId="{A9E4DD88-D02F-4710-9B33-51324B2B451E}" type="sibTrans" cxnId="{ACA0FDE7-3B3D-489E-8B86-2BFEA1C4FD0C}">
      <dgm:prSet/>
      <dgm:spPr/>
      <dgm:t>
        <a:bodyPr/>
        <a:lstStyle/>
        <a:p>
          <a:endParaRPr lang="en-AU"/>
        </a:p>
      </dgm:t>
    </dgm:pt>
    <dgm:pt modelId="{DC85C24D-11BB-4834-8CFF-AC1ECFE81B51}">
      <dgm:prSet/>
      <dgm:spPr/>
      <dgm:t>
        <a:bodyPr/>
        <a:lstStyle/>
        <a:p>
          <a:r>
            <a:rPr lang="en-AU"/>
            <a:t>Cardiovascular Expert Clinical Advisory Group </a:t>
          </a:r>
        </a:p>
      </dgm:t>
    </dgm:pt>
    <dgm:pt modelId="{C665076C-2363-4753-8326-69FA5F193E6B}" type="parTrans" cxnId="{7D05B8CD-1207-4FDD-B963-6521CA328495}">
      <dgm:prSet/>
      <dgm:spPr/>
      <dgm:t>
        <a:bodyPr/>
        <a:lstStyle/>
        <a:p>
          <a:endParaRPr lang="en-AU"/>
        </a:p>
      </dgm:t>
    </dgm:pt>
    <dgm:pt modelId="{550B3F20-A65E-49F8-87C3-7FF740BBB474}" type="sibTrans" cxnId="{7D05B8CD-1207-4FDD-B963-6521CA328495}">
      <dgm:prSet/>
      <dgm:spPr/>
      <dgm:t>
        <a:bodyPr/>
        <a:lstStyle/>
        <a:p>
          <a:endParaRPr lang="en-AU"/>
        </a:p>
      </dgm:t>
    </dgm:pt>
    <dgm:pt modelId="{CE3FCF32-3A68-4582-8B51-51EA92AEE580}">
      <dgm:prSet/>
      <dgm:spPr/>
      <dgm:t>
        <a:bodyPr/>
        <a:lstStyle/>
        <a:p>
          <a:r>
            <a:rPr lang="en-AU"/>
            <a:t>Ophthalmic Expert Clinical Advisory Group </a:t>
          </a:r>
        </a:p>
      </dgm:t>
    </dgm:pt>
    <dgm:pt modelId="{00987E44-A34B-458E-B9B0-DA9034F14C92}" type="parTrans" cxnId="{F69A4457-2598-4DE2-9F02-63D5BFF71CCF}">
      <dgm:prSet/>
      <dgm:spPr/>
      <dgm:t>
        <a:bodyPr/>
        <a:lstStyle/>
        <a:p>
          <a:endParaRPr lang="en-AU"/>
        </a:p>
      </dgm:t>
    </dgm:pt>
    <dgm:pt modelId="{8DAA40F5-F8FF-4B74-B903-867BD6901328}" type="sibTrans" cxnId="{F69A4457-2598-4DE2-9F02-63D5BFF71CCF}">
      <dgm:prSet/>
      <dgm:spPr/>
      <dgm:t>
        <a:bodyPr/>
        <a:lstStyle/>
        <a:p>
          <a:endParaRPr lang="en-AU"/>
        </a:p>
      </dgm:t>
    </dgm:pt>
    <dgm:pt modelId="{DD41FB47-7619-42BB-B758-86484E765EB9}">
      <dgm:prSet/>
      <dgm:spPr/>
      <dgm:t>
        <a:bodyPr/>
        <a:lstStyle/>
        <a:p>
          <a:r>
            <a:rPr lang="en-AU"/>
            <a:t>Hip and Knee Expert Clinical Advisory Group </a:t>
          </a:r>
        </a:p>
      </dgm:t>
    </dgm:pt>
    <dgm:pt modelId="{0CF7FC22-394B-44C5-A00E-2DC877491B42}" type="parTrans" cxnId="{0BE38879-4076-4FC8-993C-E2AA5E0CE81B}">
      <dgm:prSet/>
      <dgm:spPr/>
      <dgm:t>
        <a:bodyPr/>
        <a:lstStyle/>
        <a:p>
          <a:endParaRPr lang="en-AU"/>
        </a:p>
      </dgm:t>
    </dgm:pt>
    <dgm:pt modelId="{89695D0B-CE97-4C8B-99B4-C64969C30DA4}" type="sibTrans" cxnId="{0BE38879-4076-4FC8-993C-E2AA5E0CE81B}">
      <dgm:prSet/>
      <dgm:spPr/>
      <dgm:t>
        <a:bodyPr/>
        <a:lstStyle/>
        <a:p>
          <a:endParaRPr lang="en-AU"/>
        </a:p>
      </dgm:t>
    </dgm:pt>
    <dgm:pt modelId="{B8CBE193-C46D-4D65-8407-15A58C1EF0BE}" type="pres">
      <dgm:prSet presAssocID="{868A3CD3-2884-41E2-86D3-1EBB61BF38AC}" presName="Name0" presStyleCnt="0">
        <dgm:presLayoutVars>
          <dgm:chPref val="1"/>
          <dgm:dir/>
          <dgm:animOne val="branch"/>
          <dgm:animLvl val="lvl"/>
          <dgm:resizeHandles/>
        </dgm:presLayoutVars>
      </dgm:prSet>
      <dgm:spPr/>
    </dgm:pt>
    <dgm:pt modelId="{88F6C6D6-BD59-4AC4-A73E-398CBEA2CF9C}" type="pres">
      <dgm:prSet presAssocID="{4CABE3FA-6692-4B25-AD32-A24FABE506B2}" presName="vertOne" presStyleCnt="0"/>
      <dgm:spPr/>
    </dgm:pt>
    <dgm:pt modelId="{35D9B9D9-5696-4E32-8CAE-4BD82A30D665}" type="pres">
      <dgm:prSet presAssocID="{4CABE3FA-6692-4B25-AD32-A24FABE506B2}" presName="txOne" presStyleLbl="node0" presStyleIdx="0" presStyleCnt="1" custScaleX="100155" custScaleY="187447" custLinFactNeighborX="1" custLinFactNeighborY="7047">
        <dgm:presLayoutVars>
          <dgm:chPref val="3"/>
        </dgm:presLayoutVars>
      </dgm:prSet>
      <dgm:spPr/>
    </dgm:pt>
    <dgm:pt modelId="{FA883010-26A1-4166-B42C-CB561B167BE2}" type="pres">
      <dgm:prSet presAssocID="{4CABE3FA-6692-4B25-AD32-A24FABE506B2}" presName="parTransOne" presStyleCnt="0"/>
      <dgm:spPr/>
    </dgm:pt>
    <dgm:pt modelId="{3C4276BA-044D-4D47-9004-50F3A5EF690B}" type="pres">
      <dgm:prSet presAssocID="{4CABE3FA-6692-4B25-AD32-A24FABE506B2}" presName="horzOne" presStyleCnt="0"/>
      <dgm:spPr/>
    </dgm:pt>
    <dgm:pt modelId="{312B6816-D2A4-4B18-BEDC-273D2E3E04AA}" type="pres">
      <dgm:prSet presAssocID="{66D44E3D-0C57-4011-9D7D-A3676DB5E3C3}" presName="vertTwo" presStyleCnt="0"/>
      <dgm:spPr/>
    </dgm:pt>
    <dgm:pt modelId="{6DFDC091-D25B-4B56-B617-336806246E7E}" type="pres">
      <dgm:prSet presAssocID="{66D44E3D-0C57-4011-9D7D-A3676DB5E3C3}" presName="txTwo" presStyleLbl="node2" presStyleIdx="0" presStyleCnt="6">
        <dgm:presLayoutVars>
          <dgm:chPref val="3"/>
        </dgm:presLayoutVars>
      </dgm:prSet>
      <dgm:spPr/>
    </dgm:pt>
    <dgm:pt modelId="{BAD3B1E8-79F3-496D-A453-19000F76DF27}" type="pres">
      <dgm:prSet presAssocID="{66D44E3D-0C57-4011-9D7D-A3676DB5E3C3}" presName="horzTwo" presStyleCnt="0"/>
      <dgm:spPr/>
    </dgm:pt>
    <dgm:pt modelId="{C51AD182-B3AE-4FE1-8FB4-CFAEE7480330}" type="pres">
      <dgm:prSet presAssocID="{BB9D175E-9783-4408-86EA-700DF226C24A}" presName="sibSpaceTwo" presStyleCnt="0"/>
      <dgm:spPr/>
    </dgm:pt>
    <dgm:pt modelId="{EB5A8CCC-4448-4EC8-B48F-A162B25C0A9A}" type="pres">
      <dgm:prSet presAssocID="{DD41FB47-7619-42BB-B758-86484E765EB9}" presName="vertTwo" presStyleCnt="0"/>
      <dgm:spPr/>
    </dgm:pt>
    <dgm:pt modelId="{16041BFE-756D-4E44-8134-20C13270CFA4}" type="pres">
      <dgm:prSet presAssocID="{DD41FB47-7619-42BB-B758-86484E765EB9}" presName="txTwo" presStyleLbl="node2" presStyleIdx="1" presStyleCnt="6">
        <dgm:presLayoutVars>
          <dgm:chPref val="3"/>
        </dgm:presLayoutVars>
      </dgm:prSet>
      <dgm:spPr/>
    </dgm:pt>
    <dgm:pt modelId="{708C6160-5DA6-4EDC-9BB2-071841A6B5F8}" type="pres">
      <dgm:prSet presAssocID="{DD41FB47-7619-42BB-B758-86484E765EB9}" presName="horzTwo" presStyleCnt="0"/>
      <dgm:spPr/>
    </dgm:pt>
    <dgm:pt modelId="{78BD0AAF-D41A-4739-9B57-633C0870CC94}" type="pres">
      <dgm:prSet presAssocID="{89695D0B-CE97-4C8B-99B4-C64969C30DA4}" presName="sibSpaceTwo" presStyleCnt="0"/>
      <dgm:spPr/>
    </dgm:pt>
    <dgm:pt modelId="{47C5FEFB-674D-4B09-8E06-E8861F0663D4}" type="pres">
      <dgm:prSet presAssocID="{CE3FCF32-3A68-4582-8B51-51EA92AEE580}" presName="vertTwo" presStyleCnt="0"/>
      <dgm:spPr/>
    </dgm:pt>
    <dgm:pt modelId="{D5516C6B-D5F8-4FA1-80CD-63F5327DB8F1}" type="pres">
      <dgm:prSet presAssocID="{CE3FCF32-3A68-4582-8B51-51EA92AEE580}" presName="txTwo" presStyleLbl="node2" presStyleIdx="2" presStyleCnt="6">
        <dgm:presLayoutVars>
          <dgm:chPref val="3"/>
        </dgm:presLayoutVars>
      </dgm:prSet>
      <dgm:spPr/>
    </dgm:pt>
    <dgm:pt modelId="{F67C50C8-8B13-40B1-A39B-285DB544A384}" type="pres">
      <dgm:prSet presAssocID="{CE3FCF32-3A68-4582-8B51-51EA92AEE580}" presName="horzTwo" presStyleCnt="0"/>
      <dgm:spPr/>
    </dgm:pt>
    <dgm:pt modelId="{AE3B5CCE-159D-4651-99E9-D498ECEFB578}" type="pres">
      <dgm:prSet presAssocID="{8DAA40F5-F8FF-4B74-B903-867BD6901328}" presName="sibSpaceTwo" presStyleCnt="0"/>
      <dgm:spPr/>
    </dgm:pt>
    <dgm:pt modelId="{9BFD7461-DF18-4373-8380-AC5DF7779820}" type="pres">
      <dgm:prSet presAssocID="{6A8B5BFD-7159-4ED6-9BD4-E6F9326F9DC8}" presName="vertTwo" presStyleCnt="0"/>
      <dgm:spPr/>
    </dgm:pt>
    <dgm:pt modelId="{898F4F4C-5DC9-448D-9E17-B66344458217}" type="pres">
      <dgm:prSet presAssocID="{6A8B5BFD-7159-4ED6-9BD4-E6F9326F9DC8}" presName="txTwo" presStyleLbl="node2" presStyleIdx="3" presStyleCnt="6">
        <dgm:presLayoutVars>
          <dgm:chPref val="3"/>
        </dgm:presLayoutVars>
      </dgm:prSet>
      <dgm:spPr/>
    </dgm:pt>
    <dgm:pt modelId="{4E070C18-42CD-42BA-928A-CC6465D31D96}" type="pres">
      <dgm:prSet presAssocID="{6A8B5BFD-7159-4ED6-9BD4-E6F9326F9DC8}" presName="horzTwo" presStyleCnt="0"/>
      <dgm:spPr/>
    </dgm:pt>
    <dgm:pt modelId="{9812AF9E-7005-4BB7-B242-E7CBEC941081}" type="pres">
      <dgm:prSet presAssocID="{ADE3737D-6DBF-442D-9B37-15EEA509E58E}" presName="sibSpaceTwo" presStyleCnt="0"/>
      <dgm:spPr/>
    </dgm:pt>
    <dgm:pt modelId="{9EE5599F-6571-48BA-8F17-0C904C973580}" type="pres">
      <dgm:prSet presAssocID="{DC85C24D-11BB-4834-8CFF-AC1ECFE81B51}" presName="vertTwo" presStyleCnt="0"/>
      <dgm:spPr/>
    </dgm:pt>
    <dgm:pt modelId="{F28CE777-F644-469A-A497-74D27FF401C3}" type="pres">
      <dgm:prSet presAssocID="{DC85C24D-11BB-4834-8CFF-AC1ECFE81B51}" presName="txTwo" presStyleLbl="node2" presStyleIdx="4" presStyleCnt="6">
        <dgm:presLayoutVars>
          <dgm:chPref val="3"/>
        </dgm:presLayoutVars>
      </dgm:prSet>
      <dgm:spPr/>
    </dgm:pt>
    <dgm:pt modelId="{5D16BD4E-CF64-46A0-B723-C8326DDC9BF4}" type="pres">
      <dgm:prSet presAssocID="{DC85C24D-11BB-4834-8CFF-AC1ECFE81B51}" presName="horzTwo" presStyleCnt="0"/>
      <dgm:spPr/>
    </dgm:pt>
    <dgm:pt modelId="{F0541937-463C-435E-A49F-A52CD389970B}" type="pres">
      <dgm:prSet presAssocID="{550B3F20-A65E-49F8-87C3-7FF740BBB474}" presName="sibSpaceTwo" presStyleCnt="0"/>
      <dgm:spPr/>
    </dgm:pt>
    <dgm:pt modelId="{328A663E-2512-4688-8E13-1562DFEBC46B}" type="pres">
      <dgm:prSet presAssocID="{EDC61F4B-ED2B-42A8-A9B7-2316864EC394}" presName="vertTwo" presStyleCnt="0"/>
      <dgm:spPr/>
    </dgm:pt>
    <dgm:pt modelId="{BAC5095A-8C0E-40F1-9910-03AE7F1535BE}" type="pres">
      <dgm:prSet presAssocID="{EDC61F4B-ED2B-42A8-A9B7-2316864EC394}" presName="txTwo" presStyleLbl="node2" presStyleIdx="5" presStyleCnt="6">
        <dgm:presLayoutVars>
          <dgm:chPref val="3"/>
        </dgm:presLayoutVars>
      </dgm:prSet>
      <dgm:spPr/>
    </dgm:pt>
    <dgm:pt modelId="{AD5F17B3-C2ED-4368-B4CC-BB95A439C76D}" type="pres">
      <dgm:prSet presAssocID="{EDC61F4B-ED2B-42A8-A9B7-2316864EC394}" presName="horzTwo" presStyleCnt="0"/>
      <dgm:spPr/>
    </dgm:pt>
  </dgm:ptLst>
  <dgm:cxnLst>
    <dgm:cxn modelId="{2ABA1C00-01C9-439E-B1B3-668BA7ED0519}" srcId="{4CABE3FA-6692-4B25-AD32-A24FABE506B2}" destId="{66D44E3D-0C57-4011-9D7D-A3676DB5E3C3}" srcOrd="0" destOrd="0" parTransId="{DD3B4C81-9A82-4350-8EF2-BAF521A8AC3B}" sibTransId="{BB9D175E-9783-4408-86EA-700DF226C24A}"/>
    <dgm:cxn modelId="{18D5520A-C6A1-40B5-9E60-92094DDA914B}" type="presOf" srcId="{66D44E3D-0C57-4011-9D7D-A3676DB5E3C3}" destId="{6DFDC091-D25B-4B56-B617-336806246E7E}" srcOrd="0" destOrd="0" presId="urn:microsoft.com/office/officeart/2005/8/layout/hierarchy4"/>
    <dgm:cxn modelId="{D59A2010-DB80-4A40-A59F-8F890450AC29}" type="presOf" srcId="{CE3FCF32-3A68-4582-8B51-51EA92AEE580}" destId="{D5516C6B-D5F8-4FA1-80CD-63F5327DB8F1}" srcOrd="0" destOrd="0" presId="urn:microsoft.com/office/officeart/2005/8/layout/hierarchy4"/>
    <dgm:cxn modelId="{5E510111-A7A4-49C9-A9DD-1E00B3CEA427}" type="presOf" srcId="{4CABE3FA-6692-4B25-AD32-A24FABE506B2}" destId="{35D9B9D9-5696-4E32-8CAE-4BD82A30D665}" srcOrd="0" destOrd="0" presId="urn:microsoft.com/office/officeart/2005/8/layout/hierarchy4"/>
    <dgm:cxn modelId="{A9314A1A-B2E6-4392-A50D-51F0FD1E38E4}" srcId="{868A3CD3-2884-41E2-86D3-1EBB61BF38AC}" destId="{4CABE3FA-6692-4B25-AD32-A24FABE506B2}" srcOrd="0" destOrd="0" parTransId="{DDCDCF86-5647-4FCA-9884-02E751837232}" sibTransId="{82EC3A01-DC41-4839-8089-9E3CD0AFC04E}"/>
    <dgm:cxn modelId="{8E51832E-CD3E-434E-AED1-065CEBE11A91}" type="presOf" srcId="{EDC61F4B-ED2B-42A8-A9B7-2316864EC394}" destId="{BAC5095A-8C0E-40F1-9910-03AE7F1535BE}" srcOrd="0" destOrd="0" presId="urn:microsoft.com/office/officeart/2005/8/layout/hierarchy4"/>
    <dgm:cxn modelId="{6A350575-9354-4AE6-AA61-1897FE1EF22F}" type="presOf" srcId="{DC85C24D-11BB-4834-8CFF-AC1ECFE81B51}" destId="{F28CE777-F644-469A-A497-74D27FF401C3}" srcOrd="0" destOrd="0" presId="urn:microsoft.com/office/officeart/2005/8/layout/hierarchy4"/>
    <dgm:cxn modelId="{253F3A56-DDF5-495C-840A-B5362ABCD40F}" type="presOf" srcId="{868A3CD3-2884-41E2-86D3-1EBB61BF38AC}" destId="{B8CBE193-C46D-4D65-8407-15A58C1EF0BE}" srcOrd="0" destOrd="0" presId="urn:microsoft.com/office/officeart/2005/8/layout/hierarchy4"/>
    <dgm:cxn modelId="{F69A4457-2598-4DE2-9F02-63D5BFF71CCF}" srcId="{4CABE3FA-6692-4B25-AD32-A24FABE506B2}" destId="{CE3FCF32-3A68-4582-8B51-51EA92AEE580}" srcOrd="2" destOrd="0" parTransId="{00987E44-A34B-458E-B9B0-DA9034F14C92}" sibTransId="{8DAA40F5-F8FF-4B74-B903-867BD6901328}"/>
    <dgm:cxn modelId="{0BE38879-4076-4FC8-993C-E2AA5E0CE81B}" srcId="{4CABE3FA-6692-4B25-AD32-A24FABE506B2}" destId="{DD41FB47-7619-42BB-B758-86484E765EB9}" srcOrd="1" destOrd="0" parTransId="{0CF7FC22-394B-44C5-A00E-2DC877491B42}" sibTransId="{89695D0B-CE97-4C8B-99B4-C64969C30DA4}"/>
    <dgm:cxn modelId="{34354EC4-04B9-4D48-B14B-EF9DE7FFC815}" type="presOf" srcId="{6A8B5BFD-7159-4ED6-9BD4-E6F9326F9DC8}" destId="{898F4F4C-5DC9-448D-9E17-B66344458217}" srcOrd="0" destOrd="0" presId="urn:microsoft.com/office/officeart/2005/8/layout/hierarchy4"/>
    <dgm:cxn modelId="{7D05B8CD-1207-4FDD-B963-6521CA328495}" srcId="{4CABE3FA-6692-4B25-AD32-A24FABE506B2}" destId="{DC85C24D-11BB-4834-8CFF-AC1ECFE81B51}" srcOrd="4" destOrd="0" parTransId="{C665076C-2363-4753-8326-69FA5F193E6B}" sibTransId="{550B3F20-A65E-49F8-87C3-7FF740BBB474}"/>
    <dgm:cxn modelId="{F8C8A6CF-EEDE-4635-A54D-1615F77BC152}" type="presOf" srcId="{DD41FB47-7619-42BB-B758-86484E765EB9}" destId="{16041BFE-756D-4E44-8134-20C13270CFA4}" srcOrd="0" destOrd="0" presId="urn:microsoft.com/office/officeart/2005/8/layout/hierarchy4"/>
    <dgm:cxn modelId="{ACA0FDE7-3B3D-489E-8B86-2BFEA1C4FD0C}" srcId="{4CABE3FA-6692-4B25-AD32-A24FABE506B2}" destId="{EDC61F4B-ED2B-42A8-A9B7-2316864EC394}" srcOrd="5" destOrd="0" parTransId="{5EA339FA-0138-451D-B8A5-266BB5BA7043}" sibTransId="{A9E4DD88-D02F-4710-9B33-51324B2B451E}"/>
    <dgm:cxn modelId="{3C9FF0F3-B349-44BC-9CD0-9DDC1CF68D60}" srcId="{4CABE3FA-6692-4B25-AD32-A24FABE506B2}" destId="{6A8B5BFD-7159-4ED6-9BD4-E6F9326F9DC8}" srcOrd="3" destOrd="0" parTransId="{DCAD20E0-E77A-4219-8E54-22586BAC94B3}" sibTransId="{ADE3737D-6DBF-442D-9B37-15EEA509E58E}"/>
    <dgm:cxn modelId="{EF78BCBA-731F-41E7-AAB6-B030890DE0C9}" type="presParOf" srcId="{B8CBE193-C46D-4D65-8407-15A58C1EF0BE}" destId="{88F6C6D6-BD59-4AC4-A73E-398CBEA2CF9C}" srcOrd="0" destOrd="0" presId="urn:microsoft.com/office/officeart/2005/8/layout/hierarchy4"/>
    <dgm:cxn modelId="{8CF42892-CDF4-4E9B-A704-83CFB91A9E4C}" type="presParOf" srcId="{88F6C6D6-BD59-4AC4-A73E-398CBEA2CF9C}" destId="{35D9B9D9-5696-4E32-8CAE-4BD82A30D665}" srcOrd="0" destOrd="0" presId="urn:microsoft.com/office/officeart/2005/8/layout/hierarchy4"/>
    <dgm:cxn modelId="{ADFD31FD-29E1-4DD5-A031-01ABC571D604}" type="presParOf" srcId="{88F6C6D6-BD59-4AC4-A73E-398CBEA2CF9C}" destId="{FA883010-26A1-4166-B42C-CB561B167BE2}" srcOrd="1" destOrd="0" presId="urn:microsoft.com/office/officeart/2005/8/layout/hierarchy4"/>
    <dgm:cxn modelId="{EDF5E52D-F3D9-4F88-9F1E-795E22EC152E}" type="presParOf" srcId="{88F6C6D6-BD59-4AC4-A73E-398CBEA2CF9C}" destId="{3C4276BA-044D-4D47-9004-50F3A5EF690B}" srcOrd="2" destOrd="0" presId="urn:microsoft.com/office/officeart/2005/8/layout/hierarchy4"/>
    <dgm:cxn modelId="{31516FFF-28EF-4654-9020-C02471955561}" type="presParOf" srcId="{3C4276BA-044D-4D47-9004-50F3A5EF690B}" destId="{312B6816-D2A4-4B18-BEDC-273D2E3E04AA}" srcOrd="0" destOrd="0" presId="urn:microsoft.com/office/officeart/2005/8/layout/hierarchy4"/>
    <dgm:cxn modelId="{2FA3A2D2-E3F0-4FC8-907C-DEFB170E8E99}" type="presParOf" srcId="{312B6816-D2A4-4B18-BEDC-273D2E3E04AA}" destId="{6DFDC091-D25B-4B56-B617-336806246E7E}" srcOrd="0" destOrd="0" presId="urn:microsoft.com/office/officeart/2005/8/layout/hierarchy4"/>
    <dgm:cxn modelId="{0634718E-D6EF-4BAD-A84A-5994C77FD3CC}" type="presParOf" srcId="{312B6816-D2A4-4B18-BEDC-273D2E3E04AA}" destId="{BAD3B1E8-79F3-496D-A453-19000F76DF27}" srcOrd="1" destOrd="0" presId="urn:microsoft.com/office/officeart/2005/8/layout/hierarchy4"/>
    <dgm:cxn modelId="{931F3073-F682-4432-B67C-C117C49BECA3}" type="presParOf" srcId="{3C4276BA-044D-4D47-9004-50F3A5EF690B}" destId="{C51AD182-B3AE-4FE1-8FB4-CFAEE7480330}" srcOrd="1" destOrd="0" presId="urn:microsoft.com/office/officeart/2005/8/layout/hierarchy4"/>
    <dgm:cxn modelId="{7E28ADD6-BDD5-41B8-A21D-BDBAA3102ABF}" type="presParOf" srcId="{3C4276BA-044D-4D47-9004-50F3A5EF690B}" destId="{EB5A8CCC-4448-4EC8-B48F-A162B25C0A9A}" srcOrd="2" destOrd="0" presId="urn:microsoft.com/office/officeart/2005/8/layout/hierarchy4"/>
    <dgm:cxn modelId="{26D3CDD9-C03E-4D14-8B5E-41CCCE00272F}" type="presParOf" srcId="{EB5A8CCC-4448-4EC8-B48F-A162B25C0A9A}" destId="{16041BFE-756D-4E44-8134-20C13270CFA4}" srcOrd="0" destOrd="0" presId="urn:microsoft.com/office/officeart/2005/8/layout/hierarchy4"/>
    <dgm:cxn modelId="{905D1FE2-6BB6-45A4-9925-699B01D4E6AF}" type="presParOf" srcId="{EB5A8CCC-4448-4EC8-B48F-A162B25C0A9A}" destId="{708C6160-5DA6-4EDC-9BB2-071841A6B5F8}" srcOrd="1" destOrd="0" presId="urn:microsoft.com/office/officeart/2005/8/layout/hierarchy4"/>
    <dgm:cxn modelId="{6592F994-F4E2-4E73-AE82-8894350EC9AE}" type="presParOf" srcId="{3C4276BA-044D-4D47-9004-50F3A5EF690B}" destId="{78BD0AAF-D41A-4739-9B57-633C0870CC94}" srcOrd="3" destOrd="0" presId="urn:microsoft.com/office/officeart/2005/8/layout/hierarchy4"/>
    <dgm:cxn modelId="{5CC93877-06CB-4E15-B229-2FCDDB991CED}" type="presParOf" srcId="{3C4276BA-044D-4D47-9004-50F3A5EF690B}" destId="{47C5FEFB-674D-4B09-8E06-E8861F0663D4}" srcOrd="4" destOrd="0" presId="urn:microsoft.com/office/officeart/2005/8/layout/hierarchy4"/>
    <dgm:cxn modelId="{5779ACA1-FAF0-4DC1-A5B7-ED3A9F4AD2B9}" type="presParOf" srcId="{47C5FEFB-674D-4B09-8E06-E8861F0663D4}" destId="{D5516C6B-D5F8-4FA1-80CD-63F5327DB8F1}" srcOrd="0" destOrd="0" presId="urn:microsoft.com/office/officeart/2005/8/layout/hierarchy4"/>
    <dgm:cxn modelId="{F3FE2A17-5ED3-44C1-AB6A-7F3D3FA03E25}" type="presParOf" srcId="{47C5FEFB-674D-4B09-8E06-E8861F0663D4}" destId="{F67C50C8-8B13-40B1-A39B-285DB544A384}" srcOrd="1" destOrd="0" presId="urn:microsoft.com/office/officeart/2005/8/layout/hierarchy4"/>
    <dgm:cxn modelId="{F6E2F812-D0A0-4418-ADAC-3944A1E11920}" type="presParOf" srcId="{3C4276BA-044D-4D47-9004-50F3A5EF690B}" destId="{AE3B5CCE-159D-4651-99E9-D498ECEFB578}" srcOrd="5" destOrd="0" presId="urn:microsoft.com/office/officeart/2005/8/layout/hierarchy4"/>
    <dgm:cxn modelId="{852E2A74-9C09-4FE4-8E11-49A49C31302D}" type="presParOf" srcId="{3C4276BA-044D-4D47-9004-50F3A5EF690B}" destId="{9BFD7461-DF18-4373-8380-AC5DF7779820}" srcOrd="6" destOrd="0" presId="urn:microsoft.com/office/officeart/2005/8/layout/hierarchy4"/>
    <dgm:cxn modelId="{ACBCD36C-C4E8-4B3B-A2AE-02C67C77449B}" type="presParOf" srcId="{9BFD7461-DF18-4373-8380-AC5DF7779820}" destId="{898F4F4C-5DC9-448D-9E17-B66344458217}" srcOrd="0" destOrd="0" presId="urn:microsoft.com/office/officeart/2005/8/layout/hierarchy4"/>
    <dgm:cxn modelId="{10BFCE52-53E3-459C-9892-12CDB8983BF4}" type="presParOf" srcId="{9BFD7461-DF18-4373-8380-AC5DF7779820}" destId="{4E070C18-42CD-42BA-928A-CC6465D31D96}" srcOrd="1" destOrd="0" presId="urn:microsoft.com/office/officeart/2005/8/layout/hierarchy4"/>
    <dgm:cxn modelId="{26D99885-4C3A-4399-91FE-0AFD7F6C07CA}" type="presParOf" srcId="{3C4276BA-044D-4D47-9004-50F3A5EF690B}" destId="{9812AF9E-7005-4BB7-B242-E7CBEC941081}" srcOrd="7" destOrd="0" presId="urn:microsoft.com/office/officeart/2005/8/layout/hierarchy4"/>
    <dgm:cxn modelId="{C4ED8BF6-823B-4654-A4A5-4960A763E1FA}" type="presParOf" srcId="{3C4276BA-044D-4D47-9004-50F3A5EF690B}" destId="{9EE5599F-6571-48BA-8F17-0C904C973580}" srcOrd="8" destOrd="0" presId="urn:microsoft.com/office/officeart/2005/8/layout/hierarchy4"/>
    <dgm:cxn modelId="{AAB223F1-8F21-4075-8F59-DFD2A0793309}" type="presParOf" srcId="{9EE5599F-6571-48BA-8F17-0C904C973580}" destId="{F28CE777-F644-469A-A497-74D27FF401C3}" srcOrd="0" destOrd="0" presId="urn:microsoft.com/office/officeart/2005/8/layout/hierarchy4"/>
    <dgm:cxn modelId="{BDF35F1A-D165-4617-BE01-5E6F0EF6271F}" type="presParOf" srcId="{9EE5599F-6571-48BA-8F17-0C904C973580}" destId="{5D16BD4E-CF64-46A0-B723-C8326DDC9BF4}" srcOrd="1" destOrd="0" presId="urn:microsoft.com/office/officeart/2005/8/layout/hierarchy4"/>
    <dgm:cxn modelId="{37011879-AD4B-4858-842E-4C1C2C1F3EC0}" type="presParOf" srcId="{3C4276BA-044D-4D47-9004-50F3A5EF690B}" destId="{F0541937-463C-435E-A49F-A52CD389970B}" srcOrd="9" destOrd="0" presId="urn:microsoft.com/office/officeart/2005/8/layout/hierarchy4"/>
    <dgm:cxn modelId="{F039847D-B05B-46B0-9281-37FAA0E2CEA8}" type="presParOf" srcId="{3C4276BA-044D-4D47-9004-50F3A5EF690B}" destId="{328A663E-2512-4688-8E13-1562DFEBC46B}" srcOrd="10" destOrd="0" presId="urn:microsoft.com/office/officeart/2005/8/layout/hierarchy4"/>
    <dgm:cxn modelId="{275E6E36-BE66-4E7A-BCC6-8AB4E63400E5}" type="presParOf" srcId="{328A663E-2512-4688-8E13-1562DFEBC46B}" destId="{BAC5095A-8C0E-40F1-9910-03AE7F1535BE}" srcOrd="0" destOrd="0" presId="urn:microsoft.com/office/officeart/2005/8/layout/hierarchy4"/>
    <dgm:cxn modelId="{113359E6-F0AC-4940-BDE7-1326DFA15A46}" type="presParOf" srcId="{328A663E-2512-4688-8E13-1562DFEBC46B}" destId="{AD5F17B3-C2ED-4368-B4CC-BB95A439C76D}"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9B9D9-5696-4E32-8CAE-4BD82A30D665}">
      <dsp:nvSpPr>
        <dsp:cNvPr id="0" name=""/>
        <dsp:cNvSpPr/>
      </dsp:nvSpPr>
      <dsp:spPr>
        <a:xfrm>
          <a:off x="139" y="9525"/>
          <a:ext cx="5634427" cy="2569924"/>
        </a:xfrm>
        <a:prstGeom prst="roundRect">
          <a:avLst>
            <a:gd name="adj" fmla="val 10000"/>
          </a:avLst>
        </a:prstGeom>
        <a:gradFill rotWithShape="0">
          <a:gsLst>
            <a:gs pos="0">
              <a:schemeClr val="accent6">
                <a:alpha val="80000"/>
                <a:hueOff val="0"/>
                <a:satOff val="0"/>
                <a:lumOff val="0"/>
                <a:alphaOff val="0"/>
                <a:tint val="50000"/>
                <a:satMod val="300000"/>
              </a:schemeClr>
            </a:gs>
            <a:gs pos="35000">
              <a:schemeClr val="accent6">
                <a:alpha val="80000"/>
                <a:hueOff val="0"/>
                <a:satOff val="0"/>
                <a:lumOff val="0"/>
                <a:alphaOff val="0"/>
                <a:tint val="37000"/>
                <a:satMod val="300000"/>
              </a:schemeClr>
            </a:gs>
            <a:gs pos="100000">
              <a:schemeClr val="accent6">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u="none" kern="1200"/>
            <a:t>MEDICAL DEVICES AND HUMAN TISSUE ADVISORY COMMITTEE (MDHTAC)</a:t>
          </a:r>
          <a:endParaRPr lang="en-AU" sz="900" b="1" kern="1200"/>
        </a:p>
        <a:p>
          <a:pPr marL="0" lvl="0" indent="0" algn="l" defTabSz="400050">
            <a:lnSpc>
              <a:spcPct val="90000"/>
            </a:lnSpc>
            <a:spcBef>
              <a:spcPct val="0"/>
            </a:spcBef>
            <a:spcAft>
              <a:spcPct val="35000"/>
            </a:spcAft>
            <a:buNone/>
          </a:pPr>
          <a:r>
            <a:rPr lang="en-AU" sz="900" kern="1200"/>
            <a:t>Role:</a:t>
          </a:r>
        </a:p>
        <a:p>
          <a:pPr marL="0" lvl="0" indent="0" algn="l" defTabSz="400050">
            <a:lnSpc>
              <a:spcPct val="90000"/>
            </a:lnSpc>
            <a:spcBef>
              <a:spcPct val="0"/>
            </a:spcBef>
            <a:spcAft>
              <a:spcPct val="35000"/>
            </a:spcAft>
            <a:buNone/>
          </a:pPr>
          <a:r>
            <a:rPr lang="en-AU" sz="900" i="1" kern="1200"/>
            <a:t>To make recommendations to the Minister (or Delegate) on devices and human tissue products</a:t>
          </a:r>
          <a:r>
            <a:rPr lang="en-AU" sz="900" i="1" u="none" kern="1200">
              <a:solidFill>
                <a:srgbClr val="FF0000"/>
              </a:solidFill>
            </a:rPr>
            <a:t> </a:t>
          </a:r>
          <a:r>
            <a:rPr lang="en-AU" sz="900" i="1" kern="1200"/>
            <a:t>they consider should be listed on the Prostheses List* and the benefits payable by private health insurers. The Medical Devices and Human Tissue Advisory Committee* will also consider other issues relevant to the Prostheses List*. </a:t>
          </a:r>
          <a:endParaRPr lang="en-AU" sz="900" kern="1200"/>
        </a:p>
        <a:p>
          <a:pPr marL="0" lvl="0" indent="0" algn="l" defTabSz="400050">
            <a:lnSpc>
              <a:spcPct val="90000"/>
            </a:lnSpc>
            <a:spcBef>
              <a:spcPct val="0"/>
            </a:spcBef>
            <a:spcAft>
              <a:spcPct val="35000"/>
            </a:spcAft>
            <a:buNone/>
          </a:pPr>
          <a:r>
            <a:rPr lang="en-AU" sz="900" kern="1200"/>
            <a:t>Membership: </a:t>
          </a:r>
        </a:p>
        <a:p>
          <a:pPr marL="0" lvl="0" indent="0" algn="l" defTabSz="400050">
            <a:lnSpc>
              <a:spcPct val="90000"/>
            </a:lnSpc>
            <a:spcBef>
              <a:spcPct val="0"/>
            </a:spcBef>
            <a:spcAft>
              <a:spcPct val="35000"/>
            </a:spcAft>
            <a:buNone/>
          </a:pPr>
          <a:r>
            <a:rPr lang="en-AU" sz="900" kern="1200"/>
            <a:t>	- a Chair </a:t>
          </a:r>
        </a:p>
        <a:p>
          <a:pPr marL="0" lvl="0" indent="0" algn="l" defTabSz="400050">
            <a:lnSpc>
              <a:spcPct val="90000"/>
            </a:lnSpc>
            <a:spcBef>
              <a:spcPct val="0"/>
            </a:spcBef>
            <a:spcAft>
              <a:spcPct val="35000"/>
            </a:spcAft>
            <a:buNone/>
          </a:pPr>
          <a:r>
            <a:rPr lang="en-AU" sz="900" kern="1200"/>
            <a:t>	- Chairs of each Expert Clinical Advisory Groups (ECAGs) who will be the discussants for each application    	  considered by their ECAG</a:t>
          </a:r>
        </a:p>
        <a:p>
          <a:pPr marL="0" lvl="0" indent="0" algn="l" defTabSz="400050">
            <a:lnSpc>
              <a:spcPct val="90000"/>
            </a:lnSpc>
            <a:spcBef>
              <a:spcPct val="0"/>
            </a:spcBef>
            <a:spcAft>
              <a:spcPct val="35000"/>
            </a:spcAft>
            <a:buNone/>
          </a:pPr>
          <a:r>
            <a:rPr lang="en-AU" sz="900" kern="1200"/>
            <a:t>	- consumer representative</a:t>
          </a:r>
        </a:p>
        <a:p>
          <a:pPr marL="0" lvl="0" indent="0" algn="l" defTabSz="400050">
            <a:lnSpc>
              <a:spcPct val="90000"/>
            </a:lnSpc>
            <a:spcBef>
              <a:spcPct val="0"/>
            </a:spcBef>
            <a:spcAft>
              <a:spcPct val="35000"/>
            </a:spcAft>
            <a:buNone/>
          </a:pPr>
          <a:r>
            <a:rPr lang="en-AU" sz="900" kern="1200"/>
            <a:t>	- health economist</a:t>
          </a:r>
        </a:p>
        <a:p>
          <a:pPr marL="0" lvl="0" indent="0" algn="l" defTabSz="400050">
            <a:lnSpc>
              <a:spcPct val="90000"/>
            </a:lnSpc>
            <a:spcBef>
              <a:spcPct val="0"/>
            </a:spcBef>
            <a:spcAft>
              <a:spcPct val="35000"/>
            </a:spcAft>
            <a:buNone/>
          </a:pPr>
          <a:r>
            <a:rPr lang="en-AU" sz="900" kern="1200"/>
            <a:t>	- other clinicians or experts who have proven background in HTA analysis from other Departmental 	  	  committees (not ECAG members)</a:t>
          </a:r>
        </a:p>
      </dsp:txBody>
      <dsp:txXfrm>
        <a:off x="75410" y="84796"/>
        <a:ext cx="5483885" cy="2419382"/>
      </dsp:txXfrm>
    </dsp:sp>
    <dsp:sp modelId="{6DFDC091-D25B-4B56-B617-336806246E7E}">
      <dsp:nvSpPr>
        <dsp:cNvPr id="0" name=""/>
        <dsp:cNvSpPr/>
      </dsp:nvSpPr>
      <dsp:spPr>
        <a:xfrm>
          <a:off x="4443"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Specialist Orthopaedic Expert Clinical Advisory Group  </a:t>
          </a:r>
        </a:p>
      </dsp:txBody>
      <dsp:txXfrm>
        <a:off x="30108" y="2704361"/>
        <a:ext cx="824948" cy="1319683"/>
      </dsp:txXfrm>
    </dsp:sp>
    <dsp:sp modelId="{16041BFE-756D-4E44-8134-20C13270CFA4}">
      <dsp:nvSpPr>
        <dsp:cNvPr id="0" name=""/>
        <dsp:cNvSpPr/>
      </dsp:nvSpPr>
      <dsp:spPr>
        <a:xfrm>
          <a:off x="954329"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Hip and Knee Expert Clinical Advisory Group </a:t>
          </a:r>
        </a:p>
      </dsp:txBody>
      <dsp:txXfrm>
        <a:off x="979994" y="2704361"/>
        <a:ext cx="824948" cy="1319683"/>
      </dsp:txXfrm>
    </dsp:sp>
    <dsp:sp modelId="{D5516C6B-D5F8-4FA1-80CD-63F5327DB8F1}">
      <dsp:nvSpPr>
        <dsp:cNvPr id="0" name=""/>
        <dsp:cNvSpPr/>
      </dsp:nvSpPr>
      <dsp:spPr>
        <a:xfrm>
          <a:off x="1904214"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Ophthalmic Expert Clinical Advisory Group </a:t>
          </a:r>
        </a:p>
      </dsp:txBody>
      <dsp:txXfrm>
        <a:off x="1929879" y="2704361"/>
        <a:ext cx="824948" cy="1319683"/>
      </dsp:txXfrm>
    </dsp:sp>
    <dsp:sp modelId="{898F4F4C-5DC9-448D-9E17-B66344458217}">
      <dsp:nvSpPr>
        <dsp:cNvPr id="0" name=""/>
        <dsp:cNvSpPr/>
      </dsp:nvSpPr>
      <dsp:spPr>
        <a:xfrm>
          <a:off x="2854100"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Spinal and Neurosurgical Expert Clinical Advisory Group </a:t>
          </a:r>
        </a:p>
      </dsp:txBody>
      <dsp:txXfrm>
        <a:off x="2879765" y="2704361"/>
        <a:ext cx="824948" cy="1319683"/>
      </dsp:txXfrm>
    </dsp:sp>
    <dsp:sp modelId="{F28CE777-F644-469A-A497-74D27FF401C3}">
      <dsp:nvSpPr>
        <dsp:cNvPr id="0" name=""/>
        <dsp:cNvSpPr/>
      </dsp:nvSpPr>
      <dsp:spPr>
        <a:xfrm>
          <a:off x="3803986"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Cardiovascular Expert Clinical Advisory Group </a:t>
          </a:r>
        </a:p>
      </dsp:txBody>
      <dsp:txXfrm>
        <a:off x="3829651" y="2704361"/>
        <a:ext cx="824948" cy="1319683"/>
      </dsp:txXfrm>
    </dsp:sp>
    <dsp:sp modelId="{BAC5095A-8C0E-40F1-9910-03AE7F1535BE}">
      <dsp:nvSpPr>
        <dsp:cNvPr id="0" name=""/>
        <dsp:cNvSpPr/>
      </dsp:nvSpPr>
      <dsp:spPr>
        <a:xfrm>
          <a:off x="4753872" y="2678696"/>
          <a:ext cx="876278" cy="1371013"/>
        </a:xfrm>
        <a:prstGeom prst="roundRect">
          <a:avLst>
            <a:gd name="adj" fmla="val 10000"/>
          </a:avLst>
        </a:prstGeom>
        <a:gradFill rotWithShape="0">
          <a:gsLst>
            <a:gs pos="0">
              <a:schemeClr val="accent6">
                <a:alpha val="70000"/>
                <a:hueOff val="0"/>
                <a:satOff val="0"/>
                <a:lumOff val="0"/>
                <a:alphaOff val="0"/>
                <a:tint val="50000"/>
                <a:satMod val="300000"/>
              </a:schemeClr>
            </a:gs>
            <a:gs pos="35000">
              <a:schemeClr val="accent6">
                <a:alpha val="70000"/>
                <a:hueOff val="0"/>
                <a:satOff val="0"/>
                <a:lumOff val="0"/>
                <a:alphaOff val="0"/>
                <a:tint val="37000"/>
                <a:satMod val="300000"/>
              </a:schemeClr>
            </a:gs>
            <a:gs pos="100000">
              <a:schemeClr val="accent6">
                <a:alpha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General Surgery Expert Clinical Advisory Group </a:t>
          </a:r>
        </a:p>
      </dsp:txBody>
      <dsp:txXfrm>
        <a:off x="4779537" y="2704361"/>
        <a:ext cx="824948" cy="13196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Props1.xml><?xml version="1.0" encoding="utf-8"?>
<ds:datastoreItem xmlns:ds="http://schemas.openxmlformats.org/officeDocument/2006/customXml" ds:itemID="{01975F3C-AFCE-43A9-8440-1B819C7A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1975</Words>
  <Characters>11832</Characters>
  <Application>Microsoft Office Word</Application>
  <DocSecurity>0</DocSecurity>
  <Lines>227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Prostheses List Reforms – Pre-Listing Assessment Framework and Governance Structure</dc:title>
  <dc:subject>Prostheses List</dc:subject>
  <dc:creator>Australian Government Department of Health and Aged Care</dc:creator>
  <cp:keywords>Prostheses List; Reform</cp:keywords>
  <dc:description>_x000d_
</dc:description>
  <cp:lastModifiedBy>Department of Health and Aged Care</cp:lastModifiedBy>
  <cp:revision>4</cp:revision>
  <dcterms:created xsi:type="dcterms:W3CDTF">2023-01-30T04:34:00Z</dcterms:created>
  <dcterms:modified xsi:type="dcterms:W3CDTF">2023-01-30T04:41:00Z</dcterms:modified>
</cp:coreProperties>
</file>